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60EA2" w14:textId="4552C8B3" w:rsidR="00C578AE" w:rsidRPr="00D965A5" w:rsidRDefault="002B4D00" w:rsidP="002B4D00">
      <w:pPr>
        <w:pStyle w:val="Pagedecouverture"/>
        <w:rPr>
          <w:noProof/>
        </w:rPr>
      </w:pPr>
      <w:r>
        <w:rPr>
          <w:noProof/>
        </w:rPr>
        <w:pict w14:anchorId="4AEC84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56B65022-274F-4965-9378-526BBDD55DD9" style="width:455.25pt;height:342.75pt">
            <v:imagedata r:id="rId8" o:title=""/>
          </v:shape>
        </w:pict>
      </w:r>
    </w:p>
    <w:p w14:paraId="411C459A" w14:textId="77777777" w:rsidR="00C578AE" w:rsidRPr="00D965A5" w:rsidRDefault="00C578AE" w:rsidP="00C578AE">
      <w:pPr>
        <w:rPr>
          <w:noProof/>
        </w:rPr>
        <w:sectPr w:rsidR="00C578AE" w:rsidRPr="00D965A5" w:rsidSect="002B4D00">
          <w:footerReference w:type="even" r:id="rId9"/>
          <w:footerReference w:type="default" r:id="rId10"/>
          <w:pgSz w:w="11907" w:h="16839"/>
          <w:pgMar w:top="1134" w:right="1417" w:bottom="1134" w:left="1417" w:header="709" w:footer="709" w:gutter="0"/>
          <w:pgNumType w:start="0"/>
          <w:cols w:space="720"/>
          <w:docGrid w:linePitch="360"/>
        </w:sectPr>
      </w:pPr>
    </w:p>
    <w:p w14:paraId="74A6FC62" w14:textId="77777777" w:rsidR="005D782C" w:rsidRPr="00D965A5" w:rsidRDefault="005D782C" w:rsidP="009511E1">
      <w:pPr>
        <w:pStyle w:val="Exposdesmotifstitre"/>
        <w:rPr>
          <w:noProof/>
          <w:color w:val="FF0000"/>
        </w:rPr>
      </w:pPr>
      <w:bookmarkStart w:id="0" w:name="_GoBack"/>
      <w:bookmarkEnd w:id="0"/>
    </w:p>
    <w:p w14:paraId="452D3AD4" w14:textId="77777777" w:rsidR="008A58AF" w:rsidRPr="00D965A5" w:rsidRDefault="00C578AE">
      <w:pPr>
        <w:pStyle w:val="ManualHeading1"/>
        <w:rPr>
          <w:noProof/>
        </w:rPr>
      </w:pPr>
      <w:r w:rsidRPr="00D965A5">
        <w:rPr>
          <w:noProof/>
        </w:rPr>
        <w:t>1.</w:t>
      </w:r>
      <w:r w:rsidRPr="00D965A5">
        <w:rPr>
          <w:noProof/>
        </w:rPr>
        <w:tab/>
        <w:t>EHDOTUKSEN TAUSTA</w:t>
      </w:r>
    </w:p>
    <w:p w14:paraId="7336C156" w14:textId="77777777" w:rsidR="00C578AE" w:rsidRPr="00D965A5" w:rsidRDefault="00C578AE">
      <w:pPr>
        <w:pStyle w:val="ManualHeading2"/>
        <w:rPr>
          <w:rFonts w:eastAsia="Arial Unicode MS"/>
          <w:noProof/>
        </w:rPr>
      </w:pPr>
      <w:r w:rsidRPr="00D965A5">
        <w:rPr>
          <w:noProof/>
          <w:color w:val="000000"/>
          <w:u w:color="000000"/>
          <w:bdr w:val="nil"/>
        </w:rPr>
        <w:t>•</w:t>
      </w:r>
      <w:r w:rsidRPr="00D965A5">
        <w:rPr>
          <w:noProof/>
        </w:rPr>
        <w:tab/>
        <w:t>Ehdotuksen perustelut ja tavoitteet</w:t>
      </w:r>
    </w:p>
    <w:p w14:paraId="16A3F6C8" w14:textId="77777777" w:rsidR="00EE62F1" w:rsidRPr="00D965A5" w:rsidRDefault="008F4F37" w:rsidP="008A4180">
      <w:pPr>
        <w:pStyle w:val="Text1"/>
        <w:ind w:left="0"/>
        <w:rPr>
          <w:noProof/>
        </w:rPr>
      </w:pPr>
      <w:r w:rsidRPr="00D965A5">
        <w:rPr>
          <w:noProof/>
        </w:rPr>
        <w:t xml:space="preserve">Komission puheenjohtaja Ursula von der Leyen </w:t>
      </w:r>
      <w:r w:rsidRPr="00D965A5">
        <w:rPr>
          <w:b/>
          <w:noProof/>
        </w:rPr>
        <w:t>nosti</w:t>
      </w:r>
      <w:r w:rsidRPr="00D965A5">
        <w:rPr>
          <w:noProof/>
        </w:rPr>
        <w:t xml:space="preserve"> 10. syyskuuta 2025 pitämässään unionin tilaa koskevassa puheessa </w:t>
      </w:r>
      <w:r w:rsidRPr="00D965A5">
        <w:rPr>
          <w:b/>
          <w:noProof/>
        </w:rPr>
        <w:t>keskeisiksi aiheiksi</w:t>
      </w:r>
      <w:r w:rsidRPr="00D965A5">
        <w:rPr>
          <w:noProof/>
        </w:rPr>
        <w:t xml:space="preserve"> </w:t>
      </w:r>
      <w:r w:rsidRPr="00D965A5">
        <w:rPr>
          <w:b/>
          <w:noProof/>
        </w:rPr>
        <w:t>asumisen ja köyhyyden</w:t>
      </w:r>
      <w:r w:rsidRPr="00D965A5">
        <w:rPr>
          <w:noProof/>
        </w:rPr>
        <w:t xml:space="preserve">. Puheessa sitouduttiin </w:t>
      </w:r>
      <w:r w:rsidRPr="00D965A5">
        <w:rPr>
          <w:b/>
          <w:noProof/>
        </w:rPr>
        <w:t>suunnitelmaan, jolla autetaan poistamaan köyhyys vuoteen 2050 mennessä</w:t>
      </w:r>
      <w:r w:rsidRPr="00D965A5">
        <w:rPr>
          <w:noProof/>
        </w:rPr>
        <w:t xml:space="preserve"> kunnianhimoisella </w:t>
      </w:r>
      <w:r w:rsidRPr="00D965A5">
        <w:rPr>
          <w:b/>
          <w:noProof/>
        </w:rPr>
        <w:t>EU:n köyhyydentorjuntastrategialla</w:t>
      </w:r>
      <w:r w:rsidRPr="00D965A5">
        <w:rPr>
          <w:noProof/>
        </w:rPr>
        <w:t xml:space="preserve">, ja esiteltiin kaikkien aikojen ensimmäinen </w:t>
      </w:r>
      <w:r w:rsidRPr="00D965A5">
        <w:rPr>
          <w:b/>
          <w:noProof/>
        </w:rPr>
        <w:t>kohtuuhintaista asumista koskeva eurooppalainen suunnitelma</w:t>
      </w:r>
      <w:r w:rsidRPr="00D965A5">
        <w:rPr>
          <w:noProof/>
        </w:rPr>
        <w:t xml:space="preserve">. Puheenjohtaja painotti, että </w:t>
      </w:r>
      <w:hyperlink r:id="rId11" w:history="1">
        <w:r w:rsidRPr="00D965A5">
          <w:rPr>
            <w:rStyle w:val="Hyperlink"/>
            <w:noProof/>
          </w:rPr>
          <w:t>Euroopan sosiaalisten oikeuksien pilarissa asunto on määritetty oikeudeksi Euroopassa</w:t>
        </w:r>
      </w:hyperlink>
      <w:r w:rsidRPr="00D965A5">
        <w:rPr>
          <w:noProof/>
        </w:rPr>
        <w:t xml:space="preserve">, ja julisti, että nyt on aika toteuttaa tämä lupaus. Hän piti asuntokriisiä yhteiskunnallisena haasteena ja ihmisarvoon liittyvänä kysymyksenä ja vaati radikaalia muutosta siihen, miten tätä ongelmaa käsitellään. </w:t>
      </w:r>
    </w:p>
    <w:p w14:paraId="2B3F17EC" w14:textId="77777777" w:rsidR="00AE4B7F" w:rsidRPr="00D965A5" w:rsidRDefault="00AE4B7F" w:rsidP="00AE4B7F">
      <w:pPr>
        <w:pStyle w:val="Text1"/>
        <w:ind w:left="0"/>
        <w:rPr>
          <w:noProof/>
        </w:rPr>
      </w:pPr>
      <w:r w:rsidRPr="00D965A5">
        <w:rPr>
          <w:b/>
          <w:noProof/>
        </w:rPr>
        <w:t>Euroopan sosiaalisten oikeuksien pilarin periaatteessa 19</w:t>
      </w:r>
      <w:r w:rsidRPr="00D965A5">
        <w:rPr>
          <w:noProof/>
        </w:rPr>
        <w:t xml:space="preserve"> vahvistetaan oikeus asuntoon ja asunnottomille annettavaan apuun. Siinä vaaditaan, että kaikille tarvitseville on tarjottava sosiaalista vuokra-asuntoa tai laadukasta asumisapua. Periaatteessa korostetaan, että haavoittuvassa asemassa olevilla henkilöillä on oikeus asianmukaiseen apuun ja suojaan pakkohäätöä vastaan. Siinä painotetaan myös, että asunnottomille on tarjottava asianmukainen suoja ja riittävät palvelut heidän sosiaalisen osallisuutensa edistämiseksi.  </w:t>
      </w:r>
    </w:p>
    <w:p w14:paraId="2E85743B" w14:textId="77777777" w:rsidR="004A59B3" w:rsidRPr="00D965A5" w:rsidRDefault="004A59B3" w:rsidP="004A59B3">
      <w:pPr>
        <w:pStyle w:val="Text1"/>
        <w:ind w:left="0"/>
        <w:rPr>
          <w:bCs/>
          <w:noProof/>
        </w:rPr>
      </w:pPr>
      <w:r w:rsidRPr="00D965A5">
        <w:rPr>
          <w:b/>
          <w:noProof/>
        </w:rPr>
        <w:t>Euroopan unionin perusoikeuskirjassa</w:t>
      </w:r>
      <w:r w:rsidRPr="00D965A5">
        <w:rPr>
          <w:noProof/>
        </w:rPr>
        <w:t xml:space="preserve"> korostetaan, että yhteiskunnallisen syrjäytymisen ja köyhyyden torjumiseksi unioni tunnustaa oikeuden toimeentuloturvaan ja asumisen tukeen ja kunnioittaa tätä oikeutta. Tarkoituksena on turvata ihmisarvoinen elämä jokaiselle, jolla ei ole riittävästi varoja, unionin oikeuden sekä kansallisten lainsäädäntöjen ja käytäntöjen mukaisesti. </w:t>
      </w:r>
    </w:p>
    <w:p w14:paraId="50C8B773" w14:textId="77777777" w:rsidR="004A59B3" w:rsidRPr="00D965A5" w:rsidRDefault="004A59B3" w:rsidP="004A59B3">
      <w:pPr>
        <w:pStyle w:val="Text1"/>
        <w:ind w:left="0"/>
        <w:rPr>
          <w:bCs/>
          <w:noProof/>
        </w:rPr>
      </w:pPr>
      <w:r w:rsidRPr="00D965A5">
        <w:rPr>
          <w:noProof/>
        </w:rPr>
        <w:t xml:space="preserve">Tarkistetussa </w:t>
      </w:r>
      <w:r w:rsidRPr="00D965A5">
        <w:rPr>
          <w:b/>
          <w:noProof/>
        </w:rPr>
        <w:t>Euroopan sosiaalisessa peruskirjassa</w:t>
      </w:r>
      <w:r w:rsidRPr="00D965A5">
        <w:rPr>
          <w:noProof/>
        </w:rPr>
        <w:t xml:space="preserve"> tunnustetaan kaikkien oikeus saada asianmukainen asunto sekä sitoudutaan asunnottomuuden ehkäisemiseen ja vähentämiseen pyrkien asunnottomuuden asteittaiseen poistamiseen. </w:t>
      </w:r>
    </w:p>
    <w:p w14:paraId="3F32A393" w14:textId="77777777" w:rsidR="00797766" w:rsidRPr="00D965A5" w:rsidRDefault="00797766" w:rsidP="00797766">
      <w:pPr>
        <w:pStyle w:val="Text1"/>
        <w:ind w:left="0"/>
        <w:rPr>
          <w:noProof/>
        </w:rPr>
      </w:pPr>
      <w:r w:rsidRPr="00D965A5">
        <w:rPr>
          <w:noProof/>
        </w:rPr>
        <w:t xml:space="preserve">Kun otetaan huomioon näiden oikeuksien merkitys ja tarve panna ne tehokkaasti täytäntöön, jäsenvaltioiden, EU:n toimielinten ja neuvoa-antavien elinten, työmarkkinaosapuolten ja asiaankuuluvien kansalaisjärjestöjen kesäkuussa 2021 allekirjoittamassa </w:t>
      </w:r>
      <w:r w:rsidRPr="00D965A5">
        <w:rPr>
          <w:b/>
          <w:noProof/>
        </w:rPr>
        <w:t>asunnottomuuden vähentämistä käsittelevästä eurooppalaisesta foorumista annetussa Lissabonin julistuksessa</w:t>
      </w:r>
      <w:r w:rsidRPr="00D965A5">
        <w:rPr>
          <w:noProof/>
        </w:rPr>
        <w:t xml:space="preserve"> ilmaistaan sitoutuminen toimiin asunnottomuuden poistamiseksi vuoteen 2030 mennessä, jotta i) kukaan ei asuisi kadulla esteettömän, turvallisen ja asianmukaisen hätämajoituksen puuttumisen vuoksi, ii) kukaan ei asuisi hätä- tai väliaikaismajoituksessa pidempään kuin pysyvän asumisratkaisun löytyminen edellyttää, iii) ketään ei päästettäisi pois mistään laitoksesta (kuten vankilasta, sairaalasta tai hoitolaitoksesta), jos tarjolla ei ole asianmukaista asuntoa, iv) häädöt olisi estettävä aina, kun se on mahdollista, eikä ketään häädettäisi ilman, että häntä autetaan tarvittaessa löytämään asianmukainen asumisratkaisu, ja v) ketään ei syrjittäisi asunnottomuuden vuoksi.</w:t>
      </w:r>
    </w:p>
    <w:p w14:paraId="14BA0E5B" w14:textId="77777777" w:rsidR="00797766" w:rsidRPr="00D965A5" w:rsidRDefault="005A1EE8" w:rsidP="00797766">
      <w:pPr>
        <w:pStyle w:val="Text1"/>
        <w:ind w:left="0"/>
        <w:rPr>
          <w:noProof/>
        </w:rPr>
      </w:pPr>
      <w:r w:rsidRPr="00D965A5">
        <w:rPr>
          <w:b/>
          <w:noProof/>
        </w:rPr>
        <w:t>Ehdotuksen yleistavoitteena</w:t>
      </w:r>
      <w:r w:rsidRPr="00D965A5">
        <w:rPr>
          <w:noProof/>
        </w:rPr>
        <w:t xml:space="preserve"> on edistää poliittisia toimia, joilla edellä mainitut asunnon ja asumisavun saantia koskevat suuntaviivat pannaan tehokkaasti täytäntöön. </w:t>
      </w:r>
    </w:p>
    <w:p w14:paraId="40C56544" w14:textId="77777777" w:rsidR="004061B5" w:rsidRPr="00D965A5" w:rsidRDefault="003B6E95" w:rsidP="004061B5">
      <w:pPr>
        <w:pBdr>
          <w:top w:val="nil"/>
          <w:left w:val="nil"/>
          <w:bottom w:val="nil"/>
          <w:right w:val="nil"/>
          <w:between w:val="nil"/>
          <w:bar w:val="nil"/>
        </w:pBdr>
        <w:spacing w:before="0" w:after="240"/>
        <w:rPr>
          <w:noProof/>
        </w:rPr>
      </w:pPr>
      <w:r w:rsidRPr="00D965A5">
        <w:rPr>
          <w:b/>
          <w:noProof/>
        </w:rPr>
        <w:t>Kohtuuhintaista asumista koskeva eurooppalainen suunnitelma</w:t>
      </w:r>
      <w:r w:rsidRPr="00D965A5">
        <w:rPr>
          <w:noProof/>
        </w:rPr>
        <w:t xml:space="preserve"> on ensimmäinen EU:n tason kehys, jonka tavoitteena on puuttua asuntokriisiin. Sen perustuu neljään pilariin, joilla tarvitaan toimia, mukaan lukien asuntomarkkinoilta syrjäytyneiden ja asunnottomien tukeminen. Siinä ehdotetaan neuvoston suositusta, jolla tuetaan haavoittuvassa asemassa olevia ja epävarmoissa asuinoloissa eläviä henkilöitä sekä torjutaan asunnottomuutta ja puututaan siihen yksilökeskeisillä, asuntolähtöisillä ja yhdennetyillä toimintapolitiikoilla. </w:t>
      </w:r>
    </w:p>
    <w:p w14:paraId="6FCAC1FC" w14:textId="77777777" w:rsidR="00533100" w:rsidRPr="00D965A5" w:rsidRDefault="005F4A72" w:rsidP="00FA27F5">
      <w:pPr>
        <w:rPr>
          <w:rFonts w:eastAsia="Arial Unicode MS"/>
          <w:noProof/>
        </w:rPr>
      </w:pPr>
      <w:r w:rsidRPr="00D965A5">
        <w:rPr>
          <w:noProof/>
        </w:rPr>
        <w:lastRenderedPageBreak/>
        <w:t xml:space="preserve">Poliittisissa suuntaviivoissa 2024–2029 ilmoitetulla </w:t>
      </w:r>
      <w:r w:rsidRPr="00D965A5">
        <w:rPr>
          <w:b/>
          <w:noProof/>
        </w:rPr>
        <w:t>ensimmäisellä EU:n köyhyydentorjuntastrategialla</w:t>
      </w:r>
      <w:r w:rsidRPr="00D965A5">
        <w:rPr>
          <w:noProof/>
        </w:rPr>
        <w:t xml:space="preserve"> </w:t>
      </w:r>
      <w:r w:rsidRPr="00D965A5">
        <w:rPr>
          <w:b/>
          <w:noProof/>
        </w:rPr>
        <w:t>pyritään poistamaan köyhyys vuoteen 2050 mennessä</w:t>
      </w:r>
      <w:r w:rsidRPr="00D965A5">
        <w:rPr>
          <w:noProof/>
        </w:rPr>
        <w:t xml:space="preserve"> ja tuetaan jäsenvaltioita, jotta ”ihmisiä autetaan saamaan tarvitsemansa keskeiset suojelutoimet ja palvelut ja puututaan köyhyyden perimmäisiin syihin”. Ehdotus neuvoston suositukseksi hyväksytään yhdessä </w:t>
      </w:r>
      <w:r w:rsidRPr="00D965A5">
        <w:rPr>
          <w:b/>
          <w:noProof/>
        </w:rPr>
        <w:t>EU:n köyhyydentorjuntastrategian</w:t>
      </w:r>
      <w:r w:rsidRPr="00D965A5">
        <w:rPr>
          <w:noProof/>
        </w:rPr>
        <w:t xml:space="preserve"> kanssa, ja se on erottamaton osa köyhyyden ehkäisemiseen ja torjumiseen liittyviä komission toimia. EU:n köyhyydentorjuntastrategian osana vahvistetulla eurooppalaisella lapsitakuulla puututaan erityisesti lapsiköyhyyden torjunnan puutteisiin ja varmistetaan, että avun tarpeessa olevat lapset voivat saada kehityksensä tueksi välttämättömät palvelut – myös asianmukaisen asunnon.</w:t>
      </w:r>
    </w:p>
    <w:p w14:paraId="5080CA0C" w14:textId="77777777" w:rsidR="00585711" w:rsidRPr="00D965A5" w:rsidRDefault="008F4F37" w:rsidP="0042488C">
      <w:pPr>
        <w:pStyle w:val="Text1"/>
        <w:ind w:left="0"/>
        <w:rPr>
          <w:noProof/>
        </w:rPr>
      </w:pPr>
      <w:r w:rsidRPr="00D965A5">
        <w:rPr>
          <w:noProof/>
        </w:rPr>
        <w:t xml:space="preserve">Tällä ehdotuksella neuvoston suositukseksi pyritään </w:t>
      </w:r>
      <w:r w:rsidRPr="00D965A5">
        <w:rPr>
          <w:b/>
          <w:noProof/>
        </w:rPr>
        <w:t>ehkäisemään ja torjumaan</w:t>
      </w:r>
      <w:r w:rsidRPr="00D965A5">
        <w:rPr>
          <w:noProof/>
        </w:rPr>
        <w:t xml:space="preserve"> </w:t>
      </w:r>
      <w:r w:rsidRPr="00D965A5">
        <w:rPr>
          <w:b/>
          <w:noProof/>
        </w:rPr>
        <w:t>asuntomarkkinoilta syrjäytymistä ja asunnottomuutta</w:t>
      </w:r>
      <w:r w:rsidRPr="00D965A5">
        <w:rPr>
          <w:noProof/>
        </w:rPr>
        <w:t xml:space="preserve"> Se toimii välineenä, jolla </w:t>
      </w:r>
      <w:r w:rsidRPr="00D965A5">
        <w:rPr>
          <w:b/>
          <w:noProof/>
        </w:rPr>
        <w:t>tuetaan jäsenvaltioita, alueita ja kuntia</w:t>
      </w:r>
      <w:r w:rsidRPr="00D965A5">
        <w:rPr>
          <w:noProof/>
        </w:rPr>
        <w:t xml:space="preserve"> kattavien, yksilökeskeisten, asuntolähtöisten ja yhdennettyjen strategisten toimintapoliittisten kehysten tarkastelussa, suunnittelussa ja täytäntöönpanossa asuntomarkkinoilta syrjäytymisen ja asunnottomuuden estämiseksi ja vähentämiseksi niin kaupunki- kuin maaseutualueilla. Maaseutualueilla ja syrjäisillä alueilla on erityisiä haasteita kohtuuhintaisten asuntojen saatavuuden ja kiinteistöjen vähäisen arvon takia, jolloin ylläpitoon ja investointeihin liittyvät kannustimet voivat jäädä vähäisemmiksi, kiinteistöjä saatetaan jättää tyhjilleen, asuntokanta voi heikentyä ja asunnoista muutetaan pois. Lisäksi maaseudun asunnot ovat usein vanhempia ja energiatehottomampia, mikä lisää kunnostustarpeita ja asukkaille aiheutuvat kustannuksia sekä aiheuttaa energiaköyhyyttä. Jotkin jäsenvaltiot ovat hiljattain kehittäneet tai vahvistaneet strategisia toimintapoliittisia kehyksiään, mutta menetelmissä, hallintorakenteissa ja tuloksissa on silti huomattavia eroja, mikä osoittaa, että tarvitaan ohjeistusta toimiviksi todetuista, näyttöön perustuvista poliittisista toimista. Politiikan tavoitteena on tukea haavoittuvassa asemassa olevia henkilöitä, jotka elävät epävarmoissa asuinoloissa tai joihin kohdistuu sellainen vaara, sekä torjua asunnottomuutta ja puuttua siihen. </w:t>
      </w:r>
    </w:p>
    <w:p w14:paraId="77D3FE9B" w14:textId="77777777" w:rsidR="00CB5EEE" w:rsidRPr="00D965A5" w:rsidRDefault="00327BDF" w:rsidP="002233E1">
      <w:pPr>
        <w:rPr>
          <w:noProof/>
        </w:rPr>
      </w:pPr>
      <w:r w:rsidRPr="00D965A5">
        <w:rPr>
          <w:b/>
          <w:noProof/>
        </w:rPr>
        <w:t>Asuntomarkkinoilta syrjäytymisellä</w:t>
      </w:r>
      <w:r w:rsidRPr="00D965A5">
        <w:rPr>
          <w:noProof/>
        </w:rPr>
        <w:t xml:space="preserve"> tarkoitetaan, että henkilöllö tai kotitaloudella ei ole mahdollisuutta saada kunnollista, pysyvää asuntoa tai asua pysyvästi asunnossa, joka on peruslaatua, oikeusturvaa</w:t>
      </w:r>
      <w:r w:rsidRPr="00D965A5">
        <w:rPr>
          <w:rStyle w:val="FootnoteReference"/>
          <w:noProof/>
        </w:rPr>
        <w:footnoteReference w:id="1"/>
      </w:r>
      <w:r w:rsidRPr="00D965A5">
        <w:rPr>
          <w:noProof/>
        </w:rPr>
        <w:t xml:space="preserve"> ja kohtuuhintaisuutta koskevien vaatimusten mukainen. Sen näkyvin ja äärimmäisin muoto on asunnottomuus, jolla viitataan niin kadulla asuviin kuin hätä- ja tilapäismajoituksessa oleviin henkilöihin. Asuntomarkkinoilta syrjäytyminen on kuitenkin laajempi käsite, ja sillä viitataan henkilöihin, joilla on katto päänsä päällä mutta jotka elävät epäasianmukaisissa oloissa ja/tai asunnottomuusuhan alla. Asunnottomuusuhasta on kyse, jos henkilöitä uhkaa mielivaltainen häätö, pakkohäätö tai kotiväkivalta tai heillä ei ole pysyviä vuokrasopimuksia. Asuinolot ovat epäasianmukaiset, jos asunto on huono eikä siinä ole perusvarustusta, riippumatta siitä, johtuuko tämä vakavasta korjaustöiden puutteesta, äärimmäisen ahtaista oloista vai epäsopivuudesta henkilölle, jolla on lisätarpeita, kuten ikääntyneelle, vammaiselle tai pitkäaikaishoitoa tarvitsevalle henkilölle. Muita asuntomarkkinoilta syrjäytymisen muotoja voivat olla esimerkiksi opiskelijamajoituksen puutteellinen saatavuus, mikä voi johtaa opinnoista luopumiseen.</w:t>
      </w:r>
    </w:p>
    <w:p w14:paraId="1ADB6EC1" w14:textId="77777777" w:rsidR="003C2783" w:rsidRPr="00D965A5" w:rsidRDefault="008F4F37" w:rsidP="008F4F37">
      <w:pPr>
        <w:rPr>
          <w:noProof/>
        </w:rPr>
      </w:pPr>
      <w:r w:rsidRPr="00D965A5">
        <w:rPr>
          <w:b/>
          <w:noProof/>
        </w:rPr>
        <w:t>Asunnottomuus on vakavin köyhyyden ja sosiaalisen syrjäytymisen ilmentymä</w:t>
      </w:r>
      <w:r w:rsidRPr="00D965A5">
        <w:rPr>
          <w:noProof/>
        </w:rPr>
        <w:t xml:space="preserve">. Se lyhentää merkittävästi elinajanodotetta ja heikentää huomattavasti terveyttä, hyvinvointia ja yhteiskunnallista, demokraattista ja työmarkkinoille osallistumista sekä mahdollisuuksia saada keskeisiä taloudellisia palveluja ja sosiaalipalveluja. Se on monimutkainen, kehittyvä </w:t>
      </w:r>
      <w:r w:rsidRPr="00D965A5">
        <w:rPr>
          <w:noProof/>
        </w:rPr>
        <w:lastRenderedPageBreak/>
        <w:t>sosiaalinen haaste, joka johtuu rakenteellisista tekijöistä, kuten köyhyydestä, työttömyydestä, asumisesta syrjäisellä alueella, sosiaaliperusteisten ja kohtuuhintaisten asuntojen rajallisesta saatavuudesta ja riittämättömästä sosiaaliturvasta. Henkilökohtaiset olosuhteet, kuten riippuvuus, mielenterveysongelmat, heikko fyysinen terveys, perheen hajoaminen tai perheväkivalta, voivat lisätä haavoittuvuutta tai toimia laukaisevina tekijöinä. Kadulla asuminen (</w:t>
      </w:r>
      <w:r w:rsidRPr="00D965A5">
        <w:rPr>
          <w:b/>
          <w:noProof/>
        </w:rPr>
        <w:t>katuasunnottomuus</w:t>
      </w:r>
      <w:r w:rsidRPr="00D965A5">
        <w:rPr>
          <w:noProof/>
        </w:rPr>
        <w:t xml:space="preserve">) on asunnottomuuden näkyvin muoto, mutta on olemassa myös näkymättömämpiä muotoja, kuten </w:t>
      </w:r>
      <w:r w:rsidRPr="00D965A5">
        <w:rPr>
          <w:b/>
          <w:noProof/>
        </w:rPr>
        <w:t>kodittomuutta</w:t>
      </w:r>
      <w:r w:rsidRPr="00D965A5">
        <w:rPr>
          <w:noProof/>
        </w:rPr>
        <w:t>, jolloin henkilöt asuvat ensisuojissa tai tilapäismajoituksessa.</w:t>
      </w:r>
      <w:r w:rsidRPr="00D965A5">
        <w:rPr>
          <w:rStyle w:val="FootnoteReference"/>
          <w:noProof/>
        </w:rPr>
        <w:footnoteReference w:id="2"/>
      </w:r>
      <w:r w:rsidRPr="00D965A5">
        <w:rPr>
          <w:noProof/>
        </w:rPr>
        <w:t xml:space="preserve"> </w:t>
      </w:r>
    </w:p>
    <w:p w14:paraId="6F34B20F" w14:textId="77777777" w:rsidR="003F4066" w:rsidRPr="00D965A5" w:rsidRDefault="000B69AA" w:rsidP="003F4066">
      <w:pPr>
        <w:rPr>
          <w:noProof/>
        </w:rPr>
      </w:pPr>
      <w:r w:rsidRPr="00D965A5">
        <w:rPr>
          <w:noProof/>
        </w:rPr>
        <w:t xml:space="preserve">Erot asunnottomuuden oikeudellisissa ja tilastollisissa määritelmissä sekä jäsenvaltioiden erilaiset seurannan lajit ja menetelmät tekevät asunnottomuutta koskevien yhdenmukaisten, luotettavien ja vertailukelpoisten tietojen tuottamisen haasteelliseksi koko EU:n tasolla. Saatavilla olevien kansallisten tietojen mukaan asunnottomuus on kasvussa useissa jäsenvaltioissa, ja OECD:n arvion mukaan </w:t>
      </w:r>
      <w:r w:rsidRPr="00D965A5">
        <w:rPr>
          <w:b/>
          <w:noProof/>
        </w:rPr>
        <w:t>EU:ssa on noin miljoona asunnotonta</w:t>
      </w:r>
      <w:r w:rsidRPr="00D965A5">
        <w:rPr>
          <w:noProof/>
        </w:rPr>
        <w:t>.</w:t>
      </w:r>
      <w:r w:rsidRPr="00D965A5">
        <w:rPr>
          <w:b/>
          <w:noProof/>
        </w:rPr>
        <w:t xml:space="preserve"> </w:t>
      </w:r>
      <w:r w:rsidRPr="00D965A5">
        <w:rPr>
          <w:noProof/>
        </w:rPr>
        <w:t xml:space="preserve">Asuntomarkkinoilta syrjäytyneiden tai asunnottomien sosiodemografiset ominaisuudet vaihtelevat kansallisten, alueellisten ja paikallisten olosuhteiden mukaan. </w:t>
      </w:r>
      <w:r w:rsidRPr="00D965A5">
        <w:rPr>
          <w:b/>
          <w:noProof/>
        </w:rPr>
        <w:t>OECD:n tiedot</w:t>
      </w:r>
      <w:r w:rsidRPr="00D965A5">
        <w:rPr>
          <w:rStyle w:val="FootnoteReference"/>
          <w:noProof/>
        </w:rPr>
        <w:footnoteReference w:id="3"/>
      </w:r>
      <w:r w:rsidRPr="00D965A5">
        <w:rPr>
          <w:noProof/>
        </w:rPr>
        <w:t xml:space="preserve"> osoittavat kuitenkin, että asunnottomuutta on suhteettoman paljon tiettyjen väestöryhmien, kuten </w:t>
      </w:r>
      <w:r w:rsidRPr="00D965A5">
        <w:rPr>
          <w:b/>
          <w:noProof/>
        </w:rPr>
        <w:t>nuorten, lapsiperheiden, maahanmuuttajien sekä ikääntyneiden ja vammaisten henkilöiden</w:t>
      </w:r>
      <w:r w:rsidRPr="00D965A5">
        <w:rPr>
          <w:noProof/>
        </w:rPr>
        <w:t>, keskuudessa.</w:t>
      </w:r>
    </w:p>
    <w:p w14:paraId="539FE262" w14:textId="77777777" w:rsidR="00604D02" w:rsidRPr="00D965A5" w:rsidRDefault="003A7975" w:rsidP="008F4F37">
      <w:pPr>
        <w:rPr>
          <w:b/>
          <w:noProof/>
        </w:rPr>
      </w:pPr>
      <w:r w:rsidRPr="00D965A5">
        <w:rPr>
          <w:noProof/>
        </w:rPr>
        <w:t>Vuoden</w:t>
      </w:r>
      <w:r w:rsidRPr="00D965A5">
        <w:rPr>
          <w:b/>
          <w:noProof/>
        </w:rPr>
        <w:t xml:space="preserve"> 2023 EU-SILC-tilastojen</w:t>
      </w:r>
      <w:r w:rsidRPr="00D965A5">
        <w:rPr>
          <w:rStyle w:val="FootnoteReference"/>
          <w:b/>
          <w:bCs/>
          <w:noProof/>
        </w:rPr>
        <w:footnoteReference w:id="4"/>
      </w:r>
      <w:r w:rsidRPr="00D965A5">
        <w:rPr>
          <w:b/>
          <w:noProof/>
        </w:rPr>
        <w:t xml:space="preserve"> moduulin ”Intergenerational transmission of advantages and disadvantages and housing difficulties” (sukupolvelta toiselle siirtyvä hyväosaisuus ja huono-osaisuus sekä asumiseen liittyvät ongelmat)</w:t>
      </w:r>
      <w:r w:rsidRPr="00D965A5">
        <w:rPr>
          <w:rStyle w:val="FootnoteReference"/>
          <w:noProof/>
        </w:rPr>
        <w:footnoteReference w:id="5"/>
      </w:r>
      <w:r w:rsidRPr="00D965A5">
        <w:rPr>
          <w:noProof/>
        </w:rPr>
        <w:t xml:space="preserve"> mukaan noin 5 prosenttia aikuisista EU:ssa kokee jossakin elämänsä vaiheessa asumiseen liittyviä vaikeuksia, mukaan lukien kadulla, hätämajoituksessa tai muussa kuin perinteisessä asumismuodossa asuminen tai tilapäinen oleskelu perheen tai ystävien luona vaihtoehtojen puuttumisen vuoksi. Kaikkien köyhyyden tai sosiaalisen syrjäytymisen vaarassa olevien ja asumisvaikeuksista kärsivien kotitalouksien osuus on yli kaksinkertainen verrattuna riskittömien kotitalouksien osuuteen (8,5 % verrattuna 3,9 %:iin). Kotitalouksilla, joissa on huollettavana olevia lapsia (18,1 %), on todennäköisemmin vaikeuksia vuokrata asunto kuin kotitalouksilla, joissa ei ole lapsia (10,2 %). Asumisvaikeuksien tärkeimpiä syitä ovat perheeseen liittyvät ja henkilökohtaiset ongelmat (30 %), taloudelliset vaikeudet (25,9 %), työpaikan menetys tai vaikeudet löytää työpaikka (7,3 %), vuokrasopimuksen päättyminen (5,2 %) sekä parisuhde- tai perheasiat (14,1 %). Terveysongelmat vaikuttavat asumisvaikeuksiin 1,1 prosentissa tapauksista. Asumisvaikeudet ovat ratkenneet 26,5 prosentissa tapauksista työllistymisen myötä, 20,4 prosentissa tapauksista muutolla sosiaaliperusteiseen tai tuettuun yksityiseen asuntoon ja 14,1 prosentissa tapauksista ihmissuhdeverkoston tai perheen avulla. </w:t>
      </w:r>
    </w:p>
    <w:p w14:paraId="37BCAA09" w14:textId="77777777" w:rsidR="00CB1B6A" w:rsidRPr="00D965A5" w:rsidRDefault="001D4FFE" w:rsidP="008820B1">
      <w:pPr>
        <w:rPr>
          <w:noProof/>
        </w:rPr>
      </w:pPr>
      <w:r w:rsidRPr="00D965A5">
        <w:rPr>
          <w:noProof/>
        </w:rPr>
        <w:t xml:space="preserve">Asunnottomuus on myös </w:t>
      </w:r>
      <w:r w:rsidRPr="00D965A5">
        <w:rPr>
          <w:b/>
          <w:noProof/>
        </w:rPr>
        <w:t>merkittävä systeeminen haaste, jolla on huomattavia finanssipoliittisia ja sosiaalisia vaikutuksia</w:t>
      </w:r>
      <w:r w:rsidRPr="00D965A5">
        <w:rPr>
          <w:noProof/>
        </w:rPr>
        <w:t xml:space="preserve"> jäsenvaltioihin. Käytännöt, joissa suositaan reagointia ja kriisikeskeisiä toimia, kuten ensihoitoa, tilapäisiä suojia ja rikosoikeudellista </w:t>
      </w:r>
      <w:r w:rsidRPr="00D965A5">
        <w:rPr>
          <w:noProof/>
        </w:rPr>
        <w:lastRenderedPageBreak/>
        <w:t xml:space="preserve">valvontaa, johtavat toisiaan seuraaviin kalliisiin palveluihin, joissa ei puututa asunnottomuuden taustalla oleviin syihin. Valtioiden talousarvioihin kohdistuvien välittömien vaikutusten lisäksi aiheutuu laajempia yhteiskunnallisia kustannuksia, kuten inhimillisen potentiaalin ja yhteisön yhteenkuuluvuuden heikkeneminen, koska asuntomarkkinoilta syrjäytyminen haittaa taloudellista osallistumista ja pitää yllä sukupolvien välisen eriarvoisuuden kierteitä. </w:t>
      </w:r>
    </w:p>
    <w:p w14:paraId="5BD3EC57" w14:textId="77777777" w:rsidR="00EB1FE2" w:rsidRPr="00D965A5" w:rsidRDefault="008263D9" w:rsidP="00AB5546">
      <w:pPr>
        <w:rPr>
          <w:rFonts w:eastAsia="Calibri"/>
          <w:noProof/>
        </w:rPr>
      </w:pPr>
      <w:r w:rsidRPr="00D965A5">
        <w:rPr>
          <w:b/>
          <w:noProof/>
        </w:rPr>
        <w:t>Siksi asuntomarkkinoilta syrjäytymisen ja asunnottomuuden torjumiseksi tarvitaan strategista siirtymistä hätätilanteiden hallinnasta henkilökeskeisiin, asuntolähtöisiin ja yhdennettyihin toimintapolitiikkoihin</w:t>
      </w:r>
      <w:r w:rsidRPr="00D965A5">
        <w:rPr>
          <w:noProof/>
        </w:rPr>
        <w:t xml:space="preserve">. </w:t>
      </w:r>
      <w:bookmarkStart w:id="1" w:name="_Hlk220762610"/>
      <w:r w:rsidRPr="00D965A5">
        <w:rPr>
          <w:b/>
          <w:noProof/>
        </w:rPr>
        <w:t>Henkilökeskeisissä toimintapolitiikoissa</w:t>
      </w:r>
      <w:r w:rsidRPr="00D965A5">
        <w:rPr>
          <w:noProof/>
        </w:rPr>
        <w:t xml:space="preserve"> keskitytään vastaamaan epävarmoissa asuinoloissa asuvien henkilöiden ja kotitalouksien – jotka kohtaavat asuntomarkkinoilta syrjäytymistä tai asunnottomuutta tai ovat niiden vaarassa – erityisiin haasteisiin. </w:t>
      </w:r>
      <w:bookmarkEnd w:id="1"/>
      <w:r w:rsidRPr="00D965A5">
        <w:rPr>
          <w:b/>
          <w:noProof/>
        </w:rPr>
        <w:t>Asuntolähtöisillä lähestymistavoilla</w:t>
      </w:r>
      <w:r w:rsidRPr="00D965A5">
        <w:rPr>
          <w:noProof/>
        </w:rPr>
        <w:t xml:space="preserve">, kuten asunto ensin ‑periaatteella, puolestaan autetaan epävarmoissa asuinoloissa asuvia henkilöitä säilyttämään asuinpaikkansa ja pyritään mahdollisimman nopeasti tarjoamaan asuntomarkkinoilta syrjäytyneille ja erityisesti asunnottomille vakaa asumisratkaisu yhdistettynä </w:t>
      </w:r>
      <w:r w:rsidRPr="00D965A5">
        <w:rPr>
          <w:b/>
          <w:noProof/>
        </w:rPr>
        <w:t>yhdennettyihin tukipalveluihin</w:t>
      </w:r>
      <w:r w:rsidRPr="00D965A5">
        <w:rPr>
          <w:noProof/>
        </w:rPr>
        <w:t xml:space="preserve">. Näytön perusteella nämä ovat vaikuttavimpia ja kustannustehokkaimpia toimintapolitiikkoja asunnottomuuden vähentämiseksi. </w:t>
      </w:r>
    </w:p>
    <w:p w14:paraId="6C1EB3F9" w14:textId="77777777" w:rsidR="00AB5546" w:rsidRPr="00D965A5" w:rsidRDefault="006571EC" w:rsidP="00AB5546">
      <w:pPr>
        <w:rPr>
          <w:noProof/>
        </w:rPr>
      </w:pPr>
      <w:r w:rsidRPr="00D965A5">
        <w:rPr>
          <w:noProof/>
        </w:rPr>
        <w:t xml:space="preserve">Asuntolähtöisten toimintamallien toteuttaminen voi vaikeutua kohtuuhintaisten asuntojen puutteen takia. Vaikka kohtuuhintaisten asuntojen suurempi tarjonta on keskipitkän ja pitkän aikavälin tavoite, lyhyen aikavälin parannuksia voitaisiin toteuttaa kohdentamalla sosiaalista ja julkista asuntotarjontaa tarkemmin ja tukemalla asunnottomia pääsemään vuokra-asuntomarkkinoiden olemassa oleviin ja vapaisiin asuntoihin kodinhaussa avustamisella, vuokratakuilla tai ‑tuilla ja taloudellisella tuella takuuvuokrien maksamiseksi. Samalla varmistettaisiin asianmukaiset takeet ja kannustimet asunnonomistajille ja vuokranantajille. Kohtuuhintaisten asuntojen tarjonnan kasvattaminen on haaste, johon useiden sidosryhmien on osallistuttava prosessin eri vaiheissa, alkaen sellaisten erityisten asuntopoliittisten toimenpiteiden suunnittelusta, joilla lisätään sosiaalista ja kohtuuhintaista asuntotarjontaa kannustaen samalla myös yksityisiin investointeihin. Asuntotarjonta on integroitava sosiaalisiin tukitoimiin, asumisapuun, terveydenhuollon ja pitkäaikaishoidon palveluihin, työmarkkinoille integroitumisen palveluihin ja muihin peruspalveluihin, jotta voidaan vastata asuntomarkkinoilta syrjäytymiseen ja asunnottomuuteen liittyviin moninaisiin haasteisiin. </w:t>
      </w:r>
    </w:p>
    <w:p w14:paraId="70EB46A6" w14:textId="77777777" w:rsidR="002224A1" w:rsidRPr="00D965A5" w:rsidRDefault="002224A1" w:rsidP="00ED7527">
      <w:pPr>
        <w:rPr>
          <w:noProof/>
        </w:rPr>
      </w:pPr>
      <w:r w:rsidRPr="00D965A5">
        <w:rPr>
          <w:b/>
          <w:noProof/>
        </w:rPr>
        <w:t>Laadulla on olennaisen tärkeä merkitys asumisen kestävyyden sekä yksilön ihmisarvon ja hyvinvoinnin kannalta</w:t>
      </w:r>
      <w:r w:rsidRPr="00D965A5">
        <w:rPr>
          <w:noProof/>
        </w:rPr>
        <w:t xml:space="preserve">. Kohtuullisia asuntoja koskeviin vähimmäisvaatimuksiin kuuluvat turvallisuusvaatimukset, joilla suojellaan asukkaita vaaroilta, kuten rakenteiden romahtamiselta, tulipalolta, riittämättömältä sanitaatiolta ja ympäristöuhkilta, sekä tarvittaessa esteettömyyttä koskevat mukautukset. Turvallinen asuminen edellyttää riittäviä peruspalveluja (esimerkiksi sähkö, lämmitys ja juokseva vesi) ja toimii suojana sääoloilta, rakenteellisilta ongelmilta ja muilta vaaroilta. Laadukas asuminen merkitsee myös hyvää energiatehokkuutta, millä ehkäistään kotitalouksien energiaköyhyyttä, ja riittävää asuintilaa henkeä kohden ahtaiden olojen välttämiseksi. </w:t>
      </w:r>
    </w:p>
    <w:p w14:paraId="0D023D6D" w14:textId="77777777" w:rsidR="0B2BA4A7" w:rsidRPr="00D965A5" w:rsidRDefault="7190567F" w:rsidP="00ED7527">
      <w:pPr>
        <w:rPr>
          <w:rFonts w:eastAsia="Calibri"/>
          <w:noProof/>
        </w:rPr>
      </w:pPr>
      <w:r w:rsidRPr="00D965A5">
        <w:rPr>
          <w:b/>
          <w:noProof/>
        </w:rPr>
        <w:t>Asunnottomuuden torjumista koskevia strategiakehyksiä</w:t>
      </w:r>
      <w:r w:rsidRPr="00D965A5">
        <w:rPr>
          <w:noProof/>
        </w:rPr>
        <w:t xml:space="preserve"> on tällä hetkellä 19 jäsenvaltiossa joko valtiollisella tai valtiotasoa alemmalla tasolla. Näissä strategioissa etusijalle asetetaan sosiaalinen asuntotuotanto ja kohtuuhintainen asuminen sekä tarjotaan kattavaa tukea asunnottomille. Asunnottomuuden ehkäiseminen ja siirtyminen hätä- ja tilapäismajoituksesta pitkäaikaisiin asumisratkaisuihin, mukaan lukien asunto ensin ‑mallin kaltaisten toimintatapojen kehittäminen tai laajentaminen, ovat toimintapolitiikan ytimessä useissa maissa.</w:t>
      </w:r>
    </w:p>
    <w:p w14:paraId="29FB4076" w14:textId="77777777" w:rsidR="008F4F37" w:rsidRPr="00D965A5" w:rsidRDefault="008F4F37" w:rsidP="00ED7527">
      <w:pPr>
        <w:rPr>
          <w:rFonts w:eastAsia="Calibri"/>
          <w:noProof/>
        </w:rPr>
      </w:pPr>
      <w:r w:rsidRPr="00D965A5">
        <w:rPr>
          <w:b/>
          <w:noProof/>
        </w:rPr>
        <w:lastRenderedPageBreak/>
        <w:t>Asuntomarkkinoilta syrjäytymisen ja asunnottomuuden torjumisen tehokkaissa strategioissa etusijalle on asetettava ehkäiseminen</w:t>
      </w:r>
      <w:r w:rsidRPr="00D965A5">
        <w:rPr>
          <w:noProof/>
        </w:rPr>
        <w:t>, mihin varatut resurssit ovat usein riittämättömät. Vaikka ennaltaehkäisevät toimintamallit ovat reaktiivisia toimintamalleja taloudellisempia, ne jäävät usein nopeiden hätätoimien varjoon. Varhaisen puuttumisen palveluja, kuten vuokrarästien sovittelua, vuokra- tai asuntolainaneuvontaa, vuokralaisten ja vuokranantajien oikeuksia koskevaa oikeudellista tukea, varhaisvaroitusjärjestelmiä ja lyhytaikaista taloudellista tukea, tarjotaan epäyhtenäisesti, ja niitä voi olla vaikeaa saada. Palvelujen parantaminen, räätälöity tuki laitoksista lähteville ja riittävä taloudellinen apu etuuksien käytön lisäämiseksi ovat ratkaisevan tärkeitä asunnottomuuteen johtavan kierteen pysäyttämiseksi.</w:t>
      </w:r>
    </w:p>
    <w:p w14:paraId="26E4BBBF" w14:textId="77777777" w:rsidR="00BD7A63" w:rsidRPr="00D965A5" w:rsidRDefault="007F6B16" w:rsidP="00BD7A63">
      <w:pPr>
        <w:rPr>
          <w:noProof/>
        </w:rPr>
      </w:pPr>
      <w:r w:rsidRPr="00D965A5">
        <w:rPr>
          <w:noProof/>
        </w:rPr>
        <w:t xml:space="preserve">Ennaltaehkäisevillä toimenpiteillä voidaan puuttua myös mielivaltaisiin </w:t>
      </w:r>
      <w:r w:rsidRPr="00D965A5">
        <w:rPr>
          <w:b/>
          <w:noProof/>
        </w:rPr>
        <w:t>häätöihin</w:t>
      </w:r>
      <w:r w:rsidRPr="00D965A5">
        <w:rPr>
          <w:noProof/>
        </w:rPr>
        <w:t xml:space="preserve"> ja pakkohäätöihin. Häädöistä </w:t>
      </w:r>
      <w:r w:rsidRPr="00D965A5">
        <w:rPr>
          <w:noProof/>
          <w:color w:val="000000"/>
        </w:rPr>
        <w:t>on vaikeaa saada kattavia, luotettavia ja vertailukelpoisia tietoja – esimerkiksi häätöilmoitusten, ‑menettelyjen ja ‑määräysten määrästä sekä siitä, kattavatko tiedot kaikki häädöt vai vain lainvalvontaviranomaisten toteuttamat häädöt –, mutta OECD arvioi joka tapauksessa, että OECD-maissa aloitetaan vuosittain vähintään 2,4 miljoonaa virallista häätömenettelyä.</w:t>
      </w:r>
    </w:p>
    <w:p w14:paraId="0A1934E8" w14:textId="77777777" w:rsidR="008D3E29" w:rsidRPr="00D965A5" w:rsidRDefault="005D5924" w:rsidP="00BD7A63">
      <w:pPr>
        <w:rPr>
          <w:rFonts w:eastAsia="Calibri"/>
          <w:noProof/>
        </w:rPr>
      </w:pPr>
      <w:r w:rsidRPr="00D965A5">
        <w:rPr>
          <w:noProof/>
        </w:rPr>
        <w:t xml:space="preserve">Häädön ja asunnottomuuden riskien vähentämiseksi olisi kehitettävä lieventämistoimia ja yhteistyömekanismeja. Euroopan ihmisoikeussopimuksessa ja Euroopan sosiaalisessa peruskirjassa edellytetään, että valtiot takaavat häädetyille oikeussuojan. Tähän kuuluvat osapuolten kuuleminen vaihtoehtoisten ratkaisujen löytämiseksi, maksusuunnitelmien laatiminen vuokran tai asuntolainan maksamisen varmistamiseksi, häädön kohtuullisen varoitusajan ehdottaminen, yöllä tai talvella tapahtuvien häätöjen kieltäminen mahdollisuuksien mukaan, oikeussuojakeinojen tarjoaminen lainvastaisia häätöjä vastaan, avustukset ja korvausten tarjoaminen laittomien häätöjen tapauksessa. Häätötilanteissa on kunnioitettava yksilöiden ihmisarvoa ja oikeuksia, ja häädön yhteydessä olisi huolehdittava vaihtoehtoisesta majoituksesta. </w:t>
      </w:r>
    </w:p>
    <w:p w14:paraId="5C4B72A1" w14:textId="07691E17" w:rsidR="008F4F37" w:rsidRPr="00D965A5" w:rsidRDefault="008F4F37" w:rsidP="00ED7527">
      <w:pPr>
        <w:rPr>
          <w:rFonts w:eastAsia="Calibri"/>
          <w:noProof/>
        </w:rPr>
      </w:pPr>
      <w:r w:rsidRPr="00D965A5">
        <w:rPr>
          <w:b/>
          <w:noProof/>
        </w:rPr>
        <w:t>Asuntomarkkinoilta syrjäytymistä ja asunnottomuutta koskevaan tehokkaaseen strategiaan</w:t>
      </w:r>
      <w:r w:rsidRPr="00D965A5">
        <w:rPr>
          <w:noProof/>
        </w:rPr>
        <w:t xml:space="preserve"> olisi sen vuoksi sisällytettävä entistä laajempi sosiaalinen ja kohtuuhintainen asuntotarjonta vakaiden keskipitkän ja pitkän aikavälin ratkaisujen varmistamiseksi. Strategian olisi myös katettava ennaltaehkäisy ja uuden asunnon löytäminen siten, että epävarmoissa asuinoloissa olevia henkilöitä suojellaan häädöiltä, vuokrarästeihin puututaan varhaisessa vaiheessa muun muassa talous- ja velkaneuvonnan avulla sekä riittävien sosiaali-, työllisyys-, terveydenhuolto- ja hoivapalvelujen saatavuus varmistetaan.</w:t>
      </w:r>
    </w:p>
    <w:p w14:paraId="557979C1" w14:textId="77777777" w:rsidR="00C578AE" w:rsidRPr="00D965A5" w:rsidRDefault="00C578AE">
      <w:pPr>
        <w:pStyle w:val="ManualHeading2"/>
        <w:rPr>
          <w:rFonts w:eastAsia="Arial Unicode MS"/>
          <w:noProof/>
          <w:color w:val="000000"/>
          <w:u w:color="000000"/>
          <w:bdr w:val="nil"/>
        </w:rPr>
      </w:pPr>
      <w:r w:rsidRPr="00D965A5">
        <w:rPr>
          <w:noProof/>
          <w:color w:val="000000"/>
          <w:u w:color="000000"/>
          <w:bdr w:val="nil"/>
        </w:rPr>
        <w:t>•</w:t>
      </w:r>
      <w:r w:rsidRPr="00D965A5">
        <w:rPr>
          <w:noProof/>
        </w:rPr>
        <w:tab/>
        <w:t>Yhdenmukaisuus muiden alaa koskevien politiikkojen säännösten kanssa</w:t>
      </w:r>
    </w:p>
    <w:p w14:paraId="3040D734" w14:textId="77777777" w:rsidR="0051699B" w:rsidRPr="00D965A5" w:rsidRDefault="00AB0D67" w:rsidP="00AB0D67">
      <w:pPr>
        <w:pBdr>
          <w:top w:val="nil"/>
          <w:left w:val="nil"/>
          <w:bottom w:val="nil"/>
          <w:right w:val="nil"/>
          <w:between w:val="nil"/>
          <w:bar w:val="nil"/>
        </w:pBdr>
        <w:spacing w:before="0" w:after="240"/>
        <w:rPr>
          <w:rFonts w:eastAsia="Arial Unicode MS"/>
          <w:noProof/>
        </w:rPr>
      </w:pPr>
      <w:r w:rsidRPr="00D965A5">
        <w:rPr>
          <w:noProof/>
        </w:rPr>
        <w:t xml:space="preserve">Ehdotuksella pannaan osaltaan täytäntöön </w:t>
      </w:r>
      <w:r w:rsidRPr="00D965A5">
        <w:rPr>
          <w:b/>
          <w:noProof/>
        </w:rPr>
        <w:t>Euroopan sosiaalisten oikeuksien pilarin asuntotuotantoa ja asunnottomille annettavaa apua koskeva periaate 19</w:t>
      </w:r>
      <w:r w:rsidRPr="00D965A5">
        <w:rPr>
          <w:noProof/>
        </w:rPr>
        <w:t>.</w:t>
      </w:r>
      <w:r w:rsidRPr="00D965A5">
        <w:rPr>
          <w:b/>
          <w:noProof/>
        </w:rPr>
        <w:t xml:space="preserve"> </w:t>
      </w:r>
      <w:r w:rsidRPr="00D965A5">
        <w:rPr>
          <w:noProof/>
        </w:rPr>
        <w:t xml:space="preserve">Periaatteessa todetaan, että asuntoa tarvitseville on tarjottava sosiaalista vuokra-asuntoa tai laadukasta asumisapua, että haavoittuvassa asemassa olevilla henkilöillä on oikeus suojaan pakkohäätöä vastaan ja että asunnottomille on tarjottava asianmukainen suoja ja riittävät palvelut. </w:t>
      </w:r>
    </w:p>
    <w:p w14:paraId="428CA38F" w14:textId="77777777" w:rsidR="009A2B0D" w:rsidRPr="00D965A5" w:rsidRDefault="00882C93" w:rsidP="00F422C3">
      <w:pPr>
        <w:pBdr>
          <w:top w:val="nil"/>
          <w:left w:val="nil"/>
          <w:bottom w:val="nil"/>
          <w:right w:val="nil"/>
          <w:between w:val="nil"/>
          <w:bar w:val="nil"/>
        </w:pBdr>
        <w:spacing w:before="0" w:after="240"/>
        <w:rPr>
          <w:noProof/>
        </w:rPr>
      </w:pPr>
      <w:r w:rsidRPr="00D965A5">
        <w:rPr>
          <w:noProof/>
        </w:rPr>
        <w:t xml:space="preserve">Tulevasta kohtuuhintaista asumista koskevasta eurooppalaisesta suunnitelmasta 1. joulukuuta 2025 annetuissa puheenjohtajavaltion päätelmissä kehotetaan vahvistamaan EU:n tason yhteistyötä asunnottomuuden vähentämistä käsittelevän eurooppalaisen foorumin ja asuntolähtöisten toimintapolitiikkojen, kuten asunto ensin ‑periaatteen, puitteissa tehdyn työn pohjalta ja niitä edelleen lujittaen. Lisäksi niissä kehotetaan komissiota punnitsemaan, voisiko neuvoston suosituksesta olla tässä hyötyä. Euroopan komissio käynnisti joulukuussa 2025 </w:t>
      </w:r>
      <w:r w:rsidRPr="00D965A5">
        <w:rPr>
          <w:b/>
          <w:noProof/>
        </w:rPr>
        <w:t>kohtuuhintaista asumista koskevan eurooppalaisen suunnitelman</w:t>
      </w:r>
      <w:r w:rsidRPr="00D965A5">
        <w:rPr>
          <w:noProof/>
        </w:rPr>
        <w:t xml:space="preserve">, joka on ensimmäinen EU:n tason kehys asuntokriisin ratkaisemiseksi. Suunnitelma koostuu neljästä pilarista, jotka </w:t>
      </w:r>
      <w:r w:rsidRPr="00D965A5">
        <w:rPr>
          <w:noProof/>
        </w:rPr>
        <w:lastRenderedPageBreak/>
        <w:t xml:space="preserve">ovat i) asuntotarjonnan lisääminen, ii) investointien mobilisointi, iii) välittömän tuen tarjoaminen ja uudistusten edistäminen sekä iv) suoja asuntomarkkinoilta eniten syrjäytyneille. Suunnitelman toimenpiteen 10 keskiössä ovat asunnottomuuteen puuttuminen ja haavoittuvassa asemassa olevien vuokralaisten ja kotitalouksien tukeminen. Toimenpiteessä ehdotetaan neuvoston suositusta asuntomarkkinoilta syrjäytymisen torjumisesta, jotta voidaan tukea haavoittuvassa asemassa olevia ja epävarmoissa asuinoloissa eläviä henkilöitä, ehkäistä asunnottomuutta ja puuttua siihen.  </w:t>
      </w:r>
    </w:p>
    <w:p w14:paraId="286B6B3C" w14:textId="77777777" w:rsidR="00AB0D67" w:rsidRPr="00D965A5" w:rsidRDefault="00A667D7" w:rsidP="00ED7527">
      <w:pPr>
        <w:rPr>
          <w:rFonts w:eastAsia="Calibri"/>
          <w:noProof/>
        </w:rPr>
      </w:pPr>
      <w:r w:rsidRPr="00D965A5">
        <w:rPr>
          <w:b/>
          <w:noProof/>
        </w:rPr>
        <w:t>Asunnottomuuden vähentämistä käsittelevää eurooppalaista foorumia koskevalla Lissabonin julistuksella</w:t>
      </w:r>
      <w:r w:rsidRPr="00D965A5">
        <w:rPr>
          <w:noProof/>
        </w:rPr>
        <w:t xml:space="preserve"> käynnistettiin </w:t>
      </w:r>
      <w:r w:rsidRPr="00D965A5">
        <w:rPr>
          <w:b/>
          <w:noProof/>
        </w:rPr>
        <w:t>asunnottomuuden vähentämistä käsittelevä eurooppalainen foorumi</w:t>
      </w:r>
      <w:r w:rsidRPr="00D965A5">
        <w:rPr>
          <w:noProof/>
        </w:rPr>
        <w:t>, jonka tavoitteena on edistää i) vertailukelpoisia, luotettavia tietoja ja seurantaa, ii) tietojen vaihtoa, iii) rahoituksen saannin parantamista sekä iv) asuntomarkkinoilta syrjäytymisen ja asunnottomuuden kysymysten valtavirtaistamista kaikissa asiaankuuluvissa unionin politiikoissa. Ehdotus perustuu tähän mennessä tehtyyn työhön ja foorumin kautta saatuun kokemukseen.</w:t>
      </w:r>
    </w:p>
    <w:p w14:paraId="3BFD9ECF" w14:textId="77777777" w:rsidR="004843BA" w:rsidRPr="00D965A5" w:rsidRDefault="00AB0D67" w:rsidP="004843BA">
      <w:pPr>
        <w:pStyle w:val="Text1"/>
        <w:ind w:left="0"/>
        <w:rPr>
          <w:noProof/>
        </w:rPr>
      </w:pPr>
      <w:r w:rsidRPr="00D965A5">
        <w:rPr>
          <w:noProof/>
        </w:rPr>
        <w:t xml:space="preserve">Komissio on lisännyt merkittävästi panostaan asuntopolitiikkaan ja kunnioittaa toisaalta kaikilta osin jäsenvaltioiden toimivaltaa alalla. Suurin osa asumisasioita koskevasta toimivallasta kuuluu kansallisille, alueellisille ja paikallisille viranomaisille, mutta tilanne on muuttunut paikallisista, kiinteistöihin liittyvistä kysymyksistä systeemiseksi </w:t>
      </w:r>
      <w:r w:rsidRPr="00D965A5">
        <w:rPr>
          <w:b/>
          <w:noProof/>
        </w:rPr>
        <w:t>asuntokriisiksi</w:t>
      </w:r>
      <w:r w:rsidRPr="00D965A5">
        <w:rPr>
          <w:noProof/>
        </w:rPr>
        <w:t xml:space="preserve">. </w:t>
      </w:r>
      <w:r w:rsidRPr="00D965A5">
        <w:rPr>
          <w:b/>
          <w:noProof/>
        </w:rPr>
        <w:t>Riittävästä vähimmäistoimeentulosta aktiivisen osallisuuden varmistamiseksi</w:t>
      </w:r>
      <w:r w:rsidRPr="00D965A5">
        <w:rPr>
          <w:noProof/>
        </w:rPr>
        <w:t xml:space="preserve"> vuonna 2023</w:t>
      </w:r>
      <w:r w:rsidRPr="00D965A5">
        <w:rPr>
          <w:b/>
          <w:noProof/>
        </w:rPr>
        <w:t>annetussa neuvoston suosituksessa</w:t>
      </w:r>
      <w:r w:rsidRPr="00D965A5">
        <w:rPr>
          <w:noProof/>
        </w:rPr>
        <w:t xml:space="preserve"> asunnon saantia pidetään yhtenä yhteiskuntaan osallistumisen mahdollistavista palveluista, joilla voidaan auttaa vähävaraisia henkilöitä integroitumaan yhteiskuntaan ja tarvittaessa työmarkkinoille sekä saamaan muita mahdollistavia palveluja ja toimeentulotukea.</w:t>
      </w:r>
    </w:p>
    <w:p w14:paraId="0BC24604" w14:textId="77777777" w:rsidR="00C578AE" w:rsidRPr="00D965A5" w:rsidRDefault="00C578AE">
      <w:pPr>
        <w:pStyle w:val="ManualHeading2"/>
        <w:rPr>
          <w:rFonts w:eastAsia="Arial Unicode MS"/>
          <w:noProof/>
        </w:rPr>
      </w:pPr>
      <w:r w:rsidRPr="00D965A5">
        <w:rPr>
          <w:noProof/>
          <w:color w:val="000000"/>
          <w:u w:color="000000"/>
          <w:bdr w:val="nil"/>
        </w:rPr>
        <w:t>•</w:t>
      </w:r>
      <w:r w:rsidRPr="00D965A5">
        <w:rPr>
          <w:noProof/>
        </w:rPr>
        <w:tab/>
        <w:t>Yhdenmukaisuus unionin muiden politiikkojen kanssa</w:t>
      </w:r>
    </w:p>
    <w:p w14:paraId="3704C0A0" w14:textId="77777777" w:rsidR="00C52196" w:rsidRPr="00D965A5" w:rsidRDefault="001C56C6" w:rsidP="00353E62">
      <w:pPr>
        <w:pBdr>
          <w:top w:val="nil"/>
          <w:left w:val="nil"/>
          <w:bottom w:val="nil"/>
          <w:right w:val="nil"/>
          <w:between w:val="nil"/>
          <w:bar w:val="nil"/>
        </w:pBdr>
        <w:spacing w:before="0" w:after="240"/>
        <w:rPr>
          <w:rFonts w:eastAsia="Arial Unicode MS"/>
          <w:noProof/>
        </w:rPr>
      </w:pPr>
      <w:r w:rsidRPr="00D965A5">
        <w:rPr>
          <w:noProof/>
        </w:rPr>
        <w:t xml:space="preserve">Vuonna 2021 hyväksytyn </w:t>
      </w:r>
      <w:r w:rsidRPr="00D965A5">
        <w:rPr>
          <w:b/>
          <w:noProof/>
        </w:rPr>
        <w:t>eurooppalaisen lapsitakuun</w:t>
      </w:r>
      <w:r w:rsidRPr="00D965A5">
        <w:rPr>
          <w:noProof/>
        </w:rPr>
        <w:t xml:space="preserve"> tavoitteena on ehkäistä ja torjua sosiaalista syrjäytymistä suosittelemalla, että jäsenvaltiot takaavat tiettyjen keskeisten palvelujen, muun muassa asianmukaisen asunnon, saannin avun tarpeessa oleville lapsille. Lapsitakuussa suositellaan, että jäsenvaltiot ottavat huomioon asunnottomien tai erittäin puutteellisissa asuinoloissa asuvien lasten erityiset huono-osaisuuden muodot ja varmistavat, että kyseiset lapset ja heidän perheensä saavat asianmukaisen majoituksen ja asiaankuuluvia sosiaali- ja neuvontapalveluita. </w:t>
      </w:r>
    </w:p>
    <w:p w14:paraId="4C5E844E" w14:textId="77777777" w:rsidR="0035599E" w:rsidRPr="00D965A5" w:rsidRDefault="00306004" w:rsidP="00353E62">
      <w:pPr>
        <w:pBdr>
          <w:top w:val="nil"/>
          <w:left w:val="nil"/>
          <w:bottom w:val="nil"/>
          <w:right w:val="nil"/>
          <w:between w:val="nil"/>
          <w:bar w:val="nil"/>
        </w:pBdr>
        <w:spacing w:before="0" w:after="240"/>
        <w:rPr>
          <w:rFonts w:eastAsia="Arial Unicode MS"/>
          <w:noProof/>
        </w:rPr>
      </w:pPr>
      <w:r w:rsidRPr="00D965A5">
        <w:rPr>
          <w:b/>
          <w:noProof/>
        </w:rPr>
        <w:t>Kohtuuhintaisen ja laadukkaan pitkäaikaishoidon saatavuudesta annetussa neuvoston suosituksessa</w:t>
      </w:r>
      <w:r w:rsidRPr="00D965A5">
        <w:rPr>
          <w:noProof/>
        </w:rPr>
        <w:t xml:space="preserve"> kehotetaan, että jäsenvaltiot laajentaisivat virallisia pitkäaikaishoitopalveluja, erityisesti kotihoitopalveluja ja yhteisöpohjaista hoitoa. Yksilön muuttuviin hoitotarpeisiin mukautettu asuminen on ikääntymisen yhteydessä perusedellytys, joka mahdollistaa kotihoidon tarjoamisen.</w:t>
      </w:r>
    </w:p>
    <w:p w14:paraId="6106776E" w14:textId="77777777" w:rsidR="0022205D" w:rsidRPr="00D965A5" w:rsidRDefault="0022205D" w:rsidP="00353E62">
      <w:pPr>
        <w:pBdr>
          <w:top w:val="nil"/>
          <w:left w:val="nil"/>
          <w:bottom w:val="nil"/>
          <w:right w:val="nil"/>
          <w:between w:val="nil"/>
          <w:bar w:val="nil"/>
        </w:pBdr>
        <w:spacing w:before="0" w:after="240"/>
        <w:rPr>
          <w:noProof/>
        </w:rPr>
      </w:pPr>
      <w:r w:rsidRPr="00D965A5">
        <w:rPr>
          <w:noProof/>
        </w:rPr>
        <w:t xml:space="preserve">Vuonna 2021 annetun </w:t>
      </w:r>
      <w:r w:rsidRPr="00D965A5">
        <w:rPr>
          <w:b/>
          <w:noProof/>
        </w:rPr>
        <w:t>yhteisötalouden toimintasuunnitelman</w:t>
      </w:r>
      <w:r w:rsidRPr="00D965A5">
        <w:rPr>
          <w:noProof/>
        </w:rPr>
        <w:t xml:space="preserve"> ja siihen liittyvän </w:t>
      </w:r>
      <w:r w:rsidRPr="00D965A5">
        <w:rPr>
          <w:b/>
          <w:noProof/>
        </w:rPr>
        <w:t>yhteisötalouden toimintaedellytysten kehittämisestä</w:t>
      </w:r>
      <w:r w:rsidRPr="00D965A5">
        <w:rPr>
          <w:noProof/>
        </w:rPr>
        <w:t xml:space="preserve"> vuonna 2023 </w:t>
      </w:r>
      <w:r w:rsidRPr="00D965A5">
        <w:rPr>
          <w:b/>
          <w:noProof/>
        </w:rPr>
        <w:t>annetun</w:t>
      </w:r>
      <w:r w:rsidRPr="00D965A5">
        <w:rPr>
          <w:noProof/>
        </w:rPr>
        <w:t xml:space="preserve"> </w:t>
      </w:r>
      <w:r w:rsidRPr="00D965A5">
        <w:rPr>
          <w:b/>
          <w:noProof/>
        </w:rPr>
        <w:t>neuvoston suosituksen</w:t>
      </w:r>
      <w:r w:rsidRPr="00D965A5">
        <w:rPr>
          <w:noProof/>
        </w:rPr>
        <w:t xml:space="preserve"> tavoitteena on yhteisötalouden toimijoiden toimintaedellytysten parantaminen kaikkialla Euroopassa. Monet yhteisötalouden toimijat pyrkivät edistämään syrjäytyneiden ja heikommassa asemassa olevien sosiaalista osallisuutta muun muassa integroimalla heitä työmarkkinoille ja tarjoamalla heille kohtuuhintaisia tai osallistavia asumismahdollisuuksia sekä muita asiaankuuluvia sosiaalipalveluja (kuten oikeudellista ja käytännön tukea vuokralaisille). </w:t>
      </w:r>
    </w:p>
    <w:p w14:paraId="5020A1A8" w14:textId="77777777" w:rsidR="00EF2059" w:rsidRPr="00D965A5" w:rsidRDefault="00E56715" w:rsidP="00BB5BCC">
      <w:pPr>
        <w:pBdr>
          <w:top w:val="nil"/>
          <w:left w:val="nil"/>
          <w:bottom w:val="nil"/>
          <w:right w:val="nil"/>
          <w:between w:val="nil"/>
          <w:bar w:val="nil"/>
        </w:pBdr>
        <w:spacing w:before="0" w:after="240"/>
        <w:rPr>
          <w:noProof/>
        </w:rPr>
      </w:pPr>
      <w:r w:rsidRPr="00D965A5">
        <w:rPr>
          <w:b/>
          <w:noProof/>
        </w:rPr>
        <w:t>Sukupolvien välisen oikeudenmukaisuuden strategiassa</w:t>
      </w:r>
      <w:r w:rsidRPr="00D965A5">
        <w:rPr>
          <w:noProof/>
        </w:rPr>
        <w:t xml:space="preserve"> todetaan, että kohtuuhintaisen, kestävän asumisen, laadukkaiden julkisten palvelujen – mukaan lukien sosiaali- ja </w:t>
      </w:r>
      <w:r w:rsidRPr="00D965A5">
        <w:rPr>
          <w:noProof/>
        </w:rPr>
        <w:lastRenderedPageBreak/>
        <w:t xml:space="preserve">hoivapalvelut –, liikenteen, digitaalisten yhteyksien, sosiaalisen infrastruktuurin ja vapaa-ajan palvelujen saatavuus on ratkaisevaa sen kannalta, voivatko ihmiset jäädä yhteisöihinsä, palata niihin tai rakentaa tulevaisuuttaan niissä. </w:t>
      </w:r>
    </w:p>
    <w:p w14:paraId="0EE69D0D" w14:textId="77777777" w:rsidR="00504CF8" w:rsidRPr="00D965A5" w:rsidRDefault="0078108A" w:rsidP="00504CF8">
      <w:pPr>
        <w:pBdr>
          <w:top w:val="nil"/>
          <w:left w:val="nil"/>
          <w:bottom w:val="nil"/>
          <w:right w:val="nil"/>
          <w:between w:val="nil"/>
          <w:bar w:val="nil"/>
        </w:pBdr>
        <w:spacing w:before="0" w:after="240"/>
        <w:rPr>
          <w:rFonts w:eastAsia="Arial Unicode MS"/>
          <w:noProof/>
        </w:rPr>
      </w:pPr>
      <w:r w:rsidRPr="00D965A5">
        <w:rPr>
          <w:b/>
          <w:noProof/>
        </w:rPr>
        <w:t>Kokonaisvaltaisesta lähestymistavasta mielenterveyteen vuonna 2023 annetussa komission tiedonannossa</w:t>
      </w:r>
      <w:r w:rsidRPr="00D965A5">
        <w:rPr>
          <w:noProof/>
        </w:rPr>
        <w:t xml:space="preserve"> tunnistetaan asunnottomat haavoittuvassa asemassa olevaksi ryhmäksi, joka tarvitsee kohdennettua tukea. Tiedonannossa todetaan myös, että syrjäytyminen asuntomarkkinoilta tekee mielenterveyden ongelmista ja vammaisuudesta entistä vaikeampia.</w:t>
      </w:r>
    </w:p>
    <w:p w14:paraId="4023A83B" w14:textId="77777777" w:rsidR="00303B70" w:rsidRPr="00D965A5" w:rsidRDefault="00303B70" w:rsidP="00303B70">
      <w:pPr>
        <w:pBdr>
          <w:top w:val="nil"/>
          <w:left w:val="nil"/>
          <w:bottom w:val="nil"/>
          <w:right w:val="nil"/>
          <w:between w:val="nil"/>
          <w:bar w:val="nil"/>
        </w:pBdr>
        <w:spacing w:before="0" w:after="240"/>
        <w:rPr>
          <w:rFonts w:eastAsia="Arial Unicode MS"/>
          <w:noProof/>
        </w:rPr>
      </w:pPr>
      <w:r w:rsidRPr="00D965A5">
        <w:rPr>
          <w:b/>
          <w:noProof/>
        </w:rPr>
        <w:t>Kotouttamista ja osallisuutta koskeva toimintasuunnitelma vuosiksi 2021–2027</w:t>
      </w:r>
      <w:r w:rsidRPr="00D965A5">
        <w:rPr>
          <w:noProof/>
        </w:rPr>
        <w:t xml:space="preserve"> tarjoaa kattavan kehyksen sekä maahanmuuttajien että maahanmuuttajataustaisten EU:n kansalaisten tukemiseen. Osallisuus kaikille ‑periaatteen mukaisesti siinä esitellään toimenpiteitä toiminnan vahvistamiseksi ja toimijoiden tuomiseksi yhteen kaikilla tasoilla, jotta voidaan edistää integroitumista ja osallisuutta sekä yhteiskuntien yhtenäisyyttä neljällä alalla: koulutuksen, työllisyyden, terveydenhoidon ja asumisen alalla.</w:t>
      </w:r>
    </w:p>
    <w:p w14:paraId="32F9B53A" w14:textId="77777777" w:rsidR="005F505C" w:rsidRPr="00D965A5" w:rsidRDefault="005F505C" w:rsidP="00303B70">
      <w:pPr>
        <w:pBdr>
          <w:top w:val="nil"/>
          <w:left w:val="nil"/>
          <w:bottom w:val="nil"/>
          <w:right w:val="nil"/>
          <w:between w:val="nil"/>
          <w:bar w:val="nil"/>
        </w:pBdr>
        <w:spacing w:before="0" w:after="240"/>
        <w:rPr>
          <w:rFonts w:eastAsia="Arial Unicode MS"/>
          <w:noProof/>
        </w:rPr>
      </w:pPr>
      <w:r w:rsidRPr="00D965A5">
        <w:rPr>
          <w:b/>
          <w:noProof/>
        </w:rPr>
        <w:t>EU:n pitkän aikavälin maaseutuvisiossa</w:t>
      </w:r>
      <w:r w:rsidRPr="00D965A5">
        <w:rPr>
          <w:rStyle w:val="FootnoteReference"/>
          <w:rFonts w:eastAsia="Arial Unicode MS"/>
          <w:noProof/>
        </w:rPr>
        <w:footnoteReference w:id="6"/>
      </w:r>
      <w:r w:rsidRPr="00D965A5">
        <w:rPr>
          <w:noProof/>
        </w:rPr>
        <w:t xml:space="preserve"> määritetään kattavat puitteet vahvemmille, verkottuneille, selviytymiskykyisille ja vauraille maaseutualueille vuoteen 2040 mennessä. Yksi vision tavoitteista on vaikuttaa peruspalvelujen saatavuuteen, myös maaseudulla asumisen osalta. Vuonna 2026 julkaistavaan päivitettyyn maaseutua koskevaan toimintasuunnitelmaan on tarkoitus sisällyttää toimi, jossa käsitellään maaseudulla asumista.</w:t>
      </w:r>
    </w:p>
    <w:p w14:paraId="30AA4B16" w14:textId="77777777" w:rsidR="006D6F50" w:rsidRPr="00D965A5" w:rsidRDefault="00005BA0" w:rsidP="00763768">
      <w:pPr>
        <w:pBdr>
          <w:top w:val="nil"/>
          <w:left w:val="nil"/>
          <w:bottom w:val="nil"/>
          <w:right w:val="nil"/>
          <w:between w:val="nil"/>
          <w:bar w:val="nil"/>
        </w:pBdr>
        <w:spacing w:before="0" w:after="240"/>
        <w:rPr>
          <w:rFonts w:eastAsia="Arial Unicode MS"/>
          <w:noProof/>
        </w:rPr>
      </w:pPr>
      <w:r w:rsidRPr="00D965A5">
        <w:rPr>
          <w:noProof/>
        </w:rPr>
        <w:t xml:space="preserve">Tammikuussa 2026 hyväksytyssä </w:t>
      </w:r>
      <w:r w:rsidRPr="00D965A5">
        <w:rPr>
          <w:b/>
          <w:noProof/>
        </w:rPr>
        <w:t>EU:n rasisminvastaisessa strategiassa 2026–2030</w:t>
      </w:r>
      <w:r w:rsidRPr="00D965A5">
        <w:rPr>
          <w:noProof/>
        </w:rPr>
        <w:t xml:space="preserve"> todetaan, että rodullisiin ja etnisiin vähemmistöihin kuuluvat henkilöt kohtaavat asumiseen liittyvää syrjintää ja esteitä. Rodullistetuille yhteisöille, kuten romaneille, asetetut ehdot asuntojen saamiselle ovat epätasa-arvoiset ja ahtaan asumisen, huonojen elinolojen, asunnottomuuden ja eriytymisen riskit suhteettomat. </w:t>
      </w:r>
    </w:p>
    <w:p w14:paraId="100F5CBE" w14:textId="77777777" w:rsidR="00BE2C9A" w:rsidRPr="00D965A5" w:rsidRDefault="00721226" w:rsidP="00763768">
      <w:pPr>
        <w:pBdr>
          <w:top w:val="nil"/>
          <w:left w:val="nil"/>
          <w:bottom w:val="nil"/>
          <w:right w:val="nil"/>
          <w:between w:val="nil"/>
          <w:bar w:val="nil"/>
        </w:pBdr>
        <w:spacing w:before="0" w:after="240"/>
        <w:rPr>
          <w:rFonts w:eastAsia="Arial Unicode MS"/>
          <w:noProof/>
        </w:rPr>
      </w:pPr>
      <w:r w:rsidRPr="00D965A5">
        <w:rPr>
          <w:noProof/>
        </w:rPr>
        <w:t xml:space="preserve">Maaliskuussa 2026 hyväksytyssä </w:t>
      </w:r>
      <w:r w:rsidRPr="00D965A5">
        <w:rPr>
          <w:b/>
          <w:noProof/>
        </w:rPr>
        <w:t>sukupuolten tasa-arvostrategiassa 2026–2030</w:t>
      </w:r>
      <w:r w:rsidRPr="00D965A5">
        <w:rPr>
          <w:noProof/>
        </w:rPr>
        <w:t xml:space="preserve"> ilmoitettiin kohtuuhintaista asumista koskevan eurooppalaisen suunnitelman mukaisesti komission aikomuksesta käsitellä asuntomarkkinoilta syrjäytymistä ehdottamalla neuvoston suositusta. </w:t>
      </w:r>
    </w:p>
    <w:p w14:paraId="38659F05" w14:textId="77777777" w:rsidR="000E4099" w:rsidRPr="00D965A5" w:rsidRDefault="00763768" w:rsidP="00460269">
      <w:pPr>
        <w:pBdr>
          <w:top w:val="nil"/>
          <w:left w:val="nil"/>
          <w:bottom w:val="nil"/>
          <w:right w:val="nil"/>
          <w:between w:val="nil"/>
          <w:bar w:val="nil"/>
        </w:pBdr>
        <w:spacing w:before="0" w:after="240"/>
        <w:rPr>
          <w:rFonts w:eastAsia="Arial Unicode MS"/>
          <w:noProof/>
        </w:rPr>
      </w:pPr>
      <w:r w:rsidRPr="00D965A5">
        <w:rPr>
          <w:noProof/>
        </w:rPr>
        <w:t xml:space="preserve">Vuonna 2021 hyväksytyn </w:t>
      </w:r>
      <w:r w:rsidRPr="00D965A5">
        <w:rPr>
          <w:b/>
          <w:noProof/>
        </w:rPr>
        <w:t>vammaisten henkilöiden oikeuksia koskevan strategian 2021–2030</w:t>
      </w:r>
      <w:r w:rsidRPr="00D965A5">
        <w:rPr>
          <w:noProof/>
        </w:rPr>
        <w:t xml:space="preserve"> tavoitteena on auttaa jäsenvaltioita mahdollistamaan itsenäinen asuminen ja laitoshoidosta luopuminen varmistamalla, että vammaiset henkilöt voivat asua esteettömissä, tuetuissa asunnoissa. Strategialla edistetään yhteisöön osallistumista erillisten laitosten sijaan, mikä vähentäisi asunnottomuuden riskejä niiltä, jotka siirtyvät asumismuodosta toiseen ilman asianmukaista tukea.</w:t>
      </w:r>
    </w:p>
    <w:p w14:paraId="2D924CEC" w14:textId="77777777" w:rsidR="00116429" w:rsidRPr="00D965A5" w:rsidRDefault="00763768" w:rsidP="00763768">
      <w:pPr>
        <w:pBdr>
          <w:top w:val="nil"/>
          <w:left w:val="nil"/>
          <w:bottom w:val="nil"/>
          <w:right w:val="nil"/>
          <w:between w:val="nil"/>
          <w:bar w:val="nil"/>
        </w:pBdr>
        <w:spacing w:before="0" w:after="240"/>
        <w:rPr>
          <w:rFonts w:eastAsia="Arial Unicode MS"/>
          <w:noProof/>
        </w:rPr>
      </w:pPr>
      <w:r w:rsidRPr="00D965A5">
        <w:rPr>
          <w:noProof/>
        </w:rPr>
        <w:t xml:space="preserve">Lokakuussa 2025 hyväksytyssä </w:t>
      </w:r>
      <w:r w:rsidRPr="00D965A5">
        <w:rPr>
          <w:b/>
          <w:noProof/>
        </w:rPr>
        <w:t>hlbtiq+ ‑henkilöiden tasa-arvoa koskevassa strategiassa 2026–2030</w:t>
      </w:r>
      <w:r w:rsidRPr="00D965A5">
        <w:rPr>
          <w:noProof/>
        </w:rPr>
        <w:t xml:space="preserve"> korostetaan, että syrjintä ja sosiaalisen hyväksynnän puute lisäävät hlbtiq+ ‑henkilöiden köyhyyttä ja asunnottomuutta. EU:n perusoikeusviraston kolmannen hlbtiq-tutkimuksen mukaan 38 prosentilla hlbtiq+ ‑vastaajista on vaikeuksia saada rahat riittämään, kun vastaava luku koko väestössä on 22 prosenttia, ja 13 prosenttia turvautuu tilapäiseen majoittumiseen ystävien tai sukulaisten luona. </w:t>
      </w:r>
    </w:p>
    <w:p w14:paraId="609DC5DC" w14:textId="77777777" w:rsidR="00B95FB2" w:rsidRPr="00D965A5" w:rsidRDefault="00001104" w:rsidP="00763768">
      <w:pPr>
        <w:pBdr>
          <w:top w:val="nil"/>
          <w:left w:val="nil"/>
          <w:bottom w:val="nil"/>
          <w:right w:val="nil"/>
          <w:between w:val="nil"/>
          <w:bar w:val="nil"/>
        </w:pBdr>
        <w:spacing w:before="0" w:after="240"/>
        <w:rPr>
          <w:rFonts w:eastAsia="Arial Unicode MS"/>
          <w:noProof/>
        </w:rPr>
      </w:pPr>
      <w:r w:rsidRPr="00D965A5">
        <w:rPr>
          <w:b/>
          <w:noProof/>
        </w:rPr>
        <w:t>Rodusta tai etnisestä alkuperästä riippumattoman yhtäläisen kohtelun periaatteen täytäntöönpanosta</w:t>
      </w:r>
      <w:r w:rsidRPr="00D965A5">
        <w:rPr>
          <w:noProof/>
        </w:rPr>
        <w:t xml:space="preserve"> kesäkuussa 2000 </w:t>
      </w:r>
      <w:r w:rsidRPr="00D965A5">
        <w:rPr>
          <w:b/>
          <w:noProof/>
        </w:rPr>
        <w:t>annetussa neuvoston direktiivissä</w:t>
      </w:r>
      <w:r w:rsidRPr="00D965A5">
        <w:rPr>
          <w:noProof/>
        </w:rPr>
        <w:t xml:space="preserve"> pannaan täytäntöön </w:t>
      </w:r>
      <w:r w:rsidRPr="00D965A5">
        <w:rPr>
          <w:noProof/>
        </w:rPr>
        <w:lastRenderedPageBreak/>
        <w:t>rodusta tai etnisestä alkuperästä riippumattoman yhtäläisen kohtelun periaate kieltämällä myös asunnon saamiseen liittyvä syrjintä.</w:t>
      </w:r>
    </w:p>
    <w:p w14:paraId="1FBC77BE" w14:textId="77777777" w:rsidR="002418DD" w:rsidRPr="00D965A5" w:rsidRDefault="00D85E17" w:rsidP="002418DD">
      <w:pPr>
        <w:pBdr>
          <w:top w:val="nil"/>
          <w:left w:val="nil"/>
          <w:bottom w:val="nil"/>
          <w:right w:val="nil"/>
          <w:between w:val="nil"/>
          <w:bar w:val="nil"/>
        </w:pBdr>
        <w:spacing w:before="0" w:after="240"/>
        <w:rPr>
          <w:rFonts w:eastAsia="Arial Unicode MS"/>
          <w:noProof/>
        </w:rPr>
      </w:pPr>
      <w:r w:rsidRPr="00D965A5">
        <w:rPr>
          <w:noProof/>
        </w:rPr>
        <w:t xml:space="preserve">Lokakuussa 2020 hyväksytyssä </w:t>
      </w:r>
      <w:r w:rsidRPr="00D965A5">
        <w:rPr>
          <w:b/>
          <w:noProof/>
        </w:rPr>
        <w:t>komission tiedonannossa Euroopan parlamentille ja neuvostolle (Tasa-arvon unioni: romanien tasa-arvoa, osallisuutta ja osallistumista koskeva EU:n strategiakehys)</w:t>
      </w:r>
      <w:r w:rsidRPr="00D965A5">
        <w:rPr>
          <w:noProof/>
        </w:rPr>
        <w:t xml:space="preserve"> korostetaan romanien edelleen haastavaa asumistilannetta muun muassa epäasianmukaisten ja eriytettyjen asuntojen takia. Siinä pyritään varmistamaan asianmukaisten asuntojen, jotka eivät ole eriytettyjä, ja keskeisten palvelujen yhdenvertainen saatavuus vuoteen 2030 mennessä sekä kehotetaan, että jäsenvaltiot toteuttaisivat kansallisia strategioita syrjäytyneiden romaniyhteisöjen sosioekonomista osallisuutta varten erityisesti koulutuksen, työllisyyden, terveyden ja asumisen osalta. </w:t>
      </w:r>
      <w:r w:rsidRPr="00D965A5">
        <w:rPr>
          <w:b/>
          <w:noProof/>
        </w:rPr>
        <w:t>Romanien tasa-arvosta, osallisuudesta ja osallistumisesta</w:t>
      </w:r>
      <w:r w:rsidRPr="00D965A5">
        <w:rPr>
          <w:noProof/>
        </w:rPr>
        <w:t xml:space="preserve"> vuonna 2021 annetussa </w:t>
      </w:r>
      <w:r w:rsidRPr="00D965A5">
        <w:rPr>
          <w:b/>
          <w:noProof/>
        </w:rPr>
        <w:t>neuvoston suosituksessa</w:t>
      </w:r>
      <w:r w:rsidRPr="00D965A5">
        <w:rPr>
          <w:noProof/>
        </w:rPr>
        <w:t xml:space="preserve"> kehotetaan, että jäsenvaltiot varmistaisivat romanien yhdenvertaisen kohtelun muun muassa asianmukaisten ja eriytymättömien asuntojen sekä keskeisten palvelujen saatavuuden osalta.</w:t>
      </w:r>
    </w:p>
    <w:p w14:paraId="1C4A804E" w14:textId="77777777" w:rsidR="002F5035" w:rsidRPr="00D965A5" w:rsidRDefault="003C0DAB" w:rsidP="00F422C3">
      <w:pPr>
        <w:pBdr>
          <w:top w:val="nil"/>
          <w:left w:val="nil"/>
          <w:bottom w:val="nil"/>
          <w:right w:val="nil"/>
          <w:between w:val="nil"/>
          <w:bar w:val="nil"/>
        </w:pBdr>
        <w:spacing w:before="0" w:after="240"/>
        <w:rPr>
          <w:rFonts w:eastAsia="Arial Unicode MS"/>
          <w:noProof/>
        </w:rPr>
      </w:pPr>
      <w:r w:rsidRPr="00D965A5">
        <w:rPr>
          <w:noProof/>
        </w:rPr>
        <w:t xml:space="preserve">EU tarjoaa erilaisia rahoitusmekanismeja, joilla voidaan puuttua asuntomarkkinoilta syrjäytymiseen ja asunnottomuuteen. Vuonna 2024 Euroopan komissio otti käyttöön toimintavälineistön, jolla pyritään saamaan EU:n varoja sosiaaliseen asuntotuotantoon ja siihen liittyviin palveluihin tehtäviin investointeihin (julkaisu </w:t>
      </w:r>
      <w:r w:rsidRPr="00D965A5">
        <w:rPr>
          <w:b/>
          <w:i/>
          <w:iCs/>
          <w:noProof/>
        </w:rPr>
        <w:t>Social housing and beyond – Operational toolkit on the use of EU funds for investments in social housing and associated services</w:t>
      </w:r>
      <w:r w:rsidRPr="00D965A5">
        <w:rPr>
          <w:noProof/>
        </w:rPr>
        <w:t xml:space="preserve">). Välineistöllä tuetaan päätöksentekijöitä EU:n varojen – Euroopan sosiaalirahasto plussan (ESR+), Euroopan aluekehitysrahaston (EAKR) ja elpymis- ja palautumistukivälineen – käytön maksimoinnissa sosiaaliperusteiseen asuntotuotantoon ja siihen liittyviin palveluihin tehtäviin investointeihin. Julkaisussa esitellään 20 tapaustutkimuksen avulla, miten varoilla voidaan parantaa asianmukaisten asuntojen saatavuutta, ja tarjotaan räätälöityjä ratkaisuja haavoittuvassa asemassa oleville ryhmille. </w:t>
      </w:r>
    </w:p>
    <w:p w14:paraId="7128E05D" w14:textId="77777777" w:rsidR="00D72390" w:rsidRPr="00D965A5" w:rsidRDefault="00551B41" w:rsidP="00D72390">
      <w:pPr>
        <w:spacing w:after="160" w:line="259" w:lineRule="auto"/>
        <w:rPr>
          <w:noProof/>
        </w:rPr>
      </w:pPr>
      <w:r w:rsidRPr="00D965A5">
        <w:rPr>
          <w:b/>
          <w:noProof/>
        </w:rPr>
        <w:t>Koheesiopolitiikalla</w:t>
      </w:r>
      <w:r w:rsidRPr="00D965A5">
        <w:rPr>
          <w:noProof/>
        </w:rPr>
        <w:t xml:space="preserve"> rahoitetaan ensisijaisesti </w:t>
      </w:r>
      <w:r w:rsidRPr="00D965A5">
        <w:rPr>
          <w:b/>
          <w:noProof/>
        </w:rPr>
        <w:t>ESR+:n</w:t>
      </w:r>
      <w:r w:rsidRPr="00D965A5">
        <w:rPr>
          <w:noProof/>
        </w:rPr>
        <w:t xml:space="preserve"> ja </w:t>
      </w:r>
      <w:r w:rsidRPr="00D965A5">
        <w:rPr>
          <w:b/>
          <w:noProof/>
        </w:rPr>
        <w:t>EAKR:n</w:t>
      </w:r>
      <w:r w:rsidRPr="00D965A5">
        <w:rPr>
          <w:noProof/>
        </w:rPr>
        <w:t xml:space="preserve"> kautta aloitteita, joilla pyritään parantamaan sosiaalista osallisuutta ja asumisolosuhteita, kuten sosiaalipalveluja asunnottomille, kohtuuhintaisten asuntojen rakentamista ja kunnostamista sekä käyttämättömien rakennusten muuttamista kohtuuhintaisiksi ja sosiaalisiksi asunnoiksi. ESR+:sta voidaan rahoittaa muun muassa sosiaalityötä, terveydenhuoltoa ja työhönvalmennusta, ja EAKR:stä voidaan rahoittaa esimerkiksi uutta sosiaalista asuntotuotantoa, kunnostustöitä ja asunto ensin ‑palvelukeskusten infrastruktuuria. Väliarvioinnissa (asetus (EU) 2025/1914) laajennettiin kohtuuhintaisen ja sosiaalisen asuntotuotannon rahoitusvaihtoehtoja ja otettiin käyttöön suurempi EU:n yhteisrahoitusosuus. Jäsenvaltiot voivat hyödyntää esimerkiksi yhdennettyjä alueellisia investointeja ja yhteisölähtöistä paikallista kehittämistä yhdistäessään useiden poliittisten tavoitteiden rahoitusta.</w:t>
      </w:r>
    </w:p>
    <w:p w14:paraId="48343A2F" w14:textId="77777777" w:rsidR="009D688B" w:rsidRPr="00D965A5" w:rsidRDefault="009D688B" w:rsidP="009D688B">
      <w:pPr>
        <w:pBdr>
          <w:top w:val="nil"/>
          <w:left w:val="nil"/>
          <w:bottom w:val="nil"/>
          <w:right w:val="nil"/>
          <w:between w:val="nil"/>
          <w:bar w:val="nil"/>
        </w:pBdr>
        <w:spacing w:before="0" w:after="240"/>
        <w:rPr>
          <w:rFonts w:eastAsia="Arial Unicode MS"/>
          <w:b/>
          <w:noProof/>
        </w:rPr>
      </w:pPr>
      <w:r w:rsidRPr="00D965A5">
        <w:rPr>
          <w:b/>
          <w:noProof/>
        </w:rPr>
        <w:t>Eurooppalaisella kaupunkialoitteella</w:t>
      </w:r>
      <w:r w:rsidRPr="00D965A5">
        <w:rPr>
          <w:noProof/>
        </w:rPr>
        <w:t xml:space="preserve"> tarjotaan kaupungeille suoraa rahoitusta rohkeisiin, testaamattomiin ideoihin kaupunkien haasteisiin vastaamiseksi sekä innovatiivisia tapoja ratkaista asuntokysymyksiä myös asunnottomien osalta.</w:t>
      </w:r>
    </w:p>
    <w:p w14:paraId="16A8F438" w14:textId="77777777" w:rsidR="00D00228" w:rsidRPr="00D965A5" w:rsidRDefault="00D00228" w:rsidP="00D00228">
      <w:pPr>
        <w:pBdr>
          <w:top w:val="nil"/>
          <w:left w:val="nil"/>
          <w:bottom w:val="nil"/>
          <w:right w:val="nil"/>
          <w:between w:val="nil"/>
          <w:bar w:val="nil"/>
        </w:pBdr>
        <w:spacing w:before="0" w:after="240"/>
        <w:rPr>
          <w:rFonts w:eastAsia="Arial Unicode MS"/>
          <w:noProof/>
        </w:rPr>
      </w:pPr>
      <w:r w:rsidRPr="00D965A5">
        <w:rPr>
          <w:noProof/>
        </w:rPr>
        <w:t xml:space="preserve">Jäsenvaltiot ovat investoineet </w:t>
      </w:r>
      <w:r w:rsidRPr="00D965A5">
        <w:rPr>
          <w:b/>
          <w:noProof/>
        </w:rPr>
        <w:t>elpymis- ja palautumistukivälineen</w:t>
      </w:r>
      <w:r w:rsidRPr="00D965A5">
        <w:rPr>
          <w:noProof/>
        </w:rPr>
        <w:t xml:space="preserve"> avulla sosiaaliseen infrastruktuuriin, myös asuntotarjontaan. Jotkin jäsenvaltiot ovat käsitelleet asunnottomuutta elpymis- ja palautumissuunnitelmissaan ja ehdottaneet asuntolähtöisiä ratkaisuja. Toiset ovat puolestaan suunnitelleet investointeja asumiseen laajemmin (esimerkiksi asuntojen energiaparannuksia ja kohtuuhintaisen asumisen hankkeita). Osa elpymis- ja palautumissuunnitelmissa sosiaalimenoiksi merkityistä varoista käytetään sosiaaliseen asuntotuotantoon ja siihen liittyvään sosiaaliseen infrastruktuuriin. Kansallisiin suunnitelmiin </w:t>
      </w:r>
      <w:r w:rsidRPr="00D965A5">
        <w:rPr>
          <w:noProof/>
        </w:rPr>
        <w:lastRenderedPageBreak/>
        <w:t xml:space="preserve">sisältyy usein koulutusta, terveydenhuoltoa, haavoittuvassa asemassa oleville tarkoitettuja palveluja ja asumiseen liittyviä toimenpiteitä, joilla voidaan vähentää asunnottomuuden riskiä. </w:t>
      </w:r>
    </w:p>
    <w:p w14:paraId="6AADC555" w14:textId="77777777" w:rsidR="00F21ECE" w:rsidRPr="00D965A5" w:rsidRDefault="00F21ECE" w:rsidP="00F422C3">
      <w:pPr>
        <w:rPr>
          <w:rFonts w:eastAsia="Arial Unicode MS"/>
          <w:noProof/>
          <w:szCs w:val="24"/>
        </w:rPr>
      </w:pPr>
      <w:r w:rsidRPr="00D965A5">
        <w:rPr>
          <w:b/>
          <w:noProof/>
        </w:rPr>
        <w:t>Sosiaalisella ilmastorahastolla</w:t>
      </w:r>
      <w:r w:rsidRPr="00D965A5">
        <w:rPr>
          <w:noProof/>
        </w:rPr>
        <w:t xml:space="preserve"> tuetaan haavoittuvassa asemassa olevia kotitalouksia puuttumalla päästökauppajärjestelmästä aiheutuviin sosiaalisiin vaikutuksiin. Jäsenvaltiot voivat sisällyttää ilmastotoimien sosiaalisen tuen suunnitelmiinsa pysyvästi vaikuttavia toimenpiteitä ja investointeja kohtuuhintaisten ja energiatehokkaiden asuntojen, myös sosiaalisen asuntotuotannon, saatavuuden tukemiseksi.</w:t>
      </w:r>
    </w:p>
    <w:p w14:paraId="2778488A" w14:textId="77777777" w:rsidR="0023334A" w:rsidRPr="00D965A5" w:rsidRDefault="000F77E4" w:rsidP="0023334A">
      <w:pPr>
        <w:pBdr>
          <w:top w:val="nil"/>
          <w:left w:val="nil"/>
          <w:bottom w:val="nil"/>
          <w:right w:val="nil"/>
          <w:between w:val="nil"/>
          <w:bar w:val="nil"/>
        </w:pBdr>
        <w:spacing w:before="0" w:after="240"/>
        <w:rPr>
          <w:rFonts w:eastAsia="Arial Unicode MS"/>
          <w:noProof/>
        </w:rPr>
      </w:pPr>
      <w:r w:rsidRPr="00D965A5">
        <w:rPr>
          <w:b/>
          <w:noProof/>
        </w:rPr>
        <w:t>InvestEU-ohjelman sosiaalisten investointien ja osaamisen politiikkaikkuna</w:t>
      </w:r>
      <w:r w:rsidRPr="00D965A5">
        <w:rPr>
          <w:noProof/>
        </w:rPr>
        <w:t xml:space="preserve"> on tukena, kun tarjotaan pääsy sosiaaliseen ja kohtuuhintaiseen asuntotarjontaan, torjutaan sosiaalista syrjäytymistä sekä vähennetään köyhyyttä. Sillä vähennetään onnistuneesti kohtuuhintaisen sosiaalisen asuntotarjonnan riskejä, ja siitä voi olla apua asuntomarkkinoilta syrjäytymisen tilanteissa, joissa se toimii neuvontatuen kanavana ja tukee rahoitusvälineiden käyttöönottoa. Tämä käsittää myös takuut toteutuskumppaneiden, kuten Euroopan investointipankin, Euroopan neuvoston kehityspankin ja kansallisten kehityspankkien, hankkeille.</w:t>
      </w:r>
    </w:p>
    <w:p w14:paraId="4C8396DF" w14:textId="77777777" w:rsidR="00762BC9" w:rsidRPr="00D965A5" w:rsidRDefault="000F77E4" w:rsidP="00F422C3">
      <w:pPr>
        <w:pBdr>
          <w:top w:val="nil"/>
          <w:left w:val="nil"/>
          <w:bottom w:val="nil"/>
          <w:right w:val="nil"/>
          <w:between w:val="nil"/>
          <w:bar w:val="nil"/>
        </w:pBdr>
        <w:spacing w:before="0" w:after="240"/>
        <w:rPr>
          <w:noProof/>
        </w:rPr>
      </w:pPr>
      <w:r w:rsidRPr="00D965A5">
        <w:rPr>
          <w:noProof/>
        </w:rPr>
        <w:t xml:space="preserve">Euroopan komissio käynnisti vuonna 2021 </w:t>
      </w:r>
      <w:r w:rsidRPr="00D965A5">
        <w:rPr>
          <w:b/>
          <w:noProof/>
        </w:rPr>
        <w:t>uusi eurooppalainen Bauhaus ‑aloitteen</w:t>
      </w:r>
      <w:r w:rsidRPr="00D965A5">
        <w:rPr>
          <w:noProof/>
        </w:rPr>
        <w:t xml:space="preserve">, joka toimii yhdistäjänä kestävyyden, esteettisyyden ja sosiaalisen osallisuuden leikkauskohdassa. Tavoitteena on muuttaa rakennettua ympäristöä ja ihmisten elämää kestävämmäksi, osallistavammaksi, kauniimmaksi ja ihmiskeskeisemmäksi. Uusi eurooppalainen Bauhaus toimii osallistamalla ihmisiä ruohonjuuritasolla näiden asuinalueilla, tarjoamalla välineitä, ohjausta ja räätälöityjä ratkaisuja eri yhteisöille sekä sisällyttämällä eri sidosryhmien näkemyksiä suunnittelun ja täytäntöönpanon menettelyihin. Uusi eurooppalainen Bauhaus ‑aloitteessa asetetaan etusijalle ihmiset ja sosiaalinen osallisuus sekä talous unionin kilpailukyvyn ja strategisen riippumattomuuden edistämiseksi. </w:t>
      </w:r>
    </w:p>
    <w:p w14:paraId="6F3FC073" w14:textId="77777777" w:rsidR="002150E9" w:rsidRPr="00D965A5" w:rsidRDefault="00B90F88" w:rsidP="002150E9">
      <w:pPr>
        <w:pBdr>
          <w:top w:val="nil"/>
          <w:left w:val="nil"/>
          <w:bottom w:val="nil"/>
          <w:right w:val="nil"/>
          <w:between w:val="nil"/>
          <w:bar w:val="nil"/>
        </w:pBdr>
        <w:spacing w:before="0" w:after="240"/>
        <w:rPr>
          <w:noProof/>
        </w:rPr>
      </w:pPr>
      <w:r w:rsidRPr="00D965A5">
        <w:rPr>
          <w:b/>
          <w:noProof/>
        </w:rPr>
        <w:t>Uusi eurooppalainen Bauhaus ‑välineestä</w:t>
      </w:r>
      <w:r w:rsidRPr="00D965A5">
        <w:rPr>
          <w:noProof/>
        </w:rPr>
        <w:t xml:space="preserve"> rahoitetaan hankkeita, joiden tavoitteena on elvyttää asuinalueita, edistää sosiaalista osallisuutta ja mahdollistaa kohtuuhintaisten asuntojen saatavuus innovatiivisen, kiertotalouden mukaisen ja ihmiskeskeisen suunnittelun avulla – yhdistämällä asuntotarjonta laajempiin sosiaalisiin ja ympäristöön liittyviin tavoitteisiin. Uusi eurooppalainen Bauhaus ‑välineen tutkimusta ja innovointia koskevasta osiosta tuetaan useita asumiseen ja asunnottomuuteen liittyviä hankkeita, muun muassa sosiaalista infrastruktuuria ja palveluita.</w:t>
      </w:r>
    </w:p>
    <w:p w14:paraId="7BC6FB01" w14:textId="77777777" w:rsidR="000F77E4" w:rsidRPr="00D965A5" w:rsidRDefault="000F77E4" w:rsidP="00CD4F24">
      <w:pPr>
        <w:pBdr>
          <w:top w:val="nil"/>
          <w:left w:val="nil"/>
          <w:bottom w:val="nil"/>
          <w:right w:val="nil"/>
          <w:between w:val="nil"/>
          <w:bar w:val="nil"/>
        </w:pBdr>
        <w:spacing w:before="0" w:after="240"/>
        <w:rPr>
          <w:rFonts w:eastAsia="Arial Unicode MS"/>
          <w:noProof/>
        </w:rPr>
      </w:pPr>
      <w:r w:rsidRPr="00D965A5">
        <w:rPr>
          <w:noProof/>
        </w:rPr>
        <w:t xml:space="preserve">Osana EU:n </w:t>
      </w:r>
      <w:r w:rsidRPr="00D965A5">
        <w:rPr>
          <w:b/>
          <w:noProof/>
        </w:rPr>
        <w:t>perusparannusaaltoa</w:t>
      </w:r>
      <w:r w:rsidRPr="00D965A5">
        <w:rPr>
          <w:noProof/>
        </w:rPr>
        <w:t xml:space="preserve"> ja </w:t>
      </w:r>
      <w:r w:rsidRPr="00D965A5">
        <w:rPr>
          <w:b/>
          <w:noProof/>
        </w:rPr>
        <w:t>uusi eurooppalainen Bauhaus ‑aloitteen lippulaivahankkeena</w:t>
      </w:r>
      <w:r w:rsidRPr="00D965A5">
        <w:rPr>
          <w:noProof/>
        </w:rPr>
        <w:t xml:space="preserve"> </w:t>
      </w:r>
      <w:r w:rsidRPr="00D965A5">
        <w:rPr>
          <w:b/>
          <w:noProof/>
        </w:rPr>
        <w:t>kohtuuhintaista asumista koskevan aloitteen</w:t>
      </w:r>
      <w:r w:rsidRPr="00D965A5">
        <w:rPr>
          <w:noProof/>
        </w:rPr>
        <w:t xml:space="preserve"> tavoitteena on luoda tai uudistaa sosiaalisia ja kohtuuhintaisia asuinalueita. Ohjelmassa käsitellään energiaköyhyyttä, edistetään osallisuutta, varmistetaan kohtuuhintaisuus ja vähennetään päästöjä räätälöidyllä ohjauksella, muun muassa rahoitusneuvonnalla, mentoroinnilla ja valmiuksien kehittämisellä.  Näin voidaan parantaa pienituloisten kotitalouksien asumisen laatua ja mahdollisuuksia saada asunto. </w:t>
      </w:r>
    </w:p>
    <w:p w14:paraId="1B983FB0" w14:textId="77777777" w:rsidR="005E2B93" w:rsidRPr="00D965A5" w:rsidRDefault="00EB32EC" w:rsidP="00000BDB">
      <w:pPr>
        <w:pBdr>
          <w:top w:val="nil"/>
          <w:left w:val="nil"/>
          <w:bottom w:val="nil"/>
          <w:right w:val="nil"/>
          <w:between w:val="nil"/>
          <w:bar w:val="nil"/>
        </w:pBdr>
        <w:spacing w:before="0" w:after="240"/>
        <w:rPr>
          <w:rFonts w:eastAsia="Times New Roman"/>
          <w:noProof/>
          <w:color w:val="000000" w:themeColor="text1"/>
          <w:szCs w:val="24"/>
        </w:rPr>
      </w:pPr>
      <w:r w:rsidRPr="00D965A5">
        <w:rPr>
          <w:noProof/>
          <w:color w:val="000000" w:themeColor="text1"/>
        </w:rPr>
        <w:t xml:space="preserve">Ihmisten ja heidän sosiaalinen osallisuutensa tukeminen muun muassa köyhyyttä ja asunnottomuutta torjumalla ovatkin </w:t>
      </w:r>
      <w:r w:rsidRPr="00D965A5">
        <w:rPr>
          <w:b/>
          <w:noProof/>
          <w:color w:val="000000" w:themeColor="text1"/>
        </w:rPr>
        <w:t>EU:n seuraavasta pitkän aikavälin talousarviosta (2028–2034)</w:t>
      </w:r>
      <w:r w:rsidRPr="00D965A5">
        <w:rPr>
          <w:noProof/>
          <w:color w:val="000000" w:themeColor="text1"/>
        </w:rPr>
        <w:t xml:space="preserve"> (eli monivuotisesta rahoituskehyksestä) </w:t>
      </w:r>
      <w:r w:rsidRPr="00D965A5">
        <w:rPr>
          <w:b/>
          <w:noProof/>
          <w:color w:val="000000" w:themeColor="text1"/>
        </w:rPr>
        <w:t>annetun komission ehdotuksen</w:t>
      </w:r>
      <w:r w:rsidRPr="00D965A5">
        <w:rPr>
          <w:noProof/>
          <w:color w:val="000000" w:themeColor="text1"/>
        </w:rPr>
        <w:t xml:space="preserve"> tavoitteita. Monivuotista rahoituskehystä koskevassa ehdotuksessa ja sen uudessa, yhdennetyssä lähestymistavassa annetaan jäsenvaltioille mahdollisuus rahoittaa kohtuuhintaista ja sosiaalista asuntotuotantoa sekä asunnottomuuden torjuntaa ja tehdä samalla tarvittavia uudistuksia.  </w:t>
      </w:r>
    </w:p>
    <w:p w14:paraId="3AD01330" w14:textId="77777777" w:rsidR="00C578AE" w:rsidRPr="00D965A5" w:rsidRDefault="00C578AE" w:rsidP="00000BDB">
      <w:pPr>
        <w:pBdr>
          <w:top w:val="nil"/>
          <w:left w:val="nil"/>
          <w:bottom w:val="nil"/>
          <w:right w:val="nil"/>
          <w:between w:val="nil"/>
          <w:bar w:val="nil"/>
        </w:pBdr>
        <w:spacing w:before="0" w:after="240"/>
        <w:rPr>
          <w:noProof/>
        </w:rPr>
      </w:pPr>
      <w:r w:rsidRPr="00D965A5">
        <w:rPr>
          <w:noProof/>
        </w:rPr>
        <w:lastRenderedPageBreak/>
        <w:t>2.</w:t>
      </w:r>
      <w:r w:rsidRPr="00D965A5">
        <w:rPr>
          <w:noProof/>
        </w:rPr>
        <w:tab/>
        <w:t>OIKEUSPERUSTA, TOISSIJAISUUSPERIAATE JA SUHTEELLISUUSPERIAATE</w:t>
      </w:r>
    </w:p>
    <w:p w14:paraId="5B7CE084" w14:textId="77777777" w:rsidR="00C578AE" w:rsidRPr="00D965A5" w:rsidRDefault="00C578AE">
      <w:pPr>
        <w:pStyle w:val="ManualHeading2"/>
        <w:rPr>
          <w:rFonts w:eastAsia="Arial Unicode MS"/>
          <w:noProof/>
          <w:u w:color="000000"/>
          <w:bdr w:val="nil"/>
        </w:rPr>
      </w:pPr>
      <w:r w:rsidRPr="00D965A5">
        <w:rPr>
          <w:noProof/>
          <w:u w:color="000000"/>
          <w:bdr w:val="nil"/>
        </w:rPr>
        <w:t>•</w:t>
      </w:r>
      <w:r w:rsidRPr="00D965A5">
        <w:rPr>
          <w:noProof/>
        </w:rPr>
        <w:tab/>
      </w:r>
      <w:r w:rsidRPr="00D965A5">
        <w:rPr>
          <w:noProof/>
          <w:u w:color="000000"/>
          <w:bdr w:val="nil"/>
        </w:rPr>
        <w:t>Oikeusperusta</w:t>
      </w:r>
    </w:p>
    <w:p w14:paraId="60BE1E1D" w14:textId="77777777" w:rsidR="009C5AB6" w:rsidRPr="00D965A5" w:rsidRDefault="009C5AB6" w:rsidP="009C5AB6">
      <w:pPr>
        <w:pStyle w:val="Text1"/>
        <w:ind w:left="0"/>
        <w:rPr>
          <w:noProof/>
        </w:rPr>
      </w:pPr>
      <w:r w:rsidRPr="00D965A5">
        <w:rPr>
          <w:noProof/>
        </w:rPr>
        <w:t xml:space="preserve">Ehdotetun suosituksen menettelyllinen oikeusperusta on Euroopan unionin toiminnasta tehdyn sopimuksen, jäljempänä ’SEUT-sopimus’, 292 artikla, aineellinen oikeusperusta puolestaan SEUT-sopimuksen 153 artiklan 1 kohdan j alakohta. </w:t>
      </w:r>
    </w:p>
    <w:p w14:paraId="78962988" w14:textId="77777777" w:rsidR="008D1A6E" w:rsidRPr="00D965A5" w:rsidRDefault="009C5AB6" w:rsidP="008D1A6E">
      <w:pPr>
        <w:pStyle w:val="Text1"/>
        <w:ind w:left="0"/>
        <w:rPr>
          <w:noProof/>
        </w:rPr>
      </w:pPr>
      <w:r w:rsidRPr="00D965A5">
        <w:rPr>
          <w:noProof/>
        </w:rPr>
        <w:t>SEUT-sopimuksen 153 artiklan 1 kohdan j alakohdan mukaan unioni voi tukea ja täydentää jäsenvaltioiden toimia sosiaalisen syrjäytymisen torjunnassa. Asuntomarkkinoilta syrjäytymistä ja asunnottomuutta pidetään EU:n vakavimpina sosiaalisen syrjäytymisen muotoina. Ehdotuksella edistetään tätä tavoitetta torjumalla asuntomarkkinoilta syrjäytymistä ja asunnottomuutta sekä varmistamalla mahdollistavien palvelujen ja peruspalvelujen ja ‑toimenpiteiden tosiasiallinen saatavuus, jotta ihmiset voisivat elää ihmisarvoisesti.</w:t>
      </w:r>
    </w:p>
    <w:p w14:paraId="33C42EEF" w14:textId="77777777" w:rsidR="009C5AB6" w:rsidRPr="00D965A5" w:rsidRDefault="00A74EF6" w:rsidP="009C5AB6">
      <w:pPr>
        <w:pStyle w:val="Text1"/>
        <w:ind w:left="0"/>
        <w:rPr>
          <w:noProof/>
        </w:rPr>
      </w:pPr>
      <w:r w:rsidRPr="00D965A5">
        <w:rPr>
          <w:noProof/>
        </w:rPr>
        <w:t xml:space="preserve">SEUT-sopimuksen 153 artiklan 1 kohdan j alakohdan soveltamista rajoittaa 153 artiklan 2 kohdan a alakohta, koska siinä sallitaan ainoastaan toimenpiteet, joiden tarkoituksena on edistää jäsenvaltioiden välistä yhteistyötä – mutta ei lakien ja asetusten yhdenmukaistamista. </w:t>
      </w:r>
    </w:p>
    <w:p w14:paraId="0849494A" w14:textId="77777777" w:rsidR="004058F1" w:rsidRPr="00D965A5" w:rsidRDefault="009C5AB6" w:rsidP="004058F1">
      <w:pPr>
        <w:pStyle w:val="Text1"/>
        <w:ind w:left="0"/>
        <w:rPr>
          <w:noProof/>
        </w:rPr>
      </w:pPr>
      <w:r w:rsidRPr="00D965A5">
        <w:rPr>
          <w:noProof/>
        </w:rPr>
        <w:t>Lisäksi SEUT-sopimuksen 153 artiklan 4 kohdan mukaan 153 artiklan nojalla annettujen säännösten, kuten ehdotetun suosituksen, ei pidä i) vaikuttaa jäsenvaltioiden oikeuteen määritellä sosiaaliturvajärjestelmiensä perusperiaatteita eikä ii) vaikuttaa olennaisesti näiden järjestelmien rahoituksen tasapainoon.</w:t>
      </w:r>
    </w:p>
    <w:p w14:paraId="7E8D53C7" w14:textId="77777777" w:rsidR="00C578AE" w:rsidRPr="00D965A5" w:rsidRDefault="00C578AE" w:rsidP="004058F1">
      <w:pPr>
        <w:pStyle w:val="Text1"/>
        <w:ind w:left="0"/>
        <w:rPr>
          <w:rFonts w:eastAsia="Arial Unicode MS"/>
          <w:noProof/>
          <w:u w:color="000000"/>
          <w:bdr w:val="nil"/>
        </w:rPr>
      </w:pPr>
      <w:r w:rsidRPr="00D965A5">
        <w:rPr>
          <w:noProof/>
          <w:u w:color="000000"/>
          <w:bdr w:val="nil"/>
        </w:rPr>
        <w:t>•</w:t>
      </w:r>
      <w:r w:rsidRPr="00D965A5">
        <w:rPr>
          <w:noProof/>
        </w:rPr>
        <w:tab/>
      </w:r>
      <w:r w:rsidRPr="00D965A5">
        <w:rPr>
          <w:b/>
          <w:noProof/>
          <w:u w:color="000000"/>
          <w:bdr w:val="nil"/>
        </w:rPr>
        <w:t>Toissijaisuusperiaate (jaetun toimivallan osalta)</w:t>
      </w:r>
      <w:r w:rsidRPr="00D965A5">
        <w:rPr>
          <w:noProof/>
          <w:u w:color="000000"/>
          <w:bdr w:val="nil"/>
        </w:rPr>
        <w:t xml:space="preserve"> </w:t>
      </w:r>
    </w:p>
    <w:p w14:paraId="0ED3E678" w14:textId="77777777" w:rsidR="00816551" w:rsidRPr="00D965A5" w:rsidRDefault="00972E9D" w:rsidP="00816551">
      <w:pPr>
        <w:pBdr>
          <w:top w:val="nil"/>
          <w:left w:val="nil"/>
          <w:bottom w:val="nil"/>
          <w:right w:val="nil"/>
          <w:between w:val="nil"/>
          <w:bar w:val="nil"/>
        </w:pBdr>
        <w:spacing w:before="0" w:after="240"/>
        <w:rPr>
          <w:noProof/>
        </w:rPr>
      </w:pPr>
      <w:r w:rsidRPr="00D965A5">
        <w:rPr>
          <w:noProof/>
        </w:rPr>
        <w:t xml:space="preserve">Vaikka vastuu asuntopolitiikasta on ensisijaisesti jäsenvaltioilla, asuntomarkkinoilta syrjäytyminen ja asunnottomuus ovat yhteisiä haasteita kaikkialla unionissa </w:t>
      </w:r>
      <w:r w:rsidRPr="00D965A5">
        <w:rPr>
          <w:noProof/>
          <w:color w:val="000000" w:themeColor="text1"/>
        </w:rPr>
        <w:t>ja niiden taustalla on yhteisiä rakenteellisia suuntauksia, joiden yhteydessä on hyötyä koordinoiduista, monialaisista toimista sekä parhaiden käytäntöjen jakamisesta</w:t>
      </w:r>
      <w:r w:rsidRPr="00D965A5">
        <w:rPr>
          <w:noProof/>
        </w:rPr>
        <w:t xml:space="preserve">. Ne liittyvät läheisesti unionin tavoitteisiin sosiaalisen osallisuuden, työllisyyden, terveyden, tasa-arvon, taloudellisen kehityksen ja alueellisen yhteenkuuluvuuden aloilla. </w:t>
      </w:r>
    </w:p>
    <w:p w14:paraId="723D2FBB" w14:textId="77777777" w:rsidR="00FC1E37" w:rsidRPr="00D965A5" w:rsidRDefault="00972E9D" w:rsidP="00972E9D">
      <w:pPr>
        <w:pBdr>
          <w:top w:val="nil"/>
          <w:left w:val="nil"/>
          <w:bottom w:val="nil"/>
          <w:right w:val="nil"/>
          <w:between w:val="nil"/>
          <w:bar w:val="nil"/>
        </w:pBdr>
        <w:spacing w:before="0" w:after="240"/>
        <w:rPr>
          <w:rFonts w:eastAsia="Arial Unicode MS"/>
          <w:noProof/>
          <w:color w:val="000000" w:themeColor="text1"/>
        </w:rPr>
      </w:pPr>
      <w:r w:rsidRPr="00D965A5">
        <w:rPr>
          <w:noProof/>
        </w:rPr>
        <w:t xml:space="preserve">Asumiskustannusten ja tulojen välisen eron kasvu heikentää oppimiseen liittyvää ja työvoiman liikkuvuutta, rajoittaa mahdollisuutta asettua korkean tuottavuuden alueille ja aiheuttaa työvoimapulaa keskeisillä matalapalkkaisilla palvelualoilla. Kun asumiskustannukset nousevat palkkoja nopeammin, työntekijät joutuvat vähentämään kulutustaan, kulkemaan töihin pidemmän työmatkan takaa tai muuttamaan kokonaan muualle, mikä heikentää yleistä taloudellista tehokkuutta ja tuottavuutta. Jos asianmukaisen asunnon saamisen mahdollisuudet eivät ole yhdenvertaiset, mahdollisuuksien epätasa-arvo syvenee ja sosiaalinen syrjäytyminen pahenee. </w:t>
      </w:r>
    </w:p>
    <w:p w14:paraId="305D043B" w14:textId="77777777" w:rsidR="00882838" w:rsidRPr="00D965A5" w:rsidRDefault="00972E9D" w:rsidP="00882838">
      <w:pPr>
        <w:pBdr>
          <w:top w:val="nil"/>
          <w:left w:val="nil"/>
          <w:bottom w:val="nil"/>
          <w:right w:val="nil"/>
          <w:between w:val="nil"/>
          <w:bar w:val="nil"/>
        </w:pBdr>
        <w:spacing w:before="0" w:after="240"/>
        <w:rPr>
          <w:rFonts w:eastAsia="Arial Unicode MS"/>
          <w:noProof/>
          <w:color w:val="000000" w:themeColor="text1"/>
        </w:rPr>
      </w:pPr>
      <w:r w:rsidRPr="00D965A5">
        <w:rPr>
          <w:noProof/>
          <w:color w:val="000000" w:themeColor="text1"/>
        </w:rPr>
        <w:t>Parhaat edellytykset kansallisia olosuhteita vastaavien politiikkojen suunnitteluun ja täytäntöönpanoon on jäsenvaltioilla. Unionin tason toimet tuovat kuitenkin lisäarvoa, koska ne tarjoavat toimintapoliittista ohjausta ja parhaita käytäntöjä, helpottavat vastavuoroista oppimista, edistävät näyttöön perustuvia lähestymistapoja, tukevat tietojen vertailukelpoisuutta</w:t>
      </w:r>
      <w:r w:rsidRPr="00D965A5">
        <w:rPr>
          <w:noProof/>
        </w:rPr>
        <w:t xml:space="preserve"> ja parantavat mahdollisuutta hankkia rahoitusta. </w:t>
      </w:r>
      <w:r w:rsidRPr="00D965A5">
        <w:rPr>
          <w:noProof/>
          <w:color w:val="000000" w:themeColor="text1"/>
        </w:rPr>
        <w:t>Tällaisilla toimilla pidetään yllä unionin poliittista sitoumusta, jonka mukaan kaikille on varmistettava yhtäläiset mahdollisuudet ja ihmisarvoinen elämä ja jolla tuetaan jäsenvaltioiden ylöspäin tapahtuvaa sosiaalista lähentymistä.</w:t>
      </w:r>
    </w:p>
    <w:p w14:paraId="7B782977" w14:textId="77777777" w:rsidR="00B25110" w:rsidRPr="00D965A5" w:rsidRDefault="00972E9D" w:rsidP="00972E9D">
      <w:pPr>
        <w:pBdr>
          <w:top w:val="nil"/>
          <w:left w:val="nil"/>
          <w:bottom w:val="nil"/>
          <w:right w:val="nil"/>
          <w:between w:val="nil"/>
          <w:bar w:val="nil"/>
        </w:pBdr>
        <w:spacing w:before="0" w:after="240"/>
        <w:rPr>
          <w:rFonts w:eastAsia="Arial Unicode MS"/>
          <w:noProof/>
        </w:rPr>
      </w:pPr>
      <w:r w:rsidRPr="00D965A5">
        <w:rPr>
          <w:noProof/>
        </w:rPr>
        <w:t xml:space="preserve">Asuntomarkkinoilta syrjäytymisen ja asunnottomuuden poistaminen edistäisi kestävän kehityksen Agenda 2030 ‑toimintaohjelmaan kuuluvien YK:n kestävän kehityksen </w:t>
      </w:r>
      <w:r w:rsidRPr="00D965A5">
        <w:rPr>
          <w:noProof/>
        </w:rPr>
        <w:lastRenderedPageBreak/>
        <w:t>tavoitteiden saavuttamista, erityisesti kestävän kehityksen tavoitetta 11.1, joka koskee riittävän, turvallisen ja kohtuuhintaisen asunnon ja peruspalvelujen takaamista kaikille. Se edistäisi myös Euroopan sosiaalisten oikeuksien pilarin periaatteiden sekä asunnottomuuden vähentämistä käsittelevästä eurooppalaisesta foorumista annetun Lissabonin julistuksen tavoitteiden täytäntöönpanoa. Ehdotetussa suosituksessa esitetyillä toimintapolitiikoilla ja toimenpiteillä täydennetään ja tuetaan myös kohtuuhintaista asumista koskevan eurooppalaisen suunnitelman tehokasta täytäntöönpanoa keskittyen asuntokriisistä eniten kärsivien suojelemiseen. Ehdotettu neuvoston suositus toimisi jäsenvaltioille kattavana viitekehyksenä, joka ohjaisi niitä edellä mainittujen tavoitteiden saavuttamisessa.</w:t>
      </w:r>
    </w:p>
    <w:p w14:paraId="4BDBB8DC" w14:textId="77777777" w:rsidR="00C578AE" w:rsidRPr="00D965A5" w:rsidRDefault="00C578AE">
      <w:pPr>
        <w:pStyle w:val="ManualHeading2"/>
        <w:rPr>
          <w:rFonts w:eastAsia="Arial Unicode MS"/>
          <w:noProof/>
          <w:u w:color="000000"/>
          <w:bdr w:val="nil"/>
        </w:rPr>
      </w:pPr>
      <w:r w:rsidRPr="00D965A5">
        <w:rPr>
          <w:noProof/>
          <w:u w:color="000000"/>
          <w:bdr w:val="nil"/>
        </w:rPr>
        <w:t>•</w:t>
      </w:r>
      <w:r w:rsidRPr="00D965A5">
        <w:rPr>
          <w:noProof/>
        </w:rPr>
        <w:tab/>
      </w:r>
      <w:r w:rsidRPr="00D965A5">
        <w:rPr>
          <w:noProof/>
          <w:u w:color="000000"/>
          <w:bdr w:val="nil"/>
        </w:rPr>
        <w:t xml:space="preserve">Suhteellisuusperiaate </w:t>
      </w:r>
    </w:p>
    <w:p w14:paraId="474FA8DD" w14:textId="77777777" w:rsidR="006A7D5F" w:rsidRPr="00D965A5" w:rsidRDefault="001C7747" w:rsidP="006A7D5F">
      <w:pPr>
        <w:pBdr>
          <w:top w:val="nil"/>
          <w:left w:val="nil"/>
          <w:bottom w:val="nil"/>
          <w:right w:val="nil"/>
          <w:between w:val="nil"/>
          <w:bar w:val="nil"/>
        </w:pBdr>
        <w:spacing w:before="0" w:after="240"/>
        <w:rPr>
          <w:rFonts w:eastAsia="Arial Unicode MS"/>
          <w:noProof/>
          <w:color w:val="000000" w:themeColor="text1"/>
        </w:rPr>
      </w:pPr>
      <w:r w:rsidRPr="00D965A5">
        <w:rPr>
          <w:noProof/>
          <w:color w:val="000000" w:themeColor="text1"/>
        </w:rPr>
        <w:t xml:space="preserve">Tässä suosituksessa ehdotetut toimenpiteet ovat oikeassa suhteessa asetettuihin tavoitteisiin. Suosituksessa ei aseteta sitovia velvoitteita eikä yhdenmukaisteta kansallista lainsäädäntöä. Sen sijaan se tarjoaa joustavia ohjeita, ja siinä yksilöidään tehokkaita käytäntöjä ja kannustetaan mukautumaan sovittuihin periaatteisiin asteittain. Suosituksessa ei siksi ylitetä sitä, mikä on tarpeen sen tavoitteiden saavuttamiseksi, ja se on oikeasuhteinen ratkaistaviin haasteisiin nähden. </w:t>
      </w:r>
    </w:p>
    <w:p w14:paraId="560DF110" w14:textId="77777777" w:rsidR="006F00C1" w:rsidRPr="00D965A5" w:rsidRDefault="006A7D5F" w:rsidP="006A7D5F">
      <w:pPr>
        <w:pBdr>
          <w:top w:val="nil"/>
          <w:left w:val="nil"/>
          <w:bottom w:val="nil"/>
          <w:right w:val="nil"/>
          <w:between w:val="nil"/>
          <w:bar w:val="nil"/>
        </w:pBdr>
        <w:spacing w:before="0" w:after="240"/>
        <w:rPr>
          <w:rFonts w:eastAsia="Arial Unicode MS"/>
          <w:noProof/>
          <w:color w:val="000000" w:themeColor="text1"/>
        </w:rPr>
      </w:pPr>
      <w:r w:rsidRPr="00D965A5">
        <w:rPr>
          <w:noProof/>
          <w:color w:val="000000" w:themeColor="text1"/>
        </w:rPr>
        <w:t>Ehdotuksella tuetaan asuntopolitiikan jatkokehittämistä epävarmoissa asuinoloissa elävien osalta sekä hoitoon ja muihin palveluihin ja sosiaalisiin turvaverkkoihin pääsyä jäsenvaltioissa, minkä lisäksi sillä täydennetään jäsenvaltioiden pyrkimyksiä torjua heikommassa asemassa olevien henkilöiden sosiaalista syrjäytymistä. Ehdotetussa suosituksessa otetaan huomioon jäsenvaltioiden käytännöt ja sosiaalisen suojelun järjestelmien moninaisuus. Ehdotuksessa todetaan, että erilaiset kansalliset, alueelliset tai paikalliset tilanteet voivat johtaa eroihin suosituksen täytäntöönpanotavoissa, ja siinä annetaan jäsenvaltioille mahdollisuus soveltaa suositusta oman erityistilanteensa mukaisesti. Suhteellisuusperiaate oli myös toimintatavan valintaa ohjaava keskeinen tekijä.</w:t>
      </w:r>
    </w:p>
    <w:p w14:paraId="6FE5D74A" w14:textId="77777777" w:rsidR="00C578AE" w:rsidRPr="00D965A5" w:rsidRDefault="00C578AE">
      <w:pPr>
        <w:pStyle w:val="ManualHeading2"/>
        <w:rPr>
          <w:rFonts w:eastAsia="Arial Unicode MS"/>
          <w:noProof/>
          <w:u w:color="000000"/>
          <w:bdr w:val="nil"/>
        </w:rPr>
      </w:pPr>
      <w:r w:rsidRPr="00D965A5">
        <w:rPr>
          <w:noProof/>
          <w:u w:color="000000"/>
          <w:bdr w:val="nil"/>
        </w:rPr>
        <w:t>•</w:t>
      </w:r>
      <w:r w:rsidRPr="00D965A5">
        <w:rPr>
          <w:noProof/>
        </w:rPr>
        <w:tab/>
      </w:r>
      <w:r w:rsidRPr="00D965A5">
        <w:rPr>
          <w:noProof/>
          <w:u w:color="000000"/>
          <w:bdr w:val="nil"/>
        </w:rPr>
        <w:t>Toimintatavan valinta</w:t>
      </w:r>
    </w:p>
    <w:p w14:paraId="5F8121F9" w14:textId="77777777" w:rsidR="001531DB" w:rsidRPr="00D965A5" w:rsidRDefault="001531DB" w:rsidP="001531DB">
      <w:pPr>
        <w:pBdr>
          <w:top w:val="nil"/>
          <w:left w:val="nil"/>
          <w:bottom w:val="nil"/>
          <w:right w:val="nil"/>
          <w:between w:val="nil"/>
          <w:bar w:val="nil"/>
        </w:pBdr>
        <w:spacing w:before="0" w:after="240"/>
        <w:rPr>
          <w:rFonts w:eastAsia="Arial Unicode MS"/>
          <w:noProof/>
        </w:rPr>
      </w:pPr>
      <w:r w:rsidRPr="00D965A5">
        <w:rPr>
          <w:noProof/>
        </w:rPr>
        <w:t xml:space="preserve">Ehdotettu toimintatapa on ehdotus neuvoston suositukseksi, ja siinä noudatetaan toissijaisuus- ja suhteellisuusperiaatetta. Se rakentuu voimassa olevalle unionin lainsäädännölle ja kuuluu niihin toimintatapoihin, jotka ovat käytettävissä unionin toimiin sosiaalipolitiikan alalla. Oikeudellisena välineenä ehdotus viestii jäsenvaltioiden sitoutumisesta ehdotuksessa esitettyihin toimenpiteisiin ja luo vahvan poliittisen perustan unionin tason yhteistyölle tällä alalla kunnioittaen kuitenkin samalla täysin jäsenvaltioiden toimivaltaa. </w:t>
      </w:r>
    </w:p>
    <w:p w14:paraId="78014377" w14:textId="77777777" w:rsidR="00C578AE" w:rsidRPr="00D965A5" w:rsidRDefault="00C578AE">
      <w:pPr>
        <w:pStyle w:val="ManualHeading1"/>
        <w:rPr>
          <w:noProof/>
        </w:rPr>
      </w:pPr>
      <w:r w:rsidRPr="00D965A5">
        <w:rPr>
          <w:noProof/>
        </w:rPr>
        <w:t>3.</w:t>
      </w:r>
      <w:r w:rsidRPr="00D965A5">
        <w:rPr>
          <w:noProof/>
        </w:rPr>
        <w:tab/>
        <w:t>JÄLKIARVIOINTIEN, SIDOSRYHMIEN KUULEMISTEN JA VAIKUTUSTENARVIOINTIEN TULOKSET</w:t>
      </w:r>
    </w:p>
    <w:p w14:paraId="63862FA7" w14:textId="77777777" w:rsidR="00C578AE" w:rsidRPr="00D965A5" w:rsidRDefault="00C578AE">
      <w:pPr>
        <w:pStyle w:val="ManualHeading2"/>
        <w:rPr>
          <w:rFonts w:eastAsia="Arial Unicode MS"/>
          <w:noProof/>
          <w:u w:color="000000"/>
          <w:bdr w:val="nil"/>
        </w:rPr>
      </w:pPr>
      <w:r w:rsidRPr="00D965A5">
        <w:rPr>
          <w:noProof/>
          <w:u w:color="000000"/>
          <w:bdr w:val="nil"/>
        </w:rPr>
        <w:t>•</w:t>
      </w:r>
      <w:r w:rsidRPr="00D965A5">
        <w:rPr>
          <w:noProof/>
        </w:rPr>
        <w:tab/>
      </w:r>
      <w:r w:rsidRPr="00D965A5">
        <w:rPr>
          <w:noProof/>
          <w:u w:color="000000"/>
          <w:bdr w:val="nil"/>
        </w:rPr>
        <w:t>Jälkiarvioinnit/toimivuustarkastukset</w:t>
      </w:r>
    </w:p>
    <w:p w14:paraId="2DDF0A96" w14:textId="77777777" w:rsidR="00C578AE" w:rsidRPr="00D965A5" w:rsidRDefault="0001056A">
      <w:pPr>
        <w:pBdr>
          <w:top w:val="nil"/>
          <w:left w:val="nil"/>
          <w:bottom w:val="nil"/>
          <w:right w:val="nil"/>
          <w:between w:val="nil"/>
          <w:bar w:val="nil"/>
        </w:pBdr>
        <w:spacing w:before="0" w:after="240"/>
        <w:rPr>
          <w:rFonts w:eastAsia="Arial Unicode MS"/>
          <w:noProof/>
        </w:rPr>
      </w:pPr>
      <w:r w:rsidRPr="00D965A5">
        <w:rPr>
          <w:noProof/>
        </w:rPr>
        <w:t>Ei sovelleta.</w:t>
      </w:r>
    </w:p>
    <w:p w14:paraId="60A5EC10" w14:textId="77777777" w:rsidR="00C578AE" w:rsidRPr="00D965A5" w:rsidRDefault="00C578AE">
      <w:pPr>
        <w:pStyle w:val="ManualHeading2"/>
        <w:rPr>
          <w:rFonts w:eastAsia="Arial Unicode MS"/>
          <w:noProof/>
          <w:u w:color="000000"/>
          <w:bdr w:val="nil"/>
        </w:rPr>
      </w:pPr>
      <w:r w:rsidRPr="00D965A5">
        <w:rPr>
          <w:noProof/>
          <w:u w:color="000000"/>
          <w:bdr w:val="nil"/>
        </w:rPr>
        <w:t>•</w:t>
      </w:r>
      <w:r w:rsidRPr="00D965A5">
        <w:rPr>
          <w:noProof/>
        </w:rPr>
        <w:tab/>
      </w:r>
      <w:r w:rsidRPr="00D965A5">
        <w:rPr>
          <w:noProof/>
          <w:u w:color="000000"/>
          <w:bdr w:val="nil"/>
        </w:rPr>
        <w:t>Sidosryhmien kuuleminen</w:t>
      </w:r>
    </w:p>
    <w:p w14:paraId="585E1E44" w14:textId="77777777" w:rsidR="00ED7DBC" w:rsidRPr="00D965A5" w:rsidRDefault="005E319F" w:rsidP="00842964">
      <w:pPr>
        <w:pBdr>
          <w:top w:val="nil"/>
          <w:left w:val="nil"/>
          <w:bottom w:val="nil"/>
          <w:right w:val="nil"/>
          <w:between w:val="nil"/>
          <w:bar w:val="nil"/>
        </w:pBdr>
        <w:spacing w:before="0" w:after="240"/>
        <w:rPr>
          <w:rFonts w:eastAsia="Arial Unicode MS"/>
          <w:noProof/>
        </w:rPr>
      </w:pPr>
      <w:r w:rsidRPr="00D965A5">
        <w:rPr>
          <w:noProof/>
        </w:rPr>
        <w:t xml:space="preserve">Tämäntyyppisistä aloitteista ei tarvitse järjestää julkista kuulemista. </w:t>
      </w:r>
    </w:p>
    <w:p w14:paraId="2DBC0B98" w14:textId="77777777" w:rsidR="00A35230" w:rsidRPr="00D965A5" w:rsidRDefault="00A91635" w:rsidP="00842964">
      <w:pPr>
        <w:pBdr>
          <w:top w:val="nil"/>
          <w:left w:val="nil"/>
          <w:bottom w:val="nil"/>
          <w:right w:val="nil"/>
          <w:between w:val="nil"/>
          <w:bar w:val="nil"/>
        </w:pBdr>
        <w:spacing w:before="0" w:after="240"/>
        <w:rPr>
          <w:rFonts w:eastAsia="Arial Unicode MS"/>
          <w:noProof/>
        </w:rPr>
      </w:pPr>
      <w:r w:rsidRPr="00D965A5">
        <w:rPr>
          <w:noProof/>
        </w:rPr>
        <w:t xml:space="preserve">Julkaistiin kannanottopyyntö, jossa pyydettiin palautetta 12. maaliskuuta ja 9. huhtikuuta 2026 välisenä aikana. Palautteesta kävi ilmi, että kohtuuhintaisten ja sosiaalisten asuntojen puutteesta oltiin huolestuneita monilla aloilla. Vastaajat vaativat kestävää julkista investoimista, lisää voittoa tavoittelematonta asuntotarjontaa ja asunto-osuuskuntia sekä EU:n varojen tehokkaampaa käyttöä. Vastaajat ilmaisivat vahvan tukensa asuntolähtöisille </w:t>
      </w:r>
      <w:r w:rsidRPr="00D965A5">
        <w:rPr>
          <w:noProof/>
        </w:rPr>
        <w:lastRenderedPageBreak/>
        <w:t xml:space="preserve">lähestymistavoille näyttöön perustuvana valittuna mallina ja vaativat mallin järjestelmällisesti laajempaa käyttöä kansallisella tasolla. Vastaajat korostivat, että tarvitaan yksilökeskeisiä, yhdennettyjä lähestymistapoja, joissa asuminen liitetään terveys-, sosiaali-, työllisyys- ja koulutuspalveluihin. Varhaisvaroitusjärjestelmien, häätöihin liittyvien suojatoimien, vuokrasovittelun ja velkatuen avulla toteutettavaa ennaltaehkäisyä pidettiin alirahoitettuna ja kehittymättömänä. Vastaajat vaativat myös tiedonkeruun yhdenmukaistamista ETHOS-luokituksella ja EU:n tason tehostettua seurantaa muun muassa eurooppalaisen ohjausjakson avulla. Lisäksi korostettiin kohtuutonta vaikutusta haavoittuvassa asemassa oleviin ryhmiin – romaneihin, vammaisiin henkilöihin, hlbtiq+ ‑henkilöihin, naisiin ja yksinhuoltajaäiteihin, lapsiin, laitosympäristöstä pois siirtyviin nuoriin, maahanmuuttajiin ja suurperheisiin. </w:t>
      </w:r>
    </w:p>
    <w:p w14:paraId="2215877C" w14:textId="77777777" w:rsidR="005E319F" w:rsidRPr="00D965A5" w:rsidRDefault="005E319F" w:rsidP="00842964">
      <w:pPr>
        <w:pBdr>
          <w:top w:val="nil"/>
          <w:left w:val="nil"/>
          <w:bottom w:val="nil"/>
          <w:right w:val="nil"/>
          <w:between w:val="nil"/>
          <w:bar w:val="nil"/>
        </w:pBdr>
        <w:spacing w:before="0" w:after="240"/>
        <w:rPr>
          <w:noProof/>
        </w:rPr>
      </w:pPr>
      <w:bookmarkStart w:id="2" w:name="_Hlk220931112"/>
      <w:r w:rsidRPr="00D965A5">
        <w:rPr>
          <w:noProof/>
        </w:rPr>
        <w:t xml:space="preserve">Komissio järjesti 25. heinäkuuta ja 24. lokakuuta 2025 välisenä aikana EU:n köyhyydentorjuntastrategiaa koskevan julkisen kuulemisen, josta oli apua tämän ehdotuksen sisällön muotoilussa. Ehdotus on osa EU:n köyhyydentorjuntastrategiaa koskevaa pakettia. EU:n köyhyydentorjuntastrategian kehittämisen yhteydessä järjestettiin syys- ja lokakuussa 2025 kohdennettuja kuulemisia köyhyydessä eläville. </w:t>
      </w:r>
    </w:p>
    <w:p w14:paraId="2EFB5B8B" w14:textId="77777777" w:rsidR="001D3E76" w:rsidRPr="00D965A5" w:rsidRDefault="0088755E" w:rsidP="001D3E76">
      <w:pPr>
        <w:pBdr>
          <w:top w:val="nil"/>
          <w:left w:val="nil"/>
          <w:bottom w:val="nil"/>
          <w:right w:val="nil"/>
          <w:between w:val="nil"/>
          <w:bar w:val="nil"/>
        </w:pBdr>
        <w:spacing w:before="0" w:after="240"/>
        <w:rPr>
          <w:noProof/>
        </w:rPr>
      </w:pPr>
      <w:r w:rsidRPr="00D965A5">
        <w:rPr>
          <w:noProof/>
        </w:rPr>
        <w:t>Ehdotus perustuu myös komission kohtuuhintaista asumista koskevan eurooppalaisen suunnitelman laatimisen yhteydessä 11. heinäkuuta ja 17. lokakuuta 2025 välisenä aikana toteuttaman julkisen kuulemisen tuloksiin. Kuulemiseen sisältyi kysymyksiä, joilla pyrittiin keräämään osallistujien näkemyksiä kohtuuhintaisten ja esteettömien asuntojen varmistamisesta haavoittuvassa asemassa tai syrjinnän vaarassa oleville tai asunnottomille henkilöille. Kuuleminen oli osa kohtuuhintaista asumista koskevaa vuoropuhelua, jonka komissio käynnisti suunnitelman laatimista varten, ja siihen saatiin yli 13 000 vastausta.</w:t>
      </w:r>
    </w:p>
    <w:p w14:paraId="7BF39F83" w14:textId="77777777" w:rsidR="005E319F" w:rsidRPr="00D965A5" w:rsidRDefault="005E319F" w:rsidP="005E319F">
      <w:pPr>
        <w:pBdr>
          <w:top w:val="nil"/>
          <w:left w:val="nil"/>
          <w:bottom w:val="nil"/>
          <w:right w:val="nil"/>
          <w:between w:val="nil"/>
          <w:bar w:val="nil"/>
        </w:pBdr>
        <w:spacing w:before="0" w:after="240"/>
        <w:rPr>
          <w:rFonts w:eastAsia="Arial Unicode MS"/>
          <w:noProof/>
        </w:rPr>
      </w:pPr>
      <w:r w:rsidRPr="00D965A5">
        <w:rPr>
          <w:noProof/>
        </w:rPr>
        <w:t xml:space="preserve">Asunnottomuuden vähentämistä käsittelevää eurooppalaista foorumia kuultiin tämän ehdotuksen sisällöstä kirjallisessa kuulemisessa tammikuussa 2026. Foorumiin kuuluvat kaikki asunnottomuuden torjunnasta vastaavat sidosryhmät eli Euroopan komissio, Euroopan parlamentti, jäsenvaltiot, alueiden komitea, Euroopan talous- ja sosiaalikomitea, työmarkkinaosapuolet ja asiaankuuluvat eurooppalaiset sidosryhmät.  </w:t>
      </w:r>
    </w:p>
    <w:bookmarkEnd w:id="2"/>
    <w:p w14:paraId="4C3B5163" w14:textId="77777777" w:rsidR="00C578AE" w:rsidRPr="00D965A5" w:rsidRDefault="00C578AE">
      <w:pPr>
        <w:pStyle w:val="ManualHeading2"/>
        <w:rPr>
          <w:rFonts w:eastAsia="Arial Unicode MS"/>
          <w:noProof/>
          <w:u w:color="000000"/>
          <w:bdr w:val="nil"/>
        </w:rPr>
      </w:pPr>
      <w:r w:rsidRPr="00D965A5">
        <w:rPr>
          <w:noProof/>
          <w:u w:color="000000"/>
          <w:bdr w:val="nil"/>
        </w:rPr>
        <w:t>•</w:t>
      </w:r>
      <w:r w:rsidRPr="00D965A5">
        <w:rPr>
          <w:noProof/>
        </w:rPr>
        <w:tab/>
      </w:r>
      <w:r w:rsidRPr="00D965A5">
        <w:rPr>
          <w:noProof/>
          <w:u w:color="000000"/>
          <w:bdr w:val="nil"/>
        </w:rPr>
        <w:t>Asiantuntijatiedon keruu ja käyttö</w:t>
      </w:r>
    </w:p>
    <w:p w14:paraId="1AAE12EA" w14:textId="77777777" w:rsidR="0002616A" w:rsidRPr="00D965A5" w:rsidRDefault="0002616A" w:rsidP="0002616A">
      <w:pPr>
        <w:pBdr>
          <w:top w:val="nil"/>
          <w:left w:val="nil"/>
          <w:bottom w:val="nil"/>
          <w:right w:val="nil"/>
          <w:between w:val="nil"/>
          <w:bar w:val="nil"/>
        </w:pBdr>
        <w:spacing w:before="0" w:after="240"/>
        <w:rPr>
          <w:b/>
          <w:bCs/>
          <w:noProof/>
        </w:rPr>
      </w:pPr>
      <w:r w:rsidRPr="00D965A5">
        <w:rPr>
          <w:noProof/>
        </w:rPr>
        <w:t xml:space="preserve">Tämän aloitteen taustalla oleva näyttö perustuu </w:t>
      </w:r>
      <w:r w:rsidRPr="00D965A5">
        <w:rPr>
          <w:b/>
          <w:noProof/>
        </w:rPr>
        <w:t>asunnottomuuden vähentämistä käsittelevän eurooppalaisen foorumin puitteissa vuodesta 2021 lähtien tehtyyn työhön</w:t>
      </w:r>
      <w:r w:rsidRPr="00D965A5">
        <w:rPr>
          <w:noProof/>
        </w:rPr>
        <w:t>.</w:t>
      </w:r>
      <w:r w:rsidRPr="00D965A5">
        <w:rPr>
          <w:b/>
          <w:noProof/>
        </w:rPr>
        <w:t xml:space="preserve"> </w:t>
      </w:r>
    </w:p>
    <w:p w14:paraId="23186D95" w14:textId="77777777" w:rsidR="001866C4" w:rsidRPr="00D965A5" w:rsidRDefault="0002616A" w:rsidP="0002616A">
      <w:pPr>
        <w:pBdr>
          <w:top w:val="nil"/>
          <w:left w:val="nil"/>
          <w:bottom w:val="nil"/>
          <w:right w:val="nil"/>
          <w:between w:val="nil"/>
          <w:bar w:val="nil"/>
        </w:pBdr>
        <w:spacing w:before="0" w:after="240"/>
        <w:rPr>
          <w:noProof/>
        </w:rPr>
      </w:pPr>
      <w:r w:rsidRPr="00D965A5">
        <w:rPr>
          <w:noProof/>
        </w:rPr>
        <w:t>Foorumin vastavuoroista oppimista koskevassa toimintalohkossa tilattiin useita tutkimuksia</w:t>
      </w:r>
      <w:r w:rsidRPr="00D965A5">
        <w:rPr>
          <w:rStyle w:val="FootnoteReference"/>
          <w:noProof/>
        </w:rPr>
        <w:footnoteReference w:id="7"/>
      </w:r>
      <w:r w:rsidRPr="00D965A5">
        <w:rPr>
          <w:noProof/>
        </w:rPr>
        <w:t xml:space="preserve">, jotta jäsenvaltiot saisivat tietoa ja tukea suunnitellessaan ja pannessaan täytäntöön kansallisia strategioitaan asuntomarkkinoilta syrjäytymisen ja asunnottomuuden torjumiseksi. Tutkimusten mukaan asunnottomuuden torjuminen edellyttää siirtymistä hätätoimista asuntolähtöisiin ratkaisuihin, jolloin voitaisiin tarjota välittömästi vakaa asumismuoto ja räätälöityä tukea. Tällaisella lähestymistavalla katkaistaan kallis kierre, joka aiheutuu tilapäisten suojien käytöstä, ja korostetaan kohtuuhintaista asumista keskeisenä ennaltaehkäisevänä toimenpiteenä. </w:t>
      </w:r>
    </w:p>
    <w:p w14:paraId="7B30A70C" w14:textId="77777777" w:rsidR="0002616A" w:rsidRPr="00D965A5" w:rsidRDefault="00FD4AC3" w:rsidP="0002616A">
      <w:pPr>
        <w:pBdr>
          <w:top w:val="nil"/>
          <w:left w:val="nil"/>
          <w:bottom w:val="nil"/>
          <w:right w:val="nil"/>
          <w:between w:val="nil"/>
          <w:bar w:val="nil"/>
        </w:pBdr>
        <w:spacing w:before="0" w:after="240"/>
        <w:rPr>
          <w:noProof/>
        </w:rPr>
      </w:pPr>
      <w:r w:rsidRPr="00D965A5">
        <w:rPr>
          <w:noProof/>
        </w:rPr>
        <w:lastRenderedPageBreak/>
        <w:t>Asunnottomuuden torjuntaan tarkoitetulla OECD:n välineistöllä</w:t>
      </w:r>
      <w:r w:rsidRPr="00D965A5">
        <w:rPr>
          <w:rStyle w:val="FootnoteReference"/>
          <w:noProof/>
        </w:rPr>
        <w:footnoteReference w:id="8"/>
      </w:r>
      <w:r w:rsidRPr="00D965A5">
        <w:rPr>
          <w:noProof/>
        </w:rPr>
        <w:t xml:space="preserve"> tarjotaan strategioita asunnottomuuden vähentämiseksi ennaltaehkäisevillä ja reaktiivisilla toimenpiteillä tehokkaiden pitkän aikavälin ratkaisujen aikaan saamiseksi korostaen datalähtöistä politiikkaa, integroitua tukea, asumisen vakautta, räätälöityjä toimintamalleja ja monialaista yhteistyötä. OECD:n seurantakehyksellä</w:t>
      </w:r>
      <w:r w:rsidRPr="00D965A5">
        <w:rPr>
          <w:rStyle w:val="FootnoteReference"/>
          <w:noProof/>
        </w:rPr>
        <w:footnoteReference w:id="9"/>
      </w:r>
      <w:r w:rsidRPr="00D965A5">
        <w:rPr>
          <w:noProof/>
        </w:rPr>
        <w:t xml:space="preserve"> pyritään parantamaan ymmärrystä asunnottomuudesta ja asunnottomuuden mittaamista asettamalla tietojen keräämiselle ja analysoinnille yhdenmukaiset kansainväliset standardit. Samalla korostetaan asunnottomuuden monitahoisuutta kuvaavien kattavien, vertailukelpoisten mittareiden käytön merkitystä. </w:t>
      </w:r>
    </w:p>
    <w:p w14:paraId="148560DD" w14:textId="77777777" w:rsidR="001C6EBB" w:rsidRPr="00D965A5" w:rsidRDefault="001C6EBB" w:rsidP="001C6EBB">
      <w:pPr>
        <w:rPr>
          <w:noProof/>
        </w:rPr>
      </w:pPr>
      <w:r w:rsidRPr="00D965A5">
        <w:rPr>
          <w:noProof/>
        </w:rPr>
        <w:t>Euroopan asunnottomuuslaskennan</w:t>
      </w:r>
      <w:r w:rsidRPr="00D965A5">
        <w:rPr>
          <w:rStyle w:val="FootnoteReference"/>
          <w:noProof/>
        </w:rPr>
        <w:footnoteReference w:id="10"/>
      </w:r>
      <w:r w:rsidRPr="00D965A5">
        <w:rPr>
          <w:noProof/>
        </w:rPr>
        <w:t xml:space="preserve"> pilottihankkeessa kehitettiin asunnottomuuden laskemista ja profiloimista varten kaikkialla EU:ssa vertailukelpoinen menetelmä, jota myös testattiin. Hankkeessa käytetään ETHOS Light ‑määrittelyyn</w:t>
      </w:r>
      <w:r w:rsidRPr="00D965A5">
        <w:rPr>
          <w:rStyle w:val="FootnoteReference"/>
          <w:noProof/>
        </w:rPr>
        <w:footnoteReference w:id="11"/>
      </w:r>
      <w:r w:rsidRPr="00D965A5">
        <w:rPr>
          <w:noProof/>
        </w:rPr>
        <w:t xml:space="preserve"> perustuvaa yhdenmukaistettua lähestymistapaa.</w:t>
      </w:r>
    </w:p>
    <w:p w14:paraId="5BE1A82B" w14:textId="77777777" w:rsidR="00BE49FF" w:rsidRPr="00D965A5" w:rsidRDefault="0002616A" w:rsidP="00557312">
      <w:pPr>
        <w:rPr>
          <w:noProof/>
          <w:szCs w:val="24"/>
        </w:rPr>
      </w:pPr>
      <w:r w:rsidRPr="00D965A5">
        <w:rPr>
          <w:noProof/>
        </w:rPr>
        <w:t>Köyhyyden ja asuntomarkkinoilta syrjäytymisen välistä yhteyttä analysoitiin kattavasti eurooppalaisen sosiaalipolitiikkaa analysoivan verkoston (European Social Policy Analysis Network) raportissa</w:t>
      </w:r>
      <w:r w:rsidRPr="00D965A5">
        <w:rPr>
          <w:rStyle w:val="FootnoteReference"/>
          <w:noProof/>
        </w:rPr>
        <w:footnoteReference w:id="12"/>
      </w:r>
      <w:r w:rsidRPr="00D965A5">
        <w:rPr>
          <w:noProof/>
        </w:rPr>
        <w:t xml:space="preserve">, jossa esitetään vertaileva analyysi asunnottomuutta ja köyhyyden torjuntaa koskevien politiikkojen yhtymäkohdista kaikkialla EU:ssa. </w:t>
      </w:r>
    </w:p>
    <w:p w14:paraId="7AFD6810" w14:textId="77777777" w:rsidR="00C578AE" w:rsidRPr="00D965A5" w:rsidRDefault="00C578AE">
      <w:pPr>
        <w:pStyle w:val="ManualHeading2"/>
        <w:rPr>
          <w:rFonts w:eastAsia="Arial Unicode MS"/>
          <w:noProof/>
          <w:u w:color="000000"/>
          <w:bdr w:val="nil"/>
        </w:rPr>
      </w:pPr>
      <w:r w:rsidRPr="00D965A5">
        <w:rPr>
          <w:noProof/>
          <w:u w:color="000000"/>
          <w:bdr w:val="nil"/>
        </w:rPr>
        <w:t>•</w:t>
      </w:r>
      <w:r w:rsidRPr="00D965A5">
        <w:rPr>
          <w:noProof/>
        </w:rPr>
        <w:tab/>
      </w:r>
      <w:r w:rsidRPr="00D965A5">
        <w:rPr>
          <w:noProof/>
          <w:u w:color="000000"/>
          <w:bdr w:val="nil"/>
        </w:rPr>
        <w:t>Vaikutustenarviointi</w:t>
      </w:r>
    </w:p>
    <w:p w14:paraId="668E23F9" w14:textId="77777777" w:rsidR="0096681E" w:rsidRPr="00D965A5" w:rsidRDefault="004F5935" w:rsidP="0096681E">
      <w:pPr>
        <w:pBdr>
          <w:top w:val="nil"/>
          <w:left w:val="nil"/>
          <w:bottom w:val="nil"/>
          <w:right w:val="nil"/>
          <w:between w:val="nil"/>
          <w:bar w:val="nil"/>
        </w:pBdr>
        <w:spacing w:before="0" w:after="240"/>
        <w:rPr>
          <w:rFonts w:eastAsia="Arial Unicode MS"/>
          <w:noProof/>
        </w:rPr>
      </w:pPr>
      <w:r w:rsidRPr="00D965A5">
        <w:rPr>
          <w:noProof/>
        </w:rPr>
        <w:t>Vaikutustenarviointia ei ole suunnitteilla, koska valittu väline – neuvoston suositus – ei ole sitova ja täytäntöönpanosta päättävät jäsenvaltiot. Ehdotusta neuvoston suositukseksi tuetaan köyhyydentorjuntastrategiaan liittyvällä komission yksiköiden valmisteluasiakirjalla.</w:t>
      </w:r>
    </w:p>
    <w:p w14:paraId="7606F287" w14:textId="77777777" w:rsidR="00C578AE" w:rsidRPr="00D965A5" w:rsidRDefault="0096681E">
      <w:pPr>
        <w:pBdr>
          <w:top w:val="nil"/>
          <w:left w:val="nil"/>
          <w:bottom w:val="nil"/>
          <w:right w:val="nil"/>
          <w:between w:val="nil"/>
          <w:bar w:val="nil"/>
        </w:pBdr>
        <w:spacing w:before="0" w:after="240"/>
        <w:rPr>
          <w:rFonts w:eastAsia="Arial Unicode MS"/>
          <w:noProof/>
        </w:rPr>
      </w:pPr>
      <w:r w:rsidRPr="00D965A5">
        <w:rPr>
          <w:noProof/>
        </w:rPr>
        <w:t>Suosituksen vaikutukset eivät riipu ainoastaan siitä, millä tavoin jäsenvaltiot toteuttavat toimenpiteet. Merkitystä on myös kansallisilla olosuhteilla, kuten makrotaloudellisella tilanteella, sosiaaliturvajärjestelmien ja sosiaalipalveluiden rakenteella sekä asuntojärjestelmien toiminnalla. Näiden tekijöiden vuoksi ehdotuksen tarkkoja vaikutuksia on vaikea tarkastella erillään muista tekijöistä.</w:t>
      </w:r>
    </w:p>
    <w:p w14:paraId="0393148A" w14:textId="77777777" w:rsidR="00C578AE" w:rsidRPr="00D965A5" w:rsidRDefault="00C578AE">
      <w:pPr>
        <w:pStyle w:val="ManualHeading2"/>
        <w:rPr>
          <w:rFonts w:eastAsia="Arial Unicode MS"/>
          <w:noProof/>
          <w:u w:color="000000"/>
          <w:bdr w:val="nil"/>
        </w:rPr>
      </w:pPr>
      <w:r w:rsidRPr="00D965A5">
        <w:rPr>
          <w:noProof/>
          <w:u w:color="000000"/>
          <w:bdr w:val="nil"/>
        </w:rPr>
        <w:t>•</w:t>
      </w:r>
      <w:r w:rsidRPr="00D965A5">
        <w:rPr>
          <w:noProof/>
        </w:rPr>
        <w:tab/>
      </w:r>
      <w:r w:rsidRPr="00D965A5">
        <w:rPr>
          <w:noProof/>
          <w:u w:color="000000"/>
          <w:bdr w:val="nil"/>
        </w:rPr>
        <w:t>Perusoikeudet</w:t>
      </w:r>
    </w:p>
    <w:p w14:paraId="3C87B066" w14:textId="77777777" w:rsidR="00196672" w:rsidRPr="00D965A5" w:rsidRDefault="00196672" w:rsidP="00196672">
      <w:pPr>
        <w:pBdr>
          <w:top w:val="nil"/>
          <w:left w:val="nil"/>
          <w:bottom w:val="nil"/>
          <w:right w:val="nil"/>
          <w:between w:val="nil"/>
          <w:bar w:val="nil"/>
        </w:pBdr>
        <w:spacing w:before="0" w:after="240"/>
        <w:rPr>
          <w:rFonts w:eastAsia="Arial Unicode MS"/>
          <w:noProof/>
        </w:rPr>
      </w:pPr>
      <w:bookmarkStart w:id="5" w:name="_Hlk220930317"/>
      <w:r w:rsidRPr="00D965A5">
        <w:rPr>
          <w:noProof/>
        </w:rPr>
        <w:t xml:space="preserve">Ehdotuksella pyritään osaltaan turvaamaan oikeus ihmisarvoon (Euroopan unionin perusoikeuskirjan 1 artikla), oikeus sosiaaliturvaetuuksiin ja sosiaalipalveluihin, oikeus sosiaalitukeen ja asumistukeen sekä oikeus ihmisarvoiseen elämään niille, joilla ei ole riittävästi varoja (perusoikeuskirjan 34 artikla). </w:t>
      </w:r>
    </w:p>
    <w:bookmarkEnd w:id="5"/>
    <w:p w14:paraId="3C8710B9" w14:textId="77777777" w:rsidR="00C578AE" w:rsidRPr="00D965A5" w:rsidRDefault="00C578AE">
      <w:pPr>
        <w:pStyle w:val="ManualHeading1"/>
        <w:rPr>
          <w:noProof/>
        </w:rPr>
      </w:pPr>
      <w:r w:rsidRPr="00D965A5">
        <w:rPr>
          <w:noProof/>
        </w:rPr>
        <w:t>4.</w:t>
      </w:r>
      <w:r w:rsidRPr="00D965A5">
        <w:rPr>
          <w:noProof/>
        </w:rPr>
        <w:tab/>
        <w:t>TALOUSARVIOVAIKUTUKSET</w:t>
      </w:r>
    </w:p>
    <w:p w14:paraId="2499509E" w14:textId="77777777" w:rsidR="00143377" w:rsidRPr="00D965A5" w:rsidRDefault="002A4F74" w:rsidP="00143377">
      <w:pPr>
        <w:pBdr>
          <w:top w:val="nil"/>
          <w:left w:val="nil"/>
          <w:bottom w:val="nil"/>
          <w:right w:val="nil"/>
          <w:between w:val="nil"/>
          <w:bar w:val="nil"/>
        </w:pBdr>
        <w:spacing w:before="0" w:after="240"/>
        <w:rPr>
          <w:rFonts w:eastAsia="Arial Unicode MS"/>
          <w:noProof/>
        </w:rPr>
      </w:pPr>
      <w:bookmarkStart w:id="6" w:name="_Hlk220930254"/>
      <w:r w:rsidRPr="00D965A5">
        <w:rPr>
          <w:noProof/>
        </w:rPr>
        <w:t xml:space="preserve">Suosituksella ei ole välittömiä vaikutuksia unionin talousarvioon. Siinä kehotetaan, että jäsenvaltiot hyödyntäisivät tehokkaasti olemassa olevia kansallisia resurssejaan ja asiaankuuluvia unionin rahoitusvälineitä, joita ovat muun muassa ESR+, EAKR, Erasmus+, </w:t>
      </w:r>
      <w:r w:rsidRPr="00D965A5">
        <w:rPr>
          <w:noProof/>
        </w:rPr>
        <w:lastRenderedPageBreak/>
        <w:t xml:space="preserve">InvestEU ja elpymis- ja palautumistukiväline, seuraavan monivuotisen rahoituskehyksen mukaisten sääntöjensä ja välineidensä mukaisesti. </w:t>
      </w:r>
    </w:p>
    <w:bookmarkEnd w:id="6"/>
    <w:p w14:paraId="28B674D9" w14:textId="77777777" w:rsidR="00C578AE" w:rsidRPr="00D965A5" w:rsidRDefault="00C578AE">
      <w:pPr>
        <w:pStyle w:val="ManualHeading1"/>
        <w:rPr>
          <w:noProof/>
        </w:rPr>
      </w:pPr>
      <w:r w:rsidRPr="00D965A5">
        <w:rPr>
          <w:noProof/>
        </w:rPr>
        <w:t>5.</w:t>
      </w:r>
      <w:r w:rsidRPr="00D965A5">
        <w:rPr>
          <w:noProof/>
        </w:rPr>
        <w:tab/>
        <w:t>LISÄTIEDOT</w:t>
      </w:r>
    </w:p>
    <w:p w14:paraId="7AAD6C30" w14:textId="77777777" w:rsidR="00C578AE" w:rsidRPr="00D965A5" w:rsidRDefault="00C578AE">
      <w:pPr>
        <w:pStyle w:val="ManualHeading2"/>
        <w:rPr>
          <w:rFonts w:eastAsia="Arial Unicode MS"/>
          <w:noProof/>
          <w:u w:color="000000"/>
          <w:bdr w:val="nil"/>
        </w:rPr>
      </w:pPr>
      <w:r w:rsidRPr="00D965A5">
        <w:rPr>
          <w:noProof/>
          <w:u w:color="000000"/>
          <w:bdr w:val="nil"/>
        </w:rPr>
        <w:t>•</w:t>
      </w:r>
      <w:r w:rsidRPr="00D965A5">
        <w:rPr>
          <w:noProof/>
        </w:rPr>
        <w:tab/>
      </w:r>
      <w:r w:rsidRPr="00D965A5">
        <w:rPr>
          <w:noProof/>
          <w:u w:color="000000"/>
          <w:bdr w:val="nil"/>
        </w:rPr>
        <w:t>Toteuttamissuunnitelmat, seuranta, arviointi ja raportointijärjestelyt</w:t>
      </w:r>
    </w:p>
    <w:p w14:paraId="6A1C78F4" w14:textId="77777777" w:rsidR="00DF4092" w:rsidRPr="00D965A5" w:rsidRDefault="008D0F94" w:rsidP="008D0F94">
      <w:pPr>
        <w:pBdr>
          <w:top w:val="nil"/>
          <w:left w:val="nil"/>
          <w:bottom w:val="nil"/>
          <w:right w:val="nil"/>
          <w:between w:val="nil"/>
          <w:bar w:val="nil"/>
        </w:pBdr>
        <w:spacing w:before="0" w:after="240"/>
        <w:rPr>
          <w:rFonts w:eastAsia="Arial Unicode MS"/>
          <w:noProof/>
        </w:rPr>
      </w:pPr>
      <w:bookmarkStart w:id="7" w:name="_Hlk220930174"/>
      <w:r w:rsidRPr="00D965A5">
        <w:rPr>
          <w:noProof/>
        </w:rPr>
        <w:t xml:space="preserve">Suosituksen täytäntöönpanon edistymistä seurataan seuraavien EU:n tasolla voimassa olevien kehysten avulla:  </w:t>
      </w:r>
    </w:p>
    <w:p w14:paraId="61590ADF" w14:textId="77777777" w:rsidR="007F24D3" w:rsidRPr="00D965A5" w:rsidRDefault="00512759" w:rsidP="002A697C">
      <w:pPr>
        <w:pStyle w:val="Tiret1"/>
        <w:numPr>
          <w:ilvl w:val="0"/>
          <w:numId w:val="8"/>
        </w:numPr>
        <w:rPr>
          <w:noProof/>
        </w:rPr>
      </w:pPr>
      <w:r w:rsidRPr="00D965A5">
        <w:rPr>
          <w:noProof/>
        </w:rPr>
        <w:t>asunnottomuuden vähentämistä käsittelevä eurooppalainen foorumi tarjoaa laajemmalta asiantuntijayhteisöltä ja sidosryhmiltä, myös asunnottomia edustavilta järjestöiltä, saatavan panoksen</w:t>
      </w:r>
    </w:p>
    <w:p w14:paraId="3002EBDF" w14:textId="77777777" w:rsidR="00A658C6" w:rsidRPr="00D965A5" w:rsidRDefault="00512759" w:rsidP="004723B1">
      <w:pPr>
        <w:pStyle w:val="Tiret1"/>
        <w:rPr>
          <w:noProof/>
        </w:rPr>
      </w:pPr>
      <w:r w:rsidRPr="00D965A5">
        <w:rPr>
          <w:noProof/>
        </w:rPr>
        <w:t xml:space="preserve">sosiaalisen suojelun komitea tarjoaa tarvittavat poliittiset ohjeet ja jäsenvaltioilta saatavat panokset </w:t>
      </w:r>
    </w:p>
    <w:p w14:paraId="7B1FA233" w14:textId="77777777" w:rsidR="00A658C6" w:rsidRPr="00D965A5" w:rsidRDefault="00512759" w:rsidP="004723B1">
      <w:pPr>
        <w:pStyle w:val="Tiret1"/>
        <w:rPr>
          <w:noProof/>
        </w:rPr>
      </w:pPr>
      <w:r w:rsidRPr="00D965A5">
        <w:rPr>
          <w:noProof/>
        </w:rPr>
        <w:t xml:space="preserve">eurooppalaisessa ohjausjaksossa analysoidaan ja arvioidaan asuntomarkkinoilta syrjäytymiseen ja asunnottomuuteen liittyvää sosiaali- ja talouspolitiikkaa. </w:t>
      </w:r>
    </w:p>
    <w:p w14:paraId="079E76B7" w14:textId="77777777" w:rsidR="00D85CF7" w:rsidRPr="00D965A5" w:rsidRDefault="00026DCC" w:rsidP="0097585B">
      <w:pPr>
        <w:pBdr>
          <w:top w:val="nil"/>
          <w:left w:val="nil"/>
          <w:bottom w:val="nil"/>
          <w:right w:val="nil"/>
          <w:between w:val="nil"/>
          <w:bar w:val="nil"/>
        </w:pBdr>
        <w:spacing w:before="0" w:after="240"/>
        <w:rPr>
          <w:rFonts w:eastAsia="Arial Unicode MS"/>
          <w:noProof/>
        </w:rPr>
      </w:pPr>
      <w:r w:rsidRPr="00D965A5">
        <w:rPr>
          <w:noProof/>
        </w:rPr>
        <w:t xml:space="preserve">Edistymistä arvioidaan saatavilla olevien Eurostatin virallisten tilastojen </w:t>
      </w:r>
      <w:r w:rsidRPr="00D965A5">
        <w:rPr>
          <w:rStyle w:val="CommentReference"/>
          <w:noProof/>
          <w:sz w:val="24"/>
        </w:rPr>
        <w:t>sekä</w:t>
      </w:r>
      <w:r w:rsidRPr="00D965A5">
        <w:rPr>
          <w:noProof/>
        </w:rPr>
        <w:t xml:space="preserve"> sellaisten parannettujen, kattavien ja vertailukelpoisten tietojen perusteella, joita ehdotetulla suosituksella pyritään edistämään. Lisäksi suositellaan, että jäsenvaltiot raportoisivat komissiolle viiden vuoden välein kansallisten seurantatoimiensa tuloksista ja tämän suosituksen täytäntöönpanon edistymisestä.</w:t>
      </w:r>
    </w:p>
    <w:bookmarkEnd w:id="7"/>
    <w:p w14:paraId="653D0B71" w14:textId="77777777" w:rsidR="00C578AE" w:rsidRPr="00D965A5" w:rsidRDefault="00C578AE">
      <w:pPr>
        <w:pStyle w:val="ManualHeading2"/>
        <w:rPr>
          <w:rFonts w:eastAsia="Arial Unicode MS"/>
          <w:noProof/>
          <w:u w:color="000000"/>
          <w:bdr w:val="nil"/>
        </w:rPr>
      </w:pPr>
      <w:r w:rsidRPr="00D965A5">
        <w:rPr>
          <w:noProof/>
          <w:u w:color="000000"/>
          <w:bdr w:val="nil"/>
        </w:rPr>
        <w:t>•</w:t>
      </w:r>
      <w:r w:rsidRPr="00D965A5">
        <w:rPr>
          <w:noProof/>
        </w:rPr>
        <w:tab/>
      </w:r>
      <w:r w:rsidRPr="00D965A5">
        <w:rPr>
          <w:noProof/>
          <w:u w:color="000000"/>
          <w:bdr w:val="nil"/>
        </w:rPr>
        <w:t>Selittävät asiakirjat (direktiivien osalta)</w:t>
      </w:r>
    </w:p>
    <w:p w14:paraId="71ECDA65" w14:textId="77777777" w:rsidR="00C578AE" w:rsidRPr="00D965A5" w:rsidRDefault="00A3082A">
      <w:pPr>
        <w:pBdr>
          <w:top w:val="nil"/>
          <w:left w:val="nil"/>
          <w:bottom w:val="nil"/>
          <w:right w:val="nil"/>
          <w:between w:val="nil"/>
          <w:bar w:val="nil"/>
        </w:pBdr>
        <w:spacing w:before="0" w:after="240"/>
        <w:rPr>
          <w:rFonts w:eastAsia="Arial Unicode MS"/>
          <w:noProof/>
        </w:rPr>
      </w:pPr>
      <w:r w:rsidRPr="00D965A5">
        <w:rPr>
          <w:noProof/>
        </w:rPr>
        <w:t>Ei sovelleta.</w:t>
      </w:r>
    </w:p>
    <w:p w14:paraId="2683478F" w14:textId="77777777" w:rsidR="00C578AE" w:rsidRPr="00D965A5" w:rsidRDefault="00C578AE">
      <w:pPr>
        <w:pStyle w:val="ManualHeading2"/>
        <w:rPr>
          <w:rFonts w:eastAsia="Arial Unicode MS"/>
          <w:noProof/>
          <w:u w:color="000000"/>
          <w:bdr w:val="nil"/>
        </w:rPr>
      </w:pPr>
      <w:r w:rsidRPr="00D965A5">
        <w:rPr>
          <w:noProof/>
          <w:u w:color="000000"/>
          <w:bdr w:val="nil"/>
        </w:rPr>
        <w:t>•</w:t>
      </w:r>
      <w:r w:rsidRPr="00D965A5">
        <w:rPr>
          <w:noProof/>
        </w:rPr>
        <w:tab/>
      </w:r>
      <w:r w:rsidRPr="00D965A5">
        <w:rPr>
          <w:noProof/>
          <w:u w:color="000000"/>
          <w:bdr w:val="nil"/>
        </w:rPr>
        <w:t>Ehdotukseen sisältyvien säännösten yksityiskohtaiset selitykset</w:t>
      </w:r>
    </w:p>
    <w:p w14:paraId="155CFDF6" w14:textId="77777777" w:rsidR="00F46AC7" w:rsidRPr="00D965A5" w:rsidRDefault="00F46AC7" w:rsidP="00F46AC7">
      <w:pPr>
        <w:rPr>
          <w:noProof/>
        </w:rPr>
      </w:pPr>
      <w:r w:rsidRPr="00D965A5">
        <w:rPr>
          <w:noProof/>
        </w:rPr>
        <w:t xml:space="preserve">Ehdotuksen 1 kohdassa esitetään suosituksen tavoite. </w:t>
      </w:r>
    </w:p>
    <w:p w14:paraId="2B878502" w14:textId="77777777" w:rsidR="00F46AC7" w:rsidRPr="00D965A5" w:rsidRDefault="00F46AC7" w:rsidP="00F46AC7">
      <w:pPr>
        <w:rPr>
          <w:noProof/>
        </w:rPr>
      </w:pPr>
      <w:r w:rsidRPr="00D965A5">
        <w:rPr>
          <w:noProof/>
        </w:rPr>
        <w:t>Ehdotuksen 2 kohta sisältää suosituksessa sovellettavat määritelmät.</w:t>
      </w:r>
    </w:p>
    <w:p w14:paraId="090671E0" w14:textId="77777777" w:rsidR="00F97180" w:rsidRPr="00D965A5" w:rsidRDefault="00A3315F" w:rsidP="00F422C3">
      <w:pPr>
        <w:rPr>
          <w:noProof/>
        </w:rPr>
      </w:pPr>
      <w:r w:rsidRPr="00D965A5">
        <w:rPr>
          <w:noProof/>
        </w:rPr>
        <w:t>Suosituksen ydin on laaja-alaisia suosituksia koskeva osio, jossa suositellaan, että jäsenvaltiot tarkistaisivat tai hyväksyisivät kansallisia kehyksiä asuntomarkkinoilta syrjäytymisen torjumiseksi yksilökeskeisillä ja asuntolähtöisillä toimintapolitiikoilla. Lisäksi siinä suositellaan selvien, aikasidonnaisten tavoitteiden asettamista kaikille kadulla asuville suunnatun hätämajoituksen varmistamiseksi ja ihmisten siirtämiseksi nopeasti tilapäisestä asuinpaikasta turvattuun pitkäaikaismajoitukseen.</w:t>
      </w:r>
    </w:p>
    <w:p w14:paraId="574B512D" w14:textId="77777777" w:rsidR="00C67C87" w:rsidRPr="00D965A5" w:rsidRDefault="001171F9" w:rsidP="00416159">
      <w:pPr>
        <w:rPr>
          <w:noProof/>
        </w:rPr>
      </w:pPr>
      <w:r w:rsidRPr="00D965A5">
        <w:rPr>
          <w:noProof/>
        </w:rPr>
        <w:t>Asuntomarkkinoilta syrjäytymisen vaarassa olevien tunnistamista koskevassa osiossa käsitellään tiedonkeruuta, palveluiden piiriin pääsemistä koskevien kriteerien määrittelyä, varhaisvaroitusjärjestelmiä riskialttiiden kotitalouksien tunnistamiseksi sekä toimia, joilla pyritään tavoittamaan tilastoinnissa katveeseen jääneet ryhmät.</w:t>
      </w:r>
    </w:p>
    <w:p w14:paraId="7F760B07" w14:textId="77777777" w:rsidR="00416159" w:rsidRPr="00D965A5" w:rsidRDefault="000E01BD" w:rsidP="00416159">
      <w:pPr>
        <w:rPr>
          <w:noProof/>
        </w:rPr>
      </w:pPr>
      <w:r w:rsidRPr="00D965A5">
        <w:rPr>
          <w:noProof/>
        </w:rPr>
        <w:t>Asuntomarkkinoilta syrjäytymisen ehkäisemistä koskevassa osiossa käsitellään asianmukaisessa asunnossa asumisen jatkumista, tiedonsaantia, riittävän toimeentulon arviointia, häädöltä suojaamista, lastensuojelua, hoitolaitoksista vapautuvia henkilöitä, varhaista puuttumista lasten ja nuorten osalta, ikääntyneitä sekä siirtymisiä laitoksesta toiseen.</w:t>
      </w:r>
    </w:p>
    <w:p w14:paraId="6E920A05" w14:textId="77777777" w:rsidR="00410BB1" w:rsidRPr="00D965A5" w:rsidRDefault="00587BA5" w:rsidP="00410BB1">
      <w:pPr>
        <w:rPr>
          <w:noProof/>
        </w:rPr>
      </w:pPr>
      <w:r w:rsidRPr="00D965A5">
        <w:rPr>
          <w:noProof/>
        </w:rPr>
        <w:t>Asunnottomien tukemista koskevassa osiossa käsitellään tukijärjestelmiä ja ‑palveluja, perheen yhtenäisyyden säilyttämistä, palvelujen välistä koordinointia, työmarkkinoille aktivointia, taloudellista osallisuutta, asunnon saantia, tarpeiden mukaista hätämajoituskapasiteettia, vertaistukea ja syrjinnän torjuntaa.</w:t>
      </w:r>
    </w:p>
    <w:p w14:paraId="73975308" w14:textId="77777777" w:rsidR="00410BB1" w:rsidRPr="00D965A5" w:rsidRDefault="004A12EE" w:rsidP="00410BB1">
      <w:pPr>
        <w:rPr>
          <w:noProof/>
        </w:rPr>
      </w:pPr>
      <w:r w:rsidRPr="00D965A5">
        <w:rPr>
          <w:noProof/>
        </w:rPr>
        <w:lastRenderedPageBreak/>
        <w:t>Riittäviin ja turvattuihin asumisratkaisuihin pääsyä koskevassa osiossa ratkaisuksi tarjotaan asuntolähtöisiä toimintamalleja, yksilökeskeisiä tukipalveluja, sosiaalista ja kohtuuhintaista asuntotarjontaa, taloudellista tukea ja kannustimia asunnon saamiseksi, nuorten (myös opiskelijoiden) tukemista sekä paikkalähtöisen politiikan ja asuntojen mukauttamisen tukemista.</w:t>
      </w:r>
    </w:p>
    <w:p w14:paraId="0F59456F" w14:textId="77777777" w:rsidR="00D51DF8" w:rsidRPr="00D965A5" w:rsidRDefault="00A0531C" w:rsidP="00EE121A">
      <w:pPr>
        <w:rPr>
          <w:noProof/>
        </w:rPr>
      </w:pPr>
      <w:r w:rsidRPr="00D965A5">
        <w:rPr>
          <w:noProof/>
        </w:rPr>
        <w:t>Seurantaa, arviointia ja hallintoa koskevassa osiossa suositellaan, että jäsenvaltiot ottaisivat käyttöön seuranta- ja arviointimekanismeja tehokkaiden poliittisten toimien varmistamiseksi. Siinä suositellaan myös, että jäsenvaltiot ottaisivat käyttöön vakaan hallintokehyksen, joka kattaa kaikki sidosryhmät ja jossa hyödynnetään EU:n rahoitusta ja tuetaan asunnottomuuden vähentämistä käsittelevää eurooppalaista foorumia.</w:t>
      </w:r>
    </w:p>
    <w:p w14:paraId="6EC9599C" w14:textId="77777777" w:rsidR="00ED7527" w:rsidRPr="00D965A5" w:rsidRDefault="00ED7527">
      <w:pPr>
        <w:spacing w:before="0" w:after="200" w:line="276" w:lineRule="auto"/>
        <w:jc w:val="left"/>
        <w:rPr>
          <w:noProof/>
        </w:rPr>
      </w:pPr>
      <w:r w:rsidRPr="00D965A5">
        <w:rPr>
          <w:noProof/>
        </w:rPr>
        <w:br w:type="page"/>
      </w:r>
    </w:p>
    <w:p w14:paraId="24953F8A" w14:textId="7A778D05" w:rsidR="00532C9D" w:rsidRPr="00D965A5" w:rsidRDefault="00D965A5" w:rsidP="00D965A5">
      <w:pPr>
        <w:pStyle w:val="Rfrenceinterinstitutionnelle"/>
        <w:rPr>
          <w:noProof/>
        </w:rPr>
      </w:pPr>
      <w:r>
        <w:rPr>
          <w:noProof/>
        </w:rPr>
        <w:lastRenderedPageBreak/>
        <w:t>2026/0105 (NLE)</w:t>
      </w:r>
    </w:p>
    <w:p w14:paraId="3D7FAEE8" w14:textId="15C29ABE" w:rsidR="00C578AE" w:rsidRPr="00D965A5" w:rsidRDefault="00D965A5" w:rsidP="00D965A5">
      <w:pPr>
        <w:pStyle w:val="Statut"/>
        <w:rPr>
          <w:noProof/>
        </w:rPr>
      </w:pPr>
      <w:r w:rsidRPr="00D965A5">
        <w:rPr>
          <w:noProof/>
        </w:rPr>
        <w:t>Ehdotus</w:t>
      </w:r>
    </w:p>
    <w:p w14:paraId="6665D039" w14:textId="3CAF8AF5" w:rsidR="00C578AE" w:rsidRPr="00D965A5" w:rsidRDefault="00D965A5" w:rsidP="00D965A5">
      <w:pPr>
        <w:pStyle w:val="Typedudocument"/>
        <w:rPr>
          <w:noProof/>
        </w:rPr>
      </w:pPr>
      <w:r w:rsidRPr="00D965A5">
        <w:rPr>
          <w:noProof/>
        </w:rPr>
        <w:t>NEUVOSTON SUOSITUS</w:t>
      </w:r>
    </w:p>
    <w:p w14:paraId="6AF201A8" w14:textId="0C0D3C9A" w:rsidR="00C578AE" w:rsidRPr="00D965A5" w:rsidRDefault="00D965A5" w:rsidP="00D965A5">
      <w:pPr>
        <w:pStyle w:val="Titreobjet"/>
        <w:rPr>
          <w:noProof/>
        </w:rPr>
      </w:pPr>
      <w:r w:rsidRPr="00D965A5">
        <w:rPr>
          <w:noProof/>
        </w:rPr>
        <w:t>asuntomarkkinoilta syrjäytymisen torjumisesta</w:t>
      </w:r>
    </w:p>
    <w:p w14:paraId="613679E6" w14:textId="77777777" w:rsidR="00C578AE" w:rsidRPr="00D965A5" w:rsidRDefault="00C578AE">
      <w:pPr>
        <w:pStyle w:val="Institutionquiagit"/>
        <w:rPr>
          <w:noProof/>
        </w:rPr>
      </w:pPr>
      <w:r w:rsidRPr="00D965A5">
        <w:rPr>
          <w:noProof/>
        </w:rPr>
        <w:t>EUROOPAN UNIONIN NEUVOSTO, joka</w:t>
      </w:r>
    </w:p>
    <w:p w14:paraId="01EF4DBE" w14:textId="77777777" w:rsidR="00C578AE" w:rsidRPr="00D965A5" w:rsidRDefault="00C578AE">
      <w:pPr>
        <w:rPr>
          <w:noProof/>
        </w:rPr>
      </w:pPr>
      <w:r w:rsidRPr="00D965A5">
        <w:rPr>
          <w:noProof/>
        </w:rPr>
        <w:t>ottaa huomioon Euroopan unionin toiminnasta tehdyn sopimuksen ja erityisesti sen 292 artiklan yhdessä 153 artiklan 1 kohdan j alakohdan kanssa,</w:t>
      </w:r>
    </w:p>
    <w:p w14:paraId="548615B0" w14:textId="77777777" w:rsidR="00C578AE" w:rsidRPr="00D965A5" w:rsidRDefault="00C578AE">
      <w:pPr>
        <w:rPr>
          <w:noProof/>
        </w:rPr>
      </w:pPr>
      <w:r w:rsidRPr="00D965A5">
        <w:rPr>
          <w:noProof/>
        </w:rPr>
        <w:t>ottaa huomioon Euroopan komission ehdotuksen,</w:t>
      </w:r>
    </w:p>
    <w:p w14:paraId="36FAEC76" w14:textId="77777777" w:rsidR="00120777" w:rsidRPr="00D965A5" w:rsidRDefault="00120777">
      <w:pPr>
        <w:rPr>
          <w:noProof/>
        </w:rPr>
      </w:pPr>
    </w:p>
    <w:p w14:paraId="534E4E72" w14:textId="77777777" w:rsidR="00C578AE" w:rsidRPr="00D965A5" w:rsidRDefault="00C578AE">
      <w:pPr>
        <w:rPr>
          <w:noProof/>
        </w:rPr>
      </w:pPr>
      <w:r w:rsidRPr="00D965A5">
        <w:rPr>
          <w:noProof/>
        </w:rPr>
        <w:t>sekä katsoo seuraavaa:</w:t>
      </w:r>
    </w:p>
    <w:p w14:paraId="7E24549C" w14:textId="77777777" w:rsidR="000A7BDC" w:rsidRPr="00D965A5" w:rsidRDefault="000A7BDC">
      <w:pPr>
        <w:rPr>
          <w:noProof/>
        </w:rPr>
      </w:pPr>
    </w:p>
    <w:p w14:paraId="52CEE5C6" w14:textId="77777777" w:rsidR="001E431A" w:rsidRPr="00D965A5" w:rsidRDefault="00796E41" w:rsidP="00796E41">
      <w:pPr>
        <w:pStyle w:val="ManualConsidrant"/>
        <w:rPr>
          <w:noProof/>
          <w:color w:val="333333"/>
        </w:rPr>
      </w:pPr>
      <w:r w:rsidRPr="00D965A5">
        <w:rPr>
          <w:noProof/>
        </w:rPr>
        <w:t>(1)</w:t>
      </w:r>
      <w:r w:rsidRPr="00D965A5">
        <w:rPr>
          <w:noProof/>
        </w:rPr>
        <w:tab/>
        <w:t>Euroopan unionista tehdyn sopimuksen 3 artiklan 3 kohdan mukaan unioni torjuu sosiaalista syrjäytymistä ja syrjintää sekä edistää yhteiskunnallista oikeudenmukaisuutta ja sosiaalista suojelua. Euroopan unionin toiminnasta tehdyn sopimuksen 151 artiklan mukaan unionin ja jäsenvaltioiden tavoitteina ovat muun muassa työllisyyden edistäminen, elin- ja työolojen kohentaminen, riittävä sosiaalinen suojeleminen ja syrjäytymisen torjuminen</w:t>
      </w:r>
      <w:r w:rsidRPr="00D965A5">
        <w:rPr>
          <w:noProof/>
          <w:color w:val="333333"/>
          <w:shd w:val="clear" w:color="auto" w:fill="FFFFFF"/>
        </w:rPr>
        <w:t xml:space="preserve">. </w:t>
      </w:r>
    </w:p>
    <w:p w14:paraId="6651B591" w14:textId="77777777" w:rsidR="001E431A" w:rsidRPr="00D965A5" w:rsidRDefault="00796E41" w:rsidP="00796E41">
      <w:pPr>
        <w:pStyle w:val="ManualConsidrant"/>
        <w:rPr>
          <w:noProof/>
        </w:rPr>
      </w:pPr>
      <w:r w:rsidRPr="00D965A5">
        <w:rPr>
          <w:noProof/>
        </w:rPr>
        <w:t>(2)</w:t>
      </w:r>
      <w:r w:rsidRPr="00D965A5">
        <w:rPr>
          <w:noProof/>
        </w:rPr>
        <w:tab/>
        <w:t xml:space="preserve">Euroopan unionin perusoikeuskirjan 34 artiklassa unioni tunnustaa oikeuden toimeentuloturvaan ja asumisen tukeen tarkoituksena turvata ihmisarvoinen elämä jokaiselle, jolla ei ole riittävästi varoja, unionin oikeuden sekä kansallisten lainsäädäntöjen ja käytäntöjen mukaisesti, ja kunnioittaa tätä oikeutta. </w:t>
      </w:r>
    </w:p>
    <w:p w14:paraId="67AF774E" w14:textId="77777777" w:rsidR="001E431A" w:rsidRPr="00D965A5" w:rsidRDefault="00796E41" w:rsidP="00796E41">
      <w:pPr>
        <w:pStyle w:val="ManualConsidrant"/>
        <w:rPr>
          <w:noProof/>
        </w:rPr>
      </w:pPr>
      <w:r w:rsidRPr="00D965A5">
        <w:rPr>
          <w:noProof/>
        </w:rPr>
        <w:t>(3)</w:t>
      </w:r>
      <w:r w:rsidRPr="00D965A5">
        <w:rPr>
          <w:noProof/>
        </w:rPr>
        <w:tab/>
        <w:t>Euroopan sosiaalisen peruskirjan (tarkistettu)</w:t>
      </w:r>
      <w:r w:rsidRPr="00D965A5">
        <w:rPr>
          <w:rStyle w:val="FootnoteReference"/>
          <w:noProof/>
        </w:rPr>
        <w:footnoteReference w:id="13"/>
      </w:r>
      <w:r w:rsidRPr="00D965A5">
        <w:rPr>
          <w:noProof/>
        </w:rPr>
        <w:t xml:space="preserve"> 31 artiklassa vahvistetaan, että kaikki osapuolet ovat sitoutuneet edistämään asianmukaisten asuntojen saantia, ehkäisemään ja vähentämään asunnottomuutta pyrkien sen asteittaiseen poistamiseen sekä tekemään asumisen kustannuksista kohtuullisia siten, että niilläkin, joilla ei ole riittäviä varoja, olisi mahdollisuus asumiseen. </w:t>
      </w:r>
    </w:p>
    <w:p w14:paraId="5180E04C" w14:textId="4D9584E8" w:rsidR="001E431A" w:rsidRPr="00D965A5" w:rsidRDefault="00796E41" w:rsidP="00796E41">
      <w:pPr>
        <w:pStyle w:val="ManualConsidrant"/>
        <w:rPr>
          <w:noProof/>
        </w:rPr>
      </w:pPr>
      <w:r w:rsidRPr="00D965A5">
        <w:rPr>
          <w:noProof/>
        </w:rPr>
        <w:t>(4)</w:t>
      </w:r>
      <w:r w:rsidRPr="00D965A5">
        <w:rPr>
          <w:noProof/>
        </w:rPr>
        <w:tab/>
        <w:t>Euroopan parlamentti, neuvosto ja komissio antoivat marraskuussa 2017 Euroopan sosiaalisten oikeuksien pilaria koskevan julistuksen</w:t>
      </w:r>
      <w:r w:rsidRPr="00D965A5">
        <w:rPr>
          <w:rStyle w:val="FootnoteReference"/>
          <w:noProof/>
        </w:rPr>
        <w:footnoteReference w:id="14"/>
      </w:r>
      <w:r w:rsidRPr="00D965A5">
        <w:rPr>
          <w:noProof/>
        </w:rPr>
        <w:t xml:space="preserve">. Sen periaatteessa 19 säädetään, että kaikille tarvitseville on tarjottava sosiaalista vuokra-asuntoa, laadukasta asumisapua ja suoja pakkohäätöä vastaan. Siinä todetaan myös, että asunnottomille on tarjottava asianmukainen suoja ja riittävät palvelut heidän sosiaalisen osallisuutensa edistämiseksi.  </w:t>
      </w:r>
    </w:p>
    <w:p w14:paraId="5829B234" w14:textId="77777777" w:rsidR="0047239E" w:rsidRPr="00D965A5" w:rsidRDefault="00796E41" w:rsidP="00796E41">
      <w:pPr>
        <w:pStyle w:val="ManualConsidrant"/>
        <w:rPr>
          <w:noProof/>
        </w:rPr>
      </w:pPr>
      <w:r w:rsidRPr="00D965A5">
        <w:rPr>
          <w:noProof/>
        </w:rPr>
        <w:t>(5)</w:t>
      </w:r>
      <w:r w:rsidRPr="00D965A5">
        <w:rPr>
          <w:noProof/>
        </w:rPr>
        <w:tab/>
        <w:t>Eurooppalaisen lapsitakuun perustamisesta annetussa neuvoston suosituksessa (EU) 2021/1004</w:t>
      </w:r>
      <w:r w:rsidRPr="00D965A5">
        <w:rPr>
          <w:rStyle w:val="FootnoteReference"/>
          <w:noProof/>
        </w:rPr>
        <w:footnoteReference w:id="15"/>
      </w:r>
      <w:r w:rsidRPr="00D965A5">
        <w:rPr>
          <w:noProof/>
        </w:rPr>
        <w:t xml:space="preserve"> kehotetaan muun muassa, että jäsenvaltiot takaisivat avun tarpeessa oleville lapsille asianmukaisen asunnon tosiasiallinen saannin ja kiinnittäisivät erityistä huomiota lasten ja perheiden asunnottomuuden ehkäisemiseen ja siihen </w:t>
      </w:r>
      <w:r w:rsidRPr="00D965A5">
        <w:rPr>
          <w:noProof/>
        </w:rPr>
        <w:lastRenderedPageBreak/>
        <w:t>puuttumiseen. Riittävästä vähimmäistoimeentulosta aktiivisen osallisuuden varmistamiseksi annetussa neuvoston suosituksessa (2023/C 41/01)</w:t>
      </w:r>
      <w:r w:rsidRPr="00D965A5">
        <w:rPr>
          <w:rStyle w:val="FootnoteReference"/>
          <w:noProof/>
        </w:rPr>
        <w:footnoteReference w:id="16"/>
      </w:r>
      <w:r w:rsidRPr="00D965A5">
        <w:rPr>
          <w:noProof/>
        </w:rPr>
        <w:t xml:space="preserve"> peräänkuulutetaan kattavia strategioita, joissa yhdistyisivät riittävä toimeentulotuki, osallisuutta edistävät työmarkkinat ja yhteiskuntaan osallistumisen mahdollistavien palvelujen ja peruspalvelujen tosiasiallinen saatavuus. Yhteisötalouden toimintaedellytysten kehittämisestä annetussa neuvoston suosituksessa (C/2023/1344)</w:t>
      </w:r>
      <w:r w:rsidRPr="00D965A5">
        <w:rPr>
          <w:rStyle w:val="FootnoteReference"/>
          <w:noProof/>
        </w:rPr>
        <w:footnoteReference w:id="17"/>
      </w:r>
      <w:r w:rsidRPr="00D965A5">
        <w:rPr>
          <w:noProof/>
        </w:rPr>
        <w:t xml:space="preserve"> kehotetaan, että jäsenvaltiot tunnustaisivat yhteisötalouden aseman ja tukisivat sitä tiiviissä yhteistyössä julkisesti saatavilla olevien sosiaalipalvelujen kanssa tarjoamalla esteettömiä, laadukkaita sosiaali- ja hoitopalveluja ja asuntoja myös heikommassa asemassa olevat ryhmät huomioon ottaen. </w:t>
      </w:r>
    </w:p>
    <w:p w14:paraId="52A652A0" w14:textId="77777777" w:rsidR="00E83759" w:rsidRPr="00D965A5" w:rsidRDefault="00796E41" w:rsidP="00796E41">
      <w:pPr>
        <w:pStyle w:val="ManualConsidrant"/>
        <w:rPr>
          <w:noProof/>
        </w:rPr>
      </w:pPr>
      <w:r w:rsidRPr="00D965A5">
        <w:rPr>
          <w:noProof/>
        </w:rPr>
        <w:t>(6)</w:t>
      </w:r>
      <w:r w:rsidRPr="00D965A5">
        <w:rPr>
          <w:noProof/>
        </w:rPr>
        <w:tab/>
        <w:t>Romanien tasa-arvosta, osallisuudesta ja osallistumisesta annetussa neuvoston suosituksessa (2021/C 93/01)</w:t>
      </w:r>
      <w:r w:rsidRPr="00D965A5">
        <w:rPr>
          <w:rStyle w:val="FootnoteReference"/>
          <w:noProof/>
        </w:rPr>
        <w:footnoteReference w:id="18"/>
      </w:r>
      <w:r w:rsidRPr="00D965A5">
        <w:rPr>
          <w:noProof/>
        </w:rPr>
        <w:t xml:space="preserve"> kehotetaan, että jäsenvaltiot varmistaisivat romanien yhdenvertaisen kohtelun muun muassa asianmukaisten ja eriytymättömien asuntojen sekä keskeisten palvelujen saatavuuden osalta.</w:t>
      </w:r>
      <w:r w:rsidRPr="00D965A5">
        <w:rPr>
          <w:rStyle w:val="FootnoteReference"/>
          <w:noProof/>
        </w:rPr>
        <w:footnoteReference w:id="19"/>
      </w:r>
      <w:r w:rsidRPr="00D965A5">
        <w:rPr>
          <w:noProof/>
        </w:rPr>
        <w:t xml:space="preserve"> Hlbtiq+ ‑henkilöiden tasa-arvoa koskevassa, vuosiksi 2026–2030 laaditussa strategiassa painotetaan, että syrjintä ja sosiaalisen hyväksynnän puute lisäävät hlbtiq+ ‑henkilöiden köyhyyttä ja asunnottomuutta. Tiedonannossaan </w:t>
      </w:r>
      <w:r w:rsidRPr="00D965A5">
        <w:rPr>
          <w:i/>
          <w:iCs/>
          <w:noProof/>
        </w:rPr>
        <w:t>Vuoteen 2030 ulottuvan vammaisten oikeuksia koskevan EU:n strategian parantaminen</w:t>
      </w:r>
      <w:r w:rsidRPr="00D965A5">
        <w:rPr>
          <w:noProof/>
        </w:rPr>
        <w:t xml:space="preserve"> komissio vaatii, että vammaiselle henkilölle on varmistettava kohtuuhintaisen, esteettömän asunnon saanti.</w:t>
      </w:r>
    </w:p>
    <w:p w14:paraId="51BCA6E1" w14:textId="77777777" w:rsidR="00F678A4" w:rsidRPr="00D965A5" w:rsidRDefault="00796E41" w:rsidP="00796E41">
      <w:pPr>
        <w:pStyle w:val="ManualConsidrant"/>
        <w:rPr>
          <w:noProof/>
        </w:rPr>
      </w:pPr>
      <w:r w:rsidRPr="00D965A5">
        <w:rPr>
          <w:noProof/>
        </w:rPr>
        <w:t>(7)</w:t>
      </w:r>
      <w:r w:rsidRPr="00D965A5">
        <w:rPr>
          <w:noProof/>
        </w:rPr>
        <w:tab/>
        <w:t>Kohtuuhintaisen ja laadukkaan pitkäaikaishoidon saatavuudesta annetussa neuvoston suosituksessa (2022/C 476/01)</w:t>
      </w:r>
      <w:r w:rsidRPr="00D965A5">
        <w:rPr>
          <w:rStyle w:val="FootnoteReference"/>
          <w:noProof/>
        </w:rPr>
        <w:footnoteReference w:id="20"/>
      </w:r>
      <w:r w:rsidRPr="00D965A5">
        <w:rPr>
          <w:noProof/>
        </w:rPr>
        <w:t xml:space="preserve"> kehotetaan, että jäsenvaltiot laajentaisivat virallisia pitkäaikaishoitopalveluja, erityisesti kotihoitoa ja yhteisöpohjaista hoitoa. Yksilön muuttuviin hoitotarpeisiin mukautettu asuminen on ikääntymisen perusedellytys, joka mahdollistaa kotihoidon tarjoamisen ja auttaa välttämään tarpeetonta laitoshoidon käyttöä.  </w:t>
      </w:r>
    </w:p>
    <w:p w14:paraId="4D5AEF03" w14:textId="3FCF6157" w:rsidR="00673163" w:rsidRPr="00D965A5" w:rsidRDefault="00796E41" w:rsidP="00796E41">
      <w:pPr>
        <w:pStyle w:val="ManualConsidrant"/>
        <w:rPr>
          <w:noProof/>
        </w:rPr>
      </w:pPr>
      <w:r w:rsidRPr="00D965A5">
        <w:rPr>
          <w:noProof/>
        </w:rPr>
        <w:t>(8)</w:t>
      </w:r>
      <w:r w:rsidRPr="00D965A5">
        <w:rPr>
          <w:noProof/>
        </w:rPr>
        <w:tab/>
        <w:t>Maksutileihin liittyvien maksujen vertailukelpoisuudesta, maksutilien siirtämisestä ja mahdollisuudesta käyttää perusmaksutilejä annetun Euroopan parlamentin ja neuvoston direktiivin 2014/92/EU</w:t>
      </w:r>
      <w:r w:rsidRPr="00D965A5">
        <w:rPr>
          <w:rStyle w:val="FootnoteReference"/>
          <w:noProof/>
        </w:rPr>
        <w:footnoteReference w:id="21"/>
      </w:r>
      <w:r w:rsidRPr="00D965A5">
        <w:rPr>
          <w:noProof/>
        </w:rPr>
        <w:t xml:space="preserve"> eli maksutilidirektiivin 16 artiklan 2 kohdassa säädetään, että jäsenvaltioiden on varmistettava, että unionissa laillisesti asuvilla kuluttajilla, myös niillä, joilla ei ole pysyvää osoitetta, on oikeus avata jäsenvaltion alueella sijaitsevan luottolaitoksen ylläpitämä perusmaksutili ja käyttää sitä. Tätä oikeutta on sovellettava kuluttajan asuinpaikasta riippumatta. </w:t>
      </w:r>
    </w:p>
    <w:p w14:paraId="349027CC" w14:textId="77777777" w:rsidR="001E431A" w:rsidRPr="00D965A5" w:rsidRDefault="00796E41" w:rsidP="00796E41">
      <w:pPr>
        <w:pStyle w:val="ManualConsidrant"/>
        <w:rPr>
          <w:noProof/>
        </w:rPr>
      </w:pPr>
      <w:r w:rsidRPr="00D965A5">
        <w:rPr>
          <w:noProof/>
        </w:rPr>
        <w:t>(9)</w:t>
      </w:r>
      <w:r w:rsidRPr="00D965A5">
        <w:rPr>
          <w:noProof/>
        </w:rPr>
        <w:tab/>
        <w:t>EU:n toimielimet, jäsenvaltiot, työmarkkinaosapuolet ja kansalaisjärjestöt hyväksyivät 21 päivänä kesäkuuta 2021 Lissabonin julistuksen asunnottomuuden vähentämistä käsittelevästä eurooppalaisesta foorumista</w:t>
      </w:r>
      <w:r w:rsidRPr="00D965A5">
        <w:rPr>
          <w:rStyle w:val="FootnoteReference"/>
          <w:noProof/>
        </w:rPr>
        <w:footnoteReference w:id="22"/>
      </w:r>
      <w:r w:rsidRPr="00D965A5">
        <w:rPr>
          <w:noProof/>
        </w:rPr>
        <w:t xml:space="preserve">. Kaikki allekirjoittajat sitoutuivat työhön </w:t>
      </w:r>
      <w:r w:rsidRPr="00D965A5">
        <w:rPr>
          <w:noProof/>
        </w:rPr>
        <w:lastRenderedPageBreak/>
        <w:t xml:space="preserve">asunnottomuuden poistamiseksi Euroopan unionista vuoteen 2030 mennessä ja perustamaan asunnottomuuden vähentämistä käsittelevän eurooppalaisen foorumin, jolla edistetään henkilökeskeisten, asuntolähtöisten ja yhdennettyjen lähestymistapojen suunnittelua ja täytäntöönpanoa. </w:t>
      </w:r>
    </w:p>
    <w:p w14:paraId="1953918E" w14:textId="55A7F890" w:rsidR="001E431A" w:rsidRPr="00D965A5" w:rsidRDefault="00796E41" w:rsidP="00796E41">
      <w:pPr>
        <w:pStyle w:val="ManualConsidrant"/>
        <w:rPr>
          <w:noProof/>
        </w:rPr>
      </w:pPr>
      <w:r w:rsidRPr="00D965A5">
        <w:rPr>
          <w:noProof/>
        </w:rPr>
        <w:t>(10)</w:t>
      </w:r>
      <w:r w:rsidRPr="00D965A5">
        <w:rPr>
          <w:noProof/>
        </w:rPr>
        <w:tab/>
        <w:t>Euroopan sosiaalisten oikeuksien pilaria käsitelleessä korkean tason konferenssissa 16 päivänä huhtikuuta 2024 hyväksytyssä La Hulpen julistuksessa</w:t>
      </w:r>
      <w:r w:rsidRPr="00D965A5">
        <w:rPr>
          <w:rStyle w:val="FootnoteReference"/>
          <w:noProof/>
        </w:rPr>
        <w:footnoteReference w:id="23"/>
      </w:r>
      <w:r w:rsidRPr="00D965A5">
        <w:rPr>
          <w:noProof/>
        </w:rPr>
        <w:t xml:space="preserve"> vahvistetaan, että asunnottomuus on edelleen ongelma monissa jäsenvaltioissa, ja kehotetaan jatkamaan toimia esteettömän, tehokkaan, vihreän ja kohtuuhintaisen sosiaalisen asuntotarjonnan alalla, jotta voidaan vastata kaikkien asuntotarpeisiin, poistaa asunnottomuus ja edistää asunto ensin ‑toimintamallia. Julistuksessa tunnustetaan myös asunnottomuuden vähentämistä käsittelevän eurooppalaisen foorumin merkitys. </w:t>
      </w:r>
    </w:p>
    <w:p w14:paraId="3603C343" w14:textId="62D3E52B" w:rsidR="00363634" w:rsidRPr="00D965A5" w:rsidRDefault="00796E41" w:rsidP="00796E41">
      <w:pPr>
        <w:pStyle w:val="ManualConsidrant"/>
        <w:rPr>
          <w:noProof/>
        </w:rPr>
      </w:pPr>
      <w:r w:rsidRPr="00D965A5">
        <w:rPr>
          <w:noProof/>
        </w:rPr>
        <w:t>(11)</w:t>
      </w:r>
      <w:r w:rsidRPr="00D965A5">
        <w:rPr>
          <w:noProof/>
        </w:rPr>
        <w:tab/>
        <w:t>Euroopan parlamentti korosti 24 päivänä marraskuuta 2020 antamassaan päätöslauselmassa</w:t>
      </w:r>
      <w:r w:rsidRPr="00D965A5">
        <w:rPr>
          <w:rStyle w:val="FootnoteReference"/>
          <w:noProof/>
        </w:rPr>
        <w:footnoteReference w:id="24"/>
      </w:r>
      <w:r w:rsidRPr="00D965A5">
        <w:rPr>
          <w:noProof/>
        </w:rPr>
        <w:t>, että mahdollisuus asuntoon on kaikkien ihmisten perusihmisoikeus, ja kehotti komissiota ja jäsenvaltioita toteuttamaan tehokkaampia toimia asunnottomuuden poistamiseksi EU:sta vuoteen 2030 mennessä. Euroopan parlamentti korosti 10 päivänä maaliskuuta 2026 antamassaan päätöslauselmassa</w:t>
      </w:r>
      <w:r w:rsidRPr="00D965A5">
        <w:rPr>
          <w:rStyle w:val="FootnoteReference"/>
          <w:noProof/>
        </w:rPr>
        <w:footnoteReference w:id="25"/>
      </w:r>
      <w:r w:rsidRPr="00D965A5">
        <w:rPr>
          <w:noProof/>
        </w:rPr>
        <w:t xml:space="preserve">, että tarvitaan eurooppalainen toimintamalli ja ratkaisuja ihmisarvoisten ja kohtuuhintaisten asuntojen saatavuuden varmistamiseksi, ja kehotti jäsenvaltioita kehittämään ja panemaan täytäntöön asuntolähtöisiä strategioita asunnottomuuden vähentämiseksi. Lisäksi päätöslauselmassa kehotetaan, että komissio tukisi asunnottomuuden torjuntaa politiikan kautta ja seuraisi asiassa tapahtuvaa edistystä. </w:t>
      </w:r>
    </w:p>
    <w:p w14:paraId="4966B08A" w14:textId="77777777" w:rsidR="00891B98" w:rsidRPr="00D965A5" w:rsidRDefault="00796E41" w:rsidP="00796E41">
      <w:pPr>
        <w:pStyle w:val="ManualConsidrant"/>
        <w:rPr>
          <w:noProof/>
        </w:rPr>
      </w:pPr>
      <w:r w:rsidRPr="00D965A5">
        <w:rPr>
          <w:noProof/>
        </w:rPr>
        <w:t>(12)</w:t>
      </w:r>
      <w:r w:rsidRPr="00D965A5">
        <w:rPr>
          <w:noProof/>
        </w:rPr>
        <w:tab/>
        <w:t>Asunnottomuuden tilastolliset määritelmät asetetaan väestö- ja asuntolaskennoista annetun Euroopan parlamentin ja neuvoston asetuksen (EY) N:o 763/2008 soveltamissäännöistä aihealueiden sekä niiden erittelyiden kuvausten osalta 22 päivänä maaliskuuta 2017 annetussa komission täytäntöönpanoasetuksessa (EU) 2017/543</w:t>
      </w:r>
      <w:r w:rsidRPr="00D965A5">
        <w:rPr>
          <w:rStyle w:val="FootnoteReference"/>
          <w:noProof/>
        </w:rPr>
        <w:footnoteReference w:id="26"/>
      </w:r>
      <w:r w:rsidRPr="00D965A5">
        <w:rPr>
          <w:noProof/>
        </w:rPr>
        <w:t xml:space="preserve">. </w:t>
      </w:r>
      <w:r w:rsidRPr="00D965A5">
        <w:rPr>
          <w:noProof/>
        </w:rPr>
        <w:tab/>
      </w:r>
    </w:p>
    <w:p w14:paraId="038F77C0" w14:textId="77777777" w:rsidR="001E431A" w:rsidRPr="00D965A5" w:rsidRDefault="00BD74F3" w:rsidP="00CB4896">
      <w:pPr>
        <w:pStyle w:val="ManualConsidrant"/>
        <w:rPr>
          <w:noProof/>
        </w:rPr>
      </w:pPr>
      <w:r w:rsidRPr="00D965A5">
        <w:rPr>
          <w:noProof/>
        </w:rPr>
        <w:t>(13)</w:t>
      </w:r>
      <w:r w:rsidRPr="00D965A5">
        <w:rPr>
          <w:noProof/>
        </w:rPr>
        <w:tab/>
        <w:t>Euroopan alueiden komitea suhtautui 2 päivänä joulukuuta 2021 antamassaan asunnottomuuden poistamista Euroopan unionista koskevassa lausunnossa</w:t>
      </w:r>
      <w:r w:rsidRPr="00D965A5">
        <w:rPr>
          <w:rStyle w:val="FootnoteReference"/>
          <w:noProof/>
        </w:rPr>
        <w:footnoteReference w:id="27"/>
      </w:r>
      <w:r w:rsidRPr="00D965A5">
        <w:rPr>
          <w:noProof/>
        </w:rPr>
        <w:t xml:space="preserve"> myönteisesti foorumin käynnistämiseen ja korosti neljää tärkeää toimintalinjaa, nimittäin vastavuoroista oppimista, rahoituksen saatavuuden ja rahoitusmahdollisuuksien edistämistä, tiedonkeruuta ja politiikan edistymisen seurantaa sekä lupaavien innovaatioiden kartoittamista ja niiden laajemman käytön edistämistä.</w:t>
      </w:r>
    </w:p>
    <w:p w14:paraId="31F1BD85" w14:textId="77777777" w:rsidR="001E431A" w:rsidRPr="00D965A5" w:rsidRDefault="00796E41" w:rsidP="00796E41">
      <w:pPr>
        <w:pStyle w:val="ManualConsidrant"/>
        <w:rPr>
          <w:noProof/>
        </w:rPr>
      </w:pPr>
      <w:r w:rsidRPr="00D965A5">
        <w:rPr>
          <w:noProof/>
        </w:rPr>
        <w:t>(14)</w:t>
      </w:r>
      <w:r w:rsidRPr="00D965A5">
        <w:rPr>
          <w:noProof/>
        </w:rPr>
        <w:tab/>
        <w:t>Euroopan talous- ja sosiaalikomitea antoi 13 päivänä joulukuuta 2023 lausunnon aiheesta ”EU:n kehys asunto ensin ‑periaatteeseen pohjautuville kansallisille asunnottomuusstrategioille”</w:t>
      </w:r>
      <w:r w:rsidRPr="00D965A5">
        <w:rPr>
          <w:rStyle w:val="FootnoteReference"/>
          <w:noProof/>
        </w:rPr>
        <w:footnoteReference w:id="28"/>
      </w:r>
      <w:r w:rsidRPr="00D965A5">
        <w:rPr>
          <w:noProof/>
        </w:rPr>
        <w:t xml:space="preserve">, jossa se kehotti laatimaan EU:n asunnottomuusstrategian, jonka pohjalta kansalliset asunnottomuudentorjuntapolitiikat </w:t>
      </w:r>
      <w:r w:rsidRPr="00D965A5">
        <w:rPr>
          <w:noProof/>
        </w:rPr>
        <w:lastRenderedPageBreak/>
        <w:t>voitaisiin ottaa huomioon eurooppalaisen ohjausjakson yhteydessä. Euroopan talous- ja sosiaalikomitea ehdotti myös, että strategian tueksi olisi annettava asunnottomuutta koskeva neuvoston suositus.</w:t>
      </w:r>
      <w:r w:rsidRPr="00D965A5">
        <w:rPr>
          <w:noProof/>
        </w:rPr>
        <w:tab/>
      </w:r>
    </w:p>
    <w:p w14:paraId="220056B5" w14:textId="77777777" w:rsidR="008C32C0" w:rsidRPr="00D965A5" w:rsidRDefault="00796E41" w:rsidP="00796E41">
      <w:pPr>
        <w:pStyle w:val="ManualConsidrant"/>
        <w:rPr>
          <w:noProof/>
        </w:rPr>
      </w:pPr>
      <w:r w:rsidRPr="00D965A5">
        <w:rPr>
          <w:noProof/>
        </w:rPr>
        <w:t>(15)</w:t>
      </w:r>
      <w:r w:rsidRPr="00D965A5">
        <w:rPr>
          <w:noProof/>
        </w:rPr>
        <w:tab/>
        <w:t>Yhteisessä työllisyysraportissa 2026</w:t>
      </w:r>
      <w:r w:rsidRPr="00D965A5">
        <w:rPr>
          <w:rStyle w:val="FootnoteReference"/>
          <w:noProof/>
        </w:rPr>
        <w:footnoteReference w:id="29"/>
      </w:r>
      <w:r w:rsidRPr="00D965A5">
        <w:rPr>
          <w:noProof/>
        </w:rPr>
        <w:t xml:space="preserve"> todetaan, että jäsenvaltioiden olisi tarvittaessa toteutettava toimia tukeakseen laadukkaiden ja kohtuuhintaisten asuntojen, sosiaaliperustaisen asuntotuotannon tai asumistuen saatavuutta, ehkäistäkseen ja torjuakseen asunnottomuutta kaikkein äärimmäisimpänä köyhyyden muotona, puuttuakseen sosiaaliseen syrjäytymiseen yhdennettyjen, henkilökeskeisten ja asuntolähtöisten strategisten lähestymistapojen kautta sekä edistääkseen asuntojen ja sosiaalisen asuntotuotannon uudistamista. </w:t>
      </w:r>
    </w:p>
    <w:p w14:paraId="020B2ADC" w14:textId="77777777" w:rsidR="00632944" w:rsidRPr="00D965A5" w:rsidRDefault="00A31C0A" w:rsidP="00796E41">
      <w:pPr>
        <w:pStyle w:val="ManualConsidrant"/>
        <w:rPr>
          <w:noProof/>
        </w:rPr>
      </w:pPr>
      <w:r w:rsidRPr="00D965A5">
        <w:rPr>
          <w:noProof/>
        </w:rPr>
        <w:t>(16)</w:t>
      </w:r>
      <w:r w:rsidRPr="00D965A5">
        <w:rPr>
          <w:noProof/>
        </w:rPr>
        <w:tab/>
        <w:t>Kohtuuhintaista asumista koskevassa eurooppalaisessa suunnitelmassa</w:t>
      </w:r>
      <w:r w:rsidRPr="00D965A5">
        <w:rPr>
          <w:rStyle w:val="FootnoteReference"/>
          <w:noProof/>
        </w:rPr>
        <w:footnoteReference w:id="30"/>
      </w:r>
      <w:r w:rsidRPr="00D965A5">
        <w:rPr>
          <w:noProof/>
        </w:rPr>
        <w:t xml:space="preserve">, joka hyväksyttiin 16 päivänä joulukuuta 2025, todetaan, että asumiskustannusten nousu ja kohtuuhintaisten asuntojen rajallinen saatavuus vaikuttavat suhteettomasti joihinkin ryhmiin ja että asunnottomuus on jatkuva, monimutkainen haaste, johon on vastattava asuntolähtöisillä ratkaisuilla (kuten asunto ensin ‑periaate) ja köyhyyden ja syrjäytymisen torjuntaan tähtäävillä yhdennetyillä toimilla. </w:t>
      </w:r>
    </w:p>
    <w:p w14:paraId="0177E9E1" w14:textId="77777777" w:rsidR="00F057B5" w:rsidRPr="00D965A5" w:rsidRDefault="00796E41" w:rsidP="00796E41">
      <w:pPr>
        <w:pStyle w:val="ManualConsidrant"/>
        <w:rPr>
          <w:noProof/>
        </w:rPr>
      </w:pPr>
      <w:r w:rsidRPr="00D965A5">
        <w:rPr>
          <w:noProof/>
        </w:rPr>
        <w:t>(17)</w:t>
      </w:r>
      <w:r w:rsidRPr="00D965A5">
        <w:rPr>
          <w:noProof/>
        </w:rPr>
        <w:tab/>
        <w:t xml:space="preserve">Asunnottomuus on edelleen kaikkein äärimmäisin ja näkyvin köyhyyden ja sosiaalisen syrjäytymisen ilmentymä Euroopan unionissa. Se vaikuttaa yksilöihin ja perheisiin kaikissa jäsenvaltioissa ja heikentää unionin perustana olevia ihmisarvon, tasa-arvon ja sosiaalisen oikeudenmukaisuuden periaatteita. </w:t>
      </w:r>
      <w:r w:rsidRPr="00D965A5">
        <w:rPr>
          <w:rStyle w:val="normaltextrun"/>
          <w:noProof/>
        </w:rPr>
        <w:t>Tähänastisista ponnisteluista huolimatta</w:t>
      </w:r>
      <w:r w:rsidRPr="00D965A5">
        <w:rPr>
          <w:noProof/>
        </w:rPr>
        <w:t xml:space="preserve"> asunnottomuus on kasvussa useissa jäsenvaltioissa, ja sen arvioidaan vaikuttavan yli miljoonaan henkilöön</w:t>
      </w:r>
      <w:r w:rsidRPr="00D965A5">
        <w:rPr>
          <w:rStyle w:val="FootnoteReference"/>
          <w:noProof/>
        </w:rPr>
        <w:footnoteReference w:id="31"/>
      </w:r>
      <w:r w:rsidRPr="00D965A5">
        <w:rPr>
          <w:noProof/>
        </w:rPr>
        <w:t>.</w:t>
      </w:r>
    </w:p>
    <w:p w14:paraId="705419CE" w14:textId="77777777" w:rsidR="00DA674D" w:rsidRPr="00D965A5" w:rsidRDefault="00796E41" w:rsidP="00796E41">
      <w:pPr>
        <w:pStyle w:val="ManualConsidrant"/>
        <w:rPr>
          <w:noProof/>
        </w:rPr>
      </w:pPr>
      <w:r w:rsidRPr="00D965A5">
        <w:rPr>
          <w:noProof/>
        </w:rPr>
        <w:t>(18)</w:t>
      </w:r>
      <w:r w:rsidRPr="00D965A5">
        <w:rPr>
          <w:noProof/>
        </w:rPr>
        <w:tab/>
        <w:t xml:space="preserve">Asuntomarkkinoilta syrjäytymisellä tarkoitetaan yksilön tai kotitalouden kyvyttömyyttä saada kunnollista, pysyvää asuntoa tai asua pysyvästi asunnossa, joka on perusturvallisuutta, oikeusturvaa ja kohtuuhintaisuutta koskevien vaatimusten mukainen. Sen näkyvin ja äärimmäisin muoto on asunnottomuus, ja sen piiriin kuuluvat muun muassa kadulla asuvat sekä asunnottomille tarjottavassa hätä- ja tilapäismajoituksessa olevat henkilöt. Asuntomarkkinoilta syrjäytyminen on kuitenkin tätä laajempaa ja kattaa myös ne, joilla on katto päänsä päällä mutta jotka elävät epäasianmukaisissa olosuhteissa ja/tai asunnottomuusuhan alla. Asunnottomuusuhan alaisuudesta on kyse, jos yksilöihin kohdistuu häädön tai kotiväkivallan uhkaa tai jos heillä ei ole pysyviä vuokrasopimuksia. Asuinolot ovat epäasianmukaiset, jos asunnot ovat laadultaan huonoja eikä niissä ole perusvarustusta (kuten huuhtelevaa sisä-wc:tä tai pesutiloja). Epäasianmukaiset asunnot voivat olla erittäin huonokuntoisia, äärimmäisen ahtaita tai epäsopivia henkilöille, joilla on lisätarpeita (kuten ikääntyneille, vammaisille tai pitkäaikaishoitoa tarvitseville henkilöille). </w:t>
      </w:r>
    </w:p>
    <w:p w14:paraId="656EE618" w14:textId="77777777" w:rsidR="00FC7435" w:rsidRPr="00D965A5" w:rsidRDefault="00796E41" w:rsidP="00796E41">
      <w:pPr>
        <w:pStyle w:val="ManualConsidrant"/>
        <w:rPr>
          <w:noProof/>
        </w:rPr>
      </w:pPr>
      <w:r w:rsidRPr="00D965A5">
        <w:rPr>
          <w:noProof/>
        </w:rPr>
        <w:t>(19)</w:t>
      </w:r>
      <w:r w:rsidRPr="00D965A5">
        <w:rPr>
          <w:noProof/>
        </w:rPr>
        <w:tab/>
        <w:t>Asunto on keskeinen terveyteen ja yhteiskunnalliseen osallisuuteen vaikuttava sosiaalinen tekijä, ja asunnon puute tai huonolaatuinen asuminen voi heikentää yksilöiden ja yhteisöjen terveyttä, hyvinvointia, työllisyyttä ja koulutusmahdollisuuksia.</w:t>
      </w:r>
    </w:p>
    <w:p w14:paraId="6A7E13E3" w14:textId="77777777" w:rsidR="00EF6534" w:rsidRPr="00D965A5" w:rsidRDefault="00796E41" w:rsidP="00796E41">
      <w:pPr>
        <w:pStyle w:val="ManualConsidrant"/>
        <w:rPr>
          <w:noProof/>
        </w:rPr>
      </w:pPr>
      <w:r w:rsidRPr="00D965A5">
        <w:rPr>
          <w:noProof/>
        </w:rPr>
        <w:t>(20)</w:t>
      </w:r>
      <w:r w:rsidRPr="00D965A5">
        <w:rPr>
          <w:noProof/>
        </w:rPr>
        <w:tab/>
        <w:t xml:space="preserve">Asuntomarkkinoilta syrjäytymistä ja asunnottomuutta ohjaa rakenteellisista, institutionaalisista ja henkilökohtaisista tekijöistä koostuva monimutkainen kokonaisuus. Tällaisia tekijöitä ovat köyhyys, työttömyys, sosiaalisen ja </w:t>
      </w:r>
      <w:r w:rsidRPr="00D965A5">
        <w:rPr>
          <w:noProof/>
        </w:rPr>
        <w:lastRenderedPageBreak/>
        <w:t xml:space="preserve">kohtuuhintaisen asuntotarjonnan vähyys, syrjintä, mielenterveysongelmat, heikko fyysinen terveys, päihteiden väärinkäyttö ja perheväkivalta. </w:t>
      </w:r>
    </w:p>
    <w:p w14:paraId="01CDDE42" w14:textId="77777777" w:rsidR="001E431A" w:rsidRPr="00D965A5" w:rsidRDefault="00796E41" w:rsidP="00796E41">
      <w:pPr>
        <w:pStyle w:val="ManualConsidrant"/>
        <w:rPr>
          <w:noProof/>
        </w:rPr>
      </w:pPr>
      <w:r w:rsidRPr="00D965A5">
        <w:rPr>
          <w:noProof/>
        </w:rPr>
        <w:t>(21)</w:t>
      </w:r>
      <w:r w:rsidRPr="00D965A5">
        <w:rPr>
          <w:noProof/>
        </w:rPr>
        <w:tab/>
        <w:t>Vuonna 2024 lähes 6 prosenttia 16 vuotta täyttäneistä unionin kansalaisista, jotka olivat etsineet asuntoa viiden viime vuoden aikana, ilmoitti kokeneensa syrjintää ainakin kerran. Syrjintää kokeneiden osuus oli köyhyys- tai syrjäytymisvaarassa olevilla kaksinkertainen (10 %) muihin verrattuna (5 %). Noin 17 prosenttia unionin väestöstä asui vuonna 2024 ahtaissa kodeissa.</w:t>
      </w:r>
    </w:p>
    <w:p w14:paraId="51D447F1" w14:textId="77777777" w:rsidR="0045596F" w:rsidRPr="00D965A5" w:rsidRDefault="00796E41" w:rsidP="00796E41">
      <w:pPr>
        <w:pStyle w:val="ManualConsidrant"/>
        <w:rPr>
          <w:noProof/>
        </w:rPr>
      </w:pPr>
      <w:r w:rsidRPr="00D965A5">
        <w:rPr>
          <w:noProof/>
        </w:rPr>
        <w:t>(22)</w:t>
      </w:r>
      <w:r w:rsidRPr="00D965A5">
        <w:rPr>
          <w:noProof/>
        </w:rPr>
        <w:tab/>
        <w:t xml:space="preserve">Sosiaaliperusteisten ja kohtuuhintaisten asuntojen puute on merkittävä este asuntomarkkinoilta syrjäytymisen ja asunnottomuuden torjunnassa. Asuntojen nimellishinnat ovat EU:ssa nousseet vuosien 2013 ja 2024 välisenä aikana yli 60 prosenttia eli nopeammin kuin kotitalouksien tulot, ja joissakin jäsenmaissa nimellishinnat ovat nousseet keskimäärin jopa yli 220 prosenttia. Samaan aikaan keskimääräiset vuokrat ovat nousseet noin 20 prosenttia, ja uusiin vuokrasopimuksiin perustuvat vuokrat ovat huomattavasti vanhoja sopimuksia korkeampia etenkin kaupunki- ja matkailualueilla. Asumiskustannukset, kuten vesi, sähkö, kaasu ja muut polttoaineet, ovat nousseet 17 jäsenvaltiossa unionin keskiarvoon verrattuna. Joissakin jäsenvaltioissa asumiskustannukset ovat yli 80 prosenttia EU:n keskiarvoa korkeammat, kun taas kymmenessä jäsenvaltiossa kustannukset ovat laskeneet. </w:t>
      </w:r>
    </w:p>
    <w:p w14:paraId="57D8CAB5" w14:textId="77777777" w:rsidR="00480528" w:rsidRPr="00D965A5" w:rsidRDefault="00796E41" w:rsidP="00796E41">
      <w:pPr>
        <w:pStyle w:val="ManualConsidrant"/>
        <w:rPr>
          <w:noProof/>
        </w:rPr>
      </w:pPr>
      <w:r w:rsidRPr="00D965A5">
        <w:rPr>
          <w:noProof/>
        </w:rPr>
        <w:t>(23)</w:t>
      </w:r>
      <w:r w:rsidRPr="00D965A5">
        <w:rPr>
          <w:noProof/>
        </w:rPr>
        <w:tab/>
        <w:t>Asuntotarjontaan tehdyt investoinnit ovat vähentyneet huomattavasti viime vuosikymmenen aikana. Tarjonta ei ole pysynyt kasvavan kysynnän tasalla korkeiden rakennuskustannusten, innovaatiovajeiden, ammattitaitoisen työvoiman puuttumisen ja liiallisen byrokratian vuoksi. Etenkin rakentamisen hinnat ovat nousseet unionissa 56 prosenttia vuosien 2010 ja 2024 välillä, ja joissakin jäsenvaltioissa hinnat ovat nousseet yli 170 prosenttia. Asuntojen rakennuslupien määrä (asuntojen lukumäärä) on vähentynyt 22 prosenttia vuosina 2021–2024, eikä olemassa olevaa asuntokantaa ole hyödynnetty kokonaan, sillä noin 20 prosenttia EU:n alueen asunnoista on tyhjillään tai vajaakäytössä (mukaan lukien kausi- ja toissijaiset asunnot sekä sijoitusasunnot, joita ei käytetä ensisijaisena asuntona).</w:t>
      </w:r>
    </w:p>
    <w:p w14:paraId="32E570A6" w14:textId="699F9E93" w:rsidR="00317495" w:rsidRPr="00D965A5" w:rsidRDefault="00796E41" w:rsidP="00796E41">
      <w:pPr>
        <w:pStyle w:val="ManualConsidrant"/>
        <w:rPr>
          <w:noProof/>
        </w:rPr>
      </w:pPr>
      <w:r w:rsidRPr="00D965A5">
        <w:rPr>
          <w:noProof/>
        </w:rPr>
        <w:t>(24)</w:t>
      </w:r>
      <w:r w:rsidRPr="00D965A5">
        <w:rPr>
          <w:noProof/>
        </w:rPr>
        <w:tab/>
        <w:t>Tätä taustaa vasten sosiaaliperusteisen ja kohtuuhintaisen asuntotarjonnan lisääminen on ratkaisevan tärkeää asuntomarkkinoilta syrjäytymisen torjumiseksi. Uusia investointeja tarvitaan erityisesti uusien asuntojen rakentamisen tukemiseen, kunnostamiseen ja mahdollisuuksien mukaan olemassa olevien vajaakäytössä tai tyhjillään olevien asuntojen (20 % asunnoista) tehokkaampaan hyödyntämiseen. Toimijoita tulisikin kannustaa lisäämään yksityisten kiinteistöjen vuokraamista ja olemassa olevan rakennuskannan, kuten toimistorakennusten, käyttötarkoituksen muuttamista. Yleisiin taloudellisiin etuihin liittyviä palveluja koskevien valtiontukisääntöjen tarkistaminen osana kohtuuhintaista asumista koskevaa eurooppalaista suunnitelmaa ja EU:n koheesiopolitiikan rahastojen tarkistamiseen liittyvää asetusta</w:t>
      </w:r>
      <w:r w:rsidRPr="00D965A5">
        <w:rPr>
          <w:rStyle w:val="FootnoteReference"/>
          <w:noProof/>
        </w:rPr>
        <w:footnoteReference w:id="32"/>
      </w:r>
      <w:r w:rsidRPr="00D965A5">
        <w:rPr>
          <w:noProof/>
        </w:rPr>
        <w:t xml:space="preserve"> edistää sellaisten puitteiden kehittämistä, jotka mahdollistavat investointien tekemisen sosiaaliseen ja kohtuuhintaiseen asuntotuotantoon (väliarvioinnin mukaan jäsenvaltiot ja alueet ovat kohdentaneet kohtuuhintaiseen ja kestävään asuntotuotantoon uudelleen vähintään 3,3 miljardia euroa maaliskuuhun 2026 mennessä). Keskipitkän aikavälin sääntelyyn liittyvät joustomahdollisuudet ja mahdollisuus lisätä unionin yhteisrahoitusosuutta asuntoinvestoinneissa ovat edelleen käytettävissä, jotta uudelleenkohdentamista voidaan tukea vuosiin 2029–2030 asti. </w:t>
      </w:r>
    </w:p>
    <w:p w14:paraId="271F638D" w14:textId="77777777" w:rsidR="00C20F02" w:rsidRPr="00D965A5" w:rsidRDefault="00796E41" w:rsidP="00796E41">
      <w:pPr>
        <w:pStyle w:val="ManualConsidrant"/>
        <w:rPr>
          <w:noProof/>
        </w:rPr>
      </w:pPr>
      <w:r w:rsidRPr="00D965A5">
        <w:rPr>
          <w:noProof/>
        </w:rPr>
        <w:lastRenderedPageBreak/>
        <w:t>(25)</w:t>
      </w:r>
      <w:r w:rsidRPr="00D965A5">
        <w:rPr>
          <w:noProof/>
        </w:rPr>
        <w:tab/>
        <w:t>Uusi eurooppalainen Bauhaus ‑aloitteen periaatteiden mukaisesti asianmukaisten, kestävien, kohtuuhintaisten ja laadukkaiden asuntojen saatavuutta olisi pidettävä osana laajempaa sosiaalista ja alueellista ekosysteemiä, joka tukee osallisuutta, yhteisöelämää, työvoiman liikkuvuutta, koulutuksen saatavuutta, terveydenhuoltoa, pitkäaikaishoitoa, itsenäistä asumista ja sosiaalista yhteenkuuluvuutta. Asumispolitiikka on tehokkaampaa ja luo sosiaalista lisäarvoa, kun se yhdistetään paikkalähtöisiin toimiin ja yhteisölliseen infrastruktuuriin ja palveluihin ja kun sen tarkoituksena on edistää osallistavia, kestäviä asuinalueita, jotka vastaavat asukkaiden tarpeita.</w:t>
      </w:r>
    </w:p>
    <w:p w14:paraId="7A3AEA7E" w14:textId="77777777" w:rsidR="00C20F02" w:rsidRPr="00D965A5" w:rsidRDefault="00796E41" w:rsidP="00796E41">
      <w:pPr>
        <w:pStyle w:val="ManualConsidrant"/>
        <w:rPr>
          <w:noProof/>
        </w:rPr>
      </w:pPr>
      <w:r w:rsidRPr="00D965A5">
        <w:rPr>
          <w:noProof/>
        </w:rPr>
        <w:t>(26)</w:t>
      </w:r>
      <w:r w:rsidRPr="00D965A5">
        <w:rPr>
          <w:noProof/>
        </w:rPr>
        <w:tab/>
        <w:t>Tarjonnan ja kohtuuhintaisuuden lisäämiseksi jäsenvaltiot voivat hyödyntää erilaisia asumismalleja, kuten sosiaalista ja julkista asuntotarjontaa, omakustannusvuokrajärjestelmiä ja rajallista voittoa tavoittelevaa asuntotarjontaa, asunto-osakeyhtiöitä, tuetun vuokra-asumisen asuntovälitystä sekä muita voittoa tavoittelemattomia tai yleisen edun mukaisia malleja. Nämä usein yhteisötalouden organisaatioiden tuottamat mallit voivat edistää pitkän aikavälin kohtuuhintaisuutta, vähentää keinottelulle altistumista ja auttaa ottamaan käyttöön olemassa olevia asuntoja, maata ja investointeja. Innovatiiviset yhteisasumismallit, kuten monisukupolvinen asuminen, yhteisasuminen ja yhteiskäyttötilajärjestelyt, voivat myös auttaa torjumaan sosiaalista eristyneisyyttä, rakennusten vajaakäyttöä ja paikallista asuntopulaa. Keskinäisen oppimisen kautta voidaan saada tietoa muissa jäsenvaltioissa jo toteutetuista onnistuneista malleista.</w:t>
      </w:r>
    </w:p>
    <w:p w14:paraId="4142CE8C" w14:textId="77777777" w:rsidR="00C20F02" w:rsidRPr="00D965A5" w:rsidRDefault="00796E41" w:rsidP="00796E41">
      <w:pPr>
        <w:pStyle w:val="ManualConsidrant"/>
        <w:rPr>
          <w:noProof/>
        </w:rPr>
      </w:pPr>
      <w:r w:rsidRPr="00D965A5">
        <w:rPr>
          <w:noProof/>
        </w:rPr>
        <w:t>(27)</w:t>
      </w:r>
      <w:r w:rsidRPr="00D965A5">
        <w:rPr>
          <w:noProof/>
        </w:rPr>
        <w:tab/>
        <w:t>Sosiaaliperusteisen ja kohtuuhintaisen asuntotarjonnan laajentaminen edellyttää vakaita hallinto- ja investointikehyksiä, mukaan lukien julkisen ja yksityisen sektorin kumppanuudet, sekä viranomaisten, yhteisötalouden organisaatioiden, sosiaaliperusteisten ja kohtuuhintaisten asuntojen tarjoajien, oppilaitosten, työnantajien, rahoituslaitosten ja muiden sidosryhmien välistä yhteistyötä. Sekarahoitus, uusiutuvat rahastot, julkiset takaukset, pitkäaikaiset julkisten maa-alueiden vuokrasopimukset ja muut yleishyödylliset rahoitusmekanismit voivat edistää pitkäjänteisen pääoman mobilisoimista ja tukea pitkän aikavälin kohtuuhintaisuutta. Lisäksi jäsenvaltiot voivat edistää ja tukea innovatiivisia ja osallistavia, alhaalta ylöspäin suuntautuvia asuntohankkeita, joissa tulevat asukkaat suunnittelevat ja rahoittavat asuntohankkeensa kollektiivisesti.</w:t>
      </w:r>
    </w:p>
    <w:p w14:paraId="3AFAA48E" w14:textId="77777777" w:rsidR="000C56F0" w:rsidRPr="00D965A5" w:rsidRDefault="00796E41" w:rsidP="00796E41">
      <w:pPr>
        <w:pStyle w:val="ManualConsidrant"/>
        <w:rPr>
          <w:noProof/>
        </w:rPr>
      </w:pPr>
      <w:r w:rsidRPr="00D965A5">
        <w:rPr>
          <w:noProof/>
        </w:rPr>
        <w:t>(28)</w:t>
      </w:r>
      <w:r w:rsidRPr="00D965A5">
        <w:rPr>
          <w:noProof/>
        </w:rPr>
        <w:tab/>
        <w:t>Asuntomarkkinoilta syrjäytyminen ja asunnottomuus voivat vaikuttaa suhteettomasti tiettyihin kansalaisryhmiin, joiden laajuus ja koostumus vaihtelevat huomattavasti kansallisten/alueellisten olosuhteiden mukaan. Tietyt henkilöt ja ryhmät voivat kohdata erityisiä haasteita asuntojen saatavuudessa, ja heidän kohdallaan asuntomarkkinoilta syrjäytymisen tai asunnottomuuden riski on suurempi. Heitä ovat esimerkiksi nuoret (kuten opiskelijat, joilla ei ole varaa tai jotka eivät pääse opiskelija-asuntoon, tai laitoshoidosta tai vaihtoehtoisesta hoidosta poistuvat nuoret), työttömät, haavoittuvassa asemassa olevat lapsiperheet (myös yksinhuoltajat), sukupuoleen perustuvan väkivallan uhrit ja väkivallasta selviytyneet, vammaiset tai pitkäaikaishoidon tarpeessa olevat henkilöt, epävarmassa asumistilanteessa olevat ikääntyneet, romani- ja maahanmuuttajataustaiset henkilöt, rodullisiin tai etnisiin vähemmistöihin kuuluvat ja hlbtiq+ ‑henkilöt.</w:t>
      </w:r>
    </w:p>
    <w:p w14:paraId="3C87B14E" w14:textId="77777777" w:rsidR="00F057B5" w:rsidRPr="00D965A5" w:rsidRDefault="00796E41" w:rsidP="00796E41">
      <w:pPr>
        <w:pStyle w:val="ManualConsidrant"/>
        <w:rPr>
          <w:noProof/>
        </w:rPr>
      </w:pPr>
      <w:r w:rsidRPr="00D965A5">
        <w:rPr>
          <w:noProof/>
        </w:rPr>
        <w:t>(29)</w:t>
      </w:r>
      <w:r w:rsidRPr="00D965A5">
        <w:rPr>
          <w:noProof/>
        </w:rPr>
        <w:tab/>
        <w:t xml:space="preserve">Asuntomarkkinoilta syrjäytymisen ja asunnottomuuden ehkäiseminen yhdistettynä asianmukaisen, turvatun asunnon saamiseen ja kokonaisvaltaisiin henkilökeskeisiin tukipalveluihin on tehokkain tapa poistaa asunnottomuus. Sen vuoksi olisi kehotettava, että jäsenvaltiot laatisivat tehokkaita ennaltaehkäiseviä toimintapolitiikkoja, jotka kattavat yleiset ennaltaehkäisytoimet, riskiryhmiin kohdistuvat alkupään toimet, </w:t>
      </w:r>
      <w:r w:rsidRPr="00D965A5">
        <w:rPr>
          <w:noProof/>
        </w:rPr>
        <w:lastRenderedPageBreak/>
        <w:t xml:space="preserve">kriisien ehkäisyn tilanteissa, joissa henkilöä tai kotitaloutta uhkaa välitön asunnottomuus, sekä hätätilanteisiin laaditut toimet, jotta voidaan varmistaa väliaikaisen majoituksen nopea saatavuus. </w:t>
      </w:r>
    </w:p>
    <w:p w14:paraId="3CA9CF62" w14:textId="77777777" w:rsidR="00F057B5" w:rsidRPr="00D965A5" w:rsidRDefault="00796E41" w:rsidP="00796E41">
      <w:pPr>
        <w:pStyle w:val="ManualConsidrant"/>
        <w:rPr>
          <w:noProof/>
        </w:rPr>
      </w:pPr>
      <w:r w:rsidRPr="00D965A5">
        <w:rPr>
          <w:noProof/>
        </w:rPr>
        <w:t>(30)</w:t>
      </w:r>
      <w:r w:rsidRPr="00D965A5">
        <w:rPr>
          <w:noProof/>
        </w:rPr>
        <w:tab/>
        <w:t xml:space="preserve">Varhaisen puuttumisen välineitä, kuten vuokra- ja asuntolainarästien sovittelua, velkaneuvontaa, vuokralaisten ja vuokranantajien oikeuksia koskevaa oikeudellista neuvontaa, varhaisvaroitusjärjestelmiä tai lyhytaikaista rahoitustukea, ei ole johdonmukaisesti saatavilla kaikissa jäsenvaltioissa, mutta näiden mekanismien vahvistaminen olisi olennaisen tärkeää asuntomarkkinoilta syrjäytymisen ehkäisemiseksi tehokkaasti. </w:t>
      </w:r>
    </w:p>
    <w:p w14:paraId="5985B878" w14:textId="77777777" w:rsidR="00563C94" w:rsidRPr="00D965A5" w:rsidRDefault="00796E41" w:rsidP="00796E41">
      <w:pPr>
        <w:pStyle w:val="ManualConsidrant"/>
        <w:rPr>
          <w:noProof/>
        </w:rPr>
      </w:pPr>
      <w:r w:rsidRPr="00D965A5">
        <w:rPr>
          <w:noProof/>
        </w:rPr>
        <w:t>(31)</w:t>
      </w:r>
      <w:r w:rsidRPr="00D965A5">
        <w:rPr>
          <w:noProof/>
        </w:rPr>
        <w:tab/>
        <w:t xml:space="preserve">Mielivaltaisten pakkohäätöjen ehkäiseminen ja tuen tarjoaminen uudelleensijoitusten aikana edellyttää oikeudenmukaista oikeudellista kehystä vuokralaisten turvan ja vuokranantajien oikeuksien osalta. Yhteistyö paikallisviranomaisten, sosiaalipalvelujen ja sovitteluvaihtoehtojen, kuten sosiaaliperusteisten asuntojen välittäjien, kanssa voi vähentää asumisen epävakautta ja helpottaa siirtymistä.  </w:t>
      </w:r>
    </w:p>
    <w:p w14:paraId="7A02B393" w14:textId="77777777" w:rsidR="00F057B5" w:rsidRPr="00D965A5" w:rsidRDefault="00796E41" w:rsidP="00796E41">
      <w:pPr>
        <w:pStyle w:val="ManualConsidrant"/>
        <w:rPr>
          <w:noProof/>
        </w:rPr>
      </w:pPr>
      <w:r w:rsidRPr="00D965A5">
        <w:rPr>
          <w:noProof/>
        </w:rPr>
        <w:t>(32)</w:t>
      </w:r>
      <w:r w:rsidRPr="00D965A5">
        <w:rPr>
          <w:noProof/>
        </w:rPr>
        <w:tab/>
        <w:t xml:space="preserve">Asuntolähtöiset toimintatavat, kuten asunto ensin ‑malli, jossa yhdistyvät pysyvän asunnon nopea saatavuus ja yksilölliset, integroidut tukipalvelut, ovat tuottaneet kestäviä myönteisiä tuloksia asuntomarkkinoilta syrjäytymisen ja asunnottomuuden ehkäisemisessä ja vähentämisessä sekä sosiaalisen ja taloudellisen yhdentymisen edistämisessä. </w:t>
      </w:r>
    </w:p>
    <w:p w14:paraId="54B00264" w14:textId="77777777" w:rsidR="001C56C6" w:rsidRPr="00D965A5" w:rsidRDefault="00796E41" w:rsidP="00796E41">
      <w:pPr>
        <w:pStyle w:val="ManualConsidrant"/>
        <w:rPr>
          <w:noProof/>
          <w:sz w:val="22"/>
        </w:rPr>
      </w:pPr>
      <w:r w:rsidRPr="00D965A5">
        <w:rPr>
          <w:noProof/>
        </w:rPr>
        <w:t>(33)</w:t>
      </w:r>
      <w:r w:rsidRPr="00D965A5">
        <w:rPr>
          <w:noProof/>
        </w:rPr>
        <w:tab/>
        <w:t xml:space="preserve">Avun saantia koskevat hallinnolliset vaatimukset, kuten velvollisuus esittää todiste pysyvästä oleskelusta, voivat luoda esteitä asunnottomuudesta kärsiville tai asuntomarkkinoilta syrjäytyneille henkilöille. Tällaisten vaatimusten poistaminen tai mukauttaminen tarvittaessa voi parantaa saatavilla olevan tuen hyödyntämistä ja auttaa puuttumaan asuntomarkkinoilta syrjäytymisen perimmäisiin syihin. </w:t>
      </w:r>
    </w:p>
    <w:p w14:paraId="7F58970F" w14:textId="77777777" w:rsidR="001C56C6" w:rsidRPr="00D965A5" w:rsidRDefault="00796E41" w:rsidP="00796E41">
      <w:pPr>
        <w:pStyle w:val="ManualConsidrant"/>
        <w:rPr>
          <w:noProof/>
        </w:rPr>
      </w:pPr>
      <w:r w:rsidRPr="00D965A5">
        <w:rPr>
          <w:noProof/>
        </w:rPr>
        <w:t>(34)</w:t>
      </w:r>
      <w:r w:rsidRPr="00D965A5">
        <w:rPr>
          <w:noProof/>
        </w:rPr>
        <w:tab/>
        <w:t>Asumiskustannusten nousu ja sosiaaliperusteisten ja kohtuuhintaisten asuntojen rajallinen saatavuus haittaavat työmarkkinoiden liikkuvuutta, koska ihmiset eivät ehkä pysty muuttamaan alueille, joilla on työllistymismahdollisuuksia. Tämä voi vaikuttaa kilpailukykyyn ja talouskasvuun. Asuntojen kohtuuhintaisuuteen ja saatavuuteen puuttuminen on ratkaisevan tärkeää, jotta voidaan tukea osallistumista työmarkkinoille ja varmistaa työmarkkinoiden tehokas toiminta.</w:t>
      </w:r>
    </w:p>
    <w:p w14:paraId="04A80766" w14:textId="77777777" w:rsidR="00891B98" w:rsidRPr="00D965A5" w:rsidRDefault="00796E41" w:rsidP="00891B98">
      <w:pPr>
        <w:pStyle w:val="ManualConsidrant"/>
        <w:rPr>
          <w:noProof/>
        </w:rPr>
      </w:pPr>
      <w:r w:rsidRPr="00D965A5">
        <w:rPr>
          <w:noProof/>
        </w:rPr>
        <w:t>(35)</w:t>
      </w:r>
      <w:r w:rsidRPr="00D965A5">
        <w:rPr>
          <w:noProof/>
        </w:rPr>
        <w:tab/>
        <w:t xml:space="preserve">Eri jäsenvaltioissa käytettyjen määritelmien, seurantajärjestelmien ja tiedonkeruumenetelmien erot rajoittavat vertailukelpoisten asunnottomuutta koskevien tietojen saatavuutta unionin tasolla. </w:t>
      </w:r>
    </w:p>
    <w:p w14:paraId="3D308BBA" w14:textId="77777777" w:rsidR="00D31666" w:rsidRPr="00D965A5" w:rsidRDefault="00796E41" w:rsidP="00796E41">
      <w:pPr>
        <w:pStyle w:val="ManualConsidrant"/>
        <w:rPr>
          <w:noProof/>
        </w:rPr>
      </w:pPr>
      <w:r w:rsidRPr="00D965A5">
        <w:rPr>
          <w:noProof/>
        </w:rPr>
        <w:t>(36)</w:t>
      </w:r>
      <w:r w:rsidRPr="00D965A5">
        <w:rPr>
          <w:noProof/>
        </w:rPr>
        <w:tab/>
        <w:t xml:space="preserve">Luotettavat, kattavat ja säännöllisesti kerätyt tiedot ja tilastollinen näyttö asuntomarkkinoilta syrjäytymisestä ja asunnottomuudesta ovat ratkaisevan tärkeitä tehokkaan toimintapolitiikan suunnittelun, seurannan ja arvioinnin kannalta, sillä ne auttavat arvioimaan edistymistä lisäämättä hallinnollista rasitetta.  </w:t>
      </w:r>
    </w:p>
    <w:p w14:paraId="0A6D36D7" w14:textId="77777777" w:rsidR="00F057B5" w:rsidRPr="00D965A5" w:rsidRDefault="00796E41" w:rsidP="00796E41">
      <w:pPr>
        <w:pStyle w:val="ManualConsidrant"/>
        <w:rPr>
          <w:noProof/>
        </w:rPr>
      </w:pPr>
      <w:r w:rsidRPr="00D965A5">
        <w:rPr>
          <w:noProof/>
        </w:rPr>
        <w:t>(37)</w:t>
      </w:r>
      <w:r w:rsidRPr="00D965A5">
        <w:rPr>
          <w:noProof/>
        </w:rPr>
        <w:tab/>
        <w:t>Asuntomarkkinoilta syrjäytymisen ja asunnottomuuden torjuminen edellyttää monialaista koordinointia ja monitasoista hallintoa, johon osallistuvat Euroopan unioni, kansalliset, alueelliset ja paikalliset viranomaiset, kansalaisyhteiskunta, yhteisötalouden organisaatiot, asuntojen tarjoajat ja henkilöt, joilla on omakohtaista kokemusta asunnottomuudesta.</w:t>
      </w:r>
    </w:p>
    <w:p w14:paraId="1ADD8889" w14:textId="77777777" w:rsidR="00B01222" w:rsidRPr="00D965A5" w:rsidRDefault="00796E41" w:rsidP="00796E41">
      <w:pPr>
        <w:pStyle w:val="ManualConsidrant"/>
        <w:rPr>
          <w:noProof/>
        </w:rPr>
      </w:pPr>
      <w:r w:rsidRPr="00D965A5">
        <w:rPr>
          <w:noProof/>
        </w:rPr>
        <w:t>(38)</w:t>
      </w:r>
      <w:r w:rsidRPr="00D965A5">
        <w:rPr>
          <w:noProof/>
        </w:rPr>
        <w:tab/>
        <w:t xml:space="preserve">Kumppanuudet sellaisten järjestöjen kanssa, jotka tarjoavat tukea asunnottomille ja laajemmin asuntomarkkinoilta syrjäytymisen vaarassa oleville henkilöille, voivat vahvistaa julkisia pyrkimyksiä tarjota sosiaalista osallisuutta edistäviä palveluja ja luoda vakaita asumisratkaisuja tietyille kohderyhmille. Tarjoamalla lisäpalveluja, </w:t>
      </w:r>
      <w:r w:rsidRPr="00D965A5">
        <w:rPr>
          <w:noProof/>
        </w:rPr>
        <w:lastRenderedPageBreak/>
        <w:t>kuten työelämään integroitumista, yhteisötalouden organisaatiot voivat auttaa varmistamaan siirtymän vakaaseen elämään.</w:t>
      </w:r>
    </w:p>
    <w:p w14:paraId="3FCBAC9D" w14:textId="77777777" w:rsidR="00F057B5" w:rsidRPr="00D965A5" w:rsidRDefault="00796E41" w:rsidP="00796E41">
      <w:pPr>
        <w:pStyle w:val="ManualConsidrant"/>
        <w:rPr>
          <w:noProof/>
        </w:rPr>
      </w:pPr>
      <w:r w:rsidRPr="00D965A5">
        <w:rPr>
          <w:noProof/>
        </w:rPr>
        <w:t>(39)</w:t>
      </w:r>
      <w:r w:rsidRPr="00D965A5">
        <w:rPr>
          <w:noProof/>
        </w:rPr>
        <w:tab/>
        <w:t xml:space="preserve">Tehokkaat toimet asuntomarkkinoilta syrjäytymisen ehkäisemiseksi ja vähentämiseksi edellyttävät riittävää, vakaata rahoitusta sekä käytettävissä olevien unionin, kansallisten, alueellisten ja paikallisten varojen tehokasta hyödyntämistä ja koordinointia jäsenvaltioiden toimivallan ja julkisen talouden kehysten mukaisesti. </w:t>
      </w:r>
    </w:p>
    <w:p w14:paraId="03A9C966" w14:textId="77777777" w:rsidR="00F057B5" w:rsidRPr="00D965A5" w:rsidRDefault="00796E41" w:rsidP="00796E41">
      <w:pPr>
        <w:pStyle w:val="ManualConsidrant"/>
        <w:rPr>
          <w:noProof/>
        </w:rPr>
      </w:pPr>
      <w:r w:rsidRPr="00D965A5">
        <w:rPr>
          <w:noProof/>
        </w:rPr>
        <w:t>(40)</w:t>
      </w:r>
      <w:r w:rsidRPr="00D965A5">
        <w:rPr>
          <w:noProof/>
        </w:rPr>
        <w:tab/>
        <w:t xml:space="preserve">Asunnottomuuden vähentämistä käsittelevä eurooppalainen foorumi on EU:n tason vakiintunut yhteistyökehys asunnottomuuden ja asuntomarkkinoilta syrjäytymisen alalla. Se tarjoaa yhteistyöfoorumin tietämyksen lisäämiselle, keskinäiselle oppimiselle sekä jäsenvaltioiden ja sidosryhmien väliselle yhteistyölle, mikä edistää näyttöön perustuvaa päätöksentekoa ja vahvistaa täytäntöönpanovalmiuksia. Se on EU:n tason vakiintunut hallintokehys asunnottomuuden ja asuntomarkkinoilta syrjäytymisen alalla. </w:t>
      </w:r>
    </w:p>
    <w:p w14:paraId="239FF0AC" w14:textId="77777777" w:rsidR="00316B78" w:rsidRPr="00D965A5" w:rsidRDefault="00796E41" w:rsidP="00796E41">
      <w:pPr>
        <w:pStyle w:val="ManualConsidrant"/>
        <w:rPr>
          <w:noProof/>
        </w:rPr>
      </w:pPr>
      <w:r w:rsidRPr="00D965A5">
        <w:rPr>
          <w:noProof/>
        </w:rPr>
        <w:t>(41)</w:t>
      </w:r>
      <w:r w:rsidRPr="00D965A5">
        <w:rPr>
          <w:noProof/>
        </w:rPr>
        <w:tab/>
        <w:t>Asunnottomuuden vähentämistä käsittelevästä eurooppalaisesta foorumista annetun Lissabonin julistuksen allekirjoittajat sitoutuivat työskentelemään asunnottomuuden poistamiseksi vuoteen 2030 mennessä, jotta</w:t>
      </w:r>
    </w:p>
    <w:p w14:paraId="49E0CD2D" w14:textId="77777777" w:rsidR="00316B78" w:rsidRPr="00D965A5" w:rsidRDefault="00796E41" w:rsidP="00796E41">
      <w:pPr>
        <w:pStyle w:val="Point1"/>
        <w:rPr>
          <w:noProof/>
        </w:rPr>
      </w:pPr>
      <w:r w:rsidRPr="00D965A5">
        <w:rPr>
          <w:noProof/>
        </w:rPr>
        <w:t>i)</w:t>
      </w:r>
      <w:r w:rsidRPr="00D965A5">
        <w:rPr>
          <w:noProof/>
        </w:rPr>
        <w:tab/>
        <w:t>kukaan ei asuisi kadulla esteettömän, turvallisen ja asianmukaisen hätämajoituksen puuttumisen vuoksi;</w:t>
      </w:r>
    </w:p>
    <w:p w14:paraId="502C1741" w14:textId="77777777" w:rsidR="00316B78" w:rsidRPr="00D965A5" w:rsidRDefault="00796E41" w:rsidP="00796E41">
      <w:pPr>
        <w:pStyle w:val="Point1"/>
        <w:rPr>
          <w:noProof/>
        </w:rPr>
      </w:pPr>
      <w:r w:rsidRPr="00D965A5">
        <w:rPr>
          <w:noProof/>
        </w:rPr>
        <w:t>ii)</w:t>
      </w:r>
      <w:r w:rsidRPr="00D965A5">
        <w:rPr>
          <w:noProof/>
        </w:rPr>
        <w:tab/>
        <w:t xml:space="preserve">kukaan ei asuisi hätä- tai väliaikaismajoituksessa pidempään kuin pysyvän asumisratkaisun löytyminen edellyttää; </w:t>
      </w:r>
    </w:p>
    <w:p w14:paraId="468505A2" w14:textId="77777777" w:rsidR="00316B78" w:rsidRPr="00D965A5" w:rsidRDefault="00796E41" w:rsidP="00796E41">
      <w:pPr>
        <w:pStyle w:val="Point1"/>
        <w:rPr>
          <w:noProof/>
        </w:rPr>
      </w:pPr>
      <w:r w:rsidRPr="00D965A5">
        <w:rPr>
          <w:noProof/>
        </w:rPr>
        <w:t>iii)</w:t>
      </w:r>
      <w:r w:rsidRPr="00D965A5">
        <w:rPr>
          <w:noProof/>
        </w:rPr>
        <w:tab/>
        <w:t xml:space="preserve">ketään ei päästettäisi pois mistään laitoksesta (kuten vankilasta, sairaalasta tai hoitolaitoksesta), jos tarjolla ei ole asianmukaista asuntoa; </w:t>
      </w:r>
    </w:p>
    <w:p w14:paraId="7835FCB4" w14:textId="77777777" w:rsidR="00316B78" w:rsidRPr="00D965A5" w:rsidRDefault="00796E41" w:rsidP="00796E41">
      <w:pPr>
        <w:pStyle w:val="Point1"/>
        <w:rPr>
          <w:noProof/>
        </w:rPr>
      </w:pPr>
      <w:r w:rsidRPr="00D965A5">
        <w:rPr>
          <w:noProof/>
        </w:rPr>
        <w:t>iv)</w:t>
      </w:r>
      <w:r w:rsidRPr="00D965A5">
        <w:rPr>
          <w:noProof/>
        </w:rPr>
        <w:tab/>
        <w:t>häädöt olisi estettävä aina, kun se on mahdollista eikä ketään häädettäisi ilman, että häntä autetaan tarvittaessa löytämään asianmukainen asumisratkaisu;</w:t>
      </w:r>
    </w:p>
    <w:p w14:paraId="4A2C71F6" w14:textId="77777777" w:rsidR="00316B78" w:rsidRPr="00D965A5" w:rsidRDefault="00796E41" w:rsidP="00796E41">
      <w:pPr>
        <w:pStyle w:val="Point1"/>
        <w:rPr>
          <w:noProof/>
        </w:rPr>
      </w:pPr>
      <w:r w:rsidRPr="00D965A5">
        <w:rPr>
          <w:noProof/>
        </w:rPr>
        <w:t>v)</w:t>
      </w:r>
      <w:r w:rsidRPr="00D965A5">
        <w:rPr>
          <w:noProof/>
        </w:rPr>
        <w:tab/>
        <w:t xml:space="preserve">ketään ei syrjittäisi asunnottomuuden vuoksi.  </w:t>
      </w:r>
    </w:p>
    <w:p w14:paraId="261CCBDA" w14:textId="77777777" w:rsidR="00D244BF" w:rsidRPr="00D965A5" w:rsidRDefault="00796E41" w:rsidP="00796E41">
      <w:pPr>
        <w:pStyle w:val="ManualConsidrant"/>
        <w:rPr>
          <w:noProof/>
        </w:rPr>
      </w:pPr>
      <w:r w:rsidRPr="00D965A5">
        <w:rPr>
          <w:noProof/>
        </w:rPr>
        <w:t>(42)</w:t>
      </w:r>
      <w:r w:rsidRPr="00D965A5">
        <w:rPr>
          <w:noProof/>
        </w:rPr>
        <w:tab/>
        <w:t xml:space="preserve">Asunnottomuuden ETHOS-luokitus kehitettiin kehykseksi, jonka avulla voidaan parantaa asunnottomuuden ymmärtämistä ja mittaamista Euroopassa ja tarjota yhteinen ”kieli” asunnottomuutta koskevaa kansainvälistä tietojenvaihtoa varten. ETHOS-luokitus kattaa kaikki sellaiset asumistilanteet, jotka ovat asunnottomuuden ja asuntomarkkinoilta syrjäytymisen muotoja: </w:t>
      </w:r>
    </w:p>
    <w:p w14:paraId="39C529BC" w14:textId="77777777" w:rsidR="00D244BF" w:rsidRPr="00D965A5" w:rsidRDefault="00D244BF" w:rsidP="002A697C">
      <w:pPr>
        <w:pStyle w:val="Tiret1"/>
        <w:numPr>
          <w:ilvl w:val="0"/>
          <w:numId w:val="10"/>
        </w:numPr>
        <w:ind w:left="1620"/>
        <w:rPr>
          <w:noProof/>
        </w:rPr>
      </w:pPr>
      <w:r w:rsidRPr="00D965A5">
        <w:rPr>
          <w:noProof/>
        </w:rPr>
        <w:t>katuasunnottomuus (asuu ulkona ilman minkäänlaista suojaa);</w:t>
      </w:r>
    </w:p>
    <w:p w14:paraId="5BDEEC55" w14:textId="77777777" w:rsidR="00D244BF" w:rsidRPr="00D965A5" w:rsidRDefault="00D244BF" w:rsidP="002A697C">
      <w:pPr>
        <w:pStyle w:val="Tiret1"/>
        <w:numPr>
          <w:ilvl w:val="0"/>
          <w:numId w:val="10"/>
        </w:numPr>
        <w:ind w:left="1620"/>
        <w:rPr>
          <w:noProof/>
        </w:rPr>
      </w:pPr>
      <w:r w:rsidRPr="00D965A5">
        <w:rPr>
          <w:noProof/>
        </w:rPr>
        <w:t>kodittomuus (tilapäinen asuinpaikka laitoksessa tai turvakodissa);</w:t>
      </w:r>
    </w:p>
    <w:p w14:paraId="121D6D52" w14:textId="77777777" w:rsidR="00753294" w:rsidRPr="00D965A5" w:rsidRDefault="00D244BF" w:rsidP="002A697C">
      <w:pPr>
        <w:pStyle w:val="Tiret1"/>
        <w:numPr>
          <w:ilvl w:val="0"/>
          <w:numId w:val="10"/>
        </w:numPr>
        <w:ind w:left="1620"/>
        <w:rPr>
          <w:noProof/>
        </w:rPr>
      </w:pPr>
      <w:r w:rsidRPr="00D965A5">
        <w:rPr>
          <w:noProof/>
        </w:rPr>
        <w:t>asunnottomuusuhan alaisuus (vakava syrjäytymisen uhka epävarman vuokrasuhteen, häädön, perheväkivallan tai tilapäisen perheen/ystävien luona majoittumisen vuoksi</w:t>
      </w:r>
    </w:p>
    <w:p w14:paraId="0DF7A09C" w14:textId="77777777" w:rsidR="00D244BF" w:rsidRPr="00D965A5" w:rsidRDefault="00D244BF" w:rsidP="002A697C">
      <w:pPr>
        <w:pStyle w:val="Tiret1"/>
        <w:numPr>
          <w:ilvl w:val="0"/>
          <w:numId w:val="10"/>
        </w:numPr>
        <w:ind w:left="1620"/>
        <w:rPr>
          <w:noProof/>
        </w:rPr>
      </w:pPr>
      <w:r w:rsidRPr="00D965A5">
        <w:rPr>
          <w:noProof/>
        </w:rPr>
        <w:t>epäasianmukaiset asuinolot (tilapäiset tai epätavanomaiset rakenteet, huonokuntoinen asunto tai äärimmäisen ahtaat asuinolot),</w:t>
      </w:r>
    </w:p>
    <w:p w14:paraId="6FD92E87" w14:textId="77777777" w:rsidR="00CC4570" w:rsidRPr="00D965A5" w:rsidRDefault="00CC4570" w:rsidP="004723B1">
      <w:pPr>
        <w:rPr>
          <w:noProof/>
        </w:rPr>
      </w:pPr>
    </w:p>
    <w:p w14:paraId="3078420C" w14:textId="77777777" w:rsidR="00FD6375" w:rsidRPr="00D965A5" w:rsidRDefault="00C578AE" w:rsidP="00FD6375">
      <w:pPr>
        <w:pStyle w:val="Formuledadoption"/>
        <w:rPr>
          <w:noProof/>
        </w:rPr>
      </w:pPr>
      <w:r w:rsidRPr="00D965A5">
        <w:rPr>
          <w:noProof/>
        </w:rPr>
        <w:t>ON ANTANUT TÄMÄN SUOSITUKSEN:</w:t>
      </w:r>
    </w:p>
    <w:p w14:paraId="5A9786FC" w14:textId="3B150547" w:rsidR="00701068" w:rsidRPr="00D965A5" w:rsidRDefault="002A69B8" w:rsidP="00701068">
      <w:pPr>
        <w:pStyle w:val="Titrearticle"/>
        <w:jc w:val="both"/>
        <w:rPr>
          <w:i w:val="0"/>
          <w:iCs/>
          <w:noProof/>
        </w:rPr>
      </w:pPr>
      <w:r w:rsidRPr="00D965A5">
        <w:rPr>
          <w:i w:val="0"/>
          <w:noProof/>
        </w:rPr>
        <w:t>KOHDE</w:t>
      </w:r>
    </w:p>
    <w:p w14:paraId="02225116" w14:textId="3C146B2A" w:rsidR="00B23935" w:rsidRPr="00D965A5" w:rsidRDefault="00F43566" w:rsidP="00F43566">
      <w:pPr>
        <w:pStyle w:val="Point0"/>
        <w:rPr>
          <w:noProof/>
        </w:rPr>
      </w:pPr>
      <w:r>
        <w:rPr>
          <w:noProof/>
        </w:rPr>
        <w:t>1)</w:t>
      </w:r>
      <w:r>
        <w:rPr>
          <w:noProof/>
        </w:rPr>
        <w:tab/>
      </w:r>
      <w:r w:rsidR="00FA001B" w:rsidRPr="00D965A5">
        <w:rPr>
          <w:noProof/>
        </w:rPr>
        <w:t>Tässä suosituksessa annetaan ohjeita sosiaalisen syrjäytymisen torjumisesta, erityisesti:</w:t>
      </w:r>
    </w:p>
    <w:p w14:paraId="798D5CCE" w14:textId="77777777" w:rsidR="001865CC" w:rsidRPr="00D965A5" w:rsidRDefault="00B23935" w:rsidP="00D6392D">
      <w:pPr>
        <w:pStyle w:val="Point0"/>
        <w:ind w:left="1440" w:hanging="720"/>
        <w:rPr>
          <w:noProof/>
        </w:rPr>
      </w:pPr>
      <w:r w:rsidRPr="00D965A5">
        <w:rPr>
          <w:noProof/>
        </w:rPr>
        <w:lastRenderedPageBreak/>
        <w:t>a)</w:t>
      </w:r>
      <w:r w:rsidRPr="00D965A5">
        <w:rPr>
          <w:noProof/>
        </w:rPr>
        <w:tab/>
        <w:t xml:space="preserve">jäsenvaltioiden tukemisesta pyrkimyksissään ehkäistä ja torjua asuntomarkkinoilta syrjäytymistä haavoittuvassa asemassa olevien henkilöiden osalta, jotka elävät epävarmoissa asuinoloissa tai ovat vaarassa päätyä epävarmoihin asuinoloihin, sekä asunnottomien henkilöiden osalta; </w:t>
      </w:r>
    </w:p>
    <w:p w14:paraId="3F2E444C" w14:textId="77777777" w:rsidR="008C122D" w:rsidRPr="00D965A5" w:rsidRDefault="001865CC" w:rsidP="00F422C3">
      <w:pPr>
        <w:pStyle w:val="Point0"/>
        <w:ind w:left="1440" w:hanging="720"/>
        <w:rPr>
          <w:noProof/>
        </w:rPr>
      </w:pPr>
      <w:r w:rsidRPr="00D965A5">
        <w:rPr>
          <w:noProof/>
        </w:rPr>
        <w:t xml:space="preserve">b) </w:t>
      </w:r>
      <w:r w:rsidRPr="00D965A5">
        <w:rPr>
          <w:noProof/>
        </w:rPr>
        <w:tab/>
        <w:t>kansallisten, alueellisten ja/tai paikallisten strategisten kehysten suunnittelun, täytäntöönpanon ja parantamisen edistämisestä henkilökeskeisten, asuntolähtöisten ja yhdennettyjen politiikkojen pohjalta.</w:t>
      </w:r>
    </w:p>
    <w:p w14:paraId="6CFEF2F2" w14:textId="77777777" w:rsidR="008F4693" w:rsidRPr="00D965A5" w:rsidRDefault="008F4693" w:rsidP="004723B1">
      <w:pPr>
        <w:rPr>
          <w:noProof/>
        </w:rPr>
      </w:pPr>
    </w:p>
    <w:p w14:paraId="0BBB17DE" w14:textId="77777777" w:rsidR="008C122D" w:rsidRPr="00D965A5" w:rsidRDefault="008C122D" w:rsidP="004723B1">
      <w:pPr>
        <w:rPr>
          <w:noProof/>
        </w:rPr>
      </w:pPr>
      <w:r w:rsidRPr="00D965A5">
        <w:rPr>
          <w:noProof/>
        </w:rPr>
        <w:t>MÄÄRITELMÄT</w:t>
      </w:r>
    </w:p>
    <w:p w14:paraId="238F4D22" w14:textId="6E611AE1" w:rsidR="00AA2DB5" w:rsidRPr="00D965A5" w:rsidRDefault="00F43566" w:rsidP="00F43566">
      <w:pPr>
        <w:pStyle w:val="Point0"/>
        <w:rPr>
          <w:noProof/>
        </w:rPr>
      </w:pPr>
      <w:r>
        <w:rPr>
          <w:noProof/>
        </w:rPr>
        <w:t>2)</w:t>
      </w:r>
      <w:r>
        <w:rPr>
          <w:noProof/>
        </w:rPr>
        <w:tab/>
      </w:r>
      <w:r w:rsidR="002D1E9C" w:rsidRPr="00D965A5">
        <w:rPr>
          <w:noProof/>
        </w:rPr>
        <w:t>Tässä suosituksessa tarkoitetaan:</w:t>
      </w:r>
    </w:p>
    <w:p w14:paraId="4B8ECEA4" w14:textId="77777777" w:rsidR="00BD74F3" w:rsidRPr="00D965A5" w:rsidRDefault="00796E41">
      <w:pPr>
        <w:pStyle w:val="Point1"/>
        <w:rPr>
          <w:noProof/>
        </w:rPr>
      </w:pPr>
      <w:r w:rsidRPr="00D965A5">
        <w:rPr>
          <w:noProof/>
        </w:rPr>
        <w:t>a)</w:t>
      </w:r>
      <w:r w:rsidRPr="00D965A5">
        <w:rPr>
          <w:noProof/>
        </w:rPr>
        <w:tab/>
        <w:t>’asuntomarkkinoilta syrjäytymisellä’ tilanteita, joissa yksityishenkilöillä tai kotitalouksilla ei ole mahdollisuutta asianmukaiseen ja/tai turvattuun asuntoon; tähän kuuluvat selvästi asunnottomat henkilöt (katuasunnottomat ja kodittomat) sekä henkilöt, jotka elävät vasten tahtoaan epävarmoissa asumistilanteissa, kuten epäasianmukaisessa asunnossa tai asunnottomuusuhan alla;</w:t>
      </w:r>
    </w:p>
    <w:p w14:paraId="409A59BF" w14:textId="77777777" w:rsidR="00325095" w:rsidRPr="00D965A5" w:rsidRDefault="00796E41">
      <w:pPr>
        <w:pStyle w:val="Point1"/>
        <w:rPr>
          <w:noProof/>
        </w:rPr>
      </w:pPr>
      <w:r w:rsidRPr="00D965A5">
        <w:rPr>
          <w:noProof/>
        </w:rPr>
        <w:t>b)</w:t>
      </w:r>
      <w:r w:rsidRPr="00D965A5">
        <w:rPr>
          <w:noProof/>
        </w:rPr>
        <w:tab/>
        <w:t>’hätämajoituksella’ majoituskeskuksia ja muita sen kaltaisia majapaikkoja, joiden ensisijaisena tarkoituksena on vastata kiireelliseen majoituksen ja peruspalveluiden tarpeeseen;</w:t>
      </w:r>
    </w:p>
    <w:p w14:paraId="7C71CB00" w14:textId="77777777" w:rsidR="00325095" w:rsidRPr="00D965A5" w:rsidRDefault="00796E41">
      <w:pPr>
        <w:pStyle w:val="Point1"/>
        <w:rPr>
          <w:noProof/>
        </w:rPr>
      </w:pPr>
      <w:r w:rsidRPr="00D965A5">
        <w:rPr>
          <w:noProof/>
        </w:rPr>
        <w:t>c)</w:t>
      </w:r>
      <w:r w:rsidRPr="00D965A5">
        <w:rPr>
          <w:noProof/>
        </w:rPr>
        <w:tab/>
        <w:t xml:space="preserve">’tilapäisellä majoituksella’ määräaikaista asuntoa, jota tarjotaan siksi ajaksi, kun etsitään pysyvää asumisratkaisua; </w:t>
      </w:r>
    </w:p>
    <w:p w14:paraId="3485BE4E" w14:textId="77777777" w:rsidR="004D1A18" w:rsidRPr="00D965A5" w:rsidRDefault="00796E41" w:rsidP="00275B3F">
      <w:pPr>
        <w:pStyle w:val="Point1"/>
        <w:ind w:left="1420" w:hanging="570"/>
        <w:rPr>
          <w:noProof/>
        </w:rPr>
      </w:pPr>
      <w:r w:rsidRPr="00D965A5">
        <w:rPr>
          <w:noProof/>
        </w:rPr>
        <w:t>d)</w:t>
      </w:r>
      <w:r w:rsidRPr="00D965A5">
        <w:rPr>
          <w:noProof/>
        </w:rPr>
        <w:tab/>
        <w:t xml:space="preserve">’asuntolähtöisillä lähestymistavoilla’ toiminta- ja palveluntarjontamalleja, joissa asetetaan etusijalle asianmukaisten, kohtuuhintaisten ja pysyvien asuntojen nopea saatavuus ja joita täydennetään tarvittaessa asumisen vakautta ja sosiaalista osallisuutta edistävillä, integroiduilla henkilökeskeisillä tukipalveluilla, kuten asunto ensin -periaatteella. </w:t>
      </w:r>
    </w:p>
    <w:p w14:paraId="09E28131" w14:textId="77777777" w:rsidR="008F4693" w:rsidRPr="00D965A5" w:rsidRDefault="008F4693">
      <w:pPr>
        <w:rPr>
          <w:noProof/>
        </w:rPr>
      </w:pPr>
    </w:p>
    <w:p w14:paraId="5182F9E2" w14:textId="77777777" w:rsidR="007D6675" w:rsidRPr="00D965A5" w:rsidRDefault="00AB7D32">
      <w:pPr>
        <w:rPr>
          <w:noProof/>
        </w:rPr>
      </w:pPr>
      <w:r w:rsidRPr="00D965A5">
        <w:rPr>
          <w:noProof/>
        </w:rPr>
        <w:t>LAAJA-ALAISET SUOSITUKSET</w:t>
      </w:r>
    </w:p>
    <w:p w14:paraId="28B93F13" w14:textId="21571CB8" w:rsidR="006D6435" w:rsidRPr="00D965A5" w:rsidRDefault="00F43566" w:rsidP="00F43566">
      <w:pPr>
        <w:pStyle w:val="Point0"/>
        <w:rPr>
          <w:noProof/>
        </w:rPr>
      </w:pPr>
      <w:r>
        <w:rPr>
          <w:noProof/>
        </w:rPr>
        <w:t>3)</w:t>
      </w:r>
      <w:r>
        <w:rPr>
          <w:noProof/>
        </w:rPr>
        <w:tab/>
      </w:r>
      <w:r w:rsidR="006D6435" w:rsidRPr="00D965A5">
        <w:rPr>
          <w:noProof/>
        </w:rPr>
        <w:t xml:space="preserve">Neuvosto suosittelee, että jäsenvaltiot: </w:t>
      </w:r>
    </w:p>
    <w:p w14:paraId="65B58BEC" w14:textId="1D07BA19" w:rsidR="000F5594" w:rsidRPr="00D965A5" w:rsidRDefault="00F43566" w:rsidP="00F43566">
      <w:pPr>
        <w:pStyle w:val="Point1"/>
        <w:rPr>
          <w:noProof/>
        </w:rPr>
      </w:pPr>
      <w:r>
        <w:rPr>
          <w:noProof/>
        </w:rPr>
        <w:t>a)</w:t>
      </w:r>
      <w:r>
        <w:rPr>
          <w:noProof/>
        </w:rPr>
        <w:tab/>
      </w:r>
      <w:r w:rsidR="008203C4" w:rsidRPr="00D965A5">
        <w:rPr>
          <w:noProof/>
        </w:rPr>
        <w:t>hyväksyisivät tai tarkistaisivat asuntomarkkinoilta syrjäytymisen ja asunnottomuuden torjumista koskevat strategiset kehyksensä tämän suosituksen mukaisesti henkilökeskeisen, asuntolähtöisen ja yhdennetyn politiikan pohjalta, jotta voidaan tehostaa toimia asunnottomuuden poistamiseksi Euroopan unionista; tämä olisi tehtävä yhteistyössä alue- ja paikallisviranomaisten kanssa ja kunnioittamalla toimivallan jakautumista jäsenvaltioissa;</w:t>
      </w:r>
    </w:p>
    <w:p w14:paraId="00C5DCA4" w14:textId="08A24ADA" w:rsidR="00FA6BF7" w:rsidRPr="00D965A5" w:rsidRDefault="00F43566" w:rsidP="00F43566">
      <w:pPr>
        <w:pStyle w:val="Point1"/>
        <w:rPr>
          <w:noProof/>
        </w:rPr>
      </w:pPr>
      <w:r>
        <w:rPr>
          <w:noProof/>
        </w:rPr>
        <w:t>b)</w:t>
      </w:r>
      <w:r>
        <w:rPr>
          <w:noProof/>
        </w:rPr>
        <w:tab/>
      </w:r>
      <w:r w:rsidR="000E7DA0" w:rsidRPr="00D965A5">
        <w:rPr>
          <w:noProof/>
        </w:rPr>
        <w:t xml:space="preserve">määrittelisivät kansallisten olosuhteiden osalta epävarmat asumistilanteet ottaen erityisesti huomioon köyhyys- tai syrjäytymisriskit; </w:t>
      </w:r>
    </w:p>
    <w:p w14:paraId="41AE3560" w14:textId="710B3FE6" w:rsidR="00EC63E7" w:rsidRPr="00D965A5" w:rsidRDefault="00F43566" w:rsidP="00F43566">
      <w:pPr>
        <w:pStyle w:val="Point1"/>
        <w:rPr>
          <w:noProof/>
        </w:rPr>
      </w:pPr>
      <w:r>
        <w:rPr>
          <w:noProof/>
        </w:rPr>
        <w:t>c)</w:t>
      </w:r>
      <w:r>
        <w:rPr>
          <w:noProof/>
        </w:rPr>
        <w:tab/>
      </w:r>
      <w:r w:rsidR="004D69DB" w:rsidRPr="00D965A5">
        <w:rPr>
          <w:noProof/>
        </w:rPr>
        <w:t xml:space="preserve">kehittäisivät räätälöityjä toimenpiteitä asuntomarkkinoilta syrjäytymisen ja asunnottomuuden torjumiseksi sekä ottaisivat käyttöön henkilökeskeisen toimintamallin, joka perustuu soveltuvin osin uusi eurooppalainen Bauhaus ‑aloitteen periaatteisiin, mukaan lukien paikkalähtöinen ja osallistava suunnittelu, tarjoamalla integroituja palveluja, kuten sosiaaliapua, </w:t>
      </w:r>
      <w:r w:rsidR="004D69DB" w:rsidRPr="00D965A5">
        <w:rPr>
          <w:noProof/>
        </w:rPr>
        <w:lastRenderedPageBreak/>
        <w:t>terveydenhuoltoa, pitkäaikaishoitoa ja aktiivisia työvoimapoliittisia toimenpiteitä, asumistukeen yhdistettynä;</w:t>
      </w:r>
    </w:p>
    <w:p w14:paraId="53428DC0" w14:textId="7052F1C1" w:rsidR="000762ED" w:rsidRPr="00D965A5" w:rsidRDefault="00F43566" w:rsidP="00F43566">
      <w:pPr>
        <w:pStyle w:val="Point1"/>
        <w:rPr>
          <w:noProof/>
        </w:rPr>
      </w:pPr>
      <w:r>
        <w:rPr>
          <w:noProof/>
        </w:rPr>
        <w:t>d)</w:t>
      </w:r>
      <w:r>
        <w:rPr>
          <w:noProof/>
        </w:rPr>
        <w:tab/>
      </w:r>
      <w:r w:rsidR="00DE6932" w:rsidRPr="00D965A5">
        <w:rPr>
          <w:noProof/>
        </w:rPr>
        <w:t xml:space="preserve">asettaisivat asiaankuuluvia, aikasidonnaisia, saavutettavissa olevia ja mitattavia tavoitteita, mukaan lukien seuraavat: </w:t>
      </w:r>
    </w:p>
    <w:p w14:paraId="3B44D6F1" w14:textId="77777777" w:rsidR="00DF4C1E" w:rsidRPr="00D965A5" w:rsidRDefault="009F6432" w:rsidP="00F422C3">
      <w:pPr>
        <w:pStyle w:val="Text1"/>
        <w:ind w:left="1440"/>
        <w:rPr>
          <w:noProof/>
        </w:rPr>
      </w:pPr>
      <w:r w:rsidRPr="00D965A5">
        <w:rPr>
          <w:noProof/>
        </w:rPr>
        <w:t>i)</w:t>
      </w:r>
      <w:r w:rsidRPr="00D965A5">
        <w:rPr>
          <w:noProof/>
        </w:rPr>
        <w:tab/>
        <w:t>jokaiselle ulkona asuvalle (”ensisijaiset kodittomat”</w:t>
      </w:r>
      <w:r w:rsidRPr="00D965A5">
        <w:rPr>
          <w:rStyle w:val="FootnoteReference"/>
          <w:noProof/>
        </w:rPr>
        <w:footnoteReference w:id="33"/>
      </w:r>
      <w:r w:rsidRPr="00D965A5">
        <w:rPr>
          <w:noProof/>
        </w:rPr>
        <w:t>, jotka asuvat kadulla ilman suojaa) tarjotaan hätämajoitusta;</w:t>
      </w:r>
    </w:p>
    <w:p w14:paraId="5AF6AD5F" w14:textId="0895CDB3" w:rsidR="00EB3EC4" w:rsidRPr="00D965A5" w:rsidRDefault="009F6432" w:rsidP="00F422C3">
      <w:pPr>
        <w:pStyle w:val="Text1"/>
        <w:ind w:left="1440"/>
        <w:rPr>
          <w:noProof/>
        </w:rPr>
      </w:pPr>
      <w:r w:rsidRPr="00D965A5">
        <w:rPr>
          <w:noProof/>
        </w:rPr>
        <w:t>ii)</w:t>
      </w:r>
      <w:r w:rsidRPr="00D965A5">
        <w:rPr>
          <w:noProof/>
        </w:rPr>
        <w:tab/>
        <w:t xml:space="preserve">hätä- tai tilapäismajoituksessa asuville henkilöille (”toissijaiset kodittomat”) tarjotaan mahdollisimman pian tehokasta tukea, jotta nämä löytäisivät pitkäaikaisen, turvatun asumisratkaisun. </w:t>
      </w:r>
    </w:p>
    <w:p w14:paraId="4465FCD6" w14:textId="77777777" w:rsidR="008C122D" w:rsidRPr="00D965A5" w:rsidRDefault="008C122D" w:rsidP="00F422C3">
      <w:pPr>
        <w:pStyle w:val="Text1"/>
        <w:ind w:left="1440"/>
        <w:rPr>
          <w:noProof/>
        </w:rPr>
      </w:pPr>
    </w:p>
    <w:p w14:paraId="17A18A17" w14:textId="77777777" w:rsidR="006D3FDD" w:rsidRPr="00D965A5" w:rsidRDefault="006D3FDD" w:rsidP="00C45313">
      <w:pPr>
        <w:rPr>
          <w:noProof/>
        </w:rPr>
      </w:pPr>
    </w:p>
    <w:p w14:paraId="2B3B60DC" w14:textId="77777777" w:rsidR="00C45313" w:rsidRPr="00D965A5" w:rsidRDefault="00C45313" w:rsidP="00C45313">
      <w:pPr>
        <w:rPr>
          <w:noProof/>
        </w:rPr>
      </w:pPr>
      <w:r w:rsidRPr="00D965A5">
        <w:rPr>
          <w:noProof/>
        </w:rPr>
        <w:t>ASUNTOMARKKINOILTA SYRJÄYTYNEIDEN TAI SYRJÄYTYMISVAARASSA OLEVIEN TUNNISTAMINEN</w:t>
      </w:r>
    </w:p>
    <w:p w14:paraId="1FFF9CDC" w14:textId="435A97CE" w:rsidR="00C45313" w:rsidRPr="00D965A5" w:rsidRDefault="00F43566" w:rsidP="00F43566">
      <w:pPr>
        <w:pStyle w:val="Point0"/>
        <w:rPr>
          <w:noProof/>
        </w:rPr>
      </w:pPr>
      <w:r>
        <w:rPr>
          <w:noProof/>
        </w:rPr>
        <w:t>4)</w:t>
      </w:r>
      <w:r>
        <w:rPr>
          <w:noProof/>
        </w:rPr>
        <w:tab/>
      </w:r>
      <w:r w:rsidR="00C45313" w:rsidRPr="00D965A5">
        <w:rPr>
          <w:noProof/>
        </w:rPr>
        <w:t xml:space="preserve">Neuvosto suosittelee, että jäsenvaltiot: </w:t>
      </w:r>
    </w:p>
    <w:p w14:paraId="2C315B98" w14:textId="04C53947" w:rsidR="00C45313" w:rsidRPr="00D965A5" w:rsidRDefault="00F43566" w:rsidP="00F43566">
      <w:pPr>
        <w:pStyle w:val="Point1"/>
        <w:rPr>
          <w:noProof/>
        </w:rPr>
      </w:pPr>
      <w:r>
        <w:rPr>
          <w:noProof/>
        </w:rPr>
        <w:t>a)</w:t>
      </w:r>
      <w:r>
        <w:rPr>
          <w:noProof/>
        </w:rPr>
        <w:tab/>
      </w:r>
      <w:r w:rsidR="00806818" w:rsidRPr="00D965A5">
        <w:rPr>
          <w:noProof/>
        </w:rPr>
        <w:t>tehostaisivat vaikeasti tavoitettavia ryhmiä, kuten asunnottomia, koskevien tietojen keruuta ja laatisivat ilman kohtuutonta hallinnollista rasitetta säännöllisiä, kattavia, vertailukelpoisia ja eriteltyjä tilastoja asuntomarkkinoilta syrjäytymisestä ja asunnottomuudesta kansallisella ja paikallisella tasolla;</w:t>
      </w:r>
    </w:p>
    <w:p w14:paraId="7C93AE7B" w14:textId="7BEFBB68" w:rsidR="00C45313" w:rsidRPr="00D965A5" w:rsidRDefault="00F43566" w:rsidP="00F43566">
      <w:pPr>
        <w:pStyle w:val="Point1"/>
        <w:rPr>
          <w:noProof/>
        </w:rPr>
      </w:pPr>
      <w:r>
        <w:rPr>
          <w:noProof/>
        </w:rPr>
        <w:t>b)</w:t>
      </w:r>
      <w:r>
        <w:rPr>
          <w:noProof/>
        </w:rPr>
        <w:tab/>
      </w:r>
      <w:r w:rsidR="00226E48" w:rsidRPr="00D965A5">
        <w:rPr>
          <w:noProof/>
        </w:rPr>
        <w:t>yhdenmukaistaisivat perusteet asuntomarkkinoilta syrjäytyneiden tai syrjäytymisvaarassa olevien henkilöiden tunnistamiseksi asiaankuuluvissa palveluissa, kuten sosiaali-, työllisyys-, koulutus-, oikeus- ja lastensuojelupalveluissa, ja kehittäisivät nopeaa, tehokasta ja oikea-aikaista tietojenvaihtoa näiden palvelujen välillä;</w:t>
      </w:r>
    </w:p>
    <w:p w14:paraId="4899A3D6" w14:textId="174DF829" w:rsidR="00C45313" w:rsidRPr="00D965A5" w:rsidRDefault="00F43566" w:rsidP="00F43566">
      <w:pPr>
        <w:pStyle w:val="Point1"/>
        <w:rPr>
          <w:noProof/>
        </w:rPr>
      </w:pPr>
      <w:r>
        <w:rPr>
          <w:noProof/>
        </w:rPr>
        <w:t>c)</w:t>
      </w:r>
      <w:r>
        <w:rPr>
          <w:noProof/>
        </w:rPr>
        <w:tab/>
      </w:r>
      <w:r w:rsidR="003A0A56" w:rsidRPr="00D965A5">
        <w:rPr>
          <w:noProof/>
        </w:rPr>
        <w:t xml:space="preserve">perustaisivat kerättyjen tietojen ja asuntomarkkinoilta syrjäytymisen tunnistamista koskevien yhdenmukaistettujen kriteerien perusteella varhaisvaroitusjärjestelmiä asuntomarkkinoilta syrjäytymisvaarassa olevien kotitalouksien tunnistamiseksi, jotta voidaan varmistaa niiden oikea-aikainen tavoittaminen ja ennaltaehkäisevä tuki, </w:t>
      </w:r>
      <w:bookmarkStart w:id="10" w:name="_Hlk227938618"/>
      <w:r w:rsidR="003A0A56" w:rsidRPr="00D965A5">
        <w:rPr>
          <w:noProof/>
        </w:rPr>
        <w:t>määrittäisivät ja arvioisivat asunnottomien ja epävarmoissa asuinoloissa elävien asumistarpeet sekä kehittäisivät räätälöityjä tunnistamisstrategioita ryhmille, jotka ovat usein alilaskettuja tai piilossa.</w:t>
      </w:r>
      <w:bookmarkEnd w:id="10"/>
    </w:p>
    <w:p w14:paraId="492F2C06" w14:textId="77777777" w:rsidR="00600F3F" w:rsidRPr="00D965A5" w:rsidRDefault="00600F3F" w:rsidP="00600F3F">
      <w:pPr>
        <w:pStyle w:val="Text1"/>
        <w:rPr>
          <w:noProof/>
        </w:rPr>
      </w:pPr>
    </w:p>
    <w:p w14:paraId="31B8AF82" w14:textId="77777777" w:rsidR="001E6681" w:rsidRPr="00D965A5" w:rsidRDefault="008C122D" w:rsidP="00275B3F">
      <w:pPr>
        <w:pStyle w:val="Titrearticle"/>
        <w:spacing w:before="240"/>
        <w:jc w:val="both"/>
        <w:rPr>
          <w:noProof/>
        </w:rPr>
      </w:pPr>
      <w:r w:rsidRPr="00D965A5">
        <w:rPr>
          <w:i w:val="0"/>
          <w:noProof/>
        </w:rPr>
        <w:t xml:space="preserve">ASUNTOMARKKINOILTA SYRJÄYTYMISEN EHKÄISEMINEN </w:t>
      </w:r>
    </w:p>
    <w:p w14:paraId="1531D317" w14:textId="5088BD2D" w:rsidR="005B411C" w:rsidRPr="00D965A5" w:rsidRDefault="00F43566" w:rsidP="00F43566">
      <w:pPr>
        <w:pStyle w:val="Point0"/>
        <w:rPr>
          <w:noProof/>
        </w:rPr>
      </w:pPr>
      <w:r>
        <w:rPr>
          <w:noProof/>
        </w:rPr>
        <w:t>5)</w:t>
      </w:r>
      <w:r>
        <w:rPr>
          <w:noProof/>
        </w:rPr>
        <w:tab/>
      </w:r>
      <w:r w:rsidR="00282B18" w:rsidRPr="00D965A5">
        <w:rPr>
          <w:noProof/>
        </w:rPr>
        <w:t xml:space="preserve">Neuvosto suosittelee, että jäsenvaltiot: </w:t>
      </w:r>
    </w:p>
    <w:p w14:paraId="337BCA0F" w14:textId="14EAC08C" w:rsidR="008C122D" w:rsidRPr="00D965A5" w:rsidRDefault="00F43566" w:rsidP="00F43566">
      <w:pPr>
        <w:pStyle w:val="Point1"/>
        <w:rPr>
          <w:noProof/>
        </w:rPr>
      </w:pPr>
      <w:r>
        <w:rPr>
          <w:noProof/>
        </w:rPr>
        <w:t>a)</w:t>
      </w:r>
      <w:r>
        <w:rPr>
          <w:noProof/>
        </w:rPr>
        <w:tab/>
      </w:r>
      <w:r w:rsidR="00BD181F" w:rsidRPr="00D965A5">
        <w:rPr>
          <w:noProof/>
        </w:rPr>
        <w:t>tarjoaisivat strategisissa kehyksissään asuntomarkkinoilta syrjäytymisen vaarassa oleville tukea asianmukaisen asunnon säilyttämiseen erilaisten kohdennettujen toimenpiteiden, kuten velka- ja asumisneuvonnan, varhaisvaroitusjärjestelmien, hätävuokraustuen, sovittelun ja muiden lieventämistoimien, avulla sekä varmistaisivat, että vammaisille tai pitkäaikaishoidon tarpeessa oleville henkilöille on saatavilla mukautettuja asuntoja, välttäen samalla kohtuutonta rakennus- ja peruskorjaustaakkaa;</w:t>
      </w:r>
    </w:p>
    <w:p w14:paraId="2F037DD6" w14:textId="29BEFD03" w:rsidR="008C122D" w:rsidRPr="00D965A5" w:rsidRDefault="00F43566" w:rsidP="00F43566">
      <w:pPr>
        <w:pStyle w:val="Point1"/>
        <w:rPr>
          <w:noProof/>
        </w:rPr>
      </w:pPr>
      <w:r>
        <w:rPr>
          <w:noProof/>
        </w:rPr>
        <w:lastRenderedPageBreak/>
        <w:t>b)</w:t>
      </w:r>
      <w:r>
        <w:rPr>
          <w:noProof/>
        </w:rPr>
        <w:tab/>
      </w:r>
      <w:r w:rsidR="6D56711B" w:rsidRPr="00D965A5">
        <w:rPr>
          <w:noProof/>
        </w:rPr>
        <w:t>varmistaisivat, että tarjolla olevia asumis-, sosiaali- ja toimeentulotukitoimenpiteitä koskevat tiedot ovat oikea-aikaisesti ja tehokkaasti saatavilla, ja toteuttaisivat tiedotustoimia tukioikeuksien käyttämättä jättämisen vähentämiseksi;</w:t>
      </w:r>
    </w:p>
    <w:p w14:paraId="33FF5329" w14:textId="2C6A8E00" w:rsidR="008C122D" w:rsidRPr="00D965A5" w:rsidRDefault="00F43566" w:rsidP="00F43566">
      <w:pPr>
        <w:pStyle w:val="Point1"/>
        <w:rPr>
          <w:noProof/>
        </w:rPr>
      </w:pPr>
      <w:r>
        <w:rPr>
          <w:noProof/>
        </w:rPr>
        <w:t>c)</w:t>
      </w:r>
      <w:r>
        <w:rPr>
          <w:noProof/>
        </w:rPr>
        <w:tab/>
      </w:r>
      <w:r w:rsidR="00D82679" w:rsidRPr="00D965A5">
        <w:rPr>
          <w:noProof/>
        </w:rPr>
        <w:t xml:space="preserve">arvioisivat säännöllisesti toimeentulotuen, mukaan lukien asumiseen liittyvät tuet, vähimmäistulot ja lapsilisät, riittävyyttä suhteessa asumiskustannuksiin hyödyntäen kustannuskehitykseen reagoivia mukautusmekanismeja; tämän arvioinnin olisi myös toimittava todisteena, jotta vältetään köyhyysloukkujen syntyminen, jolloin sosiaalinen tuki aiheuttaisi työnteon pidäkkeitä; </w:t>
      </w:r>
    </w:p>
    <w:p w14:paraId="65260C42" w14:textId="22495192" w:rsidR="008C122D" w:rsidRPr="00D965A5" w:rsidRDefault="00F43566" w:rsidP="00F43566">
      <w:pPr>
        <w:pStyle w:val="Point1"/>
        <w:rPr>
          <w:noProof/>
        </w:rPr>
      </w:pPr>
      <w:r>
        <w:rPr>
          <w:noProof/>
        </w:rPr>
        <w:t>d)</w:t>
      </w:r>
      <w:r>
        <w:rPr>
          <w:noProof/>
        </w:rPr>
        <w:tab/>
      </w:r>
      <w:r w:rsidR="00AE4812" w:rsidRPr="00D965A5">
        <w:rPr>
          <w:noProof/>
        </w:rPr>
        <w:t xml:space="preserve">tehostaisivat pakkohäätöjen ja mielivaltaisten häätöjen ehkäisemistä ja niiltä suojelua erityisesti lapsiperheiden osalta kiinnittäen erityistä huomiota yksinhuoltajatalouksiin. Jäsenvaltioiden olisi varmistettava avoimet, oikea-aikaiset menettelyt oikeasuhteisuutta, asianmukaista menettelyä ja tehokkaita oikeussuojakeinoja kunnioittaen sekä huomioitava myös vuokranantajien oikeudet;  </w:t>
      </w:r>
    </w:p>
    <w:p w14:paraId="7FB11AF0" w14:textId="6F21CC30" w:rsidR="008C122D" w:rsidRPr="00D965A5" w:rsidRDefault="00F43566" w:rsidP="00F43566">
      <w:pPr>
        <w:pStyle w:val="Point1"/>
        <w:rPr>
          <w:noProof/>
        </w:rPr>
      </w:pPr>
      <w:r>
        <w:rPr>
          <w:noProof/>
        </w:rPr>
        <w:t>e)</w:t>
      </w:r>
      <w:r>
        <w:rPr>
          <w:noProof/>
        </w:rPr>
        <w:tab/>
      </w:r>
      <w:r w:rsidR="00E05D79" w:rsidRPr="00D965A5">
        <w:rPr>
          <w:noProof/>
        </w:rPr>
        <w:t xml:space="preserve">varmistaisivat, että yhdeltäkään lapselta ei puutu asianmukaista asuntoa, takaamalla kaikille tarvittaessa oikea-aikaisen ja sopivan vaihtoehtoisen majoituksen säilyttäen samalla perheen yhtenäisyyden lapsen edun mukaisesti; </w:t>
      </w:r>
    </w:p>
    <w:p w14:paraId="486356A8" w14:textId="0A10E565" w:rsidR="008C122D" w:rsidRPr="00D965A5" w:rsidRDefault="00F43566" w:rsidP="00F43566">
      <w:pPr>
        <w:pStyle w:val="Point1"/>
        <w:rPr>
          <w:noProof/>
        </w:rPr>
      </w:pPr>
      <w:r>
        <w:rPr>
          <w:noProof/>
        </w:rPr>
        <w:t>f)</w:t>
      </w:r>
      <w:r>
        <w:rPr>
          <w:noProof/>
        </w:rPr>
        <w:tab/>
      </w:r>
      <w:r w:rsidR="000A2C84" w:rsidRPr="00D965A5">
        <w:rPr>
          <w:noProof/>
        </w:rPr>
        <w:t xml:space="preserve">varmistaisivat, että yksikään alaikäinen tai nuori aikuinen ei poistu laitos- tai sijaishoidosta ilman riittäviä asumis- ja tukipalveluja; taloudellisen tuen tai kannustimien saantia olisi helpotettava niiden osalta, joilla ei ole takaajia eikä käsirahaksi soveltuvia varoja, esimerkiksi mikrorahoituksen saatavuutta helpottavien yhteisötalouden organisaatioiden kautta; </w:t>
      </w:r>
    </w:p>
    <w:p w14:paraId="26005369" w14:textId="0F8347D4" w:rsidR="008C122D" w:rsidRPr="00D965A5" w:rsidRDefault="00F43566" w:rsidP="00F43566">
      <w:pPr>
        <w:pStyle w:val="Point1"/>
        <w:rPr>
          <w:noProof/>
        </w:rPr>
      </w:pPr>
      <w:r>
        <w:rPr>
          <w:noProof/>
        </w:rPr>
        <w:t>g)</w:t>
      </w:r>
      <w:r>
        <w:rPr>
          <w:noProof/>
        </w:rPr>
        <w:tab/>
      </w:r>
      <w:r w:rsidR="009B797C" w:rsidRPr="00D965A5">
        <w:rPr>
          <w:noProof/>
        </w:rPr>
        <w:t>ottaisivat käyttöön varhaista, ennaltaehkäisevää neuvontaa oppilaitoksissa sekä työ- ja nuorisolaitoksissa, jotta voidaan edistää hätätilanteiden havaitsemista, helpottaa yksilöiden asianmukaista ohjaamista oikeisiin palveluihin ja ehkäistä lasten ja nuorten asuntomarkkinoilta syrjäytymistä;</w:t>
      </w:r>
    </w:p>
    <w:p w14:paraId="758C9797" w14:textId="5E7EC096" w:rsidR="008C122D" w:rsidRPr="00D965A5" w:rsidRDefault="00F43566" w:rsidP="00F43566">
      <w:pPr>
        <w:pStyle w:val="Point1"/>
        <w:rPr>
          <w:noProof/>
        </w:rPr>
      </w:pPr>
      <w:r>
        <w:rPr>
          <w:noProof/>
        </w:rPr>
        <w:t>h)</w:t>
      </w:r>
      <w:r>
        <w:rPr>
          <w:noProof/>
        </w:rPr>
        <w:tab/>
      </w:r>
      <w:r w:rsidR="00F82707" w:rsidRPr="00D965A5">
        <w:rPr>
          <w:noProof/>
        </w:rPr>
        <w:t>tarjoaisivat neuvontaa ja sosiaalisia tukitoimia epävarmoissa asuinoloissa eläville ikääntyneille, jotta voidaan ehkäistä heidän syrjäytymistään asuntomarkkinoilta;</w:t>
      </w:r>
    </w:p>
    <w:p w14:paraId="2DA081C1" w14:textId="648CEE60" w:rsidR="00AC4234" w:rsidRPr="00D965A5" w:rsidRDefault="00F43566" w:rsidP="00F43566">
      <w:pPr>
        <w:pStyle w:val="Point1"/>
        <w:rPr>
          <w:noProof/>
        </w:rPr>
      </w:pPr>
      <w:r>
        <w:rPr>
          <w:noProof/>
        </w:rPr>
        <w:t>i)</w:t>
      </w:r>
      <w:r>
        <w:rPr>
          <w:noProof/>
        </w:rPr>
        <w:tab/>
      </w:r>
      <w:r w:rsidR="00AC4234" w:rsidRPr="00D965A5">
        <w:rPr>
          <w:noProof/>
        </w:rPr>
        <w:t>varmistaisivat sellaisten henkilöiden yhdenvertaisen kohtelun, jotka ovat vaarassa joutua syrjityiksi, kun on kyse asianmukaisten asuntojen ja keskeisten palvelujen saatavuudesta;</w:t>
      </w:r>
    </w:p>
    <w:p w14:paraId="019E935F" w14:textId="35A958D0" w:rsidR="008C122D" w:rsidRPr="00D965A5" w:rsidRDefault="00F43566" w:rsidP="00F43566">
      <w:pPr>
        <w:pStyle w:val="Point1"/>
        <w:rPr>
          <w:noProof/>
        </w:rPr>
      </w:pPr>
      <w:r>
        <w:rPr>
          <w:noProof/>
        </w:rPr>
        <w:t>j)</w:t>
      </w:r>
      <w:r>
        <w:rPr>
          <w:noProof/>
        </w:rPr>
        <w:tab/>
      </w:r>
      <w:r w:rsidR="009C52E7" w:rsidRPr="00D965A5">
        <w:rPr>
          <w:noProof/>
        </w:rPr>
        <w:t xml:space="preserve">tarjoaisivat oikea-aikaista ja yksilöllistä tukea eri laitoksista, kuten vankiloista, sairaaloista tai hoitolaitoksista, poistuville henkilöille heidän pitkäaikaisen asumisensa turvaamiseksi. </w:t>
      </w:r>
    </w:p>
    <w:p w14:paraId="3B885736" w14:textId="77777777" w:rsidR="00A67EC1" w:rsidRPr="00D965A5" w:rsidRDefault="00A67EC1" w:rsidP="00F422C3">
      <w:pPr>
        <w:pStyle w:val="Point0"/>
        <w:ind w:left="709" w:hanging="709"/>
        <w:rPr>
          <w:noProof/>
        </w:rPr>
      </w:pPr>
    </w:p>
    <w:p w14:paraId="78869931" w14:textId="77777777" w:rsidR="008C122D" w:rsidRPr="00D965A5" w:rsidRDefault="008C122D" w:rsidP="004723B1">
      <w:pPr>
        <w:rPr>
          <w:noProof/>
        </w:rPr>
      </w:pPr>
      <w:r w:rsidRPr="00D965A5">
        <w:rPr>
          <w:noProof/>
        </w:rPr>
        <w:t xml:space="preserve">ASUNNOTTOMUUDESTA KÄRSIVIEN TUKEMINEN </w:t>
      </w:r>
    </w:p>
    <w:p w14:paraId="5EAFEBA7" w14:textId="77777777" w:rsidR="005A474B" w:rsidRPr="00D965A5" w:rsidRDefault="005A474B" w:rsidP="004723B1">
      <w:pPr>
        <w:rPr>
          <w:noProof/>
        </w:rPr>
      </w:pPr>
    </w:p>
    <w:p w14:paraId="1DF05371" w14:textId="49981932" w:rsidR="008C122D" w:rsidRPr="00D965A5" w:rsidRDefault="00F43566" w:rsidP="00F43566">
      <w:pPr>
        <w:pStyle w:val="Point0"/>
        <w:rPr>
          <w:noProof/>
        </w:rPr>
      </w:pPr>
      <w:r>
        <w:rPr>
          <w:noProof/>
        </w:rPr>
        <w:t>6)</w:t>
      </w:r>
      <w:r>
        <w:rPr>
          <w:noProof/>
        </w:rPr>
        <w:tab/>
      </w:r>
      <w:r w:rsidR="00EB5471" w:rsidRPr="00D965A5">
        <w:rPr>
          <w:noProof/>
        </w:rPr>
        <w:t>Asunnottomuuden tai hätä- tai tilapäismajoituksen tarpeen keston lyhentämiseksi suositellaan, että jäsenvaltiot tarjoaisivat henkilökeskeistä, integroitua ja esteetöntä tukea seuraavien toimien kautta:</w:t>
      </w:r>
    </w:p>
    <w:p w14:paraId="27BDCD80" w14:textId="77777777" w:rsidR="008C122D" w:rsidRPr="00D965A5" w:rsidRDefault="00796E41" w:rsidP="00796E41">
      <w:pPr>
        <w:pStyle w:val="Point1"/>
        <w:rPr>
          <w:noProof/>
        </w:rPr>
      </w:pPr>
      <w:r w:rsidRPr="00D965A5">
        <w:rPr>
          <w:noProof/>
        </w:rPr>
        <w:t>a)</w:t>
      </w:r>
      <w:r w:rsidRPr="00D965A5">
        <w:rPr>
          <w:noProof/>
        </w:rPr>
        <w:tab/>
        <w:t xml:space="preserve">helppokäyttöiset, osallistavat tukijärjestelmät, esimerkiksi yksilöllinen tarvearviointi, räätälöidyt tukisuunnitelmat ja kaikkein monimutkaisimmissa tapauksissa palveluohjaus; toteuttajina olisivat terveydenhuollon </w:t>
      </w:r>
      <w:r w:rsidRPr="00D965A5">
        <w:rPr>
          <w:noProof/>
        </w:rPr>
        <w:lastRenderedPageBreak/>
        <w:t xml:space="preserve">ammattilaisista ja sosiaalityöntekijöistä koostuvat yhteystoimintaa ja yhteisöperustaista työtä tekevät monialaiset ryhmät; </w:t>
      </w:r>
    </w:p>
    <w:p w14:paraId="37816ADD" w14:textId="77777777" w:rsidR="004E1334" w:rsidRPr="00D965A5" w:rsidRDefault="00796E41" w:rsidP="00796E41">
      <w:pPr>
        <w:pStyle w:val="Point1"/>
        <w:rPr>
          <w:noProof/>
        </w:rPr>
      </w:pPr>
      <w:r w:rsidRPr="00D965A5">
        <w:rPr>
          <w:noProof/>
        </w:rPr>
        <w:t>b)</w:t>
      </w:r>
      <w:r w:rsidRPr="00D965A5">
        <w:rPr>
          <w:noProof/>
        </w:rPr>
        <w:tab/>
        <w:t xml:space="preserve">standardit, joilla varmistetaan johdonmukaiset, laadukkaat tukipalvelut, mukaan lukien lapsiin kohdistuva tuki; </w:t>
      </w:r>
    </w:p>
    <w:p w14:paraId="7AED5F12" w14:textId="77777777" w:rsidR="008C122D" w:rsidRPr="00D965A5" w:rsidRDefault="004E1334" w:rsidP="00796E41">
      <w:pPr>
        <w:pStyle w:val="Point1"/>
        <w:rPr>
          <w:noProof/>
        </w:rPr>
      </w:pPr>
      <w:r w:rsidRPr="00D965A5">
        <w:rPr>
          <w:noProof/>
        </w:rPr>
        <w:t>c)</w:t>
      </w:r>
      <w:r w:rsidRPr="00D965A5">
        <w:rPr>
          <w:noProof/>
        </w:rPr>
        <w:tab/>
        <w:t>keskitetty toimintamalli ja oikea-aikainen, yksinkertaistettu ohjaus asiaankuuluviin sosiaaliturvavirastoihin, sosiaalihuoltoon ja matalan kynnyksen sosiaali- ja terveyspalveluihin;</w:t>
      </w:r>
    </w:p>
    <w:p w14:paraId="7F653DFB" w14:textId="4904003A" w:rsidR="008C122D" w:rsidRPr="00D965A5" w:rsidRDefault="00796E41" w:rsidP="00796E41">
      <w:pPr>
        <w:pStyle w:val="Point1"/>
        <w:rPr>
          <w:noProof/>
        </w:rPr>
      </w:pPr>
      <w:r w:rsidRPr="00D965A5">
        <w:rPr>
          <w:noProof/>
        </w:rPr>
        <w:t>d)</w:t>
      </w:r>
      <w:r w:rsidRPr="00D965A5">
        <w:rPr>
          <w:noProof/>
        </w:rPr>
        <w:tab/>
        <w:t xml:space="preserve">tukijärjestelmät, joilla ehkäistään tarpeetonta perheiden erottamista lapsen edun mukaisesti ja varmistetaan, että yksikään lapsi ei joudu kadulle, hätämajoitukseen, tilapäismajoitukseen tai muihin kodittomuudeksi luettaviin asuinoloihin; </w:t>
      </w:r>
    </w:p>
    <w:p w14:paraId="6A07BD8B" w14:textId="77777777" w:rsidR="006E2640" w:rsidRPr="00D965A5" w:rsidRDefault="00796E41" w:rsidP="00796E41">
      <w:pPr>
        <w:pStyle w:val="Point1"/>
        <w:rPr>
          <w:noProof/>
        </w:rPr>
      </w:pPr>
      <w:r w:rsidRPr="00D965A5">
        <w:rPr>
          <w:noProof/>
        </w:rPr>
        <w:t>e)</w:t>
      </w:r>
      <w:r w:rsidRPr="00D965A5">
        <w:rPr>
          <w:noProof/>
        </w:rPr>
        <w:tab/>
        <w:t xml:space="preserve">aktiivinen työllistymistuki esimerkiksi helpottamalla työvoimapalveluihin rekisteröitymistä ja kehittämällä yksilöllisiä polkuja työllistymiseen, sosiaalitukeen, työpaikan säilyttämisen tukemiseen ja työnantajien tukemiseen; </w:t>
      </w:r>
      <w:r w:rsidRPr="00D965A5">
        <w:rPr>
          <w:noProof/>
        </w:rPr>
        <w:tab/>
      </w:r>
    </w:p>
    <w:p w14:paraId="45FF64F9" w14:textId="77777777" w:rsidR="008C122D" w:rsidRPr="00D965A5" w:rsidRDefault="006E2640" w:rsidP="00796E41">
      <w:pPr>
        <w:pStyle w:val="Point1"/>
        <w:rPr>
          <w:noProof/>
        </w:rPr>
      </w:pPr>
      <w:r w:rsidRPr="00D965A5">
        <w:rPr>
          <w:noProof/>
        </w:rPr>
        <w:t>f)</w:t>
      </w:r>
      <w:r w:rsidRPr="00D965A5">
        <w:rPr>
          <w:noProof/>
        </w:rPr>
        <w:tab/>
        <w:t>sen varmistaminen, että asunnottomuudesta kärsivät henkilöt saavat tietoa unionin lainsäädännön</w:t>
      </w:r>
      <w:r w:rsidRPr="00D965A5">
        <w:rPr>
          <w:rStyle w:val="FootnoteReference"/>
          <w:noProof/>
        </w:rPr>
        <w:footnoteReference w:id="34"/>
      </w:r>
      <w:r w:rsidRPr="00D965A5">
        <w:rPr>
          <w:noProof/>
        </w:rPr>
        <w:t xml:space="preserve"> mukaisista oikeuksistaan avata jäsenvaltion alueella sijaitsevan luottolaitoksen ylläpitämä perusmaksutili ja käyttää sitä riippumatta siitä, onko heillä pysyvä osoite;  </w:t>
      </w:r>
    </w:p>
    <w:p w14:paraId="71D17860" w14:textId="77777777" w:rsidR="00051117" w:rsidRPr="00D965A5" w:rsidRDefault="00796E41" w:rsidP="00796E41">
      <w:pPr>
        <w:pStyle w:val="Point1"/>
        <w:rPr>
          <w:noProof/>
        </w:rPr>
      </w:pPr>
      <w:r w:rsidRPr="00D965A5">
        <w:rPr>
          <w:noProof/>
        </w:rPr>
        <w:t>g)</w:t>
      </w:r>
      <w:r w:rsidRPr="00D965A5">
        <w:rPr>
          <w:noProof/>
        </w:rPr>
        <w:tab/>
        <w:t xml:space="preserve">vakaiden asumisratkaisujen tarjonnan parantaminen asunnottomille, erityisesti lapsiperheille, yhteistyössä asuntojen tarjoajien, sosiaaliperusteisten vuokra-asuntojen välittäjien ja osallistavien jakomekanismien kanssa yhteistyö- ja yhteisöpohjaisten mallien ja asianmukaisten tukipalvelujen avulla; </w:t>
      </w:r>
    </w:p>
    <w:p w14:paraId="0C03E580" w14:textId="77777777" w:rsidR="0010722C" w:rsidRPr="00D965A5" w:rsidRDefault="009D6B66" w:rsidP="00F422C3">
      <w:pPr>
        <w:pStyle w:val="Point0"/>
        <w:ind w:left="1417" w:hanging="566"/>
        <w:rPr>
          <w:noProof/>
        </w:rPr>
      </w:pPr>
      <w:r w:rsidRPr="00D965A5">
        <w:rPr>
          <w:noProof/>
        </w:rPr>
        <w:t xml:space="preserve">h) </w:t>
      </w:r>
      <w:r w:rsidRPr="00D965A5">
        <w:rPr>
          <w:noProof/>
        </w:rPr>
        <w:tab/>
        <w:t xml:space="preserve">sen varmistaminen, että hätä- ja tilapäismajoitusta, mukaan lukien sukupuolen mukaan eriytetty majoitus, on saatavilla ja että asumisratkaisut ovat turvallisia, esteettömiä ja riittäviä kaikkien asunnottomuudesta kärsivien henkilöiden, myös perheväkivallan ja seksuaalisen väkivallan uhrien, tarpeisiin vastaamiseksi, sekä yksilöiden tukeminen heidän siirtyessään vakaisiin asuinoloihin; </w:t>
      </w:r>
    </w:p>
    <w:p w14:paraId="0C882543" w14:textId="77777777" w:rsidR="06505AE6" w:rsidRPr="00D965A5" w:rsidRDefault="0055310B" w:rsidP="00F422C3">
      <w:pPr>
        <w:pStyle w:val="Point0"/>
        <w:ind w:left="1417" w:hanging="566"/>
        <w:rPr>
          <w:noProof/>
        </w:rPr>
      </w:pPr>
      <w:r w:rsidRPr="00D965A5">
        <w:rPr>
          <w:noProof/>
        </w:rPr>
        <w:t xml:space="preserve">i) </w:t>
      </w:r>
      <w:r w:rsidRPr="00D965A5">
        <w:rPr>
          <w:noProof/>
        </w:rPr>
        <w:tab/>
        <w:t xml:space="preserve">asunnottomuutta kokeneiden yksilöiden aseman ymmärtäminen ja tukeminen parannettaessa sosiaalisen osallisuuden ja asumisen saatavuutta helpottavien tukipalvelujen luottamusta, saatavuutta ja tehokkuutta; </w:t>
      </w:r>
    </w:p>
    <w:p w14:paraId="5E0A32EF" w14:textId="77777777" w:rsidR="00DB3968" w:rsidRPr="00D965A5" w:rsidRDefault="00396A35" w:rsidP="00F422C3">
      <w:pPr>
        <w:pStyle w:val="Point0"/>
        <w:ind w:left="1417" w:hanging="566"/>
        <w:rPr>
          <w:noProof/>
        </w:rPr>
      </w:pPr>
      <w:r w:rsidRPr="00D965A5">
        <w:rPr>
          <w:noProof/>
        </w:rPr>
        <w:t>j)</w:t>
      </w:r>
      <w:r w:rsidRPr="00D965A5">
        <w:rPr>
          <w:noProof/>
        </w:rPr>
        <w:tab/>
        <w:t xml:space="preserve">toimenpiteet leimautumisen ja syrjivien käytäntöjen ehkäisemiseksi ja poistamiseksi asuntojen saatavuuden osalta, kuten avointen kriteerien soveltaminen sosiaaliperusteisten asuntojen jonotuslistoihin, tiedostamattomia ennakkoasenteita koskeva koulutus asuntoalan ammattilaisille ja syrjintää kohdanneiden vuokralaisten tukipalvelut. </w:t>
      </w:r>
    </w:p>
    <w:p w14:paraId="4850F27C" w14:textId="77777777" w:rsidR="005A474B" w:rsidRPr="00D965A5" w:rsidRDefault="005A474B" w:rsidP="00F422C3">
      <w:pPr>
        <w:pStyle w:val="Point0"/>
        <w:ind w:left="1417" w:hanging="566"/>
        <w:rPr>
          <w:noProof/>
        </w:rPr>
      </w:pPr>
    </w:p>
    <w:p w14:paraId="64735BF5" w14:textId="77777777" w:rsidR="005A474B" w:rsidRPr="00D965A5" w:rsidRDefault="000266A0" w:rsidP="00AC509C">
      <w:pPr>
        <w:spacing w:before="240" w:after="160" w:line="278" w:lineRule="auto"/>
        <w:rPr>
          <w:noProof/>
        </w:rPr>
      </w:pPr>
      <w:r w:rsidRPr="00D965A5">
        <w:rPr>
          <w:noProof/>
        </w:rPr>
        <w:t xml:space="preserve">RIITTÄVIEN JA TURVATTUJEN ASUMISRATKAISUJEN SAATAVUUS </w:t>
      </w:r>
    </w:p>
    <w:p w14:paraId="389BA8D6" w14:textId="4228859F" w:rsidR="00E94F3D" w:rsidRPr="00D965A5" w:rsidRDefault="00F43566" w:rsidP="00F43566">
      <w:pPr>
        <w:pStyle w:val="Point0"/>
        <w:rPr>
          <w:noProof/>
        </w:rPr>
      </w:pPr>
      <w:r>
        <w:rPr>
          <w:noProof/>
        </w:rPr>
        <w:lastRenderedPageBreak/>
        <w:t>7)</w:t>
      </w:r>
      <w:r>
        <w:rPr>
          <w:noProof/>
        </w:rPr>
        <w:tab/>
      </w:r>
      <w:r w:rsidR="00043089" w:rsidRPr="00D965A5">
        <w:rPr>
          <w:noProof/>
        </w:rPr>
        <w:t>Jäsenvaltioiden tulisi lisätä sosiaaliperusteisten ja kohtuuhintaisten asuntojen tarjontaa vastatakseen väestötarpeisiin, paikallisiin puutteisiin ja alueellisiin eroihin erityisesti seuraavin keinoin:</w:t>
      </w:r>
    </w:p>
    <w:p w14:paraId="46A8E39F" w14:textId="274B4474" w:rsidR="00390B18" w:rsidRPr="00D965A5" w:rsidRDefault="00F43566" w:rsidP="00F43566">
      <w:pPr>
        <w:pStyle w:val="Point1"/>
        <w:rPr>
          <w:noProof/>
        </w:rPr>
      </w:pPr>
      <w:r>
        <w:rPr>
          <w:noProof/>
        </w:rPr>
        <w:t>a)</w:t>
      </w:r>
      <w:r>
        <w:rPr>
          <w:noProof/>
        </w:rPr>
        <w:tab/>
      </w:r>
      <w:r w:rsidR="00F93BD7" w:rsidRPr="00D965A5">
        <w:rPr>
          <w:noProof/>
        </w:rPr>
        <w:t>edistämällä yksityisten vuokranantajien ja vuokralaisten pitkäaikaisia vuokraehtoja:</w:t>
      </w:r>
    </w:p>
    <w:p w14:paraId="58312859" w14:textId="77777777" w:rsidR="00F81B97" w:rsidRPr="00D965A5" w:rsidRDefault="00A6476D" w:rsidP="007A0D1E">
      <w:pPr>
        <w:pStyle w:val="Tiret2"/>
        <w:numPr>
          <w:ilvl w:val="0"/>
          <w:numId w:val="16"/>
        </w:numPr>
        <w:rPr>
          <w:noProof/>
        </w:rPr>
      </w:pPr>
      <w:r w:rsidRPr="00D965A5">
        <w:rPr>
          <w:noProof/>
        </w:rPr>
        <w:t>tarjoamalla oikeudellinen kehys, joka helpottaa pitkäaikaisten vuokrasopimusten laajaa käyttöä;</w:t>
      </w:r>
    </w:p>
    <w:p w14:paraId="70E5B326" w14:textId="458B4ACA" w:rsidR="0064779E" w:rsidRPr="00D965A5" w:rsidRDefault="00EE20B1" w:rsidP="00600F3F">
      <w:pPr>
        <w:pStyle w:val="Tiret2"/>
        <w:rPr>
          <w:noProof/>
        </w:rPr>
      </w:pPr>
      <w:r w:rsidRPr="00D965A5">
        <w:rPr>
          <w:noProof/>
        </w:rPr>
        <w:t>mahdollistamalla oikeasuhteisten vero- ja taloudellisten kannustimien kohdennettu myöntäminen vuokranantajille tarvittaessa, jotta nämä tarjoaisivat pitkäaikaisia asumisratkaisuja erityisesti perheille ja nuorille;</w:t>
      </w:r>
    </w:p>
    <w:p w14:paraId="3716AA52" w14:textId="0CC81A09" w:rsidR="00DC1683" w:rsidRPr="00D965A5" w:rsidRDefault="00F93BD7" w:rsidP="00600F3F">
      <w:pPr>
        <w:pStyle w:val="Tiret2"/>
        <w:rPr>
          <w:noProof/>
        </w:rPr>
      </w:pPr>
      <w:r w:rsidRPr="00D965A5">
        <w:rPr>
          <w:noProof/>
        </w:rPr>
        <w:t>vähentämällä oikeudellista epävarmuutta ja häätömenettelyjen kestoa;</w:t>
      </w:r>
    </w:p>
    <w:p w14:paraId="7B90ECD1" w14:textId="1B355E05" w:rsidR="00E94F3D" w:rsidRPr="00D965A5" w:rsidRDefault="003F3B90" w:rsidP="00600F3F">
      <w:pPr>
        <w:pStyle w:val="Tiret2"/>
        <w:rPr>
          <w:noProof/>
        </w:rPr>
      </w:pPr>
      <w:r w:rsidRPr="00D965A5">
        <w:rPr>
          <w:noProof/>
        </w:rPr>
        <w:t>tasapainottamalla pitkäaikaisten vuokra-asuntojen käyttöä lyhytaikaiseen asumiseen, kun se on asianmukaisesti perusteltua asuntokriisin vuoksi;</w:t>
      </w:r>
    </w:p>
    <w:p w14:paraId="01DA16C0" w14:textId="0D55ECF5" w:rsidR="00B847B6" w:rsidRPr="00D965A5" w:rsidRDefault="00F43566" w:rsidP="00F43566">
      <w:pPr>
        <w:pStyle w:val="Point1"/>
        <w:rPr>
          <w:noProof/>
        </w:rPr>
      </w:pPr>
      <w:r>
        <w:rPr>
          <w:noProof/>
        </w:rPr>
        <w:t>b)</w:t>
      </w:r>
      <w:r>
        <w:rPr>
          <w:noProof/>
        </w:rPr>
        <w:tab/>
      </w:r>
      <w:r w:rsidR="00B847B6" w:rsidRPr="00D965A5">
        <w:rPr>
          <w:noProof/>
        </w:rPr>
        <w:t xml:space="preserve">kannustamalla sekä julkisia että yksityisiä toimijoita investoimaan uudisrakentamiseen tai olemassa olevien rakennusten kunnostamiseen tai käyttötarkoituksen muuttamiseen, jotta voidaan laajentaa sosiaaliperusteista ja kohtuuhintaista asuntokantaa; </w:t>
      </w:r>
    </w:p>
    <w:p w14:paraId="26A76AF0" w14:textId="725BFCF4" w:rsidR="00E94F3D" w:rsidRPr="00D965A5" w:rsidRDefault="00F43566" w:rsidP="00F43566">
      <w:pPr>
        <w:pStyle w:val="Point1"/>
        <w:rPr>
          <w:noProof/>
        </w:rPr>
      </w:pPr>
      <w:r>
        <w:rPr>
          <w:noProof/>
        </w:rPr>
        <w:t>c)</w:t>
      </w:r>
      <w:r>
        <w:rPr>
          <w:noProof/>
        </w:rPr>
        <w:tab/>
      </w:r>
      <w:r w:rsidR="00043089" w:rsidRPr="00D965A5">
        <w:rPr>
          <w:noProof/>
        </w:rPr>
        <w:t>mahdollistamalla ja tukemalla asumisen kohtuuhintaisuuteen perustuvia toimintamalleja, kuten sosiaalinen ja julkinen asuntotarjonta, asunto-osuuskunnat, kohtuullista voittoa tavoittelevat asuntoyhtiöt, yhteismaita hallinnoivat yhteisöt, muut sosiaaliperusteisten asuntojen välittäjät sekä muut rajallista voittoa tavoittelevat tai voittoa tavoittelemattomat toimintamallit;</w:t>
      </w:r>
    </w:p>
    <w:p w14:paraId="7FBE52F3" w14:textId="422E665C" w:rsidR="00E94F3D" w:rsidRPr="00D965A5" w:rsidRDefault="00F43566" w:rsidP="00F43566">
      <w:pPr>
        <w:pStyle w:val="Point1"/>
        <w:rPr>
          <w:noProof/>
        </w:rPr>
      </w:pPr>
      <w:r>
        <w:rPr>
          <w:noProof/>
        </w:rPr>
        <w:t>d)</w:t>
      </w:r>
      <w:r>
        <w:rPr>
          <w:noProof/>
        </w:rPr>
        <w:tab/>
      </w:r>
      <w:r w:rsidR="001D4D8D" w:rsidRPr="00D965A5">
        <w:rPr>
          <w:noProof/>
        </w:rPr>
        <w:t xml:space="preserve">edistämällä ja laajentamalla innovatiivisia yhteisasumistapoja, kuten jaetut asuintilat, ryhmäasuminen, yhteisasuminen ja monisukupolviset asuinjärjestelyt, ja tarvittaessa tarjoamalla jaettuja peruspalveluja ja tukipalveluja sekä helpottamalla opiskelijoiden ja nuorten tilapäisiä ja siirtymävaiheen asumisratkaisuja esimerkiksi luomalla yhteyksiä opiskelijoiden ja vajaakäytössä olevien asuntojen asukkaiden välille; </w:t>
      </w:r>
    </w:p>
    <w:p w14:paraId="43813C59" w14:textId="36567226" w:rsidR="00E94F3D" w:rsidRPr="00D965A5" w:rsidRDefault="00F43566" w:rsidP="00F43566">
      <w:pPr>
        <w:pStyle w:val="Point1"/>
        <w:rPr>
          <w:noProof/>
        </w:rPr>
      </w:pPr>
      <w:r>
        <w:rPr>
          <w:noProof/>
        </w:rPr>
        <w:t>e)</w:t>
      </w:r>
      <w:r>
        <w:rPr>
          <w:noProof/>
        </w:rPr>
        <w:tab/>
      </w:r>
      <w:r w:rsidR="00043089" w:rsidRPr="00D965A5">
        <w:rPr>
          <w:noProof/>
        </w:rPr>
        <w:t>yksinkertaistamalla kansallista, alueellista ja paikallista suunnittelua ja lupamenettelyjä asuntorakentamisen nopeuttamiseksi pyrkien samalla yhteiskunnalliseen osallisuuteen ja alueelliseen koheesioon sekä vähentämällä rakennuspalvelujen tarjoajiin kohdistuvia hallinnollisia esteitä, jotta voidaan tarvittaessa tukea uusien sosiaaliperusteisten ja kohtuuhintaisten asuntojen oikea-aikaista tarjontaa muun muassa ottamalla käyttöön julkisia maa-alueita varmistaen samalla, että alueilta on hyvät yhteydet keskeisiin sosioekonomisiin palveluihin ja toimintoihin;</w:t>
      </w:r>
    </w:p>
    <w:p w14:paraId="4FF4F6C7" w14:textId="1754FD94" w:rsidR="00E94F3D" w:rsidRPr="00D965A5" w:rsidRDefault="00F43566" w:rsidP="00F43566">
      <w:pPr>
        <w:pStyle w:val="Point1"/>
        <w:rPr>
          <w:noProof/>
        </w:rPr>
      </w:pPr>
      <w:r>
        <w:rPr>
          <w:noProof/>
        </w:rPr>
        <w:t>f)</w:t>
      </w:r>
      <w:r>
        <w:rPr>
          <w:noProof/>
        </w:rPr>
        <w:tab/>
      </w:r>
      <w:r w:rsidR="009674BA" w:rsidRPr="00D965A5">
        <w:rPr>
          <w:noProof/>
        </w:rPr>
        <w:t>parantamalla olemassa olevan asuntokannan tehokasta käyttöä erityisesti helpottamalla olemassa olevien rakennusten kunnostamista, uudelleenkäyttöä ja käyttötarkoituksen muuttamista sekä ottamalla käyttöön vapaita asuntoja ja julkisia kiinteistöjä ja rajoittamalla tarpeettomia purkutöitä aina, kun se on mahdollista;</w:t>
      </w:r>
    </w:p>
    <w:p w14:paraId="03ABFEF9" w14:textId="521A5905" w:rsidR="00043089" w:rsidRPr="00D965A5" w:rsidRDefault="00F43566" w:rsidP="00F43566">
      <w:pPr>
        <w:pStyle w:val="Point1"/>
        <w:rPr>
          <w:noProof/>
        </w:rPr>
      </w:pPr>
      <w:r>
        <w:rPr>
          <w:noProof/>
        </w:rPr>
        <w:t>g)</w:t>
      </w:r>
      <w:r>
        <w:rPr>
          <w:noProof/>
        </w:rPr>
        <w:tab/>
      </w:r>
      <w:r w:rsidR="00DE32F8" w:rsidRPr="00D965A5">
        <w:rPr>
          <w:noProof/>
        </w:rPr>
        <w:t>parantamalla turvakotien ja siirtymävaiheen asuntojen tarjontaa ja saatavuutta, kunnes pysyviä asumisratkaisuja on saatavilla;</w:t>
      </w:r>
    </w:p>
    <w:p w14:paraId="3369514C" w14:textId="5C47D25D" w:rsidR="003F3B90" w:rsidRPr="00D965A5" w:rsidRDefault="00F43566" w:rsidP="00F43566">
      <w:pPr>
        <w:pStyle w:val="Point1"/>
        <w:rPr>
          <w:noProof/>
        </w:rPr>
      </w:pPr>
      <w:r>
        <w:rPr>
          <w:noProof/>
        </w:rPr>
        <w:t>h)</w:t>
      </w:r>
      <w:r>
        <w:rPr>
          <w:noProof/>
        </w:rPr>
        <w:tab/>
      </w:r>
      <w:r w:rsidR="003F3B90" w:rsidRPr="00D965A5">
        <w:rPr>
          <w:noProof/>
        </w:rPr>
        <w:t>osoittamalla tietty osuus uudisrakennuskohteista sosiaaliperusteiseen ja kohtuuhintaiseen asuntotuotantoon paikallisten asuntotarpeiden mukaisesti.</w:t>
      </w:r>
    </w:p>
    <w:p w14:paraId="45C5F9DC" w14:textId="3D945601" w:rsidR="00D57106" w:rsidRPr="00D965A5" w:rsidRDefault="00F43566" w:rsidP="00F43566">
      <w:pPr>
        <w:pStyle w:val="Point0"/>
        <w:rPr>
          <w:noProof/>
        </w:rPr>
      </w:pPr>
      <w:r>
        <w:rPr>
          <w:noProof/>
        </w:rPr>
        <w:lastRenderedPageBreak/>
        <w:t>8)</w:t>
      </w:r>
      <w:r>
        <w:rPr>
          <w:noProof/>
        </w:rPr>
        <w:tab/>
      </w:r>
      <w:r w:rsidR="008C2A86" w:rsidRPr="00D965A5">
        <w:rPr>
          <w:noProof/>
        </w:rPr>
        <w:t>Jäsenvaltioiden tulisi ottaa kansallisissa strategioissaan käyttöön riittävät, ennakoitavat ja kestävät rahoitus- ja investointikehykset, joilla ne voivat täydentää asuntotarjonnan lisäämiseksi toteutettavia toimia. Lisäksi suositellaan, että jäsenvaltiot hyödyntäisivät kokonaisvaltaisesti saatavilla olevaa EU:n rahoitusta ja välineitä, kuten tulevaa kohtuuhintaisia ja kestäviä asuntoja koskevaa yleiseurooppalaista investointijärjestelyä, josta on ilmoitettu kohtuuhintaista asumista koskevassa eurooppalaisessa suunnitelmassa</w:t>
      </w:r>
      <w:r w:rsidR="008C2A86" w:rsidRPr="00D965A5">
        <w:rPr>
          <w:rStyle w:val="FootnoteReference"/>
          <w:noProof/>
        </w:rPr>
        <w:footnoteReference w:id="35"/>
      </w:r>
      <w:r w:rsidR="008C2A86" w:rsidRPr="00D965A5">
        <w:rPr>
          <w:noProof/>
        </w:rPr>
        <w:t>. Kyseisillä toimenpiteillä voidaan tehostaa kansallisten ja unionin resurssien käyttöä sekä lisätä pitkäaikaisia, osallistavia ja kohtuuhintaisia asumisratkaisuja muun muassa seuraavasti:</w:t>
      </w:r>
    </w:p>
    <w:p w14:paraId="570F500D" w14:textId="6DE3C0FD" w:rsidR="0016707F" w:rsidRPr="00D965A5" w:rsidRDefault="00F43566" w:rsidP="00F43566">
      <w:pPr>
        <w:pStyle w:val="Point1"/>
        <w:rPr>
          <w:noProof/>
        </w:rPr>
      </w:pPr>
      <w:r>
        <w:rPr>
          <w:noProof/>
        </w:rPr>
        <w:t>a)</w:t>
      </w:r>
      <w:r>
        <w:rPr>
          <w:noProof/>
        </w:rPr>
        <w:tab/>
      </w:r>
      <w:r w:rsidR="00F60005" w:rsidRPr="00D965A5">
        <w:rPr>
          <w:noProof/>
        </w:rPr>
        <w:t>yhteensovittamalla ja koordinoimalla asumisen, yhteiskunnallisen osallisuuden, työllisyyden, koulutuksen, terveydenhuollon, pitkäaikaishoidon sekä kaupunkialueiden elvyttämis- ja kunnostusmallien resursseja, jotta voidaan tehostaa toimintapolitiikkojen johdonmukaisuutta ja vaikutusta;</w:t>
      </w:r>
    </w:p>
    <w:p w14:paraId="017EE87B" w14:textId="55F28B1A" w:rsidR="0016707F" w:rsidRPr="00D965A5" w:rsidRDefault="00F43566" w:rsidP="00F43566">
      <w:pPr>
        <w:pStyle w:val="Point1"/>
        <w:rPr>
          <w:noProof/>
        </w:rPr>
      </w:pPr>
      <w:r>
        <w:rPr>
          <w:noProof/>
        </w:rPr>
        <w:t>b)</w:t>
      </w:r>
      <w:r>
        <w:rPr>
          <w:noProof/>
        </w:rPr>
        <w:tab/>
      </w:r>
      <w:r w:rsidR="0016707F" w:rsidRPr="00D965A5">
        <w:rPr>
          <w:noProof/>
        </w:rPr>
        <w:t xml:space="preserve">varmistamalla, että julkisesti tuettuihin toimiin sisältyvät tarvittaessa selkeät edellytykset kohtuuhintaisuudelle, saavutettavuudelle, kestävyydelle ja asuntojen osallistavalle kohdentamiselle sekä yhteydet yhteisöpohjaisiin palveluihin; </w:t>
      </w:r>
    </w:p>
    <w:p w14:paraId="7CA95D6B" w14:textId="249D2B1C" w:rsidR="00192F41" w:rsidRPr="00D965A5" w:rsidRDefault="00F43566" w:rsidP="00F43566">
      <w:pPr>
        <w:pStyle w:val="Point1"/>
        <w:rPr>
          <w:noProof/>
        </w:rPr>
      </w:pPr>
      <w:r>
        <w:rPr>
          <w:noProof/>
        </w:rPr>
        <w:t>c)</w:t>
      </w:r>
      <w:r>
        <w:rPr>
          <w:noProof/>
        </w:rPr>
        <w:tab/>
      </w:r>
      <w:r w:rsidR="00F60005" w:rsidRPr="00D965A5">
        <w:rPr>
          <w:noProof/>
        </w:rPr>
        <w:t xml:space="preserve">toteuttamalla innovatiivisia rahoitusmalleja, kuten uusiutuvaa rahoitusta, sekarahoitusta ja julkisia takauksia, asuntotarjonnan pitkäaikaisen kohtuuhintaisuuden tukemiseksi ja julkisen ja yksityisen pääoman käyttämiseksi kohtuuhintaisten ja sosiaaliperusteisten asuntojen tuotantoon; </w:t>
      </w:r>
    </w:p>
    <w:p w14:paraId="0871CE8F" w14:textId="7F9D10E9" w:rsidR="00350FAC" w:rsidRPr="00D965A5" w:rsidRDefault="00F43566" w:rsidP="00F43566">
      <w:pPr>
        <w:pStyle w:val="Point1"/>
        <w:rPr>
          <w:noProof/>
        </w:rPr>
      </w:pPr>
      <w:r>
        <w:rPr>
          <w:noProof/>
        </w:rPr>
        <w:t>d)</w:t>
      </w:r>
      <w:r>
        <w:rPr>
          <w:noProof/>
        </w:rPr>
        <w:tab/>
      </w:r>
      <w:r w:rsidR="00BE4FAC" w:rsidRPr="00D965A5">
        <w:rPr>
          <w:noProof/>
        </w:rPr>
        <w:t xml:space="preserve">ehkäisemällä keinottelua asuntomarkkinoilla muun muassa kehittämällä tehokasta verotuspolitiikkaa ja parantamalla markkinoiden avoimuutta; </w:t>
      </w:r>
    </w:p>
    <w:p w14:paraId="110DE632" w14:textId="15FF340D" w:rsidR="0016707F" w:rsidRPr="00D965A5" w:rsidRDefault="00F43566" w:rsidP="00F43566">
      <w:pPr>
        <w:pStyle w:val="Point1"/>
        <w:rPr>
          <w:noProof/>
        </w:rPr>
      </w:pPr>
      <w:r>
        <w:rPr>
          <w:noProof/>
        </w:rPr>
        <w:t>e)</w:t>
      </w:r>
      <w:r>
        <w:rPr>
          <w:noProof/>
        </w:rPr>
        <w:tab/>
      </w:r>
      <w:r w:rsidR="0016707F" w:rsidRPr="00D965A5">
        <w:rPr>
          <w:noProof/>
        </w:rPr>
        <w:t>tukemalla hankekehitystä ja tarjoamalla teknistä apua paikallis- ja alueviranomaisille, yhteisötalouden organisaatioille ja rajallista voittoa tavoitteleville tai voittoa tavoittelemattomille asuntojen tarjoajille;</w:t>
      </w:r>
    </w:p>
    <w:p w14:paraId="5D44C003" w14:textId="098F6EF9" w:rsidR="0011352D" w:rsidRPr="00D965A5" w:rsidRDefault="00F43566" w:rsidP="00F43566">
      <w:pPr>
        <w:pStyle w:val="Point1"/>
        <w:rPr>
          <w:noProof/>
        </w:rPr>
      </w:pPr>
      <w:r>
        <w:rPr>
          <w:noProof/>
        </w:rPr>
        <w:t>f)</w:t>
      </w:r>
      <w:r>
        <w:rPr>
          <w:noProof/>
        </w:rPr>
        <w:tab/>
      </w:r>
      <w:r w:rsidR="0011352D" w:rsidRPr="00D965A5">
        <w:rPr>
          <w:noProof/>
        </w:rPr>
        <w:t>edistämällä julkisen ja yksityisen sektorin kumppanuuksia esimerkiksi paikallisviranomaisten, korkeakoulujen, työnantajien, asuntojen tarjoajien ja yhteisötalouden organisaatioiden kanssa sosiaaliperusteisten ja kohtuuhintaisten asuntojen tarjoamiseksi, mukaan lukien opiskelijoille, harjoittelijoille ja sekakäyttöön tarkoitetut asuntohankkeet;</w:t>
      </w:r>
    </w:p>
    <w:p w14:paraId="3187279B" w14:textId="50359B3D" w:rsidR="000C7595" w:rsidRPr="00D965A5" w:rsidRDefault="00F43566" w:rsidP="00F43566">
      <w:pPr>
        <w:pStyle w:val="Point1"/>
        <w:rPr>
          <w:noProof/>
        </w:rPr>
      </w:pPr>
      <w:r>
        <w:rPr>
          <w:noProof/>
        </w:rPr>
        <w:t>g)</w:t>
      </w:r>
      <w:r>
        <w:rPr>
          <w:noProof/>
        </w:rPr>
        <w:tab/>
      </w:r>
      <w:r w:rsidR="00A710BF" w:rsidRPr="00D965A5">
        <w:rPr>
          <w:noProof/>
        </w:rPr>
        <w:t>lisäämällä investointeja, joilla tuetaan kohtuuhintaisten ja sosiaaliperusteisten asuntojen rakentamista ja kunnostamista, muun muassa ottamalla käyttöön rahoitusvälineitä ja sekarahoitusta nykyisen koheesiopolitiikan puitteissa ja käyttämällä samalla sen väliarvioinnissa</w:t>
      </w:r>
      <w:r w:rsidR="00A710BF" w:rsidRPr="00D965A5">
        <w:rPr>
          <w:rStyle w:val="FootnoteReference"/>
          <w:noProof/>
        </w:rPr>
        <w:footnoteReference w:id="36"/>
      </w:r>
      <w:r w:rsidR="00A710BF" w:rsidRPr="00D965A5">
        <w:rPr>
          <w:noProof/>
        </w:rPr>
        <w:t xml:space="preserve"> tarjottuja joustomahdollisuuksia EU:n rahoituksen uudelleenkohdentamiseksi kohtuuhintaisiin asuntoihin, sekä hyödyntämällä tarkistettuja yleisiin taloudellisiin tarkoituksiin liittyviä palveluja koskevia valtiontukisääntöjä</w:t>
      </w:r>
      <w:r w:rsidR="00A710BF" w:rsidRPr="00D965A5">
        <w:rPr>
          <w:rStyle w:val="FootnoteReference"/>
          <w:noProof/>
        </w:rPr>
        <w:footnoteReference w:id="37"/>
      </w:r>
      <w:r w:rsidR="00A710BF" w:rsidRPr="00D965A5">
        <w:rPr>
          <w:noProof/>
        </w:rPr>
        <w:t>, jotka sisältävät sekä sosiaaliperusteista että kohtuuhintaista asumista koskevia luokkia.</w:t>
      </w:r>
    </w:p>
    <w:p w14:paraId="29072A18" w14:textId="535667CD" w:rsidR="00E94F3D" w:rsidRPr="00D965A5" w:rsidRDefault="00F43566" w:rsidP="00F43566">
      <w:pPr>
        <w:pStyle w:val="Point0"/>
        <w:rPr>
          <w:noProof/>
        </w:rPr>
      </w:pPr>
      <w:r>
        <w:rPr>
          <w:noProof/>
        </w:rPr>
        <w:lastRenderedPageBreak/>
        <w:t>9)</w:t>
      </w:r>
      <w:r>
        <w:rPr>
          <w:noProof/>
        </w:rPr>
        <w:tab/>
      </w:r>
      <w:r w:rsidR="006C01B9" w:rsidRPr="00D965A5">
        <w:rPr>
          <w:noProof/>
        </w:rPr>
        <w:t xml:space="preserve">Jäsenvaltioiden tulisi tukea asuntomarkkinoilta syrjäytyneitä henkilöitä asunnon saannissa ja pitämisessä seuraavilla tavoilla: </w:t>
      </w:r>
    </w:p>
    <w:p w14:paraId="12E6AAD2" w14:textId="644BD29C" w:rsidR="00E94F3D" w:rsidRPr="00D965A5" w:rsidRDefault="00F43566" w:rsidP="00F43566">
      <w:pPr>
        <w:pStyle w:val="Point1"/>
        <w:rPr>
          <w:noProof/>
        </w:rPr>
      </w:pPr>
      <w:r>
        <w:rPr>
          <w:noProof/>
        </w:rPr>
        <w:t>a)</w:t>
      </w:r>
      <w:r>
        <w:rPr>
          <w:noProof/>
        </w:rPr>
        <w:tab/>
      </w:r>
      <w:r w:rsidR="008448D9" w:rsidRPr="00D965A5">
        <w:rPr>
          <w:noProof/>
        </w:rPr>
        <w:t>edistämällä pysyvän asunnon saamista asuntolähtöisesti varmistamalla jatkuva rahoitus ja toimenpiteiden monialainen koordinointi, mukaan lukien pääsy työmarkkinoille ja muihin palveluihin;</w:t>
      </w:r>
    </w:p>
    <w:p w14:paraId="3633F46F" w14:textId="71A6493A" w:rsidR="00752CC3" w:rsidRPr="00D965A5" w:rsidRDefault="00F43566" w:rsidP="00F43566">
      <w:pPr>
        <w:pStyle w:val="Point1"/>
        <w:rPr>
          <w:noProof/>
        </w:rPr>
      </w:pPr>
      <w:r>
        <w:rPr>
          <w:noProof/>
        </w:rPr>
        <w:t>b)</w:t>
      </w:r>
      <w:r>
        <w:rPr>
          <w:noProof/>
        </w:rPr>
        <w:tab/>
      </w:r>
      <w:r w:rsidR="008B1F84" w:rsidRPr="00D965A5">
        <w:rPr>
          <w:noProof/>
        </w:rPr>
        <w:t>ottamalla käyttöön riittävät, asianmukaiset yhdennetyt tukipalvelut, joilla tuetaan siirtymävaiheen lisäksi asianmukaisen, turvatun asunnon pitämistä, kuten tuki asunnon etsimiseen, täydennys- ja uudelleenkoulutus, tuki työllistymiseen ja työpaikan pitämiseen, rahoitus- ja oikeusapu, elämäntaitoja koskeva koulutus sekä seurantatuki, jotta voidaan estää henkilöitä syrjäytymästä uudelleen asuntomarkkinoilta;</w:t>
      </w:r>
    </w:p>
    <w:p w14:paraId="02351E5E" w14:textId="16522C13" w:rsidR="00752CC3" w:rsidRPr="00D965A5" w:rsidRDefault="00F43566" w:rsidP="00F43566">
      <w:pPr>
        <w:pStyle w:val="Point1"/>
        <w:rPr>
          <w:noProof/>
        </w:rPr>
      </w:pPr>
      <w:r>
        <w:rPr>
          <w:noProof/>
        </w:rPr>
        <w:t>c)</w:t>
      </w:r>
      <w:r>
        <w:rPr>
          <w:noProof/>
        </w:rPr>
        <w:tab/>
      </w:r>
      <w:r w:rsidR="00F964C7" w:rsidRPr="00D965A5">
        <w:rPr>
          <w:noProof/>
        </w:rPr>
        <w:t>parantamalla asianmukaisten asumisratkaisujen saatavuutta asuntomarkkinoilta syrjäytyneille yksilöille, erityisesti lapsiperheille, ja varmistamalla, että heidät huomioidaan ja asetetaan etusijalle sosiaaliperusteisten asuntojen jakomekanismeissa;</w:t>
      </w:r>
    </w:p>
    <w:p w14:paraId="4ADAC008" w14:textId="2E51A6CF" w:rsidR="00FD1DD0" w:rsidRPr="00D965A5" w:rsidRDefault="00F43566" w:rsidP="00F43566">
      <w:pPr>
        <w:pStyle w:val="Point1"/>
        <w:rPr>
          <w:noProof/>
        </w:rPr>
      </w:pPr>
      <w:r>
        <w:rPr>
          <w:noProof/>
        </w:rPr>
        <w:t>d)</w:t>
      </w:r>
      <w:r>
        <w:rPr>
          <w:noProof/>
        </w:rPr>
        <w:tab/>
      </w:r>
      <w:r w:rsidR="005D5583" w:rsidRPr="00D965A5">
        <w:rPr>
          <w:noProof/>
        </w:rPr>
        <w:t>tarjoamalla riittävää taloudellista tukea, kuten vuokratakauksia, matalakorkoisia lainoja ja asumistukea, sekä helposti saatavilla olevia ohjeita tällaisen tuen saamiseksi ja tarvittavan finanssiosaamisen kehittämiseksi.</w:t>
      </w:r>
    </w:p>
    <w:p w14:paraId="4505E27A" w14:textId="581E8FB2" w:rsidR="00C66376" w:rsidRPr="00D965A5" w:rsidRDefault="00F43566" w:rsidP="00F43566">
      <w:pPr>
        <w:pStyle w:val="Point0"/>
        <w:rPr>
          <w:noProof/>
        </w:rPr>
      </w:pPr>
      <w:r>
        <w:rPr>
          <w:noProof/>
        </w:rPr>
        <w:t>10)</w:t>
      </w:r>
      <w:r>
        <w:rPr>
          <w:noProof/>
        </w:rPr>
        <w:tab/>
      </w:r>
      <w:r w:rsidR="0099240A" w:rsidRPr="00D965A5">
        <w:rPr>
          <w:noProof/>
        </w:rPr>
        <w:t>Jäsenvaltioiden tulisi toteuttaa kohdennettuja toimenpiteitä, joilla tuetaan asuntomarkkinoilta syrjäytyviä pienituloisia nuoria, myös opiskelijoita, sillä syrjäytyminen voi olla esteenä korkeakoulutukseen, ammatilliseen koulutukseen, harjoitteluun tai oppisopimusohjelmiin pääsylle ja niiden suorittamiselle. Tätä tavoitetta voidaan edistää esimerkiksi seuraavien toimien kautta:</w:t>
      </w:r>
    </w:p>
    <w:p w14:paraId="0DCE3E8F" w14:textId="5BDFB091" w:rsidR="00A07E37" w:rsidRPr="00D965A5" w:rsidRDefault="00F43566" w:rsidP="00F43566">
      <w:pPr>
        <w:pStyle w:val="Point1"/>
        <w:rPr>
          <w:noProof/>
        </w:rPr>
      </w:pPr>
      <w:r>
        <w:rPr>
          <w:noProof/>
        </w:rPr>
        <w:t>a)</w:t>
      </w:r>
      <w:r>
        <w:rPr>
          <w:noProof/>
        </w:rPr>
        <w:tab/>
      </w:r>
      <w:r w:rsidR="0001514C" w:rsidRPr="00D965A5">
        <w:rPr>
          <w:noProof/>
        </w:rPr>
        <w:t xml:space="preserve">luomalla tehokkaita verkostoja nuorten hyvinvointipalvelujen ja yleisten sosiaalipalvelujen välille ja hyödyntämällä niitä, jotta nuoret voivat löytää asianmukaisia asumisratkaisuja, jotka vastaavat heidän perhe-, koulutus- ja työllisyystarpeitaan;   </w:t>
      </w:r>
    </w:p>
    <w:p w14:paraId="3C42BE6E" w14:textId="74C6C497" w:rsidR="006B753A" w:rsidRPr="00D965A5" w:rsidRDefault="00F43566" w:rsidP="00F43566">
      <w:pPr>
        <w:pStyle w:val="Point1"/>
        <w:rPr>
          <w:noProof/>
        </w:rPr>
      </w:pPr>
      <w:r>
        <w:rPr>
          <w:noProof/>
        </w:rPr>
        <w:t>b)</w:t>
      </w:r>
      <w:r>
        <w:rPr>
          <w:noProof/>
        </w:rPr>
        <w:tab/>
      </w:r>
      <w:r w:rsidR="00BE68D5" w:rsidRPr="00D965A5">
        <w:rPr>
          <w:noProof/>
        </w:rPr>
        <w:t>lisäämällä kohtuuhintaisten opiskelija-asuntojen tarjontaa lähellä oppilaitoksia, myös vaihto-opiskelijoille ja ulkomailla harjoittelussa oleville opiskelijoille;</w:t>
      </w:r>
    </w:p>
    <w:p w14:paraId="67904A90" w14:textId="68B015E6" w:rsidR="5EF9D2EA" w:rsidRPr="00D965A5" w:rsidRDefault="00F43566" w:rsidP="00F43566">
      <w:pPr>
        <w:pStyle w:val="Point1"/>
        <w:rPr>
          <w:noProof/>
        </w:rPr>
      </w:pPr>
      <w:r>
        <w:rPr>
          <w:noProof/>
        </w:rPr>
        <w:t>c)</w:t>
      </w:r>
      <w:r>
        <w:rPr>
          <w:noProof/>
        </w:rPr>
        <w:tab/>
      </w:r>
      <w:r w:rsidR="0001514C" w:rsidRPr="00D965A5">
        <w:rPr>
          <w:noProof/>
        </w:rPr>
        <w:t xml:space="preserve">tarjoamalla helposti saatavilla olevaa ohjausta ja käytännön tukea vuokralaisen oikeuksia ja hallinnollisia menettelyjä koskevissa asioissa, myös oppilaitosten neuvontapalvelujen kautta; </w:t>
      </w:r>
    </w:p>
    <w:p w14:paraId="258976E4" w14:textId="31A0BF6C" w:rsidR="007A38D4" w:rsidRPr="00D965A5" w:rsidRDefault="00F43566" w:rsidP="00F43566">
      <w:pPr>
        <w:pStyle w:val="Point1"/>
        <w:rPr>
          <w:noProof/>
        </w:rPr>
      </w:pPr>
      <w:r>
        <w:rPr>
          <w:noProof/>
        </w:rPr>
        <w:t>d)</w:t>
      </w:r>
      <w:r>
        <w:rPr>
          <w:noProof/>
        </w:rPr>
        <w:tab/>
      </w:r>
      <w:r w:rsidR="008154CB" w:rsidRPr="00D965A5">
        <w:rPr>
          <w:noProof/>
        </w:rPr>
        <w:t>tarjoamalla verokannustimia tai matalakorkoisia lainoja, joilla autetaan vähävaraisia opiskelijoita ja nuoria löytämään asunto.</w:t>
      </w:r>
    </w:p>
    <w:p w14:paraId="25A2D6FB" w14:textId="3990EF45" w:rsidR="00A84E1F" w:rsidRPr="00D965A5" w:rsidRDefault="00F43566" w:rsidP="00F43566">
      <w:pPr>
        <w:pStyle w:val="Point0"/>
        <w:rPr>
          <w:noProof/>
        </w:rPr>
      </w:pPr>
      <w:r>
        <w:rPr>
          <w:noProof/>
        </w:rPr>
        <w:t>11)</w:t>
      </w:r>
      <w:r>
        <w:rPr>
          <w:noProof/>
        </w:rPr>
        <w:tab/>
      </w:r>
      <w:r w:rsidR="0051742C" w:rsidRPr="00D965A5">
        <w:rPr>
          <w:noProof/>
        </w:rPr>
        <w:t xml:space="preserve">Jäsenvaltioiden tulisi yhdistää kansallisissa strategiakehyksissään henkilökeskeiset politiikat paikkalähtöisiin politiikkoihin (kuten kaupunkisuunnitteluun ja elvyttämiseen, paikalliseen talouskehitykseen ja liikennepolitiikkaan), jotta vältetään työllisyysmahdollisuuksien ja kohtuuhintaisen asumisen väliset epäsuhdat erityisesti aloilla, joilla on avoimia työpaikkoja. </w:t>
      </w:r>
    </w:p>
    <w:p w14:paraId="731E1FF7" w14:textId="43FF031F" w:rsidR="00A84E1F" w:rsidRPr="00D965A5" w:rsidRDefault="00F43566" w:rsidP="00F43566">
      <w:pPr>
        <w:pStyle w:val="Point0"/>
        <w:rPr>
          <w:noProof/>
        </w:rPr>
      </w:pPr>
      <w:r>
        <w:rPr>
          <w:noProof/>
        </w:rPr>
        <w:t>12)</w:t>
      </w:r>
      <w:r>
        <w:rPr>
          <w:noProof/>
        </w:rPr>
        <w:tab/>
      </w:r>
      <w:r w:rsidR="00A84E1F" w:rsidRPr="00D965A5">
        <w:rPr>
          <w:noProof/>
        </w:rPr>
        <w:t>Jäsenvaltioiden tulisi toteuttaa toimenpiteitä, joilla tuetaan pitkäaikaishoitoa tarvitsevien vammaisten ja/tai ikääntyneiden henkilöiden, erityisesti köyhyysvaarassa olevien, asuntojen mukauttamista. Tavoitteena on mahdollistaa asuminen kotona mahdollisimman pitkään ja siten välttää asuntomarkkinoilta syrjäytyminen. Nämä toimenpiteet olisi suunniteltava siten, että vältetään kohtuuttomat rakennus- ja kunnostustaakat.</w:t>
      </w:r>
    </w:p>
    <w:p w14:paraId="65BD3D31" w14:textId="77777777" w:rsidR="008D7050" w:rsidRPr="00D965A5" w:rsidRDefault="00397957" w:rsidP="00AC509C">
      <w:pPr>
        <w:spacing w:before="240" w:after="160"/>
        <w:ind w:left="720" w:hanging="720"/>
        <w:rPr>
          <w:noProof/>
        </w:rPr>
      </w:pPr>
      <w:r w:rsidRPr="00D965A5">
        <w:rPr>
          <w:noProof/>
        </w:rPr>
        <w:lastRenderedPageBreak/>
        <w:t xml:space="preserve">SEURANTA, ARVIOINTI JA HALLINTO </w:t>
      </w:r>
      <w:r w:rsidRPr="00D965A5">
        <w:rPr>
          <w:noProof/>
        </w:rPr>
        <w:tab/>
        <w:t xml:space="preserve"> </w:t>
      </w:r>
    </w:p>
    <w:p w14:paraId="27E16163" w14:textId="24B1B8C4" w:rsidR="00C0191B" w:rsidRPr="00D965A5" w:rsidRDefault="00F43566" w:rsidP="00F43566">
      <w:pPr>
        <w:pStyle w:val="Point0"/>
        <w:rPr>
          <w:noProof/>
        </w:rPr>
      </w:pPr>
      <w:r>
        <w:rPr>
          <w:noProof/>
        </w:rPr>
        <w:t>13)</w:t>
      </w:r>
      <w:r>
        <w:rPr>
          <w:noProof/>
        </w:rPr>
        <w:tab/>
      </w:r>
      <w:r w:rsidR="006A74A8" w:rsidRPr="00D965A5">
        <w:rPr>
          <w:noProof/>
        </w:rPr>
        <w:t xml:space="preserve">Neuvosto suosittelee, että jäsenvaltiot: </w:t>
      </w:r>
      <w:r w:rsidR="006A74A8" w:rsidRPr="00D965A5">
        <w:rPr>
          <w:noProof/>
        </w:rPr>
        <w:tab/>
      </w:r>
    </w:p>
    <w:p w14:paraId="0C61CB9D" w14:textId="26D77ACF" w:rsidR="002A4C4C" w:rsidRPr="00D965A5" w:rsidRDefault="00F43566" w:rsidP="00F43566">
      <w:pPr>
        <w:pStyle w:val="Point1"/>
        <w:rPr>
          <w:noProof/>
        </w:rPr>
      </w:pPr>
      <w:r>
        <w:rPr>
          <w:noProof/>
        </w:rPr>
        <w:t>a)</w:t>
      </w:r>
      <w:r>
        <w:rPr>
          <w:noProof/>
        </w:rPr>
        <w:tab/>
      </w:r>
      <w:r w:rsidR="00996482" w:rsidRPr="00D965A5">
        <w:rPr>
          <w:noProof/>
        </w:rPr>
        <w:t>ottaisivat käyttöön tulosindikaattoreihin perustuvia kohdennettuja seuranta- ja arviointimekanismeja, joilla arvioidaan asuntomarkkinoilta syrjäytymisen ja asunnottomuuden torjuntaa koskevien strategioiden tehokkuutta, ja toteuttaisivat tarvittaessa poliittisia mukautuksia lisäämättä hallinnollista rasitetta;</w:t>
      </w:r>
    </w:p>
    <w:p w14:paraId="1ECD05CD" w14:textId="0DF8F894" w:rsidR="00036415" w:rsidRPr="00D965A5" w:rsidRDefault="00F43566" w:rsidP="00F43566">
      <w:pPr>
        <w:pStyle w:val="Point1"/>
        <w:rPr>
          <w:noProof/>
        </w:rPr>
      </w:pPr>
      <w:r>
        <w:rPr>
          <w:noProof/>
        </w:rPr>
        <w:t>b)</w:t>
      </w:r>
      <w:r>
        <w:rPr>
          <w:noProof/>
        </w:rPr>
        <w:tab/>
      </w:r>
      <w:r w:rsidR="00A85832" w:rsidRPr="00D965A5">
        <w:rPr>
          <w:noProof/>
        </w:rPr>
        <w:t>raportoisivat komissiolle viiden vuoden välein kansallisten seurantatoimiensa tuloksista ja tämän suosituksen täytäntöönpanon edistymisestä;</w:t>
      </w:r>
    </w:p>
    <w:p w14:paraId="3A64530E" w14:textId="5D19C97C" w:rsidR="00262C69" w:rsidRPr="00D965A5" w:rsidRDefault="00F43566" w:rsidP="00F43566">
      <w:pPr>
        <w:pStyle w:val="Point1"/>
        <w:rPr>
          <w:noProof/>
        </w:rPr>
      </w:pPr>
      <w:r>
        <w:rPr>
          <w:noProof/>
        </w:rPr>
        <w:t>c)</w:t>
      </w:r>
      <w:r>
        <w:rPr>
          <w:noProof/>
        </w:rPr>
        <w:tab/>
      </w:r>
      <w:r w:rsidR="00FA6494" w:rsidRPr="00D965A5">
        <w:rPr>
          <w:noProof/>
        </w:rPr>
        <w:t xml:space="preserve">varmistaisivat tehokkaan monitasoisen hallinnon ja koordinoinnin kansallisten, alueellisten ja paikallisten viranomaisten välillä sekä yhteistyön asiaankuuluvien sidosryhmien kanssa, mukaan lukien yliopistot, ammatillisen koulutuksen järjestäjät, paikalliset työnantajat, kansalaisyhteiskunta, yhteisötalouden organisaatiot ja asuntojen tarjoajat; </w:t>
      </w:r>
    </w:p>
    <w:p w14:paraId="35D301CD" w14:textId="36247C5B" w:rsidR="001E776B" w:rsidRPr="00D965A5" w:rsidRDefault="00F43566" w:rsidP="00F43566">
      <w:pPr>
        <w:pStyle w:val="Point1"/>
        <w:rPr>
          <w:noProof/>
        </w:rPr>
      </w:pPr>
      <w:r>
        <w:rPr>
          <w:noProof/>
        </w:rPr>
        <w:t>d)</w:t>
      </w:r>
      <w:r>
        <w:rPr>
          <w:noProof/>
        </w:rPr>
        <w:tab/>
      </w:r>
      <w:r w:rsidR="005D1F00" w:rsidRPr="00D965A5">
        <w:rPr>
          <w:noProof/>
        </w:rPr>
        <w:t xml:space="preserve">yksinkertaistaisivat oikeudellisia ja hallinnollisia kehyksiä hallinnollisen taakan keventämiseksi ja varmistaisivat asuntojen ja niihin liittyvien sosiaali-, terveys‑, koulutus-, työllisyys- ja yhteisöpohjaisten tukipalvelujen oikea-aikaisen, yksinkertaistetun saatavuuden; </w:t>
      </w:r>
    </w:p>
    <w:p w14:paraId="7AF8D469" w14:textId="51D68597" w:rsidR="001A14DB" w:rsidRPr="00D965A5" w:rsidRDefault="00F43566" w:rsidP="00F43566">
      <w:pPr>
        <w:pStyle w:val="Point1"/>
        <w:rPr>
          <w:noProof/>
        </w:rPr>
      </w:pPr>
      <w:r>
        <w:rPr>
          <w:noProof/>
        </w:rPr>
        <w:t>e)</w:t>
      </w:r>
      <w:r>
        <w:rPr>
          <w:noProof/>
        </w:rPr>
        <w:tab/>
      </w:r>
      <w:r w:rsidR="005D1F00" w:rsidRPr="00D965A5">
        <w:rPr>
          <w:noProof/>
        </w:rPr>
        <w:t xml:space="preserve">vahvistaisivat sellaisten palvelujen valmiuksia ja laatua, joiden tarkoituksena on tukea asuntomarkkinoilta syrjäytyneitä yksilöitä, muun muassa kouluttamalla palveluja tarjoavaa henkilöstöä selkeään vastuunjakoon ja riittävien resurssien jakamiseen;  </w:t>
      </w:r>
    </w:p>
    <w:p w14:paraId="36F9B02A" w14:textId="139467AA" w:rsidR="00E43826" w:rsidRPr="00D965A5" w:rsidRDefault="00F43566" w:rsidP="00F43566">
      <w:pPr>
        <w:pStyle w:val="Point1"/>
        <w:rPr>
          <w:noProof/>
        </w:rPr>
      </w:pPr>
      <w:r>
        <w:rPr>
          <w:noProof/>
        </w:rPr>
        <w:t>f)</w:t>
      </w:r>
      <w:r>
        <w:rPr>
          <w:noProof/>
        </w:rPr>
        <w:tab/>
      </w:r>
      <w:r w:rsidR="00B0288F" w:rsidRPr="00D965A5">
        <w:rPr>
          <w:noProof/>
        </w:rPr>
        <w:t xml:space="preserve">varmistaisivat asuntomarkkinoilta syrjäytymisen ja asunnottomuuden ehkäisemistä ja vähentämistä koskevien politiikkojen suunnittelussa, täytäntöönpanossa ja arvioinnissa, että työssä huomioidaan merkityksellisellä tavalla asuntomarkkinoilta syrjäytymistä ja asunnottomuutta kokeneet henkilöt, kansalaisyhteiskunnan järjestöt etenkin paikallistasolla ja yhteisötalouden organisaatiot, mukaan lukien ruokapankit; </w:t>
      </w:r>
    </w:p>
    <w:p w14:paraId="23E80404" w14:textId="2CFEC611" w:rsidR="00701068" w:rsidRPr="00D965A5" w:rsidRDefault="00F43566" w:rsidP="00F43566">
      <w:pPr>
        <w:pStyle w:val="Point1"/>
        <w:rPr>
          <w:noProof/>
        </w:rPr>
      </w:pPr>
      <w:r>
        <w:rPr>
          <w:noProof/>
        </w:rPr>
        <w:t>g)</w:t>
      </w:r>
      <w:r>
        <w:rPr>
          <w:noProof/>
        </w:rPr>
        <w:tab/>
      </w:r>
      <w:r w:rsidR="00000AF8" w:rsidRPr="00D965A5">
        <w:rPr>
          <w:noProof/>
        </w:rPr>
        <w:t xml:space="preserve">edistäisivät aktiivisesti asunnottomuuden vähentämistä käsittelevän eurooppalaisen foorumin toimintaa keskeisenä sidosryhmien välisen koordinoinnin, vaihdon ja yhteistyön alustana erityisesti jakamalla tietoa, keräämällä näyttöä ja helpottamalla rahoituksen saatavuutta sekä toimisivat tiiviissä yhteistyössä eurooppalaisen asuntoallianssin työvirtojen kanssa; </w:t>
      </w:r>
    </w:p>
    <w:p w14:paraId="16EECF3E" w14:textId="0F720BE0" w:rsidR="00952544" w:rsidRPr="00D965A5" w:rsidRDefault="00F43566" w:rsidP="00F43566">
      <w:pPr>
        <w:pStyle w:val="Point1"/>
        <w:rPr>
          <w:noProof/>
        </w:rPr>
      </w:pPr>
      <w:r>
        <w:rPr>
          <w:noProof/>
        </w:rPr>
        <w:t>h)</w:t>
      </w:r>
      <w:r>
        <w:rPr>
          <w:noProof/>
        </w:rPr>
        <w:tab/>
      </w:r>
      <w:r w:rsidR="001E5824" w:rsidRPr="00D965A5">
        <w:rPr>
          <w:noProof/>
        </w:rPr>
        <w:t>jatkaisivat yhteistyötä muiden jäsenvaltioiden sekä eri alueellisilla tasoilla toimivien yksityisten ja julkisten sidosryhmien kanssa tukeakseen tiedon jakamista, edistääkseen keskinäistä oppimista, varmistaakseen johdonmukaisen palvelujen tarjoamisen, vaihtaakseen parhaita käytäntöjä sekä varmistaakseen tehokkaan politiikan suunnittelun ja täytäntöönpanon asuntomarkkinoilta syrjäytymisen alalla;</w:t>
      </w:r>
    </w:p>
    <w:p w14:paraId="6291436E" w14:textId="744A3A4B" w:rsidR="008A2BBE" w:rsidRPr="00D965A5" w:rsidRDefault="00F43566" w:rsidP="00F43566">
      <w:pPr>
        <w:pStyle w:val="Point1"/>
        <w:rPr>
          <w:noProof/>
        </w:rPr>
      </w:pPr>
      <w:r>
        <w:rPr>
          <w:noProof/>
        </w:rPr>
        <w:t>i)</w:t>
      </w:r>
      <w:r>
        <w:rPr>
          <w:noProof/>
        </w:rPr>
        <w:tab/>
      </w:r>
      <w:r w:rsidR="00796E11" w:rsidRPr="00D965A5">
        <w:rPr>
          <w:noProof/>
        </w:rPr>
        <w:t xml:space="preserve">vahvistaisivat yhteistyötä EU:n neuvoa-antavien elinten (alueiden komitea ja Euroopan talous- ja sosiaalikomitea) kanssa keskinäisen oppimisen, vertaisarviointien ja asuntomarkkinoilta syrjäytymiseen liittyvien poliittisten synergioiden parantamiseksi; </w:t>
      </w:r>
    </w:p>
    <w:p w14:paraId="79D4BEDB" w14:textId="02802E51" w:rsidR="004723B1" w:rsidRPr="00D965A5" w:rsidRDefault="00F43566" w:rsidP="00F43566">
      <w:pPr>
        <w:pStyle w:val="Point1"/>
        <w:rPr>
          <w:noProof/>
        </w:rPr>
      </w:pPr>
      <w:r>
        <w:rPr>
          <w:noProof/>
        </w:rPr>
        <w:t>j)</w:t>
      </w:r>
      <w:r>
        <w:rPr>
          <w:noProof/>
        </w:rPr>
        <w:tab/>
      </w:r>
      <w:r w:rsidR="00A42B4B" w:rsidRPr="00D965A5">
        <w:rPr>
          <w:noProof/>
        </w:rPr>
        <w:t xml:space="preserve">edistäisivät sellaisten työmarkkinaosapuolten ja kansalaisyhteiskunnan järjestöjen osallistumista, joilla on keskeinen rooli asuntomarkkinoilta syrjäytymisen torjunnassa, jotta varmistetaan, että EU:n politiikat heijastavat </w:t>
      </w:r>
      <w:r w:rsidR="00A42B4B" w:rsidRPr="00D965A5">
        <w:rPr>
          <w:noProof/>
        </w:rPr>
        <w:lastRenderedPageBreak/>
        <w:t>käytännön todellisuutta; tätä tarkoitusta varten työhön otetaan mukaan henkilöitä, joilla on omakohtaista kokemusta asuntomarkkinoilta syrjäytymisestä.</w:t>
      </w:r>
    </w:p>
    <w:p w14:paraId="71AAC6F9" w14:textId="77777777" w:rsidR="00C80E8D" w:rsidRPr="00D965A5" w:rsidRDefault="00C80E8D" w:rsidP="00600F3F">
      <w:pPr>
        <w:rPr>
          <w:noProof/>
        </w:rPr>
      </w:pPr>
    </w:p>
    <w:p w14:paraId="3FA0428E" w14:textId="47E05379" w:rsidR="00C578AE" w:rsidRPr="00D965A5" w:rsidRDefault="00D965A5" w:rsidP="00D61172">
      <w:pPr>
        <w:pStyle w:val="Fait"/>
        <w:rPr>
          <w:noProof/>
        </w:rPr>
      </w:pPr>
      <w:r>
        <w:rPr>
          <w:noProof/>
        </w:rPr>
        <w:t>Tehty Brysselissä</w:t>
      </w:r>
    </w:p>
    <w:p w14:paraId="0226246C" w14:textId="77777777" w:rsidR="00C578AE" w:rsidRPr="00D965A5" w:rsidRDefault="00C578AE" w:rsidP="00D61172">
      <w:pPr>
        <w:pStyle w:val="Institutionquisigne"/>
        <w:rPr>
          <w:noProof/>
        </w:rPr>
      </w:pPr>
      <w:r w:rsidRPr="00D965A5">
        <w:rPr>
          <w:noProof/>
        </w:rPr>
        <w:tab/>
        <w:t>Neuvoston puolesta</w:t>
      </w:r>
    </w:p>
    <w:p w14:paraId="0C4FE6C1" w14:textId="77777777" w:rsidR="00FE2376" w:rsidRPr="00D965A5" w:rsidRDefault="00C578AE" w:rsidP="00B23038">
      <w:pPr>
        <w:pStyle w:val="Personnequisigne"/>
        <w:rPr>
          <w:noProof/>
        </w:rPr>
      </w:pPr>
      <w:r w:rsidRPr="00D965A5">
        <w:rPr>
          <w:noProof/>
        </w:rPr>
        <w:tab/>
        <w:t>Puheenjohtaja</w:t>
      </w:r>
    </w:p>
    <w:sectPr w:rsidR="00FE2376" w:rsidRPr="00D965A5" w:rsidSect="002B4D00">
      <w:headerReference w:type="even" r:id="rId12"/>
      <w:footerReference w:type="even" r:id="rId13"/>
      <w:footerReference w:type="default" r:id="rId14"/>
      <w:headerReference w:type="first" r:id="rId15"/>
      <w:footerReference w:type="first" r:id="rId16"/>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6A266" w14:textId="77777777" w:rsidR="00066DF5" w:rsidRDefault="00066DF5" w:rsidP="00C578AE">
      <w:pPr>
        <w:spacing w:before="0" w:after="0"/>
      </w:pPr>
      <w:r>
        <w:separator/>
      </w:r>
    </w:p>
  </w:endnote>
  <w:endnote w:type="continuationSeparator" w:id="0">
    <w:p w14:paraId="5CF175CA" w14:textId="77777777" w:rsidR="00066DF5" w:rsidRDefault="00066DF5" w:rsidP="00C578A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02DFA" w14:textId="78E4B059" w:rsidR="002B4D00" w:rsidRPr="002B4D00" w:rsidRDefault="002B4D00" w:rsidP="002B4D00">
    <w:pPr>
      <w:pStyle w:val="Footer"/>
      <w:rPr>
        <w:rFonts w:ascii="Arial" w:hAnsi="Arial" w:cs="Arial"/>
        <w:b/>
        <w:sz w:val="48"/>
      </w:rPr>
    </w:pPr>
    <w:r w:rsidRPr="002B4D00">
      <w:rPr>
        <w:rFonts w:ascii="Arial" w:hAnsi="Arial" w:cs="Arial"/>
        <w:b/>
        <w:sz w:val="48"/>
      </w:rPr>
      <w:t>FI</w:t>
    </w:r>
    <w:r w:rsidRPr="002B4D00">
      <w:rPr>
        <w:rFonts w:ascii="Arial" w:hAnsi="Arial" w:cs="Arial"/>
        <w:b/>
        <w:sz w:val="48"/>
      </w:rPr>
      <w:tab/>
    </w:r>
    <w:r w:rsidRPr="002B4D00">
      <w:rPr>
        <w:rFonts w:ascii="Arial" w:hAnsi="Arial" w:cs="Arial"/>
        <w:b/>
        <w:sz w:val="48"/>
      </w:rPr>
      <w:tab/>
    </w:r>
    <w:r w:rsidRPr="002B4D00">
      <w:tab/>
    </w:r>
    <w:r w:rsidRPr="002B4D00">
      <w:rPr>
        <w:rFonts w:ascii="Arial" w:hAnsi="Arial" w:cs="Arial"/>
        <w:b/>
        <w:sz w:val="48"/>
      </w:rPr>
      <w:t>FI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8B26B" w14:textId="4EBB9013" w:rsidR="002B4D00" w:rsidRPr="002B4D00" w:rsidRDefault="002B4D00" w:rsidP="002B4D00">
    <w:pPr>
      <w:pStyle w:val="Footer"/>
      <w:rPr>
        <w:rFonts w:ascii="Arial" w:hAnsi="Arial" w:cs="Arial"/>
        <w:b/>
        <w:sz w:val="48"/>
      </w:rPr>
    </w:pPr>
    <w:r w:rsidRPr="002B4D00">
      <w:rPr>
        <w:rFonts w:ascii="Arial" w:hAnsi="Arial" w:cs="Arial"/>
        <w:b/>
        <w:sz w:val="48"/>
      </w:rPr>
      <w:t>FI</w:t>
    </w:r>
    <w:r w:rsidRPr="002B4D00">
      <w:rPr>
        <w:rFonts w:ascii="Arial" w:hAnsi="Arial" w:cs="Arial"/>
        <w:b/>
        <w:sz w:val="48"/>
      </w:rPr>
      <w:tab/>
    </w:r>
    <w:r w:rsidRPr="002B4D00">
      <w:rPr>
        <w:rFonts w:ascii="Arial" w:hAnsi="Arial" w:cs="Arial"/>
        <w:b/>
        <w:sz w:val="48"/>
      </w:rPr>
      <w:tab/>
    </w:r>
    <w:r w:rsidRPr="002B4D00">
      <w:tab/>
    </w:r>
    <w:r w:rsidRPr="002B4D00">
      <w:rPr>
        <w:rFonts w:ascii="Arial" w:hAnsi="Arial" w:cs="Arial"/>
        <w:b/>
        <w:sz w:val="48"/>
      </w:rPr>
      <w:t>FI</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9485C" w14:textId="77777777" w:rsidR="002B4D00" w:rsidRDefault="002B4D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24731" w14:textId="53BBF3F0" w:rsidR="002B4D00" w:rsidRPr="002B4D00" w:rsidRDefault="002B4D00" w:rsidP="002B4D00">
    <w:pPr>
      <w:pStyle w:val="Footer"/>
      <w:rPr>
        <w:rFonts w:ascii="Arial" w:hAnsi="Arial" w:cs="Arial"/>
        <w:b/>
        <w:sz w:val="48"/>
      </w:rPr>
    </w:pPr>
    <w:r w:rsidRPr="002B4D00">
      <w:rPr>
        <w:rFonts w:ascii="Arial" w:hAnsi="Arial" w:cs="Arial"/>
        <w:b/>
        <w:sz w:val="48"/>
      </w:rPr>
      <w:t>FI</w:t>
    </w:r>
    <w:r w:rsidRPr="002B4D00">
      <w:rPr>
        <w:rFonts w:ascii="Arial" w:hAnsi="Arial" w:cs="Arial"/>
        <w:b/>
        <w:sz w:val="48"/>
      </w:rPr>
      <w:tab/>
    </w:r>
    <w:r>
      <w:fldChar w:fldCharType="begin"/>
    </w:r>
    <w:r>
      <w:instrText xml:space="preserve"> PAGE  \* MERGEFORMAT </w:instrText>
    </w:r>
    <w:r>
      <w:fldChar w:fldCharType="separate"/>
    </w:r>
    <w:r w:rsidR="00D61172">
      <w:rPr>
        <w:noProof/>
      </w:rPr>
      <w:t>32</w:t>
    </w:r>
    <w:r>
      <w:fldChar w:fldCharType="end"/>
    </w:r>
    <w:r>
      <w:tab/>
    </w:r>
    <w:r w:rsidRPr="002B4D00">
      <w:tab/>
    </w:r>
    <w:r w:rsidRPr="002B4D00">
      <w:rPr>
        <w:rFonts w:ascii="Arial" w:hAnsi="Arial" w:cs="Arial"/>
        <w:b/>
        <w:sz w:val="48"/>
      </w:rPr>
      <w:t>FI</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A5BA2" w14:textId="77777777" w:rsidR="002B4D00" w:rsidRDefault="002B4D00" w:rsidP="002B4D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BE7DD" w14:textId="77777777" w:rsidR="00066DF5" w:rsidRDefault="00066DF5" w:rsidP="00C578AE">
      <w:pPr>
        <w:spacing w:before="0" w:after="0"/>
      </w:pPr>
      <w:r>
        <w:separator/>
      </w:r>
    </w:p>
  </w:footnote>
  <w:footnote w:type="continuationSeparator" w:id="0">
    <w:p w14:paraId="376906E8" w14:textId="77777777" w:rsidR="00066DF5" w:rsidRDefault="00066DF5" w:rsidP="00C578AE">
      <w:pPr>
        <w:spacing w:before="0" w:after="0"/>
      </w:pPr>
      <w:r>
        <w:continuationSeparator/>
      </w:r>
    </w:p>
  </w:footnote>
  <w:footnote w:id="1">
    <w:p w14:paraId="5CAE49DF" w14:textId="7ECCD8DB" w:rsidR="003F718C" w:rsidRPr="00D965A5" w:rsidRDefault="003F718C" w:rsidP="00ED7527">
      <w:pPr>
        <w:pStyle w:val="FootnoteText"/>
        <w:ind w:left="142" w:hanging="142"/>
      </w:pPr>
      <w:r>
        <w:rPr>
          <w:rStyle w:val="FootnoteReference"/>
        </w:rPr>
        <w:footnoteRef/>
      </w:r>
      <w:r w:rsidRPr="00D965A5">
        <w:tab/>
        <w:t xml:space="preserve">Laatuvaatimusten mukainen asuminen täyttää vähimmäisvaatimukset, joiden mukaan asuntoa voidaan pitää asuinkelpoisena, turvallisena ja laillisesti vaatimustenmukaisena. Nämä vaatimukset pannaan täytäntöön usein paikallisilla asumismääräyksillä, ja niissä edellytetään asunnoilta rakenteellista vakautta, sanitaatiopalveluita ja paloturvallisuutta. Oikeusturvalla viitataan hallintaoikeuksien varmuuteen. </w:t>
      </w:r>
    </w:p>
  </w:footnote>
  <w:footnote w:id="2">
    <w:p w14:paraId="2554E3C7" w14:textId="38D7FE63" w:rsidR="00CB6B20" w:rsidRPr="00D965A5" w:rsidRDefault="00CB6B20" w:rsidP="00AD7C37">
      <w:pPr>
        <w:spacing w:before="0" w:after="0"/>
        <w:ind w:left="142" w:hanging="142"/>
        <w:rPr>
          <w:sz w:val="20"/>
          <w:szCs w:val="20"/>
        </w:rPr>
      </w:pPr>
      <w:r>
        <w:rPr>
          <w:rStyle w:val="FootnoteReference"/>
        </w:rPr>
        <w:footnoteRef/>
      </w:r>
      <w:r w:rsidRPr="00D965A5">
        <w:tab/>
      </w:r>
      <w:r w:rsidRPr="00D965A5">
        <w:rPr>
          <w:sz w:val="20"/>
        </w:rPr>
        <w:t xml:space="preserve">Nämä luokat kuuluvat ETHOS-luokitukseen eli asunnottomuuden ja asuntomarkkinoilta syrjäytymisen muotojen eurooppalaiseen luokitukseen.  ETHOS kehitettiin puitteiksi, joiden avulla voidaan parantaa asunnottomuuden ymmärtämistä ja mittaamista Euroopassa ja tarjota yhteinen ”kieli” asunnottomuutta koskevaa kansainvälistä tietojenvaihtoa varten. ETHOS-luokitus kattaa kaikki asumistilanteet, jotka ovat asunnottomuuden ja asuntomarkkinoilta syrjäytymisen muotoja. </w:t>
      </w:r>
    </w:p>
  </w:footnote>
  <w:footnote w:id="3">
    <w:p w14:paraId="44B3151F" w14:textId="2F09DCF6" w:rsidR="006D1C2D" w:rsidRPr="00D965A5" w:rsidRDefault="006D1C2D" w:rsidP="00AA7C7F">
      <w:pPr>
        <w:pStyle w:val="FootnoteText"/>
        <w:ind w:left="142" w:hanging="142"/>
      </w:pPr>
      <w:r>
        <w:rPr>
          <w:rStyle w:val="FootnoteReference"/>
        </w:rPr>
        <w:footnoteRef/>
      </w:r>
      <w:r w:rsidRPr="00D965A5">
        <w:tab/>
      </w:r>
      <w:hyperlink r:id="rId1" w:history="1">
        <w:r w:rsidRPr="00D965A5">
          <w:rPr>
            <w:rStyle w:val="Hyperlink"/>
          </w:rPr>
          <w:t>OECD:n tietokanta kohtuuhintaisesta asumisesta: ”OECD Affordable Housing Database” |</w:t>
        </w:r>
      </w:hyperlink>
      <w:hyperlink r:id="rId2" w:history="1">
        <w:r w:rsidRPr="00D965A5">
          <w:rPr>
            <w:rStyle w:val="Hyperlink"/>
          </w:rPr>
          <w:t xml:space="preserve"> OECD</w:t>
        </w:r>
      </w:hyperlink>
      <w:r w:rsidRPr="00D965A5">
        <w:t>.</w:t>
      </w:r>
    </w:p>
  </w:footnote>
  <w:footnote w:id="4">
    <w:p w14:paraId="253E1936" w14:textId="36FF3F5C" w:rsidR="00FE3E15" w:rsidRPr="00D965A5" w:rsidRDefault="00FE3E15" w:rsidP="00401D75">
      <w:pPr>
        <w:pStyle w:val="FootnoteText"/>
        <w:ind w:left="142" w:hanging="142"/>
      </w:pPr>
      <w:r>
        <w:rPr>
          <w:rStyle w:val="FootnoteReference"/>
        </w:rPr>
        <w:footnoteRef/>
      </w:r>
      <w:r w:rsidRPr="00D965A5">
        <w:tab/>
        <w:t>EU-SILC-tilastot ovat Euroopan unionin tulo- ja elinolotilastoja. Kyseessä on EU:n jäsenvaltioissa ja joissakin EU:n ulkopuolisissa maissa vuodesta 2003 lähtien toteutettu yhdenmukaistettu vuosittainen kyselytutkimus, jossa kerätään vertailevia, moniulotteisia, pitkittäisiä ja poikittaisia mikrotietoja tuloista, köyhyydestä, sosiaalisesta syrjäytymisestä ja asumisolosuhteista.</w:t>
      </w:r>
    </w:p>
  </w:footnote>
  <w:footnote w:id="5">
    <w:p w14:paraId="5A59E304" w14:textId="7B9F42A9" w:rsidR="00FE3E15" w:rsidRPr="00D965A5" w:rsidRDefault="00FE3E15" w:rsidP="00AA7C7F">
      <w:pPr>
        <w:pStyle w:val="FootnoteText"/>
        <w:ind w:left="142" w:hanging="142"/>
      </w:pPr>
      <w:r>
        <w:rPr>
          <w:rStyle w:val="FootnoteReference"/>
        </w:rPr>
        <w:footnoteRef/>
      </w:r>
      <w:r w:rsidRPr="00D965A5">
        <w:tab/>
      </w:r>
      <w:hyperlink r:id="rId3" w:history="1">
        <w:r w:rsidRPr="00D965A5">
          <w:rPr>
            <w:rStyle w:val="Hyperlink"/>
          </w:rPr>
          <w:t>https://ec.europa.eu/eurostat/statistics-explained/SEPDF/cache/132338.pdf</w:t>
        </w:r>
      </w:hyperlink>
      <w:r w:rsidRPr="00D965A5">
        <w:t xml:space="preserve">. </w:t>
      </w:r>
    </w:p>
  </w:footnote>
  <w:footnote w:id="6">
    <w:p w14:paraId="4566E559" w14:textId="483364BD" w:rsidR="00DE3B8C" w:rsidRPr="00D965A5" w:rsidRDefault="00DE3B8C" w:rsidP="00AA7C7F">
      <w:pPr>
        <w:pStyle w:val="FootnoteText"/>
        <w:ind w:left="142" w:hanging="142"/>
      </w:pPr>
      <w:r>
        <w:rPr>
          <w:rStyle w:val="FootnoteReference"/>
        </w:rPr>
        <w:footnoteRef/>
      </w:r>
      <w:r w:rsidRPr="00D965A5">
        <w:tab/>
      </w:r>
      <w:hyperlink r:id="rId4" w:history="1">
        <w:r w:rsidRPr="00D965A5">
          <w:rPr>
            <w:rStyle w:val="Hyperlink"/>
          </w:rPr>
          <w:t>https://eur-lex.europa.eu/legal-content/FI/TXT/?uri=CELEX%3A52021DC0345</w:t>
        </w:r>
      </w:hyperlink>
      <w:r w:rsidRPr="00D965A5">
        <w:t xml:space="preserve">. </w:t>
      </w:r>
    </w:p>
  </w:footnote>
  <w:footnote w:id="7">
    <w:p w14:paraId="256993FB" w14:textId="564FDC12" w:rsidR="00AC17F8" w:rsidRPr="00F43566" w:rsidRDefault="0002616A" w:rsidP="00AA7C7F">
      <w:pPr>
        <w:pStyle w:val="FootnoteText"/>
        <w:ind w:left="142" w:hanging="142"/>
        <w:rPr>
          <w:lang w:val="en-IE"/>
        </w:rPr>
      </w:pPr>
      <w:r>
        <w:rPr>
          <w:rStyle w:val="FootnoteReference"/>
        </w:rPr>
        <w:footnoteRef/>
      </w:r>
      <w:r w:rsidRPr="00F43566">
        <w:rPr>
          <w:lang w:val="en-IE"/>
        </w:rPr>
        <w:tab/>
        <w:t>O’Sullivan, E., ”Key Elements in Homelessness Strategies to End Homelessness by 2030”, School of Social Work and Social Policy, Trinity College Dublin, Irlanti.</w:t>
      </w:r>
    </w:p>
    <w:p w14:paraId="5E5EB9AE" w14:textId="77777777" w:rsidR="00741198" w:rsidRPr="00F43566" w:rsidRDefault="00AC17F8" w:rsidP="00AD7C37">
      <w:pPr>
        <w:pStyle w:val="FootnoteText"/>
        <w:ind w:left="142" w:hanging="142"/>
        <w:rPr>
          <w:lang w:val="en-IE"/>
        </w:rPr>
      </w:pPr>
      <w:r w:rsidRPr="00F43566">
        <w:rPr>
          <w:lang w:val="en-IE"/>
        </w:rPr>
        <w:t xml:space="preserve"> Mackie, P., ”Preventive Measures against Homelessness and Housing Exclusion”, School of Geography and</w:t>
      </w:r>
    </w:p>
    <w:p w14:paraId="73063C92" w14:textId="77777777" w:rsidR="009A20E4" w:rsidRPr="00F422C3" w:rsidRDefault="009A20E4" w:rsidP="009F4E22">
      <w:pPr>
        <w:pStyle w:val="FootnoteText"/>
        <w:ind w:left="142" w:hanging="142"/>
      </w:pPr>
      <w:r w:rsidRPr="00F43566">
        <w:rPr>
          <w:lang w:val="en-IE"/>
        </w:rPr>
        <w:t xml:space="preserve">  </w:t>
      </w:r>
      <w:r>
        <w:t>Planning, Cardiff University, Wales, Yhdistynyt kuningaskunta.</w:t>
      </w:r>
    </w:p>
    <w:p w14:paraId="514EB09D" w14:textId="77777777" w:rsidR="00741198" w:rsidRPr="00F43566" w:rsidRDefault="00741198" w:rsidP="00AD7C37">
      <w:pPr>
        <w:pStyle w:val="FootnoteText"/>
        <w:ind w:left="142" w:hanging="142"/>
        <w:rPr>
          <w:lang w:val="en-IE"/>
        </w:rPr>
      </w:pPr>
      <w:r>
        <w:t xml:space="preserve"> </w:t>
      </w:r>
      <w:r w:rsidRPr="00F43566">
        <w:rPr>
          <w:lang w:val="en-IE"/>
        </w:rPr>
        <w:t>Pleace, N., ”Social and healthcare services for homeless people”, Centre for Housing Policy, School for</w:t>
      </w:r>
    </w:p>
    <w:p w14:paraId="52DA4F60" w14:textId="77777777" w:rsidR="0002616A" w:rsidRPr="00F43566" w:rsidRDefault="00A47748" w:rsidP="00AD7C37">
      <w:pPr>
        <w:pStyle w:val="FootnoteText"/>
        <w:ind w:left="142" w:hanging="142"/>
        <w:rPr>
          <w:lang w:val="en-IE"/>
        </w:rPr>
      </w:pPr>
      <w:r w:rsidRPr="00F43566">
        <w:rPr>
          <w:lang w:val="en-IE"/>
        </w:rPr>
        <w:t xml:space="preserve">  Business and Society, University of York, Yhdistynyt kuningaskunta.</w:t>
      </w:r>
    </w:p>
  </w:footnote>
  <w:footnote w:id="8">
    <w:p w14:paraId="1C23F5A3" w14:textId="6303ABB2" w:rsidR="00FD4AC3" w:rsidRPr="00D965A5" w:rsidRDefault="00FD4AC3" w:rsidP="00AA7C7F">
      <w:pPr>
        <w:pStyle w:val="FootnoteText"/>
        <w:ind w:left="142" w:hanging="142"/>
        <w:rPr>
          <w:b/>
          <w:bCs/>
        </w:rPr>
      </w:pPr>
      <w:r>
        <w:rPr>
          <w:rStyle w:val="FootnoteReference"/>
        </w:rPr>
        <w:footnoteRef/>
      </w:r>
      <w:r w:rsidRPr="00D965A5">
        <w:tab/>
      </w:r>
      <w:hyperlink r:id="rId5" w:history="1">
        <w:r w:rsidRPr="00D965A5">
          <w:rPr>
            <w:rStyle w:val="Hyperlink"/>
            <w:color w:val="auto"/>
          </w:rPr>
          <w:t>OECD:n välineistö asunnottomuuden torjuntaan: ”OECD Toolkit to Combat Homelessness” |</w:t>
        </w:r>
      </w:hyperlink>
      <w:hyperlink r:id="rId6" w:history="1">
        <w:r w:rsidRPr="00D965A5">
          <w:rPr>
            <w:rStyle w:val="Hyperlink"/>
            <w:color w:val="auto"/>
          </w:rPr>
          <w:t xml:space="preserve"> OECD</w:t>
        </w:r>
      </w:hyperlink>
      <w:r w:rsidRPr="00D965A5">
        <w:t xml:space="preserve">.   </w:t>
      </w:r>
    </w:p>
  </w:footnote>
  <w:footnote w:id="9">
    <w:p w14:paraId="2A9326F0" w14:textId="73479906" w:rsidR="0002616A" w:rsidRPr="00D965A5" w:rsidRDefault="0002616A" w:rsidP="00AD7C37">
      <w:pPr>
        <w:pStyle w:val="FootnoteText"/>
        <w:ind w:left="142" w:hanging="142"/>
      </w:pPr>
      <w:r>
        <w:rPr>
          <w:rStyle w:val="FootnoteReference"/>
        </w:rPr>
        <w:footnoteRef/>
      </w:r>
      <w:r w:rsidRPr="00D965A5">
        <w:tab/>
      </w:r>
      <w:hyperlink r:id="rId7" w:history="1">
        <w:r w:rsidRPr="00D965A5">
          <w:rPr>
            <w:rStyle w:val="Hyperlink"/>
            <w:color w:val="auto"/>
          </w:rPr>
          <w:t>OECD:n seurantakehys asunnottomuuden mittaamiseen: ”OECD Monitoring Framework to Measure</w:t>
        </w:r>
        <w:bookmarkStart w:id="3" w:name="_Hlt228794208"/>
        <w:bookmarkStart w:id="4" w:name="_Hlt228794209"/>
        <w:bookmarkEnd w:id="3"/>
        <w:bookmarkEnd w:id="4"/>
        <w:r w:rsidRPr="00D965A5">
          <w:rPr>
            <w:rStyle w:val="Hyperlink"/>
            <w:color w:val="auto"/>
          </w:rPr>
          <w:t xml:space="preserve"> Homelessness” |</w:t>
        </w:r>
      </w:hyperlink>
      <w:hyperlink r:id="rId8" w:history="1">
        <w:r w:rsidRPr="00D965A5">
          <w:rPr>
            <w:rStyle w:val="Hyperlink"/>
            <w:color w:val="auto"/>
          </w:rPr>
          <w:t xml:space="preserve"> OECD</w:t>
        </w:r>
      </w:hyperlink>
      <w:r w:rsidRPr="00D965A5">
        <w:t>.</w:t>
      </w:r>
    </w:p>
  </w:footnote>
  <w:footnote w:id="10">
    <w:p w14:paraId="6A498BEB" w14:textId="04D177DA" w:rsidR="001C6EBB" w:rsidRPr="00D965A5" w:rsidRDefault="001C6EBB" w:rsidP="00AA7C7F">
      <w:pPr>
        <w:pStyle w:val="FootnoteText"/>
        <w:ind w:left="142" w:hanging="142"/>
      </w:pPr>
      <w:r>
        <w:rPr>
          <w:rStyle w:val="FootnoteReference"/>
        </w:rPr>
        <w:footnoteRef/>
      </w:r>
      <w:r w:rsidRPr="00D965A5">
        <w:tab/>
      </w:r>
      <w:hyperlink r:id="rId9" w:history="1">
        <w:r w:rsidRPr="00D965A5">
          <w:rPr>
            <w:rStyle w:val="Hyperlink"/>
          </w:rPr>
          <w:t>Asunnottomuuslaskenta: KU Leuven – ”EU – Homelessness Counts”</w:t>
        </w:r>
      </w:hyperlink>
      <w:r w:rsidRPr="00D965A5">
        <w:t>.</w:t>
      </w:r>
    </w:p>
  </w:footnote>
  <w:footnote w:id="11">
    <w:p w14:paraId="15201A41" w14:textId="6AE0BEEE" w:rsidR="001A7991" w:rsidRPr="00D965A5" w:rsidRDefault="001A7991" w:rsidP="00AA7C7F">
      <w:pPr>
        <w:pStyle w:val="FootnoteText"/>
        <w:ind w:left="142" w:hanging="142"/>
      </w:pPr>
      <w:r>
        <w:rPr>
          <w:rStyle w:val="FootnoteReference"/>
        </w:rPr>
        <w:footnoteRef/>
      </w:r>
      <w:r w:rsidRPr="00D965A5">
        <w:tab/>
        <w:t xml:space="preserve">ETHOS Light on yksinkertaistettu, yhdenmukaistettu eurooppalainen kehys, jolla mitataan asunnottomuutta ja asuntomarkkinoilta syrjäytymistä ja jonka tarkoituksena on tunnistaa asunnottomuuden eri muotoja. </w:t>
      </w:r>
    </w:p>
  </w:footnote>
  <w:footnote w:id="12">
    <w:p w14:paraId="1432AD59" w14:textId="75C5FD31" w:rsidR="0002616A" w:rsidRPr="00F43566" w:rsidRDefault="0002616A" w:rsidP="00AA7C7F">
      <w:pPr>
        <w:pStyle w:val="FootnoteText"/>
        <w:ind w:left="142" w:hanging="142"/>
        <w:rPr>
          <w:szCs w:val="24"/>
          <w:lang w:val="en-IE"/>
        </w:rPr>
      </w:pPr>
      <w:r>
        <w:rPr>
          <w:rStyle w:val="FootnoteReference"/>
        </w:rPr>
        <w:footnoteRef/>
      </w:r>
      <w:r w:rsidRPr="00F43566">
        <w:rPr>
          <w:lang w:val="en-IE"/>
        </w:rPr>
        <w:tab/>
        <w:t xml:space="preserve">Baptista, I., Perista, P., ja Marlier, E., </w:t>
      </w:r>
      <w:r w:rsidRPr="00F43566">
        <w:rPr>
          <w:i/>
          <w:iCs/>
          <w:lang w:val="en-IE"/>
        </w:rPr>
        <w:t>The fight against homelessness and its links with anti-poverty policies across the European Union</w:t>
      </w:r>
      <w:r w:rsidRPr="00F43566">
        <w:rPr>
          <w:lang w:val="en-IE"/>
        </w:rPr>
        <w:t xml:space="preserve">, European Social Policy Analysis Network (ESPAN), Euroopan unionin julkaisutoimisto, Luxemburg, </w:t>
      </w:r>
      <w:hyperlink r:id="rId10" w:anchor="description" w:history="1">
        <w:r w:rsidRPr="00F43566">
          <w:rPr>
            <w:rStyle w:val="Hyperlink"/>
            <w:lang w:val="en-IE"/>
          </w:rPr>
          <w:t>https://employment-social-affairs.ec.europa.eu/fight-against-homelessness-and-its-links-anti-poverty-policies-across-european-union_en#description</w:t>
        </w:r>
      </w:hyperlink>
      <w:r w:rsidRPr="00F43566">
        <w:rPr>
          <w:lang w:val="en-IE"/>
        </w:rPr>
        <w:t xml:space="preserve">. </w:t>
      </w:r>
    </w:p>
  </w:footnote>
  <w:footnote w:id="13">
    <w:p w14:paraId="7730D89D" w14:textId="31271626" w:rsidR="001E431A" w:rsidRPr="00F43566" w:rsidRDefault="001E431A" w:rsidP="00AD7C37">
      <w:pPr>
        <w:pStyle w:val="FootnoteText"/>
        <w:ind w:left="142" w:hanging="142"/>
        <w:rPr>
          <w:lang w:val="en-IE"/>
        </w:rPr>
      </w:pPr>
      <w:r>
        <w:rPr>
          <w:rStyle w:val="FootnoteReference"/>
        </w:rPr>
        <w:footnoteRef/>
      </w:r>
      <w:r w:rsidRPr="00F43566">
        <w:rPr>
          <w:lang w:val="en-IE"/>
        </w:rPr>
        <w:tab/>
      </w:r>
      <w:hyperlink r:id="rId11" w:history="1">
        <w:r w:rsidRPr="00F43566">
          <w:rPr>
            <w:rStyle w:val="Hyperlink"/>
            <w:lang w:val="en-IE"/>
          </w:rPr>
          <w:t>https://www.coe.int/en/web/conventions/full-list?module=treaty-detail&amp;treatynum=163</w:t>
        </w:r>
      </w:hyperlink>
      <w:r w:rsidRPr="00F43566">
        <w:rPr>
          <w:lang w:val="en-IE"/>
        </w:rPr>
        <w:t xml:space="preserve">. </w:t>
      </w:r>
    </w:p>
  </w:footnote>
  <w:footnote w:id="14">
    <w:p w14:paraId="27F30276" w14:textId="77777777" w:rsidR="00DD3345" w:rsidRPr="00D965A5" w:rsidRDefault="00DD3345" w:rsidP="00AD7C37">
      <w:pPr>
        <w:pStyle w:val="FootnoteText"/>
        <w:ind w:left="142" w:hanging="142"/>
      </w:pPr>
      <w:r>
        <w:rPr>
          <w:rStyle w:val="FootnoteReference"/>
        </w:rPr>
        <w:footnoteRef/>
      </w:r>
      <w:r w:rsidRPr="00D965A5">
        <w:tab/>
      </w:r>
      <w:hyperlink r:id="rId12" w:history="1">
        <w:r w:rsidRPr="00D965A5">
          <w:rPr>
            <w:rStyle w:val="Hyperlink"/>
          </w:rPr>
          <w:t>Toimielinten välinen julistus Euroopan sosiaalisten oikeuksien pilarista</w:t>
        </w:r>
      </w:hyperlink>
      <w:r w:rsidRPr="00D965A5">
        <w:t xml:space="preserve">. </w:t>
      </w:r>
    </w:p>
  </w:footnote>
  <w:footnote w:id="15">
    <w:p w14:paraId="30B2336C" w14:textId="77777777" w:rsidR="001E431A" w:rsidRPr="00D965A5" w:rsidRDefault="001E431A" w:rsidP="00AD7C37">
      <w:pPr>
        <w:pStyle w:val="FootnoteText"/>
        <w:ind w:left="142" w:hanging="142"/>
      </w:pPr>
      <w:r>
        <w:rPr>
          <w:rStyle w:val="FootnoteReference"/>
        </w:rPr>
        <w:footnoteRef/>
      </w:r>
      <w:r w:rsidRPr="00D965A5">
        <w:tab/>
      </w:r>
      <w:hyperlink r:id="rId13" w:history="1">
        <w:r w:rsidRPr="00D965A5">
          <w:rPr>
            <w:rStyle w:val="Hyperlink"/>
          </w:rPr>
          <w:t>Neuvoston suositus (EU) 2021/1004, annettu 14 päivänä kesäkuuta 2021, eurooppalaisen lapsitakuun perustamisesta</w:t>
        </w:r>
      </w:hyperlink>
      <w:r w:rsidRPr="00D965A5">
        <w:t xml:space="preserve">. </w:t>
      </w:r>
    </w:p>
  </w:footnote>
  <w:footnote w:id="16">
    <w:p w14:paraId="3F6B85CF" w14:textId="77777777" w:rsidR="001E431A" w:rsidRPr="00D965A5" w:rsidRDefault="001E431A" w:rsidP="00AD7C37">
      <w:pPr>
        <w:pStyle w:val="FootnoteText"/>
        <w:ind w:left="142" w:hanging="142"/>
      </w:pPr>
      <w:r>
        <w:rPr>
          <w:rStyle w:val="FootnoteReference"/>
        </w:rPr>
        <w:footnoteRef/>
      </w:r>
      <w:r w:rsidRPr="00D965A5">
        <w:tab/>
      </w:r>
      <w:hyperlink r:id="rId14" w:history="1">
        <w:r w:rsidRPr="00D965A5">
          <w:rPr>
            <w:rStyle w:val="Hyperlink"/>
          </w:rPr>
          <w:t>Neuvoston suositus, annettu 30 päivänä tammikuuta 2023, riittävästä vähimmäistoimeentulosta aktiivisen osallisuuden varmistamiseksi, 2023/C 41/01</w:t>
        </w:r>
      </w:hyperlink>
      <w:r w:rsidRPr="00D965A5">
        <w:t xml:space="preserve">. </w:t>
      </w:r>
    </w:p>
  </w:footnote>
  <w:footnote w:id="17">
    <w:p w14:paraId="1AF92C4B" w14:textId="09DAA583" w:rsidR="002E6FA9" w:rsidRPr="00D965A5" w:rsidRDefault="002E6FA9" w:rsidP="00401D75">
      <w:pPr>
        <w:pStyle w:val="FootnoteText"/>
        <w:ind w:left="142" w:hanging="142"/>
        <w:rPr>
          <w:color w:val="0000FF" w:themeColor="hyperlink"/>
          <w:u w:val="single"/>
        </w:rPr>
      </w:pPr>
      <w:r>
        <w:rPr>
          <w:rStyle w:val="FootnoteReference"/>
        </w:rPr>
        <w:footnoteRef/>
      </w:r>
      <w:r w:rsidRPr="00D965A5">
        <w:tab/>
      </w:r>
      <w:hyperlink r:id="rId15" w:history="1">
        <w:r w:rsidRPr="00D965A5">
          <w:rPr>
            <w:rStyle w:val="Hyperlink"/>
          </w:rPr>
          <w:t>Neuvoston suositus, annettu 27 päivänä marraskuuta 2023, yhteisötalouden toimintaedellytysten kehittämisestä, C/2023/1344</w:t>
        </w:r>
      </w:hyperlink>
      <w:r w:rsidRPr="00D965A5">
        <w:t xml:space="preserve">.  </w:t>
      </w:r>
    </w:p>
  </w:footnote>
  <w:footnote w:id="18">
    <w:p w14:paraId="642507C5" w14:textId="77777777" w:rsidR="00236F4C" w:rsidRPr="00D965A5" w:rsidRDefault="00236F4C" w:rsidP="00AD7C37">
      <w:pPr>
        <w:pStyle w:val="FootnoteText"/>
        <w:ind w:left="142" w:hanging="142"/>
      </w:pPr>
      <w:r>
        <w:rPr>
          <w:rStyle w:val="FootnoteReference"/>
        </w:rPr>
        <w:footnoteRef/>
      </w:r>
      <w:r w:rsidRPr="00D965A5">
        <w:tab/>
      </w:r>
      <w:hyperlink r:id="rId16" w:history="1">
        <w:r w:rsidRPr="00D965A5">
          <w:rPr>
            <w:rStyle w:val="Hyperlink"/>
          </w:rPr>
          <w:t>Neuvoston suositus, annettu 12 päivänä maaliskuuta 2021, romanien tasa-arvosta, osallisuudesta ja osallistumisesta, 2021/C 93/01</w:t>
        </w:r>
      </w:hyperlink>
      <w:r w:rsidRPr="00D965A5">
        <w:t>.</w:t>
      </w:r>
    </w:p>
  </w:footnote>
  <w:footnote w:id="19">
    <w:p w14:paraId="7BA7F830" w14:textId="0578B0E5" w:rsidR="00DF4DB3" w:rsidRPr="00D965A5" w:rsidRDefault="00DF4DB3" w:rsidP="00AD7C37">
      <w:pPr>
        <w:pStyle w:val="FootnoteText"/>
        <w:ind w:left="142" w:hanging="142"/>
      </w:pPr>
      <w:r>
        <w:rPr>
          <w:rStyle w:val="FootnoteReference"/>
        </w:rPr>
        <w:footnoteRef/>
      </w:r>
      <w:r w:rsidRPr="00D965A5">
        <w:tab/>
        <w:t xml:space="preserve">Täydennetään </w:t>
      </w:r>
      <w:hyperlink r:id="rId17" w:history="1">
        <w:r w:rsidRPr="00D965A5">
          <w:rPr>
            <w:rStyle w:val="Hyperlink"/>
          </w:rPr>
          <w:t>komission tiedonannolla Euroopan parlamentille ja neuvostolle:</w:t>
        </w:r>
      </w:hyperlink>
      <w:hyperlink r:id="rId18" w:history="1">
        <w:r w:rsidRPr="00D965A5">
          <w:rPr>
            <w:rStyle w:val="Hyperlink"/>
          </w:rPr>
          <w:t xml:space="preserve"> </w:t>
        </w:r>
        <w:r w:rsidRPr="00D965A5">
          <w:rPr>
            <w:rStyle w:val="Hyperlink"/>
            <w:i/>
            <w:iCs/>
          </w:rPr>
          <w:t>Tasa-arvon unioni:</w:t>
        </w:r>
      </w:hyperlink>
      <w:hyperlink r:id="rId19" w:history="1">
        <w:r w:rsidRPr="00D965A5">
          <w:rPr>
            <w:rStyle w:val="Hyperlink"/>
            <w:i/>
            <w:iCs/>
          </w:rPr>
          <w:t xml:space="preserve"> romanien tasa-arvoa, osallisuutta ja osallistumista koskeva EU:n strategiakehys</w:t>
        </w:r>
        <w:r w:rsidRPr="00D965A5">
          <w:rPr>
            <w:rStyle w:val="Hyperlink"/>
          </w:rPr>
          <w:t>, COM(2020) 620 final</w:t>
        </w:r>
      </w:hyperlink>
      <w:r w:rsidRPr="00D965A5">
        <w:t>.</w:t>
      </w:r>
    </w:p>
  </w:footnote>
  <w:footnote w:id="20">
    <w:p w14:paraId="75E951A7" w14:textId="77777777" w:rsidR="00560C1D" w:rsidRPr="00D965A5" w:rsidRDefault="00560C1D" w:rsidP="00AD7C37">
      <w:pPr>
        <w:pStyle w:val="FootnoteText"/>
        <w:ind w:left="142" w:hanging="142"/>
      </w:pPr>
      <w:r>
        <w:rPr>
          <w:rStyle w:val="FootnoteReference"/>
        </w:rPr>
        <w:footnoteRef/>
      </w:r>
      <w:r w:rsidRPr="00D965A5">
        <w:tab/>
      </w:r>
      <w:hyperlink r:id="rId20" w:history="1">
        <w:r w:rsidRPr="00D965A5">
          <w:rPr>
            <w:rStyle w:val="Hyperlink"/>
          </w:rPr>
          <w:t>Neuvoston suositus, annettu 8 päivänä joulukuuta 2022, kohtuuhintaisen ja laadukkaan pitkäaikaishoidon saatavuudesta, 2022/C 476/01</w:t>
        </w:r>
      </w:hyperlink>
      <w:r w:rsidRPr="00D965A5">
        <w:t>.</w:t>
      </w:r>
    </w:p>
  </w:footnote>
  <w:footnote w:id="21">
    <w:p w14:paraId="12EE7C91" w14:textId="77777777" w:rsidR="006523E8" w:rsidRPr="00D965A5" w:rsidRDefault="006523E8" w:rsidP="00AD7C37">
      <w:pPr>
        <w:pStyle w:val="FootnoteText"/>
        <w:ind w:left="142" w:hanging="142"/>
      </w:pPr>
      <w:r>
        <w:rPr>
          <w:rStyle w:val="FootnoteReference"/>
        </w:rPr>
        <w:footnoteRef/>
      </w:r>
      <w:r w:rsidRPr="00D965A5">
        <w:tab/>
      </w:r>
      <w:hyperlink r:id="rId21" w:history="1">
        <w:r w:rsidRPr="00D965A5">
          <w:rPr>
            <w:rStyle w:val="Hyperlink"/>
          </w:rPr>
          <w:t>Euroopan parlamentin ja neuvoston direktiivi 2014/92/EU, annettu 23 päivänä heinäkuuta 2014, maksutileihin liittyvien maksujen vertailukelpoisuudesta, maksutilien siirtämisestä ja mahdollisuudesta käyttää perusmaksutilejä</w:t>
        </w:r>
      </w:hyperlink>
      <w:r w:rsidRPr="00D965A5">
        <w:t>.</w:t>
      </w:r>
    </w:p>
  </w:footnote>
  <w:footnote w:id="22">
    <w:p w14:paraId="622D74C1" w14:textId="77777777" w:rsidR="006F75AA" w:rsidRPr="00D965A5" w:rsidRDefault="006F75AA" w:rsidP="00AD7C37">
      <w:pPr>
        <w:pStyle w:val="FootnoteText"/>
        <w:ind w:left="142" w:hanging="142"/>
      </w:pPr>
      <w:r>
        <w:rPr>
          <w:rStyle w:val="FootnoteReference"/>
        </w:rPr>
        <w:footnoteRef/>
      </w:r>
      <w:r w:rsidRPr="00D965A5">
        <w:tab/>
        <w:t>Lissabonin julistus asunnottomuuden vähentämistä käsittelevästä eurooppalaisesta foorumista (annettu 21 päivänä kesäkuuta 2021, Lissabon, Portugali).</w:t>
      </w:r>
    </w:p>
  </w:footnote>
  <w:footnote w:id="23">
    <w:p w14:paraId="04E50528" w14:textId="7A482D49" w:rsidR="00DE2B74" w:rsidRPr="00D965A5" w:rsidRDefault="00427712" w:rsidP="00AA7C7F">
      <w:pPr>
        <w:pStyle w:val="FootnoteText"/>
        <w:ind w:left="142" w:hanging="142"/>
      </w:pPr>
      <w:r>
        <w:rPr>
          <w:rStyle w:val="FootnoteReference"/>
        </w:rPr>
        <w:footnoteRef/>
      </w:r>
      <w:r w:rsidRPr="00D965A5">
        <w:tab/>
        <w:t>La Hulpen julistus Euroopan sosiaalisten oikeuksien pilarin tulevaisuudesta (annettu 16 päivänä huhtikuuta 2024, La Hulpe,</w:t>
      </w:r>
    </w:p>
    <w:p w14:paraId="6103785E" w14:textId="77777777" w:rsidR="00427712" w:rsidRPr="00D965A5" w:rsidRDefault="00DE2B74" w:rsidP="00AA7C7F">
      <w:pPr>
        <w:pStyle w:val="FootnoteText"/>
        <w:ind w:left="142" w:hanging="142"/>
      </w:pPr>
      <w:r w:rsidRPr="00D965A5">
        <w:t xml:space="preserve">  Belgia).</w:t>
      </w:r>
    </w:p>
  </w:footnote>
  <w:footnote w:id="24">
    <w:p w14:paraId="5D2D87C3" w14:textId="42EB6787" w:rsidR="001E431A" w:rsidRPr="00D965A5" w:rsidRDefault="001E431A" w:rsidP="00AA7C7F">
      <w:pPr>
        <w:pStyle w:val="FootnoteText"/>
        <w:ind w:left="142" w:hanging="142"/>
      </w:pPr>
      <w:r>
        <w:rPr>
          <w:rStyle w:val="FootnoteReference"/>
        </w:rPr>
        <w:footnoteRef/>
      </w:r>
      <w:r w:rsidRPr="00D965A5">
        <w:tab/>
      </w:r>
      <w:hyperlink r:id="rId22" w:history="1">
        <w:r w:rsidRPr="00D965A5">
          <w:rPr>
            <w:rStyle w:val="Hyperlink"/>
          </w:rPr>
          <w:t>https://www.europarl.europa.eu/doceo/document/TA-9-2020-0314_FI.htm</w:t>
        </w:r>
      </w:hyperlink>
      <w:r w:rsidRPr="00D965A5">
        <w:t xml:space="preserve">. </w:t>
      </w:r>
    </w:p>
  </w:footnote>
  <w:footnote w:id="25">
    <w:p w14:paraId="36BE26F9" w14:textId="5604A12B" w:rsidR="00AD7368" w:rsidRPr="00D965A5" w:rsidRDefault="00AD7368" w:rsidP="00AA7C7F">
      <w:pPr>
        <w:pStyle w:val="FootnoteText"/>
        <w:ind w:left="142" w:hanging="142"/>
      </w:pPr>
      <w:r>
        <w:rPr>
          <w:rStyle w:val="FootnoteReference"/>
        </w:rPr>
        <w:footnoteRef/>
      </w:r>
      <w:r w:rsidRPr="00D965A5">
        <w:tab/>
      </w:r>
      <w:hyperlink r:id="rId23" w:history="1">
        <w:r w:rsidRPr="00D965A5">
          <w:rPr>
            <w:rStyle w:val="Hyperlink"/>
          </w:rPr>
          <w:t>https://www.europarl.europa.eu/doceo/document/TA-10-2026-0064_FI.html</w:t>
        </w:r>
      </w:hyperlink>
      <w:r w:rsidRPr="00D965A5">
        <w:t xml:space="preserve">.  </w:t>
      </w:r>
    </w:p>
  </w:footnote>
  <w:footnote w:id="26">
    <w:p w14:paraId="26749925" w14:textId="515E8644" w:rsidR="005C3815" w:rsidRPr="00D965A5" w:rsidRDefault="005C3815" w:rsidP="00AA7C7F">
      <w:pPr>
        <w:pStyle w:val="FootnoteText"/>
        <w:ind w:left="142" w:hanging="142"/>
        <w:rPr>
          <w:color w:val="0000FF" w:themeColor="hyperlink"/>
          <w:u w:val="single"/>
        </w:rPr>
      </w:pPr>
      <w:r>
        <w:rPr>
          <w:rStyle w:val="FootnoteReference"/>
        </w:rPr>
        <w:footnoteRef/>
      </w:r>
      <w:r w:rsidRPr="00D965A5">
        <w:tab/>
      </w:r>
      <w:hyperlink r:id="rId24" w:history="1">
        <w:r w:rsidRPr="00D965A5">
          <w:rPr>
            <w:rStyle w:val="Hyperlink"/>
          </w:rPr>
          <w:t>Komission täytäntöönpanoasetus (EU) 2017/543, annettu 22 päivänä maaliskuuta 2017, väestö- ja asuntolaskennoista annetun Euroopan parlamentin ja neuvoston asetuksen (EY) N:o 763/2008 soveltamissäännöistä aihealueiden sekä niiden erittelyiden kuvausten osalta</w:t>
        </w:r>
      </w:hyperlink>
      <w:r w:rsidRPr="00D965A5">
        <w:t>.</w:t>
      </w:r>
    </w:p>
  </w:footnote>
  <w:footnote w:id="27">
    <w:p w14:paraId="14F59F7E" w14:textId="74AA1A82" w:rsidR="001E431A" w:rsidRPr="00D965A5" w:rsidRDefault="0037784D" w:rsidP="00AA7C7F">
      <w:pPr>
        <w:pStyle w:val="FootnoteText"/>
        <w:ind w:left="142" w:hanging="142"/>
        <w:rPr>
          <w:color w:val="0000FF" w:themeColor="hyperlink"/>
          <w:u w:val="single"/>
        </w:rPr>
      </w:pPr>
      <w:r>
        <w:rPr>
          <w:rStyle w:val="FootnoteReference"/>
        </w:rPr>
        <w:footnoteRef/>
      </w:r>
      <w:r w:rsidRPr="00D965A5">
        <w:tab/>
      </w:r>
      <w:hyperlink r:id="rId25" w:history="1">
        <w:r w:rsidRPr="00D965A5">
          <w:rPr>
            <w:rStyle w:val="Hyperlink"/>
          </w:rPr>
          <w:t>Euroopan alueiden komitean lausunto aiheesta ”Asunnottomuuden poistaminen Euroopan unionista –</w:t>
        </w:r>
      </w:hyperlink>
      <w:hyperlink r:id="rId26" w:history="1">
        <w:r w:rsidRPr="00D965A5">
          <w:rPr>
            <w:rStyle w:val="Hyperlink"/>
          </w:rPr>
          <w:t xml:space="preserve"> paikallinen ja alueellinen näkökulma”, 2022/C 97/06</w:t>
        </w:r>
      </w:hyperlink>
      <w:r w:rsidRPr="00D965A5">
        <w:t>.</w:t>
      </w:r>
    </w:p>
  </w:footnote>
  <w:footnote w:id="28">
    <w:p w14:paraId="13491126" w14:textId="5D14A4E5" w:rsidR="001E431A" w:rsidRPr="00D965A5" w:rsidRDefault="0037784D" w:rsidP="00AA7C7F">
      <w:pPr>
        <w:pStyle w:val="FootnoteText"/>
        <w:ind w:left="142" w:hanging="142"/>
        <w:rPr>
          <w:color w:val="0000FF" w:themeColor="hyperlink"/>
          <w:u w:val="single"/>
        </w:rPr>
      </w:pPr>
      <w:r>
        <w:rPr>
          <w:rStyle w:val="FootnoteReference"/>
        </w:rPr>
        <w:footnoteRef/>
      </w:r>
      <w:r w:rsidRPr="00D965A5">
        <w:tab/>
      </w:r>
      <w:hyperlink r:id="rId27" w:history="1">
        <w:r w:rsidRPr="00D965A5">
          <w:rPr>
            <w:rStyle w:val="Hyperlink"/>
          </w:rPr>
          <w:t>Euroopan talous- ja sosiaalikomitean lausunto aiheesta ”EU:n kehys asunto ensin ‑periaatteeseen pohjautuville kansallisille asunnottomuusstrategioille”, EESC 2023/01741</w:t>
        </w:r>
      </w:hyperlink>
      <w:r w:rsidRPr="00D965A5">
        <w:t xml:space="preserve">. </w:t>
      </w:r>
    </w:p>
  </w:footnote>
  <w:footnote w:id="29">
    <w:p w14:paraId="44F8BE1D" w14:textId="2DAF9B7B" w:rsidR="00B942D0" w:rsidRPr="00D965A5" w:rsidRDefault="00B942D0" w:rsidP="00AA7C7F">
      <w:pPr>
        <w:pStyle w:val="FootnoteText"/>
        <w:ind w:left="142" w:hanging="142"/>
        <w:rPr>
          <w:color w:val="0000FF" w:themeColor="hyperlink"/>
          <w:u w:val="single"/>
        </w:rPr>
      </w:pPr>
      <w:r>
        <w:rPr>
          <w:rStyle w:val="FootnoteReference"/>
        </w:rPr>
        <w:footnoteRef/>
      </w:r>
      <w:r w:rsidRPr="00D965A5">
        <w:tab/>
        <w:t xml:space="preserve">Euroopan komissio: Työllisyys-, sosiaali- ja osallisuusasioiden pääosasto, </w:t>
      </w:r>
      <w:hyperlink r:id="rId28" w:history="1">
        <w:r w:rsidRPr="00D965A5">
          <w:rPr>
            <w:rStyle w:val="Hyperlink"/>
            <w:i/>
            <w:iCs/>
          </w:rPr>
          <w:t>Joint employment report 2026 – As adopted by the Council on 9 March 2026</w:t>
        </w:r>
      </w:hyperlink>
      <w:r w:rsidRPr="00D965A5">
        <w:t>, Euroopan unionin julkaisutoimisto, 2026.</w:t>
      </w:r>
    </w:p>
  </w:footnote>
  <w:footnote w:id="30">
    <w:p w14:paraId="208E9D93" w14:textId="226BD2F7" w:rsidR="00F326F8" w:rsidRPr="00D965A5" w:rsidRDefault="004723B1" w:rsidP="00AA7C7F">
      <w:pPr>
        <w:pStyle w:val="FootnoteText"/>
        <w:ind w:left="142" w:hanging="142"/>
        <w:rPr>
          <w:color w:val="0000FF" w:themeColor="hyperlink"/>
          <w:u w:val="single"/>
        </w:rPr>
      </w:pPr>
      <w:r>
        <w:rPr>
          <w:rStyle w:val="FootnoteReference"/>
        </w:rPr>
        <w:footnoteRef/>
      </w:r>
      <w:r w:rsidRPr="00D965A5">
        <w:tab/>
      </w:r>
      <w:hyperlink r:id="rId29" w:history="1">
        <w:r w:rsidRPr="00D965A5">
          <w:rPr>
            <w:rStyle w:val="Hyperlink"/>
          </w:rPr>
          <w:t>Komission tiedonanto Euroopan parlamentille, neuvostolle, Euroopan talous- ja sosiaalikomitealle ja alueiden komitealle</w:t>
        </w:r>
        <w:bookmarkStart w:id="8" w:name="_Hlt228804738"/>
        <w:bookmarkStart w:id="9" w:name="_Hlt228804739"/>
        <w:r w:rsidRPr="00D965A5">
          <w:rPr>
            <w:rStyle w:val="Hyperlink"/>
          </w:rPr>
          <w:t>i</w:t>
        </w:r>
        <w:bookmarkEnd w:id="8"/>
        <w:bookmarkEnd w:id="9"/>
        <w:r w:rsidRPr="00D965A5">
          <w:rPr>
            <w:rStyle w:val="Hyperlink"/>
          </w:rPr>
          <w:t>:</w:t>
        </w:r>
      </w:hyperlink>
      <w:hyperlink r:id="rId30" w:history="1">
        <w:r w:rsidRPr="00D965A5">
          <w:rPr>
            <w:rStyle w:val="Hyperlink"/>
          </w:rPr>
          <w:t xml:space="preserve"> Kohtuuhintaista asumista koskeva eurooppalainen suunnitelma, COM(2025) 1025 final</w:t>
        </w:r>
      </w:hyperlink>
      <w:r w:rsidRPr="00D965A5">
        <w:t>.</w:t>
      </w:r>
    </w:p>
  </w:footnote>
  <w:footnote w:id="31">
    <w:p w14:paraId="1A3FC6F4" w14:textId="24288665" w:rsidR="00B75119" w:rsidRPr="00D965A5" w:rsidRDefault="00B75119" w:rsidP="00AA7C7F">
      <w:pPr>
        <w:pStyle w:val="FootnoteText"/>
        <w:ind w:left="142" w:hanging="142"/>
      </w:pPr>
      <w:r>
        <w:rPr>
          <w:rStyle w:val="FootnoteReference"/>
        </w:rPr>
        <w:footnoteRef/>
      </w:r>
      <w:r w:rsidRPr="00D965A5">
        <w:tab/>
      </w:r>
      <w:hyperlink r:id="rId31" w:history="1">
        <w:r w:rsidRPr="00D965A5">
          <w:rPr>
            <w:rStyle w:val="Hyperlink"/>
          </w:rPr>
          <w:t>OECD:n tietokanta kohtuuhintaisesta asumisesta: ”OECD Affordable Housing Database” |</w:t>
        </w:r>
      </w:hyperlink>
      <w:hyperlink r:id="rId32" w:history="1">
        <w:r w:rsidRPr="00D965A5">
          <w:rPr>
            <w:rStyle w:val="Hyperlink"/>
          </w:rPr>
          <w:t xml:space="preserve"> OECD</w:t>
        </w:r>
      </w:hyperlink>
      <w:r w:rsidRPr="00D965A5">
        <w:t>.</w:t>
      </w:r>
    </w:p>
  </w:footnote>
  <w:footnote w:id="32">
    <w:p w14:paraId="301FAF4F" w14:textId="7940C936" w:rsidR="00463873" w:rsidRPr="00D965A5" w:rsidRDefault="00463873" w:rsidP="00AA7C7F">
      <w:pPr>
        <w:pStyle w:val="FootnoteText"/>
        <w:ind w:left="142" w:hanging="142"/>
        <w:rPr>
          <w:color w:val="0000FF" w:themeColor="hyperlink"/>
          <w:u w:val="single"/>
        </w:rPr>
      </w:pPr>
      <w:r>
        <w:rPr>
          <w:rStyle w:val="FootnoteReference"/>
        </w:rPr>
        <w:footnoteRef/>
      </w:r>
      <w:r w:rsidRPr="00D965A5">
        <w:tab/>
      </w:r>
      <w:hyperlink r:id="rId33" w:history="1">
        <w:r w:rsidRPr="00D965A5">
          <w:rPr>
            <w:rStyle w:val="Hyperlink"/>
          </w:rPr>
          <w:t>Euroopan parlamentin ja neuvoston asetus (EU) 2025/1914, annettu 18 päivänä syyskuuta 2025, asetusten (EU) 2021/1058 ja (EU) 2021/1056 muuttamisesta väliarvioinnin yhteydessä strategisiin haasteisiin vastaamiseksi toteutettavien erityistoimenpiteiden osalta</w:t>
        </w:r>
      </w:hyperlink>
      <w:r w:rsidRPr="00D965A5">
        <w:t>.</w:t>
      </w:r>
    </w:p>
  </w:footnote>
  <w:footnote w:id="33">
    <w:p w14:paraId="516BBF8D" w14:textId="12CD32AD" w:rsidR="00891B98" w:rsidRPr="00D965A5" w:rsidRDefault="00891B98" w:rsidP="00AA7C7F">
      <w:pPr>
        <w:pStyle w:val="FootnoteText"/>
        <w:ind w:left="142" w:hanging="142"/>
        <w:rPr>
          <w:color w:val="0000FF" w:themeColor="hyperlink"/>
          <w:u w:val="single"/>
        </w:rPr>
      </w:pPr>
      <w:r>
        <w:rPr>
          <w:rStyle w:val="FootnoteReference"/>
        </w:rPr>
        <w:footnoteRef/>
      </w:r>
      <w:r w:rsidRPr="00D965A5">
        <w:tab/>
      </w:r>
      <w:hyperlink r:id="rId34" w:history="1">
        <w:r w:rsidRPr="00D965A5">
          <w:rPr>
            <w:rStyle w:val="Hyperlink"/>
          </w:rPr>
          <w:t>Komission täytäntöönpanoasetus (EU) 2017/543, annettu 22 päivänä maaliskuuta 2017, väestö- ja asuntolaskennoista annetun Euroopan parlamentin ja neuvoston asetuksen (EY) N:o 763/2008 soveltamissäännöistä aihealueiden sekä niiden erittelyiden kuvausten osalta</w:t>
        </w:r>
      </w:hyperlink>
      <w:r w:rsidRPr="00D965A5">
        <w:t>.</w:t>
      </w:r>
    </w:p>
  </w:footnote>
  <w:footnote w:id="34">
    <w:p w14:paraId="2DA05FB6" w14:textId="77777777" w:rsidR="00C82328" w:rsidRPr="00D965A5" w:rsidRDefault="00C82328" w:rsidP="00F422C3">
      <w:pPr>
        <w:pStyle w:val="FootnoteText"/>
        <w:ind w:left="142" w:hanging="142"/>
      </w:pPr>
      <w:r>
        <w:rPr>
          <w:rStyle w:val="FootnoteReference"/>
        </w:rPr>
        <w:footnoteRef/>
      </w:r>
      <w:r w:rsidRPr="00D965A5">
        <w:tab/>
      </w:r>
      <w:hyperlink r:id="rId35" w:history="1">
        <w:r w:rsidRPr="00D965A5">
          <w:rPr>
            <w:rStyle w:val="Hyperlink"/>
          </w:rPr>
          <w:t>Euroopan parlamentin ja neuvoston direktiivi 2014/92/EU, annettu 23 päivänä heinäkuuta 2014, maksutileihin liittyvien maksujen vertailukelpoisuudesta, maksutilien siirtämisestä ja mahdollisuudesta käyttää perusmaksutilejä</w:t>
        </w:r>
      </w:hyperlink>
      <w:r w:rsidRPr="00D965A5">
        <w:t>.</w:t>
      </w:r>
    </w:p>
  </w:footnote>
  <w:footnote w:id="35">
    <w:p w14:paraId="138A7674" w14:textId="17704D16" w:rsidR="002335CB" w:rsidRPr="00D965A5" w:rsidRDefault="002335CB" w:rsidP="00AA7C7F">
      <w:pPr>
        <w:pStyle w:val="FootnoteText"/>
        <w:ind w:left="142" w:hanging="142"/>
        <w:rPr>
          <w:color w:val="0000FF" w:themeColor="hyperlink"/>
          <w:u w:val="single"/>
        </w:rPr>
      </w:pPr>
      <w:r>
        <w:rPr>
          <w:rStyle w:val="FootnoteReference"/>
        </w:rPr>
        <w:footnoteRef/>
      </w:r>
      <w:r w:rsidRPr="00D965A5">
        <w:tab/>
      </w:r>
      <w:hyperlink r:id="rId36" w:history="1">
        <w:r w:rsidRPr="00D965A5">
          <w:rPr>
            <w:rStyle w:val="Hyperlink"/>
          </w:rPr>
          <w:t>Komission tiedonanto Euroopan parlamentille, neuvostolle, Euroopan talous- ja sosiaalikomitealle ja alueiden komitealle:</w:t>
        </w:r>
      </w:hyperlink>
      <w:hyperlink r:id="rId37" w:history="1">
        <w:r w:rsidRPr="00D965A5">
          <w:rPr>
            <w:rStyle w:val="Hyperlink"/>
            <w:i/>
            <w:iCs/>
          </w:rPr>
          <w:t>Kohtuuhintaista asumista koskeva eurooppalainen suunnitelma</w:t>
        </w:r>
        <w:r w:rsidRPr="00D965A5">
          <w:rPr>
            <w:rStyle w:val="Hyperlink"/>
          </w:rPr>
          <w:t>, (COM(2025) 1025 final</w:t>
        </w:r>
      </w:hyperlink>
      <w:r w:rsidRPr="00D965A5">
        <w:t>.</w:t>
      </w:r>
    </w:p>
  </w:footnote>
  <w:footnote w:id="36">
    <w:p w14:paraId="224E0B69" w14:textId="143814F9" w:rsidR="00A95F5E" w:rsidRPr="00D965A5" w:rsidRDefault="00A95F5E" w:rsidP="00AA7C7F">
      <w:pPr>
        <w:pStyle w:val="FootnoteText"/>
        <w:ind w:left="142" w:hanging="142"/>
        <w:rPr>
          <w:color w:val="0000FF" w:themeColor="hyperlink"/>
          <w:u w:val="single"/>
        </w:rPr>
      </w:pPr>
      <w:r>
        <w:rPr>
          <w:rStyle w:val="FootnoteReference"/>
        </w:rPr>
        <w:footnoteRef/>
      </w:r>
      <w:r w:rsidRPr="00D965A5">
        <w:tab/>
      </w:r>
      <w:hyperlink r:id="rId38" w:history="1">
        <w:r w:rsidRPr="00D965A5">
          <w:rPr>
            <w:rStyle w:val="Hyperlink"/>
          </w:rPr>
          <w:t>Euroopan parlamentin ja neuvoston asetus (EU) 2025/1914, annettu 18 päivänä syyskuuta 2025, asetusten (EU) 2021/1058 ja (EU) 2021/1056 muuttamisesta väliarvioinnin yhteydessä strategisiin haasteisiin vastaamiseksi toteutettavien erityistoimenpiteiden osalta</w:t>
        </w:r>
      </w:hyperlink>
      <w:r w:rsidRPr="00D965A5">
        <w:t xml:space="preserve">. </w:t>
      </w:r>
    </w:p>
  </w:footnote>
  <w:footnote w:id="37">
    <w:p w14:paraId="3FAC6288" w14:textId="1E344F7F" w:rsidR="004B7380" w:rsidRPr="00D965A5" w:rsidRDefault="004B7380" w:rsidP="00AA7C7F">
      <w:pPr>
        <w:pStyle w:val="FootnoteText"/>
        <w:ind w:left="142" w:hanging="142"/>
        <w:rPr>
          <w:color w:val="0000FF" w:themeColor="hyperlink"/>
          <w:u w:val="single"/>
        </w:rPr>
      </w:pPr>
      <w:r>
        <w:rPr>
          <w:rStyle w:val="FootnoteReference"/>
        </w:rPr>
        <w:footnoteRef/>
      </w:r>
      <w:r w:rsidRPr="00D965A5">
        <w:tab/>
      </w:r>
      <w:hyperlink r:id="rId39" w:history="1">
        <w:r w:rsidRPr="00D965A5">
          <w:rPr>
            <w:rStyle w:val="Hyperlink"/>
          </w:rPr>
          <w:t>Komission päätös (EU) 2025/2630, annettu 16 päivänä joulukuuta 2025, Euroopan unionin toiminnasta tehdyn sopimuksen 106 artiklan 2 kohdan soveltamisesta valtiontukeen tietyille yleisiin taloudellisiin tarkoituksiin liittyviä palveluja tuottaville yrityksille korvauksena julkisesta palvelusta sekä päätöksen 2012/21/EU kumoamisesta</w:t>
        </w:r>
      </w:hyperlink>
      <w:r w:rsidRPr="00D965A5">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EF6F1" w14:textId="77777777" w:rsidR="002B4D00" w:rsidRDefault="002B4D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5ABB1" w14:textId="77777777" w:rsidR="002B4D00" w:rsidRDefault="002B4D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925EB76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B5E47AA0"/>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136220E"/>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79AFE1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num>
  <w:num w:numId="9">
    <w:abstractNumId w:val="4"/>
    <w:lvlOverride w:ilvl="0">
      <w:startOverride w:val="9"/>
    </w:lvlOverride>
  </w:num>
  <w:num w:numId="10">
    <w:abstractNumId w:val="8"/>
    <w:lvlOverride w:ilvl="0">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8"/>
  </w:num>
  <w:num w:numId="20">
    <w:abstractNumId w:val="17"/>
  </w:num>
  <w:num w:numId="21">
    <w:abstractNumId w:val="7"/>
  </w:num>
  <w:num w:numId="22">
    <w:abstractNumId w:val="9"/>
  </w:num>
  <w:num w:numId="23">
    <w:abstractNumId w:val="10"/>
  </w:num>
  <w:num w:numId="24">
    <w:abstractNumId w:val="5"/>
  </w:num>
  <w:num w:numId="25">
    <w:abstractNumId w:val="16"/>
  </w:num>
  <w:num w:numId="26">
    <w:abstractNumId w:val="4"/>
  </w:num>
  <w:num w:numId="27">
    <w:abstractNumId w:val="11"/>
  </w:num>
  <w:num w:numId="28">
    <w:abstractNumId w:val="13"/>
  </w:num>
  <w:num w:numId="29">
    <w:abstractNumId w:val="14"/>
  </w:num>
  <w:num w:numId="30">
    <w:abstractNumId w:val="6"/>
  </w:num>
  <w:num w:numId="31">
    <w:abstractNumId w:val="12"/>
  </w:num>
  <w:num w:numId="32">
    <w:abstractNumId w:val="18"/>
  </w:num>
  <w:num w:numId="33">
    <w:abstractNumId w:val="15"/>
  </w:num>
  <w:num w:numId="34">
    <w:abstractNumId w:val="8"/>
  </w:num>
  <w:num w:numId="35">
    <w:abstractNumId w:val="17"/>
  </w:num>
  <w:num w:numId="36">
    <w:abstractNumId w:val="7"/>
  </w:num>
  <w:num w:numId="37">
    <w:abstractNumId w:val="9"/>
  </w:num>
  <w:num w:numId="38">
    <w:abstractNumId w:val="10"/>
  </w:num>
  <w:num w:numId="39">
    <w:abstractNumId w:val="5"/>
  </w:num>
  <w:num w:numId="40">
    <w:abstractNumId w:val="16"/>
  </w:num>
  <w:num w:numId="41">
    <w:abstractNumId w:val="4"/>
  </w:num>
  <w:num w:numId="42">
    <w:abstractNumId w:val="11"/>
  </w:num>
  <w:num w:numId="43">
    <w:abstractNumId w:val="13"/>
  </w:num>
  <w:num w:numId="44">
    <w:abstractNumId w:val="14"/>
  </w:num>
  <w:num w:numId="45">
    <w:abstractNumId w:val="6"/>
  </w:num>
  <w:num w:numId="46">
    <w:abstractNumId w:val="12"/>
  </w:num>
  <w:num w:numId="47">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6-05-29 16.00.36"/>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Yellow"/>
    <w:docVar w:name="DQCVersion" w:val="3"/>
    <w:docVar w:name="DQCWithWarnings" w:val="0"/>
    <w:docVar w:name="LW_CORRIGENDUM" w:val="&lt;UNUSED&gt;"/>
    <w:docVar w:name="LW_COVERPAGE_EXISTS" w:val="True"/>
    <w:docVar w:name="LW_COVERPAGE_GUID" w:val="56B65022-274F-4965-9378-526BBDD55DD9"/>
    <w:docVar w:name="LW_COVERPAGE_TYPE" w:val="1"/>
    <w:docVar w:name="LW_CreatedUtc" w:val="2025-12-17T09:52:18.5367685Z"/>
    <w:docVar w:name="LW_CROSSREFERENCE" w:val="{SWD(2026) 770 final}"/>
    <w:docVar w:name="LW_DocType" w:val="COM"/>
    <w:docVar w:name="LW_EMISSION" w:val="6.5.2026"/>
    <w:docVar w:name="LW_EMISSION_ISODATE" w:val="2026-05-06"/>
    <w:docVar w:name="LW_EMISSION_LOCATION" w:val="BRX"/>
    <w:docVar w:name="LW_EMISSION_PREFIX" w:val="Bryssel "/>
    <w:docVar w:name="LW_EMISSION_SUFFIX" w:val=" "/>
    <w:docVar w:name="LW_ID_DOCMODEL" w:val="SJ-022"/>
    <w:docVar w:name="LW_ID_DOCSIGNATURE" w:val="SJ-022"/>
    <w:docVar w:name="LW_ID_DOCSTRUCTURE" w:val="COM/PL/ORG"/>
    <w:docVar w:name="LW_ID_DOCTYPE" w:val="SJ-022"/>
    <w:docVar w:name="LW_ID_STATUT" w:val="SJ-022"/>
    <w:docVar w:name="LW_INSERT_EXP.MOTIFS.NEW" w:val="1"/>
    <w:docVar w:name="LW_INTERETEEE.CP" w:val="&lt;UNUSED&gt;"/>
    <w:docVar w:name="LW_LANGUE" w:val="FI"/>
    <w:docVar w:name="LW_LEVEL_OF_SENSITIVITY" w:val="Standard treatment"/>
    <w:docVar w:name="LW_NOM.INST" w:val="EUROOPAN KOMISSIO"/>
    <w:docVar w:name="LW_NOM.INST_JOINTDOC" w:val="&lt;EMPTY&gt;"/>
    <w:docVar w:name="LW_PART_NBR" w:val="1"/>
    <w:docVar w:name="LW_PART_NBR_TOTAL" w:val="1"/>
    <w:docVar w:name="LW_REF.II.NEW.CP" w:val="NLE"/>
    <w:docVar w:name="LW_REF.II.NEW.CP_NUMBER" w:val="0105"/>
    <w:docVar w:name="LW_REF.II.NEW.CP_YEAR" w:val="2026"/>
    <w:docVar w:name="LW_REF.INST.NEW" w:val="COM"/>
    <w:docVar w:name="LW_REF.INST.NEW_ADOPTED" w:val="final"/>
    <w:docVar w:name="LW_REF.INST.NEW_TEXT" w:val="(2026) 54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Ehdotus"/>
    <w:docVar w:name="LW_SUPERTITRE" w:val="&lt;UNUSED&gt;"/>
    <w:docVar w:name="LW_TITRE.OBJ.CP" w:val="asuntomarkkinoilta syrjäytymisen torjumisesta"/>
    <w:docVar w:name="LW_TYPE.DOC.CP" w:val="NEUVOSTON SUOSITUS"/>
    <w:docVar w:name="LwApiVersions" w:val="LW4CoDe 1.24.5.0; LW 9.2, Build 20251112"/>
  </w:docVars>
  <w:rsids>
    <w:rsidRoot w:val="00C578AE"/>
    <w:rsid w:val="00000222"/>
    <w:rsid w:val="00000545"/>
    <w:rsid w:val="0000058D"/>
    <w:rsid w:val="00000615"/>
    <w:rsid w:val="00000726"/>
    <w:rsid w:val="000007E4"/>
    <w:rsid w:val="00000876"/>
    <w:rsid w:val="000009B7"/>
    <w:rsid w:val="000009BF"/>
    <w:rsid w:val="00000AF8"/>
    <w:rsid w:val="00000BDB"/>
    <w:rsid w:val="00000C25"/>
    <w:rsid w:val="00001104"/>
    <w:rsid w:val="00001130"/>
    <w:rsid w:val="000012C5"/>
    <w:rsid w:val="00001393"/>
    <w:rsid w:val="000014B3"/>
    <w:rsid w:val="000014CA"/>
    <w:rsid w:val="0000159D"/>
    <w:rsid w:val="00001851"/>
    <w:rsid w:val="00001E6E"/>
    <w:rsid w:val="00001FC1"/>
    <w:rsid w:val="0000232F"/>
    <w:rsid w:val="000024E6"/>
    <w:rsid w:val="00002740"/>
    <w:rsid w:val="000027C7"/>
    <w:rsid w:val="00002B5E"/>
    <w:rsid w:val="00002F7B"/>
    <w:rsid w:val="000031D2"/>
    <w:rsid w:val="0000392E"/>
    <w:rsid w:val="00003945"/>
    <w:rsid w:val="00003CCD"/>
    <w:rsid w:val="00003D71"/>
    <w:rsid w:val="00004027"/>
    <w:rsid w:val="00004283"/>
    <w:rsid w:val="00004487"/>
    <w:rsid w:val="00004511"/>
    <w:rsid w:val="000048E7"/>
    <w:rsid w:val="00004A8D"/>
    <w:rsid w:val="00004C15"/>
    <w:rsid w:val="00004D38"/>
    <w:rsid w:val="00004F3B"/>
    <w:rsid w:val="0000533B"/>
    <w:rsid w:val="00005B35"/>
    <w:rsid w:val="00005BA0"/>
    <w:rsid w:val="00005BC3"/>
    <w:rsid w:val="00005C77"/>
    <w:rsid w:val="00005D3E"/>
    <w:rsid w:val="00005EC9"/>
    <w:rsid w:val="0000602C"/>
    <w:rsid w:val="0000633A"/>
    <w:rsid w:val="00006472"/>
    <w:rsid w:val="000064C6"/>
    <w:rsid w:val="00006508"/>
    <w:rsid w:val="00006633"/>
    <w:rsid w:val="00006866"/>
    <w:rsid w:val="00006942"/>
    <w:rsid w:val="00006AAD"/>
    <w:rsid w:val="00006CAE"/>
    <w:rsid w:val="00006CC3"/>
    <w:rsid w:val="00006FD2"/>
    <w:rsid w:val="00006FD4"/>
    <w:rsid w:val="00007109"/>
    <w:rsid w:val="00007255"/>
    <w:rsid w:val="00007805"/>
    <w:rsid w:val="00007D32"/>
    <w:rsid w:val="0001002D"/>
    <w:rsid w:val="00010095"/>
    <w:rsid w:val="0001055A"/>
    <w:rsid w:val="0001056A"/>
    <w:rsid w:val="00010590"/>
    <w:rsid w:val="000106D5"/>
    <w:rsid w:val="00010811"/>
    <w:rsid w:val="00010CE3"/>
    <w:rsid w:val="00010CF0"/>
    <w:rsid w:val="00010EB1"/>
    <w:rsid w:val="00010FFB"/>
    <w:rsid w:val="00011583"/>
    <w:rsid w:val="0001164F"/>
    <w:rsid w:val="0001173F"/>
    <w:rsid w:val="000118D8"/>
    <w:rsid w:val="00011A64"/>
    <w:rsid w:val="00011A96"/>
    <w:rsid w:val="00011C05"/>
    <w:rsid w:val="00011DA2"/>
    <w:rsid w:val="000120AC"/>
    <w:rsid w:val="00012189"/>
    <w:rsid w:val="000122E1"/>
    <w:rsid w:val="000122EE"/>
    <w:rsid w:val="0001249D"/>
    <w:rsid w:val="000124A3"/>
    <w:rsid w:val="00012759"/>
    <w:rsid w:val="00012863"/>
    <w:rsid w:val="00012A9B"/>
    <w:rsid w:val="00012B49"/>
    <w:rsid w:val="00012CA7"/>
    <w:rsid w:val="00012E61"/>
    <w:rsid w:val="000130DE"/>
    <w:rsid w:val="00013597"/>
    <w:rsid w:val="000135BE"/>
    <w:rsid w:val="000137DA"/>
    <w:rsid w:val="0001384D"/>
    <w:rsid w:val="000138A6"/>
    <w:rsid w:val="00013AAA"/>
    <w:rsid w:val="00013B5C"/>
    <w:rsid w:val="00013D42"/>
    <w:rsid w:val="0001401D"/>
    <w:rsid w:val="00014139"/>
    <w:rsid w:val="00014196"/>
    <w:rsid w:val="00014337"/>
    <w:rsid w:val="00014369"/>
    <w:rsid w:val="0001478D"/>
    <w:rsid w:val="0001483B"/>
    <w:rsid w:val="0001485B"/>
    <w:rsid w:val="000148CC"/>
    <w:rsid w:val="00014B3F"/>
    <w:rsid w:val="00014B40"/>
    <w:rsid w:val="00014E75"/>
    <w:rsid w:val="00014E8A"/>
    <w:rsid w:val="00015035"/>
    <w:rsid w:val="0001514C"/>
    <w:rsid w:val="00015196"/>
    <w:rsid w:val="000151BD"/>
    <w:rsid w:val="00015211"/>
    <w:rsid w:val="000153CD"/>
    <w:rsid w:val="00015543"/>
    <w:rsid w:val="00015773"/>
    <w:rsid w:val="000157B0"/>
    <w:rsid w:val="00015A2B"/>
    <w:rsid w:val="00015A3E"/>
    <w:rsid w:val="00015BD0"/>
    <w:rsid w:val="00015BE7"/>
    <w:rsid w:val="00015CEC"/>
    <w:rsid w:val="00015D1D"/>
    <w:rsid w:val="00015D95"/>
    <w:rsid w:val="00016419"/>
    <w:rsid w:val="00016439"/>
    <w:rsid w:val="0001656E"/>
    <w:rsid w:val="000166BE"/>
    <w:rsid w:val="00016A77"/>
    <w:rsid w:val="00016D09"/>
    <w:rsid w:val="00016F59"/>
    <w:rsid w:val="00016FF2"/>
    <w:rsid w:val="0001709F"/>
    <w:rsid w:val="00017314"/>
    <w:rsid w:val="000176B8"/>
    <w:rsid w:val="000177F0"/>
    <w:rsid w:val="00017834"/>
    <w:rsid w:val="0001788B"/>
    <w:rsid w:val="00017C85"/>
    <w:rsid w:val="00017D13"/>
    <w:rsid w:val="00017D85"/>
    <w:rsid w:val="00017E5F"/>
    <w:rsid w:val="00020078"/>
    <w:rsid w:val="000200BA"/>
    <w:rsid w:val="000201AB"/>
    <w:rsid w:val="000202CA"/>
    <w:rsid w:val="00020583"/>
    <w:rsid w:val="00020619"/>
    <w:rsid w:val="000206C6"/>
    <w:rsid w:val="00020B30"/>
    <w:rsid w:val="00020E0B"/>
    <w:rsid w:val="00020E95"/>
    <w:rsid w:val="0002138D"/>
    <w:rsid w:val="0002146C"/>
    <w:rsid w:val="00021514"/>
    <w:rsid w:val="000216EA"/>
    <w:rsid w:val="0002193B"/>
    <w:rsid w:val="00021A37"/>
    <w:rsid w:val="00021B84"/>
    <w:rsid w:val="00021BAF"/>
    <w:rsid w:val="00021CAC"/>
    <w:rsid w:val="00022070"/>
    <w:rsid w:val="000220E0"/>
    <w:rsid w:val="000221CB"/>
    <w:rsid w:val="00022454"/>
    <w:rsid w:val="000224E0"/>
    <w:rsid w:val="00022963"/>
    <w:rsid w:val="00022C7F"/>
    <w:rsid w:val="00022D09"/>
    <w:rsid w:val="00022DD2"/>
    <w:rsid w:val="00022E33"/>
    <w:rsid w:val="00022E36"/>
    <w:rsid w:val="0002321C"/>
    <w:rsid w:val="00023229"/>
    <w:rsid w:val="000232E5"/>
    <w:rsid w:val="0002351C"/>
    <w:rsid w:val="0002384F"/>
    <w:rsid w:val="00023A07"/>
    <w:rsid w:val="00023A6C"/>
    <w:rsid w:val="00023B3C"/>
    <w:rsid w:val="00023B73"/>
    <w:rsid w:val="00023D93"/>
    <w:rsid w:val="00023E15"/>
    <w:rsid w:val="00023E3A"/>
    <w:rsid w:val="000242BC"/>
    <w:rsid w:val="000242DB"/>
    <w:rsid w:val="00024377"/>
    <w:rsid w:val="0002439E"/>
    <w:rsid w:val="00024621"/>
    <w:rsid w:val="0002462B"/>
    <w:rsid w:val="0002495B"/>
    <w:rsid w:val="00024E17"/>
    <w:rsid w:val="00025137"/>
    <w:rsid w:val="0002533F"/>
    <w:rsid w:val="000254D8"/>
    <w:rsid w:val="0002571F"/>
    <w:rsid w:val="00025A0B"/>
    <w:rsid w:val="00025B3F"/>
    <w:rsid w:val="00025BCB"/>
    <w:rsid w:val="00025C72"/>
    <w:rsid w:val="00025CC6"/>
    <w:rsid w:val="00025D41"/>
    <w:rsid w:val="00025F5A"/>
    <w:rsid w:val="00025F79"/>
    <w:rsid w:val="0002616A"/>
    <w:rsid w:val="0002623E"/>
    <w:rsid w:val="00026491"/>
    <w:rsid w:val="000266A0"/>
    <w:rsid w:val="000268EE"/>
    <w:rsid w:val="00026A96"/>
    <w:rsid w:val="00026B64"/>
    <w:rsid w:val="00026DCC"/>
    <w:rsid w:val="00027430"/>
    <w:rsid w:val="000274E6"/>
    <w:rsid w:val="000278C5"/>
    <w:rsid w:val="000279F6"/>
    <w:rsid w:val="00027CA7"/>
    <w:rsid w:val="00027F57"/>
    <w:rsid w:val="00030104"/>
    <w:rsid w:val="0003052D"/>
    <w:rsid w:val="0003054E"/>
    <w:rsid w:val="000305AB"/>
    <w:rsid w:val="000306C2"/>
    <w:rsid w:val="000306F0"/>
    <w:rsid w:val="00030A7B"/>
    <w:rsid w:val="0003144D"/>
    <w:rsid w:val="00031DBC"/>
    <w:rsid w:val="00031DD5"/>
    <w:rsid w:val="00031E3C"/>
    <w:rsid w:val="000321F8"/>
    <w:rsid w:val="00032263"/>
    <w:rsid w:val="000322F8"/>
    <w:rsid w:val="0003252F"/>
    <w:rsid w:val="00032589"/>
    <w:rsid w:val="00032639"/>
    <w:rsid w:val="00032E95"/>
    <w:rsid w:val="00033389"/>
    <w:rsid w:val="000335EE"/>
    <w:rsid w:val="00033888"/>
    <w:rsid w:val="00033913"/>
    <w:rsid w:val="00033F4E"/>
    <w:rsid w:val="00033F94"/>
    <w:rsid w:val="000340B4"/>
    <w:rsid w:val="000340F7"/>
    <w:rsid w:val="00034425"/>
    <w:rsid w:val="000344B9"/>
    <w:rsid w:val="000346DE"/>
    <w:rsid w:val="0003482A"/>
    <w:rsid w:val="0003484B"/>
    <w:rsid w:val="00034989"/>
    <w:rsid w:val="00034B36"/>
    <w:rsid w:val="00034B81"/>
    <w:rsid w:val="00034E39"/>
    <w:rsid w:val="000355E1"/>
    <w:rsid w:val="0003560F"/>
    <w:rsid w:val="00035830"/>
    <w:rsid w:val="00035917"/>
    <w:rsid w:val="00035961"/>
    <w:rsid w:val="00035963"/>
    <w:rsid w:val="00035A0F"/>
    <w:rsid w:val="00035A83"/>
    <w:rsid w:val="00035B0B"/>
    <w:rsid w:val="00035ED7"/>
    <w:rsid w:val="00035F51"/>
    <w:rsid w:val="00035FF4"/>
    <w:rsid w:val="00036415"/>
    <w:rsid w:val="000369E4"/>
    <w:rsid w:val="00036C18"/>
    <w:rsid w:val="00036FF4"/>
    <w:rsid w:val="00037273"/>
    <w:rsid w:val="000372CC"/>
    <w:rsid w:val="00037395"/>
    <w:rsid w:val="00037728"/>
    <w:rsid w:val="000378AF"/>
    <w:rsid w:val="00037B0E"/>
    <w:rsid w:val="00037B11"/>
    <w:rsid w:val="00037B81"/>
    <w:rsid w:val="00037DFC"/>
    <w:rsid w:val="00037E6E"/>
    <w:rsid w:val="00037EC6"/>
    <w:rsid w:val="00037FFD"/>
    <w:rsid w:val="00040042"/>
    <w:rsid w:val="000402C6"/>
    <w:rsid w:val="0004040E"/>
    <w:rsid w:val="0004047A"/>
    <w:rsid w:val="000405E3"/>
    <w:rsid w:val="00040773"/>
    <w:rsid w:val="0004081C"/>
    <w:rsid w:val="00040C82"/>
    <w:rsid w:val="00040D47"/>
    <w:rsid w:val="00040D94"/>
    <w:rsid w:val="00040EC2"/>
    <w:rsid w:val="00040EE9"/>
    <w:rsid w:val="000412AB"/>
    <w:rsid w:val="000412F1"/>
    <w:rsid w:val="000413A0"/>
    <w:rsid w:val="0004140F"/>
    <w:rsid w:val="000416EB"/>
    <w:rsid w:val="0004178D"/>
    <w:rsid w:val="00041948"/>
    <w:rsid w:val="000419FA"/>
    <w:rsid w:val="00041AE6"/>
    <w:rsid w:val="00041E5A"/>
    <w:rsid w:val="00041F19"/>
    <w:rsid w:val="00041F8C"/>
    <w:rsid w:val="00042085"/>
    <w:rsid w:val="00042104"/>
    <w:rsid w:val="00042441"/>
    <w:rsid w:val="00042445"/>
    <w:rsid w:val="000425D3"/>
    <w:rsid w:val="00042653"/>
    <w:rsid w:val="000428AF"/>
    <w:rsid w:val="000429E5"/>
    <w:rsid w:val="00042A43"/>
    <w:rsid w:val="00042CB0"/>
    <w:rsid w:val="00042E0F"/>
    <w:rsid w:val="00042E54"/>
    <w:rsid w:val="00042E66"/>
    <w:rsid w:val="00043089"/>
    <w:rsid w:val="00043347"/>
    <w:rsid w:val="0004334C"/>
    <w:rsid w:val="00043369"/>
    <w:rsid w:val="00043481"/>
    <w:rsid w:val="000436E4"/>
    <w:rsid w:val="0004388C"/>
    <w:rsid w:val="000438EC"/>
    <w:rsid w:val="00043B40"/>
    <w:rsid w:val="00043C3C"/>
    <w:rsid w:val="00043C8C"/>
    <w:rsid w:val="00043D7F"/>
    <w:rsid w:val="00044202"/>
    <w:rsid w:val="000445FA"/>
    <w:rsid w:val="00044650"/>
    <w:rsid w:val="00044701"/>
    <w:rsid w:val="0004495B"/>
    <w:rsid w:val="00044AF5"/>
    <w:rsid w:val="00044E52"/>
    <w:rsid w:val="00044E5A"/>
    <w:rsid w:val="00044E8D"/>
    <w:rsid w:val="00044F94"/>
    <w:rsid w:val="00045036"/>
    <w:rsid w:val="00045211"/>
    <w:rsid w:val="00045273"/>
    <w:rsid w:val="00045AF3"/>
    <w:rsid w:val="00045C0F"/>
    <w:rsid w:val="00045DE6"/>
    <w:rsid w:val="000460FE"/>
    <w:rsid w:val="0004640B"/>
    <w:rsid w:val="00046578"/>
    <w:rsid w:val="00046A5B"/>
    <w:rsid w:val="00046CFD"/>
    <w:rsid w:val="000470CF"/>
    <w:rsid w:val="000475EB"/>
    <w:rsid w:val="000479AD"/>
    <w:rsid w:val="00047B54"/>
    <w:rsid w:val="00047B79"/>
    <w:rsid w:val="00047DF3"/>
    <w:rsid w:val="00047F56"/>
    <w:rsid w:val="00047FC3"/>
    <w:rsid w:val="0005007C"/>
    <w:rsid w:val="0005008C"/>
    <w:rsid w:val="000502C5"/>
    <w:rsid w:val="0005042F"/>
    <w:rsid w:val="0005071A"/>
    <w:rsid w:val="00050968"/>
    <w:rsid w:val="00050B38"/>
    <w:rsid w:val="00050D47"/>
    <w:rsid w:val="00050F19"/>
    <w:rsid w:val="0005107D"/>
    <w:rsid w:val="00051117"/>
    <w:rsid w:val="0005116D"/>
    <w:rsid w:val="000511E4"/>
    <w:rsid w:val="0005139E"/>
    <w:rsid w:val="00051616"/>
    <w:rsid w:val="000519DA"/>
    <w:rsid w:val="00051AC9"/>
    <w:rsid w:val="00051C0E"/>
    <w:rsid w:val="000522B5"/>
    <w:rsid w:val="000526CF"/>
    <w:rsid w:val="000528B3"/>
    <w:rsid w:val="000529C4"/>
    <w:rsid w:val="00052B38"/>
    <w:rsid w:val="00052F93"/>
    <w:rsid w:val="0005322C"/>
    <w:rsid w:val="00053244"/>
    <w:rsid w:val="00053366"/>
    <w:rsid w:val="0005371D"/>
    <w:rsid w:val="0005382F"/>
    <w:rsid w:val="00053916"/>
    <w:rsid w:val="00053D66"/>
    <w:rsid w:val="00053E30"/>
    <w:rsid w:val="00053E85"/>
    <w:rsid w:val="00054036"/>
    <w:rsid w:val="00054127"/>
    <w:rsid w:val="000542D0"/>
    <w:rsid w:val="000547EB"/>
    <w:rsid w:val="00054A74"/>
    <w:rsid w:val="00054A9F"/>
    <w:rsid w:val="00054B64"/>
    <w:rsid w:val="00054EAC"/>
    <w:rsid w:val="00054EE9"/>
    <w:rsid w:val="00054F00"/>
    <w:rsid w:val="00054F4F"/>
    <w:rsid w:val="000553DF"/>
    <w:rsid w:val="0005553A"/>
    <w:rsid w:val="00055757"/>
    <w:rsid w:val="00055896"/>
    <w:rsid w:val="00055A57"/>
    <w:rsid w:val="00055B74"/>
    <w:rsid w:val="00055B9B"/>
    <w:rsid w:val="0005606E"/>
    <w:rsid w:val="00056089"/>
    <w:rsid w:val="00056093"/>
    <w:rsid w:val="00056463"/>
    <w:rsid w:val="00056711"/>
    <w:rsid w:val="00056713"/>
    <w:rsid w:val="000569AC"/>
    <w:rsid w:val="00056BB3"/>
    <w:rsid w:val="00056DF2"/>
    <w:rsid w:val="00056E08"/>
    <w:rsid w:val="00056F32"/>
    <w:rsid w:val="00057326"/>
    <w:rsid w:val="0005758A"/>
    <w:rsid w:val="00057673"/>
    <w:rsid w:val="000576F8"/>
    <w:rsid w:val="000577D6"/>
    <w:rsid w:val="00057DE2"/>
    <w:rsid w:val="00057E24"/>
    <w:rsid w:val="00057F3A"/>
    <w:rsid w:val="00060DE8"/>
    <w:rsid w:val="00060EF4"/>
    <w:rsid w:val="00060F65"/>
    <w:rsid w:val="00061173"/>
    <w:rsid w:val="000612DF"/>
    <w:rsid w:val="000614D7"/>
    <w:rsid w:val="0006174A"/>
    <w:rsid w:val="00061917"/>
    <w:rsid w:val="00061A14"/>
    <w:rsid w:val="00061BFF"/>
    <w:rsid w:val="00061D1F"/>
    <w:rsid w:val="00061DAC"/>
    <w:rsid w:val="00061E7B"/>
    <w:rsid w:val="000622C9"/>
    <w:rsid w:val="00062336"/>
    <w:rsid w:val="0006264F"/>
    <w:rsid w:val="00062A80"/>
    <w:rsid w:val="000631A7"/>
    <w:rsid w:val="000633CB"/>
    <w:rsid w:val="00063AF8"/>
    <w:rsid w:val="00063CFF"/>
    <w:rsid w:val="000646FB"/>
    <w:rsid w:val="00064801"/>
    <w:rsid w:val="00064E44"/>
    <w:rsid w:val="00064E94"/>
    <w:rsid w:val="00064F59"/>
    <w:rsid w:val="0006524D"/>
    <w:rsid w:val="000652BF"/>
    <w:rsid w:val="00065384"/>
    <w:rsid w:val="000658F3"/>
    <w:rsid w:val="00065AE3"/>
    <w:rsid w:val="00065BB9"/>
    <w:rsid w:val="000667B3"/>
    <w:rsid w:val="00066CDD"/>
    <w:rsid w:val="00066D2E"/>
    <w:rsid w:val="00066D66"/>
    <w:rsid w:val="00066DF5"/>
    <w:rsid w:val="000675C4"/>
    <w:rsid w:val="00067790"/>
    <w:rsid w:val="00067854"/>
    <w:rsid w:val="00067E70"/>
    <w:rsid w:val="00067E79"/>
    <w:rsid w:val="00070225"/>
    <w:rsid w:val="000703E2"/>
    <w:rsid w:val="0007055A"/>
    <w:rsid w:val="000706B0"/>
    <w:rsid w:val="00070972"/>
    <w:rsid w:val="000709E2"/>
    <w:rsid w:val="00070D68"/>
    <w:rsid w:val="00070DA7"/>
    <w:rsid w:val="00070E34"/>
    <w:rsid w:val="00070F80"/>
    <w:rsid w:val="0007116B"/>
    <w:rsid w:val="00071780"/>
    <w:rsid w:val="0007183D"/>
    <w:rsid w:val="00071842"/>
    <w:rsid w:val="00071C3F"/>
    <w:rsid w:val="00071EDA"/>
    <w:rsid w:val="000723B8"/>
    <w:rsid w:val="00072409"/>
    <w:rsid w:val="00072467"/>
    <w:rsid w:val="000724FD"/>
    <w:rsid w:val="0007278B"/>
    <w:rsid w:val="000729AD"/>
    <w:rsid w:val="00072BC3"/>
    <w:rsid w:val="0007302C"/>
    <w:rsid w:val="00073541"/>
    <w:rsid w:val="000735FC"/>
    <w:rsid w:val="00073669"/>
    <w:rsid w:val="000737DD"/>
    <w:rsid w:val="00073A52"/>
    <w:rsid w:val="00073DDE"/>
    <w:rsid w:val="00073E4C"/>
    <w:rsid w:val="00073FCA"/>
    <w:rsid w:val="0007454D"/>
    <w:rsid w:val="0007472B"/>
    <w:rsid w:val="000747EE"/>
    <w:rsid w:val="0007480F"/>
    <w:rsid w:val="000749A2"/>
    <w:rsid w:val="00074BE8"/>
    <w:rsid w:val="000750EA"/>
    <w:rsid w:val="0007537D"/>
    <w:rsid w:val="00075807"/>
    <w:rsid w:val="00075910"/>
    <w:rsid w:val="00075B82"/>
    <w:rsid w:val="00075BAA"/>
    <w:rsid w:val="00075D93"/>
    <w:rsid w:val="00075E3A"/>
    <w:rsid w:val="00075F50"/>
    <w:rsid w:val="0007609B"/>
    <w:rsid w:val="0007626F"/>
    <w:rsid w:val="000762ED"/>
    <w:rsid w:val="00076467"/>
    <w:rsid w:val="000764E1"/>
    <w:rsid w:val="0007653A"/>
    <w:rsid w:val="00076588"/>
    <w:rsid w:val="00076597"/>
    <w:rsid w:val="00076640"/>
    <w:rsid w:val="00076661"/>
    <w:rsid w:val="00076683"/>
    <w:rsid w:val="00076846"/>
    <w:rsid w:val="000768B2"/>
    <w:rsid w:val="00076A35"/>
    <w:rsid w:val="00076A9A"/>
    <w:rsid w:val="00076B20"/>
    <w:rsid w:val="00076BD6"/>
    <w:rsid w:val="00076ED8"/>
    <w:rsid w:val="00076EF8"/>
    <w:rsid w:val="00076F7F"/>
    <w:rsid w:val="0007734C"/>
    <w:rsid w:val="00077414"/>
    <w:rsid w:val="0007750B"/>
    <w:rsid w:val="000778DE"/>
    <w:rsid w:val="000779B7"/>
    <w:rsid w:val="00077A4F"/>
    <w:rsid w:val="00077B4F"/>
    <w:rsid w:val="00077BAA"/>
    <w:rsid w:val="00077BDF"/>
    <w:rsid w:val="00077D32"/>
    <w:rsid w:val="00080022"/>
    <w:rsid w:val="000803CC"/>
    <w:rsid w:val="00080543"/>
    <w:rsid w:val="000807B3"/>
    <w:rsid w:val="00080B2E"/>
    <w:rsid w:val="00080D1D"/>
    <w:rsid w:val="00080D2B"/>
    <w:rsid w:val="00080D7B"/>
    <w:rsid w:val="000811A1"/>
    <w:rsid w:val="0008122C"/>
    <w:rsid w:val="0008135E"/>
    <w:rsid w:val="0008145D"/>
    <w:rsid w:val="000814B5"/>
    <w:rsid w:val="0008189F"/>
    <w:rsid w:val="00081A9F"/>
    <w:rsid w:val="00081BB9"/>
    <w:rsid w:val="00081E69"/>
    <w:rsid w:val="0008205C"/>
    <w:rsid w:val="00082382"/>
    <w:rsid w:val="000823F0"/>
    <w:rsid w:val="00082431"/>
    <w:rsid w:val="0008243C"/>
    <w:rsid w:val="000829AB"/>
    <w:rsid w:val="00082D04"/>
    <w:rsid w:val="000831CF"/>
    <w:rsid w:val="00083787"/>
    <w:rsid w:val="000837BF"/>
    <w:rsid w:val="00083925"/>
    <w:rsid w:val="00083946"/>
    <w:rsid w:val="00083DB1"/>
    <w:rsid w:val="00084009"/>
    <w:rsid w:val="0008400C"/>
    <w:rsid w:val="00084234"/>
    <w:rsid w:val="000843A6"/>
    <w:rsid w:val="000844AA"/>
    <w:rsid w:val="000844C3"/>
    <w:rsid w:val="00084DD4"/>
    <w:rsid w:val="00084E53"/>
    <w:rsid w:val="0008527F"/>
    <w:rsid w:val="000852AA"/>
    <w:rsid w:val="00085349"/>
    <w:rsid w:val="000854FC"/>
    <w:rsid w:val="00085506"/>
    <w:rsid w:val="000856F1"/>
    <w:rsid w:val="00085804"/>
    <w:rsid w:val="00085867"/>
    <w:rsid w:val="000858AF"/>
    <w:rsid w:val="00085A36"/>
    <w:rsid w:val="00085A7D"/>
    <w:rsid w:val="00085AD4"/>
    <w:rsid w:val="00085B9B"/>
    <w:rsid w:val="00085D11"/>
    <w:rsid w:val="00085E8D"/>
    <w:rsid w:val="00085EBD"/>
    <w:rsid w:val="000860F7"/>
    <w:rsid w:val="00086431"/>
    <w:rsid w:val="0008673D"/>
    <w:rsid w:val="00086826"/>
    <w:rsid w:val="00086A21"/>
    <w:rsid w:val="00086E85"/>
    <w:rsid w:val="0008716A"/>
    <w:rsid w:val="00087208"/>
    <w:rsid w:val="00087252"/>
    <w:rsid w:val="000872C6"/>
    <w:rsid w:val="0008776E"/>
    <w:rsid w:val="00087DB3"/>
    <w:rsid w:val="00087EE9"/>
    <w:rsid w:val="000901D6"/>
    <w:rsid w:val="00090282"/>
    <w:rsid w:val="000902B4"/>
    <w:rsid w:val="0009035C"/>
    <w:rsid w:val="0009045C"/>
    <w:rsid w:val="00090470"/>
    <w:rsid w:val="00090A68"/>
    <w:rsid w:val="00090B69"/>
    <w:rsid w:val="00090B74"/>
    <w:rsid w:val="00090D99"/>
    <w:rsid w:val="00090DA4"/>
    <w:rsid w:val="00090DC6"/>
    <w:rsid w:val="00091023"/>
    <w:rsid w:val="00091026"/>
    <w:rsid w:val="0009106C"/>
    <w:rsid w:val="00091259"/>
    <w:rsid w:val="00091406"/>
    <w:rsid w:val="00091476"/>
    <w:rsid w:val="0009156D"/>
    <w:rsid w:val="000917EF"/>
    <w:rsid w:val="00091BC6"/>
    <w:rsid w:val="00091BE9"/>
    <w:rsid w:val="00091E41"/>
    <w:rsid w:val="00091F37"/>
    <w:rsid w:val="00092196"/>
    <w:rsid w:val="00092345"/>
    <w:rsid w:val="00092442"/>
    <w:rsid w:val="0009294D"/>
    <w:rsid w:val="00092B9B"/>
    <w:rsid w:val="00092EC5"/>
    <w:rsid w:val="00093091"/>
    <w:rsid w:val="0009372E"/>
    <w:rsid w:val="000939D5"/>
    <w:rsid w:val="00093C81"/>
    <w:rsid w:val="00094119"/>
    <w:rsid w:val="000942CB"/>
    <w:rsid w:val="000942E6"/>
    <w:rsid w:val="00094611"/>
    <w:rsid w:val="000946A1"/>
    <w:rsid w:val="000946EB"/>
    <w:rsid w:val="0009472C"/>
    <w:rsid w:val="0009473A"/>
    <w:rsid w:val="000947E4"/>
    <w:rsid w:val="00094AB1"/>
    <w:rsid w:val="00094D29"/>
    <w:rsid w:val="00094E77"/>
    <w:rsid w:val="000950FB"/>
    <w:rsid w:val="0009514A"/>
    <w:rsid w:val="0009521E"/>
    <w:rsid w:val="0009534D"/>
    <w:rsid w:val="000958CD"/>
    <w:rsid w:val="00095994"/>
    <w:rsid w:val="00095D79"/>
    <w:rsid w:val="00095E3A"/>
    <w:rsid w:val="00095EC0"/>
    <w:rsid w:val="000962BD"/>
    <w:rsid w:val="000962DC"/>
    <w:rsid w:val="00096578"/>
    <w:rsid w:val="00096718"/>
    <w:rsid w:val="00096841"/>
    <w:rsid w:val="00096AFA"/>
    <w:rsid w:val="00096BDF"/>
    <w:rsid w:val="0009701B"/>
    <w:rsid w:val="000973AD"/>
    <w:rsid w:val="00097433"/>
    <w:rsid w:val="00097439"/>
    <w:rsid w:val="00097B0C"/>
    <w:rsid w:val="00097B25"/>
    <w:rsid w:val="00097CAA"/>
    <w:rsid w:val="00097D46"/>
    <w:rsid w:val="00097F2F"/>
    <w:rsid w:val="00097F82"/>
    <w:rsid w:val="000A00D4"/>
    <w:rsid w:val="000A00DF"/>
    <w:rsid w:val="000A00F6"/>
    <w:rsid w:val="000A01DE"/>
    <w:rsid w:val="000A0E52"/>
    <w:rsid w:val="000A0FB4"/>
    <w:rsid w:val="000A105C"/>
    <w:rsid w:val="000A1340"/>
    <w:rsid w:val="000A1CB2"/>
    <w:rsid w:val="000A1CE4"/>
    <w:rsid w:val="000A1D35"/>
    <w:rsid w:val="000A1DAA"/>
    <w:rsid w:val="000A20F1"/>
    <w:rsid w:val="000A2163"/>
    <w:rsid w:val="000A21F1"/>
    <w:rsid w:val="000A22C5"/>
    <w:rsid w:val="000A24FE"/>
    <w:rsid w:val="000A2B73"/>
    <w:rsid w:val="000A2C84"/>
    <w:rsid w:val="000A2D8E"/>
    <w:rsid w:val="000A2DAA"/>
    <w:rsid w:val="000A2EC4"/>
    <w:rsid w:val="000A33BB"/>
    <w:rsid w:val="000A372C"/>
    <w:rsid w:val="000A3A46"/>
    <w:rsid w:val="000A3E92"/>
    <w:rsid w:val="000A3FB0"/>
    <w:rsid w:val="000A414E"/>
    <w:rsid w:val="000A42EE"/>
    <w:rsid w:val="000A438E"/>
    <w:rsid w:val="000A44A1"/>
    <w:rsid w:val="000A45F0"/>
    <w:rsid w:val="000A4616"/>
    <w:rsid w:val="000A4C3E"/>
    <w:rsid w:val="000A4EDA"/>
    <w:rsid w:val="000A5212"/>
    <w:rsid w:val="000A526F"/>
    <w:rsid w:val="000A54B5"/>
    <w:rsid w:val="000A550C"/>
    <w:rsid w:val="000A5664"/>
    <w:rsid w:val="000A573C"/>
    <w:rsid w:val="000A5A69"/>
    <w:rsid w:val="000A60D4"/>
    <w:rsid w:val="000A6302"/>
    <w:rsid w:val="000A6344"/>
    <w:rsid w:val="000A671F"/>
    <w:rsid w:val="000A6E81"/>
    <w:rsid w:val="000A71E4"/>
    <w:rsid w:val="000A7378"/>
    <w:rsid w:val="000A7724"/>
    <w:rsid w:val="000A7BDC"/>
    <w:rsid w:val="000A7EB4"/>
    <w:rsid w:val="000A7FB4"/>
    <w:rsid w:val="000B0313"/>
    <w:rsid w:val="000B0899"/>
    <w:rsid w:val="000B0A39"/>
    <w:rsid w:val="000B0D23"/>
    <w:rsid w:val="000B0F0C"/>
    <w:rsid w:val="000B1559"/>
    <w:rsid w:val="000B1672"/>
    <w:rsid w:val="000B1788"/>
    <w:rsid w:val="000B1959"/>
    <w:rsid w:val="000B19E9"/>
    <w:rsid w:val="000B1CF2"/>
    <w:rsid w:val="000B1F93"/>
    <w:rsid w:val="000B25B7"/>
    <w:rsid w:val="000B266E"/>
    <w:rsid w:val="000B29DE"/>
    <w:rsid w:val="000B2D4D"/>
    <w:rsid w:val="000B2E31"/>
    <w:rsid w:val="000B2E82"/>
    <w:rsid w:val="000B2ED2"/>
    <w:rsid w:val="000B3315"/>
    <w:rsid w:val="000B353B"/>
    <w:rsid w:val="000B35EA"/>
    <w:rsid w:val="000B38BC"/>
    <w:rsid w:val="000B3C60"/>
    <w:rsid w:val="000B3D2A"/>
    <w:rsid w:val="000B3ED1"/>
    <w:rsid w:val="000B45F3"/>
    <w:rsid w:val="000B49BD"/>
    <w:rsid w:val="000B4A12"/>
    <w:rsid w:val="000B4A6B"/>
    <w:rsid w:val="000B4D18"/>
    <w:rsid w:val="000B4DB1"/>
    <w:rsid w:val="000B5193"/>
    <w:rsid w:val="000B52B8"/>
    <w:rsid w:val="000B530E"/>
    <w:rsid w:val="000B5571"/>
    <w:rsid w:val="000B5673"/>
    <w:rsid w:val="000B587C"/>
    <w:rsid w:val="000B5C4D"/>
    <w:rsid w:val="000B5D10"/>
    <w:rsid w:val="000B5F0F"/>
    <w:rsid w:val="000B62B4"/>
    <w:rsid w:val="000B63D6"/>
    <w:rsid w:val="000B673E"/>
    <w:rsid w:val="000B69A2"/>
    <w:rsid w:val="000B69AA"/>
    <w:rsid w:val="000B69D9"/>
    <w:rsid w:val="000B6AE4"/>
    <w:rsid w:val="000B6B6A"/>
    <w:rsid w:val="000B6D0E"/>
    <w:rsid w:val="000B70E8"/>
    <w:rsid w:val="000B7390"/>
    <w:rsid w:val="000B766A"/>
    <w:rsid w:val="000B7781"/>
    <w:rsid w:val="000B7F2D"/>
    <w:rsid w:val="000C00F4"/>
    <w:rsid w:val="000C0113"/>
    <w:rsid w:val="000C013D"/>
    <w:rsid w:val="000C024A"/>
    <w:rsid w:val="000C03FD"/>
    <w:rsid w:val="000C04A4"/>
    <w:rsid w:val="000C0915"/>
    <w:rsid w:val="000C0929"/>
    <w:rsid w:val="000C09FE"/>
    <w:rsid w:val="000C0BB0"/>
    <w:rsid w:val="000C0DD2"/>
    <w:rsid w:val="000C0EA0"/>
    <w:rsid w:val="000C122A"/>
    <w:rsid w:val="000C1336"/>
    <w:rsid w:val="000C14BB"/>
    <w:rsid w:val="000C14BC"/>
    <w:rsid w:val="000C157C"/>
    <w:rsid w:val="000C15FA"/>
    <w:rsid w:val="000C1D48"/>
    <w:rsid w:val="000C1DC9"/>
    <w:rsid w:val="000C1F01"/>
    <w:rsid w:val="000C2059"/>
    <w:rsid w:val="000C2071"/>
    <w:rsid w:val="000C2293"/>
    <w:rsid w:val="000C2305"/>
    <w:rsid w:val="000C2362"/>
    <w:rsid w:val="000C2651"/>
    <w:rsid w:val="000C2CA4"/>
    <w:rsid w:val="000C2EC5"/>
    <w:rsid w:val="000C2FA5"/>
    <w:rsid w:val="000C302E"/>
    <w:rsid w:val="000C313A"/>
    <w:rsid w:val="000C327F"/>
    <w:rsid w:val="000C3560"/>
    <w:rsid w:val="000C3611"/>
    <w:rsid w:val="000C39FB"/>
    <w:rsid w:val="000C3B5C"/>
    <w:rsid w:val="000C3C08"/>
    <w:rsid w:val="000C3CC3"/>
    <w:rsid w:val="000C3E2D"/>
    <w:rsid w:val="000C3E5E"/>
    <w:rsid w:val="000C435F"/>
    <w:rsid w:val="000C46F5"/>
    <w:rsid w:val="000C4AEB"/>
    <w:rsid w:val="000C4CF6"/>
    <w:rsid w:val="000C4F0C"/>
    <w:rsid w:val="000C5306"/>
    <w:rsid w:val="000C53A2"/>
    <w:rsid w:val="000C53E6"/>
    <w:rsid w:val="000C5552"/>
    <w:rsid w:val="000C56F0"/>
    <w:rsid w:val="000C5972"/>
    <w:rsid w:val="000C5B56"/>
    <w:rsid w:val="000C5C73"/>
    <w:rsid w:val="000C5CF7"/>
    <w:rsid w:val="000C5F78"/>
    <w:rsid w:val="000C600D"/>
    <w:rsid w:val="000C6226"/>
    <w:rsid w:val="000C6313"/>
    <w:rsid w:val="000C63F7"/>
    <w:rsid w:val="000C644E"/>
    <w:rsid w:val="000C65D9"/>
    <w:rsid w:val="000C668E"/>
    <w:rsid w:val="000C6D9D"/>
    <w:rsid w:val="000C6F7A"/>
    <w:rsid w:val="000C6FBB"/>
    <w:rsid w:val="000C70A8"/>
    <w:rsid w:val="000C7210"/>
    <w:rsid w:val="000C7595"/>
    <w:rsid w:val="000C7720"/>
    <w:rsid w:val="000C7751"/>
    <w:rsid w:val="000C777D"/>
    <w:rsid w:val="000C7E54"/>
    <w:rsid w:val="000D0057"/>
    <w:rsid w:val="000D0129"/>
    <w:rsid w:val="000D0662"/>
    <w:rsid w:val="000D07CB"/>
    <w:rsid w:val="000D0BA7"/>
    <w:rsid w:val="000D0DE8"/>
    <w:rsid w:val="000D0E6B"/>
    <w:rsid w:val="000D17FE"/>
    <w:rsid w:val="000D1978"/>
    <w:rsid w:val="000D198E"/>
    <w:rsid w:val="000D1A43"/>
    <w:rsid w:val="000D1D12"/>
    <w:rsid w:val="000D226D"/>
    <w:rsid w:val="000D2683"/>
    <w:rsid w:val="000D2853"/>
    <w:rsid w:val="000D29AF"/>
    <w:rsid w:val="000D2AEF"/>
    <w:rsid w:val="000D2DD8"/>
    <w:rsid w:val="000D2F31"/>
    <w:rsid w:val="000D313A"/>
    <w:rsid w:val="000D329E"/>
    <w:rsid w:val="000D3B84"/>
    <w:rsid w:val="000D3EDD"/>
    <w:rsid w:val="000D4066"/>
    <w:rsid w:val="000D41B1"/>
    <w:rsid w:val="000D41C9"/>
    <w:rsid w:val="000D42EF"/>
    <w:rsid w:val="000D449E"/>
    <w:rsid w:val="000D4520"/>
    <w:rsid w:val="000D4832"/>
    <w:rsid w:val="000D4984"/>
    <w:rsid w:val="000D4A19"/>
    <w:rsid w:val="000D4BB7"/>
    <w:rsid w:val="000D4FBA"/>
    <w:rsid w:val="000D577B"/>
    <w:rsid w:val="000D5B84"/>
    <w:rsid w:val="000D6239"/>
    <w:rsid w:val="000D634E"/>
    <w:rsid w:val="000D63A3"/>
    <w:rsid w:val="000D64FA"/>
    <w:rsid w:val="000D657E"/>
    <w:rsid w:val="000D694D"/>
    <w:rsid w:val="000D6AD4"/>
    <w:rsid w:val="000D6C67"/>
    <w:rsid w:val="000D7813"/>
    <w:rsid w:val="000D79BC"/>
    <w:rsid w:val="000D7A4D"/>
    <w:rsid w:val="000D7B13"/>
    <w:rsid w:val="000D7EE5"/>
    <w:rsid w:val="000E0128"/>
    <w:rsid w:val="000E01BD"/>
    <w:rsid w:val="000E0203"/>
    <w:rsid w:val="000E0280"/>
    <w:rsid w:val="000E048C"/>
    <w:rsid w:val="000E060F"/>
    <w:rsid w:val="000E07D5"/>
    <w:rsid w:val="000E09FE"/>
    <w:rsid w:val="000E0ACA"/>
    <w:rsid w:val="000E0C3C"/>
    <w:rsid w:val="000E0D2D"/>
    <w:rsid w:val="000E10EB"/>
    <w:rsid w:val="000E132E"/>
    <w:rsid w:val="000E134E"/>
    <w:rsid w:val="000E140C"/>
    <w:rsid w:val="000E143E"/>
    <w:rsid w:val="000E17BC"/>
    <w:rsid w:val="000E1965"/>
    <w:rsid w:val="000E1967"/>
    <w:rsid w:val="000E1972"/>
    <w:rsid w:val="000E1B28"/>
    <w:rsid w:val="000E1BA7"/>
    <w:rsid w:val="000E1E84"/>
    <w:rsid w:val="000E1FE4"/>
    <w:rsid w:val="000E20E3"/>
    <w:rsid w:val="000E2158"/>
    <w:rsid w:val="000E223F"/>
    <w:rsid w:val="000E2356"/>
    <w:rsid w:val="000E2383"/>
    <w:rsid w:val="000E2724"/>
    <w:rsid w:val="000E2951"/>
    <w:rsid w:val="000E2A66"/>
    <w:rsid w:val="000E2D44"/>
    <w:rsid w:val="000E3285"/>
    <w:rsid w:val="000E3506"/>
    <w:rsid w:val="000E3606"/>
    <w:rsid w:val="000E36A6"/>
    <w:rsid w:val="000E3D7D"/>
    <w:rsid w:val="000E4099"/>
    <w:rsid w:val="000E4112"/>
    <w:rsid w:val="000E419E"/>
    <w:rsid w:val="000E41C6"/>
    <w:rsid w:val="000E4290"/>
    <w:rsid w:val="000E459E"/>
    <w:rsid w:val="000E466E"/>
    <w:rsid w:val="000E4CB0"/>
    <w:rsid w:val="000E4E77"/>
    <w:rsid w:val="000E4EC1"/>
    <w:rsid w:val="000E52AE"/>
    <w:rsid w:val="000E5819"/>
    <w:rsid w:val="000E5B18"/>
    <w:rsid w:val="000E5B83"/>
    <w:rsid w:val="000E5C78"/>
    <w:rsid w:val="000E6439"/>
    <w:rsid w:val="000E656A"/>
    <w:rsid w:val="000E66D1"/>
    <w:rsid w:val="000E66EF"/>
    <w:rsid w:val="000E66FD"/>
    <w:rsid w:val="000E6745"/>
    <w:rsid w:val="000E6883"/>
    <w:rsid w:val="000E696C"/>
    <w:rsid w:val="000E6AFC"/>
    <w:rsid w:val="000E6BED"/>
    <w:rsid w:val="000E6C8B"/>
    <w:rsid w:val="000E7055"/>
    <w:rsid w:val="000E713B"/>
    <w:rsid w:val="000E720F"/>
    <w:rsid w:val="000E73FD"/>
    <w:rsid w:val="000E7418"/>
    <w:rsid w:val="000E7495"/>
    <w:rsid w:val="000E7660"/>
    <w:rsid w:val="000E7810"/>
    <w:rsid w:val="000E7853"/>
    <w:rsid w:val="000E7948"/>
    <w:rsid w:val="000E7A8D"/>
    <w:rsid w:val="000E7DA0"/>
    <w:rsid w:val="000E7DB6"/>
    <w:rsid w:val="000F026E"/>
    <w:rsid w:val="000F0602"/>
    <w:rsid w:val="000F067E"/>
    <w:rsid w:val="000F07AC"/>
    <w:rsid w:val="000F0CB4"/>
    <w:rsid w:val="000F0D01"/>
    <w:rsid w:val="000F0F8B"/>
    <w:rsid w:val="000F0FE7"/>
    <w:rsid w:val="000F172A"/>
    <w:rsid w:val="000F1A6D"/>
    <w:rsid w:val="000F1D3F"/>
    <w:rsid w:val="000F1D42"/>
    <w:rsid w:val="000F1E19"/>
    <w:rsid w:val="000F2176"/>
    <w:rsid w:val="000F2288"/>
    <w:rsid w:val="000F26BE"/>
    <w:rsid w:val="000F26FE"/>
    <w:rsid w:val="000F278B"/>
    <w:rsid w:val="000F2915"/>
    <w:rsid w:val="000F2CCB"/>
    <w:rsid w:val="000F2CE0"/>
    <w:rsid w:val="000F2CF0"/>
    <w:rsid w:val="000F2E69"/>
    <w:rsid w:val="000F2EA2"/>
    <w:rsid w:val="000F339D"/>
    <w:rsid w:val="000F370E"/>
    <w:rsid w:val="000F3BA8"/>
    <w:rsid w:val="000F3C7C"/>
    <w:rsid w:val="000F3E17"/>
    <w:rsid w:val="000F3F54"/>
    <w:rsid w:val="000F4122"/>
    <w:rsid w:val="000F43F5"/>
    <w:rsid w:val="000F45EF"/>
    <w:rsid w:val="000F4C76"/>
    <w:rsid w:val="000F4F8A"/>
    <w:rsid w:val="000F50E2"/>
    <w:rsid w:val="000F524F"/>
    <w:rsid w:val="000F5353"/>
    <w:rsid w:val="000F555F"/>
    <w:rsid w:val="000F5594"/>
    <w:rsid w:val="000F55FA"/>
    <w:rsid w:val="000F566E"/>
    <w:rsid w:val="000F5903"/>
    <w:rsid w:val="000F5A3A"/>
    <w:rsid w:val="000F5C33"/>
    <w:rsid w:val="000F5D12"/>
    <w:rsid w:val="000F5D9F"/>
    <w:rsid w:val="000F5F63"/>
    <w:rsid w:val="000F6207"/>
    <w:rsid w:val="000F63B2"/>
    <w:rsid w:val="000F6487"/>
    <w:rsid w:val="000F65C5"/>
    <w:rsid w:val="000F668D"/>
    <w:rsid w:val="000F6905"/>
    <w:rsid w:val="000F6B11"/>
    <w:rsid w:val="000F6C7B"/>
    <w:rsid w:val="000F6FEF"/>
    <w:rsid w:val="000F701F"/>
    <w:rsid w:val="000F72AF"/>
    <w:rsid w:val="000F72C4"/>
    <w:rsid w:val="000F75EC"/>
    <w:rsid w:val="000F7644"/>
    <w:rsid w:val="000F768E"/>
    <w:rsid w:val="000F77E4"/>
    <w:rsid w:val="000F77F7"/>
    <w:rsid w:val="000F7C68"/>
    <w:rsid w:val="000F7D23"/>
    <w:rsid w:val="000F7F84"/>
    <w:rsid w:val="00100259"/>
    <w:rsid w:val="001002CF"/>
    <w:rsid w:val="00100311"/>
    <w:rsid w:val="00100A01"/>
    <w:rsid w:val="00100E2F"/>
    <w:rsid w:val="00101013"/>
    <w:rsid w:val="00101846"/>
    <w:rsid w:val="001018C2"/>
    <w:rsid w:val="00101C78"/>
    <w:rsid w:val="00101CF8"/>
    <w:rsid w:val="00101DF5"/>
    <w:rsid w:val="00101EAC"/>
    <w:rsid w:val="00102505"/>
    <w:rsid w:val="001026F5"/>
    <w:rsid w:val="00102831"/>
    <w:rsid w:val="00102996"/>
    <w:rsid w:val="00102BC8"/>
    <w:rsid w:val="00102CDB"/>
    <w:rsid w:val="00102F92"/>
    <w:rsid w:val="00103245"/>
    <w:rsid w:val="0010326C"/>
    <w:rsid w:val="001033DF"/>
    <w:rsid w:val="00103604"/>
    <w:rsid w:val="0010370A"/>
    <w:rsid w:val="00103841"/>
    <w:rsid w:val="0010397D"/>
    <w:rsid w:val="00103A59"/>
    <w:rsid w:val="00103ABD"/>
    <w:rsid w:val="00103E87"/>
    <w:rsid w:val="00103F6B"/>
    <w:rsid w:val="00103FBB"/>
    <w:rsid w:val="001040CA"/>
    <w:rsid w:val="001040E3"/>
    <w:rsid w:val="001048B9"/>
    <w:rsid w:val="001048D3"/>
    <w:rsid w:val="00104FE4"/>
    <w:rsid w:val="00105085"/>
    <w:rsid w:val="00105310"/>
    <w:rsid w:val="001055C4"/>
    <w:rsid w:val="00105800"/>
    <w:rsid w:val="00105A5B"/>
    <w:rsid w:val="00105B1D"/>
    <w:rsid w:val="00105EE3"/>
    <w:rsid w:val="001061E8"/>
    <w:rsid w:val="001061F4"/>
    <w:rsid w:val="00106322"/>
    <w:rsid w:val="001065F5"/>
    <w:rsid w:val="0010663A"/>
    <w:rsid w:val="001066C2"/>
    <w:rsid w:val="001069EA"/>
    <w:rsid w:val="00106D31"/>
    <w:rsid w:val="00106DA2"/>
    <w:rsid w:val="00106E24"/>
    <w:rsid w:val="0010722C"/>
    <w:rsid w:val="001073B1"/>
    <w:rsid w:val="001074F4"/>
    <w:rsid w:val="0010759E"/>
    <w:rsid w:val="0010789F"/>
    <w:rsid w:val="001078C1"/>
    <w:rsid w:val="001079EE"/>
    <w:rsid w:val="00107C3D"/>
    <w:rsid w:val="00107EBE"/>
    <w:rsid w:val="001102C1"/>
    <w:rsid w:val="00110640"/>
    <w:rsid w:val="001109CB"/>
    <w:rsid w:val="00110C65"/>
    <w:rsid w:val="00110E79"/>
    <w:rsid w:val="001112A0"/>
    <w:rsid w:val="00111C44"/>
    <w:rsid w:val="00111F33"/>
    <w:rsid w:val="00112229"/>
    <w:rsid w:val="0011242E"/>
    <w:rsid w:val="0011289F"/>
    <w:rsid w:val="00112C08"/>
    <w:rsid w:val="00112D4F"/>
    <w:rsid w:val="00113149"/>
    <w:rsid w:val="0011317B"/>
    <w:rsid w:val="0011336C"/>
    <w:rsid w:val="0011352D"/>
    <w:rsid w:val="00113556"/>
    <w:rsid w:val="0011363F"/>
    <w:rsid w:val="00113776"/>
    <w:rsid w:val="00113876"/>
    <w:rsid w:val="00113BEC"/>
    <w:rsid w:val="00113BFA"/>
    <w:rsid w:val="00113CB1"/>
    <w:rsid w:val="00113F96"/>
    <w:rsid w:val="00114194"/>
    <w:rsid w:val="001143B3"/>
    <w:rsid w:val="0011457F"/>
    <w:rsid w:val="00114719"/>
    <w:rsid w:val="00114ABD"/>
    <w:rsid w:val="0011502C"/>
    <w:rsid w:val="00115136"/>
    <w:rsid w:val="001151F0"/>
    <w:rsid w:val="0011530B"/>
    <w:rsid w:val="001155E6"/>
    <w:rsid w:val="0011560D"/>
    <w:rsid w:val="001156DF"/>
    <w:rsid w:val="001157CF"/>
    <w:rsid w:val="0011584F"/>
    <w:rsid w:val="001158C9"/>
    <w:rsid w:val="00115B30"/>
    <w:rsid w:val="00115BFD"/>
    <w:rsid w:val="00115CBE"/>
    <w:rsid w:val="00115D4B"/>
    <w:rsid w:val="00115E7B"/>
    <w:rsid w:val="00115F0A"/>
    <w:rsid w:val="00115F33"/>
    <w:rsid w:val="00115FF1"/>
    <w:rsid w:val="001160C4"/>
    <w:rsid w:val="00116429"/>
    <w:rsid w:val="0011665C"/>
    <w:rsid w:val="001166DB"/>
    <w:rsid w:val="0011679A"/>
    <w:rsid w:val="001169DE"/>
    <w:rsid w:val="00116BD7"/>
    <w:rsid w:val="00116CB0"/>
    <w:rsid w:val="00116DF5"/>
    <w:rsid w:val="00116E75"/>
    <w:rsid w:val="001171B6"/>
    <w:rsid w:val="001171F9"/>
    <w:rsid w:val="001172C7"/>
    <w:rsid w:val="0011749B"/>
    <w:rsid w:val="00117660"/>
    <w:rsid w:val="00117863"/>
    <w:rsid w:val="00117868"/>
    <w:rsid w:val="00117A8A"/>
    <w:rsid w:val="00117B49"/>
    <w:rsid w:val="00117F31"/>
    <w:rsid w:val="00120100"/>
    <w:rsid w:val="001201BB"/>
    <w:rsid w:val="0012047C"/>
    <w:rsid w:val="001204D5"/>
    <w:rsid w:val="00120777"/>
    <w:rsid w:val="00120ABF"/>
    <w:rsid w:val="00120B45"/>
    <w:rsid w:val="00120B55"/>
    <w:rsid w:val="00120B9A"/>
    <w:rsid w:val="00120BED"/>
    <w:rsid w:val="00120C95"/>
    <w:rsid w:val="00120EDE"/>
    <w:rsid w:val="0012118B"/>
    <w:rsid w:val="001212AE"/>
    <w:rsid w:val="00121414"/>
    <w:rsid w:val="001218F8"/>
    <w:rsid w:val="0012200B"/>
    <w:rsid w:val="00122209"/>
    <w:rsid w:val="0012248E"/>
    <w:rsid w:val="001225FC"/>
    <w:rsid w:val="001226A4"/>
    <w:rsid w:val="001231D5"/>
    <w:rsid w:val="00123274"/>
    <w:rsid w:val="001233AC"/>
    <w:rsid w:val="001238EF"/>
    <w:rsid w:val="00123DB1"/>
    <w:rsid w:val="00123DB8"/>
    <w:rsid w:val="00123F32"/>
    <w:rsid w:val="001240A4"/>
    <w:rsid w:val="0012412F"/>
    <w:rsid w:val="00124407"/>
    <w:rsid w:val="0012460F"/>
    <w:rsid w:val="0012476C"/>
    <w:rsid w:val="00124829"/>
    <w:rsid w:val="0012487D"/>
    <w:rsid w:val="001248E1"/>
    <w:rsid w:val="00124E4A"/>
    <w:rsid w:val="00125285"/>
    <w:rsid w:val="001252D3"/>
    <w:rsid w:val="0012563A"/>
    <w:rsid w:val="0012572A"/>
    <w:rsid w:val="00125AE8"/>
    <w:rsid w:val="00125CD6"/>
    <w:rsid w:val="00125D8A"/>
    <w:rsid w:val="00125DDA"/>
    <w:rsid w:val="00125E67"/>
    <w:rsid w:val="00125FD6"/>
    <w:rsid w:val="00126075"/>
    <w:rsid w:val="00126098"/>
    <w:rsid w:val="00126126"/>
    <w:rsid w:val="00126224"/>
    <w:rsid w:val="001262D9"/>
    <w:rsid w:val="0012646D"/>
    <w:rsid w:val="00126494"/>
    <w:rsid w:val="0012670C"/>
    <w:rsid w:val="00126978"/>
    <w:rsid w:val="0012716A"/>
    <w:rsid w:val="001271D1"/>
    <w:rsid w:val="00127359"/>
    <w:rsid w:val="001275CC"/>
    <w:rsid w:val="0012768A"/>
    <w:rsid w:val="00127705"/>
    <w:rsid w:val="00127AD8"/>
    <w:rsid w:val="00127CEC"/>
    <w:rsid w:val="00127F1F"/>
    <w:rsid w:val="00130680"/>
    <w:rsid w:val="00130C84"/>
    <w:rsid w:val="00130CFF"/>
    <w:rsid w:val="00130E39"/>
    <w:rsid w:val="00130FA3"/>
    <w:rsid w:val="001313AA"/>
    <w:rsid w:val="001313FD"/>
    <w:rsid w:val="00131683"/>
    <w:rsid w:val="00131AD0"/>
    <w:rsid w:val="00131CD6"/>
    <w:rsid w:val="00131EE3"/>
    <w:rsid w:val="001321B1"/>
    <w:rsid w:val="001329D1"/>
    <w:rsid w:val="00132F5A"/>
    <w:rsid w:val="00133105"/>
    <w:rsid w:val="00133381"/>
    <w:rsid w:val="00133484"/>
    <w:rsid w:val="0013370A"/>
    <w:rsid w:val="00133749"/>
    <w:rsid w:val="0013376E"/>
    <w:rsid w:val="00133899"/>
    <w:rsid w:val="0013394A"/>
    <w:rsid w:val="00133D90"/>
    <w:rsid w:val="00133EA7"/>
    <w:rsid w:val="00134026"/>
    <w:rsid w:val="001344A9"/>
    <w:rsid w:val="001345ED"/>
    <w:rsid w:val="00134C4B"/>
    <w:rsid w:val="00134D23"/>
    <w:rsid w:val="00134D7E"/>
    <w:rsid w:val="00134E52"/>
    <w:rsid w:val="00135014"/>
    <w:rsid w:val="00135246"/>
    <w:rsid w:val="00135645"/>
    <w:rsid w:val="00135C93"/>
    <w:rsid w:val="00135F0D"/>
    <w:rsid w:val="00135F26"/>
    <w:rsid w:val="0013601C"/>
    <w:rsid w:val="00136B77"/>
    <w:rsid w:val="00136C83"/>
    <w:rsid w:val="00136E78"/>
    <w:rsid w:val="0013711C"/>
    <w:rsid w:val="001375DC"/>
    <w:rsid w:val="00137704"/>
    <w:rsid w:val="00137905"/>
    <w:rsid w:val="0013799D"/>
    <w:rsid w:val="00137ED6"/>
    <w:rsid w:val="0014018E"/>
    <w:rsid w:val="0014039C"/>
    <w:rsid w:val="00140988"/>
    <w:rsid w:val="00140C8C"/>
    <w:rsid w:val="00141353"/>
    <w:rsid w:val="0014140A"/>
    <w:rsid w:val="00141418"/>
    <w:rsid w:val="001415BA"/>
    <w:rsid w:val="00141639"/>
    <w:rsid w:val="001418AA"/>
    <w:rsid w:val="0014195C"/>
    <w:rsid w:val="00141CA7"/>
    <w:rsid w:val="00141FD4"/>
    <w:rsid w:val="00142011"/>
    <w:rsid w:val="0014205E"/>
    <w:rsid w:val="00142231"/>
    <w:rsid w:val="00142627"/>
    <w:rsid w:val="001426B6"/>
    <w:rsid w:val="001429F5"/>
    <w:rsid w:val="00142A7E"/>
    <w:rsid w:val="00142BC0"/>
    <w:rsid w:val="00142C5B"/>
    <w:rsid w:val="00142CBE"/>
    <w:rsid w:val="00142E88"/>
    <w:rsid w:val="00142EF3"/>
    <w:rsid w:val="001432ED"/>
    <w:rsid w:val="00143377"/>
    <w:rsid w:val="00143696"/>
    <w:rsid w:val="001438EA"/>
    <w:rsid w:val="0014391C"/>
    <w:rsid w:val="001439AD"/>
    <w:rsid w:val="00143B0D"/>
    <w:rsid w:val="00143C0C"/>
    <w:rsid w:val="00143E0E"/>
    <w:rsid w:val="00144354"/>
    <w:rsid w:val="00144369"/>
    <w:rsid w:val="001443F4"/>
    <w:rsid w:val="00144865"/>
    <w:rsid w:val="00144A40"/>
    <w:rsid w:val="00144AE1"/>
    <w:rsid w:val="00144B25"/>
    <w:rsid w:val="00144BE6"/>
    <w:rsid w:val="00144FBB"/>
    <w:rsid w:val="00145022"/>
    <w:rsid w:val="0014591B"/>
    <w:rsid w:val="00145A0D"/>
    <w:rsid w:val="00145A43"/>
    <w:rsid w:val="00145CD8"/>
    <w:rsid w:val="001463C3"/>
    <w:rsid w:val="00146468"/>
    <w:rsid w:val="001467AB"/>
    <w:rsid w:val="001468E4"/>
    <w:rsid w:val="00146909"/>
    <w:rsid w:val="001469C2"/>
    <w:rsid w:val="00147061"/>
    <w:rsid w:val="0014735F"/>
    <w:rsid w:val="001474D3"/>
    <w:rsid w:val="001475F4"/>
    <w:rsid w:val="001476CB"/>
    <w:rsid w:val="00147881"/>
    <w:rsid w:val="001478EA"/>
    <w:rsid w:val="00147964"/>
    <w:rsid w:val="00147D99"/>
    <w:rsid w:val="0015059D"/>
    <w:rsid w:val="001507EB"/>
    <w:rsid w:val="001508FB"/>
    <w:rsid w:val="00150B01"/>
    <w:rsid w:val="00150E36"/>
    <w:rsid w:val="00150F5F"/>
    <w:rsid w:val="00150FA3"/>
    <w:rsid w:val="001510B0"/>
    <w:rsid w:val="001514E7"/>
    <w:rsid w:val="0015185D"/>
    <w:rsid w:val="00151901"/>
    <w:rsid w:val="00151A79"/>
    <w:rsid w:val="00151B41"/>
    <w:rsid w:val="00151B64"/>
    <w:rsid w:val="00151D34"/>
    <w:rsid w:val="00151E6B"/>
    <w:rsid w:val="00151F03"/>
    <w:rsid w:val="00152191"/>
    <w:rsid w:val="0015275A"/>
    <w:rsid w:val="0015279D"/>
    <w:rsid w:val="00152E8F"/>
    <w:rsid w:val="00153066"/>
    <w:rsid w:val="001531DB"/>
    <w:rsid w:val="001534FB"/>
    <w:rsid w:val="001539C9"/>
    <w:rsid w:val="00154796"/>
    <w:rsid w:val="0015487C"/>
    <w:rsid w:val="00154C8D"/>
    <w:rsid w:val="00154D33"/>
    <w:rsid w:val="0015506B"/>
    <w:rsid w:val="0015507A"/>
    <w:rsid w:val="001553BC"/>
    <w:rsid w:val="001557B0"/>
    <w:rsid w:val="00155AED"/>
    <w:rsid w:val="00155BE3"/>
    <w:rsid w:val="00155FF2"/>
    <w:rsid w:val="00156019"/>
    <w:rsid w:val="00156105"/>
    <w:rsid w:val="001563FF"/>
    <w:rsid w:val="001566DF"/>
    <w:rsid w:val="00156739"/>
    <w:rsid w:val="00156749"/>
    <w:rsid w:val="00156760"/>
    <w:rsid w:val="0015698F"/>
    <w:rsid w:val="00156BEC"/>
    <w:rsid w:val="00156D65"/>
    <w:rsid w:val="00156F5A"/>
    <w:rsid w:val="00157066"/>
    <w:rsid w:val="0015707F"/>
    <w:rsid w:val="00157CF9"/>
    <w:rsid w:val="00157F55"/>
    <w:rsid w:val="00157F8A"/>
    <w:rsid w:val="00160086"/>
    <w:rsid w:val="00160581"/>
    <w:rsid w:val="001605AC"/>
    <w:rsid w:val="00160646"/>
    <w:rsid w:val="00160899"/>
    <w:rsid w:val="00160948"/>
    <w:rsid w:val="00160980"/>
    <w:rsid w:val="00160BF3"/>
    <w:rsid w:val="00160D76"/>
    <w:rsid w:val="00160E13"/>
    <w:rsid w:val="00160FA7"/>
    <w:rsid w:val="001610C2"/>
    <w:rsid w:val="001612D8"/>
    <w:rsid w:val="00161DBE"/>
    <w:rsid w:val="00161EB7"/>
    <w:rsid w:val="00161EEE"/>
    <w:rsid w:val="00161FC1"/>
    <w:rsid w:val="00162584"/>
    <w:rsid w:val="00162C62"/>
    <w:rsid w:val="00162D7B"/>
    <w:rsid w:val="00162EA8"/>
    <w:rsid w:val="001631A1"/>
    <w:rsid w:val="001632DF"/>
    <w:rsid w:val="00163385"/>
    <w:rsid w:val="001636EF"/>
    <w:rsid w:val="0016393E"/>
    <w:rsid w:val="00163959"/>
    <w:rsid w:val="00163B0D"/>
    <w:rsid w:val="00163E44"/>
    <w:rsid w:val="001640FB"/>
    <w:rsid w:val="001646AC"/>
    <w:rsid w:val="001647C9"/>
    <w:rsid w:val="001647E5"/>
    <w:rsid w:val="00164CBE"/>
    <w:rsid w:val="001653A3"/>
    <w:rsid w:val="001654E5"/>
    <w:rsid w:val="001654EF"/>
    <w:rsid w:val="0016557A"/>
    <w:rsid w:val="001655D5"/>
    <w:rsid w:val="00165766"/>
    <w:rsid w:val="00165AA4"/>
    <w:rsid w:val="00165D29"/>
    <w:rsid w:val="00165DF2"/>
    <w:rsid w:val="001665A2"/>
    <w:rsid w:val="00166897"/>
    <w:rsid w:val="001668D3"/>
    <w:rsid w:val="001668EF"/>
    <w:rsid w:val="00166C3B"/>
    <w:rsid w:val="00166DA7"/>
    <w:rsid w:val="00166E93"/>
    <w:rsid w:val="0016707F"/>
    <w:rsid w:val="001670A3"/>
    <w:rsid w:val="001673C0"/>
    <w:rsid w:val="00167423"/>
    <w:rsid w:val="001675CF"/>
    <w:rsid w:val="00167661"/>
    <w:rsid w:val="0016772B"/>
    <w:rsid w:val="001677A7"/>
    <w:rsid w:val="0016785A"/>
    <w:rsid w:val="00167918"/>
    <w:rsid w:val="00167AE6"/>
    <w:rsid w:val="00167CDE"/>
    <w:rsid w:val="00170038"/>
    <w:rsid w:val="001701E7"/>
    <w:rsid w:val="0017028C"/>
    <w:rsid w:val="001702C3"/>
    <w:rsid w:val="00170488"/>
    <w:rsid w:val="001706E0"/>
    <w:rsid w:val="00170767"/>
    <w:rsid w:val="00170853"/>
    <w:rsid w:val="00170952"/>
    <w:rsid w:val="00170BB6"/>
    <w:rsid w:val="00170CEA"/>
    <w:rsid w:val="00170D80"/>
    <w:rsid w:val="001711C1"/>
    <w:rsid w:val="00171320"/>
    <w:rsid w:val="001717A9"/>
    <w:rsid w:val="0017189A"/>
    <w:rsid w:val="001719A1"/>
    <w:rsid w:val="00171A4C"/>
    <w:rsid w:val="00171C19"/>
    <w:rsid w:val="00171EAC"/>
    <w:rsid w:val="001721E7"/>
    <w:rsid w:val="0017221F"/>
    <w:rsid w:val="0017251B"/>
    <w:rsid w:val="00172544"/>
    <w:rsid w:val="0017279E"/>
    <w:rsid w:val="00172A58"/>
    <w:rsid w:val="00172A6A"/>
    <w:rsid w:val="00172AE4"/>
    <w:rsid w:val="00172BBF"/>
    <w:rsid w:val="00172D8B"/>
    <w:rsid w:val="00173156"/>
    <w:rsid w:val="00173724"/>
    <w:rsid w:val="001739D7"/>
    <w:rsid w:val="00173A04"/>
    <w:rsid w:val="00173A28"/>
    <w:rsid w:val="00174237"/>
    <w:rsid w:val="00174294"/>
    <w:rsid w:val="001742A1"/>
    <w:rsid w:val="0017431E"/>
    <w:rsid w:val="00174D1C"/>
    <w:rsid w:val="00174F89"/>
    <w:rsid w:val="00175110"/>
    <w:rsid w:val="00175298"/>
    <w:rsid w:val="001753EF"/>
    <w:rsid w:val="001754DE"/>
    <w:rsid w:val="00175524"/>
    <w:rsid w:val="001756A5"/>
    <w:rsid w:val="0017597F"/>
    <w:rsid w:val="00175AC7"/>
    <w:rsid w:val="00176208"/>
    <w:rsid w:val="001763C2"/>
    <w:rsid w:val="0017651E"/>
    <w:rsid w:val="0017666C"/>
    <w:rsid w:val="0017721D"/>
    <w:rsid w:val="001772A2"/>
    <w:rsid w:val="001772C0"/>
    <w:rsid w:val="001774FC"/>
    <w:rsid w:val="00177586"/>
    <w:rsid w:val="00177759"/>
    <w:rsid w:val="00177935"/>
    <w:rsid w:val="001779DB"/>
    <w:rsid w:val="00177A8E"/>
    <w:rsid w:val="00177A9E"/>
    <w:rsid w:val="00177AB9"/>
    <w:rsid w:val="00177AF1"/>
    <w:rsid w:val="00177C13"/>
    <w:rsid w:val="00177ECC"/>
    <w:rsid w:val="00177EEC"/>
    <w:rsid w:val="00177F6F"/>
    <w:rsid w:val="00180290"/>
    <w:rsid w:val="001803D9"/>
    <w:rsid w:val="001805EA"/>
    <w:rsid w:val="00180789"/>
    <w:rsid w:val="0018086F"/>
    <w:rsid w:val="00180AC2"/>
    <w:rsid w:val="0018122A"/>
    <w:rsid w:val="00181541"/>
    <w:rsid w:val="00181542"/>
    <w:rsid w:val="00181607"/>
    <w:rsid w:val="00181818"/>
    <w:rsid w:val="00181C85"/>
    <w:rsid w:val="00181CB8"/>
    <w:rsid w:val="00181CF4"/>
    <w:rsid w:val="00181D10"/>
    <w:rsid w:val="00181D96"/>
    <w:rsid w:val="00182051"/>
    <w:rsid w:val="001820DC"/>
    <w:rsid w:val="0018214F"/>
    <w:rsid w:val="001821D3"/>
    <w:rsid w:val="0018233E"/>
    <w:rsid w:val="00182481"/>
    <w:rsid w:val="001824D8"/>
    <w:rsid w:val="00182DA5"/>
    <w:rsid w:val="00182EA1"/>
    <w:rsid w:val="0018357D"/>
    <w:rsid w:val="001837A4"/>
    <w:rsid w:val="00183C22"/>
    <w:rsid w:val="00183DDA"/>
    <w:rsid w:val="00183E43"/>
    <w:rsid w:val="0018415A"/>
    <w:rsid w:val="00184332"/>
    <w:rsid w:val="0018470F"/>
    <w:rsid w:val="00184829"/>
    <w:rsid w:val="00184CEB"/>
    <w:rsid w:val="00184E53"/>
    <w:rsid w:val="00184FE0"/>
    <w:rsid w:val="001850A7"/>
    <w:rsid w:val="00185224"/>
    <w:rsid w:val="00185396"/>
    <w:rsid w:val="00185687"/>
    <w:rsid w:val="00185763"/>
    <w:rsid w:val="00185860"/>
    <w:rsid w:val="001858DE"/>
    <w:rsid w:val="00185A03"/>
    <w:rsid w:val="00185B06"/>
    <w:rsid w:val="00185B6B"/>
    <w:rsid w:val="00185D99"/>
    <w:rsid w:val="00185FC3"/>
    <w:rsid w:val="001864C9"/>
    <w:rsid w:val="001865CC"/>
    <w:rsid w:val="001866C4"/>
    <w:rsid w:val="00186733"/>
    <w:rsid w:val="00186756"/>
    <w:rsid w:val="001868C6"/>
    <w:rsid w:val="00186C3E"/>
    <w:rsid w:val="00186F04"/>
    <w:rsid w:val="0018704C"/>
    <w:rsid w:val="001874E6"/>
    <w:rsid w:val="001874F9"/>
    <w:rsid w:val="0018754F"/>
    <w:rsid w:val="001876DA"/>
    <w:rsid w:val="00187B40"/>
    <w:rsid w:val="00187B51"/>
    <w:rsid w:val="00187B5B"/>
    <w:rsid w:val="00187DEF"/>
    <w:rsid w:val="0019003C"/>
    <w:rsid w:val="0019028C"/>
    <w:rsid w:val="001907F2"/>
    <w:rsid w:val="0019098B"/>
    <w:rsid w:val="001909A2"/>
    <w:rsid w:val="00190C2C"/>
    <w:rsid w:val="00190CC4"/>
    <w:rsid w:val="00190E94"/>
    <w:rsid w:val="0019108B"/>
    <w:rsid w:val="00191298"/>
    <w:rsid w:val="00191697"/>
    <w:rsid w:val="001923E2"/>
    <w:rsid w:val="00192645"/>
    <w:rsid w:val="0019264F"/>
    <w:rsid w:val="00192688"/>
    <w:rsid w:val="00192715"/>
    <w:rsid w:val="00192779"/>
    <w:rsid w:val="001927FC"/>
    <w:rsid w:val="00192A8E"/>
    <w:rsid w:val="00192D14"/>
    <w:rsid w:val="00192F41"/>
    <w:rsid w:val="0019305B"/>
    <w:rsid w:val="00193112"/>
    <w:rsid w:val="00193239"/>
    <w:rsid w:val="00193675"/>
    <w:rsid w:val="00193689"/>
    <w:rsid w:val="001937E1"/>
    <w:rsid w:val="00193882"/>
    <w:rsid w:val="00193EE1"/>
    <w:rsid w:val="00194094"/>
    <w:rsid w:val="0019415A"/>
    <w:rsid w:val="001943D5"/>
    <w:rsid w:val="001946E1"/>
    <w:rsid w:val="001948B5"/>
    <w:rsid w:val="00194930"/>
    <w:rsid w:val="00194CFA"/>
    <w:rsid w:val="0019588B"/>
    <w:rsid w:val="001959A7"/>
    <w:rsid w:val="00195EFE"/>
    <w:rsid w:val="00195F14"/>
    <w:rsid w:val="0019613F"/>
    <w:rsid w:val="00196230"/>
    <w:rsid w:val="00196256"/>
    <w:rsid w:val="00196596"/>
    <w:rsid w:val="0019662B"/>
    <w:rsid w:val="00196672"/>
    <w:rsid w:val="00196786"/>
    <w:rsid w:val="00197613"/>
    <w:rsid w:val="00197AA1"/>
    <w:rsid w:val="00197EB8"/>
    <w:rsid w:val="001A0372"/>
    <w:rsid w:val="001A038F"/>
    <w:rsid w:val="001A0459"/>
    <w:rsid w:val="001A045E"/>
    <w:rsid w:val="001A0565"/>
    <w:rsid w:val="001A0723"/>
    <w:rsid w:val="001A07D5"/>
    <w:rsid w:val="001A0DE7"/>
    <w:rsid w:val="001A11E8"/>
    <w:rsid w:val="001A12A8"/>
    <w:rsid w:val="001A14DB"/>
    <w:rsid w:val="001A1F73"/>
    <w:rsid w:val="001A2132"/>
    <w:rsid w:val="001A21E8"/>
    <w:rsid w:val="001A253D"/>
    <w:rsid w:val="001A26AA"/>
    <w:rsid w:val="001A279E"/>
    <w:rsid w:val="001A287A"/>
    <w:rsid w:val="001A28CC"/>
    <w:rsid w:val="001A2951"/>
    <w:rsid w:val="001A2F48"/>
    <w:rsid w:val="001A3138"/>
    <w:rsid w:val="001A3449"/>
    <w:rsid w:val="001A3484"/>
    <w:rsid w:val="001A3BA1"/>
    <w:rsid w:val="001A3CA8"/>
    <w:rsid w:val="001A3CEF"/>
    <w:rsid w:val="001A41F4"/>
    <w:rsid w:val="001A421B"/>
    <w:rsid w:val="001A434B"/>
    <w:rsid w:val="001A455F"/>
    <w:rsid w:val="001A46B2"/>
    <w:rsid w:val="001A47D7"/>
    <w:rsid w:val="001A4B2E"/>
    <w:rsid w:val="001A4BB6"/>
    <w:rsid w:val="001A4EDC"/>
    <w:rsid w:val="001A5095"/>
    <w:rsid w:val="001A526F"/>
    <w:rsid w:val="001A528F"/>
    <w:rsid w:val="001A5321"/>
    <w:rsid w:val="001A5356"/>
    <w:rsid w:val="001A58B5"/>
    <w:rsid w:val="001A59AF"/>
    <w:rsid w:val="001A5B78"/>
    <w:rsid w:val="001A5F36"/>
    <w:rsid w:val="001A5F88"/>
    <w:rsid w:val="001A6094"/>
    <w:rsid w:val="001A6133"/>
    <w:rsid w:val="001A61CC"/>
    <w:rsid w:val="001A664D"/>
    <w:rsid w:val="001A6B64"/>
    <w:rsid w:val="001A6DAB"/>
    <w:rsid w:val="001A7122"/>
    <w:rsid w:val="001A71F3"/>
    <w:rsid w:val="001A7201"/>
    <w:rsid w:val="001A72DF"/>
    <w:rsid w:val="001A735A"/>
    <w:rsid w:val="001A7541"/>
    <w:rsid w:val="001A759E"/>
    <w:rsid w:val="001A75D6"/>
    <w:rsid w:val="001A7795"/>
    <w:rsid w:val="001A7882"/>
    <w:rsid w:val="001A7893"/>
    <w:rsid w:val="001A7991"/>
    <w:rsid w:val="001A79A7"/>
    <w:rsid w:val="001A7B8E"/>
    <w:rsid w:val="001A7BE3"/>
    <w:rsid w:val="001A7D87"/>
    <w:rsid w:val="001B005B"/>
    <w:rsid w:val="001B0095"/>
    <w:rsid w:val="001B0431"/>
    <w:rsid w:val="001B07CD"/>
    <w:rsid w:val="001B0A70"/>
    <w:rsid w:val="001B1023"/>
    <w:rsid w:val="001B15D5"/>
    <w:rsid w:val="001B1635"/>
    <w:rsid w:val="001B1D72"/>
    <w:rsid w:val="001B1FCE"/>
    <w:rsid w:val="001B2254"/>
    <w:rsid w:val="001B2535"/>
    <w:rsid w:val="001B29B1"/>
    <w:rsid w:val="001B2A86"/>
    <w:rsid w:val="001B2B6A"/>
    <w:rsid w:val="001B2CA9"/>
    <w:rsid w:val="001B329A"/>
    <w:rsid w:val="001B3339"/>
    <w:rsid w:val="001B3483"/>
    <w:rsid w:val="001B3520"/>
    <w:rsid w:val="001B3574"/>
    <w:rsid w:val="001B3A78"/>
    <w:rsid w:val="001B3E65"/>
    <w:rsid w:val="001B3EF5"/>
    <w:rsid w:val="001B41B6"/>
    <w:rsid w:val="001B4275"/>
    <w:rsid w:val="001B42B3"/>
    <w:rsid w:val="001B4387"/>
    <w:rsid w:val="001B444A"/>
    <w:rsid w:val="001B4567"/>
    <w:rsid w:val="001B4884"/>
    <w:rsid w:val="001B488F"/>
    <w:rsid w:val="001B4960"/>
    <w:rsid w:val="001B4B70"/>
    <w:rsid w:val="001B4CC1"/>
    <w:rsid w:val="001B4D0D"/>
    <w:rsid w:val="001B4FF0"/>
    <w:rsid w:val="001B5004"/>
    <w:rsid w:val="001B5484"/>
    <w:rsid w:val="001B56E5"/>
    <w:rsid w:val="001B57CD"/>
    <w:rsid w:val="001B5CA2"/>
    <w:rsid w:val="001B5D0A"/>
    <w:rsid w:val="001B5ED4"/>
    <w:rsid w:val="001B6356"/>
    <w:rsid w:val="001B6591"/>
    <w:rsid w:val="001B665B"/>
    <w:rsid w:val="001B674D"/>
    <w:rsid w:val="001B6BF3"/>
    <w:rsid w:val="001B6CAA"/>
    <w:rsid w:val="001B6DF3"/>
    <w:rsid w:val="001B6F82"/>
    <w:rsid w:val="001B70B5"/>
    <w:rsid w:val="001B70E2"/>
    <w:rsid w:val="001B712A"/>
    <w:rsid w:val="001B71EE"/>
    <w:rsid w:val="001B75DA"/>
    <w:rsid w:val="001B7681"/>
    <w:rsid w:val="001B7848"/>
    <w:rsid w:val="001B7927"/>
    <w:rsid w:val="001B7954"/>
    <w:rsid w:val="001B79C6"/>
    <w:rsid w:val="001B7EE8"/>
    <w:rsid w:val="001B7F3E"/>
    <w:rsid w:val="001B7FC7"/>
    <w:rsid w:val="001C00A6"/>
    <w:rsid w:val="001C015C"/>
    <w:rsid w:val="001C07B6"/>
    <w:rsid w:val="001C0A14"/>
    <w:rsid w:val="001C0B05"/>
    <w:rsid w:val="001C0DB1"/>
    <w:rsid w:val="001C0F23"/>
    <w:rsid w:val="001C12C2"/>
    <w:rsid w:val="001C15AC"/>
    <w:rsid w:val="001C162A"/>
    <w:rsid w:val="001C2160"/>
    <w:rsid w:val="001C23D7"/>
    <w:rsid w:val="001C24A9"/>
    <w:rsid w:val="001C24C3"/>
    <w:rsid w:val="001C276F"/>
    <w:rsid w:val="001C2B02"/>
    <w:rsid w:val="001C2E1D"/>
    <w:rsid w:val="001C304E"/>
    <w:rsid w:val="001C30B9"/>
    <w:rsid w:val="001C3713"/>
    <w:rsid w:val="001C376C"/>
    <w:rsid w:val="001C37E3"/>
    <w:rsid w:val="001C384E"/>
    <w:rsid w:val="001C3958"/>
    <w:rsid w:val="001C3974"/>
    <w:rsid w:val="001C3B80"/>
    <w:rsid w:val="001C3CD6"/>
    <w:rsid w:val="001C3ECD"/>
    <w:rsid w:val="001C405E"/>
    <w:rsid w:val="001C41A7"/>
    <w:rsid w:val="001C4600"/>
    <w:rsid w:val="001C4654"/>
    <w:rsid w:val="001C4945"/>
    <w:rsid w:val="001C498E"/>
    <w:rsid w:val="001C4B30"/>
    <w:rsid w:val="001C4D6A"/>
    <w:rsid w:val="001C4DB7"/>
    <w:rsid w:val="001C4FE5"/>
    <w:rsid w:val="001C534B"/>
    <w:rsid w:val="001C56B1"/>
    <w:rsid w:val="001C56C6"/>
    <w:rsid w:val="001C575B"/>
    <w:rsid w:val="001C575F"/>
    <w:rsid w:val="001C5787"/>
    <w:rsid w:val="001C5F1C"/>
    <w:rsid w:val="001C6140"/>
    <w:rsid w:val="001C66F9"/>
    <w:rsid w:val="001C670F"/>
    <w:rsid w:val="001C6719"/>
    <w:rsid w:val="001C695D"/>
    <w:rsid w:val="001C698A"/>
    <w:rsid w:val="001C6A8A"/>
    <w:rsid w:val="001C6AA7"/>
    <w:rsid w:val="001C6AF0"/>
    <w:rsid w:val="001C6C38"/>
    <w:rsid w:val="001C6E53"/>
    <w:rsid w:val="001C6EBB"/>
    <w:rsid w:val="001C75D8"/>
    <w:rsid w:val="001C7747"/>
    <w:rsid w:val="001C7C47"/>
    <w:rsid w:val="001C7CD2"/>
    <w:rsid w:val="001D00ED"/>
    <w:rsid w:val="001D0212"/>
    <w:rsid w:val="001D03C3"/>
    <w:rsid w:val="001D0471"/>
    <w:rsid w:val="001D07B3"/>
    <w:rsid w:val="001D09A4"/>
    <w:rsid w:val="001D0D2C"/>
    <w:rsid w:val="001D1622"/>
    <w:rsid w:val="001D1917"/>
    <w:rsid w:val="001D1B6E"/>
    <w:rsid w:val="001D1E1F"/>
    <w:rsid w:val="001D1F75"/>
    <w:rsid w:val="001D21AD"/>
    <w:rsid w:val="001D2207"/>
    <w:rsid w:val="001D2621"/>
    <w:rsid w:val="001D26A8"/>
    <w:rsid w:val="001D274F"/>
    <w:rsid w:val="001D2771"/>
    <w:rsid w:val="001D27DC"/>
    <w:rsid w:val="001D2962"/>
    <w:rsid w:val="001D29F6"/>
    <w:rsid w:val="001D2C6B"/>
    <w:rsid w:val="001D2CD9"/>
    <w:rsid w:val="001D2CEA"/>
    <w:rsid w:val="001D2E54"/>
    <w:rsid w:val="001D2E9F"/>
    <w:rsid w:val="001D2EC7"/>
    <w:rsid w:val="001D3780"/>
    <w:rsid w:val="001D387A"/>
    <w:rsid w:val="001D3E76"/>
    <w:rsid w:val="001D44F5"/>
    <w:rsid w:val="001D4819"/>
    <w:rsid w:val="001D4906"/>
    <w:rsid w:val="001D49C0"/>
    <w:rsid w:val="001D4D8D"/>
    <w:rsid w:val="001D4F1E"/>
    <w:rsid w:val="001D4FFE"/>
    <w:rsid w:val="001D506A"/>
    <w:rsid w:val="001D54E5"/>
    <w:rsid w:val="001D5718"/>
    <w:rsid w:val="001D58AD"/>
    <w:rsid w:val="001D5C79"/>
    <w:rsid w:val="001D5CE0"/>
    <w:rsid w:val="001D5DD6"/>
    <w:rsid w:val="001D62F0"/>
    <w:rsid w:val="001D683D"/>
    <w:rsid w:val="001D6864"/>
    <w:rsid w:val="001D69F2"/>
    <w:rsid w:val="001D6B9F"/>
    <w:rsid w:val="001D6C00"/>
    <w:rsid w:val="001D7045"/>
    <w:rsid w:val="001D7267"/>
    <w:rsid w:val="001D73A7"/>
    <w:rsid w:val="001D7432"/>
    <w:rsid w:val="001D75D0"/>
    <w:rsid w:val="001D774F"/>
    <w:rsid w:val="001D784E"/>
    <w:rsid w:val="001D7A74"/>
    <w:rsid w:val="001D7CA7"/>
    <w:rsid w:val="001D7D97"/>
    <w:rsid w:val="001D7E60"/>
    <w:rsid w:val="001E011B"/>
    <w:rsid w:val="001E030C"/>
    <w:rsid w:val="001E0323"/>
    <w:rsid w:val="001E0A36"/>
    <w:rsid w:val="001E101C"/>
    <w:rsid w:val="001E153B"/>
    <w:rsid w:val="001E1694"/>
    <w:rsid w:val="001E179B"/>
    <w:rsid w:val="001E183B"/>
    <w:rsid w:val="001E191C"/>
    <w:rsid w:val="001E1A5C"/>
    <w:rsid w:val="001E1A88"/>
    <w:rsid w:val="001E1B03"/>
    <w:rsid w:val="001E1F5F"/>
    <w:rsid w:val="001E2291"/>
    <w:rsid w:val="001E2C31"/>
    <w:rsid w:val="001E2EA4"/>
    <w:rsid w:val="001E300D"/>
    <w:rsid w:val="001E303C"/>
    <w:rsid w:val="001E31D9"/>
    <w:rsid w:val="001E3727"/>
    <w:rsid w:val="001E3863"/>
    <w:rsid w:val="001E3E6E"/>
    <w:rsid w:val="001E41B2"/>
    <w:rsid w:val="001E42E5"/>
    <w:rsid w:val="001E431A"/>
    <w:rsid w:val="001E431C"/>
    <w:rsid w:val="001E4B8F"/>
    <w:rsid w:val="001E4D6A"/>
    <w:rsid w:val="001E4DE0"/>
    <w:rsid w:val="001E4E62"/>
    <w:rsid w:val="001E500A"/>
    <w:rsid w:val="001E501D"/>
    <w:rsid w:val="001E50C7"/>
    <w:rsid w:val="001E5472"/>
    <w:rsid w:val="001E560E"/>
    <w:rsid w:val="001E5824"/>
    <w:rsid w:val="001E5BA2"/>
    <w:rsid w:val="001E60E7"/>
    <w:rsid w:val="001E651B"/>
    <w:rsid w:val="001E65B0"/>
    <w:rsid w:val="001E6681"/>
    <w:rsid w:val="001E6776"/>
    <w:rsid w:val="001E6BA5"/>
    <w:rsid w:val="001E6C76"/>
    <w:rsid w:val="001E6C96"/>
    <w:rsid w:val="001E6CCB"/>
    <w:rsid w:val="001E6F94"/>
    <w:rsid w:val="001E717C"/>
    <w:rsid w:val="001E72D9"/>
    <w:rsid w:val="001E75C4"/>
    <w:rsid w:val="001E76BE"/>
    <w:rsid w:val="001E775F"/>
    <w:rsid w:val="001E776B"/>
    <w:rsid w:val="001E777C"/>
    <w:rsid w:val="001E779D"/>
    <w:rsid w:val="001E77A5"/>
    <w:rsid w:val="001E787D"/>
    <w:rsid w:val="001E7BAA"/>
    <w:rsid w:val="001E7DDF"/>
    <w:rsid w:val="001F02DC"/>
    <w:rsid w:val="001F03B8"/>
    <w:rsid w:val="001F04F7"/>
    <w:rsid w:val="001F050E"/>
    <w:rsid w:val="001F0C79"/>
    <w:rsid w:val="001F1202"/>
    <w:rsid w:val="001F1220"/>
    <w:rsid w:val="001F1301"/>
    <w:rsid w:val="001F1329"/>
    <w:rsid w:val="001F15C2"/>
    <w:rsid w:val="001F16B1"/>
    <w:rsid w:val="001F18CD"/>
    <w:rsid w:val="001F1E12"/>
    <w:rsid w:val="001F1F16"/>
    <w:rsid w:val="001F2208"/>
    <w:rsid w:val="001F27D0"/>
    <w:rsid w:val="001F28B0"/>
    <w:rsid w:val="001F2989"/>
    <w:rsid w:val="001F2AB6"/>
    <w:rsid w:val="001F2D0A"/>
    <w:rsid w:val="001F2DCF"/>
    <w:rsid w:val="001F2EB0"/>
    <w:rsid w:val="001F2ECE"/>
    <w:rsid w:val="001F2FA8"/>
    <w:rsid w:val="001F3053"/>
    <w:rsid w:val="001F308A"/>
    <w:rsid w:val="001F3189"/>
    <w:rsid w:val="001F3202"/>
    <w:rsid w:val="001F3340"/>
    <w:rsid w:val="001F3506"/>
    <w:rsid w:val="001F3799"/>
    <w:rsid w:val="001F387A"/>
    <w:rsid w:val="001F391F"/>
    <w:rsid w:val="001F3CC2"/>
    <w:rsid w:val="001F3CF2"/>
    <w:rsid w:val="001F3F3D"/>
    <w:rsid w:val="001F3FE5"/>
    <w:rsid w:val="001F407C"/>
    <w:rsid w:val="001F4160"/>
    <w:rsid w:val="001F41E6"/>
    <w:rsid w:val="001F4214"/>
    <w:rsid w:val="001F4346"/>
    <w:rsid w:val="001F43D1"/>
    <w:rsid w:val="001F47C1"/>
    <w:rsid w:val="001F4C29"/>
    <w:rsid w:val="001F4D2D"/>
    <w:rsid w:val="001F4D57"/>
    <w:rsid w:val="001F4DC2"/>
    <w:rsid w:val="001F4F7D"/>
    <w:rsid w:val="001F52E7"/>
    <w:rsid w:val="001F5597"/>
    <w:rsid w:val="001F55D8"/>
    <w:rsid w:val="001F55E4"/>
    <w:rsid w:val="001F565B"/>
    <w:rsid w:val="001F573D"/>
    <w:rsid w:val="001F579A"/>
    <w:rsid w:val="001F5855"/>
    <w:rsid w:val="001F5A14"/>
    <w:rsid w:val="001F5A45"/>
    <w:rsid w:val="001F5D5F"/>
    <w:rsid w:val="001F5E34"/>
    <w:rsid w:val="001F5E7D"/>
    <w:rsid w:val="001F61A0"/>
    <w:rsid w:val="001F62BB"/>
    <w:rsid w:val="001F62D4"/>
    <w:rsid w:val="001F6639"/>
    <w:rsid w:val="001F69D9"/>
    <w:rsid w:val="001F6B17"/>
    <w:rsid w:val="001F70B7"/>
    <w:rsid w:val="001F72F2"/>
    <w:rsid w:val="001F745A"/>
    <w:rsid w:val="001F7544"/>
    <w:rsid w:val="001F75F4"/>
    <w:rsid w:val="001F7768"/>
    <w:rsid w:val="001F78E6"/>
    <w:rsid w:val="001F7C16"/>
    <w:rsid w:val="001F7D18"/>
    <w:rsid w:val="001F7DED"/>
    <w:rsid w:val="001F7FCA"/>
    <w:rsid w:val="00200455"/>
    <w:rsid w:val="002009EE"/>
    <w:rsid w:val="00200C81"/>
    <w:rsid w:val="00200D8B"/>
    <w:rsid w:val="00200DA7"/>
    <w:rsid w:val="00200E68"/>
    <w:rsid w:val="00200F47"/>
    <w:rsid w:val="0020170C"/>
    <w:rsid w:val="00201864"/>
    <w:rsid w:val="00201AA3"/>
    <w:rsid w:val="00201C30"/>
    <w:rsid w:val="00201D77"/>
    <w:rsid w:val="0020232D"/>
    <w:rsid w:val="00202675"/>
    <w:rsid w:val="002027ED"/>
    <w:rsid w:val="00202D8D"/>
    <w:rsid w:val="00202D97"/>
    <w:rsid w:val="00203015"/>
    <w:rsid w:val="002032CD"/>
    <w:rsid w:val="00203363"/>
    <w:rsid w:val="00203386"/>
    <w:rsid w:val="00203807"/>
    <w:rsid w:val="00203AA8"/>
    <w:rsid w:val="00203EA2"/>
    <w:rsid w:val="00204099"/>
    <w:rsid w:val="00204136"/>
    <w:rsid w:val="002043B8"/>
    <w:rsid w:val="00204467"/>
    <w:rsid w:val="0020477C"/>
    <w:rsid w:val="002048B7"/>
    <w:rsid w:val="002051CF"/>
    <w:rsid w:val="00205252"/>
    <w:rsid w:val="00205334"/>
    <w:rsid w:val="00205342"/>
    <w:rsid w:val="002054A8"/>
    <w:rsid w:val="00205788"/>
    <w:rsid w:val="00205907"/>
    <w:rsid w:val="00205A9B"/>
    <w:rsid w:val="00205BA4"/>
    <w:rsid w:val="0020620C"/>
    <w:rsid w:val="002062E3"/>
    <w:rsid w:val="002063A8"/>
    <w:rsid w:val="0020699E"/>
    <w:rsid w:val="00206B16"/>
    <w:rsid w:val="00206C74"/>
    <w:rsid w:val="00206EA6"/>
    <w:rsid w:val="00206FA2"/>
    <w:rsid w:val="00207141"/>
    <w:rsid w:val="002075A9"/>
    <w:rsid w:val="0020771D"/>
    <w:rsid w:val="00207856"/>
    <w:rsid w:val="002079E5"/>
    <w:rsid w:val="00207F33"/>
    <w:rsid w:val="00210250"/>
    <w:rsid w:val="0021027B"/>
    <w:rsid w:val="002103B2"/>
    <w:rsid w:val="0021070E"/>
    <w:rsid w:val="002107DC"/>
    <w:rsid w:val="00210819"/>
    <w:rsid w:val="00210878"/>
    <w:rsid w:val="0021095E"/>
    <w:rsid w:val="002109AE"/>
    <w:rsid w:val="00210ABB"/>
    <w:rsid w:val="00210B00"/>
    <w:rsid w:val="00210B35"/>
    <w:rsid w:val="00210C8F"/>
    <w:rsid w:val="00210CC9"/>
    <w:rsid w:val="002110EC"/>
    <w:rsid w:val="002114B9"/>
    <w:rsid w:val="002115C1"/>
    <w:rsid w:val="0021187E"/>
    <w:rsid w:val="00211913"/>
    <w:rsid w:val="002119C6"/>
    <w:rsid w:val="00211D13"/>
    <w:rsid w:val="00211E0A"/>
    <w:rsid w:val="00211F5D"/>
    <w:rsid w:val="002123B7"/>
    <w:rsid w:val="00212827"/>
    <w:rsid w:val="00212893"/>
    <w:rsid w:val="0021296C"/>
    <w:rsid w:val="00212A69"/>
    <w:rsid w:val="00212C64"/>
    <w:rsid w:val="00212CC9"/>
    <w:rsid w:val="00212E38"/>
    <w:rsid w:val="002130D7"/>
    <w:rsid w:val="00213634"/>
    <w:rsid w:val="002137DB"/>
    <w:rsid w:val="00213882"/>
    <w:rsid w:val="00213CDB"/>
    <w:rsid w:val="0021419C"/>
    <w:rsid w:val="0021430D"/>
    <w:rsid w:val="00214311"/>
    <w:rsid w:val="0021468C"/>
    <w:rsid w:val="00214837"/>
    <w:rsid w:val="002148DF"/>
    <w:rsid w:val="00214A8C"/>
    <w:rsid w:val="00214B5A"/>
    <w:rsid w:val="00214D99"/>
    <w:rsid w:val="0021506E"/>
    <w:rsid w:val="002150C8"/>
    <w:rsid w:val="002150CB"/>
    <w:rsid w:val="002150E9"/>
    <w:rsid w:val="002151C3"/>
    <w:rsid w:val="00215971"/>
    <w:rsid w:val="00215A47"/>
    <w:rsid w:val="00215E22"/>
    <w:rsid w:val="00216045"/>
    <w:rsid w:val="00216090"/>
    <w:rsid w:val="002163BF"/>
    <w:rsid w:val="0021652F"/>
    <w:rsid w:val="002165A6"/>
    <w:rsid w:val="00216A24"/>
    <w:rsid w:val="00216A33"/>
    <w:rsid w:val="00216BED"/>
    <w:rsid w:val="00216C2B"/>
    <w:rsid w:val="00216D2A"/>
    <w:rsid w:val="00216E06"/>
    <w:rsid w:val="00216F56"/>
    <w:rsid w:val="00216F88"/>
    <w:rsid w:val="00216FC2"/>
    <w:rsid w:val="0021714D"/>
    <w:rsid w:val="00217196"/>
    <w:rsid w:val="002174B3"/>
    <w:rsid w:val="0021751E"/>
    <w:rsid w:val="00217523"/>
    <w:rsid w:val="00217616"/>
    <w:rsid w:val="00217918"/>
    <w:rsid w:val="00217DCE"/>
    <w:rsid w:val="00217DDB"/>
    <w:rsid w:val="00217E76"/>
    <w:rsid w:val="002200E5"/>
    <w:rsid w:val="002207B7"/>
    <w:rsid w:val="00220825"/>
    <w:rsid w:val="00220827"/>
    <w:rsid w:val="002209C2"/>
    <w:rsid w:val="00220CF8"/>
    <w:rsid w:val="0022101E"/>
    <w:rsid w:val="002211DB"/>
    <w:rsid w:val="00221279"/>
    <w:rsid w:val="002212BB"/>
    <w:rsid w:val="0022147C"/>
    <w:rsid w:val="00221ABA"/>
    <w:rsid w:val="00221BC5"/>
    <w:rsid w:val="00221BF0"/>
    <w:rsid w:val="00221D10"/>
    <w:rsid w:val="00221ECE"/>
    <w:rsid w:val="00221EE9"/>
    <w:rsid w:val="00221FB7"/>
    <w:rsid w:val="0022205D"/>
    <w:rsid w:val="0022232F"/>
    <w:rsid w:val="002224A1"/>
    <w:rsid w:val="00222525"/>
    <w:rsid w:val="00222AE6"/>
    <w:rsid w:val="002232A7"/>
    <w:rsid w:val="00223353"/>
    <w:rsid w:val="002233A7"/>
    <w:rsid w:val="002233E1"/>
    <w:rsid w:val="00223593"/>
    <w:rsid w:val="00223600"/>
    <w:rsid w:val="00223604"/>
    <w:rsid w:val="0022363A"/>
    <w:rsid w:val="00223C19"/>
    <w:rsid w:val="00223C27"/>
    <w:rsid w:val="002241C2"/>
    <w:rsid w:val="00224633"/>
    <w:rsid w:val="0022472D"/>
    <w:rsid w:val="00224859"/>
    <w:rsid w:val="00224BEF"/>
    <w:rsid w:val="00225171"/>
    <w:rsid w:val="002252EF"/>
    <w:rsid w:val="0022551D"/>
    <w:rsid w:val="00225737"/>
    <w:rsid w:val="0022575F"/>
    <w:rsid w:val="00225827"/>
    <w:rsid w:val="00225853"/>
    <w:rsid w:val="002258F3"/>
    <w:rsid w:val="00225DCF"/>
    <w:rsid w:val="00226041"/>
    <w:rsid w:val="0022604D"/>
    <w:rsid w:val="002261B6"/>
    <w:rsid w:val="002268E0"/>
    <w:rsid w:val="00226BD2"/>
    <w:rsid w:val="00226CCF"/>
    <w:rsid w:val="00226CD8"/>
    <w:rsid w:val="00226E48"/>
    <w:rsid w:val="00226EBC"/>
    <w:rsid w:val="00226EC6"/>
    <w:rsid w:val="0022731B"/>
    <w:rsid w:val="0022748F"/>
    <w:rsid w:val="0022766E"/>
    <w:rsid w:val="002276C8"/>
    <w:rsid w:val="00227983"/>
    <w:rsid w:val="002279EB"/>
    <w:rsid w:val="00227A33"/>
    <w:rsid w:val="00227AC6"/>
    <w:rsid w:val="00227B0A"/>
    <w:rsid w:val="00227EAB"/>
    <w:rsid w:val="002300F1"/>
    <w:rsid w:val="002301CA"/>
    <w:rsid w:val="002305F3"/>
    <w:rsid w:val="00230645"/>
    <w:rsid w:val="0023066A"/>
    <w:rsid w:val="00230899"/>
    <w:rsid w:val="00230C67"/>
    <w:rsid w:val="00230D6A"/>
    <w:rsid w:val="002312EE"/>
    <w:rsid w:val="002316EF"/>
    <w:rsid w:val="002318C1"/>
    <w:rsid w:val="002318D0"/>
    <w:rsid w:val="00231A91"/>
    <w:rsid w:val="00231BD1"/>
    <w:rsid w:val="00231F30"/>
    <w:rsid w:val="00231F9D"/>
    <w:rsid w:val="0023215D"/>
    <w:rsid w:val="0023242C"/>
    <w:rsid w:val="0023265E"/>
    <w:rsid w:val="00232733"/>
    <w:rsid w:val="00232824"/>
    <w:rsid w:val="002329BB"/>
    <w:rsid w:val="00232A8E"/>
    <w:rsid w:val="00233098"/>
    <w:rsid w:val="0023334A"/>
    <w:rsid w:val="002333D7"/>
    <w:rsid w:val="002334F8"/>
    <w:rsid w:val="002335CB"/>
    <w:rsid w:val="00233BEB"/>
    <w:rsid w:val="00233CAD"/>
    <w:rsid w:val="00233DA7"/>
    <w:rsid w:val="00233DC7"/>
    <w:rsid w:val="00233EC8"/>
    <w:rsid w:val="00233F5F"/>
    <w:rsid w:val="00234054"/>
    <w:rsid w:val="00234107"/>
    <w:rsid w:val="00234367"/>
    <w:rsid w:val="002343DC"/>
    <w:rsid w:val="00234480"/>
    <w:rsid w:val="00234749"/>
    <w:rsid w:val="00234890"/>
    <w:rsid w:val="002348C4"/>
    <w:rsid w:val="00234A3B"/>
    <w:rsid w:val="00234E6A"/>
    <w:rsid w:val="00234EA8"/>
    <w:rsid w:val="002354FC"/>
    <w:rsid w:val="00235539"/>
    <w:rsid w:val="002357AA"/>
    <w:rsid w:val="002358FC"/>
    <w:rsid w:val="002359AD"/>
    <w:rsid w:val="00235A9F"/>
    <w:rsid w:val="0023610A"/>
    <w:rsid w:val="002361D4"/>
    <w:rsid w:val="00236D58"/>
    <w:rsid w:val="00236D77"/>
    <w:rsid w:val="00236F4C"/>
    <w:rsid w:val="00237216"/>
    <w:rsid w:val="00237219"/>
    <w:rsid w:val="002373D4"/>
    <w:rsid w:val="00237520"/>
    <w:rsid w:val="0023776F"/>
    <w:rsid w:val="00237E21"/>
    <w:rsid w:val="00237E3B"/>
    <w:rsid w:val="00237EEA"/>
    <w:rsid w:val="00237F05"/>
    <w:rsid w:val="00237FC8"/>
    <w:rsid w:val="0024014E"/>
    <w:rsid w:val="0024018F"/>
    <w:rsid w:val="0024025D"/>
    <w:rsid w:val="00240485"/>
    <w:rsid w:val="002405C3"/>
    <w:rsid w:val="00240795"/>
    <w:rsid w:val="00240B78"/>
    <w:rsid w:val="00240C2E"/>
    <w:rsid w:val="00240FAE"/>
    <w:rsid w:val="00241831"/>
    <w:rsid w:val="002418DD"/>
    <w:rsid w:val="002419B0"/>
    <w:rsid w:val="00241CBE"/>
    <w:rsid w:val="00241D80"/>
    <w:rsid w:val="00242423"/>
    <w:rsid w:val="002424A7"/>
    <w:rsid w:val="002428BF"/>
    <w:rsid w:val="0024298B"/>
    <w:rsid w:val="00242CCA"/>
    <w:rsid w:val="00242D99"/>
    <w:rsid w:val="002430DD"/>
    <w:rsid w:val="0024327B"/>
    <w:rsid w:val="002433B9"/>
    <w:rsid w:val="0024357B"/>
    <w:rsid w:val="00243ABD"/>
    <w:rsid w:val="00243C45"/>
    <w:rsid w:val="00243C54"/>
    <w:rsid w:val="00243D0F"/>
    <w:rsid w:val="00243D17"/>
    <w:rsid w:val="00243DD1"/>
    <w:rsid w:val="00243E45"/>
    <w:rsid w:val="00244017"/>
    <w:rsid w:val="002440B0"/>
    <w:rsid w:val="00244310"/>
    <w:rsid w:val="00244415"/>
    <w:rsid w:val="00244479"/>
    <w:rsid w:val="00244CDC"/>
    <w:rsid w:val="0024534C"/>
    <w:rsid w:val="002459F2"/>
    <w:rsid w:val="00245A15"/>
    <w:rsid w:val="00245C70"/>
    <w:rsid w:val="00245E4B"/>
    <w:rsid w:val="002460B8"/>
    <w:rsid w:val="002460CC"/>
    <w:rsid w:val="00246192"/>
    <w:rsid w:val="00246279"/>
    <w:rsid w:val="002463F8"/>
    <w:rsid w:val="0024669B"/>
    <w:rsid w:val="00246885"/>
    <w:rsid w:val="002469E1"/>
    <w:rsid w:val="00246B56"/>
    <w:rsid w:val="00246BE8"/>
    <w:rsid w:val="00246E70"/>
    <w:rsid w:val="00246E83"/>
    <w:rsid w:val="0024722A"/>
    <w:rsid w:val="00247508"/>
    <w:rsid w:val="002476D2"/>
    <w:rsid w:val="002476F9"/>
    <w:rsid w:val="0024772C"/>
    <w:rsid w:val="00247779"/>
    <w:rsid w:val="002478A0"/>
    <w:rsid w:val="0024796A"/>
    <w:rsid w:val="00247A6D"/>
    <w:rsid w:val="00247DC5"/>
    <w:rsid w:val="00247E33"/>
    <w:rsid w:val="00250275"/>
    <w:rsid w:val="002503F9"/>
    <w:rsid w:val="002504B7"/>
    <w:rsid w:val="00250538"/>
    <w:rsid w:val="00250680"/>
    <w:rsid w:val="002507CF"/>
    <w:rsid w:val="00250CB1"/>
    <w:rsid w:val="00250CC6"/>
    <w:rsid w:val="0025121D"/>
    <w:rsid w:val="00251255"/>
    <w:rsid w:val="00251385"/>
    <w:rsid w:val="00251697"/>
    <w:rsid w:val="00251840"/>
    <w:rsid w:val="0025191F"/>
    <w:rsid w:val="00251A30"/>
    <w:rsid w:val="00251EA7"/>
    <w:rsid w:val="00251F02"/>
    <w:rsid w:val="00251F20"/>
    <w:rsid w:val="00251F83"/>
    <w:rsid w:val="002522C0"/>
    <w:rsid w:val="0025234D"/>
    <w:rsid w:val="002524F8"/>
    <w:rsid w:val="00252733"/>
    <w:rsid w:val="002528F0"/>
    <w:rsid w:val="00252AAA"/>
    <w:rsid w:val="00252AF9"/>
    <w:rsid w:val="00252BB7"/>
    <w:rsid w:val="00252C54"/>
    <w:rsid w:val="00252D66"/>
    <w:rsid w:val="002530EB"/>
    <w:rsid w:val="002531C9"/>
    <w:rsid w:val="002532F6"/>
    <w:rsid w:val="002537C9"/>
    <w:rsid w:val="00253969"/>
    <w:rsid w:val="00253990"/>
    <w:rsid w:val="00253A99"/>
    <w:rsid w:val="00253EAF"/>
    <w:rsid w:val="002543F9"/>
    <w:rsid w:val="0025453D"/>
    <w:rsid w:val="00254AD0"/>
    <w:rsid w:val="00254B66"/>
    <w:rsid w:val="0025520B"/>
    <w:rsid w:val="002554D5"/>
    <w:rsid w:val="0025577A"/>
    <w:rsid w:val="002558EA"/>
    <w:rsid w:val="00255A4F"/>
    <w:rsid w:val="00255B20"/>
    <w:rsid w:val="00255C06"/>
    <w:rsid w:val="00255D86"/>
    <w:rsid w:val="00255DDB"/>
    <w:rsid w:val="00255F4F"/>
    <w:rsid w:val="00256183"/>
    <w:rsid w:val="002563DE"/>
    <w:rsid w:val="00256952"/>
    <w:rsid w:val="00256AD4"/>
    <w:rsid w:val="00256B69"/>
    <w:rsid w:val="00256D8E"/>
    <w:rsid w:val="00256DC5"/>
    <w:rsid w:val="00256F6B"/>
    <w:rsid w:val="0025717C"/>
    <w:rsid w:val="002572A5"/>
    <w:rsid w:val="002572F3"/>
    <w:rsid w:val="002573A3"/>
    <w:rsid w:val="0025797E"/>
    <w:rsid w:val="002579C8"/>
    <w:rsid w:val="00257A4C"/>
    <w:rsid w:val="00257A6D"/>
    <w:rsid w:val="00257E1C"/>
    <w:rsid w:val="00257E9D"/>
    <w:rsid w:val="00257FB6"/>
    <w:rsid w:val="00260173"/>
    <w:rsid w:val="002601E8"/>
    <w:rsid w:val="00260414"/>
    <w:rsid w:val="00260698"/>
    <w:rsid w:val="002606D3"/>
    <w:rsid w:val="00260C36"/>
    <w:rsid w:val="00260D17"/>
    <w:rsid w:val="00260DE2"/>
    <w:rsid w:val="002610B3"/>
    <w:rsid w:val="00261138"/>
    <w:rsid w:val="0026134E"/>
    <w:rsid w:val="002614BD"/>
    <w:rsid w:val="002614EF"/>
    <w:rsid w:val="0026155E"/>
    <w:rsid w:val="00261582"/>
    <w:rsid w:val="00261599"/>
    <w:rsid w:val="00261653"/>
    <w:rsid w:val="0026168E"/>
    <w:rsid w:val="00261736"/>
    <w:rsid w:val="00261844"/>
    <w:rsid w:val="002618F5"/>
    <w:rsid w:val="002619A1"/>
    <w:rsid w:val="00261C2B"/>
    <w:rsid w:val="00261DFA"/>
    <w:rsid w:val="00262400"/>
    <w:rsid w:val="00262620"/>
    <w:rsid w:val="002628D5"/>
    <w:rsid w:val="002628F7"/>
    <w:rsid w:val="00262C69"/>
    <w:rsid w:val="00262F84"/>
    <w:rsid w:val="002630E5"/>
    <w:rsid w:val="00263127"/>
    <w:rsid w:val="0026328D"/>
    <w:rsid w:val="0026373D"/>
    <w:rsid w:val="00263A1E"/>
    <w:rsid w:val="00263B98"/>
    <w:rsid w:val="00263C61"/>
    <w:rsid w:val="00263D14"/>
    <w:rsid w:val="00263E81"/>
    <w:rsid w:val="002642DB"/>
    <w:rsid w:val="0026434A"/>
    <w:rsid w:val="00264367"/>
    <w:rsid w:val="002643BE"/>
    <w:rsid w:val="0026478E"/>
    <w:rsid w:val="00264837"/>
    <w:rsid w:val="00264AE0"/>
    <w:rsid w:val="00264C4A"/>
    <w:rsid w:val="00264D6E"/>
    <w:rsid w:val="00264F8D"/>
    <w:rsid w:val="0026507F"/>
    <w:rsid w:val="002653BD"/>
    <w:rsid w:val="002654EE"/>
    <w:rsid w:val="00265A11"/>
    <w:rsid w:val="00265A31"/>
    <w:rsid w:val="00265A33"/>
    <w:rsid w:val="00265B8D"/>
    <w:rsid w:val="00265DB8"/>
    <w:rsid w:val="00266213"/>
    <w:rsid w:val="002663AB"/>
    <w:rsid w:val="002667F3"/>
    <w:rsid w:val="00266921"/>
    <w:rsid w:val="00266A0D"/>
    <w:rsid w:val="00266B99"/>
    <w:rsid w:val="00266D97"/>
    <w:rsid w:val="00267286"/>
    <w:rsid w:val="00267304"/>
    <w:rsid w:val="00267A12"/>
    <w:rsid w:val="00270195"/>
    <w:rsid w:val="002701BE"/>
    <w:rsid w:val="002701D0"/>
    <w:rsid w:val="00270316"/>
    <w:rsid w:val="00270326"/>
    <w:rsid w:val="00270413"/>
    <w:rsid w:val="00270683"/>
    <w:rsid w:val="002707F8"/>
    <w:rsid w:val="00270B33"/>
    <w:rsid w:val="00270BC0"/>
    <w:rsid w:val="0027108D"/>
    <w:rsid w:val="002712F7"/>
    <w:rsid w:val="002714E6"/>
    <w:rsid w:val="002715E2"/>
    <w:rsid w:val="00271803"/>
    <w:rsid w:val="00271810"/>
    <w:rsid w:val="00271A80"/>
    <w:rsid w:val="00271B3A"/>
    <w:rsid w:val="002720B7"/>
    <w:rsid w:val="0027216D"/>
    <w:rsid w:val="00272530"/>
    <w:rsid w:val="002725DE"/>
    <w:rsid w:val="002726F8"/>
    <w:rsid w:val="002728E6"/>
    <w:rsid w:val="00272BB7"/>
    <w:rsid w:val="00272C8D"/>
    <w:rsid w:val="00273039"/>
    <w:rsid w:val="002730DE"/>
    <w:rsid w:val="00273143"/>
    <w:rsid w:val="00273235"/>
    <w:rsid w:val="00273439"/>
    <w:rsid w:val="00273489"/>
    <w:rsid w:val="00273570"/>
    <w:rsid w:val="00273594"/>
    <w:rsid w:val="002735BC"/>
    <w:rsid w:val="00273781"/>
    <w:rsid w:val="002737D1"/>
    <w:rsid w:val="00273B45"/>
    <w:rsid w:val="00273D4A"/>
    <w:rsid w:val="00273EC0"/>
    <w:rsid w:val="00273EC2"/>
    <w:rsid w:val="00273F26"/>
    <w:rsid w:val="00273FA1"/>
    <w:rsid w:val="00274022"/>
    <w:rsid w:val="0027422F"/>
    <w:rsid w:val="00274319"/>
    <w:rsid w:val="0027455B"/>
    <w:rsid w:val="00274B15"/>
    <w:rsid w:val="00274BE1"/>
    <w:rsid w:val="00274DE3"/>
    <w:rsid w:val="00274E42"/>
    <w:rsid w:val="00275244"/>
    <w:rsid w:val="002754DC"/>
    <w:rsid w:val="0027556E"/>
    <w:rsid w:val="002757B4"/>
    <w:rsid w:val="002758FE"/>
    <w:rsid w:val="00275B3F"/>
    <w:rsid w:val="00275DFF"/>
    <w:rsid w:val="00275EAE"/>
    <w:rsid w:val="00275F55"/>
    <w:rsid w:val="002760D9"/>
    <w:rsid w:val="00276204"/>
    <w:rsid w:val="00276468"/>
    <w:rsid w:val="0027672B"/>
    <w:rsid w:val="00276928"/>
    <w:rsid w:val="00276940"/>
    <w:rsid w:val="00276C0D"/>
    <w:rsid w:val="00276C76"/>
    <w:rsid w:val="00276DD9"/>
    <w:rsid w:val="002774E7"/>
    <w:rsid w:val="00277571"/>
    <w:rsid w:val="0027777F"/>
    <w:rsid w:val="002778FD"/>
    <w:rsid w:val="002779AD"/>
    <w:rsid w:val="00277C51"/>
    <w:rsid w:val="00277E8B"/>
    <w:rsid w:val="00280141"/>
    <w:rsid w:val="00280186"/>
    <w:rsid w:val="0028019D"/>
    <w:rsid w:val="002802A5"/>
    <w:rsid w:val="00280393"/>
    <w:rsid w:val="002807D2"/>
    <w:rsid w:val="00280E81"/>
    <w:rsid w:val="00280F55"/>
    <w:rsid w:val="00280FE5"/>
    <w:rsid w:val="00281075"/>
    <w:rsid w:val="002810B6"/>
    <w:rsid w:val="002813A9"/>
    <w:rsid w:val="0028161F"/>
    <w:rsid w:val="00281701"/>
    <w:rsid w:val="0028170B"/>
    <w:rsid w:val="002817C3"/>
    <w:rsid w:val="002818A4"/>
    <w:rsid w:val="002818C2"/>
    <w:rsid w:val="00281A99"/>
    <w:rsid w:val="00281AAB"/>
    <w:rsid w:val="00281ECA"/>
    <w:rsid w:val="00281ECE"/>
    <w:rsid w:val="0028203D"/>
    <w:rsid w:val="00282098"/>
    <w:rsid w:val="002825D1"/>
    <w:rsid w:val="0028285A"/>
    <w:rsid w:val="002829A0"/>
    <w:rsid w:val="002829A1"/>
    <w:rsid w:val="00282B18"/>
    <w:rsid w:val="00282C75"/>
    <w:rsid w:val="00282C88"/>
    <w:rsid w:val="00282F33"/>
    <w:rsid w:val="00283002"/>
    <w:rsid w:val="0028321D"/>
    <w:rsid w:val="002832B9"/>
    <w:rsid w:val="00283494"/>
    <w:rsid w:val="002834C1"/>
    <w:rsid w:val="00283502"/>
    <w:rsid w:val="0028369F"/>
    <w:rsid w:val="002836B9"/>
    <w:rsid w:val="00283841"/>
    <w:rsid w:val="00283E55"/>
    <w:rsid w:val="00284135"/>
    <w:rsid w:val="00284355"/>
    <w:rsid w:val="002843DA"/>
    <w:rsid w:val="002843E7"/>
    <w:rsid w:val="0028464C"/>
    <w:rsid w:val="00284879"/>
    <w:rsid w:val="002849BF"/>
    <w:rsid w:val="00284C99"/>
    <w:rsid w:val="00284D3A"/>
    <w:rsid w:val="002852C3"/>
    <w:rsid w:val="0028553C"/>
    <w:rsid w:val="00285AF2"/>
    <w:rsid w:val="00285BEE"/>
    <w:rsid w:val="00285C83"/>
    <w:rsid w:val="00285CFF"/>
    <w:rsid w:val="00285D34"/>
    <w:rsid w:val="00286039"/>
    <w:rsid w:val="0028603F"/>
    <w:rsid w:val="002860A6"/>
    <w:rsid w:val="002860CE"/>
    <w:rsid w:val="002860E2"/>
    <w:rsid w:val="00286371"/>
    <w:rsid w:val="002865D2"/>
    <w:rsid w:val="00286709"/>
    <w:rsid w:val="00286A2F"/>
    <w:rsid w:val="00286AE3"/>
    <w:rsid w:val="00286CE8"/>
    <w:rsid w:val="00286DC2"/>
    <w:rsid w:val="00286E0D"/>
    <w:rsid w:val="0028722A"/>
    <w:rsid w:val="0028722B"/>
    <w:rsid w:val="002873DD"/>
    <w:rsid w:val="002873F4"/>
    <w:rsid w:val="00287416"/>
    <w:rsid w:val="002876AF"/>
    <w:rsid w:val="00287823"/>
    <w:rsid w:val="00287A97"/>
    <w:rsid w:val="00287B2C"/>
    <w:rsid w:val="00287D52"/>
    <w:rsid w:val="00287E6C"/>
    <w:rsid w:val="002908E0"/>
    <w:rsid w:val="00290A9B"/>
    <w:rsid w:val="00290B44"/>
    <w:rsid w:val="00290C90"/>
    <w:rsid w:val="00290E14"/>
    <w:rsid w:val="00290FD7"/>
    <w:rsid w:val="00290FE8"/>
    <w:rsid w:val="0029130A"/>
    <w:rsid w:val="0029134F"/>
    <w:rsid w:val="002913F7"/>
    <w:rsid w:val="002915B3"/>
    <w:rsid w:val="00291696"/>
    <w:rsid w:val="00291996"/>
    <w:rsid w:val="00291A46"/>
    <w:rsid w:val="00291F4D"/>
    <w:rsid w:val="0029200A"/>
    <w:rsid w:val="00292496"/>
    <w:rsid w:val="002926E0"/>
    <w:rsid w:val="002926E6"/>
    <w:rsid w:val="00292819"/>
    <w:rsid w:val="0029284A"/>
    <w:rsid w:val="00292988"/>
    <w:rsid w:val="00292B91"/>
    <w:rsid w:val="00292D15"/>
    <w:rsid w:val="00292F8D"/>
    <w:rsid w:val="00293523"/>
    <w:rsid w:val="002937FB"/>
    <w:rsid w:val="002938E4"/>
    <w:rsid w:val="002939E2"/>
    <w:rsid w:val="00293A13"/>
    <w:rsid w:val="00293BCE"/>
    <w:rsid w:val="00293C05"/>
    <w:rsid w:val="00293F14"/>
    <w:rsid w:val="002940E4"/>
    <w:rsid w:val="00294273"/>
    <w:rsid w:val="00294447"/>
    <w:rsid w:val="002946F0"/>
    <w:rsid w:val="002946F3"/>
    <w:rsid w:val="002947EA"/>
    <w:rsid w:val="00294814"/>
    <w:rsid w:val="00294B4D"/>
    <w:rsid w:val="00294D9C"/>
    <w:rsid w:val="00294F6F"/>
    <w:rsid w:val="0029519A"/>
    <w:rsid w:val="00295239"/>
    <w:rsid w:val="0029533F"/>
    <w:rsid w:val="00295529"/>
    <w:rsid w:val="00295820"/>
    <w:rsid w:val="0029585B"/>
    <w:rsid w:val="00295A74"/>
    <w:rsid w:val="00295DFF"/>
    <w:rsid w:val="00295E57"/>
    <w:rsid w:val="00295E5E"/>
    <w:rsid w:val="0029663A"/>
    <w:rsid w:val="00296895"/>
    <w:rsid w:val="002968A7"/>
    <w:rsid w:val="002969D0"/>
    <w:rsid w:val="00296AC6"/>
    <w:rsid w:val="0029733C"/>
    <w:rsid w:val="002976F4"/>
    <w:rsid w:val="0029771C"/>
    <w:rsid w:val="002977B4"/>
    <w:rsid w:val="002978CB"/>
    <w:rsid w:val="002978FB"/>
    <w:rsid w:val="00297964"/>
    <w:rsid w:val="00297A43"/>
    <w:rsid w:val="00297B16"/>
    <w:rsid w:val="00297EF9"/>
    <w:rsid w:val="002A0042"/>
    <w:rsid w:val="002A0301"/>
    <w:rsid w:val="002A0CE7"/>
    <w:rsid w:val="002A10A8"/>
    <w:rsid w:val="002A11BA"/>
    <w:rsid w:val="002A1279"/>
    <w:rsid w:val="002A1731"/>
    <w:rsid w:val="002A1893"/>
    <w:rsid w:val="002A1951"/>
    <w:rsid w:val="002A1C2A"/>
    <w:rsid w:val="002A1D63"/>
    <w:rsid w:val="002A1DC3"/>
    <w:rsid w:val="002A1E87"/>
    <w:rsid w:val="002A21EE"/>
    <w:rsid w:val="002A244B"/>
    <w:rsid w:val="002A247A"/>
    <w:rsid w:val="002A2628"/>
    <w:rsid w:val="002A2879"/>
    <w:rsid w:val="002A2AF3"/>
    <w:rsid w:val="002A2BE0"/>
    <w:rsid w:val="002A2D7D"/>
    <w:rsid w:val="002A3015"/>
    <w:rsid w:val="002A30D4"/>
    <w:rsid w:val="002A3269"/>
    <w:rsid w:val="002A38B0"/>
    <w:rsid w:val="002A3ABE"/>
    <w:rsid w:val="002A3B09"/>
    <w:rsid w:val="002A3BCA"/>
    <w:rsid w:val="002A3D9B"/>
    <w:rsid w:val="002A3DC8"/>
    <w:rsid w:val="002A3F54"/>
    <w:rsid w:val="002A40D6"/>
    <w:rsid w:val="002A420C"/>
    <w:rsid w:val="002A420E"/>
    <w:rsid w:val="002A437D"/>
    <w:rsid w:val="002A43E5"/>
    <w:rsid w:val="002A45C8"/>
    <w:rsid w:val="002A4609"/>
    <w:rsid w:val="002A478D"/>
    <w:rsid w:val="002A4C4C"/>
    <w:rsid w:val="002A4C7C"/>
    <w:rsid w:val="002A4F74"/>
    <w:rsid w:val="002A5047"/>
    <w:rsid w:val="002A5153"/>
    <w:rsid w:val="002A523A"/>
    <w:rsid w:val="002A54BD"/>
    <w:rsid w:val="002A56F6"/>
    <w:rsid w:val="002A589D"/>
    <w:rsid w:val="002A59B1"/>
    <w:rsid w:val="002A5AF3"/>
    <w:rsid w:val="002A5D0E"/>
    <w:rsid w:val="002A5DD3"/>
    <w:rsid w:val="002A5DE3"/>
    <w:rsid w:val="002A5EEE"/>
    <w:rsid w:val="002A62B2"/>
    <w:rsid w:val="002A67AF"/>
    <w:rsid w:val="002A697C"/>
    <w:rsid w:val="002A699C"/>
    <w:rsid w:val="002A69B8"/>
    <w:rsid w:val="002A6EF2"/>
    <w:rsid w:val="002A6F29"/>
    <w:rsid w:val="002A71F2"/>
    <w:rsid w:val="002A7438"/>
    <w:rsid w:val="002A757D"/>
    <w:rsid w:val="002A787F"/>
    <w:rsid w:val="002A795E"/>
    <w:rsid w:val="002A7B77"/>
    <w:rsid w:val="002A7D73"/>
    <w:rsid w:val="002A7DEA"/>
    <w:rsid w:val="002A7FD0"/>
    <w:rsid w:val="002B007A"/>
    <w:rsid w:val="002B02C2"/>
    <w:rsid w:val="002B02F5"/>
    <w:rsid w:val="002B063B"/>
    <w:rsid w:val="002B0CC9"/>
    <w:rsid w:val="002B0E0D"/>
    <w:rsid w:val="002B103D"/>
    <w:rsid w:val="002B10B4"/>
    <w:rsid w:val="002B11D6"/>
    <w:rsid w:val="002B1238"/>
    <w:rsid w:val="002B1401"/>
    <w:rsid w:val="002B1688"/>
    <w:rsid w:val="002B1898"/>
    <w:rsid w:val="002B1A95"/>
    <w:rsid w:val="002B1CDF"/>
    <w:rsid w:val="002B1D57"/>
    <w:rsid w:val="002B1E73"/>
    <w:rsid w:val="002B1F10"/>
    <w:rsid w:val="002B274B"/>
    <w:rsid w:val="002B28AC"/>
    <w:rsid w:val="002B2958"/>
    <w:rsid w:val="002B2E34"/>
    <w:rsid w:val="002B3067"/>
    <w:rsid w:val="002B30AF"/>
    <w:rsid w:val="002B350B"/>
    <w:rsid w:val="002B357C"/>
    <w:rsid w:val="002B37E9"/>
    <w:rsid w:val="002B386E"/>
    <w:rsid w:val="002B38F1"/>
    <w:rsid w:val="002B3945"/>
    <w:rsid w:val="002B3ACF"/>
    <w:rsid w:val="002B3D01"/>
    <w:rsid w:val="002B3F5A"/>
    <w:rsid w:val="002B3FF4"/>
    <w:rsid w:val="002B4399"/>
    <w:rsid w:val="002B453E"/>
    <w:rsid w:val="002B45D8"/>
    <w:rsid w:val="002B4A0A"/>
    <w:rsid w:val="002B4A50"/>
    <w:rsid w:val="002B4D00"/>
    <w:rsid w:val="002B5332"/>
    <w:rsid w:val="002B5B2C"/>
    <w:rsid w:val="002B61D2"/>
    <w:rsid w:val="002B64CA"/>
    <w:rsid w:val="002B7082"/>
    <w:rsid w:val="002B77D0"/>
    <w:rsid w:val="002B7F5D"/>
    <w:rsid w:val="002C02E7"/>
    <w:rsid w:val="002C0679"/>
    <w:rsid w:val="002C080B"/>
    <w:rsid w:val="002C0B04"/>
    <w:rsid w:val="002C0DCA"/>
    <w:rsid w:val="002C0EFF"/>
    <w:rsid w:val="002C12CF"/>
    <w:rsid w:val="002C131F"/>
    <w:rsid w:val="002C13EA"/>
    <w:rsid w:val="002C165C"/>
    <w:rsid w:val="002C215F"/>
    <w:rsid w:val="002C2162"/>
    <w:rsid w:val="002C2224"/>
    <w:rsid w:val="002C22CC"/>
    <w:rsid w:val="002C230D"/>
    <w:rsid w:val="002C24C6"/>
    <w:rsid w:val="002C2682"/>
    <w:rsid w:val="002C274A"/>
    <w:rsid w:val="002C2894"/>
    <w:rsid w:val="002C293E"/>
    <w:rsid w:val="002C2AA3"/>
    <w:rsid w:val="002C2B0F"/>
    <w:rsid w:val="002C2BF1"/>
    <w:rsid w:val="002C2DE3"/>
    <w:rsid w:val="002C326E"/>
    <w:rsid w:val="002C32C1"/>
    <w:rsid w:val="002C33F9"/>
    <w:rsid w:val="002C3484"/>
    <w:rsid w:val="002C35A0"/>
    <w:rsid w:val="002C371A"/>
    <w:rsid w:val="002C37CE"/>
    <w:rsid w:val="002C39F6"/>
    <w:rsid w:val="002C3D92"/>
    <w:rsid w:val="002C3FD7"/>
    <w:rsid w:val="002C41C6"/>
    <w:rsid w:val="002C42D1"/>
    <w:rsid w:val="002C43B6"/>
    <w:rsid w:val="002C4948"/>
    <w:rsid w:val="002C4BA7"/>
    <w:rsid w:val="002C4D27"/>
    <w:rsid w:val="002C4F41"/>
    <w:rsid w:val="002C539B"/>
    <w:rsid w:val="002C5741"/>
    <w:rsid w:val="002C591C"/>
    <w:rsid w:val="002C5D01"/>
    <w:rsid w:val="002C5DAF"/>
    <w:rsid w:val="002C609F"/>
    <w:rsid w:val="002C60A9"/>
    <w:rsid w:val="002C636A"/>
    <w:rsid w:val="002C63B2"/>
    <w:rsid w:val="002C644E"/>
    <w:rsid w:val="002C66AC"/>
    <w:rsid w:val="002C6ABD"/>
    <w:rsid w:val="002C7317"/>
    <w:rsid w:val="002C756D"/>
    <w:rsid w:val="002C75C8"/>
    <w:rsid w:val="002C78BF"/>
    <w:rsid w:val="002C7959"/>
    <w:rsid w:val="002C7ED4"/>
    <w:rsid w:val="002D004B"/>
    <w:rsid w:val="002D0127"/>
    <w:rsid w:val="002D0623"/>
    <w:rsid w:val="002D071F"/>
    <w:rsid w:val="002D0806"/>
    <w:rsid w:val="002D08ED"/>
    <w:rsid w:val="002D090C"/>
    <w:rsid w:val="002D09DC"/>
    <w:rsid w:val="002D0A78"/>
    <w:rsid w:val="002D0B59"/>
    <w:rsid w:val="002D0BCB"/>
    <w:rsid w:val="002D0EFC"/>
    <w:rsid w:val="002D105C"/>
    <w:rsid w:val="002D13FF"/>
    <w:rsid w:val="002D1412"/>
    <w:rsid w:val="002D1425"/>
    <w:rsid w:val="002D14EF"/>
    <w:rsid w:val="002D1B0B"/>
    <w:rsid w:val="002D1D9F"/>
    <w:rsid w:val="002D1DB5"/>
    <w:rsid w:val="002D1E93"/>
    <w:rsid w:val="002D1E9C"/>
    <w:rsid w:val="002D23E8"/>
    <w:rsid w:val="002D2516"/>
    <w:rsid w:val="002D28C0"/>
    <w:rsid w:val="002D2BA3"/>
    <w:rsid w:val="002D2D14"/>
    <w:rsid w:val="002D2D93"/>
    <w:rsid w:val="002D3244"/>
    <w:rsid w:val="002D329F"/>
    <w:rsid w:val="002D346C"/>
    <w:rsid w:val="002D3482"/>
    <w:rsid w:val="002D348B"/>
    <w:rsid w:val="002D374C"/>
    <w:rsid w:val="002D38F9"/>
    <w:rsid w:val="002D3980"/>
    <w:rsid w:val="002D3D8D"/>
    <w:rsid w:val="002D3DE3"/>
    <w:rsid w:val="002D3F49"/>
    <w:rsid w:val="002D4091"/>
    <w:rsid w:val="002D43E1"/>
    <w:rsid w:val="002D475C"/>
    <w:rsid w:val="002D4828"/>
    <w:rsid w:val="002D4841"/>
    <w:rsid w:val="002D4AB6"/>
    <w:rsid w:val="002D4BCB"/>
    <w:rsid w:val="002D4F44"/>
    <w:rsid w:val="002D4F82"/>
    <w:rsid w:val="002D551D"/>
    <w:rsid w:val="002D5578"/>
    <w:rsid w:val="002D5691"/>
    <w:rsid w:val="002D5716"/>
    <w:rsid w:val="002D589C"/>
    <w:rsid w:val="002D593E"/>
    <w:rsid w:val="002D5A6E"/>
    <w:rsid w:val="002D5EF3"/>
    <w:rsid w:val="002D6013"/>
    <w:rsid w:val="002D613A"/>
    <w:rsid w:val="002D626F"/>
    <w:rsid w:val="002D62AB"/>
    <w:rsid w:val="002D63A1"/>
    <w:rsid w:val="002D63B3"/>
    <w:rsid w:val="002D6B2F"/>
    <w:rsid w:val="002D6B46"/>
    <w:rsid w:val="002D6B79"/>
    <w:rsid w:val="002D6C54"/>
    <w:rsid w:val="002D6C87"/>
    <w:rsid w:val="002D6D24"/>
    <w:rsid w:val="002D6F04"/>
    <w:rsid w:val="002D7191"/>
    <w:rsid w:val="002D759E"/>
    <w:rsid w:val="002D76E2"/>
    <w:rsid w:val="002D78AC"/>
    <w:rsid w:val="002D7A08"/>
    <w:rsid w:val="002D7B16"/>
    <w:rsid w:val="002D7BCC"/>
    <w:rsid w:val="002D7D6C"/>
    <w:rsid w:val="002E0472"/>
    <w:rsid w:val="002E0588"/>
    <w:rsid w:val="002E0785"/>
    <w:rsid w:val="002E0793"/>
    <w:rsid w:val="002E08AE"/>
    <w:rsid w:val="002E097F"/>
    <w:rsid w:val="002E0999"/>
    <w:rsid w:val="002E09A4"/>
    <w:rsid w:val="002E0A3F"/>
    <w:rsid w:val="002E0BE9"/>
    <w:rsid w:val="002E117C"/>
    <w:rsid w:val="002E13B0"/>
    <w:rsid w:val="002E140E"/>
    <w:rsid w:val="002E1513"/>
    <w:rsid w:val="002E15F9"/>
    <w:rsid w:val="002E1606"/>
    <w:rsid w:val="002E179B"/>
    <w:rsid w:val="002E1993"/>
    <w:rsid w:val="002E1A12"/>
    <w:rsid w:val="002E1ADF"/>
    <w:rsid w:val="002E1B23"/>
    <w:rsid w:val="002E1CC0"/>
    <w:rsid w:val="002E1DC6"/>
    <w:rsid w:val="002E1E1E"/>
    <w:rsid w:val="002E1F33"/>
    <w:rsid w:val="002E1FC3"/>
    <w:rsid w:val="002E1FD0"/>
    <w:rsid w:val="002E20CC"/>
    <w:rsid w:val="002E254B"/>
    <w:rsid w:val="002E2587"/>
    <w:rsid w:val="002E25AD"/>
    <w:rsid w:val="002E26F1"/>
    <w:rsid w:val="002E2986"/>
    <w:rsid w:val="002E2B0D"/>
    <w:rsid w:val="002E2F3D"/>
    <w:rsid w:val="002E301D"/>
    <w:rsid w:val="002E3067"/>
    <w:rsid w:val="002E34F5"/>
    <w:rsid w:val="002E35BC"/>
    <w:rsid w:val="002E3A40"/>
    <w:rsid w:val="002E3A4A"/>
    <w:rsid w:val="002E3AEE"/>
    <w:rsid w:val="002E3BE3"/>
    <w:rsid w:val="002E3C90"/>
    <w:rsid w:val="002E3DFD"/>
    <w:rsid w:val="002E41A6"/>
    <w:rsid w:val="002E41B2"/>
    <w:rsid w:val="002E41D6"/>
    <w:rsid w:val="002E477B"/>
    <w:rsid w:val="002E47D6"/>
    <w:rsid w:val="002E482B"/>
    <w:rsid w:val="002E4BB8"/>
    <w:rsid w:val="002E4C1D"/>
    <w:rsid w:val="002E4F24"/>
    <w:rsid w:val="002E4F55"/>
    <w:rsid w:val="002E5103"/>
    <w:rsid w:val="002E53AC"/>
    <w:rsid w:val="002E53C0"/>
    <w:rsid w:val="002E5621"/>
    <w:rsid w:val="002E584A"/>
    <w:rsid w:val="002E59B4"/>
    <w:rsid w:val="002E5AA1"/>
    <w:rsid w:val="002E5B8E"/>
    <w:rsid w:val="002E5C6F"/>
    <w:rsid w:val="002E5D90"/>
    <w:rsid w:val="002E5E18"/>
    <w:rsid w:val="002E5E34"/>
    <w:rsid w:val="002E5E97"/>
    <w:rsid w:val="002E5F6E"/>
    <w:rsid w:val="002E623F"/>
    <w:rsid w:val="002E66FC"/>
    <w:rsid w:val="002E67F2"/>
    <w:rsid w:val="002E684C"/>
    <w:rsid w:val="002E6A59"/>
    <w:rsid w:val="002E6BA4"/>
    <w:rsid w:val="002E6C9F"/>
    <w:rsid w:val="002E6FA9"/>
    <w:rsid w:val="002E704E"/>
    <w:rsid w:val="002E72B8"/>
    <w:rsid w:val="002E740B"/>
    <w:rsid w:val="002E7436"/>
    <w:rsid w:val="002E74C2"/>
    <w:rsid w:val="002E7543"/>
    <w:rsid w:val="002E763E"/>
    <w:rsid w:val="002E7767"/>
    <w:rsid w:val="002E78BB"/>
    <w:rsid w:val="002E795C"/>
    <w:rsid w:val="002E7AE2"/>
    <w:rsid w:val="002E7B87"/>
    <w:rsid w:val="002E7DE0"/>
    <w:rsid w:val="002E7E1D"/>
    <w:rsid w:val="002F0125"/>
    <w:rsid w:val="002F0184"/>
    <w:rsid w:val="002F0766"/>
    <w:rsid w:val="002F0AA7"/>
    <w:rsid w:val="002F0BE0"/>
    <w:rsid w:val="002F0F49"/>
    <w:rsid w:val="002F1778"/>
    <w:rsid w:val="002F180B"/>
    <w:rsid w:val="002F1A5C"/>
    <w:rsid w:val="002F1B7E"/>
    <w:rsid w:val="002F1D03"/>
    <w:rsid w:val="002F1F53"/>
    <w:rsid w:val="002F2154"/>
    <w:rsid w:val="002F2209"/>
    <w:rsid w:val="002F2377"/>
    <w:rsid w:val="002F23E6"/>
    <w:rsid w:val="002F2653"/>
    <w:rsid w:val="002F26BA"/>
    <w:rsid w:val="002F280F"/>
    <w:rsid w:val="002F289B"/>
    <w:rsid w:val="002F295A"/>
    <w:rsid w:val="002F29A2"/>
    <w:rsid w:val="002F2C32"/>
    <w:rsid w:val="002F2D66"/>
    <w:rsid w:val="002F2DA4"/>
    <w:rsid w:val="002F302D"/>
    <w:rsid w:val="002F3055"/>
    <w:rsid w:val="002F3412"/>
    <w:rsid w:val="002F356B"/>
    <w:rsid w:val="002F360F"/>
    <w:rsid w:val="002F39D4"/>
    <w:rsid w:val="002F3A21"/>
    <w:rsid w:val="002F3AF6"/>
    <w:rsid w:val="002F3B5E"/>
    <w:rsid w:val="002F3B8D"/>
    <w:rsid w:val="002F3E3E"/>
    <w:rsid w:val="002F431E"/>
    <w:rsid w:val="002F45A6"/>
    <w:rsid w:val="002F4759"/>
    <w:rsid w:val="002F4BFF"/>
    <w:rsid w:val="002F4E42"/>
    <w:rsid w:val="002F5035"/>
    <w:rsid w:val="002F53A7"/>
    <w:rsid w:val="002F5561"/>
    <w:rsid w:val="002F56E7"/>
    <w:rsid w:val="002F5963"/>
    <w:rsid w:val="002F5981"/>
    <w:rsid w:val="002F5A92"/>
    <w:rsid w:val="002F5AF7"/>
    <w:rsid w:val="002F628A"/>
    <w:rsid w:val="002F6775"/>
    <w:rsid w:val="002F6862"/>
    <w:rsid w:val="002F693E"/>
    <w:rsid w:val="002F69E8"/>
    <w:rsid w:val="002F6FAA"/>
    <w:rsid w:val="002F71CC"/>
    <w:rsid w:val="002F7261"/>
    <w:rsid w:val="002F729D"/>
    <w:rsid w:val="002F757A"/>
    <w:rsid w:val="002F75BC"/>
    <w:rsid w:val="002F788A"/>
    <w:rsid w:val="002F78B5"/>
    <w:rsid w:val="002F7AC2"/>
    <w:rsid w:val="002F7AFC"/>
    <w:rsid w:val="002F7CF1"/>
    <w:rsid w:val="002F7DAB"/>
    <w:rsid w:val="002F7E71"/>
    <w:rsid w:val="0030019D"/>
    <w:rsid w:val="00300210"/>
    <w:rsid w:val="00300238"/>
    <w:rsid w:val="00300272"/>
    <w:rsid w:val="00300287"/>
    <w:rsid w:val="003002C4"/>
    <w:rsid w:val="00300B37"/>
    <w:rsid w:val="00300B9E"/>
    <w:rsid w:val="00300BB5"/>
    <w:rsid w:val="00300BCB"/>
    <w:rsid w:val="00300DD2"/>
    <w:rsid w:val="00300E2D"/>
    <w:rsid w:val="0030109E"/>
    <w:rsid w:val="003010B8"/>
    <w:rsid w:val="0030124D"/>
    <w:rsid w:val="003012BC"/>
    <w:rsid w:val="00301453"/>
    <w:rsid w:val="003014F0"/>
    <w:rsid w:val="00301617"/>
    <w:rsid w:val="00301B23"/>
    <w:rsid w:val="00301C1D"/>
    <w:rsid w:val="00301F32"/>
    <w:rsid w:val="00301FF1"/>
    <w:rsid w:val="003020C7"/>
    <w:rsid w:val="003024CB"/>
    <w:rsid w:val="00302BDD"/>
    <w:rsid w:val="00302EB5"/>
    <w:rsid w:val="00303168"/>
    <w:rsid w:val="00303501"/>
    <w:rsid w:val="003035D4"/>
    <w:rsid w:val="003036C5"/>
    <w:rsid w:val="00303B70"/>
    <w:rsid w:val="003040E6"/>
    <w:rsid w:val="00304299"/>
    <w:rsid w:val="003042D4"/>
    <w:rsid w:val="003042E1"/>
    <w:rsid w:val="00304374"/>
    <w:rsid w:val="00304406"/>
    <w:rsid w:val="0030475C"/>
    <w:rsid w:val="003049A3"/>
    <w:rsid w:val="00304A46"/>
    <w:rsid w:val="00304CA8"/>
    <w:rsid w:val="00304EFA"/>
    <w:rsid w:val="00304F81"/>
    <w:rsid w:val="00305268"/>
    <w:rsid w:val="0030530C"/>
    <w:rsid w:val="0030534B"/>
    <w:rsid w:val="0030537A"/>
    <w:rsid w:val="003056DA"/>
    <w:rsid w:val="00305982"/>
    <w:rsid w:val="00305D82"/>
    <w:rsid w:val="00305DD5"/>
    <w:rsid w:val="00306004"/>
    <w:rsid w:val="003060AA"/>
    <w:rsid w:val="003066EC"/>
    <w:rsid w:val="00306946"/>
    <w:rsid w:val="003069AB"/>
    <w:rsid w:val="00306A04"/>
    <w:rsid w:val="00306A29"/>
    <w:rsid w:val="00306EB8"/>
    <w:rsid w:val="003071F7"/>
    <w:rsid w:val="00307342"/>
    <w:rsid w:val="0030744F"/>
    <w:rsid w:val="0030745F"/>
    <w:rsid w:val="003075EC"/>
    <w:rsid w:val="00307DBB"/>
    <w:rsid w:val="00307E0C"/>
    <w:rsid w:val="00310655"/>
    <w:rsid w:val="003106DD"/>
    <w:rsid w:val="003106F3"/>
    <w:rsid w:val="0031087E"/>
    <w:rsid w:val="00310C49"/>
    <w:rsid w:val="00310D05"/>
    <w:rsid w:val="00310F6F"/>
    <w:rsid w:val="003110E2"/>
    <w:rsid w:val="003113A2"/>
    <w:rsid w:val="003115C3"/>
    <w:rsid w:val="0031161A"/>
    <w:rsid w:val="00311A8B"/>
    <w:rsid w:val="00311AA4"/>
    <w:rsid w:val="00311F66"/>
    <w:rsid w:val="00311F96"/>
    <w:rsid w:val="00312023"/>
    <w:rsid w:val="00312441"/>
    <w:rsid w:val="00312478"/>
    <w:rsid w:val="00312597"/>
    <w:rsid w:val="00312857"/>
    <w:rsid w:val="003128C1"/>
    <w:rsid w:val="00312A6D"/>
    <w:rsid w:val="00312D12"/>
    <w:rsid w:val="00312D3D"/>
    <w:rsid w:val="00312F24"/>
    <w:rsid w:val="00312F35"/>
    <w:rsid w:val="0031315C"/>
    <w:rsid w:val="00313363"/>
    <w:rsid w:val="00313431"/>
    <w:rsid w:val="0031344E"/>
    <w:rsid w:val="0031361B"/>
    <w:rsid w:val="00313754"/>
    <w:rsid w:val="0031387F"/>
    <w:rsid w:val="00313FB5"/>
    <w:rsid w:val="003140A0"/>
    <w:rsid w:val="0031413C"/>
    <w:rsid w:val="003141EA"/>
    <w:rsid w:val="003143D1"/>
    <w:rsid w:val="0031478E"/>
    <w:rsid w:val="003149AC"/>
    <w:rsid w:val="00314B76"/>
    <w:rsid w:val="00314BF8"/>
    <w:rsid w:val="00314D02"/>
    <w:rsid w:val="00314D08"/>
    <w:rsid w:val="00314E49"/>
    <w:rsid w:val="00314F3E"/>
    <w:rsid w:val="00314F53"/>
    <w:rsid w:val="003150C5"/>
    <w:rsid w:val="00315110"/>
    <w:rsid w:val="0031549B"/>
    <w:rsid w:val="00315B52"/>
    <w:rsid w:val="00315C35"/>
    <w:rsid w:val="00315CE1"/>
    <w:rsid w:val="0031614E"/>
    <w:rsid w:val="00316B78"/>
    <w:rsid w:val="0031706A"/>
    <w:rsid w:val="003170CC"/>
    <w:rsid w:val="003172BE"/>
    <w:rsid w:val="00317336"/>
    <w:rsid w:val="00317495"/>
    <w:rsid w:val="0031790C"/>
    <w:rsid w:val="00317BF7"/>
    <w:rsid w:val="00317C55"/>
    <w:rsid w:val="0032022D"/>
    <w:rsid w:val="00320467"/>
    <w:rsid w:val="00320523"/>
    <w:rsid w:val="0032065A"/>
    <w:rsid w:val="003207D4"/>
    <w:rsid w:val="00320915"/>
    <w:rsid w:val="0032099C"/>
    <w:rsid w:val="00320ADD"/>
    <w:rsid w:val="00320B78"/>
    <w:rsid w:val="00320C02"/>
    <w:rsid w:val="00320C92"/>
    <w:rsid w:val="00320DAA"/>
    <w:rsid w:val="00320F50"/>
    <w:rsid w:val="0032115B"/>
    <w:rsid w:val="0032139E"/>
    <w:rsid w:val="00321434"/>
    <w:rsid w:val="00321744"/>
    <w:rsid w:val="003217CE"/>
    <w:rsid w:val="00321AC6"/>
    <w:rsid w:val="00321ACD"/>
    <w:rsid w:val="00321BD2"/>
    <w:rsid w:val="00321CF7"/>
    <w:rsid w:val="00322014"/>
    <w:rsid w:val="003220E7"/>
    <w:rsid w:val="003225EA"/>
    <w:rsid w:val="003225F7"/>
    <w:rsid w:val="00322619"/>
    <w:rsid w:val="003226F7"/>
    <w:rsid w:val="00322797"/>
    <w:rsid w:val="003231C0"/>
    <w:rsid w:val="0032321C"/>
    <w:rsid w:val="0032342E"/>
    <w:rsid w:val="0032361C"/>
    <w:rsid w:val="00323C02"/>
    <w:rsid w:val="00323DA6"/>
    <w:rsid w:val="00323DAE"/>
    <w:rsid w:val="00323E42"/>
    <w:rsid w:val="00324056"/>
    <w:rsid w:val="0032420E"/>
    <w:rsid w:val="003242C0"/>
    <w:rsid w:val="0032440E"/>
    <w:rsid w:val="00324715"/>
    <w:rsid w:val="003247D5"/>
    <w:rsid w:val="003249B9"/>
    <w:rsid w:val="00324A82"/>
    <w:rsid w:val="00324B2C"/>
    <w:rsid w:val="00324C3B"/>
    <w:rsid w:val="00324C45"/>
    <w:rsid w:val="00325095"/>
    <w:rsid w:val="003250C9"/>
    <w:rsid w:val="00325252"/>
    <w:rsid w:val="0032551B"/>
    <w:rsid w:val="00325628"/>
    <w:rsid w:val="003258F5"/>
    <w:rsid w:val="00325C5E"/>
    <w:rsid w:val="00325E58"/>
    <w:rsid w:val="00325F43"/>
    <w:rsid w:val="003261E0"/>
    <w:rsid w:val="0032622F"/>
    <w:rsid w:val="0032627B"/>
    <w:rsid w:val="003262A5"/>
    <w:rsid w:val="003262D9"/>
    <w:rsid w:val="003262E9"/>
    <w:rsid w:val="003264AA"/>
    <w:rsid w:val="0032662D"/>
    <w:rsid w:val="003266C2"/>
    <w:rsid w:val="00326807"/>
    <w:rsid w:val="00326D55"/>
    <w:rsid w:val="00326EAA"/>
    <w:rsid w:val="003275A9"/>
    <w:rsid w:val="003276FD"/>
    <w:rsid w:val="00327949"/>
    <w:rsid w:val="003279F1"/>
    <w:rsid w:val="00327BDF"/>
    <w:rsid w:val="00327C7B"/>
    <w:rsid w:val="00327D11"/>
    <w:rsid w:val="00327F49"/>
    <w:rsid w:val="0033009B"/>
    <w:rsid w:val="00330566"/>
    <w:rsid w:val="00330569"/>
    <w:rsid w:val="00330829"/>
    <w:rsid w:val="0033086D"/>
    <w:rsid w:val="00330D1A"/>
    <w:rsid w:val="003311E1"/>
    <w:rsid w:val="00331457"/>
    <w:rsid w:val="00331515"/>
    <w:rsid w:val="003315D2"/>
    <w:rsid w:val="00331665"/>
    <w:rsid w:val="00331673"/>
    <w:rsid w:val="00331936"/>
    <w:rsid w:val="00331F88"/>
    <w:rsid w:val="00332046"/>
    <w:rsid w:val="00332226"/>
    <w:rsid w:val="003323C0"/>
    <w:rsid w:val="0033253F"/>
    <w:rsid w:val="003328E6"/>
    <w:rsid w:val="00332A17"/>
    <w:rsid w:val="00332AFB"/>
    <w:rsid w:val="00332B39"/>
    <w:rsid w:val="00332C63"/>
    <w:rsid w:val="00332FE8"/>
    <w:rsid w:val="00333065"/>
    <w:rsid w:val="0033335D"/>
    <w:rsid w:val="003333D9"/>
    <w:rsid w:val="0033344A"/>
    <w:rsid w:val="00333495"/>
    <w:rsid w:val="003334C6"/>
    <w:rsid w:val="003336D3"/>
    <w:rsid w:val="003337FF"/>
    <w:rsid w:val="00333839"/>
    <w:rsid w:val="00333AD6"/>
    <w:rsid w:val="00333EF6"/>
    <w:rsid w:val="00333F87"/>
    <w:rsid w:val="0033417D"/>
    <w:rsid w:val="00334412"/>
    <w:rsid w:val="00334870"/>
    <w:rsid w:val="003349B4"/>
    <w:rsid w:val="00334A1F"/>
    <w:rsid w:val="00334F08"/>
    <w:rsid w:val="003350F0"/>
    <w:rsid w:val="00335124"/>
    <w:rsid w:val="0033520D"/>
    <w:rsid w:val="0033532B"/>
    <w:rsid w:val="003354E3"/>
    <w:rsid w:val="003356C8"/>
    <w:rsid w:val="0033579E"/>
    <w:rsid w:val="00335B93"/>
    <w:rsid w:val="00335BB2"/>
    <w:rsid w:val="00335C67"/>
    <w:rsid w:val="00335E53"/>
    <w:rsid w:val="003361FD"/>
    <w:rsid w:val="003364AB"/>
    <w:rsid w:val="003364F9"/>
    <w:rsid w:val="003365E1"/>
    <w:rsid w:val="0033661A"/>
    <w:rsid w:val="003367D1"/>
    <w:rsid w:val="00336812"/>
    <w:rsid w:val="0033681A"/>
    <w:rsid w:val="003370B2"/>
    <w:rsid w:val="0033766C"/>
    <w:rsid w:val="003376B7"/>
    <w:rsid w:val="00337E54"/>
    <w:rsid w:val="003400F4"/>
    <w:rsid w:val="0034051B"/>
    <w:rsid w:val="003406F1"/>
    <w:rsid w:val="003407EB"/>
    <w:rsid w:val="003407FB"/>
    <w:rsid w:val="00340818"/>
    <w:rsid w:val="00340B13"/>
    <w:rsid w:val="00340C16"/>
    <w:rsid w:val="00340CB7"/>
    <w:rsid w:val="00340E7D"/>
    <w:rsid w:val="003411DF"/>
    <w:rsid w:val="00341237"/>
    <w:rsid w:val="00341368"/>
    <w:rsid w:val="00341855"/>
    <w:rsid w:val="00341981"/>
    <w:rsid w:val="00341C5E"/>
    <w:rsid w:val="00341F8F"/>
    <w:rsid w:val="00341FE3"/>
    <w:rsid w:val="0034267C"/>
    <w:rsid w:val="0034281C"/>
    <w:rsid w:val="00342BC1"/>
    <w:rsid w:val="00342ED7"/>
    <w:rsid w:val="0034320F"/>
    <w:rsid w:val="00343215"/>
    <w:rsid w:val="003434FC"/>
    <w:rsid w:val="003437C4"/>
    <w:rsid w:val="003439EA"/>
    <w:rsid w:val="00343AF3"/>
    <w:rsid w:val="00344681"/>
    <w:rsid w:val="00344784"/>
    <w:rsid w:val="0034490A"/>
    <w:rsid w:val="00344957"/>
    <w:rsid w:val="00344C24"/>
    <w:rsid w:val="00344DE5"/>
    <w:rsid w:val="0034510D"/>
    <w:rsid w:val="00345862"/>
    <w:rsid w:val="0034598A"/>
    <w:rsid w:val="003459D9"/>
    <w:rsid w:val="00345BC0"/>
    <w:rsid w:val="00345F3B"/>
    <w:rsid w:val="00345FE2"/>
    <w:rsid w:val="003460B1"/>
    <w:rsid w:val="003461AE"/>
    <w:rsid w:val="0034633B"/>
    <w:rsid w:val="00346415"/>
    <w:rsid w:val="00346608"/>
    <w:rsid w:val="0034671A"/>
    <w:rsid w:val="00346BC6"/>
    <w:rsid w:val="00346C7D"/>
    <w:rsid w:val="00346E2E"/>
    <w:rsid w:val="003473F2"/>
    <w:rsid w:val="00347465"/>
    <w:rsid w:val="00347522"/>
    <w:rsid w:val="00347B83"/>
    <w:rsid w:val="00347C9C"/>
    <w:rsid w:val="0035002C"/>
    <w:rsid w:val="00350208"/>
    <w:rsid w:val="003502F3"/>
    <w:rsid w:val="00350F09"/>
    <w:rsid w:val="00350FAC"/>
    <w:rsid w:val="00351134"/>
    <w:rsid w:val="003513C8"/>
    <w:rsid w:val="003515CD"/>
    <w:rsid w:val="00351650"/>
    <w:rsid w:val="00351674"/>
    <w:rsid w:val="0035170F"/>
    <w:rsid w:val="00351D9C"/>
    <w:rsid w:val="00351F49"/>
    <w:rsid w:val="003523CF"/>
    <w:rsid w:val="00352F22"/>
    <w:rsid w:val="00352F62"/>
    <w:rsid w:val="00353118"/>
    <w:rsid w:val="003536B8"/>
    <w:rsid w:val="003538E9"/>
    <w:rsid w:val="00353A2B"/>
    <w:rsid w:val="00353AD4"/>
    <w:rsid w:val="00353BA4"/>
    <w:rsid w:val="00353E62"/>
    <w:rsid w:val="00354322"/>
    <w:rsid w:val="003543FF"/>
    <w:rsid w:val="0035457C"/>
    <w:rsid w:val="00354588"/>
    <w:rsid w:val="00354599"/>
    <w:rsid w:val="00354893"/>
    <w:rsid w:val="00354899"/>
    <w:rsid w:val="0035496F"/>
    <w:rsid w:val="00354C73"/>
    <w:rsid w:val="003551C7"/>
    <w:rsid w:val="003552E0"/>
    <w:rsid w:val="00355623"/>
    <w:rsid w:val="003557AD"/>
    <w:rsid w:val="00355866"/>
    <w:rsid w:val="0035587C"/>
    <w:rsid w:val="0035599E"/>
    <w:rsid w:val="00355FD0"/>
    <w:rsid w:val="003560A9"/>
    <w:rsid w:val="00356148"/>
    <w:rsid w:val="00356172"/>
    <w:rsid w:val="003561AD"/>
    <w:rsid w:val="003562FD"/>
    <w:rsid w:val="0035634D"/>
    <w:rsid w:val="00356652"/>
    <w:rsid w:val="00356711"/>
    <w:rsid w:val="00356A1A"/>
    <w:rsid w:val="00356D10"/>
    <w:rsid w:val="003570CC"/>
    <w:rsid w:val="00357660"/>
    <w:rsid w:val="00357E1C"/>
    <w:rsid w:val="003600C5"/>
    <w:rsid w:val="0036019B"/>
    <w:rsid w:val="003602C8"/>
    <w:rsid w:val="00360478"/>
    <w:rsid w:val="00360730"/>
    <w:rsid w:val="00360763"/>
    <w:rsid w:val="003608B7"/>
    <w:rsid w:val="00360A8B"/>
    <w:rsid w:val="00360D7D"/>
    <w:rsid w:val="003610EB"/>
    <w:rsid w:val="003613AE"/>
    <w:rsid w:val="00361436"/>
    <w:rsid w:val="00361475"/>
    <w:rsid w:val="00361674"/>
    <w:rsid w:val="00361955"/>
    <w:rsid w:val="00361A0C"/>
    <w:rsid w:val="00361D77"/>
    <w:rsid w:val="00361E23"/>
    <w:rsid w:val="00361E32"/>
    <w:rsid w:val="003621E7"/>
    <w:rsid w:val="0036233D"/>
    <w:rsid w:val="0036246D"/>
    <w:rsid w:val="0036280B"/>
    <w:rsid w:val="0036281C"/>
    <w:rsid w:val="003628F6"/>
    <w:rsid w:val="00362AA9"/>
    <w:rsid w:val="00362B2F"/>
    <w:rsid w:val="00362D6C"/>
    <w:rsid w:val="00362FB7"/>
    <w:rsid w:val="00363190"/>
    <w:rsid w:val="003631B0"/>
    <w:rsid w:val="003633FF"/>
    <w:rsid w:val="00363634"/>
    <w:rsid w:val="00363BB3"/>
    <w:rsid w:val="00363C33"/>
    <w:rsid w:val="00363D4D"/>
    <w:rsid w:val="0036428A"/>
    <w:rsid w:val="0036443F"/>
    <w:rsid w:val="003644FE"/>
    <w:rsid w:val="00364725"/>
    <w:rsid w:val="003648F7"/>
    <w:rsid w:val="003649F0"/>
    <w:rsid w:val="00364B62"/>
    <w:rsid w:val="003653AA"/>
    <w:rsid w:val="00365478"/>
    <w:rsid w:val="00365506"/>
    <w:rsid w:val="003655FD"/>
    <w:rsid w:val="00365660"/>
    <w:rsid w:val="003656A5"/>
    <w:rsid w:val="00365C95"/>
    <w:rsid w:val="00366729"/>
    <w:rsid w:val="00366B88"/>
    <w:rsid w:val="00366C8F"/>
    <w:rsid w:val="00366E12"/>
    <w:rsid w:val="00366E63"/>
    <w:rsid w:val="00366E86"/>
    <w:rsid w:val="00366F7E"/>
    <w:rsid w:val="003670B5"/>
    <w:rsid w:val="00367173"/>
    <w:rsid w:val="00367265"/>
    <w:rsid w:val="003672A3"/>
    <w:rsid w:val="0036746F"/>
    <w:rsid w:val="00367845"/>
    <w:rsid w:val="00367A8A"/>
    <w:rsid w:val="00370053"/>
    <w:rsid w:val="00370155"/>
    <w:rsid w:val="00370375"/>
    <w:rsid w:val="003706C6"/>
    <w:rsid w:val="0037074E"/>
    <w:rsid w:val="003707B3"/>
    <w:rsid w:val="00370E82"/>
    <w:rsid w:val="00370F42"/>
    <w:rsid w:val="00371141"/>
    <w:rsid w:val="00371188"/>
    <w:rsid w:val="00371400"/>
    <w:rsid w:val="00371412"/>
    <w:rsid w:val="0037151E"/>
    <w:rsid w:val="00371538"/>
    <w:rsid w:val="003716C7"/>
    <w:rsid w:val="00371725"/>
    <w:rsid w:val="003719F5"/>
    <w:rsid w:val="003720F4"/>
    <w:rsid w:val="00372605"/>
    <w:rsid w:val="00372614"/>
    <w:rsid w:val="00372695"/>
    <w:rsid w:val="00372E1C"/>
    <w:rsid w:val="00372E4A"/>
    <w:rsid w:val="003730A5"/>
    <w:rsid w:val="0037314C"/>
    <w:rsid w:val="003734EB"/>
    <w:rsid w:val="003735A9"/>
    <w:rsid w:val="003735BC"/>
    <w:rsid w:val="003735F9"/>
    <w:rsid w:val="003739C1"/>
    <w:rsid w:val="00373F54"/>
    <w:rsid w:val="00374217"/>
    <w:rsid w:val="0037424C"/>
    <w:rsid w:val="0037428F"/>
    <w:rsid w:val="003742EB"/>
    <w:rsid w:val="003744D1"/>
    <w:rsid w:val="00374607"/>
    <w:rsid w:val="003755FE"/>
    <w:rsid w:val="00375787"/>
    <w:rsid w:val="003757E9"/>
    <w:rsid w:val="0037584A"/>
    <w:rsid w:val="0037595D"/>
    <w:rsid w:val="00375A22"/>
    <w:rsid w:val="00375ED3"/>
    <w:rsid w:val="00375F8B"/>
    <w:rsid w:val="003761C3"/>
    <w:rsid w:val="00376381"/>
    <w:rsid w:val="003764C0"/>
    <w:rsid w:val="003767A8"/>
    <w:rsid w:val="00376816"/>
    <w:rsid w:val="003768FF"/>
    <w:rsid w:val="00376B17"/>
    <w:rsid w:val="00376B3F"/>
    <w:rsid w:val="00376C99"/>
    <w:rsid w:val="00376D0F"/>
    <w:rsid w:val="00376FA5"/>
    <w:rsid w:val="00376FBE"/>
    <w:rsid w:val="0037719C"/>
    <w:rsid w:val="00377322"/>
    <w:rsid w:val="0037784D"/>
    <w:rsid w:val="00377A74"/>
    <w:rsid w:val="00380025"/>
    <w:rsid w:val="003802B0"/>
    <w:rsid w:val="00380377"/>
    <w:rsid w:val="003803C5"/>
    <w:rsid w:val="00380488"/>
    <w:rsid w:val="00380539"/>
    <w:rsid w:val="00380739"/>
    <w:rsid w:val="00380793"/>
    <w:rsid w:val="003809DF"/>
    <w:rsid w:val="00380B8A"/>
    <w:rsid w:val="00380CDF"/>
    <w:rsid w:val="00380FF7"/>
    <w:rsid w:val="00381002"/>
    <w:rsid w:val="00381032"/>
    <w:rsid w:val="00381147"/>
    <w:rsid w:val="003815BB"/>
    <w:rsid w:val="003815F7"/>
    <w:rsid w:val="00381A13"/>
    <w:rsid w:val="00381BDD"/>
    <w:rsid w:val="00381DEA"/>
    <w:rsid w:val="00381F12"/>
    <w:rsid w:val="00381F4E"/>
    <w:rsid w:val="00382068"/>
    <w:rsid w:val="00382184"/>
    <w:rsid w:val="003821AA"/>
    <w:rsid w:val="0038228E"/>
    <w:rsid w:val="003823D5"/>
    <w:rsid w:val="00382B3F"/>
    <w:rsid w:val="00382CAC"/>
    <w:rsid w:val="00382DE5"/>
    <w:rsid w:val="00382EE5"/>
    <w:rsid w:val="0038324F"/>
    <w:rsid w:val="00383386"/>
    <w:rsid w:val="0038340A"/>
    <w:rsid w:val="0038369D"/>
    <w:rsid w:val="00383A13"/>
    <w:rsid w:val="00383A82"/>
    <w:rsid w:val="00383B1E"/>
    <w:rsid w:val="00383F23"/>
    <w:rsid w:val="00383F41"/>
    <w:rsid w:val="00384056"/>
    <w:rsid w:val="003842CB"/>
    <w:rsid w:val="0038475F"/>
    <w:rsid w:val="0038483F"/>
    <w:rsid w:val="0038489C"/>
    <w:rsid w:val="00384A94"/>
    <w:rsid w:val="00384DF9"/>
    <w:rsid w:val="00384E69"/>
    <w:rsid w:val="00384F4D"/>
    <w:rsid w:val="00385082"/>
    <w:rsid w:val="003850CF"/>
    <w:rsid w:val="0038534B"/>
    <w:rsid w:val="00385610"/>
    <w:rsid w:val="003858DE"/>
    <w:rsid w:val="00385E78"/>
    <w:rsid w:val="003865F5"/>
    <w:rsid w:val="003866A4"/>
    <w:rsid w:val="00386BBD"/>
    <w:rsid w:val="00386CFA"/>
    <w:rsid w:val="00386D1B"/>
    <w:rsid w:val="00386D3E"/>
    <w:rsid w:val="003870DD"/>
    <w:rsid w:val="003872E4"/>
    <w:rsid w:val="0038731F"/>
    <w:rsid w:val="003874DD"/>
    <w:rsid w:val="00387583"/>
    <w:rsid w:val="0038767D"/>
    <w:rsid w:val="0038769A"/>
    <w:rsid w:val="00387834"/>
    <w:rsid w:val="00387B3C"/>
    <w:rsid w:val="00387B5F"/>
    <w:rsid w:val="00387C61"/>
    <w:rsid w:val="003901FA"/>
    <w:rsid w:val="00390290"/>
    <w:rsid w:val="003902BA"/>
    <w:rsid w:val="0039039E"/>
    <w:rsid w:val="0039055E"/>
    <w:rsid w:val="00390689"/>
    <w:rsid w:val="003906B8"/>
    <w:rsid w:val="003907BD"/>
    <w:rsid w:val="00390913"/>
    <w:rsid w:val="00390B18"/>
    <w:rsid w:val="00390F07"/>
    <w:rsid w:val="00391222"/>
    <w:rsid w:val="0039131F"/>
    <w:rsid w:val="00391634"/>
    <w:rsid w:val="00391B7A"/>
    <w:rsid w:val="0039200F"/>
    <w:rsid w:val="003922B7"/>
    <w:rsid w:val="003925A2"/>
    <w:rsid w:val="0039282D"/>
    <w:rsid w:val="003929B6"/>
    <w:rsid w:val="00392B2A"/>
    <w:rsid w:val="00392E11"/>
    <w:rsid w:val="00392F91"/>
    <w:rsid w:val="003938AA"/>
    <w:rsid w:val="003938AC"/>
    <w:rsid w:val="00393E8A"/>
    <w:rsid w:val="00393EED"/>
    <w:rsid w:val="00394193"/>
    <w:rsid w:val="003941B8"/>
    <w:rsid w:val="00394248"/>
    <w:rsid w:val="003942B4"/>
    <w:rsid w:val="00394522"/>
    <w:rsid w:val="00394794"/>
    <w:rsid w:val="0039495E"/>
    <w:rsid w:val="00394A1E"/>
    <w:rsid w:val="00395140"/>
    <w:rsid w:val="003951F2"/>
    <w:rsid w:val="003952AC"/>
    <w:rsid w:val="003953ED"/>
    <w:rsid w:val="00395429"/>
    <w:rsid w:val="0039550D"/>
    <w:rsid w:val="00395575"/>
    <w:rsid w:val="003959D3"/>
    <w:rsid w:val="00395A55"/>
    <w:rsid w:val="00395A9D"/>
    <w:rsid w:val="00395C32"/>
    <w:rsid w:val="00395C8A"/>
    <w:rsid w:val="00395F42"/>
    <w:rsid w:val="003960B5"/>
    <w:rsid w:val="00396226"/>
    <w:rsid w:val="00396348"/>
    <w:rsid w:val="0039674C"/>
    <w:rsid w:val="00396778"/>
    <w:rsid w:val="0039686C"/>
    <w:rsid w:val="00396A35"/>
    <w:rsid w:val="00396B8C"/>
    <w:rsid w:val="00396C25"/>
    <w:rsid w:val="00396C5C"/>
    <w:rsid w:val="00396D1A"/>
    <w:rsid w:val="00397124"/>
    <w:rsid w:val="003973A6"/>
    <w:rsid w:val="0039742C"/>
    <w:rsid w:val="003974EF"/>
    <w:rsid w:val="003978F1"/>
    <w:rsid w:val="00397957"/>
    <w:rsid w:val="00397CED"/>
    <w:rsid w:val="00397D1B"/>
    <w:rsid w:val="003A018D"/>
    <w:rsid w:val="003A03B0"/>
    <w:rsid w:val="003A03B2"/>
    <w:rsid w:val="003A053A"/>
    <w:rsid w:val="003A06F2"/>
    <w:rsid w:val="003A072B"/>
    <w:rsid w:val="003A07F1"/>
    <w:rsid w:val="003A0807"/>
    <w:rsid w:val="003A08EF"/>
    <w:rsid w:val="003A0A56"/>
    <w:rsid w:val="003A0B09"/>
    <w:rsid w:val="003A0DE1"/>
    <w:rsid w:val="003A0EA7"/>
    <w:rsid w:val="003A101A"/>
    <w:rsid w:val="003A1023"/>
    <w:rsid w:val="003A148B"/>
    <w:rsid w:val="003A15DC"/>
    <w:rsid w:val="003A16B3"/>
    <w:rsid w:val="003A1AF5"/>
    <w:rsid w:val="003A1B50"/>
    <w:rsid w:val="003A1BE3"/>
    <w:rsid w:val="003A1CDC"/>
    <w:rsid w:val="003A1E57"/>
    <w:rsid w:val="003A20B1"/>
    <w:rsid w:val="003A20F6"/>
    <w:rsid w:val="003A22C6"/>
    <w:rsid w:val="003A23EE"/>
    <w:rsid w:val="003A25E5"/>
    <w:rsid w:val="003A2842"/>
    <w:rsid w:val="003A2A20"/>
    <w:rsid w:val="003A2CD7"/>
    <w:rsid w:val="003A2E1B"/>
    <w:rsid w:val="003A3132"/>
    <w:rsid w:val="003A31DB"/>
    <w:rsid w:val="003A3225"/>
    <w:rsid w:val="003A34E9"/>
    <w:rsid w:val="003A37EF"/>
    <w:rsid w:val="003A3843"/>
    <w:rsid w:val="003A38BB"/>
    <w:rsid w:val="003A3CAC"/>
    <w:rsid w:val="003A3D32"/>
    <w:rsid w:val="003A3F5E"/>
    <w:rsid w:val="003A40F9"/>
    <w:rsid w:val="003A4123"/>
    <w:rsid w:val="003A42AE"/>
    <w:rsid w:val="003A43C4"/>
    <w:rsid w:val="003A4449"/>
    <w:rsid w:val="003A4A16"/>
    <w:rsid w:val="003A4C98"/>
    <w:rsid w:val="003A5059"/>
    <w:rsid w:val="003A52A3"/>
    <w:rsid w:val="003A5473"/>
    <w:rsid w:val="003A54CA"/>
    <w:rsid w:val="003A58CF"/>
    <w:rsid w:val="003A5C7C"/>
    <w:rsid w:val="003A5EAE"/>
    <w:rsid w:val="003A5F3B"/>
    <w:rsid w:val="003A6010"/>
    <w:rsid w:val="003A60BF"/>
    <w:rsid w:val="003A671B"/>
    <w:rsid w:val="003A6B07"/>
    <w:rsid w:val="003A6D08"/>
    <w:rsid w:val="003A6E2C"/>
    <w:rsid w:val="003A6E2F"/>
    <w:rsid w:val="003A7576"/>
    <w:rsid w:val="003A7587"/>
    <w:rsid w:val="003A75E8"/>
    <w:rsid w:val="003A7975"/>
    <w:rsid w:val="003A7E66"/>
    <w:rsid w:val="003B006D"/>
    <w:rsid w:val="003B0287"/>
    <w:rsid w:val="003B0419"/>
    <w:rsid w:val="003B0643"/>
    <w:rsid w:val="003B064D"/>
    <w:rsid w:val="003B0927"/>
    <w:rsid w:val="003B097B"/>
    <w:rsid w:val="003B0991"/>
    <w:rsid w:val="003B0DA5"/>
    <w:rsid w:val="003B124A"/>
    <w:rsid w:val="003B1586"/>
    <w:rsid w:val="003B159C"/>
    <w:rsid w:val="003B1A97"/>
    <w:rsid w:val="003B1AE2"/>
    <w:rsid w:val="003B23ED"/>
    <w:rsid w:val="003B23F1"/>
    <w:rsid w:val="003B2419"/>
    <w:rsid w:val="003B242D"/>
    <w:rsid w:val="003B26CB"/>
    <w:rsid w:val="003B2731"/>
    <w:rsid w:val="003B28A6"/>
    <w:rsid w:val="003B29F6"/>
    <w:rsid w:val="003B2A67"/>
    <w:rsid w:val="003B2A93"/>
    <w:rsid w:val="003B2D84"/>
    <w:rsid w:val="003B2F7D"/>
    <w:rsid w:val="003B305C"/>
    <w:rsid w:val="003B314F"/>
    <w:rsid w:val="003B3515"/>
    <w:rsid w:val="003B3615"/>
    <w:rsid w:val="003B3A99"/>
    <w:rsid w:val="003B3AF1"/>
    <w:rsid w:val="003B3B68"/>
    <w:rsid w:val="003B3BF5"/>
    <w:rsid w:val="003B3C3A"/>
    <w:rsid w:val="003B3DF4"/>
    <w:rsid w:val="003B3FFA"/>
    <w:rsid w:val="003B408E"/>
    <w:rsid w:val="003B413B"/>
    <w:rsid w:val="003B448D"/>
    <w:rsid w:val="003B44B6"/>
    <w:rsid w:val="003B483D"/>
    <w:rsid w:val="003B4883"/>
    <w:rsid w:val="003B4E8B"/>
    <w:rsid w:val="003B4EE3"/>
    <w:rsid w:val="003B4F49"/>
    <w:rsid w:val="003B4FD1"/>
    <w:rsid w:val="003B500E"/>
    <w:rsid w:val="003B503A"/>
    <w:rsid w:val="003B50D3"/>
    <w:rsid w:val="003B524B"/>
    <w:rsid w:val="003B53FF"/>
    <w:rsid w:val="003B5429"/>
    <w:rsid w:val="003B57A2"/>
    <w:rsid w:val="003B5A0D"/>
    <w:rsid w:val="003B5AAD"/>
    <w:rsid w:val="003B5C17"/>
    <w:rsid w:val="003B5C96"/>
    <w:rsid w:val="003B6125"/>
    <w:rsid w:val="003B6159"/>
    <w:rsid w:val="003B6276"/>
    <w:rsid w:val="003B629A"/>
    <w:rsid w:val="003B6927"/>
    <w:rsid w:val="003B69DB"/>
    <w:rsid w:val="003B6E95"/>
    <w:rsid w:val="003B6EF7"/>
    <w:rsid w:val="003B70C7"/>
    <w:rsid w:val="003B720E"/>
    <w:rsid w:val="003B7251"/>
    <w:rsid w:val="003B7528"/>
    <w:rsid w:val="003B7850"/>
    <w:rsid w:val="003B7882"/>
    <w:rsid w:val="003B79A1"/>
    <w:rsid w:val="003B7AD3"/>
    <w:rsid w:val="003B7B3C"/>
    <w:rsid w:val="003B7C72"/>
    <w:rsid w:val="003B7D58"/>
    <w:rsid w:val="003B7D5E"/>
    <w:rsid w:val="003C00F5"/>
    <w:rsid w:val="003C02DB"/>
    <w:rsid w:val="003C02E6"/>
    <w:rsid w:val="003C0424"/>
    <w:rsid w:val="003C096F"/>
    <w:rsid w:val="003C0AF4"/>
    <w:rsid w:val="003C0DAB"/>
    <w:rsid w:val="003C0E91"/>
    <w:rsid w:val="003C0EF4"/>
    <w:rsid w:val="003C0F19"/>
    <w:rsid w:val="003C1062"/>
    <w:rsid w:val="003C1497"/>
    <w:rsid w:val="003C15AE"/>
    <w:rsid w:val="003C180D"/>
    <w:rsid w:val="003C1865"/>
    <w:rsid w:val="003C1977"/>
    <w:rsid w:val="003C1B2F"/>
    <w:rsid w:val="003C1BC8"/>
    <w:rsid w:val="003C1C8D"/>
    <w:rsid w:val="003C1E80"/>
    <w:rsid w:val="003C1FC7"/>
    <w:rsid w:val="003C2197"/>
    <w:rsid w:val="003C23CC"/>
    <w:rsid w:val="003C23ED"/>
    <w:rsid w:val="003C2453"/>
    <w:rsid w:val="003C2471"/>
    <w:rsid w:val="003C2712"/>
    <w:rsid w:val="003C2783"/>
    <w:rsid w:val="003C27AB"/>
    <w:rsid w:val="003C2A0B"/>
    <w:rsid w:val="003C2A9F"/>
    <w:rsid w:val="003C2B43"/>
    <w:rsid w:val="003C2C95"/>
    <w:rsid w:val="003C2DD6"/>
    <w:rsid w:val="003C30A0"/>
    <w:rsid w:val="003C31B2"/>
    <w:rsid w:val="003C33A5"/>
    <w:rsid w:val="003C35C7"/>
    <w:rsid w:val="003C3637"/>
    <w:rsid w:val="003C363E"/>
    <w:rsid w:val="003C3709"/>
    <w:rsid w:val="003C3AB6"/>
    <w:rsid w:val="003C4000"/>
    <w:rsid w:val="003C40AC"/>
    <w:rsid w:val="003C429B"/>
    <w:rsid w:val="003C468D"/>
    <w:rsid w:val="003C4750"/>
    <w:rsid w:val="003C4902"/>
    <w:rsid w:val="003C497A"/>
    <w:rsid w:val="003C4A29"/>
    <w:rsid w:val="003C4B01"/>
    <w:rsid w:val="003C4E7E"/>
    <w:rsid w:val="003C4EC4"/>
    <w:rsid w:val="003C5182"/>
    <w:rsid w:val="003C5367"/>
    <w:rsid w:val="003C57B8"/>
    <w:rsid w:val="003C5A52"/>
    <w:rsid w:val="003C5B5D"/>
    <w:rsid w:val="003C5CCE"/>
    <w:rsid w:val="003C61AE"/>
    <w:rsid w:val="003C6338"/>
    <w:rsid w:val="003C67D1"/>
    <w:rsid w:val="003C6877"/>
    <w:rsid w:val="003C69FF"/>
    <w:rsid w:val="003C6B6D"/>
    <w:rsid w:val="003C6C3C"/>
    <w:rsid w:val="003C6CF5"/>
    <w:rsid w:val="003C6DB7"/>
    <w:rsid w:val="003C6E5D"/>
    <w:rsid w:val="003C7385"/>
    <w:rsid w:val="003C740E"/>
    <w:rsid w:val="003C74E5"/>
    <w:rsid w:val="003C74ED"/>
    <w:rsid w:val="003C787D"/>
    <w:rsid w:val="003C7C59"/>
    <w:rsid w:val="003C7E3C"/>
    <w:rsid w:val="003C7EC8"/>
    <w:rsid w:val="003D0061"/>
    <w:rsid w:val="003D0251"/>
    <w:rsid w:val="003D0297"/>
    <w:rsid w:val="003D036D"/>
    <w:rsid w:val="003D0408"/>
    <w:rsid w:val="003D061F"/>
    <w:rsid w:val="003D07E5"/>
    <w:rsid w:val="003D0867"/>
    <w:rsid w:val="003D0A26"/>
    <w:rsid w:val="003D0A7F"/>
    <w:rsid w:val="003D0D94"/>
    <w:rsid w:val="003D0E5D"/>
    <w:rsid w:val="003D104A"/>
    <w:rsid w:val="003D10AF"/>
    <w:rsid w:val="003D1220"/>
    <w:rsid w:val="003D1268"/>
    <w:rsid w:val="003D12AB"/>
    <w:rsid w:val="003D12FA"/>
    <w:rsid w:val="003D1891"/>
    <w:rsid w:val="003D1913"/>
    <w:rsid w:val="003D1B9D"/>
    <w:rsid w:val="003D1DB4"/>
    <w:rsid w:val="003D1DCF"/>
    <w:rsid w:val="003D258F"/>
    <w:rsid w:val="003D26EA"/>
    <w:rsid w:val="003D2F15"/>
    <w:rsid w:val="003D31F9"/>
    <w:rsid w:val="003D326F"/>
    <w:rsid w:val="003D391A"/>
    <w:rsid w:val="003D3B5C"/>
    <w:rsid w:val="003D3ED7"/>
    <w:rsid w:val="003D41F4"/>
    <w:rsid w:val="003D429B"/>
    <w:rsid w:val="003D42F0"/>
    <w:rsid w:val="003D473D"/>
    <w:rsid w:val="003D47A3"/>
    <w:rsid w:val="003D4A64"/>
    <w:rsid w:val="003D4EBB"/>
    <w:rsid w:val="003D4F1B"/>
    <w:rsid w:val="003D4FD5"/>
    <w:rsid w:val="003D5161"/>
    <w:rsid w:val="003D5365"/>
    <w:rsid w:val="003D5BC2"/>
    <w:rsid w:val="003D5BE7"/>
    <w:rsid w:val="003D60C1"/>
    <w:rsid w:val="003D6110"/>
    <w:rsid w:val="003D61AD"/>
    <w:rsid w:val="003D6205"/>
    <w:rsid w:val="003D690C"/>
    <w:rsid w:val="003D75AC"/>
    <w:rsid w:val="003D7872"/>
    <w:rsid w:val="003D7962"/>
    <w:rsid w:val="003D7ADD"/>
    <w:rsid w:val="003E05FC"/>
    <w:rsid w:val="003E06D6"/>
    <w:rsid w:val="003E070C"/>
    <w:rsid w:val="003E0923"/>
    <w:rsid w:val="003E0954"/>
    <w:rsid w:val="003E0A3E"/>
    <w:rsid w:val="003E0D1C"/>
    <w:rsid w:val="003E1018"/>
    <w:rsid w:val="003E1111"/>
    <w:rsid w:val="003E11D2"/>
    <w:rsid w:val="003E12DE"/>
    <w:rsid w:val="003E1348"/>
    <w:rsid w:val="003E1437"/>
    <w:rsid w:val="003E1626"/>
    <w:rsid w:val="003E19CF"/>
    <w:rsid w:val="003E1E45"/>
    <w:rsid w:val="003E24F5"/>
    <w:rsid w:val="003E27DD"/>
    <w:rsid w:val="003E2869"/>
    <w:rsid w:val="003E2904"/>
    <w:rsid w:val="003E2AD6"/>
    <w:rsid w:val="003E2B1A"/>
    <w:rsid w:val="003E2B45"/>
    <w:rsid w:val="003E2B66"/>
    <w:rsid w:val="003E2C5C"/>
    <w:rsid w:val="003E2DC9"/>
    <w:rsid w:val="003E2E28"/>
    <w:rsid w:val="003E306F"/>
    <w:rsid w:val="003E3159"/>
    <w:rsid w:val="003E320E"/>
    <w:rsid w:val="003E38C0"/>
    <w:rsid w:val="003E3951"/>
    <w:rsid w:val="003E3B80"/>
    <w:rsid w:val="003E3BF8"/>
    <w:rsid w:val="003E3C5B"/>
    <w:rsid w:val="003E3DB2"/>
    <w:rsid w:val="003E4125"/>
    <w:rsid w:val="003E41AD"/>
    <w:rsid w:val="003E436E"/>
    <w:rsid w:val="003E47AC"/>
    <w:rsid w:val="003E4D21"/>
    <w:rsid w:val="003E4D42"/>
    <w:rsid w:val="003E4D5A"/>
    <w:rsid w:val="003E5A1D"/>
    <w:rsid w:val="003E5D0B"/>
    <w:rsid w:val="003E5F4A"/>
    <w:rsid w:val="003E5FDA"/>
    <w:rsid w:val="003E5FE5"/>
    <w:rsid w:val="003E6020"/>
    <w:rsid w:val="003E60B7"/>
    <w:rsid w:val="003E61C7"/>
    <w:rsid w:val="003E621E"/>
    <w:rsid w:val="003E652D"/>
    <w:rsid w:val="003E66EB"/>
    <w:rsid w:val="003E68F1"/>
    <w:rsid w:val="003E6A58"/>
    <w:rsid w:val="003E6B81"/>
    <w:rsid w:val="003E6C00"/>
    <w:rsid w:val="003E6F15"/>
    <w:rsid w:val="003E70E7"/>
    <w:rsid w:val="003E7484"/>
    <w:rsid w:val="003E75F6"/>
    <w:rsid w:val="003E76C7"/>
    <w:rsid w:val="003E77B2"/>
    <w:rsid w:val="003E7F13"/>
    <w:rsid w:val="003F0835"/>
    <w:rsid w:val="003F0860"/>
    <w:rsid w:val="003F10B2"/>
    <w:rsid w:val="003F12D7"/>
    <w:rsid w:val="003F141F"/>
    <w:rsid w:val="003F1EA1"/>
    <w:rsid w:val="003F1FA2"/>
    <w:rsid w:val="003F2093"/>
    <w:rsid w:val="003F2206"/>
    <w:rsid w:val="003F22CB"/>
    <w:rsid w:val="003F28A1"/>
    <w:rsid w:val="003F29DF"/>
    <w:rsid w:val="003F2B1C"/>
    <w:rsid w:val="003F2CC3"/>
    <w:rsid w:val="003F2D0C"/>
    <w:rsid w:val="003F2E48"/>
    <w:rsid w:val="003F31E5"/>
    <w:rsid w:val="003F33DF"/>
    <w:rsid w:val="003F3442"/>
    <w:rsid w:val="003F3583"/>
    <w:rsid w:val="003F3924"/>
    <w:rsid w:val="003F3B60"/>
    <w:rsid w:val="003F3B90"/>
    <w:rsid w:val="003F3C6A"/>
    <w:rsid w:val="003F3D25"/>
    <w:rsid w:val="003F3E86"/>
    <w:rsid w:val="003F4066"/>
    <w:rsid w:val="003F4079"/>
    <w:rsid w:val="003F43B5"/>
    <w:rsid w:val="003F43DE"/>
    <w:rsid w:val="003F4604"/>
    <w:rsid w:val="003F46A1"/>
    <w:rsid w:val="003F472E"/>
    <w:rsid w:val="003F499D"/>
    <w:rsid w:val="003F4A17"/>
    <w:rsid w:val="003F4B0E"/>
    <w:rsid w:val="003F4B7B"/>
    <w:rsid w:val="003F4C78"/>
    <w:rsid w:val="003F4DE6"/>
    <w:rsid w:val="003F4F2F"/>
    <w:rsid w:val="003F4FC2"/>
    <w:rsid w:val="003F503A"/>
    <w:rsid w:val="003F51FE"/>
    <w:rsid w:val="003F5239"/>
    <w:rsid w:val="003F53D2"/>
    <w:rsid w:val="003F53DD"/>
    <w:rsid w:val="003F56CC"/>
    <w:rsid w:val="003F5A0E"/>
    <w:rsid w:val="003F5F06"/>
    <w:rsid w:val="003F62C5"/>
    <w:rsid w:val="003F62E5"/>
    <w:rsid w:val="003F646A"/>
    <w:rsid w:val="003F6551"/>
    <w:rsid w:val="003F66BF"/>
    <w:rsid w:val="003F68F7"/>
    <w:rsid w:val="003F6BC3"/>
    <w:rsid w:val="003F6D2C"/>
    <w:rsid w:val="003F6F04"/>
    <w:rsid w:val="003F6F39"/>
    <w:rsid w:val="003F718C"/>
    <w:rsid w:val="003F7541"/>
    <w:rsid w:val="003F7559"/>
    <w:rsid w:val="003F7621"/>
    <w:rsid w:val="003F767A"/>
    <w:rsid w:val="003F793D"/>
    <w:rsid w:val="003F7A44"/>
    <w:rsid w:val="003F7AAF"/>
    <w:rsid w:val="003F7EC1"/>
    <w:rsid w:val="00400726"/>
    <w:rsid w:val="00400980"/>
    <w:rsid w:val="004009F9"/>
    <w:rsid w:val="00400A84"/>
    <w:rsid w:val="00400ACF"/>
    <w:rsid w:val="00400AF8"/>
    <w:rsid w:val="00400C3C"/>
    <w:rsid w:val="00400D6E"/>
    <w:rsid w:val="00400EDD"/>
    <w:rsid w:val="00400F2C"/>
    <w:rsid w:val="00400FC2"/>
    <w:rsid w:val="004010B5"/>
    <w:rsid w:val="0040140C"/>
    <w:rsid w:val="0040144B"/>
    <w:rsid w:val="004015E9"/>
    <w:rsid w:val="00401749"/>
    <w:rsid w:val="004018D8"/>
    <w:rsid w:val="004019A3"/>
    <w:rsid w:val="00401D75"/>
    <w:rsid w:val="00401E11"/>
    <w:rsid w:val="004023C1"/>
    <w:rsid w:val="004023C6"/>
    <w:rsid w:val="004025AB"/>
    <w:rsid w:val="00402B41"/>
    <w:rsid w:val="00402D95"/>
    <w:rsid w:val="00402FF5"/>
    <w:rsid w:val="004031BE"/>
    <w:rsid w:val="00403275"/>
    <w:rsid w:val="0040334B"/>
    <w:rsid w:val="0040369C"/>
    <w:rsid w:val="004039D4"/>
    <w:rsid w:val="00403A0E"/>
    <w:rsid w:val="00403ADB"/>
    <w:rsid w:val="00403D48"/>
    <w:rsid w:val="004040EF"/>
    <w:rsid w:val="00404195"/>
    <w:rsid w:val="004041E9"/>
    <w:rsid w:val="0040433F"/>
    <w:rsid w:val="0040474A"/>
    <w:rsid w:val="004047D7"/>
    <w:rsid w:val="00404854"/>
    <w:rsid w:val="00404CD0"/>
    <w:rsid w:val="0040502E"/>
    <w:rsid w:val="004050C6"/>
    <w:rsid w:val="004055C4"/>
    <w:rsid w:val="0040568A"/>
    <w:rsid w:val="004058F1"/>
    <w:rsid w:val="00405C3A"/>
    <w:rsid w:val="00406124"/>
    <w:rsid w:val="004061B5"/>
    <w:rsid w:val="0040628A"/>
    <w:rsid w:val="0040678C"/>
    <w:rsid w:val="00406956"/>
    <w:rsid w:val="004069B0"/>
    <w:rsid w:val="00406A25"/>
    <w:rsid w:val="00406ACF"/>
    <w:rsid w:val="00406C5B"/>
    <w:rsid w:val="00406C9D"/>
    <w:rsid w:val="00406CDF"/>
    <w:rsid w:val="00406D06"/>
    <w:rsid w:val="00406DF6"/>
    <w:rsid w:val="00406E6F"/>
    <w:rsid w:val="00407038"/>
    <w:rsid w:val="004070C6"/>
    <w:rsid w:val="00407138"/>
    <w:rsid w:val="00407149"/>
    <w:rsid w:val="0040771E"/>
    <w:rsid w:val="0040782F"/>
    <w:rsid w:val="00407906"/>
    <w:rsid w:val="00407B7C"/>
    <w:rsid w:val="00407F24"/>
    <w:rsid w:val="00410078"/>
    <w:rsid w:val="0041065D"/>
    <w:rsid w:val="00410676"/>
    <w:rsid w:val="00410878"/>
    <w:rsid w:val="0041087A"/>
    <w:rsid w:val="00410942"/>
    <w:rsid w:val="0041095C"/>
    <w:rsid w:val="0041098E"/>
    <w:rsid w:val="00410BB1"/>
    <w:rsid w:val="00410D84"/>
    <w:rsid w:val="00410E0D"/>
    <w:rsid w:val="00410FF7"/>
    <w:rsid w:val="004112E1"/>
    <w:rsid w:val="00411868"/>
    <w:rsid w:val="004118D2"/>
    <w:rsid w:val="0041195C"/>
    <w:rsid w:val="00411AF6"/>
    <w:rsid w:val="004120A4"/>
    <w:rsid w:val="004120CF"/>
    <w:rsid w:val="00412354"/>
    <w:rsid w:val="004125A6"/>
    <w:rsid w:val="0041262C"/>
    <w:rsid w:val="00412856"/>
    <w:rsid w:val="00412C51"/>
    <w:rsid w:val="00412DFC"/>
    <w:rsid w:val="00412F3A"/>
    <w:rsid w:val="00412FE7"/>
    <w:rsid w:val="0041322A"/>
    <w:rsid w:val="00413240"/>
    <w:rsid w:val="004134D3"/>
    <w:rsid w:val="00413683"/>
    <w:rsid w:val="0041380A"/>
    <w:rsid w:val="0041390C"/>
    <w:rsid w:val="00413913"/>
    <w:rsid w:val="0041394A"/>
    <w:rsid w:val="00413ADF"/>
    <w:rsid w:val="00413AE8"/>
    <w:rsid w:val="00413C5A"/>
    <w:rsid w:val="00413F3A"/>
    <w:rsid w:val="00413FB6"/>
    <w:rsid w:val="004142EB"/>
    <w:rsid w:val="004145A9"/>
    <w:rsid w:val="004145FC"/>
    <w:rsid w:val="0041499F"/>
    <w:rsid w:val="00414A1E"/>
    <w:rsid w:val="00414AE1"/>
    <w:rsid w:val="00414D1B"/>
    <w:rsid w:val="00414DFB"/>
    <w:rsid w:val="00415140"/>
    <w:rsid w:val="004155BC"/>
    <w:rsid w:val="00415750"/>
    <w:rsid w:val="0041586E"/>
    <w:rsid w:val="00415AC9"/>
    <w:rsid w:val="00415D51"/>
    <w:rsid w:val="00415EAB"/>
    <w:rsid w:val="00415FB8"/>
    <w:rsid w:val="00416015"/>
    <w:rsid w:val="0041611C"/>
    <w:rsid w:val="00416159"/>
    <w:rsid w:val="004163DE"/>
    <w:rsid w:val="004168B7"/>
    <w:rsid w:val="004169CD"/>
    <w:rsid w:val="00416AC5"/>
    <w:rsid w:val="00416C95"/>
    <w:rsid w:val="00416DD9"/>
    <w:rsid w:val="00416E84"/>
    <w:rsid w:val="004170F3"/>
    <w:rsid w:val="00417872"/>
    <w:rsid w:val="00417E21"/>
    <w:rsid w:val="00417E34"/>
    <w:rsid w:val="00417ED0"/>
    <w:rsid w:val="0042003C"/>
    <w:rsid w:val="0042021F"/>
    <w:rsid w:val="004202BE"/>
    <w:rsid w:val="004208F1"/>
    <w:rsid w:val="00420914"/>
    <w:rsid w:val="00420D5A"/>
    <w:rsid w:val="00420E19"/>
    <w:rsid w:val="00421054"/>
    <w:rsid w:val="004210B4"/>
    <w:rsid w:val="00421389"/>
    <w:rsid w:val="00421BFD"/>
    <w:rsid w:val="00421E70"/>
    <w:rsid w:val="0042205E"/>
    <w:rsid w:val="004220F5"/>
    <w:rsid w:val="00422389"/>
    <w:rsid w:val="00422509"/>
    <w:rsid w:val="00422667"/>
    <w:rsid w:val="004226E3"/>
    <w:rsid w:val="0042293B"/>
    <w:rsid w:val="00422C2A"/>
    <w:rsid w:val="00422C5E"/>
    <w:rsid w:val="00422C66"/>
    <w:rsid w:val="00422CA3"/>
    <w:rsid w:val="00422DDC"/>
    <w:rsid w:val="00423421"/>
    <w:rsid w:val="004237EE"/>
    <w:rsid w:val="004238C5"/>
    <w:rsid w:val="00423A7F"/>
    <w:rsid w:val="00423B05"/>
    <w:rsid w:val="00423CB1"/>
    <w:rsid w:val="0042420D"/>
    <w:rsid w:val="0042438A"/>
    <w:rsid w:val="004243CE"/>
    <w:rsid w:val="004246B8"/>
    <w:rsid w:val="0042488C"/>
    <w:rsid w:val="00424984"/>
    <w:rsid w:val="00424991"/>
    <w:rsid w:val="00424AD5"/>
    <w:rsid w:val="00424C90"/>
    <w:rsid w:val="00424CC1"/>
    <w:rsid w:val="0042505E"/>
    <w:rsid w:val="004253B1"/>
    <w:rsid w:val="004253C1"/>
    <w:rsid w:val="0042544D"/>
    <w:rsid w:val="004257B8"/>
    <w:rsid w:val="00425C7E"/>
    <w:rsid w:val="00425D58"/>
    <w:rsid w:val="004263F6"/>
    <w:rsid w:val="0042648E"/>
    <w:rsid w:val="0042653E"/>
    <w:rsid w:val="004265B6"/>
    <w:rsid w:val="00426684"/>
    <w:rsid w:val="004267FC"/>
    <w:rsid w:val="00426A55"/>
    <w:rsid w:val="00426B02"/>
    <w:rsid w:val="00426B68"/>
    <w:rsid w:val="00426C3A"/>
    <w:rsid w:val="00426C94"/>
    <w:rsid w:val="00426DB5"/>
    <w:rsid w:val="00426E13"/>
    <w:rsid w:val="00427165"/>
    <w:rsid w:val="00427223"/>
    <w:rsid w:val="00427405"/>
    <w:rsid w:val="00427419"/>
    <w:rsid w:val="004274C3"/>
    <w:rsid w:val="00427712"/>
    <w:rsid w:val="00427D79"/>
    <w:rsid w:val="00427FE7"/>
    <w:rsid w:val="004302F5"/>
    <w:rsid w:val="00430713"/>
    <w:rsid w:val="0043086D"/>
    <w:rsid w:val="0043086F"/>
    <w:rsid w:val="004308D0"/>
    <w:rsid w:val="0043092A"/>
    <w:rsid w:val="00430AD2"/>
    <w:rsid w:val="00430D74"/>
    <w:rsid w:val="00430EBD"/>
    <w:rsid w:val="00430F94"/>
    <w:rsid w:val="00430F9F"/>
    <w:rsid w:val="004313C6"/>
    <w:rsid w:val="00431766"/>
    <w:rsid w:val="0043188D"/>
    <w:rsid w:val="0043197F"/>
    <w:rsid w:val="00431A9E"/>
    <w:rsid w:val="00431C4A"/>
    <w:rsid w:val="00431CA1"/>
    <w:rsid w:val="00431DC0"/>
    <w:rsid w:val="00431ED7"/>
    <w:rsid w:val="00431F65"/>
    <w:rsid w:val="00431FEF"/>
    <w:rsid w:val="00432034"/>
    <w:rsid w:val="00432528"/>
    <w:rsid w:val="0043258A"/>
    <w:rsid w:val="00432CDF"/>
    <w:rsid w:val="00432F91"/>
    <w:rsid w:val="00432FEF"/>
    <w:rsid w:val="00433168"/>
    <w:rsid w:val="004332DF"/>
    <w:rsid w:val="004333D9"/>
    <w:rsid w:val="00433B40"/>
    <w:rsid w:val="00433B74"/>
    <w:rsid w:val="00433CD5"/>
    <w:rsid w:val="00433E39"/>
    <w:rsid w:val="00433E4B"/>
    <w:rsid w:val="00433E7B"/>
    <w:rsid w:val="004341F0"/>
    <w:rsid w:val="004344C8"/>
    <w:rsid w:val="004348D9"/>
    <w:rsid w:val="00434919"/>
    <w:rsid w:val="004349B6"/>
    <w:rsid w:val="00434F5F"/>
    <w:rsid w:val="00434F6B"/>
    <w:rsid w:val="004351CA"/>
    <w:rsid w:val="0043537B"/>
    <w:rsid w:val="004353A7"/>
    <w:rsid w:val="004355A4"/>
    <w:rsid w:val="004356A3"/>
    <w:rsid w:val="0043584D"/>
    <w:rsid w:val="00435941"/>
    <w:rsid w:val="00435F00"/>
    <w:rsid w:val="00435F04"/>
    <w:rsid w:val="004361F3"/>
    <w:rsid w:val="0043625F"/>
    <w:rsid w:val="004362C6"/>
    <w:rsid w:val="004362CF"/>
    <w:rsid w:val="00436452"/>
    <w:rsid w:val="00436470"/>
    <w:rsid w:val="00436528"/>
    <w:rsid w:val="00436619"/>
    <w:rsid w:val="004369B2"/>
    <w:rsid w:val="00436B2C"/>
    <w:rsid w:val="00436B87"/>
    <w:rsid w:val="00437213"/>
    <w:rsid w:val="00437E18"/>
    <w:rsid w:val="00437E7C"/>
    <w:rsid w:val="00437EEC"/>
    <w:rsid w:val="00437F9C"/>
    <w:rsid w:val="004400D1"/>
    <w:rsid w:val="0044013D"/>
    <w:rsid w:val="0044058F"/>
    <w:rsid w:val="004407EE"/>
    <w:rsid w:val="004409F5"/>
    <w:rsid w:val="00440AC7"/>
    <w:rsid w:val="00440D5D"/>
    <w:rsid w:val="00440E48"/>
    <w:rsid w:val="00440F39"/>
    <w:rsid w:val="0044112F"/>
    <w:rsid w:val="00441367"/>
    <w:rsid w:val="0044145C"/>
    <w:rsid w:val="004416B1"/>
    <w:rsid w:val="0044179E"/>
    <w:rsid w:val="00441B1E"/>
    <w:rsid w:val="00441FFE"/>
    <w:rsid w:val="004421D2"/>
    <w:rsid w:val="004425E1"/>
    <w:rsid w:val="00442695"/>
    <w:rsid w:val="004426DC"/>
    <w:rsid w:val="0044278B"/>
    <w:rsid w:val="0044286F"/>
    <w:rsid w:val="00442B29"/>
    <w:rsid w:val="00442D4E"/>
    <w:rsid w:val="00442E17"/>
    <w:rsid w:val="00442F5F"/>
    <w:rsid w:val="00442FC3"/>
    <w:rsid w:val="0044308E"/>
    <w:rsid w:val="0044369A"/>
    <w:rsid w:val="00443850"/>
    <w:rsid w:val="004438B8"/>
    <w:rsid w:val="00443A40"/>
    <w:rsid w:val="00443BFD"/>
    <w:rsid w:val="00443E9B"/>
    <w:rsid w:val="00444188"/>
    <w:rsid w:val="004449D8"/>
    <w:rsid w:val="00444A3B"/>
    <w:rsid w:val="00444B58"/>
    <w:rsid w:val="00444F00"/>
    <w:rsid w:val="00444F2D"/>
    <w:rsid w:val="0044508A"/>
    <w:rsid w:val="004450B9"/>
    <w:rsid w:val="004451CC"/>
    <w:rsid w:val="004451F9"/>
    <w:rsid w:val="0044522A"/>
    <w:rsid w:val="00445334"/>
    <w:rsid w:val="00445553"/>
    <w:rsid w:val="004458B6"/>
    <w:rsid w:val="00445ACE"/>
    <w:rsid w:val="00445AEE"/>
    <w:rsid w:val="00445FC0"/>
    <w:rsid w:val="00446059"/>
    <w:rsid w:val="004462D1"/>
    <w:rsid w:val="0044634E"/>
    <w:rsid w:val="00446468"/>
    <w:rsid w:val="0044666C"/>
    <w:rsid w:val="00446791"/>
    <w:rsid w:val="004469C7"/>
    <w:rsid w:val="0044723A"/>
    <w:rsid w:val="004472E5"/>
    <w:rsid w:val="00447307"/>
    <w:rsid w:val="004473C1"/>
    <w:rsid w:val="0044752E"/>
    <w:rsid w:val="0044769D"/>
    <w:rsid w:val="004479F1"/>
    <w:rsid w:val="00447F14"/>
    <w:rsid w:val="00450186"/>
    <w:rsid w:val="00450294"/>
    <w:rsid w:val="00450702"/>
    <w:rsid w:val="00450B94"/>
    <w:rsid w:val="00450DBB"/>
    <w:rsid w:val="00450E5D"/>
    <w:rsid w:val="00450E9A"/>
    <w:rsid w:val="0045118B"/>
    <w:rsid w:val="0045145D"/>
    <w:rsid w:val="00451514"/>
    <w:rsid w:val="0045152B"/>
    <w:rsid w:val="00451570"/>
    <w:rsid w:val="0045191F"/>
    <w:rsid w:val="00451E8B"/>
    <w:rsid w:val="00451F47"/>
    <w:rsid w:val="004520EC"/>
    <w:rsid w:val="00452112"/>
    <w:rsid w:val="0045230E"/>
    <w:rsid w:val="004523E8"/>
    <w:rsid w:val="004525DA"/>
    <w:rsid w:val="00452684"/>
    <w:rsid w:val="00452AB7"/>
    <w:rsid w:val="00452E75"/>
    <w:rsid w:val="00452F02"/>
    <w:rsid w:val="00453187"/>
    <w:rsid w:val="004532F3"/>
    <w:rsid w:val="00453776"/>
    <w:rsid w:val="00453957"/>
    <w:rsid w:val="0045397E"/>
    <w:rsid w:val="00453CA9"/>
    <w:rsid w:val="0045406E"/>
    <w:rsid w:val="0045421E"/>
    <w:rsid w:val="00454398"/>
    <w:rsid w:val="004544CF"/>
    <w:rsid w:val="0045478C"/>
    <w:rsid w:val="004548A6"/>
    <w:rsid w:val="00454A4A"/>
    <w:rsid w:val="00454D3C"/>
    <w:rsid w:val="00454D9B"/>
    <w:rsid w:val="00454E78"/>
    <w:rsid w:val="00454EB6"/>
    <w:rsid w:val="00454ED3"/>
    <w:rsid w:val="00454F2F"/>
    <w:rsid w:val="00455396"/>
    <w:rsid w:val="004553F4"/>
    <w:rsid w:val="004554D3"/>
    <w:rsid w:val="004556EC"/>
    <w:rsid w:val="004557E1"/>
    <w:rsid w:val="00455881"/>
    <w:rsid w:val="0045596F"/>
    <w:rsid w:val="00455A00"/>
    <w:rsid w:val="00455A6E"/>
    <w:rsid w:val="00455B61"/>
    <w:rsid w:val="00455BE1"/>
    <w:rsid w:val="00455C26"/>
    <w:rsid w:val="00455D6D"/>
    <w:rsid w:val="00455DF4"/>
    <w:rsid w:val="00455DFB"/>
    <w:rsid w:val="00455E61"/>
    <w:rsid w:val="004560E6"/>
    <w:rsid w:val="00456128"/>
    <w:rsid w:val="00456219"/>
    <w:rsid w:val="0045637E"/>
    <w:rsid w:val="00456F29"/>
    <w:rsid w:val="0045703C"/>
    <w:rsid w:val="004570AD"/>
    <w:rsid w:val="0045721B"/>
    <w:rsid w:val="0045732C"/>
    <w:rsid w:val="00457661"/>
    <w:rsid w:val="00457798"/>
    <w:rsid w:val="00457A50"/>
    <w:rsid w:val="00457BBE"/>
    <w:rsid w:val="00457BDA"/>
    <w:rsid w:val="00460060"/>
    <w:rsid w:val="00460073"/>
    <w:rsid w:val="00460269"/>
    <w:rsid w:val="004602FF"/>
    <w:rsid w:val="00460B60"/>
    <w:rsid w:val="00460D31"/>
    <w:rsid w:val="00461053"/>
    <w:rsid w:val="0046105D"/>
    <w:rsid w:val="004613FF"/>
    <w:rsid w:val="004618C4"/>
    <w:rsid w:val="004619CF"/>
    <w:rsid w:val="00461BFB"/>
    <w:rsid w:val="00461CA9"/>
    <w:rsid w:val="00461DAF"/>
    <w:rsid w:val="004620DA"/>
    <w:rsid w:val="00462260"/>
    <w:rsid w:val="0046228F"/>
    <w:rsid w:val="004627C4"/>
    <w:rsid w:val="004628B4"/>
    <w:rsid w:val="004629C6"/>
    <w:rsid w:val="00462B27"/>
    <w:rsid w:val="00462D0D"/>
    <w:rsid w:val="004631FD"/>
    <w:rsid w:val="0046350D"/>
    <w:rsid w:val="00463814"/>
    <w:rsid w:val="00463873"/>
    <w:rsid w:val="00463B60"/>
    <w:rsid w:val="00463EA6"/>
    <w:rsid w:val="00463F8D"/>
    <w:rsid w:val="004641C0"/>
    <w:rsid w:val="0046458E"/>
    <w:rsid w:val="00464664"/>
    <w:rsid w:val="004646A2"/>
    <w:rsid w:val="004647E0"/>
    <w:rsid w:val="00464B2B"/>
    <w:rsid w:val="00464B40"/>
    <w:rsid w:val="00464D56"/>
    <w:rsid w:val="0046503E"/>
    <w:rsid w:val="00465200"/>
    <w:rsid w:val="00465351"/>
    <w:rsid w:val="004654FB"/>
    <w:rsid w:val="00465890"/>
    <w:rsid w:val="00465B61"/>
    <w:rsid w:val="00465C39"/>
    <w:rsid w:val="00466218"/>
    <w:rsid w:val="004662E4"/>
    <w:rsid w:val="0046641A"/>
    <w:rsid w:val="004665BC"/>
    <w:rsid w:val="00466714"/>
    <w:rsid w:val="00466A27"/>
    <w:rsid w:val="00466A4A"/>
    <w:rsid w:val="00466BCD"/>
    <w:rsid w:val="00466BEE"/>
    <w:rsid w:val="00466CC0"/>
    <w:rsid w:val="00466DE2"/>
    <w:rsid w:val="00466FC4"/>
    <w:rsid w:val="0046731F"/>
    <w:rsid w:val="00467ADB"/>
    <w:rsid w:val="00467D54"/>
    <w:rsid w:val="00470041"/>
    <w:rsid w:val="00470106"/>
    <w:rsid w:val="0047025C"/>
    <w:rsid w:val="004703D6"/>
    <w:rsid w:val="004703FB"/>
    <w:rsid w:val="00470893"/>
    <w:rsid w:val="004708B8"/>
    <w:rsid w:val="00470CC1"/>
    <w:rsid w:val="00470CC5"/>
    <w:rsid w:val="00470D12"/>
    <w:rsid w:val="00470FDD"/>
    <w:rsid w:val="0047101C"/>
    <w:rsid w:val="00471059"/>
    <w:rsid w:val="004710F8"/>
    <w:rsid w:val="004711E2"/>
    <w:rsid w:val="0047130E"/>
    <w:rsid w:val="00471334"/>
    <w:rsid w:val="004713BC"/>
    <w:rsid w:val="004716F2"/>
    <w:rsid w:val="00471A13"/>
    <w:rsid w:val="00471AF7"/>
    <w:rsid w:val="00471F1D"/>
    <w:rsid w:val="00471FCD"/>
    <w:rsid w:val="00472010"/>
    <w:rsid w:val="00472184"/>
    <w:rsid w:val="0047230B"/>
    <w:rsid w:val="0047239E"/>
    <w:rsid w:val="004723B1"/>
    <w:rsid w:val="00472644"/>
    <w:rsid w:val="00472695"/>
    <w:rsid w:val="00472B20"/>
    <w:rsid w:val="00472CFB"/>
    <w:rsid w:val="00472E9A"/>
    <w:rsid w:val="0047311A"/>
    <w:rsid w:val="004732A9"/>
    <w:rsid w:val="004735E7"/>
    <w:rsid w:val="004737B6"/>
    <w:rsid w:val="00473E3F"/>
    <w:rsid w:val="00474029"/>
    <w:rsid w:val="004740CD"/>
    <w:rsid w:val="004741EC"/>
    <w:rsid w:val="004741F1"/>
    <w:rsid w:val="00474349"/>
    <w:rsid w:val="004743D0"/>
    <w:rsid w:val="00474776"/>
    <w:rsid w:val="004749C2"/>
    <w:rsid w:val="00474A17"/>
    <w:rsid w:val="00474BB0"/>
    <w:rsid w:val="00474D58"/>
    <w:rsid w:val="00474E13"/>
    <w:rsid w:val="00475041"/>
    <w:rsid w:val="004752AD"/>
    <w:rsid w:val="004752FB"/>
    <w:rsid w:val="0047558D"/>
    <w:rsid w:val="0047590A"/>
    <w:rsid w:val="00475A88"/>
    <w:rsid w:val="00475B04"/>
    <w:rsid w:val="00475CD8"/>
    <w:rsid w:val="00475D7D"/>
    <w:rsid w:val="00476327"/>
    <w:rsid w:val="00476655"/>
    <w:rsid w:val="004767A6"/>
    <w:rsid w:val="00476813"/>
    <w:rsid w:val="004768B0"/>
    <w:rsid w:val="004769CC"/>
    <w:rsid w:val="00476B61"/>
    <w:rsid w:val="00476F85"/>
    <w:rsid w:val="0047708D"/>
    <w:rsid w:val="004770FA"/>
    <w:rsid w:val="00477205"/>
    <w:rsid w:val="00477384"/>
    <w:rsid w:val="00477415"/>
    <w:rsid w:val="00477EC4"/>
    <w:rsid w:val="00477EF2"/>
    <w:rsid w:val="00480366"/>
    <w:rsid w:val="00480528"/>
    <w:rsid w:val="0048054D"/>
    <w:rsid w:val="0048098F"/>
    <w:rsid w:val="004809FA"/>
    <w:rsid w:val="00480E77"/>
    <w:rsid w:val="00480E92"/>
    <w:rsid w:val="00480FBE"/>
    <w:rsid w:val="004810A6"/>
    <w:rsid w:val="00481282"/>
    <w:rsid w:val="004814C8"/>
    <w:rsid w:val="00481612"/>
    <w:rsid w:val="00481688"/>
    <w:rsid w:val="004816BD"/>
    <w:rsid w:val="0048189E"/>
    <w:rsid w:val="00481B2F"/>
    <w:rsid w:val="00481D35"/>
    <w:rsid w:val="00481ED4"/>
    <w:rsid w:val="00482360"/>
    <w:rsid w:val="00482385"/>
    <w:rsid w:val="004824AC"/>
    <w:rsid w:val="00482695"/>
    <w:rsid w:val="004828A9"/>
    <w:rsid w:val="00482956"/>
    <w:rsid w:val="0048296A"/>
    <w:rsid w:val="00482D8D"/>
    <w:rsid w:val="00483287"/>
    <w:rsid w:val="00483377"/>
    <w:rsid w:val="004835AE"/>
    <w:rsid w:val="00483614"/>
    <w:rsid w:val="004836AA"/>
    <w:rsid w:val="00483871"/>
    <w:rsid w:val="00483AE0"/>
    <w:rsid w:val="00483B65"/>
    <w:rsid w:val="00483C10"/>
    <w:rsid w:val="004843BA"/>
    <w:rsid w:val="00484703"/>
    <w:rsid w:val="00484713"/>
    <w:rsid w:val="00484BB9"/>
    <w:rsid w:val="00484C5D"/>
    <w:rsid w:val="00484D3D"/>
    <w:rsid w:val="004851EA"/>
    <w:rsid w:val="004854A7"/>
    <w:rsid w:val="00485921"/>
    <w:rsid w:val="004859AB"/>
    <w:rsid w:val="00485F9A"/>
    <w:rsid w:val="00486573"/>
    <w:rsid w:val="004866F1"/>
    <w:rsid w:val="004869FD"/>
    <w:rsid w:val="00486C97"/>
    <w:rsid w:val="00486E65"/>
    <w:rsid w:val="004871E8"/>
    <w:rsid w:val="004873F3"/>
    <w:rsid w:val="00487651"/>
    <w:rsid w:val="0048783C"/>
    <w:rsid w:val="00487A96"/>
    <w:rsid w:val="00487BD7"/>
    <w:rsid w:val="00487C0B"/>
    <w:rsid w:val="00487D75"/>
    <w:rsid w:val="00487D9B"/>
    <w:rsid w:val="00487E47"/>
    <w:rsid w:val="00490235"/>
    <w:rsid w:val="0049046A"/>
    <w:rsid w:val="004904AB"/>
    <w:rsid w:val="00490659"/>
    <w:rsid w:val="004907F2"/>
    <w:rsid w:val="004907F9"/>
    <w:rsid w:val="00490942"/>
    <w:rsid w:val="00490A88"/>
    <w:rsid w:val="00490C1C"/>
    <w:rsid w:val="00490D68"/>
    <w:rsid w:val="00490EF1"/>
    <w:rsid w:val="0049137F"/>
    <w:rsid w:val="0049180D"/>
    <w:rsid w:val="00491A48"/>
    <w:rsid w:val="00491BB4"/>
    <w:rsid w:val="00491BB5"/>
    <w:rsid w:val="00491C63"/>
    <w:rsid w:val="00491CD3"/>
    <w:rsid w:val="00491D55"/>
    <w:rsid w:val="00491E24"/>
    <w:rsid w:val="00492146"/>
    <w:rsid w:val="004922A5"/>
    <w:rsid w:val="00492426"/>
    <w:rsid w:val="00492536"/>
    <w:rsid w:val="00492C57"/>
    <w:rsid w:val="00492DDF"/>
    <w:rsid w:val="00492F9D"/>
    <w:rsid w:val="004935F1"/>
    <w:rsid w:val="0049366D"/>
    <w:rsid w:val="004936D2"/>
    <w:rsid w:val="00493719"/>
    <w:rsid w:val="00493760"/>
    <w:rsid w:val="0049385C"/>
    <w:rsid w:val="0049391F"/>
    <w:rsid w:val="00493995"/>
    <w:rsid w:val="004939D7"/>
    <w:rsid w:val="00493D8B"/>
    <w:rsid w:val="00493DBF"/>
    <w:rsid w:val="0049438D"/>
    <w:rsid w:val="004943B0"/>
    <w:rsid w:val="004944CD"/>
    <w:rsid w:val="00494514"/>
    <w:rsid w:val="004946BA"/>
    <w:rsid w:val="00494745"/>
    <w:rsid w:val="00494991"/>
    <w:rsid w:val="00494992"/>
    <w:rsid w:val="00494C08"/>
    <w:rsid w:val="00494DAE"/>
    <w:rsid w:val="00494FAA"/>
    <w:rsid w:val="0049550D"/>
    <w:rsid w:val="00495614"/>
    <w:rsid w:val="00495948"/>
    <w:rsid w:val="00495DB0"/>
    <w:rsid w:val="00495E30"/>
    <w:rsid w:val="004960D8"/>
    <w:rsid w:val="00496375"/>
    <w:rsid w:val="00496574"/>
    <w:rsid w:val="00496666"/>
    <w:rsid w:val="0049685E"/>
    <w:rsid w:val="00496A4B"/>
    <w:rsid w:val="00496A69"/>
    <w:rsid w:val="00496B48"/>
    <w:rsid w:val="00496CC9"/>
    <w:rsid w:val="00496D3B"/>
    <w:rsid w:val="00497190"/>
    <w:rsid w:val="004971B3"/>
    <w:rsid w:val="0049750E"/>
    <w:rsid w:val="004977B0"/>
    <w:rsid w:val="0049796A"/>
    <w:rsid w:val="00497D4A"/>
    <w:rsid w:val="00497DCB"/>
    <w:rsid w:val="004A008A"/>
    <w:rsid w:val="004A00B6"/>
    <w:rsid w:val="004A0125"/>
    <w:rsid w:val="004A0147"/>
    <w:rsid w:val="004A0349"/>
    <w:rsid w:val="004A0470"/>
    <w:rsid w:val="004A04A2"/>
    <w:rsid w:val="004A052B"/>
    <w:rsid w:val="004A058B"/>
    <w:rsid w:val="004A0656"/>
    <w:rsid w:val="004A0657"/>
    <w:rsid w:val="004A0711"/>
    <w:rsid w:val="004A0960"/>
    <w:rsid w:val="004A0A0E"/>
    <w:rsid w:val="004A0C8D"/>
    <w:rsid w:val="004A0D02"/>
    <w:rsid w:val="004A0D12"/>
    <w:rsid w:val="004A12EE"/>
    <w:rsid w:val="004A155E"/>
    <w:rsid w:val="004A1666"/>
    <w:rsid w:val="004A1838"/>
    <w:rsid w:val="004A1BCF"/>
    <w:rsid w:val="004A1BDB"/>
    <w:rsid w:val="004A1DAE"/>
    <w:rsid w:val="004A1E39"/>
    <w:rsid w:val="004A2231"/>
    <w:rsid w:val="004A224F"/>
    <w:rsid w:val="004A24B5"/>
    <w:rsid w:val="004A260F"/>
    <w:rsid w:val="004A29E2"/>
    <w:rsid w:val="004A2BD2"/>
    <w:rsid w:val="004A2E7E"/>
    <w:rsid w:val="004A3076"/>
    <w:rsid w:val="004A30B2"/>
    <w:rsid w:val="004A332E"/>
    <w:rsid w:val="004A392A"/>
    <w:rsid w:val="004A3A9A"/>
    <w:rsid w:val="004A3C8A"/>
    <w:rsid w:val="004A3E8D"/>
    <w:rsid w:val="004A4130"/>
    <w:rsid w:val="004A4160"/>
    <w:rsid w:val="004A4390"/>
    <w:rsid w:val="004A4466"/>
    <w:rsid w:val="004A46B1"/>
    <w:rsid w:val="004A49D6"/>
    <w:rsid w:val="004A4B54"/>
    <w:rsid w:val="004A50C6"/>
    <w:rsid w:val="004A5216"/>
    <w:rsid w:val="004A54BA"/>
    <w:rsid w:val="004A55E0"/>
    <w:rsid w:val="004A5670"/>
    <w:rsid w:val="004A5956"/>
    <w:rsid w:val="004A59B3"/>
    <w:rsid w:val="004A59CD"/>
    <w:rsid w:val="004A5C09"/>
    <w:rsid w:val="004A61AC"/>
    <w:rsid w:val="004A6205"/>
    <w:rsid w:val="004A639D"/>
    <w:rsid w:val="004A63D6"/>
    <w:rsid w:val="004A64D1"/>
    <w:rsid w:val="004A667E"/>
    <w:rsid w:val="004A68A4"/>
    <w:rsid w:val="004A6B27"/>
    <w:rsid w:val="004A6BC9"/>
    <w:rsid w:val="004A6D59"/>
    <w:rsid w:val="004A72F2"/>
    <w:rsid w:val="004A73EC"/>
    <w:rsid w:val="004A7491"/>
    <w:rsid w:val="004A765E"/>
    <w:rsid w:val="004A7683"/>
    <w:rsid w:val="004A7695"/>
    <w:rsid w:val="004A78C6"/>
    <w:rsid w:val="004A7CE2"/>
    <w:rsid w:val="004B00B1"/>
    <w:rsid w:val="004B01E7"/>
    <w:rsid w:val="004B0326"/>
    <w:rsid w:val="004B0478"/>
    <w:rsid w:val="004B049A"/>
    <w:rsid w:val="004B0576"/>
    <w:rsid w:val="004B07BA"/>
    <w:rsid w:val="004B0A1F"/>
    <w:rsid w:val="004B0D42"/>
    <w:rsid w:val="004B1134"/>
    <w:rsid w:val="004B1178"/>
    <w:rsid w:val="004B136D"/>
    <w:rsid w:val="004B144F"/>
    <w:rsid w:val="004B15F7"/>
    <w:rsid w:val="004B184D"/>
    <w:rsid w:val="004B1B67"/>
    <w:rsid w:val="004B20DD"/>
    <w:rsid w:val="004B24E7"/>
    <w:rsid w:val="004B2513"/>
    <w:rsid w:val="004B2642"/>
    <w:rsid w:val="004B2674"/>
    <w:rsid w:val="004B268B"/>
    <w:rsid w:val="004B27E3"/>
    <w:rsid w:val="004B2F10"/>
    <w:rsid w:val="004B3267"/>
    <w:rsid w:val="004B3476"/>
    <w:rsid w:val="004B35B7"/>
    <w:rsid w:val="004B3890"/>
    <w:rsid w:val="004B38E5"/>
    <w:rsid w:val="004B3A8F"/>
    <w:rsid w:val="004B3BE8"/>
    <w:rsid w:val="004B3BF2"/>
    <w:rsid w:val="004B3C66"/>
    <w:rsid w:val="004B3F46"/>
    <w:rsid w:val="004B3FA8"/>
    <w:rsid w:val="004B41D7"/>
    <w:rsid w:val="004B4241"/>
    <w:rsid w:val="004B4502"/>
    <w:rsid w:val="004B451B"/>
    <w:rsid w:val="004B4648"/>
    <w:rsid w:val="004B46E6"/>
    <w:rsid w:val="004B47E9"/>
    <w:rsid w:val="004B481F"/>
    <w:rsid w:val="004B4A9C"/>
    <w:rsid w:val="004B4DA6"/>
    <w:rsid w:val="004B4F8A"/>
    <w:rsid w:val="004B4FD8"/>
    <w:rsid w:val="004B519B"/>
    <w:rsid w:val="004B525D"/>
    <w:rsid w:val="004B52C8"/>
    <w:rsid w:val="004B54B4"/>
    <w:rsid w:val="004B5706"/>
    <w:rsid w:val="004B57E2"/>
    <w:rsid w:val="004B5904"/>
    <w:rsid w:val="004B5C20"/>
    <w:rsid w:val="004B5EEC"/>
    <w:rsid w:val="004B60F7"/>
    <w:rsid w:val="004B6781"/>
    <w:rsid w:val="004B6855"/>
    <w:rsid w:val="004B6B6F"/>
    <w:rsid w:val="004B6E35"/>
    <w:rsid w:val="004B7380"/>
    <w:rsid w:val="004B75A7"/>
    <w:rsid w:val="004B76AC"/>
    <w:rsid w:val="004B78BD"/>
    <w:rsid w:val="004B79B2"/>
    <w:rsid w:val="004B7B4A"/>
    <w:rsid w:val="004B7D04"/>
    <w:rsid w:val="004B7D14"/>
    <w:rsid w:val="004B7F7C"/>
    <w:rsid w:val="004C015E"/>
    <w:rsid w:val="004C0202"/>
    <w:rsid w:val="004C0676"/>
    <w:rsid w:val="004C06AA"/>
    <w:rsid w:val="004C0855"/>
    <w:rsid w:val="004C08C3"/>
    <w:rsid w:val="004C08DE"/>
    <w:rsid w:val="004C0B7C"/>
    <w:rsid w:val="004C1012"/>
    <w:rsid w:val="004C1838"/>
    <w:rsid w:val="004C1947"/>
    <w:rsid w:val="004C1986"/>
    <w:rsid w:val="004C1A73"/>
    <w:rsid w:val="004C1B02"/>
    <w:rsid w:val="004C1BCB"/>
    <w:rsid w:val="004C1BFF"/>
    <w:rsid w:val="004C1CEC"/>
    <w:rsid w:val="004C1EDF"/>
    <w:rsid w:val="004C2140"/>
    <w:rsid w:val="004C23A2"/>
    <w:rsid w:val="004C2CB8"/>
    <w:rsid w:val="004C362C"/>
    <w:rsid w:val="004C3BC4"/>
    <w:rsid w:val="004C3CC9"/>
    <w:rsid w:val="004C3DB5"/>
    <w:rsid w:val="004C4008"/>
    <w:rsid w:val="004C4083"/>
    <w:rsid w:val="004C4203"/>
    <w:rsid w:val="004C4277"/>
    <w:rsid w:val="004C4448"/>
    <w:rsid w:val="004C4994"/>
    <w:rsid w:val="004C4B55"/>
    <w:rsid w:val="004C4CF9"/>
    <w:rsid w:val="004C4D04"/>
    <w:rsid w:val="004C4F99"/>
    <w:rsid w:val="004C5136"/>
    <w:rsid w:val="004C516F"/>
    <w:rsid w:val="004C531E"/>
    <w:rsid w:val="004C5464"/>
    <w:rsid w:val="004C5675"/>
    <w:rsid w:val="004C58C6"/>
    <w:rsid w:val="004C5A40"/>
    <w:rsid w:val="004C5D46"/>
    <w:rsid w:val="004C5F0A"/>
    <w:rsid w:val="004C6043"/>
    <w:rsid w:val="004C6713"/>
    <w:rsid w:val="004C697D"/>
    <w:rsid w:val="004C6C89"/>
    <w:rsid w:val="004C6C9F"/>
    <w:rsid w:val="004C6F36"/>
    <w:rsid w:val="004C72E7"/>
    <w:rsid w:val="004C7334"/>
    <w:rsid w:val="004C7447"/>
    <w:rsid w:val="004C75C0"/>
    <w:rsid w:val="004C75CC"/>
    <w:rsid w:val="004C7716"/>
    <w:rsid w:val="004C793C"/>
    <w:rsid w:val="004C7A35"/>
    <w:rsid w:val="004C7B68"/>
    <w:rsid w:val="004C7D03"/>
    <w:rsid w:val="004C7D5D"/>
    <w:rsid w:val="004C7D73"/>
    <w:rsid w:val="004C7EA5"/>
    <w:rsid w:val="004D006F"/>
    <w:rsid w:val="004D048F"/>
    <w:rsid w:val="004D04F6"/>
    <w:rsid w:val="004D071F"/>
    <w:rsid w:val="004D073B"/>
    <w:rsid w:val="004D0744"/>
    <w:rsid w:val="004D0778"/>
    <w:rsid w:val="004D0855"/>
    <w:rsid w:val="004D0A08"/>
    <w:rsid w:val="004D0BA4"/>
    <w:rsid w:val="004D0C92"/>
    <w:rsid w:val="004D13EC"/>
    <w:rsid w:val="004D14DF"/>
    <w:rsid w:val="004D1534"/>
    <w:rsid w:val="004D1763"/>
    <w:rsid w:val="004D1A18"/>
    <w:rsid w:val="004D1A45"/>
    <w:rsid w:val="004D1BA7"/>
    <w:rsid w:val="004D1CC8"/>
    <w:rsid w:val="004D1DE4"/>
    <w:rsid w:val="004D2385"/>
    <w:rsid w:val="004D242B"/>
    <w:rsid w:val="004D25EF"/>
    <w:rsid w:val="004D295A"/>
    <w:rsid w:val="004D312B"/>
    <w:rsid w:val="004D3190"/>
    <w:rsid w:val="004D31E4"/>
    <w:rsid w:val="004D3493"/>
    <w:rsid w:val="004D36D2"/>
    <w:rsid w:val="004D372C"/>
    <w:rsid w:val="004D3CA9"/>
    <w:rsid w:val="004D3DB0"/>
    <w:rsid w:val="004D410E"/>
    <w:rsid w:val="004D43A0"/>
    <w:rsid w:val="004D4619"/>
    <w:rsid w:val="004D49E3"/>
    <w:rsid w:val="004D4D6F"/>
    <w:rsid w:val="004D4D82"/>
    <w:rsid w:val="004D4E91"/>
    <w:rsid w:val="004D4FB1"/>
    <w:rsid w:val="004D5A4A"/>
    <w:rsid w:val="004D5A5B"/>
    <w:rsid w:val="004D5B24"/>
    <w:rsid w:val="004D5D2C"/>
    <w:rsid w:val="004D61E2"/>
    <w:rsid w:val="004D6482"/>
    <w:rsid w:val="004D651D"/>
    <w:rsid w:val="004D68EF"/>
    <w:rsid w:val="004D69DB"/>
    <w:rsid w:val="004D6C87"/>
    <w:rsid w:val="004D6DBB"/>
    <w:rsid w:val="004D6F42"/>
    <w:rsid w:val="004D6FE6"/>
    <w:rsid w:val="004D705B"/>
    <w:rsid w:val="004D7268"/>
    <w:rsid w:val="004D75F2"/>
    <w:rsid w:val="004D767F"/>
    <w:rsid w:val="004D7866"/>
    <w:rsid w:val="004E01FC"/>
    <w:rsid w:val="004E08F8"/>
    <w:rsid w:val="004E0DA6"/>
    <w:rsid w:val="004E0F3D"/>
    <w:rsid w:val="004E0F5F"/>
    <w:rsid w:val="004E0FE1"/>
    <w:rsid w:val="004E11A7"/>
    <w:rsid w:val="004E11BA"/>
    <w:rsid w:val="004E1253"/>
    <w:rsid w:val="004E12AE"/>
    <w:rsid w:val="004E1334"/>
    <w:rsid w:val="004E167C"/>
    <w:rsid w:val="004E183D"/>
    <w:rsid w:val="004E1848"/>
    <w:rsid w:val="004E1C8E"/>
    <w:rsid w:val="004E1CDD"/>
    <w:rsid w:val="004E1D4D"/>
    <w:rsid w:val="004E1EF6"/>
    <w:rsid w:val="004E22B5"/>
    <w:rsid w:val="004E261B"/>
    <w:rsid w:val="004E2901"/>
    <w:rsid w:val="004E2E3C"/>
    <w:rsid w:val="004E2EB4"/>
    <w:rsid w:val="004E2F50"/>
    <w:rsid w:val="004E2FD8"/>
    <w:rsid w:val="004E2FDC"/>
    <w:rsid w:val="004E3383"/>
    <w:rsid w:val="004E345B"/>
    <w:rsid w:val="004E34A4"/>
    <w:rsid w:val="004E3664"/>
    <w:rsid w:val="004E36B2"/>
    <w:rsid w:val="004E36C5"/>
    <w:rsid w:val="004E3829"/>
    <w:rsid w:val="004E3943"/>
    <w:rsid w:val="004E3980"/>
    <w:rsid w:val="004E39CF"/>
    <w:rsid w:val="004E3A6F"/>
    <w:rsid w:val="004E437B"/>
    <w:rsid w:val="004E4526"/>
    <w:rsid w:val="004E45D6"/>
    <w:rsid w:val="004E466E"/>
    <w:rsid w:val="004E4792"/>
    <w:rsid w:val="004E4B85"/>
    <w:rsid w:val="004E4BDE"/>
    <w:rsid w:val="004E4C88"/>
    <w:rsid w:val="004E50D1"/>
    <w:rsid w:val="004E517C"/>
    <w:rsid w:val="004E5343"/>
    <w:rsid w:val="004E535E"/>
    <w:rsid w:val="004E541D"/>
    <w:rsid w:val="004E5A6B"/>
    <w:rsid w:val="004E5CB2"/>
    <w:rsid w:val="004E5DD5"/>
    <w:rsid w:val="004E6181"/>
    <w:rsid w:val="004E6252"/>
    <w:rsid w:val="004E62BB"/>
    <w:rsid w:val="004E644D"/>
    <w:rsid w:val="004E688C"/>
    <w:rsid w:val="004E68C8"/>
    <w:rsid w:val="004E6D0F"/>
    <w:rsid w:val="004E7248"/>
    <w:rsid w:val="004E7716"/>
    <w:rsid w:val="004E7B00"/>
    <w:rsid w:val="004F04C2"/>
    <w:rsid w:val="004F07D4"/>
    <w:rsid w:val="004F0E60"/>
    <w:rsid w:val="004F1046"/>
    <w:rsid w:val="004F10E3"/>
    <w:rsid w:val="004F12EF"/>
    <w:rsid w:val="004F171D"/>
    <w:rsid w:val="004F1777"/>
    <w:rsid w:val="004F18F1"/>
    <w:rsid w:val="004F1903"/>
    <w:rsid w:val="004F1A00"/>
    <w:rsid w:val="004F1CFA"/>
    <w:rsid w:val="004F1F07"/>
    <w:rsid w:val="004F2562"/>
    <w:rsid w:val="004F2C6B"/>
    <w:rsid w:val="004F2D59"/>
    <w:rsid w:val="004F2FF3"/>
    <w:rsid w:val="004F3192"/>
    <w:rsid w:val="004F31A8"/>
    <w:rsid w:val="004F31FE"/>
    <w:rsid w:val="004F34C0"/>
    <w:rsid w:val="004F3843"/>
    <w:rsid w:val="004F3A2C"/>
    <w:rsid w:val="004F3A44"/>
    <w:rsid w:val="004F3C7A"/>
    <w:rsid w:val="004F3C96"/>
    <w:rsid w:val="004F3E9C"/>
    <w:rsid w:val="004F40D2"/>
    <w:rsid w:val="004F4799"/>
    <w:rsid w:val="004F4848"/>
    <w:rsid w:val="004F496E"/>
    <w:rsid w:val="004F4A06"/>
    <w:rsid w:val="004F4AE7"/>
    <w:rsid w:val="004F4C8A"/>
    <w:rsid w:val="004F4CC1"/>
    <w:rsid w:val="004F4CEA"/>
    <w:rsid w:val="004F4D04"/>
    <w:rsid w:val="004F5152"/>
    <w:rsid w:val="004F516F"/>
    <w:rsid w:val="004F5313"/>
    <w:rsid w:val="004F53AA"/>
    <w:rsid w:val="004F54B9"/>
    <w:rsid w:val="004F5935"/>
    <w:rsid w:val="004F5AB3"/>
    <w:rsid w:val="004F5B2A"/>
    <w:rsid w:val="004F5E6E"/>
    <w:rsid w:val="004F5E9B"/>
    <w:rsid w:val="004F5F76"/>
    <w:rsid w:val="004F640E"/>
    <w:rsid w:val="004F658B"/>
    <w:rsid w:val="004F658C"/>
    <w:rsid w:val="004F665A"/>
    <w:rsid w:val="004F66A3"/>
    <w:rsid w:val="004F69D2"/>
    <w:rsid w:val="004F6C6B"/>
    <w:rsid w:val="004F6D44"/>
    <w:rsid w:val="004F6D4F"/>
    <w:rsid w:val="004F6F04"/>
    <w:rsid w:val="004F7096"/>
    <w:rsid w:val="004F72F2"/>
    <w:rsid w:val="004F73C3"/>
    <w:rsid w:val="004F748B"/>
    <w:rsid w:val="004F756C"/>
    <w:rsid w:val="004F75EE"/>
    <w:rsid w:val="004F75FE"/>
    <w:rsid w:val="004F79D9"/>
    <w:rsid w:val="004F7ACE"/>
    <w:rsid w:val="004F7F76"/>
    <w:rsid w:val="00500179"/>
    <w:rsid w:val="005007C8"/>
    <w:rsid w:val="005007D3"/>
    <w:rsid w:val="00500985"/>
    <w:rsid w:val="005009EB"/>
    <w:rsid w:val="00500A10"/>
    <w:rsid w:val="00500A12"/>
    <w:rsid w:val="00500B1A"/>
    <w:rsid w:val="00500D7D"/>
    <w:rsid w:val="00500E26"/>
    <w:rsid w:val="00501092"/>
    <w:rsid w:val="005010C6"/>
    <w:rsid w:val="00501289"/>
    <w:rsid w:val="005012FD"/>
    <w:rsid w:val="0050140F"/>
    <w:rsid w:val="005016F5"/>
    <w:rsid w:val="005017C9"/>
    <w:rsid w:val="005017F8"/>
    <w:rsid w:val="00501959"/>
    <w:rsid w:val="00501FB2"/>
    <w:rsid w:val="00502033"/>
    <w:rsid w:val="00502236"/>
    <w:rsid w:val="005026B2"/>
    <w:rsid w:val="005026CB"/>
    <w:rsid w:val="005026F6"/>
    <w:rsid w:val="005027A6"/>
    <w:rsid w:val="005027AC"/>
    <w:rsid w:val="00502901"/>
    <w:rsid w:val="00502A6F"/>
    <w:rsid w:val="00502AFE"/>
    <w:rsid w:val="00502B84"/>
    <w:rsid w:val="00502C89"/>
    <w:rsid w:val="00502D30"/>
    <w:rsid w:val="005030C3"/>
    <w:rsid w:val="005030D7"/>
    <w:rsid w:val="005032B5"/>
    <w:rsid w:val="0050342F"/>
    <w:rsid w:val="00503B50"/>
    <w:rsid w:val="00503EF7"/>
    <w:rsid w:val="0050458C"/>
    <w:rsid w:val="005045FC"/>
    <w:rsid w:val="005049B6"/>
    <w:rsid w:val="005049EA"/>
    <w:rsid w:val="00504C94"/>
    <w:rsid w:val="00504CF8"/>
    <w:rsid w:val="00504DAC"/>
    <w:rsid w:val="00504E75"/>
    <w:rsid w:val="00504EAB"/>
    <w:rsid w:val="00504EE8"/>
    <w:rsid w:val="00504F9D"/>
    <w:rsid w:val="0050509D"/>
    <w:rsid w:val="005050A2"/>
    <w:rsid w:val="005051A3"/>
    <w:rsid w:val="005051C3"/>
    <w:rsid w:val="00505536"/>
    <w:rsid w:val="005056E4"/>
    <w:rsid w:val="00505794"/>
    <w:rsid w:val="00505889"/>
    <w:rsid w:val="00505924"/>
    <w:rsid w:val="00505A22"/>
    <w:rsid w:val="00505AFD"/>
    <w:rsid w:val="00505D23"/>
    <w:rsid w:val="00505D40"/>
    <w:rsid w:val="00505E51"/>
    <w:rsid w:val="0050607F"/>
    <w:rsid w:val="005060FC"/>
    <w:rsid w:val="0050621C"/>
    <w:rsid w:val="005063E9"/>
    <w:rsid w:val="00506435"/>
    <w:rsid w:val="00506596"/>
    <w:rsid w:val="00506637"/>
    <w:rsid w:val="005066AE"/>
    <w:rsid w:val="00506853"/>
    <w:rsid w:val="00506F0F"/>
    <w:rsid w:val="00506F3C"/>
    <w:rsid w:val="00506FC4"/>
    <w:rsid w:val="005071F3"/>
    <w:rsid w:val="00507325"/>
    <w:rsid w:val="005073AA"/>
    <w:rsid w:val="005073E1"/>
    <w:rsid w:val="005075AA"/>
    <w:rsid w:val="00507688"/>
    <w:rsid w:val="00507A7E"/>
    <w:rsid w:val="00507AB9"/>
    <w:rsid w:val="00507D5D"/>
    <w:rsid w:val="00507FC7"/>
    <w:rsid w:val="00510105"/>
    <w:rsid w:val="00510190"/>
    <w:rsid w:val="005106B2"/>
    <w:rsid w:val="0051074B"/>
    <w:rsid w:val="005109B4"/>
    <w:rsid w:val="00510BB8"/>
    <w:rsid w:val="00510EAA"/>
    <w:rsid w:val="0051114F"/>
    <w:rsid w:val="005112F3"/>
    <w:rsid w:val="00511435"/>
    <w:rsid w:val="00511524"/>
    <w:rsid w:val="00511534"/>
    <w:rsid w:val="00511795"/>
    <w:rsid w:val="00511ACA"/>
    <w:rsid w:val="00511BFB"/>
    <w:rsid w:val="00511CFB"/>
    <w:rsid w:val="0051204E"/>
    <w:rsid w:val="005120D5"/>
    <w:rsid w:val="0051231F"/>
    <w:rsid w:val="005123A2"/>
    <w:rsid w:val="00512759"/>
    <w:rsid w:val="00512A7F"/>
    <w:rsid w:val="00512AE5"/>
    <w:rsid w:val="00512C00"/>
    <w:rsid w:val="00513544"/>
    <w:rsid w:val="005137FD"/>
    <w:rsid w:val="0051397A"/>
    <w:rsid w:val="00513E6D"/>
    <w:rsid w:val="00513FA0"/>
    <w:rsid w:val="00514374"/>
    <w:rsid w:val="00514554"/>
    <w:rsid w:val="00514766"/>
    <w:rsid w:val="00514851"/>
    <w:rsid w:val="00514930"/>
    <w:rsid w:val="00514AA1"/>
    <w:rsid w:val="00514B7B"/>
    <w:rsid w:val="00514C7C"/>
    <w:rsid w:val="00515197"/>
    <w:rsid w:val="005151ED"/>
    <w:rsid w:val="0051559A"/>
    <w:rsid w:val="00515797"/>
    <w:rsid w:val="005158ED"/>
    <w:rsid w:val="00515A90"/>
    <w:rsid w:val="00515D14"/>
    <w:rsid w:val="00515E1C"/>
    <w:rsid w:val="00516048"/>
    <w:rsid w:val="00516131"/>
    <w:rsid w:val="00516276"/>
    <w:rsid w:val="005165E5"/>
    <w:rsid w:val="0051678D"/>
    <w:rsid w:val="005167BF"/>
    <w:rsid w:val="005167E5"/>
    <w:rsid w:val="0051699B"/>
    <w:rsid w:val="00516A8E"/>
    <w:rsid w:val="00516AC9"/>
    <w:rsid w:val="00516B9F"/>
    <w:rsid w:val="00516DAC"/>
    <w:rsid w:val="00516F39"/>
    <w:rsid w:val="0051710E"/>
    <w:rsid w:val="00517225"/>
    <w:rsid w:val="005173C2"/>
    <w:rsid w:val="0051742C"/>
    <w:rsid w:val="0051750A"/>
    <w:rsid w:val="0051791B"/>
    <w:rsid w:val="00517991"/>
    <w:rsid w:val="00517B0E"/>
    <w:rsid w:val="00517BC2"/>
    <w:rsid w:val="00517F22"/>
    <w:rsid w:val="005201E9"/>
    <w:rsid w:val="005202A3"/>
    <w:rsid w:val="0052035D"/>
    <w:rsid w:val="005206D4"/>
    <w:rsid w:val="005207EC"/>
    <w:rsid w:val="0052099E"/>
    <w:rsid w:val="00520ADE"/>
    <w:rsid w:val="00520E94"/>
    <w:rsid w:val="005210B0"/>
    <w:rsid w:val="0052159B"/>
    <w:rsid w:val="005215FC"/>
    <w:rsid w:val="00521AD5"/>
    <w:rsid w:val="00521BE7"/>
    <w:rsid w:val="00521CA5"/>
    <w:rsid w:val="00521FC8"/>
    <w:rsid w:val="00522076"/>
    <w:rsid w:val="005220BF"/>
    <w:rsid w:val="005222E9"/>
    <w:rsid w:val="00522371"/>
    <w:rsid w:val="0052254D"/>
    <w:rsid w:val="0052256C"/>
    <w:rsid w:val="005226A0"/>
    <w:rsid w:val="0052288F"/>
    <w:rsid w:val="00522911"/>
    <w:rsid w:val="0052291B"/>
    <w:rsid w:val="00522F2F"/>
    <w:rsid w:val="00522F5A"/>
    <w:rsid w:val="00523038"/>
    <w:rsid w:val="00523040"/>
    <w:rsid w:val="0052316C"/>
    <w:rsid w:val="00523326"/>
    <w:rsid w:val="0052380F"/>
    <w:rsid w:val="00523BB1"/>
    <w:rsid w:val="00523BE8"/>
    <w:rsid w:val="00523E02"/>
    <w:rsid w:val="00523E81"/>
    <w:rsid w:val="005240F1"/>
    <w:rsid w:val="00524160"/>
    <w:rsid w:val="00524163"/>
    <w:rsid w:val="00524708"/>
    <w:rsid w:val="00524745"/>
    <w:rsid w:val="00524E4C"/>
    <w:rsid w:val="00524E74"/>
    <w:rsid w:val="0052506D"/>
    <w:rsid w:val="0052522A"/>
    <w:rsid w:val="005254B9"/>
    <w:rsid w:val="005254C6"/>
    <w:rsid w:val="0052553C"/>
    <w:rsid w:val="0052593F"/>
    <w:rsid w:val="00525B17"/>
    <w:rsid w:val="00525D72"/>
    <w:rsid w:val="00525F6E"/>
    <w:rsid w:val="005262D8"/>
    <w:rsid w:val="00526342"/>
    <w:rsid w:val="00526364"/>
    <w:rsid w:val="0052698C"/>
    <w:rsid w:val="00526A95"/>
    <w:rsid w:val="00526BA0"/>
    <w:rsid w:val="00526C5D"/>
    <w:rsid w:val="00526DA8"/>
    <w:rsid w:val="00526E3F"/>
    <w:rsid w:val="00526FC6"/>
    <w:rsid w:val="005270FE"/>
    <w:rsid w:val="00527335"/>
    <w:rsid w:val="00527452"/>
    <w:rsid w:val="00527573"/>
    <w:rsid w:val="00527595"/>
    <w:rsid w:val="00527824"/>
    <w:rsid w:val="00527A00"/>
    <w:rsid w:val="00527D07"/>
    <w:rsid w:val="00527D98"/>
    <w:rsid w:val="00530225"/>
    <w:rsid w:val="00530727"/>
    <w:rsid w:val="00530749"/>
    <w:rsid w:val="0053094C"/>
    <w:rsid w:val="00530D64"/>
    <w:rsid w:val="00530DFE"/>
    <w:rsid w:val="00530FA4"/>
    <w:rsid w:val="0053117F"/>
    <w:rsid w:val="00531804"/>
    <w:rsid w:val="00531874"/>
    <w:rsid w:val="00531A6D"/>
    <w:rsid w:val="00531CBF"/>
    <w:rsid w:val="00531D2F"/>
    <w:rsid w:val="00531E42"/>
    <w:rsid w:val="00531F82"/>
    <w:rsid w:val="005320E5"/>
    <w:rsid w:val="0053260E"/>
    <w:rsid w:val="005326A5"/>
    <w:rsid w:val="00532B0D"/>
    <w:rsid w:val="00532BEF"/>
    <w:rsid w:val="00532C9D"/>
    <w:rsid w:val="00533100"/>
    <w:rsid w:val="005331D4"/>
    <w:rsid w:val="005334C4"/>
    <w:rsid w:val="005334DE"/>
    <w:rsid w:val="005334E9"/>
    <w:rsid w:val="005335BB"/>
    <w:rsid w:val="00533672"/>
    <w:rsid w:val="00533785"/>
    <w:rsid w:val="00533849"/>
    <w:rsid w:val="005342D3"/>
    <w:rsid w:val="0053432E"/>
    <w:rsid w:val="00534502"/>
    <w:rsid w:val="00534550"/>
    <w:rsid w:val="00534B67"/>
    <w:rsid w:val="00534B82"/>
    <w:rsid w:val="00534C27"/>
    <w:rsid w:val="00535145"/>
    <w:rsid w:val="0053571C"/>
    <w:rsid w:val="0053572C"/>
    <w:rsid w:val="00535752"/>
    <w:rsid w:val="0053589A"/>
    <w:rsid w:val="00535B13"/>
    <w:rsid w:val="00535C70"/>
    <w:rsid w:val="00535F39"/>
    <w:rsid w:val="00535F8A"/>
    <w:rsid w:val="0053648F"/>
    <w:rsid w:val="005367F1"/>
    <w:rsid w:val="0053681C"/>
    <w:rsid w:val="00536931"/>
    <w:rsid w:val="0053694B"/>
    <w:rsid w:val="00536A28"/>
    <w:rsid w:val="00536A65"/>
    <w:rsid w:val="00536D11"/>
    <w:rsid w:val="00536DCA"/>
    <w:rsid w:val="00536FAB"/>
    <w:rsid w:val="00537368"/>
    <w:rsid w:val="005379EE"/>
    <w:rsid w:val="00537B25"/>
    <w:rsid w:val="00537BE1"/>
    <w:rsid w:val="00537CB8"/>
    <w:rsid w:val="0053A998"/>
    <w:rsid w:val="005405A8"/>
    <w:rsid w:val="005405C5"/>
    <w:rsid w:val="00540923"/>
    <w:rsid w:val="00540BBD"/>
    <w:rsid w:val="00540DD5"/>
    <w:rsid w:val="00540E58"/>
    <w:rsid w:val="0054110C"/>
    <w:rsid w:val="00541181"/>
    <w:rsid w:val="005412F9"/>
    <w:rsid w:val="00541306"/>
    <w:rsid w:val="005413D3"/>
    <w:rsid w:val="005414AB"/>
    <w:rsid w:val="0054150B"/>
    <w:rsid w:val="005417A6"/>
    <w:rsid w:val="00541B3B"/>
    <w:rsid w:val="00541C02"/>
    <w:rsid w:val="00541FF1"/>
    <w:rsid w:val="00542431"/>
    <w:rsid w:val="0054245D"/>
    <w:rsid w:val="005424A4"/>
    <w:rsid w:val="0054280A"/>
    <w:rsid w:val="00542EDC"/>
    <w:rsid w:val="00542F19"/>
    <w:rsid w:val="00542F86"/>
    <w:rsid w:val="00542FD6"/>
    <w:rsid w:val="00543143"/>
    <w:rsid w:val="005435DF"/>
    <w:rsid w:val="005436A5"/>
    <w:rsid w:val="0054391C"/>
    <w:rsid w:val="0054396C"/>
    <w:rsid w:val="00543A37"/>
    <w:rsid w:val="00543BEE"/>
    <w:rsid w:val="00543DB9"/>
    <w:rsid w:val="00543DC8"/>
    <w:rsid w:val="00543FCB"/>
    <w:rsid w:val="0054417F"/>
    <w:rsid w:val="00544317"/>
    <w:rsid w:val="0054434D"/>
    <w:rsid w:val="005444BF"/>
    <w:rsid w:val="00544526"/>
    <w:rsid w:val="00544580"/>
    <w:rsid w:val="00544634"/>
    <w:rsid w:val="005449E9"/>
    <w:rsid w:val="00544B72"/>
    <w:rsid w:val="00544C10"/>
    <w:rsid w:val="00544C12"/>
    <w:rsid w:val="00544C61"/>
    <w:rsid w:val="00544DB0"/>
    <w:rsid w:val="00545051"/>
    <w:rsid w:val="00545376"/>
    <w:rsid w:val="005453C5"/>
    <w:rsid w:val="00545429"/>
    <w:rsid w:val="0054548D"/>
    <w:rsid w:val="0054560B"/>
    <w:rsid w:val="00545665"/>
    <w:rsid w:val="005457FD"/>
    <w:rsid w:val="00545828"/>
    <w:rsid w:val="00545874"/>
    <w:rsid w:val="00545906"/>
    <w:rsid w:val="00545AF2"/>
    <w:rsid w:val="00545DB2"/>
    <w:rsid w:val="00545E60"/>
    <w:rsid w:val="00545F1A"/>
    <w:rsid w:val="00545F8E"/>
    <w:rsid w:val="00546046"/>
    <w:rsid w:val="005462BA"/>
    <w:rsid w:val="005463A0"/>
    <w:rsid w:val="005466C8"/>
    <w:rsid w:val="005467DB"/>
    <w:rsid w:val="00546C56"/>
    <w:rsid w:val="00546CAE"/>
    <w:rsid w:val="00546D41"/>
    <w:rsid w:val="00546DA0"/>
    <w:rsid w:val="00546E3E"/>
    <w:rsid w:val="00546E46"/>
    <w:rsid w:val="00546EE4"/>
    <w:rsid w:val="00546FBA"/>
    <w:rsid w:val="0054713B"/>
    <w:rsid w:val="00547187"/>
    <w:rsid w:val="005471C8"/>
    <w:rsid w:val="005473BD"/>
    <w:rsid w:val="0054782B"/>
    <w:rsid w:val="00547B22"/>
    <w:rsid w:val="00547EFC"/>
    <w:rsid w:val="00547FA9"/>
    <w:rsid w:val="0055003D"/>
    <w:rsid w:val="005500E9"/>
    <w:rsid w:val="0055017E"/>
    <w:rsid w:val="005501ED"/>
    <w:rsid w:val="00550272"/>
    <w:rsid w:val="00550285"/>
    <w:rsid w:val="005503C0"/>
    <w:rsid w:val="005504C6"/>
    <w:rsid w:val="00550799"/>
    <w:rsid w:val="00550981"/>
    <w:rsid w:val="00550D84"/>
    <w:rsid w:val="00550DC5"/>
    <w:rsid w:val="00550F12"/>
    <w:rsid w:val="00551269"/>
    <w:rsid w:val="00551328"/>
    <w:rsid w:val="0055164C"/>
    <w:rsid w:val="00551A0A"/>
    <w:rsid w:val="00551B41"/>
    <w:rsid w:val="00551C34"/>
    <w:rsid w:val="00551ED3"/>
    <w:rsid w:val="00551F46"/>
    <w:rsid w:val="00551F9E"/>
    <w:rsid w:val="005522CB"/>
    <w:rsid w:val="005522CD"/>
    <w:rsid w:val="00552487"/>
    <w:rsid w:val="0055250E"/>
    <w:rsid w:val="00552844"/>
    <w:rsid w:val="0055286C"/>
    <w:rsid w:val="00552874"/>
    <w:rsid w:val="0055291E"/>
    <w:rsid w:val="00552B0E"/>
    <w:rsid w:val="00552B2C"/>
    <w:rsid w:val="00552B33"/>
    <w:rsid w:val="00552FFF"/>
    <w:rsid w:val="0055310B"/>
    <w:rsid w:val="00553156"/>
    <w:rsid w:val="005531A5"/>
    <w:rsid w:val="0055329D"/>
    <w:rsid w:val="005534D6"/>
    <w:rsid w:val="00553755"/>
    <w:rsid w:val="00553A94"/>
    <w:rsid w:val="00553ACB"/>
    <w:rsid w:val="00553CF9"/>
    <w:rsid w:val="00553DC1"/>
    <w:rsid w:val="005541FE"/>
    <w:rsid w:val="0055421C"/>
    <w:rsid w:val="0055449F"/>
    <w:rsid w:val="005544D9"/>
    <w:rsid w:val="00554671"/>
    <w:rsid w:val="00554D39"/>
    <w:rsid w:val="00554DD7"/>
    <w:rsid w:val="00554EBC"/>
    <w:rsid w:val="005555C2"/>
    <w:rsid w:val="0055588A"/>
    <w:rsid w:val="00555ADB"/>
    <w:rsid w:val="00555C99"/>
    <w:rsid w:val="0055639E"/>
    <w:rsid w:val="005564AC"/>
    <w:rsid w:val="00556718"/>
    <w:rsid w:val="00556949"/>
    <w:rsid w:val="00556CAF"/>
    <w:rsid w:val="0055716E"/>
    <w:rsid w:val="00557312"/>
    <w:rsid w:val="0055740F"/>
    <w:rsid w:val="00557722"/>
    <w:rsid w:val="005577C5"/>
    <w:rsid w:val="005577E5"/>
    <w:rsid w:val="00557933"/>
    <w:rsid w:val="00557A5C"/>
    <w:rsid w:val="00560132"/>
    <w:rsid w:val="00560183"/>
    <w:rsid w:val="0056033E"/>
    <w:rsid w:val="005607BC"/>
    <w:rsid w:val="00560AC7"/>
    <w:rsid w:val="00560C1D"/>
    <w:rsid w:val="00560C93"/>
    <w:rsid w:val="00560D87"/>
    <w:rsid w:val="00560F99"/>
    <w:rsid w:val="005611CB"/>
    <w:rsid w:val="0056153A"/>
    <w:rsid w:val="005615F7"/>
    <w:rsid w:val="005619E8"/>
    <w:rsid w:val="005619FD"/>
    <w:rsid w:val="00561C20"/>
    <w:rsid w:val="00562105"/>
    <w:rsid w:val="00562664"/>
    <w:rsid w:val="0056297D"/>
    <w:rsid w:val="00562A7D"/>
    <w:rsid w:val="005634EB"/>
    <w:rsid w:val="0056362B"/>
    <w:rsid w:val="00563C94"/>
    <w:rsid w:val="00563CD4"/>
    <w:rsid w:val="00563ED5"/>
    <w:rsid w:val="00563F85"/>
    <w:rsid w:val="0056400F"/>
    <w:rsid w:val="00564101"/>
    <w:rsid w:val="005649E3"/>
    <w:rsid w:val="00564FDB"/>
    <w:rsid w:val="00565081"/>
    <w:rsid w:val="00565146"/>
    <w:rsid w:val="00565563"/>
    <w:rsid w:val="00565886"/>
    <w:rsid w:val="0056591A"/>
    <w:rsid w:val="00565AC5"/>
    <w:rsid w:val="00566339"/>
    <w:rsid w:val="00566777"/>
    <w:rsid w:val="00566B4D"/>
    <w:rsid w:val="00566BB6"/>
    <w:rsid w:val="00566CAD"/>
    <w:rsid w:val="005673A0"/>
    <w:rsid w:val="005673F7"/>
    <w:rsid w:val="005674A2"/>
    <w:rsid w:val="0056772B"/>
    <w:rsid w:val="00567E2C"/>
    <w:rsid w:val="00567FBA"/>
    <w:rsid w:val="005700DC"/>
    <w:rsid w:val="005701DB"/>
    <w:rsid w:val="00570293"/>
    <w:rsid w:val="00570409"/>
    <w:rsid w:val="005705F7"/>
    <w:rsid w:val="00570770"/>
    <w:rsid w:val="00570787"/>
    <w:rsid w:val="00570B11"/>
    <w:rsid w:val="00570C1C"/>
    <w:rsid w:val="00570D07"/>
    <w:rsid w:val="00570D83"/>
    <w:rsid w:val="005710A1"/>
    <w:rsid w:val="005710B5"/>
    <w:rsid w:val="0057110B"/>
    <w:rsid w:val="00571254"/>
    <w:rsid w:val="00571388"/>
    <w:rsid w:val="005715D8"/>
    <w:rsid w:val="005715F0"/>
    <w:rsid w:val="0057161E"/>
    <w:rsid w:val="00571802"/>
    <w:rsid w:val="00571878"/>
    <w:rsid w:val="00571D12"/>
    <w:rsid w:val="00571DD4"/>
    <w:rsid w:val="0057244B"/>
    <w:rsid w:val="00572976"/>
    <w:rsid w:val="00572E59"/>
    <w:rsid w:val="00573421"/>
    <w:rsid w:val="005734CE"/>
    <w:rsid w:val="00573AD0"/>
    <w:rsid w:val="00573BCB"/>
    <w:rsid w:val="00573BE2"/>
    <w:rsid w:val="00573CA8"/>
    <w:rsid w:val="00573FAB"/>
    <w:rsid w:val="00574669"/>
    <w:rsid w:val="00574768"/>
    <w:rsid w:val="005748EC"/>
    <w:rsid w:val="00574AAD"/>
    <w:rsid w:val="00574B93"/>
    <w:rsid w:val="00574CAE"/>
    <w:rsid w:val="00574D66"/>
    <w:rsid w:val="00574DF5"/>
    <w:rsid w:val="00574E81"/>
    <w:rsid w:val="00575041"/>
    <w:rsid w:val="00575154"/>
    <w:rsid w:val="00575511"/>
    <w:rsid w:val="00575650"/>
    <w:rsid w:val="00575DD0"/>
    <w:rsid w:val="00576783"/>
    <w:rsid w:val="005768AF"/>
    <w:rsid w:val="005768B9"/>
    <w:rsid w:val="0057696E"/>
    <w:rsid w:val="005770EA"/>
    <w:rsid w:val="00577351"/>
    <w:rsid w:val="005775CD"/>
    <w:rsid w:val="00577631"/>
    <w:rsid w:val="00577698"/>
    <w:rsid w:val="005777D4"/>
    <w:rsid w:val="005777E3"/>
    <w:rsid w:val="00577D06"/>
    <w:rsid w:val="00577D95"/>
    <w:rsid w:val="00577DD0"/>
    <w:rsid w:val="00580318"/>
    <w:rsid w:val="005805FA"/>
    <w:rsid w:val="00580886"/>
    <w:rsid w:val="00580901"/>
    <w:rsid w:val="00580910"/>
    <w:rsid w:val="00580AA7"/>
    <w:rsid w:val="00580D30"/>
    <w:rsid w:val="00580E20"/>
    <w:rsid w:val="00581080"/>
    <w:rsid w:val="005811F3"/>
    <w:rsid w:val="00581358"/>
    <w:rsid w:val="005813FE"/>
    <w:rsid w:val="005814B6"/>
    <w:rsid w:val="00581633"/>
    <w:rsid w:val="00581657"/>
    <w:rsid w:val="00581BBC"/>
    <w:rsid w:val="0058214F"/>
    <w:rsid w:val="00582419"/>
    <w:rsid w:val="00582681"/>
    <w:rsid w:val="005828EC"/>
    <w:rsid w:val="00582AC2"/>
    <w:rsid w:val="00582D80"/>
    <w:rsid w:val="00582DC7"/>
    <w:rsid w:val="00583366"/>
    <w:rsid w:val="00583499"/>
    <w:rsid w:val="0058349A"/>
    <w:rsid w:val="005836F0"/>
    <w:rsid w:val="0058387F"/>
    <w:rsid w:val="00583897"/>
    <w:rsid w:val="00583C5A"/>
    <w:rsid w:val="00583CFF"/>
    <w:rsid w:val="00583F68"/>
    <w:rsid w:val="00584188"/>
    <w:rsid w:val="005844AB"/>
    <w:rsid w:val="005844EF"/>
    <w:rsid w:val="00584653"/>
    <w:rsid w:val="00584715"/>
    <w:rsid w:val="00584879"/>
    <w:rsid w:val="0058497D"/>
    <w:rsid w:val="00584AB0"/>
    <w:rsid w:val="00584B93"/>
    <w:rsid w:val="00584E70"/>
    <w:rsid w:val="00585011"/>
    <w:rsid w:val="005850BB"/>
    <w:rsid w:val="0058532A"/>
    <w:rsid w:val="00585452"/>
    <w:rsid w:val="00585711"/>
    <w:rsid w:val="00585B33"/>
    <w:rsid w:val="005860F1"/>
    <w:rsid w:val="00586343"/>
    <w:rsid w:val="00586711"/>
    <w:rsid w:val="00586A74"/>
    <w:rsid w:val="00586BE8"/>
    <w:rsid w:val="00586C87"/>
    <w:rsid w:val="00586CB4"/>
    <w:rsid w:val="00586CB5"/>
    <w:rsid w:val="00586CF4"/>
    <w:rsid w:val="00586E13"/>
    <w:rsid w:val="00586FBC"/>
    <w:rsid w:val="00587079"/>
    <w:rsid w:val="00587488"/>
    <w:rsid w:val="0058749C"/>
    <w:rsid w:val="0058758A"/>
    <w:rsid w:val="005875BE"/>
    <w:rsid w:val="00587BA5"/>
    <w:rsid w:val="00587D20"/>
    <w:rsid w:val="0059014B"/>
    <w:rsid w:val="005901BE"/>
    <w:rsid w:val="005902F0"/>
    <w:rsid w:val="005904CA"/>
    <w:rsid w:val="00590586"/>
    <w:rsid w:val="00590621"/>
    <w:rsid w:val="0059068E"/>
    <w:rsid w:val="00590697"/>
    <w:rsid w:val="005908CA"/>
    <w:rsid w:val="00590997"/>
    <w:rsid w:val="00590A1F"/>
    <w:rsid w:val="00590A45"/>
    <w:rsid w:val="00590CCA"/>
    <w:rsid w:val="00590DEF"/>
    <w:rsid w:val="00590E8E"/>
    <w:rsid w:val="00590EEB"/>
    <w:rsid w:val="00590FC7"/>
    <w:rsid w:val="00590FCD"/>
    <w:rsid w:val="00590FEE"/>
    <w:rsid w:val="005911AB"/>
    <w:rsid w:val="0059123D"/>
    <w:rsid w:val="005914BA"/>
    <w:rsid w:val="00591578"/>
    <w:rsid w:val="00591587"/>
    <w:rsid w:val="00591685"/>
    <w:rsid w:val="0059171F"/>
    <w:rsid w:val="0059181F"/>
    <w:rsid w:val="00591A7D"/>
    <w:rsid w:val="0059210E"/>
    <w:rsid w:val="005922D8"/>
    <w:rsid w:val="005924CB"/>
    <w:rsid w:val="005925BF"/>
    <w:rsid w:val="005927F2"/>
    <w:rsid w:val="00592843"/>
    <w:rsid w:val="00592867"/>
    <w:rsid w:val="00592AE1"/>
    <w:rsid w:val="00592C0D"/>
    <w:rsid w:val="005930A4"/>
    <w:rsid w:val="005931B7"/>
    <w:rsid w:val="005932C9"/>
    <w:rsid w:val="00593694"/>
    <w:rsid w:val="00593A3F"/>
    <w:rsid w:val="0059414C"/>
    <w:rsid w:val="005946E3"/>
    <w:rsid w:val="00594818"/>
    <w:rsid w:val="00594AA9"/>
    <w:rsid w:val="00594FFE"/>
    <w:rsid w:val="005951AA"/>
    <w:rsid w:val="0059573E"/>
    <w:rsid w:val="0059582C"/>
    <w:rsid w:val="00595B45"/>
    <w:rsid w:val="00595DDD"/>
    <w:rsid w:val="00595EC4"/>
    <w:rsid w:val="00595FB9"/>
    <w:rsid w:val="005960C8"/>
    <w:rsid w:val="00596458"/>
    <w:rsid w:val="00596540"/>
    <w:rsid w:val="00596B54"/>
    <w:rsid w:val="00596E74"/>
    <w:rsid w:val="00596ED8"/>
    <w:rsid w:val="00596F9C"/>
    <w:rsid w:val="00597208"/>
    <w:rsid w:val="00597432"/>
    <w:rsid w:val="00597810"/>
    <w:rsid w:val="0059781B"/>
    <w:rsid w:val="00597954"/>
    <w:rsid w:val="00597AC5"/>
    <w:rsid w:val="00597DC7"/>
    <w:rsid w:val="00597ED2"/>
    <w:rsid w:val="005A067F"/>
    <w:rsid w:val="005A06A3"/>
    <w:rsid w:val="005A07AD"/>
    <w:rsid w:val="005A0C10"/>
    <w:rsid w:val="005A0FD0"/>
    <w:rsid w:val="005A1071"/>
    <w:rsid w:val="005A10E6"/>
    <w:rsid w:val="005A14DB"/>
    <w:rsid w:val="005A175B"/>
    <w:rsid w:val="005A18F3"/>
    <w:rsid w:val="005A1A70"/>
    <w:rsid w:val="005A1E80"/>
    <w:rsid w:val="005A1E9E"/>
    <w:rsid w:val="005A1EE8"/>
    <w:rsid w:val="005A2298"/>
    <w:rsid w:val="005A2384"/>
    <w:rsid w:val="005A2435"/>
    <w:rsid w:val="005A24D2"/>
    <w:rsid w:val="005A2880"/>
    <w:rsid w:val="005A2A4E"/>
    <w:rsid w:val="005A2BB5"/>
    <w:rsid w:val="005A2C87"/>
    <w:rsid w:val="005A370E"/>
    <w:rsid w:val="005A373F"/>
    <w:rsid w:val="005A3748"/>
    <w:rsid w:val="005A3870"/>
    <w:rsid w:val="005A3905"/>
    <w:rsid w:val="005A3983"/>
    <w:rsid w:val="005A3E61"/>
    <w:rsid w:val="005A40A7"/>
    <w:rsid w:val="005A463C"/>
    <w:rsid w:val="005A474B"/>
    <w:rsid w:val="005A4836"/>
    <w:rsid w:val="005A4D49"/>
    <w:rsid w:val="005A4D51"/>
    <w:rsid w:val="005A4D9F"/>
    <w:rsid w:val="005A52BF"/>
    <w:rsid w:val="005A562F"/>
    <w:rsid w:val="005A570D"/>
    <w:rsid w:val="005A577A"/>
    <w:rsid w:val="005A585C"/>
    <w:rsid w:val="005A5AB8"/>
    <w:rsid w:val="005A60B6"/>
    <w:rsid w:val="005A6228"/>
    <w:rsid w:val="005A6394"/>
    <w:rsid w:val="005A6C77"/>
    <w:rsid w:val="005A6E21"/>
    <w:rsid w:val="005A6E4C"/>
    <w:rsid w:val="005A6EBF"/>
    <w:rsid w:val="005A6FA2"/>
    <w:rsid w:val="005A716C"/>
    <w:rsid w:val="005A7594"/>
    <w:rsid w:val="005A76A3"/>
    <w:rsid w:val="005A76D1"/>
    <w:rsid w:val="005A786E"/>
    <w:rsid w:val="005A79DA"/>
    <w:rsid w:val="005A7A78"/>
    <w:rsid w:val="005A7B32"/>
    <w:rsid w:val="005A7BAE"/>
    <w:rsid w:val="005B05BB"/>
    <w:rsid w:val="005B093C"/>
    <w:rsid w:val="005B0B52"/>
    <w:rsid w:val="005B0BB8"/>
    <w:rsid w:val="005B0EFD"/>
    <w:rsid w:val="005B0EFF"/>
    <w:rsid w:val="005B0F30"/>
    <w:rsid w:val="005B1069"/>
    <w:rsid w:val="005B1231"/>
    <w:rsid w:val="005B1EB6"/>
    <w:rsid w:val="005B21A7"/>
    <w:rsid w:val="005B22F8"/>
    <w:rsid w:val="005B2BB0"/>
    <w:rsid w:val="005B2E10"/>
    <w:rsid w:val="005B30D4"/>
    <w:rsid w:val="005B35A7"/>
    <w:rsid w:val="005B3AAB"/>
    <w:rsid w:val="005B3B6B"/>
    <w:rsid w:val="005B3BF5"/>
    <w:rsid w:val="005B3C04"/>
    <w:rsid w:val="005B3C6A"/>
    <w:rsid w:val="005B3DBF"/>
    <w:rsid w:val="005B3E03"/>
    <w:rsid w:val="005B4002"/>
    <w:rsid w:val="005B411C"/>
    <w:rsid w:val="005B435D"/>
    <w:rsid w:val="005B43CC"/>
    <w:rsid w:val="005B4474"/>
    <w:rsid w:val="005B4543"/>
    <w:rsid w:val="005B45D9"/>
    <w:rsid w:val="005B47DC"/>
    <w:rsid w:val="005B4F15"/>
    <w:rsid w:val="005B4FEF"/>
    <w:rsid w:val="005B5378"/>
    <w:rsid w:val="005B5387"/>
    <w:rsid w:val="005B53CB"/>
    <w:rsid w:val="005B54E7"/>
    <w:rsid w:val="005B5806"/>
    <w:rsid w:val="005B5996"/>
    <w:rsid w:val="005B5ABE"/>
    <w:rsid w:val="005B5BD4"/>
    <w:rsid w:val="005B5EC0"/>
    <w:rsid w:val="005B5FA1"/>
    <w:rsid w:val="005B6032"/>
    <w:rsid w:val="005B61CC"/>
    <w:rsid w:val="005B6358"/>
    <w:rsid w:val="005B646D"/>
    <w:rsid w:val="005B65C3"/>
    <w:rsid w:val="005B668F"/>
    <w:rsid w:val="005B6810"/>
    <w:rsid w:val="005B69D8"/>
    <w:rsid w:val="005B6A77"/>
    <w:rsid w:val="005B6BDC"/>
    <w:rsid w:val="005B6CF2"/>
    <w:rsid w:val="005B6EE4"/>
    <w:rsid w:val="005B71B7"/>
    <w:rsid w:val="005B754F"/>
    <w:rsid w:val="005B7734"/>
    <w:rsid w:val="005B7799"/>
    <w:rsid w:val="005B7951"/>
    <w:rsid w:val="005B79F7"/>
    <w:rsid w:val="005C0211"/>
    <w:rsid w:val="005C0220"/>
    <w:rsid w:val="005C04C5"/>
    <w:rsid w:val="005C0514"/>
    <w:rsid w:val="005C0632"/>
    <w:rsid w:val="005C0850"/>
    <w:rsid w:val="005C085B"/>
    <w:rsid w:val="005C0A48"/>
    <w:rsid w:val="005C0B69"/>
    <w:rsid w:val="005C0D25"/>
    <w:rsid w:val="005C0D9E"/>
    <w:rsid w:val="005C0DCA"/>
    <w:rsid w:val="005C0E73"/>
    <w:rsid w:val="005C108C"/>
    <w:rsid w:val="005C108F"/>
    <w:rsid w:val="005C14C6"/>
    <w:rsid w:val="005C1642"/>
    <w:rsid w:val="005C1CA1"/>
    <w:rsid w:val="005C1CD3"/>
    <w:rsid w:val="005C1FDD"/>
    <w:rsid w:val="005C2008"/>
    <w:rsid w:val="005C207E"/>
    <w:rsid w:val="005C2244"/>
    <w:rsid w:val="005C22FB"/>
    <w:rsid w:val="005C2404"/>
    <w:rsid w:val="005C2849"/>
    <w:rsid w:val="005C2B50"/>
    <w:rsid w:val="005C2BCB"/>
    <w:rsid w:val="005C2C24"/>
    <w:rsid w:val="005C2CFE"/>
    <w:rsid w:val="005C2EC4"/>
    <w:rsid w:val="005C2FE8"/>
    <w:rsid w:val="005C36E5"/>
    <w:rsid w:val="005C37D0"/>
    <w:rsid w:val="005C3815"/>
    <w:rsid w:val="005C383B"/>
    <w:rsid w:val="005C3A3A"/>
    <w:rsid w:val="005C3B90"/>
    <w:rsid w:val="005C3DB3"/>
    <w:rsid w:val="005C4058"/>
    <w:rsid w:val="005C4201"/>
    <w:rsid w:val="005C420A"/>
    <w:rsid w:val="005C4391"/>
    <w:rsid w:val="005C443E"/>
    <w:rsid w:val="005C4526"/>
    <w:rsid w:val="005C4878"/>
    <w:rsid w:val="005C4936"/>
    <w:rsid w:val="005C5211"/>
    <w:rsid w:val="005C52D0"/>
    <w:rsid w:val="005C5A3C"/>
    <w:rsid w:val="005C5C87"/>
    <w:rsid w:val="005C5CAC"/>
    <w:rsid w:val="005C5E98"/>
    <w:rsid w:val="005C5EA0"/>
    <w:rsid w:val="005C5F5D"/>
    <w:rsid w:val="005C6175"/>
    <w:rsid w:val="005C618F"/>
    <w:rsid w:val="005C6525"/>
    <w:rsid w:val="005C6566"/>
    <w:rsid w:val="005C67A5"/>
    <w:rsid w:val="005C6999"/>
    <w:rsid w:val="005C6A6B"/>
    <w:rsid w:val="005C6B97"/>
    <w:rsid w:val="005C6DE5"/>
    <w:rsid w:val="005C6F1E"/>
    <w:rsid w:val="005C7014"/>
    <w:rsid w:val="005C70D5"/>
    <w:rsid w:val="005C70D7"/>
    <w:rsid w:val="005C787E"/>
    <w:rsid w:val="005C7B15"/>
    <w:rsid w:val="005C7CC2"/>
    <w:rsid w:val="005C7D29"/>
    <w:rsid w:val="005C7FED"/>
    <w:rsid w:val="005D0597"/>
    <w:rsid w:val="005D0850"/>
    <w:rsid w:val="005D0B8D"/>
    <w:rsid w:val="005D0F78"/>
    <w:rsid w:val="005D1446"/>
    <w:rsid w:val="005D190E"/>
    <w:rsid w:val="005D1913"/>
    <w:rsid w:val="005D194B"/>
    <w:rsid w:val="005D1A12"/>
    <w:rsid w:val="005D1A82"/>
    <w:rsid w:val="005D1AF2"/>
    <w:rsid w:val="005D1C97"/>
    <w:rsid w:val="005D1F00"/>
    <w:rsid w:val="005D1F90"/>
    <w:rsid w:val="005D2180"/>
    <w:rsid w:val="005D2854"/>
    <w:rsid w:val="005D291F"/>
    <w:rsid w:val="005D2AA0"/>
    <w:rsid w:val="005D2C05"/>
    <w:rsid w:val="005D2D8A"/>
    <w:rsid w:val="005D2DFF"/>
    <w:rsid w:val="005D3350"/>
    <w:rsid w:val="005D33B7"/>
    <w:rsid w:val="005D3734"/>
    <w:rsid w:val="005D37D3"/>
    <w:rsid w:val="005D38A4"/>
    <w:rsid w:val="005D3974"/>
    <w:rsid w:val="005D3AC0"/>
    <w:rsid w:val="005D3B0D"/>
    <w:rsid w:val="005D3EEC"/>
    <w:rsid w:val="005D3FDC"/>
    <w:rsid w:val="005D4063"/>
    <w:rsid w:val="005D45AB"/>
    <w:rsid w:val="005D4723"/>
    <w:rsid w:val="005D48CF"/>
    <w:rsid w:val="005D494D"/>
    <w:rsid w:val="005D4D6C"/>
    <w:rsid w:val="005D51D2"/>
    <w:rsid w:val="005D52FC"/>
    <w:rsid w:val="005D535F"/>
    <w:rsid w:val="005D540B"/>
    <w:rsid w:val="005D540E"/>
    <w:rsid w:val="005D54DC"/>
    <w:rsid w:val="005D5539"/>
    <w:rsid w:val="005D5583"/>
    <w:rsid w:val="005D5924"/>
    <w:rsid w:val="005D599C"/>
    <w:rsid w:val="005D5D91"/>
    <w:rsid w:val="005D5DC7"/>
    <w:rsid w:val="005D5FC9"/>
    <w:rsid w:val="005D6310"/>
    <w:rsid w:val="005D65A0"/>
    <w:rsid w:val="005D673A"/>
    <w:rsid w:val="005D685F"/>
    <w:rsid w:val="005D68B4"/>
    <w:rsid w:val="005D6C9E"/>
    <w:rsid w:val="005D6E3F"/>
    <w:rsid w:val="005D6FCC"/>
    <w:rsid w:val="005D7223"/>
    <w:rsid w:val="005D738F"/>
    <w:rsid w:val="005D778C"/>
    <w:rsid w:val="005D782C"/>
    <w:rsid w:val="005D7A0A"/>
    <w:rsid w:val="005D7A41"/>
    <w:rsid w:val="005D7B08"/>
    <w:rsid w:val="005D7DFC"/>
    <w:rsid w:val="005D7F5A"/>
    <w:rsid w:val="005D7F61"/>
    <w:rsid w:val="005E0267"/>
    <w:rsid w:val="005E0280"/>
    <w:rsid w:val="005E035D"/>
    <w:rsid w:val="005E045C"/>
    <w:rsid w:val="005E06A8"/>
    <w:rsid w:val="005E06D3"/>
    <w:rsid w:val="005E0795"/>
    <w:rsid w:val="005E0982"/>
    <w:rsid w:val="005E0F3A"/>
    <w:rsid w:val="005E0F98"/>
    <w:rsid w:val="005E0FF0"/>
    <w:rsid w:val="005E1137"/>
    <w:rsid w:val="005E1206"/>
    <w:rsid w:val="005E145D"/>
    <w:rsid w:val="005E15E1"/>
    <w:rsid w:val="005E15E8"/>
    <w:rsid w:val="005E163B"/>
    <w:rsid w:val="005E16B8"/>
    <w:rsid w:val="005E174C"/>
    <w:rsid w:val="005E1864"/>
    <w:rsid w:val="005E18DD"/>
    <w:rsid w:val="005E1A39"/>
    <w:rsid w:val="005E1BAB"/>
    <w:rsid w:val="005E1D97"/>
    <w:rsid w:val="005E1F3C"/>
    <w:rsid w:val="005E2054"/>
    <w:rsid w:val="005E2286"/>
    <w:rsid w:val="005E230C"/>
    <w:rsid w:val="005E2350"/>
    <w:rsid w:val="005E2405"/>
    <w:rsid w:val="005E241C"/>
    <w:rsid w:val="005E2B39"/>
    <w:rsid w:val="005E2B93"/>
    <w:rsid w:val="005E2CE5"/>
    <w:rsid w:val="005E2D6E"/>
    <w:rsid w:val="005E2DEF"/>
    <w:rsid w:val="005E319F"/>
    <w:rsid w:val="005E323D"/>
    <w:rsid w:val="005E3400"/>
    <w:rsid w:val="005E35F6"/>
    <w:rsid w:val="005E36B3"/>
    <w:rsid w:val="005E381D"/>
    <w:rsid w:val="005E3B00"/>
    <w:rsid w:val="005E3D29"/>
    <w:rsid w:val="005E3DB3"/>
    <w:rsid w:val="005E3E4B"/>
    <w:rsid w:val="005E41E5"/>
    <w:rsid w:val="005E4296"/>
    <w:rsid w:val="005E4299"/>
    <w:rsid w:val="005E4328"/>
    <w:rsid w:val="005E449F"/>
    <w:rsid w:val="005E492C"/>
    <w:rsid w:val="005E4A4C"/>
    <w:rsid w:val="005E4AC9"/>
    <w:rsid w:val="005E4DDD"/>
    <w:rsid w:val="005E5163"/>
    <w:rsid w:val="005E5248"/>
    <w:rsid w:val="005E549F"/>
    <w:rsid w:val="005E550E"/>
    <w:rsid w:val="005E565B"/>
    <w:rsid w:val="005E5688"/>
    <w:rsid w:val="005E591A"/>
    <w:rsid w:val="005E5C5E"/>
    <w:rsid w:val="005E5CC7"/>
    <w:rsid w:val="005E5EC5"/>
    <w:rsid w:val="005E61BB"/>
    <w:rsid w:val="005E63A6"/>
    <w:rsid w:val="005E67FB"/>
    <w:rsid w:val="005E6945"/>
    <w:rsid w:val="005E6D52"/>
    <w:rsid w:val="005E6DA8"/>
    <w:rsid w:val="005E6E12"/>
    <w:rsid w:val="005E71BD"/>
    <w:rsid w:val="005E72AA"/>
    <w:rsid w:val="005E74DA"/>
    <w:rsid w:val="005E752F"/>
    <w:rsid w:val="005E76DA"/>
    <w:rsid w:val="005E7C69"/>
    <w:rsid w:val="005E7D8D"/>
    <w:rsid w:val="005E7EF6"/>
    <w:rsid w:val="005F015E"/>
    <w:rsid w:val="005F0220"/>
    <w:rsid w:val="005F05A3"/>
    <w:rsid w:val="005F0700"/>
    <w:rsid w:val="005F0C3C"/>
    <w:rsid w:val="005F111D"/>
    <w:rsid w:val="005F1404"/>
    <w:rsid w:val="005F17CF"/>
    <w:rsid w:val="005F17EC"/>
    <w:rsid w:val="005F1BE1"/>
    <w:rsid w:val="005F1C2F"/>
    <w:rsid w:val="005F1C4F"/>
    <w:rsid w:val="005F1D9E"/>
    <w:rsid w:val="005F1DD3"/>
    <w:rsid w:val="005F1F0A"/>
    <w:rsid w:val="005F1F0F"/>
    <w:rsid w:val="005F2080"/>
    <w:rsid w:val="005F2402"/>
    <w:rsid w:val="005F241D"/>
    <w:rsid w:val="005F2449"/>
    <w:rsid w:val="005F25AC"/>
    <w:rsid w:val="005F25F8"/>
    <w:rsid w:val="005F276A"/>
    <w:rsid w:val="005F2C27"/>
    <w:rsid w:val="005F2C39"/>
    <w:rsid w:val="005F2C9C"/>
    <w:rsid w:val="005F3175"/>
    <w:rsid w:val="005F3267"/>
    <w:rsid w:val="005F3415"/>
    <w:rsid w:val="005F349F"/>
    <w:rsid w:val="005F34BC"/>
    <w:rsid w:val="005F36FC"/>
    <w:rsid w:val="005F3A24"/>
    <w:rsid w:val="005F3B08"/>
    <w:rsid w:val="005F3E88"/>
    <w:rsid w:val="005F3FCB"/>
    <w:rsid w:val="005F4234"/>
    <w:rsid w:val="005F425F"/>
    <w:rsid w:val="005F4638"/>
    <w:rsid w:val="005F4677"/>
    <w:rsid w:val="005F486A"/>
    <w:rsid w:val="005F4A72"/>
    <w:rsid w:val="005F4C59"/>
    <w:rsid w:val="005F4C72"/>
    <w:rsid w:val="005F4CDE"/>
    <w:rsid w:val="005F4DBC"/>
    <w:rsid w:val="005F5059"/>
    <w:rsid w:val="005F505C"/>
    <w:rsid w:val="005F5345"/>
    <w:rsid w:val="005F551F"/>
    <w:rsid w:val="005F5522"/>
    <w:rsid w:val="005F56D6"/>
    <w:rsid w:val="005F57FC"/>
    <w:rsid w:val="005F59BF"/>
    <w:rsid w:val="005F5CBA"/>
    <w:rsid w:val="005F5DDD"/>
    <w:rsid w:val="005F606C"/>
    <w:rsid w:val="005F626E"/>
    <w:rsid w:val="005F6560"/>
    <w:rsid w:val="005F673D"/>
    <w:rsid w:val="005F68E3"/>
    <w:rsid w:val="005F68FD"/>
    <w:rsid w:val="005F69B6"/>
    <w:rsid w:val="005F6A0D"/>
    <w:rsid w:val="005F6B6F"/>
    <w:rsid w:val="005F6FF2"/>
    <w:rsid w:val="005F71A3"/>
    <w:rsid w:val="005F71B3"/>
    <w:rsid w:val="005F72A5"/>
    <w:rsid w:val="005F782E"/>
    <w:rsid w:val="005F79F7"/>
    <w:rsid w:val="005F7D10"/>
    <w:rsid w:val="006004F3"/>
    <w:rsid w:val="006006DC"/>
    <w:rsid w:val="0060072A"/>
    <w:rsid w:val="00600A82"/>
    <w:rsid w:val="00600AD2"/>
    <w:rsid w:val="00600ED6"/>
    <w:rsid w:val="00600F3F"/>
    <w:rsid w:val="00601253"/>
    <w:rsid w:val="00601381"/>
    <w:rsid w:val="0060152E"/>
    <w:rsid w:val="006016A4"/>
    <w:rsid w:val="006018BC"/>
    <w:rsid w:val="006019FD"/>
    <w:rsid w:val="00601F7A"/>
    <w:rsid w:val="006020DA"/>
    <w:rsid w:val="0060250B"/>
    <w:rsid w:val="00602A59"/>
    <w:rsid w:val="00602C81"/>
    <w:rsid w:val="00602F0C"/>
    <w:rsid w:val="00602F83"/>
    <w:rsid w:val="00602FE0"/>
    <w:rsid w:val="00603158"/>
    <w:rsid w:val="00603371"/>
    <w:rsid w:val="0060369D"/>
    <w:rsid w:val="006037C2"/>
    <w:rsid w:val="006038A1"/>
    <w:rsid w:val="00603AC5"/>
    <w:rsid w:val="00603EF0"/>
    <w:rsid w:val="006040A8"/>
    <w:rsid w:val="0060417E"/>
    <w:rsid w:val="006041E5"/>
    <w:rsid w:val="00604274"/>
    <w:rsid w:val="006043EE"/>
    <w:rsid w:val="0060463B"/>
    <w:rsid w:val="00604687"/>
    <w:rsid w:val="0060476D"/>
    <w:rsid w:val="006049C8"/>
    <w:rsid w:val="00604BE2"/>
    <w:rsid w:val="00604D02"/>
    <w:rsid w:val="00604FA5"/>
    <w:rsid w:val="006050AC"/>
    <w:rsid w:val="00605200"/>
    <w:rsid w:val="00605499"/>
    <w:rsid w:val="006056E3"/>
    <w:rsid w:val="00605A7F"/>
    <w:rsid w:val="00605C34"/>
    <w:rsid w:val="0060601B"/>
    <w:rsid w:val="006062E5"/>
    <w:rsid w:val="00606599"/>
    <w:rsid w:val="00606DD7"/>
    <w:rsid w:val="00607423"/>
    <w:rsid w:val="00607716"/>
    <w:rsid w:val="00607857"/>
    <w:rsid w:val="00607880"/>
    <w:rsid w:val="006078F2"/>
    <w:rsid w:val="006078FB"/>
    <w:rsid w:val="00607BEF"/>
    <w:rsid w:val="00607D9F"/>
    <w:rsid w:val="00610185"/>
    <w:rsid w:val="006107DB"/>
    <w:rsid w:val="006108B4"/>
    <w:rsid w:val="00611019"/>
    <w:rsid w:val="0061144B"/>
    <w:rsid w:val="006116F2"/>
    <w:rsid w:val="006116FA"/>
    <w:rsid w:val="00611BEC"/>
    <w:rsid w:val="00612431"/>
    <w:rsid w:val="006128E5"/>
    <w:rsid w:val="0061293D"/>
    <w:rsid w:val="00612AE1"/>
    <w:rsid w:val="00612B57"/>
    <w:rsid w:val="00612C4E"/>
    <w:rsid w:val="00612E84"/>
    <w:rsid w:val="006130B9"/>
    <w:rsid w:val="0061329C"/>
    <w:rsid w:val="006132FD"/>
    <w:rsid w:val="00613666"/>
    <w:rsid w:val="006138D8"/>
    <w:rsid w:val="00613AD6"/>
    <w:rsid w:val="00613E99"/>
    <w:rsid w:val="006146C8"/>
    <w:rsid w:val="006149D2"/>
    <w:rsid w:val="00614C3B"/>
    <w:rsid w:val="00614C4D"/>
    <w:rsid w:val="00614C96"/>
    <w:rsid w:val="00614ECB"/>
    <w:rsid w:val="00615161"/>
    <w:rsid w:val="00615752"/>
    <w:rsid w:val="00615FC0"/>
    <w:rsid w:val="0061613C"/>
    <w:rsid w:val="00616368"/>
    <w:rsid w:val="0061636B"/>
    <w:rsid w:val="0061653B"/>
    <w:rsid w:val="00616671"/>
    <w:rsid w:val="00616AE0"/>
    <w:rsid w:val="00616D26"/>
    <w:rsid w:val="00616DA6"/>
    <w:rsid w:val="00616DCF"/>
    <w:rsid w:val="00616F21"/>
    <w:rsid w:val="00616F6C"/>
    <w:rsid w:val="00616F97"/>
    <w:rsid w:val="00617182"/>
    <w:rsid w:val="00617332"/>
    <w:rsid w:val="00617351"/>
    <w:rsid w:val="0061744A"/>
    <w:rsid w:val="00617840"/>
    <w:rsid w:val="0061784C"/>
    <w:rsid w:val="00617C7A"/>
    <w:rsid w:val="00617E7F"/>
    <w:rsid w:val="00617FBD"/>
    <w:rsid w:val="0062003B"/>
    <w:rsid w:val="0062033A"/>
    <w:rsid w:val="006203B9"/>
    <w:rsid w:val="00620468"/>
    <w:rsid w:val="0062066C"/>
    <w:rsid w:val="006206E2"/>
    <w:rsid w:val="00620702"/>
    <w:rsid w:val="006207C9"/>
    <w:rsid w:val="00620901"/>
    <w:rsid w:val="00620984"/>
    <w:rsid w:val="0062099D"/>
    <w:rsid w:val="00620B0C"/>
    <w:rsid w:val="00620BCD"/>
    <w:rsid w:val="00620CDE"/>
    <w:rsid w:val="00620D6A"/>
    <w:rsid w:val="00620ECB"/>
    <w:rsid w:val="00620ED0"/>
    <w:rsid w:val="00621218"/>
    <w:rsid w:val="00621301"/>
    <w:rsid w:val="00621521"/>
    <w:rsid w:val="00621776"/>
    <w:rsid w:val="00621F62"/>
    <w:rsid w:val="00622316"/>
    <w:rsid w:val="00622358"/>
    <w:rsid w:val="0062259C"/>
    <w:rsid w:val="00622808"/>
    <w:rsid w:val="0062284B"/>
    <w:rsid w:val="00622912"/>
    <w:rsid w:val="00622C36"/>
    <w:rsid w:val="00622CE6"/>
    <w:rsid w:val="00622D62"/>
    <w:rsid w:val="00622F78"/>
    <w:rsid w:val="006236A8"/>
    <w:rsid w:val="00623796"/>
    <w:rsid w:val="00623B61"/>
    <w:rsid w:val="00623BF9"/>
    <w:rsid w:val="00623DF4"/>
    <w:rsid w:val="00623EDA"/>
    <w:rsid w:val="00623F42"/>
    <w:rsid w:val="00623FC2"/>
    <w:rsid w:val="00624124"/>
    <w:rsid w:val="00624271"/>
    <w:rsid w:val="00624458"/>
    <w:rsid w:val="00624A61"/>
    <w:rsid w:val="00624AD8"/>
    <w:rsid w:val="00624B25"/>
    <w:rsid w:val="0062519F"/>
    <w:rsid w:val="00625D38"/>
    <w:rsid w:val="00625ECB"/>
    <w:rsid w:val="006260A5"/>
    <w:rsid w:val="006261AC"/>
    <w:rsid w:val="006262B1"/>
    <w:rsid w:val="00626369"/>
    <w:rsid w:val="006266BB"/>
    <w:rsid w:val="0062691F"/>
    <w:rsid w:val="00626AEE"/>
    <w:rsid w:val="00626CE5"/>
    <w:rsid w:val="00626D1A"/>
    <w:rsid w:val="00626D29"/>
    <w:rsid w:val="00626E72"/>
    <w:rsid w:val="00626E7B"/>
    <w:rsid w:val="00626FD7"/>
    <w:rsid w:val="00626FEF"/>
    <w:rsid w:val="006270C0"/>
    <w:rsid w:val="0062728A"/>
    <w:rsid w:val="006274AD"/>
    <w:rsid w:val="0062759B"/>
    <w:rsid w:val="00627657"/>
    <w:rsid w:val="0062772B"/>
    <w:rsid w:val="00627989"/>
    <w:rsid w:val="00627A21"/>
    <w:rsid w:val="00627ED4"/>
    <w:rsid w:val="00627FB8"/>
    <w:rsid w:val="00630214"/>
    <w:rsid w:val="006302B6"/>
    <w:rsid w:val="00630368"/>
    <w:rsid w:val="0063037A"/>
    <w:rsid w:val="00630661"/>
    <w:rsid w:val="006307EA"/>
    <w:rsid w:val="00630C1F"/>
    <w:rsid w:val="00630D5B"/>
    <w:rsid w:val="0063110C"/>
    <w:rsid w:val="0063121F"/>
    <w:rsid w:val="00631AF8"/>
    <w:rsid w:val="00631D8B"/>
    <w:rsid w:val="006321EC"/>
    <w:rsid w:val="00632308"/>
    <w:rsid w:val="00632856"/>
    <w:rsid w:val="00632873"/>
    <w:rsid w:val="00632944"/>
    <w:rsid w:val="0063295D"/>
    <w:rsid w:val="00632BAB"/>
    <w:rsid w:val="00632CF3"/>
    <w:rsid w:val="00632D05"/>
    <w:rsid w:val="00632F4E"/>
    <w:rsid w:val="00632F6F"/>
    <w:rsid w:val="0063303C"/>
    <w:rsid w:val="0063348A"/>
    <w:rsid w:val="006334F9"/>
    <w:rsid w:val="00633715"/>
    <w:rsid w:val="006339C1"/>
    <w:rsid w:val="00633B6D"/>
    <w:rsid w:val="00633C8F"/>
    <w:rsid w:val="00633D93"/>
    <w:rsid w:val="00633F1A"/>
    <w:rsid w:val="0063411F"/>
    <w:rsid w:val="00634224"/>
    <w:rsid w:val="00634360"/>
    <w:rsid w:val="00634619"/>
    <w:rsid w:val="00634CCF"/>
    <w:rsid w:val="00634CFF"/>
    <w:rsid w:val="00635036"/>
    <w:rsid w:val="00635439"/>
    <w:rsid w:val="0063557B"/>
    <w:rsid w:val="0063561B"/>
    <w:rsid w:val="00635723"/>
    <w:rsid w:val="00635762"/>
    <w:rsid w:val="006359C9"/>
    <w:rsid w:val="00635CAE"/>
    <w:rsid w:val="00635DD5"/>
    <w:rsid w:val="0063641E"/>
    <w:rsid w:val="006364B3"/>
    <w:rsid w:val="00636CBF"/>
    <w:rsid w:val="00636D08"/>
    <w:rsid w:val="00636D41"/>
    <w:rsid w:val="00636F68"/>
    <w:rsid w:val="006371CB"/>
    <w:rsid w:val="006374C2"/>
    <w:rsid w:val="006379D7"/>
    <w:rsid w:val="00637A9C"/>
    <w:rsid w:val="00637AA3"/>
    <w:rsid w:val="00637B06"/>
    <w:rsid w:val="00637B7F"/>
    <w:rsid w:val="00637C07"/>
    <w:rsid w:val="00637E72"/>
    <w:rsid w:val="00637FC6"/>
    <w:rsid w:val="00637FE4"/>
    <w:rsid w:val="00640160"/>
    <w:rsid w:val="0064040B"/>
    <w:rsid w:val="0064045B"/>
    <w:rsid w:val="0064069F"/>
    <w:rsid w:val="00640732"/>
    <w:rsid w:val="00640773"/>
    <w:rsid w:val="0064094D"/>
    <w:rsid w:val="0064099D"/>
    <w:rsid w:val="006409A0"/>
    <w:rsid w:val="00640A88"/>
    <w:rsid w:val="00640C7C"/>
    <w:rsid w:val="00641026"/>
    <w:rsid w:val="006411E1"/>
    <w:rsid w:val="00641A61"/>
    <w:rsid w:val="00641A93"/>
    <w:rsid w:val="00641AF0"/>
    <w:rsid w:val="00641E2C"/>
    <w:rsid w:val="00641FAE"/>
    <w:rsid w:val="006420AA"/>
    <w:rsid w:val="00642269"/>
    <w:rsid w:val="0064229A"/>
    <w:rsid w:val="0064249D"/>
    <w:rsid w:val="00642626"/>
    <w:rsid w:val="00642753"/>
    <w:rsid w:val="0064284A"/>
    <w:rsid w:val="006429A9"/>
    <w:rsid w:val="00642A30"/>
    <w:rsid w:val="00642B5C"/>
    <w:rsid w:val="00642C4E"/>
    <w:rsid w:val="00642D07"/>
    <w:rsid w:val="00642D0F"/>
    <w:rsid w:val="00642D3D"/>
    <w:rsid w:val="0064306A"/>
    <w:rsid w:val="0064312B"/>
    <w:rsid w:val="00643342"/>
    <w:rsid w:val="006434E7"/>
    <w:rsid w:val="00643687"/>
    <w:rsid w:val="006438A7"/>
    <w:rsid w:val="0064397B"/>
    <w:rsid w:val="00643AAB"/>
    <w:rsid w:val="00643B63"/>
    <w:rsid w:val="00643BCD"/>
    <w:rsid w:val="00643CFB"/>
    <w:rsid w:val="00643DF3"/>
    <w:rsid w:val="00644281"/>
    <w:rsid w:val="0064465D"/>
    <w:rsid w:val="00644BF5"/>
    <w:rsid w:val="00644C9F"/>
    <w:rsid w:val="006450CB"/>
    <w:rsid w:val="006452D7"/>
    <w:rsid w:val="00645428"/>
    <w:rsid w:val="006454C5"/>
    <w:rsid w:val="0064573B"/>
    <w:rsid w:val="00645763"/>
    <w:rsid w:val="006458EF"/>
    <w:rsid w:val="00645BA9"/>
    <w:rsid w:val="00645DC6"/>
    <w:rsid w:val="00646193"/>
    <w:rsid w:val="006461B5"/>
    <w:rsid w:val="00646704"/>
    <w:rsid w:val="006467D1"/>
    <w:rsid w:val="00646952"/>
    <w:rsid w:val="00646AE8"/>
    <w:rsid w:val="00646CD6"/>
    <w:rsid w:val="006473F2"/>
    <w:rsid w:val="0064747D"/>
    <w:rsid w:val="0064752F"/>
    <w:rsid w:val="0064758A"/>
    <w:rsid w:val="00647606"/>
    <w:rsid w:val="0064779E"/>
    <w:rsid w:val="0064790A"/>
    <w:rsid w:val="00647B7A"/>
    <w:rsid w:val="00647C14"/>
    <w:rsid w:val="006502AB"/>
    <w:rsid w:val="0065033A"/>
    <w:rsid w:val="006503B7"/>
    <w:rsid w:val="006504B6"/>
    <w:rsid w:val="0065056F"/>
    <w:rsid w:val="006506DD"/>
    <w:rsid w:val="0065075D"/>
    <w:rsid w:val="00650822"/>
    <w:rsid w:val="006509C5"/>
    <w:rsid w:val="00650AD7"/>
    <w:rsid w:val="00650B97"/>
    <w:rsid w:val="00650D4C"/>
    <w:rsid w:val="00650D7B"/>
    <w:rsid w:val="00650DEA"/>
    <w:rsid w:val="006511D3"/>
    <w:rsid w:val="0065125B"/>
    <w:rsid w:val="00651387"/>
    <w:rsid w:val="006514AE"/>
    <w:rsid w:val="00651662"/>
    <w:rsid w:val="006518E8"/>
    <w:rsid w:val="00651C84"/>
    <w:rsid w:val="00651DE7"/>
    <w:rsid w:val="00651FDB"/>
    <w:rsid w:val="00651FFA"/>
    <w:rsid w:val="00652012"/>
    <w:rsid w:val="0065204B"/>
    <w:rsid w:val="0065205E"/>
    <w:rsid w:val="006521E5"/>
    <w:rsid w:val="006521F5"/>
    <w:rsid w:val="006523E8"/>
    <w:rsid w:val="0065285F"/>
    <w:rsid w:val="00652CD4"/>
    <w:rsid w:val="00652D0D"/>
    <w:rsid w:val="00652D60"/>
    <w:rsid w:val="00652D6D"/>
    <w:rsid w:val="00652DD8"/>
    <w:rsid w:val="00652EFB"/>
    <w:rsid w:val="00652F61"/>
    <w:rsid w:val="00653009"/>
    <w:rsid w:val="00653046"/>
    <w:rsid w:val="00653245"/>
    <w:rsid w:val="00653279"/>
    <w:rsid w:val="0065335D"/>
    <w:rsid w:val="006534BB"/>
    <w:rsid w:val="006538D8"/>
    <w:rsid w:val="00653CCA"/>
    <w:rsid w:val="00653D7B"/>
    <w:rsid w:val="00653F33"/>
    <w:rsid w:val="00654020"/>
    <w:rsid w:val="00654158"/>
    <w:rsid w:val="006541FC"/>
    <w:rsid w:val="00654259"/>
    <w:rsid w:val="00654696"/>
    <w:rsid w:val="0065499E"/>
    <w:rsid w:val="00654ACA"/>
    <w:rsid w:val="00654E02"/>
    <w:rsid w:val="006554B9"/>
    <w:rsid w:val="006556B2"/>
    <w:rsid w:val="006559C0"/>
    <w:rsid w:val="00655AF6"/>
    <w:rsid w:val="00655D9E"/>
    <w:rsid w:val="00655EB6"/>
    <w:rsid w:val="006561EC"/>
    <w:rsid w:val="006566F6"/>
    <w:rsid w:val="00656929"/>
    <w:rsid w:val="00656967"/>
    <w:rsid w:val="00656D26"/>
    <w:rsid w:val="00656DB5"/>
    <w:rsid w:val="00656DD5"/>
    <w:rsid w:val="00657199"/>
    <w:rsid w:val="006571EC"/>
    <w:rsid w:val="0065741C"/>
    <w:rsid w:val="00657534"/>
    <w:rsid w:val="006576C3"/>
    <w:rsid w:val="00657715"/>
    <w:rsid w:val="006578AF"/>
    <w:rsid w:val="006579A4"/>
    <w:rsid w:val="00657B66"/>
    <w:rsid w:val="00657B9C"/>
    <w:rsid w:val="00657C19"/>
    <w:rsid w:val="00657CE0"/>
    <w:rsid w:val="0066005E"/>
    <w:rsid w:val="006600F4"/>
    <w:rsid w:val="00660223"/>
    <w:rsid w:val="00660343"/>
    <w:rsid w:val="00660345"/>
    <w:rsid w:val="00660374"/>
    <w:rsid w:val="006603BE"/>
    <w:rsid w:val="0066041A"/>
    <w:rsid w:val="00660635"/>
    <w:rsid w:val="006606D0"/>
    <w:rsid w:val="00660938"/>
    <w:rsid w:val="00660D7B"/>
    <w:rsid w:val="00660E2F"/>
    <w:rsid w:val="0066138C"/>
    <w:rsid w:val="00661576"/>
    <w:rsid w:val="006617E5"/>
    <w:rsid w:val="0066182F"/>
    <w:rsid w:val="00661A21"/>
    <w:rsid w:val="00661A32"/>
    <w:rsid w:val="00661F7D"/>
    <w:rsid w:val="006622FA"/>
    <w:rsid w:val="0066276A"/>
    <w:rsid w:val="00662B55"/>
    <w:rsid w:val="00662CCF"/>
    <w:rsid w:val="00662CD5"/>
    <w:rsid w:val="00662E25"/>
    <w:rsid w:val="00662E4D"/>
    <w:rsid w:val="006634C8"/>
    <w:rsid w:val="006636BA"/>
    <w:rsid w:val="006637A6"/>
    <w:rsid w:val="006638A7"/>
    <w:rsid w:val="00663E50"/>
    <w:rsid w:val="00663F35"/>
    <w:rsid w:val="00663F73"/>
    <w:rsid w:val="00663F94"/>
    <w:rsid w:val="00664442"/>
    <w:rsid w:val="0066448F"/>
    <w:rsid w:val="006644E3"/>
    <w:rsid w:val="0066451C"/>
    <w:rsid w:val="00664683"/>
    <w:rsid w:val="0066496B"/>
    <w:rsid w:val="00664BA9"/>
    <w:rsid w:val="00664CB0"/>
    <w:rsid w:val="00664EB4"/>
    <w:rsid w:val="00664EEE"/>
    <w:rsid w:val="0066520C"/>
    <w:rsid w:val="00665569"/>
    <w:rsid w:val="006658D4"/>
    <w:rsid w:val="00665C12"/>
    <w:rsid w:val="00665C84"/>
    <w:rsid w:val="00665CDF"/>
    <w:rsid w:val="00665F64"/>
    <w:rsid w:val="006660CF"/>
    <w:rsid w:val="006660DF"/>
    <w:rsid w:val="0066638F"/>
    <w:rsid w:val="00666782"/>
    <w:rsid w:val="00666804"/>
    <w:rsid w:val="00666863"/>
    <w:rsid w:val="00666C6E"/>
    <w:rsid w:val="00666E19"/>
    <w:rsid w:val="00666F1F"/>
    <w:rsid w:val="00667092"/>
    <w:rsid w:val="006677B2"/>
    <w:rsid w:val="00667B5A"/>
    <w:rsid w:val="00667C05"/>
    <w:rsid w:val="00667D51"/>
    <w:rsid w:val="00667DDC"/>
    <w:rsid w:val="00667DF4"/>
    <w:rsid w:val="00667E3A"/>
    <w:rsid w:val="00667F7C"/>
    <w:rsid w:val="00667F87"/>
    <w:rsid w:val="0067020D"/>
    <w:rsid w:val="0067035E"/>
    <w:rsid w:val="0067079C"/>
    <w:rsid w:val="0067081B"/>
    <w:rsid w:val="00670B16"/>
    <w:rsid w:val="00670D1C"/>
    <w:rsid w:val="00670D33"/>
    <w:rsid w:val="00670DF2"/>
    <w:rsid w:val="00670F3D"/>
    <w:rsid w:val="00671064"/>
    <w:rsid w:val="006710F5"/>
    <w:rsid w:val="006712F5"/>
    <w:rsid w:val="00671380"/>
    <w:rsid w:val="006715E2"/>
    <w:rsid w:val="006718D4"/>
    <w:rsid w:val="00671955"/>
    <w:rsid w:val="00671A08"/>
    <w:rsid w:val="00671BAC"/>
    <w:rsid w:val="00671D7B"/>
    <w:rsid w:val="0067225E"/>
    <w:rsid w:val="0067226F"/>
    <w:rsid w:val="00672521"/>
    <w:rsid w:val="006725F2"/>
    <w:rsid w:val="0067274B"/>
    <w:rsid w:val="00672869"/>
    <w:rsid w:val="00672A6D"/>
    <w:rsid w:val="00672AA8"/>
    <w:rsid w:val="00672EAB"/>
    <w:rsid w:val="00672F6B"/>
    <w:rsid w:val="00672FC5"/>
    <w:rsid w:val="0067313A"/>
    <w:rsid w:val="00673163"/>
    <w:rsid w:val="00673229"/>
    <w:rsid w:val="0067327F"/>
    <w:rsid w:val="006736A5"/>
    <w:rsid w:val="00673A5A"/>
    <w:rsid w:val="00673AD8"/>
    <w:rsid w:val="00673D70"/>
    <w:rsid w:val="00673EAE"/>
    <w:rsid w:val="0067416F"/>
    <w:rsid w:val="006747BD"/>
    <w:rsid w:val="006748A0"/>
    <w:rsid w:val="006748A7"/>
    <w:rsid w:val="00674D6A"/>
    <w:rsid w:val="0067511D"/>
    <w:rsid w:val="006751BA"/>
    <w:rsid w:val="006752A2"/>
    <w:rsid w:val="0067563F"/>
    <w:rsid w:val="006756B0"/>
    <w:rsid w:val="006756C7"/>
    <w:rsid w:val="006758BC"/>
    <w:rsid w:val="0067594D"/>
    <w:rsid w:val="006759DD"/>
    <w:rsid w:val="00675C2F"/>
    <w:rsid w:val="00675C70"/>
    <w:rsid w:val="00675EA2"/>
    <w:rsid w:val="00676105"/>
    <w:rsid w:val="00676114"/>
    <w:rsid w:val="006763BB"/>
    <w:rsid w:val="006764C6"/>
    <w:rsid w:val="006766E7"/>
    <w:rsid w:val="00676A34"/>
    <w:rsid w:val="00676A70"/>
    <w:rsid w:val="00676D9F"/>
    <w:rsid w:val="00676FA6"/>
    <w:rsid w:val="0067708D"/>
    <w:rsid w:val="00677838"/>
    <w:rsid w:val="00677ABD"/>
    <w:rsid w:val="00677BD0"/>
    <w:rsid w:val="00677EC5"/>
    <w:rsid w:val="00677EC7"/>
    <w:rsid w:val="00677F0B"/>
    <w:rsid w:val="0068002A"/>
    <w:rsid w:val="00680323"/>
    <w:rsid w:val="0068047B"/>
    <w:rsid w:val="006807E1"/>
    <w:rsid w:val="00680BD7"/>
    <w:rsid w:val="00681209"/>
    <w:rsid w:val="006812CF"/>
    <w:rsid w:val="006812FC"/>
    <w:rsid w:val="006815A9"/>
    <w:rsid w:val="00681791"/>
    <w:rsid w:val="00681869"/>
    <w:rsid w:val="00681B19"/>
    <w:rsid w:val="00681B80"/>
    <w:rsid w:val="00681C9D"/>
    <w:rsid w:val="00681D65"/>
    <w:rsid w:val="00682433"/>
    <w:rsid w:val="00682644"/>
    <w:rsid w:val="0068278D"/>
    <w:rsid w:val="00682823"/>
    <w:rsid w:val="00682995"/>
    <w:rsid w:val="006829E3"/>
    <w:rsid w:val="00682ADD"/>
    <w:rsid w:val="00682B54"/>
    <w:rsid w:val="00682E58"/>
    <w:rsid w:val="00683030"/>
    <w:rsid w:val="0068308F"/>
    <w:rsid w:val="00683127"/>
    <w:rsid w:val="0068314F"/>
    <w:rsid w:val="006831AB"/>
    <w:rsid w:val="006831B1"/>
    <w:rsid w:val="006831FA"/>
    <w:rsid w:val="0068321F"/>
    <w:rsid w:val="0068339B"/>
    <w:rsid w:val="006834D6"/>
    <w:rsid w:val="0068388F"/>
    <w:rsid w:val="00683AAF"/>
    <w:rsid w:val="00683B2A"/>
    <w:rsid w:val="00683D0E"/>
    <w:rsid w:val="00683F02"/>
    <w:rsid w:val="00683F6D"/>
    <w:rsid w:val="00684918"/>
    <w:rsid w:val="00684B38"/>
    <w:rsid w:val="00684C86"/>
    <w:rsid w:val="00684E34"/>
    <w:rsid w:val="00684E87"/>
    <w:rsid w:val="00684ECE"/>
    <w:rsid w:val="00684FEA"/>
    <w:rsid w:val="0068504C"/>
    <w:rsid w:val="0068515D"/>
    <w:rsid w:val="006851B6"/>
    <w:rsid w:val="006851F2"/>
    <w:rsid w:val="006857E7"/>
    <w:rsid w:val="00685899"/>
    <w:rsid w:val="00685B33"/>
    <w:rsid w:val="00685C64"/>
    <w:rsid w:val="00685D4A"/>
    <w:rsid w:val="00685E55"/>
    <w:rsid w:val="00686693"/>
    <w:rsid w:val="00686867"/>
    <w:rsid w:val="00686B67"/>
    <w:rsid w:val="00686C4F"/>
    <w:rsid w:val="00686CB0"/>
    <w:rsid w:val="00687492"/>
    <w:rsid w:val="00687AF5"/>
    <w:rsid w:val="00687CE1"/>
    <w:rsid w:val="00687E73"/>
    <w:rsid w:val="0069006A"/>
    <w:rsid w:val="006901C0"/>
    <w:rsid w:val="006901C5"/>
    <w:rsid w:val="0069023B"/>
    <w:rsid w:val="00690359"/>
    <w:rsid w:val="00690437"/>
    <w:rsid w:val="0069043B"/>
    <w:rsid w:val="006904AC"/>
    <w:rsid w:val="00690A0C"/>
    <w:rsid w:val="00690B91"/>
    <w:rsid w:val="00690C78"/>
    <w:rsid w:val="00690E06"/>
    <w:rsid w:val="00690F22"/>
    <w:rsid w:val="00690F7D"/>
    <w:rsid w:val="006913D8"/>
    <w:rsid w:val="00691432"/>
    <w:rsid w:val="006919D4"/>
    <w:rsid w:val="00691D3E"/>
    <w:rsid w:val="00691DB4"/>
    <w:rsid w:val="00691DE9"/>
    <w:rsid w:val="00692194"/>
    <w:rsid w:val="00692390"/>
    <w:rsid w:val="00692443"/>
    <w:rsid w:val="0069253A"/>
    <w:rsid w:val="006928EF"/>
    <w:rsid w:val="006929C3"/>
    <w:rsid w:val="00692B1A"/>
    <w:rsid w:val="00692CC1"/>
    <w:rsid w:val="00692CC7"/>
    <w:rsid w:val="00692E3F"/>
    <w:rsid w:val="00693223"/>
    <w:rsid w:val="00693879"/>
    <w:rsid w:val="00693E29"/>
    <w:rsid w:val="00693E98"/>
    <w:rsid w:val="00693F8A"/>
    <w:rsid w:val="00693FB8"/>
    <w:rsid w:val="0069415E"/>
    <w:rsid w:val="006942FC"/>
    <w:rsid w:val="0069456B"/>
    <w:rsid w:val="0069469A"/>
    <w:rsid w:val="0069474B"/>
    <w:rsid w:val="0069485E"/>
    <w:rsid w:val="006948A1"/>
    <w:rsid w:val="006949C5"/>
    <w:rsid w:val="00694ADF"/>
    <w:rsid w:val="00694B7D"/>
    <w:rsid w:val="00694BE2"/>
    <w:rsid w:val="00694D99"/>
    <w:rsid w:val="006952E6"/>
    <w:rsid w:val="006955DA"/>
    <w:rsid w:val="00695689"/>
    <w:rsid w:val="0069571B"/>
    <w:rsid w:val="00695AE3"/>
    <w:rsid w:val="00695DFD"/>
    <w:rsid w:val="00695E45"/>
    <w:rsid w:val="006960B0"/>
    <w:rsid w:val="006960C4"/>
    <w:rsid w:val="006967BE"/>
    <w:rsid w:val="00696C9E"/>
    <w:rsid w:val="00696F9B"/>
    <w:rsid w:val="00697164"/>
    <w:rsid w:val="00697184"/>
    <w:rsid w:val="00697865"/>
    <w:rsid w:val="00697ABE"/>
    <w:rsid w:val="00697C57"/>
    <w:rsid w:val="00697C8A"/>
    <w:rsid w:val="00697D65"/>
    <w:rsid w:val="00697F0B"/>
    <w:rsid w:val="006A001E"/>
    <w:rsid w:val="006A0320"/>
    <w:rsid w:val="006A036A"/>
    <w:rsid w:val="006A038C"/>
    <w:rsid w:val="006A0895"/>
    <w:rsid w:val="006A0BB0"/>
    <w:rsid w:val="006A0DE6"/>
    <w:rsid w:val="006A1016"/>
    <w:rsid w:val="006A1235"/>
    <w:rsid w:val="006A128F"/>
    <w:rsid w:val="006A1563"/>
    <w:rsid w:val="006A1812"/>
    <w:rsid w:val="006A18D2"/>
    <w:rsid w:val="006A1937"/>
    <w:rsid w:val="006A1ABD"/>
    <w:rsid w:val="006A1C63"/>
    <w:rsid w:val="006A1E12"/>
    <w:rsid w:val="006A2083"/>
    <w:rsid w:val="006A245C"/>
    <w:rsid w:val="006A2601"/>
    <w:rsid w:val="006A261B"/>
    <w:rsid w:val="006A27C9"/>
    <w:rsid w:val="006A2986"/>
    <w:rsid w:val="006A2A2F"/>
    <w:rsid w:val="006A2B8D"/>
    <w:rsid w:val="006A2CBB"/>
    <w:rsid w:val="006A2DFA"/>
    <w:rsid w:val="006A2E28"/>
    <w:rsid w:val="006A3026"/>
    <w:rsid w:val="006A3493"/>
    <w:rsid w:val="006A36E8"/>
    <w:rsid w:val="006A3701"/>
    <w:rsid w:val="006A37DE"/>
    <w:rsid w:val="006A38EF"/>
    <w:rsid w:val="006A3A4C"/>
    <w:rsid w:val="006A3B33"/>
    <w:rsid w:val="006A3DCB"/>
    <w:rsid w:val="006A40F0"/>
    <w:rsid w:val="006A4101"/>
    <w:rsid w:val="006A4109"/>
    <w:rsid w:val="006A4DD2"/>
    <w:rsid w:val="006A4E4E"/>
    <w:rsid w:val="006A51FE"/>
    <w:rsid w:val="006A5A58"/>
    <w:rsid w:val="006A5A7D"/>
    <w:rsid w:val="006A5AC2"/>
    <w:rsid w:val="006A5B09"/>
    <w:rsid w:val="006A5C2C"/>
    <w:rsid w:val="006A5EC2"/>
    <w:rsid w:val="006A5F08"/>
    <w:rsid w:val="006A614B"/>
    <w:rsid w:val="006A6412"/>
    <w:rsid w:val="006A667B"/>
    <w:rsid w:val="006A66CD"/>
    <w:rsid w:val="006A67B4"/>
    <w:rsid w:val="006A689A"/>
    <w:rsid w:val="006A6932"/>
    <w:rsid w:val="006A6A1C"/>
    <w:rsid w:val="006A6B5E"/>
    <w:rsid w:val="006A7073"/>
    <w:rsid w:val="006A7284"/>
    <w:rsid w:val="006A733C"/>
    <w:rsid w:val="006A7349"/>
    <w:rsid w:val="006A73D5"/>
    <w:rsid w:val="006A746F"/>
    <w:rsid w:val="006A7492"/>
    <w:rsid w:val="006A74A8"/>
    <w:rsid w:val="006A77D1"/>
    <w:rsid w:val="006A7875"/>
    <w:rsid w:val="006A793D"/>
    <w:rsid w:val="006A7B5B"/>
    <w:rsid w:val="006A7C2A"/>
    <w:rsid w:val="006A7D5F"/>
    <w:rsid w:val="006A7D98"/>
    <w:rsid w:val="006A7DC6"/>
    <w:rsid w:val="006A7E12"/>
    <w:rsid w:val="006A7E4D"/>
    <w:rsid w:val="006A7ED1"/>
    <w:rsid w:val="006B0185"/>
    <w:rsid w:val="006B0277"/>
    <w:rsid w:val="006B02E9"/>
    <w:rsid w:val="006B0609"/>
    <w:rsid w:val="006B060F"/>
    <w:rsid w:val="006B0A53"/>
    <w:rsid w:val="006B0CFB"/>
    <w:rsid w:val="006B0D71"/>
    <w:rsid w:val="006B0D8A"/>
    <w:rsid w:val="006B126C"/>
    <w:rsid w:val="006B1320"/>
    <w:rsid w:val="006B14E8"/>
    <w:rsid w:val="006B1524"/>
    <w:rsid w:val="006B1B44"/>
    <w:rsid w:val="006B1C2E"/>
    <w:rsid w:val="006B1D0E"/>
    <w:rsid w:val="006B1D12"/>
    <w:rsid w:val="006B23B2"/>
    <w:rsid w:val="006B243C"/>
    <w:rsid w:val="006B2574"/>
    <w:rsid w:val="006B2767"/>
    <w:rsid w:val="006B2A89"/>
    <w:rsid w:val="006B2D3F"/>
    <w:rsid w:val="006B2D60"/>
    <w:rsid w:val="006B2FC1"/>
    <w:rsid w:val="006B36B9"/>
    <w:rsid w:val="006B3B3E"/>
    <w:rsid w:val="006B3D55"/>
    <w:rsid w:val="006B3EAA"/>
    <w:rsid w:val="006B458E"/>
    <w:rsid w:val="006B4664"/>
    <w:rsid w:val="006B469F"/>
    <w:rsid w:val="006B49BC"/>
    <w:rsid w:val="006B4A98"/>
    <w:rsid w:val="006B4C67"/>
    <w:rsid w:val="006B4C79"/>
    <w:rsid w:val="006B4E18"/>
    <w:rsid w:val="006B4FD7"/>
    <w:rsid w:val="006B51D9"/>
    <w:rsid w:val="006B5299"/>
    <w:rsid w:val="006B54C5"/>
    <w:rsid w:val="006B552D"/>
    <w:rsid w:val="006B555B"/>
    <w:rsid w:val="006B5AD9"/>
    <w:rsid w:val="006B5CC5"/>
    <w:rsid w:val="006B5DE8"/>
    <w:rsid w:val="006B5E52"/>
    <w:rsid w:val="006B60CE"/>
    <w:rsid w:val="006B6303"/>
    <w:rsid w:val="006B6379"/>
    <w:rsid w:val="006B6513"/>
    <w:rsid w:val="006B661A"/>
    <w:rsid w:val="006B699D"/>
    <w:rsid w:val="006B69B6"/>
    <w:rsid w:val="006B6AF9"/>
    <w:rsid w:val="006B6AFE"/>
    <w:rsid w:val="006B6B3D"/>
    <w:rsid w:val="006B70B9"/>
    <w:rsid w:val="006B71F3"/>
    <w:rsid w:val="006B73AF"/>
    <w:rsid w:val="006B753A"/>
    <w:rsid w:val="006B77FD"/>
    <w:rsid w:val="006B7819"/>
    <w:rsid w:val="006B791C"/>
    <w:rsid w:val="006B793D"/>
    <w:rsid w:val="006B79B6"/>
    <w:rsid w:val="006B7A5D"/>
    <w:rsid w:val="006B7B8E"/>
    <w:rsid w:val="006B7CB3"/>
    <w:rsid w:val="006B7F1A"/>
    <w:rsid w:val="006C000B"/>
    <w:rsid w:val="006C00D3"/>
    <w:rsid w:val="006C01B9"/>
    <w:rsid w:val="006C01D2"/>
    <w:rsid w:val="006C04D9"/>
    <w:rsid w:val="006C076C"/>
    <w:rsid w:val="006C08CC"/>
    <w:rsid w:val="006C0974"/>
    <w:rsid w:val="006C0A2F"/>
    <w:rsid w:val="006C0A33"/>
    <w:rsid w:val="006C0B8E"/>
    <w:rsid w:val="006C0B9C"/>
    <w:rsid w:val="006C0C9B"/>
    <w:rsid w:val="006C0F77"/>
    <w:rsid w:val="006C0F98"/>
    <w:rsid w:val="006C0F9A"/>
    <w:rsid w:val="006C0FA4"/>
    <w:rsid w:val="006C111C"/>
    <w:rsid w:val="006C1293"/>
    <w:rsid w:val="006C12CB"/>
    <w:rsid w:val="006C1576"/>
    <w:rsid w:val="006C18B0"/>
    <w:rsid w:val="006C18CE"/>
    <w:rsid w:val="006C1A37"/>
    <w:rsid w:val="006C1C1B"/>
    <w:rsid w:val="006C1DA9"/>
    <w:rsid w:val="006C1EE4"/>
    <w:rsid w:val="006C1F26"/>
    <w:rsid w:val="006C211B"/>
    <w:rsid w:val="006C2150"/>
    <w:rsid w:val="006C21C6"/>
    <w:rsid w:val="006C224D"/>
    <w:rsid w:val="006C2407"/>
    <w:rsid w:val="006C24BB"/>
    <w:rsid w:val="006C259D"/>
    <w:rsid w:val="006C2758"/>
    <w:rsid w:val="006C295F"/>
    <w:rsid w:val="006C2AC3"/>
    <w:rsid w:val="006C3E0F"/>
    <w:rsid w:val="006C3EFA"/>
    <w:rsid w:val="006C3F3B"/>
    <w:rsid w:val="006C3F46"/>
    <w:rsid w:val="006C41A1"/>
    <w:rsid w:val="006C43A9"/>
    <w:rsid w:val="006C4621"/>
    <w:rsid w:val="006C486D"/>
    <w:rsid w:val="006C4893"/>
    <w:rsid w:val="006C4925"/>
    <w:rsid w:val="006C4A15"/>
    <w:rsid w:val="006C4AB5"/>
    <w:rsid w:val="006C4C6C"/>
    <w:rsid w:val="006C4E50"/>
    <w:rsid w:val="006C5342"/>
    <w:rsid w:val="006C54DF"/>
    <w:rsid w:val="006C56A6"/>
    <w:rsid w:val="006C5829"/>
    <w:rsid w:val="006C5B08"/>
    <w:rsid w:val="006C5FC5"/>
    <w:rsid w:val="006C6134"/>
    <w:rsid w:val="006C61B6"/>
    <w:rsid w:val="006C653E"/>
    <w:rsid w:val="006C6669"/>
    <w:rsid w:val="006C6903"/>
    <w:rsid w:val="006C6A18"/>
    <w:rsid w:val="006C6E63"/>
    <w:rsid w:val="006C6EDB"/>
    <w:rsid w:val="006C6F89"/>
    <w:rsid w:val="006C7083"/>
    <w:rsid w:val="006C72BA"/>
    <w:rsid w:val="006C72EC"/>
    <w:rsid w:val="006C744D"/>
    <w:rsid w:val="006C78C5"/>
    <w:rsid w:val="006C79C3"/>
    <w:rsid w:val="006C7B0C"/>
    <w:rsid w:val="006C7BCD"/>
    <w:rsid w:val="006C7C62"/>
    <w:rsid w:val="006C7F9E"/>
    <w:rsid w:val="006D001B"/>
    <w:rsid w:val="006D0031"/>
    <w:rsid w:val="006D0082"/>
    <w:rsid w:val="006D0581"/>
    <w:rsid w:val="006D06AC"/>
    <w:rsid w:val="006D07F8"/>
    <w:rsid w:val="006D09D0"/>
    <w:rsid w:val="006D09E5"/>
    <w:rsid w:val="006D0B23"/>
    <w:rsid w:val="006D0BF3"/>
    <w:rsid w:val="006D0F97"/>
    <w:rsid w:val="006D103D"/>
    <w:rsid w:val="006D11CF"/>
    <w:rsid w:val="006D1459"/>
    <w:rsid w:val="006D163C"/>
    <w:rsid w:val="006D1A48"/>
    <w:rsid w:val="006D1B70"/>
    <w:rsid w:val="006D1C2D"/>
    <w:rsid w:val="006D20DC"/>
    <w:rsid w:val="006D2229"/>
    <w:rsid w:val="006D2288"/>
    <w:rsid w:val="006D2512"/>
    <w:rsid w:val="006D2B38"/>
    <w:rsid w:val="006D2C4E"/>
    <w:rsid w:val="006D2CE3"/>
    <w:rsid w:val="006D2D0E"/>
    <w:rsid w:val="006D2E7D"/>
    <w:rsid w:val="006D3793"/>
    <w:rsid w:val="006D3A45"/>
    <w:rsid w:val="006D3B35"/>
    <w:rsid w:val="006D3C3B"/>
    <w:rsid w:val="006D3C7F"/>
    <w:rsid w:val="006D3ED8"/>
    <w:rsid w:val="006D3FDD"/>
    <w:rsid w:val="006D41B7"/>
    <w:rsid w:val="006D4979"/>
    <w:rsid w:val="006D4A2E"/>
    <w:rsid w:val="006D4E23"/>
    <w:rsid w:val="006D5182"/>
    <w:rsid w:val="006D51B2"/>
    <w:rsid w:val="006D551D"/>
    <w:rsid w:val="006D567D"/>
    <w:rsid w:val="006D6044"/>
    <w:rsid w:val="006D60E7"/>
    <w:rsid w:val="006D6373"/>
    <w:rsid w:val="006D6435"/>
    <w:rsid w:val="006D6513"/>
    <w:rsid w:val="006D657B"/>
    <w:rsid w:val="006D6619"/>
    <w:rsid w:val="006D66AF"/>
    <w:rsid w:val="006D680B"/>
    <w:rsid w:val="006D6870"/>
    <w:rsid w:val="006D6A63"/>
    <w:rsid w:val="006D6AAC"/>
    <w:rsid w:val="006D6B78"/>
    <w:rsid w:val="006D6D81"/>
    <w:rsid w:val="006D6F35"/>
    <w:rsid w:val="006D6F4F"/>
    <w:rsid w:val="006D6F50"/>
    <w:rsid w:val="006D6F73"/>
    <w:rsid w:val="006D76F2"/>
    <w:rsid w:val="006D78B8"/>
    <w:rsid w:val="006D79E3"/>
    <w:rsid w:val="006D7EE9"/>
    <w:rsid w:val="006D7EF4"/>
    <w:rsid w:val="006E0009"/>
    <w:rsid w:val="006E00A8"/>
    <w:rsid w:val="006E04E8"/>
    <w:rsid w:val="006E0637"/>
    <w:rsid w:val="006E0763"/>
    <w:rsid w:val="006E084C"/>
    <w:rsid w:val="006E087B"/>
    <w:rsid w:val="006E0BA7"/>
    <w:rsid w:val="006E0FBC"/>
    <w:rsid w:val="006E1AA3"/>
    <w:rsid w:val="006E1ACD"/>
    <w:rsid w:val="006E1AFD"/>
    <w:rsid w:val="006E20A5"/>
    <w:rsid w:val="006E2141"/>
    <w:rsid w:val="006E238E"/>
    <w:rsid w:val="006E23FC"/>
    <w:rsid w:val="006E250C"/>
    <w:rsid w:val="006E2640"/>
    <w:rsid w:val="006E2FFE"/>
    <w:rsid w:val="006E315B"/>
    <w:rsid w:val="006E3860"/>
    <w:rsid w:val="006E38F9"/>
    <w:rsid w:val="006E3946"/>
    <w:rsid w:val="006E3A42"/>
    <w:rsid w:val="006E3AF1"/>
    <w:rsid w:val="006E3EDD"/>
    <w:rsid w:val="006E4114"/>
    <w:rsid w:val="006E479D"/>
    <w:rsid w:val="006E47E3"/>
    <w:rsid w:val="006E480D"/>
    <w:rsid w:val="006E49C3"/>
    <w:rsid w:val="006E4AFF"/>
    <w:rsid w:val="006E4B8F"/>
    <w:rsid w:val="006E4BEA"/>
    <w:rsid w:val="006E4D18"/>
    <w:rsid w:val="006E589E"/>
    <w:rsid w:val="006E59A2"/>
    <w:rsid w:val="006E60EA"/>
    <w:rsid w:val="006E6163"/>
    <w:rsid w:val="006E61B2"/>
    <w:rsid w:val="006E6225"/>
    <w:rsid w:val="006E63FA"/>
    <w:rsid w:val="006E65E0"/>
    <w:rsid w:val="006E6697"/>
    <w:rsid w:val="006E6870"/>
    <w:rsid w:val="006E6A84"/>
    <w:rsid w:val="006E7149"/>
    <w:rsid w:val="006E7157"/>
    <w:rsid w:val="006E716D"/>
    <w:rsid w:val="006E7227"/>
    <w:rsid w:val="006E7382"/>
    <w:rsid w:val="006E758E"/>
    <w:rsid w:val="006E77B1"/>
    <w:rsid w:val="006E7840"/>
    <w:rsid w:val="006E786D"/>
    <w:rsid w:val="006E789E"/>
    <w:rsid w:val="006E7902"/>
    <w:rsid w:val="006E7C0D"/>
    <w:rsid w:val="006E7D20"/>
    <w:rsid w:val="006E7E5F"/>
    <w:rsid w:val="006F00C1"/>
    <w:rsid w:val="006F00DE"/>
    <w:rsid w:val="006F00F1"/>
    <w:rsid w:val="006F023A"/>
    <w:rsid w:val="006F0ED9"/>
    <w:rsid w:val="006F0F0C"/>
    <w:rsid w:val="006F0F92"/>
    <w:rsid w:val="006F119B"/>
    <w:rsid w:val="006F11E4"/>
    <w:rsid w:val="006F12D8"/>
    <w:rsid w:val="006F14AD"/>
    <w:rsid w:val="006F150A"/>
    <w:rsid w:val="006F1651"/>
    <w:rsid w:val="006F16FD"/>
    <w:rsid w:val="006F1B45"/>
    <w:rsid w:val="006F1ECE"/>
    <w:rsid w:val="006F22E6"/>
    <w:rsid w:val="006F230E"/>
    <w:rsid w:val="006F2390"/>
    <w:rsid w:val="006F25FD"/>
    <w:rsid w:val="006F2638"/>
    <w:rsid w:val="006F267B"/>
    <w:rsid w:val="006F267E"/>
    <w:rsid w:val="006F2CDA"/>
    <w:rsid w:val="006F2D3D"/>
    <w:rsid w:val="006F2D44"/>
    <w:rsid w:val="006F2D68"/>
    <w:rsid w:val="006F2E2C"/>
    <w:rsid w:val="006F2F5C"/>
    <w:rsid w:val="006F312A"/>
    <w:rsid w:val="006F31EE"/>
    <w:rsid w:val="006F3340"/>
    <w:rsid w:val="006F3401"/>
    <w:rsid w:val="006F344E"/>
    <w:rsid w:val="006F3509"/>
    <w:rsid w:val="006F369C"/>
    <w:rsid w:val="006F3877"/>
    <w:rsid w:val="006F393A"/>
    <w:rsid w:val="006F3A3B"/>
    <w:rsid w:val="006F3A66"/>
    <w:rsid w:val="006F3D40"/>
    <w:rsid w:val="006F3E6D"/>
    <w:rsid w:val="006F3E7D"/>
    <w:rsid w:val="006F3FBD"/>
    <w:rsid w:val="006F405A"/>
    <w:rsid w:val="006F44A0"/>
    <w:rsid w:val="006F45F1"/>
    <w:rsid w:val="006F4771"/>
    <w:rsid w:val="006F4A69"/>
    <w:rsid w:val="006F4B84"/>
    <w:rsid w:val="006F4D04"/>
    <w:rsid w:val="006F4D53"/>
    <w:rsid w:val="006F4DD4"/>
    <w:rsid w:val="006F4EAF"/>
    <w:rsid w:val="006F50AC"/>
    <w:rsid w:val="006F5202"/>
    <w:rsid w:val="006F5240"/>
    <w:rsid w:val="006F5381"/>
    <w:rsid w:val="006F540C"/>
    <w:rsid w:val="006F546E"/>
    <w:rsid w:val="006F56EA"/>
    <w:rsid w:val="006F58B1"/>
    <w:rsid w:val="006F5903"/>
    <w:rsid w:val="006F5942"/>
    <w:rsid w:val="006F5965"/>
    <w:rsid w:val="006F5992"/>
    <w:rsid w:val="006F59DC"/>
    <w:rsid w:val="006F5C04"/>
    <w:rsid w:val="006F5C16"/>
    <w:rsid w:val="006F5C6A"/>
    <w:rsid w:val="006F5DD6"/>
    <w:rsid w:val="006F5F85"/>
    <w:rsid w:val="006F656D"/>
    <w:rsid w:val="006F6661"/>
    <w:rsid w:val="006F6CE1"/>
    <w:rsid w:val="006F70EB"/>
    <w:rsid w:val="006F71D6"/>
    <w:rsid w:val="006F7215"/>
    <w:rsid w:val="006F727F"/>
    <w:rsid w:val="006F72AD"/>
    <w:rsid w:val="006F72D8"/>
    <w:rsid w:val="006F7581"/>
    <w:rsid w:val="006F75AA"/>
    <w:rsid w:val="006F7709"/>
    <w:rsid w:val="006F77BB"/>
    <w:rsid w:val="006F7863"/>
    <w:rsid w:val="006F7892"/>
    <w:rsid w:val="006F7D84"/>
    <w:rsid w:val="006F7D96"/>
    <w:rsid w:val="006F7EFB"/>
    <w:rsid w:val="00700233"/>
    <w:rsid w:val="007002BE"/>
    <w:rsid w:val="007002DA"/>
    <w:rsid w:val="007005E7"/>
    <w:rsid w:val="007006AA"/>
    <w:rsid w:val="00700741"/>
    <w:rsid w:val="00700EDB"/>
    <w:rsid w:val="00700FC6"/>
    <w:rsid w:val="00701068"/>
    <w:rsid w:val="0070139D"/>
    <w:rsid w:val="007013F1"/>
    <w:rsid w:val="00701751"/>
    <w:rsid w:val="0070182C"/>
    <w:rsid w:val="00701A21"/>
    <w:rsid w:val="00701B56"/>
    <w:rsid w:val="00701C17"/>
    <w:rsid w:val="00701E55"/>
    <w:rsid w:val="00702157"/>
    <w:rsid w:val="0070284D"/>
    <w:rsid w:val="00702975"/>
    <w:rsid w:val="00702A30"/>
    <w:rsid w:val="00703305"/>
    <w:rsid w:val="007034CB"/>
    <w:rsid w:val="0070357D"/>
    <w:rsid w:val="007035D7"/>
    <w:rsid w:val="0070360F"/>
    <w:rsid w:val="00703904"/>
    <w:rsid w:val="00703931"/>
    <w:rsid w:val="00703985"/>
    <w:rsid w:val="00703994"/>
    <w:rsid w:val="00703ABA"/>
    <w:rsid w:val="00703D5A"/>
    <w:rsid w:val="00704599"/>
    <w:rsid w:val="00704B6F"/>
    <w:rsid w:val="00704BB8"/>
    <w:rsid w:val="00704F9F"/>
    <w:rsid w:val="00705218"/>
    <w:rsid w:val="00705461"/>
    <w:rsid w:val="0070549B"/>
    <w:rsid w:val="00705547"/>
    <w:rsid w:val="0070599D"/>
    <w:rsid w:val="00705D72"/>
    <w:rsid w:val="00705EF8"/>
    <w:rsid w:val="007062DE"/>
    <w:rsid w:val="0070653E"/>
    <w:rsid w:val="00706732"/>
    <w:rsid w:val="00706AB5"/>
    <w:rsid w:val="00706B65"/>
    <w:rsid w:val="00706D75"/>
    <w:rsid w:val="00706E4C"/>
    <w:rsid w:val="00706E4D"/>
    <w:rsid w:val="00707196"/>
    <w:rsid w:val="007072B5"/>
    <w:rsid w:val="0070730C"/>
    <w:rsid w:val="007074B0"/>
    <w:rsid w:val="007074E2"/>
    <w:rsid w:val="007078FB"/>
    <w:rsid w:val="00707CD1"/>
    <w:rsid w:val="00707EF7"/>
    <w:rsid w:val="00710044"/>
    <w:rsid w:val="00710105"/>
    <w:rsid w:val="0071021C"/>
    <w:rsid w:val="007104D4"/>
    <w:rsid w:val="0071084E"/>
    <w:rsid w:val="007108DB"/>
    <w:rsid w:val="007109BD"/>
    <w:rsid w:val="007109C2"/>
    <w:rsid w:val="00710A36"/>
    <w:rsid w:val="00710B7A"/>
    <w:rsid w:val="00710D4F"/>
    <w:rsid w:val="00710DBE"/>
    <w:rsid w:val="00710E0E"/>
    <w:rsid w:val="00710F38"/>
    <w:rsid w:val="00710F63"/>
    <w:rsid w:val="00710F9D"/>
    <w:rsid w:val="00711030"/>
    <w:rsid w:val="007112F4"/>
    <w:rsid w:val="00711457"/>
    <w:rsid w:val="00711546"/>
    <w:rsid w:val="0071164F"/>
    <w:rsid w:val="0071173D"/>
    <w:rsid w:val="00711971"/>
    <w:rsid w:val="00712197"/>
    <w:rsid w:val="0071255B"/>
    <w:rsid w:val="00712696"/>
    <w:rsid w:val="007126C0"/>
    <w:rsid w:val="00712826"/>
    <w:rsid w:val="00712A48"/>
    <w:rsid w:val="00712AD2"/>
    <w:rsid w:val="00712CD2"/>
    <w:rsid w:val="00712E90"/>
    <w:rsid w:val="007132FA"/>
    <w:rsid w:val="0071341A"/>
    <w:rsid w:val="007135C0"/>
    <w:rsid w:val="00713B2E"/>
    <w:rsid w:val="00713D52"/>
    <w:rsid w:val="00713D62"/>
    <w:rsid w:val="00713E14"/>
    <w:rsid w:val="00713F53"/>
    <w:rsid w:val="00713FFE"/>
    <w:rsid w:val="00714183"/>
    <w:rsid w:val="007142EE"/>
    <w:rsid w:val="0071449E"/>
    <w:rsid w:val="007149A3"/>
    <w:rsid w:val="00714B2E"/>
    <w:rsid w:val="00714EEE"/>
    <w:rsid w:val="00714F11"/>
    <w:rsid w:val="007156A3"/>
    <w:rsid w:val="007160A7"/>
    <w:rsid w:val="0071615A"/>
    <w:rsid w:val="007161D0"/>
    <w:rsid w:val="00716368"/>
    <w:rsid w:val="00716574"/>
    <w:rsid w:val="007167DD"/>
    <w:rsid w:val="00716966"/>
    <w:rsid w:val="00716D8A"/>
    <w:rsid w:val="007172A1"/>
    <w:rsid w:val="00717333"/>
    <w:rsid w:val="00717681"/>
    <w:rsid w:val="007176C9"/>
    <w:rsid w:val="007176E1"/>
    <w:rsid w:val="00717790"/>
    <w:rsid w:val="007178D5"/>
    <w:rsid w:val="007179F3"/>
    <w:rsid w:val="00717A07"/>
    <w:rsid w:val="0072024A"/>
    <w:rsid w:val="0072026D"/>
    <w:rsid w:val="00720271"/>
    <w:rsid w:val="007202EA"/>
    <w:rsid w:val="00720336"/>
    <w:rsid w:val="007203F3"/>
    <w:rsid w:val="00720665"/>
    <w:rsid w:val="0072067F"/>
    <w:rsid w:val="007207E6"/>
    <w:rsid w:val="007207E9"/>
    <w:rsid w:val="00720857"/>
    <w:rsid w:val="007208AD"/>
    <w:rsid w:val="00720B84"/>
    <w:rsid w:val="00721149"/>
    <w:rsid w:val="00721226"/>
    <w:rsid w:val="007213A1"/>
    <w:rsid w:val="007219AE"/>
    <w:rsid w:val="00721D98"/>
    <w:rsid w:val="00721E27"/>
    <w:rsid w:val="007220ED"/>
    <w:rsid w:val="00722257"/>
    <w:rsid w:val="00722657"/>
    <w:rsid w:val="00722694"/>
    <w:rsid w:val="0072296E"/>
    <w:rsid w:val="00722AEA"/>
    <w:rsid w:val="00722B53"/>
    <w:rsid w:val="00722D08"/>
    <w:rsid w:val="00722EB5"/>
    <w:rsid w:val="0072303E"/>
    <w:rsid w:val="007230DD"/>
    <w:rsid w:val="0072355F"/>
    <w:rsid w:val="00723560"/>
    <w:rsid w:val="007237B7"/>
    <w:rsid w:val="00723954"/>
    <w:rsid w:val="00723FB1"/>
    <w:rsid w:val="00723FCF"/>
    <w:rsid w:val="007240A9"/>
    <w:rsid w:val="007240AD"/>
    <w:rsid w:val="007242CA"/>
    <w:rsid w:val="007242F9"/>
    <w:rsid w:val="0072436F"/>
    <w:rsid w:val="00724397"/>
    <w:rsid w:val="0072450E"/>
    <w:rsid w:val="00724594"/>
    <w:rsid w:val="00724736"/>
    <w:rsid w:val="00724737"/>
    <w:rsid w:val="0072488E"/>
    <w:rsid w:val="00724B0A"/>
    <w:rsid w:val="00724C42"/>
    <w:rsid w:val="00724CF3"/>
    <w:rsid w:val="00724DC2"/>
    <w:rsid w:val="00724F55"/>
    <w:rsid w:val="0072520C"/>
    <w:rsid w:val="007252CD"/>
    <w:rsid w:val="00725997"/>
    <w:rsid w:val="00725B24"/>
    <w:rsid w:val="00725C0D"/>
    <w:rsid w:val="00725C32"/>
    <w:rsid w:val="00725FB6"/>
    <w:rsid w:val="0072632B"/>
    <w:rsid w:val="00726363"/>
    <w:rsid w:val="0072636F"/>
    <w:rsid w:val="007265A8"/>
    <w:rsid w:val="0072664E"/>
    <w:rsid w:val="007266E9"/>
    <w:rsid w:val="00726969"/>
    <w:rsid w:val="00726B83"/>
    <w:rsid w:val="00726BBF"/>
    <w:rsid w:val="00726F59"/>
    <w:rsid w:val="007270DB"/>
    <w:rsid w:val="0072735C"/>
    <w:rsid w:val="00727382"/>
    <w:rsid w:val="00727677"/>
    <w:rsid w:val="00727EDA"/>
    <w:rsid w:val="00727F19"/>
    <w:rsid w:val="0073017D"/>
    <w:rsid w:val="0073018B"/>
    <w:rsid w:val="00730325"/>
    <w:rsid w:val="00730378"/>
    <w:rsid w:val="00730492"/>
    <w:rsid w:val="00730642"/>
    <w:rsid w:val="00730CB1"/>
    <w:rsid w:val="00730CCE"/>
    <w:rsid w:val="00730F94"/>
    <w:rsid w:val="007310A7"/>
    <w:rsid w:val="007310CB"/>
    <w:rsid w:val="0073122F"/>
    <w:rsid w:val="00731330"/>
    <w:rsid w:val="00731627"/>
    <w:rsid w:val="00731AE4"/>
    <w:rsid w:val="00731B6C"/>
    <w:rsid w:val="00731C2A"/>
    <w:rsid w:val="00731F02"/>
    <w:rsid w:val="00731F42"/>
    <w:rsid w:val="0073207A"/>
    <w:rsid w:val="00732174"/>
    <w:rsid w:val="007322F7"/>
    <w:rsid w:val="00732490"/>
    <w:rsid w:val="007324CB"/>
    <w:rsid w:val="00732652"/>
    <w:rsid w:val="007326CA"/>
    <w:rsid w:val="00732919"/>
    <w:rsid w:val="007329A7"/>
    <w:rsid w:val="00732C7E"/>
    <w:rsid w:val="00732D25"/>
    <w:rsid w:val="007331BD"/>
    <w:rsid w:val="0073335A"/>
    <w:rsid w:val="00733526"/>
    <w:rsid w:val="00733587"/>
    <w:rsid w:val="007338E7"/>
    <w:rsid w:val="00733AB2"/>
    <w:rsid w:val="00733D15"/>
    <w:rsid w:val="00733D26"/>
    <w:rsid w:val="00733F0C"/>
    <w:rsid w:val="00733F57"/>
    <w:rsid w:val="00733F6C"/>
    <w:rsid w:val="00734121"/>
    <w:rsid w:val="00734248"/>
    <w:rsid w:val="007343E8"/>
    <w:rsid w:val="0073445E"/>
    <w:rsid w:val="0073446E"/>
    <w:rsid w:val="007344BE"/>
    <w:rsid w:val="0073472A"/>
    <w:rsid w:val="00734D05"/>
    <w:rsid w:val="00734D29"/>
    <w:rsid w:val="00734DD7"/>
    <w:rsid w:val="00735ABA"/>
    <w:rsid w:val="00735D34"/>
    <w:rsid w:val="00736097"/>
    <w:rsid w:val="007360C0"/>
    <w:rsid w:val="00736792"/>
    <w:rsid w:val="00736824"/>
    <w:rsid w:val="007368A8"/>
    <w:rsid w:val="00736A47"/>
    <w:rsid w:val="00736A90"/>
    <w:rsid w:val="00736FBD"/>
    <w:rsid w:val="0073709F"/>
    <w:rsid w:val="0073714B"/>
    <w:rsid w:val="007373C2"/>
    <w:rsid w:val="0073761E"/>
    <w:rsid w:val="00737821"/>
    <w:rsid w:val="00737B8A"/>
    <w:rsid w:val="00737BC0"/>
    <w:rsid w:val="00737C26"/>
    <w:rsid w:val="00737DAB"/>
    <w:rsid w:val="00737F4D"/>
    <w:rsid w:val="00737FA7"/>
    <w:rsid w:val="00740340"/>
    <w:rsid w:val="00740494"/>
    <w:rsid w:val="007404DF"/>
    <w:rsid w:val="00740588"/>
    <w:rsid w:val="00740951"/>
    <w:rsid w:val="00741198"/>
    <w:rsid w:val="00741535"/>
    <w:rsid w:val="00741630"/>
    <w:rsid w:val="00741655"/>
    <w:rsid w:val="00741696"/>
    <w:rsid w:val="00741723"/>
    <w:rsid w:val="00742096"/>
    <w:rsid w:val="00742296"/>
    <w:rsid w:val="00742351"/>
    <w:rsid w:val="00742683"/>
    <w:rsid w:val="007427BB"/>
    <w:rsid w:val="007429E8"/>
    <w:rsid w:val="00742BA7"/>
    <w:rsid w:val="00742C30"/>
    <w:rsid w:val="007432E7"/>
    <w:rsid w:val="00743366"/>
    <w:rsid w:val="0074357A"/>
    <w:rsid w:val="00743666"/>
    <w:rsid w:val="00743A06"/>
    <w:rsid w:val="00743A38"/>
    <w:rsid w:val="00743DD3"/>
    <w:rsid w:val="00743F4E"/>
    <w:rsid w:val="0074437F"/>
    <w:rsid w:val="00744402"/>
    <w:rsid w:val="00744494"/>
    <w:rsid w:val="00744802"/>
    <w:rsid w:val="00744C1D"/>
    <w:rsid w:val="00744C25"/>
    <w:rsid w:val="0074527C"/>
    <w:rsid w:val="00745469"/>
    <w:rsid w:val="007455F3"/>
    <w:rsid w:val="007455FD"/>
    <w:rsid w:val="00745849"/>
    <w:rsid w:val="007458E1"/>
    <w:rsid w:val="00745B54"/>
    <w:rsid w:val="00745C5C"/>
    <w:rsid w:val="00745D05"/>
    <w:rsid w:val="00745E76"/>
    <w:rsid w:val="00745F0C"/>
    <w:rsid w:val="00745F29"/>
    <w:rsid w:val="00746189"/>
    <w:rsid w:val="0074680B"/>
    <w:rsid w:val="00746934"/>
    <w:rsid w:val="00746B0B"/>
    <w:rsid w:val="00746D57"/>
    <w:rsid w:val="00746F00"/>
    <w:rsid w:val="00747008"/>
    <w:rsid w:val="00747076"/>
    <w:rsid w:val="007474A6"/>
    <w:rsid w:val="007476D4"/>
    <w:rsid w:val="0074774C"/>
    <w:rsid w:val="007477D5"/>
    <w:rsid w:val="007477FD"/>
    <w:rsid w:val="00747A00"/>
    <w:rsid w:val="00747A29"/>
    <w:rsid w:val="00747B1F"/>
    <w:rsid w:val="00747DC4"/>
    <w:rsid w:val="00747FDF"/>
    <w:rsid w:val="007502AF"/>
    <w:rsid w:val="00750416"/>
    <w:rsid w:val="00750552"/>
    <w:rsid w:val="007507CC"/>
    <w:rsid w:val="00750F33"/>
    <w:rsid w:val="007510A7"/>
    <w:rsid w:val="00751108"/>
    <w:rsid w:val="007512F9"/>
    <w:rsid w:val="007515F1"/>
    <w:rsid w:val="00751747"/>
    <w:rsid w:val="0075178C"/>
    <w:rsid w:val="00751828"/>
    <w:rsid w:val="00751B63"/>
    <w:rsid w:val="00751D01"/>
    <w:rsid w:val="00751D5F"/>
    <w:rsid w:val="00751E57"/>
    <w:rsid w:val="00752052"/>
    <w:rsid w:val="007520E9"/>
    <w:rsid w:val="00752299"/>
    <w:rsid w:val="00752848"/>
    <w:rsid w:val="00752900"/>
    <w:rsid w:val="0075294B"/>
    <w:rsid w:val="00752A3E"/>
    <w:rsid w:val="00752CC3"/>
    <w:rsid w:val="00752CEC"/>
    <w:rsid w:val="00752DE1"/>
    <w:rsid w:val="00752E1C"/>
    <w:rsid w:val="00752FF1"/>
    <w:rsid w:val="00753168"/>
    <w:rsid w:val="007531BB"/>
    <w:rsid w:val="00753253"/>
    <w:rsid w:val="00753294"/>
    <w:rsid w:val="0075355C"/>
    <w:rsid w:val="00753778"/>
    <w:rsid w:val="0075394B"/>
    <w:rsid w:val="00753B3C"/>
    <w:rsid w:val="00753D64"/>
    <w:rsid w:val="00753D86"/>
    <w:rsid w:val="00753E3B"/>
    <w:rsid w:val="007542ED"/>
    <w:rsid w:val="00754304"/>
    <w:rsid w:val="00754545"/>
    <w:rsid w:val="00754844"/>
    <w:rsid w:val="00754864"/>
    <w:rsid w:val="00754AAC"/>
    <w:rsid w:val="00754BC8"/>
    <w:rsid w:val="00754D03"/>
    <w:rsid w:val="00754FD8"/>
    <w:rsid w:val="0075506E"/>
    <w:rsid w:val="00755559"/>
    <w:rsid w:val="0075570E"/>
    <w:rsid w:val="007557C0"/>
    <w:rsid w:val="0075585C"/>
    <w:rsid w:val="0075589C"/>
    <w:rsid w:val="007558E9"/>
    <w:rsid w:val="00755AB3"/>
    <w:rsid w:val="00755DE0"/>
    <w:rsid w:val="00755DFA"/>
    <w:rsid w:val="00755F3B"/>
    <w:rsid w:val="0075607B"/>
    <w:rsid w:val="00756252"/>
    <w:rsid w:val="007564BA"/>
    <w:rsid w:val="00756616"/>
    <w:rsid w:val="00756D50"/>
    <w:rsid w:val="00756D66"/>
    <w:rsid w:val="00756FEF"/>
    <w:rsid w:val="0075701C"/>
    <w:rsid w:val="00757221"/>
    <w:rsid w:val="00757275"/>
    <w:rsid w:val="00757DA2"/>
    <w:rsid w:val="00760414"/>
    <w:rsid w:val="0076053C"/>
    <w:rsid w:val="0076064B"/>
    <w:rsid w:val="00760878"/>
    <w:rsid w:val="007609C5"/>
    <w:rsid w:val="00760AE0"/>
    <w:rsid w:val="00760C3A"/>
    <w:rsid w:val="00760F1F"/>
    <w:rsid w:val="00761038"/>
    <w:rsid w:val="007610CA"/>
    <w:rsid w:val="0076113F"/>
    <w:rsid w:val="007612C5"/>
    <w:rsid w:val="0076148F"/>
    <w:rsid w:val="00761735"/>
    <w:rsid w:val="007617D8"/>
    <w:rsid w:val="0076191D"/>
    <w:rsid w:val="00761C2E"/>
    <w:rsid w:val="00761E7B"/>
    <w:rsid w:val="00761FA8"/>
    <w:rsid w:val="007621AE"/>
    <w:rsid w:val="0076223F"/>
    <w:rsid w:val="00762473"/>
    <w:rsid w:val="007626D3"/>
    <w:rsid w:val="007627B5"/>
    <w:rsid w:val="00762864"/>
    <w:rsid w:val="0076298A"/>
    <w:rsid w:val="00762BC9"/>
    <w:rsid w:val="00762CBF"/>
    <w:rsid w:val="00763187"/>
    <w:rsid w:val="0076332A"/>
    <w:rsid w:val="00763691"/>
    <w:rsid w:val="00763749"/>
    <w:rsid w:val="00763768"/>
    <w:rsid w:val="00763CE0"/>
    <w:rsid w:val="00763D44"/>
    <w:rsid w:val="00763E0F"/>
    <w:rsid w:val="00763E89"/>
    <w:rsid w:val="00764053"/>
    <w:rsid w:val="007641E4"/>
    <w:rsid w:val="00764312"/>
    <w:rsid w:val="00764414"/>
    <w:rsid w:val="00764439"/>
    <w:rsid w:val="00764707"/>
    <w:rsid w:val="0076473C"/>
    <w:rsid w:val="00764804"/>
    <w:rsid w:val="0076488B"/>
    <w:rsid w:val="00764939"/>
    <w:rsid w:val="007649D2"/>
    <w:rsid w:val="007649FE"/>
    <w:rsid w:val="00764AD9"/>
    <w:rsid w:val="00764BCB"/>
    <w:rsid w:val="00764C03"/>
    <w:rsid w:val="007651E8"/>
    <w:rsid w:val="00765513"/>
    <w:rsid w:val="007656DB"/>
    <w:rsid w:val="007656E2"/>
    <w:rsid w:val="0076578F"/>
    <w:rsid w:val="00765796"/>
    <w:rsid w:val="0076594B"/>
    <w:rsid w:val="00765A71"/>
    <w:rsid w:val="00765C02"/>
    <w:rsid w:val="00765C8E"/>
    <w:rsid w:val="00765D51"/>
    <w:rsid w:val="007660F6"/>
    <w:rsid w:val="007661BE"/>
    <w:rsid w:val="00766330"/>
    <w:rsid w:val="007664A2"/>
    <w:rsid w:val="00766B00"/>
    <w:rsid w:val="00766D2A"/>
    <w:rsid w:val="00766E1F"/>
    <w:rsid w:val="00766F5B"/>
    <w:rsid w:val="007675FB"/>
    <w:rsid w:val="00767665"/>
    <w:rsid w:val="0076774D"/>
    <w:rsid w:val="007677A7"/>
    <w:rsid w:val="007679FC"/>
    <w:rsid w:val="00767B3E"/>
    <w:rsid w:val="00767C9D"/>
    <w:rsid w:val="00767FEE"/>
    <w:rsid w:val="0077023B"/>
    <w:rsid w:val="007708C1"/>
    <w:rsid w:val="00770C6A"/>
    <w:rsid w:val="00770F3A"/>
    <w:rsid w:val="007710E7"/>
    <w:rsid w:val="0077118A"/>
    <w:rsid w:val="00771825"/>
    <w:rsid w:val="00771C78"/>
    <w:rsid w:val="00772265"/>
    <w:rsid w:val="007723C8"/>
    <w:rsid w:val="007725A7"/>
    <w:rsid w:val="0077264B"/>
    <w:rsid w:val="007727C1"/>
    <w:rsid w:val="0077293B"/>
    <w:rsid w:val="00772C96"/>
    <w:rsid w:val="00773031"/>
    <w:rsid w:val="0077319D"/>
    <w:rsid w:val="00773312"/>
    <w:rsid w:val="0077331C"/>
    <w:rsid w:val="00773331"/>
    <w:rsid w:val="0077358A"/>
    <w:rsid w:val="0077375A"/>
    <w:rsid w:val="00773BA1"/>
    <w:rsid w:val="00773F7E"/>
    <w:rsid w:val="007741E1"/>
    <w:rsid w:val="00774247"/>
    <w:rsid w:val="007744B8"/>
    <w:rsid w:val="00774729"/>
    <w:rsid w:val="0077477E"/>
    <w:rsid w:val="0077483E"/>
    <w:rsid w:val="00774862"/>
    <w:rsid w:val="007748C4"/>
    <w:rsid w:val="00774A68"/>
    <w:rsid w:val="00774BF2"/>
    <w:rsid w:val="00774D1D"/>
    <w:rsid w:val="00774E2B"/>
    <w:rsid w:val="00774E45"/>
    <w:rsid w:val="0077527E"/>
    <w:rsid w:val="0077544B"/>
    <w:rsid w:val="0077555A"/>
    <w:rsid w:val="00775723"/>
    <w:rsid w:val="00775951"/>
    <w:rsid w:val="0077595C"/>
    <w:rsid w:val="00775986"/>
    <w:rsid w:val="00775A35"/>
    <w:rsid w:val="00775C89"/>
    <w:rsid w:val="00775DC6"/>
    <w:rsid w:val="00776148"/>
    <w:rsid w:val="007761AA"/>
    <w:rsid w:val="00776253"/>
    <w:rsid w:val="0077678E"/>
    <w:rsid w:val="007767EE"/>
    <w:rsid w:val="00776B94"/>
    <w:rsid w:val="00776E63"/>
    <w:rsid w:val="00776EAE"/>
    <w:rsid w:val="0077712A"/>
    <w:rsid w:val="00777370"/>
    <w:rsid w:val="00777679"/>
    <w:rsid w:val="00777A95"/>
    <w:rsid w:val="00777BCA"/>
    <w:rsid w:val="00777CF4"/>
    <w:rsid w:val="00777EAB"/>
    <w:rsid w:val="0078008E"/>
    <w:rsid w:val="0078029B"/>
    <w:rsid w:val="007805CF"/>
    <w:rsid w:val="0078074B"/>
    <w:rsid w:val="0078076F"/>
    <w:rsid w:val="0078083D"/>
    <w:rsid w:val="0078094D"/>
    <w:rsid w:val="007809F1"/>
    <w:rsid w:val="00780B52"/>
    <w:rsid w:val="00780D58"/>
    <w:rsid w:val="0078107B"/>
    <w:rsid w:val="0078108A"/>
    <w:rsid w:val="007811C5"/>
    <w:rsid w:val="007812BD"/>
    <w:rsid w:val="007814F2"/>
    <w:rsid w:val="007817BA"/>
    <w:rsid w:val="00781C28"/>
    <w:rsid w:val="00781D23"/>
    <w:rsid w:val="00782128"/>
    <w:rsid w:val="007821FD"/>
    <w:rsid w:val="00782778"/>
    <w:rsid w:val="007827AB"/>
    <w:rsid w:val="0078282E"/>
    <w:rsid w:val="00782929"/>
    <w:rsid w:val="00782AD7"/>
    <w:rsid w:val="00782B73"/>
    <w:rsid w:val="00782C13"/>
    <w:rsid w:val="00782E43"/>
    <w:rsid w:val="00783110"/>
    <w:rsid w:val="00783570"/>
    <w:rsid w:val="007838C9"/>
    <w:rsid w:val="007839BD"/>
    <w:rsid w:val="00783AC9"/>
    <w:rsid w:val="00783D1D"/>
    <w:rsid w:val="0078445E"/>
    <w:rsid w:val="0078467E"/>
    <w:rsid w:val="00784806"/>
    <w:rsid w:val="0078482B"/>
    <w:rsid w:val="0078498F"/>
    <w:rsid w:val="00784C71"/>
    <w:rsid w:val="00784E0E"/>
    <w:rsid w:val="00785028"/>
    <w:rsid w:val="00785569"/>
    <w:rsid w:val="00785670"/>
    <w:rsid w:val="00785726"/>
    <w:rsid w:val="007859B0"/>
    <w:rsid w:val="007859B8"/>
    <w:rsid w:val="00785DBC"/>
    <w:rsid w:val="00785F50"/>
    <w:rsid w:val="00785FB2"/>
    <w:rsid w:val="00786295"/>
    <w:rsid w:val="00786349"/>
    <w:rsid w:val="0078679C"/>
    <w:rsid w:val="007868C4"/>
    <w:rsid w:val="00786931"/>
    <w:rsid w:val="00786986"/>
    <w:rsid w:val="00786994"/>
    <w:rsid w:val="00786A56"/>
    <w:rsid w:val="00786BEE"/>
    <w:rsid w:val="00786D32"/>
    <w:rsid w:val="00786D52"/>
    <w:rsid w:val="00786DD1"/>
    <w:rsid w:val="00786EDC"/>
    <w:rsid w:val="00786FFA"/>
    <w:rsid w:val="00787448"/>
    <w:rsid w:val="00787454"/>
    <w:rsid w:val="007877A8"/>
    <w:rsid w:val="00787897"/>
    <w:rsid w:val="00787A38"/>
    <w:rsid w:val="00787DD6"/>
    <w:rsid w:val="00787E93"/>
    <w:rsid w:val="00787EA4"/>
    <w:rsid w:val="00787F3D"/>
    <w:rsid w:val="007900A4"/>
    <w:rsid w:val="007902AB"/>
    <w:rsid w:val="0079036B"/>
    <w:rsid w:val="007903A3"/>
    <w:rsid w:val="007907AE"/>
    <w:rsid w:val="00790BFE"/>
    <w:rsid w:val="00791074"/>
    <w:rsid w:val="0079110A"/>
    <w:rsid w:val="007914B2"/>
    <w:rsid w:val="0079158A"/>
    <w:rsid w:val="00791909"/>
    <w:rsid w:val="00791AB4"/>
    <w:rsid w:val="00791C2D"/>
    <w:rsid w:val="00791F12"/>
    <w:rsid w:val="007925CA"/>
    <w:rsid w:val="007927C3"/>
    <w:rsid w:val="007927DC"/>
    <w:rsid w:val="007928DA"/>
    <w:rsid w:val="00792B4D"/>
    <w:rsid w:val="00792C07"/>
    <w:rsid w:val="00792C7D"/>
    <w:rsid w:val="00792DAF"/>
    <w:rsid w:val="00792FC0"/>
    <w:rsid w:val="00793005"/>
    <w:rsid w:val="007930A4"/>
    <w:rsid w:val="007930D7"/>
    <w:rsid w:val="007932EF"/>
    <w:rsid w:val="007932F7"/>
    <w:rsid w:val="007934C2"/>
    <w:rsid w:val="007935A8"/>
    <w:rsid w:val="0079360F"/>
    <w:rsid w:val="00793957"/>
    <w:rsid w:val="00793A40"/>
    <w:rsid w:val="00793B20"/>
    <w:rsid w:val="007940D7"/>
    <w:rsid w:val="0079496E"/>
    <w:rsid w:val="00794A3A"/>
    <w:rsid w:val="00794ADE"/>
    <w:rsid w:val="00794C8A"/>
    <w:rsid w:val="00794CFE"/>
    <w:rsid w:val="00794DBE"/>
    <w:rsid w:val="00794E24"/>
    <w:rsid w:val="00794F14"/>
    <w:rsid w:val="00794F53"/>
    <w:rsid w:val="007950FB"/>
    <w:rsid w:val="007951CD"/>
    <w:rsid w:val="00795274"/>
    <w:rsid w:val="00795568"/>
    <w:rsid w:val="0079567F"/>
    <w:rsid w:val="00795739"/>
    <w:rsid w:val="007957DB"/>
    <w:rsid w:val="00795A3C"/>
    <w:rsid w:val="00795A9E"/>
    <w:rsid w:val="00795ADA"/>
    <w:rsid w:val="00795C14"/>
    <w:rsid w:val="00795FA1"/>
    <w:rsid w:val="00796165"/>
    <w:rsid w:val="00796242"/>
    <w:rsid w:val="007962A5"/>
    <w:rsid w:val="00796667"/>
    <w:rsid w:val="0079688C"/>
    <w:rsid w:val="00796904"/>
    <w:rsid w:val="00796AB2"/>
    <w:rsid w:val="00796C26"/>
    <w:rsid w:val="00796DD4"/>
    <w:rsid w:val="00796E11"/>
    <w:rsid w:val="00796E41"/>
    <w:rsid w:val="0079750E"/>
    <w:rsid w:val="0079754D"/>
    <w:rsid w:val="00797766"/>
    <w:rsid w:val="007979C2"/>
    <w:rsid w:val="00797A3F"/>
    <w:rsid w:val="00797A71"/>
    <w:rsid w:val="00797AFA"/>
    <w:rsid w:val="00797D1E"/>
    <w:rsid w:val="007A01A9"/>
    <w:rsid w:val="007A0316"/>
    <w:rsid w:val="007A0352"/>
    <w:rsid w:val="007A05CD"/>
    <w:rsid w:val="007A0811"/>
    <w:rsid w:val="007A091C"/>
    <w:rsid w:val="007A0B9A"/>
    <w:rsid w:val="007A0C59"/>
    <w:rsid w:val="007A0D1E"/>
    <w:rsid w:val="007A0F4D"/>
    <w:rsid w:val="007A1082"/>
    <w:rsid w:val="007A10CF"/>
    <w:rsid w:val="007A11E3"/>
    <w:rsid w:val="007A1241"/>
    <w:rsid w:val="007A1405"/>
    <w:rsid w:val="007A1513"/>
    <w:rsid w:val="007A2203"/>
    <w:rsid w:val="007A232B"/>
    <w:rsid w:val="007A26CE"/>
    <w:rsid w:val="007A2971"/>
    <w:rsid w:val="007A2ECB"/>
    <w:rsid w:val="007A2F3B"/>
    <w:rsid w:val="007A3478"/>
    <w:rsid w:val="007A37BD"/>
    <w:rsid w:val="007A3892"/>
    <w:rsid w:val="007A38A2"/>
    <w:rsid w:val="007A38D4"/>
    <w:rsid w:val="007A39BF"/>
    <w:rsid w:val="007A40B7"/>
    <w:rsid w:val="007A446C"/>
    <w:rsid w:val="007A44FB"/>
    <w:rsid w:val="007A4720"/>
    <w:rsid w:val="007A48E1"/>
    <w:rsid w:val="007A48FD"/>
    <w:rsid w:val="007A4AA3"/>
    <w:rsid w:val="007A4E69"/>
    <w:rsid w:val="007A4E93"/>
    <w:rsid w:val="007A5009"/>
    <w:rsid w:val="007A510E"/>
    <w:rsid w:val="007A53C8"/>
    <w:rsid w:val="007A54D1"/>
    <w:rsid w:val="007A5782"/>
    <w:rsid w:val="007A581A"/>
    <w:rsid w:val="007A5AD8"/>
    <w:rsid w:val="007A5CEA"/>
    <w:rsid w:val="007A5D1F"/>
    <w:rsid w:val="007A630B"/>
    <w:rsid w:val="007A63C8"/>
    <w:rsid w:val="007A644E"/>
    <w:rsid w:val="007A6A44"/>
    <w:rsid w:val="007A6A8C"/>
    <w:rsid w:val="007A6B2F"/>
    <w:rsid w:val="007A6FB7"/>
    <w:rsid w:val="007A70F5"/>
    <w:rsid w:val="007A733D"/>
    <w:rsid w:val="007A753E"/>
    <w:rsid w:val="007A7A35"/>
    <w:rsid w:val="007A7B38"/>
    <w:rsid w:val="007A7D09"/>
    <w:rsid w:val="007A7D9F"/>
    <w:rsid w:val="007A7DAB"/>
    <w:rsid w:val="007B004B"/>
    <w:rsid w:val="007B02BF"/>
    <w:rsid w:val="007B040A"/>
    <w:rsid w:val="007B0783"/>
    <w:rsid w:val="007B08CD"/>
    <w:rsid w:val="007B08E6"/>
    <w:rsid w:val="007B09CA"/>
    <w:rsid w:val="007B0AAC"/>
    <w:rsid w:val="007B0B66"/>
    <w:rsid w:val="007B0C2E"/>
    <w:rsid w:val="007B0DE4"/>
    <w:rsid w:val="007B0F45"/>
    <w:rsid w:val="007B0F75"/>
    <w:rsid w:val="007B1096"/>
    <w:rsid w:val="007B15EA"/>
    <w:rsid w:val="007B1810"/>
    <w:rsid w:val="007B19DC"/>
    <w:rsid w:val="007B1B4F"/>
    <w:rsid w:val="007B1C8B"/>
    <w:rsid w:val="007B1DA4"/>
    <w:rsid w:val="007B220B"/>
    <w:rsid w:val="007B24B2"/>
    <w:rsid w:val="007B26B4"/>
    <w:rsid w:val="007B26E9"/>
    <w:rsid w:val="007B273F"/>
    <w:rsid w:val="007B2902"/>
    <w:rsid w:val="007B2A58"/>
    <w:rsid w:val="007B2AB3"/>
    <w:rsid w:val="007B2BA0"/>
    <w:rsid w:val="007B2CEB"/>
    <w:rsid w:val="007B2D63"/>
    <w:rsid w:val="007B334D"/>
    <w:rsid w:val="007B3433"/>
    <w:rsid w:val="007B3442"/>
    <w:rsid w:val="007B3493"/>
    <w:rsid w:val="007B3880"/>
    <w:rsid w:val="007B3961"/>
    <w:rsid w:val="007B3C59"/>
    <w:rsid w:val="007B3CC1"/>
    <w:rsid w:val="007B3D25"/>
    <w:rsid w:val="007B3DD2"/>
    <w:rsid w:val="007B3F9A"/>
    <w:rsid w:val="007B48A0"/>
    <w:rsid w:val="007B48D9"/>
    <w:rsid w:val="007B4966"/>
    <w:rsid w:val="007B4E3F"/>
    <w:rsid w:val="007B4F30"/>
    <w:rsid w:val="007B5309"/>
    <w:rsid w:val="007B542A"/>
    <w:rsid w:val="007B5499"/>
    <w:rsid w:val="007B5B10"/>
    <w:rsid w:val="007B5B3E"/>
    <w:rsid w:val="007B5B8E"/>
    <w:rsid w:val="007B5CBE"/>
    <w:rsid w:val="007B5E38"/>
    <w:rsid w:val="007B5E73"/>
    <w:rsid w:val="007B5EED"/>
    <w:rsid w:val="007B5F1A"/>
    <w:rsid w:val="007B66B8"/>
    <w:rsid w:val="007B6AEF"/>
    <w:rsid w:val="007B6BD7"/>
    <w:rsid w:val="007B6BDE"/>
    <w:rsid w:val="007B6BE3"/>
    <w:rsid w:val="007B6F5C"/>
    <w:rsid w:val="007B6FAB"/>
    <w:rsid w:val="007B7C76"/>
    <w:rsid w:val="007B7F21"/>
    <w:rsid w:val="007C0045"/>
    <w:rsid w:val="007C0318"/>
    <w:rsid w:val="007C04E2"/>
    <w:rsid w:val="007C08C4"/>
    <w:rsid w:val="007C0B68"/>
    <w:rsid w:val="007C0C21"/>
    <w:rsid w:val="007C0FBA"/>
    <w:rsid w:val="007C115D"/>
    <w:rsid w:val="007C12E6"/>
    <w:rsid w:val="007C13ED"/>
    <w:rsid w:val="007C1616"/>
    <w:rsid w:val="007C16AD"/>
    <w:rsid w:val="007C16FE"/>
    <w:rsid w:val="007C1751"/>
    <w:rsid w:val="007C1A61"/>
    <w:rsid w:val="007C2159"/>
    <w:rsid w:val="007C21EB"/>
    <w:rsid w:val="007C2444"/>
    <w:rsid w:val="007C25F4"/>
    <w:rsid w:val="007C2685"/>
    <w:rsid w:val="007C29E2"/>
    <w:rsid w:val="007C29E6"/>
    <w:rsid w:val="007C2A60"/>
    <w:rsid w:val="007C2B2F"/>
    <w:rsid w:val="007C2C58"/>
    <w:rsid w:val="007C2C9B"/>
    <w:rsid w:val="007C2D90"/>
    <w:rsid w:val="007C3076"/>
    <w:rsid w:val="007C33B8"/>
    <w:rsid w:val="007C33C4"/>
    <w:rsid w:val="007C34E2"/>
    <w:rsid w:val="007C35D4"/>
    <w:rsid w:val="007C36D1"/>
    <w:rsid w:val="007C3B93"/>
    <w:rsid w:val="007C3E92"/>
    <w:rsid w:val="007C4385"/>
    <w:rsid w:val="007C47FE"/>
    <w:rsid w:val="007C4BA8"/>
    <w:rsid w:val="007C4F45"/>
    <w:rsid w:val="007C5202"/>
    <w:rsid w:val="007C527B"/>
    <w:rsid w:val="007C543A"/>
    <w:rsid w:val="007C5529"/>
    <w:rsid w:val="007C557C"/>
    <w:rsid w:val="007C5968"/>
    <w:rsid w:val="007C59B9"/>
    <w:rsid w:val="007C5B08"/>
    <w:rsid w:val="007C5B82"/>
    <w:rsid w:val="007C5C1D"/>
    <w:rsid w:val="007C5C79"/>
    <w:rsid w:val="007C5C98"/>
    <w:rsid w:val="007C5E77"/>
    <w:rsid w:val="007C689A"/>
    <w:rsid w:val="007C68D0"/>
    <w:rsid w:val="007C6B27"/>
    <w:rsid w:val="007C7238"/>
    <w:rsid w:val="007C7502"/>
    <w:rsid w:val="007C7A13"/>
    <w:rsid w:val="007C7A4F"/>
    <w:rsid w:val="007C7B54"/>
    <w:rsid w:val="007C7DBD"/>
    <w:rsid w:val="007C7F13"/>
    <w:rsid w:val="007C7F79"/>
    <w:rsid w:val="007D0012"/>
    <w:rsid w:val="007D0101"/>
    <w:rsid w:val="007D01AA"/>
    <w:rsid w:val="007D02DE"/>
    <w:rsid w:val="007D0406"/>
    <w:rsid w:val="007D05B2"/>
    <w:rsid w:val="007D062B"/>
    <w:rsid w:val="007D07A1"/>
    <w:rsid w:val="007D0B04"/>
    <w:rsid w:val="007D0C81"/>
    <w:rsid w:val="007D0D25"/>
    <w:rsid w:val="007D0DFD"/>
    <w:rsid w:val="007D1047"/>
    <w:rsid w:val="007D1385"/>
    <w:rsid w:val="007D162B"/>
    <w:rsid w:val="007D1B23"/>
    <w:rsid w:val="007D1BEF"/>
    <w:rsid w:val="007D1BFC"/>
    <w:rsid w:val="007D1C61"/>
    <w:rsid w:val="007D1CAE"/>
    <w:rsid w:val="007D1E1F"/>
    <w:rsid w:val="007D1FBB"/>
    <w:rsid w:val="007D2020"/>
    <w:rsid w:val="007D22C7"/>
    <w:rsid w:val="007D256C"/>
    <w:rsid w:val="007D2582"/>
    <w:rsid w:val="007D25C2"/>
    <w:rsid w:val="007D2608"/>
    <w:rsid w:val="007D2852"/>
    <w:rsid w:val="007D2B0D"/>
    <w:rsid w:val="007D2BF7"/>
    <w:rsid w:val="007D30A6"/>
    <w:rsid w:val="007D3275"/>
    <w:rsid w:val="007D339E"/>
    <w:rsid w:val="007D34FC"/>
    <w:rsid w:val="007D36F2"/>
    <w:rsid w:val="007D3790"/>
    <w:rsid w:val="007D38F3"/>
    <w:rsid w:val="007D38F9"/>
    <w:rsid w:val="007D3B2F"/>
    <w:rsid w:val="007D3BD0"/>
    <w:rsid w:val="007D3BF2"/>
    <w:rsid w:val="007D3E9B"/>
    <w:rsid w:val="007D3F0F"/>
    <w:rsid w:val="007D4009"/>
    <w:rsid w:val="007D40C5"/>
    <w:rsid w:val="007D431B"/>
    <w:rsid w:val="007D4386"/>
    <w:rsid w:val="007D4747"/>
    <w:rsid w:val="007D4989"/>
    <w:rsid w:val="007D5110"/>
    <w:rsid w:val="007D5126"/>
    <w:rsid w:val="007D569A"/>
    <w:rsid w:val="007D5B62"/>
    <w:rsid w:val="007D5E7D"/>
    <w:rsid w:val="007D601F"/>
    <w:rsid w:val="007D6628"/>
    <w:rsid w:val="007D6675"/>
    <w:rsid w:val="007D68E3"/>
    <w:rsid w:val="007D69EF"/>
    <w:rsid w:val="007D6A68"/>
    <w:rsid w:val="007D731D"/>
    <w:rsid w:val="007D7400"/>
    <w:rsid w:val="007D752B"/>
    <w:rsid w:val="007D798F"/>
    <w:rsid w:val="007D7A5E"/>
    <w:rsid w:val="007D7B5C"/>
    <w:rsid w:val="007D7B95"/>
    <w:rsid w:val="007D7BC9"/>
    <w:rsid w:val="007D7BDD"/>
    <w:rsid w:val="007D7DF8"/>
    <w:rsid w:val="007D7E69"/>
    <w:rsid w:val="007E0049"/>
    <w:rsid w:val="007E0051"/>
    <w:rsid w:val="007E024D"/>
    <w:rsid w:val="007E03F1"/>
    <w:rsid w:val="007E05B0"/>
    <w:rsid w:val="007E079B"/>
    <w:rsid w:val="007E080F"/>
    <w:rsid w:val="007E0AA8"/>
    <w:rsid w:val="007E0C32"/>
    <w:rsid w:val="007E0F42"/>
    <w:rsid w:val="007E0F65"/>
    <w:rsid w:val="007E12E5"/>
    <w:rsid w:val="007E1301"/>
    <w:rsid w:val="007E1478"/>
    <w:rsid w:val="007E1623"/>
    <w:rsid w:val="007E18FA"/>
    <w:rsid w:val="007E1A48"/>
    <w:rsid w:val="007E1B77"/>
    <w:rsid w:val="007E1C1A"/>
    <w:rsid w:val="007E1C9B"/>
    <w:rsid w:val="007E1F28"/>
    <w:rsid w:val="007E1FD7"/>
    <w:rsid w:val="007E20AA"/>
    <w:rsid w:val="007E27C1"/>
    <w:rsid w:val="007E2848"/>
    <w:rsid w:val="007E28A8"/>
    <w:rsid w:val="007E296C"/>
    <w:rsid w:val="007E2B61"/>
    <w:rsid w:val="007E3074"/>
    <w:rsid w:val="007E30BA"/>
    <w:rsid w:val="007E3304"/>
    <w:rsid w:val="007E33F2"/>
    <w:rsid w:val="007E3889"/>
    <w:rsid w:val="007E3C33"/>
    <w:rsid w:val="007E3CF5"/>
    <w:rsid w:val="007E40D5"/>
    <w:rsid w:val="007E41CA"/>
    <w:rsid w:val="007E446F"/>
    <w:rsid w:val="007E44E1"/>
    <w:rsid w:val="007E46D1"/>
    <w:rsid w:val="007E472E"/>
    <w:rsid w:val="007E4B6C"/>
    <w:rsid w:val="007E4B82"/>
    <w:rsid w:val="007E4BE1"/>
    <w:rsid w:val="007E4DEB"/>
    <w:rsid w:val="007E4E2E"/>
    <w:rsid w:val="007E5060"/>
    <w:rsid w:val="007E51D8"/>
    <w:rsid w:val="007E52A8"/>
    <w:rsid w:val="007E5340"/>
    <w:rsid w:val="007E5379"/>
    <w:rsid w:val="007E57F8"/>
    <w:rsid w:val="007E5A05"/>
    <w:rsid w:val="007E5AA9"/>
    <w:rsid w:val="007E5B4D"/>
    <w:rsid w:val="007E5B6C"/>
    <w:rsid w:val="007E5B98"/>
    <w:rsid w:val="007E5E8B"/>
    <w:rsid w:val="007E6108"/>
    <w:rsid w:val="007E630D"/>
    <w:rsid w:val="007E66B9"/>
    <w:rsid w:val="007E6986"/>
    <w:rsid w:val="007E6A1C"/>
    <w:rsid w:val="007E6A44"/>
    <w:rsid w:val="007E6AB3"/>
    <w:rsid w:val="007E6BDE"/>
    <w:rsid w:val="007E6FB9"/>
    <w:rsid w:val="007E7134"/>
    <w:rsid w:val="007E739B"/>
    <w:rsid w:val="007E740B"/>
    <w:rsid w:val="007E7593"/>
    <w:rsid w:val="007E78C8"/>
    <w:rsid w:val="007E7A62"/>
    <w:rsid w:val="007E7B16"/>
    <w:rsid w:val="007E7DEB"/>
    <w:rsid w:val="007E7EB3"/>
    <w:rsid w:val="007F01E1"/>
    <w:rsid w:val="007F054A"/>
    <w:rsid w:val="007F0631"/>
    <w:rsid w:val="007F0A68"/>
    <w:rsid w:val="007F0A81"/>
    <w:rsid w:val="007F0C4C"/>
    <w:rsid w:val="007F0F32"/>
    <w:rsid w:val="007F1222"/>
    <w:rsid w:val="007F1594"/>
    <w:rsid w:val="007F15C1"/>
    <w:rsid w:val="007F1856"/>
    <w:rsid w:val="007F1A88"/>
    <w:rsid w:val="007F1BF4"/>
    <w:rsid w:val="007F1CF5"/>
    <w:rsid w:val="007F1EC7"/>
    <w:rsid w:val="007F24D3"/>
    <w:rsid w:val="007F26B2"/>
    <w:rsid w:val="007F2915"/>
    <w:rsid w:val="007F2A41"/>
    <w:rsid w:val="007F30CB"/>
    <w:rsid w:val="007F3266"/>
    <w:rsid w:val="007F3509"/>
    <w:rsid w:val="007F354E"/>
    <w:rsid w:val="007F3A32"/>
    <w:rsid w:val="007F3FEE"/>
    <w:rsid w:val="007F486B"/>
    <w:rsid w:val="007F4B7B"/>
    <w:rsid w:val="007F4E15"/>
    <w:rsid w:val="007F4E75"/>
    <w:rsid w:val="007F4FF7"/>
    <w:rsid w:val="007F5196"/>
    <w:rsid w:val="007F5534"/>
    <w:rsid w:val="007F555D"/>
    <w:rsid w:val="007F57E6"/>
    <w:rsid w:val="007F59AB"/>
    <w:rsid w:val="007F5F0C"/>
    <w:rsid w:val="007F61F9"/>
    <w:rsid w:val="007F627C"/>
    <w:rsid w:val="007F6459"/>
    <w:rsid w:val="007F6B16"/>
    <w:rsid w:val="007F6B3F"/>
    <w:rsid w:val="007F6F42"/>
    <w:rsid w:val="007F72E1"/>
    <w:rsid w:val="007F74D8"/>
    <w:rsid w:val="007F7807"/>
    <w:rsid w:val="007F7964"/>
    <w:rsid w:val="007F7C12"/>
    <w:rsid w:val="007F7CAE"/>
    <w:rsid w:val="007F7F98"/>
    <w:rsid w:val="008002B0"/>
    <w:rsid w:val="008003BF"/>
    <w:rsid w:val="0080051B"/>
    <w:rsid w:val="008007FB"/>
    <w:rsid w:val="00800B6D"/>
    <w:rsid w:val="00800B7E"/>
    <w:rsid w:val="00800C43"/>
    <w:rsid w:val="00800FF8"/>
    <w:rsid w:val="0080114B"/>
    <w:rsid w:val="00801255"/>
    <w:rsid w:val="008012F7"/>
    <w:rsid w:val="00801732"/>
    <w:rsid w:val="00801990"/>
    <w:rsid w:val="00801BBC"/>
    <w:rsid w:val="00801C36"/>
    <w:rsid w:val="008023B2"/>
    <w:rsid w:val="008024A5"/>
    <w:rsid w:val="00802612"/>
    <w:rsid w:val="008026B6"/>
    <w:rsid w:val="008026C4"/>
    <w:rsid w:val="008029DF"/>
    <w:rsid w:val="00802A73"/>
    <w:rsid w:val="00802B29"/>
    <w:rsid w:val="00802BFC"/>
    <w:rsid w:val="00802D5B"/>
    <w:rsid w:val="00802E3C"/>
    <w:rsid w:val="00802E49"/>
    <w:rsid w:val="008030CB"/>
    <w:rsid w:val="00803662"/>
    <w:rsid w:val="00803760"/>
    <w:rsid w:val="00803829"/>
    <w:rsid w:val="008038F4"/>
    <w:rsid w:val="00803A84"/>
    <w:rsid w:val="00803BA6"/>
    <w:rsid w:val="00803DFD"/>
    <w:rsid w:val="00803FD7"/>
    <w:rsid w:val="008040AB"/>
    <w:rsid w:val="008041E8"/>
    <w:rsid w:val="0080432A"/>
    <w:rsid w:val="0080459C"/>
    <w:rsid w:val="008045A6"/>
    <w:rsid w:val="00804A05"/>
    <w:rsid w:val="00804BDD"/>
    <w:rsid w:val="00804CB1"/>
    <w:rsid w:val="00805475"/>
    <w:rsid w:val="008054FF"/>
    <w:rsid w:val="008056A5"/>
    <w:rsid w:val="00805A91"/>
    <w:rsid w:val="00805B1B"/>
    <w:rsid w:val="00805D61"/>
    <w:rsid w:val="008060E8"/>
    <w:rsid w:val="0080638E"/>
    <w:rsid w:val="008063E6"/>
    <w:rsid w:val="00806818"/>
    <w:rsid w:val="00806920"/>
    <w:rsid w:val="00806A8B"/>
    <w:rsid w:val="00806B42"/>
    <w:rsid w:val="00806D4C"/>
    <w:rsid w:val="00806F10"/>
    <w:rsid w:val="00806F92"/>
    <w:rsid w:val="008071E0"/>
    <w:rsid w:val="0080726E"/>
    <w:rsid w:val="008073CD"/>
    <w:rsid w:val="0080749D"/>
    <w:rsid w:val="0080767D"/>
    <w:rsid w:val="00807995"/>
    <w:rsid w:val="00807E02"/>
    <w:rsid w:val="00807F85"/>
    <w:rsid w:val="0081031F"/>
    <w:rsid w:val="00810379"/>
    <w:rsid w:val="00810396"/>
    <w:rsid w:val="00810545"/>
    <w:rsid w:val="00810665"/>
    <w:rsid w:val="0081070D"/>
    <w:rsid w:val="008107AB"/>
    <w:rsid w:val="008108D7"/>
    <w:rsid w:val="008109A9"/>
    <w:rsid w:val="00810B13"/>
    <w:rsid w:val="00811157"/>
    <w:rsid w:val="00811334"/>
    <w:rsid w:val="00811336"/>
    <w:rsid w:val="0081196A"/>
    <w:rsid w:val="00811A9E"/>
    <w:rsid w:val="00811D37"/>
    <w:rsid w:val="00811E92"/>
    <w:rsid w:val="00811EC2"/>
    <w:rsid w:val="00811EF6"/>
    <w:rsid w:val="00811FD2"/>
    <w:rsid w:val="00812642"/>
    <w:rsid w:val="00812707"/>
    <w:rsid w:val="008127D8"/>
    <w:rsid w:val="00812984"/>
    <w:rsid w:val="00812AD6"/>
    <w:rsid w:val="00812B91"/>
    <w:rsid w:val="00812DEF"/>
    <w:rsid w:val="00812E18"/>
    <w:rsid w:val="0081301A"/>
    <w:rsid w:val="00813133"/>
    <w:rsid w:val="0081336C"/>
    <w:rsid w:val="0081375B"/>
    <w:rsid w:val="008137CF"/>
    <w:rsid w:val="00813CFE"/>
    <w:rsid w:val="00813E79"/>
    <w:rsid w:val="00813E9E"/>
    <w:rsid w:val="00813F10"/>
    <w:rsid w:val="00814063"/>
    <w:rsid w:val="00814190"/>
    <w:rsid w:val="0081423B"/>
    <w:rsid w:val="008142B2"/>
    <w:rsid w:val="00814378"/>
    <w:rsid w:val="00814500"/>
    <w:rsid w:val="008146EA"/>
    <w:rsid w:val="00814762"/>
    <w:rsid w:val="00814884"/>
    <w:rsid w:val="008149F5"/>
    <w:rsid w:val="00814BF5"/>
    <w:rsid w:val="00814D91"/>
    <w:rsid w:val="008153AE"/>
    <w:rsid w:val="008154CB"/>
    <w:rsid w:val="00815611"/>
    <w:rsid w:val="008156A3"/>
    <w:rsid w:val="00815BC6"/>
    <w:rsid w:val="00816542"/>
    <w:rsid w:val="00816551"/>
    <w:rsid w:val="00816681"/>
    <w:rsid w:val="008167BE"/>
    <w:rsid w:val="008168B7"/>
    <w:rsid w:val="008168E2"/>
    <w:rsid w:val="008169FF"/>
    <w:rsid w:val="00816AD2"/>
    <w:rsid w:val="00816AF3"/>
    <w:rsid w:val="00816D95"/>
    <w:rsid w:val="00816E85"/>
    <w:rsid w:val="00816FB0"/>
    <w:rsid w:val="008172C2"/>
    <w:rsid w:val="008172E7"/>
    <w:rsid w:val="00817473"/>
    <w:rsid w:val="00817581"/>
    <w:rsid w:val="00817603"/>
    <w:rsid w:val="0081772D"/>
    <w:rsid w:val="00817926"/>
    <w:rsid w:val="00817DD8"/>
    <w:rsid w:val="0082007B"/>
    <w:rsid w:val="00820126"/>
    <w:rsid w:val="0082013B"/>
    <w:rsid w:val="00820184"/>
    <w:rsid w:val="008202D0"/>
    <w:rsid w:val="008203C4"/>
    <w:rsid w:val="00820694"/>
    <w:rsid w:val="00820737"/>
    <w:rsid w:val="00820A0E"/>
    <w:rsid w:val="00820AE4"/>
    <w:rsid w:val="00820D8E"/>
    <w:rsid w:val="00821051"/>
    <w:rsid w:val="0082114D"/>
    <w:rsid w:val="008212CD"/>
    <w:rsid w:val="00821355"/>
    <w:rsid w:val="00821613"/>
    <w:rsid w:val="0082169A"/>
    <w:rsid w:val="00821E56"/>
    <w:rsid w:val="00821E76"/>
    <w:rsid w:val="00821E82"/>
    <w:rsid w:val="00821F73"/>
    <w:rsid w:val="00821F80"/>
    <w:rsid w:val="00822848"/>
    <w:rsid w:val="0082289C"/>
    <w:rsid w:val="00822975"/>
    <w:rsid w:val="00822BFA"/>
    <w:rsid w:val="00822D2E"/>
    <w:rsid w:val="00822E2F"/>
    <w:rsid w:val="00822F8A"/>
    <w:rsid w:val="00822F9D"/>
    <w:rsid w:val="0082319B"/>
    <w:rsid w:val="0082348A"/>
    <w:rsid w:val="008237EE"/>
    <w:rsid w:val="0082396E"/>
    <w:rsid w:val="00823E44"/>
    <w:rsid w:val="00823F30"/>
    <w:rsid w:val="00824126"/>
    <w:rsid w:val="008241BC"/>
    <w:rsid w:val="008243A2"/>
    <w:rsid w:val="008243D8"/>
    <w:rsid w:val="0082452A"/>
    <w:rsid w:val="00824873"/>
    <w:rsid w:val="00824AF7"/>
    <w:rsid w:val="00824CAD"/>
    <w:rsid w:val="00824DF1"/>
    <w:rsid w:val="00824EBE"/>
    <w:rsid w:val="0082510D"/>
    <w:rsid w:val="00825787"/>
    <w:rsid w:val="00825875"/>
    <w:rsid w:val="0082589A"/>
    <w:rsid w:val="00825ADD"/>
    <w:rsid w:val="00825E96"/>
    <w:rsid w:val="00826018"/>
    <w:rsid w:val="008260BA"/>
    <w:rsid w:val="008260DB"/>
    <w:rsid w:val="008261B1"/>
    <w:rsid w:val="008262D9"/>
    <w:rsid w:val="00826350"/>
    <w:rsid w:val="00826355"/>
    <w:rsid w:val="008263A8"/>
    <w:rsid w:val="008263D9"/>
    <w:rsid w:val="008263DE"/>
    <w:rsid w:val="008263FC"/>
    <w:rsid w:val="00826CF6"/>
    <w:rsid w:val="00826D37"/>
    <w:rsid w:val="00826E05"/>
    <w:rsid w:val="008271EC"/>
    <w:rsid w:val="00827200"/>
    <w:rsid w:val="0082736B"/>
    <w:rsid w:val="00827427"/>
    <w:rsid w:val="008277B7"/>
    <w:rsid w:val="0082789A"/>
    <w:rsid w:val="00827BE1"/>
    <w:rsid w:val="00827E67"/>
    <w:rsid w:val="00827ED3"/>
    <w:rsid w:val="008300EF"/>
    <w:rsid w:val="00830292"/>
    <w:rsid w:val="0083031E"/>
    <w:rsid w:val="008307D6"/>
    <w:rsid w:val="00830A50"/>
    <w:rsid w:val="00830B9C"/>
    <w:rsid w:val="00830BAA"/>
    <w:rsid w:val="00830C0B"/>
    <w:rsid w:val="00830F8A"/>
    <w:rsid w:val="00831104"/>
    <w:rsid w:val="0083110D"/>
    <w:rsid w:val="008311DD"/>
    <w:rsid w:val="00831572"/>
    <w:rsid w:val="0083163A"/>
    <w:rsid w:val="00831807"/>
    <w:rsid w:val="00831A30"/>
    <w:rsid w:val="0083211D"/>
    <w:rsid w:val="00832193"/>
    <w:rsid w:val="008322F6"/>
    <w:rsid w:val="0083248D"/>
    <w:rsid w:val="008326FC"/>
    <w:rsid w:val="0083289D"/>
    <w:rsid w:val="00832983"/>
    <w:rsid w:val="00832AE1"/>
    <w:rsid w:val="00832DA7"/>
    <w:rsid w:val="00833674"/>
    <w:rsid w:val="00833696"/>
    <w:rsid w:val="008338A3"/>
    <w:rsid w:val="00833969"/>
    <w:rsid w:val="00833FFB"/>
    <w:rsid w:val="00834194"/>
    <w:rsid w:val="008344A5"/>
    <w:rsid w:val="0083451B"/>
    <w:rsid w:val="00834554"/>
    <w:rsid w:val="00834609"/>
    <w:rsid w:val="00834625"/>
    <w:rsid w:val="0083472E"/>
    <w:rsid w:val="0083478E"/>
    <w:rsid w:val="008348CE"/>
    <w:rsid w:val="008349B4"/>
    <w:rsid w:val="00834A69"/>
    <w:rsid w:val="00834AB1"/>
    <w:rsid w:val="00834ED9"/>
    <w:rsid w:val="00834FAD"/>
    <w:rsid w:val="008353DF"/>
    <w:rsid w:val="008354BF"/>
    <w:rsid w:val="008356A1"/>
    <w:rsid w:val="0083571F"/>
    <w:rsid w:val="00835BDD"/>
    <w:rsid w:val="00835C26"/>
    <w:rsid w:val="00835F33"/>
    <w:rsid w:val="00835FCE"/>
    <w:rsid w:val="00836001"/>
    <w:rsid w:val="00836307"/>
    <w:rsid w:val="0083642E"/>
    <w:rsid w:val="008364D8"/>
    <w:rsid w:val="00836644"/>
    <w:rsid w:val="008368A9"/>
    <w:rsid w:val="00836B55"/>
    <w:rsid w:val="00836DD0"/>
    <w:rsid w:val="00836F50"/>
    <w:rsid w:val="00837700"/>
    <w:rsid w:val="0083780C"/>
    <w:rsid w:val="00837C31"/>
    <w:rsid w:val="00837F53"/>
    <w:rsid w:val="0084007E"/>
    <w:rsid w:val="008400C3"/>
    <w:rsid w:val="00840104"/>
    <w:rsid w:val="00840214"/>
    <w:rsid w:val="008406BE"/>
    <w:rsid w:val="0084079F"/>
    <w:rsid w:val="008407A4"/>
    <w:rsid w:val="00840B47"/>
    <w:rsid w:val="00840B7C"/>
    <w:rsid w:val="00840DD8"/>
    <w:rsid w:val="00841257"/>
    <w:rsid w:val="00841521"/>
    <w:rsid w:val="00841759"/>
    <w:rsid w:val="00841AD5"/>
    <w:rsid w:val="00841E52"/>
    <w:rsid w:val="008420C7"/>
    <w:rsid w:val="0084237A"/>
    <w:rsid w:val="00842540"/>
    <w:rsid w:val="0084254C"/>
    <w:rsid w:val="00842964"/>
    <w:rsid w:val="00843312"/>
    <w:rsid w:val="00843CDF"/>
    <w:rsid w:val="00843DBE"/>
    <w:rsid w:val="00843E04"/>
    <w:rsid w:val="00843E89"/>
    <w:rsid w:val="00843EC5"/>
    <w:rsid w:val="00844718"/>
    <w:rsid w:val="00844755"/>
    <w:rsid w:val="00844843"/>
    <w:rsid w:val="008448D9"/>
    <w:rsid w:val="00844AAB"/>
    <w:rsid w:val="0084509B"/>
    <w:rsid w:val="00845347"/>
    <w:rsid w:val="0084569F"/>
    <w:rsid w:val="00845923"/>
    <w:rsid w:val="00845951"/>
    <w:rsid w:val="00845F94"/>
    <w:rsid w:val="00845FB3"/>
    <w:rsid w:val="008463DA"/>
    <w:rsid w:val="00846939"/>
    <w:rsid w:val="008469C9"/>
    <w:rsid w:val="00846A34"/>
    <w:rsid w:val="00846BAD"/>
    <w:rsid w:val="00846CB2"/>
    <w:rsid w:val="00846DAD"/>
    <w:rsid w:val="00846EAA"/>
    <w:rsid w:val="008470DE"/>
    <w:rsid w:val="00847120"/>
    <w:rsid w:val="0084716D"/>
    <w:rsid w:val="008472D3"/>
    <w:rsid w:val="0084744C"/>
    <w:rsid w:val="008474CF"/>
    <w:rsid w:val="0084754C"/>
    <w:rsid w:val="0084760C"/>
    <w:rsid w:val="008479C5"/>
    <w:rsid w:val="00847B19"/>
    <w:rsid w:val="00847EFD"/>
    <w:rsid w:val="00850021"/>
    <w:rsid w:val="00850127"/>
    <w:rsid w:val="0085018A"/>
    <w:rsid w:val="00850197"/>
    <w:rsid w:val="00850329"/>
    <w:rsid w:val="00850358"/>
    <w:rsid w:val="0085073D"/>
    <w:rsid w:val="008507A1"/>
    <w:rsid w:val="00850A01"/>
    <w:rsid w:val="00850C75"/>
    <w:rsid w:val="00850D01"/>
    <w:rsid w:val="008510BD"/>
    <w:rsid w:val="0085115E"/>
    <w:rsid w:val="008512A1"/>
    <w:rsid w:val="008516FA"/>
    <w:rsid w:val="0085178A"/>
    <w:rsid w:val="00851D57"/>
    <w:rsid w:val="00851F78"/>
    <w:rsid w:val="0085234F"/>
    <w:rsid w:val="00852629"/>
    <w:rsid w:val="0085312B"/>
    <w:rsid w:val="00853629"/>
    <w:rsid w:val="008538B6"/>
    <w:rsid w:val="00853966"/>
    <w:rsid w:val="00853B12"/>
    <w:rsid w:val="00853BD1"/>
    <w:rsid w:val="00853BF4"/>
    <w:rsid w:val="00853C46"/>
    <w:rsid w:val="00853C61"/>
    <w:rsid w:val="00853DEE"/>
    <w:rsid w:val="00853E1E"/>
    <w:rsid w:val="00853F9A"/>
    <w:rsid w:val="008540E2"/>
    <w:rsid w:val="008542E5"/>
    <w:rsid w:val="008546EE"/>
    <w:rsid w:val="00854773"/>
    <w:rsid w:val="00854D04"/>
    <w:rsid w:val="00854F31"/>
    <w:rsid w:val="0085581E"/>
    <w:rsid w:val="0085582F"/>
    <w:rsid w:val="0085598F"/>
    <w:rsid w:val="00855A3A"/>
    <w:rsid w:val="00855DF7"/>
    <w:rsid w:val="00855FF0"/>
    <w:rsid w:val="00855FFA"/>
    <w:rsid w:val="008560AC"/>
    <w:rsid w:val="008560BD"/>
    <w:rsid w:val="008561D7"/>
    <w:rsid w:val="00856257"/>
    <w:rsid w:val="00856386"/>
    <w:rsid w:val="008564F2"/>
    <w:rsid w:val="00856616"/>
    <w:rsid w:val="0085667E"/>
    <w:rsid w:val="00856835"/>
    <w:rsid w:val="008568F2"/>
    <w:rsid w:val="00856900"/>
    <w:rsid w:val="00856C81"/>
    <w:rsid w:val="00856D81"/>
    <w:rsid w:val="00856F4A"/>
    <w:rsid w:val="008570DF"/>
    <w:rsid w:val="00857325"/>
    <w:rsid w:val="0085745B"/>
    <w:rsid w:val="0085755B"/>
    <w:rsid w:val="008575B9"/>
    <w:rsid w:val="00857640"/>
    <w:rsid w:val="008578F9"/>
    <w:rsid w:val="00857AD6"/>
    <w:rsid w:val="00857BF1"/>
    <w:rsid w:val="00857CA6"/>
    <w:rsid w:val="00857CDA"/>
    <w:rsid w:val="00857F6C"/>
    <w:rsid w:val="0086029E"/>
    <w:rsid w:val="00860352"/>
    <w:rsid w:val="0086062B"/>
    <w:rsid w:val="00860777"/>
    <w:rsid w:val="00860DC5"/>
    <w:rsid w:val="008610D2"/>
    <w:rsid w:val="00861115"/>
    <w:rsid w:val="0086121F"/>
    <w:rsid w:val="00861386"/>
    <w:rsid w:val="00861469"/>
    <w:rsid w:val="0086154C"/>
    <w:rsid w:val="0086172C"/>
    <w:rsid w:val="008617B3"/>
    <w:rsid w:val="008618F7"/>
    <w:rsid w:val="008619BE"/>
    <w:rsid w:val="00861B50"/>
    <w:rsid w:val="00861B88"/>
    <w:rsid w:val="00861CE9"/>
    <w:rsid w:val="008621D9"/>
    <w:rsid w:val="0086228D"/>
    <w:rsid w:val="00862437"/>
    <w:rsid w:val="00862471"/>
    <w:rsid w:val="008625F8"/>
    <w:rsid w:val="00862AAE"/>
    <w:rsid w:val="00862B28"/>
    <w:rsid w:val="00862C5E"/>
    <w:rsid w:val="00862DD6"/>
    <w:rsid w:val="00862EE1"/>
    <w:rsid w:val="008633ED"/>
    <w:rsid w:val="00863796"/>
    <w:rsid w:val="008638BC"/>
    <w:rsid w:val="00863A31"/>
    <w:rsid w:val="00863AE3"/>
    <w:rsid w:val="00863E9E"/>
    <w:rsid w:val="00863F62"/>
    <w:rsid w:val="00863F7C"/>
    <w:rsid w:val="0086407E"/>
    <w:rsid w:val="00864147"/>
    <w:rsid w:val="008643D0"/>
    <w:rsid w:val="0086460C"/>
    <w:rsid w:val="00864928"/>
    <w:rsid w:val="00864A8E"/>
    <w:rsid w:val="00864BC9"/>
    <w:rsid w:val="00865399"/>
    <w:rsid w:val="008655EC"/>
    <w:rsid w:val="00865933"/>
    <w:rsid w:val="00865A9E"/>
    <w:rsid w:val="00865CDA"/>
    <w:rsid w:val="00865DD4"/>
    <w:rsid w:val="00865E32"/>
    <w:rsid w:val="008662E6"/>
    <w:rsid w:val="00866445"/>
    <w:rsid w:val="008664EB"/>
    <w:rsid w:val="008665A2"/>
    <w:rsid w:val="00866665"/>
    <w:rsid w:val="00866684"/>
    <w:rsid w:val="008667EA"/>
    <w:rsid w:val="00866953"/>
    <w:rsid w:val="00866E0D"/>
    <w:rsid w:val="00866FA3"/>
    <w:rsid w:val="00866FBB"/>
    <w:rsid w:val="00867106"/>
    <w:rsid w:val="00867108"/>
    <w:rsid w:val="0086726E"/>
    <w:rsid w:val="0086735C"/>
    <w:rsid w:val="0086749F"/>
    <w:rsid w:val="00867888"/>
    <w:rsid w:val="00867BF4"/>
    <w:rsid w:val="00867BF7"/>
    <w:rsid w:val="00867D9B"/>
    <w:rsid w:val="00867DD7"/>
    <w:rsid w:val="00870258"/>
    <w:rsid w:val="008705FF"/>
    <w:rsid w:val="00870A7E"/>
    <w:rsid w:val="00870B3B"/>
    <w:rsid w:val="00870B95"/>
    <w:rsid w:val="00870C2F"/>
    <w:rsid w:val="00870D71"/>
    <w:rsid w:val="00870F5E"/>
    <w:rsid w:val="00871124"/>
    <w:rsid w:val="00871267"/>
    <w:rsid w:val="008712BB"/>
    <w:rsid w:val="0087130F"/>
    <w:rsid w:val="008714B6"/>
    <w:rsid w:val="008716C8"/>
    <w:rsid w:val="00871ACD"/>
    <w:rsid w:val="00871BE0"/>
    <w:rsid w:val="00871BFE"/>
    <w:rsid w:val="00871F17"/>
    <w:rsid w:val="00871F1E"/>
    <w:rsid w:val="00872035"/>
    <w:rsid w:val="00872123"/>
    <w:rsid w:val="008722F3"/>
    <w:rsid w:val="0087236E"/>
    <w:rsid w:val="00872486"/>
    <w:rsid w:val="00872488"/>
    <w:rsid w:val="008729FE"/>
    <w:rsid w:val="00872BCA"/>
    <w:rsid w:val="00872D50"/>
    <w:rsid w:val="00872DAE"/>
    <w:rsid w:val="00873326"/>
    <w:rsid w:val="00873438"/>
    <w:rsid w:val="008735BA"/>
    <w:rsid w:val="00873711"/>
    <w:rsid w:val="0087374F"/>
    <w:rsid w:val="00873859"/>
    <w:rsid w:val="00873AFF"/>
    <w:rsid w:val="00873B12"/>
    <w:rsid w:val="00873CAF"/>
    <w:rsid w:val="008740AA"/>
    <w:rsid w:val="00874115"/>
    <w:rsid w:val="00874341"/>
    <w:rsid w:val="00874449"/>
    <w:rsid w:val="008744E3"/>
    <w:rsid w:val="00874512"/>
    <w:rsid w:val="00874845"/>
    <w:rsid w:val="00874B88"/>
    <w:rsid w:val="00874C03"/>
    <w:rsid w:val="00874D22"/>
    <w:rsid w:val="00874E01"/>
    <w:rsid w:val="00874E0D"/>
    <w:rsid w:val="00874F25"/>
    <w:rsid w:val="00875164"/>
    <w:rsid w:val="0087524F"/>
    <w:rsid w:val="0087552D"/>
    <w:rsid w:val="0087560D"/>
    <w:rsid w:val="00875A61"/>
    <w:rsid w:val="00875B3A"/>
    <w:rsid w:val="00875CA9"/>
    <w:rsid w:val="00875E09"/>
    <w:rsid w:val="00875E36"/>
    <w:rsid w:val="00875E3D"/>
    <w:rsid w:val="00876031"/>
    <w:rsid w:val="0087606B"/>
    <w:rsid w:val="00876163"/>
    <w:rsid w:val="0087626E"/>
    <w:rsid w:val="008762D3"/>
    <w:rsid w:val="0087631F"/>
    <w:rsid w:val="00876448"/>
    <w:rsid w:val="00876A7D"/>
    <w:rsid w:val="00876AA3"/>
    <w:rsid w:val="00876F83"/>
    <w:rsid w:val="00877060"/>
    <w:rsid w:val="008773BC"/>
    <w:rsid w:val="0087741E"/>
    <w:rsid w:val="00877712"/>
    <w:rsid w:val="008779D3"/>
    <w:rsid w:val="00877B1A"/>
    <w:rsid w:val="00877CEC"/>
    <w:rsid w:val="00877E89"/>
    <w:rsid w:val="00877F16"/>
    <w:rsid w:val="00880065"/>
    <w:rsid w:val="00880079"/>
    <w:rsid w:val="0088027A"/>
    <w:rsid w:val="0088050D"/>
    <w:rsid w:val="008806E5"/>
    <w:rsid w:val="0088076A"/>
    <w:rsid w:val="00880924"/>
    <w:rsid w:val="0088096A"/>
    <w:rsid w:val="00880D2F"/>
    <w:rsid w:val="00880E41"/>
    <w:rsid w:val="0088118D"/>
    <w:rsid w:val="0088127D"/>
    <w:rsid w:val="0088135A"/>
    <w:rsid w:val="008815AA"/>
    <w:rsid w:val="008818A2"/>
    <w:rsid w:val="008819CB"/>
    <w:rsid w:val="00881B4C"/>
    <w:rsid w:val="00882094"/>
    <w:rsid w:val="00882098"/>
    <w:rsid w:val="008820B1"/>
    <w:rsid w:val="008821A3"/>
    <w:rsid w:val="00882292"/>
    <w:rsid w:val="0088253A"/>
    <w:rsid w:val="00882597"/>
    <w:rsid w:val="0088273B"/>
    <w:rsid w:val="0088280B"/>
    <w:rsid w:val="00882838"/>
    <w:rsid w:val="00882956"/>
    <w:rsid w:val="00882C93"/>
    <w:rsid w:val="00882D1D"/>
    <w:rsid w:val="00882D7F"/>
    <w:rsid w:val="008830A6"/>
    <w:rsid w:val="008831AF"/>
    <w:rsid w:val="00883238"/>
    <w:rsid w:val="00883395"/>
    <w:rsid w:val="008833DA"/>
    <w:rsid w:val="008834BA"/>
    <w:rsid w:val="00883555"/>
    <w:rsid w:val="00883657"/>
    <w:rsid w:val="008837E7"/>
    <w:rsid w:val="008838A7"/>
    <w:rsid w:val="00883E96"/>
    <w:rsid w:val="00883F4E"/>
    <w:rsid w:val="00883FF5"/>
    <w:rsid w:val="00883FF9"/>
    <w:rsid w:val="00884169"/>
    <w:rsid w:val="008841FA"/>
    <w:rsid w:val="00884242"/>
    <w:rsid w:val="00884305"/>
    <w:rsid w:val="00884799"/>
    <w:rsid w:val="00884F2E"/>
    <w:rsid w:val="00884F52"/>
    <w:rsid w:val="008850EC"/>
    <w:rsid w:val="008852DE"/>
    <w:rsid w:val="00885305"/>
    <w:rsid w:val="008854FF"/>
    <w:rsid w:val="00885B1D"/>
    <w:rsid w:val="00885BA6"/>
    <w:rsid w:val="00885C2F"/>
    <w:rsid w:val="00885F3C"/>
    <w:rsid w:val="0088611D"/>
    <w:rsid w:val="008865C5"/>
    <w:rsid w:val="0088668E"/>
    <w:rsid w:val="0088678A"/>
    <w:rsid w:val="0088689D"/>
    <w:rsid w:val="00886AE3"/>
    <w:rsid w:val="00886B51"/>
    <w:rsid w:val="00886B98"/>
    <w:rsid w:val="00886CE0"/>
    <w:rsid w:val="008871E2"/>
    <w:rsid w:val="00887347"/>
    <w:rsid w:val="008873D6"/>
    <w:rsid w:val="00887409"/>
    <w:rsid w:val="0088755E"/>
    <w:rsid w:val="00887598"/>
    <w:rsid w:val="0088774F"/>
    <w:rsid w:val="008877CC"/>
    <w:rsid w:val="00887862"/>
    <w:rsid w:val="00887C3E"/>
    <w:rsid w:val="00887C6D"/>
    <w:rsid w:val="00887FA3"/>
    <w:rsid w:val="00887FE0"/>
    <w:rsid w:val="00890207"/>
    <w:rsid w:val="00890B0D"/>
    <w:rsid w:val="00890E36"/>
    <w:rsid w:val="00890FDC"/>
    <w:rsid w:val="00891018"/>
    <w:rsid w:val="0089108D"/>
    <w:rsid w:val="008915BC"/>
    <w:rsid w:val="0089189D"/>
    <w:rsid w:val="008918CF"/>
    <w:rsid w:val="00891B8A"/>
    <w:rsid w:val="00891B98"/>
    <w:rsid w:val="00891C63"/>
    <w:rsid w:val="00891D1E"/>
    <w:rsid w:val="00891DFB"/>
    <w:rsid w:val="00892259"/>
    <w:rsid w:val="00892354"/>
    <w:rsid w:val="0089248E"/>
    <w:rsid w:val="008925F7"/>
    <w:rsid w:val="00892678"/>
    <w:rsid w:val="00892951"/>
    <w:rsid w:val="00893436"/>
    <w:rsid w:val="00893569"/>
    <w:rsid w:val="0089368B"/>
    <w:rsid w:val="008936F7"/>
    <w:rsid w:val="008937B0"/>
    <w:rsid w:val="00893854"/>
    <w:rsid w:val="008938C8"/>
    <w:rsid w:val="00893CBF"/>
    <w:rsid w:val="0089422C"/>
    <w:rsid w:val="008946E2"/>
    <w:rsid w:val="0089476D"/>
    <w:rsid w:val="00894AB4"/>
    <w:rsid w:val="00894B3B"/>
    <w:rsid w:val="00894EFA"/>
    <w:rsid w:val="00895259"/>
    <w:rsid w:val="00895448"/>
    <w:rsid w:val="008957B2"/>
    <w:rsid w:val="00895940"/>
    <w:rsid w:val="00895DA2"/>
    <w:rsid w:val="00895DC7"/>
    <w:rsid w:val="00895FBB"/>
    <w:rsid w:val="0089631A"/>
    <w:rsid w:val="008963A3"/>
    <w:rsid w:val="00896435"/>
    <w:rsid w:val="008969D1"/>
    <w:rsid w:val="00896A89"/>
    <w:rsid w:val="00896B54"/>
    <w:rsid w:val="00896CB2"/>
    <w:rsid w:val="00897261"/>
    <w:rsid w:val="008973D2"/>
    <w:rsid w:val="00897753"/>
    <w:rsid w:val="00897882"/>
    <w:rsid w:val="00897CAE"/>
    <w:rsid w:val="008A027B"/>
    <w:rsid w:val="008A0496"/>
    <w:rsid w:val="008A0746"/>
    <w:rsid w:val="008A0788"/>
    <w:rsid w:val="008A07E0"/>
    <w:rsid w:val="008A0829"/>
    <w:rsid w:val="008A083F"/>
    <w:rsid w:val="008A15FA"/>
    <w:rsid w:val="008A17E7"/>
    <w:rsid w:val="008A19F6"/>
    <w:rsid w:val="008A1A64"/>
    <w:rsid w:val="008A1AB7"/>
    <w:rsid w:val="008A1D90"/>
    <w:rsid w:val="008A22EA"/>
    <w:rsid w:val="008A23B5"/>
    <w:rsid w:val="008A2402"/>
    <w:rsid w:val="008A2428"/>
    <w:rsid w:val="008A2544"/>
    <w:rsid w:val="008A288F"/>
    <w:rsid w:val="008A2914"/>
    <w:rsid w:val="008A29AB"/>
    <w:rsid w:val="008A29B3"/>
    <w:rsid w:val="008A2ABC"/>
    <w:rsid w:val="008A2AE8"/>
    <w:rsid w:val="008A2BBE"/>
    <w:rsid w:val="008A2C15"/>
    <w:rsid w:val="008A2C51"/>
    <w:rsid w:val="008A2C63"/>
    <w:rsid w:val="008A2EAD"/>
    <w:rsid w:val="008A2F09"/>
    <w:rsid w:val="008A2F91"/>
    <w:rsid w:val="008A3131"/>
    <w:rsid w:val="008A32F7"/>
    <w:rsid w:val="008A38EF"/>
    <w:rsid w:val="008A4180"/>
    <w:rsid w:val="008A427D"/>
    <w:rsid w:val="008A4435"/>
    <w:rsid w:val="008A474A"/>
    <w:rsid w:val="008A47E9"/>
    <w:rsid w:val="008A48D8"/>
    <w:rsid w:val="008A4ADE"/>
    <w:rsid w:val="008A531E"/>
    <w:rsid w:val="008A534B"/>
    <w:rsid w:val="008A566B"/>
    <w:rsid w:val="008A58AF"/>
    <w:rsid w:val="008A5A40"/>
    <w:rsid w:val="008A630E"/>
    <w:rsid w:val="008A64CA"/>
    <w:rsid w:val="008A695E"/>
    <w:rsid w:val="008A6A78"/>
    <w:rsid w:val="008A6D70"/>
    <w:rsid w:val="008A6D77"/>
    <w:rsid w:val="008A6F27"/>
    <w:rsid w:val="008A7014"/>
    <w:rsid w:val="008A70C8"/>
    <w:rsid w:val="008A71BF"/>
    <w:rsid w:val="008A71E1"/>
    <w:rsid w:val="008A71E2"/>
    <w:rsid w:val="008A7344"/>
    <w:rsid w:val="008A7501"/>
    <w:rsid w:val="008A7737"/>
    <w:rsid w:val="008A7908"/>
    <w:rsid w:val="008A79F8"/>
    <w:rsid w:val="008A7B3C"/>
    <w:rsid w:val="008A7C53"/>
    <w:rsid w:val="008B0596"/>
    <w:rsid w:val="008B06AF"/>
    <w:rsid w:val="008B0761"/>
    <w:rsid w:val="008B081D"/>
    <w:rsid w:val="008B08EF"/>
    <w:rsid w:val="008B09AE"/>
    <w:rsid w:val="008B0AFB"/>
    <w:rsid w:val="008B0AFC"/>
    <w:rsid w:val="008B192D"/>
    <w:rsid w:val="008B1E01"/>
    <w:rsid w:val="008B1F53"/>
    <w:rsid w:val="008B1F84"/>
    <w:rsid w:val="008B28F9"/>
    <w:rsid w:val="008B2AEA"/>
    <w:rsid w:val="008B2BF8"/>
    <w:rsid w:val="008B2C8F"/>
    <w:rsid w:val="008B3062"/>
    <w:rsid w:val="008B3172"/>
    <w:rsid w:val="008B334F"/>
    <w:rsid w:val="008B35B1"/>
    <w:rsid w:val="008B35BE"/>
    <w:rsid w:val="008B35D2"/>
    <w:rsid w:val="008B3902"/>
    <w:rsid w:val="008B3B44"/>
    <w:rsid w:val="008B3DE4"/>
    <w:rsid w:val="008B3F2F"/>
    <w:rsid w:val="008B40BE"/>
    <w:rsid w:val="008B4336"/>
    <w:rsid w:val="008B4365"/>
    <w:rsid w:val="008B4394"/>
    <w:rsid w:val="008B4524"/>
    <w:rsid w:val="008B4819"/>
    <w:rsid w:val="008B4B9E"/>
    <w:rsid w:val="008B4BBF"/>
    <w:rsid w:val="008B4CC8"/>
    <w:rsid w:val="008B4D7B"/>
    <w:rsid w:val="008B551F"/>
    <w:rsid w:val="008B57BB"/>
    <w:rsid w:val="008B582B"/>
    <w:rsid w:val="008B59C5"/>
    <w:rsid w:val="008B5BB2"/>
    <w:rsid w:val="008B5CDB"/>
    <w:rsid w:val="008B6059"/>
    <w:rsid w:val="008B6B06"/>
    <w:rsid w:val="008B6BE5"/>
    <w:rsid w:val="008B6C2A"/>
    <w:rsid w:val="008B6D1A"/>
    <w:rsid w:val="008B6E0A"/>
    <w:rsid w:val="008B6E12"/>
    <w:rsid w:val="008B71AF"/>
    <w:rsid w:val="008B75F1"/>
    <w:rsid w:val="008C0692"/>
    <w:rsid w:val="008C08B6"/>
    <w:rsid w:val="008C0F67"/>
    <w:rsid w:val="008C0FCC"/>
    <w:rsid w:val="008C122D"/>
    <w:rsid w:val="008C19D8"/>
    <w:rsid w:val="008C1B20"/>
    <w:rsid w:val="008C1D32"/>
    <w:rsid w:val="008C1E5F"/>
    <w:rsid w:val="008C1E78"/>
    <w:rsid w:val="008C1F6B"/>
    <w:rsid w:val="008C21E2"/>
    <w:rsid w:val="008C22EB"/>
    <w:rsid w:val="008C243A"/>
    <w:rsid w:val="008C2488"/>
    <w:rsid w:val="008C24E9"/>
    <w:rsid w:val="008C2750"/>
    <w:rsid w:val="008C2A86"/>
    <w:rsid w:val="008C2C96"/>
    <w:rsid w:val="008C2D2A"/>
    <w:rsid w:val="008C3059"/>
    <w:rsid w:val="008C30C8"/>
    <w:rsid w:val="008C32C0"/>
    <w:rsid w:val="008C3341"/>
    <w:rsid w:val="008C351D"/>
    <w:rsid w:val="008C3840"/>
    <w:rsid w:val="008C38A8"/>
    <w:rsid w:val="008C3A78"/>
    <w:rsid w:val="008C3D0F"/>
    <w:rsid w:val="008C3F2E"/>
    <w:rsid w:val="008C41C2"/>
    <w:rsid w:val="008C425C"/>
    <w:rsid w:val="008C43F4"/>
    <w:rsid w:val="008C4541"/>
    <w:rsid w:val="008C4769"/>
    <w:rsid w:val="008C4993"/>
    <w:rsid w:val="008C49E8"/>
    <w:rsid w:val="008C4AB3"/>
    <w:rsid w:val="008C4BB5"/>
    <w:rsid w:val="008C4C0C"/>
    <w:rsid w:val="008C4C2C"/>
    <w:rsid w:val="008C4EB8"/>
    <w:rsid w:val="008C4FA1"/>
    <w:rsid w:val="008C5043"/>
    <w:rsid w:val="008C52C1"/>
    <w:rsid w:val="008C531A"/>
    <w:rsid w:val="008C5329"/>
    <w:rsid w:val="008C5397"/>
    <w:rsid w:val="008C53A0"/>
    <w:rsid w:val="008C53BF"/>
    <w:rsid w:val="008C5F37"/>
    <w:rsid w:val="008C649B"/>
    <w:rsid w:val="008C64C1"/>
    <w:rsid w:val="008C6705"/>
    <w:rsid w:val="008C6DCF"/>
    <w:rsid w:val="008C6E04"/>
    <w:rsid w:val="008C6EF6"/>
    <w:rsid w:val="008C70FF"/>
    <w:rsid w:val="008C7613"/>
    <w:rsid w:val="008C76CC"/>
    <w:rsid w:val="008C7902"/>
    <w:rsid w:val="008C7FC1"/>
    <w:rsid w:val="008D0024"/>
    <w:rsid w:val="008D0058"/>
    <w:rsid w:val="008D03DB"/>
    <w:rsid w:val="008D065C"/>
    <w:rsid w:val="008D0813"/>
    <w:rsid w:val="008D0C82"/>
    <w:rsid w:val="008D0E26"/>
    <w:rsid w:val="008D0EE9"/>
    <w:rsid w:val="008D0F94"/>
    <w:rsid w:val="008D1030"/>
    <w:rsid w:val="008D119C"/>
    <w:rsid w:val="008D1299"/>
    <w:rsid w:val="008D1620"/>
    <w:rsid w:val="008D17BB"/>
    <w:rsid w:val="008D1A6E"/>
    <w:rsid w:val="008D1DDD"/>
    <w:rsid w:val="008D1FB4"/>
    <w:rsid w:val="008D2122"/>
    <w:rsid w:val="008D237E"/>
    <w:rsid w:val="008D2A57"/>
    <w:rsid w:val="008D2CC9"/>
    <w:rsid w:val="008D3041"/>
    <w:rsid w:val="008D319F"/>
    <w:rsid w:val="008D333F"/>
    <w:rsid w:val="008D3398"/>
    <w:rsid w:val="008D3416"/>
    <w:rsid w:val="008D37B4"/>
    <w:rsid w:val="008D38CF"/>
    <w:rsid w:val="008D39FC"/>
    <w:rsid w:val="008D3C61"/>
    <w:rsid w:val="008D3E29"/>
    <w:rsid w:val="008D3E47"/>
    <w:rsid w:val="008D3ECF"/>
    <w:rsid w:val="008D400D"/>
    <w:rsid w:val="008D43FA"/>
    <w:rsid w:val="008D4517"/>
    <w:rsid w:val="008D4582"/>
    <w:rsid w:val="008D4789"/>
    <w:rsid w:val="008D4866"/>
    <w:rsid w:val="008D4C56"/>
    <w:rsid w:val="008D4D28"/>
    <w:rsid w:val="008D50ED"/>
    <w:rsid w:val="008D51B5"/>
    <w:rsid w:val="008D5E3B"/>
    <w:rsid w:val="008D5EEA"/>
    <w:rsid w:val="008D5F5D"/>
    <w:rsid w:val="008D6093"/>
    <w:rsid w:val="008D61B9"/>
    <w:rsid w:val="008D63A9"/>
    <w:rsid w:val="008D6570"/>
    <w:rsid w:val="008D6791"/>
    <w:rsid w:val="008D6831"/>
    <w:rsid w:val="008D6874"/>
    <w:rsid w:val="008D691A"/>
    <w:rsid w:val="008D6AE3"/>
    <w:rsid w:val="008D6C0D"/>
    <w:rsid w:val="008D6D0D"/>
    <w:rsid w:val="008D6E96"/>
    <w:rsid w:val="008D6F5D"/>
    <w:rsid w:val="008D7050"/>
    <w:rsid w:val="008D70AF"/>
    <w:rsid w:val="008D711B"/>
    <w:rsid w:val="008D72CE"/>
    <w:rsid w:val="008D7335"/>
    <w:rsid w:val="008D790D"/>
    <w:rsid w:val="008D7B8E"/>
    <w:rsid w:val="008D7BE2"/>
    <w:rsid w:val="008D7D95"/>
    <w:rsid w:val="008D7E57"/>
    <w:rsid w:val="008D7EB3"/>
    <w:rsid w:val="008E0447"/>
    <w:rsid w:val="008E0506"/>
    <w:rsid w:val="008E065E"/>
    <w:rsid w:val="008E06C4"/>
    <w:rsid w:val="008E06E1"/>
    <w:rsid w:val="008E0AE8"/>
    <w:rsid w:val="008E0CCF"/>
    <w:rsid w:val="008E0D6F"/>
    <w:rsid w:val="008E0F46"/>
    <w:rsid w:val="008E0FE0"/>
    <w:rsid w:val="008E11AC"/>
    <w:rsid w:val="008E156A"/>
    <w:rsid w:val="008E158A"/>
    <w:rsid w:val="008E166B"/>
    <w:rsid w:val="008E17FE"/>
    <w:rsid w:val="008E2663"/>
    <w:rsid w:val="008E2687"/>
    <w:rsid w:val="008E2709"/>
    <w:rsid w:val="008E2740"/>
    <w:rsid w:val="008E27F0"/>
    <w:rsid w:val="008E2CAA"/>
    <w:rsid w:val="008E2FA6"/>
    <w:rsid w:val="008E3009"/>
    <w:rsid w:val="008E3189"/>
    <w:rsid w:val="008E31D3"/>
    <w:rsid w:val="008E3368"/>
    <w:rsid w:val="008E3A31"/>
    <w:rsid w:val="008E3A4A"/>
    <w:rsid w:val="008E3DAB"/>
    <w:rsid w:val="008E3FCD"/>
    <w:rsid w:val="008E4061"/>
    <w:rsid w:val="008E40C5"/>
    <w:rsid w:val="008E421A"/>
    <w:rsid w:val="008E4298"/>
    <w:rsid w:val="008E4419"/>
    <w:rsid w:val="008E4462"/>
    <w:rsid w:val="008E45FA"/>
    <w:rsid w:val="008E47EB"/>
    <w:rsid w:val="008E4807"/>
    <w:rsid w:val="008E4A0A"/>
    <w:rsid w:val="008E4A85"/>
    <w:rsid w:val="008E4B7F"/>
    <w:rsid w:val="008E4D8E"/>
    <w:rsid w:val="008E5049"/>
    <w:rsid w:val="008E50D6"/>
    <w:rsid w:val="008E5108"/>
    <w:rsid w:val="008E5132"/>
    <w:rsid w:val="008E54EA"/>
    <w:rsid w:val="008E566B"/>
    <w:rsid w:val="008E569B"/>
    <w:rsid w:val="008E5891"/>
    <w:rsid w:val="008E59F2"/>
    <w:rsid w:val="008E5BED"/>
    <w:rsid w:val="008E5C4A"/>
    <w:rsid w:val="008E5CEE"/>
    <w:rsid w:val="008E5E22"/>
    <w:rsid w:val="008E5FE3"/>
    <w:rsid w:val="008E60F1"/>
    <w:rsid w:val="008E62AE"/>
    <w:rsid w:val="008E65E2"/>
    <w:rsid w:val="008E6820"/>
    <w:rsid w:val="008E6B4F"/>
    <w:rsid w:val="008E70A5"/>
    <w:rsid w:val="008E713A"/>
    <w:rsid w:val="008E72C1"/>
    <w:rsid w:val="008E7368"/>
    <w:rsid w:val="008E7610"/>
    <w:rsid w:val="008E76CD"/>
    <w:rsid w:val="008E775D"/>
    <w:rsid w:val="008E77B0"/>
    <w:rsid w:val="008E77EF"/>
    <w:rsid w:val="008E790B"/>
    <w:rsid w:val="008E79C9"/>
    <w:rsid w:val="008E7AE4"/>
    <w:rsid w:val="008E7B9C"/>
    <w:rsid w:val="008E7BB1"/>
    <w:rsid w:val="008E7D28"/>
    <w:rsid w:val="008F016D"/>
    <w:rsid w:val="008F019B"/>
    <w:rsid w:val="008F0317"/>
    <w:rsid w:val="008F06E6"/>
    <w:rsid w:val="008F07C3"/>
    <w:rsid w:val="008F0844"/>
    <w:rsid w:val="008F09A0"/>
    <w:rsid w:val="008F09E7"/>
    <w:rsid w:val="008F0DAB"/>
    <w:rsid w:val="008F0F9F"/>
    <w:rsid w:val="008F1075"/>
    <w:rsid w:val="008F1214"/>
    <w:rsid w:val="008F135C"/>
    <w:rsid w:val="008F137F"/>
    <w:rsid w:val="008F14C1"/>
    <w:rsid w:val="008F1572"/>
    <w:rsid w:val="008F163E"/>
    <w:rsid w:val="008F170E"/>
    <w:rsid w:val="008F172E"/>
    <w:rsid w:val="008F197C"/>
    <w:rsid w:val="008F1D8F"/>
    <w:rsid w:val="008F22BC"/>
    <w:rsid w:val="008F231E"/>
    <w:rsid w:val="008F2455"/>
    <w:rsid w:val="008F24E5"/>
    <w:rsid w:val="008F2515"/>
    <w:rsid w:val="008F253E"/>
    <w:rsid w:val="008F2754"/>
    <w:rsid w:val="008F28F2"/>
    <w:rsid w:val="008F2A4C"/>
    <w:rsid w:val="008F2B10"/>
    <w:rsid w:val="008F2EA4"/>
    <w:rsid w:val="008F2F6F"/>
    <w:rsid w:val="008F3024"/>
    <w:rsid w:val="008F306D"/>
    <w:rsid w:val="008F31BD"/>
    <w:rsid w:val="008F366B"/>
    <w:rsid w:val="008F3771"/>
    <w:rsid w:val="008F3A1E"/>
    <w:rsid w:val="008F410B"/>
    <w:rsid w:val="008F4244"/>
    <w:rsid w:val="008F4664"/>
    <w:rsid w:val="008F4693"/>
    <w:rsid w:val="008F4700"/>
    <w:rsid w:val="008F4709"/>
    <w:rsid w:val="008F486B"/>
    <w:rsid w:val="008F490D"/>
    <w:rsid w:val="008F4A9F"/>
    <w:rsid w:val="008F4DFE"/>
    <w:rsid w:val="008F4F37"/>
    <w:rsid w:val="008F50F9"/>
    <w:rsid w:val="008F5757"/>
    <w:rsid w:val="008F5C5D"/>
    <w:rsid w:val="008F5C8A"/>
    <w:rsid w:val="008F5E3A"/>
    <w:rsid w:val="008F5FC1"/>
    <w:rsid w:val="008F616A"/>
    <w:rsid w:val="008F6182"/>
    <w:rsid w:val="008F6276"/>
    <w:rsid w:val="008F675D"/>
    <w:rsid w:val="008F67DD"/>
    <w:rsid w:val="008F69F4"/>
    <w:rsid w:val="008F6C01"/>
    <w:rsid w:val="008F6C08"/>
    <w:rsid w:val="008F6C99"/>
    <w:rsid w:val="008F6F83"/>
    <w:rsid w:val="008F72CD"/>
    <w:rsid w:val="008F764E"/>
    <w:rsid w:val="008F7753"/>
    <w:rsid w:val="008F7EEA"/>
    <w:rsid w:val="008F7F98"/>
    <w:rsid w:val="00900503"/>
    <w:rsid w:val="009008BB"/>
    <w:rsid w:val="00900923"/>
    <w:rsid w:val="00900C1E"/>
    <w:rsid w:val="0090102C"/>
    <w:rsid w:val="0090107D"/>
    <w:rsid w:val="009010BE"/>
    <w:rsid w:val="0090144C"/>
    <w:rsid w:val="0090148C"/>
    <w:rsid w:val="00901671"/>
    <w:rsid w:val="0090173C"/>
    <w:rsid w:val="00901758"/>
    <w:rsid w:val="009018F7"/>
    <w:rsid w:val="00901CD6"/>
    <w:rsid w:val="00901D06"/>
    <w:rsid w:val="009024FE"/>
    <w:rsid w:val="00902627"/>
    <w:rsid w:val="0090267D"/>
    <w:rsid w:val="009028D4"/>
    <w:rsid w:val="00902A27"/>
    <w:rsid w:val="00902B6A"/>
    <w:rsid w:val="00902BD2"/>
    <w:rsid w:val="00902FDC"/>
    <w:rsid w:val="00903161"/>
    <w:rsid w:val="00903215"/>
    <w:rsid w:val="009033A9"/>
    <w:rsid w:val="009035F4"/>
    <w:rsid w:val="00903730"/>
    <w:rsid w:val="009038B4"/>
    <w:rsid w:val="009038CA"/>
    <w:rsid w:val="00903959"/>
    <w:rsid w:val="00903A19"/>
    <w:rsid w:val="00903D76"/>
    <w:rsid w:val="00903FC4"/>
    <w:rsid w:val="009041A9"/>
    <w:rsid w:val="009046D3"/>
    <w:rsid w:val="00904940"/>
    <w:rsid w:val="00904BA8"/>
    <w:rsid w:val="00904D48"/>
    <w:rsid w:val="00904F4D"/>
    <w:rsid w:val="00904F89"/>
    <w:rsid w:val="00905434"/>
    <w:rsid w:val="0090556D"/>
    <w:rsid w:val="009055E2"/>
    <w:rsid w:val="00905F27"/>
    <w:rsid w:val="009067A1"/>
    <w:rsid w:val="009068F2"/>
    <w:rsid w:val="00906D57"/>
    <w:rsid w:val="00906E72"/>
    <w:rsid w:val="00906E91"/>
    <w:rsid w:val="0090700F"/>
    <w:rsid w:val="009071F7"/>
    <w:rsid w:val="009074B2"/>
    <w:rsid w:val="00907A05"/>
    <w:rsid w:val="00907BB2"/>
    <w:rsid w:val="00907DF9"/>
    <w:rsid w:val="009101A5"/>
    <w:rsid w:val="00910515"/>
    <w:rsid w:val="00910913"/>
    <w:rsid w:val="0091093E"/>
    <w:rsid w:val="00910AB6"/>
    <w:rsid w:val="00910B8E"/>
    <w:rsid w:val="00910D3A"/>
    <w:rsid w:val="00910F8D"/>
    <w:rsid w:val="0091101D"/>
    <w:rsid w:val="009110DF"/>
    <w:rsid w:val="0091119B"/>
    <w:rsid w:val="00911239"/>
    <w:rsid w:val="00911304"/>
    <w:rsid w:val="00911635"/>
    <w:rsid w:val="009117BB"/>
    <w:rsid w:val="009118D6"/>
    <w:rsid w:val="00911A69"/>
    <w:rsid w:val="00911BEF"/>
    <w:rsid w:val="00911C25"/>
    <w:rsid w:val="00911E43"/>
    <w:rsid w:val="0091208F"/>
    <w:rsid w:val="009120DF"/>
    <w:rsid w:val="00912356"/>
    <w:rsid w:val="00912480"/>
    <w:rsid w:val="0091257F"/>
    <w:rsid w:val="009126DE"/>
    <w:rsid w:val="00912717"/>
    <w:rsid w:val="00912946"/>
    <w:rsid w:val="00912B52"/>
    <w:rsid w:val="00912BFC"/>
    <w:rsid w:val="00912D57"/>
    <w:rsid w:val="00912F0C"/>
    <w:rsid w:val="00912F35"/>
    <w:rsid w:val="00913089"/>
    <w:rsid w:val="00913178"/>
    <w:rsid w:val="009131FC"/>
    <w:rsid w:val="0091340F"/>
    <w:rsid w:val="0091353E"/>
    <w:rsid w:val="00913613"/>
    <w:rsid w:val="0091387D"/>
    <w:rsid w:val="009139D9"/>
    <w:rsid w:val="00913A56"/>
    <w:rsid w:val="00913F54"/>
    <w:rsid w:val="0091476A"/>
    <w:rsid w:val="00914B2F"/>
    <w:rsid w:val="00914BB0"/>
    <w:rsid w:val="00914EED"/>
    <w:rsid w:val="009153CD"/>
    <w:rsid w:val="0091542C"/>
    <w:rsid w:val="009154E7"/>
    <w:rsid w:val="00915743"/>
    <w:rsid w:val="009157F0"/>
    <w:rsid w:val="00915A58"/>
    <w:rsid w:val="009160D9"/>
    <w:rsid w:val="0091644D"/>
    <w:rsid w:val="009165AC"/>
    <w:rsid w:val="00916695"/>
    <w:rsid w:val="009167D1"/>
    <w:rsid w:val="00916A33"/>
    <w:rsid w:val="00916F87"/>
    <w:rsid w:val="009174CA"/>
    <w:rsid w:val="0091757F"/>
    <w:rsid w:val="009175AA"/>
    <w:rsid w:val="00917ABC"/>
    <w:rsid w:val="00917AE5"/>
    <w:rsid w:val="00917B15"/>
    <w:rsid w:val="00917C5F"/>
    <w:rsid w:val="00917C88"/>
    <w:rsid w:val="00917D27"/>
    <w:rsid w:val="00917EE9"/>
    <w:rsid w:val="00920546"/>
    <w:rsid w:val="00920AA3"/>
    <w:rsid w:val="00920C81"/>
    <w:rsid w:val="00920D14"/>
    <w:rsid w:val="00920D31"/>
    <w:rsid w:val="00921074"/>
    <w:rsid w:val="009211FF"/>
    <w:rsid w:val="00921560"/>
    <w:rsid w:val="009216E5"/>
    <w:rsid w:val="0092179B"/>
    <w:rsid w:val="00921ABA"/>
    <w:rsid w:val="00921B76"/>
    <w:rsid w:val="00921F0F"/>
    <w:rsid w:val="00922095"/>
    <w:rsid w:val="00922149"/>
    <w:rsid w:val="00922216"/>
    <w:rsid w:val="009226E8"/>
    <w:rsid w:val="00922A5C"/>
    <w:rsid w:val="00922FCF"/>
    <w:rsid w:val="009230AF"/>
    <w:rsid w:val="00923394"/>
    <w:rsid w:val="009237EC"/>
    <w:rsid w:val="009239AA"/>
    <w:rsid w:val="00923A10"/>
    <w:rsid w:val="00923BC6"/>
    <w:rsid w:val="00923D15"/>
    <w:rsid w:val="00923E77"/>
    <w:rsid w:val="00923EA8"/>
    <w:rsid w:val="00924021"/>
    <w:rsid w:val="00924234"/>
    <w:rsid w:val="009242B8"/>
    <w:rsid w:val="009243BC"/>
    <w:rsid w:val="009244B2"/>
    <w:rsid w:val="00924507"/>
    <w:rsid w:val="0092461A"/>
    <w:rsid w:val="0092476A"/>
    <w:rsid w:val="00924805"/>
    <w:rsid w:val="0092491F"/>
    <w:rsid w:val="0092535F"/>
    <w:rsid w:val="00925381"/>
    <w:rsid w:val="00925460"/>
    <w:rsid w:val="009255CE"/>
    <w:rsid w:val="00925845"/>
    <w:rsid w:val="0092585D"/>
    <w:rsid w:val="009258B4"/>
    <w:rsid w:val="00925944"/>
    <w:rsid w:val="00925A28"/>
    <w:rsid w:val="00925ADD"/>
    <w:rsid w:val="00925C04"/>
    <w:rsid w:val="00925E7A"/>
    <w:rsid w:val="00926005"/>
    <w:rsid w:val="0092603D"/>
    <w:rsid w:val="00926274"/>
    <w:rsid w:val="00926548"/>
    <w:rsid w:val="00926903"/>
    <w:rsid w:val="00926E12"/>
    <w:rsid w:val="00926E37"/>
    <w:rsid w:val="00926FAA"/>
    <w:rsid w:val="00926FE2"/>
    <w:rsid w:val="0092757E"/>
    <w:rsid w:val="009276EB"/>
    <w:rsid w:val="0092786A"/>
    <w:rsid w:val="009278DC"/>
    <w:rsid w:val="00927C97"/>
    <w:rsid w:val="00927CDE"/>
    <w:rsid w:val="00927D71"/>
    <w:rsid w:val="00927EC9"/>
    <w:rsid w:val="00927F56"/>
    <w:rsid w:val="00930251"/>
    <w:rsid w:val="00930281"/>
    <w:rsid w:val="009305D5"/>
    <w:rsid w:val="009307E5"/>
    <w:rsid w:val="00930A0C"/>
    <w:rsid w:val="00931734"/>
    <w:rsid w:val="0093186A"/>
    <w:rsid w:val="00931C10"/>
    <w:rsid w:val="0093216C"/>
    <w:rsid w:val="0093248E"/>
    <w:rsid w:val="00932650"/>
    <w:rsid w:val="00932726"/>
    <w:rsid w:val="00932926"/>
    <w:rsid w:val="00932935"/>
    <w:rsid w:val="00932EA0"/>
    <w:rsid w:val="00933464"/>
    <w:rsid w:val="009335A1"/>
    <w:rsid w:val="00933800"/>
    <w:rsid w:val="00933851"/>
    <w:rsid w:val="0093389D"/>
    <w:rsid w:val="009338C3"/>
    <w:rsid w:val="00933CC5"/>
    <w:rsid w:val="00933D4B"/>
    <w:rsid w:val="00933E02"/>
    <w:rsid w:val="00933F94"/>
    <w:rsid w:val="00933FF7"/>
    <w:rsid w:val="009340AC"/>
    <w:rsid w:val="009340D8"/>
    <w:rsid w:val="00934122"/>
    <w:rsid w:val="00934316"/>
    <w:rsid w:val="00934409"/>
    <w:rsid w:val="00934E12"/>
    <w:rsid w:val="0093519F"/>
    <w:rsid w:val="0093526C"/>
    <w:rsid w:val="009353B5"/>
    <w:rsid w:val="00935406"/>
    <w:rsid w:val="0093578B"/>
    <w:rsid w:val="009357B9"/>
    <w:rsid w:val="00935A75"/>
    <w:rsid w:val="00935B5E"/>
    <w:rsid w:val="00935BE8"/>
    <w:rsid w:val="00935DC0"/>
    <w:rsid w:val="0093618A"/>
    <w:rsid w:val="0093627F"/>
    <w:rsid w:val="009362A1"/>
    <w:rsid w:val="009362BB"/>
    <w:rsid w:val="0093633D"/>
    <w:rsid w:val="00936740"/>
    <w:rsid w:val="009367C7"/>
    <w:rsid w:val="0093694C"/>
    <w:rsid w:val="00936D4C"/>
    <w:rsid w:val="00936D79"/>
    <w:rsid w:val="00936DAB"/>
    <w:rsid w:val="009371F7"/>
    <w:rsid w:val="00937688"/>
    <w:rsid w:val="00937732"/>
    <w:rsid w:val="00937743"/>
    <w:rsid w:val="00937D21"/>
    <w:rsid w:val="00937F13"/>
    <w:rsid w:val="00940372"/>
    <w:rsid w:val="009404B8"/>
    <w:rsid w:val="00940765"/>
    <w:rsid w:val="0094079D"/>
    <w:rsid w:val="009407E2"/>
    <w:rsid w:val="00940A46"/>
    <w:rsid w:val="00940AFD"/>
    <w:rsid w:val="00941302"/>
    <w:rsid w:val="00941627"/>
    <w:rsid w:val="00941775"/>
    <w:rsid w:val="00941906"/>
    <w:rsid w:val="00941952"/>
    <w:rsid w:val="00941CE0"/>
    <w:rsid w:val="00941D66"/>
    <w:rsid w:val="0094224A"/>
    <w:rsid w:val="00942364"/>
    <w:rsid w:val="00942443"/>
    <w:rsid w:val="009424A3"/>
    <w:rsid w:val="00942870"/>
    <w:rsid w:val="00942A2B"/>
    <w:rsid w:val="00942A3D"/>
    <w:rsid w:val="00942BB0"/>
    <w:rsid w:val="00942C53"/>
    <w:rsid w:val="009431E5"/>
    <w:rsid w:val="0094323F"/>
    <w:rsid w:val="00943563"/>
    <w:rsid w:val="00943755"/>
    <w:rsid w:val="00943824"/>
    <w:rsid w:val="0094399B"/>
    <w:rsid w:val="00943BC5"/>
    <w:rsid w:val="00943C79"/>
    <w:rsid w:val="00943DDF"/>
    <w:rsid w:val="00944050"/>
    <w:rsid w:val="0094437A"/>
    <w:rsid w:val="00944653"/>
    <w:rsid w:val="009449B9"/>
    <w:rsid w:val="00944B93"/>
    <w:rsid w:val="00944D1D"/>
    <w:rsid w:val="00944F61"/>
    <w:rsid w:val="0094512C"/>
    <w:rsid w:val="00945138"/>
    <w:rsid w:val="0094543B"/>
    <w:rsid w:val="009455A0"/>
    <w:rsid w:val="00945768"/>
    <w:rsid w:val="00945780"/>
    <w:rsid w:val="009459E9"/>
    <w:rsid w:val="00945F0E"/>
    <w:rsid w:val="00946134"/>
    <w:rsid w:val="0094623E"/>
    <w:rsid w:val="0094638C"/>
    <w:rsid w:val="009463A7"/>
    <w:rsid w:val="009463B3"/>
    <w:rsid w:val="00946594"/>
    <w:rsid w:val="009466A9"/>
    <w:rsid w:val="0094671D"/>
    <w:rsid w:val="00946AAE"/>
    <w:rsid w:val="00946C07"/>
    <w:rsid w:val="00946CBB"/>
    <w:rsid w:val="00946F03"/>
    <w:rsid w:val="009470D3"/>
    <w:rsid w:val="00947115"/>
    <w:rsid w:val="009472B0"/>
    <w:rsid w:val="0094734F"/>
    <w:rsid w:val="00947447"/>
    <w:rsid w:val="00947903"/>
    <w:rsid w:val="00947A23"/>
    <w:rsid w:val="00947B95"/>
    <w:rsid w:val="00947CA6"/>
    <w:rsid w:val="00947CC6"/>
    <w:rsid w:val="009503E6"/>
    <w:rsid w:val="00950551"/>
    <w:rsid w:val="0095064B"/>
    <w:rsid w:val="009506D7"/>
    <w:rsid w:val="00950767"/>
    <w:rsid w:val="00950795"/>
    <w:rsid w:val="00950976"/>
    <w:rsid w:val="00950C6D"/>
    <w:rsid w:val="00950CB0"/>
    <w:rsid w:val="00950DE6"/>
    <w:rsid w:val="009510D3"/>
    <w:rsid w:val="009511E1"/>
    <w:rsid w:val="0095136C"/>
    <w:rsid w:val="00951389"/>
    <w:rsid w:val="009514A2"/>
    <w:rsid w:val="00951573"/>
    <w:rsid w:val="00951658"/>
    <w:rsid w:val="0095195E"/>
    <w:rsid w:val="0095196F"/>
    <w:rsid w:val="00951A6A"/>
    <w:rsid w:val="00951B6D"/>
    <w:rsid w:val="00951C2C"/>
    <w:rsid w:val="00951C7C"/>
    <w:rsid w:val="00951F25"/>
    <w:rsid w:val="00951F4C"/>
    <w:rsid w:val="00951FB5"/>
    <w:rsid w:val="00952073"/>
    <w:rsid w:val="009522E4"/>
    <w:rsid w:val="00952544"/>
    <w:rsid w:val="0095267A"/>
    <w:rsid w:val="009529C3"/>
    <w:rsid w:val="00952AFC"/>
    <w:rsid w:val="00952B4E"/>
    <w:rsid w:val="00952CBE"/>
    <w:rsid w:val="00952DC1"/>
    <w:rsid w:val="00952DF7"/>
    <w:rsid w:val="00952F4A"/>
    <w:rsid w:val="0095320A"/>
    <w:rsid w:val="00953594"/>
    <w:rsid w:val="009536A2"/>
    <w:rsid w:val="00953CE0"/>
    <w:rsid w:val="00953D6A"/>
    <w:rsid w:val="00954273"/>
    <w:rsid w:val="00954425"/>
    <w:rsid w:val="0095447B"/>
    <w:rsid w:val="009546EC"/>
    <w:rsid w:val="009548CD"/>
    <w:rsid w:val="00954906"/>
    <w:rsid w:val="00954951"/>
    <w:rsid w:val="00954AAE"/>
    <w:rsid w:val="00954B38"/>
    <w:rsid w:val="00954BE0"/>
    <w:rsid w:val="00954D8F"/>
    <w:rsid w:val="00955008"/>
    <w:rsid w:val="00955052"/>
    <w:rsid w:val="009551A7"/>
    <w:rsid w:val="00955212"/>
    <w:rsid w:val="0095567A"/>
    <w:rsid w:val="0095571C"/>
    <w:rsid w:val="0095579B"/>
    <w:rsid w:val="00955B98"/>
    <w:rsid w:val="00955E25"/>
    <w:rsid w:val="00955EB7"/>
    <w:rsid w:val="00955F09"/>
    <w:rsid w:val="00955F54"/>
    <w:rsid w:val="00956397"/>
    <w:rsid w:val="00956451"/>
    <w:rsid w:val="009564D5"/>
    <w:rsid w:val="009566D0"/>
    <w:rsid w:val="00956703"/>
    <w:rsid w:val="009567AE"/>
    <w:rsid w:val="00956B75"/>
    <w:rsid w:val="00956B88"/>
    <w:rsid w:val="00956C1F"/>
    <w:rsid w:val="00957341"/>
    <w:rsid w:val="00957769"/>
    <w:rsid w:val="009577D9"/>
    <w:rsid w:val="00957ACE"/>
    <w:rsid w:val="00957C88"/>
    <w:rsid w:val="00957CF6"/>
    <w:rsid w:val="00960389"/>
    <w:rsid w:val="00960495"/>
    <w:rsid w:val="009606DC"/>
    <w:rsid w:val="00960709"/>
    <w:rsid w:val="00960995"/>
    <w:rsid w:val="00960BFF"/>
    <w:rsid w:val="00960C76"/>
    <w:rsid w:val="00960D90"/>
    <w:rsid w:val="009610D3"/>
    <w:rsid w:val="009612DA"/>
    <w:rsid w:val="009614FC"/>
    <w:rsid w:val="009616BC"/>
    <w:rsid w:val="00961ABF"/>
    <w:rsid w:val="00961AF3"/>
    <w:rsid w:val="00961D99"/>
    <w:rsid w:val="00962019"/>
    <w:rsid w:val="00962024"/>
    <w:rsid w:val="009621C3"/>
    <w:rsid w:val="009625B8"/>
    <w:rsid w:val="009625CE"/>
    <w:rsid w:val="00962733"/>
    <w:rsid w:val="00962CAB"/>
    <w:rsid w:val="00962DBA"/>
    <w:rsid w:val="0096300B"/>
    <w:rsid w:val="00963031"/>
    <w:rsid w:val="009632E5"/>
    <w:rsid w:val="00963993"/>
    <w:rsid w:val="00963F88"/>
    <w:rsid w:val="00964087"/>
    <w:rsid w:val="0096408C"/>
    <w:rsid w:val="009640D0"/>
    <w:rsid w:val="00964300"/>
    <w:rsid w:val="009643AA"/>
    <w:rsid w:val="0096454A"/>
    <w:rsid w:val="009645CE"/>
    <w:rsid w:val="0096479C"/>
    <w:rsid w:val="009647CB"/>
    <w:rsid w:val="00964E94"/>
    <w:rsid w:val="00964F34"/>
    <w:rsid w:val="00964F55"/>
    <w:rsid w:val="00965099"/>
    <w:rsid w:val="009654E1"/>
    <w:rsid w:val="00965622"/>
    <w:rsid w:val="00965805"/>
    <w:rsid w:val="00965AD2"/>
    <w:rsid w:val="00965C0C"/>
    <w:rsid w:val="00965CD0"/>
    <w:rsid w:val="00966303"/>
    <w:rsid w:val="0096654D"/>
    <w:rsid w:val="009665FA"/>
    <w:rsid w:val="00966814"/>
    <w:rsid w:val="0096681E"/>
    <w:rsid w:val="00966A51"/>
    <w:rsid w:val="00966BF8"/>
    <w:rsid w:val="009672E3"/>
    <w:rsid w:val="00967358"/>
    <w:rsid w:val="009674BA"/>
    <w:rsid w:val="009674E2"/>
    <w:rsid w:val="00967548"/>
    <w:rsid w:val="00967781"/>
    <w:rsid w:val="00967BDD"/>
    <w:rsid w:val="00967F31"/>
    <w:rsid w:val="009700D0"/>
    <w:rsid w:val="00970210"/>
    <w:rsid w:val="00970214"/>
    <w:rsid w:val="0097054B"/>
    <w:rsid w:val="00970573"/>
    <w:rsid w:val="00970595"/>
    <w:rsid w:val="0097070F"/>
    <w:rsid w:val="00970A3E"/>
    <w:rsid w:val="00970AF8"/>
    <w:rsid w:val="00970B98"/>
    <w:rsid w:val="0097106E"/>
    <w:rsid w:val="00971157"/>
    <w:rsid w:val="00971400"/>
    <w:rsid w:val="00971463"/>
    <w:rsid w:val="009714E1"/>
    <w:rsid w:val="00971588"/>
    <w:rsid w:val="009715D5"/>
    <w:rsid w:val="00971AD5"/>
    <w:rsid w:val="00971B75"/>
    <w:rsid w:val="00971CA0"/>
    <w:rsid w:val="00971CAF"/>
    <w:rsid w:val="00971EA7"/>
    <w:rsid w:val="00972396"/>
    <w:rsid w:val="00972729"/>
    <w:rsid w:val="009728C5"/>
    <w:rsid w:val="00972955"/>
    <w:rsid w:val="00972C26"/>
    <w:rsid w:val="00972CF4"/>
    <w:rsid w:val="00972E9D"/>
    <w:rsid w:val="00972F8C"/>
    <w:rsid w:val="0097343E"/>
    <w:rsid w:val="00973510"/>
    <w:rsid w:val="00973521"/>
    <w:rsid w:val="0097371C"/>
    <w:rsid w:val="00973856"/>
    <w:rsid w:val="00973BE5"/>
    <w:rsid w:val="00973D1F"/>
    <w:rsid w:val="00973FAA"/>
    <w:rsid w:val="009741A9"/>
    <w:rsid w:val="00974225"/>
    <w:rsid w:val="00974389"/>
    <w:rsid w:val="0097458A"/>
    <w:rsid w:val="009745B6"/>
    <w:rsid w:val="0097466B"/>
    <w:rsid w:val="00974735"/>
    <w:rsid w:val="00974B2D"/>
    <w:rsid w:val="00974BE9"/>
    <w:rsid w:val="00974D9E"/>
    <w:rsid w:val="00974E65"/>
    <w:rsid w:val="0097511B"/>
    <w:rsid w:val="009754B3"/>
    <w:rsid w:val="00975576"/>
    <w:rsid w:val="009756A2"/>
    <w:rsid w:val="009757B7"/>
    <w:rsid w:val="0097585B"/>
    <w:rsid w:val="009759D1"/>
    <w:rsid w:val="00975B46"/>
    <w:rsid w:val="00975B88"/>
    <w:rsid w:val="00975F87"/>
    <w:rsid w:val="0097606D"/>
    <w:rsid w:val="0097620E"/>
    <w:rsid w:val="009762E9"/>
    <w:rsid w:val="009766B8"/>
    <w:rsid w:val="00976711"/>
    <w:rsid w:val="009767F0"/>
    <w:rsid w:val="00976847"/>
    <w:rsid w:val="00976C64"/>
    <w:rsid w:val="0097716E"/>
    <w:rsid w:val="00977220"/>
    <w:rsid w:val="00977313"/>
    <w:rsid w:val="00977318"/>
    <w:rsid w:val="009775D8"/>
    <w:rsid w:val="009775F9"/>
    <w:rsid w:val="009775FC"/>
    <w:rsid w:val="00977646"/>
    <w:rsid w:val="0097775D"/>
    <w:rsid w:val="00977826"/>
    <w:rsid w:val="009778EF"/>
    <w:rsid w:val="00977A35"/>
    <w:rsid w:val="00977D69"/>
    <w:rsid w:val="00980178"/>
    <w:rsid w:val="00980297"/>
    <w:rsid w:val="0098031D"/>
    <w:rsid w:val="009804C8"/>
    <w:rsid w:val="009806B5"/>
    <w:rsid w:val="009807EC"/>
    <w:rsid w:val="00980BD9"/>
    <w:rsid w:val="00980D36"/>
    <w:rsid w:val="00980F99"/>
    <w:rsid w:val="00981100"/>
    <w:rsid w:val="009812AE"/>
    <w:rsid w:val="0098156C"/>
    <w:rsid w:val="00981A9A"/>
    <w:rsid w:val="00982432"/>
    <w:rsid w:val="009825DC"/>
    <w:rsid w:val="0098280B"/>
    <w:rsid w:val="00982B91"/>
    <w:rsid w:val="00982CD1"/>
    <w:rsid w:val="00982F43"/>
    <w:rsid w:val="009830AD"/>
    <w:rsid w:val="0098322E"/>
    <w:rsid w:val="00983563"/>
    <w:rsid w:val="009835D2"/>
    <w:rsid w:val="009836DF"/>
    <w:rsid w:val="009836E7"/>
    <w:rsid w:val="00983764"/>
    <w:rsid w:val="009838F7"/>
    <w:rsid w:val="00983A13"/>
    <w:rsid w:val="00983A64"/>
    <w:rsid w:val="00983C6C"/>
    <w:rsid w:val="00983ECB"/>
    <w:rsid w:val="00984038"/>
    <w:rsid w:val="00984155"/>
    <w:rsid w:val="009844B5"/>
    <w:rsid w:val="00984532"/>
    <w:rsid w:val="009845FF"/>
    <w:rsid w:val="009849B8"/>
    <w:rsid w:val="00984A4B"/>
    <w:rsid w:val="00984D35"/>
    <w:rsid w:val="00984E7E"/>
    <w:rsid w:val="00984F18"/>
    <w:rsid w:val="009851E2"/>
    <w:rsid w:val="00985205"/>
    <w:rsid w:val="0098551D"/>
    <w:rsid w:val="009855BE"/>
    <w:rsid w:val="00985791"/>
    <w:rsid w:val="00985858"/>
    <w:rsid w:val="00985AD9"/>
    <w:rsid w:val="00985CAF"/>
    <w:rsid w:val="00985E62"/>
    <w:rsid w:val="00985F18"/>
    <w:rsid w:val="0098601B"/>
    <w:rsid w:val="00986573"/>
    <w:rsid w:val="009865FA"/>
    <w:rsid w:val="009868BC"/>
    <w:rsid w:val="00986916"/>
    <w:rsid w:val="00986A21"/>
    <w:rsid w:val="00986C8E"/>
    <w:rsid w:val="00986D49"/>
    <w:rsid w:val="00986E0E"/>
    <w:rsid w:val="00986FE4"/>
    <w:rsid w:val="0098718E"/>
    <w:rsid w:val="0098734E"/>
    <w:rsid w:val="00987367"/>
    <w:rsid w:val="00987783"/>
    <w:rsid w:val="00987CF3"/>
    <w:rsid w:val="00987D0D"/>
    <w:rsid w:val="0099022F"/>
    <w:rsid w:val="00990518"/>
    <w:rsid w:val="00990704"/>
    <w:rsid w:val="00990769"/>
    <w:rsid w:val="00990AB2"/>
    <w:rsid w:val="00990B3F"/>
    <w:rsid w:val="00990DC5"/>
    <w:rsid w:val="00990F29"/>
    <w:rsid w:val="00990F7E"/>
    <w:rsid w:val="0099123B"/>
    <w:rsid w:val="00991320"/>
    <w:rsid w:val="0099141C"/>
    <w:rsid w:val="00991A35"/>
    <w:rsid w:val="00991A92"/>
    <w:rsid w:val="00991C12"/>
    <w:rsid w:val="00991C77"/>
    <w:rsid w:val="00991D06"/>
    <w:rsid w:val="00991E60"/>
    <w:rsid w:val="00991E96"/>
    <w:rsid w:val="00991EE4"/>
    <w:rsid w:val="0099234D"/>
    <w:rsid w:val="00992364"/>
    <w:rsid w:val="00992399"/>
    <w:rsid w:val="009923F1"/>
    <w:rsid w:val="0099240A"/>
    <w:rsid w:val="009925AC"/>
    <w:rsid w:val="009928DC"/>
    <w:rsid w:val="00992932"/>
    <w:rsid w:val="009935B9"/>
    <w:rsid w:val="00993AA3"/>
    <w:rsid w:val="00993EF5"/>
    <w:rsid w:val="009940F4"/>
    <w:rsid w:val="0099449A"/>
    <w:rsid w:val="00994CC3"/>
    <w:rsid w:val="00994D4D"/>
    <w:rsid w:val="00994FA5"/>
    <w:rsid w:val="0099518E"/>
    <w:rsid w:val="0099533E"/>
    <w:rsid w:val="00995389"/>
    <w:rsid w:val="0099583B"/>
    <w:rsid w:val="00995AC4"/>
    <w:rsid w:val="00995B33"/>
    <w:rsid w:val="00995B64"/>
    <w:rsid w:val="00995DDC"/>
    <w:rsid w:val="00995ECD"/>
    <w:rsid w:val="009960A5"/>
    <w:rsid w:val="0099618B"/>
    <w:rsid w:val="009961A7"/>
    <w:rsid w:val="00996482"/>
    <w:rsid w:val="009967D1"/>
    <w:rsid w:val="009967E7"/>
    <w:rsid w:val="009967F5"/>
    <w:rsid w:val="0099684E"/>
    <w:rsid w:val="009968DD"/>
    <w:rsid w:val="00996E4C"/>
    <w:rsid w:val="00996F45"/>
    <w:rsid w:val="0099715A"/>
    <w:rsid w:val="00997162"/>
    <w:rsid w:val="00997243"/>
    <w:rsid w:val="00997329"/>
    <w:rsid w:val="009974B3"/>
    <w:rsid w:val="00997A85"/>
    <w:rsid w:val="00997DEC"/>
    <w:rsid w:val="009A0332"/>
    <w:rsid w:val="009A04E5"/>
    <w:rsid w:val="009A05ED"/>
    <w:rsid w:val="009A0D29"/>
    <w:rsid w:val="009A0F6B"/>
    <w:rsid w:val="009A1223"/>
    <w:rsid w:val="009A130C"/>
    <w:rsid w:val="009A1383"/>
    <w:rsid w:val="009A142D"/>
    <w:rsid w:val="009A15B7"/>
    <w:rsid w:val="009A18E9"/>
    <w:rsid w:val="009A1A38"/>
    <w:rsid w:val="009A1B56"/>
    <w:rsid w:val="009A1BBA"/>
    <w:rsid w:val="009A1C48"/>
    <w:rsid w:val="009A1EDD"/>
    <w:rsid w:val="009A1F7C"/>
    <w:rsid w:val="009A2088"/>
    <w:rsid w:val="009A20A6"/>
    <w:rsid w:val="009A20E4"/>
    <w:rsid w:val="009A21E9"/>
    <w:rsid w:val="009A22FD"/>
    <w:rsid w:val="009A24C3"/>
    <w:rsid w:val="009A2A18"/>
    <w:rsid w:val="009A2A1E"/>
    <w:rsid w:val="009A2ACC"/>
    <w:rsid w:val="009A2B0D"/>
    <w:rsid w:val="009A2B4E"/>
    <w:rsid w:val="009A2F0B"/>
    <w:rsid w:val="009A3259"/>
    <w:rsid w:val="009A33F6"/>
    <w:rsid w:val="009A35CB"/>
    <w:rsid w:val="009A3E13"/>
    <w:rsid w:val="009A3E46"/>
    <w:rsid w:val="009A4151"/>
    <w:rsid w:val="009A4154"/>
    <w:rsid w:val="009A4448"/>
    <w:rsid w:val="009A4456"/>
    <w:rsid w:val="009A449F"/>
    <w:rsid w:val="009A4584"/>
    <w:rsid w:val="009A472C"/>
    <w:rsid w:val="009A490D"/>
    <w:rsid w:val="009A49BE"/>
    <w:rsid w:val="009A4CCB"/>
    <w:rsid w:val="009A4D06"/>
    <w:rsid w:val="009A51D6"/>
    <w:rsid w:val="009A546C"/>
    <w:rsid w:val="009A559A"/>
    <w:rsid w:val="009A58B1"/>
    <w:rsid w:val="009A5C45"/>
    <w:rsid w:val="009A5D56"/>
    <w:rsid w:val="009A5E3F"/>
    <w:rsid w:val="009A5E51"/>
    <w:rsid w:val="009A61B8"/>
    <w:rsid w:val="009A635E"/>
    <w:rsid w:val="009A637D"/>
    <w:rsid w:val="009A63B2"/>
    <w:rsid w:val="009A65B3"/>
    <w:rsid w:val="009A6606"/>
    <w:rsid w:val="009A6FAB"/>
    <w:rsid w:val="009A6FCE"/>
    <w:rsid w:val="009A73B3"/>
    <w:rsid w:val="009A7663"/>
    <w:rsid w:val="009A76BB"/>
    <w:rsid w:val="009A77E2"/>
    <w:rsid w:val="009A7BDC"/>
    <w:rsid w:val="009A7C86"/>
    <w:rsid w:val="009A7CC4"/>
    <w:rsid w:val="009A7EAB"/>
    <w:rsid w:val="009B03BF"/>
    <w:rsid w:val="009B0AC4"/>
    <w:rsid w:val="009B0D8A"/>
    <w:rsid w:val="009B0EEB"/>
    <w:rsid w:val="009B1145"/>
    <w:rsid w:val="009B14D3"/>
    <w:rsid w:val="009B16F8"/>
    <w:rsid w:val="009B1AC4"/>
    <w:rsid w:val="009B1EF5"/>
    <w:rsid w:val="009B228E"/>
    <w:rsid w:val="009B22B3"/>
    <w:rsid w:val="009B2300"/>
    <w:rsid w:val="009B23B8"/>
    <w:rsid w:val="009B26B8"/>
    <w:rsid w:val="009B29D1"/>
    <w:rsid w:val="009B2C76"/>
    <w:rsid w:val="009B2E5B"/>
    <w:rsid w:val="009B2F87"/>
    <w:rsid w:val="009B3069"/>
    <w:rsid w:val="009B3362"/>
    <w:rsid w:val="009B3564"/>
    <w:rsid w:val="009B35E5"/>
    <w:rsid w:val="009B37C2"/>
    <w:rsid w:val="009B3B57"/>
    <w:rsid w:val="009B3F1F"/>
    <w:rsid w:val="009B4226"/>
    <w:rsid w:val="009B42EA"/>
    <w:rsid w:val="009B44C3"/>
    <w:rsid w:val="009B4552"/>
    <w:rsid w:val="009B4789"/>
    <w:rsid w:val="009B48E6"/>
    <w:rsid w:val="009B4A2E"/>
    <w:rsid w:val="009B4BDD"/>
    <w:rsid w:val="009B4EC7"/>
    <w:rsid w:val="009B558C"/>
    <w:rsid w:val="009B559A"/>
    <w:rsid w:val="009B5A25"/>
    <w:rsid w:val="009B5ABB"/>
    <w:rsid w:val="009B5AD1"/>
    <w:rsid w:val="009B5AE1"/>
    <w:rsid w:val="009B5CEE"/>
    <w:rsid w:val="009B5D50"/>
    <w:rsid w:val="009B5DA4"/>
    <w:rsid w:val="009B5EA4"/>
    <w:rsid w:val="009B5FA8"/>
    <w:rsid w:val="009B6154"/>
    <w:rsid w:val="009B6D40"/>
    <w:rsid w:val="009B6D81"/>
    <w:rsid w:val="009B6E0D"/>
    <w:rsid w:val="009B7067"/>
    <w:rsid w:val="009B70F8"/>
    <w:rsid w:val="009B7414"/>
    <w:rsid w:val="009B776E"/>
    <w:rsid w:val="009B7922"/>
    <w:rsid w:val="009B797C"/>
    <w:rsid w:val="009B7AC6"/>
    <w:rsid w:val="009B7C4B"/>
    <w:rsid w:val="009B7D17"/>
    <w:rsid w:val="009C014C"/>
    <w:rsid w:val="009C070F"/>
    <w:rsid w:val="009C0D39"/>
    <w:rsid w:val="009C0DCF"/>
    <w:rsid w:val="009C0DFC"/>
    <w:rsid w:val="009C1766"/>
    <w:rsid w:val="009C19C1"/>
    <w:rsid w:val="009C1A75"/>
    <w:rsid w:val="009C1AF0"/>
    <w:rsid w:val="009C1B23"/>
    <w:rsid w:val="009C1CE2"/>
    <w:rsid w:val="009C1EF5"/>
    <w:rsid w:val="009C21F8"/>
    <w:rsid w:val="009C2458"/>
    <w:rsid w:val="009C2789"/>
    <w:rsid w:val="009C2797"/>
    <w:rsid w:val="009C2DFD"/>
    <w:rsid w:val="009C34B7"/>
    <w:rsid w:val="009C35E2"/>
    <w:rsid w:val="009C376A"/>
    <w:rsid w:val="009C3809"/>
    <w:rsid w:val="009C432E"/>
    <w:rsid w:val="009C443E"/>
    <w:rsid w:val="009C4502"/>
    <w:rsid w:val="009C49E8"/>
    <w:rsid w:val="009C4CC2"/>
    <w:rsid w:val="009C51BD"/>
    <w:rsid w:val="009C5280"/>
    <w:rsid w:val="009C52E7"/>
    <w:rsid w:val="009C571C"/>
    <w:rsid w:val="009C58EF"/>
    <w:rsid w:val="009C5AAE"/>
    <w:rsid w:val="009C5AB6"/>
    <w:rsid w:val="009C5C8E"/>
    <w:rsid w:val="009C5CE9"/>
    <w:rsid w:val="009C5FCE"/>
    <w:rsid w:val="009C5FDE"/>
    <w:rsid w:val="009C610C"/>
    <w:rsid w:val="009C63BA"/>
    <w:rsid w:val="009C68D1"/>
    <w:rsid w:val="009C6ABF"/>
    <w:rsid w:val="009C6C1A"/>
    <w:rsid w:val="009C6FCB"/>
    <w:rsid w:val="009C728B"/>
    <w:rsid w:val="009C7735"/>
    <w:rsid w:val="009C7794"/>
    <w:rsid w:val="009C77E0"/>
    <w:rsid w:val="009C7849"/>
    <w:rsid w:val="009C78BD"/>
    <w:rsid w:val="009C79D3"/>
    <w:rsid w:val="009C7FD1"/>
    <w:rsid w:val="009D0074"/>
    <w:rsid w:val="009D020C"/>
    <w:rsid w:val="009D041B"/>
    <w:rsid w:val="009D0476"/>
    <w:rsid w:val="009D047C"/>
    <w:rsid w:val="009D0513"/>
    <w:rsid w:val="009D0637"/>
    <w:rsid w:val="009D0687"/>
    <w:rsid w:val="009D077F"/>
    <w:rsid w:val="009D098D"/>
    <w:rsid w:val="009D0A3C"/>
    <w:rsid w:val="009D0C90"/>
    <w:rsid w:val="009D1047"/>
    <w:rsid w:val="009D12FF"/>
    <w:rsid w:val="009D1406"/>
    <w:rsid w:val="009D1698"/>
    <w:rsid w:val="009D1736"/>
    <w:rsid w:val="009D18AB"/>
    <w:rsid w:val="009D1A0E"/>
    <w:rsid w:val="009D1B4B"/>
    <w:rsid w:val="009D2277"/>
    <w:rsid w:val="009D247B"/>
    <w:rsid w:val="009D2507"/>
    <w:rsid w:val="009D26EE"/>
    <w:rsid w:val="009D27A3"/>
    <w:rsid w:val="009D285B"/>
    <w:rsid w:val="009D2A89"/>
    <w:rsid w:val="009D2DEF"/>
    <w:rsid w:val="009D2FB7"/>
    <w:rsid w:val="009D30FE"/>
    <w:rsid w:val="009D338E"/>
    <w:rsid w:val="009D35E6"/>
    <w:rsid w:val="009D364A"/>
    <w:rsid w:val="009D370B"/>
    <w:rsid w:val="009D37E9"/>
    <w:rsid w:val="009D38BD"/>
    <w:rsid w:val="009D3CAA"/>
    <w:rsid w:val="009D3EDE"/>
    <w:rsid w:val="009D3FD8"/>
    <w:rsid w:val="009D408C"/>
    <w:rsid w:val="009D42E6"/>
    <w:rsid w:val="009D46E0"/>
    <w:rsid w:val="009D47B9"/>
    <w:rsid w:val="009D492B"/>
    <w:rsid w:val="009D4CD1"/>
    <w:rsid w:val="009D4D90"/>
    <w:rsid w:val="009D4DE9"/>
    <w:rsid w:val="009D51C4"/>
    <w:rsid w:val="009D5280"/>
    <w:rsid w:val="009D52EF"/>
    <w:rsid w:val="009D5759"/>
    <w:rsid w:val="009D59E0"/>
    <w:rsid w:val="009D59F9"/>
    <w:rsid w:val="009D5A9D"/>
    <w:rsid w:val="009D5BB0"/>
    <w:rsid w:val="009D6031"/>
    <w:rsid w:val="009D6510"/>
    <w:rsid w:val="009D66EC"/>
    <w:rsid w:val="009D6777"/>
    <w:rsid w:val="009D688B"/>
    <w:rsid w:val="009D6A1B"/>
    <w:rsid w:val="009D6AB2"/>
    <w:rsid w:val="009D6B66"/>
    <w:rsid w:val="009D6C21"/>
    <w:rsid w:val="009D7585"/>
    <w:rsid w:val="009D7B6D"/>
    <w:rsid w:val="009D7BE8"/>
    <w:rsid w:val="009D7C9E"/>
    <w:rsid w:val="009D7DA0"/>
    <w:rsid w:val="009E00BA"/>
    <w:rsid w:val="009E020C"/>
    <w:rsid w:val="009E0221"/>
    <w:rsid w:val="009E02D1"/>
    <w:rsid w:val="009E04B3"/>
    <w:rsid w:val="009E09BD"/>
    <w:rsid w:val="009E0A3E"/>
    <w:rsid w:val="009E0DDD"/>
    <w:rsid w:val="009E0E04"/>
    <w:rsid w:val="009E0FE0"/>
    <w:rsid w:val="009E1156"/>
    <w:rsid w:val="009E160B"/>
    <w:rsid w:val="009E163D"/>
    <w:rsid w:val="009E18A7"/>
    <w:rsid w:val="009E1A78"/>
    <w:rsid w:val="009E1B0B"/>
    <w:rsid w:val="009E202A"/>
    <w:rsid w:val="009E216B"/>
    <w:rsid w:val="009E21E9"/>
    <w:rsid w:val="009E23E1"/>
    <w:rsid w:val="009E2484"/>
    <w:rsid w:val="009E2555"/>
    <w:rsid w:val="009E2610"/>
    <w:rsid w:val="009E28DD"/>
    <w:rsid w:val="009E2A75"/>
    <w:rsid w:val="009E2CB7"/>
    <w:rsid w:val="009E2CE2"/>
    <w:rsid w:val="009E2EA8"/>
    <w:rsid w:val="009E3432"/>
    <w:rsid w:val="009E3816"/>
    <w:rsid w:val="009E420C"/>
    <w:rsid w:val="009E4270"/>
    <w:rsid w:val="009E4381"/>
    <w:rsid w:val="009E4545"/>
    <w:rsid w:val="009E4677"/>
    <w:rsid w:val="009E4913"/>
    <w:rsid w:val="009E4950"/>
    <w:rsid w:val="009E4A6A"/>
    <w:rsid w:val="009E4AFC"/>
    <w:rsid w:val="009E4F72"/>
    <w:rsid w:val="009E553F"/>
    <w:rsid w:val="009E5595"/>
    <w:rsid w:val="009E574E"/>
    <w:rsid w:val="009E58EB"/>
    <w:rsid w:val="009E5968"/>
    <w:rsid w:val="009E5AB1"/>
    <w:rsid w:val="009E5AD4"/>
    <w:rsid w:val="009E5B40"/>
    <w:rsid w:val="009E5CF4"/>
    <w:rsid w:val="009E5D08"/>
    <w:rsid w:val="009E5D29"/>
    <w:rsid w:val="009E5D4A"/>
    <w:rsid w:val="009E5DFA"/>
    <w:rsid w:val="009E5F61"/>
    <w:rsid w:val="009E5F82"/>
    <w:rsid w:val="009E60F2"/>
    <w:rsid w:val="009E62DF"/>
    <w:rsid w:val="009E62FF"/>
    <w:rsid w:val="009E6311"/>
    <w:rsid w:val="009E63B4"/>
    <w:rsid w:val="009E65B1"/>
    <w:rsid w:val="009E65F2"/>
    <w:rsid w:val="009E6611"/>
    <w:rsid w:val="009E67F4"/>
    <w:rsid w:val="009E6802"/>
    <w:rsid w:val="009E6A59"/>
    <w:rsid w:val="009E6BF3"/>
    <w:rsid w:val="009E6C44"/>
    <w:rsid w:val="009E6DC7"/>
    <w:rsid w:val="009E701B"/>
    <w:rsid w:val="009E7567"/>
    <w:rsid w:val="009E7621"/>
    <w:rsid w:val="009E769D"/>
    <w:rsid w:val="009E7E23"/>
    <w:rsid w:val="009F0303"/>
    <w:rsid w:val="009F0597"/>
    <w:rsid w:val="009F068D"/>
    <w:rsid w:val="009F07B6"/>
    <w:rsid w:val="009F0A04"/>
    <w:rsid w:val="009F0D52"/>
    <w:rsid w:val="009F0DFD"/>
    <w:rsid w:val="009F0E51"/>
    <w:rsid w:val="009F1034"/>
    <w:rsid w:val="009F114C"/>
    <w:rsid w:val="009F1262"/>
    <w:rsid w:val="009F1431"/>
    <w:rsid w:val="009F1507"/>
    <w:rsid w:val="009F1596"/>
    <w:rsid w:val="009F15AC"/>
    <w:rsid w:val="009F1707"/>
    <w:rsid w:val="009F17FC"/>
    <w:rsid w:val="009F1853"/>
    <w:rsid w:val="009F1869"/>
    <w:rsid w:val="009F1CE8"/>
    <w:rsid w:val="009F1DDB"/>
    <w:rsid w:val="009F1EDF"/>
    <w:rsid w:val="009F2870"/>
    <w:rsid w:val="009F2F46"/>
    <w:rsid w:val="009F30FE"/>
    <w:rsid w:val="009F33A5"/>
    <w:rsid w:val="009F34BF"/>
    <w:rsid w:val="009F3769"/>
    <w:rsid w:val="009F37F0"/>
    <w:rsid w:val="009F3C27"/>
    <w:rsid w:val="009F3F23"/>
    <w:rsid w:val="009F3F5A"/>
    <w:rsid w:val="009F4292"/>
    <w:rsid w:val="009F45DA"/>
    <w:rsid w:val="009F483B"/>
    <w:rsid w:val="009F4A38"/>
    <w:rsid w:val="009F4BD6"/>
    <w:rsid w:val="009F4D02"/>
    <w:rsid w:val="009F4D1B"/>
    <w:rsid w:val="009F4E22"/>
    <w:rsid w:val="009F53E6"/>
    <w:rsid w:val="009F5623"/>
    <w:rsid w:val="009F56C7"/>
    <w:rsid w:val="009F5773"/>
    <w:rsid w:val="009F57A4"/>
    <w:rsid w:val="009F5BB3"/>
    <w:rsid w:val="009F5C44"/>
    <w:rsid w:val="009F5CC2"/>
    <w:rsid w:val="009F5E0F"/>
    <w:rsid w:val="009F5EEA"/>
    <w:rsid w:val="009F63D5"/>
    <w:rsid w:val="009F641F"/>
    <w:rsid w:val="009F6432"/>
    <w:rsid w:val="009F6916"/>
    <w:rsid w:val="009F697D"/>
    <w:rsid w:val="009F69B0"/>
    <w:rsid w:val="009F69E7"/>
    <w:rsid w:val="009F69F9"/>
    <w:rsid w:val="009F6B45"/>
    <w:rsid w:val="009F6D25"/>
    <w:rsid w:val="009F6D63"/>
    <w:rsid w:val="009F73DF"/>
    <w:rsid w:val="009F7692"/>
    <w:rsid w:val="009F76D1"/>
    <w:rsid w:val="009F78F2"/>
    <w:rsid w:val="009F78F5"/>
    <w:rsid w:val="009F7BDD"/>
    <w:rsid w:val="009F7D97"/>
    <w:rsid w:val="009F7DD9"/>
    <w:rsid w:val="009F7F37"/>
    <w:rsid w:val="00A00013"/>
    <w:rsid w:val="00A00141"/>
    <w:rsid w:val="00A00746"/>
    <w:rsid w:val="00A0097B"/>
    <w:rsid w:val="00A00A44"/>
    <w:rsid w:val="00A00A9D"/>
    <w:rsid w:val="00A00AE6"/>
    <w:rsid w:val="00A00CB4"/>
    <w:rsid w:val="00A00E1B"/>
    <w:rsid w:val="00A00F8E"/>
    <w:rsid w:val="00A01087"/>
    <w:rsid w:val="00A014AE"/>
    <w:rsid w:val="00A01500"/>
    <w:rsid w:val="00A01609"/>
    <w:rsid w:val="00A017CF"/>
    <w:rsid w:val="00A01ABF"/>
    <w:rsid w:val="00A01E0F"/>
    <w:rsid w:val="00A02653"/>
    <w:rsid w:val="00A0274B"/>
    <w:rsid w:val="00A02819"/>
    <w:rsid w:val="00A02948"/>
    <w:rsid w:val="00A02E78"/>
    <w:rsid w:val="00A02F46"/>
    <w:rsid w:val="00A02FD1"/>
    <w:rsid w:val="00A02FE5"/>
    <w:rsid w:val="00A03090"/>
    <w:rsid w:val="00A030FD"/>
    <w:rsid w:val="00A03201"/>
    <w:rsid w:val="00A03205"/>
    <w:rsid w:val="00A0324C"/>
    <w:rsid w:val="00A033E6"/>
    <w:rsid w:val="00A03628"/>
    <w:rsid w:val="00A03A94"/>
    <w:rsid w:val="00A03B23"/>
    <w:rsid w:val="00A03C18"/>
    <w:rsid w:val="00A03DC8"/>
    <w:rsid w:val="00A03E39"/>
    <w:rsid w:val="00A03E5C"/>
    <w:rsid w:val="00A03F51"/>
    <w:rsid w:val="00A04200"/>
    <w:rsid w:val="00A042E1"/>
    <w:rsid w:val="00A043DF"/>
    <w:rsid w:val="00A0442B"/>
    <w:rsid w:val="00A0445E"/>
    <w:rsid w:val="00A044CF"/>
    <w:rsid w:val="00A04585"/>
    <w:rsid w:val="00A04DB3"/>
    <w:rsid w:val="00A051DA"/>
    <w:rsid w:val="00A05277"/>
    <w:rsid w:val="00A0531C"/>
    <w:rsid w:val="00A057FA"/>
    <w:rsid w:val="00A05A8A"/>
    <w:rsid w:val="00A05B0A"/>
    <w:rsid w:val="00A05D7D"/>
    <w:rsid w:val="00A05E3F"/>
    <w:rsid w:val="00A05F56"/>
    <w:rsid w:val="00A05FA6"/>
    <w:rsid w:val="00A06102"/>
    <w:rsid w:val="00A06462"/>
    <w:rsid w:val="00A06694"/>
    <w:rsid w:val="00A067EF"/>
    <w:rsid w:val="00A06B5E"/>
    <w:rsid w:val="00A06C6D"/>
    <w:rsid w:val="00A0755C"/>
    <w:rsid w:val="00A075F2"/>
    <w:rsid w:val="00A07735"/>
    <w:rsid w:val="00A07ACB"/>
    <w:rsid w:val="00A07B2B"/>
    <w:rsid w:val="00A07DCB"/>
    <w:rsid w:val="00A07E37"/>
    <w:rsid w:val="00A10092"/>
    <w:rsid w:val="00A10284"/>
    <w:rsid w:val="00A10334"/>
    <w:rsid w:val="00A10393"/>
    <w:rsid w:val="00A103BF"/>
    <w:rsid w:val="00A108E0"/>
    <w:rsid w:val="00A108F8"/>
    <w:rsid w:val="00A10B3C"/>
    <w:rsid w:val="00A112C3"/>
    <w:rsid w:val="00A113A4"/>
    <w:rsid w:val="00A1157F"/>
    <w:rsid w:val="00A11597"/>
    <w:rsid w:val="00A11723"/>
    <w:rsid w:val="00A1174C"/>
    <w:rsid w:val="00A117C4"/>
    <w:rsid w:val="00A1196E"/>
    <w:rsid w:val="00A1197D"/>
    <w:rsid w:val="00A11B31"/>
    <w:rsid w:val="00A11DE2"/>
    <w:rsid w:val="00A1237F"/>
    <w:rsid w:val="00A1253D"/>
    <w:rsid w:val="00A1286E"/>
    <w:rsid w:val="00A1296D"/>
    <w:rsid w:val="00A12A31"/>
    <w:rsid w:val="00A12CF9"/>
    <w:rsid w:val="00A13096"/>
    <w:rsid w:val="00A1320A"/>
    <w:rsid w:val="00A1331D"/>
    <w:rsid w:val="00A1349B"/>
    <w:rsid w:val="00A13642"/>
    <w:rsid w:val="00A13682"/>
    <w:rsid w:val="00A138FC"/>
    <w:rsid w:val="00A13C5C"/>
    <w:rsid w:val="00A13C81"/>
    <w:rsid w:val="00A13F1F"/>
    <w:rsid w:val="00A13F67"/>
    <w:rsid w:val="00A13FB5"/>
    <w:rsid w:val="00A14133"/>
    <w:rsid w:val="00A14137"/>
    <w:rsid w:val="00A14376"/>
    <w:rsid w:val="00A146A7"/>
    <w:rsid w:val="00A146D4"/>
    <w:rsid w:val="00A1488D"/>
    <w:rsid w:val="00A14913"/>
    <w:rsid w:val="00A14A72"/>
    <w:rsid w:val="00A14D98"/>
    <w:rsid w:val="00A14E57"/>
    <w:rsid w:val="00A14E89"/>
    <w:rsid w:val="00A14F29"/>
    <w:rsid w:val="00A14F65"/>
    <w:rsid w:val="00A14FE8"/>
    <w:rsid w:val="00A15143"/>
    <w:rsid w:val="00A153CF"/>
    <w:rsid w:val="00A15590"/>
    <w:rsid w:val="00A156B5"/>
    <w:rsid w:val="00A15772"/>
    <w:rsid w:val="00A157EE"/>
    <w:rsid w:val="00A1594F"/>
    <w:rsid w:val="00A15BC2"/>
    <w:rsid w:val="00A15C43"/>
    <w:rsid w:val="00A15D89"/>
    <w:rsid w:val="00A15DC0"/>
    <w:rsid w:val="00A15F85"/>
    <w:rsid w:val="00A1616B"/>
    <w:rsid w:val="00A161A3"/>
    <w:rsid w:val="00A161BC"/>
    <w:rsid w:val="00A161C1"/>
    <w:rsid w:val="00A1651C"/>
    <w:rsid w:val="00A166C2"/>
    <w:rsid w:val="00A1698C"/>
    <w:rsid w:val="00A16E39"/>
    <w:rsid w:val="00A172B1"/>
    <w:rsid w:val="00A1752B"/>
    <w:rsid w:val="00A17643"/>
    <w:rsid w:val="00A1777C"/>
    <w:rsid w:val="00A178AA"/>
    <w:rsid w:val="00A178FD"/>
    <w:rsid w:val="00A17A75"/>
    <w:rsid w:val="00A17C27"/>
    <w:rsid w:val="00A17D17"/>
    <w:rsid w:val="00A17F9B"/>
    <w:rsid w:val="00A20554"/>
    <w:rsid w:val="00A205F1"/>
    <w:rsid w:val="00A20A6E"/>
    <w:rsid w:val="00A21392"/>
    <w:rsid w:val="00A21561"/>
    <w:rsid w:val="00A21750"/>
    <w:rsid w:val="00A21B99"/>
    <w:rsid w:val="00A21C62"/>
    <w:rsid w:val="00A21E0E"/>
    <w:rsid w:val="00A21FC6"/>
    <w:rsid w:val="00A2209D"/>
    <w:rsid w:val="00A220A7"/>
    <w:rsid w:val="00A224C6"/>
    <w:rsid w:val="00A22601"/>
    <w:rsid w:val="00A22656"/>
    <w:rsid w:val="00A227BB"/>
    <w:rsid w:val="00A2297D"/>
    <w:rsid w:val="00A22E7B"/>
    <w:rsid w:val="00A22E9F"/>
    <w:rsid w:val="00A22F4A"/>
    <w:rsid w:val="00A23056"/>
    <w:rsid w:val="00A230AA"/>
    <w:rsid w:val="00A2362B"/>
    <w:rsid w:val="00A239CE"/>
    <w:rsid w:val="00A23F36"/>
    <w:rsid w:val="00A23F84"/>
    <w:rsid w:val="00A23F8B"/>
    <w:rsid w:val="00A240F8"/>
    <w:rsid w:val="00A24359"/>
    <w:rsid w:val="00A24968"/>
    <w:rsid w:val="00A2497B"/>
    <w:rsid w:val="00A24B50"/>
    <w:rsid w:val="00A24EB7"/>
    <w:rsid w:val="00A24EC8"/>
    <w:rsid w:val="00A25112"/>
    <w:rsid w:val="00A25389"/>
    <w:rsid w:val="00A254CA"/>
    <w:rsid w:val="00A25519"/>
    <w:rsid w:val="00A2597C"/>
    <w:rsid w:val="00A25BAC"/>
    <w:rsid w:val="00A25C39"/>
    <w:rsid w:val="00A26311"/>
    <w:rsid w:val="00A26530"/>
    <w:rsid w:val="00A26567"/>
    <w:rsid w:val="00A265E2"/>
    <w:rsid w:val="00A26618"/>
    <w:rsid w:val="00A2669D"/>
    <w:rsid w:val="00A26BEA"/>
    <w:rsid w:val="00A26FB8"/>
    <w:rsid w:val="00A275B3"/>
    <w:rsid w:val="00A27A32"/>
    <w:rsid w:val="00A27B9C"/>
    <w:rsid w:val="00A27BFC"/>
    <w:rsid w:val="00A27E34"/>
    <w:rsid w:val="00A27EBF"/>
    <w:rsid w:val="00A30132"/>
    <w:rsid w:val="00A3029A"/>
    <w:rsid w:val="00A302C6"/>
    <w:rsid w:val="00A303AC"/>
    <w:rsid w:val="00A304E5"/>
    <w:rsid w:val="00A30551"/>
    <w:rsid w:val="00A30724"/>
    <w:rsid w:val="00A307FC"/>
    <w:rsid w:val="00A3082A"/>
    <w:rsid w:val="00A30878"/>
    <w:rsid w:val="00A3088F"/>
    <w:rsid w:val="00A308E5"/>
    <w:rsid w:val="00A30AC9"/>
    <w:rsid w:val="00A30B28"/>
    <w:rsid w:val="00A30B50"/>
    <w:rsid w:val="00A30BD8"/>
    <w:rsid w:val="00A31666"/>
    <w:rsid w:val="00A31699"/>
    <w:rsid w:val="00A317E9"/>
    <w:rsid w:val="00A318F6"/>
    <w:rsid w:val="00A31B1E"/>
    <w:rsid w:val="00A31BBB"/>
    <w:rsid w:val="00A31C0A"/>
    <w:rsid w:val="00A31F87"/>
    <w:rsid w:val="00A320EF"/>
    <w:rsid w:val="00A324AF"/>
    <w:rsid w:val="00A324C8"/>
    <w:rsid w:val="00A324DA"/>
    <w:rsid w:val="00A3259F"/>
    <w:rsid w:val="00A32659"/>
    <w:rsid w:val="00A328A9"/>
    <w:rsid w:val="00A32907"/>
    <w:rsid w:val="00A3290C"/>
    <w:rsid w:val="00A330F0"/>
    <w:rsid w:val="00A3315F"/>
    <w:rsid w:val="00A33692"/>
    <w:rsid w:val="00A33BFC"/>
    <w:rsid w:val="00A33F8C"/>
    <w:rsid w:val="00A34033"/>
    <w:rsid w:val="00A34427"/>
    <w:rsid w:val="00A34448"/>
    <w:rsid w:val="00A348C2"/>
    <w:rsid w:val="00A3495B"/>
    <w:rsid w:val="00A34CBB"/>
    <w:rsid w:val="00A35053"/>
    <w:rsid w:val="00A35230"/>
    <w:rsid w:val="00A3534B"/>
    <w:rsid w:val="00A35719"/>
    <w:rsid w:val="00A3595A"/>
    <w:rsid w:val="00A35999"/>
    <w:rsid w:val="00A35B2B"/>
    <w:rsid w:val="00A35FD4"/>
    <w:rsid w:val="00A36264"/>
    <w:rsid w:val="00A362E8"/>
    <w:rsid w:val="00A364B0"/>
    <w:rsid w:val="00A36653"/>
    <w:rsid w:val="00A36E9F"/>
    <w:rsid w:val="00A36EB9"/>
    <w:rsid w:val="00A3706A"/>
    <w:rsid w:val="00A370D5"/>
    <w:rsid w:val="00A3748A"/>
    <w:rsid w:val="00A375C4"/>
    <w:rsid w:val="00A375F1"/>
    <w:rsid w:val="00A37C74"/>
    <w:rsid w:val="00A37C8E"/>
    <w:rsid w:val="00A40101"/>
    <w:rsid w:val="00A40128"/>
    <w:rsid w:val="00A403FE"/>
    <w:rsid w:val="00A40699"/>
    <w:rsid w:val="00A406F0"/>
    <w:rsid w:val="00A40706"/>
    <w:rsid w:val="00A407F2"/>
    <w:rsid w:val="00A40A79"/>
    <w:rsid w:val="00A40EA3"/>
    <w:rsid w:val="00A4116C"/>
    <w:rsid w:val="00A41289"/>
    <w:rsid w:val="00A41343"/>
    <w:rsid w:val="00A416EA"/>
    <w:rsid w:val="00A41BAE"/>
    <w:rsid w:val="00A41BB9"/>
    <w:rsid w:val="00A41C12"/>
    <w:rsid w:val="00A41D1C"/>
    <w:rsid w:val="00A41F05"/>
    <w:rsid w:val="00A42016"/>
    <w:rsid w:val="00A4205B"/>
    <w:rsid w:val="00A420AA"/>
    <w:rsid w:val="00A42476"/>
    <w:rsid w:val="00A4252B"/>
    <w:rsid w:val="00A425B1"/>
    <w:rsid w:val="00A425FC"/>
    <w:rsid w:val="00A4261A"/>
    <w:rsid w:val="00A42B4B"/>
    <w:rsid w:val="00A42BCB"/>
    <w:rsid w:val="00A42C64"/>
    <w:rsid w:val="00A42CDC"/>
    <w:rsid w:val="00A42CEA"/>
    <w:rsid w:val="00A433FF"/>
    <w:rsid w:val="00A434BF"/>
    <w:rsid w:val="00A43583"/>
    <w:rsid w:val="00A435F2"/>
    <w:rsid w:val="00A43672"/>
    <w:rsid w:val="00A436DC"/>
    <w:rsid w:val="00A436DE"/>
    <w:rsid w:val="00A43701"/>
    <w:rsid w:val="00A43D2D"/>
    <w:rsid w:val="00A43F9C"/>
    <w:rsid w:val="00A4436E"/>
    <w:rsid w:val="00A4465D"/>
    <w:rsid w:val="00A4469D"/>
    <w:rsid w:val="00A44AE8"/>
    <w:rsid w:val="00A44D49"/>
    <w:rsid w:val="00A44EB0"/>
    <w:rsid w:val="00A44F6C"/>
    <w:rsid w:val="00A44F93"/>
    <w:rsid w:val="00A455F2"/>
    <w:rsid w:val="00A45613"/>
    <w:rsid w:val="00A458EE"/>
    <w:rsid w:val="00A45AFD"/>
    <w:rsid w:val="00A45BE5"/>
    <w:rsid w:val="00A45BFD"/>
    <w:rsid w:val="00A45D12"/>
    <w:rsid w:val="00A45E6A"/>
    <w:rsid w:val="00A45EAF"/>
    <w:rsid w:val="00A45F45"/>
    <w:rsid w:val="00A4609C"/>
    <w:rsid w:val="00A46104"/>
    <w:rsid w:val="00A463C1"/>
    <w:rsid w:val="00A468FC"/>
    <w:rsid w:val="00A46A9D"/>
    <w:rsid w:val="00A46AF1"/>
    <w:rsid w:val="00A46C89"/>
    <w:rsid w:val="00A46CF4"/>
    <w:rsid w:val="00A46D7D"/>
    <w:rsid w:val="00A46EEA"/>
    <w:rsid w:val="00A47007"/>
    <w:rsid w:val="00A47050"/>
    <w:rsid w:val="00A47106"/>
    <w:rsid w:val="00A47113"/>
    <w:rsid w:val="00A4728B"/>
    <w:rsid w:val="00A472D0"/>
    <w:rsid w:val="00A47382"/>
    <w:rsid w:val="00A47585"/>
    <w:rsid w:val="00A475E5"/>
    <w:rsid w:val="00A47646"/>
    <w:rsid w:val="00A47684"/>
    <w:rsid w:val="00A47748"/>
    <w:rsid w:val="00A477C6"/>
    <w:rsid w:val="00A47B0A"/>
    <w:rsid w:val="00A47BC0"/>
    <w:rsid w:val="00A47DD5"/>
    <w:rsid w:val="00A47ED1"/>
    <w:rsid w:val="00A50100"/>
    <w:rsid w:val="00A507A7"/>
    <w:rsid w:val="00A50836"/>
    <w:rsid w:val="00A50A67"/>
    <w:rsid w:val="00A50ACB"/>
    <w:rsid w:val="00A50BC9"/>
    <w:rsid w:val="00A50D11"/>
    <w:rsid w:val="00A50D2D"/>
    <w:rsid w:val="00A50E56"/>
    <w:rsid w:val="00A50E99"/>
    <w:rsid w:val="00A50ECC"/>
    <w:rsid w:val="00A50FD4"/>
    <w:rsid w:val="00A5131D"/>
    <w:rsid w:val="00A51417"/>
    <w:rsid w:val="00A514F7"/>
    <w:rsid w:val="00A51596"/>
    <w:rsid w:val="00A518DB"/>
    <w:rsid w:val="00A51ABC"/>
    <w:rsid w:val="00A51B3C"/>
    <w:rsid w:val="00A52097"/>
    <w:rsid w:val="00A52130"/>
    <w:rsid w:val="00A522A4"/>
    <w:rsid w:val="00A522F1"/>
    <w:rsid w:val="00A522F6"/>
    <w:rsid w:val="00A52736"/>
    <w:rsid w:val="00A52868"/>
    <w:rsid w:val="00A528B0"/>
    <w:rsid w:val="00A528B4"/>
    <w:rsid w:val="00A529BF"/>
    <w:rsid w:val="00A52CFA"/>
    <w:rsid w:val="00A53100"/>
    <w:rsid w:val="00A534EE"/>
    <w:rsid w:val="00A53502"/>
    <w:rsid w:val="00A53507"/>
    <w:rsid w:val="00A53ACE"/>
    <w:rsid w:val="00A53DB6"/>
    <w:rsid w:val="00A54127"/>
    <w:rsid w:val="00A541C4"/>
    <w:rsid w:val="00A5424F"/>
    <w:rsid w:val="00A545E2"/>
    <w:rsid w:val="00A546A4"/>
    <w:rsid w:val="00A54969"/>
    <w:rsid w:val="00A54AC3"/>
    <w:rsid w:val="00A54BF0"/>
    <w:rsid w:val="00A54DB0"/>
    <w:rsid w:val="00A54F47"/>
    <w:rsid w:val="00A55022"/>
    <w:rsid w:val="00A55109"/>
    <w:rsid w:val="00A55200"/>
    <w:rsid w:val="00A5532F"/>
    <w:rsid w:val="00A554CE"/>
    <w:rsid w:val="00A55505"/>
    <w:rsid w:val="00A55A20"/>
    <w:rsid w:val="00A55AA1"/>
    <w:rsid w:val="00A55BCE"/>
    <w:rsid w:val="00A55FAC"/>
    <w:rsid w:val="00A5608B"/>
    <w:rsid w:val="00A5664E"/>
    <w:rsid w:val="00A56815"/>
    <w:rsid w:val="00A56BD7"/>
    <w:rsid w:val="00A56C43"/>
    <w:rsid w:val="00A56D37"/>
    <w:rsid w:val="00A56D8D"/>
    <w:rsid w:val="00A56E38"/>
    <w:rsid w:val="00A56EBB"/>
    <w:rsid w:val="00A56FA5"/>
    <w:rsid w:val="00A57125"/>
    <w:rsid w:val="00A57281"/>
    <w:rsid w:val="00A5733F"/>
    <w:rsid w:val="00A57438"/>
    <w:rsid w:val="00A57515"/>
    <w:rsid w:val="00A57A9A"/>
    <w:rsid w:val="00A57E7B"/>
    <w:rsid w:val="00A60172"/>
    <w:rsid w:val="00A601C2"/>
    <w:rsid w:val="00A603DC"/>
    <w:rsid w:val="00A6057D"/>
    <w:rsid w:val="00A607CC"/>
    <w:rsid w:val="00A60AFD"/>
    <w:rsid w:val="00A60B52"/>
    <w:rsid w:val="00A60BA9"/>
    <w:rsid w:val="00A60BFF"/>
    <w:rsid w:val="00A60D00"/>
    <w:rsid w:val="00A60DC0"/>
    <w:rsid w:val="00A60E6D"/>
    <w:rsid w:val="00A60E88"/>
    <w:rsid w:val="00A60E9F"/>
    <w:rsid w:val="00A60F5E"/>
    <w:rsid w:val="00A61017"/>
    <w:rsid w:val="00A61206"/>
    <w:rsid w:val="00A6125D"/>
    <w:rsid w:val="00A61620"/>
    <w:rsid w:val="00A617D4"/>
    <w:rsid w:val="00A618F2"/>
    <w:rsid w:val="00A61BD2"/>
    <w:rsid w:val="00A61D51"/>
    <w:rsid w:val="00A61E45"/>
    <w:rsid w:val="00A62252"/>
    <w:rsid w:val="00A6227C"/>
    <w:rsid w:val="00A62487"/>
    <w:rsid w:val="00A6263B"/>
    <w:rsid w:val="00A626AA"/>
    <w:rsid w:val="00A62A09"/>
    <w:rsid w:val="00A62A4A"/>
    <w:rsid w:val="00A62B7A"/>
    <w:rsid w:val="00A62D2D"/>
    <w:rsid w:val="00A63225"/>
    <w:rsid w:val="00A632D5"/>
    <w:rsid w:val="00A638DE"/>
    <w:rsid w:val="00A638EF"/>
    <w:rsid w:val="00A6394F"/>
    <w:rsid w:val="00A63CDB"/>
    <w:rsid w:val="00A63E6E"/>
    <w:rsid w:val="00A641FA"/>
    <w:rsid w:val="00A64350"/>
    <w:rsid w:val="00A6476D"/>
    <w:rsid w:val="00A64999"/>
    <w:rsid w:val="00A649EE"/>
    <w:rsid w:val="00A65156"/>
    <w:rsid w:val="00A6544D"/>
    <w:rsid w:val="00A65615"/>
    <w:rsid w:val="00A65873"/>
    <w:rsid w:val="00A658C6"/>
    <w:rsid w:val="00A65B22"/>
    <w:rsid w:val="00A65D05"/>
    <w:rsid w:val="00A6627B"/>
    <w:rsid w:val="00A667D7"/>
    <w:rsid w:val="00A669FA"/>
    <w:rsid w:val="00A66A46"/>
    <w:rsid w:val="00A66D1D"/>
    <w:rsid w:val="00A67058"/>
    <w:rsid w:val="00A67073"/>
    <w:rsid w:val="00A6708D"/>
    <w:rsid w:val="00A67534"/>
    <w:rsid w:val="00A67636"/>
    <w:rsid w:val="00A6773B"/>
    <w:rsid w:val="00A6787C"/>
    <w:rsid w:val="00A678DA"/>
    <w:rsid w:val="00A67970"/>
    <w:rsid w:val="00A67B8D"/>
    <w:rsid w:val="00A67C0F"/>
    <w:rsid w:val="00A67CFA"/>
    <w:rsid w:val="00A67E56"/>
    <w:rsid w:val="00A67EC1"/>
    <w:rsid w:val="00A67FB3"/>
    <w:rsid w:val="00A67FD6"/>
    <w:rsid w:val="00A7002B"/>
    <w:rsid w:val="00A7015E"/>
    <w:rsid w:val="00A703F8"/>
    <w:rsid w:val="00A703FF"/>
    <w:rsid w:val="00A7066F"/>
    <w:rsid w:val="00A7073D"/>
    <w:rsid w:val="00A70B29"/>
    <w:rsid w:val="00A70C4D"/>
    <w:rsid w:val="00A70CD0"/>
    <w:rsid w:val="00A70E60"/>
    <w:rsid w:val="00A70F3D"/>
    <w:rsid w:val="00A70FBF"/>
    <w:rsid w:val="00A71097"/>
    <w:rsid w:val="00A710BF"/>
    <w:rsid w:val="00A715B4"/>
    <w:rsid w:val="00A716C5"/>
    <w:rsid w:val="00A7177F"/>
    <w:rsid w:val="00A718F9"/>
    <w:rsid w:val="00A71A68"/>
    <w:rsid w:val="00A71B45"/>
    <w:rsid w:val="00A71B7D"/>
    <w:rsid w:val="00A71F49"/>
    <w:rsid w:val="00A72022"/>
    <w:rsid w:val="00A72088"/>
    <w:rsid w:val="00A72327"/>
    <w:rsid w:val="00A72361"/>
    <w:rsid w:val="00A7249B"/>
    <w:rsid w:val="00A725ED"/>
    <w:rsid w:val="00A72890"/>
    <w:rsid w:val="00A72A2E"/>
    <w:rsid w:val="00A72D9A"/>
    <w:rsid w:val="00A72FD9"/>
    <w:rsid w:val="00A73097"/>
    <w:rsid w:val="00A7364C"/>
    <w:rsid w:val="00A7373C"/>
    <w:rsid w:val="00A737A6"/>
    <w:rsid w:val="00A737D4"/>
    <w:rsid w:val="00A73955"/>
    <w:rsid w:val="00A73A18"/>
    <w:rsid w:val="00A73B42"/>
    <w:rsid w:val="00A73D9A"/>
    <w:rsid w:val="00A74238"/>
    <w:rsid w:val="00A74308"/>
    <w:rsid w:val="00A744FB"/>
    <w:rsid w:val="00A7454C"/>
    <w:rsid w:val="00A745E5"/>
    <w:rsid w:val="00A74995"/>
    <w:rsid w:val="00A74DFC"/>
    <w:rsid w:val="00A74EF6"/>
    <w:rsid w:val="00A74FD4"/>
    <w:rsid w:val="00A75328"/>
    <w:rsid w:val="00A753C6"/>
    <w:rsid w:val="00A755BD"/>
    <w:rsid w:val="00A7578B"/>
    <w:rsid w:val="00A757D8"/>
    <w:rsid w:val="00A7588C"/>
    <w:rsid w:val="00A75C13"/>
    <w:rsid w:val="00A75E02"/>
    <w:rsid w:val="00A75E98"/>
    <w:rsid w:val="00A76268"/>
    <w:rsid w:val="00A762FC"/>
    <w:rsid w:val="00A763A7"/>
    <w:rsid w:val="00A76629"/>
    <w:rsid w:val="00A76955"/>
    <w:rsid w:val="00A76ACD"/>
    <w:rsid w:val="00A76C76"/>
    <w:rsid w:val="00A76FC2"/>
    <w:rsid w:val="00A76FC3"/>
    <w:rsid w:val="00A77077"/>
    <w:rsid w:val="00A77191"/>
    <w:rsid w:val="00A77310"/>
    <w:rsid w:val="00A7740A"/>
    <w:rsid w:val="00A7745F"/>
    <w:rsid w:val="00A77539"/>
    <w:rsid w:val="00A77AC2"/>
    <w:rsid w:val="00A77C56"/>
    <w:rsid w:val="00A77C8A"/>
    <w:rsid w:val="00A77D42"/>
    <w:rsid w:val="00A8040A"/>
    <w:rsid w:val="00A80485"/>
    <w:rsid w:val="00A80522"/>
    <w:rsid w:val="00A80533"/>
    <w:rsid w:val="00A8093A"/>
    <w:rsid w:val="00A8099C"/>
    <w:rsid w:val="00A8099E"/>
    <w:rsid w:val="00A80AF3"/>
    <w:rsid w:val="00A80C19"/>
    <w:rsid w:val="00A80EBE"/>
    <w:rsid w:val="00A80F49"/>
    <w:rsid w:val="00A814CF"/>
    <w:rsid w:val="00A81AA2"/>
    <w:rsid w:val="00A81C28"/>
    <w:rsid w:val="00A81CC2"/>
    <w:rsid w:val="00A81CF1"/>
    <w:rsid w:val="00A81D86"/>
    <w:rsid w:val="00A823BB"/>
    <w:rsid w:val="00A823F1"/>
    <w:rsid w:val="00A82562"/>
    <w:rsid w:val="00A82686"/>
    <w:rsid w:val="00A8290A"/>
    <w:rsid w:val="00A82D28"/>
    <w:rsid w:val="00A82E0D"/>
    <w:rsid w:val="00A82EB6"/>
    <w:rsid w:val="00A83190"/>
    <w:rsid w:val="00A831B7"/>
    <w:rsid w:val="00A836F4"/>
    <w:rsid w:val="00A838D1"/>
    <w:rsid w:val="00A838F2"/>
    <w:rsid w:val="00A840BE"/>
    <w:rsid w:val="00A84132"/>
    <w:rsid w:val="00A84414"/>
    <w:rsid w:val="00A84448"/>
    <w:rsid w:val="00A8464C"/>
    <w:rsid w:val="00A847C8"/>
    <w:rsid w:val="00A848A9"/>
    <w:rsid w:val="00A84ABA"/>
    <w:rsid w:val="00A84DCB"/>
    <w:rsid w:val="00A84E1F"/>
    <w:rsid w:val="00A853C2"/>
    <w:rsid w:val="00A85832"/>
    <w:rsid w:val="00A85844"/>
    <w:rsid w:val="00A85D81"/>
    <w:rsid w:val="00A85DF3"/>
    <w:rsid w:val="00A85E6B"/>
    <w:rsid w:val="00A85FD5"/>
    <w:rsid w:val="00A85FDD"/>
    <w:rsid w:val="00A86174"/>
    <w:rsid w:val="00A8654E"/>
    <w:rsid w:val="00A865B3"/>
    <w:rsid w:val="00A8660C"/>
    <w:rsid w:val="00A86814"/>
    <w:rsid w:val="00A8699B"/>
    <w:rsid w:val="00A86C2F"/>
    <w:rsid w:val="00A86C42"/>
    <w:rsid w:val="00A86DD3"/>
    <w:rsid w:val="00A8708E"/>
    <w:rsid w:val="00A872A3"/>
    <w:rsid w:val="00A87531"/>
    <w:rsid w:val="00A879EA"/>
    <w:rsid w:val="00A87AD5"/>
    <w:rsid w:val="00A87C1B"/>
    <w:rsid w:val="00A87C96"/>
    <w:rsid w:val="00A87DC0"/>
    <w:rsid w:val="00A87FE1"/>
    <w:rsid w:val="00A90171"/>
    <w:rsid w:val="00A901F8"/>
    <w:rsid w:val="00A90268"/>
    <w:rsid w:val="00A902DE"/>
    <w:rsid w:val="00A906BA"/>
    <w:rsid w:val="00A90A9B"/>
    <w:rsid w:val="00A90AD7"/>
    <w:rsid w:val="00A90CF1"/>
    <w:rsid w:val="00A90EB9"/>
    <w:rsid w:val="00A90F17"/>
    <w:rsid w:val="00A90F2A"/>
    <w:rsid w:val="00A90F51"/>
    <w:rsid w:val="00A912B7"/>
    <w:rsid w:val="00A913C9"/>
    <w:rsid w:val="00A913FD"/>
    <w:rsid w:val="00A914F3"/>
    <w:rsid w:val="00A915CF"/>
    <w:rsid w:val="00A91635"/>
    <w:rsid w:val="00A91804"/>
    <w:rsid w:val="00A91809"/>
    <w:rsid w:val="00A9190F"/>
    <w:rsid w:val="00A91D1A"/>
    <w:rsid w:val="00A91D2E"/>
    <w:rsid w:val="00A91F0F"/>
    <w:rsid w:val="00A91F7E"/>
    <w:rsid w:val="00A91F80"/>
    <w:rsid w:val="00A922F4"/>
    <w:rsid w:val="00A92808"/>
    <w:rsid w:val="00A92879"/>
    <w:rsid w:val="00A929E3"/>
    <w:rsid w:val="00A92C2F"/>
    <w:rsid w:val="00A92EBC"/>
    <w:rsid w:val="00A93284"/>
    <w:rsid w:val="00A932B7"/>
    <w:rsid w:val="00A93581"/>
    <w:rsid w:val="00A9364B"/>
    <w:rsid w:val="00A93799"/>
    <w:rsid w:val="00A938D1"/>
    <w:rsid w:val="00A93AA1"/>
    <w:rsid w:val="00A93AA7"/>
    <w:rsid w:val="00A93C5C"/>
    <w:rsid w:val="00A93CF4"/>
    <w:rsid w:val="00A93D93"/>
    <w:rsid w:val="00A93F78"/>
    <w:rsid w:val="00A93FC5"/>
    <w:rsid w:val="00A93FD4"/>
    <w:rsid w:val="00A940FE"/>
    <w:rsid w:val="00A9427B"/>
    <w:rsid w:val="00A944A1"/>
    <w:rsid w:val="00A94563"/>
    <w:rsid w:val="00A9491B"/>
    <w:rsid w:val="00A94962"/>
    <w:rsid w:val="00A949E2"/>
    <w:rsid w:val="00A94B5D"/>
    <w:rsid w:val="00A94C05"/>
    <w:rsid w:val="00A94CDD"/>
    <w:rsid w:val="00A94E95"/>
    <w:rsid w:val="00A94FD0"/>
    <w:rsid w:val="00A951BB"/>
    <w:rsid w:val="00A951E3"/>
    <w:rsid w:val="00A954F9"/>
    <w:rsid w:val="00A956CF"/>
    <w:rsid w:val="00A957B8"/>
    <w:rsid w:val="00A95CB7"/>
    <w:rsid w:val="00A95F47"/>
    <w:rsid w:val="00A95F5E"/>
    <w:rsid w:val="00A961E6"/>
    <w:rsid w:val="00A96495"/>
    <w:rsid w:val="00A96857"/>
    <w:rsid w:val="00A96980"/>
    <w:rsid w:val="00A969B2"/>
    <w:rsid w:val="00A96C84"/>
    <w:rsid w:val="00A9705E"/>
    <w:rsid w:val="00A971FB"/>
    <w:rsid w:val="00A974F1"/>
    <w:rsid w:val="00A97503"/>
    <w:rsid w:val="00A975CF"/>
    <w:rsid w:val="00A9768A"/>
    <w:rsid w:val="00A97842"/>
    <w:rsid w:val="00A978B9"/>
    <w:rsid w:val="00A97A3C"/>
    <w:rsid w:val="00AA01BF"/>
    <w:rsid w:val="00AA03D5"/>
    <w:rsid w:val="00AA0570"/>
    <w:rsid w:val="00AA06CC"/>
    <w:rsid w:val="00AA07AA"/>
    <w:rsid w:val="00AA0E22"/>
    <w:rsid w:val="00AA1081"/>
    <w:rsid w:val="00AA11BD"/>
    <w:rsid w:val="00AA1508"/>
    <w:rsid w:val="00AA164C"/>
    <w:rsid w:val="00AA1970"/>
    <w:rsid w:val="00AA19AC"/>
    <w:rsid w:val="00AA1BD2"/>
    <w:rsid w:val="00AA1ECB"/>
    <w:rsid w:val="00AA1EF3"/>
    <w:rsid w:val="00AA2088"/>
    <w:rsid w:val="00AA2252"/>
    <w:rsid w:val="00AA225A"/>
    <w:rsid w:val="00AA235E"/>
    <w:rsid w:val="00AA257F"/>
    <w:rsid w:val="00AA25F3"/>
    <w:rsid w:val="00AA2710"/>
    <w:rsid w:val="00AA2750"/>
    <w:rsid w:val="00AA2A1C"/>
    <w:rsid w:val="00AA2B75"/>
    <w:rsid w:val="00AA2DA0"/>
    <w:rsid w:val="00AA2DB5"/>
    <w:rsid w:val="00AA2EF9"/>
    <w:rsid w:val="00AA2F59"/>
    <w:rsid w:val="00AA3280"/>
    <w:rsid w:val="00AA3354"/>
    <w:rsid w:val="00AA38BA"/>
    <w:rsid w:val="00AA3ABC"/>
    <w:rsid w:val="00AA3B9D"/>
    <w:rsid w:val="00AA3BBF"/>
    <w:rsid w:val="00AA3E2E"/>
    <w:rsid w:val="00AA3F0B"/>
    <w:rsid w:val="00AA3FF2"/>
    <w:rsid w:val="00AA40E8"/>
    <w:rsid w:val="00AA412C"/>
    <w:rsid w:val="00AA4527"/>
    <w:rsid w:val="00AA458F"/>
    <w:rsid w:val="00AA4629"/>
    <w:rsid w:val="00AA46E7"/>
    <w:rsid w:val="00AA47C7"/>
    <w:rsid w:val="00AA4E25"/>
    <w:rsid w:val="00AA4F50"/>
    <w:rsid w:val="00AA4FBE"/>
    <w:rsid w:val="00AA517A"/>
    <w:rsid w:val="00AA536F"/>
    <w:rsid w:val="00AA567C"/>
    <w:rsid w:val="00AA5732"/>
    <w:rsid w:val="00AA5950"/>
    <w:rsid w:val="00AA5953"/>
    <w:rsid w:val="00AA5981"/>
    <w:rsid w:val="00AA5B3B"/>
    <w:rsid w:val="00AA6401"/>
    <w:rsid w:val="00AA64E0"/>
    <w:rsid w:val="00AA64E5"/>
    <w:rsid w:val="00AA65C0"/>
    <w:rsid w:val="00AA6618"/>
    <w:rsid w:val="00AA6645"/>
    <w:rsid w:val="00AA67EF"/>
    <w:rsid w:val="00AA683E"/>
    <w:rsid w:val="00AA68FF"/>
    <w:rsid w:val="00AA699D"/>
    <w:rsid w:val="00AA6A49"/>
    <w:rsid w:val="00AA6BBB"/>
    <w:rsid w:val="00AA6C28"/>
    <w:rsid w:val="00AA6ED9"/>
    <w:rsid w:val="00AA7653"/>
    <w:rsid w:val="00AA7768"/>
    <w:rsid w:val="00AA78D1"/>
    <w:rsid w:val="00AA78DF"/>
    <w:rsid w:val="00AA790D"/>
    <w:rsid w:val="00AA7A92"/>
    <w:rsid w:val="00AA7ADE"/>
    <w:rsid w:val="00AA7AF1"/>
    <w:rsid w:val="00AA7BA7"/>
    <w:rsid w:val="00AA7C7F"/>
    <w:rsid w:val="00AA7E27"/>
    <w:rsid w:val="00AA7E6B"/>
    <w:rsid w:val="00AA7F46"/>
    <w:rsid w:val="00AB016C"/>
    <w:rsid w:val="00AB0553"/>
    <w:rsid w:val="00AB05E9"/>
    <w:rsid w:val="00AB068E"/>
    <w:rsid w:val="00AB06EB"/>
    <w:rsid w:val="00AB07F8"/>
    <w:rsid w:val="00AB0872"/>
    <w:rsid w:val="00AB09DA"/>
    <w:rsid w:val="00AB0B5D"/>
    <w:rsid w:val="00AB0D67"/>
    <w:rsid w:val="00AB0DFF"/>
    <w:rsid w:val="00AB0EB3"/>
    <w:rsid w:val="00AB0F0F"/>
    <w:rsid w:val="00AB165A"/>
    <w:rsid w:val="00AB16EB"/>
    <w:rsid w:val="00AB1AB1"/>
    <w:rsid w:val="00AB1E38"/>
    <w:rsid w:val="00AB20EA"/>
    <w:rsid w:val="00AB2331"/>
    <w:rsid w:val="00AB258A"/>
    <w:rsid w:val="00AB2777"/>
    <w:rsid w:val="00AB2B7E"/>
    <w:rsid w:val="00AB2D42"/>
    <w:rsid w:val="00AB2D84"/>
    <w:rsid w:val="00AB3408"/>
    <w:rsid w:val="00AB347F"/>
    <w:rsid w:val="00AB3720"/>
    <w:rsid w:val="00AB37CC"/>
    <w:rsid w:val="00AB37EB"/>
    <w:rsid w:val="00AB3805"/>
    <w:rsid w:val="00AB3878"/>
    <w:rsid w:val="00AB3C5A"/>
    <w:rsid w:val="00AB3F34"/>
    <w:rsid w:val="00AB462D"/>
    <w:rsid w:val="00AB48B2"/>
    <w:rsid w:val="00AB4BFB"/>
    <w:rsid w:val="00AB4D2F"/>
    <w:rsid w:val="00AB4EE3"/>
    <w:rsid w:val="00AB4F2C"/>
    <w:rsid w:val="00AB4FCD"/>
    <w:rsid w:val="00AB515B"/>
    <w:rsid w:val="00AB518E"/>
    <w:rsid w:val="00AB51B7"/>
    <w:rsid w:val="00AB51CE"/>
    <w:rsid w:val="00AB54BF"/>
    <w:rsid w:val="00AB5546"/>
    <w:rsid w:val="00AB57D4"/>
    <w:rsid w:val="00AB59E6"/>
    <w:rsid w:val="00AB5CD5"/>
    <w:rsid w:val="00AB5EC1"/>
    <w:rsid w:val="00AB5F54"/>
    <w:rsid w:val="00AB60BE"/>
    <w:rsid w:val="00AB649B"/>
    <w:rsid w:val="00AB64FE"/>
    <w:rsid w:val="00AB655F"/>
    <w:rsid w:val="00AB6795"/>
    <w:rsid w:val="00AB6C0A"/>
    <w:rsid w:val="00AB6D4D"/>
    <w:rsid w:val="00AB6DA1"/>
    <w:rsid w:val="00AB6EA3"/>
    <w:rsid w:val="00AB702C"/>
    <w:rsid w:val="00AB724A"/>
    <w:rsid w:val="00AB753E"/>
    <w:rsid w:val="00AB7669"/>
    <w:rsid w:val="00AB795F"/>
    <w:rsid w:val="00AB7C13"/>
    <w:rsid w:val="00AB7C6E"/>
    <w:rsid w:val="00AB7D32"/>
    <w:rsid w:val="00AB7DC6"/>
    <w:rsid w:val="00AB7F87"/>
    <w:rsid w:val="00AC011E"/>
    <w:rsid w:val="00AC0398"/>
    <w:rsid w:val="00AC04B7"/>
    <w:rsid w:val="00AC06F6"/>
    <w:rsid w:val="00AC0A46"/>
    <w:rsid w:val="00AC0B51"/>
    <w:rsid w:val="00AC0BAD"/>
    <w:rsid w:val="00AC0BC6"/>
    <w:rsid w:val="00AC0E35"/>
    <w:rsid w:val="00AC0E40"/>
    <w:rsid w:val="00AC0EAD"/>
    <w:rsid w:val="00AC1728"/>
    <w:rsid w:val="00AC17F8"/>
    <w:rsid w:val="00AC188F"/>
    <w:rsid w:val="00AC191E"/>
    <w:rsid w:val="00AC1A37"/>
    <w:rsid w:val="00AC1AF3"/>
    <w:rsid w:val="00AC2321"/>
    <w:rsid w:val="00AC252D"/>
    <w:rsid w:val="00AC2E39"/>
    <w:rsid w:val="00AC2F0F"/>
    <w:rsid w:val="00AC2F8F"/>
    <w:rsid w:val="00AC327B"/>
    <w:rsid w:val="00AC347C"/>
    <w:rsid w:val="00AC382B"/>
    <w:rsid w:val="00AC3F02"/>
    <w:rsid w:val="00AC4120"/>
    <w:rsid w:val="00AC4234"/>
    <w:rsid w:val="00AC4260"/>
    <w:rsid w:val="00AC4266"/>
    <w:rsid w:val="00AC4746"/>
    <w:rsid w:val="00AC48FB"/>
    <w:rsid w:val="00AC4A71"/>
    <w:rsid w:val="00AC4C89"/>
    <w:rsid w:val="00AC4F35"/>
    <w:rsid w:val="00AC509C"/>
    <w:rsid w:val="00AC5137"/>
    <w:rsid w:val="00AC5540"/>
    <w:rsid w:val="00AC59F2"/>
    <w:rsid w:val="00AC5CC8"/>
    <w:rsid w:val="00AC5D04"/>
    <w:rsid w:val="00AC5E88"/>
    <w:rsid w:val="00AC5F2E"/>
    <w:rsid w:val="00AC61EC"/>
    <w:rsid w:val="00AC62FF"/>
    <w:rsid w:val="00AC69BD"/>
    <w:rsid w:val="00AC6B2F"/>
    <w:rsid w:val="00AC6BF2"/>
    <w:rsid w:val="00AC7042"/>
    <w:rsid w:val="00AC707A"/>
    <w:rsid w:val="00AC708A"/>
    <w:rsid w:val="00AC78D4"/>
    <w:rsid w:val="00AC79F8"/>
    <w:rsid w:val="00AC7A16"/>
    <w:rsid w:val="00AD00AB"/>
    <w:rsid w:val="00AD01A1"/>
    <w:rsid w:val="00AD02CE"/>
    <w:rsid w:val="00AD0344"/>
    <w:rsid w:val="00AD038D"/>
    <w:rsid w:val="00AD073D"/>
    <w:rsid w:val="00AD0743"/>
    <w:rsid w:val="00AD0900"/>
    <w:rsid w:val="00AD09A1"/>
    <w:rsid w:val="00AD0CB3"/>
    <w:rsid w:val="00AD0D34"/>
    <w:rsid w:val="00AD0EAD"/>
    <w:rsid w:val="00AD0F96"/>
    <w:rsid w:val="00AD12D8"/>
    <w:rsid w:val="00AD16D3"/>
    <w:rsid w:val="00AD1888"/>
    <w:rsid w:val="00AD195F"/>
    <w:rsid w:val="00AD207D"/>
    <w:rsid w:val="00AD2125"/>
    <w:rsid w:val="00AD21F1"/>
    <w:rsid w:val="00AD228E"/>
    <w:rsid w:val="00AD249C"/>
    <w:rsid w:val="00AD24BC"/>
    <w:rsid w:val="00AD2599"/>
    <w:rsid w:val="00AD2A17"/>
    <w:rsid w:val="00AD2A9B"/>
    <w:rsid w:val="00AD2AD2"/>
    <w:rsid w:val="00AD2C34"/>
    <w:rsid w:val="00AD2CBA"/>
    <w:rsid w:val="00AD2E98"/>
    <w:rsid w:val="00AD2FEC"/>
    <w:rsid w:val="00AD30B0"/>
    <w:rsid w:val="00AD30F9"/>
    <w:rsid w:val="00AD31D5"/>
    <w:rsid w:val="00AD335D"/>
    <w:rsid w:val="00AD38DD"/>
    <w:rsid w:val="00AD3B68"/>
    <w:rsid w:val="00AD3C36"/>
    <w:rsid w:val="00AD3C70"/>
    <w:rsid w:val="00AD3E5C"/>
    <w:rsid w:val="00AD3F9E"/>
    <w:rsid w:val="00AD40E7"/>
    <w:rsid w:val="00AD472F"/>
    <w:rsid w:val="00AD4CF5"/>
    <w:rsid w:val="00AD4D30"/>
    <w:rsid w:val="00AD5010"/>
    <w:rsid w:val="00AD506C"/>
    <w:rsid w:val="00AD5458"/>
    <w:rsid w:val="00AD54E2"/>
    <w:rsid w:val="00AD5B81"/>
    <w:rsid w:val="00AD60B1"/>
    <w:rsid w:val="00AD6107"/>
    <w:rsid w:val="00AD65AA"/>
    <w:rsid w:val="00AD6A3B"/>
    <w:rsid w:val="00AD6F32"/>
    <w:rsid w:val="00AD7158"/>
    <w:rsid w:val="00AD7311"/>
    <w:rsid w:val="00AD7368"/>
    <w:rsid w:val="00AD738C"/>
    <w:rsid w:val="00AD7472"/>
    <w:rsid w:val="00AD750F"/>
    <w:rsid w:val="00AD7865"/>
    <w:rsid w:val="00AD7AB0"/>
    <w:rsid w:val="00AD7AF3"/>
    <w:rsid w:val="00AD7C37"/>
    <w:rsid w:val="00AD7F50"/>
    <w:rsid w:val="00AD7F7D"/>
    <w:rsid w:val="00AD7FA3"/>
    <w:rsid w:val="00AE0127"/>
    <w:rsid w:val="00AE0186"/>
    <w:rsid w:val="00AE0497"/>
    <w:rsid w:val="00AE0A2A"/>
    <w:rsid w:val="00AE0B55"/>
    <w:rsid w:val="00AE0CDD"/>
    <w:rsid w:val="00AE10DE"/>
    <w:rsid w:val="00AE11D1"/>
    <w:rsid w:val="00AE135A"/>
    <w:rsid w:val="00AE1540"/>
    <w:rsid w:val="00AE1812"/>
    <w:rsid w:val="00AE1824"/>
    <w:rsid w:val="00AE1A30"/>
    <w:rsid w:val="00AE1B7E"/>
    <w:rsid w:val="00AE1B94"/>
    <w:rsid w:val="00AE1E9E"/>
    <w:rsid w:val="00AE27F2"/>
    <w:rsid w:val="00AE2BE3"/>
    <w:rsid w:val="00AE2EAC"/>
    <w:rsid w:val="00AE31DD"/>
    <w:rsid w:val="00AE3602"/>
    <w:rsid w:val="00AE3670"/>
    <w:rsid w:val="00AE387B"/>
    <w:rsid w:val="00AE39FE"/>
    <w:rsid w:val="00AE3E06"/>
    <w:rsid w:val="00AE3E35"/>
    <w:rsid w:val="00AE40C5"/>
    <w:rsid w:val="00AE40DF"/>
    <w:rsid w:val="00AE417C"/>
    <w:rsid w:val="00AE4381"/>
    <w:rsid w:val="00AE4812"/>
    <w:rsid w:val="00AE4AC3"/>
    <w:rsid w:val="00AE4ADC"/>
    <w:rsid w:val="00AE4B7F"/>
    <w:rsid w:val="00AE4EAB"/>
    <w:rsid w:val="00AE4EC2"/>
    <w:rsid w:val="00AE511B"/>
    <w:rsid w:val="00AE513D"/>
    <w:rsid w:val="00AE5159"/>
    <w:rsid w:val="00AE51D8"/>
    <w:rsid w:val="00AE520E"/>
    <w:rsid w:val="00AE56F2"/>
    <w:rsid w:val="00AE5737"/>
    <w:rsid w:val="00AE5777"/>
    <w:rsid w:val="00AE57CC"/>
    <w:rsid w:val="00AE59BF"/>
    <w:rsid w:val="00AE5A02"/>
    <w:rsid w:val="00AE5A99"/>
    <w:rsid w:val="00AE5B86"/>
    <w:rsid w:val="00AE5E47"/>
    <w:rsid w:val="00AE636A"/>
    <w:rsid w:val="00AE63D3"/>
    <w:rsid w:val="00AE64CC"/>
    <w:rsid w:val="00AE67C3"/>
    <w:rsid w:val="00AE6897"/>
    <w:rsid w:val="00AE69DF"/>
    <w:rsid w:val="00AE6B92"/>
    <w:rsid w:val="00AE6F4A"/>
    <w:rsid w:val="00AE70A3"/>
    <w:rsid w:val="00AE7317"/>
    <w:rsid w:val="00AE736C"/>
    <w:rsid w:val="00AE7550"/>
    <w:rsid w:val="00AE7756"/>
    <w:rsid w:val="00AE7DAD"/>
    <w:rsid w:val="00AF002D"/>
    <w:rsid w:val="00AF0428"/>
    <w:rsid w:val="00AF0F12"/>
    <w:rsid w:val="00AF1644"/>
    <w:rsid w:val="00AF1695"/>
    <w:rsid w:val="00AF1780"/>
    <w:rsid w:val="00AF178B"/>
    <w:rsid w:val="00AF2B0B"/>
    <w:rsid w:val="00AF2EA4"/>
    <w:rsid w:val="00AF2EB0"/>
    <w:rsid w:val="00AF319A"/>
    <w:rsid w:val="00AF32D3"/>
    <w:rsid w:val="00AF358B"/>
    <w:rsid w:val="00AF35A3"/>
    <w:rsid w:val="00AF38F6"/>
    <w:rsid w:val="00AF3BE7"/>
    <w:rsid w:val="00AF3E67"/>
    <w:rsid w:val="00AF40BC"/>
    <w:rsid w:val="00AF41A4"/>
    <w:rsid w:val="00AF41BA"/>
    <w:rsid w:val="00AF4492"/>
    <w:rsid w:val="00AF47CE"/>
    <w:rsid w:val="00AF4871"/>
    <w:rsid w:val="00AF4BC0"/>
    <w:rsid w:val="00AF4BDA"/>
    <w:rsid w:val="00AF4D5A"/>
    <w:rsid w:val="00AF5798"/>
    <w:rsid w:val="00AF57DE"/>
    <w:rsid w:val="00AF5B51"/>
    <w:rsid w:val="00AF5DCD"/>
    <w:rsid w:val="00AF5E97"/>
    <w:rsid w:val="00AF6085"/>
    <w:rsid w:val="00AF60DC"/>
    <w:rsid w:val="00AF6136"/>
    <w:rsid w:val="00AF618E"/>
    <w:rsid w:val="00AF64BB"/>
    <w:rsid w:val="00AF667E"/>
    <w:rsid w:val="00AF66C0"/>
    <w:rsid w:val="00AF6823"/>
    <w:rsid w:val="00AF6892"/>
    <w:rsid w:val="00AF6B96"/>
    <w:rsid w:val="00AF6BD9"/>
    <w:rsid w:val="00AF6CC5"/>
    <w:rsid w:val="00AF6D09"/>
    <w:rsid w:val="00AF6EAB"/>
    <w:rsid w:val="00AF6F09"/>
    <w:rsid w:val="00AF6FCE"/>
    <w:rsid w:val="00AF7321"/>
    <w:rsid w:val="00AF750C"/>
    <w:rsid w:val="00AF78DD"/>
    <w:rsid w:val="00AF794E"/>
    <w:rsid w:val="00AF79FF"/>
    <w:rsid w:val="00AF7A97"/>
    <w:rsid w:val="00AF7BDD"/>
    <w:rsid w:val="00B00007"/>
    <w:rsid w:val="00B0000C"/>
    <w:rsid w:val="00B0031E"/>
    <w:rsid w:val="00B0039C"/>
    <w:rsid w:val="00B0076F"/>
    <w:rsid w:val="00B0093B"/>
    <w:rsid w:val="00B00C86"/>
    <w:rsid w:val="00B011DF"/>
    <w:rsid w:val="00B01222"/>
    <w:rsid w:val="00B0142F"/>
    <w:rsid w:val="00B015CC"/>
    <w:rsid w:val="00B0170B"/>
    <w:rsid w:val="00B017D3"/>
    <w:rsid w:val="00B017E3"/>
    <w:rsid w:val="00B01C5E"/>
    <w:rsid w:val="00B01D24"/>
    <w:rsid w:val="00B01E02"/>
    <w:rsid w:val="00B01F61"/>
    <w:rsid w:val="00B01F66"/>
    <w:rsid w:val="00B024E1"/>
    <w:rsid w:val="00B0288F"/>
    <w:rsid w:val="00B029E6"/>
    <w:rsid w:val="00B02A45"/>
    <w:rsid w:val="00B02A65"/>
    <w:rsid w:val="00B02D81"/>
    <w:rsid w:val="00B02DFF"/>
    <w:rsid w:val="00B03102"/>
    <w:rsid w:val="00B031A2"/>
    <w:rsid w:val="00B03230"/>
    <w:rsid w:val="00B03268"/>
    <w:rsid w:val="00B032E9"/>
    <w:rsid w:val="00B034D8"/>
    <w:rsid w:val="00B03627"/>
    <w:rsid w:val="00B039E1"/>
    <w:rsid w:val="00B03B09"/>
    <w:rsid w:val="00B03B13"/>
    <w:rsid w:val="00B03BA3"/>
    <w:rsid w:val="00B03C6B"/>
    <w:rsid w:val="00B03D62"/>
    <w:rsid w:val="00B03DE0"/>
    <w:rsid w:val="00B03F19"/>
    <w:rsid w:val="00B040B1"/>
    <w:rsid w:val="00B040CD"/>
    <w:rsid w:val="00B044BF"/>
    <w:rsid w:val="00B04593"/>
    <w:rsid w:val="00B0460F"/>
    <w:rsid w:val="00B04850"/>
    <w:rsid w:val="00B04852"/>
    <w:rsid w:val="00B04867"/>
    <w:rsid w:val="00B048D9"/>
    <w:rsid w:val="00B04D8C"/>
    <w:rsid w:val="00B04F33"/>
    <w:rsid w:val="00B050CF"/>
    <w:rsid w:val="00B052C0"/>
    <w:rsid w:val="00B05394"/>
    <w:rsid w:val="00B0575B"/>
    <w:rsid w:val="00B05973"/>
    <w:rsid w:val="00B05C4F"/>
    <w:rsid w:val="00B05D56"/>
    <w:rsid w:val="00B05D5B"/>
    <w:rsid w:val="00B05E64"/>
    <w:rsid w:val="00B05FC2"/>
    <w:rsid w:val="00B0619C"/>
    <w:rsid w:val="00B0630E"/>
    <w:rsid w:val="00B065E4"/>
    <w:rsid w:val="00B06706"/>
    <w:rsid w:val="00B06BA7"/>
    <w:rsid w:val="00B06C86"/>
    <w:rsid w:val="00B06D9F"/>
    <w:rsid w:val="00B06FBB"/>
    <w:rsid w:val="00B0709F"/>
    <w:rsid w:val="00B071DA"/>
    <w:rsid w:val="00B072AB"/>
    <w:rsid w:val="00B073BF"/>
    <w:rsid w:val="00B079E5"/>
    <w:rsid w:val="00B07DBB"/>
    <w:rsid w:val="00B1008F"/>
    <w:rsid w:val="00B10370"/>
    <w:rsid w:val="00B1045A"/>
    <w:rsid w:val="00B104AE"/>
    <w:rsid w:val="00B1056A"/>
    <w:rsid w:val="00B10651"/>
    <w:rsid w:val="00B1077E"/>
    <w:rsid w:val="00B107A1"/>
    <w:rsid w:val="00B10870"/>
    <w:rsid w:val="00B10A1D"/>
    <w:rsid w:val="00B10BEA"/>
    <w:rsid w:val="00B11435"/>
    <w:rsid w:val="00B11439"/>
    <w:rsid w:val="00B1151B"/>
    <w:rsid w:val="00B11550"/>
    <w:rsid w:val="00B1188E"/>
    <w:rsid w:val="00B11990"/>
    <w:rsid w:val="00B11BA4"/>
    <w:rsid w:val="00B11D09"/>
    <w:rsid w:val="00B11EE6"/>
    <w:rsid w:val="00B11FA1"/>
    <w:rsid w:val="00B12287"/>
    <w:rsid w:val="00B123DF"/>
    <w:rsid w:val="00B12787"/>
    <w:rsid w:val="00B128C7"/>
    <w:rsid w:val="00B12A5B"/>
    <w:rsid w:val="00B12AD2"/>
    <w:rsid w:val="00B12ADC"/>
    <w:rsid w:val="00B12C30"/>
    <w:rsid w:val="00B12C9E"/>
    <w:rsid w:val="00B12CAA"/>
    <w:rsid w:val="00B12DC7"/>
    <w:rsid w:val="00B12EAF"/>
    <w:rsid w:val="00B12EB0"/>
    <w:rsid w:val="00B12FF1"/>
    <w:rsid w:val="00B1352D"/>
    <w:rsid w:val="00B13BF8"/>
    <w:rsid w:val="00B13BFD"/>
    <w:rsid w:val="00B13D9C"/>
    <w:rsid w:val="00B14131"/>
    <w:rsid w:val="00B1423D"/>
    <w:rsid w:val="00B1428F"/>
    <w:rsid w:val="00B145E9"/>
    <w:rsid w:val="00B14769"/>
    <w:rsid w:val="00B14C1B"/>
    <w:rsid w:val="00B14C5B"/>
    <w:rsid w:val="00B14C71"/>
    <w:rsid w:val="00B15181"/>
    <w:rsid w:val="00B152B7"/>
    <w:rsid w:val="00B1530A"/>
    <w:rsid w:val="00B1537F"/>
    <w:rsid w:val="00B1545E"/>
    <w:rsid w:val="00B15636"/>
    <w:rsid w:val="00B156E2"/>
    <w:rsid w:val="00B15739"/>
    <w:rsid w:val="00B15EDA"/>
    <w:rsid w:val="00B15FE4"/>
    <w:rsid w:val="00B16124"/>
    <w:rsid w:val="00B1632D"/>
    <w:rsid w:val="00B16334"/>
    <w:rsid w:val="00B163F5"/>
    <w:rsid w:val="00B16733"/>
    <w:rsid w:val="00B16BC2"/>
    <w:rsid w:val="00B16C4A"/>
    <w:rsid w:val="00B16C84"/>
    <w:rsid w:val="00B16FD2"/>
    <w:rsid w:val="00B1738A"/>
    <w:rsid w:val="00B1751C"/>
    <w:rsid w:val="00B1757C"/>
    <w:rsid w:val="00B17583"/>
    <w:rsid w:val="00B17682"/>
    <w:rsid w:val="00B1770D"/>
    <w:rsid w:val="00B1784A"/>
    <w:rsid w:val="00B17D2E"/>
    <w:rsid w:val="00B17D38"/>
    <w:rsid w:val="00B17D9E"/>
    <w:rsid w:val="00B17E31"/>
    <w:rsid w:val="00B17F6A"/>
    <w:rsid w:val="00B17FAB"/>
    <w:rsid w:val="00B200B8"/>
    <w:rsid w:val="00B20930"/>
    <w:rsid w:val="00B20B05"/>
    <w:rsid w:val="00B20B64"/>
    <w:rsid w:val="00B20BDD"/>
    <w:rsid w:val="00B20DAE"/>
    <w:rsid w:val="00B20F08"/>
    <w:rsid w:val="00B20F73"/>
    <w:rsid w:val="00B21014"/>
    <w:rsid w:val="00B210D5"/>
    <w:rsid w:val="00B210FB"/>
    <w:rsid w:val="00B21168"/>
    <w:rsid w:val="00B21273"/>
    <w:rsid w:val="00B2135B"/>
    <w:rsid w:val="00B213B7"/>
    <w:rsid w:val="00B21735"/>
    <w:rsid w:val="00B21805"/>
    <w:rsid w:val="00B218A2"/>
    <w:rsid w:val="00B218E8"/>
    <w:rsid w:val="00B21C97"/>
    <w:rsid w:val="00B21DBF"/>
    <w:rsid w:val="00B2247A"/>
    <w:rsid w:val="00B2297B"/>
    <w:rsid w:val="00B2298A"/>
    <w:rsid w:val="00B2299E"/>
    <w:rsid w:val="00B22A40"/>
    <w:rsid w:val="00B22BCC"/>
    <w:rsid w:val="00B22DA6"/>
    <w:rsid w:val="00B23038"/>
    <w:rsid w:val="00B23093"/>
    <w:rsid w:val="00B231EC"/>
    <w:rsid w:val="00B2324D"/>
    <w:rsid w:val="00B23316"/>
    <w:rsid w:val="00B234C2"/>
    <w:rsid w:val="00B23520"/>
    <w:rsid w:val="00B236AD"/>
    <w:rsid w:val="00B236BD"/>
    <w:rsid w:val="00B23753"/>
    <w:rsid w:val="00B23935"/>
    <w:rsid w:val="00B23CC6"/>
    <w:rsid w:val="00B24153"/>
    <w:rsid w:val="00B2415C"/>
    <w:rsid w:val="00B24392"/>
    <w:rsid w:val="00B24505"/>
    <w:rsid w:val="00B2469F"/>
    <w:rsid w:val="00B249E8"/>
    <w:rsid w:val="00B24AEE"/>
    <w:rsid w:val="00B24BAF"/>
    <w:rsid w:val="00B24BE9"/>
    <w:rsid w:val="00B24CBC"/>
    <w:rsid w:val="00B24E19"/>
    <w:rsid w:val="00B24EF9"/>
    <w:rsid w:val="00B25059"/>
    <w:rsid w:val="00B250EC"/>
    <w:rsid w:val="00B25110"/>
    <w:rsid w:val="00B257B5"/>
    <w:rsid w:val="00B2591E"/>
    <w:rsid w:val="00B25A31"/>
    <w:rsid w:val="00B25BBA"/>
    <w:rsid w:val="00B26538"/>
    <w:rsid w:val="00B26730"/>
    <w:rsid w:val="00B26AA9"/>
    <w:rsid w:val="00B26C60"/>
    <w:rsid w:val="00B26C63"/>
    <w:rsid w:val="00B26DAD"/>
    <w:rsid w:val="00B27045"/>
    <w:rsid w:val="00B270E0"/>
    <w:rsid w:val="00B2710E"/>
    <w:rsid w:val="00B271C0"/>
    <w:rsid w:val="00B272F6"/>
    <w:rsid w:val="00B27357"/>
    <w:rsid w:val="00B2747B"/>
    <w:rsid w:val="00B278F8"/>
    <w:rsid w:val="00B27A2B"/>
    <w:rsid w:val="00B27B45"/>
    <w:rsid w:val="00B27C94"/>
    <w:rsid w:val="00B27DFA"/>
    <w:rsid w:val="00B30273"/>
    <w:rsid w:val="00B303B3"/>
    <w:rsid w:val="00B30637"/>
    <w:rsid w:val="00B308D0"/>
    <w:rsid w:val="00B30DBD"/>
    <w:rsid w:val="00B30F5E"/>
    <w:rsid w:val="00B30FE4"/>
    <w:rsid w:val="00B3108E"/>
    <w:rsid w:val="00B312C6"/>
    <w:rsid w:val="00B319ED"/>
    <w:rsid w:val="00B31A04"/>
    <w:rsid w:val="00B31A33"/>
    <w:rsid w:val="00B31DCA"/>
    <w:rsid w:val="00B31F57"/>
    <w:rsid w:val="00B3220C"/>
    <w:rsid w:val="00B322AB"/>
    <w:rsid w:val="00B32415"/>
    <w:rsid w:val="00B32543"/>
    <w:rsid w:val="00B3257B"/>
    <w:rsid w:val="00B32681"/>
    <w:rsid w:val="00B32C40"/>
    <w:rsid w:val="00B32E7C"/>
    <w:rsid w:val="00B32F43"/>
    <w:rsid w:val="00B331B2"/>
    <w:rsid w:val="00B331B8"/>
    <w:rsid w:val="00B3333B"/>
    <w:rsid w:val="00B33362"/>
    <w:rsid w:val="00B3395E"/>
    <w:rsid w:val="00B33AA3"/>
    <w:rsid w:val="00B33B5E"/>
    <w:rsid w:val="00B33BE9"/>
    <w:rsid w:val="00B33D87"/>
    <w:rsid w:val="00B33FDF"/>
    <w:rsid w:val="00B341AA"/>
    <w:rsid w:val="00B34363"/>
    <w:rsid w:val="00B34428"/>
    <w:rsid w:val="00B34457"/>
    <w:rsid w:val="00B344BB"/>
    <w:rsid w:val="00B345D8"/>
    <w:rsid w:val="00B34659"/>
    <w:rsid w:val="00B348DF"/>
    <w:rsid w:val="00B3492E"/>
    <w:rsid w:val="00B349AF"/>
    <w:rsid w:val="00B34C31"/>
    <w:rsid w:val="00B3511E"/>
    <w:rsid w:val="00B351C9"/>
    <w:rsid w:val="00B3522C"/>
    <w:rsid w:val="00B35923"/>
    <w:rsid w:val="00B35A20"/>
    <w:rsid w:val="00B35BDA"/>
    <w:rsid w:val="00B35ECF"/>
    <w:rsid w:val="00B35FA8"/>
    <w:rsid w:val="00B35FD7"/>
    <w:rsid w:val="00B36275"/>
    <w:rsid w:val="00B36769"/>
    <w:rsid w:val="00B36A60"/>
    <w:rsid w:val="00B36B50"/>
    <w:rsid w:val="00B36D0F"/>
    <w:rsid w:val="00B370DC"/>
    <w:rsid w:val="00B3710D"/>
    <w:rsid w:val="00B371D0"/>
    <w:rsid w:val="00B37257"/>
    <w:rsid w:val="00B37452"/>
    <w:rsid w:val="00B37533"/>
    <w:rsid w:val="00B3784D"/>
    <w:rsid w:val="00B3793D"/>
    <w:rsid w:val="00B379E4"/>
    <w:rsid w:val="00B37C2F"/>
    <w:rsid w:val="00B37D9C"/>
    <w:rsid w:val="00B37EFC"/>
    <w:rsid w:val="00B37F38"/>
    <w:rsid w:val="00B37FC8"/>
    <w:rsid w:val="00B40002"/>
    <w:rsid w:val="00B4004C"/>
    <w:rsid w:val="00B40118"/>
    <w:rsid w:val="00B404E8"/>
    <w:rsid w:val="00B4069B"/>
    <w:rsid w:val="00B406F8"/>
    <w:rsid w:val="00B406FF"/>
    <w:rsid w:val="00B40B70"/>
    <w:rsid w:val="00B40EA7"/>
    <w:rsid w:val="00B40F17"/>
    <w:rsid w:val="00B40F6F"/>
    <w:rsid w:val="00B41063"/>
    <w:rsid w:val="00B410F2"/>
    <w:rsid w:val="00B4156E"/>
    <w:rsid w:val="00B41762"/>
    <w:rsid w:val="00B41861"/>
    <w:rsid w:val="00B41955"/>
    <w:rsid w:val="00B419F3"/>
    <w:rsid w:val="00B41CAB"/>
    <w:rsid w:val="00B4201F"/>
    <w:rsid w:val="00B4203B"/>
    <w:rsid w:val="00B420D0"/>
    <w:rsid w:val="00B4273F"/>
    <w:rsid w:val="00B42E31"/>
    <w:rsid w:val="00B43199"/>
    <w:rsid w:val="00B43289"/>
    <w:rsid w:val="00B43373"/>
    <w:rsid w:val="00B43381"/>
    <w:rsid w:val="00B435BA"/>
    <w:rsid w:val="00B4367F"/>
    <w:rsid w:val="00B43786"/>
    <w:rsid w:val="00B438F1"/>
    <w:rsid w:val="00B43ED0"/>
    <w:rsid w:val="00B43F25"/>
    <w:rsid w:val="00B440B6"/>
    <w:rsid w:val="00B44230"/>
    <w:rsid w:val="00B4450F"/>
    <w:rsid w:val="00B44519"/>
    <w:rsid w:val="00B4464E"/>
    <w:rsid w:val="00B446BE"/>
    <w:rsid w:val="00B44969"/>
    <w:rsid w:val="00B44A74"/>
    <w:rsid w:val="00B44B91"/>
    <w:rsid w:val="00B44C3C"/>
    <w:rsid w:val="00B44CE2"/>
    <w:rsid w:val="00B45326"/>
    <w:rsid w:val="00B45373"/>
    <w:rsid w:val="00B453A5"/>
    <w:rsid w:val="00B453EC"/>
    <w:rsid w:val="00B454A9"/>
    <w:rsid w:val="00B4552A"/>
    <w:rsid w:val="00B45578"/>
    <w:rsid w:val="00B4564C"/>
    <w:rsid w:val="00B45796"/>
    <w:rsid w:val="00B459D8"/>
    <w:rsid w:val="00B45CEA"/>
    <w:rsid w:val="00B45D0A"/>
    <w:rsid w:val="00B4627F"/>
    <w:rsid w:val="00B463C5"/>
    <w:rsid w:val="00B4646B"/>
    <w:rsid w:val="00B464E7"/>
    <w:rsid w:val="00B465B4"/>
    <w:rsid w:val="00B46ECB"/>
    <w:rsid w:val="00B47159"/>
    <w:rsid w:val="00B47228"/>
    <w:rsid w:val="00B47395"/>
    <w:rsid w:val="00B474DC"/>
    <w:rsid w:val="00B4768D"/>
    <w:rsid w:val="00B47798"/>
    <w:rsid w:val="00B47870"/>
    <w:rsid w:val="00B47C72"/>
    <w:rsid w:val="00B47D8D"/>
    <w:rsid w:val="00B47DE3"/>
    <w:rsid w:val="00B501C5"/>
    <w:rsid w:val="00B50320"/>
    <w:rsid w:val="00B5095C"/>
    <w:rsid w:val="00B50B89"/>
    <w:rsid w:val="00B50CC3"/>
    <w:rsid w:val="00B50CFA"/>
    <w:rsid w:val="00B50EF6"/>
    <w:rsid w:val="00B50F30"/>
    <w:rsid w:val="00B51382"/>
    <w:rsid w:val="00B5147D"/>
    <w:rsid w:val="00B51542"/>
    <w:rsid w:val="00B51791"/>
    <w:rsid w:val="00B5180B"/>
    <w:rsid w:val="00B51A3E"/>
    <w:rsid w:val="00B51A4F"/>
    <w:rsid w:val="00B51AED"/>
    <w:rsid w:val="00B51BDE"/>
    <w:rsid w:val="00B51D8B"/>
    <w:rsid w:val="00B51EEE"/>
    <w:rsid w:val="00B51FB1"/>
    <w:rsid w:val="00B52074"/>
    <w:rsid w:val="00B520CC"/>
    <w:rsid w:val="00B5210C"/>
    <w:rsid w:val="00B521AC"/>
    <w:rsid w:val="00B522D5"/>
    <w:rsid w:val="00B5259F"/>
    <w:rsid w:val="00B526D5"/>
    <w:rsid w:val="00B527C1"/>
    <w:rsid w:val="00B528B0"/>
    <w:rsid w:val="00B52950"/>
    <w:rsid w:val="00B52E0A"/>
    <w:rsid w:val="00B531C7"/>
    <w:rsid w:val="00B531FD"/>
    <w:rsid w:val="00B5332E"/>
    <w:rsid w:val="00B53842"/>
    <w:rsid w:val="00B53AEB"/>
    <w:rsid w:val="00B53BEC"/>
    <w:rsid w:val="00B53BF1"/>
    <w:rsid w:val="00B53EEF"/>
    <w:rsid w:val="00B53F0C"/>
    <w:rsid w:val="00B53F87"/>
    <w:rsid w:val="00B540B7"/>
    <w:rsid w:val="00B540CD"/>
    <w:rsid w:val="00B541C3"/>
    <w:rsid w:val="00B542E4"/>
    <w:rsid w:val="00B543E8"/>
    <w:rsid w:val="00B543E9"/>
    <w:rsid w:val="00B5466A"/>
    <w:rsid w:val="00B54939"/>
    <w:rsid w:val="00B549B1"/>
    <w:rsid w:val="00B54EC4"/>
    <w:rsid w:val="00B55044"/>
    <w:rsid w:val="00B5512C"/>
    <w:rsid w:val="00B55302"/>
    <w:rsid w:val="00B553E4"/>
    <w:rsid w:val="00B556A1"/>
    <w:rsid w:val="00B55953"/>
    <w:rsid w:val="00B55956"/>
    <w:rsid w:val="00B55DBD"/>
    <w:rsid w:val="00B55EA2"/>
    <w:rsid w:val="00B55F6D"/>
    <w:rsid w:val="00B560D1"/>
    <w:rsid w:val="00B560E6"/>
    <w:rsid w:val="00B563D7"/>
    <w:rsid w:val="00B563F3"/>
    <w:rsid w:val="00B565FC"/>
    <w:rsid w:val="00B567C6"/>
    <w:rsid w:val="00B56B67"/>
    <w:rsid w:val="00B56D18"/>
    <w:rsid w:val="00B56D2A"/>
    <w:rsid w:val="00B56D52"/>
    <w:rsid w:val="00B56E57"/>
    <w:rsid w:val="00B57014"/>
    <w:rsid w:val="00B57023"/>
    <w:rsid w:val="00B57119"/>
    <w:rsid w:val="00B57199"/>
    <w:rsid w:val="00B571F5"/>
    <w:rsid w:val="00B572AD"/>
    <w:rsid w:val="00B5749C"/>
    <w:rsid w:val="00B57816"/>
    <w:rsid w:val="00B57C28"/>
    <w:rsid w:val="00B57D09"/>
    <w:rsid w:val="00B6036D"/>
    <w:rsid w:val="00B603B7"/>
    <w:rsid w:val="00B60491"/>
    <w:rsid w:val="00B6061C"/>
    <w:rsid w:val="00B60A44"/>
    <w:rsid w:val="00B60C74"/>
    <w:rsid w:val="00B60D9C"/>
    <w:rsid w:val="00B6101D"/>
    <w:rsid w:val="00B611CB"/>
    <w:rsid w:val="00B614BC"/>
    <w:rsid w:val="00B616D0"/>
    <w:rsid w:val="00B619BD"/>
    <w:rsid w:val="00B61D0C"/>
    <w:rsid w:val="00B61DC0"/>
    <w:rsid w:val="00B6202D"/>
    <w:rsid w:val="00B620A6"/>
    <w:rsid w:val="00B620C1"/>
    <w:rsid w:val="00B623B9"/>
    <w:rsid w:val="00B62511"/>
    <w:rsid w:val="00B6253A"/>
    <w:rsid w:val="00B627BE"/>
    <w:rsid w:val="00B627DF"/>
    <w:rsid w:val="00B6294E"/>
    <w:rsid w:val="00B62B5E"/>
    <w:rsid w:val="00B62B74"/>
    <w:rsid w:val="00B62BBF"/>
    <w:rsid w:val="00B62CAA"/>
    <w:rsid w:val="00B62DA0"/>
    <w:rsid w:val="00B62F45"/>
    <w:rsid w:val="00B63016"/>
    <w:rsid w:val="00B630F4"/>
    <w:rsid w:val="00B636DD"/>
    <w:rsid w:val="00B637C8"/>
    <w:rsid w:val="00B63854"/>
    <w:rsid w:val="00B6386C"/>
    <w:rsid w:val="00B63A5D"/>
    <w:rsid w:val="00B63DC6"/>
    <w:rsid w:val="00B63FF3"/>
    <w:rsid w:val="00B64245"/>
    <w:rsid w:val="00B64605"/>
    <w:rsid w:val="00B64B4C"/>
    <w:rsid w:val="00B64CDE"/>
    <w:rsid w:val="00B64D26"/>
    <w:rsid w:val="00B64E03"/>
    <w:rsid w:val="00B650D2"/>
    <w:rsid w:val="00B65113"/>
    <w:rsid w:val="00B65431"/>
    <w:rsid w:val="00B65CC3"/>
    <w:rsid w:val="00B65E3D"/>
    <w:rsid w:val="00B65EA4"/>
    <w:rsid w:val="00B65FAD"/>
    <w:rsid w:val="00B6602F"/>
    <w:rsid w:val="00B66077"/>
    <w:rsid w:val="00B660BE"/>
    <w:rsid w:val="00B6613A"/>
    <w:rsid w:val="00B665E2"/>
    <w:rsid w:val="00B6669C"/>
    <w:rsid w:val="00B666F3"/>
    <w:rsid w:val="00B66918"/>
    <w:rsid w:val="00B669EE"/>
    <w:rsid w:val="00B66A46"/>
    <w:rsid w:val="00B66ADD"/>
    <w:rsid w:val="00B66C88"/>
    <w:rsid w:val="00B66D89"/>
    <w:rsid w:val="00B66E82"/>
    <w:rsid w:val="00B66FCE"/>
    <w:rsid w:val="00B67001"/>
    <w:rsid w:val="00B67235"/>
    <w:rsid w:val="00B67407"/>
    <w:rsid w:val="00B67754"/>
    <w:rsid w:val="00B67C20"/>
    <w:rsid w:val="00B67DFC"/>
    <w:rsid w:val="00B67E8E"/>
    <w:rsid w:val="00B67EED"/>
    <w:rsid w:val="00B7043B"/>
    <w:rsid w:val="00B7095C"/>
    <w:rsid w:val="00B709DE"/>
    <w:rsid w:val="00B70D65"/>
    <w:rsid w:val="00B70E88"/>
    <w:rsid w:val="00B7152D"/>
    <w:rsid w:val="00B7169A"/>
    <w:rsid w:val="00B71740"/>
    <w:rsid w:val="00B71838"/>
    <w:rsid w:val="00B718B5"/>
    <w:rsid w:val="00B71C2F"/>
    <w:rsid w:val="00B71CCB"/>
    <w:rsid w:val="00B71D2C"/>
    <w:rsid w:val="00B71E61"/>
    <w:rsid w:val="00B72034"/>
    <w:rsid w:val="00B72123"/>
    <w:rsid w:val="00B72210"/>
    <w:rsid w:val="00B7234B"/>
    <w:rsid w:val="00B72366"/>
    <w:rsid w:val="00B725A1"/>
    <w:rsid w:val="00B7266A"/>
    <w:rsid w:val="00B727AF"/>
    <w:rsid w:val="00B727FF"/>
    <w:rsid w:val="00B732C7"/>
    <w:rsid w:val="00B733C9"/>
    <w:rsid w:val="00B73708"/>
    <w:rsid w:val="00B73891"/>
    <w:rsid w:val="00B73926"/>
    <w:rsid w:val="00B739BC"/>
    <w:rsid w:val="00B73C63"/>
    <w:rsid w:val="00B73DF3"/>
    <w:rsid w:val="00B73FA0"/>
    <w:rsid w:val="00B741A5"/>
    <w:rsid w:val="00B74840"/>
    <w:rsid w:val="00B748B1"/>
    <w:rsid w:val="00B7491C"/>
    <w:rsid w:val="00B7499E"/>
    <w:rsid w:val="00B74AA8"/>
    <w:rsid w:val="00B74B44"/>
    <w:rsid w:val="00B74B72"/>
    <w:rsid w:val="00B75119"/>
    <w:rsid w:val="00B75417"/>
    <w:rsid w:val="00B75465"/>
    <w:rsid w:val="00B7568A"/>
    <w:rsid w:val="00B758B3"/>
    <w:rsid w:val="00B75ADA"/>
    <w:rsid w:val="00B7658B"/>
    <w:rsid w:val="00B76734"/>
    <w:rsid w:val="00B767A6"/>
    <w:rsid w:val="00B76803"/>
    <w:rsid w:val="00B76983"/>
    <w:rsid w:val="00B76D0D"/>
    <w:rsid w:val="00B76D8E"/>
    <w:rsid w:val="00B76E17"/>
    <w:rsid w:val="00B76F72"/>
    <w:rsid w:val="00B76FD7"/>
    <w:rsid w:val="00B772BA"/>
    <w:rsid w:val="00B772DE"/>
    <w:rsid w:val="00B7757B"/>
    <w:rsid w:val="00B776B1"/>
    <w:rsid w:val="00B777DA"/>
    <w:rsid w:val="00B778CB"/>
    <w:rsid w:val="00B779E7"/>
    <w:rsid w:val="00B77E89"/>
    <w:rsid w:val="00B77F53"/>
    <w:rsid w:val="00B8000D"/>
    <w:rsid w:val="00B802B6"/>
    <w:rsid w:val="00B80538"/>
    <w:rsid w:val="00B8093A"/>
    <w:rsid w:val="00B80A0E"/>
    <w:rsid w:val="00B80A2E"/>
    <w:rsid w:val="00B80A94"/>
    <w:rsid w:val="00B810BE"/>
    <w:rsid w:val="00B81192"/>
    <w:rsid w:val="00B81390"/>
    <w:rsid w:val="00B8144E"/>
    <w:rsid w:val="00B81677"/>
    <w:rsid w:val="00B81BB4"/>
    <w:rsid w:val="00B81E9B"/>
    <w:rsid w:val="00B81FCD"/>
    <w:rsid w:val="00B82193"/>
    <w:rsid w:val="00B825C7"/>
    <w:rsid w:val="00B825E1"/>
    <w:rsid w:val="00B82A5C"/>
    <w:rsid w:val="00B82BCB"/>
    <w:rsid w:val="00B82C88"/>
    <w:rsid w:val="00B82FBF"/>
    <w:rsid w:val="00B8310B"/>
    <w:rsid w:val="00B83178"/>
    <w:rsid w:val="00B832CF"/>
    <w:rsid w:val="00B83363"/>
    <w:rsid w:val="00B8353F"/>
    <w:rsid w:val="00B836B5"/>
    <w:rsid w:val="00B836CB"/>
    <w:rsid w:val="00B83ACD"/>
    <w:rsid w:val="00B83B31"/>
    <w:rsid w:val="00B83C2F"/>
    <w:rsid w:val="00B83E8D"/>
    <w:rsid w:val="00B8404B"/>
    <w:rsid w:val="00B841C5"/>
    <w:rsid w:val="00B846DF"/>
    <w:rsid w:val="00B847B6"/>
    <w:rsid w:val="00B847FA"/>
    <w:rsid w:val="00B84981"/>
    <w:rsid w:val="00B84CE2"/>
    <w:rsid w:val="00B84CFD"/>
    <w:rsid w:val="00B84F46"/>
    <w:rsid w:val="00B84F6A"/>
    <w:rsid w:val="00B84FF8"/>
    <w:rsid w:val="00B85146"/>
    <w:rsid w:val="00B851A2"/>
    <w:rsid w:val="00B8524C"/>
    <w:rsid w:val="00B855F2"/>
    <w:rsid w:val="00B85895"/>
    <w:rsid w:val="00B8593D"/>
    <w:rsid w:val="00B85B85"/>
    <w:rsid w:val="00B85D9C"/>
    <w:rsid w:val="00B85E81"/>
    <w:rsid w:val="00B85F7D"/>
    <w:rsid w:val="00B86167"/>
    <w:rsid w:val="00B862D5"/>
    <w:rsid w:val="00B86310"/>
    <w:rsid w:val="00B86400"/>
    <w:rsid w:val="00B864C5"/>
    <w:rsid w:val="00B86584"/>
    <w:rsid w:val="00B865DD"/>
    <w:rsid w:val="00B8686F"/>
    <w:rsid w:val="00B86923"/>
    <w:rsid w:val="00B86950"/>
    <w:rsid w:val="00B869BF"/>
    <w:rsid w:val="00B86A92"/>
    <w:rsid w:val="00B86E06"/>
    <w:rsid w:val="00B86FB5"/>
    <w:rsid w:val="00B8797E"/>
    <w:rsid w:val="00B87F93"/>
    <w:rsid w:val="00B900A9"/>
    <w:rsid w:val="00B90192"/>
    <w:rsid w:val="00B9028E"/>
    <w:rsid w:val="00B9071A"/>
    <w:rsid w:val="00B90760"/>
    <w:rsid w:val="00B909C7"/>
    <w:rsid w:val="00B90C78"/>
    <w:rsid w:val="00B90F88"/>
    <w:rsid w:val="00B91288"/>
    <w:rsid w:val="00B912F8"/>
    <w:rsid w:val="00B9154D"/>
    <w:rsid w:val="00B91690"/>
    <w:rsid w:val="00B91903"/>
    <w:rsid w:val="00B91BEB"/>
    <w:rsid w:val="00B920D9"/>
    <w:rsid w:val="00B923AC"/>
    <w:rsid w:val="00B9245D"/>
    <w:rsid w:val="00B9270E"/>
    <w:rsid w:val="00B92859"/>
    <w:rsid w:val="00B92AD8"/>
    <w:rsid w:val="00B931AA"/>
    <w:rsid w:val="00B9322F"/>
    <w:rsid w:val="00B93455"/>
    <w:rsid w:val="00B934CD"/>
    <w:rsid w:val="00B93685"/>
    <w:rsid w:val="00B937D8"/>
    <w:rsid w:val="00B93998"/>
    <w:rsid w:val="00B93CB7"/>
    <w:rsid w:val="00B93F3C"/>
    <w:rsid w:val="00B93F9A"/>
    <w:rsid w:val="00B942D0"/>
    <w:rsid w:val="00B94489"/>
    <w:rsid w:val="00B944D1"/>
    <w:rsid w:val="00B94916"/>
    <w:rsid w:val="00B94ED4"/>
    <w:rsid w:val="00B94FB0"/>
    <w:rsid w:val="00B95028"/>
    <w:rsid w:val="00B95029"/>
    <w:rsid w:val="00B95039"/>
    <w:rsid w:val="00B95347"/>
    <w:rsid w:val="00B954C8"/>
    <w:rsid w:val="00B957CC"/>
    <w:rsid w:val="00B95AA0"/>
    <w:rsid w:val="00B95BEA"/>
    <w:rsid w:val="00B95D5F"/>
    <w:rsid w:val="00B95DBC"/>
    <w:rsid w:val="00B95FB2"/>
    <w:rsid w:val="00B96103"/>
    <w:rsid w:val="00B9612B"/>
    <w:rsid w:val="00B96234"/>
    <w:rsid w:val="00B964F3"/>
    <w:rsid w:val="00B96747"/>
    <w:rsid w:val="00B969B1"/>
    <w:rsid w:val="00B96E50"/>
    <w:rsid w:val="00B97090"/>
    <w:rsid w:val="00B97111"/>
    <w:rsid w:val="00B97125"/>
    <w:rsid w:val="00B97294"/>
    <w:rsid w:val="00B972DD"/>
    <w:rsid w:val="00B97459"/>
    <w:rsid w:val="00B975F1"/>
    <w:rsid w:val="00B978AD"/>
    <w:rsid w:val="00B978DB"/>
    <w:rsid w:val="00B978EF"/>
    <w:rsid w:val="00B978F5"/>
    <w:rsid w:val="00B9790D"/>
    <w:rsid w:val="00B97C79"/>
    <w:rsid w:val="00B97CA3"/>
    <w:rsid w:val="00B97D04"/>
    <w:rsid w:val="00B97D08"/>
    <w:rsid w:val="00B97D6D"/>
    <w:rsid w:val="00B97EE8"/>
    <w:rsid w:val="00BA0035"/>
    <w:rsid w:val="00BA022F"/>
    <w:rsid w:val="00BA043A"/>
    <w:rsid w:val="00BA08D9"/>
    <w:rsid w:val="00BA09C2"/>
    <w:rsid w:val="00BA0A22"/>
    <w:rsid w:val="00BA0BB9"/>
    <w:rsid w:val="00BA0DEF"/>
    <w:rsid w:val="00BA0F93"/>
    <w:rsid w:val="00BA1298"/>
    <w:rsid w:val="00BA1B84"/>
    <w:rsid w:val="00BA1C9A"/>
    <w:rsid w:val="00BA2131"/>
    <w:rsid w:val="00BA227B"/>
    <w:rsid w:val="00BA2937"/>
    <w:rsid w:val="00BA296F"/>
    <w:rsid w:val="00BA2F21"/>
    <w:rsid w:val="00BA2F51"/>
    <w:rsid w:val="00BA30F5"/>
    <w:rsid w:val="00BA31BE"/>
    <w:rsid w:val="00BA32D7"/>
    <w:rsid w:val="00BA3514"/>
    <w:rsid w:val="00BA37BC"/>
    <w:rsid w:val="00BA3982"/>
    <w:rsid w:val="00BA489F"/>
    <w:rsid w:val="00BA4BAA"/>
    <w:rsid w:val="00BA4EEF"/>
    <w:rsid w:val="00BA5095"/>
    <w:rsid w:val="00BA52B8"/>
    <w:rsid w:val="00BA5594"/>
    <w:rsid w:val="00BA5617"/>
    <w:rsid w:val="00BA577E"/>
    <w:rsid w:val="00BA5C67"/>
    <w:rsid w:val="00BA5CF6"/>
    <w:rsid w:val="00BA5D1F"/>
    <w:rsid w:val="00BA5E55"/>
    <w:rsid w:val="00BA5FB9"/>
    <w:rsid w:val="00BA60A6"/>
    <w:rsid w:val="00BA6249"/>
    <w:rsid w:val="00BA64A6"/>
    <w:rsid w:val="00BA6785"/>
    <w:rsid w:val="00BA6835"/>
    <w:rsid w:val="00BA69E6"/>
    <w:rsid w:val="00BA6DDE"/>
    <w:rsid w:val="00BA6F83"/>
    <w:rsid w:val="00BA6FA1"/>
    <w:rsid w:val="00BA712A"/>
    <w:rsid w:val="00BA7278"/>
    <w:rsid w:val="00BA7387"/>
    <w:rsid w:val="00BA7562"/>
    <w:rsid w:val="00BA75BA"/>
    <w:rsid w:val="00BA766F"/>
    <w:rsid w:val="00BA7865"/>
    <w:rsid w:val="00BA788A"/>
    <w:rsid w:val="00BA7BA5"/>
    <w:rsid w:val="00BA7D0C"/>
    <w:rsid w:val="00BA7DC0"/>
    <w:rsid w:val="00BA7DCB"/>
    <w:rsid w:val="00BA7F5A"/>
    <w:rsid w:val="00BB00FA"/>
    <w:rsid w:val="00BB0328"/>
    <w:rsid w:val="00BB0697"/>
    <w:rsid w:val="00BB0710"/>
    <w:rsid w:val="00BB0730"/>
    <w:rsid w:val="00BB0810"/>
    <w:rsid w:val="00BB092D"/>
    <w:rsid w:val="00BB0AED"/>
    <w:rsid w:val="00BB0C94"/>
    <w:rsid w:val="00BB0DE5"/>
    <w:rsid w:val="00BB0FE8"/>
    <w:rsid w:val="00BB105C"/>
    <w:rsid w:val="00BB10DF"/>
    <w:rsid w:val="00BB1191"/>
    <w:rsid w:val="00BB1224"/>
    <w:rsid w:val="00BB1379"/>
    <w:rsid w:val="00BB14B9"/>
    <w:rsid w:val="00BB15CD"/>
    <w:rsid w:val="00BB18DF"/>
    <w:rsid w:val="00BB1920"/>
    <w:rsid w:val="00BB1A09"/>
    <w:rsid w:val="00BB1CF5"/>
    <w:rsid w:val="00BB1F06"/>
    <w:rsid w:val="00BB1FB9"/>
    <w:rsid w:val="00BB2003"/>
    <w:rsid w:val="00BB2101"/>
    <w:rsid w:val="00BB213B"/>
    <w:rsid w:val="00BB2357"/>
    <w:rsid w:val="00BB267F"/>
    <w:rsid w:val="00BB2A07"/>
    <w:rsid w:val="00BB2D00"/>
    <w:rsid w:val="00BB2E09"/>
    <w:rsid w:val="00BB2EC2"/>
    <w:rsid w:val="00BB2F59"/>
    <w:rsid w:val="00BB32E6"/>
    <w:rsid w:val="00BB33D0"/>
    <w:rsid w:val="00BB3412"/>
    <w:rsid w:val="00BB349B"/>
    <w:rsid w:val="00BB34F7"/>
    <w:rsid w:val="00BB3663"/>
    <w:rsid w:val="00BB3691"/>
    <w:rsid w:val="00BB3692"/>
    <w:rsid w:val="00BB37D3"/>
    <w:rsid w:val="00BB3D3D"/>
    <w:rsid w:val="00BB3F2A"/>
    <w:rsid w:val="00BB400E"/>
    <w:rsid w:val="00BB426C"/>
    <w:rsid w:val="00BB43AA"/>
    <w:rsid w:val="00BB4504"/>
    <w:rsid w:val="00BB47E4"/>
    <w:rsid w:val="00BB480C"/>
    <w:rsid w:val="00BB484A"/>
    <w:rsid w:val="00BB4B17"/>
    <w:rsid w:val="00BB5048"/>
    <w:rsid w:val="00BB5179"/>
    <w:rsid w:val="00BB5208"/>
    <w:rsid w:val="00BB5329"/>
    <w:rsid w:val="00BB53B1"/>
    <w:rsid w:val="00BB54CD"/>
    <w:rsid w:val="00BB55CA"/>
    <w:rsid w:val="00BB57A2"/>
    <w:rsid w:val="00BB5ADC"/>
    <w:rsid w:val="00BB5BCC"/>
    <w:rsid w:val="00BB5E8D"/>
    <w:rsid w:val="00BB5F45"/>
    <w:rsid w:val="00BB6285"/>
    <w:rsid w:val="00BB65F1"/>
    <w:rsid w:val="00BB6B3C"/>
    <w:rsid w:val="00BB6B89"/>
    <w:rsid w:val="00BB6C15"/>
    <w:rsid w:val="00BB6D46"/>
    <w:rsid w:val="00BB6F65"/>
    <w:rsid w:val="00BB726F"/>
    <w:rsid w:val="00BB72D0"/>
    <w:rsid w:val="00BB737E"/>
    <w:rsid w:val="00BB73E4"/>
    <w:rsid w:val="00BB74E1"/>
    <w:rsid w:val="00BB77A9"/>
    <w:rsid w:val="00BB7862"/>
    <w:rsid w:val="00BB7D6C"/>
    <w:rsid w:val="00BC0216"/>
    <w:rsid w:val="00BC06FF"/>
    <w:rsid w:val="00BC08ED"/>
    <w:rsid w:val="00BC092C"/>
    <w:rsid w:val="00BC0964"/>
    <w:rsid w:val="00BC0A14"/>
    <w:rsid w:val="00BC0E00"/>
    <w:rsid w:val="00BC11AD"/>
    <w:rsid w:val="00BC11DC"/>
    <w:rsid w:val="00BC129F"/>
    <w:rsid w:val="00BC156A"/>
    <w:rsid w:val="00BC15E0"/>
    <w:rsid w:val="00BC17D9"/>
    <w:rsid w:val="00BC1847"/>
    <w:rsid w:val="00BC1967"/>
    <w:rsid w:val="00BC1AAC"/>
    <w:rsid w:val="00BC1B17"/>
    <w:rsid w:val="00BC1B7D"/>
    <w:rsid w:val="00BC1E7A"/>
    <w:rsid w:val="00BC219A"/>
    <w:rsid w:val="00BC222E"/>
    <w:rsid w:val="00BC22A6"/>
    <w:rsid w:val="00BC23B0"/>
    <w:rsid w:val="00BC24A0"/>
    <w:rsid w:val="00BC2669"/>
    <w:rsid w:val="00BC2882"/>
    <w:rsid w:val="00BC2980"/>
    <w:rsid w:val="00BC2BD9"/>
    <w:rsid w:val="00BC2D1F"/>
    <w:rsid w:val="00BC2DA2"/>
    <w:rsid w:val="00BC2DE6"/>
    <w:rsid w:val="00BC314C"/>
    <w:rsid w:val="00BC3285"/>
    <w:rsid w:val="00BC32C7"/>
    <w:rsid w:val="00BC3343"/>
    <w:rsid w:val="00BC3486"/>
    <w:rsid w:val="00BC354C"/>
    <w:rsid w:val="00BC3680"/>
    <w:rsid w:val="00BC3734"/>
    <w:rsid w:val="00BC384E"/>
    <w:rsid w:val="00BC38FC"/>
    <w:rsid w:val="00BC39BD"/>
    <w:rsid w:val="00BC3A5E"/>
    <w:rsid w:val="00BC3CF6"/>
    <w:rsid w:val="00BC3F28"/>
    <w:rsid w:val="00BC3FBC"/>
    <w:rsid w:val="00BC4177"/>
    <w:rsid w:val="00BC41C8"/>
    <w:rsid w:val="00BC41F6"/>
    <w:rsid w:val="00BC43D6"/>
    <w:rsid w:val="00BC4A76"/>
    <w:rsid w:val="00BC4A77"/>
    <w:rsid w:val="00BC4C06"/>
    <w:rsid w:val="00BC4D51"/>
    <w:rsid w:val="00BC510F"/>
    <w:rsid w:val="00BC5145"/>
    <w:rsid w:val="00BC516C"/>
    <w:rsid w:val="00BC52A3"/>
    <w:rsid w:val="00BC5465"/>
    <w:rsid w:val="00BC59E4"/>
    <w:rsid w:val="00BC5A1A"/>
    <w:rsid w:val="00BC5B51"/>
    <w:rsid w:val="00BC5C5E"/>
    <w:rsid w:val="00BC5C81"/>
    <w:rsid w:val="00BC5DB1"/>
    <w:rsid w:val="00BC605D"/>
    <w:rsid w:val="00BC60AA"/>
    <w:rsid w:val="00BC6453"/>
    <w:rsid w:val="00BC67E9"/>
    <w:rsid w:val="00BC69F0"/>
    <w:rsid w:val="00BC6A55"/>
    <w:rsid w:val="00BC6E49"/>
    <w:rsid w:val="00BC715D"/>
    <w:rsid w:val="00BC7509"/>
    <w:rsid w:val="00BC7585"/>
    <w:rsid w:val="00BC777E"/>
    <w:rsid w:val="00BC7960"/>
    <w:rsid w:val="00BC7D40"/>
    <w:rsid w:val="00BD0246"/>
    <w:rsid w:val="00BD0708"/>
    <w:rsid w:val="00BD071D"/>
    <w:rsid w:val="00BD0AEC"/>
    <w:rsid w:val="00BD0B7F"/>
    <w:rsid w:val="00BD0B8E"/>
    <w:rsid w:val="00BD0D0B"/>
    <w:rsid w:val="00BD107C"/>
    <w:rsid w:val="00BD12F4"/>
    <w:rsid w:val="00BD15EF"/>
    <w:rsid w:val="00BD17B7"/>
    <w:rsid w:val="00BD17EA"/>
    <w:rsid w:val="00BD181F"/>
    <w:rsid w:val="00BD19C0"/>
    <w:rsid w:val="00BD1A7B"/>
    <w:rsid w:val="00BD1D6F"/>
    <w:rsid w:val="00BD1DBC"/>
    <w:rsid w:val="00BD1F9A"/>
    <w:rsid w:val="00BD1FD7"/>
    <w:rsid w:val="00BD227D"/>
    <w:rsid w:val="00BD2308"/>
    <w:rsid w:val="00BD234C"/>
    <w:rsid w:val="00BD253C"/>
    <w:rsid w:val="00BD274E"/>
    <w:rsid w:val="00BD2753"/>
    <w:rsid w:val="00BD2ACD"/>
    <w:rsid w:val="00BD2B7C"/>
    <w:rsid w:val="00BD2BFD"/>
    <w:rsid w:val="00BD2DB6"/>
    <w:rsid w:val="00BD3680"/>
    <w:rsid w:val="00BD3C07"/>
    <w:rsid w:val="00BD3D75"/>
    <w:rsid w:val="00BD3DF2"/>
    <w:rsid w:val="00BD3E90"/>
    <w:rsid w:val="00BD3F4F"/>
    <w:rsid w:val="00BD403B"/>
    <w:rsid w:val="00BD42AA"/>
    <w:rsid w:val="00BD433A"/>
    <w:rsid w:val="00BD463B"/>
    <w:rsid w:val="00BD479D"/>
    <w:rsid w:val="00BD4A28"/>
    <w:rsid w:val="00BD4A64"/>
    <w:rsid w:val="00BD4B33"/>
    <w:rsid w:val="00BD4C5B"/>
    <w:rsid w:val="00BD4EF5"/>
    <w:rsid w:val="00BD53A9"/>
    <w:rsid w:val="00BD5518"/>
    <w:rsid w:val="00BD5A42"/>
    <w:rsid w:val="00BD5BCE"/>
    <w:rsid w:val="00BD5C1E"/>
    <w:rsid w:val="00BD5D86"/>
    <w:rsid w:val="00BD5DC9"/>
    <w:rsid w:val="00BD5E84"/>
    <w:rsid w:val="00BD6146"/>
    <w:rsid w:val="00BD622B"/>
    <w:rsid w:val="00BD66BD"/>
    <w:rsid w:val="00BD6755"/>
    <w:rsid w:val="00BD697F"/>
    <w:rsid w:val="00BD6A06"/>
    <w:rsid w:val="00BD6DC2"/>
    <w:rsid w:val="00BD6FB3"/>
    <w:rsid w:val="00BD7085"/>
    <w:rsid w:val="00BD74F3"/>
    <w:rsid w:val="00BD7612"/>
    <w:rsid w:val="00BD761C"/>
    <w:rsid w:val="00BD76A8"/>
    <w:rsid w:val="00BD776D"/>
    <w:rsid w:val="00BD79BD"/>
    <w:rsid w:val="00BD7A63"/>
    <w:rsid w:val="00BD7CB4"/>
    <w:rsid w:val="00BD7E2F"/>
    <w:rsid w:val="00BD7F05"/>
    <w:rsid w:val="00BD7FA4"/>
    <w:rsid w:val="00BE0000"/>
    <w:rsid w:val="00BE0128"/>
    <w:rsid w:val="00BE01B7"/>
    <w:rsid w:val="00BE01FD"/>
    <w:rsid w:val="00BE0657"/>
    <w:rsid w:val="00BE0925"/>
    <w:rsid w:val="00BE0941"/>
    <w:rsid w:val="00BE0951"/>
    <w:rsid w:val="00BE0BA0"/>
    <w:rsid w:val="00BE0BEC"/>
    <w:rsid w:val="00BE0C2C"/>
    <w:rsid w:val="00BE0D0A"/>
    <w:rsid w:val="00BE1162"/>
    <w:rsid w:val="00BE12A2"/>
    <w:rsid w:val="00BE1574"/>
    <w:rsid w:val="00BE16D2"/>
    <w:rsid w:val="00BE1D34"/>
    <w:rsid w:val="00BE1E98"/>
    <w:rsid w:val="00BE211B"/>
    <w:rsid w:val="00BE24A9"/>
    <w:rsid w:val="00BE2745"/>
    <w:rsid w:val="00BE2752"/>
    <w:rsid w:val="00BE294C"/>
    <w:rsid w:val="00BE2C05"/>
    <w:rsid w:val="00BE2C9A"/>
    <w:rsid w:val="00BE2D7D"/>
    <w:rsid w:val="00BE2ED2"/>
    <w:rsid w:val="00BE2F9A"/>
    <w:rsid w:val="00BE3587"/>
    <w:rsid w:val="00BE3788"/>
    <w:rsid w:val="00BE3994"/>
    <w:rsid w:val="00BE3A2A"/>
    <w:rsid w:val="00BE3AE0"/>
    <w:rsid w:val="00BE3D25"/>
    <w:rsid w:val="00BE3DF4"/>
    <w:rsid w:val="00BE3E80"/>
    <w:rsid w:val="00BE4191"/>
    <w:rsid w:val="00BE442A"/>
    <w:rsid w:val="00BE4574"/>
    <w:rsid w:val="00BE465C"/>
    <w:rsid w:val="00BE475D"/>
    <w:rsid w:val="00BE487F"/>
    <w:rsid w:val="00BE49BE"/>
    <w:rsid w:val="00BE49FF"/>
    <w:rsid w:val="00BE4A89"/>
    <w:rsid w:val="00BE4C53"/>
    <w:rsid w:val="00BE4D9E"/>
    <w:rsid w:val="00BE4F23"/>
    <w:rsid w:val="00BE4FAC"/>
    <w:rsid w:val="00BE4FB8"/>
    <w:rsid w:val="00BE514E"/>
    <w:rsid w:val="00BE51F9"/>
    <w:rsid w:val="00BE529E"/>
    <w:rsid w:val="00BE56BF"/>
    <w:rsid w:val="00BE578A"/>
    <w:rsid w:val="00BE59E2"/>
    <w:rsid w:val="00BE5CE1"/>
    <w:rsid w:val="00BE600D"/>
    <w:rsid w:val="00BE604F"/>
    <w:rsid w:val="00BE6099"/>
    <w:rsid w:val="00BE623F"/>
    <w:rsid w:val="00BE6747"/>
    <w:rsid w:val="00BE6748"/>
    <w:rsid w:val="00BE68D5"/>
    <w:rsid w:val="00BE6B0F"/>
    <w:rsid w:val="00BE6BE0"/>
    <w:rsid w:val="00BE6C4D"/>
    <w:rsid w:val="00BE6C58"/>
    <w:rsid w:val="00BE6CCE"/>
    <w:rsid w:val="00BE6D16"/>
    <w:rsid w:val="00BE6D66"/>
    <w:rsid w:val="00BE6D74"/>
    <w:rsid w:val="00BE797F"/>
    <w:rsid w:val="00BE7A29"/>
    <w:rsid w:val="00BE7C67"/>
    <w:rsid w:val="00BE7CAB"/>
    <w:rsid w:val="00BF005F"/>
    <w:rsid w:val="00BF0534"/>
    <w:rsid w:val="00BF107B"/>
    <w:rsid w:val="00BF1269"/>
    <w:rsid w:val="00BF12BE"/>
    <w:rsid w:val="00BF175F"/>
    <w:rsid w:val="00BF1A42"/>
    <w:rsid w:val="00BF1B09"/>
    <w:rsid w:val="00BF20CF"/>
    <w:rsid w:val="00BF219C"/>
    <w:rsid w:val="00BF2314"/>
    <w:rsid w:val="00BF23E8"/>
    <w:rsid w:val="00BF2420"/>
    <w:rsid w:val="00BF24D2"/>
    <w:rsid w:val="00BF25C5"/>
    <w:rsid w:val="00BF2603"/>
    <w:rsid w:val="00BF27EE"/>
    <w:rsid w:val="00BF327F"/>
    <w:rsid w:val="00BF3529"/>
    <w:rsid w:val="00BF35B6"/>
    <w:rsid w:val="00BF38C9"/>
    <w:rsid w:val="00BF39F8"/>
    <w:rsid w:val="00BF3AA4"/>
    <w:rsid w:val="00BF3BBE"/>
    <w:rsid w:val="00BF3EAF"/>
    <w:rsid w:val="00BF42F2"/>
    <w:rsid w:val="00BF43D7"/>
    <w:rsid w:val="00BF44A2"/>
    <w:rsid w:val="00BF46F9"/>
    <w:rsid w:val="00BF4C20"/>
    <w:rsid w:val="00BF4D92"/>
    <w:rsid w:val="00BF50B7"/>
    <w:rsid w:val="00BF516D"/>
    <w:rsid w:val="00BF53AD"/>
    <w:rsid w:val="00BF5410"/>
    <w:rsid w:val="00BF5922"/>
    <w:rsid w:val="00BF59BF"/>
    <w:rsid w:val="00BF5A64"/>
    <w:rsid w:val="00BF5FCB"/>
    <w:rsid w:val="00BF6239"/>
    <w:rsid w:val="00BF6263"/>
    <w:rsid w:val="00BF627C"/>
    <w:rsid w:val="00BF63ED"/>
    <w:rsid w:val="00BF69AF"/>
    <w:rsid w:val="00BF6A18"/>
    <w:rsid w:val="00BF6AEA"/>
    <w:rsid w:val="00BF6CEA"/>
    <w:rsid w:val="00BF700A"/>
    <w:rsid w:val="00BF7064"/>
    <w:rsid w:val="00BF72EE"/>
    <w:rsid w:val="00BF7387"/>
    <w:rsid w:val="00BF786C"/>
    <w:rsid w:val="00BF78BE"/>
    <w:rsid w:val="00BF7D3F"/>
    <w:rsid w:val="00BF7D7F"/>
    <w:rsid w:val="00C000B1"/>
    <w:rsid w:val="00C001ED"/>
    <w:rsid w:val="00C00205"/>
    <w:rsid w:val="00C00537"/>
    <w:rsid w:val="00C00791"/>
    <w:rsid w:val="00C00895"/>
    <w:rsid w:val="00C008C2"/>
    <w:rsid w:val="00C00906"/>
    <w:rsid w:val="00C00A91"/>
    <w:rsid w:val="00C00CB8"/>
    <w:rsid w:val="00C01162"/>
    <w:rsid w:val="00C01517"/>
    <w:rsid w:val="00C01677"/>
    <w:rsid w:val="00C01734"/>
    <w:rsid w:val="00C0191B"/>
    <w:rsid w:val="00C01BB4"/>
    <w:rsid w:val="00C01E50"/>
    <w:rsid w:val="00C022AA"/>
    <w:rsid w:val="00C02549"/>
    <w:rsid w:val="00C026C7"/>
    <w:rsid w:val="00C02BF5"/>
    <w:rsid w:val="00C02DDC"/>
    <w:rsid w:val="00C02F59"/>
    <w:rsid w:val="00C0305A"/>
    <w:rsid w:val="00C030C9"/>
    <w:rsid w:val="00C033E4"/>
    <w:rsid w:val="00C0341E"/>
    <w:rsid w:val="00C03587"/>
    <w:rsid w:val="00C03680"/>
    <w:rsid w:val="00C038F7"/>
    <w:rsid w:val="00C039EF"/>
    <w:rsid w:val="00C03E3F"/>
    <w:rsid w:val="00C03F4B"/>
    <w:rsid w:val="00C04153"/>
    <w:rsid w:val="00C04414"/>
    <w:rsid w:val="00C0461A"/>
    <w:rsid w:val="00C04696"/>
    <w:rsid w:val="00C04698"/>
    <w:rsid w:val="00C047B8"/>
    <w:rsid w:val="00C047DD"/>
    <w:rsid w:val="00C04E96"/>
    <w:rsid w:val="00C04F2D"/>
    <w:rsid w:val="00C0556C"/>
    <w:rsid w:val="00C06452"/>
    <w:rsid w:val="00C0665B"/>
    <w:rsid w:val="00C06672"/>
    <w:rsid w:val="00C06698"/>
    <w:rsid w:val="00C0672D"/>
    <w:rsid w:val="00C068BA"/>
    <w:rsid w:val="00C0729F"/>
    <w:rsid w:val="00C0743F"/>
    <w:rsid w:val="00C079C4"/>
    <w:rsid w:val="00C07B59"/>
    <w:rsid w:val="00C07BA8"/>
    <w:rsid w:val="00C07C43"/>
    <w:rsid w:val="00C07D1D"/>
    <w:rsid w:val="00C07E74"/>
    <w:rsid w:val="00C07F54"/>
    <w:rsid w:val="00C10318"/>
    <w:rsid w:val="00C1037E"/>
    <w:rsid w:val="00C105DB"/>
    <w:rsid w:val="00C10CDE"/>
    <w:rsid w:val="00C10DCD"/>
    <w:rsid w:val="00C110B1"/>
    <w:rsid w:val="00C110D2"/>
    <w:rsid w:val="00C110E8"/>
    <w:rsid w:val="00C11325"/>
    <w:rsid w:val="00C119DC"/>
    <w:rsid w:val="00C11B80"/>
    <w:rsid w:val="00C11E13"/>
    <w:rsid w:val="00C11FE4"/>
    <w:rsid w:val="00C12228"/>
    <w:rsid w:val="00C122B4"/>
    <w:rsid w:val="00C12301"/>
    <w:rsid w:val="00C1282F"/>
    <w:rsid w:val="00C1284F"/>
    <w:rsid w:val="00C12950"/>
    <w:rsid w:val="00C12B5A"/>
    <w:rsid w:val="00C12F77"/>
    <w:rsid w:val="00C130EF"/>
    <w:rsid w:val="00C13213"/>
    <w:rsid w:val="00C1325C"/>
    <w:rsid w:val="00C13443"/>
    <w:rsid w:val="00C1344A"/>
    <w:rsid w:val="00C134C3"/>
    <w:rsid w:val="00C13669"/>
    <w:rsid w:val="00C137D9"/>
    <w:rsid w:val="00C13973"/>
    <w:rsid w:val="00C13A9D"/>
    <w:rsid w:val="00C13BC4"/>
    <w:rsid w:val="00C13D49"/>
    <w:rsid w:val="00C13D52"/>
    <w:rsid w:val="00C145A9"/>
    <w:rsid w:val="00C14701"/>
    <w:rsid w:val="00C147BF"/>
    <w:rsid w:val="00C149C0"/>
    <w:rsid w:val="00C14BDD"/>
    <w:rsid w:val="00C14C1A"/>
    <w:rsid w:val="00C1507F"/>
    <w:rsid w:val="00C15504"/>
    <w:rsid w:val="00C15672"/>
    <w:rsid w:val="00C159C6"/>
    <w:rsid w:val="00C15A84"/>
    <w:rsid w:val="00C15D15"/>
    <w:rsid w:val="00C15D8C"/>
    <w:rsid w:val="00C15DB1"/>
    <w:rsid w:val="00C1620A"/>
    <w:rsid w:val="00C1637A"/>
    <w:rsid w:val="00C163A9"/>
    <w:rsid w:val="00C16758"/>
    <w:rsid w:val="00C16A47"/>
    <w:rsid w:val="00C16B61"/>
    <w:rsid w:val="00C16BAF"/>
    <w:rsid w:val="00C16DE6"/>
    <w:rsid w:val="00C16F62"/>
    <w:rsid w:val="00C1711C"/>
    <w:rsid w:val="00C176FC"/>
    <w:rsid w:val="00C17993"/>
    <w:rsid w:val="00C17ACA"/>
    <w:rsid w:val="00C17ACF"/>
    <w:rsid w:val="00C17B7D"/>
    <w:rsid w:val="00C17C8D"/>
    <w:rsid w:val="00C17C99"/>
    <w:rsid w:val="00C17D58"/>
    <w:rsid w:val="00C202DB"/>
    <w:rsid w:val="00C2078E"/>
    <w:rsid w:val="00C208E2"/>
    <w:rsid w:val="00C20AEC"/>
    <w:rsid w:val="00C20F02"/>
    <w:rsid w:val="00C21059"/>
    <w:rsid w:val="00C21195"/>
    <w:rsid w:val="00C2124C"/>
    <w:rsid w:val="00C21256"/>
    <w:rsid w:val="00C2161F"/>
    <w:rsid w:val="00C21BAB"/>
    <w:rsid w:val="00C21E53"/>
    <w:rsid w:val="00C220B9"/>
    <w:rsid w:val="00C221AC"/>
    <w:rsid w:val="00C2248E"/>
    <w:rsid w:val="00C224D9"/>
    <w:rsid w:val="00C22A2F"/>
    <w:rsid w:val="00C22AE5"/>
    <w:rsid w:val="00C22B4E"/>
    <w:rsid w:val="00C22B9D"/>
    <w:rsid w:val="00C22BF5"/>
    <w:rsid w:val="00C22C6D"/>
    <w:rsid w:val="00C22D55"/>
    <w:rsid w:val="00C23026"/>
    <w:rsid w:val="00C230CD"/>
    <w:rsid w:val="00C23158"/>
    <w:rsid w:val="00C2355C"/>
    <w:rsid w:val="00C235ED"/>
    <w:rsid w:val="00C23D93"/>
    <w:rsid w:val="00C240C5"/>
    <w:rsid w:val="00C245D3"/>
    <w:rsid w:val="00C245E1"/>
    <w:rsid w:val="00C24941"/>
    <w:rsid w:val="00C24AB7"/>
    <w:rsid w:val="00C24B58"/>
    <w:rsid w:val="00C24B99"/>
    <w:rsid w:val="00C24EFD"/>
    <w:rsid w:val="00C25296"/>
    <w:rsid w:val="00C2531C"/>
    <w:rsid w:val="00C255D0"/>
    <w:rsid w:val="00C25C55"/>
    <w:rsid w:val="00C25F58"/>
    <w:rsid w:val="00C260FC"/>
    <w:rsid w:val="00C2633F"/>
    <w:rsid w:val="00C266F2"/>
    <w:rsid w:val="00C267F2"/>
    <w:rsid w:val="00C26CC5"/>
    <w:rsid w:val="00C26DA6"/>
    <w:rsid w:val="00C2704D"/>
    <w:rsid w:val="00C27644"/>
    <w:rsid w:val="00C278FC"/>
    <w:rsid w:val="00C279B3"/>
    <w:rsid w:val="00C27A37"/>
    <w:rsid w:val="00C27D62"/>
    <w:rsid w:val="00C27DFE"/>
    <w:rsid w:val="00C303A8"/>
    <w:rsid w:val="00C303E3"/>
    <w:rsid w:val="00C30517"/>
    <w:rsid w:val="00C30613"/>
    <w:rsid w:val="00C30A45"/>
    <w:rsid w:val="00C30B31"/>
    <w:rsid w:val="00C30D11"/>
    <w:rsid w:val="00C30FA4"/>
    <w:rsid w:val="00C31005"/>
    <w:rsid w:val="00C311C1"/>
    <w:rsid w:val="00C312FC"/>
    <w:rsid w:val="00C316A1"/>
    <w:rsid w:val="00C31AEF"/>
    <w:rsid w:val="00C31C79"/>
    <w:rsid w:val="00C31C7B"/>
    <w:rsid w:val="00C3205F"/>
    <w:rsid w:val="00C32206"/>
    <w:rsid w:val="00C3235B"/>
    <w:rsid w:val="00C3242C"/>
    <w:rsid w:val="00C32765"/>
    <w:rsid w:val="00C3277F"/>
    <w:rsid w:val="00C32922"/>
    <w:rsid w:val="00C32B74"/>
    <w:rsid w:val="00C3312D"/>
    <w:rsid w:val="00C333F8"/>
    <w:rsid w:val="00C33B22"/>
    <w:rsid w:val="00C33D67"/>
    <w:rsid w:val="00C33F63"/>
    <w:rsid w:val="00C34037"/>
    <w:rsid w:val="00C34038"/>
    <w:rsid w:val="00C34115"/>
    <w:rsid w:val="00C34BD6"/>
    <w:rsid w:val="00C34C8D"/>
    <w:rsid w:val="00C34CFD"/>
    <w:rsid w:val="00C35014"/>
    <w:rsid w:val="00C35144"/>
    <w:rsid w:val="00C3523F"/>
    <w:rsid w:val="00C35340"/>
    <w:rsid w:val="00C35440"/>
    <w:rsid w:val="00C35958"/>
    <w:rsid w:val="00C35BA6"/>
    <w:rsid w:val="00C35D3D"/>
    <w:rsid w:val="00C35DB7"/>
    <w:rsid w:val="00C35E9A"/>
    <w:rsid w:val="00C35F5D"/>
    <w:rsid w:val="00C36001"/>
    <w:rsid w:val="00C3602E"/>
    <w:rsid w:val="00C364E0"/>
    <w:rsid w:val="00C36611"/>
    <w:rsid w:val="00C367B0"/>
    <w:rsid w:val="00C37265"/>
    <w:rsid w:val="00C37355"/>
    <w:rsid w:val="00C375ED"/>
    <w:rsid w:val="00C377BC"/>
    <w:rsid w:val="00C377C0"/>
    <w:rsid w:val="00C37973"/>
    <w:rsid w:val="00C37B06"/>
    <w:rsid w:val="00C37C35"/>
    <w:rsid w:val="00C37E54"/>
    <w:rsid w:val="00C40015"/>
    <w:rsid w:val="00C4021F"/>
    <w:rsid w:val="00C40250"/>
    <w:rsid w:val="00C403B5"/>
    <w:rsid w:val="00C403E4"/>
    <w:rsid w:val="00C40723"/>
    <w:rsid w:val="00C40964"/>
    <w:rsid w:val="00C40A6F"/>
    <w:rsid w:val="00C40FAB"/>
    <w:rsid w:val="00C4110E"/>
    <w:rsid w:val="00C415C3"/>
    <w:rsid w:val="00C4193D"/>
    <w:rsid w:val="00C419A0"/>
    <w:rsid w:val="00C41AC9"/>
    <w:rsid w:val="00C41C66"/>
    <w:rsid w:val="00C41CEA"/>
    <w:rsid w:val="00C42018"/>
    <w:rsid w:val="00C42271"/>
    <w:rsid w:val="00C42A69"/>
    <w:rsid w:val="00C42BA9"/>
    <w:rsid w:val="00C42E7B"/>
    <w:rsid w:val="00C430D0"/>
    <w:rsid w:val="00C43200"/>
    <w:rsid w:val="00C43E4A"/>
    <w:rsid w:val="00C43E74"/>
    <w:rsid w:val="00C43E75"/>
    <w:rsid w:val="00C44256"/>
    <w:rsid w:val="00C442DF"/>
    <w:rsid w:val="00C44451"/>
    <w:rsid w:val="00C44511"/>
    <w:rsid w:val="00C44570"/>
    <w:rsid w:val="00C446FA"/>
    <w:rsid w:val="00C44784"/>
    <w:rsid w:val="00C447E4"/>
    <w:rsid w:val="00C449DA"/>
    <w:rsid w:val="00C44B6D"/>
    <w:rsid w:val="00C44EE5"/>
    <w:rsid w:val="00C45219"/>
    <w:rsid w:val="00C4522A"/>
    <w:rsid w:val="00C45313"/>
    <w:rsid w:val="00C45590"/>
    <w:rsid w:val="00C456F0"/>
    <w:rsid w:val="00C45868"/>
    <w:rsid w:val="00C45995"/>
    <w:rsid w:val="00C45B85"/>
    <w:rsid w:val="00C45BBD"/>
    <w:rsid w:val="00C45BF3"/>
    <w:rsid w:val="00C45C6A"/>
    <w:rsid w:val="00C46412"/>
    <w:rsid w:val="00C466F4"/>
    <w:rsid w:val="00C467A5"/>
    <w:rsid w:val="00C4686D"/>
    <w:rsid w:val="00C46D6D"/>
    <w:rsid w:val="00C46DC8"/>
    <w:rsid w:val="00C46E58"/>
    <w:rsid w:val="00C47E3C"/>
    <w:rsid w:val="00C47F29"/>
    <w:rsid w:val="00C5015B"/>
    <w:rsid w:val="00C502F4"/>
    <w:rsid w:val="00C5048B"/>
    <w:rsid w:val="00C50BE4"/>
    <w:rsid w:val="00C50BEE"/>
    <w:rsid w:val="00C50E0E"/>
    <w:rsid w:val="00C50ED7"/>
    <w:rsid w:val="00C50FBA"/>
    <w:rsid w:val="00C5108A"/>
    <w:rsid w:val="00C51181"/>
    <w:rsid w:val="00C51329"/>
    <w:rsid w:val="00C51370"/>
    <w:rsid w:val="00C514CA"/>
    <w:rsid w:val="00C5152D"/>
    <w:rsid w:val="00C51959"/>
    <w:rsid w:val="00C51D79"/>
    <w:rsid w:val="00C5213C"/>
    <w:rsid w:val="00C52196"/>
    <w:rsid w:val="00C5219B"/>
    <w:rsid w:val="00C5269D"/>
    <w:rsid w:val="00C527BF"/>
    <w:rsid w:val="00C52931"/>
    <w:rsid w:val="00C52A1A"/>
    <w:rsid w:val="00C52BE9"/>
    <w:rsid w:val="00C53086"/>
    <w:rsid w:val="00C531EA"/>
    <w:rsid w:val="00C533D8"/>
    <w:rsid w:val="00C534A0"/>
    <w:rsid w:val="00C53619"/>
    <w:rsid w:val="00C537AB"/>
    <w:rsid w:val="00C53B53"/>
    <w:rsid w:val="00C53D90"/>
    <w:rsid w:val="00C54325"/>
    <w:rsid w:val="00C54391"/>
    <w:rsid w:val="00C54451"/>
    <w:rsid w:val="00C5478D"/>
    <w:rsid w:val="00C547B7"/>
    <w:rsid w:val="00C54979"/>
    <w:rsid w:val="00C54AFD"/>
    <w:rsid w:val="00C54D12"/>
    <w:rsid w:val="00C54F0D"/>
    <w:rsid w:val="00C5513E"/>
    <w:rsid w:val="00C552E2"/>
    <w:rsid w:val="00C55B76"/>
    <w:rsid w:val="00C55B99"/>
    <w:rsid w:val="00C55C24"/>
    <w:rsid w:val="00C56390"/>
    <w:rsid w:val="00C5663A"/>
    <w:rsid w:val="00C569BA"/>
    <w:rsid w:val="00C56B86"/>
    <w:rsid w:val="00C57017"/>
    <w:rsid w:val="00C574B7"/>
    <w:rsid w:val="00C578AE"/>
    <w:rsid w:val="00C57B10"/>
    <w:rsid w:val="00C57D3D"/>
    <w:rsid w:val="00C57DC2"/>
    <w:rsid w:val="00C57F39"/>
    <w:rsid w:val="00C57F5D"/>
    <w:rsid w:val="00C600E0"/>
    <w:rsid w:val="00C6013B"/>
    <w:rsid w:val="00C6036D"/>
    <w:rsid w:val="00C604D7"/>
    <w:rsid w:val="00C606A0"/>
    <w:rsid w:val="00C6093D"/>
    <w:rsid w:val="00C60B0A"/>
    <w:rsid w:val="00C60CC4"/>
    <w:rsid w:val="00C60FE4"/>
    <w:rsid w:val="00C61055"/>
    <w:rsid w:val="00C6111F"/>
    <w:rsid w:val="00C612D8"/>
    <w:rsid w:val="00C61503"/>
    <w:rsid w:val="00C6154F"/>
    <w:rsid w:val="00C618F2"/>
    <w:rsid w:val="00C61923"/>
    <w:rsid w:val="00C619DE"/>
    <w:rsid w:val="00C61BAF"/>
    <w:rsid w:val="00C61BC9"/>
    <w:rsid w:val="00C61D45"/>
    <w:rsid w:val="00C61E56"/>
    <w:rsid w:val="00C620AF"/>
    <w:rsid w:val="00C621DE"/>
    <w:rsid w:val="00C62294"/>
    <w:rsid w:val="00C622C0"/>
    <w:rsid w:val="00C624F9"/>
    <w:rsid w:val="00C62706"/>
    <w:rsid w:val="00C62772"/>
    <w:rsid w:val="00C629E3"/>
    <w:rsid w:val="00C62A18"/>
    <w:rsid w:val="00C62AFF"/>
    <w:rsid w:val="00C62D27"/>
    <w:rsid w:val="00C62D92"/>
    <w:rsid w:val="00C62DF5"/>
    <w:rsid w:val="00C63085"/>
    <w:rsid w:val="00C6328B"/>
    <w:rsid w:val="00C63385"/>
    <w:rsid w:val="00C633BE"/>
    <w:rsid w:val="00C633EF"/>
    <w:rsid w:val="00C63593"/>
    <w:rsid w:val="00C635AA"/>
    <w:rsid w:val="00C63A0E"/>
    <w:rsid w:val="00C63D63"/>
    <w:rsid w:val="00C6439E"/>
    <w:rsid w:val="00C643EC"/>
    <w:rsid w:val="00C64409"/>
    <w:rsid w:val="00C644F1"/>
    <w:rsid w:val="00C64794"/>
    <w:rsid w:val="00C649A1"/>
    <w:rsid w:val="00C64FF5"/>
    <w:rsid w:val="00C65141"/>
    <w:rsid w:val="00C6544D"/>
    <w:rsid w:val="00C6562A"/>
    <w:rsid w:val="00C656E1"/>
    <w:rsid w:val="00C65A6B"/>
    <w:rsid w:val="00C66028"/>
    <w:rsid w:val="00C660CA"/>
    <w:rsid w:val="00C66123"/>
    <w:rsid w:val="00C662BA"/>
    <w:rsid w:val="00C662CB"/>
    <w:rsid w:val="00C66376"/>
    <w:rsid w:val="00C663CB"/>
    <w:rsid w:val="00C6668F"/>
    <w:rsid w:val="00C667C2"/>
    <w:rsid w:val="00C66917"/>
    <w:rsid w:val="00C669C2"/>
    <w:rsid w:val="00C669CB"/>
    <w:rsid w:val="00C66B18"/>
    <w:rsid w:val="00C66BB2"/>
    <w:rsid w:val="00C66EE4"/>
    <w:rsid w:val="00C672BA"/>
    <w:rsid w:val="00C67342"/>
    <w:rsid w:val="00C676BE"/>
    <w:rsid w:val="00C67760"/>
    <w:rsid w:val="00C67772"/>
    <w:rsid w:val="00C67BA9"/>
    <w:rsid w:val="00C67C87"/>
    <w:rsid w:val="00C67E1F"/>
    <w:rsid w:val="00C67E22"/>
    <w:rsid w:val="00C67E9B"/>
    <w:rsid w:val="00C67FE9"/>
    <w:rsid w:val="00C700A2"/>
    <w:rsid w:val="00C70221"/>
    <w:rsid w:val="00C703AA"/>
    <w:rsid w:val="00C70444"/>
    <w:rsid w:val="00C70884"/>
    <w:rsid w:val="00C70C41"/>
    <w:rsid w:val="00C70C8A"/>
    <w:rsid w:val="00C71025"/>
    <w:rsid w:val="00C711A2"/>
    <w:rsid w:val="00C7123C"/>
    <w:rsid w:val="00C713EE"/>
    <w:rsid w:val="00C7161D"/>
    <w:rsid w:val="00C7167F"/>
    <w:rsid w:val="00C71870"/>
    <w:rsid w:val="00C71A28"/>
    <w:rsid w:val="00C71A65"/>
    <w:rsid w:val="00C720DA"/>
    <w:rsid w:val="00C7216C"/>
    <w:rsid w:val="00C721AF"/>
    <w:rsid w:val="00C72322"/>
    <w:rsid w:val="00C723B2"/>
    <w:rsid w:val="00C723D8"/>
    <w:rsid w:val="00C726B8"/>
    <w:rsid w:val="00C726E3"/>
    <w:rsid w:val="00C7280C"/>
    <w:rsid w:val="00C72CE6"/>
    <w:rsid w:val="00C72CED"/>
    <w:rsid w:val="00C73019"/>
    <w:rsid w:val="00C7304E"/>
    <w:rsid w:val="00C7320D"/>
    <w:rsid w:val="00C73385"/>
    <w:rsid w:val="00C735AB"/>
    <w:rsid w:val="00C7367D"/>
    <w:rsid w:val="00C73921"/>
    <w:rsid w:val="00C73AE8"/>
    <w:rsid w:val="00C73C3B"/>
    <w:rsid w:val="00C73CB3"/>
    <w:rsid w:val="00C73EED"/>
    <w:rsid w:val="00C73F3A"/>
    <w:rsid w:val="00C740C6"/>
    <w:rsid w:val="00C740EC"/>
    <w:rsid w:val="00C74284"/>
    <w:rsid w:val="00C7465B"/>
    <w:rsid w:val="00C7478E"/>
    <w:rsid w:val="00C7482F"/>
    <w:rsid w:val="00C74CD2"/>
    <w:rsid w:val="00C75369"/>
    <w:rsid w:val="00C753A5"/>
    <w:rsid w:val="00C75486"/>
    <w:rsid w:val="00C75554"/>
    <w:rsid w:val="00C75873"/>
    <w:rsid w:val="00C758FB"/>
    <w:rsid w:val="00C75AA2"/>
    <w:rsid w:val="00C75D57"/>
    <w:rsid w:val="00C75EDA"/>
    <w:rsid w:val="00C75F30"/>
    <w:rsid w:val="00C75F5D"/>
    <w:rsid w:val="00C76071"/>
    <w:rsid w:val="00C763E7"/>
    <w:rsid w:val="00C76981"/>
    <w:rsid w:val="00C76AAE"/>
    <w:rsid w:val="00C76AF3"/>
    <w:rsid w:val="00C76CFB"/>
    <w:rsid w:val="00C76E9B"/>
    <w:rsid w:val="00C77015"/>
    <w:rsid w:val="00C77135"/>
    <w:rsid w:val="00C779BD"/>
    <w:rsid w:val="00C77ABC"/>
    <w:rsid w:val="00C77B71"/>
    <w:rsid w:val="00C77BAB"/>
    <w:rsid w:val="00C77C53"/>
    <w:rsid w:val="00C8001B"/>
    <w:rsid w:val="00C800B0"/>
    <w:rsid w:val="00C802ED"/>
    <w:rsid w:val="00C80377"/>
    <w:rsid w:val="00C8055D"/>
    <w:rsid w:val="00C805EE"/>
    <w:rsid w:val="00C808B3"/>
    <w:rsid w:val="00C808CB"/>
    <w:rsid w:val="00C80D47"/>
    <w:rsid w:val="00C80DBC"/>
    <w:rsid w:val="00C80E8D"/>
    <w:rsid w:val="00C81036"/>
    <w:rsid w:val="00C8109B"/>
    <w:rsid w:val="00C812B6"/>
    <w:rsid w:val="00C81516"/>
    <w:rsid w:val="00C81607"/>
    <w:rsid w:val="00C819BD"/>
    <w:rsid w:val="00C81CAE"/>
    <w:rsid w:val="00C81E6D"/>
    <w:rsid w:val="00C81F40"/>
    <w:rsid w:val="00C82077"/>
    <w:rsid w:val="00C82119"/>
    <w:rsid w:val="00C82328"/>
    <w:rsid w:val="00C8270C"/>
    <w:rsid w:val="00C8296D"/>
    <w:rsid w:val="00C82B9B"/>
    <w:rsid w:val="00C82E14"/>
    <w:rsid w:val="00C8337D"/>
    <w:rsid w:val="00C833E9"/>
    <w:rsid w:val="00C83427"/>
    <w:rsid w:val="00C8342B"/>
    <w:rsid w:val="00C83572"/>
    <w:rsid w:val="00C8363B"/>
    <w:rsid w:val="00C836A3"/>
    <w:rsid w:val="00C83847"/>
    <w:rsid w:val="00C83B24"/>
    <w:rsid w:val="00C83CBC"/>
    <w:rsid w:val="00C83F6A"/>
    <w:rsid w:val="00C84109"/>
    <w:rsid w:val="00C8432B"/>
    <w:rsid w:val="00C844B1"/>
    <w:rsid w:val="00C847F7"/>
    <w:rsid w:val="00C84AC5"/>
    <w:rsid w:val="00C84DD6"/>
    <w:rsid w:val="00C8570E"/>
    <w:rsid w:val="00C85828"/>
    <w:rsid w:val="00C85891"/>
    <w:rsid w:val="00C8597D"/>
    <w:rsid w:val="00C85E07"/>
    <w:rsid w:val="00C86061"/>
    <w:rsid w:val="00C8608D"/>
    <w:rsid w:val="00C86329"/>
    <w:rsid w:val="00C8663D"/>
    <w:rsid w:val="00C86AE6"/>
    <w:rsid w:val="00C86C94"/>
    <w:rsid w:val="00C86D75"/>
    <w:rsid w:val="00C870AB"/>
    <w:rsid w:val="00C87409"/>
    <w:rsid w:val="00C8745B"/>
    <w:rsid w:val="00C87525"/>
    <w:rsid w:val="00C87535"/>
    <w:rsid w:val="00C876C8"/>
    <w:rsid w:val="00C879E3"/>
    <w:rsid w:val="00C87B94"/>
    <w:rsid w:val="00C87FE4"/>
    <w:rsid w:val="00C9006C"/>
    <w:rsid w:val="00C90259"/>
    <w:rsid w:val="00C90390"/>
    <w:rsid w:val="00C909B5"/>
    <w:rsid w:val="00C90BF2"/>
    <w:rsid w:val="00C91074"/>
    <w:rsid w:val="00C9130A"/>
    <w:rsid w:val="00C914FE"/>
    <w:rsid w:val="00C91506"/>
    <w:rsid w:val="00C918B1"/>
    <w:rsid w:val="00C91AEA"/>
    <w:rsid w:val="00C91E39"/>
    <w:rsid w:val="00C91E76"/>
    <w:rsid w:val="00C92047"/>
    <w:rsid w:val="00C92176"/>
    <w:rsid w:val="00C92277"/>
    <w:rsid w:val="00C924EF"/>
    <w:rsid w:val="00C9258A"/>
    <w:rsid w:val="00C9267F"/>
    <w:rsid w:val="00C92B41"/>
    <w:rsid w:val="00C92C0A"/>
    <w:rsid w:val="00C92C6A"/>
    <w:rsid w:val="00C92C6E"/>
    <w:rsid w:val="00C93159"/>
    <w:rsid w:val="00C9315E"/>
    <w:rsid w:val="00C931C1"/>
    <w:rsid w:val="00C937B9"/>
    <w:rsid w:val="00C93AFD"/>
    <w:rsid w:val="00C93C28"/>
    <w:rsid w:val="00C93DC3"/>
    <w:rsid w:val="00C940C3"/>
    <w:rsid w:val="00C9411B"/>
    <w:rsid w:val="00C941EE"/>
    <w:rsid w:val="00C9463B"/>
    <w:rsid w:val="00C94CE9"/>
    <w:rsid w:val="00C94E81"/>
    <w:rsid w:val="00C94F21"/>
    <w:rsid w:val="00C94FF7"/>
    <w:rsid w:val="00C950FD"/>
    <w:rsid w:val="00C95163"/>
    <w:rsid w:val="00C9518E"/>
    <w:rsid w:val="00C95224"/>
    <w:rsid w:val="00C95384"/>
    <w:rsid w:val="00C953EC"/>
    <w:rsid w:val="00C95E80"/>
    <w:rsid w:val="00C96016"/>
    <w:rsid w:val="00C96099"/>
    <w:rsid w:val="00C96393"/>
    <w:rsid w:val="00C96404"/>
    <w:rsid w:val="00C96428"/>
    <w:rsid w:val="00C9697B"/>
    <w:rsid w:val="00C96D5C"/>
    <w:rsid w:val="00C972D0"/>
    <w:rsid w:val="00C97401"/>
    <w:rsid w:val="00C975AE"/>
    <w:rsid w:val="00C9783D"/>
    <w:rsid w:val="00C97A3E"/>
    <w:rsid w:val="00C97AFB"/>
    <w:rsid w:val="00CA024F"/>
    <w:rsid w:val="00CA04DF"/>
    <w:rsid w:val="00CA055E"/>
    <w:rsid w:val="00CA0682"/>
    <w:rsid w:val="00CA075F"/>
    <w:rsid w:val="00CA0873"/>
    <w:rsid w:val="00CA0A7E"/>
    <w:rsid w:val="00CA0D9A"/>
    <w:rsid w:val="00CA10E8"/>
    <w:rsid w:val="00CA1340"/>
    <w:rsid w:val="00CA15AB"/>
    <w:rsid w:val="00CA1637"/>
    <w:rsid w:val="00CA167E"/>
    <w:rsid w:val="00CA169B"/>
    <w:rsid w:val="00CA185A"/>
    <w:rsid w:val="00CA185C"/>
    <w:rsid w:val="00CA18C0"/>
    <w:rsid w:val="00CA19E9"/>
    <w:rsid w:val="00CA1C5B"/>
    <w:rsid w:val="00CA1C74"/>
    <w:rsid w:val="00CA1F06"/>
    <w:rsid w:val="00CA2260"/>
    <w:rsid w:val="00CA2605"/>
    <w:rsid w:val="00CA282E"/>
    <w:rsid w:val="00CA29E0"/>
    <w:rsid w:val="00CA3071"/>
    <w:rsid w:val="00CA35EA"/>
    <w:rsid w:val="00CA3645"/>
    <w:rsid w:val="00CA3664"/>
    <w:rsid w:val="00CA3717"/>
    <w:rsid w:val="00CA3917"/>
    <w:rsid w:val="00CA3A10"/>
    <w:rsid w:val="00CA3A60"/>
    <w:rsid w:val="00CA3EED"/>
    <w:rsid w:val="00CA4069"/>
    <w:rsid w:val="00CA4084"/>
    <w:rsid w:val="00CA436E"/>
    <w:rsid w:val="00CA4607"/>
    <w:rsid w:val="00CA472E"/>
    <w:rsid w:val="00CA4734"/>
    <w:rsid w:val="00CA4923"/>
    <w:rsid w:val="00CA4AF4"/>
    <w:rsid w:val="00CA52C4"/>
    <w:rsid w:val="00CA539F"/>
    <w:rsid w:val="00CA57B7"/>
    <w:rsid w:val="00CA5AFE"/>
    <w:rsid w:val="00CA607C"/>
    <w:rsid w:val="00CA637A"/>
    <w:rsid w:val="00CA6456"/>
    <w:rsid w:val="00CA6690"/>
    <w:rsid w:val="00CA6D13"/>
    <w:rsid w:val="00CA7321"/>
    <w:rsid w:val="00CA7434"/>
    <w:rsid w:val="00CA7464"/>
    <w:rsid w:val="00CA7AFB"/>
    <w:rsid w:val="00CB01E5"/>
    <w:rsid w:val="00CB02E7"/>
    <w:rsid w:val="00CB03C4"/>
    <w:rsid w:val="00CB07FA"/>
    <w:rsid w:val="00CB0C1A"/>
    <w:rsid w:val="00CB1205"/>
    <w:rsid w:val="00CB16AA"/>
    <w:rsid w:val="00CB1798"/>
    <w:rsid w:val="00CB186E"/>
    <w:rsid w:val="00CB1959"/>
    <w:rsid w:val="00CB1B6A"/>
    <w:rsid w:val="00CB202C"/>
    <w:rsid w:val="00CB217F"/>
    <w:rsid w:val="00CB2368"/>
    <w:rsid w:val="00CB26D4"/>
    <w:rsid w:val="00CB279E"/>
    <w:rsid w:val="00CB27CD"/>
    <w:rsid w:val="00CB2A99"/>
    <w:rsid w:val="00CB2C37"/>
    <w:rsid w:val="00CB2D95"/>
    <w:rsid w:val="00CB2DFF"/>
    <w:rsid w:val="00CB2EA2"/>
    <w:rsid w:val="00CB354B"/>
    <w:rsid w:val="00CB35A3"/>
    <w:rsid w:val="00CB379E"/>
    <w:rsid w:val="00CB3CAB"/>
    <w:rsid w:val="00CB4550"/>
    <w:rsid w:val="00CB4571"/>
    <w:rsid w:val="00CB4896"/>
    <w:rsid w:val="00CB4B63"/>
    <w:rsid w:val="00CB4CFB"/>
    <w:rsid w:val="00CB4DBC"/>
    <w:rsid w:val="00CB4ED9"/>
    <w:rsid w:val="00CB50E2"/>
    <w:rsid w:val="00CB5111"/>
    <w:rsid w:val="00CB53DB"/>
    <w:rsid w:val="00CB5920"/>
    <w:rsid w:val="00CB5AE0"/>
    <w:rsid w:val="00CB5BA2"/>
    <w:rsid w:val="00CB5BC5"/>
    <w:rsid w:val="00CB5C3A"/>
    <w:rsid w:val="00CB5EEE"/>
    <w:rsid w:val="00CB5F1E"/>
    <w:rsid w:val="00CB5FD3"/>
    <w:rsid w:val="00CB6207"/>
    <w:rsid w:val="00CB63CE"/>
    <w:rsid w:val="00CB6640"/>
    <w:rsid w:val="00CB688F"/>
    <w:rsid w:val="00CB69B1"/>
    <w:rsid w:val="00CB6A6E"/>
    <w:rsid w:val="00CB6B20"/>
    <w:rsid w:val="00CB6ED6"/>
    <w:rsid w:val="00CB725D"/>
    <w:rsid w:val="00CB74C3"/>
    <w:rsid w:val="00CB74E9"/>
    <w:rsid w:val="00CB75E0"/>
    <w:rsid w:val="00CB7949"/>
    <w:rsid w:val="00CB7A00"/>
    <w:rsid w:val="00CB7B43"/>
    <w:rsid w:val="00CB7C66"/>
    <w:rsid w:val="00CB7DA6"/>
    <w:rsid w:val="00CB7FCB"/>
    <w:rsid w:val="00CC0289"/>
    <w:rsid w:val="00CC0322"/>
    <w:rsid w:val="00CC037F"/>
    <w:rsid w:val="00CC03D9"/>
    <w:rsid w:val="00CC06A3"/>
    <w:rsid w:val="00CC071A"/>
    <w:rsid w:val="00CC0FCD"/>
    <w:rsid w:val="00CC1204"/>
    <w:rsid w:val="00CC1308"/>
    <w:rsid w:val="00CC18EF"/>
    <w:rsid w:val="00CC1D7D"/>
    <w:rsid w:val="00CC1F75"/>
    <w:rsid w:val="00CC223B"/>
    <w:rsid w:val="00CC24CC"/>
    <w:rsid w:val="00CC277C"/>
    <w:rsid w:val="00CC283D"/>
    <w:rsid w:val="00CC2D92"/>
    <w:rsid w:val="00CC2F0E"/>
    <w:rsid w:val="00CC30B7"/>
    <w:rsid w:val="00CC324B"/>
    <w:rsid w:val="00CC3270"/>
    <w:rsid w:val="00CC3349"/>
    <w:rsid w:val="00CC3503"/>
    <w:rsid w:val="00CC35C8"/>
    <w:rsid w:val="00CC3632"/>
    <w:rsid w:val="00CC374F"/>
    <w:rsid w:val="00CC3E32"/>
    <w:rsid w:val="00CC3EE0"/>
    <w:rsid w:val="00CC3F87"/>
    <w:rsid w:val="00CC3F94"/>
    <w:rsid w:val="00CC3FFC"/>
    <w:rsid w:val="00CC423D"/>
    <w:rsid w:val="00CC4570"/>
    <w:rsid w:val="00CC4581"/>
    <w:rsid w:val="00CC4908"/>
    <w:rsid w:val="00CC4A7C"/>
    <w:rsid w:val="00CC4ADF"/>
    <w:rsid w:val="00CC4BDD"/>
    <w:rsid w:val="00CC4CA3"/>
    <w:rsid w:val="00CC4EFC"/>
    <w:rsid w:val="00CC4FBB"/>
    <w:rsid w:val="00CC5214"/>
    <w:rsid w:val="00CC52F0"/>
    <w:rsid w:val="00CC557E"/>
    <w:rsid w:val="00CC55B5"/>
    <w:rsid w:val="00CC56B9"/>
    <w:rsid w:val="00CC593A"/>
    <w:rsid w:val="00CC5C5B"/>
    <w:rsid w:val="00CC5CA9"/>
    <w:rsid w:val="00CC5ED3"/>
    <w:rsid w:val="00CC5EFF"/>
    <w:rsid w:val="00CC6279"/>
    <w:rsid w:val="00CC63DA"/>
    <w:rsid w:val="00CC6905"/>
    <w:rsid w:val="00CC6F43"/>
    <w:rsid w:val="00CC6FF4"/>
    <w:rsid w:val="00CC7320"/>
    <w:rsid w:val="00CC76AE"/>
    <w:rsid w:val="00CC7719"/>
    <w:rsid w:val="00CC79EC"/>
    <w:rsid w:val="00CC7AFB"/>
    <w:rsid w:val="00CC7D12"/>
    <w:rsid w:val="00CC7E3A"/>
    <w:rsid w:val="00CC7F73"/>
    <w:rsid w:val="00CD00D7"/>
    <w:rsid w:val="00CD010E"/>
    <w:rsid w:val="00CD027B"/>
    <w:rsid w:val="00CD03E7"/>
    <w:rsid w:val="00CD04CF"/>
    <w:rsid w:val="00CD0512"/>
    <w:rsid w:val="00CD05EA"/>
    <w:rsid w:val="00CD0AAF"/>
    <w:rsid w:val="00CD0AC6"/>
    <w:rsid w:val="00CD0BA9"/>
    <w:rsid w:val="00CD0BF5"/>
    <w:rsid w:val="00CD0C40"/>
    <w:rsid w:val="00CD12A1"/>
    <w:rsid w:val="00CD14B0"/>
    <w:rsid w:val="00CD16F0"/>
    <w:rsid w:val="00CD1720"/>
    <w:rsid w:val="00CD181D"/>
    <w:rsid w:val="00CD1CCE"/>
    <w:rsid w:val="00CD1D7F"/>
    <w:rsid w:val="00CD1EAC"/>
    <w:rsid w:val="00CD2055"/>
    <w:rsid w:val="00CD2113"/>
    <w:rsid w:val="00CD2143"/>
    <w:rsid w:val="00CD259B"/>
    <w:rsid w:val="00CD25A5"/>
    <w:rsid w:val="00CD2724"/>
    <w:rsid w:val="00CD2A64"/>
    <w:rsid w:val="00CD2A70"/>
    <w:rsid w:val="00CD2B37"/>
    <w:rsid w:val="00CD2B43"/>
    <w:rsid w:val="00CD2FC4"/>
    <w:rsid w:val="00CD3216"/>
    <w:rsid w:val="00CD345F"/>
    <w:rsid w:val="00CD35D1"/>
    <w:rsid w:val="00CD367F"/>
    <w:rsid w:val="00CD3953"/>
    <w:rsid w:val="00CD3A3D"/>
    <w:rsid w:val="00CD3ACD"/>
    <w:rsid w:val="00CD3B80"/>
    <w:rsid w:val="00CD3CD9"/>
    <w:rsid w:val="00CD3F05"/>
    <w:rsid w:val="00CD4099"/>
    <w:rsid w:val="00CD414C"/>
    <w:rsid w:val="00CD44B0"/>
    <w:rsid w:val="00CD4CC2"/>
    <w:rsid w:val="00CD4DF4"/>
    <w:rsid w:val="00CD4F02"/>
    <w:rsid w:val="00CD4F24"/>
    <w:rsid w:val="00CD4F54"/>
    <w:rsid w:val="00CD4FC7"/>
    <w:rsid w:val="00CD50A3"/>
    <w:rsid w:val="00CD50D0"/>
    <w:rsid w:val="00CD50FA"/>
    <w:rsid w:val="00CD5156"/>
    <w:rsid w:val="00CD5250"/>
    <w:rsid w:val="00CD5578"/>
    <w:rsid w:val="00CD5690"/>
    <w:rsid w:val="00CD59AE"/>
    <w:rsid w:val="00CD5D8C"/>
    <w:rsid w:val="00CD5E21"/>
    <w:rsid w:val="00CD5F62"/>
    <w:rsid w:val="00CD5F9E"/>
    <w:rsid w:val="00CD6488"/>
    <w:rsid w:val="00CD6723"/>
    <w:rsid w:val="00CD68D3"/>
    <w:rsid w:val="00CD6A3D"/>
    <w:rsid w:val="00CD6BA7"/>
    <w:rsid w:val="00CD6EE9"/>
    <w:rsid w:val="00CD7164"/>
    <w:rsid w:val="00CD71AF"/>
    <w:rsid w:val="00CD71F9"/>
    <w:rsid w:val="00CD7249"/>
    <w:rsid w:val="00CD7370"/>
    <w:rsid w:val="00CD7E6B"/>
    <w:rsid w:val="00CD7EDA"/>
    <w:rsid w:val="00CE0071"/>
    <w:rsid w:val="00CE00A5"/>
    <w:rsid w:val="00CE053B"/>
    <w:rsid w:val="00CE05BD"/>
    <w:rsid w:val="00CE08B4"/>
    <w:rsid w:val="00CE0B89"/>
    <w:rsid w:val="00CE0F9D"/>
    <w:rsid w:val="00CE1025"/>
    <w:rsid w:val="00CE145B"/>
    <w:rsid w:val="00CE1706"/>
    <w:rsid w:val="00CE1722"/>
    <w:rsid w:val="00CE19F0"/>
    <w:rsid w:val="00CE1C9F"/>
    <w:rsid w:val="00CE1E7D"/>
    <w:rsid w:val="00CE1E9F"/>
    <w:rsid w:val="00CE222C"/>
    <w:rsid w:val="00CE22D4"/>
    <w:rsid w:val="00CE2626"/>
    <w:rsid w:val="00CE2658"/>
    <w:rsid w:val="00CE2882"/>
    <w:rsid w:val="00CE2902"/>
    <w:rsid w:val="00CE2C05"/>
    <w:rsid w:val="00CE2EB7"/>
    <w:rsid w:val="00CE2F2C"/>
    <w:rsid w:val="00CE306A"/>
    <w:rsid w:val="00CE35FB"/>
    <w:rsid w:val="00CE3B34"/>
    <w:rsid w:val="00CE3BDA"/>
    <w:rsid w:val="00CE3F77"/>
    <w:rsid w:val="00CE40A8"/>
    <w:rsid w:val="00CE4105"/>
    <w:rsid w:val="00CE42C9"/>
    <w:rsid w:val="00CE475C"/>
    <w:rsid w:val="00CE4857"/>
    <w:rsid w:val="00CE48FF"/>
    <w:rsid w:val="00CE494E"/>
    <w:rsid w:val="00CE4BF4"/>
    <w:rsid w:val="00CE4CFC"/>
    <w:rsid w:val="00CE4D91"/>
    <w:rsid w:val="00CE4EF4"/>
    <w:rsid w:val="00CE50D1"/>
    <w:rsid w:val="00CE5163"/>
    <w:rsid w:val="00CE53DE"/>
    <w:rsid w:val="00CE54AF"/>
    <w:rsid w:val="00CE5631"/>
    <w:rsid w:val="00CE570A"/>
    <w:rsid w:val="00CE5979"/>
    <w:rsid w:val="00CE59AC"/>
    <w:rsid w:val="00CE5C2C"/>
    <w:rsid w:val="00CE60A1"/>
    <w:rsid w:val="00CE60D8"/>
    <w:rsid w:val="00CE62A4"/>
    <w:rsid w:val="00CE7581"/>
    <w:rsid w:val="00CE758C"/>
    <w:rsid w:val="00CE7A7D"/>
    <w:rsid w:val="00CE7ACE"/>
    <w:rsid w:val="00CE7B3A"/>
    <w:rsid w:val="00CE7B75"/>
    <w:rsid w:val="00CE7B7E"/>
    <w:rsid w:val="00CE7BCE"/>
    <w:rsid w:val="00CE7BE4"/>
    <w:rsid w:val="00CE7FC6"/>
    <w:rsid w:val="00CF03CF"/>
    <w:rsid w:val="00CF04A0"/>
    <w:rsid w:val="00CF052D"/>
    <w:rsid w:val="00CF05A2"/>
    <w:rsid w:val="00CF07BA"/>
    <w:rsid w:val="00CF0969"/>
    <w:rsid w:val="00CF0A45"/>
    <w:rsid w:val="00CF0E4E"/>
    <w:rsid w:val="00CF106F"/>
    <w:rsid w:val="00CF1194"/>
    <w:rsid w:val="00CF119C"/>
    <w:rsid w:val="00CF11BE"/>
    <w:rsid w:val="00CF11E4"/>
    <w:rsid w:val="00CF1200"/>
    <w:rsid w:val="00CF140B"/>
    <w:rsid w:val="00CF1565"/>
    <w:rsid w:val="00CF18E2"/>
    <w:rsid w:val="00CF1A4C"/>
    <w:rsid w:val="00CF1D33"/>
    <w:rsid w:val="00CF267F"/>
    <w:rsid w:val="00CF28DA"/>
    <w:rsid w:val="00CF2B14"/>
    <w:rsid w:val="00CF2B65"/>
    <w:rsid w:val="00CF31F6"/>
    <w:rsid w:val="00CF34E2"/>
    <w:rsid w:val="00CF36D8"/>
    <w:rsid w:val="00CF3880"/>
    <w:rsid w:val="00CF3BCD"/>
    <w:rsid w:val="00CF3CCD"/>
    <w:rsid w:val="00CF3CCF"/>
    <w:rsid w:val="00CF3D73"/>
    <w:rsid w:val="00CF3FC0"/>
    <w:rsid w:val="00CF40DD"/>
    <w:rsid w:val="00CF4137"/>
    <w:rsid w:val="00CF416C"/>
    <w:rsid w:val="00CF42B2"/>
    <w:rsid w:val="00CF42EA"/>
    <w:rsid w:val="00CF4886"/>
    <w:rsid w:val="00CF488A"/>
    <w:rsid w:val="00CF4BC6"/>
    <w:rsid w:val="00CF4BD5"/>
    <w:rsid w:val="00CF4CD3"/>
    <w:rsid w:val="00CF4DF9"/>
    <w:rsid w:val="00CF4F3F"/>
    <w:rsid w:val="00CF4FE7"/>
    <w:rsid w:val="00CF4FFA"/>
    <w:rsid w:val="00CF514D"/>
    <w:rsid w:val="00CF527E"/>
    <w:rsid w:val="00CF5305"/>
    <w:rsid w:val="00CF534D"/>
    <w:rsid w:val="00CF5DEA"/>
    <w:rsid w:val="00CF619D"/>
    <w:rsid w:val="00CF61DF"/>
    <w:rsid w:val="00CF6283"/>
    <w:rsid w:val="00CF6344"/>
    <w:rsid w:val="00CF68E7"/>
    <w:rsid w:val="00CF6A72"/>
    <w:rsid w:val="00CF6B87"/>
    <w:rsid w:val="00CF70F5"/>
    <w:rsid w:val="00CF71F2"/>
    <w:rsid w:val="00CF77D6"/>
    <w:rsid w:val="00CF7859"/>
    <w:rsid w:val="00CF78AE"/>
    <w:rsid w:val="00CF7B8D"/>
    <w:rsid w:val="00CF7E13"/>
    <w:rsid w:val="00D00011"/>
    <w:rsid w:val="00D00228"/>
    <w:rsid w:val="00D004BB"/>
    <w:rsid w:val="00D005EB"/>
    <w:rsid w:val="00D00841"/>
    <w:rsid w:val="00D00F4B"/>
    <w:rsid w:val="00D0139E"/>
    <w:rsid w:val="00D014A7"/>
    <w:rsid w:val="00D01844"/>
    <w:rsid w:val="00D019EE"/>
    <w:rsid w:val="00D01BB8"/>
    <w:rsid w:val="00D02013"/>
    <w:rsid w:val="00D0212C"/>
    <w:rsid w:val="00D0218F"/>
    <w:rsid w:val="00D02445"/>
    <w:rsid w:val="00D024F0"/>
    <w:rsid w:val="00D0299A"/>
    <w:rsid w:val="00D02EE4"/>
    <w:rsid w:val="00D030C1"/>
    <w:rsid w:val="00D03400"/>
    <w:rsid w:val="00D0346A"/>
    <w:rsid w:val="00D034D9"/>
    <w:rsid w:val="00D0350B"/>
    <w:rsid w:val="00D0351B"/>
    <w:rsid w:val="00D03606"/>
    <w:rsid w:val="00D03694"/>
    <w:rsid w:val="00D0371F"/>
    <w:rsid w:val="00D03EAE"/>
    <w:rsid w:val="00D03F49"/>
    <w:rsid w:val="00D03FD0"/>
    <w:rsid w:val="00D0485C"/>
    <w:rsid w:val="00D05267"/>
    <w:rsid w:val="00D058BA"/>
    <w:rsid w:val="00D05A6D"/>
    <w:rsid w:val="00D05D38"/>
    <w:rsid w:val="00D05DB2"/>
    <w:rsid w:val="00D06105"/>
    <w:rsid w:val="00D06236"/>
    <w:rsid w:val="00D0674A"/>
    <w:rsid w:val="00D0682D"/>
    <w:rsid w:val="00D06C1B"/>
    <w:rsid w:val="00D06E74"/>
    <w:rsid w:val="00D06F90"/>
    <w:rsid w:val="00D07150"/>
    <w:rsid w:val="00D071C5"/>
    <w:rsid w:val="00D07638"/>
    <w:rsid w:val="00D07963"/>
    <w:rsid w:val="00D0798B"/>
    <w:rsid w:val="00D07A91"/>
    <w:rsid w:val="00D07AAE"/>
    <w:rsid w:val="00D07B68"/>
    <w:rsid w:val="00D07E22"/>
    <w:rsid w:val="00D07E4D"/>
    <w:rsid w:val="00D102BD"/>
    <w:rsid w:val="00D102D4"/>
    <w:rsid w:val="00D102EA"/>
    <w:rsid w:val="00D10AE5"/>
    <w:rsid w:val="00D10BC5"/>
    <w:rsid w:val="00D10D00"/>
    <w:rsid w:val="00D11811"/>
    <w:rsid w:val="00D119E9"/>
    <w:rsid w:val="00D11C6F"/>
    <w:rsid w:val="00D12253"/>
    <w:rsid w:val="00D12291"/>
    <w:rsid w:val="00D12313"/>
    <w:rsid w:val="00D1259D"/>
    <w:rsid w:val="00D125B3"/>
    <w:rsid w:val="00D12605"/>
    <w:rsid w:val="00D12818"/>
    <w:rsid w:val="00D12868"/>
    <w:rsid w:val="00D129D4"/>
    <w:rsid w:val="00D12DAE"/>
    <w:rsid w:val="00D12DED"/>
    <w:rsid w:val="00D12EBE"/>
    <w:rsid w:val="00D12F86"/>
    <w:rsid w:val="00D13033"/>
    <w:rsid w:val="00D13509"/>
    <w:rsid w:val="00D1352B"/>
    <w:rsid w:val="00D135D2"/>
    <w:rsid w:val="00D13605"/>
    <w:rsid w:val="00D1360C"/>
    <w:rsid w:val="00D13681"/>
    <w:rsid w:val="00D13693"/>
    <w:rsid w:val="00D13B8C"/>
    <w:rsid w:val="00D13BD4"/>
    <w:rsid w:val="00D13D93"/>
    <w:rsid w:val="00D13E1E"/>
    <w:rsid w:val="00D13E53"/>
    <w:rsid w:val="00D13E6C"/>
    <w:rsid w:val="00D14125"/>
    <w:rsid w:val="00D14137"/>
    <w:rsid w:val="00D1429C"/>
    <w:rsid w:val="00D14422"/>
    <w:rsid w:val="00D144E9"/>
    <w:rsid w:val="00D14564"/>
    <w:rsid w:val="00D14DDE"/>
    <w:rsid w:val="00D15174"/>
    <w:rsid w:val="00D151A9"/>
    <w:rsid w:val="00D152EA"/>
    <w:rsid w:val="00D15460"/>
    <w:rsid w:val="00D155B1"/>
    <w:rsid w:val="00D15711"/>
    <w:rsid w:val="00D15BBA"/>
    <w:rsid w:val="00D15F3A"/>
    <w:rsid w:val="00D161A4"/>
    <w:rsid w:val="00D161A6"/>
    <w:rsid w:val="00D164C2"/>
    <w:rsid w:val="00D16A97"/>
    <w:rsid w:val="00D16CA2"/>
    <w:rsid w:val="00D16E4F"/>
    <w:rsid w:val="00D16FAD"/>
    <w:rsid w:val="00D17169"/>
    <w:rsid w:val="00D1738E"/>
    <w:rsid w:val="00D174F5"/>
    <w:rsid w:val="00D176B4"/>
    <w:rsid w:val="00D176EF"/>
    <w:rsid w:val="00D179DB"/>
    <w:rsid w:val="00D17A6F"/>
    <w:rsid w:val="00D17A9B"/>
    <w:rsid w:val="00D17D19"/>
    <w:rsid w:val="00D17D54"/>
    <w:rsid w:val="00D17E4C"/>
    <w:rsid w:val="00D20283"/>
    <w:rsid w:val="00D20381"/>
    <w:rsid w:val="00D203B8"/>
    <w:rsid w:val="00D20462"/>
    <w:rsid w:val="00D2071C"/>
    <w:rsid w:val="00D208B5"/>
    <w:rsid w:val="00D20A2D"/>
    <w:rsid w:val="00D20AE4"/>
    <w:rsid w:val="00D20CA0"/>
    <w:rsid w:val="00D20DF8"/>
    <w:rsid w:val="00D20F9E"/>
    <w:rsid w:val="00D2126C"/>
    <w:rsid w:val="00D21414"/>
    <w:rsid w:val="00D214BB"/>
    <w:rsid w:val="00D2172E"/>
    <w:rsid w:val="00D21917"/>
    <w:rsid w:val="00D21958"/>
    <w:rsid w:val="00D21A1F"/>
    <w:rsid w:val="00D21BCE"/>
    <w:rsid w:val="00D21C0A"/>
    <w:rsid w:val="00D21CEB"/>
    <w:rsid w:val="00D22314"/>
    <w:rsid w:val="00D22370"/>
    <w:rsid w:val="00D2247B"/>
    <w:rsid w:val="00D2269F"/>
    <w:rsid w:val="00D2270C"/>
    <w:rsid w:val="00D22713"/>
    <w:rsid w:val="00D2275E"/>
    <w:rsid w:val="00D2279F"/>
    <w:rsid w:val="00D22823"/>
    <w:rsid w:val="00D229D8"/>
    <w:rsid w:val="00D22A5A"/>
    <w:rsid w:val="00D22B4A"/>
    <w:rsid w:val="00D22D6A"/>
    <w:rsid w:val="00D22D6E"/>
    <w:rsid w:val="00D2320B"/>
    <w:rsid w:val="00D232C5"/>
    <w:rsid w:val="00D23386"/>
    <w:rsid w:val="00D2351A"/>
    <w:rsid w:val="00D2365E"/>
    <w:rsid w:val="00D23705"/>
    <w:rsid w:val="00D2374E"/>
    <w:rsid w:val="00D23757"/>
    <w:rsid w:val="00D23B94"/>
    <w:rsid w:val="00D23C36"/>
    <w:rsid w:val="00D24151"/>
    <w:rsid w:val="00D242B1"/>
    <w:rsid w:val="00D243BF"/>
    <w:rsid w:val="00D244BF"/>
    <w:rsid w:val="00D24727"/>
    <w:rsid w:val="00D248C2"/>
    <w:rsid w:val="00D24BB5"/>
    <w:rsid w:val="00D24C52"/>
    <w:rsid w:val="00D24C5E"/>
    <w:rsid w:val="00D24C60"/>
    <w:rsid w:val="00D24C9D"/>
    <w:rsid w:val="00D24D47"/>
    <w:rsid w:val="00D250DE"/>
    <w:rsid w:val="00D25434"/>
    <w:rsid w:val="00D25735"/>
    <w:rsid w:val="00D25B11"/>
    <w:rsid w:val="00D25B13"/>
    <w:rsid w:val="00D25BB9"/>
    <w:rsid w:val="00D25C5E"/>
    <w:rsid w:val="00D25D43"/>
    <w:rsid w:val="00D2607F"/>
    <w:rsid w:val="00D261FB"/>
    <w:rsid w:val="00D26280"/>
    <w:rsid w:val="00D269ED"/>
    <w:rsid w:val="00D26A64"/>
    <w:rsid w:val="00D26CCC"/>
    <w:rsid w:val="00D26D0C"/>
    <w:rsid w:val="00D26F0E"/>
    <w:rsid w:val="00D27045"/>
    <w:rsid w:val="00D27047"/>
    <w:rsid w:val="00D270F5"/>
    <w:rsid w:val="00D2747B"/>
    <w:rsid w:val="00D275BF"/>
    <w:rsid w:val="00D27628"/>
    <w:rsid w:val="00D2765E"/>
    <w:rsid w:val="00D276F5"/>
    <w:rsid w:val="00D27B4F"/>
    <w:rsid w:val="00D27E95"/>
    <w:rsid w:val="00D27EC2"/>
    <w:rsid w:val="00D27FE5"/>
    <w:rsid w:val="00D30289"/>
    <w:rsid w:val="00D304FB"/>
    <w:rsid w:val="00D30543"/>
    <w:rsid w:val="00D30917"/>
    <w:rsid w:val="00D309B6"/>
    <w:rsid w:val="00D30ED2"/>
    <w:rsid w:val="00D3113E"/>
    <w:rsid w:val="00D31386"/>
    <w:rsid w:val="00D314BD"/>
    <w:rsid w:val="00D31535"/>
    <w:rsid w:val="00D31666"/>
    <w:rsid w:val="00D31690"/>
    <w:rsid w:val="00D31713"/>
    <w:rsid w:val="00D317EC"/>
    <w:rsid w:val="00D31846"/>
    <w:rsid w:val="00D31CAA"/>
    <w:rsid w:val="00D320EC"/>
    <w:rsid w:val="00D32329"/>
    <w:rsid w:val="00D3237E"/>
    <w:rsid w:val="00D324F0"/>
    <w:rsid w:val="00D3272C"/>
    <w:rsid w:val="00D32A3B"/>
    <w:rsid w:val="00D32AA2"/>
    <w:rsid w:val="00D32CEE"/>
    <w:rsid w:val="00D32E17"/>
    <w:rsid w:val="00D32E4B"/>
    <w:rsid w:val="00D32EDB"/>
    <w:rsid w:val="00D32F4B"/>
    <w:rsid w:val="00D338B6"/>
    <w:rsid w:val="00D3390E"/>
    <w:rsid w:val="00D339A3"/>
    <w:rsid w:val="00D33E6E"/>
    <w:rsid w:val="00D33E9B"/>
    <w:rsid w:val="00D340DD"/>
    <w:rsid w:val="00D3412A"/>
    <w:rsid w:val="00D341BF"/>
    <w:rsid w:val="00D343F0"/>
    <w:rsid w:val="00D345D6"/>
    <w:rsid w:val="00D346CA"/>
    <w:rsid w:val="00D346D3"/>
    <w:rsid w:val="00D347A0"/>
    <w:rsid w:val="00D347CB"/>
    <w:rsid w:val="00D3490D"/>
    <w:rsid w:val="00D34B28"/>
    <w:rsid w:val="00D34CD6"/>
    <w:rsid w:val="00D34FDE"/>
    <w:rsid w:val="00D35031"/>
    <w:rsid w:val="00D350D4"/>
    <w:rsid w:val="00D35203"/>
    <w:rsid w:val="00D3543E"/>
    <w:rsid w:val="00D3577E"/>
    <w:rsid w:val="00D358AC"/>
    <w:rsid w:val="00D35A01"/>
    <w:rsid w:val="00D35A11"/>
    <w:rsid w:val="00D35CF3"/>
    <w:rsid w:val="00D35F8A"/>
    <w:rsid w:val="00D35FA9"/>
    <w:rsid w:val="00D3600B"/>
    <w:rsid w:val="00D3661A"/>
    <w:rsid w:val="00D36690"/>
    <w:rsid w:val="00D36743"/>
    <w:rsid w:val="00D36747"/>
    <w:rsid w:val="00D369A3"/>
    <w:rsid w:val="00D36F14"/>
    <w:rsid w:val="00D36FCC"/>
    <w:rsid w:val="00D370DF"/>
    <w:rsid w:val="00D37569"/>
    <w:rsid w:val="00D376DA"/>
    <w:rsid w:val="00D3788B"/>
    <w:rsid w:val="00D37CD8"/>
    <w:rsid w:val="00D37D70"/>
    <w:rsid w:val="00D4013C"/>
    <w:rsid w:val="00D40639"/>
    <w:rsid w:val="00D40A58"/>
    <w:rsid w:val="00D40B08"/>
    <w:rsid w:val="00D40E78"/>
    <w:rsid w:val="00D41132"/>
    <w:rsid w:val="00D41229"/>
    <w:rsid w:val="00D414C6"/>
    <w:rsid w:val="00D416C7"/>
    <w:rsid w:val="00D41846"/>
    <w:rsid w:val="00D41B88"/>
    <w:rsid w:val="00D41E20"/>
    <w:rsid w:val="00D41EE9"/>
    <w:rsid w:val="00D4210A"/>
    <w:rsid w:val="00D4212E"/>
    <w:rsid w:val="00D42247"/>
    <w:rsid w:val="00D42354"/>
    <w:rsid w:val="00D423BF"/>
    <w:rsid w:val="00D42802"/>
    <w:rsid w:val="00D42D37"/>
    <w:rsid w:val="00D42D96"/>
    <w:rsid w:val="00D43114"/>
    <w:rsid w:val="00D43369"/>
    <w:rsid w:val="00D433A5"/>
    <w:rsid w:val="00D434F7"/>
    <w:rsid w:val="00D434FB"/>
    <w:rsid w:val="00D43558"/>
    <w:rsid w:val="00D438B3"/>
    <w:rsid w:val="00D4393B"/>
    <w:rsid w:val="00D43FC6"/>
    <w:rsid w:val="00D4433E"/>
    <w:rsid w:val="00D44535"/>
    <w:rsid w:val="00D4462F"/>
    <w:rsid w:val="00D446D1"/>
    <w:rsid w:val="00D4483E"/>
    <w:rsid w:val="00D44996"/>
    <w:rsid w:val="00D449AD"/>
    <w:rsid w:val="00D44B0B"/>
    <w:rsid w:val="00D44D2E"/>
    <w:rsid w:val="00D44DAD"/>
    <w:rsid w:val="00D44F17"/>
    <w:rsid w:val="00D44FA4"/>
    <w:rsid w:val="00D450F9"/>
    <w:rsid w:val="00D453BB"/>
    <w:rsid w:val="00D4554D"/>
    <w:rsid w:val="00D457A5"/>
    <w:rsid w:val="00D457CA"/>
    <w:rsid w:val="00D45806"/>
    <w:rsid w:val="00D45894"/>
    <w:rsid w:val="00D45899"/>
    <w:rsid w:val="00D45CD3"/>
    <w:rsid w:val="00D45EA2"/>
    <w:rsid w:val="00D461B2"/>
    <w:rsid w:val="00D4645B"/>
    <w:rsid w:val="00D46520"/>
    <w:rsid w:val="00D46608"/>
    <w:rsid w:val="00D46806"/>
    <w:rsid w:val="00D46986"/>
    <w:rsid w:val="00D469EC"/>
    <w:rsid w:val="00D46B6E"/>
    <w:rsid w:val="00D46F11"/>
    <w:rsid w:val="00D47126"/>
    <w:rsid w:val="00D47181"/>
    <w:rsid w:val="00D47327"/>
    <w:rsid w:val="00D4779E"/>
    <w:rsid w:val="00D47922"/>
    <w:rsid w:val="00D47FDA"/>
    <w:rsid w:val="00D50015"/>
    <w:rsid w:val="00D5010D"/>
    <w:rsid w:val="00D5025F"/>
    <w:rsid w:val="00D50471"/>
    <w:rsid w:val="00D5050F"/>
    <w:rsid w:val="00D507A0"/>
    <w:rsid w:val="00D50931"/>
    <w:rsid w:val="00D509B9"/>
    <w:rsid w:val="00D50B06"/>
    <w:rsid w:val="00D50BE7"/>
    <w:rsid w:val="00D50FEE"/>
    <w:rsid w:val="00D5116E"/>
    <w:rsid w:val="00D51288"/>
    <w:rsid w:val="00D5133C"/>
    <w:rsid w:val="00D51573"/>
    <w:rsid w:val="00D51641"/>
    <w:rsid w:val="00D517B8"/>
    <w:rsid w:val="00D518C2"/>
    <w:rsid w:val="00D51906"/>
    <w:rsid w:val="00D51AAC"/>
    <w:rsid w:val="00D51DF8"/>
    <w:rsid w:val="00D51DFA"/>
    <w:rsid w:val="00D51ED1"/>
    <w:rsid w:val="00D51F64"/>
    <w:rsid w:val="00D51F65"/>
    <w:rsid w:val="00D5207D"/>
    <w:rsid w:val="00D5220C"/>
    <w:rsid w:val="00D5226A"/>
    <w:rsid w:val="00D522D8"/>
    <w:rsid w:val="00D5240D"/>
    <w:rsid w:val="00D52436"/>
    <w:rsid w:val="00D525F6"/>
    <w:rsid w:val="00D52AB3"/>
    <w:rsid w:val="00D52D9D"/>
    <w:rsid w:val="00D52DEA"/>
    <w:rsid w:val="00D532ED"/>
    <w:rsid w:val="00D533F5"/>
    <w:rsid w:val="00D537DE"/>
    <w:rsid w:val="00D53BD6"/>
    <w:rsid w:val="00D53C96"/>
    <w:rsid w:val="00D53E3A"/>
    <w:rsid w:val="00D541D5"/>
    <w:rsid w:val="00D54227"/>
    <w:rsid w:val="00D54294"/>
    <w:rsid w:val="00D542C0"/>
    <w:rsid w:val="00D54468"/>
    <w:rsid w:val="00D544DE"/>
    <w:rsid w:val="00D549A0"/>
    <w:rsid w:val="00D54A1D"/>
    <w:rsid w:val="00D54A7B"/>
    <w:rsid w:val="00D54B4A"/>
    <w:rsid w:val="00D54CAD"/>
    <w:rsid w:val="00D54D2D"/>
    <w:rsid w:val="00D55434"/>
    <w:rsid w:val="00D55672"/>
    <w:rsid w:val="00D55715"/>
    <w:rsid w:val="00D557F6"/>
    <w:rsid w:val="00D557FC"/>
    <w:rsid w:val="00D55C82"/>
    <w:rsid w:val="00D55EFC"/>
    <w:rsid w:val="00D5644C"/>
    <w:rsid w:val="00D56977"/>
    <w:rsid w:val="00D569C3"/>
    <w:rsid w:val="00D56A96"/>
    <w:rsid w:val="00D56B47"/>
    <w:rsid w:val="00D56B7D"/>
    <w:rsid w:val="00D56CF6"/>
    <w:rsid w:val="00D56E5D"/>
    <w:rsid w:val="00D56F31"/>
    <w:rsid w:val="00D56FC4"/>
    <w:rsid w:val="00D57031"/>
    <w:rsid w:val="00D57106"/>
    <w:rsid w:val="00D57624"/>
    <w:rsid w:val="00D5797B"/>
    <w:rsid w:val="00D57C17"/>
    <w:rsid w:val="00D57D16"/>
    <w:rsid w:val="00D602A4"/>
    <w:rsid w:val="00D6096D"/>
    <w:rsid w:val="00D60A01"/>
    <w:rsid w:val="00D60DB6"/>
    <w:rsid w:val="00D60EA9"/>
    <w:rsid w:val="00D60F0F"/>
    <w:rsid w:val="00D61172"/>
    <w:rsid w:val="00D614A0"/>
    <w:rsid w:val="00D61527"/>
    <w:rsid w:val="00D617C2"/>
    <w:rsid w:val="00D61959"/>
    <w:rsid w:val="00D61BD1"/>
    <w:rsid w:val="00D61D62"/>
    <w:rsid w:val="00D61E21"/>
    <w:rsid w:val="00D6204C"/>
    <w:rsid w:val="00D620E4"/>
    <w:rsid w:val="00D62238"/>
    <w:rsid w:val="00D62364"/>
    <w:rsid w:val="00D62699"/>
    <w:rsid w:val="00D62867"/>
    <w:rsid w:val="00D628B2"/>
    <w:rsid w:val="00D62B6B"/>
    <w:rsid w:val="00D62C01"/>
    <w:rsid w:val="00D62C9F"/>
    <w:rsid w:val="00D62CEC"/>
    <w:rsid w:val="00D62F63"/>
    <w:rsid w:val="00D63175"/>
    <w:rsid w:val="00D6348F"/>
    <w:rsid w:val="00D635A6"/>
    <w:rsid w:val="00D637D4"/>
    <w:rsid w:val="00D63898"/>
    <w:rsid w:val="00D6392D"/>
    <w:rsid w:val="00D63BF2"/>
    <w:rsid w:val="00D63C09"/>
    <w:rsid w:val="00D63DEB"/>
    <w:rsid w:val="00D63EAD"/>
    <w:rsid w:val="00D63EFA"/>
    <w:rsid w:val="00D64141"/>
    <w:rsid w:val="00D643A7"/>
    <w:rsid w:val="00D64671"/>
    <w:rsid w:val="00D647A3"/>
    <w:rsid w:val="00D64CAD"/>
    <w:rsid w:val="00D64D51"/>
    <w:rsid w:val="00D64EDA"/>
    <w:rsid w:val="00D65146"/>
    <w:rsid w:val="00D6515C"/>
    <w:rsid w:val="00D652AF"/>
    <w:rsid w:val="00D65616"/>
    <w:rsid w:val="00D65649"/>
    <w:rsid w:val="00D6607C"/>
    <w:rsid w:val="00D663BD"/>
    <w:rsid w:val="00D6678E"/>
    <w:rsid w:val="00D668B8"/>
    <w:rsid w:val="00D66BC8"/>
    <w:rsid w:val="00D66D99"/>
    <w:rsid w:val="00D66DEB"/>
    <w:rsid w:val="00D671AC"/>
    <w:rsid w:val="00D67442"/>
    <w:rsid w:val="00D6754C"/>
    <w:rsid w:val="00D67681"/>
    <w:rsid w:val="00D678AE"/>
    <w:rsid w:val="00D678FA"/>
    <w:rsid w:val="00D6794E"/>
    <w:rsid w:val="00D67962"/>
    <w:rsid w:val="00D67D68"/>
    <w:rsid w:val="00D67E7E"/>
    <w:rsid w:val="00D67F66"/>
    <w:rsid w:val="00D70064"/>
    <w:rsid w:val="00D700DB"/>
    <w:rsid w:val="00D70951"/>
    <w:rsid w:val="00D70A54"/>
    <w:rsid w:val="00D70D25"/>
    <w:rsid w:val="00D70E80"/>
    <w:rsid w:val="00D71273"/>
    <w:rsid w:val="00D713AA"/>
    <w:rsid w:val="00D714F5"/>
    <w:rsid w:val="00D71729"/>
    <w:rsid w:val="00D71858"/>
    <w:rsid w:val="00D71B2C"/>
    <w:rsid w:val="00D71C85"/>
    <w:rsid w:val="00D71E60"/>
    <w:rsid w:val="00D7203F"/>
    <w:rsid w:val="00D720A3"/>
    <w:rsid w:val="00D720BA"/>
    <w:rsid w:val="00D72109"/>
    <w:rsid w:val="00D72390"/>
    <w:rsid w:val="00D723FE"/>
    <w:rsid w:val="00D7266C"/>
    <w:rsid w:val="00D727A7"/>
    <w:rsid w:val="00D727C2"/>
    <w:rsid w:val="00D72970"/>
    <w:rsid w:val="00D72D40"/>
    <w:rsid w:val="00D72ECC"/>
    <w:rsid w:val="00D72EFB"/>
    <w:rsid w:val="00D72FC1"/>
    <w:rsid w:val="00D733CA"/>
    <w:rsid w:val="00D73446"/>
    <w:rsid w:val="00D7352D"/>
    <w:rsid w:val="00D7352E"/>
    <w:rsid w:val="00D73918"/>
    <w:rsid w:val="00D73CE3"/>
    <w:rsid w:val="00D73E1B"/>
    <w:rsid w:val="00D73EE7"/>
    <w:rsid w:val="00D73FEF"/>
    <w:rsid w:val="00D740ED"/>
    <w:rsid w:val="00D7424F"/>
    <w:rsid w:val="00D748E2"/>
    <w:rsid w:val="00D74951"/>
    <w:rsid w:val="00D74A52"/>
    <w:rsid w:val="00D74DB9"/>
    <w:rsid w:val="00D74FD5"/>
    <w:rsid w:val="00D75101"/>
    <w:rsid w:val="00D751A0"/>
    <w:rsid w:val="00D75654"/>
    <w:rsid w:val="00D75BFE"/>
    <w:rsid w:val="00D75D15"/>
    <w:rsid w:val="00D75E88"/>
    <w:rsid w:val="00D761B3"/>
    <w:rsid w:val="00D7639D"/>
    <w:rsid w:val="00D76625"/>
    <w:rsid w:val="00D7680D"/>
    <w:rsid w:val="00D76AEB"/>
    <w:rsid w:val="00D76B85"/>
    <w:rsid w:val="00D76CA5"/>
    <w:rsid w:val="00D76CEE"/>
    <w:rsid w:val="00D76D71"/>
    <w:rsid w:val="00D76F24"/>
    <w:rsid w:val="00D76F33"/>
    <w:rsid w:val="00D7765B"/>
    <w:rsid w:val="00D77680"/>
    <w:rsid w:val="00D77955"/>
    <w:rsid w:val="00D77969"/>
    <w:rsid w:val="00D77AF5"/>
    <w:rsid w:val="00D77C9C"/>
    <w:rsid w:val="00D77E8A"/>
    <w:rsid w:val="00D77F1C"/>
    <w:rsid w:val="00D803BF"/>
    <w:rsid w:val="00D806F4"/>
    <w:rsid w:val="00D807F0"/>
    <w:rsid w:val="00D80B8F"/>
    <w:rsid w:val="00D80CCB"/>
    <w:rsid w:val="00D80F3D"/>
    <w:rsid w:val="00D80F4F"/>
    <w:rsid w:val="00D81680"/>
    <w:rsid w:val="00D816A4"/>
    <w:rsid w:val="00D81711"/>
    <w:rsid w:val="00D8175E"/>
    <w:rsid w:val="00D81A63"/>
    <w:rsid w:val="00D81CE2"/>
    <w:rsid w:val="00D81D31"/>
    <w:rsid w:val="00D81FFB"/>
    <w:rsid w:val="00D8201A"/>
    <w:rsid w:val="00D823A0"/>
    <w:rsid w:val="00D82679"/>
    <w:rsid w:val="00D82AB5"/>
    <w:rsid w:val="00D82D30"/>
    <w:rsid w:val="00D82E0A"/>
    <w:rsid w:val="00D82F25"/>
    <w:rsid w:val="00D8312B"/>
    <w:rsid w:val="00D837D8"/>
    <w:rsid w:val="00D84070"/>
    <w:rsid w:val="00D84843"/>
    <w:rsid w:val="00D84C1E"/>
    <w:rsid w:val="00D84F77"/>
    <w:rsid w:val="00D850D9"/>
    <w:rsid w:val="00D85363"/>
    <w:rsid w:val="00D853C9"/>
    <w:rsid w:val="00D8555E"/>
    <w:rsid w:val="00D855A5"/>
    <w:rsid w:val="00D8594A"/>
    <w:rsid w:val="00D859CE"/>
    <w:rsid w:val="00D859D0"/>
    <w:rsid w:val="00D85AC0"/>
    <w:rsid w:val="00D85ADF"/>
    <w:rsid w:val="00D85CF7"/>
    <w:rsid w:val="00D85E17"/>
    <w:rsid w:val="00D85F95"/>
    <w:rsid w:val="00D861A8"/>
    <w:rsid w:val="00D86205"/>
    <w:rsid w:val="00D86245"/>
    <w:rsid w:val="00D8625C"/>
    <w:rsid w:val="00D86398"/>
    <w:rsid w:val="00D8645F"/>
    <w:rsid w:val="00D864CF"/>
    <w:rsid w:val="00D86551"/>
    <w:rsid w:val="00D8659A"/>
    <w:rsid w:val="00D865A7"/>
    <w:rsid w:val="00D86B02"/>
    <w:rsid w:val="00D86B34"/>
    <w:rsid w:val="00D86CAB"/>
    <w:rsid w:val="00D86CB9"/>
    <w:rsid w:val="00D86EF0"/>
    <w:rsid w:val="00D871BA"/>
    <w:rsid w:val="00D87502"/>
    <w:rsid w:val="00D8774A"/>
    <w:rsid w:val="00D8778D"/>
    <w:rsid w:val="00D877FA"/>
    <w:rsid w:val="00D87873"/>
    <w:rsid w:val="00D87924"/>
    <w:rsid w:val="00D879F8"/>
    <w:rsid w:val="00D87ADD"/>
    <w:rsid w:val="00D87B97"/>
    <w:rsid w:val="00D87BFD"/>
    <w:rsid w:val="00D87D04"/>
    <w:rsid w:val="00D87DF7"/>
    <w:rsid w:val="00D90073"/>
    <w:rsid w:val="00D90110"/>
    <w:rsid w:val="00D90146"/>
    <w:rsid w:val="00D903A0"/>
    <w:rsid w:val="00D9049A"/>
    <w:rsid w:val="00D90789"/>
    <w:rsid w:val="00D90931"/>
    <w:rsid w:val="00D90B06"/>
    <w:rsid w:val="00D90C01"/>
    <w:rsid w:val="00D90D38"/>
    <w:rsid w:val="00D90D39"/>
    <w:rsid w:val="00D90E3F"/>
    <w:rsid w:val="00D91226"/>
    <w:rsid w:val="00D912B3"/>
    <w:rsid w:val="00D9166C"/>
    <w:rsid w:val="00D91695"/>
    <w:rsid w:val="00D91828"/>
    <w:rsid w:val="00D9182D"/>
    <w:rsid w:val="00D9183E"/>
    <w:rsid w:val="00D91C0F"/>
    <w:rsid w:val="00D91E10"/>
    <w:rsid w:val="00D91E25"/>
    <w:rsid w:val="00D921B4"/>
    <w:rsid w:val="00D927BF"/>
    <w:rsid w:val="00D9298A"/>
    <w:rsid w:val="00D92B2A"/>
    <w:rsid w:val="00D92CE9"/>
    <w:rsid w:val="00D92D5C"/>
    <w:rsid w:val="00D92EAE"/>
    <w:rsid w:val="00D931AE"/>
    <w:rsid w:val="00D9350D"/>
    <w:rsid w:val="00D93A3A"/>
    <w:rsid w:val="00D93C27"/>
    <w:rsid w:val="00D93D69"/>
    <w:rsid w:val="00D9400C"/>
    <w:rsid w:val="00D9411C"/>
    <w:rsid w:val="00D94160"/>
    <w:rsid w:val="00D947B6"/>
    <w:rsid w:val="00D94864"/>
    <w:rsid w:val="00D94A04"/>
    <w:rsid w:val="00D94A5C"/>
    <w:rsid w:val="00D94AEF"/>
    <w:rsid w:val="00D94D2E"/>
    <w:rsid w:val="00D94ED6"/>
    <w:rsid w:val="00D94EFD"/>
    <w:rsid w:val="00D94FE4"/>
    <w:rsid w:val="00D9509C"/>
    <w:rsid w:val="00D95BF7"/>
    <w:rsid w:val="00D95DD0"/>
    <w:rsid w:val="00D95FDB"/>
    <w:rsid w:val="00D96219"/>
    <w:rsid w:val="00D9638C"/>
    <w:rsid w:val="00D9639E"/>
    <w:rsid w:val="00D9642F"/>
    <w:rsid w:val="00D965A5"/>
    <w:rsid w:val="00D96B58"/>
    <w:rsid w:val="00D96CC7"/>
    <w:rsid w:val="00D972EC"/>
    <w:rsid w:val="00D979B9"/>
    <w:rsid w:val="00D97D82"/>
    <w:rsid w:val="00D97DD9"/>
    <w:rsid w:val="00D97FFE"/>
    <w:rsid w:val="00DA0047"/>
    <w:rsid w:val="00DA0094"/>
    <w:rsid w:val="00DA0339"/>
    <w:rsid w:val="00DA0348"/>
    <w:rsid w:val="00DA03B6"/>
    <w:rsid w:val="00DA0577"/>
    <w:rsid w:val="00DA06F4"/>
    <w:rsid w:val="00DA07A7"/>
    <w:rsid w:val="00DA0ABD"/>
    <w:rsid w:val="00DA0BC0"/>
    <w:rsid w:val="00DA1224"/>
    <w:rsid w:val="00DA1277"/>
    <w:rsid w:val="00DA12CC"/>
    <w:rsid w:val="00DA152C"/>
    <w:rsid w:val="00DA1709"/>
    <w:rsid w:val="00DA18C1"/>
    <w:rsid w:val="00DA1A1B"/>
    <w:rsid w:val="00DA1F48"/>
    <w:rsid w:val="00DA2200"/>
    <w:rsid w:val="00DA2224"/>
    <w:rsid w:val="00DA26C9"/>
    <w:rsid w:val="00DA2B03"/>
    <w:rsid w:val="00DA2B2D"/>
    <w:rsid w:val="00DA2CD7"/>
    <w:rsid w:val="00DA3138"/>
    <w:rsid w:val="00DA3529"/>
    <w:rsid w:val="00DA3695"/>
    <w:rsid w:val="00DA36D0"/>
    <w:rsid w:val="00DA376F"/>
    <w:rsid w:val="00DA39A3"/>
    <w:rsid w:val="00DA3C36"/>
    <w:rsid w:val="00DA3D10"/>
    <w:rsid w:val="00DA4232"/>
    <w:rsid w:val="00DA4471"/>
    <w:rsid w:val="00DA44B4"/>
    <w:rsid w:val="00DA44B9"/>
    <w:rsid w:val="00DA456B"/>
    <w:rsid w:val="00DA479B"/>
    <w:rsid w:val="00DA491F"/>
    <w:rsid w:val="00DA49B7"/>
    <w:rsid w:val="00DA4C35"/>
    <w:rsid w:val="00DA4D1A"/>
    <w:rsid w:val="00DA5107"/>
    <w:rsid w:val="00DA517A"/>
    <w:rsid w:val="00DA5196"/>
    <w:rsid w:val="00DA51D0"/>
    <w:rsid w:val="00DA5576"/>
    <w:rsid w:val="00DA5581"/>
    <w:rsid w:val="00DA55FC"/>
    <w:rsid w:val="00DA5615"/>
    <w:rsid w:val="00DA57A3"/>
    <w:rsid w:val="00DA57F5"/>
    <w:rsid w:val="00DA58A6"/>
    <w:rsid w:val="00DA594B"/>
    <w:rsid w:val="00DA59EE"/>
    <w:rsid w:val="00DA5B68"/>
    <w:rsid w:val="00DA5C58"/>
    <w:rsid w:val="00DA5C6F"/>
    <w:rsid w:val="00DA5D05"/>
    <w:rsid w:val="00DA5D3B"/>
    <w:rsid w:val="00DA648A"/>
    <w:rsid w:val="00DA674D"/>
    <w:rsid w:val="00DA6C28"/>
    <w:rsid w:val="00DA706A"/>
    <w:rsid w:val="00DA70D5"/>
    <w:rsid w:val="00DA70E3"/>
    <w:rsid w:val="00DA72B8"/>
    <w:rsid w:val="00DA759C"/>
    <w:rsid w:val="00DA7C0A"/>
    <w:rsid w:val="00DA7DDE"/>
    <w:rsid w:val="00DA7E88"/>
    <w:rsid w:val="00DA7FD4"/>
    <w:rsid w:val="00DB0049"/>
    <w:rsid w:val="00DB0589"/>
    <w:rsid w:val="00DB06EF"/>
    <w:rsid w:val="00DB0910"/>
    <w:rsid w:val="00DB10D4"/>
    <w:rsid w:val="00DB12A6"/>
    <w:rsid w:val="00DB159A"/>
    <w:rsid w:val="00DB16F5"/>
    <w:rsid w:val="00DB18E1"/>
    <w:rsid w:val="00DB1966"/>
    <w:rsid w:val="00DB1CA8"/>
    <w:rsid w:val="00DB1CE8"/>
    <w:rsid w:val="00DB1D1B"/>
    <w:rsid w:val="00DB1E46"/>
    <w:rsid w:val="00DB1F0A"/>
    <w:rsid w:val="00DB253D"/>
    <w:rsid w:val="00DB25B9"/>
    <w:rsid w:val="00DB2ACC"/>
    <w:rsid w:val="00DB2C88"/>
    <w:rsid w:val="00DB2DBE"/>
    <w:rsid w:val="00DB30AB"/>
    <w:rsid w:val="00DB30E3"/>
    <w:rsid w:val="00DB3600"/>
    <w:rsid w:val="00DB36C6"/>
    <w:rsid w:val="00DB3722"/>
    <w:rsid w:val="00DB3968"/>
    <w:rsid w:val="00DB3ADE"/>
    <w:rsid w:val="00DB3CB2"/>
    <w:rsid w:val="00DB3D92"/>
    <w:rsid w:val="00DB3E04"/>
    <w:rsid w:val="00DB42BF"/>
    <w:rsid w:val="00DB42FD"/>
    <w:rsid w:val="00DB4369"/>
    <w:rsid w:val="00DB479A"/>
    <w:rsid w:val="00DB4929"/>
    <w:rsid w:val="00DB4A66"/>
    <w:rsid w:val="00DB4C0C"/>
    <w:rsid w:val="00DB4CEB"/>
    <w:rsid w:val="00DB5041"/>
    <w:rsid w:val="00DB50A1"/>
    <w:rsid w:val="00DB50DB"/>
    <w:rsid w:val="00DB5111"/>
    <w:rsid w:val="00DB5115"/>
    <w:rsid w:val="00DB52E6"/>
    <w:rsid w:val="00DB5526"/>
    <w:rsid w:val="00DB5634"/>
    <w:rsid w:val="00DB5805"/>
    <w:rsid w:val="00DB5A39"/>
    <w:rsid w:val="00DB5AF1"/>
    <w:rsid w:val="00DB5D46"/>
    <w:rsid w:val="00DB6142"/>
    <w:rsid w:val="00DB6299"/>
    <w:rsid w:val="00DB6488"/>
    <w:rsid w:val="00DB6852"/>
    <w:rsid w:val="00DB6B27"/>
    <w:rsid w:val="00DB6C26"/>
    <w:rsid w:val="00DB6D6C"/>
    <w:rsid w:val="00DB6E01"/>
    <w:rsid w:val="00DB6E54"/>
    <w:rsid w:val="00DB7182"/>
    <w:rsid w:val="00DB723A"/>
    <w:rsid w:val="00DB72F5"/>
    <w:rsid w:val="00DB7A2B"/>
    <w:rsid w:val="00DB7BA0"/>
    <w:rsid w:val="00DB7C23"/>
    <w:rsid w:val="00DB7CAF"/>
    <w:rsid w:val="00DB7E28"/>
    <w:rsid w:val="00DB7E29"/>
    <w:rsid w:val="00DB7F4C"/>
    <w:rsid w:val="00DB7FAE"/>
    <w:rsid w:val="00DC0159"/>
    <w:rsid w:val="00DC02FE"/>
    <w:rsid w:val="00DC0443"/>
    <w:rsid w:val="00DC05DD"/>
    <w:rsid w:val="00DC0B43"/>
    <w:rsid w:val="00DC0D49"/>
    <w:rsid w:val="00DC0F10"/>
    <w:rsid w:val="00DC0F22"/>
    <w:rsid w:val="00DC0FA4"/>
    <w:rsid w:val="00DC1052"/>
    <w:rsid w:val="00DC1640"/>
    <w:rsid w:val="00DC1683"/>
    <w:rsid w:val="00DC16D7"/>
    <w:rsid w:val="00DC17F9"/>
    <w:rsid w:val="00DC1FC9"/>
    <w:rsid w:val="00DC217C"/>
    <w:rsid w:val="00DC21F7"/>
    <w:rsid w:val="00DC2406"/>
    <w:rsid w:val="00DC24CD"/>
    <w:rsid w:val="00DC24E4"/>
    <w:rsid w:val="00DC264B"/>
    <w:rsid w:val="00DC2A7D"/>
    <w:rsid w:val="00DC2BB4"/>
    <w:rsid w:val="00DC2EA9"/>
    <w:rsid w:val="00DC3035"/>
    <w:rsid w:val="00DC31B7"/>
    <w:rsid w:val="00DC353C"/>
    <w:rsid w:val="00DC3578"/>
    <w:rsid w:val="00DC37F9"/>
    <w:rsid w:val="00DC3D42"/>
    <w:rsid w:val="00DC3DEE"/>
    <w:rsid w:val="00DC3F26"/>
    <w:rsid w:val="00DC4168"/>
    <w:rsid w:val="00DC431B"/>
    <w:rsid w:val="00DC4555"/>
    <w:rsid w:val="00DC45E8"/>
    <w:rsid w:val="00DC4649"/>
    <w:rsid w:val="00DC46FF"/>
    <w:rsid w:val="00DC47A4"/>
    <w:rsid w:val="00DC47C0"/>
    <w:rsid w:val="00DC4813"/>
    <w:rsid w:val="00DC4C95"/>
    <w:rsid w:val="00DC546F"/>
    <w:rsid w:val="00DC5B7C"/>
    <w:rsid w:val="00DC5C8A"/>
    <w:rsid w:val="00DC620B"/>
    <w:rsid w:val="00DC62F6"/>
    <w:rsid w:val="00DC635B"/>
    <w:rsid w:val="00DC6475"/>
    <w:rsid w:val="00DC6546"/>
    <w:rsid w:val="00DC69FB"/>
    <w:rsid w:val="00DC6B47"/>
    <w:rsid w:val="00DC6D1E"/>
    <w:rsid w:val="00DC6F20"/>
    <w:rsid w:val="00DC7057"/>
    <w:rsid w:val="00DC71DE"/>
    <w:rsid w:val="00DC738E"/>
    <w:rsid w:val="00DC75C8"/>
    <w:rsid w:val="00DC762C"/>
    <w:rsid w:val="00DC7763"/>
    <w:rsid w:val="00DC7970"/>
    <w:rsid w:val="00DC7B3B"/>
    <w:rsid w:val="00DC7BFB"/>
    <w:rsid w:val="00DC7FCD"/>
    <w:rsid w:val="00DD0169"/>
    <w:rsid w:val="00DD06D7"/>
    <w:rsid w:val="00DD0829"/>
    <w:rsid w:val="00DD09E5"/>
    <w:rsid w:val="00DD0DAE"/>
    <w:rsid w:val="00DD0F4C"/>
    <w:rsid w:val="00DD1031"/>
    <w:rsid w:val="00DD109E"/>
    <w:rsid w:val="00DD10FA"/>
    <w:rsid w:val="00DD112B"/>
    <w:rsid w:val="00DD126E"/>
    <w:rsid w:val="00DD22EF"/>
    <w:rsid w:val="00DD269B"/>
    <w:rsid w:val="00DD2849"/>
    <w:rsid w:val="00DD2AE6"/>
    <w:rsid w:val="00DD30DD"/>
    <w:rsid w:val="00DD319A"/>
    <w:rsid w:val="00DD3345"/>
    <w:rsid w:val="00DD3372"/>
    <w:rsid w:val="00DD33C9"/>
    <w:rsid w:val="00DD363E"/>
    <w:rsid w:val="00DD3686"/>
    <w:rsid w:val="00DD38A7"/>
    <w:rsid w:val="00DD3A5E"/>
    <w:rsid w:val="00DD3BC5"/>
    <w:rsid w:val="00DD3CA7"/>
    <w:rsid w:val="00DD3DAF"/>
    <w:rsid w:val="00DD439D"/>
    <w:rsid w:val="00DD4448"/>
    <w:rsid w:val="00DD4AD7"/>
    <w:rsid w:val="00DD4BE8"/>
    <w:rsid w:val="00DD4C5C"/>
    <w:rsid w:val="00DD4E7D"/>
    <w:rsid w:val="00DD4EF9"/>
    <w:rsid w:val="00DD5299"/>
    <w:rsid w:val="00DD541A"/>
    <w:rsid w:val="00DD553A"/>
    <w:rsid w:val="00DD55FA"/>
    <w:rsid w:val="00DD6185"/>
    <w:rsid w:val="00DD62CA"/>
    <w:rsid w:val="00DD62F0"/>
    <w:rsid w:val="00DD6379"/>
    <w:rsid w:val="00DD64E2"/>
    <w:rsid w:val="00DD65B0"/>
    <w:rsid w:val="00DD66A7"/>
    <w:rsid w:val="00DD68A7"/>
    <w:rsid w:val="00DD68EC"/>
    <w:rsid w:val="00DD6E2E"/>
    <w:rsid w:val="00DD7112"/>
    <w:rsid w:val="00DD71E8"/>
    <w:rsid w:val="00DD74F7"/>
    <w:rsid w:val="00DD7602"/>
    <w:rsid w:val="00DD7A16"/>
    <w:rsid w:val="00DD7DB5"/>
    <w:rsid w:val="00DD7F1A"/>
    <w:rsid w:val="00DE0037"/>
    <w:rsid w:val="00DE05CE"/>
    <w:rsid w:val="00DE08DC"/>
    <w:rsid w:val="00DE09D7"/>
    <w:rsid w:val="00DE0A9C"/>
    <w:rsid w:val="00DE0C45"/>
    <w:rsid w:val="00DE0D99"/>
    <w:rsid w:val="00DE1019"/>
    <w:rsid w:val="00DE1388"/>
    <w:rsid w:val="00DE144D"/>
    <w:rsid w:val="00DE158B"/>
    <w:rsid w:val="00DE15E6"/>
    <w:rsid w:val="00DE167F"/>
    <w:rsid w:val="00DE1CD1"/>
    <w:rsid w:val="00DE1CF4"/>
    <w:rsid w:val="00DE1D38"/>
    <w:rsid w:val="00DE1F05"/>
    <w:rsid w:val="00DE2009"/>
    <w:rsid w:val="00DE22E7"/>
    <w:rsid w:val="00DE238E"/>
    <w:rsid w:val="00DE25A5"/>
    <w:rsid w:val="00DE25B2"/>
    <w:rsid w:val="00DE29E2"/>
    <w:rsid w:val="00DE2B02"/>
    <w:rsid w:val="00DE2B0F"/>
    <w:rsid w:val="00DE2B74"/>
    <w:rsid w:val="00DE32F4"/>
    <w:rsid w:val="00DE32F8"/>
    <w:rsid w:val="00DE3352"/>
    <w:rsid w:val="00DE3436"/>
    <w:rsid w:val="00DE37BF"/>
    <w:rsid w:val="00DE381B"/>
    <w:rsid w:val="00DE392F"/>
    <w:rsid w:val="00DE3B8C"/>
    <w:rsid w:val="00DE3BE2"/>
    <w:rsid w:val="00DE3E2D"/>
    <w:rsid w:val="00DE3EAE"/>
    <w:rsid w:val="00DE421F"/>
    <w:rsid w:val="00DE42DC"/>
    <w:rsid w:val="00DE4305"/>
    <w:rsid w:val="00DE43F0"/>
    <w:rsid w:val="00DE45F7"/>
    <w:rsid w:val="00DE4982"/>
    <w:rsid w:val="00DE4C91"/>
    <w:rsid w:val="00DE521E"/>
    <w:rsid w:val="00DE5249"/>
    <w:rsid w:val="00DE578B"/>
    <w:rsid w:val="00DE57C4"/>
    <w:rsid w:val="00DE58D4"/>
    <w:rsid w:val="00DE5C45"/>
    <w:rsid w:val="00DE5CC3"/>
    <w:rsid w:val="00DE5CFF"/>
    <w:rsid w:val="00DE5F25"/>
    <w:rsid w:val="00DE6212"/>
    <w:rsid w:val="00DE6336"/>
    <w:rsid w:val="00DE63F3"/>
    <w:rsid w:val="00DE64EA"/>
    <w:rsid w:val="00DE65C3"/>
    <w:rsid w:val="00DE6801"/>
    <w:rsid w:val="00DE6932"/>
    <w:rsid w:val="00DE6AC6"/>
    <w:rsid w:val="00DE6CB1"/>
    <w:rsid w:val="00DE74C1"/>
    <w:rsid w:val="00DE76FD"/>
    <w:rsid w:val="00DE7906"/>
    <w:rsid w:val="00DE7917"/>
    <w:rsid w:val="00DE7957"/>
    <w:rsid w:val="00DE79DF"/>
    <w:rsid w:val="00DE7A1E"/>
    <w:rsid w:val="00DE7D0F"/>
    <w:rsid w:val="00DE7E48"/>
    <w:rsid w:val="00DE7E64"/>
    <w:rsid w:val="00DF0055"/>
    <w:rsid w:val="00DF01B0"/>
    <w:rsid w:val="00DF046A"/>
    <w:rsid w:val="00DF0777"/>
    <w:rsid w:val="00DF07BA"/>
    <w:rsid w:val="00DF0984"/>
    <w:rsid w:val="00DF0B5A"/>
    <w:rsid w:val="00DF0B86"/>
    <w:rsid w:val="00DF0D04"/>
    <w:rsid w:val="00DF0DB3"/>
    <w:rsid w:val="00DF0EAF"/>
    <w:rsid w:val="00DF1148"/>
    <w:rsid w:val="00DF13F4"/>
    <w:rsid w:val="00DF146A"/>
    <w:rsid w:val="00DF14D7"/>
    <w:rsid w:val="00DF1563"/>
    <w:rsid w:val="00DF1AAF"/>
    <w:rsid w:val="00DF1BA5"/>
    <w:rsid w:val="00DF1BEF"/>
    <w:rsid w:val="00DF1EB4"/>
    <w:rsid w:val="00DF23FE"/>
    <w:rsid w:val="00DF26B3"/>
    <w:rsid w:val="00DF2741"/>
    <w:rsid w:val="00DF29D4"/>
    <w:rsid w:val="00DF2B9F"/>
    <w:rsid w:val="00DF2C7A"/>
    <w:rsid w:val="00DF2F5E"/>
    <w:rsid w:val="00DF315D"/>
    <w:rsid w:val="00DF34B1"/>
    <w:rsid w:val="00DF3519"/>
    <w:rsid w:val="00DF3924"/>
    <w:rsid w:val="00DF39D5"/>
    <w:rsid w:val="00DF3AA8"/>
    <w:rsid w:val="00DF3B54"/>
    <w:rsid w:val="00DF3CDC"/>
    <w:rsid w:val="00DF4092"/>
    <w:rsid w:val="00DF41A2"/>
    <w:rsid w:val="00DF43EC"/>
    <w:rsid w:val="00DF4560"/>
    <w:rsid w:val="00DF4B3D"/>
    <w:rsid w:val="00DF4BC5"/>
    <w:rsid w:val="00DF4C1E"/>
    <w:rsid w:val="00DF4CD2"/>
    <w:rsid w:val="00DF4DB3"/>
    <w:rsid w:val="00DF4ECF"/>
    <w:rsid w:val="00DF5050"/>
    <w:rsid w:val="00DF5804"/>
    <w:rsid w:val="00DF5811"/>
    <w:rsid w:val="00DF585E"/>
    <w:rsid w:val="00DF5AF8"/>
    <w:rsid w:val="00DF5B0A"/>
    <w:rsid w:val="00DF5B57"/>
    <w:rsid w:val="00DF5B8F"/>
    <w:rsid w:val="00DF5DDD"/>
    <w:rsid w:val="00DF5F20"/>
    <w:rsid w:val="00DF6095"/>
    <w:rsid w:val="00DF65F7"/>
    <w:rsid w:val="00DF67C6"/>
    <w:rsid w:val="00DF746B"/>
    <w:rsid w:val="00DF7553"/>
    <w:rsid w:val="00DF7898"/>
    <w:rsid w:val="00DF7E12"/>
    <w:rsid w:val="00DF7F9F"/>
    <w:rsid w:val="00E00538"/>
    <w:rsid w:val="00E0059D"/>
    <w:rsid w:val="00E00692"/>
    <w:rsid w:val="00E00B7F"/>
    <w:rsid w:val="00E00D8B"/>
    <w:rsid w:val="00E00DBA"/>
    <w:rsid w:val="00E01067"/>
    <w:rsid w:val="00E01679"/>
    <w:rsid w:val="00E01959"/>
    <w:rsid w:val="00E0198E"/>
    <w:rsid w:val="00E019F2"/>
    <w:rsid w:val="00E01B13"/>
    <w:rsid w:val="00E01D64"/>
    <w:rsid w:val="00E01E4F"/>
    <w:rsid w:val="00E01F3C"/>
    <w:rsid w:val="00E0218D"/>
    <w:rsid w:val="00E02207"/>
    <w:rsid w:val="00E0222E"/>
    <w:rsid w:val="00E02993"/>
    <w:rsid w:val="00E029D0"/>
    <w:rsid w:val="00E02A0C"/>
    <w:rsid w:val="00E02A11"/>
    <w:rsid w:val="00E02D9F"/>
    <w:rsid w:val="00E02DCD"/>
    <w:rsid w:val="00E02DE4"/>
    <w:rsid w:val="00E02DF4"/>
    <w:rsid w:val="00E02EBF"/>
    <w:rsid w:val="00E0314A"/>
    <w:rsid w:val="00E03159"/>
    <w:rsid w:val="00E0328E"/>
    <w:rsid w:val="00E0338C"/>
    <w:rsid w:val="00E033AA"/>
    <w:rsid w:val="00E0371E"/>
    <w:rsid w:val="00E037D8"/>
    <w:rsid w:val="00E03807"/>
    <w:rsid w:val="00E03BEC"/>
    <w:rsid w:val="00E03E6E"/>
    <w:rsid w:val="00E03F18"/>
    <w:rsid w:val="00E04077"/>
    <w:rsid w:val="00E0421D"/>
    <w:rsid w:val="00E04244"/>
    <w:rsid w:val="00E04268"/>
    <w:rsid w:val="00E0432F"/>
    <w:rsid w:val="00E04400"/>
    <w:rsid w:val="00E0444E"/>
    <w:rsid w:val="00E0455C"/>
    <w:rsid w:val="00E04634"/>
    <w:rsid w:val="00E046F4"/>
    <w:rsid w:val="00E04737"/>
    <w:rsid w:val="00E049AF"/>
    <w:rsid w:val="00E04A28"/>
    <w:rsid w:val="00E04BA4"/>
    <w:rsid w:val="00E04C62"/>
    <w:rsid w:val="00E04E53"/>
    <w:rsid w:val="00E04F8E"/>
    <w:rsid w:val="00E04FD3"/>
    <w:rsid w:val="00E05082"/>
    <w:rsid w:val="00E050AC"/>
    <w:rsid w:val="00E051CE"/>
    <w:rsid w:val="00E052C7"/>
    <w:rsid w:val="00E05390"/>
    <w:rsid w:val="00E053E4"/>
    <w:rsid w:val="00E05429"/>
    <w:rsid w:val="00E05469"/>
    <w:rsid w:val="00E056A4"/>
    <w:rsid w:val="00E059C9"/>
    <w:rsid w:val="00E059EB"/>
    <w:rsid w:val="00E05B17"/>
    <w:rsid w:val="00E05D79"/>
    <w:rsid w:val="00E05D85"/>
    <w:rsid w:val="00E05DD9"/>
    <w:rsid w:val="00E05E71"/>
    <w:rsid w:val="00E05EF8"/>
    <w:rsid w:val="00E05F2D"/>
    <w:rsid w:val="00E06071"/>
    <w:rsid w:val="00E06075"/>
    <w:rsid w:val="00E0615F"/>
    <w:rsid w:val="00E06419"/>
    <w:rsid w:val="00E065C0"/>
    <w:rsid w:val="00E065CE"/>
    <w:rsid w:val="00E06918"/>
    <w:rsid w:val="00E06D4A"/>
    <w:rsid w:val="00E06F6F"/>
    <w:rsid w:val="00E06FC6"/>
    <w:rsid w:val="00E070D8"/>
    <w:rsid w:val="00E071DB"/>
    <w:rsid w:val="00E07368"/>
    <w:rsid w:val="00E0774F"/>
    <w:rsid w:val="00E078AC"/>
    <w:rsid w:val="00E07CB4"/>
    <w:rsid w:val="00E07CC1"/>
    <w:rsid w:val="00E07CC6"/>
    <w:rsid w:val="00E07FDC"/>
    <w:rsid w:val="00E1006C"/>
    <w:rsid w:val="00E101E1"/>
    <w:rsid w:val="00E103F7"/>
    <w:rsid w:val="00E10455"/>
    <w:rsid w:val="00E106C0"/>
    <w:rsid w:val="00E10C3F"/>
    <w:rsid w:val="00E10D5D"/>
    <w:rsid w:val="00E10EDC"/>
    <w:rsid w:val="00E11171"/>
    <w:rsid w:val="00E11177"/>
    <w:rsid w:val="00E1142A"/>
    <w:rsid w:val="00E11ACD"/>
    <w:rsid w:val="00E11C1A"/>
    <w:rsid w:val="00E11C65"/>
    <w:rsid w:val="00E11E5D"/>
    <w:rsid w:val="00E11ECD"/>
    <w:rsid w:val="00E12026"/>
    <w:rsid w:val="00E12129"/>
    <w:rsid w:val="00E123B5"/>
    <w:rsid w:val="00E1297A"/>
    <w:rsid w:val="00E12E27"/>
    <w:rsid w:val="00E12E4C"/>
    <w:rsid w:val="00E133B6"/>
    <w:rsid w:val="00E13611"/>
    <w:rsid w:val="00E13772"/>
    <w:rsid w:val="00E1394D"/>
    <w:rsid w:val="00E13D0A"/>
    <w:rsid w:val="00E13D0F"/>
    <w:rsid w:val="00E140F6"/>
    <w:rsid w:val="00E14242"/>
    <w:rsid w:val="00E14525"/>
    <w:rsid w:val="00E1461D"/>
    <w:rsid w:val="00E1465A"/>
    <w:rsid w:val="00E1492F"/>
    <w:rsid w:val="00E14953"/>
    <w:rsid w:val="00E149E9"/>
    <w:rsid w:val="00E14A84"/>
    <w:rsid w:val="00E14FF1"/>
    <w:rsid w:val="00E151B6"/>
    <w:rsid w:val="00E15480"/>
    <w:rsid w:val="00E155B5"/>
    <w:rsid w:val="00E156C9"/>
    <w:rsid w:val="00E156D2"/>
    <w:rsid w:val="00E1574C"/>
    <w:rsid w:val="00E158B5"/>
    <w:rsid w:val="00E15A62"/>
    <w:rsid w:val="00E15D03"/>
    <w:rsid w:val="00E15DBB"/>
    <w:rsid w:val="00E160BD"/>
    <w:rsid w:val="00E16373"/>
    <w:rsid w:val="00E1675C"/>
    <w:rsid w:val="00E167DA"/>
    <w:rsid w:val="00E16831"/>
    <w:rsid w:val="00E16CA2"/>
    <w:rsid w:val="00E16D99"/>
    <w:rsid w:val="00E17BB8"/>
    <w:rsid w:val="00E17EB9"/>
    <w:rsid w:val="00E17F7F"/>
    <w:rsid w:val="00E20155"/>
    <w:rsid w:val="00E205C9"/>
    <w:rsid w:val="00E20A3F"/>
    <w:rsid w:val="00E212F5"/>
    <w:rsid w:val="00E215A0"/>
    <w:rsid w:val="00E218B6"/>
    <w:rsid w:val="00E21AFD"/>
    <w:rsid w:val="00E21F6B"/>
    <w:rsid w:val="00E21FBB"/>
    <w:rsid w:val="00E2246C"/>
    <w:rsid w:val="00E22580"/>
    <w:rsid w:val="00E2263B"/>
    <w:rsid w:val="00E228E3"/>
    <w:rsid w:val="00E229C6"/>
    <w:rsid w:val="00E22A8E"/>
    <w:rsid w:val="00E22CA8"/>
    <w:rsid w:val="00E22DB0"/>
    <w:rsid w:val="00E22F52"/>
    <w:rsid w:val="00E22F76"/>
    <w:rsid w:val="00E22FA3"/>
    <w:rsid w:val="00E23137"/>
    <w:rsid w:val="00E23152"/>
    <w:rsid w:val="00E23312"/>
    <w:rsid w:val="00E233D4"/>
    <w:rsid w:val="00E233E4"/>
    <w:rsid w:val="00E2366C"/>
    <w:rsid w:val="00E23761"/>
    <w:rsid w:val="00E2393E"/>
    <w:rsid w:val="00E23FDA"/>
    <w:rsid w:val="00E240BA"/>
    <w:rsid w:val="00E240D7"/>
    <w:rsid w:val="00E24132"/>
    <w:rsid w:val="00E24524"/>
    <w:rsid w:val="00E24538"/>
    <w:rsid w:val="00E24743"/>
    <w:rsid w:val="00E248BF"/>
    <w:rsid w:val="00E248D9"/>
    <w:rsid w:val="00E24AF4"/>
    <w:rsid w:val="00E24BCA"/>
    <w:rsid w:val="00E24C56"/>
    <w:rsid w:val="00E251BC"/>
    <w:rsid w:val="00E2523F"/>
    <w:rsid w:val="00E25633"/>
    <w:rsid w:val="00E259C4"/>
    <w:rsid w:val="00E25AB7"/>
    <w:rsid w:val="00E26137"/>
    <w:rsid w:val="00E2653F"/>
    <w:rsid w:val="00E2656A"/>
    <w:rsid w:val="00E2673C"/>
    <w:rsid w:val="00E267AF"/>
    <w:rsid w:val="00E26A37"/>
    <w:rsid w:val="00E26B5B"/>
    <w:rsid w:val="00E26C7A"/>
    <w:rsid w:val="00E26D35"/>
    <w:rsid w:val="00E26F3C"/>
    <w:rsid w:val="00E270A2"/>
    <w:rsid w:val="00E272B7"/>
    <w:rsid w:val="00E274DD"/>
    <w:rsid w:val="00E277C2"/>
    <w:rsid w:val="00E277C6"/>
    <w:rsid w:val="00E27828"/>
    <w:rsid w:val="00E27D73"/>
    <w:rsid w:val="00E27E54"/>
    <w:rsid w:val="00E27F34"/>
    <w:rsid w:val="00E300F3"/>
    <w:rsid w:val="00E30836"/>
    <w:rsid w:val="00E309F6"/>
    <w:rsid w:val="00E30CE0"/>
    <w:rsid w:val="00E30D5E"/>
    <w:rsid w:val="00E30E14"/>
    <w:rsid w:val="00E310D8"/>
    <w:rsid w:val="00E31D83"/>
    <w:rsid w:val="00E31DFD"/>
    <w:rsid w:val="00E3207D"/>
    <w:rsid w:val="00E320E3"/>
    <w:rsid w:val="00E32100"/>
    <w:rsid w:val="00E3262D"/>
    <w:rsid w:val="00E3275A"/>
    <w:rsid w:val="00E328D7"/>
    <w:rsid w:val="00E3299E"/>
    <w:rsid w:val="00E32A70"/>
    <w:rsid w:val="00E32D64"/>
    <w:rsid w:val="00E32D8D"/>
    <w:rsid w:val="00E32DAD"/>
    <w:rsid w:val="00E3317C"/>
    <w:rsid w:val="00E3327A"/>
    <w:rsid w:val="00E333E1"/>
    <w:rsid w:val="00E334B7"/>
    <w:rsid w:val="00E3368D"/>
    <w:rsid w:val="00E336DA"/>
    <w:rsid w:val="00E33734"/>
    <w:rsid w:val="00E33758"/>
    <w:rsid w:val="00E33B74"/>
    <w:rsid w:val="00E34138"/>
    <w:rsid w:val="00E341BC"/>
    <w:rsid w:val="00E346A3"/>
    <w:rsid w:val="00E34B51"/>
    <w:rsid w:val="00E34B95"/>
    <w:rsid w:val="00E34FC5"/>
    <w:rsid w:val="00E35084"/>
    <w:rsid w:val="00E357AC"/>
    <w:rsid w:val="00E35B1E"/>
    <w:rsid w:val="00E35B72"/>
    <w:rsid w:val="00E35FF4"/>
    <w:rsid w:val="00E361D1"/>
    <w:rsid w:val="00E3648A"/>
    <w:rsid w:val="00E366FD"/>
    <w:rsid w:val="00E36824"/>
    <w:rsid w:val="00E36909"/>
    <w:rsid w:val="00E3692D"/>
    <w:rsid w:val="00E36A91"/>
    <w:rsid w:val="00E36F63"/>
    <w:rsid w:val="00E37258"/>
    <w:rsid w:val="00E37282"/>
    <w:rsid w:val="00E37450"/>
    <w:rsid w:val="00E377EB"/>
    <w:rsid w:val="00E37CD4"/>
    <w:rsid w:val="00E37EB8"/>
    <w:rsid w:val="00E37F71"/>
    <w:rsid w:val="00E37FE1"/>
    <w:rsid w:val="00E40247"/>
    <w:rsid w:val="00E404CF"/>
    <w:rsid w:val="00E40836"/>
    <w:rsid w:val="00E40C81"/>
    <w:rsid w:val="00E40F27"/>
    <w:rsid w:val="00E41103"/>
    <w:rsid w:val="00E415F8"/>
    <w:rsid w:val="00E41A0F"/>
    <w:rsid w:val="00E41A6A"/>
    <w:rsid w:val="00E41B69"/>
    <w:rsid w:val="00E41BC2"/>
    <w:rsid w:val="00E41EEA"/>
    <w:rsid w:val="00E41FAB"/>
    <w:rsid w:val="00E4210B"/>
    <w:rsid w:val="00E42138"/>
    <w:rsid w:val="00E42176"/>
    <w:rsid w:val="00E421D1"/>
    <w:rsid w:val="00E4226E"/>
    <w:rsid w:val="00E4228C"/>
    <w:rsid w:val="00E4255B"/>
    <w:rsid w:val="00E4265D"/>
    <w:rsid w:val="00E42C3E"/>
    <w:rsid w:val="00E42F73"/>
    <w:rsid w:val="00E43030"/>
    <w:rsid w:val="00E433EF"/>
    <w:rsid w:val="00E43487"/>
    <w:rsid w:val="00E43729"/>
    <w:rsid w:val="00E437B1"/>
    <w:rsid w:val="00E43826"/>
    <w:rsid w:val="00E43C11"/>
    <w:rsid w:val="00E4409B"/>
    <w:rsid w:val="00E4455D"/>
    <w:rsid w:val="00E445C5"/>
    <w:rsid w:val="00E44B92"/>
    <w:rsid w:val="00E44C64"/>
    <w:rsid w:val="00E44DDE"/>
    <w:rsid w:val="00E44E9F"/>
    <w:rsid w:val="00E4515B"/>
    <w:rsid w:val="00E455D5"/>
    <w:rsid w:val="00E45705"/>
    <w:rsid w:val="00E4570C"/>
    <w:rsid w:val="00E457C7"/>
    <w:rsid w:val="00E45BEC"/>
    <w:rsid w:val="00E46093"/>
    <w:rsid w:val="00E461D4"/>
    <w:rsid w:val="00E462BE"/>
    <w:rsid w:val="00E46550"/>
    <w:rsid w:val="00E4656B"/>
    <w:rsid w:val="00E46C3C"/>
    <w:rsid w:val="00E46C98"/>
    <w:rsid w:val="00E46CE2"/>
    <w:rsid w:val="00E46CF5"/>
    <w:rsid w:val="00E46CF7"/>
    <w:rsid w:val="00E46D0C"/>
    <w:rsid w:val="00E46DBA"/>
    <w:rsid w:val="00E471A8"/>
    <w:rsid w:val="00E471D8"/>
    <w:rsid w:val="00E47612"/>
    <w:rsid w:val="00E476C2"/>
    <w:rsid w:val="00E47AAD"/>
    <w:rsid w:val="00E47D88"/>
    <w:rsid w:val="00E47DFA"/>
    <w:rsid w:val="00E50150"/>
    <w:rsid w:val="00E50409"/>
    <w:rsid w:val="00E50504"/>
    <w:rsid w:val="00E50636"/>
    <w:rsid w:val="00E50809"/>
    <w:rsid w:val="00E50983"/>
    <w:rsid w:val="00E50DD8"/>
    <w:rsid w:val="00E50DE1"/>
    <w:rsid w:val="00E51000"/>
    <w:rsid w:val="00E51004"/>
    <w:rsid w:val="00E5110D"/>
    <w:rsid w:val="00E5128E"/>
    <w:rsid w:val="00E5128F"/>
    <w:rsid w:val="00E5158A"/>
    <w:rsid w:val="00E515E2"/>
    <w:rsid w:val="00E516DC"/>
    <w:rsid w:val="00E518C0"/>
    <w:rsid w:val="00E51BCF"/>
    <w:rsid w:val="00E51D3C"/>
    <w:rsid w:val="00E51E0E"/>
    <w:rsid w:val="00E51EAF"/>
    <w:rsid w:val="00E51F8D"/>
    <w:rsid w:val="00E52091"/>
    <w:rsid w:val="00E52210"/>
    <w:rsid w:val="00E5269F"/>
    <w:rsid w:val="00E52781"/>
    <w:rsid w:val="00E52811"/>
    <w:rsid w:val="00E52BEA"/>
    <w:rsid w:val="00E52D67"/>
    <w:rsid w:val="00E52E16"/>
    <w:rsid w:val="00E52FCD"/>
    <w:rsid w:val="00E530C5"/>
    <w:rsid w:val="00E532A3"/>
    <w:rsid w:val="00E53777"/>
    <w:rsid w:val="00E539CA"/>
    <w:rsid w:val="00E53A22"/>
    <w:rsid w:val="00E53B57"/>
    <w:rsid w:val="00E53BD8"/>
    <w:rsid w:val="00E54697"/>
    <w:rsid w:val="00E54845"/>
    <w:rsid w:val="00E54931"/>
    <w:rsid w:val="00E549FB"/>
    <w:rsid w:val="00E54B8D"/>
    <w:rsid w:val="00E54C5B"/>
    <w:rsid w:val="00E54CA1"/>
    <w:rsid w:val="00E54DD8"/>
    <w:rsid w:val="00E54DDA"/>
    <w:rsid w:val="00E5500A"/>
    <w:rsid w:val="00E5516D"/>
    <w:rsid w:val="00E555A3"/>
    <w:rsid w:val="00E55B24"/>
    <w:rsid w:val="00E55B4F"/>
    <w:rsid w:val="00E56102"/>
    <w:rsid w:val="00E562D5"/>
    <w:rsid w:val="00E562FF"/>
    <w:rsid w:val="00E563AD"/>
    <w:rsid w:val="00E563B5"/>
    <w:rsid w:val="00E56434"/>
    <w:rsid w:val="00E56462"/>
    <w:rsid w:val="00E56548"/>
    <w:rsid w:val="00E56672"/>
    <w:rsid w:val="00E566A9"/>
    <w:rsid w:val="00E56715"/>
    <w:rsid w:val="00E56D09"/>
    <w:rsid w:val="00E56F05"/>
    <w:rsid w:val="00E56F20"/>
    <w:rsid w:val="00E56FAD"/>
    <w:rsid w:val="00E57069"/>
    <w:rsid w:val="00E5706C"/>
    <w:rsid w:val="00E57471"/>
    <w:rsid w:val="00E5762B"/>
    <w:rsid w:val="00E57ABE"/>
    <w:rsid w:val="00E57DF9"/>
    <w:rsid w:val="00E57EE3"/>
    <w:rsid w:val="00E60034"/>
    <w:rsid w:val="00E60074"/>
    <w:rsid w:val="00E60184"/>
    <w:rsid w:val="00E60188"/>
    <w:rsid w:val="00E60551"/>
    <w:rsid w:val="00E60917"/>
    <w:rsid w:val="00E60A94"/>
    <w:rsid w:val="00E60EBC"/>
    <w:rsid w:val="00E61109"/>
    <w:rsid w:val="00E613E4"/>
    <w:rsid w:val="00E61412"/>
    <w:rsid w:val="00E61474"/>
    <w:rsid w:val="00E61523"/>
    <w:rsid w:val="00E6197B"/>
    <w:rsid w:val="00E61AE7"/>
    <w:rsid w:val="00E61FC9"/>
    <w:rsid w:val="00E62041"/>
    <w:rsid w:val="00E62201"/>
    <w:rsid w:val="00E62217"/>
    <w:rsid w:val="00E62AE7"/>
    <w:rsid w:val="00E62CF2"/>
    <w:rsid w:val="00E62EBE"/>
    <w:rsid w:val="00E62F04"/>
    <w:rsid w:val="00E62FF6"/>
    <w:rsid w:val="00E63036"/>
    <w:rsid w:val="00E6307C"/>
    <w:rsid w:val="00E63166"/>
    <w:rsid w:val="00E6340C"/>
    <w:rsid w:val="00E63933"/>
    <w:rsid w:val="00E63AC9"/>
    <w:rsid w:val="00E63B22"/>
    <w:rsid w:val="00E63BEB"/>
    <w:rsid w:val="00E63D05"/>
    <w:rsid w:val="00E63E7D"/>
    <w:rsid w:val="00E63EAE"/>
    <w:rsid w:val="00E640E3"/>
    <w:rsid w:val="00E643E1"/>
    <w:rsid w:val="00E6449C"/>
    <w:rsid w:val="00E6480A"/>
    <w:rsid w:val="00E648F5"/>
    <w:rsid w:val="00E64A4A"/>
    <w:rsid w:val="00E64C9F"/>
    <w:rsid w:val="00E64D2A"/>
    <w:rsid w:val="00E64DD4"/>
    <w:rsid w:val="00E64F81"/>
    <w:rsid w:val="00E65060"/>
    <w:rsid w:val="00E650DA"/>
    <w:rsid w:val="00E65148"/>
    <w:rsid w:val="00E652EA"/>
    <w:rsid w:val="00E65476"/>
    <w:rsid w:val="00E658A2"/>
    <w:rsid w:val="00E65AF6"/>
    <w:rsid w:val="00E65C9C"/>
    <w:rsid w:val="00E66081"/>
    <w:rsid w:val="00E66135"/>
    <w:rsid w:val="00E664ED"/>
    <w:rsid w:val="00E66A3B"/>
    <w:rsid w:val="00E66B13"/>
    <w:rsid w:val="00E66BBC"/>
    <w:rsid w:val="00E66D63"/>
    <w:rsid w:val="00E6705A"/>
    <w:rsid w:val="00E6726B"/>
    <w:rsid w:val="00E67535"/>
    <w:rsid w:val="00E67561"/>
    <w:rsid w:val="00E67D3B"/>
    <w:rsid w:val="00E67D41"/>
    <w:rsid w:val="00E70392"/>
    <w:rsid w:val="00E70666"/>
    <w:rsid w:val="00E70723"/>
    <w:rsid w:val="00E70CB4"/>
    <w:rsid w:val="00E70E48"/>
    <w:rsid w:val="00E70F58"/>
    <w:rsid w:val="00E71128"/>
    <w:rsid w:val="00E712C6"/>
    <w:rsid w:val="00E712FA"/>
    <w:rsid w:val="00E71514"/>
    <w:rsid w:val="00E716EA"/>
    <w:rsid w:val="00E71A58"/>
    <w:rsid w:val="00E71DD7"/>
    <w:rsid w:val="00E72100"/>
    <w:rsid w:val="00E72193"/>
    <w:rsid w:val="00E723C6"/>
    <w:rsid w:val="00E727D9"/>
    <w:rsid w:val="00E7281C"/>
    <w:rsid w:val="00E72C12"/>
    <w:rsid w:val="00E72D41"/>
    <w:rsid w:val="00E72DF6"/>
    <w:rsid w:val="00E72F57"/>
    <w:rsid w:val="00E73050"/>
    <w:rsid w:val="00E731BF"/>
    <w:rsid w:val="00E7320C"/>
    <w:rsid w:val="00E73269"/>
    <w:rsid w:val="00E73274"/>
    <w:rsid w:val="00E73379"/>
    <w:rsid w:val="00E73425"/>
    <w:rsid w:val="00E734E0"/>
    <w:rsid w:val="00E734E7"/>
    <w:rsid w:val="00E736CB"/>
    <w:rsid w:val="00E73766"/>
    <w:rsid w:val="00E73B4A"/>
    <w:rsid w:val="00E73BD1"/>
    <w:rsid w:val="00E73C9B"/>
    <w:rsid w:val="00E73D24"/>
    <w:rsid w:val="00E74046"/>
    <w:rsid w:val="00E7413E"/>
    <w:rsid w:val="00E7416B"/>
    <w:rsid w:val="00E741CB"/>
    <w:rsid w:val="00E743AF"/>
    <w:rsid w:val="00E74477"/>
    <w:rsid w:val="00E74841"/>
    <w:rsid w:val="00E74988"/>
    <w:rsid w:val="00E74A0F"/>
    <w:rsid w:val="00E74AC7"/>
    <w:rsid w:val="00E74D5D"/>
    <w:rsid w:val="00E7515A"/>
    <w:rsid w:val="00E752BA"/>
    <w:rsid w:val="00E7544B"/>
    <w:rsid w:val="00E7562E"/>
    <w:rsid w:val="00E757FC"/>
    <w:rsid w:val="00E7582B"/>
    <w:rsid w:val="00E75974"/>
    <w:rsid w:val="00E759DA"/>
    <w:rsid w:val="00E75AA0"/>
    <w:rsid w:val="00E75BFC"/>
    <w:rsid w:val="00E75C19"/>
    <w:rsid w:val="00E75FA7"/>
    <w:rsid w:val="00E76191"/>
    <w:rsid w:val="00E76B03"/>
    <w:rsid w:val="00E76C7E"/>
    <w:rsid w:val="00E7727B"/>
    <w:rsid w:val="00E775C2"/>
    <w:rsid w:val="00E77715"/>
    <w:rsid w:val="00E777E4"/>
    <w:rsid w:val="00E77DEF"/>
    <w:rsid w:val="00E8001C"/>
    <w:rsid w:val="00E8001D"/>
    <w:rsid w:val="00E80032"/>
    <w:rsid w:val="00E80091"/>
    <w:rsid w:val="00E800E4"/>
    <w:rsid w:val="00E80224"/>
    <w:rsid w:val="00E802E1"/>
    <w:rsid w:val="00E80582"/>
    <w:rsid w:val="00E8063D"/>
    <w:rsid w:val="00E80650"/>
    <w:rsid w:val="00E806DC"/>
    <w:rsid w:val="00E80802"/>
    <w:rsid w:val="00E80AE4"/>
    <w:rsid w:val="00E80BB6"/>
    <w:rsid w:val="00E80DA4"/>
    <w:rsid w:val="00E812DF"/>
    <w:rsid w:val="00E8164C"/>
    <w:rsid w:val="00E81754"/>
    <w:rsid w:val="00E8179D"/>
    <w:rsid w:val="00E81901"/>
    <w:rsid w:val="00E81A02"/>
    <w:rsid w:val="00E81AB7"/>
    <w:rsid w:val="00E81C83"/>
    <w:rsid w:val="00E81CFA"/>
    <w:rsid w:val="00E81F5C"/>
    <w:rsid w:val="00E82190"/>
    <w:rsid w:val="00E82378"/>
    <w:rsid w:val="00E82431"/>
    <w:rsid w:val="00E824AE"/>
    <w:rsid w:val="00E82525"/>
    <w:rsid w:val="00E825B9"/>
    <w:rsid w:val="00E8262C"/>
    <w:rsid w:val="00E82C8B"/>
    <w:rsid w:val="00E82E25"/>
    <w:rsid w:val="00E82F4F"/>
    <w:rsid w:val="00E83573"/>
    <w:rsid w:val="00E835C5"/>
    <w:rsid w:val="00E8365F"/>
    <w:rsid w:val="00E83671"/>
    <w:rsid w:val="00E83759"/>
    <w:rsid w:val="00E837EB"/>
    <w:rsid w:val="00E83A6D"/>
    <w:rsid w:val="00E83B31"/>
    <w:rsid w:val="00E83D39"/>
    <w:rsid w:val="00E83D5C"/>
    <w:rsid w:val="00E83E9C"/>
    <w:rsid w:val="00E83EAF"/>
    <w:rsid w:val="00E83F7D"/>
    <w:rsid w:val="00E8416A"/>
    <w:rsid w:val="00E8442C"/>
    <w:rsid w:val="00E8450C"/>
    <w:rsid w:val="00E847A5"/>
    <w:rsid w:val="00E847BF"/>
    <w:rsid w:val="00E84CA9"/>
    <w:rsid w:val="00E84EED"/>
    <w:rsid w:val="00E854BA"/>
    <w:rsid w:val="00E8565A"/>
    <w:rsid w:val="00E8613D"/>
    <w:rsid w:val="00E864CA"/>
    <w:rsid w:val="00E86560"/>
    <w:rsid w:val="00E86669"/>
    <w:rsid w:val="00E86681"/>
    <w:rsid w:val="00E86715"/>
    <w:rsid w:val="00E86763"/>
    <w:rsid w:val="00E86C69"/>
    <w:rsid w:val="00E86EE6"/>
    <w:rsid w:val="00E86F3B"/>
    <w:rsid w:val="00E86F68"/>
    <w:rsid w:val="00E8706F"/>
    <w:rsid w:val="00E8711F"/>
    <w:rsid w:val="00E8721E"/>
    <w:rsid w:val="00E87359"/>
    <w:rsid w:val="00E87785"/>
    <w:rsid w:val="00E8780F"/>
    <w:rsid w:val="00E8783C"/>
    <w:rsid w:val="00E87C96"/>
    <w:rsid w:val="00E87D80"/>
    <w:rsid w:val="00E87DCD"/>
    <w:rsid w:val="00E87FE7"/>
    <w:rsid w:val="00E90065"/>
    <w:rsid w:val="00E900DF"/>
    <w:rsid w:val="00E90139"/>
    <w:rsid w:val="00E90396"/>
    <w:rsid w:val="00E9062C"/>
    <w:rsid w:val="00E9068C"/>
    <w:rsid w:val="00E90ACF"/>
    <w:rsid w:val="00E90B55"/>
    <w:rsid w:val="00E911A1"/>
    <w:rsid w:val="00E912E7"/>
    <w:rsid w:val="00E91311"/>
    <w:rsid w:val="00E91635"/>
    <w:rsid w:val="00E916A2"/>
    <w:rsid w:val="00E917AA"/>
    <w:rsid w:val="00E91DAF"/>
    <w:rsid w:val="00E91E4B"/>
    <w:rsid w:val="00E922A4"/>
    <w:rsid w:val="00E9249D"/>
    <w:rsid w:val="00E924A8"/>
    <w:rsid w:val="00E925A4"/>
    <w:rsid w:val="00E926BB"/>
    <w:rsid w:val="00E92C23"/>
    <w:rsid w:val="00E92C57"/>
    <w:rsid w:val="00E930F4"/>
    <w:rsid w:val="00E93AC2"/>
    <w:rsid w:val="00E93B16"/>
    <w:rsid w:val="00E93C0F"/>
    <w:rsid w:val="00E93CFD"/>
    <w:rsid w:val="00E93D37"/>
    <w:rsid w:val="00E94032"/>
    <w:rsid w:val="00E942DA"/>
    <w:rsid w:val="00E943C0"/>
    <w:rsid w:val="00E94523"/>
    <w:rsid w:val="00E9455D"/>
    <w:rsid w:val="00E9465C"/>
    <w:rsid w:val="00E94BE4"/>
    <w:rsid w:val="00E94C42"/>
    <w:rsid w:val="00E94D1A"/>
    <w:rsid w:val="00E94D1B"/>
    <w:rsid w:val="00E94F3D"/>
    <w:rsid w:val="00E95119"/>
    <w:rsid w:val="00E95261"/>
    <w:rsid w:val="00E953A8"/>
    <w:rsid w:val="00E95426"/>
    <w:rsid w:val="00E9557C"/>
    <w:rsid w:val="00E95B30"/>
    <w:rsid w:val="00E95B3E"/>
    <w:rsid w:val="00E95C57"/>
    <w:rsid w:val="00E95C5E"/>
    <w:rsid w:val="00E95E8B"/>
    <w:rsid w:val="00E9601A"/>
    <w:rsid w:val="00E961C7"/>
    <w:rsid w:val="00E96F5E"/>
    <w:rsid w:val="00E96FF1"/>
    <w:rsid w:val="00E97018"/>
    <w:rsid w:val="00E970C9"/>
    <w:rsid w:val="00E97156"/>
    <w:rsid w:val="00E976B1"/>
    <w:rsid w:val="00E97883"/>
    <w:rsid w:val="00E9798C"/>
    <w:rsid w:val="00E979CD"/>
    <w:rsid w:val="00E97C5D"/>
    <w:rsid w:val="00E97D0A"/>
    <w:rsid w:val="00EA0357"/>
    <w:rsid w:val="00EA0A06"/>
    <w:rsid w:val="00EA0CB4"/>
    <w:rsid w:val="00EA10A5"/>
    <w:rsid w:val="00EA11F7"/>
    <w:rsid w:val="00EA1209"/>
    <w:rsid w:val="00EA12E2"/>
    <w:rsid w:val="00EA19A0"/>
    <w:rsid w:val="00EA1A6D"/>
    <w:rsid w:val="00EA1C81"/>
    <w:rsid w:val="00EA21B4"/>
    <w:rsid w:val="00EA21F8"/>
    <w:rsid w:val="00EA2B4F"/>
    <w:rsid w:val="00EA2E26"/>
    <w:rsid w:val="00EA2EF2"/>
    <w:rsid w:val="00EA3723"/>
    <w:rsid w:val="00EA37A5"/>
    <w:rsid w:val="00EA389F"/>
    <w:rsid w:val="00EA3A45"/>
    <w:rsid w:val="00EA3A4E"/>
    <w:rsid w:val="00EA3C6F"/>
    <w:rsid w:val="00EA3DA1"/>
    <w:rsid w:val="00EA3FFF"/>
    <w:rsid w:val="00EA4213"/>
    <w:rsid w:val="00EA4639"/>
    <w:rsid w:val="00EA46C4"/>
    <w:rsid w:val="00EA4817"/>
    <w:rsid w:val="00EA48A8"/>
    <w:rsid w:val="00EA49AC"/>
    <w:rsid w:val="00EA4D61"/>
    <w:rsid w:val="00EA4F2E"/>
    <w:rsid w:val="00EA4F5C"/>
    <w:rsid w:val="00EA5062"/>
    <w:rsid w:val="00EA52E9"/>
    <w:rsid w:val="00EA5368"/>
    <w:rsid w:val="00EA5375"/>
    <w:rsid w:val="00EA542B"/>
    <w:rsid w:val="00EA54CB"/>
    <w:rsid w:val="00EA54D3"/>
    <w:rsid w:val="00EA5514"/>
    <w:rsid w:val="00EA55BF"/>
    <w:rsid w:val="00EA5AEC"/>
    <w:rsid w:val="00EA5B22"/>
    <w:rsid w:val="00EA5DEE"/>
    <w:rsid w:val="00EA5E10"/>
    <w:rsid w:val="00EA5E53"/>
    <w:rsid w:val="00EA5E6C"/>
    <w:rsid w:val="00EA5FD3"/>
    <w:rsid w:val="00EA60FD"/>
    <w:rsid w:val="00EA6151"/>
    <w:rsid w:val="00EA6EA6"/>
    <w:rsid w:val="00EA7213"/>
    <w:rsid w:val="00EA72EA"/>
    <w:rsid w:val="00EA7317"/>
    <w:rsid w:val="00EA758B"/>
    <w:rsid w:val="00EA7926"/>
    <w:rsid w:val="00EA7A37"/>
    <w:rsid w:val="00EA7C9B"/>
    <w:rsid w:val="00EA7DA2"/>
    <w:rsid w:val="00EA7EFB"/>
    <w:rsid w:val="00EB019C"/>
    <w:rsid w:val="00EB0382"/>
    <w:rsid w:val="00EB0D58"/>
    <w:rsid w:val="00EB0DD3"/>
    <w:rsid w:val="00EB15CD"/>
    <w:rsid w:val="00EB1696"/>
    <w:rsid w:val="00EB1766"/>
    <w:rsid w:val="00EB1B70"/>
    <w:rsid w:val="00EB1DA7"/>
    <w:rsid w:val="00EB1DD1"/>
    <w:rsid w:val="00EB1E05"/>
    <w:rsid w:val="00EB1F61"/>
    <w:rsid w:val="00EB1FE2"/>
    <w:rsid w:val="00EB1FFC"/>
    <w:rsid w:val="00EB2655"/>
    <w:rsid w:val="00EB28BF"/>
    <w:rsid w:val="00EB28E0"/>
    <w:rsid w:val="00EB2B7B"/>
    <w:rsid w:val="00EB2BB2"/>
    <w:rsid w:val="00EB2C66"/>
    <w:rsid w:val="00EB2CFB"/>
    <w:rsid w:val="00EB2D49"/>
    <w:rsid w:val="00EB2D71"/>
    <w:rsid w:val="00EB2F3A"/>
    <w:rsid w:val="00EB2FEF"/>
    <w:rsid w:val="00EB32EC"/>
    <w:rsid w:val="00EB3302"/>
    <w:rsid w:val="00EB344C"/>
    <w:rsid w:val="00EB34F9"/>
    <w:rsid w:val="00EB353B"/>
    <w:rsid w:val="00EB3C33"/>
    <w:rsid w:val="00EB3C72"/>
    <w:rsid w:val="00EB3D9B"/>
    <w:rsid w:val="00EB3E5A"/>
    <w:rsid w:val="00EB3EB7"/>
    <w:rsid w:val="00EB3EC4"/>
    <w:rsid w:val="00EB410A"/>
    <w:rsid w:val="00EB41AE"/>
    <w:rsid w:val="00EB4763"/>
    <w:rsid w:val="00EB48AB"/>
    <w:rsid w:val="00EB492C"/>
    <w:rsid w:val="00EB4C27"/>
    <w:rsid w:val="00EB4E5D"/>
    <w:rsid w:val="00EB4E98"/>
    <w:rsid w:val="00EB51A7"/>
    <w:rsid w:val="00EB5471"/>
    <w:rsid w:val="00EB5532"/>
    <w:rsid w:val="00EB5599"/>
    <w:rsid w:val="00EB56BC"/>
    <w:rsid w:val="00EB5B56"/>
    <w:rsid w:val="00EB5DA9"/>
    <w:rsid w:val="00EB5FAC"/>
    <w:rsid w:val="00EB62BB"/>
    <w:rsid w:val="00EB6356"/>
    <w:rsid w:val="00EB684E"/>
    <w:rsid w:val="00EB691A"/>
    <w:rsid w:val="00EB6AB0"/>
    <w:rsid w:val="00EB6D00"/>
    <w:rsid w:val="00EB6F12"/>
    <w:rsid w:val="00EB6F9E"/>
    <w:rsid w:val="00EB7070"/>
    <w:rsid w:val="00EB76E5"/>
    <w:rsid w:val="00EB783C"/>
    <w:rsid w:val="00EB78B6"/>
    <w:rsid w:val="00EB7AF5"/>
    <w:rsid w:val="00EB7CAC"/>
    <w:rsid w:val="00EC019E"/>
    <w:rsid w:val="00EC043B"/>
    <w:rsid w:val="00EC06D4"/>
    <w:rsid w:val="00EC07E0"/>
    <w:rsid w:val="00EC09A4"/>
    <w:rsid w:val="00EC0BC0"/>
    <w:rsid w:val="00EC0C07"/>
    <w:rsid w:val="00EC0C0A"/>
    <w:rsid w:val="00EC0CA5"/>
    <w:rsid w:val="00EC0D64"/>
    <w:rsid w:val="00EC0E8D"/>
    <w:rsid w:val="00EC0F27"/>
    <w:rsid w:val="00EC0F96"/>
    <w:rsid w:val="00EC1195"/>
    <w:rsid w:val="00EC1396"/>
    <w:rsid w:val="00EC1547"/>
    <w:rsid w:val="00EC159D"/>
    <w:rsid w:val="00EC1758"/>
    <w:rsid w:val="00EC17F0"/>
    <w:rsid w:val="00EC181F"/>
    <w:rsid w:val="00EC1827"/>
    <w:rsid w:val="00EC1949"/>
    <w:rsid w:val="00EC1D6A"/>
    <w:rsid w:val="00EC1F29"/>
    <w:rsid w:val="00EC202D"/>
    <w:rsid w:val="00EC20DD"/>
    <w:rsid w:val="00EC20FE"/>
    <w:rsid w:val="00EC22B6"/>
    <w:rsid w:val="00EC232A"/>
    <w:rsid w:val="00EC2506"/>
    <w:rsid w:val="00EC25B5"/>
    <w:rsid w:val="00EC27CA"/>
    <w:rsid w:val="00EC290A"/>
    <w:rsid w:val="00EC2C1E"/>
    <w:rsid w:val="00EC2C3A"/>
    <w:rsid w:val="00EC30ED"/>
    <w:rsid w:val="00EC313B"/>
    <w:rsid w:val="00EC31FC"/>
    <w:rsid w:val="00EC32D4"/>
    <w:rsid w:val="00EC3343"/>
    <w:rsid w:val="00EC33DF"/>
    <w:rsid w:val="00EC3488"/>
    <w:rsid w:val="00EC395E"/>
    <w:rsid w:val="00EC3EC7"/>
    <w:rsid w:val="00EC3F99"/>
    <w:rsid w:val="00EC4123"/>
    <w:rsid w:val="00EC4381"/>
    <w:rsid w:val="00EC43C0"/>
    <w:rsid w:val="00EC4503"/>
    <w:rsid w:val="00EC466E"/>
    <w:rsid w:val="00EC4A99"/>
    <w:rsid w:val="00EC4B14"/>
    <w:rsid w:val="00EC4C37"/>
    <w:rsid w:val="00EC4DED"/>
    <w:rsid w:val="00EC4F3C"/>
    <w:rsid w:val="00EC4F55"/>
    <w:rsid w:val="00EC507D"/>
    <w:rsid w:val="00EC525A"/>
    <w:rsid w:val="00EC5262"/>
    <w:rsid w:val="00EC532C"/>
    <w:rsid w:val="00EC5394"/>
    <w:rsid w:val="00EC5429"/>
    <w:rsid w:val="00EC579D"/>
    <w:rsid w:val="00EC6039"/>
    <w:rsid w:val="00EC62F0"/>
    <w:rsid w:val="00EC63E7"/>
    <w:rsid w:val="00EC646C"/>
    <w:rsid w:val="00EC6572"/>
    <w:rsid w:val="00EC65A9"/>
    <w:rsid w:val="00EC65BB"/>
    <w:rsid w:val="00EC6653"/>
    <w:rsid w:val="00EC6AF0"/>
    <w:rsid w:val="00EC6E4E"/>
    <w:rsid w:val="00EC6E50"/>
    <w:rsid w:val="00EC6E8A"/>
    <w:rsid w:val="00EC6EBA"/>
    <w:rsid w:val="00EC6FD6"/>
    <w:rsid w:val="00EC74B8"/>
    <w:rsid w:val="00EC7521"/>
    <w:rsid w:val="00EC76A1"/>
    <w:rsid w:val="00EC77FB"/>
    <w:rsid w:val="00EC79DA"/>
    <w:rsid w:val="00EC79E0"/>
    <w:rsid w:val="00EC7A5A"/>
    <w:rsid w:val="00EC7DDC"/>
    <w:rsid w:val="00ED016A"/>
    <w:rsid w:val="00ED0179"/>
    <w:rsid w:val="00ED01EF"/>
    <w:rsid w:val="00ED0435"/>
    <w:rsid w:val="00ED0497"/>
    <w:rsid w:val="00ED06A2"/>
    <w:rsid w:val="00ED0750"/>
    <w:rsid w:val="00ED095F"/>
    <w:rsid w:val="00ED0B34"/>
    <w:rsid w:val="00ED0C98"/>
    <w:rsid w:val="00ED0E21"/>
    <w:rsid w:val="00ED0F71"/>
    <w:rsid w:val="00ED0F7C"/>
    <w:rsid w:val="00ED100A"/>
    <w:rsid w:val="00ED1151"/>
    <w:rsid w:val="00ED1293"/>
    <w:rsid w:val="00ED1368"/>
    <w:rsid w:val="00ED13F9"/>
    <w:rsid w:val="00ED1416"/>
    <w:rsid w:val="00ED15A0"/>
    <w:rsid w:val="00ED1C94"/>
    <w:rsid w:val="00ED1E4D"/>
    <w:rsid w:val="00ED20F5"/>
    <w:rsid w:val="00ED219A"/>
    <w:rsid w:val="00ED234C"/>
    <w:rsid w:val="00ED2829"/>
    <w:rsid w:val="00ED2E4C"/>
    <w:rsid w:val="00ED3073"/>
    <w:rsid w:val="00ED325B"/>
    <w:rsid w:val="00ED33EC"/>
    <w:rsid w:val="00ED387A"/>
    <w:rsid w:val="00ED39FD"/>
    <w:rsid w:val="00ED3A56"/>
    <w:rsid w:val="00ED3CF4"/>
    <w:rsid w:val="00ED3D68"/>
    <w:rsid w:val="00ED407D"/>
    <w:rsid w:val="00ED4817"/>
    <w:rsid w:val="00ED490A"/>
    <w:rsid w:val="00ED4B32"/>
    <w:rsid w:val="00ED4C3B"/>
    <w:rsid w:val="00ED4E1F"/>
    <w:rsid w:val="00ED5776"/>
    <w:rsid w:val="00ED5897"/>
    <w:rsid w:val="00ED5995"/>
    <w:rsid w:val="00ED5999"/>
    <w:rsid w:val="00ED5AD5"/>
    <w:rsid w:val="00ED5D10"/>
    <w:rsid w:val="00ED652D"/>
    <w:rsid w:val="00ED6633"/>
    <w:rsid w:val="00ED67A8"/>
    <w:rsid w:val="00ED67D0"/>
    <w:rsid w:val="00ED69D6"/>
    <w:rsid w:val="00ED6DD3"/>
    <w:rsid w:val="00ED6F6E"/>
    <w:rsid w:val="00ED6FE5"/>
    <w:rsid w:val="00ED72A7"/>
    <w:rsid w:val="00ED744C"/>
    <w:rsid w:val="00ED74F0"/>
    <w:rsid w:val="00ED7505"/>
    <w:rsid w:val="00ED7527"/>
    <w:rsid w:val="00ED7BB9"/>
    <w:rsid w:val="00ED7C3A"/>
    <w:rsid w:val="00ED7C3B"/>
    <w:rsid w:val="00ED7C6F"/>
    <w:rsid w:val="00ED7DBC"/>
    <w:rsid w:val="00ED7EAA"/>
    <w:rsid w:val="00EE02F7"/>
    <w:rsid w:val="00EE0410"/>
    <w:rsid w:val="00EE04EF"/>
    <w:rsid w:val="00EE04FD"/>
    <w:rsid w:val="00EE056E"/>
    <w:rsid w:val="00EE0819"/>
    <w:rsid w:val="00EE0A28"/>
    <w:rsid w:val="00EE0BBB"/>
    <w:rsid w:val="00EE121A"/>
    <w:rsid w:val="00EE1376"/>
    <w:rsid w:val="00EE1444"/>
    <w:rsid w:val="00EE1459"/>
    <w:rsid w:val="00EE14D0"/>
    <w:rsid w:val="00EE1578"/>
    <w:rsid w:val="00EE1814"/>
    <w:rsid w:val="00EE1B51"/>
    <w:rsid w:val="00EE1B7F"/>
    <w:rsid w:val="00EE1E73"/>
    <w:rsid w:val="00EE1F21"/>
    <w:rsid w:val="00EE20B1"/>
    <w:rsid w:val="00EE20E0"/>
    <w:rsid w:val="00EE2185"/>
    <w:rsid w:val="00EE22BA"/>
    <w:rsid w:val="00EE24FD"/>
    <w:rsid w:val="00EE2592"/>
    <w:rsid w:val="00EE2640"/>
    <w:rsid w:val="00EE295F"/>
    <w:rsid w:val="00EE3217"/>
    <w:rsid w:val="00EE32A1"/>
    <w:rsid w:val="00EE33BF"/>
    <w:rsid w:val="00EE347E"/>
    <w:rsid w:val="00EE3601"/>
    <w:rsid w:val="00EE3811"/>
    <w:rsid w:val="00EE3858"/>
    <w:rsid w:val="00EE38B4"/>
    <w:rsid w:val="00EE392C"/>
    <w:rsid w:val="00EE3E4D"/>
    <w:rsid w:val="00EE3FEB"/>
    <w:rsid w:val="00EE416A"/>
    <w:rsid w:val="00EE43D6"/>
    <w:rsid w:val="00EE4B46"/>
    <w:rsid w:val="00EE4F06"/>
    <w:rsid w:val="00EE4F61"/>
    <w:rsid w:val="00EE50BB"/>
    <w:rsid w:val="00EE517B"/>
    <w:rsid w:val="00EE5183"/>
    <w:rsid w:val="00EE5349"/>
    <w:rsid w:val="00EE53E3"/>
    <w:rsid w:val="00EE54E2"/>
    <w:rsid w:val="00EE5508"/>
    <w:rsid w:val="00EE5575"/>
    <w:rsid w:val="00EE55EA"/>
    <w:rsid w:val="00EE56A4"/>
    <w:rsid w:val="00EE5AE5"/>
    <w:rsid w:val="00EE6173"/>
    <w:rsid w:val="00EE62F1"/>
    <w:rsid w:val="00EE6880"/>
    <w:rsid w:val="00EE6904"/>
    <w:rsid w:val="00EE6943"/>
    <w:rsid w:val="00EE6A90"/>
    <w:rsid w:val="00EE6F22"/>
    <w:rsid w:val="00EE732A"/>
    <w:rsid w:val="00EE73B2"/>
    <w:rsid w:val="00EE74E8"/>
    <w:rsid w:val="00EE770C"/>
    <w:rsid w:val="00EE7918"/>
    <w:rsid w:val="00EE7E20"/>
    <w:rsid w:val="00EE7E26"/>
    <w:rsid w:val="00EE7E51"/>
    <w:rsid w:val="00EE7F0A"/>
    <w:rsid w:val="00EF0143"/>
    <w:rsid w:val="00EF02CC"/>
    <w:rsid w:val="00EF0357"/>
    <w:rsid w:val="00EF0822"/>
    <w:rsid w:val="00EF0967"/>
    <w:rsid w:val="00EF0AA7"/>
    <w:rsid w:val="00EF0AF8"/>
    <w:rsid w:val="00EF0B93"/>
    <w:rsid w:val="00EF0DAF"/>
    <w:rsid w:val="00EF0DC9"/>
    <w:rsid w:val="00EF0F48"/>
    <w:rsid w:val="00EF173F"/>
    <w:rsid w:val="00EF1828"/>
    <w:rsid w:val="00EF190B"/>
    <w:rsid w:val="00EF1F78"/>
    <w:rsid w:val="00EF2059"/>
    <w:rsid w:val="00EF2322"/>
    <w:rsid w:val="00EF2561"/>
    <w:rsid w:val="00EF25D9"/>
    <w:rsid w:val="00EF2656"/>
    <w:rsid w:val="00EF26E3"/>
    <w:rsid w:val="00EF2871"/>
    <w:rsid w:val="00EF2879"/>
    <w:rsid w:val="00EF2958"/>
    <w:rsid w:val="00EF2B77"/>
    <w:rsid w:val="00EF347D"/>
    <w:rsid w:val="00EF3517"/>
    <w:rsid w:val="00EF36D7"/>
    <w:rsid w:val="00EF3710"/>
    <w:rsid w:val="00EF3765"/>
    <w:rsid w:val="00EF3815"/>
    <w:rsid w:val="00EF3CA6"/>
    <w:rsid w:val="00EF41A5"/>
    <w:rsid w:val="00EF4328"/>
    <w:rsid w:val="00EF4530"/>
    <w:rsid w:val="00EF45BF"/>
    <w:rsid w:val="00EF4691"/>
    <w:rsid w:val="00EF48D0"/>
    <w:rsid w:val="00EF4B43"/>
    <w:rsid w:val="00EF4C03"/>
    <w:rsid w:val="00EF4D7B"/>
    <w:rsid w:val="00EF4EB6"/>
    <w:rsid w:val="00EF503B"/>
    <w:rsid w:val="00EF51FC"/>
    <w:rsid w:val="00EF520A"/>
    <w:rsid w:val="00EF539F"/>
    <w:rsid w:val="00EF5439"/>
    <w:rsid w:val="00EF54E3"/>
    <w:rsid w:val="00EF567A"/>
    <w:rsid w:val="00EF57F0"/>
    <w:rsid w:val="00EF589A"/>
    <w:rsid w:val="00EF5B85"/>
    <w:rsid w:val="00EF5BAC"/>
    <w:rsid w:val="00EF5E14"/>
    <w:rsid w:val="00EF5E79"/>
    <w:rsid w:val="00EF613A"/>
    <w:rsid w:val="00EF6534"/>
    <w:rsid w:val="00EF66CA"/>
    <w:rsid w:val="00EF69D0"/>
    <w:rsid w:val="00EF6AA3"/>
    <w:rsid w:val="00EF6B2F"/>
    <w:rsid w:val="00EF6E29"/>
    <w:rsid w:val="00EF6E6A"/>
    <w:rsid w:val="00EF6E93"/>
    <w:rsid w:val="00EF702F"/>
    <w:rsid w:val="00EF71A9"/>
    <w:rsid w:val="00EF72F7"/>
    <w:rsid w:val="00EF736B"/>
    <w:rsid w:val="00EF7815"/>
    <w:rsid w:val="00EF7882"/>
    <w:rsid w:val="00EF7A7D"/>
    <w:rsid w:val="00EF7ADE"/>
    <w:rsid w:val="00EF7D44"/>
    <w:rsid w:val="00EF7E25"/>
    <w:rsid w:val="00EF7EC5"/>
    <w:rsid w:val="00F000C8"/>
    <w:rsid w:val="00F0014F"/>
    <w:rsid w:val="00F003F9"/>
    <w:rsid w:val="00F00447"/>
    <w:rsid w:val="00F004F7"/>
    <w:rsid w:val="00F00577"/>
    <w:rsid w:val="00F006CC"/>
    <w:rsid w:val="00F007F0"/>
    <w:rsid w:val="00F00C03"/>
    <w:rsid w:val="00F00CD9"/>
    <w:rsid w:val="00F00D83"/>
    <w:rsid w:val="00F00E8E"/>
    <w:rsid w:val="00F010E9"/>
    <w:rsid w:val="00F0127B"/>
    <w:rsid w:val="00F012FF"/>
    <w:rsid w:val="00F0133B"/>
    <w:rsid w:val="00F0135E"/>
    <w:rsid w:val="00F013E9"/>
    <w:rsid w:val="00F01509"/>
    <w:rsid w:val="00F0162A"/>
    <w:rsid w:val="00F016CE"/>
    <w:rsid w:val="00F01A7D"/>
    <w:rsid w:val="00F01B27"/>
    <w:rsid w:val="00F01CFA"/>
    <w:rsid w:val="00F01DB6"/>
    <w:rsid w:val="00F01F82"/>
    <w:rsid w:val="00F0219A"/>
    <w:rsid w:val="00F02329"/>
    <w:rsid w:val="00F0246C"/>
    <w:rsid w:val="00F025C3"/>
    <w:rsid w:val="00F02F20"/>
    <w:rsid w:val="00F03161"/>
    <w:rsid w:val="00F031F6"/>
    <w:rsid w:val="00F03213"/>
    <w:rsid w:val="00F032AF"/>
    <w:rsid w:val="00F036BE"/>
    <w:rsid w:val="00F03859"/>
    <w:rsid w:val="00F038BE"/>
    <w:rsid w:val="00F03979"/>
    <w:rsid w:val="00F03B21"/>
    <w:rsid w:val="00F03C2B"/>
    <w:rsid w:val="00F03D27"/>
    <w:rsid w:val="00F03D50"/>
    <w:rsid w:val="00F03F3A"/>
    <w:rsid w:val="00F03FA4"/>
    <w:rsid w:val="00F045CF"/>
    <w:rsid w:val="00F0473A"/>
    <w:rsid w:val="00F04902"/>
    <w:rsid w:val="00F04B05"/>
    <w:rsid w:val="00F04B97"/>
    <w:rsid w:val="00F057B5"/>
    <w:rsid w:val="00F0615C"/>
    <w:rsid w:val="00F0625F"/>
    <w:rsid w:val="00F0650A"/>
    <w:rsid w:val="00F065D7"/>
    <w:rsid w:val="00F0691F"/>
    <w:rsid w:val="00F06C2B"/>
    <w:rsid w:val="00F06CB1"/>
    <w:rsid w:val="00F06D31"/>
    <w:rsid w:val="00F06E98"/>
    <w:rsid w:val="00F070DB"/>
    <w:rsid w:val="00F0737F"/>
    <w:rsid w:val="00F07421"/>
    <w:rsid w:val="00F07860"/>
    <w:rsid w:val="00F078D3"/>
    <w:rsid w:val="00F07AC3"/>
    <w:rsid w:val="00F07BDB"/>
    <w:rsid w:val="00F07D05"/>
    <w:rsid w:val="00F10273"/>
    <w:rsid w:val="00F10489"/>
    <w:rsid w:val="00F1059B"/>
    <w:rsid w:val="00F10832"/>
    <w:rsid w:val="00F10CA6"/>
    <w:rsid w:val="00F10CCE"/>
    <w:rsid w:val="00F11046"/>
    <w:rsid w:val="00F112F4"/>
    <w:rsid w:val="00F114FD"/>
    <w:rsid w:val="00F11B84"/>
    <w:rsid w:val="00F11C71"/>
    <w:rsid w:val="00F11CBC"/>
    <w:rsid w:val="00F11D9B"/>
    <w:rsid w:val="00F12103"/>
    <w:rsid w:val="00F1219C"/>
    <w:rsid w:val="00F121AE"/>
    <w:rsid w:val="00F12225"/>
    <w:rsid w:val="00F1231B"/>
    <w:rsid w:val="00F124FB"/>
    <w:rsid w:val="00F12798"/>
    <w:rsid w:val="00F129BF"/>
    <w:rsid w:val="00F12AFE"/>
    <w:rsid w:val="00F12E58"/>
    <w:rsid w:val="00F12EDD"/>
    <w:rsid w:val="00F131A2"/>
    <w:rsid w:val="00F132C4"/>
    <w:rsid w:val="00F13595"/>
    <w:rsid w:val="00F139A2"/>
    <w:rsid w:val="00F13B4F"/>
    <w:rsid w:val="00F13E29"/>
    <w:rsid w:val="00F14327"/>
    <w:rsid w:val="00F14770"/>
    <w:rsid w:val="00F14830"/>
    <w:rsid w:val="00F14868"/>
    <w:rsid w:val="00F148AC"/>
    <w:rsid w:val="00F14A77"/>
    <w:rsid w:val="00F14EB1"/>
    <w:rsid w:val="00F14F64"/>
    <w:rsid w:val="00F14F7F"/>
    <w:rsid w:val="00F14FEA"/>
    <w:rsid w:val="00F15070"/>
    <w:rsid w:val="00F15166"/>
    <w:rsid w:val="00F1563B"/>
    <w:rsid w:val="00F1567D"/>
    <w:rsid w:val="00F15BE9"/>
    <w:rsid w:val="00F15C84"/>
    <w:rsid w:val="00F15CC9"/>
    <w:rsid w:val="00F15FF9"/>
    <w:rsid w:val="00F165BC"/>
    <w:rsid w:val="00F166B6"/>
    <w:rsid w:val="00F16879"/>
    <w:rsid w:val="00F16931"/>
    <w:rsid w:val="00F16962"/>
    <w:rsid w:val="00F16FDE"/>
    <w:rsid w:val="00F173C1"/>
    <w:rsid w:val="00F1778A"/>
    <w:rsid w:val="00F17A29"/>
    <w:rsid w:val="00F17AFC"/>
    <w:rsid w:val="00F17CD1"/>
    <w:rsid w:val="00F17F17"/>
    <w:rsid w:val="00F20297"/>
    <w:rsid w:val="00F204F9"/>
    <w:rsid w:val="00F2053B"/>
    <w:rsid w:val="00F20EEF"/>
    <w:rsid w:val="00F21281"/>
    <w:rsid w:val="00F215A3"/>
    <w:rsid w:val="00F215CD"/>
    <w:rsid w:val="00F215FD"/>
    <w:rsid w:val="00F21754"/>
    <w:rsid w:val="00F21A3A"/>
    <w:rsid w:val="00F21ABB"/>
    <w:rsid w:val="00F21C18"/>
    <w:rsid w:val="00F21ECE"/>
    <w:rsid w:val="00F2203A"/>
    <w:rsid w:val="00F2211A"/>
    <w:rsid w:val="00F22232"/>
    <w:rsid w:val="00F222EC"/>
    <w:rsid w:val="00F222FC"/>
    <w:rsid w:val="00F22457"/>
    <w:rsid w:val="00F22652"/>
    <w:rsid w:val="00F2271F"/>
    <w:rsid w:val="00F228D1"/>
    <w:rsid w:val="00F22A09"/>
    <w:rsid w:val="00F22B3F"/>
    <w:rsid w:val="00F22ECE"/>
    <w:rsid w:val="00F2322D"/>
    <w:rsid w:val="00F234B4"/>
    <w:rsid w:val="00F2380A"/>
    <w:rsid w:val="00F2382D"/>
    <w:rsid w:val="00F23A54"/>
    <w:rsid w:val="00F23ADB"/>
    <w:rsid w:val="00F23BBB"/>
    <w:rsid w:val="00F23D85"/>
    <w:rsid w:val="00F240DF"/>
    <w:rsid w:val="00F2444A"/>
    <w:rsid w:val="00F24583"/>
    <w:rsid w:val="00F2489A"/>
    <w:rsid w:val="00F2492C"/>
    <w:rsid w:val="00F2493E"/>
    <w:rsid w:val="00F2495B"/>
    <w:rsid w:val="00F25577"/>
    <w:rsid w:val="00F255AA"/>
    <w:rsid w:val="00F25AF1"/>
    <w:rsid w:val="00F25B16"/>
    <w:rsid w:val="00F25C0D"/>
    <w:rsid w:val="00F25D73"/>
    <w:rsid w:val="00F25F8A"/>
    <w:rsid w:val="00F26116"/>
    <w:rsid w:val="00F26273"/>
    <w:rsid w:val="00F2637E"/>
    <w:rsid w:val="00F2664D"/>
    <w:rsid w:val="00F26C46"/>
    <w:rsid w:val="00F26D3E"/>
    <w:rsid w:val="00F26D90"/>
    <w:rsid w:val="00F27240"/>
    <w:rsid w:val="00F272AB"/>
    <w:rsid w:val="00F272EA"/>
    <w:rsid w:val="00F27318"/>
    <w:rsid w:val="00F2739F"/>
    <w:rsid w:val="00F27442"/>
    <w:rsid w:val="00F2744C"/>
    <w:rsid w:val="00F301B5"/>
    <w:rsid w:val="00F302EC"/>
    <w:rsid w:val="00F303B5"/>
    <w:rsid w:val="00F306C2"/>
    <w:rsid w:val="00F3073A"/>
    <w:rsid w:val="00F30871"/>
    <w:rsid w:val="00F30A83"/>
    <w:rsid w:val="00F30C8B"/>
    <w:rsid w:val="00F30EA0"/>
    <w:rsid w:val="00F30ED6"/>
    <w:rsid w:val="00F3112A"/>
    <w:rsid w:val="00F31382"/>
    <w:rsid w:val="00F31422"/>
    <w:rsid w:val="00F319A9"/>
    <w:rsid w:val="00F31BD9"/>
    <w:rsid w:val="00F31BF3"/>
    <w:rsid w:val="00F31EB8"/>
    <w:rsid w:val="00F320C1"/>
    <w:rsid w:val="00F320E3"/>
    <w:rsid w:val="00F32211"/>
    <w:rsid w:val="00F323E5"/>
    <w:rsid w:val="00F3264F"/>
    <w:rsid w:val="00F326F8"/>
    <w:rsid w:val="00F328E2"/>
    <w:rsid w:val="00F32961"/>
    <w:rsid w:val="00F32988"/>
    <w:rsid w:val="00F32B05"/>
    <w:rsid w:val="00F32B39"/>
    <w:rsid w:val="00F32B6D"/>
    <w:rsid w:val="00F32C40"/>
    <w:rsid w:val="00F32DD3"/>
    <w:rsid w:val="00F32EE6"/>
    <w:rsid w:val="00F32FB6"/>
    <w:rsid w:val="00F33CFA"/>
    <w:rsid w:val="00F341ED"/>
    <w:rsid w:val="00F3433C"/>
    <w:rsid w:val="00F349B9"/>
    <w:rsid w:val="00F34A3E"/>
    <w:rsid w:val="00F34B33"/>
    <w:rsid w:val="00F34CAB"/>
    <w:rsid w:val="00F34E60"/>
    <w:rsid w:val="00F34F47"/>
    <w:rsid w:val="00F3565B"/>
    <w:rsid w:val="00F3582E"/>
    <w:rsid w:val="00F3588C"/>
    <w:rsid w:val="00F35905"/>
    <w:rsid w:val="00F35948"/>
    <w:rsid w:val="00F359A4"/>
    <w:rsid w:val="00F35B1A"/>
    <w:rsid w:val="00F35C0E"/>
    <w:rsid w:val="00F35D14"/>
    <w:rsid w:val="00F35D40"/>
    <w:rsid w:val="00F35E45"/>
    <w:rsid w:val="00F35E53"/>
    <w:rsid w:val="00F35E72"/>
    <w:rsid w:val="00F36000"/>
    <w:rsid w:val="00F36297"/>
    <w:rsid w:val="00F365CE"/>
    <w:rsid w:val="00F36782"/>
    <w:rsid w:val="00F3684F"/>
    <w:rsid w:val="00F369EF"/>
    <w:rsid w:val="00F36AD9"/>
    <w:rsid w:val="00F37013"/>
    <w:rsid w:val="00F370D1"/>
    <w:rsid w:val="00F37144"/>
    <w:rsid w:val="00F37211"/>
    <w:rsid w:val="00F37281"/>
    <w:rsid w:val="00F3730A"/>
    <w:rsid w:val="00F374AB"/>
    <w:rsid w:val="00F37E6A"/>
    <w:rsid w:val="00F40129"/>
    <w:rsid w:val="00F40167"/>
    <w:rsid w:val="00F401A5"/>
    <w:rsid w:val="00F40292"/>
    <w:rsid w:val="00F405FD"/>
    <w:rsid w:val="00F4079D"/>
    <w:rsid w:val="00F40876"/>
    <w:rsid w:val="00F40CA9"/>
    <w:rsid w:val="00F40E03"/>
    <w:rsid w:val="00F4121F"/>
    <w:rsid w:val="00F413A7"/>
    <w:rsid w:val="00F41421"/>
    <w:rsid w:val="00F41448"/>
    <w:rsid w:val="00F4144E"/>
    <w:rsid w:val="00F414EF"/>
    <w:rsid w:val="00F416BA"/>
    <w:rsid w:val="00F417D0"/>
    <w:rsid w:val="00F41867"/>
    <w:rsid w:val="00F4198D"/>
    <w:rsid w:val="00F41A10"/>
    <w:rsid w:val="00F41BAF"/>
    <w:rsid w:val="00F41CBD"/>
    <w:rsid w:val="00F41DB3"/>
    <w:rsid w:val="00F41E5C"/>
    <w:rsid w:val="00F41E66"/>
    <w:rsid w:val="00F41EEA"/>
    <w:rsid w:val="00F4203E"/>
    <w:rsid w:val="00F42140"/>
    <w:rsid w:val="00F422C3"/>
    <w:rsid w:val="00F423FB"/>
    <w:rsid w:val="00F4242B"/>
    <w:rsid w:val="00F426AE"/>
    <w:rsid w:val="00F42982"/>
    <w:rsid w:val="00F42A42"/>
    <w:rsid w:val="00F42A69"/>
    <w:rsid w:val="00F42AC2"/>
    <w:rsid w:val="00F42B93"/>
    <w:rsid w:val="00F42CC3"/>
    <w:rsid w:val="00F42D0F"/>
    <w:rsid w:val="00F43163"/>
    <w:rsid w:val="00F4347C"/>
    <w:rsid w:val="00F43566"/>
    <w:rsid w:val="00F43586"/>
    <w:rsid w:val="00F435F3"/>
    <w:rsid w:val="00F43ABC"/>
    <w:rsid w:val="00F43BB4"/>
    <w:rsid w:val="00F43BFB"/>
    <w:rsid w:val="00F43D45"/>
    <w:rsid w:val="00F43DFF"/>
    <w:rsid w:val="00F44033"/>
    <w:rsid w:val="00F442EB"/>
    <w:rsid w:val="00F44306"/>
    <w:rsid w:val="00F44385"/>
    <w:rsid w:val="00F443AC"/>
    <w:rsid w:val="00F4477C"/>
    <w:rsid w:val="00F44A02"/>
    <w:rsid w:val="00F44A8A"/>
    <w:rsid w:val="00F44BBC"/>
    <w:rsid w:val="00F44F40"/>
    <w:rsid w:val="00F44FA3"/>
    <w:rsid w:val="00F4508F"/>
    <w:rsid w:val="00F45092"/>
    <w:rsid w:val="00F45284"/>
    <w:rsid w:val="00F45724"/>
    <w:rsid w:val="00F45998"/>
    <w:rsid w:val="00F45EC0"/>
    <w:rsid w:val="00F46334"/>
    <w:rsid w:val="00F46892"/>
    <w:rsid w:val="00F46AC7"/>
    <w:rsid w:val="00F46DC5"/>
    <w:rsid w:val="00F46F6F"/>
    <w:rsid w:val="00F472CA"/>
    <w:rsid w:val="00F47360"/>
    <w:rsid w:val="00F47470"/>
    <w:rsid w:val="00F47555"/>
    <w:rsid w:val="00F475E5"/>
    <w:rsid w:val="00F47724"/>
    <w:rsid w:val="00F4778C"/>
    <w:rsid w:val="00F47A0B"/>
    <w:rsid w:val="00F47A2B"/>
    <w:rsid w:val="00F47C1D"/>
    <w:rsid w:val="00F47DCF"/>
    <w:rsid w:val="00F47FBA"/>
    <w:rsid w:val="00F47FE4"/>
    <w:rsid w:val="00F5014C"/>
    <w:rsid w:val="00F5019A"/>
    <w:rsid w:val="00F501B3"/>
    <w:rsid w:val="00F502C9"/>
    <w:rsid w:val="00F5042D"/>
    <w:rsid w:val="00F5043F"/>
    <w:rsid w:val="00F50A8A"/>
    <w:rsid w:val="00F50FBC"/>
    <w:rsid w:val="00F51055"/>
    <w:rsid w:val="00F51535"/>
    <w:rsid w:val="00F51717"/>
    <w:rsid w:val="00F51A86"/>
    <w:rsid w:val="00F51AE3"/>
    <w:rsid w:val="00F51B1C"/>
    <w:rsid w:val="00F51B52"/>
    <w:rsid w:val="00F51CB1"/>
    <w:rsid w:val="00F51D5D"/>
    <w:rsid w:val="00F51F0F"/>
    <w:rsid w:val="00F52666"/>
    <w:rsid w:val="00F527C2"/>
    <w:rsid w:val="00F527E2"/>
    <w:rsid w:val="00F529C2"/>
    <w:rsid w:val="00F52D9F"/>
    <w:rsid w:val="00F5301B"/>
    <w:rsid w:val="00F532F7"/>
    <w:rsid w:val="00F53455"/>
    <w:rsid w:val="00F53473"/>
    <w:rsid w:val="00F53491"/>
    <w:rsid w:val="00F5397B"/>
    <w:rsid w:val="00F53996"/>
    <w:rsid w:val="00F53A21"/>
    <w:rsid w:val="00F53CD4"/>
    <w:rsid w:val="00F54023"/>
    <w:rsid w:val="00F543D8"/>
    <w:rsid w:val="00F54621"/>
    <w:rsid w:val="00F546A1"/>
    <w:rsid w:val="00F54852"/>
    <w:rsid w:val="00F54AE3"/>
    <w:rsid w:val="00F54C90"/>
    <w:rsid w:val="00F54F3D"/>
    <w:rsid w:val="00F552FD"/>
    <w:rsid w:val="00F5546C"/>
    <w:rsid w:val="00F55544"/>
    <w:rsid w:val="00F556B4"/>
    <w:rsid w:val="00F5571C"/>
    <w:rsid w:val="00F5576E"/>
    <w:rsid w:val="00F558BB"/>
    <w:rsid w:val="00F558C5"/>
    <w:rsid w:val="00F561A5"/>
    <w:rsid w:val="00F561CD"/>
    <w:rsid w:val="00F5644A"/>
    <w:rsid w:val="00F56A1C"/>
    <w:rsid w:val="00F56FA9"/>
    <w:rsid w:val="00F57216"/>
    <w:rsid w:val="00F57540"/>
    <w:rsid w:val="00F579D8"/>
    <w:rsid w:val="00F57C75"/>
    <w:rsid w:val="00F60005"/>
    <w:rsid w:val="00F60063"/>
    <w:rsid w:val="00F604C8"/>
    <w:rsid w:val="00F608D9"/>
    <w:rsid w:val="00F609AE"/>
    <w:rsid w:val="00F609D3"/>
    <w:rsid w:val="00F60A29"/>
    <w:rsid w:val="00F60D72"/>
    <w:rsid w:val="00F60F10"/>
    <w:rsid w:val="00F60F70"/>
    <w:rsid w:val="00F617A5"/>
    <w:rsid w:val="00F618BE"/>
    <w:rsid w:val="00F61ACF"/>
    <w:rsid w:val="00F61BD7"/>
    <w:rsid w:val="00F61DAA"/>
    <w:rsid w:val="00F61F14"/>
    <w:rsid w:val="00F624FB"/>
    <w:rsid w:val="00F62514"/>
    <w:rsid w:val="00F6256E"/>
    <w:rsid w:val="00F62649"/>
    <w:rsid w:val="00F6264B"/>
    <w:rsid w:val="00F62683"/>
    <w:rsid w:val="00F6290A"/>
    <w:rsid w:val="00F62A86"/>
    <w:rsid w:val="00F62BD1"/>
    <w:rsid w:val="00F62D41"/>
    <w:rsid w:val="00F62EE7"/>
    <w:rsid w:val="00F63094"/>
    <w:rsid w:val="00F632BE"/>
    <w:rsid w:val="00F63354"/>
    <w:rsid w:val="00F63376"/>
    <w:rsid w:val="00F634E5"/>
    <w:rsid w:val="00F637BC"/>
    <w:rsid w:val="00F637EC"/>
    <w:rsid w:val="00F6408D"/>
    <w:rsid w:val="00F6413C"/>
    <w:rsid w:val="00F64239"/>
    <w:rsid w:val="00F6428A"/>
    <w:rsid w:val="00F64397"/>
    <w:rsid w:val="00F643C4"/>
    <w:rsid w:val="00F644B9"/>
    <w:rsid w:val="00F64559"/>
    <w:rsid w:val="00F64C59"/>
    <w:rsid w:val="00F64C9A"/>
    <w:rsid w:val="00F64CD7"/>
    <w:rsid w:val="00F64D51"/>
    <w:rsid w:val="00F64E1C"/>
    <w:rsid w:val="00F65031"/>
    <w:rsid w:val="00F65094"/>
    <w:rsid w:val="00F651A9"/>
    <w:rsid w:val="00F653DC"/>
    <w:rsid w:val="00F65453"/>
    <w:rsid w:val="00F654BA"/>
    <w:rsid w:val="00F6550D"/>
    <w:rsid w:val="00F65718"/>
    <w:rsid w:val="00F6581A"/>
    <w:rsid w:val="00F65BC1"/>
    <w:rsid w:val="00F65D5C"/>
    <w:rsid w:val="00F65F75"/>
    <w:rsid w:val="00F660AC"/>
    <w:rsid w:val="00F66110"/>
    <w:rsid w:val="00F666A5"/>
    <w:rsid w:val="00F666C3"/>
    <w:rsid w:val="00F666CA"/>
    <w:rsid w:val="00F66940"/>
    <w:rsid w:val="00F66BA2"/>
    <w:rsid w:val="00F66DA4"/>
    <w:rsid w:val="00F66F12"/>
    <w:rsid w:val="00F67485"/>
    <w:rsid w:val="00F678A4"/>
    <w:rsid w:val="00F67A3E"/>
    <w:rsid w:val="00F67CD7"/>
    <w:rsid w:val="00F70430"/>
    <w:rsid w:val="00F70676"/>
    <w:rsid w:val="00F706AB"/>
    <w:rsid w:val="00F70D4B"/>
    <w:rsid w:val="00F70DA1"/>
    <w:rsid w:val="00F70EC2"/>
    <w:rsid w:val="00F70EC8"/>
    <w:rsid w:val="00F710B4"/>
    <w:rsid w:val="00F714E1"/>
    <w:rsid w:val="00F7158D"/>
    <w:rsid w:val="00F719F8"/>
    <w:rsid w:val="00F71B50"/>
    <w:rsid w:val="00F7223C"/>
    <w:rsid w:val="00F725E6"/>
    <w:rsid w:val="00F72970"/>
    <w:rsid w:val="00F72AEC"/>
    <w:rsid w:val="00F72B81"/>
    <w:rsid w:val="00F72DC4"/>
    <w:rsid w:val="00F730DD"/>
    <w:rsid w:val="00F730EB"/>
    <w:rsid w:val="00F73248"/>
    <w:rsid w:val="00F73398"/>
    <w:rsid w:val="00F73BFD"/>
    <w:rsid w:val="00F74061"/>
    <w:rsid w:val="00F7412A"/>
    <w:rsid w:val="00F743BE"/>
    <w:rsid w:val="00F7455D"/>
    <w:rsid w:val="00F74768"/>
    <w:rsid w:val="00F747EE"/>
    <w:rsid w:val="00F74EEC"/>
    <w:rsid w:val="00F750CD"/>
    <w:rsid w:val="00F75203"/>
    <w:rsid w:val="00F7537B"/>
    <w:rsid w:val="00F753EA"/>
    <w:rsid w:val="00F7543C"/>
    <w:rsid w:val="00F75517"/>
    <w:rsid w:val="00F757D4"/>
    <w:rsid w:val="00F758CA"/>
    <w:rsid w:val="00F75CA7"/>
    <w:rsid w:val="00F75D85"/>
    <w:rsid w:val="00F75E8D"/>
    <w:rsid w:val="00F75F47"/>
    <w:rsid w:val="00F76148"/>
    <w:rsid w:val="00F7614B"/>
    <w:rsid w:val="00F76196"/>
    <w:rsid w:val="00F76A7C"/>
    <w:rsid w:val="00F76B9D"/>
    <w:rsid w:val="00F76E0A"/>
    <w:rsid w:val="00F76E53"/>
    <w:rsid w:val="00F76E8A"/>
    <w:rsid w:val="00F771CE"/>
    <w:rsid w:val="00F77260"/>
    <w:rsid w:val="00F77779"/>
    <w:rsid w:val="00F77910"/>
    <w:rsid w:val="00F77A5F"/>
    <w:rsid w:val="00F77B12"/>
    <w:rsid w:val="00F77CC3"/>
    <w:rsid w:val="00F80051"/>
    <w:rsid w:val="00F80391"/>
    <w:rsid w:val="00F805AB"/>
    <w:rsid w:val="00F807D6"/>
    <w:rsid w:val="00F80912"/>
    <w:rsid w:val="00F80978"/>
    <w:rsid w:val="00F809B5"/>
    <w:rsid w:val="00F80B57"/>
    <w:rsid w:val="00F80E17"/>
    <w:rsid w:val="00F80E75"/>
    <w:rsid w:val="00F80E83"/>
    <w:rsid w:val="00F812B5"/>
    <w:rsid w:val="00F8135E"/>
    <w:rsid w:val="00F81687"/>
    <w:rsid w:val="00F8171F"/>
    <w:rsid w:val="00F81936"/>
    <w:rsid w:val="00F81B97"/>
    <w:rsid w:val="00F81BE0"/>
    <w:rsid w:val="00F81CD0"/>
    <w:rsid w:val="00F81DB1"/>
    <w:rsid w:val="00F821B4"/>
    <w:rsid w:val="00F823E7"/>
    <w:rsid w:val="00F82707"/>
    <w:rsid w:val="00F827AF"/>
    <w:rsid w:val="00F827C4"/>
    <w:rsid w:val="00F82A7B"/>
    <w:rsid w:val="00F82B86"/>
    <w:rsid w:val="00F82C4D"/>
    <w:rsid w:val="00F82C6A"/>
    <w:rsid w:val="00F82CEE"/>
    <w:rsid w:val="00F830DF"/>
    <w:rsid w:val="00F8316C"/>
    <w:rsid w:val="00F83266"/>
    <w:rsid w:val="00F83276"/>
    <w:rsid w:val="00F83311"/>
    <w:rsid w:val="00F83478"/>
    <w:rsid w:val="00F83522"/>
    <w:rsid w:val="00F835CA"/>
    <w:rsid w:val="00F83724"/>
    <w:rsid w:val="00F83797"/>
    <w:rsid w:val="00F83B7A"/>
    <w:rsid w:val="00F83DBA"/>
    <w:rsid w:val="00F841E4"/>
    <w:rsid w:val="00F843E6"/>
    <w:rsid w:val="00F848C1"/>
    <w:rsid w:val="00F848E7"/>
    <w:rsid w:val="00F84B5C"/>
    <w:rsid w:val="00F84C81"/>
    <w:rsid w:val="00F84CFB"/>
    <w:rsid w:val="00F850D0"/>
    <w:rsid w:val="00F851EE"/>
    <w:rsid w:val="00F85277"/>
    <w:rsid w:val="00F8534C"/>
    <w:rsid w:val="00F8540A"/>
    <w:rsid w:val="00F854BA"/>
    <w:rsid w:val="00F85530"/>
    <w:rsid w:val="00F8556C"/>
    <w:rsid w:val="00F858A3"/>
    <w:rsid w:val="00F85ABE"/>
    <w:rsid w:val="00F85AFD"/>
    <w:rsid w:val="00F85B4D"/>
    <w:rsid w:val="00F85FB0"/>
    <w:rsid w:val="00F8677E"/>
    <w:rsid w:val="00F8681D"/>
    <w:rsid w:val="00F868ED"/>
    <w:rsid w:val="00F86A59"/>
    <w:rsid w:val="00F86B29"/>
    <w:rsid w:val="00F86C70"/>
    <w:rsid w:val="00F86F14"/>
    <w:rsid w:val="00F87212"/>
    <w:rsid w:val="00F87307"/>
    <w:rsid w:val="00F87456"/>
    <w:rsid w:val="00F877E0"/>
    <w:rsid w:val="00F879C8"/>
    <w:rsid w:val="00F90101"/>
    <w:rsid w:val="00F901EA"/>
    <w:rsid w:val="00F90334"/>
    <w:rsid w:val="00F9053F"/>
    <w:rsid w:val="00F90544"/>
    <w:rsid w:val="00F905AD"/>
    <w:rsid w:val="00F9064D"/>
    <w:rsid w:val="00F906A0"/>
    <w:rsid w:val="00F90B6F"/>
    <w:rsid w:val="00F90CB3"/>
    <w:rsid w:val="00F90F74"/>
    <w:rsid w:val="00F91565"/>
    <w:rsid w:val="00F91A08"/>
    <w:rsid w:val="00F91B1A"/>
    <w:rsid w:val="00F91E10"/>
    <w:rsid w:val="00F920D0"/>
    <w:rsid w:val="00F922C3"/>
    <w:rsid w:val="00F922C6"/>
    <w:rsid w:val="00F923A0"/>
    <w:rsid w:val="00F9258C"/>
    <w:rsid w:val="00F92651"/>
    <w:rsid w:val="00F929C1"/>
    <w:rsid w:val="00F92B83"/>
    <w:rsid w:val="00F932CF"/>
    <w:rsid w:val="00F93399"/>
    <w:rsid w:val="00F9351D"/>
    <w:rsid w:val="00F93AE1"/>
    <w:rsid w:val="00F93B29"/>
    <w:rsid w:val="00F93BD7"/>
    <w:rsid w:val="00F93C43"/>
    <w:rsid w:val="00F93D7D"/>
    <w:rsid w:val="00F93DC9"/>
    <w:rsid w:val="00F944F1"/>
    <w:rsid w:val="00F9476C"/>
    <w:rsid w:val="00F94A70"/>
    <w:rsid w:val="00F94B01"/>
    <w:rsid w:val="00F94BE6"/>
    <w:rsid w:val="00F94E34"/>
    <w:rsid w:val="00F94E43"/>
    <w:rsid w:val="00F952B8"/>
    <w:rsid w:val="00F95463"/>
    <w:rsid w:val="00F9566D"/>
    <w:rsid w:val="00F95892"/>
    <w:rsid w:val="00F95AD8"/>
    <w:rsid w:val="00F95B8B"/>
    <w:rsid w:val="00F962FE"/>
    <w:rsid w:val="00F96385"/>
    <w:rsid w:val="00F963AB"/>
    <w:rsid w:val="00F963F6"/>
    <w:rsid w:val="00F964C7"/>
    <w:rsid w:val="00F96F7F"/>
    <w:rsid w:val="00F970AA"/>
    <w:rsid w:val="00F97180"/>
    <w:rsid w:val="00F97845"/>
    <w:rsid w:val="00F978EE"/>
    <w:rsid w:val="00F979FF"/>
    <w:rsid w:val="00F97AA2"/>
    <w:rsid w:val="00F97C42"/>
    <w:rsid w:val="00F97CA4"/>
    <w:rsid w:val="00F97E9A"/>
    <w:rsid w:val="00FA001B"/>
    <w:rsid w:val="00FA0048"/>
    <w:rsid w:val="00FA037A"/>
    <w:rsid w:val="00FA0520"/>
    <w:rsid w:val="00FA0790"/>
    <w:rsid w:val="00FA0F29"/>
    <w:rsid w:val="00FA143C"/>
    <w:rsid w:val="00FA1550"/>
    <w:rsid w:val="00FA155D"/>
    <w:rsid w:val="00FA1586"/>
    <w:rsid w:val="00FA17BB"/>
    <w:rsid w:val="00FA1896"/>
    <w:rsid w:val="00FA1D16"/>
    <w:rsid w:val="00FA1D1D"/>
    <w:rsid w:val="00FA1D51"/>
    <w:rsid w:val="00FA2076"/>
    <w:rsid w:val="00FA22D7"/>
    <w:rsid w:val="00FA2367"/>
    <w:rsid w:val="00FA2388"/>
    <w:rsid w:val="00FA245E"/>
    <w:rsid w:val="00FA27F5"/>
    <w:rsid w:val="00FA2A90"/>
    <w:rsid w:val="00FA2E32"/>
    <w:rsid w:val="00FA3106"/>
    <w:rsid w:val="00FA3170"/>
    <w:rsid w:val="00FA3992"/>
    <w:rsid w:val="00FA3A33"/>
    <w:rsid w:val="00FA3B5B"/>
    <w:rsid w:val="00FA3C00"/>
    <w:rsid w:val="00FA3D38"/>
    <w:rsid w:val="00FA3D9B"/>
    <w:rsid w:val="00FA3DFB"/>
    <w:rsid w:val="00FA3F73"/>
    <w:rsid w:val="00FA44A8"/>
    <w:rsid w:val="00FA45C7"/>
    <w:rsid w:val="00FA4886"/>
    <w:rsid w:val="00FA4AA2"/>
    <w:rsid w:val="00FA4BBC"/>
    <w:rsid w:val="00FA52BD"/>
    <w:rsid w:val="00FA5477"/>
    <w:rsid w:val="00FA572A"/>
    <w:rsid w:val="00FA5CB0"/>
    <w:rsid w:val="00FA5D0C"/>
    <w:rsid w:val="00FA5D12"/>
    <w:rsid w:val="00FA5E12"/>
    <w:rsid w:val="00FA5F02"/>
    <w:rsid w:val="00FA60BD"/>
    <w:rsid w:val="00FA6494"/>
    <w:rsid w:val="00FA6733"/>
    <w:rsid w:val="00FA67D7"/>
    <w:rsid w:val="00FA688A"/>
    <w:rsid w:val="00FA6BF7"/>
    <w:rsid w:val="00FA6C83"/>
    <w:rsid w:val="00FA6E2E"/>
    <w:rsid w:val="00FA70CF"/>
    <w:rsid w:val="00FA70FC"/>
    <w:rsid w:val="00FA723F"/>
    <w:rsid w:val="00FA728B"/>
    <w:rsid w:val="00FA769B"/>
    <w:rsid w:val="00FA780E"/>
    <w:rsid w:val="00FA7DB6"/>
    <w:rsid w:val="00FA7E4E"/>
    <w:rsid w:val="00FA7F50"/>
    <w:rsid w:val="00FA7F83"/>
    <w:rsid w:val="00FB012C"/>
    <w:rsid w:val="00FB0547"/>
    <w:rsid w:val="00FB0564"/>
    <w:rsid w:val="00FB0912"/>
    <w:rsid w:val="00FB1133"/>
    <w:rsid w:val="00FB146D"/>
    <w:rsid w:val="00FB1938"/>
    <w:rsid w:val="00FB1B94"/>
    <w:rsid w:val="00FB207A"/>
    <w:rsid w:val="00FB20A3"/>
    <w:rsid w:val="00FB248E"/>
    <w:rsid w:val="00FB287A"/>
    <w:rsid w:val="00FB28CC"/>
    <w:rsid w:val="00FB2990"/>
    <w:rsid w:val="00FB2ED4"/>
    <w:rsid w:val="00FB3277"/>
    <w:rsid w:val="00FB32AF"/>
    <w:rsid w:val="00FB33C0"/>
    <w:rsid w:val="00FB344A"/>
    <w:rsid w:val="00FB3781"/>
    <w:rsid w:val="00FB38C0"/>
    <w:rsid w:val="00FB3962"/>
    <w:rsid w:val="00FB3DA0"/>
    <w:rsid w:val="00FB3DF9"/>
    <w:rsid w:val="00FB3EB6"/>
    <w:rsid w:val="00FB3F18"/>
    <w:rsid w:val="00FB4047"/>
    <w:rsid w:val="00FB40ED"/>
    <w:rsid w:val="00FB4249"/>
    <w:rsid w:val="00FB4291"/>
    <w:rsid w:val="00FB447D"/>
    <w:rsid w:val="00FB46A4"/>
    <w:rsid w:val="00FB4862"/>
    <w:rsid w:val="00FB48F5"/>
    <w:rsid w:val="00FB49DE"/>
    <w:rsid w:val="00FB4CC9"/>
    <w:rsid w:val="00FB4DF9"/>
    <w:rsid w:val="00FB4F83"/>
    <w:rsid w:val="00FB4FF0"/>
    <w:rsid w:val="00FB5064"/>
    <w:rsid w:val="00FB51A7"/>
    <w:rsid w:val="00FB51F9"/>
    <w:rsid w:val="00FB5275"/>
    <w:rsid w:val="00FB53F4"/>
    <w:rsid w:val="00FB55D1"/>
    <w:rsid w:val="00FB5788"/>
    <w:rsid w:val="00FB58E5"/>
    <w:rsid w:val="00FB59F6"/>
    <w:rsid w:val="00FB5AC1"/>
    <w:rsid w:val="00FB5DC4"/>
    <w:rsid w:val="00FB5F36"/>
    <w:rsid w:val="00FB64C9"/>
    <w:rsid w:val="00FB6620"/>
    <w:rsid w:val="00FB74E1"/>
    <w:rsid w:val="00FB7548"/>
    <w:rsid w:val="00FB75DE"/>
    <w:rsid w:val="00FB7685"/>
    <w:rsid w:val="00FB7A3A"/>
    <w:rsid w:val="00FB7ED1"/>
    <w:rsid w:val="00FC007A"/>
    <w:rsid w:val="00FC024A"/>
    <w:rsid w:val="00FC0292"/>
    <w:rsid w:val="00FC031B"/>
    <w:rsid w:val="00FC0358"/>
    <w:rsid w:val="00FC037F"/>
    <w:rsid w:val="00FC0633"/>
    <w:rsid w:val="00FC0635"/>
    <w:rsid w:val="00FC093B"/>
    <w:rsid w:val="00FC09B8"/>
    <w:rsid w:val="00FC12BD"/>
    <w:rsid w:val="00FC1DA5"/>
    <w:rsid w:val="00FC1E37"/>
    <w:rsid w:val="00FC20EC"/>
    <w:rsid w:val="00FC2515"/>
    <w:rsid w:val="00FC27C8"/>
    <w:rsid w:val="00FC2BF6"/>
    <w:rsid w:val="00FC3317"/>
    <w:rsid w:val="00FC3322"/>
    <w:rsid w:val="00FC3534"/>
    <w:rsid w:val="00FC355A"/>
    <w:rsid w:val="00FC3638"/>
    <w:rsid w:val="00FC36C4"/>
    <w:rsid w:val="00FC38F8"/>
    <w:rsid w:val="00FC3A64"/>
    <w:rsid w:val="00FC3AB2"/>
    <w:rsid w:val="00FC3B15"/>
    <w:rsid w:val="00FC3C25"/>
    <w:rsid w:val="00FC3DBE"/>
    <w:rsid w:val="00FC42A5"/>
    <w:rsid w:val="00FC44A6"/>
    <w:rsid w:val="00FC456B"/>
    <w:rsid w:val="00FC45A2"/>
    <w:rsid w:val="00FC46EC"/>
    <w:rsid w:val="00FC4FE3"/>
    <w:rsid w:val="00FC5035"/>
    <w:rsid w:val="00FC510B"/>
    <w:rsid w:val="00FC539F"/>
    <w:rsid w:val="00FC5433"/>
    <w:rsid w:val="00FC5888"/>
    <w:rsid w:val="00FC59D6"/>
    <w:rsid w:val="00FC5A71"/>
    <w:rsid w:val="00FC5AB8"/>
    <w:rsid w:val="00FC5B5B"/>
    <w:rsid w:val="00FC5EEC"/>
    <w:rsid w:val="00FC639B"/>
    <w:rsid w:val="00FC6598"/>
    <w:rsid w:val="00FC65FA"/>
    <w:rsid w:val="00FC6738"/>
    <w:rsid w:val="00FC67EA"/>
    <w:rsid w:val="00FC6939"/>
    <w:rsid w:val="00FC6940"/>
    <w:rsid w:val="00FC6964"/>
    <w:rsid w:val="00FC70DD"/>
    <w:rsid w:val="00FC7344"/>
    <w:rsid w:val="00FC7435"/>
    <w:rsid w:val="00FC7525"/>
    <w:rsid w:val="00FC7B19"/>
    <w:rsid w:val="00FC7C74"/>
    <w:rsid w:val="00FC7D90"/>
    <w:rsid w:val="00FC7E31"/>
    <w:rsid w:val="00FC7E81"/>
    <w:rsid w:val="00FC7F2D"/>
    <w:rsid w:val="00FC7FDC"/>
    <w:rsid w:val="00FD0056"/>
    <w:rsid w:val="00FD00AD"/>
    <w:rsid w:val="00FD0354"/>
    <w:rsid w:val="00FD04C1"/>
    <w:rsid w:val="00FD07EF"/>
    <w:rsid w:val="00FD0918"/>
    <w:rsid w:val="00FD0D44"/>
    <w:rsid w:val="00FD11A8"/>
    <w:rsid w:val="00FD1286"/>
    <w:rsid w:val="00FD140A"/>
    <w:rsid w:val="00FD1886"/>
    <w:rsid w:val="00FD1DB0"/>
    <w:rsid w:val="00FD1DD0"/>
    <w:rsid w:val="00FD22A6"/>
    <w:rsid w:val="00FD2810"/>
    <w:rsid w:val="00FD2B8C"/>
    <w:rsid w:val="00FD2FF2"/>
    <w:rsid w:val="00FD30C8"/>
    <w:rsid w:val="00FD3341"/>
    <w:rsid w:val="00FD340B"/>
    <w:rsid w:val="00FD351D"/>
    <w:rsid w:val="00FD35DF"/>
    <w:rsid w:val="00FD36FA"/>
    <w:rsid w:val="00FD3A07"/>
    <w:rsid w:val="00FD3BD2"/>
    <w:rsid w:val="00FD3C93"/>
    <w:rsid w:val="00FD4308"/>
    <w:rsid w:val="00FD443F"/>
    <w:rsid w:val="00FD48D5"/>
    <w:rsid w:val="00FD48DF"/>
    <w:rsid w:val="00FD4AC3"/>
    <w:rsid w:val="00FD4CD5"/>
    <w:rsid w:val="00FD4CFF"/>
    <w:rsid w:val="00FD5138"/>
    <w:rsid w:val="00FD5193"/>
    <w:rsid w:val="00FD5514"/>
    <w:rsid w:val="00FD57A9"/>
    <w:rsid w:val="00FD57BC"/>
    <w:rsid w:val="00FD5A66"/>
    <w:rsid w:val="00FD5B2C"/>
    <w:rsid w:val="00FD5BCA"/>
    <w:rsid w:val="00FD5DA3"/>
    <w:rsid w:val="00FD60F0"/>
    <w:rsid w:val="00FD6375"/>
    <w:rsid w:val="00FD662E"/>
    <w:rsid w:val="00FD6671"/>
    <w:rsid w:val="00FD6680"/>
    <w:rsid w:val="00FD6C38"/>
    <w:rsid w:val="00FD6C82"/>
    <w:rsid w:val="00FD7126"/>
    <w:rsid w:val="00FD7186"/>
    <w:rsid w:val="00FD72C6"/>
    <w:rsid w:val="00FD74F8"/>
    <w:rsid w:val="00FD7664"/>
    <w:rsid w:val="00FD76BB"/>
    <w:rsid w:val="00FD77CF"/>
    <w:rsid w:val="00FD7AD2"/>
    <w:rsid w:val="00FD7BA0"/>
    <w:rsid w:val="00FD7D5D"/>
    <w:rsid w:val="00FD7D74"/>
    <w:rsid w:val="00FD7DA2"/>
    <w:rsid w:val="00FD7EBB"/>
    <w:rsid w:val="00FE00FD"/>
    <w:rsid w:val="00FE0139"/>
    <w:rsid w:val="00FE02CA"/>
    <w:rsid w:val="00FE03D5"/>
    <w:rsid w:val="00FE063A"/>
    <w:rsid w:val="00FE086A"/>
    <w:rsid w:val="00FE0887"/>
    <w:rsid w:val="00FE10AC"/>
    <w:rsid w:val="00FE12E5"/>
    <w:rsid w:val="00FE1470"/>
    <w:rsid w:val="00FE14C7"/>
    <w:rsid w:val="00FE188F"/>
    <w:rsid w:val="00FE1936"/>
    <w:rsid w:val="00FE1A5B"/>
    <w:rsid w:val="00FE1D46"/>
    <w:rsid w:val="00FE1E24"/>
    <w:rsid w:val="00FE20D5"/>
    <w:rsid w:val="00FE22BE"/>
    <w:rsid w:val="00FE2376"/>
    <w:rsid w:val="00FE24D5"/>
    <w:rsid w:val="00FE2641"/>
    <w:rsid w:val="00FE274B"/>
    <w:rsid w:val="00FE2B69"/>
    <w:rsid w:val="00FE2E64"/>
    <w:rsid w:val="00FE2E86"/>
    <w:rsid w:val="00FE308A"/>
    <w:rsid w:val="00FE3279"/>
    <w:rsid w:val="00FE34E2"/>
    <w:rsid w:val="00FE39DA"/>
    <w:rsid w:val="00FE39F2"/>
    <w:rsid w:val="00FE3A6A"/>
    <w:rsid w:val="00FE3E15"/>
    <w:rsid w:val="00FE3E54"/>
    <w:rsid w:val="00FE3F6B"/>
    <w:rsid w:val="00FE409A"/>
    <w:rsid w:val="00FE43C1"/>
    <w:rsid w:val="00FE4582"/>
    <w:rsid w:val="00FE4738"/>
    <w:rsid w:val="00FE4A00"/>
    <w:rsid w:val="00FE4C22"/>
    <w:rsid w:val="00FE4E40"/>
    <w:rsid w:val="00FE51D4"/>
    <w:rsid w:val="00FE53EC"/>
    <w:rsid w:val="00FE596D"/>
    <w:rsid w:val="00FE5A52"/>
    <w:rsid w:val="00FE5BC9"/>
    <w:rsid w:val="00FE6262"/>
    <w:rsid w:val="00FE674A"/>
    <w:rsid w:val="00FE682F"/>
    <w:rsid w:val="00FE6A2D"/>
    <w:rsid w:val="00FE6B74"/>
    <w:rsid w:val="00FE6D19"/>
    <w:rsid w:val="00FE7004"/>
    <w:rsid w:val="00FE727D"/>
    <w:rsid w:val="00FE732E"/>
    <w:rsid w:val="00FE7756"/>
    <w:rsid w:val="00FE778E"/>
    <w:rsid w:val="00FE7A05"/>
    <w:rsid w:val="00FE7E88"/>
    <w:rsid w:val="00FF012F"/>
    <w:rsid w:val="00FF0187"/>
    <w:rsid w:val="00FF04A6"/>
    <w:rsid w:val="00FF054F"/>
    <w:rsid w:val="00FF06BB"/>
    <w:rsid w:val="00FF0769"/>
    <w:rsid w:val="00FF07C9"/>
    <w:rsid w:val="00FF096C"/>
    <w:rsid w:val="00FF09DE"/>
    <w:rsid w:val="00FF0BFD"/>
    <w:rsid w:val="00FF0F82"/>
    <w:rsid w:val="00FF12E8"/>
    <w:rsid w:val="00FF134A"/>
    <w:rsid w:val="00FF14CB"/>
    <w:rsid w:val="00FF1624"/>
    <w:rsid w:val="00FF1740"/>
    <w:rsid w:val="00FF18D4"/>
    <w:rsid w:val="00FF18FE"/>
    <w:rsid w:val="00FF195B"/>
    <w:rsid w:val="00FF1984"/>
    <w:rsid w:val="00FF1A15"/>
    <w:rsid w:val="00FF1BA1"/>
    <w:rsid w:val="00FF1CA2"/>
    <w:rsid w:val="00FF1CA3"/>
    <w:rsid w:val="00FF1CFD"/>
    <w:rsid w:val="00FF1D93"/>
    <w:rsid w:val="00FF1E68"/>
    <w:rsid w:val="00FF2ACC"/>
    <w:rsid w:val="00FF2C49"/>
    <w:rsid w:val="00FF2D6C"/>
    <w:rsid w:val="00FF2DFF"/>
    <w:rsid w:val="00FF2FB0"/>
    <w:rsid w:val="00FF2FD2"/>
    <w:rsid w:val="00FF30D2"/>
    <w:rsid w:val="00FF3495"/>
    <w:rsid w:val="00FF39C2"/>
    <w:rsid w:val="00FF3C74"/>
    <w:rsid w:val="00FF3F2F"/>
    <w:rsid w:val="00FF3FE6"/>
    <w:rsid w:val="00FF40DC"/>
    <w:rsid w:val="00FF4308"/>
    <w:rsid w:val="00FF4342"/>
    <w:rsid w:val="00FF4559"/>
    <w:rsid w:val="00FF48D9"/>
    <w:rsid w:val="00FF4AF9"/>
    <w:rsid w:val="00FF4CD7"/>
    <w:rsid w:val="00FF4DDE"/>
    <w:rsid w:val="00FF5172"/>
    <w:rsid w:val="00FF544D"/>
    <w:rsid w:val="00FF54C4"/>
    <w:rsid w:val="00FF55D6"/>
    <w:rsid w:val="00FF565E"/>
    <w:rsid w:val="00FF56BA"/>
    <w:rsid w:val="00FF56BF"/>
    <w:rsid w:val="00FF5C30"/>
    <w:rsid w:val="00FF5C98"/>
    <w:rsid w:val="00FF5D89"/>
    <w:rsid w:val="00FF5E06"/>
    <w:rsid w:val="00FF6021"/>
    <w:rsid w:val="00FF636F"/>
    <w:rsid w:val="00FF6468"/>
    <w:rsid w:val="00FF6A4D"/>
    <w:rsid w:val="00FF6B04"/>
    <w:rsid w:val="00FF6B5F"/>
    <w:rsid w:val="00FF6BA3"/>
    <w:rsid w:val="00FF6BB3"/>
    <w:rsid w:val="00FF6C6E"/>
    <w:rsid w:val="00FF6CAC"/>
    <w:rsid w:val="00FF6CF6"/>
    <w:rsid w:val="00FF6E3A"/>
    <w:rsid w:val="00FF6E3D"/>
    <w:rsid w:val="00FF717B"/>
    <w:rsid w:val="00FF72A0"/>
    <w:rsid w:val="00FF758A"/>
    <w:rsid w:val="00FF761D"/>
    <w:rsid w:val="00FF7B31"/>
    <w:rsid w:val="00FF7BB0"/>
    <w:rsid w:val="00FF7BF7"/>
    <w:rsid w:val="00FF7E8E"/>
    <w:rsid w:val="00FF7EEE"/>
    <w:rsid w:val="01DAEAC1"/>
    <w:rsid w:val="024852C0"/>
    <w:rsid w:val="0254960C"/>
    <w:rsid w:val="026C0F9B"/>
    <w:rsid w:val="02E728CC"/>
    <w:rsid w:val="02F97FE6"/>
    <w:rsid w:val="04040D13"/>
    <w:rsid w:val="05131598"/>
    <w:rsid w:val="05395592"/>
    <w:rsid w:val="05F989AC"/>
    <w:rsid w:val="06505AE6"/>
    <w:rsid w:val="06C8E9C2"/>
    <w:rsid w:val="070F1E3E"/>
    <w:rsid w:val="070F8EB2"/>
    <w:rsid w:val="07347916"/>
    <w:rsid w:val="0738458D"/>
    <w:rsid w:val="080083EF"/>
    <w:rsid w:val="080252A8"/>
    <w:rsid w:val="084993AE"/>
    <w:rsid w:val="0864D516"/>
    <w:rsid w:val="0871778B"/>
    <w:rsid w:val="0890134F"/>
    <w:rsid w:val="08C3AA07"/>
    <w:rsid w:val="08D0E8BE"/>
    <w:rsid w:val="08DB0622"/>
    <w:rsid w:val="093B09D0"/>
    <w:rsid w:val="0972D3CE"/>
    <w:rsid w:val="098FBA91"/>
    <w:rsid w:val="0A14D204"/>
    <w:rsid w:val="0A4C9104"/>
    <w:rsid w:val="0B2BA4A7"/>
    <w:rsid w:val="0B6D104E"/>
    <w:rsid w:val="0B771C5E"/>
    <w:rsid w:val="0B87AA03"/>
    <w:rsid w:val="0BA99C79"/>
    <w:rsid w:val="0BEF6E0F"/>
    <w:rsid w:val="0C08251D"/>
    <w:rsid w:val="0CC8D366"/>
    <w:rsid w:val="0CD76004"/>
    <w:rsid w:val="0CDD2F7D"/>
    <w:rsid w:val="0D0C60A3"/>
    <w:rsid w:val="0DF5F25A"/>
    <w:rsid w:val="0E1CB21B"/>
    <w:rsid w:val="0E305811"/>
    <w:rsid w:val="0ED2BFB8"/>
    <w:rsid w:val="0F2DA189"/>
    <w:rsid w:val="0F6C3867"/>
    <w:rsid w:val="0FFD9566"/>
    <w:rsid w:val="0FFF4911"/>
    <w:rsid w:val="10096467"/>
    <w:rsid w:val="109F2C61"/>
    <w:rsid w:val="10B974D8"/>
    <w:rsid w:val="118A6538"/>
    <w:rsid w:val="118C12DF"/>
    <w:rsid w:val="11BDCBFB"/>
    <w:rsid w:val="1242E6CB"/>
    <w:rsid w:val="12A7D72B"/>
    <w:rsid w:val="12A9E827"/>
    <w:rsid w:val="12F3D5A7"/>
    <w:rsid w:val="13764CBC"/>
    <w:rsid w:val="1416440A"/>
    <w:rsid w:val="143CDAE8"/>
    <w:rsid w:val="153D7175"/>
    <w:rsid w:val="158C552F"/>
    <w:rsid w:val="158D14FA"/>
    <w:rsid w:val="15DA6A5B"/>
    <w:rsid w:val="15FBFF67"/>
    <w:rsid w:val="160608A3"/>
    <w:rsid w:val="17E5385D"/>
    <w:rsid w:val="183C3562"/>
    <w:rsid w:val="1850F4B9"/>
    <w:rsid w:val="18943478"/>
    <w:rsid w:val="199CD5B1"/>
    <w:rsid w:val="1A0D79B4"/>
    <w:rsid w:val="1A34BCBC"/>
    <w:rsid w:val="1A5262DF"/>
    <w:rsid w:val="1B0F146D"/>
    <w:rsid w:val="1BB6B02E"/>
    <w:rsid w:val="1C4B1D70"/>
    <w:rsid w:val="1CCCC9B9"/>
    <w:rsid w:val="1CE746C9"/>
    <w:rsid w:val="1D2E9D92"/>
    <w:rsid w:val="1D3E383C"/>
    <w:rsid w:val="1D46202C"/>
    <w:rsid w:val="1DFE7A3F"/>
    <w:rsid w:val="1E4839F2"/>
    <w:rsid w:val="1EF1F90B"/>
    <w:rsid w:val="1F045E78"/>
    <w:rsid w:val="1F314EFF"/>
    <w:rsid w:val="1F3F0533"/>
    <w:rsid w:val="1FA9BF8E"/>
    <w:rsid w:val="1FC4AAAA"/>
    <w:rsid w:val="2013DEBC"/>
    <w:rsid w:val="2060592D"/>
    <w:rsid w:val="208A3573"/>
    <w:rsid w:val="20D14A2A"/>
    <w:rsid w:val="212B41BC"/>
    <w:rsid w:val="213A632E"/>
    <w:rsid w:val="216E33F6"/>
    <w:rsid w:val="21B2CD41"/>
    <w:rsid w:val="21B442AA"/>
    <w:rsid w:val="21CB7D2F"/>
    <w:rsid w:val="224DA68B"/>
    <w:rsid w:val="22762C5D"/>
    <w:rsid w:val="22D09527"/>
    <w:rsid w:val="23A237D5"/>
    <w:rsid w:val="23B21CA5"/>
    <w:rsid w:val="23EAA191"/>
    <w:rsid w:val="246719CE"/>
    <w:rsid w:val="25A5A07B"/>
    <w:rsid w:val="2610CD1C"/>
    <w:rsid w:val="261EA27C"/>
    <w:rsid w:val="2648B101"/>
    <w:rsid w:val="26BC283D"/>
    <w:rsid w:val="26FCC3EB"/>
    <w:rsid w:val="270CBCCC"/>
    <w:rsid w:val="272A15E0"/>
    <w:rsid w:val="2773D5B5"/>
    <w:rsid w:val="27E3CF5F"/>
    <w:rsid w:val="2845974B"/>
    <w:rsid w:val="287A230E"/>
    <w:rsid w:val="2883E524"/>
    <w:rsid w:val="28C0E3E1"/>
    <w:rsid w:val="28D0D11D"/>
    <w:rsid w:val="28E96063"/>
    <w:rsid w:val="2975FE5A"/>
    <w:rsid w:val="29C66FD9"/>
    <w:rsid w:val="29FA5842"/>
    <w:rsid w:val="2A0B9E6E"/>
    <w:rsid w:val="2A60B705"/>
    <w:rsid w:val="2A8267B1"/>
    <w:rsid w:val="2ABD1305"/>
    <w:rsid w:val="2B32A0D5"/>
    <w:rsid w:val="2B512374"/>
    <w:rsid w:val="2B92C559"/>
    <w:rsid w:val="2BE04818"/>
    <w:rsid w:val="2CCB233B"/>
    <w:rsid w:val="2D00D271"/>
    <w:rsid w:val="2DE06364"/>
    <w:rsid w:val="2EC1377B"/>
    <w:rsid w:val="2F001ECC"/>
    <w:rsid w:val="2F5D788E"/>
    <w:rsid w:val="2F6DC7F7"/>
    <w:rsid w:val="2FAA04A8"/>
    <w:rsid w:val="300B501A"/>
    <w:rsid w:val="3049E89C"/>
    <w:rsid w:val="305D7507"/>
    <w:rsid w:val="306E0D16"/>
    <w:rsid w:val="30C8A5A2"/>
    <w:rsid w:val="312E4939"/>
    <w:rsid w:val="3147E54A"/>
    <w:rsid w:val="32653EF2"/>
    <w:rsid w:val="33027380"/>
    <w:rsid w:val="331231D0"/>
    <w:rsid w:val="3345764F"/>
    <w:rsid w:val="33BD6922"/>
    <w:rsid w:val="349AA5F1"/>
    <w:rsid w:val="34DBF41C"/>
    <w:rsid w:val="3503F4FE"/>
    <w:rsid w:val="3547C043"/>
    <w:rsid w:val="358D9F0D"/>
    <w:rsid w:val="3630BFD3"/>
    <w:rsid w:val="36EB5821"/>
    <w:rsid w:val="36EF5D87"/>
    <w:rsid w:val="37482BE0"/>
    <w:rsid w:val="378CD0BB"/>
    <w:rsid w:val="37982671"/>
    <w:rsid w:val="379D719E"/>
    <w:rsid w:val="37A49F83"/>
    <w:rsid w:val="387B0C51"/>
    <w:rsid w:val="3971C141"/>
    <w:rsid w:val="39ED5964"/>
    <w:rsid w:val="39F8522A"/>
    <w:rsid w:val="3A2DC0DA"/>
    <w:rsid w:val="3A4C4A8C"/>
    <w:rsid w:val="3A96D3E2"/>
    <w:rsid w:val="3A9AFEFE"/>
    <w:rsid w:val="3AD66BDC"/>
    <w:rsid w:val="3AD8450D"/>
    <w:rsid w:val="3AF99F6F"/>
    <w:rsid w:val="3B099573"/>
    <w:rsid w:val="3C226906"/>
    <w:rsid w:val="3C2C1201"/>
    <w:rsid w:val="3CBA3BBD"/>
    <w:rsid w:val="3D3AC047"/>
    <w:rsid w:val="3D5D37A5"/>
    <w:rsid w:val="3D9CF140"/>
    <w:rsid w:val="3DCA8208"/>
    <w:rsid w:val="3DE861CA"/>
    <w:rsid w:val="3ED76232"/>
    <w:rsid w:val="3F2D126E"/>
    <w:rsid w:val="3F3C6827"/>
    <w:rsid w:val="3F5611A5"/>
    <w:rsid w:val="3F800D25"/>
    <w:rsid w:val="3F81F7CB"/>
    <w:rsid w:val="3F8C9AEC"/>
    <w:rsid w:val="4007DFA0"/>
    <w:rsid w:val="40CB8951"/>
    <w:rsid w:val="4134C1B0"/>
    <w:rsid w:val="413E84BF"/>
    <w:rsid w:val="4162C4E1"/>
    <w:rsid w:val="4171A00D"/>
    <w:rsid w:val="41AAC6E3"/>
    <w:rsid w:val="41B82BA1"/>
    <w:rsid w:val="41BFD235"/>
    <w:rsid w:val="4266B427"/>
    <w:rsid w:val="42F5EA98"/>
    <w:rsid w:val="43354757"/>
    <w:rsid w:val="4356291F"/>
    <w:rsid w:val="436DB397"/>
    <w:rsid w:val="43D8932B"/>
    <w:rsid w:val="43F430C7"/>
    <w:rsid w:val="444703D6"/>
    <w:rsid w:val="44B790B0"/>
    <w:rsid w:val="44BB030C"/>
    <w:rsid w:val="44D34A18"/>
    <w:rsid w:val="45A56640"/>
    <w:rsid w:val="45CD0E6F"/>
    <w:rsid w:val="460686DF"/>
    <w:rsid w:val="4640382C"/>
    <w:rsid w:val="467A7D38"/>
    <w:rsid w:val="467AFA97"/>
    <w:rsid w:val="46B60161"/>
    <w:rsid w:val="46E8257D"/>
    <w:rsid w:val="475DDC67"/>
    <w:rsid w:val="476E3BFA"/>
    <w:rsid w:val="479FCB49"/>
    <w:rsid w:val="484D90B3"/>
    <w:rsid w:val="48C89BF9"/>
    <w:rsid w:val="48EAE2B0"/>
    <w:rsid w:val="48F8A62D"/>
    <w:rsid w:val="48FCE8B8"/>
    <w:rsid w:val="48FEAD2C"/>
    <w:rsid w:val="49002A29"/>
    <w:rsid w:val="494F7728"/>
    <w:rsid w:val="49A244CD"/>
    <w:rsid w:val="49ABB48F"/>
    <w:rsid w:val="49DF8FFC"/>
    <w:rsid w:val="4B36878C"/>
    <w:rsid w:val="4B7C4F46"/>
    <w:rsid w:val="4C44C5CA"/>
    <w:rsid w:val="4C470FFD"/>
    <w:rsid w:val="4C481B62"/>
    <w:rsid w:val="4D076A2B"/>
    <w:rsid w:val="4D0D1710"/>
    <w:rsid w:val="4D50C2D0"/>
    <w:rsid w:val="4D91A2ED"/>
    <w:rsid w:val="4DA0A502"/>
    <w:rsid w:val="4DB5652A"/>
    <w:rsid w:val="4DD43103"/>
    <w:rsid w:val="4E0882EB"/>
    <w:rsid w:val="4E59547D"/>
    <w:rsid w:val="507B9129"/>
    <w:rsid w:val="515A926D"/>
    <w:rsid w:val="51683981"/>
    <w:rsid w:val="51CB62A9"/>
    <w:rsid w:val="51F8F2DC"/>
    <w:rsid w:val="527EEB64"/>
    <w:rsid w:val="52B289CC"/>
    <w:rsid w:val="52E35EE7"/>
    <w:rsid w:val="52E78758"/>
    <w:rsid w:val="532F36B2"/>
    <w:rsid w:val="53EA30A6"/>
    <w:rsid w:val="53FE8D07"/>
    <w:rsid w:val="543515AF"/>
    <w:rsid w:val="544158AF"/>
    <w:rsid w:val="547A3B51"/>
    <w:rsid w:val="550B4536"/>
    <w:rsid w:val="560D9D87"/>
    <w:rsid w:val="5631CD16"/>
    <w:rsid w:val="5645B27C"/>
    <w:rsid w:val="567FB592"/>
    <w:rsid w:val="56AB8A31"/>
    <w:rsid w:val="56FEF3CD"/>
    <w:rsid w:val="5728F8DA"/>
    <w:rsid w:val="57352B66"/>
    <w:rsid w:val="57F73C1E"/>
    <w:rsid w:val="57FEF9A6"/>
    <w:rsid w:val="589A3A9D"/>
    <w:rsid w:val="58B814BE"/>
    <w:rsid w:val="58C355EF"/>
    <w:rsid w:val="58C48320"/>
    <w:rsid w:val="5908A26E"/>
    <w:rsid w:val="59577F31"/>
    <w:rsid w:val="5972ABBF"/>
    <w:rsid w:val="59D65E40"/>
    <w:rsid w:val="5A09FCCA"/>
    <w:rsid w:val="5B1A296D"/>
    <w:rsid w:val="5B40701D"/>
    <w:rsid w:val="5BA21617"/>
    <w:rsid w:val="5BF396EB"/>
    <w:rsid w:val="5C261489"/>
    <w:rsid w:val="5C5F19B1"/>
    <w:rsid w:val="5C6FFFE1"/>
    <w:rsid w:val="5C8ED697"/>
    <w:rsid w:val="5C96F78B"/>
    <w:rsid w:val="5CD67F64"/>
    <w:rsid w:val="5E0746B4"/>
    <w:rsid w:val="5EAB5EB4"/>
    <w:rsid w:val="5EF9D2EA"/>
    <w:rsid w:val="607F6A46"/>
    <w:rsid w:val="6150A4E5"/>
    <w:rsid w:val="615D5D73"/>
    <w:rsid w:val="61F5C596"/>
    <w:rsid w:val="6278A5F1"/>
    <w:rsid w:val="62BCB53F"/>
    <w:rsid w:val="62DA4A65"/>
    <w:rsid w:val="63372D6C"/>
    <w:rsid w:val="63894120"/>
    <w:rsid w:val="64936410"/>
    <w:rsid w:val="64A7A5D5"/>
    <w:rsid w:val="64E72161"/>
    <w:rsid w:val="650DDC3D"/>
    <w:rsid w:val="6535D508"/>
    <w:rsid w:val="65F51BFA"/>
    <w:rsid w:val="66022324"/>
    <w:rsid w:val="661B9A04"/>
    <w:rsid w:val="67EDD51E"/>
    <w:rsid w:val="688EE137"/>
    <w:rsid w:val="68AF2A47"/>
    <w:rsid w:val="69679238"/>
    <w:rsid w:val="69CF153C"/>
    <w:rsid w:val="69EC9DE8"/>
    <w:rsid w:val="6A525F88"/>
    <w:rsid w:val="6A78931F"/>
    <w:rsid w:val="6A935A6E"/>
    <w:rsid w:val="6AD8856C"/>
    <w:rsid w:val="6AECD452"/>
    <w:rsid w:val="6BB2F422"/>
    <w:rsid w:val="6BD62F7B"/>
    <w:rsid w:val="6BDC3BEB"/>
    <w:rsid w:val="6C0902DC"/>
    <w:rsid w:val="6C54679A"/>
    <w:rsid w:val="6CC960FD"/>
    <w:rsid w:val="6CFE22ED"/>
    <w:rsid w:val="6D212F28"/>
    <w:rsid w:val="6D48C1BB"/>
    <w:rsid w:val="6D56711B"/>
    <w:rsid w:val="6DA8B439"/>
    <w:rsid w:val="6E0CE313"/>
    <w:rsid w:val="6EB9654A"/>
    <w:rsid w:val="6F083AE8"/>
    <w:rsid w:val="6F84CEDB"/>
    <w:rsid w:val="706CE0DB"/>
    <w:rsid w:val="712BDE8C"/>
    <w:rsid w:val="718EC994"/>
    <w:rsid w:val="7190567F"/>
    <w:rsid w:val="71922808"/>
    <w:rsid w:val="721ECE94"/>
    <w:rsid w:val="72F986D9"/>
    <w:rsid w:val="7301EF69"/>
    <w:rsid w:val="73117089"/>
    <w:rsid w:val="73785996"/>
    <w:rsid w:val="73CCB1A1"/>
    <w:rsid w:val="7421896E"/>
    <w:rsid w:val="7444161B"/>
    <w:rsid w:val="745C0A97"/>
    <w:rsid w:val="7530EC34"/>
    <w:rsid w:val="75373CCC"/>
    <w:rsid w:val="759CB745"/>
    <w:rsid w:val="761B1080"/>
    <w:rsid w:val="761FB73B"/>
    <w:rsid w:val="762DBC29"/>
    <w:rsid w:val="7716791C"/>
    <w:rsid w:val="77249513"/>
    <w:rsid w:val="775CCC2E"/>
    <w:rsid w:val="776E91BF"/>
    <w:rsid w:val="780EBFD6"/>
    <w:rsid w:val="78293B82"/>
    <w:rsid w:val="795C2E97"/>
    <w:rsid w:val="795E14B4"/>
    <w:rsid w:val="7992F066"/>
    <w:rsid w:val="79CAAF31"/>
    <w:rsid w:val="79FE075E"/>
    <w:rsid w:val="7A9022CB"/>
    <w:rsid w:val="7ACB4400"/>
    <w:rsid w:val="7BA924F2"/>
    <w:rsid w:val="7D066DEA"/>
    <w:rsid w:val="7D2545B7"/>
    <w:rsid w:val="7D3727BB"/>
    <w:rsid w:val="7E2B94FA"/>
    <w:rsid w:val="7E2E05C3"/>
    <w:rsid w:val="7E4E040F"/>
    <w:rsid w:val="7E9178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27613B2"/>
  <w15:docId w15:val="{AFDFB524-EA0B-48E8-88C4-82178398B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fi-FI"/>
    </w:rPr>
  </w:style>
  <w:style w:type="paragraph" w:styleId="Heading1">
    <w:name w:val="heading 1"/>
    <w:basedOn w:val="Normal"/>
    <w:next w:val="Text1"/>
    <w:link w:val="Heading1Char"/>
    <w:uiPriority w:val="9"/>
    <w:qFormat/>
    <w:pPr>
      <w:keepNext/>
      <w:numPr>
        <w:numId w:val="4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0"/>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40"/>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40"/>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40"/>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FD36FA"/>
    <w:pPr>
      <w:numPr>
        <w:numId w:val="1"/>
      </w:numPr>
      <w:contextualSpacing/>
    </w:pPr>
  </w:style>
  <w:style w:type="paragraph" w:styleId="ListBullet2">
    <w:name w:val="List Bullet 2"/>
    <w:basedOn w:val="Normal"/>
    <w:uiPriority w:val="99"/>
    <w:semiHidden/>
    <w:unhideWhenUsed/>
    <w:rsid w:val="00FD36FA"/>
    <w:pPr>
      <w:numPr>
        <w:numId w:val="2"/>
      </w:numPr>
      <w:contextualSpacing/>
    </w:pPr>
  </w:style>
  <w:style w:type="paragraph" w:styleId="ListBullet3">
    <w:name w:val="List Bullet 3"/>
    <w:basedOn w:val="Normal"/>
    <w:uiPriority w:val="99"/>
    <w:semiHidden/>
    <w:unhideWhenUsed/>
    <w:rsid w:val="00FD36FA"/>
    <w:pPr>
      <w:numPr>
        <w:numId w:val="3"/>
      </w:numPr>
      <w:contextualSpacing/>
    </w:pPr>
  </w:style>
  <w:style w:type="paragraph" w:styleId="ListBullet4">
    <w:name w:val="List Bullet 4"/>
    <w:basedOn w:val="Normal"/>
    <w:uiPriority w:val="99"/>
    <w:semiHidden/>
    <w:unhideWhenUsed/>
    <w:rsid w:val="00FD36FA"/>
    <w:pPr>
      <w:numPr>
        <w:numId w:val="4"/>
      </w:numPr>
      <w:contextualSpacing/>
    </w:pPr>
  </w:style>
  <w:style w:type="character" w:styleId="Hyperlink">
    <w:name w:val="Hyperlink"/>
    <w:basedOn w:val="DefaultParagraphFont"/>
    <w:uiPriority w:val="99"/>
    <w:unhideWhenUsed/>
    <w:rsid w:val="001E431A"/>
    <w:rPr>
      <w:color w:val="0000FF" w:themeColor="hyperlink"/>
      <w:u w:val="single"/>
    </w:rPr>
  </w:style>
  <w:style w:type="paragraph" w:styleId="Revision">
    <w:name w:val="Revision"/>
    <w:hidden/>
    <w:uiPriority w:val="99"/>
    <w:semiHidden/>
    <w:rsid w:val="00066D66"/>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632944"/>
    <w:rPr>
      <w:sz w:val="16"/>
      <w:szCs w:val="16"/>
    </w:rPr>
  </w:style>
  <w:style w:type="paragraph" w:styleId="CommentText">
    <w:name w:val="annotation text"/>
    <w:basedOn w:val="Normal"/>
    <w:link w:val="CommentTextChar"/>
    <w:uiPriority w:val="99"/>
    <w:unhideWhenUsed/>
    <w:rsid w:val="00632944"/>
    <w:rPr>
      <w:sz w:val="20"/>
      <w:szCs w:val="20"/>
    </w:rPr>
  </w:style>
  <w:style w:type="character" w:customStyle="1" w:styleId="CommentTextChar">
    <w:name w:val="Comment Text Char"/>
    <w:basedOn w:val="DefaultParagraphFont"/>
    <w:link w:val="CommentText"/>
    <w:uiPriority w:val="99"/>
    <w:rsid w:val="00632944"/>
    <w:rPr>
      <w:rFonts w:ascii="Times New Roman" w:hAnsi="Times New Roman" w:cs="Times New Roman"/>
      <w:sz w:val="20"/>
      <w:szCs w:val="20"/>
      <w:lang w:val="fi-FI"/>
    </w:rPr>
  </w:style>
  <w:style w:type="paragraph" w:styleId="CommentSubject">
    <w:name w:val="annotation subject"/>
    <w:basedOn w:val="CommentText"/>
    <w:next w:val="CommentText"/>
    <w:link w:val="CommentSubjectChar"/>
    <w:uiPriority w:val="99"/>
    <w:semiHidden/>
    <w:unhideWhenUsed/>
    <w:rsid w:val="00632944"/>
    <w:rPr>
      <w:b/>
      <w:bCs/>
    </w:rPr>
  </w:style>
  <w:style w:type="character" w:customStyle="1" w:styleId="CommentSubjectChar">
    <w:name w:val="Comment Subject Char"/>
    <w:basedOn w:val="CommentTextChar"/>
    <w:link w:val="CommentSubject"/>
    <w:uiPriority w:val="99"/>
    <w:semiHidden/>
    <w:rsid w:val="00632944"/>
    <w:rPr>
      <w:rFonts w:ascii="Times New Roman" w:hAnsi="Times New Roman" w:cs="Times New Roman"/>
      <w:b/>
      <w:bCs/>
      <w:sz w:val="20"/>
      <w:szCs w:val="20"/>
      <w:lang w:val="fi-FI"/>
    </w:rPr>
  </w:style>
  <w:style w:type="character" w:customStyle="1" w:styleId="UnresolvedMention">
    <w:name w:val="Unresolved Mention"/>
    <w:basedOn w:val="DefaultParagraphFont"/>
    <w:uiPriority w:val="99"/>
    <w:semiHidden/>
    <w:unhideWhenUsed/>
    <w:rsid w:val="00F326F8"/>
    <w:rPr>
      <w:color w:val="605E5C"/>
      <w:shd w:val="clear" w:color="auto" w:fill="E1DFDD"/>
    </w:rPr>
  </w:style>
  <w:style w:type="character" w:customStyle="1" w:styleId="normaltextrun">
    <w:name w:val="normaltextrun"/>
    <w:basedOn w:val="DefaultParagraphFont"/>
    <w:rsid w:val="00476327"/>
  </w:style>
  <w:style w:type="paragraph" w:styleId="ListParagraph">
    <w:name w:val="List Paragraph"/>
    <w:basedOn w:val="Normal"/>
    <w:uiPriority w:val="34"/>
    <w:qFormat/>
    <w:rsid w:val="00AA3E2E"/>
    <w:pPr>
      <w:ind w:left="720"/>
      <w:contextualSpacing/>
    </w:pPr>
  </w:style>
  <w:style w:type="character" w:styleId="FollowedHyperlink">
    <w:name w:val="FollowedHyperlink"/>
    <w:basedOn w:val="DefaultParagraphFont"/>
    <w:uiPriority w:val="99"/>
    <w:semiHidden/>
    <w:unhideWhenUsed/>
    <w:rsid w:val="006831FA"/>
    <w:rPr>
      <w:color w:val="800080" w:themeColor="followedHyperlink"/>
      <w:u w:val="single"/>
    </w:rPr>
  </w:style>
  <w:style w:type="character" w:customStyle="1" w:styleId="Mention">
    <w:name w:val="Mention"/>
    <w:basedOn w:val="DefaultParagraphFont"/>
    <w:uiPriority w:val="99"/>
    <w:unhideWhenUsed/>
    <w:rsid w:val="00156749"/>
    <w:rPr>
      <w:color w:val="2B579A"/>
      <w:shd w:val="clear" w:color="auto" w:fill="E1DFDD"/>
    </w:rPr>
  </w:style>
  <w:style w:type="paragraph" w:customStyle="1" w:styleId="Tableofcontents">
    <w:name w:val="Table of contents"/>
    <w:basedOn w:val="Normal"/>
    <w:link w:val="TableofcontentsChar"/>
    <w:qFormat/>
    <w:rsid w:val="00033389"/>
    <w:pPr>
      <w:keepNext/>
      <w:spacing w:before="240" w:after="240"/>
      <w:jc w:val="left"/>
    </w:pPr>
    <w:rPr>
      <w:rFonts w:ascii="Arial" w:eastAsia="Times New Roman" w:hAnsi="Arial" w:cs="Arial"/>
      <w:b/>
      <w:szCs w:val="24"/>
      <w:u w:val="single"/>
    </w:rPr>
  </w:style>
  <w:style w:type="character" w:customStyle="1" w:styleId="TableofcontentsChar">
    <w:name w:val="Table of contents Char"/>
    <w:link w:val="Tableofcontents"/>
    <w:rsid w:val="00033389"/>
    <w:rPr>
      <w:rFonts w:ascii="Arial" w:eastAsia="Times New Roman" w:hAnsi="Arial" w:cs="Arial"/>
      <w:b/>
      <w:sz w:val="24"/>
      <w:szCs w:val="24"/>
      <w:u w:val="single"/>
      <w:lang w:val="fi-FI"/>
    </w:rPr>
  </w:style>
  <w:style w:type="paragraph" w:styleId="NormalWeb">
    <w:name w:val="Normal (Web)"/>
    <w:basedOn w:val="Normal"/>
    <w:uiPriority w:val="99"/>
    <w:unhideWhenUsed/>
    <w:rsid w:val="004548A6"/>
    <w:pPr>
      <w:spacing w:before="100" w:beforeAutospacing="1" w:after="100" w:afterAutospacing="1"/>
      <w:jc w:val="left"/>
    </w:pPr>
    <w:rPr>
      <w:rFonts w:eastAsia="Times New Roman"/>
      <w:szCs w:val="24"/>
      <w:lang w:eastAsia="es-ES"/>
    </w:rPr>
  </w:style>
  <w:style w:type="character" w:styleId="Strong">
    <w:name w:val="Strong"/>
    <w:basedOn w:val="DefaultParagraphFont"/>
    <w:uiPriority w:val="22"/>
    <w:qFormat/>
    <w:rsid w:val="00D57106"/>
    <w:rPr>
      <w:b/>
      <w:bCs/>
    </w:rPr>
  </w:style>
  <w:style w:type="paragraph" w:styleId="EndnoteText">
    <w:name w:val="endnote text"/>
    <w:basedOn w:val="Normal"/>
    <w:link w:val="EndnoteTextChar"/>
    <w:uiPriority w:val="99"/>
    <w:semiHidden/>
    <w:unhideWhenUsed/>
    <w:rsid w:val="009A1B56"/>
    <w:pPr>
      <w:spacing w:before="0" w:after="0"/>
    </w:pPr>
    <w:rPr>
      <w:sz w:val="20"/>
      <w:szCs w:val="20"/>
    </w:rPr>
  </w:style>
  <w:style w:type="character" w:customStyle="1" w:styleId="EndnoteTextChar">
    <w:name w:val="Endnote Text Char"/>
    <w:basedOn w:val="DefaultParagraphFont"/>
    <w:link w:val="EndnoteText"/>
    <w:uiPriority w:val="99"/>
    <w:semiHidden/>
    <w:rsid w:val="009A1B56"/>
    <w:rPr>
      <w:rFonts w:ascii="Times New Roman" w:hAnsi="Times New Roman" w:cs="Times New Roman"/>
      <w:sz w:val="20"/>
      <w:szCs w:val="20"/>
      <w:lang w:val="fi-FI"/>
    </w:rPr>
  </w:style>
  <w:style w:type="character" w:styleId="EndnoteReference">
    <w:name w:val="endnote reference"/>
    <w:basedOn w:val="DefaultParagraphFont"/>
    <w:uiPriority w:val="99"/>
    <w:semiHidden/>
    <w:unhideWhenUsed/>
    <w:rsid w:val="009A1B56"/>
    <w:rPr>
      <w:vertAlign w:val="superscript"/>
    </w:rPr>
  </w:style>
  <w:style w:type="character" w:customStyle="1" w:styleId="HeaderChar">
    <w:name w:val="Header Char"/>
    <w:basedOn w:val="DefaultParagraphFont"/>
    <w:link w:val="Header"/>
    <w:uiPriority w:val="99"/>
    <w:rsid w:val="002B4D00"/>
    <w:rPr>
      <w:rFonts w:ascii="Times New Roman" w:hAnsi="Times New Roman" w:cs="Times New Roman"/>
      <w:sz w:val="24"/>
      <w:lang w:val="fi-FI"/>
    </w:rPr>
  </w:style>
  <w:style w:type="character" w:customStyle="1" w:styleId="FooterChar">
    <w:name w:val="Footer Char"/>
    <w:basedOn w:val="DefaultParagraphFont"/>
    <w:link w:val="Footer"/>
    <w:uiPriority w:val="99"/>
    <w:rsid w:val="002B4D00"/>
    <w:rPr>
      <w:rFonts w:ascii="Times New Roman" w:hAnsi="Times New Roman" w:cs="Times New Roman"/>
      <w:sz w:val="24"/>
      <w:lang w:val="fi-FI"/>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2B4D00"/>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2B4D00"/>
    <w:pPr>
      <w:spacing w:before="0"/>
      <w:jc w:val="right"/>
    </w:pPr>
    <w:rPr>
      <w:sz w:val="28"/>
    </w:rPr>
  </w:style>
  <w:style w:type="paragraph" w:customStyle="1" w:styleId="FooterSensitivity">
    <w:name w:val="Footer Sensitivity"/>
    <w:basedOn w:val="Normal"/>
    <w:rsid w:val="002B4D00"/>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3"/>
      </w:numPr>
    </w:pPr>
  </w:style>
  <w:style w:type="paragraph" w:customStyle="1" w:styleId="Tiret1">
    <w:name w:val="Tiret 1"/>
    <w:basedOn w:val="Point1"/>
    <w:pPr>
      <w:numPr>
        <w:numId w:val="34"/>
      </w:numPr>
    </w:pPr>
  </w:style>
  <w:style w:type="paragraph" w:customStyle="1" w:styleId="Tiret2">
    <w:name w:val="Tiret 2"/>
    <w:basedOn w:val="Point2"/>
    <w:pPr>
      <w:numPr>
        <w:numId w:val="35"/>
      </w:numPr>
    </w:pPr>
  </w:style>
  <w:style w:type="paragraph" w:customStyle="1" w:styleId="Tiret3">
    <w:name w:val="Tiret 3"/>
    <w:basedOn w:val="Point3"/>
    <w:pPr>
      <w:numPr>
        <w:numId w:val="36"/>
      </w:numPr>
    </w:pPr>
  </w:style>
  <w:style w:type="paragraph" w:customStyle="1" w:styleId="Tiret4">
    <w:name w:val="Tiret 4"/>
    <w:basedOn w:val="Point4"/>
    <w:pPr>
      <w:numPr>
        <w:numId w:val="37"/>
      </w:numPr>
    </w:pPr>
  </w:style>
  <w:style w:type="paragraph" w:customStyle="1" w:styleId="Tiret5">
    <w:name w:val="Tiret 5"/>
    <w:basedOn w:val="Point5"/>
    <w:pPr>
      <w:numPr>
        <w:numId w:val="3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9"/>
      </w:numPr>
    </w:pPr>
  </w:style>
  <w:style w:type="paragraph" w:customStyle="1" w:styleId="NumPar2">
    <w:name w:val="NumPar 2"/>
    <w:basedOn w:val="Normal"/>
    <w:next w:val="Text1"/>
    <w:pPr>
      <w:numPr>
        <w:ilvl w:val="1"/>
        <w:numId w:val="39"/>
      </w:numPr>
    </w:pPr>
  </w:style>
  <w:style w:type="paragraph" w:customStyle="1" w:styleId="NumPar3">
    <w:name w:val="NumPar 3"/>
    <w:basedOn w:val="Normal"/>
    <w:next w:val="Text1"/>
    <w:pPr>
      <w:numPr>
        <w:ilvl w:val="2"/>
        <w:numId w:val="39"/>
      </w:numPr>
    </w:pPr>
  </w:style>
  <w:style w:type="paragraph" w:customStyle="1" w:styleId="NumPar4">
    <w:name w:val="NumPar 4"/>
    <w:basedOn w:val="Normal"/>
    <w:next w:val="Text1"/>
    <w:pPr>
      <w:numPr>
        <w:ilvl w:val="3"/>
        <w:numId w:val="39"/>
      </w:numPr>
    </w:pPr>
  </w:style>
  <w:style w:type="paragraph" w:customStyle="1" w:styleId="NumPar5">
    <w:name w:val="NumPar 5"/>
    <w:basedOn w:val="Normal"/>
    <w:next w:val="Text2"/>
    <w:pPr>
      <w:numPr>
        <w:ilvl w:val="4"/>
        <w:numId w:val="39"/>
      </w:numPr>
    </w:pPr>
  </w:style>
  <w:style w:type="paragraph" w:customStyle="1" w:styleId="NumPar6">
    <w:name w:val="NumPar 6"/>
    <w:basedOn w:val="Normal"/>
    <w:next w:val="Text2"/>
    <w:pPr>
      <w:numPr>
        <w:ilvl w:val="5"/>
        <w:numId w:val="39"/>
      </w:numPr>
    </w:pPr>
  </w:style>
  <w:style w:type="paragraph" w:customStyle="1" w:styleId="NumPar7">
    <w:name w:val="NumPar 7"/>
    <w:basedOn w:val="Normal"/>
    <w:next w:val="Text2"/>
    <w:pPr>
      <w:numPr>
        <w:ilvl w:val="6"/>
        <w:numId w:val="3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1"/>
      </w:numPr>
    </w:pPr>
  </w:style>
  <w:style w:type="paragraph" w:customStyle="1" w:styleId="Point1number">
    <w:name w:val="Point 1 (number)"/>
    <w:basedOn w:val="Normal"/>
    <w:pPr>
      <w:numPr>
        <w:ilvl w:val="2"/>
        <w:numId w:val="41"/>
      </w:numPr>
    </w:pPr>
  </w:style>
  <w:style w:type="paragraph" w:customStyle="1" w:styleId="Point2number">
    <w:name w:val="Point 2 (number)"/>
    <w:basedOn w:val="Normal"/>
    <w:pPr>
      <w:numPr>
        <w:ilvl w:val="4"/>
        <w:numId w:val="41"/>
      </w:numPr>
    </w:pPr>
  </w:style>
  <w:style w:type="paragraph" w:customStyle="1" w:styleId="Point3number">
    <w:name w:val="Point 3 (number)"/>
    <w:basedOn w:val="Normal"/>
    <w:pPr>
      <w:numPr>
        <w:ilvl w:val="6"/>
        <w:numId w:val="41"/>
      </w:numPr>
    </w:pPr>
  </w:style>
  <w:style w:type="paragraph" w:customStyle="1" w:styleId="Point0letter">
    <w:name w:val="Point 0 (letter)"/>
    <w:basedOn w:val="Normal"/>
    <w:pPr>
      <w:numPr>
        <w:ilvl w:val="1"/>
        <w:numId w:val="41"/>
      </w:numPr>
    </w:pPr>
  </w:style>
  <w:style w:type="paragraph" w:customStyle="1" w:styleId="Point1letter">
    <w:name w:val="Point 1 (letter)"/>
    <w:basedOn w:val="Normal"/>
    <w:pPr>
      <w:numPr>
        <w:ilvl w:val="3"/>
        <w:numId w:val="41"/>
      </w:numPr>
    </w:pPr>
  </w:style>
  <w:style w:type="paragraph" w:customStyle="1" w:styleId="Point2letter">
    <w:name w:val="Point 2 (letter)"/>
    <w:basedOn w:val="Normal"/>
    <w:pPr>
      <w:numPr>
        <w:ilvl w:val="5"/>
        <w:numId w:val="41"/>
      </w:numPr>
    </w:pPr>
  </w:style>
  <w:style w:type="paragraph" w:customStyle="1" w:styleId="Point3letter">
    <w:name w:val="Point 3 (letter)"/>
    <w:basedOn w:val="Normal"/>
    <w:pPr>
      <w:numPr>
        <w:ilvl w:val="7"/>
        <w:numId w:val="41"/>
      </w:numPr>
    </w:pPr>
  </w:style>
  <w:style w:type="paragraph" w:customStyle="1" w:styleId="Point4letter">
    <w:name w:val="Point 4 (letter)"/>
    <w:basedOn w:val="Normal"/>
    <w:pPr>
      <w:numPr>
        <w:ilvl w:val="8"/>
        <w:numId w:val="41"/>
      </w:numPr>
    </w:pPr>
  </w:style>
  <w:style w:type="paragraph" w:customStyle="1" w:styleId="Bullet0">
    <w:name w:val="Bullet 0"/>
    <w:basedOn w:val="Normal"/>
    <w:pPr>
      <w:numPr>
        <w:numId w:val="42"/>
      </w:numPr>
    </w:pPr>
  </w:style>
  <w:style w:type="paragraph" w:customStyle="1" w:styleId="Bullet1">
    <w:name w:val="Bullet 1"/>
    <w:basedOn w:val="Normal"/>
    <w:pPr>
      <w:numPr>
        <w:numId w:val="43"/>
      </w:numPr>
    </w:pPr>
  </w:style>
  <w:style w:type="paragraph" w:customStyle="1" w:styleId="Bullet2">
    <w:name w:val="Bullet 2"/>
    <w:basedOn w:val="Normal"/>
    <w:pPr>
      <w:numPr>
        <w:numId w:val="44"/>
      </w:numPr>
    </w:pPr>
  </w:style>
  <w:style w:type="paragraph" w:customStyle="1" w:styleId="Bullet3">
    <w:name w:val="Bullet 3"/>
    <w:basedOn w:val="Normal"/>
    <w:pPr>
      <w:numPr>
        <w:numId w:val="45"/>
      </w:numPr>
    </w:pPr>
  </w:style>
  <w:style w:type="paragraph" w:customStyle="1" w:styleId="Bullet4">
    <w:name w:val="Bullet 4"/>
    <w:basedOn w:val="Normal"/>
    <w:pPr>
      <w:numPr>
        <w:numId w:val="46"/>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rsid w:val="00E664ED"/>
    <w:pPr>
      <w:spacing w:before="360" w:after="24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rsid w:val="00E664ED"/>
    <w:pPr>
      <w:spacing w:after="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Normal"/>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Rfrencecroise"/>
    <w:rsid w:val="00E664ED"/>
    <w:pPr>
      <w:spacing w:before="360" w:after="240"/>
      <w:jc w:val="center"/>
    </w:pPr>
  </w:style>
  <w:style w:type="paragraph" w:styleId="Header">
    <w:name w:val="header"/>
    <w:basedOn w:val="Normal"/>
    <w:link w:val="HeaderChar"/>
    <w:uiPriority w:val="99"/>
    <w:unhideWhenUsed/>
    <w:rsid w:val="002B4D00"/>
    <w:pPr>
      <w:tabs>
        <w:tab w:val="center" w:pos="4535"/>
        <w:tab w:val="right" w:pos="9071"/>
      </w:tabs>
      <w:spacing w:before="0"/>
    </w:pPr>
  </w:style>
  <w:style w:type="paragraph" w:customStyle="1" w:styleId="HeaderLandscape">
    <w:name w:val="HeaderLandscape"/>
    <w:basedOn w:val="Normal"/>
    <w:rsid w:val="002B4D00"/>
    <w:pPr>
      <w:tabs>
        <w:tab w:val="center" w:pos="7285"/>
        <w:tab w:val="right" w:pos="14003"/>
      </w:tabs>
      <w:spacing w:before="0"/>
    </w:pPr>
  </w:style>
  <w:style w:type="paragraph" w:styleId="Footer">
    <w:name w:val="footer"/>
    <w:basedOn w:val="Normal"/>
    <w:link w:val="FooterChar"/>
    <w:uiPriority w:val="99"/>
    <w:unhideWhenUsed/>
    <w:rsid w:val="002B4D00"/>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2B4D00"/>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6636">
      <w:bodyDiv w:val="1"/>
      <w:marLeft w:val="0"/>
      <w:marRight w:val="0"/>
      <w:marTop w:val="0"/>
      <w:marBottom w:val="0"/>
      <w:divBdr>
        <w:top w:val="none" w:sz="0" w:space="0" w:color="auto"/>
        <w:left w:val="none" w:sz="0" w:space="0" w:color="auto"/>
        <w:bottom w:val="none" w:sz="0" w:space="0" w:color="auto"/>
        <w:right w:val="none" w:sz="0" w:space="0" w:color="auto"/>
      </w:divBdr>
    </w:div>
    <w:div w:id="3748704">
      <w:bodyDiv w:val="1"/>
      <w:marLeft w:val="0"/>
      <w:marRight w:val="0"/>
      <w:marTop w:val="0"/>
      <w:marBottom w:val="0"/>
      <w:divBdr>
        <w:top w:val="none" w:sz="0" w:space="0" w:color="auto"/>
        <w:left w:val="none" w:sz="0" w:space="0" w:color="auto"/>
        <w:bottom w:val="none" w:sz="0" w:space="0" w:color="auto"/>
        <w:right w:val="none" w:sz="0" w:space="0" w:color="auto"/>
      </w:divBdr>
    </w:div>
    <w:div w:id="8719420">
      <w:bodyDiv w:val="1"/>
      <w:marLeft w:val="0"/>
      <w:marRight w:val="0"/>
      <w:marTop w:val="0"/>
      <w:marBottom w:val="0"/>
      <w:divBdr>
        <w:top w:val="none" w:sz="0" w:space="0" w:color="auto"/>
        <w:left w:val="none" w:sz="0" w:space="0" w:color="auto"/>
        <w:bottom w:val="none" w:sz="0" w:space="0" w:color="auto"/>
        <w:right w:val="none" w:sz="0" w:space="0" w:color="auto"/>
      </w:divBdr>
    </w:div>
    <w:div w:id="16346078">
      <w:bodyDiv w:val="1"/>
      <w:marLeft w:val="0"/>
      <w:marRight w:val="0"/>
      <w:marTop w:val="0"/>
      <w:marBottom w:val="0"/>
      <w:divBdr>
        <w:top w:val="none" w:sz="0" w:space="0" w:color="auto"/>
        <w:left w:val="none" w:sz="0" w:space="0" w:color="auto"/>
        <w:bottom w:val="none" w:sz="0" w:space="0" w:color="auto"/>
        <w:right w:val="none" w:sz="0" w:space="0" w:color="auto"/>
      </w:divBdr>
    </w:div>
    <w:div w:id="76248935">
      <w:bodyDiv w:val="1"/>
      <w:marLeft w:val="0"/>
      <w:marRight w:val="0"/>
      <w:marTop w:val="0"/>
      <w:marBottom w:val="0"/>
      <w:divBdr>
        <w:top w:val="none" w:sz="0" w:space="0" w:color="auto"/>
        <w:left w:val="none" w:sz="0" w:space="0" w:color="auto"/>
        <w:bottom w:val="none" w:sz="0" w:space="0" w:color="auto"/>
        <w:right w:val="none" w:sz="0" w:space="0" w:color="auto"/>
      </w:divBdr>
    </w:div>
    <w:div w:id="94059511">
      <w:bodyDiv w:val="1"/>
      <w:marLeft w:val="0"/>
      <w:marRight w:val="0"/>
      <w:marTop w:val="0"/>
      <w:marBottom w:val="0"/>
      <w:divBdr>
        <w:top w:val="none" w:sz="0" w:space="0" w:color="auto"/>
        <w:left w:val="none" w:sz="0" w:space="0" w:color="auto"/>
        <w:bottom w:val="none" w:sz="0" w:space="0" w:color="auto"/>
        <w:right w:val="none" w:sz="0" w:space="0" w:color="auto"/>
      </w:divBdr>
    </w:div>
    <w:div w:id="102960031">
      <w:bodyDiv w:val="1"/>
      <w:marLeft w:val="0"/>
      <w:marRight w:val="0"/>
      <w:marTop w:val="0"/>
      <w:marBottom w:val="0"/>
      <w:divBdr>
        <w:top w:val="none" w:sz="0" w:space="0" w:color="auto"/>
        <w:left w:val="none" w:sz="0" w:space="0" w:color="auto"/>
        <w:bottom w:val="none" w:sz="0" w:space="0" w:color="auto"/>
        <w:right w:val="none" w:sz="0" w:space="0" w:color="auto"/>
      </w:divBdr>
    </w:div>
    <w:div w:id="117653168">
      <w:bodyDiv w:val="1"/>
      <w:marLeft w:val="0"/>
      <w:marRight w:val="0"/>
      <w:marTop w:val="0"/>
      <w:marBottom w:val="0"/>
      <w:divBdr>
        <w:top w:val="none" w:sz="0" w:space="0" w:color="auto"/>
        <w:left w:val="none" w:sz="0" w:space="0" w:color="auto"/>
        <w:bottom w:val="none" w:sz="0" w:space="0" w:color="auto"/>
        <w:right w:val="none" w:sz="0" w:space="0" w:color="auto"/>
      </w:divBdr>
    </w:div>
    <w:div w:id="127556237">
      <w:bodyDiv w:val="1"/>
      <w:marLeft w:val="0"/>
      <w:marRight w:val="0"/>
      <w:marTop w:val="0"/>
      <w:marBottom w:val="0"/>
      <w:divBdr>
        <w:top w:val="none" w:sz="0" w:space="0" w:color="auto"/>
        <w:left w:val="none" w:sz="0" w:space="0" w:color="auto"/>
        <w:bottom w:val="none" w:sz="0" w:space="0" w:color="auto"/>
        <w:right w:val="none" w:sz="0" w:space="0" w:color="auto"/>
      </w:divBdr>
    </w:div>
    <w:div w:id="130681129">
      <w:bodyDiv w:val="1"/>
      <w:marLeft w:val="0"/>
      <w:marRight w:val="0"/>
      <w:marTop w:val="0"/>
      <w:marBottom w:val="0"/>
      <w:divBdr>
        <w:top w:val="none" w:sz="0" w:space="0" w:color="auto"/>
        <w:left w:val="none" w:sz="0" w:space="0" w:color="auto"/>
        <w:bottom w:val="none" w:sz="0" w:space="0" w:color="auto"/>
        <w:right w:val="none" w:sz="0" w:space="0" w:color="auto"/>
      </w:divBdr>
    </w:div>
    <w:div w:id="137694181">
      <w:bodyDiv w:val="1"/>
      <w:marLeft w:val="0"/>
      <w:marRight w:val="0"/>
      <w:marTop w:val="0"/>
      <w:marBottom w:val="0"/>
      <w:divBdr>
        <w:top w:val="none" w:sz="0" w:space="0" w:color="auto"/>
        <w:left w:val="none" w:sz="0" w:space="0" w:color="auto"/>
        <w:bottom w:val="none" w:sz="0" w:space="0" w:color="auto"/>
        <w:right w:val="none" w:sz="0" w:space="0" w:color="auto"/>
      </w:divBdr>
    </w:div>
    <w:div w:id="147407338">
      <w:bodyDiv w:val="1"/>
      <w:marLeft w:val="0"/>
      <w:marRight w:val="0"/>
      <w:marTop w:val="0"/>
      <w:marBottom w:val="0"/>
      <w:divBdr>
        <w:top w:val="none" w:sz="0" w:space="0" w:color="auto"/>
        <w:left w:val="none" w:sz="0" w:space="0" w:color="auto"/>
        <w:bottom w:val="none" w:sz="0" w:space="0" w:color="auto"/>
        <w:right w:val="none" w:sz="0" w:space="0" w:color="auto"/>
      </w:divBdr>
    </w:div>
    <w:div w:id="155192722">
      <w:bodyDiv w:val="1"/>
      <w:marLeft w:val="0"/>
      <w:marRight w:val="0"/>
      <w:marTop w:val="0"/>
      <w:marBottom w:val="0"/>
      <w:divBdr>
        <w:top w:val="none" w:sz="0" w:space="0" w:color="auto"/>
        <w:left w:val="none" w:sz="0" w:space="0" w:color="auto"/>
        <w:bottom w:val="none" w:sz="0" w:space="0" w:color="auto"/>
        <w:right w:val="none" w:sz="0" w:space="0" w:color="auto"/>
      </w:divBdr>
    </w:div>
    <w:div w:id="170724285">
      <w:bodyDiv w:val="1"/>
      <w:marLeft w:val="0"/>
      <w:marRight w:val="0"/>
      <w:marTop w:val="0"/>
      <w:marBottom w:val="0"/>
      <w:divBdr>
        <w:top w:val="none" w:sz="0" w:space="0" w:color="auto"/>
        <w:left w:val="none" w:sz="0" w:space="0" w:color="auto"/>
        <w:bottom w:val="none" w:sz="0" w:space="0" w:color="auto"/>
        <w:right w:val="none" w:sz="0" w:space="0" w:color="auto"/>
      </w:divBdr>
      <w:divsChild>
        <w:div w:id="95911128">
          <w:marLeft w:val="0"/>
          <w:marRight w:val="0"/>
          <w:marTop w:val="0"/>
          <w:marBottom w:val="0"/>
          <w:divBdr>
            <w:top w:val="none" w:sz="0" w:space="0" w:color="auto"/>
            <w:left w:val="none" w:sz="0" w:space="0" w:color="auto"/>
            <w:bottom w:val="none" w:sz="0" w:space="0" w:color="auto"/>
            <w:right w:val="none" w:sz="0" w:space="0" w:color="auto"/>
          </w:divBdr>
        </w:div>
      </w:divsChild>
    </w:div>
    <w:div w:id="176696675">
      <w:bodyDiv w:val="1"/>
      <w:marLeft w:val="0"/>
      <w:marRight w:val="0"/>
      <w:marTop w:val="0"/>
      <w:marBottom w:val="0"/>
      <w:divBdr>
        <w:top w:val="none" w:sz="0" w:space="0" w:color="auto"/>
        <w:left w:val="none" w:sz="0" w:space="0" w:color="auto"/>
        <w:bottom w:val="none" w:sz="0" w:space="0" w:color="auto"/>
        <w:right w:val="none" w:sz="0" w:space="0" w:color="auto"/>
      </w:divBdr>
    </w:div>
    <w:div w:id="195703837">
      <w:bodyDiv w:val="1"/>
      <w:marLeft w:val="0"/>
      <w:marRight w:val="0"/>
      <w:marTop w:val="0"/>
      <w:marBottom w:val="0"/>
      <w:divBdr>
        <w:top w:val="none" w:sz="0" w:space="0" w:color="auto"/>
        <w:left w:val="none" w:sz="0" w:space="0" w:color="auto"/>
        <w:bottom w:val="none" w:sz="0" w:space="0" w:color="auto"/>
        <w:right w:val="none" w:sz="0" w:space="0" w:color="auto"/>
      </w:divBdr>
      <w:divsChild>
        <w:div w:id="514223555">
          <w:marLeft w:val="0"/>
          <w:marRight w:val="0"/>
          <w:marTop w:val="0"/>
          <w:marBottom w:val="0"/>
          <w:divBdr>
            <w:top w:val="none" w:sz="0" w:space="0" w:color="auto"/>
            <w:left w:val="none" w:sz="0" w:space="0" w:color="auto"/>
            <w:bottom w:val="none" w:sz="0" w:space="0" w:color="auto"/>
            <w:right w:val="none" w:sz="0" w:space="0" w:color="auto"/>
          </w:divBdr>
        </w:div>
      </w:divsChild>
    </w:div>
    <w:div w:id="203173553">
      <w:bodyDiv w:val="1"/>
      <w:marLeft w:val="0"/>
      <w:marRight w:val="0"/>
      <w:marTop w:val="0"/>
      <w:marBottom w:val="0"/>
      <w:divBdr>
        <w:top w:val="none" w:sz="0" w:space="0" w:color="auto"/>
        <w:left w:val="none" w:sz="0" w:space="0" w:color="auto"/>
        <w:bottom w:val="none" w:sz="0" w:space="0" w:color="auto"/>
        <w:right w:val="none" w:sz="0" w:space="0" w:color="auto"/>
      </w:divBdr>
    </w:div>
    <w:div w:id="211311477">
      <w:bodyDiv w:val="1"/>
      <w:marLeft w:val="0"/>
      <w:marRight w:val="0"/>
      <w:marTop w:val="0"/>
      <w:marBottom w:val="0"/>
      <w:divBdr>
        <w:top w:val="none" w:sz="0" w:space="0" w:color="auto"/>
        <w:left w:val="none" w:sz="0" w:space="0" w:color="auto"/>
        <w:bottom w:val="none" w:sz="0" w:space="0" w:color="auto"/>
        <w:right w:val="none" w:sz="0" w:space="0" w:color="auto"/>
      </w:divBdr>
    </w:div>
    <w:div w:id="229581951">
      <w:bodyDiv w:val="1"/>
      <w:marLeft w:val="0"/>
      <w:marRight w:val="0"/>
      <w:marTop w:val="0"/>
      <w:marBottom w:val="0"/>
      <w:divBdr>
        <w:top w:val="none" w:sz="0" w:space="0" w:color="auto"/>
        <w:left w:val="none" w:sz="0" w:space="0" w:color="auto"/>
        <w:bottom w:val="none" w:sz="0" w:space="0" w:color="auto"/>
        <w:right w:val="none" w:sz="0" w:space="0" w:color="auto"/>
      </w:divBdr>
    </w:div>
    <w:div w:id="232669430">
      <w:bodyDiv w:val="1"/>
      <w:marLeft w:val="0"/>
      <w:marRight w:val="0"/>
      <w:marTop w:val="0"/>
      <w:marBottom w:val="0"/>
      <w:divBdr>
        <w:top w:val="none" w:sz="0" w:space="0" w:color="auto"/>
        <w:left w:val="none" w:sz="0" w:space="0" w:color="auto"/>
        <w:bottom w:val="none" w:sz="0" w:space="0" w:color="auto"/>
        <w:right w:val="none" w:sz="0" w:space="0" w:color="auto"/>
      </w:divBdr>
    </w:div>
    <w:div w:id="234047455">
      <w:bodyDiv w:val="1"/>
      <w:marLeft w:val="0"/>
      <w:marRight w:val="0"/>
      <w:marTop w:val="0"/>
      <w:marBottom w:val="0"/>
      <w:divBdr>
        <w:top w:val="none" w:sz="0" w:space="0" w:color="auto"/>
        <w:left w:val="none" w:sz="0" w:space="0" w:color="auto"/>
        <w:bottom w:val="none" w:sz="0" w:space="0" w:color="auto"/>
        <w:right w:val="none" w:sz="0" w:space="0" w:color="auto"/>
      </w:divBdr>
    </w:div>
    <w:div w:id="268389199">
      <w:bodyDiv w:val="1"/>
      <w:marLeft w:val="0"/>
      <w:marRight w:val="0"/>
      <w:marTop w:val="0"/>
      <w:marBottom w:val="0"/>
      <w:divBdr>
        <w:top w:val="none" w:sz="0" w:space="0" w:color="auto"/>
        <w:left w:val="none" w:sz="0" w:space="0" w:color="auto"/>
        <w:bottom w:val="none" w:sz="0" w:space="0" w:color="auto"/>
        <w:right w:val="none" w:sz="0" w:space="0" w:color="auto"/>
      </w:divBdr>
    </w:div>
    <w:div w:id="271133800">
      <w:bodyDiv w:val="1"/>
      <w:marLeft w:val="0"/>
      <w:marRight w:val="0"/>
      <w:marTop w:val="0"/>
      <w:marBottom w:val="0"/>
      <w:divBdr>
        <w:top w:val="none" w:sz="0" w:space="0" w:color="auto"/>
        <w:left w:val="none" w:sz="0" w:space="0" w:color="auto"/>
        <w:bottom w:val="none" w:sz="0" w:space="0" w:color="auto"/>
        <w:right w:val="none" w:sz="0" w:space="0" w:color="auto"/>
      </w:divBdr>
    </w:div>
    <w:div w:id="282923721">
      <w:bodyDiv w:val="1"/>
      <w:marLeft w:val="0"/>
      <w:marRight w:val="0"/>
      <w:marTop w:val="0"/>
      <w:marBottom w:val="0"/>
      <w:divBdr>
        <w:top w:val="none" w:sz="0" w:space="0" w:color="auto"/>
        <w:left w:val="none" w:sz="0" w:space="0" w:color="auto"/>
        <w:bottom w:val="none" w:sz="0" w:space="0" w:color="auto"/>
        <w:right w:val="none" w:sz="0" w:space="0" w:color="auto"/>
      </w:divBdr>
    </w:div>
    <w:div w:id="317659834">
      <w:bodyDiv w:val="1"/>
      <w:marLeft w:val="0"/>
      <w:marRight w:val="0"/>
      <w:marTop w:val="0"/>
      <w:marBottom w:val="0"/>
      <w:divBdr>
        <w:top w:val="none" w:sz="0" w:space="0" w:color="auto"/>
        <w:left w:val="none" w:sz="0" w:space="0" w:color="auto"/>
        <w:bottom w:val="none" w:sz="0" w:space="0" w:color="auto"/>
        <w:right w:val="none" w:sz="0" w:space="0" w:color="auto"/>
      </w:divBdr>
    </w:div>
    <w:div w:id="323632412">
      <w:bodyDiv w:val="1"/>
      <w:marLeft w:val="0"/>
      <w:marRight w:val="0"/>
      <w:marTop w:val="0"/>
      <w:marBottom w:val="0"/>
      <w:divBdr>
        <w:top w:val="none" w:sz="0" w:space="0" w:color="auto"/>
        <w:left w:val="none" w:sz="0" w:space="0" w:color="auto"/>
        <w:bottom w:val="none" w:sz="0" w:space="0" w:color="auto"/>
        <w:right w:val="none" w:sz="0" w:space="0" w:color="auto"/>
      </w:divBdr>
    </w:div>
    <w:div w:id="338434430">
      <w:bodyDiv w:val="1"/>
      <w:marLeft w:val="0"/>
      <w:marRight w:val="0"/>
      <w:marTop w:val="0"/>
      <w:marBottom w:val="0"/>
      <w:divBdr>
        <w:top w:val="none" w:sz="0" w:space="0" w:color="auto"/>
        <w:left w:val="none" w:sz="0" w:space="0" w:color="auto"/>
        <w:bottom w:val="none" w:sz="0" w:space="0" w:color="auto"/>
        <w:right w:val="none" w:sz="0" w:space="0" w:color="auto"/>
      </w:divBdr>
    </w:div>
    <w:div w:id="343745528">
      <w:bodyDiv w:val="1"/>
      <w:marLeft w:val="0"/>
      <w:marRight w:val="0"/>
      <w:marTop w:val="0"/>
      <w:marBottom w:val="0"/>
      <w:divBdr>
        <w:top w:val="none" w:sz="0" w:space="0" w:color="auto"/>
        <w:left w:val="none" w:sz="0" w:space="0" w:color="auto"/>
        <w:bottom w:val="none" w:sz="0" w:space="0" w:color="auto"/>
        <w:right w:val="none" w:sz="0" w:space="0" w:color="auto"/>
      </w:divBdr>
    </w:div>
    <w:div w:id="345600172">
      <w:bodyDiv w:val="1"/>
      <w:marLeft w:val="0"/>
      <w:marRight w:val="0"/>
      <w:marTop w:val="0"/>
      <w:marBottom w:val="0"/>
      <w:divBdr>
        <w:top w:val="none" w:sz="0" w:space="0" w:color="auto"/>
        <w:left w:val="none" w:sz="0" w:space="0" w:color="auto"/>
        <w:bottom w:val="none" w:sz="0" w:space="0" w:color="auto"/>
        <w:right w:val="none" w:sz="0" w:space="0" w:color="auto"/>
      </w:divBdr>
    </w:div>
    <w:div w:id="377169837">
      <w:bodyDiv w:val="1"/>
      <w:marLeft w:val="0"/>
      <w:marRight w:val="0"/>
      <w:marTop w:val="0"/>
      <w:marBottom w:val="0"/>
      <w:divBdr>
        <w:top w:val="none" w:sz="0" w:space="0" w:color="auto"/>
        <w:left w:val="none" w:sz="0" w:space="0" w:color="auto"/>
        <w:bottom w:val="none" w:sz="0" w:space="0" w:color="auto"/>
        <w:right w:val="none" w:sz="0" w:space="0" w:color="auto"/>
      </w:divBdr>
    </w:div>
    <w:div w:id="402990591">
      <w:bodyDiv w:val="1"/>
      <w:marLeft w:val="0"/>
      <w:marRight w:val="0"/>
      <w:marTop w:val="0"/>
      <w:marBottom w:val="0"/>
      <w:divBdr>
        <w:top w:val="none" w:sz="0" w:space="0" w:color="auto"/>
        <w:left w:val="none" w:sz="0" w:space="0" w:color="auto"/>
        <w:bottom w:val="none" w:sz="0" w:space="0" w:color="auto"/>
        <w:right w:val="none" w:sz="0" w:space="0" w:color="auto"/>
      </w:divBdr>
    </w:div>
    <w:div w:id="411703833">
      <w:bodyDiv w:val="1"/>
      <w:marLeft w:val="0"/>
      <w:marRight w:val="0"/>
      <w:marTop w:val="0"/>
      <w:marBottom w:val="0"/>
      <w:divBdr>
        <w:top w:val="none" w:sz="0" w:space="0" w:color="auto"/>
        <w:left w:val="none" w:sz="0" w:space="0" w:color="auto"/>
        <w:bottom w:val="none" w:sz="0" w:space="0" w:color="auto"/>
        <w:right w:val="none" w:sz="0" w:space="0" w:color="auto"/>
      </w:divBdr>
    </w:div>
    <w:div w:id="419764971">
      <w:bodyDiv w:val="1"/>
      <w:marLeft w:val="0"/>
      <w:marRight w:val="0"/>
      <w:marTop w:val="0"/>
      <w:marBottom w:val="0"/>
      <w:divBdr>
        <w:top w:val="none" w:sz="0" w:space="0" w:color="auto"/>
        <w:left w:val="none" w:sz="0" w:space="0" w:color="auto"/>
        <w:bottom w:val="none" w:sz="0" w:space="0" w:color="auto"/>
        <w:right w:val="none" w:sz="0" w:space="0" w:color="auto"/>
      </w:divBdr>
    </w:div>
    <w:div w:id="421218921">
      <w:bodyDiv w:val="1"/>
      <w:marLeft w:val="0"/>
      <w:marRight w:val="0"/>
      <w:marTop w:val="0"/>
      <w:marBottom w:val="0"/>
      <w:divBdr>
        <w:top w:val="none" w:sz="0" w:space="0" w:color="auto"/>
        <w:left w:val="none" w:sz="0" w:space="0" w:color="auto"/>
        <w:bottom w:val="none" w:sz="0" w:space="0" w:color="auto"/>
        <w:right w:val="none" w:sz="0" w:space="0" w:color="auto"/>
      </w:divBdr>
    </w:div>
    <w:div w:id="429395090">
      <w:bodyDiv w:val="1"/>
      <w:marLeft w:val="0"/>
      <w:marRight w:val="0"/>
      <w:marTop w:val="0"/>
      <w:marBottom w:val="0"/>
      <w:divBdr>
        <w:top w:val="none" w:sz="0" w:space="0" w:color="auto"/>
        <w:left w:val="none" w:sz="0" w:space="0" w:color="auto"/>
        <w:bottom w:val="none" w:sz="0" w:space="0" w:color="auto"/>
        <w:right w:val="none" w:sz="0" w:space="0" w:color="auto"/>
      </w:divBdr>
    </w:div>
    <w:div w:id="430273557">
      <w:bodyDiv w:val="1"/>
      <w:marLeft w:val="0"/>
      <w:marRight w:val="0"/>
      <w:marTop w:val="0"/>
      <w:marBottom w:val="0"/>
      <w:divBdr>
        <w:top w:val="none" w:sz="0" w:space="0" w:color="auto"/>
        <w:left w:val="none" w:sz="0" w:space="0" w:color="auto"/>
        <w:bottom w:val="none" w:sz="0" w:space="0" w:color="auto"/>
        <w:right w:val="none" w:sz="0" w:space="0" w:color="auto"/>
      </w:divBdr>
    </w:div>
    <w:div w:id="431128192">
      <w:bodyDiv w:val="1"/>
      <w:marLeft w:val="0"/>
      <w:marRight w:val="0"/>
      <w:marTop w:val="0"/>
      <w:marBottom w:val="0"/>
      <w:divBdr>
        <w:top w:val="none" w:sz="0" w:space="0" w:color="auto"/>
        <w:left w:val="none" w:sz="0" w:space="0" w:color="auto"/>
        <w:bottom w:val="none" w:sz="0" w:space="0" w:color="auto"/>
        <w:right w:val="none" w:sz="0" w:space="0" w:color="auto"/>
      </w:divBdr>
    </w:div>
    <w:div w:id="441414201">
      <w:bodyDiv w:val="1"/>
      <w:marLeft w:val="0"/>
      <w:marRight w:val="0"/>
      <w:marTop w:val="0"/>
      <w:marBottom w:val="0"/>
      <w:divBdr>
        <w:top w:val="none" w:sz="0" w:space="0" w:color="auto"/>
        <w:left w:val="none" w:sz="0" w:space="0" w:color="auto"/>
        <w:bottom w:val="none" w:sz="0" w:space="0" w:color="auto"/>
        <w:right w:val="none" w:sz="0" w:space="0" w:color="auto"/>
      </w:divBdr>
    </w:div>
    <w:div w:id="442303854">
      <w:bodyDiv w:val="1"/>
      <w:marLeft w:val="0"/>
      <w:marRight w:val="0"/>
      <w:marTop w:val="0"/>
      <w:marBottom w:val="0"/>
      <w:divBdr>
        <w:top w:val="none" w:sz="0" w:space="0" w:color="auto"/>
        <w:left w:val="none" w:sz="0" w:space="0" w:color="auto"/>
        <w:bottom w:val="none" w:sz="0" w:space="0" w:color="auto"/>
        <w:right w:val="none" w:sz="0" w:space="0" w:color="auto"/>
      </w:divBdr>
    </w:div>
    <w:div w:id="453523824">
      <w:bodyDiv w:val="1"/>
      <w:marLeft w:val="0"/>
      <w:marRight w:val="0"/>
      <w:marTop w:val="0"/>
      <w:marBottom w:val="0"/>
      <w:divBdr>
        <w:top w:val="none" w:sz="0" w:space="0" w:color="auto"/>
        <w:left w:val="none" w:sz="0" w:space="0" w:color="auto"/>
        <w:bottom w:val="none" w:sz="0" w:space="0" w:color="auto"/>
        <w:right w:val="none" w:sz="0" w:space="0" w:color="auto"/>
      </w:divBdr>
    </w:div>
    <w:div w:id="461270347">
      <w:bodyDiv w:val="1"/>
      <w:marLeft w:val="0"/>
      <w:marRight w:val="0"/>
      <w:marTop w:val="0"/>
      <w:marBottom w:val="0"/>
      <w:divBdr>
        <w:top w:val="none" w:sz="0" w:space="0" w:color="auto"/>
        <w:left w:val="none" w:sz="0" w:space="0" w:color="auto"/>
        <w:bottom w:val="none" w:sz="0" w:space="0" w:color="auto"/>
        <w:right w:val="none" w:sz="0" w:space="0" w:color="auto"/>
      </w:divBdr>
    </w:div>
    <w:div w:id="491992376">
      <w:bodyDiv w:val="1"/>
      <w:marLeft w:val="0"/>
      <w:marRight w:val="0"/>
      <w:marTop w:val="0"/>
      <w:marBottom w:val="0"/>
      <w:divBdr>
        <w:top w:val="none" w:sz="0" w:space="0" w:color="auto"/>
        <w:left w:val="none" w:sz="0" w:space="0" w:color="auto"/>
        <w:bottom w:val="none" w:sz="0" w:space="0" w:color="auto"/>
        <w:right w:val="none" w:sz="0" w:space="0" w:color="auto"/>
      </w:divBdr>
    </w:div>
    <w:div w:id="492453759">
      <w:bodyDiv w:val="1"/>
      <w:marLeft w:val="0"/>
      <w:marRight w:val="0"/>
      <w:marTop w:val="0"/>
      <w:marBottom w:val="0"/>
      <w:divBdr>
        <w:top w:val="none" w:sz="0" w:space="0" w:color="auto"/>
        <w:left w:val="none" w:sz="0" w:space="0" w:color="auto"/>
        <w:bottom w:val="none" w:sz="0" w:space="0" w:color="auto"/>
        <w:right w:val="none" w:sz="0" w:space="0" w:color="auto"/>
      </w:divBdr>
    </w:div>
    <w:div w:id="507060839">
      <w:bodyDiv w:val="1"/>
      <w:marLeft w:val="0"/>
      <w:marRight w:val="0"/>
      <w:marTop w:val="0"/>
      <w:marBottom w:val="0"/>
      <w:divBdr>
        <w:top w:val="none" w:sz="0" w:space="0" w:color="auto"/>
        <w:left w:val="none" w:sz="0" w:space="0" w:color="auto"/>
        <w:bottom w:val="none" w:sz="0" w:space="0" w:color="auto"/>
        <w:right w:val="none" w:sz="0" w:space="0" w:color="auto"/>
      </w:divBdr>
    </w:div>
    <w:div w:id="508716010">
      <w:bodyDiv w:val="1"/>
      <w:marLeft w:val="0"/>
      <w:marRight w:val="0"/>
      <w:marTop w:val="0"/>
      <w:marBottom w:val="0"/>
      <w:divBdr>
        <w:top w:val="none" w:sz="0" w:space="0" w:color="auto"/>
        <w:left w:val="none" w:sz="0" w:space="0" w:color="auto"/>
        <w:bottom w:val="none" w:sz="0" w:space="0" w:color="auto"/>
        <w:right w:val="none" w:sz="0" w:space="0" w:color="auto"/>
      </w:divBdr>
    </w:div>
    <w:div w:id="519897332">
      <w:bodyDiv w:val="1"/>
      <w:marLeft w:val="0"/>
      <w:marRight w:val="0"/>
      <w:marTop w:val="0"/>
      <w:marBottom w:val="0"/>
      <w:divBdr>
        <w:top w:val="none" w:sz="0" w:space="0" w:color="auto"/>
        <w:left w:val="none" w:sz="0" w:space="0" w:color="auto"/>
        <w:bottom w:val="none" w:sz="0" w:space="0" w:color="auto"/>
        <w:right w:val="none" w:sz="0" w:space="0" w:color="auto"/>
      </w:divBdr>
    </w:div>
    <w:div w:id="520048756">
      <w:bodyDiv w:val="1"/>
      <w:marLeft w:val="0"/>
      <w:marRight w:val="0"/>
      <w:marTop w:val="0"/>
      <w:marBottom w:val="0"/>
      <w:divBdr>
        <w:top w:val="none" w:sz="0" w:space="0" w:color="auto"/>
        <w:left w:val="none" w:sz="0" w:space="0" w:color="auto"/>
        <w:bottom w:val="none" w:sz="0" w:space="0" w:color="auto"/>
        <w:right w:val="none" w:sz="0" w:space="0" w:color="auto"/>
      </w:divBdr>
    </w:div>
    <w:div w:id="547494231">
      <w:bodyDiv w:val="1"/>
      <w:marLeft w:val="0"/>
      <w:marRight w:val="0"/>
      <w:marTop w:val="0"/>
      <w:marBottom w:val="0"/>
      <w:divBdr>
        <w:top w:val="none" w:sz="0" w:space="0" w:color="auto"/>
        <w:left w:val="none" w:sz="0" w:space="0" w:color="auto"/>
        <w:bottom w:val="none" w:sz="0" w:space="0" w:color="auto"/>
        <w:right w:val="none" w:sz="0" w:space="0" w:color="auto"/>
      </w:divBdr>
    </w:div>
    <w:div w:id="607589248">
      <w:bodyDiv w:val="1"/>
      <w:marLeft w:val="0"/>
      <w:marRight w:val="0"/>
      <w:marTop w:val="0"/>
      <w:marBottom w:val="0"/>
      <w:divBdr>
        <w:top w:val="none" w:sz="0" w:space="0" w:color="auto"/>
        <w:left w:val="none" w:sz="0" w:space="0" w:color="auto"/>
        <w:bottom w:val="none" w:sz="0" w:space="0" w:color="auto"/>
        <w:right w:val="none" w:sz="0" w:space="0" w:color="auto"/>
      </w:divBdr>
    </w:div>
    <w:div w:id="609700414">
      <w:bodyDiv w:val="1"/>
      <w:marLeft w:val="0"/>
      <w:marRight w:val="0"/>
      <w:marTop w:val="0"/>
      <w:marBottom w:val="0"/>
      <w:divBdr>
        <w:top w:val="none" w:sz="0" w:space="0" w:color="auto"/>
        <w:left w:val="none" w:sz="0" w:space="0" w:color="auto"/>
        <w:bottom w:val="none" w:sz="0" w:space="0" w:color="auto"/>
        <w:right w:val="none" w:sz="0" w:space="0" w:color="auto"/>
      </w:divBdr>
    </w:div>
    <w:div w:id="625891683">
      <w:bodyDiv w:val="1"/>
      <w:marLeft w:val="0"/>
      <w:marRight w:val="0"/>
      <w:marTop w:val="0"/>
      <w:marBottom w:val="0"/>
      <w:divBdr>
        <w:top w:val="none" w:sz="0" w:space="0" w:color="auto"/>
        <w:left w:val="none" w:sz="0" w:space="0" w:color="auto"/>
        <w:bottom w:val="none" w:sz="0" w:space="0" w:color="auto"/>
        <w:right w:val="none" w:sz="0" w:space="0" w:color="auto"/>
      </w:divBdr>
      <w:divsChild>
        <w:div w:id="1907957850">
          <w:marLeft w:val="0"/>
          <w:marRight w:val="0"/>
          <w:marTop w:val="0"/>
          <w:marBottom w:val="0"/>
          <w:divBdr>
            <w:top w:val="none" w:sz="0" w:space="0" w:color="auto"/>
            <w:left w:val="none" w:sz="0" w:space="0" w:color="auto"/>
            <w:bottom w:val="none" w:sz="0" w:space="0" w:color="auto"/>
            <w:right w:val="none" w:sz="0" w:space="0" w:color="auto"/>
          </w:divBdr>
        </w:div>
      </w:divsChild>
    </w:div>
    <w:div w:id="632716915">
      <w:bodyDiv w:val="1"/>
      <w:marLeft w:val="0"/>
      <w:marRight w:val="0"/>
      <w:marTop w:val="0"/>
      <w:marBottom w:val="0"/>
      <w:divBdr>
        <w:top w:val="none" w:sz="0" w:space="0" w:color="auto"/>
        <w:left w:val="none" w:sz="0" w:space="0" w:color="auto"/>
        <w:bottom w:val="none" w:sz="0" w:space="0" w:color="auto"/>
        <w:right w:val="none" w:sz="0" w:space="0" w:color="auto"/>
      </w:divBdr>
    </w:div>
    <w:div w:id="633100520">
      <w:bodyDiv w:val="1"/>
      <w:marLeft w:val="0"/>
      <w:marRight w:val="0"/>
      <w:marTop w:val="0"/>
      <w:marBottom w:val="0"/>
      <w:divBdr>
        <w:top w:val="none" w:sz="0" w:space="0" w:color="auto"/>
        <w:left w:val="none" w:sz="0" w:space="0" w:color="auto"/>
        <w:bottom w:val="none" w:sz="0" w:space="0" w:color="auto"/>
        <w:right w:val="none" w:sz="0" w:space="0" w:color="auto"/>
      </w:divBdr>
    </w:div>
    <w:div w:id="672807450">
      <w:bodyDiv w:val="1"/>
      <w:marLeft w:val="0"/>
      <w:marRight w:val="0"/>
      <w:marTop w:val="0"/>
      <w:marBottom w:val="0"/>
      <w:divBdr>
        <w:top w:val="none" w:sz="0" w:space="0" w:color="auto"/>
        <w:left w:val="none" w:sz="0" w:space="0" w:color="auto"/>
        <w:bottom w:val="none" w:sz="0" w:space="0" w:color="auto"/>
        <w:right w:val="none" w:sz="0" w:space="0" w:color="auto"/>
      </w:divBdr>
    </w:div>
    <w:div w:id="685063769">
      <w:bodyDiv w:val="1"/>
      <w:marLeft w:val="0"/>
      <w:marRight w:val="0"/>
      <w:marTop w:val="0"/>
      <w:marBottom w:val="0"/>
      <w:divBdr>
        <w:top w:val="none" w:sz="0" w:space="0" w:color="auto"/>
        <w:left w:val="none" w:sz="0" w:space="0" w:color="auto"/>
        <w:bottom w:val="none" w:sz="0" w:space="0" w:color="auto"/>
        <w:right w:val="none" w:sz="0" w:space="0" w:color="auto"/>
      </w:divBdr>
    </w:div>
    <w:div w:id="703286503">
      <w:bodyDiv w:val="1"/>
      <w:marLeft w:val="0"/>
      <w:marRight w:val="0"/>
      <w:marTop w:val="0"/>
      <w:marBottom w:val="0"/>
      <w:divBdr>
        <w:top w:val="none" w:sz="0" w:space="0" w:color="auto"/>
        <w:left w:val="none" w:sz="0" w:space="0" w:color="auto"/>
        <w:bottom w:val="none" w:sz="0" w:space="0" w:color="auto"/>
        <w:right w:val="none" w:sz="0" w:space="0" w:color="auto"/>
      </w:divBdr>
    </w:div>
    <w:div w:id="713970862">
      <w:bodyDiv w:val="1"/>
      <w:marLeft w:val="0"/>
      <w:marRight w:val="0"/>
      <w:marTop w:val="0"/>
      <w:marBottom w:val="0"/>
      <w:divBdr>
        <w:top w:val="none" w:sz="0" w:space="0" w:color="auto"/>
        <w:left w:val="none" w:sz="0" w:space="0" w:color="auto"/>
        <w:bottom w:val="none" w:sz="0" w:space="0" w:color="auto"/>
        <w:right w:val="none" w:sz="0" w:space="0" w:color="auto"/>
      </w:divBdr>
    </w:div>
    <w:div w:id="730735100">
      <w:bodyDiv w:val="1"/>
      <w:marLeft w:val="0"/>
      <w:marRight w:val="0"/>
      <w:marTop w:val="0"/>
      <w:marBottom w:val="0"/>
      <w:divBdr>
        <w:top w:val="none" w:sz="0" w:space="0" w:color="auto"/>
        <w:left w:val="none" w:sz="0" w:space="0" w:color="auto"/>
        <w:bottom w:val="none" w:sz="0" w:space="0" w:color="auto"/>
        <w:right w:val="none" w:sz="0" w:space="0" w:color="auto"/>
      </w:divBdr>
    </w:div>
    <w:div w:id="730811259">
      <w:bodyDiv w:val="1"/>
      <w:marLeft w:val="0"/>
      <w:marRight w:val="0"/>
      <w:marTop w:val="0"/>
      <w:marBottom w:val="0"/>
      <w:divBdr>
        <w:top w:val="none" w:sz="0" w:space="0" w:color="auto"/>
        <w:left w:val="none" w:sz="0" w:space="0" w:color="auto"/>
        <w:bottom w:val="none" w:sz="0" w:space="0" w:color="auto"/>
        <w:right w:val="none" w:sz="0" w:space="0" w:color="auto"/>
      </w:divBdr>
    </w:div>
    <w:div w:id="755833384">
      <w:bodyDiv w:val="1"/>
      <w:marLeft w:val="0"/>
      <w:marRight w:val="0"/>
      <w:marTop w:val="0"/>
      <w:marBottom w:val="0"/>
      <w:divBdr>
        <w:top w:val="none" w:sz="0" w:space="0" w:color="auto"/>
        <w:left w:val="none" w:sz="0" w:space="0" w:color="auto"/>
        <w:bottom w:val="none" w:sz="0" w:space="0" w:color="auto"/>
        <w:right w:val="none" w:sz="0" w:space="0" w:color="auto"/>
      </w:divBdr>
    </w:div>
    <w:div w:id="758478695">
      <w:bodyDiv w:val="1"/>
      <w:marLeft w:val="0"/>
      <w:marRight w:val="0"/>
      <w:marTop w:val="0"/>
      <w:marBottom w:val="0"/>
      <w:divBdr>
        <w:top w:val="none" w:sz="0" w:space="0" w:color="auto"/>
        <w:left w:val="none" w:sz="0" w:space="0" w:color="auto"/>
        <w:bottom w:val="none" w:sz="0" w:space="0" w:color="auto"/>
        <w:right w:val="none" w:sz="0" w:space="0" w:color="auto"/>
      </w:divBdr>
    </w:div>
    <w:div w:id="758990242">
      <w:bodyDiv w:val="1"/>
      <w:marLeft w:val="0"/>
      <w:marRight w:val="0"/>
      <w:marTop w:val="0"/>
      <w:marBottom w:val="0"/>
      <w:divBdr>
        <w:top w:val="none" w:sz="0" w:space="0" w:color="auto"/>
        <w:left w:val="none" w:sz="0" w:space="0" w:color="auto"/>
        <w:bottom w:val="none" w:sz="0" w:space="0" w:color="auto"/>
        <w:right w:val="none" w:sz="0" w:space="0" w:color="auto"/>
      </w:divBdr>
    </w:div>
    <w:div w:id="762577018">
      <w:bodyDiv w:val="1"/>
      <w:marLeft w:val="0"/>
      <w:marRight w:val="0"/>
      <w:marTop w:val="0"/>
      <w:marBottom w:val="0"/>
      <w:divBdr>
        <w:top w:val="none" w:sz="0" w:space="0" w:color="auto"/>
        <w:left w:val="none" w:sz="0" w:space="0" w:color="auto"/>
        <w:bottom w:val="none" w:sz="0" w:space="0" w:color="auto"/>
        <w:right w:val="none" w:sz="0" w:space="0" w:color="auto"/>
      </w:divBdr>
    </w:div>
    <w:div w:id="778069223">
      <w:bodyDiv w:val="1"/>
      <w:marLeft w:val="0"/>
      <w:marRight w:val="0"/>
      <w:marTop w:val="0"/>
      <w:marBottom w:val="0"/>
      <w:divBdr>
        <w:top w:val="none" w:sz="0" w:space="0" w:color="auto"/>
        <w:left w:val="none" w:sz="0" w:space="0" w:color="auto"/>
        <w:bottom w:val="none" w:sz="0" w:space="0" w:color="auto"/>
        <w:right w:val="none" w:sz="0" w:space="0" w:color="auto"/>
      </w:divBdr>
    </w:div>
    <w:div w:id="806700067">
      <w:bodyDiv w:val="1"/>
      <w:marLeft w:val="0"/>
      <w:marRight w:val="0"/>
      <w:marTop w:val="0"/>
      <w:marBottom w:val="0"/>
      <w:divBdr>
        <w:top w:val="none" w:sz="0" w:space="0" w:color="auto"/>
        <w:left w:val="none" w:sz="0" w:space="0" w:color="auto"/>
        <w:bottom w:val="none" w:sz="0" w:space="0" w:color="auto"/>
        <w:right w:val="none" w:sz="0" w:space="0" w:color="auto"/>
      </w:divBdr>
    </w:div>
    <w:div w:id="815879923">
      <w:bodyDiv w:val="1"/>
      <w:marLeft w:val="0"/>
      <w:marRight w:val="0"/>
      <w:marTop w:val="0"/>
      <w:marBottom w:val="0"/>
      <w:divBdr>
        <w:top w:val="none" w:sz="0" w:space="0" w:color="auto"/>
        <w:left w:val="none" w:sz="0" w:space="0" w:color="auto"/>
        <w:bottom w:val="none" w:sz="0" w:space="0" w:color="auto"/>
        <w:right w:val="none" w:sz="0" w:space="0" w:color="auto"/>
      </w:divBdr>
    </w:div>
    <w:div w:id="819075054">
      <w:bodyDiv w:val="1"/>
      <w:marLeft w:val="0"/>
      <w:marRight w:val="0"/>
      <w:marTop w:val="0"/>
      <w:marBottom w:val="0"/>
      <w:divBdr>
        <w:top w:val="none" w:sz="0" w:space="0" w:color="auto"/>
        <w:left w:val="none" w:sz="0" w:space="0" w:color="auto"/>
        <w:bottom w:val="none" w:sz="0" w:space="0" w:color="auto"/>
        <w:right w:val="none" w:sz="0" w:space="0" w:color="auto"/>
      </w:divBdr>
    </w:div>
    <w:div w:id="833570034">
      <w:bodyDiv w:val="1"/>
      <w:marLeft w:val="0"/>
      <w:marRight w:val="0"/>
      <w:marTop w:val="0"/>
      <w:marBottom w:val="0"/>
      <w:divBdr>
        <w:top w:val="none" w:sz="0" w:space="0" w:color="auto"/>
        <w:left w:val="none" w:sz="0" w:space="0" w:color="auto"/>
        <w:bottom w:val="none" w:sz="0" w:space="0" w:color="auto"/>
        <w:right w:val="none" w:sz="0" w:space="0" w:color="auto"/>
      </w:divBdr>
    </w:div>
    <w:div w:id="844130729">
      <w:bodyDiv w:val="1"/>
      <w:marLeft w:val="0"/>
      <w:marRight w:val="0"/>
      <w:marTop w:val="0"/>
      <w:marBottom w:val="0"/>
      <w:divBdr>
        <w:top w:val="none" w:sz="0" w:space="0" w:color="auto"/>
        <w:left w:val="none" w:sz="0" w:space="0" w:color="auto"/>
        <w:bottom w:val="none" w:sz="0" w:space="0" w:color="auto"/>
        <w:right w:val="none" w:sz="0" w:space="0" w:color="auto"/>
      </w:divBdr>
    </w:div>
    <w:div w:id="868684583">
      <w:bodyDiv w:val="1"/>
      <w:marLeft w:val="0"/>
      <w:marRight w:val="0"/>
      <w:marTop w:val="0"/>
      <w:marBottom w:val="0"/>
      <w:divBdr>
        <w:top w:val="none" w:sz="0" w:space="0" w:color="auto"/>
        <w:left w:val="none" w:sz="0" w:space="0" w:color="auto"/>
        <w:bottom w:val="none" w:sz="0" w:space="0" w:color="auto"/>
        <w:right w:val="none" w:sz="0" w:space="0" w:color="auto"/>
      </w:divBdr>
    </w:div>
    <w:div w:id="873466307">
      <w:bodyDiv w:val="1"/>
      <w:marLeft w:val="0"/>
      <w:marRight w:val="0"/>
      <w:marTop w:val="0"/>
      <w:marBottom w:val="0"/>
      <w:divBdr>
        <w:top w:val="none" w:sz="0" w:space="0" w:color="auto"/>
        <w:left w:val="none" w:sz="0" w:space="0" w:color="auto"/>
        <w:bottom w:val="none" w:sz="0" w:space="0" w:color="auto"/>
        <w:right w:val="none" w:sz="0" w:space="0" w:color="auto"/>
      </w:divBdr>
    </w:div>
    <w:div w:id="880242810">
      <w:bodyDiv w:val="1"/>
      <w:marLeft w:val="0"/>
      <w:marRight w:val="0"/>
      <w:marTop w:val="0"/>
      <w:marBottom w:val="0"/>
      <w:divBdr>
        <w:top w:val="none" w:sz="0" w:space="0" w:color="auto"/>
        <w:left w:val="none" w:sz="0" w:space="0" w:color="auto"/>
        <w:bottom w:val="none" w:sz="0" w:space="0" w:color="auto"/>
        <w:right w:val="none" w:sz="0" w:space="0" w:color="auto"/>
      </w:divBdr>
    </w:div>
    <w:div w:id="881137145">
      <w:bodyDiv w:val="1"/>
      <w:marLeft w:val="0"/>
      <w:marRight w:val="0"/>
      <w:marTop w:val="0"/>
      <w:marBottom w:val="0"/>
      <w:divBdr>
        <w:top w:val="none" w:sz="0" w:space="0" w:color="auto"/>
        <w:left w:val="none" w:sz="0" w:space="0" w:color="auto"/>
        <w:bottom w:val="none" w:sz="0" w:space="0" w:color="auto"/>
        <w:right w:val="none" w:sz="0" w:space="0" w:color="auto"/>
      </w:divBdr>
    </w:div>
    <w:div w:id="889804569">
      <w:bodyDiv w:val="1"/>
      <w:marLeft w:val="0"/>
      <w:marRight w:val="0"/>
      <w:marTop w:val="0"/>
      <w:marBottom w:val="0"/>
      <w:divBdr>
        <w:top w:val="none" w:sz="0" w:space="0" w:color="auto"/>
        <w:left w:val="none" w:sz="0" w:space="0" w:color="auto"/>
        <w:bottom w:val="none" w:sz="0" w:space="0" w:color="auto"/>
        <w:right w:val="none" w:sz="0" w:space="0" w:color="auto"/>
      </w:divBdr>
    </w:div>
    <w:div w:id="891842995">
      <w:bodyDiv w:val="1"/>
      <w:marLeft w:val="0"/>
      <w:marRight w:val="0"/>
      <w:marTop w:val="0"/>
      <w:marBottom w:val="0"/>
      <w:divBdr>
        <w:top w:val="none" w:sz="0" w:space="0" w:color="auto"/>
        <w:left w:val="none" w:sz="0" w:space="0" w:color="auto"/>
        <w:bottom w:val="none" w:sz="0" w:space="0" w:color="auto"/>
        <w:right w:val="none" w:sz="0" w:space="0" w:color="auto"/>
      </w:divBdr>
    </w:div>
    <w:div w:id="895361938">
      <w:bodyDiv w:val="1"/>
      <w:marLeft w:val="0"/>
      <w:marRight w:val="0"/>
      <w:marTop w:val="0"/>
      <w:marBottom w:val="0"/>
      <w:divBdr>
        <w:top w:val="none" w:sz="0" w:space="0" w:color="auto"/>
        <w:left w:val="none" w:sz="0" w:space="0" w:color="auto"/>
        <w:bottom w:val="none" w:sz="0" w:space="0" w:color="auto"/>
        <w:right w:val="none" w:sz="0" w:space="0" w:color="auto"/>
      </w:divBdr>
    </w:div>
    <w:div w:id="910627703">
      <w:bodyDiv w:val="1"/>
      <w:marLeft w:val="0"/>
      <w:marRight w:val="0"/>
      <w:marTop w:val="0"/>
      <w:marBottom w:val="0"/>
      <w:divBdr>
        <w:top w:val="none" w:sz="0" w:space="0" w:color="auto"/>
        <w:left w:val="none" w:sz="0" w:space="0" w:color="auto"/>
        <w:bottom w:val="none" w:sz="0" w:space="0" w:color="auto"/>
        <w:right w:val="none" w:sz="0" w:space="0" w:color="auto"/>
      </w:divBdr>
    </w:div>
    <w:div w:id="921764285">
      <w:bodyDiv w:val="1"/>
      <w:marLeft w:val="0"/>
      <w:marRight w:val="0"/>
      <w:marTop w:val="0"/>
      <w:marBottom w:val="0"/>
      <w:divBdr>
        <w:top w:val="none" w:sz="0" w:space="0" w:color="auto"/>
        <w:left w:val="none" w:sz="0" w:space="0" w:color="auto"/>
        <w:bottom w:val="none" w:sz="0" w:space="0" w:color="auto"/>
        <w:right w:val="none" w:sz="0" w:space="0" w:color="auto"/>
      </w:divBdr>
    </w:div>
    <w:div w:id="940407622">
      <w:bodyDiv w:val="1"/>
      <w:marLeft w:val="0"/>
      <w:marRight w:val="0"/>
      <w:marTop w:val="0"/>
      <w:marBottom w:val="0"/>
      <w:divBdr>
        <w:top w:val="none" w:sz="0" w:space="0" w:color="auto"/>
        <w:left w:val="none" w:sz="0" w:space="0" w:color="auto"/>
        <w:bottom w:val="none" w:sz="0" w:space="0" w:color="auto"/>
        <w:right w:val="none" w:sz="0" w:space="0" w:color="auto"/>
      </w:divBdr>
    </w:div>
    <w:div w:id="951084264">
      <w:bodyDiv w:val="1"/>
      <w:marLeft w:val="0"/>
      <w:marRight w:val="0"/>
      <w:marTop w:val="0"/>
      <w:marBottom w:val="0"/>
      <w:divBdr>
        <w:top w:val="none" w:sz="0" w:space="0" w:color="auto"/>
        <w:left w:val="none" w:sz="0" w:space="0" w:color="auto"/>
        <w:bottom w:val="none" w:sz="0" w:space="0" w:color="auto"/>
        <w:right w:val="none" w:sz="0" w:space="0" w:color="auto"/>
      </w:divBdr>
    </w:div>
    <w:div w:id="955865028">
      <w:bodyDiv w:val="1"/>
      <w:marLeft w:val="0"/>
      <w:marRight w:val="0"/>
      <w:marTop w:val="0"/>
      <w:marBottom w:val="0"/>
      <w:divBdr>
        <w:top w:val="none" w:sz="0" w:space="0" w:color="auto"/>
        <w:left w:val="none" w:sz="0" w:space="0" w:color="auto"/>
        <w:bottom w:val="none" w:sz="0" w:space="0" w:color="auto"/>
        <w:right w:val="none" w:sz="0" w:space="0" w:color="auto"/>
      </w:divBdr>
    </w:div>
    <w:div w:id="966936440">
      <w:bodyDiv w:val="1"/>
      <w:marLeft w:val="0"/>
      <w:marRight w:val="0"/>
      <w:marTop w:val="0"/>
      <w:marBottom w:val="0"/>
      <w:divBdr>
        <w:top w:val="none" w:sz="0" w:space="0" w:color="auto"/>
        <w:left w:val="none" w:sz="0" w:space="0" w:color="auto"/>
        <w:bottom w:val="none" w:sz="0" w:space="0" w:color="auto"/>
        <w:right w:val="none" w:sz="0" w:space="0" w:color="auto"/>
      </w:divBdr>
    </w:div>
    <w:div w:id="970742469">
      <w:bodyDiv w:val="1"/>
      <w:marLeft w:val="0"/>
      <w:marRight w:val="0"/>
      <w:marTop w:val="0"/>
      <w:marBottom w:val="0"/>
      <w:divBdr>
        <w:top w:val="none" w:sz="0" w:space="0" w:color="auto"/>
        <w:left w:val="none" w:sz="0" w:space="0" w:color="auto"/>
        <w:bottom w:val="none" w:sz="0" w:space="0" w:color="auto"/>
        <w:right w:val="none" w:sz="0" w:space="0" w:color="auto"/>
      </w:divBdr>
    </w:div>
    <w:div w:id="972637697">
      <w:bodyDiv w:val="1"/>
      <w:marLeft w:val="0"/>
      <w:marRight w:val="0"/>
      <w:marTop w:val="0"/>
      <w:marBottom w:val="0"/>
      <w:divBdr>
        <w:top w:val="none" w:sz="0" w:space="0" w:color="auto"/>
        <w:left w:val="none" w:sz="0" w:space="0" w:color="auto"/>
        <w:bottom w:val="none" w:sz="0" w:space="0" w:color="auto"/>
        <w:right w:val="none" w:sz="0" w:space="0" w:color="auto"/>
      </w:divBdr>
    </w:div>
    <w:div w:id="998120889">
      <w:bodyDiv w:val="1"/>
      <w:marLeft w:val="0"/>
      <w:marRight w:val="0"/>
      <w:marTop w:val="0"/>
      <w:marBottom w:val="0"/>
      <w:divBdr>
        <w:top w:val="none" w:sz="0" w:space="0" w:color="auto"/>
        <w:left w:val="none" w:sz="0" w:space="0" w:color="auto"/>
        <w:bottom w:val="none" w:sz="0" w:space="0" w:color="auto"/>
        <w:right w:val="none" w:sz="0" w:space="0" w:color="auto"/>
      </w:divBdr>
    </w:div>
    <w:div w:id="998775856">
      <w:bodyDiv w:val="1"/>
      <w:marLeft w:val="0"/>
      <w:marRight w:val="0"/>
      <w:marTop w:val="0"/>
      <w:marBottom w:val="0"/>
      <w:divBdr>
        <w:top w:val="none" w:sz="0" w:space="0" w:color="auto"/>
        <w:left w:val="none" w:sz="0" w:space="0" w:color="auto"/>
        <w:bottom w:val="none" w:sz="0" w:space="0" w:color="auto"/>
        <w:right w:val="none" w:sz="0" w:space="0" w:color="auto"/>
      </w:divBdr>
    </w:div>
    <w:div w:id="999187719">
      <w:bodyDiv w:val="1"/>
      <w:marLeft w:val="0"/>
      <w:marRight w:val="0"/>
      <w:marTop w:val="0"/>
      <w:marBottom w:val="0"/>
      <w:divBdr>
        <w:top w:val="none" w:sz="0" w:space="0" w:color="auto"/>
        <w:left w:val="none" w:sz="0" w:space="0" w:color="auto"/>
        <w:bottom w:val="none" w:sz="0" w:space="0" w:color="auto"/>
        <w:right w:val="none" w:sz="0" w:space="0" w:color="auto"/>
      </w:divBdr>
    </w:div>
    <w:div w:id="1010792328">
      <w:bodyDiv w:val="1"/>
      <w:marLeft w:val="0"/>
      <w:marRight w:val="0"/>
      <w:marTop w:val="0"/>
      <w:marBottom w:val="0"/>
      <w:divBdr>
        <w:top w:val="none" w:sz="0" w:space="0" w:color="auto"/>
        <w:left w:val="none" w:sz="0" w:space="0" w:color="auto"/>
        <w:bottom w:val="none" w:sz="0" w:space="0" w:color="auto"/>
        <w:right w:val="none" w:sz="0" w:space="0" w:color="auto"/>
      </w:divBdr>
    </w:div>
    <w:div w:id="1014187147">
      <w:bodyDiv w:val="1"/>
      <w:marLeft w:val="0"/>
      <w:marRight w:val="0"/>
      <w:marTop w:val="0"/>
      <w:marBottom w:val="0"/>
      <w:divBdr>
        <w:top w:val="none" w:sz="0" w:space="0" w:color="auto"/>
        <w:left w:val="none" w:sz="0" w:space="0" w:color="auto"/>
        <w:bottom w:val="none" w:sz="0" w:space="0" w:color="auto"/>
        <w:right w:val="none" w:sz="0" w:space="0" w:color="auto"/>
      </w:divBdr>
    </w:div>
    <w:div w:id="1019048019">
      <w:bodyDiv w:val="1"/>
      <w:marLeft w:val="0"/>
      <w:marRight w:val="0"/>
      <w:marTop w:val="0"/>
      <w:marBottom w:val="0"/>
      <w:divBdr>
        <w:top w:val="none" w:sz="0" w:space="0" w:color="auto"/>
        <w:left w:val="none" w:sz="0" w:space="0" w:color="auto"/>
        <w:bottom w:val="none" w:sz="0" w:space="0" w:color="auto"/>
        <w:right w:val="none" w:sz="0" w:space="0" w:color="auto"/>
      </w:divBdr>
    </w:div>
    <w:div w:id="1024091504">
      <w:bodyDiv w:val="1"/>
      <w:marLeft w:val="0"/>
      <w:marRight w:val="0"/>
      <w:marTop w:val="0"/>
      <w:marBottom w:val="0"/>
      <w:divBdr>
        <w:top w:val="none" w:sz="0" w:space="0" w:color="auto"/>
        <w:left w:val="none" w:sz="0" w:space="0" w:color="auto"/>
        <w:bottom w:val="none" w:sz="0" w:space="0" w:color="auto"/>
        <w:right w:val="none" w:sz="0" w:space="0" w:color="auto"/>
      </w:divBdr>
    </w:div>
    <w:div w:id="1030574304">
      <w:bodyDiv w:val="1"/>
      <w:marLeft w:val="0"/>
      <w:marRight w:val="0"/>
      <w:marTop w:val="0"/>
      <w:marBottom w:val="0"/>
      <w:divBdr>
        <w:top w:val="none" w:sz="0" w:space="0" w:color="auto"/>
        <w:left w:val="none" w:sz="0" w:space="0" w:color="auto"/>
        <w:bottom w:val="none" w:sz="0" w:space="0" w:color="auto"/>
        <w:right w:val="none" w:sz="0" w:space="0" w:color="auto"/>
      </w:divBdr>
    </w:div>
    <w:div w:id="1080979815">
      <w:bodyDiv w:val="1"/>
      <w:marLeft w:val="0"/>
      <w:marRight w:val="0"/>
      <w:marTop w:val="0"/>
      <w:marBottom w:val="0"/>
      <w:divBdr>
        <w:top w:val="none" w:sz="0" w:space="0" w:color="auto"/>
        <w:left w:val="none" w:sz="0" w:space="0" w:color="auto"/>
        <w:bottom w:val="none" w:sz="0" w:space="0" w:color="auto"/>
        <w:right w:val="none" w:sz="0" w:space="0" w:color="auto"/>
      </w:divBdr>
    </w:div>
    <w:div w:id="1111172748">
      <w:bodyDiv w:val="1"/>
      <w:marLeft w:val="0"/>
      <w:marRight w:val="0"/>
      <w:marTop w:val="0"/>
      <w:marBottom w:val="0"/>
      <w:divBdr>
        <w:top w:val="none" w:sz="0" w:space="0" w:color="auto"/>
        <w:left w:val="none" w:sz="0" w:space="0" w:color="auto"/>
        <w:bottom w:val="none" w:sz="0" w:space="0" w:color="auto"/>
        <w:right w:val="none" w:sz="0" w:space="0" w:color="auto"/>
      </w:divBdr>
    </w:div>
    <w:div w:id="1121608142">
      <w:bodyDiv w:val="1"/>
      <w:marLeft w:val="0"/>
      <w:marRight w:val="0"/>
      <w:marTop w:val="0"/>
      <w:marBottom w:val="0"/>
      <w:divBdr>
        <w:top w:val="none" w:sz="0" w:space="0" w:color="auto"/>
        <w:left w:val="none" w:sz="0" w:space="0" w:color="auto"/>
        <w:bottom w:val="none" w:sz="0" w:space="0" w:color="auto"/>
        <w:right w:val="none" w:sz="0" w:space="0" w:color="auto"/>
      </w:divBdr>
    </w:div>
    <w:div w:id="1134909840">
      <w:bodyDiv w:val="1"/>
      <w:marLeft w:val="0"/>
      <w:marRight w:val="0"/>
      <w:marTop w:val="0"/>
      <w:marBottom w:val="0"/>
      <w:divBdr>
        <w:top w:val="none" w:sz="0" w:space="0" w:color="auto"/>
        <w:left w:val="none" w:sz="0" w:space="0" w:color="auto"/>
        <w:bottom w:val="none" w:sz="0" w:space="0" w:color="auto"/>
        <w:right w:val="none" w:sz="0" w:space="0" w:color="auto"/>
      </w:divBdr>
    </w:div>
    <w:div w:id="1168404645">
      <w:bodyDiv w:val="1"/>
      <w:marLeft w:val="0"/>
      <w:marRight w:val="0"/>
      <w:marTop w:val="0"/>
      <w:marBottom w:val="0"/>
      <w:divBdr>
        <w:top w:val="none" w:sz="0" w:space="0" w:color="auto"/>
        <w:left w:val="none" w:sz="0" w:space="0" w:color="auto"/>
        <w:bottom w:val="none" w:sz="0" w:space="0" w:color="auto"/>
        <w:right w:val="none" w:sz="0" w:space="0" w:color="auto"/>
      </w:divBdr>
      <w:divsChild>
        <w:div w:id="661741560">
          <w:marLeft w:val="0"/>
          <w:marRight w:val="0"/>
          <w:marTop w:val="0"/>
          <w:marBottom w:val="0"/>
          <w:divBdr>
            <w:top w:val="none" w:sz="0" w:space="0" w:color="auto"/>
            <w:left w:val="none" w:sz="0" w:space="0" w:color="auto"/>
            <w:bottom w:val="none" w:sz="0" w:space="0" w:color="auto"/>
            <w:right w:val="none" w:sz="0" w:space="0" w:color="auto"/>
          </w:divBdr>
        </w:div>
      </w:divsChild>
    </w:div>
    <w:div w:id="1177382036">
      <w:bodyDiv w:val="1"/>
      <w:marLeft w:val="0"/>
      <w:marRight w:val="0"/>
      <w:marTop w:val="0"/>
      <w:marBottom w:val="0"/>
      <w:divBdr>
        <w:top w:val="none" w:sz="0" w:space="0" w:color="auto"/>
        <w:left w:val="none" w:sz="0" w:space="0" w:color="auto"/>
        <w:bottom w:val="none" w:sz="0" w:space="0" w:color="auto"/>
        <w:right w:val="none" w:sz="0" w:space="0" w:color="auto"/>
      </w:divBdr>
    </w:div>
    <w:div w:id="1185904160">
      <w:bodyDiv w:val="1"/>
      <w:marLeft w:val="0"/>
      <w:marRight w:val="0"/>
      <w:marTop w:val="0"/>
      <w:marBottom w:val="0"/>
      <w:divBdr>
        <w:top w:val="none" w:sz="0" w:space="0" w:color="auto"/>
        <w:left w:val="none" w:sz="0" w:space="0" w:color="auto"/>
        <w:bottom w:val="none" w:sz="0" w:space="0" w:color="auto"/>
        <w:right w:val="none" w:sz="0" w:space="0" w:color="auto"/>
      </w:divBdr>
    </w:div>
    <w:div w:id="1187058902">
      <w:bodyDiv w:val="1"/>
      <w:marLeft w:val="0"/>
      <w:marRight w:val="0"/>
      <w:marTop w:val="0"/>
      <w:marBottom w:val="0"/>
      <w:divBdr>
        <w:top w:val="none" w:sz="0" w:space="0" w:color="auto"/>
        <w:left w:val="none" w:sz="0" w:space="0" w:color="auto"/>
        <w:bottom w:val="none" w:sz="0" w:space="0" w:color="auto"/>
        <w:right w:val="none" w:sz="0" w:space="0" w:color="auto"/>
      </w:divBdr>
    </w:div>
    <w:div w:id="1197624186">
      <w:bodyDiv w:val="1"/>
      <w:marLeft w:val="0"/>
      <w:marRight w:val="0"/>
      <w:marTop w:val="0"/>
      <w:marBottom w:val="0"/>
      <w:divBdr>
        <w:top w:val="none" w:sz="0" w:space="0" w:color="auto"/>
        <w:left w:val="none" w:sz="0" w:space="0" w:color="auto"/>
        <w:bottom w:val="none" w:sz="0" w:space="0" w:color="auto"/>
        <w:right w:val="none" w:sz="0" w:space="0" w:color="auto"/>
      </w:divBdr>
    </w:div>
    <w:div w:id="1217428312">
      <w:bodyDiv w:val="1"/>
      <w:marLeft w:val="0"/>
      <w:marRight w:val="0"/>
      <w:marTop w:val="0"/>
      <w:marBottom w:val="0"/>
      <w:divBdr>
        <w:top w:val="none" w:sz="0" w:space="0" w:color="auto"/>
        <w:left w:val="none" w:sz="0" w:space="0" w:color="auto"/>
        <w:bottom w:val="none" w:sz="0" w:space="0" w:color="auto"/>
        <w:right w:val="none" w:sz="0" w:space="0" w:color="auto"/>
      </w:divBdr>
      <w:divsChild>
        <w:div w:id="799500287">
          <w:marLeft w:val="0"/>
          <w:marRight w:val="0"/>
          <w:marTop w:val="0"/>
          <w:marBottom w:val="0"/>
          <w:divBdr>
            <w:top w:val="none" w:sz="0" w:space="0" w:color="auto"/>
            <w:left w:val="none" w:sz="0" w:space="0" w:color="auto"/>
            <w:bottom w:val="none" w:sz="0" w:space="0" w:color="auto"/>
            <w:right w:val="none" w:sz="0" w:space="0" w:color="auto"/>
          </w:divBdr>
        </w:div>
      </w:divsChild>
    </w:div>
    <w:div w:id="1236672569">
      <w:bodyDiv w:val="1"/>
      <w:marLeft w:val="0"/>
      <w:marRight w:val="0"/>
      <w:marTop w:val="0"/>
      <w:marBottom w:val="0"/>
      <w:divBdr>
        <w:top w:val="none" w:sz="0" w:space="0" w:color="auto"/>
        <w:left w:val="none" w:sz="0" w:space="0" w:color="auto"/>
        <w:bottom w:val="none" w:sz="0" w:space="0" w:color="auto"/>
        <w:right w:val="none" w:sz="0" w:space="0" w:color="auto"/>
      </w:divBdr>
    </w:div>
    <w:div w:id="1243639214">
      <w:bodyDiv w:val="1"/>
      <w:marLeft w:val="0"/>
      <w:marRight w:val="0"/>
      <w:marTop w:val="0"/>
      <w:marBottom w:val="0"/>
      <w:divBdr>
        <w:top w:val="none" w:sz="0" w:space="0" w:color="auto"/>
        <w:left w:val="none" w:sz="0" w:space="0" w:color="auto"/>
        <w:bottom w:val="none" w:sz="0" w:space="0" w:color="auto"/>
        <w:right w:val="none" w:sz="0" w:space="0" w:color="auto"/>
      </w:divBdr>
    </w:div>
    <w:div w:id="1245841291">
      <w:bodyDiv w:val="1"/>
      <w:marLeft w:val="0"/>
      <w:marRight w:val="0"/>
      <w:marTop w:val="0"/>
      <w:marBottom w:val="0"/>
      <w:divBdr>
        <w:top w:val="none" w:sz="0" w:space="0" w:color="auto"/>
        <w:left w:val="none" w:sz="0" w:space="0" w:color="auto"/>
        <w:bottom w:val="none" w:sz="0" w:space="0" w:color="auto"/>
        <w:right w:val="none" w:sz="0" w:space="0" w:color="auto"/>
      </w:divBdr>
    </w:div>
    <w:div w:id="1246571994">
      <w:bodyDiv w:val="1"/>
      <w:marLeft w:val="0"/>
      <w:marRight w:val="0"/>
      <w:marTop w:val="0"/>
      <w:marBottom w:val="0"/>
      <w:divBdr>
        <w:top w:val="none" w:sz="0" w:space="0" w:color="auto"/>
        <w:left w:val="none" w:sz="0" w:space="0" w:color="auto"/>
        <w:bottom w:val="none" w:sz="0" w:space="0" w:color="auto"/>
        <w:right w:val="none" w:sz="0" w:space="0" w:color="auto"/>
      </w:divBdr>
    </w:div>
    <w:div w:id="1259370287">
      <w:bodyDiv w:val="1"/>
      <w:marLeft w:val="0"/>
      <w:marRight w:val="0"/>
      <w:marTop w:val="0"/>
      <w:marBottom w:val="0"/>
      <w:divBdr>
        <w:top w:val="none" w:sz="0" w:space="0" w:color="auto"/>
        <w:left w:val="none" w:sz="0" w:space="0" w:color="auto"/>
        <w:bottom w:val="none" w:sz="0" w:space="0" w:color="auto"/>
        <w:right w:val="none" w:sz="0" w:space="0" w:color="auto"/>
      </w:divBdr>
    </w:div>
    <w:div w:id="1276059284">
      <w:bodyDiv w:val="1"/>
      <w:marLeft w:val="0"/>
      <w:marRight w:val="0"/>
      <w:marTop w:val="0"/>
      <w:marBottom w:val="0"/>
      <w:divBdr>
        <w:top w:val="none" w:sz="0" w:space="0" w:color="auto"/>
        <w:left w:val="none" w:sz="0" w:space="0" w:color="auto"/>
        <w:bottom w:val="none" w:sz="0" w:space="0" w:color="auto"/>
        <w:right w:val="none" w:sz="0" w:space="0" w:color="auto"/>
      </w:divBdr>
    </w:div>
    <w:div w:id="1278831634">
      <w:bodyDiv w:val="1"/>
      <w:marLeft w:val="0"/>
      <w:marRight w:val="0"/>
      <w:marTop w:val="0"/>
      <w:marBottom w:val="0"/>
      <w:divBdr>
        <w:top w:val="none" w:sz="0" w:space="0" w:color="auto"/>
        <w:left w:val="none" w:sz="0" w:space="0" w:color="auto"/>
        <w:bottom w:val="none" w:sz="0" w:space="0" w:color="auto"/>
        <w:right w:val="none" w:sz="0" w:space="0" w:color="auto"/>
      </w:divBdr>
    </w:div>
    <w:div w:id="1295255188">
      <w:bodyDiv w:val="1"/>
      <w:marLeft w:val="0"/>
      <w:marRight w:val="0"/>
      <w:marTop w:val="0"/>
      <w:marBottom w:val="0"/>
      <w:divBdr>
        <w:top w:val="none" w:sz="0" w:space="0" w:color="auto"/>
        <w:left w:val="none" w:sz="0" w:space="0" w:color="auto"/>
        <w:bottom w:val="none" w:sz="0" w:space="0" w:color="auto"/>
        <w:right w:val="none" w:sz="0" w:space="0" w:color="auto"/>
      </w:divBdr>
    </w:div>
    <w:div w:id="1314022166">
      <w:bodyDiv w:val="1"/>
      <w:marLeft w:val="0"/>
      <w:marRight w:val="0"/>
      <w:marTop w:val="0"/>
      <w:marBottom w:val="0"/>
      <w:divBdr>
        <w:top w:val="none" w:sz="0" w:space="0" w:color="auto"/>
        <w:left w:val="none" w:sz="0" w:space="0" w:color="auto"/>
        <w:bottom w:val="none" w:sz="0" w:space="0" w:color="auto"/>
        <w:right w:val="none" w:sz="0" w:space="0" w:color="auto"/>
      </w:divBdr>
      <w:divsChild>
        <w:div w:id="1410271028">
          <w:marLeft w:val="0"/>
          <w:marRight w:val="0"/>
          <w:marTop w:val="0"/>
          <w:marBottom w:val="0"/>
          <w:divBdr>
            <w:top w:val="none" w:sz="0" w:space="0" w:color="auto"/>
            <w:left w:val="none" w:sz="0" w:space="0" w:color="auto"/>
            <w:bottom w:val="none" w:sz="0" w:space="0" w:color="auto"/>
            <w:right w:val="none" w:sz="0" w:space="0" w:color="auto"/>
          </w:divBdr>
          <w:divsChild>
            <w:div w:id="1665282247">
              <w:marLeft w:val="0"/>
              <w:marRight w:val="0"/>
              <w:marTop w:val="0"/>
              <w:marBottom w:val="0"/>
              <w:divBdr>
                <w:top w:val="none" w:sz="0" w:space="0" w:color="auto"/>
                <w:left w:val="none" w:sz="0" w:space="0" w:color="auto"/>
                <w:bottom w:val="none" w:sz="0" w:space="0" w:color="auto"/>
                <w:right w:val="none" w:sz="0" w:space="0" w:color="auto"/>
              </w:divBdr>
              <w:divsChild>
                <w:div w:id="1487210165">
                  <w:marLeft w:val="0"/>
                  <w:marRight w:val="0"/>
                  <w:marTop w:val="0"/>
                  <w:marBottom w:val="0"/>
                  <w:divBdr>
                    <w:top w:val="none" w:sz="0" w:space="0" w:color="auto"/>
                    <w:left w:val="none" w:sz="0" w:space="0" w:color="auto"/>
                    <w:bottom w:val="none" w:sz="0" w:space="0" w:color="auto"/>
                    <w:right w:val="none" w:sz="0" w:space="0" w:color="auto"/>
                  </w:divBdr>
                  <w:divsChild>
                    <w:div w:id="1356079138">
                      <w:marLeft w:val="0"/>
                      <w:marRight w:val="0"/>
                      <w:marTop w:val="0"/>
                      <w:marBottom w:val="0"/>
                      <w:divBdr>
                        <w:top w:val="none" w:sz="0" w:space="0" w:color="auto"/>
                        <w:left w:val="none" w:sz="0" w:space="0" w:color="auto"/>
                        <w:bottom w:val="none" w:sz="0" w:space="0" w:color="auto"/>
                        <w:right w:val="none" w:sz="0" w:space="0" w:color="auto"/>
                      </w:divBdr>
                      <w:divsChild>
                        <w:div w:id="80812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855538">
      <w:bodyDiv w:val="1"/>
      <w:marLeft w:val="0"/>
      <w:marRight w:val="0"/>
      <w:marTop w:val="0"/>
      <w:marBottom w:val="0"/>
      <w:divBdr>
        <w:top w:val="none" w:sz="0" w:space="0" w:color="auto"/>
        <w:left w:val="none" w:sz="0" w:space="0" w:color="auto"/>
        <w:bottom w:val="none" w:sz="0" w:space="0" w:color="auto"/>
        <w:right w:val="none" w:sz="0" w:space="0" w:color="auto"/>
      </w:divBdr>
    </w:div>
    <w:div w:id="1404836200">
      <w:bodyDiv w:val="1"/>
      <w:marLeft w:val="0"/>
      <w:marRight w:val="0"/>
      <w:marTop w:val="0"/>
      <w:marBottom w:val="0"/>
      <w:divBdr>
        <w:top w:val="none" w:sz="0" w:space="0" w:color="auto"/>
        <w:left w:val="none" w:sz="0" w:space="0" w:color="auto"/>
        <w:bottom w:val="none" w:sz="0" w:space="0" w:color="auto"/>
        <w:right w:val="none" w:sz="0" w:space="0" w:color="auto"/>
      </w:divBdr>
    </w:div>
    <w:div w:id="1419248871">
      <w:bodyDiv w:val="1"/>
      <w:marLeft w:val="0"/>
      <w:marRight w:val="0"/>
      <w:marTop w:val="0"/>
      <w:marBottom w:val="0"/>
      <w:divBdr>
        <w:top w:val="none" w:sz="0" w:space="0" w:color="auto"/>
        <w:left w:val="none" w:sz="0" w:space="0" w:color="auto"/>
        <w:bottom w:val="none" w:sz="0" w:space="0" w:color="auto"/>
        <w:right w:val="none" w:sz="0" w:space="0" w:color="auto"/>
      </w:divBdr>
    </w:div>
    <w:div w:id="1422990540">
      <w:bodyDiv w:val="1"/>
      <w:marLeft w:val="0"/>
      <w:marRight w:val="0"/>
      <w:marTop w:val="0"/>
      <w:marBottom w:val="0"/>
      <w:divBdr>
        <w:top w:val="none" w:sz="0" w:space="0" w:color="auto"/>
        <w:left w:val="none" w:sz="0" w:space="0" w:color="auto"/>
        <w:bottom w:val="none" w:sz="0" w:space="0" w:color="auto"/>
        <w:right w:val="none" w:sz="0" w:space="0" w:color="auto"/>
      </w:divBdr>
    </w:div>
    <w:div w:id="1432319749">
      <w:bodyDiv w:val="1"/>
      <w:marLeft w:val="0"/>
      <w:marRight w:val="0"/>
      <w:marTop w:val="0"/>
      <w:marBottom w:val="0"/>
      <w:divBdr>
        <w:top w:val="none" w:sz="0" w:space="0" w:color="auto"/>
        <w:left w:val="none" w:sz="0" w:space="0" w:color="auto"/>
        <w:bottom w:val="none" w:sz="0" w:space="0" w:color="auto"/>
        <w:right w:val="none" w:sz="0" w:space="0" w:color="auto"/>
      </w:divBdr>
    </w:div>
    <w:div w:id="1437367200">
      <w:bodyDiv w:val="1"/>
      <w:marLeft w:val="0"/>
      <w:marRight w:val="0"/>
      <w:marTop w:val="0"/>
      <w:marBottom w:val="0"/>
      <w:divBdr>
        <w:top w:val="none" w:sz="0" w:space="0" w:color="auto"/>
        <w:left w:val="none" w:sz="0" w:space="0" w:color="auto"/>
        <w:bottom w:val="none" w:sz="0" w:space="0" w:color="auto"/>
        <w:right w:val="none" w:sz="0" w:space="0" w:color="auto"/>
      </w:divBdr>
    </w:div>
    <w:div w:id="1463157434">
      <w:bodyDiv w:val="1"/>
      <w:marLeft w:val="0"/>
      <w:marRight w:val="0"/>
      <w:marTop w:val="0"/>
      <w:marBottom w:val="0"/>
      <w:divBdr>
        <w:top w:val="none" w:sz="0" w:space="0" w:color="auto"/>
        <w:left w:val="none" w:sz="0" w:space="0" w:color="auto"/>
        <w:bottom w:val="none" w:sz="0" w:space="0" w:color="auto"/>
        <w:right w:val="none" w:sz="0" w:space="0" w:color="auto"/>
      </w:divBdr>
    </w:div>
    <w:div w:id="1471358866">
      <w:bodyDiv w:val="1"/>
      <w:marLeft w:val="0"/>
      <w:marRight w:val="0"/>
      <w:marTop w:val="0"/>
      <w:marBottom w:val="0"/>
      <w:divBdr>
        <w:top w:val="none" w:sz="0" w:space="0" w:color="auto"/>
        <w:left w:val="none" w:sz="0" w:space="0" w:color="auto"/>
        <w:bottom w:val="none" w:sz="0" w:space="0" w:color="auto"/>
        <w:right w:val="none" w:sz="0" w:space="0" w:color="auto"/>
      </w:divBdr>
    </w:div>
    <w:div w:id="1471626910">
      <w:bodyDiv w:val="1"/>
      <w:marLeft w:val="0"/>
      <w:marRight w:val="0"/>
      <w:marTop w:val="0"/>
      <w:marBottom w:val="0"/>
      <w:divBdr>
        <w:top w:val="none" w:sz="0" w:space="0" w:color="auto"/>
        <w:left w:val="none" w:sz="0" w:space="0" w:color="auto"/>
        <w:bottom w:val="none" w:sz="0" w:space="0" w:color="auto"/>
        <w:right w:val="none" w:sz="0" w:space="0" w:color="auto"/>
      </w:divBdr>
    </w:div>
    <w:div w:id="1475485907">
      <w:bodyDiv w:val="1"/>
      <w:marLeft w:val="0"/>
      <w:marRight w:val="0"/>
      <w:marTop w:val="0"/>
      <w:marBottom w:val="0"/>
      <w:divBdr>
        <w:top w:val="none" w:sz="0" w:space="0" w:color="auto"/>
        <w:left w:val="none" w:sz="0" w:space="0" w:color="auto"/>
        <w:bottom w:val="none" w:sz="0" w:space="0" w:color="auto"/>
        <w:right w:val="none" w:sz="0" w:space="0" w:color="auto"/>
      </w:divBdr>
    </w:div>
    <w:div w:id="1507481012">
      <w:bodyDiv w:val="1"/>
      <w:marLeft w:val="0"/>
      <w:marRight w:val="0"/>
      <w:marTop w:val="0"/>
      <w:marBottom w:val="0"/>
      <w:divBdr>
        <w:top w:val="none" w:sz="0" w:space="0" w:color="auto"/>
        <w:left w:val="none" w:sz="0" w:space="0" w:color="auto"/>
        <w:bottom w:val="none" w:sz="0" w:space="0" w:color="auto"/>
        <w:right w:val="none" w:sz="0" w:space="0" w:color="auto"/>
      </w:divBdr>
    </w:div>
    <w:div w:id="1529027536">
      <w:bodyDiv w:val="1"/>
      <w:marLeft w:val="0"/>
      <w:marRight w:val="0"/>
      <w:marTop w:val="0"/>
      <w:marBottom w:val="0"/>
      <w:divBdr>
        <w:top w:val="none" w:sz="0" w:space="0" w:color="auto"/>
        <w:left w:val="none" w:sz="0" w:space="0" w:color="auto"/>
        <w:bottom w:val="none" w:sz="0" w:space="0" w:color="auto"/>
        <w:right w:val="none" w:sz="0" w:space="0" w:color="auto"/>
      </w:divBdr>
    </w:div>
    <w:div w:id="1529563526">
      <w:bodyDiv w:val="1"/>
      <w:marLeft w:val="0"/>
      <w:marRight w:val="0"/>
      <w:marTop w:val="0"/>
      <w:marBottom w:val="0"/>
      <w:divBdr>
        <w:top w:val="none" w:sz="0" w:space="0" w:color="auto"/>
        <w:left w:val="none" w:sz="0" w:space="0" w:color="auto"/>
        <w:bottom w:val="none" w:sz="0" w:space="0" w:color="auto"/>
        <w:right w:val="none" w:sz="0" w:space="0" w:color="auto"/>
      </w:divBdr>
    </w:div>
    <w:div w:id="1538853160">
      <w:bodyDiv w:val="1"/>
      <w:marLeft w:val="0"/>
      <w:marRight w:val="0"/>
      <w:marTop w:val="0"/>
      <w:marBottom w:val="0"/>
      <w:divBdr>
        <w:top w:val="none" w:sz="0" w:space="0" w:color="auto"/>
        <w:left w:val="none" w:sz="0" w:space="0" w:color="auto"/>
        <w:bottom w:val="none" w:sz="0" w:space="0" w:color="auto"/>
        <w:right w:val="none" w:sz="0" w:space="0" w:color="auto"/>
      </w:divBdr>
    </w:div>
    <w:div w:id="1545095130">
      <w:bodyDiv w:val="1"/>
      <w:marLeft w:val="0"/>
      <w:marRight w:val="0"/>
      <w:marTop w:val="0"/>
      <w:marBottom w:val="0"/>
      <w:divBdr>
        <w:top w:val="none" w:sz="0" w:space="0" w:color="auto"/>
        <w:left w:val="none" w:sz="0" w:space="0" w:color="auto"/>
        <w:bottom w:val="none" w:sz="0" w:space="0" w:color="auto"/>
        <w:right w:val="none" w:sz="0" w:space="0" w:color="auto"/>
      </w:divBdr>
    </w:div>
    <w:div w:id="1555040393">
      <w:bodyDiv w:val="1"/>
      <w:marLeft w:val="0"/>
      <w:marRight w:val="0"/>
      <w:marTop w:val="0"/>
      <w:marBottom w:val="0"/>
      <w:divBdr>
        <w:top w:val="none" w:sz="0" w:space="0" w:color="auto"/>
        <w:left w:val="none" w:sz="0" w:space="0" w:color="auto"/>
        <w:bottom w:val="none" w:sz="0" w:space="0" w:color="auto"/>
        <w:right w:val="none" w:sz="0" w:space="0" w:color="auto"/>
      </w:divBdr>
    </w:div>
    <w:div w:id="1569728702">
      <w:bodyDiv w:val="1"/>
      <w:marLeft w:val="0"/>
      <w:marRight w:val="0"/>
      <w:marTop w:val="0"/>
      <w:marBottom w:val="0"/>
      <w:divBdr>
        <w:top w:val="none" w:sz="0" w:space="0" w:color="auto"/>
        <w:left w:val="none" w:sz="0" w:space="0" w:color="auto"/>
        <w:bottom w:val="none" w:sz="0" w:space="0" w:color="auto"/>
        <w:right w:val="none" w:sz="0" w:space="0" w:color="auto"/>
      </w:divBdr>
    </w:div>
    <w:div w:id="1582595096">
      <w:bodyDiv w:val="1"/>
      <w:marLeft w:val="0"/>
      <w:marRight w:val="0"/>
      <w:marTop w:val="0"/>
      <w:marBottom w:val="0"/>
      <w:divBdr>
        <w:top w:val="none" w:sz="0" w:space="0" w:color="auto"/>
        <w:left w:val="none" w:sz="0" w:space="0" w:color="auto"/>
        <w:bottom w:val="none" w:sz="0" w:space="0" w:color="auto"/>
        <w:right w:val="none" w:sz="0" w:space="0" w:color="auto"/>
      </w:divBdr>
    </w:div>
    <w:div w:id="1589389259">
      <w:bodyDiv w:val="1"/>
      <w:marLeft w:val="0"/>
      <w:marRight w:val="0"/>
      <w:marTop w:val="0"/>
      <w:marBottom w:val="0"/>
      <w:divBdr>
        <w:top w:val="none" w:sz="0" w:space="0" w:color="auto"/>
        <w:left w:val="none" w:sz="0" w:space="0" w:color="auto"/>
        <w:bottom w:val="none" w:sz="0" w:space="0" w:color="auto"/>
        <w:right w:val="none" w:sz="0" w:space="0" w:color="auto"/>
      </w:divBdr>
    </w:div>
    <w:div w:id="1609969047">
      <w:bodyDiv w:val="1"/>
      <w:marLeft w:val="0"/>
      <w:marRight w:val="0"/>
      <w:marTop w:val="0"/>
      <w:marBottom w:val="0"/>
      <w:divBdr>
        <w:top w:val="none" w:sz="0" w:space="0" w:color="auto"/>
        <w:left w:val="none" w:sz="0" w:space="0" w:color="auto"/>
        <w:bottom w:val="none" w:sz="0" w:space="0" w:color="auto"/>
        <w:right w:val="none" w:sz="0" w:space="0" w:color="auto"/>
      </w:divBdr>
    </w:div>
    <w:div w:id="1622878791">
      <w:bodyDiv w:val="1"/>
      <w:marLeft w:val="0"/>
      <w:marRight w:val="0"/>
      <w:marTop w:val="0"/>
      <w:marBottom w:val="0"/>
      <w:divBdr>
        <w:top w:val="none" w:sz="0" w:space="0" w:color="auto"/>
        <w:left w:val="none" w:sz="0" w:space="0" w:color="auto"/>
        <w:bottom w:val="none" w:sz="0" w:space="0" w:color="auto"/>
        <w:right w:val="none" w:sz="0" w:space="0" w:color="auto"/>
      </w:divBdr>
    </w:div>
    <w:div w:id="1650550664">
      <w:bodyDiv w:val="1"/>
      <w:marLeft w:val="0"/>
      <w:marRight w:val="0"/>
      <w:marTop w:val="0"/>
      <w:marBottom w:val="0"/>
      <w:divBdr>
        <w:top w:val="none" w:sz="0" w:space="0" w:color="auto"/>
        <w:left w:val="none" w:sz="0" w:space="0" w:color="auto"/>
        <w:bottom w:val="none" w:sz="0" w:space="0" w:color="auto"/>
        <w:right w:val="none" w:sz="0" w:space="0" w:color="auto"/>
      </w:divBdr>
    </w:div>
    <w:div w:id="1653295955">
      <w:bodyDiv w:val="1"/>
      <w:marLeft w:val="0"/>
      <w:marRight w:val="0"/>
      <w:marTop w:val="0"/>
      <w:marBottom w:val="0"/>
      <w:divBdr>
        <w:top w:val="none" w:sz="0" w:space="0" w:color="auto"/>
        <w:left w:val="none" w:sz="0" w:space="0" w:color="auto"/>
        <w:bottom w:val="none" w:sz="0" w:space="0" w:color="auto"/>
        <w:right w:val="none" w:sz="0" w:space="0" w:color="auto"/>
      </w:divBdr>
      <w:divsChild>
        <w:div w:id="1393039000">
          <w:marLeft w:val="0"/>
          <w:marRight w:val="0"/>
          <w:marTop w:val="0"/>
          <w:marBottom w:val="0"/>
          <w:divBdr>
            <w:top w:val="none" w:sz="0" w:space="0" w:color="auto"/>
            <w:left w:val="none" w:sz="0" w:space="0" w:color="auto"/>
            <w:bottom w:val="none" w:sz="0" w:space="0" w:color="auto"/>
            <w:right w:val="none" w:sz="0" w:space="0" w:color="auto"/>
          </w:divBdr>
          <w:divsChild>
            <w:div w:id="1043142586">
              <w:marLeft w:val="0"/>
              <w:marRight w:val="0"/>
              <w:marTop w:val="0"/>
              <w:marBottom w:val="0"/>
              <w:divBdr>
                <w:top w:val="none" w:sz="0" w:space="0" w:color="auto"/>
                <w:left w:val="none" w:sz="0" w:space="0" w:color="auto"/>
                <w:bottom w:val="none" w:sz="0" w:space="0" w:color="auto"/>
                <w:right w:val="none" w:sz="0" w:space="0" w:color="auto"/>
              </w:divBdr>
              <w:divsChild>
                <w:div w:id="299459829">
                  <w:marLeft w:val="0"/>
                  <w:marRight w:val="0"/>
                  <w:marTop w:val="0"/>
                  <w:marBottom w:val="0"/>
                  <w:divBdr>
                    <w:top w:val="none" w:sz="0" w:space="0" w:color="auto"/>
                    <w:left w:val="none" w:sz="0" w:space="0" w:color="auto"/>
                    <w:bottom w:val="none" w:sz="0" w:space="0" w:color="auto"/>
                    <w:right w:val="none" w:sz="0" w:space="0" w:color="auto"/>
                  </w:divBdr>
                  <w:divsChild>
                    <w:div w:id="353851445">
                      <w:marLeft w:val="0"/>
                      <w:marRight w:val="0"/>
                      <w:marTop w:val="0"/>
                      <w:marBottom w:val="0"/>
                      <w:divBdr>
                        <w:top w:val="none" w:sz="0" w:space="0" w:color="auto"/>
                        <w:left w:val="none" w:sz="0" w:space="0" w:color="auto"/>
                        <w:bottom w:val="none" w:sz="0" w:space="0" w:color="auto"/>
                        <w:right w:val="none" w:sz="0" w:space="0" w:color="auto"/>
                      </w:divBdr>
                      <w:divsChild>
                        <w:div w:id="39277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730235">
      <w:bodyDiv w:val="1"/>
      <w:marLeft w:val="0"/>
      <w:marRight w:val="0"/>
      <w:marTop w:val="0"/>
      <w:marBottom w:val="0"/>
      <w:divBdr>
        <w:top w:val="none" w:sz="0" w:space="0" w:color="auto"/>
        <w:left w:val="none" w:sz="0" w:space="0" w:color="auto"/>
        <w:bottom w:val="none" w:sz="0" w:space="0" w:color="auto"/>
        <w:right w:val="none" w:sz="0" w:space="0" w:color="auto"/>
      </w:divBdr>
    </w:div>
    <w:div w:id="1668482955">
      <w:bodyDiv w:val="1"/>
      <w:marLeft w:val="0"/>
      <w:marRight w:val="0"/>
      <w:marTop w:val="0"/>
      <w:marBottom w:val="0"/>
      <w:divBdr>
        <w:top w:val="none" w:sz="0" w:space="0" w:color="auto"/>
        <w:left w:val="none" w:sz="0" w:space="0" w:color="auto"/>
        <w:bottom w:val="none" w:sz="0" w:space="0" w:color="auto"/>
        <w:right w:val="none" w:sz="0" w:space="0" w:color="auto"/>
      </w:divBdr>
    </w:div>
    <w:div w:id="1669015035">
      <w:bodyDiv w:val="1"/>
      <w:marLeft w:val="0"/>
      <w:marRight w:val="0"/>
      <w:marTop w:val="0"/>
      <w:marBottom w:val="0"/>
      <w:divBdr>
        <w:top w:val="none" w:sz="0" w:space="0" w:color="auto"/>
        <w:left w:val="none" w:sz="0" w:space="0" w:color="auto"/>
        <w:bottom w:val="none" w:sz="0" w:space="0" w:color="auto"/>
        <w:right w:val="none" w:sz="0" w:space="0" w:color="auto"/>
      </w:divBdr>
    </w:div>
    <w:div w:id="1683437238">
      <w:bodyDiv w:val="1"/>
      <w:marLeft w:val="0"/>
      <w:marRight w:val="0"/>
      <w:marTop w:val="0"/>
      <w:marBottom w:val="0"/>
      <w:divBdr>
        <w:top w:val="none" w:sz="0" w:space="0" w:color="auto"/>
        <w:left w:val="none" w:sz="0" w:space="0" w:color="auto"/>
        <w:bottom w:val="none" w:sz="0" w:space="0" w:color="auto"/>
        <w:right w:val="none" w:sz="0" w:space="0" w:color="auto"/>
      </w:divBdr>
    </w:div>
    <w:div w:id="1698654843">
      <w:bodyDiv w:val="1"/>
      <w:marLeft w:val="0"/>
      <w:marRight w:val="0"/>
      <w:marTop w:val="0"/>
      <w:marBottom w:val="0"/>
      <w:divBdr>
        <w:top w:val="none" w:sz="0" w:space="0" w:color="auto"/>
        <w:left w:val="none" w:sz="0" w:space="0" w:color="auto"/>
        <w:bottom w:val="none" w:sz="0" w:space="0" w:color="auto"/>
        <w:right w:val="none" w:sz="0" w:space="0" w:color="auto"/>
      </w:divBdr>
    </w:div>
    <w:div w:id="1716544643">
      <w:bodyDiv w:val="1"/>
      <w:marLeft w:val="0"/>
      <w:marRight w:val="0"/>
      <w:marTop w:val="0"/>
      <w:marBottom w:val="0"/>
      <w:divBdr>
        <w:top w:val="none" w:sz="0" w:space="0" w:color="auto"/>
        <w:left w:val="none" w:sz="0" w:space="0" w:color="auto"/>
        <w:bottom w:val="none" w:sz="0" w:space="0" w:color="auto"/>
        <w:right w:val="none" w:sz="0" w:space="0" w:color="auto"/>
      </w:divBdr>
    </w:div>
    <w:div w:id="1749618860">
      <w:bodyDiv w:val="1"/>
      <w:marLeft w:val="0"/>
      <w:marRight w:val="0"/>
      <w:marTop w:val="0"/>
      <w:marBottom w:val="0"/>
      <w:divBdr>
        <w:top w:val="none" w:sz="0" w:space="0" w:color="auto"/>
        <w:left w:val="none" w:sz="0" w:space="0" w:color="auto"/>
        <w:bottom w:val="none" w:sz="0" w:space="0" w:color="auto"/>
        <w:right w:val="none" w:sz="0" w:space="0" w:color="auto"/>
      </w:divBdr>
    </w:div>
    <w:div w:id="1756199274">
      <w:bodyDiv w:val="1"/>
      <w:marLeft w:val="0"/>
      <w:marRight w:val="0"/>
      <w:marTop w:val="0"/>
      <w:marBottom w:val="0"/>
      <w:divBdr>
        <w:top w:val="none" w:sz="0" w:space="0" w:color="auto"/>
        <w:left w:val="none" w:sz="0" w:space="0" w:color="auto"/>
        <w:bottom w:val="none" w:sz="0" w:space="0" w:color="auto"/>
        <w:right w:val="none" w:sz="0" w:space="0" w:color="auto"/>
      </w:divBdr>
      <w:divsChild>
        <w:div w:id="150409703">
          <w:marLeft w:val="0"/>
          <w:marRight w:val="0"/>
          <w:marTop w:val="0"/>
          <w:marBottom w:val="0"/>
          <w:divBdr>
            <w:top w:val="none" w:sz="0" w:space="0" w:color="auto"/>
            <w:left w:val="none" w:sz="0" w:space="0" w:color="auto"/>
            <w:bottom w:val="none" w:sz="0" w:space="0" w:color="auto"/>
            <w:right w:val="none" w:sz="0" w:space="0" w:color="auto"/>
          </w:divBdr>
        </w:div>
      </w:divsChild>
    </w:div>
    <w:div w:id="1770077216">
      <w:bodyDiv w:val="1"/>
      <w:marLeft w:val="0"/>
      <w:marRight w:val="0"/>
      <w:marTop w:val="0"/>
      <w:marBottom w:val="0"/>
      <w:divBdr>
        <w:top w:val="none" w:sz="0" w:space="0" w:color="auto"/>
        <w:left w:val="none" w:sz="0" w:space="0" w:color="auto"/>
        <w:bottom w:val="none" w:sz="0" w:space="0" w:color="auto"/>
        <w:right w:val="none" w:sz="0" w:space="0" w:color="auto"/>
      </w:divBdr>
    </w:div>
    <w:div w:id="1781677999">
      <w:bodyDiv w:val="1"/>
      <w:marLeft w:val="0"/>
      <w:marRight w:val="0"/>
      <w:marTop w:val="0"/>
      <w:marBottom w:val="0"/>
      <w:divBdr>
        <w:top w:val="none" w:sz="0" w:space="0" w:color="auto"/>
        <w:left w:val="none" w:sz="0" w:space="0" w:color="auto"/>
        <w:bottom w:val="none" w:sz="0" w:space="0" w:color="auto"/>
        <w:right w:val="none" w:sz="0" w:space="0" w:color="auto"/>
      </w:divBdr>
    </w:div>
    <w:div w:id="1804813225">
      <w:bodyDiv w:val="1"/>
      <w:marLeft w:val="0"/>
      <w:marRight w:val="0"/>
      <w:marTop w:val="0"/>
      <w:marBottom w:val="0"/>
      <w:divBdr>
        <w:top w:val="none" w:sz="0" w:space="0" w:color="auto"/>
        <w:left w:val="none" w:sz="0" w:space="0" w:color="auto"/>
        <w:bottom w:val="none" w:sz="0" w:space="0" w:color="auto"/>
        <w:right w:val="none" w:sz="0" w:space="0" w:color="auto"/>
      </w:divBdr>
    </w:div>
    <w:div w:id="1816530827">
      <w:bodyDiv w:val="1"/>
      <w:marLeft w:val="0"/>
      <w:marRight w:val="0"/>
      <w:marTop w:val="0"/>
      <w:marBottom w:val="0"/>
      <w:divBdr>
        <w:top w:val="none" w:sz="0" w:space="0" w:color="auto"/>
        <w:left w:val="none" w:sz="0" w:space="0" w:color="auto"/>
        <w:bottom w:val="none" w:sz="0" w:space="0" w:color="auto"/>
        <w:right w:val="none" w:sz="0" w:space="0" w:color="auto"/>
      </w:divBdr>
    </w:div>
    <w:div w:id="1820609650">
      <w:bodyDiv w:val="1"/>
      <w:marLeft w:val="0"/>
      <w:marRight w:val="0"/>
      <w:marTop w:val="0"/>
      <w:marBottom w:val="0"/>
      <w:divBdr>
        <w:top w:val="none" w:sz="0" w:space="0" w:color="auto"/>
        <w:left w:val="none" w:sz="0" w:space="0" w:color="auto"/>
        <w:bottom w:val="none" w:sz="0" w:space="0" w:color="auto"/>
        <w:right w:val="none" w:sz="0" w:space="0" w:color="auto"/>
      </w:divBdr>
    </w:div>
    <w:div w:id="1827894724">
      <w:bodyDiv w:val="1"/>
      <w:marLeft w:val="0"/>
      <w:marRight w:val="0"/>
      <w:marTop w:val="0"/>
      <w:marBottom w:val="0"/>
      <w:divBdr>
        <w:top w:val="none" w:sz="0" w:space="0" w:color="auto"/>
        <w:left w:val="none" w:sz="0" w:space="0" w:color="auto"/>
        <w:bottom w:val="none" w:sz="0" w:space="0" w:color="auto"/>
        <w:right w:val="none" w:sz="0" w:space="0" w:color="auto"/>
      </w:divBdr>
    </w:div>
    <w:div w:id="1834947068">
      <w:bodyDiv w:val="1"/>
      <w:marLeft w:val="0"/>
      <w:marRight w:val="0"/>
      <w:marTop w:val="0"/>
      <w:marBottom w:val="0"/>
      <w:divBdr>
        <w:top w:val="none" w:sz="0" w:space="0" w:color="auto"/>
        <w:left w:val="none" w:sz="0" w:space="0" w:color="auto"/>
        <w:bottom w:val="none" w:sz="0" w:space="0" w:color="auto"/>
        <w:right w:val="none" w:sz="0" w:space="0" w:color="auto"/>
      </w:divBdr>
    </w:div>
    <w:div w:id="1842887761">
      <w:bodyDiv w:val="1"/>
      <w:marLeft w:val="0"/>
      <w:marRight w:val="0"/>
      <w:marTop w:val="0"/>
      <w:marBottom w:val="0"/>
      <w:divBdr>
        <w:top w:val="none" w:sz="0" w:space="0" w:color="auto"/>
        <w:left w:val="none" w:sz="0" w:space="0" w:color="auto"/>
        <w:bottom w:val="none" w:sz="0" w:space="0" w:color="auto"/>
        <w:right w:val="none" w:sz="0" w:space="0" w:color="auto"/>
      </w:divBdr>
    </w:div>
    <w:div w:id="1845706585">
      <w:bodyDiv w:val="1"/>
      <w:marLeft w:val="0"/>
      <w:marRight w:val="0"/>
      <w:marTop w:val="0"/>
      <w:marBottom w:val="0"/>
      <w:divBdr>
        <w:top w:val="none" w:sz="0" w:space="0" w:color="auto"/>
        <w:left w:val="none" w:sz="0" w:space="0" w:color="auto"/>
        <w:bottom w:val="none" w:sz="0" w:space="0" w:color="auto"/>
        <w:right w:val="none" w:sz="0" w:space="0" w:color="auto"/>
      </w:divBdr>
    </w:div>
    <w:div w:id="1862159031">
      <w:bodyDiv w:val="1"/>
      <w:marLeft w:val="0"/>
      <w:marRight w:val="0"/>
      <w:marTop w:val="0"/>
      <w:marBottom w:val="0"/>
      <w:divBdr>
        <w:top w:val="none" w:sz="0" w:space="0" w:color="auto"/>
        <w:left w:val="none" w:sz="0" w:space="0" w:color="auto"/>
        <w:bottom w:val="none" w:sz="0" w:space="0" w:color="auto"/>
        <w:right w:val="none" w:sz="0" w:space="0" w:color="auto"/>
      </w:divBdr>
    </w:div>
    <w:div w:id="1874271357">
      <w:bodyDiv w:val="1"/>
      <w:marLeft w:val="0"/>
      <w:marRight w:val="0"/>
      <w:marTop w:val="0"/>
      <w:marBottom w:val="0"/>
      <w:divBdr>
        <w:top w:val="none" w:sz="0" w:space="0" w:color="auto"/>
        <w:left w:val="none" w:sz="0" w:space="0" w:color="auto"/>
        <w:bottom w:val="none" w:sz="0" w:space="0" w:color="auto"/>
        <w:right w:val="none" w:sz="0" w:space="0" w:color="auto"/>
      </w:divBdr>
    </w:div>
    <w:div w:id="1915121893">
      <w:bodyDiv w:val="1"/>
      <w:marLeft w:val="0"/>
      <w:marRight w:val="0"/>
      <w:marTop w:val="0"/>
      <w:marBottom w:val="0"/>
      <w:divBdr>
        <w:top w:val="none" w:sz="0" w:space="0" w:color="auto"/>
        <w:left w:val="none" w:sz="0" w:space="0" w:color="auto"/>
        <w:bottom w:val="none" w:sz="0" w:space="0" w:color="auto"/>
        <w:right w:val="none" w:sz="0" w:space="0" w:color="auto"/>
      </w:divBdr>
    </w:div>
    <w:div w:id="1941600770">
      <w:bodyDiv w:val="1"/>
      <w:marLeft w:val="0"/>
      <w:marRight w:val="0"/>
      <w:marTop w:val="0"/>
      <w:marBottom w:val="0"/>
      <w:divBdr>
        <w:top w:val="none" w:sz="0" w:space="0" w:color="auto"/>
        <w:left w:val="none" w:sz="0" w:space="0" w:color="auto"/>
        <w:bottom w:val="none" w:sz="0" w:space="0" w:color="auto"/>
        <w:right w:val="none" w:sz="0" w:space="0" w:color="auto"/>
      </w:divBdr>
    </w:div>
    <w:div w:id="1952660797">
      <w:bodyDiv w:val="1"/>
      <w:marLeft w:val="0"/>
      <w:marRight w:val="0"/>
      <w:marTop w:val="0"/>
      <w:marBottom w:val="0"/>
      <w:divBdr>
        <w:top w:val="none" w:sz="0" w:space="0" w:color="auto"/>
        <w:left w:val="none" w:sz="0" w:space="0" w:color="auto"/>
        <w:bottom w:val="none" w:sz="0" w:space="0" w:color="auto"/>
        <w:right w:val="none" w:sz="0" w:space="0" w:color="auto"/>
      </w:divBdr>
    </w:div>
    <w:div w:id="1963877072">
      <w:bodyDiv w:val="1"/>
      <w:marLeft w:val="0"/>
      <w:marRight w:val="0"/>
      <w:marTop w:val="0"/>
      <w:marBottom w:val="0"/>
      <w:divBdr>
        <w:top w:val="none" w:sz="0" w:space="0" w:color="auto"/>
        <w:left w:val="none" w:sz="0" w:space="0" w:color="auto"/>
        <w:bottom w:val="none" w:sz="0" w:space="0" w:color="auto"/>
        <w:right w:val="none" w:sz="0" w:space="0" w:color="auto"/>
      </w:divBdr>
    </w:div>
    <w:div w:id="1968731652">
      <w:bodyDiv w:val="1"/>
      <w:marLeft w:val="0"/>
      <w:marRight w:val="0"/>
      <w:marTop w:val="0"/>
      <w:marBottom w:val="0"/>
      <w:divBdr>
        <w:top w:val="none" w:sz="0" w:space="0" w:color="auto"/>
        <w:left w:val="none" w:sz="0" w:space="0" w:color="auto"/>
        <w:bottom w:val="none" w:sz="0" w:space="0" w:color="auto"/>
        <w:right w:val="none" w:sz="0" w:space="0" w:color="auto"/>
      </w:divBdr>
    </w:div>
    <w:div w:id="2014214285">
      <w:bodyDiv w:val="1"/>
      <w:marLeft w:val="0"/>
      <w:marRight w:val="0"/>
      <w:marTop w:val="0"/>
      <w:marBottom w:val="0"/>
      <w:divBdr>
        <w:top w:val="none" w:sz="0" w:space="0" w:color="auto"/>
        <w:left w:val="none" w:sz="0" w:space="0" w:color="auto"/>
        <w:bottom w:val="none" w:sz="0" w:space="0" w:color="auto"/>
        <w:right w:val="none" w:sz="0" w:space="0" w:color="auto"/>
      </w:divBdr>
    </w:div>
    <w:div w:id="2015379823">
      <w:bodyDiv w:val="1"/>
      <w:marLeft w:val="0"/>
      <w:marRight w:val="0"/>
      <w:marTop w:val="0"/>
      <w:marBottom w:val="0"/>
      <w:divBdr>
        <w:top w:val="none" w:sz="0" w:space="0" w:color="auto"/>
        <w:left w:val="none" w:sz="0" w:space="0" w:color="auto"/>
        <w:bottom w:val="none" w:sz="0" w:space="0" w:color="auto"/>
        <w:right w:val="none" w:sz="0" w:space="0" w:color="auto"/>
      </w:divBdr>
    </w:div>
    <w:div w:id="2026592876">
      <w:bodyDiv w:val="1"/>
      <w:marLeft w:val="0"/>
      <w:marRight w:val="0"/>
      <w:marTop w:val="0"/>
      <w:marBottom w:val="0"/>
      <w:divBdr>
        <w:top w:val="none" w:sz="0" w:space="0" w:color="auto"/>
        <w:left w:val="none" w:sz="0" w:space="0" w:color="auto"/>
        <w:bottom w:val="none" w:sz="0" w:space="0" w:color="auto"/>
        <w:right w:val="none" w:sz="0" w:space="0" w:color="auto"/>
      </w:divBdr>
    </w:div>
    <w:div w:id="2122647019">
      <w:bodyDiv w:val="1"/>
      <w:marLeft w:val="0"/>
      <w:marRight w:val="0"/>
      <w:marTop w:val="0"/>
      <w:marBottom w:val="0"/>
      <w:divBdr>
        <w:top w:val="none" w:sz="0" w:space="0" w:color="auto"/>
        <w:left w:val="none" w:sz="0" w:space="0" w:color="auto"/>
        <w:bottom w:val="none" w:sz="0" w:space="0" w:color="auto"/>
        <w:right w:val="none" w:sz="0" w:space="0" w:color="auto"/>
      </w:divBdr>
    </w:div>
    <w:div w:id="2125725973">
      <w:bodyDiv w:val="1"/>
      <w:marLeft w:val="0"/>
      <w:marRight w:val="0"/>
      <w:marTop w:val="0"/>
      <w:marBottom w:val="0"/>
      <w:divBdr>
        <w:top w:val="none" w:sz="0" w:space="0" w:color="auto"/>
        <w:left w:val="none" w:sz="0" w:space="0" w:color="auto"/>
        <w:bottom w:val="none" w:sz="0" w:space="0" w:color="auto"/>
        <w:right w:val="none" w:sz="0" w:space="0" w:color="auto"/>
      </w:divBdr>
    </w:div>
    <w:div w:id="2132168232">
      <w:bodyDiv w:val="1"/>
      <w:marLeft w:val="0"/>
      <w:marRight w:val="0"/>
      <w:marTop w:val="0"/>
      <w:marBottom w:val="0"/>
      <w:divBdr>
        <w:top w:val="none" w:sz="0" w:space="0" w:color="auto"/>
        <w:left w:val="none" w:sz="0" w:space="0" w:color="auto"/>
        <w:bottom w:val="none" w:sz="0" w:space="0" w:color="auto"/>
        <w:right w:val="none" w:sz="0" w:space="0" w:color="auto"/>
      </w:divBdr>
    </w:div>
    <w:div w:id="214581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using.ec.europa.eu/news/presidents-state-union-speech-addresses-housing-crisis-2025-09-1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www.oecd.org/en/publications/oecd-monitoring-framework-to-measure-homelessness_3e98455b-en.html" TargetMode="External"/><Relationship Id="rId13" Type="http://schemas.openxmlformats.org/officeDocument/2006/relationships/hyperlink" Target="https://eur-lex.europa.eu/eli/reco/2021/1004/oj/fin" TargetMode="External"/><Relationship Id="rId18" Type="http://schemas.openxmlformats.org/officeDocument/2006/relationships/hyperlink" Target="https://eur-lex.europa.eu/legal-content/FI/TXT/?uri=celex:52020DC0620" TargetMode="External"/><Relationship Id="rId26" Type="http://schemas.openxmlformats.org/officeDocument/2006/relationships/hyperlink" Target="https://eur-lex.europa.eu/legal-content/FI/TXT/PDF/?uri=CELEX:52021IR3911" TargetMode="External"/><Relationship Id="rId39" Type="http://schemas.openxmlformats.org/officeDocument/2006/relationships/hyperlink" Target="https://eur-lex.europa.eu/eli/dec/2025/2630/oj/fin" TargetMode="External"/><Relationship Id="rId3" Type="http://schemas.openxmlformats.org/officeDocument/2006/relationships/hyperlink" Target="https://ec.europa.eu/eurostat/statistics-explained/SEPDF/cache/132338.pdf" TargetMode="External"/><Relationship Id="rId21" Type="http://schemas.openxmlformats.org/officeDocument/2006/relationships/hyperlink" Target="https://eur-lex.europa.eu/eli/dir/2014/92/oj/fin" TargetMode="External"/><Relationship Id="rId34" Type="http://schemas.openxmlformats.org/officeDocument/2006/relationships/hyperlink" Target="https://eur-lex.europa.eu/legal-content/FI/TXT/?qid=1765103514589&amp;uri=CELEX%3A32017R0543" TargetMode="External"/><Relationship Id="rId7" Type="http://schemas.openxmlformats.org/officeDocument/2006/relationships/hyperlink" Target="https://www.oecd.org/en/publications/oecd-monitoring-framework-to-measure-homelessness_3e98455b-en.html" TargetMode="External"/><Relationship Id="rId12" Type="http://schemas.openxmlformats.org/officeDocument/2006/relationships/hyperlink" Target="https://eur-lex.europa.eu/legal-content/FI/TXT/?uri=oj:JOC_2017_428_R_0009" TargetMode="External"/><Relationship Id="rId17" Type="http://schemas.openxmlformats.org/officeDocument/2006/relationships/hyperlink" Target="https://eur-lex.europa.eu/legal-content/FI/TXT/?uri=celex:52020DC0620" TargetMode="External"/><Relationship Id="rId25" Type="http://schemas.openxmlformats.org/officeDocument/2006/relationships/hyperlink" Target="https://eur-lex.europa.eu/legal-content/FI/TXT/PDF/?uri=CELEX:52021IR3911" TargetMode="External"/><Relationship Id="rId33" Type="http://schemas.openxmlformats.org/officeDocument/2006/relationships/hyperlink" Target="https://eur-lex.europa.eu/legal-content/FI/TXT/?qid=1775501393036&amp;uri=CELEX%3A32025R1914" TargetMode="External"/><Relationship Id="rId38" Type="http://schemas.openxmlformats.org/officeDocument/2006/relationships/hyperlink" Target="https://eur-lex.europa.eu/legal-content/FI/TXT/?qid=1775501393036&amp;uri=CELEX%3A32025R1914" TargetMode="External"/><Relationship Id="rId2" Type="http://schemas.openxmlformats.org/officeDocument/2006/relationships/hyperlink" Target="https://www.oecd.org/content/oecd/en/data/datasets/oecd-affordable-housing-database.html" TargetMode="External"/><Relationship Id="rId16" Type="http://schemas.openxmlformats.org/officeDocument/2006/relationships/hyperlink" Target="https://eur-lex.europa.eu/legal-content/FI/TXT/?uri=oj%3AJOC_2021_093_R_0001" TargetMode="External"/><Relationship Id="rId20" Type="http://schemas.openxmlformats.org/officeDocument/2006/relationships/hyperlink" Target="https://eur-lex.europa.eu/legal-content/FI/TXT/?uri=OJ%3AJOC_2022_476_R_0001" TargetMode="External"/><Relationship Id="rId29" Type="http://schemas.openxmlformats.org/officeDocument/2006/relationships/hyperlink" Target="https://eur-lex.europa.eu/legal-content/FI/TXT/?uri=celex:52025DC1025" TargetMode="External"/><Relationship Id="rId1" Type="http://schemas.openxmlformats.org/officeDocument/2006/relationships/hyperlink" Target="https://www.oecd.org/content/oecd/en/data/datasets/oecd-affordable-housing-database.html" TargetMode="External"/><Relationship Id="rId6" Type="http://schemas.openxmlformats.org/officeDocument/2006/relationships/hyperlink" Target="https://www.oecd.org/en/publications/oecd-toolkit-to-combat-homelessness_0fec780e-en.html" TargetMode="External"/><Relationship Id="rId11" Type="http://schemas.openxmlformats.org/officeDocument/2006/relationships/hyperlink" Target="https://www.coe.int/en/web/conventions/full-list?module=treaty-detail&amp;treatynum=163" TargetMode="External"/><Relationship Id="rId24" Type="http://schemas.openxmlformats.org/officeDocument/2006/relationships/hyperlink" Target="https://eur-lex.europa.eu/legal-content/FI/TXT/?qid=1765103514589&amp;uri=CELEX%3A32017R0543" TargetMode="External"/><Relationship Id="rId32" Type="http://schemas.openxmlformats.org/officeDocument/2006/relationships/hyperlink" Target="https://www.oecd.org/en/data/datasets/oecd-affordable-housing-database.html" TargetMode="External"/><Relationship Id="rId37" Type="http://schemas.openxmlformats.org/officeDocument/2006/relationships/hyperlink" Target="https://eur-lex.europa.eu/legal-content/FI/TXT/?uri=celex:52025DC1025" TargetMode="External"/><Relationship Id="rId5" Type="http://schemas.openxmlformats.org/officeDocument/2006/relationships/hyperlink" Target="https://www.oecd.org/en/publications/oecd-toolkit-to-combat-homelessness_0fec780e-en.html" TargetMode="External"/><Relationship Id="rId15" Type="http://schemas.openxmlformats.org/officeDocument/2006/relationships/hyperlink" Target="https://eur-lex.europa.eu/eli/C/2023/1344/oj/fin" TargetMode="External"/><Relationship Id="rId23" Type="http://schemas.openxmlformats.org/officeDocument/2006/relationships/hyperlink" Target="https://www.europarl.europa.eu/doceo/document/TA-10-2026-0064_FI.html" TargetMode="External"/><Relationship Id="rId28" Type="http://schemas.openxmlformats.org/officeDocument/2006/relationships/hyperlink" Target="https://op.europa.eu/en/publication-detail/-/publication/428fd92f-1c2f-11f1-8c3a-01aa75ed71a1/language-en" TargetMode="External"/><Relationship Id="rId36" Type="http://schemas.openxmlformats.org/officeDocument/2006/relationships/hyperlink" Target="https://eur-lex.europa.eu/legal-content/FI/TXT/?uri=celex:52025DC1025" TargetMode="External"/><Relationship Id="rId10" Type="http://schemas.openxmlformats.org/officeDocument/2006/relationships/hyperlink" Target="https://employment-social-affairs.ec.europa.eu/fight-against-homelessness-and-its-links-anti-poverty-policies-across-european-union_en" TargetMode="External"/><Relationship Id="rId19" Type="http://schemas.openxmlformats.org/officeDocument/2006/relationships/hyperlink" Target="https://eur-lex.europa.eu/legal-content/FI/TXT/?uri=celex:52020DC0620" TargetMode="External"/><Relationship Id="rId31" Type="http://schemas.openxmlformats.org/officeDocument/2006/relationships/hyperlink" Target="https://www.oecd.org/en/data/datasets/oecd-affordable-housing-database.html" TargetMode="External"/><Relationship Id="rId4" Type="http://schemas.openxmlformats.org/officeDocument/2006/relationships/hyperlink" Target="https://eur-lex.europa.eu/legal-content/FI/TXT/?uri=CELEX%3A52021DC0345" TargetMode="External"/><Relationship Id="rId9" Type="http://schemas.openxmlformats.org/officeDocument/2006/relationships/hyperlink" Target="https://www.kuleuven.be/lucas/en/eu_homelessness_counts" TargetMode="External"/><Relationship Id="rId14" Type="http://schemas.openxmlformats.org/officeDocument/2006/relationships/hyperlink" Target="https://eur-lex.europa.eu/legal-content/FI/TXT/?uri=oj%3AJOC_2023_041_R_0001" TargetMode="External"/><Relationship Id="rId22" Type="http://schemas.openxmlformats.org/officeDocument/2006/relationships/hyperlink" Target="https://www.europarl.europa.eu/doceo/document/TA-9-2020-0314_FI.html" TargetMode="External"/><Relationship Id="rId27" Type="http://schemas.openxmlformats.org/officeDocument/2006/relationships/hyperlink" Target="https://eur-lex.europa.eu/legal-content/FI/TXT/?qid=1777895281331&amp;uri=CELEX%3A52023IE1741" TargetMode="External"/><Relationship Id="rId30" Type="http://schemas.openxmlformats.org/officeDocument/2006/relationships/hyperlink" Target="https://eur-lex.europa.eu/legal-content/FI/TXT/?uri=celex:52025DC1025" TargetMode="External"/><Relationship Id="rId35" Type="http://schemas.openxmlformats.org/officeDocument/2006/relationships/hyperlink" Target="https://eur-lex.europa.eu/eli/dir/2014/92/oj/f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3EB03-7847-4F65-BE83-FBEDFB355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24</TotalTime>
  <Pages>13</Pages>
  <Words>14433</Words>
  <Characters>82274</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96514</CharactersWithSpaces>
  <SharedDoc>false</SharedDoc>
  <HLinks>
    <vt:vector size="264" baseType="variant">
      <vt:variant>
        <vt:i4>1376371</vt:i4>
      </vt:variant>
      <vt:variant>
        <vt:i4>0</vt:i4>
      </vt:variant>
      <vt:variant>
        <vt:i4>0</vt:i4>
      </vt:variant>
      <vt:variant>
        <vt:i4>5</vt:i4>
      </vt:variant>
      <vt:variant>
        <vt:lpwstr>https://housing.ec.europa.eu/news/presidents-state-union-speech-addresses-housing-crisis-2025-09-10_en</vt:lpwstr>
      </vt:variant>
      <vt:variant>
        <vt:lpwstr/>
      </vt:variant>
      <vt:variant>
        <vt:i4>7929971</vt:i4>
      </vt:variant>
      <vt:variant>
        <vt:i4>93</vt:i4>
      </vt:variant>
      <vt:variant>
        <vt:i4>0</vt:i4>
      </vt:variant>
      <vt:variant>
        <vt:i4>5</vt:i4>
      </vt:variant>
      <vt:variant>
        <vt:lpwstr>https://eur-lex.europa.eu/eli/dec/2025/2630/oj/eng</vt:lpwstr>
      </vt:variant>
      <vt:variant>
        <vt:lpwstr/>
      </vt:variant>
      <vt:variant>
        <vt:i4>3342391</vt:i4>
      </vt:variant>
      <vt:variant>
        <vt:i4>90</vt:i4>
      </vt:variant>
      <vt:variant>
        <vt:i4>0</vt:i4>
      </vt:variant>
      <vt:variant>
        <vt:i4>5</vt:i4>
      </vt:variant>
      <vt:variant>
        <vt:lpwstr>https://eur-lex.europa.eu/legal-content/en/TXT/?uri=CELEX:32025R1914&amp;qid=1775501393036</vt:lpwstr>
      </vt:variant>
      <vt:variant>
        <vt:lpwstr/>
      </vt:variant>
      <vt:variant>
        <vt:i4>196625</vt:i4>
      </vt:variant>
      <vt:variant>
        <vt:i4>87</vt:i4>
      </vt:variant>
      <vt:variant>
        <vt:i4>0</vt:i4>
      </vt:variant>
      <vt:variant>
        <vt:i4>5</vt:i4>
      </vt:variant>
      <vt:variant>
        <vt:lpwstr>https://eur-lex.europa.eu/legal-content/EN/TXT/?uri=celex:52025DC1025</vt:lpwstr>
      </vt:variant>
      <vt:variant>
        <vt:lpwstr/>
      </vt:variant>
      <vt:variant>
        <vt:i4>4980821</vt:i4>
      </vt:variant>
      <vt:variant>
        <vt:i4>81</vt:i4>
      </vt:variant>
      <vt:variant>
        <vt:i4>0</vt:i4>
      </vt:variant>
      <vt:variant>
        <vt:i4>5</vt:i4>
      </vt:variant>
      <vt:variant>
        <vt:lpwstr>https://eur-lex.europa.eu/eli/dir/2014/92/oj/eng</vt:lpwstr>
      </vt:variant>
      <vt:variant>
        <vt:lpwstr/>
      </vt:variant>
      <vt:variant>
        <vt:i4>4194312</vt:i4>
      </vt:variant>
      <vt:variant>
        <vt:i4>78</vt:i4>
      </vt:variant>
      <vt:variant>
        <vt:i4>0</vt:i4>
      </vt:variant>
      <vt:variant>
        <vt:i4>5</vt:i4>
      </vt:variant>
      <vt:variant>
        <vt:lpwstr>https://eur-lex.europa.eu/legal-content/EN/TXT/?uri=CELEX%3A32017R0543&amp;qid=1765103514589</vt:lpwstr>
      </vt:variant>
      <vt:variant>
        <vt:lpwstr/>
      </vt:variant>
      <vt:variant>
        <vt:i4>3342391</vt:i4>
      </vt:variant>
      <vt:variant>
        <vt:i4>75</vt:i4>
      </vt:variant>
      <vt:variant>
        <vt:i4>0</vt:i4>
      </vt:variant>
      <vt:variant>
        <vt:i4>5</vt:i4>
      </vt:variant>
      <vt:variant>
        <vt:lpwstr>https://eur-lex.europa.eu/legal-content/en/TXT/?uri=CELEX:32025R1914&amp;qid=1775501393036</vt:lpwstr>
      </vt:variant>
      <vt:variant>
        <vt:lpwstr/>
      </vt:variant>
      <vt:variant>
        <vt:i4>3735675</vt:i4>
      </vt:variant>
      <vt:variant>
        <vt:i4>72</vt:i4>
      </vt:variant>
      <vt:variant>
        <vt:i4>0</vt:i4>
      </vt:variant>
      <vt:variant>
        <vt:i4>5</vt:i4>
      </vt:variant>
      <vt:variant>
        <vt:lpwstr>https://www.oecd.org/en/data/datasets/oecd-affordable-housing-database.html</vt:lpwstr>
      </vt:variant>
      <vt:variant>
        <vt:lpwstr/>
      </vt:variant>
      <vt:variant>
        <vt:i4>196625</vt:i4>
      </vt:variant>
      <vt:variant>
        <vt:i4>69</vt:i4>
      </vt:variant>
      <vt:variant>
        <vt:i4>0</vt:i4>
      </vt:variant>
      <vt:variant>
        <vt:i4>5</vt:i4>
      </vt:variant>
      <vt:variant>
        <vt:lpwstr>https://eur-lex.europa.eu/legal-content/EN/TXT/?uri=celex:52025DC1025</vt:lpwstr>
      </vt:variant>
      <vt:variant>
        <vt:lpwstr/>
      </vt:variant>
      <vt:variant>
        <vt:i4>1310795</vt:i4>
      </vt:variant>
      <vt:variant>
        <vt:i4>66</vt:i4>
      </vt:variant>
      <vt:variant>
        <vt:i4>0</vt:i4>
      </vt:variant>
      <vt:variant>
        <vt:i4>5</vt:i4>
      </vt:variant>
      <vt:variant>
        <vt:lpwstr>https://op.europa.eu/en/publication-detail/-/publication/428fd92f-1c2f-11f1-8c3a-01aa75ed71a1/language-en</vt:lpwstr>
      </vt:variant>
      <vt:variant>
        <vt:lpwstr/>
      </vt:variant>
      <vt:variant>
        <vt:i4>851969</vt:i4>
      </vt:variant>
      <vt:variant>
        <vt:i4>63</vt:i4>
      </vt:variant>
      <vt:variant>
        <vt:i4>0</vt:i4>
      </vt:variant>
      <vt:variant>
        <vt:i4>5</vt:i4>
      </vt:variant>
      <vt:variant>
        <vt:lpwstr>https://eur-lex.europa.eu/legal-content/EN/TXT/?uri=CELEX%3A52023IE1741&amp;qid=1777895281331</vt:lpwstr>
      </vt:variant>
      <vt:variant>
        <vt:lpwstr/>
      </vt:variant>
      <vt:variant>
        <vt:i4>1638470</vt:i4>
      </vt:variant>
      <vt:variant>
        <vt:i4>60</vt:i4>
      </vt:variant>
      <vt:variant>
        <vt:i4>0</vt:i4>
      </vt:variant>
      <vt:variant>
        <vt:i4>5</vt:i4>
      </vt:variant>
      <vt:variant>
        <vt:lpwstr>https://eur-lex.europa.eu/legal-content/EN/TXT/PDF/?uri=CELEX:52021IR3911</vt:lpwstr>
      </vt:variant>
      <vt:variant>
        <vt:lpwstr/>
      </vt:variant>
      <vt:variant>
        <vt:i4>4194312</vt:i4>
      </vt:variant>
      <vt:variant>
        <vt:i4>57</vt:i4>
      </vt:variant>
      <vt:variant>
        <vt:i4>0</vt:i4>
      </vt:variant>
      <vt:variant>
        <vt:i4>5</vt:i4>
      </vt:variant>
      <vt:variant>
        <vt:lpwstr>https://eur-lex.europa.eu/legal-content/EN/TXT/?uri=CELEX%3A32017R0543&amp;qid=1765103514589</vt:lpwstr>
      </vt:variant>
      <vt:variant>
        <vt:lpwstr/>
      </vt:variant>
      <vt:variant>
        <vt:i4>6881307</vt:i4>
      </vt:variant>
      <vt:variant>
        <vt:i4>54</vt:i4>
      </vt:variant>
      <vt:variant>
        <vt:i4>0</vt:i4>
      </vt:variant>
      <vt:variant>
        <vt:i4>5</vt:i4>
      </vt:variant>
      <vt:variant>
        <vt:lpwstr>https://www.europarl.europa.eu/doceo/document/TA-10-2026-0064_EN.html</vt:lpwstr>
      </vt:variant>
      <vt:variant>
        <vt:lpwstr/>
      </vt:variant>
      <vt:variant>
        <vt:i4>7077947</vt:i4>
      </vt:variant>
      <vt:variant>
        <vt:i4>51</vt:i4>
      </vt:variant>
      <vt:variant>
        <vt:i4>0</vt:i4>
      </vt:variant>
      <vt:variant>
        <vt:i4>5</vt:i4>
      </vt:variant>
      <vt:variant>
        <vt:lpwstr>https://www.europarl.europa.eu/doceo/document/TA-9-2020-0314_EN.html?utm_source=chatgpt.com</vt:lpwstr>
      </vt:variant>
      <vt:variant>
        <vt:lpwstr/>
      </vt:variant>
      <vt:variant>
        <vt:i4>4980821</vt:i4>
      </vt:variant>
      <vt:variant>
        <vt:i4>48</vt:i4>
      </vt:variant>
      <vt:variant>
        <vt:i4>0</vt:i4>
      </vt:variant>
      <vt:variant>
        <vt:i4>5</vt:i4>
      </vt:variant>
      <vt:variant>
        <vt:lpwstr>https://eur-lex.europa.eu/eli/dir/2014/92/oj/eng</vt:lpwstr>
      </vt:variant>
      <vt:variant>
        <vt:lpwstr/>
      </vt:variant>
      <vt:variant>
        <vt:i4>5505042</vt:i4>
      </vt:variant>
      <vt:variant>
        <vt:i4>45</vt:i4>
      </vt:variant>
      <vt:variant>
        <vt:i4>0</vt:i4>
      </vt:variant>
      <vt:variant>
        <vt:i4>5</vt:i4>
      </vt:variant>
      <vt:variant>
        <vt:lpwstr>https://eur-lex.europa.eu/legal-content/EN/TXT/?uri=oj:JOC_2022_476_R_0001</vt:lpwstr>
      </vt:variant>
      <vt:variant>
        <vt:lpwstr/>
      </vt:variant>
      <vt:variant>
        <vt:i4>131090</vt:i4>
      </vt:variant>
      <vt:variant>
        <vt:i4>42</vt:i4>
      </vt:variant>
      <vt:variant>
        <vt:i4>0</vt:i4>
      </vt:variant>
      <vt:variant>
        <vt:i4>5</vt:i4>
      </vt:variant>
      <vt:variant>
        <vt:lpwstr>https://eur-lex.europa.eu/legal-content/EN/TXT/?uri=celex:52020DC0620</vt:lpwstr>
      </vt:variant>
      <vt:variant>
        <vt:lpwstr/>
      </vt:variant>
      <vt:variant>
        <vt:i4>5898256</vt:i4>
      </vt:variant>
      <vt:variant>
        <vt:i4>39</vt:i4>
      </vt:variant>
      <vt:variant>
        <vt:i4>0</vt:i4>
      </vt:variant>
      <vt:variant>
        <vt:i4>5</vt:i4>
      </vt:variant>
      <vt:variant>
        <vt:lpwstr>https://eur-lex.europa.eu/legal-content/EN/TXT/?uri=oj:JOC_2021_093_R_0001</vt:lpwstr>
      </vt:variant>
      <vt:variant>
        <vt:lpwstr/>
      </vt:variant>
      <vt:variant>
        <vt:i4>1966102</vt:i4>
      </vt:variant>
      <vt:variant>
        <vt:i4>36</vt:i4>
      </vt:variant>
      <vt:variant>
        <vt:i4>0</vt:i4>
      </vt:variant>
      <vt:variant>
        <vt:i4>5</vt:i4>
      </vt:variant>
      <vt:variant>
        <vt:lpwstr>https://eur-lex.europa.eu/eli/C/2023/1344/oj/eng</vt:lpwstr>
      </vt:variant>
      <vt:variant>
        <vt:lpwstr/>
      </vt:variant>
      <vt:variant>
        <vt:i4>5701648</vt:i4>
      </vt:variant>
      <vt:variant>
        <vt:i4>33</vt:i4>
      </vt:variant>
      <vt:variant>
        <vt:i4>0</vt:i4>
      </vt:variant>
      <vt:variant>
        <vt:i4>5</vt:i4>
      </vt:variant>
      <vt:variant>
        <vt:lpwstr>https://eur-lex.europa.eu/legal-content/EN/TXT/?uri=oj:JOC_2023_041_R_0001</vt:lpwstr>
      </vt:variant>
      <vt:variant>
        <vt:lpwstr/>
      </vt:variant>
      <vt:variant>
        <vt:i4>8323181</vt:i4>
      </vt:variant>
      <vt:variant>
        <vt:i4>27</vt:i4>
      </vt:variant>
      <vt:variant>
        <vt:i4>0</vt:i4>
      </vt:variant>
      <vt:variant>
        <vt:i4>5</vt:i4>
      </vt:variant>
      <vt:variant>
        <vt:lpwstr>https://eur-lex.europa.eu/eli/reco/2021/1004/oj/eng</vt:lpwstr>
      </vt:variant>
      <vt:variant>
        <vt:lpwstr/>
      </vt:variant>
      <vt:variant>
        <vt:i4>5898265</vt:i4>
      </vt:variant>
      <vt:variant>
        <vt:i4>21</vt:i4>
      </vt:variant>
      <vt:variant>
        <vt:i4>0</vt:i4>
      </vt:variant>
      <vt:variant>
        <vt:i4>5</vt:i4>
      </vt:variant>
      <vt:variant>
        <vt:lpwstr>https://eur-lex.europa.eu/legal-content/EN/TXT/?uri=oj:JOC_2017_428_R_0009</vt:lpwstr>
      </vt:variant>
      <vt:variant>
        <vt:lpwstr/>
      </vt:variant>
      <vt:variant>
        <vt:i4>7340085</vt:i4>
      </vt:variant>
      <vt:variant>
        <vt:i4>18</vt:i4>
      </vt:variant>
      <vt:variant>
        <vt:i4>0</vt:i4>
      </vt:variant>
      <vt:variant>
        <vt:i4>5</vt:i4>
      </vt:variant>
      <vt:variant>
        <vt:lpwstr>https://www.coe.int/en/web/conventions/full-list?module=treaty-detail&amp;treatynum=163</vt:lpwstr>
      </vt:variant>
      <vt:variant>
        <vt:lpwstr/>
      </vt:variant>
      <vt:variant>
        <vt:i4>4390961</vt:i4>
      </vt:variant>
      <vt:variant>
        <vt:i4>15</vt:i4>
      </vt:variant>
      <vt:variant>
        <vt:i4>0</vt:i4>
      </vt:variant>
      <vt:variant>
        <vt:i4>5</vt:i4>
      </vt:variant>
      <vt:variant>
        <vt:lpwstr>https://employment-social-affairs.ec.europa.eu/fight-against-     homelessness-and-its-links-anti-poverty-policies-across-european-union_en</vt:lpwstr>
      </vt:variant>
      <vt:variant>
        <vt:lpwstr>description</vt:lpwstr>
      </vt:variant>
      <vt:variant>
        <vt:i4>655366</vt:i4>
      </vt:variant>
      <vt:variant>
        <vt:i4>12</vt:i4>
      </vt:variant>
      <vt:variant>
        <vt:i4>0</vt:i4>
      </vt:variant>
      <vt:variant>
        <vt:i4>5</vt:i4>
      </vt:variant>
      <vt:variant>
        <vt:lpwstr>https://www.kuleuven.be/lucas/en/eu_homelessness_counts</vt:lpwstr>
      </vt:variant>
      <vt:variant>
        <vt:lpwstr/>
      </vt:variant>
      <vt:variant>
        <vt:i4>7208973</vt:i4>
      </vt:variant>
      <vt:variant>
        <vt:i4>9</vt:i4>
      </vt:variant>
      <vt:variant>
        <vt:i4>0</vt:i4>
      </vt:variant>
      <vt:variant>
        <vt:i4>5</vt:i4>
      </vt:variant>
      <vt:variant>
        <vt:lpwstr>https://www.oecd.org/en/publications/oecd-monitoring-framework-to-measure-homelessness_3e98455b-en.html</vt:lpwstr>
      </vt:variant>
      <vt:variant>
        <vt:lpwstr/>
      </vt:variant>
      <vt:variant>
        <vt:i4>4980857</vt:i4>
      </vt:variant>
      <vt:variant>
        <vt:i4>6</vt:i4>
      </vt:variant>
      <vt:variant>
        <vt:i4>0</vt:i4>
      </vt:variant>
      <vt:variant>
        <vt:i4>5</vt:i4>
      </vt:variant>
      <vt:variant>
        <vt:lpwstr>https://www.oecd.org/en/publications/oecd-toolkit-to-combat-homelessness_0fec780e-en.html</vt:lpwstr>
      </vt:variant>
      <vt:variant>
        <vt:lpwstr/>
      </vt:variant>
      <vt:variant>
        <vt:i4>589846</vt:i4>
      </vt:variant>
      <vt:variant>
        <vt:i4>3</vt:i4>
      </vt:variant>
      <vt:variant>
        <vt:i4>0</vt:i4>
      </vt:variant>
      <vt:variant>
        <vt:i4>5</vt:i4>
      </vt:variant>
      <vt:variant>
        <vt:lpwstr>https://ec.europa.eu/eurostat/statistics-explained/SEPDF/cache/132338.pdf</vt:lpwstr>
      </vt:variant>
      <vt:variant>
        <vt:lpwstr/>
      </vt:variant>
      <vt:variant>
        <vt:i4>5636124</vt:i4>
      </vt:variant>
      <vt:variant>
        <vt:i4>0</vt:i4>
      </vt:variant>
      <vt:variant>
        <vt:i4>0</vt:i4>
      </vt:variant>
      <vt:variant>
        <vt:i4>5</vt:i4>
      </vt:variant>
      <vt:variant>
        <vt:lpwstr>https://www.oecd.org/content/oecd/en/data/datasets/oecd-affordable-housing-database.html</vt:lpwstr>
      </vt:variant>
      <vt:variant>
        <vt:lpwstr/>
      </vt:variant>
      <vt:variant>
        <vt:i4>2752526</vt:i4>
      </vt:variant>
      <vt:variant>
        <vt:i4>39</vt:i4>
      </vt:variant>
      <vt:variant>
        <vt:i4>0</vt:i4>
      </vt:variant>
      <vt:variant>
        <vt:i4>5</vt:i4>
      </vt:variant>
      <vt:variant>
        <vt:lpwstr>mailto:Aristotelis.ALVANOS@ec.europa.eu</vt:lpwstr>
      </vt:variant>
      <vt:variant>
        <vt:lpwstr/>
      </vt:variant>
      <vt:variant>
        <vt:i4>917566</vt:i4>
      </vt:variant>
      <vt:variant>
        <vt:i4>36</vt:i4>
      </vt:variant>
      <vt:variant>
        <vt:i4>0</vt:i4>
      </vt:variant>
      <vt:variant>
        <vt:i4>5</vt:i4>
      </vt:variant>
      <vt:variant>
        <vt:lpwstr>mailto:Michele.CALANDRINO@ec.europa.eu</vt:lpwstr>
      </vt:variant>
      <vt:variant>
        <vt:lpwstr/>
      </vt:variant>
      <vt:variant>
        <vt:i4>2752526</vt:i4>
      </vt:variant>
      <vt:variant>
        <vt:i4>33</vt:i4>
      </vt:variant>
      <vt:variant>
        <vt:i4>0</vt:i4>
      </vt:variant>
      <vt:variant>
        <vt:i4>5</vt:i4>
      </vt:variant>
      <vt:variant>
        <vt:lpwstr>mailto:Aristotelis.ALVANOS@ec.europa.eu</vt:lpwstr>
      </vt:variant>
      <vt:variant>
        <vt:lpwstr/>
      </vt:variant>
      <vt:variant>
        <vt:i4>2752526</vt:i4>
      </vt:variant>
      <vt:variant>
        <vt:i4>30</vt:i4>
      </vt:variant>
      <vt:variant>
        <vt:i4>0</vt:i4>
      </vt:variant>
      <vt:variant>
        <vt:i4>5</vt:i4>
      </vt:variant>
      <vt:variant>
        <vt:lpwstr>mailto:Aristotelis.ALVANOS@ec.europa.eu</vt:lpwstr>
      </vt:variant>
      <vt:variant>
        <vt:lpwstr/>
      </vt:variant>
      <vt:variant>
        <vt:i4>917566</vt:i4>
      </vt:variant>
      <vt:variant>
        <vt:i4>27</vt:i4>
      </vt:variant>
      <vt:variant>
        <vt:i4>0</vt:i4>
      </vt:variant>
      <vt:variant>
        <vt:i4>5</vt:i4>
      </vt:variant>
      <vt:variant>
        <vt:lpwstr>mailto:Michele.CALANDRINO@ec.europa.eu</vt:lpwstr>
      </vt:variant>
      <vt:variant>
        <vt:lpwstr/>
      </vt:variant>
      <vt:variant>
        <vt:i4>2752526</vt:i4>
      </vt:variant>
      <vt:variant>
        <vt:i4>24</vt:i4>
      </vt:variant>
      <vt:variant>
        <vt:i4>0</vt:i4>
      </vt:variant>
      <vt:variant>
        <vt:i4>5</vt:i4>
      </vt:variant>
      <vt:variant>
        <vt:lpwstr>mailto:Aristotelis.ALVANOS@ec.europa.eu</vt:lpwstr>
      </vt:variant>
      <vt:variant>
        <vt:lpwstr/>
      </vt:variant>
      <vt:variant>
        <vt:i4>2752526</vt:i4>
      </vt:variant>
      <vt:variant>
        <vt:i4>21</vt:i4>
      </vt:variant>
      <vt:variant>
        <vt:i4>0</vt:i4>
      </vt:variant>
      <vt:variant>
        <vt:i4>5</vt:i4>
      </vt:variant>
      <vt:variant>
        <vt:lpwstr>mailto:Aristotelis.ALVANOS@ec.europa.eu</vt:lpwstr>
      </vt:variant>
      <vt:variant>
        <vt:lpwstr/>
      </vt:variant>
      <vt:variant>
        <vt:i4>917566</vt:i4>
      </vt:variant>
      <vt:variant>
        <vt:i4>18</vt:i4>
      </vt:variant>
      <vt:variant>
        <vt:i4>0</vt:i4>
      </vt:variant>
      <vt:variant>
        <vt:i4>5</vt:i4>
      </vt:variant>
      <vt:variant>
        <vt:lpwstr>mailto:Michele.CALANDRINO@ec.europa.eu</vt:lpwstr>
      </vt:variant>
      <vt:variant>
        <vt:lpwstr/>
      </vt:variant>
      <vt:variant>
        <vt:i4>917566</vt:i4>
      </vt:variant>
      <vt:variant>
        <vt:i4>15</vt:i4>
      </vt:variant>
      <vt:variant>
        <vt:i4>0</vt:i4>
      </vt:variant>
      <vt:variant>
        <vt:i4>5</vt:i4>
      </vt:variant>
      <vt:variant>
        <vt:lpwstr>mailto:Michele.CALANDRINO@ec.europa.eu</vt:lpwstr>
      </vt:variant>
      <vt:variant>
        <vt:lpwstr/>
      </vt:variant>
      <vt:variant>
        <vt:i4>917566</vt:i4>
      </vt:variant>
      <vt:variant>
        <vt:i4>12</vt:i4>
      </vt:variant>
      <vt:variant>
        <vt:i4>0</vt:i4>
      </vt:variant>
      <vt:variant>
        <vt:i4>5</vt:i4>
      </vt:variant>
      <vt:variant>
        <vt:lpwstr>mailto:Michele.CALANDRINO@ec.europa.eu</vt:lpwstr>
      </vt:variant>
      <vt:variant>
        <vt:lpwstr/>
      </vt:variant>
      <vt:variant>
        <vt:i4>1703985</vt:i4>
      </vt:variant>
      <vt:variant>
        <vt:i4>9</vt:i4>
      </vt:variant>
      <vt:variant>
        <vt:i4>0</vt:i4>
      </vt:variant>
      <vt:variant>
        <vt:i4>5</vt:i4>
      </vt:variant>
      <vt:variant>
        <vt:lpwstr>mailto:Triinu.VOLMER@ec.europa.eu</vt:lpwstr>
      </vt:variant>
      <vt:variant>
        <vt:lpwstr/>
      </vt:variant>
      <vt:variant>
        <vt:i4>917566</vt:i4>
      </vt:variant>
      <vt:variant>
        <vt:i4>6</vt:i4>
      </vt:variant>
      <vt:variant>
        <vt:i4>0</vt:i4>
      </vt:variant>
      <vt:variant>
        <vt:i4>5</vt:i4>
      </vt:variant>
      <vt:variant>
        <vt:lpwstr>mailto:Michele.CALANDRINO@ec.europa.eu</vt:lpwstr>
      </vt:variant>
      <vt:variant>
        <vt:lpwstr/>
      </vt:variant>
      <vt:variant>
        <vt:i4>1703985</vt:i4>
      </vt:variant>
      <vt:variant>
        <vt:i4>3</vt:i4>
      </vt:variant>
      <vt:variant>
        <vt:i4>0</vt:i4>
      </vt:variant>
      <vt:variant>
        <vt:i4>5</vt:i4>
      </vt:variant>
      <vt:variant>
        <vt:lpwstr>mailto:Triinu.VOLMER@ec.europa.eu</vt:lpwstr>
      </vt:variant>
      <vt:variant>
        <vt:lpwstr/>
      </vt:variant>
      <vt:variant>
        <vt:i4>1703985</vt:i4>
      </vt:variant>
      <vt:variant>
        <vt:i4>0</vt:i4>
      </vt:variant>
      <vt:variant>
        <vt:i4>0</vt:i4>
      </vt:variant>
      <vt:variant>
        <vt:i4>5</vt:i4>
      </vt:variant>
      <vt:variant>
        <vt:lpwstr>mailto:Triinu.VOLMER@ec.europa.eu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28</cp:revision>
  <dcterms:created xsi:type="dcterms:W3CDTF">2026-05-06T07:41:00Z</dcterms:created>
  <dcterms:modified xsi:type="dcterms:W3CDTF">2026-06-03T14:15:00Z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2026-05-05T15:01:01Z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80781b79-a9ed-4b08-9937-6e5d34ee5c91</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Category">
    <vt:lpwstr>COM/PL/ORG</vt:lpwstr>
  </property>
  <property fmtid="{D5CDD505-2E9C-101B-9397-08002B2CF9AE}" pid="12" name="Last edited using">
    <vt:lpwstr>LW 9.2, Build 20250828</vt:lpwstr>
  </property>
  <property fmtid="{D5CDD505-2E9C-101B-9397-08002B2CF9AE}" pid="13" name="Part">
    <vt:lpwstr>1</vt:lpwstr>
  </property>
  <property fmtid="{D5CDD505-2E9C-101B-9397-08002B2CF9AE}" pid="14" name="Total parts">
    <vt:lpwstr>1</vt:lpwstr>
  </property>
  <property fmtid="{D5CDD505-2E9C-101B-9397-08002B2CF9AE}" pid="15" name="LWTemplateID">
    <vt:lpwstr>SJ-022</vt:lpwstr>
  </property>
  <property fmtid="{D5CDD505-2E9C-101B-9397-08002B2CF9AE}" pid="16" name="DQCStatus">
    <vt:lpwstr>Yellow (DQC version 03)</vt:lpwstr>
  </property>
  <property name="OP_sanitized" fmtid="{D5CDD505-2E9C-101B-9397-08002B2CF9AE}" pid="17">
    <vt:lpwstr>True</vt:lpwstr>
  </property>
</Properties>
</file>