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025FF" w14:textId="007F7C4E" w:rsidR="00EF3120" w:rsidRPr="00A02E61" w:rsidRDefault="00C15C87" w:rsidP="00A02E61">
      <w:pPr>
        <w:pStyle w:val="Pagedecouverture"/>
        <w:rPr>
          <w:noProof/>
        </w:rPr>
      </w:pPr>
      <w:bookmarkStart w:id="0" w:name="_Hlk211774637"/>
      <w:r>
        <w:rPr>
          <w:noProof/>
        </w:rPr>
        <w:pict w14:anchorId="47C236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9C6CC4E-C45B-462E-B93B-A15A514AD689" style="width:455.25pt;height:344.25pt">
            <v:imagedata r:id="rId8" o:title=""/>
          </v:shape>
        </w:pict>
      </w:r>
    </w:p>
    <w:p w14:paraId="024E6515" w14:textId="77777777" w:rsidR="00406E23" w:rsidRPr="00A02E61" w:rsidRDefault="00406E23" w:rsidP="00406E23">
      <w:pPr>
        <w:pStyle w:val="Pagedecouverture"/>
        <w:rPr>
          <w:noProof/>
        </w:rPr>
        <w:sectPr w:rsidR="00406E23" w:rsidRPr="00A02E61" w:rsidSect="00A02E61">
          <w:footerReference w:type="even" r:id="rId9"/>
          <w:footerReference w:type="default" r:id="rId10"/>
          <w:pgSz w:w="11907" w:h="16839"/>
          <w:pgMar w:top="1134" w:right="1417" w:bottom="1134" w:left="1417" w:header="709" w:footer="709" w:gutter="0"/>
          <w:pgNumType w:start="0"/>
          <w:cols w:space="720"/>
          <w:docGrid w:linePitch="360"/>
        </w:sectPr>
      </w:pPr>
    </w:p>
    <w:p w14:paraId="14888802" w14:textId="77777777" w:rsidR="00BC62F5" w:rsidRPr="00A02E61" w:rsidRDefault="00BC62F5" w:rsidP="00DA4273">
      <w:pPr>
        <w:pStyle w:val="Exposdesmotifstitre"/>
        <w:rPr>
          <w:rStyle w:val="normaltextrun"/>
          <w:noProof/>
        </w:rPr>
      </w:pPr>
      <w:bookmarkStart w:id="1" w:name="_Hlk211705320"/>
      <w:r w:rsidRPr="00A02E61">
        <w:rPr>
          <w:rStyle w:val="normaltextrun"/>
        </w:rPr>
        <w:lastRenderedPageBreak/>
        <w:t>PERUSTELUT </w:t>
      </w:r>
    </w:p>
    <w:p w14:paraId="54D6831A" w14:textId="77777777" w:rsidR="00BC62F5" w:rsidRPr="00A02E61" w:rsidRDefault="00BC62F5" w:rsidP="00DA4273">
      <w:pPr>
        <w:pStyle w:val="ManualHeading1"/>
        <w:rPr>
          <w:rFonts w:ascii="Segoe UI" w:hAnsi="Segoe UI" w:cs="Segoe UI"/>
          <w:noProof/>
          <w:sz w:val="18"/>
          <w:szCs w:val="18"/>
        </w:rPr>
      </w:pPr>
      <w:r w:rsidRPr="00A02E61">
        <w:rPr>
          <w:rStyle w:val="normaltextrun"/>
        </w:rPr>
        <w:t>1.</w:t>
      </w:r>
      <w:r w:rsidRPr="00A02E61">
        <w:tab/>
      </w:r>
      <w:r w:rsidRPr="00A02E61">
        <w:rPr>
          <w:rStyle w:val="normaltextrun"/>
        </w:rPr>
        <w:t>EHDOTUKSEN TAUSTA</w:t>
      </w:r>
      <w:r w:rsidRPr="00A02E61">
        <w:rPr>
          <w:rStyle w:val="eop"/>
        </w:rPr>
        <w:t xml:space="preserve"> </w:t>
      </w:r>
    </w:p>
    <w:p w14:paraId="44706D23" w14:textId="77777777" w:rsidR="00BC62F5" w:rsidRPr="00A02E61" w:rsidRDefault="00BC62F5" w:rsidP="00DA4273">
      <w:pPr>
        <w:pStyle w:val="ManualHeading2"/>
        <w:rPr>
          <w:noProof/>
        </w:rPr>
      </w:pPr>
      <w:r w:rsidRPr="00A02E61">
        <w:rPr>
          <w:rStyle w:val="normaltextrun"/>
          <w:color w:val="000000"/>
        </w:rPr>
        <w:t>•</w:t>
      </w:r>
      <w:r w:rsidRPr="00A02E61">
        <w:tab/>
      </w:r>
      <w:r w:rsidRPr="00A02E61">
        <w:rPr>
          <w:rStyle w:val="normaltextrun"/>
        </w:rPr>
        <w:t>Ehdotuksen perustelut ja tavoitteet</w:t>
      </w:r>
      <w:r w:rsidRPr="00A02E61">
        <w:rPr>
          <w:rStyle w:val="eop"/>
        </w:rPr>
        <w:t xml:space="preserve"> </w:t>
      </w:r>
    </w:p>
    <w:p w14:paraId="2817B8C0" w14:textId="77777777" w:rsidR="00BC62F5" w:rsidRPr="00A02E61" w:rsidRDefault="00BC62F5" w:rsidP="00DA4273">
      <w:pPr>
        <w:rPr>
          <w:rStyle w:val="normaltextrun"/>
          <w:noProof/>
        </w:rPr>
      </w:pPr>
      <w:r w:rsidRPr="00A02E61">
        <w:rPr>
          <w:rStyle w:val="normaltextrun"/>
        </w:rPr>
        <w:t>EU tukee päättäväisesti Ukrainaa, jonka tulevaisuus on EU:ssa. EU tukee Ukrainan itsenäisyyttä, suvereniteettia ja alueellista koskemattomuutta sen kansainvälisesti tunnustettujen rajojen sisällä ja on vakaasti sitoutunut antamaan poliittista, rahoituksellista, taloudellista, humanitaarista, sotilaallista ja diplomaattista tukea.</w:t>
      </w:r>
      <w:r w:rsidRPr="00A02E61">
        <w:rPr>
          <w:rStyle w:val="FootnoteReference"/>
          <w:noProof/>
        </w:rPr>
        <w:footnoteReference w:id="2"/>
      </w:r>
      <w:r w:rsidRPr="00A02E61">
        <w:rPr>
          <w:rStyle w:val="normaltextrun"/>
        </w:rPr>
        <w:t xml:space="preserve"> </w:t>
      </w:r>
      <w:r w:rsidRPr="00A02E61">
        <w:t>Venäjän hyökkäyksen eskaloituessa on tarpeen toimia nopeasti sen varmistamiseksi, että Ukrainalla on käytettävissään kiireellisesti tarvitsemansa resurssit. Tämän ehdotuksen tarkoituksena on vastata näihin kiireellisiin tarpeisiin varmistamalla uuden välineen perustaminen niin, että Ukrainalle annetaan unionin tukea lainana, joka maksetaan takaisin Venäjältä saatavista korvauksista.</w:t>
      </w:r>
    </w:p>
    <w:p w14:paraId="311759D8" w14:textId="77777777" w:rsidR="009625F2" w:rsidRPr="00A02E61" w:rsidRDefault="009625F2" w:rsidP="00DA4273">
      <w:pPr>
        <w:rPr>
          <w:noProof/>
        </w:rPr>
      </w:pPr>
      <w:r w:rsidRPr="00A02E61">
        <w:t xml:space="preserve">Venäjän 24. helmikuuta 2022 aloittama laajamittainen hyökkäys Ukrainaan on ollut erittäin vahingollinen Ukrainalle ja sen kansalaisille. Huolimatta Yhdysvaltojen ja Euroopan diplomaattisista pyrkimyksistä rauhanomaisen ratkaisun löytämiseksi ja Ukrainan valmiudesta käydä vuoropuhelua sodan lopettamiseksi Venäjä on voimistanut hyökkäyksiään Ukrainaa vastaan ja kohdistanut niitä tarkoituksellisesti siviileihin ja kriittiseen infrastruktuuriin. Tilanteen eskaloituminen on pahentanut humanitaarista kriisiä entisestään, aiheuttanut suunnatonta kärsimystä ukrainalaisille ja kasvattanut Venäjän provosoimattoman ja perusteettoman sotilaallisen hyökkäyksen aiheuttamia valtavia inhimillisiä ja taloudellisia kustannuksia. Venäjän laiton hyökkäyssota loukkaa räikeästi Ukrainan alueellista koskemattomuutta, suvereniteettia ja itsenäisyyttä sekä Yhdistyneiden kansakuntien (YK) peruskirjan 2 artiklan 4 kohtaan kirjattua voimankäytön kieltoa, joka on kansainvälisen oikeuden ehdoton sääntö, ja muita YK:n peruskirjan periaatteita. Ukrainalaisten osoittama horjumaton päättäväisyys ja rohkeus heidän puolustaessaan kotimaataan todistaa heidän vahvuudestaan ja ansaitsee syvää ihailua ja arvostusta. </w:t>
      </w:r>
    </w:p>
    <w:p w14:paraId="67DE80DE" w14:textId="77777777" w:rsidR="009625F2" w:rsidRPr="00A02E61" w:rsidRDefault="009625F2" w:rsidP="00DA4273">
      <w:pPr>
        <w:rPr>
          <w:noProof/>
        </w:rPr>
      </w:pPr>
      <w:r w:rsidRPr="00A02E61">
        <w:t>Venäjän voimistuva hyökkäys on kuitenkin lisännyt Ukrainan rahoitustarpeita ja edellyttää kiireellisiä investointeja Ukrainan puolustuksen teknologiseen ja teolliseen perustaan. Nyt on selvää, että sekä EU:lta että kansainväliseltä yhteisöltä tarvitaan uusia rahoituslähteitä. Ukrainan rahoitustarpeiden odotetaan vuosina 2026 ja 2027 ylittävän Kansainvälisen valuuttarahaston (IMF) nykyiset ennusteet. IMF:n ohjelman kahdeksannessa tarkastelussa korostetaan, että riskit ja epävarmuus ovat edelleen poikkeuksellisen suuria ja että nykyisen ohjelman mahdollisuudet mukautua uusiin häiriöihin, kuten pitkittyneeseen ja intensiivisempään sotaan, ovat rajalliset. Ukraina toimitti 9. syyskuuta 2025 virallisen pyynnön uudesta IMF:n ohjelmasta, jolla katetaan vuosien 2026–2029 lisärahoitustarpeet. Se, että IMF voi tarjota tällaista uutta ohjelmaa, edellyttää riittävien rahoituslupausten saamista kumppaneilta, myös unionilta.</w:t>
      </w:r>
    </w:p>
    <w:p w14:paraId="5E02B6D6" w14:textId="77777777" w:rsidR="009625F2" w:rsidRPr="00A02E61" w:rsidRDefault="009625F2" w:rsidP="00DA4273">
      <w:pPr>
        <w:rPr>
          <w:noProof/>
        </w:rPr>
      </w:pPr>
      <w:r w:rsidRPr="00A02E61">
        <w:t xml:space="preserve">Ukrainan äskettäin esittämässä vuoden 2026 talousarvioesityksessä, joka on laadittu yhteistyössä IMF:n kanssa, puolustus- ja turvallisuusmenojen ennakoidaan olevan 56 miljardia euroa, ja niitä tuetaan luontoissuorituksina annettavalla sotilaallisella avulla, jonka arvo on 51,6 miljardia euroa. Kun otetaan huomioon sodan kielteinen vaikutus Ukrainan talouteen, talousarviossa ennakoidaan, että tarpeellisen luontoissuorituksina annettavan avun lisäksi tarvitaan 43 miljardia euroa kansainvälistä apua. Tammikuuhun 2026 mennessä vahvoja sitoumuksia on annettu vain 25 miljardista eurosta. Ukrainalla on rajalliset </w:t>
      </w:r>
      <w:r w:rsidRPr="00A02E61">
        <w:lastRenderedPageBreak/>
        <w:t>mahdollisuudet julkisen talouden lisäsopeutuksiin, koska uudet menoleikkaukset tai veronkorotukset voisivat vahingoittaa entisestään taloutta, joka on jo nyt haavoittuvainen keskeisen infrastruktuurin vahingoittumisen, työvoimapulan sekä meneillään olevan pakkomuuton ja ihmisten mobilisoinnin vuoksi. Nopea rahoitusapu on olennaista, jotta Ukrainaa voidaan auttaa ylläpitämään keskeisiä valtion toimintoja, varmistamaan makrotalouden vakaus, kunnostamaan kriittisiä energiainfrastruktuureja ja investoimaan maan puolustuksen teknologiseen ja teolliseen perustaan. Nämä tarpeet tulevat sen lisäksi, että keskipitkän aikavälin elpyminen ja jälleenrakentaminen edellyttävät huomattavaa panostusta.</w:t>
      </w:r>
    </w:p>
    <w:p w14:paraId="292D290E" w14:textId="77777777" w:rsidR="00BD4BEC" w:rsidRPr="00A02E61" w:rsidRDefault="00BC62F5" w:rsidP="00DA4273">
      <w:pPr>
        <w:rPr>
          <w:noProof/>
        </w:rPr>
      </w:pPr>
      <w:r w:rsidRPr="00A02E61">
        <w:t xml:space="preserve">G7-maiden valtiovarainministerit sopivat 8. joulukuuta 2025 antamassaan huippukokouksen julkilausumassa jatkavansa yhdessä työtä, jotta Ukrainan tukemiseen voidaan kehittää monenlaisia rahoitusvaihtoehtoja sodan lopettamiseksi ja oikeudenmukaisen ja kestävän rauhan varmistamiseksi Ukrainassa G7-maiden oikeudellisten kehysten mukaisesti. Näihin kuuluu myös G7-maiden lainkäyttöalueilla pysäytettyjen Venäjän varojen koko arvon mahdollinen käyttäminen siihen asti, kun Venäjä on maksanut sotakorvauksia. </w:t>
      </w:r>
    </w:p>
    <w:p w14:paraId="448CB47C" w14:textId="77777777" w:rsidR="008759F4" w:rsidRPr="00A02E61" w:rsidRDefault="00BD4BEC" w:rsidP="008759F4">
      <w:pPr>
        <w:rPr>
          <w:noProof/>
        </w:rPr>
      </w:pPr>
      <w:r w:rsidRPr="00A02E61">
        <w:t>Eurooppa-neuvosto on todennut 27. kesäkuuta 2024, 17. lokakuuta 2024, 19. joulukuuta 2024 ja 23. lokakuuta 2025 antamissaan päätelmissä, että unionin lainsäädännön mukaisesti Venäjän varojen olisi pysyttävä pysäytettyinä, kunnes Venäjä lopettaa hyökkäyssotansa Ukrainaa vastaan ja korvaa sille sodan aiheuttamat vahingot. Lisäksi neuvoston asetuksessa (EU) 2025/2600</w:t>
      </w:r>
      <w:r w:rsidRPr="00A02E61">
        <w:rPr>
          <w:rStyle w:val="FootnoteReference"/>
          <w:noProof/>
        </w:rPr>
        <w:footnoteReference w:id="3"/>
      </w:r>
      <w:r w:rsidRPr="00A02E61">
        <w:t xml:space="preserve"> kielletään väliaikaisesti Venäjän keskuspankin varojen tai varantojen siirto siihen asti, kun Venäjä lopettaa Ukrainaa vastaan käymänsä hyökkäyssodan, maksaa Ukrainalle sotakorvauksia siinä määrin kuin se on tarpeen jälleenrakentamisen mahdollistamiseksi ilman, että unionille aiheutuu haitallisia taloudellisia tai rahoituksellisia seurauksia, ja Venäjän toimet Ukrainan vastaisessa hyökkäyssodassa ovat objektiivisesti katsoen lakanneet aiheuttamasta vakavia vaikeuksia unionin ja jäsenvaltioiden taloudelle. </w:t>
      </w:r>
    </w:p>
    <w:p w14:paraId="64F4CDF0" w14:textId="77777777" w:rsidR="008759F4" w:rsidRPr="00A02E61" w:rsidRDefault="008759F4" w:rsidP="008759F4">
      <w:pPr>
        <w:rPr>
          <w:noProof/>
        </w:rPr>
      </w:pPr>
      <w:r w:rsidRPr="00A02E61">
        <w:t>Tältä pohjalta Eurooppa-neuvosto sopi 18. joulukuuta 2025, että Ukrainalle myönnetään vuosiksi 2026–2027 90 miljardin euron laina perustuen pääomamarkkinoilta tapahtuvaan EU:n lainanottoon, joka taataan EU:n talousarvion liikkumavaralla. Eurooppa-neuvosto sopi myös, että SEUT-sopimuksen 212 artiklaan perustuvan välineen osalta tehtävän tiiviimmän yhteistyön (SEU-sopimuksen 20 artikla) puitteissa unionin talousarviosta tämän lainan vakuudeksi käyttöön otetuilla varoilla ei ole vaikutusta Tšekin, Unkarin ja Slovakian rahoitusvelvoitteisiin. Samana päivänä 25 jäsenvaltiota sopi, että Ukraina maksaisi tämän lainan takaisin vasta sotakorvauksia saatuaan ja että siihen asti Venäjän keskuspankin varat pysyvät pysäytettyinä ja unioni pitää itsellään oikeuden käyttää niitä lainan takaisinmaksuun noudattaen kaikilta osin EU:n ja kansainvälistä oikeutta. Kyseiset jäsenvaltiot korostivat seuraavien seikkojen merkitystä lainan kannalta: a) Euroopan ja Ukrainan puolustusteollisuuden vahvistaminen; b) oikeusvaltioperiaatteen ylläpitämisen jatkaminen Ukrainassa, mukaan lukien korruption torjunta; ja c) tiettyjen jäsenvaltioiden turvallisuus- ja puolustuspolitiikan erityisluonne ja kaikkien jäsenvaltioiden turvallisuus- ja puolustusedut.</w:t>
      </w:r>
    </w:p>
    <w:p w14:paraId="1E8D68AD" w14:textId="77777777" w:rsidR="00BC62F5" w:rsidRPr="00A02E61" w:rsidRDefault="00BC62F5" w:rsidP="00DA4273">
      <w:pPr>
        <w:rPr>
          <w:noProof/>
        </w:rPr>
      </w:pPr>
      <w:r w:rsidRPr="00A02E61">
        <w:t xml:space="preserve">Tätä taustaa vasten ehdotetaan, että Ukrainaa varten perustetaan uusi enintään 90 miljardin euron tukiväline, jäljempänä ’Ukrainan tukilaina’, jonka Ukraina maksaisi takaisin vasta saatuaan Venäjältä sotakorvauksia. Tähän ehdotukseen liittyvässä ehdotuksessa komissio ehdottaa, että tämän lainan osalta annetaan lupa tiiviimpään yhteistyöhön, jota Belgian kuningaskunta, Bulgarian tasavalta, Tanskan kuningaskunta, Saksan liittotasavalta, Viron </w:t>
      </w:r>
      <w:r w:rsidRPr="00A02E61">
        <w:lastRenderedPageBreak/>
        <w:t>tasavalta, Irlanti, Helleenien tasavalta, Ranskan tasavalta, Kyproksen tasavalta, Latvian tasavalta, Liettuan tasavalta, Luxemburgin suurherttuakunta, Malta, Alankomaiden kuningaskunta, Itävallan tasavalta, Puolan tasavalta, Portugalin tasavalta, Romania, Slovenian tasavalta, Suomen tasavalta, Espanjan kuningaskunta, Italian tasavalta sekä Ruotsin kuningaskunta ovat pyytäneet.</w:t>
      </w:r>
    </w:p>
    <w:p w14:paraId="31F56B52" w14:textId="77777777" w:rsidR="00BC62F5" w:rsidRPr="00A02E61" w:rsidRDefault="00A7189E" w:rsidP="00DA4273">
      <w:pPr>
        <w:rPr>
          <w:b/>
          <w:bCs/>
          <w:noProof/>
        </w:rPr>
      </w:pPr>
      <w:r w:rsidRPr="00A02E61">
        <w:rPr>
          <w:b/>
        </w:rPr>
        <w:t>Ukrainan tukilaina</w:t>
      </w:r>
    </w:p>
    <w:p w14:paraId="2F2304A7" w14:textId="77777777" w:rsidR="00F13A19" w:rsidRPr="00A02E61" w:rsidRDefault="00F13A19" w:rsidP="00DA4273">
      <w:pPr>
        <w:rPr>
          <w:noProof/>
        </w:rPr>
      </w:pPr>
      <w:bookmarkStart w:id="2" w:name="_Hlk215229478"/>
      <w:r w:rsidRPr="00A02E61">
        <w:t xml:space="preserve">Maan valtavista tarpeista huolimatta Ukrainan valtion kyky ottaa lisää velkaa on erittäin rajallinen. Ukrainan velka suhteessa BKT:hen on kasvanut jyrkästi sodan alkamisen jälkeen: vuoden 2021 lopussa se oli alle 50 prosenttia suhteessa BKT:hen, mutta vuonna 2025 se oli 85 prosenttia suhteessa BKT:hen (yli 100 % suhteessa BKT:hen, kun mukaan lasketaan ERA-lainat). Kun otetaan huomioon, että sota on heikentänyt merkittävästi tuottavuutta ja haittaa jatkuvasti kasvudynamiikkaa, Ukrainan merkittäviin rahoitustarpeisiin ei ole mahdollista vastata siten, että maa ottaa lisää velkaa. </w:t>
      </w:r>
    </w:p>
    <w:p w14:paraId="6D7648AA" w14:textId="77777777" w:rsidR="004F3D8C" w:rsidRPr="00A02E61" w:rsidRDefault="00590E9C" w:rsidP="00DA4273">
      <w:pPr>
        <w:rPr>
          <w:noProof/>
        </w:rPr>
      </w:pPr>
      <w:bookmarkStart w:id="3" w:name="_Hlk215229467"/>
      <w:bookmarkEnd w:id="2"/>
      <w:r w:rsidRPr="00A02E61">
        <w:t>Samaan aikaan jäsenvaltioiden taloudet ovat edelleen toipumassa viime vuosikymmenen peräkkäisistä kriiseistä, joihin sisältyvät myös Venäjän Ukrainassa käymän sodan ja Venäjän unionia vastaan toteuttaman hybridikampanjan aiheuttamat merkittävät menot. Jäsenvaltioille olisi huomattava taloudellinen haaste osoittaa merkittäviä lisäresursseja Ukrainan rahoittamiseksi.</w:t>
      </w:r>
    </w:p>
    <w:p w14:paraId="6DCEA554" w14:textId="77777777" w:rsidR="004F3D8C" w:rsidRPr="00A02E61" w:rsidRDefault="004F3D8C" w:rsidP="00DA4273">
      <w:pPr>
        <w:rPr>
          <w:noProof/>
        </w:rPr>
      </w:pPr>
      <w:r w:rsidRPr="00A02E61">
        <w:t>Kun otetaan huomioon Ukrainan kannalta hankala velkadynamiikka, joka johtuu Venäjän käymästä hyökkäyssodasta, ja jäsenvaltioiden talouteen liittyvät haasteet, myös Venäjän toimista johtuvat, on aiheellista kehittää innovatiivinen ratkaisu, jonka ei odoteta aiheuttavan taloudellista rasitetta Ukrainalle eikä jäsenvaltioille.</w:t>
      </w:r>
    </w:p>
    <w:bookmarkEnd w:id="3"/>
    <w:p w14:paraId="2BA98639" w14:textId="77777777" w:rsidR="0035687B" w:rsidRPr="00A02E61" w:rsidRDefault="004756CA" w:rsidP="00DA4273">
      <w:pPr>
        <w:rPr>
          <w:noProof/>
        </w:rPr>
      </w:pPr>
      <w:r w:rsidRPr="00A02E61">
        <w:t>Kansainvälisen oikeuden toimikunnan laatimien valtioiden vastuuta kansainvälisen oikeuden vastaisista teoista koskevien artiklaluonnosten (ARSIWA)</w:t>
      </w:r>
      <w:r w:rsidRPr="00A02E61">
        <w:rPr>
          <w:rStyle w:val="FootnoteReference"/>
          <w:noProof/>
        </w:rPr>
        <w:footnoteReference w:id="4"/>
      </w:r>
      <w:r w:rsidRPr="00A02E61">
        <w:t xml:space="preserve"> ja kansainvälisen tapaoikeuden mukaisesti Venäjä on vastuussa olevana valtiona velvollinen korvaamaan täysimääräisesti sen Ukrainaa vastaan käymän hyökkäyssodan aiheuttamat vahingot. Erityisesti ARSIWAn 30–32 artiklassa vahvistetaan, että valtiolla, joka on vastuussa kansainvälisen oikeuden vastaisesta teosta, on velvollisuus</w:t>
      </w:r>
      <w:r w:rsidRPr="00A02E61">
        <w:rPr>
          <w:i/>
        </w:rPr>
        <w:t xml:space="preserve"> a) lopettaa kyseinen teko, jos se jatkuu, [...]. Vastuussa olevalla valtiolla on velvollisuus korvata täysimääräisesti vahinko, joka on aiheutunut kansainvälisen oikeuden vastaisesta teosta. </w:t>
      </w:r>
      <w:r w:rsidRPr="00A02E61">
        <w:t>Vahinko tarkoittaa kaikkea materiaalista ja henkistä vahinkoa, jota valtion kansainvälisen oikeuden vastainen teko on aiheuttanut.</w:t>
      </w:r>
    </w:p>
    <w:p w14:paraId="218EF22E" w14:textId="77777777" w:rsidR="00D9181E" w:rsidRPr="00A02E61" w:rsidRDefault="00D9181E" w:rsidP="00DA4273">
      <w:pPr>
        <w:rPr>
          <w:noProof/>
        </w:rPr>
      </w:pPr>
      <w:r w:rsidRPr="00A02E61">
        <w:t>Kun otetaan huomioon tämä oikeudellinen velvoite, jonka nojalla Venäjän on maksettava korvauksia sen laittoman hyökkäyssodan aiheuttamista vahingoista, unionin on aiheellista myöntää Ukrainan tukilaina lainana, johon liittyy rajoitettu vastuu ja joka erääntyy maksettavaksi, kun Ukraina saa Venäjältä käteisvaroja tai ei-monetaarisia varoja sotakorvauksina, hyvityksinä tai muuna taloudellisena korvauksena (tämä ei kuitenkaan koske alueluovutuksia).</w:t>
      </w:r>
    </w:p>
    <w:p w14:paraId="03ED8E67" w14:textId="77777777" w:rsidR="00BC62F5" w:rsidRPr="00A02E61" w:rsidRDefault="00713578" w:rsidP="001A41A4">
      <w:pPr>
        <w:pStyle w:val="ManualHeading2"/>
        <w:rPr>
          <w:rStyle w:val="normaltextrun"/>
          <w:bCs/>
          <w:noProof/>
        </w:rPr>
      </w:pPr>
      <w:r w:rsidRPr="00A02E61">
        <w:rPr>
          <w:rStyle w:val="normaltextrun"/>
        </w:rPr>
        <w:t>Varojen käyttö</w:t>
      </w:r>
    </w:p>
    <w:p w14:paraId="4B7CC807" w14:textId="77777777" w:rsidR="00713578" w:rsidRPr="00A02E61" w:rsidRDefault="00713578" w:rsidP="00DA4273">
      <w:pPr>
        <w:rPr>
          <w:rFonts w:eastAsia="Times New Roman"/>
          <w:noProof/>
        </w:rPr>
      </w:pPr>
      <w:r w:rsidRPr="00A02E61">
        <w:t>Kun otetaan huomioon Ukrainan rahoitustarpeet ja huomattava epävarmuus sodan tulevasta kehityksestä, on olennaista, että Ukrainan tukilainasta tehdään joustava ja tilanteeseen mukautuva. Varoja olisi voitava käyttää joustavasti kiireellisimpiin rahoitustarpeisiin riippumatta siitä, johtuvatko ne senhetkisestä sotatilanteesta vai tuetaanko niillä jälleenrakentamista, jos rauha saavutetaan.</w:t>
      </w:r>
    </w:p>
    <w:p w14:paraId="0D12A0BE" w14:textId="77777777" w:rsidR="00713578" w:rsidRPr="00A02E61" w:rsidRDefault="00BC62F5" w:rsidP="00DA4273">
      <w:pPr>
        <w:rPr>
          <w:rFonts w:eastAsia="Times New Roman"/>
          <w:noProof/>
        </w:rPr>
      </w:pPr>
      <w:r w:rsidRPr="00A02E61">
        <w:lastRenderedPageBreak/>
        <w:t xml:space="preserve">Tässä ehdotuksessa säädetään Ukrainan tukilainasta, jonka toteutus on ennakoitavaa, jatkuvaa, hallittua, joustavaa ja oikea-aikaista, jotta Ukrainaa voidaan tukea sen rahoitus- ja puolustustarpeiden, erityisesti Venäjän hyökkäyssodasta johtuvien tarpeiden, täyttämisessä vuosina 2026 ja 2027. Ukrainan tukilainalla olisi erityisesti tuettava Ukrainan makrotaloudellista vakautta ja lievennettävä siihen kohdistuvia ulkoisia rahoitusrajoitteita riippumatta siitä, johtuvatko ne sodasta vai jälleenrakennuksesta, sekä tuettava Ukrainan puolustusteollisuuden kapasiteettia taloudellisen, teknisen ja rahoitusyhteistyön avulla. </w:t>
      </w:r>
    </w:p>
    <w:p w14:paraId="1EAD5797" w14:textId="77777777" w:rsidR="00BC62F5" w:rsidRPr="00A02E61" w:rsidRDefault="00713578" w:rsidP="00DA4273">
      <w:pPr>
        <w:rPr>
          <w:rFonts w:eastAsia="Times New Roman"/>
          <w:noProof/>
        </w:rPr>
      </w:pPr>
      <w:r w:rsidRPr="00A02E61">
        <w:t>Ukrainan makrotaloudellisen vakauden tukemiseksi ja siihen kohdistuvien ulkoisten rahoitusrajoitteiden lieventämiseksi ehdotuksessa kehitetään useita vaihtoehtoja, joiden kautta varoja voidaan kanavoida Ukrainan tueksi, kun tukea on mahdollista antaa makrotaloudellisena rahoitusapuna ja Ukrainan tukivälineen kautta. Molemmissa välineissä maksut kytketään ennakkoehtoihin ja politiikkaa koskeviin ehtoihin. Makrotaloudellisen rahoitusavun osalta nämä ehdot vahvistettaisiin komission ja Ukrainan välisessä yhteisymmärryspöytäkirjassa. Näillä ehdoilla pyrittäisiin muun muassa vahvistamaan tulonhankintaa, puuttumaan korruption juurisyihin, parantamaan julkisten menojen kestävyyttä ja laatua sekä lisäämään julkisen sektorin taloushallintojärjestelmien tehokkuutta, läpinäkyvyyttä ja vastuuvelvollisuutta. Ukrainan tukivälineen osalta Ukraina-suunnitelmaa olisi päivitettävä näiden lisämäärien huomioon ottamiseksi, myös lisäämällä toimenpiteitä oikeusvaltioperiaatteen ja korruption torjunnan vahvistamiseksi.</w:t>
      </w:r>
    </w:p>
    <w:p w14:paraId="7B060907" w14:textId="77777777" w:rsidR="00F51965" w:rsidRPr="00A02E61" w:rsidRDefault="00F51965" w:rsidP="00DA4273">
      <w:pPr>
        <w:rPr>
          <w:rFonts w:eastAsia="Times New Roman"/>
          <w:noProof/>
        </w:rPr>
      </w:pPr>
      <w:r w:rsidRPr="00A02E61">
        <w:t>Jotta Ukrainan puolustusteollisuuden kapasiteettia voidaan tukea taloudellisen, teknologisen ja rahoitusyhteistyön avulla, ehdotuksessa säädetään avusta, jolla pyritään antamaan Ukrainalle mahdollisuus toteuttaa kiireellisiä ja tuntuvia julkisia investointeja, joilla tuetaan maan puolustusteollisuutta ja sen integroitumista Euroopan puolustusteollisuuteen vastauksena nykyiseen kriisitilanteeseen ja sen jälkeen. Jotta Ukrainan puolustuksen teollista perustaa voitaisiin vahvistaa kiireellisesti tehokkaalla ja autonomisella tavalla, tukikelpoisuusvaatimukset olisi jäsenneltävä siten, että toimet, menot ja toimenpiteet, joilla tuetaan Ukrainan puolustusteollisuuden kapasiteettia, suunnataan Ukrainan puolustuksen teollisen ja teknologisen perustan jälleenrakentamiseen, elvyttämiseen ja nykyaikaistamiseen ottaen huomioon sen asteittainen tuleva integroituminen Euroopan puolustuksen teolliseen ja teknologiseen perustaan. Jotta Ukraina voisi käyttää rahoituksellista ja taloudellista apua olosuhteisiin parhaiten soveltuvalla tavalla, sille on lisäksi aiheellista antaa mahdollisuus käyttää varoja maan puolustusteollisuuden kapasiteetin tukemiseen erilaisilla täytäntöönpanomenetelmillä, joissa otetaan huomioon tarpeiden monitahoisuus.</w:t>
      </w:r>
    </w:p>
    <w:p w14:paraId="31955531" w14:textId="77777777" w:rsidR="00BC62F5" w:rsidRPr="00A02E61" w:rsidRDefault="00BC62F5" w:rsidP="00DA4273">
      <w:pPr>
        <w:rPr>
          <w:rFonts w:eastAsia="Times New Roman"/>
          <w:noProof/>
        </w:rPr>
      </w:pPr>
      <w:r w:rsidRPr="00A02E61">
        <w:t>Ukrainan tukilainan puitteissa saatavilla oleva rahoituksellinen ja taloudellinen apu asetetaan Ukrainan saataville sen rahoitustarpeiden mukaan. Tätä varten Ukraina toimittaa rahoitustarpeitaan ja -lähteitään koskevan Ukrainan rahoitusstrategian. Komission arvion perusteella neuvosto hyväksyy kyseisen arvion ja määrittää Ukrainan rahoitusstrategian täytäntöönpanoa varten Ukrainan saataville asetettavan avun määrän.</w:t>
      </w:r>
    </w:p>
    <w:p w14:paraId="48F2182F" w14:textId="77777777" w:rsidR="00BC62F5" w:rsidRPr="00A02E61" w:rsidRDefault="00BC62F5" w:rsidP="00DA4273">
      <w:pPr>
        <w:pStyle w:val="ManualHeading2"/>
        <w:rPr>
          <w:rStyle w:val="tabchar"/>
          <w:rFonts w:ascii="Calibri" w:eastAsiaTheme="majorEastAsia" w:hAnsi="Calibri" w:cs="Calibri"/>
          <w:noProof/>
        </w:rPr>
      </w:pPr>
      <w:r w:rsidRPr="00A02E61">
        <w:rPr>
          <w:rStyle w:val="normaltextrun"/>
        </w:rPr>
        <w:t>•</w:t>
      </w:r>
      <w:r w:rsidRPr="00A02E61">
        <w:tab/>
      </w:r>
      <w:r w:rsidRPr="00A02E61">
        <w:rPr>
          <w:rStyle w:val="tabchar"/>
        </w:rPr>
        <w:t>Yhdenmukaisuus muiden alaa koskevien politiikkojen säännösten kanssa</w:t>
      </w:r>
    </w:p>
    <w:p w14:paraId="0A96A5AF" w14:textId="77777777" w:rsidR="00BC62F5" w:rsidRPr="00A02E61" w:rsidRDefault="00BC62F5" w:rsidP="00DA4273">
      <w:pPr>
        <w:rPr>
          <w:rStyle w:val="normaltextrun"/>
          <w:noProof/>
        </w:rPr>
      </w:pPr>
      <w:r w:rsidRPr="00A02E61">
        <w:rPr>
          <w:rStyle w:val="normaltextrun"/>
        </w:rPr>
        <w:t>Ukrainan tukilainan puitteissa annettava apu on yhdenmukaista asetuksen (EU) 2024/792</w:t>
      </w:r>
      <w:r w:rsidRPr="00A02E61">
        <w:rPr>
          <w:rStyle w:val="FootnoteReference"/>
          <w:rFonts w:eastAsiaTheme="minorEastAsia"/>
          <w:noProof/>
        </w:rPr>
        <w:footnoteReference w:id="5"/>
      </w:r>
      <w:r w:rsidRPr="00A02E61">
        <w:rPr>
          <w:rStyle w:val="normaltextrun"/>
        </w:rPr>
        <w:t>, asetuksen (EU) 2021/947</w:t>
      </w:r>
      <w:r w:rsidRPr="00A02E61">
        <w:rPr>
          <w:rStyle w:val="FootnoteReference"/>
          <w:rFonts w:eastAsiaTheme="minorEastAsia"/>
          <w:noProof/>
        </w:rPr>
        <w:footnoteReference w:id="6"/>
      </w:r>
      <w:r w:rsidRPr="00A02E61">
        <w:rPr>
          <w:rStyle w:val="normaltextrun"/>
        </w:rPr>
        <w:t>, asetuksen (EY) N:o 1257/96</w:t>
      </w:r>
      <w:r w:rsidRPr="00A02E61">
        <w:rPr>
          <w:rStyle w:val="FootnoteReference"/>
          <w:rFonts w:eastAsiaTheme="minorEastAsia"/>
          <w:noProof/>
        </w:rPr>
        <w:footnoteReference w:id="7"/>
      </w:r>
      <w:r w:rsidRPr="00A02E61">
        <w:rPr>
          <w:rStyle w:val="normaltextrun"/>
        </w:rPr>
        <w:t>, asetuksen (EU) 2024/2773</w:t>
      </w:r>
      <w:r w:rsidRPr="00A02E61">
        <w:rPr>
          <w:rStyle w:val="FootnoteReference"/>
          <w:rFonts w:eastAsiaTheme="minorEastAsia"/>
          <w:noProof/>
        </w:rPr>
        <w:footnoteReference w:id="8"/>
      </w:r>
      <w:r w:rsidRPr="00A02E61">
        <w:rPr>
          <w:rStyle w:val="normaltextrun"/>
        </w:rPr>
        <w:t xml:space="preserve"> ja </w:t>
      </w:r>
      <w:r w:rsidRPr="00A02E61">
        <w:rPr>
          <w:rStyle w:val="normaltextrun"/>
        </w:rPr>
        <w:lastRenderedPageBreak/>
        <w:t>asetuksen (EU) 2025/1106</w:t>
      </w:r>
      <w:r w:rsidRPr="00A02E61">
        <w:rPr>
          <w:rStyle w:val="FootnoteReference"/>
          <w:rFonts w:eastAsiaTheme="minorEastAsia"/>
          <w:noProof/>
        </w:rPr>
        <w:footnoteReference w:id="9"/>
      </w:r>
      <w:r w:rsidRPr="00A02E61">
        <w:rPr>
          <w:rStyle w:val="normaltextrun"/>
        </w:rPr>
        <w:t xml:space="preserve"> puitteissa annettavan avun kanssa ja täydentää niitä, minkä lisäksi</w:t>
      </w:r>
      <w:r w:rsidRPr="00A02E61">
        <w:t xml:space="preserve"> se on näiden välineiden tavoitteiden, toimintalogiikan ja sääntöjen mukaista.</w:t>
      </w:r>
    </w:p>
    <w:p w14:paraId="505EDF8C" w14:textId="77777777" w:rsidR="00BC62F5" w:rsidRPr="00A02E61" w:rsidRDefault="00BC62F5" w:rsidP="00DA4273">
      <w:pPr>
        <w:rPr>
          <w:rStyle w:val="eop"/>
          <w:noProof/>
          <w:shd w:val="clear" w:color="auto" w:fill="FFFF00"/>
        </w:rPr>
      </w:pPr>
      <w:r w:rsidRPr="00A02E61">
        <w:t>Ukrainan tukilaina täydentää erityisesti tukea, jota EU antaa G7-maiden ERA-laina-aloitteen ja Ukrainan tukivälineen puitteissa. Erityistä huomiota kiinnitetään siihen, että Ukrainan tukilaina ja puolustuspolitiikan täytäntöönpano olisivat keskenään yhdenmukaisia ja vahvistaisivat toisiaan SAFE-asetuksen ja ehdotetun EDIP-asetuksen mukaisesti.</w:t>
      </w:r>
    </w:p>
    <w:p w14:paraId="62B2E7CE" w14:textId="77777777" w:rsidR="00BC62F5" w:rsidRPr="00A02E61" w:rsidRDefault="00BC62F5" w:rsidP="00DA4273">
      <w:pPr>
        <w:pStyle w:val="ManualHeading2"/>
        <w:rPr>
          <w:rStyle w:val="eop"/>
          <w:rFonts w:ascii="Calibri" w:eastAsiaTheme="majorEastAsia" w:hAnsi="Calibri" w:cs="Calibri"/>
          <w:noProof/>
        </w:rPr>
      </w:pPr>
      <w:r w:rsidRPr="00A02E61">
        <w:rPr>
          <w:rStyle w:val="normaltextrun"/>
        </w:rPr>
        <w:t>•</w:t>
      </w:r>
      <w:r w:rsidRPr="00A02E61">
        <w:tab/>
      </w:r>
      <w:r w:rsidRPr="00A02E61">
        <w:rPr>
          <w:rStyle w:val="tabchar"/>
        </w:rPr>
        <w:t>Yhdenmukaisuus unionin muiden politiikkojen kanssa</w:t>
      </w:r>
    </w:p>
    <w:p w14:paraId="0473C3E6" w14:textId="77777777" w:rsidR="00BC62F5" w:rsidRPr="00A02E61" w:rsidRDefault="00BC62F5" w:rsidP="00DA4273">
      <w:pPr>
        <w:rPr>
          <w:noProof/>
        </w:rPr>
      </w:pPr>
      <w:r w:rsidRPr="00A02E61">
        <w:t>Ukrainan tukilaina-aloitteen puitteissa annettava tuki on johdonmukaista Venäjään kohdistuvien rajoittavien toimenpiteiden (pakotteiden) soveltamisen kanssa, ja se täydentää Euroopan rauhanrahastoa.</w:t>
      </w:r>
    </w:p>
    <w:p w14:paraId="682EFDE8" w14:textId="77777777" w:rsidR="00BC62F5" w:rsidRPr="00A02E61" w:rsidRDefault="00BC62F5" w:rsidP="00DA4273">
      <w:pPr>
        <w:rPr>
          <w:rStyle w:val="normaltextrun"/>
          <w:noProof/>
        </w:rPr>
      </w:pPr>
      <w:r w:rsidRPr="00A02E61">
        <w:rPr>
          <w:rStyle w:val="normaltextrun"/>
        </w:rPr>
        <w:t xml:space="preserve">Lisäksi Eurooppa-neuvoston 23. kesäkuuta 2022 myöntämä ehdokasmaan asema ja Eurooppa-neuvoston 14.–15. joulukuuta 2023 tekemä päätös aloittaa liittymisneuvottelut Ukrainan kanssa ankkuroivat Ukrainan vakaasti tielle kohti EU-jäsenyyttä. </w:t>
      </w:r>
      <w:r w:rsidRPr="00A02E61">
        <w:t>Tästä syystä kaikki EU:n toimet Ukrainan selviytymiskyvyn ja elpymisen tukemiseksi – myös Ukrainan tukilaina, joka puolestaan on johdonmukainen Ukrainan tukivälineen kanssa ja tukee sen täytäntöönpanoa – tukevat myös Ukrainan liittymistä valmistelevan prosessin alkuvaihetta.</w:t>
      </w:r>
    </w:p>
    <w:p w14:paraId="6DCFA5B0" w14:textId="77777777" w:rsidR="00BC62F5" w:rsidRPr="00A02E61" w:rsidRDefault="00BC62F5" w:rsidP="00DA4273">
      <w:pPr>
        <w:pStyle w:val="ManualHeading1"/>
        <w:rPr>
          <w:rFonts w:ascii="Segoe UI" w:hAnsi="Segoe UI" w:cs="Segoe UI"/>
          <w:noProof/>
          <w:sz w:val="18"/>
          <w:szCs w:val="18"/>
        </w:rPr>
      </w:pPr>
      <w:r w:rsidRPr="00A02E61">
        <w:rPr>
          <w:rStyle w:val="normaltextrun"/>
        </w:rPr>
        <w:t>2.</w:t>
      </w:r>
      <w:r w:rsidRPr="00A02E61">
        <w:tab/>
      </w:r>
      <w:r w:rsidRPr="00A02E61">
        <w:rPr>
          <w:rStyle w:val="normaltextrun"/>
        </w:rPr>
        <w:t>OIKEUSPERUSTA, TOISSIJAISUUSPERIAATE JA SUHTEELLISUUSPERIAATE</w:t>
      </w:r>
    </w:p>
    <w:p w14:paraId="52144D2B" w14:textId="77777777" w:rsidR="00BC62F5" w:rsidRPr="00A02E61" w:rsidRDefault="00BC62F5" w:rsidP="00DA4273">
      <w:pPr>
        <w:pStyle w:val="ManualHeading2"/>
        <w:rPr>
          <w:rFonts w:ascii="Segoe UI" w:hAnsi="Segoe UI" w:cs="Segoe UI"/>
          <w:noProof/>
          <w:sz w:val="18"/>
          <w:szCs w:val="18"/>
        </w:rPr>
      </w:pPr>
      <w:r w:rsidRPr="00A02E61">
        <w:rPr>
          <w:rStyle w:val="normaltextrun"/>
        </w:rPr>
        <w:t>•</w:t>
      </w:r>
      <w:r w:rsidRPr="00A02E61">
        <w:tab/>
      </w:r>
      <w:r w:rsidRPr="00A02E61">
        <w:rPr>
          <w:rStyle w:val="normaltextrun"/>
        </w:rPr>
        <w:t>Oikeusperusta</w:t>
      </w:r>
    </w:p>
    <w:p w14:paraId="6FE14AC0" w14:textId="77777777" w:rsidR="00BC62F5" w:rsidRPr="00A02E61" w:rsidRDefault="00BC62F5" w:rsidP="00DA4273">
      <w:pPr>
        <w:rPr>
          <w:rFonts w:ascii="Segoe UI" w:hAnsi="Segoe UI" w:cs="Segoe UI"/>
          <w:noProof/>
          <w:sz w:val="18"/>
          <w:szCs w:val="18"/>
        </w:rPr>
      </w:pPr>
      <w:r w:rsidRPr="00A02E61">
        <w:rPr>
          <w:rStyle w:val="normaltextrun"/>
        </w:rPr>
        <w:t>Euroopan unionin toiminnasta tehdyn sopimuksen 212 artikla on asianmukainen oikeusperusta rahoitusapuohjelmille, joita unioni myöntää sellaisille kolmansille maille, jotka eivät ole kehitysmaita.</w:t>
      </w:r>
    </w:p>
    <w:p w14:paraId="30FDA9AD" w14:textId="77777777" w:rsidR="00BC62F5" w:rsidRPr="00A02E61" w:rsidRDefault="00BC62F5" w:rsidP="00DA4273">
      <w:pPr>
        <w:pStyle w:val="ManualHeading2"/>
        <w:rPr>
          <w:rStyle w:val="tabchar"/>
          <w:rFonts w:ascii="Calibri" w:eastAsiaTheme="majorEastAsia" w:hAnsi="Calibri" w:cs="Calibri"/>
          <w:noProof/>
        </w:rPr>
      </w:pPr>
      <w:r w:rsidRPr="00A02E61">
        <w:rPr>
          <w:rStyle w:val="normaltextrun"/>
        </w:rPr>
        <w:t>•</w:t>
      </w:r>
      <w:r w:rsidRPr="00A02E61">
        <w:tab/>
      </w:r>
      <w:r w:rsidRPr="00A02E61">
        <w:rPr>
          <w:rStyle w:val="tabchar"/>
        </w:rPr>
        <w:t>Toissijaisuusperiaate (jaetun toimivallan osalta)</w:t>
      </w:r>
    </w:p>
    <w:p w14:paraId="0E632A7E" w14:textId="77777777" w:rsidR="00BC62F5" w:rsidRPr="00A02E61" w:rsidRDefault="00BC62F5" w:rsidP="009F3AB1">
      <w:pPr>
        <w:rPr>
          <w:rStyle w:val="normaltextrun"/>
          <w:noProof/>
        </w:rPr>
      </w:pPr>
      <w:r w:rsidRPr="00A02E61">
        <w:rPr>
          <w:rStyle w:val="normaltextrun"/>
        </w:rPr>
        <w:t xml:space="preserve">Ehdotus on toissijaisuusperiaatteen mukainen, koska jäsenvaltiot eivät voi yksin vastata riittävän laajasti tarpeeseen antaa Ukrainalle tukea, vaan tämä voidaan tuen tarpeen laajuuden ja vaikutusten vuoksi saavuttaa paremmin EU:n tasolla. Tärkeimpiä syitä ovat kansallisen tason rahoituskapasiteettiin ja budjetteihin liittyvät rajoitteet sekä tarve avunantajien tiiviiseen koordinointiin, jotta tuen laajuus ja vaikuttavuus voidaan maksimoida samalla kun rajoitetaan Ukrainan viranomaisten hallinnollisiin resursseihin kohdistuvaa taakkaa nykyisessä tilanteessa, jossa kyseiset resurssit on jo venytetty äärimmilleen. </w:t>
      </w:r>
      <w:r w:rsidRPr="00A02E61">
        <w:t>EU:lla on ainutlaatuiset mahdollisuudet antaa Ukrainalle ennakoitavaa, jatkuvaa, hallittua ja oikea-aikaista ulkoista apua kiireellisten budjettitarpeiden kattamiseksi, mukaan lukien tarpeisiin, jotka liittyvät Ukrainan puolustusteollisuuden kapasiteetin tukemiseen.</w:t>
      </w:r>
    </w:p>
    <w:p w14:paraId="0D61D2AF" w14:textId="77777777" w:rsidR="00BC62F5" w:rsidRPr="00A02E61" w:rsidRDefault="00BC62F5" w:rsidP="00DA4273">
      <w:pPr>
        <w:pStyle w:val="ManualHeading2"/>
        <w:rPr>
          <w:rFonts w:ascii="Segoe UI" w:hAnsi="Segoe UI" w:cs="Segoe UI"/>
          <w:noProof/>
          <w:sz w:val="18"/>
          <w:szCs w:val="18"/>
        </w:rPr>
      </w:pPr>
      <w:r w:rsidRPr="00A02E61">
        <w:rPr>
          <w:rStyle w:val="normaltextrun"/>
        </w:rPr>
        <w:lastRenderedPageBreak/>
        <w:t>•</w:t>
      </w:r>
      <w:r w:rsidRPr="00A02E61">
        <w:tab/>
      </w:r>
      <w:r w:rsidRPr="00A02E61">
        <w:rPr>
          <w:rStyle w:val="normaltextrun"/>
        </w:rPr>
        <w:t>Suhteellisuusperiaate</w:t>
      </w:r>
    </w:p>
    <w:p w14:paraId="7CDC2BCF" w14:textId="77777777" w:rsidR="00BC62F5" w:rsidRPr="00A02E61" w:rsidRDefault="00BC62F5" w:rsidP="009F3AB1">
      <w:pPr>
        <w:rPr>
          <w:rStyle w:val="normaltextrun"/>
          <w:noProof/>
        </w:rPr>
      </w:pPr>
      <w:r w:rsidRPr="00A02E61">
        <w:rPr>
          <w:rStyle w:val="normaltextrun"/>
        </w:rPr>
        <w:t>Venäjän edelleen jatkuva provosoimaton ja perusteeton hyökkäys Ukrainaan edellyttää lisärahoitusavun myöntämistä Ukrainalle tässä ehdotuksessa kuvattujen tavoitteiden ja yksityiskohtaisten sääntöjen mukaisesti.</w:t>
      </w:r>
    </w:p>
    <w:p w14:paraId="258992CC" w14:textId="77777777" w:rsidR="00BC62F5" w:rsidRPr="00A02E61" w:rsidRDefault="00BC62F5" w:rsidP="009F3AB1">
      <w:pPr>
        <w:rPr>
          <w:rStyle w:val="normaltextrun"/>
          <w:noProof/>
        </w:rPr>
      </w:pPr>
      <w:r w:rsidRPr="00A02E61">
        <w:rPr>
          <w:rStyle w:val="normaltextrun"/>
        </w:rPr>
        <w:t>Ehdotettua rahoitustukea Ukrainalle pidetään määrältään riittävänä vuosiksi 2026 ja 2027, kun otetaan huomioon kasvaneet rahoitustarpeet ja kansallisten viranomaisten esittämät parhaat arviot Ukrainan puolustustarpeista sekä sotatilanteeseen liittyvä suuri epävarmuus. Tällainen tuki ei ylitä sitä, mikä on tarpeen, kun tavoitteena on antaa Ukrainalle jäsenneltyä tukea ja siihen liittyvää rahoitusta.</w:t>
      </w:r>
    </w:p>
    <w:p w14:paraId="29D1537C" w14:textId="77777777" w:rsidR="00BC62F5" w:rsidRPr="00A02E61" w:rsidRDefault="00BC62F5" w:rsidP="009F3AB1">
      <w:pPr>
        <w:rPr>
          <w:rStyle w:val="eop"/>
          <w:noProof/>
        </w:rPr>
      </w:pPr>
      <w:r w:rsidRPr="00A02E61">
        <w:rPr>
          <w:rStyle w:val="normaltextrun"/>
        </w:rPr>
        <w:t>Ehdotus on oikeassa suhteessa havaittujen puutteiden laajuuteen ja vakavuuteen, mukaan lukien tarpeeseen antaa budjettitukea Ukrainalle sekä tarpeeseen tehdä kiireellisiä ja merkittäviä julkisia investointeja Ukrainan puolustuksen teollisen ja teknologisen perustan tukemiseksi ja sen integroimiseksi Euroopan puolustuksen teolliseen ja teknologiseen perustaan. Ehdotuksessa otetaan huomioon rajat, jotka on asetettu mahdolliselle unionin toiminnalle perussopimusten puitteissa.</w:t>
      </w:r>
    </w:p>
    <w:p w14:paraId="5E7C7870" w14:textId="77777777" w:rsidR="00BC62F5" w:rsidRPr="00A02E61" w:rsidRDefault="00BC62F5" w:rsidP="00DA4273">
      <w:pPr>
        <w:pStyle w:val="ManualHeading2"/>
        <w:rPr>
          <w:rFonts w:ascii="Segoe UI" w:hAnsi="Segoe UI" w:cs="Segoe UI"/>
          <w:noProof/>
          <w:sz w:val="18"/>
          <w:szCs w:val="18"/>
        </w:rPr>
      </w:pPr>
      <w:r w:rsidRPr="00A02E61">
        <w:rPr>
          <w:rStyle w:val="normaltextrun"/>
        </w:rPr>
        <w:t>•</w:t>
      </w:r>
      <w:r w:rsidRPr="00A02E61">
        <w:tab/>
      </w:r>
      <w:r w:rsidRPr="00A02E61">
        <w:rPr>
          <w:rStyle w:val="normaltextrun"/>
        </w:rPr>
        <w:t>Toimintatavan valinta</w:t>
      </w:r>
    </w:p>
    <w:p w14:paraId="682549F6" w14:textId="77777777" w:rsidR="00BC62F5" w:rsidRPr="00A02E61" w:rsidRDefault="00BC62F5" w:rsidP="00DA4273">
      <w:pPr>
        <w:rPr>
          <w:rStyle w:val="eop"/>
          <w:noProof/>
        </w:rPr>
      </w:pPr>
      <w:r w:rsidRPr="00A02E61">
        <w:t xml:space="preserve">Euroopan parlamentin ja neuvoston asetus on asianmukainen väline, sillä siinä säädetään suoraan sovellettavista Ukrainan tukilainan täytäntöönpanoa koskevista säännöistä. </w:t>
      </w:r>
    </w:p>
    <w:p w14:paraId="79934412" w14:textId="77777777" w:rsidR="00BC62F5" w:rsidRPr="00A02E61" w:rsidRDefault="00BC62F5" w:rsidP="009F3AB1">
      <w:pPr>
        <w:pStyle w:val="ManualHeading1"/>
        <w:rPr>
          <w:b w:val="0"/>
          <w:bCs/>
          <w:smallCaps w:val="0"/>
          <w:noProof/>
        </w:rPr>
      </w:pPr>
      <w:r w:rsidRPr="00A02E61">
        <w:rPr>
          <w:rStyle w:val="normaltextrun"/>
        </w:rPr>
        <w:t>3.</w:t>
      </w:r>
      <w:r w:rsidRPr="00A02E61">
        <w:tab/>
        <w:t>JÄLKIARVIOINTIEN, SIDOSRYHMIEN KUULEMISTEN JA VAIKUTUSTENARVIOINTIEN TULOKSET</w:t>
      </w:r>
    </w:p>
    <w:p w14:paraId="21A76159" w14:textId="77777777" w:rsidR="00BC62F5" w:rsidRPr="00A02E61" w:rsidRDefault="00BC62F5" w:rsidP="009F3AB1">
      <w:pPr>
        <w:pStyle w:val="ManualHeading2"/>
        <w:rPr>
          <w:rStyle w:val="normaltextrun"/>
          <w:rFonts w:ascii="Segoe UI" w:hAnsi="Segoe UI" w:cs="Segoe UI"/>
          <w:noProof/>
          <w:sz w:val="18"/>
          <w:szCs w:val="18"/>
        </w:rPr>
      </w:pPr>
      <w:r w:rsidRPr="00A02E61">
        <w:rPr>
          <w:rStyle w:val="normaltextrun"/>
        </w:rPr>
        <w:t>•</w:t>
      </w:r>
      <w:r w:rsidRPr="00A02E61">
        <w:tab/>
      </w:r>
      <w:r w:rsidRPr="00A02E61">
        <w:rPr>
          <w:rStyle w:val="normaltextrun"/>
        </w:rPr>
        <w:t>Jälkiarvioinnit/toimivuustarkastukset</w:t>
      </w:r>
    </w:p>
    <w:p w14:paraId="2D4E6215" w14:textId="77777777" w:rsidR="00812343" w:rsidRPr="00A02E61" w:rsidRDefault="00812343" w:rsidP="009F3AB1">
      <w:pPr>
        <w:rPr>
          <w:noProof/>
        </w:rPr>
      </w:pPr>
      <w:r w:rsidRPr="00A02E61">
        <w:t>Ehdotus on jatkoa Ukrainalle vuodesta 2015 myönnetyille makrotaloudellisille rahoitusaputoimille. Aiempien Ukrainalle suunnattujen makrotaloudellisen rahoitusaputoimien jälkiarvioinnit ovat osoittaneet, että toimet ovat yleisesti ottaen olleet erittäin merkityksellisiä tavoitteidensa, rahoituspuitteidensa ja politiikkaa koskevien ehtojen osalta. Makrotaloudellinen rahoitusapu on ollut ratkaisevan tärkeää erityisesti tuettaessa Ukrainaa maksutaseongelmien ratkaisemisessa ja keskeisten rakenneuudistusten toteuttamisessa maan talouden vakauttamiseksi ja ulkoisen rahoitusaseman kestävyyden parantamiseksi. Avun ansiosta on saavutettu julkisen talouden säästöjä ja taloudellisia hyötyjä, ja apu toimii myös lisärahoitustuen ja sijoittajien luottamuksen katalysaattorina. Makrotaloudellisiin rahoitusaputoimiin liitettyjen ehtojen on todettu täydentävän asiaan liittyviä IMF:n ohjelmia. Niillä on luotu poliittisesti vahvistava vaikutus, joka on osaltaan kannustanut Ukrainan viranomaisia toteuttamaan olennaisia uudistuksia etenkin sellaisilla rakennepolitiikan aloilla, jotka eivät kuulu yhtä kattavasti muiden kansainvälisten avunantajien ohjelmien piiriin.</w:t>
      </w:r>
    </w:p>
    <w:p w14:paraId="331595CC" w14:textId="77777777" w:rsidR="00BC62F5" w:rsidRPr="00A02E61" w:rsidRDefault="00BC62F5" w:rsidP="00BE4C42">
      <w:pPr>
        <w:pStyle w:val="ManualHeading2"/>
        <w:rPr>
          <w:rStyle w:val="eop"/>
          <w:b w:val="0"/>
          <w:noProof/>
        </w:rPr>
      </w:pPr>
      <w:r w:rsidRPr="00A02E61">
        <w:rPr>
          <w:rStyle w:val="normaltextrun"/>
        </w:rPr>
        <w:t>•</w:t>
      </w:r>
      <w:r w:rsidRPr="00A02E61">
        <w:tab/>
      </w:r>
      <w:r w:rsidRPr="00A02E61">
        <w:rPr>
          <w:rStyle w:val="normaltextrun"/>
        </w:rPr>
        <w:t>Sidosryhmien kuuleminen</w:t>
      </w:r>
    </w:p>
    <w:p w14:paraId="5E20889A" w14:textId="77777777" w:rsidR="00812343" w:rsidRPr="00A02E61" w:rsidRDefault="00BC62F5" w:rsidP="00BE4C42">
      <w:pPr>
        <w:rPr>
          <w:rStyle w:val="normaltextrun"/>
          <w:noProof/>
        </w:rPr>
      </w:pPr>
      <w:r w:rsidRPr="00A02E61">
        <w:t>Ehdotus perustuu Eurooppa-neuvoston 18. joulukuuta 2025 antamiin päätelmiin, joissa Eurooppa-neuvosto sopi, että Ukrainalle myönnetään vuosiksi 2026–2027 90 miljardin euron laina perustuen pääomamarkkinoilta tapahtuvaan EU:n lainanottoon, joka taataan EU:n talousarvion liikkumavaralla. Komission yksiköt ovat tätä ehdotusta valmistellessaan kuulleet kansainvälisiä rahoituslaitoksia ja muita kahdenvälisiä (mukaan lukien jäsenvaltiot ja G7-maat) ja monenvälisiä avunantajia. Komissio on myös säännöllisesti yhteydessä Ukrainan viranomaisiin.</w:t>
      </w:r>
    </w:p>
    <w:p w14:paraId="21255F74" w14:textId="77777777" w:rsidR="00BC62F5" w:rsidRPr="00A02E61" w:rsidRDefault="00BC62F5" w:rsidP="00BE4C42">
      <w:pPr>
        <w:rPr>
          <w:noProof/>
        </w:rPr>
      </w:pPr>
      <w:r w:rsidRPr="00A02E61">
        <w:t xml:space="preserve">Koska ehdotus oli valmisteltava kiireellisesti, jotta lainsäätäjät voivat hyväksyä sen ajoissa ja varmistaa, että sen toteuttaminen voidaan aloittaa viimeistään vuoden 2026 alussa, virallista </w:t>
      </w:r>
      <w:r w:rsidRPr="00A02E61">
        <w:lastRenderedPageBreak/>
        <w:t>sidosryhmien kuulemista ei voitu järjestää. Ratkaisulla pyritään vastaamaan Venäjän hyökkäyssodasta johtuviin uusiin ja kasvaviin puolustus- ja budjettitarpeisiin. Näihin tarpeisiin sisältyvät myös elpymiseen ja jälleenrakentamiseen liittyvät pyrkimykset. Euroopan unioni varmistaa Ukrainan tukilainan tavoitteita ja sen puitteissa toteutettuja toimia koskevan viestinnän ja näkyvyyden sekä Ukrainassa että koko unionissa ja kansainvälisesti.</w:t>
      </w:r>
    </w:p>
    <w:p w14:paraId="31CBA102" w14:textId="77777777" w:rsidR="00BC62F5" w:rsidRPr="00A02E61" w:rsidRDefault="00BC62F5" w:rsidP="00BE4C42">
      <w:pPr>
        <w:pStyle w:val="ManualHeading2"/>
        <w:rPr>
          <w:rStyle w:val="eop"/>
          <w:b w:val="0"/>
          <w:noProof/>
        </w:rPr>
      </w:pPr>
      <w:r w:rsidRPr="00A02E61">
        <w:rPr>
          <w:rStyle w:val="normaltextrun"/>
        </w:rPr>
        <w:t>•</w:t>
      </w:r>
      <w:r w:rsidRPr="00A02E61">
        <w:tab/>
      </w:r>
      <w:r w:rsidRPr="00A02E61">
        <w:rPr>
          <w:rStyle w:val="normaltextrun"/>
        </w:rPr>
        <w:t>Asiantuntijatiedon keruu ja käyttö</w:t>
      </w:r>
    </w:p>
    <w:p w14:paraId="6BECA895" w14:textId="77777777" w:rsidR="00BC62F5" w:rsidRPr="00A02E61" w:rsidRDefault="00BC62F5" w:rsidP="00BE4C42">
      <w:pPr>
        <w:rPr>
          <w:noProof/>
        </w:rPr>
      </w:pPr>
      <w:r w:rsidRPr="00A02E61">
        <w:t xml:space="preserve">Ehdotus perustuu makrotaloudellisesta rahoitusavusta vuosikymmenten aikana saatuun kokemukseen sekä unionin ulkoiseen toimintaan liittyvästä tuesta saatuihin kokemuksiin, vuonna 2024 perustettu Ukrainan tukiväline mukaan lukien. </w:t>
      </w:r>
    </w:p>
    <w:p w14:paraId="710C5AAE" w14:textId="77777777" w:rsidR="00BC62F5" w:rsidRPr="00A02E61" w:rsidRDefault="00BC62F5" w:rsidP="00BE4C42">
      <w:pPr>
        <w:rPr>
          <w:noProof/>
        </w:rPr>
      </w:pPr>
      <w:r w:rsidRPr="00A02E61">
        <w:t>Komissio perustaa tämän ehdotuksen Ukrainan rahoitustarpeista ja laajemmasta makrotaloudellisesta tilanteesta tehtyyn huolelliseen analyysiin ja käyttää tukena myös kansainvälisiltä rahoituslaitoksilta ja muilta toimivaltaisilta kansainvälisiltä instituutioilta saatuja tietoja. Pohjana on käytetty esimerkiksi kansainvälisillä foorumeilla, kuten G7-ryhmässä ja IMF:ssä, käytyjä säännöllisiä keskusteluja Ukrainan rahoitustarpeita koskevista viimeisimmistä ennusteista sekä jatkuvaa suoraa yhteydenpitoa Ukrainan viranomaisten kanssa.</w:t>
      </w:r>
    </w:p>
    <w:p w14:paraId="01FFBD7A" w14:textId="77777777" w:rsidR="00BC62F5" w:rsidRPr="00A02E61" w:rsidRDefault="00BC62F5" w:rsidP="00BE4C42">
      <w:pPr>
        <w:pStyle w:val="ManualHeading2"/>
        <w:rPr>
          <w:rStyle w:val="eop"/>
          <w:b w:val="0"/>
          <w:noProof/>
        </w:rPr>
      </w:pPr>
      <w:r w:rsidRPr="00A02E61">
        <w:rPr>
          <w:rStyle w:val="normaltextrun"/>
        </w:rPr>
        <w:t>•</w:t>
      </w:r>
      <w:r w:rsidRPr="00A02E61">
        <w:tab/>
      </w:r>
      <w:r w:rsidRPr="00A02E61">
        <w:rPr>
          <w:rStyle w:val="normaltextrun"/>
        </w:rPr>
        <w:t>Vaikutustenarviointi</w:t>
      </w:r>
    </w:p>
    <w:p w14:paraId="4B1492F6" w14:textId="77777777" w:rsidR="00BC62F5" w:rsidRPr="00A02E61" w:rsidRDefault="00BC62F5" w:rsidP="00BC62F5">
      <w:pPr>
        <w:autoSpaceDE w:val="0"/>
        <w:autoSpaceDN w:val="0"/>
        <w:spacing w:before="40" w:after="240"/>
        <w:rPr>
          <w:noProof/>
        </w:rPr>
      </w:pPr>
      <w:r w:rsidRPr="00A02E61">
        <w:t>Koska ehdotuksen tarkoituksena on antaa kiireellistä apua sodassa olevalle maalle, vaikutustenarviointia ei ole voitu asian kiireellisyyden vuoksi tehdä. Ukrainan tukilainalla katettavaksi ehdotettujen tarpeiden ennakkoarviointi perustuu muun muassa IMF:n ja Ukrainan viranomaisten viimeaikaisiin tietoihin. Ukrainan tukilainan puitteissa annettavan tuen olisi perustuttava kokemuksiin ja saavutuksiin, joita on saatu viimeaikaisista tukialoitteista, kuten G7-maiden ERA-laina-aloitteesta.</w:t>
      </w:r>
    </w:p>
    <w:p w14:paraId="6F56D690" w14:textId="77777777" w:rsidR="00BC62F5" w:rsidRPr="00A02E61" w:rsidRDefault="00BC62F5" w:rsidP="00BE4C42">
      <w:pPr>
        <w:pStyle w:val="ManualHeading2"/>
        <w:rPr>
          <w:rStyle w:val="eop"/>
          <w:b w:val="0"/>
          <w:bCs/>
          <w:noProof/>
        </w:rPr>
      </w:pPr>
      <w:r w:rsidRPr="00A02E61">
        <w:rPr>
          <w:rStyle w:val="normaltextrun"/>
        </w:rPr>
        <w:t>•</w:t>
      </w:r>
      <w:r w:rsidRPr="00A02E61">
        <w:tab/>
      </w:r>
      <w:r w:rsidRPr="00A02E61">
        <w:rPr>
          <w:rStyle w:val="normaltextrun"/>
        </w:rPr>
        <w:t>Sääntelyn toimivuus ja yksinkertaistaminen</w:t>
      </w:r>
    </w:p>
    <w:p w14:paraId="71723211" w14:textId="77777777" w:rsidR="00BC62F5" w:rsidRPr="00A02E61" w:rsidRDefault="00BC62F5" w:rsidP="00BC62F5">
      <w:pPr>
        <w:pBdr>
          <w:top w:val="nil"/>
          <w:left w:val="nil"/>
          <w:bottom w:val="nil"/>
          <w:right w:val="nil"/>
          <w:between w:val="nil"/>
          <w:bar w:val="nil"/>
        </w:pBdr>
        <w:spacing w:before="0" w:after="240"/>
        <w:rPr>
          <w:rFonts w:eastAsia="Arial Unicode MS"/>
          <w:noProof/>
        </w:rPr>
      </w:pPr>
      <w:r w:rsidRPr="00A02E61">
        <w:t>Ehdotus ei liity sääntelyn toimivuuteen ja yksinkertaistamiseen.</w:t>
      </w:r>
    </w:p>
    <w:p w14:paraId="44F7BBC6" w14:textId="77777777" w:rsidR="00BC62F5" w:rsidRPr="00A02E61" w:rsidRDefault="00BC62F5" w:rsidP="00BE4C42">
      <w:pPr>
        <w:pStyle w:val="ManualHeading2"/>
        <w:rPr>
          <w:rStyle w:val="eop"/>
          <w:b w:val="0"/>
          <w:noProof/>
        </w:rPr>
      </w:pPr>
      <w:r w:rsidRPr="00A02E61">
        <w:rPr>
          <w:rStyle w:val="normaltextrun"/>
        </w:rPr>
        <w:t>•</w:t>
      </w:r>
      <w:r w:rsidRPr="00A02E61">
        <w:tab/>
      </w:r>
      <w:r w:rsidRPr="00A02E61">
        <w:rPr>
          <w:rStyle w:val="normaltextrun"/>
        </w:rPr>
        <w:t>Perusoikeudet</w:t>
      </w:r>
    </w:p>
    <w:p w14:paraId="6EEB6FAC" w14:textId="77777777" w:rsidR="00BC62F5" w:rsidRPr="00A02E61" w:rsidRDefault="00BC62F5" w:rsidP="00BE4C42">
      <w:pPr>
        <w:rPr>
          <w:noProof/>
        </w:rPr>
      </w:pPr>
      <w:r w:rsidRPr="00A02E61">
        <w:t>Ennakkoehto tuen myöntämiselle Ukrainan tukilainan puitteissa on, että Ukraina jatkaa toimivien demokratian mekanismien ja demokraattisten instituutioiden, kuten parlamentaarisen monipuoluejärjestelmän ja oikeusvaltioperiaatteen, ylläpitämistä ja noudattamista sekä takaa ihmisoikeuksien, myös vähemmistöihin kuuluvien henkilöiden oikeuksien, kunnioittamisen. Oikeusvaltioperiaatteen ylläpitämiseen ja kunnioittamiseen olisi sisällyttävä korruption torjunta.</w:t>
      </w:r>
    </w:p>
    <w:p w14:paraId="59280408" w14:textId="77777777" w:rsidR="00BC62F5" w:rsidRPr="00A02E61" w:rsidRDefault="00BC62F5" w:rsidP="00BE4C42">
      <w:pPr>
        <w:rPr>
          <w:noProof/>
        </w:rPr>
      </w:pPr>
      <w:r w:rsidRPr="00A02E61">
        <w:t>Ukrainan viranomaisten sitoutuminen uudistuksiin ja poliittinen tahto ovat myönteinen merkki, ja osoituksia siitä ovat erityisesti Eurooppa-neuvoston kesäkuussa 2022 Ukrainalle myöntämä ehdokasmaan asema ja Eurooppa-neuvoston joulukuussa 2023 tekemä päätös aloittaa liittymisneuvottelut Ukrainan kanssa sekä se, että Ukraina on jälleen täyttänyt onnistuneesti viimeaikaisiin makrotaloudellisiin rahoitusaputoimiin liitetyt rakennepoliittiset ehdot ja että Ukraina-suunnitelman täytäntöönpano edistyy jatkuvasti. Ukraina hyväksyi 14. toukokuuta 2025 etenemissuunnitelmia, jotka koskevat muun muassa oikeusvaltioperiaatetta, julkishallinnon uudistusta ja demokraattisten instituutioiden toimintaa. Kahdenväliset analyyttistä tarkastelua käsittelevät kokoukset saatiin päätökseen syyskuussa 2025. Ukrainan viranomaiset ovat Venäjän aloittaman hyökkäyksen alusta asti osoittaneet huomattavaa resilienssiä. Ne ovat edelleen sitoutuneet jatkamaan näitä uudistuksia läpinäkyvällä tavalla ja pyrkien noudattamaan EU:n normeja ja edistämään maan EU-jäsenyyden valmistelua.</w:t>
      </w:r>
    </w:p>
    <w:p w14:paraId="6F2F8C22" w14:textId="77777777" w:rsidR="00BC62F5" w:rsidRPr="00A02E61" w:rsidRDefault="00BC62F5" w:rsidP="00BE4C42">
      <w:pPr>
        <w:rPr>
          <w:noProof/>
        </w:rPr>
      </w:pPr>
      <w:r w:rsidRPr="00A02E61">
        <w:lastRenderedPageBreak/>
        <w:t>Näin ollen Ukrainan tukilainan ennakkoehtojen katsotaan tällä hetkellä täyttyvän. Tämän ennakkoehdon jatkuva noudattaminen varmistetaan myös erityisehdoilla, jotka liittyvät komission tekemään arvioon Ukrainan tulevista rahoitusstrategioista, ja ennen maksujen suorittamista. Vastaavaa tuen ennakkoehtoa sovelletaan Ukraina-suunnitelman täytäntöönpanoon.</w:t>
      </w:r>
    </w:p>
    <w:p w14:paraId="0E1FDD68" w14:textId="77777777" w:rsidR="00BC62F5" w:rsidRPr="00A02E61" w:rsidRDefault="00BC62F5" w:rsidP="00BE4C42">
      <w:pPr>
        <w:pStyle w:val="ManualHeading1"/>
        <w:rPr>
          <w:noProof/>
        </w:rPr>
      </w:pPr>
      <w:r w:rsidRPr="00A02E61">
        <w:rPr>
          <w:rStyle w:val="normaltextrun"/>
        </w:rPr>
        <w:t>4.</w:t>
      </w:r>
      <w:r w:rsidRPr="00A02E61">
        <w:tab/>
      </w:r>
      <w:r w:rsidRPr="00A02E61">
        <w:rPr>
          <w:rStyle w:val="normaltextrun"/>
        </w:rPr>
        <w:t>TALOUSARVIOVAIKUTUKSET</w:t>
      </w:r>
    </w:p>
    <w:p w14:paraId="777D855E" w14:textId="77777777" w:rsidR="007B1F29" w:rsidRPr="00A02E61" w:rsidRDefault="00BC62F5" w:rsidP="00721798">
      <w:pPr>
        <w:rPr>
          <w:noProof/>
        </w:rPr>
      </w:pPr>
      <w:r w:rsidRPr="00A02E61">
        <w:t xml:space="preserve">Ukrainan tukilaina on enintään 90 miljardin euron laina, johon liittyy rajoitettu vastuu ja joka maksetaan takaisin Venäjältä saatavista korvauksista. Laina perustuu pääomamarkkinoilta tapahtuvaan EU:n lainanottoon, joka taataan EU:n budjetin liikkumavaralla. Unionin talousarviosta katetaan myös lainanottoon liittyvät velanhoitokustannukset (varainhankintakustannukset sekä likviditeetinhallintakustannukset) sekä niihin liittyvät hallinnolliset kustannukset. Näiden seikkojen huomioon ottamiseksi monivuotista rahoituskehystä 2021–2027 koskevaa asetusta tullaan tarkistamaan. </w:t>
      </w:r>
    </w:p>
    <w:p w14:paraId="257255E5" w14:textId="77777777" w:rsidR="007B1F29" w:rsidRPr="00A02E61" w:rsidRDefault="007B1F29" w:rsidP="007B1F29">
      <w:pPr>
        <w:rPr>
          <w:noProof/>
        </w:rPr>
      </w:pPr>
      <w:r w:rsidRPr="00A02E61">
        <w:t>Velanhoitokustannukset rahoitetaan monivuotisen rahoituskehyksen enimmäismäärä ylittäen uudesta erityisrahoitusvälineestä eli Ukrainan lainavälineestä, joka voidaan ottaa käyttöön yksinomaan tätä tarkoitusta varten. Kun Ukrainan lainavälineestä otetaan käyttöön varoja talousarviomenettelyn puitteissa, otetaan myös huomioon muissa erityisrahoitusvälineissä käytettävissä olevat määrärahat, sovellettavat alakohtaiset säännöt, mahdolliset oikeudelliset tai muut velvoitteet, myös EURI-välineen mukaiset velvoitteet, sekä painopisteet, harkittu budjetointi ja moitteeton varainhoito.</w:t>
      </w:r>
    </w:p>
    <w:p w14:paraId="2E55F7A7" w14:textId="77777777" w:rsidR="007B1F29" w:rsidRPr="00A02E61" w:rsidRDefault="007B1F29" w:rsidP="007B1F29">
      <w:pPr>
        <w:rPr>
          <w:noProof/>
        </w:rPr>
      </w:pPr>
      <w:r w:rsidRPr="00A02E61">
        <w:t>Ukrainan tukilaina rahoitetaan tiiviimmän yhteistyön puitteissa, mikä merkitsee Euroopan unionin toiminnasta tehdyn sopimuksen 332 artiklan mukaisesti sitä, että osallistuvat jäsenvaltiot vastaavat siitä aiheutuvista muista kuin toimielinten hallintomenoista.</w:t>
      </w:r>
    </w:p>
    <w:p w14:paraId="330A83C1" w14:textId="77777777" w:rsidR="00BC62F5" w:rsidRPr="00A02E61" w:rsidRDefault="007B1F29" w:rsidP="003D3CD6">
      <w:pPr>
        <w:rPr>
          <w:noProof/>
        </w:rPr>
      </w:pPr>
      <w:r w:rsidRPr="00A02E61">
        <w:t>Jotta tiiviimmästä yhteistyöstä johtuviin velanhoitokustannuksiin liittyvät menot voidaan yksilöidä selkeästi ja läpinäkyvästi, luodaan uusi budjettikohta. Osallistuvien jäsenvaltioiden rahoitusosuuksien laskentamenetelmä määritellään omien varojen käyttöön asettamista koskevan asetuksen (asetus (EU, Euratom) N:o 609/2014) 11 artiklassa. Vastaavasti jos EU:n talousarviotakauksen perusteella vaaditaan maksua, määrät otetaan käyttöön monivuotisen rahoituskehyksen enimmäismäärät ylittäen, ja rahoitusosuudet, joista osallistuvat jäsenvaltiot vastaavat, määritetään samalla menetelmällä.</w:t>
      </w:r>
    </w:p>
    <w:p w14:paraId="356D64E5" w14:textId="77777777" w:rsidR="00BC62F5" w:rsidRPr="00A02E61" w:rsidRDefault="007B1F29" w:rsidP="00BE4C42">
      <w:pPr>
        <w:rPr>
          <w:noProof/>
        </w:rPr>
      </w:pPr>
      <w:r w:rsidRPr="00A02E61">
        <w:t>Talousarviovaikutuksista on tietoa tämän ehdotuksen liitteenä olevassa rahoitusselvityksessä.</w:t>
      </w:r>
    </w:p>
    <w:p w14:paraId="40C4809B" w14:textId="77777777" w:rsidR="00BC62F5" w:rsidRPr="00A02E61" w:rsidRDefault="00BC62F5" w:rsidP="00BE4C42">
      <w:pPr>
        <w:pStyle w:val="ManualHeading1"/>
        <w:rPr>
          <w:rStyle w:val="eop"/>
          <w:noProof/>
        </w:rPr>
      </w:pPr>
      <w:r w:rsidRPr="00A02E61">
        <w:rPr>
          <w:rStyle w:val="normaltextrun"/>
        </w:rPr>
        <w:t>5.</w:t>
      </w:r>
      <w:r w:rsidRPr="00A02E61">
        <w:tab/>
      </w:r>
      <w:r w:rsidRPr="00A02E61">
        <w:rPr>
          <w:rStyle w:val="normaltextrun"/>
        </w:rPr>
        <w:t>LISÄTIEDOT</w:t>
      </w:r>
    </w:p>
    <w:p w14:paraId="4D8684DD" w14:textId="77777777" w:rsidR="00BC62F5" w:rsidRPr="00A02E61" w:rsidRDefault="00BC62F5" w:rsidP="00BE4C42">
      <w:pPr>
        <w:pStyle w:val="ManualHeading2"/>
        <w:rPr>
          <w:rStyle w:val="eop"/>
          <w:b w:val="0"/>
          <w:noProof/>
        </w:rPr>
      </w:pPr>
      <w:r w:rsidRPr="00A02E61">
        <w:rPr>
          <w:rStyle w:val="normaltextrun"/>
        </w:rPr>
        <w:t>•</w:t>
      </w:r>
      <w:r w:rsidRPr="00A02E61">
        <w:tab/>
      </w:r>
      <w:r w:rsidRPr="00A02E61">
        <w:rPr>
          <w:rStyle w:val="normaltextrun"/>
        </w:rPr>
        <w:t>Toteuttamissuunnitelmat, seuranta, arviointi ja raportointijärjestelyt</w:t>
      </w:r>
    </w:p>
    <w:p w14:paraId="3CA3E1DC" w14:textId="77777777" w:rsidR="00BC62F5" w:rsidRPr="00A02E61" w:rsidRDefault="00BC62F5" w:rsidP="00BE4C42">
      <w:pPr>
        <w:rPr>
          <w:noProof/>
        </w:rPr>
      </w:pPr>
      <w:r w:rsidRPr="00A02E61">
        <w:t>Ukrainan tukilaina on määrältään enintään 90 miljardia euroa, ja se asetetaan saataville Ukrainan rahoitustarpeiden perusteella tämän ehdotuksen säännösten mukaisesti.</w:t>
      </w:r>
    </w:p>
    <w:p w14:paraId="761C8B03" w14:textId="77777777" w:rsidR="007B09F5" w:rsidRPr="00A02E61" w:rsidRDefault="00BC62F5" w:rsidP="00BE4C42">
      <w:pPr>
        <w:rPr>
          <w:noProof/>
        </w:rPr>
      </w:pPr>
      <w:r w:rsidRPr="00A02E61">
        <w:t xml:space="preserve">Ukrainan tukilaina-asetuksen täytäntöönpanoa varten Ukrainan on toimitettava Euroopan komissiolle Ukrainan rahoitusstrategia, jossa esitetään yksityiskohtaiset tiedot Ukrainan rahoitustarpeista ja -lähteistä periaatteessa seuraavien 12 kuukauden ajalta. Komissio arvioi Ukrainan rahoitusstrategian ja, jos arvio on myönteinen, toimittaa neuvostolle ehdotuksen arvionsa hyväksymisestä täytäntöönpanopäätöksellä. Komission ehdotuksessa esitetään Ukrainalle myönnettävän avun määrä, jolla tuetaan Ukrainan rahoitusstrategian täytäntöönpanoa, mukaan lukien avun määrä, joka voidaan käyttää i) Ukrainan tukivälineen kautta annettavaan apuun, ii) makrotaloudelliseen rahoitusapuun ja iii) Ukrainan puolustusteollisuuden kapasiteetin tukemiseen. </w:t>
      </w:r>
    </w:p>
    <w:p w14:paraId="400DE6FA" w14:textId="77777777" w:rsidR="00BC62F5" w:rsidRPr="00A02E61" w:rsidRDefault="00BC62F5" w:rsidP="00BE4C42">
      <w:pPr>
        <w:rPr>
          <w:rFonts w:eastAsia="Arial Unicode MS"/>
          <w:noProof/>
        </w:rPr>
      </w:pPr>
      <w:r w:rsidRPr="00A02E61">
        <w:lastRenderedPageBreak/>
        <w:t>Saadakseen rahoituksellista ja taloudellista apua Ukrainan tukilainan puitteissa Ukraina toimittaa komissiolle asianmukaisesti perustellun rahoituspyynnön, jollaisen se voi toimittaa komissiolle periaatteessa kuusi kertaa vuodessa.</w:t>
      </w:r>
    </w:p>
    <w:p w14:paraId="7062EC72" w14:textId="77777777" w:rsidR="00BC62F5" w:rsidRPr="00A02E61" w:rsidRDefault="00F9031A" w:rsidP="00BE4C42">
      <w:pPr>
        <w:rPr>
          <w:noProof/>
        </w:rPr>
      </w:pPr>
      <w:r w:rsidRPr="00A02E61">
        <w:t>Komissio antaa Euroopan parlamentille ja neuvostolle kertomuksen Ukrainan tukilaina-asetuksen täytäntöönpanosta edellisen vuoden aikana. Kertomukseen sisältyy myös täytäntöönpanoa koskeva arviointi. Lisäksi komissio toimittaa Euroopan parlamentille ja neuvostolle viimeistään 30. kesäkuuta 2029 kertomuksen, jossa arvioidaan Ukrainan tukilaina-asetuksen puitteissa myönnetyn Ukrainan tukilainan tuloksia ja tehokkuutta sekä sitä, missä määrin tukilaina on edistänyt avun tavoitteiden saavuttamista.</w:t>
      </w:r>
    </w:p>
    <w:p w14:paraId="1E15B346" w14:textId="77777777" w:rsidR="00BC62F5" w:rsidRPr="00A02E61" w:rsidRDefault="00F9031A" w:rsidP="00BE4C42">
      <w:pPr>
        <w:rPr>
          <w:noProof/>
        </w:rPr>
      </w:pPr>
      <w:r w:rsidRPr="00A02E61">
        <w:t>Unionin toimielinten ja erityisesti Euroopan parlamentin, neuvoston ja komission välisen vuoropuhelun vahvistamiseksi sekä läpinäkyvyyden ja vastuuvelvollisuuden lisäämiseksi Euroopan parlamentin asiasta vastaava valiokunta voi kutsua komission keskustelemaan tämän asetuksen täytäntöönpanosta.</w:t>
      </w:r>
    </w:p>
    <w:p w14:paraId="418B4099" w14:textId="77777777" w:rsidR="00BC62F5" w:rsidRPr="00A02E61" w:rsidRDefault="00BC62F5" w:rsidP="00A761AB">
      <w:pPr>
        <w:pStyle w:val="ManualHeading2"/>
        <w:rPr>
          <w:rFonts w:ascii="Segoe UI" w:hAnsi="Segoe UI" w:cs="Segoe UI"/>
          <w:noProof/>
          <w:sz w:val="18"/>
          <w:szCs w:val="18"/>
        </w:rPr>
      </w:pPr>
      <w:r w:rsidRPr="00A02E61">
        <w:rPr>
          <w:rStyle w:val="normaltextrun"/>
        </w:rPr>
        <w:t>•</w:t>
      </w:r>
      <w:r w:rsidRPr="00A02E61">
        <w:tab/>
      </w:r>
      <w:r w:rsidRPr="00A02E61">
        <w:rPr>
          <w:rStyle w:val="normaltextrun"/>
        </w:rPr>
        <w:t>Ehdotukseen sisältyvien säännösten yksityiskohtaiset selitykset</w:t>
      </w:r>
    </w:p>
    <w:p w14:paraId="163A01F4" w14:textId="77777777" w:rsidR="00BC62F5" w:rsidRPr="00A02E61" w:rsidRDefault="00BC62F5" w:rsidP="00A761AB">
      <w:pPr>
        <w:rPr>
          <w:noProof/>
        </w:rPr>
      </w:pPr>
      <w:r w:rsidRPr="00A02E61">
        <w:t>Asetuksen I luku koskee sen yleisiä säännöksiä.</w:t>
      </w:r>
    </w:p>
    <w:p w14:paraId="4A69B559" w14:textId="77777777" w:rsidR="00BC62F5" w:rsidRPr="00A02E61" w:rsidRDefault="00BC62F5" w:rsidP="00A761AB">
      <w:pPr>
        <w:rPr>
          <w:noProof/>
        </w:rPr>
      </w:pPr>
      <w:r w:rsidRPr="00A02E61">
        <w:t>Asetuksen 1 artiklassa vahvistetaan asetuksen kohde, joka on Ukrainan tukilainan perustaminen.</w:t>
      </w:r>
    </w:p>
    <w:p w14:paraId="545EEAA7" w14:textId="77777777" w:rsidR="00BC62F5" w:rsidRPr="00A02E61" w:rsidRDefault="00BC62F5" w:rsidP="00A761AB">
      <w:pPr>
        <w:rPr>
          <w:noProof/>
        </w:rPr>
      </w:pPr>
      <w:r w:rsidRPr="00A02E61">
        <w:t>Asetuksen 2 artiklassa määritellään Ukrainan tukilainan yleiset ja erityiset tavoitteet, jotka ovat ennakoitavan ja jatkuvan rahoituksellisen ja taloudellisen avun antaminen Ukrainalle tukemalla Ukrainan makrotaloudellista vakautta ja puolustusteollisuuden kapasiteettia.</w:t>
      </w:r>
    </w:p>
    <w:p w14:paraId="585CE1E8" w14:textId="77777777" w:rsidR="00BC62F5" w:rsidRPr="00A02E61" w:rsidRDefault="00BC62F5" w:rsidP="00A761AB">
      <w:pPr>
        <w:rPr>
          <w:noProof/>
        </w:rPr>
      </w:pPr>
      <w:r w:rsidRPr="00A02E61">
        <w:t>Asetuksen 3 artiklassa esitetään asetuksessa sovellettavat määritelmät.</w:t>
      </w:r>
    </w:p>
    <w:p w14:paraId="7E5367EE" w14:textId="77777777" w:rsidR="00BC62F5" w:rsidRPr="00A02E61" w:rsidRDefault="00BC62F5" w:rsidP="00A761AB">
      <w:pPr>
        <w:rPr>
          <w:noProof/>
        </w:rPr>
      </w:pPr>
      <w:r w:rsidRPr="00A02E61">
        <w:t>Asetuksen 4 artiklassa vahvistetaan Ukrainan tukilainan puitteissa saatavilla oleva apu.</w:t>
      </w:r>
    </w:p>
    <w:p w14:paraId="60C70FD1" w14:textId="77777777" w:rsidR="00BC62F5" w:rsidRPr="00A02E61" w:rsidRDefault="00BC62F5" w:rsidP="00A761AB">
      <w:pPr>
        <w:rPr>
          <w:noProof/>
        </w:rPr>
      </w:pPr>
      <w:r w:rsidRPr="00A02E61">
        <w:t>Asetuksen 5 artiklassa vahvistetaan Ukrainan tukilainan puitteissa myönnettävän avun ennakkoehdot.</w:t>
      </w:r>
    </w:p>
    <w:p w14:paraId="4FB6B697" w14:textId="77777777" w:rsidR="00BC62F5" w:rsidRPr="00A02E61" w:rsidRDefault="00BC62F5" w:rsidP="00A761AB">
      <w:pPr>
        <w:rPr>
          <w:noProof/>
        </w:rPr>
      </w:pPr>
      <w:r w:rsidRPr="00A02E61">
        <w:t>Asetuksen II luku koskee Ukrainan tukilainan täytäntöönpanoa.</w:t>
      </w:r>
    </w:p>
    <w:p w14:paraId="2F87ADC0" w14:textId="77777777" w:rsidR="00BC62F5" w:rsidRPr="00A02E61" w:rsidRDefault="00BC62F5" w:rsidP="00A761AB">
      <w:pPr>
        <w:rPr>
          <w:noProof/>
        </w:rPr>
      </w:pPr>
      <w:r w:rsidRPr="00A02E61">
        <w:t>Asetuksen 6 artiklassa säädetään, että Ukrainan on toimitettava komissiolle Ukrainan rahoitusstrategia, jossa esitetään yksityiskohtaiset tiedot sen sisällöstä ja erityisesti Ukrainan tarpeista ja rahoituslähteistä seuraavien 12 kuukauden aikana.</w:t>
      </w:r>
    </w:p>
    <w:p w14:paraId="03217200" w14:textId="77777777" w:rsidR="00BC62F5" w:rsidRPr="00A02E61" w:rsidRDefault="00BC62F5" w:rsidP="00A761AB">
      <w:pPr>
        <w:rPr>
          <w:noProof/>
        </w:rPr>
      </w:pPr>
      <w:r w:rsidRPr="00A02E61">
        <w:t>Asetuksen 7 artiklassa säädetään komission suorittamasta Ukrainan rahoitusstrategian arvioinnista ja määritetään tarvittavat kriteerit, joita on noudatettava.</w:t>
      </w:r>
    </w:p>
    <w:p w14:paraId="351F15E9" w14:textId="77777777" w:rsidR="00BC62F5" w:rsidRPr="00A02E61" w:rsidRDefault="00BC62F5" w:rsidP="00A761AB">
      <w:pPr>
        <w:rPr>
          <w:noProof/>
        </w:rPr>
      </w:pPr>
      <w:r w:rsidRPr="00A02E61">
        <w:t>Asetuksen 8 artiklassa säädetään neuvoston täytäntöönpanopäätöksestä, jolla rahoituksellinen ja taloudellinen apu asetetaan saataville.</w:t>
      </w:r>
    </w:p>
    <w:p w14:paraId="0498500F" w14:textId="77777777" w:rsidR="00BC62F5" w:rsidRPr="00A02E61" w:rsidRDefault="00BC62F5" w:rsidP="00A761AB">
      <w:pPr>
        <w:rPr>
          <w:noProof/>
        </w:rPr>
      </w:pPr>
      <w:r w:rsidRPr="00A02E61">
        <w:t>Asetuksen 9 artiklassa säädetään tiiviistä yhteistyöstä komission, Ukrainan, jäsenvaltioiden, asiaankuuluvien kansainvälisten elinten ja Ukrainan avunantajien välillä sen varmistamiseksi, että Ukrainan rahoituksellista ja taloudellista apua koskeviin tarpeisiin vastataan johdonmukaisesti ja yhtenäisesti.</w:t>
      </w:r>
    </w:p>
    <w:p w14:paraId="624413B5" w14:textId="77777777" w:rsidR="00BC62F5" w:rsidRPr="00A02E61" w:rsidRDefault="00BC62F5" w:rsidP="00A761AB">
      <w:pPr>
        <w:rPr>
          <w:noProof/>
        </w:rPr>
      </w:pPr>
      <w:r w:rsidRPr="00A02E61">
        <w:t>Asetuksen III luku koskee makrotaloudellista rahoitusapua.</w:t>
      </w:r>
    </w:p>
    <w:p w14:paraId="68B4F2CC" w14:textId="77777777" w:rsidR="00BC62F5" w:rsidRPr="00A02E61" w:rsidRDefault="00BC62F5" w:rsidP="00A761AB">
      <w:pPr>
        <w:rPr>
          <w:noProof/>
        </w:rPr>
      </w:pPr>
      <w:r w:rsidRPr="00A02E61">
        <w:t>Asetuksen 10 artiklassa säädetään makrotaloudellisen rahoitusavun käyttötarkoituksesta. Sillä katetaan erityisesti Ukrainan rahoitusvajetta, joka on esitetty myönteisen arvion saaneessa Ukrainan rahoitusstrategiassa.</w:t>
      </w:r>
    </w:p>
    <w:p w14:paraId="00D37978" w14:textId="77777777" w:rsidR="00BC62F5" w:rsidRPr="00A02E61" w:rsidRDefault="00BC62F5" w:rsidP="00A761AB">
      <w:pPr>
        <w:rPr>
          <w:noProof/>
        </w:rPr>
      </w:pPr>
      <w:r w:rsidRPr="00A02E61">
        <w:t>Asetuksen 11 artiklassa säädetään, että komissio sopii Ukrainan kanssa politiikkaa koskevista ehdoista, jotka liittyvät tuen saamiseen ja jotka kuvataan yhteisymmärryspöytäkirjassa.</w:t>
      </w:r>
    </w:p>
    <w:p w14:paraId="4BE79FA6" w14:textId="77777777" w:rsidR="00BC62F5" w:rsidRPr="00A02E61" w:rsidRDefault="00BC62F5" w:rsidP="00A761AB">
      <w:pPr>
        <w:rPr>
          <w:noProof/>
        </w:rPr>
      </w:pPr>
      <w:r w:rsidRPr="00A02E61">
        <w:t>Asetuksen IV luku koskee apua Ukrainan puolustusteollisuuden kapasiteetin tukemiseksi.</w:t>
      </w:r>
    </w:p>
    <w:p w14:paraId="0FE47FD8" w14:textId="77777777" w:rsidR="00BC62F5" w:rsidRPr="00A02E61" w:rsidRDefault="00BC62F5" w:rsidP="00A761AB">
      <w:pPr>
        <w:rPr>
          <w:noProof/>
        </w:rPr>
      </w:pPr>
      <w:r w:rsidRPr="00A02E61">
        <w:lastRenderedPageBreak/>
        <w:t xml:space="preserve">Asetuksen 12 artiklassa säädetään Ukrainan puolustusteollisuuden kapasiteetin tukemiseksi annettavan avun käyttötarkoituksesta. Sen avulla voidaan erityisesti toteuttaa kiireellisiä ja tuntuvia julkisia investointeja, joilla tuetaan Ukrainan puolustusteollisuutta ja sen integroitumista Euroopan puolustusteollisuuteen. </w:t>
      </w:r>
    </w:p>
    <w:p w14:paraId="4C094CEC" w14:textId="77777777" w:rsidR="00BC62F5" w:rsidRPr="00A02E61" w:rsidRDefault="00BC62F5" w:rsidP="00A761AB">
      <w:pPr>
        <w:rPr>
          <w:noProof/>
        </w:rPr>
      </w:pPr>
      <w:r w:rsidRPr="00A02E61">
        <w:t xml:space="preserve">Asetuksen 13 artiklassa määritetään tukikelpoisuusvaatimukset toimille, menoille ja toimenpiteille, joilla tuetaan Ukrainan puolustusteollisuuden kapasiteettia. </w:t>
      </w:r>
    </w:p>
    <w:p w14:paraId="1BD8D034" w14:textId="77777777" w:rsidR="00BC62F5" w:rsidRPr="00A02E61" w:rsidRDefault="00BC62F5" w:rsidP="00A761AB">
      <w:pPr>
        <w:rPr>
          <w:noProof/>
        </w:rPr>
      </w:pPr>
      <w:r w:rsidRPr="00A02E61">
        <w:t xml:space="preserve">Asetuksen 14 artiklassa edellytetään, että Ukraina laatii luettelon kustakin toimesta, menosta tai toimenpiteestä, joka liittyy puolustustarvikkeeseen tai muuhun puolustustarkoituksiin käytettävään tuotteeseen, jota varten se aikoo pyytää apua. </w:t>
      </w:r>
    </w:p>
    <w:p w14:paraId="67B825E4" w14:textId="77777777" w:rsidR="00BC62F5" w:rsidRPr="00A02E61" w:rsidRDefault="00BC62F5" w:rsidP="00A761AB">
      <w:pPr>
        <w:rPr>
          <w:noProof/>
        </w:rPr>
      </w:pPr>
      <w:r w:rsidRPr="00A02E61">
        <w:t xml:space="preserve">Asetuksen 15 artiklassa säädetään Ukrainan puolustusteollisuuden kapasiteettia käsittelevän asiantuntijaryhmän perustamisesta. </w:t>
      </w:r>
    </w:p>
    <w:p w14:paraId="1E929537" w14:textId="77777777" w:rsidR="00BC62F5" w:rsidRPr="00A02E61" w:rsidRDefault="00BC62F5" w:rsidP="00A761AB">
      <w:pPr>
        <w:rPr>
          <w:noProof/>
        </w:rPr>
      </w:pPr>
      <w:r w:rsidRPr="00A02E61">
        <w:t xml:space="preserve">Asetuksen 16 artiklassa säädetään, että Ukraina avaa erityisen tilin yksinomaan Ukrainan puolustusteollisuuden kapasiteetin tukemiseen annettavan rahoituksellisen ja taloudellisen avun hallinnointia varten. </w:t>
      </w:r>
    </w:p>
    <w:p w14:paraId="78731C58" w14:textId="77777777" w:rsidR="00BC62F5" w:rsidRPr="00A02E61" w:rsidRDefault="00BC62F5" w:rsidP="00A761AB">
      <w:pPr>
        <w:rPr>
          <w:noProof/>
        </w:rPr>
      </w:pPr>
      <w:r w:rsidRPr="00A02E61">
        <w:t xml:space="preserve">Asetuksen 17 artiklassa vahvistetaan Ukrainan puolustusteollisuuden kapasiteetin tukemiseksi annetun avun seurantavaatimukset. </w:t>
      </w:r>
    </w:p>
    <w:p w14:paraId="7313531A" w14:textId="77777777" w:rsidR="00BC62F5" w:rsidRPr="00A02E61" w:rsidRDefault="00BC62F5" w:rsidP="00A761AB">
      <w:pPr>
        <w:rPr>
          <w:noProof/>
        </w:rPr>
      </w:pPr>
      <w:r w:rsidRPr="00A02E61">
        <w:t xml:space="preserve">Asetuksen 18 artiklassa määritetään ehdot, jotka koskevat olemassa olevan puolustustarvikkeita koskevan puitejärjestelyn tai sopimuksen muuttamista. </w:t>
      </w:r>
    </w:p>
    <w:p w14:paraId="47680574" w14:textId="77777777" w:rsidR="00BC62F5" w:rsidRPr="00A02E61" w:rsidRDefault="00BC62F5" w:rsidP="00A761AB">
      <w:pPr>
        <w:rPr>
          <w:noProof/>
        </w:rPr>
      </w:pPr>
      <w:r w:rsidRPr="00A02E61">
        <w:t xml:space="preserve">Asetuksen 19 artiklan nojalla jäsenvaltiot voivat yksinomaan tämän asetuksen soveltamiseksi pyytää alueelleen sijoittautunutta talouden toimijaa asettamaan tietyn puolustustarviketilauksen etusijalle. </w:t>
      </w:r>
    </w:p>
    <w:p w14:paraId="7CA61A77" w14:textId="77777777" w:rsidR="00BC62F5" w:rsidRPr="00A02E61" w:rsidRDefault="00BC62F5" w:rsidP="00A761AB">
      <w:pPr>
        <w:rPr>
          <w:noProof/>
        </w:rPr>
      </w:pPr>
      <w:r w:rsidRPr="00A02E61">
        <w:t xml:space="preserve">Asetuksen V luku koskee Ukrainan tukilainan rahoitusta ja täytäntöönpanoa. </w:t>
      </w:r>
    </w:p>
    <w:p w14:paraId="0B523395" w14:textId="77777777" w:rsidR="00BC62F5" w:rsidRPr="00A02E61" w:rsidRDefault="00BC62F5" w:rsidP="00A761AB">
      <w:pPr>
        <w:rPr>
          <w:noProof/>
        </w:rPr>
      </w:pPr>
      <w:r w:rsidRPr="00A02E61">
        <w:t xml:space="preserve">Asetuksen 20 artiklassa säädetään, että Ukrainan tukilainan yksityiskohtaiset rahoitusehdot vahvistetaan Ukrainan tukilainasopimuksessa, ja siinä määritetään tietyt pakolliset vaatimukset. </w:t>
      </w:r>
    </w:p>
    <w:p w14:paraId="6B91816A" w14:textId="77777777" w:rsidR="00BC62F5" w:rsidRPr="00A02E61" w:rsidRDefault="00BC62F5" w:rsidP="00A761AB">
      <w:pPr>
        <w:rPr>
          <w:noProof/>
        </w:rPr>
      </w:pPr>
      <w:r w:rsidRPr="00A02E61">
        <w:t xml:space="preserve">Asetuksen 21 artiklassa säädetään, että saadakseen rahoituksellista ja taloudellista apua Ukrainan on toimitettava komissiolle asianmukaisesti perusteltu rahoituspyyntö. </w:t>
      </w:r>
    </w:p>
    <w:p w14:paraId="481EB8BE" w14:textId="77777777" w:rsidR="00B2792E" w:rsidRPr="00A02E61" w:rsidRDefault="00B2792E" w:rsidP="00A761AB">
      <w:pPr>
        <w:rPr>
          <w:noProof/>
        </w:rPr>
      </w:pPr>
      <w:r w:rsidRPr="00A02E61">
        <w:t>Asetuksen 22 artiklassa säädetään tuesta Ukrainan tukilainan lainanottokustannuksiin.</w:t>
      </w:r>
    </w:p>
    <w:p w14:paraId="5DA226F7" w14:textId="77777777" w:rsidR="00BC62F5" w:rsidRPr="00A02E61" w:rsidRDefault="00BC62F5" w:rsidP="00A761AB">
      <w:pPr>
        <w:rPr>
          <w:noProof/>
        </w:rPr>
      </w:pPr>
      <w:r w:rsidRPr="00A02E61">
        <w:t xml:space="preserve">Asetuksen 23 artiklassa säädetään vaatimuksista, joiden perusteella komission on tehtävä päätös Ukrainan tukilainan maksuerän vapauttamisesta. </w:t>
      </w:r>
    </w:p>
    <w:p w14:paraId="30BDB8AF" w14:textId="77777777" w:rsidR="00BC62F5" w:rsidRPr="00A02E61" w:rsidRDefault="00BC62F5" w:rsidP="00A761AB">
      <w:pPr>
        <w:rPr>
          <w:noProof/>
        </w:rPr>
      </w:pPr>
      <w:r w:rsidRPr="00A02E61">
        <w:t xml:space="preserve">Asetuksen 24 artiklassa komissiolle annetaan valtuudet lainata tarvittavat varat unionin puolesta Ukrainan tukilainan rahoittamiseksi. </w:t>
      </w:r>
    </w:p>
    <w:p w14:paraId="7962DB13" w14:textId="77777777" w:rsidR="00BC62F5" w:rsidRPr="00A02E61" w:rsidRDefault="00BC62F5" w:rsidP="00A761AB">
      <w:pPr>
        <w:rPr>
          <w:noProof/>
        </w:rPr>
      </w:pPr>
      <w:r w:rsidRPr="00A02E61">
        <w:t xml:space="preserve">Asetuksen 25 artiklassa vahvistetaan turvallisuusluokiteltuja tietoja ja arkaluonteisia tietoja koskevat säännöt. </w:t>
      </w:r>
    </w:p>
    <w:p w14:paraId="607B6F5F" w14:textId="77777777" w:rsidR="00BC62F5" w:rsidRPr="00A02E61" w:rsidRDefault="00BC62F5" w:rsidP="00A761AB">
      <w:pPr>
        <w:rPr>
          <w:noProof/>
        </w:rPr>
      </w:pPr>
      <w:r w:rsidRPr="00A02E61">
        <w:t xml:space="preserve">Asetuksen VI luku koskee loppusäännöksiä. </w:t>
      </w:r>
    </w:p>
    <w:p w14:paraId="7A6C78EF" w14:textId="77777777" w:rsidR="00BC62F5" w:rsidRPr="00A02E61" w:rsidRDefault="00BC62F5" w:rsidP="00A761AB">
      <w:pPr>
        <w:rPr>
          <w:noProof/>
        </w:rPr>
      </w:pPr>
      <w:r w:rsidRPr="00A02E61">
        <w:t xml:space="preserve">Asetuksen 26 artiklassa siirretään komissiolle valta antaa delegoituja säädöksiä tietyin edellytyksin. </w:t>
      </w:r>
    </w:p>
    <w:p w14:paraId="2E685878" w14:textId="6BEC2AD3" w:rsidR="00BC62F5" w:rsidRPr="00A02E61" w:rsidRDefault="00BC62F5" w:rsidP="00A761AB">
      <w:pPr>
        <w:rPr>
          <w:noProof/>
        </w:rPr>
      </w:pPr>
      <w:r w:rsidRPr="00A02E61">
        <w:t>Asetuksen 27 artiklassa säädetään hallinnoinnista komiteamenettelyjen avulla.</w:t>
      </w:r>
      <w:r w:rsidR="00D8192F">
        <w:t xml:space="preserve"> </w:t>
      </w:r>
    </w:p>
    <w:p w14:paraId="7416BFF1" w14:textId="77777777" w:rsidR="00BC62F5" w:rsidRPr="00A02E61" w:rsidRDefault="00BC62F5" w:rsidP="00A761AB">
      <w:pPr>
        <w:rPr>
          <w:noProof/>
        </w:rPr>
      </w:pPr>
      <w:r w:rsidRPr="00A02E61">
        <w:t xml:space="preserve">Asetuksen 28 artiklassa säädetään Ukrainan tukilainasta käytävästä vuoropuhelusta, jonka tarkoituksena on parantaa unionin toimielinten ja erityisesti Euroopan parlamentin, neuvoston ja komission välistä viestintää. </w:t>
      </w:r>
    </w:p>
    <w:p w14:paraId="27CE8447" w14:textId="77777777" w:rsidR="00BC62F5" w:rsidRPr="00A02E61" w:rsidRDefault="00BC62F5" w:rsidP="00A761AB">
      <w:pPr>
        <w:rPr>
          <w:noProof/>
        </w:rPr>
      </w:pPr>
      <w:r w:rsidRPr="00A02E61">
        <w:t xml:space="preserve">Asetuksen 29 artiklassa säädetään tietojen antamisesta Euroopan parlamentille ja neuvostolle. </w:t>
      </w:r>
    </w:p>
    <w:p w14:paraId="38B557DC" w14:textId="77777777" w:rsidR="00BC62F5" w:rsidRPr="00A02E61" w:rsidRDefault="00BC62F5" w:rsidP="00A761AB">
      <w:pPr>
        <w:rPr>
          <w:noProof/>
        </w:rPr>
      </w:pPr>
      <w:r w:rsidRPr="00A02E61">
        <w:lastRenderedPageBreak/>
        <w:t xml:space="preserve">Asetuksen 30 artiklassa säädetään asetuksen voimaantulosta. </w:t>
      </w:r>
    </w:p>
    <w:p w14:paraId="1FF85204" w14:textId="77777777" w:rsidR="00BC62F5" w:rsidRPr="00A02E61" w:rsidRDefault="00BC62F5" w:rsidP="00BC62F5">
      <w:pPr>
        <w:pStyle w:val="Statut"/>
        <w:rPr>
          <w:noProof/>
        </w:rPr>
        <w:sectPr w:rsidR="00BC62F5" w:rsidRPr="00A02E61" w:rsidSect="00A02E61">
          <w:headerReference w:type="even" r:id="rId11"/>
          <w:footerReference w:type="even" r:id="rId12"/>
          <w:footerReference w:type="default" r:id="rId13"/>
          <w:headerReference w:type="first" r:id="rId14"/>
          <w:footerReference w:type="first" r:id="rId15"/>
          <w:pgSz w:w="11907" w:h="16840" w:code="9"/>
          <w:pgMar w:top="1134" w:right="1418" w:bottom="1134" w:left="1418" w:header="709" w:footer="709" w:gutter="0"/>
          <w:pgNumType w:start="1"/>
          <w:cols w:space="720"/>
          <w:docGrid w:linePitch="360"/>
        </w:sectPr>
      </w:pPr>
    </w:p>
    <w:p w14:paraId="7F39AC7A" w14:textId="00EE34EF" w:rsidR="00C04966" w:rsidRPr="00A02E61" w:rsidRDefault="00A02E61" w:rsidP="00A02E61">
      <w:pPr>
        <w:pStyle w:val="Rfrenceinterinstitutionnelle"/>
        <w:rPr>
          <w:noProof/>
        </w:rPr>
      </w:pPr>
      <w:r w:rsidRPr="00A02E61">
        <w:lastRenderedPageBreak/>
        <w:t>2026/0008 (COD)</w:t>
      </w:r>
    </w:p>
    <w:p w14:paraId="146F14AF" w14:textId="1513E89F" w:rsidR="00D2167E" w:rsidRPr="00A02E61" w:rsidRDefault="00A02E61" w:rsidP="00A02E61">
      <w:pPr>
        <w:pStyle w:val="Statut"/>
        <w:rPr>
          <w:noProof/>
        </w:rPr>
      </w:pPr>
      <w:r w:rsidRPr="00A02E61">
        <w:t>Ehdotus</w:t>
      </w:r>
    </w:p>
    <w:p w14:paraId="04793E04" w14:textId="395CB3B2" w:rsidR="00D2167E" w:rsidRPr="00A02E61" w:rsidRDefault="00A02E61" w:rsidP="00A02E61">
      <w:pPr>
        <w:pStyle w:val="Typedudocument"/>
        <w:rPr>
          <w:noProof/>
        </w:rPr>
      </w:pPr>
      <w:r w:rsidRPr="00A02E61">
        <w:t>EUROOPAN PARLAMENTIN JA NEUVOSTON ASETUS</w:t>
      </w:r>
    </w:p>
    <w:p w14:paraId="3A4CDB06" w14:textId="5D609EC2" w:rsidR="00D2167E" w:rsidRPr="00A02E61" w:rsidRDefault="00A02E61" w:rsidP="00A02E61">
      <w:pPr>
        <w:pStyle w:val="Titreobjet"/>
        <w:rPr>
          <w:noProof/>
        </w:rPr>
      </w:pPr>
      <w:r w:rsidRPr="00A02E61">
        <w:t>tiiviimmän yhteistyön toteuttamisesta Ukrainan tukilainan perustamiseksi vuosiksi 2026 ja 2027</w:t>
      </w:r>
    </w:p>
    <w:p w14:paraId="7DD55C92" w14:textId="77777777" w:rsidR="00631DF6" w:rsidRPr="008F5D5C" w:rsidRDefault="00631DF6" w:rsidP="00D2167E">
      <w:pPr>
        <w:pStyle w:val="Institutionquiagit"/>
        <w:rPr>
          <w:noProof/>
        </w:rPr>
      </w:pPr>
      <w:r w:rsidRPr="008F5D5C">
        <w:t>EUROOPAN PARLAMENTTI JA EUROOPAN UNIONIN NEUVOSTO, jotka</w:t>
      </w:r>
    </w:p>
    <w:p w14:paraId="7D4D55A1" w14:textId="77777777" w:rsidR="00631DF6" w:rsidRPr="008F5D5C" w:rsidRDefault="00631DF6" w:rsidP="00D2167E">
      <w:pPr>
        <w:rPr>
          <w:noProof/>
        </w:rPr>
      </w:pPr>
      <w:r w:rsidRPr="008F5D5C">
        <w:t>ottavat huomioon Euroopan unionin toiminnasta tehdyn sopimuksen ja erityisesti sen 212 artiklan,</w:t>
      </w:r>
    </w:p>
    <w:p w14:paraId="1ADB06CA" w14:textId="77777777" w:rsidR="00631DF6" w:rsidRPr="008F5D5C" w:rsidRDefault="00631DF6" w:rsidP="00D2167E">
      <w:pPr>
        <w:rPr>
          <w:noProof/>
        </w:rPr>
      </w:pPr>
      <w:r w:rsidRPr="008F5D5C">
        <w:t>ottavat huomioon luvan antamisesta tiiviimpään yhteistyöhön Ukrainalle annettavan lainan perustamiseksi [</w:t>
      </w:r>
      <w:r w:rsidRPr="008F5D5C">
        <w:rPr>
          <w:i/>
        </w:rPr>
        <w:t>päivämäärä</w:t>
      </w:r>
      <w:r w:rsidRPr="008F5D5C">
        <w:t>] annetun neuvoston päätöksen [</w:t>
      </w:r>
      <w:r w:rsidRPr="008F5D5C">
        <w:rPr>
          <w:i/>
        </w:rPr>
        <w:t>XX</w:t>
      </w:r>
      <w:r w:rsidRPr="008F5D5C">
        <w:t>] ja erityisesti sen 1 artiklan,</w:t>
      </w:r>
    </w:p>
    <w:p w14:paraId="5FA02C40" w14:textId="77777777" w:rsidR="00631DF6" w:rsidRPr="008F5D5C" w:rsidRDefault="00631DF6" w:rsidP="00D2167E">
      <w:pPr>
        <w:rPr>
          <w:noProof/>
        </w:rPr>
      </w:pPr>
      <w:r w:rsidRPr="008F5D5C">
        <w:t>ottavat huomioon komission ehdotuksen,</w:t>
      </w:r>
    </w:p>
    <w:p w14:paraId="1ECE8E49" w14:textId="77777777" w:rsidR="00631DF6" w:rsidRPr="008F5D5C" w:rsidRDefault="00631DF6" w:rsidP="00D2167E">
      <w:pPr>
        <w:rPr>
          <w:noProof/>
        </w:rPr>
      </w:pPr>
      <w:r w:rsidRPr="008F5D5C">
        <w:t>sen jälkeen, kun esitys lainsäätämisjärjestyksessä hyväksyttäväksi säädökseksi on toimitettu kansallisille parlamenteille,</w:t>
      </w:r>
    </w:p>
    <w:p w14:paraId="753543BC" w14:textId="77777777" w:rsidR="00631DF6" w:rsidRPr="008F5D5C" w:rsidRDefault="00631DF6" w:rsidP="00D2167E">
      <w:pPr>
        <w:rPr>
          <w:noProof/>
        </w:rPr>
      </w:pPr>
      <w:r w:rsidRPr="008F5D5C">
        <w:t>noudattavat tavallista lainsäätämisjärjestystä,</w:t>
      </w:r>
    </w:p>
    <w:p w14:paraId="17746C80" w14:textId="77777777" w:rsidR="00631DF6" w:rsidRPr="008F5D5C" w:rsidRDefault="00631DF6" w:rsidP="00D2167E">
      <w:pPr>
        <w:rPr>
          <w:noProof/>
        </w:rPr>
      </w:pPr>
      <w:r w:rsidRPr="008F5D5C">
        <w:t>sekä katsovat seuraavaa:</w:t>
      </w:r>
    </w:p>
    <w:p w14:paraId="68731EDF" w14:textId="77777777" w:rsidR="00631DF6" w:rsidRPr="008F5D5C" w:rsidRDefault="00631DF6" w:rsidP="009102DC">
      <w:pPr>
        <w:pStyle w:val="ManualConsidrant"/>
        <w:rPr>
          <w:noProof/>
        </w:rPr>
      </w:pPr>
      <w:r w:rsidRPr="008F5D5C">
        <w:t>(1)</w:t>
      </w:r>
      <w:r w:rsidRPr="008F5D5C">
        <w:tab/>
        <w:t>Venäjän federaation presidentti ilmoitti 24 päivänä helmikuuta 2022 sotilasoperaatiosta Ukrainassa, ja Venäjän asevoimat aloittivat perusteettoman sotilaallisen hyökkäyksen Ukrainaa vastaan ilman edeltävää provokaatiota. Tämä laiton hyökkäyssota loukkaa räikeästi Ukrainan alueellista koskemattomuutta, suvereniteettia ja itsenäisyyttä sekä Yhdistyneiden kansakuntien (YK) peruskirjan 2 artiklan 4 kohtaan kirjattua voimankäytön kieltoa, joka on kansainvälisen oikeuden ehdoton sääntö, ja muita YK:n peruskirjan periaatteita.</w:t>
      </w:r>
    </w:p>
    <w:p w14:paraId="23744FF1" w14:textId="77777777" w:rsidR="00631DF6" w:rsidRPr="008F5D5C" w:rsidRDefault="00631DF6" w:rsidP="009102DC">
      <w:pPr>
        <w:pStyle w:val="ManualConsidrant"/>
        <w:rPr>
          <w:noProof/>
        </w:rPr>
      </w:pPr>
      <w:r w:rsidRPr="008F5D5C">
        <w:t>(2)</w:t>
      </w:r>
      <w:r w:rsidRPr="008F5D5C">
        <w:tab/>
        <w:t xml:space="preserve">Sen </w:t>
      </w:r>
      <w:proofErr w:type="gramStart"/>
      <w:r w:rsidRPr="008F5D5C">
        <w:t>jälkeen</w:t>
      </w:r>
      <w:proofErr w:type="gramEnd"/>
      <w:r w:rsidRPr="008F5D5C">
        <w:t xml:space="preserve"> kun Venäjän Ukrainaa vastaan käymä provosoimaton ja perusteeton hyökkäyssota alkoi, unioni, sen jäsenvaltiot ja eurooppalaiset rahoituslaitokset ovat mobilisoineet ennennäkemättömän paljon tukea Ukrainan taloudelliselle, sosiaaliselle ja rahoitukselliselle kriisinsietokyvylle ja puolustuskyvyn resilienssille. Tässä tuessa yhdistyvät unionin talousarviosta myönnettävä tuki, mukaan lukien poikkeuksellinen makrotaloudellinen rahoitusapu ja Euroopan investointipankin ja Euroopan jälleenrakennus- ja kehityspankin tuki, joka on taattu kokonaan tai osittain unionin talousarviosta, sekä jäsenvaltioiden myöntämä muu taloudellinen tuki.</w:t>
      </w:r>
    </w:p>
    <w:p w14:paraId="402B9EDA" w14:textId="77777777" w:rsidR="00631DF6" w:rsidRPr="008F5D5C" w:rsidRDefault="00631DF6" w:rsidP="009102DC">
      <w:pPr>
        <w:pStyle w:val="ManualConsidrant"/>
        <w:rPr>
          <w:noProof/>
        </w:rPr>
      </w:pPr>
      <w:r w:rsidRPr="008F5D5C">
        <w:t>(3)</w:t>
      </w:r>
      <w:r w:rsidRPr="008F5D5C">
        <w:tab/>
        <w:t>Ukrainalle myönnettiin vuosina 2022 ja 2023 Euroopan parlamentin ja neuvoston päätöksellä (EU) 2022/313</w:t>
      </w:r>
      <w:r w:rsidRPr="008F5D5C">
        <w:rPr>
          <w:rStyle w:val="FootnoteReference"/>
          <w:noProof/>
        </w:rPr>
        <w:footnoteReference w:id="10"/>
      </w:r>
      <w:r w:rsidRPr="008F5D5C">
        <w:t>, Euroopan parlamentin ja neuvoston päätöksellä (EU) 2022/1201</w:t>
      </w:r>
      <w:r w:rsidRPr="008F5D5C">
        <w:rPr>
          <w:rStyle w:val="FootnoteReference"/>
          <w:noProof/>
        </w:rPr>
        <w:footnoteReference w:id="11"/>
      </w:r>
      <w:r w:rsidRPr="008F5D5C">
        <w:t>, Euroopan parlamentin ja neuvoston päätöksellä (EU) 2022/1628</w:t>
      </w:r>
      <w:r w:rsidRPr="008F5D5C">
        <w:rPr>
          <w:rStyle w:val="FootnoteReference"/>
          <w:noProof/>
        </w:rPr>
        <w:footnoteReference w:id="12"/>
      </w:r>
      <w:r w:rsidRPr="008F5D5C">
        <w:t xml:space="preserve"> </w:t>
      </w:r>
      <w:r w:rsidRPr="008F5D5C">
        <w:lastRenderedPageBreak/>
        <w:t>ja Euroopan parlamentin ja neuvoston asetuksella (EU) 2022/2463</w:t>
      </w:r>
      <w:r w:rsidRPr="008F5D5C">
        <w:rPr>
          <w:rStyle w:val="FootnoteReference"/>
          <w:noProof/>
        </w:rPr>
        <w:footnoteReference w:id="13"/>
      </w:r>
      <w:r w:rsidRPr="008F5D5C">
        <w:t xml:space="preserve"> yhteensä 25,2 miljardia euroa makrotaloudellista rahoitusapua. Tämä tuki on parantanut merkittävästi Ukrainan makrotaloudellista ja rahoituksellista kriisinsietokykyä kriittisenä aikana.</w:t>
      </w:r>
    </w:p>
    <w:p w14:paraId="6479E3EA" w14:textId="77777777" w:rsidR="00631DF6" w:rsidRPr="008F5D5C" w:rsidRDefault="00631DF6" w:rsidP="009102DC">
      <w:pPr>
        <w:pStyle w:val="ManualConsidrant"/>
        <w:rPr>
          <w:noProof/>
        </w:rPr>
      </w:pPr>
      <w:r w:rsidRPr="008F5D5C">
        <w:t>(4)</w:t>
      </w:r>
      <w:r w:rsidRPr="008F5D5C">
        <w:tab/>
      </w:r>
      <w:r w:rsidRPr="008F5D5C">
        <w:tab/>
        <w:t>Euroopan parlamentin ja neuvoston asetuksella (EU) 2024/792</w:t>
      </w:r>
      <w:r w:rsidRPr="008F5D5C">
        <w:rPr>
          <w:rStyle w:val="FootnoteReference"/>
          <w:noProof/>
        </w:rPr>
        <w:footnoteReference w:id="14"/>
      </w:r>
      <w:r w:rsidRPr="008F5D5C">
        <w:t xml:space="preserve"> perustettiin 29 päivänä helmikuuta 2024 Ukrainan tukiväline eli poikkeuksellinen keskipitkän aikavälin väline, joka kokoaa yhteen unionin Ukrainalle antaman kahdenvälisen </w:t>
      </w:r>
      <w:proofErr w:type="gramStart"/>
      <w:r w:rsidRPr="008F5D5C">
        <w:t>tuen</w:t>
      </w:r>
      <w:proofErr w:type="gramEnd"/>
      <w:r w:rsidRPr="008F5D5C">
        <w:t xml:space="preserve"> ja jolla varmistetaan tuen koordinointi ja tehokkuus, jäljempänä ’Ukrainan tukiväline’. Ukrainan tukivälineellä autetaan vuosina 2024–2027 vastaamaan Ukrainan rahoitustarpeisiin ja osallistutaan sen elpymis-, jälleenrakennus- ja nykyaikaistamistarpeisiin sekä tuetaan samalla Ukrainan uudistuksia, joita se toteuttaa osana valmistautumistaan kohti unioniin liittymistä.</w:t>
      </w:r>
    </w:p>
    <w:p w14:paraId="3329763A" w14:textId="77777777" w:rsidR="00631DF6" w:rsidRPr="008F5D5C" w:rsidRDefault="00631DF6" w:rsidP="009102DC">
      <w:pPr>
        <w:pStyle w:val="ManualConsidrant"/>
        <w:rPr>
          <w:noProof/>
        </w:rPr>
      </w:pPr>
      <w:r w:rsidRPr="008F5D5C">
        <w:t>(5)</w:t>
      </w:r>
      <w:r w:rsidRPr="008F5D5C">
        <w:tab/>
        <w:t>Lokakuun 24 päivänä 2024 annetulla Euroopan parlamentin ja neuvoston asetuksella (EU) 2024/2773</w:t>
      </w:r>
      <w:r w:rsidRPr="008F5D5C">
        <w:rPr>
          <w:rStyle w:val="FootnoteReference"/>
          <w:noProof/>
        </w:rPr>
        <w:footnoteReference w:id="15"/>
      </w:r>
      <w:r w:rsidRPr="008F5D5C">
        <w:t xml:space="preserve"> perustettiin Ukrainan lainayhteistyömekanismi ja annettiin poikkeuksellista makrotaloudellista rahoitusapua Ukrainalle. Kyseinen apu oli unionin rahoitusosuus G7-maiden ERA-aloitteeseen (Extraordinary Revenue Acceleration Loans for Ukraine), jolla korjattiin kollektiivisesti Ukrainan rahoitusvajetta vuoden 2025 osalta.</w:t>
      </w:r>
    </w:p>
    <w:p w14:paraId="58A97053" w14:textId="77777777" w:rsidR="00631DF6" w:rsidRPr="008F5D5C" w:rsidRDefault="00631DF6" w:rsidP="009102DC">
      <w:pPr>
        <w:pStyle w:val="ManualConsidrant"/>
        <w:rPr>
          <w:noProof/>
        </w:rPr>
      </w:pPr>
      <w:r w:rsidRPr="008F5D5C">
        <w:t>(6)</w:t>
      </w:r>
      <w:r w:rsidRPr="008F5D5C">
        <w:tab/>
        <w:t>Venäjän Ukrainaa vastaan käymä hyökkäyssota on aiheuttanut Ukrainassa valtavia vahinkoja, ja 31 päivänä joulukuuta 2024 elpymis- ja jälleenrakennuskustannusten määrän arvioitiin olevan 506 miljardia euroa. Ukrainalla ei ole myöskään enää pääsyä kansainvälisille rahoitusmarkkinoille, ja sen julkisen talouden tulot ovat merkittävästi vähentyneet, kun taas julkisen talouden menot ovat huomattavasti kasvaneet. Tätä taustaa vasten voidaan ennakoida, että rahoitustarpeet ovat tulevina vuosina huomattavia.</w:t>
      </w:r>
    </w:p>
    <w:p w14:paraId="77471783" w14:textId="77777777" w:rsidR="00631DF6" w:rsidRPr="008F5D5C" w:rsidRDefault="00631DF6" w:rsidP="009102DC">
      <w:pPr>
        <w:pStyle w:val="ManualConsidrant"/>
        <w:rPr>
          <w:noProof/>
        </w:rPr>
      </w:pPr>
      <w:r w:rsidRPr="008F5D5C">
        <w:t>(7)</w:t>
      </w:r>
      <w:r w:rsidRPr="008F5D5C">
        <w:tab/>
        <w:t>Ukraina toimitti 9 päivänä syyskuuta 2025 Kansainväliselle valuuttarahastolle (IMF) virallisen pyynnön uudesta ohjelmasta, jolla katetaan vuosien 2026–2029 lisärahoitustarpeet. Ohjelman olisi tarkoitus olla jatkoa IMF:n onnistuneesti toteutetulle voimassa olevalla ohjelmalle, jonka yhteydessä Ukrainasta on tehty kahdeksan tarkastelua, mutta siinä otettaisiin huomioon Venäjän hyökkäyssodan jatkuminen. Se, että IMF voi tarjota tällaista uutta ohjelmaa, edellyttää riittävien rahoituslupausten saamista muilta kumppaneilta, myös Euroopan unionilta.</w:t>
      </w:r>
    </w:p>
    <w:p w14:paraId="7D5DE3FD" w14:textId="77777777" w:rsidR="00631DF6" w:rsidRPr="008F5D5C" w:rsidRDefault="00631DF6" w:rsidP="009102DC">
      <w:pPr>
        <w:pStyle w:val="ManualConsidrant"/>
        <w:rPr>
          <w:noProof/>
        </w:rPr>
      </w:pPr>
      <w:r w:rsidRPr="008F5D5C">
        <w:t>(8)</w:t>
      </w:r>
      <w:r w:rsidRPr="008F5D5C">
        <w:tab/>
        <w:t xml:space="preserve">Huolimatta jatkuvista kansainvälisistä pyrkimyksistä saada aikaan rauhanomainen ratkaisu konfliktiin Venäjän hyökkäyssodan pitkittyminen on aiheuttanut merkittävää </w:t>
      </w:r>
      <w:r w:rsidRPr="008F5D5C">
        <w:lastRenderedPageBreak/>
        <w:t xml:space="preserve">vahinkoa Ukrainan kriittiselle puolustus-, siviili- ja energiainfrastruktuurille, mikä on edellyttänyt merkittävien lisäresurssien käyttöönottoa maan välittömiin rahoitustarpeisiin vastaamiseksi. </w:t>
      </w:r>
    </w:p>
    <w:p w14:paraId="1600543A" w14:textId="77777777" w:rsidR="00631DF6" w:rsidRPr="008F5D5C" w:rsidRDefault="00631DF6" w:rsidP="009102DC">
      <w:pPr>
        <w:pStyle w:val="ManualConsidrant"/>
        <w:rPr>
          <w:noProof/>
        </w:rPr>
      </w:pPr>
      <w:r w:rsidRPr="008F5D5C">
        <w:t>(9)</w:t>
      </w:r>
      <w:r w:rsidRPr="008F5D5C">
        <w:tab/>
        <w:t>Venäjän hyökkäyssota Ukrainaa vastaan on strateginen geopoliittinen uhka koko unionille ja edellyttää, että jäsenvaltiot pysyvät vahvoina ja yhtenäisinä. Sen vuoksi on olennaisen tärkeää, että unionin tuki otetaan käyttöön nopeasti ja että sitä voidaan mukauttaa joustavasti välittömän hätäavun antamiseksi ja lyhyen aikavälin kunnostamisen tukemiseksi matkalla kohti tulevaa jälleenrakentamista.</w:t>
      </w:r>
    </w:p>
    <w:p w14:paraId="25ABFD87" w14:textId="77777777" w:rsidR="00631DF6" w:rsidRPr="008F5D5C" w:rsidRDefault="00631DF6" w:rsidP="009102DC">
      <w:pPr>
        <w:pStyle w:val="ManualConsidrant"/>
        <w:rPr>
          <w:noProof/>
        </w:rPr>
      </w:pPr>
      <w:r w:rsidRPr="008F5D5C">
        <w:t>(10)</w:t>
      </w:r>
      <w:r w:rsidRPr="008F5D5C">
        <w:tab/>
        <w:t>Venäjä on kansainvälisen oikeuden vastaisia tekoja koskevaa valtiovastuuta koskevien artiklojen ja kansainvälisen tapaoikeuden mukaisesti vastuussa olevana valtiona velvollinen korvaamaan täysimääräisesti hyökkäyssotansa aiheuttamat vahingot.</w:t>
      </w:r>
    </w:p>
    <w:p w14:paraId="5229F052" w14:textId="77777777" w:rsidR="00631DF6" w:rsidRPr="008F5D5C" w:rsidRDefault="00631DF6" w:rsidP="009102DC">
      <w:pPr>
        <w:pStyle w:val="ManualConsidrant"/>
        <w:rPr>
          <w:noProof/>
        </w:rPr>
      </w:pPr>
      <w:r w:rsidRPr="008F5D5C">
        <w:t>(11)</w:t>
      </w:r>
      <w:r w:rsidRPr="008F5D5C">
        <w:tab/>
        <w:t>Rajoittavista toimenpiteistä Ukrainan tilannetta epävakauttavien Venäjän toimien johdosta annetun päätöksen 2014/512/YUTP muuttamisesta 28 päivänä helmikuuta 2022 annetussa päätöksessä (YUTP) 2022/335</w:t>
      </w:r>
      <w:r w:rsidRPr="008F5D5C">
        <w:rPr>
          <w:rStyle w:val="FootnoteReference"/>
          <w:rFonts w:eastAsia="Times New Roman"/>
          <w:noProof/>
          <w:color w:val="333333"/>
          <w:szCs w:val="24"/>
        </w:rPr>
        <w:footnoteReference w:id="16"/>
      </w:r>
      <w:r w:rsidRPr="008F5D5C">
        <w:t xml:space="preserve"> ja neuvoston asetuksen (EU) N:o 833/2014 muuttamisesta 28 päivänä helmikuuta 2022 annetussa neuvoston asetuksessa (EU) 2022/334</w:t>
      </w:r>
      <w:r w:rsidRPr="008F5D5C">
        <w:rPr>
          <w:rStyle w:val="FootnoteReference"/>
          <w:rFonts w:eastAsia="Roboto"/>
          <w:noProof/>
          <w:color w:val="333333"/>
          <w:szCs w:val="24"/>
        </w:rPr>
        <w:footnoteReference w:id="17"/>
      </w:r>
      <w:r w:rsidRPr="008F5D5C">
        <w:t xml:space="preserve"> kielletään liiketoimet, jotka liittyvät Venäjän keskuspankin varantojen ja varojen hallinnointiin, mukaan lukien liiketoimet Venäjän keskuspankin puolesta tai sen johdolla toimivien oikeushenkilöiden, yhteisöjen tai elinten kanssa.</w:t>
      </w:r>
      <w:r w:rsidRPr="008F5D5C">
        <w:rPr>
          <w:color w:val="333333"/>
        </w:rPr>
        <w:t xml:space="preserve"> </w:t>
      </w:r>
      <w:r w:rsidRPr="008F5D5C">
        <w:t>Eurooppa-neuvosto on todennut 27 päivänä kesäkuuta 2024, 17 päivänä lokakuuta 2024 ja 19 päivänä joulukuuta 2024 antamissaan päätelmissä, että unionin lainsäädännön mukaisesti Venäjän varojen olisi pysyttävä pysäytettyinä, kunnes Venäjä lopettaa hyökkäyssotansa Ukrainaa vastaan ja korvaa sille sodan aiheuttamat vahingot.</w:t>
      </w:r>
    </w:p>
    <w:p w14:paraId="2DF5502F" w14:textId="77777777" w:rsidR="00631DF6" w:rsidRPr="008F5D5C" w:rsidRDefault="00631DF6" w:rsidP="0014092D">
      <w:pPr>
        <w:pStyle w:val="ManualConsidrant"/>
        <w:rPr>
          <w:noProof/>
        </w:rPr>
      </w:pPr>
      <w:r w:rsidRPr="008F5D5C">
        <w:t>(12)</w:t>
      </w:r>
      <w:r w:rsidRPr="008F5D5C">
        <w:tab/>
        <w:t>Lisäksi neuvoston asetuksessa (EU) 2025/2600</w:t>
      </w:r>
      <w:r w:rsidRPr="008F5D5C">
        <w:rPr>
          <w:rStyle w:val="FootnoteReference"/>
          <w:noProof/>
        </w:rPr>
        <w:footnoteReference w:id="18"/>
      </w:r>
      <w:r w:rsidRPr="008F5D5C">
        <w:t xml:space="preserve"> kielletään Venäjän keskuspankin varojen tai varantojen siirto väliaikaisesti, kunnes Venäjä lopettaa hyökkäyssodan Ukrainaa vastaan, Venäjä maksaa Ukrainalle sotakorvauksia siinä määrin kuin se on tarpeen jälleenrakentamisen mahdollistamiseksi ja ilman, että unionille aiheutuu kielteisiä taloudellisia ja rahoituksellisia seurauksia, ja Venäjän toimet Ukrainan vastaisessa hyökkäyssodassa ovat objektiivisesti katsoen lakanneet aiheuttamasta vakavia vaikeuksia unionin ja jäsenvaltioiden taloudelle.</w:t>
      </w:r>
    </w:p>
    <w:p w14:paraId="3711DF1C" w14:textId="77777777" w:rsidR="00631DF6" w:rsidRPr="008F5D5C" w:rsidRDefault="00631DF6" w:rsidP="009102DC">
      <w:pPr>
        <w:pStyle w:val="ManualConsidrant"/>
        <w:rPr>
          <w:noProof/>
        </w:rPr>
      </w:pPr>
      <w:r w:rsidRPr="008F5D5C">
        <w:t>(13)</w:t>
      </w:r>
      <w:r w:rsidRPr="008F5D5C">
        <w:tab/>
        <w:t xml:space="preserve">Eurooppa-neuvosto sopi 18 päivänä joulukuuta 2025, että Ukrainalle myönnetään 90 miljardin euron laina vuosiksi 2026 ja 2027 perustuen pääomamarkkinoilta tapahtuvaan unionin lainanottoon, joka taataan unionin talousarvion liikkumavaralla. Eurooppa-neuvosto sopi myös, että Euroopan unionista tehdyn sopimuksen 20 artiklan mukaisesti tehtävän tiiviimmän yhteistyön puitteissa unionin talousarviosta tämän lainan vakuudeksi käyttöön otetuilla varoilla ei tulisi olla vaikutusta Tšekin, Unkarin ja Slovakian rahoitusvelvoitteisiin. Samana päivänä 25 jäsenvaltiota sopi, että </w:t>
      </w:r>
      <w:r w:rsidRPr="008F5D5C">
        <w:lastRenderedPageBreak/>
        <w:t>Ukrainan olisi maksettava laina takaisin vasta sen jälkeen, kun korvaukset on saatu. Siihen saakka Venäjän keskuspankin varat olisi pidettävä pysäytettyinä ja unionin olisi varattava itselleen oikeus käyttää niitä lainan takaisinmaksuun noudattaen kaikilta osin EU:n ja kansainvälistä oikeutta. Kyseiset jäsenvaltiot korostivat seuraavien seikkojen merkitystä lainan kannalta: a) Euroopan ja Ukrainan puolustusteollisuuden vahvistaminen; b) oikeusvaltioperiaatteen ylläpitämisen jatkaminen Ukrainassa, mukaan lukien korruption torjunta; ja c) tiettyjen jäsenvaltioiden turvallisuus- ja puolustuspolitiikan erityisluonne ja kaikkien jäsenvaltioiden turvallisuus- ja puolustusedut.</w:t>
      </w:r>
    </w:p>
    <w:p w14:paraId="43A90C50" w14:textId="77777777" w:rsidR="00631DF6" w:rsidRPr="008F5D5C" w:rsidRDefault="00631DF6" w:rsidP="0014092D">
      <w:pPr>
        <w:pStyle w:val="ManualConsidrant"/>
        <w:rPr>
          <w:noProof/>
        </w:rPr>
      </w:pPr>
      <w:r w:rsidRPr="008F5D5C">
        <w:t>(14)</w:t>
      </w:r>
      <w:r w:rsidRPr="008F5D5C">
        <w:tab/>
        <w:t>Neuvosto hyväksyi [</w:t>
      </w:r>
      <w:r w:rsidRPr="008F5D5C">
        <w:rPr>
          <w:i/>
        </w:rPr>
        <w:t>PÄIVÄMÄÄRÄ</w:t>
      </w:r>
      <w:r w:rsidRPr="008F5D5C">
        <w:t>] päätöksen [</w:t>
      </w:r>
      <w:r w:rsidRPr="008F5D5C">
        <w:rPr>
          <w:i/>
        </w:rPr>
        <w:t>XX</w:t>
      </w:r>
      <w:r w:rsidRPr="008F5D5C">
        <w:t>] luvan antamisesta Belgian, Bulgarian, Tanskan, Saksan, Viron, Irlannin, Kreikan, Espanjan, Ranskan, Italian, Kroatian, Kyproksen, Latvian, Liettuan, Luxemburgin, Maltan, Alankomaiden, Itävallan, Puolan, Portugalin, Romanian, Slovenian, Suomen ja Ruotsin tiiviimpään yhteistyöhön Ukrainalle annettavan lainan perustamiseksi.</w:t>
      </w:r>
    </w:p>
    <w:p w14:paraId="474A3C6B" w14:textId="77777777" w:rsidR="00631DF6" w:rsidRPr="008F5D5C" w:rsidRDefault="00631DF6" w:rsidP="009102DC">
      <w:pPr>
        <w:pStyle w:val="ManualConsidrant"/>
        <w:rPr>
          <w:noProof/>
        </w:rPr>
      </w:pPr>
      <w:r w:rsidRPr="008F5D5C">
        <w:t>(15)</w:t>
      </w:r>
      <w:r w:rsidRPr="008F5D5C">
        <w:tab/>
        <w:t>Kun otetaan huomioon Ukrainan rahoitustilanne ja se, että Ukrainalla on kriittisen tärkeää olla resurssit Venäjän hyökkäyksen torjumiseen ja mahdollisuuksien mukaan jälleenrakentamiseen, unionin on aiheellista antaa lisätukea Ukrainan kiireellisiin rahoitustarpeisiin vastaamiseksi ja IMF:n ohjelman täytäntöönpanon helpottamiseksi. Tätä varten on aiheellista perustaa väline unionin tuen antamiseksi Ukrainalle vuosina 2026 ja 2027 lainana, jäljempänä ’Ukrainan tukilaina’, joka on tarkoitus maksaa takaisin Venäjän maksamilla sotakorvauksilla.</w:t>
      </w:r>
    </w:p>
    <w:p w14:paraId="05FCA92B" w14:textId="77777777" w:rsidR="00631DF6" w:rsidRPr="008F5D5C" w:rsidRDefault="00631DF6" w:rsidP="009102DC">
      <w:pPr>
        <w:pStyle w:val="ManualConsidrant"/>
        <w:rPr>
          <w:noProof/>
        </w:rPr>
      </w:pPr>
      <w:r w:rsidRPr="008F5D5C">
        <w:t>(16)</w:t>
      </w:r>
      <w:r w:rsidRPr="008F5D5C">
        <w:tab/>
        <w:t>Ukrainan tukilainalla olisi annettava Ukrainalle rahoitusapua ennakoitavalla, jatkuvalla, hallitulla, joustavalla ja oikea-aikaisella tavalla, jotta Ukrainaa voidaan tukea sen rahoitus- ja puolustustarpeiden, erityisesti Venäjän hyökkäyssodasta johtuvien tarpeiden, täyttämisessä. Ukrainan tukilainalla olisi erityisesti tuettava Ukrainan makrotaloudellista vakautta ja helpotettava sen ulkoista rahoitusta sekä tuettava Ukrainan puolustusteollisuuden kapasiteettia taloudellisen, teknisen ja rahoitusyhteistyön avulla ja siten hankittava Ukrainalle laadullista sotilaallista etulyöntiasemaa.</w:t>
      </w:r>
    </w:p>
    <w:p w14:paraId="48F2975C" w14:textId="77777777" w:rsidR="00631DF6" w:rsidRPr="008F5D5C" w:rsidRDefault="00631DF6" w:rsidP="009102DC">
      <w:pPr>
        <w:pStyle w:val="ManualConsidrant"/>
        <w:rPr>
          <w:noProof/>
        </w:rPr>
      </w:pPr>
      <w:r w:rsidRPr="008F5D5C">
        <w:t>(17)</w:t>
      </w:r>
      <w:r w:rsidRPr="008F5D5C">
        <w:tab/>
        <w:t>Ukrainan tukilainalla olisi tietyin edellytyksin annettava Ukrainalle tukea lainana, jonka määrä on enintään 90 000 000 000 euroa. Moitteettoman varainhoidon periaatteen mukaisesti komission olisi asetettava Ukrainan tukilaina saataville maksuerissä, jotka voidaan suorittaa yhdessä tai useammassa osaerässä.</w:t>
      </w:r>
    </w:p>
    <w:p w14:paraId="1DA57BDE" w14:textId="77777777" w:rsidR="00631DF6" w:rsidRPr="008F5D5C" w:rsidRDefault="00631DF6" w:rsidP="009102DC">
      <w:pPr>
        <w:pStyle w:val="ManualConsidrant"/>
        <w:rPr>
          <w:noProof/>
        </w:rPr>
      </w:pPr>
      <w:r w:rsidRPr="008F5D5C">
        <w:t>(18)</w:t>
      </w:r>
      <w:r w:rsidRPr="008F5D5C">
        <w:tab/>
        <w:t>Ukrainalle Ukrainan tukilainan muodossa annettavan tuen ennakkoehtona olisi oltava, että Ukraina ylläpitää ja kunnioittaa edelleen toimivan demokratian mekanismeja, mukaan lukien parlamentaarinen monipuoluejärjestelmä ja oikeusvaltioperiaate, ja takaa ihmisoikeuksien, myös vähemmistöihin kuuluvien henkilöiden ihmisoikeuksien, kunnioittamisen. Oikeusvaltioperiaatteen ylläpitämiseen ja kunnioittamiseen olisi sisällyttävä korruption torjunta.</w:t>
      </w:r>
    </w:p>
    <w:p w14:paraId="708DA626" w14:textId="77777777" w:rsidR="00631DF6" w:rsidRPr="008F5D5C" w:rsidRDefault="00631DF6" w:rsidP="009102DC">
      <w:pPr>
        <w:pStyle w:val="ManualConsidrant"/>
        <w:rPr>
          <w:noProof/>
        </w:rPr>
      </w:pPr>
      <w:r w:rsidRPr="008F5D5C">
        <w:t>(19)</w:t>
      </w:r>
      <w:r w:rsidRPr="008F5D5C">
        <w:tab/>
        <w:t>Ukrainan tukilainan puitteissa saatavilla oleva rahoituksellinen ja taloudellinen apu olisi asetettava Ukrainan saataville sen rahoitustarpeiden mukaan. Tätä varten Ukrainan olisi toimitettava rahoitustarpeitaan ja -lähteitään koskeva Ukrainan rahoitusstrategia. Ukrainan rahoitusstrategiaan olisi sisällyttävä tärkeimmät tiedot Ukrainan talousarviosta, rahoitus- ja taloustilanteesta sekä tuesta, jota Ukraina saa kansainväliseltä yhteisöltä.</w:t>
      </w:r>
    </w:p>
    <w:p w14:paraId="052BE9FB" w14:textId="77777777" w:rsidR="00631DF6" w:rsidRPr="008F5D5C" w:rsidRDefault="00631DF6" w:rsidP="009102DC">
      <w:pPr>
        <w:pStyle w:val="ManualConsidrant"/>
        <w:rPr>
          <w:noProof/>
        </w:rPr>
      </w:pPr>
      <w:r w:rsidRPr="008F5D5C">
        <w:t>(20)</w:t>
      </w:r>
      <w:r w:rsidRPr="008F5D5C">
        <w:tab/>
        <w:t xml:space="preserve">Komission olisi arvioitava Ukrainan rahoitusstrategia ilman aiheetonta viivytystä ja toimittava tiiviissä yhteistyössä Ukrainan kanssa. Kun otetaan huomioon, että Ukraina </w:t>
      </w:r>
      <w:r w:rsidRPr="008F5D5C">
        <w:lastRenderedPageBreak/>
        <w:t>tarvitsee huomattavan paljon sekä budjettitukea että puolustusteollisuuden kapasiteettiin liittyvää apua ja että joillakin ulkoisilla kumppaneilla on rajoitteita tuen antamisen suhteen, on aiheellista vahvistaa Ukrainan tukilainan ohjeellinen jakautuminen näiden kahden rahoitustarpeen kesken. Samalla kun varmistetaan, että IMF:n vuodeksi 2026 laskemat Ukrainan rahoitustarpeet otetaan kaikilta osin huomioon, kyseisen jaon olisi oltava suuntaa-antava, jotta voidaan ottaa huomioon Ukrainan rahoitustarpeisiin mahdollisesti vaikuttavat muuttuvat olosuhteet, ja varmistaa, että näihin tarpeisiin vastataan edelleen ennakoitavalla, jatkuvalla, hallitulla, joustavalla ja oikea-aikaisella tavalla. Arvioidessaan Ukrainan rahoitusstrategiaa komission olisi otettava huomioon odotettavissa olevan ulkoisen rahoitusvajeen ja kyseisen ohjeellisen jaon keskinäinen vastaavuus.</w:t>
      </w:r>
    </w:p>
    <w:p w14:paraId="00BC0480" w14:textId="77777777" w:rsidR="00631DF6" w:rsidRPr="008F5D5C" w:rsidRDefault="00631DF6" w:rsidP="009102DC">
      <w:pPr>
        <w:pStyle w:val="ManualConsidrant"/>
        <w:rPr>
          <w:noProof/>
        </w:rPr>
      </w:pPr>
      <w:r w:rsidRPr="008F5D5C">
        <w:t>(21)</w:t>
      </w:r>
      <w:r w:rsidRPr="008F5D5C">
        <w:tab/>
        <w:t xml:space="preserve">Koska käyttöön otettavien toimenpiteiden taloudelliset vaikutukset ovat merkittäviä, täytäntöönpanovalta olisi siirrettävä neuvostolle, jonka olisi toimittava komission ehdotuksen pohjalta. Neuvoston olisi hyväksyttävä arvio Ukrainan rahoitusstrategiasta täytäntöönpanopäätöksellä, joka sen olisi pyrittävä hyväksymään ilman aiheetonta viivytystä heti ehdotuksen hyväksymisen jälkeen. Kyseisessä täytäntöönpanopäätöksessä olisi määritettävä Ukrainan saataville sen rahoitusstrategian täytäntöönpanoa varten asetettavan avun määrä, mukaan lukien budjettituen määrä ja määrä, jolla tuetaan Ukrainan puolustusteollisuuden kapasiteettia. </w:t>
      </w:r>
    </w:p>
    <w:p w14:paraId="48054C76" w14:textId="77777777" w:rsidR="00631DF6" w:rsidRPr="008F5D5C" w:rsidRDefault="00631DF6" w:rsidP="00B32C86">
      <w:pPr>
        <w:pStyle w:val="ManualConsidrant"/>
        <w:rPr>
          <w:noProof/>
        </w:rPr>
      </w:pPr>
      <w:r w:rsidRPr="008F5D5C">
        <w:t>(22)</w:t>
      </w:r>
      <w:r w:rsidRPr="008F5D5C">
        <w:tab/>
      </w:r>
      <w:bookmarkStart w:id="4" w:name="_Hlk219116649"/>
      <w:r w:rsidRPr="008F5D5C">
        <w:t>Ukrainan tukemiseksi sen rahoitustarpeiden täyttämisessä olisi asetettava saataville rahoituksellista ja taloudellista apua budjettituen muodossa. Tämän asetuksen mukainen rahoituksellinen ja taloudellinen apu antaa merkittävän panoksen Ukrainan sodanjälkeiseen talouden elpymiseen, pitkän aikavälin kasvuun ja vaurauteen, joilla kaikilla on tärkeä rooli tulevassa rauhansopimuksessa. Jotta voidaan varmistaa joustavuus näihin tarpeisiin vastaamisessa, on aiheellista käyttää useita toimitustapoja, jolloin tukea olisi voitava myöntää makrotaloudellisena rahoitusapuna ja Ukrainan tukivälineen III luvun mukaisesti toteutettavana lainana.</w:t>
      </w:r>
    </w:p>
    <w:bookmarkEnd w:id="4"/>
    <w:p w14:paraId="0E5319EC" w14:textId="77777777" w:rsidR="00631DF6" w:rsidRPr="008F5D5C" w:rsidRDefault="00631DF6" w:rsidP="009102DC">
      <w:pPr>
        <w:pStyle w:val="ManualConsidrant"/>
        <w:rPr>
          <w:noProof/>
        </w:rPr>
      </w:pPr>
      <w:r w:rsidRPr="008F5D5C">
        <w:t>(23)</w:t>
      </w:r>
      <w:r w:rsidRPr="008F5D5C">
        <w:tab/>
        <w:t>Ukrainan tukivälineen III luvussa säädetään Ukrainalle myönnettävästä rahoituksesta, jos Ukrainan uudistus- ja investointiohjelman vahvistavassa Ukraina-suunnitelmassa asetetut ehdot täyttyvät tyydyttävästi. Koska kyseessä on keskipitkän aikavälin väline, jonka tavoitteena on tukea Ukrainan elpymistä ja jälleenrakentamista, asteittaista yhdentymistä sisämarkkinoihin sekä muun muassa sellaisten poliittisten, institutionaalisten, oikeudellisten, hallinnollisten, sosiaalisten ja taloudellisten uudistusten hyväksymistä ja täytäntöönpanoa, jotka ovat tarpeen unionin arvoihin mukautumiseksi ja unionin sääntöihin, normeihin, politiikkoihin ja käytäntöihin (EU:n säännöstöön) mukautumiseksi asteittain, tulevaa unionin jäsenyyttä silmällä pitäen, ja siten edistää keskinäistä vakautta, turvallisuutta, rauhaa, vaurautta ja kestävyyttä, on aiheellista säätää, että Ukrainan tukilainasta saatavat määrät käytetään Ukrainan tukivälineen kautta. Ukraina-suunnitelmaa olisi päivitettävä tällaisen täydentävän budjettituen huomioon ottamiseksi, myös toimenpiteillä oikeusvaltioperiaatteen ja korruption torjunnan vahvistamiseksi.</w:t>
      </w:r>
    </w:p>
    <w:p w14:paraId="25162384" w14:textId="77777777" w:rsidR="00631DF6" w:rsidRPr="008F5D5C" w:rsidRDefault="00631DF6" w:rsidP="009102DC">
      <w:pPr>
        <w:pStyle w:val="ManualConsidrant"/>
        <w:rPr>
          <w:noProof/>
        </w:rPr>
      </w:pPr>
      <w:r w:rsidRPr="008F5D5C">
        <w:t>(24)</w:t>
      </w:r>
      <w:r w:rsidRPr="008F5D5C">
        <w:tab/>
        <w:t xml:space="preserve">Makrotaloudellinen rahoitusapu olisi kytkettävä politiikkaa koskeviin ehtoihin, jotka vahvistetaan yhteisymmärryspöytäkirjassa. Yhteisymmärryspöytäkirjaan olisi sisällyttävä Ukrainan vahvoja ja kunnianhimoisia uudistussitoumuksia, mukaan lukien sitoumukset, joilla pyritään erityisesti tehostamaan tulonhankintaa Ukrainan rahoitustarpeiden tukemiseksi ja puuttumaan julkisen talouden korruption perimmäisiin syihin, myös parantamalla julkisten menojen kestävyyttä ja laatua sekä lisäämällä julkisten varainhoitojärjestelmien tehokkuutta, läpinäkyvyyttä ja </w:t>
      </w:r>
      <w:r w:rsidRPr="008F5D5C">
        <w:lastRenderedPageBreak/>
        <w:t>vastuuvelvollisuutta. Ukraina voi käyttää tällaista makrotaloudellista rahoitusapua, kun se rahoittaa korvauksia niille henkilöille, joille on koitunut vahinkoa Venäjän laittomista toimista, myös Euroopan neuvoston yhteyteen perustetun Ukrainan vaadekomission kautta. Neuvoston täytäntöönpanopäätöksessä, jolla hyväksytään Ukrainan rahoitusstrategian arviointi, olisi vahvistettava makrotaloudellisen rahoitusavun erien enimmäismäärä ja ohjeellinen arvo. Moitteettoman varainhoidon periaatteen mukaisesti kyseisen makrotaloudellisen rahoitusavun eriä olisi lähtökohtaisesti oltava enintään neljä, jotta Ukrainan viranomaisten on helpompi hallita likviditeettiä ja jotta voidaan varmistaa ennakoitavuus.</w:t>
      </w:r>
    </w:p>
    <w:p w14:paraId="5D5D3BF1" w14:textId="77777777" w:rsidR="00631DF6" w:rsidRPr="008F5D5C" w:rsidRDefault="00631DF6" w:rsidP="009102DC">
      <w:pPr>
        <w:pStyle w:val="ManualConsidrant"/>
        <w:rPr>
          <w:noProof/>
        </w:rPr>
      </w:pPr>
      <w:r w:rsidRPr="008F5D5C">
        <w:t>(25)</w:t>
      </w:r>
      <w:r w:rsidRPr="008F5D5C">
        <w:tab/>
        <w:t>Tämän asetuksen yhdenmukaisen täytäntöönpanon varmistamiseksi sekä tehokkuussyistä komissio olisi valtuutettava neuvottelemaan makrotaloudellisen rahoitusavun ehdoista Ukrainan viranomaisten kanssa osallistuvien jäsenvaltioiden edustajista muodostuvan komitean valvonnassa Euroopan parlamentin ja neuvoston asetuksen (EU) N:o 182/2011</w:t>
      </w:r>
      <w:r w:rsidRPr="008F5D5C">
        <w:rPr>
          <w:rStyle w:val="FootnoteReference"/>
          <w:noProof/>
        </w:rPr>
        <w:footnoteReference w:id="19"/>
      </w:r>
      <w:r w:rsidRPr="008F5D5C">
        <w:t xml:space="preserve"> mukaisesti. Kun otetaan huomioon avun mahdollisesti huomattava vaikutus, on asianmukaista käyttää asetuksessa (EU) N:o 182/2011 määriteltyä tarkastelumenettelyä. Kun otetaan huomioon Ukrainan tukilainan määrä, yhteisymmärryspöytäkirjan hyväksymiseen ja Ukrainan tukilainan pienentämiseen tai peruuttamiseen olisi sovellettava tarkastelumenettelyä.</w:t>
      </w:r>
    </w:p>
    <w:p w14:paraId="5CD18735" w14:textId="77777777" w:rsidR="00631DF6" w:rsidRPr="008F5D5C" w:rsidRDefault="00631DF6" w:rsidP="009102DC">
      <w:pPr>
        <w:pStyle w:val="ManualConsidrant"/>
        <w:rPr>
          <w:noProof/>
        </w:rPr>
      </w:pPr>
      <w:r w:rsidRPr="008F5D5C">
        <w:t>(26)</w:t>
      </w:r>
      <w:r w:rsidRPr="008F5D5C">
        <w:tab/>
        <w:t>Ukrainan tukilainalla olisi annettava rahoituksellista ja taloudellista apua Ukrainalle sotaa käyvänä valtiona, jonka rahoitusvakaus liittyy erottamattomasti sen kykyyn puolustautua hyökkäystä vastaan ja on riippuvainen siitä. Tämä oikeuttaa sen, että tietty määrä Ukrainalle annettavasta rahoituksellisesta ja taloudellisesta avusta käytetään parantamaan Ukrainan valmiuksia selviytyä talousarviotarpeista, jotka liittyvät maan valmiuksiin vahvistaa puolustustaan ja sotilaallisia suorituskykyjään, mikä edistää Ukrainan laadullisen sotilaallisen etulyöntiaseman aikaansaamista. Tällä rahoituksellisella ja taloudellisella avulla olisi pyrittävä antamaan Ukrainalle mahdollisuus toteuttaa kiireellisiä ja tuntuvia julkisia investointeja, joilla tuetaan Ukrainan puolustusteollisuutta ja sen yhdentymistä Euroopan puolustusteollisuuteen vallitsevassa kriisitilanteessa ja sen jälkeen. Tällä avulla olisi erityisesti edistettävä Ukrainan puolustuksen teollisen ja teknologisen perustan jälleenrakentamista, elvyttämistä ja nykyaikaistamista Ukrainan puolustusteollisen valmiuden lisäämiseksi unionin ja Ukrainan välisen yhteistyön avulla ottaen huomioon Ukrainan asteittainen tuleva yhdentyminen Euroopan puolustuksen teolliseen ja teknologiseen perustaan ja tukemalla puolustustarvikkeiden ja muiden puolustustarkoituksiin käytettävien tuotteiden oikea-aikaista saatavuutta.</w:t>
      </w:r>
    </w:p>
    <w:p w14:paraId="6D3CE35A" w14:textId="77777777" w:rsidR="00631DF6" w:rsidRPr="008F5D5C" w:rsidRDefault="00631DF6" w:rsidP="009102DC">
      <w:pPr>
        <w:pStyle w:val="ManualConsidrant"/>
        <w:rPr>
          <w:noProof/>
        </w:rPr>
      </w:pPr>
      <w:r w:rsidRPr="008F5D5C">
        <w:t>(27)</w:t>
      </w:r>
      <w:r w:rsidRPr="008F5D5C">
        <w:tab/>
        <w:t xml:space="preserve">Ukrainan puolustusteollisuuden kapasiteetin tukemiseen tarkoitettua rahoituksellista ja taloudellista apua olisi asetettava saataville sellaisia toimia, menoja ja toimenpiteitä varten, jotka liittyvät tietyt tukikelpoisuusvaatimukset täyttäviin puolustustarvikkeisiin tai muihin puolustustarkoituksiin käytettäviin tuotteisiin. Jotta Ukrainan puolustuksen teollista perustaa voitaisiin vahvistaa kiireellisesti tehokkaalla ja autonomisella tavalla, kyseiset tukikelpoisuusvaatimukset olisi jäsenneltävä siten, että toimet, menot ja toimenpiteet, joilla tuetaan Ukrainan puolustusteollisuuden kapasiteettia, suunnataan Ukrainan puolustuksen teollisen ja teknologisen perustan jälleenrakentamiseen, elvyttämiseen ja nykyaikaistamiseen ottaen huomioon sen tuleva asteittainen </w:t>
      </w:r>
      <w:r w:rsidRPr="008F5D5C">
        <w:lastRenderedPageBreak/>
        <w:t>yhdentyminen Euroopan puolustuksen teolliseen ja teknologiseen perustaan. Kun tässä yhteydessä tarkastellaan, ovatko valmistajat kolmansien maiden tai kolmansien maiden yhteisöjen määräysvallassa, määräysvallan olisi ymmärrettävä tarkoittavan kykyä käyttää ratkaisevaa vaikutusvaltaa oikeussubjektissa joko suoraan tai yhden tai useamman muun oikeussubjektin välityksellä.</w:t>
      </w:r>
    </w:p>
    <w:p w14:paraId="53EAF180" w14:textId="77777777" w:rsidR="00631DF6" w:rsidRPr="008F5D5C" w:rsidRDefault="00631DF6" w:rsidP="009102DC">
      <w:pPr>
        <w:pStyle w:val="ManualConsidrant"/>
        <w:rPr>
          <w:noProof/>
        </w:rPr>
      </w:pPr>
      <w:r w:rsidRPr="008F5D5C">
        <w:t>(28)</w:t>
      </w:r>
      <w:r w:rsidRPr="008F5D5C">
        <w:tab/>
        <w:t>Jotta Ukraina voisi käyttää rahoituksellista ja taloudellista apua olosuhteisiin parhaiten soveltuvalla tavalla, sille on aiheellista antaa mahdollisuus käyttää varoja Ukrainan puolustusteollisuuden kapasiteetin tukemiseen erilaisilla täytäntöönpanomenetelmillä, joissa otetaan huomioon tarpeiden monitahoisuus. Varoista voidaan rahoittaa myös asetuksen (EU) [</w:t>
      </w:r>
      <w:r w:rsidRPr="008F5D5C">
        <w:rPr>
          <w:i/>
        </w:rPr>
        <w:t>EDIP-asetus</w:t>
      </w:r>
      <w:r w:rsidRPr="008F5D5C">
        <w:t>] mukaista Ukrainan tukemiseen tarkoitettua välinettä, Ukrainan tukivälineellä perustettua kaksikäyttötuotteita koskevaa Ukrainan investointikehystä tai muita unionin ohjelmia. Lisäksi Ukrainan olisi voitava toteuttaa varojen avulla laajoja toimenpiteitä puolustustarvikkeiden kysynnän osalta, jotta voidaan luoda asianmukaiset olosuhteet, joilla kannustetaan mittaviin investointeihin tuotantokapasiteetin lisäämiseksi ja uusien tuotteiden kehittämiseksi. Tätä varten Ukrainan olisi voitava käyttää varoja mittavien puolustustuotehankintojen käynnistämiseen Ukrainan puolustuksen teollisesta ja teknologisesta perustasta ja Euroopan puolustuksen teollisesta ja teknologisesta perustasta neuvoston asetuksella (EU) 2025/1106</w:t>
      </w:r>
      <w:r w:rsidRPr="008F5D5C">
        <w:rPr>
          <w:rStyle w:val="FootnoteReference"/>
          <w:noProof/>
        </w:rPr>
        <w:footnoteReference w:id="20"/>
      </w:r>
      <w:r w:rsidRPr="008F5D5C">
        <w:t xml:space="preserve"> perustetun SAFE-välineen tai, riippuen vahvistamisista, muiden yksityiskohtaisten sääntöjen mukaisilla hankinnoilla.</w:t>
      </w:r>
    </w:p>
    <w:p w14:paraId="773F9470" w14:textId="77777777" w:rsidR="00631DF6" w:rsidRPr="008F5D5C" w:rsidRDefault="00631DF6" w:rsidP="00595383">
      <w:pPr>
        <w:pStyle w:val="ManualConsidrant"/>
        <w:rPr>
          <w:noProof/>
        </w:rPr>
      </w:pPr>
      <w:r w:rsidRPr="008F5D5C">
        <w:t>(29)</w:t>
      </w:r>
      <w:r w:rsidRPr="008F5D5C">
        <w:tab/>
      </w:r>
      <w:bookmarkStart w:id="5" w:name="_Hlk218787188"/>
      <w:r w:rsidRPr="008F5D5C">
        <w:t xml:space="preserve">Tiettyihin puolustustarvikkeisiin, joiden perustana olevat teknologiat eivät ole laajasti saatavilla unionissa ja joita voi olla vaikea korvata laajamittaisesti, </w:t>
      </w:r>
      <w:bookmarkStart w:id="6" w:name="_Hlk219043129"/>
      <w:r w:rsidRPr="008F5D5C">
        <w:t>kuten ilma- ja ohjuspuolustusjärjestelmiin ja strategisiin edellytyksiin</w:t>
      </w:r>
      <w:bookmarkEnd w:id="6"/>
      <w:r w:rsidRPr="008F5D5C">
        <w:t>, olisi sovellettava lisävaatimuksia, jotta voidaan varmistaa Ukrainan asevoimien toimintavapaus kyseisten tarvikkeiden osalta ilman kolmansien maiden asettamia rajoituksia. Tällaisten puolustustarvikkeiden osalta valmistajalla olisi sen vuoksi oltava mahdollisuus päättää hankkimiensa puolustustarvikkeiden ominaisuuksien määrittelystä, mukauttamisesta tai kehittämisestä ilman kolmansien maiden tai kolmansien maiden yhteisöjen asettamia rajoituksia, mukaan lukien laillinen oikeus korvata tai poistaa sellaisia komponentteja, joihin sovelletaan kolmansien maiden tai kolmansien maiden yhteisöjen asettamia rajoituksia.</w:t>
      </w:r>
    </w:p>
    <w:bookmarkEnd w:id="5"/>
    <w:p w14:paraId="5D2E7DD4" w14:textId="77777777" w:rsidR="00631DF6" w:rsidRPr="008F5D5C" w:rsidRDefault="00631DF6" w:rsidP="009102DC">
      <w:pPr>
        <w:pStyle w:val="ManualConsidrant"/>
        <w:rPr>
          <w:rFonts w:eastAsia="Times New Roman"/>
          <w:noProof/>
        </w:rPr>
      </w:pPr>
      <w:r w:rsidRPr="008F5D5C">
        <w:t>(30)</w:t>
      </w:r>
      <w:r w:rsidRPr="008F5D5C">
        <w:tab/>
        <w:t xml:space="preserve">Jotta voidaan varmistaa tämän asetuksen sujuva täytäntöönpano yhdessä SAFE-välineen kanssa, on aiheellista soveltaa samanlaisia tukikelpoisuusvaatimuksia. SAFE-välineellä tuetaan SAFE-asetuksessa määriteltyjen puolustustarvikkeiden hankintaa. Neuvosto on hyväksynyt luokkiin 1 ja 2 kuuluvien tuotteiden luettelon, joka on osoittautunut riittävän kattavaksi, jotta voidaan tukea jäsenvaltioiden tarvitsemien tuotteiden, myös ilmakäyttöisten alustojen, hankintaa. Koska tilanne taistelukentällä muuttuu jatkuvasti, on olennaisen tärkeää välttää se, että tuettavien tuotteiden luettelolla rajoitettaisiin Ukrainan mahdollisuuksia saada tarvitsemaansa apua. Kun otetaan huomioon, että Ukraina on sotaa käyvä maa, jonka kyky puolustaa aluettaan saattaa riippua tietyn tuotteen saatavuudesta hyvin lyhyellä aikavälillä, Ukrainan olisi sallittava hankkia tuotteita, jotka eivät täytä näitä tukikelpoisuusvaatimuksia, jos tuotteelle on kiireellinen tarve ja jos vaihtoehtoista tuotetta ei ole saatavilla hankintamenettelyjen kautta. Tätä varten Ukrainan olisi toimitettava komissiolle kohtuudella käytettävissään olevat tiedot osoittaakseen, että poikkeus on tarpeen, </w:t>
      </w:r>
      <w:r w:rsidRPr="008F5D5C">
        <w:lastRenderedPageBreak/>
        <w:t>koska Ukrainan tarpeet ovat sodan aikana niin kiireellisiä, että laajaa markkinatutkimusta ei tulisi edellyttää. Tämän asetuksen yhdenmukaisen täytäntöönpanon varmistamiseksi sekä tehokkuussyistä komissio olisi valtuutettava tutkimaan tällaiset poikkeuspyynnöt osallistuvien jäsenvaltioiden edustajista muodostuvan komitean valvonnassa asetuksen (EU) N:o 182/2011 mukaisesti. Kun otetaan huomioon avun mahdollisesti huomattava vaikutus, on asianmukaista käyttää asetuksessa (EU) N:o 182/2011 määriteltyä tarkastelumenettelyä. Venäjän hyökkäyssodan aiheuttaman poikkeuksellisen tilanteen ja puolustustarvikkeiden oikea-aikaisen saatavuuden tarpeen vuoksi on aiheellista vedota asetuksen (EU) N:o 182/2011 3 artiklan 3 kohdassa tarkoitettuun asianmukaisesti perusteltuun tapaukseen, jotta komitea voi antaa lausuntonsa määräajassa, jonka komitean puheenjohtaja voi asettaa asian kiireellisyyden mukaan. Tarvittaessa olisi käytettävä mainitun asetuksen 3 artiklan 5 kohdassa tarkoitettua kirjallista menettelyä.</w:t>
      </w:r>
    </w:p>
    <w:p w14:paraId="5B9E12A5" w14:textId="77777777" w:rsidR="00631DF6" w:rsidRPr="008F5D5C" w:rsidRDefault="00631DF6" w:rsidP="009102DC">
      <w:pPr>
        <w:pStyle w:val="ManualConsidrant"/>
        <w:rPr>
          <w:noProof/>
        </w:rPr>
      </w:pPr>
      <w:r w:rsidRPr="008F5D5C">
        <w:t>(31)</w:t>
      </w:r>
      <w:r w:rsidRPr="008F5D5C">
        <w:tab/>
        <w:t>Jotta voidaan edelleen varmistaa asetuksen sujuva täytäntöönpano yhdessä SAFE-välineen kanssa, on aiheellista, että kelpoisuusehdot voidaan ulottaa koskemaan valmistajia kolmansissa maissa, jotka ovat tehneet unionin kanssa sopimuksen neuvoston asetuksen (EU) 2025/1106 17 artiklan mukaisesti.</w:t>
      </w:r>
    </w:p>
    <w:p w14:paraId="5A3E1B9B" w14:textId="77777777" w:rsidR="00631DF6" w:rsidRPr="008F5D5C" w:rsidRDefault="00631DF6" w:rsidP="009102DC">
      <w:pPr>
        <w:pStyle w:val="ManualConsidrant"/>
        <w:rPr>
          <w:noProof/>
        </w:rPr>
      </w:pPr>
      <w:r w:rsidRPr="008F5D5C">
        <w:t>(32)</w:t>
      </w:r>
      <w:r w:rsidRPr="008F5D5C">
        <w:tab/>
        <w:t xml:space="preserve">Tämä asetus ei rajoita sellaisen sovellettavan kansainvälisen oikeuden soveltamista, jolla kielletään tiettyjen puolustustarvikkeiden ja -teknologioiden käyttö, kehittäminen tai tuotanto. </w:t>
      </w:r>
    </w:p>
    <w:p w14:paraId="1BB5F715" w14:textId="77777777" w:rsidR="00631DF6" w:rsidRPr="008F5D5C" w:rsidRDefault="00631DF6" w:rsidP="009102DC">
      <w:pPr>
        <w:pStyle w:val="ManualConsidrant"/>
        <w:rPr>
          <w:noProof/>
          <w:sz w:val="22"/>
        </w:rPr>
      </w:pPr>
      <w:r w:rsidRPr="008F5D5C">
        <w:t>(33)</w:t>
      </w:r>
      <w:r w:rsidRPr="008F5D5C">
        <w:tab/>
        <w:t>Ukrainan puolustusteollisuuden kapasiteetin tukemiseen tarkoitetun avun täytäntöönpanossa olisi noudatettava Euroopan parlamentin ja neuvoston asetuksen (EU, Euratom) 2024/2509</w:t>
      </w:r>
      <w:r w:rsidRPr="008F5D5C">
        <w:rPr>
          <w:rStyle w:val="FootnoteReference"/>
          <w:noProof/>
        </w:rPr>
        <w:footnoteReference w:id="21"/>
      </w:r>
      <w:r w:rsidRPr="008F5D5C">
        <w:t xml:space="preserve"> 223 artiklan 4 kohdassa vahvistettuja moitteettoman varainhoidon periaatteita, joilla varmistetaan unionin taloudellisten etujen suojaaminen. Tätä koskevat yksityiskohtaiset vaatimukset voidaan sisällyttää komission ja Ukrainan välillä allekirjoitettavaan järjestelyyn. Lisäksi Ukrainan olisi avattava puolustusteollisuutensa kapasiteetin tukemiseksi saadun rahoituksellisen ja taloudellisen avun hallinnointia varten yksi tili, jonka kautta apua hallinnoidaan, ja komission olisi voitava seurata kyseistä tiliä.</w:t>
      </w:r>
    </w:p>
    <w:p w14:paraId="2ED49814" w14:textId="77777777" w:rsidR="00631DF6" w:rsidRPr="008F5D5C" w:rsidRDefault="00631DF6" w:rsidP="009102DC">
      <w:pPr>
        <w:pStyle w:val="ManualConsidrant"/>
        <w:rPr>
          <w:noProof/>
        </w:rPr>
      </w:pPr>
      <w:r w:rsidRPr="008F5D5C">
        <w:t>(34)</w:t>
      </w:r>
      <w:r w:rsidRPr="008F5D5C">
        <w:tab/>
        <w:t>Tukeakseen Ukrainan puolustusteollisuuden kapasiteettiin tarkoitetun avun täytäntöönpanoa komission olisi perustettava Ukrainan puolustusteollisuuden kapasiteettia käsittelevä asiantuntijaryhmä. Kyseisen asiantuntijaryhmän olisi annettava komissiolle neuvontaa asioissa, jotka liittyvät Ukrainan puolustusteollisuuden kapasiteetin tukemista varten annettavaan apuun.</w:t>
      </w:r>
    </w:p>
    <w:p w14:paraId="2CDAFAA1" w14:textId="77777777" w:rsidR="00631DF6" w:rsidRPr="008F5D5C" w:rsidRDefault="00631DF6" w:rsidP="009102DC">
      <w:pPr>
        <w:pStyle w:val="ManualConsidrant"/>
        <w:rPr>
          <w:noProof/>
        </w:rPr>
      </w:pPr>
      <w:r w:rsidRPr="008F5D5C">
        <w:t>(35)</w:t>
      </w:r>
      <w:r w:rsidRPr="008F5D5C">
        <w:tab/>
        <w:t>Komission olisi seurattava Ukrainan puolustusteollisuuden kapasiteetin tukemista varten annettavan avun täytäntöönpanoa, myös tuotteiden toimittamista. Tätä varten olisi otettava käyttöön useita seurantajärjestelyjä erilaisia täytäntöönpanomenetelmiä varten.</w:t>
      </w:r>
    </w:p>
    <w:p w14:paraId="67CDB147" w14:textId="77777777" w:rsidR="00631DF6" w:rsidRPr="008F5D5C" w:rsidRDefault="00631DF6" w:rsidP="009102DC">
      <w:pPr>
        <w:pStyle w:val="ManualConsidrant"/>
        <w:rPr>
          <w:noProof/>
        </w:rPr>
      </w:pPr>
      <w:r w:rsidRPr="008F5D5C">
        <w:t>(36)</w:t>
      </w:r>
      <w:r w:rsidRPr="008F5D5C">
        <w:tab/>
        <w:t>Euroopan parlamentin ja neuvoston direktiivi 2009/81/EY</w:t>
      </w:r>
      <w:r w:rsidRPr="008F5D5C">
        <w:rPr>
          <w:rStyle w:val="FootnoteReference"/>
          <w:noProof/>
        </w:rPr>
        <w:footnoteReference w:id="22"/>
      </w:r>
      <w:r w:rsidRPr="008F5D5C">
        <w:t xml:space="preserve"> koskee muun muassa sellaisen asianmukaisen lainsäädäntökehyksen luomista, jossa käsitellään </w:t>
      </w:r>
      <w:r w:rsidRPr="008F5D5C">
        <w:lastRenderedPageBreak/>
        <w:t>hankintasopimusten tekemistä koskevien menettelyjen yhteensovittamista, jotta nämä sopimukset täyttävät jäsenvaltioiden turvallisuusvaatimukset ja Euroopan unionin toiminnasta tehdystä sopimuksesta johtuvat velvoitteet. Direktiivissä 2009/81/EY säädetään tämän tavoitteen saavuttamiseksi erityisesti kriisitilanteista, ja siinä on erityisiä säännöksiä, joita sovelletaan kriisistä johtuvissa kiireellisissä tilanteissa. Näitä ovat esimerkiksi tarjousten vastaanottamista koskevien määräaikojen lyhentäminen ja mahdollisuus käyttää neuvottelumenettelyä julkaisematta ennalta hankintailmoitusta. Tietyissä kiireellisissä tapauksissa nämä säännöt voivat kuitenkin olla riittämättömiä, erityisesti jos kriisistä johtuvaan kiireelliseen tilanteeseen voidaan vastata ainoastaan siten, että Ukraina ja vähintään yksi osallistuva jäsenvaltio tekevät yhteistoiminnallisen hankinnan. Tällöin ainoa ratkaisu kyseisten maiden turvallisuusetujen varmistamiseksi on avata olemassa oleva osallistuvan jäsenvaltion puitejärjestely tai hankintasopimus Ukrainan hankintaviranomaisille, jotka eivät ole olleet sen alkuperäisiä osapuolia, vaikka kyseisestä mahdollisuudesta ei olekaan määrätty alkuperäisessä puitejärjestelyssä tai hankintasopimuksessa. Koska nämä mahdollisuudet eivät sisälly direktiiviin 2009/81/EY tämän asetuksen tullessa voimaan, tässä asetuksessa säädetään mahdollisuudesta täydentää kyseisen direktiivin säännöksiä tai poiketa niistä vallitsevassa Venäjän hyökkäyssodasta johtuvassa kriisitilanteessa edellyttäen, että puitejärjestelyn tehneeltä yritykseltä saadaan suostumus. Ukrainaa koskevien lisämäärien osalta Ukrainan hankintaviranomaisiin olisi sovellettava samoja ehtoja kuin alkuperäisen puitejärjestelyn tehneeseen alkuperäiseen hankintaviranomaiseen. Lisäksi olisi toteutettava asianmukaisia läpinäkyvyyttä koskevia toimenpiteitä sen varmistamiseksi, että kaikki osapuolet, joita asiasta mahdollisesti koskee, saavat siitä tiedon.</w:t>
      </w:r>
    </w:p>
    <w:p w14:paraId="5916D2DF" w14:textId="77777777" w:rsidR="00631DF6" w:rsidRPr="008F5D5C" w:rsidRDefault="00631DF6" w:rsidP="009102DC">
      <w:pPr>
        <w:pStyle w:val="ManualConsidrant"/>
        <w:rPr>
          <w:noProof/>
        </w:rPr>
      </w:pPr>
      <w:r w:rsidRPr="008F5D5C">
        <w:t>(37)</w:t>
      </w:r>
      <w:r w:rsidRPr="008F5D5C">
        <w:tab/>
        <w:t>Neuvoston asetuksessa (EU) 2025/1106 säädetään jäsenvaltioille annettavasta taloudellisesta avusta, jonka avulla ne voivat toteuttaa kiireellisiä ja merkittäviä julkisia investointeja Euroopan puolustusteollisuuden tukemiseksi vastatakseen unionin turvallisuustilanteen jyrkästä heikentymisestä johtuvaan kriisitilanteeseen. Unioni on tällä välineellä alkanut tukea jäsenvaltioita, jotta ne voivat tehdä tilauksia nopeasti, ja kannustanut puolustusteollisuutta investoimaan hyvin lyhyellä aikavälillä tuotantokapasiteetin vahvistamiseen, jotta jäsenvaltioiden tarpeet saadaan tyydytettyä vuoteen 2030 mennessä. Lisäksi tällä asetuksella tuetaan sitä, että Ukrainan tilauksen kohdistuvat Euroopan puolustuksen teolliseen ja teknologiseen perustaan, jotta voidaan tukea yhteistyötä Euroopan puolustuksen teollisen ja teknologisen perustan ja Ukrainan puolustuksen teollisen ja teknologisen perustan välillä. Näin poikkeuksellisen suuri monenlaisten puolustustarvikkeiden kysyntä aiheuttaa välittömän riskin, että sillä on vakava kielteinen vaikutus sisämarkkinoiden moitteettomaan toimintaan. Kun otetaan huomioon Ukrainan erityistilanne, kyseisen riskin torjumiseksi ja tämän asetuksen tavoitteet huomioiden unionin tasolla toteutettavat priorisointitoimenpiteet, joilla pyritään varmistamaan asianomaisten puolustustarvikkeiden saatavuus, voivat osoittautua välttämättömiksi, kun varmistetaan puolustustarvikkeiden sisämarkkinoiden ja niiden toimitusketjujen moitteeton toiminta. Komission olisi voitava käyttää tässä yhteydessä osallistuvan jäsenvaltion pyynnöstä ensisijaisiksi luokiteltuja pyyntöjä puolustustarvikkeiden tarjonnan helpottamista varten, jotta tämän asetuksen tavoitteet voidaan saavuttaa.</w:t>
      </w:r>
    </w:p>
    <w:p w14:paraId="5BA4AC4C" w14:textId="77777777" w:rsidR="00631DF6" w:rsidRPr="008F5D5C" w:rsidRDefault="00631DF6" w:rsidP="009102DC">
      <w:pPr>
        <w:pStyle w:val="ManualConsidrant"/>
        <w:rPr>
          <w:noProof/>
        </w:rPr>
      </w:pPr>
      <w:r w:rsidRPr="008F5D5C">
        <w:lastRenderedPageBreak/>
        <w:t>(38)</w:t>
      </w:r>
      <w:r w:rsidRPr="008F5D5C">
        <w:tab/>
        <w:t>Ensisijaisiksi luokiteltujen pyyntöjen olisi toimittava niin, että komissio tekee osallistuvan jäsenvaltion aloitteesta unioniin sijoittautuneille talouden toimijoille pyyntöjä hyväksyä kriisin kannalta olennaisten tuotteiden tilauksia tai priorisoida niitä. Ensisijaisiksi luokiteltuja pyyntöjä olisi käytettävä vain silloin, kun se on tarpeen ja oikeasuhteista sen varmistamiseksi, että puolustusalan toimitusketjut voivat toimia normaalisti. Näillä pyynnöillä olisi pyrittävä tukemaan Ukrainaa, jolla on vakavia vaikeuksia joko puolustustarvikkeita koskevan tilauksen tekemiseen tai niiden toimittamista koskevan sopimuksen täytäntöönpanoon liittyen. Talouden toimijoilla olisi oltava mahdollisuus kieltäytyä olemasta ensisijaiseksi luokitellun pyynnön kohteena. Ensisijaiseksi luokiteltu pyyntö olisi tehtävä objektiivisten, tosiasioihin perustuvien, mitattavissa olevien ja perusteltujen tietojen perusteella. Siinä olisi otettava huomioon yritysten oikeutetut edut sekä kustannukset ja toimet, joita tuotantojärjestyksen muuttaminen edellyttää. Kun ensisijaiseksi luokiteltu pyyntö hyväksytään, sen täyttämistä koskevan velvoitteen olisi oltava etusijalla muihin yksityis- tai julkisoikeuden mukaisiin suoritevelvoitteisiin nähden. Koska on tärkeää varmistaa sellaisten puolustustarvikkeiden toimitukset, jotka ovat ehdottoman tarpeellisia sisämarkkinoiden ja niiden toimitusketjujen moitteettoman toiminnan kannalta, ensisijaiseksi luokitellun pyynnön täyttämistä koskevan velvoitteen noudattaminen ei saisi aiheuttaa kolmansille osapuolille vastuuvelvollisuutta vahingoista, jotka voivat johtua jäsenvaltion lainsäädännön soveltamisalaan kuuluvien sopimusvelvoitteiden rikkomisesta, siltä osin kuin sopimusvelvoitteiden rikkominen on ollut tarpeen toimeksiannon mukaisen priorisoinnin noudattamiseksi. Jos talouden toimija on nimenomaisesti hyväksynyt ensisijaiseksi luokitellun pyynnön ja komissio on sen jälkeen antanut täytäntöönpanosäädöksen, talouden toimijan olisi noudatettava kaikkia kyseisen täytäntöönpanosäädöksen edellytyksiä. Jos talouden toimija ei noudata täytäntöönpanosäädöksessä vahvistettuja edellytyksiä, sen olisi menetettävä vapautus sopimusperusteisesta vastuusta. Jos noudattamatta jättäminen on tahallista tai johtuu törkeästä huolimattomuudesta, komission olisi voitava määrätä talouden toimijalle sakko suhteellisuusperiaatetta noudattaen.</w:t>
      </w:r>
    </w:p>
    <w:p w14:paraId="5772C00A" w14:textId="77777777" w:rsidR="00631DF6" w:rsidRPr="008F5D5C" w:rsidRDefault="00631DF6" w:rsidP="009102DC">
      <w:pPr>
        <w:pStyle w:val="ManualConsidrant"/>
        <w:rPr>
          <w:noProof/>
        </w:rPr>
      </w:pPr>
      <w:r w:rsidRPr="008F5D5C">
        <w:t>(39)</w:t>
      </w:r>
      <w:r w:rsidRPr="008F5D5C">
        <w:tab/>
        <w:t>Koska budjettitukeen ja Ukrainan puolustusteollisuuden kapasiteetin tukemiseen olisi asetettava saataville tietyt määrät, molempien täytäntöönpanossa olisi varmistettava johdonmukaisuus ja täydentävyys.</w:t>
      </w:r>
    </w:p>
    <w:p w14:paraId="683E3711" w14:textId="77777777" w:rsidR="00631DF6" w:rsidRPr="008F5D5C" w:rsidRDefault="00631DF6" w:rsidP="009102DC">
      <w:pPr>
        <w:pStyle w:val="ManualConsidrant"/>
        <w:rPr>
          <w:noProof/>
        </w:rPr>
      </w:pPr>
      <w:r w:rsidRPr="008F5D5C">
        <w:t>(40)</w:t>
      </w:r>
      <w:r w:rsidRPr="008F5D5C">
        <w:tab/>
        <w:t>Tätä asetusta olisi sovellettava sen vaikuttamatta tiettyjen jäsenvaltioiden turvallisuus- ja puolustuspolitiikan erityisluonteeseen.</w:t>
      </w:r>
    </w:p>
    <w:p w14:paraId="35D3758C" w14:textId="77777777" w:rsidR="00631DF6" w:rsidRPr="008F5D5C" w:rsidRDefault="00631DF6" w:rsidP="009102DC">
      <w:pPr>
        <w:pStyle w:val="ManualConsidrant"/>
        <w:rPr>
          <w:noProof/>
        </w:rPr>
      </w:pPr>
      <w:r w:rsidRPr="008F5D5C">
        <w:t>(41)</w:t>
      </w:r>
      <w:r w:rsidRPr="008F5D5C">
        <w:tab/>
        <w:t>Tätä asetusta ei sovelleta jäsenvaltioihin, jotka eivät osallistu tiiviimpään yhteistyöhön. Tässä yhteydessä olisi muistettava, että tiettyjen jäsenvaltioiden jättäytyminen tämän tiiviimmän yhteistyön ulkopuolelle ei vapauta niitä velvoitteesta varmistaa Euroopan unionin toiminnasta tehdyn sopimuksen 325 artiklan ja unionin taloudellisten etujen suojaamiseen tähtäävän unionin säännöstön, myös neuvoston asetuksen (EY, Euratom) N:o 2988/95</w:t>
      </w:r>
      <w:r w:rsidRPr="008F5D5C">
        <w:rPr>
          <w:rStyle w:val="FootnoteReference"/>
          <w:noProof/>
        </w:rPr>
        <w:footnoteReference w:id="23"/>
      </w:r>
      <w:r w:rsidRPr="008F5D5C">
        <w:t>, Euroopan parlamentin ja neuvoston asetuksen (EU, Euratom) N:o 883/2013</w:t>
      </w:r>
      <w:r w:rsidRPr="008F5D5C">
        <w:rPr>
          <w:rStyle w:val="FootnoteReference"/>
          <w:noProof/>
        </w:rPr>
        <w:footnoteReference w:id="24"/>
      </w:r>
      <w:r w:rsidRPr="008F5D5C">
        <w:t xml:space="preserve">, Euroopan parlamentin ja neuvoston </w:t>
      </w:r>
      <w:r w:rsidRPr="008F5D5C">
        <w:lastRenderedPageBreak/>
        <w:t>direktiivin (EU) 2017/1371</w:t>
      </w:r>
      <w:r w:rsidRPr="008F5D5C">
        <w:rPr>
          <w:rStyle w:val="FootnoteReference"/>
          <w:noProof/>
        </w:rPr>
        <w:footnoteReference w:id="25"/>
      </w:r>
      <w:r w:rsidRPr="008F5D5C">
        <w:t>, asetuksen (EU, Euratom) 2024/2509 sääntöjen ja soveltuvin osin neuvoston asetuksen (EU) 2017/1939</w:t>
      </w:r>
      <w:r w:rsidRPr="008F5D5C">
        <w:rPr>
          <w:rStyle w:val="FootnoteReference"/>
          <w:noProof/>
        </w:rPr>
        <w:footnoteReference w:id="26"/>
      </w:r>
      <w:r w:rsidRPr="008F5D5C">
        <w:t>, täytäntöönpano täydessä laajuudessaan. Kyseisten jäsenvaltioiden ja niiden lainkäyttövaltaan kuuluvien taloudellisten yksiköiden olisi näin ollen tehtävä täyttä yhteistyötä tilintarkastustuomioistuimen, Euroopan petostentorjuntaviraston (OLAF), komission ja tapauksen mukaan Euroopan syyttäjänviraston (EPPO) kanssa niiden käyttäessä toimivaltaansa.</w:t>
      </w:r>
    </w:p>
    <w:p w14:paraId="0C5144B1" w14:textId="77777777" w:rsidR="00631DF6" w:rsidRPr="008F5D5C" w:rsidRDefault="00631DF6" w:rsidP="009102DC">
      <w:pPr>
        <w:pStyle w:val="ManualConsidrant"/>
        <w:rPr>
          <w:noProof/>
        </w:rPr>
      </w:pPr>
      <w:r w:rsidRPr="008F5D5C">
        <w:t>(42)</w:t>
      </w:r>
      <w:r w:rsidRPr="008F5D5C">
        <w:tab/>
        <w:t>Komission ja Ukrainan viranomaisten välillä tehtävän Ukrainan tukilainasopimuksen olisi sisällettävä määräyksiä, jotka ovat yhdenmukaisia niiden oikeuksien, vastuiden ja velvoitteiden kanssa, jotka on vahvistettu unionin ja Ukrainan allekirjoittamassa asetuksen (EU) 2024/792 9 artiklassa tarkoitetussa, Ukrainan tukivälineen puitteissa tehdyssä ja 20 päivänä kesäkuuta 2024 voimaan tulleessa puitesopimuksessa. Näin varmistetaan, että Ukrainan tukilainaan liittyvät unionin taloudelliset edut suojataan tehokkaasti, toteuttamalla asianmukaisia toimenpiteitä, jotka liittyvät petosten, korruption ja muiden rahoitusapuun mahdollisesti liittyvien sääntöjenvastaisuuksien estämiseen ja torjumiseen. Lisäksi lainasopimuksessa myönnetään asetuksen (EU, Euratom) 2024/2509 mukaisesti komissiolle, Euroopan petostentorjuntavirastolle (OLAF), Euroopan tilintarkastustuomioistuimelle ja tilanteen niin vaatiessa Euroopan syyttäjänvirastolle tarvittavat oikeudet ja valtuudet, myös niiltä kolmansilta osapuolilta, jotka osallistuvat unionin varojen hoitamiseen Ukrainan tukilainan saatavuusaikana ja sen jälkeen. Ukrainan olisi myös ilmoitettava komissiolle varojen käyttöön liittyvistä sääntöjenvastaisuuksista Ukrainan tukivälineen mukaisessa puitesopimuksessa määrättyjen menettelyjen mukaisesti.</w:t>
      </w:r>
    </w:p>
    <w:p w14:paraId="24C5030F" w14:textId="77777777" w:rsidR="00631DF6" w:rsidRPr="008F5D5C" w:rsidRDefault="00631DF6" w:rsidP="009102DC">
      <w:pPr>
        <w:pStyle w:val="ManualConsidrant"/>
        <w:rPr>
          <w:noProof/>
        </w:rPr>
      </w:pPr>
      <w:r w:rsidRPr="008F5D5C">
        <w:t>(43)</w:t>
      </w:r>
      <w:r w:rsidRPr="008F5D5C">
        <w:tab/>
        <w:t xml:space="preserve">Koska Venäjän hyökkäyssota on aiheuttanut Ukrainalle vaikean tilanteen ja jotta Ukrainaa voidaan tukea pitkän aikavälin vakausuralla, unionin on aiheellista myöntää Ukrainan tukilaina lainana, johon liittyy rajoitettu vastuu ja joka erääntyy maksettavaksi, kun Ukraina saa Venäjältä rahavaroja tai muita kuin rahavaroja sotakorvauksina, hyvityksinä tai muuna taloudellisena korvauksena, alueluovutuksia lukuun ottamatta. </w:t>
      </w:r>
    </w:p>
    <w:p w14:paraId="3513183D" w14:textId="77777777" w:rsidR="00631DF6" w:rsidRPr="008F5D5C" w:rsidRDefault="00631DF6" w:rsidP="009102DC">
      <w:pPr>
        <w:pStyle w:val="ManualConsidrant"/>
        <w:rPr>
          <w:noProof/>
        </w:rPr>
      </w:pPr>
      <w:r w:rsidRPr="008F5D5C">
        <w:t>(44)</w:t>
      </w:r>
      <w:r w:rsidRPr="008F5D5C">
        <w:tab/>
        <w:t>Ukrainan tukilainan varojen vapauttamisen ehtona olisi oltava, että komissio antaa myönteisen arvion Ukrainan esittämästä rahoituspyynnöstä. Makrotaloudellisen rahoitusavun ehtojen arviointi ei saisi vaikuttaa muiden unionin ohjelmien ja välineiden ehtojen täyttymisen arviointiin. Jotta Ukrainan puolustusteollisuuden valmiuksien tukemiseen voidaan antaa apua, varojen vapauttamisen ehtona olisi oltava sopimukset toimista, menoista ja toimenpiteistä, joilla tuetaan puolustustarvikkeisiin tai muihin puolustustarkoituksiin käytettäviin tuotteisiin liittyvää Ukrainan puolustusteollisuuden kapasiteettia.</w:t>
      </w:r>
    </w:p>
    <w:p w14:paraId="3895A212" w14:textId="77777777" w:rsidR="00631DF6" w:rsidRPr="008F5D5C" w:rsidRDefault="00631DF6" w:rsidP="002934AA">
      <w:pPr>
        <w:pStyle w:val="ManualConsidrant"/>
        <w:rPr>
          <w:noProof/>
        </w:rPr>
      </w:pPr>
      <w:r w:rsidRPr="008F5D5C">
        <w:t>(45)</w:t>
      </w:r>
      <w:r w:rsidRPr="008F5D5C">
        <w:tab/>
        <w:t>Tässä asetuksessa olisi vahvistettava asianmukaiset säännökset Ukrainan tukilainan rahoittamiseksi.</w:t>
      </w:r>
    </w:p>
    <w:p w14:paraId="5F775212" w14:textId="77777777" w:rsidR="00631DF6" w:rsidRPr="008F5D5C" w:rsidRDefault="00631DF6" w:rsidP="002934AA">
      <w:pPr>
        <w:pStyle w:val="ManualConsidrant"/>
        <w:rPr>
          <w:noProof/>
        </w:rPr>
      </w:pPr>
      <w:r w:rsidRPr="008F5D5C">
        <w:lastRenderedPageBreak/>
        <w:t>(46)</w:t>
      </w:r>
      <w:r w:rsidRPr="008F5D5C">
        <w:tab/>
        <w:t>Ukrainan rahoitustarpeet huomioon ottaen on aiheellista järjestää rahoitusapu asetuksen (EU, Euratom) 2024/2509 224 artiklassa säädetyn hajautetun rahoitusstrategian mukaisesti.</w:t>
      </w:r>
    </w:p>
    <w:p w14:paraId="7F946BF4" w14:textId="77777777" w:rsidR="00631DF6" w:rsidRPr="008F5D5C" w:rsidRDefault="00631DF6" w:rsidP="002934AA">
      <w:pPr>
        <w:pStyle w:val="ManualConsidrant"/>
        <w:rPr>
          <w:noProof/>
        </w:rPr>
      </w:pPr>
      <w:r w:rsidRPr="008F5D5C">
        <w:t>(47)</w:t>
      </w:r>
      <w:r w:rsidRPr="008F5D5C">
        <w:tab/>
        <w:t>Eurooppa-neuvoston 18 päivänä joulukuuta 2025 pidetyn kokouksen yhteydessä 25 valtion- tai hallitusten johtajan antaman vahvan tuen mukaisesti Ukrainan olisi maksettava Ukrainan tukilaina takaisin, kun Venäjältä on saatu korvauksia, ja unioni varaa itselleen oikeuden käyttää unionissa pysäytettyjä Venäjän varoja lainan takaisinmaksuun noudattaen kaikilta osin EU:n ja kansainvälistä oikeutta.</w:t>
      </w:r>
    </w:p>
    <w:p w14:paraId="7BFE73A9" w14:textId="77777777" w:rsidR="00631DF6" w:rsidRPr="008F5D5C" w:rsidRDefault="00631DF6" w:rsidP="009102DC">
      <w:pPr>
        <w:pStyle w:val="ManualConsidrant"/>
        <w:rPr>
          <w:noProof/>
        </w:rPr>
      </w:pPr>
      <w:r w:rsidRPr="008F5D5C">
        <w:t>(48)</w:t>
      </w:r>
      <w:r w:rsidRPr="008F5D5C">
        <w:tab/>
        <w:t>Poiketen siitä, mitä Euroopan parlamentin ja neuvoston asetuksen (EU) 2021/947</w:t>
      </w:r>
      <w:r w:rsidRPr="008F5D5C">
        <w:rPr>
          <w:rStyle w:val="FootnoteReference"/>
          <w:rFonts w:eastAsiaTheme="minorEastAsia"/>
          <w:noProof/>
        </w:rPr>
        <w:footnoteReference w:id="27"/>
      </w:r>
      <w:r w:rsidRPr="008F5D5C">
        <w:t xml:space="preserve"> 31 artiklan 3 kohdassa säädetään, tämän asetuksen mukaisista lainoista johtuvaa rahoitusvastuuta ei tulisi tukea kyseisellä asetuksella perustetulla ulkosuhdetoimien takuujärjestelyllä. Tämän asetuksen mukaisesti lainojen muodossa myönnetyn tuen olisi oltava asetuksen (EU, Euratom) 2024/2509 223 artiklan 1 kohdassa tarkoitettua rahoitusapua. Kun otetaan huomioon taloudelliset riskit ja takausten antaminen, tämän asetuksen mukaisesti lainojen muodossa annettavaa tukea varten ei muodostettaisi varauksia, koska se on tarkoitus taata yli enimmäismäärien, ja poiketen siitä, mitä asetuksen (EU, Euratom) 2024/2509 214 artiklan 1 kohdassa säädetään, sille ei vahvistettaisi rahoitusastetta.</w:t>
      </w:r>
    </w:p>
    <w:p w14:paraId="6BA81CB1" w14:textId="77777777" w:rsidR="00631DF6" w:rsidRPr="008F5D5C" w:rsidRDefault="00631DF6" w:rsidP="009102DC">
      <w:pPr>
        <w:pStyle w:val="ManualConsidrant"/>
        <w:rPr>
          <w:noProof/>
          <w:sz w:val="22"/>
        </w:rPr>
      </w:pPr>
      <w:r w:rsidRPr="008F5D5C">
        <w:t>(49)</w:t>
      </w:r>
      <w:r w:rsidRPr="008F5D5C">
        <w:tab/>
        <w:t xml:space="preserve">Kun otetaan huomioon Venäjän hyökkäyssodan aiheuttama Ukrainan tilanne ja jotta Ukrainaa tuettaisiin sen pitkän aikavälin vakausuralla, on aiheellista poiketa asetuksen (EU, Euratom) 2024/2509 223 artiklan 4 kohdan e alakohdasta ja antaa unionille mahdollisuus myöntää lainanottokustannuksiin tukea niiden kustannusten kattamiseksi, joista Ukraina muutoin vastaisi. Näihin kustannuksiin sisältyvät velanhoitokustannukset (rahoituskustannukset ja likviditeetinhallintakustannukset) ja asiaan liittyvät hallintokustannukset. Lainanottokustannuksiin myönnettävän tuen katsotaan olevan asianmukainen keino varmistaa asetuksen (EU, Euratom) 2024/2509 223 artiklan 1 kohdassa tarkoitettu Ukrainan tukilainan mukaisen tuen vaikuttavuus, erityisesti jottei Ukrainan julkiseen talouteen kohdistuisi lisäpaineita. </w:t>
      </w:r>
    </w:p>
    <w:p w14:paraId="2B61ADB6" w14:textId="77777777" w:rsidR="00631DF6" w:rsidRPr="008F5D5C" w:rsidRDefault="00631DF6" w:rsidP="009102DC">
      <w:pPr>
        <w:pStyle w:val="ManualConsidrant"/>
        <w:rPr>
          <w:noProof/>
        </w:rPr>
      </w:pPr>
      <w:r w:rsidRPr="008F5D5C">
        <w:t>(50)</w:t>
      </w:r>
      <w:r w:rsidRPr="008F5D5C">
        <w:tab/>
        <w:t>Osallistuvien jäsenvaltioiden olisi Euroopan unionin toiminnasta tehdyn sopimuksen 332 artiklan mukaisesti vastattava tiiviimmästä yhteistyöstä toimielimille aiheutuvista muista kuin hallintomenoista. Tätä varten jäsenvaltioilla, jotka eivät osallistu tiiviimpään yhteistyöhön, olisi oltava oikeus neuvoston asetuksen (EU, Euratom) N:o 609/2014</w:t>
      </w:r>
      <w:r w:rsidRPr="008F5D5C">
        <w:rPr>
          <w:rStyle w:val="FootnoteReference"/>
          <w:noProof/>
        </w:rPr>
        <w:footnoteReference w:id="28"/>
      </w:r>
      <w:r w:rsidRPr="008F5D5C">
        <w:t> 11 artiklan mukaiseen mukautukseen unionin talousarviosta rahoitettavien toimintamenojen, erityisesti velanhoitokustannusten, ja vakuuden maksamista koskevien vaatimusten osalta. Tiiviimmän yhteistyön toteuttamisesta toimielimille aiheutuvat hallintokustannukset olisi katettava unionin talousarviosta tekemättä mukautuksia niiden jäsenvaltioiden osalta, jotka eivät osallistu tiiviimpään yhteistyöhön.</w:t>
      </w:r>
    </w:p>
    <w:p w14:paraId="5D51D8E3" w14:textId="77777777" w:rsidR="00631DF6" w:rsidRPr="008F5D5C" w:rsidRDefault="00631DF6" w:rsidP="009102DC">
      <w:pPr>
        <w:pStyle w:val="ManualConsidrant"/>
        <w:rPr>
          <w:noProof/>
        </w:rPr>
      </w:pPr>
      <w:r w:rsidRPr="008F5D5C">
        <w:lastRenderedPageBreak/>
        <w:t>(51)</w:t>
      </w:r>
      <w:r w:rsidRPr="008F5D5C">
        <w:tab/>
        <w:t>Komission olisi hallinnoitava tämän asetuksen nojalla annettavaa unionin tukea Ukrainalle.</w:t>
      </w:r>
    </w:p>
    <w:p w14:paraId="27FA5807" w14:textId="77777777" w:rsidR="00631DF6" w:rsidRPr="008F5D5C" w:rsidRDefault="00631DF6" w:rsidP="009102DC">
      <w:pPr>
        <w:pStyle w:val="ManualConsidrant"/>
        <w:rPr>
          <w:noProof/>
        </w:rPr>
      </w:pPr>
      <w:r w:rsidRPr="008F5D5C">
        <w:t>(52)</w:t>
      </w:r>
      <w:r w:rsidRPr="008F5D5C">
        <w:tab/>
        <w:t>Ukrainan tukilainan muodossa Ukrainalle annettavan tuen olisi oltava Ukrainan tukivälineen nojalla annetun unionin tuen lisänä ja täydennettävä sitä. Komission olisi mahdollisuuksien mukaan pyrittävä minimoimaan Ukrainalle hallinnoinnista ja raportoinnista aiheutuva rasitus.</w:t>
      </w:r>
    </w:p>
    <w:p w14:paraId="4A0FDD08" w14:textId="77777777" w:rsidR="00631DF6" w:rsidRPr="008F5D5C" w:rsidRDefault="00631DF6" w:rsidP="009102DC">
      <w:pPr>
        <w:pStyle w:val="ManualConsidrant"/>
        <w:rPr>
          <w:noProof/>
        </w:rPr>
      </w:pPr>
      <w:r w:rsidRPr="008F5D5C">
        <w:t>(53)</w:t>
      </w:r>
      <w:r w:rsidRPr="008F5D5C">
        <w:tab/>
        <w:t>Komission olisi tarvittaessa otettava asianmukaisesti huomioon neuvoston päätös 2010/427/EU</w:t>
      </w:r>
      <w:r w:rsidRPr="008F5D5C">
        <w:rPr>
          <w:rStyle w:val="FootnoteReference"/>
          <w:noProof/>
        </w:rPr>
        <w:footnoteReference w:id="29"/>
      </w:r>
      <w:r w:rsidRPr="008F5D5C">
        <w:t xml:space="preserve"> ja Euroopan ulkosuhdehallinnon rooli sen toimivaltuuksien mukaisesti.</w:t>
      </w:r>
    </w:p>
    <w:p w14:paraId="5D9F699A" w14:textId="77777777" w:rsidR="00631DF6" w:rsidRPr="008F5D5C" w:rsidRDefault="00631DF6" w:rsidP="009102DC">
      <w:pPr>
        <w:pStyle w:val="ManualConsidrant"/>
        <w:rPr>
          <w:noProof/>
        </w:rPr>
      </w:pPr>
      <w:r w:rsidRPr="008F5D5C">
        <w:t>(54)</w:t>
      </w:r>
      <w:r w:rsidRPr="008F5D5C">
        <w:tab/>
        <w:t>Euroopan parlamentin asiasta vastaava valiokunta voi pyytää komissiota keskustelemaan asetuksen täytäntöönpanoa koskevista kysymyksistä Ukrainan tukilainaa koskevassa vuoropuhelussa. Komission olisi otettava huomioon Ukrainan tukilainaa koskevan vuoropuhelun yhteydessä esiin tulevat seikat, myös Euroopan parlamentin päätöslauselmat, jos niitä annetaan.</w:t>
      </w:r>
    </w:p>
    <w:p w14:paraId="47A30FC9" w14:textId="77777777" w:rsidR="00631DF6" w:rsidRPr="008F5D5C" w:rsidRDefault="00631DF6" w:rsidP="009102DC">
      <w:pPr>
        <w:pStyle w:val="ManualConsidrant"/>
        <w:rPr>
          <w:noProof/>
        </w:rPr>
      </w:pPr>
      <w:r w:rsidRPr="008F5D5C">
        <w:t>(55)</w:t>
      </w:r>
      <w:r w:rsidRPr="008F5D5C">
        <w:tab/>
        <w:t>Sen varmistamiseksi, että Euroopan parlamentti ja neuvosto voivat seurata tämän asetuksen täytäntöönpanoa, komission olisi annettava niille säännöllisesti tietoja tämän asetuksen nojalla Ukrainalle myönnettävän unionin avun toteuttamisesta ja toimitettava niille asiaan liittyvät asiakirjat.</w:t>
      </w:r>
    </w:p>
    <w:p w14:paraId="55A17FDD" w14:textId="77777777" w:rsidR="00631DF6" w:rsidRPr="008F5D5C" w:rsidRDefault="00631DF6" w:rsidP="009102DC">
      <w:pPr>
        <w:pStyle w:val="ManualConsidrant"/>
        <w:rPr>
          <w:noProof/>
        </w:rPr>
      </w:pPr>
      <w:r w:rsidRPr="008F5D5C">
        <w:t>(56)</w:t>
      </w:r>
      <w:r w:rsidRPr="008F5D5C">
        <w:tab/>
        <w:t>Jotta voidaan varmistaa tällä asetuksella perustettujen järjestelyjen toimivuuden jatkuvuus, komission olisi tarkasteltava säännöllisesti järjestelyjen riittävyyttä ja raportoitava siitä Euroopan parlamentille ja neuvostolle läpinäkyvyyden ja vastuuvelvollisuuden takaamiseksi.</w:t>
      </w:r>
    </w:p>
    <w:p w14:paraId="2FB32611" w14:textId="77777777" w:rsidR="00631DF6" w:rsidRPr="008F5D5C" w:rsidRDefault="00631DF6" w:rsidP="009102DC">
      <w:pPr>
        <w:pStyle w:val="ManualConsidrant"/>
        <w:rPr>
          <w:noProof/>
        </w:rPr>
      </w:pPr>
      <w:r w:rsidRPr="008F5D5C">
        <w:t>(57)</w:t>
      </w:r>
      <w:r w:rsidRPr="008F5D5C">
        <w:tab/>
        <w:t>Jotta voidaan varmistaa tämän asetuksen yhdenmukainen täytäntöönpano, komissiolle olisi siirrettävä täytäntöönpanovalta. Tätä valtaa olisi käytettävä asetuksen (EU) N:o 182/2011 mukaisesti.</w:t>
      </w:r>
    </w:p>
    <w:p w14:paraId="06C8196B" w14:textId="77777777" w:rsidR="00631DF6" w:rsidRPr="008F5D5C" w:rsidRDefault="00631DF6" w:rsidP="009102DC">
      <w:pPr>
        <w:pStyle w:val="ManualConsidrant"/>
        <w:rPr>
          <w:noProof/>
        </w:rPr>
      </w:pPr>
      <w:r w:rsidRPr="008F5D5C">
        <w:t>(58)</w:t>
      </w:r>
      <w:r w:rsidRPr="008F5D5C">
        <w:tab/>
        <w:t>Jäsenvaltiot eivät voi riittävällä tavalla saavuttaa tämän asetuksen tavoitetta eli antaa Ukrainalle rahoituksellista ja taloudellista apua vuosiksi 2026 ja 2027 ennakoitavalla, jatkuvalla, hallitulla ja oikea-aikaisella tavalla tukeakseen Ukrainaa Venäjän sitä vastaan käymästä hyökkäyssodasta johtuvien taloudellisten tarpeiden kattamisessa, vaan tavoite voidaan ehdotetun toiminnan laajuuden ja vaikutusten vuoksi saavuttaa paremmin unionin tasolla. Sen vuoksi unioni voi toteuttaa, tarvittaessa tiiviimmän yhteistyön avulla, toimenpiteitä Euroopan unionista tehdyn sopimuksen 5 artiklassa vahvistetun toissijaisuusperiaatteen mukaisesti. Mainitussa artiklassa vahvistetun suhteellisuusperiaatteen mukaisesti tässä asetuksessa ei ylitetä sitä, mikä on tarpeen näiden tavoitteiden saavuttamiseksi.</w:t>
      </w:r>
    </w:p>
    <w:p w14:paraId="4583DD09" w14:textId="77777777" w:rsidR="00631DF6" w:rsidRPr="008F5D5C" w:rsidRDefault="00631DF6" w:rsidP="009102DC">
      <w:pPr>
        <w:pStyle w:val="ManualConsidrant"/>
        <w:rPr>
          <w:noProof/>
        </w:rPr>
      </w:pPr>
      <w:r w:rsidRPr="008F5D5C">
        <w:t>(59)</w:t>
      </w:r>
      <w:r w:rsidRPr="008F5D5C">
        <w:tab/>
        <w:t>Venäjän provosoimaton ja perusteeton hyökkäyssota on aiheuttanut poikkeukselliset olosuhteet, jotka tekevät asiasta kiireellisen, ja sen vuoksi olisi poikettava Euroopan unionista tehtyyn sopimukseen, Euroopan unionin toiminnasta tehtyyn sopimukseen ja Euroopan atomienergiayhteisön perustamissopimukseen liitetyssä, kansallisten parlamenttien asemasta Euroopan unionissa tehdyssä pöytäkirjassa N:o 1 olevassa 4 artiklassa tarkoitetusta kahdeksan viikon määräajasta.</w:t>
      </w:r>
    </w:p>
    <w:p w14:paraId="6EC380D4" w14:textId="77777777" w:rsidR="00631DF6" w:rsidRPr="008F5D5C" w:rsidRDefault="00631DF6" w:rsidP="009102DC">
      <w:pPr>
        <w:pStyle w:val="ManualConsidrant"/>
        <w:rPr>
          <w:noProof/>
        </w:rPr>
      </w:pPr>
      <w:r w:rsidRPr="008F5D5C">
        <w:lastRenderedPageBreak/>
        <w:t>(60)</w:t>
      </w:r>
      <w:r w:rsidRPr="008F5D5C">
        <w:tab/>
        <w:t xml:space="preserve">Ukrainan tilanne huomioon ottaen tämän asetuksen olisi tultava voimaan kiireellisesti sitä päivää seuraavana päivänä, jona se julkaistaan </w:t>
      </w:r>
      <w:r w:rsidRPr="008F5D5C">
        <w:rPr>
          <w:i/>
        </w:rPr>
        <w:t>Euroopan unionin virallisessa lehdessä</w:t>
      </w:r>
      <w:r w:rsidRPr="008F5D5C">
        <w:t>,</w:t>
      </w:r>
    </w:p>
    <w:p w14:paraId="5D3227B2" w14:textId="77777777" w:rsidR="00631DF6" w:rsidRPr="008F5D5C" w:rsidRDefault="00631DF6" w:rsidP="004C79CD">
      <w:pPr>
        <w:pStyle w:val="Formuledadoption"/>
        <w:rPr>
          <w:noProof/>
        </w:rPr>
      </w:pPr>
      <w:r w:rsidRPr="008F5D5C">
        <w:t>OVAT HYVÄKSYNEET TÄMÄN ASETUKSEN:</w:t>
      </w:r>
    </w:p>
    <w:p w14:paraId="6829BA0B" w14:textId="77777777" w:rsidR="00631DF6" w:rsidRPr="008F5D5C" w:rsidRDefault="00631DF6" w:rsidP="002B03B8">
      <w:pPr>
        <w:pStyle w:val="ChapterTitle"/>
        <w:rPr>
          <w:noProof/>
        </w:rPr>
      </w:pPr>
      <w:bookmarkStart w:id="7" w:name="_Hlk215128002"/>
      <w:r w:rsidRPr="008F5D5C">
        <w:t xml:space="preserve">I LUKU </w:t>
      </w:r>
      <w:r w:rsidRPr="008F5D5C">
        <w:br/>
        <w:t>YLEISET SÄÄNNÖKSET</w:t>
      </w:r>
    </w:p>
    <w:bookmarkEnd w:id="7"/>
    <w:p w14:paraId="23D324CB" w14:textId="77777777" w:rsidR="00631DF6" w:rsidRPr="008F5D5C" w:rsidRDefault="00631DF6" w:rsidP="0014092D">
      <w:pPr>
        <w:pStyle w:val="Titrearticle"/>
        <w:rPr>
          <w:b/>
          <w:bCs/>
          <w:noProof/>
        </w:rPr>
      </w:pPr>
      <w:r w:rsidRPr="008F5D5C">
        <w:t xml:space="preserve">1 artikla </w:t>
      </w:r>
      <w:r w:rsidRPr="008F5D5C">
        <w:br/>
      </w:r>
      <w:r w:rsidRPr="008F5D5C">
        <w:rPr>
          <w:b/>
        </w:rPr>
        <w:t>Kohde</w:t>
      </w:r>
    </w:p>
    <w:p w14:paraId="76374FB1" w14:textId="77777777" w:rsidR="00631DF6" w:rsidRPr="008F5D5C" w:rsidRDefault="00631DF6" w:rsidP="002B03B8">
      <w:pPr>
        <w:pStyle w:val="LegalNumPar"/>
        <w:rPr>
          <w:noProof/>
        </w:rPr>
      </w:pPr>
      <w:r w:rsidRPr="008F5D5C">
        <w:t>Tällä asetuksella otetaan käyttöön tiiviimpi yhteistyö, joka koskee välineen perustamista unionin tuen antamiseksi Ukrainalle vuosina 2026 ja 2027 lainana, joka on tarkoitus maksaa takaisin Venäjän maksettavaksi kuuluvilla korvauksilla, jäljempänä ’Ukrainan tukilaina’.</w:t>
      </w:r>
    </w:p>
    <w:p w14:paraId="42F9323C" w14:textId="77777777" w:rsidR="00631DF6" w:rsidRPr="008F5D5C" w:rsidRDefault="00631DF6" w:rsidP="002B03B8">
      <w:pPr>
        <w:pStyle w:val="LegalNumPar"/>
        <w:rPr>
          <w:noProof/>
        </w:rPr>
      </w:pPr>
      <w:r w:rsidRPr="008F5D5C">
        <w:t>Siinä vahvistetaan Ukrainan tukilainan tavoite, sen rahoitus, sen mukaiset unionin rahoituksen muodot ja tällaista rahoitusta koskevat säännöt.</w:t>
      </w:r>
    </w:p>
    <w:p w14:paraId="6D09083A" w14:textId="77777777" w:rsidR="00631DF6" w:rsidRPr="008F5D5C" w:rsidRDefault="00631DF6" w:rsidP="0014092D">
      <w:pPr>
        <w:pStyle w:val="Titrearticle"/>
        <w:rPr>
          <w:b/>
          <w:bCs/>
          <w:noProof/>
        </w:rPr>
      </w:pPr>
      <w:r w:rsidRPr="008F5D5C">
        <w:t xml:space="preserve">2 artikla </w:t>
      </w:r>
      <w:r w:rsidRPr="008F5D5C">
        <w:br/>
      </w:r>
      <w:r w:rsidRPr="008F5D5C">
        <w:rPr>
          <w:b/>
        </w:rPr>
        <w:t>Ukrainan tukilainan tavoitteet</w:t>
      </w:r>
    </w:p>
    <w:p w14:paraId="0E8D9082" w14:textId="77777777" w:rsidR="00631DF6" w:rsidRPr="008F5D5C" w:rsidRDefault="00631DF6" w:rsidP="00717586">
      <w:pPr>
        <w:pStyle w:val="LegalNumPar"/>
        <w:numPr>
          <w:ilvl w:val="0"/>
          <w:numId w:val="17"/>
        </w:numPr>
        <w:rPr>
          <w:noProof/>
        </w:rPr>
      </w:pPr>
      <w:bookmarkStart w:id="8" w:name="_Hlk214443299"/>
      <w:r w:rsidRPr="008F5D5C">
        <w:t>Ukrainan tukilainan yleisenä tavoitteena on antaa Ukrainan käyttöön rahoituksellista ja taloudellista apua ennakoitavalla, jatkuvalla, hallitulla, joustavalla ja oikea-aikaisella tavalla Ukrainan tukemiseksi sellaisten rahoitustarpeiden täyttämisessä, jotka johtuvat erityisesti Venäjän hyökkäyssodasta ja siitä, että Venäjä ei ole suorittanut maksettavakseen kuuluvia korvauksia.</w:t>
      </w:r>
    </w:p>
    <w:p w14:paraId="67ED9361" w14:textId="77777777" w:rsidR="00631DF6" w:rsidRPr="008F5D5C" w:rsidRDefault="00631DF6" w:rsidP="00717586">
      <w:pPr>
        <w:pStyle w:val="LegalNumPar"/>
        <w:numPr>
          <w:ilvl w:val="0"/>
          <w:numId w:val="17"/>
        </w:numPr>
        <w:rPr>
          <w:noProof/>
        </w:rPr>
      </w:pPr>
      <w:r w:rsidRPr="008F5D5C">
        <w:t>Tämän yleisen tavoitteen saavuttamiseksi Ukrainan tukilainan erityistavoitteina on</w:t>
      </w:r>
    </w:p>
    <w:bookmarkEnd w:id="8"/>
    <w:p w14:paraId="203BED5F" w14:textId="77777777" w:rsidR="00631DF6" w:rsidRPr="008F5D5C" w:rsidRDefault="00631DF6" w:rsidP="003C3CCB">
      <w:pPr>
        <w:pStyle w:val="LegalNumPar2"/>
        <w:rPr>
          <w:noProof/>
        </w:rPr>
      </w:pPr>
      <w:r w:rsidRPr="008F5D5C">
        <w:t>tukea makrotalouden vakautta lieventämällä Ukrainan ulkoisia ja sisäisiä rahoitusvaikeuksia;</w:t>
      </w:r>
    </w:p>
    <w:p w14:paraId="360E1607" w14:textId="77777777" w:rsidR="00631DF6" w:rsidRPr="008F5D5C" w:rsidRDefault="00631DF6" w:rsidP="002B03B8">
      <w:pPr>
        <w:pStyle w:val="LegalNumPar2"/>
        <w:rPr>
          <w:noProof/>
        </w:rPr>
      </w:pPr>
      <w:r w:rsidRPr="008F5D5C">
        <w:t>tukea Ukrainan puolustusteollisuuden kapasiteettia taloudellisen, teknisen ja rahoitusyhteistyön avulla.</w:t>
      </w:r>
    </w:p>
    <w:p w14:paraId="556FCD14" w14:textId="77777777" w:rsidR="00631DF6" w:rsidRPr="008F5D5C" w:rsidRDefault="00631DF6" w:rsidP="0014092D">
      <w:pPr>
        <w:pStyle w:val="Titrearticle"/>
        <w:rPr>
          <w:b/>
          <w:bCs/>
          <w:noProof/>
        </w:rPr>
      </w:pPr>
      <w:r w:rsidRPr="008F5D5C">
        <w:t xml:space="preserve">3 artikla </w:t>
      </w:r>
      <w:r w:rsidRPr="008F5D5C">
        <w:br/>
      </w:r>
      <w:r w:rsidRPr="008F5D5C">
        <w:rPr>
          <w:b/>
        </w:rPr>
        <w:t>Määritelmät</w:t>
      </w:r>
    </w:p>
    <w:p w14:paraId="3D1B5D7F" w14:textId="77777777" w:rsidR="00631DF6" w:rsidRPr="008F5D5C" w:rsidRDefault="00631DF6" w:rsidP="00344F69">
      <w:pPr>
        <w:rPr>
          <w:noProof/>
        </w:rPr>
      </w:pPr>
      <w:r w:rsidRPr="008F5D5C">
        <w:t>Tässä asetuksessa tarkoitetaan:</w:t>
      </w:r>
    </w:p>
    <w:p w14:paraId="5DDE93D2" w14:textId="3D83B1F8" w:rsidR="00631DF6" w:rsidRPr="008F5D5C" w:rsidRDefault="00631DF6" w:rsidP="009102DC">
      <w:pPr>
        <w:pStyle w:val="Point1"/>
        <w:rPr>
          <w:noProof/>
        </w:rPr>
      </w:pPr>
      <w:r w:rsidRPr="008F5D5C">
        <w:t>1)</w:t>
      </w:r>
      <w:r w:rsidRPr="008F5D5C">
        <w:tab/>
        <w:t>’puolustustarvikkeilla’ direktiivin 2009/81/EY soveltamisalaan sen 2 artiklan mukaisesti kuuluvia tavaroita, palveluja ja rakennusurakoita;</w:t>
      </w:r>
    </w:p>
    <w:p w14:paraId="3ED9D274" w14:textId="004F44A6" w:rsidR="00631DF6" w:rsidRPr="008F5D5C" w:rsidRDefault="00631DF6" w:rsidP="009102DC">
      <w:pPr>
        <w:pStyle w:val="Point1"/>
        <w:rPr>
          <w:noProof/>
        </w:rPr>
      </w:pPr>
      <w:r w:rsidRPr="008F5D5C">
        <w:t>2)</w:t>
      </w:r>
      <w:r w:rsidRPr="008F5D5C">
        <w:tab/>
        <w:t>’ETA:n EFTA-valtiolla’ Euroopan vapaakauppaliiton (EFTA) jäsenmaata, joka kuuluu Euroopan talousalueeseen (ETA);</w:t>
      </w:r>
    </w:p>
    <w:p w14:paraId="456B8CF3" w14:textId="7C0947B4" w:rsidR="00631DF6" w:rsidRPr="008F5D5C" w:rsidRDefault="00631DF6" w:rsidP="009102DC">
      <w:pPr>
        <w:pStyle w:val="Point1"/>
        <w:rPr>
          <w:noProof/>
        </w:rPr>
      </w:pPr>
      <w:r w:rsidRPr="008F5D5C">
        <w:lastRenderedPageBreak/>
        <w:t>3)</w:t>
      </w:r>
      <w:r w:rsidRPr="008F5D5C">
        <w:tab/>
        <w:t>’ERA-lainoilla’ tukikelpoisia kahdenvälisiä lainoja ja asetuksen (EU) 2024/2773 mukaista unionin makrotaloudellisen rahoitusavun lainaa;</w:t>
      </w:r>
    </w:p>
    <w:p w14:paraId="4A0B13D4" w14:textId="0B10B576" w:rsidR="00631DF6" w:rsidRPr="008F5D5C" w:rsidRDefault="00631DF6" w:rsidP="009102DC">
      <w:pPr>
        <w:pStyle w:val="Point1"/>
        <w:rPr>
          <w:noProof/>
        </w:rPr>
      </w:pPr>
      <w:r w:rsidRPr="008F5D5C">
        <w:t>4)</w:t>
      </w:r>
      <w:r w:rsidRPr="008F5D5C">
        <w:tab/>
        <w:t>’osallistumattomalla jäsenvaltiolla’ jäsenvaltiota, joka ei osallistu neuvoston päätöksellä [</w:t>
      </w:r>
      <w:r w:rsidRPr="008F5D5C">
        <w:rPr>
          <w:i/>
        </w:rPr>
        <w:t>XX</w:t>
      </w:r>
      <w:r w:rsidRPr="008F5D5C">
        <w:t>] vahvistettuun tiiviimpään yhteistyöhön;</w:t>
      </w:r>
    </w:p>
    <w:p w14:paraId="260485C8" w14:textId="5C9CF223" w:rsidR="00631DF6" w:rsidRPr="008F5D5C" w:rsidRDefault="00631DF6" w:rsidP="009102DC">
      <w:pPr>
        <w:pStyle w:val="Point1"/>
        <w:rPr>
          <w:noProof/>
        </w:rPr>
      </w:pPr>
      <w:r w:rsidRPr="008F5D5C">
        <w:t>5)</w:t>
      </w:r>
      <w:r w:rsidRPr="008F5D5C">
        <w:tab/>
        <w:t xml:space="preserve">’osallistuvalla jäsenvaltiolla’ jäsenvaltiota, joka </w:t>
      </w:r>
      <w:proofErr w:type="gramStart"/>
      <w:r w:rsidRPr="008F5D5C">
        <w:t>osallistuu</w:t>
      </w:r>
      <w:proofErr w:type="gramEnd"/>
      <w:r w:rsidRPr="008F5D5C">
        <w:t xml:space="preserve"> osallistu neuvoston päätöksellä [</w:t>
      </w:r>
      <w:r w:rsidRPr="008F5D5C">
        <w:rPr>
          <w:i/>
        </w:rPr>
        <w:t>XX</w:t>
      </w:r>
      <w:r w:rsidRPr="008F5D5C">
        <w:t>] vahvistettuun tiiviimpään yhteistyöhön;</w:t>
      </w:r>
    </w:p>
    <w:p w14:paraId="168D145D" w14:textId="0C021E22" w:rsidR="00631DF6" w:rsidRPr="008F5D5C" w:rsidRDefault="00631DF6" w:rsidP="002F16F0">
      <w:pPr>
        <w:pStyle w:val="Point1"/>
        <w:rPr>
          <w:noProof/>
        </w:rPr>
      </w:pPr>
      <w:r w:rsidRPr="008F5D5C">
        <w:t>6)</w:t>
      </w:r>
      <w:r w:rsidRPr="008F5D5C">
        <w:tab/>
        <w:t>’muilla puolustustarkoituksiin käytettävillä tuotteilla’ muita kuin direktiivin 2009/81/EY soveltamisalaan sen 2 artiklan mukaisesti kuuluvia tavaroita, palveluja ja rakennusurakoita, joita tarvitaan puolustuksessa tai jotka on tarkoitettu puolustustarkoituksiin.</w:t>
      </w:r>
    </w:p>
    <w:p w14:paraId="3D52EAEF" w14:textId="77777777" w:rsidR="00631DF6" w:rsidRPr="008F5D5C" w:rsidRDefault="00631DF6" w:rsidP="0014092D">
      <w:pPr>
        <w:pStyle w:val="Titrearticle"/>
        <w:rPr>
          <w:b/>
          <w:bCs/>
          <w:noProof/>
        </w:rPr>
      </w:pPr>
      <w:r w:rsidRPr="008F5D5C">
        <w:t xml:space="preserve">4 artikla </w:t>
      </w:r>
      <w:r w:rsidRPr="008F5D5C">
        <w:br/>
      </w:r>
      <w:r w:rsidRPr="008F5D5C">
        <w:rPr>
          <w:b/>
        </w:rPr>
        <w:t>Ukrainan tukilainan puitteissa saatavilla oleva apu</w:t>
      </w:r>
    </w:p>
    <w:p w14:paraId="310BA0AD" w14:textId="77777777" w:rsidR="00631DF6" w:rsidRPr="008F5D5C" w:rsidRDefault="00631DF6" w:rsidP="00717586">
      <w:pPr>
        <w:pStyle w:val="LegalNumPar"/>
        <w:numPr>
          <w:ilvl w:val="0"/>
          <w:numId w:val="18"/>
        </w:numPr>
        <w:rPr>
          <w:noProof/>
        </w:rPr>
      </w:pPr>
      <w:r w:rsidRPr="008F5D5C">
        <w:t>Ukrainan tukilainan enimmäismäärä on 90 000 000 000 euroa. Kyseinen määrä asetetaan Ukrainan saataville 8 artiklan mukaisesti hyväksytyssä Ukrainan rahoitusstrategiassa vahvistettujen Ukrainan rahoitustarpeiden mukaisesti.</w:t>
      </w:r>
      <w:bookmarkStart w:id="9" w:name="_Hlk215529610"/>
    </w:p>
    <w:bookmarkEnd w:id="9"/>
    <w:p w14:paraId="261FDC20" w14:textId="77777777" w:rsidR="00631DF6" w:rsidRPr="008F5D5C" w:rsidRDefault="00631DF6" w:rsidP="002B03B8">
      <w:pPr>
        <w:pStyle w:val="LegalNumPar"/>
        <w:rPr>
          <w:noProof/>
        </w:rPr>
      </w:pPr>
      <w:r w:rsidRPr="008F5D5C">
        <w:t>Ukrainan tukilaina on käytettävissä 31 päivään joulukuuta 2027. Komissio asettaa sen saataville erissä, jotka voidaan nostaa yhdessä tai useammassa osaerässä. Kaikki erät on nostettava viimeistään 31 päivänä joulukuuta 2028.</w:t>
      </w:r>
    </w:p>
    <w:p w14:paraId="2F4C71D8" w14:textId="77777777" w:rsidR="00631DF6" w:rsidRPr="008F5D5C" w:rsidRDefault="00631DF6" w:rsidP="002B03B8">
      <w:pPr>
        <w:pStyle w:val="LegalNumPar"/>
        <w:rPr>
          <w:noProof/>
        </w:rPr>
      </w:pPr>
      <w:r w:rsidRPr="008F5D5C">
        <w:t>Jos Ukrainan rahoitustarpeet vähenevät olennaisesti sinä aikana, jona Ukrainan tukilaina on käytettävissä, myös siinä tapauksessa, että Venäjä korvaa Ukrainalle sotatoimista aiheutuneet vahingot, komissio voi 27 artiklan 3 kohdassa tarkoitettua tarkastelumenettelyä noudattaen pienentää Ukrainan tukilainan nostamatonta määrää tai peruuttaa sen.</w:t>
      </w:r>
    </w:p>
    <w:p w14:paraId="22B84A7B" w14:textId="77777777" w:rsidR="00631DF6" w:rsidRPr="008F5D5C" w:rsidRDefault="00631DF6" w:rsidP="002B03B8">
      <w:pPr>
        <w:pStyle w:val="LegalNumPar"/>
        <w:rPr>
          <w:noProof/>
        </w:rPr>
      </w:pPr>
      <w:r w:rsidRPr="008F5D5C">
        <w:t>Osallistumattomilla jäsenvaltioilla on Euroopan unionin toiminnasta tehdyn sopimuksen 332 artiklan mukaisesti oikeus neuvoston asetuksen (EU, Euratom) N:o 609/2014 11 artiklan mukaiseen mukautukseen siltä osin kuin on kyse hyväksytystä talousarviosta rahoitettavista, unionin talousarviosta katettavista menoista, jotka johtuvat tiiviimmän yhteistyön toteuttamisesta ja jotka ovat muita kuin toimielimille aiheutuvia hallintokustannuksia. Tällainen mukautus kattaa erityisesti mahdolliset velanhoitokustannukset ja vakuuden maksamista koskevat vaatimukset.</w:t>
      </w:r>
    </w:p>
    <w:p w14:paraId="130E1073" w14:textId="77777777" w:rsidR="00631DF6" w:rsidRPr="008F5D5C" w:rsidRDefault="00631DF6" w:rsidP="0014092D">
      <w:pPr>
        <w:pStyle w:val="Titrearticle"/>
        <w:rPr>
          <w:b/>
          <w:noProof/>
        </w:rPr>
      </w:pPr>
      <w:r w:rsidRPr="008F5D5C">
        <w:t xml:space="preserve">5 artikla </w:t>
      </w:r>
      <w:r w:rsidRPr="008F5D5C">
        <w:br/>
      </w:r>
      <w:r w:rsidRPr="008F5D5C">
        <w:rPr>
          <w:b/>
        </w:rPr>
        <w:t>Ukrainan tukilainan puitteissa saatavilla olevan avun ennakkoedellytykset</w:t>
      </w:r>
    </w:p>
    <w:p w14:paraId="1D99D55C" w14:textId="77777777" w:rsidR="00631DF6" w:rsidRPr="008F5D5C" w:rsidRDefault="00631DF6" w:rsidP="00717586">
      <w:pPr>
        <w:pStyle w:val="LegalNumPar"/>
        <w:numPr>
          <w:ilvl w:val="0"/>
          <w:numId w:val="19"/>
        </w:numPr>
        <w:rPr>
          <w:noProof/>
        </w:rPr>
      </w:pPr>
      <w:r w:rsidRPr="008F5D5C">
        <w:t xml:space="preserve">Ukrainan tukilainan puitteissa myönnettävän avun ennakkoehtona on, että Ukraina pitää yllä ja kunnioittaa toimivia demokratian mekanismeja, mukaan lukien parlamentaarista </w:t>
      </w:r>
      <w:r w:rsidRPr="008F5D5C">
        <w:lastRenderedPageBreak/>
        <w:t>monipuoluejärjestelmää ja oikeusvaltioperiaatetta, ja takaa ihmisoikeuksien, myös vähemmistöihin kuuluvien henkilöiden oikeuksien, kunnioittamisen. Oikeusvaltioperiaatteen ylläpitämiseen ja kunnioittamiseen kuuluu korruption torjunta.</w:t>
      </w:r>
    </w:p>
    <w:p w14:paraId="319AEC23" w14:textId="77777777" w:rsidR="00631DF6" w:rsidRPr="008F5D5C" w:rsidRDefault="00631DF6" w:rsidP="00717586">
      <w:pPr>
        <w:pStyle w:val="LegalNumPar"/>
        <w:numPr>
          <w:ilvl w:val="0"/>
          <w:numId w:val="19"/>
        </w:numPr>
        <w:rPr>
          <w:noProof/>
        </w:rPr>
      </w:pPr>
      <w:r w:rsidRPr="008F5D5C">
        <w:t>Komission yksiköt ja Euroopan ulkosuhdehallinto valvovat 1 kohdassa säädetyn ennakkoehdon täyttymistä erityisesti ennen 8 artiklassa tarkoitetun neuvoston täytäntöönpanopäätöksen hyväksymistä ja 23 artiklassa tarkoitettujen varojen vapauttamista. Valvonnassa otetaan huomioon kansainvälisten elinten, kuten Euroopan neuvoston ja sen Venetsian komission, asiaankuuluvat suositukset. Komissio ilmoittaa Euroopan parlamentille ja neuvostolle harjoittamastaan valvonnasta.</w:t>
      </w:r>
    </w:p>
    <w:p w14:paraId="1F61B9A8" w14:textId="77777777" w:rsidR="00631DF6" w:rsidRPr="008F5D5C" w:rsidRDefault="00631DF6" w:rsidP="002B03B8">
      <w:pPr>
        <w:pStyle w:val="ChapterTitle"/>
        <w:rPr>
          <w:bCs/>
          <w:iCs/>
          <w:noProof/>
        </w:rPr>
      </w:pPr>
      <w:r w:rsidRPr="008F5D5C">
        <w:t xml:space="preserve">II LUKU </w:t>
      </w:r>
      <w:r w:rsidRPr="008F5D5C">
        <w:br/>
        <w:t>UKRAINAN TUKILAINAN TÄYTÄNTÖÖNPANO</w:t>
      </w:r>
    </w:p>
    <w:p w14:paraId="031C2BB1" w14:textId="77777777" w:rsidR="00631DF6" w:rsidRPr="008F5D5C" w:rsidRDefault="00631DF6" w:rsidP="0014092D">
      <w:pPr>
        <w:pStyle w:val="Titrearticle"/>
        <w:rPr>
          <w:b/>
          <w:noProof/>
        </w:rPr>
      </w:pPr>
      <w:r w:rsidRPr="008F5D5C">
        <w:t xml:space="preserve">6 artikla </w:t>
      </w:r>
      <w:r w:rsidRPr="008F5D5C">
        <w:br/>
      </w:r>
      <w:r w:rsidRPr="008F5D5C">
        <w:rPr>
          <w:b/>
        </w:rPr>
        <w:t>Ukrainan rahoitusstrategia</w:t>
      </w:r>
    </w:p>
    <w:p w14:paraId="6AC4C79E" w14:textId="77777777" w:rsidR="00631DF6" w:rsidRPr="008F5D5C" w:rsidRDefault="00631DF6" w:rsidP="00717586">
      <w:pPr>
        <w:pStyle w:val="LegalNumPar"/>
        <w:numPr>
          <w:ilvl w:val="0"/>
          <w:numId w:val="20"/>
        </w:numPr>
        <w:rPr>
          <w:b/>
          <w:noProof/>
        </w:rPr>
      </w:pPr>
      <w:r w:rsidRPr="008F5D5C">
        <w:t xml:space="preserve">Saadakseen rahoituksellista ja taloudellista apua Ukrainan tukilainan puitteissa Ukraina toimittaa komissiolle lähtökohtaisesti vuosittain Ukrainan rahoitusstrategian, jossa esitetään yksityiskohtaiset tiedot Ukrainan rahoitustarpeista ja -lähteistä lähtökohtaisesti tulevilta 12 kuukaudelta. </w:t>
      </w:r>
    </w:p>
    <w:p w14:paraId="1A2AD996" w14:textId="77777777" w:rsidR="00631DF6" w:rsidRPr="008F5D5C" w:rsidRDefault="00631DF6" w:rsidP="00717586">
      <w:pPr>
        <w:pStyle w:val="LegalNumPar"/>
        <w:numPr>
          <w:ilvl w:val="0"/>
          <w:numId w:val="20"/>
        </w:numPr>
        <w:rPr>
          <w:b/>
          <w:noProof/>
        </w:rPr>
      </w:pPr>
      <w:bookmarkStart w:id="10" w:name="_Hlk214544685"/>
      <w:r w:rsidRPr="008F5D5C">
        <w:t>Ukrainan rahoitusstrategiaan on sisällyttävä</w:t>
      </w:r>
    </w:p>
    <w:p w14:paraId="78EA0A28" w14:textId="77777777" w:rsidR="00631DF6" w:rsidRPr="008F5D5C" w:rsidRDefault="00631DF6" w:rsidP="009043A0">
      <w:pPr>
        <w:pStyle w:val="LegalNumPar2"/>
        <w:rPr>
          <w:noProof/>
        </w:rPr>
      </w:pPr>
      <w:r w:rsidRPr="008F5D5C">
        <w:t>tärkeimmät makrotaloudelliset oletukset, joihin Ukrainan rahoitusstrategia perustuu;</w:t>
      </w:r>
    </w:p>
    <w:p w14:paraId="4594A95A" w14:textId="77777777" w:rsidR="00631DF6" w:rsidRPr="008F5D5C" w:rsidRDefault="00631DF6" w:rsidP="009043A0">
      <w:pPr>
        <w:pStyle w:val="LegalNumPar2"/>
        <w:rPr>
          <w:noProof/>
        </w:rPr>
      </w:pPr>
      <w:r w:rsidRPr="008F5D5C">
        <w:t>tiedot Ukrainan talousarviosta vuosineljänneksittäin ja vuosittain, mukaan lukien seuraavat tiedot:</w:t>
      </w:r>
    </w:p>
    <w:p w14:paraId="7331AF3E" w14:textId="77777777" w:rsidR="00631DF6" w:rsidRPr="008F5D5C" w:rsidRDefault="00631DF6" w:rsidP="009043A0">
      <w:pPr>
        <w:pStyle w:val="LegalNumPar3"/>
        <w:rPr>
          <w:noProof/>
        </w:rPr>
      </w:pPr>
      <w:r w:rsidRPr="008F5D5C">
        <w:t>julkisyhteisöjen tasapainossa olevaa rahoitusasemaa koskeva tavoite jaoteltuna julkisyhteisöjen alasektoreiden mukaan;</w:t>
      </w:r>
    </w:p>
    <w:p w14:paraId="541CDDA6" w14:textId="77777777" w:rsidR="00631DF6" w:rsidRPr="008F5D5C" w:rsidRDefault="00631DF6" w:rsidP="009043A0">
      <w:pPr>
        <w:pStyle w:val="LegalNumPar3"/>
        <w:rPr>
          <w:noProof/>
        </w:rPr>
      </w:pPr>
      <w:r w:rsidRPr="008F5D5C">
        <w:t>julkisyhteisöjen ja niiden tärkeimpien alasektoreiden meno- ja tuloennusteet ja näiden pääkomponentit taloudellisen luokituksen mukaisesti;</w:t>
      </w:r>
    </w:p>
    <w:p w14:paraId="72701A85" w14:textId="77777777" w:rsidR="00631DF6" w:rsidRPr="008F5D5C" w:rsidRDefault="00631DF6" w:rsidP="009043A0">
      <w:pPr>
        <w:pStyle w:val="LegalNumPar3"/>
        <w:rPr>
          <w:noProof/>
        </w:rPr>
      </w:pPr>
      <w:r w:rsidRPr="008F5D5C">
        <w:t>asiaankuuluvat tiedot julkisyhteisöjen menoista toiminnoittain, erityisesti puolustusmenoista;</w:t>
      </w:r>
    </w:p>
    <w:p w14:paraId="51B64BC3" w14:textId="77777777" w:rsidR="00631DF6" w:rsidRPr="008F5D5C" w:rsidRDefault="00631DF6" w:rsidP="009043A0">
      <w:pPr>
        <w:pStyle w:val="LegalNumPar3"/>
        <w:rPr>
          <w:noProof/>
        </w:rPr>
      </w:pPr>
      <w:r w:rsidRPr="008F5D5C">
        <w:t>talousarvioon sisällytettävien meno- ja tulopuolen toimenpiteiden kuvaus ja määrällinen esitys;</w:t>
      </w:r>
    </w:p>
    <w:p w14:paraId="598563F6" w14:textId="77777777" w:rsidR="00631DF6" w:rsidRPr="008F5D5C" w:rsidRDefault="00631DF6" w:rsidP="009043A0">
      <w:pPr>
        <w:pStyle w:val="LegalNumPar3"/>
        <w:rPr>
          <w:noProof/>
        </w:rPr>
      </w:pPr>
      <w:r w:rsidRPr="008F5D5C">
        <w:t>liite, joka sisältää julkisen talouden ennusteiden perustana olevat menetelmät ja oletukset sekä muut merkitykselliset parametrit;</w:t>
      </w:r>
    </w:p>
    <w:bookmarkEnd w:id="10"/>
    <w:p w14:paraId="6D58B253" w14:textId="77777777" w:rsidR="00631DF6" w:rsidRPr="008F5D5C" w:rsidRDefault="00631DF6" w:rsidP="009043A0">
      <w:pPr>
        <w:pStyle w:val="LegalNumPar2"/>
        <w:rPr>
          <w:noProof/>
        </w:rPr>
      </w:pPr>
      <w:r w:rsidRPr="008F5D5C">
        <w:lastRenderedPageBreak/>
        <w:t>tiedot Ukrainan aiemmasta ja ennustetusta julkisen talouden kehityksestä vuosineljänneksittäin ja vuosittain, mukaan lukien seuraavat tiedot:</w:t>
      </w:r>
    </w:p>
    <w:p w14:paraId="7EBE11CF" w14:textId="77777777" w:rsidR="00631DF6" w:rsidRPr="008F5D5C" w:rsidRDefault="00631DF6" w:rsidP="009043A0">
      <w:pPr>
        <w:pStyle w:val="LegalNumPar3"/>
        <w:rPr>
          <w:noProof/>
        </w:rPr>
      </w:pPr>
      <w:r w:rsidRPr="008F5D5C">
        <w:t>tiedot julkisyhteisöjen ja niiden tärkeimpien alasektoreiden likviditeettitilanteesta (käteissaldo);</w:t>
      </w:r>
    </w:p>
    <w:p w14:paraId="5CBE358C" w14:textId="77777777" w:rsidR="00631DF6" w:rsidRPr="008F5D5C" w:rsidRDefault="00631DF6" w:rsidP="009043A0">
      <w:pPr>
        <w:pStyle w:val="LegalNumPar3"/>
        <w:rPr>
          <w:noProof/>
        </w:rPr>
      </w:pPr>
      <w:r w:rsidRPr="008F5D5C">
        <w:t>velanlyhennykset;</w:t>
      </w:r>
    </w:p>
    <w:p w14:paraId="081925BD" w14:textId="77777777" w:rsidR="00631DF6" w:rsidRPr="008F5D5C" w:rsidRDefault="00631DF6" w:rsidP="009043A0">
      <w:pPr>
        <w:pStyle w:val="LegalNumPar3"/>
        <w:rPr>
          <w:noProof/>
        </w:rPr>
      </w:pPr>
      <w:r w:rsidRPr="008F5D5C">
        <w:t>velan liikkeeseenlaskustrategia;</w:t>
      </w:r>
    </w:p>
    <w:p w14:paraId="47C96A06" w14:textId="77777777" w:rsidR="00631DF6" w:rsidRPr="008F5D5C" w:rsidRDefault="00631DF6" w:rsidP="009043A0">
      <w:pPr>
        <w:pStyle w:val="LegalNumPar3"/>
        <w:rPr>
          <w:noProof/>
        </w:rPr>
      </w:pPr>
      <w:r w:rsidRPr="008F5D5C">
        <w:t>muut velkaa lisäävät ja vähentävät virrat;</w:t>
      </w:r>
    </w:p>
    <w:p w14:paraId="14F54206" w14:textId="77777777" w:rsidR="00631DF6" w:rsidRPr="008F5D5C" w:rsidRDefault="00631DF6" w:rsidP="009043A0">
      <w:pPr>
        <w:pStyle w:val="LegalNumPar3"/>
        <w:rPr>
          <w:noProof/>
        </w:rPr>
      </w:pPr>
      <w:r w:rsidRPr="008F5D5C">
        <w:t>maksurästit ja niiden ennakoitu kehitys;</w:t>
      </w:r>
    </w:p>
    <w:p w14:paraId="1FF28B7E" w14:textId="77777777" w:rsidR="00631DF6" w:rsidRPr="008F5D5C" w:rsidRDefault="00631DF6" w:rsidP="00ED0640">
      <w:pPr>
        <w:pStyle w:val="LegalNumPar2"/>
        <w:rPr>
          <w:noProof/>
        </w:rPr>
      </w:pPr>
      <w:r w:rsidRPr="008F5D5C">
        <w:t xml:space="preserve">tiedot </w:t>
      </w:r>
      <w:bookmarkStart w:id="11" w:name="_Hlk215134756"/>
      <w:r w:rsidRPr="008F5D5C">
        <w:t>Ukrainan tukilainan puitteissa aiemmin myönnetyn avun täytäntöönpanosta</w:t>
      </w:r>
      <w:bookmarkEnd w:id="11"/>
      <w:r w:rsidRPr="008F5D5C">
        <w:t>, mukaan lukien tuen mahdolliset takaisinperinnät;</w:t>
      </w:r>
    </w:p>
    <w:p w14:paraId="36DE13CD" w14:textId="77777777" w:rsidR="00631DF6" w:rsidRPr="008F5D5C" w:rsidRDefault="00631DF6" w:rsidP="00ED0640">
      <w:pPr>
        <w:pStyle w:val="LegalNumPar2"/>
        <w:rPr>
          <w:noProof/>
        </w:rPr>
      </w:pPr>
      <w:r w:rsidRPr="008F5D5C">
        <w:t>tiedot suunnitellun luontoissuorituksena annettavan sotilasavun tarpeista;</w:t>
      </w:r>
    </w:p>
    <w:p w14:paraId="00AA6DB4" w14:textId="77777777" w:rsidR="00631DF6" w:rsidRPr="008F5D5C" w:rsidRDefault="00631DF6" w:rsidP="00ED0640">
      <w:pPr>
        <w:pStyle w:val="LegalNumPar2"/>
        <w:rPr>
          <w:noProof/>
        </w:rPr>
      </w:pPr>
      <w:r w:rsidRPr="008F5D5C">
        <w:t>Ukrainan talousarvion ja suunnitellun luontoissuorituksena annettavan sotilasavun tarpeiden perusteella Ukrainan rahoitusstrategian kattamalla kaudella odotettavissa olevat ulkoiset rahoitustarpeet, mukaan lukien tämän asetuksen 2 artiklan 2 kohdan a ja b alakohdan soveltamiseksi tarvittavien määrien jaottelu Ukrainan talousarviossa. Kyseiseen jaotteluun on sisällyttävä unionin ja Ukrainan ulkopuolelta ostettujen puolustustarvikkeiden arvo;</w:t>
      </w:r>
    </w:p>
    <w:p w14:paraId="253F37C8" w14:textId="77777777" w:rsidR="00631DF6" w:rsidRPr="008F5D5C" w:rsidRDefault="00631DF6" w:rsidP="00ED0640">
      <w:pPr>
        <w:pStyle w:val="LegalNumPar2"/>
        <w:rPr>
          <w:noProof/>
        </w:rPr>
      </w:pPr>
      <w:r w:rsidRPr="008F5D5C">
        <w:t>varmistettu ja odotettu ulkoinen rahoitus ja luontoissuorituksena annettava sotilasapu Ukrainan rahoitusstrategian toimittamisajankohtana kyseisen rahoitusstrategian kattamalla ajanjaksolla, mukaan lukien tämän asetuksen 2 artiklan 2 kohdan a ja b alakohdan mukaisesti käytettävien ulkoisen rahoituksen määrien jaottelu;</w:t>
      </w:r>
    </w:p>
    <w:p w14:paraId="054BBFA3" w14:textId="77777777" w:rsidR="00631DF6" w:rsidRPr="008F5D5C" w:rsidRDefault="00631DF6" w:rsidP="00ED0640">
      <w:pPr>
        <w:pStyle w:val="LegalNumPar2"/>
        <w:rPr>
          <w:noProof/>
        </w:rPr>
      </w:pPr>
      <w:r w:rsidRPr="008F5D5C">
        <w:t>tämän kohdan f ja g alakohdan tietojen perusteella, odotettavissa oleva ulkoinen rahoitusvaje, johon Ukraina hakee Ukrainan tukilainan puitteissa myönnettävää apua Ukrainan rahoitusstrategian mukaisesti, mukaan lukien odotettavissa olevan ulkoisen rahoitusvajeen jaottelu tämän asetuksen 2 artiklan 2 kohdan a ja b alakohdan soveltamiseksi;</w:t>
      </w:r>
    </w:p>
    <w:p w14:paraId="4603963C" w14:textId="77777777" w:rsidR="00631DF6" w:rsidRPr="008F5D5C" w:rsidRDefault="00631DF6" w:rsidP="00ED0640">
      <w:pPr>
        <w:pStyle w:val="LegalNumPar2"/>
        <w:rPr>
          <w:noProof/>
        </w:rPr>
      </w:pPr>
      <w:r w:rsidRPr="008F5D5C">
        <w:t>tämän asetuksen IV luvun mukaisten monivuotisten menojen tukemiseksi tiedot mahdollisista monivuotisista tarpeista ja vastaava talousarvio.</w:t>
      </w:r>
    </w:p>
    <w:p w14:paraId="12A75EF8" w14:textId="77777777" w:rsidR="00631DF6" w:rsidRPr="008F5D5C" w:rsidRDefault="00631DF6" w:rsidP="00ED0640">
      <w:pPr>
        <w:pStyle w:val="LegalNumPar"/>
        <w:rPr>
          <w:noProof/>
        </w:rPr>
      </w:pPr>
      <w:r w:rsidRPr="008F5D5C">
        <w:lastRenderedPageBreak/>
        <w:t>Ukraina voi toimittaa päivitetyt Ukrainan rahoitusstrategiat, kunnes 4 artiklan 1 kohdassa tarkoitettu Ukrainan tukilainan enimmäismäärä on asetettu saataville Ukrainan tukilainan puitteissa 8 artiklan mukaisesti.</w:t>
      </w:r>
    </w:p>
    <w:p w14:paraId="39F2FFC0" w14:textId="77777777" w:rsidR="00631DF6" w:rsidRPr="008F5D5C" w:rsidRDefault="00631DF6" w:rsidP="0014092D">
      <w:pPr>
        <w:pStyle w:val="Titrearticle"/>
        <w:rPr>
          <w:b/>
          <w:noProof/>
        </w:rPr>
      </w:pPr>
      <w:r w:rsidRPr="008F5D5C">
        <w:t xml:space="preserve">7 artikla </w:t>
      </w:r>
      <w:r w:rsidRPr="008F5D5C">
        <w:br/>
      </w:r>
      <w:r w:rsidRPr="008F5D5C">
        <w:rPr>
          <w:b/>
        </w:rPr>
        <w:t>Komission arvio Ukrainan rahoitusstrategiasta</w:t>
      </w:r>
    </w:p>
    <w:p w14:paraId="3A4A304F" w14:textId="77777777" w:rsidR="00631DF6" w:rsidRPr="008F5D5C" w:rsidRDefault="00631DF6" w:rsidP="00717586">
      <w:pPr>
        <w:pStyle w:val="LegalNumPar"/>
        <w:numPr>
          <w:ilvl w:val="0"/>
          <w:numId w:val="21"/>
        </w:numPr>
        <w:rPr>
          <w:noProof/>
        </w:rPr>
      </w:pPr>
      <w:r w:rsidRPr="008F5D5C">
        <w:t xml:space="preserve">Komissio arvioi 6 artiklan mukaisesti toimitetun Ukrainan rahoitusstrategian ilman aiheetonta viivytystä. </w:t>
      </w:r>
    </w:p>
    <w:p w14:paraId="4B2C0C15" w14:textId="77777777" w:rsidR="00631DF6" w:rsidRPr="008F5D5C" w:rsidRDefault="00631DF6" w:rsidP="00717586">
      <w:pPr>
        <w:pStyle w:val="LegalNumPar"/>
        <w:numPr>
          <w:ilvl w:val="0"/>
          <w:numId w:val="21"/>
        </w:numPr>
        <w:rPr>
          <w:noProof/>
        </w:rPr>
      </w:pPr>
      <w:r w:rsidRPr="008F5D5C">
        <w:t>Komissio toimii tiiviissä yhteistyössä Ukrainan kanssa 1 kohdassa tarkoitetussa arvioinnissa. Komissio voi esittää huomautuksia tai pyytää lisätietoja, mukaan lukien tietojen tarkastaminen jäsenvaltioiden, kolmansien maiden ja kansainvälisten järjestöjen kanssa. Ukraina toimittaa pyydetyt lisätiedot ja voi tarvittaessa tarkistaa Ukrainan rahoitusstrategiaa, myös sen toimittamisen jälkeen.</w:t>
      </w:r>
    </w:p>
    <w:p w14:paraId="73D8631C" w14:textId="77777777" w:rsidR="00631DF6" w:rsidRPr="008F5D5C" w:rsidRDefault="00631DF6" w:rsidP="00717586">
      <w:pPr>
        <w:pStyle w:val="LegalNumPar"/>
        <w:numPr>
          <w:ilvl w:val="0"/>
          <w:numId w:val="21"/>
        </w:numPr>
        <w:rPr>
          <w:noProof/>
        </w:rPr>
      </w:pPr>
      <w:r w:rsidRPr="008F5D5C">
        <w:t>Komissio arvioi Ukrainan rahoitusstrategian ja erityisesti seuraavat seikat:</w:t>
      </w:r>
    </w:p>
    <w:p w14:paraId="4F5F0F13" w14:textId="77777777" w:rsidR="00631DF6" w:rsidRPr="008F5D5C" w:rsidRDefault="00631DF6" w:rsidP="0059126B">
      <w:pPr>
        <w:pStyle w:val="LegalNumPar2"/>
        <w:rPr>
          <w:noProof/>
        </w:rPr>
      </w:pPr>
      <w:r w:rsidRPr="008F5D5C">
        <w:t>Ukrainan rahoitusstrategian kattavuus, toteutettavuus ja johdonmukaisuus huomioiden taustalla olevat oletukset;</w:t>
      </w:r>
    </w:p>
    <w:p w14:paraId="0CD226F2" w14:textId="77777777" w:rsidR="00631DF6" w:rsidRPr="008F5D5C" w:rsidRDefault="00631DF6" w:rsidP="0059126B">
      <w:pPr>
        <w:pStyle w:val="LegalNumPar2"/>
        <w:rPr>
          <w:noProof/>
        </w:rPr>
      </w:pPr>
      <w:r w:rsidRPr="008F5D5C">
        <w:t>Ukrainan rahoitusstrategian tietojen johdonmukaisuus ulkoisten lähteiden kanssa, mukaan lukien Kansainvälisen valuuttarahaston tuoreimmat arvioinnit sekä Ukraina-tuen lahjoittajafoorumilta ja Ukrainan puolustusalan yhteysryhmältä saadut tiedot;</w:t>
      </w:r>
    </w:p>
    <w:p w14:paraId="752CB9A0" w14:textId="77777777" w:rsidR="00631DF6" w:rsidRPr="008F5D5C" w:rsidRDefault="00631DF6" w:rsidP="0059126B">
      <w:pPr>
        <w:pStyle w:val="LegalNumPar2"/>
        <w:rPr>
          <w:noProof/>
        </w:rPr>
      </w:pPr>
      <w:r w:rsidRPr="008F5D5C">
        <w:t>odotettavissa olevan ulkoisen rahoitusvajeen johdonmukaisuus Ukrainan tukilainan seuraavan ohjeellisen jakautumisen kanssa:</w:t>
      </w:r>
    </w:p>
    <w:p w14:paraId="4FDA134E" w14:textId="77777777" w:rsidR="00631DF6" w:rsidRPr="008F5D5C" w:rsidRDefault="00631DF6" w:rsidP="0059126B">
      <w:pPr>
        <w:pStyle w:val="LegalNumPar3"/>
        <w:rPr>
          <w:noProof/>
        </w:rPr>
      </w:pPr>
      <w:r w:rsidRPr="008F5D5C">
        <w:t>30 000 000 000 euroa III luvun mukaiseen makrotaloudelliseen rahoitusapuun tai Ukrainan tukivälineen puitteissa asetuksen (EU) 2024/792 III luvun nojalla lainamuotoisena toteutettavaan budjettitukeen;</w:t>
      </w:r>
    </w:p>
    <w:p w14:paraId="7C236BA0" w14:textId="77777777" w:rsidR="00631DF6" w:rsidRPr="008F5D5C" w:rsidRDefault="00631DF6" w:rsidP="0059126B">
      <w:pPr>
        <w:pStyle w:val="LegalNumPar3"/>
        <w:rPr>
          <w:noProof/>
        </w:rPr>
      </w:pPr>
      <w:r w:rsidRPr="008F5D5C">
        <w:t xml:space="preserve">60 000 000 000 euroa </w:t>
      </w:r>
      <w:bookmarkStart w:id="12" w:name="_Hlk214385273"/>
      <w:r w:rsidRPr="008F5D5C">
        <w:t>Ukrainan puolustusteollisuuden kapasiteetin tukemiseen</w:t>
      </w:r>
      <w:bookmarkEnd w:id="12"/>
      <w:r w:rsidRPr="008F5D5C">
        <w:t xml:space="preserve"> IV luvun mukaisesti;</w:t>
      </w:r>
    </w:p>
    <w:p w14:paraId="75E4E696" w14:textId="77777777" w:rsidR="00631DF6" w:rsidRPr="008F5D5C" w:rsidRDefault="00631DF6" w:rsidP="0059126B">
      <w:pPr>
        <w:pStyle w:val="LegalNumPar2"/>
        <w:rPr>
          <w:noProof/>
        </w:rPr>
      </w:pPr>
      <w:r w:rsidRPr="008F5D5C">
        <w:t>edellä 5 artiklan 1 kohdassa säädetyn ennakkoehdon noudattaminen.</w:t>
      </w:r>
    </w:p>
    <w:p w14:paraId="696F064B" w14:textId="77777777" w:rsidR="00631DF6" w:rsidRPr="008F5D5C" w:rsidRDefault="00631DF6" w:rsidP="0059126B">
      <w:pPr>
        <w:pStyle w:val="LegalNumPar"/>
        <w:rPr>
          <w:noProof/>
        </w:rPr>
      </w:pPr>
      <w:r w:rsidRPr="008F5D5C">
        <w:t>Jos komissio antaa myönteisen arvion Ukrainan rahoitusstrategiasta, se antaa viipymättä ehdotuksen 8 artiklan mukaiseksi neuvoston täytäntöönpanopäätökseksi.</w:t>
      </w:r>
    </w:p>
    <w:p w14:paraId="63516A8C" w14:textId="77777777" w:rsidR="00631DF6" w:rsidRPr="008F5D5C" w:rsidRDefault="00631DF6" w:rsidP="0059126B">
      <w:pPr>
        <w:pStyle w:val="LegalNumPar"/>
        <w:rPr>
          <w:noProof/>
        </w:rPr>
      </w:pPr>
      <w:r w:rsidRPr="008F5D5C">
        <w:lastRenderedPageBreak/>
        <w:t>Jos komission arvio Ukrainan rahoitusstrategiasta on kielteinen, se ilmoittaa siitä viipymättä Ukrainalle ja perustelee arvionsa. Kielteinen arvio ei estä Ukrainaa toimittamasta tarkistettua Ukrainan rahoitusstrategiaa.</w:t>
      </w:r>
    </w:p>
    <w:p w14:paraId="45716E00" w14:textId="77777777" w:rsidR="00631DF6" w:rsidRPr="008F5D5C" w:rsidRDefault="00631DF6" w:rsidP="0059126B">
      <w:pPr>
        <w:pStyle w:val="LegalNumPar"/>
        <w:rPr>
          <w:noProof/>
        </w:rPr>
      </w:pPr>
      <w:r w:rsidRPr="008F5D5C">
        <w:t>Jos komissio arvioi Ukrainan rahoitusstrategian päivitystä, sovelletaan tämän artiklan säännöksiä.</w:t>
      </w:r>
    </w:p>
    <w:p w14:paraId="2B95DA7B" w14:textId="77777777" w:rsidR="00631DF6" w:rsidRPr="008F5D5C" w:rsidRDefault="00631DF6" w:rsidP="0014092D">
      <w:pPr>
        <w:pStyle w:val="Titrearticle"/>
        <w:rPr>
          <w:b/>
          <w:noProof/>
        </w:rPr>
      </w:pPr>
      <w:r w:rsidRPr="008F5D5C">
        <w:t xml:space="preserve">8 artikla </w:t>
      </w:r>
      <w:r w:rsidRPr="008F5D5C">
        <w:br/>
      </w:r>
      <w:r w:rsidRPr="008F5D5C">
        <w:rPr>
          <w:b/>
        </w:rPr>
        <w:t>Neuvoston täytäntöönpanopäätös</w:t>
      </w:r>
    </w:p>
    <w:p w14:paraId="2EEB6A6A" w14:textId="77777777" w:rsidR="00631DF6" w:rsidRPr="008F5D5C" w:rsidRDefault="00631DF6" w:rsidP="00717586">
      <w:pPr>
        <w:pStyle w:val="LegalNumPar"/>
        <w:numPr>
          <w:ilvl w:val="0"/>
          <w:numId w:val="22"/>
        </w:numPr>
        <w:rPr>
          <w:noProof/>
        </w:rPr>
      </w:pPr>
      <w:r w:rsidRPr="008F5D5C">
        <w:t>Jos komissio antaa myönteisen arvion Ukrainan rahoitusstrategiasta tai sen päivityksestä, se antaa neuvostolle ehdotuksen täytäntöönpanopäätökseksi, jolla rahoituksellinen ja taloudellinen apu asetetaan saataville.</w:t>
      </w:r>
    </w:p>
    <w:p w14:paraId="185E3429" w14:textId="77777777" w:rsidR="00631DF6" w:rsidRPr="008F5D5C" w:rsidRDefault="00631DF6" w:rsidP="00717586">
      <w:pPr>
        <w:pStyle w:val="LegalNumPar"/>
        <w:numPr>
          <w:ilvl w:val="0"/>
          <w:numId w:val="22"/>
        </w:numPr>
        <w:rPr>
          <w:noProof/>
        </w:rPr>
      </w:pPr>
      <w:r w:rsidRPr="008F5D5C">
        <w:t>Edellä 1 kohdassa tarkoitetussa neuvoston täytäntöönpanopäätöksessä</w:t>
      </w:r>
    </w:p>
    <w:p w14:paraId="7103BF97" w14:textId="77777777" w:rsidR="00631DF6" w:rsidRPr="008F5D5C" w:rsidRDefault="00631DF6" w:rsidP="003513BE">
      <w:pPr>
        <w:pStyle w:val="LegalNumPar2"/>
        <w:rPr>
          <w:noProof/>
        </w:rPr>
      </w:pPr>
      <w:r w:rsidRPr="008F5D5C">
        <w:t>määritetään Ukrainan saataville Ukrainan rahoitusstrategian täytäntöönpanoa varten asetettavan avun määrä, mukaan lukien seuraavien osalta käytettävissä olevan avun määrä:</w:t>
      </w:r>
    </w:p>
    <w:p w14:paraId="37D9F4A0" w14:textId="77777777" w:rsidR="00631DF6" w:rsidRPr="008F5D5C" w:rsidRDefault="00631DF6" w:rsidP="003513BE">
      <w:pPr>
        <w:pStyle w:val="LegalNumPar3"/>
        <w:rPr>
          <w:noProof/>
        </w:rPr>
      </w:pPr>
      <w:bookmarkStart w:id="13" w:name="_Hlk211767580"/>
      <w:r w:rsidRPr="008F5D5C">
        <w:t>lainamuotoinen budjettituki, joka pannaan täytäntöön asetuksen (EU) 2024/792 III luvun nojalla;</w:t>
      </w:r>
    </w:p>
    <w:p w14:paraId="3F8A5FD6" w14:textId="77777777" w:rsidR="00631DF6" w:rsidRPr="008F5D5C" w:rsidRDefault="00631DF6" w:rsidP="003513BE">
      <w:pPr>
        <w:pStyle w:val="LegalNumPar3"/>
        <w:rPr>
          <w:noProof/>
        </w:rPr>
      </w:pPr>
      <w:r w:rsidRPr="008F5D5C">
        <w:t xml:space="preserve">III luvun mukainen makrotaloudellinen rahoitusapu; </w:t>
      </w:r>
    </w:p>
    <w:bookmarkEnd w:id="13"/>
    <w:p w14:paraId="3A8B7A0C" w14:textId="77777777" w:rsidR="00631DF6" w:rsidRPr="008F5D5C" w:rsidRDefault="00631DF6" w:rsidP="003513BE">
      <w:pPr>
        <w:pStyle w:val="LegalNumPar3"/>
        <w:rPr>
          <w:bCs/>
          <w:noProof/>
        </w:rPr>
      </w:pPr>
      <w:r w:rsidRPr="008F5D5C">
        <w:t xml:space="preserve">Ukrainan </w:t>
      </w:r>
      <w:bookmarkStart w:id="14" w:name="_Hlk214780658"/>
      <w:r w:rsidRPr="008F5D5C">
        <w:t>puolustusteollisuuden kapasiteetin</w:t>
      </w:r>
      <w:bookmarkEnd w:id="14"/>
      <w:r w:rsidRPr="008F5D5C">
        <w:t xml:space="preserve"> tukeminen IV luvun mukaisesti;</w:t>
      </w:r>
    </w:p>
    <w:p w14:paraId="13D5E804" w14:textId="77777777" w:rsidR="00631DF6" w:rsidRPr="008F5D5C" w:rsidRDefault="00631DF6" w:rsidP="003513BE">
      <w:pPr>
        <w:pStyle w:val="LegalNumPar2"/>
        <w:rPr>
          <w:noProof/>
        </w:rPr>
      </w:pPr>
      <w:r w:rsidRPr="008F5D5C">
        <w:t>vahvistetaan III luvun mukaisena makrotaloudellisena rahoitusapuna käytettävissä olevien erien enimmäismäärä ja ohjeellinen arvo.</w:t>
      </w:r>
    </w:p>
    <w:p w14:paraId="1032AA23" w14:textId="77777777" w:rsidR="00631DF6" w:rsidRPr="008F5D5C" w:rsidRDefault="00631DF6" w:rsidP="003513BE">
      <w:pPr>
        <w:pStyle w:val="LegalNumPar"/>
        <w:rPr>
          <w:noProof/>
        </w:rPr>
      </w:pPr>
      <w:r w:rsidRPr="008F5D5C">
        <w:t>Saataville asetettavan Ukrainan tukilainan määrät määritetään seuraavasti:</w:t>
      </w:r>
    </w:p>
    <w:p w14:paraId="02B5BB8A" w14:textId="77777777" w:rsidR="00631DF6" w:rsidRPr="008F5D5C" w:rsidRDefault="00631DF6" w:rsidP="003513BE">
      <w:pPr>
        <w:pStyle w:val="LegalNumPar2"/>
        <w:rPr>
          <w:noProof/>
        </w:rPr>
      </w:pPr>
      <w:r w:rsidRPr="008F5D5C">
        <w:t>noudatetaan Ukrainan tukilainaa varten käytettävissä olevaa 4 artiklan 1 kohdassa säädettyä enimmäismäärää;</w:t>
      </w:r>
    </w:p>
    <w:p w14:paraId="10E840CD" w14:textId="77777777" w:rsidR="00631DF6" w:rsidRPr="008F5D5C" w:rsidRDefault="00631DF6" w:rsidP="003513BE">
      <w:pPr>
        <w:pStyle w:val="LegalNumPar2"/>
        <w:rPr>
          <w:noProof/>
        </w:rPr>
      </w:pPr>
      <w:r w:rsidRPr="008F5D5C">
        <w:t>otetaan huomioon tarve varmistaa muiden avunantajien kanssa oikeudenmukainen taakanjako Ukrainan rahoitustarpeiden kattamiseksi;</w:t>
      </w:r>
    </w:p>
    <w:p w14:paraId="390ABDA2" w14:textId="77777777" w:rsidR="00631DF6" w:rsidRPr="008F5D5C" w:rsidRDefault="00631DF6" w:rsidP="00B67A2E">
      <w:pPr>
        <w:pStyle w:val="LegalNumPar2"/>
        <w:rPr>
          <w:noProof/>
        </w:rPr>
      </w:pPr>
      <w:r w:rsidRPr="008F5D5C">
        <w:t>budjettituen osalta määritetään, missä määrin tavanomaista budjettitukea voidaan myöntää tapauksen mukaan asetuksen (EU) 2024/792 III luvun nojalla toteutettavan lainan muodossa tai makrotaloudellisena rahoitusapuna.</w:t>
      </w:r>
    </w:p>
    <w:p w14:paraId="6C19D36E" w14:textId="77777777" w:rsidR="00631DF6" w:rsidRPr="008F5D5C" w:rsidRDefault="00631DF6" w:rsidP="003513BE">
      <w:pPr>
        <w:pStyle w:val="LegalNumPar"/>
        <w:rPr>
          <w:b/>
          <w:noProof/>
        </w:rPr>
      </w:pPr>
      <w:r w:rsidRPr="008F5D5C">
        <w:t>Neuvosto antaa 1 kohdassa tarkoitetun täytäntöönpanopäätöksen ilman aiheetonta viivytystä.</w:t>
      </w:r>
    </w:p>
    <w:p w14:paraId="35D10C29" w14:textId="77777777" w:rsidR="00631DF6" w:rsidRPr="008F5D5C" w:rsidRDefault="00631DF6" w:rsidP="0014092D">
      <w:pPr>
        <w:pStyle w:val="Titrearticle"/>
        <w:rPr>
          <w:b/>
          <w:noProof/>
        </w:rPr>
      </w:pPr>
      <w:r w:rsidRPr="008F5D5C">
        <w:lastRenderedPageBreak/>
        <w:t xml:space="preserve">9 artikla </w:t>
      </w:r>
      <w:r w:rsidRPr="008F5D5C">
        <w:br/>
      </w:r>
      <w:r w:rsidRPr="008F5D5C">
        <w:rPr>
          <w:b/>
        </w:rPr>
        <w:t>Täydentävyys ja koordinointi</w:t>
      </w:r>
    </w:p>
    <w:p w14:paraId="2FCC5BA2" w14:textId="77777777" w:rsidR="00631DF6" w:rsidRPr="008F5D5C" w:rsidRDefault="00631DF6" w:rsidP="00717586">
      <w:pPr>
        <w:pStyle w:val="LegalNumPar"/>
        <w:numPr>
          <w:ilvl w:val="0"/>
          <w:numId w:val="23"/>
        </w:numPr>
        <w:rPr>
          <w:noProof/>
        </w:rPr>
      </w:pPr>
      <w:r w:rsidRPr="008F5D5C">
        <w:t>Komissio toimii Ukrainan tukilainan täytäntöönpanossa tiiviissä yhteistyössä Ukrainan, jäsenvaltioiden, asiaankuuluvien kansainvälisten elinten ja Ukrainan avunantajien kanssa, erityisesti Ukraina-tuen lahjoittajafoorumin ja Ukrainan puolustusalan yhteysryhmän kautta, varmistaakseen Ukrainaa tukevien tahojen johdonmukaisen ja yhtenäisen lähestymistavan Ukrainan rahoituksellisiin ja taloudellisiin tarpeisiin vastaamiseksi. Tässä yhteydessä komissio hyödyntää Euroopan ulkosuhdehallinnon asiantuntemusta.</w:t>
      </w:r>
    </w:p>
    <w:p w14:paraId="4DE42E6B" w14:textId="77777777" w:rsidR="00631DF6" w:rsidRPr="008F5D5C" w:rsidRDefault="00631DF6" w:rsidP="00717586">
      <w:pPr>
        <w:pStyle w:val="LegalNumPar"/>
        <w:numPr>
          <w:ilvl w:val="0"/>
          <w:numId w:val="23"/>
        </w:numPr>
        <w:rPr>
          <w:noProof/>
        </w:rPr>
      </w:pPr>
      <w:r w:rsidRPr="008F5D5C">
        <w:t>Edellä olevia 5, 7, 13, 14 ja 15 artiklaa sekä 23 artiklan 1 kohdan b alakohtaa sovelletaan päätöksen 2010/427/EU mukaisesti.</w:t>
      </w:r>
    </w:p>
    <w:p w14:paraId="45D58D2C" w14:textId="77777777" w:rsidR="00631DF6" w:rsidRPr="008F5D5C" w:rsidRDefault="00631DF6" w:rsidP="000B34AD">
      <w:pPr>
        <w:pStyle w:val="ChapterTitle"/>
        <w:rPr>
          <w:noProof/>
        </w:rPr>
      </w:pPr>
      <w:r w:rsidRPr="008F5D5C">
        <w:t xml:space="preserve">III LUKU </w:t>
      </w:r>
      <w:r w:rsidRPr="008F5D5C">
        <w:br/>
        <w:t>MAKROTALOUDELLISEN RAHOITUSAVUN MUODOSSA OLEVA BUDJETTITUKI</w:t>
      </w:r>
    </w:p>
    <w:p w14:paraId="2C95A3B5" w14:textId="77777777" w:rsidR="00631DF6" w:rsidRPr="008F5D5C" w:rsidRDefault="00631DF6" w:rsidP="0014092D">
      <w:pPr>
        <w:pStyle w:val="Titrearticle"/>
        <w:rPr>
          <w:b/>
          <w:bCs/>
          <w:noProof/>
        </w:rPr>
      </w:pPr>
      <w:r w:rsidRPr="008F5D5C">
        <w:t xml:space="preserve">10 artikla </w:t>
      </w:r>
      <w:r w:rsidRPr="008F5D5C">
        <w:br/>
      </w:r>
      <w:r w:rsidRPr="008F5D5C">
        <w:rPr>
          <w:b/>
        </w:rPr>
        <w:t>Tarkoitus</w:t>
      </w:r>
    </w:p>
    <w:p w14:paraId="03B61E9D" w14:textId="77777777" w:rsidR="00631DF6" w:rsidRPr="008F5D5C" w:rsidRDefault="00631DF6" w:rsidP="00717586">
      <w:pPr>
        <w:pStyle w:val="LegalNumPar"/>
        <w:numPr>
          <w:ilvl w:val="0"/>
          <w:numId w:val="24"/>
        </w:numPr>
        <w:rPr>
          <w:noProof/>
        </w:rPr>
      </w:pPr>
      <w:r w:rsidRPr="008F5D5C">
        <w:t xml:space="preserve">Makrotaloudellisella rahoitusavulla katetaan Ukrainan rahoitusvajetta, joka on todettu myönteisen arvion saaneessa Ukrainan rahoitusstrategiassa. </w:t>
      </w:r>
    </w:p>
    <w:p w14:paraId="7CC127ED" w14:textId="77777777" w:rsidR="00631DF6" w:rsidRPr="008F5D5C" w:rsidRDefault="00631DF6" w:rsidP="00717586">
      <w:pPr>
        <w:pStyle w:val="LegalNumPar"/>
        <w:numPr>
          <w:ilvl w:val="0"/>
          <w:numId w:val="24"/>
        </w:numPr>
        <w:rPr>
          <w:noProof/>
        </w:rPr>
      </w:pPr>
      <w:r w:rsidRPr="008F5D5C">
        <w:t>Komissio hallinnoi makrotaloudellisen rahoitusavun vapauttamista 5 artiklassa tarkoitetusta ennakkoehdosta ja 11 artiklassa tarkoitettuun yhteisymmärryspöytäkirjaan sisältyvien politiikkaa koskevien ehtojen tyydyttävästä täytäntöönpanosta tekemänsä arvioinnin perusteella.</w:t>
      </w:r>
    </w:p>
    <w:p w14:paraId="1925A676" w14:textId="77777777" w:rsidR="00631DF6" w:rsidRPr="008F5D5C" w:rsidRDefault="00631DF6" w:rsidP="0014092D">
      <w:pPr>
        <w:pStyle w:val="Titrearticle"/>
        <w:rPr>
          <w:b/>
          <w:noProof/>
        </w:rPr>
      </w:pPr>
      <w:r w:rsidRPr="008F5D5C">
        <w:t xml:space="preserve">11 artikla </w:t>
      </w:r>
      <w:r w:rsidRPr="008F5D5C">
        <w:br/>
      </w:r>
      <w:r w:rsidRPr="008F5D5C">
        <w:rPr>
          <w:b/>
        </w:rPr>
        <w:t>Yhteisymmärryspöytäkirja</w:t>
      </w:r>
    </w:p>
    <w:p w14:paraId="546FBDFB" w14:textId="77777777" w:rsidR="00631DF6" w:rsidRPr="008F5D5C" w:rsidRDefault="00631DF6" w:rsidP="00717586">
      <w:pPr>
        <w:pStyle w:val="LegalNumPar"/>
        <w:numPr>
          <w:ilvl w:val="0"/>
          <w:numId w:val="25"/>
        </w:numPr>
        <w:rPr>
          <w:noProof/>
        </w:rPr>
      </w:pPr>
      <w:r w:rsidRPr="008F5D5C">
        <w:t xml:space="preserve">Komissio sopii 8 artiklan 2 kohdan a alakohdan ii alakohdassa tarkoitettujen makrotaloudellisen rahoitusavun hyväksyttyjen määrien osalta Ukrainan kanssa politiikkaa koskevista ehdoista, jotka on liitettävä makrotaloudelliseen rahoitusapuun. Nämä politiikkaa koskevat ehdot vahvistetaan yhteisymmärryspöytäkirjassa. </w:t>
      </w:r>
    </w:p>
    <w:p w14:paraId="5DD81A1A" w14:textId="77777777" w:rsidR="00631DF6" w:rsidRPr="008F5D5C" w:rsidRDefault="00631DF6" w:rsidP="00717586">
      <w:pPr>
        <w:pStyle w:val="LegalNumPar"/>
        <w:numPr>
          <w:ilvl w:val="0"/>
          <w:numId w:val="25"/>
        </w:numPr>
        <w:rPr>
          <w:noProof/>
        </w:rPr>
      </w:pPr>
      <w:r w:rsidRPr="008F5D5C">
        <w:t xml:space="preserve">Politiikkaa koskeviin ehtoihin on sisällyttävä vahvoja ja kunnianhimoisia uudistussitoumuksia, mukaan lukien sitoumukset, joilla pyritään erityisesti </w:t>
      </w:r>
      <w:r w:rsidRPr="008F5D5C">
        <w:rPr>
          <w:color w:val="000000" w:themeColor="text1"/>
        </w:rPr>
        <w:t>tehostamaan tulonhankintaa Ukrainan rahoitustarpeiden tukemiseksi ja</w:t>
      </w:r>
      <w:r w:rsidRPr="008F5D5C">
        <w:t xml:space="preserve"> </w:t>
      </w:r>
      <w:r w:rsidRPr="008F5D5C">
        <w:rPr>
          <w:color w:val="000000" w:themeColor="text1"/>
        </w:rPr>
        <w:t>puuttumaan julkisen talouden korruption perimmäisiin syihin, myös</w:t>
      </w:r>
      <w:r w:rsidRPr="008F5D5C">
        <w:t xml:space="preserve"> parantamalla julkisten menojen kestävyyttä ja </w:t>
      </w:r>
      <w:r w:rsidRPr="008F5D5C">
        <w:lastRenderedPageBreak/>
        <w:t xml:space="preserve">laatua </w:t>
      </w:r>
      <w:r w:rsidRPr="008F5D5C">
        <w:rPr>
          <w:color w:val="000000" w:themeColor="text1"/>
        </w:rPr>
        <w:t>sekä</w:t>
      </w:r>
      <w:r w:rsidRPr="008F5D5C">
        <w:t xml:space="preserve"> lisäämällä julkisten varainhoitojärjestelmien tehokkuutta, läpinäkyvyyttä ja vastuuvelvollisuutta. Kyseisten sitoumusten on tarvittaessa oltava yhteensopivia Ukrainan IMF:n kanssa mahdollisesti toteuttamien ohjelmien kanssa, ja niissä voidaan tarvittaessa mennä pidemmälle. Komissio seuraa säännöllisesti, miten sitoumusten noudattamisessa edistytään.</w:t>
      </w:r>
    </w:p>
    <w:p w14:paraId="466E4211" w14:textId="77777777" w:rsidR="00631DF6" w:rsidRPr="008F5D5C" w:rsidRDefault="00631DF6" w:rsidP="00717586">
      <w:pPr>
        <w:pStyle w:val="LegalNumPar"/>
        <w:numPr>
          <w:ilvl w:val="0"/>
          <w:numId w:val="25"/>
        </w:numPr>
        <w:rPr>
          <w:noProof/>
        </w:rPr>
      </w:pPr>
      <w:r w:rsidRPr="008F5D5C">
        <w:t>Komissio hyväksyy yhteisymmärryspöytäkirjan ja sen muutosten allekirjoittamisen täytäntöönpanosäädöksillä. Täytäntöönpanosäädökset hyväksytään noudattaen 27 artiklan 3 kohdassa tarkoitettua tarkastelumenettelyä.</w:t>
      </w:r>
    </w:p>
    <w:p w14:paraId="0EE9723A" w14:textId="77777777" w:rsidR="00631DF6" w:rsidRPr="008F5D5C" w:rsidRDefault="00631DF6" w:rsidP="00172EA2">
      <w:pPr>
        <w:pStyle w:val="ChapterTitle"/>
        <w:rPr>
          <w:bCs/>
          <w:iCs/>
          <w:noProof/>
        </w:rPr>
      </w:pPr>
      <w:bookmarkStart w:id="15" w:name="_Hlk211705484"/>
      <w:r w:rsidRPr="008F5D5C">
        <w:t>IV LUKU</w:t>
      </w:r>
      <w:bookmarkEnd w:id="15"/>
      <w:r w:rsidRPr="008F5D5C">
        <w:t xml:space="preserve"> </w:t>
      </w:r>
      <w:r w:rsidRPr="008F5D5C">
        <w:br/>
        <w:t>APU UKRAINAN PUOLUSTUSTEOLLISUUDEN KAPASITEETIN TUKEMISEEN</w:t>
      </w:r>
    </w:p>
    <w:p w14:paraId="2CCFCBB3" w14:textId="77777777" w:rsidR="00631DF6" w:rsidRPr="008F5D5C" w:rsidRDefault="00631DF6" w:rsidP="0014092D">
      <w:pPr>
        <w:pStyle w:val="Titrearticle"/>
        <w:rPr>
          <w:b/>
          <w:noProof/>
        </w:rPr>
      </w:pPr>
      <w:r w:rsidRPr="008F5D5C">
        <w:t xml:space="preserve">12 artikla </w:t>
      </w:r>
      <w:r w:rsidRPr="008F5D5C">
        <w:br/>
      </w:r>
      <w:r w:rsidRPr="008F5D5C">
        <w:rPr>
          <w:b/>
        </w:rPr>
        <w:t>Tarkoitus</w:t>
      </w:r>
    </w:p>
    <w:p w14:paraId="3AC66772" w14:textId="77777777" w:rsidR="00631DF6" w:rsidRPr="008F5D5C" w:rsidRDefault="00631DF6" w:rsidP="00717586">
      <w:pPr>
        <w:pStyle w:val="LegalNumPar"/>
        <w:numPr>
          <w:ilvl w:val="0"/>
          <w:numId w:val="26"/>
        </w:numPr>
        <w:rPr>
          <w:noProof/>
        </w:rPr>
      </w:pPr>
      <w:r w:rsidRPr="008F5D5C">
        <w:t xml:space="preserve">Ukrainan puolustusteollisuuden kapasiteetin tukemiseksi annettavalla avulla pyritään antamaan Ukrainalle mahdollisuus toteuttaa kiireellisiä ja tuntuvia julkisia investointeja, joilla tuetaan Ukrainan puolustusteollisuutta ja sen yhdentymistä Euroopan puolustusteollisuuteen vastauksena nykyiseen kriisitilanteeseen ja kriisin jälkeen. Tällä avulla edistetään erityisesti </w:t>
      </w:r>
      <w:bookmarkStart w:id="16" w:name="_Hlk215133234"/>
      <w:r w:rsidRPr="008F5D5C">
        <w:t>Ukrainan puolustuksen teollisen ja teknologisen perustan</w:t>
      </w:r>
      <w:bookmarkEnd w:id="16"/>
      <w:r w:rsidRPr="008F5D5C">
        <w:t xml:space="preserve"> jälleenrakentamista, elpymistä ja nykyaikaistamista Ukrainan puolustusteollisen valmiuden lisäämiseksi unionin ja Ukrainan välisen yhteistyön avulla ottaen huomioon Ukrainan asteittainen tuleva yhdentyminen </w:t>
      </w:r>
      <w:bookmarkStart w:id="17" w:name="_Hlk215133240"/>
      <w:r w:rsidRPr="008F5D5C">
        <w:t>Euroopan puolustuksen teolliseen ja teknologiseen perustaan</w:t>
      </w:r>
      <w:bookmarkEnd w:id="17"/>
      <w:r w:rsidRPr="008F5D5C">
        <w:t xml:space="preserve"> ja tukemalla puolustustarvikkeiden ja muiden puolustustarkoituksiin käytettävien tuotteiden oikea-aikaista saatavuutta. </w:t>
      </w:r>
    </w:p>
    <w:p w14:paraId="687B5CF3" w14:textId="77777777" w:rsidR="00631DF6" w:rsidRPr="008F5D5C" w:rsidRDefault="00631DF6" w:rsidP="00717586">
      <w:pPr>
        <w:pStyle w:val="LegalNumPar"/>
        <w:numPr>
          <w:ilvl w:val="0"/>
          <w:numId w:val="26"/>
        </w:numPr>
        <w:rPr>
          <w:noProof/>
        </w:rPr>
      </w:pPr>
      <w:r w:rsidRPr="008F5D5C">
        <w:t>Toimien, menojen ja toimenpiteiden, joilla tuetaan Ukrainan puolustusteollisuuden kapasiteettia, on liityttävä puolustustarvikkeisiin tai muihin puolustustarkoituksiin käytettäviin tuotteisiin, ja niillä on pyrittävä</w:t>
      </w:r>
    </w:p>
    <w:p w14:paraId="5FA9BCA1" w14:textId="77777777" w:rsidR="00631DF6" w:rsidRPr="008F5D5C" w:rsidRDefault="00631DF6" w:rsidP="00CD1199">
      <w:pPr>
        <w:pStyle w:val="LegalNumPar2"/>
        <w:rPr>
          <w:noProof/>
        </w:rPr>
      </w:pPr>
      <w:r w:rsidRPr="008F5D5C">
        <w:t>nopeuttamaan Ukrainan puolustusteollisuuden mukauttamista rakenteellisiin muutoksiin muun muassa luomalla uutta ja kasvattamalla sen aiempaa valmistuskapasiteettia sekä toteuttamalla tähän liittyviä tukitoimia;</w:t>
      </w:r>
    </w:p>
    <w:p w14:paraId="0DB64AFA" w14:textId="77777777" w:rsidR="00631DF6" w:rsidRPr="008F5D5C" w:rsidRDefault="00631DF6" w:rsidP="00CD1199">
      <w:pPr>
        <w:pStyle w:val="LegalNumPar2"/>
        <w:rPr>
          <w:noProof/>
        </w:rPr>
      </w:pPr>
      <w:r w:rsidRPr="008F5D5C">
        <w:t xml:space="preserve">parantamaan puolustustarvikkeiden tai muiden Ukrainan puolustustarkoituksiin käytettävien tuotteiden oikea-aikaista saatavuutta muun muassa lyhentämällä niiden </w:t>
      </w:r>
      <w:r w:rsidRPr="008F5D5C">
        <w:lastRenderedPageBreak/>
        <w:t>toimitusaikoja, varaamalla tuotantoaikoja tai varastoimalla puolustustarvikkeita tai muita puolustustarkoituksiin käytettäviä tuotteita, välituotteita tai raaka-aineita; tai</w:t>
      </w:r>
    </w:p>
    <w:p w14:paraId="25670E2C" w14:textId="77777777" w:rsidR="00631DF6" w:rsidRPr="008F5D5C" w:rsidRDefault="00631DF6" w:rsidP="00597DEA">
      <w:pPr>
        <w:pStyle w:val="LegalNumPar2"/>
        <w:rPr>
          <w:noProof/>
        </w:rPr>
      </w:pPr>
      <w:r w:rsidRPr="008F5D5C">
        <w:t>tehostamaan rajatylittävää yhteistyötä Euroopan puolustuksen teollisen ja teknologisen perustan ja Ukrainan puolustuksen teollisen ja teknologisen perustan välillä ottaen huomioon Ukrainan puolustusteollisuuden vahvistamista ja puolustushankintoja koskevat tarpeet, mikä mahdollistaa Ukrainan puolustusteollisuuden ja Euroopan puolustusteollisuuden valmistamien puolustustarvikkeiden tai muiden puolustustarkoituksiin käytettävien tuotteiden yhteensopivuuden.</w:t>
      </w:r>
    </w:p>
    <w:p w14:paraId="7D976E0B" w14:textId="77777777" w:rsidR="00631DF6" w:rsidRPr="008F5D5C" w:rsidRDefault="00631DF6" w:rsidP="0014092D">
      <w:pPr>
        <w:pStyle w:val="Titrearticle"/>
        <w:rPr>
          <w:b/>
          <w:noProof/>
        </w:rPr>
      </w:pPr>
      <w:r w:rsidRPr="008F5D5C">
        <w:t xml:space="preserve">13 artikla </w:t>
      </w:r>
      <w:r w:rsidRPr="008F5D5C">
        <w:br/>
      </w:r>
      <w:r w:rsidRPr="008F5D5C">
        <w:rPr>
          <w:b/>
        </w:rPr>
        <w:t>Tukikelpoisuus</w:t>
      </w:r>
    </w:p>
    <w:p w14:paraId="3565A7D0" w14:textId="77777777" w:rsidR="00631DF6" w:rsidRPr="008F5D5C" w:rsidRDefault="00631DF6" w:rsidP="00717586">
      <w:pPr>
        <w:pStyle w:val="LegalNumPar"/>
        <w:numPr>
          <w:ilvl w:val="0"/>
          <w:numId w:val="44"/>
        </w:numPr>
        <w:rPr>
          <w:noProof/>
        </w:rPr>
      </w:pPr>
      <w:r w:rsidRPr="008F5D5C">
        <w:t xml:space="preserve">Puolustustarvikkeisiin ja muihin puolustustarkoituksiin käytettäviin tuotteisiin liittyvät toimet, menot ja toimenpiteet, joilla tuetaan Ukrainan puolustusteollisuuden kapasiteettia, ovat tukikelpoisia edellyttäen, että ne täyttävät tässä artiklassa säädetyt tukikelpoisuusedellytykset. </w:t>
      </w:r>
    </w:p>
    <w:p w14:paraId="17E3AE4E" w14:textId="77777777" w:rsidR="00631DF6" w:rsidRPr="008F5D5C" w:rsidRDefault="00631DF6" w:rsidP="00A70FEA">
      <w:pPr>
        <w:pStyle w:val="LegalNumPar"/>
        <w:numPr>
          <w:ilvl w:val="0"/>
          <w:numId w:val="44"/>
        </w:numPr>
        <w:rPr>
          <w:noProof/>
        </w:rPr>
      </w:pPr>
      <w:r w:rsidRPr="008F5D5C">
        <w:t>Puolustustarvikkeiden on kuuluttava johonkin seuraavista luokista:</w:t>
      </w:r>
    </w:p>
    <w:p w14:paraId="14A2B4B7" w14:textId="77777777" w:rsidR="00631DF6" w:rsidRPr="008F5D5C" w:rsidRDefault="00631DF6" w:rsidP="00A70FEA">
      <w:pPr>
        <w:pStyle w:val="LegalNumPar"/>
        <w:numPr>
          <w:ilvl w:val="0"/>
          <w:numId w:val="69"/>
        </w:numPr>
        <w:rPr>
          <w:noProof/>
        </w:rPr>
      </w:pPr>
      <w:r w:rsidRPr="008F5D5C">
        <w:t>luokka 1: ampumatarvikkeet ja ohjukset; tykistöjärjestelmät, mukaan lukien kaukovaikuttamiskyvyt; maataistelukyvyt ja niiden tukijärjestelmät, mukaan lukien sotilastarvikkeet ja jalkaväen aseet; pienet droonit (Nato-luokka 1) ja niihin liittyvät droonien torjuntajärjestelmät; kriittisen infrastruktuurin suojelu; kybertoiminta; sekä sotilaallinen liikkuvuus, mukaan lukien suluttaminen;</w:t>
      </w:r>
    </w:p>
    <w:p w14:paraId="40FB83CE" w14:textId="77777777" w:rsidR="00631DF6" w:rsidRPr="008F5D5C" w:rsidRDefault="00631DF6" w:rsidP="00A70FEA">
      <w:pPr>
        <w:pStyle w:val="LegalNumPar"/>
        <w:numPr>
          <w:ilvl w:val="0"/>
          <w:numId w:val="69"/>
        </w:numPr>
        <w:rPr>
          <w:noProof/>
        </w:rPr>
      </w:pPr>
      <w:r w:rsidRPr="008F5D5C">
        <w:t>luokka 2: ilma- ja ohjuspuolustusjärjestelmät; meripuolustus ja merenalaisen taistelun valmiudet; muut kuin pienet droonit (Nato-luokat 2 ja 3) ja niihin liittyvät droonien torjuntajärjestelmät; strategiset edellytykset, kuten strateginen ilmakuljetus, ilmatankkaus, C4ISTAR-järjestelmät sekä avaruusresurssit ja -palvelut; avaruusresurssien suojaaminen; tekoäly ja sähköinen sodankäynti.</w:t>
      </w:r>
    </w:p>
    <w:p w14:paraId="0BFC5FF0" w14:textId="77777777" w:rsidR="00631DF6" w:rsidRPr="008F5D5C" w:rsidRDefault="00631DF6" w:rsidP="001A6171">
      <w:pPr>
        <w:pStyle w:val="LegalNumPar"/>
        <w:rPr>
          <w:noProof/>
        </w:rPr>
      </w:pPr>
      <w:r w:rsidRPr="008F5D5C">
        <w:t xml:space="preserve">Puolustustarvikkeisiin tai muihin puolustustarkoituksiin käytettäviin tuotteisiin liittyvät toimet, menot ja toimenpiteet, joilla tuetaan Ukrainan puolustusteollisuuden kapasiteettia, eivät saa vaarantaa unionin ja sen jäsenvaltioiden turvallisuus- ja puolustusetuja, sellaisina kuin ne on vahvistettu yhteisen ulko- ja turvallisuuspolitiikan yhteydessä Euroopan unionista tehdyn sopimuksen V osaston nojalla, mukaan lukien </w:t>
      </w:r>
      <w:r w:rsidRPr="008F5D5C">
        <w:lastRenderedPageBreak/>
        <w:t>hyvien naapuruussuhteiden periaatteen kunnioittaminen, tai tämän asetuksen 2 artiklassa vahvistettujen tavoitteiden kanssa.</w:t>
      </w:r>
    </w:p>
    <w:p w14:paraId="6BF93574" w14:textId="77777777" w:rsidR="00631DF6" w:rsidRPr="008F5D5C" w:rsidRDefault="00631DF6" w:rsidP="001A6171">
      <w:pPr>
        <w:pStyle w:val="LegalNumPar"/>
        <w:rPr>
          <w:noProof/>
        </w:rPr>
      </w:pPr>
      <w:r w:rsidRPr="008F5D5C">
        <w:t>Puolustustarvikkeet on tuotettava seuraavien edellytysten mukaisesti:</w:t>
      </w:r>
    </w:p>
    <w:p w14:paraId="528496FB" w14:textId="77777777" w:rsidR="00631DF6" w:rsidRPr="008F5D5C" w:rsidRDefault="00631DF6" w:rsidP="0075478C">
      <w:pPr>
        <w:pStyle w:val="LegalNumPar2"/>
        <w:rPr>
          <w:noProof/>
        </w:rPr>
      </w:pPr>
      <w:r w:rsidRPr="008F5D5C">
        <w:t>Tuotantoon osallistuvien valmistajien ja alihankkijoiden on oltava sijoittautuneita unioniin, ETA:n EFTA-valtioon tai Ukrainaan, ja niiden johtorakenteiden on oltava unionissa, ETA:n EFTA-valtiossa tai Ukrainassa. Ne eivät saa olla kolmannen maan, joka ei ole ETA:n EFTA-valtio tai Ukraina, tai muun kolmannen maan yhteisön, joka ei ole sijoittautunut unioniin, ETA:n EFTA-valtioon tai Ukrainaan, määräysvallassa.</w:t>
      </w:r>
    </w:p>
    <w:p w14:paraId="43A0EE21" w14:textId="77777777" w:rsidR="00631DF6" w:rsidRPr="008F5D5C" w:rsidRDefault="00631DF6" w:rsidP="0075478C">
      <w:pPr>
        <w:pStyle w:val="LegalNumPar2"/>
        <w:rPr>
          <w:noProof/>
        </w:rPr>
      </w:pPr>
      <w:r w:rsidRPr="008F5D5C">
        <w:t>Poiketen siitä, mitä a alakohdassa säädetään, ja jotta voidaan ottaa huomioon teollinen yhteistyö EU:n ulkopuolisten kumppanien kanssa, tukea voidaan myöntää puolustustarvikkeisiin, joissa on mukana alihankkija, jonka osuus sopimuksen arvosta on 15–35 prosenttia ja joka ei ole sijoittautunut unioniin, ETA:n EFTA-valtioon tai Ukrainaan tai jonka johtorakenteet eivät sijaitse niissä, edellyttäen, että vähintään toinen seuraavista edellytyksistä täyttyy:</w:t>
      </w:r>
    </w:p>
    <w:p w14:paraId="0FDC44C1" w14:textId="77777777" w:rsidR="00631DF6" w:rsidRPr="008F5D5C" w:rsidRDefault="00631DF6" w:rsidP="0075478C">
      <w:pPr>
        <w:pStyle w:val="LegalNumPar3"/>
        <w:rPr>
          <w:noProof/>
        </w:rPr>
      </w:pPr>
      <w:r w:rsidRPr="008F5D5C">
        <w:t>valmistajan ja kyseisen alihankkijan välille on luotu kyseiseen puolustustarvikkeeseen liittyvä suora sopimussuhde ennen 28 päivää toukokuuta 2025;</w:t>
      </w:r>
    </w:p>
    <w:p w14:paraId="10464EA6" w14:textId="77777777" w:rsidR="00631DF6" w:rsidRPr="008F5D5C" w:rsidRDefault="00631DF6" w:rsidP="0075478C">
      <w:pPr>
        <w:pStyle w:val="LegalNumPar3"/>
        <w:rPr>
          <w:noProof/>
        </w:rPr>
      </w:pPr>
      <w:r w:rsidRPr="008F5D5C">
        <w:t>valmistaja sitoutuu selvittämään kahden vuoden kuluessa mahdollisuutta korvata kyseisen alihankkijan toimittama tuotantopanos unionista, ETA:n EFTA-valtioista tai Ukrainasta peräisin olevalla vaihtoehtoisella tuotantopanoksella, johon ei kohdistu rajoituksia ja joka täyttää tekniset ja aikatauluun liittyvät vaatimukset.</w:t>
      </w:r>
    </w:p>
    <w:p w14:paraId="7443E20F" w14:textId="77777777" w:rsidR="00631DF6" w:rsidRPr="008F5D5C" w:rsidRDefault="00631DF6" w:rsidP="0075478C">
      <w:pPr>
        <w:pStyle w:val="LegalNumPar2"/>
        <w:rPr>
          <w:noProof/>
        </w:rPr>
      </w:pPr>
      <w:r w:rsidRPr="008F5D5C">
        <w:t>Poiketen siitä, mitä a alakohdassa säädetään, puolustustarvikkeet, joissa on mukana unioniin sijoittautuneita valmistajia tai alihankkijoita ja jotka ovat muun kolmannen maan tai muun kolmannen maan yhteisön, joka ei ole ETA:n EFTA-valtio tai Ukraina, määräysvallassa, ovat tukikelpoisia, jos kyseiseen valmistajaan tai alihankkijaan on sovellettu asetuksessa (EU) 2019/452 tarkoitettua seurantaa ja tarvittaessa asianmukaisia riskinhallintatoimenpiteitä tai jos kyseinen valmistaja antaa d alakohdan mukaiset takeet, jotka sen sijoittautumisjäsenvaltio on todentanut.</w:t>
      </w:r>
    </w:p>
    <w:p w14:paraId="6B445CA5" w14:textId="77777777" w:rsidR="00631DF6" w:rsidRPr="008F5D5C" w:rsidRDefault="00631DF6" w:rsidP="0075478C">
      <w:pPr>
        <w:pStyle w:val="LegalNumPar2"/>
        <w:rPr>
          <w:noProof/>
        </w:rPr>
      </w:pPr>
      <w:r w:rsidRPr="008F5D5C">
        <w:t xml:space="preserve">Tämän kohdan c alakohdassa tarkoitetuilla takeilla on vakuutettava, että valmistajan tai alihankkijan osallistuminen puolustustarvikkeen tuotantoon ei vaaranna unionin </w:t>
      </w:r>
      <w:r w:rsidRPr="008F5D5C">
        <w:lastRenderedPageBreak/>
        <w:t>ja sen jäsenvaltioiden turvallisuus- ja puolustusetuja, sellaisina kuin ne on vahvistettu yhteisen ulko- ja turvallisuuspolitiikan yhteydessä Euroopan unionista tehdyn sopimuksen V osaston nojalla.</w:t>
      </w:r>
      <w:r w:rsidRPr="008F5D5C">
        <w:rPr>
          <w:b/>
          <w:i/>
        </w:rPr>
        <w:t xml:space="preserve"> </w:t>
      </w:r>
      <w:r w:rsidRPr="008F5D5C">
        <w:t>Takeissa on erityisesti perusteltava, että toimien, menojen ja toimenpiteiden osalta on käytössä toimenpiteitä sen varmistamiseksi, että</w:t>
      </w:r>
    </w:p>
    <w:p w14:paraId="38A3283E" w14:textId="77777777" w:rsidR="00631DF6" w:rsidRPr="008F5D5C" w:rsidRDefault="00631DF6" w:rsidP="0075478C">
      <w:pPr>
        <w:pStyle w:val="LegalNumPar3"/>
        <w:rPr>
          <w:noProof/>
        </w:rPr>
      </w:pPr>
      <w:r w:rsidRPr="008F5D5C">
        <w:t>valmistajaan tai alihankkijaan kohdistuvaa määräysvaltaa ei käytetä tavalla, joka rajoittaa sen kykyä toteuttaa tuettavat toimet, menot ja toimenpiteet; ja</w:t>
      </w:r>
    </w:p>
    <w:p w14:paraId="664BA791" w14:textId="77777777" w:rsidR="00631DF6" w:rsidRPr="008F5D5C" w:rsidRDefault="00631DF6" w:rsidP="0075478C">
      <w:pPr>
        <w:pStyle w:val="LegalNumPar3"/>
        <w:rPr>
          <w:noProof/>
        </w:rPr>
      </w:pPr>
      <w:r w:rsidRPr="008F5D5C">
        <w:t>muun kuin assosioituneen kolmannen maan tai muun kuin assosioituneen kolmannen maan yhteisön pääsy puolustustarviketta koskeviin turvallisuusluokiteltuihin tai arkaluonteisin tietoihin estetään ja puolustustarvikkeen tuotantoon osallistuvilla työntekijöillä tai muilla henkilöillä on tarvittaessa jäsenvaltion myöntämä kansallinen turvallisuusselvitys kansallisten lakien ja asetusten mukaisesti.</w:t>
      </w:r>
    </w:p>
    <w:p w14:paraId="7F6845BB" w14:textId="77777777" w:rsidR="00631DF6" w:rsidRPr="008F5D5C" w:rsidRDefault="00631DF6" w:rsidP="0075478C">
      <w:pPr>
        <w:pStyle w:val="LegalNumPar2"/>
        <w:rPr>
          <w:noProof/>
        </w:rPr>
      </w:pPr>
      <w:bookmarkStart w:id="18" w:name="_Hlk214882648"/>
      <w:r w:rsidRPr="008F5D5C">
        <w:t>Tuotantoon osallistuvien valmistajien ja alihankkijoiden infrastruktuurin, välineiden, omaisuuden ja resurssien on sijaittava jäsenvaltion, ETA:n EFTA-valtion tai Ukrainan alueella. Jos tuotantoon osallistuvilla valmistajilla tai alihankkijoilla ei ole helposti saatavilla olevia vaihtoehtoja tai asiaankuuluvaa infrastruktuuria, välineitä, omaisuutta ja resursseja jäsenvaltion, ETA:n EFTA-valtion tai Ukrainan alueella, ne voivat käyttää infrastruktuuriaan, välineitään, omaisuuttaan ja resurssejaan, jotka sijaitsevat tai joita säilytetään kyseisten alueiden ulkopuolella, edellyttäen, että tällainen käyttö ei vaaranna unionin ja sen jäsenvaltioiden turvallisuus- ja puolustusetuja.</w:t>
      </w:r>
    </w:p>
    <w:bookmarkEnd w:id="18"/>
    <w:p w14:paraId="5E4811E4" w14:textId="77777777" w:rsidR="00631DF6" w:rsidRPr="008F5D5C" w:rsidRDefault="00631DF6" w:rsidP="0075478C">
      <w:pPr>
        <w:pStyle w:val="LegalNumPar2"/>
        <w:rPr>
          <w:noProof/>
        </w:rPr>
      </w:pPr>
      <w:r w:rsidRPr="008F5D5C">
        <w:t>Tuotantoon osallistuvien valmistajien ja alihankkijoiden voidaan katsoa täyttävän tässä kohdassa tarkoitetut tukikelpoisuusedellytykset, jos ne ovat täyttäneet vastaavat Euroopan parlamentin ja neuvoston asetusten (EU) 2018/1092</w:t>
      </w:r>
      <w:r w:rsidRPr="008F5D5C">
        <w:rPr>
          <w:rStyle w:val="FootnoteReference"/>
          <w:noProof/>
        </w:rPr>
        <w:footnoteReference w:id="30"/>
      </w:r>
      <w:r w:rsidRPr="008F5D5C">
        <w:t>, (EU) 2021/697</w:t>
      </w:r>
      <w:r w:rsidRPr="008F5D5C">
        <w:rPr>
          <w:rStyle w:val="FootnoteReference"/>
          <w:noProof/>
        </w:rPr>
        <w:footnoteReference w:id="31"/>
      </w:r>
      <w:r w:rsidRPr="008F5D5C">
        <w:t>, (EU) 2023/1525</w:t>
      </w:r>
      <w:r w:rsidRPr="008F5D5C">
        <w:rPr>
          <w:rStyle w:val="FootnoteReference"/>
          <w:noProof/>
        </w:rPr>
        <w:footnoteReference w:id="32"/>
      </w:r>
      <w:r w:rsidRPr="008F5D5C">
        <w:t xml:space="preserve"> tai (EU) 2023/2418</w:t>
      </w:r>
      <w:r w:rsidRPr="008F5D5C">
        <w:rPr>
          <w:rStyle w:val="FootnoteReference"/>
          <w:noProof/>
        </w:rPr>
        <w:footnoteReference w:id="33"/>
      </w:r>
      <w:r w:rsidRPr="008F5D5C">
        <w:t xml:space="preserve"> tai asetuksen </w:t>
      </w:r>
      <w:r w:rsidRPr="008F5D5C">
        <w:lastRenderedPageBreak/>
        <w:t>(EU) 2025/1106 mukaiset edellytykset ja edellyttäen, että myöhemmät muutokset eivät aseta kyseenalaiseksi kyseisten edellytysten täyttymistä.</w:t>
      </w:r>
    </w:p>
    <w:p w14:paraId="0DE33485" w14:textId="77777777" w:rsidR="00631DF6" w:rsidRPr="008F5D5C" w:rsidRDefault="00631DF6" w:rsidP="0075478C">
      <w:pPr>
        <w:pStyle w:val="LegalNumPar2"/>
        <w:rPr>
          <w:noProof/>
        </w:rPr>
      </w:pPr>
      <w:r w:rsidRPr="008F5D5C">
        <w:t>Unionin, ETA:n EFTA-valtioiden ja Ukrainan ulkopuolelta peräisin olevien komponenttien kustannusten on oltava enintään 35 prosenttia puolustustarvikkeen komponenttien kustannuksista. Mitään komponentteja ei saa hankkia kolmannesta maasta, joka vaarantaa unionin ja sen jäsenvaltioiden turvallisuus- ja puolustusedut.</w:t>
      </w:r>
    </w:p>
    <w:p w14:paraId="606279E0" w14:textId="77777777" w:rsidR="00631DF6" w:rsidRPr="008F5D5C" w:rsidRDefault="00631DF6" w:rsidP="007306AF">
      <w:pPr>
        <w:pStyle w:val="LegalNumPar2"/>
        <w:rPr>
          <w:noProof/>
        </w:rPr>
      </w:pPr>
      <w:r w:rsidRPr="008F5D5C">
        <w:t>Tämän artiklan 2 kohdassa tarkoitettuun luokkaan 2 liittyvien puolustustarvikkeiden osalta valmistajilla on oltava mahdollisuus päättää hankitun puolustustarvikkeen suunnittelun määritelmästä, mukauttamisesta ja kehittämisestä ilman kolmansien maiden tai kolmansien maiden yhteisöjen asettamia rajoituksia, mukaan lukien laillinen oikeus korvata tai poistaa komponentteja, joihin sovelletaan kolmansien maiden tai kolmansien maiden yhteisöjen asettamia rajoituksia.</w:t>
      </w:r>
    </w:p>
    <w:p w14:paraId="3CEA82FB" w14:textId="77777777" w:rsidR="00631DF6" w:rsidRPr="008F5D5C" w:rsidRDefault="00631DF6" w:rsidP="0075478C">
      <w:pPr>
        <w:pStyle w:val="LegalNumPar2"/>
        <w:rPr>
          <w:noProof/>
        </w:rPr>
      </w:pPr>
      <w:r w:rsidRPr="008F5D5C">
        <w:t>Tässä kohdassa ’tuotantoon osallistuvalla alihankkijalla’ tarkoitetaan oikeushenkilöä, joka toimittaa kriittisiä tuotantopanoksia, joilla on ainutlaatuisia tarvikkeen toiminnan kannalta olennaisia ominaisuuksia, jolle on osoitettu vähintään 15 prosenttia sopimuksen arvosta ja joka tarvitsee sopimuksen toteuttamiseksi pääsyn turvallisuusluokiteltuihin tietoihin.</w:t>
      </w:r>
    </w:p>
    <w:p w14:paraId="0BAFB3A6" w14:textId="77777777" w:rsidR="00631DF6" w:rsidRPr="008F5D5C" w:rsidRDefault="00631DF6" w:rsidP="00A8443F">
      <w:pPr>
        <w:pStyle w:val="LegalNumPar"/>
        <w:rPr>
          <w:noProof/>
        </w:rPr>
      </w:pPr>
      <w:r w:rsidRPr="008F5D5C">
        <w:t xml:space="preserve">Poiketen siitä, mitä 2 ja 4 kohdassa säädetään, ja noudattaen kaikilta osin 3 kohtaa, jos tiettyä puolustustarviketta tarvitaan kiireellisesti Venäjän Ukrainaa vastaan käymän hyökkäyssodan vuoksi, sellaisen puolustustarvikkeen hankinta, joka ei täytä yhtä tai useampaa 2 ja 4 kohdassa säädetyistä edellytyksistä, voi saada tämän luvun mukaista rahoitustukea edellyttäen, että </w:t>
      </w:r>
    </w:p>
    <w:p w14:paraId="6E8BA053" w14:textId="77777777" w:rsidR="00631DF6" w:rsidRPr="008F5D5C" w:rsidRDefault="00631DF6" w:rsidP="00916227">
      <w:pPr>
        <w:pStyle w:val="LegalNumPar2"/>
        <w:rPr>
          <w:noProof/>
        </w:rPr>
      </w:pPr>
      <w:r w:rsidRPr="008F5D5C">
        <w:t>ei ole olemassa vastaavaa tarviketta, joka vastaa kyseiseen kiireelliseen tarpeeseen ja täyttää 2 ja 4 kohdassa säädetyt edellytykset, tai sitä ei ole saatavilla vaaditussa mittakaavassa; tai</w:t>
      </w:r>
    </w:p>
    <w:p w14:paraId="7D9272C1" w14:textId="77777777" w:rsidR="00631DF6" w:rsidRPr="008F5D5C" w:rsidRDefault="00631DF6" w:rsidP="00916227">
      <w:pPr>
        <w:pStyle w:val="LegalNumPar2"/>
        <w:rPr>
          <w:noProof/>
        </w:rPr>
      </w:pPr>
      <w:r w:rsidRPr="008F5D5C">
        <w:lastRenderedPageBreak/>
        <w:t>tällaisen tarvikkeen toimitusaika on huomattavasti lyhyempi kuin sellaisen tuotteen, joka täyttäisi 2 ja 4 kohdassa säädetyt edellytykset, vaikka kyseiseen tarvikkeeseen sovellettaisiin 19 artiklassa tarkoitettua ensisijaiseksi luokiteltua pyyntöä.</w:t>
      </w:r>
    </w:p>
    <w:p w14:paraId="764957D0" w14:textId="77777777" w:rsidR="00631DF6" w:rsidRPr="008F5D5C" w:rsidRDefault="00631DF6" w:rsidP="00916227">
      <w:pPr>
        <w:pStyle w:val="LegalNumPar"/>
        <w:numPr>
          <w:ilvl w:val="0"/>
          <w:numId w:val="0"/>
        </w:numPr>
        <w:ind w:left="476"/>
        <w:rPr>
          <w:noProof/>
        </w:rPr>
      </w:pPr>
      <w:r w:rsidRPr="008F5D5C">
        <w:t>Tällaisessa tapauksessa Ukrainan on toimitettava tiedot, jotka ovat kohtuudella sen käytettävissä ja osoittavat, että tämän poikkeuksen soveltamisedellytykset täyttyvät, jotta komissio voi tarkastaa ne ilman aiheetonta viivytystä. Edellä olevan b alakohdan yhteydessä näihin tietoihin on sisällyttävä muodollinen sitoumus siitä, että toimitusaikaa noudatetaan.</w:t>
      </w:r>
    </w:p>
    <w:p w14:paraId="76BAB095" w14:textId="77777777" w:rsidR="00631DF6" w:rsidRPr="008F5D5C" w:rsidRDefault="00631DF6" w:rsidP="00916227">
      <w:pPr>
        <w:pStyle w:val="LegalNumPar"/>
        <w:numPr>
          <w:ilvl w:val="0"/>
          <w:numId w:val="0"/>
        </w:numPr>
        <w:ind w:left="476"/>
        <w:rPr>
          <w:noProof/>
        </w:rPr>
      </w:pPr>
      <w:r w:rsidRPr="008F5D5C">
        <w:t>Puolustustarvikkeita voidaan hankkia kolmansiin maihin sijoittautuneilta valmistajilta ainoastaan, jos unionissa ei ole saatavilla muita vaihtoehtoja a ja b alakohdassa kuvatuissa olosuhteissa.</w:t>
      </w:r>
    </w:p>
    <w:p w14:paraId="7315453A" w14:textId="77777777" w:rsidR="00631DF6" w:rsidRPr="008F5D5C" w:rsidRDefault="00631DF6" w:rsidP="00916227">
      <w:pPr>
        <w:pStyle w:val="LegalNumPar"/>
        <w:numPr>
          <w:ilvl w:val="0"/>
          <w:numId w:val="0"/>
        </w:numPr>
        <w:ind w:left="476"/>
        <w:rPr>
          <w:noProof/>
        </w:rPr>
      </w:pPr>
      <w:r w:rsidRPr="008F5D5C">
        <w:t>Komissio hyväksyy tällaiset poikkeukset täytäntöönpanosäädöksillä 27 artiklan 3 kohdassa tarkoitettua tarkastelumenettelyä noudattaen.</w:t>
      </w:r>
    </w:p>
    <w:p w14:paraId="120DC114" w14:textId="77777777" w:rsidR="00631DF6" w:rsidRPr="008F5D5C" w:rsidRDefault="00631DF6" w:rsidP="00A8443F">
      <w:pPr>
        <w:pStyle w:val="LegalNumPar"/>
        <w:numPr>
          <w:ilvl w:val="0"/>
          <w:numId w:val="16"/>
        </w:numPr>
        <w:rPr>
          <w:noProof/>
        </w:rPr>
      </w:pPr>
      <w:r w:rsidRPr="008F5D5C">
        <w:t>Osallistuvien jäsenvaltioiden on tapauksen mukaan varmistettava, että Ukrainan tukilainan nojalla tukea saaviin hankintoihin liittyvät, muita puolustustarkoituksiin käytettäviä tuotteita koskevat hankintamenettelyt ja -sopimukset sisältävät asianmukaiset tukikelpoisuusedellytykset unionin ja sen jäsenvaltioiden turvallisuus- ja puolustusetujen suojaamiseksi.</w:t>
      </w:r>
    </w:p>
    <w:p w14:paraId="34B4CB3F" w14:textId="77777777" w:rsidR="00631DF6" w:rsidRPr="008F5D5C" w:rsidRDefault="00631DF6" w:rsidP="0075478C">
      <w:pPr>
        <w:pStyle w:val="LegalNumPar"/>
        <w:rPr>
          <w:noProof/>
        </w:rPr>
      </w:pPr>
      <w:r w:rsidRPr="008F5D5C">
        <w:t>Poiketen siitä, mitä 4 kohdassa säädetään, tämän artiklan 8 kohdan e alakohdan mukaiset rahoitusosuudet on käytettävä asianomaisen unionin ohjelman tukikelpoisuusedellytysten mukaisesti.</w:t>
      </w:r>
    </w:p>
    <w:p w14:paraId="16E60575" w14:textId="77777777" w:rsidR="00631DF6" w:rsidRPr="008F5D5C" w:rsidRDefault="00631DF6" w:rsidP="0075478C">
      <w:pPr>
        <w:pStyle w:val="LegalNumPar"/>
        <w:rPr>
          <w:noProof/>
        </w:rPr>
      </w:pPr>
      <w:bookmarkStart w:id="19" w:name="_Hlk215015489"/>
      <w:r w:rsidRPr="008F5D5C">
        <w:t>Puolustustarvikkeisiin tai muihin puolustustarkoituksiin käytettäviin tuotteisiin liittyvät toimet, menot ja toimenpiteet on toteutettava jollakin seuraavista täytäntöönpanomenetelmistä:</w:t>
      </w:r>
    </w:p>
    <w:p w14:paraId="116C1D9E" w14:textId="77777777" w:rsidR="00631DF6" w:rsidRPr="008F5D5C" w:rsidRDefault="00631DF6" w:rsidP="0075478C">
      <w:pPr>
        <w:pStyle w:val="LegalNumPar2"/>
        <w:rPr>
          <w:noProof/>
        </w:rPr>
      </w:pPr>
      <w:bookmarkStart w:id="20" w:name="_Hlk215004640"/>
      <w:r w:rsidRPr="008F5D5C">
        <w:t>Ukrainan tekemät hankinnat edellyttäen, että komissio tai osallistuvat jäsenvaltiot vahvistavat hankinnan ja toimituksen. Ukraina on vastuussa tällaisista hankinnoista Ukrainan lainsäädännön mukaisesti, ja komission tai osallistuvien jäsenvaltioiden vahvistuksiin on sisällyttävä otantaan perustuvia sopimusasiakirjojen, laskujen ja toimitustodistusten tarkastuksia, toimittajille tehtäviä fyysisiä tarkastuksia ja toimitusten fyysisiä tarkastuksia;</w:t>
      </w:r>
    </w:p>
    <w:bookmarkEnd w:id="20"/>
    <w:p w14:paraId="7BB8EE24" w14:textId="77777777" w:rsidR="00631DF6" w:rsidRPr="008F5D5C" w:rsidRDefault="00631DF6" w:rsidP="0075478C">
      <w:pPr>
        <w:pStyle w:val="LegalNumPar2"/>
        <w:rPr>
          <w:noProof/>
        </w:rPr>
      </w:pPr>
      <w:r w:rsidRPr="008F5D5C">
        <w:t>Ukrainan tekemät hankinnat, jotka ovat asetuksen (EU) 2025/1106 mukaisia yhteishankintoja;</w:t>
      </w:r>
    </w:p>
    <w:p w14:paraId="0094E0AE" w14:textId="77777777" w:rsidR="00631DF6" w:rsidRPr="008F5D5C" w:rsidRDefault="00631DF6" w:rsidP="0075478C">
      <w:pPr>
        <w:pStyle w:val="LegalNumPar2"/>
        <w:rPr>
          <w:noProof/>
        </w:rPr>
      </w:pPr>
      <w:r w:rsidRPr="008F5D5C">
        <w:lastRenderedPageBreak/>
        <w:t xml:space="preserve">Ukrainan ja jäsenvaltioiden tai Euroopan puolustusviraston väliset sopimukset; </w:t>
      </w:r>
    </w:p>
    <w:p w14:paraId="6A7C2197" w14:textId="77777777" w:rsidR="00631DF6" w:rsidRPr="008F5D5C" w:rsidRDefault="00631DF6" w:rsidP="0075478C">
      <w:pPr>
        <w:pStyle w:val="LegalNumPar2"/>
        <w:rPr>
          <w:noProof/>
        </w:rPr>
      </w:pPr>
      <w:r w:rsidRPr="008F5D5C">
        <w:t>Ukrainan ja kansainvälisten tai hallitustenvälisten järjestöjen väliset hankintasopimukset;</w:t>
      </w:r>
    </w:p>
    <w:p w14:paraId="37218868" w14:textId="77777777" w:rsidR="00631DF6" w:rsidRPr="008F5D5C" w:rsidRDefault="00631DF6" w:rsidP="0075478C">
      <w:pPr>
        <w:pStyle w:val="LegalNumPar2"/>
        <w:rPr>
          <w:noProof/>
        </w:rPr>
      </w:pPr>
      <w:r w:rsidRPr="008F5D5C">
        <w:t>Ukrainan rahoitusosuudet [</w:t>
      </w:r>
      <w:r w:rsidRPr="008F5D5C">
        <w:rPr>
          <w:i/>
        </w:rPr>
        <w:t>EDIP-asetuksella</w:t>
      </w:r>
      <w:r w:rsidRPr="008F5D5C">
        <w:t>] perustettuun Ukrainan tukemiseen tarkoitettuun välineeseen, asetuksella (EU) 2024/792 perustettuun Ukrainan investointikehykseen kaksikäyttötuotteiden osalta tai muihin unionin ohjelmiin.</w:t>
      </w:r>
    </w:p>
    <w:p w14:paraId="1C7AC7F6" w14:textId="77777777" w:rsidR="00631DF6" w:rsidRPr="008F5D5C" w:rsidRDefault="00631DF6" w:rsidP="0075478C">
      <w:pPr>
        <w:pStyle w:val="LegalNumPar"/>
        <w:numPr>
          <w:ilvl w:val="0"/>
          <w:numId w:val="0"/>
        </w:numPr>
        <w:ind w:left="476"/>
        <w:rPr>
          <w:noProof/>
        </w:rPr>
      </w:pPr>
      <w:bookmarkStart w:id="21" w:name="_Hlk215016001"/>
      <w:r w:rsidRPr="008F5D5C">
        <w:t>Muihin puolustustarkoituksiin käytettäviin tuotteisiin liittyviä toimia, menoja ja toimenpiteitä voidaan toteuttaa myös Ukrainan hankinnoilla, joiden arvo on alle 7 000 000 euroa, edellyttäen, että varmistetaan moitteeton varainhoito ja unionin taloudellisten etujen suojaaminen.</w:t>
      </w:r>
    </w:p>
    <w:bookmarkEnd w:id="19"/>
    <w:bookmarkEnd w:id="21"/>
    <w:p w14:paraId="2D55FB77" w14:textId="77777777" w:rsidR="00631DF6" w:rsidRPr="008F5D5C" w:rsidRDefault="00631DF6" w:rsidP="0075478C">
      <w:pPr>
        <w:pStyle w:val="LegalNumPar"/>
        <w:rPr>
          <w:noProof/>
        </w:rPr>
      </w:pPr>
      <w:r w:rsidRPr="008F5D5C">
        <w:t>Edellä 8 kohdassa tarkoitettuihin hankintoihin, sopimuksiin tai rahoitusosuuksiin liittyvät Ukrainan tekemät sopimukset ovat tukikelpoisia, jos ne on allekirjoitettu 14 päivän tammikuuta 2025 jälkeen, edellyttäen että ne täyttävät tässä artiklassa säädetyt vaatimukset.</w:t>
      </w:r>
    </w:p>
    <w:p w14:paraId="569CC890" w14:textId="77777777" w:rsidR="00631DF6" w:rsidRPr="008F5D5C" w:rsidRDefault="00631DF6" w:rsidP="0075478C">
      <w:pPr>
        <w:pStyle w:val="LegalNumPar"/>
        <w:rPr>
          <w:noProof/>
        </w:rPr>
      </w:pPr>
      <w:r w:rsidRPr="008F5D5C">
        <w:t>Siirretään komissiolle valta antaa 26 artiklan mukaisesti delegoitu säädös, jolla täydennetään tätä asetusta laajentamalla kelpoisuusperusteet koskemaan muita kolmansia maita kuin ETA:n EFTA-valtioita ja Ukrainaa silloin kun nämä maat eivät toimi vastoin unionin ja sen jäsenvaltioiden turvallisuus- ja puolustusetuja, edellyttäen, että tällaiset maat ovat tehneet unionin kanssa sopimuksen neuvoston asetuksen (EU) 2025/1106 17 artiklan mukaisesti.</w:t>
      </w:r>
    </w:p>
    <w:p w14:paraId="57C72F54" w14:textId="77777777" w:rsidR="00631DF6" w:rsidRPr="008F5D5C" w:rsidRDefault="00631DF6" w:rsidP="0014092D">
      <w:pPr>
        <w:pStyle w:val="Titrearticle"/>
        <w:rPr>
          <w:b/>
          <w:noProof/>
        </w:rPr>
      </w:pPr>
      <w:r w:rsidRPr="008F5D5C">
        <w:t xml:space="preserve">14 artikla </w:t>
      </w:r>
      <w:r w:rsidRPr="008F5D5C">
        <w:br/>
      </w:r>
      <w:r w:rsidRPr="008F5D5C">
        <w:rPr>
          <w:b/>
        </w:rPr>
        <w:t>Tuoteluettelot</w:t>
      </w:r>
    </w:p>
    <w:p w14:paraId="0F6F7C64" w14:textId="77777777" w:rsidR="00631DF6" w:rsidRPr="008F5D5C" w:rsidRDefault="00631DF6" w:rsidP="00717586">
      <w:pPr>
        <w:pStyle w:val="LegalNumPar"/>
        <w:numPr>
          <w:ilvl w:val="0"/>
          <w:numId w:val="27"/>
        </w:numPr>
        <w:rPr>
          <w:noProof/>
        </w:rPr>
      </w:pPr>
      <w:r w:rsidRPr="008F5D5C">
        <w:t>Ukraina laatii 8 artiklan 2 kohdan a alakohdan iii alakohdassa tarkoitettujen Ukrainan puolustusteollisuuden kapasiteetin tukemiseen hyväksyttyjen avustusmäärien osalta luettelon kullekin sellaiselle puolustustarvikkeeseen tai muuhun puolustustarkoituksiin käytettävään tuotteeseen liittyvälle toimelle, menolle tai toimenpiteelle, jota varten se aikoo pyytää apua. Luettelossa on esitettävä</w:t>
      </w:r>
    </w:p>
    <w:p w14:paraId="4303B7C2" w14:textId="77777777" w:rsidR="00631DF6" w:rsidRPr="008F5D5C" w:rsidRDefault="00631DF6" w:rsidP="0075478C">
      <w:pPr>
        <w:pStyle w:val="LegalNumPar2"/>
        <w:rPr>
          <w:noProof/>
        </w:rPr>
      </w:pPr>
      <w:r w:rsidRPr="008F5D5C">
        <w:t>kuvaus puolustustarvikkeesta tai muusta puolustustarkoituksiin käytettävästä tuotteesta;</w:t>
      </w:r>
    </w:p>
    <w:p w14:paraId="00AD667F" w14:textId="77777777" w:rsidR="00631DF6" w:rsidRPr="008F5D5C" w:rsidRDefault="00631DF6" w:rsidP="0075478C">
      <w:pPr>
        <w:pStyle w:val="LegalNumPar2"/>
        <w:rPr>
          <w:noProof/>
        </w:rPr>
      </w:pPr>
      <w:r w:rsidRPr="008F5D5C">
        <w:t>tiedot 13 artiklan noudattamisesta.</w:t>
      </w:r>
    </w:p>
    <w:p w14:paraId="1741C186" w14:textId="77777777" w:rsidR="00631DF6" w:rsidRPr="008F5D5C" w:rsidRDefault="00631DF6" w:rsidP="00717586">
      <w:pPr>
        <w:pStyle w:val="LegalNumPar"/>
        <w:numPr>
          <w:ilvl w:val="0"/>
          <w:numId w:val="27"/>
        </w:numPr>
        <w:rPr>
          <w:noProof/>
        </w:rPr>
      </w:pPr>
      <w:r w:rsidRPr="008F5D5C">
        <w:lastRenderedPageBreak/>
        <w:t>Ukraina neuvottelee luettelosta komission kanssa varmistaakseen 13 artiklan noudattamisen. Määrittäessään, onko vaihtoehtoinen täytäntöönpanomenetelmä taloudellisempi, ja tarkastellessaan saatavilla olevia hintoja komissio ottaa huomioon jäsenvaltioiden mahdollisesti myöntämän yhteisrahoituksen. Ehdottaessaan Ukrainalle sopivinta täytäntöönpanomenetelmää komissio ottaa huomioon asianomaisen tuotteen, toimen, menon tai toimenpiteen oikea-aikaisen toimittamisen tai toteuttamisen, saatavilla olevat hinnat, kyseisestä täytäntöönpanomenetelmästä saadut aiemmat kokemukset ja, jos se on perusteltua, valmistajien aiemmat kokemukset kyseisestä täytäntöönpanomenetelmästä. Jos Ukraina ei määritä täytäntöönpanomenetelmää 13 artiklan 8 kohdan mukaisesti tai jos komissio katsoo, että vaihtoehtoinen täytäntöönpanomenetelmä on taloudellisempi, tehokkaampi tai tuloksellisempi, komissio voi ehdottaa Ukrainalle täytäntöönpanomenetelmää.</w:t>
      </w:r>
    </w:p>
    <w:p w14:paraId="50A9EBAD" w14:textId="77777777" w:rsidR="00631DF6" w:rsidRPr="008F5D5C" w:rsidRDefault="00631DF6" w:rsidP="00717586">
      <w:pPr>
        <w:pStyle w:val="LegalNumPar"/>
        <w:numPr>
          <w:ilvl w:val="0"/>
          <w:numId w:val="27"/>
        </w:numPr>
        <w:rPr>
          <w:noProof/>
        </w:rPr>
      </w:pPr>
      <w:r w:rsidRPr="008F5D5C">
        <w:t>Poiketen siitä, mitä 1 kohdassa säädetään, Ukrainan ei tarvitse laatia luetteloa 13 artiklan 8 kohdan e alakohdan mukaiselle täytäntöönpanolle.</w:t>
      </w:r>
    </w:p>
    <w:p w14:paraId="21C32175" w14:textId="77777777" w:rsidR="00631DF6" w:rsidRPr="008F5D5C" w:rsidRDefault="00631DF6" w:rsidP="0014092D">
      <w:pPr>
        <w:pStyle w:val="Titrearticle"/>
        <w:rPr>
          <w:b/>
          <w:noProof/>
        </w:rPr>
      </w:pPr>
      <w:r w:rsidRPr="008F5D5C">
        <w:t xml:space="preserve">15 artikla </w:t>
      </w:r>
      <w:r w:rsidRPr="008F5D5C">
        <w:br/>
      </w:r>
      <w:r w:rsidRPr="008F5D5C">
        <w:rPr>
          <w:b/>
        </w:rPr>
        <w:t>Ukrainan puolustusteollisuuden kapasiteettia käsittelevä asiantuntijaryhmä</w:t>
      </w:r>
    </w:p>
    <w:p w14:paraId="55E739F4" w14:textId="77777777" w:rsidR="00631DF6" w:rsidRPr="008F5D5C" w:rsidRDefault="00631DF6" w:rsidP="00717586">
      <w:pPr>
        <w:pStyle w:val="LegalNumPar"/>
        <w:numPr>
          <w:ilvl w:val="0"/>
          <w:numId w:val="28"/>
        </w:numPr>
        <w:rPr>
          <w:noProof/>
        </w:rPr>
      </w:pPr>
      <w:r w:rsidRPr="008F5D5C">
        <w:t xml:space="preserve">Tukeakseen Ukrainan puolustusteollisuuden kapasiteettiin tarkoitetun avun täytäntöönpanoa komissio perustaa Ukrainan puolustusteollisuuden kapasiteettia käsittelevän asiantuntijaryhmän. </w:t>
      </w:r>
    </w:p>
    <w:p w14:paraId="22A7252D" w14:textId="77777777" w:rsidR="00631DF6" w:rsidRPr="008F5D5C" w:rsidRDefault="00631DF6" w:rsidP="00717586">
      <w:pPr>
        <w:pStyle w:val="LegalNumPar"/>
        <w:numPr>
          <w:ilvl w:val="0"/>
          <w:numId w:val="28"/>
        </w:numPr>
        <w:rPr>
          <w:noProof/>
        </w:rPr>
      </w:pPr>
      <w:r w:rsidRPr="008F5D5C">
        <w:t>Komission yksiköiden ja Euroopan ulkosuhdehallinnon edustajien lisäksi Ukrainan puolustusteollisuuden kapasiteettia käsittelevään asiantuntijaryhmään kuuluu osallistuvien jäsenvaltioiden ja ETA:n EFTA-valtioiden edustajia. Tarvittaessa Ukrainan puolustusteollisuuden kapasiteettia käsittelevän asiantuntijaryhmän kokouksiin kutsutaan myös Ukraina.</w:t>
      </w:r>
    </w:p>
    <w:p w14:paraId="0149F988" w14:textId="77777777" w:rsidR="00631DF6" w:rsidRPr="008F5D5C" w:rsidRDefault="00631DF6" w:rsidP="00717586">
      <w:pPr>
        <w:pStyle w:val="LegalNumPar"/>
        <w:numPr>
          <w:ilvl w:val="0"/>
          <w:numId w:val="28"/>
        </w:numPr>
        <w:rPr>
          <w:noProof/>
        </w:rPr>
      </w:pPr>
      <w:r w:rsidRPr="008F5D5C">
        <w:t xml:space="preserve">Ukrainan puolustusteollisuuden kapasiteettia käsittelevä asiantuntijaryhmä antaa puolustustarvikkeisiin ja muihin puolustustarkoituksiin käytettäviin tuotteisiin sekä täytäntöönpanomenetelmään liittyvää neuvontaa, asiantuntija-apua ja tukea. </w:t>
      </w:r>
    </w:p>
    <w:p w14:paraId="0DF68324" w14:textId="77777777" w:rsidR="00631DF6" w:rsidRPr="008F5D5C" w:rsidRDefault="00631DF6" w:rsidP="0014092D">
      <w:pPr>
        <w:pStyle w:val="Titrearticle"/>
        <w:rPr>
          <w:b/>
          <w:noProof/>
        </w:rPr>
      </w:pPr>
      <w:r w:rsidRPr="008F5D5C">
        <w:t xml:space="preserve">16 artikla </w:t>
      </w:r>
      <w:r w:rsidRPr="008F5D5C">
        <w:br/>
      </w:r>
      <w:r w:rsidRPr="008F5D5C">
        <w:rPr>
          <w:b/>
        </w:rPr>
        <w:t>Ukrainan puolustusteollisuuden kapasiteetin tukemiseen tarkoitetun avunannon toteutus</w:t>
      </w:r>
    </w:p>
    <w:p w14:paraId="4511C06A" w14:textId="77777777" w:rsidR="00631DF6" w:rsidRPr="008F5D5C" w:rsidRDefault="00631DF6" w:rsidP="00344F69">
      <w:pPr>
        <w:rPr>
          <w:noProof/>
        </w:rPr>
      </w:pPr>
      <w:r w:rsidRPr="008F5D5C">
        <w:t>Ukraina avaa erityisen tilin yksinomaan Ukrainan puolustusteollisuuden kapasiteetin tukemiseen annettavan rahoituksellisen ja taloudellisen avun hallinnointia varten. Tämän tilin osalta sovelletaan seuraavaa:</w:t>
      </w:r>
    </w:p>
    <w:p w14:paraId="550F7AA9" w14:textId="77777777" w:rsidR="00631DF6" w:rsidRPr="008F5D5C" w:rsidRDefault="00631DF6" w:rsidP="00910646">
      <w:pPr>
        <w:pStyle w:val="LegalNumPar2"/>
        <w:rPr>
          <w:noProof/>
        </w:rPr>
      </w:pPr>
      <w:r w:rsidRPr="008F5D5C">
        <w:lastRenderedPageBreak/>
        <w:t>tililtä maksetaan kaikki pyydetyt Ukrainan puolustusteollisuuden kapasiteetin tukemiseksi tehtyihin sopimuksiin liittyvät maksut</w:t>
      </w:r>
    </w:p>
    <w:p w14:paraId="4DE186F3" w14:textId="77777777" w:rsidR="00631DF6" w:rsidRPr="008F5D5C" w:rsidRDefault="00631DF6" w:rsidP="00910646">
      <w:pPr>
        <w:pStyle w:val="LegalNumPar2"/>
        <w:rPr>
          <w:noProof/>
        </w:rPr>
      </w:pPr>
      <w:r w:rsidRPr="008F5D5C">
        <w:t>komissiolle annetaan tilin valvontaoikeudet;</w:t>
      </w:r>
    </w:p>
    <w:p w14:paraId="60030526" w14:textId="77777777" w:rsidR="00631DF6" w:rsidRPr="008F5D5C" w:rsidRDefault="00631DF6" w:rsidP="00910646">
      <w:pPr>
        <w:pStyle w:val="LegalNumPar2"/>
        <w:rPr>
          <w:noProof/>
        </w:rPr>
      </w:pPr>
      <w:r w:rsidRPr="008F5D5C">
        <w:t>Ukraina toimittaa komissiolle kuukausittain raportin, joka on toimitettava 10 työpäivän kuluessa kunkin kuukauden päättymisestä ja joka sisältää seuraavat tiedot:</w:t>
      </w:r>
    </w:p>
    <w:p w14:paraId="6EE959B8" w14:textId="77777777" w:rsidR="00631DF6" w:rsidRPr="008F5D5C" w:rsidRDefault="00631DF6" w:rsidP="00910646">
      <w:pPr>
        <w:pStyle w:val="LegalNumPar3"/>
        <w:rPr>
          <w:noProof/>
        </w:rPr>
      </w:pPr>
      <w:r w:rsidRPr="008F5D5C">
        <w:t xml:space="preserve">kunkin tililtä edellisen kuukauden aikana suoritetun maksun päivämäärä ja määrä; </w:t>
      </w:r>
    </w:p>
    <w:p w14:paraId="0923DCA9" w14:textId="77777777" w:rsidR="00631DF6" w:rsidRPr="008F5D5C" w:rsidRDefault="00631DF6" w:rsidP="00910646">
      <w:pPr>
        <w:pStyle w:val="LegalNumPar3"/>
        <w:rPr>
          <w:noProof/>
        </w:rPr>
      </w:pPr>
      <w:r w:rsidRPr="008F5D5C">
        <w:t xml:space="preserve">kunkin maksun saajan nimi; </w:t>
      </w:r>
    </w:p>
    <w:p w14:paraId="3FD4F9C4" w14:textId="77777777" w:rsidR="00631DF6" w:rsidRPr="008F5D5C" w:rsidRDefault="00631DF6" w:rsidP="00910646">
      <w:pPr>
        <w:pStyle w:val="LegalNumPar3"/>
        <w:rPr>
          <w:noProof/>
        </w:rPr>
      </w:pPr>
      <w:r w:rsidRPr="008F5D5C">
        <w:t xml:space="preserve">kuvaus kunkin rahoituspyynnössä esitetyn maksun tarkoituksesta ja siitä, miten maksu liittyy sopimuksiin; </w:t>
      </w:r>
    </w:p>
    <w:p w14:paraId="687E9AC9" w14:textId="77777777" w:rsidR="00631DF6" w:rsidRPr="008F5D5C" w:rsidRDefault="00631DF6" w:rsidP="00910646">
      <w:pPr>
        <w:pStyle w:val="LegalNumPar3"/>
        <w:rPr>
          <w:noProof/>
        </w:rPr>
      </w:pPr>
      <w:r w:rsidRPr="008F5D5C">
        <w:t>kaikki muut tiedot, joita komissio voi kohtuudella pyytää.</w:t>
      </w:r>
    </w:p>
    <w:p w14:paraId="5C04EEE7" w14:textId="77777777" w:rsidR="00631DF6" w:rsidRPr="008F5D5C" w:rsidRDefault="00631DF6" w:rsidP="0014092D">
      <w:pPr>
        <w:pStyle w:val="Titrearticle"/>
        <w:rPr>
          <w:b/>
          <w:bCs/>
          <w:noProof/>
        </w:rPr>
      </w:pPr>
      <w:r w:rsidRPr="008F5D5C">
        <w:t xml:space="preserve">17 artikla </w:t>
      </w:r>
      <w:r w:rsidRPr="008F5D5C">
        <w:br/>
      </w:r>
      <w:r w:rsidRPr="008F5D5C">
        <w:rPr>
          <w:b/>
        </w:rPr>
        <w:t>Täytäntöönpanon seuranta</w:t>
      </w:r>
    </w:p>
    <w:p w14:paraId="444E049C" w14:textId="77777777" w:rsidR="00631DF6" w:rsidRPr="008F5D5C" w:rsidRDefault="00631DF6" w:rsidP="00717586">
      <w:pPr>
        <w:pStyle w:val="LegalNumPar"/>
        <w:numPr>
          <w:ilvl w:val="0"/>
          <w:numId w:val="45"/>
        </w:numPr>
        <w:rPr>
          <w:noProof/>
        </w:rPr>
      </w:pPr>
      <w:r w:rsidRPr="008F5D5C">
        <w:t xml:space="preserve">Komissio seuraa Ukrainan puolustusteollisuuden kapasiteetin tukemiseksi annettavan avun täytäntöönpanoa, erityisesti tuotteiden toimittamista, tämän artiklan mukaisesti. </w:t>
      </w:r>
    </w:p>
    <w:p w14:paraId="0013B5B5" w14:textId="77777777" w:rsidR="00631DF6" w:rsidRPr="008F5D5C" w:rsidRDefault="00631DF6" w:rsidP="00272756">
      <w:pPr>
        <w:pStyle w:val="LegalNumPar"/>
        <w:rPr>
          <w:noProof/>
        </w:rPr>
      </w:pPr>
      <w:r w:rsidRPr="008F5D5C">
        <w:t xml:space="preserve">Ukrainan 13 artiklan 8 kohdan a alakohdan mukaisesti tekemissä hankinnoissa, jotka komissio vahvistaa, komissio käyttää kyseisessä alakohdassa säädettyä vahvistusmenettelyä. </w:t>
      </w:r>
    </w:p>
    <w:p w14:paraId="0F2E9CDA" w14:textId="77777777" w:rsidR="00631DF6" w:rsidRPr="008F5D5C" w:rsidRDefault="00631DF6" w:rsidP="00272756">
      <w:pPr>
        <w:pStyle w:val="LegalNumPar"/>
        <w:rPr>
          <w:noProof/>
        </w:rPr>
      </w:pPr>
      <w:r w:rsidRPr="008F5D5C">
        <w:t>Ukrainan 13 artiklan 8 kohdan a alakohdan mukaisesti tekemissä hankinnoissa, jotka osallistuvat jäsenvaltiot vahvistavat, osallistuvan jäsenvaltion on seurattava hankinnan toteuttamista ja toimittamista mainitun säännöksen mukaisesti sekä raportoitava asiasta komissiolle.</w:t>
      </w:r>
    </w:p>
    <w:p w14:paraId="0A43FE3D" w14:textId="77777777" w:rsidR="00631DF6" w:rsidRPr="008F5D5C" w:rsidRDefault="00631DF6" w:rsidP="00272756">
      <w:pPr>
        <w:pStyle w:val="LegalNumPar"/>
        <w:rPr>
          <w:noProof/>
        </w:rPr>
      </w:pPr>
      <w:r w:rsidRPr="008F5D5C">
        <w:t xml:space="preserve">Ukrainan 13 artiklan 8 kohdan b alakohdan mukaisesti tekemissä hankinnoissa tällaiseen yhteishankintaan osallistuvien jäsenvaltioiden on seurattava hankinnan toteuttamista ja toimittamista sekä raportoitava asiasta komissiolle. Jos asetuksen (EU) 2025/1106 mukaisen yhteishankinnan yhteydessä osallistumaton jäsenvaltio sitoutuu noudattamaan tässä asetuksessa vahvistettuja tukikelpoisuussääntöjä ja soveltamaan niitä, varmistaa unionin taloudellisten etujen suojaamisen ja on muiden maiden puolesta toimiva hankintaviranomainen, Ukraina vaatii osallistumisensa edellytyksenä, että osallistumaton </w:t>
      </w:r>
      <w:r w:rsidRPr="008F5D5C">
        <w:lastRenderedPageBreak/>
        <w:t>jäsenvaltio valvoo hankinnan toteuttamista ja toimittamista ja raportoi asiasta komissiolle.</w:t>
      </w:r>
    </w:p>
    <w:p w14:paraId="6D7D1D47" w14:textId="77777777" w:rsidR="00631DF6" w:rsidRPr="008F5D5C" w:rsidRDefault="00631DF6" w:rsidP="00B82843">
      <w:pPr>
        <w:pStyle w:val="LegalNumPar"/>
        <w:rPr>
          <w:noProof/>
        </w:rPr>
      </w:pPr>
      <w:r w:rsidRPr="008F5D5C">
        <w:t>Ukrainan ja osallistuvien jäsenvaltioiden 13 artiklan 8 kohdan c alakohdan mukaisesti tekemissä sopimuksissa osallistuvan jäsenvaltion on seurattava sopimuksen täytäntöönpanoa ja toimittamista sekä raportoitava asiasta komissiolle. Ukraina sisällyttää Ukrainan ja osallistumattomien jäsenvaltioiden välisiin 13 artiklan 8 kohdan c alakohdan mukaisiin sopimuksiin asianomaista osallistumatonta jäsenvaltiota koskevia velvoitteita, joiden mukaan kyseisen jäsenvaltion on noudatettava tässä asetuksessa vahvistettuja tukikelpoisuussääntöjä ja sovellettava niitä, jotta voidaan varmistaa unionin taloudellisten etujen suojaaminen ja seurata sopimuksen täytäntöönpanoa sekä hankinnan toimittamista ja raportointia komissiolle.</w:t>
      </w:r>
    </w:p>
    <w:p w14:paraId="73D92080" w14:textId="77777777" w:rsidR="00631DF6" w:rsidRPr="008F5D5C" w:rsidRDefault="00631DF6" w:rsidP="00272756">
      <w:pPr>
        <w:pStyle w:val="LegalNumPar"/>
        <w:rPr>
          <w:noProof/>
        </w:rPr>
      </w:pPr>
      <w:r w:rsidRPr="008F5D5C">
        <w:t>Ukrainan ja Euroopan puolustusviraston 13 artiklan 8 kohdan c alakohdan mukaisesti tekemissä sopimuksissa Euroopan puolustusviraston on seurattava sopimuksen täytäntöönpanoa ja toimittamista sekä raportoitava asiasta komissiolle.</w:t>
      </w:r>
    </w:p>
    <w:p w14:paraId="6BC0B1ED" w14:textId="77777777" w:rsidR="00631DF6" w:rsidRPr="008F5D5C" w:rsidRDefault="00631DF6" w:rsidP="00272756">
      <w:pPr>
        <w:pStyle w:val="LegalNumPar"/>
        <w:rPr>
          <w:noProof/>
        </w:rPr>
      </w:pPr>
      <w:r w:rsidRPr="008F5D5C">
        <w:t>Ukrainan ja kansainvälisten tai hallitustenvälisten järjestöjen välisissä 13 artiklan 8 kohdan d alakohdan mukaisissa hankintasopimuksissa Ukraina sisällyttää tällaisiin hankintasopimuksiin asianomaisten kansainvälisten tai hallitustenvälisten järjestöjen velvoitteet seurata hankinnan toteutumista ja toimittamista sekä raportoida asiasta komissiolle.</w:t>
      </w:r>
    </w:p>
    <w:p w14:paraId="5A76D2CC" w14:textId="77777777" w:rsidR="00631DF6" w:rsidRPr="008F5D5C" w:rsidRDefault="00631DF6" w:rsidP="00947D06">
      <w:pPr>
        <w:pStyle w:val="LegalNumPar"/>
        <w:rPr>
          <w:noProof/>
        </w:rPr>
      </w:pPr>
      <w:r w:rsidRPr="008F5D5C">
        <w:t>Edellä olevia 1–7 kohtaa ei sovelleta Ukrainan 13 artiklan 8 kohdan mukaisesti tekemiin hankintoihin, jotka koskevat muihin puolustustarkoituksiin käytettäviin tuotteisiin liittyviä toimia, menoja ja toimenpiteitä ja joiden arvo on alle 7 000 000 euroa. Ukraina raportoi kuitenkin säännöllisesti komissiolle siitä, miten se seuraa näiden hankintojen toteuttamista ja toimittamista. Komissio suorittaa riskiperusteista valvontaa.</w:t>
      </w:r>
    </w:p>
    <w:p w14:paraId="1B81C623" w14:textId="77777777" w:rsidR="00631DF6" w:rsidRPr="008F5D5C" w:rsidRDefault="00631DF6" w:rsidP="00947D06">
      <w:pPr>
        <w:pStyle w:val="LegalNumPar"/>
        <w:rPr>
          <w:noProof/>
        </w:rPr>
      </w:pPr>
      <w:r w:rsidRPr="008F5D5C">
        <w:t>Jos Ukraina ilmoittaa komissiolle sopimuksen täyttämättä jättämisestä 20 artiklan 2 kohdan g alakohdan mukaisesti tai saa tietoonsa, että tuotteita ei ole toimitettu tämän artiklan mukaisesti tai että 16 artiklassa tarkoitetulla tilillä olevia varoja ei ole käytetty, komissio tekee Ukrainan kanssa yhteistyötä kyseisten varojen käyttötarkoituksen muuttamiseksi tämän asetuksen säännösten mukaisesti.</w:t>
      </w:r>
    </w:p>
    <w:p w14:paraId="5C9AE103" w14:textId="77777777" w:rsidR="00631DF6" w:rsidRPr="008F5D5C" w:rsidRDefault="00631DF6" w:rsidP="0014092D">
      <w:pPr>
        <w:pStyle w:val="Titrearticle"/>
        <w:rPr>
          <w:b/>
          <w:bCs/>
          <w:noProof/>
        </w:rPr>
      </w:pPr>
      <w:r w:rsidRPr="008F5D5C">
        <w:lastRenderedPageBreak/>
        <w:t xml:space="preserve">18 artikla </w:t>
      </w:r>
      <w:r w:rsidRPr="008F5D5C">
        <w:br/>
      </w:r>
      <w:r w:rsidRPr="008F5D5C">
        <w:rPr>
          <w:b/>
        </w:rPr>
        <w:t>Puitejärjestelyjen tai sopimusten muuttaminen</w:t>
      </w:r>
    </w:p>
    <w:p w14:paraId="3CB7280D" w14:textId="77777777" w:rsidR="00631DF6" w:rsidRPr="008F5D5C" w:rsidRDefault="00631DF6" w:rsidP="00717586">
      <w:pPr>
        <w:pStyle w:val="LegalNumPar"/>
        <w:numPr>
          <w:ilvl w:val="0"/>
          <w:numId w:val="30"/>
        </w:numPr>
        <w:rPr>
          <w:noProof/>
        </w:rPr>
      </w:pPr>
      <w:r w:rsidRPr="008F5D5C">
        <w:t>Jos puolustustarvikkeisiin liittyvät toimet, menot ja toimenpiteet pannaan unionissa täytäntöön 13 artiklan 8 kohdan b tai c alakohdassa tarkoitetuilla menetelmillä, 2–4 kohdassa säädettyjä sääntöjä sovelletaan olemassa olevaan puitejärjestelyyn tai sopimukseen, jonka tarkoituksena on puolustustarvikkeiden hankinta ja jota käytetään kyseisessä täytäntöönpanomenetelmässä ja jossa ei määrätä mahdollisuudesta muuttaa sitä merkittävästi. Sovellettaessa 2 ja 3 kohtaa puitejärjestelyn tai sopimuksen tehneen hankintaviranomaisen on saatava ennakkosuostumus yritykseltä, jonka kanssa kyseinen puitejärjestely tai sopimus on tehty.</w:t>
      </w:r>
    </w:p>
    <w:p w14:paraId="59884D24" w14:textId="77777777" w:rsidR="00631DF6" w:rsidRPr="008F5D5C" w:rsidRDefault="00631DF6" w:rsidP="00717586">
      <w:pPr>
        <w:pStyle w:val="LegalNumPar"/>
        <w:numPr>
          <w:ilvl w:val="0"/>
          <w:numId w:val="30"/>
        </w:numPr>
        <w:rPr>
          <w:noProof/>
        </w:rPr>
      </w:pPr>
      <w:r w:rsidRPr="008F5D5C">
        <w:t xml:space="preserve">Osallistuvan jäsenvaltion hankintaviranomainen voi muuttaa olemassa olevaa puolustustarvikkeita koskevaa puitejärjestelyä tai sopimusta lisätäkseen Ukrainan kyseisen puitejärjestelyn tai sopimuksen osapuoleksi, jos kyseinen puitejärjestely tai sopimus on tehty sellaisen yrityksen kanssa, joka täyttää tämän asetuksen 13 artiklan 4 ja 5 kohdassa säädettyjä perusteita vastaavat perusteet. </w:t>
      </w:r>
    </w:p>
    <w:p w14:paraId="5D0456C9" w14:textId="77777777" w:rsidR="00631DF6" w:rsidRPr="008F5D5C" w:rsidRDefault="00631DF6" w:rsidP="00717586">
      <w:pPr>
        <w:pStyle w:val="LegalNumPar"/>
        <w:numPr>
          <w:ilvl w:val="0"/>
          <w:numId w:val="30"/>
        </w:numPr>
        <w:rPr>
          <w:noProof/>
        </w:rPr>
      </w:pPr>
      <w:r w:rsidRPr="008F5D5C">
        <w:t>Poiketen siitä, mitä direktiivin 2009/81/EY 29 artiklan 2 kohdan kolmannessa alakohdassa säädetään, osallistuvan jäsenvaltion hankintaviranomainen voi tehdä puitejärjestelyssä tai sopimuksessa vahvistettuihin määriin huomattavia muutoksia, joiden ennakoitu arvo ylittää direktiivin 2009/81/EY 8 artiklassa säädetyt kynnysarvot, jos puitejärjestely tai sopimus on tehty sellaisen yrityksen kanssa, joka täyttää tämän asetuksen 13 artiklan 4 ja 5 kohdassa säädettyjä perusteita vastaavat perusteet, ja jos muutos on ehdottoman välttämätön tämän artiklan 2 kohdan soveltamiseksi.</w:t>
      </w:r>
    </w:p>
    <w:p w14:paraId="0A824EC4" w14:textId="77777777" w:rsidR="00631DF6" w:rsidRPr="008F5D5C" w:rsidRDefault="00631DF6" w:rsidP="00717586">
      <w:pPr>
        <w:pStyle w:val="LegalNumPar"/>
        <w:numPr>
          <w:ilvl w:val="0"/>
          <w:numId w:val="30"/>
        </w:numPr>
        <w:rPr>
          <w:noProof/>
        </w:rPr>
      </w:pPr>
      <w:r w:rsidRPr="008F5D5C">
        <w:t>Edellä 3 kohdassa tarkoitetun arvon laskemista varten tarkistettu arvo on viitearvo, kun hankintasopimukseen sisältyy indeksilauseke.</w:t>
      </w:r>
    </w:p>
    <w:p w14:paraId="44145E57" w14:textId="77777777" w:rsidR="00631DF6" w:rsidRPr="008F5D5C" w:rsidRDefault="00631DF6" w:rsidP="00717586">
      <w:pPr>
        <w:pStyle w:val="LegalNumPar"/>
        <w:numPr>
          <w:ilvl w:val="0"/>
          <w:numId w:val="30"/>
        </w:numPr>
        <w:rPr>
          <w:noProof/>
        </w:rPr>
      </w:pPr>
      <w:r w:rsidRPr="008F5D5C">
        <w:t xml:space="preserve">Hankintaviranomaisen, joka on muuttanut puitejärjestelyä tai sopimusta tämän artiklan 2 tai 3 kohdassa tarkoitetuissa tapauksissa, on julkaistava tätä koskeva ilmoitus </w:t>
      </w:r>
      <w:r w:rsidRPr="008F5D5C">
        <w:rPr>
          <w:i/>
        </w:rPr>
        <w:t>Euroopan unionin virallisessa lehdessä</w:t>
      </w:r>
      <w:r w:rsidRPr="008F5D5C">
        <w:t xml:space="preserve"> direktiivin 2009/81/EY 32 artiklan mukaisesti.</w:t>
      </w:r>
    </w:p>
    <w:p w14:paraId="2988C3DD" w14:textId="44BEBCE8" w:rsidR="00867131" w:rsidRPr="00867131" w:rsidRDefault="00631DF6" w:rsidP="00867131">
      <w:pPr>
        <w:pStyle w:val="LegalNumPar"/>
        <w:numPr>
          <w:ilvl w:val="0"/>
          <w:numId w:val="30"/>
        </w:numPr>
        <w:rPr>
          <w:noProof/>
        </w:rPr>
      </w:pPr>
      <w:r w:rsidRPr="008F5D5C">
        <w:t>Edellä 2 ja 3 kohdassa tarkoitetuissa tapauksissa puitejärjestelyn tai hankintasopimuksen osapuolina oleviin hankintaviranomaisiin sovelletaan yhtäläisten oikeuksien ja velvollisuuksien periaatetta, erityisesti hankittujen lisämäärien kustannusten osalta.</w:t>
      </w:r>
    </w:p>
    <w:bookmarkEnd w:id="0"/>
    <w:bookmarkEnd w:id="1"/>
    <w:p w14:paraId="30C98FC6" w14:textId="5C4CFF6A" w:rsidR="00344F69" w:rsidRPr="00A02E61" w:rsidRDefault="00344F69" w:rsidP="0014092D">
      <w:pPr>
        <w:pStyle w:val="Titrearticle"/>
        <w:rPr>
          <w:b/>
          <w:bCs/>
          <w:noProof/>
        </w:rPr>
      </w:pPr>
      <w:r w:rsidRPr="00A02E61">
        <w:lastRenderedPageBreak/>
        <w:t xml:space="preserve">19 artikla </w:t>
      </w:r>
      <w:r w:rsidRPr="00A02E61">
        <w:br/>
      </w:r>
      <w:r w:rsidRPr="00A02E61">
        <w:rPr>
          <w:b/>
        </w:rPr>
        <w:t>Puolustustarvikkeiden vapaaehtoinen priorisointi</w:t>
      </w:r>
    </w:p>
    <w:p w14:paraId="3F9D746C" w14:textId="77777777" w:rsidR="00B36D02" w:rsidRPr="00A02E61" w:rsidRDefault="00B36D02" w:rsidP="00717586">
      <w:pPr>
        <w:pStyle w:val="LegalNumPar"/>
        <w:numPr>
          <w:ilvl w:val="0"/>
          <w:numId w:val="31"/>
        </w:numPr>
        <w:rPr>
          <w:noProof/>
        </w:rPr>
      </w:pPr>
      <w:r w:rsidRPr="00A02E61">
        <w:t xml:space="preserve">Jos Ukraina kohtaa vakavia vaikeuksia sellaisten kiireellisesti tarvittavia puolustustarvikkeita koskevien toimitussopimusten tekemisessä tai niiden täytäntöönpanossa, jotka täyttävät 13 artiklan 4 tai 5 kohdassa säädetyt tukikelpoisuusvaatimukset, talouden toimija ja osallistuva jäsenvaltio, jonka alueella talouden toimijan tuotantopaikka sijaitsee, voivat yksinomaan tämän asetuksen soveltamiseksi esittää komissiolle yhdessä pyynnön ottaa käyttöön priorisointitoimenpide, jotta kyseinen talouden toimija asettaa etusijalle tietyn tilauksen, joka koskee kyseisiä sen valmistamia tarvikkeita. </w:t>
      </w:r>
    </w:p>
    <w:p w14:paraId="168836BE" w14:textId="77777777" w:rsidR="00B36D02" w:rsidRPr="00A02E61" w:rsidRDefault="00B36D02" w:rsidP="00717586">
      <w:pPr>
        <w:pStyle w:val="LegalNumPar"/>
        <w:numPr>
          <w:ilvl w:val="0"/>
          <w:numId w:val="31"/>
        </w:numPr>
        <w:rPr>
          <w:noProof/>
        </w:rPr>
      </w:pPr>
      <w:r w:rsidRPr="00A02E61">
        <w:t>Edellä 1 kohdassa tarkoitetun pyynnön on sisällettävä seuraavat:</w:t>
      </w:r>
    </w:p>
    <w:p w14:paraId="02A8D2E5" w14:textId="77777777" w:rsidR="00B36D02" w:rsidRPr="00A02E61" w:rsidRDefault="00B36D02" w:rsidP="008C4D5C">
      <w:pPr>
        <w:pStyle w:val="LegalNumPar2"/>
        <w:rPr>
          <w:noProof/>
        </w:rPr>
      </w:pPr>
      <w:r w:rsidRPr="00A02E61">
        <w:t>Ukrainan alkuperäinen pyyntö;</w:t>
      </w:r>
    </w:p>
    <w:p w14:paraId="21AF53B1" w14:textId="77777777" w:rsidR="00B36D02" w:rsidRPr="00A02E61" w:rsidRDefault="00B36D02" w:rsidP="008C4D5C">
      <w:pPr>
        <w:pStyle w:val="LegalNumPar2"/>
        <w:rPr>
          <w:noProof/>
        </w:rPr>
      </w:pPr>
      <w:r w:rsidRPr="00A02E61">
        <w:t>Luettelo tuotteista, joihin priorisointitoimenpidettä on määrä soveltaa, tuotteiden eritelmät ja toimitettavat määrät;</w:t>
      </w:r>
    </w:p>
    <w:p w14:paraId="5E2A5F21" w14:textId="77777777" w:rsidR="00B36D02" w:rsidRPr="00A02E61" w:rsidRDefault="00B36D02" w:rsidP="008C4D5C">
      <w:pPr>
        <w:pStyle w:val="LegalNumPar2"/>
        <w:rPr>
          <w:noProof/>
        </w:rPr>
      </w:pPr>
      <w:r w:rsidRPr="00A02E61">
        <w:t>Määräajat, joiden kuluessa tuotteet on toimitettava;</w:t>
      </w:r>
    </w:p>
    <w:p w14:paraId="1A905DD1" w14:textId="77777777" w:rsidR="00B36D02" w:rsidRPr="00A02E61" w:rsidRDefault="00B36D02" w:rsidP="008C4D5C">
      <w:pPr>
        <w:pStyle w:val="LegalNumPar2"/>
        <w:rPr>
          <w:noProof/>
        </w:rPr>
      </w:pPr>
      <w:r w:rsidRPr="00A02E61">
        <w:t>Todisteet siitä, että talouden toimija ei voi täyttää a alakohdassa tarkoitettua Ukrainan pyyntöä ilman priorisointitoimenpidettä;</w:t>
      </w:r>
    </w:p>
    <w:p w14:paraId="2F6BD2D3" w14:textId="77777777" w:rsidR="00B36D02" w:rsidRPr="00A02E61" w:rsidRDefault="00B36D02" w:rsidP="008C4D5C">
      <w:pPr>
        <w:pStyle w:val="LegalNumPar2"/>
        <w:rPr>
          <w:noProof/>
        </w:rPr>
      </w:pPr>
      <w:r w:rsidRPr="00A02E61">
        <w:t>Maininta käyvästä ja kohtuullisesta hinnasta, jolla priorisointitoimenpide voitaisiin tehdä, sekä seikat, joihin hinta perustuu.</w:t>
      </w:r>
    </w:p>
    <w:p w14:paraId="5683AF75" w14:textId="77777777" w:rsidR="00B36D02" w:rsidRPr="00A02E61" w:rsidRDefault="00B36D02" w:rsidP="00910646">
      <w:pPr>
        <w:pStyle w:val="LegalNumPar"/>
        <w:rPr>
          <w:noProof/>
        </w:rPr>
      </w:pPr>
      <w:r w:rsidRPr="00A02E61">
        <w:t xml:space="preserve">Vastaanotettuaan 1 kohdassa tarkoitetun pyynnön komissio arvioi sen ilman aiheetonta viivytystä. </w:t>
      </w:r>
    </w:p>
    <w:p w14:paraId="14EF0E4C" w14:textId="77777777" w:rsidR="00B36D02" w:rsidRPr="00A02E61" w:rsidRDefault="00B36D02" w:rsidP="00910646">
      <w:pPr>
        <w:pStyle w:val="LegalNumPar"/>
        <w:rPr>
          <w:noProof/>
        </w:rPr>
      </w:pPr>
      <w:r w:rsidRPr="00A02E61">
        <w:t>Komissio perustaa 3 kohdassa tarkoitetun arviointinsa objektiiviseen, tosiasioihin perustuvaan, mitattavissa olevaan ja perusteltuun dataan, jotta voidaan määrittää, onko tällainen priorisointi 1 kohdassa tarkoitettujen vakavien vaikeuksien vuoksi välttämätöntä.</w:t>
      </w:r>
    </w:p>
    <w:p w14:paraId="32043794" w14:textId="77777777" w:rsidR="00B36D02" w:rsidRPr="00A02E61" w:rsidRDefault="00B36D02" w:rsidP="00910646">
      <w:pPr>
        <w:pStyle w:val="LegalNumPar"/>
        <w:rPr>
          <w:noProof/>
        </w:rPr>
      </w:pPr>
      <w:r w:rsidRPr="00A02E61">
        <w:t>Jos 3 kohdassa tarkoitetussa arvioinnissa todetaan, että priorisointi on välttämätöntä, komissio hyväksyy priorisointitoimenpiteen täytäntöönpanosäädöksellä, jossa esitetään</w:t>
      </w:r>
    </w:p>
    <w:p w14:paraId="66D4E48E" w14:textId="77777777" w:rsidR="00B36D02" w:rsidRPr="00A02E61" w:rsidRDefault="00B36D02" w:rsidP="00910646">
      <w:pPr>
        <w:pStyle w:val="LegalNumPar2"/>
        <w:rPr>
          <w:noProof/>
        </w:rPr>
      </w:pPr>
      <w:r w:rsidRPr="00A02E61">
        <w:t>ensisijaiseksi luokitellun pyynnön oikeusperusta, jota talouden toimijan on noudatettava;</w:t>
      </w:r>
    </w:p>
    <w:p w14:paraId="105119D8" w14:textId="77777777" w:rsidR="00B36D02" w:rsidRPr="00A02E61" w:rsidRDefault="00B36D02" w:rsidP="00910646">
      <w:pPr>
        <w:pStyle w:val="LegalNumPar2"/>
        <w:rPr>
          <w:noProof/>
        </w:rPr>
      </w:pPr>
      <w:r w:rsidRPr="00A02E61">
        <w:t>luettelo tuotteista, joihin ensisijaiseksi luokiteltua pyyntöä on tarkoitus soveltaa, tuotteiden eritelmät ja toimitettavat määrät;</w:t>
      </w:r>
    </w:p>
    <w:p w14:paraId="1259296C" w14:textId="77777777" w:rsidR="00B36D02" w:rsidRPr="00A02E61" w:rsidRDefault="00B36D02" w:rsidP="00910646">
      <w:pPr>
        <w:pStyle w:val="LegalNumPar2"/>
        <w:rPr>
          <w:noProof/>
        </w:rPr>
      </w:pPr>
      <w:r w:rsidRPr="00A02E61">
        <w:lastRenderedPageBreak/>
        <w:t>määräajat, joiden kuluessa ensisijaiseksi luokiteltu pyyntö on täytettävä;</w:t>
      </w:r>
    </w:p>
    <w:p w14:paraId="0196BF53" w14:textId="77777777" w:rsidR="00B36D02" w:rsidRPr="00A02E61" w:rsidRDefault="00B36D02" w:rsidP="00910646">
      <w:pPr>
        <w:pStyle w:val="LegalNumPar2"/>
        <w:rPr>
          <w:noProof/>
        </w:rPr>
      </w:pPr>
      <w:r w:rsidRPr="00A02E61">
        <w:t>ensisijaiseksi luokitellun pyynnön edunsaajat;</w:t>
      </w:r>
    </w:p>
    <w:p w14:paraId="0F367147" w14:textId="77777777" w:rsidR="00B36D02" w:rsidRPr="00A02E61" w:rsidRDefault="00B36D02" w:rsidP="00910646">
      <w:pPr>
        <w:pStyle w:val="LegalNumPar2"/>
        <w:rPr>
          <w:noProof/>
        </w:rPr>
      </w:pPr>
      <w:r w:rsidRPr="00A02E61">
        <w:t>sopimusvelvoitteet, joiden edelle ensisijaiseksi luokiteltu pyyntö on asetettava;</w:t>
      </w:r>
    </w:p>
    <w:p w14:paraId="36A46505" w14:textId="77777777" w:rsidR="00B36D02" w:rsidRPr="00A02E61" w:rsidRDefault="00B36D02" w:rsidP="00910646">
      <w:pPr>
        <w:pStyle w:val="LegalNumPar2"/>
        <w:rPr>
          <w:noProof/>
        </w:rPr>
      </w:pPr>
      <w:r w:rsidRPr="00A02E61">
        <w:t>sopimusperusteisesta vastuusta vapautuminen tämän artiklan 7 kohdassa säädetyin edellytyksin; ja</w:t>
      </w:r>
    </w:p>
    <w:p w14:paraId="5BC446F2" w14:textId="77777777" w:rsidR="00910646" w:rsidRPr="00A02E61" w:rsidRDefault="00B36D02" w:rsidP="00910646">
      <w:pPr>
        <w:pStyle w:val="LegalNumPar2"/>
        <w:rPr>
          <w:noProof/>
        </w:rPr>
      </w:pPr>
      <w:r w:rsidRPr="00A02E61">
        <w:t>tämän artiklan 12–18 kohdassa säädetyt seuraamukset kyseisestä täytäntöönpanosäädöksestä johtuvien velvoitteiden noudattamatta jättämisestä.</w:t>
      </w:r>
    </w:p>
    <w:p w14:paraId="13E29712" w14:textId="18905E98" w:rsidR="00B36D02" w:rsidRPr="00A02E61" w:rsidRDefault="00B36D02" w:rsidP="00910646">
      <w:pPr>
        <w:pStyle w:val="LegalNumPar2"/>
        <w:numPr>
          <w:ilvl w:val="0"/>
          <w:numId w:val="0"/>
        </w:numPr>
        <w:ind w:left="953"/>
        <w:rPr>
          <w:noProof/>
        </w:rPr>
      </w:pPr>
      <w:r w:rsidRPr="00A02E61">
        <w:t>Tämän kohdan ensimmäisessä alakohdassa tarkoitettu täytäntöönpanosäädös hyväksytään 27 artiklan 3 kohdassa tarkoitettua tarkastelumenettelyä noudattaen.</w:t>
      </w:r>
    </w:p>
    <w:p w14:paraId="76CA4941" w14:textId="77777777" w:rsidR="00B36D02" w:rsidRPr="00A02E61" w:rsidRDefault="00B36D02" w:rsidP="00910646">
      <w:pPr>
        <w:pStyle w:val="LegalNumPar"/>
        <w:rPr>
          <w:noProof/>
        </w:rPr>
      </w:pPr>
      <w:r w:rsidRPr="00A02E61">
        <w:t xml:space="preserve">Edellä 5 kohdassa tarkoitettua priorisointitoimenpidettä koskevat seuraavat vaatimukset: </w:t>
      </w:r>
    </w:p>
    <w:p w14:paraId="496939E6" w14:textId="77777777" w:rsidR="00B36D02" w:rsidRPr="00A02E61" w:rsidRDefault="00B36D02" w:rsidP="00910646">
      <w:pPr>
        <w:pStyle w:val="LegalNumPar2"/>
        <w:rPr>
          <w:noProof/>
        </w:rPr>
      </w:pPr>
      <w:r w:rsidRPr="00A02E61">
        <w:t xml:space="preserve">hinnan on oltava käypä ja kohtuullinen ottaen asianmukaisesti huomioon talouden toimijan vaihtoehtokustannukset suhteessa voimassa oleviin sopimusvelvoitteisiin, kun se noudattaa priorisointitoimenpidettä; ja </w:t>
      </w:r>
    </w:p>
    <w:p w14:paraId="64DF0CFC" w14:textId="77777777" w:rsidR="00B36D02" w:rsidRPr="00A02E61" w:rsidRDefault="00B36D02" w:rsidP="00910646">
      <w:pPr>
        <w:pStyle w:val="LegalNumPar2"/>
        <w:rPr>
          <w:noProof/>
        </w:rPr>
      </w:pPr>
      <w:r w:rsidRPr="00A02E61">
        <w:t>priorisointitoimenpiteen on oltava etusijalla kaikkiin sen kohteena oleviin puolustustarvikkeisiin liittyviin yksityis- tai julkisoikeudellisiin sopimusvelvoitteisiin nähden 5 kohdassa tarkoitetussa täytäntöönpanosäädöksessä vahvistetuin edellytyksin.</w:t>
      </w:r>
    </w:p>
    <w:p w14:paraId="5C0216FB" w14:textId="77777777" w:rsidR="00B36D02" w:rsidRPr="00A02E61" w:rsidRDefault="00B36D02" w:rsidP="00910646">
      <w:pPr>
        <w:pStyle w:val="LegalNumPar"/>
        <w:rPr>
          <w:noProof/>
        </w:rPr>
      </w:pPr>
      <w:r w:rsidRPr="00A02E61">
        <w:t>Talouden toimija, joka on 5 kohdassa tarkoitetun priorisointitoimenpiteen kohteena, ei ole vastuussa osallistuvan jäsenvaltion lainsäädännön soveltamisalaan kuuluvan sopimusvelvoitteen rikkomisesta edellyttäen, että</w:t>
      </w:r>
    </w:p>
    <w:p w14:paraId="5738898D" w14:textId="77777777" w:rsidR="00B36D02" w:rsidRPr="00A02E61" w:rsidRDefault="00B36D02" w:rsidP="00910646">
      <w:pPr>
        <w:pStyle w:val="LegalNumPar2"/>
        <w:rPr>
          <w:noProof/>
        </w:rPr>
      </w:pPr>
      <w:r w:rsidRPr="00A02E61">
        <w:t>sopimusvelvoitteen rikkominen on ehdottoman välttämätöntä vaaditun priorisoinnin noudattamiseksi;</w:t>
      </w:r>
    </w:p>
    <w:p w14:paraId="2F01D56B" w14:textId="77777777" w:rsidR="00B36D02" w:rsidRPr="00A02E61" w:rsidRDefault="00B36D02" w:rsidP="00910646">
      <w:pPr>
        <w:pStyle w:val="LegalNumPar2"/>
        <w:rPr>
          <w:noProof/>
        </w:rPr>
      </w:pPr>
      <w:r w:rsidRPr="00A02E61">
        <w:t>5 kohdassa tarkoitettua täytäntöönpanosäädöstä on noudatettu; ja</w:t>
      </w:r>
    </w:p>
    <w:p w14:paraId="746532A0" w14:textId="77777777" w:rsidR="00B36D02" w:rsidRPr="00A02E61" w:rsidRDefault="00B36D02" w:rsidP="00910646">
      <w:pPr>
        <w:pStyle w:val="LegalNumPar2"/>
        <w:rPr>
          <w:noProof/>
        </w:rPr>
      </w:pPr>
      <w:r w:rsidRPr="00A02E61">
        <w:t>1 kohdassa tarkoitetun pyynnön yksinomaisena tarkoituksena ei ole ollut välttää perusteettomasti aiempaa yksityis- tai julkisoikeudellista suoritusvelvoitetta.</w:t>
      </w:r>
    </w:p>
    <w:p w14:paraId="69540C46" w14:textId="77777777" w:rsidR="00B36D02" w:rsidRPr="00A02E61" w:rsidRDefault="00B36D02" w:rsidP="00910646">
      <w:pPr>
        <w:pStyle w:val="LegalNumPar"/>
        <w:rPr>
          <w:noProof/>
        </w:rPr>
      </w:pPr>
      <w:r w:rsidRPr="00A02E61">
        <w:t>Talouden toimija, joka on priorisointitoimenpiteen kohteena, voi pyytää komissiota muuttamaan 5 kohdassa tarkoitettua täytäntöönpanosäädöstä, jos se katsoo sen olevan asianmukaisesti perusteltua jostakin seuraavista syistä:</w:t>
      </w:r>
    </w:p>
    <w:p w14:paraId="5867C5DA" w14:textId="77777777" w:rsidR="00B36D02" w:rsidRPr="00A02E61" w:rsidRDefault="00B36D02" w:rsidP="00910646">
      <w:pPr>
        <w:pStyle w:val="LegalNumPar2"/>
        <w:rPr>
          <w:noProof/>
        </w:rPr>
      </w:pPr>
      <w:r w:rsidRPr="00A02E61">
        <w:lastRenderedPageBreak/>
        <w:t>talouden toimija ei pysty suorittamaan priorisointitoimenpidettä riittämättömän tuotantovalmiuden tai tuotantokapasiteetin vuoksi, vaikka pyyntöön sovellettaisiin erityiskohtelua;</w:t>
      </w:r>
    </w:p>
    <w:p w14:paraId="201E0FAB" w14:textId="77777777" w:rsidR="00B36D02" w:rsidRPr="00A02E61" w:rsidRDefault="00B36D02" w:rsidP="00910646">
      <w:pPr>
        <w:pStyle w:val="LegalNumPar2"/>
        <w:rPr>
          <w:noProof/>
        </w:rPr>
      </w:pPr>
      <w:r w:rsidRPr="00A02E61">
        <w:t>priorisointitoimenpiteen suorittaminen aiheuttaisi talouden toimijalle kohtuuttoman taloudellisen rasitteen ja erityisiä vaikeuksia.</w:t>
      </w:r>
    </w:p>
    <w:p w14:paraId="3C4BD3EF" w14:textId="77777777" w:rsidR="00B36D02" w:rsidRPr="00A02E61" w:rsidRDefault="00B36D02" w:rsidP="00910646">
      <w:pPr>
        <w:pStyle w:val="LegalNumPar"/>
        <w:rPr>
          <w:noProof/>
        </w:rPr>
      </w:pPr>
      <w:r w:rsidRPr="00A02E61">
        <w:t>Talouden toimijan on annettava komissiolle kaikki asiaankuuluvat ja perustellut tiedot, jotta komissio voi arvioida 8 kohdassa tarkoitetun muutospyynnön aiheellisuuden.</w:t>
      </w:r>
    </w:p>
    <w:p w14:paraId="440E563C" w14:textId="77777777" w:rsidR="00B36D02" w:rsidRPr="00A02E61" w:rsidRDefault="00B36D02" w:rsidP="00910646">
      <w:pPr>
        <w:pStyle w:val="LegalNumPar"/>
        <w:rPr>
          <w:noProof/>
        </w:rPr>
      </w:pPr>
      <w:r w:rsidRPr="00A02E61">
        <w:t>Tutkittuaan talouden toimijan esittämät perustelut ja todisteet sekä kuultuaan osallistuvaa jäsenvaltiota, jonka alueella talouden toimijan asianomainen tuotantopaikka sijaitsee, ja saatuaan siltä ennakkosuostumuksen komissio voi muuttaa täytäntöönpanosäädöstään vapauttaakseen kyseisen talouden toimijan osittain tai kokonaan tämän artiklan mukaisista velvoitteista.</w:t>
      </w:r>
    </w:p>
    <w:p w14:paraId="750F108A" w14:textId="77777777" w:rsidR="00B36D02" w:rsidRPr="00A02E61" w:rsidRDefault="00B36D02" w:rsidP="00910646">
      <w:pPr>
        <w:pStyle w:val="LegalNumPar"/>
        <w:rPr>
          <w:noProof/>
        </w:rPr>
      </w:pPr>
      <w:r w:rsidRPr="00A02E61">
        <w:t>Jos talouden toimija sen jälkeen, kun se on nimenomaisesti hyväksynyt komission pyytämien tilausten asettamisen etusijalle, tahallaan tai törkeästä huolimattomuudesta jättää noudattamatta velvoitetta asettaa ne etusijalle, sille on määrättävä tämän artiklan 12–18 kohdassa säädettyjä sakkoja, paitsi jos</w:t>
      </w:r>
    </w:p>
    <w:p w14:paraId="5DFA68AE" w14:textId="77777777" w:rsidR="00B36D02" w:rsidRPr="00A02E61" w:rsidRDefault="00B36D02" w:rsidP="00910646">
      <w:pPr>
        <w:pStyle w:val="LegalNumPar2"/>
        <w:rPr>
          <w:noProof/>
        </w:rPr>
      </w:pPr>
      <w:r w:rsidRPr="00A02E61">
        <w:t>talouden toimija ei pysty toteuttamaan ensisijaiseksi luokiteltua pyyntöä riittämättömän tuotantovalmiuden tai tuotantokapasiteetin vuoksi taikka teknisistä syistä; tai</w:t>
      </w:r>
    </w:p>
    <w:p w14:paraId="6A8EC070" w14:textId="77777777" w:rsidR="00B36D02" w:rsidRPr="00A02E61" w:rsidRDefault="00B36D02" w:rsidP="00910646">
      <w:pPr>
        <w:pStyle w:val="LegalNumPar2"/>
        <w:rPr>
          <w:noProof/>
        </w:rPr>
      </w:pPr>
      <w:r w:rsidRPr="00A02E61">
        <w:t>pyynnön toteuttaminen tai loppuun saattaminen aiheuttaisi talouden toimijalle kohtuuttoman taloudellisen rasitteen ja erityisiä vaikeuksia, liiketoiminnan jatkuvuuteen liittyvät merkittävät riskit mukaan lukien.</w:t>
      </w:r>
    </w:p>
    <w:p w14:paraId="017971BE" w14:textId="77777777" w:rsidR="00B36D02" w:rsidRPr="00A02E61" w:rsidRDefault="00B36D02" w:rsidP="00910646">
      <w:pPr>
        <w:pStyle w:val="LegalNumPar2"/>
        <w:numPr>
          <w:ilvl w:val="0"/>
          <w:numId w:val="0"/>
        </w:numPr>
        <w:ind w:left="953"/>
        <w:rPr>
          <w:noProof/>
        </w:rPr>
      </w:pPr>
      <w:r w:rsidRPr="00A02E61">
        <w:t>Sakoista saatavat tulot ovat asetuksen (EU, Euratom) 2024/2509 21 artiklan 5 kohdassa tarkoitettuja ulkoisia käyttötarkoitukseensa sidottuja tuloja, jotka osoitetaan ulkoisen avun ohjelmaan, jonka puitteissa Ukraina on tukikelpoinen.</w:t>
      </w:r>
    </w:p>
    <w:p w14:paraId="2B0D2C77" w14:textId="77777777" w:rsidR="001C7187" w:rsidRPr="00A02E61" w:rsidRDefault="00C2596A" w:rsidP="00910646">
      <w:pPr>
        <w:pStyle w:val="LegalNumPar"/>
        <w:rPr>
          <w:noProof/>
        </w:rPr>
      </w:pPr>
      <w:r w:rsidRPr="00A02E61">
        <w:t xml:space="preserve">Jos komissio katsoo sen tarpeelliseksi ja oikeasuhteiseksi, se voi täytäntöönpanosäädöksillä määrätä talouden toimijoille enintään 300 000 euron sakkoja, jos talouden toimija tahallaan tai törkeästä huolimattomuudesta jättää noudattamatta velvoitetta toteuttaa tässä artiklassa tarkoitettu ensisijaiseksi luokiteltu pyyntö. </w:t>
      </w:r>
    </w:p>
    <w:p w14:paraId="336F8BAD" w14:textId="7589B958" w:rsidR="00C2596A" w:rsidRPr="00A02E61" w:rsidRDefault="00C2596A" w:rsidP="00910646">
      <w:pPr>
        <w:pStyle w:val="LegalNumPar"/>
        <w:numPr>
          <w:ilvl w:val="0"/>
          <w:numId w:val="0"/>
        </w:numPr>
        <w:ind w:left="476"/>
        <w:rPr>
          <w:noProof/>
        </w:rPr>
      </w:pPr>
      <w:r w:rsidRPr="00A02E61">
        <w:t>Tämän kohdan ensimmäisessä alakohdassa tarkoitetut täytäntöönpanosäädökset hyväksytään 27 artiklan 3 kohdassa tarkoitettua tarkastelumenettelyä noudattaen.</w:t>
      </w:r>
    </w:p>
    <w:p w14:paraId="594E44E6" w14:textId="77777777" w:rsidR="00C2596A" w:rsidRPr="00A02E61" w:rsidRDefault="00C2596A" w:rsidP="00910646">
      <w:pPr>
        <w:pStyle w:val="LegalNumPar"/>
        <w:rPr>
          <w:noProof/>
        </w:rPr>
      </w:pPr>
      <w:r w:rsidRPr="00A02E61">
        <w:lastRenderedPageBreak/>
        <w:t>Ennen kuin komissio tekee 12 artiklan nojalla päätöksen, se antaa asianomaiselle talouden toimijalle tilaisuuden tulla kuulluksi 15 kohdan mukaisesti. Komissio ottaa huomioon kaikki talouden toimijan esittämät asianmukaiset perustelut määrittääkseen, pidetäänkö sakkoja tarpeellisina ja oikeasuhteisina.</w:t>
      </w:r>
    </w:p>
    <w:p w14:paraId="2AB613F8" w14:textId="77777777" w:rsidR="00C2596A" w:rsidRPr="00A02E61" w:rsidRDefault="00C2596A" w:rsidP="00910646">
      <w:pPr>
        <w:pStyle w:val="LegalNumPar"/>
        <w:rPr>
          <w:noProof/>
        </w:rPr>
      </w:pPr>
      <w:r w:rsidRPr="00A02E61">
        <w:t>Sakon suuruutta määrätessään komissio ottaa huomioon noudattamatta jättämisen luonteen, vakavuuden ja keston sekä sen, onko talouden toimija osittain noudattanut ensisijaiseksi luokiteltua tilausta tai ensisijaiseksi luokiteltua pyyntöä.</w:t>
      </w:r>
    </w:p>
    <w:p w14:paraId="2628DC2C" w14:textId="77777777" w:rsidR="00C2596A" w:rsidRPr="00A02E61" w:rsidRDefault="00C2596A" w:rsidP="00910646">
      <w:pPr>
        <w:pStyle w:val="LegalNumPar"/>
        <w:rPr>
          <w:noProof/>
        </w:rPr>
      </w:pPr>
      <w:r w:rsidRPr="00A02E61">
        <w:t>Ennen kuin komissio tekee 12 artiklan nojalla päätöksen, se varmistaa, että asianomaisille talouden toimijoille on annettu mahdollisuus esittää huomautuksia seuraavista:</w:t>
      </w:r>
    </w:p>
    <w:p w14:paraId="08935DFA" w14:textId="77777777" w:rsidR="00C2596A" w:rsidRPr="00A02E61" w:rsidRDefault="00C2596A" w:rsidP="00910646">
      <w:pPr>
        <w:pStyle w:val="LegalNumPar2"/>
        <w:rPr>
          <w:noProof/>
        </w:rPr>
      </w:pPr>
      <w:r w:rsidRPr="00A02E61">
        <w:t>komission alustavat havainnot, mukaan lukien seikat, joista komissio on esittänyt vastalauseita;</w:t>
      </w:r>
    </w:p>
    <w:p w14:paraId="1888F911" w14:textId="77777777" w:rsidR="00C2596A" w:rsidRPr="00A02E61" w:rsidRDefault="00C2596A" w:rsidP="00910646">
      <w:pPr>
        <w:pStyle w:val="LegalNumPar2"/>
        <w:rPr>
          <w:noProof/>
        </w:rPr>
      </w:pPr>
      <w:r w:rsidRPr="00A02E61">
        <w:t>toimenpiteet, jotka komissio saattaa aikoa toteuttaa tämän kohdan a alakohdassa tarkoitettujen alustavien havaintojen perusteella.</w:t>
      </w:r>
    </w:p>
    <w:p w14:paraId="59C7D252" w14:textId="77777777" w:rsidR="00C2596A" w:rsidRPr="00A02E61" w:rsidRDefault="00C2596A" w:rsidP="00910646">
      <w:pPr>
        <w:pStyle w:val="LegalNumPar"/>
        <w:rPr>
          <w:noProof/>
        </w:rPr>
      </w:pPr>
      <w:r w:rsidRPr="00A02E61">
        <w:t>Talouden toimijat voivat esittää komissiolle huomautuksensa komission alustavista havainnoista määräajassa, jonka komissio vahvistaa alustavissa havainnoissaan ja jonka on oltava vähintään 14 työpäivää.</w:t>
      </w:r>
    </w:p>
    <w:p w14:paraId="61DC8920" w14:textId="77777777" w:rsidR="00C2596A" w:rsidRPr="00A02E61" w:rsidRDefault="00C2596A" w:rsidP="00910646">
      <w:pPr>
        <w:pStyle w:val="LegalNumPar"/>
        <w:rPr>
          <w:noProof/>
        </w:rPr>
      </w:pPr>
      <w:r w:rsidRPr="00A02E61">
        <w:t>Komissio määrää sakkoja ainoastaan sellaisten väitteiden perusteella, joista asianomaiset talouden toimijat ovat voineet esittää huomautuksensa.</w:t>
      </w:r>
    </w:p>
    <w:p w14:paraId="64857BB2" w14:textId="77777777" w:rsidR="00C2596A" w:rsidRPr="00A02E61" w:rsidRDefault="00C2596A" w:rsidP="00910646">
      <w:pPr>
        <w:pStyle w:val="LegalNumPar"/>
        <w:rPr>
          <w:noProof/>
        </w:rPr>
      </w:pPr>
      <w:r w:rsidRPr="00A02E61">
        <w:t>Jos komissio on ilmoittanut talouden toimijoille 15 kohdassa tarkoitetuista alustavista havainnoistaan, se antaa pyydettäessä oikeuden tutustua komission asiakirja-aineistoon neuvotellun tietojen julkistamisen ehtojen mukaisesti, sanotun kuitenkaan rajoittamatta talouden toimijoiden oikeutettua etua suojella liikesalaisuuksiaan tai muun henkilön liikesalaisuuksia tai muita luottamuksellisia tietoja. Oikeus tutustua asiakirja-aineistoon ei ulotu luottamuksellisiin tietoihin eikä komission tai osallistuvien jäsenvaltioiden viranomaisten sisäisiin asiakirjoihin, kuten komission ja osallistuvien jäsenvaltioiden viranomaisten väliseen kirjeenvaihtoon. Mikään tässä kohdassa säädetty seikka ei estä komissiota paljastamasta ja käyttämästä tietoja, jotka ovat tarpeen noudattamatta jättämisen todistamiseksi.</w:t>
      </w:r>
    </w:p>
    <w:p w14:paraId="6FE74B28" w14:textId="77777777" w:rsidR="00344F69" w:rsidRPr="00A02E61" w:rsidRDefault="00C2596A" w:rsidP="00272BF7">
      <w:pPr>
        <w:pStyle w:val="LegalNumPar"/>
        <w:rPr>
          <w:noProof/>
        </w:rPr>
      </w:pPr>
      <w:r w:rsidRPr="00A02E61">
        <w:t>Tällä artiklalla ei rajoiteta osallistuvien jäsenvaltioiden oikeuksia suojata keskeisiä turvallisuusetujaan Euroopan unionin toiminnasta tehdyn sopimuksen 346 artiklan 1 kohdan b alakohdan mukaisesti.</w:t>
      </w:r>
    </w:p>
    <w:p w14:paraId="529A56A2" w14:textId="4BBC18E6" w:rsidR="00344F69" w:rsidRPr="00A02E61" w:rsidRDefault="00344F69" w:rsidP="00272BF7">
      <w:pPr>
        <w:pStyle w:val="ChapterTitle"/>
        <w:rPr>
          <w:noProof/>
        </w:rPr>
      </w:pPr>
      <w:bookmarkStart w:id="22" w:name="_Hlk211705499"/>
      <w:r w:rsidRPr="00A02E61">
        <w:lastRenderedPageBreak/>
        <w:t>LUKU V</w:t>
      </w:r>
      <w:r w:rsidRPr="00A02E61">
        <w:br/>
        <w:t>RAHOITUS JA TÄYTÄNTÖÖNPANO</w:t>
      </w:r>
    </w:p>
    <w:bookmarkEnd w:id="22"/>
    <w:p w14:paraId="75176F8B" w14:textId="3D6E7CBA" w:rsidR="00344F69" w:rsidRPr="00A02E61" w:rsidRDefault="00344F69" w:rsidP="0014092D">
      <w:pPr>
        <w:pStyle w:val="Titrearticle"/>
        <w:rPr>
          <w:b/>
          <w:noProof/>
        </w:rPr>
      </w:pPr>
      <w:r w:rsidRPr="00A02E61">
        <w:t xml:space="preserve">20 artikla </w:t>
      </w:r>
      <w:r w:rsidRPr="00A02E61">
        <w:br/>
      </w:r>
      <w:r w:rsidRPr="00A02E61">
        <w:rPr>
          <w:b/>
        </w:rPr>
        <w:t>Ukrainan tukilainasopimus</w:t>
      </w:r>
    </w:p>
    <w:p w14:paraId="1F1F1199" w14:textId="77777777" w:rsidR="0075551F" w:rsidRPr="00A02E61" w:rsidRDefault="0075551F" w:rsidP="00717586">
      <w:pPr>
        <w:pStyle w:val="LegalNumPar"/>
        <w:numPr>
          <w:ilvl w:val="0"/>
          <w:numId w:val="37"/>
        </w:numPr>
        <w:rPr>
          <w:noProof/>
        </w:rPr>
      </w:pPr>
      <w:r w:rsidRPr="00A02E61">
        <w:t xml:space="preserve">Ukrainan tukilainan yksityiskohtaiset rahoitusehdot on vahvistettava Ukrainan tukilainasopimuksessa. </w:t>
      </w:r>
    </w:p>
    <w:p w14:paraId="05F2D5DB" w14:textId="77777777" w:rsidR="0075551F" w:rsidRPr="00A02E61" w:rsidRDefault="0075551F" w:rsidP="00A677C2">
      <w:pPr>
        <w:pStyle w:val="LegalNumPar"/>
        <w:rPr>
          <w:noProof/>
        </w:rPr>
      </w:pPr>
      <w:r w:rsidRPr="00A02E61">
        <w:t>Asetuksen (EU, Euratom) 2024/2509 223 artiklan 4 kohdassa säädettyjen seikkojen lisäksi Ukrainan tukilainasopimuksessa on edellytettävä, että</w:t>
      </w:r>
    </w:p>
    <w:p w14:paraId="5002D9AC" w14:textId="0CA733A6" w:rsidR="0075551F" w:rsidRPr="00A02E61" w:rsidRDefault="00535490" w:rsidP="00535490">
      <w:pPr>
        <w:pStyle w:val="Point1"/>
        <w:rPr>
          <w:noProof/>
        </w:rPr>
      </w:pPr>
      <w:r w:rsidRPr="00A02E61">
        <w:t>a)</w:t>
      </w:r>
      <w:r w:rsidRPr="00A02E61">
        <w:tab/>
        <w:t>Ukrainan tukilaina on laina, johon liittyy rajoitettu vastuu ja joka erääntyy maksettavaksi j alakohdassa määritellyn, takaisinmaksun käynnistävän tapahtuman seurauksena;</w:t>
      </w:r>
    </w:p>
    <w:p w14:paraId="18656E48" w14:textId="614AC652" w:rsidR="0075551F" w:rsidRPr="00A02E61" w:rsidRDefault="00535490" w:rsidP="00535490">
      <w:pPr>
        <w:pStyle w:val="Point1"/>
        <w:rPr>
          <w:noProof/>
        </w:rPr>
      </w:pPr>
      <w:r w:rsidRPr="00A02E61">
        <w:t>b)</w:t>
      </w:r>
      <w:r w:rsidRPr="00A02E61">
        <w:tab/>
        <w:t>Ukrainan tukilainan vakuudeksi Ukraina antaa unionille vakuusoikeuden Venäjään kohdistuviin sotakorvausvaatimuksiinsa; Kyseisen vakuusoikeuden arvon on aina oltava yhtä suuri kuin Ukrainan tukilainan puitteissa maksettujen varojen arvo;</w:t>
      </w:r>
    </w:p>
    <w:p w14:paraId="06448EFC" w14:textId="3CC15E48" w:rsidR="0075551F" w:rsidRPr="00A02E61" w:rsidRDefault="00535490" w:rsidP="00535490">
      <w:pPr>
        <w:pStyle w:val="Point1"/>
        <w:rPr>
          <w:noProof/>
        </w:rPr>
      </w:pPr>
      <w:r w:rsidRPr="00A02E61">
        <w:t>c)</w:t>
      </w:r>
      <w:r w:rsidRPr="00A02E61">
        <w:tab/>
        <w:t>Ukrainan tukilainasopimukseen ja siihen sisältyviin varoihin sovelletaan asetuksen (EU) 2024/792 9 artiklassa tarkoitetussa Ukrainan tukivälinettä koskevassa puitesopimuksessa määrättyjä oikeuksia, vastuita ja velvoitteita;</w:t>
      </w:r>
    </w:p>
    <w:p w14:paraId="0F2E1053" w14:textId="603DC527" w:rsidR="0075551F" w:rsidRPr="00A02E61" w:rsidRDefault="00535490" w:rsidP="00535490">
      <w:pPr>
        <w:pStyle w:val="Point1"/>
        <w:rPr>
          <w:noProof/>
        </w:rPr>
      </w:pPr>
      <w:r w:rsidRPr="00A02E61">
        <w:t>d)</w:t>
      </w:r>
      <w:r w:rsidRPr="00A02E61">
        <w:tab/>
        <w:t>8 artiklan 2 kohdan a alakohdan i alakohdassa tarkoitettu tuen määrä pannaan täytäntöön asetuksen (EU) 2024/792 III luvun mukaisesti, lukuun ottamatta lainan kestoa ja takaisinmaksua sekä tukea lainanottokustannuksiin, joihin sovelletaan tämän asetuksen sääntöjä;</w:t>
      </w:r>
    </w:p>
    <w:p w14:paraId="7534EB29" w14:textId="2CC36D1D" w:rsidR="0075551F" w:rsidRPr="00A02E61" w:rsidRDefault="00535490" w:rsidP="00535490">
      <w:pPr>
        <w:pStyle w:val="Point1"/>
        <w:rPr>
          <w:noProof/>
        </w:rPr>
      </w:pPr>
      <w:r w:rsidRPr="00A02E61">
        <w:t>e)</w:t>
      </w:r>
      <w:r w:rsidRPr="00A02E61">
        <w:tab/>
        <w:t>Ukraina käyttää asetuksen (EU) 2024/792 nojalla perustetussa Ukraina-suunnitelmassa ehdotettuja hallinnointi- ja valvontajärjestelmiä, myös mainitun asetuksen 6 artiklan 2 kohdassa tarkoitetun saatavuusajan jälkeen;</w:t>
      </w:r>
    </w:p>
    <w:p w14:paraId="0A2E67C7" w14:textId="1DDAD38B" w:rsidR="0075551F" w:rsidRPr="00A02E61" w:rsidRDefault="00535490" w:rsidP="00535490">
      <w:pPr>
        <w:pStyle w:val="Point1"/>
        <w:rPr>
          <w:noProof/>
        </w:rPr>
      </w:pPr>
      <w:r w:rsidRPr="00A02E61">
        <w:t>f)</w:t>
      </w:r>
      <w:r w:rsidRPr="00A02E61">
        <w:tab/>
        <w:t>komissiolla on oikeus seurata koko hankesyklin ajan tämän asetuksen IV</w:t>
      </w:r>
      <w:r w:rsidR="008B4A45" w:rsidRPr="00A02E61">
        <w:t> </w:t>
      </w:r>
      <w:r w:rsidRPr="00A02E61">
        <w:t>luvussa tarkoitettuja toimia, menoja ja toimenpiteitä, joita Ukrainan viranomaiset toteuttavat;</w:t>
      </w:r>
    </w:p>
    <w:p w14:paraId="314FF5B7" w14:textId="5AD20215" w:rsidR="0075551F" w:rsidRPr="00A02E61" w:rsidRDefault="00535490" w:rsidP="00535490">
      <w:pPr>
        <w:pStyle w:val="Point1"/>
        <w:rPr>
          <w:noProof/>
        </w:rPr>
      </w:pPr>
      <w:r w:rsidRPr="00A02E61">
        <w:t>g)</w:t>
      </w:r>
      <w:r w:rsidRPr="00A02E61">
        <w:tab/>
        <w:t>Ukraina ilmoittaa välittömästi komissiolle, jos Ukrainan tukilainalla rahoitettua sopimusluonnosta ei panna täytäntöön;</w:t>
      </w:r>
    </w:p>
    <w:p w14:paraId="63923EB3" w14:textId="211C6EC3" w:rsidR="0075551F" w:rsidRPr="00A02E61" w:rsidRDefault="00535490" w:rsidP="00535490">
      <w:pPr>
        <w:pStyle w:val="Point1"/>
        <w:rPr>
          <w:noProof/>
        </w:rPr>
      </w:pPr>
      <w:r w:rsidRPr="00A02E61">
        <w:t>h)</w:t>
      </w:r>
      <w:r w:rsidRPr="00A02E61">
        <w:tab/>
        <w:t>Ukraina noudattaa edelleen 5 artiklan 1 kohdassa vahvistettua ennakkoehtoa;</w:t>
      </w:r>
    </w:p>
    <w:p w14:paraId="7C7C5554" w14:textId="0A560577" w:rsidR="0075551F" w:rsidRPr="00A02E61" w:rsidRDefault="00535490" w:rsidP="00535490">
      <w:pPr>
        <w:pStyle w:val="Point1"/>
        <w:rPr>
          <w:noProof/>
        </w:rPr>
      </w:pPr>
      <w:r w:rsidRPr="00A02E61">
        <w:t>i)</w:t>
      </w:r>
      <w:r w:rsidRPr="00A02E61">
        <w:tab/>
        <w:t>Ukraina ei peruuta mitään korruptiontorjuntatoimenpiteitä, joita on toteutettu muiden unionin tai IMF:n nykyisten tai aiempien tukivälineiden avulla;</w:t>
      </w:r>
    </w:p>
    <w:p w14:paraId="48E284D5" w14:textId="5F5C5175" w:rsidR="0075551F" w:rsidRPr="00A02E61" w:rsidRDefault="00535490" w:rsidP="00535490">
      <w:pPr>
        <w:pStyle w:val="Point1"/>
        <w:rPr>
          <w:noProof/>
        </w:rPr>
      </w:pPr>
      <w:r w:rsidRPr="00A02E61">
        <w:t>j)</w:t>
      </w:r>
      <w:r w:rsidRPr="00A02E61">
        <w:tab/>
        <w:t>Ukraina on velvoitettu Ukrainan tukilainan pääoman takaisinmaksuun 30</w:t>
      </w:r>
      <w:r w:rsidR="008B4A45" w:rsidRPr="00A02E61">
        <w:t> </w:t>
      </w:r>
      <w:r w:rsidRPr="00A02E61">
        <w:t xml:space="preserve">päivän kuluessa siitä, kun jokin seuraavista edellytyksistä täyttyy, sillä kukin niistä on tätä asetusta sovellettaessa takaisinmaksun käynnistävä tapahtuma: </w:t>
      </w:r>
    </w:p>
    <w:p w14:paraId="350EA909" w14:textId="77777777" w:rsidR="0075551F" w:rsidRPr="00A02E61" w:rsidRDefault="0075551F" w:rsidP="000571A8">
      <w:pPr>
        <w:pStyle w:val="Text2"/>
        <w:rPr>
          <w:noProof/>
        </w:rPr>
      </w:pPr>
      <w:r w:rsidRPr="00A02E61">
        <w:t>i.</w:t>
      </w:r>
      <w:r w:rsidRPr="00A02E61">
        <w:tab/>
        <w:t>Ukraina on vastaanottanut Venäjältä rahavaroja sotakorvauksina, hyvityksinä tai muuna taloudellisena korvauksena – jolloin takaisinmaksu tällaisen korvauksen määrään asti; tai</w:t>
      </w:r>
    </w:p>
    <w:p w14:paraId="0E7786F4" w14:textId="77777777" w:rsidR="0075551F" w:rsidRPr="00A02E61" w:rsidRDefault="0075551F" w:rsidP="000571A8">
      <w:pPr>
        <w:pStyle w:val="Text2"/>
        <w:rPr>
          <w:noProof/>
        </w:rPr>
      </w:pPr>
      <w:r w:rsidRPr="00A02E61">
        <w:lastRenderedPageBreak/>
        <w:t>ii.</w:t>
      </w:r>
      <w:r w:rsidRPr="00A02E61">
        <w:tab/>
        <w:t>90 päivän kuluttua siitä, kun Ukraina on vastaanottanut Venäjältä muita kuin rahavaroja sotakorvauksina, hyvityksinä tai muuna taloudellisena korvauksena, alueluovutuksia lukuun ottamatta – jolloin takaisinmaksu tällaisen korvauksen määrään asti riippumattoman arvonmäärityksen perusteella. Komissio voi Ukrainan pyynnöstä pidentää tätä määräaikaa, jos se on ehdottoman perusteltua; tai</w:t>
      </w:r>
    </w:p>
    <w:p w14:paraId="1A80F976" w14:textId="77777777" w:rsidR="0075551F" w:rsidRPr="00A02E61" w:rsidRDefault="0075551F" w:rsidP="000571A8">
      <w:pPr>
        <w:pStyle w:val="Text2"/>
        <w:rPr>
          <w:noProof/>
        </w:rPr>
      </w:pPr>
      <w:r w:rsidRPr="00A02E61">
        <w:t>iii.</w:t>
      </w:r>
      <w:r w:rsidRPr="00A02E61">
        <w:tab/>
        <w:t>Ukraina rikkoo h alakohtaa; tai</w:t>
      </w:r>
    </w:p>
    <w:p w14:paraId="60EEEDE5" w14:textId="77777777" w:rsidR="0075551F" w:rsidRPr="00A02E61" w:rsidRDefault="0075551F" w:rsidP="000571A8">
      <w:pPr>
        <w:pStyle w:val="Text2"/>
        <w:rPr>
          <w:noProof/>
        </w:rPr>
      </w:pPr>
      <w:r w:rsidRPr="00A02E61">
        <w:t>iv.</w:t>
      </w:r>
      <w:r w:rsidRPr="00A02E61">
        <w:tab/>
        <w:t>on osoitettu, että Ukraina on Ukrainan tukilainan hallinnoinnissa sekaantunut petokseen, korruptioon tai mihin tahansa muuhun unionin taloudellisia etuja vahingoittavaan laittomaan toimintaan.</w:t>
      </w:r>
    </w:p>
    <w:p w14:paraId="492955B7" w14:textId="0F253446" w:rsidR="0075551F" w:rsidRPr="00A02E61" w:rsidRDefault="00535490" w:rsidP="00535490">
      <w:pPr>
        <w:pStyle w:val="Point1"/>
        <w:rPr>
          <w:noProof/>
        </w:rPr>
      </w:pPr>
      <w:r w:rsidRPr="00A02E61">
        <w:t>k)</w:t>
      </w:r>
      <w:r w:rsidRPr="00A02E61">
        <w:tab/>
        <w:t>Ukraina on velvoitettu Ukrainan tukilainan takaisinmaksuun seuraavasti:</w:t>
      </w:r>
    </w:p>
    <w:p w14:paraId="51CA1A0E" w14:textId="77777777" w:rsidR="0075551F" w:rsidRPr="00A02E61" w:rsidRDefault="0075551F" w:rsidP="000571A8">
      <w:pPr>
        <w:pStyle w:val="Text2"/>
        <w:rPr>
          <w:noProof/>
        </w:rPr>
      </w:pPr>
      <w:r w:rsidRPr="00A02E61">
        <w:t>i.</w:t>
      </w:r>
      <w:r w:rsidRPr="00A02E61">
        <w:tab/>
        <w:t>j alakohdan i ja ii alakohdassa tarkoitetuissa tapauksissa Venäjältä saatujen sotakorvausten, hyvitysten tai muun taloudellisen korvauksen rahallisesta arvosta määrä, joka vastaa sitä osuutta, jonka jäljellä oleva Ukrainan tukilaina muodostaa seuraavien summasta: Ukrainan tukilainasta jäljellä oleva määrä, G7-maiden myöntämistä sotakorvauslainoista jäljellä oleva määrä ja ERA-lainojen puitteissa jäljellä olevien vastuiden määrä;</w:t>
      </w:r>
    </w:p>
    <w:p w14:paraId="51567D5A" w14:textId="77777777" w:rsidR="0075551F" w:rsidRPr="00A02E61" w:rsidRDefault="0075551F" w:rsidP="000571A8">
      <w:pPr>
        <w:pStyle w:val="Text2"/>
        <w:rPr>
          <w:noProof/>
        </w:rPr>
      </w:pPr>
      <w:r w:rsidRPr="00A02E61">
        <w:t>ii.</w:t>
      </w:r>
      <w:r w:rsidRPr="00A02E61">
        <w:tab/>
        <w:t>j alakohdan iii alakohdassa tarkoitetussa tapauksessa Ukrainan tukilainasta jäljellä oleva määrä kokonaisuudessaan;</w:t>
      </w:r>
    </w:p>
    <w:p w14:paraId="7E13BF9B" w14:textId="77777777" w:rsidR="0075551F" w:rsidRPr="00A02E61" w:rsidRDefault="0075551F" w:rsidP="000571A8">
      <w:pPr>
        <w:pStyle w:val="Text2"/>
        <w:rPr>
          <w:noProof/>
        </w:rPr>
      </w:pPr>
      <w:r w:rsidRPr="00A02E61">
        <w:t>iii.</w:t>
      </w:r>
      <w:r w:rsidRPr="00A02E61">
        <w:tab/>
        <w:t>j alakohdan iv alakohdassa tarkoitetussa tapauksessa petoksen, korruption tai unionin taloudellisia etuja vahingoittavan muun laittoman toiminnan rahallista arvoa vastaava määrä;</w:t>
      </w:r>
    </w:p>
    <w:p w14:paraId="56AA9C50" w14:textId="055453F3" w:rsidR="0075551F" w:rsidRPr="00A02E61" w:rsidRDefault="00535490" w:rsidP="00535490">
      <w:pPr>
        <w:pStyle w:val="Point1"/>
        <w:rPr>
          <w:noProof/>
        </w:rPr>
      </w:pPr>
      <w:r w:rsidRPr="00A02E61">
        <w:t>l)</w:t>
      </w:r>
      <w:r w:rsidRPr="00A02E61">
        <w:tab/>
        <w:t>Ukrainan tukilainan määrät, joita k alakohdassa tarkoitettu vastuu ei kata, pysyvät voimassa tuleviin takaisinmaksun käynnistäviin tapahtumiin asti;</w:t>
      </w:r>
    </w:p>
    <w:p w14:paraId="6A3B7E67" w14:textId="3E5CB338" w:rsidR="00B5340E" w:rsidRPr="00A02E61" w:rsidRDefault="00535490" w:rsidP="00535490">
      <w:pPr>
        <w:pStyle w:val="Point1"/>
        <w:rPr>
          <w:noProof/>
        </w:rPr>
      </w:pPr>
      <w:r w:rsidRPr="00A02E61">
        <w:t>m)</w:t>
      </w:r>
      <w:r w:rsidRPr="00A02E61">
        <w:tab/>
        <w:t>kun on kyse maksuista tai takaisinperinnästä, Ukraina ilmoittaa, mitkä Ukrainan tukilainaa koskevat maksut se maksaa takaisin tai siltä peritään takaisin;</w:t>
      </w:r>
    </w:p>
    <w:p w14:paraId="076D315A" w14:textId="182AD5E7" w:rsidR="007A2CED" w:rsidRPr="00A02E61" w:rsidRDefault="00535490" w:rsidP="00535490">
      <w:pPr>
        <w:pStyle w:val="Point1"/>
        <w:rPr>
          <w:noProof/>
        </w:rPr>
      </w:pPr>
      <w:r w:rsidRPr="00A02E61">
        <w:t>n)</w:t>
      </w:r>
      <w:r w:rsidRPr="00A02E61">
        <w:tab/>
        <w:t>unionilla on oikeus käyttää unionissa pysäytettyjä Venäjän varoja lainan takaisinmaksuun unionin ja kansainvälistä oikeutta kaikilta osin noudattaen;</w:t>
      </w:r>
    </w:p>
    <w:p w14:paraId="476224C6" w14:textId="02231D61" w:rsidR="00DC5303" w:rsidRPr="00A02E61" w:rsidRDefault="00535490" w:rsidP="00535490">
      <w:pPr>
        <w:pStyle w:val="Point1"/>
        <w:rPr>
          <w:noProof/>
        </w:rPr>
      </w:pPr>
      <w:r w:rsidRPr="00A02E61">
        <w:t>o)</w:t>
      </w:r>
      <w:r w:rsidRPr="00A02E61">
        <w:tab/>
        <w:t>Ukraina varmistaa, että Ukrainan tukilainan nojalla tukea saaviin hankintoihin liittyvät, muita puolustustarkoituksiin käytettäviä tuotteita koskevat hankintamenettelyt ja -sopimukset sisältävät asianmukaiset tukikelpoisuusedellytykset unionin ja sen jäsenvaltioiden turvallisuus- ja puolustusetujen suojaamiseksi.</w:t>
      </w:r>
    </w:p>
    <w:p w14:paraId="5A1D75F2" w14:textId="46A87375" w:rsidR="0075551F" w:rsidRPr="00A02E61" w:rsidRDefault="0075551F" w:rsidP="00DC5303">
      <w:pPr>
        <w:pStyle w:val="Point1letter"/>
        <w:numPr>
          <w:ilvl w:val="0"/>
          <w:numId w:val="0"/>
        </w:numPr>
        <w:ind w:left="850"/>
        <w:rPr>
          <w:noProof/>
        </w:rPr>
      </w:pPr>
      <w:r w:rsidRPr="00A02E61">
        <w:t>Ukrainan tukilainasopimukseen on sisällytettävä myös mahdollisia muita vaatimuksia, jotka ovat tarpeen Ukrainan tukilainan täytäntöönpanemiseksi, mukaan lukien vaatimukset, joita tämän asetuksen 17 artiklan täytäntöönpano edellyttää.</w:t>
      </w:r>
    </w:p>
    <w:p w14:paraId="3742A427" w14:textId="77777777" w:rsidR="0075551F" w:rsidRPr="00A02E61" w:rsidRDefault="0075551F" w:rsidP="00A677C2">
      <w:pPr>
        <w:pStyle w:val="LegalNumPar"/>
        <w:rPr>
          <w:noProof/>
        </w:rPr>
      </w:pPr>
      <w:r w:rsidRPr="00A02E61">
        <w:t>Ukrainan tukilainasopimuksen ehtojen noudattamatta jättäminen muodostaa komissiolle perusteen kokonaan tai osittain keskeyttää tai peruuttaa erän tai osaerien vapauttamisen. Ukrainan tukilainasopimuksen takaisinmaksuehtojen noudattamatta jättäminen muodostaa lisäksi perusteen sille, että Ukrainan tukilainasta jäljellä oleva määrä erääntyy kokonaan tai osittain maksettavaksi.</w:t>
      </w:r>
    </w:p>
    <w:p w14:paraId="12A0317B" w14:textId="77777777" w:rsidR="00344F69" w:rsidRPr="00A02E61" w:rsidRDefault="0075551F" w:rsidP="00A677C2">
      <w:pPr>
        <w:pStyle w:val="LegalNumPar"/>
        <w:rPr>
          <w:noProof/>
        </w:rPr>
      </w:pPr>
      <w:r w:rsidRPr="00A02E61">
        <w:lastRenderedPageBreak/>
        <w:t>Ukrainan tukilainasopimus asetetaan pyynnöstä yhtäaikaisesti Euroopan parlamentin ja neuvoston saataville.</w:t>
      </w:r>
    </w:p>
    <w:p w14:paraId="077BA868" w14:textId="26CE0748" w:rsidR="00344F69" w:rsidRPr="00A02E61" w:rsidRDefault="00344F69" w:rsidP="0014092D">
      <w:pPr>
        <w:pStyle w:val="Titrearticle"/>
        <w:rPr>
          <w:b/>
          <w:bCs/>
          <w:noProof/>
        </w:rPr>
      </w:pPr>
      <w:r w:rsidRPr="00A02E61">
        <w:t xml:space="preserve">21 artikla </w:t>
      </w:r>
      <w:r w:rsidRPr="00A02E61">
        <w:br/>
      </w:r>
      <w:r w:rsidRPr="00A02E61">
        <w:rPr>
          <w:b/>
        </w:rPr>
        <w:t>Rahoituspyyntö</w:t>
      </w:r>
    </w:p>
    <w:p w14:paraId="2DF85215" w14:textId="77777777" w:rsidR="005470FD" w:rsidRPr="00A02E61" w:rsidRDefault="000571A8" w:rsidP="00717586">
      <w:pPr>
        <w:pStyle w:val="LegalNumPar"/>
        <w:numPr>
          <w:ilvl w:val="0"/>
          <w:numId w:val="38"/>
        </w:numPr>
        <w:rPr>
          <w:noProof/>
        </w:rPr>
      </w:pPr>
      <w:r w:rsidRPr="00A02E61">
        <w:t>Saadakseen rahoituksellista ja taloudellista tukea Ukrainan on toimitettava komissiolle asianmukaisesti perusteltu rahoituspyyntö. Ukraina voi toimittaa tällaisen rahoituspyynnön komissiolle lähtökohtaisesti kuusi kertaa vuodessa. Jotta lainamuotoinen budjettituki voidaan panna täytäntöön asetuksen (EU) 2024/792 III luvun nojalla, rahoituspyyntö on esitettävä asetuksen (EU) 2024/792 III luvun mukaisesti.</w:t>
      </w:r>
    </w:p>
    <w:p w14:paraId="2A71C13A" w14:textId="77777777" w:rsidR="000571A8" w:rsidRPr="00A02E61" w:rsidRDefault="000571A8" w:rsidP="00A677C2">
      <w:pPr>
        <w:pStyle w:val="LegalNumPar"/>
        <w:rPr>
          <w:noProof/>
        </w:rPr>
      </w:pPr>
      <w:r w:rsidRPr="00A02E61">
        <w:t>Makrotaloudellisen rahoitusavun osalta rahoituspyyntöön on liitettävä raportti yhteisymmärryspöytäkirjan määräysten mukaisesti.</w:t>
      </w:r>
    </w:p>
    <w:p w14:paraId="690EA07D" w14:textId="77777777" w:rsidR="000571A8" w:rsidRPr="00A02E61" w:rsidRDefault="000571A8" w:rsidP="00A677C2">
      <w:pPr>
        <w:pStyle w:val="LegalNumPar"/>
        <w:rPr>
          <w:noProof/>
        </w:rPr>
      </w:pPr>
      <w:r w:rsidRPr="00A02E61">
        <w:t>Ukrainan puolustusteollisuuden kapasiteettia tukevan avun osalta</w:t>
      </w:r>
    </w:p>
    <w:p w14:paraId="712FD41E" w14:textId="77777777" w:rsidR="000571A8" w:rsidRPr="00A02E61" w:rsidRDefault="000571A8" w:rsidP="000571A8">
      <w:pPr>
        <w:pStyle w:val="Text1"/>
        <w:rPr>
          <w:noProof/>
        </w:rPr>
      </w:pPr>
      <w:r w:rsidRPr="00A02E61">
        <w:t>a)</w:t>
      </w:r>
      <w:r w:rsidRPr="00A02E61">
        <w:tab/>
        <w:t>rahoituspyyntö voi koskea useita tuotteita. Rahoituspyynnössä on oltava kunkin tuotteen osalta 13 artiklan mukainen sopimus ja 14 artiklan mukainen luettelo. Tällaiset sopimukset voivat olla allekirjoitettuja tai lopullisessa luonnosmuodossa;</w:t>
      </w:r>
    </w:p>
    <w:p w14:paraId="52E974A4" w14:textId="77777777" w:rsidR="00344F69" w:rsidRPr="00A02E61" w:rsidRDefault="000571A8" w:rsidP="000571A8">
      <w:pPr>
        <w:pStyle w:val="Text1"/>
        <w:rPr>
          <w:noProof/>
        </w:rPr>
      </w:pPr>
      <w:r w:rsidRPr="00A02E61">
        <w:t>b)</w:t>
      </w:r>
      <w:r w:rsidRPr="00A02E61">
        <w:tab/>
        <w:t>jos rahoituspyynnössä pyydetään rahoitusta yli 20 prosenttia 8 artiklassa tarkoitetun neuvoston täytäntöönpanopäätöksen mukaisesti saataville asetetusta määrästä, Ukrainan on esitettävä yksityiskohtaiset perustelut, mukaan lukien vaikutus tuleviin rahoituspyyntöihin, joita kyseisen päätöksen nojalla esitetään.</w:t>
      </w:r>
    </w:p>
    <w:p w14:paraId="612C873A" w14:textId="77777777" w:rsidR="00D632C5" w:rsidRPr="00A02E61" w:rsidRDefault="00D632C5" w:rsidP="00D632C5">
      <w:pPr>
        <w:pStyle w:val="Titrearticle"/>
        <w:rPr>
          <w:noProof/>
        </w:rPr>
      </w:pPr>
      <w:r w:rsidRPr="00A02E61">
        <w:t>22 artikla</w:t>
      </w:r>
    </w:p>
    <w:p w14:paraId="044C9923" w14:textId="77777777" w:rsidR="00D632C5" w:rsidRPr="00A02E61" w:rsidRDefault="00D632C5" w:rsidP="00D632C5">
      <w:pPr>
        <w:pStyle w:val="paragraph"/>
        <w:spacing w:before="0" w:beforeAutospacing="0" w:after="160" w:afterAutospacing="0"/>
        <w:jc w:val="center"/>
        <w:textAlignment w:val="baseline"/>
        <w:rPr>
          <w:noProof/>
        </w:rPr>
      </w:pPr>
      <w:r w:rsidRPr="00A02E61">
        <w:rPr>
          <w:rStyle w:val="normaltextrun"/>
          <w:b/>
        </w:rPr>
        <w:t>Tuki lainanottokustannuksiin</w:t>
      </w:r>
    </w:p>
    <w:p w14:paraId="099B77C2" w14:textId="77777777" w:rsidR="00D632C5" w:rsidRPr="00A02E61" w:rsidRDefault="00D632C5" w:rsidP="00717586">
      <w:pPr>
        <w:pStyle w:val="LegalNumPar"/>
        <w:numPr>
          <w:ilvl w:val="0"/>
          <w:numId w:val="39"/>
        </w:numPr>
        <w:rPr>
          <w:noProof/>
        </w:rPr>
      </w:pPr>
      <w:r w:rsidRPr="00A02E61">
        <w:t>Poiketen siitä, mitä asetuksen (EU, Euratom) 2024/2509 223 artiklan 4 kohdan e alakohdassa säädetään, ja edellyttäen, että resursseja on saatavilla, unioni voi vastata kustannuksista, jotka aiheutuvat lainanotosta Ukrainalle annettavaa lainaa varten ja joista Ukraina muutoin vastaisi, jäljempänä ’lainanottokustannuksiin myönnettävä tuki’. Näihin kustannuksiin sisältyvät velanhoitokustannukset (lainanottoon ja lainanantoon liittyvät varainhankintakustannukset, likviditeetinhallintakustannukset ja hallintokuluihin liittyvät palvelukustannukset).</w:t>
      </w:r>
    </w:p>
    <w:p w14:paraId="2C4E0F1E" w14:textId="77777777" w:rsidR="00D632C5" w:rsidRPr="00A02E61" w:rsidRDefault="00D632C5" w:rsidP="00A677C2">
      <w:pPr>
        <w:pStyle w:val="LegalNumPar"/>
        <w:rPr>
          <w:noProof/>
        </w:rPr>
      </w:pPr>
      <w:r w:rsidRPr="00A02E61">
        <w:t>Ukraina voi pyytää 1 kohdassa tarkoitettua lainanottokustannuksiin myönnettävää tukea vuosittain. Komissio voi myöntää lainanottokustannuksiin tukea määrän, joka ei ylitä talousarviomenettelyn yhteydessä käyttöön asetettujen määrärahojen enimmäismäärää.</w:t>
      </w:r>
    </w:p>
    <w:p w14:paraId="49A6A9DF" w14:textId="77777777" w:rsidR="00344F69" w:rsidRPr="00A02E61" w:rsidRDefault="00344F69" w:rsidP="00344F69">
      <w:pPr>
        <w:pStyle w:val="Titrearticle"/>
        <w:rPr>
          <w:noProof/>
        </w:rPr>
      </w:pPr>
      <w:r w:rsidRPr="00A02E61">
        <w:lastRenderedPageBreak/>
        <w:t>23 artikla</w:t>
      </w:r>
    </w:p>
    <w:p w14:paraId="19CF9DCA" w14:textId="77777777" w:rsidR="00344F69" w:rsidRPr="00A02E61" w:rsidRDefault="00344F69" w:rsidP="00344F69">
      <w:pPr>
        <w:jc w:val="center"/>
        <w:rPr>
          <w:b/>
          <w:bCs/>
          <w:noProof/>
        </w:rPr>
      </w:pPr>
      <w:r w:rsidRPr="00A02E61">
        <w:rPr>
          <w:b/>
        </w:rPr>
        <w:t xml:space="preserve">Päätös tuen vapauttamisesta </w:t>
      </w:r>
    </w:p>
    <w:p w14:paraId="4CE516B0" w14:textId="77777777" w:rsidR="000571A8" w:rsidRPr="00A02E61" w:rsidRDefault="000571A8" w:rsidP="00717586">
      <w:pPr>
        <w:pStyle w:val="LegalNumPar"/>
        <w:numPr>
          <w:ilvl w:val="0"/>
          <w:numId w:val="41"/>
        </w:numPr>
        <w:rPr>
          <w:noProof/>
        </w:rPr>
      </w:pPr>
      <w:r w:rsidRPr="00A02E61">
        <w:t>Komissio tekee päätöksen tuen vapauttamisesta seuraavien vaatimusten täyttymisestä tekemänsä arvion perusteella:</w:t>
      </w:r>
    </w:p>
    <w:p w14:paraId="0BA442A5" w14:textId="77777777" w:rsidR="000571A8" w:rsidRPr="00A02E61" w:rsidRDefault="000571A8" w:rsidP="000571A8">
      <w:pPr>
        <w:pStyle w:val="Text1"/>
        <w:rPr>
          <w:noProof/>
        </w:rPr>
      </w:pPr>
      <w:r w:rsidRPr="00A02E61">
        <w:t>a)</w:t>
      </w:r>
      <w:r w:rsidRPr="00A02E61">
        <w:tab/>
        <w:t>makrotaloudellinen rahoitusapu:</w:t>
      </w:r>
    </w:p>
    <w:p w14:paraId="379D6C37" w14:textId="77777777" w:rsidR="000571A8" w:rsidRPr="00A02E61" w:rsidRDefault="000571A8" w:rsidP="000571A8">
      <w:pPr>
        <w:pStyle w:val="Text2"/>
        <w:rPr>
          <w:noProof/>
        </w:rPr>
      </w:pPr>
      <w:r w:rsidRPr="00A02E61">
        <w:t>i.</w:t>
      </w:r>
      <w:r w:rsidRPr="00A02E61">
        <w:tab/>
        <w:t xml:space="preserve">5 artiklan 1 kohdassa säädetyn ennakkoehdon noudattaminen; </w:t>
      </w:r>
    </w:p>
    <w:p w14:paraId="2D4D3D44" w14:textId="77777777" w:rsidR="000571A8" w:rsidRPr="00A02E61" w:rsidRDefault="000571A8" w:rsidP="000571A8">
      <w:pPr>
        <w:pStyle w:val="Text2"/>
        <w:rPr>
          <w:noProof/>
        </w:rPr>
      </w:pPr>
      <w:r w:rsidRPr="00A02E61">
        <w:t>ii.</w:t>
      </w:r>
      <w:r w:rsidRPr="00A02E61">
        <w:tab/>
        <w:t>11 artiklassa tarkoitetussa yhteisymmärryspöytäkirjassa vahvistettujen politiikkaa koskevien ehtojen tyydyttävä täyttyminen; ja</w:t>
      </w:r>
    </w:p>
    <w:p w14:paraId="073437E4" w14:textId="77777777" w:rsidR="000571A8" w:rsidRPr="00A02E61" w:rsidRDefault="000571A8" w:rsidP="000571A8">
      <w:pPr>
        <w:pStyle w:val="Text2"/>
        <w:rPr>
          <w:noProof/>
        </w:rPr>
      </w:pPr>
      <w:r w:rsidRPr="00A02E61">
        <w:t>iii.</w:t>
      </w:r>
      <w:r w:rsidRPr="00A02E61">
        <w:tab/>
        <w:t>20 artiklassa tarkoitetun Ukrainan tukilainasopimuksen noudattaminen.</w:t>
      </w:r>
    </w:p>
    <w:p w14:paraId="7950E5AA" w14:textId="77777777" w:rsidR="000571A8" w:rsidRPr="00A02E61" w:rsidRDefault="000571A8" w:rsidP="000571A8">
      <w:pPr>
        <w:pStyle w:val="Text1"/>
        <w:rPr>
          <w:noProof/>
        </w:rPr>
      </w:pPr>
      <w:r w:rsidRPr="00A02E61">
        <w:t>b)</w:t>
      </w:r>
      <w:r w:rsidRPr="00A02E61">
        <w:tab/>
        <w:t>Ukrainan puolustusteollisuuden kapasiteettia tukeva apu:</w:t>
      </w:r>
    </w:p>
    <w:p w14:paraId="2F87A1AC" w14:textId="77777777" w:rsidR="000571A8" w:rsidRPr="00A02E61" w:rsidRDefault="000571A8" w:rsidP="000571A8">
      <w:pPr>
        <w:pStyle w:val="Text2"/>
        <w:rPr>
          <w:noProof/>
        </w:rPr>
      </w:pPr>
      <w:r w:rsidRPr="00A02E61">
        <w:t>i.</w:t>
      </w:r>
      <w:r w:rsidRPr="00A02E61">
        <w:tab/>
        <w:t>5 artiklan 1 kohdassa säädetyn ennakkoehdon noudattaminen;</w:t>
      </w:r>
    </w:p>
    <w:p w14:paraId="01520128" w14:textId="77777777" w:rsidR="000571A8" w:rsidRPr="00A02E61" w:rsidRDefault="000571A8" w:rsidP="000571A8">
      <w:pPr>
        <w:pStyle w:val="Text2"/>
        <w:rPr>
          <w:noProof/>
        </w:rPr>
      </w:pPr>
      <w:r w:rsidRPr="00A02E61">
        <w:t>ii.</w:t>
      </w:r>
      <w:r w:rsidRPr="00A02E61">
        <w:tab/>
        <w:t xml:space="preserve">vahvistus siitä, että sopimukset koskevat 13 artiklan mukaisia tuotteita ja että komissio ei vastusta täytäntöönpanomenetelmiä; </w:t>
      </w:r>
    </w:p>
    <w:p w14:paraId="4202FB73" w14:textId="77777777" w:rsidR="000571A8" w:rsidRPr="00A02E61" w:rsidRDefault="000571A8" w:rsidP="000571A8">
      <w:pPr>
        <w:pStyle w:val="Text2"/>
        <w:rPr>
          <w:noProof/>
        </w:rPr>
      </w:pPr>
      <w:r w:rsidRPr="00A02E61">
        <w:t>iii.</w:t>
      </w:r>
      <w:r w:rsidRPr="00A02E61">
        <w:tab/>
        <w:t xml:space="preserve">vahvistus siitä, että Ukraina pitkälti noudattaa täytäntöönpanopäätöksen (EU) 2024/1447 liitteeseen sisältyviä laadullisia ja määrällisiä tavoitteita mahdollisine muutoksineen; </w:t>
      </w:r>
    </w:p>
    <w:p w14:paraId="07755328" w14:textId="77777777" w:rsidR="000571A8" w:rsidRPr="00A02E61" w:rsidRDefault="000571A8" w:rsidP="000571A8">
      <w:pPr>
        <w:pStyle w:val="Text2"/>
        <w:rPr>
          <w:noProof/>
        </w:rPr>
      </w:pPr>
      <w:r w:rsidRPr="00A02E61">
        <w:t>iv.</w:t>
      </w:r>
      <w:r w:rsidRPr="00A02E61">
        <w:tab/>
        <w:t>16 artiklassa tarkoitettujen velvoitteiden ja 20 artiklassa tarkoitetun Ukrainan tukilainasopimuksen noudattaminen; ja</w:t>
      </w:r>
    </w:p>
    <w:p w14:paraId="3B03E572" w14:textId="77777777" w:rsidR="000571A8" w:rsidRPr="00A02E61" w:rsidRDefault="000571A8" w:rsidP="000571A8">
      <w:pPr>
        <w:pStyle w:val="Text2"/>
        <w:rPr>
          <w:noProof/>
        </w:rPr>
      </w:pPr>
      <w:r w:rsidRPr="00A02E61">
        <w:t>v.</w:t>
      </w:r>
      <w:r w:rsidRPr="00A02E61">
        <w:tab/>
        <w:t>Ukrainan yksityiskohtaisten perustelujen riittävyys, siinä määrin kuin se on tarpeen, kun otetaan huomioon Ukrainan tilanne ja ulkoinen rahoitus, johon on sitouduttu ja jota on odotettavissa.</w:t>
      </w:r>
    </w:p>
    <w:p w14:paraId="1F861DEF" w14:textId="72FA3AF5" w:rsidR="005470FD" w:rsidRPr="00A02E61" w:rsidRDefault="005470FD" w:rsidP="005470FD">
      <w:pPr>
        <w:pStyle w:val="LegalNumPar"/>
        <w:numPr>
          <w:ilvl w:val="0"/>
          <w:numId w:val="0"/>
        </w:numPr>
        <w:ind w:left="476"/>
        <w:rPr>
          <w:noProof/>
        </w:rPr>
      </w:pPr>
      <w:r w:rsidRPr="00A02E61">
        <w:t>Jotta lainamuotoinen budjettituki voidaan panna täytäntöön asetuksen (EU) 2024/792 III</w:t>
      </w:r>
      <w:r w:rsidR="008B4A45" w:rsidRPr="00A02E61">
        <w:t> </w:t>
      </w:r>
      <w:r w:rsidRPr="00A02E61">
        <w:t>luvun nojalla, tuen vapauttaminen on toteutettava asetuksen (EU) 2024/792 III luvun mukaisesti.</w:t>
      </w:r>
    </w:p>
    <w:p w14:paraId="7737134B" w14:textId="77777777" w:rsidR="000571A8" w:rsidRPr="00A02E61" w:rsidRDefault="000571A8" w:rsidP="00717586">
      <w:pPr>
        <w:pStyle w:val="LegalNumPar"/>
        <w:numPr>
          <w:ilvl w:val="0"/>
          <w:numId w:val="41"/>
        </w:numPr>
        <w:rPr>
          <w:noProof/>
        </w:rPr>
      </w:pPr>
      <w:r w:rsidRPr="00A02E61">
        <w:t>Jos komissio antaa rahoituspyynnöstä myönteisen arvion, se tekee viipymättä päätöksen, jolla hyväksytään Ukrainan tukilainan maksatus, edellyttäen, että 8 artiklan mukaisesti hyväksytyssä neuvoston täytäntöönpanopäätöksessä säädettyä saatavilla olevan avun määrää noudatetaan. Ukrainan puolustusteollisuuden kapasiteetin tukemiseksi annettavan avun osalta maksatuksen määrän on oltava samansuuruinen kuin rahoituspyyntöön sisältyvien sopimusten arvo.</w:t>
      </w:r>
    </w:p>
    <w:p w14:paraId="16EC0A4D" w14:textId="77777777" w:rsidR="000571A8" w:rsidRPr="00A02E61" w:rsidRDefault="000571A8" w:rsidP="00717586">
      <w:pPr>
        <w:pStyle w:val="LegalNumPar"/>
        <w:numPr>
          <w:ilvl w:val="0"/>
          <w:numId w:val="41"/>
        </w:numPr>
        <w:rPr>
          <w:noProof/>
        </w:rPr>
      </w:pPr>
      <w:r w:rsidRPr="00A02E61">
        <w:t>Komissio voi tehdä 2 kohdassa tarkoitetun päätöksen 1 kohdan a ja b alakohdan osalta yhdessä tai erikseen.</w:t>
      </w:r>
    </w:p>
    <w:p w14:paraId="7853EEBB" w14:textId="77777777" w:rsidR="00344F69" w:rsidRPr="00A02E61" w:rsidRDefault="000571A8" w:rsidP="00717586">
      <w:pPr>
        <w:pStyle w:val="LegalNumPar"/>
        <w:numPr>
          <w:ilvl w:val="0"/>
          <w:numId w:val="41"/>
        </w:numPr>
        <w:rPr>
          <w:noProof/>
        </w:rPr>
      </w:pPr>
      <w:r w:rsidRPr="00A02E61">
        <w:t>Jos komission arvio rahoituspyynnöstä on kielteinen, se ilmoittaa siitä viipymättä Ukrainalle ja perustelee arvionsa. Kielteinen arvio ei estä Ukrainaa toimittamasta uutta rahoituspyyntöä.</w:t>
      </w:r>
    </w:p>
    <w:p w14:paraId="11904704" w14:textId="335F668F" w:rsidR="00344F69" w:rsidRPr="00A02E61" w:rsidRDefault="00344F69" w:rsidP="00F17558">
      <w:pPr>
        <w:pStyle w:val="Titrearticle"/>
        <w:rPr>
          <w:noProof/>
        </w:rPr>
      </w:pPr>
      <w:r w:rsidRPr="00A02E61">
        <w:lastRenderedPageBreak/>
        <w:t xml:space="preserve">24 artikla </w:t>
      </w:r>
      <w:r w:rsidRPr="00A02E61">
        <w:br/>
      </w:r>
      <w:r w:rsidRPr="00A02E61">
        <w:rPr>
          <w:b/>
        </w:rPr>
        <w:t>Ukrainan tukilainan rahoittaminen</w:t>
      </w:r>
    </w:p>
    <w:p w14:paraId="670119F3" w14:textId="77777777" w:rsidR="000571A8" w:rsidRPr="00A02E61" w:rsidRDefault="000571A8" w:rsidP="00717586">
      <w:pPr>
        <w:pStyle w:val="LegalNumPar"/>
        <w:numPr>
          <w:ilvl w:val="0"/>
          <w:numId w:val="40"/>
        </w:numPr>
        <w:rPr>
          <w:noProof/>
        </w:rPr>
      </w:pPr>
      <w:r w:rsidRPr="00A02E61">
        <w:t>Komissiolle annetaan Ukrainan tukilainan rahoittamiseksi valtuudet lainata tarvittavat varat unionin lukuun pääomamarkkinoilta tai rahoituslaitoksilta asetuksen (EU, Euratom) 2024/2509 224 artiklassa tarkoitettua hajautettua rahoitusstrategiaa noudattaen.</w:t>
      </w:r>
    </w:p>
    <w:p w14:paraId="304D73A4" w14:textId="77777777" w:rsidR="00344F69" w:rsidRPr="00A02E61" w:rsidRDefault="00846243" w:rsidP="00A8443F">
      <w:pPr>
        <w:pStyle w:val="LegalNumPar"/>
        <w:rPr>
          <w:noProof/>
        </w:rPr>
      </w:pPr>
      <w:r w:rsidRPr="00A02E61">
        <w:t>Ukrainan tukilainaa koskevat lainanotto- ja lainanantotoimet on toteutettava euroina.</w:t>
      </w:r>
    </w:p>
    <w:p w14:paraId="265A37CA" w14:textId="77777777" w:rsidR="00344F69" w:rsidRPr="00A02E61" w:rsidRDefault="00AA5E09" w:rsidP="008C4D5C">
      <w:pPr>
        <w:pStyle w:val="LegalNumPar"/>
        <w:rPr>
          <w:noProof/>
          <w:szCs w:val="24"/>
        </w:rPr>
      </w:pPr>
      <w:r w:rsidRPr="00A02E61">
        <w:t>Poiketen siitä, mitä asetuksen (EU) 2021/947 31 artiklan 3 kohdan toisessa virkkeessä säädetään, Ukrainalle Ukrainan tukilainan puitteissa annettua rahoitusapua ei tueta ulkosuhdetoimien takuujärjestelystä. Ukrainan tukilainaa varten ei muodosteta varauksia, eikä niille asetuksen (EU, Euratom) 2024/2509 214 artiklan 1 kohdasta poiketen vahvisteta rahoitusastetta.</w:t>
      </w:r>
    </w:p>
    <w:p w14:paraId="209050F8" w14:textId="69C5CA6B" w:rsidR="00344F69" w:rsidRPr="00A02E61" w:rsidRDefault="00344F69" w:rsidP="00F17558">
      <w:pPr>
        <w:pStyle w:val="Titrearticle"/>
        <w:rPr>
          <w:b/>
          <w:bCs/>
          <w:noProof/>
        </w:rPr>
      </w:pPr>
      <w:r w:rsidRPr="00A02E61">
        <w:t xml:space="preserve">25 artikla </w:t>
      </w:r>
      <w:r w:rsidRPr="00A02E61">
        <w:br/>
      </w:r>
      <w:r w:rsidRPr="00A02E61">
        <w:rPr>
          <w:b/>
        </w:rPr>
        <w:t>Turvallisuusluokiteltuja tietoja ja arkaluonteisia tietoja koskevien sääntöjen soveltaminen</w:t>
      </w:r>
    </w:p>
    <w:p w14:paraId="3BE5EDD4" w14:textId="77777777" w:rsidR="00947D06" w:rsidRPr="00A02E61" w:rsidRDefault="00344F69" w:rsidP="00947D06">
      <w:pPr>
        <w:pStyle w:val="LegalNumPar"/>
        <w:numPr>
          <w:ilvl w:val="0"/>
          <w:numId w:val="36"/>
        </w:numPr>
        <w:rPr>
          <w:noProof/>
        </w:rPr>
      </w:pPr>
      <w:r w:rsidRPr="00A02E61">
        <w:t>Tämän asetuksen nojalla luotavat, käsiteltävät, tallennettavat, vaihdettavat tai jaettavat turvallisuusluokitellut tiedot on suojattava komission päätöksessä (EU, Euratom) 2015/444</w:t>
      </w:r>
      <w:r w:rsidRPr="00A02E61">
        <w:rPr>
          <w:rStyle w:val="FootnoteReference"/>
          <w:noProof/>
        </w:rPr>
        <w:footnoteReference w:id="34"/>
      </w:r>
      <w:r w:rsidRPr="00A02E61">
        <w:t xml:space="preserve"> taikka Euroopan unionin edun vuoksi vaihdettujen turvallisuusluokiteltujen tietojen suojaamisesta tehdyn neuvostossa kokoontuneiden Euroopan unionin jäsenvaltioiden välisessä sopimuksessa vahvistettujen turvallisuussääntöjen mukaisesti. </w:t>
      </w:r>
    </w:p>
    <w:p w14:paraId="4C3BBB4C" w14:textId="77777777" w:rsidR="00947D06" w:rsidRPr="00A02E61" w:rsidRDefault="00344F69" w:rsidP="00947D06">
      <w:pPr>
        <w:pStyle w:val="LegalNumPar"/>
        <w:numPr>
          <w:ilvl w:val="0"/>
          <w:numId w:val="36"/>
        </w:numPr>
        <w:rPr>
          <w:noProof/>
        </w:rPr>
      </w:pPr>
      <w:r w:rsidRPr="00A02E61">
        <w:t>Komission on käytettävä suojattua tietojenvaihtojärjestelmää helpottaakseen turvallisuusluokiteltujen tietojen ja arkaluonteisten tietojen vaihtoa komission ja Ukrainan välillä sekä tarvittaessa osallistuvien jäsenvaltioiden kanssa.</w:t>
      </w:r>
    </w:p>
    <w:p w14:paraId="44A37495" w14:textId="77777777" w:rsidR="00947D06" w:rsidRPr="00A02E61" w:rsidRDefault="00344F69" w:rsidP="00947D06">
      <w:pPr>
        <w:pStyle w:val="LegalNumPar"/>
        <w:numPr>
          <w:ilvl w:val="0"/>
          <w:numId w:val="36"/>
        </w:numPr>
        <w:rPr>
          <w:noProof/>
        </w:rPr>
      </w:pPr>
      <w:r w:rsidRPr="00A02E61">
        <w:t>Komissiolla on oltava pääsy tietoihin, myös turvallisuusluokiteltuihin tietoihin, jotka ovat välttämättömiä sille tämän asetuksen nojalla osoitettujen tehtävien suorittamiseksi ja erityisesti maksujen suorittamisen edellytysten todentamiseksi ja tarkastusten, arviointien, auditointien ja tutkimusten suorittamiseksi ja kertomusten laatimiseksi sekä 20 artiklassa tarkoitettujen valvonnan ja tarkastusten suorittamiseksi.</w:t>
      </w:r>
    </w:p>
    <w:p w14:paraId="26A21E55" w14:textId="77777777" w:rsidR="00947D06" w:rsidRPr="00A02E61" w:rsidRDefault="00344F69" w:rsidP="00947D06">
      <w:pPr>
        <w:pStyle w:val="LegalNumPar"/>
        <w:numPr>
          <w:ilvl w:val="0"/>
          <w:numId w:val="36"/>
        </w:numPr>
        <w:rPr>
          <w:noProof/>
        </w:rPr>
      </w:pPr>
      <w:r w:rsidRPr="00A02E61">
        <w:t xml:space="preserve">Tätä asetusta sovellettaessa saatuja tietoja saa käyttää vain siihen tarkoitukseen, jota varten ne on pyydetty. </w:t>
      </w:r>
    </w:p>
    <w:p w14:paraId="3053EE6F" w14:textId="47C333AC" w:rsidR="00344F69" w:rsidRPr="00A02E61" w:rsidRDefault="00344F69" w:rsidP="00947D06">
      <w:pPr>
        <w:pStyle w:val="LegalNumPar"/>
        <w:numPr>
          <w:ilvl w:val="0"/>
          <w:numId w:val="36"/>
        </w:numPr>
        <w:rPr>
          <w:noProof/>
        </w:rPr>
      </w:pPr>
      <w:r w:rsidRPr="00A02E61">
        <w:lastRenderedPageBreak/>
        <w:t>Komissio ja osallistuvat jäsenvaltiot varmistavat, että tämän asetuksen soveltamiseksi hankitut ja tuotetut liikesalaisuudet ja muut arkaluonteiset tiedot suojataan unionin oikeuden ja asiaa koskevan kansallisen lainsäädännön mukaisesti.</w:t>
      </w:r>
    </w:p>
    <w:p w14:paraId="4E181A96" w14:textId="08043BC2" w:rsidR="00344F69" w:rsidRPr="00A02E61" w:rsidRDefault="00344F69" w:rsidP="000571A8">
      <w:pPr>
        <w:pStyle w:val="ChapterTitle"/>
        <w:rPr>
          <w:noProof/>
        </w:rPr>
      </w:pPr>
      <w:bookmarkStart w:id="23" w:name="_Hlk211705537"/>
      <w:r w:rsidRPr="00A02E61">
        <w:t xml:space="preserve">VI LUKU </w:t>
      </w:r>
      <w:r w:rsidRPr="00A02E61">
        <w:br/>
        <w:t>LOPPUSÄÄNNÖKSET</w:t>
      </w:r>
    </w:p>
    <w:bookmarkEnd w:id="23"/>
    <w:p w14:paraId="3957279A" w14:textId="1A949C4D" w:rsidR="00344F69" w:rsidRPr="00A02E61" w:rsidRDefault="00344F69" w:rsidP="00F17558">
      <w:pPr>
        <w:pStyle w:val="Titrearticle"/>
        <w:rPr>
          <w:b/>
          <w:bCs/>
          <w:noProof/>
        </w:rPr>
      </w:pPr>
      <w:r w:rsidRPr="00A02E61">
        <w:t xml:space="preserve">26 artikla </w:t>
      </w:r>
      <w:r w:rsidRPr="00A02E61">
        <w:br/>
      </w:r>
      <w:r w:rsidRPr="00A02E61">
        <w:rPr>
          <w:b/>
        </w:rPr>
        <w:t>Siirretyn säädösvallan käyttäminen</w:t>
      </w:r>
    </w:p>
    <w:p w14:paraId="5F9708E6" w14:textId="77777777" w:rsidR="00344F69" w:rsidRPr="00A02E61" w:rsidRDefault="00344F69" w:rsidP="00717586">
      <w:pPr>
        <w:pStyle w:val="LegalNumPar"/>
        <w:numPr>
          <w:ilvl w:val="0"/>
          <w:numId w:val="42"/>
        </w:numPr>
        <w:rPr>
          <w:noProof/>
        </w:rPr>
      </w:pPr>
      <w:r w:rsidRPr="00A02E61">
        <w:t>Komissiolle siirrettyä valtaa antaa delegoituja säädöksiä koskevat tässä artiklassa säädetyt edellytykset.</w:t>
      </w:r>
    </w:p>
    <w:p w14:paraId="403D441C" w14:textId="77777777" w:rsidR="00344F69" w:rsidRPr="00A02E61" w:rsidRDefault="00344F69" w:rsidP="00717586">
      <w:pPr>
        <w:pStyle w:val="LegalNumPar"/>
        <w:numPr>
          <w:ilvl w:val="0"/>
          <w:numId w:val="42"/>
        </w:numPr>
        <w:rPr>
          <w:noProof/>
        </w:rPr>
      </w:pPr>
      <w:r w:rsidRPr="00A02E61">
        <w:t>Siirretään komissiolle seitsemän päivän kuluttua tämän asetuksen voimaantulopäivästä määräämättömäksi ajaksi 13 artiklassa tarkoitettu valta antaa delegoituja säädöksiä.</w:t>
      </w:r>
    </w:p>
    <w:p w14:paraId="096AB6E0" w14:textId="77777777" w:rsidR="00344F69" w:rsidRPr="00A02E61" w:rsidRDefault="00344F69" w:rsidP="00717586">
      <w:pPr>
        <w:pStyle w:val="LegalNumPar"/>
        <w:numPr>
          <w:ilvl w:val="0"/>
          <w:numId w:val="42"/>
        </w:numPr>
        <w:rPr>
          <w:noProof/>
        </w:rPr>
      </w:pPr>
      <w:r w:rsidRPr="00A02E61">
        <w:t>Euroopan parlamentti tai neuvosto voi milloin tahansa peruuttaa 13 artiklassa tarkoitetun säädösvallan siirron. Peruuttamispäätöksellä lopetetaan tuossa päätöksessä mainittu säädösvallan siirto. Peruuttaminen tulee voimaan sitä päivää seuraavana päivänä, jona sitä koskeva päätös julkaistaan Euroopan unionin virallisessa lehdessä, tai jonakin myöhempänä, kyseisessä päätöksessä mainittuna päivänä. Peruuttamispäätös ei vaikuta jo voimassa olevien delegoitujen säädösten pätevyyteen.</w:t>
      </w:r>
    </w:p>
    <w:p w14:paraId="5DF6548A" w14:textId="77777777" w:rsidR="00344F69" w:rsidRPr="00A02E61" w:rsidRDefault="00344F69" w:rsidP="00717586">
      <w:pPr>
        <w:pStyle w:val="LegalNumPar"/>
        <w:numPr>
          <w:ilvl w:val="0"/>
          <w:numId w:val="42"/>
        </w:numPr>
        <w:rPr>
          <w:noProof/>
        </w:rPr>
      </w:pPr>
      <w:r w:rsidRPr="00A02E61">
        <w:t>Ennen kuin komissio hyväksyy delegoidun säädöksen, se kuulee kunkin jäsenvaltion nimeämiä asiantuntijoita paremmasta lainsäädännöstä 13 päivänä huhtikuuta 2016 tehdyssä toimielinten välisessä sopimuksessa vahvistettujen periaatteiden mukaisesti.</w:t>
      </w:r>
    </w:p>
    <w:p w14:paraId="4E160F91" w14:textId="77777777" w:rsidR="00344F69" w:rsidRPr="00A02E61" w:rsidRDefault="00344F69" w:rsidP="00717586">
      <w:pPr>
        <w:pStyle w:val="LegalNumPar"/>
        <w:numPr>
          <w:ilvl w:val="0"/>
          <w:numId w:val="42"/>
        </w:numPr>
        <w:rPr>
          <w:noProof/>
        </w:rPr>
      </w:pPr>
      <w:r w:rsidRPr="00A02E61">
        <w:t>Heti kun komissio on antanut delegoidun säädöksen, komissio antaa sen tiedoksi yhtäaikaisesti Euroopan parlamentille ja neuvostolle.</w:t>
      </w:r>
    </w:p>
    <w:p w14:paraId="3F601AEC" w14:textId="77777777" w:rsidR="00344F69" w:rsidRPr="00A02E61" w:rsidRDefault="00344F69" w:rsidP="00717586">
      <w:pPr>
        <w:pStyle w:val="LegalNumPar"/>
        <w:numPr>
          <w:ilvl w:val="0"/>
          <w:numId w:val="42"/>
        </w:numPr>
        <w:rPr>
          <w:noProof/>
        </w:rPr>
      </w:pPr>
      <w:r w:rsidRPr="00A02E61">
        <w:t>Edellä olevan 13 artiklan nojalla annettu delegoitu säädös tulee voimaan ainoastaan, jos Euroopan parlamentti tai neuvosto ei ole kahden kuukauden kuluessa siitä, kun asianomainen säädös on annettu tiedoksi Euroopan parlamentille ja neuvostolle, ilmaissut vastustavansa sitä tai jos sekä Euroopan parlamentti että neuvosto ovat ennen mainitun määräajan päättymistä ilmoittaneet komissiolle, että ne eivät vastusta säädöstä. Euroopan parlamentin tai neuvoston aloitteesta tätä määräaikaa jatketaan kahdella kuukaudella.</w:t>
      </w:r>
    </w:p>
    <w:p w14:paraId="3E800932" w14:textId="0744A1E6" w:rsidR="00344F69" w:rsidRPr="00A02E61" w:rsidRDefault="00344F69" w:rsidP="00F17558">
      <w:pPr>
        <w:pStyle w:val="Titrearticle"/>
        <w:rPr>
          <w:b/>
          <w:bCs/>
          <w:noProof/>
        </w:rPr>
      </w:pPr>
      <w:r w:rsidRPr="00A02E61">
        <w:lastRenderedPageBreak/>
        <w:t xml:space="preserve">27 artikla </w:t>
      </w:r>
      <w:r w:rsidRPr="00A02E61">
        <w:br/>
      </w:r>
      <w:r w:rsidRPr="00A02E61">
        <w:rPr>
          <w:b/>
        </w:rPr>
        <w:t>Komiteamenettely</w:t>
      </w:r>
    </w:p>
    <w:p w14:paraId="47FA7208" w14:textId="77777777" w:rsidR="00344F69" w:rsidRPr="00A02E61" w:rsidRDefault="00344F69" w:rsidP="00717586">
      <w:pPr>
        <w:pStyle w:val="LegalNumPar"/>
        <w:numPr>
          <w:ilvl w:val="0"/>
          <w:numId w:val="33"/>
        </w:numPr>
        <w:rPr>
          <w:noProof/>
        </w:rPr>
      </w:pPr>
      <w:r w:rsidRPr="00A02E61">
        <w:t>Komissiota avustaa komitea. Tämä komitea on asetuksessa (EU) N:o 182/2011 tarkoitettu komitea.</w:t>
      </w:r>
    </w:p>
    <w:p w14:paraId="6DF58AF9" w14:textId="77777777" w:rsidR="00981284" w:rsidRPr="00A02E61" w:rsidRDefault="00981284" w:rsidP="00717586">
      <w:pPr>
        <w:pStyle w:val="LegalNumPar"/>
        <w:numPr>
          <w:ilvl w:val="0"/>
          <w:numId w:val="33"/>
        </w:numPr>
        <w:rPr>
          <w:noProof/>
        </w:rPr>
      </w:pPr>
      <w:r w:rsidRPr="00A02E61">
        <w:t>Euroopan puolustusvirastoa pyydetään esittämään näkemyksiään ja tarjoamaan asiantuntemustaan komitealle tarkkailijana. Euroopan ulkosuhdehallintoa pyydetään myös avustamaan komiteaa sen työssä.</w:t>
      </w:r>
    </w:p>
    <w:p w14:paraId="7FE16C23" w14:textId="77777777" w:rsidR="00344F69" w:rsidRPr="00A02E61" w:rsidRDefault="00344F69" w:rsidP="00717586">
      <w:pPr>
        <w:pStyle w:val="LegalNumPar"/>
        <w:numPr>
          <w:ilvl w:val="0"/>
          <w:numId w:val="33"/>
        </w:numPr>
        <w:rPr>
          <w:noProof/>
        </w:rPr>
      </w:pPr>
      <w:r w:rsidRPr="00A02E61">
        <w:t>Kun viitataan tähän kohtaan, sovelletaan asetuksen (EU) N:o 182/2011 5 artiklaa.</w:t>
      </w:r>
    </w:p>
    <w:p w14:paraId="0EA75C28" w14:textId="7BB0BCCC" w:rsidR="00344F69" w:rsidRPr="00A02E61" w:rsidRDefault="00344F69" w:rsidP="00F17558">
      <w:pPr>
        <w:pStyle w:val="Titrearticle"/>
        <w:rPr>
          <w:b/>
          <w:noProof/>
        </w:rPr>
      </w:pPr>
      <w:r w:rsidRPr="00A02E61">
        <w:t xml:space="preserve">28 artikla </w:t>
      </w:r>
      <w:r w:rsidRPr="00A02E61">
        <w:br/>
      </w:r>
      <w:r w:rsidRPr="00A02E61">
        <w:rPr>
          <w:b/>
        </w:rPr>
        <w:t>Ukrainan tukilainasta käytävä vuoropuhelu</w:t>
      </w:r>
    </w:p>
    <w:p w14:paraId="6BC22275" w14:textId="77777777" w:rsidR="00344F69" w:rsidRPr="00A02E61" w:rsidRDefault="00344F69" w:rsidP="00717586">
      <w:pPr>
        <w:pStyle w:val="LegalNumPar"/>
        <w:numPr>
          <w:ilvl w:val="0"/>
          <w:numId w:val="34"/>
        </w:numPr>
        <w:rPr>
          <w:noProof/>
        </w:rPr>
      </w:pPr>
      <w:r w:rsidRPr="00A02E61">
        <w:t>Unionin toimielinten ja erityisesti Euroopan parlamentin, neuvoston ja komission välisen vuoropuhelun tehostamiseksi sekä suuremman avoimuuden ja vastuuvelvollisuuden varmistamiseksi Euroopan parlamentin asiasta vastaava valiokunta voi kutsua komission keskustelemaan tämän asetuksen täytäntöönpanosta.</w:t>
      </w:r>
    </w:p>
    <w:p w14:paraId="11B0CACF" w14:textId="77777777" w:rsidR="00344F69" w:rsidRPr="00A02E61" w:rsidRDefault="00344F69" w:rsidP="00717586">
      <w:pPr>
        <w:pStyle w:val="LegalNumPar"/>
        <w:numPr>
          <w:ilvl w:val="0"/>
          <w:numId w:val="34"/>
        </w:numPr>
        <w:rPr>
          <w:noProof/>
        </w:rPr>
      </w:pPr>
      <w:r w:rsidRPr="00A02E61">
        <w:t>Euroopan parlamentti voi tuoda päätöslauselmissaan esiin näkemyksensä Ukrainan tukilainasta.</w:t>
      </w:r>
    </w:p>
    <w:p w14:paraId="466114AE" w14:textId="77777777" w:rsidR="00344F69" w:rsidRPr="00A02E61" w:rsidRDefault="00344F69" w:rsidP="00717586">
      <w:pPr>
        <w:pStyle w:val="LegalNumPar"/>
        <w:numPr>
          <w:ilvl w:val="0"/>
          <w:numId w:val="34"/>
        </w:numPr>
        <w:rPr>
          <w:noProof/>
        </w:rPr>
      </w:pPr>
      <w:r w:rsidRPr="00A02E61">
        <w:t>Komissio ottaa huomioon Ukrainan tukilainaa käytävän vuoropuhelun yhteydessä esiin tulleet seikat, myös mahdolliset Euroopan parlamentin päätöslauselmat.</w:t>
      </w:r>
    </w:p>
    <w:p w14:paraId="1AD62075" w14:textId="4D7BFC91" w:rsidR="00344F69" w:rsidRPr="00A02E61" w:rsidRDefault="00344F69" w:rsidP="00F17558">
      <w:pPr>
        <w:pStyle w:val="Titrearticle"/>
        <w:rPr>
          <w:b/>
          <w:bCs/>
          <w:noProof/>
        </w:rPr>
      </w:pPr>
      <w:r w:rsidRPr="00A02E61">
        <w:t xml:space="preserve">29 artikla </w:t>
      </w:r>
      <w:r w:rsidRPr="00A02E61">
        <w:br/>
      </w:r>
      <w:r w:rsidRPr="00A02E61">
        <w:rPr>
          <w:b/>
        </w:rPr>
        <w:t>Tietojen antaminen Euroopan parlamentille ja neuvostolle</w:t>
      </w:r>
    </w:p>
    <w:p w14:paraId="7933636A" w14:textId="270AC2D4" w:rsidR="000571A8" w:rsidRPr="00A02E61" w:rsidRDefault="000571A8" w:rsidP="00947D06">
      <w:pPr>
        <w:spacing w:before="0" w:after="160" w:line="360" w:lineRule="auto"/>
        <w:rPr>
          <w:noProof/>
        </w:rPr>
      </w:pPr>
      <w:bookmarkStart w:id="24" w:name="_Hlk215136078"/>
      <w:r w:rsidRPr="00A02E61">
        <w:t>1.</w:t>
      </w:r>
      <w:r w:rsidRPr="00A02E61">
        <w:tab/>
        <w:t>Komissio antaa Euroopan parlamentille ja neuvostolle tietoja tämän asetuksen täytäntöönpanosta, mukaan lukien 4 artiklan 4 kohta, 6 artiklan 1 kohta, 7 artiklan 5 kohta, 11</w:t>
      </w:r>
      <w:r w:rsidR="008B4A45" w:rsidRPr="00A02E61">
        <w:t> </w:t>
      </w:r>
      <w:r w:rsidRPr="00A02E61">
        <w:t>artiklan 4 kohta, 20 artiklan 3 kohta ja 23 artiklan 2 kohta, ja toimittaa kyseisille toimielimille asiaan liittyvät asiakirjat ilman aiheetonta viivytystä. Komission neuvostolle tämän asetuksen tai sen täytäntöönpanon yhteydessä toimittamat tiedot on asetettava yhtäaikaisesti Euroopan parlamentin saataville tarvittaessa luottamuksellisuusjärjestelyjä soveltaen.</w:t>
      </w:r>
    </w:p>
    <w:p w14:paraId="4379CAA6" w14:textId="77777777" w:rsidR="000571A8" w:rsidRPr="00A02E61" w:rsidRDefault="000571A8" w:rsidP="00947D06">
      <w:pPr>
        <w:spacing w:before="0" w:after="160" w:line="360" w:lineRule="auto"/>
        <w:rPr>
          <w:noProof/>
        </w:rPr>
      </w:pPr>
      <w:r w:rsidRPr="00A02E61">
        <w:t>2.</w:t>
      </w:r>
      <w:r w:rsidRPr="00A02E61">
        <w:tab/>
        <w:t xml:space="preserve">Komissio antaa viimeistään 30 päivänä kesäkuuta 2027 ja 30 päivänä kesäkuuta 2028 Euroopan parlamentille ja neuvostolle kertomuksen tämän asetuksen täytäntöönpanosta edellisen vuoden aikana, mukaan lukien täytäntöönpanoa koskeva arviointi. Kyseisessä kertomuksessa </w:t>
      </w:r>
    </w:p>
    <w:p w14:paraId="326026EF" w14:textId="77777777" w:rsidR="002961CD" w:rsidRPr="00A02E61" w:rsidRDefault="000571A8" w:rsidP="00947D06">
      <w:pPr>
        <w:pStyle w:val="Text1"/>
        <w:spacing w:line="360" w:lineRule="auto"/>
        <w:rPr>
          <w:noProof/>
        </w:rPr>
      </w:pPr>
      <w:r w:rsidRPr="00A02E61">
        <w:lastRenderedPageBreak/>
        <w:t>a)</w:t>
      </w:r>
      <w:r w:rsidRPr="00A02E61">
        <w:tab/>
        <w:t xml:space="preserve">tarkastellaan Ukrainan tukilainan täytäntöönpanossa saavutettua edistymistä; </w:t>
      </w:r>
    </w:p>
    <w:p w14:paraId="2DC2767E" w14:textId="77777777" w:rsidR="000571A8" w:rsidRPr="00A02E61" w:rsidRDefault="002961CD" w:rsidP="00947D06">
      <w:pPr>
        <w:pStyle w:val="Text1"/>
        <w:spacing w:line="360" w:lineRule="auto"/>
        <w:rPr>
          <w:noProof/>
        </w:rPr>
      </w:pPr>
      <w:r w:rsidRPr="00A02E61">
        <w:t>b)</w:t>
      </w:r>
      <w:r w:rsidRPr="00A02E61">
        <w:tab/>
        <w:t xml:space="preserve">annetaan tietoja 17 artiklassa tarkoitetusta seurannasta; ja </w:t>
      </w:r>
    </w:p>
    <w:p w14:paraId="1848872F" w14:textId="77777777" w:rsidR="000571A8" w:rsidRPr="00A02E61" w:rsidRDefault="000571A8" w:rsidP="00947D06">
      <w:pPr>
        <w:pStyle w:val="Text1"/>
        <w:spacing w:line="360" w:lineRule="auto"/>
        <w:rPr>
          <w:noProof/>
        </w:rPr>
      </w:pPr>
      <w:r w:rsidRPr="00A02E61">
        <w:t>c)</w:t>
      </w:r>
      <w:r w:rsidRPr="00A02E61">
        <w:tab/>
        <w:t>arvioidaan Ukrainan taloudellista tilannetta ja näkymiä sekä edistymistä 11 artiklan 1 kohdassa tarkoitettujen politiikkaa koskevien ehtojen toteuttamisessa.</w:t>
      </w:r>
    </w:p>
    <w:p w14:paraId="3176CD86" w14:textId="77777777" w:rsidR="00344F69" w:rsidRPr="00A02E61" w:rsidRDefault="000571A8" w:rsidP="00947D06">
      <w:pPr>
        <w:spacing w:before="0" w:after="160" w:line="360" w:lineRule="auto"/>
        <w:rPr>
          <w:noProof/>
        </w:rPr>
      </w:pPr>
      <w:r w:rsidRPr="00A02E61">
        <w:t>3.</w:t>
      </w:r>
      <w:r w:rsidRPr="00A02E61">
        <w:tab/>
        <w:t>Komissio toimittaa Euroopan parlamentille ja neuvostolle viimeistään 30 päivänä kesäkuuta 2029 arviointikertomuksen, jossa arvioidaan tässä asetuksessa säädetyn Ukrainan tukilainan tuloksia ja tehokkuutta sekä sitä, missä määrin tukilaina on edistänyt avun tavoitteiden saavuttamista.</w:t>
      </w:r>
      <w:bookmarkEnd w:id="24"/>
    </w:p>
    <w:p w14:paraId="54ACD1C9" w14:textId="7F96B0E2" w:rsidR="00344F69" w:rsidRPr="00A02E61" w:rsidRDefault="00344F69" w:rsidP="00F17558">
      <w:pPr>
        <w:pStyle w:val="Titrearticle"/>
        <w:rPr>
          <w:b/>
          <w:bCs/>
          <w:noProof/>
        </w:rPr>
      </w:pPr>
      <w:r w:rsidRPr="00A02E61">
        <w:t xml:space="preserve">30 artikla </w:t>
      </w:r>
      <w:r w:rsidRPr="00A02E61">
        <w:br/>
      </w:r>
      <w:r w:rsidRPr="00A02E61">
        <w:rPr>
          <w:b/>
        </w:rPr>
        <w:t>Voimaantulo</w:t>
      </w:r>
    </w:p>
    <w:p w14:paraId="5CD32C5E" w14:textId="77777777" w:rsidR="00344F69" w:rsidRPr="00A02E61" w:rsidRDefault="00344F69" w:rsidP="00344F69">
      <w:pPr>
        <w:spacing w:before="0" w:after="160" w:line="278" w:lineRule="auto"/>
        <w:rPr>
          <w:noProof/>
        </w:rPr>
      </w:pPr>
      <w:r w:rsidRPr="00A02E61">
        <w:t xml:space="preserve">Tämä asetus tulee voimaan sitä päivää seuraavana päivänä, jona se julkaistaan </w:t>
      </w:r>
      <w:r w:rsidRPr="00A02E61">
        <w:rPr>
          <w:i/>
        </w:rPr>
        <w:t>Euroopan unionin virallisessa lehdessä</w:t>
      </w:r>
      <w:r w:rsidRPr="00A02E61">
        <w:t>.</w:t>
      </w:r>
    </w:p>
    <w:p w14:paraId="2C59F295" w14:textId="77777777" w:rsidR="004C4513" w:rsidRPr="00A02E61" w:rsidRDefault="004C4513" w:rsidP="00344F69">
      <w:pPr>
        <w:spacing w:before="0" w:after="160" w:line="278" w:lineRule="auto"/>
        <w:rPr>
          <w:noProof/>
        </w:rPr>
      </w:pPr>
      <w:r w:rsidRPr="00A02E61">
        <w:t>Niiden jäsenvaltioiden osalta, jotka osallistuvat tiiviimpään yhteistyöhön SEUT-sopimuksen 331 artiklan 1 kohdan toisen tai kolmannen alakohdan mukaisesti hyväksytyn päätöksen nojalla, tätä asetusta sovelletaan kyseisessä päätöksessä ilmoitetusta päivästä lähtien.</w:t>
      </w:r>
    </w:p>
    <w:p w14:paraId="11BC0F34" w14:textId="77777777" w:rsidR="00344F69" w:rsidRPr="00A02E61" w:rsidRDefault="00344F69" w:rsidP="00344F69">
      <w:pPr>
        <w:pStyle w:val="Applicationdirecte"/>
        <w:rPr>
          <w:noProof/>
        </w:rPr>
      </w:pPr>
      <w:r w:rsidRPr="00A02E61">
        <w:t>Tämä asetus on kaikilta osiltaan velvoittava, ja sitä sovelletaan osallistuvissa jäsenvaltioissa sellaisenaan perussopimusten mukaisesti.</w:t>
      </w:r>
    </w:p>
    <w:p w14:paraId="76A005E5" w14:textId="0C48EBDC" w:rsidR="00344F69" w:rsidRPr="00A02E61" w:rsidRDefault="00A02E61" w:rsidP="00A02E61">
      <w:pPr>
        <w:pStyle w:val="Fait"/>
        <w:rPr>
          <w:noProof/>
        </w:rPr>
      </w:pPr>
      <w:r w:rsidRPr="00A02E61">
        <w:t>Tehty Brysselissä</w:t>
      </w:r>
    </w:p>
    <w:p w14:paraId="740F1162" w14:textId="77777777" w:rsidR="00344F69" w:rsidRPr="00A02E61" w:rsidRDefault="00344F69" w:rsidP="00694AAE">
      <w:pPr>
        <w:pStyle w:val="Institutionquisigne"/>
        <w:rPr>
          <w:noProof/>
        </w:rPr>
      </w:pPr>
      <w:r w:rsidRPr="00A02E61">
        <w:t>Euroopan parlamentin puolesta</w:t>
      </w:r>
      <w:r w:rsidRPr="00A02E61">
        <w:tab/>
        <w:t>Neuvoston puolesta</w:t>
      </w:r>
    </w:p>
    <w:p w14:paraId="011ACBB9" w14:textId="77777777" w:rsidR="00344F69" w:rsidRPr="0093115D" w:rsidRDefault="00344F69" w:rsidP="00344F69">
      <w:pPr>
        <w:pStyle w:val="Personnequisigne"/>
        <w:rPr>
          <w:noProof/>
        </w:rPr>
      </w:pPr>
      <w:r w:rsidRPr="0093115D">
        <w:t>Puhemies</w:t>
      </w:r>
      <w:r w:rsidRPr="0093115D">
        <w:tab/>
        <w:t>Puheenjohtaja</w:t>
      </w:r>
    </w:p>
    <w:p w14:paraId="34C231AC" w14:textId="77777777" w:rsidR="00860EFB" w:rsidRPr="00A8443F" w:rsidRDefault="00860EFB" w:rsidP="00860EFB">
      <w:pPr>
        <w:spacing w:before="0" w:after="200" w:line="276" w:lineRule="auto"/>
        <w:jc w:val="left"/>
        <w:rPr>
          <w:i/>
          <w:noProof/>
          <w:lang w:val="en-IE"/>
        </w:rPr>
      </w:pPr>
      <w:r w:rsidRPr="00A8443F">
        <w:rPr>
          <w:noProof/>
          <w:lang w:val="en-IE"/>
        </w:rPr>
        <w:br w:type="page"/>
      </w:r>
    </w:p>
    <w:p w14:paraId="73B8E3A5" w14:textId="77777777" w:rsidR="0093115D" w:rsidRPr="00274E0D" w:rsidRDefault="0093115D" w:rsidP="00860EFB">
      <w:pPr>
        <w:pStyle w:val="Fichefinanciretitre"/>
        <w:keepNext/>
        <w:rPr>
          <w:noProof/>
        </w:rPr>
      </w:pPr>
      <w:r w:rsidRPr="00274E0D">
        <w:lastRenderedPageBreak/>
        <w:t>SÄÄDÖSEHDOTUKSEEN LIITTYVÄ RAHOITUSTA JA DIGITAALISIA VAIKUTUKSIA KOSKEVA SELVITYS</w:t>
      </w:r>
    </w:p>
    <w:p w14:paraId="17023126" w14:textId="77777777" w:rsidR="0093115D" w:rsidRPr="00274E0D" w:rsidRDefault="0093115D" w:rsidP="00760DBB">
      <w:pPr>
        <w:pStyle w:val="TOC1"/>
        <w:rPr>
          <w:rFonts w:asciiTheme="minorHAnsi" w:eastAsiaTheme="minorEastAsia" w:hAnsiTheme="minorHAnsi" w:cstheme="minorBidi"/>
          <w:noProof/>
          <w:kern w:val="2"/>
          <w:sz w:val="22"/>
          <w14:ligatures w14:val="standardContextual"/>
        </w:rPr>
      </w:pPr>
      <w:r w:rsidRPr="00274E0D">
        <w:t>1.</w:t>
      </w:r>
      <w:r w:rsidRPr="00274E0D">
        <w:tab/>
        <w:t>PERUSTIEDOT EHDOTUKSESTA/ALOITTEESTA</w:t>
      </w:r>
      <w:r w:rsidRPr="00274E0D">
        <w:tab/>
      </w:r>
      <w:r w:rsidRPr="00274E0D">
        <w:rPr>
          <w:webHidden/>
        </w:rPr>
        <w:t>3</w:t>
      </w:r>
    </w:p>
    <w:p w14:paraId="4A242A30"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1.1.</w:t>
      </w:r>
      <w:r w:rsidRPr="00274E0D">
        <w:tab/>
        <w:t>Ehdotuksen/aloitteen nimi</w:t>
      </w:r>
      <w:r w:rsidRPr="00274E0D">
        <w:tab/>
      </w:r>
      <w:r w:rsidRPr="00274E0D">
        <w:rPr>
          <w:webHidden/>
        </w:rPr>
        <w:t>3</w:t>
      </w:r>
    </w:p>
    <w:p w14:paraId="687353CB"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1.2.</w:t>
      </w:r>
      <w:r w:rsidRPr="00274E0D">
        <w:tab/>
        <w:t>Toimintalohko(t)</w:t>
      </w:r>
      <w:r w:rsidRPr="00274E0D">
        <w:tab/>
      </w:r>
      <w:r w:rsidRPr="00274E0D">
        <w:rPr>
          <w:webHidden/>
        </w:rPr>
        <w:t>3</w:t>
      </w:r>
    </w:p>
    <w:p w14:paraId="2B628337"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1.3.</w:t>
      </w:r>
      <w:r w:rsidRPr="00274E0D">
        <w:tab/>
        <w:t>Tavoite (Tavoitteet)</w:t>
      </w:r>
      <w:r w:rsidRPr="00274E0D">
        <w:tab/>
      </w:r>
      <w:r w:rsidRPr="00274E0D">
        <w:rPr>
          <w:webHidden/>
        </w:rPr>
        <w:t>3</w:t>
      </w:r>
    </w:p>
    <w:p w14:paraId="7D50A11B"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1.3.1.</w:t>
      </w:r>
      <w:r w:rsidRPr="00274E0D">
        <w:tab/>
        <w:t>Yleistavoite (Yleistavoitteet)</w:t>
      </w:r>
      <w:r w:rsidRPr="00274E0D">
        <w:tab/>
      </w:r>
      <w:r w:rsidRPr="00274E0D">
        <w:rPr>
          <w:webHidden/>
        </w:rPr>
        <w:t>3</w:t>
      </w:r>
    </w:p>
    <w:p w14:paraId="194177A1"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1.3.2.</w:t>
      </w:r>
      <w:r w:rsidRPr="00274E0D">
        <w:tab/>
        <w:t>Erityistavoite (Erityistavoitteet)</w:t>
      </w:r>
      <w:r w:rsidRPr="00274E0D">
        <w:tab/>
      </w:r>
      <w:r w:rsidRPr="00274E0D">
        <w:rPr>
          <w:webHidden/>
        </w:rPr>
        <w:t>3</w:t>
      </w:r>
    </w:p>
    <w:p w14:paraId="7F9727D6"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1.3.3.</w:t>
      </w:r>
      <w:r w:rsidRPr="00274E0D">
        <w:tab/>
        <w:t>Odotettavissa olevat tulokset ja vaikutukset</w:t>
      </w:r>
      <w:r w:rsidRPr="00274E0D">
        <w:tab/>
      </w:r>
      <w:r w:rsidRPr="00274E0D">
        <w:rPr>
          <w:webHidden/>
        </w:rPr>
        <w:t>3</w:t>
      </w:r>
    </w:p>
    <w:p w14:paraId="64E04077"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1.3.4.</w:t>
      </w:r>
      <w:r w:rsidRPr="00274E0D">
        <w:tab/>
        <w:t>Tulosindikaattorit</w:t>
      </w:r>
      <w:r w:rsidRPr="00274E0D">
        <w:tab/>
      </w:r>
      <w:r w:rsidRPr="00274E0D">
        <w:rPr>
          <w:webHidden/>
        </w:rPr>
        <w:t>3</w:t>
      </w:r>
    </w:p>
    <w:p w14:paraId="0A15FBA9"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1.4.</w:t>
      </w:r>
      <w:r w:rsidRPr="00274E0D">
        <w:tab/>
        <w:t>Ehdotus/aloite liittyy</w:t>
      </w:r>
      <w:r w:rsidRPr="00274E0D">
        <w:tab/>
      </w:r>
      <w:r w:rsidRPr="00274E0D">
        <w:rPr>
          <w:webHidden/>
        </w:rPr>
        <w:t>4</w:t>
      </w:r>
    </w:p>
    <w:p w14:paraId="0864417D"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1.5.</w:t>
      </w:r>
      <w:r w:rsidRPr="00274E0D">
        <w:tab/>
        <w:t>Ehdotuksen/aloitteen perustelut</w:t>
      </w:r>
      <w:r w:rsidRPr="00274E0D">
        <w:tab/>
      </w:r>
      <w:r w:rsidRPr="00274E0D">
        <w:rPr>
          <w:webHidden/>
        </w:rPr>
        <w:t>4</w:t>
      </w:r>
    </w:p>
    <w:p w14:paraId="093109A4"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1.5.1.</w:t>
      </w:r>
      <w:r w:rsidRPr="00274E0D">
        <w:tab/>
        <w:t>Tarpeet, joihin ehdotuksella/aloitteella vastataan lyhyellä tai pitkällä aikavälillä sekä aloitteen yksityiskohtainen toteutusaikataulu</w:t>
      </w:r>
      <w:r w:rsidRPr="00274E0D">
        <w:tab/>
      </w:r>
      <w:r w:rsidRPr="00274E0D">
        <w:rPr>
          <w:webHidden/>
        </w:rPr>
        <w:t>4</w:t>
      </w:r>
    </w:p>
    <w:p w14:paraId="394B9904"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1.5.2.</w:t>
      </w:r>
      <w:r w:rsidRPr="00274E0D">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r w:rsidRPr="00274E0D">
        <w:tab/>
      </w:r>
      <w:r w:rsidRPr="00274E0D">
        <w:rPr>
          <w:webHidden/>
        </w:rPr>
        <w:t>4</w:t>
      </w:r>
    </w:p>
    <w:p w14:paraId="243A1063"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1.5.3.</w:t>
      </w:r>
      <w:r w:rsidRPr="00274E0D">
        <w:tab/>
        <w:t>Vastaavista toimista saadut kokemukset</w:t>
      </w:r>
      <w:r w:rsidRPr="00274E0D">
        <w:tab/>
      </w:r>
      <w:r w:rsidRPr="00274E0D">
        <w:rPr>
          <w:webHidden/>
        </w:rPr>
        <w:t>4</w:t>
      </w:r>
    </w:p>
    <w:p w14:paraId="629368F3"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1.5.4.</w:t>
      </w:r>
      <w:r w:rsidRPr="00274E0D">
        <w:tab/>
        <w:t>Yhteensopivuus monivuotisen rahoituskehyksen kanssa ja mahdolliset synergiaedut suhteessa muihin kyseeseen tuleviin välineisiin</w:t>
      </w:r>
      <w:r w:rsidRPr="00274E0D">
        <w:tab/>
      </w:r>
      <w:r w:rsidRPr="00274E0D">
        <w:rPr>
          <w:webHidden/>
        </w:rPr>
        <w:t>5</w:t>
      </w:r>
    </w:p>
    <w:p w14:paraId="4C2E1AF4"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1.5.5.</w:t>
      </w:r>
      <w:r w:rsidRPr="00274E0D">
        <w:tab/>
        <w:t>Arvio käytettävissä olevista rahoitusvaihtoehdoista, mukaan lukien mahdollisuudet määrärahojen uudelleenkohdentamiseen</w:t>
      </w:r>
      <w:r w:rsidRPr="00274E0D">
        <w:tab/>
      </w:r>
      <w:r w:rsidRPr="00274E0D">
        <w:rPr>
          <w:webHidden/>
        </w:rPr>
        <w:t>5</w:t>
      </w:r>
    </w:p>
    <w:p w14:paraId="1FCCD2F7"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1.6.</w:t>
      </w:r>
      <w:r w:rsidRPr="00274E0D">
        <w:tab/>
        <w:t>Ehdotetun toimen/aloitteen ja sen rahoitusvaikutusten kesto</w:t>
      </w:r>
      <w:r w:rsidRPr="00274E0D">
        <w:tab/>
      </w:r>
      <w:r w:rsidRPr="00274E0D">
        <w:rPr>
          <w:webHidden/>
        </w:rPr>
        <w:t>6</w:t>
      </w:r>
    </w:p>
    <w:p w14:paraId="0FC61CC8"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1.7.</w:t>
      </w:r>
      <w:r w:rsidRPr="00274E0D">
        <w:tab/>
        <w:t>Suunniteltu talousarvion toteuttamistapa / Suunnitellut talousarvion toteuttamistavat</w:t>
      </w:r>
      <w:r w:rsidRPr="00274E0D">
        <w:tab/>
      </w:r>
      <w:r w:rsidRPr="00274E0D">
        <w:rPr>
          <w:webHidden/>
        </w:rPr>
        <w:t>6</w:t>
      </w:r>
    </w:p>
    <w:p w14:paraId="3E4AF056" w14:textId="77777777" w:rsidR="0093115D" w:rsidRPr="00274E0D" w:rsidRDefault="0093115D" w:rsidP="00760DBB">
      <w:pPr>
        <w:pStyle w:val="TOC1"/>
        <w:rPr>
          <w:rFonts w:asciiTheme="minorHAnsi" w:eastAsiaTheme="minorEastAsia" w:hAnsiTheme="minorHAnsi" w:cstheme="minorBidi"/>
          <w:noProof/>
          <w:kern w:val="2"/>
          <w:sz w:val="22"/>
          <w14:ligatures w14:val="standardContextual"/>
        </w:rPr>
      </w:pPr>
      <w:r w:rsidRPr="00274E0D">
        <w:t>2.</w:t>
      </w:r>
      <w:r w:rsidRPr="00274E0D">
        <w:tab/>
        <w:t>HALLINNOINTI</w:t>
      </w:r>
      <w:r w:rsidRPr="00274E0D">
        <w:tab/>
      </w:r>
      <w:r w:rsidRPr="00274E0D">
        <w:rPr>
          <w:webHidden/>
        </w:rPr>
        <w:t>8</w:t>
      </w:r>
    </w:p>
    <w:p w14:paraId="5BF2D840"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2.1.</w:t>
      </w:r>
      <w:r w:rsidRPr="00274E0D">
        <w:tab/>
        <w:t>Seuranta- ja raportointisäännöt</w:t>
      </w:r>
      <w:r w:rsidRPr="00274E0D">
        <w:tab/>
      </w:r>
      <w:r w:rsidRPr="00274E0D">
        <w:rPr>
          <w:webHidden/>
        </w:rPr>
        <w:t>8</w:t>
      </w:r>
    </w:p>
    <w:p w14:paraId="0E5EF442"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2.2.</w:t>
      </w:r>
      <w:r w:rsidRPr="00274E0D">
        <w:tab/>
        <w:t>Hallinnointi- ja valvontajärjestelmä(t)</w:t>
      </w:r>
      <w:r w:rsidRPr="00274E0D">
        <w:tab/>
      </w:r>
      <w:r w:rsidRPr="00274E0D">
        <w:rPr>
          <w:webHidden/>
        </w:rPr>
        <w:t>8</w:t>
      </w:r>
    </w:p>
    <w:p w14:paraId="6BCD35C1"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2.2.1.</w:t>
      </w:r>
      <w:r w:rsidRPr="00274E0D">
        <w:tab/>
        <w:t>Perustelut ehdotetu(i)lle talousarvion toteuttamistavalle(/-tavoille), rahoituksen toteutusmekanismille(/-mekanismeille), maksujärjestelyille sekä valvontastrategialle</w:t>
      </w:r>
      <w:r w:rsidRPr="00274E0D">
        <w:tab/>
      </w:r>
      <w:r w:rsidRPr="00274E0D">
        <w:rPr>
          <w:webHidden/>
        </w:rPr>
        <w:t>8</w:t>
      </w:r>
    </w:p>
    <w:p w14:paraId="3A942CA4"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2.2.2.</w:t>
      </w:r>
      <w:r w:rsidRPr="00274E0D">
        <w:tab/>
        <w:t>Tiedot todetuista riskeistä ja niiden vähentämiseksi käyttöön otetuista sisäisistä valvontajärjestelmistä</w:t>
      </w:r>
      <w:r w:rsidRPr="00274E0D">
        <w:tab/>
      </w:r>
      <w:r w:rsidRPr="00274E0D">
        <w:rPr>
          <w:webHidden/>
        </w:rPr>
        <w:t>8</w:t>
      </w:r>
    </w:p>
    <w:p w14:paraId="61816F69"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2.2.3.</w:t>
      </w:r>
      <w:r w:rsidRPr="00274E0D">
        <w:tab/>
        <w:t>Valvonnan kustannustehokkuutta (valvontakustannusten suhde hallinnoitujen varojen arvoon) koskevat arviot ja perustelut sekä arviot maksujen suoritusajankohdan ja toimen päättämisajankohdan odotetuista virheriskitasoista</w:t>
      </w:r>
      <w:r w:rsidRPr="00274E0D">
        <w:tab/>
      </w:r>
      <w:r w:rsidRPr="00274E0D">
        <w:rPr>
          <w:webHidden/>
        </w:rPr>
        <w:t>8</w:t>
      </w:r>
    </w:p>
    <w:p w14:paraId="3D9BF533"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2.3.</w:t>
      </w:r>
      <w:r w:rsidRPr="00274E0D">
        <w:tab/>
        <w:t>Toimenpiteet petosten ja sääntöjenvastaisuuksien ehkäisemiseksi</w:t>
      </w:r>
      <w:r w:rsidRPr="00274E0D">
        <w:tab/>
      </w:r>
      <w:r w:rsidRPr="00274E0D">
        <w:rPr>
          <w:webHidden/>
        </w:rPr>
        <w:t>9</w:t>
      </w:r>
    </w:p>
    <w:p w14:paraId="231A6824" w14:textId="77777777" w:rsidR="0093115D" w:rsidRPr="00274E0D" w:rsidRDefault="0093115D" w:rsidP="00760DBB">
      <w:pPr>
        <w:pStyle w:val="TOC1"/>
        <w:rPr>
          <w:rFonts w:asciiTheme="minorHAnsi" w:eastAsiaTheme="minorEastAsia" w:hAnsiTheme="minorHAnsi" w:cstheme="minorBidi"/>
          <w:noProof/>
          <w:kern w:val="2"/>
          <w:sz w:val="22"/>
          <w14:ligatures w14:val="standardContextual"/>
        </w:rPr>
      </w:pPr>
      <w:r w:rsidRPr="00274E0D">
        <w:t>3.</w:t>
      </w:r>
      <w:r w:rsidRPr="00274E0D">
        <w:tab/>
        <w:t>EHDOTUKSEN/ALOITTEEN ARVIOIDUT RAHOITUSVAIKUTUKSET</w:t>
      </w:r>
      <w:r w:rsidRPr="00274E0D">
        <w:tab/>
      </w:r>
      <w:r w:rsidRPr="00274E0D">
        <w:rPr>
          <w:webHidden/>
        </w:rPr>
        <w:t>10</w:t>
      </w:r>
    </w:p>
    <w:p w14:paraId="4719F2E9"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lastRenderedPageBreak/>
        <w:t>3.1.</w:t>
      </w:r>
      <w:r w:rsidRPr="00274E0D">
        <w:tab/>
        <w:t>Kyseeseen tulevat monivuotisen rahoituskehyksen otsakkeet ja menopuolen budjettikohdat</w:t>
      </w:r>
      <w:r w:rsidRPr="00274E0D">
        <w:tab/>
      </w:r>
      <w:r w:rsidRPr="00274E0D">
        <w:rPr>
          <w:webHidden/>
        </w:rPr>
        <w:t>10</w:t>
      </w:r>
    </w:p>
    <w:p w14:paraId="4988B993"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3.2.</w:t>
      </w:r>
      <w:r w:rsidRPr="00274E0D">
        <w:tab/>
        <w:t>Arvioidut vaikutukset määrärahoihin</w:t>
      </w:r>
      <w:r w:rsidRPr="00274E0D">
        <w:tab/>
      </w:r>
      <w:r w:rsidRPr="00274E0D">
        <w:rPr>
          <w:webHidden/>
        </w:rPr>
        <w:t>12</w:t>
      </w:r>
    </w:p>
    <w:p w14:paraId="1D440995"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3.2.1.</w:t>
      </w:r>
      <w:r w:rsidRPr="00274E0D">
        <w:tab/>
        <w:t>Yhteenveto arvioiduista vaikutuksista toimintamäärärahoihin</w:t>
      </w:r>
      <w:r w:rsidRPr="00274E0D">
        <w:tab/>
      </w:r>
      <w:r w:rsidRPr="00274E0D">
        <w:rPr>
          <w:webHidden/>
        </w:rPr>
        <w:t>12</w:t>
      </w:r>
    </w:p>
    <w:p w14:paraId="5630500D"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3.2.1.1.</w:t>
      </w:r>
      <w:r w:rsidRPr="00274E0D">
        <w:tab/>
        <w:t>Hyväksytystä talousarviosta peräisin olevat määrärahat</w:t>
      </w:r>
      <w:r w:rsidRPr="00274E0D">
        <w:tab/>
      </w:r>
      <w:r w:rsidRPr="00274E0D">
        <w:rPr>
          <w:webHidden/>
        </w:rPr>
        <w:t>12</w:t>
      </w:r>
    </w:p>
    <w:p w14:paraId="167BE209"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3.2.1.2.</w:t>
      </w:r>
      <w:r w:rsidRPr="00274E0D">
        <w:tab/>
        <w:t>Ulkoisista käyttötarkoitukseensa sidotuista tuloista peräisin olevat määrärahat</w:t>
      </w:r>
      <w:r w:rsidRPr="00274E0D">
        <w:tab/>
      </w:r>
      <w:r w:rsidRPr="00274E0D">
        <w:rPr>
          <w:webHidden/>
        </w:rPr>
        <w:t>17</w:t>
      </w:r>
    </w:p>
    <w:p w14:paraId="299B288C"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3.2.2.</w:t>
      </w:r>
      <w:r w:rsidRPr="00274E0D">
        <w:tab/>
        <w:t>Arvioidut toimintamäärärahoista rahoitetut tuotokset</w:t>
      </w:r>
      <w:r w:rsidRPr="00274E0D">
        <w:tab/>
      </w:r>
      <w:r w:rsidRPr="00274E0D">
        <w:rPr>
          <w:webHidden/>
        </w:rPr>
        <w:t>22</w:t>
      </w:r>
    </w:p>
    <w:p w14:paraId="406F3BF4"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3.2.3.</w:t>
      </w:r>
      <w:r w:rsidRPr="00274E0D">
        <w:tab/>
        <w:t>Yhteenveto arvioiduista vaikutuksista hallintomäärärahoihin</w:t>
      </w:r>
      <w:r w:rsidRPr="00274E0D">
        <w:tab/>
      </w:r>
      <w:r w:rsidRPr="00274E0D">
        <w:rPr>
          <w:webHidden/>
        </w:rPr>
        <w:t>24</w:t>
      </w:r>
    </w:p>
    <w:p w14:paraId="065BE938"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3.2.3.1. Hyväksytystä talousarviosta peräisin olevat määrärahat</w:t>
      </w:r>
      <w:r w:rsidRPr="00274E0D">
        <w:tab/>
      </w:r>
      <w:r w:rsidRPr="00274E0D">
        <w:rPr>
          <w:webHidden/>
        </w:rPr>
        <w:t>24</w:t>
      </w:r>
    </w:p>
    <w:p w14:paraId="0F0EBA33"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3.2.3.2.</w:t>
      </w:r>
      <w:r w:rsidRPr="00274E0D">
        <w:tab/>
        <w:t>Ulkoisista käyttötarkoitukseensa sidotuista tuloista peräisin olevat määrärahat</w:t>
      </w:r>
      <w:r w:rsidRPr="00274E0D">
        <w:tab/>
      </w:r>
      <w:r w:rsidRPr="00274E0D">
        <w:rPr>
          <w:webHidden/>
        </w:rPr>
        <w:t>24</w:t>
      </w:r>
    </w:p>
    <w:p w14:paraId="4309FA7D"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3.2.3.3.</w:t>
      </w:r>
      <w:r w:rsidRPr="00274E0D">
        <w:tab/>
        <w:t>Määrärahat yhteensä</w:t>
      </w:r>
      <w:r w:rsidRPr="00274E0D">
        <w:tab/>
      </w:r>
      <w:r w:rsidRPr="00274E0D">
        <w:rPr>
          <w:webHidden/>
        </w:rPr>
        <w:t>24</w:t>
      </w:r>
    </w:p>
    <w:p w14:paraId="70DB5D95"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3.2.4.</w:t>
      </w:r>
      <w:r w:rsidRPr="00274E0D">
        <w:tab/>
        <w:t>Henkilöresurssien arvioitu tarve</w:t>
      </w:r>
      <w:r w:rsidRPr="00274E0D">
        <w:tab/>
      </w:r>
      <w:r w:rsidRPr="00274E0D">
        <w:rPr>
          <w:webHidden/>
        </w:rPr>
        <w:t>25</w:t>
      </w:r>
    </w:p>
    <w:p w14:paraId="2AA2049B"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3.2.4.1.</w:t>
      </w:r>
      <w:r w:rsidRPr="00274E0D">
        <w:tab/>
        <w:t>Hyväksytystä talousarviosta katettavat</w:t>
      </w:r>
      <w:r w:rsidRPr="00274E0D">
        <w:tab/>
      </w:r>
      <w:r w:rsidRPr="00274E0D">
        <w:rPr>
          <w:webHidden/>
        </w:rPr>
        <w:t>25</w:t>
      </w:r>
    </w:p>
    <w:p w14:paraId="2497824E"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3.2.4.2.</w:t>
      </w:r>
      <w:r w:rsidRPr="00274E0D">
        <w:tab/>
        <w:t>Ulkoisilla käyttötarkoitukseensa sidotuilla tuloilla katettavat</w:t>
      </w:r>
      <w:r w:rsidRPr="00274E0D">
        <w:tab/>
      </w:r>
      <w:r w:rsidRPr="00274E0D">
        <w:rPr>
          <w:webHidden/>
        </w:rPr>
        <w:t>26</w:t>
      </w:r>
    </w:p>
    <w:p w14:paraId="636EB590"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3.2.4.3.</w:t>
      </w:r>
      <w:r w:rsidRPr="00274E0D">
        <w:tab/>
        <w:t>Henkilöresurssien kokonaistarve</w:t>
      </w:r>
      <w:r w:rsidRPr="00274E0D">
        <w:tab/>
      </w:r>
      <w:r w:rsidRPr="00274E0D">
        <w:rPr>
          <w:webHidden/>
        </w:rPr>
        <w:t>26</w:t>
      </w:r>
    </w:p>
    <w:p w14:paraId="29383D3D"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3.2.5.</w:t>
      </w:r>
      <w:r w:rsidRPr="00274E0D">
        <w:tab/>
        <w:t>Yhteenveto arvioiduista vaikutuksista digitaaliteknologiaan liittyviin investointeihin</w:t>
      </w:r>
      <w:r w:rsidRPr="00274E0D">
        <w:tab/>
      </w:r>
      <w:r w:rsidRPr="00274E0D">
        <w:rPr>
          <w:webHidden/>
        </w:rPr>
        <w:t>28</w:t>
      </w:r>
    </w:p>
    <w:p w14:paraId="6D922486"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3.2.6.</w:t>
      </w:r>
      <w:r w:rsidRPr="00274E0D">
        <w:tab/>
        <w:t>Yhteensopivuus nykyisen monivuotisen rahoituskehyksen kanssa</w:t>
      </w:r>
      <w:r w:rsidRPr="00274E0D">
        <w:tab/>
      </w:r>
      <w:r w:rsidRPr="00274E0D">
        <w:rPr>
          <w:webHidden/>
        </w:rPr>
        <w:t>28</w:t>
      </w:r>
    </w:p>
    <w:p w14:paraId="1A9020F1" w14:textId="77777777" w:rsidR="0093115D" w:rsidRPr="00274E0D" w:rsidRDefault="0093115D" w:rsidP="00760DBB">
      <w:pPr>
        <w:pStyle w:val="TOC3"/>
        <w:rPr>
          <w:rFonts w:asciiTheme="minorHAnsi" w:eastAsiaTheme="minorEastAsia" w:hAnsiTheme="minorHAnsi" w:cstheme="minorBidi"/>
          <w:noProof/>
          <w:kern w:val="2"/>
          <w:sz w:val="22"/>
          <w14:ligatures w14:val="standardContextual"/>
        </w:rPr>
      </w:pPr>
      <w:r w:rsidRPr="00274E0D">
        <w:t>3.2.7.</w:t>
      </w:r>
      <w:r w:rsidRPr="00274E0D">
        <w:tab/>
        <w:t>Ulkopuolisten tahojen rahoitusosuudet</w:t>
      </w:r>
      <w:r w:rsidRPr="00274E0D">
        <w:tab/>
      </w:r>
      <w:r w:rsidRPr="00274E0D">
        <w:rPr>
          <w:webHidden/>
        </w:rPr>
        <w:t>28</w:t>
      </w:r>
    </w:p>
    <w:p w14:paraId="264C858F"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3.3.</w:t>
      </w:r>
      <w:r w:rsidRPr="00274E0D">
        <w:tab/>
        <w:t>Arvioidut vaikutukset tuloihin</w:t>
      </w:r>
      <w:r w:rsidRPr="00274E0D">
        <w:tab/>
      </w:r>
      <w:r w:rsidRPr="00274E0D">
        <w:rPr>
          <w:webHidden/>
        </w:rPr>
        <w:t>29</w:t>
      </w:r>
    </w:p>
    <w:p w14:paraId="60AC87C7" w14:textId="77777777" w:rsidR="0093115D" w:rsidRPr="00274E0D" w:rsidRDefault="0093115D" w:rsidP="00760DBB">
      <w:pPr>
        <w:pStyle w:val="TOC1"/>
        <w:rPr>
          <w:rFonts w:asciiTheme="minorHAnsi" w:eastAsiaTheme="minorEastAsia" w:hAnsiTheme="minorHAnsi" w:cstheme="minorBidi"/>
          <w:noProof/>
          <w:kern w:val="2"/>
          <w:sz w:val="22"/>
          <w14:ligatures w14:val="standardContextual"/>
        </w:rPr>
      </w:pPr>
      <w:r w:rsidRPr="00274E0D">
        <w:t>4.</w:t>
      </w:r>
      <w:r w:rsidRPr="00274E0D">
        <w:tab/>
      </w:r>
      <w:r w:rsidRPr="00274E0D">
        <w:rPr>
          <w:caps/>
        </w:rPr>
        <w:t>Digitaaliset ulottuvuudet</w:t>
      </w:r>
      <w:r w:rsidRPr="00274E0D">
        <w:tab/>
      </w:r>
      <w:r w:rsidRPr="00274E0D">
        <w:rPr>
          <w:webHidden/>
        </w:rPr>
        <w:t>29</w:t>
      </w:r>
    </w:p>
    <w:p w14:paraId="55E1CC69"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4.1.</w:t>
      </w:r>
      <w:r w:rsidRPr="00274E0D">
        <w:tab/>
        <w:t>Vaatimukset, joilla on merkitystä digitalisaation kannalta</w:t>
      </w:r>
      <w:r w:rsidRPr="00274E0D">
        <w:tab/>
      </w:r>
      <w:r w:rsidRPr="00274E0D">
        <w:rPr>
          <w:webHidden/>
        </w:rPr>
        <w:t>30</w:t>
      </w:r>
    </w:p>
    <w:p w14:paraId="526BC04B"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4.2.</w:t>
      </w:r>
      <w:r w:rsidRPr="00274E0D">
        <w:tab/>
        <w:t>Data</w:t>
      </w:r>
      <w:r w:rsidRPr="00274E0D">
        <w:tab/>
      </w:r>
      <w:r w:rsidRPr="00274E0D">
        <w:rPr>
          <w:webHidden/>
        </w:rPr>
        <w:t>30</w:t>
      </w:r>
    </w:p>
    <w:p w14:paraId="0ABCE985"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4.3.</w:t>
      </w:r>
      <w:r w:rsidRPr="00274E0D">
        <w:tab/>
        <w:t>Digitaaliset ratkaisut</w:t>
      </w:r>
      <w:r w:rsidRPr="00274E0D">
        <w:tab/>
      </w:r>
      <w:r w:rsidRPr="00274E0D">
        <w:rPr>
          <w:webHidden/>
        </w:rPr>
        <w:t>31</w:t>
      </w:r>
    </w:p>
    <w:p w14:paraId="0C5758DA"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4.4.</w:t>
      </w:r>
      <w:r w:rsidRPr="00274E0D">
        <w:tab/>
        <w:t>Yhteentoimivuusarviointi</w:t>
      </w:r>
      <w:r w:rsidRPr="00274E0D">
        <w:tab/>
      </w:r>
      <w:r w:rsidRPr="00274E0D">
        <w:rPr>
          <w:webHidden/>
        </w:rPr>
        <w:t>31</w:t>
      </w:r>
    </w:p>
    <w:p w14:paraId="0DF86C41" w14:textId="77777777" w:rsidR="0093115D" w:rsidRPr="00274E0D" w:rsidRDefault="0093115D" w:rsidP="00760DBB">
      <w:pPr>
        <w:pStyle w:val="TOC2"/>
        <w:rPr>
          <w:rFonts w:asciiTheme="minorHAnsi" w:eastAsiaTheme="minorEastAsia" w:hAnsiTheme="minorHAnsi" w:cstheme="minorBidi"/>
          <w:noProof/>
          <w:kern w:val="2"/>
          <w:sz w:val="22"/>
          <w14:ligatures w14:val="standardContextual"/>
        </w:rPr>
      </w:pPr>
      <w:r w:rsidRPr="00274E0D">
        <w:t>4.5.</w:t>
      </w:r>
      <w:r w:rsidRPr="00274E0D">
        <w:tab/>
        <w:t>Toimenpiteet digitaalisen täytäntöönpanon tukemiseksi</w:t>
      </w:r>
      <w:r w:rsidRPr="00274E0D">
        <w:tab/>
      </w:r>
      <w:r w:rsidRPr="00274E0D">
        <w:rPr>
          <w:webHidden/>
        </w:rPr>
        <w:t>32</w:t>
      </w:r>
    </w:p>
    <w:p w14:paraId="0E5DB0EA" w14:textId="77777777" w:rsidR="0093115D" w:rsidRPr="00274E0D" w:rsidRDefault="0093115D" w:rsidP="00760DBB">
      <w:pPr>
        <w:pStyle w:val="TOC1"/>
        <w:ind w:left="0" w:firstLine="0"/>
        <w:rPr>
          <w:noProof/>
        </w:rPr>
        <w:sectPr w:rsidR="0093115D" w:rsidRPr="00274E0D" w:rsidSect="0093115D">
          <w:headerReference w:type="even" r:id="rId16"/>
          <w:footerReference w:type="even" r:id="rId17"/>
          <w:footerReference w:type="default" r:id="rId18"/>
          <w:headerReference w:type="first" r:id="rId19"/>
          <w:footerReference w:type="first" r:id="rId20"/>
          <w:pgSz w:w="11907" w:h="16840" w:code="9"/>
          <w:pgMar w:top="1134" w:right="1418" w:bottom="1134" w:left="1418" w:header="709" w:footer="709" w:gutter="0"/>
          <w:pgNumType w:start="1"/>
          <w:cols w:space="720"/>
          <w:docGrid w:linePitch="360"/>
        </w:sectPr>
      </w:pPr>
    </w:p>
    <w:p w14:paraId="3B58B66F" w14:textId="77777777" w:rsidR="0093115D" w:rsidRPr="00274E0D" w:rsidRDefault="0093115D" w:rsidP="00760DBB">
      <w:pPr>
        <w:pStyle w:val="ManualHeading1"/>
        <w:rPr>
          <w:noProof/>
        </w:rPr>
      </w:pPr>
      <w:bookmarkStart w:id="25" w:name="_Toc514938007"/>
      <w:bookmarkStart w:id="26" w:name="_Toc520485025"/>
      <w:bookmarkStart w:id="27" w:name="_Toc160804567"/>
      <w:bookmarkStart w:id="28" w:name="_Toc167220259"/>
      <w:bookmarkStart w:id="29" w:name="_Toc177548992"/>
      <w:r w:rsidRPr="00274E0D">
        <w:lastRenderedPageBreak/>
        <w:t>1.</w:t>
      </w:r>
      <w:r w:rsidRPr="00274E0D">
        <w:tab/>
        <w:t>PERUSTIEDOT EHDOTUKSESTA/ALOITTEESTA</w:t>
      </w:r>
      <w:bookmarkEnd w:id="25"/>
      <w:bookmarkEnd w:id="26"/>
      <w:bookmarkEnd w:id="27"/>
      <w:bookmarkEnd w:id="28"/>
      <w:bookmarkEnd w:id="29"/>
      <w:r w:rsidRPr="00274E0D">
        <w:t xml:space="preserve"> </w:t>
      </w:r>
    </w:p>
    <w:p w14:paraId="555B875B" w14:textId="77777777" w:rsidR="0093115D" w:rsidRPr="00274E0D" w:rsidRDefault="0093115D" w:rsidP="00760DBB">
      <w:pPr>
        <w:pStyle w:val="ManualHeading2"/>
        <w:rPr>
          <w:noProof/>
        </w:rPr>
      </w:pPr>
      <w:bookmarkStart w:id="30" w:name="_Toc514938008"/>
      <w:bookmarkStart w:id="31" w:name="_Toc520485026"/>
      <w:bookmarkStart w:id="32" w:name="_Toc160804568"/>
      <w:bookmarkStart w:id="33" w:name="_Toc167220260"/>
      <w:bookmarkStart w:id="34" w:name="_Toc177548993"/>
      <w:r w:rsidRPr="00274E0D">
        <w:t>1.1.</w:t>
      </w:r>
      <w:r w:rsidRPr="00274E0D">
        <w:tab/>
        <w:t>Ehdotuksen/aloitteen nimi</w:t>
      </w:r>
      <w:bookmarkEnd w:id="30"/>
      <w:bookmarkEnd w:id="31"/>
      <w:bookmarkEnd w:id="32"/>
      <w:bookmarkEnd w:id="33"/>
      <w:bookmarkEnd w:id="34"/>
    </w:p>
    <w:p w14:paraId="33648F64"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rPr>
      </w:pPr>
      <w:r w:rsidRPr="00274E0D">
        <w:t>Ehdotus Euroopan parlamentin ja neuvoston asetukseksi tiiviimmän yhteistyön toteuttamisesta Ukrainan tukilainan perustamiseksi vuosiksi 2026 ja 2027</w:t>
      </w:r>
    </w:p>
    <w:p w14:paraId="33DDC74C" w14:textId="77777777" w:rsidR="0093115D" w:rsidRPr="00274E0D" w:rsidRDefault="0093115D" w:rsidP="00760DBB">
      <w:pPr>
        <w:pStyle w:val="ManualHeading2"/>
        <w:rPr>
          <w:i/>
          <w:noProof/>
        </w:rPr>
      </w:pPr>
      <w:bookmarkStart w:id="35" w:name="_Toc514938011"/>
      <w:bookmarkStart w:id="36" w:name="_Toc520485027"/>
      <w:bookmarkStart w:id="37" w:name="_Toc160804569"/>
      <w:bookmarkStart w:id="38" w:name="_Toc167220261"/>
      <w:bookmarkStart w:id="39" w:name="_Toc177548994"/>
      <w:r w:rsidRPr="00274E0D">
        <w:t>1.2.</w:t>
      </w:r>
      <w:r w:rsidRPr="00274E0D">
        <w:tab/>
        <w:t>Toimintalohko(t)</w:t>
      </w:r>
      <w:bookmarkEnd w:id="35"/>
      <w:bookmarkEnd w:id="36"/>
      <w:bookmarkEnd w:id="37"/>
      <w:bookmarkEnd w:id="38"/>
      <w:bookmarkEnd w:id="39"/>
      <w:r w:rsidRPr="00274E0D">
        <w:rPr>
          <w:i/>
        </w:rPr>
        <w:t xml:space="preserve"> </w:t>
      </w:r>
    </w:p>
    <w:p w14:paraId="5E336B8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rPr>
      </w:pPr>
      <w:r w:rsidRPr="00274E0D">
        <w:t>Talous- ja rahoitusasiat sekä puolustusteollisuuden tukeminen</w:t>
      </w:r>
    </w:p>
    <w:p w14:paraId="75B0E75E" w14:textId="77777777" w:rsidR="0093115D" w:rsidRPr="00274E0D" w:rsidRDefault="0093115D" w:rsidP="00760DBB">
      <w:pPr>
        <w:pStyle w:val="ManualHeading2"/>
        <w:rPr>
          <w:noProof/>
        </w:rPr>
      </w:pPr>
      <w:bookmarkStart w:id="40" w:name="_Toc514938015"/>
      <w:bookmarkStart w:id="41" w:name="_Toc520485029"/>
      <w:bookmarkStart w:id="42" w:name="_Toc160804571"/>
      <w:bookmarkStart w:id="43" w:name="_Toc167220263"/>
      <w:bookmarkStart w:id="44" w:name="_Toc177548995"/>
      <w:r w:rsidRPr="00274E0D">
        <w:t>1.3.</w:t>
      </w:r>
      <w:r w:rsidRPr="00274E0D">
        <w:tab/>
        <w:t>Tavoite (Tavoitteet)</w:t>
      </w:r>
      <w:bookmarkEnd w:id="40"/>
      <w:bookmarkEnd w:id="41"/>
      <w:bookmarkEnd w:id="42"/>
      <w:bookmarkEnd w:id="43"/>
      <w:bookmarkEnd w:id="44"/>
    </w:p>
    <w:p w14:paraId="1EA8EC60" w14:textId="77777777" w:rsidR="0093115D" w:rsidRPr="00274E0D" w:rsidRDefault="0093115D" w:rsidP="00760DBB">
      <w:pPr>
        <w:pStyle w:val="ManualHeading3"/>
        <w:rPr>
          <w:noProof/>
        </w:rPr>
      </w:pPr>
      <w:bookmarkStart w:id="45" w:name="_Toc514938016"/>
      <w:bookmarkStart w:id="46" w:name="_Toc520485030"/>
      <w:bookmarkStart w:id="47" w:name="_Toc160804572"/>
      <w:bookmarkStart w:id="48" w:name="_Toc167220264"/>
      <w:bookmarkStart w:id="49" w:name="_Toc177548996"/>
      <w:r w:rsidRPr="00274E0D">
        <w:t>1.3.1.</w:t>
      </w:r>
      <w:r w:rsidRPr="00274E0D">
        <w:tab/>
        <w:t>Yleistavoite (Yleistavoitteet)</w:t>
      </w:r>
      <w:bookmarkEnd w:id="45"/>
      <w:bookmarkEnd w:id="46"/>
      <w:bookmarkEnd w:id="47"/>
      <w:bookmarkEnd w:id="48"/>
      <w:bookmarkEnd w:id="49"/>
    </w:p>
    <w:p w14:paraId="5180CFA7" w14:textId="77777777" w:rsidR="0093115D" w:rsidRPr="00274E0D" w:rsidRDefault="0093115D" w:rsidP="0039125B">
      <w:pPr>
        <w:pStyle w:val="Text1"/>
        <w:pBdr>
          <w:top w:val="single" w:sz="4" w:space="1" w:color="auto"/>
          <w:left w:val="single" w:sz="4" w:space="4" w:color="auto"/>
          <w:bottom w:val="single" w:sz="4" w:space="1" w:color="auto"/>
          <w:right w:val="single" w:sz="4" w:space="4" w:color="auto"/>
        </w:pBdr>
        <w:rPr>
          <w:noProof/>
        </w:rPr>
      </w:pPr>
      <w:r w:rsidRPr="00274E0D">
        <w:t>Perustetaan Ukrainan tukilaina ja asetetaan Ukrainan saataville rahoituksellista ja taloudellista apua maan tukemiseksi vuosina 2026 ja 2027 sellaisten rahoitustarpeiden täyttämisessä, jotka johtuvat erityisesti Venäjän hyökkäyssodasta ja siitä, että Venäjä ei ole maksanut sen maksettavaksi kuuluvia sotakorvauksia. Ukrainan tukilainalla tarjotaan Ukrainalle rahoituksellista ja taloudellista apua ennakoitavalla, jatkuvalla, hallitulla, joustavalla ja oikea-aikaisella tavalla.</w:t>
      </w:r>
    </w:p>
    <w:p w14:paraId="55AB1D06" w14:textId="77777777" w:rsidR="0093115D" w:rsidRPr="00274E0D" w:rsidRDefault="0093115D" w:rsidP="00760DBB">
      <w:pPr>
        <w:pStyle w:val="ManualHeading3"/>
        <w:rPr>
          <w:noProof/>
        </w:rPr>
      </w:pPr>
      <w:bookmarkStart w:id="50" w:name="_Toc514938018"/>
      <w:bookmarkStart w:id="51" w:name="_Toc520485031"/>
      <w:bookmarkStart w:id="52" w:name="_Toc160804573"/>
      <w:bookmarkStart w:id="53" w:name="_Toc167220265"/>
      <w:bookmarkStart w:id="54" w:name="_Toc177548997"/>
      <w:r w:rsidRPr="00274E0D">
        <w:t>1.3.2.</w:t>
      </w:r>
      <w:r w:rsidRPr="00274E0D">
        <w:tab/>
        <w:t>Erityistavoite (Erityistavoitteet)</w:t>
      </w:r>
      <w:bookmarkEnd w:id="50"/>
      <w:bookmarkEnd w:id="51"/>
      <w:bookmarkEnd w:id="52"/>
      <w:bookmarkEnd w:id="53"/>
      <w:bookmarkEnd w:id="54"/>
    </w:p>
    <w:p w14:paraId="2085437A"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274E0D">
        <w:t>Tuetaan Ukrainan makrotaloudellista vakautta lieventämällä maan ulkoisia ja sisäisiä rahoitusrajoitteita ja tuetaan Ukrainan puolustusteollisuuden kapasiteettia taloudellisen, teknisen ja rahoitusyhteistyön avulla.</w:t>
      </w:r>
    </w:p>
    <w:p w14:paraId="337A600F" w14:textId="77777777" w:rsidR="0093115D" w:rsidRPr="00274E0D" w:rsidRDefault="0093115D" w:rsidP="00760DBB">
      <w:pPr>
        <w:pStyle w:val="ManualHeading3"/>
        <w:rPr>
          <w:noProof/>
        </w:rPr>
      </w:pPr>
      <w:bookmarkStart w:id="55" w:name="_Toc514938019"/>
      <w:bookmarkStart w:id="56" w:name="_Toc520485032"/>
      <w:bookmarkStart w:id="57" w:name="_Toc160804574"/>
      <w:bookmarkStart w:id="58" w:name="_Toc167220266"/>
      <w:bookmarkStart w:id="59" w:name="_Toc177548998"/>
      <w:r w:rsidRPr="00274E0D">
        <w:t>1.3.3.</w:t>
      </w:r>
      <w:r w:rsidRPr="00274E0D">
        <w:tab/>
        <w:t>Odotettavissa olevat tulokset ja vaikutukset</w:t>
      </w:r>
      <w:bookmarkEnd w:id="55"/>
      <w:bookmarkEnd w:id="56"/>
      <w:bookmarkEnd w:id="57"/>
      <w:bookmarkEnd w:id="58"/>
      <w:bookmarkEnd w:id="59"/>
    </w:p>
    <w:p w14:paraId="78C3F6E3" w14:textId="77777777" w:rsidR="0093115D" w:rsidRPr="00274E0D" w:rsidRDefault="0093115D" w:rsidP="00760DBB">
      <w:pPr>
        <w:pStyle w:val="Text1"/>
        <w:rPr>
          <w:i/>
          <w:noProof/>
          <w:sz w:val="20"/>
        </w:rPr>
      </w:pPr>
      <w:r w:rsidRPr="00274E0D">
        <w:rPr>
          <w:i/>
          <w:sz w:val="20"/>
        </w:rPr>
        <w:t>Selvitys siitä, miten ehdotuksella/aloitteella on tarkoitus vaikuttaa edunsaajien/kohderyhmän tilanteeseen.</w:t>
      </w:r>
    </w:p>
    <w:p w14:paraId="10E361B2"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274E0D">
        <w:t xml:space="preserve">Ukrainalle annetaan vuosina 2026 ja 2027 riittävää ja jatkuvaa rahoitustukea nykyiseen kriisitilanteeseen vastaamiseksi ja sen </w:t>
      </w:r>
      <w:proofErr w:type="gramStart"/>
      <w:r w:rsidRPr="00274E0D">
        <w:t>johdosta</w:t>
      </w:r>
      <w:proofErr w:type="gramEnd"/>
      <w:r w:rsidRPr="00274E0D">
        <w:t>. Ukrainan tukilainan on tarkoitus tukea osaltaan Ukrainan budjetti- ja puolustustarpeita lähitulevaisuudessa.</w:t>
      </w:r>
    </w:p>
    <w:p w14:paraId="7E27AD9F" w14:textId="77777777" w:rsidR="0093115D" w:rsidRPr="00274E0D" w:rsidRDefault="0093115D" w:rsidP="00760DBB">
      <w:pPr>
        <w:pStyle w:val="ManualHeading3"/>
        <w:rPr>
          <w:noProof/>
        </w:rPr>
      </w:pPr>
      <w:bookmarkStart w:id="60" w:name="_Toc514938023"/>
      <w:bookmarkStart w:id="61" w:name="_Toc520485033"/>
      <w:bookmarkStart w:id="62" w:name="_Toc160804575"/>
      <w:bookmarkStart w:id="63" w:name="_Toc167220267"/>
      <w:bookmarkStart w:id="64" w:name="_Toc177548999"/>
      <w:r w:rsidRPr="00274E0D">
        <w:t>1.3.4.</w:t>
      </w:r>
      <w:r w:rsidRPr="00274E0D">
        <w:tab/>
        <w:t>Tulosindikaattorit</w:t>
      </w:r>
      <w:bookmarkEnd w:id="60"/>
      <w:bookmarkEnd w:id="61"/>
      <w:bookmarkEnd w:id="62"/>
      <w:bookmarkEnd w:id="63"/>
      <w:bookmarkEnd w:id="64"/>
    </w:p>
    <w:p w14:paraId="533CA34C" w14:textId="77777777" w:rsidR="0093115D" w:rsidRPr="00274E0D" w:rsidRDefault="0093115D" w:rsidP="00760DBB">
      <w:pPr>
        <w:pStyle w:val="Text1"/>
        <w:rPr>
          <w:i/>
          <w:noProof/>
          <w:sz w:val="20"/>
        </w:rPr>
      </w:pPr>
      <w:r w:rsidRPr="00274E0D">
        <w:rPr>
          <w:i/>
          <w:sz w:val="20"/>
        </w:rPr>
        <w:t>Selvitys siitä, millaisin indikaattorein ehdotuksen/aloitteen etenemistä ja tuloksia seurataan.</w:t>
      </w:r>
    </w:p>
    <w:p w14:paraId="5851823C"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274E0D">
        <w:t>Ukrainan viranomaisten on tukilainan yhteydessä raportoitava säännöllisesti aiemmin myönnetyn avun täytäntöönpanosta. Komission yksiköt ovat tiiviissä yhteydessä Ukrainan tuen lahjoittajien foorumiin saadakseen näkemyksiä kunkin lahjoittajan parhaillaan toteuttamista toimista.</w:t>
      </w:r>
    </w:p>
    <w:p w14:paraId="49FE19A7"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274E0D">
        <w:t>Siltä osin kuin on kyse tavoitteesta lieventää rahoitusrajoitteita, Ukrainan viranomaisten on toimitettava raportti sovittujen poliittisten ehtojen noudattamisesta ennen makrotaloudellisen rahoitusavun erän maksamista. Komission yksiköt jatkavat julkisen varainhoidon seurantaa kesäkuussa 2020 toimitetun Ukrainan rahoitusketjujen ja hallintomenettelyjen operatiivisen arvioinnin jälkeen ja päivittävät arviointia.</w:t>
      </w:r>
    </w:p>
    <w:p w14:paraId="342AFE0D"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heme="minorEastAsia"/>
          <w:noProof/>
          <w:szCs w:val="24"/>
        </w:rPr>
      </w:pPr>
      <w:r w:rsidRPr="00274E0D">
        <w:t>Neuvostolle ja Euroopan parlamentille on tarkoitus antaa vuosittain kertomus tämän asetuksen täytäntöönpanosta. Komissio tekee Ukrainan tukilainasta jälkiarvioinnin.</w:t>
      </w:r>
    </w:p>
    <w:p w14:paraId="7060FF27" w14:textId="77777777" w:rsidR="0093115D" w:rsidRPr="00274E0D" w:rsidRDefault="0093115D" w:rsidP="00760DBB">
      <w:pPr>
        <w:pStyle w:val="ManualHeading2"/>
        <w:rPr>
          <w:noProof/>
        </w:rPr>
      </w:pPr>
      <w:bookmarkStart w:id="65" w:name="_Toc177549000"/>
      <w:r w:rsidRPr="00274E0D">
        <w:t>1.4.</w:t>
      </w:r>
      <w:r w:rsidRPr="00274E0D">
        <w:tab/>
        <w:t>Ehdotus/aloite liittyy</w:t>
      </w:r>
      <w:bookmarkEnd w:id="65"/>
      <w:r w:rsidRPr="00274E0D">
        <w:t xml:space="preserve"> </w:t>
      </w:r>
    </w:p>
    <w:p w14:paraId="5429717B" w14:textId="77777777" w:rsidR="0093115D" w:rsidRPr="00274E0D" w:rsidRDefault="0093115D" w:rsidP="00760DBB">
      <w:pPr>
        <w:pStyle w:val="Text1"/>
        <w:rPr>
          <w:noProof/>
          <w:sz w:val="22"/>
        </w:rPr>
      </w:pPr>
      <w:r w:rsidRPr="00274E0D">
        <w:rPr>
          <w:rFonts w:ascii="Segoe UI Symbol" w:hAnsi="Segoe UI Symbol"/>
        </w:rPr>
        <w:t>☒</w:t>
      </w:r>
      <w:r w:rsidRPr="00274E0D">
        <w:rPr>
          <w:i/>
          <w:sz w:val="22"/>
        </w:rPr>
        <w:t xml:space="preserve"> </w:t>
      </w:r>
      <w:r w:rsidRPr="00274E0D">
        <w:t>uuteen toimeen</w:t>
      </w:r>
      <w:r w:rsidRPr="00274E0D">
        <w:rPr>
          <w:sz w:val="22"/>
        </w:rPr>
        <w:t xml:space="preserve"> </w:t>
      </w:r>
    </w:p>
    <w:p w14:paraId="54F34E54" w14:textId="77777777" w:rsidR="0093115D" w:rsidRPr="00274E0D" w:rsidRDefault="0093115D" w:rsidP="00760DBB">
      <w:pPr>
        <w:pStyle w:val="Text1"/>
        <w:rPr>
          <w:noProof/>
          <w:sz w:val="22"/>
        </w:rPr>
      </w:pPr>
      <w:r w:rsidRPr="00274E0D">
        <w:rPr>
          <w:sz w:val="22"/>
        </w:rPr>
        <w:lastRenderedPageBreak/>
        <w:t>¨</w:t>
      </w:r>
      <w:r w:rsidRPr="00274E0D">
        <w:rPr>
          <w:i/>
          <w:sz w:val="22"/>
        </w:rPr>
        <w:t xml:space="preserve"> </w:t>
      </w:r>
      <w:r w:rsidRPr="00274E0D">
        <w:t>uuteen toimeen, joka perustuu pilottihankkeeseen tai valmistelutoimeen</w:t>
      </w:r>
      <w:r w:rsidRPr="00274E0D">
        <w:rPr>
          <w:rStyle w:val="FootnoteReference"/>
          <w:noProof/>
        </w:rPr>
        <w:footnoteReference w:id="35"/>
      </w:r>
      <w:r w:rsidRPr="00274E0D">
        <w:rPr>
          <w:sz w:val="22"/>
        </w:rPr>
        <w:t xml:space="preserve"> </w:t>
      </w:r>
    </w:p>
    <w:p w14:paraId="1510D3C5" w14:textId="77777777" w:rsidR="0093115D" w:rsidRPr="00274E0D" w:rsidRDefault="0093115D" w:rsidP="00760DBB">
      <w:pPr>
        <w:pStyle w:val="Text1"/>
        <w:rPr>
          <w:noProof/>
          <w:sz w:val="22"/>
        </w:rPr>
      </w:pPr>
      <w:r w:rsidRPr="00274E0D">
        <w:rPr>
          <w:sz w:val="22"/>
        </w:rPr>
        <w:t>¨</w:t>
      </w:r>
      <w:r w:rsidRPr="00274E0D">
        <w:rPr>
          <w:i/>
          <w:sz w:val="22"/>
        </w:rPr>
        <w:t xml:space="preserve"> </w:t>
      </w:r>
      <w:r w:rsidRPr="00274E0D">
        <w:t>käynnissä olevan toimen jatkamiseen</w:t>
      </w:r>
      <w:r w:rsidRPr="00274E0D">
        <w:rPr>
          <w:sz w:val="22"/>
        </w:rPr>
        <w:t xml:space="preserve"> </w:t>
      </w:r>
    </w:p>
    <w:p w14:paraId="4198EB95" w14:textId="77777777" w:rsidR="0093115D" w:rsidRPr="00274E0D" w:rsidRDefault="0093115D" w:rsidP="00760DBB">
      <w:pPr>
        <w:pStyle w:val="Text1"/>
        <w:rPr>
          <w:noProof/>
        </w:rPr>
      </w:pPr>
      <w:r w:rsidRPr="00274E0D">
        <w:rPr>
          <w:sz w:val="22"/>
        </w:rPr>
        <w:t>¨</w:t>
      </w:r>
      <w:r w:rsidRPr="00274E0D">
        <w:rPr>
          <w:i/>
          <w:sz w:val="22"/>
        </w:rPr>
        <w:t xml:space="preserve"> </w:t>
      </w:r>
      <w:r w:rsidRPr="00274E0D">
        <w:t>yhden tai useamman toimen sulauttamiseen tai uudelleen suuntaamiseen johonkin toiseen/uuteen toimeen</w:t>
      </w:r>
    </w:p>
    <w:p w14:paraId="229283C1" w14:textId="77777777" w:rsidR="0093115D" w:rsidRPr="00274E0D" w:rsidRDefault="0093115D" w:rsidP="00760DBB">
      <w:pPr>
        <w:pStyle w:val="ManualHeading2"/>
        <w:rPr>
          <w:bCs/>
          <w:noProof/>
          <w:szCs w:val="24"/>
        </w:rPr>
      </w:pPr>
      <w:bookmarkStart w:id="66" w:name="_Toc514938025"/>
      <w:bookmarkStart w:id="67" w:name="_Toc520485034"/>
      <w:bookmarkStart w:id="68" w:name="_Toc160804576"/>
      <w:bookmarkStart w:id="69" w:name="_Toc167220268"/>
      <w:bookmarkStart w:id="70" w:name="_Toc177549001"/>
      <w:r w:rsidRPr="00274E0D">
        <w:t>1.5.</w:t>
      </w:r>
      <w:r w:rsidRPr="00274E0D">
        <w:tab/>
        <w:t>Ehdotuksen/aloitteen perustelut</w:t>
      </w:r>
      <w:bookmarkEnd w:id="66"/>
      <w:bookmarkEnd w:id="67"/>
      <w:bookmarkEnd w:id="68"/>
      <w:bookmarkEnd w:id="69"/>
      <w:bookmarkEnd w:id="70"/>
      <w:r w:rsidRPr="00274E0D">
        <w:t xml:space="preserve"> </w:t>
      </w:r>
    </w:p>
    <w:p w14:paraId="69D547AC" w14:textId="77777777" w:rsidR="0093115D" w:rsidRPr="00274E0D" w:rsidRDefault="0093115D" w:rsidP="00760DBB">
      <w:pPr>
        <w:pStyle w:val="ManualHeading3"/>
        <w:rPr>
          <w:noProof/>
        </w:rPr>
      </w:pPr>
      <w:bookmarkStart w:id="71" w:name="_Toc514938026"/>
      <w:bookmarkStart w:id="72" w:name="_Toc520485035"/>
      <w:bookmarkStart w:id="73" w:name="_Toc160804577"/>
      <w:bookmarkStart w:id="74" w:name="_Toc167220269"/>
      <w:bookmarkStart w:id="75" w:name="_Toc177549002"/>
      <w:r w:rsidRPr="00274E0D">
        <w:t>1.5.1.</w:t>
      </w:r>
      <w:r w:rsidRPr="00274E0D">
        <w:tab/>
        <w:t>Tarpeet, joihin ehdotuksella/aloitteella vastataan lyhyellä tai pitkällä aikavälillä, sekä aloitteen yksityiskohtainen toteutusaikataulu</w:t>
      </w:r>
      <w:bookmarkEnd w:id="71"/>
      <w:bookmarkEnd w:id="72"/>
      <w:bookmarkEnd w:id="73"/>
      <w:bookmarkEnd w:id="74"/>
      <w:bookmarkEnd w:id="75"/>
    </w:p>
    <w:p w14:paraId="362B730B"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Komissio tekee Ukrainan tukilainan täytäntöönpanoa varten Ukrainan kanssa sopimuksen, jossa vahvistetaan lainan rahoitusehdot.</w:t>
      </w:r>
    </w:p>
    <w:p w14:paraId="3BE93381"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Kun lainasopimus on tehty, lainaerien maksamisen ehtona on Ukrainan rahoitusstrategian toimittaminen ja siitä tehty myönteinen arvio. Lisäksi komission ja Ukrainan viranomaisten on budjettituen osalta sovittava yhteisymmärryspöytäkirjasta, joka koskee makrotaloudellista rahoitusapua, ja Ukrainan tukivälineeseen liittyvä Ukraina-suunnitelma on päivitettävä. Tällöin maksuerien maksamisen ehtona on asiaankuuluvien ehtojen täyttyminen sekä budjettituen että Ukrainan puolustusteollisuuden kapasiteetin tukemiseksi annettavan avun osalta.</w:t>
      </w:r>
    </w:p>
    <w:p w14:paraId="7C69B2C7" w14:textId="77777777" w:rsidR="0093115D" w:rsidRPr="00274E0D" w:rsidRDefault="0093115D" w:rsidP="00820C1A">
      <w:pPr>
        <w:pStyle w:val="Text1"/>
        <w:pBdr>
          <w:top w:val="single" w:sz="4" w:space="1" w:color="auto"/>
          <w:left w:val="single" w:sz="4" w:space="4" w:color="auto"/>
          <w:bottom w:val="single" w:sz="4" w:space="1" w:color="auto"/>
          <w:right w:val="single" w:sz="4" w:space="4" w:color="auto"/>
        </w:pBdr>
        <w:rPr>
          <w:noProof/>
        </w:rPr>
      </w:pPr>
      <w:r w:rsidRPr="00274E0D">
        <w:t xml:space="preserve">Ukrainan tukilainaa hallinnoi komissio. Siihen sovelletaan erityisiä säännöksiä, jotka koskevat petosten ja muiden sääntöjenvastaisuuksien ehkäisemistä ja jotka ovat varainhoitoasetuksen mukaisia. Näihin sisältyvät myös asiaankuuluvat asetuksen (EU) 2024/792 nojalla tehdyssä puitesopimuksessa vahvistetut unionin taloudellisten etujen varmistamista koskevat säännökset. Komissio ja Ukrainan viranomaiset sopivat yhteisymmärryspöytäkirjasta, jossa vahvistetaan raportointivaatimukset. </w:t>
      </w:r>
    </w:p>
    <w:p w14:paraId="7DFC711A" w14:textId="77777777" w:rsidR="0093115D" w:rsidRPr="00274E0D" w:rsidRDefault="0093115D" w:rsidP="00140FC5">
      <w:pPr>
        <w:pStyle w:val="Text1"/>
        <w:ind w:left="720"/>
        <w:rPr>
          <w:rFonts w:eastAsia="Times New Roman"/>
          <w:noProof/>
          <w:u w:val="single"/>
        </w:rPr>
      </w:pPr>
    </w:p>
    <w:p w14:paraId="588BF98A" w14:textId="77777777" w:rsidR="0093115D" w:rsidRPr="00274E0D" w:rsidRDefault="0093115D" w:rsidP="00760DBB">
      <w:pPr>
        <w:pStyle w:val="ManualHeading3"/>
        <w:rPr>
          <w:bCs/>
          <w:noProof/>
          <w:szCs w:val="24"/>
        </w:rPr>
      </w:pPr>
      <w:bookmarkStart w:id="76" w:name="_Toc514938029"/>
      <w:bookmarkStart w:id="77" w:name="_Toc520485036"/>
      <w:bookmarkStart w:id="78" w:name="_Toc160804578"/>
      <w:bookmarkStart w:id="79" w:name="_Toc167220270"/>
      <w:bookmarkStart w:id="80" w:name="_Toc177549003"/>
      <w:r w:rsidRPr="00274E0D">
        <w:t>1.5.2.</w:t>
      </w:r>
      <w:r w:rsidRPr="00274E0D">
        <w:tab/>
        <w:t>EU:n osallistumisesta saatava lisäarvo (joka voi olla seurausta eri tekijöistä, kuten koordinoinnin paranemisesta, oikeusvarmuudesta tai toiminnan vaikuttavuuden tai täydentävyyden paranemisesta). EU:n osallistumisesta saatavalla lisäarvolla tarkoitetaan tässä kohdassa arvoa, jonka EU:n osallistuminen tuottaa sen arvon lisäksi, joka olisi saatu aikaan pelkillä jäsenvaltioiden toimilla.</w:t>
      </w:r>
      <w:bookmarkEnd w:id="76"/>
      <w:bookmarkEnd w:id="77"/>
      <w:bookmarkEnd w:id="78"/>
      <w:bookmarkEnd w:id="79"/>
      <w:bookmarkEnd w:id="80"/>
    </w:p>
    <w:p w14:paraId="0CF11028"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Syyt siihen, miksi toimi toteutetaan EU:n tasolla (ennen toteutusta): Ehdotuksella vastataan tarpeeseen toteuttaa yhteisiä toimia, koska jäsenvaltiot eivät voi yksin vastata riittävällä tavalla tarpeeseen antaa Ukrainalle yhteistä tukea, vaan tämä voidaan saavuttaa paremmin EU:n tasolla. Tärkeimpiä syitä ovat kansallisen tason rahoituskapasiteettiin ja talousarvioon liittyvät rajoitteet sekä tarve tiiviiseen koordinointiin, jotta tuen laajuus ja vaikuttavuus voidaan maksimoida samalla kun rajoitetaan äärimmilleen venytettyihin hallinnollisiin resursseihin liittyvää, nykytilanteesta johtuvaa Ukrainan viranomaisten taakkaa. </w:t>
      </w:r>
    </w:p>
    <w:p w14:paraId="17058D0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Aloite on osa EU:n tavoitetta antaa tukea Ukrainalle. Lisäksi sillä vahvistetaan unionin toimia, jotka liittyvät taloudelliseen ja puolustukseen liittyvään tukeen, sekä unionin pyrkimyksiä koordinoida monenvälisiä toimia. </w:t>
      </w:r>
    </w:p>
    <w:p w14:paraId="4AFFE563"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Odotettavissa oleva EU:n tason lisäarvo (toteutuksen jälkeen): Odotettavissa oleva EU:n tason lisäarvo, erityisesti verrattuna muihin EU:n välineisiin, on </w:t>
      </w:r>
      <w:r w:rsidRPr="00274E0D">
        <w:lastRenderedPageBreak/>
        <w:t xml:space="preserve">makrotaloudellisen vakauden nopea tukeminen lieventämällä Ukrainan ulkoisia ja sisäisiä rahoitusrajoitteita sekä Ukrainan puolustusteollisuuden kapasiteetin tukeminen – ja asianmukainen kehys raportointivaatimuksille. </w:t>
      </w:r>
    </w:p>
    <w:p w14:paraId="560FE85F" w14:textId="77777777" w:rsidR="0093115D" w:rsidRPr="00274E0D" w:rsidRDefault="0093115D" w:rsidP="00760DBB">
      <w:pPr>
        <w:pStyle w:val="ManualHeading3"/>
        <w:rPr>
          <w:noProof/>
        </w:rPr>
      </w:pPr>
      <w:bookmarkStart w:id="81" w:name="_Toc514938030"/>
      <w:bookmarkStart w:id="82" w:name="_Toc520485037"/>
      <w:bookmarkStart w:id="83" w:name="_Toc160804579"/>
      <w:bookmarkStart w:id="84" w:name="_Toc167220271"/>
      <w:bookmarkStart w:id="85" w:name="_Toc177549004"/>
      <w:r w:rsidRPr="00274E0D">
        <w:t>1.5.3.</w:t>
      </w:r>
      <w:r w:rsidRPr="00274E0D">
        <w:tab/>
        <w:t>Vastaavista toimista saadut kokemukset</w:t>
      </w:r>
      <w:bookmarkEnd w:id="81"/>
      <w:bookmarkEnd w:id="82"/>
      <w:bookmarkEnd w:id="83"/>
      <w:bookmarkEnd w:id="84"/>
      <w:bookmarkEnd w:id="85"/>
    </w:p>
    <w:p w14:paraId="3B526372"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Aiemmista Ukrainan hyväksi toteutetuista makrotaloudellisista rahoitusaputoimista tehdään jälkiarviointi. Aiemmat Ukrainalle suunnattujen makrotaloudellisten rahoitusaputoimien jälkiarvioinnit ovat osoittaneet, että ne olivat yleisesti ottaen erittäin merkityksellisiä tavoitteidensa, määrärahojensa ja toimintapoliittisten tavoitteidensa kannalta. Ne olivat ratkaisevan tärkeitä tuettaessa Ukrainaa maksutaseongelmien ratkaisemisessa ja keskeisten rakenneuudistusten toteuttamisessa maan talouden vakauttamiseksi ja sen ulkoisen rahoitusaseman kestävyyden parantamiseksi. Niiden ansiosta saavutettiin julkisen talouden säästöjä ja taloudellisia hyötyjä, ja ne toimivat myös lisärahoitustuen ja sijoittajien luottamuksen katalysaattorina.</w:t>
      </w:r>
    </w:p>
    <w:p w14:paraId="62BDEB92" w14:textId="77777777" w:rsidR="0093115D" w:rsidRPr="00274E0D" w:rsidRDefault="0093115D" w:rsidP="00760DBB">
      <w:pPr>
        <w:pStyle w:val="ManualHeading3"/>
        <w:rPr>
          <w:noProof/>
        </w:rPr>
      </w:pPr>
      <w:bookmarkStart w:id="86" w:name="_Toc514938033"/>
      <w:bookmarkStart w:id="87" w:name="_Toc520485038"/>
      <w:bookmarkStart w:id="88" w:name="_Toc160804580"/>
      <w:bookmarkStart w:id="89" w:name="_Toc167220272"/>
      <w:bookmarkStart w:id="90" w:name="_Toc177549005"/>
      <w:r w:rsidRPr="00274E0D">
        <w:t>1.5.4.</w:t>
      </w:r>
      <w:r w:rsidRPr="00274E0D">
        <w:tab/>
        <w:t>Yhteensopivuus monivuotisen rahoituskehyksen kanssa ja mahdolliset synergiaedut suhteessa muihin kyseeseen tuleviin välineisiin</w:t>
      </w:r>
      <w:bookmarkEnd w:id="86"/>
      <w:bookmarkEnd w:id="87"/>
      <w:bookmarkEnd w:id="88"/>
      <w:bookmarkEnd w:id="89"/>
      <w:bookmarkEnd w:id="90"/>
    </w:p>
    <w:p w14:paraId="2B03341B"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Varat Ukrainan tukilainan rahoittamiseen hankitaan asetuksen (EU, Euratom) 2024/2509 224 artiklassa tarkoitettua hajautettua rahoitusstrategiaa noudattaen. Kun otetaan huomioon taloudelliset riskit ja se, että rahoitusapu on tarkoitus kattaa talousarviosta, tämän asetuksen mukaisesti lainojen muodossa annettavaa tukea varten ei pitäisi muodostaa varauksia, koska se on tarkoitus taata enimmäismäärät ylittäen, ja poiketen siitä, mitä asetuksen (EU, Euratom) 2024/2509 214 artiklan 1 kohdassa säädetään, rahoitusastetta ei pitäisi vahvistaa.</w:t>
      </w:r>
    </w:p>
    <w:p w14:paraId="34F2B126" w14:textId="77777777" w:rsidR="0093115D" w:rsidRPr="00274E0D" w:rsidRDefault="0093115D" w:rsidP="00BE0193">
      <w:pPr>
        <w:pStyle w:val="Text1"/>
        <w:pBdr>
          <w:top w:val="single" w:sz="4" w:space="1" w:color="auto"/>
          <w:left w:val="single" w:sz="4" w:space="4" w:color="auto"/>
          <w:bottom w:val="single" w:sz="4" w:space="1" w:color="auto"/>
          <w:right w:val="single" w:sz="4" w:space="4" w:color="auto"/>
        </w:pBdr>
        <w:rPr>
          <w:noProof/>
        </w:rPr>
      </w:pPr>
      <w:r w:rsidRPr="00274E0D">
        <w:t xml:space="preserve">Jotta Ukrainalle voidaan tarjota tukea erittäin edullisin ehdoin, unionin talousarviosta myönnetään tukea kustannuksiin, jotka aiheutuvat lainanotosta Ukrainalle annettavaa lainaa varten ja joista Ukraina muutoin vastaisi. Näihin kustannuksiin sisältyvät velanhoitokustannukset </w:t>
      </w:r>
      <w:r w:rsidRPr="002D4357">
        <w:t>(varainhankintakustannukset sekä likviditeetinhallintakustannukset) ja niihin liittyvät hallintomenot.</w:t>
      </w:r>
      <w:r w:rsidRPr="00274E0D">
        <w:t xml:space="preserve"> Velanhoitokustannukset rahoitetaan erityisrahoitusvälineestä monivuotisen rahoituskehyksen enimmäismäärä ylittäen, kuten tähän ehdotukseen liittyvässä asetuksen 2020/2093 muuttamista koskevassa ehdotuksessa esitetään. Kun Ukrainan tukilainavälineestä otetaan käyttöön varoja talousarviomenettelyn puitteissa, otetaan myös huomioon muissa erityisrahoitusvälineissä käytettävissä olevat määrärahat, sovellettavat alakohtaiset säännöt, mahdolliset oikeudelliset tai muut velvoitteet, myös EURI-välineen mukaiset velvoitteet, sekä painopisteet, harkittu budjetointi ja moitteeton varainhoito.</w:t>
      </w:r>
    </w:p>
    <w:p w14:paraId="5D82C144" w14:textId="77777777" w:rsidR="0093115D" w:rsidRPr="00274E0D" w:rsidRDefault="0093115D" w:rsidP="00BE0193">
      <w:pPr>
        <w:pStyle w:val="Text1"/>
        <w:pBdr>
          <w:top w:val="single" w:sz="4" w:space="1" w:color="auto"/>
          <w:left w:val="single" w:sz="4" w:space="4" w:color="auto"/>
          <w:bottom w:val="single" w:sz="4" w:space="1" w:color="auto"/>
          <w:right w:val="single" w:sz="4" w:space="4" w:color="auto"/>
        </w:pBdr>
        <w:rPr>
          <w:noProof/>
        </w:rPr>
      </w:pPr>
      <w:r w:rsidRPr="00274E0D">
        <w:t>Jotta tiiviimmästä yhteistyöstä johtuviin velanhoitokustannuksiin liittyvät menot voidaan yksilöidä selkeästi ja läpinäkyvästi, luodaan uusi budjettikohta. Hallintomenot katetaan unionin talousarviosta, henkilöstömenot monivuotisen rahoituskehyksen otsakkeesta 7.</w:t>
      </w:r>
    </w:p>
    <w:p w14:paraId="7C3D2BF6" w14:textId="77777777" w:rsidR="0093115D" w:rsidRPr="00274E0D" w:rsidRDefault="0093115D" w:rsidP="00760DBB">
      <w:pPr>
        <w:pStyle w:val="ManualHeading3"/>
        <w:rPr>
          <w:noProof/>
        </w:rPr>
      </w:pPr>
      <w:bookmarkStart w:id="91" w:name="_Toc514938036"/>
      <w:bookmarkStart w:id="92" w:name="_Toc520485039"/>
      <w:bookmarkStart w:id="93" w:name="_Toc160804581"/>
      <w:bookmarkStart w:id="94" w:name="_Toc167220273"/>
      <w:bookmarkStart w:id="95" w:name="_Toc177549006"/>
      <w:r w:rsidRPr="00274E0D">
        <w:t>1.5.5.</w:t>
      </w:r>
      <w:r w:rsidRPr="00274E0D">
        <w:tab/>
        <w:t>Arvio käytettävissä olevista rahoitusvaihtoehdoista, mukaan lukien mahdollisuudet määrärahojen uudelleenkohdentamiseen</w:t>
      </w:r>
      <w:bookmarkEnd w:id="91"/>
      <w:bookmarkEnd w:id="92"/>
      <w:bookmarkEnd w:id="93"/>
      <w:bookmarkEnd w:id="94"/>
      <w:bookmarkEnd w:id="95"/>
    </w:p>
    <w:p w14:paraId="51CC6989"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Jäsenvaltioista 26 kehotti 23. lokakuuta 2025 komissiota esittämään mahdollisimman pian vaihtoehtoja Ukrainalle myönnettävälle rahoitustuelle. Komissio esitti useita vaihtoehtoja, ja 18. joulukuuta 2025 Eurooppa-neuvosto sopi, että Ukrainalle myönnetään vuosiksi 2026–2027 90 miljardin euron laina perustuen </w:t>
      </w:r>
      <w:r w:rsidRPr="00274E0D">
        <w:lastRenderedPageBreak/>
        <w:t>pääomamarkkinoilta tapahtuvaan EU:n lainanottoon, joka taataan EU:n talousarvion liikkumavaralla.</w:t>
      </w:r>
    </w:p>
    <w:p w14:paraId="29F99FA3" w14:textId="77777777" w:rsidR="0093115D" w:rsidRPr="00274E0D" w:rsidRDefault="0093115D" w:rsidP="00760DBB">
      <w:pPr>
        <w:pStyle w:val="ManualHeading2"/>
        <w:rPr>
          <w:bCs/>
          <w:noProof/>
          <w:szCs w:val="24"/>
        </w:rPr>
      </w:pPr>
      <w:r w:rsidRPr="00274E0D">
        <w:br w:type="page"/>
      </w:r>
      <w:bookmarkStart w:id="96" w:name="_Toc514938039"/>
      <w:bookmarkStart w:id="97" w:name="_Toc520485040"/>
      <w:bookmarkStart w:id="98" w:name="_Toc160804582"/>
      <w:bookmarkStart w:id="99" w:name="_Toc167220274"/>
      <w:bookmarkStart w:id="100" w:name="_Toc177549007"/>
      <w:r w:rsidRPr="00274E0D">
        <w:lastRenderedPageBreak/>
        <w:t>1.6.</w:t>
      </w:r>
      <w:r w:rsidRPr="00274E0D">
        <w:tab/>
        <w:t>Ehdotetun toimen/aloitteen</w:t>
      </w:r>
      <w:bookmarkEnd w:id="96"/>
      <w:bookmarkEnd w:id="97"/>
      <w:r w:rsidRPr="00274E0D">
        <w:t xml:space="preserve"> ja sen rahoitusvaikutusten kesto</w:t>
      </w:r>
      <w:bookmarkEnd w:id="98"/>
      <w:bookmarkEnd w:id="99"/>
      <w:bookmarkEnd w:id="100"/>
    </w:p>
    <w:p w14:paraId="686DF526" w14:textId="77777777" w:rsidR="0093115D" w:rsidRPr="00274E0D" w:rsidRDefault="0093115D" w:rsidP="00760DBB">
      <w:pPr>
        <w:pStyle w:val="Text1"/>
        <w:rPr>
          <w:noProof/>
        </w:rPr>
      </w:pPr>
      <w:r w:rsidRPr="00274E0D">
        <w:rPr>
          <w:rFonts w:ascii="Segoe UI Symbol" w:hAnsi="Segoe UI Symbol"/>
        </w:rPr>
        <w:t>☒</w:t>
      </w:r>
      <w:r w:rsidRPr="00274E0D">
        <w:rPr>
          <w:b/>
          <w:i/>
        </w:rPr>
        <w:t xml:space="preserve"> </w:t>
      </w:r>
      <w:r w:rsidRPr="00274E0D">
        <w:rPr>
          <w:b/>
        </w:rPr>
        <w:t xml:space="preserve">kesto on rajattu </w:t>
      </w:r>
    </w:p>
    <w:p w14:paraId="5D6290D7" w14:textId="77777777" w:rsidR="0093115D" w:rsidRPr="00274E0D" w:rsidRDefault="0093115D" w:rsidP="00255932">
      <w:pPr>
        <w:pStyle w:val="ListDash2"/>
        <w:rPr>
          <w:noProof/>
        </w:rPr>
      </w:pPr>
      <w:r w:rsidRPr="00274E0D">
        <w:rPr>
          <w:rFonts w:ascii="Segoe UI Symbol" w:hAnsi="Segoe UI Symbol"/>
        </w:rPr>
        <w:t>☒</w:t>
      </w:r>
      <w:r w:rsidRPr="00274E0D">
        <w:tab/>
        <w:t xml:space="preserve">Maksusitoumusmäärärahoihin kohdistuvat rahoitusvaikutukset koskevat vuosia 2026–2027 ja maksumäärärahoihin kohdistuvat rahoitusvaikutukset vuosia 2026–2028. </w:t>
      </w:r>
    </w:p>
    <w:p w14:paraId="295B605F" w14:textId="77777777" w:rsidR="0093115D" w:rsidRPr="00274E0D" w:rsidRDefault="0093115D" w:rsidP="00810FCC">
      <w:pPr>
        <w:pStyle w:val="Text2"/>
        <w:rPr>
          <w:noProof/>
        </w:rPr>
      </w:pPr>
      <w:r w:rsidRPr="00274E0D">
        <w:t>Lisäksi Ukrainalle voidaan myöntää vuosittain korkotukea lainan keston ajan.</w:t>
      </w:r>
    </w:p>
    <w:p w14:paraId="318CF54E" w14:textId="77777777" w:rsidR="0093115D" w:rsidRPr="00274E0D" w:rsidRDefault="0093115D" w:rsidP="00760DBB">
      <w:pPr>
        <w:pStyle w:val="Text1"/>
        <w:rPr>
          <w:noProof/>
        </w:rPr>
      </w:pPr>
      <w:r w:rsidRPr="00274E0D">
        <w:rPr>
          <w:rFonts w:ascii="Wingdings" w:hAnsi="Wingdings"/>
        </w:rPr>
        <w:t></w:t>
      </w:r>
      <w:r w:rsidRPr="00274E0D">
        <w:rPr>
          <w:b/>
          <w:i/>
        </w:rPr>
        <w:t xml:space="preserve"> </w:t>
      </w:r>
      <w:r w:rsidRPr="00274E0D">
        <w:rPr>
          <w:b/>
        </w:rPr>
        <w:t>kestoa ei ole rajattu</w:t>
      </w:r>
    </w:p>
    <w:p w14:paraId="07AB6E2E" w14:textId="77777777" w:rsidR="0093115D" w:rsidRPr="00274E0D" w:rsidRDefault="0093115D" w:rsidP="00760DBB">
      <w:pPr>
        <w:pStyle w:val="ManualHeading2"/>
        <w:ind w:left="1134"/>
        <w:rPr>
          <w:noProof/>
        </w:rPr>
      </w:pPr>
      <w:bookmarkStart w:id="101" w:name="_Toc514938040"/>
      <w:bookmarkStart w:id="102" w:name="_Toc520485041"/>
      <w:bookmarkStart w:id="103" w:name="_Toc160804583"/>
      <w:bookmarkStart w:id="104" w:name="_Toc167220275"/>
      <w:bookmarkStart w:id="105" w:name="_Toc177549008"/>
      <w:r w:rsidRPr="00274E0D">
        <w:t>1.7.</w:t>
      </w:r>
      <w:r w:rsidRPr="00274E0D">
        <w:tab/>
        <w:t>Suunniteltu talousarvion toteuttamistapa / Suunnitellut talousarvion toteuttamistavat</w:t>
      </w:r>
      <w:bookmarkEnd w:id="101"/>
      <w:bookmarkEnd w:id="102"/>
      <w:bookmarkEnd w:id="103"/>
      <w:bookmarkEnd w:id="104"/>
      <w:bookmarkEnd w:id="105"/>
      <w:r w:rsidRPr="00274E0D">
        <w:t xml:space="preserve"> </w:t>
      </w:r>
    </w:p>
    <w:p w14:paraId="56AEA111" w14:textId="77777777" w:rsidR="0093115D" w:rsidRPr="00274E0D" w:rsidRDefault="0093115D" w:rsidP="00760DBB">
      <w:pPr>
        <w:pStyle w:val="Text1"/>
        <w:rPr>
          <w:noProof/>
        </w:rPr>
      </w:pPr>
      <w:r w:rsidRPr="00274E0D">
        <w:rPr>
          <w:rFonts w:ascii="Segoe UI Symbol" w:hAnsi="Segoe UI Symbol"/>
        </w:rPr>
        <w:t>☒</w:t>
      </w:r>
      <w:r w:rsidRPr="00274E0D">
        <w:rPr>
          <w:i/>
        </w:rPr>
        <w:t xml:space="preserve"> </w:t>
      </w:r>
      <w:r w:rsidRPr="00274E0D">
        <w:rPr>
          <w:b/>
        </w:rPr>
        <w:t>Suora hallinnointi</w:t>
      </w:r>
      <w:r w:rsidRPr="00274E0D">
        <w:t>, jonka komissio toteuttaa käyttämällä</w:t>
      </w:r>
    </w:p>
    <w:p w14:paraId="0465F886" w14:textId="77777777" w:rsidR="0093115D" w:rsidRPr="00274E0D" w:rsidRDefault="0093115D" w:rsidP="00760DBB">
      <w:pPr>
        <w:pStyle w:val="ListDash2"/>
        <w:rPr>
          <w:rFonts w:cs="EUAlbertina"/>
          <w:noProof/>
        </w:rPr>
      </w:pPr>
      <w:r w:rsidRPr="00274E0D">
        <w:rPr>
          <w:rFonts w:ascii="Segoe UI Symbol" w:hAnsi="Segoe UI Symbol"/>
        </w:rPr>
        <w:t>☒</w:t>
      </w:r>
      <w:r w:rsidRPr="00274E0D">
        <w:t xml:space="preserve"> yksiköitään, myös unionin edustustoissa olevaa henkilöstöään </w:t>
      </w:r>
    </w:p>
    <w:p w14:paraId="56FBDD02" w14:textId="77777777" w:rsidR="0093115D" w:rsidRPr="00274E0D" w:rsidRDefault="0093115D" w:rsidP="00760DBB">
      <w:pPr>
        <w:pStyle w:val="ListDash2"/>
        <w:rPr>
          <w:noProof/>
        </w:rPr>
      </w:pPr>
      <w:r w:rsidRPr="00274E0D">
        <w:rPr>
          <w:rFonts w:ascii="Wingdings" w:hAnsi="Wingdings"/>
        </w:rPr>
        <w:t></w:t>
      </w:r>
      <w:r w:rsidRPr="00274E0D">
        <w:tab/>
        <w:t xml:space="preserve">toimeenpanovirastoja </w:t>
      </w:r>
    </w:p>
    <w:p w14:paraId="175A75A3" w14:textId="77777777" w:rsidR="0093115D" w:rsidRPr="00274E0D" w:rsidRDefault="0093115D" w:rsidP="00760DBB">
      <w:pPr>
        <w:pStyle w:val="Text1"/>
        <w:rPr>
          <w:noProof/>
        </w:rPr>
      </w:pPr>
      <w:r w:rsidRPr="00274E0D">
        <w:rPr>
          <w:rFonts w:ascii="Wingdings" w:hAnsi="Wingdings"/>
        </w:rPr>
        <w:t></w:t>
      </w:r>
      <w:r w:rsidRPr="00274E0D">
        <w:rPr>
          <w:b/>
          <w:i/>
        </w:rPr>
        <w:t xml:space="preserve"> </w:t>
      </w:r>
      <w:r w:rsidRPr="00274E0D">
        <w:rPr>
          <w:b/>
        </w:rPr>
        <w:t>Hallinnointi yhteistyössä</w:t>
      </w:r>
      <w:r w:rsidRPr="00274E0D">
        <w:t xml:space="preserve"> jäsenvaltioiden kanssa </w:t>
      </w:r>
    </w:p>
    <w:p w14:paraId="045FB4E0" w14:textId="77777777" w:rsidR="0093115D" w:rsidRPr="00274E0D" w:rsidRDefault="0093115D" w:rsidP="00760DBB">
      <w:pPr>
        <w:pStyle w:val="Text1"/>
        <w:rPr>
          <w:noProof/>
        </w:rPr>
      </w:pPr>
      <w:r w:rsidRPr="00274E0D">
        <w:rPr>
          <w:rFonts w:ascii="Wingdings" w:hAnsi="Wingdings"/>
        </w:rPr>
        <w:t></w:t>
      </w:r>
      <w:r w:rsidRPr="00274E0D">
        <w:rPr>
          <w:i/>
        </w:rPr>
        <w:t xml:space="preserve"> </w:t>
      </w:r>
      <w:r w:rsidRPr="00274E0D">
        <w:rPr>
          <w:b/>
        </w:rPr>
        <w:t>Välillinen hallinnointi</w:t>
      </w:r>
      <w:r w:rsidRPr="00274E0D">
        <w:t>, jossa täytäntöönpanotehtäviä on siirretty</w:t>
      </w:r>
    </w:p>
    <w:p w14:paraId="66AAB3DD" w14:textId="77777777" w:rsidR="0093115D" w:rsidRPr="00274E0D" w:rsidRDefault="0093115D" w:rsidP="00760DBB">
      <w:pPr>
        <w:pStyle w:val="ListDash2"/>
        <w:rPr>
          <w:noProof/>
        </w:rPr>
      </w:pPr>
      <w:r w:rsidRPr="00274E0D">
        <w:rPr>
          <w:rFonts w:ascii="Wingdings" w:hAnsi="Wingdings"/>
        </w:rPr>
        <w:t></w:t>
      </w:r>
      <w:r w:rsidRPr="00274E0D">
        <w:t xml:space="preserve"> kolmansille maille tai niiden nimeämille elimille</w:t>
      </w:r>
    </w:p>
    <w:p w14:paraId="3DC311DB" w14:textId="77777777" w:rsidR="0093115D" w:rsidRPr="00274E0D" w:rsidRDefault="0093115D" w:rsidP="00760DBB">
      <w:pPr>
        <w:pStyle w:val="ListDash2"/>
        <w:rPr>
          <w:noProof/>
        </w:rPr>
      </w:pPr>
      <w:r w:rsidRPr="00274E0D">
        <w:rPr>
          <w:rFonts w:ascii="Wingdings" w:hAnsi="Wingdings"/>
        </w:rPr>
        <w:t></w:t>
      </w:r>
      <w:r w:rsidRPr="00274E0D">
        <w:t xml:space="preserve"> kansainvälisille järjestöille ja niiden erityisjärjestöille (tarkennettava)</w:t>
      </w:r>
    </w:p>
    <w:p w14:paraId="7F90DFF6" w14:textId="77777777" w:rsidR="0093115D" w:rsidRPr="00274E0D" w:rsidRDefault="0093115D" w:rsidP="00760DBB">
      <w:pPr>
        <w:pStyle w:val="ListDash2"/>
        <w:rPr>
          <w:noProof/>
        </w:rPr>
      </w:pPr>
      <w:r w:rsidRPr="00274E0D">
        <w:rPr>
          <w:rFonts w:ascii="Wingdings" w:hAnsi="Wingdings"/>
        </w:rPr>
        <w:t></w:t>
      </w:r>
      <w:r w:rsidRPr="00274E0D">
        <w:t xml:space="preserve"> Euroopan investointipankille ja Euroopan investointirahastolle</w:t>
      </w:r>
    </w:p>
    <w:p w14:paraId="73ECE5A9" w14:textId="77777777" w:rsidR="0093115D" w:rsidRPr="00274E0D" w:rsidRDefault="0093115D" w:rsidP="00760DBB">
      <w:pPr>
        <w:pStyle w:val="ListDash2"/>
        <w:rPr>
          <w:noProof/>
        </w:rPr>
      </w:pPr>
      <w:r w:rsidRPr="00274E0D">
        <w:rPr>
          <w:rFonts w:ascii="Wingdings" w:hAnsi="Wingdings"/>
        </w:rPr>
        <w:t></w:t>
      </w:r>
      <w:r w:rsidRPr="00274E0D">
        <w:t xml:space="preserve"> varainhoitoasetuksen 70 ja 71 artiklassa tarkoitetuille elimille</w:t>
      </w:r>
    </w:p>
    <w:p w14:paraId="623389FD" w14:textId="77777777" w:rsidR="0093115D" w:rsidRPr="00274E0D" w:rsidRDefault="0093115D" w:rsidP="00760DBB">
      <w:pPr>
        <w:pStyle w:val="ListDash2"/>
        <w:rPr>
          <w:noProof/>
        </w:rPr>
      </w:pPr>
      <w:r w:rsidRPr="00274E0D">
        <w:rPr>
          <w:rFonts w:ascii="Wingdings" w:hAnsi="Wingdings"/>
        </w:rPr>
        <w:t></w:t>
      </w:r>
      <w:r w:rsidRPr="00274E0D">
        <w:t xml:space="preserve"> julkisoikeudellisille yhteisöille</w:t>
      </w:r>
    </w:p>
    <w:p w14:paraId="6E41AA04" w14:textId="77777777" w:rsidR="0093115D" w:rsidRPr="00274E0D" w:rsidRDefault="0093115D" w:rsidP="00760DBB">
      <w:pPr>
        <w:pStyle w:val="ListDash2"/>
        <w:rPr>
          <w:noProof/>
        </w:rPr>
      </w:pPr>
      <w:r w:rsidRPr="00274E0D">
        <w:rPr>
          <w:rFonts w:ascii="Wingdings" w:hAnsi="Wingdings"/>
        </w:rPr>
        <w:t></w:t>
      </w:r>
      <w:r w:rsidRPr="00274E0D">
        <w:t xml:space="preserve"> sellaisille julkisen palvelun tehtäviä hoitaville yksityisoikeudellisille elimille, joille annetaan riittävät rahoitustakuut</w:t>
      </w:r>
    </w:p>
    <w:p w14:paraId="68244600" w14:textId="77777777" w:rsidR="0093115D" w:rsidRPr="00274E0D" w:rsidRDefault="0093115D" w:rsidP="00760DBB">
      <w:pPr>
        <w:pStyle w:val="ListDash2"/>
        <w:rPr>
          <w:noProof/>
        </w:rPr>
      </w:pPr>
      <w:r w:rsidRPr="00274E0D">
        <w:rPr>
          <w:rFonts w:ascii="Wingdings" w:hAnsi="Wingdings"/>
        </w:rPr>
        <w:t></w:t>
      </w:r>
      <w:r w:rsidRPr="00274E0D">
        <w:t xml:space="preserve"> sellaisille jäsenvaltion yksityisoikeuden mukaisille elimille, joille on annettu tehtäväksi julkisen ja yksityisen sektorin kumppanuuden täytäntöönpano ja joille annetaan riittävät rahoitustakuut</w:t>
      </w:r>
    </w:p>
    <w:p w14:paraId="529E533A" w14:textId="77777777" w:rsidR="0093115D" w:rsidRPr="00274E0D" w:rsidRDefault="0093115D" w:rsidP="00760DBB">
      <w:pPr>
        <w:pStyle w:val="ListDash2"/>
        <w:rPr>
          <w:noProof/>
        </w:rPr>
      </w:pPr>
      <w:r w:rsidRPr="00274E0D">
        <w:rPr>
          <w:rFonts w:ascii="Wingdings" w:hAnsi="Wingdings"/>
        </w:rPr>
        <w:t></w:t>
      </w:r>
      <w:r w:rsidRPr="00274E0D">
        <w:t xml:space="preserve"> sellaisille elimille tai henkilöille, joille on annettu tehtäväksi toteuttaa Euroopan unionista tehdyn sopimuksen V osaston mukaisia yhteisen ulko- ja turvallisuuspolitiikan erityistoimia ja jotka nimetään asiaa koskevassa perussäädöksessä</w:t>
      </w:r>
    </w:p>
    <w:p w14:paraId="1EEBC11F" w14:textId="77777777" w:rsidR="0093115D" w:rsidRPr="00274E0D" w:rsidRDefault="0093115D" w:rsidP="00760DBB">
      <w:pPr>
        <w:pStyle w:val="ListDash2"/>
        <w:rPr>
          <w:noProof/>
        </w:rPr>
      </w:pPr>
      <w:r w:rsidRPr="00274E0D">
        <w:rPr>
          <w:rFonts w:ascii="Wingdings" w:hAnsi="Wingdings"/>
        </w:rPr>
        <w:t></w:t>
      </w:r>
      <w:r w:rsidRPr="00274E0D">
        <w:rPr>
          <w:rFonts w:ascii="Wingdings" w:hAnsi="Wingdings"/>
        </w:rPr>
        <w:t></w:t>
      </w:r>
      <w:r w:rsidRPr="00274E0D">
        <w:t xml:space="preserve"> jäsenvaltioon sijoittautuneille jäsenvaltion yksityisoikeuden tai unionin oikeuden mukaisille elimille, joille voidaan alakohtaisten sääntöjen mukaisesti antaa tehtäväksi unionin varojen tai talousarviotakuiden hoitaminen, siltä osin kuin tällaiset elimet ovat julkisoikeudellisten elinten tai julkisen palvelun tehtäviä hoitavien yksityisoikeudellisten elinten määräysvallassa ja niillä on asianomaisten määräysvaltaa käyttävien elinten yhteisvastuullisten vakuuksien muodossa antamat riittävät rahoitustakuut tai vastaavat rahoitustakuut, jotka voidaan kunkin toimen osalta rajoittaa unionin tuen enimmäismäärään.</w:t>
      </w:r>
    </w:p>
    <w:p w14:paraId="555C8F10" w14:textId="77777777" w:rsidR="0093115D" w:rsidRPr="00274E0D" w:rsidRDefault="0093115D" w:rsidP="00760DBB">
      <w:pPr>
        <w:rPr>
          <w:noProof/>
        </w:rPr>
      </w:pPr>
      <w:r w:rsidRPr="00274E0D">
        <w:t xml:space="preserve">Huomautukset: </w:t>
      </w:r>
    </w:p>
    <w:p w14:paraId="5AE9399E" w14:textId="77777777" w:rsidR="0093115D" w:rsidRPr="00274E0D" w:rsidRDefault="0093115D" w:rsidP="00760DBB">
      <w:pPr>
        <w:pBdr>
          <w:top w:val="single" w:sz="4" w:space="1" w:color="auto"/>
          <w:left w:val="single" w:sz="4" w:space="4" w:color="auto"/>
          <w:bottom w:val="single" w:sz="4" w:space="1" w:color="auto"/>
          <w:right w:val="single" w:sz="4" w:space="4" w:color="auto"/>
        </w:pBdr>
        <w:rPr>
          <w:noProof/>
        </w:rPr>
      </w:pPr>
      <w:r w:rsidRPr="00274E0D">
        <w:t>Ei sovelleta</w:t>
      </w:r>
    </w:p>
    <w:p w14:paraId="40545650" w14:textId="77777777" w:rsidR="0093115D" w:rsidRPr="00274E0D" w:rsidRDefault="0093115D" w:rsidP="00760DBB">
      <w:pPr>
        <w:rPr>
          <w:noProof/>
        </w:rPr>
        <w:sectPr w:rsidR="0093115D" w:rsidRPr="00274E0D" w:rsidSect="0093115D">
          <w:pgSz w:w="11907" w:h="16840" w:code="9"/>
          <w:pgMar w:top="1134" w:right="1418" w:bottom="1134" w:left="1418" w:header="709" w:footer="709" w:gutter="0"/>
          <w:cols w:space="708"/>
          <w:docGrid w:linePitch="360"/>
        </w:sectPr>
      </w:pPr>
    </w:p>
    <w:p w14:paraId="7E8014D3" w14:textId="77777777" w:rsidR="0093115D" w:rsidRPr="00274E0D" w:rsidRDefault="0093115D" w:rsidP="00760DBB">
      <w:pPr>
        <w:pStyle w:val="ManualHeading1"/>
        <w:rPr>
          <w:noProof/>
        </w:rPr>
      </w:pPr>
      <w:bookmarkStart w:id="106" w:name="_Toc514938041"/>
      <w:bookmarkStart w:id="107" w:name="_Toc520485042"/>
      <w:bookmarkStart w:id="108" w:name="_Toc160804584"/>
      <w:bookmarkStart w:id="109" w:name="_Toc167220276"/>
      <w:bookmarkStart w:id="110" w:name="_Toc177549009"/>
      <w:r w:rsidRPr="00274E0D">
        <w:lastRenderedPageBreak/>
        <w:t>2.</w:t>
      </w:r>
      <w:r w:rsidRPr="00274E0D">
        <w:tab/>
        <w:t>HALLINNOINTI</w:t>
      </w:r>
      <w:bookmarkEnd w:id="106"/>
      <w:bookmarkEnd w:id="107"/>
      <w:bookmarkEnd w:id="108"/>
      <w:bookmarkEnd w:id="109"/>
      <w:bookmarkEnd w:id="110"/>
      <w:r w:rsidRPr="00274E0D">
        <w:t xml:space="preserve"> </w:t>
      </w:r>
    </w:p>
    <w:p w14:paraId="12ABD3B9" w14:textId="77777777" w:rsidR="0093115D" w:rsidRPr="00274E0D" w:rsidRDefault="0093115D" w:rsidP="00760DBB">
      <w:pPr>
        <w:pStyle w:val="ManualHeading2"/>
        <w:rPr>
          <w:noProof/>
        </w:rPr>
      </w:pPr>
      <w:bookmarkStart w:id="111" w:name="_Toc514938042"/>
      <w:bookmarkStart w:id="112" w:name="_Toc520485043"/>
      <w:bookmarkStart w:id="113" w:name="_Toc160804585"/>
      <w:bookmarkStart w:id="114" w:name="_Toc167220277"/>
      <w:bookmarkStart w:id="115" w:name="_Toc177549010"/>
      <w:r w:rsidRPr="00274E0D">
        <w:t>2.1.</w:t>
      </w:r>
      <w:r w:rsidRPr="00274E0D">
        <w:tab/>
        <w:t>Seuranta- ja raportointisäännöt</w:t>
      </w:r>
      <w:bookmarkEnd w:id="111"/>
      <w:bookmarkEnd w:id="112"/>
      <w:bookmarkEnd w:id="113"/>
      <w:bookmarkEnd w:id="114"/>
      <w:bookmarkEnd w:id="115"/>
      <w:r w:rsidRPr="00274E0D">
        <w:t xml:space="preserve"> </w:t>
      </w:r>
    </w:p>
    <w:p w14:paraId="64E6176D"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Sovelletaan asetuksen (EU, Euratom) 2024/2509 mukaisia seuranta- ja raportointivelvoitteita. </w:t>
      </w:r>
    </w:p>
    <w:p w14:paraId="6A1DABC7"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Komission yksiköt seuraavat toimea Ukrainan tukilainasta aiemmin myönnetyn avun täytäntöönpanon perusteella. </w:t>
      </w:r>
    </w:p>
    <w:p w14:paraId="0F53E2D0"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Lisäksi toimen seurannassa otetaan huomioon Ukrainan viranomaisten kanssa yhteisymmärryspöytäkirjassa sovittavat erityistoimenpiteet. Komissio tarkistaa yhteisymmärryspöytäkirjassa vahvistettujen politiikkaa koskevien ehtojen täyttymisen. Komissio ilmoittaa Euroopan parlamentille ja neuvostolle kyseisen tarkistuksen tuloksista.</w:t>
      </w:r>
    </w:p>
    <w:p w14:paraId="20310029"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color w:val="000000" w:themeColor="text1"/>
        </w:rPr>
      </w:pPr>
      <w:r w:rsidRPr="00274E0D">
        <w:t>Toimen seurannassa otetaan huomioon myös Ukrainan viranomaisten kanssa tehty yhteistyö, mukaan lukien vastaavat rahoituspyynnöt ja niihin sisältyvät tiedot, jotka koskevat Ukrainan puolustusteollisuuden kapasiteetin tukemiseen annettavaa apua.</w:t>
      </w:r>
    </w:p>
    <w:p w14:paraId="12DFDA0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Sen varmistamiseksi, että Euroopan parlamentti ja neuvosto voivat seurata tämän asetuksen täytäntöönpanoa, komission olisi annettava niille säännöllisesti tietoja tämän asetuksen nojalla Ukrainalle myönnettävän unionin avun toteuttamisesta ja toimitettava niille asiaan liittyvät asiakirjat.</w:t>
      </w:r>
    </w:p>
    <w:p w14:paraId="30BBC357"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rFonts w:eastAsia="Times New Roman"/>
          <w:noProof/>
        </w:rPr>
      </w:pPr>
      <w:r w:rsidRPr="00274E0D">
        <w:t>Komission olisi tarkasteltava säännöllisesti tällaisten raportointi- ja seurantavaatimusten riittävyyttä ja raportoitava siitä Euroopan parlamentille ja neuvostolle läpinäkyvyyden ja vastuuvelvollisuuden takaamiseksi.</w:t>
      </w:r>
    </w:p>
    <w:p w14:paraId="2E41AC0F"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Komissio toimittaa Euroopan parlamentille ja neuvostolle viimeistään 30. kesäkuuta 2029 jälkiarviointikertomuksen, jossa arvioidaan tässä asetuksessa säädetyn päätökseen saadun Ukrainan tukilainan tuloksia ja tehokkuutta sekä sitä, missä määrin se on myötävaikuttanut avun tavoitteiden saavuttamiseen.</w:t>
      </w:r>
    </w:p>
    <w:p w14:paraId="287291EB" w14:textId="77777777" w:rsidR="0093115D" w:rsidRPr="00274E0D" w:rsidRDefault="0093115D" w:rsidP="00760DBB">
      <w:pPr>
        <w:pStyle w:val="ManualHeading2"/>
        <w:rPr>
          <w:bCs/>
          <w:noProof/>
          <w:szCs w:val="24"/>
        </w:rPr>
      </w:pPr>
      <w:bookmarkStart w:id="116" w:name="_Toc514938045"/>
      <w:bookmarkStart w:id="117" w:name="_Toc520485044"/>
      <w:bookmarkStart w:id="118" w:name="_Toc160804586"/>
      <w:bookmarkStart w:id="119" w:name="_Toc167220278"/>
      <w:bookmarkStart w:id="120" w:name="_Toc177549011"/>
      <w:r w:rsidRPr="00274E0D">
        <w:t>2.2.</w:t>
      </w:r>
      <w:r w:rsidRPr="00274E0D">
        <w:tab/>
        <w:t>Hallinnointi- ja valvontajärjestelmä(t)</w:t>
      </w:r>
      <w:bookmarkEnd w:id="116"/>
      <w:bookmarkEnd w:id="117"/>
      <w:bookmarkEnd w:id="118"/>
      <w:bookmarkEnd w:id="119"/>
      <w:bookmarkEnd w:id="120"/>
      <w:r w:rsidRPr="00274E0D">
        <w:t xml:space="preserve"> </w:t>
      </w:r>
    </w:p>
    <w:p w14:paraId="4E54AF60" w14:textId="77777777" w:rsidR="0093115D" w:rsidRPr="00274E0D" w:rsidRDefault="0093115D" w:rsidP="00760DBB">
      <w:pPr>
        <w:pStyle w:val="ManualHeading3"/>
        <w:rPr>
          <w:noProof/>
        </w:rPr>
      </w:pPr>
      <w:bookmarkStart w:id="121" w:name="_Toc514938046"/>
      <w:bookmarkStart w:id="122" w:name="_Toc520485045"/>
      <w:bookmarkStart w:id="123" w:name="_Toc160804587"/>
      <w:bookmarkStart w:id="124" w:name="_Toc167220279"/>
      <w:bookmarkStart w:id="125" w:name="_Toc177549012"/>
      <w:r w:rsidRPr="00274E0D">
        <w:t>2.2.1.</w:t>
      </w:r>
      <w:r w:rsidRPr="00274E0D">
        <w:tab/>
        <w:t>Perustelut ehdotetu(i)lle talousarvion toteuttamistavalle(/-tavoille), rahoituksen toteutusmekanismille(/-mekanismeille), maksujärjestelyille sekä valvontastrategialle</w:t>
      </w:r>
      <w:bookmarkEnd w:id="121"/>
      <w:bookmarkEnd w:id="122"/>
      <w:bookmarkEnd w:id="123"/>
      <w:bookmarkEnd w:id="124"/>
      <w:bookmarkEnd w:id="125"/>
    </w:p>
    <w:p w14:paraId="21D8C8E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Tämän ehdotuksen nojalla rahoitettavia toimia hallinnoi suoraan komissio. Komissio asettaa Ukrainan tukilainan puitteissa annettavan rahoitustuen saataville. Varojen vapauttaminen voidaan järjestää nopeasti alkamaan vuonna 2026 ja päättymään viimeistään vuonna 2028.</w:t>
      </w:r>
    </w:p>
    <w:p w14:paraId="149FDCED" w14:textId="77777777" w:rsidR="0093115D" w:rsidRPr="00274E0D" w:rsidRDefault="0093115D" w:rsidP="00760DBB">
      <w:pPr>
        <w:pStyle w:val="ManualHeading3"/>
        <w:rPr>
          <w:rFonts w:eastAsia="Times New Roman"/>
          <w:noProof/>
        </w:rPr>
      </w:pPr>
      <w:bookmarkStart w:id="126" w:name="_Toc514938047"/>
      <w:bookmarkStart w:id="127" w:name="_Toc520485046"/>
      <w:bookmarkStart w:id="128" w:name="_Toc160804588"/>
      <w:bookmarkStart w:id="129" w:name="_Toc167220280"/>
      <w:bookmarkStart w:id="130" w:name="_Toc177549013"/>
      <w:r w:rsidRPr="00274E0D">
        <w:t>2.2.2.</w:t>
      </w:r>
      <w:r w:rsidRPr="00274E0D">
        <w:tab/>
        <w:t>Tiedot todetuista riskeistä ja niiden vähentämiseksi käyttöön otetuista sisäisistä valvontajärjestelmistä</w:t>
      </w:r>
      <w:bookmarkEnd w:id="126"/>
      <w:bookmarkEnd w:id="127"/>
      <w:bookmarkEnd w:id="128"/>
      <w:bookmarkEnd w:id="129"/>
      <w:bookmarkEnd w:id="130"/>
    </w:p>
    <w:p w14:paraId="53EB1A82"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Komissiolla on oltava pääsy tietoihin, myös turvallisuusluokiteltuihin tietoihin, jotka ovat ehdottoman välttämättömiä sille tämän asetuksen nojalla osoitettujen tehtävien suorittamiseksi ja erityisesti maksujen suorittamisen edellytysten todentamiseksi ja tarkastusten, arviointien, auditointien ja tutkimusten suorittamiseksi ja kertomusten laatimiseksi sekä 20 artiklassa tarkoitettujen valvonnan ja tarkastusten suorittamiseksi. </w:t>
      </w:r>
    </w:p>
    <w:p w14:paraId="7D64BFB8"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Ukrainan tukilainaan liittyvien unionin taloudellisten etujen suojaamiseksi komission ja Ukrainan viranomaisten välillä tehtävän Ukrainan tukilainaa koskevan sopimuksen olisi sisällettävä määräyksiä, jotka ovat yhdenmukaisia Ukrainan tukivälineen </w:t>
      </w:r>
      <w:r w:rsidRPr="00274E0D">
        <w:lastRenderedPageBreak/>
        <w:t xml:space="preserve">mukaisessa puitesopimuksessa vahvistettujen oikeuksien, vastuiden ja velvoitteiden kanssa. Ukraina hyödyntää samoja hallinto- ja valvontajärjestelmiä, joita ehdotetaan asetuksella (EU) 2024/792 vahvistetussa Ukraina-suunnitelmassa. </w:t>
      </w:r>
    </w:p>
    <w:p w14:paraId="1D1BF58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Ukrainan on toimitettava kuukausittain raportit, joissa annetaan tiedot kaikista maksuista. Se avaa erityisen tilin yksinomaan Ukrainan puolustusteollisuuden kapasiteetin tukemiseen annettavan rahoituksellisen ja taloudellisen avun hallinnointia varten. Tililtä maksetaan kaikki pyydetyt Ukrainan puolustusteollisuuden kapasiteetin tukemiseksi tehtyihin sopimuksiin liittyvät maksut. Komissiolle annetaan tätä tiliä koskevat valvontaoikeudet.</w:t>
      </w:r>
    </w:p>
    <w:p w14:paraId="54A6DCF0"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Lisäksi, jos käy ilmi, että Ukraina on tukilainan hallinnoinnissa sekaantunut petokseen tai korruptioon tai mihin tahansa muuhun unionin taloudellisia etuja vahingoittavaan laittomaan toimintaan, unioni voi vaatia lainan aikaistettua takaisinmaksua. </w:t>
      </w:r>
    </w:p>
    <w:p w14:paraId="2076B310"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pPr>
      <w:r w:rsidRPr="00274E0D">
        <w:t xml:space="preserve">Jotta voidaan puuttua tietojen luottamuksellisuuteen liittyviin riskeihin, tämän asetuksen nojalla luotavat, käsiteltävät, tallennettavat, vaihdettavat tai jaettavat turvallisuusluokitellut olisi suojattava komission päätöksessä (EU, Euratom) 2015/444 taikka Euroopan unionin edun vuoksi vaihdettujen turvallisuusluokiteltujen tietojen suojaamisesta tehdyn neuvostossa kokoontuneiden Euroopan unionin jäsenvaltioiden välisessä sopimuksessa vahvistettujen turvallisuussääntöjen mukaisesti. Komission olisi käytettävä suojattua tietojenvaihtojärjestelmää helpottaakseen turvallisuusluokiteltujen tietojen ja arkaluonteisten tietojen vaihtoa komission ja Ukrainan välillä sekä tarvittaessa osallistuvien jäsenvaltioiden kanssa. </w:t>
      </w:r>
    </w:p>
    <w:p w14:paraId="04C0386B" w14:textId="77777777" w:rsidR="0093115D" w:rsidRPr="00274E0D" w:rsidRDefault="0093115D" w:rsidP="00760DBB">
      <w:pPr>
        <w:pStyle w:val="Text1"/>
        <w:rPr>
          <w:noProof/>
        </w:rPr>
      </w:pPr>
      <w:bookmarkStart w:id="131" w:name="_Toc514938048"/>
      <w:bookmarkStart w:id="132" w:name="_Toc520485047"/>
      <w:bookmarkStart w:id="133" w:name="_Toc160804589"/>
      <w:bookmarkStart w:id="134" w:name="_Toc167220281"/>
      <w:bookmarkStart w:id="135" w:name="_Toc177549014"/>
      <w:r w:rsidRPr="00274E0D">
        <w:t>2.2.3. Valvonnan kustannustehokkuutta (valvontakustannusten suhde hallinnoitujen varojen arvoon) koskevat arviot ja perustelut sekä arviot maksujen suoritusajankohdan ja toimen päättämisajankohdan odotetuista virheriskitasoista</w:t>
      </w:r>
      <w:bookmarkEnd w:id="131"/>
      <w:bookmarkEnd w:id="132"/>
      <w:bookmarkEnd w:id="133"/>
      <w:bookmarkEnd w:id="134"/>
      <w:bookmarkEnd w:id="135"/>
      <w:r w:rsidRPr="00274E0D">
        <w:t xml:space="preserve"> </w:t>
      </w:r>
    </w:p>
    <w:p w14:paraId="5D411EE9"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color w:val="000000" w:themeColor="text1"/>
        </w:rPr>
      </w:pPr>
      <w:r w:rsidRPr="00274E0D">
        <w:t>Käytössä olevien valvontajärjestelmien ansiosta makrotaloudellisen rahoitusavun maksujen tosiasiallinen virhetaso on tähän mennessä ollut 0 prosenttia. Tiedossa ei ole tapauksia, joissa olisi esiintynyt petoksia, lahjontaa tai laitonta toimintaa. Toimilla on selkeä toimintalogiikka, jonka avulla komissio voi arvioida niiden vaikutuksia. Valvonta takaa varmuuden ja mahdollistaa toimintapoliittisten tavoitteiden ja painopisteiden saavuttamisen.</w:t>
      </w:r>
      <w:bookmarkStart w:id="136" w:name="_Toc514938049"/>
      <w:bookmarkStart w:id="137" w:name="_Toc520485048"/>
      <w:bookmarkStart w:id="138" w:name="_Toc160804590"/>
      <w:bookmarkStart w:id="139" w:name="_Toc167220282"/>
      <w:bookmarkStart w:id="140" w:name="_Toc177549015"/>
    </w:p>
    <w:p w14:paraId="264BB9C5" w14:textId="77777777" w:rsidR="0093115D" w:rsidRPr="00274E0D" w:rsidRDefault="0093115D" w:rsidP="00DA4273">
      <w:pPr>
        <w:pStyle w:val="Text1"/>
        <w:rPr>
          <w:noProof/>
        </w:rPr>
      </w:pPr>
      <w:r w:rsidRPr="00274E0D">
        <w:rPr>
          <w:b/>
        </w:rPr>
        <w:t xml:space="preserve"> Toimenpiteet petosten ja sääntöjenvastaisuuksien ehkäisemiseksi</w:t>
      </w:r>
      <w:bookmarkEnd w:id="136"/>
      <w:bookmarkEnd w:id="137"/>
      <w:bookmarkEnd w:id="138"/>
      <w:bookmarkEnd w:id="139"/>
      <w:bookmarkEnd w:id="140"/>
      <w:r w:rsidRPr="00274E0D">
        <w:rPr>
          <w:b/>
        </w:rPr>
        <w:t xml:space="preserve"> </w:t>
      </w:r>
    </w:p>
    <w:p w14:paraId="42228E56" w14:textId="77777777" w:rsidR="0093115D" w:rsidRPr="00274E0D" w:rsidRDefault="0093115D" w:rsidP="00760DBB">
      <w:pPr>
        <w:pStyle w:val="Text1"/>
        <w:pBdr>
          <w:top w:val="single" w:sz="4" w:space="1" w:color="auto"/>
          <w:left w:val="single" w:sz="4" w:space="4" w:color="auto"/>
          <w:bottom w:val="single" w:sz="4" w:space="1" w:color="auto"/>
          <w:right w:val="single" w:sz="4" w:space="4" w:color="auto"/>
        </w:pBdr>
        <w:rPr>
          <w:noProof/>
        </w:rPr>
        <w:sectPr w:rsidR="0093115D" w:rsidRPr="00274E0D" w:rsidSect="0093115D">
          <w:pgSz w:w="11907" w:h="16840" w:code="9"/>
          <w:pgMar w:top="1134" w:right="1418" w:bottom="1134" w:left="1418" w:header="709" w:footer="709" w:gutter="0"/>
          <w:cols w:space="708"/>
          <w:docGrid w:linePitch="360"/>
        </w:sectPr>
      </w:pPr>
      <w:r w:rsidRPr="00274E0D">
        <w:t>Komission ja Ukrainan viranomaisten välillä tehtävässä Ukrainan tukilainaa koskevassa sopimuksessa edellytetään, että Ukraina käyttää samoja hallinto- ja valvontajärjestelmiä kuin ne, joita ehdotetaan 20. kesäkuuta 2024 voimaan tulleella asetuksella (EU) 2024/792 perustetussa Ukraina-suunnitelmassa, jotta voidaan varmistaa, että Ukrainan tukilainaan liittyvät unionin taloudelliset edut suojataan tehokkaasti ja että käytössä on asianmukaiset toimenpiteet, jotka liittyvät petosten, korruption ja muiden rahoitusapuun liittyvien sääntöjenvastaisuuksien ehkäisyyn ja torjuntaan. Lisäksi lainasopimuksessa myönnetään varainhoitoasetuksen mukaisesti komissiolle, Euroopan petostentorjuntavirastolle (OLAF), Euroopan tilintarkastustuomioistuimelle ja tilanteen niin vaatiessa Euroopan syyttäjänvirastolle tarvittavat oikeudet ja valtuudet, myös niiltä kolmansilta osapuolilta, jotka osallistuvat unionin varojen hoitamiseen Ukrainan tukilainan saatavuusaikana ja sen jälkeen. Ukrainan olisi myös ilmoitettava komissiolle varojen käyttöön liittyvistä sääntöjenvastaisuuksista Ukrainan tukivälineen mukaisessa puitesopimuksessa määrättyjen menettelyjen mukaisesti.</w:t>
      </w:r>
    </w:p>
    <w:p w14:paraId="42BB55EE" w14:textId="77777777" w:rsidR="0093115D" w:rsidRPr="00274E0D" w:rsidRDefault="0093115D" w:rsidP="00656AA8">
      <w:pPr>
        <w:pStyle w:val="ManualHeading1"/>
        <w:rPr>
          <w:bCs/>
          <w:noProof/>
          <w:szCs w:val="24"/>
        </w:rPr>
      </w:pPr>
      <w:bookmarkStart w:id="141" w:name="_Toc514938050"/>
      <w:bookmarkStart w:id="142" w:name="_Toc520485049"/>
      <w:bookmarkStart w:id="143" w:name="_Toc160804591"/>
      <w:bookmarkStart w:id="144" w:name="_Toc167220283"/>
      <w:bookmarkStart w:id="145" w:name="_Toc177549016"/>
      <w:r w:rsidRPr="00274E0D">
        <w:lastRenderedPageBreak/>
        <w:t>3.</w:t>
      </w:r>
      <w:r w:rsidRPr="00274E0D">
        <w:tab/>
      </w:r>
      <w:bookmarkStart w:id="146" w:name="_Toc167220301"/>
      <w:bookmarkStart w:id="147" w:name="_Toc177549035"/>
      <w:bookmarkEnd w:id="141"/>
      <w:bookmarkEnd w:id="142"/>
      <w:bookmarkEnd w:id="143"/>
      <w:bookmarkEnd w:id="144"/>
      <w:bookmarkEnd w:id="145"/>
      <w:r w:rsidRPr="00274E0D">
        <w:t xml:space="preserve">EHDOTUKSEN/ALOITTEEN ARVIOIDUT RAHOITUSVAIKUTUKSET </w:t>
      </w:r>
    </w:p>
    <w:p w14:paraId="27DC5963" w14:textId="77777777" w:rsidR="0093115D" w:rsidRPr="00274E0D" w:rsidRDefault="0093115D" w:rsidP="00656AA8">
      <w:pPr>
        <w:pStyle w:val="ManualHeading2"/>
        <w:rPr>
          <w:noProof/>
        </w:rPr>
      </w:pPr>
      <w:bookmarkStart w:id="148" w:name="_Toc514938051"/>
      <w:bookmarkStart w:id="149" w:name="_Toc520485050"/>
      <w:bookmarkStart w:id="150" w:name="_Toc160804592"/>
      <w:bookmarkStart w:id="151" w:name="_Toc167220284"/>
      <w:bookmarkStart w:id="152" w:name="_Toc177549017"/>
      <w:r w:rsidRPr="00274E0D">
        <w:t>3.1.</w:t>
      </w:r>
      <w:r w:rsidRPr="00274E0D">
        <w:tab/>
        <w:t>Kyseeseen tulevat monivuotisen rahoituskehyksen otsakkeet ja menopuolen budjettikohdat</w:t>
      </w:r>
      <w:bookmarkEnd w:id="148"/>
      <w:bookmarkEnd w:id="149"/>
      <w:bookmarkEnd w:id="150"/>
      <w:bookmarkEnd w:id="151"/>
      <w:bookmarkEnd w:id="152"/>
      <w:r w:rsidRPr="00274E0D">
        <w:t xml:space="preserve"> </w:t>
      </w:r>
    </w:p>
    <w:p w14:paraId="4B5E0135" w14:textId="77777777" w:rsidR="0093115D" w:rsidRPr="00274E0D" w:rsidRDefault="0093115D" w:rsidP="00656AA8">
      <w:pPr>
        <w:pStyle w:val="ListBullet1"/>
        <w:tabs>
          <w:tab w:val="clear" w:pos="414"/>
          <w:tab w:val="num" w:pos="1134"/>
        </w:tabs>
        <w:ind w:left="1134"/>
        <w:rPr>
          <w:noProof/>
        </w:rPr>
      </w:pPr>
      <w:r w:rsidRPr="00274E0D">
        <w:t xml:space="preserve">Talousarviossa jo olevat budjettikohdat </w:t>
      </w:r>
    </w:p>
    <w:p w14:paraId="70612AB6" w14:textId="77777777" w:rsidR="0093115D" w:rsidRPr="00274E0D" w:rsidRDefault="0093115D" w:rsidP="00656AA8">
      <w:pPr>
        <w:pStyle w:val="Text1"/>
        <w:rPr>
          <w:i/>
          <w:noProof/>
        </w:rPr>
      </w:pPr>
      <w:r w:rsidRPr="00274E0D">
        <w:rPr>
          <w:i/>
        </w:rPr>
        <w:t xml:space="preserve">Monivuotisen rahoituskehyksen otsakkeiden ja budjettikohtien mukaisessa </w:t>
      </w:r>
      <w:r w:rsidRPr="00274E0D">
        <w:rPr>
          <w:i/>
          <w:u w:val="single"/>
        </w:rPr>
        <w:t>järjestyksessä</w:t>
      </w:r>
      <w:r w:rsidRPr="00274E0D">
        <w:rPr>
          <w:i/>
        </w:rPr>
        <w:t>.</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93115D" w:rsidRPr="00274E0D" w14:paraId="02572928" w14:textId="77777777" w:rsidTr="00434248">
        <w:trPr>
          <w:jc w:val="center"/>
        </w:trPr>
        <w:tc>
          <w:tcPr>
            <w:tcW w:w="1092" w:type="dxa"/>
            <w:vMerge w:val="restart"/>
            <w:vAlign w:val="center"/>
          </w:tcPr>
          <w:p w14:paraId="5AB08DDD" w14:textId="77777777" w:rsidR="0093115D" w:rsidRPr="00274E0D" w:rsidRDefault="0093115D" w:rsidP="00434248">
            <w:pPr>
              <w:spacing w:before="60" w:after="60"/>
              <w:jc w:val="center"/>
              <w:rPr>
                <w:noProof/>
              </w:rPr>
            </w:pPr>
            <w:r w:rsidRPr="00274E0D">
              <w:rPr>
                <w:sz w:val="18"/>
              </w:rPr>
              <w:t>Monivuotisen rahoituskehyksen otsake</w:t>
            </w:r>
          </w:p>
        </w:tc>
        <w:tc>
          <w:tcPr>
            <w:tcW w:w="4002" w:type="dxa"/>
            <w:vAlign w:val="center"/>
          </w:tcPr>
          <w:p w14:paraId="423F39F7" w14:textId="77777777" w:rsidR="0093115D" w:rsidRPr="00274E0D" w:rsidRDefault="0093115D" w:rsidP="00434248">
            <w:pPr>
              <w:spacing w:before="60" w:after="60"/>
              <w:jc w:val="center"/>
              <w:rPr>
                <w:noProof/>
              </w:rPr>
            </w:pPr>
            <w:r w:rsidRPr="00274E0D">
              <w:rPr>
                <w:sz w:val="20"/>
              </w:rPr>
              <w:t>Budjettikohta</w:t>
            </w:r>
          </w:p>
        </w:tc>
        <w:tc>
          <w:tcPr>
            <w:tcW w:w="1092" w:type="dxa"/>
            <w:vAlign w:val="center"/>
          </w:tcPr>
          <w:p w14:paraId="0E9F9B0A" w14:textId="77777777" w:rsidR="0093115D" w:rsidRPr="00274E0D" w:rsidRDefault="0093115D" w:rsidP="00434248">
            <w:pPr>
              <w:spacing w:before="60" w:after="60"/>
              <w:jc w:val="center"/>
              <w:rPr>
                <w:noProof/>
              </w:rPr>
            </w:pPr>
            <w:r w:rsidRPr="00274E0D">
              <w:rPr>
                <w:sz w:val="18"/>
              </w:rPr>
              <w:t>Menolaji</w:t>
            </w:r>
          </w:p>
        </w:tc>
        <w:tc>
          <w:tcPr>
            <w:tcW w:w="4487" w:type="dxa"/>
            <w:gridSpan w:val="4"/>
            <w:vAlign w:val="center"/>
          </w:tcPr>
          <w:p w14:paraId="1C0B8E19" w14:textId="77777777" w:rsidR="0093115D" w:rsidRPr="00274E0D" w:rsidRDefault="0093115D" w:rsidP="00434248">
            <w:pPr>
              <w:spacing w:before="60" w:after="60"/>
              <w:jc w:val="center"/>
              <w:rPr>
                <w:noProof/>
              </w:rPr>
            </w:pPr>
            <w:r w:rsidRPr="00274E0D">
              <w:rPr>
                <w:sz w:val="20"/>
              </w:rPr>
              <w:t xml:space="preserve">Rahoitusosuudet </w:t>
            </w:r>
          </w:p>
        </w:tc>
      </w:tr>
      <w:tr w:rsidR="0093115D" w:rsidRPr="00274E0D" w14:paraId="6675336D" w14:textId="77777777" w:rsidTr="00434248">
        <w:trPr>
          <w:cantSplit/>
          <w:jc w:val="center"/>
        </w:trPr>
        <w:tc>
          <w:tcPr>
            <w:tcW w:w="1092" w:type="dxa"/>
            <w:vMerge/>
            <w:vAlign w:val="center"/>
          </w:tcPr>
          <w:p w14:paraId="64D28F5D" w14:textId="77777777" w:rsidR="0093115D" w:rsidRPr="00274E0D" w:rsidRDefault="0093115D" w:rsidP="00434248">
            <w:pPr>
              <w:jc w:val="center"/>
              <w:rPr>
                <w:noProof/>
              </w:rPr>
            </w:pPr>
          </w:p>
        </w:tc>
        <w:tc>
          <w:tcPr>
            <w:tcW w:w="4002" w:type="dxa"/>
            <w:vAlign w:val="center"/>
          </w:tcPr>
          <w:p w14:paraId="7CD2C697" w14:textId="77777777" w:rsidR="0093115D" w:rsidRPr="00274E0D" w:rsidRDefault="0093115D" w:rsidP="00434248">
            <w:pPr>
              <w:rPr>
                <w:noProof/>
              </w:rPr>
            </w:pPr>
            <w:r w:rsidRPr="00274E0D">
              <w:rPr>
                <w:sz w:val="20"/>
              </w:rPr>
              <w:t>Numero</w:t>
            </w:r>
          </w:p>
        </w:tc>
        <w:tc>
          <w:tcPr>
            <w:tcW w:w="1092" w:type="dxa"/>
            <w:vAlign w:val="center"/>
          </w:tcPr>
          <w:p w14:paraId="3D197D9A" w14:textId="77777777" w:rsidR="0093115D" w:rsidRPr="00274E0D" w:rsidRDefault="0093115D" w:rsidP="00434248">
            <w:pPr>
              <w:jc w:val="center"/>
              <w:rPr>
                <w:noProof/>
              </w:rPr>
            </w:pPr>
            <w:r w:rsidRPr="00274E0D">
              <w:rPr>
                <w:sz w:val="18"/>
              </w:rPr>
              <w:t>JM/EI-JM</w:t>
            </w:r>
            <w:r w:rsidRPr="00274E0D">
              <w:rPr>
                <w:rStyle w:val="FootnoteReference"/>
                <w:noProof/>
                <w:sz w:val="18"/>
                <w:szCs w:val="18"/>
              </w:rPr>
              <w:footnoteReference w:id="36"/>
            </w:r>
          </w:p>
        </w:tc>
        <w:tc>
          <w:tcPr>
            <w:tcW w:w="966" w:type="dxa"/>
            <w:vAlign w:val="center"/>
          </w:tcPr>
          <w:p w14:paraId="15F44268" w14:textId="77777777" w:rsidR="0093115D" w:rsidRPr="00274E0D" w:rsidRDefault="0093115D" w:rsidP="00434248">
            <w:pPr>
              <w:jc w:val="center"/>
              <w:rPr>
                <w:b/>
                <w:noProof/>
                <w:sz w:val="18"/>
              </w:rPr>
            </w:pPr>
            <w:r w:rsidRPr="00274E0D">
              <w:rPr>
                <w:sz w:val="18"/>
              </w:rPr>
              <w:t>EFTA-mailta</w:t>
            </w:r>
            <w:r w:rsidRPr="00274E0D">
              <w:rPr>
                <w:rStyle w:val="FootnoteReference"/>
                <w:noProof/>
                <w:sz w:val="18"/>
                <w:szCs w:val="18"/>
              </w:rPr>
              <w:footnoteReference w:id="37"/>
            </w:r>
          </w:p>
        </w:tc>
        <w:tc>
          <w:tcPr>
            <w:tcW w:w="1092" w:type="dxa"/>
            <w:vAlign w:val="center"/>
          </w:tcPr>
          <w:p w14:paraId="56A451DE" w14:textId="77777777" w:rsidR="0093115D" w:rsidRPr="00274E0D" w:rsidRDefault="0093115D" w:rsidP="00434248">
            <w:pPr>
              <w:jc w:val="center"/>
              <w:rPr>
                <w:noProof/>
                <w:sz w:val="18"/>
              </w:rPr>
            </w:pPr>
            <w:r w:rsidRPr="00274E0D">
              <w:rPr>
                <w:sz w:val="18"/>
              </w:rPr>
              <w:t>ehdokasmailta ja mahdollisilta ehdokasmailta</w:t>
            </w:r>
            <w:r w:rsidRPr="00274E0D">
              <w:rPr>
                <w:rStyle w:val="FootnoteReference"/>
                <w:noProof/>
                <w:sz w:val="18"/>
                <w:szCs w:val="18"/>
              </w:rPr>
              <w:footnoteReference w:id="38"/>
            </w:r>
          </w:p>
        </w:tc>
        <w:tc>
          <w:tcPr>
            <w:tcW w:w="966" w:type="dxa"/>
            <w:vAlign w:val="center"/>
          </w:tcPr>
          <w:p w14:paraId="78E5936D" w14:textId="77777777" w:rsidR="0093115D" w:rsidRPr="00274E0D" w:rsidRDefault="0093115D" w:rsidP="00434248">
            <w:pPr>
              <w:jc w:val="center"/>
              <w:rPr>
                <w:noProof/>
                <w:sz w:val="18"/>
              </w:rPr>
            </w:pPr>
            <w:r w:rsidRPr="00274E0D">
              <w:rPr>
                <w:sz w:val="18"/>
              </w:rPr>
              <w:t>muilta kolmansilta mailta</w:t>
            </w:r>
          </w:p>
        </w:tc>
        <w:tc>
          <w:tcPr>
            <w:tcW w:w="1463" w:type="dxa"/>
            <w:vAlign w:val="center"/>
          </w:tcPr>
          <w:p w14:paraId="1A55BE60" w14:textId="77777777" w:rsidR="0093115D" w:rsidRPr="00274E0D" w:rsidRDefault="0093115D" w:rsidP="00434248">
            <w:pPr>
              <w:jc w:val="center"/>
              <w:rPr>
                <w:noProof/>
              </w:rPr>
            </w:pPr>
            <w:r w:rsidRPr="00274E0D">
              <w:rPr>
                <w:sz w:val="18"/>
              </w:rPr>
              <w:t>muut käyttötarkoitukseensa sidotut tulot</w:t>
            </w:r>
          </w:p>
        </w:tc>
      </w:tr>
      <w:tr w:rsidR="0093115D" w:rsidRPr="00274E0D" w14:paraId="3EAEE2A1" w14:textId="77777777" w:rsidTr="00434248">
        <w:trPr>
          <w:jc w:val="center"/>
        </w:trPr>
        <w:tc>
          <w:tcPr>
            <w:tcW w:w="1092" w:type="dxa"/>
            <w:vAlign w:val="center"/>
          </w:tcPr>
          <w:p w14:paraId="3942D289" w14:textId="77777777" w:rsidR="0093115D" w:rsidRPr="00274E0D" w:rsidRDefault="0093115D" w:rsidP="00434248">
            <w:pPr>
              <w:jc w:val="center"/>
              <w:rPr>
                <w:noProof/>
                <w:color w:val="0000FF"/>
              </w:rPr>
            </w:pPr>
            <w:r w:rsidRPr="00274E0D">
              <w:rPr>
                <w:color w:val="0000FF"/>
              </w:rPr>
              <w:t>2.2</w:t>
            </w:r>
          </w:p>
        </w:tc>
        <w:tc>
          <w:tcPr>
            <w:tcW w:w="4002" w:type="dxa"/>
            <w:vAlign w:val="center"/>
          </w:tcPr>
          <w:p w14:paraId="5393A7DC" w14:textId="77777777" w:rsidR="0093115D" w:rsidRPr="00274E0D" w:rsidRDefault="0093115D" w:rsidP="00434248">
            <w:pPr>
              <w:spacing w:after="60"/>
              <w:rPr>
                <w:noProof/>
              </w:rPr>
            </w:pPr>
            <w:r w:rsidRPr="00274E0D">
              <w:rPr>
                <w:sz w:val="22"/>
              </w:rPr>
              <w:t xml:space="preserve">[06.01.03] – Euroopan unionin lainanotto- ja velanhoitotoimien tukimenot </w:t>
            </w:r>
          </w:p>
        </w:tc>
        <w:tc>
          <w:tcPr>
            <w:tcW w:w="1092" w:type="dxa"/>
            <w:vAlign w:val="center"/>
          </w:tcPr>
          <w:p w14:paraId="629B97CF" w14:textId="77777777" w:rsidR="0093115D" w:rsidRPr="00274E0D" w:rsidRDefault="0093115D" w:rsidP="00434248">
            <w:pPr>
              <w:jc w:val="center"/>
              <w:rPr>
                <w:noProof/>
                <w:color w:val="0000FF"/>
              </w:rPr>
            </w:pPr>
            <w:r w:rsidRPr="00274E0D">
              <w:rPr>
                <w:sz w:val="22"/>
              </w:rPr>
              <w:t>EI-JM</w:t>
            </w:r>
          </w:p>
        </w:tc>
        <w:tc>
          <w:tcPr>
            <w:tcW w:w="966" w:type="dxa"/>
            <w:vAlign w:val="center"/>
          </w:tcPr>
          <w:p w14:paraId="061BC7D4" w14:textId="77777777" w:rsidR="0093115D" w:rsidRPr="00274E0D" w:rsidRDefault="0093115D" w:rsidP="00434248">
            <w:pPr>
              <w:jc w:val="center"/>
              <w:rPr>
                <w:noProof/>
                <w:sz w:val="20"/>
                <w:szCs w:val="20"/>
              </w:rPr>
            </w:pPr>
            <w:r w:rsidRPr="00274E0D">
              <w:rPr>
                <w:sz w:val="20"/>
              </w:rPr>
              <w:t>EI</w:t>
            </w:r>
          </w:p>
        </w:tc>
        <w:tc>
          <w:tcPr>
            <w:tcW w:w="1092" w:type="dxa"/>
            <w:vAlign w:val="center"/>
          </w:tcPr>
          <w:p w14:paraId="72CDCB82" w14:textId="77777777" w:rsidR="0093115D" w:rsidRPr="00274E0D" w:rsidRDefault="0093115D" w:rsidP="00434248">
            <w:pPr>
              <w:jc w:val="center"/>
              <w:rPr>
                <w:noProof/>
                <w:sz w:val="20"/>
                <w:szCs w:val="20"/>
              </w:rPr>
            </w:pPr>
            <w:r w:rsidRPr="00274E0D">
              <w:rPr>
                <w:sz w:val="20"/>
              </w:rPr>
              <w:t>EI</w:t>
            </w:r>
          </w:p>
        </w:tc>
        <w:tc>
          <w:tcPr>
            <w:tcW w:w="966" w:type="dxa"/>
            <w:vAlign w:val="center"/>
          </w:tcPr>
          <w:p w14:paraId="5C051C9B" w14:textId="77777777" w:rsidR="0093115D" w:rsidRPr="00274E0D" w:rsidRDefault="0093115D" w:rsidP="00434248">
            <w:pPr>
              <w:jc w:val="center"/>
              <w:rPr>
                <w:noProof/>
                <w:sz w:val="20"/>
                <w:szCs w:val="20"/>
              </w:rPr>
            </w:pPr>
            <w:r w:rsidRPr="00274E0D">
              <w:rPr>
                <w:sz w:val="20"/>
              </w:rPr>
              <w:t>EI</w:t>
            </w:r>
          </w:p>
        </w:tc>
        <w:tc>
          <w:tcPr>
            <w:tcW w:w="1463" w:type="dxa"/>
            <w:vAlign w:val="center"/>
          </w:tcPr>
          <w:p w14:paraId="4B27532E" w14:textId="77777777" w:rsidR="0093115D" w:rsidRPr="00274E0D" w:rsidRDefault="0093115D" w:rsidP="00434248">
            <w:pPr>
              <w:jc w:val="center"/>
              <w:rPr>
                <w:noProof/>
                <w:sz w:val="20"/>
                <w:szCs w:val="20"/>
              </w:rPr>
            </w:pPr>
            <w:r w:rsidRPr="00274E0D">
              <w:rPr>
                <w:sz w:val="20"/>
              </w:rPr>
              <w:t>EI</w:t>
            </w:r>
          </w:p>
        </w:tc>
      </w:tr>
    </w:tbl>
    <w:p w14:paraId="563908F0" w14:textId="77777777" w:rsidR="0093115D" w:rsidRPr="00274E0D" w:rsidRDefault="0093115D" w:rsidP="00656AA8">
      <w:pPr>
        <w:pStyle w:val="ListBullet1"/>
        <w:tabs>
          <w:tab w:val="clear" w:pos="414"/>
          <w:tab w:val="num" w:pos="1134"/>
        </w:tabs>
        <w:ind w:left="1134"/>
        <w:rPr>
          <w:noProof/>
        </w:rPr>
      </w:pPr>
      <w:r w:rsidRPr="00274E0D">
        <w:t xml:space="preserve">Uudet perustettaviksi esitetyt budjettikohdat </w:t>
      </w:r>
    </w:p>
    <w:p w14:paraId="6518BFD8" w14:textId="77777777" w:rsidR="0093115D" w:rsidRPr="00274E0D" w:rsidRDefault="0093115D" w:rsidP="00656AA8">
      <w:pPr>
        <w:pStyle w:val="Text1"/>
        <w:rPr>
          <w:i/>
          <w:noProof/>
          <w:sz w:val="20"/>
        </w:rPr>
      </w:pPr>
      <w:r w:rsidRPr="00274E0D">
        <w:rPr>
          <w:i/>
        </w:rPr>
        <w:t xml:space="preserve">Monivuotisen rahoituskehyksen otsakkeiden ja budjettikohtien mukaisessa </w:t>
      </w:r>
      <w:r w:rsidRPr="00274E0D">
        <w:rPr>
          <w:i/>
          <w:u w:val="single"/>
        </w:rPr>
        <w:t>järjestyksessä</w:t>
      </w:r>
      <w:r w:rsidRPr="00274E0D">
        <w:rPr>
          <w:i/>
        </w:rPr>
        <w:t>.</w:t>
      </w:r>
    </w:p>
    <w:tbl>
      <w:tblPr>
        <w:tblW w:w="106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2"/>
        <w:gridCol w:w="4002"/>
        <w:gridCol w:w="1092"/>
        <w:gridCol w:w="966"/>
        <w:gridCol w:w="1092"/>
        <w:gridCol w:w="966"/>
        <w:gridCol w:w="1463"/>
      </w:tblGrid>
      <w:tr w:rsidR="0093115D" w:rsidRPr="00274E0D" w14:paraId="64F3F92F" w14:textId="77777777" w:rsidTr="00434248">
        <w:trPr>
          <w:jc w:val="center"/>
        </w:trPr>
        <w:tc>
          <w:tcPr>
            <w:tcW w:w="1092" w:type="dxa"/>
            <w:vMerge w:val="restart"/>
            <w:vAlign w:val="center"/>
          </w:tcPr>
          <w:p w14:paraId="0184A773" w14:textId="77777777" w:rsidR="0093115D" w:rsidRPr="00274E0D" w:rsidRDefault="0093115D" w:rsidP="00434248">
            <w:pPr>
              <w:spacing w:before="60" w:after="60"/>
              <w:jc w:val="center"/>
              <w:rPr>
                <w:noProof/>
                <w:sz w:val="18"/>
                <w:szCs w:val="18"/>
              </w:rPr>
            </w:pPr>
            <w:r w:rsidRPr="00274E0D">
              <w:rPr>
                <w:sz w:val="18"/>
              </w:rPr>
              <w:t>Yli MRK:n enimmäismäärien</w:t>
            </w:r>
          </w:p>
        </w:tc>
        <w:tc>
          <w:tcPr>
            <w:tcW w:w="4002" w:type="dxa"/>
            <w:vAlign w:val="center"/>
          </w:tcPr>
          <w:p w14:paraId="5918A26B" w14:textId="77777777" w:rsidR="0093115D" w:rsidRPr="00274E0D" w:rsidRDefault="0093115D" w:rsidP="00434248">
            <w:pPr>
              <w:spacing w:before="60" w:after="60"/>
              <w:jc w:val="center"/>
              <w:rPr>
                <w:noProof/>
              </w:rPr>
            </w:pPr>
            <w:r w:rsidRPr="00274E0D">
              <w:rPr>
                <w:sz w:val="20"/>
              </w:rPr>
              <w:t>Budjettikohta</w:t>
            </w:r>
          </w:p>
        </w:tc>
        <w:tc>
          <w:tcPr>
            <w:tcW w:w="1092" w:type="dxa"/>
            <w:vAlign w:val="center"/>
          </w:tcPr>
          <w:p w14:paraId="211BD331" w14:textId="77777777" w:rsidR="0093115D" w:rsidRPr="00274E0D" w:rsidRDefault="0093115D" w:rsidP="00434248">
            <w:pPr>
              <w:spacing w:before="60" w:after="60"/>
              <w:jc w:val="center"/>
              <w:rPr>
                <w:noProof/>
              </w:rPr>
            </w:pPr>
            <w:r w:rsidRPr="00274E0D">
              <w:rPr>
                <w:sz w:val="18"/>
              </w:rPr>
              <w:t>Menolaji</w:t>
            </w:r>
          </w:p>
        </w:tc>
        <w:tc>
          <w:tcPr>
            <w:tcW w:w="4487" w:type="dxa"/>
            <w:gridSpan w:val="4"/>
            <w:vAlign w:val="center"/>
          </w:tcPr>
          <w:p w14:paraId="4381C875" w14:textId="77777777" w:rsidR="0093115D" w:rsidRPr="00274E0D" w:rsidRDefault="0093115D" w:rsidP="00434248">
            <w:pPr>
              <w:spacing w:before="60" w:after="60"/>
              <w:jc w:val="center"/>
              <w:rPr>
                <w:noProof/>
              </w:rPr>
            </w:pPr>
            <w:r w:rsidRPr="00274E0D">
              <w:rPr>
                <w:sz w:val="20"/>
              </w:rPr>
              <w:t xml:space="preserve">Rahoitusosuudet </w:t>
            </w:r>
          </w:p>
        </w:tc>
      </w:tr>
      <w:tr w:rsidR="0093115D" w:rsidRPr="00274E0D" w14:paraId="49BDF611" w14:textId="77777777" w:rsidTr="00434248">
        <w:trPr>
          <w:cantSplit/>
          <w:jc w:val="center"/>
        </w:trPr>
        <w:tc>
          <w:tcPr>
            <w:tcW w:w="1092" w:type="dxa"/>
            <w:vMerge/>
            <w:vAlign w:val="center"/>
          </w:tcPr>
          <w:p w14:paraId="7EAB6141" w14:textId="77777777" w:rsidR="0093115D" w:rsidRPr="00274E0D" w:rsidRDefault="0093115D" w:rsidP="00434248">
            <w:pPr>
              <w:jc w:val="center"/>
              <w:rPr>
                <w:noProof/>
              </w:rPr>
            </w:pPr>
          </w:p>
        </w:tc>
        <w:tc>
          <w:tcPr>
            <w:tcW w:w="4002" w:type="dxa"/>
            <w:vAlign w:val="center"/>
          </w:tcPr>
          <w:p w14:paraId="0FBEEB02" w14:textId="77777777" w:rsidR="0093115D" w:rsidRPr="00274E0D" w:rsidRDefault="0093115D" w:rsidP="00434248">
            <w:pPr>
              <w:rPr>
                <w:noProof/>
              </w:rPr>
            </w:pPr>
            <w:r w:rsidRPr="00274E0D">
              <w:rPr>
                <w:sz w:val="20"/>
              </w:rPr>
              <w:t>Numero</w:t>
            </w:r>
          </w:p>
        </w:tc>
        <w:tc>
          <w:tcPr>
            <w:tcW w:w="1092" w:type="dxa"/>
            <w:vAlign w:val="center"/>
          </w:tcPr>
          <w:p w14:paraId="2A4A70E3" w14:textId="77777777" w:rsidR="0093115D" w:rsidRPr="00274E0D" w:rsidRDefault="0093115D" w:rsidP="00434248">
            <w:pPr>
              <w:jc w:val="center"/>
              <w:rPr>
                <w:noProof/>
              </w:rPr>
            </w:pPr>
            <w:r w:rsidRPr="00274E0D">
              <w:rPr>
                <w:sz w:val="18"/>
              </w:rPr>
              <w:t>JM/EI-JM</w:t>
            </w:r>
          </w:p>
        </w:tc>
        <w:tc>
          <w:tcPr>
            <w:tcW w:w="966" w:type="dxa"/>
            <w:vAlign w:val="center"/>
          </w:tcPr>
          <w:p w14:paraId="04D9810C" w14:textId="77777777" w:rsidR="0093115D" w:rsidRPr="00274E0D" w:rsidRDefault="0093115D" w:rsidP="00434248">
            <w:pPr>
              <w:jc w:val="center"/>
              <w:rPr>
                <w:noProof/>
                <w:sz w:val="18"/>
              </w:rPr>
            </w:pPr>
            <w:r w:rsidRPr="00274E0D">
              <w:rPr>
                <w:sz w:val="18"/>
              </w:rPr>
              <w:t>EFTA-mailta</w:t>
            </w:r>
          </w:p>
        </w:tc>
        <w:tc>
          <w:tcPr>
            <w:tcW w:w="1092" w:type="dxa"/>
            <w:vAlign w:val="center"/>
          </w:tcPr>
          <w:p w14:paraId="27384EE6" w14:textId="77777777" w:rsidR="0093115D" w:rsidRPr="00274E0D" w:rsidRDefault="0093115D" w:rsidP="00434248">
            <w:pPr>
              <w:jc w:val="center"/>
              <w:rPr>
                <w:noProof/>
                <w:sz w:val="18"/>
              </w:rPr>
            </w:pPr>
            <w:r w:rsidRPr="00274E0D">
              <w:rPr>
                <w:sz w:val="18"/>
              </w:rPr>
              <w:t>ehdokasmailta ja mahdollisilta ehdokasmailta</w:t>
            </w:r>
          </w:p>
        </w:tc>
        <w:tc>
          <w:tcPr>
            <w:tcW w:w="966" w:type="dxa"/>
            <w:vAlign w:val="center"/>
          </w:tcPr>
          <w:p w14:paraId="3637A778" w14:textId="77777777" w:rsidR="0093115D" w:rsidRPr="00274E0D" w:rsidRDefault="0093115D" w:rsidP="00434248">
            <w:pPr>
              <w:jc w:val="center"/>
              <w:rPr>
                <w:noProof/>
                <w:sz w:val="18"/>
              </w:rPr>
            </w:pPr>
            <w:r w:rsidRPr="00274E0D">
              <w:rPr>
                <w:sz w:val="18"/>
              </w:rPr>
              <w:t>muilta kolmansilta mailta</w:t>
            </w:r>
          </w:p>
        </w:tc>
        <w:tc>
          <w:tcPr>
            <w:tcW w:w="1463" w:type="dxa"/>
            <w:vAlign w:val="center"/>
          </w:tcPr>
          <w:p w14:paraId="10207F3D" w14:textId="77777777" w:rsidR="0093115D" w:rsidRPr="00274E0D" w:rsidRDefault="0093115D" w:rsidP="00434248">
            <w:pPr>
              <w:jc w:val="center"/>
              <w:rPr>
                <w:noProof/>
              </w:rPr>
            </w:pPr>
            <w:r w:rsidRPr="00274E0D">
              <w:rPr>
                <w:sz w:val="18"/>
              </w:rPr>
              <w:t xml:space="preserve">muut käyttötarkoitukseensa sidotut tulot </w:t>
            </w:r>
          </w:p>
        </w:tc>
      </w:tr>
      <w:tr w:rsidR="0093115D" w:rsidRPr="00274E0D" w14:paraId="2B872B46" w14:textId="77777777" w:rsidTr="00434248">
        <w:trPr>
          <w:cantSplit/>
          <w:jc w:val="center"/>
        </w:trPr>
        <w:tc>
          <w:tcPr>
            <w:tcW w:w="1092" w:type="dxa"/>
            <w:vAlign w:val="center"/>
          </w:tcPr>
          <w:p w14:paraId="1795B8C7" w14:textId="77777777" w:rsidR="0093115D" w:rsidRPr="00274E0D" w:rsidRDefault="0093115D" w:rsidP="00434248">
            <w:pPr>
              <w:jc w:val="center"/>
              <w:rPr>
                <w:noProof/>
                <w:color w:val="0000FF"/>
              </w:rPr>
            </w:pPr>
            <w:r w:rsidRPr="00274E0D">
              <w:rPr>
                <w:color w:val="0000FF"/>
              </w:rPr>
              <w:t>O</w:t>
            </w:r>
          </w:p>
        </w:tc>
        <w:tc>
          <w:tcPr>
            <w:tcW w:w="4002" w:type="dxa"/>
            <w:vAlign w:val="center"/>
          </w:tcPr>
          <w:p w14:paraId="65DE7286" w14:textId="77777777" w:rsidR="0093115D" w:rsidRPr="00274E0D" w:rsidRDefault="0093115D" w:rsidP="00A8443F">
            <w:pPr>
              <w:spacing w:before="60"/>
              <w:rPr>
                <w:noProof/>
              </w:rPr>
            </w:pPr>
            <w:r w:rsidRPr="00274E0D">
              <w:rPr>
                <w:sz w:val="22"/>
              </w:rPr>
              <w:t>[16.07- Ukrainan tukilaina</w:t>
            </w:r>
          </w:p>
        </w:tc>
        <w:tc>
          <w:tcPr>
            <w:tcW w:w="1092" w:type="dxa"/>
            <w:vAlign w:val="center"/>
          </w:tcPr>
          <w:p w14:paraId="21DC5C6B" w14:textId="77777777" w:rsidR="0093115D" w:rsidRPr="00274E0D" w:rsidRDefault="0093115D" w:rsidP="00434248">
            <w:pPr>
              <w:jc w:val="center"/>
              <w:rPr>
                <w:noProof/>
                <w:color w:val="0000FF"/>
              </w:rPr>
            </w:pPr>
            <w:r w:rsidRPr="00274E0D">
              <w:rPr>
                <w:sz w:val="22"/>
              </w:rPr>
              <w:t>JM</w:t>
            </w:r>
          </w:p>
        </w:tc>
        <w:tc>
          <w:tcPr>
            <w:tcW w:w="966" w:type="dxa"/>
            <w:vAlign w:val="center"/>
          </w:tcPr>
          <w:p w14:paraId="1DD23144" w14:textId="77777777" w:rsidR="0093115D" w:rsidRPr="00274E0D" w:rsidRDefault="0093115D" w:rsidP="00434248">
            <w:pPr>
              <w:jc w:val="center"/>
              <w:rPr>
                <w:noProof/>
                <w:sz w:val="20"/>
                <w:szCs w:val="20"/>
              </w:rPr>
            </w:pPr>
            <w:r w:rsidRPr="00274E0D">
              <w:rPr>
                <w:sz w:val="20"/>
              </w:rPr>
              <w:t>EI</w:t>
            </w:r>
          </w:p>
        </w:tc>
        <w:tc>
          <w:tcPr>
            <w:tcW w:w="1092" w:type="dxa"/>
            <w:vAlign w:val="center"/>
          </w:tcPr>
          <w:p w14:paraId="23B8C09E" w14:textId="77777777" w:rsidR="0093115D" w:rsidRPr="00274E0D" w:rsidRDefault="0093115D" w:rsidP="00434248">
            <w:pPr>
              <w:jc w:val="center"/>
              <w:rPr>
                <w:noProof/>
                <w:sz w:val="20"/>
                <w:szCs w:val="20"/>
              </w:rPr>
            </w:pPr>
            <w:r w:rsidRPr="00274E0D">
              <w:rPr>
                <w:sz w:val="20"/>
              </w:rPr>
              <w:t>EI</w:t>
            </w:r>
          </w:p>
        </w:tc>
        <w:tc>
          <w:tcPr>
            <w:tcW w:w="966" w:type="dxa"/>
            <w:vAlign w:val="center"/>
          </w:tcPr>
          <w:p w14:paraId="01C228BF" w14:textId="77777777" w:rsidR="0093115D" w:rsidRPr="00274E0D" w:rsidRDefault="0093115D" w:rsidP="00434248">
            <w:pPr>
              <w:jc w:val="center"/>
              <w:rPr>
                <w:noProof/>
                <w:sz w:val="20"/>
                <w:szCs w:val="20"/>
              </w:rPr>
            </w:pPr>
            <w:r w:rsidRPr="00274E0D">
              <w:rPr>
                <w:sz w:val="20"/>
              </w:rPr>
              <w:t>EI</w:t>
            </w:r>
          </w:p>
        </w:tc>
        <w:tc>
          <w:tcPr>
            <w:tcW w:w="1463" w:type="dxa"/>
            <w:vAlign w:val="center"/>
          </w:tcPr>
          <w:p w14:paraId="10A1D579" w14:textId="77777777" w:rsidR="0093115D" w:rsidRPr="00274E0D" w:rsidRDefault="0093115D" w:rsidP="00434248">
            <w:pPr>
              <w:jc w:val="center"/>
              <w:rPr>
                <w:noProof/>
                <w:sz w:val="20"/>
                <w:szCs w:val="20"/>
              </w:rPr>
            </w:pPr>
            <w:r w:rsidRPr="00274E0D">
              <w:rPr>
                <w:sz w:val="20"/>
              </w:rPr>
              <w:t>KYLLÄ</w:t>
            </w:r>
          </w:p>
        </w:tc>
      </w:tr>
      <w:tr w:rsidR="0093115D" w:rsidRPr="00274E0D" w14:paraId="665A6206" w14:textId="77777777" w:rsidTr="00434248">
        <w:trPr>
          <w:cantSplit/>
          <w:jc w:val="center"/>
        </w:trPr>
        <w:tc>
          <w:tcPr>
            <w:tcW w:w="1092" w:type="dxa"/>
            <w:vAlign w:val="center"/>
          </w:tcPr>
          <w:p w14:paraId="7B93DC44" w14:textId="77777777" w:rsidR="0093115D" w:rsidRPr="00274E0D" w:rsidRDefault="0093115D" w:rsidP="00434248">
            <w:pPr>
              <w:jc w:val="center"/>
              <w:rPr>
                <w:noProof/>
                <w:color w:val="0000FF"/>
              </w:rPr>
            </w:pPr>
            <w:r w:rsidRPr="00274E0D">
              <w:rPr>
                <w:color w:val="0000FF"/>
              </w:rPr>
              <w:t>O</w:t>
            </w:r>
          </w:p>
        </w:tc>
        <w:tc>
          <w:tcPr>
            <w:tcW w:w="4002" w:type="dxa"/>
            <w:vAlign w:val="center"/>
          </w:tcPr>
          <w:p w14:paraId="7276139D" w14:textId="77777777" w:rsidR="0093115D" w:rsidRPr="00274E0D" w:rsidRDefault="0093115D" w:rsidP="00434248">
            <w:pPr>
              <w:spacing w:before="60"/>
              <w:rPr>
                <w:noProof/>
              </w:rPr>
            </w:pPr>
            <w:r w:rsidRPr="00274E0D">
              <w:rPr>
                <w:sz w:val="22"/>
              </w:rPr>
              <w:t>[16.07.01] – Ukrainan tukilainan velanhoitokustannukset</w:t>
            </w:r>
          </w:p>
        </w:tc>
        <w:tc>
          <w:tcPr>
            <w:tcW w:w="1092" w:type="dxa"/>
            <w:vAlign w:val="center"/>
          </w:tcPr>
          <w:p w14:paraId="36DB5211" w14:textId="77777777" w:rsidR="0093115D" w:rsidRPr="00274E0D" w:rsidRDefault="0093115D" w:rsidP="00434248">
            <w:pPr>
              <w:jc w:val="center"/>
              <w:rPr>
                <w:noProof/>
                <w:sz w:val="22"/>
              </w:rPr>
            </w:pPr>
            <w:r w:rsidRPr="00274E0D">
              <w:rPr>
                <w:sz w:val="22"/>
              </w:rPr>
              <w:t>JM</w:t>
            </w:r>
          </w:p>
        </w:tc>
        <w:tc>
          <w:tcPr>
            <w:tcW w:w="966" w:type="dxa"/>
            <w:vAlign w:val="center"/>
          </w:tcPr>
          <w:p w14:paraId="16E81C89" w14:textId="77777777" w:rsidR="0093115D" w:rsidRPr="00274E0D" w:rsidDel="000B1FF4" w:rsidRDefault="0093115D" w:rsidP="00434248">
            <w:pPr>
              <w:jc w:val="center"/>
              <w:rPr>
                <w:noProof/>
                <w:sz w:val="20"/>
                <w:szCs w:val="20"/>
              </w:rPr>
            </w:pPr>
            <w:r w:rsidRPr="00274E0D">
              <w:rPr>
                <w:sz w:val="20"/>
              </w:rPr>
              <w:t>EI</w:t>
            </w:r>
          </w:p>
        </w:tc>
        <w:tc>
          <w:tcPr>
            <w:tcW w:w="1092" w:type="dxa"/>
            <w:vAlign w:val="center"/>
          </w:tcPr>
          <w:p w14:paraId="619B7CBF" w14:textId="77777777" w:rsidR="0093115D" w:rsidRPr="00274E0D" w:rsidDel="000B1FF4" w:rsidRDefault="0093115D" w:rsidP="00434248">
            <w:pPr>
              <w:jc w:val="center"/>
              <w:rPr>
                <w:noProof/>
                <w:sz w:val="20"/>
                <w:szCs w:val="20"/>
              </w:rPr>
            </w:pPr>
            <w:r w:rsidRPr="00274E0D">
              <w:rPr>
                <w:sz w:val="20"/>
              </w:rPr>
              <w:t>EI</w:t>
            </w:r>
          </w:p>
        </w:tc>
        <w:tc>
          <w:tcPr>
            <w:tcW w:w="966" w:type="dxa"/>
            <w:vAlign w:val="center"/>
          </w:tcPr>
          <w:p w14:paraId="250DA872" w14:textId="77777777" w:rsidR="0093115D" w:rsidRPr="00274E0D" w:rsidDel="000B1FF4" w:rsidRDefault="0093115D" w:rsidP="00434248">
            <w:pPr>
              <w:jc w:val="center"/>
              <w:rPr>
                <w:noProof/>
                <w:sz w:val="20"/>
                <w:szCs w:val="20"/>
              </w:rPr>
            </w:pPr>
            <w:r w:rsidRPr="00274E0D">
              <w:rPr>
                <w:sz w:val="20"/>
              </w:rPr>
              <w:t>EI</w:t>
            </w:r>
          </w:p>
        </w:tc>
        <w:tc>
          <w:tcPr>
            <w:tcW w:w="1463" w:type="dxa"/>
            <w:vAlign w:val="center"/>
          </w:tcPr>
          <w:p w14:paraId="1803D6F6" w14:textId="77777777" w:rsidR="0093115D" w:rsidRPr="00274E0D" w:rsidDel="000B1FF4" w:rsidRDefault="0093115D" w:rsidP="00434248">
            <w:pPr>
              <w:jc w:val="center"/>
              <w:rPr>
                <w:noProof/>
                <w:sz w:val="20"/>
                <w:szCs w:val="20"/>
              </w:rPr>
            </w:pPr>
            <w:r w:rsidRPr="00274E0D">
              <w:rPr>
                <w:sz w:val="20"/>
              </w:rPr>
              <w:t>KYLLÄ</w:t>
            </w:r>
          </w:p>
        </w:tc>
      </w:tr>
    </w:tbl>
    <w:p w14:paraId="346F6509" w14:textId="77777777" w:rsidR="0093115D" w:rsidRPr="00274E0D" w:rsidRDefault="0093115D" w:rsidP="00656AA8">
      <w:pPr>
        <w:rPr>
          <w:noProof/>
        </w:rPr>
        <w:sectPr w:rsidR="0093115D" w:rsidRPr="00274E0D" w:rsidSect="0093115D">
          <w:pgSz w:w="11907" w:h="16840" w:code="1"/>
          <w:pgMar w:top="1134" w:right="1418" w:bottom="1134" w:left="1418" w:header="709" w:footer="709" w:gutter="0"/>
          <w:cols w:space="708"/>
          <w:docGrid w:linePitch="360"/>
        </w:sectPr>
      </w:pPr>
    </w:p>
    <w:p w14:paraId="3083D07B" w14:textId="77777777" w:rsidR="0093115D" w:rsidRPr="00274E0D" w:rsidRDefault="0093115D" w:rsidP="00656AA8">
      <w:pPr>
        <w:pStyle w:val="ManualHeading2"/>
        <w:rPr>
          <w:bCs/>
          <w:noProof/>
          <w:szCs w:val="24"/>
        </w:rPr>
      </w:pPr>
      <w:bookmarkStart w:id="153" w:name="_Toc514938052"/>
      <w:bookmarkStart w:id="154" w:name="_Toc520485051"/>
      <w:bookmarkStart w:id="155" w:name="_Toc160804593"/>
      <w:bookmarkStart w:id="156" w:name="_Toc167220285"/>
      <w:bookmarkStart w:id="157" w:name="_Toc177549018"/>
      <w:r w:rsidRPr="00274E0D">
        <w:lastRenderedPageBreak/>
        <w:t>3.2.</w:t>
      </w:r>
      <w:r w:rsidRPr="00274E0D">
        <w:tab/>
        <w:t>Arvioidut vaikutukset määrärahoihin</w:t>
      </w:r>
      <w:bookmarkEnd w:id="153"/>
      <w:bookmarkEnd w:id="154"/>
      <w:bookmarkEnd w:id="155"/>
      <w:bookmarkEnd w:id="156"/>
      <w:bookmarkEnd w:id="157"/>
      <w:r w:rsidRPr="00274E0D">
        <w:t xml:space="preserve"> </w:t>
      </w:r>
    </w:p>
    <w:p w14:paraId="4BE1B9BA" w14:textId="77777777" w:rsidR="0093115D" w:rsidRPr="00274E0D" w:rsidRDefault="0093115D" w:rsidP="00656AA8">
      <w:pPr>
        <w:pStyle w:val="ManualHeading3"/>
        <w:rPr>
          <w:noProof/>
        </w:rPr>
      </w:pPr>
      <w:bookmarkStart w:id="158" w:name="_Toc514938053"/>
      <w:bookmarkStart w:id="159" w:name="_Toc520485052"/>
      <w:bookmarkStart w:id="160" w:name="_Toc160804594"/>
      <w:bookmarkStart w:id="161" w:name="_Toc167220286"/>
      <w:bookmarkStart w:id="162" w:name="_Toc177549019"/>
      <w:r w:rsidRPr="00274E0D">
        <w:t>3.2.1.</w:t>
      </w:r>
      <w:r w:rsidRPr="00274E0D">
        <w:tab/>
        <w:t>Yhteenveto arvioiduista vaikutuksista toimintamäärärahoihin</w:t>
      </w:r>
      <w:bookmarkEnd w:id="158"/>
      <w:bookmarkEnd w:id="159"/>
      <w:bookmarkEnd w:id="160"/>
      <w:bookmarkEnd w:id="161"/>
      <w:bookmarkEnd w:id="162"/>
      <w:r w:rsidRPr="00274E0D">
        <w:t xml:space="preserve"> </w:t>
      </w:r>
    </w:p>
    <w:p w14:paraId="2D9EF382" w14:textId="77777777" w:rsidR="0093115D" w:rsidRPr="00274E0D" w:rsidRDefault="0093115D" w:rsidP="00656AA8">
      <w:pPr>
        <w:pStyle w:val="ListDash1"/>
        <w:rPr>
          <w:noProof/>
        </w:rPr>
      </w:pPr>
      <w:r w:rsidRPr="00274E0D">
        <w:rPr>
          <w:rFonts w:ascii="Wingdings" w:hAnsi="Wingdings"/>
        </w:rPr>
        <w:t></w:t>
      </w:r>
      <w:r w:rsidRPr="00274E0D">
        <w:tab/>
        <w:t xml:space="preserve">Ehdotus/aloite ei edellytä toimintamäärärahoja. </w:t>
      </w:r>
    </w:p>
    <w:p w14:paraId="45F07B06" w14:textId="77777777" w:rsidR="0093115D" w:rsidRPr="00274E0D" w:rsidRDefault="0093115D" w:rsidP="00656AA8">
      <w:pPr>
        <w:pStyle w:val="ListDash1"/>
        <w:rPr>
          <w:noProof/>
        </w:rPr>
      </w:pPr>
      <w:r w:rsidRPr="00274E0D">
        <w:rPr>
          <w:rFonts w:ascii="Wingdings" w:hAnsi="Wingdings"/>
        </w:rPr>
        <w:t></w:t>
      </w:r>
      <w:r w:rsidRPr="00274E0D">
        <w:tab/>
        <w:t>Ehdotus/aloite edellyttää toimintamäärärahoja seuraavasti:</w:t>
      </w:r>
    </w:p>
    <w:p w14:paraId="35AC62E2" w14:textId="77777777" w:rsidR="0093115D" w:rsidRPr="00274E0D" w:rsidRDefault="0093115D" w:rsidP="00656AA8">
      <w:pPr>
        <w:pStyle w:val="ManualHeading3"/>
        <w:rPr>
          <w:noProof/>
        </w:rPr>
      </w:pPr>
      <w:bookmarkStart w:id="163" w:name="_Toc160804595"/>
      <w:bookmarkStart w:id="164" w:name="_Toc167220287"/>
      <w:bookmarkStart w:id="165" w:name="_Toc177549020"/>
      <w:r w:rsidRPr="00274E0D">
        <w:t>3.2.1.1.</w:t>
      </w:r>
      <w:r w:rsidRPr="00274E0D">
        <w:tab/>
        <w:t>Hyväksytystä talousarviosta peräisin olevat määrärahat</w:t>
      </w:r>
      <w:bookmarkEnd w:id="163"/>
      <w:bookmarkEnd w:id="164"/>
      <w:bookmarkEnd w:id="165"/>
    </w:p>
    <w:p w14:paraId="315A3971" w14:textId="77777777" w:rsidR="0093115D" w:rsidRPr="00274E0D" w:rsidRDefault="0093115D" w:rsidP="00656AA8">
      <w:pPr>
        <w:jc w:val="right"/>
        <w:rPr>
          <w:noProof/>
          <w:sz w:val="18"/>
          <w:szCs w:val="18"/>
        </w:rPr>
      </w:pPr>
      <w:r w:rsidRPr="00274E0D">
        <w:rPr>
          <w:sz w:val="18"/>
        </w:rPr>
        <w:t>milj.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93115D" w:rsidRPr="00274E0D" w14:paraId="193BD189" w14:textId="77777777" w:rsidTr="00434248">
        <w:tc>
          <w:tcPr>
            <w:tcW w:w="1739" w:type="pct"/>
            <w:shd w:val="thinDiagStripe" w:color="C0C0C0" w:fill="auto"/>
            <w:vAlign w:val="center"/>
          </w:tcPr>
          <w:p w14:paraId="6D5A6682" w14:textId="77777777" w:rsidR="0093115D" w:rsidRPr="00274E0D" w:rsidRDefault="0093115D" w:rsidP="00434248">
            <w:pPr>
              <w:spacing w:before="60" w:after="60"/>
              <w:jc w:val="center"/>
              <w:rPr>
                <w:b/>
                <w:noProof/>
              </w:rPr>
            </w:pPr>
            <w:r w:rsidRPr="00274E0D">
              <w:rPr>
                <w:b/>
                <w:sz w:val="22"/>
              </w:rPr>
              <w:t xml:space="preserve">Monivuotisen rahoituskehyksen otsake </w:t>
            </w:r>
          </w:p>
        </w:tc>
        <w:tc>
          <w:tcPr>
            <w:tcW w:w="396" w:type="pct"/>
            <w:vAlign w:val="center"/>
          </w:tcPr>
          <w:p w14:paraId="401B8DDA" w14:textId="77777777" w:rsidR="0093115D" w:rsidRPr="00274E0D" w:rsidRDefault="0093115D" w:rsidP="00434248">
            <w:pPr>
              <w:spacing w:before="60" w:after="60"/>
              <w:jc w:val="center"/>
              <w:rPr>
                <w:noProof/>
              </w:rPr>
            </w:pPr>
            <w:r w:rsidRPr="00274E0D">
              <w:rPr>
                <w:sz w:val="22"/>
              </w:rPr>
              <w:t>Numero</w:t>
            </w:r>
          </w:p>
        </w:tc>
        <w:tc>
          <w:tcPr>
            <w:tcW w:w="2865" w:type="pct"/>
            <w:vAlign w:val="center"/>
          </w:tcPr>
          <w:p w14:paraId="7C1DAB26" w14:textId="77777777" w:rsidR="0093115D" w:rsidRPr="00274E0D" w:rsidRDefault="0093115D" w:rsidP="00434248">
            <w:pPr>
              <w:spacing w:before="60" w:after="60"/>
              <w:rPr>
                <w:noProof/>
              </w:rPr>
            </w:pPr>
          </w:p>
        </w:tc>
      </w:tr>
    </w:tbl>
    <w:p w14:paraId="26E22AA5" w14:textId="77777777" w:rsidR="0093115D" w:rsidRPr="00274E0D" w:rsidRDefault="0093115D" w:rsidP="00656AA8">
      <w:pPr>
        <w:rPr>
          <w:noProof/>
          <w:sz w:val="16"/>
        </w:rPr>
      </w:pPr>
    </w:p>
    <w:tbl>
      <w:tblPr>
        <w:tblW w:w="5000" w:type="pct"/>
        <w:tblLook w:val="04A0" w:firstRow="1" w:lastRow="0" w:firstColumn="1" w:lastColumn="0" w:noHBand="0" w:noVBand="1"/>
      </w:tblPr>
      <w:tblGrid>
        <w:gridCol w:w="4035"/>
        <w:gridCol w:w="290"/>
        <w:gridCol w:w="1214"/>
        <w:gridCol w:w="128"/>
        <w:gridCol w:w="1038"/>
        <w:gridCol w:w="245"/>
        <w:gridCol w:w="796"/>
        <w:gridCol w:w="614"/>
        <w:gridCol w:w="629"/>
        <w:gridCol w:w="782"/>
        <w:gridCol w:w="461"/>
        <w:gridCol w:w="941"/>
        <w:gridCol w:w="9"/>
        <w:gridCol w:w="293"/>
        <w:gridCol w:w="1101"/>
        <w:gridCol w:w="142"/>
        <w:gridCol w:w="1502"/>
      </w:tblGrid>
      <w:tr w:rsidR="0093115D" w:rsidRPr="00274E0D" w14:paraId="6D5E891C" w14:textId="77777777" w:rsidTr="000B1FF4">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4D8AC66B" w14:textId="77777777" w:rsidR="0093115D" w:rsidRPr="00274E0D" w:rsidRDefault="0093115D" w:rsidP="00434248">
            <w:pPr>
              <w:spacing w:before="0" w:after="0"/>
              <w:jc w:val="center"/>
              <w:rPr>
                <w:noProof/>
                <w:color w:val="000000"/>
                <w:sz w:val="22"/>
              </w:rPr>
            </w:pPr>
            <w:r w:rsidRPr="00274E0D">
              <w:rPr>
                <w:color w:val="000000"/>
                <w:sz w:val="22"/>
              </w:rPr>
              <w:t>Pääosasto: &lt;</w:t>
            </w:r>
            <w:proofErr w:type="gramStart"/>
            <w:r w:rsidRPr="00274E0D">
              <w:rPr>
                <w:color w:val="000000"/>
                <w:sz w:val="22"/>
              </w:rPr>
              <w:t>…….</w:t>
            </w:r>
            <w:proofErr w:type="gramEnd"/>
            <w:r w:rsidRPr="00274E0D">
              <w:rPr>
                <w:color w:val="000000"/>
                <w:sz w:val="22"/>
              </w:rPr>
              <w:t>&gt;</w:t>
            </w:r>
          </w:p>
        </w:tc>
        <w:tc>
          <w:tcPr>
            <w:tcW w:w="496" w:type="pct"/>
            <w:gridSpan w:val="2"/>
            <w:tcBorders>
              <w:top w:val="single" w:sz="8" w:space="0" w:color="auto"/>
              <w:left w:val="nil"/>
              <w:bottom w:val="single" w:sz="8" w:space="0" w:color="auto"/>
              <w:right w:val="single" w:sz="8" w:space="0" w:color="auto"/>
            </w:tcBorders>
            <w:vAlign w:val="center"/>
            <w:hideMark/>
          </w:tcPr>
          <w:p w14:paraId="5FEAE5D7"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6" w:type="pct"/>
            <w:gridSpan w:val="2"/>
            <w:tcBorders>
              <w:top w:val="single" w:sz="8" w:space="0" w:color="auto"/>
              <w:left w:val="nil"/>
              <w:bottom w:val="single" w:sz="8" w:space="0" w:color="auto"/>
              <w:right w:val="single" w:sz="8" w:space="0" w:color="auto"/>
            </w:tcBorders>
            <w:vAlign w:val="center"/>
            <w:hideMark/>
          </w:tcPr>
          <w:p w14:paraId="51804352"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6" w:type="pct"/>
            <w:gridSpan w:val="3"/>
            <w:tcBorders>
              <w:top w:val="single" w:sz="8" w:space="0" w:color="auto"/>
              <w:left w:val="nil"/>
              <w:bottom w:val="single" w:sz="8" w:space="0" w:color="auto"/>
              <w:right w:val="single" w:sz="8" w:space="0" w:color="auto"/>
            </w:tcBorders>
            <w:vAlign w:val="center"/>
            <w:hideMark/>
          </w:tcPr>
          <w:p w14:paraId="40A36EF1"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0" w:type="pct"/>
            <w:gridSpan w:val="2"/>
            <w:tcBorders>
              <w:top w:val="single" w:sz="8" w:space="0" w:color="auto"/>
              <w:left w:val="nil"/>
              <w:bottom w:val="single" w:sz="8" w:space="0" w:color="auto"/>
              <w:right w:val="single" w:sz="8" w:space="0" w:color="auto"/>
            </w:tcBorders>
            <w:vAlign w:val="center"/>
            <w:hideMark/>
          </w:tcPr>
          <w:p w14:paraId="58E3D855"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7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7EF2B57"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58CB6FD2" w14:textId="77777777" w:rsidTr="000B1FF4">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14:paraId="5EBEF593" w14:textId="77777777" w:rsidR="0093115D" w:rsidRPr="00274E0D" w:rsidRDefault="0093115D" w:rsidP="00434248">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5EDFF2B9"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506F99BE"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6469F57F"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90" w:type="pct"/>
            <w:gridSpan w:val="2"/>
            <w:tcBorders>
              <w:top w:val="nil"/>
              <w:left w:val="nil"/>
              <w:bottom w:val="single" w:sz="8" w:space="0" w:color="auto"/>
              <w:right w:val="single" w:sz="8" w:space="0" w:color="auto"/>
            </w:tcBorders>
            <w:vAlign w:val="center"/>
            <w:hideMark/>
          </w:tcPr>
          <w:p w14:paraId="4FFC036B"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78" w:type="pct"/>
            <w:gridSpan w:val="2"/>
            <w:vMerge/>
            <w:tcBorders>
              <w:top w:val="single" w:sz="8" w:space="0" w:color="auto"/>
              <w:left w:val="single" w:sz="8" w:space="0" w:color="auto"/>
              <w:bottom w:val="single" w:sz="8" w:space="0" w:color="auto"/>
              <w:right w:val="single" w:sz="8" w:space="0" w:color="auto"/>
            </w:tcBorders>
            <w:vAlign w:val="center"/>
            <w:hideMark/>
          </w:tcPr>
          <w:p w14:paraId="121C0A7F"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47977993" w14:textId="77777777" w:rsidTr="00434248">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0F8DA249" w14:textId="77777777" w:rsidR="0093115D" w:rsidRPr="00274E0D" w:rsidRDefault="0093115D" w:rsidP="00434248">
            <w:pPr>
              <w:spacing w:before="0" w:after="0"/>
              <w:jc w:val="left"/>
              <w:rPr>
                <w:noProof/>
                <w:color w:val="000000"/>
                <w:sz w:val="21"/>
                <w:szCs w:val="21"/>
              </w:rPr>
            </w:pPr>
            <w:r w:rsidRPr="00274E0D">
              <w:rPr>
                <w:color w:val="000000"/>
                <w:sz w:val="21"/>
              </w:rPr>
              <w:t xml:space="preserve">Toimintamäärärahat </w:t>
            </w:r>
          </w:p>
        </w:tc>
      </w:tr>
      <w:tr w:rsidR="0093115D" w:rsidRPr="00274E0D" w14:paraId="4ADF24C9" w14:textId="77777777" w:rsidTr="000B1FF4">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191FD8F1" w14:textId="77777777" w:rsidR="0093115D" w:rsidRPr="00274E0D" w:rsidRDefault="0093115D" w:rsidP="00434248">
            <w:pPr>
              <w:spacing w:before="0" w:after="0"/>
              <w:jc w:val="left"/>
              <w:rPr>
                <w:noProof/>
                <w:color w:val="000000"/>
                <w:sz w:val="22"/>
              </w:rPr>
            </w:pPr>
            <w:r w:rsidRPr="00274E0D">
              <w:rPr>
                <w:color w:val="000000"/>
                <w:sz w:val="22"/>
              </w:rPr>
              <w:t>Budjettikohta 16.07.01</w:t>
            </w:r>
          </w:p>
        </w:tc>
        <w:tc>
          <w:tcPr>
            <w:tcW w:w="529" w:type="pct"/>
            <w:gridSpan w:val="2"/>
            <w:tcBorders>
              <w:top w:val="nil"/>
              <w:left w:val="nil"/>
              <w:bottom w:val="single" w:sz="8" w:space="0" w:color="auto"/>
              <w:right w:val="single" w:sz="8" w:space="0" w:color="auto"/>
            </w:tcBorders>
            <w:vAlign w:val="center"/>
            <w:hideMark/>
          </w:tcPr>
          <w:p w14:paraId="75D25589"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21286D9F" w14:textId="77777777" w:rsidR="0093115D" w:rsidRPr="00274E0D" w:rsidRDefault="0093115D" w:rsidP="00434248">
            <w:pPr>
              <w:spacing w:before="0" w:after="0"/>
              <w:jc w:val="center"/>
              <w:rPr>
                <w:noProof/>
                <w:color w:val="000000"/>
                <w:sz w:val="14"/>
                <w:szCs w:val="14"/>
              </w:rPr>
            </w:pPr>
            <w:r w:rsidRPr="00274E0D">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27022230"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7E65279"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9F6A6EC" w14:textId="77777777" w:rsidR="0093115D" w:rsidRPr="00274E0D" w:rsidRDefault="0093115D" w:rsidP="00434248">
            <w:pPr>
              <w:spacing w:before="0" w:after="0"/>
              <w:jc w:val="right"/>
              <w:rPr>
                <w:noProof/>
                <w:color w:val="000000"/>
                <w:sz w:val="20"/>
                <w:szCs w:val="20"/>
              </w:rPr>
            </w:pPr>
            <w:r w:rsidRPr="00274E0D">
              <w:rPr>
                <w:color w:val="000000"/>
                <w:sz w:val="20"/>
              </w:rPr>
              <w:t xml:space="preserve">0 </w:t>
            </w:r>
          </w:p>
        </w:tc>
        <w:tc>
          <w:tcPr>
            <w:tcW w:w="490" w:type="pct"/>
            <w:gridSpan w:val="2"/>
            <w:tcBorders>
              <w:top w:val="nil"/>
              <w:left w:val="nil"/>
              <w:bottom w:val="single" w:sz="8" w:space="0" w:color="auto"/>
              <w:right w:val="single" w:sz="8" w:space="0" w:color="auto"/>
            </w:tcBorders>
            <w:vAlign w:val="center"/>
            <w:hideMark/>
          </w:tcPr>
          <w:p w14:paraId="066EAA11" w14:textId="77777777" w:rsidR="0093115D" w:rsidRPr="00274E0D" w:rsidRDefault="0093115D" w:rsidP="00434248">
            <w:pPr>
              <w:spacing w:before="0" w:after="0"/>
              <w:jc w:val="right"/>
              <w:rPr>
                <w:noProof/>
                <w:color w:val="000000"/>
                <w:sz w:val="20"/>
                <w:szCs w:val="20"/>
              </w:rPr>
            </w:pPr>
            <w:r w:rsidRPr="00274E0D">
              <w:rPr>
                <w:color w:val="000000"/>
                <w:sz w:val="20"/>
              </w:rPr>
              <w:t xml:space="preserve">1 000.000(*) </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5E7F0B3E" w14:textId="77777777" w:rsidR="0093115D" w:rsidRPr="00274E0D" w:rsidRDefault="0093115D" w:rsidP="00434248">
            <w:pPr>
              <w:spacing w:before="0" w:after="0"/>
              <w:jc w:val="right"/>
              <w:rPr>
                <w:b/>
                <w:bCs/>
                <w:noProof/>
                <w:color w:val="000000"/>
                <w:sz w:val="20"/>
                <w:szCs w:val="20"/>
              </w:rPr>
            </w:pPr>
            <w:r w:rsidRPr="00274E0D">
              <w:rPr>
                <w:b/>
                <w:color w:val="000000"/>
                <w:sz w:val="20"/>
              </w:rPr>
              <w:t>1 000.000(*) </w:t>
            </w:r>
          </w:p>
        </w:tc>
      </w:tr>
      <w:tr w:rsidR="0093115D" w:rsidRPr="00274E0D" w14:paraId="2320FE45" w14:textId="77777777" w:rsidTr="000B1FF4">
        <w:trPr>
          <w:trHeight w:val="315"/>
        </w:trPr>
        <w:tc>
          <w:tcPr>
            <w:tcW w:w="1419" w:type="pct"/>
            <w:vMerge/>
            <w:tcBorders>
              <w:top w:val="nil"/>
              <w:left w:val="single" w:sz="8" w:space="0" w:color="auto"/>
              <w:bottom w:val="single" w:sz="8" w:space="0" w:color="auto"/>
              <w:right w:val="single" w:sz="8" w:space="0" w:color="auto"/>
            </w:tcBorders>
            <w:vAlign w:val="center"/>
            <w:hideMark/>
          </w:tcPr>
          <w:p w14:paraId="6D9315FF" w14:textId="77777777" w:rsidR="0093115D" w:rsidRPr="00274E0D" w:rsidRDefault="0093115D" w:rsidP="00434248">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3EBFD5D1"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607A8844" w14:textId="77777777" w:rsidR="0093115D" w:rsidRPr="00274E0D" w:rsidRDefault="0093115D" w:rsidP="00434248">
            <w:pPr>
              <w:spacing w:before="0" w:after="0"/>
              <w:jc w:val="center"/>
              <w:rPr>
                <w:noProof/>
                <w:color w:val="000000"/>
                <w:sz w:val="14"/>
                <w:szCs w:val="14"/>
              </w:rPr>
            </w:pPr>
            <w:r w:rsidRPr="00274E0D">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57CA94A2"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1B4F554"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66344F43" w14:textId="77777777" w:rsidR="0093115D" w:rsidRPr="00274E0D" w:rsidRDefault="0093115D" w:rsidP="00434248">
            <w:pPr>
              <w:spacing w:before="0" w:after="0"/>
              <w:jc w:val="right"/>
              <w:rPr>
                <w:noProof/>
                <w:color w:val="000000"/>
                <w:sz w:val="20"/>
                <w:szCs w:val="20"/>
              </w:rPr>
            </w:pPr>
            <w:r w:rsidRPr="00274E0D">
              <w:rPr>
                <w:color w:val="000000"/>
                <w:sz w:val="20"/>
              </w:rPr>
              <w:t xml:space="preserve">0 </w:t>
            </w:r>
          </w:p>
        </w:tc>
        <w:tc>
          <w:tcPr>
            <w:tcW w:w="490" w:type="pct"/>
            <w:gridSpan w:val="2"/>
            <w:tcBorders>
              <w:top w:val="nil"/>
              <w:left w:val="nil"/>
              <w:bottom w:val="single" w:sz="8" w:space="0" w:color="auto"/>
              <w:right w:val="single" w:sz="8" w:space="0" w:color="auto"/>
            </w:tcBorders>
            <w:vAlign w:val="center"/>
            <w:hideMark/>
          </w:tcPr>
          <w:p w14:paraId="7FD19C92" w14:textId="77777777" w:rsidR="0093115D" w:rsidRPr="00274E0D" w:rsidRDefault="0093115D" w:rsidP="00434248">
            <w:pPr>
              <w:spacing w:before="0" w:after="0"/>
              <w:jc w:val="right"/>
              <w:rPr>
                <w:noProof/>
                <w:color w:val="000000"/>
                <w:sz w:val="20"/>
                <w:szCs w:val="20"/>
              </w:rPr>
            </w:pPr>
            <w:r w:rsidRPr="00274E0D">
              <w:rPr>
                <w:color w:val="000000"/>
                <w:sz w:val="20"/>
              </w:rPr>
              <w:t xml:space="preserve">1 000.000(*) </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27708813" w14:textId="77777777" w:rsidR="0093115D" w:rsidRPr="00274E0D" w:rsidRDefault="0093115D" w:rsidP="00434248">
            <w:pPr>
              <w:spacing w:before="0" w:after="0"/>
              <w:jc w:val="right"/>
              <w:rPr>
                <w:b/>
                <w:bCs/>
                <w:noProof/>
                <w:color w:val="000000"/>
                <w:sz w:val="20"/>
                <w:szCs w:val="20"/>
              </w:rPr>
            </w:pPr>
            <w:r w:rsidRPr="00274E0D">
              <w:rPr>
                <w:b/>
                <w:color w:val="000000"/>
                <w:sz w:val="20"/>
              </w:rPr>
              <w:t>1 000.000(*) </w:t>
            </w:r>
          </w:p>
        </w:tc>
      </w:tr>
      <w:tr w:rsidR="0093115D" w:rsidRPr="00274E0D" w14:paraId="4C308629" w14:textId="77777777" w:rsidTr="000B1FF4">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43C76DD7" w14:textId="77777777" w:rsidR="0093115D" w:rsidRPr="00274E0D" w:rsidRDefault="0093115D" w:rsidP="00434248">
            <w:pPr>
              <w:spacing w:before="0" w:after="0"/>
              <w:rPr>
                <w:noProof/>
                <w:color w:val="000000"/>
                <w:sz w:val="20"/>
                <w:szCs w:val="20"/>
              </w:rPr>
            </w:pPr>
            <w:r w:rsidRPr="00274E0D">
              <w:rPr>
                <w:color w:val="000000"/>
                <w:sz w:val="20"/>
              </w:rPr>
              <w:t>Budjettikohta</w:t>
            </w:r>
          </w:p>
        </w:tc>
        <w:tc>
          <w:tcPr>
            <w:tcW w:w="529" w:type="pct"/>
            <w:gridSpan w:val="2"/>
            <w:tcBorders>
              <w:top w:val="nil"/>
              <w:left w:val="nil"/>
              <w:bottom w:val="single" w:sz="8" w:space="0" w:color="auto"/>
              <w:right w:val="single" w:sz="8" w:space="0" w:color="auto"/>
            </w:tcBorders>
            <w:vAlign w:val="center"/>
            <w:hideMark/>
          </w:tcPr>
          <w:p w14:paraId="54CDA39A"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700A2442" w14:textId="77777777" w:rsidR="0093115D" w:rsidRPr="00274E0D" w:rsidRDefault="0093115D" w:rsidP="00434248">
            <w:pPr>
              <w:spacing w:before="0" w:after="0"/>
              <w:jc w:val="center"/>
              <w:rPr>
                <w:noProof/>
                <w:color w:val="000000"/>
                <w:sz w:val="14"/>
                <w:szCs w:val="14"/>
              </w:rPr>
            </w:pPr>
            <w:r w:rsidRPr="00274E0D">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501DE599"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25FDEE88"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19B4A9FB"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0" w:type="pct"/>
            <w:gridSpan w:val="2"/>
            <w:tcBorders>
              <w:top w:val="nil"/>
              <w:left w:val="nil"/>
              <w:bottom w:val="single" w:sz="8" w:space="0" w:color="auto"/>
              <w:right w:val="single" w:sz="8" w:space="0" w:color="auto"/>
            </w:tcBorders>
            <w:vAlign w:val="center"/>
            <w:hideMark/>
          </w:tcPr>
          <w:p w14:paraId="42E9BC1A"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1BE21AF2"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406DFF99" w14:textId="77777777" w:rsidTr="000B1FF4">
        <w:trPr>
          <w:trHeight w:val="315"/>
        </w:trPr>
        <w:tc>
          <w:tcPr>
            <w:tcW w:w="1419" w:type="pct"/>
            <w:vMerge/>
            <w:tcBorders>
              <w:top w:val="nil"/>
              <w:left w:val="single" w:sz="8" w:space="0" w:color="auto"/>
              <w:bottom w:val="single" w:sz="8" w:space="0" w:color="auto"/>
              <w:right w:val="single" w:sz="8" w:space="0" w:color="auto"/>
            </w:tcBorders>
            <w:vAlign w:val="center"/>
            <w:hideMark/>
          </w:tcPr>
          <w:p w14:paraId="7C97C156" w14:textId="77777777" w:rsidR="0093115D" w:rsidRPr="00274E0D" w:rsidRDefault="0093115D" w:rsidP="00434248">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64E0F667"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2559B87E" w14:textId="77777777" w:rsidR="0093115D" w:rsidRPr="00274E0D" w:rsidRDefault="0093115D" w:rsidP="00434248">
            <w:pPr>
              <w:spacing w:before="0" w:after="0"/>
              <w:jc w:val="center"/>
              <w:rPr>
                <w:noProof/>
                <w:color w:val="000000"/>
                <w:sz w:val="14"/>
                <w:szCs w:val="14"/>
              </w:rPr>
            </w:pPr>
            <w:r w:rsidRPr="00274E0D">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7E0782E6"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135BC8D"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58F1E9B"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0" w:type="pct"/>
            <w:gridSpan w:val="2"/>
            <w:tcBorders>
              <w:top w:val="nil"/>
              <w:left w:val="nil"/>
              <w:bottom w:val="single" w:sz="8" w:space="0" w:color="auto"/>
              <w:right w:val="single" w:sz="8" w:space="0" w:color="auto"/>
            </w:tcBorders>
            <w:vAlign w:val="center"/>
            <w:hideMark/>
          </w:tcPr>
          <w:p w14:paraId="5E95C852"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3332D6F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4DEB08A" w14:textId="77777777" w:rsidTr="00434248">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56F3750F" w14:textId="77777777" w:rsidR="0093115D" w:rsidRPr="00274E0D" w:rsidRDefault="0093115D" w:rsidP="00434248">
            <w:pPr>
              <w:spacing w:before="0" w:after="0"/>
              <w:jc w:val="left"/>
              <w:rPr>
                <w:noProof/>
                <w:color w:val="000000"/>
                <w:sz w:val="22"/>
              </w:rPr>
            </w:pPr>
            <w:r w:rsidRPr="00274E0D">
              <w:rPr>
                <w:color w:val="000000"/>
                <w:sz w:val="22"/>
              </w:rPr>
              <w:t>Tiettyjen ohjelmien määrärahoista katettavat hallintomäärärahat</w:t>
            </w:r>
            <w:r w:rsidRPr="00274E0D">
              <w:t xml:space="preserve"> </w:t>
            </w:r>
          </w:p>
        </w:tc>
      </w:tr>
      <w:tr w:rsidR="0093115D" w:rsidRPr="00274E0D" w14:paraId="2D435451" w14:textId="77777777" w:rsidTr="000B1FF4">
        <w:trPr>
          <w:trHeight w:val="288"/>
        </w:trPr>
        <w:tc>
          <w:tcPr>
            <w:tcW w:w="1419" w:type="pct"/>
            <w:tcBorders>
              <w:top w:val="nil"/>
              <w:left w:val="single" w:sz="8" w:space="0" w:color="auto"/>
              <w:bottom w:val="single" w:sz="8" w:space="0" w:color="auto"/>
              <w:right w:val="single" w:sz="8" w:space="0" w:color="auto"/>
            </w:tcBorders>
            <w:vAlign w:val="center"/>
            <w:hideMark/>
          </w:tcPr>
          <w:p w14:paraId="7E279424" w14:textId="77777777" w:rsidR="0093115D" w:rsidRPr="00274E0D" w:rsidRDefault="0093115D" w:rsidP="00434248">
            <w:pPr>
              <w:spacing w:before="0" w:after="0"/>
              <w:rPr>
                <w:noProof/>
                <w:color w:val="000000"/>
                <w:sz w:val="20"/>
                <w:szCs w:val="20"/>
              </w:rPr>
            </w:pPr>
            <w:r w:rsidRPr="00274E0D">
              <w:rPr>
                <w:color w:val="000000"/>
                <w:sz w:val="20"/>
              </w:rPr>
              <w:t>Budjettikohta 06.01.03</w:t>
            </w:r>
          </w:p>
        </w:tc>
        <w:tc>
          <w:tcPr>
            <w:tcW w:w="529" w:type="pct"/>
            <w:gridSpan w:val="2"/>
            <w:tcBorders>
              <w:top w:val="nil"/>
              <w:left w:val="nil"/>
              <w:bottom w:val="single" w:sz="8" w:space="0" w:color="auto"/>
              <w:right w:val="single" w:sz="8" w:space="0" w:color="auto"/>
            </w:tcBorders>
            <w:vAlign w:val="center"/>
            <w:hideMark/>
          </w:tcPr>
          <w:p w14:paraId="4F6B2C80" w14:textId="77777777" w:rsidR="0093115D" w:rsidRPr="00274E0D" w:rsidRDefault="0093115D" w:rsidP="00434248">
            <w:pPr>
              <w:spacing w:before="0" w:after="0"/>
              <w:jc w:val="right"/>
              <w:rPr>
                <w:noProof/>
                <w:color w:val="000000"/>
                <w:sz w:val="18"/>
                <w:szCs w:val="18"/>
              </w:rPr>
            </w:pPr>
            <w:r w:rsidRPr="00274E0D">
              <w:rPr>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5D971B6A" w14:textId="77777777" w:rsidR="0093115D" w:rsidRPr="00274E0D" w:rsidRDefault="0093115D" w:rsidP="00434248">
            <w:pPr>
              <w:spacing w:before="0" w:after="0"/>
              <w:jc w:val="center"/>
              <w:rPr>
                <w:noProof/>
                <w:color w:val="000000"/>
                <w:sz w:val="14"/>
                <w:szCs w:val="14"/>
              </w:rPr>
            </w:pPr>
            <w:r w:rsidRPr="00274E0D">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0903A773"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C3B9681"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4509C7C0"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490" w:type="pct"/>
            <w:gridSpan w:val="2"/>
            <w:tcBorders>
              <w:top w:val="nil"/>
              <w:left w:val="nil"/>
              <w:bottom w:val="single" w:sz="8" w:space="0" w:color="auto"/>
              <w:right w:val="single" w:sz="8" w:space="0" w:color="auto"/>
            </w:tcBorders>
            <w:vAlign w:val="center"/>
            <w:hideMark/>
          </w:tcPr>
          <w:p w14:paraId="2340F861"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0E855CBC" w14:textId="77777777" w:rsidR="0093115D" w:rsidRPr="00274E0D" w:rsidRDefault="0093115D" w:rsidP="00434248">
            <w:pPr>
              <w:spacing w:before="0" w:after="0"/>
              <w:jc w:val="right"/>
              <w:rPr>
                <w:b/>
                <w:bCs/>
                <w:noProof/>
                <w:color w:val="000000"/>
                <w:sz w:val="20"/>
                <w:szCs w:val="20"/>
              </w:rPr>
            </w:pPr>
            <w:r w:rsidRPr="00274E0D">
              <w:rPr>
                <w:b/>
                <w:color w:val="000000"/>
                <w:sz w:val="20"/>
              </w:rPr>
              <w:t>2,000</w:t>
            </w:r>
          </w:p>
        </w:tc>
      </w:tr>
      <w:tr w:rsidR="0093115D" w:rsidRPr="00274E0D" w14:paraId="677BC9EB" w14:textId="77777777" w:rsidTr="000B1FF4">
        <w:trPr>
          <w:trHeight w:val="288"/>
        </w:trPr>
        <w:tc>
          <w:tcPr>
            <w:tcW w:w="1419" w:type="pct"/>
            <w:vMerge w:val="restart"/>
            <w:tcBorders>
              <w:top w:val="nil"/>
              <w:left w:val="single" w:sz="8" w:space="0" w:color="auto"/>
              <w:right w:val="single" w:sz="8" w:space="0" w:color="auto"/>
            </w:tcBorders>
            <w:vAlign w:val="center"/>
            <w:hideMark/>
          </w:tcPr>
          <w:p w14:paraId="0B066DDD" w14:textId="77777777" w:rsidR="0093115D" w:rsidRPr="00274E0D" w:rsidRDefault="0093115D" w:rsidP="00B45303">
            <w:pPr>
              <w:spacing w:before="0" w:after="0"/>
              <w:jc w:val="center"/>
              <w:rPr>
                <w:b/>
                <w:bCs/>
                <w:noProof/>
                <w:color w:val="000000"/>
                <w:sz w:val="22"/>
              </w:rPr>
            </w:pPr>
            <w:r w:rsidRPr="00274E0D">
              <w:rPr>
                <w:b/>
                <w:color w:val="000000"/>
                <w:sz w:val="22"/>
              </w:rPr>
              <w:t>Pääosaston</w:t>
            </w:r>
            <w:r w:rsidRPr="00274E0D">
              <w:rPr>
                <w:color w:val="000000"/>
                <w:sz w:val="22"/>
              </w:rPr>
              <w:t xml:space="preserve"> &lt;</w:t>
            </w:r>
            <w:proofErr w:type="gramStart"/>
            <w:r w:rsidRPr="00274E0D">
              <w:rPr>
                <w:color w:val="000000"/>
                <w:sz w:val="22"/>
              </w:rPr>
              <w:t>…….</w:t>
            </w:r>
            <w:proofErr w:type="gramEnd"/>
            <w:r w:rsidRPr="00274E0D">
              <w:rPr>
                <w:color w:val="000000"/>
                <w:sz w:val="22"/>
              </w:rPr>
              <w:t xml:space="preserve">&gt; </w:t>
            </w:r>
            <w:r w:rsidRPr="00274E0D">
              <w:rPr>
                <w:b/>
                <w:color w:val="000000"/>
                <w:sz w:val="22"/>
              </w:rPr>
              <w:t>määrärahat YHTEENSÄ</w:t>
            </w:r>
          </w:p>
        </w:tc>
        <w:tc>
          <w:tcPr>
            <w:tcW w:w="529" w:type="pct"/>
            <w:gridSpan w:val="2"/>
            <w:tcBorders>
              <w:top w:val="nil"/>
              <w:left w:val="nil"/>
              <w:bottom w:val="single" w:sz="8" w:space="0" w:color="auto"/>
              <w:right w:val="single" w:sz="8" w:space="0" w:color="auto"/>
            </w:tcBorders>
            <w:vAlign w:val="center"/>
            <w:hideMark/>
          </w:tcPr>
          <w:p w14:paraId="10B160E0"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7FDE1D94" w14:textId="77777777" w:rsidR="0093115D" w:rsidRPr="00274E0D" w:rsidRDefault="0093115D" w:rsidP="00434248">
            <w:pPr>
              <w:spacing w:before="0" w:after="0"/>
              <w:jc w:val="center"/>
              <w:rPr>
                <w:noProof/>
                <w:color w:val="000000"/>
                <w:sz w:val="14"/>
                <w:szCs w:val="14"/>
              </w:rPr>
            </w:pPr>
            <w:r w:rsidRPr="00274E0D">
              <w:rPr>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721BD6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46C4EB8"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3A14C010"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490" w:type="pct"/>
            <w:gridSpan w:val="2"/>
            <w:tcBorders>
              <w:top w:val="nil"/>
              <w:left w:val="nil"/>
              <w:bottom w:val="single" w:sz="8" w:space="0" w:color="auto"/>
              <w:right w:val="single" w:sz="8" w:space="0" w:color="auto"/>
            </w:tcBorders>
            <w:shd w:val="clear" w:color="000000" w:fill="D9D9D9"/>
            <w:vAlign w:val="center"/>
            <w:hideMark/>
          </w:tcPr>
          <w:p w14:paraId="4918E9C6" w14:textId="77777777" w:rsidR="0093115D" w:rsidRPr="00274E0D" w:rsidRDefault="0093115D" w:rsidP="00434248">
            <w:pPr>
              <w:spacing w:before="0" w:after="0"/>
              <w:jc w:val="right"/>
              <w:rPr>
                <w:b/>
                <w:bCs/>
                <w:noProof/>
                <w:color w:val="000000"/>
                <w:sz w:val="20"/>
                <w:szCs w:val="20"/>
              </w:rPr>
            </w:pPr>
            <w:r w:rsidRPr="00274E0D">
              <w:rPr>
                <w:b/>
                <w:color w:val="000000"/>
                <w:sz w:val="20"/>
              </w:rPr>
              <w:t>1 001,000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5BCD211A" w14:textId="77777777" w:rsidR="0093115D" w:rsidRPr="00274E0D" w:rsidRDefault="0093115D" w:rsidP="00434248">
            <w:pPr>
              <w:spacing w:before="0" w:after="0"/>
              <w:jc w:val="right"/>
              <w:rPr>
                <w:b/>
                <w:bCs/>
                <w:noProof/>
                <w:color w:val="000000"/>
                <w:sz w:val="20"/>
                <w:szCs w:val="20"/>
              </w:rPr>
            </w:pPr>
            <w:r w:rsidRPr="00274E0D">
              <w:rPr>
                <w:b/>
                <w:color w:val="000000"/>
                <w:sz w:val="20"/>
              </w:rPr>
              <w:t>1 002,000</w:t>
            </w:r>
          </w:p>
        </w:tc>
      </w:tr>
      <w:tr w:rsidR="0093115D" w:rsidRPr="00274E0D" w14:paraId="411BD237" w14:textId="77777777" w:rsidTr="000B1FF4">
        <w:trPr>
          <w:trHeight w:val="288"/>
        </w:trPr>
        <w:tc>
          <w:tcPr>
            <w:tcW w:w="1419" w:type="pct"/>
            <w:vMerge/>
            <w:tcBorders>
              <w:left w:val="single" w:sz="8" w:space="0" w:color="auto"/>
              <w:bottom w:val="single" w:sz="4" w:space="0" w:color="auto"/>
              <w:right w:val="single" w:sz="8" w:space="0" w:color="auto"/>
            </w:tcBorders>
            <w:vAlign w:val="center"/>
            <w:hideMark/>
          </w:tcPr>
          <w:p w14:paraId="12FE36A8" w14:textId="77777777" w:rsidR="0093115D" w:rsidRPr="00274E0D" w:rsidRDefault="0093115D" w:rsidP="00434248">
            <w:pPr>
              <w:spacing w:before="0" w:after="0"/>
              <w:jc w:val="center"/>
              <w:rPr>
                <w:b/>
                <w:bCs/>
                <w:noProof/>
                <w:color w:val="000000"/>
                <w:sz w:val="22"/>
                <w:lang w:eastAsia="en-IE"/>
              </w:rPr>
            </w:pPr>
          </w:p>
        </w:tc>
        <w:tc>
          <w:tcPr>
            <w:tcW w:w="529" w:type="pct"/>
            <w:gridSpan w:val="2"/>
            <w:tcBorders>
              <w:top w:val="nil"/>
              <w:left w:val="single" w:sz="8" w:space="0" w:color="auto"/>
              <w:bottom w:val="single" w:sz="8" w:space="0" w:color="auto"/>
              <w:right w:val="single" w:sz="8" w:space="0" w:color="auto"/>
            </w:tcBorders>
            <w:vAlign w:val="center"/>
            <w:hideMark/>
          </w:tcPr>
          <w:p w14:paraId="3D838F4B"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7B1CF5ED" w14:textId="77777777" w:rsidR="0093115D" w:rsidRPr="00274E0D" w:rsidRDefault="0093115D" w:rsidP="00434248">
            <w:pPr>
              <w:spacing w:before="0" w:after="0"/>
              <w:jc w:val="center"/>
              <w:rPr>
                <w:noProof/>
                <w:color w:val="000000"/>
                <w:sz w:val="14"/>
                <w:szCs w:val="14"/>
              </w:rPr>
            </w:pPr>
            <w:r w:rsidRPr="00274E0D">
              <w:rPr>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2113827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048071A3"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4E94375B"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490" w:type="pct"/>
            <w:gridSpan w:val="2"/>
            <w:tcBorders>
              <w:top w:val="nil"/>
              <w:left w:val="nil"/>
              <w:bottom w:val="single" w:sz="8" w:space="0" w:color="auto"/>
              <w:right w:val="single" w:sz="8" w:space="0" w:color="auto"/>
            </w:tcBorders>
            <w:shd w:val="clear" w:color="000000" w:fill="D9D9D9"/>
            <w:vAlign w:val="center"/>
            <w:hideMark/>
          </w:tcPr>
          <w:p w14:paraId="271C804B" w14:textId="77777777" w:rsidR="0093115D" w:rsidRPr="00274E0D" w:rsidRDefault="0093115D" w:rsidP="00434248">
            <w:pPr>
              <w:spacing w:before="0" w:after="0"/>
              <w:jc w:val="right"/>
              <w:rPr>
                <w:b/>
                <w:bCs/>
                <w:noProof/>
                <w:color w:val="000000"/>
                <w:sz w:val="20"/>
                <w:szCs w:val="20"/>
              </w:rPr>
            </w:pPr>
            <w:r w:rsidRPr="00274E0D">
              <w:rPr>
                <w:b/>
                <w:color w:val="000000"/>
                <w:sz w:val="20"/>
              </w:rPr>
              <w:t>1 001,000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0B7275BF" w14:textId="77777777" w:rsidR="0093115D" w:rsidRPr="00274E0D" w:rsidRDefault="0093115D" w:rsidP="00434248">
            <w:pPr>
              <w:spacing w:before="0" w:after="0"/>
              <w:jc w:val="right"/>
              <w:rPr>
                <w:b/>
                <w:bCs/>
                <w:noProof/>
                <w:color w:val="000000"/>
                <w:sz w:val="20"/>
                <w:szCs w:val="20"/>
              </w:rPr>
            </w:pPr>
            <w:r w:rsidRPr="00274E0D">
              <w:rPr>
                <w:b/>
                <w:color w:val="000000"/>
                <w:sz w:val="20"/>
              </w:rPr>
              <w:t>1 002,000</w:t>
            </w:r>
          </w:p>
        </w:tc>
      </w:tr>
      <w:tr w:rsidR="0093115D" w:rsidRPr="00274E0D" w14:paraId="27C0E54E" w14:textId="77777777" w:rsidTr="000B1FF4">
        <w:trPr>
          <w:trHeight w:val="300"/>
        </w:trPr>
        <w:tc>
          <w:tcPr>
            <w:tcW w:w="2444"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635C59CD" w14:textId="77777777" w:rsidR="0093115D" w:rsidRPr="00274E0D" w:rsidRDefault="0093115D" w:rsidP="00434248">
            <w:pPr>
              <w:spacing w:before="0" w:after="0"/>
              <w:jc w:val="center"/>
              <w:rPr>
                <w:b/>
                <w:bCs/>
                <w:noProof/>
                <w:color w:val="000000"/>
                <w:sz w:val="22"/>
              </w:rPr>
            </w:pPr>
            <w:r w:rsidRPr="00274E0D">
              <w:rPr>
                <w:b/>
                <w:color w:val="000000"/>
                <w:sz w:val="22"/>
              </w:rPr>
              <w:t xml:space="preserve"> </w:t>
            </w:r>
          </w:p>
        </w:tc>
        <w:tc>
          <w:tcPr>
            <w:tcW w:w="496" w:type="pct"/>
            <w:gridSpan w:val="2"/>
            <w:tcBorders>
              <w:top w:val="single" w:sz="8" w:space="0" w:color="auto"/>
              <w:left w:val="nil"/>
              <w:bottom w:val="single" w:sz="8" w:space="0" w:color="auto"/>
              <w:right w:val="single" w:sz="8" w:space="0" w:color="auto"/>
            </w:tcBorders>
            <w:vAlign w:val="center"/>
            <w:hideMark/>
          </w:tcPr>
          <w:p w14:paraId="68EDF4CC"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6" w:type="pct"/>
            <w:gridSpan w:val="2"/>
            <w:tcBorders>
              <w:top w:val="single" w:sz="8" w:space="0" w:color="auto"/>
              <w:left w:val="nil"/>
              <w:bottom w:val="single" w:sz="8" w:space="0" w:color="auto"/>
              <w:right w:val="single" w:sz="8" w:space="0" w:color="auto"/>
            </w:tcBorders>
            <w:vAlign w:val="center"/>
            <w:hideMark/>
          </w:tcPr>
          <w:p w14:paraId="0BD52276"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2"/>
            <w:tcBorders>
              <w:top w:val="single" w:sz="8" w:space="0" w:color="auto"/>
              <w:left w:val="nil"/>
              <w:bottom w:val="single" w:sz="8" w:space="0" w:color="auto"/>
              <w:right w:val="single" w:sz="8" w:space="0" w:color="auto"/>
            </w:tcBorders>
            <w:vAlign w:val="center"/>
            <w:hideMark/>
          </w:tcPr>
          <w:p w14:paraId="0A97AF02"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3"/>
            <w:tcBorders>
              <w:top w:val="single" w:sz="8" w:space="0" w:color="auto"/>
              <w:left w:val="nil"/>
              <w:bottom w:val="single" w:sz="8" w:space="0" w:color="auto"/>
              <w:right w:val="single" w:sz="8" w:space="0" w:color="auto"/>
            </w:tcBorders>
            <w:vAlign w:val="center"/>
            <w:hideMark/>
          </w:tcPr>
          <w:p w14:paraId="7821A4A8"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78"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DB6C56E"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0242DCC4" w14:textId="77777777" w:rsidTr="000B1FF4">
        <w:trPr>
          <w:trHeight w:val="300"/>
        </w:trPr>
        <w:tc>
          <w:tcPr>
            <w:tcW w:w="2444" w:type="pct"/>
            <w:gridSpan w:val="6"/>
            <w:vMerge/>
            <w:tcBorders>
              <w:top w:val="single" w:sz="8" w:space="0" w:color="auto"/>
              <w:left w:val="single" w:sz="8" w:space="0" w:color="auto"/>
              <w:bottom w:val="single" w:sz="8" w:space="0" w:color="000000"/>
              <w:right w:val="single" w:sz="8" w:space="0" w:color="000000"/>
            </w:tcBorders>
            <w:vAlign w:val="center"/>
            <w:hideMark/>
          </w:tcPr>
          <w:p w14:paraId="2E299ABC" w14:textId="77777777" w:rsidR="0093115D" w:rsidRPr="00274E0D" w:rsidRDefault="0093115D" w:rsidP="00434248">
            <w:pPr>
              <w:spacing w:before="0" w:after="0"/>
              <w:jc w:val="left"/>
              <w:rPr>
                <w:b/>
                <w:bCs/>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0D21D705"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6642A18C"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253C63AF"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93" w:type="pct"/>
            <w:gridSpan w:val="3"/>
            <w:tcBorders>
              <w:top w:val="nil"/>
              <w:left w:val="nil"/>
              <w:bottom w:val="single" w:sz="8" w:space="0" w:color="auto"/>
              <w:right w:val="single" w:sz="8" w:space="0" w:color="auto"/>
            </w:tcBorders>
            <w:vAlign w:val="center"/>
            <w:hideMark/>
          </w:tcPr>
          <w:p w14:paraId="18C8F2AA"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78" w:type="pct"/>
            <w:gridSpan w:val="2"/>
            <w:vMerge/>
            <w:tcBorders>
              <w:top w:val="single" w:sz="8" w:space="0" w:color="auto"/>
              <w:left w:val="single" w:sz="8" w:space="0" w:color="auto"/>
              <w:bottom w:val="single" w:sz="8" w:space="0" w:color="auto"/>
              <w:right w:val="single" w:sz="8" w:space="0" w:color="auto"/>
            </w:tcBorders>
            <w:vAlign w:val="center"/>
            <w:hideMark/>
          </w:tcPr>
          <w:p w14:paraId="70121F2C"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0B7AB0ED" w14:textId="77777777" w:rsidTr="000B1FF4">
        <w:trPr>
          <w:trHeight w:val="432"/>
        </w:trPr>
        <w:tc>
          <w:tcPr>
            <w:tcW w:w="1419" w:type="pct"/>
            <w:vMerge w:val="restart"/>
            <w:tcBorders>
              <w:top w:val="nil"/>
              <w:left w:val="single" w:sz="8" w:space="0" w:color="auto"/>
              <w:bottom w:val="single" w:sz="8" w:space="0" w:color="auto"/>
              <w:right w:val="single" w:sz="8" w:space="0" w:color="auto"/>
            </w:tcBorders>
            <w:vAlign w:val="center"/>
            <w:hideMark/>
          </w:tcPr>
          <w:p w14:paraId="5A1BEF64" w14:textId="77777777" w:rsidR="0093115D" w:rsidRPr="00274E0D" w:rsidRDefault="0093115D" w:rsidP="00434248">
            <w:pPr>
              <w:spacing w:before="0" w:after="0"/>
              <w:rPr>
                <w:noProof/>
                <w:color w:val="000000"/>
                <w:sz w:val="21"/>
                <w:szCs w:val="21"/>
              </w:rPr>
            </w:pPr>
            <w:r w:rsidRPr="00274E0D">
              <w:rPr>
                <w:color w:val="000000"/>
                <w:sz w:val="21"/>
              </w:rPr>
              <w:t>Toimintamäärärahat YHTEENSÄ</w:t>
            </w:r>
          </w:p>
        </w:tc>
        <w:tc>
          <w:tcPr>
            <w:tcW w:w="529" w:type="pct"/>
            <w:gridSpan w:val="2"/>
            <w:tcBorders>
              <w:top w:val="nil"/>
              <w:left w:val="nil"/>
              <w:bottom w:val="single" w:sz="8" w:space="0" w:color="auto"/>
              <w:right w:val="single" w:sz="8" w:space="0" w:color="auto"/>
            </w:tcBorders>
            <w:vAlign w:val="center"/>
            <w:hideMark/>
          </w:tcPr>
          <w:p w14:paraId="7CBBC544"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4A8BAECC" w14:textId="77777777" w:rsidR="0093115D" w:rsidRPr="00274E0D" w:rsidRDefault="0093115D" w:rsidP="00434248">
            <w:pPr>
              <w:spacing w:before="0" w:after="0"/>
              <w:jc w:val="center"/>
              <w:rPr>
                <w:noProof/>
                <w:color w:val="000000"/>
                <w:sz w:val="14"/>
                <w:szCs w:val="14"/>
              </w:rPr>
            </w:pPr>
            <w:r w:rsidRPr="00274E0D">
              <w:rPr>
                <w:color w:val="000000"/>
                <w:sz w:val="14"/>
              </w:rPr>
              <w:t>(4)</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BBDB3E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7AC99E9"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3996193" w14:textId="77777777" w:rsidR="0093115D" w:rsidRPr="00274E0D" w:rsidRDefault="0093115D" w:rsidP="00434248">
            <w:pPr>
              <w:spacing w:before="0" w:after="0"/>
              <w:jc w:val="right"/>
              <w:rPr>
                <w:noProof/>
                <w:color w:val="000000"/>
                <w:sz w:val="20"/>
                <w:szCs w:val="20"/>
              </w:rPr>
            </w:pPr>
            <w:r w:rsidRPr="00274E0D">
              <w:rPr>
                <w:color w:val="000000"/>
                <w:sz w:val="20"/>
              </w:rPr>
              <w:t>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E412DC1" w14:textId="77777777" w:rsidR="0093115D" w:rsidRPr="00274E0D" w:rsidRDefault="0093115D" w:rsidP="00434248">
            <w:pPr>
              <w:spacing w:before="0" w:after="0"/>
              <w:jc w:val="right"/>
              <w:rPr>
                <w:noProof/>
                <w:color w:val="000000"/>
                <w:sz w:val="20"/>
                <w:szCs w:val="20"/>
              </w:rPr>
            </w:pPr>
            <w:r w:rsidRPr="00274E0D">
              <w:rPr>
                <w:color w:val="000000"/>
                <w:sz w:val="20"/>
              </w:rPr>
              <w:t>1 000,000(*)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7585076C" w14:textId="77777777" w:rsidR="0093115D" w:rsidRPr="00274E0D" w:rsidRDefault="0093115D" w:rsidP="00434248">
            <w:pPr>
              <w:spacing w:before="0" w:after="0"/>
              <w:jc w:val="right"/>
              <w:rPr>
                <w:b/>
                <w:bCs/>
                <w:noProof/>
                <w:color w:val="000000"/>
                <w:sz w:val="20"/>
                <w:szCs w:val="20"/>
              </w:rPr>
            </w:pPr>
            <w:r w:rsidRPr="00274E0D">
              <w:rPr>
                <w:b/>
                <w:color w:val="000000"/>
                <w:sz w:val="20"/>
              </w:rPr>
              <w:t>1 000,000(*)</w:t>
            </w:r>
          </w:p>
        </w:tc>
      </w:tr>
      <w:tr w:rsidR="0093115D" w:rsidRPr="00274E0D" w14:paraId="1AACED4C" w14:textId="77777777" w:rsidTr="000B1FF4">
        <w:trPr>
          <w:trHeight w:val="456"/>
        </w:trPr>
        <w:tc>
          <w:tcPr>
            <w:tcW w:w="1419" w:type="pct"/>
            <w:vMerge/>
            <w:tcBorders>
              <w:top w:val="nil"/>
              <w:left w:val="single" w:sz="8" w:space="0" w:color="auto"/>
              <w:bottom w:val="single" w:sz="8" w:space="0" w:color="auto"/>
              <w:right w:val="single" w:sz="8" w:space="0" w:color="auto"/>
            </w:tcBorders>
            <w:vAlign w:val="center"/>
            <w:hideMark/>
          </w:tcPr>
          <w:p w14:paraId="7CE21CC8" w14:textId="77777777" w:rsidR="0093115D" w:rsidRPr="00274E0D" w:rsidRDefault="0093115D" w:rsidP="00434248">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097716B3"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38AE9630" w14:textId="77777777" w:rsidR="0093115D" w:rsidRPr="00274E0D" w:rsidRDefault="0093115D" w:rsidP="00434248">
            <w:pPr>
              <w:spacing w:before="0" w:after="0"/>
              <w:jc w:val="center"/>
              <w:rPr>
                <w:noProof/>
                <w:color w:val="000000"/>
                <w:sz w:val="14"/>
                <w:szCs w:val="14"/>
              </w:rPr>
            </w:pPr>
            <w:r w:rsidRPr="00274E0D">
              <w:rPr>
                <w:color w:val="000000"/>
                <w:sz w:val="14"/>
              </w:rPr>
              <w:t>(5)</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1CC47C0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38D6715B"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5C789FA" w14:textId="77777777" w:rsidR="0093115D" w:rsidRPr="00274E0D" w:rsidRDefault="0093115D" w:rsidP="00434248">
            <w:pPr>
              <w:spacing w:before="0" w:after="0"/>
              <w:jc w:val="right"/>
              <w:rPr>
                <w:noProof/>
                <w:color w:val="000000"/>
                <w:sz w:val="20"/>
                <w:szCs w:val="20"/>
              </w:rPr>
            </w:pPr>
            <w:r w:rsidRPr="00274E0D">
              <w:rPr>
                <w:color w:val="000000"/>
                <w:sz w:val="20"/>
              </w:rPr>
              <w:t>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304EE19" w14:textId="77777777" w:rsidR="0093115D" w:rsidRPr="00274E0D" w:rsidRDefault="0093115D" w:rsidP="00434248">
            <w:pPr>
              <w:spacing w:before="0" w:after="0"/>
              <w:jc w:val="right"/>
              <w:rPr>
                <w:noProof/>
                <w:color w:val="000000"/>
                <w:sz w:val="20"/>
                <w:szCs w:val="20"/>
              </w:rPr>
            </w:pPr>
            <w:r w:rsidRPr="00274E0D">
              <w:rPr>
                <w:color w:val="000000"/>
                <w:sz w:val="20"/>
              </w:rPr>
              <w:t>1 000,000(*)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0F2F0A5B" w14:textId="77777777" w:rsidR="0093115D" w:rsidRPr="00274E0D" w:rsidRDefault="0093115D" w:rsidP="00434248">
            <w:pPr>
              <w:spacing w:before="0" w:after="0"/>
              <w:jc w:val="right"/>
              <w:rPr>
                <w:b/>
                <w:bCs/>
                <w:noProof/>
                <w:color w:val="000000"/>
                <w:sz w:val="20"/>
                <w:szCs w:val="20"/>
              </w:rPr>
            </w:pPr>
            <w:r w:rsidRPr="00274E0D">
              <w:rPr>
                <w:b/>
                <w:color w:val="000000"/>
                <w:sz w:val="20"/>
              </w:rPr>
              <w:t>1 000,000(*)</w:t>
            </w:r>
          </w:p>
        </w:tc>
      </w:tr>
      <w:tr w:rsidR="0093115D" w:rsidRPr="00274E0D" w14:paraId="2DC01F30" w14:textId="77777777" w:rsidTr="000B1FF4">
        <w:trPr>
          <w:trHeight w:val="924"/>
        </w:trPr>
        <w:tc>
          <w:tcPr>
            <w:tcW w:w="1948" w:type="pct"/>
            <w:gridSpan w:val="3"/>
            <w:tcBorders>
              <w:top w:val="single" w:sz="8" w:space="0" w:color="auto"/>
              <w:left w:val="single" w:sz="8" w:space="0" w:color="auto"/>
              <w:bottom w:val="single" w:sz="8" w:space="0" w:color="auto"/>
              <w:right w:val="single" w:sz="8" w:space="0" w:color="auto"/>
            </w:tcBorders>
            <w:vAlign w:val="center"/>
            <w:hideMark/>
          </w:tcPr>
          <w:p w14:paraId="771844D6" w14:textId="77777777" w:rsidR="0093115D" w:rsidRPr="00274E0D" w:rsidRDefault="0093115D" w:rsidP="00434248">
            <w:pPr>
              <w:spacing w:before="0" w:after="0"/>
              <w:rPr>
                <w:noProof/>
                <w:color w:val="000000"/>
                <w:sz w:val="21"/>
                <w:szCs w:val="21"/>
              </w:rPr>
            </w:pPr>
            <w:r w:rsidRPr="00274E0D">
              <w:rPr>
                <w:color w:val="000000"/>
                <w:sz w:val="21"/>
              </w:rPr>
              <w:lastRenderedPageBreak/>
              <w:t xml:space="preserve">Tiettyjen ohjelmien määrärahoista katettavat hallintomäärärahat YHTEENSÄ </w:t>
            </w:r>
          </w:p>
        </w:tc>
        <w:tc>
          <w:tcPr>
            <w:tcW w:w="496" w:type="pct"/>
            <w:gridSpan w:val="3"/>
            <w:tcBorders>
              <w:top w:val="single" w:sz="8" w:space="0" w:color="auto"/>
              <w:left w:val="nil"/>
              <w:bottom w:val="single" w:sz="8" w:space="0" w:color="auto"/>
              <w:right w:val="single" w:sz="8" w:space="0" w:color="auto"/>
            </w:tcBorders>
            <w:vAlign w:val="center"/>
            <w:hideMark/>
          </w:tcPr>
          <w:p w14:paraId="7915C9D6" w14:textId="77777777" w:rsidR="0093115D" w:rsidRPr="00274E0D" w:rsidRDefault="0093115D" w:rsidP="00434248">
            <w:pPr>
              <w:spacing w:before="0" w:after="0"/>
              <w:jc w:val="center"/>
              <w:rPr>
                <w:noProof/>
                <w:color w:val="000000"/>
                <w:sz w:val="14"/>
                <w:szCs w:val="14"/>
              </w:rPr>
            </w:pPr>
            <w:r w:rsidRPr="00274E0D">
              <w:rPr>
                <w:color w:val="000000"/>
                <w:sz w:val="14"/>
              </w:rPr>
              <w:t>(6)</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3ED1FE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AEF042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E7EBDA2" w14:textId="77777777" w:rsidR="0093115D" w:rsidRPr="00274E0D" w:rsidRDefault="0093115D" w:rsidP="00434248">
            <w:pPr>
              <w:spacing w:before="0" w:after="0"/>
              <w:jc w:val="right"/>
              <w:rPr>
                <w:noProof/>
                <w:color w:val="000000"/>
                <w:sz w:val="20"/>
                <w:szCs w:val="20"/>
              </w:rPr>
            </w:pPr>
            <w:r w:rsidRPr="00274E0D">
              <w:rPr>
                <w:color w:val="000000"/>
                <w:sz w:val="20"/>
              </w:rPr>
              <w:t>1,000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6F3DC08C" w14:textId="77777777" w:rsidR="0093115D" w:rsidRPr="00274E0D" w:rsidRDefault="0093115D" w:rsidP="00434248">
            <w:pPr>
              <w:spacing w:before="0" w:after="0"/>
              <w:jc w:val="right"/>
              <w:rPr>
                <w:noProof/>
                <w:color w:val="000000"/>
                <w:sz w:val="20"/>
                <w:szCs w:val="20"/>
              </w:rPr>
            </w:pPr>
            <w:r w:rsidRPr="00274E0D">
              <w:rPr>
                <w:color w:val="000000"/>
                <w:sz w:val="20"/>
              </w:rPr>
              <w:t>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2F10ACC0" w14:textId="77777777" w:rsidR="0093115D" w:rsidRPr="00274E0D" w:rsidRDefault="0093115D" w:rsidP="00434248">
            <w:pPr>
              <w:spacing w:before="0" w:after="0"/>
              <w:jc w:val="right"/>
              <w:rPr>
                <w:b/>
                <w:bCs/>
                <w:noProof/>
                <w:color w:val="000000"/>
                <w:sz w:val="20"/>
                <w:szCs w:val="20"/>
              </w:rPr>
            </w:pPr>
            <w:r w:rsidRPr="00274E0D">
              <w:rPr>
                <w:b/>
                <w:color w:val="000000"/>
                <w:sz w:val="20"/>
              </w:rPr>
              <w:t>2,000</w:t>
            </w:r>
          </w:p>
        </w:tc>
      </w:tr>
      <w:tr w:rsidR="0093115D" w:rsidRPr="00274E0D" w14:paraId="3C8A1610" w14:textId="77777777" w:rsidTr="000B1FF4">
        <w:trPr>
          <w:trHeight w:val="564"/>
        </w:trPr>
        <w:tc>
          <w:tcPr>
            <w:tcW w:w="1419" w:type="pct"/>
            <w:tcBorders>
              <w:top w:val="nil"/>
              <w:left w:val="single" w:sz="8" w:space="0" w:color="auto"/>
              <w:bottom w:val="nil"/>
              <w:right w:val="single" w:sz="8" w:space="0" w:color="auto"/>
            </w:tcBorders>
            <w:shd w:val="thinDiagStripe" w:color="C0C0C0" w:fill="F1F1F1"/>
            <w:vAlign w:val="center"/>
            <w:hideMark/>
          </w:tcPr>
          <w:p w14:paraId="3E793B52" w14:textId="77777777" w:rsidR="0093115D" w:rsidRPr="00274E0D" w:rsidRDefault="0093115D" w:rsidP="00434248">
            <w:pPr>
              <w:spacing w:before="0" w:after="0"/>
              <w:jc w:val="center"/>
              <w:rPr>
                <w:b/>
                <w:bCs/>
                <w:noProof/>
                <w:color w:val="000000"/>
                <w:sz w:val="22"/>
              </w:rPr>
            </w:pPr>
            <w:r w:rsidRPr="00274E0D">
              <w:rPr>
                <w:b/>
                <w:color w:val="000000"/>
                <w:sz w:val="22"/>
              </w:rPr>
              <w:t xml:space="preserve">Monivuotisen rahoituskehyksen OTSAKKEEN </w:t>
            </w:r>
            <w:proofErr w:type="gramStart"/>
            <w:r w:rsidRPr="00274E0D">
              <w:rPr>
                <w:b/>
                <w:color w:val="000000"/>
                <w:sz w:val="22"/>
              </w:rPr>
              <w:t>&lt;….</w:t>
            </w:r>
            <w:proofErr w:type="gramEnd"/>
            <w:r w:rsidRPr="00274E0D">
              <w:rPr>
                <w:b/>
                <w:color w:val="000000"/>
                <w:sz w:val="22"/>
              </w:rPr>
              <w:t>&gt;</w:t>
            </w:r>
          </w:p>
        </w:tc>
        <w:tc>
          <w:tcPr>
            <w:tcW w:w="529" w:type="pct"/>
            <w:gridSpan w:val="2"/>
            <w:tcBorders>
              <w:top w:val="nil"/>
              <w:left w:val="nil"/>
              <w:bottom w:val="single" w:sz="8" w:space="0" w:color="auto"/>
              <w:right w:val="single" w:sz="8" w:space="0" w:color="auto"/>
            </w:tcBorders>
            <w:vAlign w:val="center"/>
            <w:hideMark/>
          </w:tcPr>
          <w:p w14:paraId="4BE58C2F"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403FC748" w14:textId="77777777" w:rsidR="0093115D" w:rsidRPr="00274E0D" w:rsidRDefault="0093115D" w:rsidP="00434248">
            <w:pPr>
              <w:spacing w:before="0" w:after="0"/>
              <w:jc w:val="center"/>
              <w:rPr>
                <w:noProof/>
                <w:color w:val="000000"/>
                <w:sz w:val="14"/>
                <w:szCs w:val="14"/>
              </w:rPr>
            </w:pPr>
            <w:r w:rsidRPr="00274E0D">
              <w:rPr>
                <w:color w:val="000000"/>
                <w:sz w:val="14"/>
              </w:rPr>
              <w:t>= 4 + 6</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69CCF7A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7746EF4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7577167"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0A6762C" w14:textId="77777777" w:rsidR="0093115D" w:rsidRPr="00274E0D" w:rsidRDefault="0093115D" w:rsidP="00434248">
            <w:pPr>
              <w:spacing w:before="0" w:after="0"/>
              <w:jc w:val="right"/>
              <w:rPr>
                <w:b/>
                <w:bCs/>
                <w:noProof/>
                <w:color w:val="000000"/>
                <w:sz w:val="20"/>
                <w:szCs w:val="20"/>
              </w:rPr>
            </w:pPr>
            <w:r w:rsidRPr="00274E0D">
              <w:rPr>
                <w:b/>
                <w:color w:val="000000"/>
                <w:sz w:val="20"/>
              </w:rPr>
              <w:t>1 001,000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3D107CA2" w14:textId="77777777" w:rsidR="0093115D" w:rsidRPr="00274E0D" w:rsidRDefault="0093115D" w:rsidP="00434248">
            <w:pPr>
              <w:spacing w:before="0" w:after="0"/>
              <w:jc w:val="right"/>
              <w:rPr>
                <w:b/>
                <w:bCs/>
                <w:noProof/>
                <w:color w:val="000000"/>
                <w:sz w:val="20"/>
                <w:szCs w:val="20"/>
              </w:rPr>
            </w:pPr>
            <w:r w:rsidRPr="00274E0D">
              <w:rPr>
                <w:b/>
                <w:color w:val="000000"/>
                <w:sz w:val="20"/>
              </w:rPr>
              <w:t>1 002,000</w:t>
            </w:r>
          </w:p>
        </w:tc>
      </w:tr>
      <w:tr w:rsidR="0093115D" w:rsidRPr="00274E0D" w14:paraId="5434C745" w14:textId="77777777" w:rsidTr="000B1FF4">
        <w:trPr>
          <w:trHeight w:val="528"/>
        </w:trPr>
        <w:tc>
          <w:tcPr>
            <w:tcW w:w="1419" w:type="pct"/>
            <w:tcBorders>
              <w:top w:val="nil"/>
              <w:left w:val="single" w:sz="8" w:space="0" w:color="auto"/>
              <w:bottom w:val="single" w:sz="8" w:space="0" w:color="auto"/>
              <w:right w:val="single" w:sz="8" w:space="0" w:color="auto"/>
            </w:tcBorders>
            <w:shd w:val="thinDiagStripe" w:color="C0C0C0" w:fill="F1F1F1"/>
            <w:vAlign w:val="center"/>
            <w:hideMark/>
          </w:tcPr>
          <w:p w14:paraId="187D3B08" w14:textId="77777777" w:rsidR="0093115D" w:rsidRPr="00274E0D" w:rsidRDefault="0093115D" w:rsidP="00434248">
            <w:pPr>
              <w:spacing w:before="0" w:after="0"/>
              <w:jc w:val="center"/>
              <w:rPr>
                <w:noProof/>
                <w:color w:val="000000"/>
                <w:sz w:val="22"/>
              </w:rPr>
            </w:pPr>
            <w:r w:rsidRPr="00274E0D">
              <w:rPr>
                <w:b/>
                <w:bCs/>
                <w:color w:val="000000"/>
                <w:sz w:val="22"/>
              </w:rPr>
              <w:t>määrärahat YHTEENSÄ</w:t>
            </w:r>
          </w:p>
        </w:tc>
        <w:tc>
          <w:tcPr>
            <w:tcW w:w="529" w:type="pct"/>
            <w:gridSpan w:val="2"/>
            <w:tcBorders>
              <w:top w:val="nil"/>
              <w:left w:val="nil"/>
              <w:bottom w:val="single" w:sz="8" w:space="0" w:color="auto"/>
              <w:right w:val="single" w:sz="8" w:space="0" w:color="auto"/>
            </w:tcBorders>
            <w:vAlign w:val="center"/>
            <w:hideMark/>
          </w:tcPr>
          <w:p w14:paraId="174E65DE"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35A6C5D3" w14:textId="77777777" w:rsidR="0093115D" w:rsidRPr="00274E0D" w:rsidRDefault="0093115D" w:rsidP="00434248">
            <w:pPr>
              <w:spacing w:before="0" w:after="0"/>
              <w:jc w:val="center"/>
              <w:rPr>
                <w:noProof/>
                <w:color w:val="000000"/>
                <w:sz w:val="14"/>
                <w:szCs w:val="14"/>
              </w:rPr>
            </w:pPr>
            <w:r w:rsidRPr="00274E0D">
              <w:rPr>
                <w:color w:val="000000"/>
                <w:sz w:val="14"/>
              </w:rPr>
              <w:t>= 5 + 6</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59FFF0C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AC4631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B1B86E2" w14:textId="77777777" w:rsidR="0093115D" w:rsidRPr="00274E0D" w:rsidRDefault="0093115D" w:rsidP="00434248">
            <w:pPr>
              <w:spacing w:before="0" w:after="0"/>
              <w:jc w:val="right"/>
              <w:rPr>
                <w:b/>
                <w:bCs/>
                <w:noProof/>
                <w:color w:val="000000"/>
                <w:sz w:val="20"/>
                <w:szCs w:val="20"/>
              </w:rPr>
            </w:pPr>
            <w:r w:rsidRPr="00274E0D">
              <w:rPr>
                <w:b/>
                <w:color w:val="000000"/>
                <w:sz w:val="20"/>
              </w:rPr>
              <w:t>1,000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A127827" w14:textId="77777777" w:rsidR="0093115D" w:rsidRPr="00274E0D" w:rsidRDefault="0093115D" w:rsidP="00434248">
            <w:pPr>
              <w:spacing w:before="0" w:after="0"/>
              <w:jc w:val="right"/>
              <w:rPr>
                <w:b/>
                <w:bCs/>
                <w:noProof/>
                <w:color w:val="000000"/>
                <w:sz w:val="20"/>
                <w:szCs w:val="20"/>
              </w:rPr>
            </w:pPr>
            <w:r w:rsidRPr="00274E0D">
              <w:rPr>
                <w:b/>
                <w:color w:val="000000"/>
                <w:sz w:val="20"/>
              </w:rPr>
              <w:t>1 001,000</w:t>
            </w:r>
          </w:p>
        </w:tc>
        <w:tc>
          <w:tcPr>
            <w:tcW w:w="578" w:type="pct"/>
            <w:gridSpan w:val="2"/>
            <w:tcBorders>
              <w:top w:val="nil"/>
              <w:left w:val="nil"/>
              <w:bottom w:val="single" w:sz="8" w:space="0" w:color="auto"/>
              <w:right w:val="single" w:sz="8" w:space="0" w:color="auto"/>
            </w:tcBorders>
            <w:shd w:val="clear" w:color="000000" w:fill="D9D9D9"/>
            <w:vAlign w:val="center"/>
            <w:hideMark/>
          </w:tcPr>
          <w:p w14:paraId="519820F2" w14:textId="77777777" w:rsidR="0093115D" w:rsidRPr="00274E0D" w:rsidRDefault="0093115D" w:rsidP="00434248">
            <w:pPr>
              <w:spacing w:before="0" w:after="0"/>
              <w:jc w:val="right"/>
              <w:rPr>
                <w:b/>
                <w:bCs/>
                <w:noProof/>
                <w:color w:val="000000"/>
                <w:sz w:val="20"/>
                <w:szCs w:val="20"/>
              </w:rPr>
            </w:pPr>
            <w:r w:rsidRPr="00274E0D">
              <w:rPr>
                <w:b/>
                <w:color w:val="000000"/>
                <w:sz w:val="20"/>
              </w:rPr>
              <w:t>1 002,000</w:t>
            </w:r>
          </w:p>
        </w:tc>
      </w:tr>
      <w:tr w:rsidR="0093115D" w:rsidRPr="00274E0D" w14:paraId="08D58A23" w14:textId="77777777" w:rsidTr="000B1FF4">
        <w:trPr>
          <w:trHeight w:val="288"/>
        </w:trPr>
        <w:tc>
          <w:tcPr>
            <w:tcW w:w="1521" w:type="pct"/>
            <w:gridSpan w:val="2"/>
            <w:tcBorders>
              <w:top w:val="nil"/>
              <w:left w:val="nil"/>
              <w:bottom w:val="nil"/>
              <w:right w:val="nil"/>
            </w:tcBorders>
            <w:noWrap/>
            <w:vAlign w:val="bottom"/>
            <w:hideMark/>
          </w:tcPr>
          <w:p w14:paraId="07CD765D" w14:textId="77777777" w:rsidR="0093115D" w:rsidRPr="00274E0D" w:rsidRDefault="0093115D" w:rsidP="00434248">
            <w:pPr>
              <w:spacing w:before="0" w:after="0"/>
              <w:jc w:val="left"/>
              <w:rPr>
                <w:noProof/>
                <w:sz w:val="20"/>
                <w:szCs w:val="24"/>
                <w:lang w:eastAsia="en-IE"/>
              </w:rPr>
            </w:pPr>
          </w:p>
        </w:tc>
        <w:tc>
          <w:tcPr>
            <w:tcW w:w="471" w:type="pct"/>
            <w:gridSpan w:val="2"/>
            <w:tcBorders>
              <w:top w:val="nil"/>
              <w:left w:val="nil"/>
              <w:bottom w:val="nil"/>
              <w:right w:val="nil"/>
            </w:tcBorders>
            <w:noWrap/>
            <w:vAlign w:val="bottom"/>
            <w:hideMark/>
          </w:tcPr>
          <w:p w14:paraId="70428E85" w14:textId="77777777" w:rsidR="0093115D" w:rsidRPr="00274E0D" w:rsidRDefault="0093115D" w:rsidP="00434248">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4462821F" w14:textId="77777777" w:rsidR="0093115D" w:rsidRPr="00274E0D" w:rsidRDefault="0093115D" w:rsidP="00434248">
            <w:pPr>
              <w:spacing w:before="0" w:after="0"/>
              <w:jc w:val="left"/>
              <w:rPr>
                <w:noProof/>
                <w:sz w:val="20"/>
                <w:szCs w:val="20"/>
                <w:lang w:eastAsia="en-IE"/>
              </w:rPr>
            </w:pPr>
          </w:p>
        </w:tc>
        <w:tc>
          <w:tcPr>
            <w:tcW w:w="366" w:type="pct"/>
            <w:gridSpan w:val="2"/>
            <w:tcBorders>
              <w:top w:val="nil"/>
              <w:left w:val="nil"/>
              <w:bottom w:val="nil"/>
              <w:right w:val="single" w:sz="4" w:space="0" w:color="auto"/>
            </w:tcBorders>
            <w:noWrap/>
            <w:vAlign w:val="bottom"/>
            <w:hideMark/>
          </w:tcPr>
          <w:p w14:paraId="1226B834" w14:textId="77777777" w:rsidR="0093115D" w:rsidRPr="00274E0D" w:rsidRDefault="0093115D" w:rsidP="00434248">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72756DAB"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2"/>
            <w:tcBorders>
              <w:top w:val="single" w:sz="8" w:space="0" w:color="auto"/>
              <w:left w:val="nil"/>
              <w:bottom w:val="nil"/>
              <w:right w:val="single" w:sz="8" w:space="0" w:color="auto"/>
            </w:tcBorders>
            <w:vAlign w:val="center"/>
            <w:hideMark/>
          </w:tcPr>
          <w:p w14:paraId="1DFD1D9A"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3"/>
            <w:tcBorders>
              <w:top w:val="single" w:sz="8" w:space="0" w:color="auto"/>
              <w:left w:val="nil"/>
              <w:bottom w:val="nil"/>
              <w:right w:val="single" w:sz="8" w:space="0" w:color="auto"/>
            </w:tcBorders>
            <w:vAlign w:val="center"/>
            <w:hideMark/>
          </w:tcPr>
          <w:p w14:paraId="126566C1"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2"/>
            <w:tcBorders>
              <w:top w:val="single" w:sz="8" w:space="0" w:color="auto"/>
              <w:left w:val="nil"/>
              <w:bottom w:val="nil"/>
              <w:right w:val="single" w:sz="8" w:space="0" w:color="auto"/>
            </w:tcBorders>
            <w:vAlign w:val="center"/>
            <w:hideMark/>
          </w:tcPr>
          <w:p w14:paraId="5723AA5E"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8" w:type="pct"/>
            <w:vMerge w:val="restart"/>
            <w:tcBorders>
              <w:top w:val="single" w:sz="8" w:space="0" w:color="auto"/>
              <w:left w:val="single" w:sz="8" w:space="0" w:color="auto"/>
              <w:bottom w:val="single" w:sz="8" w:space="0" w:color="000000"/>
              <w:right w:val="single" w:sz="8" w:space="0" w:color="auto"/>
            </w:tcBorders>
            <w:vAlign w:val="center"/>
            <w:hideMark/>
          </w:tcPr>
          <w:p w14:paraId="0E4BB117"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376F51C7" w14:textId="77777777" w:rsidTr="000B1FF4">
        <w:trPr>
          <w:trHeight w:val="300"/>
        </w:trPr>
        <w:tc>
          <w:tcPr>
            <w:tcW w:w="1521" w:type="pct"/>
            <w:gridSpan w:val="2"/>
            <w:tcBorders>
              <w:top w:val="nil"/>
              <w:left w:val="nil"/>
              <w:bottom w:val="nil"/>
              <w:right w:val="nil"/>
            </w:tcBorders>
            <w:noWrap/>
            <w:vAlign w:val="bottom"/>
            <w:hideMark/>
          </w:tcPr>
          <w:p w14:paraId="03211ED6" w14:textId="77777777" w:rsidR="0093115D" w:rsidRPr="00274E0D" w:rsidRDefault="0093115D" w:rsidP="00434248">
            <w:pPr>
              <w:spacing w:before="0" w:after="0"/>
              <w:jc w:val="center"/>
              <w:rPr>
                <w:b/>
                <w:bCs/>
                <w:noProof/>
                <w:color w:val="000000"/>
                <w:sz w:val="20"/>
                <w:szCs w:val="20"/>
                <w:lang w:eastAsia="en-IE"/>
              </w:rPr>
            </w:pPr>
          </w:p>
        </w:tc>
        <w:tc>
          <w:tcPr>
            <w:tcW w:w="471" w:type="pct"/>
            <w:gridSpan w:val="2"/>
            <w:tcBorders>
              <w:top w:val="nil"/>
              <w:left w:val="nil"/>
              <w:bottom w:val="nil"/>
              <w:right w:val="nil"/>
            </w:tcBorders>
            <w:noWrap/>
            <w:vAlign w:val="bottom"/>
            <w:hideMark/>
          </w:tcPr>
          <w:p w14:paraId="28A89B1C" w14:textId="77777777" w:rsidR="0093115D" w:rsidRPr="00274E0D" w:rsidRDefault="0093115D" w:rsidP="00434248">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675350D2" w14:textId="77777777" w:rsidR="0093115D" w:rsidRPr="00274E0D" w:rsidRDefault="0093115D" w:rsidP="00434248">
            <w:pPr>
              <w:spacing w:before="0" w:after="0"/>
              <w:jc w:val="left"/>
              <w:rPr>
                <w:noProof/>
                <w:sz w:val="20"/>
                <w:szCs w:val="20"/>
                <w:lang w:eastAsia="en-IE"/>
              </w:rPr>
            </w:pPr>
          </w:p>
        </w:tc>
        <w:tc>
          <w:tcPr>
            <w:tcW w:w="366" w:type="pct"/>
            <w:gridSpan w:val="2"/>
            <w:tcBorders>
              <w:top w:val="nil"/>
              <w:left w:val="nil"/>
              <w:bottom w:val="nil"/>
              <w:right w:val="single" w:sz="4" w:space="0" w:color="auto"/>
            </w:tcBorders>
            <w:noWrap/>
            <w:vAlign w:val="bottom"/>
            <w:hideMark/>
          </w:tcPr>
          <w:p w14:paraId="02507C5B" w14:textId="77777777" w:rsidR="0093115D" w:rsidRPr="00274E0D" w:rsidRDefault="0093115D" w:rsidP="00434248">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64BF7065"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37" w:type="pct"/>
            <w:gridSpan w:val="2"/>
            <w:tcBorders>
              <w:top w:val="nil"/>
              <w:left w:val="nil"/>
              <w:bottom w:val="single" w:sz="8" w:space="0" w:color="auto"/>
              <w:right w:val="single" w:sz="8" w:space="0" w:color="auto"/>
            </w:tcBorders>
            <w:vAlign w:val="center"/>
            <w:hideMark/>
          </w:tcPr>
          <w:p w14:paraId="1F47BB85"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37" w:type="pct"/>
            <w:gridSpan w:val="3"/>
            <w:tcBorders>
              <w:top w:val="nil"/>
              <w:left w:val="nil"/>
              <w:bottom w:val="single" w:sz="8" w:space="0" w:color="auto"/>
              <w:right w:val="single" w:sz="8" w:space="0" w:color="auto"/>
            </w:tcBorders>
            <w:vAlign w:val="center"/>
            <w:hideMark/>
          </w:tcPr>
          <w:p w14:paraId="1DF1AC38"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37" w:type="pct"/>
            <w:gridSpan w:val="2"/>
            <w:tcBorders>
              <w:top w:val="nil"/>
              <w:left w:val="nil"/>
              <w:bottom w:val="single" w:sz="8" w:space="0" w:color="auto"/>
              <w:right w:val="single" w:sz="8" w:space="0" w:color="auto"/>
            </w:tcBorders>
            <w:vAlign w:val="center"/>
            <w:hideMark/>
          </w:tcPr>
          <w:p w14:paraId="5B689E15"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14:paraId="57857F3E"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5E50AE13" w14:textId="77777777" w:rsidTr="000B1FF4">
        <w:trPr>
          <w:trHeight w:val="300"/>
        </w:trPr>
        <w:tc>
          <w:tcPr>
            <w:tcW w:w="1521"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44A11A7B" w14:textId="77777777" w:rsidR="0093115D" w:rsidRPr="00274E0D" w:rsidRDefault="0093115D" w:rsidP="00434248">
            <w:pPr>
              <w:spacing w:before="0" w:after="0"/>
              <w:rPr>
                <w:noProof/>
                <w:color w:val="000000"/>
                <w:sz w:val="21"/>
                <w:szCs w:val="21"/>
              </w:rPr>
            </w:pPr>
            <w:r w:rsidRPr="00274E0D">
              <w:rPr>
                <w:color w:val="000000"/>
                <w:sz w:val="21"/>
              </w:rPr>
              <w:t>• Toimintamäärärahat (kaikki otsakkeet) YHTEENSÄ</w:t>
            </w:r>
          </w:p>
        </w:tc>
        <w:tc>
          <w:tcPr>
            <w:tcW w:w="471" w:type="pct"/>
            <w:gridSpan w:val="2"/>
            <w:tcBorders>
              <w:top w:val="single" w:sz="8" w:space="0" w:color="auto"/>
              <w:left w:val="nil"/>
              <w:bottom w:val="single" w:sz="8" w:space="0" w:color="auto"/>
              <w:right w:val="single" w:sz="8" w:space="0" w:color="auto"/>
            </w:tcBorders>
            <w:vAlign w:val="center"/>
            <w:hideMark/>
          </w:tcPr>
          <w:p w14:paraId="7381BCB1"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731" w:type="pct"/>
            <w:gridSpan w:val="3"/>
            <w:tcBorders>
              <w:top w:val="single" w:sz="8" w:space="0" w:color="auto"/>
              <w:left w:val="nil"/>
              <w:bottom w:val="single" w:sz="8" w:space="0" w:color="auto"/>
              <w:right w:val="single" w:sz="8" w:space="0" w:color="000000"/>
            </w:tcBorders>
            <w:vAlign w:val="center"/>
            <w:hideMark/>
          </w:tcPr>
          <w:p w14:paraId="5330D49A" w14:textId="77777777" w:rsidR="0093115D" w:rsidRPr="00274E0D" w:rsidRDefault="0093115D" w:rsidP="00434248">
            <w:pPr>
              <w:spacing w:before="0" w:after="0"/>
              <w:jc w:val="center"/>
              <w:rPr>
                <w:noProof/>
                <w:color w:val="000000"/>
                <w:sz w:val="14"/>
                <w:szCs w:val="14"/>
              </w:rPr>
            </w:pPr>
            <w:r w:rsidRPr="00274E0D">
              <w:rPr>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358ECF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58885F8"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1884FA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565EF8D"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02A3BB2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2BCD989D" w14:textId="77777777" w:rsidTr="000B1FF4">
        <w:trPr>
          <w:trHeight w:val="300"/>
        </w:trPr>
        <w:tc>
          <w:tcPr>
            <w:tcW w:w="1521" w:type="pct"/>
            <w:gridSpan w:val="2"/>
            <w:vMerge/>
            <w:tcBorders>
              <w:top w:val="single" w:sz="8" w:space="0" w:color="auto"/>
              <w:left w:val="single" w:sz="8" w:space="0" w:color="auto"/>
              <w:bottom w:val="single" w:sz="8" w:space="0" w:color="auto"/>
              <w:right w:val="single" w:sz="8" w:space="0" w:color="auto"/>
            </w:tcBorders>
            <w:vAlign w:val="center"/>
            <w:hideMark/>
          </w:tcPr>
          <w:p w14:paraId="5832EAFE" w14:textId="77777777" w:rsidR="0093115D" w:rsidRPr="00274E0D" w:rsidRDefault="0093115D" w:rsidP="00434248">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vAlign w:val="center"/>
            <w:hideMark/>
          </w:tcPr>
          <w:p w14:paraId="346DE5D2"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731" w:type="pct"/>
            <w:gridSpan w:val="3"/>
            <w:tcBorders>
              <w:top w:val="single" w:sz="8" w:space="0" w:color="auto"/>
              <w:left w:val="nil"/>
              <w:bottom w:val="single" w:sz="8" w:space="0" w:color="auto"/>
              <w:right w:val="single" w:sz="8" w:space="0" w:color="000000"/>
            </w:tcBorders>
            <w:vAlign w:val="center"/>
            <w:hideMark/>
          </w:tcPr>
          <w:p w14:paraId="77167111" w14:textId="77777777" w:rsidR="0093115D" w:rsidRPr="00274E0D" w:rsidRDefault="0093115D" w:rsidP="00434248">
            <w:pPr>
              <w:spacing w:before="0" w:after="0"/>
              <w:jc w:val="center"/>
              <w:rPr>
                <w:noProof/>
                <w:color w:val="000000"/>
                <w:sz w:val="14"/>
                <w:szCs w:val="14"/>
              </w:rPr>
            </w:pPr>
            <w:r w:rsidRPr="00274E0D">
              <w:rPr>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2FC99D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FA62F36"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456DF240"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5F34D9B"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01F4EA4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03FE0DD4" w14:textId="77777777" w:rsidTr="000B1FF4">
        <w:trPr>
          <w:trHeight w:val="990"/>
        </w:trPr>
        <w:tc>
          <w:tcPr>
            <w:tcW w:w="1993" w:type="pct"/>
            <w:gridSpan w:val="4"/>
            <w:tcBorders>
              <w:top w:val="single" w:sz="8" w:space="0" w:color="auto"/>
              <w:left w:val="single" w:sz="8" w:space="0" w:color="auto"/>
              <w:bottom w:val="single" w:sz="8" w:space="0" w:color="auto"/>
              <w:right w:val="single" w:sz="8" w:space="0" w:color="000000"/>
            </w:tcBorders>
            <w:vAlign w:val="center"/>
            <w:hideMark/>
          </w:tcPr>
          <w:p w14:paraId="0964968F" w14:textId="77777777" w:rsidR="0093115D" w:rsidRPr="00274E0D" w:rsidRDefault="0093115D" w:rsidP="00434248">
            <w:pPr>
              <w:spacing w:before="0" w:after="0"/>
              <w:rPr>
                <w:noProof/>
                <w:color w:val="000000"/>
                <w:sz w:val="21"/>
                <w:szCs w:val="21"/>
              </w:rPr>
            </w:pPr>
            <w:r w:rsidRPr="00274E0D">
              <w:rPr>
                <w:rFonts w:ascii="Calibri" w:hAnsi="Calibri"/>
                <w:color w:val="000000"/>
                <w:sz w:val="21"/>
              </w:rPr>
              <w:t>•</w:t>
            </w:r>
            <w:r w:rsidRPr="00274E0D">
              <w:rPr>
                <w:color w:val="000000"/>
                <w:sz w:val="21"/>
              </w:rPr>
              <w:t xml:space="preserve"> Tiettyjen ohjelmien määrärahoista katettavat hallintomäärärahat (kaikki otsakkeet) YHTEENSÄ</w:t>
            </w:r>
          </w:p>
        </w:tc>
        <w:tc>
          <w:tcPr>
            <w:tcW w:w="731" w:type="pct"/>
            <w:gridSpan w:val="3"/>
            <w:tcBorders>
              <w:top w:val="single" w:sz="8" w:space="0" w:color="auto"/>
              <w:left w:val="nil"/>
              <w:bottom w:val="single" w:sz="8" w:space="0" w:color="auto"/>
              <w:right w:val="single" w:sz="8" w:space="0" w:color="000000"/>
            </w:tcBorders>
            <w:vAlign w:val="center"/>
            <w:hideMark/>
          </w:tcPr>
          <w:p w14:paraId="72F0960E" w14:textId="77777777" w:rsidR="0093115D" w:rsidRPr="00274E0D" w:rsidRDefault="0093115D" w:rsidP="00434248">
            <w:pPr>
              <w:spacing w:before="0" w:after="0"/>
              <w:jc w:val="center"/>
              <w:rPr>
                <w:noProof/>
                <w:color w:val="000000"/>
                <w:sz w:val="14"/>
                <w:szCs w:val="14"/>
              </w:rPr>
            </w:pPr>
            <w:r w:rsidRPr="00274E0D">
              <w:rPr>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12B99A70"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5667E32"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8043740"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4C8927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2DA73DE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04B75FEC" w14:textId="77777777" w:rsidTr="000B1FF4">
        <w:trPr>
          <w:trHeight w:val="564"/>
        </w:trPr>
        <w:tc>
          <w:tcPr>
            <w:tcW w:w="1521" w:type="pct"/>
            <w:gridSpan w:val="2"/>
            <w:tcBorders>
              <w:top w:val="nil"/>
              <w:left w:val="single" w:sz="8" w:space="0" w:color="auto"/>
              <w:bottom w:val="nil"/>
              <w:right w:val="single" w:sz="8" w:space="0" w:color="auto"/>
            </w:tcBorders>
            <w:shd w:val="thinDiagStripe" w:color="C0C0C0" w:fill="F1F1F1"/>
            <w:vAlign w:val="center"/>
            <w:hideMark/>
          </w:tcPr>
          <w:p w14:paraId="446521C2" w14:textId="77777777" w:rsidR="0093115D" w:rsidRPr="00274E0D" w:rsidRDefault="0093115D" w:rsidP="00434248">
            <w:pPr>
              <w:spacing w:before="0" w:after="0"/>
              <w:jc w:val="center"/>
              <w:rPr>
                <w:b/>
                <w:bCs/>
                <w:noProof/>
                <w:color w:val="000000"/>
                <w:sz w:val="22"/>
              </w:rPr>
            </w:pPr>
            <w:r w:rsidRPr="00274E0D">
              <w:rPr>
                <w:b/>
                <w:color w:val="000000"/>
                <w:sz w:val="22"/>
              </w:rPr>
              <w:t>Monivuotisen rahoituskehyksen OTSAKKEISIIN 1–6 kuuluvat</w:t>
            </w:r>
          </w:p>
        </w:tc>
        <w:tc>
          <w:tcPr>
            <w:tcW w:w="471" w:type="pct"/>
            <w:gridSpan w:val="2"/>
            <w:tcBorders>
              <w:top w:val="nil"/>
              <w:left w:val="nil"/>
              <w:bottom w:val="nil"/>
              <w:right w:val="single" w:sz="8" w:space="0" w:color="auto"/>
            </w:tcBorders>
            <w:vAlign w:val="center"/>
            <w:hideMark/>
          </w:tcPr>
          <w:p w14:paraId="76CCDB9A"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731" w:type="pct"/>
            <w:gridSpan w:val="3"/>
            <w:tcBorders>
              <w:top w:val="single" w:sz="8" w:space="0" w:color="auto"/>
              <w:left w:val="nil"/>
              <w:bottom w:val="nil"/>
              <w:right w:val="single" w:sz="8" w:space="0" w:color="000000"/>
            </w:tcBorders>
            <w:vAlign w:val="center"/>
            <w:hideMark/>
          </w:tcPr>
          <w:p w14:paraId="2C1191C4" w14:textId="77777777" w:rsidR="0093115D" w:rsidRPr="00274E0D" w:rsidRDefault="0093115D" w:rsidP="00434248">
            <w:pPr>
              <w:spacing w:before="0" w:after="0"/>
              <w:jc w:val="center"/>
              <w:rPr>
                <w:noProof/>
                <w:color w:val="000000"/>
                <w:sz w:val="14"/>
                <w:szCs w:val="14"/>
              </w:rPr>
            </w:pPr>
            <w:r w:rsidRPr="00274E0D">
              <w:rPr>
                <w:color w:val="000000"/>
                <w:sz w:val="14"/>
              </w:rPr>
              <w:t>= 4 + 6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911D88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CAD9CF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B6AD63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3CA7ED6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114AFC22"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3FE6C46D" w14:textId="77777777" w:rsidTr="000B1FF4">
        <w:trPr>
          <w:trHeight w:val="588"/>
        </w:trPr>
        <w:tc>
          <w:tcPr>
            <w:tcW w:w="1521"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09E7A3B9" w14:textId="77777777" w:rsidR="0093115D" w:rsidRPr="00274E0D" w:rsidRDefault="0093115D" w:rsidP="00434248">
            <w:pPr>
              <w:spacing w:before="0" w:after="0"/>
              <w:jc w:val="center"/>
              <w:rPr>
                <w:noProof/>
                <w:color w:val="000000"/>
                <w:sz w:val="20"/>
                <w:szCs w:val="20"/>
              </w:rPr>
            </w:pPr>
            <w:r w:rsidRPr="00274E0D">
              <w:rPr>
                <w:color w:val="000000"/>
                <w:sz w:val="20"/>
              </w:rPr>
              <w:t>määrärahat YHTEENSÄ (Viitemäärä)</w:t>
            </w:r>
          </w:p>
        </w:tc>
        <w:tc>
          <w:tcPr>
            <w:tcW w:w="471" w:type="pct"/>
            <w:gridSpan w:val="2"/>
            <w:tcBorders>
              <w:top w:val="nil"/>
              <w:left w:val="nil"/>
              <w:bottom w:val="single" w:sz="8" w:space="0" w:color="auto"/>
              <w:right w:val="single" w:sz="8" w:space="0" w:color="auto"/>
            </w:tcBorders>
            <w:vAlign w:val="center"/>
            <w:hideMark/>
          </w:tcPr>
          <w:p w14:paraId="1680B285"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731" w:type="pct"/>
            <w:gridSpan w:val="3"/>
            <w:tcBorders>
              <w:top w:val="single" w:sz="8" w:space="0" w:color="auto"/>
              <w:left w:val="nil"/>
              <w:bottom w:val="single" w:sz="8" w:space="0" w:color="auto"/>
              <w:right w:val="single" w:sz="8" w:space="0" w:color="000000"/>
            </w:tcBorders>
            <w:vAlign w:val="center"/>
            <w:hideMark/>
          </w:tcPr>
          <w:p w14:paraId="624D68A3" w14:textId="77777777" w:rsidR="0093115D" w:rsidRPr="00274E0D" w:rsidRDefault="0093115D" w:rsidP="00434248">
            <w:pPr>
              <w:spacing w:before="0" w:after="0"/>
              <w:jc w:val="center"/>
              <w:rPr>
                <w:noProof/>
                <w:color w:val="000000"/>
                <w:sz w:val="14"/>
                <w:szCs w:val="14"/>
              </w:rPr>
            </w:pPr>
            <w:r w:rsidRPr="00274E0D">
              <w:rPr>
                <w:color w:val="000000"/>
                <w:sz w:val="14"/>
              </w:rPr>
              <w:t>= 5 + 6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EB42AA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0D42E2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16FBECA2"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9B1C19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135BB2CB"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bl>
    <w:p w14:paraId="130A69A9" w14:textId="77777777" w:rsidR="0093115D" w:rsidRPr="00274E0D" w:rsidRDefault="0093115D" w:rsidP="000B1FF4">
      <w:pPr>
        <w:rPr>
          <w:i/>
          <w:iCs/>
          <w:noProof/>
        </w:rPr>
      </w:pPr>
      <w:r w:rsidRPr="00274E0D">
        <w:rPr>
          <w:i/>
        </w:rPr>
        <w:t>(*) Nämä määrät ovat viitteellisiä ja perustuvat tämänhetkisiin termiinikorkoihin olettaen, että vuonna 2026 maksetaan 45 miljardia euroa (vuoden 2026 toisesta vuosineljänneksestä alkaen 15 miljardia euroa vuosineljännestä kohti). Vuoden 2027 tosiasialliset määrärahat määräytyvät lainanottoajankohdan markkinaolosuhteiden ja todellisen maksuvauhdin mukaan. Ne saattavat nousta 1,3 miljardiin euroon, jos korot nousevat 100 peruspistettä perustasoon verrattuna.</w:t>
      </w:r>
    </w:p>
    <w:p w14:paraId="118426A1" w14:textId="77777777" w:rsidR="0093115D" w:rsidRPr="00274E0D" w:rsidRDefault="0093115D" w:rsidP="00656AA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2"/>
        <w:gridCol w:w="245"/>
        <w:gridCol w:w="1126"/>
        <w:gridCol w:w="1274"/>
        <w:gridCol w:w="637"/>
        <w:gridCol w:w="640"/>
        <w:gridCol w:w="1069"/>
        <w:gridCol w:w="1069"/>
        <w:gridCol w:w="1069"/>
        <w:gridCol w:w="1069"/>
        <w:gridCol w:w="1320"/>
      </w:tblGrid>
      <w:tr w:rsidR="0093115D" w:rsidRPr="00274E0D" w14:paraId="1E47F4EE" w14:textId="77777777" w:rsidTr="00434248">
        <w:trPr>
          <w:jc w:val="center"/>
        </w:trPr>
        <w:tc>
          <w:tcPr>
            <w:tcW w:w="1739" w:type="pct"/>
            <w:gridSpan w:val="2"/>
            <w:vAlign w:val="center"/>
          </w:tcPr>
          <w:p w14:paraId="15CAA4BD" w14:textId="77777777" w:rsidR="0093115D" w:rsidRPr="00274E0D" w:rsidRDefault="0093115D" w:rsidP="00434248">
            <w:pPr>
              <w:spacing w:before="60" w:after="60"/>
              <w:jc w:val="center"/>
              <w:rPr>
                <w:b/>
                <w:noProof/>
              </w:rPr>
            </w:pPr>
            <w:r w:rsidRPr="00274E0D">
              <w:br w:type="page"/>
            </w:r>
            <w:r w:rsidRPr="00274E0D">
              <w:rPr>
                <w:b/>
                <w:sz w:val="22"/>
              </w:rPr>
              <w:t xml:space="preserve">Monivuotisen rahoituskehyksen otsake </w:t>
            </w:r>
          </w:p>
        </w:tc>
        <w:tc>
          <w:tcPr>
            <w:tcW w:w="396" w:type="pct"/>
            <w:vAlign w:val="center"/>
          </w:tcPr>
          <w:p w14:paraId="1A1EAD9F" w14:textId="77777777" w:rsidR="0093115D" w:rsidRPr="00274E0D" w:rsidRDefault="0093115D" w:rsidP="00434248">
            <w:pPr>
              <w:spacing w:before="60" w:after="60"/>
              <w:jc w:val="center"/>
              <w:rPr>
                <w:noProof/>
              </w:rPr>
            </w:pPr>
            <w:r w:rsidRPr="00274E0D">
              <w:rPr>
                <w:b/>
                <w:sz w:val="22"/>
              </w:rPr>
              <w:t>7</w:t>
            </w:r>
          </w:p>
        </w:tc>
        <w:tc>
          <w:tcPr>
            <w:tcW w:w="2865" w:type="pct"/>
            <w:gridSpan w:val="8"/>
            <w:vAlign w:val="center"/>
          </w:tcPr>
          <w:p w14:paraId="25F760C4" w14:textId="77777777" w:rsidR="0093115D" w:rsidRPr="00274E0D" w:rsidRDefault="0093115D" w:rsidP="00434248">
            <w:pPr>
              <w:spacing w:before="60" w:after="60"/>
              <w:rPr>
                <w:noProof/>
              </w:rPr>
            </w:pPr>
            <w:r w:rsidRPr="00274E0D">
              <w:rPr>
                <w:sz w:val="22"/>
              </w:rPr>
              <w:t>”Hallintomenot”</w:t>
            </w:r>
          </w:p>
        </w:tc>
      </w:tr>
      <w:tr w:rsidR="0093115D" w:rsidRPr="00274E0D" w14:paraId="0A910B60"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88"/>
        </w:trPr>
        <w:tc>
          <w:tcPr>
            <w:tcW w:w="3032"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498C0B01" w14:textId="77777777" w:rsidR="0093115D" w:rsidRPr="00274E0D" w:rsidRDefault="0093115D" w:rsidP="00434248">
            <w:pPr>
              <w:spacing w:before="0" w:after="0"/>
              <w:jc w:val="center"/>
              <w:rPr>
                <w:noProof/>
                <w:color w:val="000000"/>
                <w:lang w:eastAsia="en-IE"/>
              </w:rPr>
            </w:pPr>
          </w:p>
        </w:tc>
        <w:tc>
          <w:tcPr>
            <w:tcW w:w="376" w:type="pct"/>
            <w:tcBorders>
              <w:top w:val="single" w:sz="8" w:space="0" w:color="auto"/>
              <w:left w:val="nil"/>
              <w:bottom w:val="nil"/>
              <w:right w:val="single" w:sz="8" w:space="0" w:color="auto"/>
            </w:tcBorders>
            <w:vAlign w:val="center"/>
            <w:hideMark/>
          </w:tcPr>
          <w:p w14:paraId="1C8EF637"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376" w:type="pct"/>
            <w:tcBorders>
              <w:top w:val="single" w:sz="8" w:space="0" w:color="auto"/>
              <w:left w:val="nil"/>
              <w:bottom w:val="nil"/>
              <w:right w:val="single" w:sz="8" w:space="0" w:color="auto"/>
            </w:tcBorders>
            <w:vAlign w:val="center"/>
            <w:hideMark/>
          </w:tcPr>
          <w:p w14:paraId="33884F15"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376" w:type="pct"/>
            <w:tcBorders>
              <w:top w:val="single" w:sz="8" w:space="0" w:color="auto"/>
              <w:left w:val="nil"/>
              <w:bottom w:val="nil"/>
              <w:right w:val="single" w:sz="8" w:space="0" w:color="auto"/>
            </w:tcBorders>
            <w:vAlign w:val="center"/>
            <w:hideMark/>
          </w:tcPr>
          <w:p w14:paraId="0F4EADD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376" w:type="pct"/>
            <w:tcBorders>
              <w:top w:val="single" w:sz="8" w:space="0" w:color="auto"/>
              <w:left w:val="nil"/>
              <w:bottom w:val="nil"/>
              <w:right w:val="single" w:sz="8" w:space="0" w:color="auto"/>
            </w:tcBorders>
            <w:vAlign w:val="center"/>
            <w:hideMark/>
          </w:tcPr>
          <w:p w14:paraId="586F3F48"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64"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3EDB9FDF"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1822D7AD"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vMerge/>
            <w:vAlign w:val="center"/>
            <w:hideMark/>
          </w:tcPr>
          <w:p w14:paraId="796E21C9" w14:textId="77777777" w:rsidR="0093115D" w:rsidRPr="00274E0D" w:rsidRDefault="0093115D" w:rsidP="00434248">
            <w:pPr>
              <w:spacing w:before="0" w:after="0"/>
              <w:jc w:val="left"/>
              <w:rPr>
                <w:noProof/>
                <w:color w:val="000000"/>
                <w:szCs w:val="24"/>
                <w:lang w:eastAsia="en-IE"/>
              </w:rPr>
            </w:pPr>
          </w:p>
        </w:tc>
        <w:tc>
          <w:tcPr>
            <w:tcW w:w="376" w:type="pct"/>
            <w:tcBorders>
              <w:top w:val="nil"/>
              <w:left w:val="nil"/>
              <w:bottom w:val="single" w:sz="8" w:space="0" w:color="auto"/>
              <w:right w:val="single" w:sz="8" w:space="0" w:color="auto"/>
            </w:tcBorders>
            <w:vAlign w:val="center"/>
            <w:hideMark/>
          </w:tcPr>
          <w:p w14:paraId="111319E7"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376" w:type="pct"/>
            <w:tcBorders>
              <w:top w:val="nil"/>
              <w:left w:val="nil"/>
              <w:bottom w:val="single" w:sz="8" w:space="0" w:color="auto"/>
              <w:right w:val="single" w:sz="8" w:space="0" w:color="auto"/>
            </w:tcBorders>
            <w:vAlign w:val="center"/>
            <w:hideMark/>
          </w:tcPr>
          <w:p w14:paraId="24D56C64"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376" w:type="pct"/>
            <w:tcBorders>
              <w:top w:val="nil"/>
              <w:left w:val="nil"/>
              <w:bottom w:val="single" w:sz="8" w:space="0" w:color="auto"/>
              <w:right w:val="single" w:sz="8" w:space="0" w:color="auto"/>
            </w:tcBorders>
            <w:vAlign w:val="center"/>
            <w:hideMark/>
          </w:tcPr>
          <w:p w14:paraId="2AABF805"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376" w:type="pct"/>
            <w:tcBorders>
              <w:top w:val="nil"/>
              <w:left w:val="nil"/>
              <w:bottom w:val="single" w:sz="8" w:space="0" w:color="auto"/>
              <w:right w:val="single" w:sz="8" w:space="0" w:color="auto"/>
            </w:tcBorders>
            <w:vAlign w:val="center"/>
            <w:hideMark/>
          </w:tcPr>
          <w:p w14:paraId="22569A6E"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464" w:type="pct"/>
            <w:vMerge/>
            <w:vAlign w:val="center"/>
            <w:hideMark/>
          </w:tcPr>
          <w:p w14:paraId="6F6F33CB"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4311F87C"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0BB8D51A" w14:textId="77777777" w:rsidR="0093115D" w:rsidRPr="00274E0D" w:rsidRDefault="0093115D" w:rsidP="00434248">
            <w:pPr>
              <w:spacing w:before="0" w:after="0"/>
              <w:jc w:val="left"/>
              <w:rPr>
                <w:rFonts w:ascii="Wingdings" w:hAnsi="Wingdings" w:cs="Calibri"/>
                <w:noProof/>
                <w:color w:val="000000"/>
                <w:sz w:val="22"/>
              </w:rPr>
            </w:pPr>
            <w:r w:rsidRPr="00274E0D">
              <w:rPr>
                <w:rFonts w:ascii="Wingdings" w:hAnsi="Wingdings"/>
                <w:color w:val="000000"/>
                <w:sz w:val="22"/>
              </w:rPr>
              <w:t></w:t>
            </w:r>
            <w:r w:rsidRPr="00274E0D">
              <w:t xml:space="preserve"> </w:t>
            </w:r>
            <w:r w:rsidRPr="00274E0D">
              <w:rPr>
                <w:color w:val="000000"/>
                <w:sz w:val="22"/>
              </w:rPr>
              <w:t xml:space="preserve">Henkilöresurssit </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4CD40456"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7CB7326D"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1B1681FA"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11,366</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49850965"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11,366</w:t>
            </w:r>
          </w:p>
        </w:tc>
        <w:tc>
          <w:tcPr>
            <w:tcW w:w="464" w:type="pct"/>
            <w:tcBorders>
              <w:top w:val="nil"/>
              <w:left w:val="nil"/>
              <w:bottom w:val="single" w:sz="8" w:space="0" w:color="auto"/>
              <w:right w:val="single" w:sz="8" w:space="0" w:color="auto"/>
            </w:tcBorders>
            <w:shd w:val="clear" w:color="auto" w:fill="D9D9D9" w:themeFill="background1" w:themeFillShade="D9"/>
            <w:vAlign w:val="center"/>
            <w:hideMark/>
          </w:tcPr>
          <w:p w14:paraId="0FC63CAA"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22,732</w:t>
            </w:r>
          </w:p>
        </w:tc>
      </w:tr>
      <w:tr w:rsidR="0093115D" w:rsidRPr="00274E0D" w14:paraId="31B6622C"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032" w:type="pct"/>
            <w:gridSpan w:val="6"/>
            <w:tcBorders>
              <w:top w:val="single" w:sz="8" w:space="0" w:color="auto"/>
              <w:left w:val="single" w:sz="8" w:space="0" w:color="auto"/>
              <w:bottom w:val="single" w:sz="8" w:space="0" w:color="auto"/>
              <w:right w:val="single" w:sz="8" w:space="0" w:color="auto"/>
            </w:tcBorders>
            <w:vAlign w:val="center"/>
            <w:hideMark/>
          </w:tcPr>
          <w:p w14:paraId="237685C4" w14:textId="77777777" w:rsidR="0093115D" w:rsidRPr="00274E0D" w:rsidRDefault="0093115D" w:rsidP="00434248">
            <w:pPr>
              <w:spacing w:before="0" w:after="0"/>
              <w:jc w:val="left"/>
              <w:rPr>
                <w:rFonts w:ascii="Wingdings" w:hAnsi="Wingdings" w:cs="Calibri"/>
                <w:noProof/>
                <w:color w:val="000000"/>
                <w:sz w:val="22"/>
              </w:rPr>
            </w:pPr>
            <w:r w:rsidRPr="00274E0D">
              <w:rPr>
                <w:rFonts w:ascii="Wingdings" w:hAnsi="Wingdings"/>
                <w:color w:val="000000"/>
                <w:sz w:val="22"/>
              </w:rPr>
              <w:t></w:t>
            </w:r>
            <w:r w:rsidRPr="00274E0D">
              <w:rPr>
                <w:color w:val="000000"/>
                <w:sz w:val="22"/>
              </w:rPr>
              <w:t xml:space="preserve"> Muut hallintomenot </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14F6661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4BB6D7BE"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407F82FE"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0,336</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76D1247C"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0,336</w:t>
            </w:r>
          </w:p>
        </w:tc>
        <w:tc>
          <w:tcPr>
            <w:tcW w:w="464" w:type="pct"/>
            <w:tcBorders>
              <w:top w:val="nil"/>
              <w:left w:val="nil"/>
              <w:bottom w:val="single" w:sz="8" w:space="0" w:color="auto"/>
              <w:right w:val="single" w:sz="8" w:space="0" w:color="auto"/>
            </w:tcBorders>
            <w:shd w:val="clear" w:color="auto" w:fill="D9D9D9" w:themeFill="background1" w:themeFillShade="D9"/>
            <w:vAlign w:val="center"/>
            <w:hideMark/>
          </w:tcPr>
          <w:p w14:paraId="50719D8F"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0,672</w:t>
            </w:r>
          </w:p>
        </w:tc>
      </w:tr>
      <w:tr w:rsidR="0093115D" w:rsidRPr="00274E0D" w14:paraId="280180B6"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single" w:sz="8" w:space="0" w:color="auto"/>
              <w:bottom w:val="single" w:sz="8" w:space="0" w:color="auto"/>
              <w:right w:val="single" w:sz="8" w:space="0" w:color="auto"/>
            </w:tcBorders>
            <w:vAlign w:val="center"/>
            <w:hideMark/>
          </w:tcPr>
          <w:p w14:paraId="3CE1090D" w14:textId="77777777" w:rsidR="0093115D" w:rsidRPr="00274E0D" w:rsidRDefault="0093115D" w:rsidP="00434248">
            <w:pPr>
              <w:spacing w:before="0" w:after="0"/>
              <w:jc w:val="center"/>
              <w:rPr>
                <w:noProof/>
                <w:color w:val="000000"/>
                <w:sz w:val="22"/>
              </w:rPr>
            </w:pPr>
            <w:r w:rsidRPr="00274E0D">
              <w:rPr>
                <w:b/>
                <w:color w:val="000000" w:themeColor="text1"/>
                <w:sz w:val="22"/>
              </w:rPr>
              <w:lastRenderedPageBreak/>
              <w:t>YHTEENSÄ</w:t>
            </w:r>
          </w:p>
        </w:tc>
        <w:tc>
          <w:tcPr>
            <w:tcW w:w="1379" w:type="pct"/>
            <w:gridSpan w:val="5"/>
            <w:tcBorders>
              <w:top w:val="single" w:sz="8" w:space="0" w:color="auto"/>
              <w:left w:val="nil"/>
              <w:bottom w:val="single" w:sz="8" w:space="0" w:color="auto"/>
              <w:right w:val="single" w:sz="8" w:space="0" w:color="auto"/>
            </w:tcBorders>
            <w:vAlign w:val="center"/>
            <w:hideMark/>
          </w:tcPr>
          <w:p w14:paraId="2025141D" w14:textId="77777777" w:rsidR="0093115D" w:rsidRPr="00274E0D" w:rsidRDefault="0093115D" w:rsidP="00434248">
            <w:pPr>
              <w:spacing w:before="0" w:after="0"/>
              <w:jc w:val="left"/>
              <w:rPr>
                <w:noProof/>
                <w:color w:val="000000"/>
                <w:sz w:val="18"/>
                <w:szCs w:val="18"/>
              </w:rPr>
            </w:pPr>
            <w:r w:rsidRPr="00274E0D">
              <w:rPr>
                <w:color w:val="000000"/>
                <w:sz w:val="18"/>
              </w:rPr>
              <w:t xml:space="preserve">Määrärahat </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49814E96"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00B0B739"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1671BA4F"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11,702</w:t>
            </w:r>
          </w:p>
        </w:tc>
        <w:tc>
          <w:tcPr>
            <w:tcW w:w="376" w:type="pct"/>
            <w:tcBorders>
              <w:top w:val="nil"/>
              <w:left w:val="nil"/>
              <w:bottom w:val="single" w:sz="8" w:space="0" w:color="auto"/>
              <w:right w:val="single" w:sz="8" w:space="0" w:color="auto"/>
            </w:tcBorders>
            <w:shd w:val="clear" w:color="auto" w:fill="D9D9D9" w:themeFill="background1" w:themeFillShade="D9"/>
            <w:vAlign w:val="center"/>
            <w:hideMark/>
          </w:tcPr>
          <w:p w14:paraId="24052FCF"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11,702</w:t>
            </w:r>
          </w:p>
        </w:tc>
        <w:tc>
          <w:tcPr>
            <w:tcW w:w="464" w:type="pct"/>
            <w:tcBorders>
              <w:top w:val="nil"/>
              <w:left w:val="nil"/>
              <w:bottom w:val="single" w:sz="8" w:space="0" w:color="auto"/>
              <w:right w:val="single" w:sz="8" w:space="0" w:color="auto"/>
            </w:tcBorders>
            <w:shd w:val="clear" w:color="auto" w:fill="D9D9D9" w:themeFill="background1" w:themeFillShade="D9"/>
            <w:vAlign w:val="center"/>
            <w:hideMark/>
          </w:tcPr>
          <w:p w14:paraId="7607E5A2"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23/404</w:t>
            </w:r>
          </w:p>
        </w:tc>
      </w:tr>
      <w:tr w:rsidR="0093115D" w:rsidRPr="00274E0D" w14:paraId="224D9C65"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5CB383EE" w14:textId="77777777" w:rsidR="0093115D" w:rsidRPr="00274E0D" w:rsidRDefault="0093115D" w:rsidP="00434248">
            <w:pPr>
              <w:spacing w:before="0" w:after="0"/>
              <w:jc w:val="right"/>
              <w:rPr>
                <w:b/>
                <w:bCs/>
                <w:noProof/>
                <w:color w:val="000000"/>
                <w:sz w:val="20"/>
                <w:szCs w:val="20"/>
                <w:lang w:eastAsia="en-IE"/>
              </w:rPr>
            </w:pPr>
          </w:p>
        </w:tc>
        <w:tc>
          <w:tcPr>
            <w:tcW w:w="930" w:type="pct"/>
            <w:gridSpan w:val="3"/>
            <w:tcBorders>
              <w:top w:val="nil"/>
              <w:left w:val="nil"/>
              <w:bottom w:val="nil"/>
              <w:right w:val="nil"/>
            </w:tcBorders>
            <w:noWrap/>
            <w:vAlign w:val="bottom"/>
            <w:hideMark/>
          </w:tcPr>
          <w:p w14:paraId="6DD93C0B" w14:textId="77777777" w:rsidR="0093115D" w:rsidRPr="00274E0D" w:rsidRDefault="0093115D" w:rsidP="00434248">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41E15221" w14:textId="77777777" w:rsidR="0093115D" w:rsidRPr="00274E0D" w:rsidRDefault="0093115D" w:rsidP="00434248">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7C18979F" w14:textId="77777777" w:rsidR="0093115D" w:rsidRPr="00274E0D" w:rsidRDefault="0093115D" w:rsidP="00434248">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567DB495" w14:textId="77777777" w:rsidR="0093115D" w:rsidRPr="00274E0D" w:rsidRDefault="0093115D" w:rsidP="00434248">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2F85A1DB" w14:textId="77777777" w:rsidR="0093115D" w:rsidRPr="00274E0D" w:rsidRDefault="0093115D" w:rsidP="00434248">
            <w:pPr>
              <w:spacing w:before="0" w:after="0"/>
              <w:jc w:val="left"/>
              <w:rPr>
                <w:noProof/>
                <w:color w:val="000000" w:themeColor="text1"/>
                <w:sz w:val="20"/>
                <w:szCs w:val="20"/>
                <w:lang w:eastAsia="en-IE"/>
              </w:rPr>
            </w:pPr>
          </w:p>
        </w:tc>
        <w:tc>
          <w:tcPr>
            <w:tcW w:w="376" w:type="pct"/>
            <w:tcBorders>
              <w:top w:val="nil"/>
              <w:left w:val="nil"/>
              <w:bottom w:val="nil"/>
              <w:right w:val="nil"/>
            </w:tcBorders>
            <w:noWrap/>
            <w:vAlign w:val="bottom"/>
            <w:hideMark/>
          </w:tcPr>
          <w:p w14:paraId="349F0D59" w14:textId="77777777" w:rsidR="0093115D" w:rsidRPr="00274E0D" w:rsidRDefault="0093115D" w:rsidP="00434248">
            <w:pPr>
              <w:spacing w:before="0" w:after="0"/>
              <w:jc w:val="left"/>
              <w:rPr>
                <w:noProof/>
                <w:color w:val="000000" w:themeColor="text1"/>
                <w:sz w:val="20"/>
                <w:szCs w:val="20"/>
                <w:lang w:eastAsia="en-IE"/>
              </w:rPr>
            </w:pPr>
          </w:p>
        </w:tc>
        <w:tc>
          <w:tcPr>
            <w:tcW w:w="376" w:type="pct"/>
            <w:tcBorders>
              <w:top w:val="nil"/>
              <w:left w:val="nil"/>
              <w:bottom w:val="nil"/>
              <w:right w:val="nil"/>
            </w:tcBorders>
            <w:noWrap/>
            <w:vAlign w:val="bottom"/>
            <w:hideMark/>
          </w:tcPr>
          <w:p w14:paraId="54CFF16A" w14:textId="77777777" w:rsidR="0093115D" w:rsidRPr="00274E0D" w:rsidRDefault="0093115D" w:rsidP="00434248">
            <w:pPr>
              <w:spacing w:before="0" w:after="0"/>
              <w:jc w:val="left"/>
              <w:rPr>
                <w:noProof/>
                <w:color w:val="000000" w:themeColor="text1"/>
                <w:sz w:val="20"/>
                <w:szCs w:val="20"/>
                <w:lang w:eastAsia="en-IE"/>
              </w:rPr>
            </w:pPr>
          </w:p>
        </w:tc>
        <w:tc>
          <w:tcPr>
            <w:tcW w:w="464" w:type="pct"/>
            <w:tcBorders>
              <w:top w:val="nil"/>
              <w:left w:val="nil"/>
              <w:bottom w:val="nil"/>
              <w:right w:val="nil"/>
            </w:tcBorders>
            <w:noWrap/>
            <w:vAlign w:val="bottom"/>
            <w:hideMark/>
          </w:tcPr>
          <w:p w14:paraId="486D406E" w14:textId="77777777" w:rsidR="0093115D" w:rsidRPr="00274E0D" w:rsidRDefault="0093115D" w:rsidP="00434248">
            <w:pPr>
              <w:spacing w:before="0" w:after="0"/>
              <w:jc w:val="left"/>
              <w:rPr>
                <w:noProof/>
                <w:color w:val="000000" w:themeColor="text1"/>
                <w:sz w:val="20"/>
                <w:szCs w:val="20"/>
                <w:lang w:eastAsia="en-IE"/>
              </w:rPr>
            </w:pPr>
          </w:p>
        </w:tc>
      </w:tr>
      <w:tr w:rsidR="0093115D" w:rsidRPr="00274E0D" w14:paraId="17479A33"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1653" w:type="pct"/>
            <w:tcBorders>
              <w:top w:val="nil"/>
              <w:left w:val="nil"/>
              <w:bottom w:val="nil"/>
              <w:right w:val="nil"/>
            </w:tcBorders>
            <w:noWrap/>
            <w:vAlign w:val="bottom"/>
            <w:hideMark/>
          </w:tcPr>
          <w:p w14:paraId="16759FC4" w14:textId="77777777" w:rsidR="0093115D" w:rsidRPr="00274E0D" w:rsidRDefault="0093115D" w:rsidP="00434248">
            <w:pPr>
              <w:spacing w:before="0" w:after="0"/>
              <w:jc w:val="right"/>
              <w:rPr>
                <w:b/>
                <w:bCs/>
                <w:noProof/>
                <w:color w:val="000000"/>
                <w:sz w:val="20"/>
                <w:szCs w:val="20"/>
                <w:lang w:eastAsia="en-IE"/>
              </w:rPr>
            </w:pPr>
          </w:p>
        </w:tc>
        <w:tc>
          <w:tcPr>
            <w:tcW w:w="930" w:type="pct"/>
            <w:gridSpan w:val="3"/>
            <w:tcBorders>
              <w:top w:val="nil"/>
              <w:left w:val="nil"/>
              <w:bottom w:val="nil"/>
              <w:right w:val="nil"/>
            </w:tcBorders>
            <w:noWrap/>
            <w:vAlign w:val="bottom"/>
            <w:hideMark/>
          </w:tcPr>
          <w:p w14:paraId="397EEA36" w14:textId="77777777" w:rsidR="0093115D" w:rsidRPr="00274E0D" w:rsidRDefault="0093115D" w:rsidP="00434248">
            <w:pPr>
              <w:spacing w:before="0" w:after="0"/>
              <w:jc w:val="left"/>
              <w:rPr>
                <w:noProof/>
                <w:sz w:val="20"/>
                <w:szCs w:val="20"/>
                <w:lang w:eastAsia="en-IE"/>
              </w:rPr>
            </w:pPr>
          </w:p>
        </w:tc>
        <w:tc>
          <w:tcPr>
            <w:tcW w:w="224" w:type="pct"/>
            <w:tcBorders>
              <w:top w:val="nil"/>
              <w:left w:val="nil"/>
              <w:bottom w:val="nil"/>
              <w:right w:val="nil"/>
            </w:tcBorders>
            <w:noWrap/>
            <w:vAlign w:val="bottom"/>
            <w:hideMark/>
          </w:tcPr>
          <w:p w14:paraId="54EBE272" w14:textId="77777777" w:rsidR="0093115D" w:rsidRPr="00274E0D" w:rsidRDefault="0093115D" w:rsidP="00434248">
            <w:pPr>
              <w:spacing w:before="0" w:after="0"/>
              <w:jc w:val="left"/>
              <w:rPr>
                <w:noProof/>
                <w:sz w:val="20"/>
                <w:szCs w:val="20"/>
                <w:lang w:eastAsia="en-IE"/>
              </w:rPr>
            </w:pPr>
          </w:p>
        </w:tc>
        <w:tc>
          <w:tcPr>
            <w:tcW w:w="225" w:type="pct"/>
            <w:tcBorders>
              <w:top w:val="nil"/>
              <w:left w:val="nil"/>
              <w:bottom w:val="nil"/>
              <w:right w:val="nil"/>
            </w:tcBorders>
            <w:noWrap/>
            <w:vAlign w:val="bottom"/>
            <w:hideMark/>
          </w:tcPr>
          <w:p w14:paraId="785B1E88" w14:textId="77777777" w:rsidR="0093115D" w:rsidRPr="00274E0D" w:rsidRDefault="0093115D" w:rsidP="00434248">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5AAF2F8E" w14:textId="77777777" w:rsidR="0093115D" w:rsidRPr="00274E0D" w:rsidRDefault="0093115D" w:rsidP="00434248">
            <w:pPr>
              <w:spacing w:before="0" w:after="0"/>
              <w:jc w:val="left"/>
              <w:rPr>
                <w:noProof/>
                <w:sz w:val="20"/>
                <w:szCs w:val="20"/>
                <w:lang w:eastAsia="en-IE"/>
              </w:rPr>
            </w:pPr>
          </w:p>
        </w:tc>
        <w:tc>
          <w:tcPr>
            <w:tcW w:w="376" w:type="pct"/>
            <w:tcBorders>
              <w:top w:val="nil"/>
              <w:left w:val="nil"/>
              <w:bottom w:val="nil"/>
              <w:right w:val="nil"/>
            </w:tcBorders>
            <w:noWrap/>
            <w:vAlign w:val="bottom"/>
            <w:hideMark/>
          </w:tcPr>
          <w:p w14:paraId="0DC04703" w14:textId="77777777" w:rsidR="0093115D" w:rsidRPr="00274E0D" w:rsidRDefault="0093115D" w:rsidP="00434248">
            <w:pPr>
              <w:spacing w:before="0" w:after="0"/>
              <w:jc w:val="left"/>
              <w:rPr>
                <w:noProof/>
                <w:color w:val="000000" w:themeColor="text1"/>
                <w:sz w:val="20"/>
                <w:szCs w:val="20"/>
                <w:lang w:eastAsia="en-IE"/>
              </w:rPr>
            </w:pPr>
          </w:p>
        </w:tc>
        <w:tc>
          <w:tcPr>
            <w:tcW w:w="376" w:type="pct"/>
            <w:tcBorders>
              <w:top w:val="nil"/>
              <w:left w:val="nil"/>
              <w:bottom w:val="nil"/>
              <w:right w:val="nil"/>
            </w:tcBorders>
            <w:noWrap/>
            <w:vAlign w:val="bottom"/>
            <w:hideMark/>
          </w:tcPr>
          <w:p w14:paraId="2470EB33" w14:textId="77777777" w:rsidR="0093115D" w:rsidRPr="00274E0D" w:rsidRDefault="0093115D" w:rsidP="00434248">
            <w:pPr>
              <w:spacing w:before="0" w:after="0"/>
              <w:jc w:val="left"/>
              <w:rPr>
                <w:noProof/>
                <w:color w:val="000000" w:themeColor="text1"/>
                <w:sz w:val="20"/>
                <w:szCs w:val="20"/>
                <w:lang w:eastAsia="en-IE"/>
              </w:rPr>
            </w:pPr>
          </w:p>
        </w:tc>
        <w:tc>
          <w:tcPr>
            <w:tcW w:w="376" w:type="pct"/>
            <w:tcBorders>
              <w:top w:val="nil"/>
              <w:left w:val="nil"/>
              <w:bottom w:val="nil"/>
              <w:right w:val="nil"/>
            </w:tcBorders>
            <w:noWrap/>
            <w:vAlign w:val="bottom"/>
            <w:hideMark/>
          </w:tcPr>
          <w:p w14:paraId="1AFBC458" w14:textId="77777777" w:rsidR="0093115D" w:rsidRPr="00274E0D" w:rsidRDefault="0093115D" w:rsidP="00434248">
            <w:pPr>
              <w:spacing w:before="0" w:after="0"/>
              <w:jc w:val="left"/>
              <w:rPr>
                <w:noProof/>
                <w:color w:val="000000" w:themeColor="text1"/>
                <w:sz w:val="20"/>
                <w:szCs w:val="20"/>
                <w:lang w:eastAsia="en-IE"/>
              </w:rPr>
            </w:pPr>
          </w:p>
        </w:tc>
        <w:tc>
          <w:tcPr>
            <w:tcW w:w="464" w:type="pct"/>
            <w:tcBorders>
              <w:top w:val="nil"/>
              <w:left w:val="nil"/>
              <w:bottom w:val="nil"/>
              <w:right w:val="nil"/>
            </w:tcBorders>
            <w:noWrap/>
            <w:vAlign w:val="bottom"/>
            <w:hideMark/>
          </w:tcPr>
          <w:p w14:paraId="47A81C04" w14:textId="77777777" w:rsidR="0093115D" w:rsidRPr="00274E0D" w:rsidRDefault="0093115D" w:rsidP="00434248">
            <w:pPr>
              <w:spacing w:before="0" w:after="0"/>
              <w:jc w:val="left"/>
              <w:rPr>
                <w:noProof/>
                <w:color w:val="000000" w:themeColor="text1"/>
                <w:sz w:val="20"/>
                <w:szCs w:val="20"/>
                <w:lang w:eastAsia="en-IE"/>
              </w:rPr>
            </w:pPr>
          </w:p>
        </w:tc>
      </w:tr>
      <w:tr w:rsidR="0093115D" w:rsidRPr="00274E0D" w14:paraId="72675EA9" w14:textId="77777777" w:rsidTr="0043424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00"/>
        </w:trPr>
        <w:tc>
          <w:tcPr>
            <w:tcW w:w="2583" w:type="pct"/>
            <w:gridSpan w:val="4"/>
            <w:tcBorders>
              <w:top w:val="single" w:sz="8" w:space="0" w:color="auto"/>
              <w:left w:val="single" w:sz="8" w:space="0" w:color="auto"/>
              <w:bottom w:val="single" w:sz="8" w:space="0" w:color="auto"/>
              <w:right w:val="single" w:sz="8" w:space="0" w:color="auto"/>
            </w:tcBorders>
            <w:shd w:val="clear" w:color="auto" w:fill="F1F1F1"/>
            <w:vAlign w:val="center"/>
            <w:hideMark/>
          </w:tcPr>
          <w:p w14:paraId="30F35AB7" w14:textId="77777777" w:rsidR="0093115D" w:rsidRPr="00274E0D" w:rsidRDefault="0093115D" w:rsidP="00434248">
            <w:pPr>
              <w:spacing w:before="0" w:after="0"/>
              <w:jc w:val="center"/>
              <w:rPr>
                <w:b/>
                <w:bCs/>
                <w:noProof/>
                <w:color w:val="000000"/>
                <w:sz w:val="22"/>
              </w:rPr>
            </w:pPr>
            <w:r w:rsidRPr="00274E0D">
              <w:rPr>
                <w:b/>
                <w:color w:val="000000"/>
                <w:sz w:val="22"/>
              </w:rPr>
              <w:t xml:space="preserve">Monivuotisen rahoituskehyksen OTSAKKEESEEN 7 kuuluvat määrärahat YHTEENSÄ </w:t>
            </w:r>
          </w:p>
        </w:tc>
        <w:tc>
          <w:tcPr>
            <w:tcW w:w="449" w:type="pct"/>
            <w:gridSpan w:val="2"/>
            <w:tcBorders>
              <w:top w:val="single" w:sz="8" w:space="0" w:color="auto"/>
              <w:left w:val="nil"/>
              <w:bottom w:val="single" w:sz="8" w:space="0" w:color="auto"/>
              <w:right w:val="single" w:sz="8" w:space="0" w:color="auto"/>
            </w:tcBorders>
            <w:vAlign w:val="center"/>
            <w:hideMark/>
          </w:tcPr>
          <w:p w14:paraId="02EBDD33" w14:textId="77777777" w:rsidR="0093115D" w:rsidRPr="00274E0D" w:rsidRDefault="0093115D" w:rsidP="00434248">
            <w:pPr>
              <w:spacing w:before="0" w:after="0"/>
              <w:jc w:val="center"/>
              <w:rPr>
                <w:noProof/>
                <w:color w:val="000000"/>
                <w:sz w:val="18"/>
                <w:szCs w:val="18"/>
              </w:rPr>
            </w:pPr>
            <w:r w:rsidRPr="00274E0D">
              <w:rPr>
                <w:color w:val="000000"/>
                <w:sz w:val="18"/>
              </w:rPr>
              <w:t>(Sitoumukset yhteensä = maksut yhteensä)</w:t>
            </w:r>
          </w:p>
        </w:tc>
        <w:tc>
          <w:tcPr>
            <w:tcW w:w="3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D91A247"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3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70B52D7"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3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875D2CE"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11,702</w:t>
            </w:r>
          </w:p>
        </w:tc>
        <w:tc>
          <w:tcPr>
            <w:tcW w:w="376"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B24F45C"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11,702</w:t>
            </w:r>
          </w:p>
        </w:tc>
        <w:tc>
          <w:tcPr>
            <w:tcW w:w="464"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F7138"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23,404</w:t>
            </w:r>
          </w:p>
        </w:tc>
      </w:tr>
    </w:tbl>
    <w:p w14:paraId="02A77A20" w14:textId="77777777" w:rsidR="0093115D" w:rsidRPr="00274E0D" w:rsidRDefault="0093115D" w:rsidP="00656AA8">
      <w:pPr>
        <w:jc w:val="right"/>
        <w:rPr>
          <w:noProof/>
          <w:sz w:val="20"/>
        </w:rPr>
      </w:pPr>
      <w:r w:rsidRPr="00274E0D">
        <w:rPr>
          <w:sz w:val="20"/>
        </w:rPr>
        <w:t>milj. euroa (kolmen desimaalin tarkkuudella)</w:t>
      </w:r>
    </w:p>
    <w:tbl>
      <w:tblPr>
        <w:tblW w:w="5000" w:type="pct"/>
        <w:tblLook w:val="04A0" w:firstRow="1" w:lastRow="0" w:firstColumn="1" w:lastColumn="0" w:noHBand="0" w:noVBand="1"/>
      </w:tblPr>
      <w:tblGrid>
        <w:gridCol w:w="5607"/>
        <w:gridCol w:w="2080"/>
        <w:gridCol w:w="1255"/>
        <w:gridCol w:w="1254"/>
        <w:gridCol w:w="1254"/>
        <w:gridCol w:w="1254"/>
        <w:gridCol w:w="1516"/>
      </w:tblGrid>
      <w:tr w:rsidR="0093115D" w:rsidRPr="00274E0D" w14:paraId="0ACDB662" w14:textId="77777777" w:rsidTr="00434248">
        <w:trPr>
          <w:trHeight w:val="288"/>
        </w:trPr>
        <w:tc>
          <w:tcPr>
            <w:tcW w:w="270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6E04D37F" w14:textId="77777777" w:rsidR="0093115D" w:rsidRPr="00274E0D" w:rsidRDefault="0093115D" w:rsidP="00434248">
            <w:pPr>
              <w:spacing w:before="0" w:after="0"/>
              <w:jc w:val="center"/>
              <w:rPr>
                <w:noProof/>
                <w:color w:val="000000"/>
                <w:szCs w:val="24"/>
              </w:rPr>
            </w:pPr>
            <w:r w:rsidRPr="00274E0D">
              <w:rPr>
                <w:color w:val="000000"/>
              </w:rPr>
              <w:t xml:space="preserve"> </w:t>
            </w:r>
          </w:p>
        </w:tc>
        <w:tc>
          <w:tcPr>
            <w:tcW w:w="441" w:type="pct"/>
            <w:tcBorders>
              <w:top w:val="single" w:sz="8" w:space="0" w:color="auto"/>
              <w:left w:val="nil"/>
              <w:bottom w:val="nil"/>
              <w:right w:val="single" w:sz="8" w:space="0" w:color="auto"/>
            </w:tcBorders>
            <w:vAlign w:val="center"/>
            <w:hideMark/>
          </w:tcPr>
          <w:p w14:paraId="4A329FFB"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41" w:type="pct"/>
            <w:tcBorders>
              <w:top w:val="single" w:sz="8" w:space="0" w:color="auto"/>
              <w:left w:val="nil"/>
              <w:bottom w:val="nil"/>
              <w:right w:val="single" w:sz="8" w:space="0" w:color="auto"/>
            </w:tcBorders>
            <w:vAlign w:val="center"/>
            <w:hideMark/>
          </w:tcPr>
          <w:p w14:paraId="13303FD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41" w:type="pct"/>
            <w:tcBorders>
              <w:top w:val="single" w:sz="8" w:space="0" w:color="auto"/>
              <w:left w:val="nil"/>
              <w:bottom w:val="nil"/>
              <w:right w:val="single" w:sz="8" w:space="0" w:color="auto"/>
            </w:tcBorders>
            <w:vAlign w:val="center"/>
            <w:hideMark/>
          </w:tcPr>
          <w:p w14:paraId="3D0EFFC4"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41" w:type="pct"/>
            <w:tcBorders>
              <w:top w:val="single" w:sz="8" w:space="0" w:color="auto"/>
              <w:left w:val="nil"/>
              <w:bottom w:val="nil"/>
              <w:right w:val="single" w:sz="8" w:space="0" w:color="auto"/>
            </w:tcBorders>
            <w:vAlign w:val="center"/>
            <w:hideMark/>
          </w:tcPr>
          <w:p w14:paraId="0376CD0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33"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7FA57D88"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58E44F1E" w14:textId="77777777" w:rsidTr="00434248">
        <w:trPr>
          <w:trHeight w:val="300"/>
        </w:trPr>
        <w:tc>
          <w:tcPr>
            <w:tcW w:w="2702" w:type="pct"/>
            <w:gridSpan w:val="2"/>
            <w:vMerge/>
            <w:vAlign w:val="center"/>
            <w:hideMark/>
          </w:tcPr>
          <w:p w14:paraId="10DA7757" w14:textId="77777777" w:rsidR="0093115D" w:rsidRPr="00274E0D" w:rsidRDefault="0093115D" w:rsidP="00434248">
            <w:pPr>
              <w:spacing w:before="0" w:after="0"/>
              <w:jc w:val="left"/>
              <w:rPr>
                <w:noProof/>
                <w:color w:val="000000"/>
                <w:szCs w:val="24"/>
                <w:lang w:eastAsia="en-IE"/>
              </w:rPr>
            </w:pPr>
          </w:p>
        </w:tc>
        <w:tc>
          <w:tcPr>
            <w:tcW w:w="441" w:type="pct"/>
            <w:tcBorders>
              <w:top w:val="nil"/>
              <w:left w:val="nil"/>
              <w:bottom w:val="single" w:sz="8" w:space="0" w:color="auto"/>
              <w:right w:val="single" w:sz="8" w:space="0" w:color="auto"/>
            </w:tcBorders>
            <w:vAlign w:val="center"/>
            <w:hideMark/>
          </w:tcPr>
          <w:p w14:paraId="2820FEC0"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41" w:type="pct"/>
            <w:tcBorders>
              <w:top w:val="nil"/>
              <w:left w:val="nil"/>
              <w:bottom w:val="single" w:sz="8" w:space="0" w:color="auto"/>
              <w:right w:val="single" w:sz="8" w:space="0" w:color="auto"/>
            </w:tcBorders>
            <w:vAlign w:val="center"/>
            <w:hideMark/>
          </w:tcPr>
          <w:p w14:paraId="14D9E3CB"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41" w:type="pct"/>
            <w:tcBorders>
              <w:top w:val="nil"/>
              <w:left w:val="nil"/>
              <w:bottom w:val="single" w:sz="8" w:space="0" w:color="auto"/>
              <w:right w:val="single" w:sz="8" w:space="0" w:color="auto"/>
            </w:tcBorders>
            <w:vAlign w:val="center"/>
            <w:hideMark/>
          </w:tcPr>
          <w:p w14:paraId="0604A6A3"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41" w:type="pct"/>
            <w:tcBorders>
              <w:top w:val="nil"/>
              <w:left w:val="nil"/>
              <w:bottom w:val="single" w:sz="8" w:space="0" w:color="auto"/>
              <w:right w:val="single" w:sz="8" w:space="0" w:color="auto"/>
            </w:tcBorders>
            <w:vAlign w:val="center"/>
            <w:hideMark/>
          </w:tcPr>
          <w:p w14:paraId="7B795E0E"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33" w:type="pct"/>
            <w:vMerge/>
            <w:vAlign w:val="center"/>
            <w:hideMark/>
          </w:tcPr>
          <w:p w14:paraId="7A1A2AAE"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522431FE" w14:textId="77777777" w:rsidTr="00434248">
        <w:trPr>
          <w:trHeight w:val="564"/>
        </w:trPr>
        <w:tc>
          <w:tcPr>
            <w:tcW w:w="1971" w:type="pct"/>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49BC201E" w14:textId="77777777" w:rsidR="0093115D" w:rsidRPr="00274E0D" w:rsidRDefault="0093115D" w:rsidP="00434248">
            <w:pPr>
              <w:spacing w:before="0" w:after="0"/>
              <w:jc w:val="center"/>
              <w:rPr>
                <w:b/>
                <w:bCs/>
                <w:noProof/>
                <w:color w:val="000000"/>
                <w:sz w:val="22"/>
              </w:rPr>
            </w:pPr>
            <w:r w:rsidRPr="00274E0D">
              <w:rPr>
                <w:b/>
                <w:color w:val="000000"/>
                <w:sz w:val="22"/>
              </w:rPr>
              <w:t>Monivuotisen rahoituskehyksen OTSAKKEISIIN 1–7 kuuluvat</w:t>
            </w:r>
          </w:p>
        </w:tc>
        <w:tc>
          <w:tcPr>
            <w:tcW w:w="731" w:type="pct"/>
            <w:tcBorders>
              <w:top w:val="single" w:sz="8" w:space="0" w:color="auto"/>
              <w:left w:val="nil"/>
              <w:bottom w:val="single" w:sz="8" w:space="0" w:color="auto"/>
              <w:right w:val="single" w:sz="8" w:space="0" w:color="auto"/>
            </w:tcBorders>
            <w:vAlign w:val="center"/>
            <w:hideMark/>
          </w:tcPr>
          <w:p w14:paraId="51290028"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2CF7CF88" w14:textId="77777777" w:rsidR="0093115D" w:rsidRPr="00274E0D" w:rsidRDefault="0093115D" w:rsidP="00434248">
            <w:pPr>
              <w:spacing w:before="0" w:after="0"/>
              <w:jc w:val="right"/>
              <w:rPr>
                <w:b/>
                <w:bCs/>
                <w:noProof/>
                <w:color w:val="000000"/>
                <w:szCs w:val="24"/>
              </w:rPr>
            </w:pPr>
            <w:r w:rsidRPr="00274E0D">
              <w:rPr>
                <w:b/>
                <w:color w:val="00000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39E15572" w14:textId="77777777" w:rsidR="0093115D" w:rsidRPr="00274E0D" w:rsidRDefault="0093115D" w:rsidP="00434248">
            <w:pPr>
              <w:spacing w:before="0" w:after="0"/>
              <w:jc w:val="right"/>
              <w:rPr>
                <w:b/>
                <w:bCs/>
                <w:noProof/>
                <w:color w:val="000000"/>
                <w:szCs w:val="24"/>
              </w:rPr>
            </w:pPr>
            <w:r w:rsidRPr="00274E0D">
              <w:rPr>
                <w:b/>
                <w:color w:val="000000"/>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1497C35E" w14:textId="77777777" w:rsidR="0093115D" w:rsidRPr="00274E0D" w:rsidRDefault="0093115D" w:rsidP="00434248">
            <w:pPr>
              <w:spacing w:before="0" w:after="0"/>
              <w:jc w:val="right"/>
              <w:rPr>
                <w:b/>
                <w:bCs/>
                <w:noProof/>
                <w:color w:val="000000"/>
                <w:szCs w:val="24"/>
              </w:rPr>
            </w:pPr>
            <w:r w:rsidRPr="00274E0D">
              <w:rPr>
                <w:b/>
                <w:color w:val="000000"/>
              </w:rPr>
              <w:t>12,702</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1D2EB588" w14:textId="77777777" w:rsidR="0093115D" w:rsidRPr="00274E0D" w:rsidRDefault="0093115D" w:rsidP="00434248">
            <w:pPr>
              <w:spacing w:before="0" w:after="0"/>
              <w:jc w:val="right"/>
              <w:rPr>
                <w:b/>
                <w:bCs/>
                <w:noProof/>
                <w:color w:val="000000"/>
                <w:szCs w:val="24"/>
              </w:rPr>
            </w:pPr>
            <w:r w:rsidRPr="00274E0D">
              <w:rPr>
                <w:b/>
              </w:rPr>
              <w:t>1 012,702</w:t>
            </w:r>
          </w:p>
        </w:tc>
        <w:tc>
          <w:tcPr>
            <w:tcW w:w="533" w:type="pct"/>
            <w:tcBorders>
              <w:top w:val="nil"/>
              <w:left w:val="nil"/>
              <w:bottom w:val="single" w:sz="8" w:space="0" w:color="auto"/>
              <w:right w:val="single" w:sz="8" w:space="0" w:color="auto"/>
            </w:tcBorders>
            <w:shd w:val="clear" w:color="auto" w:fill="D9D9D9" w:themeFill="background1" w:themeFillShade="D9"/>
            <w:vAlign w:val="center"/>
            <w:hideMark/>
          </w:tcPr>
          <w:p w14:paraId="23F6E7B8" w14:textId="77777777" w:rsidR="0093115D" w:rsidRPr="00274E0D" w:rsidRDefault="0093115D" w:rsidP="00434248">
            <w:pPr>
              <w:spacing w:before="0" w:after="0"/>
              <w:jc w:val="right"/>
              <w:rPr>
                <w:b/>
                <w:bCs/>
                <w:noProof/>
                <w:color w:val="000000"/>
                <w:szCs w:val="24"/>
              </w:rPr>
            </w:pPr>
            <w:r w:rsidRPr="00274E0D">
              <w:rPr>
                <w:b/>
                <w:color w:val="000000" w:themeColor="text1"/>
              </w:rPr>
              <w:t>1 025,404</w:t>
            </w:r>
          </w:p>
        </w:tc>
      </w:tr>
      <w:tr w:rsidR="0093115D" w:rsidRPr="00274E0D" w14:paraId="7D777710" w14:textId="77777777" w:rsidTr="00434248">
        <w:trPr>
          <w:trHeight w:val="540"/>
        </w:trPr>
        <w:tc>
          <w:tcPr>
            <w:tcW w:w="1971" w:type="pct"/>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519EC74C" w14:textId="77777777" w:rsidR="0093115D" w:rsidRPr="00274E0D" w:rsidRDefault="0093115D" w:rsidP="00434248">
            <w:pPr>
              <w:spacing w:before="0" w:after="0"/>
              <w:jc w:val="center"/>
              <w:rPr>
                <w:noProof/>
                <w:color w:val="000000"/>
                <w:sz w:val="22"/>
              </w:rPr>
            </w:pPr>
            <w:r w:rsidRPr="00274E0D">
              <w:rPr>
                <w:b/>
                <w:bCs/>
                <w:color w:val="000000"/>
                <w:sz w:val="22"/>
              </w:rPr>
              <w:t>määrärahat YHTEENSÄ</w:t>
            </w:r>
            <w:r w:rsidRPr="00274E0D">
              <w:rPr>
                <w:b/>
                <w:color w:val="000000"/>
                <w:sz w:val="22"/>
              </w:rPr>
              <w:t xml:space="preserve"> </w:t>
            </w:r>
          </w:p>
        </w:tc>
        <w:tc>
          <w:tcPr>
            <w:tcW w:w="731" w:type="pct"/>
            <w:tcBorders>
              <w:top w:val="single" w:sz="8" w:space="0" w:color="auto"/>
              <w:left w:val="nil"/>
              <w:bottom w:val="single" w:sz="8" w:space="0" w:color="auto"/>
              <w:right w:val="single" w:sz="8" w:space="0" w:color="auto"/>
            </w:tcBorders>
            <w:vAlign w:val="center"/>
            <w:hideMark/>
          </w:tcPr>
          <w:p w14:paraId="53508946"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53AF1407" w14:textId="77777777" w:rsidR="0093115D" w:rsidRPr="00274E0D" w:rsidRDefault="0093115D" w:rsidP="00434248">
            <w:pPr>
              <w:spacing w:before="0" w:after="0"/>
              <w:jc w:val="right"/>
              <w:rPr>
                <w:b/>
                <w:bCs/>
                <w:noProof/>
              </w:rPr>
            </w:pPr>
            <w:r w:rsidRPr="00274E0D">
              <w:rPr>
                <w:b/>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7EA022F6" w14:textId="77777777" w:rsidR="0093115D" w:rsidRPr="00274E0D" w:rsidRDefault="0093115D" w:rsidP="00434248">
            <w:pPr>
              <w:spacing w:before="0" w:after="0"/>
              <w:jc w:val="right"/>
              <w:rPr>
                <w:b/>
                <w:bCs/>
                <w:noProof/>
              </w:rPr>
            </w:pPr>
            <w:r w:rsidRPr="00274E0D">
              <w:rPr>
                <w:b/>
              </w:rPr>
              <w:t>0,000</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606A3013" w14:textId="77777777" w:rsidR="0093115D" w:rsidRPr="00274E0D" w:rsidRDefault="0093115D" w:rsidP="00434248">
            <w:pPr>
              <w:spacing w:before="0" w:after="0"/>
              <w:jc w:val="right"/>
              <w:rPr>
                <w:b/>
                <w:bCs/>
                <w:noProof/>
              </w:rPr>
            </w:pPr>
            <w:r w:rsidRPr="00274E0D">
              <w:rPr>
                <w:b/>
              </w:rPr>
              <w:t>12,702</w:t>
            </w:r>
          </w:p>
        </w:tc>
        <w:tc>
          <w:tcPr>
            <w:tcW w:w="441" w:type="pct"/>
            <w:tcBorders>
              <w:top w:val="nil"/>
              <w:left w:val="nil"/>
              <w:bottom w:val="single" w:sz="8" w:space="0" w:color="auto"/>
              <w:right w:val="single" w:sz="8" w:space="0" w:color="auto"/>
            </w:tcBorders>
            <w:shd w:val="clear" w:color="auto" w:fill="D9D9D9" w:themeFill="background1" w:themeFillShade="D9"/>
            <w:vAlign w:val="center"/>
            <w:hideMark/>
          </w:tcPr>
          <w:p w14:paraId="64C33AB7" w14:textId="77777777" w:rsidR="0093115D" w:rsidRPr="00274E0D" w:rsidRDefault="0093115D" w:rsidP="00434248">
            <w:pPr>
              <w:spacing w:before="0" w:after="0"/>
              <w:jc w:val="right"/>
              <w:rPr>
                <w:b/>
                <w:bCs/>
                <w:noProof/>
              </w:rPr>
            </w:pPr>
            <w:r w:rsidRPr="00274E0D">
              <w:rPr>
                <w:b/>
              </w:rPr>
              <w:t>1 012,702</w:t>
            </w:r>
          </w:p>
        </w:tc>
        <w:tc>
          <w:tcPr>
            <w:tcW w:w="533" w:type="pct"/>
            <w:tcBorders>
              <w:top w:val="nil"/>
              <w:left w:val="nil"/>
              <w:bottom w:val="single" w:sz="8" w:space="0" w:color="auto"/>
              <w:right w:val="single" w:sz="8" w:space="0" w:color="auto"/>
            </w:tcBorders>
            <w:shd w:val="clear" w:color="auto" w:fill="D9D9D9" w:themeFill="background1" w:themeFillShade="D9"/>
            <w:vAlign w:val="center"/>
            <w:hideMark/>
          </w:tcPr>
          <w:p w14:paraId="30B07B50" w14:textId="77777777" w:rsidR="0093115D" w:rsidRPr="00274E0D" w:rsidRDefault="0093115D" w:rsidP="00434248">
            <w:pPr>
              <w:spacing w:before="0" w:after="0"/>
              <w:jc w:val="right"/>
              <w:rPr>
                <w:b/>
                <w:bCs/>
                <w:noProof/>
                <w:szCs w:val="24"/>
              </w:rPr>
            </w:pPr>
            <w:r w:rsidRPr="00274E0D">
              <w:rPr>
                <w:b/>
                <w:color w:val="000000" w:themeColor="text1"/>
              </w:rPr>
              <w:t>1 025,404</w:t>
            </w:r>
          </w:p>
        </w:tc>
      </w:tr>
    </w:tbl>
    <w:p w14:paraId="6B1F9A32" w14:textId="77777777" w:rsidR="0093115D" w:rsidRPr="00274E0D" w:rsidRDefault="0093115D" w:rsidP="00656AA8">
      <w:pPr>
        <w:pStyle w:val="ManualHeading3"/>
        <w:rPr>
          <w:noProof/>
        </w:rPr>
      </w:pPr>
      <w:bookmarkStart w:id="166" w:name="_Toc160804596"/>
      <w:bookmarkStart w:id="167" w:name="_Toc167220288"/>
      <w:bookmarkStart w:id="168" w:name="_Toc177549021"/>
      <w:r w:rsidRPr="00274E0D">
        <w:t>3.2.1.2.</w:t>
      </w:r>
      <w:r w:rsidRPr="00274E0D">
        <w:tab/>
        <w:t>Ulkoisista käyttötarkoitukseensa sidotuista tuloista peräisin olevat määrärahat</w:t>
      </w:r>
      <w:bookmarkEnd w:id="166"/>
      <w:bookmarkEnd w:id="167"/>
      <w:bookmarkEnd w:id="168"/>
    </w:p>
    <w:p w14:paraId="366B53E5" w14:textId="77777777" w:rsidR="0093115D" w:rsidRPr="00274E0D" w:rsidRDefault="0093115D" w:rsidP="00656AA8">
      <w:pPr>
        <w:jc w:val="right"/>
        <w:rPr>
          <w:noProof/>
          <w:sz w:val="18"/>
          <w:szCs w:val="18"/>
        </w:rPr>
      </w:pPr>
      <w:r w:rsidRPr="00274E0D">
        <w:rPr>
          <w:sz w:val="18"/>
        </w:rPr>
        <w:t>milj. euroa (kolmen desimaalin tarkkuudella)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93115D" w:rsidRPr="00274E0D" w14:paraId="7F8D7D6C" w14:textId="77777777" w:rsidTr="00434248">
        <w:trPr>
          <w:jc w:val="center"/>
        </w:trPr>
        <w:tc>
          <w:tcPr>
            <w:tcW w:w="1739" w:type="pct"/>
            <w:shd w:val="thinDiagStripe" w:color="C0C0C0" w:fill="auto"/>
            <w:vAlign w:val="center"/>
          </w:tcPr>
          <w:p w14:paraId="4E7E490A" w14:textId="77777777" w:rsidR="0093115D" w:rsidRPr="00274E0D" w:rsidRDefault="0093115D" w:rsidP="00434248">
            <w:pPr>
              <w:spacing w:before="60" w:after="60"/>
              <w:jc w:val="center"/>
              <w:rPr>
                <w:b/>
                <w:noProof/>
              </w:rPr>
            </w:pPr>
            <w:r w:rsidRPr="00274E0D">
              <w:rPr>
                <w:b/>
                <w:sz w:val="22"/>
              </w:rPr>
              <w:t xml:space="preserve">Monivuotisen rahoituskehyksen otsake </w:t>
            </w:r>
          </w:p>
        </w:tc>
        <w:tc>
          <w:tcPr>
            <w:tcW w:w="396" w:type="pct"/>
            <w:vAlign w:val="center"/>
          </w:tcPr>
          <w:p w14:paraId="5DC4DE18" w14:textId="77777777" w:rsidR="0093115D" w:rsidRPr="00274E0D" w:rsidRDefault="0093115D" w:rsidP="00434248">
            <w:pPr>
              <w:spacing w:before="60" w:after="60"/>
              <w:jc w:val="center"/>
              <w:rPr>
                <w:noProof/>
              </w:rPr>
            </w:pPr>
            <w:r w:rsidRPr="00274E0D">
              <w:rPr>
                <w:sz w:val="22"/>
              </w:rPr>
              <w:t>Numero</w:t>
            </w:r>
          </w:p>
        </w:tc>
        <w:tc>
          <w:tcPr>
            <w:tcW w:w="2865" w:type="pct"/>
            <w:vAlign w:val="center"/>
          </w:tcPr>
          <w:p w14:paraId="64893A46" w14:textId="77777777" w:rsidR="0093115D" w:rsidRPr="00274E0D" w:rsidRDefault="0093115D" w:rsidP="00434248">
            <w:pPr>
              <w:spacing w:before="60" w:after="60"/>
              <w:rPr>
                <w:noProof/>
              </w:rPr>
            </w:pPr>
          </w:p>
        </w:tc>
      </w:tr>
    </w:tbl>
    <w:p w14:paraId="72118AF2" w14:textId="77777777" w:rsidR="0093115D" w:rsidRPr="00274E0D" w:rsidRDefault="0093115D" w:rsidP="00656AA8">
      <w:pPr>
        <w:rPr>
          <w:noProof/>
          <w:sz w:val="16"/>
        </w:rPr>
      </w:pPr>
    </w:p>
    <w:tbl>
      <w:tblPr>
        <w:tblW w:w="5000" w:type="pct"/>
        <w:tblLook w:val="04A0" w:firstRow="1" w:lastRow="0" w:firstColumn="1" w:lastColumn="0" w:noHBand="0" w:noVBand="1"/>
      </w:tblPr>
      <w:tblGrid>
        <w:gridCol w:w="4035"/>
        <w:gridCol w:w="292"/>
        <w:gridCol w:w="1212"/>
        <w:gridCol w:w="128"/>
        <w:gridCol w:w="1038"/>
        <w:gridCol w:w="245"/>
        <w:gridCol w:w="796"/>
        <w:gridCol w:w="614"/>
        <w:gridCol w:w="629"/>
        <w:gridCol w:w="782"/>
        <w:gridCol w:w="461"/>
        <w:gridCol w:w="941"/>
        <w:gridCol w:w="9"/>
        <w:gridCol w:w="293"/>
        <w:gridCol w:w="1101"/>
        <w:gridCol w:w="142"/>
        <w:gridCol w:w="1502"/>
      </w:tblGrid>
      <w:tr w:rsidR="0093115D" w:rsidRPr="00274E0D" w14:paraId="47E1AB7F" w14:textId="77777777" w:rsidTr="00434248">
        <w:trPr>
          <w:trHeight w:val="420"/>
        </w:trPr>
        <w:tc>
          <w:tcPr>
            <w:tcW w:w="2444" w:type="pct"/>
            <w:gridSpan w:val="6"/>
            <w:vMerge w:val="restart"/>
            <w:tcBorders>
              <w:top w:val="single" w:sz="8" w:space="0" w:color="auto"/>
              <w:left w:val="single" w:sz="8" w:space="0" w:color="auto"/>
              <w:bottom w:val="single" w:sz="8" w:space="0" w:color="auto"/>
              <w:right w:val="single" w:sz="8" w:space="0" w:color="auto"/>
            </w:tcBorders>
            <w:vAlign w:val="center"/>
            <w:hideMark/>
          </w:tcPr>
          <w:p w14:paraId="260C69B7" w14:textId="77777777" w:rsidR="0093115D" w:rsidRPr="00274E0D" w:rsidRDefault="0093115D" w:rsidP="00434248">
            <w:pPr>
              <w:spacing w:before="0" w:after="0"/>
              <w:jc w:val="center"/>
              <w:rPr>
                <w:noProof/>
                <w:color w:val="000000"/>
                <w:sz w:val="22"/>
              </w:rPr>
            </w:pPr>
            <w:r w:rsidRPr="00274E0D">
              <w:rPr>
                <w:color w:val="000000"/>
                <w:sz w:val="22"/>
              </w:rPr>
              <w:t>Pääosasto: &lt;</w:t>
            </w:r>
            <w:proofErr w:type="gramStart"/>
            <w:r w:rsidRPr="00274E0D">
              <w:rPr>
                <w:color w:val="000000"/>
                <w:sz w:val="22"/>
              </w:rPr>
              <w:t>…….</w:t>
            </w:r>
            <w:proofErr w:type="gramEnd"/>
            <w:r w:rsidRPr="00274E0D">
              <w:rPr>
                <w:color w:val="000000"/>
                <w:sz w:val="22"/>
              </w:rPr>
              <w:t>&gt;</w:t>
            </w:r>
          </w:p>
        </w:tc>
        <w:tc>
          <w:tcPr>
            <w:tcW w:w="496" w:type="pct"/>
            <w:gridSpan w:val="2"/>
            <w:tcBorders>
              <w:top w:val="single" w:sz="8" w:space="0" w:color="auto"/>
              <w:left w:val="nil"/>
              <w:bottom w:val="single" w:sz="8" w:space="0" w:color="auto"/>
              <w:right w:val="single" w:sz="8" w:space="0" w:color="auto"/>
            </w:tcBorders>
            <w:vAlign w:val="center"/>
            <w:hideMark/>
          </w:tcPr>
          <w:p w14:paraId="45405870"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6" w:type="pct"/>
            <w:gridSpan w:val="2"/>
            <w:tcBorders>
              <w:top w:val="single" w:sz="8" w:space="0" w:color="auto"/>
              <w:left w:val="nil"/>
              <w:bottom w:val="single" w:sz="8" w:space="0" w:color="auto"/>
              <w:right w:val="single" w:sz="8" w:space="0" w:color="auto"/>
            </w:tcBorders>
            <w:vAlign w:val="center"/>
            <w:hideMark/>
          </w:tcPr>
          <w:p w14:paraId="508D9B0D"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6" w:type="pct"/>
            <w:gridSpan w:val="3"/>
            <w:tcBorders>
              <w:top w:val="single" w:sz="8" w:space="0" w:color="auto"/>
              <w:left w:val="nil"/>
              <w:bottom w:val="single" w:sz="8" w:space="0" w:color="auto"/>
              <w:right w:val="single" w:sz="8" w:space="0" w:color="auto"/>
            </w:tcBorders>
            <w:vAlign w:val="center"/>
            <w:hideMark/>
          </w:tcPr>
          <w:p w14:paraId="63821DC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78" w:type="pct"/>
            <w:gridSpan w:val="2"/>
            <w:tcBorders>
              <w:top w:val="single" w:sz="8" w:space="0" w:color="auto"/>
              <w:left w:val="nil"/>
              <w:bottom w:val="single" w:sz="8" w:space="0" w:color="auto"/>
              <w:right w:val="single" w:sz="8" w:space="0" w:color="auto"/>
            </w:tcBorders>
            <w:vAlign w:val="center"/>
            <w:hideMark/>
          </w:tcPr>
          <w:p w14:paraId="11BE711C"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90"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5205E9A8"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12AEB716" w14:textId="77777777" w:rsidTr="00434248">
        <w:trPr>
          <w:trHeight w:val="288"/>
        </w:trPr>
        <w:tc>
          <w:tcPr>
            <w:tcW w:w="2444" w:type="pct"/>
            <w:gridSpan w:val="6"/>
            <w:vMerge/>
            <w:tcBorders>
              <w:top w:val="single" w:sz="8" w:space="0" w:color="auto"/>
              <w:left w:val="single" w:sz="8" w:space="0" w:color="auto"/>
              <w:bottom w:val="single" w:sz="8" w:space="0" w:color="auto"/>
              <w:right w:val="single" w:sz="8" w:space="0" w:color="auto"/>
            </w:tcBorders>
            <w:vAlign w:val="center"/>
            <w:hideMark/>
          </w:tcPr>
          <w:p w14:paraId="377CFC55" w14:textId="77777777" w:rsidR="0093115D" w:rsidRPr="00274E0D" w:rsidRDefault="0093115D" w:rsidP="00434248">
            <w:pPr>
              <w:spacing w:before="0" w:after="0"/>
              <w:jc w:val="left"/>
              <w:rPr>
                <w:noProof/>
                <w:color w:val="000000"/>
                <w:sz w:val="22"/>
                <w:lang w:eastAsia="en-IE"/>
              </w:rPr>
            </w:pPr>
          </w:p>
        </w:tc>
        <w:tc>
          <w:tcPr>
            <w:tcW w:w="496" w:type="pct"/>
            <w:gridSpan w:val="2"/>
            <w:tcBorders>
              <w:top w:val="nil"/>
              <w:left w:val="nil"/>
              <w:bottom w:val="single" w:sz="8" w:space="0" w:color="auto"/>
              <w:right w:val="single" w:sz="8" w:space="0" w:color="auto"/>
            </w:tcBorders>
            <w:vAlign w:val="center"/>
            <w:hideMark/>
          </w:tcPr>
          <w:p w14:paraId="50E91082"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96" w:type="pct"/>
            <w:gridSpan w:val="2"/>
            <w:tcBorders>
              <w:top w:val="nil"/>
              <w:left w:val="nil"/>
              <w:bottom w:val="single" w:sz="8" w:space="0" w:color="auto"/>
              <w:right w:val="single" w:sz="8" w:space="0" w:color="auto"/>
            </w:tcBorders>
            <w:vAlign w:val="center"/>
            <w:hideMark/>
          </w:tcPr>
          <w:p w14:paraId="182B3DF2"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96" w:type="pct"/>
            <w:gridSpan w:val="3"/>
            <w:tcBorders>
              <w:top w:val="nil"/>
              <w:left w:val="nil"/>
              <w:bottom w:val="single" w:sz="8" w:space="0" w:color="auto"/>
              <w:right w:val="single" w:sz="8" w:space="0" w:color="auto"/>
            </w:tcBorders>
            <w:vAlign w:val="center"/>
            <w:hideMark/>
          </w:tcPr>
          <w:p w14:paraId="4DF423E9"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78" w:type="pct"/>
            <w:gridSpan w:val="2"/>
            <w:tcBorders>
              <w:top w:val="nil"/>
              <w:left w:val="nil"/>
              <w:bottom w:val="single" w:sz="8" w:space="0" w:color="auto"/>
              <w:right w:val="single" w:sz="8" w:space="0" w:color="auto"/>
            </w:tcBorders>
            <w:vAlign w:val="center"/>
            <w:hideMark/>
          </w:tcPr>
          <w:p w14:paraId="2A1287EC"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90" w:type="pct"/>
            <w:gridSpan w:val="2"/>
            <w:vMerge/>
            <w:tcBorders>
              <w:top w:val="single" w:sz="8" w:space="0" w:color="auto"/>
              <w:left w:val="single" w:sz="8" w:space="0" w:color="auto"/>
              <w:bottom w:val="single" w:sz="8" w:space="0" w:color="auto"/>
              <w:right w:val="single" w:sz="8" w:space="0" w:color="auto"/>
            </w:tcBorders>
            <w:vAlign w:val="center"/>
            <w:hideMark/>
          </w:tcPr>
          <w:p w14:paraId="23F54041"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02E5AA31" w14:textId="77777777" w:rsidTr="00434248">
        <w:trPr>
          <w:trHeight w:val="300"/>
        </w:trPr>
        <w:tc>
          <w:tcPr>
            <w:tcW w:w="5000" w:type="pct"/>
            <w:gridSpan w:val="17"/>
            <w:tcBorders>
              <w:top w:val="single" w:sz="8" w:space="0" w:color="auto"/>
              <w:left w:val="single" w:sz="8" w:space="0" w:color="auto"/>
              <w:bottom w:val="single" w:sz="8" w:space="0" w:color="auto"/>
              <w:right w:val="single" w:sz="8" w:space="0" w:color="auto"/>
            </w:tcBorders>
            <w:vAlign w:val="center"/>
            <w:hideMark/>
          </w:tcPr>
          <w:p w14:paraId="53B286AE" w14:textId="77777777" w:rsidR="0093115D" w:rsidRPr="00274E0D" w:rsidRDefault="0093115D" w:rsidP="00434248">
            <w:pPr>
              <w:spacing w:before="0" w:after="0"/>
              <w:jc w:val="left"/>
              <w:rPr>
                <w:noProof/>
                <w:color w:val="000000"/>
                <w:sz w:val="21"/>
                <w:szCs w:val="21"/>
              </w:rPr>
            </w:pPr>
            <w:r w:rsidRPr="00274E0D">
              <w:rPr>
                <w:color w:val="000000"/>
                <w:sz w:val="21"/>
              </w:rPr>
              <w:t xml:space="preserve">Toimintamäärärahat </w:t>
            </w:r>
          </w:p>
        </w:tc>
      </w:tr>
      <w:tr w:rsidR="0093115D" w:rsidRPr="00274E0D" w14:paraId="29EE6959" w14:textId="77777777" w:rsidTr="00434248">
        <w:trPr>
          <w:trHeight w:val="288"/>
        </w:trPr>
        <w:tc>
          <w:tcPr>
            <w:tcW w:w="1419" w:type="pct"/>
            <w:vMerge w:val="restart"/>
            <w:tcBorders>
              <w:top w:val="nil"/>
              <w:left w:val="single" w:sz="8" w:space="0" w:color="auto"/>
              <w:bottom w:val="single" w:sz="8" w:space="0" w:color="auto"/>
              <w:right w:val="single" w:sz="8" w:space="0" w:color="auto"/>
            </w:tcBorders>
            <w:noWrap/>
            <w:vAlign w:val="center"/>
            <w:hideMark/>
          </w:tcPr>
          <w:p w14:paraId="3FBEB945" w14:textId="77777777" w:rsidR="0093115D" w:rsidRPr="00274E0D" w:rsidRDefault="0093115D" w:rsidP="00434248">
            <w:pPr>
              <w:spacing w:before="0" w:after="0"/>
              <w:jc w:val="left"/>
              <w:rPr>
                <w:noProof/>
                <w:color w:val="000000"/>
                <w:sz w:val="22"/>
              </w:rPr>
            </w:pPr>
            <w:r w:rsidRPr="00274E0D">
              <w:rPr>
                <w:color w:val="000000"/>
                <w:sz w:val="22"/>
              </w:rPr>
              <w:t>Budjettikohta</w:t>
            </w:r>
          </w:p>
        </w:tc>
        <w:tc>
          <w:tcPr>
            <w:tcW w:w="529" w:type="pct"/>
            <w:gridSpan w:val="2"/>
            <w:tcBorders>
              <w:top w:val="nil"/>
              <w:left w:val="nil"/>
              <w:bottom w:val="single" w:sz="8" w:space="0" w:color="auto"/>
              <w:right w:val="single" w:sz="8" w:space="0" w:color="auto"/>
            </w:tcBorders>
            <w:vAlign w:val="center"/>
            <w:hideMark/>
          </w:tcPr>
          <w:p w14:paraId="12D67100"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47B9CAD1" w14:textId="77777777" w:rsidR="0093115D" w:rsidRPr="00274E0D" w:rsidRDefault="0093115D" w:rsidP="00434248">
            <w:pPr>
              <w:spacing w:before="0" w:after="0"/>
              <w:jc w:val="center"/>
              <w:rPr>
                <w:noProof/>
                <w:color w:val="000000"/>
                <w:sz w:val="14"/>
                <w:szCs w:val="14"/>
              </w:rPr>
            </w:pPr>
            <w:r w:rsidRPr="00274E0D">
              <w:rPr>
                <w:color w:val="000000"/>
                <w:sz w:val="14"/>
              </w:rPr>
              <w:t>(1a)</w:t>
            </w:r>
          </w:p>
        </w:tc>
        <w:tc>
          <w:tcPr>
            <w:tcW w:w="496" w:type="pct"/>
            <w:gridSpan w:val="2"/>
            <w:tcBorders>
              <w:top w:val="nil"/>
              <w:left w:val="nil"/>
              <w:bottom w:val="single" w:sz="8" w:space="0" w:color="auto"/>
              <w:right w:val="single" w:sz="8" w:space="0" w:color="auto"/>
            </w:tcBorders>
            <w:vAlign w:val="center"/>
            <w:hideMark/>
          </w:tcPr>
          <w:p w14:paraId="3DA68825"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38C1D393"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7EDE89F6"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A5FA139"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1B8CF1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56AF308" w14:textId="77777777" w:rsidTr="00434248">
        <w:trPr>
          <w:trHeight w:val="315"/>
        </w:trPr>
        <w:tc>
          <w:tcPr>
            <w:tcW w:w="1419" w:type="pct"/>
            <w:vMerge/>
            <w:tcBorders>
              <w:top w:val="nil"/>
              <w:left w:val="single" w:sz="8" w:space="0" w:color="auto"/>
              <w:bottom w:val="single" w:sz="8" w:space="0" w:color="auto"/>
              <w:right w:val="single" w:sz="8" w:space="0" w:color="auto"/>
            </w:tcBorders>
            <w:vAlign w:val="center"/>
            <w:hideMark/>
          </w:tcPr>
          <w:p w14:paraId="3A4C3EB2" w14:textId="77777777" w:rsidR="0093115D" w:rsidRPr="00274E0D" w:rsidRDefault="0093115D" w:rsidP="00434248">
            <w:pPr>
              <w:spacing w:before="0" w:after="0"/>
              <w:jc w:val="left"/>
              <w:rPr>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1A0E0876"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27674985" w14:textId="77777777" w:rsidR="0093115D" w:rsidRPr="00274E0D" w:rsidRDefault="0093115D" w:rsidP="00434248">
            <w:pPr>
              <w:spacing w:before="0" w:after="0"/>
              <w:jc w:val="center"/>
              <w:rPr>
                <w:noProof/>
                <w:color w:val="000000"/>
                <w:sz w:val="14"/>
                <w:szCs w:val="14"/>
              </w:rPr>
            </w:pPr>
            <w:r w:rsidRPr="00274E0D">
              <w:rPr>
                <w:color w:val="000000"/>
                <w:sz w:val="14"/>
              </w:rPr>
              <w:t>(2a)</w:t>
            </w:r>
          </w:p>
        </w:tc>
        <w:tc>
          <w:tcPr>
            <w:tcW w:w="496" w:type="pct"/>
            <w:gridSpan w:val="2"/>
            <w:tcBorders>
              <w:top w:val="nil"/>
              <w:left w:val="nil"/>
              <w:bottom w:val="single" w:sz="8" w:space="0" w:color="auto"/>
              <w:right w:val="single" w:sz="8" w:space="0" w:color="auto"/>
            </w:tcBorders>
            <w:vAlign w:val="center"/>
            <w:hideMark/>
          </w:tcPr>
          <w:p w14:paraId="407C4510"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7A72572B"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F86FD17"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48A8278F"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602685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2A03BF1" w14:textId="77777777" w:rsidTr="00434248">
        <w:trPr>
          <w:trHeight w:val="315"/>
        </w:trPr>
        <w:tc>
          <w:tcPr>
            <w:tcW w:w="1419" w:type="pct"/>
            <w:vMerge w:val="restart"/>
            <w:tcBorders>
              <w:top w:val="nil"/>
              <w:left w:val="single" w:sz="8" w:space="0" w:color="auto"/>
              <w:bottom w:val="single" w:sz="8" w:space="0" w:color="auto"/>
              <w:right w:val="single" w:sz="8" w:space="0" w:color="auto"/>
            </w:tcBorders>
            <w:vAlign w:val="center"/>
            <w:hideMark/>
          </w:tcPr>
          <w:p w14:paraId="02FA50C1" w14:textId="77777777" w:rsidR="0093115D" w:rsidRPr="00274E0D" w:rsidRDefault="0093115D" w:rsidP="00434248">
            <w:pPr>
              <w:spacing w:before="0" w:after="0"/>
              <w:rPr>
                <w:noProof/>
                <w:color w:val="000000"/>
                <w:sz w:val="20"/>
                <w:szCs w:val="20"/>
              </w:rPr>
            </w:pPr>
            <w:r w:rsidRPr="00274E0D">
              <w:rPr>
                <w:color w:val="000000"/>
                <w:sz w:val="20"/>
              </w:rPr>
              <w:t>Budjettikohta</w:t>
            </w:r>
          </w:p>
        </w:tc>
        <w:tc>
          <w:tcPr>
            <w:tcW w:w="529" w:type="pct"/>
            <w:gridSpan w:val="2"/>
            <w:tcBorders>
              <w:top w:val="nil"/>
              <w:left w:val="nil"/>
              <w:bottom w:val="single" w:sz="8" w:space="0" w:color="auto"/>
              <w:right w:val="single" w:sz="8" w:space="0" w:color="auto"/>
            </w:tcBorders>
            <w:vAlign w:val="center"/>
            <w:hideMark/>
          </w:tcPr>
          <w:p w14:paraId="57F89D3B"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77B4C536" w14:textId="77777777" w:rsidR="0093115D" w:rsidRPr="00274E0D" w:rsidRDefault="0093115D" w:rsidP="00434248">
            <w:pPr>
              <w:spacing w:before="0" w:after="0"/>
              <w:jc w:val="center"/>
              <w:rPr>
                <w:noProof/>
                <w:color w:val="000000"/>
                <w:sz w:val="14"/>
                <w:szCs w:val="14"/>
              </w:rPr>
            </w:pPr>
            <w:r w:rsidRPr="00274E0D">
              <w:rPr>
                <w:color w:val="000000"/>
                <w:sz w:val="14"/>
              </w:rPr>
              <w:t>(1b)</w:t>
            </w:r>
          </w:p>
        </w:tc>
        <w:tc>
          <w:tcPr>
            <w:tcW w:w="496" w:type="pct"/>
            <w:gridSpan w:val="2"/>
            <w:tcBorders>
              <w:top w:val="nil"/>
              <w:left w:val="nil"/>
              <w:bottom w:val="single" w:sz="8" w:space="0" w:color="auto"/>
              <w:right w:val="single" w:sz="8" w:space="0" w:color="auto"/>
            </w:tcBorders>
            <w:vAlign w:val="center"/>
            <w:hideMark/>
          </w:tcPr>
          <w:p w14:paraId="6CFEA538"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0015583F"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4DE728F3"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381AD7BC"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78D30629"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E62FF7B" w14:textId="77777777" w:rsidTr="00434248">
        <w:trPr>
          <w:trHeight w:val="315"/>
        </w:trPr>
        <w:tc>
          <w:tcPr>
            <w:tcW w:w="1419" w:type="pct"/>
            <w:vMerge/>
            <w:tcBorders>
              <w:top w:val="nil"/>
              <w:left w:val="single" w:sz="8" w:space="0" w:color="auto"/>
              <w:bottom w:val="single" w:sz="8" w:space="0" w:color="auto"/>
              <w:right w:val="single" w:sz="8" w:space="0" w:color="auto"/>
            </w:tcBorders>
            <w:vAlign w:val="center"/>
            <w:hideMark/>
          </w:tcPr>
          <w:p w14:paraId="68287FDD" w14:textId="77777777" w:rsidR="0093115D" w:rsidRPr="00274E0D" w:rsidRDefault="0093115D" w:rsidP="00434248">
            <w:pPr>
              <w:spacing w:before="0" w:after="0"/>
              <w:jc w:val="left"/>
              <w:rPr>
                <w:noProof/>
                <w:color w:val="000000"/>
                <w:sz w:val="20"/>
                <w:szCs w:val="20"/>
                <w:lang w:eastAsia="en-IE"/>
              </w:rPr>
            </w:pPr>
          </w:p>
        </w:tc>
        <w:tc>
          <w:tcPr>
            <w:tcW w:w="529" w:type="pct"/>
            <w:gridSpan w:val="2"/>
            <w:tcBorders>
              <w:top w:val="nil"/>
              <w:left w:val="nil"/>
              <w:bottom w:val="single" w:sz="8" w:space="0" w:color="auto"/>
              <w:right w:val="single" w:sz="8" w:space="0" w:color="auto"/>
            </w:tcBorders>
            <w:vAlign w:val="center"/>
            <w:hideMark/>
          </w:tcPr>
          <w:p w14:paraId="74BE3007"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3F456837" w14:textId="77777777" w:rsidR="0093115D" w:rsidRPr="00274E0D" w:rsidRDefault="0093115D" w:rsidP="00434248">
            <w:pPr>
              <w:spacing w:before="0" w:after="0"/>
              <w:jc w:val="center"/>
              <w:rPr>
                <w:noProof/>
                <w:color w:val="000000"/>
                <w:sz w:val="14"/>
                <w:szCs w:val="14"/>
              </w:rPr>
            </w:pPr>
            <w:r w:rsidRPr="00274E0D">
              <w:rPr>
                <w:color w:val="000000"/>
                <w:sz w:val="14"/>
              </w:rPr>
              <w:t>(2b)</w:t>
            </w:r>
          </w:p>
        </w:tc>
        <w:tc>
          <w:tcPr>
            <w:tcW w:w="496" w:type="pct"/>
            <w:gridSpan w:val="2"/>
            <w:tcBorders>
              <w:top w:val="nil"/>
              <w:left w:val="nil"/>
              <w:bottom w:val="single" w:sz="8" w:space="0" w:color="auto"/>
              <w:right w:val="single" w:sz="8" w:space="0" w:color="auto"/>
            </w:tcBorders>
            <w:vAlign w:val="center"/>
            <w:hideMark/>
          </w:tcPr>
          <w:p w14:paraId="64BBE091"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16A30BAC"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080375AB"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07C5CCBC" w14:textId="77777777" w:rsidR="0093115D" w:rsidRPr="00274E0D" w:rsidRDefault="0093115D" w:rsidP="00434248">
            <w:pPr>
              <w:spacing w:before="0" w:after="0"/>
              <w:jc w:val="right"/>
              <w:rPr>
                <w:noProof/>
                <w:color w:val="000000"/>
                <w:sz w:val="20"/>
                <w:szCs w:val="20"/>
              </w:rPr>
            </w:pPr>
            <w:r w:rsidRPr="00274E0D">
              <w:rPr>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4A4BF0D5"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110818DE" w14:textId="77777777" w:rsidTr="00434248">
        <w:trPr>
          <w:trHeight w:val="288"/>
        </w:trPr>
        <w:tc>
          <w:tcPr>
            <w:tcW w:w="5000" w:type="pct"/>
            <w:gridSpan w:val="17"/>
            <w:tcBorders>
              <w:top w:val="single" w:sz="8" w:space="0" w:color="auto"/>
              <w:left w:val="single" w:sz="8" w:space="0" w:color="auto"/>
              <w:bottom w:val="single" w:sz="8" w:space="0" w:color="auto"/>
              <w:right w:val="single" w:sz="8" w:space="0" w:color="auto"/>
            </w:tcBorders>
            <w:noWrap/>
            <w:vAlign w:val="bottom"/>
            <w:hideMark/>
          </w:tcPr>
          <w:p w14:paraId="16F0054D" w14:textId="77777777" w:rsidR="0093115D" w:rsidRPr="00274E0D" w:rsidRDefault="0093115D" w:rsidP="00434248">
            <w:pPr>
              <w:spacing w:before="0" w:after="0"/>
              <w:jc w:val="left"/>
              <w:rPr>
                <w:noProof/>
                <w:color w:val="000000"/>
                <w:sz w:val="22"/>
              </w:rPr>
            </w:pPr>
            <w:r w:rsidRPr="00274E0D">
              <w:rPr>
                <w:color w:val="000000"/>
                <w:sz w:val="22"/>
              </w:rPr>
              <w:t>Tiettyjen ohjelmien määrärahoista katettavat hallintomäärärahat</w:t>
            </w:r>
            <w:r w:rsidRPr="00274E0D">
              <w:t xml:space="preserve"> </w:t>
            </w:r>
          </w:p>
        </w:tc>
      </w:tr>
      <w:tr w:rsidR="0093115D" w:rsidRPr="00274E0D" w14:paraId="502AB0E9" w14:textId="77777777" w:rsidTr="00434248">
        <w:trPr>
          <w:trHeight w:val="288"/>
        </w:trPr>
        <w:tc>
          <w:tcPr>
            <w:tcW w:w="1419" w:type="pct"/>
            <w:tcBorders>
              <w:top w:val="nil"/>
              <w:left w:val="single" w:sz="8" w:space="0" w:color="auto"/>
              <w:bottom w:val="single" w:sz="8" w:space="0" w:color="auto"/>
              <w:right w:val="single" w:sz="8" w:space="0" w:color="auto"/>
            </w:tcBorders>
            <w:vAlign w:val="center"/>
            <w:hideMark/>
          </w:tcPr>
          <w:p w14:paraId="7EAEB178" w14:textId="77777777" w:rsidR="0093115D" w:rsidRPr="00274E0D" w:rsidRDefault="0093115D" w:rsidP="00434248">
            <w:pPr>
              <w:spacing w:before="0" w:after="0"/>
              <w:rPr>
                <w:noProof/>
                <w:color w:val="000000"/>
                <w:sz w:val="20"/>
                <w:szCs w:val="20"/>
              </w:rPr>
            </w:pPr>
            <w:r w:rsidRPr="00274E0D">
              <w:rPr>
                <w:color w:val="000000"/>
                <w:sz w:val="20"/>
              </w:rPr>
              <w:t>Budjettikohta</w:t>
            </w:r>
          </w:p>
        </w:tc>
        <w:tc>
          <w:tcPr>
            <w:tcW w:w="529" w:type="pct"/>
            <w:gridSpan w:val="2"/>
            <w:tcBorders>
              <w:top w:val="nil"/>
              <w:left w:val="nil"/>
              <w:bottom w:val="single" w:sz="8" w:space="0" w:color="auto"/>
              <w:right w:val="single" w:sz="8" w:space="0" w:color="auto"/>
            </w:tcBorders>
            <w:vAlign w:val="center"/>
            <w:hideMark/>
          </w:tcPr>
          <w:p w14:paraId="0EDB4AF9" w14:textId="77777777" w:rsidR="0093115D" w:rsidRPr="00274E0D" w:rsidRDefault="0093115D" w:rsidP="00434248">
            <w:pPr>
              <w:spacing w:before="0" w:after="0"/>
              <w:jc w:val="right"/>
              <w:rPr>
                <w:noProof/>
                <w:color w:val="000000"/>
                <w:sz w:val="18"/>
                <w:szCs w:val="18"/>
              </w:rPr>
            </w:pPr>
            <w:r w:rsidRPr="00274E0D">
              <w:rPr>
                <w:color w:val="000000"/>
                <w:sz w:val="18"/>
              </w:rPr>
              <w:t xml:space="preserve"> </w:t>
            </w:r>
          </w:p>
        </w:tc>
        <w:tc>
          <w:tcPr>
            <w:tcW w:w="496" w:type="pct"/>
            <w:gridSpan w:val="3"/>
            <w:tcBorders>
              <w:top w:val="single" w:sz="8" w:space="0" w:color="auto"/>
              <w:left w:val="nil"/>
              <w:bottom w:val="single" w:sz="8" w:space="0" w:color="auto"/>
              <w:right w:val="single" w:sz="8" w:space="0" w:color="auto"/>
            </w:tcBorders>
            <w:vAlign w:val="center"/>
            <w:hideMark/>
          </w:tcPr>
          <w:p w14:paraId="0DD7E809" w14:textId="77777777" w:rsidR="0093115D" w:rsidRPr="00274E0D" w:rsidRDefault="0093115D" w:rsidP="00434248">
            <w:pPr>
              <w:spacing w:before="0" w:after="0"/>
              <w:jc w:val="center"/>
              <w:rPr>
                <w:noProof/>
                <w:color w:val="000000"/>
                <w:sz w:val="14"/>
                <w:szCs w:val="14"/>
              </w:rPr>
            </w:pPr>
            <w:r w:rsidRPr="00274E0D">
              <w:rPr>
                <w:color w:val="000000"/>
                <w:sz w:val="14"/>
              </w:rPr>
              <w:t>(3)</w:t>
            </w:r>
          </w:p>
        </w:tc>
        <w:tc>
          <w:tcPr>
            <w:tcW w:w="496" w:type="pct"/>
            <w:gridSpan w:val="2"/>
            <w:tcBorders>
              <w:top w:val="nil"/>
              <w:left w:val="nil"/>
              <w:bottom w:val="single" w:sz="8" w:space="0" w:color="auto"/>
              <w:right w:val="single" w:sz="8" w:space="0" w:color="auto"/>
            </w:tcBorders>
            <w:vAlign w:val="center"/>
            <w:hideMark/>
          </w:tcPr>
          <w:p w14:paraId="2EED4FE0"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496" w:type="pct"/>
            <w:gridSpan w:val="2"/>
            <w:tcBorders>
              <w:top w:val="nil"/>
              <w:left w:val="nil"/>
              <w:bottom w:val="single" w:sz="8" w:space="0" w:color="auto"/>
              <w:right w:val="single" w:sz="8" w:space="0" w:color="auto"/>
            </w:tcBorders>
            <w:vAlign w:val="center"/>
            <w:hideMark/>
          </w:tcPr>
          <w:p w14:paraId="611E1D77"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496" w:type="pct"/>
            <w:gridSpan w:val="3"/>
            <w:tcBorders>
              <w:top w:val="nil"/>
              <w:left w:val="nil"/>
              <w:bottom w:val="single" w:sz="8" w:space="0" w:color="auto"/>
              <w:right w:val="single" w:sz="8" w:space="0" w:color="auto"/>
            </w:tcBorders>
            <w:vAlign w:val="center"/>
            <w:hideMark/>
          </w:tcPr>
          <w:p w14:paraId="5B5D36F2"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478" w:type="pct"/>
            <w:gridSpan w:val="2"/>
            <w:tcBorders>
              <w:top w:val="nil"/>
              <w:left w:val="nil"/>
              <w:bottom w:val="single" w:sz="8" w:space="0" w:color="auto"/>
              <w:right w:val="single" w:sz="8" w:space="0" w:color="auto"/>
            </w:tcBorders>
            <w:vAlign w:val="center"/>
            <w:hideMark/>
          </w:tcPr>
          <w:p w14:paraId="2211BE27" w14:textId="77777777" w:rsidR="0093115D" w:rsidRPr="00274E0D" w:rsidRDefault="0093115D" w:rsidP="00434248">
            <w:pPr>
              <w:spacing w:before="0" w:after="0"/>
              <w:jc w:val="right"/>
              <w:rPr>
                <w:b/>
                <w:bCs/>
                <w:noProof/>
                <w:color w:val="000000"/>
                <w:sz w:val="20"/>
                <w:szCs w:val="20"/>
              </w:rPr>
            </w:pPr>
            <w:r w:rsidRPr="00274E0D">
              <w:rPr>
                <w:b/>
                <w:color w:val="000000"/>
                <w:sz w:val="20"/>
              </w:rPr>
              <w:t xml:space="preserve"> </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1DB8A8A6"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2F227A67" w14:textId="77777777" w:rsidTr="00434248">
        <w:trPr>
          <w:trHeight w:val="288"/>
        </w:trPr>
        <w:tc>
          <w:tcPr>
            <w:tcW w:w="1419" w:type="pct"/>
            <w:vMerge w:val="restart"/>
            <w:tcBorders>
              <w:top w:val="nil"/>
              <w:left w:val="single" w:sz="8" w:space="0" w:color="auto"/>
              <w:right w:val="single" w:sz="8" w:space="0" w:color="auto"/>
            </w:tcBorders>
            <w:vAlign w:val="center"/>
            <w:hideMark/>
          </w:tcPr>
          <w:p w14:paraId="10D1B4DD" w14:textId="77777777" w:rsidR="0093115D" w:rsidRPr="00274E0D" w:rsidRDefault="0093115D" w:rsidP="00B45303">
            <w:pPr>
              <w:spacing w:before="0" w:after="0"/>
              <w:jc w:val="center"/>
              <w:rPr>
                <w:b/>
                <w:bCs/>
                <w:noProof/>
                <w:color w:val="000000"/>
                <w:sz w:val="22"/>
              </w:rPr>
            </w:pPr>
            <w:r w:rsidRPr="00274E0D">
              <w:rPr>
                <w:b/>
                <w:color w:val="000000"/>
                <w:sz w:val="22"/>
              </w:rPr>
              <w:lastRenderedPageBreak/>
              <w:t>Pääosaston</w:t>
            </w:r>
            <w:r w:rsidRPr="00274E0D">
              <w:rPr>
                <w:color w:val="000000"/>
                <w:sz w:val="22"/>
              </w:rPr>
              <w:t xml:space="preserve"> &lt;</w:t>
            </w:r>
            <w:proofErr w:type="gramStart"/>
            <w:r w:rsidRPr="00274E0D">
              <w:rPr>
                <w:color w:val="000000"/>
                <w:sz w:val="22"/>
              </w:rPr>
              <w:t>…….</w:t>
            </w:r>
            <w:proofErr w:type="gramEnd"/>
            <w:r w:rsidRPr="00274E0D">
              <w:rPr>
                <w:color w:val="000000"/>
                <w:sz w:val="22"/>
              </w:rPr>
              <w:t xml:space="preserve">&gt; </w:t>
            </w:r>
            <w:r w:rsidRPr="00274E0D">
              <w:rPr>
                <w:b/>
                <w:color w:val="000000"/>
                <w:sz w:val="22"/>
              </w:rPr>
              <w:t>määrärahat YHTEENSÄ</w:t>
            </w:r>
          </w:p>
        </w:tc>
        <w:tc>
          <w:tcPr>
            <w:tcW w:w="529" w:type="pct"/>
            <w:gridSpan w:val="2"/>
            <w:tcBorders>
              <w:top w:val="nil"/>
              <w:left w:val="nil"/>
              <w:bottom w:val="single" w:sz="8" w:space="0" w:color="auto"/>
              <w:right w:val="single" w:sz="8" w:space="0" w:color="auto"/>
            </w:tcBorders>
            <w:vAlign w:val="center"/>
            <w:hideMark/>
          </w:tcPr>
          <w:p w14:paraId="58142A12"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6" w:type="pct"/>
            <w:gridSpan w:val="3"/>
            <w:tcBorders>
              <w:top w:val="single" w:sz="8" w:space="0" w:color="auto"/>
              <w:left w:val="nil"/>
              <w:bottom w:val="single" w:sz="8" w:space="0" w:color="auto"/>
              <w:right w:val="single" w:sz="8" w:space="0" w:color="auto"/>
            </w:tcBorders>
            <w:vAlign w:val="center"/>
            <w:hideMark/>
          </w:tcPr>
          <w:p w14:paraId="189EDFB0" w14:textId="77777777" w:rsidR="0093115D" w:rsidRPr="00274E0D" w:rsidRDefault="0093115D" w:rsidP="00434248">
            <w:pPr>
              <w:spacing w:before="0" w:after="0"/>
              <w:jc w:val="center"/>
              <w:rPr>
                <w:noProof/>
                <w:color w:val="000000"/>
                <w:sz w:val="14"/>
                <w:szCs w:val="14"/>
              </w:rPr>
            </w:pPr>
            <w:r w:rsidRPr="00274E0D">
              <w:rPr>
                <w:color w:val="000000"/>
                <w:sz w:val="14"/>
              </w:rPr>
              <w:t>= 1a + 1b + 3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21F8330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49CAC0C7"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02526A56"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2EC6292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0324A033"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0A4473C6" w14:textId="77777777" w:rsidTr="00434248">
        <w:trPr>
          <w:trHeight w:val="288"/>
        </w:trPr>
        <w:tc>
          <w:tcPr>
            <w:tcW w:w="1419" w:type="pct"/>
            <w:vMerge/>
            <w:tcBorders>
              <w:left w:val="single" w:sz="8" w:space="0" w:color="auto"/>
              <w:bottom w:val="single" w:sz="8" w:space="0" w:color="auto"/>
              <w:right w:val="single" w:sz="8" w:space="0" w:color="auto"/>
            </w:tcBorders>
            <w:vAlign w:val="center"/>
            <w:hideMark/>
          </w:tcPr>
          <w:p w14:paraId="58BE8BE6" w14:textId="77777777" w:rsidR="0093115D" w:rsidRPr="00274E0D" w:rsidRDefault="0093115D" w:rsidP="00434248">
            <w:pPr>
              <w:spacing w:before="0" w:after="0"/>
              <w:jc w:val="center"/>
              <w:rPr>
                <w:b/>
                <w:bCs/>
                <w:noProof/>
                <w:color w:val="000000"/>
                <w:sz w:val="22"/>
                <w:lang w:eastAsia="en-IE"/>
              </w:rPr>
            </w:pPr>
          </w:p>
        </w:tc>
        <w:tc>
          <w:tcPr>
            <w:tcW w:w="529" w:type="pct"/>
            <w:gridSpan w:val="2"/>
            <w:tcBorders>
              <w:top w:val="nil"/>
              <w:left w:val="nil"/>
              <w:bottom w:val="single" w:sz="8" w:space="0" w:color="auto"/>
              <w:right w:val="single" w:sz="8" w:space="0" w:color="auto"/>
            </w:tcBorders>
            <w:vAlign w:val="center"/>
            <w:hideMark/>
          </w:tcPr>
          <w:p w14:paraId="2109D62A"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6" w:type="pct"/>
            <w:gridSpan w:val="3"/>
            <w:tcBorders>
              <w:top w:val="single" w:sz="8" w:space="0" w:color="auto"/>
              <w:left w:val="nil"/>
              <w:bottom w:val="single" w:sz="8" w:space="0" w:color="auto"/>
              <w:right w:val="single" w:sz="8" w:space="0" w:color="auto"/>
            </w:tcBorders>
            <w:vAlign w:val="center"/>
            <w:hideMark/>
          </w:tcPr>
          <w:p w14:paraId="1169DA69" w14:textId="77777777" w:rsidR="0093115D" w:rsidRPr="00274E0D" w:rsidRDefault="0093115D" w:rsidP="00434248">
            <w:pPr>
              <w:spacing w:before="0" w:after="0"/>
              <w:jc w:val="center"/>
              <w:rPr>
                <w:noProof/>
                <w:color w:val="000000"/>
                <w:sz w:val="14"/>
                <w:szCs w:val="14"/>
              </w:rPr>
            </w:pPr>
            <w:r w:rsidRPr="00274E0D">
              <w:rPr>
                <w:color w:val="000000"/>
                <w:sz w:val="14"/>
              </w:rPr>
              <w:t>= 2a + 2b + 3</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24EC96C2"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2"/>
            <w:tcBorders>
              <w:top w:val="nil"/>
              <w:left w:val="nil"/>
              <w:bottom w:val="single" w:sz="8" w:space="0" w:color="auto"/>
              <w:right w:val="single" w:sz="8" w:space="0" w:color="auto"/>
            </w:tcBorders>
            <w:shd w:val="clear" w:color="000000" w:fill="D9D9D9"/>
            <w:vAlign w:val="center"/>
            <w:hideMark/>
          </w:tcPr>
          <w:p w14:paraId="2360553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6" w:type="pct"/>
            <w:gridSpan w:val="3"/>
            <w:tcBorders>
              <w:top w:val="nil"/>
              <w:left w:val="nil"/>
              <w:bottom w:val="single" w:sz="8" w:space="0" w:color="auto"/>
              <w:right w:val="single" w:sz="8" w:space="0" w:color="auto"/>
            </w:tcBorders>
            <w:shd w:val="clear" w:color="000000" w:fill="D9D9D9"/>
            <w:vAlign w:val="center"/>
            <w:hideMark/>
          </w:tcPr>
          <w:p w14:paraId="41B0DB9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78" w:type="pct"/>
            <w:gridSpan w:val="2"/>
            <w:tcBorders>
              <w:top w:val="nil"/>
              <w:left w:val="nil"/>
              <w:bottom w:val="single" w:sz="8" w:space="0" w:color="auto"/>
              <w:right w:val="single" w:sz="8" w:space="0" w:color="auto"/>
            </w:tcBorders>
            <w:shd w:val="clear" w:color="000000" w:fill="D9D9D9"/>
            <w:vAlign w:val="center"/>
            <w:hideMark/>
          </w:tcPr>
          <w:p w14:paraId="38E42E4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0" w:type="pct"/>
            <w:gridSpan w:val="2"/>
            <w:tcBorders>
              <w:top w:val="nil"/>
              <w:left w:val="nil"/>
              <w:bottom w:val="single" w:sz="8" w:space="0" w:color="auto"/>
              <w:right w:val="single" w:sz="8" w:space="0" w:color="auto"/>
            </w:tcBorders>
            <w:shd w:val="clear" w:color="000000" w:fill="D9D9D9"/>
            <w:vAlign w:val="center"/>
            <w:hideMark/>
          </w:tcPr>
          <w:p w14:paraId="24D13E0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07199BB0" w14:textId="77777777" w:rsidTr="00434248">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7F1A2A60" w14:textId="77777777" w:rsidR="0093115D" w:rsidRPr="00274E0D" w:rsidRDefault="0093115D" w:rsidP="00434248">
            <w:pPr>
              <w:spacing w:before="0" w:after="0"/>
              <w:jc w:val="center"/>
              <w:rPr>
                <w:b/>
                <w:bCs/>
                <w:noProof/>
                <w:color w:val="000000"/>
                <w:sz w:val="22"/>
              </w:rPr>
            </w:pPr>
            <w:r w:rsidRPr="00274E0D">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29D88E9A"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2"/>
            <w:tcBorders>
              <w:top w:val="single" w:sz="8" w:space="0" w:color="auto"/>
              <w:left w:val="nil"/>
              <w:bottom w:val="single" w:sz="8" w:space="0" w:color="auto"/>
              <w:right w:val="single" w:sz="8" w:space="0" w:color="auto"/>
            </w:tcBorders>
            <w:vAlign w:val="center"/>
            <w:hideMark/>
          </w:tcPr>
          <w:p w14:paraId="73E368C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2"/>
            <w:tcBorders>
              <w:top w:val="single" w:sz="8" w:space="0" w:color="auto"/>
              <w:left w:val="nil"/>
              <w:bottom w:val="single" w:sz="8" w:space="0" w:color="auto"/>
              <w:right w:val="single" w:sz="8" w:space="0" w:color="auto"/>
            </w:tcBorders>
            <w:vAlign w:val="center"/>
            <w:hideMark/>
          </w:tcPr>
          <w:p w14:paraId="7638B63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3"/>
            <w:tcBorders>
              <w:top w:val="single" w:sz="8" w:space="0" w:color="auto"/>
              <w:left w:val="nil"/>
              <w:bottom w:val="single" w:sz="8" w:space="0" w:color="auto"/>
              <w:right w:val="single" w:sz="8" w:space="0" w:color="auto"/>
            </w:tcBorders>
            <w:vAlign w:val="center"/>
            <w:hideMark/>
          </w:tcPr>
          <w:p w14:paraId="78B4823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3FF3CD59"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3BDDC32C" w14:textId="77777777" w:rsidTr="00434248">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7C7665EE" w14:textId="77777777" w:rsidR="0093115D" w:rsidRPr="00274E0D" w:rsidRDefault="0093115D" w:rsidP="00434248">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65316819"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3373850A"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71C39112"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93" w:type="pct"/>
            <w:gridSpan w:val="3"/>
            <w:tcBorders>
              <w:top w:val="nil"/>
              <w:left w:val="nil"/>
              <w:bottom w:val="single" w:sz="8" w:space="0" w:color="auto"/>
              <w:right w:val="single" w:sz="8" w:space="0" w:color="auto"/>
            </w:tcBorders>
            <w:vAlign w:val="center"/>
            <w:hideMark/>
          </w:tcPr>
          <w:p w14:paraId="76A14178"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23598205"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7AB51F01" w14:textId="77777777" w:rsidTr="00434248">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45954228" w14:textId="77777777" w:rsidR="0093115D" w:rsidRPr="00274E0D" w:rsidRDefault="0093115D" w:rsidP="00434248">
            <w:pPr>
              <w:spacing w:before="0" w:after="0"/>
              <w:rPr>
                <w:noProof/>
                <w:color w:val="000000"/>
                <w:sz w:val="21"/>
                <w:szCs w:val="21"/>
              </w:rPr>
            </w:pPr>
            <w:r w:rsidRPr="00274E0D">
              <w:rPr>
                <w:color w:val="000000"/>
                <w:sz w:val="21"/>
              </w:rPr>
              <w:t>Toimintamäärärahat YHTEENSÄ</w:t>
            </w:r>
          </w:p>
        </w:tc>
        <w:tc>
          <w:tcPr>
            <w:tcW w:w="529" w:type="pct"/>
            <w:gridSpan w:val="2"/>
            <w:tcBorders>
              <w:top w:val="nil"/>
              <w:left w:val="nil"/>
              <w:bottom w:val="single" w:sz="8" w:space="0" w:color="auto"/>
              <w:right w:val="single" w:sz="8" w:space="0" w:color="auto"/>
            </w:tcBorders>
            <w:vAlign w:val="center"/>
            <w:hideMark/>
          </w:tcPr>
          <w:p w14:paraId="0A17C3D6"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2" w:type="pct"/>
            <w:gridSpan w:val="3"/>
            <w:tcBorders>
              <w:top w:val="single" w:sz="8" w:space="0" w:color="auto"/>
              <w:left w:val="nil"/>
              <w:bottom w:val="single" w:sz="8" w:space="0" w:color="auto"/>
              <w:right w:val="single" w:sz="8" w:space="0" w:color="auto"/>
            </w:tcBorders>
            <w:vAlign w:val="center"/>
            <w:hideMark/>
          </w:tcPr>
          <w:p w14:paraId="4CC0B146" w14:textId="77777777" w:rsidR="0093115D" w:rsidRPr="00274E0D" w:rsidRDefault="0093115D" w:rsidP="00434248">
            <w:pPr>
              <w:spacing w:before="0" w:after="0"/>
              <w:jc w:val="center"/>
              <w:rPr>
                <w:noProof/>
                <w:color w:val="000000"/>
                <w:sz w:val="14"/>
                <w:szCs w:val="14"/>
              </w:rPr>
            </w:pPr>
            <w:r w:rsidRPr="00274E0D">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75D9DA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D76C81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0E811AC"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71FAC72D"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3CB8056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0A83756E" w14:textId="77777777" w:rsidTr="00434248">
        <w:trPr>
          <w:trHeight w:val="456"/>
        </w:trPr>
        <w:tc>
          <w:tcPr>
            <w:tcW w:w="1411" w:type="pct"/>
            <w:vMerge/>
            <w:tcBorders>
              <w:top w:val="nil"/>
              <w:left w:val="single" w:sz="8" w:space="0" w:color="auto"/>
              <w:bottom w:val="single" w:sz="8" w:space="0" w:color="auto"/>
              <w:right w:val="single" w:sz="8" w:space="0" w:color="auto"/>
            </w:tcBorders>
            <w:vAlign w:val="center"/>
            <w:hideMark/>
          </w:tcPr>
          <w:p w14:paraId="11736599" w14:textId="77777777" w:rsidR="0093115D" w:rsidRPr="00274E0D" w:rsidRDefault="0093115D" w:rsidP="00434248">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130D585B"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2" w:type="pct"/>
            <w:gridSpan w:val="3"/>
            <w:tcBorders>
              <w:top w:val="single" w:sz="8" w:space="0" w:color="auto"/>
              <w:left w:val="nil"/>
              <w:bottom w:val="single" w:sz="8" w:space="0" w:color="auto"/>
              <w:right w:val="single" w:sz="8" w:space="0" w:color="auto"/>
            </w:tcBorders>
            <w:vAlign w:val="center"/>
            <w:hideMark/>
          </w:tcPr>
          <w:p w14:paraId="02035043" w14:textId="77777777" w:rsidR="0093115D" w:rsidRPr="00274E0D" w:rsidRDefault="0093115D" w:rsidP="00434248">
            <w:pPr>
              <w:spacing w:before="0" w:after="0"/>
              <w:jc w:val="center"/>
              <w:rPr>
                <w:noProof/>
                <w:color w:val="000000"/>
                <w:sz w:val="14"/>
                <w:szCs w:val="14"/>
              </w:rPr>
            </w:pPr>
            <w:r w:rsidRPr="00274E0D">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42ACC77"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8F2DEE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85F17F1"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3265D55"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1D7451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20E5888B" w14:textId="77777777" w:rsidTr="00434248">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703CB528" w14:textId="77777777" w:rsidR="0093115D" w:rsidRPr="00274E0D" w:rsidRDefault="0093115D" w:rsidP="00434248">
            <w:pPr>
              <w:spacing w:before="0" w:after="0"/>
              <w:rPr>
                <w:noProof/>
                <w:color w:val="000000"/>
                <w:sz w:val="21"/>
                <w:szCs w:val="21"/>
              </w:rPr>
            </w:pPr>
            <w:r w:rsidRPr="00274E0D">
              <w:rPr>
                <w:color w:val="000000"/>
                <w:sz w:val="21"/>
              </w:rPr>
              <w:t xml:space="preserve">Tiettyjen ohjelmien määrärahoista katettavat hallintomäärärahat YHTEENSÄ </w:t>
            </w:r>
          </w:p>
        </w:tc>
        <w:tc>
          <w:tcPr>
            <w:tcW w:w="492" w:type="pct"/>
            <w:gridSpan w:val="3"/>
            <w:tcBorders>
              <w:top w:val="single" w:sz="8" w:space="0" w:color="auto"/>
              <w:left w:val="nil"/>
              <w:bottom w:val="single" w:sz="8" w:space="0" w:color="auto"/>
              <w:right w:val="single" w:sz="8" w:space="0" w:color="auto"/>
            </w:tcBorders>
            <w:vAlign w:val="center"/>
            <w:hideMark/>
          </w:tcPr>
          <w:p w14:paraId="63FEA236" w14:textId="77777777" w:rsidR="0093115D" w:rsidRPr="00274E0D" w:rsidRDefault="0093115D" w:rsidP="00434248">
            <w:pPr>
              <w:spacing w:before="0" w:after="0"/>
              <w:jc w:val="center"/>
              <w:rPr>
                <w:noProof/>
                <w:color w:val="000000"/>
                <w:sz w:val="14"/>
                <w:szCs w:val="14"/>
              </w:rPr>
            </w:pPr>
            <w:r w:rsidRPr="00274E0D">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AA1D400"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D4ECA6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2B8D447"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7B4541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C0A4428"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40CAE2ED" w14:textId="77777777" w:rsidTr="0043424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20B3F4CF" w14:textId="77777777" w:rsidR="0093115D" w:rsidRPr="00274E0D" w:rsidRDefault="0093115D" w:rsidP="00434248">
            <w:pPr>
              <w:spacing w:before="0" w:after="0"/>
              <w:jc w:val="center"/>
              <w:rPr>
                <w:b/>
                <w:bCs/>
                <w:noProof/>
                <w:color w:val="000000"/>
                <w:sz w:val="22"/>
              </w:rPr>
            </w:pPr>
            <w:r w:rsidRPr="00274E0D">
              <w:rPr>
                <w:b/>
                <w:color w:val="000000"/>
                <w:sz w:val="22"/>
              </w:rPr>
              <w:t xml:space="preserve">Monivuotisen rahoituskehyksen OTSAKKEEN </w:t>
            </w:r>
            <w:proofErr w:type="gramStart"/>
            <w:r w:rsidRPr="00274E0D">
              <w:rPr>
                <w:b/>
                <w:color w:val="000000"/>
                <w:sz w:val="22"/>
              </w:rPr>
              <w:t>&lt;….</w:t>
            </w:r>
            <w:proofErr w:type="gramEnd"/>
            <w:r w:rsidRPr="00274E0D">
              <w:rPr>
                <w:b/>
                <w:color w:val="000000"/>
                <w:sz w:val="22"/>
              </w:rPr>
              <w:t>&gt;</w:t>
            </w:r>
          </w:p>
        </w:tc>
        <w:tc>
          <w:tcPr>
            <w:tcW w:w="529" w:type="pct"/>
            <w:gridSpan w:val="2"/>
            <w:tcBorders>
              <w:top w:val="nil"/>
              <w:left w:val="nil"/>
              <w:bottom w:val="single" w:sz="8" w:space="0" w:color="auto"/>
              <w:right w:val="single" w:sz="8" w:space="0" w:color="auto"/>
            </w:tcBorders>
            <w:vAlign w:val="center"/>
            <w:hideMark/>
          </w:tcPr>
          <w:p w14:paraId="32C35CCA"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2" w:type="pct"/>
            <w:gridSpan w:val="3"/>
            <w:tcBorders>
              <w:top w:val="single" w:sz="8" w:space="0" w:color="auto"/>
              <w:left w:val="nil"/>
              <w:bottom w:val="single" w:sz="8" w:space="0" w:color="auto"/>
              <w:right w:val="single" w:sz="8" w:space="0" w:color="auto"/>
            </w:tcBorders>
            <w:vAlign w:val="center"/>
            <w:hideMark/>
          </w:tcPr>
          <w:p w14:paraId="0BCB7A54" w14:textId="77777777" w:rsidR="0093115D" w:rsidRPr="00274E0D" w:rsidRDefault="0093115D" w:rsidP="00434248">
            <w:pPr>
              <w:spacing w:before="0" w:after="0"/>
              <w:jc w:val="center"/>
              <w:rPr>
                <w:noProof/>
                <w:color w:val="000000"/>
                <w:sz w:val="14"/>
                <w:szCs w:val="14"/>
              </w:rPr>
            </w:pPr>
            <w:r w:rsidRPr="00274E0D">
              <w:rPr>
                <w:color w:val="000000"/>
                <w:sz w:val="14"/>
              </w:rPr>
              <w:t>= 4 + 6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820A88B"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7EEAB49"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A2DD5F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B77319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6B5354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794E2126" w14:textId="77777777" w:rsidTr="0043424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42708606" w14:textId="77777777" w:rsidR="0093115D" w:rsidRPr="00274E0D" w:rsidRDefault="0093115D" w:rsidP="00434248">
            <w:pPr>
              <w:spacing w:before="0" w:after="0"/>
              <w:jc w:val="center"/>
              <w:rPr>
                <w:noProof/>
                <w:color w:val="000000"/>
                <w:sz w:val="22"/>
              </w:rPr>
            </w:pPr>
            <w:r w:rsidRPr="00274E0D">
              <w:rPr>
                <w:b/>
                <w:bCs/>
                <w:color w:val="000000"/>
                <w:sz w:val="22"/>
              </w:rPr>
              <w:t>määrärahat YHTEENSÄ</w:t>
            </w:r>
          </w:p>
        </w:tc>
        <w:tc>
          <w:tcPr>
            <w:tcW w:w="529" w:type="pct"/>
            <w:gridSpan w:val="2"/>
            <w:tcBorders>
              <w:top w:val="nil"/>
              <w:left w:val="nil"/>
              <w:bottom w:val="single" w:sz="8" w:space="0" w:color="auto"/>
              <w:right w:val="single" w:sz="8" w:space="0" w:color="auto"/>
            </w:tcBorders>
            <w:vAlign w:val="center"/>
            <w:hideMark/>
          </w:tcPr>
          <w:p w14:paraId="71D26B8B"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2" w:type="pct"/>
            <w:gridSpan w:val="3"/>
            <w:tcBorders>
              <w:top w:val="single" w:sz="8" w:space="0" w:color="auto"/>
              <w:left w:val="nil"/>
              <w:bottom w:val="single" w:sz="8" w:space="0" w:color="auto"/>
              <w:right w:val="single" w:sz="8" w:space="0" w:color="auto"/>
            </w:tcBorders>
            <w:vAlign w:val="center"/>
            <w:hideMark/>
          </w:tcPr>
          <w:p w14:paraId="3074ABC2" w14:textId="77777777" w:rsidR="0093115D" w:rsidRPr="00274E0D" w:rsidRDefault="0093115D" w:rsidP="00434248">
            <w:pPr>
              <w:spacing w:before="0" w:after="0"/>
              <w:jc w:val="center"/>
              <w:rPr>
                <w:noProof/>
                <w:color w:val="000000"/>
                <w:sz w:val="14"/>
                <w:szCs w:val="14"/>
              </w:rPr>
            </w:pPr>
            <w:r w:rsidRPr="00274E0D">
              <w:rPr>
                <w:color w:val="000000"/>
                <w:sz w:val="14"/>
              </w:rPr>
              <w:t>= 5 + 6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EDF97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7288D2E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60ECA7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007B2C0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1053C8E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4A4DB6C7" w14:textId="77777777" w:rsidTr="00434248">
        <w:trPr>
          <w:trHeight w:val="300"/>
        </w:trPr>
        <w:tc>
          <w:tcPr>
            <w:tcW w:w="2432" w:type="pct"/>
            <w:gridSpan w:val="6"/>
            <w:vMerge w:val="restart"/>
            <w:tcBorders>
              <w:top w:val="single" w:sz="8" w:space="0" w:color="auto"/>
              <w:left w:val="single" w:sz="8" w:space="0" w:color="auto"/>
              <w:bottom w:val="single" w:sz="8" w:space="0" w:color="000000"/>
              <w:right w:val="single" w:sz="8" w:space="0" w:color="000000"/>
            </w:tcBorders>
            <w:vAlign w:val="center"/>
            <w:hideMark/>
          </w:tcPr>
          <w:p w14:paraId="455AAA19" w14:textId="77777777" w:rsidR="0093115D" w:rsidRPr="00274E0D" w:rsidRDefault="0093115D" w:rsidP="00434248">
            <w:pPr>
              <w:spacing w:before="0" w:after="0"/>
              <w:jc w:val="center"/>
              <w:rPr>
                <w:b/>
                <w:bCs/>
                <w:noProof/>
                <w:color w:val="000000"/>
                <w:sz w:val="22"/>
              </w:rPr>
            </w:pPr>
            <w:r w:rsidRPr="00274E0D">
              <w:rPr>
                <w:b/>
                <w:color w:val="000000"/>
                <w:sz w:val="22"/>
              </w:rPr>
              <w:t xml:space="preserve"> </w:t>
            </w:r>
          </w:p>
        </w:tc>
        <w:tc>
          <w:tcPr>
            <w:tcW w:w="493" w:type="pct"/>
            <w:gridSpan w:val="2"/>
            <w:tcBorders>
              <w:top w:val="single" w:sz="8" w:space="0" w:color="auto"/>
              <w:left w:val="nil"/>
              <w:bottom w:val="single" w:sz="8" w:space="0" w:color="auto"/>
              <w:right w:val="single" w:sz="8" w:space="0" w:color="auto"/>
            </w:tcBorders>
            <w:vAlign w:val="center"/>
            <w:hideMark/>
          </w:tcPr>
          <w:p w14:paraId="423C69E8"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2"/>
            <w:tcBorders>
              <w:top w:val="single" w:sz="8" w:space="0" w:color="auto"/>
              <w:left w:val="nil"/>
              <w:bottom w:val="single" w:sz="8" w:space="0" w:color="auto"/>
              <w:right w:val="single" w:sz="8" w:space="0" w:color="auto"/>
            </w:tcBorders>
            <w:vAlign w:val="center"/>
            <w:hideMark/>
          </w:tcPr>
          <w:p w14:paraId="22B7C78B"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2"/>
            <w:tcBorders>
              <w:top w:val="single" w:sz="8" w:space="0" w:color="auto"/>
              <w:left w:val="nil"/>
              <w:bottom w:val="single" w:sz="8" w:space="0" w:color="auto"/>
              <w:right w:val="single" w:sz="8" w:space="0" w:color="auto"/>
            </w:tcBorders>
            <w:vAlign w:val="center"/>
            <w:hideMark/>
          </w:tcPr>
          <w:p w14:paraId="7F6EE64D"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93" w:type="pct"/>
            <w:gridSpan w:val="3"/>
            <w:tcBorders>
              <w:top w:val="single" w:sz="8" w:space="0" w:color="auto"/>
              <w:left w:val="nil"/>
              <w:bottom w:val="single" w:sz="8" w:space="0" w:color="auto"/>
              <w:right w:val="single" w:sz="8" w:space="0" w:color="auto"/>
            </w:tcBorders>
            <w:vAlign w:val="center"/>
            <w:hideMark/>
          </w:tcPr>
          <w:p w14:paraId="5C860AC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96"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1D57BF2C"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17F1E18E" w14:textId="77777777" w:rsidTr="00434248">
        <w:trPr>
          <w:trHeight w:val="300"/>
        </w:trPr>
        <w:tc>
          <w:tcPr>
            <w:tcW w:w="2432" w:type="pct"/>
            <w:gridSpan w:val="6"/>
            <w:vMerge/>
            <w:tcBorders>
              <w:top w:val="single" w:sz="8" w:space="0" w:color="auto"/>
              <w:left w:val="single" w:sz="8" w:space="0" w:color="auto"/>
              <w:bottom w:val="single" w:sz="8" w:space="0" w:color="000000"/>
              <w:right w:val="single" w:sz="8" w:space="0" w:color="000000"/>
            </w:tcBorders>
            <w:vAlign w:val="center"/>
            <w:hideMark/>
          </w:tcPr>
          <w:p w14:paraId="2269C830" w14:textId="77777777" w:rsidR="0093115D" w:rsidRPr="00274E0D" w:rsidRDefault="0093115D" w:rsidP="00434248">
            <w:pPr>
              <w:spacing w:before="0" w:after="0"/>
              <w:jc w:val="left"/>
              <w:rPr>
                <w:b/>
                <w:bCs/>
                <w:noProof/>
                <w:color w:val="000000"/>
                <w:sz w:val="22"/>
                <w:lang w:eastAsia="en-IE"/>
              </w:rPr>
            </w:pPr>
          </w:p>
        </w:tc>
        <w:tc>
          <w:tcPr>
            <w:tcW w:w="493" w:type="pct"/>
            <w:gridSpan w:val="2"/>
            <w:tcBorders>
              <w:top w:val="nil"/>
              <w:left w:val="nil"/>
              <w:bottom w:val="single" w:sz="8" w:space="0" w:color="auto"/>
              <w:right w:val="single" w:sz="8" w:space="0" w:color="auto"/>
            </w:tcBorders>
            <w:vAlign w:val="center"/>
            <w:hideMark/>
          </w:tcPr>
          <w:p w14:paraId="4F318F63"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93" w:type="pct"/>
            <w:gridSpan w:val="2"/>
            <w:tcBorders>
              <w:top w:val="nil"/>
              <w:left w:val="nil"/>
              <w:bottom w:val="single" w:sz="8" w:space="0" w:color="auto"/>
              <w:right w:val="single" w:sz="8" w:space="0" w:color="auto"/>
            </w:tcBorders>
            <w:vAlign w:val="center"/>
            <w:hideMark/>
          </w:tcPr>
          <w:p w14:paraId="3B569A6A"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93" w:type="pct"/>
            <w:gridSpan w:val="2"/>
            <w:tcBorders>
              <w:top w:val="nil"/>
              <w:left w:val="nil"/>
              <w:bottom w:val="single" w:sz="8" w:space="0" w:color="auto"/>
              <w:right w:val="single" w:sz="8" w:space="0" w:color="auto"/>
            </w:tcBorders>
            <w:vAlign w:val="center"/>
            <w:hideMark/>
          </w:tcPr>
          <w:p w14:paraId="046E98FF"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93" w:type="pct"/>
            <w:gridSpan w:val="3"/>
            <w:tcBorders>
              <w:top w:val="nil"/>
              <w:left w:val="nil"/>
              <w:bottom w:val="single" w:sz="8" w:space="0" w:color="auto"/>
              <w:right w:val="single" w:sz="8" w:space="0" w:color="auto"/>
            </w:tcBorders>
            <w:vAlign w:val="center"/>
            <w:hideMark/>
          </w:tcPr>
          <w:p w14:paraId="21F022DD"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96" w:type="pct"/>
            <w:gridSpan w:val="2"/>
            <w:vMerge/>
            <w:tcBorders>
              <w:top w:val="single" w:sz="8" w:space="0" w:color="auto"/>
              <w:left w:val="single" w:sz="8" w:space="0" w:color="auto"/>
              <w:bottom w:val="single" w:sz="8" w:space="0" w:color="auto"/>
              <w:right w:val="single" w:sz="8" w:space="0" w:color="auto"/>
            </w:tcBorders>
            <w:vAlign w:val="center"/>
            <w:hideMark/>
          </w:tcPr>
          <w:p w14:paraId="147642EB"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12EBF3F8" w14:textId="77777777" w:rsidTr="00434248">
        <w:trPr>
          <w:trHeight w:val="432"/>
        </w:trPr>
        <w:tc>
          <w:tcPr>
            <w:tcW w:w="1411" w:type="pct"/>
            <w:vMerge w:val="restart"/>
            <w:tcBorders>
              <w:top w:val="nil"/>
              <w:left w:val="single" w:sz="8" w:space="0" w:color="auto"/>
              <w:bottom w:val="single" w:sz="8" w:space="0" w:color="auto"/>
              <w:right w:val="single" w:sz="8" w:space="0" w:color="auto"/>
            </w:tcBorders>
            <w:vAlign w:val="center"/>
            <w:hideMark/>
          </w:tcPr>
          <w:p w14:paraId="3566B032" w14:textId="77777777" w:rsidR="0093115D" w:rsidRPr="00274E0D" w:rsidRDefault="0093115D" w:rsidP="00434248">
            <w:pPr>
              <w:spacing w:before="0" w:after="0"/>
              <w:rPr>
                <w:noProof/>
                <w:color w:val="000000"/>
                <w:sz w:val="21"/>
                <w:szCs w:val="21"/>
              </w:rPr>
            </w:pPr>
            <w:r w:rsidRPr="00274E0D">
              <w:rPr>
                <w:color w:val="000000"/>
                <w:sz w:val="21"/>
              </w:rPr>
              <w:t>Toimintamäärärahat YHTEENSÄ</w:t>
            </w:r>
          </w:p>
        </w:tc>
        <w:tc>
          <w:tcPr>
            <w:tcW w:w="529" w:type="pct"/>
            <w:gridSpan w:val="2"/>
            <w:tcBorders>
              <w:top w:val="nil"/>
              <w:left w:val="nil"/>
              <w:bottom w:val="single" w:sz="8" w:space="0" w:color="auto"/>
              <w:right w:val="single" w:sz="8" w:space="0" w:color="auto"/>
            </w:tcBorders>
            <w:vAlign w:val="center"/>
            <w:hideMark/>
          </w:tcPr>
          <w:p w14:paraId="3F823D10"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2" w:type="pct"/>
            <w:gridSpan w:val="3"/>
            <w:tcBorders>
              <w:top w:val="single" w:sz="8" w:space="0" w:color="auto"/>
              <w:left w:val="nil"/>
              <w:bottom w:val="single" w:sz="8" w:space="0" w:color="auto"/>
              <w:right w:val="single" w:sz="8" w:space="0" w:color="auto"/>
            </w:tcBorders>
            <w:vAlign w:val="center"/>
            <w:hideMark/>
          </w:tcPr>
          <w:p w14:paraId="026D72EC" w14:textId="77777777" w:rsidR="0093115D" w:rsidRPr="00274E0D" w:rsidRDefault="0093115D" w:rsidP="00434248">
            <w:pPr>
              <w:spacing w:before="0" w:after="0"/>
              <w:jc w:val="center"/>
              <w:rPr>
                <w:noProof/>
                <w:color w:val="000000"/>
                <w:sz w:val="14"/>
                <w:szCs w:val="14"/>
              </w:rPr>
            </w:pPr>
            <w:r w:rsidRPr="00274E0D">
              <w:rPr>
                <w:color w:val="000000"/>
                <w:sz w:val="14"/>
              </w:rPr>
              <w:t>(4)</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BDE6E9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F46AE0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58EC1A5"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40A7A9E3"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B2D4639"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67B4618D" w14:textId="77777777" w:rsidTr="00434248">
        <w:trPr>
          <w:trHeight w:val="456"/>
        </w:trPr>
        <w:tc>
          <w:tcPr>
            <w:tcW w:w="1411" w:type="pct"/>
            <w:vMerge/>
            <w:tcBorders>
              <w:top w:val="nil"/>
              <w:left w:val="single" w:sz="8" w:space="0" w:color="auto"/>
              <w:bottom w:val="single" w:sz="8" w:space="0" w:color="auto"/>
              <w:right w:val="single" w:sz="8" w:space="0" w:color="auto"/>
            </w:tcBorders>
            <w:vAlign w:val="center"/>
            <w:hideMark/>
          </w:tcPr>
          <w:p w14:paraId="00FB1CEE" w14:textId="77777777" w:rsidR="0093115D" w:rsidRPr="00274E0D" w:rsidRDefault="0093115D" w:rsidP="00434248">
            <w:pPr>
              <w:spacing w:before="0" w:after="0"/>
              <w:jc w:val="left"/>
              <w:rPr>
                <w:noProof/>
                <w:color w:val="000000"/>
                <w:sz w:val="21"/>
                <w:szCs w:val="21"/>
                <w:lang w:eastAsia="en-IE"/>
              </w:rPr>
            </w:pPr>
          </w:p>
        </w:tc>
        <w:tc>
          <w:tcPr>
            <w:tcW w:w="529" w:type="pct"/>
            <w:gridSpan w:val="2"/>
            <w:tcBorders>
              <w:top w:val="nil"/>
              <w:left w:val="nil"/>
              <w:bottom w:val="single" w:sz="8" w:space="0" w:color="auto"/>
              <w:right w:val="single" w:sz="8" w:space="0" w:color="auto"/>
            </w:tcBorders>
            <w:vAlign w:val="center"/>
            <w:hideMark/>
          </w:tcPr>
          <w:p w14:paraId="3C9193E7"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2" w:type="pct"/>
            <w:gridSpan w:val="3"/>
            <w:tcBorders>
              <w:top w:val="single" w:sz="8" w:space="0" w:color="auto"/>
              <w:left w:val="nil"/>
              <w:bottom w:val="single" w:sz="8" w:space="0" w:color="auto"/>
              <w:right w:val="single" w:sz="8" w:space="0" w:color="auto"/>
            </w:tcBorders>
            <w:vAlign w:val="center"/>
            <w:hideMark/>
          </w:tcPr>
          <w:p w14:paraId="37E3DCA9" w14:textId="77777777" w:rsidR="0093115D" w:rsidRPr="00274E0D" w:rsidRDefault="0093115D" w:rsidP="00434248">
            <w:pPr>
              <w:spacing w:before="0" w:after="0"/>
              <w:jc w:val="center"/>
              <w:rPr>
                <w:noProof/>
                <w:color w:val="000000"/>
                <w:sz w:val="14"/>
                <w:szCs w:val="14"/>
              </w:rPr>
            </w:pPr>
            <w:r w:rsidRPr="00274E0D">
              <w:rPr>
                <w:color w:val="000000"/>
                <w:sz w:val="14"/>
              </w:rPr>
              <w:t>(5)</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B95193C"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61F5E478"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14AA8FC"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84199C6"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27B50CA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61DF0CDB" w14:textId="77777777" w:rsidTr="00434248">
        <w:trPr>
          <w:trHeight w:val="924"/>
        </w:trPr>
        <w:tc>
          <w:tcPr>
            <w:tcW w:w="1939" w:type="pct"/>
            <w:gridSpan w:val="3"/>
            <w:tcBorders>
              <w:top w:val="single" w:sz="8" w:space="0" w:color="auto"/>
              <w:left w:val="single" w:sz="8" w:space="0" w:color="auto"/>
              <w:bottom w:val="single" w:sz="8" w:space="0" w:color="auto"/>
              <w:right w:val="single" w:sz="8" w:space="0" w:color="auto"/>
            </w:tcBorders>
            <w:vAlign w:val="center"/>
            <w:hideMark/>
          </w:tcPr>
          <w:p w14:paraId="0E0F3F1C" w14:textId="77777777" w:rsidR="0093115D" w:rsidRPr="00274E0D" w:rsidRDefault="0093115D" w:rsidP="00434248">
            <w:pPr>
              <w:spacing w:before="0" w:after="0"/>
              <w:rPr>
                <w:noProof/>
                <w:color w:val="000000"/>
                <w:sz w:val="21"/>
                <w:szCs w:val="21"/>
              </w:rPr>
            </w:pPr>
            <w:r w:rsidRPr="00274E0D">
              <w:rPr>
                <w:color w:val="000000"/>
                <w:sz w:val="21"/>
              </w:rPr>
              <w:t xml:space="preserve">Tiettyjen ohjelmien määrärahoista katettavat hallintomäärärahat YHTEENSÄ </w:t>
            </w:r>
          </w:p>
        </w:tc>
        <w:tc>
          <w:tcPr>
            <w:tcW w:w="492" w:type="pct"/>
            <w:gridSpan w:val="3"/>
            <w:tcBorders>
              <w:top w:val="single" w:sz="8" w:space="0" w:color="auto"/>
              <w:left w:val="nil"/>
              <w:bottom w:val="single" w:sz="8" w:space="0" w:color="auto"/>
              <w:right w:val="single" w:sz="8" w:space="0" w:color="auto"/>
            </w:tcBorders>
            <w:vAlign w:val="center"/>
            <w:hideMark/>
          </w:tcPr>
          <w:p w14:paraId="79F4C353" w14:textId="77777777" w:rsidR="0093115D" w:rsidRPr="00274E0D" w:rsidRDefault="0093115D" w:rsidP="00434248">
            <w:pPr>
              <w:spacing w:before="0" w:after="0"/>
              <w:jc w:val="center"/>
              <w:rPr>
                <w:noProof/>
                <w:color w:val="000000"/>
                <w:sz w:val="14"/>
                <w:szCs w:val="14"/>
              </w:rPr>
            </w:pPr>
            <w:r w:rsidRPr="00274E0D">
              <w:rPr>
                <w:color w:val="000000"/>
                <w:sz w:val="14"/>
              </w:rPr>
              <w:t>(6)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DF64329"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2B7B470D"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33617851"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3D5196EA"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7E176087"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45B494F5" w14:textId="77777777" w:rsidTr="00434248">
        <w:trPr>
          <w:trHeight w:val="564"/>
        </w:trPr>
        <w:tc>
          <w:tcPr>
            <w:tcW w:w="1411" w:type="pct"/>
            <w:tcBorders>
              <w:top w:val="nil"/>
              <w:left w:val="single" w:sz="8" w:space="0" w:color="auto"/>
              <w:bottom w:val="nil"/>
              <w:right w:val="single" w:sz="8" w:space="0" w:color="auto"/>
            </w:tcBorders>
            <w:shd w:val="thinDiagStripe" w:color="C0C0C0" w:fill="F1F1F1"/>
            <w:vAlign w:val="center"/>
            <w:hideMark/>
          </w:tcPr>
          <w:p w14:paraId="44FD2A77" w14:textId="77777777" w:rsidR="0093115D" w:rsidRPr="00274E0D" w:rsidRDefault="0093115D" w:rsidP="00434248">
            <w:pPr>
              <w:spacing w:before="0" w:after="0"/>
              <w:jc w:val="center"/>
              <w:rPr>
                <w:b/>
                <w:bCs/>
                <w:noProof/>
                <w:color w:val="000000"/>
                <w:sz w:val="22"/>
              </w:rPr>
            </w:pPr>
            <w:r w:rsidRPr="00274E0D">
              <w:rPr>
                <w:b/>
                <w:color w:val="000000"/>
                <w:sz w:val="22"/>
              </w:rPr>
              <w:t xml:space="preserve">Monivuotisen rahoituskehyksen OTSAKKEEN </w:t>
            </w:r>
            <w:proofErr w:type="gramStart"/>
            <w:r w:rsidRPr="00274E0D">
              <w:rPr>
                <w:b/>
                <w:color w:val="000000"/>
                <w:sz w:val="22"/>
              </w:rPr>
              <w:t>&lt;….</w:t>
            </w:r>
            <w:proofErr w:type="gramEnd"/>
            <w:r w:rsidRPr="00274E0D">
              <w:rPr>
                <w:b/>
                <w:color w:val="000000"/>
                <w:sz w:val="22"/>
              </w:rPr>
              <w:t>&gt;</w:t>
            </w:r>
          </w:p>
        </w:tc>
        <w:tc>
          <w:tcPr>
            <w:tcW w:w="529" w:type="pct"/>
            <w:gridSpan w:val="2"/>
            <w:tcBorders>
              <w:top w:val="nil"/>
              <w:left w:val="nil"/>
              <w:bottom w:val="single" w:sz="8" w:space="0" w:color="auto"/>
              <w:right w:val="single" w:sz="8" w:space="0" w:color="auto"/>
            </w:tcBorders>
            <w:vAlign w:val="center"/>
            <w:hideMark/>
          </w:tcPr>
          <w:p w14:paraId="3F52E934"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492" w:type="pct"/>
            <w:gridSpan w:val="3"/>
            <w:tcBorders>
              <w:top w:val="single" w:sz="8" w:space="0" w:color="auto"/>
              <w:left w:val="nil"/>
              <w:bottom w:val="single" w:sz="8" w:space="0" w:color="auto"/>
              <w:right w:val="single" w:sz="8" w:space="0" w:color="auto"/>
            </w:tcBorders>
            <w:vAlign w:val="center"/>
            <w:hideMark/>
          </w:tcPr>
          <w:p w14:paraId="6AC93ECA" w14:textId="77777777" w:rsidR="0093115D" w:rsidRPr="00274E0D" w:rsidRDefault="0093115D" w:rsidP="00434248">
            <w:pPr>
              <w:spacing w:before="0" w:after="0"/>
              <w:jc w:val="center"/>
              <w:rPr>
                <w:noProof/>
                <w:color w:val="000000"/>
                <w:sz w:val="14"/>
                <w:szCs w:val="14"/>
              </w:rPr>
            </w:pPr>
            <w:r w:rsidRPr="00274E0D">
              <w:rPr>
                <w:color w:val="000000"/>
                <w:sz w:val="14"/>
              </w:rPr>
              <w:t>= 4 + 6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57AAF7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0EAB1BA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55106A6"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2078E97F"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59A262C9"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19BDEC7" w14:textId="77777777" w:rsidTr="00434248">
        <w:trPr>
          <w:trHeight w:val="528"/>
        </w:trPr>
        <w:tc>
          <w:tcPr>
            <w:tcW w:w="1411" w:type="pct"/>
            <w:tcBorders>
              <w:top w:val="nil"/>
              <w:left w:val="single" w:sz="8" w:space="0" w:color="auto"/>
              <w:bottom w:val="single" w:sz="8" w:space="0" w:color="auto"/>
              <w:right w:val="single" w:sz="8" w:space="0" w:color="auto"/>
            </w:tcBorders>
            <w:shd w:val="thinDiagStripe" w:color="C0C0C0" w:fill="F1F1F1"/>
            <w:vAlign w:val="center"/>
            <w:hideMark/>
          </w:tcPr>
          <w:p w14:paraId="3BC34FF9" w14:textId="77777777" w:rsidR="0093115D" w:rsidRPr="00274E0D" w:rsidRDefault="0093115D" w:rsidP="00434248">
            <w:pPr>
              <w:spacing w:before="0" w:after="0"/>
              <w:jc w:val="center"/>
              <w:rPr>
                <w:noProof/>
                <w:color w:val="000000"/>
                <w:sz w:val="22"/>
              </w:rPr>
            </w:pPr>
            <w:r w:rsidRPr="00274E0D">
              <w:rPr>
                <w:b/>
                <w:bCs/>
                <w:color w:val="000000"/>
                <w:sz w:val="22"/>
              </w:rPr>
              <w:t>määrärahat YHTEENSÄ</w:t>
            </w:r>
          </w:p>
        </w:tc>
        <w:tc>
          <w:tcPr>
            <w:tcW w:w="529" w:type="pct"/>
            <w:gridSpan w:val="2"/>
            <w:tcBorders>
              <w:top w:val="nil"/>
              <w:left w:val="nil"/>
              <w:bottom w:val="single" w:sz="8" w:space="0" w:color="auto"/>
              <w:right w:val="single" w:sz="8" w:space="0" w:color="auto"/>
            </w:tcBorders>
            <w:vAlign w:val="center"/>
            <w:hideMark/>
          </w:tcPr>
          <w:p w14:paraId="4EDFDC8C"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492" w:type="pct"/>
            <w:gridSpan w:val="3"/>
            <w:tcBorders>
              <w:top w:val="single" w:sz="8" w:space="0" w:color="auto"/>
              <w:left w:val="nil"/>
              <w:bottom w:val="single" w:sz="8" w:space="0" w:color="auto"/>
              <w:right w:val="single" w:sz="8" w:space="0" w:color="auto"/>
            </w:tcBorders>
            <w:vAlign w:val="center"/>
            <w:hideMark/>
          </w:tcPr>
          <w:p w14:paraId="7D1CBF92" w14:textId="77777777" w:rsidR="0093115D" w:rsidRPr="00274E0D" w:rsidRDefault="0093115D" w:rsidP="00434248">
            <w:pPr>
              <w:spacing w:before="0" w:after="0"/>
              <w:jc w:val="center"/>
              <w:rPr>
                <w:noProof/>
                <w:color w:val="000000"/>
                <w:sz w:val="14"/>
                <w:szCs w:val="14"/>
              </w:rPr>
            </w:pPr>
            <w:r w:rsidRPr="00274E0D">
              <w:rPr>
                <w:color w:val="000000"/>
                <w:sz w:val="14"/>
              </w:rPr>
              <w:t>= 5 + 6</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52EE46A3"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1A18CC22"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2"/>
            <w:tcBorders>
              <w:top w:val="nil"/>
              <w:left w:val="nil"/>
              <w:bottom w:val="single" w:sz="8" w:space="0" w:color="auto"/>
              <w:right w:val="single" w:sz="8" w:space="0" w:color="auto"/>
            </w:tcBorders>
            <w:shd w:val="clear" w:color="000000" w:fill="D9D9D9"/>
            <w:vAlign w:val="center"/>
            <w:hideMark/>
          </w:tcPr>
          <w:p w14:paraId="445C03E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93" w:type="pct"/>
            <w:gridSpan w:val="3"/>
            <w:tcBorders>
              <w:top w:val="nil"/>
              <w:left w:val="nil"/>
              <w:bottom w:val="single" w:sz="8" w:space="0" w:color="auto"/>
              <w:right w:val="single" w:sz="8" w:space="0" w:color="auto"/>
            </w:tcBorders>
            <w:shd w:val="clear" w:color="000000" w:fill="D9D9D9"/>
            <w:vAlign w:val="center"/>
            <w:hideMark/>
          </w:tcPr>
          <w:p w14:paraId="190F7131"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96" w:type="pct"/>
            <w:gridSpan w:val="2"/>
            <w:tcBorders>
              <w:top w:val="nil"/>
              <w:left w:val="nil"/>
              <w:bottom w:val="single" w:sz="8" w:space="0" w:color="auto"/>
              <w:right w:val="single" w:sz="8" w:space="0" w:color="auto"/>
            </w:tcBorders>
            <w:shd w:val="clear" w:color="000000" w:fill="D9D9D9"/>
            <w:vAlign w:val="center"/>
            <w:hideMark/>
          </w:tcPr>
          <w:p w14:paraId="0076335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222A6D37" w14:textId="77777777" w:rsidTr="00434248">
        <w:trPr>
          <w:trHeight w:val="288"/>
        </w:trPr>
        <w:tc>
          <w:tcPr>
            <w:tcW w:w="1522" w:type="pct"/>
            <w:gridSpan w:val="2"/>
            <w:tcBorders>
              <w:top w:val="nil"/>
              <w:left w:val="nil"/>
              <w:bottom w:val="nil"/>
              <w:right w:val="nil"/>
            </w:tcBorders>
            <w:noWrap/>
            <w:vAlign w:val="bottom"/>
            <w:hideMark/>
          </w:tcPr>
          <w:p w14:paraId="63BE5A26" w14:textId="77777777" w:rsidR="0093115D" w:rsidRPr="00274E0D" w:rsidRDefault="0093115D" w:rsidP="00434248">
            <w:pPr>
              <w:spacing w:before="0" w:after="0"/>
              <w:jc w:val="left"/>
              <w:rPr>
                <w:noProof/>
                <w:sz w:val="20"/>
                <w:szCs w:val="24"/>
                <w:lang w:eastAsia="en-IE"/>
              </w:rPr>
            </w:pPr>
          </w:p>
        </w:tc>
        <w:tc>
          <w:tcPr>
            <w:tcW w:w="471" w:type="pct"/>
            <w:gridSpan w:val="2"/>
            <w:tcBorders>
              <w:top w:val="nil"/>
              <w:left w:val="nil"/>
              <w:bottom w:val="nil"/>
              <w:right w:val="nil"/>
            </w:tcBorders>
            <w:noWrap/>
            <w:vAlign w:val="bottom"/>
            <w:hideMark/>
          </w:tcPr>
          <w:p w14:paraId="189551A7" w14:textId="77777777" w:rsidR="0093115D" w:rsidRPr="00274E0D" w:rsidRDefault="0093115D" w:rsidP="00434248">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336A3216" w14:textId="77777777" w:rsidR="0093115D" w:rsidRPr="00274E0D" w:rsidRDefault="0093115D" w:rsidP="00434248">
            <w:pPr>
              <w:spacing w:before="0" w:after="0"/>
              <w:jc w:val="left"/>
              <w:rPr>
                <w:noProof/>
                <w:sz w:val="20"/>
                <w:szCs w:val="20"/>
                <w:lang w:eastAsia="en-IE"/>
              </w:rPr>
            </w:pPr>
          </w:p>
        </w:tc>
        <w:tc>
          <w:tcPr>
            <w:tcW w:w="366" w:type="pct"/>
            <w:gridSpan w:val="2"/>
            <w:tcBorders>
              <w:top w:val="nil"/>
              <w:left w:val="nil"/>
              <w:bottom w:val="nil"/>
              <w:right w:val="single" w:sz="4" w:space="0" w:color="auto"/>
            </w:tcBorders>
            <w:noWrap/>
            <w:vAlign w:val="bottom"/>
            <w:hideMark/>
          </w:tcPr>
          <w:p w14:paraId="0C10353C" w14:textId="77777777" w:rsidR="0093115D" w:rsidRPr="00274E0D" w:rsidRDefault="0093115D" w:rsidP="00434248">
            <w:pPr>
              <w:spacing w:before="0" w:after="0"/>
              <w:jc w:val="left"/>
              <w:rPr>
                <w:noProof/>
                <w:sz w:val="20"/>
                <w:szCs w:val="20"/>
                <w:lang w:eastAsia="en-IE"/>
              </w:rPr>
            </w:pPr>
          </w:p>
        </w:tc>
        <w:tc>
          <w:tcPr>
            <w:tcW w:w="437" w:type="pct"/>
            <w:gridSpan w:val="2"/>
            <w:tcBorders>
              <w:top w:val="single" w:sz="8" w:space="0" w:color="auto"/>
              <w:left w:val="single" w:sz="4" w:space="0" w:color="auto"/>
              <w:bottom w:val="nil"/>
              <w:right w:val="single" w:sz="8" w:space="0" w:color="auto"/>
            </w:tcBorders>
            <w:vAlign w:val="center"/>
            <w:hideMark/>
          </w:tcPr>
          <w:p w14:paraId="64D6FDF6"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2"/>
            <w:tcBorders>
              <w:top w:val="single" w:sz="8" w:space="0" w:color="auto"/>
              <w:left w:val="nil"/>
              <w:bottom w:val="nil"/>
              <w:right w:val="single" w:sz="8" w:space="0" w:color="auto"/>
            </w:tcBorders>
            <w:vAlign w:val="center"/>
            <w:hideMark/>
          </w:tcPr>
          <w:p w14:paraId="26D9A4EE"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3"/>
            <w:tcBorders>
              <w:top w:val="single" w:sz="8" w:space="0" w:color="auto"/>
              <w:left w:val="nil"/>
              <w:bottom w:val="nil"/>
              <w:right w:val="single" w:sz="8" w:space="0" w:color="auto"/>
            </w:tcBorders>
            <w:vAlign w:val="center"/>
            <w:hideMark/>
          </w:tcPr>
          <w:p w14:paraId="0698FAC8"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437" w:type="pct"/>
            <w:gridSpan w:val="2"/>
            <w:tcBorders>
              <w:top w:val="single" w:sz="8" w:space="0" w:color="auto"/>
              <w:left w:val="nil"/>
              <w:bottom w:val="nil"/>
              <w:right w:val="single" w:sz="8" w:space="0" w:color="auto"/>
            </w:tcBorders>
            <w:vAlign w:val="center"/>
            <w:hideMark/>
          </w:tcPr>
          <w:p w14:paraId="35D9869A"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8" w:type="pct"/>
            <w:vMerge w:val="restart"/>
            <w:tcBorders>
              <w:top w:val="single" w:sz="8" w:space="0" w:color="auto"/>
              <w:left w:val="single" w:sz="8" w:space="0" w:color="auto"/>
              <w:bottom w:val="single" w:sz="8" w:space="0" w:color="000000"/>
              <w:right w:val="single" w:sz="8" w:space="0" w:color="auto"/>
            </w:tcBorders>
            <w:vAlign w:val="center"/>
            <w:hideMark/>
          </w:tcPr>
          <w:p w14:paraId="750D8168"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12177BC0" w14:textId="77777777" w:rsidTr="00434248">
        <w:trPr>
          <w:trHeight w:val="300"/>
        </w:trPr>
        <w:tc>
          <w:tcPr>
            <w:tcW w:w="1522" w:type="pct"/>
            <w:gridSpan w:val="2"/>
            <w:tcBorders>
              <w:top w:val="nil"/>
              <w:left w:val="nil"/>
              <w:bottom w:val="nil"/>
              <w:right w:val="nil"/>
            </w:tcBorders>
            <w:noWrap/>
            <w:vAlign w:val="bottom"/>
            <w:hideMark/>
          </w:tcPr>
          <w:p w14:paraId="50ACA953" w14:textId="77777777" w:rsidR="0093115D" w:rsidRPr="00274E0D" w:rsidRDefault="0093115D" w:rsidP="00434248">
            <w:pPr>
              <w:spacing w:before="0" w:after="0"/>
              <w:jc w:val="center"/>
              <w:rPr>
                <w:b/>
                <w:bCs/>
                <w:noProof/>
                <w:color w:val="000000"/>
                <w:sz w:val="20"/>
                <w:szCs w:val="20"/>
                <w:lang w:eastAsia="en-IE"/>
              </w:rPr>
            </w:pPr>
          </w:p>
        </w:tc>
        <w:tc>
          <w:tcPr>
            <w:tcW w:w="471" w:type="pct"/>
            <w:gridSpan w:val="2"/>
            <w:tcBorders>
              <w:top w:val="nil"/>
              <w:left w:val="nil"/>
              <w:bottom w:val="nil"/>
              <w:right w:val="nil"/>
            </w:tcBorders>
            <w:noWrap/>
            <w:vAlign w:val="bottom"/>
            <w:hideMark/>
          </w:tcPr>
          <w:p w14:paraId="0AE8C6E6" w14:textId="77777777" w:rsidR="0093115D" w:rsidRPr="00274E0D" w:rsidRDefault="0093115D" w:rsidP="00434248">
            <w:pPr>
              <w:spacing w:before="0" w:after="0"/>
              <w:jc w:val="left"/>
              <w:rPr>
                <w:noProof/>
                <w:sz w:val="20"/>
                <w:szCs w:val="20"/>
                <w:lang w:eastAsia="en-IE"/>
              </w:rPr>
            </w:pPr>
          </w:p>
        </w:tc>
        <w:tc>
          <w:tcPr>
            <w:tcW w:w="365" w:type="pct"/>
            <w:tcBorders>
              <w:top w:val="nil"/>
              <w:left w:val="nil"/>
              <w:bottom w:val="nil"/>
              <w:right w:val="nil"/>
            </w:tcBorders>
            <w:noWrap/>
            <w:vAlign w:val="bottom"/>
            <w:hideMark/>
          </w:tcPr>
          <w:p w14:paraId="1F230EB1" w14:textId="77777777" w:rsidR="0093115D" w:rsidRPr="00274E0D" w:rsidRDefault="0093115D" w:rsidP="00434248">
            <w:pPr>
              <w:spacing w:before="0" w:after="0"/>
              <w:jc w:val="left"/>
              <w:rPr>
                <w:noProof/>
                <w:sz w:val="20"/>
                <w:szCs w:val="20"/>
                <w:lang w:eastAsia="en-IE"/>
              </w:rPr>
            </w:pPr>
          </w:p>
        </w:tc>
        <w:tc>
          <w:tcPr>
            <w:tcW w:w="366" w:type="pct"/>
            <w:gridSpan w:val="2"/>
            <w:tcBorders>
              <w:top w:val="nil"/>
              <w:left w:val="nil"/>
              <w:bottom w:val="nil"/>
              <w:right w:val="single" w:sz="4" w:space="0" w:color="auto"/>
            </w:tcBorders>
            <w:noWrap/>
            <w:vAlign w:val="bottom"/>
            <w:hideMark/>
          </w:tcPr>
          <w:p w14:paraId="1EF76B6D" w14:textId="77777777" w:rsidR="0093115D" w:rsidRPr="00274E0D" w:rsidRDefault="0093115D" w:rsidP="00434248">
            <w:pPr>
              <w:spacing w:before="0" w:after="0"/>
              <w:jc w:val="left"/>
              <w:rPr>
                <w:noProof/>
                <w:sz w:val="20"/>
                <w:szCs w:val="20"/>
                <w:lang w:eastAsia="en-IE"/>
              </w:rPr>
            </w:pPr>
          </w:p>
        </w:tc>
        <w:tc>
          <w:tcPr>
            <w:tcW w:w="437" w:type="pct"/>
            <w:gridSpan w:val="2"/>
            <w:tcBorders>
              <w:top w:val="nil"/>
              <w:left w:val="single" w:sz="4" w:space="0" w:color="auto"/>
              <w:bottom w:val="single" w:sz="8" w:space="0" w:color="auto"/>
              <w:right w:val="single" w:sz="8" w:space="0" w:color="auto"/>
            </w:tcBorders>
            <w:vAlign w:val="center"/>
            <w:hideMark/>
          </w:tcPr>
          <w:p w14:paraId="14E1073F"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437" w:type="pct"/>
            <w:gridSpan w:val="2"/>
            <w:tcBorders>
              <w:top w:val="nil"/>
              <w:left w:val="nil"/>
              <w:bottom w:val="single" w:sz="8" w:space="0" w:color="auto"/>
              <w:right w:val="single" w:sz="8" w:space="0" w:color="auto"/>
            </w:tcBorders>
            <w:vAlign w:val="center"/>
            <w:hideMark/>
          </w:tcPr>
          <w:p w14:paraId="17DFBCC7"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437" w:type="pct"/>
            <w:gridSpan w:val="3"/>
            <w:tcBorders>
              <w:top w:val="nil"/>
              <w:left w:val="nil"/>
              <w:bottom w:val="single" w:sz="8" w:space="0" w:color="auto"/>
              <w:right w:val="single" w:sz="8" w:space="0" w:color="auto"/>
            </w:tcBorders>
            <w:vAlign w:val="center"/>
            <w:hideMark/>
          </w:tcPr>
          <w:p w14:paraId="7D59DD4E"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437" w:type="pct"/>
            <w:gridSpan w:val="2"/>
            <w:tcBorders>
              <w:top w:val="nil"/>
              <w:left w:val="nil"/>
              <w:bottom w:val="single" w:sz="8" w:space="0" w:color="auto"/>
              <w:right w:val="single" w:sz="8" w:space="0" w:color="auto"/>
            </w:tcBorders>
            <w:vAlign w:val="center"/>
            <w:hideMark/>
          </w:tcPr>
          <w:p w14:paraId="7B8BF052"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528" w:type="pct"/>
            <w:vMerge/>
            <w:tcBorders>
              <w:top w:val="single" w:sz="8" w:space="0" w:color="auto"/>
              <w:left w:val="single" w:sz="8" w:space="0" w:color="auto"/>
              <w:bottom w:val="single" w:sz="8" w:space="0" w:color="000000"/>
              <w:right w:val="single" w:sz="8" w:space="0" w:color="auto"/>
            </w:tcBorders>
            <w:vAlign w:val="center"/>
            <w:hideMark/>
          </w:tcPr>
          <w:p w14:paraId="428F64B6"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089BDCE6" w14:textId="77777777" w:rsidTr="00434248">
        <w:trPr>
          <w:trHeight w:val="300"/>
        </w:trPr>
        <w:tc>
          <w:tcPr>
            <w:tcW w:w="1522" w:type="pct"/>
            <w:gridSpan w:val="2"/>
            <w:vMerge w:val="restart"/>
            <w:tcBorders>
              <w:top w:val="single" w:sz="8" w:space="0" w:color="auto"/>
              <w:left w:val="single" w:sz="8" w:space="0" w:color="auto"/>
              <w:bottom w:val="single" w:sz="8" w:space="0" w:color="auto"/>
              <w:right w:val="single" w:sz="8" w:space="0" w:color="auto"/>
            </w:tcBorders>
            <w:vAlign w:val="center"/>
            <w:hideMark/>
          </w:tcPr>
          <w:p w14:paraId="29F3423A" w14:textId="77777777" w:rsidR="0093115D" w:rsidRPr="00274E0D" w:rsidRDefault="0093115D" w:rsidP="00434248">
            <w:pPr>
              <w:spacing w:before="0" w:after="0"/>
              <w:rPr>
                <w:noProof/>
                <w:color w:val="000000"/>
                <w:sz w:val="21"/>
                <w:szCs w:val="21"/>
              </w:rPr>
            </w:pPr>
            <w:r w:rsidRPr="00274E0D">
              <w:rPr>
                <w:color w:val="000000"/>
                <w:sz w:val="21"/>
              </w:rPr>
              <w:t xml:space="preserve">• Toimintamäärärahat (kaikki otsakkeet) </w:t>
            </w:r>
            <w:r w:rsidRPr="00274E0D">
              <w:rPr>
                <w:color w:val="000000"/>
                <w:sz w:val="21"/>
              </w:rPr>
              <w:lastRenderedPageBreak/>
              <w:t>YHTEENSÄ</w:t>
            </w:r>
          </w:p>
        </w:tc>
        <w:tc>
          <w:tcPr>
            <w:tcW w:w="471" w:type="pct"/>
            <w:gridSpan w:val="2"/>
            <w:tcBorders>
              <w:top w:val="single" w:sz="8" w:space="0" w:color="auto"/>
              <w:left w:val="nil"/>
              <w:bottom w:val="single" w:sz="8" w:space="0" w:color="auto"/>
              <w:right w:val="single" w:sz="8" w:space="0" w:color="auto"/>
            </w:tcBorders>
            <w:vAlign w:val="center"/>
            <w:hideMark/>
          </w:tcPr>
          <w:p w14:paraId="74407DDD" w14:textId="77777777" w:rsidR="0093115D" w:rsidRPr="00274E0D" w:rsidRDefault="0093115D" w:rsidP="00434248">
            <w:pPr>
              <w:spacing w:before="0" w:after="0"/>
              <w:rPr>
                <w:noProof/>
                <w:color w:val="000000"/>
                <w:sz w:val="18"/>
                <w:szCs w:val="18"/>
              </w:rPr>
            </w:pPr>
            <w:r w:rsidRPr="00274E0D">
              <w:rPr>
                <w:color w:val="000000"/>
                <w:sz w:val="18"/>
              </w:rPr>
              <w:lastRenderedPageBreak/>
              <w:t>Sitoumukset</w:t>
            </w:r>
          </w:p>
        </w:tc>
        <w:tc>
          <w:tcPr>
            <w:tcW w:w="731" w:type="pct"/>
            <w:gridSpan w:val="3"/>
            <w:tcBorders>
              <w:top w:val="single" w:sz="8" w:space="0" w:color="auto"/>
              <w:left w:val="nil"/>
              <w:bottom w:val="single" w:sz="8" w:space="0" w:color="auto"/>
              <w:right w:val="single" w:sz="8" w:space="0" w:color="000000"/>
            </w:tcBorders>
            <w:vAlign w:val="center"/>
            <w:hideMark/>
          </w:tcPr>
          <w:p w14:paraId="69297C79" w14:textId="77777777" w:rsidR="0093115D" w:rsidRPr="00274E0D" w:rsidRDefault="0093115D" w:rsidP="00434248">
            <w:pPr>
              <w:spacing w:before="0" w:after="0"/>
              <w:jc w:val="center"/>
              <w:rPr>
                <w:noProof/>
                <w:color w:val="000000"/>
                <w:sz w:val="14"/>
                <w:szCs w:val="14"/>
              </w:rPr>
            </w:pPr>
            <w:r w:rsidRPr="00274E0D">
              <w:rPr>
                <w:color w:val="000000"/>
                <w:sz w:val="14"/>
              </w:rPr>
              <w:t>(4)</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7990B17"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54B6917"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790B7B62"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8894B3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56189869"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7F95BE3B" w14:textId="77777777" w:rsidTr="00434248">
        <w:trPr>
          <w:trHeight w:val="300"/>
        </w:trPr>
        <w:tc>
          <w:tcPr>
            <w:tcW w:w="1522" w:type="pct"/>
            <w:gridSpan w:val="2"/>
            <w:vMerge/>
            <w:tcBorders>
              <w:top w:val="single" w:sz="8" w:space="0" w:color="auto"/>
              <w:left w:val="single" w:sz="8" w:space="0" w:color="auto"/>
              <w:bottom w:val="single" w:sz="8" w:space="0" w:color="auto"/>
              <w:right w:val="single" w:sz="8" w:space="0" w:color="auto"/>
            </w:tcBorders>
            <w:vAlign w:val="center"/>
            <w:hideMark/>
          </w:tcPr>
          <w:p w14:paraId="5E76147B" w14:textId="77777777" w:rsidR="0093115D" w:rsidRPr="00274E0D" w:rsidRDefault="0093115D" w:rsidP="00434248">
            <w:pPr>
              <w:spacing w:before="0" w:after="0"/>
              <w:jc w:val="left"/>
              <w:rPr>
                <w:noProof/>
                <w:color w:val="000000"/>
                <w:sz w:val="21"/>
                <w:szCs w:val="21"/>
                <w:lang w:eastAsia="en-IE"/>
              </w:rPr>
            </w:pPr>
          </w:p>
        </w:tc>
        <w:tc>
          <w:tcPr>
            <w:tcW w:w="471" w:type="pct"/>
            <w:gridSpan w:val="2"/>
            <w:tcBorders>
              <w:top w:val="nil"/>
              <w:left w:val="nil"/>
              <w:bottom w:val="single" w:sz="8" w:space="0" w:color="auto"/>
              <w:right w:val="single" w:sz="8" w:space="0" w:color="auto"/>
            </w:tcBorders>
            <w:vAlign w:val="center"/>
            <w:hideMark/>
          </w:tcPr>
          <w:p w14:paraId="72FCA3F9"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731" w:type="pct"/>
            <w:gridSpan w:val="3"/>
            <w:tcBorders>
              <w:top w:val="single" w:sz="8" w:space="0" w:color="auto"/>
              <w:left w:val="nil"/>
              <w:bottom w:val="single" w:sz="8" w:space="0" w:color="auto"/>
              <w:right w:val="single" w:sz="8" w:space="0" w:color="000000"/>
            </w:tcBorders>
            <w:vAlign w:val="center"/>
            <w:hideMark/>
          </w:tcPr>
          <w:p w14:paraId="612B79DF" w14:textId="77777777" w:rsidR="0093115D" w:rsidRPr="00274E0D" w:rsidRDefault="0093115D" w:rsidP="00434248">
            <w:pPr>
              <w:spacing w:before="0" w:after="0"/>
              <w:jc w:val="center"/>
              <w:rPr>
                <w:noProof/>
                <w:color w:val="000000"/>
                <w:sz w:val="14"/>
                <w:szCs w:val="14"/>
              </w:rPr>
            </w:pPr>
            <w:r w:rsidRPr="00274E0D">
              <w:rPr>
                <w:color w:val="000000"/>
                <w:sz w:val="14"/>
              </w:rPr>
              <w:t>(5)</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BEF47F0"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5A7998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09BAAE7C"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9C492FA"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6547690B"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68075CD4" w14:textId="77777777" w:rsidTr="00434248">
        <w:trPr>
          <w:trHeight w:val="990"/>
        </w:trPr>
        <w:tc>
          <w:tcPr>
            <w:tcW w:w="1993" w:type="pct"/>
            <w:gridSpan w:val="4"/>
            <w:tcBorders>
              <w:top w:val="single" w:sz="8" w:space="0" w:color="auto"/>
              <w:left w:val="single" w:sz="8" w:space="0" w:color="auto"/>
              <w:bottom w:val="single" w:sz="8" w:space="0" w:color="auto"/>
              <w:right w:val="single" w:sz="8" w:space="0" w:color="000000"/>
            </w:tcBorders>
            <w:vAlign w:val="center"/>
            <w:hideMark/>
          </w:tcPr>
          <w:p w14:paraId="2EAFEB93" w14:textId="77777777" w:rsidR="0093115D" w:rsidRPr="00274E0D" w:rsidRDefault="0093115D" w:rsidP="00434248">
            <w:pPr>
              <w:spacing w:before="0" w:after="0"/>
              <w:rPr>
                <w:noProof/>
                <w:color w:val="000000"/>
                <w:sz w:val="21"/>
                <w:szCs w:val="21"/>
              </w:rPr>
            </w:pPr>
            <w:r w:rsidRPr="00274E0D">
              <w:rPr>
                <w:rFonts w:ascii="Calibri" w:hAnsi="Calibri"/>
                <w:color w:val="000000"/>
                <w:sz w:val="21"/>
              </w:rPr>
              <w:t>•</w:t>
            </w:r>
            <w:r w:rsidRPr="00274E0D">
              <w:rPr>
                <w:color w:val="000000"/>
                <w:sz w:val="21"/>
              </w:rPr>
              <w:t xml:space="preserve"> Tiettyjen ohjelmien määrärahoista katettavat hallintomäärärahat (kaikki otsakkeet) YHTEENSÄ</w:t>
            </w:r>
          </w:p>
        </w:tc>
        <w:tc>
          <w:tcPr>
            <w:tcW w:w="731" w:type="pct"/>
            <w:gridSpan w:val="3"/>
            <w:tcBorders>
              <w:top w:val="single" w:sz="8" w:space="0" w:color="auto"/>
              <w:left w:val="nil"/>
              <w:bottom w:val="single" w:sz="8" w:space="0" w:color="auto"/>
              <w:right w:val="single" w:sz="8" w:space="0" w:color="000000"/>
            </w:tcBorders>
            <w:vAlign w:val="center"/>
            <w:hideMark/>
          </w:tcPr>
          <w:p w14:paraId="2DED2FE9" w14:textId="77777777" w:rsidR="0093115D" w:rsidRPr="00274E0D" w:rsidRDefault="0093115D" w:rsidP="00434248">
            <w:pPr>
              <w:spacing w:before="0" w:after="0"/>
              <w:jc w:val="center"/>
              <w:rPr>
                <w:noProof/>
                <w:color w:val="000000"/>
                <w:sz w:val="14"/>
                <w:szCs w:val="14"/>
              </w:rPr>
            </w:pPr>
            <w:r w:rsidRPr="00274E0D">
              <w:rPr>
                <w:color w:val="000000"/>
                <w:sz w:val="14"/>
              </w:rPr>
              <w:t>(6)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7F53B863"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9D59764"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221DA0AF"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65AA2CBE"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4C8366B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58847ABE" w14:textId="77777777" w:rsidTr="00434248">
        <w:trPr>
          <w:trHeight w:val="564"/>
        </w:trPr>
        <w:tc>
          <w:tcPr>
            <w:tcW w:w="1522" w:type="pct"/>
            <w:gridSpan w:val="2"/>
            <w:tcBorders>
              <w:top w:val="nil"/>
              <w:left w:val="single" w:sz="8" w:space="0" w:color="auto"/>
              <w:bottom w:val="nil"/>
              <w:right w:val="single" w:sz="8" w:space="0" w:color="auto"/>
            </w:tcBorders>
            <w:shd w:val="thinDiagStripe" w:color="C0C0C0" w:fill="F1F1F1"/>
            <w:vAlign w:val="center"/>
            <w:hideMark/>
          </w:tcPr>
          <w:p w14:paraId="7D812A9F" w14:textId="77777777" w:rsidR="0093115D" w:rsidRPr="00274E0D" w:rsidRDefault="0093115D" w:rsidP="00434248">
            <w:pPr>
              <w:spacing w:before="0" w:after="0"/>
              <w:jc w:val="center"/>
              <w:rPr>
                <w:b/>
                <w:bCs/>
                <w:noProof/>
                <w:color w:val="000000"/>
                <w:sz w:val="22"/>
              </w:rPr>
            </w:pPr>
            <w:r w:rsidRPr="00274E0D">
              <w:rPr>
                <w:b/>
                <w:color w:val="000000"/>
                <w:sz w:val="22"/>
              </w:rPr>
              <w:t>Monivuotisen rahoituskehyksen OTSAKKEISIIN 1–6 kuuluvat</w:t>
            </w:r>
          </w:p>
        </w:tc>
        <w:tc>
          <w:tcPr>
            <w:tcW w:w="471" w:type="pct"/>
            <w:gridSpan w:val="2"/>
            <w:tcBorders>
              <w:top w:val="nil"/>
              <w:left w:val="nil"/>
              <w:bottom w:val="nil"/>
              <w:right w:val="single" w:sz="8" w:space="0" w:color="auto"/>
            </w:tcBorders>
            <w:vAlign w:val="center"/>
            <w:hideMark/>
          </w:tcPr>
          <w:p w14:paraId="5F4D0E65"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731" w:type="pct"/>
            <w:gridSpan w:val="3"/>
            <w:tcBorders>
              <w:top w:val="single" w:sz="8" w:space="0" w:color="auto"/>
              <w:left w:val="nil"/>
              <w:bottom w:val="nil"/>
              <w:right w:val="single" w:sz="8" w:space="0" w:color="000000"/>
            </w:tcBorders>
            <w:vAlign w:val="center"/>
            <w:hideMark/>
          </w:tcPr>
          <w:p w14:paraId="2A2E239E" w14:textId="77777777" w:rsidR="0093115D" w:rsidRPr="00274E0D" w:rsidRDefault="0093115D" w:rsidP="00434248">
            <w:pPr>
              <w:spacing w:before="0" w:after="0"/>
              <w:jc w:val="center"/>
              <w:rPr>
                <w:noProof/>
                <w:color w:val="000000"/>
                <w:sz w:val="14"/>
                <w:szCs w:val="14"/>
              </w:rPr>
            </w:pPr>
            <w:r w:rsidRPr="00274E0D">
              <w:rPr>
                <w:color w:val="000000"/>
                <w:sz w:val="14"/>
              </w:rPr>
              <w:t>= 4 + 6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47191F97"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9DDD0B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D9D467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5A5F7DC"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5B229394"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r w:rsidR="0093115D" w:rsidRPr="00274E0D" w14:paraId="34EFC670" w14:textId="77777777" w:rsidTr="00434248">
        <w:trPr>
          <w:trHeight w:val="588"/>
        </w:trPr>
        <w:tc>
          <w:tcPr>
            <w:tcW w:w="1522" w:type="pct"/>
            <w:gridSpan w:val="2"/>
            <w:tcBorders>
              <w:top w:val="nil"/>
              <w:left w:val="single" w:sz="8" w:space="0" w:color="auto"/>
              <w:bottom w:val="single" w:sz="8" w:space="0" w:color="auto"/>
              <w:right w:val="single" w:sz="8" w:space="0" w:color="auto"/>
            </w:tcBorders>
            <w:shd w:val="thinDiagStripe" w:color="C0C0C0" w:fill="F1F1F1"/>
            <w:vAlign w:val="center"/>
            <w:hideMark/>
          </w:tcPr>
          <w:p w14:paraId="6D65AD07" w14:textId="77777777" w:rsidR="0093115D" w:rsidRPr="00274E0D" w:rsidRDefault="0093115D" w:rsidP="00434248">
            <w:pPr>
              <w:spacing w:before="0" w:after="0"/>
              <w:jc w:val="center"/>
              <w:rPr>
                <w:noProof/>
                <w:color w:val="000000"/>
                <w:sz w:val="20"/>
                <w:szCs w:val="20"/>
              </w:rPr>
            </w:pPr>
            <w:r w:rsidRPr="00274E0D">
              <w:rPr>
                <w:color w:val="000000"/>
                <w:sz w:val="20"/>
              </w:rPr>
              <w:t>määrärahat YHTEENSÄ (Viitemäärä)</w:t>
            </w:r>
          </w:p>
        </w:tc>
        <w:tc>
          <w:tcPr>
            <w:tcW w:w="471" w:type="pct"/>
            <w:gridSpan w:val="2"/>
            <w:tcBorders>
              <w:top w:val="nil"/>
              <w:left w:val="nil"/>
              <w:bottom w:val="single" w:sz="8" w:space="0" w:color="auto"/>
              <w:right w:val="single" w:sz="8" w:space="0" w:color="auto"/>
            </w:tcBorders>
            <w:vAlign w:val="center"/>
            <w:hideMark/>
          </w:tcPr>
          <w:p w14:paraId="70ABD5DC"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731" w:type="pct"/>
            <w:gridSpan w:val="3"/>
            <w:tcBorders>
              <w:top w:val="single" w:sz="8" w:space="0" w:color="auto"/>
              <w:left w:val="nil"/>
              <w:bottom w:val="single" w:sz="8" w:space="0" w:color="auto"/>
              <w:right w:val="single" w:sz="8" w:space="0" w:color="000000"/>
            </w:tcBorders>
            <w:vAlign w:val="center"/>
            <w:hideMark/>
          </w:tcPr>
          <w:p w14:paraId="0B383D8E" w14:textId="77777777" w:rsidR="0093115D" w:rsidRPr="00274E0D" w:rsidRDefault="0093115D" w:rsidP="00434248">
            <w:pPr>
              <w:spacing w:before="0" w:after="0"/>
              <w:jc w:val="center"/>
              <w:rPr>
                <w:noProof/>
                <w:color w:val="000000"/>
                <w:sz w:val="14"/>
                <w:szCs w:val="14"/>
              </w:rPr>
            </w:pPr>
            <w:r w:rsidRPr="00274E0D">
              <w:rPr>
                <w:color w:val="000000"/>
                <w:sz w:val="14"/>
              </w:rPr>
              <w:t>= 5 + 6</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079E21F8"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5889CF1B"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3"/>
            <w:tcBorders>
              <w:top w:val="nil"/>
              <w:left w:val="nil"/>
              <w:bottom w:val="single" w:sz="8" w:space="0" w:color="auto"/>
              <w:right w:val="single" w:sz="8" w:space="0" w:color="auto"/>
            </w:tcBorders>
            <w:shd w:val="clear" w:color="000000" w:fill="D9D9D9"/>
            <w:vAlign w:val="center"/>
            <w:hideMark/>
          </w:tcPr>
          <w:p w14:paraId="39DB1880"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437" w:type="pct"/>
            <w:gridSpan w:val="2"/>
            <w:tcBorders>
              <w:top w:val="nil"/>
              <w:left w:val="nil"/>
              <w:bottom w:val="single" w:sz="8" w:space="0" w:color="auto"/>
              <w:right w:val="single" w:sz="8" w:space="0" w:color="auto"/>
            </w:tcBorders>
            <w:shd w:val="clear" w:color="000000" w:fill="D9D9D9"/>
            <w:vAlign w:val="center"/>
            <w:hideMark/>
          </w:tcPr>
          <w:p w14:paraId="2547AA3D"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528" w:type="pct"/>
            <w:tcBorders>
              <w:top w:val="nil"/>
              <w:left w:val="nil"/>
              <w:bottom w:val="single" w:sz="8" w:space="0" w:color="auto"/>
              <w:right w:val="single" w:sz="8" w:space="0" w:color="auto"/>
            </w:tcBorders>
            <w:shd w:val="clear" w:color="000000" w:fill="D9D9D9"/>
            <w:vAlign w:val="center"/>
            <w:hideMark/>
          </w:tcPr>
          <w:p w14:paraId="495AA16E"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r>
    </w:tbl>
    <w:p w14:paraId="6D9C897B" w14:textId="77777777" w:rsidR="0093115D" w:rsidRPr="00274E0D" w:rsidRDefault="0093115D" w:rsidP="00656AA8">
      <w:pPr>
        <w:rPr>
          <w:noProo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6"/>
        <w:gridCol w:w="1126"/>
        <w:gridCol w:w="8148"/>
      </w:tblGrid>
      <w:tr w:rsidR="0093115D" w:rsidRPr="00274E0D" w14:paraId="289D8961" w14:textId="77777777" w:rsidTr="00434248">
        <w:trPr>
          <w:jc w:val="center"/>
        </w:trPr>
        <w:tc>
          <w:tcPr>
            <w:tcW w:w="1668" w:type="pct"/>
            <w:vAlign w:val="center"/>
          </w:tcPr>
          <w:p w14:paraId="295328E0" w14:textId="77777777" w:rsidR="0093115D" w:rsidRPr="00274E0D" w:rsidRDefault="0093115D" w:rsidP="00434248">
            <w:pPr>
              <w:spacing w:before="60" w:after="60"/>
              <w:jc w:val="center"/>
              <w:rPr>
                <w:b/>
                <w:noProof/>
              </w:rPr>
            </w:pPr>
            <w:r w:rsidRPr="00274E0D">
              <w:br w:type="page"/>
            </w:r>
            <w:r w:rsidRPr="00274E0D">
              <w:rPr>
                <w:b/>
                <w:sz w:val="22"/>
              </w:rPr>
              <w:t xml:space="preserve">Monivuotisen rahoituskehyksen otsake </w:t>
            </w:r>
          </w:p>
        </w:tc>
        <w:tc>
          <w:tcPr>
            <w:tcW w:w="380" w:type="pct"/>
            <w:vAlign w:val="center"/>
          </w:tcPr>
          <w:p w14:paraId="7653D025" w14:textId="77777777" w:rsidR="0093115D" w:rsidRPr="00274E0D" w:rsidRDefault="0093115D" w:rsidP="00434248">
            <w:pPr>
              <w:spacing w:before="60" w:after="60"/>
              <w:jc w:val="center"/>
              <w:rPr>
                <w:noProof/>
              </w:rPr>
            </w:pPr>
            <w:r w:rsidRPr="00274E0D">
              <w:rPr>
                <w:b/>
                <w:sz w:val="22"/>
              </w:rPr>
              <w:t>7</w:t>
            </w:r>
          </w:p>
        </w:tc>
        <w:tc>
          <w:tcPr>
            <w:tcW w:w="2749" w:type="pct"/>
            <w:vAlign w:val="center"/>
          </w:tcPr>
          <w:p w14:paraId="0865132E" w14:textId="77777777" w:rsidR="0093115D" w:rsidRPr="00274E0D" w:rsidRDefault="0093115D" w:rsidP="00434248">
            <w:pPr>
              <w:spacing w:before="60" w:after="60"/>
              <w:rPr>
                <w:noProof/>
              </w:rPr>
            </w:pPr>
            <w:r w:rsidRPr="00274E0D">
              <w:rPr>
                <w:sz w:val="22"/>
              </w:rPr>
              <w:t>”Hallintomenot”</w:t>
            </w:r>
            <w:r w:rsidRPr="00274E0D">
              <w:t xml:space="preserve"> </w:t>
            </w:r>
          </w:p>
        </w:tc>
      </w:tr>
    </w:tbl>
    <w:p w14:paraId="3EAC1485" w14:textId="77777777" w:rsidR="0093115D" w:rsidRPr="00274E0D" w:rsidRDefault="0093115D" w:rsidP="00656AA8">
      <w:pPr>
        <w:jc w:val="right"/>
        <w:rPr>
          <w:noProof/>
          <w:sz w:val="20"/>
        </w:rPr>
      </w:pPr>
      <w:r w:rsidRPr="00274E0D">
        <w:rPr>
          <w:sz w:val="20"/>
        </w:rPr>
        <w:t>milj. euroa (kolmen desimaalin tarkkuudella)</w:t>
      </w:r>
    </w:p>
    <w:tbl>
      <w:tblPr>
        <w:tblW w:w="13326" w:type="dxa"/>
        <w:tblInd w:w="118" w:type="dxa"/>
        <w:tblLook w:val="04A0" w:firstRow="1" w:lastRow="0" w:firstColumn="1" w:lastColumn="0" w:noHBand="0" w:noVBand="1"/>
      </w:tblPr>
      <w:tblGrid>
        <w:gridCol w:w="4405"/>
        <w:gridCol w:w="2477"/>
        <w:gridCol w:w="598"/>
        <w:gridCol w:w="598"/>
        <w:gridCol w:w="1001"/>
        <w:gridCol w:w="1001"/>
        <w:gridCol w:w="1001"/>
        <w:gridCol w:w="1001"/>
        <w:gridCol w:w="1317"/>
      </w:tblGrid>
      <w:tr w:rsidR="0093115D" w:rsidRPr="00274E0D" w14:paraId="13E3528E" w14:textId="77777777" w:rsidTr="00434248">
        <w:trPr>
          <w:trHeight w:val="288"/>
        </w:trPr>
        <w:tc>
          <w:tcPr>
            <w:tcW w:w="8078" w:type="dxa"/>
            <w:gridSpan w:val="4"/>
            <w:vMerge w:val="restart"/>
            <w:tcBorders>
              <w:top w:val="single" w:sz="8" w:space="0" w:color="auto"/>
              <w:left w:val="single" w:sz="8" w:space="0" w:color="auto"/>
              <w:bottom w:val="single" w:sz="8" w:space="0" w:color="auto"/>
              <w:right w:val="single" w:sz="8" w:space="0" w:color="auto"/>
            </w:tcBorders>
            <w:vAlign w:val="center"/>
            <w:hideMark/>
          </w:tcPr>
          <w:p w14:paraId="6A9C1AB0" w14:textId="77777777" w:rsidR="0093115D" w:rsidRPr="00274E0D" w:rsidRDefault="0093115D" w:rsidP="00434248">
            <w:pPr>
              <w:spacing w:before="0" w:after="0"/>
              <w:jc w:val="center"/>
              <w:rPr>
                <w:noProof/>
                <w:color w:val="000000"/>
                <w:szCs w:val="24"/>
              </w:rPr>
            </w:pPr>
            <w:r w:rsidRPr="00274E0D">
              <w:rPr>
                <w:color w:val="000000"/>
              </w:rPr>
              <w:t>Pääosasto: &lt;</w:t>
            </w:r>
            <w:proofErr w:type="gramStart"/>
            <w:r w:rsidRPr="00274E0D">
              <w:rPr>
                <w:color w:val="000000"/>
              </w:rPr>
              <w:t>…….</w:t>
            </w:r>
            <w:proofErr w:type="gramEnd"/>
            <w:r w:rsidRPr="00274E0D">
              <w:rPr>
                <w:color w:val="000000"/>
              </w:rPr>
              <w:t>&gt;</w:t>
            </w:r>
          </w:p>
        </w:tc>
        <w:tc>
          <w:tcPr>
            <w:tcW w:w="1001" w:type="dxa"/>
            <w:tcBorders>
              <w:top w:val="single" w:sz="8" w:space="0" w:color="auto"/>
              <w:left w:val="nil"/>
              <w:bottom w:val="nil"/>
              <w:right w:val="single" w:sz="8" w:space="0" w:color="auto"/>
            </w:tcBorders>
            <w:vAlign w:val="center"/>
            <w:hideMark/>
          </w:tcPr>
          <w:p w14:paraId="01B8D31E"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1001" w:type="dxa"/>
            <w:tcBorders>
              <w:top w:val="single" w:sz="8" w:space="0" w:color="auto"/>
              <w:left w:val="nil"/>
              <w:bottom w:val="nil"/>
              <w:right w:val="single" w:sz="8" w:space="0" w:color="auto"/>
            </w:tcBorders>
            <w:vAlign w:val="center"/>
            <w:hideMark/>
          </w:tcPr>
          <w:p w14:paraId="2A87DF12" w14:textId="77777777" w:rsidR="0093115D" w:rsidRPr="00274E0D" w:rsidRDefault="0093115D" w:rsidP="00434248">
            <w:pPr>
              <w:spacing w:before="0" w:after="0"/>
              <w:jc w:val="center"/>
              <w:rPr>
                <w:noProof/>
                <w:color w:val="000000" w:themeColor="text1"/>
                <w:sz w:val="20"/>
                <w:szCs w:val="20"/>
              </w:rPr>
            </w:pPr>
            <w:r w:rsidRPr="00274E0D">
              <w:rPr>
                <w:color w:val="000000" w:themeColor="text1"/>
                <w:sz w:val="20"/>
              </w:rPr>
              <w:t>Vuosi</w:t>
            </w:r>
          </w:p>
        </w:tc>
        <w:tc>
          <w:tcPr>
            <w:tcW w:w="1001" w:type="dxa"/>
            <w:tcBorders>
              <w:top w:val="single" w:sz="8" w:space="0" w:color="auto"/>
              <w:left w:val="nil"/>
              <w:bottom w:val="nil"/>
              <w:right w:val="single" w:sz="8" w:space="0" w:color="auto"/>
            </w:tcBorders>
            <w:vAlign w:val="center"/>
            <w:hideMark/>
          </w:tcPr>
          <w:p w14:paraId="39857FB9" w14:textId="77777777" w:rsidR="0093115D" w:rsidRPr="00274E0D" w:rsidRDefault="0093115D" w:rsidP="00434248">
            <w:pPr>
              <w:spacing w:before="0" w:after="0"/>
              <w:jc w:val="center"/>
              <w:rPr>
                <w:noProof/>
                <w:color w:val="000000" w:themeColor="text1"/>
                <w:sz w:val="20"/>
                <w:szCs w:val="20"/>
              </w:rPr>
            </w:pPr>
            <w:r w:rsidRPr="00274E0D">
              <w:rPr>
                <w:color w:val="000000" w:themeColor="text1"/>
                <w:sz w:val="20"/>
              </w:rPr>
              <w:t>Vuosi</w:t>
            </w:r>
          </w:p>
        </w:tc>
        <w:tc>
          <w:tcPr>
            <w:tcW w:w="1001" w:type="dxa"/>
            <w:tcBorders>
              <w:top w:val="single" w:sz="8" w:space="0" w:color="auto"/>
              <w:left w:val="nil"/>
              <w:bottom w:val="nil"/>
              <w:right w:val="single" w:sz="8" w:space="0" w:color="auto"/>
            </w:tcBorders>
            <w:vAlign w:val="center"/>
            <w:hideMark/>
          </w:tcPr>
          <w:p w14:paraId="51819FF1" w14:textId="77777777" w:rsidR="0093115D" w:rsidRPr="00274E0D" w:rsidRDefault="0093115D" w:rsidP="00434248">
            <w:pPr>
              <w:spacing w:before="0" w:after="0"/>
              <w:jc w:val="center"/>
              <w:rPr>
                <w:noProof/>
                <w:color w:val="000000" w:themeColor="text1"/>
                <w:sz w:val="20"/>
                <w:szCs w:val="20"/>
              </w:rPr>
            </w:pPr>
            <w:r w:rsidRPr="00274E0D">
              <w:rPr>
                <w:color w:val="000000" w:themeColor="text1"/>
                <w:sz w:val="20"/>
              </w:rPr>
              <w:t>Vuosi</w:t>
            </w:r>
          </w:p>
        </w:tc>
        <w:tc>
          <w:tcPr>
            <w:tcW w:w="1244" w:type="dxa"/>
            <w:vMerge w:val="restart"/>
            <w:tcBorders>
              <w:top w:val="single" w:sz="8" w:space="0" w:color="auto"/>
              <w:left w:val="single" w:sz="8" w:space="0" w:color="auto"/>
              <w:bottom w:val="single" w:sz="8" w:space="0" w:color="000000"/>
              <w:right w:val="single" w:sz="8" w:space="0" w:color="auto"/>
            </w:tcBorders>
            <w:vAlign w:val="center"/>
            <w:hideMark/>
          </w:tcPr>
          <w:p w14:paraId="74E1C22E"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MRK YHTEENSÄ 2021–2027</w:t>
            </w:r>
          </w:p>
        </w:tc>
      </w:tr>
      <w:tr w:rsidR="0093115D" w:rsidRPr="00274E0D" w14:paraId="29F0389A" w14:textId="77777777" w:rsidTr="00434248">
        <w:trPr>
          <w:trHeight w:val="300"/>
        </w:trPr>
        <w:tc>
          <w:tcPr>
            <w:tcW w:w="8078" w:type="dxa"/>
            <w:gridSpan w:val="4"/>
            <w:vMerge/>
            <w:tcBorders>
              <w:top w:val="single" w:sz="8" w:space="0" w:color="auto"/>
              <w:left w:val="single" w:sz="8" w:space="0" w:color="auto"/>
              <w:bottom w:val="single" w:sz="8" w:space="0" w:color="auto"/>
              <w:right w:val="single" w:sz="8" w:space="0" w:color="auto"/>
            </w:tcBorders>
            <w:vAlign w:val="center"/>
            <w:hideMark/>
          </w:tcPr>
          <w:p w14:paraId="12E2BE2C" w14:textId="77777777" w:rsidR="0093115D" w:rsidRPr="00274E0D" w:rsidRDefault="0093115D" w:rsidP="00434248">
            <w:pPr>
              <w:spacing w:before="0" w:after="0"/>
              <w:jc w:val="left"/>
              <w:rPr>
                <w:noProof/>
                <w:color w:val="000000"/>
                <w:szCs w:val="24"/>
                <w:lang w:eastAsia="en-IE"/>
              </w:rPr>
            </w:pPr>
          </w:p>
        </w:tc>
        <w:tc>
          <w:tcPr>
            <w:tcW w:w="1001" w:type="dxa"/>
            <w:tcBorders>
              <w:top w:val="nil"/>
              <w:left w:val="nil"/>
              <w:bottom w:val="single" w:sz="8" w:space="0" w:color="auto"/>
              <w:right w:val="single" w:sz="8" w:space="0" w:color="auto"/>
            </w:tcBorders>
            <w:vAlign w:val="center"/>
            <w:hideMark/>
          </w:tcPr>
          <w:p w14:paraId="1FA65462"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1001" w:type="dxa"/>
            <w:tcBorders>
              <w:top w:val="nil"/>
              <w:left w:val="nil"/>
              <w:bottom w:val="single" w:sz="8" w:space="0" w:color="auto"/>
              <w:right w:val="single" w:sz="8" w:space="0" w:color="auto"/>
            </w:tcBorders>
            <w:vAlign w:val="center"/>
            <w:hideMark/>
          </w:tcPr>
          <w:p w14:paraId="4B00087F"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2025</w:t>
            </w:r>
          </w:p>
        </w:tc>
        <w:tc>
          <w:tcPr>
            <w:tcW w:w="1001" w:type="dxa"/>
            <w:tcBorders>
              <w:top w:val="nil"/>
              <w:left w:val="nil"/>
              <w:bottom w:val="single" w:sz="8" w:space="0" w:color="auto"/>
              <w:right w:val="single" w:sz="8" w:space="0" w:color="auto"/>
            </w:tcBorders>
            <w:vAlign w:val="center"/>
            <w:hideMark/>
          </w:tcPr>
          <w:p w14:paraId="5B52C242"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2026</w:t>
            </w:r>
          </w:p>
        </w:tc>
        <w:tc>
          <w:tcPr>
            <w:tcW w:w="1001" w:type="dxa"/>
            <w:tcBorders>
              <w:top w:val="nil"/>
              <w:left w:val="nil"/>
              <w:bottom w:val="single" w:sz="8" w:space="0" w:color="auto"/>
              <w:right w:val="single" w:sz="8" w:space="0" w:color="auto"/>
            </w:tcBorders>
            <w:vAlign w:val="center"/>
            <w:hideMark/>
          </w:tcPr>
          <w:p w14:paraId="10F33AD1"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2027</w:t>
            </w:r>
          </w:p>
        </w:tc>
        <w:tc>
          <w:tcPr>
            <w:tcW w:w="1244" w:type="dxa"/>
            <w:vMerge/>
            <w:tcBorders>
              <w:top w:val="single" w:sz="8" w:space="0" w:color="auto"/>
              <w:left w:val="single" w:sz="8" w:space="0" w:color="auto"/>
              <w:bottom w:val="single" w:sz="8" w:space="0" w:color="000000"/>
              <w:right w:val="single" w:sz="8" w:space="0" w:color="auto"/>
            </w:tcBorders>
            <w:vAlign w:val="center"/>
            <w:hideMark/>
          </w:tcPr>
          <w:p w14:paraId="5E24196C" w14:textId="77777777" w:rsidR="0093115D" w:rsidRPr="00274E0D" w:rsidRDefault="0093115D" w:rsidP="00434248">
            <w:pPr>
              <w:spacing w:before="0" w:after="0"/>
              <w:jc w:val="left"/>
              <w:rPr>
                <w:b/>
                <w:bCs/>
                <w:noProof/>
                <w:color w:val="000000" w:themeColor="text1"/>
                <w:sz w:val="20"/>
                <w:szCs w:val="20"/>
                <w:lang w:eastAsia="en-IE"/>
              </w:rPr>
            </w:pPr>
          </w:p>
        </w:tc>
      </w:tr>
      <w:tr w:rsidR="0093115D" w:rsidRPr="00274E0D" w14:paraId="27454BE5" w14:textId="77777777" w:rsidTr="00434248">
        <w:trPr>
          <w:trHeight w:val="300"/>
        </w:trPr>
        <w:tc>
          <w:tcPr>
            <w:tcW w:w="8078" w:type="dxa"/>
            <w:gridSpan w:val="4"/>
            <w:tcBorders>
              <w:top w:val="single" w:sz="8" w:space="0" w:color="auto"/>
              <w:left w:val="single" w:sz="8" w:space="0" w:color="auto"/>
              <w:bottom w:val="single" w:sz="8" w:space="0" w:color="auto"/>
              <w:right w:val="single" w:sz="8" w:space="0" w:color="auto"/>
            </w:tcBorders>
            <w:vAlign w:val="center"/>
            <w:hideMark/>
          </w:tcPr>
          <w:p w14:paraId="7FB822CA" w14:textId="77777777" w:rsidR="0093115D" w:rsidRPr="00274E0D" w:rsidRDefault="0093115D" w:rsidP="00434248">
            <w:pPr>
              <w:spacing w:before="0" w:after="0"/>
              <w:jc w:val="left"/>
              <w:rPr>
                <w:rFonts w:ascii="Wingdings" w:hAnsi="Wingdings" w:cs="Calibri"/>
                <w:noProof/>
                <w:color w:val="000000"/>
                <w:sz w:val="22"/>
              </w:rPr>
            </w:pPr>
            <w:r w:rsidRPr="00274E0D">
              <w:rPr>
                <w:rFonts w:ascii="Wingdings" w:hAnsi="Wingdings"/>
                <w:color w:val="000000"/>
                <w:sz w:val="22"/>
              </w:rPr>
              <w:t></w:t>
            </w:r>
            <w:r w:rsidRPr="00274E0D">
              <w:t xml:space="preserve"> </w:t>
            </w:r>
            <w:r w:rsidRPr="00274E0D">
              <w:rPr>
                <w:color w:val="000000"/>
                <w:sz w:val="22"/>
              </w:rPr>
              <w:t xml:space="preserve">Henkilöresurssit </w:t>
            </w:r>
          </w:p>
        </w:tc>
        <w:tc>
          <w:tcPr>
            <w:tcW w:w="1001" w:type="dxa"/>
            <w:tcBorders>
              <w:top w:val="nil"/>
              <w:left w:val="nil"/>
              <w:bottom w:val="single" w:sz="8" w:space="0" w:color="auto"/>
              <w:right w:val="single" w:sz="8" w:space="0" w:color="auto"/>
            </w:tcBorders>
            <w:shd w:val="clear" w:color="000000" w:fill="D9D9D9"/>
            <w:vAlign w:val="center"/>
            <w:hideMark/>
          </w:tcPr>
          <w:p w14:paraId="561B9E16"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C8C91D2"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37C331B5"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656AF84"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56982EB9"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r>
      <w:tr w:rsidR="0093115D" w:rsidRPr="00274E0D" w14:paraId="7F5C94C3" w14:textId="77777777" w:rsidTr="00434248">
        <w:trPr>
          <w:trHeight w:val="300"/>
        </w:trPr>
        <w:tc>
          <w:tcPr>
            <w:tcW w:w="8078" w:type="dxa"/>
            <w:gridSpan w:val="4"/>
            <w:tcBorders>
              <w:top w:val="single" w:sz="8" w:space="0" w:color="auto"/>
              <w:left w:val="single" w:sz="8" w:space="0" w:color="auto"/>
              <w:bottom w:val="single" w:sz="8" w:space="0" w:color="auto"/>
              <w:right w:val="single" w:sz="8" w:space="0" w:color="auto"/>
            </w:tcBorders>
            <w:vAlign w:val="center"/>
            <w:hideMark/>
          </w:tcPr>
          <w:p w14:paraId="287D5E1E" w14:textId="77777777" w:rsidR="0093115D" w:rsidRPr="00274E0D" w:rsidRDefault="0093115D" w:rsidP="00434248">
            <w:pPr>
              <w:spacing w:before="0" w:after="0"/>
              <w:jc w:val="left"/>
              <w:rPr>
                <w:rFonts w:ascii="Wingdings" w:hAnsi="Wingdings" w:cs="Calibri"/>
                <w:noProof/>
                <w:color w:val="000000"/>
                <w:sz w:val="22"/>
              </w:rPr>
            </w:pPr>
            <w:r w:rsidRPr="00274E0D">
              <w:rPr>
                <w:rFonts w:ascii="Wingdings" w:hAnsi="Wingdings"/>
                <w:color w:val="000000"/>
                <w:sz w:val="22"/>
              </w:rPr>
              <w:t></w:t>
            </w:r>
            <w:r w:rsidRPr="00274E0D">
              <w:rPr>
                <w:color w:val="000000"/>
                <w:sz w:val="22"/>
              </w:rPr>
              <w:t xml:space="preserve"> Muut hallintomenot </w:t>
            </w:r>
          </w:p>
        </w:tc>
        <w:tc>
          <w:tcPr>
            <w:tcW w:w="1001" w:type="dxa"/>
            <w:tcBorders>
              <w:top w:val="nil"/>
              <w:left w:val="nil"/>
              <w:bottom w:val="single" w:sz="8" w:space="0" w:color="auto"/>
              <w:right w:val="single" w:sz="8" w:space="0" w:color="auto"/>
            </w:tcBorders>
            <w:shd w:val="clear" w:color="000000" w:fill="D9D9D9"/>
            <w:vAlign w:val="center"/>
            <w:hideMark/>
          </w:tcPr>
          <w:p w14:paraId="6C907B23" w14:textId="77777777" w:rsidR="0093115D" w:rsidRPr="00274E0D" w:rsidRDefault="0093115D" w:rsidP="00434248">
            <w:pPr>
              <w:spacing w:before="0" w:after="0"/>
              <w:jc w:val="right"/>
              <w:rPr>
                <w:noProof/>
                <w:color w:val="000000"/>
                <w:sz w:val="20"/>
                <w:szCs w:val="20"/>
              </w:rPr>
            </w:pPr>
            <w:r w:rsidRPr="00274E0D">
              <w:rPr>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7DD0F089"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3A8BDAA"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0B811361" w14:textId="77777777" w:rsidR="0093115D" w:rsidRPr="00274E0D" w:rsidRDefault="0093115D" w:rsidP="00434248">
            <w:pPr>
              <w:spacing w:before="0" w:after="0"/>
              <w:jc w:val="right"/>
              <w:rPr>
                <w:noProof/>
                <w:color w:val="000000" w:themeColor="text1"/>
                <w:sz w:val="20"/>
                <w:szCs w:val="20"/>
              </w:rPr>
            </w:pPr>
            <w:r w:rsidRPr="00274E0D">
              <w:rPr>
                <w:color w:val="000000" w:themeColor="text1"/>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71D123F0"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r>
      <w:tr w:rsidR="0093115D" w:rsidRPr="00274E0D" w14:paraId="346521B7" w14:textId="77777777" w:rsidTr="00434248">
        <w:trPr>
          <w:trHeight w:val="300"/>
        </w:trPr>
        <w:tc>
          <w:tcPr>
            <w:tcW w:w="4405" w:type="dxa"/>
            <w:tcBorders>
              <w:top w:val="nil"/>
              <w:left w:val="single" w:sz="8" w:space="0" w:color="auto"/>
              <w:bottom w:val="single" w:sz="8" w:space="0" w:color="auto"/>
              <w:right w:val="single" w:sz="8" w:space="0" w:color="auto"/>
            </w:tcBorders>
            <w:vAlign w:val="center"/>
            <w:hideMark/>
          </w:tcPr>
          <w:p w14:paraId="1DC3F04F" w14:textId="77777777" w:rsidR="0093115D" w:rsidRPr="00274E0D" w:rsidRDefault="0093115D" w:rsidP="00434248">
            <w:pPr>
              <w:spacing w:before="0" w:after="0"/>
              <w:jc w:val="center"/>
              <w:rPr>
                <w:b/>
                <w:bCs/>
                <w:noProof/>
                <w:color w:val="000000"/>
                <w:sz w:val="22"/>
              </w:rPr>
            </w:pPr>
            <w:r w:rsidRPr="00274E0D">
              <w:rPr>
                <w:b/>
                <w:color w:val="000000"/>
                <w:sz w:val="22"/>
              </w:rPr>
              <w:t>Pääosasto</w:t>
            </w:r>
            <w:r w:rsidRPr="00274E0D">
              <w:rPr>
                <w:color w:val="000000"/>
                <w:sz w:val="22"/>
              </w:rPr>
              <w:t xml:space="preserve"> &lt;</w:t>
            </w:r>
            <w:proofErr w:type="gramStart"/>
            <w:r w:rsidRPr="00274E0D">
              <w:rPr>
                <w:color w:val="000000"/>
                <w:sz w:val="22"/>
              </w:rPr>
              <w:t>…….</w:t>
            </w:r>
            <w:proofErr w:type="gramEnd"/>
            <w:r w:rsidRPr="00274E0D">
              <w:rPr>
                <w:color w:val="000000"/>
                <w:sz w:val="22"/>
              </w:rPr>
              <w:t xml:space="preserve">&gt; </w:t>
            </w:r>
            <w:r w:rsidRPr="00274E0D">
              <w:rPr>
                <w:b/>
                <w:color w:val="000000"/>
                <w:sz w:val="22"/>
              </w:rPr>
              <w:t>YHTEENSÄ</w:t>
            </w:r>
          </w:p>
        </w:tc>
        <w:tc>
          <w:tcPr>
            <w:tcW w:w="3673" w:type="dxa"/>
            <w:gridSpan w:val="3"/>
            <w:tcBorders>
              <w:top w:val="single" w:sz="8" w:space="0" w:color="auto"/>
              <w:left w:val="nil"/>
              <w:bottom w:val="single" w:sz="8" w:space="0" w:color="auto"/>
              <w:right w:val="single" w:sz="8" w:space="0" w:color="auto"/>
            </w:tcBorders>
            <w:vAlign w:val="center"/>
            <w:hideMark/>
          </w:tcPr>
          <w:p w14:paraId="00E6B6BC" w14:textId="77777777" w:rsidR="0093115D" w:rsidRPr="00274E0D" w:rsidRDefault="0093115D" w:rsidP="00434248">
            <w:pPr>
              <w:spacing w:before="0" w:after="0"/>
              <w:jc w:val="left"/>
              <w:rPr>
                <w:noProof/>
                <w:color w:val="000000"/>
                <w:sz w:val="18"/>
                <w:szCs w:val="18"/>
              </w:rPr>
            </w:pPr>
            <w:r w:rsidRPr="00274E0D">
              <w:rPr>
                <w:color w:val="000000"/>
                <w:sz w:val="18"/>
              </w:rPr>
              <w:t xml:space="preserve">Määrärahat </w:t>
            </w:r>
          </w:p>
        </w:tc>
        <w:tc>
          <w:tcPr>
            <w:tcW w:w="1001" w:type="dxa"/>
            <w:tcBorders>
              <w:top w:val="nil"/>
              <w:left w:val="nil"/>
              <w:bottom w:val="single" w:sz="8" w:space="0" w:color="auto"/>
              <w:right w:val="single" w:sz="8" w:space="0" w:color="auto"/>
            </w:tcBorders>
            <w:shd w:val="clear" w:color="000000" w:fill="D9D9D9"/>
            <w:vAlign w:val="center"/>
            <w:hideMark/>
          </w:tcPr>
          <w:p w14:paraId="2DFCE7F8"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5A5BEC3C"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382A8A8"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001" w:type="dxa"/>
            <w:tcBorders>
              <w:top w:val="nil"/>
              <w:left w:val="nil"/>
              <w:bottom w:val="single" w:sz="8" w:space="0" w:color="auto"/>
              <w:right w:val="single" w:sz="8" w:space="0" w:color="auto"/>
            </w:tcBorders>
            <w:shd w:val="clear" w:color="000000" w:fill="D9D9D9"/>
            <w:vAlign w:val="center"/>
            <w:hideMark/>
          </w:tcPr>
          <w:p w14:paraId="168CF193"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244" w:type="dxa"/>
            <w:tcBorders>
              <w:top w:val="nil"/>
              <w:left w:val="nil"/>
              <w:bottom w:val="single" w:sz="8" w:space="0" w:color="auto"/>
              <w:right w:val="single" w:sz="8" w:space="0" w:color="auto"/>
            </w:tcBorders>
            <w:shd w:val="clear" w:color="000000" w:fill="D9D9D9"/>
            <w:vAlign w:val="center"/>
            <w:hideMark/>
          </w:tcPr>
          <w:p w14:paraId="381C6540"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r>
      <w:tr w:rsidR="0093115D" w:rsidRPr="00274E0D" w14:paraId="5B919B4A" w14:textId="77777777" w:rsidTr="00434248">
        <w:trPr>
          <w:trHeight w:val="300"/>
        </w:trPr>
        <w:tc>
          <w:tcPr>
            <w:tcW w:w="4405" w:type="dxa"/>
            <w:tcBorders>
              <w:top w:val="nil"/>
              <w:left w:val="nil"/>
              <w:bottom w:val="nil"/>
              <w:right w:val="nil"/>
            </w:tcBorders>
            <w:noWrap/>
            <w:vAlign w:val="bottom"/>
            <w:hideMark/>
          </w:tcPr>
          <w:p w14:paraId="26CB3EAD" w14:textId="77777777" w:rsidR="0093115D" w:rsidRPr="00274E0D" w:rsidRDefault="0093115D" w:rsidP="00434248">
            <w:pPr>
              <w:spacing w:before="0" w:after="0"/>
              <w:jc w:val="right"/>
              <w:rPr>
                <w:b/>
                <w:bCs/>
                <w:noProof/>
                <w:color w:val="000000"/>
                <w:sz w:val="20"/>
                <w:szCs w:val="20"/>
                <w:lang w:eastAsia="en-IE"/>
              </w:rPr>
            </w:pPr>
          </w:p>
        </w:tc>
        <w:tc>
          <w:tcPr>
            <w:tcW w:w="2477" w:type="dxa"/>
            <w:tcBorders>
              <w:top w:val="nil"/>
              <w:left w:val="nil"/>
              <w:bottom w:val="nil"/>
              <w:right w:val="nil"/>
            </w:tcBorders>
            <w:noWrap/>
            <w:vAlign w:val="bottom"/>
            <w:hideMark/>
          </w:tcPr>
          <w:p w14:paraId="5E303A7A" w14:textId="77777777" w:rsidR="0093115D" w:rsidRPr="00274E0D" w:rsidRDefault="0093115D" w:rsidP="00434248">
            <w:pPr>
              <w:spacing w:before="0" w:after="0"/>
              <w:jc w:val="left"/>
              <w:rPr>
                <w:noProof/>
                <w:sz w:val="20"/>
                <w:szCs w:val="20"/>
                <w:lang w:eastAsia="en-IE"/>
              </w:rPr>
            </w:pPr>
          </w:p>
        </w:tc>
        <w:tc>
          <w:tcPr>
            <w:tcW w:w="598" w:type="dxa"/>
            <w:tcBorders>
              <w:top w:val="nil"/>
              <w:left w:val="nil"/>
              <w:bottom w:val="nil"/>
              <w:right w:val="nil"/>
            </w:tcBorders>
            <w:noWrap/>
            <w:vAlign w:val="bottom"/>
            <w:hideMark/>
          </w:tcPr>
          <w:p w14:paraId="7B404D08" w14:textId="77777777" w:rsidR="0093115D" w:rsidRPr="00274E0D" w:rsidRDefault="0093115D" w:rsidP="00434248">
            <w:pPr>
              <w:spacing w:before="0" w:after="0"/>
              <w:jc w:val="left"/>
              <w:rPr>
                <w:noProof/>
                <w:sz w:val="20"/>
                <w:szCs w:val="20"/>
                <w:lang w:eastAsia="en-IE"/>
              </w:rPr>
            </w:pPr>
          </w:p>
        </w:tc>
        <w:tc>
          <w:tcPr>
            <w:tcW w:w="598" w:type="dxa"/>
            <w:tcBorders>
              <w:top w:val="nil"/>
              <w:left w:val="nil"/>
              <w:bottom w:val="nil"/>
              <w:right w:val="nil"/>
            </w:tcBorders>
            <w:noWrap/>
            <w:vAlign w:val="bottom"/>
            <w:hideMark/>
          </w:tcPr>
          <w:p w14:paraId="6CD82FA1" w14:textId="77777777" w:rsidR="0093115D" w:rsidRPr="00274E0D" w:rsidRDefault="0093115D" w:rsidP="00434248">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3CA819EA" w14:textId="77777777" w:rsidR="0093115D" w:rsidRPr="00274E0D" w:rsidRDefault="0093115D" w:rsidP="00434248">
            <w:pPr>
              <w:spacing w:before="0" w:after="0"/>
              <w:jc w:val="left"/>
              <w:rPr>
                <w:noProof/>
                <w:sz w:val="20"/>
                <w:szCs w:val="20"/>
                <w:lang w:eastAsia="en-IE"/>
              </w:rPr>
            </w:pPr>
          </w:p>
        </w:tc>
        <w:tc>
          <w:tcPr>
            <w:tcW w:w="1001" w:type="dxa"/>
            <w:tcBorders>
              <w:top w:val="nil"/>
              <w:left w:val="nil"/>
              <w:bottom w:val="nil"/>
              <w:right w:val="nil"/>
            </w:tcBorders>
            <w:noWrap/>
            <w:vAlign w:val="bottom"/>
            <w:hideMark/>
          </w:tcPr>
          <w:p w14:paraId="17F70B8A" w14:textId="77777777" w:rsidR="0093115D" w:rsidRPr="00274E0D" w:rsidRDefault="0093115D" w:rsidP="00434248">
            <w:pPr>
              <w:spacing w:before="0" w:after="0"/>
              <w:jc w:val="left"/>
              <w:rPr>
                <w:noProof/>
                <w:color w:val="000000" w:themeColor="text1"/>
                <w:sz w:val="20"/>
                <w:szCs w:val="20"/>
                <w:lang w:eastAsia="en-IE"/>
              </w:rPr>
            </w:pPr>
          </w:p>
        </w:tc>
        <w:tc>
          <w:tcPr>
            <w:tcW w:w="1001" w:type="dxa"/>
            <w:tcBorders>
              <w:top w:val="nil"/>
              <w:left w:val="nil"/>
              <w:bottom w:val="nil"/>
              <w:right w:val="nil"/>
            </w:tcBorders>
            <w:noWrap/>
            <w:vAlign w:val="bottom"/>
            <w:hideMark/>
          </w:tcPr>
          <w:p w14:paraId="7B826553" w14:textId="77777777" w:rsidR="0093115D" w:rsidRPr="00274E0D" w:rsidRDefault="0093115D" w:rsidP="00434248">
            <w:pPr>
              <w:spacing w:before="0" w:after="0"/>
              <w:jc w:val="left"/>
              <w:rPr>
                <w:noProof/>
                <w:color w:val="000000" w:themeColor="text1"/>
                <w:sz w:val="20"/>
                <w:szCs w:val="20"/>
                <w:lang w:eastAsia="en-IE"/>
              </w:rPr>
            </w:pPr>
          </w:p>
        </w:tc>
        <w:tc>
          <w:tcPr>
            <w:tcW w:w="1001" w:type="dxa"/>
            <w:tcBorders>
              <w:top w:val="nil"/>
              <w:left w:val="nil"/>
              <w:bottom w:val="nil"/>
              <w:right w:val="nil"/>
            </w:tcBorders>
            <w:noWrap/>
            <w:vAlign w:val="bottom"/>
            <w:hideMark/>
          </w:tcPr>
          <w:p w14:paraId="54762A32" w14:textId="77777777" w:rsidR="0093115D" w:rsidRPr="00274E0D" w:rsidRDefault="0093115D" w:rsidP="00434248">
            <w:pPr>
              <w:spacing w:before="0" w:after="0"/>
              <w:jc w:val="left"/>
              <w:rPr>
                <w:noProof/>
                <w:color w:val="000000" w:themeColor="text1"/>
                <w:sz w:val="20"/>
                <w:szCs w:val="20"/>
                <w:lang w:eastAsia="en-IE"/>
              </w:rPr>
            </w:pPr>
          </w:p>
        </w:tc>
        <w:tc>
          <w:tcPr>
            <w:tcW w:w="1244" w:type="dxa"/>
            <w:tcBorders>
              <w:top w:val="nil"/>
              <w:left w:val="nil"/>
              <w:bottom w:val="nil"/>
              <w:right w:val="nil"/>
            </w:tcBorders>
            <w:noWrap/>
            <w:vAlign w:val="bottom"/>
            <w:hideMark/>
          </w:tcPr>
          <w:p w14:paraId="543DA28B" w14:textId="77777777" w:rsidR="0093115D" w:rsidRPr="00274E0D" w:rsidRDefault="0093115D" w:rsidP="00434248">
            <w:pPr>
              <w:spacing w:before="0" w:after="0"/>
              <w:jc w:val="left"/>
              <w:rPr>
                <w:noProof/>
                <w:color w:val="000000" w:themeColor="text1"/>
                <w:sz w:val="20"/>
                <w:szCs w:val="20"/>
                <w:lang w:eastAsia="en-IE"/>
              </w:rPr>
            </w:pPr>
          </w:p>
        </w:tc>
      </w:tr>
      <w:tr w:rsidR="0093115D" w:rsidRPr="00274E0D" w14:paraId="4ABA1352" w14:textId="77777777" w:rsidTr="00434248">
        <w:trPr>
          <w:trHeight w:val="900"/>
        </w:trPr>
        <w:tc>
          <w:tcPr>
            <w:tcW w:w="6882" w:type="dxa"/>
            <w:gridSpan w:val="2"/>
            <w:tcBorders>
              <w:top w:val="single" w:sz="8" w:space="0" w:color="auto"/>
              <w:left w:val="single" w:sz="8" w:space="0" w:color="auto"/>
              <w:bottom w:val="single" w:sz="8" w:space="0" w:color="auto"/>
              <w:right w:val="single" w:sz="8" w:space="0" w:color="auto"/>
            </w:tcBorders>
            <w:shd w:val="thinDiagStripe" w:color="C0C0C0" w:fill="F1F1F1"/>
            <w:vAlign w:val="center"/>
            <w:hideMark/>
          </w:tcPr>
          <w:p w14:paraId="7BFF5C31" w14:textId="77777777" w:rsidR="0093115D" w:rsidRPr="00274E0D" w:rsidRDefault="0093115D" w:rsidP="00434248">
            <w:pPr>
              <w:spacing w:before="0" w:after="0"/>
              <w:jc w:val="center"/>
              <w:rPr>
                <w:b/>
                <w:bCs/>
                <w:noProof/>
                <w:color w:val="000000"/>
                <w:sz w:val="22"/>
              </w:rPr>
            </w:pPr>
            <w:r w:rsidRPr="00274E0D">
              <w:rPr>
                <w:b/>
                <w:color w:val="000000"/>
                <w:sz w:val="22"/>
              </w:rPr>
              <w:t xml:space="preserve">Monivuotisen rahoituskehyksen OTSAKKEESEEN 7 kuuluvat määrärahat YHTEENSÄ </w:t>
            </w:r>
          </w:p>
        </w:tc>
        <w:tc>
          <w:tcPr>
            <w:tcW w:w="1196" w:type="dxa"/>
            <w:gridSpan w:val="2"/>
            <w:tcBorders>
              <w:top w:val="single" w:sz="8" w:space="0" w:color="auto"/>
              <w:left w:val="nil"/>
              <w:bottom w:val="single" w:sz="8" w:space="0" w:color="auto"/>
              <w:right w:val="single" w:sz="8" w:space="0" w:color="auto"/>
            </w:tcBorders>
            <w:vAlign w:val="center"/>
            <w:hideMark/>
          </w:tcPr>
          <w:p w14:paraId="0E80BCBD" w14:textId="77777777" w:rsidR="0093115D" w:rsidRPr="00274E0D" w:rsidRDefault="0093115D" w:rsidP="00434248">
            <w:pPr>
              <w:spacing w:before="0" w:after="0"/>
              <w:jc w:val="center"/>
              <w:rPr>
                <w:noProof/>
                <w:color w:val="000000"/>
                <w:sz w:val="18"/>
                <w:szCs w:val="18"/>
              </w:rPr>
            </w:pPr>
            <w:r w:rsidRPr="00274E0D">
              <w:rPr>
                <w:color w:val="000000"/>
                <w:sz w:val="18"/>
              </w:rPr>
              <w:t>(Sitoumukset yhteensä = maksut yhteensä)</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7BD558BA" w14:textId="77777777" w:rsidR="0093115D" w:rsidRPr="00274E0D" w:rsidRDefault="0093115D" w:rsidP="00434248">
            <w:pPr>
              <w:spacing w:before="0" w:after="0"/>
              <w:jc w:val="right"/>
              <w:rPr>
                <w:b/>
                <w:bCs/>
                <w:noProof/>
                <w:color w:val="000000"/>
                <w:sz w:val="20"/>
                <w:szCs w:val="20"/>
              </w:rPr>
            </w:pPr>
            <w:r w:rsidRPr="00274E0D">
              <w:rPr>
                <w:b/>
                <w:color w:val="000000"/>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42B9CF02"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6D4747E1"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001" w:type="dxa"/>
            <w:tcBorders>
              <w:top w:val="single" w:sz="8" w:space="0" w:color="auto"/>
              <w:left w:val="nil"/>
              <w:bottom w:val="single" w:sz="8" w:space="0" w:color="auto"/>
              <w:right w:val="single" w:sz="8" w:space="0" w:color="auto"/>
            </w:tcBorders>
            <w:shd w:val="clear" w:color="000000" w:fill="D9D9D9"/>
            <w:vAlign w:val="center"/>
            <w:hideMark/>
          </w:tcPr>
          <w:p w14:paraId="629D7FDE"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c>
          <w:tcPr>
            <w:tcW w:w="1244" w:type="dxa"/>
            <w:tcBorders>
              <w:top w:val="single" w:sz="8" w:space="0" w:color="auto"/>
              <w:left w:val="nil"/>
              <w:bottom w:val="single" w:sz="8" w:space="0" w:color="auto"/>
              <w:right w:val="single" w:sz="8" w:space="0" w:color="auto"/>
            </w:tcBorders>
            <w:shd w:val="clear" w:color="000000" w:fill="D9D9D9"/>
            <w:vAlign w:val="center"/>
            <w:hideMark/>
          </w:tcPr>
          <w:p w14:paraId="4F3F4EAD" w14:textId="77777777" w:rsidR="0093115D" w:rsidRPr="00274E0D" w:rsidRDefault="0093115D" w:rsidP="00434248">
            <w:pPr>
              <w:spacing w:before="0" w:after="0"/>
              <w:jc w:val="right"/>
              <w:rPr>
                <w:b/>
                <w:bCs/>
                <w:noProof/>
                <w:color w:val="000000" w:themeColor="text1"/>
                <w:sz w:val="20"/>
                <w:szCs w:val="20"/>
              </w:rPr>
            </w:pPr>
            <w:r w:rsidRPr="00274E0D">
              <w:rPr>
                <w:b/>
                <w:color w:val="000000" w:themeColor="text1"/>
                <w:sz w:val="20"/>
              </w:rPr>
              <w:t>0,000</w:t>
            </w:r>
          </w:p>
        </w:tc>
      </w:tr>
    </w:tbl>
    <w:p w14:paraId="5F840DC6" w14:textId="77777777" w:rsidR="0093115D" w:rsidRPr="00274E0D" w:rsidRDefault="0093115D" w:rsidP="00656AA8">
      <w:pPr>
        <w:jc w:val="right"/>
        <w:rPr>
          <w:noProof/>
          <w:sz w:val="20"/>
        </w:rPr>
      </w:pPr>
      <w:r w:rsidRPr="00274E0D">
        <w:rPr>
          <w:sz w:val="20"/>
        </w:rPr>
        <w:t>milj. euroa (kolmen desimaalin tarkkuudella)</w:t>
      </w:r>
    </w:p>
    <w:tbl>
      <w:tblPr>
        <w:tblW w:w="13140" w:type="dxa"/>
        <w:tblInd w:w="118" w:type="dxa"/>
        <w:tblLook w:val="04A0" w:firstRow="1" w:lastRow="0" w:firstColumn="1" w:lastColumn="0" w:noHBand="0" w:noVBand="1"/>
      </w:tblPr>
      <w:tblGrid>
        <w:gridCol w:w="5180"/>
        <w:gridCol w:w="1920"/>
        <w:gridCol w:w="1160"/>
        <w:gridCol w:w="1160"/>
        <w:gridCol w:w="1160"/>
        <w:gridCol w:w="1160"/>
        <w:gridCol w:w="1400"/>
      </w:tblGrid>
      <w:tr w:rsidR="0093115D" w:rsidRPr="00274E0D" w14:paraId="5FB7BACA" w14:textId="77777777" w:rsidTr="00434248">
        <w:trPr>
          <w:trHeight w:val="288"/>
        </w:trPr>
        <w:tc>
          <w:tcPr>
            <w:tcW w:w="7100"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68114EBA" w14:textId="77777777" w:rsidR="0093115D" w:rsidRPr="00274E0D" w:rsidRDefault="0093115D" w:rsidP="00434248">
            <w:pPr>
              <w:spacing w:before="0" w:after="0"/>
              <w:jc w:val="center"/>
              <w:rPr>
                <w:noProof/>
                <w:color w:val="000000"/>
                <w:szCs w:val="24"/>
              </w:rPr>
            </w:pPr>
            <w:r w:rsidRPr="00274E0D">
              <w:rPr>
                <w:color w:val="000000"/>
              </w:rPr>
              <w:t xml:space="preserve"> </w:t>
            </w:r>
          </w:p>
        </w:tc>
        <w:tc>
          <w:tcPr>
            <w:tcW w:w="1160" w:type="dxa"/>
            <w:tcBorders>
              <w:top w:val="single" w:sz="8" w:space="0" w:color="auto"/>
              <w:left w:val="nil"/>
              <w:bottom w:val="nil"/>
              <w:right w:val="single" w:sz="8" w:space="0" w:color="auto"/>
            </w:tcBorders>
            <w:vAlign w:val="center"/>
            <w:hideMark/>
          </w:tcPr>
          <w:p w14:paraId="7B0621B0"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1160" w:type="dxa"/>
            <w:tcBorders>
              <w:top w:val="single" w:sz="8" w:space="0" w:color="auto"/>
              <w:left w:val="nil"/>
              <w:bottom w:val="nil"/>
              <w:right w:val="single" w:sz="8" w:space="0" w:color="auto"/>
            </w:tcBorders>
            <w:vAlign w:val="center"/>
            <w:hideMark/>
          </w:tcPr>
          <w:p w14:paraId="3547614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1160" w:type="dxa"/>
            <w:tcBorders>
              <w:top w:val="single" w:sz="8" w:space="0" w:color="auto"/>
              <w:left w:val="nil"/>
              <w:bottom w:val="nil"/>
              <w:right w:val="single" w:sz="8" w:space="0" w:color="auto"/>
            </w:tcBorders>
            <w:vAlign w:val="center"/>
            <w:hideMark/>
          </w:tcPr>
          <w:p w14:paraId="0E6B18CA"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1160" w:type="dxa"/>
            <w:tcBorders>
              <w:top w:val="single" w:sz="8" w:space="0" w:color="auto"/>
              <w:left w:val="nil"/>
              <w:bottom w:val="nil"/>
              <w:right w:val="single" w:sz="8" w:space="0" w:color="auto"/>
            </w:tcBorders>
            <w:vAlign w:val="center"/>
            <w:hideMark/>
          </w:tcPr>
          <w:p w14:paraId="3DA2C1DE"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1400"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27F43C3D" w14:textId="77777777" w:rsidR="0093115D" w:rsidRPr="00274E0D" w:rsidRDefault="0093115D" w:rsidP="00434248">
            <w:pPr>
              <w:spacing w:before="0" w:after="0"/>
              <w:jc w:val="center"/>
              <w:rPr>
                <w:b/>
                <w:bCs/>
                <w:noProof/>
                <w:color w:val="000000"/>
                <w:sz w:val="20"/>
                <w:szCs w:val="20"/>
              </w:rPr>
            </w:pPr>
            <w:r w:rsidRPr="00274E0D">
              <w:rPr>
                <w:b/>
                <w:color w:val="000000"/>
                <w:sz w:val="20"/>
              </w:rPr>
              <w:t>MRK YHTEENSÄ 2021–2027</w:t>
            </w:r>
          </w:p>
        </w:tc>
      </w:tr>
      <w:tr w:rsidR="0093115D" w:rsidRPr="00274E0D" w14:paraId="6937F037" w14:textId="77777777" w:rsidTr="00434248">
        <w:trPr>
          <w:trHeight w:val="300"/>
        </w:trPr>
        <w:tc>
          <w:tcPr>
            <w:tcW w:w="7100" w:type="dxa"/>
            <w:gridSpan w:val="2"/>
            <w:vMerge/>
            <w:vAlign w:val="center"/>
            <w:hideMark/>
          </w:tcPr>
          <w:p w14:paraId="2685ADED" w14:textId="77777777" w:rsidR="0093115D" w:rsidRPr="00274E0D" w:rsidRDefault="0093115D" w:rsidP="00434248">
            <w:pPr>
              <w:spacing w:before="0" w:after="0"/>
              <w:jc w:val="left"/>
              <w:rPr>
                <w:noProof/>
                <w:color w:val="000000"/>
                <w:szCs w:val="24"/>
                <w:lang w:eastAsia="en-IE"/>
              </w:rPr>
            </w:pPr>
          </w:p>
        </w:tc>
        <w:tc>
          <w:tcPr>
            <w:tcW w:w="1160" w:type="dxa"/>
            <w:tcBorders>
              <w:top w:val="nil"/>
              <w:left w:val="nil"/>
              <w:bottom w:val="single" w:sz="8" w:space="0" w:color="auto"/>
              <w:right w:val="single" w:sz="8" w:space="0" w:color="auto"/>
            </w:tcBorders>
            <w:vAlign w:val="center"/>
            <w:hideMark/>
          </w:tcPr>
          <w:p w14:paraId="716E2F11"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1160" w:type="dxa"/>
            <w:tcBorders>
              <w:top w:val="nil"/>
              <w:left w:val="nil"/>
              <w:bottom w:val="single" w:sz="8" w:space="0" w:color="auto"/>
              <w:right w:val="single" w:sz="8" w:space="0" w:color="auto"/>
            </w:tcBorders>
            <w:vAlign w:val="center"/>
            <w:hideMark/>
          </w:tcPr>
          <w:p w14:paraId="2B109471"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1160" w:type="dxa"/>
            <w:tcBorders>
              <w:top w:val="nil"/>
              <w:left w:val="nil"/>
              <w:bottom w:val="single" w:sz="8" w:space="0" w:color="auto"/>
              <w:right w:val="single" w:sz="8" w:space="0" w:color="auto"/>
            </w:tcBorders>
            <w:vAlign w:val="center"/>
            <w:hideMark/>
          </w:tcPr>
          <w:p w14:paraId="361B70DE"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1160" w:type="dxa"/>
            <w:tcBorders>
              <w:top w:val="nil"/>
              <w:left w:val="nil"/>
              <w:bottom w:val="single" w:sz="8" w:space="0" w:color="auto"/>
              <w:right w:val="single" w:sz="8" w:space="0" w:color="auto"/>
            </w:tcBorders>
            <w:vAlign w:val="center"/>
            <w:hideMark/>
          </w:tcPr>
          <w:p w14:paraId="55C5C8DE"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c>
          <w:tcPr>
            <w:tcW w:w="1400" w:type="dxa"/>
            <w:vMerge/>
            <w:vAlign w:val="center"/>
            <w:hideMark/>
          </w:tcPr>
          <w:p w14:paraId="1FB7CCC9" w14:textId="77777777" w:rsidR="0093115D" w:rsidRPr="00274E0D" w:rsidRDefault="0093115D" w:rsidP="00434248">
            <w:pPr>
              <w:spacing w:before="0" w:after="0"/>
              <w:jc w:val="left"/>
              <w:rPr>
                <w:b/>
                <w:bCs/>
                <w:noProof/>
                <w:color w:val="000000"/>
                <w:sz w:val="20"/>
                <w:szCs w:val="20"/>
                <w:lang w:eastAsia="en-IE"/>
              </w:rPr>
            </w:pPr>
          </w:p>
        </w:tc>
      </w:tr>
      <w:tr w:rsidR="0093115D" w:rsidRPr="00274E0D" w14:paraId="46F28FA5" w14:textId="77777777" w:rsidTr="00434248">
        <w:trPr>
          <w:trHeight w:val="564"/>
        </w:trPr>
        <w:tc>
          <w:tcPr>
            <w:tcW w:w="5180"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22076CD6" w14:textId="77777777" w:rsidR="0093115D" w:rsidRPr="00274E0D" w:rsidRDefault="0093115D" w:rsidP="00434248">
            <w:pPr>
              <w:spacing w:before="0" w:after="0"/>
              <w:jc w:val="center"/>
              <w:rPr>
                <w:b/>
                <w:bCs/>
                <w:noProof/>
                <w:color w:val="000000"/>
                <w:sz w:val="22"/>
              </w:rPr>
            </w:pPr>
            <w:r w:rsidRPr="00274E0D">
              <w:rPr>
                <w:b/>
                <w:color w:val="000000"/>
                <w:sz w:val="22"/>
              </w:rPr>
              <w:t>Monivuotisen rahoituskehyksen OTSAKKEISIIN 1–7 kuuluvat</w:t>
            </w:r>
          </w:p>
        </w:tc>
        <w:tc>
          <w:tcPr>
            <w:tcW w:w="1920" w:type="dxa"/>
            <w:tcBorders>
              <w:top w:val="single" w:sz="8" w:space="0" w:color="auto"/>
              <w:left w:val="nil"/>
              <w:bottom w:val="single" w:sz="8" w:space="0" w:color="auto"/>
              <w:right w:val="single" w:sz="8" w:space="0" w:color="auto"/>
            </w:tcBorders>
            <w:vAlign w:val="center"/>
            <w:hideMark/>
          </w:tcPr>
          <w:p w14:paraId="11E71514" w14:textId="77777777" w:rsidR="0093115D" w:rsidRPr="00274E0D" w:rsidRDefault="0093115D" w:rsidP="00434248">
            <w:pPr>
              <w:spacing w:before="0" w:after="0"/>
              <w:rPr>
                <w:noProof/>
                <w:color w:val="000000"/>
                <w:sz w:val="18"/>
                <w:szCs w:val="18"/>
              </w:rPr>
            </w:pPr>
            <w:r w:rsidRPr="00274E0D">
              <w:rPr>
                <w:color w:val="000000"/>
                <w:sz w:val="18"/>
              </w:rPr>
              <w:t>Sitoumukset</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692050BE"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17C676DF"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33CB076E"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0EE8C634" w14:textId="77777777" w:rsidR="0093115D" w:rsidRPr="00274E0D" w:rsidRDefault="0093115D" w:rsidP="00434248">
            <w:pPr>
              <w:spacing w:before="0" w:after="0"/>
              <w:jc w:val="right"/>
              <w:rPr>
                <w:b/>
                <w:bCs/>
                <w:noProof/>
              </w:rPr>
            </w:pPr>
            <w:r w:rsidRPr="00274E0D">
              <w:rPr>
                <w:b/>
              </w:rPr>
              <w:t>0,000</w:t>
            </w:r>
          </w:p>
        </w:tc>
        <w:tc>
          <w:tcPr>
            <w:tcW w:w="1400" w:type="dxa"/>
            <w:tcBorders>
              <w:top w:val="nil"/>
              <w:left w:val="nil"/>
              <w:bottom w:val="single" w:sz="8" w:space="0" w:color="auto"/>
              <w:right w:val="single" w:sz="8" w:space="0" w:color="auto"/>
            </w:tcBorders>
            <w:shd w:val="clear" w:color="auto" w:fill="D9D9D9" w:themeFill="background1" w:themeFillShade="D9"/>
            <w:vAlign w:val="center"/>
            <w:hideMark/>
          </w:tcPr>
          <w:p w14:paraId="1308780F" w14:textId="77777777" w:rsidR="0093115D" w:rsidRPr="00274E0D" w:rsidRDefault="0093115D" w:rsidP="00434248">
            <w:pPr>
              <w:spacing w:before="0" w:after="0"/>
              <w:jc w:val="right"/>
              <w:rPr>
                <w:b/>
                <w:bCs/>
                <w:noProof/>
              </w:rPr>
            </w:pPr>
            <w:r w:rsidRPr="00274E0D">
              <w:rPr>
                <w:b/>
              </w:rPr>
              <w:t>0,000</w:t>
            </w:r>
          </w:p>
        </w:tc>
      </w:tr>
      <w:tr w:rsidR="0093115D" w:rsidRPr="00274E0D" w14:paraId="300DA8D1" w14:textId="77777777" w:rsidTr="00434248">
        <w:trPr>
          <w:trHeight w:val="540"/>
        </w:trPr>
        <w:tc>
          <w:tcPr>
            <w:tcW w:w="5180" w:type="dxa"/>
            <w:tcBorders>
              <w:top w:val="single" w:sz="8" w:space="0" w:color="auto"/>
              <w:left w:val="single" w:sz="8" w:space="0" w:color="auto"/>
              <w:bottom w:val="single" w:sz="8" w:space="0" w:color="auto"/>
              <w:right w:val="single" w:sz="8" w:space="0" w:color="000000" w:themeColor="text1"/>
            </w:tcBorders>
            <w:shd w:val="clear" w:color="auto" w:fill="C0C0C0"/>
            <w:vAlign w:val="center"/>
            <w:hideMark/>
          </w:tcPr>
          <w:p w14:paraId="627D8F9F" w14:textId="77777777" w:rsidR="0093115D" w:rsidRPr="00274E0D" w:rsidRDefault="0093115D" w:rsidP="00434248">
            <w:pPr>
              <w:spacing w:before="0" w:after="0"/>
              <w:jc w:val="center"/>
              <w:rPr>
                <w:noProof/>
                <w:color w:val="000000"/>
                <w:sz w:val="22"/>
              </w:rPr>
            </w:pPr>
            <w:r w:rsidRPr="00274E0D">
              <w:rPr>
                <w:b/>
                <w:bCs/>
                <w:color w:val="000000"/>
                <w:sz w:val="22"/>
              </w:rPr>
              <w:lastRenderedPageBreak/>
              <w:t>määrärahat YHTEENSÄ</w:t>
            </w:r>
            <w:r w:rsidRPr="00274E0D">
              <w:rPr>
                <w:b/>
                <w:color w:val="000000"/>
                <w:sz w:val="22"/>
              </w:rPr>
              <w:t xml:space="preserve"> </w:t>
            </w:r>
          </w:p>
        </w:tc>
        <w:tc>
          <w:tcPr>
            <w:tcW w:w="1920" w:type="dxa"/>
            <w:tcBorders>
              <w:top w:val="single" w:sz="8" w:space="0" w:color="auto"/>
              <w:left w:val="nil"/>
              <w:bottom w:val="single" w:sz="8" w:space="0" w:color="auto"/>
              <w:right w:val="single" w:sz="8" w:space="0" w:color="auto"/>
            </w:tcBorders>
            <w:vAlign w:val="center"/>
            <w:hideMark/>
          </w:tcPr>
          <w:p w14:paraId="05FBA912" w14:textId="77777777" w:rsidR="0093115D" w:rsidRPr="00274E0D" w:rsidRDefault="0093115D" w:rsidP="00434248">
            <w:pPr>
              <w:spacing w:before="0" w:after="0"/>
              <w:rPr>
                <w:noProof/>
                <w:color w:val="000000"/>
                <w:sz w:val="18"/>
                <w:szCs w:val="18"/>
              </w:rPr>
            </w:pPr>
            <w:r w:rsidRPr="00274E0D">
              <w:rPr>
                <w:color w:val="000000"/>
                <w:sz w:val="18"/>
              </w:rPr>
              <w:t>Maksut</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2291D701"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4FF2156F"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152D1586" w14:textId="77777777" w:rsidR="0093115D" w:rsidRPr="00274E0D" w:rsidRDefault="0093115D" w:rsidP="00434248">
            <w:pPr>
              <w:spacing w:before="0" w:after="0"/>
              <w:jc w:val="right"/>
              <w:rPr>
                <w:b/>
                <w:bCs/>
                <w:noProof/>
              </w:rPr>
            </w:pPr>
            <w:r w:rsidRPr="00274E0D">
              <w:rPr>
                <w:b/>
              </w:rPr>
              <w:t>0,000</w:t>
            </w:r>
          </w:p>
        </w:tc>
        <w:tc>
          <w:tcPr>
            <w:tcW w:w="1160" w:type="dxa"/>
            <w:tcBorders>
              <w:top w:val="nil"/>
              <w:left w:val="nil"/>
              <w:bottom w:val="single" w:sz="8" w:space="0" w:color="auto"/>
              <w:right w:val="single" w:sz="8" w:space="0" w:color="auto"/>
            </w:tcBorders>
            <w:shd w:val="clear" w:color="auto" w:fill="D9D9D9" w:themeFill="background1" w:themeFillShade="D9"/>
            <w:vAlign w:val="center"/>
            <w:hideMark/>
          </w:tcPr>
          <w:p w14:paraId="7D9F731E" w14:textId="77777777" w:rsidR="0093115D" w:rsidRPr="00274E0D" w:rsidRDefault="0093115D" w:rsidP="00434248">
            <w:pPr>
              <w:spacing w:before="0" w:after="0"/>
              <w:jc w:val="right"/>
              <w:rPr>
                <w:b/>
                <w:bCs/>
                <w:noProof/>
              </w:rPr>
            </w:pPr>
            <w:r w:rsidRPr="00274E0D">
              <w:rPr>
                <w:b/>
              </w:rPr>
              <w:t>0,000</w:t>
            </w:r>
          </w:p>
        </w:tc>
        <w:tc>
          <w:tcPr>
            <w:tcW w:w="1400" w:type="dxa"/>
            <w:tcBorders>
              <w:top w:val="nil"/>
              <w:left w:val="nil"/>
              <w:bottom w:val="single" w:sz="8" w:space="0" w:color="auto"/>
              <w:right w:val="single" w:sz="8" w:space="0" w:color="auto"/>
            </w:tcBorders>
            <w:shd w:val="clear" w:color="auto" w:fill="D9D9D9" w:themeFill="background1" w:themeFillShade="D9"/>
            <w:vAlign w:val="center"/>
            <w:hideMark/>
          </w:tcPr>
          <w:p w14:paraId="69104400" w14:textId="77777777" w:rsidR="0093115D" w:rsidRPr="00274E0D" w:rsidRDefault="0093115D" w:rsidP="00434248">
            <w:pPr>
              <w:spacing w:before="0" w:after="0"/>
              <w:jc w:val="right"/>
              <w:rPr>
                <w:b/>
                <w:bCs/>
                <w:noProof/>
              </w:rPr>
            </w:pPr>
            <w:r w:rsidRPr="00274E0D">
              <w:rPr>
                <w:b/>
              </w:rPr>
              <w:t>0,000</w:t>
            </w:r>
          </w:p>
        </w:tc>
      </w:tr>
    </w:tbl>
    <w:p w14:paraId="17121439" w14:textId="77777777" w:rsidR="0093115D" w:rsidRPr="00274E0D" w:rsidRDefault="0093115D" w:rsidP="00656AA8">
      <w:pPr>
        <w:pStyle w:val="ManualHeading3"/>
        <w:rPr>
          <w:bCs/>
          <w:noProof/>
          <w:szCs w:val="24"/>
        </w:rPr>
      </w:pPr>
      <w:bookmarkStart w:id="169" w:name="_Toc514938054"/>
      <w:bookmarkStart w:id="170" w:name="_Toc520485053"/>
      <w:bookmarkStart w:id="171" w:name="_Toc160804597"/>
      <w:bookmarkStart w:id="172" w:name="_Toc167220289"/>
      <w:bookmarkStart w:id="173" w:name="_Toc177549022"/>
      <w:r w:rsidRPr="00274E0D">
        <w:t>3.2.2.</w:t>
      </w:r>
      <w:r w:rsidRPr="00274E0D">
        <w:tab/>
        <w:t>Arvioidut toimintamäärärahoista rahoitetut tuotokset</w:t>
      </w:r>
      <w:bookmarkEnd w:id="169"/>
      <w:bookmarkEnd w:id="170"/>
      <w:r w:rsidRPr="00274E0D">
        <w:t xml:space="preserve"> (ei täytetä erillisvirastojen osalta)</w:t>
      </w:r>
      <w:bookmarkEnd w:id="171"/>
      <w:bookmarkEnd w:id="172"/>
      <w:bookmarkEnd w:id="173"/>
    </w:p>
    <w:p w14:paraId="2B9E8E53" w14:textId="77777777" w:rsidR="0093115D" w:rsidRPr="00274E0D" w:rsidRDefault="0093115D" w:rsidP="00656AA8">
      <w:pPr>
        <w:jc w:val="right"/>
        <w:rPr>
          <w:noProof/>
          <w:sz w:val="20"/>
        </w:rPr>
      </w:pPr>
      <w:r w:rsidRPr="00274E0D">
        <w:rPr>
          <w:sz w:val="20"/>
        </w:rPr>
        <w:t>maksusitoumusmäärärahat, milj. euroa (kolmen desimaalin tarkkuudella)</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701"/>
        <w:gridCol w:w="504"/>
        <w:gridCol w:w="720"/>
        <w:gridCol w:w="540"/>
        <w:gridCol w:w="720"/>
        <w:gridCol w:w="720"/>
        <w:gridCol w:w="720"/>
        <w:gridCol w:w="900"/>
        <w:gridCol w:w="51"/>
        <w:gridCol w:w="669"/>
        <w:gridCol w:w="540"/>
        <w:gridCol w:w="648"/>
        <w:gridCol w:w="432"/>
        <w:gridCol w:w="720"/>
        <w:gridCol w:w="540"/>
        <w:gridCol w:w="720"/>
        <w:gridCol w:w="720"/>
        <w:gridCol w:w="900"/>
      </w:tblGrid>
      <w:tr w:rsidR="0093115D" w:rsidRPr="00274E0D" w14:paraId="70458AEF" w14:textId="77777777" w:rsidTr="00434248">
        <w:trPr>
          <w:jc w:val="center"/>
        </w:trPr>
        <w:tc>
          <w:tcPr>
            <w:tcW w:w="1423" w:type="dxa"/>
            <w:vMerge w:val="restart"/>
            <w:vAlign w:val="center"/>
          </w:tcPr>
          <w:p w14:paraId="7CC6C1CB" w14:textId="77777777" w:rsidR="0093115D" w:rsidRPr="00274E0D" w:rsidRDefault="0093115D" w:rsidP="00434248">
            <w:pPr>
              <w:ind w:right="-29"/>
              <w:jc w:val="center"/>
              <w:rPr>
                <w:b/>
                <w:noProof/>
                <w:sz w:val="18"/>
                <w:szCs w:val="18"/>
              </w:rPr>
            </w:pPr>
            <w:r w:rsidRPr="00274E0D">
              <w:rPr>
                <w:b/>
                <w:sz w:val="18"/>
              </w:rPr>
              <w:t xml:space="preserve">Tavoitteet ja tuotokset </w:t>
            </w:r>
          </w:p>
          <w:p w14:paraId="70057910" w14:textId="77777777" w:rsidR="0093115D" w:rsidRPr="00274E0D" w:rsidRDefault="0093115D" w:rsidP="00434248">
            <w:pPr>
              <w:ind w:right="-29"/>
              <w:jc w:val="center"/>
              <w:rPr>
                <w:b/>
                <w:noProof/>
                <w:sz w:val="18"/>
                <w:szCs w:val="18"/>
              </w:rPr>
            </w:pPr>
          </w:p>
          <w:p w14:paraId="1D023F72" w14:textId="77777777" w:rsidR="0093115D" w:rsidRPr="00274E0D" w:rsidRDefault="0093115D" w:rsidP="00434248">
            <w:pPr>
              <w:ind w:right="-29"/>
              <w:jc w:val="center"/>
              <w:rPr>
                <w:noProof/>
                <w:sz w:val="18"/>
                <w:szCs w:val="18"/>
              </w:rPr>
            </w:pPr>
            <w:r w:rsidRPr="00274E0D">
              <w:rPr>
                <w:rFonts w:ascii="Wingdings" w:hAnsi="Wingdings"/>
                <w:sz w:val="18"/>
              </w:rPr>
              <w:t></w:t>
            </w:r>
          </w:p>
        </w:tc>
        <w:tc>
          <w:tcPr>
            <w:tcW w:w="720" w:type="dxa"/>
            <w:vAlign w:val="center"/>
          </w:tcPr>
          <w:p w14:paraId="7A48A9CA" w14:textId="77777777" w:rsidR="0093115D" w:rsidRPr="00274E0D" w:rsidRDefault="0093115D" w:rsidP="00434248">
            <w:pPr>
              <w:ind w:right="-29"/>
              <w:jc w:val="center"/>
              <w:rPr>
                <w:noProof/>
                <w:sz w:val="18"/>
                <w:szCs w:val="18"/>
              </w:rPr>
            </w:pPr>
          </w:p>
        </w:tc>
        <w:tc>
          <w:tcPr>
            <w:tcW w:w="701" w:type="dxa"/>
            <w:vAlign w:val="center"/>
          </w:tcPr>
          <w:p w14:paraId="50A69F1F" w14:textId="77777777" w:rsidR="0093115D" w:rsidRPr="00274E0D" w:rsidRDefault="0093115D" w:rsidP="00434248">
            <w:pPr>
              <w:ind w:right="-29"/>
              <w:jc w:val="center"/>
              <w:rPr>
                <w:noProof/>
                <w:sz w:val="18"/>
                <w:szCs w:val="18"/>
              </w:rPr>
            </w:pPr>
          </w:p>
        </w:tc>
        <w:tc>
          <w:tcPr>
            <w:tcW w:w="1224" w:type="dxa"/>
            <w:gridSpan w:val="2"/>
            <w:tcBorders>
              <w:left w:val="nil"/>
            </w:tcBorders>
            <w:vAlign w:val="center"/>
          </w:tcPr>
          <w:p w14:paraId="2333421A" w14:textId="77777777" w:rsidR="0093115D" w:rsidRPr="00274E0D" w:rsidRDefault="0093115D" w:rsidP="00434248">
            <w:pPr>
              <w:ind w:right="-29"/>
              <w:jc w:val="center"/>
              <w:rPr>
                <w:noProof/>
                <w:sz w:val="18"/>
                <w:szCs w:val="18"/>
              </w:rPr>
            </w:pPr>
            <w:r w:rsidRPr="00274E0D">
              <w:rPr>
                <w:sz w:val="18"/>
              </w:rPr>
              <w:t xml:space="preserve">Vuosi </w:t>
            </w:r>
            <w:r w:rsidRPr="00274E0D">
              <w:rPr>
                <w:b/>
                <w:sz w:val="18"/>
              </w:rPr>
              <w:t>2024</w:t>
            </w:r>
          </w:p>
        </w:tc>
        <w:tc>
          <w:tcPr>
            <w:tcW w:w="1260" w:type="dxa"/>
            <w:gridSpan w:val="2"/>
            <w:vAlign w:val="center"/>
          </w:tcPr>
          <w:p w14:paraId="007BB11F" w14:textId="77777777" w:rsidR="0093115D" w:rsidRPr="00274E0D" w:rsidRDefault="0093115D" w:rsidP="00434248">
            <w:pPr>
              <w:ind w:right="-29"/>
              <w:jc w:val="center"/>
              <w:rPr>
                <w:noProof/>
                <w:sz w:val="18"/>
                <w:szCs w:val="18"/>
              </w:rPr>
            </w:pPr>
            <w:r w:rsidRPr="00274E0D">
              <w:rPr>
                <w:sz w:val="18"/>
              </w:rPr>
              <w:t xml:space="preserve">Vuosi </w:t>
            </w:r>
            <w:r w:rsidRPr="00274E0D">
              <w:rPr>
                <w:b/>
                <w:sz w:val="18"/>
              </w:rPr>
              <w:t>2025</w:t>
            </w:r>
          </w:p>
        </w:tc>
        <w:tc>
          <w:tcPr>
            <w:tcW w:w="1440" w:type="dxa"/>
            <w:gridSpan w:val="2"/>
            <w:vAlign w:val="center"/>
          </w:tcPr>
          <w:p w14:paraId="2446A54A" w14:textId="77777777" w:rsidR="0093115D" w:rsidRPr="00274E0D" w:rsidRDefault="0093115D" w:rsidP="00434248">
            <w:pPr>
              <w:ind w:right="-29"/>
              <w:jc w:val="center"/>
              <w:rPr>
                <w:noProof/>
                <w:sz w:val="18"/>
                <w:szCs w:val="18"/>
              </w:rPr>
            </w:pPr>
            <w:r w:rsidRPr="00274E0D">
              <w:rPr>
                <w:sz w:val="18"/>
              </w:rPr>
              <w:t xml:space="preserve">Vuosi </w:t>
            </w:r>
            <w:r w:rsidRPr="00274E0D">
              <w:rPr>
                <w:b/>
                <w:sz w:val="18"/>
              </w:rPr>
              <w:t>2026</w:t>
            </w:r>
          </w:p>
        </w:tc>
        <w:tc>
          <w:tcPr>
            <w:tcW w:w="1620" w:type="dxa"/>
            <w:gridSpan w:val="3"/>
            <w:vAlign w:val="center"/>
          </w:tcPr>
          <w:p w14:paraId="453FD61C" w14:textId="77777777" w:rsidR="0093115D" w:rsidRPr="00274E0D" w:rsidRDefault="0093115D" w:rsidP="00434248">
            <w:pPr>
              <w:ind w:right="-29"/>
              <w:jc w:val="center"/>
              <w:rPr>
                <w:noProof/>
                <w:sz w:val="18"/>
                <w:szCs w:val="18"/>
              </w:rPr>
            </w:pPr>
            <w:r w:rsidRPr="00274E0D">
              <w:rPr>
                <w:sz w:val="18"/>
              </w:rPr>
              <w:t xml:space="preserve">Vuosi </w:t>
            </w:r>
            <w:r w:rsidRPr="00274E0D">
              <w:rPr>
                <w:b/>
                <w:sz w:val="18"/>
              </w:rPr>
              <w:t>2027</w:t>
            </w:r>
          </w:p>
        </w:tc>
        <w:tc>
          <w:tcPr>
            <w:tcW w:w="3600" w:type="dxa"/>
            <w:gridSpan w:val="6"/>
            <w:vAlign w:val="center"/>
          </w:tcPr>
          <w:p w14:paraId="3D05C76D" w14:textId="77777777" w:rsidR="0093115D" w:rsidRPr="00274E0D" w:rsidRDefault="0093115D" w:rsidP="00434248">
            <w:pPr>
              <w:jc w:val="center"/>
              <w:rPr>
                <w:noProof/>
                <w:sz w:val="18"/>
                <w:szCs w:val="18"/>
              </w:rPr>
            </w:pPr>
            <w:r w:rsidRPr="00274E0D">
              <w:rPr>
                <w:sz w:val="18"/>
              </w:rPr>
              <w:t>ja näitä seuraavat vuodet (ilmoitetaan kaikki vuodet, joille ehdotuksen/aloitteen vaikutukset ulottuvat, ks. kohta 1.6)</w:t>
            </w:r>
          </w:p>
        </w:tc>
        <w:tc>
          <w:tcPr>
            <w:tcW w:w="1620" w:type="dxa"/>
            <w:gridSpan w:val="2"/>
            <w:tcBorders>
              <w:left w:val="nil"/>
              <w:bottom w:val="nil"/>
            </w:tcBorders>
            <w:vAlign w:val="center"/>
          </w:tcPr>
          <w:p w14:paraId="21C07B43" w14:textId="77777777" w:rsidR="0093115D" w:rsidRPr="00274E0D" w:rsidRDefault="0093115D" w:rsidP="00434248">
            <w:pPr>
              <w:ind w:right="-29"/>
              <w:jc w:val="center"/>
              <w:rPr>
                <w:noProof/>
                <w:sz w:val="18"/>
                <w:szCs w:val="18"/>
              </w:rPr>
            </w:pPr>
            <w:r w:rsidRPr="00274E0D">
              <w:rPr>
                <w:b/>
                <w:sz w:val="18"/>
              </w:rPr>
              <w:t>YHTEENSÄ</w:t>
            </w:r>
          </w:p>
        </w:tc>
      </w:tr>
      <w:tr w:rsidR="0093115D" w:rsidRPr="00274E0D" w14:paraId="6EA49531" w14:textId="77777777" w:rsidTr="00434248">
        <w:trPr>
          <w:jc w:val="center"/>
        </w:trPr>
        <w:tc>
          <w:tcPr>
            <w:tcW w:w="1423" w:type="dxa"/>
            <w:vMerge/>
            <w:vAlign w:val="center"/>
          </w:tcPr>
          <w:p w14:paraId="36EFEB9C" w14:textId="77777777" w:rsidR="0093115D" w:rsidRPr="00274E0D" w:rsidRDefault="0093115D" w:rsidP="00434248">
            <w:pPr>
              <w:ind w:right="-29"/>
              <w:jc w:val="center"/>
              <w:rPr>
                <w:noProof/>
                <w:sz w:val="18"/>
                <w:szCs w:val="18"/>
              </w:rPr>
            </w:pPr>
          </w:p>
        </w:tc>
        <w:tc>
          <w:tcPr>
            <w:tcW w:w="12185" w:type="dxa"/>
            <w:gridSpan w:val="19"/>
            <w:vAlign w:val="center"/>
          </w:tcPr>
          <w:p w14:paraId="2D2E9205" w14:textId="77777777" w:rsidR="0093115D" w:rsidRPr="00274E0D" w:rsidRDefault="0093115D" w:rsidP="00434248">
            <w:pPr>
              <w:spacing w:before="60" w:after="60"/>
              <w:ind w:right="-29"/>
              <w:jc w:val="center"/>
              <w:rPr>
                <w:noProof/>
                <w:sz w:val="18"/>
                <w:szCs w:val="18"/>
              </w:rPr>
            </w:pPr>
            <w:r w:rsidRPr="00274E0D">
              <w:rPr>
                <w:b/>
                <w:sz w:val="18"/>
              </w:rPr>
              <w:t>TUOTOKSET</w:t>
            </w:r>
          </w:p>
        </w:tc>
      </w:tr>
      <w:tr w:rsidR="0093115D" w:rsidRPr="00274E0D" w14:paraId="5E64A3B4" w14:textId="77777777" w:rsidTr="00434248">
        <w:trPr>
          <w:cantSplit/>
          <w:trHeight w:val="1134"/>
          <w:jc w:val="center"/>
        </w:trPr>
        <w:tc>
          <w:tcPr>
            <w:tcW w:w="1423" w:type="dxa"/>
            <w:vMerge/>
            <w:vAlign w:val="center"/>
          </w:tcPr>
          <w:p w14:paraId="3AFC6EAA" w14:textId="77777777" w:rsidR="0093115D" w:rsidRPr="00274E0D" w:rsidRDefault="0093115D" w:rsidP="00434248">
            <w:pPr>
              <w:rPr>
                <w:noProof/>
                <w:sz w:val="18"/>
                <w:szCs w:val="18"/>
              </w:rPr>
            </w:pPr>
          </w:p>
        </w:tc>
        <w:tc>
          <w:tcPr>
            <w:tcW w:w="720" w:type="dxa"/>
            <w:vAlign w:val="center"/>
          </w:tcPr>
          <w:p w14:paraId="012E3EF6" w14:textId="77777777" w:rsidR="0093115D" w:rsidRPr="00274E0D" w:rsidRDefault="0093115D" w:rsidP="00434248">
            <w:pPr>
              <w:jc w:val="center"/>
              <w:rPr>
                <w:noProof/>
                <w:sz w:val="18"/>
                <w:szCs w:val="18"/>
              </w:rPr>
            </w:pPr>
            <w:r w:rsidRPr="00274E0D">
              <w:rPr>
                <w:sz w:val="18"/>
              </w:rPr>
              <w:t>Tyyppi</w:t>
            </w:r>
            <w:r w:rsidRPr="00274E0D">
              <w:rPr>
                <w:rStyle w:val="FootnoteReference"/>
                <w:noProof/>
                <w:sz w:val="18"/>
                <w:szCs w:val="18"/>
              </w:rPr>
              <w:footnoteReference w:id="39"/>
            </w:r>
          </w:p>
          <w:p w14:paraId="6632169E" w14:textId="77777777" w:rsidR="0093115D" w:rsidRPr="00274E0D" w:rsidRDefault="0093115D" w:rsidP="00434248">
            <w:pPr>
              <w:spacing w:before="0" w:after="0"/>
              <w:jc w:val="center"/>
              <w:rPr>
                <w:noProof/>
                <w:sz w:val="18"/>
                <w:szCs w:val="18"/>
              </w:rPr>
            </w:pPr>
          </w:p>
        </w:tc>
        <w:tc>
          <w:tcPr>
            <w:tcW w:w="701" w:type="dxa"/>
            <w:vAlign w:val="center"/>
          </w:tcPr>
          <w:p w14:paraId="2A9A8E88" w14:textId="77777777" w:rsidR="0093115D" w:rsidRPr="00274E0D" w:rsidRDefault="0093115D" w:rsidP="00434248">
            <w:pPr>
              <w:jc w:val="center"/>
              <w:rPr>
                <w:noProof/>
                <w:sz w:val="18"/>
                <w:szCs w:val="18"/>
              </w:rPr>
            </w:pPr>
            <w:r w:rsidRPr="00274E0D">
              <w:rPr>
                <w:sz w:val="18"/>
              </w:rPr>
              <w:t>Keskimäär. kustannukset</w:t>
            </w:r>
          </w:p>
        </w:tc>
        <w:tc>
          <w:tcPr>
            <w:tcW w:w="504" w:type="dxa"/>
            <w:tcBorders>
              <w:left w:val="nil"/>
              <w:right w:val="dashSmallGap" w:sz="4" w:space="0" w:color="auto"/>
            </w:tcBorders>
            <w:textDirection w:val="btLr"/>
            <w:vAlign w:val="center"/>
          </w:tcPr>
          <w:p w14:paraId="065AC243"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tcBorders>
              <w:left w:val="dashSmallGap" w:sz="4" w:space="0" w:color="auto"/>
            </w:tcBorders>
            <w:vAlign w:val="center"/>
          </w:tcPr>
          <w:p w14:paraId="62DB496C" w14:textId="77777777" w:rsidR="0093115D" w:rsidRPr="00274E0D" w:rsidRDefault="0093115D" w:rsidP="00434248">
            <w:pPr>
              <w:jc w:val="center"/>
              <w:rPr>
                <w:noProof/>
                <w:sz w:val="18"/>
                <w:szCs w:val="18"/>
              </w:rPr>
            </w:pPr>
            <w:r w:rsidRPr="00274E0D">
              <w:rPr>
                <w:sz w:val="18"/>
              </w:rPr>
              <w:t>Kustannus</w:t>
            </w:r>
          </w:p>
        </w:tc>
        <w:tc>
          <w:tcPr>
            <w:tcW w:w="540" w:type="dxa"/>
            <w:tcBorders>
              <w:right w:val="dashSmallGap" w:sz="4" w:space="0" w:color="auto"/>
            </w:tcBorders>
            <w:textDirection w:val="btLr"/>
            <w:vAlign w:val="center"/>
          </w:tcPr>
          <w:p w14:paraId="119CA036"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tcBorders>
              <w:left w:val="dashSmallGap" w:sz="4" w:space="0" w:color="auto"/>
            </w:tcBorders>
            <w:vAlign w:val="center"/>
          </w:tcPr>
          <w:p w14:paraId="40BAE147" w14:textId="77777777" w:rsidR="0093115D" w:rsidRPr="00274E0D" w:rsidRDefault="0093115D" w:rsidP="00434248">
            <w:pPr>
              <w:jc w:val="center"/>
              <w:rPr>
                <w:noProof/>
                <w:sz w:val="18"/>
                <w:szCs w:val="18"/>
              </w:rPr>
            </w:pPr>
            <w:r w:rsidRPr="00274E0D">
              <w:rPr>
                <w:sz w:val="18"/>
              </w:rPr>
              <w:t>Kustannus</w:t>
            </w:r>
          </w:p>
        </w:tc>
        <w:tc>
          <w:tcPr>
            <w:tcW w:w="720" w:type="dxa"/>
            <w:tcBorders>
              <w:right w:val="dashSmallGap" w:sz="4" w:space="0" w:color="auto"/>
            </w:tcBorders>
            <w:textDirection w:val="btLr"/>
            <w:vAlign w:val="center"/>
          </w:tcPr>
          <w:p w14:paraId="5C613A55"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tcBorders>
              <w:left w:val="dashSmallGap" w:sz="4" w:space="0" w:color="auto"/>
            </w:tcBorders>
            <w:vAlign w:val="center"/>
          </w:tcPr>
          <w:p w14:paraId="1907AB0B" w14:textId="77777777" w:rsidR="0093115D" w:rsidRPr="00274E0D" w:rsidRDefault="0093115D" w:rsidP="00434248">
            <w:pPr>
              <w:jc w:val="center"/>
              <w:rPr>
                <w:noProof/>
                <w:sz w:val="18"/>
                <w:szCs w:val="18"/>
              </w:rPr>
            </w:pPr>
            <w:r w:rsidRPr="00274E0D">
              <w:rPr>
                <w:sz w:val="18"/>
              </w:rPr>
              <w:t>Kustannus</w:t>
            </w:r>
          </w:p>
        </w:tc>
        <w:tc>
          <w:tcPr>
            <w:tcW w:w="900" w:type="dxa"/>
            <w:tcBorders>
              <w:right w:val="dashSmallGap" w:sz="4" w:space="0" w:color="auto"/>
            </w:tcBorders>
            <w:textDirection w:val="btLr"/>
            <w:vAlign w:val="center"/>
          </w:tcPr>
          <w:p w14:paraId="56398881"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gridSpan w:val="2"/>
            <w:tcBorders>
              <w:left w:val="dashSmallGap" w:sz="4" w:space="0" w:color="auto"/>
            </w:tcBorders>
            <w:vAlign w:val="center"/>
          </w:tcPr>
          <w:p w14:paraId="7836AFF3" w14:textId="77777777" w:rsidR="0093115D" w:rsidRPr="00274E0D" w:rsidRDefault="0093115D" w:rsidP="00434248">
            <w:pPr>
              <w:jc w:val="center"/>
              <w:rPr>
                <w:noProof/>
                <w:sz w:val="18"/>
                <w:szCs w:val="18"/>
              </w:rPr>
            </w:pPr>
            <w:r w:rsidRPr="00274E0D">
              <w:rPr>
                <w:sz w:val="18"/>
              </w:rPr>
              <w:t>Kustannus</w:t>
            </w:r>
          </w:p>
        </w:tc>
        <w:tc>
          <w:tcPr>
            <w:tcW w:w="540" w:type="dxa"/>
            <w:tcBorders>
              <w:right w:val="dashSmallGap" w:sz="4" w:space="0" w:color="auto"/>
            </w:tcBorders>
            <w:textDirection w:val="btLr"/>
            <w:vAlign w:val="center"/>
          </w:tcPr>
          <w:p w14:paraId="6508FD7A"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648" w:type="dxa"/>
            <w:tcBorders>
              <w:left w:val="dashSmallGap" w:sz="4" w:space="0" w:color="auto"/>
            </w:tcBorders>
            <w:vAlign w:val="center"/>
          </w:tcPr>
          <w:p w14:paraId="24F1296F" w14:textId="77777777" w:rsidR="0093115D" w:rsidRPr="00274E0D" w:rsidRDefault="0093115D" w:rsidP="00434248">
            <w:pPr>
              <w:jc w:val="center"/>
              <w:rPr>
                <w:noProof/>
                <w:sz w:val="18"/>
                <w:szCs w:val="18"/>
              </w:rPr>
            </w:pPr>
            <w:r w:rsidRPr="00274E0D">
              <w:rPr>
                <w:sz w:val="18"/>
              </w:rPr>
              <w:t>Kustannus</w:t>
            </w:r>
          </w:p>
        </w:tc>
        <w:tc>
          <w:tcPr>
            <w:tcW w:w="432" w:type="dxa"/>
            <w:tcBorders>
              <w:right w:val="dashSmallGap" w:sz="4" w:space="0" w:color="auto"/>
            </w:tcBorders>
            <w:textDirection w:val="btLr"/>
            <w:vAlign w:val="center"/>
          </w:tcPr>
          <w:p w14:paraId="52CF4151"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tcBorders>
              <w:left w:val="dashSmallGap" w:sz="4" w:space="0" w:color="auto"/>
            </w:tcBorders>
            <w:vAlign w:val="center"/>
          </w:tcPr>
          <w:p w14:paraId="7409B0E4" w14:textId="77777777" w:rsidR="0093115D" w:rsidRPr="00274E0D" w:rsidRDefault="0093115D" w:rsidP="00434248">
            <w:pPr>
              <w:jc w:val="center"/>
              <w:rPr>
                <w:noProof/>
                <w:sz w:val="18"/>
                <w:szCs w:val="18"/>
              </w:rPr>
            </w:pPr>
            <w:r w:rsidRPr="00274E0D">
              <w:rPr>
                <w:sz w:val="18"/>
              </w:rPr>
              <w:t>Kustannus</w:t>
            </w:r>
          </w:p>
        </w:tc>
        <w:tc>
          <w:tcPr>
            <w:tcW w:w="540" w:type="dxa"/>
            <w:tcBorders>
              <w:right w:val="dashSmallGap" w:sz="4" w:space="0" w:color="auto"/>
            </w:tcBorders>
            <w:textDirection w:val="btLr"/>
            <w:vAlign w:val="center"/>
          </w:tcPr>
          <w:p w14:paraId="32D40D52" w14:textId="77777777" w:rsidR="0093115D" w:rsidRPr="00274E0D" w:rsidRDefault="0093115D" w:rsidP="00434248">
            <w:pPr>
              <w:ind w:left="113" w:right="113"/>
              <w:jc w:val="center"/>
              <w:rPr>
                <w:noProof/>
                <w:sz w:val="18"/>
                <w:szCs w:val="18"/>
              </w:rPr>
            </w:pPr>
            <w:proofErr w:type="gramStart"/>
            <w:r w:rsidRPr="00274E0D">
              <w:rPr>
                <w:sz w:val="18"/>
              </w:rPr>
              <w:t>Lkm</w:t>
            </w:r>
            <w:proofErr w:type="gramEnd"/>
          </w:p>
        </w:tc>
        <w:tc>
          <w:tcPr>
            <w:tcW w:w="720" w:type="dxa"/>
            <w:tcBorders>
              <w:left w:val="dashSmallGap" w:sz="4" w:space="0" w:color="auto"/>
            </w:tcBorders>
            <w:vAlign w:val="center"/>
          </w:tcPr>
          <w:p w14:paraId="0C0FCB40" w14:textId="77777777" w:rsidR="0093115D" w:rsidRPr="00274E0D" w:rsidRDefault="0093115D" w:rsidP="00434248">
            <w:pPr>
              <w:jc w:val="center"/>
              <w:rPr>
                <w:noProof/>
                <w:sz w:val="18"/>
                <w:szCs w:val="18"/>
              </w:rPr>
            </w:pPr>
            <w:r w:rsidRPr="00274E0D">
              <w:rPr>
                <w:sz w:val="18"/>
              </w:rPr>
              <w:t>Kustannus</w:t>
            </w:r>
          </w:p>
        </w:tc>
        <w:tc>
          <w:tcPr>
            <w:tcW w:w="720" w:type="dxa"/>
            <w:tcBorders>
              <w:right w:val="dashSmallGap" w:sz="4" w:space="0" w:color="auto"/>
            </w:tcBorders>
            <w:vAlign w:val="center"/>
          </w:tcPr>
          <w:p w14:paraId="54F4FC2A" w14:textId="77777777" w:rsidR="0093115D" w:rsidRPr="00274E0D" w:rsidRDefault="0093115D" w:rsidP="00434248">
            <w:pPr>
              <w:jc w:val="center"/>
              <w:rPr>
                <w:noProof/>
                <w:sz w:val="18"/>
                <w:szCs w:val="18"/>
              </w:rPr>
            </w:pPr>
            <w:r w:rsidRPr="00274E0D">
              <w:rPr>
                <w:sz w:val="18"/>
              </w:rPr>
              <w:t>Lukumäärä yhteensä</w:t>
            </w:r>
          </w:p>
        </w:tc>
        <w:tc>
          <w:tcPr>
            <w:tcW w:w="900" w:type="dxa"/>
            <w:tcBorders>
              <w:left w:val="dashSmallGap" w:sz="4" w:space="0" w:color="auto"/>
            </w:tcBorders>
            <w:vAlign w:val="center"/>
          </w:tcPr>
          <w:p w14:paraId="557AADA6" w14:textId="77777777" w:rsidR="0093115D" w:rsidRPr="00274E0D" w:rsidRDefault="0093115D" w:rsidP="00434248">
            <w:pPr>
              <w:jc w:val="center"/>
              <w:rPr>
                <w:noProof/>
                <w:sz w:val="18"/>
                <w:szCs w:val="18"/>
              </w:rPr>
            </w:pPr>
            <w:r w:rsidRPr="00274E0D">
              <w:rPr>
                <w:sz w:val="18"/>
              </w:rPr>
              <w:t>Kustannukset yhteensä</w:t>
            </w:r>
          </w:p>
        </w:tc>
      </w:tr>
      <w:tr w:rsidR="0093115D" w:rsidRPr="00274E0D" w14:paraId="1BD7F7DB" w14:textId="77777777" w:rsidTr="00434248">
        <w:trPr>
          <w:jc w:val="center"/>
        </w:trPr>
        <w:tc>
          <w:tcPr>
            <w:tcW w:w="2844" w:type="dxa"/>
            <w:gridSpan w:val="3"/>
            <w:vAlign w:val="center"/>
          </w:tcPr>
          <w:p w14:paraId="55E90788" w14:textId="77777777" w:rsidR="0093115D" w:rsidRPr="00274E0D" w:rsidRDefault="0093115D" w:rsidP="00434248">
            <w:pPr>
              <w:spacing w:before="60" w:after="60"/>
              <w:ind w:right="-29"/>
              <w:jc w:val="center"/>
              <w:rPr>
                <w:noProof/>
                <w:sz w:val="18"/>
                <w:szCs w:val="18"/>
              </w:rPr>
            </w:pPr>
            <w:r w:rsidRPr="00274E0D">
              <w:rPr>
                <w:sz w:val="18"/>
              </w:rPr>
              <w:t>ERITYISTAVOITE 1</w:t>
            </w:r>
            <w:r w:rsidRPr="00274E0D">
              <w:rPr>
                <w:rStyle w:val="FootnoteReference"/>
                <w:noProof/>
                <w:sz w:val="18"/>
                <w:szCs w:val="18"/>
              </w:rPr>
              <w:footnoteReference w:id="40"/>
            </w:r>
            <w:r w:rsidRPr="00274E0D">
              <w:rPr>
                <w:sz w:val="18"/>
              </w:rPr>
              <w:t>...</w:t>
            </w:r>
          </w:p>
        </w:tc>
        <w:tc>
          <w:tcPr>
            <w:tcW w:w="504" w:type="dxa"/>
            <w:tcBorders>
              <w:top w:val="nil"/>
              <w:left w:val="nil"/>
              <w:bottom w:val="nil"/>
              <w:right w:val="nil"/>
            </w:tcBorders>
          </w:tcPr>
          <w:p w14:paraId="67D2CFC2"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1D794023"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4F9E3F74"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04F51C96"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4A5658FE"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6DA0F272" w14:textId="77777777" w:rsidR="0093115D" w:rsidRPr="00274E0D" w:rsidRDefault="0093115D" w:rsidP="00434248">
            <w:pPr>
              <w:spacing w:before="60" w:after="60"/>
              <w:ind w:right="-29"/>
              <w:jc w:val="center"/>
              <w:rPr>
                <w:noProof/>
                <w:sz w:val="18"/>
                <w:szCs w:val="18"/>
              </w:rPr>
            </w:pPr>
          </w:p>
        </w:tc>
        <w:tc>
          <w:tcPr>
            <w:tcW w:w="900" w:type="dxa"/>
            <w:tcBorders>
              <w:top w:val="nil"/>
              <w:left w:val="nil"/>
              <w:bottom w:val="nil"/>
              <w:right w:val="nil"/>
            </w:tcBorders>
          </w:tcPr>
          <w:p w14:paraId="5281E803" w14:textId="77777777" w:rsidR="0093115D" w:rsidRPr="00274E0D" w:rsidRDefault="0093115D" w:rsidP="00434248">
            <w:pPr>
              <w:spacing w:before="60" w:after="60"/>
              <w:ind w:right="-29"/>
              <w:jc w:val="center"/>
              <w:rPr>
                <w:noProof/>
                <w:sz w:val="18"/>
                <w:szCs w:val="18"/>
              </w:rPr>
            </w:pPr>
          </w:p>
        </w:tc>
        <w:tc>
          <w:tcPr>
            <w:tcW w:w="720" w:type="dxa"/>
            <w:gridSpan w:val="2"/>
            <w:tcBorders>
              <w:top w:val="nil"/>
              <w:left w:val="nil"/>
              <w:bottom w:val="nil"/>
              <w:right w:val="nil"/>
            </w:tcBorders>
          </w:tcPr>
          <w:p w14:paraId="5CAEAACE"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33DB9A5F" w14:textId="77777777" w:rsidR="0093115D" w:rsidRPr="00274E0D" w:rsidRDefault="0093115D" w:rsidP="00434248">
            <w:pPr>
              <w:spacing w:before="60" w:after="60"/>
              <w:ind w:right="-29"/>
              <w:jc w:val="center"/>
              <w:rPr>
                <w:noProof/>
                <w:sz w:val="18"/>
                <w:szCs w:val="18"/>
              </w:rPr>
            </w:pPr>
          </w:p>
        </w:tc>
        <w:tc>
          <w:tcPr>
            <w:tcW w:w="648" w:type="dxa"/>
            <w:tcBorders>
              <w:top w:val="nil"/>
              <w:left w:val="nil"/>
              <w:bottom w:val="nil"/>
              <w:right w:val="nil"/>
            </w:tcBorders>
          </w:tcPr>
          <w:p w14:paraId="0ABDF9D1" w14:textId="77777777" w:rsidR="0093115D" w:rsidRPr="00274E0D" w:rsidRDefault="0093115D" w:rsidP="00434248">
            <w:pPr>
              <w:spacing w:before="60" w:after="60"/>
              <w:ind w:right="-29"/>
              <w:jc w:val="center"/>
              <w:rPr>
                <w:noProof/>
                <w:sz w:val="18"/>
                <w:szCs w:val="18"/>
              </w:rPr>
            </w:pPr>
          </w:p>
        </w:tc>
        <w:tc>
          <w:tcPr>
            <w:tcW w:w="432" w:type="dxa"/>
            <w:tcBorders>
              <w:top w:val="nil"/>
              <w:left w:val="nil"/>
              <w:bottom w:val="nil"/>
              <w:right w:val="nil"/>
            </w:tcBorders>
          </w:tcPr>
          <w:p w14:paraId="35258F75"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7CFD4EBF"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1CC2EE06"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7D3220BC"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071ED438" w14:textId="77777777" w:rsidR="0093115D" w:rsidRPr="00274E0D" w:rsidRDefault="0093115D" w:rsidP="00434248">
            <w:pPr>
              <w:spacing w:before="60" w:after="60"/>
              <w:ind w:right="-29"/>
              <w:jc w:val="center"/>
              <w:rPr>
                <w:noProof/>
                <w:sz w:val="18"/>
                <w:szCs w:val="18"/>
              </w:rPr>
            </w:pPr>
          </w:p>
        </w:tc>
        <w:tc>
          <w:tcPr>
            <w:tcW w:w="900" w:type="dxa"/>
            <w:tcBorders>
              <w:top w:val="nil"/>
              <w:left w:val="nil"/>
              <w:bottom w:val="nil"/>
              <w:right w:val="nil"/>
            </w:tcBorders>
          </w:tcPr>
          <w:p w14:paraId="44C02F00" w14:textId="77777777" w:rsidR="0093115D" w:rsidRPr="00274E0D" w:rsidRDefault="0093115D" w:rsidP="00434248">
            <w:pPr>
              <w:spacing w:before="60" w:after="60"/>
              <w:ind w:right="-29"/>
              <w:jc w:val="center"/>
              <w:rPr>
                <w:noProof/>
                <w:sz w:val="18"/>
                <w:szCs w:val="18"/>
              </w:rPr>
            </w:pPr>
          </w:p>
        </w:tc>
      </w:tr>
      <w:tr w:rsidR="0093115D" w:rsidRPr="00274E0D" w14:paraId="28F7A27A" w14:textId="77777777" w:rsidTr="00434248">
        <w:trPr>
          <w:trHeight w:hRule="exact" w:val="369"/>
          <w:jc w:val="center"/>
        </w:trPr>
        <w:tc>
          <w:tcPr>
            <w:tcW w:w="1423" w:type="dxa"/>
          </w:tcPr>
          <w:p w14:paraId="474C52C4" w14:textId="77777777" w:rsidR="0093115D" w:rsidRPr="00274E0D" w:rsidRDefault="0093115D" w:rsidP="00434248">
            <w:pPr>
              <w:ind w:right="-29"/>
              <w:jc w:val="center"/>
              <w:rPr>
                <w:noProof/>
                <w:sz w:val="18"/>
                <w:szCs w:val="18"/>
              </w:rPr>
            </w:pPr>
            <w:r w:rsidRPr="00274E0D">
              <w:rPr>
                <w:sz w:val="18"/>
              </w:rPr>
              <w:t>– Tuotos</w:t>
            </w:r>
          </w:p>
        </w:tc>
        <w:tc>
          <w:tcPr>
            <w:tcW w:w="720" w:type="dxa"/>
          </w:tcPr>
          <w:p w14:paraId="56100A9C" w14:textId="77777777" w:rsidR="0093115D" w:rsidRPr="00274E0D" w:rsidRDefault="0093115D" w:rsidP="00434248">
            <w:pPr>
              <w:ind w:right="-29"/>
              <w:jc w:val="center"/>
              <w:rPr>
                <w:noProof/>
                <w:sz w:val="18"/>
                <w:szCs w:val="18"/>
              </w:rPr>
            </w:pPr>
          </w:p>
        </w:tc>
        <w:tc>
          <w:tcPr>
            <w:tcW w:w="701" w:type="dxa"/>
          </w:tcPr>
          <w:p w14:paraId="4073E19B" w14:textId="77777777" w:rsidR="0093115D" w:rsidRPr="00274E0D" w:rsidRDefault="0093115D" w:rsidP="00434248">
            <w:pPr>
              <w:ind w:right="-29"/>
              <w:jc w:val="center"/>
              <w:rPr>
                <w:noProof/>
                <w:sz w:val="18"/>
                <w:szCs w:val="18"/>
              </w:rPr>
            </w:pPr>
          </w:p>
        </w:tc>
        <w:tc>
          <w:tcPr>
            <w:tcW w:w="504" w:type="dxa"/>
            <w:tcBorders>
              <w:right w:val="dashSmallGap" w:sz="4" w:space="0" w:color="auto"/>
            </w:tcBorders>
          </w:tcPr>
          <w:p w14:paraId="38A2D678"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5A0A874B"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60F52FF2"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393D3FBD" w14:textId="77777777" w:rsidR="0093115D" w:rsidRPr="00274E0D" w:rsidRDefault="0093115D" w:rsidP="00434248">
            <w:pPr>
              <w:ind w:right="-29"/>
              <w:jc w:val="center"/>
              <w:rPr>
                <w:noProof/>
                <w:sz w:val="18"/>
                <w:szCs w:val="18"/>
              </w:rPr>
            </w:pPr>
          </w:p>
        </w:tc>
        <w:tc>
          <w:tcPr>
            <w:tcW w:w="720" w:type="dxa"/>
            <w:tcBorders>
              <w:right w:val="dashSmallGap" w:sz="4" w:space="0" w:color="auto"/>
            </w:tcBorders>
          </w:tcPr>
          <w:p w14:paraId="7DC313EB"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3FE00B8B" w14:textId="77777777" w:rsidR="0093115D" w:rsidRPr="00274E0D" w:rsidRDefault="0093115D" w:rsidP="00434248">
            <w:pPr>
              <w:ind w:right="-29"/>
              <w:jc w:val="center"/>
              <w:rPr>
                <w:noProof/>
                <w:sz w:val="18"/>
                <w:szCs w:val="18"/>
              </w:rPr>
            </w:pPr>
          </w:p>
        </w:tc>
        <w:tc>
          <w:tcPr>
            <w:tcW w:w="900" w:type="dxa"/>
            <w:tcBorders>
              <w:right w:val="dashSmallGap" w:sz="4" w:space="0" w:color="auto"/>
            </w:tcBorders>
          </w:tcPr>
          <w:p w14:paraId="1127A000" w14:textId="77777777" w:rsidR="0093115D" w:rsidRPr="00274E0D" w:rsidRDefault="0093115D" w:rsidP="00434248">
            <w:pPr>
              <w:ind w:right="-29"/>
              <w:jc w:val="center"/>
              <w:rPr>
                <w:noProof/>
                <w:sz w:val="18"/>
                <w:szCs w:val="18"/>
              </w:rPr>
            </w:pPr>
          </w:p>
        </w:tc>
        <w:tc>
          <w:tcPr>
            <w:tcW w:w="720" w:type="dxa"/>
            <w:gridSpan w:val="2"/>
            <w:tcBorders>
              <w:left w:val="dashSmallGap" w:sz="4" w:space="0" w:color="auto"/>
            </w:tcBorders>
          </w:tcPr>
          <w:p w14:paraId="3831E4EF"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6D2882DB" w14:textId="77777777" w:rsidR="0093115D" w:rsidRPr="00274E0D" w:rsidRDefault="0093115D" w:rsidP="00434248">
            <w:pPr>
              <w:ind w:right="-29"/>
              <w:jc w:val="center"/>
              <w:rPr>
                <w:noProof/>
                <w:sz w:val="18"/>
                <w:szCs w:val="18"/>
              </w:rPr>
            </w:pPr>
          </w:p>
        </w:tc>
        <w:tc>
          <w:tcPr>
            <w:tcW w:w="648" w:type="dxa"/>
            <w:tcBorders>
              <w:left w:val="dashSmallGap" w:sz="4" w:space="0" w:color="auto"/>
            </w:tcBorders>
          </w:tcPr>
          <w:p w14:paraId="46310A30" w14:textId="77777777" w:rsidR="0093115D" w:rsidRPr="00274E0D" w:rsidRDefault="0093115D" w:rsidP="00434248">
            <w:pPr>
              <w:ind w:right="-29"/>
              <w:jc w:val="center"/>
              <w:rPr>
                <w:noProof/>
                <w:sz w:val="18"/>
                <w:szCs w:val="18"/>
              </w:rPr>
            </w:pPr>
          </w:p>
        </w:tc>
        <w:tc>
          <w:tcPr>
            <w:tcW w:w="432" w:type="dxa"/>
            <w:tcBorders>
              <w:right w:val="dashSmallGap" w:sz="4" w:space="0" w:color="auto"/>
            </w:tcBorders>
          </w:tcPr>
          <w:p w14:paraId="6260AC60"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31C1D005"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73560DEE"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4761538E" w14:textId="77777777" w:rsidR="0093115D" w:rsidRPr="00274E0D" w:rsidRDefault="0093115D" w:rsidP="00434248">
            <w:pPr>
              <w:ind w:right="-29"/>
              <w:jc w:val="center"/>
              <w:rPr>
                <w:noProof/>
                <w:sz w:val="18"/>
                <w:szCs w:val="18"/>
              </w:rPr>
            </w:pPr>
          </w:p>
        </w:tc>
        <w:tc>
          <w:tcPr>
            <w:tcW w:w="720" w:type="dxa"/>
          </w:tcPr>
          <w:p w14:paraId="7BCF3E3B" w14:textId="77777777" w:rsidR="0093115D" w:rsidRPr="00274E0D" w:rsidRDefault="0093115D" w:rsidP="00434248">
            <w:pPr>
              <w:ind w:right="-29"/>
              <w:jc w:val="center"/>
              <w:rPr>
                <w:noProof/>
                <w:sz w:val="18"/>
                <w:szCs w:val="18"/>
              </w:rPr>
            </w:pPr>
          </w:p>
        </w:tc>
        <w:tc>
          <w:tcPr>
            <w:tcW w:w="900" w:type="dxa"/>
          </w:tcPr>
          <w:p w14:paraId="589360DB" w14:textId="77777777" w:rsidR="0093115D" w:rsidRPr="00274E0D" w:rsidRDefault="0093115D" w:rsidP="00434248">
            <w:pPr>
              <w:ind w:right="-29"/>
              <w:jc w:val="center"/>
              <w:rPr>
                <w:noProof/>
                <w:sz w:val="18"/>
                <w:szCs w:val="18"/>
              </w:rPr>
            </w:pPr>
          </w:p>
        </w:tc>
      </w:tr>
      <w:tr w:rsidR="0093115D" w:rsidRPr="00274E0D" w14:paraId="6B36A331" w14:textId="77777777" w:rsidTr="00434248">
        <w:trPr>
          <w:trHeight w:hRule="exact" w:val="369"/>
          <w:jc w:val="center"/>
        </w:trPr>
        <w:tc>
          <w:tcPr>
            <w:tcW w:w="1423" w:type="dxa"/>
          </w:tcPr>
          <w:p w14:paraId="3F20F1E5" w14:textId="77777777" w:rsidR="0093115D" w:rsidRPr="00274E0D" w:rsidRDefault="0093115D" w:rsidP="00434248">
            <w:pPr>
              <w:ind w:right="-29"/>
              <w:jc w:val="center"/>
              <w:rPr>
                <w:noProof/>
                <w:sz w:val="18"/>
                <w:szCs w:val="18"/>
              </w:rPr>
            </w:pPr>
            <w:r w:rsidRPr="00274E0D">
              <w:rPr>
                <w:sz w:val="18"/>
              </w:rPr>
              <w:t>– Tuotos</w:t>
            </w:r>
          </w:p>
        </w:tc>
        <w:tc>
          <w:tcPr>
            <w:tcW w:w="720" w:type="dxa"/>
          </w:tcPr>
          <w:p w14:paraId="6DECB448" w14:textId="77777777" w:rsidR="0093115D" w:rsidRPr="00274E0D" w:rsidRDefault="0093115D" w:rsidP="00434248">
            <w:pPr>
              <w:ind w:right="-29"/>
              <w:jc w:val="center"/>
              <w:rPr>
                <w:noProof/>
                <w:sz w:val="18"/>
                <w:szCs w:val="18"/>
              </w:rPr>
            </w:pPr>
          </w:p>
        </w:tc>
        <w:tc>
          <w:tcPr>
            <w:tcW w:w="701" w:type="dxa"/>
          </w:tcPr>
          <w:p w14:paraId="2CCD230C" w14:textId="77777777" w:rsidR="0093115D" w:rsidRPr="00274E0D" w:rsidRDefault="0093115D" w:rsidP="00434248">
            <w:pPr>
              <w:ind w:right="-29"/>
              <w:jc w:val="center"/>
              <w:rPr>
                <w:noProof/>
                <w:sz w:val="18"/>
                <w:szCs w:val="18"/>
              </w:rPr>
            </w:pPr>
          </w:p>
        </w:tc>
        <w:tc>
          <w:tcPr>
            <w:tcW w:w="504" w:type="dxa"/>
            <w:tcBorders>
              <w:right w:val="dashSmallGap" w:sz="4" w:space="0" w:color="auto"/>
            </w:tcBorders>
          </w:tcPr>
          <w:p w14:paraId="54C6449F"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5543699E"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1637B4C8"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721F2316" w14:textId="77777777" w:rsidR="0093115D" w:rsidRPr="00274E0D" w:rsidRDefault="0093115D" w:rsidP="00434248">
            <w:pPr>
              <w:ind w:right="-29"/>
              <w:jc w:val="center"/>
              <w:rPr>
                <w:noProof/>
                <w:sz w:val="18"/>
                <w:szCs w:val="18"/>
              </w:rPr>
            </w:pPr>
          </w:p>
        </w:tc>
        <w:tc>
          <w:tcPr>
            <w:tcW w:w="720" w:type="dxa"/>
            <w:tcBorders>
              <w:right w:val="dashSmallGap" w:sz="4" w:space="0" w:color="auto"/>
            </w:tcBorders>
          </w:tcPr>
          <w:p w14:paraId="2F91F94E"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0E15F7FC" w14:textId="77777777" w:rsidR="0093115D" w:rsidRPr="00274E0D" w:rsidRDefault="0093115D" w:rsidP="00434248">
            <w:pPr>
              <w:ind w:right="-29"/>
              <w:jc w:val="center"/>
              <w:rPr>
                <w:noProof/>
                <w:sz w:val="18"/>
                <w:szCs w:val="18"/>
              </w:rPr>
            </w:pPr>
          </w:p>
        </w:tc>
        <w:tc>
          <w:tcPr>
            <w:tcW w:w="900" w:type="dxa"/>
            <w:tcBorders>
              <w:right w:val="dashSmallGap" w:sz="4" w:space="0" w:color="auto"/>
            </w:tcBorders>
          </w:tcPr>
          <w:p w14:paraId="7BD73F6E" w14:textId="77777777" w:rsidR="0093115D" w:rsidRPr="00274E0D" w:rsidRDefault="0093115D" w:rsidP="00434248">
            <w:pPr>
              <w:ind w:right="-29"/>
              <w:jc w:val="center"/>
              <w:rPr>
                <w:noProof/>
                <w:sz w:val="18"/>
                <w:szCs w:val="18"/>
              </w:rPr>
            </w:pPr>
          </w:p>
        </w:tc>
        <w:tc>
          <w:tcPr>
            <w:tcW w:w="720" w:type="dxa"/>
            <w:gridSpan w:val="2"/>
            <w:tcBorders>
              <w:left w:val="dashSmallGap" w:sz="4" w:space="0" w:color="auto"/>
            </w:tcBorders>
          </w:tcPr>
          <w:p w14:paraId="0BA96AB5"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7D6F4C16" w14:textId="77777777" w:rsidR="0093115D" w:rsidRPr="00274E0D" w:rsidRDefault="0093115D" w:rsidP="00434248">
            <w:pPr>
              <w:ind w:right="-29"/>
              <w:jc w:val="center"/>
              <w:rPr>
                <w:noProof/>
                <w:sz w:val="18"/>
                <w:szCs w:val="18"/>
              </w:rPr>
            </w:pPr>
          </w:p>
        </w:tc>
        <w:tc>
          <w:tcPr>
            <w:tcW w:w="648" w:type="dxa"/>
            <w:tcBorders>
              <w:left w:val="dashSmallGap" w:sz="4" w:space="0" w:color="auto"/>
            </w:tcBorders>
          </w:tcPr>
          <w:p w14:paraId="31C6D9E2" w14:textId="77777777" w:rsidR="0093115D" w:rsidRPr="00274E0D" w:rsidRDefault="0093115D" w:rsidP="00434248">
            <w:pPr>
              <w:ind w:right="-29"/>
              <w:jc w:val="center"/>
              <w:rPr>
                <w:noProof/>
                <w:sz w:val="18"/>
                <w:szCs w:val="18"/>
              </w:rPr>
            </w:pPr>
          </w:p>
        </w:tc>
        <w:tc>
          <w:tcPr>
            <w:tcW w:w="432" w:type="dxa"/>
            <w:tcBorders>
              <w:right w:val="dashSmallGap" w:sz="4" w:space="0" w:color="auto"/>
            </w:tcBorders>
          </w:tcPr>
          <w:p w14:paraId="34A1908A"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3532C504" w14:textId="77777777" w:rsidR="0093115D" w:rsidRPr="00274E0D" w:rsidRDefault="0093115D" w:rsidP="00434248">
            <w:pPr>
              <w:ind w:right="-29"/>
              <w:jc w:val="center"/>
              <w:rPr>
                <w:noProof/>
                <w:sz w:val="18"/>
                <w:szCs w:val="18"/>
              </w:rPr>
            </w:pPr>
          </w:p>
        </w:tc>
        <w:tc>
          <w:tcPr>
            <w:tcW w:w="540" w:type="dxa"/>
            <w:tcBorders>
              <w:right w:val="dashSmallGap" w:sz="4" w:space="0" w:color="auto"/>
            </w:tcBorders>
          </w:tcPr>
          <w:p w14:paraId="77BCFDD8" w14:textId="77777777" w:rsidR="0093115D" w:rsidRPr="00274E0D" w:rsidRDefault="0093115D" w:rsidP="00434248">
            <w:pPr>
              <w:ind w:right="-29"/>
              <w:jc w:val="center"/>
              <w:rPr>
                <w:noProof/>
                <w:sz w:val="18"/>
                <w:szCs w:val="18"/>
              </w:rPr>
            </w:pPr>
          </w:p>
        </w:tc>
        <w:tc>
          <w:tcPr>
            <w:tcW w:w="720" w:type="dxa"/>
            <w:tcBorders>
              <w:left w:val="dashSmallGap" w:sz="4" w:space="0" w:color="auto"/>
            </w:tcBorders>
          </w:tcPr>
          <w:p w14:paraId="28634E0B" w14:textId="77777777" w:rsidR="0093115D" w:rsidRPr="00274E0D" w:rsidRDefault="0093115D" w:rsidP="00434248">
            <w:pPr>
              <w:ind w:right="-29"/>
              <w:jc w:val="center"/>
              <w:rPr>
                <w:noProof/>
                <w:sz w:val="18"/>
                <w:szCs w:val="18"/>
              </w:rPr>
            </w:pPr>
          </w:p>
        </w:tc>
        <w:tc>
          <w:tcPr>
            <w:tcW w:w="720" w:type="dxa"/>
          </w:tcPr>
          <w:p w14:paraId="04B5B82B" w14:textId="77777777" w:rsidR="0093115D" w:rsidRPr="00274E0D" w:rsidRDefault="0093115D" w:rsidP="00434248">
            <w:pPr>
              <w:ind w:right="-29"/>
              <w:jc w:val="center"/>
              <w:rPr>
                <w:noProof/>
                <w:sz w:val="18"/>
                <w:szCs w:val="18"/>
              </w:rPr>
            </w:pPr>
          </w:p>
        </w:tc>
        <w:tc>
          <w:tcPr>
            <w:tcW w:w="900" w:type="dxa"/>
          </w:tcPr>
          <w:p w14:paraId="4A66F7A0" w14:textId="77777777" w:rsidR="0093115D" w:rsidRPr="00274E0D" w:rsidRDefault="0093115D" w:rsidP="00434248">
            <w:pPr>
              <w:ind w:right="-29"/>
              <w:jc w:val="center"/>
              <w:rPr>
                <w:noProof/>
                <w:sz w:val="18"/>
                <w:szCs w:val="18"/>
              </w:rPr>
            </w:pPr>
          </w:p>
        </w:tc>
      </w:tr>
      <w:tr w:rsidR="0093115D" w:rsidRPr="00274E0D" w14:paraId="1D6D1630" w14:textId="77777777" w:rsidTr="00434248">
        <w:trPr>
          <w:trHeight w:hRule="exact" w:val="369"/>
          <w:jc w:val="center"/>
        </w:trPr>
        <w:tc>
          <w:tcPr>
            <w:tcW w:w="1423" w:type="dxa"/>
          </w:tcPr>
          <w:p w14:paraId="2A1F887C" w14:textId="77777777" w:rsidR="0093115D" w:rsidRPr="00274E0D" w:rsidRDefault="0093115D" w:rsidP="00434248">
            <w:pPr>
              <w:ind w:right="-29"/>
              <w:jc w:val="center"/>
              <w:rPr>
                <w:noProof/>
                <w:sz w:val="18"/>
                <w:szCs w:val="18"/>
              </w:rPr>
            </w:pPr>
            <w:r w:rsidRPr="00274E0D">
              <w:rPr>
                <w:sz w:val="18"/>
              </w:rPr>
              <w:t>– Tuotos</w:t>
            </w:r>
          </w:p>
        </w:tc>
        <w:tc>
          <w:tcPr>
            <w:tcW w:w="720" w:type="dxa"/>
          </w:tcPr>
          <w:p w14:paraId="16C3D64A" w14:textId="77777777" w:rsidR="0093115D" w:rsidRPr="00274E0D" w:rsidRDefault="0093115D" w:rsidP="00434248">
            <w:pPr>
              <w:ind w:right="-29"/>
              <w:jc w:val="center"/>
              <w:rPr>
                <w:noProof/>
                <w:sz w:val="18"/>
                <w:szCs w:val="18"/>
              </w:rPr>
            </w:pPr>
          </w:p>
        </w:tc>
        <w:tc>
          <w:tcPr>
            <w:tcW w:w="701" w:type="dxa"/>
          </w:tcPr>
          <w:p w14:paraId="7200952B" w14:textId="77777777" w:rsidR="0093115D" w:rsidRPr="00274E0D" w:rsidRDefault="0093115D" w:rsidP="00434248">
            <w:pPr>
              <w:ind w:right="-29"/>
              <w:jc w:val="center"/>
              <w:rPr>
                <w:noProof/>
                <w:sz w:val="18"/>
                <w:szCs w:val="18"/>
              </w:rPr>
            </w:pPr>
          </w:p>
        </w:tc>
        <w:tc>
          <w:tcPr>
            <w:tcW w:w="504" w:type="dxa"/>
          </w:tcPr>
          <w:p w14:paraId="1B678CFB" w14:textId="77777777" w:rsidR="0093115D" w:rsidRPr="00274E0D" w:rsidRDefault="0093115D" w:rsidP="00434248">
            <w:pPr>
              <w:ind w:right="-29"/>
              <w:jc w:val="center"/>
              <w:rPr>
                <w:noProof/>
                <w:sz w:val="18"/>
                <w:szCs w:val="18"/>
              </w:rPr>
            </w:pPr>
          </w:p>
        </w:tc>
        <w:tc>
          <w:tcPr>
            <w:tcW w:w="720" w:type="dxa"/>
          </w:tcPr>
          <w:p w14:paraId="6E98447C" w14:textId="77777777" w:rsidR="0093115D" w:rsidRPr="00274E0D" w:rsidRDefault="0093115D" w:rsidP="00434248">
            <w:pPr>
              <w:ind w:right="-29"/>
              <w:jc w:val="center"/>
              <w:rPr>
                <w:noProof/>
                <w:sz w:val="18"/>
                <w:szCs w:val="18"/>
              </w:rPr>
            </w:pPr>
          </w:p>
        </w:tc>
        <w:tc>
          <w:tcPr>
            <w:tcW w:w="540" w:type="dxa"/>
          </w:tcPr>
          <w:p w14:paraId="628837F0" w14:textId="77777777" w:rsidR="0093115D" w:rsidRPr="00274E0D" w:rsidRDefault="0093115D" w:rsidP="00434248">
            <w:pPr>
              <w:ind w:right="-29"/>
              <w:jc w:val="center"/>
              <w:rPr>
                <w:noProof/>
                <w:sz w:val="18"/>
                <w:szCs w:val="18"/>
              </w:rPr>
            </w:pPr>
          </w:p>
        </w:tc>
        <w:tc>
          <w:tcPr>
            <w:tcW w:w="720" w:type="dxa"/>
          </w:tcPr>
          <w:p w14:paraId="1ED6EBCC" w14:textId="77777777" w:rsidR="0093115D" w:rsidRPr="00274E0D" w:rsidRDefault="0093115D" w:rsidP="00434248">
            <w:pPr>
              <w:ind w:right="-29"/>
              <w:jc w:val="center"/>
              <w:rPr>
                <w:noProof/>
                <w:sz w:val="18"/>
                <w:szCs w:val="18"/>
              </w:rPr>
            </w:pPr>
          </w:p>
        </w:tc>
        <w:tc>
          <w:tcPr>
            <w:tcW w:w="720" w:type="dxa"/>
          </w:tcPr>
          <w:p w14:paraId="3620C362" w14:textId="77777777" w:rsidR="0093115D" w:rsidRPr="00274E0D" w:rsidRDefault="0093115D" w:rsidP="00434248">
            <w:pPr>
              <w:ind w:right="-29"/>
              <w:jc w:val="center"/>
              <w:rPr>
                <w:noProof/>
                <w:sz w:val="18"/>
                <w:szCs w:val="18"/>
              </w:rPr>
            </w:pPr>
          </w:p>
        </w:tc>
        <w:tc>
          <w:tcPr>
            <w:tcW w:w="720" w:type="dxa"/>
          </w:tcPr>
          <w:p w14:paraId="21F44B03" w14:textId="77777777" w:rsidR="0093115D" w:rsidRPr="00274E0D" w:rsidRDefault="0093115D" w:rsidP="00434248">
            <w:pPr>
              <w:ind w:right="-29"/>
              <w:jc w:val="center"/>
              <w:rPr>
                <w:noProof/>
                <w:sz w:val="18"/>
                <w:szCs w:val="18"/>
              </w:rPr>
            </w:pPr>
          </w:p>
        </w:tc>
        <w:tc>
          <w:tcPr>
            <w:tcW w:w="900" w:type="dxa"/>
          </w:tcPr>
          <w:p w14:paraId="33EE85B6" w14:textId="77777777" w:rsidR="0093115D" w:rsidRPr="00274E0D" w:rsidRDefault="0093115D" w:rsidP="00434248">
            <w:pPr>
              <w:ind w:right="-29"/>
              <w:jc w:val="center"/>
              <w:rPr>
                <w:noProof/>
                <w:sz w:val="18"/>
                <w:szCs w:val="18"/>
              </w:rPr>
            </w:pPr>
          </w:p>
        </w:tc>
        <w:tc>
          <w:tcPr>
            <w:tcW w:w="720" w:type="dxa"/>
            <w:gridSpan w:val="2"/>
          </w:tcPr>
          <w:p w14:paraId="608C65DD" w14:textId="77777777" w:rsidR="0093115D" w:rsidRPr="00274E0D" w:rsidRDefault="0093115D" w:rsidP="00434248">
            <w:pPr>
              <w:ind w:right="-29"/>
              <w:jc w:val="center"/>
              <w:rPr>
                <w:noProof/>
                <w:sz w:val="18"/>
                <w:szCs w:val="18"/>
              </w:rPr>
            </w:pPr>
          </w:p>
        </w:tc>
        <w:tc>
          <w:tcPr>
            <w:tcW w:w="540" w:type="dxa"/>
          </w:tcPr>
          <w:p w14:paraId="052CCBD2" w14:textId="77777777" w:rsidR="0093115D" w:rsidRPr="00274E0D" w:rsidRDefault="0093115D" w:rsidP="00434248">
            <w:pPr>
              <w:ind w:right="-29"/>
              <w:jc w:val="center"/>
              <w:rPr>
                <w:noProof/>
                <w:sz w:val="18"/>
                <w:szCs w:val="18"/>
              </w:rPr>
            </w:pPr>
          </w:p>
        </w:tc>
        <w:tc>
          <w:tcPr>
            <w:tcW w:w="648" w:type="dxa"/>
          </w:tcPr>
          <w:p w14:paraId="2293E66C" w14:textId="77777777" w:rsidR="0093115D" w:rsidRPr="00274E0D" w:rsidRDefault="0093115D" w:rsidP="00434248">
            <w:pPr>
              <w:ind w:right="-29"/>
              <w:jc w:val="center"/>
              <w:rPr>
                <w:noProof/>
                <w:sz w:val="18"/>
                <w:szCs w:val="18"/>
              </w:rPr>
            </w:pPr>
          </w:p>
        </w:tc>
        <w:tc>
          <w:tcPr>
            <w:tcW w:w="432" w:type="dxa"/>
          </w:tcPr>
          <w:p w14:paraId="1EFB7A61" w14:textId="77777777" w:rsidR="0093115D" w:rsidRPr="00274E0D" w:rsidRDefault="0093115D" w:rsidP="00434248">
            <w:pPr>
              <w:ind w:right="-29"/>
              <w:jc w:val="center"/>
              <w:rPr>
                <w:noProof/>
                <w:sz w:val="18"/>
                <w:szCs w:val="18"/>
              </w:rPr>
            </w:pPr>
          </w:p>
        </w:tc>
        <w:tc>
          <w:tcPr>
            <w:tcW w:w="720" w:type="dxa"/>
          </w:tcPr>
          <w:p w14:paraId="3092971B" w14:textId="77777777" w:rsidR="0093115D" w:rsidRPr="00274E0D" w:rsidRDefault="0093115D" w:rsidP="00434248">
            <w:pPr>
              <w:ind w:right="-29"/>
              <w:jc w:val="center"/>
              <w:rPr>
                <w:noProof/>
                <w:sz w:val="18"/>
                <w:szCs w:val="18"/>
              </w:rPr>
            </w:pPr>
          </w:p>
        </w:tc>
        <w:tc>
          <w:tcPr>
            <w:tcW w:w="540" w:type="dxa"/>
          </w:tcPr>
          <w:p w14:paraId="02BBC5AC" w14:textId="77777777" w:rsidR="0093115D" w:rsidRPr="00274E0D" w:rsidRDefault="0093115D" w:rsidP="00434248">
            <w:pPr>
              <w:ind w:right="-29"/>
              <w:jc w:val="center"/>
              <w:rPr>
                <w:noProof/>
                <w:sz w:val="18"/>
                <w:szCs w:val="18"/>
              </w:rPr>
            </w:pPr>
          </w:p>
        </w:tc>
        <w:tc>
          <w:tcPr>
            <w:tcW w:w="720" w:type="dxa"/>
          </w:tcPr>
          <w:p w14:paraId="789B094F" w14:textId="77777777" w:rsidR="0093115D" w:rsidRPr="00274E0D" w:rsidRDefault="0093115D" w:rsidP="00434248">
            <w:pPr>
              <w:ind w:right="-29"/>
              <w:jc w:val="center"/>
              <w:rPr>
                <w:noProof/>
                <w:sz w:val="18"/>
                <w:szCs w:val="18"/>
              </w:rPr>
            </w:pPr>
          </w:p>
        </w:tc>
        <w:tc>
          <w:tcPr>
            <w:tcW w:w="720" w:type="dxa"/>
          </w:tcPr>
          <w:p w14:paraId="6EC113E2" w14:textId="77777777" w:rsidR="0093115D" w:rsidRPr="00274E0D" w:rsidRDefault="0093115D" w:rsidP="00434248">
            <w:pPr>
              <w:ind w:right="-29"/>
              <w:jc w:val="center"/>
              <w:rPr>
                <w:noProof/>
                <w:sz w:val="18"/>
                <w:szCs w:val="18"/>
              </w:rPr>
            </w:pPr>
          </w:p>
        </w:tc>
        <w:tc>
          <w:tcPr>
            <w:tcW w:w="900" w:type="dxa"/>
          </w:tcPr>
          <w:p w14:paraId="0024C383" w14:textId="77777777" w:rsidR="0093115D" w:rsidRPr="00274E0D" w:rsidRDefault="0093115D" w:rsidP="00434248">
            <w:pPr>
              <w:ind w:right="-29"/>
              <w:jc w:val="center"/>
              <w:rPr>
                <w:noProof/>
                <w:sz w:val="18"/>
                <w:szCs w:val="18"/>
              </w:rPr>
            </w:pPr>
          </w:p>
        </w:tc>
      </w:tr>
      <w:tr w:rsidR="0093115D" w:rsidRPr="00274E0D" w14:paraId="3E9952DC" w14:textId="77777777" w:rsidTr="00434248">
        <w:trPr>
          <w:trHeight w:val="77"/>
          <w:jc w:val="center"/>
        </w:trPr>
        <w:tc>
          <w:tcPr>
            <w:tcW w:w="2844" w:type="dxa"/>
            <w:gridSpan w:val="3"/>
            <w:tcBorders>
              <w:bottom w:val="single" w:sz="12" w:space="0" w:color="auto"/>
            </w:tcBorders>
            <w:vAlign w:val="center"/>
          </w:tcPr>
          <w:p w14:paraId="7CF8FF9C" w14:textId="77777777" w:rsidR="0093115D" w:rsidRPr="00274E0D" w:rsidRDefault="0093115D" w:rsidP="00434248">
            <w:pPr>
              <w:ind w:right="-29"/>
              <w:jc w:val="center"/>
              <w:rPr>
                <w:noProof/>
                <w:sz w:val="18"/>
                <w:szCs w:val="18"/>
              </w:rPr>
            </w:pPr>
            <w:r w:rsidRPr="00274E0D">
              <w:rPr>
                <w:sz w:val="18"/>
              </w:rPr>
              <w:t>Välisumma, erityistavoite 1</w:t>
            </w:r>
          </w:p>
        </w:tc>
        <w:tc>
          <w:tcPr>
            <w:tcW w:w="504" w:type="dxa"/>
            <w:tcBorders>
              <w:bottom w:val="single" w:sz="12" w:space="0" w:color="auto"/>
            </w:tcBorders>
          </w:tcPr>
          <w:p w14:paraId="7772F988"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10DBCBF9"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5B2CC2C8"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5F395CC1"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36A839BF"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6EBC21DC" w14:textId="77777777" w:rsidR="0093115D" w:rsidRPr="00274E0D" w:rsidRDefault="0093115D" w:rsidP="00434248">
            <w:pPr>
              <w:ind w:right="-29"/>
              <w:jc w:val="center"/>
              <w:rPr>
                <w:noProof/>
                <w:sz w:val="18"/>
                <w:szCs w:val="18"/>
              </w:rPr>
            </w:pPr>
          </w:p>
        </w:tc>
        <w:tc>
          <w:tcPr>
            <w:tcW w:w="900" w:type="dxa"/>
            <w:tcBorders>
              <w:bottom w:val="single" w:sz="12" w:space="0" w:color="auto"/>
            </w:tcBorders>
          </w:tcPr>
          <w:p w14:paraId="426BEE15" w14:textId="77777777" w:rsidR="0093115D" w:rsidRPr="00274E0D" w:rsidRDefault="0093115D" w:rsidP="00434248">
            <w:pPr>
              <w:ind w:right="-29"/>
              <w:jc w:val="center"/>
              <w:rPr>
                <w:noProof/>
                <w:sz w:val="18"/>
                <w:szCs w:val="18"/>
              </w:rPr>
            </w:pPr>
          </w:p>
        </w:tc>
        <w:tc>
          <w:tcPr>
            <w:tcW w:w="720" w:type="dxa"/>
            <w:gridSpan w:val="2"/>
            <w:tcBorders>
              <w:bottom w:val="single" w:sz="12" w:space="0" w:color="auto"/>
            </w:tcBorders>
          </w:tcPr>
          <w:p w14:paraId="41996A87"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3598A126" w14:textId="77777777" w:rsidR="0093115D" w:rsidRPr="00274E0D" w:rsidRDefault="0093115D" w:rsidP="00434248">
            <w:pPr>
              <w:ind w:right="-29"/>
              <w:jc w:val="center"/>
              <w:rPr>
                <w:noProof/>
                <w:sz w:val="18"/>
                <w:szCs w:val="18"/>
              </w:rPr>
            </w:pPr>
          </w:p>
        </w:tc>
        <w:tc>
          <w:tcPr>
            <w:tcW w:w="648" w:type="dxa"/>
            <w:tcBorders>
              <w:bottom w:val="single" w:sz="12" w:space="0" w:color="auto"/>
            </w:tcBorders>
          </w:tcPr>
          <w:p w14:paraId="3B6AFC0E" w14:textId="77777777" w:rsidR="0093115D" w:rsidRPr="00274E0D" w:rsidRDefault="0093115D" w:rsidP="00434248">
            <w:pPr>
              <w:ind w:right="-29"/>
              <w:jc w:val="center"/>
              <w:rPr>
                <w:noProof/>
                <w:sz w:val="18"/>
                <w:szCs w:val="18"/>
              </w:rPr>
            </w:pPr>
          </w:p>
        </w:tc>
        <w:tc>
          <w:tcPr>
            <w:tcW w:w="432" w:type="dxa"/>
            <w:tcBorders>
              <w:bottom w:val="single" w:sz="12" w:space="0" w:color="auto"/>
            </w:tcBorders>
          </w:tcPr>
          <w:p w14:paraId="12548958"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5025A9CB"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4FEFACC2"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38C36A6A"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3BD6397A" w14:textId="77777777" w:rsidR="0093115D" w:rsidRPr="00274E0D" w:rsidRDefault="0093115D" w:rsidP="00434248">
            <w:pPr>
              <w:ind w:right="-29"/>
              <w:jc w:val="center"/>
              <w:rPr>
                <w:noProof/>
                <w:sz w:val="18"/>
                <w:szCs w:val="18"/>
              </w:rPr>
            </w:pPr>
          </w:p>
        </w:tc>
        <w:tc>
          <w:tcPr>
            <w:tcW w:w="900" w:type="dxa"/>
            <w:tcBorders>
              <w:bottom w:val="single" w:sz="12" w:space="0" w:color="auto"/>
            </w:tcBorders>
          </w:tcPr>
          <w:p w14:paraId="2467D669" w14:textId="77777777" w:rsidR="0093115D" w:rsidRPr="00274E0D" w:rsidRDefault="0093115D" w:rsidP="00434248">
            <w:pPr>
              <w:ind w:right="-29"/>
              <w:jc w:val="center"/>
              <w:rPr>
                <w:noProof/>
                <w:sz w:val="18"/>
                <w:szCs w:val="18"/>
              </w:rPr>
            </w:pPr>
          </w:p>
        </w:tc>
      </w:tr>
      <w:tr w:rsidR="0093115D" w:rsidRPr="00274E0D" w14:paraId="0DB728E5" w14:textId="77777777" w:rsidTr="00434248">
        <w:trPr>
          <w:jc w:val="center"/>
        </w:trPr>
        <w:tc>
          <w:tcPr>
            <w:tcW w:w="2844" w:type="dxa"/>
            <w:gridSpan w:val="3"/>
            <w:vAlign w:val="center"/>
          </w:tcPr>
          <w:p w14:paraId="1B0C9E29" w14:textId="77777777" w:rsidR="0093115D" w:rsidRPr="00274E0D" w:rsidRDefault="0093115D" w:rsidP="00434248">
            <w:pPr>
              <w:spacing w:before="60" w:after="60"/>
              <w:ind w:right="-29"/>
              <w:jc w:val="center"/>
              <w:rPr>
                <w:noProof/>
                <w:sz w:val="18"/>
                <w:szCs w:val="18"/>
              </w:rPr>
            </w:pPr>
            <w:r w:rsidRPr="00274E0D">
              <w:rPr>
                <w:sz w:val="18"/>
              </w:rPr>
              <w:t>ERITYISTAVOITE 2 ...</w:t>
            </w:r>
          </w:p>
        </w:tc>
        <w:tc>
          <w:tcPr>
            <w:tcW w:w="504" w:type="dxa"/>
            <w:tcBorders>
              <w:top w:val="nil"/>
              <w:left w:val="nil"/>
              <w:bottom w:val="nil"/>
              <w:right w:val="nil"/>
            </w:tcBorders>
          </w:tcPr>
          <w:p w14:paraId="4E1C555F"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30040C7B"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265FA4E6"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3E45D9B5"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18BDB98A"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4183B33B" w14:textId="77777777" w:rsidR="0093115D" w:rsidRPr="00274E0D" w:rsidRDefault="0093115D" w:rsidP="00434248">
            <w:pPr>
              <w:spacing w:before="60" w:after="60"/>
              <w:ind w:right="-29"/>
              <w:jc w:val="center"/>
              <w:rPr>
                <w:noProof/>
                <w:sz w:val="18"/>
                <w:szCs w:val="18"/>
              </w:rPr>
            </w:pPr>
          </w:p>
        </w:tc>
        <w:tc>
          <w:tcPr>
            <w:tcW w:w="900" w:type="dxa"/>
            <w:tcBorders>
              <w:top w:val="nil"/>
              <w:left w:val="nil"/>
              <w:bottom w:val="nil"/>
              <w:right w:val="nil"/>
            </w:tcBorders>
          </w:tcPr>
          <w:p w14:paraId="747FBEF0" w14:textId="77777777" w:rsidR="0093115D" w:rsidRPr="00274E0D" w:rsidRDefault="0093115D" w:rsidP="00434248">
            <w:pPr>
              <w:spacing w:before="60" w:after="60"/>
              <w:ind w:right="-29"/>
              <w:jc w:val="center"/>
              <w:rPr>
                <w:noProof/>
                <w:sz w:val="18"/>
                <w:szCs w:val="18"/>
              </w:rPr>
            </w:pPr>
          </w:p>
        </w:tc>
        <w:tc>
          <w:tcPr>
            <w:tcW w:w="720" w:type="dxa"/>
            <w:gridSpan w:val="2"/>
            <w:tcBorders>
              <w:top w:val="nil"/>
              <w:left w:val="nil"/>
              <w:bottom w:val="nil"/>
              <w:right w:val="nil"/>
            </w:tcBorders>
          </w:tcPr>
          <w:p w14:paraId="63CCFB97"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49DCBA2E" w14:textId="77777777" w:rsidR="0093115D" w:rsidRPr="00274E0D" w:rsidRDefault="0093115D" w:rsidP="00434248">
            <w:pPr>
              <w:spacing w:before="60" w:after="60"/>
              <w:ind w:right="-29"/>
              <w:jc w:val="center"/>
              <w:rPr>
                <w:noProof/>
                <w:sz w:val="18"/>
                <w:szCs w:val="18"/>
              </w:rPr>
            </w:pPr>
          </w:p>
        </w:tc>
        <w:tc>
          <w:tcPr>
            <w:tcW w:w="648" w:type="dxa"/>
            <w:tcBorders>
              <w:top w:val="nil"/>
              <w:left w:val="nil"/>
              <w:bottom w:val="nil"/>
              <w:right w:val="nil"/>
            </w:tcBorders>
          </w:tcPr>
          <w:p w14:paraId="33DF46E3" w14:textId="77777777" w:rsidR="0093115D" w:rsidRPr="00274E0D" w:rsidRDefault="0093115D" w:rsidP="00434248">
            <w:pPr>
              <w:spacing w:before="60" w:after="60"/>
              <w:ind w:right="-29"/>
              <w:jc w:val="center"/>
              <w:rPr>
                <w:noProof/>
                <w:sz w:val="18"/>
                <w:szCs w:val="18"/>
              </w:rPr>
            </w:pPr>
          </w:p>
        </w:tc>
        <w:tc>
          <w:tcPr>
            <w:tcW w:w="432" w:type="dxa"/>
            <w:tcBorders>
              <w:top w:val="nil"/>
              <w:left w:val="nil"/>
              <w:bottom w:val="nil"/>
              <w:right w:val="nil"/>
            </w:tcBorders>
          </w:tcPr>
          <w:p w14:paraId="17AF3395"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375A88B0" w14:textId="77777777" w:rsidR="0093115D" w:rsidRPr="00274E0D" w:rsidRDefault="0093115D" w:rsidP="00434248">
            <w:pPr>
              <w:spacing w:before="60" w:after="60"/>
              <w:ind w:right="-29"/>
              <w:jc w:val="center"/>
              <w:rPr>
                <w:noProof/>
                <w:sz w:val="18"/>
                <w:szCs w:val="18"/>
              </w:rPr>
            </w:pPr>
          </w:p>
        </w:tc>
        <w:tc>
          <w:tcPr>
            <w:tcW w:w="540" w:type="dxa"/>
            <w:tcBorders>
              <w:top w:val="nil"/>
              <w:left w:val="nil"/>
              <w:bottom w:val="nil"/>
              <w:right w:val="nil"/>
            </w:tcBorders>
          </w:tcPr>
          <w:p w14:paraId="273A8C33"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0C214637" w14:textId="77777777" w:rsidR="0093115D" w:rsidRPr="00274E0D" w:rsidRDefault="0093115D" w:rsidP="00434248">
            <w:pPr>
              <w:spacing w:before="60" w:after="60"/>
              <w:ind w:right="-29"/>
              <w:jc w:val="center"/>
              <w:rPr>
                <w:noProof/>
                <w:sz w:val="18"/>
                <w:szCs w:val="18"/>
              </w:rPr>
            </w:pPr>
          </w:p>
        </w:tc>
        <w:tc>
          <w:tcPr>
            <w:tcW w:w="720" w:type="dxa"/>
            <w:tcBorders>
              <w:top w:val="nil"/>
              <w:left w:val="nil"/>
              <w:bottom w:val="nil"/>
              <w:right w:val="nil"/>
            </w:tcBorders>
          </w:tcPr>
          <w:p w14:paraId="738F5C9B" w14:textId="77777777" w:rsidR="0093115D" w:rsidRPr="00274E0D" w:rsidRDefault="0093115D" w:rsidP="00434248">
            <w:pPr>
              <w:spacing w:before="60" w:after="60"/>
              <w:ind w:right="-29"/>
              <w:jc w:val="center"/>
              <w:rPr>
                <w:noProof/>
                <w:sz w:val="18"/>
                <w:szCs w:val="18"/>
              </w:rPr>
            </w:pPr>
          </w:p>
        </w:tc>
        <w:tc>
          <w:tcPr>
            <w:tcW w:w="900" w:type="dxa"/>
            <w:tcBorders>
              <w:top w:val="nil"/>
              <w:left w:val="nil"/>
              <w:bottom w:val="nil"/>
              <w:right w:val="nil"/>
            </w:tcBorders>
          </w:tcPr>
          <w:p w14:paraId="5DE0A217" w14:textId="77777777" w:rsidR="0093115D" w:rsidRPr="00274E0D" w:rsidRDefault="0093115D" w:rsidP="00434248">
            <w:pPr>
              <w:spacing w:before="60" w:after="60"/>
              <w:ind w:right="-29"/>
              <w:jc w:val="center"/>
              <w:rPr>
                <w:noProof/>
                <w:sz w:val="18"/>
                <w:szCs w:val="18"/>
              </w:rPr>
            </w:pPr>
          </w:p>
        </w:tc>
      </w:tr>
      <w:tr w:rsidR="0093115D" w:rsidRPr="00274E0D" w14:paraId="43C5CD52" w14:textId="77777777" w:rsidTr="00434248">
        <w:trPr>
          <w:trHeight w:hRule="exact" w:val="369"/>
          <w:jc w:val="center"/>
        </w:trPr>
        <w:tc>
          <w:tcPr>
            <w:tcW w:w="1423" w:type="dxa"/>
          </w:tcPr>
          <w:p w14:paraId="46A8992E" w14:textId="77777777" w:rsidR="0093115D" w:rsidRPr="00274E0D" w:rsidRDefault="0093115D" w:rsidP="00434248">
            <w:pPr>
              <w:ind w:right="-29"/>
              <w:jc w:val="center"/>
              <w:rPr>
                <w:noProof/>
                <w:sz w:val="18"/>
                <w:szCs w:val="18"/>
              </w:rPr>
            </w:pPr>
            <w:r w:rsidRPr="00274E0D">
              <w:rPr>
                <w:sz w:val="18"/>
              </w:rPr>
              <w:t>– Tuotos</w:t>
            </w:r>
          </w:p>
        </w:tc>
        <w:tc>
          <w:tcPr>
            <w:tcW w:w="720" w:type="dxa"/>
          </w:tcPr>
          <w:p w14:paraId="4D095832" w14:textId="77777777" w:rsidR="0093115D" w:rsidRPr="00274E0D" w:rsidRDefault="0093115D" w:rsidP="00434248">
            <w:pPr>
              <w:ind w:right="-29"/>
              <w:jc w:val="center"/>
              <w:rPr>
                <w:noProof/>
                <w:sz w:val="18"/>
                <w:szCs w:val="18"/>
              </w:rPr>
            </w:pPr>
          </w:p>
        </w:tc>
        <w:tc>
          <w:tcPr>
            <w:tcW w:w="701" w:type="dxa"/>
          </w:tcPr>
          <w:p w14:paraId="7A8951DF" w14:textId="77777777" w:rsidR="0093115D" w:rsidRPr="00274E0D" w:rsidRDefault="0093115D" w:rsidP="00434248">
            <w:pPr>
              <w:ind w:right="-29"/>
              <w:jc w:val="center"/>
              <w:rPr>
                <w:noProof/>
                <w:sz w:val="18"/>
                <w:szCs w:val="18"/>
              </w:rPr>
            </w:pPr>
          </w:p>
        </w:tc>
        <w:tc>
          <w:tcPr>
            <w:tcW w:w="504" w:type="dxa"/>
          </w:tcPr>
          <w:p w14:paraId="0116E4CE" w14:textId="77777777" w:rsidR="0093115D" w:rsidRPr="00274E0D" w:rsidRDefault="0093115D" w:rsidP="00434248">
            <w:pPr>
              <w:ind w:right="-29"/>
              <w:jc w:val="center"/>
              <w:rPr>
                <w:noProof/>
                <w:sz w:val="18"/>
                <w:szCs w:val="18"/>
              </w:rPr>
            </w:pPr>
          </w:p>
        </w:tc>
        <w:tc>
          <w:tcPr>
            <w:tcW w:w="720" w:type="dxa"/>
          </w:tcPr>
          <w:p w14:paraId="66547200" w14:textId="77777777" w:rsidR="0093115D" w:rsidRPr="00274E0D" w:rsidRDefault="0093115D" w:rsidP="00434248">
            <w:pPr>
              <w:ind w:right="-29"/>
              <w:jc w:val="center"/>
              <w:rPr>
                <w:noProof/>
                <w:sz w:val="18"/>
                <w:szCs w:val="18"/>
              </w:rPr>
            </w:pPr>
          </w:p>
        </w:tc>
        <w:tc>
          <w:tcPr>
            <w:tcW w:w="540" w:type="dxa"/>
          </w:tcPr>
          <w:p w14:paraId="50A6488F" w14:textId="77777777" w:rsidR="0093115D" w:rsidRPr="00274E0D" w:rsidRDefault="0093115D" w:rsidP="00434248">
            <w:pPr>
              <w:ind w:right="-29"/>
              <w:jc w:val="center"/>
              <w:rPr>
                <w:noProof/>
                <w:sz w:val="18"/>
                <w:szCs w:val="18"/>
              </w:rPr>
            </w:pPr>
          </w:p>
        </w:tc>
        <w:tc>
          <w:tcPr>
            <w:tcW w:w="720" w:type="dxa"/>
          </w:tcPr>
          <w:p w14:paraId="163A8419" w14:textId="77777777" w:rsidR="0093115D" w:rsidRPr="00274E0D" w:rsidRDefault="0093115D" w:rsidP="00434248">
            <w:pPr>
              <w:ind w:right="-29"/>
              <w:jc w:val="center"/>
              <w:rPr>
                <w:noProof/>
                <w:sz w:val="18"/>
                <w:szCs w:val="18"/>
              </w:rPr>
            </w:pPr>
          </w:p>
        </w:tc>
        <w:tc>
          <w:tcPr>
            <w:tcW w:w="720" w:type="dxa"/>
          </w:tcPr>
          <w:p w14:paraId="5DEA6701" w14:textId="77777777" w:rsidR="0093115D" w:rsidRPr="00274E0D" w:rsidRDefault="0093115D" w:rsidP="00434248">
            <w:pPr>
              <w:ind w:right="-29"/>
              <w:jc w:val="center"/>
              <w:rPr>
                <w:noProof/>
                <w:sz w:val="18"/>
                <w:szCs w:val="18"/>
              </w:rPr>
            </w:pPr>
          </w:p>
        </w:tc>
        <w:tc>
          <w:tcPr>
            <w:tcW w:w="720" w:type="dxa"/>
          </w:tcPr>
          <w:p w14:paraId="047E8CD9" w14:textId="77777777" w:rsidR="0093115D" w:rsidRPr="00274E0D" w:rsidRDefault="0093115D" w:rsidP="00434248">
            <w:pPr>
              <w:ind w:right="-29"/>
              <w:jc w:val="center"/>
              <w:rPr>
                <w:noProof/>
                <w:sz w:val="18"/>
                <w:szCs w:val="18"/>
              </w:rPr>
            </w:pPr>
          </w:p>
        </w:tc>
        <w:tc>
          <w:tcPr>
            <w:tcW w:w="900" w:type="dxa"/>
          </w:tcPr>
          <w:p w14:paraId="05EE2180" w14:textId="77777777" w:rsidR="0093115D" w:rsidRPr="00274E0D" w:rsidRDefault="0093115D" w:rsidP="00434248">
            <w:pPr>
              <w:ind w:right="-29"/>
              <w:jc w:val="center"/>
              <w:rPr>
                <w:noProof/>
                <w:sz w:val="18"/>
                <w:szCs w:val="18"/>
              </w:rPr>
            </w:pPr>
          </w:p>
        </w:tc>
        <w:tc>
          <w:tcPr>
            <w:tcW w:w="720" w:type="dxa"/>
            <w:gridSpan w:val="2"/>
          </w:tcPr>
          <w:p w14:paraId="1B87D59D" w14:textId="77777777" w:rsidR="0093115D" w:rsidRPr="00274E0D" w:rsidRDefault="0093115D" w:rsidP="00434248">
            <w:pPr>
              <w:ind w:right="-29"/>
              <w:jc w:val="center"/>
              <w:rPr>
                <w:noProof/>
                <w:sz w:val="18"/>
                <w:szCs w:val="18"/>
              </w:rPr>
            </w:pPr>
          </w:p>
        </w:tc>
        <w:tc>
          <w:tcPr>
            <w:tcW w:w="540" w:type="dxa"/>
          </w:tcPr>
          <w:p w14:paraId="451A9EA8" w14:textId="77777777" w:rsidR="0093115D" w:rsidRPr="00274E0D" w:rsidRDefault="0093115D" w:rsidP="00434248">
            <w:pPr>
              <w:ind w:right="-29"/>
              <w:jc w:val="center"/>
              <w:rPr>
                <w:noProof/>
                <w:sz w:val="18"/>
                <w:szCs w:val="18"/>
              </w:rPr>
            </w:pPr>
          </w:p>
        </w:tc>
        <w:tc>
          <w:tcPr>
            <w:tcW w:w="648" w:type="dxa"/>
          </w:tcPr>
          <w:p w14:paraId="29457CD5" w14:textId="77777777" w:rsidR="0093115D" w:rsidRPr="00274E0D" w:rsidRDefault="0093115D" w:rsidP="00434248">
            <w:pPr>
              <w:ind w:right="-29"/>
              <w:jc w:val="center"/>
              <w:rPr>
                <w:noProof/>
                <w:sz w:val="18"/>
                <w:szCs w:val="18"/>
              </w:rPr>
            </w:pPr>
          </w:p>
        </w:tc>
        <w:tc>
          <w:tcPr>
            <w:tcW w:w="432" w:type="dxa"/>
          </w:tcPr>
          <w:p w14:paraId="69D2BD23" w14:textId="77777777" w:rsidR="0093115D" w:rsidRPr="00274E0D" w:rsidRDefault="0093115D" w:rsidP="00434248">
            <w:pPr>
              <w:ind w:right="-29"/>
              <w:jc w:val="center"/>
              <w:rPr>
                <w:noProof/>
                <w:sz w:val="18"/>
                <w:szCs w:val="18"/>
              </w:rPr>
            </w:pPr>
          </w:p>
        </w:tc>
        <w:tc>
          <w:tcPr>
            <w:tcW w:w="720" w:type="dxa"/>
          </w:tcPr>
          <w:p w14:paraId="54AEC5AD" w14:textId="77777777" w:rsidR="0093115D" w:rsidRPr="00274E0D" w:rsidRDefault="0093115D" w:rsidP="00434248">
            <w:pPr>
              <w:ind w:right="-29"/>
              <w:jc w:val="center"/>
              <w:rPr>
                <w:noProof/>
                <w:sz w:val="18"/>
                <w:szCs w:val="18"/>
              </w:rPr>
            </w:pPr>
          </w:p>
        </w:tc>
        <w:tc>
          <w:tcPr>
            <w:tcW w:w="540" w:type="dxa"/>
          </w:tcPr>
          <w:p w14:paraId="4FE24F25" w14:textId="77777777" w:rsidR="0093115D" w:rsidRPr="00274E0D" w:rsidRDefault="0093115D" w:rsidP="00434248">
            <w:pPr>
              <w:ind w:right="-29"/>
              <w:jc w:val="center"/>
              <w:rPr>
                <w:noProof/>
                <w:sz w:val="18"/>
                <w:szCs w:val="18"/>
              </w:rPr>
            </w:pPr>
          </w:p>
        </w:tc>
        <w:tc>
          <w:tcPr>
            <w:tcW w:w="720" w:type="dxa"/>
          </w:tcPr>
          <w:p w14:paraId="38031B5A" w14:textId="77777777" w:rsidR="0093115D" w:rsidRPr="00274E0D" w:rsidRDefault="0093115D" w:rsidP="00434248">
            <w:pPr>
              <w:ind w:right="-29"/>
              <w:jc w:val="center"/>
              <w:rPr>
                <w:noProof/>
                <w:sz w:val="18"/>
                <w:szCs w:val="18"/>
              </w:rPr>
            </w:pPr>
          </w:p>
        </w:tc>
        <w:tc>
          <w:tcPr>
            <w:tcW w:w="720" w:type="dxa"/>
          </w:tcPr>
          <w:p w14:paraId="6A3D2E86" w14:textId="77777777" w:rsidR="0093115D" w:rsidRPr="00274E0D" w:rsidRDefault="0093115D" w:rsidP="00434248">
            <w:pPr>
              <w:ind w:right="-29"/>
              <w:jc w:val="center"/>
              <w:rPr>
                <w:noProof/>
                <w:sz w:val="18"/>
                <w:szCs w:val="18"/>
              </w:rPr>
            </w:pPr>
          </w:p>
        </w:tc>
        <w:tc>
          <w:tcPr>
            <w:tcW w:w="900" w:type="dxa"/>
          </w:tcPr>
          <w:p w14:paraId="482EBAEC" w14:textId="77777777" w:rsidR="0093115D" w:rsidRPr="00274E0D" w:rsidRDefault="0093115D" w:rsidP="00434248">
            <w:pPr>
              <w:ind w:right="-29"/>
              <w:jc w:val="center"/>
              <w:rPr>
                <w:noProof/>
                <w:sz w:val="18"/>
                <w:szCs w:val="18"/>
              </w:rPr>
            </w:pPr>
          </w:p>
        </w:tc>
      </w:tr>
      <w:tr w:rsidR="0093115D" w:rsidRPr="00274E0D" w14:paraId="23F7FF43" w14:textId="77777777" w:rsidTr="00434248">
        <w:trPr>
          <w:jc w:val="center"/>
        </w:trPr>
        <w:tc>
          <w:tcPr>
            <w:tcW w:w="2844" w:type="dxa"/>
            <w:gridSpan w:val="3"/>
            <w:tcBorders>
              <w:bottom w:val="single" w:sz="12" w:space="0" w:color="auto"/>
            </w:tcBorders>
            <w:vAlign w:val="center"/>
          </w:tcPr>
          <w:p w14:paraId="1662979C" w14:textId="77777777" w:rsidR="0093115D" w:rsidRPr="00274E0D" w:rsidRDefault="0093115D" w:rsidP="00434248">
            <w:pPr>
              <w:jc w:val="center"/>
              <w:rPr>
                <w:noProof/>
                <w:sz w:val="18"/>
                <w:szCs w:val="18"/>
              </w:rPr>
            </w:pPr>
            <w:r w:rsidRPr="00274E0D">
              <w:rPr>
                <w:sz w:val="18"/>
              </w:rPr>
              <w:t>Välisumma, erityistavoite 2</w:t>
            </w:r>
          </w:p>
        </w:tc>
        <w:tc>
          <w:tcPr>
            <w:tcW w:w="504" w:type="dxa"/>
            <w:tcBorders>
              <w:bottom w:val="single" w:sz="12" w:space="0" w:color="auto"/>
            </w:tcBorders>
          </w:tcPr>
          <w:p w14:paraId="5F5F06D3"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5B95AD9C"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18321529"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5462976A"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6557AF52"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6FEDD99E" w14:textId="77777777" w:rsidR="0093115D" w:rsidRPr="00274E0D" w:rsidRDefault="0093115D" w:rsidP="00434248">
            <w:pPr>
              <w:ind w:right="-29"/>
              <w:jc w:val="center"/>
              <w:rPr>
                <w:noProof/>
                <w:sz w:val="18"/>
                <w:szCs w:val="18"/>
              </w:rPr>
            </w:pPr>
          </w:p>
        </w:tc>
        <w:tc>
          <w:tcPr>
            <w:tcW w:w="951" w:type="dxa"/>
            <w:gridSpan w:val="2"/>
            <w:tcBorders>
              <w:bottom w:val="single" w:sz="12" w:space="0" w:color="auto"/>
            </w:tcBorders>
          </w:tcPr>
          <w:p w14:paraId="12C273C5" w14:textId="77777777" w:rsidR="0093115D" w:rsidRPr="00274E0D" w:rsidRDefault="0093115D" w:rsidP="00434248">
            <w:pPr>
              <w:ind w:right="-29"/>
              <w:jc w:val="center"/>
              <w:rPr>
                <w:noProof/>
                <w:sz w:val="18"/>
                <w:szCs w:val="18"/>
              </w:rPr>
            </w:pPr>
          </w:p>
        </w:tc>
        <w:tc>
          <w:tcPr>
            <w:tcW w:w="669" w:type="dxa"/>
            <w:tcBorders>
              <w:bottom w:val="single" w:sz="12" w:space="0" w:color="auto"/>
            </w:tcBorders>
          </w:tcPr>
          <w:p w14:paraId="48DFF94C"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536BC34E" w14:textId="77777777" w:rsidR="0093115D" w:rsidRPr="00274E0D" w:rsidRDefault="0093115D" w:rsidP="00434248">
            <w:pPr>
              <w:ind w:right="-29"/>
              <w:jc w:val="center"/>
              <w:rPr>
                <w:noProof/>
                <w:sz w:val="18"/>
                <w:szCs w:val="18"/>
              </w:rPr>
            </w:pPr>
          </w:p>
        </w:tc>
        <w:tc>
          <w:tcPr>
            <w:tcW w:w="648" w:type="dxa"/>
            <w:tcBorders>
              <w:bottom w:val="single" w:sz="12" w:space="0" w:color="auto"/>
            </w:tcBorders>
          </w:tcPr>
          <w:p w14:paraId="68307A59" w14:textId="77777777" w:rsidR="0093115D" w:rsidRPr="00274E0D" w:rsidRDefault="0093115D" w:rsidP="00434248">
            <w:pPr>
              <w:ind w:right="-29"/>
              <w:jc w:val="center"/>
              <w:rPr>
                <w:noProof/>
                <w:sz w:val="18"/>
                <w:szCs w:val="18"/>
              </w:rPr>
            </w:pPr>
          </w:p>
        </w:tc>
        <w:tc>
          <w:tcPr>
            <w:tcW w:w="432" w:type="dxa"/>
            <w:tcBorders>
              <w:bottom w:val="single" w:sz="12" w:space="0" w:color="auto"/>
            </w:tcBorders>
          </w:tcPr>
          <w:p w14:paraId="26D2A191"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798D0D77" w14:textId="77777777" w:rsidR="0093115D" w:rsidRPr="00274E0D" w:rsidRDefault="0093115D" w:rsidP="00434248">
            <w:pPr>
              <w:ind w:right="-29"/>
              <w:jc w:val="center"/>
              <w:rPr>
                <w:noProof/>
                <w:sz w:val="18"/>
                <w:szCs w:val="18"/>
              </w:rPr>
            </w:pPr>
          </w:p>
        </w:tc>
        <w:tc>
          <w:tcPr>
            <w:tcW w:w="540" w:type="dxa"/>
            <w:tcBorders>
              <w:bottom w:val="single" w:sz="12" w:space="0" w:color="auto"/>
            </w:tcBorders>
          </w:tcPr>
          <w:p w14:paraId="334A8D9C"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4E276B6B" w14:textId="77777777" w:rsidR="0093115D" w:rsidRPr="00274E0D" w:rsidRDefault="0093115D" w:rsidP="00434248">
            <w:pPr>
              <w:ind w:right="-29"/>
              <w:jc w:val="center"/>
              <w:rPr>
                <w:noProof/>
                <w:sz w:val="18"/>
                <w:szCs w:val="18"/>
              </w:rPr>
            </w:pPr>
          </w:p>
        </w:tc>
        <w:tc>
          <w:tcPr>
            <w:tcW w:w="720" w:type="dxa"/>
            <w:tcBorders>
              <w:bottom w:val="single" w:sz="12" w:space="0" w:color="auto"/>
            </w:tcBorders>
          </w:tcPr>
          <w:p w14:paraId="5950C83A" w14:textId="77777777" w:rsidR="0093115D" w:rsidRPr="00274E0D" w:rsidRDefault="0093115D" w:rsidP="00434248">
            <w:pPr>
              <w:ind w:right="-29"/>
              <w:jc w:val="center"/>
              <w:rPr>
                <w:noProof/>
                <w:sz w:val="18"/>
                <w:szCs w:val="18"/>
              </w:rPr>
            </w:pPr>
          </w:p>
        </w:tc>
        <w:tc>
          <w:tcPr>
            <w:tcW w:w="900" w:type="dxa"/>
            <w:tcBorders>
              <w:bottom w:val="single" w:sz="12" w:space="0" w:color="auto"/>
            </w:tcBorders>
          </w:tcPr>
          <w:p w14:paraId="0B1E498B" w14:textId="77777777" w:rsidR="0093115D" w:rsidRPr="00274E0D" w:rsidRDefault="0093115D" w:rsidP="00434248">
            <w:pPr>
              <w:ind w:right="-29"/>
              <w:jc w:val="center"/>
              <w:rPr>
                <w:noProof/>
                <w:sz w:val="18"/>
                <w:szCs w:val="18"/>
              </w:rPr>
            </w:pPr>
          </w:p>
        </w:tc>
      </w:tr>
      <w:tr w:rsidR="0093115D" w:rsidRPr="00274E0D" w14:paraId="4135AF35" w14:textId="77777777" w:rsidTr="00434248">
        <w:trPr>
          <w:jc w:val="center"/>
        </w:trPr>
        <w:tc>
          <w:tcPr>
            <w:tcW w:w="2844" w:type="dxa"/>
            <w:gridSpan w:val="3"/>
            <w:tcBorders>
              <w:top w:val="single" w:sz="12" w:space="0" w:color="auto"/>
              <w:left w:val="single" w:sz="12" w:space="0" w:color="auto"/>
              <w:bottom w:val="single" w:sz="12" w:space="0" w:color="auto"/>
            </w:tcBorders>
            <w:vAlign w:val="center"/>
          </w:tcPr>
          <w:p w14:paraId="7C0875CB" w14:textId="77777777" w:rsidR="0093115D" w:rsidRPr="00274E0D" w:rsidRDefault="0093115D" w:rsidP="00434248">
            <w:pPr>
              <w:ind w:right="-29"/>
              <w:jc w:val="center"/>
              <w:rPr>
                <w:noProof/>
                <w:sz w:val="18"/>
                <w:szCs w:val="18"/>
              </w:rPr>
            </w:pPr>
            <w:r w:rsidRPr="00274E0D">
              <w:rPr>
                <w:b/>
                <w:sz w:val="18"/>
              </w:rPr>
              <w:t>KAIKKI YHTEENSÄ</w:t>
            </w:r>
          </w:p>
        </w:tc>
        <w:tc>
          <w:tcPr>
            <w:tcW w:w="504" w:type="dxa"/>
            <w:tcBorders>
              <w:top w:val="single" w:sz="12" w:space="0" w:color="auto"/>
              <w:bottom w:val="single" w:sz="12" w:space="0" w:color="auto"/>
            </w:tcBorders>
          </w:tcPr>
          <w:p w14:paraId="6B9BDF62"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55D5AF82" w14:textId="77777777" w:rsidR="0093115D" w:rsidRPr="00274E0D" w:rsidRDefault="0093115D" w:rsidP="00434248">
            <w:pPr>
              <w:spacing w:before="180" w:after="180"/>
              <w:ind w:right="-29"/>
              <w:jc w:val="center"/>
              <w:rPr>
                <w:noProof/>
                <w:sz w:val="18"/>
                <w:szCs w:val="18"/>
              </w:rPr>
            </w:pPr>
          </w:p>
        </w:tc>
        <w:tc>
          <w:tcPr>
            <w:tcW w:w="540" w:type="dxa"/>
            <w:tcBorders>
              <w:top w:val="single" w:sz="12" w:space="0" w:color="auto"/>
              <w:bottom w:val="single" w:sz="12" w:space="0" w:color="auto"/>
            </w:tcBorders>
          </w:tcPr>
          <w:p w14:paraId="01BAE047"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793AB34B"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5BFD4A98"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1F238DDA" w14:textId="77777777" w:rsidR="0093115D" w:rsidRPr="00274E0D" w:rsidRDefault="0093115D" w:rsidP="00434248">
            <w:pPr>
              <w:spacing w:before="180" w:after="180"/>
              <w:ind w:right="-29"/>
              <w:jc w:val="center"/>
              <w:rPr>
                <w:noProof/>
                <w:sz w:val="18"/>
                <w:szCs w:val="18"/>
              </w:rPr>
            </w:pPr>
          </w:p>
        </w:tc>
        <w:tc>
          <w:tcPr>
            <w:tcW w:w="900" w:type="dxa"/>
            <w:tcBorders>
              <w:top w:val="single" w:sz="12" w:space="0" w:color="auto"/>
              <w:bottom w:val="single" w:sz="12" w:space="0" w:color="auto"/>
            </w:tcBorders>
          </w:tcPr>
          <w:p w14:paraId="32059580" w14:textId="77777777" w:rsidR="0093115D" w:rsidRPr="00274E0D" w:rsidRDefault="0093115D" w:rsidP="00434248">
            <w:pPr>
              <w:spacing w:before="180" w:after="180"/>
              <w:ind w:right="-29"/>
              <w:jc w:val="center"/>
              <w:rPr>
                <w:noProof/>
                <w:sz w:val="18"/>
                <w:szCs w:val="18"/>
              </w:rPr>
            </w:pPr>
          </w:p>
        </w:tc>
        <w:tc>
          <w:tcPr>
            <w:tcW w:w="720" w:type="dxa"/>
            <w:gridSpan w:val="2"/>
            <w:tcBorders>
              <w:top w:val="single" w:sz="12" w:space="0" w:color="auto"/>
              <w:bottom w:val="single" w:sz="12" w:space="0" w:color="auto"/>
            </w:tcBorders>
          </w:tcPr>
          <w:p w14:paraId="1B4516E9" w14:textId="77777777" w:rsidR="0093115D" w:rsidRPr="00274E0D" w:rsidRDefault="0093115D" w:rsidP="00434248">
            <w:pPr>
              <w:spacing w:before="180" w:after="180"/>
              <w:ind w:right="-29"/>
              <w:jc w:val="center"/>
              <w:rPr>
                <w:noProof/>
                <w:sz w:val="18"/>
                <w:szCs w:val="18"/>
              </w:rPr>
            </w:pPr>
          </w:p>
        </w:tc>
        <w:tc>
          <w:tcPr>
            <w:tcW w:w="540" w:type="dxa"/>
            <w:tcBorders>
              <w:top w:val="single" w:sz="12" w:space="0" w:color="auto"/>
              <w:bottom w:val="single" w:sz="12" w:space="0" w:color="auto"/>
            </w:tcBorders>
          </w:tcPr>
          <w:p w14:paraId="448CA017" w14:textId="77777777" w:rsidR="0093115D" w:rsidRPr="00274E0D" w:rsidRDefault="0093115D" w:rsidP="00434248">
            <w:pPr>
              <w:spacing w:before="180" w:after="180"/>
              <w:ind w:right="-29"/>
              <w:jc w:val="center"/>
              <w:rPr>
                <w:noProof/>
                <w:sz w:val="18"/>
                <w:szCs w:val="18"/>
              </w:rPr>
            </w:pPr>
          </w:p>
        </w:tc>
        <w:tc>
          <w:tcPr>
            <w:tcW w:w="648" w:type="dxa"/>
            <w:tcBorders>
              <w:top w:val="single" w:sz="12" w:space="0" w:color="auto"/>
              <w:bottom w:val="single" w:sz="12" w:space="0" w:color="auto"/>
            </w:tcBorders>
          </w:tcPr>
          <w:p w14:paraId="61E67C14" w14:textId="77777777" w:rsidR="0093115D" w:rsidRPr="00274E0D" w:rsidRDefault="0093115D" w:rsidP="00434248">
            <w:pPr>
              <w:spacing w:before="180" w:after="180"/>
              <w:ind w:right="-29"/>
              <w:jc w:val="center"/>
              <w:rPr>
                <w:noProof/>
                <w:sz w:val="18"/>
                <w:szCs w:val="18"/>
              </w:rPr>
            </w:pPr>
          </w:p>
        </w:tc>
        <w:tc>
          <w:tcPr>
            <w:tcW w:w="432" w:type="dxa"/>
            <w:tcBorders>
              <w:top w:val="single" w:sz="12" w:space="0" w:color="auto"/>
              <w:bottom w:val="single" w:sz="12" w:space="0" w:color="auto"/>
            </w:tcBorders>
          </w:tcPr>
          <w:p w14:paraId="6232F06B"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573E1AF3" w14:textId="77777777" w:rsidR="0093115D" w:rsidRPr="00274E0D" w:rsidRDefault="0093115D" w:rsidP="00434248">
            <w:pPr>
              <w:spacing w:before="180" w:after="180"/>
              <w:ind w:right="-29"/>
              <w:jc w:val="center"/>
              <w:rPr>
                <w:noProof/>
                <w:sz w:val="18"/>
                <w:szCs w:val="18"/>
              </w:rPr>
            </w:pPr>
          </w:p>
        </w:tc>
        <w:tc>
          <w:tcPr>
            <w:tcW w:w="540" w:type="dxa"/>
            <w:tcBorders>
              <w:top w:val="single" w:sz="12" w:space="0" w:color="auto"/>
              <w:bottom w:val="single" w:sz="12" w:space="0" w:color="auto"/>
            </w:tcBorders>
          </w:tcPr>
          <w:p w14:paraId="049CD391"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0F6D1BC0" w14:textId="77777777" w:rsidR="0093115D" w:rsidRPr="00274E0D" w:rsidRDefault="0093115D" w:rsidP="00434248">
            <w:pPr>
              <w:spacing w:before="180" w:after="180"/>
              <w:ind w:right="-29"/>
              <w:jc w:val="center"/>
              <w:rPr>
                <w:noProof/>
                <w:sz w:val="18"/>
                <w:szCs w:val="18"/>
              </w:rPr>
            </w:pPr>
          </w:p>
        </w:tc>
        <w:tc>
          <w:tcPr>
            <w:tcW w:w="720" w:type="dxa"/>
            <w:tcBorders>
              <w:top w:val="single" w:sz="12" w:space="0" w:color="auto"/>
              <w:bottom w:val="single" w:sz="12" w:space="0" w:color="auto"/>
            </w:tcBorders>
          </w:tcPr>
          <w:p w14:paraId="67CE3F75" w14:textId="77777777" w:rsidR="0093115D" w:rsidRPr="00274E0D" w:rsidRDefault="0093115D" w:rsidP="00434248">
            <w:pPr>
              <w:spacing w:before="180" w:after="180"/>
              <w:ind w:right="-29"/>
              <w:jc w:val="center"/>
              <w:rPr>
                <w:noProof/>
                <w:sz w:val="18"/>
                <w:szCs w:val="18"/>
              </w:rPr>
            </w:pPr>
          </w:p>
        </w:tc>
        <w:tc>
          <w:tcPr>
            <w:tcW w:w="900" w:type="dxa"/>
            <w:tcBorders>
              <w:top w:val="single" w:sz="12" w:space="0" w:color="auto"/>
              <w:bottom w:val="single" w:sz="12" w:space="0" w:color="auto"/>
              <w:right w:val="single" w:sz="12" w:space="0" w:color="auto"/>
            </w:tcBorders>
          </w:tcPr>
          <w:p w14:paraId="6E6559DF" w14:textId="77777777" w:rsidR="0093115D" w:rsidRPr="00274E0D" w:rsidRDefault="0093115D" w:rsidP="00434248">
            <w:pPr>
              <w:spacing w:before="180" w:after="180"/>
              <w:ind w:right="-29"/>
              <w:jc w:val="center"/>
              <w:rPr>
                <w:noProof/>
                <w:sz w:val="18"/>
                <w:szCs w:val="18"/>
              </w:rPr>
            </w:pPr>
          </w:p>
        </w:tc>
      </w:tr>
    </w:tbl>
    <w:p w14:paraId="438F4D02" w14:textId="77777777" w:rsidR="0093115D" w:rsidRPr="00274E0D" w:rsidRDefault="0093115D" w:rsidP="00656AA8">
      <w:pPr>
        <w:rPr>
          <w:noProof/>
        </w:rPr>
        <w:sectPr w:rsidR="0093115D" w:rsidRPr="00274E0D" w:rsidSect="0093115D">
          <w:headerReference w:type="default" r:id="rId21"/>
          <w:footerReference w:type="default" r:id="rId22"/>
          <w:pgSz w:w="16840" w:h="11907" w:orient="landscape" w:code="9"/>
          <w:pgMar w:top="1134" w:right="1418" w:bottom="567" w:left="1418" w:header="709" w:footer="709" w:gutter="0"/>
          <w:cols w:space="708"/>
          <w:docGrid w:linePitch="360"/>
        </w:sectPr>
      </w:pPr>
    </w:p>
    <w:p w14:paraId="6B8A2DE0" w14:textId="77777777" w:rsidR="0093115D" w:rsidRPr="00274E0D" w:rsidRDefault="0093115D" w:rsidP="00656AA8">
      <w:pPr>
        <w:pStyle w:val="ManualHeading3"/>
        <w:rPr>
          <w:bCs/>
          <w:noProof/>
          <w:szCs w:val="24"/>
        </w:rPr>
      </w:pPr>
      <w:bookmarkStart w:id="174" w:name="_Toc514938055"/>
      <w:bookmarkStart w:id="175" w:name="_Toc520485054"/>
      <w:bookmarkStart w:id="176" w:name="_Toc160804598"/>
      <w:bookmarkStart w:id="177" w:name="_Toc167220290"/>
      <w:bookmarkStart w:id="178" w:name="_Toc177549023"/>
      <w:r w:rsidRPr="00274E0D">
        <w:lastRenderedPageBreak/>
        <w:t>3.2.3.</w:t>
      </w:r>
      <w:r w:rsidRPr="00274E0D">
        <w:tab/>
        <w:t>Yhteenveto arvioiduista vaikutuksista hallintomäärärahoihin</w:t>
      </w:r>
      <w:bookmarkEnd w:id="174"/>
      <w:bookmarkEnd w:id="175"/>
      <w:bookmarkEnd w:id="176"/>
      <w:bookmarkEnd w:id="177"/>
      <w:bookmarkEnd w:id="178"/>
      <w:r w:rsidRPr="00274E0D">
        <w:t xml:space="preserve"> </w:t>
      </w:r>
    </w:p>
    <w:p w14:paraId="2F0ED6A6" w14:textId="77777777" w:rsidR="0093115D" w:rsidRPr="00274E0D" w:rsidRDefault="0093115D" w:rsidP="00656AA8">
      <w:pPr>
        <w:pStyle w:val="ListDash1"/>
        <w:rPr>
          <w:noProof/>
        </w:rPr>
      </w:pPr>
      <w:r w:rsidRPr="00274E0D">
        <w:rPr>
          <w:rFonts w:ascii="Wingdings" w:hAnsi="Wingdings"/>
        </w:rPr>
        <w:t></w:t>
      </w:r>
      <w:r w:rsidRPr="00274E0D">
        <w:tab/>
        <w:t xml:space="preserve">Ehdotus/aloite ei edellytä hallintomäärärahoja. </w:t>
      </w:r>
    </w:p>
    <w:p w14:paraId="674D63E9" w14:textId="77777777" w:rsidR="0093115D" w:rsidRPr="00274E0D" w:rsidRDefault="0093115D" w:rsidP="00656AA8">
      <w:pPr>
        <w:pStyle w:val="ListDash1"/>
        <w:rPr>
          <w:noProof/>
        </w:rPr>
      </w:pPr>
      <w:r w:rsidRPr="00274E0D">
        <w:rPr>
          <w:rFonts w:ascii="Wingdings" w:hAnsi="Wingdings"/>
        </w:rPr>
        <w:t></w:t>
      </w:r>
      <w:r w:rsidRPr="00274E0D">
        <w:tab/>
        <w:t>Ehdotus/aloite edellyttää hallintomäärärahoja seuraavasti:</w:t>
      </w:r>
    </w:p>
    <w:p w14:paraId="1EFED809" w14:textId="77777777" w:rsidR="0093115D" w:rsidRPr="00274E0D" w:rsidRDefault="0093115D" w:rsidP="00656AA8">
      <w:pPr>
        <w:pStyle w:val="ManualHeading3"/>
        <w:rPr>
          <w:noProof/>
        </w:rPr>
      </w:pPr>
      <w:bookmarkStart w:id="179" w:name="_Toc167220291"/>
      <w:bookmarkStart w:id="180" w:name="_Toc177549024"/>
      <w:r w:rsidRPr="00274E0D">
        <w:t>3.2.3.1. Hyväksytystä talousarviosta peräisin olevat määrärahat</w:t>
      </w:r>
      <w:bookmarkEnd w:id="179"/>
      <w:bookmarkEnd w:id="180"/>
    </w:p>
    <w:tbl>
      <w:tblPr>
        <w:tblW w:w="5000" w:type="pct"/>
        <w:tblLook w:val="04A0" w:firstRow="1" w:lastRow="0" w:firstColumn="1" w:lastColumn="0" w:noHBand="0" w:noVBand="1"/>
      </w:tblPr>
      <w:tblGrid>
        <w:gridCol w:w="4016"/>
        <w:gridCol w:w="1016"/>
        <w:gridCol w:w="1016"/>
        <w:gridCol w:w="1016"/>
        <w:gridCol w:w="1016"/>
        <w:gridCol w:w="1207"/>
      </w:tblGrid>
      <w:tr w:rsidR="0093115D" w:rsidRPr="00274E0D" w14:paraId="51052E48" w14:textId="77777777" w:rsidTr="00434248">
        <w:trPr>
          <w:trHeight w:val="300"/>
        </w:trPr>
        <w:tc>
          <w:tcPr>
            <w:tcW w:w="2168" w:type="pct"/>
            <w:vMerge w:val="restart"/>
            <w:tcBorders>
              <w:top w:val="single" w:sz="8" w:space="0" w:color="auto"/>
              <w:left w:val="single" w:sz="8" w:space="0" w:color="auto"/>
              <w:bottom w:val="single" w:sz="8" w:space="0" w:color="auto"/>
              <w:right w:val="single" w:sz="8" w:space="0" w:color="auto"/>
            </w:tcBorders>
            <w:vAlign w:val="center"/>
            <w:hideMark/>
          </w:tcPr>
          <w:p w14:paraId="31B28472" w14:textId="77777777" w:rsidR="0093115D" w:rsidRPr="00274E0D" w:rsidRDefault="0093115D" w:rsidP="00434248">
            <w:pPr>
              <w:spacing w:before="0" w:after="0"/>
              <w:jc w:val="center"/>
              <w:rPr>
                <w:b/>
                <w:bCs/>
                <w:noProof/>
                <w:color w:val="000000"/>
                <w:sz w:val="18"/>
                <w:szCs w:val="18"/>
              </w:rPr>
            </w:pPr>
            <w:r w:rsidRPr="00274E0D">
              <w:rPr>
                <w:b/>
                <w:color w:val="000000"/>
                <w:sz w:val="18"/>
              </w:rPr>
              <w:t>HYVÄKSYTYT MÄÄRÄRAHAT</w:t>
            </w:r>
          </w:p>
        </w:tc>
        <w:tc>
          <w:tcPr>
            <w:tcW w:w="553" w:type="pct"/>
            <w:tcBorders>
              <w:top w:val="single" w:sz="8" w:space="0" w:color="auto"/>
              <w:left w:val="nil"/>
              <w:bottom w:val="single" w:sz="8" w:space="0" w:color="auto"/>
              <w:right w:val="single" w:sz="8" w:space="0" w:color="auto"/>
            </w:tcBorders>
            <w:vAlign w:val="center"/>
            <w:hideMark/>
          </w:tcPr>
          <w:p w14:paraId="288FE594"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553" w:type="pct"/>
            <w:tcBorders>
              <w:top w:val="single" w:sz="8" w:space="0" w:color="auto"/>
              <w:left w:val="nil"/>
              <w:bottom w:val="single" w:sz="8" w:space="0" w:color="auto"/>
              <w:right w:val="single" w:sz="8" w:space="0" w:color="auto"/>
            </w:tcBorders>
            <w:vAlign w:val="center"/>
            <w:hideMark/>
          </w:tcPr>
          <w:p w14:paraId="33672247"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553" w:type="pct"/>
            <w:tcBorders>
              <w:top w:val="single" w:sz="8" w:space="0" w:color="auto"/>
              <w:left w:val="nil"/>
              <w:bottom w:val="single" w:sz="8" w:space="0" w:color="auto"/>
              <w:right w:val="single" w:sz="8" w:space="0" w:color="auto"/>
            </w:tcBorders>
            <w:vAlign w:val="center"/>
            <w:hideMark/>
          </w:tcPr>
          <w:p w14:paraId="169ACA86"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553" w:type="pct"/>
            <w:tcBorders>
              <w:top w:val="single" w:sz="8" w:space="0" w:color="auto"/>
              <w:left w:val="nil"/>
              <w:bottom w:val="single" w:sz="8" w:space="0" w:color="auto"/>
              <w:right w:val="single" w:sz="8" w:space="0" w:color="auto"/>
            </w:tcBorders>
            <w:vAlign w:val="center"/>
            <w:hideMark/>
          </w:tcPr>
          <w:p w14:paraId="4B582A28"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620" w:type="pct"/>
            <w:vMerge w:val="restart"/>
            <w:tcBorders>
              <w:top w:val="single" w:sz="8" w:space="0" w:color="auto"/>
              <w:left w:val="single" w:sz="8" w:space="0" w:color="auto"/>
              <w:bottom w:val="single" w:sz="8" w:space="0" w:color="auto"/>
              <w:right w:val="single" w:sz="8" w:space="0" w:color="auto"/>
            </w:tcBorders>
            <w:vAlign w:val="center"/>
            <w:hideMark/>
          </w:tcPr>
          <w:p w14:paraId="10561235"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YHTEENSÄ 2021–2027</w:t>
            </w:r>
          </w:p>
        </w:tc>
      </w:tr>
      <w:tr w:rsidR="0093115D" w:rsidRPr="00274E0D" w14:paraId="26EAAA35" w14:textId="77777777" w:rsidTr="00434248">
        <w:trPr>
          <w:trHeight w:val="300"/>
        </w:trPr>
        <w:tc>
          <w:tcPr>
            <w:tcW w:w="2168" w:type="pct"/>
            <w:vMerge/>
            <w:vAlign w:val="center"/>
            <w:hideMark/>
          </w:tcPr>
          <w:p w14:paraId="4ECD4E61" w14:textId="77777777" w:rsidR="0093115D" w:rsidRPr="00274E0D" w:rsidRDefault="0093115D" w:rsidP="00434248">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3544D15B" w14:textId="77777777" w:rsidR="0093115D" w:rsidRPr="00274E0D" w:rsidRDefault="0093115D" w:rsidP="00434248">
            <w:pPr>
              <w:spacing w:before="0" w:after="0"/>
              <w:jc w:val="center"/>
              <w:rPr>
                <w:b/>
                <w:bCs/>
                <w:noProof/>
                <w:color w:val="000000"/>
                <w:sz w:val="18"/>
                <w:szCs w:val="18"/>
              </w:rPr>
            </w:pPr>
            <w:r w:rsidRPr="00274E0D">
              <w:rPr>
                <w:b/>
                <w:color w:val="000000"/>
                <w:sz w:val="18"/>
              </w:rPr>
              <w:t>2024</w:t>
            </w:r>
          </w:p>
        </w:tc>
        <w:tc>
          <w:tcPr>
            <w:tcW w:w="553" w:type="pct"/>
            <w:tcBorders>
              <w:top w:val="nil"/>
              <w:left w:val="nil"/>
              <w:bottom w:val="single" w:sz="8" w:space="0" w:color="auto"/>
              <w:right w:val="single" w:sz="8" w:space="0" w:color="auto"/>
            </w:tcBorders>
            <w:vAlign w:val="center"/>
            <w:hideMark/>
          </w:tcPr>
          <w:p w14:paraId="2C205C0A" w14:textId="77777777" w:rsidR="0093115D" w:rsidRPr="00274E0D" w:rsidRDefault="0093115D" w:rsidP="00434248">
            <w:pPr>
              <w:spacing w:before="0" w:after="0"/>
              <w:jc w:val="center"/>
              <w:rPr>
                <w:b/>
                <w:bCs/>
                <w:noProof/>
                <w:color w:val="000000"/>
                <w:sz w:val="18"/>
                <w:szCs w:val="18"/>
              </w:rPr>
            </w:pPr>
            <w:r w:rsidRPr="00274E0D">
              <w:rPr>
                <w:b/>
                <w:color w:val="000000"/>
                <w:sz w:val="18"/>
              </w:rPr>
              <w:t>2025</w:t>
            </w:r>
          </w:p>
        </w:tc>
        <w:tc>
          <w:tcPr>
            <w:tcW w:w="553" w:type="pct"/>
            <w:tcBorders>
              <w:top w:val="nil"/>
              <w:left w:val="nil"/>
              <w:bottom w:val="single" w:sz="8" w:space="0" w:color="auto"/>
              <w:right w:val="single" w:sz="8" w:space="0" w:color="auto"/>
            </w:tcBorders>
            <w:vAlign w:val="center"/>
            <w:hideMark/>
          </w:tcPr>
          <w:p w14:paraId="7077A626"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2026</w:t>
            </w:r>
          </w:p>
        </w:tc>
        <w:tc>
          <w:tcPr>
            <w:tcW w:w="553" w:type="pct"/>
            <w:tcBorders>
              <w:top w:val="nil"/>
              <w:left w:val="nil"/>
              <w:bottom w:val="single" w:sz="8" w:space="0" w:color="auto"/>
              <w:right w:val="single" w:sz="8" w:space="0" w:color="auto"/>
            </w:tcBorders>
            <w:vAlign w:val="center"/>
            <w:hideMark/>
          </w:tcPr>
          <w:p w14:paraId="392DFAB0"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2027</w:t>
            </w:r>
          </w:p>
        </w:tc>
        <w:tc>
          <w:tcPr>
            <w:tcW w:w="620" w:type="pct"/>
            <w:vMerge/>
            <w:vAlign w:val="center"/>
            <w:hideMark/>
          </w:tcPr>
          <w:p w14:paraId="33F70795" w14:textId="77777777" w:rsidR="0093115D" w:rsidRPr="00274E0D" w:rsidRDefault="0093115D" w:rsidP="00434248">
            <w:pPr>
              <w:spacing w:before="0" w:after="0"/>
              <w:jc w:val="left"/>
              <w:rPr>
                <w:b/>
                <w:bCs/>
                <w:noProof/>
                <w:color w:val="000000" w:themeColor="text1"/>
                <w:sz w:val="18"/>
                <w:szCs w:val="18"/>
                <w:lang w:eastAsia="en-IE"/>
              </w:rPr>
            </w:pPr>
          </w:p>
        </w:tc>
      </w:tr>
      <w:tr w:rsidR="0093115D" w:rsidRPr="00274E0D" w14:paraId="2B876322"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13908D3F" w14:textId="77777777" w:rsidR="0093115D" w:rsidRPr="00274E0D" w:rsidRDefault="0093115D" w:rsidP="00434248">
            <w:pPr>
              <w:spacing w:before="0" w:after="0"/>
              <w:jc w:val="left"/>
              <w:rPr>
                <w:b/>
                <w:bCs/>
                <w:noProof/>
                <w:color w:val="000000" w:themeColor="text1"/>
                <w:sz w:val="16"/>
                <w:szCs w:val="16"/>
              </w:rPr>
            </w:pPr>
            <w:r w:rsidRPr="00274E0D">
              <w:rPr>
                <w:b/>
                <w:color w:val="000000" w:themeColor="text1"/>
                <w:sz w:val="16"/>
              </w:rPr>
              <w:t>OTSAKE 7</w:t>
            </w:r>
          </w:p>
        </w:tc>
      </w:tr>
      <w:tr w:rsidR="0093115D" w:rsidRPr="00274E0D" w14:paraId="59118C43" w14:textId="77777777" w:rsidTr="00434248">
        <w:trPr>
          <w:trHeight w:val="300"/>
        </w:trPr>
        <w:tc>
          <w:tcPr>
            <w:tcW w:w="2168" w:type="pct"/>
            <w:tcBorders>
              <w:top w:val="nil"/>
              <w:left w:val="single" w:sz="8" w:space="0" w:color="auto"/>
              <w:bottom w:val="single" w:sz="8" w:space="0" w:color="auto"/>
              <w:right w:val="single" w:sz="8" w:space="0" w:color="auto"/>
            </w:tcBorders>
            <w:vAlign w:val="center"/>
            <w:hideMark/>
          </w:tcPr>
          <w:p w14:paraId="03F2E081"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79B5D7A"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E5DD608"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30E8BA0A"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11,366</w:t>
            </w:r>
          </w:p>
        </w:tc>
        <w:tc>
          <w:tcPr>
            <w:tcW w:w="553" w:type="pct"/>
            <w:tcBorders>
              <w:top w:val="nil"/>
              <w:left w:val="nil"/>
              <w:bottom w:val="single" w:sz="8" w:space="0" w:color="auto"/>
              <w:right w:val="single" w:sz="8" w:space="0" w:color="auto"/>
            </w:tcBorders>
            <w:shd w:val="clear" w:color="000000" w:fill="D9D9D9"/>
            <w:vAlign w:val="center"/>
            <w:hideMark/>
          </w:tcPr>
          <w:p w14:paraId="6B35CFE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11,366</w:t>
            </w:r>
          </w:p>
        </w:tc>
        <w:tc>
          <w:tcPr>
            <w:tcW w:w="620" w:type="pct"/>
            <w:tcBorders>
              <w:top w:val="nil"/>
              <w:left w:val="nil"/>
              <w:bottom w:val="single" w:sz="8" w:space="0" w:color="auto"/>
              <w:right w:val="single" w:sz="8" w:space="0" w:color="auto"/>
            </w:tcBorders>
            <w:shd w:val="clear" w:color="000000" w:fill="D9D9D9"/>
            <w:vAlign w:val="center"/>
            <w:hideMark/>
          </w:tcPr>
          <w:p w14:paraId="0A75823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22,732</w:t>
            </w:r>
          </w:p>
        </w:tc>
      </w:tr>
      <w:tr w:rsidR="0093115D" w:rsidRPr="00274E0D" w14:paraId="2DA4FB8C" w14:textId="77777777" w:rsidTr="00434248">
        <w:trPr>
          <w:trHeight w:val="300"/>
        </w:trPr>
        <w:tc>
          <w:tcPr>
            <w:tcW w:w="2168" w:type="pct"/>
            <w:tcBorders>
              <w:top w:val="nil"/>
              <w:left w:val="single" w:sz="8" w:space="0" w:color="auto"/>
              <w:bottom w:val="single" w:sz="8" w:space="0" w:color="auto"/>
              <w:right w:val="single" w:sz="8" w:space="0" w:color="auto"/>
            </w:tcBorders>
            <w:vAlign w:val="center"/>
            <w:hideMark/>
          </w:tcPr>
          <w:p w14:paraId="113ED217" w14:textId="77777777" w:rsidR="0093115D" w:rsidRPr="00274E0D" w:rsidRDefault="0093115D" w:rsidP="00434248">
            <w:pPr>
              <w:spacing w:before="0" w:after="0"/>
              <w:jc w:val="left"/>
              <w:rPr>
                <w:noProof/>
                <w:color w:val="000000"/>
                <w:sz w:val="16"/>
                <w:szCs w:val="16"/>
              </w:rPr>
            </w:pPr>
            <w:r w:rsidRPr="00274E0D">
              <w:rPr>
                <w:color w:val="000000"/>
                <w:sz w:val="16"/>
              </w:rPr>
              <w:t xml:space="preserve">Muut hallintomenot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20E777A"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00A42DB"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54B3CCF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0,336</w:t>
            </w:r>
          </w:p>
        </w:tc>
        <w:tc>
          <w:tcPr>
            <w:tcW w:w="553" w:type="pct"/>
            <w:tcBorders>
              <w:top w:val="nil"/>
              <w:left w:val="nil"/>
              <w:bottom w:val="single" w:sz="8" w:space="0" w:color="auto"/>
              <w:right w:val="single" w:sz="8" w:space="0" w:color="auto"/>
            </w:tcBorders>
            <w:shd w:val="clear" w:color="000000" w:fill="D9D9D9"/>
            <w:vAlign w:val="center"/>
            <w:hideMark/>
          </w:tcPr>
          <w:p w14:paraId="10CAC78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0,336</w:t>
            </w:r>
          </w:p>
        </w:tc>
        <w:tc>
          <w:tcPr>
            <w:tcW w:w="620" w:type="pct"/>
            <w:tcBorders>
              <w:top w:val="nil"/>
              <w:left w:val="nil"/>
              <w:bottom w:val="single" w:sz="8" w:space="0" w:color="auto"/>
              <w:right w:val="single" w:sz="8" w:space="0" w:color="auto"/>
            </w:tcBorders>
            <w:shd w:val="clear" w:color="000000" w:fill="D9D9D9"/>
            <w:vAlign w:val="center"/>
            <w:hideMark/>
          </w:tcPr>
          <w:p w14:paraId="4E54FE1A"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0,672</w:t>
            </w:r>
          </w:p>
        </w:tc>
      </w:tr>
      <w:tr w:rsidR="0093115D" w:rsidRPr="00274E0D" w14:paraId="3CA55364" w14:textId="77777777" w:rsidTr="00434248">
        <w:trPr>
          <w:trHeight w:val="300"/>
        </w:trPr>
        <w:tc>
          <w:tcPr>
            <w:tcW w:w="2168" w:type="pct"/>
            <w:tcBorders>
              <w:top w:val="nil"/>
              <w:left w:val="single" w:sz="8" w:space="0" w:color="auto"/>
              <w:bottom w:val="single" w:sz="8" w:space="0" w:color="auto"/>
              <w:right w:val="single" w:sz="8" w:space="0" w:color="auto"/>
            </w:tcBorders>
            <w:shd w:val="clear" w:color="auto" w:fill="CCCCCC"/>
            <w:vAlign w:val="center"/>
            <w:hideMark/>
          </w:tcPr>
          <w:p w14:paraId="2D52E401" w14:textId="77777777" w:rsidR="0093115D" w:rsidRPr="00274E0D" w:rsidRDefault="0093115D" w:rsidP="00434248">
            <w:pPr>
              <w:spacing w:before="0" w:after="0"/>
              <w:jc w:val="center"/>
              <w:rPr>
                <w:b/>
                <w:bCs/>
                <w:noProof/>
                <w:color w:val="000000"/>
                <w:sz w:val="16"/>
                <w:szCs w:val="16"/>
              </w:rPr>
            </w:pPr>
            <w:r w:rsidRPr="00274E0D">
              <w:rPr>
                <w:b/>
                <w:color w:val="000000"/>
                <w:sz w:val="16"/>
              </w:rPr>
              <w:t>OTSAKE 7,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001D267"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40F1A3AB"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000000" w:fill="D9D9D9"/>
            <w:vAlign w:val="center"/>
            <w:hideMark/>
          </w:tcPr>
          <w:p w14:paraId="1120A054"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553" w:type="pct"/>
            <w:tcBorders>
              <w:top w:val="nil"/>
              <w:left w:val="nil"/>
              <w:bottom w:val="single" w:sz="8" w:space="0" w:color="auto"/>
              <w:right w:val="single" w:sz="8" w:space="0" w:color="auto"/>
            </w:tcBorders>
            <w:shd w:val="clear" w:color="000000" w:fill="D9D9D9"/>
            <w:vAlign w:val="center"/>
            <w:hideMark/>
          </w:tcPr>
          <w:p w14:paraId="2BB37BC0"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620" w:type="pct"/>
            <w:tcBorders>
              <w:top w:val="nil"/>
              <w:left w:val="nil"/>
              <w:bottom w:val="single" w:sz="8" w:space="0" w:color="auto"/>
              <w:right w:val="single" w:sz="8" w:space="0" w:color="auto"/>
            </w:tcBorders>
            <w:shd w:val="clear" w:color="000000" w:fill="D9D9D9"/>
            <w:vAlign w:val="center"/>
            <w:hideMark/>
          </w:tcPr>
          <w:p w14:paraId="1F9F484C"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23,404</w:t>
            </w:r>
          </w:p>
        </w:tc>
      </w:tr>
      <w:tr w:rsidR="0093115D" w:rsidRPr="00274E0D" w14:paraId="2F1A6B85"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D7CFD9E" w14:textId="77777777" w:rsidR="0093115D" w:rsidRPr="00274E0D" w:rsidRDefault="0093115D" w:rsidP="00434248">
            <w:pPr>
              <w:spacing w:before="0" w:after="0"/>
              <w:jc w:val="left"/>
              <w:rPr>
                <w:b/>
                <w:bCs/>
                <w:noProof/>
                <w:color w:val="000000" w:themeColor="text1"/>
                <w:sz w:val="16"/>
                <w:szCs w:val="16"/>
              </w:rPr>
            </w:pPr>
            <w:r w:rsidRPr="00274E0D">
              <w:rPr>
                <w:b/>
                <w:color w:val="000000" w:themeColor="text1"/>
                <w:sz w:val="16"/>
              </w:rPr>
              <w:t>OTSAKKEESEEN 7 sisältymättömät</w:t>
            </w:r>
          </w:p>
        </w:tc>
      </w:tr>
      <w:tr w:rsidR="0093115D" w:rsidRPr="00274E0D" w14:paraId="4A658720" w14:textId="77777777" w:rsidTr="00434248">
        <w:trPr>
          <w:trHeight w:val="300"/>
        </w:trPr>
        <w:tc>
          <w:tcPr>
            <w:tcW w:w="2168" w:type="pct"/>
            <w:tcBorders>
              <w:top w:val="nil"/>
              <w:left w:val="single" w:sz="8" w:space="0" w:color="auto"/>
              <w:bottom w:val="single" w:sz="8" w:space="0" w:color="auto"/>
              <w:right w:val="single" w:sz="8" w:space="0" w:color="auto"/>
            </w:tcBorders>
            <w:vAlign w:val="center"/>
            <w:hideMark/>
          </w:tcPr>
          <w:p w14:paraId="239B8DFB"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1A2A6A9"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7E05804"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49D7B40"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88E325F"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620" w:type="pct"/>
            <w:tcBorders>
              <w:top w:val="nil"/>
              <w:left w:val="nil"/>
              <w:bottom w:val="single" w:sz="8" w:space="0" w:color="auto"/>
              <w:right w:val="single" w:sz="8" w:space="0" w:color="auto"/>
            </w:tcBorders>
            <w:shd w:val="clear" w:color="auto" w:fill="D9D9D9" w:themeFill="background1" w:themeFillShade="D9"/>
            <w:vAlign w:val="center"/>
            <w:hideMark/>
          </w:tcPr>
          <w:p w14:paraId="622F448C"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25AA71B5" w14:textId="77777777" w:rsidTr="00434248">
        <w:trPr>
          <w:trHeight w:val="300"/>
        </w:trPr>
        <w:tc>
          <w:tcPr>
            <w:tcW w:w="2168" w:type="pct"/>
            <w:tcBorders>
              <w:top w:val="nil"/>
              <w:left w:val="single" w:sz="8" w:space="0" w:color="auto"/>
              <w:bottom w:val="single" w:sz="8" w:space="0" w:color="auto"/>
              <w:right w:val="single" w:sz="8" w:space="0" w:color="auto"/>
            </w:tcBorders>
            <w:vAlign w:val="center"/>
            <w:hideMark/>
          </w:tcPr>
          <w:p w14:paraId="33FDAF6B" w14:textId="77777777" w:rsidR="0093115D" w:rsidRPr="00274E0D" w:rsidRDefault="0093115D" w:rsidP="00434248">
            <w:pPr>
              <w:spacing w:before="0" w:after="0"/>
              <w:jc w:val="left"/>
              <w:rPr>
                <w:noProof/>
                <w:color w:val="000000"/>
                <w:sz w:val="16"/>
                <w:szCs w:val="16"/>
              </w:rPr>
            </w:pPr>
            <w:r w:rsidRPr="00274E0D">
              <w:rPr>
                <w:color w:val="000000"/>
                <w:sz w:val="16"/>
              </w:rPr>
              <w:t>Muut hallintomenot</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63F58B7"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73B2AD6"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3E7431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A0579AF"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620" w:type="pct"/>
            <w:tcBorders>
              <w:top w:val="nil"/>
              <w:left w:val="nil"/>
              <w:bottom w:val="single" w:sz="8" w:space="0" w:color="auto"/>
              <w:right w:val="single" w:sz="8" w:space="0" w:color="auto"/>
            </w:tcBorders>
            <w:shd w:val="clear" w:color="auto" w:fill="D9D9D9" w:themeFill="background1" w:themeFillShade="D9"/>
            <w:vAlign w:val="center"/>
            <w:hideMark/>
          </w:tcPr>
          <w:p w14:paraId="7F1A0E7B"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47D6F4DE" w14:textId="77777777" w:rsidTr="00434248">
        <w:trPr>
          <w:trHeight w:val="300"/>
        </w:trPr>
        <w:tc>
          <w:tcPr>
            <w:tcW w:w="2168" w:type="pct"/>
            <w:tcBorders>
              <w:top w:val="nil"/>
              <w:left w:val="single" w:sz="8" w:space="0" w:color="auto"/>
              <w:bottom w:val="single" w:sz="8" w:space="0" w:color="auto"/>
              <w:right w:val="single" w:sz="8" w:space="0" w:color="auto"/>
            </w:tcBorders>
            <w:shd w:val="clear" w:color="auto" w:fill="CCCCCC"/>
            <w:vAlign w:val="center"/>
            <w:hideMark/>
          </w:tcPr>
          <w:p w14:paraId="16D8EB52" w14:textId="77777777" w:rsidR="0093115D" w:rsidRPr="00274E0D" w:rsidRDefault="0093115D" w:rsidP="00434248">
            <w:pPr>
              <w:spacing w:before="0" w:after="0"/>
              <w:jc w:val="center"/>
              <w:rPr>
                <w:b/>
                <w:bCs/>
                <w:noProof/>
                <w:color w:val="000000"/>
                <w:sz w:val="16"/>
                <w:szCs w:val="16"/>
              </w:rPr>
            </w:pPr>
            <w:r w:rsidRPr="00274E0D">
              <w:rPr>
                <w:b/>
                <w:color w:val="000000"/>
                <w:sz w:val="16"/>
              </w:rPr>
              <w:t>OTSAKKEESEEN 7 sisältymättömät,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AC875F8"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7626205"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45712C3"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0B779E7B"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620" w:type="pct"/>
            <w:tcBorders>
              <w:top w:val="nil"/>
              <w:left w:val="nil"/>
              <w:bottom w:val="single" w:sz="8" w:space="0" w:color="auto"/>
              <w:right w:val="single" w:sz="8" w:space="0" w:color="auto"/>
            </w:tcBorders>
            <w:shd w:val="clear" w:color="auto" w:fill="D9D9D9" w:themeFill="background1" w:themeFillShade="D9"/>
            <w:vAlign w:val="center"/>
            <w:hideMark/>
          </w:tcPr>
          <w:p w14:paraId="07078DC8"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78D96B9B"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1C7CBFD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 xml:space="preserve"> </w:t>
            </w:r>
          </w:p>
        </w:tc>
      </w:tr>
      <w:tr w:rsidR="0093115D" w:rsidRPr="00274E0D" w14:paraId="076F11D2" w14:textId="77777777" w:rsidTr="00434248">
        <w:trPr>
          <w:trHeight w:val="300"/>
        </w:trPr>
        <w:tc>
          <w:tcPr>
            <w:tcW w:w="2168" w:type="pct"/>
            <w:tcBorders>
              <w:top w:val="nil"/>
              <w:left w:val="single" w:sz="8" w:space="0" w:color="auto"/>
              <w:bottom w:val="single" w:sz="8" w:space="0" w:color="auto"/>
              <w:right w:val="single" w:sz="8" w:space="0" w:color="auto"/>
            </w:tcBorders>
            <w:vAlign w:val="center"/>
            <w:hideMark/>
          </w:tcPr>
          <w:p w14:paraId="48020FD8" w14:textId="77777777" w:rsidR="0093115D" w:rsidRPr="00274E0D" w:rsidRDefault="0093115D" w:rsidP="00434248">
            <w:pPr>
              <w:spacing w:before="0" w:after="0"/>
              <w:jc w:val="center"/>
              <w:rPr>
                <w:b/>
                <w:bCs/>
                <w:noProof/>
                <w:color w:val="000000"/>
                <w:sz w:val="16"/>
                <w:szCs w:val="16"/>
              </w:rPr>
            </w:pPr>
            <w:r w:rsidRPr="00274E0D">
              <w:rPr>
                <w:b/>
                <w:color w:val="000000"/>
                <w:sz w:val="16"/>
              </w:rPr>
              <w:t>YHTEENSÄ</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1226B919"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297AF93"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377CC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553"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2BBAF187"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620" w:type="pct"/>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DD09EF6"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23,404</w:t>
            </w:r>
          </w:p>
        </w:tc>
      </w:tr>
    </w:tbl>
    <w:p w14:paraId="4B0B5F95" w14:textId="77777777" w:rsidR="0093115D" w:rsidRPr="00274E0D" w:rsidRDefault="0093115D" w:rsidP="00656AA8">
      <w:pPr>
        <w:pStyle w:val="ManualHeading3"/>
        <w:rPr>
          <w:noProof/>
        </w:rPr>
      </w:pPr>
      <w:bookmarkStart w:id="181" w:name="_Toc167220292"/>
      <w:bookmarkStart w:id="182" w:name="_Toc177549025"/>
      <w:r w:rsidRPr="00274E0D">
        <w:t>3.2.3.2.</w:t>
      </w:r>
      <w:r w:rsidRPr="00274E0D">
        <w:tab/>
        <w:t>Ulkoisista käyttötarkoitukseensa sidotuista tuloista peräisin olevat määrärahat</w:t>
      </w:r>
      <w:bookmarkEnd w:id="181"/>
      <w:bookmarkEnd w:id="182"/>
    </w:p>
    <w:tbl>
      <w:tblPr>
        <w:tblW w:w="5000" w:type="pct"/>
        <w:tblLook w:val="04A0" w:firstRow="1" w:lastRow="0" w:firstColumn="1" w:lastColumn="0" w:noHBand="0" w:noVBand="1"/>
      </w:tblPr>
      <w:tblGrid>
        <w:gridCol w:w="4012"/>
        <w:gridCol w:w="1017"/>
        <w:gridCol w:w="1017"/>
        <w:gridCol w:w="1017"/>
        <w:gridCol w:w="1017"/>
        <w:gridCol w:w="1207"/>
      </w:tblGrid>
      <w:tr w:rsidR="0093115D" w:rsidRPr="00274E0D" w14:paraId="76D5697C" w14:textId="77777777" w:rsidTr="00434248">
        <w:trPr>
          <w:trHeight w:val="300"/>
        </w:trPr>
        <w:tc>
          <w:tcPr>
            <w:tcW w:w="2166"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0E5EBD1C" w14:textId="77777777" w:rsidR="0093115D" w:rsidRPr="00274E0D" w:rsidRDefault="0093115D" w:rsidP="00434248">
            <w:pPr>
              <w:spacing w:before="0" w:after="0"/>
              <w:jc w:val="center"/>
              <w:rPr>
                <w:b/>
                <w:bCs/>
                <w:noProof/>
                <w:color w:val="000000"/>
                <w:sz w:val="18"/>
                <w:szCs w:val="18"/>
              </w:rPr>
            </w:pPr>
            <w:r w:rsidRPr="00274E0D">
              <w:rPr>
                <w:b/>
                <w:color w:val="000000"/>
                <w:sz w:val="18"/>
              </w:rPr>
              <w:t>ULKOISET KÄYTTÖTARKOITUKSEENSA SIDOTUT TULOT</w:t>
            </w:r>
          </w:p>
        </w:tc>
        <w:tc>
          <w:tcPr>
            <w:tcW w:w="553" w:type="pct"/>
            <w:tcBorders>
              <w:top w:val="single" w:sz="8" w:space="0" w:color="auto"/>
              <w:left w:val="nil"/>
              <w:bottom w:val="nil"/>
              <w:right w:val="single" w:sz="8" w:space="0" w:color="auto"/>
            </w:tcBorders>
            <w:vAlign w:val="center"/>
            <w:hideMark/>
          </w:tcPr>
          <w:p w14:paraId="638996D0"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553" w:type="pct"/>
            <w:tcBorders>
              <w:top w:val="single" w:sz="8" w:space="0" w:color="auto"/>
              <w:left w:val="nil"/>
              <w:bottom w:val="nil"/>
              <w:right w:val="single" w:sz="8" w:space="0" w:color="auto"/>
            </w:tcBorders>
            <w:vAlign w:val="center"/>
            <w:hideMark/>
          </w:tcPr>
          <w:p w14:paraId="306B99E2"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553" w:type="pct"/>
            <w:tcBorders>
              <w:top w:val="single" w:sz="8" w:space="0" w:color="auto"/>
              <w:left w:val="nil"/>
              <w:bottom w:val="nil"/>
              <w:right w:val="single" w:sz="8" w:space="0" w:color="auto"/>
            </w:tcBorders>
            <w:vAlign w:val="center"/>
            <w:hideMark/>
          </w:tcPr>
          <w:p w14:paraId="2AFB314B"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553" w:type="pct"/>
            <w:tcBorders>
              <w:top w:val="single" w:sz="8" w:space="0" w:color="auto"/>
              <w:left w:val="nil"/>
              <w:bottom w:val="nil"/>
              <w:right w:val="single" w:sz="8" w:space="0" w:color="auto"/>
            </w:tcBorders>
            <w:vAlign w:val="center"/>
            <w:hideMark/>
          </w:tcPr>
          <w:p w14:paraId="019EDAF3"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622" w:type="pct"/>
            <w:vMerge w:val="restart"/>
            <w:tcBorders>
              <w:top w:val="single" w:sz="8" w:space="0" w:color="auto"/>
              <w:left w:val="single" w:sz="8" w:space="0" w:color="auto"/>
              <w:bottom w:val="single" w:sz="8" w:space="0" w:color="000000" w:themeColor="text1"/>
              <w:right w:val="single" w:sz="8" w:space="0" w:color="auto"/>
            </w:tcBorders>
            <w:vAlign w:val="center"/>
            <w:hideMark/>
          </w:tcPr>
          <w:p w14:paraId="46424171" w14:textId="77777777" w:rsidR="0093115D" w:rsidRPr="00274E0D" w:rsidRDefault="0093115D" w:rsidP="00434248">
            <w:pPr>
              <w:spacing w:before="0" w:after="0"/>
              <w:jc w:val="center"/>
              <w:rPr>
                <w:b/>
                <w:bCs/>
                <w:noProof/>
                <w:color w:val="000000"/>
                <w:sz w:val="18"/>
                <w:szCs w:val="18"/>
              </w:rPr>
            </w:pPr>
            <w:r w:rsidRPr="00274E0D">
              <w:rPr>
                <w:b/>
                <w:color w:val="000000"/>
                <w:sz w:val="18"/>
              </w:rPr>
              <w:t>YHTEENSÄ 2021–2027</w:t>
            </w:r>
          </w:p>
        </w:tc>
      </w:tr>
      <w:tr w:rsidR="0093115D" w:rsidRPr="00274E0D" w14:paraId="5B414353" w14:textId="77777777" w:rsidTr="00434248">
        <w:trPr>
          <w:trHeight w:val="300"/>
        </w:trPr>
        <w:tc>
          <w:tcPr>
            <w:tcW w:w="2166" w:type="pct"/>
            <w:vMerge/>
            <w:vAlign w:val="center"/>
            <w:hideMark/>
          </w:tcPr>
          <w:p w14:paraId="743CB2C1" w14:textId="77777777" w:rsidR="0093115D" w:rsidRPr="00274E0D" w:rsidRDefault="0093115D" w:rsidP="00434248">
            <w:pPr>
              <w:spacing w:before="0" w:after="0"/>
              <w:jc w:val="left"/>
              <w:rPr>
                <w:b/>
                <w:bCs/>
                <w:noProof/>
                <w:color w:val="000000"/>
                <w:sz w:val="18"/>
                <w:szCs w:val="18"/>
                <w:lang w:eastAsia="en-IE"/>
              </w:rPr>
            </w:pPr>
          </w:p>
        </w:tc>
        <w:tc>
          <w:tcPr>
            <w:tcW w:w="553" w:type="pct"/>
            <w:tcBorders>
              <w:top w:val="nil"/>
              <w:left w:val="nil"/>
              <w:bottom w:val="single" w:sz="8" w:space="0" w:color="auto"/>
              <w:right w:val="single" w:sz="8" w:space="0" w:color="auto"/>
            </w:tcBorders>
            <w:vAlign w:val="center"/>
            <w:hideMark/>
          </w:tcPr>
          <w:p w14:paraId="57A287EE" w14:textId="77777777" w:rsidR="0093115D" w:rsidRPr="00274E0D" w:rsidRDefault="0093115D" w:rsidP="00434248">
            <w:pPr>
              <w:spacing w:before="0" w:after="0"/>
              <w:jc w:val="center"/>
              <w:rPr>
                <w:b/>
                <w:bCs/>
                <w:noProof/>
                <w:color w:val="000000"/>
                <w:sz w:val="18"/>
                <w:szCs w:val="18"/>
              </w:rPr>
            </w:pPr>
            <w:r w:rsidRPr="00274E0D">
              <w:rPr>
                <w:b/>
                <w:color w:val="000000"/>
                <w:sz w:val="18"/>
              </w:rPr>
              <w:t>2024</w:t>
            </w:r>
          </w:p>
        </w:tc>
        <w:tc>
          <w:tcPr>
            <w:tcW w:w="553" w:type="pct"/>
            <w:tcBorders>
              <w:top w:val="nil"/>
              <w:left w:val="nil"/>
              <w:bottom w:val="single" w:sz="8" w:space="0" w:color="auto"/>
              <w:right w:val="single" w:sz="8" w:space="0" w:color="auto"/>
            </w:tcBorders>
            <w:vAlign w:val="center"/>
            <w:hideMark/>
          </w:tcPr>
          <w:p w14:paraId="11458C02" w14:textId="77777777" w:rsidR="0093115D" w:rsidRPr="00274E0D" w:rsidRDefault="0093115D" w:rsidP="00434248">
            <w:pPr>
              <w:spacing w:before="0" w:after="0"/>
              <w:jc w:val="center"/>
              <w:rPr>
                <w:b/>
                <w:bCs/>
                <w:noProof/>
                <w:color w:val="000000"/>
                <w:sz w:val="18"/>
                <w:szCs w:val="18"/>
              </w:rPr>
            </w:pPr>
            <w:r w:rsidRPr="00274E0D">
              <w:rPr>
                <w:b/>
                <w:color w:val="000000"/>
                <w:sz w:val="18"/>
              </w:rPr>
              <w:t>2025</w:t>
            </w:r>
          </w:p>
        </w:tc>
        <w:tc>
          <w:tcPr>
            <w:tcW w:w="553" w:type="pct"/>
            <w:tcBorders>
              <w:top w:val="nil"/>
              <w:left w:val="nil"/>
              <w:bottom w:val="single" w:sz="8" w:space="0" w:color="auto"/>
              <w:right w:val="single" w:sz="8" w:space="0" w:color="auto"/>
            </w:tcBorders>
            <w:vAlign w:val="center"/>
            <w:hideMark/>
          </w:tcPr>
          <w:p w14:paraId="3418D456" w14:textId="77777777" w:rsidR="0093115D" w:rsidRPr="00274E0D" w:rsidRDefault="0093115D" w:rsidP="00434248">
            <w:pPr>
              <w:spacing w:before="0" w:after="0"/>
              <w:jc w:val="center"/>
              <w:rPr>
                <w:b/>
                <w:bCs/>
                <w:noProof/>
                <w:color w:val="000000"/>
                <w:sz w:val="18"/>
                <w:szCs w:val="18"/>
              </w:rPr>
            </w:pPr>
            <w:r w:rsidRPr="00274E0D">
              <w:rPr>
                <w:b/>
                <w:color w:val="000000"/>
                <w:sz w:val="18"/>
              </w:rPr>
              <w:t>2026</w:t>
            </w:r>
          </w:p>
        </w:tc>
        <w:tc>
          <w:tcPr>
            <w:tcW w:w="553" w:type="pct"/>
            <w:tcBorders>
              <w:top w:val="nil"/>
              <w:left w:val="nil"/>
              <w:bottom w:val="single" w:sz="8" w:space="0" w:color="auto"/>
              <w:right w:val="single" w:sz="8" w:space="0" w:color="auto"/>
            </w:tcBorders>
            <w:vAlign w:val="center"/>
            <w:hideMark/>
          </w:tcPr>
          <w:p w14:paraId="3796B624" w14:textId="77777777" w:rsidR="0093115D" w:rsidRPr="00274E0D" w:rsidRDefault="0093115D" w:rsidP="00434248">
            <w:pPr>
              <w:spacing w:before="0" w:after="0"/>
              <w:jc w:val="center"/>
              <w:rPr>
                <w:b/>
                <w:bCs/>
                <w:noProof/>
                <w:color w:val="000000"/>
                <w:sz w:val="18"/>
                <w:szCs w:val="18"/>
              </w:rPr>
            </w:pPr>
            <w:r w:rsidRPr="00274E0D">
              <w:rPr>
                <w:b/>
                <w:color w:val="000000"/>
                <w:sz w:val="18"/>
              </w:rPr>
              <w:t>2027</w:t>
            </w:r>
          </w:p>
        </w:tc>
        <w:tc>
          <w:tcPr>
            <w:tcW w:w="622" w:type="pct"/>
            <w:vMerge/>
            <w:vAlign w:val="center"/>
            <w:hideMark/>
          </w:tcPr>
          <w:p w14:paraId="2BD6672F" w14:textId="77777777" w:rsidR="0093115D" w:rsidRPr="00274E0D" w:rsidRDefault="0093115D" w:rsidP="00434248">
            <w:pPr>
              <w:spacing w:before="0" w:after="0"/>
              <w:jc w:val="left"/>
              <w:rPr>
                <w:b/>
                <w:bCs/>
                <w:noProof/>
                <w:color w:val="000000"/>
                <w:sz w:val="18"/>
                <w:szCs w:val="18"/>
                <w:lang w:eastAsia="en-IE"/>
              </w:rPr>
            </w:pPr>
          </w:p>
        </w:tc>
      </w:tr>
      <w:tr w:rsidR="0093115D" w:rsidRPr="00274E0D" w14:paraId="077C8FF9"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71C0AB67" w14:textId="77777777" w:rsidR="0093115D" w:rsidRPr="00274E0D" w:rsidRDefault="0093115D" w:rsidP="00434248">
            <w:pPr>
              <w:spacing w:before="0" w:after="0"/>
              <w:jc w:val="left"/>
              <w:rPr>
                <w:b/>
                <w:bCs/>
                <w:noProof/>
                <w:sz w:val="16"/>
                <w:szCs w:val="16"/>
              </w:rPr>
            </w:pPr>
            <w:r w:rsidRPr="00274E0D">
              <w:rPr>
                <w:b/>
                <w:sz w:val="16"/>
              </w:rPr>
              <w:t>OTSAKE 7</w:t>
            </w:r>
          </w:p>
        </w:tc>
      </w:tr>
      <w:tr w:rsidR="0093115D" w:rsidRPr="00274E0D" w14:paraId="616C9450" w14:textId="77777777" w:rsidTr="00434248">
        <w:trPr>
          <w:trHeight w:val="300"/>
        </w:trPr>
        <w:tc>
          <w:tcPr>
            <w:tcW w:w="2166" w:type="pct"/>
            <w:tcBorders>
              <w:top w:val="nil"/>
              <w:left w:val="single" w:sz="8" w:space="0" w:color="auto"/>
              <w:bottom w:val="single" w:sz="8" w:space="0" w:color="auto"/>
              <w:right w:val="single" w:sz="8" w:space="0" w:color="auto"/>
            </w:tcBorders>
            <w:vAlign w:val="center"/>
            <w:hideMark/>
          </w:tcPr>
          <w:p w14:paraId="50ABF92E"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0833C9D"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5B94A3E"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0622C6D" w14:textId="77777777" w:rsidR="0093115D" w:rsidRPr="00274E0D" w:rsidRDefault="0093115D" w:rsidP="00434248">
            <w:pPr>
              <w:spacing w:before="0" w:after="0"/>
              <w:jc w:val="right"/>
              <w:rPr>
                <w:noProof/>
                <w:color w:val="000000"/>
                <w:sz w:val="16"/>
                <w:szCs w:val="16"/>
              </w:rPr>
            </w:pPr>
            <w:r w:rsidRPr="00274E0D">
              <w:rPr>
                <w:color w:val="000000" w:themeColor="text1"/>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14F2DD6"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459E3539"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20DA9994" w14:textId="77777777" w:rsidTr="00434248">
        <w:trPr>
          <w:trHeight w:val="300"/>
        </w:trPr>
        <w:tc>
          <w:tcPr>
            <w:tcW w:w="2166" w:type="pct"/>
            <w:tcBorders>
              <w:top w:val="nil"/>
              <w:left w:val="single" w:sz="8" w:space="0" w:color="auto"/>
              <w:bottom w:val="single" w:sz="8" w:space="0" w:color="auto"/>
              <w:right w:val="single" w:sz="8" w:space="0" w:color="auto"/>
            </w:tcBorders>
            <w:vAlign w:val="center"/>
            <w:hideMark/>
          </w:tcPr>
          <w:p w14:paraId="1D829B47" w14:textId="77777777" w:rsidR="0093115D" w:rsidRPr="00274E0D" w:rsidRDefault="0093115D" w:rsidP="00434248">
            <w:pPr>
              <w:spacing w:before="0" w:after="0"/>
              <w:jc w:val="left"/>
              <w:rPr>
                <w:noProof/>
                <w:color w:val="000000"/>
                <w:sz w:val="16"/>
                <w:szCs w:val="16"/>
              </w:rPr>
            </w:pPr>
            <w:r w:rsidRPr="00274E0D">
              <w:rPr>
                <w:color w:val="000000"/>
                <w:sz w:val="16"/>
              </w:rPr>
              <w:t xml:space="preserve">Muut hallintomenot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368BC0F2"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A75C8B3"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03A14B21"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DCBEB22"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73084F64"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20188A3C" w14:textId="77777777" w:rsidTr="00434248">
        <w:trPr>
          <w:trHeight w:val="300"/>
        </w:trPr>
        <w:tc>
          <w:tcPr>
            <w:tcW w:w="2166" w:type="pct"/>
            <w:tcBorders>
              <w:top w:val="nil"/>
              <w:left w:val="single" w:sz="8" w:space="0" w:color="auto"/>
              <w:bottom w:val="single" w:sz="8" w:space="0" w:color="auto"/>
              <w:right w:val="single" w:sz="8" w:space="0" w:color="auto"/>
            </w:tcBorders>
            <w:shd w:val="clear" w:color="auto" w:fill="CCCCCC"/>
            <w:vAlign w:val="center"/>
            <w:hideMark/>
          </w:tcPr>
          <w:p w14:paraId="7D428C1E" w14:textId="77777777" w:rsidR="0093115D" w:rsidRPr="00274E0D" w:rsidRDefault="0093115D" w:rsidP="00434248">
            <w:pPr>
              <w:spacing w:before="0" w:after="0"/>
              <w:jc w:val="center"/>
              <w:rPr>
                <w:b/>
                <w:bCs/>
                <w:noProof/>
                <w:color w:val="000000"/>
                <w:sz w:val="16"/>
                <w:szCs w:val="16"/>
              </w:rPr>
            </w:pPr>
            <w:r w:rsidRPr="00274E0D">
              <w:rPr>
                <w:b/>
                <w:color w:val="000000"/>
                <w:sz w:val="16"/>
              </w:rPr>
              <w:t>OTSAKE 7,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D06546E"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6E1F1C6"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50535D6"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43EF24CA"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48632F40"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755028F7"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687BED6C" w14:textId="77777777" w:rsidR="0093115D" w:rsidRPr="00274E0D" w:rsidRDefault="0093115D" w:rsidP="00434248">
            <w:pPr>
              <w:spacing w:before="0" w:after="0"/>
              <w:jc w:val="left"/>
              <w:rPr>
                <w:b/>
                <w:bCs/>
                <w:noProof/>
                <w:sz w:val="16"/>
                <w:szCs w:val="16"/>
              </w:rPr>
            </w:pPr>
            <w:r w:rsidRPr="00274E0D">
              <w:rPr>
                <w:b/>
                <w:sz w:val="16"/>
              </w:rPr>
              <w:t>OTSAKKEESEEN 7 sisältymättömät</w:t>
            </w:r>
          </w:p>
        </w:tc>
      </w:tr>
      <w:tr w:rsidR="0093115D" w:rsidRPr="00274E0D" w14:paraId="52F580B4" w14:textId="77777777" w:rsidTr="00434248">
        <w:trPr>
          <w:trHeight w:val="300"/>
        </w:trPr>
        <w:tc>
          <w:tcPr>
            <w:tcW w:w="2166" w:type="pct"/>
            <w:tcBorders>
              <w:top w:val="nil"/>
              <w:left w:val="single" w:sz="8" w:space="0" w:color="auto"/>
              <w:bottom w:val="single" w:sz="8" w:space="0" w:color="auto"/>
              <w:right w:val="single" w:sz="8" w:space="0" w:color="auto"/>
            </w:tcBorders>
            <w:vAlign w:val="center"/>
            <w:hideMark/>
          </w:tcPr>
          <w:p w14:paraId="1F4078AE"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076262E3"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478505D"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6AFFEEF"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8D42064"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5CEB890C"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4F399285" w14:textId="77777777" w:rsidTr="00434248">
        <w:trPr>
          <w:trHeight w:val="300"/>
        </w:trPr>
        <w:tc>
          <w:tcPr>
            <w:tcW w:w="2166" w:type="pct"/>
            <w:tcBorders>
              <w:top w:val="nil"/>
              <w:left w:val="single" w:sz="8" w:space="0" w:color="auto"/>
              <w:bottom w:val="single" w:sz="8" w:space="0" w:color="auto"/>
              <w:right w:val="single" w:sz="8" w:space="0" w:color="auto"/>
            </w:tcBorders>
            <w:vAlign w:val="center"/>
            <w:hideMark/>
          </w:tcPr>
          <w:p w14:paraId="2F575016" w14:textId="77777777" w:rsidR="0093115D" w:rsidRPr="00274E0D" w:rsidRDefault="0093115D" w:rsidP="00434248">
            <w:pPr>
              <w:spacing w:before="0" w:after="0"/>
              <w:jc w:val="left"/>
              <w:rPr>
                <w:noProof/>
                <w:color w:val="000000"/>
                <w:sz w:val="16"/>
                <w:szCs w:val="16"/>
              </w:rPr>
            </w:pPr>
            <w:r w:rsidRPr="00274E0D">
              <w:rPr>
                <w:color w:val="000000"/>
                <w:sz w:val="16"/>
              </w:rPr>
              <w:t>Muut hallintomenot</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43A8158A"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224F15CB"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4F03CB3C"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F98A95E"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7EA65C8D"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439A1837" w14:textId="77777777" w:rsidTr="00434248">
        <w:trPr>
          <w:trHeight w:val="300"/>
        </w:trPr>
        <w:tc>
          <w:tcPr>
            <w:tcW w:w="2166" w:type="pct"/>
            <w:tcBorders>
              <w:top w:val="nil"/>
              <w:left w:val="single" w:sz="8" w:space="0" w:color="auto"/>
              <w:bottom w:val="single" w:sz="8" w:space="0" w:color="auto"/>
              <w:right w:val="single" w:sz="8" w:space="0" w:color="auto"/>
            </w:tcBorders>
            <w:shd w:val="clear" w:color="auto" w:fill="CCCCCC"/>
            <w:vAlign w:val="center"/>
            <w:hideMark/>
          </w:tcPr>
          <w:p w14:paraId="6EB6D78C" w14:textId="77777777" w:rsidR="0093115D" w:rsidRPr="00274E0D" w:rsidRDefault="0093115D" w:rsidP="00434248">
            <w:pPr>
              <w:spacing w:before="0" w:after="0"/>
              <w:jc w:val="center"/>
              <w:rPr>
                <w:b/>
                <w:bCs/>
                <w:noProof/>
                <w:color w:val="000000"/>
                <w:sz w:val="16"/>
                <w:szCs w:val="16"/>
              </w:rPr>
            </w:pPr>
            <w:r w:rsidRPr="00274E0D">
              <w:rPr>
                <w:b/>
                <w:color w:val="000000"/>
                <w:sz w:val="16"/>
              </w:rPr>
              <w:t>OTSAKKEESEEN 7 sisältymättömät, välisumma</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777810E3"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42CDE8F"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5862E4CC"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nil"/>
              <w:left w:val="nil"/>
              <w:bottom w:val="single" w:sz="8" w:space="0" w:color="auto"/>
              <w:right w:val="single" w:sz="8" w:space="0" w:color="auto"/>
            </w:tcBorders>
            <w:shd w:val="clear" w:color="auto" w:fill="D9D9D9" w:themeFill="background1" w:themeFillShade="D9"/>
            <w:vAlign w:val="center"/>
            <w:hideMark/>
          </w:tcPr>
          <w:p w14:paraId="64F03F92"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622" w:type="pct"/>
            <w:tcBorders>
              <w:top w:val="nil"/>
              <w:left w:val="nil"/>
              <w:bottom w:val="single" w:sz="8" w:space="0" w:color="auto"/>
              <w:right w:val="single" w:sz="8" w:space="0" w:color="auto"/>
            </w:tcBorders>
            <w:shd w:val="clear" w:color="auto" w:fill="D9D9D9" w:themeFill="background1" w:themeFillShade="D9"/>
            <w:vAlign w:val="center"/>
            <w:hideMark/>
          </w:tcPr>
          <w:p w14:paraId="6FC3BF98"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50EF143D"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noWrap/>
            <w:vAlign w:val="center"/>
            <w:hideMark/>
          </w:tcPr>
          <w:p w14:paraId="099FC256" w14:textId="77777777" w:rsidR="0093115D" w:rsidRPr="00274E0D" w:rsidRDefault="0093115D" w:rsidP="00434248">
            <w:pPr>
              <w:spacing w:before="0" w:after="0"/>
              <w:jc w:val="center"/>
              <w:rPr>
                <w:noProof/>
                <w:color w:val="000000"/>
                <w:sz w:val="16"/>
                <w:szCs w:val="16"/>
              </w:rPr>
            </w:pPr>
            <w:r w:rsidRPr="00274E0D">
              <w:rPr>
                <w:color w:val="000000"/>
                <w:sz w:val="16"/>
              </w:rPr>
              <w:t xml:space="preserve"> </w:t>
            </w:r>
          </w:p>
        </w:tc>
      </w:tr>
      <w:tr w:rsidR="0093115D" w:rsidRPr="00274E0D" w14:paraId="5F9613E2" w14:textId="77777777" w:rsidTr="00434248">
        <w:trPr>
          <w:trHeight w:val="312"/>
        </w:trPr>
        <w:tc>
          <w:tcPr>
            <w:tcW w:w="2166" w:type="pct"/>
            <w:tcBorders>
              <w:top w:val="single" w:sz="12" w:space="0" w:color="auto"/>
              <w:left w:val="single" w:sz="12" w:space="0" w:color="auto"/>
              <w:bottom w:val="single" w:sz="12" w:space="0" w:color="auto"/>
              <w:right w:val="single" w:sz="8" w:space="0" w:color="auto"/>
            </w:tcBorders>
            <w:vAlign w:val="center"/>
            <w:hideMark/>
          </w:tcPr>
          <w:p w14:paraId="7EE84E6F" w14:textId="77777777" w:rsidR="0093115D" w:rsidRPr="00274E0D" w:rsidRDefault="0093115D" w:rsidP="00434248">
            <w:pPr>
              <w:spacing w:before="0" w:after="0"/>
              <w:jc w:val="center"/>
              <w:rPr>
                <w:b/>
                <w:bCs/>
                <w:noProof/>
                <w:color w:val="000000"/>
                <w:sz w:val="16"/>
                <w:szCs w:val="16"/>
              </w:rPr>
            </w:pPr>
            <w:r w:rsidRPr="00274E0D">
              <w:rPr>
                <w:b/>
                <w:color w:val="000000"/>
                <w:sz w:val="16"/>
              </w:rPr>
              <w:t>YHTEENSÄ</w:t>
            </w:r>
          </w:p>
        </w:tc>
        <w:tc>
          <w:tcPr>
            <w:tcW w:w="553" w:type="pct"/>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3115F634"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329308BA"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4DC28742"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553" w:type="pct"/>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3ACBD7F4"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622" w:type="pct"/>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39287179"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bl>
    <w:p w14:paraId="1B85B8A5" w14:textId="77777777" w:rsidR="0093115D" w:rsidRPr="00274E0D" w:rsidRDefault="0093115D" w:rsidP="00656AA8">
      <w:pPr>
        <w:pStyle w:val="ManualHeading3"/>
        <w:rPr>
          <w:noProof/>
        </w:rPr>
      </w:pPr>
      <w:bookmarkStart w:id="183" w:name="_Toc167220293"/>
      <w:bookmarkStart w:id="184" w:name="_Toc177549026"/>
      <w:r w:rsidRPr="00274E0D">
        <w:t>3.2.3.3.</w:t>
      </w:r>
      <w:r w:rsidRPr="00274E0D">
        <w:tab/>
        <w:t>Määrärahat yhteensä</w:t>
      </w:r>
      <w:bookmarkEnd w:id="183"/>
      <w:bookmarkEnd w:id="184"/>
    </w:p>
    <w:tbl>
      <w:tblPr>
        <w:tblW w:w="9187" w:type="dxa"/>
        <w:tblLook w:val="04A0" w:firstRow="1" w:lastRow="0" w:firstColumn="1" w:lastColumn="0" w:noHBand="0" w:noVBand="1"/>
      </w:tblPr>
      <w:tblGrid>
        <w:gridCol w:w="3760"/>
        <w:gridCol w:w="960"/>
        <w:gridCol w:w="1065"/>
        <w:gridCol w:w="1065"/>
        <w:gridCol w:w="1095"/>
        <w:gridCol w:w="1242"/>
      </w:tblGrid>
      <w:tr w:rsidR="0093115D" w:rsidRPr="00274E0D" w14:paraId="58001A94" w14:textId="77777777" w:rsidTr="00434248">
        <w:trPr>
          <w:trHeight w:val="519"/>
        </w:trPr>
        <w:tc>
          <w:tcPr>
            <w:tcW w:w="3760"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40948DC" w14:textId="77777777" w:rsidR="0093115D" w:rsidRPr="00274E0D" w:rsidRDefault="0093115D" w:rsidP="00434248">
            <w:pPr>
              <w:spacing w:before="0" w:after="0"/>
              <w:jc w:val="center"/>
              <w:rPr>
                <w:b/>
                <w:bCs/>
                <w:noProof/>
                <w:color w:val="000000"/>
                <w:sz w:val="18"/>
                <w:szCs w:val="18"/>
              </w:rPr>
            </w:pPr>
            <w:r w:rsidRPr="00274E0D">
              <w:rPr>
                <w:b/>
                <w:color w:val="000000"/>
                <w:sz w:val="18"/>
              </w:rPr>
              <w:t>HYVÄKSYTYT MÄÄRÄRAHAT + ULKOISET KÄYTTÖTARKOITUKSEENSA SIDOTUT TULOT YHTEENSÄ</w:t>
            </w:r>
          </w:p>
        </w:tc>
        <w:tc>
          <w:tcPr>
            <w:tcW w:w="960" w:type="dxa"/>
            <w:tcBorders>
              <w:top w:val="single" w:sz="8" w:space="0" w:color="auto"/>
              <w:left w:val="nil"/>
              <w:bottom w:val="nil"/>
              <w:right w:val="single" w:sz="8" w:space="0" w:color="auto"/>
            </w:tcBorders>
            <w:vAlign w:val="center"/>
            <w:hideMark/>
          </w:tcPr>
          <w:p w14:paraId="233D2599"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1065" w:type="dxa"/>
            <w:tcBorders>
              <w:top w:val="single" w:sz="8" w:space="0" w:color="auto"/>
              <w:left w:val="nil"/>
              <w:bottom w:val="nil"/>
              <w:right w:val="single" w:sz="8" w:space="0" w:color="auto"/>
            </w:tcBorders>
            <w:vAlign w:val="center"/>
            <w:hideMark/>
          </w:tcPr>
          <w:p w14:paraId="7BD813DA" w14:textId="77777777" w:rsidR="0093115D" w:rsidRPr="00274E0D" w:rsidRDefault="0093115D" w:rsidP="00434248">
            <w:pPr>
              <w:spacing w:before="0" w:after="0"/>
              <w:jc w:val="center"/>
              <w:rPr>
                <w:noProof/>
                <w:color w:val="000000"/>
                <w:sz w:val="18"/>
                <w:szCs w:val="18"/>
              </w:rPr>
            </w:pPr>
            <w:r w:rsidRPr="00274E0D">
              <w:rPr>
                <w:color w:val="000000"/>
                <w:sz w:val="18"/>
              </w:rPr>
              <w:t>Vuosi</w:t>
            </w:r>
          </w:p>
        </w:tc>
        <w:tc>
          <w:tcPr>
            <w:tcW w:w="1065" w:type="dxa"/>
            <w:tcBorders>
              <w:top w:val="single" w:sz="8" w:space="0" w:color="auto"/>
              <w:left w:val="nil"/>
              <w:bottom w:val="nil"/>
              <w:right w:val="single" w:sz="8" w:space="0" w:color="auto"/>
            </w:tcBorders>
            <w:vAlign w:val="center"/>
            <w:hideMark/>
          </w:tcPr>
          <w:p w14:paraId="2B7E9805"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1095" w:type="dxa"/>
            <w:tcBorders>
              <w:top w:val="single" w:sz="8" w:space="0" w:color="auto"/>
              <w:left w:val="nil"/>
              <w:bottom w:val="nil"/>
              <w:right w:val="single" w:sz="8" w:space="0" w:color="auto"/>
            </w:tcBorders>
            <w:vAlign w:val="center"/>
            <w:hideMark/>
          </w:tcPr>
          <w:p w14:paraId="329ABB2E"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1242" w:type="dxa"/>
            <w:vMerge w:val="restart"/>
            <w:tcBorders>
              <w:top w:val="single" w:sz="8" w:space="0" w:color="auto"/>
              <w:left w:val="single" w:sz="8" w:space="0" w:color="auto"/>
              <w:bottom w:val="single" w:sz="8" w:space="0" w:color="000000" w:themeColor="text1"/>
              <w:right w:val="single" w:sz="8" w:space="0" w:color="auto"/>
            </w:tcBorders>
            <w:vAlign w:val="center"/>
            <w:hideMark/>
          </w:tcPr>
          <w:p w14:paraId="750B927F"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YHTEENSÄ 2021–2027</w:t>
            </w:r>
          </w:p>
        </w:tc>
      </w:tr>
      <w:tr w:rsidR="0093115D" w:rsidRPr="00274E0D" w14:paraId="6DEE751B" w14:textId="77777777" w:rsidTr="00434248">
        <w:trPr>
          <w:trHeight w:val="519"/>
        </w:trPr>
        <w:tc>
          <w:tcPr>
            <w:tcW w:w="3760" w:type="dxa"/>
            <w:vMerge/>
            <w:vAlign w:val="center"/>
            <w:hideMark/>
          </w:tcPr>
          <w:p w14:paraId="17089721" w14:textId="77777777" w:rsidR="0093115D" w:rsidRPr="00274E0D" w:rsidRDefault="0093115D" w:rsidP="00434248">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3F9A8E07" w14:textId="77777777" w:rsidR="0093115D" w:rsidRPr="00274E0D" w:rsidRDefault="0093115D" w:rsidP="00434248">
            <w:pPr>
              <w:spacing w:before="0" w:after="0"/>
              <w:jc w:val="center"/>
              <w:rPr>
                <w:b/>
                <w:bCs/>
                <w:noProof/>
                <w:color w:val="000000"/>
                <w:sz w:val="18"/>
                <w:szCs w:val="18"/>
              </w:rPr>
            </w:pPr>
            <w:r w:rsidRPr="00274E0D">
              <w:rPr>
                <w:b/>
                <w:color w:val="000000"/>
                <w:sz w:val="18"/>
              </w:rPr>
              <w:t>2024</w:t>
            </w:r>
          </w:p>
        </w:tc>
        <w:tc>
          <w:tcPr>
            <w:tcW w:w="1065" w:type="dxa"/>
            <w:tcBorders>
              <w:top w:val="nil"/>
              <w:left w:val="nil"/>
              <w:bottom w:val="single" w:sz="8" w:space="0" w:color="auto"/>
              <w:right w:val="single" w:sz="8" w:space="0" w:color="auto"/>
            </w:tcBorders>
            <w:vAlign w:val="center"/>
            <w:hideMark/>
          </w:tcPr>
          <w:p w14:paraId="27476F7F" w14:textId="77777777" w:rsidR="0093115D" w:rsidRPr="00274E0D" w:rsidRDefault="0093115D" w:rsidP="00434248">
            <w:pPr>
              <w:spacing w:before="0" w:after="0"/>
              <w:jc w:val="center"/>
              <w:rPr>
                <w:b/>
                <w:bCs/>
                <w:noProof/>
                <w:color w:val="000000"/>
                <w:sz w:val="18"/>
                <w:szCs w:val="18"/>
              </w:rPr>
            </w:pPr>
            <w:r w:rsidRPr="00274E0D">
              <w:rPr>
                <w:b/>
                <w:color w:val="000000"/>
                <w:sz w:val="18"/>
              </w:rPr>
              <w:t>2025</w:t>
            </w:r>
          </w:p>
        </w:tc>
        <w:tc>
          <w:tcPr>
            <w:tcW w:w="1065" w:type="dxa"/>
            <w:tcBorders>
              <w:top w:val="nil"/>
              <w:left w:val="nil"/>
              <w:bottom w:val="single" w:sz="8" w:space="0" w:color="auto"/>
              <w:right w:val="single" w:sz="8" w:space="0" w:color="auto"/>
            </w:tcBorders>
            <w:vAlign w:val="center"/>
            <w:hideMark/>
          </w:tcPr>
          <w:p w14:paraId="7A8D2384"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2026</w:t>
            </w:r>
          </w:p>
        </w:tc>
        <w:tc>
          <w:tcPr>
            <w:tcW w:w="1095" w:type="dxa"/>
            <w:tcBorders>
              <w:top w:val="nil"/>
              <w:left w:val="nil"/>
              <w:bottom w:val="single" w:sz="8" w:space="0" w:color="auto"/>
              <w:right w:val="single" w:sz="8" w:space="0" w:color="auto"/>
            </w:tcBorders>
            <w:vAlign w:val="center"/>
            <w:hideMark/>
          </w:tcPr>
          <w:p w14:paraId="13986AA1"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2027</w:t>
            </w:r>
          </w:p>
        </w:tc>
        <w:tc>
          <w:tcPr>
            <w:tcW w:w="1242" w:type="dxa"/>
            <w:vMerge/>
            <w:vAlign w:val="center"/>
            <w:hideMark/>
          </w:tcPr>
          <w:p w14:paraId="593F56B6" w14:textId="77777777" w:rsidR="0093115D" w:rsidRPr="00274E0D" w:rsidRDefault="0093115D" w:rsidP="00434248">
            <w:pPr>
              <w:spacing w:before="0" w:after="0"/>
              <w:jc w:val="left"/>
              <w:rPr>
                <w:b/>
                <w:bCs/>
                <w:noProof/>
                <w:color w:val="000000" w:themeColor="text1"/>
                <w:sz w:val="18"/>
                <w:szCs w:val="18"/>
                <w:lang w:eastAsia="en-IE"/>
              </w:rPr>
            </w:pPr>
          </w:p>
        </w:tc>
      </w:tr>
      <w:tr w:rsidR="0093115D" w:rsidRPr="00274E0D" w14:paraId="1F230387" w14:textId="77777777" w:rsidTr="00434248">
        <w:trPr>
          <w:trHeight w:val="300"/>
        </w:trPr>
        <w:tc>
          <w:tcPr>
            <w:tcW w:w="9187" w:type="dxa"/>
            <w:gridSpan w:val="6"/>
            <w:tcBorders>
              <w:top w:val="single" w:sz="8" w:space="0" w:color="auto"/>
              <w:left w:val="single" w:sz="8" w:space="0" w:color="auto"/>
              <w:bottom w:val="single" w:sz="8" w:space="0" w:color="auto"/>
              <w:right w:val="single" w:sz="4" w:space="0" w:color="auto"/>
            </w:tcBorders>
            <w:vAlign w:val="center"/>
            <w:hideMark/>
          </w:tcPr>
          <w:p w14:paraId="700F89B6" w14:textId="77777777" w:rsidR="0093115D" w:rsidRPr="00274E0D" w:rsidRDefault="0093115D" w:rsidP="00434248">
            <w:pPr>
              <w:spacing w:before="0" w:after="0"/>
              <w:jc w:val="left"/>
              <w:rPr>
                <w:b/>
                <w:bCs/>
                <w:noProof/>
                <w:color w:val="000000" w:themeColor="text1"/>
                <w:sz w:val="16"/>
                <w:szCs w:val="16"/>
              </w:rPr>
            </w:pPr>
            <w:r w:rsidRPr="00274E0D">
              <w:rPr>
                <w:b/>
                <w:color w:val="000000" w:themeColor="text1"/>
                <w:sz w:val="16"/>
              </w:rPr>
              <w:t>OTSAKE 7</w:t>
            </w:r>
          </w:p>
        </w:tc>
      </w:tr>
      <w:tr w:rsidR="0093115D" w:rsidRPr="00274E0D" w14:paraId="0004E94A" w14:textId="77777777" w:rsidTr="00434248">
        <w:trPr>
          <w:trHeight w:val="300"/>
        </w:trPr>
        <w:tc>
          <w:tcPr>
            <w:tcW w:w="3760" w:type="dxa"/>
            <w:tcBorders>
              <w:top w:val="nil"/>
              <w:left w:val="single" w:sz="8" w:space="0" w:color="auto"/>
              <w:bottom w:val="single" w:sz="8" w:space="0" w:color="auto"/>
              <w:right w:val="single" w:sz="8" w:space="0" w:color="auto"/>
            </w:tcBorders>
            <w:vAlign w:val="center"/>
            <w:hideMark/>
          </w:tcPr>
          <w:p w14:paraId="1D4B27FD"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749D57F"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16905902"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3AB35C79"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11,366</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0DEF510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11,366</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3103F61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22,732</w:t>
            </w:r>
          </w:p>
        </w:tc>
      </w:tr>
      <w:tr w:rsidR="0093115D" w:rsidRPr="00274E0D" w14:paraId="0334B046" w14:textId="77777777" w:rsidTr="00434248">
        <w:trPr>
          <w:trHeight w:val="300"/>
        </w:trPr>
        <w:tc>
          <w:tcPr>
            <w:tcW w:w="3760" w:type="dxa"/>
            <w:tcBorders>
              <w:top w:val="nil"/>
              <w:left w:val="single" w:sz="8" w:space="0" w:color="auto"/>
              <w:bottom w:val="single" w:sz="8" w:space="0" w:color="auto"/>
              <w:right w:val="single" w:sz="8" w:space="0" w:color="auto"/>
            </w:tcBorders>
            <w:vAlign w:val="center"/>
            <w:hideMark/>
          </w:tcPr>
          <w:p w14:paraId="577664F1" w14:textId="77777777" w:rsidR="0093115D" w:rsidRPr="00274E0D" w:rsidRDefault="0093115D" w:rsidP="00434248">
            <w:pPr>
              <w:spacing w:before="0" w:after="0"/>
              <w:jc w:val="left"/>
              <w:rPr>
                <w:noProof/>
                <w:color w:val="000000"/>
                <w:sz w:val="16"/>
                <w:szCs w:val="16"/>
              </w:rPr>
            </w:pPr>
            <w:r w:rsidRPr="00274E0D">
              <w:rPr>
                <w:color w:val="000000"/>
                <w:sz w:val="16"/>
              </w:rPr>
              <w:t xml:space="preserve">Muut hallintomenot </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40B6012"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7371772A"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62F5845C"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0,336</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7FE3B23B"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20"/>
              </w:rPr>
              <w:t>0,336</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5D398874"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0,672</w:t>
            </w:r>
          </w:p>
        </w:tc>
      </w:tr>
      <w:tr w:rsidR="0093115D" w:rsidRPr="00274E0D" w14:paraId="154923AB" w14:textId="77777777" w:rsidTr="00434248">
        <w:trPr>
          <w:trHeight w:val="300"/>
        </w:trPr>
        <w:tc>
          <w:tcPr>
            <w:tcW w:w="3760" w:type="dxa"/>
            <w:tcBorders>
              <w:top w:val="nil"/>
              <w:left w:val="single" w:sz="8" w:space="0" w:color="auto"/>
              <w:bottom w:val="single" w:sz="8" w:space="0" w:color="auto"/>
              <w:right w:val="single" w:sz="8" w:space="0" w:color="auto"/>
            </w:tcBorders>
            <w:shd w:val="clear" w:color="auto" w:fill="CCCCCC"/>
            <w:vAlign w:val="center"/>
            <w:hideMark/>
          </w:tcPr>
          <w:p w14:paraId="175B10A6" w14:textId="77777777" w:rsidR="0093115D" w:rsidRPr="00274E0D" w:rsidRDefault="0093115D" w:rsidP="00434248">
            <w:pPr>
              <w:spacing w:before="0" w:after="0"/>
              <w:jc w:val="center"/>
              <w:rPr>
                <w:b/>
                <w:bCs/>
                <w:noProof/>
                <w:color w:val="000000"/>
                <w:sz w:val="16"/>
                <w:szCs w:val="16"/>
              </w:rPr>
            </w:pPr>
            <w:r w:rsidRPr="00274E0D">
              <w:rPr>
                <w:b/>
                <w:color w:val="000000"/>
                <w:sz w:val="16"/>
              </w:rPr>
              <w:t>OTSAKE 7, välisumma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B9A7206"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0F14FFC3"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33A49C6E"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4D11F177"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44694356"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23,404</w:t>
            </w:r>
          </w:p>
        </w:tc>
      </w:tr>
      <w:tr w:rsidR="0093115D" w:rsidRPr="00274E0D" w14:paraId="7DE9DB9E" w14:textId="77777777" w:rsidTr="00434248">
        <w:trPr>
          <w:trHeight w:val="300"/>
        </w:trPr>
        <w:tc>
          <w:tcPr>
            <w:tcW w:w="9187" w:type="dxa"/>
            <w:gridSpan w:val="6"/>
            <w:tcBorders>
              <w:top w:val="single" w:sz="8" w:space="0" w:color="auto"/>
              <w:left w:val="single" w:sz="8" w:space="0" w:color="auto"/>
              <w:bottom w:val="single" w:sz="8" w:space="0" w:color="auto"/>
              <w:right w:val="single" w:sz="4" w:space="0" w:color="auto"/>
            </w:tcBorders>
            <w:vAlign w:val="center"/>
            <w:hideMark/>
          </w:tcPr>
          <w:p w14:paraId="31EA2067" w14:textId="77777777" w:rsidR="0093115D" w:rsidRPr="00274E0D" w:rsidRDefault="0093115D" w:rsidP="00434248">
            <w:pPr>
              <w:spacing w:before="0" w:after="0"/>
              <w:jc w:val="left"/>
              <w:rPr>
                <w:b/>
                <w:bCs/>
                <w:noProof/>
                <w:sz w:val="16"/>
                <w:szCs w:val="16"/>
              </w:rPr>
            </w:pPr>
            <w:r w:rsidRPr="00274E0D">
              <w:rPr>
                <w:b/>
                <w:sz w:val="16"/>
              </w:rPr>
              <w:t>OTSAKKEESEEN 7 sisältymättömät</w:t>
            </w:r>
          </w:p>
        </w:tc>
      </w:tr>
      <w:tr w:rsidR="0093115D" w:rsidRPr="00274E0D" w14:paraId="32F6BDD1" w14:textId="77777777" w:rsidTr="00434248">
        <w:trPr>
          <w:trHeight w:val="300"/>
        </w:trPr>
        <w:tc>
          <w:tcPr>
            <w:tcW w:w="3760" w:type="dxa"/>
            <w:tcBorders>
              <w:top w:val="nil"/>
              <w:left w:val="single" w:sz="8" w:space="0" w:color="auto"/>
              <w:bottom w:val="single" w:sz="8" w:space="0" w:color="auto"/>
              <w:right w:val="single" w:sz="8" w:space="0" w:color="auto"/>
            </w:tcBorders>
            <w:vAlign w:val="center"/>
            <w:hideMark/>
          </w:tcPr>
          <w:p w14:paraId="0F9B3230" w14:textId="77777777" w:rsidR="0093115D" w:rsidRPr="00274E0D" w:rsidRDefault="0093115D" w:rsidP="00434248">
            <w:pPr>
              <w:spacing w:before="0" w:after="0"/>
              <w:jc w:val="left"/>
              <w:rPr>
                <w:noProof/>
                <w:color w:val="000000"/>
                <w:sz w:val="16"/>
                <w:szCs w:val="16"/>
              </w:rPr>
            </w:pPr>
            <w:r w:rsidRPr="00274E0D">
              <w:rPr>
                <w:color w:val="000000"/>
                <w:sz w:val="16"/>
              </w:rPr>
              <w:t xml:space="preserve">Henkilöresurssit </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FE12398"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0B1F54FD"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4C0C2E6C"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0A5DCE23"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4BB9D394"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r>
      <w:tr w:rsidR="0093115D" w:rsidRPr="00274E0D" w14:paraId="4DFC7483" w14:textId="77777777" w:rsidTr="00434248">
        <w:trPr>
          <w:trHeight w:val="300"/>
        </w:trPr>
        <w:tc>
          <w:tcPr>
            <w:tcW w:w="3760" w:type="dxa"/>
            <w:tcBorders>
              <w:top w:val="nil"/>
              <w:left w:val="single" w:sz="8" w:space="0" w:color="auto"/>
              <w:bottom w:val="single" w:sz="8" w:space="0" w:color="auto"/>
              <w:right w:val="single" w:sz="8" w:space="0" w:color="auto"/>
            </w:tcBorders>
            <w:vAlign w:val="center"/>
            <w:hideMark/>
          </w:tcPr>
          <w:p w14:paraId="3EDCC7BA" w14:textId="77777777" w:rsidR="0093115D" w:rsidRPr="00274E0D" w:rsidRDefault="0093115D" w:rsidP="00434248">
            <w:pPr>
              <w:spacing w:before="0" w:after="0"/>
              <w:jc w:val="left"/>
              <w:rPr>
                <w:noProof/>
                <w:color w:val="000000"/>
                <w:sz w:val="16"/>
                <w:szCs w:val="16"/>
              </w:rPr>
            </w:pPr>
            <w:r w:rsidRPr="00274E0D">
              <w:rPr>
                <w:color w:val="000000"/>
                <w:sz w:val="16"/>
              </w:rPr>
              <w:t>Muut hallintomenot</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6E70B61"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58AC55CA" w14:textId="77777777" w:rsidR="0093115D" w:rsidRPr="00274E0D" w:rsidRDefault="0093115D" w:rsidP="00434248">
            <w:pPr>
              <w:spacing w:before="0" w:after="0"/>
              <w:jc w:val="right"/>
              <w:rPr>
                <w:noProof/>
                <w:color w:val="000000"/>
                <w:sz w:val="16"/>
                <w:szCs w:val="16"/>
              </w:rPr>
            </w:pPr>
            <w:r w:rsidRPr="00274E0D">
              <w:rPr>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6664002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25667C83"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67C364BC"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6FC88E19" w14:textId="77777777" w:rsidTr="00434248">
        <w:trPr>
          <w:trHeight w:val="300"/>
        </w:trPr>
        <w:tc>
          <w:tcPr>
            <w:tcW w:w="3760" w:type="dxa"/>
            <w:tcBorders>
              <w:top w:val="nil"/>
              <w:left w:val="single" w:sz="8" w:space="0" w:color="auto"/>
              <w:bottom w:val="single" w:sz="8" w:space="0" w:color="auto"/>
              <w:right w:val="single" w:sz="8" w:space="0" w:color="auto"/>
            </w:tcBorders>
            <w:shd w:val="clear" w:color="auto" w:fill="CCCCCC"/>
            <w:vAlign w:val="center"/>
            <w:hideMark/>
          </w:tcPr>
          <w:p w14:paraId="690E94DD" w14:textId="77777777" w:rsidR="0093115D" w:rsidRPr="00274E0D" w:rsidRDefault="0093115D" w:rsidP="00434248">
            <w:pPr>
              <w:spacing w:before="0" w:after="0"/>
              <w:jc w:val="center"/>
              <w:rPr>
                <w:b/>
                <w:bCs/>
                <w:noProof/>
                <w:color w:val="000000"/>
                <w:sz w:val="16"/>
                <w:szCs w:val="16"/>
              </w:rPr>
            </w:pPr>
            <w:r w:rsidRPr="00274E0D">
              <w:rPr>
                <w:b/>
                <w:color w:val="000000"/>
                <w:sz w:val="16"/>
              </w:rPr>
              <w:t>OTSAKKEESEEN 7 sisältymättömät, välisumma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F71C2DD"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7A4D9DA7"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nil"/>
              <w:left w:val="nil"/>
              <w:bottom w:val="single" w:sz="8" w:space="0" w:color="auto"/>
              <w:right w:val="single" w:sz="8" w:space="0" w:color="auto"/>
            </w:tcBorders>
            <w:shd w:val="clear" w:color="auto" w:fill="D9D9D9" w:themeFill="background1" w:themeFillShade="D9"/>
            <w:vAlign w:val="center"/>
            <w:hideMark/>
          </w:tcPr>
          <w:p w14:paraId="0EA61C2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1095" w:type="dxa"/>
            <w:tcBorders>
              <w:top w:val="nil"/>
              <w:left w:val="nil"/>
              <w:bottom w:val="single" w:sz="8" w:space="0" w:color="auto"/>
              <w:right w:val="single" w:sz="8" w:space="0" w:color="auto"/>
            </w:tcBorders>
            <w:shd w:val="clear" w:color="auto" w:fill="D9D9D9" w:themeFill="background1" w:themeFillShade="D9"/>
            <w:vAlign w:val="center"/>
            <w:hideMark/>
          </w:tcPr>
          <w:p w14:paraId="15931A8D"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1242" w:type="dxa"/>
            <w:tcBorders>
              <w:top w:val="nil"/>
              <w:left w:val="nil"/>
              <w:bottom w:val="single" w:sz="8" w:space="0" w:color="auto"/>
              <w:right w:val="single" w:sz="8" w:space="0" w:color="auto"/>
            </w:tcBorders>
            <w:shd w:val="clear" w:color="auto" w:fill="D9D9D9" w:themeFill="background1" w:themeFillShade="D9"/>
            <w:vAlign w:val="center"/>
            <w:hideMark/>
          </w:tcPr>
          <w:p w14:paraId="476E5BE7"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31761E7B" w14:textId="77777777" w:rsidTr="00434248">
        <w:trPr>
          <w:trHeight w:val="300"/>
        </w:trPr>
        <w:tc>
          <w:tcPr>
            <w:tcW w:w="9187" w:type="dxa"/>
            <w:gridSpan w:val="6"/>
            <w:tcBorders>
              <w:top w:val="single" w:sz="8" w:space="0" w:color="auto"/>
              <w:left w:val="single" w:sz="8" w:space="0" w:color="auto"/>
              <w:bottom w:val="single" w:sz="8" w:space="0" w:color="auto"/>
              <w:right w:val="single" w:sz="4" w:space="0" w:color="auto"/>
            </w:tcBorders>
            <w:noWrap/>
            <w:vAlign w:val="center"/>
            <w:hideMark/>
          </w:tcPr>
          <w:p w14:paraId="7C004579"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lastRenderedPageBreak/>
              <w:t xml:space="preserve"> </w:t>
            </w:r>
          </w:p>
        </w:tc>
      </w:tr>
      <w:tr w:rsidR="0093115D" w:rsidRPr="00274E0D" w14:paraId="161A5826" w14:textId="77777777" w:rsidTr="00434248">
        <w:trPr>
          <w:trHeight w:val="312"/>
        </w:trPr>
        <w:tc>
          <w:tcPr>
            <w:tcW w:w="3760" w:type="dxa"/>
            <w:tcBorders>
              <w:top w:val="single" w:sz="12" w:space="0" w:color="auto"/>
              <w:left w:val="single" w:sz="12" w:space="0" w:color="auto"/>
              <w:bottom w:val="single" w:sz="12" w:space="0" w:color="auto"/>
              <w:right w:val="single" w:sz="8" w:space="0" w:color="auto"/>
            </w:tcBorders>
            <w:vAlign w:val="center"/>
            <w:hideMark/>
          </w:tcPr>
          <w:p w14:paraId="1B7C2156" w14:textId="77777777" w:rsidR="0093115D" w:rsidRPr="00274E0D" w:rsidRDefault="0093115D" w:rsidP="00434248">
            <w:pPr>
              <w:spacing w:before="0" w:after="0"/>
              <w:jc w:val="center"/>
              <w:rPr>
                <w:b/>
                <w:bCs/>
                <w:noProof/>
                <w:color w:val="000000"/>
                <w:sz w:val="16"/>
                <w:szCs w:val="16"/>
              </w:rPr>
            </w:pPr>
            <w:r w:rsidRPr="00274E0D">
              <w:rPr>
                <w:b/>
                <w:color w:val="000000"/>
                <w:sz w:val="16"/>
              </w:rPr>
              <w:t>YHTEENSÄ</w:t>
            </w:r>
          </w:p>
        </w:tc>
        <w:tc>
          <w:tcPr>
            <w:tcW w:w="960"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0417B31E"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1C3F3555" w14:textId="77777777" w:rsidR="0093115D" w:rsidRPr="00274E0D" w:rsidRDefault="0093115D" w:rsidP="00434248">
            <w:pPr>
              <w:spacing w:before="0" w:after="0"/>
              <w:jc w:val="right"/>
              <w:rPr>
                <w:b/>
                <w:bCs/>
                <w:noProof/>
                <w:color w:val="000000"/>
                <w:sz w:val="16"/>
                <w:szCs w:val="16"/>
              </w:rPr>
            </w:pPr>
            <w:r w:rsidRPr="00274E0D">
              <w:rPr>
                <w:b/>
                <w:color w:val="000000"/>
                <w:sz w:val="16"/>
              </w:rPr>
              <w:t>0,000</w:t>
            </w:r>
          </w:p>
        </w:tc>
        <w:tc>
          <w:tcPr>
            <w:tcW w:w="1065"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3FEDB088"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1095"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1C9A2328"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11,702</w:t>
            </w:r>
          </w:p>
        </w:tc>
        <w:tc>
          <w:tcPr>
            <w:tcW w:w="1242" w:type="dxa"/>
            <w:tcBorders>
              <w:top w:val="single" w:sz="12" w:space="0" w:color="auto"/>
              <w:left w:val="nil"/>
              <w:bottom w:val="single" w:sz="12" w:space="0" w:color="auto"/>
              <w:right w:val="single" w:sz="8" w:space="0" w:color="auto"/>
            </w:tcBorders>
            <w:shd w:val="clear" w:color="auto" w:fill="D9D9D9" w:themeFill="background1" w:themeFillShade="D9"/>
            <w:vAlign w:val="center"/>
            <w:hideMark/>
          </w:tcPr>
          <w:p w14:paraId="60436F86"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20"/>
              </w:rPr>
              <w:t>23,404</w:t>
            </w:r>
          </w:p>
        </w:tc>
      </w:tr>
    </w:tbl>
    <w:p w14:paraId="0BB475EF" w14:textId="77777777" w:rsidR="0093115D" w:rsidRPr="00274E0D" w:rsidRDefault="0093115D" w:rsidP="00656AA8">
      <w:pPr>
        <w:pStyle w:val="ManualHeading3"/>
        <w:rPr>
          <w:bCs/>
          <w:noProof/>
          <w:szCs w:val="24"/>
        </w:rPr>
      </w:pPr>
      <w:bookmarkStart w:id="185" w:name="_Toc167220294"/>
      <w:bookmarkStart w:id="186" w:name="_Toc177549027"/>
      <w:r w:rsidRPr="00274E0D">
        <w:t>3.2.4.</w:t>
      </w:r>
      <w:r w:rsidRPr="00274E0D">
        <w:tab/>
        <w:t>Henkilöresurssien arvioitu tarve</w:t>
      </w:r>
      <w:bookmarkEnd w:id="185"/>
      <w:bookmarkEnd w:id="186"/>
      <w:r w:rsidRPr="00274E0D">
        <w:t xml:space="preserve"> </w:t>
      </w:r>
    </w:p>
    <w:p w14:paraId="251D1A48" w14:textId="77777777" w:rsidR="0093115D" w:rsidRPr="00274E0D" w:rsidRDefault="0093115D" w:rsidP="00656AA8">
      <w:pPr>
        <w:pStyle w:val="ListDash1"/>
        <w:rPr>
          <w:noProof/>
        </w:rPr>
      </w:pPr>
      <w:r w:rsidRPr="00274E0D">
        <w:rPr>
          <w:rFonts w:ascii="Wingdings" w:hAnsi="Wingdings"/>
        </w:rPr>
        <w:t></w:t>
      </w:r>
      <w:r w:rsidRPr="00274E0D">
        <w:tab/>
        <w:t xml:space="preserve">Ehdotus/aloite ei edellytä henkilöresursseja. </w:t>
      </w:r>
    </w:p>
    <w:p w14:paraId="6886086E" w14:textId="77777777" w:rsidR="0093115D" w:rsidRPr="00274E0D" w:rsidRDefault="0093115D" w:rsidP="00656AA8">
      <w:pPr>
        <w:pStyle w:val="ListDash1"/>
        <w:rPr>
          <w:noProof/>
        </w:rPr>
      </w:pPr>
      <w:r w:rsidRPr="00274E0D">
        <w:rPr>
          <w:rFonts w:ascii="Wingdings" w:hAnsi="Wingdings"/>
        </w:rPr>
        <w:t></w:t>
      </w:r>
      <w:r w:rsidRPr="00274E0D">
        <w:tab/>
        <w:t>Ehdotus/aloite edellyttää henkilöresursseja seuraavasti:</w:t>
      </w:r>
    </w:p>
    <w:p w14:paraId="78FE60B7" w14:textId="77777777" w:rsidR="0093115D" w:rsidRPr="00274E0D" w:rsidRDefault="0093115D" w:rsidP="00656AA8">
      <w:pPr>
        <w:pStyle w:val="ManualHeading3"/>
        <w:rPr>
          <w:noProof/>
        </w:rPr>
      </w:pPr>
      <w:bookmarkStart w:id="187" w:name="_Toc167220295"/>
      <w:bookmarkStart w:id="188" w:name="_Toc177549028"/>
      <w:r w:rsidRPr="00274E0D">
        <w:t>3.2.4.1.</w:t>
      </w:r>
      <w:r w:rsidRPr="00274E0D">
        <w:tab/>
        <w:t>Hyväksytystä talousarviosta katettavat</w:t>
      </w:r>
      <w:bookmarkEnd w:id="187"/>
      <w:bookmarkEnd w:id="188"/>
    </w:p>
    <w:p w14:paraId="51D136E1" w14:textId="77777777" w:rsidR="0093115D" w:rsidRPr="00274E0D" w:rsidRDefault="0093115D" w:rsidP="00656AA8">
      <w:pPr>
        <w:spacing w:after="60"/>
        <w:jc w:val="right"/>
        <w:rPr>
          <w:i/>
          <w:noProof/>
          <w:sz w:val="20"/>
        </w:rPr>
      </w:pPr>
      <w:r w:rsidRPr="00274E0D">
        <w:rPr>
          <w:i/>
          <w:sz w:val="20"/>
        </w:rPr>
        <w:t>Arvio kokoaikaiseksi henkilöstöksi muutettuna</w:t>
      </w:r>
    </w:p>
    <w:p w14:paraId="62332CE1" w14:textId="77777777" w:rsidR="0093115D" w:rsidRPr="00274E0D" w:rsidRDefault="0093115D" w:rsidP="00656AA8">
      <w:pPr>
        <w:pStyle w:val="Text1"/>
        <w:spacing w:before="60" w:after="60"/>
        <w:ind w:left="-426" w:right="-427"/>
        <w:rPr>
          <w:b/>
          <w:noProof/>
          <w:sz w:val="18"/>
          <w:szCs w:val="18"/>
        </w:rPr>
      </w:pPr>
      <w:bookmarkStart w:id="189" w:name="_Hlk156979231"/>
    </w:p>
    <w:tbl>
      <w:tblPr>
        <w:tblW w:w="5000" w:type="pct"/>
        <w:tblLook w:val="04A0" w:firstRow="1" w:lastRow="0" w:firstColumn="1" w:lastColumn="0" w:noHBand="0" w:noVBand="1"/>
      </w:tblPr>
      <w:tblGrid>
        <w:gridCol w:w="1513"/>
        <w:gridCol w:w="3896"/>
        <w:gridCol w:w="970"/>
        <w:gridCol w:w="970"/>
        <w:gridCol w:w="970"/>
        <w:gridCol w:w="968"/>
      </w:tblGrid>
      <w:tr w:rsidR="0093115D" w:rsidRPr="00274E0D" w14:paraId="3276C803" w14:textId="77777777" w:rsidTr="00434248">
        <w:trPr>
          <w:trHeight w:val="300"/>
        </w:trPr>
        <w:tc>
          <w:tcPr>
            <w:tcW w:w="2912" w:type="pct"/>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604D9717" w14:textId="77777777" w:rsidR="0093115D" w:rsidRPr="00274E0D" w:rsidRDefault="0093115D" w:rsidP="00434248">
            <w:pPr>
              <w:spacing w:before="0" w:after="0"/>
              <w:jc w:val="center"/>
              <w:rPr>
                <w:b/>
                <w:bCs/>
                <w:noProof/>
                <w:color w:val="000000"/>
                <w:sz w:val="18"/>
                <w:szCs w:val="18"/>
              </w:rPr>
            </w:pPr>
            <w:r w:rsidRPr="00274E0D">
              <w:rPr>
                <w:b/>
                <w:color w:val="000000"/>
                <w:sz w:val="18"/>
              </w:rPr>
              <w:t>HYVÄKSYTYT MÄÄRÄRAHAT</w:t>
            </w:r>
          </w:p>
        </w:tc>
        <w:tc>
          <w:tcPr>
            <w:tcW w:w="522" w:type="pct"/>
            <w:tcBorders>
              <w:top w:val="single" w:sz="8" w:space="0" w:color="auto"/>
              <w:left w:val="nil"/>
              <w:bottom w:val="nil"/>
              <w:right w:val="single" w:sz="8" w:space="0" w:color="auto"/>
            </w:tcBorders>
            <w:vAlign w:val="center"/>
            <w:hideMark/>
          </w:tcPr>
          <w:p w14:paraId="1BAA4804"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2" w:type="pct"/>
            <w:tcBorders>
              <w:top w:val="single" w:sz="8" w:space="0" w:color="auto"/>
              <w:left w:val="nil"/>
              <w:bottom w:val="nil"/>
              <w:right w:val="single" w:sz="8" w:space="0" w:color="auto"/>
            </w:tcBorders>
            <w:vAlign w:val="center"/>
            <w:hideMark/>
          </w:tcPr>
          <w:p w14:paraId="6E998230"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2" w:type="pct"/>
            <w:tcBorders>
              <w:top w:val="single" w:sz="8" w:space="0" w:color="auto"/>
              <w:left w:val="nil"/>
              <w:bottom w:val="nil"/>
              <w:right w:val="single" w:sz="8" w:space="0" w:color="auto"/>
            </w:tcBorders>
            <w:vAlign w:val="center"/>
            <w:hideMark/>
          </w:tcPr>
          <w:p w14:paraId="1224693F"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1" w:type="pct"/>
            <w:tcBorders>
              <w:top w:val="single" w:sz="8" w:space="0" w:color="auto"/>
              <w:left w:val="nil"/>
              <w:bottom w:val="nil"/>
              <w:right w:val="single" w:sz="8" w:space="0" w:color="auto"/>
            </w:tcBorders>
            <w:vAlign w:val="center"/>
            <w:hideMark/>
          </w:tcPr>
          <w:p w14:paraId="19E64877"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r>
      <w:tr w:rsidR="0093115D" w:rsidRPr="00274E0D" w14:paraId="078233DA" w14:textId="77777777" w:rsidTr="00434248">
        <w:trPr>
          <w:trHeight w:val="300"/>
        </w:trPr>
        <w:tc>
          <w:tcPr>
            <w:tcW w:w="2912" w:type="pct"/>
            <w:gridSpan w:val="2"/>
            <w:vMerge/>
            <w:vAlign w:val="center"/>
            <w:hideMark/>
          </w:tcPr>
          <w:p w14:paraId="11E3D935" w14:textId="77777777" w:rsidR="0093115D" w:rsidRPr="00274E0D" w:rsidRDefault="0093115D" w:rsidP="00434248">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6D108FFB"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522" w:type="pct"/>
            <w:tcBorders>
              <w:top w:val="nil"/>
              <w:left w:val="nil"/>
              <w:bottom w:val="single" w:sz="8" w:space="0" w:color="auto"/>
              <w:right w:val="single" w:sz="8" w:space="0" w:color="auto"/>
            </w:tcBorders>
            <w:vAlign w:val="center"/>
            <w:hideMark/>
          </w:tcPr>
          <w:p w14:paraId="2F708632"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522" w:type="pct"/>
            <w:tcBorders>
              <w:top w:val="nil"/>
              <w:left w:val="nil"/>
              <w:bottom w:val="single" w:sz="8" w:space="0" w:color="auto"/>
              <w:right w:val="single" w:sz="8" w:space="0" w:color="auto"/>
            </w:tcBorders>
            <w:vAlign w:val="center"/>
            <w:hideMark/>
          </w:tcPr>
          <w:p w14:paraId="0AD9094E"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2026</w:t>
            </w:r>
          </w:p>
        </w:tc>
        <w:tc>
          <w:tcPr>
            <w:tcW w:w="521" w:type="pct"/>
            <w:tcBorders>
              <w:top w:val="nil"/>
              <w:left w:val="nil"/>
              <w:bottom w:val="single" w:sz="8" w:space="0" w:color="auto"/>
              <w:right w:val="single" w:sz="8" w:space="0" w:color="auto"/>
            </w:tcBorders>
            <w:vAlign w:val="center"/>
            <w:hideMark/>
          </w:tcPr>
          <w:p w14:paraId="4346A058" w14:textId="77777777" w:rsidR="0093115D" w:rsidRPr="00274E0D" w:rsidRDefault="0093115D" w:rsidP="00434248">
            <w:pPr>
              <w:spacing w:before="0" w:after="0"/>
              <w:jc w:val="center"/>
              <w:rPr>
                <w:b/>
                <w:bCs/>
                <w:noProof/>
                <w:color w:val="000000" w:themeColor="text1"/>
                <w:sz w:val="20"/>
                <w:szCs w:val="20"/>
              </w:rPr>
            </w:pPr>
            <w:r w:rsidRPr="00274E0D">
              <w:rPr>
                <w:b/>
                <w:color w:val="000000" w:themeColor="text1"/>
                <w:sz w:val="20"/>
              </w:rPr>
              <w:t>2027</w:t>
            </w:r>
          </w:p>
        </w:tc>
      </w:tr>
      <w:tr w:rsidR="0093115D" w:rsidRPr="00274E0D" w14:paraId="4931A0C0"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90BEA8B" w14:textId="77777777" w:rsidR="0093115D" w:rsidRPr="00274E0D" w:rsidRDefault="0093115D" w:rsidP="00434248">
            <w:pPr>
              <w:spacing w:before="0" w:after="0"/>
              <w:jc w:val="left"/>
              <w:rPr>
                <w:rFonts w:ascii="Wingdings" w:hAnsi="Wingdings" w:cs="Calibri"/>
                <w:b/>
                <w:bCs/>
                <w:noProof/>
                <w:color w:val="000000" w:themeColor="text1"/>
                <w:sz w:val="16"/>
                <w:szCs w:val="16"/>
              </w:rPr>
            </w:pPr>
            <w:r w:rsidRPr="00274E0D">
              <w:rPr>
                <w:rFonts w:ascii="Wingdings" w:hAnsi="Wingdings"/>
                <w:b/>
                <w:color w:val="000000" w:themeColor="text1"/>
                <w:sz w:val="16"/>
              </w:rPr>
              <w:t></w:t>
            </w:r>
            <w:r w:rsidRPr="00274E0D">
              <w:t xml:space="preserve"> </w:t>
            </w:r>
            <w:r w:rsidRPr="00274E0D">
              <w:rPr>
                <w:b/>
                <w:color w:val="000000" w:themeColor="text1"/>
                <w:sz w:val="16"/>
              </w:rPr>
              <w:t>Henkilöstötaulukkoon sisältyvät virat/toimet (virkamiehet ja väliaikaiset toimihenkilöt)</w:t>
            </w:r>
          </w:p>
        </w:tc>
      </w:tr>
      <w:tr w:rsidR="0093115D" w:rsidRPr="00274E0D" w14:paraId="54C50084"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0FF0BFD1"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20 01 02 01</w:t>
            </w:r>
            <w:r w:rsidRPr="00274E0D">
              <w:rPr>
                <w:rFonts w:ascii="Arial Narrow" w:hAnsi="Arial Narrow"/>
                <w:color w:val="000000"/>
                <w:sz w:val="20"/>
              </w:rPr>
              <w:t xml:space="preserve"> </w:t>
            </w:r>
            <w:r w:rsidRPr="00274E0D">
              <w:rPr>
                <w:color w:val="000000"/>
                <w:sz w:val="16"/>
              </w:rPr>
              <w:t>(päätoimipaikka ja komission edustustot EU:ssa)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1FB752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6C9B31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2E8E228"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43</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7B390014"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43</w:t>
            </w:r>
          </w:p>
        </w:tc>
      </w:tr>
      <w:tr w:rsidR="0093115D" w:rsidRPr="00274E0D" w14:paraId="5F824008"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24B1AE88"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03 (unionin edustustot)</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F81646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1F6C5A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30A3F09"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10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1B211729"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10</w:t>
            </w:r>
          </w:p>
        </w:tc>
      </w:tr>
      <w:tr w:rsidR="0093115D" w:rsidRPr="00274E0D" w14:paraId="5C9B8084"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22DF5F54"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01 01 01 01</w:t>
            </w:r>
            <w:r w:rsidRPr="00274E0D">
              <w:rPr>
                <w:rFonts w:ascii="Arial Narrow" w:hAnsi="Arial Narrow"/>
                <w:color w:val="000000"/>
                <w:sz w:val="20"/>
              </w:rPr>
              <w:t xml:space="preserve"> </w:t>
            </w:r>
            <w:r w:rsidRPr="00274E0D">
              <w:rPr>
                <w:color w:val="000000"/>
                <w:sz w:val="16"/>
              </w:rPr>
              <w:t>(epäsuora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E58ECF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48866B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FD9A5B1"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3BB65303"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2D79B44F"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549E2D68"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11 (suora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340C65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707114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5300BF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7F48F8B2"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7A2AAF7E"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3107070D"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5A65B1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A011AE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7720DDF"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1D8B0AD1"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2D76B416"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529B5E1F" w14:textId="77777777" w:rsidR="0093115D" w:rsidRPr="00274E0D" w:rsidRDefault="0093115D" w:rsidP="00434248">
            <w:pPr>
              <w:spacing w:before="0" w:after="0"/>
              <w:jc w:val="left"/>
              <w:rPr>
                <w:rFonts w:ascii="Wingdings" w:hAnsi="Wingdings" w:cs="Calibri"/>
                <w:b/>
                <w:bCs/>
                <w:noProof/>
                <w:color w:val="000000" w:themeColor="text1"/>
                <w:sz w:val="16"/>
                <w:szCs w:val="16"/>
              </w:rPr>
            </w:pPr>
            <w:r w:rsidRPr="00274E0D">
              <w:rPr>
                <w:b/>
                <w:color w:val="000000" w:themeColor="text1"/>
                <w:sz w:val="16"/>
              </w:rPr>
              <w:t>• Ulkopuolinen henkilöstö (kokoaikaiseksi muutettuna)</w:t>
            </w:r>
          </w:p>
        </w:tc>
      </w:tr>
      <w:tr w:rsidR="0093115D" w:rsidRPr="00274E0D" w14:paraId="294666AE"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3DE78E41"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20 02 01</w:t>
            </w:r>
            <w:r w:rsidRPr="00274E0D">
              <w:rPr>
                <w:rFonts w:ascii="Arial Narrow" w:hAnsi="Arial Narrow"/>
                <w:color w:val="000000"/>
                <w:sz w:val="20"/>
              </w:rPr>
              <w:t xml:space="preserve"> </w:t>
            </w:r>
            <w:r w:rsidRPr="00274E0D">
              <w:rPr>
                <w:color w:val="000000"/>
                <w:sz w:val="16"/>
              </w:rPr>
              <w:t>(kokonaismäärärahoista katettavat sopimussuhteiset toimihenkilöt ja kansalliset asiantuntijat)</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7491A6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A876DA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886D0B9"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2</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77022B5C"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2</w:t>
            </w:r>
          </w:p>
        </w:tc>
      </w:tr>
      <w:tr w:rsidR="0093115D" w:rsidRPr="00274E0D" w14:paraId="0C25BE82"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0CDDD73D"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03 (sopimussuhteiset ja paikalliset toimihenkilöt, kansalliset asiantuntijat ja nuoremmat asiantuntijat unionin edustustoissa)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596F137"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AB08B57"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61DE89E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315E5D15"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76C1D079" w14:textId="77777777" w:rsidTr="00434248">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1F0A2678" w14:textId="77777777" w:rsidR="0093115D" w:rsidRPr="00274E0D" w:rsidRDefault="0093115D" w:rsidP="00434248">
            <w:pPr>
              <w:spacing w:before="0" w:after="0"/>
              <w:jc w:val="center"/>
              <w:rPr>
                <w:noProof/>
                <w:color w:val="000000"/>
                <w:sz w:val="16"/>
                <w:szCs w:val="16"/>
              </w:rPr>
            </w:pPr>
            <w:r w:rsidRPr="00274E0D">
              <w:rPr>
                <w:color w:val="000000"/>
                <w:sz w:val="16"/>
              </w:rPr>
              <w:t>Hallinnollisen tuen budjettikohta [XX.01.YY.YY]</w:t>
            </w:r>
          </w:p>
        </w:tc>
        <w:tc>
          <w:tcPr>
            <w:tcW w:w="2098" w:type="pct"/>
            <w:tcBorders>
              <w:top w:val="nil"/>
              <w:left w:val="nil"/>
              <w:bottom w:val="single" w:sz="8" w:space="0" w:color="auto"/>
              <w:right w:val="single" w:sz="8" w:space="0" w:color="auto"/>
            </w:tcBorders>
            <w:vAlign w:val="center"/>
            <w:hideMark/>
          </w:tcPr>
          <w:p w14:paraId="637287A2"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päätoimipaikassa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BCA3AF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8455C97"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7FDE98A"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62F5476B"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7AA4A078" w14:textId="77777777" w:rsidTr="00434248">
        <w:trPr>
          <w:trHeight w:val="300"/>
        </w:trPr>
        <w:tc>
          <w:tcPr>
            <w:tcW w:w="815" w:type="pct"/>
            <w:vMerge/>
            <w:vAlign w:val="center"/>
            <w:hideMark/>
          </w:tcPr>
          <w:p w14:paraId="0467B4C9" w14:textId="77777777" w:rsidR="0093115D" w:rsidRPr="00274E0D" w:rsidRDefault="0093115D" w:rsidP="00434248">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98F3C31"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unionin edustustoissa </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704EDF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32A8948"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1E1537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0C4CD56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08C8C43E"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18AD0EB0"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01 01 01 02</w:t>
            </w:r>
            <w:r w:rsidRPr="00274E0D">
              <w:rPr>
                <w:rFonts w:ascii="Arial Narrow" w:hAnsi="Arial Narrow"/>
                <w:color w:val="000000"/>
                <w:sz w:val="20"/>
              </w:rPr>
              <w:t xml:space="preserve"> </w:t>
            </w:r>
            <w:r w:rsidRPr="00274E0D">
              <w:rPr>
                <w:color w:val="000000"/>
                <w:sz w:val="16"/>
              </w:rPr>
              <w:t>(sopimussuhteiset toimihenkilöt ja kansalliset asiantuntijat – epäsuora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219296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A56992E"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73F531A"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6363DAAB"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3834E577"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191D2424"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01 01 01 12 (sopimussuhteiset toimihenkilöt ja kansalliset asiantuntijat – suora tutkimustoiminta)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E00339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38C8491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6A94016"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560C7D6F"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165489F8"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6053CD69"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Otsake 7</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9FC246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90DC63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107AA977"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4CC40083"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0C3C13F5"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443DA38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Otsakkeen 7 ulkopuolella</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0BB7EB08"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29C05C16"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3998B16"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4479B5B1"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73A223AB" w14:textId="77777777" w:rsidTr="00434248">
        <w:trPr>
          <w:trHeight w:val="300"/>
        </w:trPr>
        <w:tc>
          <w:tcPr>
            <w:tcW w:w="2912" w:type="pct"/>
            <w:gridSpan w:val="2"/>
            <w:tcBorders>
              <w:top w:val="single" w:sz="8" w:space="0" w:color="auto"/>
              <w:left w:val="single" w:sz="8" w:space="0" w:color="auto"/>
              <w:bottom w:val="single" w:sz="8" w:space="0" w:color="auto"/>
              <w:right w:val="single" w:sz="8" w:space="0" w:color="auto"/>
            </w:tcBorders>
            <w:vAlign w:val="center"/>
            <w:hideMark/>
          </w:tcPr>
          <w:p w14:paraId="77D64A82" w14:textId="77777777" w:rsidR="0093115D" w:rsidRPr="00274E0D" w:rsidRDefault="0093115D" w:rsidP="00434248">
            <w:pPr>
              <w:spacing w:before="0" w:after="0"/>
              <w:ind w:firstLineChars="100" w:firstLine="161"/>
              <w:jc w:val="left"/>
              <w:rPr>
                <w:b/>
                <w:bCs/>
                <w:noProof/>
                <w:color w:val="000000"/>
                <w:sz w:val="16"/>
                <w:szCs w:val="16"/>
              </w:rPr>
            </w:pPr>
            <w:r w:rsidRPr="00274E0D">
              <w:rPr>
                <w:b/>
                <w:color w:val="000000"/>
                <w:sz w:val="16"/>
              </w:rPr>
              <w:t>YHTEENSÄ</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72F55961"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4972DDB1"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522" w:type="pct"/>
            <w:tcBorders>
              <w:top w:val="nil"/>
              <w:left w:val="nil"/>
              <w:bottom w:val="single" w:sz="8" w:space="0" w:color="auto"/>
              <w:right w:val="single" w:sz="8" w:space="0" w:color="auto"/>
            </w:tcBorders>
            <w:shd w:val="clear" w:color="auto" w:fill="D9D9D9" w:themeFill="background1" w:themeFillShade="D9"/>
            <w:vAlign w:val="center"/>
            <w:hideMark/>
          </w:tcPr>
          <w:p w14:paraId="56AFA817"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55</w:t>
            </w:r>
          </w:p>
        </w:tc>
        <w:tc>
          <w:tcPr>
            <w:tcW w:w="521" w:type="pct"/>
            <w:tcBorders>
              <w:top w:val="nil"/>
              <w:left w:val="nil"/>
              <w:bottom w:val="single" w:sz="8" w:space="0" w:color="auto"/>
              <w:right w:val="single" w:sz="8" w:space="0" w:color="auto"/>
            </w:tcBorders>
            <w:shd w:val="clear" w:color="auto" w:fill="D9D9D9" w:themeFill="background1" w:themeFillShade="D9"/>
            <w:vAlign w:val="center"/>
            <w:hideMark/>
          </w:tcPr>
          <w:p w14:paraId="2BD05D90"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55</w:t>
            </w:r>
          </w:p>
        </w:tc>
      </w:tr>
    </w:tbl>
    <w:p w14:paraId="2E3F4677" w14:textId="77777777" w:rsidR="0093115D" w:rsidRPr="00274E0D" w:rsidRDefault="0093115D" w:rsidP="00656AA8">
      <w:pPr>
        <w:pStyle w:val="ManualHeading3"/>
        <w:rPr>
          <w:noProof/>
        </w:rPr>
      </w:pPr>
      <w:bookmarkStart w:id="190" w:name="_Toc167220296"/>
      <w:bookmarkStart w:id="191" w:name="_Toc177549029"/>
      <w:r w:rsidRPr="00274E0D">
        <w:t>3.2.4.2.</w:t>
      </w:r>
      <w:r w:rsidRPr="00274E0D">
        <w:tab/>
        <w:t>Ulkoisilla käyttötarkoitukseensa sidotuilla tuloilla katettavat</w:t>
      </w:r>
      <w:bookmarkEnd w:id="190"/>
      <w:bookmarkEnd w:id="191"/>
    </w:p>
    <w:tbl>
      <w:tblPr>
        <w:tblW w:w="5000" w:type="pct"/>
        <w:tblLook w:val="04A0" w:firstRow="1" w:lastRow="0" w:firstColumn="1" w:lastColumn="0" w:noHBand="0" w:noVBand="1"/>
      </w:tblPr>
      <w:tblGrid>
        <w:gridCol w:w="1513"/>
        <w:gridCol w:w="3896"/>
        <w:gridCol w:w="970"/>
        <w:gridCol w:w="970"/>
        <w:gridCol w:w="970"/>
        <w:gridCol w:w="968"/>
      </w:tblGrid>
      <w:tr w:rsidR="0093115D" w:rsidRPr="00274E0D" w14:paraId="0CA4A27D" w14:textId="77777777" w:rsidTr="00434248">
        <w:trPr>
          <w:trHeight w:val="300"/>
        </w:trPr>
        <w:tc>
          <w:tcPr>
            <w:tcW w:w="2913" w:type="pct"/>
            <w:gridSpan w:val="2"/>
            <w:vMerge w:val="restart"/>
            <w:tcBorders>
              <w:top w:val="single" w:sz="8" w:space="0" w:color="auto"/>
              <w:left w:val="single" w:sz="8" w:space="0" w:color="auto"/>
              <w:bottom w:val="single" w:sz="8" w:space="0" w:color="000000"/>
              <w:right w:val="single" w:sz="8" w:space="0" w:color="000000"/>
            </w:tcBorders>
            <w:vAlign w:val="center"/>
            <w:hideMark/>
          </w:tcPr>
          <w:p w14:paraId="4C7F1A12" w14:textId="77777777" w:rsidR="0093115D" w:rsidRPr="00274E0D" w:rsidRDefault="0093115D" w:rsidP="00434248">
            <w:pPr>
              <w:spacing w:before="0" w:after="0"/>
              <w:jc w:val="center"/>
              <w:rPr>
                <w:b/>
                <w:bCs/>
                <w:noProof/>
                <w:color w:val="000000"/>
                <w:sz w:val="18"/>
                <w:szCs w:val="18"/>
              </w:rPr>
            </w:pPr>
            <w:r w:rsidRPr="00274E0D">
              <w:rPr>
                <w:b/>
                <w:color w:val="000000"/>
                <w:sz w:val="18"/>
              </w:rPr>
              <w:t>ULKOISET KÄYTTÖTARKOITUKSEENSA SIDOTUT TULOT</w:t>
            </w:r>
          </w:p>
        </w:tc>
        <w:tc>
          <w:tcPr>
            <w:tcW w:w="522" w:type="pct"/>
            <w:tcBorders>
              <w:top w:val="single" w:sz="8" w:space="0" w:color="auto"/>
              <w:left w:val="nil"/>
              <w:bottom w:val="nil"/>
              <w:right w:val="single" w:sz="8" w:space="0" w:color="auto"/>
            </w:tcBorders>
            <w:vAlign w:val="center"/>
            <w:hideMark/>
          </w:tcPr>
          <w:p w14:paraId="43181262"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2" w:type="pct"/>
            <w:tcBorders>
              <w:top w:val="single" w:sz="8" w:space="0" w:color="auto"/>
              <w:left w:val="nil"/>
              <w:bottom w:val="nil"/>
              <w:right w:val="single" w:sz="8" w:space="0" w:color="auto"/>
            </w:tcBorders>
            <w:vAlign w:val="center"/>
            <w:hideMark/>
          </w:tcPr>
          <w:p w14:paraId="0D861E62"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2" w:type="pct"/>
            <w:tcBorders>
              <w:top w:val="single" w:sz="8" w:space="0" w:color="auto"/>
              <w:left w:val="nil"/>
              <w:bottom w:val="nil"/>
              <w:right w:val="single" w:sz="8" w:space="0" w:color="auto"/>
            </w:tcBorders>
            <w:vAlign w:val="center"/>
            <w:hideMark/>
          </w:tcPr>
          <w:p w14:paraId="6D4854D7"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522" w:type="pct"/>
            <w:tcBorders>
              <w:top w:val="single" w:sz="8" w:space="0" w:color="auto"/>
              <w:left w:val="nil"/>
              <w:bottom w:val="nil"/>
              <w:right w:val="single" w:sz="8" w:space="0" w:color="auto"/>
            </w:tcBorders>
            <w:vAlign w:val="center"/>
            <w:hideMark/>
          </w:tcPr>
          <w:p w14:paraId="0AEBA1A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r>
      <w:tr w:rsidR="0093115D" w:rsidRPr="00274E0D" w14:paraId="662B4890" w14:textId="77777777" w:rsidTr="00434248">
        <w:trPr>
          <w:trHeight w:val="300"/>
        </w:trPr>
        <w:tc>
          <w:tcPr>
            <w:tcW w:w="2913" w:type="pct"/>
            <w:gridSpan w:val="2"/>
            <w:vMerge/>
            <w:tcBorders>
              <w:top w:val="single" w:sz="8" w:space="0" w:color="auto"/>
              <w:left w:val="single" w:sz="8" w:space="0" w:color="auto"/>
              <w:bottom w:val="single" w:sz="8" w:space="0" w:color="auto"/>
              <w:right w:val="single" w:sz="8" w:space="0" w:color="000000"/>
            </w:tcBorders>
            <w:vAlign w:val="center"/>
            <w:hideMark/>
          </w:tcPr>
          <w:p w14:paraId="22FA58B3" w14:textId="77777777" w:rsidR="0093115D" w:rsidRPr="00274E0D" w:rsidRDefault="0093115D" w:rsidP="00434248">
            <w:pPr>
              <w:spacing w:before="0" w:after="0"/>
              <w:jc w:val="left"/>
              <w:rPr>
                <w:b/>
                <w:bCs/>
                <w:noProof/>
                <w:color w:val="000000"/>
                <w:sz w:val="18"/>
                <w:szCs w:val="18"/>
                <w:lang w:eastAsia="en-IE"/>
              </w:rPr>
            </w:pPr>
          </w:p>
        </w:tc>
        <w:tc>
          <w:tcPr>
            <w:tcW w:w="522" w:type="pct"/>
            <w:tcBorders>
              <w:top w:val="nil"/>
              <w:left w:val="nil"/>
              <w:bottom w:val="single" w:sz="8" w:space="0" w:color="auto"/>
              <w:right w:val="single" w:sz="8" w:space="0" w:color="auto"/>
            </w:tcBorders>
            <w:vAlign w:val="center"/>
            <w:hideMark/>
          </w:tcPr>
          <w:p w14:paraId="792982D9"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522" w:type="pct"/>
            <w:tcBorders>
              <w:top w:val="nil"/>
              <w:left w:val="nil"/>
              <w:bottom w:val="single" w:sz="8" w:space="0" w:color="auto"/>
              <w:right w:val="single" w:sz="8" w:space="0" w:color="auto"/>
            </w:tcBorders>
            <w:vAlign w:val="center"/>
            <w:hideMark/>
          </w:tcPr>
          <w:p w14:paraId="488DA509"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522" w:type="pct"/>
            <w:tcBorders>
              <w:top w:val="nil"/>
              <w:left w:val="nil"/>
              <w:bottom w:val="single" w:sz="8" w:space="0" w:color="auto"/>
              <w:right w:val="single" w:sz="8" w:space="0" w:color="auto"/>
            </w:tcBorders>
            <w:vAlign w:val="center"/>
            <w:hideMark/>
          </w:tcPr>
          <w:p w14:paraId="7D011AD0"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522" w:type="pct"/>
            <w:tcBorders>
              <w:top w:val="nil"/>
              <w:left w:val="nil"/>
              <w:bottom w:val="single" w:sz="8" w:space="0" w:color="auto"/>
              <w:right w:val="single" w:sz="8" w:space="0" w:color="auto"/>
            </w:tcBorders>
            <w:vAlign w:val="center"/>
            <w:hideMark/>
          </w:tcPr>
          <w:p w14:paraId="2E6EA7E2"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r>
      <w:tr w:rsidR="0093115D" w:rsidRPr="00274E0D" w14:paraId="7BEE8F94"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58BB6BF" w14:textId="77777777" w:rsidR="0093115D" w:rsidRPr="00274E0D" w:rsidRDefault="0093115D" w:rsidP="00434248">
            <w:pPr>
              <w:spacing w:before="0" w:after="0"/>
              <w:jc w:val="left"/>
              <w:rPr>
                <w:rFonts w:ascii="Wingdings" w:hAnsi="Wingdings" w:cs="Calibri"/>
                <w:b/>
                <w:bCs/>
                <w:noProof/>
                <w:color w:val="000000"/>
                <w:sz w:val="16"/>
                <w:szCs w:val="16"/>
              </w:rPr>
            </w:pPr>
            <w:r w:rsidRPr="00274E0D">
              <w:rPr>
                <w:rFonts w:ascii="Wingdings" w:hAnsi="Wingdings"/>
                <w:b/>
                <w:color w:val="000000"/>
                <w:sz w:val="16"/>
              </w:rPr>
              <w:t></w:t>
            </w:r>
            <w:r w:rsidRPr="00274E0D">
              <w:t xml:space="preserve"> </w:t>
            </w:r>
            <w:r w:rsidRPr="00274E0D">
              <w:rPr>
                <w:b/>
                <w:color w:val="000000"/>
                <w:sz w:val="16"/>
              </w:rPr>
              <w:t>Henkilöstötaulukkoon sisältyvät virat/toimet (virkamiehet ja väliaikaiset toimihenkilöt)</w:t>
            </w:r>
          </w:p>
        </w:tc>
      </w:tr>
      <w:tr w:rsidR="0093115D" w:rsidRPr="00274E0D" w14:paraId="5FDC5D27"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A072AF0"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20 01 02 01</w:t>
            </w:r>
            <w:r w:rsidRPr="00274E0D">
              <w:rPr>
                <w:rFonts w:ascii="Arial Narrow" w:hAnsi="Arial Narrow"/>
                <w:color w:val="000000"/>
                <w:sz w:val="20"/>
              </w:rPr>
              <w:t xml:space="preserve"> </w:t>
            </w:r>
            <w:r w:rsidRPr="00274E0D">
              <w:rPr>
                <w:color w:val="000000"/>
                <w:sz w:val="16"/>
              </w:rPr>
              <w:t>(päätoimipaikka ja komission edustustot EU:ssa)</w:t>
            </w:r>
          </w:p>
        </w:tc>
        <w:tc>
          <w:tcPr>
            <w:tcW w:w="522" w:type="pct"/>
            <w:tcBorders>
              <w:top w:val="nil"/>
              <w:left w:val="nil"/>
              <w:bottom w:val="single" w:sz="8" w:space="0" w:color="auto"/>
              <w:right w:val="single" w:sz="8" w:space="0" w:color="auto"/>
            </w:tcBorders>
            <w:shd w:val="clear" w:color="000000" w:fill="D9D9D9"/>
            <w:vAlign w:val="center"/>
            <w:hideMark/>
          </w:tcPr>
          <w:p w14:paraId="5006EA9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4618B0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D204B6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AF9E53D"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4BD8414C"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3EE9516"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03 (unionin edustustot)</w:t>
            </w:r>
          </w:p>
        </w:tc>
        <w:tc>
          <w:tcPr>
            <w:tcW w:w="522" w:type="pct"/>
            <w:tcBorders>
              <w:top w:val="nil"/>
              <w:left w:val="nil"/>
              <w:bottom w:val="single" w:sz="8" w:space="0" w:color="auto"/>
              <w:right w:val="single" w:sz="8" w:space="0" w:color="auto"/>
            </w:tcBorders>
            <w:shd w:val="clear" w:color="000000" w:fill="D9D9D9"/>
            <w:vAlign w:val="center"/>
            <w:hideMark/>
          </w:tcPr>
          <w:p w14:paraId="12DA206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5198D6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052393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D694DBD"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1DC5B0DD"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24DE158"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01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14:paraId="40CAB38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B57061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4922A8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6755188"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022A4200"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441EDBB0"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11 (suora tutkimustoiminta)</w:t>
            </w:r>
          </w:p>
        </w:tc>
        <w:tc>
          <w:tcPr>
            <w:tcW w:w="522" w:type="pct"/>
            <w:tcBorders>
              <w:top w:val="nil"/>
              <w:left w:val="nil"/>
              <w:bottom w:val="single" w:sz="8" w:space="0" w:color="auto"/>
              <w:right w:val="single" w:sz="8" w:space="0" w:color="auto"/>
            </w:tcBorders>
            <w:shd w:val="clear" w:color="000000" w:fill="D9D9D9"/>
            <w:vAlign w:val="center"/>
            <w:hideMark/>
          </w:tcPr>
          <w:p w14:paraId="6EDEBAC3"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1AFC42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F04C2A3"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4ABE983"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3EAA4957"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A32B3C5"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w:t>
            </w:r>
          </w:p>
        </w:tc>
        <w:tc>
          <w:tcPr>
            <w:tcW w:w="522" w:type="pct"/>
            <w:tcBorders>
              <w:top w:val="nil"/>
              <w:left w:val="nil"/>
              <w:bottom w:val="single" w:sz="8" w:space="0" w:color="auto"/>
              <w:right w:val="single" w:sz="8" w:space="0" w:color="auto"/>
            </w:tcBorders>
            <w:shd w:val="clear" w:color="000000" w:fill="D9D9D9"/>
            <w:vAlign w:val="center"/>
            <w:hideMark/>
          </w:tcPr>
          <w:p w14:paraId="7627682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0D2A97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CBCB85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F7ACBB"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2E68083C" w14:textId="77777777" w:rsidTr="00434248">
        <w:trPr>
          <w:trHeight w:val="300"/>
        </w:trPr>
        <w:tc>
          <w:tcPr>
            <w:tcW w:w="5000" w:type="pct"/>
            <w:gridSpan w:val="6"/>
            <w:tcBorders>
              <w:top w:val="single" w:sz="8" w:space="0" w:color="auto"/>
              <w:left w:val="single" w:sz="8" w:space="0" w:color="auto"/>
              <w:bottom w:val="single" w:sz="8" w:space="0" w:color="auto"/>
              <w:right w:val="single" w:sz="4" w:space="0" w:color="auto"/>
            </w:tcBorders>
            <w:vAlign w:val="center"/>
            <w:hideMark/>
          </w:tcPr>
          <w:p w14:paraId="25CC6C6B" w14:textId="77777777" w:rsidR="0093115D" w:rsidRPr="00274E0D" w:rsidRDefault="0093115D" w:rsidP="00434248">
            <w:pPr>
              <w:spacing w:before="0" w:after="0"/>
              <w:jc w:val="left"/>
              <w:rPr>
                <w:rFonts w:ascii="Wingdings" w:hAnsi="Wingdings" w:cs="Calibri"/>
                <w:b/>
                <w:bCs/>
                <w:noProof/>
                <w:color w:val="000000"/>
                <w:sz w:val="16"/>
                <w:szCs w:val="16"/>
              </w:rPr>
            </w:pPr>
            <w:r w:rsidRPr="00274E0D">
              <w:rPr>
                <w:rFonts w:ascii="Calibri" w:hAnsi="Calibri"/>
                <w:b/>
                <w:color w:val="000000"/>
                <w:sz w:val="16"/>
              </w:rPr>
              <w:t>•</w:t>
            </w:r>
            <w:r w:rsidRPr="00274E0D">
              <w:rPr>
                <w:b/>
                <w:color w:val="000000"/>
                <w:sz w:val="16"/>
              </w:rPr>
              <w:t xml:space="preserve"> Ulkopuolinen henkilöstö (kokoaikaiseksi muutettuna)</w:t>
            </w:r>
          </w:p>
        </w:tc>
      </w:tr>
      <w:tr w:rsidR="0093115D" w:rsidRPr="00274E0D" w14:paraId="0D2EB9AF"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810A496"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20 02 01</w:t>
            </w:r>
            <w:r w:rsidRPr="00274E0D">
              <w:rPr>
                <w:rFonts w:ascii="Arial Narrow" w:hAnsi="Arial Narrow"/>
                <w:color w:val="000000"/>
                <w:sz w:val="20"/>
              </w:rPr>
              <w:t xml:space="preserve"> </w:t>
            </w:r>
            <w:r w:rsidRPr="00274E0D">
              <w:rPr>
                <w:color w:val="000000"/>
                <w:sz w:val="16"/>
              </w:rPr>
              <w:t>(kokonaismäärärahoista katettavat sopimussuhteiset toimihenkilöt ja kansalliset asiantuntijat)</w:t>
            </w:r>
          </w:p>
        </w:tc>
        <w:tc>
          <w:tcPr>
            <w:tcW w:w="522" w:type="pct"/>
            <w:tcBorders>
              <w:top w:val="nil"/>
              <w:left w:val="nil"/>
              <w:bottom w:val="single" w:sz="8" w:space="0" w:color="auto"/>
              <w:right w:val="single" w:sz="8" w:space="0" w:color="auto"/>
            </w:tcBorders>
            <w:shd w:val="clear" w:color="000000" w:fill="D9D9D9"/>
            <w:vAlign w:val="center"/>
            <w:hideMark/>
          </w:tcPr>
          <w:p w14:paraId="6186F09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C8085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F4389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82BA391"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7909835F"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54963767"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03 (sopimussuhteiset ja paikalliset toimihenkilöt, kansalliset asiantuntijat ja nuoremmat asiantuntijat unionin edustustoissa)</w:t>
            </w:r>
          </w:p>
        </w:tc>
        <w:tc>
          <w:tcPr>
            <w:tcW w:w="522" w:type="pct"/>
            <w:tcBorders>
              <w:top w:val="nil"/>
              <w:left w:val="nil"/>
              <w:bottom w:val="single" w:sz="8" w:space="0" w:color="auto"/>
              <w:right w:val="single" w:sz="8" w:space="0" w:color="auto"/>
            </w:tcBorders>
            <w:shd w:val="clear" w:color="000000" w:fill="D9D9D9"/>
            <w:vAlign w:val="center"/>
            <w:hideMark/>
          </w:tcPr>
          <w:p w14:paraId="21D8598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3EFC4E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06257A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7C91A79"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7E56876C" w14:textId="77777777" w:rsidTr="00434248">
        <w:trPr>
          <w:trHeight w:val="300"/>
        </w:trPr>
        <w:tc>
          <w:tcPr>
            <w:tcW w:w="815" w:type="pct"/>
            <w:vMerge w:val="restart"/>
            <w:tcBorders>
              <w:top w:val="nil"/>
              <w:left w:val="single" w:sz="8" w:space="0" w:color="auto"/>
              <w:bottom w:val="single" w:sz="8" w:space="0" w:color="auto"/>
              <w:right w:val="single" w:sz="8" w:space="0" w:color="auto"/>
            </w:tcBorders>
            <w:vAlign w:val="center"/>
            <w:hideMark/>
          </w:tcPr>
          <w:p w14:paraId="7D01D79B" w14:textId="77777777" w:rsidR="0093115D" w:rsidRPr="00274E0D" w:rsidRDefault="0093115D" w:rsidP="00434248">
            <w:pPr>
              <w:spacing w:before="0" w:after="0"/>
              <w:jc w:val="center"/>
              <w:rPr>
                <w:noProof/>
                <w:color w:val="000000"/>
                <w:sz w:val="16"/>
                <w:szCs w:val="16"/>
              </w:rPr>
            </w:pPr>
            <w:r w:rsidRPr="00274E0D">
              <w:rPr>
                <w:color w:val="000000"/>
                <w:sz w:val="16"/>
              </w:rPr>
              <w:t>Hallinnollisen tuen budjettikohta [XX.01.YY.YY]</w:t>
            </w:r>
          </w:p>
        </w:tc>
        <w:tc>
          <w:tcPr>
            <w:tcW w:w="2098" w:type="pct"/>
            <w:tcBorders>
              <w:top w:val="nil"/>
              <w:left w:val="nil"/>
              <w:bottom w:val="single" w:sz="8" w:space="0" w:color="auto"/>
              <w:right w:val="single" w:sz="8" w:space="0" w:color="auto"/>
            </w:tcBorders>
            <w:vAlign w:val="center"/>
            <w:hideMark/>
          </w:tcPr>
          <w:p w14:paraId="4AB95E81"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päätoimipaikassa</w:t>
            </w:r>
          </w:p>
        </w:tc>
        <w:tc>
          <w:tcPr>
            <w:tcW w:w="522" w:type="pct"/>
            <w:tcBorders>
              <w:top w:val="nil"/>
              <w:left w:val="nil"/>
              <w:bottom w:val="single" w:sz="8" w:space="0" w:color="auto"/>
              <w:right w:val="single" w:sz="8" w:space="0" w:color="auto"/>
            </w:tcBorders>
            <w:shd w:val="clear" w:color="000000" w:fill="D9D9D9"/>
            <w:vAlign w:val="center"/>
            <w:hideMark/>
          </w:tcPr>
          <w:p w14:paraId="446B44D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23BEA7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F9F416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B9C1822"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6B745BEA" w14:textId="77777777" w:rsidTr="00434248">
        <w:trPr>
          <w:trHeight w:val="300"/>
        </w:trPr>
        <w:tc>
          <w:tcPr>
            <w:tcW w:w="815" w:type="pct"/>
            <w:vMerge/>
            <w:tcBorders>
              <w:top w:val="nil"/>
              <w:left w:val="single" w:sz="8" w:space="0" w:color="auto"/>
              <w:bottom w:val="single" w:sz="8" w:space="0" w:color="auto"/>
              <w:right w:val="single" w:sz="8" w:space="0" w:color="auto"/>
            </w:tcBorders>
            <w:vAlign w:val="center"/>
            <w:hideMark/>
          </w:tcPr>
          <w:p w14:paraId="5896277B" w14:textId="77777777" w:rsidR="0093115D" w:rsidRPr="00274E0D" w:rsidRDefault="0093115D" w:rsidP="00434248">
            <w:pPr>
              <w:spacing w:before="0" w:after="0"/>
              <w:jc w:val="left"/>
              <w:rPr>
                <w:noProof/>
                <w:color w:val="000000"/>
                <w:sz w:val="16"/>
                <w:szCs w:val="16"/>
                <w:lang w:eastAsia="en-IE"/>
              </w:rPr>
            </w:pPr>
          </w:p>
        </w:tc>
        <w:tc>
          <w:tcPr>
            <w:tcW w:w="2098" w:type="pct"/>
            <w:tcBorders>
              <w:top w:val="nil"/>
              <w:left w:val="nil"/>
              <w:bottom w:val="single" w:sz="8" w:space="0" w:color="auto"/>
              <w:right w:val="single" w:sz="8" w:space="0" w:color="auto"/>
            </w:tcBorders>
            <w:vAlign w:val="center"/>
            <w:hideMark/>
          </w:tcPr>
          <w:p w14:paraId="13756D3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unionin edustustoissa </w:t>
            </w:r>
          </w:p>
        </w:tc>
        <w:tc>
          <w:tcPr>
            <w:tcW w:w="522" w:type="pct"/>
            <w:tcBorders>
              <w:top w:val="nil"/>
              <w:left w:val="nil"/>
              <w:bottom w:val="single" w:sz="8" w:space="0" w:color="auto"/>
              <w:right w:val="single" w:sz="8" w:space="0" w:color="auto"/>
            </w:tcBorders>
            <w:shd w:val="clear" w:color="000000" w:fill="D9D9D9"/>
            <w:vAlign w:val="center"/>
            <w:hideMark/>
          </w:tcPr>
          <w:p w14:paraId="1AEC3838"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7335704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6420DC2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BABDE19"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74E8406F"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69F7235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lastRenderedPageBreak/>
              <w:t>01 01 01 02</w:t>
            </w:r>
            <w:r w:rsidRPr="00274E0D">
              <w:rPr>
                <w:rFonts w:ascii="Arial Narrow" w:hAnsi="Arial Narrow"/>
                <w:color w:val="000000"/>
                <w:sz w:val="20"/>
              </w:rPr>
              <w:t xml:space="preserve"> </w:t>
            </w:r>
            <w:r w:rsidRPr="00274E0D">
              <w:rPr>
                <w:color w:val="000000"/>
                <w:sz w:val="16"/>
              </w:rPr>
              <w:t>(sopimussuhteiset toimihenkilöt ja kansalliset asiantuntijat – epäsuora tutkimustoiminta)</w:t>
            </w:r>
          </w:p>
        </w:tc>
        <w:tc>
          <w:tcPr>
            <w:tcW w:w="522" w:type="pct"/>
            <w:tcBorders>
              <w:top w:val="nil"/>
              <w:left w:val="nil"/>
              <w:bottom w:val="single" w:sz="8" w:space="0" w:color="auto"/>
              <w:right w:val="single" w:sz="8" w:space="0" w:color="auto"/>
            </w:tcBorders>
            <w:shd w:val="clear" w:color="000000" w:fill="D9D9D9"/>
            <w:vAlign w:val="center"/>
            <w:hideMark/>
          </w:tcPr>
          <w:p w14:paraId="491443E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7EF48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06789F11"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C7AFA7C"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02AC4D7E"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0CFCD6E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01 01 01 12 (sopimussuhteiset toimihenkilöt ja kansalliset asiantuntijat – suora tutkimustoiminta)</w:t>
            </w:r>
          </w:p>
        </w:tc>
        <w:tc>
          <w:tcPr>
            <w:tcW w:w="522" w:type="pct"/>
            <w:tcBorders>
              <w:top w:val="nil"/>
              <w:left w:val="nil"/>
              <w:bottom w:val="single" w:sz="8" w:space="0" w:color="auto"/>
              <w:right w:val="single" w:sz="8" w:space="0" w:color="auto"/>
            </w:tcBorders>
            <w:shd w:val="clear" w:color="000000" w:fill="D9D9D9"/>
            <w:vAlign w:val="center"/>
            <w:hideMark/>
          </w:tcPr>
          <w:p w14:paraId="5ACD9AC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CB6F6D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22790C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2EB29B8"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5CEA57EF"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7257F7D"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Otsake 7</w:t>
            </w:r>
          </w:p>
        </w:tc>
        <w:tc>
          <w:tcPr>
            <w:tcW w:w="522" w:type="pct"/>
            <w:tcBorders>
              <w:top w:val="nil"/>
              <w:left w:val="nil"/>
              <w:bottom w:val="single" w:sz="8" w:space="0" w:color="auto"/>
              <w:right w:val="single" w:sz="8" w:space="0" w:color="auto"/>
            </w:tcBorders>
            <w:shd w:val="clear" w:color="000000" w:fill="D9D9D9"/>
            <w:vAlign w:val="center"/>
            <w:hideMark/>
          </w:tcPr>
          <w:p w14:paraId="6498B866"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1E717A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983C33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E471B1"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0B28850E"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53C545A"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Otsakkeen 7 ulkopuolella</w:t>
            </w:r>
          </w:p>
        </w:tc>
        <w:tc>
          <w:tcPr>
            <w:tcW w:w="522" w:type="pct"/>
            <w:tcBorders>
              <w:top w:val="nil"/>
              <w:left w:val="nil"/>
              <w:bottom w:val="single" w:sz="8" w:space="0" w:color="auto"/>
              <w:right w:val="single" w:sz="8" w:space="0" w:color="auto"/>
            </w:tcBorders>
            <w:shd w:val="clear" w:color="000000" w:fill="D9D9D9"/>
            <w:vAlign w:val="center"/>
            <w:hideMark/>
          </w:tcPr>
          <w:p w14:paraId="167CC316"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4B54D3E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1052CFA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53F578CF" w14:textId="77777777" w:rsidR="0093115D" w:rsidRPr="00274E0D" w:rsidRDefault="0093115D" w:rsidP="00434248">
            <w:pPr>
              <w:spacing w:before="0" w:after="0"/>
              <w:jc w:val="center"/>
              <w:rPr>
                <w:noProof/>
                <w:color w:val="000000"/>
                <w:sz w:val="16"/>
                <w:szCs w:val="16"/>
              </w:rPr>
            </w:pPr>
            <w:r w:rsidRPr="00274E0D">
              <w:rPr>
                <w:color w:val="000000"/>
                <w:sz w:val="16"/>
              </w:rPr>
              <w:t>0</w:t>
            </w:r>
          </w:p>
        </w:tc>
      </w:tr>
      <w:tr w:rsidR="0093115D" w:rsidRPr="00274E0D" w14:paraId="5BD9251B" w14:textId="77777777" w:rsidTr="00434248">
        <w:trPr>
          <w:trHeight w:val="300"/>
        </w:trPr>
        <w:tc>
          <w:tcPr>
            <w:tcW w:w="2913" w:type="pct"/>
            <w:gridSpan w:val="2"/>
            <w:tcBorders>
              <w:top w:val="single" w:sz="8" w:space="0" w:color="auto"/>
              <w:left w:val="single" w:sz="8" w:space="0" w:color="auto"/>
              <w:bottom w:val="single" w:sz="8" w:space="0" w:color="auto"/>
              <w:right w:val="single" w:sz="8" w:space="0" w:color="auto"/>
            </w:tcBorders>
            <w:vAlign w:val="center"/>
            <w:hideMark/>
          </w:tcPr>
          <w:p w14:paraId="2C85141F" w14:textId="77777777" w:rsidR="0093115D" w:rsidRPr="00274E0D" w:rsidRDefault="0093115D" w:rsidP="00434248">
            <w:pPr>
              <w:spacing w:before="0" w:after="0"/>
              <w:ind w:firstLineChars="100" w:firstLine="161"/>
              <w:jc w:val="left"/>
              <w:rPr>
                <w:b/>
                <w:bCs/>
                <w:noProof/>
                <w:color w:val="000000"/>
                <w:sz w:val="16"/>
                <w:szCs w:val="16"/>
              </w:rPr>
            </w:pPr>
            <w:r w:rsidRPr="00274E0D">
              <w:rPr>
                <w:b/>
                <w:color w:val="000000"/>
                <w:sz w:val="16"/>
              </w:rPr>
              <w:t>YHTEENSÄ</w:t>
            </w:r>
          </w:p>
        </w:tc>
        <w:tc>
          <w:tcPr>
            <w:tcW w:w="522" w:type="pct"/>
            <w:tcBorders>
              <w:top w:val="nil"/>
              <w:left w:val="nil"/>
              <w:bottom w:val="single" w:sz="8" w:space="0" w:color="auto"/>
              <w:right w:val="single" w:sz="8" w:space="0" w:color="auto"/>
            </w:tcBorders>
            <w:shd w:val="clear" w:color="000000" w:fill="D9D9D9"/>
            <w:vAlign w:val="center"/>
            <w:hideMark/>
          </w:tcPr>
          <w:p w14:paraId="0861BF48"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28F3F4B7"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1FFD5DE"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522" w:type="pct"/>
            <w:tcBorders>
              <w:top w:val="nil"/>
              <w:left w:val="nil"/>
              <w:bottom w:val="single" w:sz="8" w:space="0" w:color="auto"/>
              <w:right w:val="single" w:sz="8" w:space="0" w:color="auto"/>
            </w:tcBorders>
            <w:shd w:val="clear" w:color="000000" w:fill="D9D9D9"/>
            <w:vAlign w:val="center"/>
            <w:hideMark/>
          </w:tcPr>
          <w:p w14:paraId="3EBC60C4"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r>
    </w:tbl>
    <w:p w14:paraId="347157D9" w14:textId="77777777" w:rsidR="0093115D" w:rsidRPr="00274E0D" w:rsidRDefault="0093115D" w:rsidP="00656AA8">
      <w:pPr>
        <w:pStyle w:val="ManualHeading3"/>
        <w:rPr>
          <w:noProof/>
        </w:rPr>
      </w:pPr>
      <w:bookmarkStart w:id="192" w:name="_Toc167220297"/>
      <w:bookmarkStart w:id="193" w:name="_Toc177549030"/>
      <w:r w:rsidRPr="00274E0D">
        <w:t>3.2.4.3.</w:t>
      </w:r>
      <w:r w:rsidRPr="00274E0D">
        <w:tab/>
        <w:t>Henkilöresurssien kokonaistarve</w:t>
      </w:r>
      <w:bookmarkEnd w:id="192"/>
      <w:bookmarkEnd w:id="193"/>
    </w:p>
    <w:tbl>
      <w:tblPr>
        <w:tblW w:w="9200" w:type="dxa"/>
        <w:tblLook w:val="04A0" w:firstRow="1" w:lastRow="0" w:firstColumn="1" w:lastColumn="0" w:noHBand="0" w:noVBand="1"/>
      </w:tblPr>
      <w:tblGrid>
        <w:gridCol w:w="1500"/>
        <w:gridCol w:w="3860"/>
        <w:gridCol w:w="960"/>
        <w:gridCol w:w="960"/>
        <w:gridCol w:w="960"/>
        <w:gridCol w:w="960"/>
      </w:tblGrid>
      <w:tr w:rsidR="0093115D" w:rsidRPr="00274E0D" w14:paraId="50681B05" w14:textId="77777777" w:rsidTr="00434248">
        <w:trPr>
          <w:trHeight w:val="492"/>
        </w:trPr>
        <w:tc>
          <w:tcPr>
            <w:tcW w:w="5360" w:type="dxa"/>
            <w:gridSpan w:val="2"/>
            <w:vMerge w:val="restart"/>
            <w:tcBorders>
              <w:top w:val="single" w:sz="8" w:space="0" w:color="auto"/>
              <w:left w:val="single" w:sz="8" w:space="0" w:color="auto"/>
              <w:bottom w:val="single" w:sz="8" w:space="0" w:color="000000" w:themeColor="text1"/>
              <w:right w:val="single" w:sz="8" w:space="0" w:color="000000" w:themeColor="text1"/>
            </w:tcBorders>
            <w:vAlign w:val="center"/>
            <w:hideMark/>
          </w:tcPr>
          <w:p w14:paraId="7B43EDE7" w14:textId="77777777" w:rsidR="0093115D" w:rsidRPr="00274E0D" w:rsidRDefault="0093115D" w:rsidP="00434248">
            <w:pPr>
              <w:spacing w:before="0" w:after="0"/>
              <w:jc w:val="center"/>
              <w:rPr>
                <w:b/>
                <w:bCs/>
                <w:noProof/>
                <w:color w:val="000000"/>
                <w:sz w:val="18"/>
                <w:szCs w:val="18"/>
              </w:rPr>
            </w:pPr>
            <w:r w:rsidRPr="00274E0D">
              <w:rPr>
                <w:b/>
                <w:color w:val="000000"/>
                <w:sz w:val="18"/>
              </w:rPr>
              <w:t>HYVÄKSYTYT MÄÄRÄRAHAT + ULKOISET KÄYTTÖTARKOITUKSEENSA SIDOTUT TULOT YHTEENSÄ</w:t>
            </w:r>
          </w:p>
        </w:tc>
        <w:tc>
          <w:tcPr>
            <w:tcW w:w="960" w:type="dxa"/>
            <w:tcBorders>
              <w:top w:val="single" w:sz="8" w:space="0" w:color="auto"/>
              <w:left w:val="nil"/>
              <w:bottom w:val="nil"/>
              <w:right w:val="single" w:sz="8" w:space="0" w:color="auto"/>
            </w:tcBorders>
            <w:vAlign w:val="center"/>
            <w:hideMark/>
          </w:tcPr>
          <w:p w14:paraId="780AC175"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960" w:type="dxa"/>
            <w:tcBorders>
              <w:top w:val="single" w:sz="8" w:space="0" w:color="auto"/>
              <w:left w:val="nil"/>
              <w:bottom w:val="nil"/>
              <w:right w:val="single" w:sz="8" w:space="0" w:color="auto"/>
            </w:tcBorders>
            <w:vAlign w:val="center"/>
            <w:hideMark/>
          </w:tcPr>
          <w:p w14:paraId="4FACA029"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960" w:type="dxa"/>
            <w:tcBorders>
              <w:top w:val="single" w:sz="8" w:space="0" w:color="auto"/>
              <w:left w:val="nil"/>
              <w:bottom w:val="nil"/>
              <w:right w:val="single" w:sz="8" w:space="0" w:color="auto"/>
            </w:tcBorders>
            <w:vAlign w:val="center"/>
            <w:hideMark/>
          </w:tcPr>
          <w:p w14:paraId="2C892C1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c>
          <w:tcPr>
            <w:tcW w:w="960" w:type="dxa"/>
            <w:tcBorders>
              <w:top w:val="single" w:sz="8" w:space="0" w:color="auto"/>
              <w:left w:val="nil"/>
              <w:bottom w:val="nil"/>
              <w:right w:val="single" w:sz="8" w:space="0" w:color="auto"/>
            </w:tcBorders>
            <w:vAlign w:val="center"/>
            <w:hideMark/>
          </w:tcPr>
          <w:p w14:paraId="256C8CF3" w14:textId="77777777" w:rsidR="0093115D" w:rsidRPr="00274E0D" w:rsidRDefault="0093115D" w:rsidP="00434248">
            <w:pPr>
              <w:spacing w:before="0" w:after="0"/>
              <w:jc w:val="center"/>
              <w:rPr>
                <w:noProof/>
                <w:color w:val="000000"/>
                <w:sz w:val="20"/>
                <w:szCs w:val="20"/>
              </w:rPr>
            </w:pPr>
            <w:r w:rsidRPr="00274E0D">
              <w:rPr>
                <w:color w:val="000000"/>
                <w:sz w:val="20"/>
              </w:rPr>
              <w:t>Vuosi</w:t>
            </w:r>
          </w:p>
        </w:tc>
      </w:tr>
      <w:tr w:rsidR="0093115D" w:rsidRPr="00274E0D" w14:paraId="062980AD" w14:textId="77777777" w:rsidTr="00434248">
        <w:trPr>
          <w:trHeight w:val="492"/>
        </w:trPr>
        <w:tc>
          <w:tcPr>
            <w:tcW w:w="5360" w:type="dxa"/>
            <w:gridSpan w:val="2"/>
            <w:vMerge/>
            <w:vAlign w:val="center"/>
            <w:hideMark/>
          </w:tcPr>
          <w:p w14:paraId="44E1795D" w14:textId="77777777" w:rsidR="0093115D" w:rsidRPr="00274E0D" w:rsidRDefault="0093115D" w:rsidP="00434248">
            <w:pPr>
              <w:spacing w:before="0" w:after="0"/>
              <w:jc w:val="left"/>
              <w:rPr>
                <w:b/>
                <w:bCs/>
                <w:noProof/>
                <w:color w:val="000000"/>
                <w:sz w:val="18"/>
                <w:szCs w:val="18"/>
                <w:lang w:eastAsia="en-IE"/>
              </w:rPr>
            </w:pPr>
          </w:p>
        </w:tc>
        <w:tc>
          <w:tcPr>
            <w:tcW w:w="960" w:type="dxa"/>
            <w:tcBorders>
              <w:top w:val="nil"/>
              <w:left w:val="nil"/>
              <w:bottom w:val="single" w:sz="8" w:space="0" w:color="auto"/>
              <w:right w:val="single" w:sz="8" w:space="0" w:color="auto"/>
            </w:tcBorders>
            <w:vAlign w:val="center"/>
            <w:hideMark/>
          </w:tcPr>
          <w:p w14:paraId="18F9C9DE" w14:textId="77777777" w:rsidR="0093115D" w:rsidRPr="00274E0D" w:rsidRDefault="0093115D" w:rsidP="00434248">
            <w:pPr>
              <w:spacing w:before="0" w:after="0"/>
              <w:jc w:val="center"/>
              <w:rPr>
                <w:b/>
                <w:bCs/>
                <w:noProof/>
                <w:color w:val="000000"/>
                <w:sz w:val="20"/>
                <w:szCs w:val="20"/>
              </w:rPr>
            </w:pPr>
            <w:r w:rsidRPr="00274E0D">
              <w:rPr>
                <w:b/>
                <w:color w:val="000000"/>
                <w:sz w:val="20"/>
              </w:rPr>
              <w:t>2024</w:t>
            </w:r>
          </w:p>
        </w:tc>
        <w:tc>
          <w:tcPr>
            <w:tcW w:w="960" w:type="dxa"/>
            <w:tcBorders>
              <w:top w:val="nil"/>
              <w:left w:val="nil"/>
              <w:bottom w:val="single" w:sz="8" w:space="0" w:color="auto"/>
              <w:right w:val="single" w:sz="8" w:space="0" w:color="auto"/>
            </w:tcBorders>
            <w:vAlign w:val="center"/>
            <w:hideMark/>
          </w:tcPr>
          <w:p w14:paraId="41C1FE66" w14:textId="77777777" w:rsidR="0093115D" w:rsidRPr="00274E0D" w:rsidRDefault="0093115D" w:rsidP="00434248">
            <w:pPr>
              <w:spacing w:before="0" w:after="0"/>
              <w:jc w:val="center"/>
              <w:rPr>
                <w:b/>
                <w:bCs/>
                <w:noProof/>
                <w:color w:val="000000"/>
                <w:sz w:val="20"/>
                <w:szCs w:val="20"/>
              </w:rPr>
            </w:pPr>
            <w:r w:rsidRPr="00274E0D">
              <w:rPr>
                <w:b/>
                <w:color w:val="000000"/>
                <w:sz w:val="20"/>
              </w:rPr>
              <w:t>2025</w:t>
            </w:r>
          </w:p>
        </w:tc>
        <w:tc>
          <w:tcPr>
            <w:tcW w:w="960" w:type="dxa"/>
            <w:tcBorders>
              <w:top w:val="nil"/>
              <w:left w:val="nil"/>
              <w:bottom w:val="single" w:sz="8" w:space="0" w:color="auto"/>
              <w:right w:val="single" w:sz="8" w:space="0" w:color="auto"/>
            </w:tcBorders>
            <w:vAlign w:val="center"/>
            <w:hideMark/>
          </w:tcPr>
          <w:p w14:paraId="4A496419" w14:textId="77777777" w:rsidR="0093115D" w:rsidRPr="00274E0D" w:rsidRDefault="0093115D" w:rsidP="00434248">
            <w:pPr>
              <w:spacing w:before="0" w:after="0"/>
              <w:jc w:val="center"/>
              <w:rPr>
                <w:b/>
                <w:bCs/>
                <w:noProof/>
                <w:color w:val="000000"/>
                <w:sz w:val="20"/>
                <w:szCs w:val="20"/>
              </w:rPr>
            </w:pPr>
            <w:r w:rsidRPr="00274E0D">
              <w:rPr>
                <w:b/>
                <w:color w:val="000000"/>
                <w:sz w:val="20"/>
              </w:rPr>
              <w:t>2026</w:t>
            </w:r>
          </w:p>
        </w:tc>
        <w:tc>
          <w:tcPr>
            <w:tcW w:w="960" w:type="dxa"/>
            <w:tcBorders>
              <w:top w:val="nil"/>
              <w:left w:val="nil"/>
              <w:bottom w:val="single" w:sz="8" w:space="0" w:color="auto"/>
              <w:right w:val="single" w:sz="8" w:space="0" w:color="auto"/>
            </w:tcBorders>
            <w:vAlign w:val="center"/>
            <w:hideMark/>
          </w:tcPr>
          <w:p w14:paraId="7C91F323" w14:textId="77777777" w:rsidR="0093115D" w:rsidRPr="00274E0D" w:rsidRDefault="0093115D" w:rsidP="00434248">
            <w:pPr>
              <w:spacing w:before="0" w:after="0"/>
              <w:jc w:val="center"/>
              <w:rPr>
                <w:b/>
                <w:bCs/>
                <w:noProof/>
                <w:color w:val="000000"/>
                <w:sz w:val="20"/>
                <w:szCs w:val="20"/>
              </w:rPr>
            </w:pPr>
            <w:r w:rsidRPr="00274E0D">
              <w:rPr>
                <w:b/>
                <w:color w:val="000000"/>
                <w:sz w:val="20"/>
              </w:rPr>
              <w:t>2027</w:t>
            </w:r>
          </w:p>
        </w:tc>
      </w:tr>
      <w:tr w:rsidR="0093115D" w:rsidRPr="00274E0D" w14:paraId="2E641CE9" w14:textId="77777777" w:rsidTr="00434248">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013A232D" w14:textId="77777777" w:rsidR="0093115D" w:rsidRPr="00274E0D" w:rsidRDefault="0093115D" w:rsidP="00434248">
            <w:pPr>
              <w:spacing w:before="0" w:after="0"/>
              <w:jc w:val="left"/>
              <w:rPr>
                <w:rFonts w:ascii="Wingdings" w:hAnsi="Wingdings" w:cs="Calibri"/>
                <w:b/>
                <w:bCs/>
                <w:noProof/>
                <w:color w:val="000000"/>
                <w:sz w:val="16"/>
                <w:szCs w:val="16"/>
              </w:rPr>
            </w:pPr>
            <w:r w:rsidRPr="00274E0D">
              <w:rPr>
                <w:rFonts w:ascii="Wingdings" w:hAnsi="Wingdings"/>
                <w:b/>
                <w:color w:val="000000"/>
                <w:sz w:val="16"/>
              </w:rPr>
              <w:t></w:t>
            </w:r>
            <w:r w:rsidRPr="00274E0D">
              <w:t xml:space="preserve"> </w:t>
            </w:r>
            <w:r w:rsidRPr="00274E0D">
              <w:rPr>
                <w:b/>
                <w:color w:val="000000"/>
                <w:sz w:val="16"/>
              </w:rPr>
              <w:t>Henkilöstötaulukkoon sisältyvät virat/toimet (virkamiehet ja väliaikaiset toimihenkilöt)</w:t>
            </w:r>
          </w:p>
        </w:tc>
      </w:tr>
      <w:tr w:rsidR="0093115D" w:rsidRPr="00274E0D" w14:paraId="344FF734"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1B5ECE3"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20 01 02 01</w:t>
            </w:r>
            <w:r w:rsidRPr="00274E0D">
              <w:rPr>
                <w:rFonts w:ascii="Arial Narrow" w:hAnsi="Arial Narrow"/>
                <w:color w:val="000000"/>
                <w:sz w:val="20"/>
              </w:rPr>
              <w:t xml:space="preserve"> </w:t>
            </w:r>
            <w:r w:rsidRPr="00274E0D">
              <w:rPr>
                <w:color w:val="000000"/>
                <w:sz w:val="16"/>
              </w:rPr>
              <w:t>(päätoimipaikka ja komission edustustot EU:ssa)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B4DA86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D434B97"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9B7D293"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43</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C16087A"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43</w:t>
            </w:r>
          </w:p>
        </w:tc>
      </w:tr>
      <w:tr w:rsidR="0093115D" w:rsidRPr="00274E0D" w14:paraId="1FB62EEA"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ACB5948"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01 02 03 (unionin edustustot)</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62D25B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D0D331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E6E40D1" w14:textId="77777777" w:rsidR="0093115D" w:rsidRPr="00274E0D" w:rsidRDefault="0093115D" w:rsidP="00434248">
            <w:pPr>
              <w:spacing w:before="0" w:after="0"/>
              <w:jc w:val="center"/>
              <w:rPr>
                <w:noProof/>
                <w:color w:val="000000" w:themeColor="text1"/>
                <w:sz w:val="16"/>
                <w:szCs w:val="16"/>
              </w:rPr>
            </w:pPr>
            <w:r w:rsidRPr="00274E0D">
              <w:rPr>
                <w:b/>
                <w:color w:val="000000" w:themeColor="text1"/>
                <w:sz w:val="16"/>
              </w:rPr>
              <w:t>10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6B959C8" w14:textId="77777777" w:rsidR="0093115D" w:rsidRPr="00274E0D" w:rsidRDefault="0093115D" w:rsidP="00434248">
            <w:pPr>
              <w:spacing w:before="0" w:after="0"/>
              <w:jc w:val="center"/>
              <w:rPr>
                <w:noProof/>
                <w:color w:val="000000" w:themeColor="text1"/>
                <w:sz w:val="16"/>
                <w:szCs w:val="16"/>
              </w:rPr>
            </w:pPr>
            <w:r w:rsidRPr="00274E0D">
              <w:rPr>
                <w:b/>
                <w:color w:val="000000" w:themeColor="text1"/>
                <w:sz w:val="16"/>
              </w:rPr>
              <w:t>10</w:t>
            </w:r>
          </w:p>
        </w:tc>
      </w:tr>
      <w:tr w:rsidR="0093115D" w:rsidRPr="00274E0D" w14:paraId="16B56304"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B329802"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01 01 01 01</w:t>
            </w:r>
            <w:r w:rsidRPr="00274E0D">
              <w:rPr>
                <w:rFonts w:ascii="Arial Narrow" w:hAnsi="Arial Narrow"/>
                <w:color w:val="000000"/>
                <w:sz w:val="20"/>
              </w:rPr>
              <w:t xml:space="preserve"> </w:t>
            </w:r>
            <w:r w:rsidRPr="00274E0D">
              <w:rPr>
                <w:color w:val="000000"/>
                <w:sz w:val="16"/>
              </w:rPr>
              <w:t>(epäsuora tutkimustoiminta)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EFE45C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0BC73D28"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581EFE9"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4DDA952"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4F84626E"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7A45B15"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11 (suora tutkimustoiminta)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07470B2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B8468F5"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1BB4DE8"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9A87B05"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365718B1"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4C0FA4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A4ECB0B"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BD01686"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8FCEEFD"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A6957B8"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2FDC6D33" w14:textId="77777777" w:rsidTr="00434248">
        <w:trPr>
          <w:trHeight w:val="300"/>
        </w:trPr>
        <w:tc>
          <w:tcPr>
            <w:tcW w:w="9200" w:type="dxa"/>
            <w:gridSpan w:val="6"/>
            <w:tcBorders>
              <w:top w:val="single" w:sz="8" w:space="0" w:color="auto"/>
              <w:left w:val="single" w:sz="8" w:space="0" w:color="auto"/>
              <w:bottom w:val="single" w:sz="8" w:space="0" w:color="auto"/>
              <w:right w:val="single" w:sz="4" w:space="0" w:color="auto"/>
            </w:tcBorders>
            <w:vAlign w:val="center"/>
            <w:hideMark/>
          </w:tcPr>
          <w:p w14:paraId="465B190A" w14:textId="77777777" w:rsidR="0093115D" w:rsidRPr="00274E0D" w:rsidRDefault="0093115D" w:rsidP="00434248">
            <w:pPr>
              <w:spacing w:before="0" w:after="0"/>
              <w:jc w:val="left"/>
              <w:rPr>
                <w:rFonts w:ascii="Wingdings" w:hAnsi="Wingdings" w:cs="Calibri"/>
                <w:b/>
                <w:bCs/>
                <w:noProof/>
                <w:color w:val="000000" w:themeColor="text1"/>
                <w:sz w:val="16"/>
                <w:szCs w:val="16"/>
              </w:rPr>
            </w:pPr>
            <w:r w:rsidRPr="00274E0D">
              <w:rPr>
                <w:rFonts w:ascii="Calibri" w:hAnsi="Calibri"/>
                <w:b/>
                <w:color w:val="000000" w:themeColor="text1"/>
                <w:sz w:val="16"/>
              </w:rPr>
              <w:t>•</w:t>
            </w:r>
            <w:r w:rsidRPr="00274E0D">
              <w:rPr>
                <w:b/>
                <w:color w:val="000000" w:themeColor="text1"/>
                <w:sz w:val="16"/>
              </w:rPr>
              <w:t xml:space="preserve"> Ulkopuolinen henkilöstö (kokoaikaiseksi muutettuna)</w:t>
            </w:r>
          </w:p>
        </w:tc>
      </w:tr>
      <w:tr w:rsidR="0093115D" w:rsidRPr="00274E0D" w14:paraId="169E1F2E"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36560BD4"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20 02 01</w:t>
            </w:r>
            <w:r w:rsidRPr="00274E0D">
              <w:rPr>
                <w:rFonts w:ascii="Arial Narrow" w:hAnsi="Arial Narrow"/>
                <w:color w:val="000000"/>
                <w:sz w:val="20"/>
              </w:rPr>
              <w:t xml:space="preserve"> </w:t>
            </w:r>
            <w:r w:rsidRPr="00274E0D">
              <w:rPr>
                <w:color w:val="000000"/>
                <w:sz w:val="16"/>
              </w:rPr>
              <w:t>(kokonaismäärärahoista katettavat sopimussuhteiset toimihenkilöt ja kansalliset asiantuntijat)</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E1096B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D739883"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6AEE136"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2</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0E02A5C5"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2</w:t>
            </w:r>
          </w:p>
        </w:tc>
      </w:tr>
      <w:tr w:rsidR="0093115D" w:rsidRPr="00274E0D" w14:paraId="36AAA6D1"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B1EEC6B"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20 02 03 (sopimussuhteiset ja paikalliset toimihenkilöt, kansalliset asiantuntijat ja nuoremmat asiantuntijat unionin edustustoissa)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C60B45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4F4386A"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8251240"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139EFA0"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73D6BEE5" w14:textId="77777777" w:rsidTr="00434248">
        <w:trPr>
          <w:trHeight w:val="300"/>
        </w:trPr>
        <w:tc>
          <w:tcPr>
            <w:tcW w:w="1500" w:type="dxa"/>
            <w:vMerge w:val="restart"/>
            <w:tcBorders>
              <w:top w:val="nil"/>
              <w:left w:val="single" w:sz="8" w:space="0" w:color="auto"/>
              <w:bottom w:val="single" w:sz="8" w:space="0" w:color="auto"/>
              <w:right w:val="single" w:sz="8" w:space="0" w:color="auto"/>
            </w:tcBorders>
            <w:vAlign w:val="center"/>
            <w:hideMark/>
          </w:tcPr>
          <w:p w14:paraId="4BCE63A9" w14:textId="77777777" w:rsidR="0093115D" w:rsidRPr="00274E0D" w:rsidRDefault="0093115D" w:rsidP="00434248">
            <w:pPr>
              <w:spacing w:before="0" w:after="0"/>
              <w:jc w:val="center"/>
              <w:rPr>
                <w:noProof/>
                <w:color w:val="000000"/>
                <w:sz w:val="16"/>
                <w:szCs w:val="16"/>
              </w:rPr>
            </w:pPr>
            <w:r w:rsidRPr="00274E0D">
              <w:rPr>
                <w:color w:val="000000"/>
                <w:sz w:val="16"/>
              </w:rPr>
              <w:t>Hallinnollisen tuen budjettikohta [XX.01.YY.YY]</w:t>
            </w:r>
          </w:p>
        </w:tc>
        <w:tc>
          <w:tcPr>
            <w:tcW w:w="3860" w:type="dxa"/>
            <w:tcBorders>
              <w:top w:val="nil"/>
              <w:left w:val="nil"/>
              <w:bottom w:val="single" w:sz="8" w:space="0" w:color="auto"/>
              <w:right w:val="single" w:sz="8" w:space="0" w:color="auto"/>
            </w:tcBorders>
            <w:vAlign w:val="center"/>
            <w:hideMark/>
          </w:tcPr>
          <w:p w14:paraId="47D22C07"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päätoimipaikassa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4EFD60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FF2509C"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E0B65DB"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64F860F"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5AFF3AFA" w14:textId="77777777" w:rsidTr="00434248">
        <w:trPr>
          <w:trHeight w:val="300"/>
        </w:trPr>
        <w:tc>
          <w:tcPr>
            <w:tcW w:w="1500" w:type="dxa"/>
            <w:vMerge/>
            <w:vAlign w:val="center"/>
            <w:hideMark/>
          </w:tcPr>
          <w:p w14:paraId="1066420B" w14:textId="77777777" w:rsidR="0093115D" w:rsidRPr="00274E0D" w:rsidRDefault="0093115D" w:rsidP="00434248">
            <w:pPr>
              <w:spacing w:before="0" w:after="0"/>
              <w:jc w:val="left"/>
              <w:rPr>
                <w:noProof/>
                <w:color w:val="000000"/>
                <w:sz w:val="16"/>
                <w:szCs w:val="16"/>
                <w:lang w:eastAsia="en-IE"/>
              </w:rPr>
            </w:pPr>
          </w:p>
        </w:tc>
        <w:tc>
          <w:tcPr>
            <w:tcW w:w="3860" w:type="dxa"/>
            <w:tcBorders>
              <w:top w:val="nil"/>
              <w:left w:val="nil"/>
              <w:bottom w:val="single" w:sz="8" w:space="0" w:color="auto"/>
              <w:right w:val="single" w:sz="8" w:space="0" w:color="auto"/>
            </w:tcBorders>
            <w:vAlign w:val="center"/>
            <w:hideMark/>
          </w:tcPr>
          <w:p w14:paraId="3E00545F"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unionin edustustoissa </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DB19914"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14A629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DB42765"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3583BE9"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0C1ADEF4"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0C8660CA"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01 01 01 02</w:t>
            </w:r>
            <w:r w:rsidRPr="00274E0D">
              <w:rPr>
                <w:rFonts w:ascii="Arial Narrow" w:hAnsi="Arial Narrow"/>
                <w:color w:val="000000"/>
                <w:sz w:val="20"/>
              </w:rPr>
              <w:t xml:space="preserve"> </w:t>
            </w:r>
            <w:r w:rsidRPr="00274E0D">
              <w:rPr>
                <w:color w:val="000000"/>
                <w:sz w:val="16"/>
              </w:rPr>
              <w:t>(sopimussuhteiset toimihenkilöt ja kansalliset asiantuntijat – epäsuora tutkimustoiminta)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A3BE24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0665714D"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CB85BD4"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7A7D172"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3963B05C"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7DE7F6A0"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 xml:space="preserve"> 01 01 01 12 (sopimussuhteiset toimihenkilöt ja kansalliset asiantuntijat – suora tutkimustoiminta)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46ED5CF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B14983F"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00216FEC"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DCF6BB5"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2BB1CA2F"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407184BA"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Otsake 7</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DFD9C1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655A64B0"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57D5AC92"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B4A47D0"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5B4CC57C"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5EA63BD3" w14:textId="77777777" w:rsidR="0093115D" w:rsidRPr="00274E0D" w:rsidRDefault="0093115D" w:rsidP="00434248">
            <w:pPr>
              <w:spacing w:before="0" w:after="0"/>
              <w:ind w:firstLineChars="100" w:firstLine="160"/>
              <w:jc w:val="left"/>
              <w:rPr>
                <w:noProof/>
                <w:color w:val="000000"/>
                <w:sz w:val="16"/>
                <w:szCs w:val="16"/>
              </w:rPr>
            </w:pPr>
            <w:r w:rsidRPr="00274E0D">
              <w:rPr>
                <w:color w:val="000000"/>
                <w:sz w:val="16"/>
              </w:rPr>
              <w:t>Muu budjettikohta (mikä?) – Otsakkeen 7 ulkopuolella</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A51E3D2"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29DC4C9" w14:textId="77777777" w:rsidR="0093115D" w:rsidRPr="00274E0D" w:rsidRDefault="0093115D" w:rsidP="00434248">
            <w:pPr>
              <w:spacing w:before="0" w:after="0"/>
              <w:jc w:val="center"/>
              <w:rPr>
                <w:noProof/>
                <w:color w:val="000000"/>
                <w:sz w:val="16"/>
                <w:szCs w:val="16"/>
              </w:rPr>
            </w:pPr>
            <w:r w:rsidRPr="00274E0D">
              <w:rPr>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1993102A"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9DFD720"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0</w:t>
            </w:r>
          </w:p>
        </w:tc>
      </w:tr>
      <w:tr w:rsidR="0093115D" w:rsidRPr="00274E0D" w14:paraId="693A381B" w14:textId="77777777" w:rsidTr="00434248">
        <w:trPr>
          <w:trHeight w:val="300"/>
        </w:trPr>
        <w:tc>
          <w:tcPr>
            <w:tcW w:w="5360" w:type="dxa"/>
            <w:gridSpan w:val="2"/>
            <w:tcBorders>
              <w:top w:val="single" w:sz="8" w:space="0" w:color="auto"/>
              <w:left w:val="single" w:sz="8" w:space="0" w:color="auto"/>
              <w:bottom w:val="single" w:sz="8" w:space="0" w:color="auto"/>
              <w:right w:val="single" w:sz="8" w:space="0" w:color="auto"/>
            </w:tcBorders>
            <w:vAlign w:val="center"/>
            <w:hideMark/>
          </w:tcPr>
          <w:p w14:paraId="2B40FE3D" w14:textId="77777777" w:rsidR="0093115D" w:rsidRPr="00274E0D" w:rsidRDefault="0093115D" w:rsidP="00434248">
            <w:pPr>
              <w:spacing w:before="0" w:after="0"/>
              <w:ind w:firstLineChars="100" w:firstLine="161"/>
              <w:jc w:val="left"/>
              <w:rPr>
                <w:b/>
                <w:bCs/>
                <w:noProof/>
                <w:color w:val="000000"/>
                <w:sz w:val="16"/>
                <w:szCs w:val="16"/>
              </w:rPr>
            </w:pPr>
            <w:r w:rsidRPr="00274E0D">
              <w:rPr>
                <w:b/>
                <w:color w:val="000000"/>
                <w:sz w:val="16"/>
              </w:rPr>
              <w:t>YHTEENSÄ</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77663BFB"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2817F383" w14:textId="77777777" w:rsidR="0093115D" w:rsidRPr="00274E0D" w:rsidRDefault="0093115D" w:rsidP="00434248">
            <w:pPr>
              <w:spacing w:before="0" w:after="0"/>
              <w:jc w:val="center"/>
              <w:rPr>
                <w:b/>
                <w:bCs/>
                <w:noProof/>
                <w:color w:val="000000"/>
                <w:sz w:val="16"/>
                <w:szCs w:val="16"/>
              </w:rPr>
            </w:pPr>
            <w:r w:rsidRPr="00274E0D">
              <w:rPr>
                <w:b/>
                <w:color w:val="000000"/>
                <w:sz w:val="16"/>
              </w:rPr>
              <w:t>0</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9E5AEA6"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55</w:t>
            </w:r>
          </w:p>
        </w:tc>
        <w:tc>
          <w:tcPr>
            <w:tcW w:w="960" w:type="dxa"/>
            <w:tcBorders>
              <w:top w:val="nil"/>
              <w:left w:val="nil"/>
              <w:bottom w:val="single" w:sz="8" w:space="0" w:color="auto"/>
              <w:right w:val="single" w:sz="8" w:space="0" w:color="auto"/>
            </w:tcBorders>
            <w:shd w:val="clear" w:color="auto" w:fill="D9D9D9" w:themeFill="background1" w:themeFillShade="D9"/>
            <w:vAlign w:val="center"/>
            <w:hideMark/>
          </w:tcPr>
          <w:p w14:paraId="3B69E9C7"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55</w:t>
            </w:r>
          </w:p>
        </w:tc>
      </w:tr>
    </w:tbl>
    <w:p w14:paraId="79874237" w14:textId="77777777" w:rsidR="0093115D" w:rsidRPr="00274E0D" w:rsidRDefault="0093115D" w:rsidP="00656AA8">
      <w:pPr>
        <w:pStyle w:val="Text1"/>
        <w:ind w:left="-426" w:right="-427"/>
        <w:rPr>
          <w:noProof/>
        </w:rPr>
      </w:pPr>
      <w:bookmarkStart w:id="194" w:name="_Hlk167692843"/>
      <w:bookmarkEnd w:id="189"/>
      <w:r w:rsidRPr="00274E0D">
        <w:t xml:space="preserve">12 virkaa/toimea ja 2 kokoaikavastaavaa saadaan käyttämällä komission rajallista uudelleen kohdennettavien virkojen varantoa. </w:t>
      </w:r>
    </w:p>
    <w:p w14:paraId="55043316" w14:textId="77777777" w:rsidR="0093115D" w:rsidRPr="00274E0D" w:rsidRDefault="0093115D" w:rsidP="00656AA8">
      <w:pPr>
        <w:pStyle w:val="Text1"/>
        <w:ind w:left="-426" w:right="-427"/>
        <w:rPr>
          <w:noProof/>
        </w:rPr>
      </w:pPr>
      <w:r w:rsidRPr="00274E0D">
        <w:t>Tämän ehdotuksen täytäntöönpano edellyttää 41:ta lisävirkaa/toimea henkilöstötaulukon lisäksi, ja ne kaikki rahoitetaan otsakkeesta 7 pysyvän henkilöstön lisäksi. Tätä koskeva lausuma esitetään lainsäädäntömenettelyn yhteydessä.</w:t>
      </w:r>
    </w:p>
    <w:p w14:paraId="1D28BD9E" w14:textId="77777777" w:rsidR="0093115D" w:rsidRPr="00274E0D" w:rsidRDefault="0093115D" w:rsidP="00656AA8">
      <w:pPr>
        <w:pStyle w:val="Text1"/>
        <w:ind w:left="-426" w:right="-427"/>
        <w:rPr>
          <w:noProof/>
        </w:rPr>
      </w:pPr>
      <w:r w:rsidRPr="00274E0D">
        <w:t xml:space="preserve">Kaikki henkilöstö rahoitetaan otsakkeesta 7. </w:t>
      </w:r>
    </w:p>
    <w:p w14:paraId="3EFF1C15" w14:textId="77777777" w:rsidR="0093115D" w:rsidRPr="00274E0D" w:rsidRDefault="0093115D" w:rsidP="00656AA8">
      <w:pPr>
        <w:pStyle w:val="Text1"/>
        <w:ind w:left="-426"/>
        <w:rPr>
          <w:noProof/>
          <w:color w:val="000000" w:themeColor="text1"/>
        </w:rPr>
      </w:pPr>
      <w:r w:rsidRPr="00274E0D">
        <w:rPr>
          <w:color w:val="000000" w:themeColor="text1"/>
        </w:rPr>
        <w:t xml:space="preserve">Ehdotuksen toteuttamiseksi tarvittava henkilöstö (kokoaikaiseksi muutettuna): </w:t>
      </w:r>
    </w:p>
    <w:tbl>
      <w:tblPr>
        <w:tblStyle w:val="TableGrid"/>
        <w:tblW w:w="9487" w:type="dxa"/>
        <w:tblInd w:w="-426" w:type="dxa"/>
        <w:tblLook w:val="04A0" w:firstRow="1" w:lastRow="0" w:firstColumn="1" w:lastColumn="0" w:noHBand="0" w:noVBand="1"/>
      </w:tblPr>
      <w:tblGrid>
        <w:gridCol w:w="2172"/>
        <w:gridCol w:w="1720"/>
        <w:gridCol w:w="2441"/>
        <w:gridCol w:w="1818"/>
        <w:gridCol w:w="1365"/>
      </w:tblGrid>
      <w:tr w:rsidR="0093115D" w:rsidRPr="00274E0D" w14:paraId="2230ED3E" w14:textId="77777777" w:rsidTr="00434248">
        <w:trPr>
          <w:trHeight w:val="300"/>
        </w:trPr>
        <w:tc>
          <w:tcPr>
            <w:tcW w:w="1845" w:type="dxa"/>
          </w:tcPr>
          <w:p w14:paraId="5BE5289F" w14:textId="77777777" w:rsidR="0093115D" w:rsidRPr="00274E0D" w:rsidRDefault="0093115D" w:rsidP="00434248">
            <w:pPr>
              <w:pStyle w:val="Text1"/>
              <w:ind w:left="0"/>
              <w:jc w:val="center"/>
              <w:rPr>
                <w:b/>
                <w:bCs/>
                <w:noProof/>
                <w:sz w:val="22"/>
                <w:szCs w:val="28"/>
              </w:rPr>
            </w:pPr>
          </w:p>
        </w:tc>
        <w:tc>
          <w:tcPr>
            <w:tcW w:w="2031" w:type="dxa"/>
          </w:tcPr>
          <w:p w14:paraId="0154312F" w14:textId="77777777" w:rsidR="0093115D" w:rsidRPr="00274E0D" w:rsidRDefault="0093115D" w:rsidP="00434248">
            <w:pPr>
              <w:pStyle w:val="Text1"/>
              <w:ind w:left="0"/>
              <w:jc w:val="center"/>
              <w:rPr>
                <w:b/>
                <w:bCs/>
                <w:noProof/>
                <w:sz w:val="22"/>
              </w:rPr>
            </w:pPr>
            <w:r w:rsidRPr="00274E0D">
              <w:rPr>
                <w:b/>
                <w:sz w:val="22"/>
              </w:rPr>
              <w:t xml:space="preserve">Katetaan komission yksiköissä käytettävissä olevalla henkilöstöllä </w:t>
            </w:r>
          </w:p>
        </w:tc>
        <w:tc>
          <w:tcPr>
            <w:tcW w:w="5611" w:type="dxa"/>
            <w:gridSpan w:val="3"/>
          </w:tcPr>
          <w:p w14:paraId="15EF8E40" w14:textId="77777777" w:rsidR="0093115D" w:rsidRPr="00274E0D" w:rsidRDefault="0093115D" w:rsidP="00434248">
            <w:pPr>
              <w:pStyle w:val="Text1"/>
              <w:ind w:left="0"/>
              <w:jc w:val="center"/>
              <w:rPr>
                <w:b/>
                <w:bCs/>
                <w:noProof/>
                <w:sz w:val="22"/>
              </w:rPr>
            </w:pPr>
            <w:r w:rsidRPr="00274E0D">
              <w:rPr>
                <w:b/>
                <w:sz w:val="22"/>
              </w:rPr>
              <w:t>Poikkeuksellinen lisähenkilöstö*</w:t>
            </w:r>
          </w:p>
        </w:tc>
      </w:tr>
      <w:tr w:rsidR="0093115D" w:rsidRPr="00274E0D" w14:paraId="2778E28A" w14:textId="77777777" w:rsidTr="00434248">
        <w:trPr>
          <w:trHeight w:val="300"/>
        </w:trPr>
        <w:tc>
          <w:tcPr>
            <w:tcW w:w="1845" w:type="dxa"/>
          </w:tcPr>
          <w:p w14:paraId="4A0A2725" w14:textId="77777777" w:rsidR="0093115D" w:rsidRPr="00274E0D" w:rsidRDefault="0093115D" w:rsidP="00434248">
            <w:pPr>
              <w:pStyle w:val="Text1"/>
              <w:ind w:left="0"/>
              <w:jc w:val="center"/>
              <w:rPr>
                <w:b/>
                <w:bCs/>
                <w:noProof/>
                <w:sz w:val="22"/>
                <w:szCs w:val="28"/>
              </w:rPr>
            </w:pPr>
          </w:p>
        </w:tc>
        <w:tc>
          <w:tcPr>
            <w:tcW w:w="2031" w:type="dxa"/>
          </w:tcPr>
          <w:p w14:paraId="028CA0CE" w14:textId="77777777" w:rsidR="0093115D" w:rsidRPr="00274E0D" w:rsidRDefault="0093115D" w:rsidP="00434248">
            <w:pPr>
              <w:pStyle w:val="Text1"/>
              <w:ind w:left="0"/>
              <w:jc w:val="center"/>
              <w:rPr>
                <w:b/>
                <w:bCs/>
                <w:noProof/>
                <w:sz w:val="22"/>
                <w:szCs w:val="28"/>
              </w:rPr>
            </w:pPr>
          </w:p>
        </w:tc>
        <w:tc>
          <w:tcPr>
            <w:tcW w:w="1925" w:type="dxa"/>
          </w:tcPr>
          <w:p w14:paraId="6801BF46" w14:textId="77777777" w:rsidR="0093115D" w:rsidRPr="00274E0D" w:rsidRDefault="0093115D" w:rsidP="00434248">
            <w:pPr>
              <w:pStyle w:val="Text1"/>
              <w:ind w:left="0"/>
              <w:jc w:val="center"/>
              <w:rPr>
                <w:b/>
                <w:bCs/>
                <w:noProof/>
                <w:sz w:val="22"/>
              </w:rPr>
            </w:pPr>
            <w:r w:rsidRPr="00274E0D">
              <w:rPr>
                <w:b/>
                <w:sz w:val="22"/>
              </w:rPr>
              <w:t>Rahoitetaan otsakkeesta 7 tai tutkimusmäärärahoista</w:t>
            </w:r>
          </w:p>
        </w:tc>
        <w:tc>
          <w:tcPr>
            <w:tcW w:w="1938" w:type="dxa"/>
          </w:tcPr>
          <w:p w14:paraId="2613C25D" w14:textId="77777777" w:rsidR="0093115D" w:rsidRPr="00274E0D" w:rsidRDefault="0093115D" w:rsidP="00434248">
            <w:pPr>
              <w:pStyle w:val="Text1"/>
              <w:ind w:left="0"/>
              <w:jc w:val="center"/>
              <w:rPr>
                <w:b/>
                <w:bCs/>
                <w:noProof/>
                <w:sz w:val="22"/>
                <w:szCs w:val="28"/>
              </w:rPr>
            </w:pPr>
            <w:r w:rsidRPr="00274E0D">
              <w:rPr>
                <w:b/>
                <w:sz w:val="22"/>
              </w:rPr>
              <w:t>Rahoitetaan BA-budjettikohdasta</w:t>
            </w:r>
          </w:p>
        </w:tc>
        <w:tc>
          <w:tcPr>
            <w:tcW w:w="1748" w:type="dxa"/>
          </w:tcPr>
          <w:p w14:paraId="5F1443C6" w14:textId="77777777" w:rsidR="0093115D" w:rsidRPr="00274E0D" w:rsidRDefault="0093115D" w:rsidP="00434248">
            <w:pPr>
              <w:pStyle w:val="Text1"/>
              <w:ind w:left="0"/>
              <w:jc w:val="center"/>
              <w:rPr>
                <w:b/>
                <w:bCs/>
                <w:noProof/>
                <w:sz w:val="22"/>
                <w:szCs w:val="28"/>
              </w:rPr>
            </w:pPr>
            <w:r w:rsidRPr="00274E0D">
              <w:rPr>
                <w:b/>
                <w:sz w:val="22"/>
              </w:rPr>
              <w:t>Rahoitetaan maksuilla</w:t>
            </w:r>
          </w:p>
        </w:tc>
      </w:tr>
      <w:tr w:rsidR="0093115D" w:rsidRPr="00274E0D" w14:paraId="6D977373" w14:textId="77777777" w:rsidTr="00434248">
        <w:trPr>
          <w:trHeight w:val="300"/>
        </w:trPr>
        <w:tc>
          <w:tcPr>
            <w:tcW w:w="1845" w:type="dxa"/>
          </w:tcPr>
          <w:p w14:paraId="63979947" w14:textId="77777777" w:rsidR="0093115D" w:rsidRPr="00274E0D" w:rsidRDefault="0093115D" w:rsidP="00434248">
            <w:pPr>
              <w:pStyle w:val="Text1"/>
              <w:ind w:left="0"/>
              <w:rPr>
                <w:noProof/>
                <w:color w:val="000000" w:themeColor="text1"/>
                <w:sz w:val="22"/>
                <w:szCs w:val="28"/>
              </w:rPr>
            </w:pPr>
            <w:r w:rsidRPr="00274E0D">
              <w:rPr>
                <w:color w:val="000000" w:themeColor="text1"/>
                <w:sz w:val="22"/>
              </w:rPr>
              <w:lastRenderedPageBreak/>
              <w:t>Henkilöstötaulukkoon sisältyvät virat/toimet</w:t>
            </w:r>
          </w:p>
        </w:tc>
        <w:tc>
          <w:tcPr>
            <w:tcW w:w="2031" w:type="dxa"/>
          </w:tcPr>
          <w:p w14:paraId="49E02E21" w14:textId="77777777" w:rsidR="0093115D" w:rsidRPr="00274E0D" w:rsidRDefault="0093115D" w:rsidP="00434248">
            <w:pPr>
              <w:pStyle w:val="Text1"/>
              <w:ind w:left="0"/>
              <w:rPr>
                <w:noProof/>
                <w:color w:val="000000" w:themeColor="text1"/>
                <w:sz w:val="22"/>
                <w:szCs w:val="28"/>
              </w:rPr>
            </w:pPr>
            <w:r w:rsidRPr="00274E0D">
              <w:rPr>
                <w:color w:val="000000" w:themeColor="text1"/>
                <w:sz w:val="22"/>
              </w:rPr>
              <w:t>12 virkaa/toimea</w:t>
            </w:r>
          </w:p>
        </w:tc>
        <w:tc>
          <w:tcPr>
            <w:tcW w:w="1925" w:type="dxa"/>
          </w:tcPr>
          <w:p w14:paraId="38569310" w14:textId="77777777" w:rsidR="0093115D" w:rsidRPr="00274E0D" w:rsidRDefault="0093115D" w:rsidP="00434248">
            <w:pPr>
              <w:pStyle w:val="Text1"/>
              <w:ind w:left="0"/>
              <w:rPr>
                <w:noProof/>
                <w:color w:val="000000" w:themeColor="text1"/>
                <w:sz w:val="22"/>
                <w:szCs w:val="22"/>
              </w:rPr>
            </w:pPr>
            <w:r w:rsidRPr="00274E0D">
              <w:rPr>
                <w:color w:val="000000" w:themeColor="text1"/>
                <w:sz w:val="22"/>
              </w:rPr>
              <w:t>41 virkaa/toimea</w:t>
            </w:r>
          </w:p>
        </w:tc>
        <w:tc>
          <w:tcPr>
            <w:tcW w:w="1938" w:type="dxa"/>
          </w:tcPr>
          <w:p w14:paraId="6C5495F1" w14:textId="77777777" w:rsidR="0093115D" w:rsidRPr="00274E0D" w:rsidRDefault="0093115D" w:rsidP="00434248">
            <w:pPr>
              <w:pStyle w:val="Text1"/>
              <w:ind w:left="0"/>
              <w:rPr>
                <w:noProof/>
                <w:sz w:val="22"/>
                <w:szCs w:val="28"/>
              </w:rPr>
            </w:pPr>
            <w:r w:rsidRPr="00274E0D">
              <w:rPr>
                <w:sz w:val="22"/>
              </w:rPr>
              <w:t>Ei sovelleta</w:t>
            </w:r>
          </w:p>
        </w:tc>
        <w:tc>
          <w:tcPr>
            <w:tcW w:w="1748" w:type="dxa"/>
          </w:tcPr>
          <w:p w14:paraId="0409232F" w14:textId="77777777" w:rsidR="0093115D" w:rsidRPr="00274E0D" w:rsidRDefault="0093115D" w:rsidP="00434248">
            <w:pPr>
              <w:pStyle w:val="Text1"/>
              <w:ind w:left="0"/>
              <w:rPr>
                <w:noProof/>
                <w:sz w:val="22"/>
                <w:szCs w:val="28"/>
              </w:rPr>
            </w:pPr>
          </w:p>
        </w:tc>
      </w:tr>
      <w:tr w:rsidR="0093115D" w:rsidRPr="00274E0D" w14:paraId="74609D4C" w14:textId="77777777" w:rsidTr="00434248">
        <w:trPr>
          <w:trHeight w:val="300"/>
        </w:trPr>
        <w:tc>
          <w:tcPr>
            <w:tcW w:w="1845" w:type="dxa"/>
          </w:tcPr>
          <w:p w14:paraId="6634F783" w14:textId="77777777" w:rsidR="0093115D" w:rsidRPr="00274E0D" w:rsidRDefault="0093115D" w:rsidP="00434248">
            <w:pPr>
              <w:pStyle w:val="Text1"/>
              <w:ind w:left="0"/>
              <w:rPr>
                <w:noProof/>
                <w:color w:val="000000" w:themeColor="text1"/>
                <w:sz w:val="22"/>
                <w:szCs w:val="28"/>
              </w:rPr>
            </w:pPr>
            <w:r w:rsidRPr="00274E0D">
              <w:rPr>
                <w:color w:val="000000" w:themeColor="text1"/>
                <w:sz w:val="22"/>
              </w:rPr>
              <w:t>Ulkopuolinen henkilöstö (sopimussuhteiset toimihenkilöt, kansalliset asiantuntijat ja vuokrahenkilöstö)</w:t>
            </w:r>
          </w:p>
        </w:tc>
        <w:tc>
          <w:tcPr>
            <w:tcW w:w="2031" w:type="dxa"/>
          </w:tcPr>
          <w:p w14:paraId="19085CCB" w14:textId="77777777" w:rsidR="0093115D" w:rsidRPr="00274E0D" w:rsidRDefault="0093115D" w:rsidP="00434248">
            <w:pPr>
              <w:pStyle w:val="Text1"/>
              <w:ind w:left="0"/>
              <w:rPr>
                <w:noProof/>
                <w:color w:val="000000" w:themeColor="text1"/>
                <w:sz w:val="22"/>
                <w:szCs w:val="28"/>
              </w:rPr>
            </w:pPr>
            <w:r w:rsidRPr="00274E0D">
              <w:rPr>
                <w:color w:val="000000" w:themeColor="text1"/>
                <w:sz w:val="22"/>
              </w:rPr>
              <w:t>2 sopimussuhteista toimihenkilöä</w:t>
            </w:r>
          </w:p>
        </w:tc>
        <w:tc>
          <w:tcPr>
            <w:tcW w:w="1925" w:type="dxa"/>
          </w:tcPr>
          <w:p w14:paraId="70DCA96A" w14:textId="77777777" w:rsidR="0093115D" w:rsidRPr="00274E0D" w:rsidRDefault="0093115D" w:rsidP="00434248">
            <w:pPr>
              <w:pStyle w:val="Text1"/>
              <w:ind w:left="0"/>
              <w:rPr>
                <w:noProof/>
                <w:color w:val="000000" w:themeColor="text1"/>
                <w:sz w:val="22"/>
                <w:szCs w:val="28"/>
              </w:rPr>
            </w:pPr>
          </w:p>
        </w:tc>
        <w:tc>
          <w:tcPr>
            <w:tcW w:w="1938" w:type="dxa"/>
          </w:tcPr>
          <w:p w14:paraId="5C5C4742" w14:textId="77777777" w:rsidR="0093115D" w:rsidRPr="00274E0D" w:rsidRDefault="0093115D" w:rsidP="00434248">
            <w:pPr>
              <w:pStyle w:val="Text1"/>
              <w:ind w:left="0"/>
              <w:rPr>
                <w:noProof/>
                <w:sz w:val="22"/>
                <w:szCs w:val="28"/>
              </w:rPr>
            </w:pPr>
          </w:p>
        </w:tc>
        <w:tc>
          <w:tcPr>
            <w:tcW w:w="1748" w:type="dxa"/>
          </w:tcPr>
          <w:p w14:paraId="5B26A3A3" w14:textId="77777777" w:rsidR="0093115D" w:rsidRPr="00274E0D" w:rsidRDefault="0093115D" w:rsidP="00434248">
            <w:pPr>
              <w:pStyle w:val="Text1"/>
              <w:ind w:left="0"/>
              <w:rPr>
                <w:noProof/>
                <w:sz w:val="22"/>
                <w:szCs w:val="28"/>
              </w:rPr>
            </w:pPr>
          </w:p>
        </w:tc>
      </w:tr>
    </w:tbl>
    <w:p w14:paraId="397F5AD4" w14:textId="77777777" w:rsidR="0093115D" w:rsidRPr="00274E0D" w:rsidRDefault="0093115D" w:rsidP="00656AA8">
      <w:pPr>
        <w:pStyle w:val="Text1"/>
        <w:ind w:left="-426" w:right="-427"/>
        <w:rPr>
          <w:noProof/>
        </w:rPr>
      </w:pPr>
      <w:r w:rsidRPr="00274E0D">
        <w:t>Kuvaus henkilöstön tehtävistä:</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rsidR="0093115D" w:rsidRPr="00274E0D" w14:paraId="23DF0009" w14:textId="77777777" w:rsidTr="00434248">
        <w:tc>
          <w:tcPr>
            <w:tcW w:w="3240" w:type="dxa"/>
          </w:tcPr>
          <w:p w14:paraId="65CC5858" w14:textId="77777777" w:rsidR="0093115D" w:rsidRPr="00274E0D" w:rsidRDefault="0093115D" w:rsidP="00434248">
            <w:pPr>
              <w:rPr>
                <w:noProof/>
                <w:sz w:val="20"/>
              </w:rPr>
            </w:pPr>
            <w:r w:rsidRPr="00274E0D">
              <w:rPr>
                <w:sz w:val="20"/>
              </w:rPr>
              <w:t>Virkamiehet ja väliaikaiset toimihenkilöt</w:t>
            </w:r>
          </w:p>
        </w:tc>
        <w:tc>
          <w:tcPr>
            <w:tcW w:w="7200" w:type="dxa"/>
          </w:tcPr>
          <w:p w14:paraId="6B66264C" w14:textId="77777777" w:rsidR="0093115D" w:rsidRPr="00274E0D" w:rsidRDefault="0093115D" w:rsidP="00434248">
            <w:pPr>
              <w:rPr>
                <w:noProof/>
                <w:color w:val="000000" w:themeColor="text1"/>
                <w:sz w:val="20"/>
                <w:szCs w:val="20"/>
              </w:rPr>
            </w:pPr>
            <w:r w:rsidRPr="00274E0D">
              <w:rPr>
                <w:b/>
                <w:color w:val="000000" w:themeColor="text1"/>
                <w:sz w:val="20"/>
              </w:rPr>
              <w:t>53 virkamiestä ja väliaikaista toimihenkilöä</w:t>
            </w:r>
            <w:r w:rsidRPr="00274E0D">
              <w:rPr>
                <w:color w:val="000000" w:themeColor="text1"/>
                <w:sz w:val="20"/>
              </w:rPr>
              <w:t xml:space="preserve"> hoitaa seuraavia tehtäviä:</w:t>
            </w:r>
          </w:p>
          <w:p w14:paraId="48D814E4"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ohjelmasuunnittelu/asiantuntijaryhmä/komitea</w:t>
            </w:r>
          </w:p>
          <w:p w14:paraId="24A63C3B"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täytäntöönpano: horisontaaliset tehtävät, aihekohtainen/tekninen asiantuntemus EU:n ja Ukrainan toimistoissa</w:t>
            </w:r>
          </w:p>
          <w:p w14:paraId="18616F44"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Ukrainan rahoitusstrategia</w:t>
            </w:r>
          </w:p>
          <w:p w14:paraId="6CF63048"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makrotaloudelliseen rahoitusapuun liittyvät tehtävät</w:t>
            </w:r>
          </w:p>
          <w:p w14:paraId="3BA73D48"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puolustukseen liittyvän tuen tehtävät</w:t>
            </w:r>
          </w:p>
          <w:p w14:paraId="19E6C834"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tarkastus ja valvonta</w:t>
            </w:r>
          </w:p>
          <w:p w14:paraId="459B2C96"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 xml:space="preserve">oikeudellinen työ </w:t>
            </w:r>
          </w:p>
          <w:p w14:paraId="6D0A4B15"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käsittelyketjun suunnittelu</w:t>
            </w:r>
          </w:p>
          <w:p w14:paraId="3EEF679B"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 xml:space="preserve">kirjanpitotehtävät </w:t>
            </w:r>
          </w:p>
          <w:p w14:paraId="01666C45"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 xml:space="preserve">liikkumavaran kestävyys </w:t>
            </w:r>
          </w:p>
          <w:p w14:paraId="51544711"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 xml:space="preserve">lainanotto ja velanhoito </w:t>
            </w:r>
          </w:p>
          <w:p w14:paraId="29373344"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 xml:space="preserve">maksuvaatimukset, takaisinmaksuraportointi jne. </w:t>
            </w:r>
          </w:p>
          <w:p w14:paraId="45B67FB6" w14:textId="77777777" w:rsidR="0093115D" w:rsidRPr="00274E0D" w:rsidRDefault="0093115D" w:rsidP="00717586">
            <w:pPr>
              <w:pStyle w:val="ListParagraph"/>
              <w:numPr>
                <w:ilvl w:val="0"/>
                <w:numId w:val="35"/>
              </w:numPr>
              <w:rPr>
                <w:noProof/>
                <w:color w:val="000000" w:themeColor="text1"/>
                <w:sz w:val="20"/>
              </w:rPr>
            </w:pPr>
            <w:r w:rsidRPr="00274E0D">
              <w:rPr>
                <w:color w:val="000000" w:themeColor="text1"/>
                <w:sz w:val="20"/>
              </w:rPr>
              <w:t>sopimusten hallinnointi.</w:t>
            </w:r>
          </w:p>
          <w:p w14:paraId="054E31F4" w14:textId="77777777" w:rsidR="0093115D" w:rsidRPr="00274E0D" w:rsidRDefault="0093115D" w:rsidP="00434248">
            <w:pPr>
              <w:rPr>
                <w:noProof/>
                <w:color w:val="000000" w:themeColor="text1"/>
                <w:sz w:val="20"/>
              </w:rPr>
            </w:pPr>
          </w:p>
        </w:tc>
      </w:tr>
      <w:tr w:rsidR="0093115D" w:rsidRPr="00274E0D" w14:paraId="44D48A0F" w14:textId="77777777" w:rsidTr="00434248">
        <w:tc>
          <w:tcPr>
            <w:tcW w:w="3240" w:type="dxa"/>
          </w:tcPr>
          <w:p w14:paraId="3D111B0F" w14:textId="77777777" w:rsidR="0093115D" w:rsidRPr="00274E0D" w:rsidRDefault="0093115D" w:rsidP="00434248">
            <w:pPr>
              <w:spacing w:before="60" w:after="60"/>
              <w:ind w:left="720"/>
              <w:rPr>
                <w:noProof/>
                <w:sz w:val="20"/>
              </w:rPr>
            </w:pPr>
            <w:r w:rsidRPr="00274E0D">
              <w:rPr>
                <w:sz w:val="20"/>
              </w:rPr>
              <w:t>Ulkopuolinen henkilöstö</w:t>
            </w:r>
          </w:p>
        </w:tc>
        <w:tc>
          <w:tcPr>
            <w:tcW w:w="7200" w:type="dxa"/>
          </w:tcPr>
          <w:p w14:paraId="5447D45B" w14:textId="77777777" w:rsidR="0093115D" w:rsidRPr="00274E0D" w:rsidRDefault="0093115D" w:rsidP="00434248">
            <w:pPr>
              <w:rPr>
                <w:noProof/>
                <w:color w:val="000000" w:themeColor="text1"/>
                <w:sz w:val="20"/>
              </w:rPr>
            </w:pPr>
            <w:r w:rsidRPr="00274E0D">
              <w:rPr>
                <w:b/>
                <w:color w:val="000000" w:themeColor="text1"/>
                <w:sz w:val="20"/>
              </w:rPr>
              <w:t>2 kokoaikavastaavaa</w:t>
            </w:r>
            <w:r w:rsidRPr="00274E0D">
              <w:rPr>
                <w:color w:val="000000" w:themeColor="text1"/>
                <w:sz w:val="20"/>
              </w:rPr>
              <w:t xml:space="preserve"> tukemaan ohjelmasuunnitteluun/asiantuntijaryhmään/komiteaan liittyvää työtä</w:t>
            </w:r>
          </w:p>
          <w:p w14:paraId="62AA92F4" w14:textId="77777777" w:rsidR="0093115D" w:rsidRPr="00274E0D" w:rsidRDefault="0093115D" w:rsidP="00434248">
            <w:pPr>
              <w:rPr>
                <w:noProof/>
                <w:color w:val="000000" w:themeColor="text1"/>
                <w:sz w:val="20"/>
              </w:rPr>
            </w:pPr>
          </w:p>
        </w:tc>
      </w:tr>
    </w:tbl>
    <w:p w14:paraId="28C13F1C" w14:textId="77777777" w:rsidR="0093115D" w:rsidRPr="00274E0D" w:rsidRDefault="0093115D" w:rsidP="00656AA8">
      <w:pPr>
        <w:pStyle w:val="ManualHeading3"/>
        <w:rPr>
          <w:noProof/>
        </w:rPr>
      </w:pPr>
      <w:bookmarkStart w:id="195" w:name="_Toc177549031"/>
      <w:r w:rsidRPr="00274E0D">
        <w:t>3.2.5.</w:t>
      </w:r>
      <w:r w:rsidRPr="00274E0D">
        <w:tab/>
        <w:t>Yhteenveto arvioiduista vaikutuksista digitaaliteknologiaan liittyviin investointeihin</w:t>
      </w:r>
      <w:bookmarkEnd w:id="195"/>
    </w:p>
    <w:p w14:paraId="189EF0F6" w14:textId="77777777" w:rsidR="0093115D" w:rsidRPr="00274E0D" w:rsidRDefault="0093115D" w:rsidP="00656AA8">
      <w:pPr>
        <w:pStyle w:val="Text1"/>
        <w:spacing w:line="259" w:lineRule="auto"/>
        <w:rPr>
          <w:noProof/>
        </w:rPr>
      </w:pPr>
      <w:r w:rsidRPr="00274E0D">
        <w:t xml:space="preserve">Pakollinen: seuraavaan taulukkoon olisi sisällytettävä tarkin mahdollinen arvio ehdotuksen/aloitteen aiheuttamista digitaaliteknologiaan liittyvistä investoinneista. </w:t>
      </w:r>
    </w:p>
    <w:p w14:paraId="248ED467" w14:textId="77777777" w:rsidR="0093115D" w:rsidRPr="00274E0D" w:rsidRDefault="0093115D" w:rsidP="00656AA8">
      <w:pPr>
        <w:pStyle w:val="Text1"/>
        <w:spacing w:line="259" w:lineRule="auto"/>
        <w:rPr>
          <w:noProof/>
        </w:rPr>
      </w:pPr>
      <w:r w:rsidRPr="00274E0D">
        <w:t xml:space="preserve">Jos ehdotuksen/aloitteen toteuttaminen sitä edellyttää, otsakkeen 7 määrärahat olisi poikkeuksellisesti esitettävä nimetyllä rivillä. </w:t>
      </w:r>
    </w:p>
    <w:p w14:paraId="16772E64" w14:textId="77777777" w:rsidR="0093115D" w:rsidRPr="00274E0D" w:rsidRDefault="0093115D" w:rsidP="00656AA8">
      <w:pPr>
        <w:pStyle w:val="Text1"/>
        <w:spacing w:line="259" w:lineRule="auto"/>
        <w:rPr>
          <w:noProof/>
        </w:rPr>
      </w:pPr>
      <w:r w:rsidRPr="00274E0D">
        <w:t>Otsakkeiden 1–6 määrärahat olisi otettava huomioon rivillä ”Toimenpideohjelmien ohjelmatason tietotekniikkamenot”. Näillä menoilla tarkoitetaan toimintatalousarviota, jota käytetään suoraan aloitteen täytäntöönpanoon liittyvien tietoteknisten alustojen/välineiden uudelleenkäyttöön/ostoon/kehittämiseen sekä niihin liittyviin investointeihin (esimerkiksi lisensseihin, koulutukseen tai tietojen säilyttämiseen). Tässä taulukossa annettujen tietojen olisi oltava yhdenmukaisia 4 jaksossa ”Digitaaliset ulottuvuudet” esitettyjen yksityiskohtien kanssa.</w:t>
      </w:r>
    </w:p>
    <w:tbl>
      <w:tblPr>
        <w:tblW w:w="0" w:type="auto"/>
        <w:tblLayout w:type="fixed"/>
        <w:tblLook w:val="04A0" w:firstRow="1" w:lastRow="0" w:firstColumn="1" w:lastColumn="0" w:noHBand="0" w:noVBand="1"/>
      </w:tblPr>
      <w:tblGrid>
        <w:gridCol w:w="3214"/>
        <w:gridCol w:w="835"/>
        <w:gridCol w:w="835"/>
        <w:gridCol w:w="835"/>
        <w:gridCol w:w="835"/>
        <w:gridCol w:w="981"/>
      </w:tblGrid>
      <w:tr w:rsidR="0093115D" w:rsidRPr="00274E0D" w14:paraId="1BAED359" w14:textId="77777777" w:rsidTr="00434248">
        <w:trPr>
          <w:trHeight w:val="525"/>
        </w:trPr>
        <w:tc>
          <w:tcPr>
            <w:tcW w:w="3214" w:type="dxa"/>
            <w:vMerge w:val="restart"/>
            <w:tcBorders>
              <w:top w:val="single" w:sz="8" w:space="0" w:color="auto"/>
              <w:left w:val="single" w:sz="4" w:space="0" w:color="auto"/>
              <w:right w:val="single" w:sz="4" w:space="0" w:color="auto"/>
            </w:tcBorders>
            <w:tcMar>
              <w:left w:w="108" w:type="dxa"/>
              <w:right w:w="108" w:type="dxa"/>
            </w:tcMar>
            <w:vAlign w:val="center"/>
          </w:tcPr>
          <w:p w14:paraId="753B63EE"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YHTEENSÄ Digitaaliteknologiaan ja tietotekniikkaan liittyvät määrärahat</w:t>
            </w:r>
          </w:p>
        </w:tc>
        <w:tc>
          <w:tcPr>
            <w:tcW w:w="835" w:type="dxa"/>
            <w:tcBorders>
              <w:top w:val="single" w:sz="8" w:space="0" w:color="auto"/>
              <w:left w:val="single" w:sz="4" w:space="0" w:color="auto"/>
              <w:bottom w:val="nil"/>
              <w:right w:val="single" w:sz="8" w:space="0" w:color="auto"/>
            </w:tcBorders>
            <w:tcMar>
              <w:left w:w="108" w:type="dxa"/>
              <w:right w:w="108" w:type="dxa"/>
            </w:tcMar>
            <w:vAlign w:val="center"/>
          </w:tcPr>
          <w:p w14:paraId="027584BF"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1723A6C"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4638336D"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835" w:type="dxa"/>
            <w:tcBorders>
              <w:top w:val="single" w:sz="8" w:space="0" w:color="auto"/>
              <w:left w:val="single" w:sz="8" w:space="0" w:color="auto"/>
              <w:bottom w:val="nil"/>
              <w:right w:val="single" w:sz="8" w:space="0" w:color="auto"/>
            </w:tcBorders>
            <w:tcMar>
              <w:left w:w="108" w:type="dxa"/>
              <w:right w:w="108" w:type="dxa"/>
            </w:tcMar>
            <w:vAlign w:val="center"/>
          </w:tcPr>
          <w:p w14:paraId="7519C69E" w14:textId="77777777" w:rsidR="0093115D" w:rsidRPr="00274E0D" w:rsidRDefault="0093115D" w:rsidP="00434248">
            <w:pPr>
              <w:spacing w:before="0" w:after="0"/>
              <w:jc w:val="center"/>
              <w:rPr>
                <w:noProof/>
                <w:color w:val="000000" w:themeColor="text1"/>
                <w:sz w:val="18"/>
                <w:szCs w:val="18"/>
              </w:rPr>
            </w:pPr>
            <w:r w:rsidRPr="00274E0D">
              <w:rPr>
                <w:color w:val="000000" w:themeColor="text1"/>
                <w:sz w:val="18"/>
              </w:rPr>
              <w:t>Vuosi</w:t>
            </w:r>
          </w:p>
        </w:tc>
        <w:tc>
          <w:tcPr>
            <w:tcW w:w="981" w:type="dxa"/>
            <w:vMerge w:val="restart"/>
            <w:tcBorders>
              <w:top w:val="single" w:sz="8" w:space="0" w:color="auto"/>
              <w:left w:val="single" w:sz="8" w:space="0" w:color="auto"/>
              <w:bottom w:val="single" w:sz="8" w:space="0" w:color="auto"/>
              <w:right w:val="single" w:sz="4" w:space="0" w:color="auto"/>
            </w:tcBorders>
            <w:tcMar>
              <w:left w:w="108" w:type="dxa"/>
              <w:right w:w="108" w:type="dxa"/>
            </w:tcMar>
            <w:vAlign w:val="center"/>
          </w:tcPr>
          <w:p w14:paraId="78E59C6C"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MRK YHTEENSÄ 2021–2027</w:t>
            </w:r>
          </w:p>
        </w:tc>
      </w:tr>
      <w:tr w:rsidR="0093115D" w:rsidRPr="00274E0D" w14:paraId="0D7A6A00" w14:textId="77777777" w:rsidTr="00434248">
        <w:trPr>
          <w:trHeight w:val="525"/>
        </w:trPr>
        <w:tc>
          <w:tcPr>
            <w:tcW w:w="3214" w:type="dxa"/>
            <w:vMerge/>
            <w:tcBorders>
              <w:top w:val="single" w:sz="8" w:space="0" w:color="auto"/>
              <w:left w:val="single" w:sz="4" w:space="0" w:color="auto"/>
              <w:right w:val="single" w:sz="4" w:space="0" w:color="auto"/>
            </w:tcBorders>
            <w:vAlign w:val="center"/>
          </w:tcPr>
          <w:p w14:paraId="1CEEB767" w14:textId="77777777" w:rsidR="0093115D" w:rsidRPr="00274E0D" w:rsidRDefault="0093115D" w:rsidP="00434248">
            <w:pPr>
              <w:rPr>
                <w:noProof/>
              </w:rPr>
            </w:pPr>
          </w:p>
        </w:tc>
        <w:tc>
          <w:tcPr>
            <w:tcW w:w="835" w:type="dxa"/>
            <w:tcBorders>
              <w:top w:val="nil"/>
              <w:left w:val="single" w:sz="4" w:space="0" w:color="auto"/>
              <w:bottom w:val="single" w:sz="8" w:space="0" w:color="auto"/>
              <w:right w:val="single" w:sz="8" w:space="0" w:color="auto"/>
            </w:tcBorders>
            <w:tcMar>
              <w:left w:w="108" w:type="dxa"/>
              <w:right w:w="108" w:type="dxa"/>
            </w:tcMar>
            <w:vAlign w:val="center"/>
          </w:tcPr>
          <w:p w14:paraId="0CFEBB7E"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2024</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236B98C8"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2025</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1D0F97C"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2026</w:t>
            </w:r>
          </w:p>
        </w:tc>
        <w:tc>
          <w:tcPr>
            <w:tcW w:w="835" w:type="dxa"/>
            <w:tcBorders>
              <w:top w:val="nil"/>
              <w:left w:val="single" w:sz="8" w:space="0" w:color="auto"/>
              <w:bottom w:val="single" w:sz="8" w:space="0" w:color="auto"/>
              <w:right w:val="single" w:sz="8" w:space="0" w:color="auto"/>
            </w:tcBorders>
            <w:tcMar>
              <w:left w:w="108" w:type="dxa"/>
              <w:right w:w="108" w:type="dxa"/>
            </w:tcMar>
            <w:vAlign w:val="center"/>
          </w:tcPr>
          <w:p w14:paraId="78FFF92A" w14:textId="77777777" w:rsidR="0093115D" w:rsidRPr="00274E0D" w:rsidRDefault="0093115D" w:rsidP="00434248">
            <w:pPr>
              <w:spacing w:before="0" w:after="0"/>
              <w:jc w:val="center"/>
              <w:rPr>
                <w:b/>
                <w:bCs/>
                <w:noProof/>
                <w:color w:val="000000" w:themeColor="text1"/>
                <w:sz w:val="18"/>
                <w:szCs w:val="18"/>
              </w:rPr>
            </w:pPr>
            <w:r w:rsidRPr="00274E0D">
              <w:rPr>
                <w:b/>
                <w:color w:val="000000" w:themeColor="text1"/>
                <w:sz w:val="18"/>
              </w:rPr>
              <w:t>2027</w:t>
            </w:r>
          </w:p>
        </w:tc>
        <w:tc>
          <w:tcPr>
            <w:tcW w:w="981" w:type="dxa"/>
            <w:vMerge/>
            <w:tcBorders>
              <w:bottom w:val="single" w:sz="4" w:space="0" w:color="auto"/>
              <w:right w:val="single" w:sz="4" w:space="0" w:color="auto"/>
            </w:tcBorders>
            <w:vAlign w:val="center"/>
          </w:tcPr>
          <w:p w14:paraId="0F06A87D" w14:textId="77777777" w:rsidR="0093115D" w:rsidRPr="00274E0D" w:rsidRDefault="0093115D" w:rsidP="00434248">
            <w:pPr>
              <w:rPr>
                <w:noProof/>
              </w:rPr>
            </w:pPr>
          </w:p>
        </w:tc>
      </w:tr>
      <w:tr w:rsidR="0093115D" w:rsidRPr="00274E0D" w14:paraId="5FCF56E9" w14:textId="77777777" w:rsidTr="00434248">
        <w:trPr>
          <w:trHeight w:val="300"/>
        </w:trPr>
        <w:tc>
          <w:tcPr>
            <w:tcW w:w="7535" w:type="dxa"/>
            <w:gridSpan w:val="6"/>
            <w:tcBorders>
              <w:top w:val="nil"/>
              <w:left w:val="single" w:sz="8" w:space="0" w:color="auto"/>
              <w:bottom w:val="single" w:sz="8" w:space="0" w:color="auto"/>
              <w:right w:val="single" w:sz="8" w:space="0" w:color="auto"/>
            </w:tcBorders>
            <w:tcMar>
              <w:left w:w="108" w:type="dxa"/>
              <w:right w:w="108" w:type="dxa"/>
            </w:tcMar>
            <w:vAlign w:val="center"/>
          </w:tcPr>
          <w:p w14:paraId="2C414A62" w14:textId="77777777" w:rsidR="0093115D" w:rsidRPr="00274E0D" w:rsidRDefault="0093115D" w:rsidP="00434248">
            <w:pPr>
              <w:spacing w:before="0" w:after="0"/>
              <w:jc w:val="left"/>
              <w:rPr>
                <w:b/>
                <w:bCs/>
                <w:noProof/>
                <w:color w:val="000000" w:themeColor="text1"/>
                <w:sz w:val="16"/>
                <w:szCs w:val="16"/>
              </w:rPr>
            </w:pPr>
            <w:r w:rsidRPr="00274E0D">
              <w:rPr>
                <w:b/>
                <w:color w:val="000000" w:themeColor="text1"/>
                <w:sz w:val="16"/>
              </w:rPr>
              <w:lastRenderedPageBreak/>
              <w:t>OTSAKE 7</w:t>
            </w:r>
          </w:p>
        </w:tc>
      </w:tr>
      <w:tr w:rsidR="0093115D" w:rsidRPr="00274E0D" w14:paraId="32D4C7BF" w14:textId="77777777" w:rsidTr="0043424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460329" w14:textId="77777777" w:rsidR="0093115D" w:rsidRPr="00274E0D" w:rsidRDefault="0093115D" w:rsidP="00434248">
            <w:pPr>
              <w:spacing w:before="0" w:after="0"/>
              <w:jc w:val="left"/>
              <w:rPr>
                <w:noProof/>
                <w:color w:val="000000" w:themeColor="text1"/>
                <w:sz w:val="16"/>
                <w:szCs w:val="16"/>
              </w:rPr>
            </w:pPr>
            <w:r w:rsidRPr="00274E0D">
              <w:rPr>
                <w:rFonts w:ascii="Arial Narrow" w:hAnsi="Arial Narrow"/>
                <w:color w:val="000000" w:themeColor="text1"/>
                <w:sz w:val="20"/>
              </w:rPr>
              <w:t>Tietotekniikkamenot (toimielintasolla)</w:t>
            </w:r>
            <w:r w:rsidRPr="00274E0D">
              <w:rPr>
                <w:color w:val="000000" w:themeColor="text1"/>
                <w:sz w:val="16"/>
              </w:rPr>
              <w:t xml:space="preserve"> </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8F3FF8F"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39FC541"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35EF9D8"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0,336</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DA3CC41"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0,336</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FDFABF6"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0,672</w:t>
            </w:r>
          </w:p>
        </w:tc>
      </w:tr>
      <w:tr w:rsidR="0093115D" w:rsidRPr="00274E0D" w14:paraId="342EBC98" w14:textId="77777777" w:rsidTr="0043424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27FFB9E3"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OTSAKE 7,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88B0898"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8D55B81"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1C2424C1"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0,336</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31A2BF21"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0,336</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B8B259C"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0,672</w:t>
            </w:r>
          </w:p>
        </w:tc>
      </w:tr>
      <w:tr w:rsidR="0093115D" w:rsidRPr="00274E0D" w14:paraId="7F8C3CCC" w14:textId="77777777" w:rsidTr="0043424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05F4C8" w14:textId="77777777" w:rsidR="0093115D" w:rsidRPr="00274E0D" w:rsidRDefault="0093115D" w:rsidP="00434248">
            <w:pPr>
              <w:spacing w:before="0" w:after="0"/>
              <w:jc w:val="left"/>
              <w:rPr>
                <w:b/>
                <w:bCs/>
                <w:noProof/>
                <w:color w:val="000000" w:themeColor="text1"/>
                <w:sz w:val="16"/>
                <w:szCs w:val="16"/>
              </w:rPr>
            </w:pPr>
            <w:r w:rsidRPr="00274E0D">
              <w:rPr>
                <w:b/>
                <w:color w:val="000000" w:themeColor="text1"/>
                <w:sz w:val="16"/>
              </w:rPr>
              <w:t>OTSAKKEESEEN 7 sisältymättömät</w:t>
            </w:r>
          </w:p>
        </w:tc>
      </w:tr>
      <w:tr w:rsidR="0093115D" w:rsidRPr="00274E0D" w14:paraId="14B35460" w14:textId="77777777" w:rsidTr="00434248">
        <w:trPr>
          <w:trHeight w:val="300"/>
        </w:trPr>
        <w:tc>
          <w:tcPr>
            <w:tcW w:w="321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055B64" w14:textId="77777777" w:rsidR="0093115D" w:rsidRPr="00274E0D" w:rsidRDefault="0093115D" w:rsidP="00434248">
            <w:pPr>
              <w:spacing w:before="0" w:after="0"/>
              <w:jc w:val="left"/>
              <w:rPr>
                <w:rFonts w:ascii="Arial Narrow" w:eastAsia="Arial Narrow" w:hAnsi="Arial Narrow" w:cs="Arial Narrow"/>
                <w:noProof/>
                <w:color w:val="000000" w:themeColor="text1"/>
                <w:sz w:val="20"/>
                <w:szCs w:val="20"/>
              </w:rPr>
            </w:pPr>
            <w:r w:rsidRPr="00274E0D">
              <w:rPr>
                <w:rFonts w:ascii="Arial Narrow" w:hAnsi="Arial Narrow"/>
                <w:color w:val="000000" w:themeColor="text1"/>
                <w:sz w:val="20"/>
              </w:rPr>
              <w:t>Toimenpideohjelmien ohjelmatason tietotekniikkamenot</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28FE7B7"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5B92FE5"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6C6F4AEA"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835"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499F457" w14:textId="77777777" w:rsidR="0093115D" w:rsidRPr="00274E0D" w:rsidRDefault="0093115D" w:rsidP="00434248">
            <w:pPr>
              <w:spacing w:before="0" w:after="0"/>
              <w:jc w:val="right"/>
              <w:rPr>
                <w:noProof/>
                <w:color w:val="000000" w:themeColor="text1"/>
                <w:sz w:val="16"/>
                <w:szCs w:val="16"/>
              </w:rPr>
            </w:pPr>
            <w:r w:rsidRPr="00274E0D">
              <w:rPr>
                <w:color w:val="000000" w:themeColor="text1"/>
                <w:sz w:val="16"/>
              </w:rPr>
              <w:t>0,000</w:t>
            </w:r>
          </w:p>
        </w:tc>
        <w:tc>
          <w:tcPr>
            <w:tcW w:w="981" w:type="dxa"/>
            <w:tcBorders>
              <w:top w:val="nil"/>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213F4E80"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5EABC08D" w14:textId="77777777" w:rsidTr="00434248">
        <w:trPr>
          <w:trHeight w:val="300"/>
        </w:trPr>
        <w:tc>
          <w:tcPr>
            <w:tcW w:w="3214" w:type="dxa"/>
            <w:tcBorders>
              <w:top w:val="single" w:sz="8" w:space="0" w:color="auto"/>
              <w:left w:val="single" w:sz="8" w:space="0" w:color="auto"/>
              <w:bottom w:val="single" w:sz="8" w:space="0" w:color="auto"/>
              <w:right w:val="single" w:sz="8" w:space="0" w:color="auto"/>
            </w:tcBorders>
            <w:shd w:val="clear" w:color="auto" w:fill="CCCCCC"/>
            <w:tcMar>
              <w:left w:w="108" w:type="dxa"/>
              <w:right w:w="108" w:type="dxa"/>
            </w:tcMar>
            <w:vAlign w:val="center"/>
          </w:tcPr>
          <w:p w14:paraId="3EB8B27A"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OTSAKKEESEEN 7 sisältymättömät, välisumma</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A3D6B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7E716054"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E8970A6"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9B36D24"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981"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536ED9F0"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r>
      <w:tr w:rsidR="0093115D" w:rsidRPr="00274E0D" w14:paraId="63C480AA" w14:textId="77777777" w:rsidTr="00434248">
        <w:trPr>
          <w:trHeight w:val="300"/>
        </w:trPr>
        <w:tc>
          <w:tcPr>
            <w:tcW w:w="7535" w:type="dxa"/>
            <w:gridSpan w:val="6"/>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06BE6E" w14:textId="77777777" w:rsidR="0093115D" w:rsidRPr="00274E0D" w:rsidRDefault="0093115D" w:rsidP="00434248">
            <w:pPr>
              <w:spacing w:before="0" w:after="0"/>
              <w:jc w:val="center"/>
              <w:rPr>
                <w:noProof/>
                <w:color w:val="000000" w:themeColor="text1"/>
                <w:sz w:val="16"/>
                <w:szCs w:val="16"/>
              </w:rPr>
            </w:pPr>
            <w:r w:rsidRPr="00274E0D">
              <w:rPr>
                <w:color w:val="000000" w:themeColor="text1"/>
                <w:sz w:val="16"/>
              </w:rPr>
              <w:t xml:space="preserve"> </w:t>
            </w:r>
          </w:p>
        </w:tc>
      </w:tr>
      <w:tr w:rsidR="0093115D" w:rsidRPr="00274E0D" w14:paraId="1A17EE6B" w14:textId="77777777" w:rsidTr="00434248">
        <w:trPr>
          <w:trHeight w:val="315"/>
        </w:trPr>
        <w:tc>
          <w:tcPr>
            <w:tcW w:w="3214" w:type="dxa"/>
            <w:tcBorders>
              <w:top w:val="single" w:sz="8" w:space="0" w:color="auto"/>
              <w:left w:val="single" w:sz="12" w:space="0" w:color="auto"/>
              <w:bottom w:val="single" w:sz="12" w:space="0" w:color="auto"/>
              <w:right w:val="single" w:sz="8" w:space="0" w:color="auto"/>
            </w:tcBorders>
            <w:tcMar>
              <w:left w:w="108" w:type="dxa"/>
              <w:right w:w="108" w:type="dxa"/>
            </w:tcMar>
            <w:vAlign w:val="center"/>
          </w:tcPr>
          <w:p w14:paraId="0488D998" w14:textId="77777777" w:rsidR="0093115D" w:rsidRPr="00274E0D" w:rsidRDefault="0093115D" w:rsidP="00434248">
            <w:pPr>
              <w:spacing w:before="0" w:after="0"/>
              <w:jc w:val="center"/>
              <w:rPr>
                <w:b/>
                <w:bCs/>
                <w:noProof/>
                <w:color w:val="000000" w:themeColor="text1"/>
                <w:sz w:val="16"/>
                <w:szCs w:val="16"/>
              </w:rPr>
            </w:pPr>
            <w:r w:rsidRPr="00274E0D">
              <w:rPr>
                <w:b/>
                <w:color w:val="000000" w:themeColor="text1"/>
                <w:sz w:val="16"/>
              </w:rPr>
              <w:t>YHTEENSÄ</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11105BE9"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3BA2BC42"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0,000</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6D1CF5CF"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0,336</w:t>
            </w:r>
          </w:p>
        </w:tc>
        <w:tc>
          <w:tcPr>
            <w:tcW w:w="835"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0B0EEB22"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0,336</w:t>
            </w:r>
          </w:p>
        </w:tc>
        <w:tc>
          <w:tcPr>
            <w:tcW w:w="981" w:type="dxa"/>
            <w:tcBorders>
              <w:top w:val="nil"/>
              <w:left w:val="single" w:sz="8" w:space="0" w:color="auto"/>
              <w:bottom w:val="single" w:sz="12" w:space="0" w:color="auto"/>
              <w:right w:val="single" w:sz="8" w:space="0" w:color="auto"/>
            </w:tcBorders>
            <w:shd w:val="clear" w:color="auto" w:fill="D9D9D9" w:themeFill="background1" w:themeFillShade="D9"/>
            <w:tcMar>
              <w:left w:w="108" w:type="dxa"/>
              <w:right w:w="108" w:type="dxa"/>
            </w:tcMar>
            <w:vAlign w:val="center"/>
          </w:tcPr>
          <w:p w14:paraId="565F1E3D" w14:textId="77777777" w:rsidR="0093115D" w:rsidRPr="00274E0D" w:rsidRDefault="0093115D" w:rsidP="00434248">
            <w:pPr>
              <w:spacing w:before="0" w:after="0"/>
              <w:jc w:val="right"/>
              <w:rPr>
                <w:b/>
                <w:bCs/>
                <w:noProof/>
                <w:color w:val="000000" w:themeColor="text1"/>
                <w:sz w:val="16"/>
                <w:szCs w:val="16"/>
              </w:rPr>
            </w:pPr>
            <w:r w:rsidRPr="00274E0D">
              <w:rPr>
                <w:b/>
                <w:color w:val="000000" w:themeColor="text1"/>
                <w:sz w:val="16"/>
              </w:rPr>
              <w:t>0,672</w:t>
            </w:r>
          </w:p>
        </w:tc>
      </w:tr>
    </w:tbl>
    <w:p w14:paraId="232233B3" w14:textId="77777777" w:rsidR="0093115D" w:rsidRPr="00274E0D" w:rsidRDefault="0093115D" w:rsidP="00656AA8">
      <w:pPr>
        <w:pStyle w:val="ManualHeading3"/>
        <w:rPr>
          <w:noProof/>
        </w:rPr>
      </w:pPr>
      <w:bookmarkStart w:id="196" w:name="_Toc514938056"/>
      <w:bookmarkStart w:id="197" w:name="_Toc520485055"/>
      <w:bookmarkStart w:id="198" w:name="_Toc160804599"/>
      <w:bookmarkStart w:id="199" w:name="_Toc167220298"/>
      <w:bookmarkStart w:id="200" w:name="_Toc177549032"/>
      <w:bookmarkEnd w:id="194"/>
      <w:r w:rsidRPr="00274E0D">
        <w:t>3.2.6.</w:t>
      </w:r>
      <w:r w:rsidRPr="00274E0D">
        <w:tab/>
        <w:t>Yhteensopivuus nykyisen monivuotisen rahoituskehyksen kanssa</w:t>
      </w:r>
      <w:bookmarkEnd w:id="196"/>
      <w:bookmarkEnd w:id="197"/>
      <w:bookmarkEnd w:id="198"/>
      <w:bookmarkEnd w:id="199"/>
      <w:bookmarkEnd w:id="200"/>
      <w:r w:rsidRPr="00274E0D">
        <w:t xml:space="preserve"> </w:t>
      </w:r>
    </w:p>
    <w:p w14:paraId="72260FAC" w14:textId="77777777" w:rsidR="0093115D" w:rsidRPr="00274E0D" w:rsidRDefault="0093115D" w:rsidP="00656AA8">
      <w:pPr>
        <w:pStyle w:val="Text1"/>
        <w:rPr>
          <w:noProof/>
        </w:rPr>
      </w:pPr>
      <w:r w:rsidRPr="00274E0D">
        <w:t>Ehdotus/aloite</w:t>
      </w:r>
    </w:p>
    <w:p w14:paraId="39343BC9" w14:textId="77777777" w:rsidR="0093115D" w:rsidRPr="00274E0D" w:rsidRDefault="0093115D" w:rsidP="00656AA8">
      <w:pPr>
        <w:pStyle w:val="ListDash1"/>
        <w:rPr>
          <w:noProof/>
        </w:rPr>
      </w:pPr>
      <w:r w:rsidRPr="00274E0D">
        <w:rPr>
          <w:rFonts w:ascii="Wingdings" w:hAnsi="Wingdings"/>
        </w:rPr>
        <w:t></w:t>
      </w:r>
      <w:r w:rsidRPr="00274E0D">
        <w:tab/>
        <w:t>voidaan rahoittaa kokonaan kohdentamalla menoja uudelleen monivuotisen rahoituskehyksen kyseisen otsakkeen sisällä</w:t>
      </w:r>
    </w:p>
    <w:p w14:paraId="23E66311" w14:textId="77777777" w:rsidR="0093115D" w:rsidRPr="00274E0D" w:rsidRDefault="0093115D" w:rsidP="00656AA8">
      <w:pPr>
        <w:pStyle w:val="ListDash1"/>
        <w:rPr>
          <w:noProof/>
        </w:rPr>
      </w:pPr>
      <w:r w:rsidRPr="00274E0D">
        <w:rPr>
          <w:rFonts w:ascii="Wingdings" w:hAnsi="Wingdings"/>
        </w:rPr>
        <w:t></w:t>
      </w:r>
      <w:r w:rsidRPr="00274E0D">
        <w:tab/>
        <w:t>edellyttää monivuotisen rahoituskehyksen kyseiseen otsakkeeseen sisältyvän kohdentamattoman liikkumavaran ja/tai monivuotista rahoituskehystä koskevassa asetuksessa määriteltyjen erityisvälineiden käyttöä</w:t>
      </w:r>
    </w:p>
    <w:p w14:paraId="58733CDF" w14:textId="77777777" w:rsidR="0093115D" w:rsidRPr="00274E0D" w:rsidRDefault="0093115D" w:rsidP="00656AA8">
      <w:pPr>
        <w:pStyle w:val="ListDash1"/>
        <w:rPr>
          <w:noProof/>
        </w:rPr>
      </w:pPr>
      <w:r w:rsidRPr="00274E0D">
        <w:rPr>
          <w:rFonts w:ascii="Wingdings" w:hAnsi="Wingdings"/>
        </w:rPr>
        <w:t></w:t>
      </w:r>
      <w:r w:rsidRPr="00274E0D">
        <w:tab/>
        <w:t>edellyttää monivuotisen rahoituskehyksen tarkistamista.</w:t>
      </w:r>
    </w:p>
    <w:p w14:paraId="57F30B9B" w14:textId="77777777" w:rsidR="0093115D" w:rsidRPr="00274E0D" w:rsidRDefault="0093115D" w:rsidP="00656AA8">
      <w:pPr>
        <w:pStyle w:val="ManualHeading3"/>
        <w:rPr>
          <w:noProof/>
        </w:rPr>
      </w:pPr>
      <w:bookmarkStart w:id="201" w:name="_Toc514938058"/>
      <w:bookmarkStart w:id="202" w:name="_Toc520485056"/>
      <w:bookmarkStart w:id="203" w:name="_Toc160804600"/>
      <w:bookmarkStart w:id="204" w:name="_Toc167220299"/>
      <w:bookmarkStart w:id="205" w:name="_Toc177549033"/>
      <w:r w:rsidRPr="00274E0D">
        <w:t>3.2.7.</w:t>
      </w:r>
      <w:r w:rsidRPr="00274E0D">
        <w:tab/>
        <w:t>Ulkopuolisten tahojen rahoitusosuudet</w:t>
      </w:r>
      <w:bookmarkEnd w:id="201"/>
      <w:bookmarkEnd w:id="202"/>
      <w:bookmarkEnd w:id="203"/>
      <w:bookmarkEnd w:id="204"/>
      <w:bookmarkEnd w:id="205"/>
      <w:r w:rsidRPr="00274E0D">
        <w:t xml:space="preserve"> </w:t>
      </w:r>
    </w:p>
    <w:p w14:paraId="221115EC" w14:textId="77777777" w:rsidR="0093115D" w:rsidRPr="00274E0D" w:rsidRDefault="0093115D" w:rsidP="00656AA8">
      <w:pPr>
        <w:pStyle w:val="Text1"/>
        <w:rPr>
          <w:noProof/>
        </w:rPr>
      </w:pPr>
      <w:r w:rsidRPr="00274E0D">
        <w:t>Ehdotuksen/aloitteen</w:t>
      </w:r>
    </w:p>
    <w:p w14:paraId="0482C5B2" w14:textId="77777777" w:rsidR="0093115D" w:rsidRPr="00274E0D" w:rsidRDefault="0093115D" w:rsidP="003C3705">
      <w:pPr>
        <w:pStyle w:val="ListDash1"/>
        <w:rPr>
          <w:noProof/>
        </w:rPr>
      </w:pPr>
      <w:r w:rsidRPr="00274E0D">
        <w:rPr>
          <w:rFonts w:ascii="Segoe UI Symbol" w:hAnsi="Segoe UI Symbol"/>
        </w:rPr>
        <w:t>☒</w:t>
      </w:r>
      <w:r w:rsidRPr="00274E0D">
        <w:t>rahoittamiseen ei osallistu ulkopuolisia tahoja</w:t>
      </w:r>
    </w:p>
    <w:p w14:paraId="27E6F1AB" w14:textId="77777777" w:rsidR="0093115D" w:rsidRPr="00274E0D" w:rsidRDefault="0093115D" w:rsidP="00A8443F">
      <w:pPr>
        <w:pStyle w:val="ListDash1"/>
        <w:rPr>
          <w:noProof/>
        </w:rPr>
      </w:pPr>
      <w:r w:rsidRPr="00274E0D">
        <w:rPr>
          <w:rFonts w:ascii="Wingdings" w:hAnsi="Wingdings"/>
        </w:rPr>
        <w:t></w:t>
      </w:r>
      <w:r w:rsidRPr="00274E0D">
        <w:t xml:space="preserve"> rahoittamiseen osallistuu ulkopuolisia tahoja seuraavasti (arvio):</w:t>
      </w:r>
    </w:p>
    <w:p w14:paraId="61D1E2D8" w14:textId="77777777" w:rsidR="0093115D" w:rsidRPr="00274E0D" w:rsidRDefault="0093115D" w:rsidP="00656AA8">
      <w:pPr>
        <w:rPr>
          <w:noProof/>
          <w:sz w:val="20"/>
        </w:rPr>
      </w:pPr>
      <w:r w:rsidRPr="00274E0D">
        <w:rPr>
          <w:sz w:val="20"/>
        </w:rPr>
        <w:t>Määrärahat, milj. euroa (kolmen desimaalin tarkkuudella)</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957"/>
        <w:gridCol w:w="1217"/>
        <w:gridCol w:w="1217"/>
        <w:gridCol w:w="1217"/>
        <w:gridCol w:w="1217"/>
        <w:gridCol w:w="1462"/>
      </w:tblGrid>
      <w:tr w:rsidR="0093115D" w:rsidRPr="00274E0D" w14:paraId="3DCD14A6" w14:textId="77777777" w:rsidTr="00434248">
        <w:trPr>
          <w:cantSplit/>
          <w:trHeight w:val="300"/>
        </w:trPr>
        <w:tc>
          <w:tcPr>
            <w:tcW w:w="1591" w:type="pct"/>
          </w:tcPr>
          <w:p w14:paraId="4BF85B60" w14:textId="77777777" w:rsidR="0093115D" w:rsidRPr="00274E0D" w:rsidRDefault="0093115D" w:rsidP="00434248">
            <w:pPr>
              <w:spacing w:before="60" w:after="60"/>
              <w:rPr>
                <w:noProof/>
                <w:sz w:val="20"/>
              </w:rPr>
            </w:pPr>
          </w:p>
        </w:tc>
        <w:tc>
          <w:tcPr>
            <w:tcW w:w="655" w:type="pct"/>
            <w:vAlign w:val="center"/>
          </w:tcPr>
          <w:p w14:paraId="11D642BA" w14:textId="77777777" w:rsidR="0093115D" w:rsidRPr="00274E0D" w:rsidRDefault="0093115D" w:rsidP="00434248">
            <w:pPr>
              <w:jc w:val="center"/>
              <w:rPr>
                <w:noProof/>
                <w:sz w:val="20"/>
              </w:rPr>
            </w:pPr>
            <w:r w:rsidRPr="00274E0D">
              <w:t>Vuosi</w:t>
            </w:r>
            <w:r w:rsidRPr="00274E0D">
              <w:rPr>
                <w:sz w:val="20"/>
              </w:rPr>
              <w:t xml:space="preserve"> </w:t>
            </w:r>
            <w:r w:rsidRPr="00274E0D">
              <w:rPr>
                <w:b/>
                <w:sz w:val="20"/>
              </w:rPr>
              <w:t>2024</w:t>
            </w:r>
          </w:p>
        </w:tc>
        <w:tc>
          <w:tcPr>
            <w:tcW w:w="655" w:type="pct"/>
            <w:vAlign w:val="center"/>
          </w:tcPr>
          <w:p w14:paraId="63CA8CAB" w14:textId="77777777" w:rsidR="0093115D" w:rsidRPr="00274E0D" w:rsidRDefault="0093115D" w:rsidP="00434248">
            <w:pPr>
              <w:jc w:val="center"/>
              <w:rPr>
                <w:noProof/>
                <w:sz w:val="20"/>
              </w:rPr>
            </w:pPr>
            <w:r w:rsidRPr="00274E0D">
              <w:t>Vuosi</w:t>
            </w:r>
            <w:r w:rsidRPr="00274E0D">
              <w:rPr>
                <w:sz w:val="22"/>
              </w:rPr>
              <w:t xml:space="preserve"> </w:t>
            </w:r>
            <w:r w:rsidRPr="00274E0D">
              <w:rPr>
                <w:b/>
                <w:sz w:val="20"/>
              </w:rPr>
              <w:t>2025</w:t>
            </w:r>
          </w:p>
        </w:tc>
        <w:tc>
          <w:tcPr>
            <w:tcW w:w="655" w:type="pct"/>
            <w:vAlign w:val="center"/>
          </w:tcPr>
          <w:p w14:paraId="6C8377AD" w14:textId="77777777" w:rsidR="0093115D" w:rsidRPr="00274E0D" w:rsidRDefault="0093115D" w:rsidP="00434248">
            <w:pPr>
              <w:jc w:val="center"/>
              <w:rPr>
                <w:noProof/>
                <w:sz w:val="20"/>
              </w:rPr>
            </w:pPr>
            <w:r w:rsidRPr="00274E0D">
              <w:t>Vuosi</w:t>
            </w:r>
            <w:r w:rsidRPr="00274E0D">
              <w:rPr>
                <w:sz w:val="20"/>
              </w:rPr>
              <w:t xml:space="preserve"> </w:t>
            </w:r>
            <w:r w:rsidRPr="00274E0D">
              <w:rPr>
                <w:b/>
                <w:sz w:val="20"/>
              </w:rPr>
              <w:t>2026</w:t>
            </w:r>
          </w:p>
        </w:tc>
        <w:tc>
          <w:tcPr>
            <w:tcW w:w="655" w:type="pct"/>
            <w:vAlign w:val="center"/>
          </w:tcPr>
          <w:p w14:paraId="0A9315D9" w14:textId="77777777" w:rsidR="0093115D" w:rsidRPr="00274E0D" w:rsidRDefault="0093115D" w:rsidP="00434248">
            <w:pPr>
              <w:jc w:val="center"/>
              <w:rPr>
                <w:noProof/>
                <w:sz w:val="20"/>
              </w:rPr>
            </w:pPr>
            <w:r w:rsidRPr="00274E0D">
              <w:t>Vuosi</w:t>
            </w:r>
            <w:r w:rsidRPr="00274E0D">
              <w:rPr>
                <w:sz w:val="22"/>
              </w:rPr>
              <w:t xml:space="preserve"> </w:t>
            </w:r>
            <w:r w:rsidRPr="00274E0D">
              <w:rPr>
                <w:b/>
                <w:sz w:val="20"/>
              </w:rPr>
              <w:t>2027</w:t>
            </w:r>
          </w:p>
        </w:tc>
        <w:tc>
          <w:tcPr>
            <w:tcW w:w="787" w:type="pct"/>
            <w:vAlign w:val="center"/>
          </w:tcPr>
          <w:p w14:paraId="47B9CBD2" w14:textId="77777777" w:rsidR="0093115D" w:rsidRPr="00274E0D" w:rsidRDefault="0093115D" w:rsidP="00434248">
            <w:pPr>
              <w:spacing w:before="60" w:after="60"/>
              <w:jc w:val="center"/>
              <w:rPr>
                <w:noProof/>
                <w:sz w:val="20"/>
              </w:rPr>
            </w:pPr>
            <w:r w:rsidRPr="00274E0D">
              <w:rPr>
                <w:sz w:val="20"/>
              </w:rPr>
              <w:t>Yhteensä</w:t>
            </w:r>
          </w:p>
        </w:tc>
      </w:tr>
      <w:tr w:rsidR="0093115D" w:rsidRPr="00274E0D" w14:paraId="58B8D3C6" w14:textId="77777777" w:rsidTr="00434248">
        <w:trPr>
          <w:cantSplit/>
          <w:trHeight w:val="300"/>
        </w:trPr>
        <w:tc>
          <w:tcPr>
            <w:tcW w:w="1591" w:type="pct"/>
          </w:tcPr>
          <w:p w14:paraId="7F9E0A94" w14:textId="77777777" w:rsidR="0093115D" w:rsidRPr="00274E0D" w:rsidRDefault="0093115D" w:rsidP="00434248">
            <w:pPr>
              <w:rPr>
                <w:noProof/>
              </w:rPr>
            </w:pPr>
            <w:r w:rsidRPr="00274E0D">
              <w:rPr>
                <w:sz w:val="20"/>
              </w:rPr>
              <w:t>Rahoitukseen osallistuva taho</w:t>
            </w:r>
            <w:r w:rsidRPr="00274E0D">
              <w:rPr>
                <w:i/>
                <w:sz w:val="20"/>
              </w:rPr>
              <w:t xml:space="preserve"> </w:t>
            </w:r>
          </w:p>
        </w:tc>
        <w:tc>
          <w:tcPr>
            <w:tcW w:w="655" w:type="pct"/>
            <w:vAlign w:val="center"/>
          </w:tcPr>
          <w:p w14:paraId="6D08CDA5" w14:textId="77777777" w:rsidR="0093115D" w:rsidRPr="00274E0D" w:rsidRDefault="0093115D" w:rsidP="00434248">
            <w:pPr>
              <w:spacing w:before="60" w:after="60"/>
              <w:jc w:val="center"/>
              <w:rPr>
                <w:noProof/>
                <w:sz w:val="20"/>
              </w:rPr>
            </w:pPr>
          </w:p>
        </w:tc>
        <w:tc>
          <w:tcPr>
            <w:tcW w:w="655" w:type="pct"/>
            <w:vAlign w:val="center"/>
          </w:tcPr>
          <w:p w14:paraId="05C612C7" w14:textId="77777777" w:rsidR="0093115D" w:rsidRPr="00274E0D" w:rsidRDefault="0093115D" w:rsidP="00434248">
            <w:pPr>
              <w:spacing w:before="60" w:after="60"/>
              <w:jc w:val="center"/>
              <w:rPr>
                <w:noProof/>
                <w:sz w:val="20"/>
              </w:rPr>
            </w:pPr>
          </w:p>
        </w:tc>
        <w:tc>
          <w:tcPr>
            <w:tcW w:w="655" w:type="pct"/>
            <w:vAlign w:val="center"/>
          </w:tcPr>
          <w:p w14:paraId="1ACB1C0F" w14:textId="77777777" w:rsidR="0093115D" w:rsidRPr="00274E0D" w:rsidRDefault="0093115D" w:rsidP="00434248">
            <w:pPr>
              <w:spacing w:before="60" w:after="60"/>
              <w:jc w:val="center"/>
              <w:rPr>
                <w:noProof/>
                <w:sz w:val="20"/>
              </w:rPr>
            </w:pPr>
          </w:p>
        </w:tc>
        <w:tc>
          <w:tcPr>
            <w:tcW w:w="655" w:type="pct"/>
            <w:vAlign w:val="center"/>
          </w:tcPr>
          <w:p w14:paraId="7D003507" w14:textId="77777777" w:rsidR="0093115D" w:rsidRPr="00274E0D" w:rsidRDefault="0093115D" w:rsidP="00434248">
            <w:pPr>
              <w:spacing w:before="60" w:after="60"/>
              <w:jc w:val="center"/>
              <w:rPr>
                <w:noProof/>
                <w:sz w:val="20"/>
              </w:rPr>
            </w:pPr>
          </w:p>
        </w:tc>
        <w:tc>
          <w:tcPr>
            <w:tcW w:w="787" w:type="pct"/>
            <w:vAlign w:val="center"/>
          </w:tcPr>
          <w:p w14:paraId="0BFF359F" w14:textId="77777777" w:rsidR="0093115D" w:rsidRPr="00274E0D" w:rsidRDefault="0093115D" w:rsidP="00434248">
            <w:pPr>
              <w:spacing w:before="60" w:after="60"/>
              <w:jc w:val="center"/>
              <w:rPr>
                <w:noProof/>
                <w:sz w:val="20"/>
              </w:rPr>
            </w:pPr>
          </w:p>
        </w:tc>
      </w:tr>
      <w:tr w:rsidR="0093115D" w:rsidRPr="00274E0D" w14:paraId="31D17392" w14:textId="77777777" w:rsidTr="00434248">
        <w:trPr>
          <w:cantSplit/>
          <w:trHeight w:val="300"/>
        </w:trPr>
        <w:tc>
          <w:tcPr>
            <w:tcW w:w="1591" w:type="pct"/>
          </w:tcPr>
          <w:p w14:paraId="45A149EA" w14:textId="77777777" w:rsidR="0093115D" w:rsidRPr="00274E0D" w:rsidRDefault="0093115D" w:rsidP="00434248">
            <w:pPr>
              <w:spacing w:before="60" w:after="60"/>
              <w:jc w:val="left"/>
              <w:rPr>
                <w:noProof/>
                <w:sz w:val="20"/>
              </w:rPr>
            </w:pPr>
            <w:r w:rsidRPr="00274E0D">
              <w:rPr>
                <w:sz w:val="20"/>
              </w:rPr>
              <w:t xml:space="preserve">Yhteisrahoituksella katettavat määrärahat YHTEENSÄ </w:t>
            </w:r>
          </w:p>
        </w:tc>
        <w:tc>
          <w:tcPr>
            <w:tcW w:w="655" w:type="pct"/>
            <w:vAlign w:val="center"/>
          </w:tcPr>
          <w:p w14:paraId="579D80EE" w14:textId="77777777" w:rsidR="0093115D" w:rsidRPr="00274E0D" w:rsidRDefault="0093115D" w:rsidP="00434248">
            <w:pPr>
              <w:spacing w:before="60" w:after="60"/>
              <w:jc w:val="center"/>
              <w:rPr>
                <w:noProof/>
                <w:sz w:val="20"/>
              </w:rPr>
            </w:pPr>
          </w:p>
        </w:tc>
        <w:tc>
          <w:tcPr>
            <w:tcW w:w="655" w:type="pct"/>
            <w:vAlign w:val="center"/>
          </w:tcPr>
          <w:p w14:paraId="50680C04" w14:textId="77777777" w:rsidR="0093115D" w:rsidRPr="00274E0D" w:rsidRDefault="0093115D" w:rsidP="00434248">
            <w:pPr>
              <w:spacing w:before="60" w:after="60"/>
              <w:jc w:val="center"/>
              <w:rPr>
                <w:noProof/>
                <w:sz w:val="20"/>
              </w:rPr>
            </w:pPr>
          </w:p>
        </w:tc>
        <w:tc>
          <w:tcPr>
            <w:tcW w:w="655" w:type="pct"/>
            <w:vAlign w:val="center"/>
          </w:tcPr>
          <w:p w14:paraId="42A1E253" w14:textId="77777777" w:rsidR="0093115D" w:rsidRPr="00274E0D" w:rsidRDefault="0093115D" w:rsidP="00434248">
            <w:pPr>
              <w:spacing w:before="60" w:after="60"/>
              <w:jc w:val="center"/>
              <w:rPr>
                <w:noProof/>
                <w:sz w:val="20"/>
              </w:rPr>
            </w:pPr>
          </w:p>
        </w:tc>
        <w:tc>
          <w:tcPr>
            <w:tcW w:w="655" w:type="pct"/>
            <w:vAlign w:val="center"/>
          </w:tcPr>
          <w:p w14:paraId="57746111" w14:textId="77777777" w:rsidR="0093115D" w:rsidRPr="00274E0D" w:rsidRDefault="0093115D" w:rsidP="00434248">
            <w:pPr>
              <w:spacing w:before="60" w:after="60"/>
              <w:jc w:val="center"/>
              <w:rPr>
                <w:noProof/>
                <w:sz w:val="20"/>
              </w:rPr>
            </w:pPr>
          </w:p>
        </w:tc>
        <w:tc>
          <w:tcPr>
            <w:tcW w:w="787" w:type="pct"/>
            <w:vAlign w:val="center"/>
          </w:tcPr>
          <w:p w14:paraId="26BCBDFE" w14:textId="77777777" w:rsidR="0093115D" w:rsidRPr="00274E0D" w:rsidRDefault="0093115D" w:rsidP="00434248">
            <w:pPr>
              <w:spacing w:before="60" w:after="60"/>
              <w:jc w:val="center"/>
              <w:rPr>
                <w:noProof/>
                <w:sz w:val="20"/>
              </w:rPr>
            </w:pPr>
          </w:p>
        </w:tc>
      </w:tr>
    </w:tbl>
    <w:p w14:paraId="4B4B67A7" w14:textId="77777777" w:rsidR="0093115D" w:rsidRPr="00274E0D" w:rsidRDefault="0093115D" w:rsidP="00656AA8">
      <w:pPr>
        <w:outlineLvl w:val="1"/>
        <w:rPr>
          <w:noProof/>
          <w:szCs w:val="24"/>
        </w:rPr>
      </w:pPr>
      <w:r w:rsidRPr="00274E0D">
        <w:t xml:space="preserve"> </w:t>
      </w:r>
      <w:bookmarkStart w:id="206" w:name="_Toc514938059"/>
      <w:bookmarkStart w:id="207" w:name="_Toc520485057"/>
      <w:bookmarkStart w:id="208" w:name="_Toc160804602"/>
      <w:bookmarkStart w:id="209" w:name="_Toc167220300"/>
      <w:bookmarkStart w:id="210" w:name="_Toc177549034"/>
      <w:bookmarkStart w:id="211" w:name="_Hlk166860179"/>
      <w:r w:rsidRPr="00274E0D">
        <w:t>3.3.</w:t>
      </w:r>
      <w:r w:rsidRPr="00274E0D">
        <w:tab/>
        <w:t>Arvioidut vaikutukset tuloihin</w:t>
      </w:r>
      <w:bookmarkEnd w:id="206"/>
      <w:bookmarkEnd w:id="207"/>
      <w:bookmarkEnd w:id="208"/>
      <w:bookmarkEnd w:id="209"/>
      <w:bookmarkEnd w:id="210"/>
      <w:r w:rsidRPr="00274E0D">
        <w:t xml:space="preserve"> </w:t>
      </w:r>
    </w:p>
    <w:bookmarkEnd w:id="211"/>
    <w:p w14:paraId="26D453AD" w14:textId="77777777" w:rsidR="0093115D" w:rsidRPr="00274E0D" w:rsidRDefault="0093115D" w:rsidP="00656AA8">
      <w:pPr>
        <w:pStyle w:val="ListDash1"/>
        <w:rPr>
          <w:noProof/>
        </w:rPr>
      </w:pPr>
      <w:r w:rsidRPr="00274E0D">
        <w:rPr>
          <w:rFonts w:ascii="Wingdings" w:hAnsi="Wingdings"/>
        </w:rPr>
        <w:t></w:t>
      </w:r>
      <w:r w:rsidRPr="00274E0D">
        <w:tab/>
        <w:t>Ehdotuksella/aloitteella ei ole vaikutuksia tuloihin.</w:t>
      </w:r>
    </w:p>
    <w:p w14:paraId="3A9ADDCD" w14:textId="77777777" w:rsidR="0093115D" w:rsidRPr="00274E0D" w:rsidRDefault="0093115D" w:rsidP="00656AA8">
      <w:pPr>
        <w:pStyle w:val="ListDash1"/>
        <w:rPr>
          <w:noProof/>
        </w:rPr>
      </w:pPr>
      <w:r w:rsidRPr="00274E0D">
        <w:rPr>
          <w:rFonts w:ascii="Wingdings" w:hAnsi="Wingdings"/>
        </w:rPr>
        <w:t></w:t>
      </w:r>
      <w:r w:rsidRPr="00274E0D">
        <w:tab/>
        <w:t>Ehdotuksella/aloitteella on vaikutuksia tuloihin seuraavasti:</w:t>
      </w:r>
    </w:p>
    <w:p w14:paraId="623BE606" w14:textId="77777777" w:rsidR="0093115D" w:rsidRPr="00274E0D" w:rsidRDefault="0093115D" w:rsidP="00656AA8">
      <w:pPr>
        <w:pStyle w:val="ListNumberLevel3"/>
        <w:rPr>
          <w:noProof/>
        </w:rPr>
      </w:pPr>
      <w:r w:rsidRPr="00274E0D">
        <w:rPr>
          <w:rFonts w:ascii="Wingdings" w:hAnsi="Wingdings"/>
        </w:rPr>
        <w:t></w:t>
      </w:r>
      <w:r w:rsidRPr="00274E0D">
        <w:tab/>
        <w:t xml:space="preserve">vaikutuksia omiin varoihin </w:t>
      </w:r>
    </w:p>
    <w:p w14:paraId="2EF46B3E" w14:textId="77777777" w:rsidR="0093115D" w:rsidRPr="00274E0D" w:rsidRDefault="0093115D" w:rsidP="00656AA8">
      <w:pPr>
        <w:pStyle w:val="ListNumberLevel3"/>
        <w:rPr>
          <w:noProof/>
        </w:rPr>
      </w:pPr>
      <w:r w:rsidRPr="00274E0D">
        <w:rPr>
          <w:rFonts w:ascii="Wingdings" w:hAnsi="Wingdings"/>
        </w:rPr>
        <w:t></w:t>
      </w:r>
      <w:r w:rsidRPr="00274E0D">
        <w:tab/>
        <w:t>vaikutuksia muihin tuloihin</w:t>
      </w:r>
    </w:p>
    <w:p w14:paraId="71C2F50C" w14:textId="77777777" w:rsidR="0093115D" w:rsidRPr="00274E0D" w:rsidRDefault="0093115D" w:rsidP="00656AA8">
      <w:pPr>
        <w:pStyle w:val="ListNumberLevel3"/>
        <w:rPr>
          <w:noProof/>
        </w:rPr>
      </w:pPr>
      <w:r w:rsidRPr="00274E0D">
        <w:rPr>
          <w:rFonts w:ascii="Wingdings" w:hAnsi="Wingdings"/>
        </w:rPr>
        <w:t></w:t>
      </w:r>
      <w:r w:rsidRPr="00274E0D">
        <w:tab/>
        <w:t>tulot on kohdennettu menopuolen budjettikohtiin</w:t>
      </w:r>
    </w:p>
    <w:p w14:paraId="5F3FD128" w14:textId="77777777" w:rsidR="0093115D" w:rsidRPr="00274E0D" w:rsidRDefault="0093115D" w:rsidP="00656AA8">
      <w:pPr>
        <w:jc w:val="right"/>
        <w:rPr>
          <w:noProof/>
          <w:sz w:val="20"/>
        </w:rPr>
      </w:pPr>
      <w:r w:rsidRPr="00274E0D">
        <w:rPr>
          <w:sz w:val="20"/>
        </w:rPr>
        <w:t xml:space="preserve"> milj. euroa (kolmen desimaalin tarkkuudella)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1614"/>
        <w:gridCol w:w="1692"/>
        <w:gridCol w:w="1044"/>
        <w:gridCol w:w="1035"/>
        <w:gridCol w:w="1259"/>
      </w:tblGrid>
      <w:tr w:rsidR="0093115D" w:rsidRPr="00274E0D" w14:paraId="4A94C32D" w14:textId="77777777" w:rsidTr="00434248">
        <w:trPr>
          <w:trHeight w:val="388"/>
        </w:trPr>
        <w:tc>
          <w:tcPr>
            <w:tcW w:w="1423" w:type="pct"/>
            <w:vMerge w:val="restart"/>
            <w:vAlign w:val="center"/>
          </w:tcPr>
          <w:p w14:paraId="2E47D8DA" w14:textId="77777777" w:rsidR="0093115D" w:rsidRPr="00274E0D" w:rsidRDefault="0093115D" w:rsidP="00434248">
            <w:pPr>
              <w:spacing w:before="40" w:after="40"/>
              <w:rPr>
                <w:noProof/>
                <w:sz w:val="18"/>
              </w:rPr>
            </w:pPr>
            <w:r w:rsidRPr="00274E0D">
              <w:rPr>
                <w:sz w:val="18"/>
              </w:rPr>
              <w:t>Tulopuolen budjettikohta:</w:t>
            </w:r>
          </w:p>
        </w:tc>
        <w:tc>
          <w:tcPr>
            <w:tcW w:w="869" w:type="pct"/>
            <w:vMerge w:val="restart"/>
            <w:vAlign w:val="center"/>
          </w:tcPr>
          <w:p w14:paraId="1556FD90" w14:textId="77777777" w:rsidR="0093115D" w:rsidRPr="00274E0D" w:rsidRDefault="0093115D" w:rsidP="00434248">
            <w:pPr>
              <w:jc w:val="center"/>
              <w:rPr>
                <w:noProof/>
                <w:sz w:val="18"/>
              </w:rPr>
            </w:pPr>
            <w:r w:rsidRPr="00274E0D">
              <w:rPr>
                <w:sz w:val="18"/>
              </w:rPr>
              <w:t xml:space="preserve">Käytettävissä </w:t>
            </w:r>
            <w:r w:rsidRPr="00274E0D">
              <w:rPr>
                <w:sz w:val="18"/>
              </w:rPr>
              <w:lastRenderedPageBreak/>
              <w:t>olevat määrärahat kuluvana varainhoitovuonna</w:t>
            </w:r>
          </w:p>
        </w:tc>
        <w:tc>
          <w:tcPr>
            <w:tcW w:w="2709" w:type="pct"/>
            <w:gridSpan w:val="4"/>
            <w:vAlign w:val="center"/>
          </w:tcPr>
          <w:p w14:paraId="454A3309" w14:textId="77777777" w:rsidR="0093115D" w:rsidRPr="00274E0D" w:rsidRDefault="0093115D" w:rsidP="00434248">
            <w:pPr>
              <w:jc w:val="center"/>
              <w:rPr>
                <w:noProof/>
                <w:sz w:val="18"/>
              </w:rPr>
            </w:pPr>
            <w:r w:rsidRPr="00274E0D">
              <w:rPr>
                <w:sz w:val="18"/>
              </w:rPr>
              <w:lastRenderedPageBreak/>
              <w:t>Ehdotuksen/aloitteen vaikutus</w:t>
            </w:r>
            <w:r w:rsidRPr="00274E0D">
              <w:rPr>
                <w:rStyle w:val="FootnoteReference"/>
                <w:noProof/>
                <w:sz w:val="18"/>
                <w:szCs w:val="18"/>
              </w:rPr>
              <w:footnoteReference w:id="41"/>
            </w:r>
          </w:p>
        </w:tc>
      </w:tr>
      <w:tr w:rsidR="0093115D" w:rsidRPr="00274E0D" w14:paraId="61FDB158" w14:textId="77777777" w:rsidTr="00434248">
        <w:trPr>
          <w:trHeight w:val="388"/>
        </w:trPr>
        <w:tc>
          <w:tcPr>
            <w:tcW w:w="1423" w:type="pct"/>
            <w:vMerge/>
          </w:tcPr>
          <w:p w14:paraId="48106632" w14:textId="77777777" w:rsidR="0093115D" w:rsidRPr="00274E0D" w:rsidRDefault="0093115D" w:rsidP="00434248">
            <w:pPr>
              <w:spacing w:before="40" w:after="40"/>
              <w:rPr>
                <w:noProof/>
                <w:sz w:val="18"/>
              </w:rPr>
            </w:pPr>
          </w:p>
        </w:tc>
        <w:tc>
          <w:tcPr>
            <w:tcW w:w="869" w:type="pct"/>
            <w:vMerge/>
          </w:tcPr>
          <w:p w14:paraId="382D65A1" w14:textId="77777777" w:rsidR="0093115D" w:rsidRPr="00274E0D" w:rsidRDefault="0093115D" w:rsidP="00434248">
            <w:pPr>
              <w:spacing w:beforeLines="40" w:before="96" w:afterLines="40" w:after="96"/>
              <w:rPr>
                <w:i/>
                <w:noProof/>
                <w:sz w:val="18"/>
              </w:rPr>
            </w:pPr>
          </w:p>
        </w:tc>
        <w:tc>
          <w:tcPr>
            <w:tcW w:w="911" w:type="pct"/>
            <w:vAlign w:val="center"/>
          </w:tcPr>
          <w:p w14:paraId="40A0A6AF" w14:textId="77777777" w:rsidR="0093115D" w:rsidRPr="00274E0D" w:rsidRDefault="0093115D" w:rsidP="00434248">
            <w:pPr>
              <w:jc w:val="center"/>
              <w:rPr>
                <w:noProof/>
                <w:sz w:val="18"/>
              </w:rPr>
            </w:pPr>
            <w:r w:rsidRPr="00274E0D">
              <w:rPr>
                <w:sz w:val="18"/>
              </w:rPr>
              <w:t xml:space="preserve">Vuosi </w:t>
            </w:r>
            <w:r w:rsidRPr="00274E0D">
              <w:rPr>
                <w:b/>
                <w:sz w:val="18"/>
              </w:rPr>
              <w:t>2024</w:t>
            </w:r>
          </w:p>
        </w:tc>
        <w:tc>
          <w:tcPr>
            <w:tcW w:w="562" w:type="pct"/>
            <w:vAlign w:val="center"/>
          </w:tcPr>
          <w:p w14:paraId="6E274F34" w14:textId="77777777" w:rsidR="0093115D" w:rsidRPr="00274E0D" w:rsidRDefault="0093115D" w:rsidP="00434248">
            <w:pPr>
              <w:jc w:val="center"/>
              <w:rPr>
                <w:noProof/>
                <w:sz w:val="18"/>
              </w:rPr>
            </w:pPr>
            <w:r w:rsidRPr="00274E0D">
              <w:rPr>
                <w:sz w:val="18"/>
              </w:rPr>
              <w:t xml:space="preserve">Vuosi </w:t>
            </w:r>
            <w:r w:rsidRPr="00274E0D">
              <w:rPr>
                <w:b/>
                <w:sz w:val="18"/>
              </w:rPr>
              <w:t>2025</w:t>
            </w:r>
          </w:p>
        </w:tc>
        <w:tc>
          <w:tcPr>
            <w:tcW w:w="557" w:type="pct"/>
            <w:vAlign w:val="center"/>
          </w:tcPr>
          <w:p w14:paraId="7516709A" w14:textId="77777777" w:rsidR="0093115D" w:rsidRPr="00274E0D" w:rsidRDefault="0093115D" w:rsidP="00434248">
            <w:pPr>
              <w:jc w:val="center"/>
              <w:rPr>
                <w:noProof/>
                <w:sz w:val="18"/>
              </w:rPr>
            </w:pPr>
            <w:r w:rsidRPr="00274E0D">
              <w:rPr>
                <w:sz w:val="18"/>
              </w:rPr>
              <w:t xml:space="preserve">Vuosi </w:t>
            </w:r>
            <w:r w:rsidRPr="00274E0D">
              <w:rPr>
                <w:b/>
                <w:sz w:val="18"/>
              </w:rPr>
              <w:t>2026</w:t>
            </w:r>
          </w:p>
        </w:tc>
        <w:tc>
          <w:tcPr>
            <w:tcW w:w="679" w:type="pct"/>
            <w:vAlign w:val="center"/>
          </w:tcPr>
          <w:p w14:paraId="78EAC7BE" w14:textId="77777777" w:rsidR="0093115D" w:rsidRPr="00274E0D" w:rsidRDefault="0093115D" w:rsidP="00434248">
            <w:pPr>
              <w:jc w:val="center"/>
              <w:rPr>
                <w:noProof/>
                <w:sz w:val="18"/>
              </w:rPr>
            </w:pPr>
            <w:r w:rsidRPr="00274E0D">
              <w:rPr>
                <w:sz w:val="18"/>
              </w:rPr>
              <w:t xml:space="preserve">Vuosi </w:t>
            </w:r>
            <w:r w:rsidRPr="00274E0D">
              <w:rPr>
                <w:b/>
                <w:sz w:val="18"/>
              </w:rPr>
              <w:t>2027</w:t>
            </w:r>
          </w:p>
        </w:tc>
      </w:tr>
      <w:tr w:rsidR="0093115D" w:rsidRPr="00274E0D" w14:paraId="31F5B3B2" w14:textId="77777777" w:rsidTr="00434248">
        <w:trPr>
          <w:trHeight w:val="388"/>
        </w:trPr>
        <w:tc>
          <w:tcPr>
            <w:tcW w:w="1423" w:type="pct"/>
            <w:vAlign w:val="center"/>
          </w:tcPr>
          <w:p w14:paraId="5C895768" w14:textId="77777777" w:rsidR="0093115D" w:rsidRPr="00274E0D" w:rsidRDefault="0093115D" w:rsidP="00434248">
            <w:pPr>
              <w:spacing w:before="40" w:after="40"/>
              <w:rPr>
                <w:noProof/>
                <w:sz w:val="18"/>
                <w:szCs w:val="18"/>
              </w:rPr>
            </w:pPr>
            <w:r w:rsidRPr="00274E0D">
              <w:rPr>
                <w:sz w:val="18"/>
              </w:rPr>
              <w:t>Budjettikohta</w:t>
            </w:r>
          </w:p>
        </w:tc>
        <w:tc>
          <w:tcPr>
            <w:tcW w:w="869" w:type="pct"/>
          </w:tcPr>
          <w:p w14:paraId="1BEB13D7" w14:textId="77777777" w:rsidR="0093115D" w:rsidRPr="00274E0D" w:rsidRDefault="0093115D" w:rsidP="00434248">
            <w:pPr>
              <w:spacing w:beforeLines="40" w:before="96" w:afterLines="40" w:after="96"/>
              <w:jc w:val="center"/>
              <w:rPr>
                <w:i/>
                <w:noProof/>
                <w:sz w:val="18"/>
              </w:rPr>
            </w:pPr>
          </w:p>
        </w:tc>
        <w:tc>
          <w:tcPr>
            <w:tcW w:w="911" w:type="pct"/>
          </w:tcPr>
          <w:p w14:paraId="2464D787" w14:textId="77777777" w:rsidR="0093115D" w:rsidRPr="00274E0D" w:rsidRDefault="0093115D" w:rsidP="00434248">
            <w:pPr>
              <w:spacing w:beforeLines="40" w:before="96" w:afterLines="40" w:after="96"/>
              <w:jc w:val="center"/>
              <w:rPr>
                <w:noProof/>
                <w:sz w:val="18"/>
              </w:rPr>
            </w:pPr>
          </w:p>
        </w:tc>
        <w:tc>
          <w:tcPr>
            <w:tcW w:w="562" w:type="pct"/>
          </w:tcPr>
          <w:p w14:paraId="4BAD2744" w14:textId="77777777" w:rsidR="0093115D" w:rsidRPr="00274E0D" w:rsidRDefault="0093115D" w:rsidP="00434248">
            <w:pPr>
              <w:spacing w:beforeLines="40" w:before="96" w:afterLines="40" w:after="96"/>
              <w:jc w:val="center"/>
              <w:rPr>
                <w:noProof/>
                <w:sz w:val="18"/>
              </w:rPr>
            </w:pPr>
          </w:p>
        </w:tc>
        <w:tc>
          <w:tcPr>
            <w:tcW w:w="557" w:type="pct"/>
          </w:tcPr>
          <w:p w14:paraId="4CC831A5" w14:textId="77777777" w:rsidR="0093115D" w:rsidRPr="00274E0D" w:rsidRDefault="0093115D" w:rsidP="00434248">
            <w:pPr>
              <w:spacing w:beforeLines="40" w:before="96" w:afterLines="40" w:after="96"/>
              <w:jc w:val="center"/>
              <w:rPr>
                <w:noProof/>
                <w:sz w:val="18"/>
              </w:rPr>
            </w:pPr>
          </w:p>
        </w:tc>
        <w:tc>
          <w:tcPr>
            <w:tcW w:w="679" w:type="pct"/>
          </w:tcPr>
          <w:p w14:paraId="37256DE5" w14:textId="77777777" w:rsidR="0093115D" w:rsidRPr="00274E0D" w:rsidRDefault="0093115D" w:rsidP="00434248">
            <w:pPr>
              <w:spacing w:beforeLines="40" w:before="96" w:afterLines="40" w:after="96"/>
              <w:jc w:val="center"/>
              <w:rPr>
                <w:noProof/>
                <w:sz w:val="18"/>
              </w:rPr>
            </w:pPr>
          </w:p>
        </w:tc>
      </w:tr>
    </w:tbl>
    <w:p w14:paraId="39FB94C6" w14:textId="77777777" w:rsidR="0093115D" w:rsidRPr="00274E0D" w:rsidRDefault="0093115D" w:rsidP="00656AA8">
      <w:pPr>
        <w:pStyle w:val="Text1"/>
        <w:rPr>
          <w:noProof/>
          <w:szCs w:val="24"/>
        </w:rPr>
      </w:pPr>
      <w:r w:rsidRPr="00274E0D">
        <w:t>Vastaava(t) menopuolen budjettikohta/-kohdat käyttötarkoitukseensa sidottujen tulojen tapauksessa:</w:t>
      </w:r>
    </w:p>
    <w:p w14:paraId="038732FF" w14:textId="77777777" w:rsidR="0093115D" w:rsidRPr="00274E0D" w:rsidRDefault="0093115D" w:rsidP="00656AA8">
      <w:pPr>
        <w:pStyle w:val="Text1"/>
        <w:pBdr>
          <w:top w:val="single" w:sz="4" w:space="1" w:color="auto"/>
          <w:left w:val="single" w:sz="4" w:space="4" w:color="auto"/>
          <w:bottom w:val="single" w:sz="4" w:space="1" w:color="auto"/>
          <w:right w:val="single" w:sz="4" w:space="4" w:color="auto"/>
        </w:pBdr>
        <w:rPr>
          <w:noProof/>
        </w:rPr>
      </w:pPr>
    </w:p>
    <w:p w14:paraId="74BC038D" w14:textId="77777777" w:rsidR="0093115D" w:rsidRPr="00274E0D" w:rsidRDefault="0093115D" w:rsidP="00656AA8">
      <w:pPr>
        <w:pStyle w:val="Text1"/>
        <w:rPr>
          <w:noProof/>
          <w:szCs w:val="24"/>
        </w:rPr>
      </w:pPr>
      <w:r w:rsidRPr="00274E0D">
        <w:t>Muita huomautuksia (esim. tuloihin kohdistuvan vaikutuksen laskentamenetelmä/-kaava tai muita lisätietoja).</w:t>
      </w:r>
    </w:p>
    <w:p w14:paraId="6BE12AC9" w14:textId="77777777" w:rsidR="0093115D" w:rsidRPr="00274E0D" w:rsidRDefault="0093115D" w:rsidP="00656AA8">
      <w:pPr>
        <w:pStyle w:val="Text1"/>
        <w:pBdr>
          <w:top w:val="single" w:sz="4" w:space="1" w:color="auto"/>
          <w:left w:val="single" w:sz="4" w:space="4" w:color="auto"/>
          <w:bottom w:val="single" w:sz="4" w:space="1" w:color="auto"/>
          <w:right w:val="single" w:sz="4" w:space="4" w:color="auto"/>
        </w:pBdr>
        <w:rPr>
          <w:noProof/>
        </w:rPr>
      </w:pPr>
    </w:p>
    <w:p w14:paraId="383356E2" w14:textId="77777777" w:rsidR="0093115D" w:rsidRPr="00274E0D" w:rsidRDefault="0093115D" w:rsidP="00656AA8">
      <w:pPr>
        <w:pStyle w:val="ManualHeading1"/>
        <w:rPr>
          <w:caps/>
          <w:noProof/>
        </w:rPr>
      </w:pPr>
      <w:r w:rsidRPr="00274E0D">
        <w:t>4.</w:t>
      </w:r>
      <w:r w:rsidRPr="00274E0D">
        <w:tab/>
      </w:r>
      <w:bookmarkStart w:id="212" w:name="_Hlk167692977"/>
      <w:r w:rsidRPr="00274E0D">
        <w:rPr>
          <w:caps/>
        </w:rPr>
        <w:t>Digitaaliset ulottuvuudet</w:t>
      </w:r>
      <w:bookmarkEnd w:id="146"/>
      <w:bookmarkEnd w:id="147"/>
    </w:p>
    <w:p w14:paraId="2498EB4E" w14:textId="77777777" w:rsidR="0093115D" w:rsidRPr="00274E0D" w:rsidRDefault="0093115D" w:rsidP="00760DBB">
      <w:pPr>
        <w:pStyle w:val="ManualHeading2"/>
        <w:rPr>
          <w:noProof/>
        </w:rPr>
      </w:pPr>
      <w:bookmarkStart w:id="213" w:name="_Toc167220302"/>
      <w:bookmarkStart w:id="214" w:name="_Toc177549037"/>
      <w:r w:rsidRPr="00274E0D">
        <w:t>4.1.</w:t>
      </w:r>
      <w:r w:rsidRPr="00274E0D">
        <w:tab/>
        <w:t>Vaatimukset, joilla on merkitystä digitalisaation kannalta</w:t>
      </w:r>
      <w:bookmarkEnd w:id="213"/>
      <w:bookmarkEnd w:id="214"/>
    </w:p>
    <w:tbl>
      <w:tblPr>
        <w:tblStyle w:val="TableGrid"/>
        <w:tblW w:w="9072" w:type="dxa"/>
        <w:tblInd w:w="-5" w:type="dxa"/>
        <w:tblLayout w:type="fixed"/>
        <w:tblLook w:val="06A0" w:firstRow="1" w:lastRow="0" w:firstColumn="1" w:lastColumn="0" w:noHBand="1" w:noVBand="1"/>
      </w:tblPr>
      <w:tblGrid>
        <w:gridCol w:w="9072"/>
      </w:tblGrid>
      <w:tr w:rsidR="0093115D" w:rsidRPr="00274E0D" w14:paraId="1B9523F7" w14:textId="77777777" w:rsidTr="00EF7FD0">
        <w:trPr>
          <w:trHeight w:val="300"/>
        </w:trPr>
        <w:tc>
          <w:tcPr>
            <w:tcW w:w="9072" w:type="dxa"/>
          </w:tcPr>
          <w:p w14:paraId="1987C297" w14:textId="77777777" w:rsidR="0093115D" w:rsidRPr="00274E0D" w:rsidRDefault="0093115D" w:rsidP="00EF7FD0">
            <w:pPr>
              <w:rPr>
                <w:noProof/>
              </w:rPr>
            </w:pPr>
            <w:r w:rsidRPr="00274E0D">
              <w:t xml:space="preserve">Aloitteessa annetaan tukea kolmannelle maalle. Siinä ei ole kyse uusista EU:n tason digitaalisista julkisista palveluista luonnollisille henkilöille tai oikeushenkilöille EU:n alueella. Digitaaliset elementit tukevat kuitenkin Ukrainan tukilainaa siltä osin kuin rahoitusavun hallinnointi, puolustusteollisuuden valmiuksien tukeminen ja laina-aloitteet edellyttävät tietojen vaihtoa, tarkistamista ja tallentamista sekä tarvittaessa tietojen toimittamista neuvostolle ja Euroopan parlamentille. </w:t>
            </w:r>
          </w:p>
          <w:p w14:paraId="0840D7A0" w14:textId="77777777" w:rsidR="0093115D" w:rsidRPr="00274E0D" w:rsidRDefault="0093115D" w:rsidP="00EF7FD0">
            <w:pPr>
              <w:rPr>
                <w:noProof/>
              </w:rPr>
            </w:pPr>
            <w:r w:rsidRPr="00274E0D">
              <w:rPr>
                <w:b/>
              </w:rPr>
              <w:t>V1</w:t>
            </w:r>
            <w:r w:rsidRPr="00274E0D">
              <w:t xml:space="preserve"> – Rahoitukseen ja täytäntöönpanoon liittyvät digitaaliset prosessit (luku V ja erityisesti 26 artikla)</w:t>
            </w:r>
          </w:p>
          <w:p w14:paraId="3A9CD484" w14:textId="77777777" w:rsidR="0093115D" w:rsidRPr="00274E0D" w:rsidRDefault="0093115D" w:rsidP="00EF7FD0">
            <w:pPr>
              <w:rPr>
                <w:noProof/>
              </w:rPr>
            </w:pPr>
            <w:r w:rsidRPr="00274E0D">
              <w:rPr>
                <w:b/>
              </w:rPr>
              <w:t>Kuvaus</w:t>
            </w:r>
            <w:r w:rsidRPr="00274E0D">
              <w:t>: raporttien, lausuntojen tai tositteiden toimittaminen sähköisesti suojattuja kanavia ja esimerkiksi pyyntöjen, tarkastusten, täytäntöönpanopäätösten ja maksujen tekemistä koskevien komission työnkulkujärjestelmien kautta.</w:t>
            </w:r>
          </w:p>
          <w:p w14:paraId="2D91990E" w14:textId="77777777" w:rsidR="0093115D" w:rsidRPr="00274E0D" w:rsidRDefault="0093115D" w:rsidP="00EF7FD0">
            <w:pPr>
              <w:rPr>
                <w:noProof/>
              </w:rPr>
            </w:pPr>
            <w:r w:rsidRPr="00274E0D">
              <w:rPr>
                <w:b/>
              </w:rPr>
              <w:t>Sidosryhmät</w:t>
            </w:r>
            <w:r w:rsidRPr="00274E0D">
              <w:t>: komission yksiköt ja neuvosto, edunsaajaviranomaiset ja Euroopan ulkosuhdehallinto 5 artiklassa määriteltyjen ennakkoehtojen seurannan osalta.</w:t>
            </w:r>
          </w:p>
          <w:p w14:paraId="45A98467" w14:textId="77777777" w:rsidR="0093115D" w:rsidRPr="00274E0D" w:rsidRDefault="0093115D" w:rsidP="00EF7FD0">
            <w:pPr>
              <w:rPr>
                <w:noProof/>
              </w:rPr>
            </w:pPr>
            <w:r w:rsidRPr="00274E0D">
              <w:rPr>
                <w:b/>
              </w:rPr>
              <w:t>Prosessit</w:t>
            </w:r>
            <w:r w:rsidRPr="00274E0D">
              <w:t>: raportointi, seuranta, varainhoito, tietojenvaihto.</w:t>
            </w:r>
          </w:p>
          <w:p w14:paraId="134946DA" w14:textId="77777777" w:rsidR="0093115D" w:rsidRPr="00274E0D" w:rsidRDefault="0093115D" w:rsidP="00EF7FD0">
            <w:pPr>
              <w:rPr>
                <w:noProof/>
              </w:rPr>
            </w:pPr>
          </w:p>
          <w:p w14:paraId="7D2FCE17" w14:textId="77777777" w:rsidR="0093115D" w:rsidRPr="00274E0D" w:rsidRDefault="0093115D" w:rsidP="00EF7FD0">
            <w:pPr>
              <w:rPr>
                <w:noProof/>
              </w:rPr>
            </w:pPr>
            <w:r w:rsidRPr="00274E0D">
              <w:rPr>
                <w:b/>
              </w:rPr>
              <w:t>V2</w:t>
            </w:r>
            <w:r w:rsidRPr="00274E0D">
              <w:t xml:space="preserve"> – Puolustusteollisuuden kapasiteetin tukemiseen annettavan avun hallinnointi (luku IV, erityisesti 16 artikla)</w:t>
            </w:r>
          </w:p>
          <w:p w14:paraId="2E0251B3" w14:textId="77777777" w:rsidR="0093115D" w:rsidRPr="00274E0D" w:rsidRDefault="0093115D" w:rsidP="00EF7FD0">
            <w:pPr>
              <w:rPr>
                <w:noProof/>
              </w:rPr>
            </w:pPr>
            <w:r w:rsidRPr="00274E0D">
              <w:rPr>
                <w:b/>
              </w:rPr>
              <w:t>Kuvaus</w:t>
            </w:r>
            <w:r w:rsidRPr="00274E0D">
              <w:t>: edunsaajaviranomaisten on toimitettava digitaaliset dokumentit, jotka osoittavat tuetuissa puolustusteollisuuden kapasiteeteissa edistymisen, käyttäen komission vakiomalleja, jotka mahdollistavat automaattisen todentamisen.</w:t>
            </w:r>
          </w:p>
          <w:p w14:paraId="2A0517EB" w14:textId="77777777" w:rsidR="0093115D" w:rsidRPr="00274E0D" w:rsidRDefault="0093115D" w:rsidP="00EF7FD0">
            <w:pPr>
              <w:rPr>
                <w:noProof/>
              </w:rPr>
            </w:pPr>
            <w:r w:rsidRPr="00274E0D">
              <w:rPr>
                <w:b/>
              </w:rPr>
              <w:t>Sidosryhmät</w:t>
            </w:r>
            <w:r w:rsidRPr="00274E0D">
              <w:t>: edunsaajaviranomaiset, komission yksiköt.</w:t>
            </w:r>
          </w:p>
          <w:p w14:paraId="20736EAF" w14:textId="77777777" w:rsidR="0093115D" w:rsidRPr="00274E0D" w:rsidRDefault="0093115D" w:rsidP="00EF7FD0">
            <w:pPr>
              <w:rPr>
                <w:noProof/>
              </w:rPr>
            </w:pPr>
            <w:r w:rsidRPr="00274E0D">
              <w:rPr>
                <w:b/>
              </w:rPr>
              <w:t>Prosessit</w:t>
            </w:r>
            <w:r w:rsidRPr="00274E0D">
              <w:t>: hankintojen toteuttamisen ja validoinnin seuranta asetuksen mukaisesti.</w:t>
            </w:r>
          </w:p>
          <w:p w14:paraId="076A0106" w14:textId="77777777" w:rsidR="0093115D" w:rsidRPr="00274E0D" w:rsidRDefault="0093115D" w:rsidP="00EF7FD0">
            <w:pPr>
              <w:rPr>
                <w:noProof/>
              </w:rPr>
            </w:pPr>
          </w:p>
          <w:p w14:paraId="08B607AB" w14:textId="77777777" w:rsidR="0093115D" w:rsidRPr="00274E0D" w:rsidRDefault="0093115D" w:rsidP="00EF7FD0">
            <w:pPr>
              <w:rPr>
                <w:noProof/>
              </w:rPr>
            </w:pPr>
            <w:r w:rsidRPr="00274E0D">
              <w:rPr>
                <w:b/>
              </w:rPr>
              <w:t>V3</w:t>
            </w:r>
            <w:r w:rsidRPr="00274E0D">
              <w:t xml:space="preserve"> – Tietojen, myös tarkastuksen kannalta merkityksellisten tietojen vaihto Euroopan parlamentin ja neuvoston kanssa (erityisesti luku VI, 28 ja 29 artikla) </w:t>
            </w:r>
          </w:p>
          <w:p w14:paraId="4A50DF59" w14:textId="11FE50D0" w:rsidR="0093115D" w:rsidRPr="00274E0D" w:rsidRDefault="0093115D" w:rsidP="00EF7FD0">
            <w:pPr>
              <w:rPr>
                <w:noProof/>
              </w:rPr>
            </w:pPr>
            <w:r w:rsidRPr="00274E0D">
              <w:rPr>
                <w:b/>
              </w:rPr>
              <w:t>Kuvaus</w:t>
            </w:r>
            <w:r w:rsidRPr="00274E0D">
              <w:t xml:space="preserve">: komission on tarvittaessa toimitettava Euroopan parlamentille ja neuvostolle raportteja ja arkaluonteisia tietoja suojattujen järjestelmien kautta. </w:t>
            </w:r>
            <w:r w:rsidR="0032515D" w:rsidRPr="00A8443F">
              <w:rPr>
                <w:noProof/>
                <w:lang w:val="en-IE"/>
              </w:rPr>
              <w:br/>
            </w:r>
            <w:r w:rsidRPr="00274E0D">
              <w:rPr>
                <w:b/>
              </w:rPr>
              <w:t>Sidosryhmät</w:t>
            </w:r>
            <w:r w:rsidRPr="00274E0D">
              <w:t xml:space="preserve">: komission yksiköt, Euroopan parlamentti, neuvosto, edunsaajaviranomaiset </w:t>
            </w:r>
            <w:r w:rsidRPr="00274E0D">
              <w:lastRenderedPageBreak/>
              <w:t xml:space="preserve">(alkupää). </w:t>
            </w:r>
            <w:r w:rsidR="0032515D" w:rsidRPr="00A8443F">
              <w:rPr>
                <w:noProof/>
                <w:lang w:val="en-IE"/>
              </w:rPr>
              <w:br/>
            </w:r>
            <w:r w:rsidRPr="00274E0D">
              <w:rPr>
                <w:b/>
              </w:rPr>
              <w:t>Prosessit</w:t>
            </w:r>
            <w:r w:rsidRPr="00274E0D">
              <w:t>: raportointi, tarkastustietojen vaihto, turvallisuusluokiteltujen/arkaluonteisten asiakirjojen siirto.</w:t>
            </w:r>
          </w:p>
        </w:tc>
      </w:tr>
    </w:tbl>
    <w:p w14:paraId="43916AE9" w14:textId="77777777" w:rsidR="0093115D" w:rsidRPr="00274E0D" w:rsidRDefault="0093115D" w:rsidP="00760DBB">
      <w:pPr>
        <w:pStyle w:val="ManualHeading2"/>
        <w:rPr>
          <w:noProof/>
        </w:rPr>
      </w:pPr>
      <w:bookmarkStart w:id="215" w:name="_Toc167220303"/>
      <w:bookmarkStart w:id="216" w:name="_Toc177549038"/>
      <w:r w:rsidRPr="00274E0D">
        <w:lastRenderedPageBreak/>
        <w:t>4.2.</w:t>
      </w:r>
      <w:r w:rsidRPr="00274E0D">
        <w:tab/>
        <w:t>Data</w:t>
      </w:r>
      <w:bookmarkEnd w:id="215"/>
      <w:bookmarkEnd w:id="216"/>
    </w:p>
    <w:tbl>
      <w:tblPr>
        <w:tblStyle w:val="TableGrid"/>
        <w:tblW w:w="0" w:type="auto"/>
        <w:tblLook w:val="04A0" w:firstRow="1" w:lastRow="0" w:firstColumn="1" w:lastColumn="0" w:noHBand="0" w:noVBand="1"/>
      </w:tblPr>
      <w:tblGrid>
        <w:gridCol w:w="9063"/>
      </w:tblGrid>
      <w:tr w:rsidR="0093115D" w:rsidRPr="00274E0D" w14:paraId="3065C4F3" w14:textId="77777777" w:rsidTr="00EF7FD0">
        <w:tc>
          <w:tcPr>
            <w:tcW w:w="9063" w:type="dxa"/>
          </w:tcPr>
          <w:p w14:paraId="3CBF3E9E" w14:textId="77777777" w:rsidR="0093115D" w:rsidRPr="00274E0D" w:rsidRDefault="0093115D" w:rsidP="00EF7FD0">
            <w:pPr>
              <w:rPr>
                <w:noProof/>
              </w:rPr>
            </w:pPr>
            <w:r w:rsidRPr="00274E0D">
              <w:t>Vaatimusten V1–V3 osalta data sisältää taloudellisia lukuja, maksuasiakirjoja, puolustusteollisuuden kapasiteettia koskevaa dataa ja muita tietoja (myös mahdollisesti arkaluonteista/turvallisuusluokiteltua materiaalia).</w:t>
            </w:r>
          </w:p>
          <w:p w14:paraId="0FD2024D" w14:textId="77777777" w:rsidR="0093115D" w:rsidRPr="00274E0D" w:rsidRDefault="0093115D" w:rsidP="00EF7FD0">
            <w:pPr>
              <w:rPr>
                <w:noProof/>
              </w:rPr>
            </w:pPr>
            <w:r w:rsidRPr="00274E0D">
              <w:t>Datanvaihto on tarkoitukseen sidottua, minimaalista ja yhteentoimivaa, ja se toteutetaan olemassa olevien suojattujen EU:n järjestelmien kautta välttäen päällekkäistä tiedonkeruuta, kuten Euroopan datastrategiassa edellytetään.</w:t>
            </w:r>
          </w:p>
          <w:p w14:paraId="06AF01B8" w14:textId="77777777" w:rsidR="0093115D" w:rsidRPr="00274E0D" w:rsidRDefault="0093115D" w:rsidP="00EF7FD0">
            <w:pPr>
              <w:rPr>
                <w:noProof/>
              </w:rPr>
            </w:pPr>
            <w:r w:rsidRPr="00274E0D">
              <w:t>Komission nykyisiä data-aineistoja ja raportointikanavia käytetään uudelleen, ja tavoitteena on, että maksatusta tai seurantaa varten jo toimitettuja tietoja ei pyydetä uudelleen yhden kerran periaatteen mukaisesti.</w:t>
            </w:r>
          </w:p>
          <w:p w14:paraId="02E196BC" w14:textId="77777777" w:rsidR="0093115D" w:rsidRPr="00274E0D" w:rsidRDefault="0093115D" w:rsidP="00EF7FD0">
            <w:pPr>
              <w:rPr>
                <w:noProof/>
              </w:rPr>
            </w:pPr>
            <w:r w:rsidRPr="00274E0D">
              <w:rPr>
                <w:b/>
              </w:rPr>
              <w:t>Toimittajat:</w:t>
            </w:r>
            <w:r w:rsidRPr="00274E0D">
              <w:t xml:space="preserve"> edunsaajaviranomaiset (V1–V2).</w:t>
            </w:r>
          </w:p>
          <w:p w14:paraId="23606831" w14:textId="77777777" w:rsidR="0093115D" w:rsidRPr="00274E0D" w:rsidRDefault="0093115D" w:rsidP="00EF7FD0">
            <w:pPr>
              <w:rPr>
                <w:noProof/>
              </w:rPr>
            </w:pPr>
            <w:r w:rsidRPr="00274E0D">
              <w:rPr>
                <w:b/>
              </w:rPr>
              <w:t>Vastaanottajat:</w:t>
            </w:r>
            <w:r w:rsidRPr="00274E0D">
              <w:t xml:space="preserve"> komission yksiköt, raportoinnin osalta Euroopan parlamentti ja neuvosto (V3).</w:t>
            </w:r>
          </w:p>
          <w:p w14:paraId="4489D4A1" w14:textId="77777777" w:rsidR="0093115D" w:rsidRPr="00274E0D" w:rsidRDefault="0093115D" w:rsidP="00EF7FD0">
            <w:pPr>
              <w:rPr>
                <w:noProof/>
              </w:rPr>
            </w:pPr>
            <w:r w:rsidRPr="00274E0D">
              <w:rPr>
                <w:b/>
              </w:rPr>
              <w:t>Käynnistäjät:</w:t>
            </w:r>
            <w:r w:rsidRPr="00274E0D">
              <w:t xml:space="preserve"> raportointikaudet, maksupyynnöt, takausilmoitukset, tarkastusvaatimukset.</w:t>
            </w:r>
          </w:p>
          <w:p w14:paraId="76AEF123" w14:textId="77777777" w:rsidR="0093115D" w:rsidRPr="00274E0D" w:rsidRDefault="0093115D" w:rsidP="00EF7FD0">
            <w:pPr>
              <w:rPr>
                <w:noProof/>
              </w:rPr>
            </w:pPr>
            <w:r w:rsidRPr="00274E0D">
              <w:rPr>
                <w:b/>
              </w:rPr>
              <w:t>Toistuvuus:</w:t>
            </w:r>
            <w:r w:rsidRPr="00274E0D">
              <w:t xml:space="preserve"> kausittainen (esim. kuukausittain tai muutoin asetuksessa määritellyllä aikavälillä) sekä tapauskohtaisesti rahoitus- tai tarkastustarpeita varten. </w:t>
            </w:r>
          </w:p>
        </w:tc>
      </w:tr>
    </w:tbl>
    <w:p w14:paraId="4B417438" w14:textId="77777777" w:rsidR="0093115D" w:rsidRPr="00274E0D" w:rsidRDefault="0093115D" w:rsidP="00760DBB">
      <w:pPr>
        <w:pStyle w:val="ManualHeading2"/>
        <w:rPr>
          <w:noProof/>
        </w:rPr>
      </w:pPr>
      <w:bookmarkStart w:id="217" w:name="_Toc167220305"/>
      <w:bookmarkStart w:id="218" w:name="_Toc177549039"/>
      <w:r w:rsidRPr="00274E0D">
        <w:t>4.3.</w:t>
      </w:r>
      <w:r w:rsidRPr="00274E0D">
        <w:tab/>
        <w:t>Digitaaliset ratkaisut</w:t>
      </w:r>
      <w:bookmarkEnd w:id="217"/>
      <w:bookmarkEnd w:id="218"/>
    </w:p>
    <w:tbl>
      <w:tblPr>
        <w:tblStyle w:val="TableGrid"/>
        <w:tblpPr w:leftFromText="141" w:rightFromText="141" w:vertAnchor="text" w:horzAnchor="margin" w:tblpY="2"/>
        <w:tblW w:w="9067" w:type="dxa"/>
        <w:tblLook w:val="04A0" w:firstRow="1" w:lastRow="0" w:firstColumn="1" w:lastColumn="0" w:noHBand="0" w:noVBand="1"/>
      </w:tblPr>
      <w:tblGrid>
        <w:gridCol w:w="9067"/>
      </w:tblGrid>
      <w:tr w:rsidR="0093115D" w:rsidRPr="00274E0D" w14:paraId="062F1B4C" w14:textId="77777777" w:rsidTr="00EF7FD0">
        <w:tc>
          <w:tcPr>
            <w:tcW w:w="9067" w:type="dxa"/>
          </w:tcPr>
          <w:p w14:paraId="29146F4C" w14:textId="77777777" w:rsidR="0093115D" w:rsidRPr="00274E0D" w:rsidRDefault="0093115D" w:rsidP="00EF7FD0">
            <w:pPr>
              <w:rPr>
                <w:noProof/>
              </w:rPr>
            </w:pPr>
            <w:r w:rsidRPr="00274E0D">
              <w:t>Kaikkien digitaalialan kannalta merkityksellisten vaatimusten (V1–V3) osalta komission on käytettävä suojattua tietojenvaihtojärjestelmää ja datamalleja helpottaakseen turvallisuusluokiteltujen tietojen ja arkaluonteisten tietojen vaihtoa komission ja Ukrainan välillä sekä tarvittaessa osallistuvien jäsenvaltioiden kanssa.</w:t>
            </w:r>
            <w:r w:rsidRPr="00274E0D">
              <w:rPr>
                <w:color w:val="000000" w:themeColor="text1"/>
              </w:rPr>
              <w:t xml:space="preserve"> </w:t>
            </w:r>
          </w:p>
          <w:p w14:paraId="0FFE801E" w14:textId="77777777" w:rsidR="0093115D" w:rsidRPr="00274E0D" w:rsidRDefault="0093115D" w:rsidP="00EF7FD0">
            <w:pPr>
              <w:rPr>
                <w:noProof/>
              </w:rPr>
            </w:pPr>
            <w:r w:rsidRPr="00274E0D">
              <w:t>Vastuu: komission yksiköt ja edunsaajaviranomaiset tai osallistuvat jäsenvaltiot tai kolmannet maat tapauksen mukaan.</w:t>
            </w:r>
          </w:p>
          <w:p w14:paraId="3185B9A5" w14:textId="77777777" w:rsidR="0093115D" w:rsidRPr="00274E0D" w:rsidRDefault="0093115D" w:rsidP="00EF7FD0">
            <w:pPr>
              <w:rPr>
                <w:noProof/>
              </w:rPr>
            </w:pPr>
            <w:r w:rsidRPr="00274E0D">
              <w:t>Tekoäly: tekoälyyn liittyvistä toiminnoista ei ole säädetty.</w:t>
            </w:r>
          </w:p>
          <w:p w14:paraId="722FB200" w14:textId="77777777" w:rsidR="0093115D" w:rsidRPr="00274E0D" w:rsidRDefault="0093115D" w:rsidP="00EF7FD0">
            <w:pPr>
              <w:rPr>
                <w:noProof/>
              </w:rPr>
            </w:pPr>
            <w:r w:rsidRPr="00274E0D">
              <w:t>Vaatimustenmukaisuus: kaikkien järjestelmien on oltava EU:n kyberturvallisuuskehyksen, eIDAS-asetuksen, tietosuojasääntöjen ja turvallisuusluokiteltujen tietojen käsittelyä koskevien komission sääntöjen mukaisia.</w:t>
            </w:r>
          </w:p>
          <w:p w14:paraId="2ACC99A5" w14:textId="77777777" w:rsidR="0093115D" w:rsidRPr="00274E0D" w:rsidRDefault="0093115D" w:rsidP="00EF7FD0">
            <w:pPr>
              <w:rPr>
                <w:noProof/>
              </w:rPr>
            </w:pPr>
            <w:r w:rsidRPr="00274E0D">
              <w:t>Uudelleenkäytettävyys:</w:t>
            </w:r>
            <w:r w:rsidRPr="00274E0D">
              <w:rPr>
                <w:color w:val="000000" w:themeColor="text1"/>
              </w:rPr>
              <w:t xml:space="preserve"> </w:t>
            </w:r>
            <w:r w:rsidRPr="00274E0D">
              <w:t>kaikissa digitaalisissa ratkaisuissa hyödynnetään komission olemassa olevia infrastruktuureja.</w:t>
            </w:r>
          </w:p>
        </w:tc>
      </w:tr>
    </w:tbl>
    <w:p w14:paraId="5836E99B" w14:textId="77777777" w:rsidR="0093115D" w:rsidRPr="00274E0D" w:rsidRDefault="0093115D" w:rsidP="00760DBB">
      <w:pPr>
        <w:pStyle w:val="ManualHeading2"/>
        <w:rPr>
          <w:rStyle w:val="Emphasis"/>
          <w:b w:val="0"/>
          <w:bCs/>
          <w:i w:val="0"/>
          <w:iCs w:val="0"/>
          <w:noProof/>
        </w:rPr>
      </w:pPr>
      <w:bookmarkStart w:id="219" w:name="_Toc167220304"/>
      <w:bookmarkStart w:id="220" w:name="_Toc177549040"/>
      <w:r w:rsidRPr="00274E0D">
        <w:rPr>
          <w:rStyle w:val="Emphasis"/>
        </w:rPr>
        <w:t>4.4.</w:t>
      </w:r>
      <w:r w:rsidRPr="00274E0D">
        <w:tab/>
      </w:r>
      <w:r w:rsidRPr="00274E0D">
        <w:rPr>
          <w:rStyle w:val="Emphasis"/>
        </w:rPr>
        <w:t>Yhteentoimivuusarviointi</w:t>
      </w:r>
      <w:bookmarkEnd w:id="219"/>
      <w:bookmarkEnd w:id="220"/>
    </w:p>
    <w:tbl>
      <w:tblPr>
        <w:tblStyle w:val="TableGrid"/>
        <w:tblpPr w:leftFromText="141" w:rightFromText="141" w:vertAnchor="text" w:horzAnchor="margin" w:tblpY="36"/>
        <w:tblW w:w="9067" w:type="dxa"/>
        <w:tblLayout w:type="fixed"/>
        <w:tblLook w:val="06A0" w:firstRow="1" w:lastRow="0" w:firstColumn="1" w:lastColumn="0" w:noHBand="1" w:noVBand="1"/>
      </w:tblPr>
      <w:tblGrid>
        <w:gridCol w:w="9067"/>
      </w:tblGrid>
      <w:tr w:rsidR="0093115D" w:rsidRPr="00274E0D" w14:paraId="7824E301" w14:textId="77777777" w:rsidTr="00EF7FD0">
        <w:trPr>
          <w:trHeight w:val="300"/>
        </w:trPr>
        <w:tc>
          <w:tcPr>
            <w:tcW w:w="9067" w:type="dxa"/>
          </w:tcPr>
          <w:p w14:paraId="4DACC596" w14:textId="77777777" w:rsidR="0093115D" w:rsidRPr="00274E0D" w:rsidRDefault="0093115D" w:rsidP="00EF7FD0">
            <w:pPr>
              <w:rPr>
                <w:i/>
                <w:iCs/>
                <w:noProof/>
              </w:rPr>
            </w:pPr>
            <w:r w:rsidRPr="00274E0D">
              <w:t>Asetuksessa edellytetään turvallisuusluokiteltujen/arkaluonteisten tietojen suojattua vaihtoa, komission pääsyä kaikkeen dataan, joka on tarpeen asetuksessa säädettyjen velvoitteiden kannalta, mukaan lukien todentaminen ja datan suojaus. Kaikki velvoitteet on tarkoitus täyttää käyttämällä olemassa olevia komission suojattuja järjestelmiä, joissa ei ole yhteentoimivuuden puutteita. Tämä tukee velvoitteita V1–V3.</w:t>
            </w:r>
          </w:p>
        </w:tc>
      </w:tr>
    </w:tbl>
    <w:p w14:paraId="3A25A38F" w14:textId="77777777" w:rsidR="0093115D" w:rsidRPr="00274E0D" w:rsidRDefault="0093115D" w:rsidP="00760DBB">
      <w:pPr>
        <w:pStyle w:val="ManualHeading2"/>
        <w:rPr>
          <w:noProof/>
        </w:rPr>
      </w:pPr>
      <w:bookmarkStart w:id="221" w:name="_Toc167220306"/>
      <w:bookmarkStart w:id="222" w:name="_Toc177549041"/>
      <w:r w:rsidRPr="00274E0D">
        <w:lastRenderedPageBreak/>
        <w:t>4.5.</w:t>
      </w:r>
      <w:r w:rsidRPr="00274E0D">
        <w:tab/>
        <w:t>Toimenpiteet digitaalisen täytäntöönpanon tukemiseksi</w:t>
      </w:r>
      <w:bookmarkEnd w:id="221"/>
      <w:bookmarkEnd w:id="222"/>
    </w:p>
    <w:tbl>
      <w:tblPr>
        <w:tblStyle w:val="TableGrid"/>
        <w:tblpPr w:leftFromText="141" w:rightFromText="141" w:vertAnchor="text" w:horzAnchor="margin" w:tblpY="49"/>
        <w:tblW w:w="9067" w:type="dxa"/>
        <w:tblLook w:val="04A0" w:firstRow="1" w:lastRow="0" w:firstColumn="1" w:lastColumn="0" w:noHBand="0" w:noVBand="1"/>
      </w:tblPr>
      <w:tblGrid>
        <w:gridCol w:w="9067"/>
      </w:tblGrid>
      <w:tr w:rsidR="0093115D" w:rsidRPr="00274E0D" w14:paraId="1CE447D9" w14:textId="77777777" w:rsidTr="00EF7FD0">
        <w:tc>
          <w:tcPr>
            <w:tcW w:w="9067" w:type="dxa"/>
          </w:tcPr>
          <w:p w14:paraId="51008B13" w14:textId="77777777" w:rsidR="0093115D" w:rsidRPr="00274E0D" w:rsidRDefault="0093115D" w:rsidP="00EF7FD0">
            <w:pPr>
              <w:rPr>
                <w:noProof/>
              </w:rPr>
            </w:pPr>
            <w:r w:rsidRPr="00274E0D">
              <w:t>Koska komissio antaa jo apua edunsaajamaalle nykyisten taloudellisen ja operatiivisen tuen kehysten puitteissa, vaatimusten V1 ja V3 täyttäminen ei edellytä digitaalista täytäntöönpanoa koskevia lisätoimenpiteitä.</w:t>
            </w:r>
            <w:r w:rsidRPr="00274E0D">
              <w:rPr>
                <w:b/>
              </w:rPr>
              <w:t xml:space="preserve"> </w:t>
            </w:r>
            <w:r w:rsidRPr="00274E0D">
              <w:t>Puolustusteollisuuden kapasiteettia koskevan raportoinnin (V2) osalta komissio voi palvelutasolla antaa ohjeita ja selvennyksiä digitaalisista malleista ja suojatuista tietojenvaihtomenettelyistä sen varmistamiseksi, että osapuolet ovat valmiita ja käyttävät niitä johdonmukaisesti.</w:t>
            </w:r>
          </w:p>
        </w:tc>
      </w:tr>
      <w:bookmarkEnd w:id="212"/>
    </w:tbl>
    <w:p w14:paraId="3D872BB1" w14:textId="77777777" w:rsidR="0093115D" w:rsidRPr="0093115D" w:rsidRDefault="0093115D" w:rsidP="00867131">
      <w:pPr>
        <w:spacing w:before="0" w:after="200" w:line="276" w:lineRule="auto"/>
        <w:jc w:val="left"/>
        <w:rPr>
          <w:i/>
          <w:noProof/>
        </w:rPr>
      </w:pPr>
    </w:p>
    <w:sectPr w:rsidR="0093115D" w:rsidRPr="0093115D" w:rsidSect="00A02E61">
      <w:headerReference w:type="default" r:id="rId23"/>
      <w:footerReference w:type="default" r:id="rId24"/>
      <w:pgSz w:w="11907" w:h="16840" w:code="9"/>
      <w:pgMar w:top="1134" w:right="1418" w:bottom="1134"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CAD78" w14:textId="77777777" w:rsidR="00866BEF" w:rsidRDefault="00866BEF" w:rsidP="00A30D6B">
      <w:pPr>
        <w:spacing w:before="0" w:after="0"/>
      </w:pPr>
      <w:r>
        <w:separator/>
      </w:r>
    </w:p>
  </w:endnote>
  <w:endnote w:type="continuationSeparator" w:id="0">
    <w:p w14:paraId="585E8BC4" w14:textId="77777777" w:rsidR="00866BEF" w:rsidRDefault="00866BEF" w:rsidP="00A30D6B">
      <w:pPr>
        <w:spacing w:before="0" w:after="0"/>
      </w:pPr>
      <w:r>
        <w:continuationSeparator/>
      </w:r>
    </w:p>
  </w:endnote>
  <w:endnote w:type="continuationNotice" w:id="1">
    <w:p w14:paraId="22DA827B" w14:textId="77777777" w:rsidR="00866BEF" w:rsidRDefault="00866BE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EUAlbertina">
    <w:altName w:val="EU Albertina"/>
    <w:charset w:val="00"/>
    <w:family w:val="auto"/>
    <w:pitch w:val="variable"/>
    <w:sig w:usb0="800002EF" w:usb1="1000E0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84C11" w14:textId="77AD9836" w:rsidR="00A02E61" w:rsidRPr="00A02E61" w:rsidRDefault="00A02E61" w:rsidP="00A02E61">
    <w:pPr>
      <w:pStyle w:val="Footer"/>
      <w:rPr>
        <w:rFonts w:ascii="Arial" w:hAnsi="Arial" w:cs="Arial"/>
        <w:b/>
        <w:sz w:val="48"/>
      </w:rPr>
    </w:pPr>
    <w:r w:rsidRPr="00A02E61">
      <w:rPr>
        <w:rFonts w:ascii="Arial" w:hAnsi="Arial" w:cs="Arial"/>
        <w:b/>
        <w:sz w:val="48"/>
      </w:rPr>
      <w:t>FI</w:t>
    </w:r>
    <w:r w:rsidRPr="00A02E61">
      <w:rPr>
        <w:rFonts w:ascii="Arial" w:hAnsi="Arial" w:cs="Arial"/>
        <w:b/>
        <w:sz w:val="48"/>
      </w:rPr>
      <w:tab/>
    </w:r>
    <w:r w:rsidRPr="00A02E61">
      <w:rPr>
        <w:rFonts w:ascii="Arial" w:hAnsi="Arial" w:cs="Arial"/>
        <w:b/>
        <w:sz w:val="48"/>
      </w:rPr>
      <w:tab/>
    </w:r>
    <w:r w:rsidRPr="00A02E61">
      <w:tab/>
    </w:r>
    <w:r w:rsidRPr="00A02E61">
      <w:rPr>
        <w:rFonts w:ascii="Arial" w:hAnsi="Arial" w:cs="Arial"/>
        <w:b/>
        <w:sz w:val="48"/>
      </w:rPr>
      <w:t>FI</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E7CD1" w14:textId="6AAE0FED" w:rsidR="00A02E61" w:rsidRPr="00A02E61" w:rsidRDefault="00A02E61" w:rsidP="00A02E61">
    <w:pPr>
      <w:pStyle w:val="Footer"/>
      <w:rPr>
        <w:rFonts w:ascii="Arial" w:hAnsi="Arial" w:cs="Arial"/>
        <w:b/>
        <w:sz w:val="48"/>
      </w:rPr>
    </w:pPr>
    <w:r w:rsidRPr="00A02E61">
      <w:rPr>
        <w:rFonts w:ascii="Arial" w:hAnsi="Arial" w:cs="Arial"/>
        <w:b/>
        <w:sz w:val="48"/>
      </w:rPr>
      <w:t>FI</w:t>
    </w:r>
    <w:r w:rsidRPr="00A02E6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02E61">
      <w:tab/>
    </w:r>
    <w:r w:rsidRPr="00A02E61">
      <w:rPr>
        <w:rFonts w:ascii="Arial" w:hAnsi="Arial" w:cs="Arial"/>
        <w:b/>
        <w:sz w:val="48"/>
      </w:rPr>
      <w:t>FI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44D96" w14:textId="55723198" w:rsidR="00A02E61" w:rsidRPr="00A02E61" w:rsidRDefault="00A02E61" w:rsidP="00A02E61">
    <w:pPr>
      <w:pStyle w:val="Footer"/>
      <w:rPr>
        <w:rFonts w:ascii="Arial" w:hAnsi="Arial" w:cs="Arial"/>
        <w:b/>
        <w:sz w:val="48"/>
      </w:rPr>
    </w:pPr>
    <w:r w:rsidRPr="00A02E61">
      <w:rPr>
        <w:rFonts w:ascii="Arial" w:hAnsi="Arial" w:cs="Arial"/>
        <w:b/>
        <w:sz w:val="48"/>
      </w:rPr>
      <w:t>FI</w:t>
    </w:r>
    <w:r w:rsidRPr="00A02E61">
      <w:rPr>
        <w:rFonts w:ascii="Arial" w:hAnsi="Arial" w:cs="Arial"/>
        <w:b/>
        <w:sz w:val="48"/>
      </w:rPr>
      <w:tab/>
    </w:r>
    <w:r w:rsidRPr="00A02E61">
      <w:rPr>
        <w:rFonts w:ascii="Arial" w:hAnsi="Arial" w:cs="Arial"/>
        <w:b/>
        <w:sz w:val="48"/>
      </w:rPr>
      <w:tab/>
    </w:r>
    <w:r w:rsidRPr="00A02E61">
      <w:tab/>
    </w:r>
    <w:r w:rsidRPr="00A02E61">
      <w:rPr>
        <w:rFonts w:ascii="Arial" w:hAnsi="Arial" w:cs="Arial"/>
        <w:b/>
        <w:sz w:val="48"/>
      </w:rPr>
      <w:t>FI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859D" w14:textId="77777777" w:rsidR="00F96390" w:rsidRDefault="00F963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C22AF" w14:textId="3E3CD0EC" w:rsidR="00A02E61" w:rsidRPr="00A02E61" w:rsidRDefault="00A02E61" w:rsidP="00A02E61">
    <w:pPr>
      <w:pStyle w:val="Footer"/>
      <w:rPr>
        <w:rFonts w:ascii="Arial" w:hAnsi="Arial" w:cs="Arial"/>
        <w:b/>
        <w:sz w:val="48"/>
      </w:rPr>
    </w:pPr>
    <w:r w:rsidRPr="00A02E61">
      <w:rPr>
        <w:rFonts w:ascii="Arial" w:hAnsi="Arial" w:cs="Arial"/>
        <w:b/>
        <w:sz w:val="48"/>
      </w:rPr>
      <w:t>FI</w:t>
    </w:r>
    <w:r w:rsidRPr="00A02E61">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A02E61">
      <w:tab/>
    </w:r>
    <w:r w:rsidRPr="00A02E61">
      <w:rPr>
        <w:rFonts w:ascii="Arial" w:hAnsi="Arial" w:cs="Arial"/>
        <w:b/>
        <w:sz w:val="48"/>
      </w:rPr>
      <w:t>FI</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B2EA" w14:textId="77777777" w:rsidR="00F96390" w:rsidRDefault="00F96390" w:rsidP="00A02E6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C6C81" w14:textId="77777777" w:rsidR="0093115D" w:rsidRDefault="0093115D">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17C99" w14:textId="77777777" w:rsidR="0093115D" w:rsidRPr="00274E0D" w:rsidRDefault="0093115D" w:rsidP="00274E0D">
    <w:pPr>
      <w:pStyle w:val="Footer"/>
      <w:rPr>
        <w:rFonts w:ascii="Arial" w:hAnsi="Arial" w:cs="Arial"/>
        <w:b/>
        <w:sz w:val="48"/>
      </w:rPr>
    </w:pPr>
    <w:r w:rsidRPr="00274E0D">
      <w:rPr>
        <w:rFonts w:ascii="Arial" w:hAnsi="Arial" w:cs="Arial"/>
        <w:b/>
        <w:sz w:val="48"/>
      </w:rPr>
      <w:t>FI</w:t>
    </w:r>
    <w:r w:rsidRPr="00274E0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74E0D">
      <w:tab/>
    </w:r>
    <w:r w:rsidRPr="00274E0D">
      <w:rPr>
        <w:rFonts w:ascii="Arial" w:hAnsi="Arial" w:cs="Arial"/>
        <w:b/>
        <w:sz w:val="48"/>
      </w:rPr>
      <w:t>FI</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73230" w14:textId="77777777" w:rsidR="0093115D" w:rsidRDefault="0093115D" w:rsidP="00274E0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01630" w14:textId="77777777" w:rsidR="0093115D" w:rsidRPr="00274E0D" w:rsidRDefault="0093115D" w:rsidP="00274E0D">
    <w:pPr>
      <w:pStyle w:val="FooterLandscape"/>
      <w:rPr>
        <w:rFonts w:ascii="Arial" w:hAnsi="Arial" w:cs="Arial"/>
        <w:b/>
        <w:sz w:val="48"/>
      </w:rPr>
    </w:pPr>
    <w:r w:rsidRPr="00274E0D">
      <w:rPr>
        <w:rFonts w:ascii="Arial" w:hAnsi="Arial" w:cs="Arial"/>
        <w:b/>
        <w:sz w:val="48"/>
      </w:rPr>
      <w:t>FI</w:t>
    </w:r>
    <w:r w:rsidRPr="00274E0D">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274E0D">
      <w:tab/>
    </w:r>
    <w:r w:rsidRPr="00274E0D">
      <w:rPr>
        <w:rFonts w:ascii="Arial" w:hAnsi="Arial" w:cs="Arial"/>
        <w:b/>
        <w:sz w:val="48"/>
      </w:rPr>
      <w:t>FI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02A03" w14:textId="77777777" w:rsidR="00866BEF" w:rsidRDefault="00866BEF" w:rsidP="00A30D6B">
      <w:pPr>
        <w:spacing w:before="0" w:after="0"/>
      </w:pPr>
      <w:r>
        <w:separator/>
      </w:r>
    </w:p>
  </w:footnote>
  <w:footnote w:type="continuationSeparator" w:id="0">
    <w:p w14:paraId="2FD0B833" w14:textId="77777777" w:rsidR="00866BEF" w:rsidRDefault="00866BEF" w:rsidP="00A30D6B">
      <w:pPr>
        <w:spacing w:before="0" w:after="0"/>
      </w:pPr>
      <w:r>
        <w:continuationSeparator/>
      </w:r>
    </w:p>
  </w:footnote>
  <w:footnote w:type="continuationNotice" w:id="1">
    <w:p w14:paraId="638C6D43" w14:textId="77777777" w:rsidR="00866BEF" w:rsidRDefault="00866BEF">
      <w:pPr>
        <w:spacing w:before="0" w:after="0"/>
      </w:pPr>
    </w:p>
  </w:footnote>
  <w:footnote w:id="2">
    <w:p w14:paraId="2350AEB8" w14:textId="77777777" w:rsidR="00BC62F5" w:rsidRPr="008B4A45" w:rsidRDefault="00BC62F5" w:rsidP="00BC62F5">
      <w:pPr>
        <w:pStyle w:val="FootnoteText"/>
      </w:pPr>
      <w:r>
        <w:rPr>
          <w:rStyle w:val="FootnoteReference"/>
        </w:rPr>
        <w:footnoteRef/>
      </w:r>
      <w:r w:rsidRPr="008B4A45">
        <w:tab/>
        <w:t>Eurooppa-neuvoston päätelmät, 27. kesäkuuta 2024, EUCO 15/24.</w:t>
      </w:r>
    </w:p>
  </w:footnote>
  <w:footnote w:id="3">
    <w:p w14:paraId="694B8CBA" w14:textId="1325A251" w:rsidR="006A31D7" w:rsidRPr="008B4A45" w:rsidRDefault="006A31D7">
      <w:pPr>
        <w:pStyle w:val="FootnoteText"/>
      </w:pPr>
      <w:r>
        <w:rPr>
          <w:rStyle w:val="FootnoteReference"/>
        </w:rPr>
        <w:footnoteRef/>
      </w:r>
      <w:r w:rsidRPr="008B4A45">
        <w:tab/>
        <w:t xml:space="preserve">Neuvoston asetus (EU) 2025/2600, annettu 12 päivänä joulukuuta 2025, kiireellisistä toimenpiteistä, joilla puututaan Venäjän toimista Ukrainan vastaisessa hyökkäyssodassa johtuviin vakaviin taloudellisiin vaikeuksiin (EUVL L, 2025/2600, 13.12.2025, ELI: </w:t>
      </w:r>
      <w:hyperlink r:id="rId1" w:history="1">
        <w:r w:rsidRPr="008B4A45">
          <w:rPr>
            <w:rStyle w:val="Hyperlink"/>
          </w:rPr>
          <w:t>http://data.europa.eu/eli/reg/2025/2600/oj</w:t>
        </w:r>
      </w:hyperlink>
      <w:r w:rsidRPr="008B4A45">
        <w:t>).</w:t>
      </w:r>
    </w:p>
  </w:footnote>
  <w:footnote w:id="4">
    <w:p w14:paraId="1262AB24" w14:textId="77777777" w:rsidR="0035687B" w:rsidRPr="00867131" w:rsidRDefault="0035687B" w:rsidP="0035687B">
      <w:pPr>
        <w:pStyle w:val="FootnoteText"/>
        <w:rPr>
          <w:lang w:val="en-IE"/>
        </w:rPr>
      </w:pPr>
      <w:r>
        <w:rPr>
          <w:rStyle w:val="FootnoteReference"/>
        </w:rPr>
        <w:footnoteRef/>
      </w:r>
      <w:r w:rsidRPr="00867131">
        <w:rPr>
          <w:lang w:val="en-IE"/>
        </w:rPr>
        <w:tab/>
        <w:t>Articles on Responsibility of States for Internationally Wrongful Acts, 2001, kansainvälisen oikeuden toimikunta.</w:t>
      </w:r>
    </w:p>
  </w:footnote>
  <w:footnote w:id="5">
    <w:p w14:paraId="6E4C494F" w14:textId="0665CD66" w:rsidR="00BC62F5" w:rsidRPr="008B4A45" w:rsidRDefault="00BC62F5" w:rsidP="00BC62F5">
      <w:pPr>
        <w:pStyle w:val="FootnoteText"/>
        <w:rPr>
          <w:rFonts w:eastAsia="Times New Roman"/>
          <w:color w:val="333333"/>
          <w:sz w:val="19"/>
          <w:szCs w:val="19"/>
        </w:rPr>
      </w:pPr>
      <w:r>
        <w:rPr>
          <w:rStyle w:val="FootnoteReference"/>
        </w:rPr>
        <w:footnoteRef/>
      </w:r>
      <w:r w:rsidRPr="008B4A45">
        <w:tab/>
        <w:t xml:space="preserve">Euroopan parlamentin ja neuvoston asetus (EU) 2024/792, annettu 29 päivänä helmikuuta 2024, Ukrainan tukivälineen perustamisesta (EUVL L, 2024/792, 29.2.2024, ELI: </w:t>
      </w:r>
      <w:hyperlink r:id="rId2" w:history="1">
        <w:r w:rsidRPr="008B4A45">
          <w:rPr>
            <w:rStyle w:val="Hyperlink"/>
          </w:rPr>
          <w:t>http://data.europa.eu/eli/reg/2024/792/oj</w:t>
        </w:r>
      </w:hyperlink>
      <w:r w:rsidRPr="008B4A45">
        <w:t>).</w:t>
      </w:r>
      <w:r w:rsidR="00D8192F">
        <w:t xml:space="preserve"> </w:t>
      </w:r>
    </w:p>
  </w:footnote>
  <w:footnote w:id="6">
    <w:p w14:paraId="7FA5559B" w14:textId="77777777" w:rsidR="00BC62F5" w:rsidRPr="008B4A45" w:rsidRDefault="00BC62F5" w:rsidP="00BC62F5">
      <w:pPr>
        <w:pStyle w:val="FootnoteText"/>
        <w:rPr>
          <w:rFonts w:eastAsia="Times New Roman"/>
          <w:color w:val="333333"/>
          <w:sz w:val="21"/>
          <w:szCs w:val="21"/>
        </w:rPr>
      </w:pPr>
      <w:r>
        <w:rPr>
          <w:rStyle w:val="FootnoteReference"/>
        </w:rPr>
        <w:footnoteRef/>
      </w:r>
      <w:r w:rsidRPr="008B4A45">
        <w:tab/>
        <w:t>Euroopan parlamentin ja neuvoston asetus (EU) 2021/947, annettu 9 päivänä kesäkuuta 2021, naapuruus-, kehitys- ja kansainvälisen yhteistyön välineen – Globaali Eurooppa perustamisesta, Euroopan parlamentin ja neuvoston päätöksen N:o 466/2014/EU muuttamisesta ja kumoamisesta sekä Euroopan parlamentin ja neuvoston asetuksen (EU) 2017/1601 ja neuvoston asetuksen (EY, Euratom) N:o 480/2009 kumoamisesta (ETA:n kannalta merkityksellinen teksti) (</w:t>
      </w:r>
      <w:r w:rsidRPr="008B4A45">
        <w:rPr>
          <w:color w:val="333333"/>
        </w:rPr>
        <w:t xml:space="preserve">EUVL L 209, 14.6.2021, s. 1, ELI: </w:t>
      </w:r>
      <w:hyperlink r:id="rId3" w:history="1">
        <w:r w:rsidRPr="008B4A45">
          <w:rPr>
            <w:rStyle w:val="Hyperlink"/>
          </w:rPr>
          <w:t>http://data.europa.eu/eli/reg/2021/947/2021-06-14</w:t>
        </w:r>
      </w:hyperlink>
      <w:r w:rsidRPr="008B4A45">
        <w:rPr>
          <w:color w:val="333333"/>
        </w:rPr>
        <w:t>).</w:t>
      </w:r>
    </w:p>
  </w:footnote>
  <w:footnote w:id="7">
    <w:p w14:paraId="04D20988" w14:textId="77777777" w:rsidR="00BC62F5" w:rsidRPr="008B4A45" w:rsidRDefault="00BC62F5" w:rsidP="00BC62F5">
      <w:pPr>
        <w:pStyle w:val="FootnoteText"/>
      </w:pPr>
      <w:r>
        <w:rPr>
          <w:rStyle w:val="FootnoteReference"/>
        </w:rPr>
        <w:footnoteRef/>
      </w:r>
      <w:r w:rsidRPr="008B4A45">
        <w:tab/>
        <w:t xml:space="preserve">Neuvoston asetus (EY) N:o 1257/96, annettu 20 päivänä kesäkuuta 1996, humanitaarisesta avusta (EYVL L 163, 2.7.1996, s. 1, ELI: </w:t>
      </w:r>
      <w:hyperlink r:id="rId4" w:history="1">
        <w:r w:rsidRPr="008B4A45">
          <w:rPr>
            <w:rStyle w:val="Hyperlink"/>
          </w:rPr>
          <w:t>http://data.europa.eu/eli/reg/1996/1257/2019-07-26</w:t>
        </w:r>
      </w:hyperlink>
      <w:r w:rsidRPr="008B4A45">
        <w:t>).</w:t>
      </w:r>
    </w:p>
  </w:footnote>
  <w:footnote w:id="8">
    <w:p w14:paraId="08C46161" w14:textId="77777777" w:rsidR="00BC62F5" w:rsidRPr="008B4A45" w:rsidRDefault="00BC62F5" w:rsidP="00BC62F5">
      <w:pPr>
        <w:pStyle w:val="FootnoteText"/>
      </w:pPr>
      <w:r>
        <w:rPr>
          <w:rStyle w:val="FootnoteReference"/>
        </w:rPr>
        <w:footnoteRef/>
      </w:r>
      <w:r w:rsidRPr="008B4A45">
        <w:tab/>
        <w:t xml:space="preserve">Euroopan parlamentin ja neuvoston asetus (EU) 2024/2773, annettu 24 päivänä lokakuuta 2024, Ukrainan lainayhteistyömekanismin perustamisesta ja poikkeuksellisen makrotaloudellisen rahoitusavun myöntämisestä Ukrainalle (EUVL L, 2024/2773, 28.10.2024, ELI: </w:t>
      </w:r>
      <w:hyperlink r:id="rId5" w:history="1">
        <w:r w:rsidRPr="008B4A45">
          <w:rPr>
            <w:rStyle w:val="Hyperlink"/>
          </w:rPr>
          <w:t>http://data.europa.eu/eli/reg/2024/2773/oj</w:t>
        </w:r>
      </w:hyperlink>
      <w:r w:rsidRPr="008B4A45">
        <w:t>).</w:t>
      </w:r>
    </w:p>
  </w:footnote>
  <w:footnote w:id="9">
    <w:p w14:paraId="70D877D7" w14:textId="77777777" w:rsidR="00BC62F5" w:rsidRPr="008B4A45" w:rsidRDefault="00BC62F5" w:rsidP="00BC62F5">
      <w:pPr>
        <w:pStyle w:val="FootnoteText"/>
      </w:pPr>
      <w:r>
        <w:rPr>
          <w:rStyle w:val="FootnoteReference"/>
        </w:rPr>
        <w:footnoteRef/>
      </w:r>
      <w:r w:rsidRPr="008B4A45">
        <w:tab/>
        <w:t xml:space="preserve">Neuvoston asetus (EU) 2025/1106, annettu 27 päivänä toukokuuta 2025, välineen perustamisesta Euroopan turvallisuuden edistämiseksi Euroopan puolustusteollisuutta vahvistamalla (SAFE) (EUVL L, 2025/1106, 28.5.2025, ELI: </w:t>
      </w:r>
      <w:hyperlink r:id="rId6" w:history="1">
        <w:r w:rsidRPr="008B4A45">
          <w:rPr>
            <w:rStyle w:val="Hyperlink"/>
          </w:rPr>
          <w:t>http://data.europa.eu/eli/reg/2025/1106/oj</w:t>
        </w:r>
      </w:hyperlink>
      <w:r w:rsidRPr="008B4A45">
        <w:t>).</w:t>
      </w:r>
    </w:p>
  </w:footnote>
  <w:footnote w:id="10">
    <w:p w14:paraId="44A1FB04" w14:textId="77777777" w:rsidR="00631DF6" w:rsidRPr="004869FE" w:rsidRDefault="00631DF6" w:rsidP="00D2167E">
      <w:pPr>
        <w:pStyle w:val="FootnoteText"/>
      </w:pPr>
      <w:r>
        <w:rPr>
          <w:rStyle w:val="FootnoteReference"/>
        </w:rPr>
        <w:footnoteRef/>
      </w:r>
      <w:r w:rsidRPr="004869FE">
        <w:tab/>
        <w:t xml:space="preserve">Euroopan parlamentin ja neuvoston päätös (EU) 2022/313, annettu 24 päivänä helmikuuta 2022, makrotaloudellisen rahoitusavun myöntämisestä Ukrainalle (EUVL L 55, 28.2.2022, s. 4, ELI: </w:t>
      </w:r>
      <w:hyperlink r:id="rId7" w:history="1">
        <w:r w:rsidRPr="004869FE">
          <w:rPr>
            <w:rStyle w:val="Hyperlink"/>
          </w:rPr>
          <w:t>http://data.europa.eu/eli/dec/2022/313/oj</w:t>
        </w:r>
      </w:hyperlink>
      <w:r w:rsidRPr="004869FE">
        <w:t>).</w:t>
      </w:r>
    </w:p>
  </w:footnote>
  <w:footnote w:id="11">
    <w:p w14:paraId="1527ADD6" w14:textId="77777777" w:rsidR="00631DF6" w:rsidRPr="004869FE" w:rsidRDefault="00631DF6" w:rsidP="00D2167E">
      <w:pPr>
        <w:pStyle w:val="FootnoteText"/>
      </w:pPr>
      <w:r>
        <w:rPr>
          <w:rStyle w:val="FootnoteReference"/>
        </w:rPr>
        <w:footnoteRef/>
      </w:r>
      <w:r w:rsidRPr="004869FE">
        <w:tab/>
        <w:t xml:space="preserve">Euroopan parlamentin ja neuvoston päätös (EU) 2022/1201, annettu 12 päivänä heinäkuuta 2022, poikkeuksellisen makrotaloudellisen rahoitusavun myöntämisestä Ukrainalle (EUVL L 186, 13.7.2022, s. 1, ELI: </w:t>
      </w:r>
      <w:hyperlink r:id="rId8" w:history="1">
        <w:r w:rsidRPr="004869FE">
          <w:rPr>
            <w:rStyle w:val="Hyperlink"/>
          </w:rPr>
          <w:t>http://data.europa.eu/eli/dec/2022/1201/oj</w:t>
        </w:r>
      </w:hyperlink>
      <w:r w:rsidRPr="004869FE">
        <w:t>).</w:t>
      </w:r>
    </w:p>
  </w:footnote>
  <w:footnote w:id="12">
    <w:p w14:paraId="2E449501" w14:textId="77777777" w:rsidR="00631DF6" w:rsidRPr="004869FE" w:rsidRDefault="00631DF6" w:rsidP="00D2167E">
      <w:pPr>
        <w:pStyle w:val="FootnoteText"/>
      </w:pPr>
      <w:r>
        <w:rPr>
          <w:rStyle w:val="FootnoteReference"/>
        </w:rPr>
        <w:footnoteRef/>
      </w:r>
      <w:r w:rsidRPr="004869FE">
        <w:tab/>
        <w:t xml:space="preserve">Euroopan parlamentin ja neuvoston päätös (EU) 2022/1628, annettu 20 päivänä syyskuuta 2022, poikkeuksellisen makrotaloudellisen rahoitusavun myöntämisestä Ukrainalle, yhteisen vararahaston vahvistamisesta jäsenvaltioiden takauksilla ja varauksista eräitä päätöksen N:o 466/2014/EU nojalla taattuja Ukrainaan liittyviä rahoitusvastuita varten sekä päätöksen (EU) 2022/1201 muuttamisesta (EUVL L 245, 22.9.2022, s. 1, ELI: </w:t>
      </w:r>
      <w:hyperlink r:id="rId9" w:history="1">
        <w:r w:rsidRPr="004869FE">
          <w:rPr>
            <w:rStyle w:val="Hyperlink"/>
          </w:rPr>
          <w:t>http://data.europa.eu/eli/dec/2022/1628/oj</w:t>
        </w:r>
      </w:hyperlink>
      <w:r w:rsidRPr="004869FE">
        <w:t>).</w:t>
      </w:r>
    </w:p>
  </w:footnote>
  <w:footnote w:id="13">
    <w:p w14:paraId="18150BED" w14:textId="77777777" w:rsidR="00631DF6" w:rsidRPr="004869FE" w:rsidRDefault="00631DF6" w:rsidP="00D2167E">
      <w:pPr>
        <w:pStyle w:val="FootnoteText"/>
      </w:pPr>
      <w:r>
        <w:rPr>
          <w:rStyle w:val="FootnoteReference"/>
        </w:rPr>
        <w:footnoteRef/>
      </w:r>
      <w:r w:rsidRPr="004869FE">
        <w:tab/>
        <w:t xml:space="preserve">Euroopan parlamentin ja neuvoston asetus (EU) 2022/2463, annettu 14 päivänä joulukuuta 2022, välineen perustamisesta tuen antamiseksi Ukrainalle vuonna 2023 (makrotaloudellinen rahoitusapu plus) (EUVL L 322, 16.12.2022, s. 1, ELI: </w:t>
      </w:r>
      <w:hyperlink r:id="rId10" w:history="1">
        <w:r w:rsidRPr="004869FE">
          <w:rPr>
            <w:rStyle w:val="Hyperlink"/>
          </w:rPr>
          <w:t>http://data.europa.eu/eli/reg/2022/2463/oj</w:t>
        </w:r>
      </w:hyperlink>
      <w:r w:rsidRPr="004869FE">
        <w:t>).</w:t>
      </w:r>
    </w:p>
  </w:footnote>
  <w:footnote w:id="14">
    <w:p w14:paraId="7A773E4A" w14:textId="77777777" w:rsidR="00631DF6" w:rsidRPr="004869FE" w:rsidRDefault="00631DF6" w:rsidP="00D2167E">
      <w:pPr>
        <w:pStyle w:val="FootnoteText"/>
      </w:pPr>
      <w:r>
        <w:rPr>
          <w:rStyle w:val="FootnoteReference"/>
        </w:rPr>
        <w:footnoteRef/>
      </w:r>
      <w:r w:rsidRPr="004869FE">
        <w:tab/>
        <w:t xml:space="preserve">Euroopan parlamentin ja neuvoston asetus (EU) 2024/792, annettu 29 päivänä helmikuuta 2024, Ukrainan tukivälineen perustamisesta (EUVL L, 2024/792, 29.2.2024, ELI: </w:t>
      </w:r>
      <w:hyperlink r:id="rId11" w:history="1">
        <w:r w:rsidRPr="004869FE">
          <w:rPr>
            <w:rStyle w:val="Hyperlink"/>
          </w:rPr>
          <w:t>http://data.europa.eu/eli/reg/2024/792/oj</w:t>
        </w:r>
      </w:hyperlink>
      <w:r w:rsidRPr="004869FE">
        <w:t>).</w:t>
      </w:r>
    </w:p>
  </w:footnote>
  <w:footnote w:id="15">
    <w:p w14:paraId="4B9D89C1" w14:textId="77777777" w:rsidR="00631DF6" w:rsidRPr="004869FE" w:rsidRDefault="00631DF6" w:rsidP="00D2167E">
      <w:pPr>
        <w:pStyle w:val="FootnoteText"/>
      </w:pPr>
      <w:r>
        <w:rPr>
          <w:rStyle w:val="FootnoteReference"/>
        </w:rPr>
        <w:footnoteRef/>
      </w:r>
      <w:r w:rsidRPr="004869FE">
        <w:tab/>
        <w:t xml:space="preserve">Euroopan parlamentin ja neuvoston asetus (EU) 2024/2773, annettu 24 päivänä lokakuuta 2024, Ukrainan lainayhteistyömekanismin perustamisesta ja poikkeuksellisen makrotaloudellisen rahoitusavun myöntämisestä Ukrainalle (EUVL L, 2024/2773, 28.10.2024, ELI: </w:t>
      </w:r>
      <w:hyperlink r:id="rId12" w:history="1">
        <w:r w:rsidRPr="004869FE">
          <w:rPr>
            <w:rStyle w:val="Hyperlink"/>
          </w:rPr>
          <w:t>http://data.europa.eu/eli/reg/2024/2773/oj</w:t>
        </w:r>
      </w:hyperlink>
      <w:r w:rsidRPr="004869FE">
        <w:t>).</w:t>
      </w:r>
    </w:p>
  </w:footnote>
  <w:footnote w:id="16">
    <w:p w14:paraId="75BA881A" w14:textId="77777777" w:rsidR="00631DF6" w:rsidRPr="004869FE" w:rsidRDefault="00631DF6">
      <w:pPr>
        <w:pStyle w:val="FootnoteText"/>
      </w:pPr>
      <w:r>
        <w:rPr>
          <w:rStyle w:val="FootnoteReference"/>
        </w:rPr>
        <w:footnoteRef/>
      </w:r>
      <w:r w:rsidRPr="004869FE">
        <w:tab/>
        <w:t xml:space="preserve">Neuvoston päätös (YUTP) 2022/335, annettu 28 päivänä helmikuuta 2022, rajoittavista toimenpiteistä Ukrainan tilannetta epävakauttavien Venäjän toimien </w:t>
      </w:r>
      <w:r w:rsidRPr="004869FE">
        <w:t>johdosta annetun päätöksen 2014/512/YUTP muuttamisesta (EUVL L 57, 28.2.2022, s. 4, ELI: </w:t>
      </w:r>
      <w:hyperlink r:id="rId13" w:tooltip="Avaa asiakirjan ELI URI -osoitteen kautta." w:history="1">
        <w:r w:rsidRPr="004869FE">
          <w:rPr>
            <w:rStyle w:val="Hyperlink"/>
          </w:rPr>
          <w:t>http://data.europa.eu/eli/dec/2022/335/oj</w:t>
        </w:r>
      </w:hyperlink>
      <w:r w:rsidRPr="004869FE">
        <w:t>).</w:t>
      </w:r>
    </w:p>
  </w:footnote>
  <w:footnote w:id="17">
    <w:p w14:paraId="1004493B" w14:textId="77777777" w:rsidR="00631DF6" w:rsidRPr="004869FE" w:rsidRDefault="00631DF6">
      <w:pPr>
        <w:pStyle w:val="FootnoteText"/>
      </w:pPr>
      <w:r>
        <w:rPr>
          <w:rStyle w:val="FootnoteReference"/>
        </w:rPr>
        <w:footnoteRef/>
      </w:r>
      <w:r w:rsidRPr="004869FE">
        <w:tab/>
        <w:t xml:space="preserve">Neuvoston asetus (EU) 2022/334, annettu 28 päivänä huhtikuuta 2022, rajoittavista toimenpiteistä Ukrainan tilannetta epävakauttavien Venäjän toimien </w:t>
      </w:r>
      <w:r w:rsidRPr="004869FE">
        <w:t xml:space="preserve">johdosta annetun neuvoston asetuksen (EU) N:o 833/2014 muuttamisesta (EUVL L 57, 28.2.2022, s. 1, ELI: </w:t>
      </w:r>
      <w:hyperlink r:id="rId14" w:history="1">
        <w:r w:rsidRPr="004869FE">
          <w:rPr>
            <w:rStyle w:val="Hyperlink"/>
          </w:rPr>
          <w:t>http://data.europa.eu/eli/reg/2022/334/oj</w:t>
        </w:r>
      </w:hyperlink>
      <w:r w:rsidRPr="004869FE">
        <w:t>).</w:t>
      </w:r>
    </w:p>
  </w:footnote>
  <w:footnote w:id="18">
    <w:p w14:paraId="0F7A129C" w14:textId="77777777" w:rsidR="00631DF6" w:rsidRPr="004869FE" w:rsidRDefault="00631DF6" w:rsidP="000A2575">
      <w:pPr>
        <w:pStyle w:val="FootnoteText"/>
      </w:pPr>
      <w:r>
        <w:rPr>
          <w:rStyle w:val="FootnoteReference"/>
        </w:rPr>
        <w:footnoteRef/>
      </w:r>
      <w:r w:rsidRPr="004869FE">
        <w:tab/>
        <w:t xml:space="preserve">Neuvoston asetus (EU) 2025/2600, annettu 12 päivänä joulukuuta 2025, kiireellisistä toimenpiteistä, joilla puututaan Venäjän toimista Ukrainan vastaisessa hyökkäyssodassa johtuviin vakaviin taloudellisiin vaikeuksiin (EUVL L, 2025/2600, 13.12.2025, ELI: </w:t>
      </w:r>
      <w:hyperlink r:id="rId15" w:history="1">
        <w:r w:rsidRPr="004869FE">
          <w:rPr>
            <w:rStyle w:val="Hyperlink"/>
          </w:rPr>
          <w:t>http://data.europa.eu/eli/reg/2025/2600/oj</w:t>
        </w:r>
      </w:hyperlink>
      <w:r w:rsidRPr="004869FE">
        <w:t>).</w:t>
      </w:r>
    </w:p>
  </w:footnote>
  <w:footnote w:id="19">
    <w:p w14:paraId="5928AAA9" w14:textId="77777777" w:rsidR="00631DF6" w:rsidRPr="004869FE" w:rsidRDefault="00631DF6" w:rsidP="00D2167E">
      <w:pPr>
        <w:pStyle w:val="FootnoteText"/>
      </w:pPr>
      <w:r>
        <w:rPr>
          <w:rStyle w:val="FootnoteReference"/>
        </w:rPr>
        <w:footnoteRef/>
      </w:r>
      <w:r w:rsidRPr="004869FE">
        <w:tab/>
        <w:t>Euroopan parlamentin ja neuvoston asetus (EU) N:o 182/2011, annettu 16 päivänä helmikuuta 2011, yleisistä säännöistä ja periaatteista, joiden mukaisesti jäsenvaltiot valvovat komission täytäntöönpanovallan käyttöä (EUVL L 55, 28.2.2011, s. 13, ELI: </w:t>
      </w:r>
      <w:hyperlink r:id="rId16" w:tooltip="Avaa asiakirjan ELI URI -osoitteen kautta." w:history="1">
        <w:r w:rsidRPr="004869FE">
          <w:rPr>
            <w:rStyle w:val="Hyperlink"/>
          </w:rPr>
          <w:t>http://data.europa.eu/eli/reg/2011/182/oj</w:t>
        </w:r>
      </w:hyperlink>
      <w:r w:rsidRPr="004869FE">
        <w:t>).</w:t>
      </w:r>
    </w:p>
  </w:footnote>
  <w:footnote w:id="20">
    <w:p w14:paraId="0827F3E2" w14:textId="77777777" w:rsidR="00631DF6" w:rsidRPr="004869FE" w:rsidRDefault="00631DF6">
      <w:pPr>
        <w:pStyle w:val="FootnoteText"/>
      </w:pPr>
      <w:r>
        <w:rPr>
          <w:rStyle w:val="FootnoteReference"/>
        </w:rPr>
        <w:footnoteRef/>
      </w:r>
      <w:r w:rsidRPr="004869FE">
        <w:tab/>
        <w:t xml:space="preserve">Neuvoston asetus (EU) 2025/1106, annettu 27 päivänä toukokuuta 2025, välineen perustamisesta Euroopan turvallisuuden edistämiseksi Euroopan puolustusteollisuutta vahvistamalla (SAFE) (EUVL L, 2025/1106, 28.5.2025, ELI: </w:t>
      </w:r>
      <w:hyperlink r:id="rId17" w:history="1">
        <w:r w:rsidRPr="004869FE">
          <w:rPr>
            <w:rStyle w:val="Hyperlink"/>
          </w:rPr>
          <w:t>http://data.europa.eu/eli/reg/2025/1106/oj</w:t>
        </w:r>
      </w:hyperlink>
      <w:r w:rsidRPr="004869FE">
        <w:t>).</w:t>
      </w:r>
    </w:p>
  </w:footnote>
  <w:footnote w:id="21">
    <w:p w14:paraId="7FC3DA72" w14:textId="77777777" w:rsidR="00631DF6" w:rsidRPr="004869FE" w:rsidRDefault="00631DF6" w:rsidP="00C171CF">
      <w:pPr>
        <w:pStyle w:val="FootnoteText"/>
        <w:ind w:left="567" w:hanging="567"/>
      </w:pPr>
      <w:r>
        <w:rPr>
          <w:rStyle w:val="FootnoteReference"/>
        </w:rPr>
        <w:footnoteRef/>
      </w:r>
      <w:r w:rsidRPr="004869FE">
        <w:tab/>
        <w:t xml:space="preserve">Euroopan parlamentin ja neuvoston asetus (EU, Euratom) 2024/2509, annettu 23 päivänä syyskuuta 2024, unionin yleiseen talousarvioon sovellettavista varainhoitosäännöistä (EUVL L, 2024/2509, 26.9.2024, ELI: </w:t>
      </w:r>
      <w:hyperlink r:id="rId18" w:history="1">
        <w:r w:rsidRPr="004869FE">
          <w:rPr>
            <w:rStyle w:val="Hyperlink"/>
          </w:rPr>
          <w:t>http://data.europa.eu/eli/reg/2024/2509/oj</w:t>
        </w:r>
      </w:hyperlink>
      <w:r w:rsidRPr="004869FE">
        <w:t>).</w:t>
      </w:r>
    </w:p>
  </w:footnote>
  <w:footnote w:id="22">
    <w:p w14:paraId="17A05435" w14:textId="77777777" w:rsidR="00631DF6" w:rsidRPr="004869FE" w:rsidRDefault="00631DF6" w:rsidP="002D73C5">
      <w:pPr>
        <w:pStyle w:val="FootnoteText"/>
        <w:ind w:left="567" w:hanging="567"/>
      </w:pPr>
      <w:r>
        <w:rPr>
          <w:rStyle w:val="FootnoteReference"/>
        </w:rPr>
        <w:footnoteRef/>
      </w:r>
      <w:r w:rsidRPr="004869FE">
        <w:tab/>
        <w:t xml:space="preserve">Euroopan parlamentin ja neuvoston direktiivi 2009/81/EY, annettu 13 päivänä heinäkuuta 2009, hankintaviranomaisten ja hankintayksiköiden tekemien rakennusurakoita sekä tavara- ja palveluhankintoja koskevien sopimusten tekomenettelyjen yhteensovittamisesta puolustus- ja turvallisuusalalla ja direktiivien 2004/17/EY ja 2004/18/EY muuttamisesta (EUVL L 216, 20.8.2009, s. 76, ELI: </w:t>
      </w:r>
      <w:hyperlink r:id="rId19" w:history="1">
        <w:r w:rsidRPr="004869FE">
          <w:rPr>
            <w:rStyle w:val="Hyperlink"/>
          </w:rPr>
          <w:t>http://data.europa.eu/eli/dir/2009/81/oj</w:t>
        </w:r>
      </w:hyperlink>
      <w:r w:rsidRPr="004869FE">
        <w:t>).</w:t>
      </w:r>
    </w:p>
  </w:footnote>
  <w:footnote w:id="23">
    <w:p w14:paraId="7CCB346A" w14:textId="77777777" w:rsidR="00631DF6" w:rsidRPr="004869FE" w:rsidRDefault="00631DF6" w:rsidP="004566E9">
      <w:pPr>
        <w:pStyle w:val="FootnoteText"/>
        <w:ind w:left="540" w:hanging="540"/>
      </w:pPr>
      <w:r>
        <w:rPr>
          <w:rStyle w:val="FootnoteReference"/>
        </w:rPr>
        <w:footnoteRef/>
      </w:r>
      <w:r w:rsidRPr="004869FE">
        <w:tab/>
        <w:t xml:space="preserve">Neuvoston asetus (EY, Euratom) N:o 2988/95, annettu 18 päivänä joulukuuta 1995, Euroopan yhteisöjen taloudellisten etujen suojaamisesta (EYVL L 312, 23.12.1995, s. 1, </w:t>
      </w:r>
      <w:r w:rsidRPr="004869FE">
        <w:t xml:space="preserve">ELI:. </w:t>
      </w:r>
      <w:hyperlink r:id="rId20" w:history="1">
        <w:r w:rsidRPr="004869FE">
          <w:rPr>
            <w:rStyle w:val="Hyperlink"/>
          </w:rPr>
          <w:t>http://data.europa.eu/eli/reg/1995/2988/oj</w:t>
        </w:r>
      </w:hyperlink>
      <w:r w:rsidRPr="004869FE">
        <w:t>).</w:t>
      </w:r>
    </w:p>
  </w:footnote>
  <w:footnote w:id="24">
    <w:p w14:paraId="1AA6CB6F" w14:textId="77777777" w:rsidR="00631DF6" w:rsidRPr="004869FE" w:rsidRDefault="00631DF6" w:rsidP="004566E9">
      <w:pPr>
        <w:pStyle w:val="FootnoteText"/>
        <w:ind w:left="540" w:hanging="540"/>
      </w:pPr>
      <w:r>
        <w:rPr>
          <w:rStyle w:val="FootnoteReference"/>
        </w:rPr>
        <w:footnoteRef/>
      </w:r>
      <w:r w:rsidRPr="004869FE">
        <w:tab/>
        <w:t xml:space="preserve">Euroopan parlamentin ja neuvoston asetus (EU, Euratom) N:o 883/2013, annettu 11 päivänä syyskuuta 2013, Euroopan petostentorjuntaviraston (OLAF) tutkimuksista sekä Euroopan parlamentin ja neuvoston asetuksen (EY) N:o 1073/1999 ja neuvoston asetuksen (Euratom) N:o 1074/1999 kumoamisesta (EUVL L 248, 18.9.2013, s. 1, ELI: </w:t>
      </w:r>
      <w:hyperlink r:id="rId21" w:history="1">
        <w:r w:rsidRPr="004869FE">
          <w:rPr>
            <w:rStyle w:val="Hyperlink"/>
          </w:rPr>
          <w:t>http://data.europa.eu/eli/reg/2013/883/oj</w:t>
        </w:r>
      </w:hyperlink>
      <w:r w:rsidRPr="004869FE">
        <w:t>).</w:t>
      </w:r>
    </w:p>
  </w:footnote>
  <w:footnote w:id="25">
    <w:p w14:paraId="0BD71DCB" w14:textId="77777777" w:rsidR="00631DF6" w:rsidRPr="004869FE" w:rsidRDefault="00631DF6" w:rsidP="004566E9">
      <w:pPr>
        <w:pStyle w:val="FootnoteText"/>
        <w:ind w:left="540" w:hanging="540"/>
      </w:pPr>
      <w:r>
        <w:rPr>
          <w:rStyle w:val="FootnoteReference"/>
        </w:rPr>
        <w:footnoteRef/>
      </w:r>
      <w:r w:rsidRPr="004869FE">
        <w:tab/>
        <w:t>Euroopan parlamentin ja neuvoston direktiivi (EU) 2017/1371, annettu 5 päivänä heinäkuuta 2017, unionin taloudellisiin etuihin kohdistuvien petosten torjunnasta rikosoikeudellisin keinoin (EUVL L 198, 28.7.2017, s. 29, ELI: </w:t>
      </w:r>
      <w:hyperlink r:id="rId22" w:tooltip="Avaa asiakirjan ELI URI -osoitteen kautta." w:history="1">
        <w:r w:rsidRPr="004869FE">
          <w:rPr>
            <w:rStyle w:val="Hyperlink"/>
          </w:rPr>
          <w:t>http://data.europa.eu/eli/dir/2017/1371/oj</w:t>
        </w:r>
      </w:hyperlink>
      <w:r w:rsidRPr="004869FE">
        <w:t>).</w:t>
      </w:r>
    </w:p>
  </w:footnote>
  <w:footnote w:id="26">
    <w:p w14:paraId="569EBEA0" w14:textId="77777777" w:rsidR="00631DF6" w:rsidRPr="004869FE" w:rsidRDefault="00631DF6" w:rsidP="004566E9">
      <w:pPr>
        <w:pStyle w:val="FootnoteText"/>
        <w:ind w:left="540" w:hanging="540"/>
      </w:pPr>
      <w:r>
        <w:rPr>
          <w:rStyle w:val="FootnoteReference"/>
        </w:rPr>
        <w:footnoteRef/>
      </w:r>
      <w:r w:rsidRPr="004869FE">
        <w:tab/>
        <w:t xml:space="preserve">Neuvoston asetus (EU) 2017/1939, annettu 12 päivänä lokakuuta 2017, tiiviimmän yhteistyön toteuttamisesta Euroopan syyttäjänviraston (EPPO) perustamisessa (EUVL L 283, 31.10.2017, s. 1, ELI: </w:t>
      </w:r>
      <w:hyperlink r:id="rId23" w:history="1">
        <w:r w:rsidRPr="004869FE">
          <w:rPr>
            <w:rStyle w:val="Hyperlink"/>
          </w:rPr>
          <w:t>http://data.europa.eu/eli/reg/2017/1939/oj</w:t>
        </w:r>
      </w:hyperlink>
      <w:r w:rsidRPr="004869FE">
        <w:t>).</w:t>
      </w:r>
    </w:p>
  </w:footnote>
  <w:footnote w:id="27">
    <w:p w14:paraId="2303DDB6" w14:textId="77777777" w:rsidR="00631DF6" w:rsidRPr="004869FE" w:rsidRDefault="00631DF6" w:rsidP="00AA5E09">
      <w:pPr>
        <w:pStyle w:val="FootnoteText"/>
        <w:rPr>
          <w:rFonts w:eastAsia="Times New Roman"/>
          <w:color w:val="333333"/>
          <w:sz w:val="21"/>
          <w:szCs w:val="21"/>
        </w:rPr>
      </w:pPr>
      <w:r>
        <w:rPr>
          <w:rStyle w:val="FootnoteReference"/>
        </w:rPr>
        <w:footnoteRef/>
      </w:r>
      <w:r w:rsidRPr="004869FE">
        <w:tab/>
        <w:t>Euroopan parlamentin ja neuvoston asetus (EU) 2021/947, annettu 9 päivänä kesäkuuta 2021, naapuruus-, kehitys- ja kansainvälisen yhteistyön välineen – Globaali Eurooppa perustamisesta, Euroopan parlamentin ja neuvoston päätöksen N:o 466/2014/EU muuttamisesta ja kumoamisesta sekä Euroopan parlamentin ja neuvoston asetuksen (EU) 2017/1601 ja neuvoston asetuksen (EY, Euratom) N:o 480/2009 kumoamisesta (ETA:n kannalta merkityksellinen teksti) (EUVL L 209, 14.6.2021, s. 1, ELI:</w:t>
      </w:r>
      <w:r w:rsidRPr="004869FE">
        <w:rPr>
          <w:color w:val="333333"/>
        </w:rPr>
        <w:t xml:space="preserve"> </w:t>
      </w:r>
      <w:hyperlink r:id="rId24" w:history="1">
        <w:r w:rsidRPr="004869FE">
          <w:rPr>
            <w:rStyle w:val="Hyperlink"/>
          </w:rPr>
          <w:t>http://data.europa.eu/eli/reg/2021/947/2021-06-14</w:t>
        </w:r>
      </w:hyperlink>
      <w:r w:rsidRPr="004869FE">
        <w:rPr>
          <w:color w:val="333333"/>
        </w:rPr>
        <w:t>).</w:t>
      </w:r>
    </w:p>
  </w:footnote>
  <w:footnote w:id="28">
    <w:p w14:paraId="665D63EF" w14:textId="77777777" w:rsidR="00631DF6" w:rsidRPr="004869FE" w:rsidRDefault="00631DF6">
      <w:pPr>
        <w:pStyle w:val="FootnoteText"/>
      </w:pPr>
      <w:r>
        <w:rPr>
          <w:rStyle w:val="FootnoteReference"/>
        </w:rPr>
        <w:footnoteRef/>
      </w:r>
      <w:r w:rsidRPr="004869FE">
        <w:tab/>
        <w:t>Neuvoston asetus (EU, Euratom) N:o 609/2014, annettu 26 päivänä toukokuuta 2014, perinteisten, ALV- ja BKTL-perusteisten omien varojen käyttöön asettamisessa sovellettavista menetelmistä ja menettelystä sekä käteisvarojen saamiseksi toteutettavista toimenpiteistä (uudelleenlaadittu) (EUVL L 168, 7.6.2014, s. 39), ELI: </w:t>
      </w:r>
      <w:hyperlink r:id="rId25" w:tooltip="Avaa asiakirjan ELI URI -osoitteen kautta." w:history="1">
        <w:r w:rsidRPr="004869FE">
          <w:rPr>
            <w:rStyle w:val="Hyperlink"/>
          </w:rPr>
          <w:t>http://data.europa.eu/eli/reg/2014/609/oj</w:t>
        </w:r>
      </w:hyperlink>
      <w:r w:rsidRPr="004869FE">
        <w:t>).</w:t>
      </w:r>
    </w:p>
  </w:footnote>
  <w:footnote w:id="29">
    <w:p w14:paraId="27CFB958" w14:textId="77777777" w:rsidR="00631DF6" w:rsidRPr="004869FE" w:rsidRDefault="00631DF6" w:rsidP="00D2167E">
      <w:pPr>
        <w:pStyle w:val="FootnoteText"/>
      </w:pPr>
      <w:r>
        <w:rPr>
          <w:rStyle w:val="FootnoteReference"/>
        </w:rPr>
        <w:footnoteRef/>
      </w:r>
      <w:r w:rsidRPr="004869FE">
        <w:tab/>
        <w:t xml:space="preserve">Neuvoston päätös 2010/427/EU, annettu 26 päivänä heinäkuuta 2010, Euroopan ulkosuhdehallinnon organisaatiosta ja toiminnasta (EUVL L 201, 3.8.2010, s. 30, ELI: </w:t>
      </w:r>
      <w:hyperlink r:id="rId26" w:history="1">
        <w:r w:rsidRPr="004869FE">
          <w:rPr>
            <w:rStyle w:val="Hyperlink"/>
          </w:rPr>
          <w:t>http://data.europa.eu/eli/dec/2010/427/oj</w:t>
        </w:r>
      </w:hyperlink>
      <w:r w:rsidRPr="004869FE">
        <w:t>).</w:t>
      </w:r>
    </w:p>
  </w:footnote>
  <w:footnote w:id="30">
    <w:p w14:paraId="67061F90" w14:textId="77777777" w:rsidR="00631DF6" w:rsidRPr="004869FE" w:rsidRDefault="00631DF6" w:rsidP="00344F69">
      <w:pPr>
        <w:pStyle w:val="FootnoteText"/>
      </w:pPr>
      <w:r>
        <w:rPr>
          <w:rStyle w:val="FootnoteReference"/>
        </w:rPr>
        <w:footnoteRef/>
      </w:r>
      <w:r w:rsidRPr="004869FE">
        <w:tab/>
        <w:t xml:space="preserve">Euroopan parlamentin ja neuvoston asetus (EU) 2018/1092, annettu 18 päivänä heinäkuuta 2018, Euroopan puolustusteollisen kehittämisohjelman perustamisesta unionin puolustusteollisuuden kilpailukyvyn ja innovointikapasiteetin tukemiseksi (EUVL L 200, 7.8.2018, s. 30, ELI: </w:t>
      </w:r>
      <w:hyperlink r:id="rId27" w:history="1">
        <w:r w:rsidRPr="004869FE">
          <w:rPr>
            <w:rStyle w:val="Hyperlink"/>
          </w:rPr>
          <w:t>http://data.europa.eu/eli/reg/2018/1092/oj</w:t>
        </w:r>
      </w:hyperlink>
      <w:r w:rsidRPr="004869FE">
        <w:t>).</w:t>
      </w:r>
    </w:p>
  </w:footnote>
  <w:footnote w:id="31">
    <w:p w14:paraId="70F5B2CC" w14:textId="77777777" w:rsidR="00631DF6" w:rsidRPr="004869FE" w:rsidRDefault="00631DF6" w:rsidP="00344F69">
      <w:pPr>
        <w:pStyle w:val="FootnoteText"/>
      </w:pPr>
      <w:r>
        <w:rPr>
          <w:rStyle w:val="FootnoteReference"/>
        </w:rPr>
        <w:footnoteRef/>
      </w:r>
      <w:r w:rsidRPr="004869FE">
        <w:tab/>
        <w:t xml:space="preserve">Euroopan parlamentin ja neuvoston asetus (EU) 2021/697, annettu 29 päivänä huhtikuuta 2021, Euroopan puolustusrahaston perustamisesta ja asetuksen (EU) 2018/1092 kumoamisesta (EUVL L 170, 12.5.2021, s. 149, ELI: </w:t>
      </w:r>
      <w:hyperlink r:id="rId28" w:history="1">
        <w:r w:rsidRPr="004869FE">
          <w:rPr>
            <w:rStyle w:val="Hyperlink"/>
          </w:rPr>
          <w:t>http://data.europa.eu/eli/reg/2021/697/oj</w:t>
        </w:r>
      </w:hyperlink>
      <w:r w:rsidRPr="004869FE">
        <w:t>).</w:t>
      </w:r>
    </w:p>
  </w:footnote>
  <w:footnote w:id="32">
    <w:p w14:paraId="1CD933FF" w14:textId="77777777" w:rsidR="00631DF6" w:rsidRPr="004869FE" w:rsidRDefault="00631DF6" w:rsidP="00344F69">
      <w:pPr>
        <w:pStyle w:val="FootnoteText"/>
      </w:pPr>
      <w:r>
        <w:rPr>
          <w:rStyle w:val="FootnoteReference"/>
        </w:rPr>
        <w:footnoteRef/>
      </w:r>
      <w:r w:rsidRPr="004869FE">
        <w:tab/>
        <w:t xml:space="preserve">Euroopan parlamentin ja neuvoston asetus (EU) 2023/1525, annettu 20 päivänä heinäkuuta 2023, ampumatarviketuotannon tukemisesta (ASAP) (EUVL L 185, 24.7.2023, s. 7, ELI: </w:t>
      </w:r>
      <w:hyperlink r:id="rId29" w:history="1">
        <w:r w:rsidRPr="004869FE">
          <w:rPr>
            <w:rStyle w:val="Hyperlink"/>
          </w:rPr>
          <w:t>http://data.europa.eu/eli/reg/2023/1525/oj</w:t>
        </w:r>
      </w:hyperlink>
      <w:r w:rsidRPr="004869FE">
        <w:t>).</w:t>
      </w:r>
    </w:p>
  </w:footnote>
  <w:footnote w:id="33">
    <w:p w14:paraId="53AC8917" w14:textId="77777777" w:rsidR="00631DF6" w:rsidRPr="004869FE" w:rsidRDefault="00631DF6" w:rsidP="00344F69">
      <w:pPr>
        <w:pStyle w:val="FootnoteText"/>
      </w:pPr>
      <w:r>
        <w:rPr>
          <w:rStyle w:val="FootnoteReference"/>
        </w:rPr>
        <w:footnoteRef/>
      </w:r>
      <w:r w:rsidRPr="004869FE">
        <w:tab/>
        <w:t xml:space="preserve">Euroopan parlamentin ja neuvoston asetus (EU) 2023/2418, annettu 18 päivänä lokakuuta 2023, välineen perustamisesta Euroopan puolustusteollisuuden vahvistamiseksi yhteistoiminnallisten hankintojen avulla (EDIRPA) (EUVL L, 2023/2418, 26.10.2023, ELI: </w:t>
      </w:r>
      <w:hyperlink r:id="rId30" w:history="1">
        <w:r w:rsidRPr="004869FE">
          <w:rPr>
            <w:rStyle w:val="Hyperlink"/>
          </w:rPr>
          <w:t>http://data.europa.eu/eli/reg/2023/2418/oj</w:t>
        </w:r>
      </w:hyperlink>
      <w:r w:rsidRPr="004869FE">
        <w:t>).</w:t>
      </w:r>
    </w:p>
  </w:footnote>
  <w:footnote w:id="34">
    <w:p w14:paraId="28E024E3" w14:textId="4B054C5D" w:rsidR="00C36CB8" w:rsidRPr="008B4A45" w:rsidRDefault="00C36CB8">
      <w:pPr>
        <w:pStyle w:val="FootnoteText"/>
      </w:pPr>
      <w:r>
        <w:rPr>
          <w:rStyle w:val="FootnoteReference"/>
        </w:rPr>
        <w:footnoteRef/>
      </w:r>
      <w:r w:rsidRPr="008B4A45">
        <w:tab/>
        <w:t xml:space="preserve">Komission päätös (EU, Euratom) 2015/444, annettu 13 päivänä maaliskuuta 2015, EU:n turvallisuusluokiteltujen tietojen suojaamista koskevista säännöistä (EUVL L 72, 17.3.2015, s. 53, ELI: </w:t>
      </w:r>
      <w:hyperlink r:id="rId31" w:history="1">
        <w:r w:rsidRPr="008B4A45">
          <w:rPr>
            <w:rStyle w:val="Hyperlink"/>
          </w:rPr>
          <w:t>http://data.europa.eu/eli/dec/2015/444/oj</w:t>
        </w:r>
      </w:hyperlink>
      <w:r w:rsidRPr="008B4A45">
        <w:t>).</w:t>
      </w:r>
    </w:p>
  </w:footnote>
  <w:footnote w:id="35">
    <w:p w14:paraId="639EE6CC" w14:textId="77777777" w:rsidR="0093115D" w:rsidRPr="00133FBC" w:rsidRDefault="0093115D" w:rsidP="00760DBB">
      <w:pPr>
        <w:pStyle w:val="FootnoteText"/>
      </w:pPr>
      <w:r>
        <w:rPr>
          <w:rStyle w:val="FootnoteReference"/>
        </w:rPr>
        <w:footnoteRef/>
      </w:r>
      <w:r w:rsidRPr="00133FBC">
        <w:tab/>
        <w:t>Sellaisina kuin nämä on määritelty varainhoitoasetuksen 58 artiklan 2 kohdan a ja b alakohdassa.</w:t>
      </w:r>
    </w:p>
  </w:footnote>
  <w:footnote w:id="36">
    <w:p w14:paraId="62091020" w14:textId="77777777" w:rsidR="0093115D" w:rsidRPr="00133FBC" w:rsidRDefault="0093115D" w:rsidP="00656AA8">
      <w:pPr>
        <w:pStyle w:val="FootnoteText"/>
        <w:rPr>
          <w:szCs w:val="24"/>
        </w:rPr>
      </w:pPr>
      <w:r>
        <w:rPr>
          <w:rStyle w:val="FootnoteReference"/>
        </w:rPr>
        <w:footnoteRef/>
      </w:r>
      <w:r w:rsidRPr="00133FBC">
        <w:tab/>
        <w:t>JM = jaksotetut määrärahat; EI-JM = jaksottamattomat määrärahat.</w:t>
      </w:r>
    </w:p>
  </w:footnote>
  <w:footnote w:id="37">
    <w:p w14:paraId="10BC8AAC" w14:textId="77777777" w:rsidR="0093115D" w:rsidRPr="00133FBC" w:rsidRDefault="0093115D" w:rsidP="00656AA8">
      <w:pPr>
        <w:pStyle w:val="FootnoteText"/>
        <w:rPr>
          <w:szCs w:val="24"/>
        </w:rPr>
      </w:pPr>
      <w:r>
        <w:rPr>
          <w:rStyle w:val="FootnoteReference"/>
        </w:rPr>
        <w:footnoteRef/>
      </w:r>
      <w:r w:rsidRPr="00133FBC">
        <w:tab/>
        <w:t xml:space="preserve">EFTA: Euroopan vapaakauppaliitto. </w:t>
      </w:r>
    </w:p>
  </w:footnote>
  <w:footnote w:id="38">
    <w:p w14:paraId="2C20A34E" w14:textId="77777777" w:rsidR="0093115D" w:rsidRPr="00133FBC" w:rsidRDefault="0093115D" w:rsidP="00656AA8">
      <w:pPr>
        <w:pStyle w:val="FootnoteText"/>
        <w:rPr>
          <w:szCs w:val="24"/>
        </w:rPr>
      </w:pPr>
      <w:r>
        <w:rPr>
          <w:rStyle w:val="FootnoteReference"/>
        </w:rPr>
        <w:footnoteRef/>
      </w:r>
      <w:r w:rsidRPr="00133FBC">
        <w:tab/>
        <w:t>Ehdokasmaat ja soveltuvin osin Länsi-Balkanin mahdolliset ehdokasmaat.</w:t>
      </w:r>
    </w:p>
  </w:footnote>
  <w:footnote w:id="39">
    <w:p w14:paraId="7B25B15D" w14:textId="77777777" w:rsidR="0093115D" w:rsidRPr="00133FBC" w:rsidRDefault="0093115D" w:rsidP="00656AA8">
      <w:pPr>
        <w:pStyle w:val="FootnoteText"/>
        <w:rPr>
          <w:szCs w:val="24"/>
        </w:rPr>
      </w:pPr>
      <w:r>
        <w:rPr>
          <w:rStyle w:val="FootnoteReference"/>
        </w:rPr>
        <w:footnoteRef/>
      </w:r>
      <w:r w:rsidRPr="00133FBC">
        <w:tab/>
        <w:t>Tuotokset ovat tuloksena olevia tuotteita ja palveluita (esim. rahoitettujen opiskelijavaihtojen määrä tai rakennetut tiekilometrit).</w:t>
      </w:r>
    </w:p>
  </w:footnote>
  <w:footnote w:id="40">
    <w:p w14:paraId="7012284E" w14:textId="77777777" w:rsidR="0093115D" w:rsidRPr="00133FBC" w:rsidRDefault="0093115D" w:rsidP="00656AA8">
      <w:pPr>
        <w:pStyle w:val="FootnoteText"/>
        <w:rPr>
          <w:szCs w:val="24"/>
        </w:rPr>
      </w:pPr>
      <w:r>
        <w:rPr>
          <w:rStyle w:val="FootnoteReference"/>
        </w:rPr>
        <w:footnoteRef/>
      </w:r>
      <w:r w:rsidRPr="00133FBC">
        <w:tab/>
        <w:t xml:space="preserve">Kuten kuvattu kohdassa 1.3.2. ”Erityistavoite (Erityistavoitteet)” </w:t>
      </w:r>
    </w:p>
  </w:footnote>
  <w:footnote w:id="41">
    <w:p w14:paraId="03A12B5B" w14:textId="77777777" w:rsidR="0093115D" w:rsidRPr="00133FBC" w:rsidRDefault="0093115D" w:rsidP="00656AA8">
      <w:pPr>
        <w:pStyle w:val="FootnoteText"/>
        <w:rPr>
          <w:szCs w:val="24"/>
        </w:rPr>
      </w:pPr>
      <w:r>
        <w:rPr>
          <w:rStyle w:val="FootnoteReference"/>
        </w:rPr>
        <w:footnoteRef/>
      </w:r>
      <w:r w:rsidRPr="00133FBC">
        <w:tab/>
        <w:t>Perinteiset omat varat (tulli- ja sokerimaksut) on ilmoitettava nettomääräisinä eli bruttomäärästä on vähennettävä kantokuluja vastaava 20 prosentin osuus.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72D84" w14:textId="77777777" w:rsidR="00F96390" w:rsidRDefault="00F96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9EDC3" w14:textId="77777777" w:rsidR="00F96390" w:rsidRDefault="00F96390" w:rsidP="00A02E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8EEA4" w14:textId="77777777" w:rsidR="0093115D" w:rsidRDefault="0093115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446B" w14:textId="77777777" w:rsidR="0093115D" w:rsidRDefault="0093115D" w:rsidP="00274E0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0E78" w14:textId="77777777" w:rsidR="0093115D" w:rsidRPr="00274E0D" w:rsidRDefault="0093115D" w:rsidP="00274E0D">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E1E08" w14:textId="77777777" w:rsidR="00A02E61" w:rsidRPr="00A02E61" w:rsidRDefault="00A02E61" w:rsidP="00A02E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414"/>
        </w:tabs>
        <w:ind w:left="41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6D388132"/>
    <w:name w:val="106019786"/>
    <w:lvl w:ilvl="0">
      <w:start w:val="1"/>
      <w:numFmt w:val="decimal"/>
      <w:pStyle w:val="LegalNumPar"/>
      <w:lvlText w:val="%1."/>
      <w:lvlJc w:val="left"/>
      <w:pPr>
        <w:ind w:left="476" w:hanging="476"/>
      </w:pPr>
      <w:rPr>
        <w:rFonts w:hint="default"/>
        <w:b w:val="0"/>
        <w:bCs/>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59A229A"/>
    <w:multiLevelType w:val="hybridMultilevel"/>
    <w:tmpl w:val="4FBC3994"/>
    <w:lvl w:ilvl="0" w:tplc="18090019">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3C386568"/>
    <w:multiLevelType w:val="hybridMultilevel"/>
    <w:tmpl w:val="5F2A35C2"/>
    <w:lvl w:ilvl="0" w:tplc="8A50B834">
      <w:start w:val="52"/>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9"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20"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2"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6"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7" w15:restartNumberingAfterBreak="0">
    <w:nsid w:val="5FFC1AEF"/>
    <w:multiLevelType w:val="hybridMultilevel"/>
    <w:tmpl w:val="4BB006CC"/>
    <w:lvl w:ilvl="0" w:tplc="F0FE02D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8"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30"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2"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356346832">
    <w:abstractNumId w:val="0"/>
  </w:num>
  <w:num w:numId="2" w16cid:durableId="773675325">
    <w:abstractNumId w:val="22"/>
  </w:num>
  <w:num w:numId="3" w16cid:durableId="1481538480">
    <w:abstractNumId w:val="8"/>
  </w:num>
  <w:num w:numId="4" w16cid:durableId="707796772">
    <w:abstractNumId w:val="19"/>
  </w:num>
  <w:num w:numId="5" w16cid:durableId="388115524">
    <w:abstractNumId w:val="18"/>
  </w:num>
  <w:num w:numId="6" w16cid:durableId="536896165">
    <w:abstractNumId w:val="30"/>
  </w:num>
  <w:num w:numId="7" w16cid:durableId="916865735">
    <w:abstractNumId w:val="26"/>
  </w:num>
  <w:num w:numId="8" w16cid:durableId="2129857282">
    <w:abstractNumId w:val="31"/>
  </w:num>
  <w:num w:numId="9" w16cid:durableId="288053214">
    <w:abstractNumId w:val="32"/>
  </w:num>
  <w:num w:numId="10" w16cid:durableId="1855606187">
    <w:abstractNumId w:val="1"/>
  </w:num>
  <w:num w:numId="11" w16cid:durableId="2117825646">
    <w:abstractNumId w:val="10"/>
  </w:num>
  <w:num w:numId="12" w16cid:durableId="443774309">
    <w:abstractNumId w:val="2"/>
  </w:num>
  <w:num w:numId="13" w16cid:durableId="1044908608">
    <w:abstractNumId w:val="12"/>
  </w:num>
  <w:num w:numId="14" w16cid:durableId="1283415766">
    <w:abstractNumId w:val="9"/>
  </w:num>
  <w:num w:numId="15" w16cid:durableId="1905480188">
    <w:abstractNumId w:val="20"/>
  </w:num>
  <w:num w:numId="16" w16cid:durableId="2017464772">
    <w:abstractNumId w:val="7"/>
  </w:num>
  <w:num w:numId="17" w16cid:durableId="20020812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430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299075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326771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31516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810749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06027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5431010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889898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72024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154016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627694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16781934">
    <w:abstractNumId w:val="7"/>
  </w:num>
  <w:num w:numId="30" w16cid:durableId="11505130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084769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54471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739528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01242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45135203">
    <w:abstractNumId w:val="13"/>
  </w:num>
  <w:num w:numId="36" w16cid:durableId="20241593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363443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796629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0608134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08021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2464951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172764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4797890">
    <w:abstractNumId w:val="27"/>
  </w:num>
  <w:num w:numId="44" w16cid:durableId="149379394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823139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191698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86573882">
    <w:abstractNumId w:val="25"/>
  </w:num>
  <w:num w:numId="48" w16cid:durableId="1657490973">
    <w:abstractNumId w:val="14"/>
  </w:num>
  <w:num w:numId="49" w16cid:durableId="1041438221">
    <w:abstractNumId w:val="29"/>
  </w:num>
  <w:num w:numId="50" w16cid:durableId="1593196476">
    <w:abstractNumId w:val="6"/>
  </w:num>
  <w:num w:numId="51" w16cid:durableId="1025716138">
    <w:abstractNumId w:val="15"/>
  </w:num>
  <w:num w:numId="52" w16cid:durableId="1798646437">
    <w:abstractNumId w:val="16"/>
  </w:num>
  <w:num w:numId="53" w16cid:durableId="697849768">
    <w:abstractNumId w:val="4"/>
  </w:num>
  <w:num w:numId="54" w16cid:durableId="1012300684">
    <w:abstractNumId w:val="28"/>
  </w:num>
  <w:num w:numId="55" w16cid:durableId="1290863542">
    <w:abstractNumId w:val="3"/>
  </w:num>
  <w:num w:numId="56" w16cid:durableId="1594508893">
    <w:abstractNumId w:val="17"/>
  </w:num>
  <w:num w:numId="57" w16cid:durableId="2013294938">
    <w:abstractNumId w:val="23"/>
  </w:num>
  <w:num w:numId="58" w16cid:durableId="185867573">
    <w:abstractNumId w:val="24"/>
  </w:num>
  <w:num w:numId="59" w16cid:durableId="1331054897">
    <w:abstractNumId w:val="5"/>
  </w:num>
  <w:num w:numId="60" w16cid:durableId="262735279">
    <w:abstractNumId w:val="21"/>
  </w:num>
  <w:num w:numId="61" w16cid:durableId="977877245">
    <w:abstractNumId w:val="33"/>
  </w:num>
  <w:num w:numId="62" w16cid:durableId="449470687">
    <w:abstractNumId w:val="28"/>
  </w:num>
  <w:num w:numId="63" w16cid:durableId="684988691">
    <w:abstractNumId w:val="28"/>
  </w:num>
  <w:num w:numId="64" w16cid:durableId="73356565">
    <w:abstractNumId w:val="28"/>
  </w:num>
  <w:num w:numId="65" w16cid:durableId="1466117546">
    <w:abstractNumId w:val="16"/>
  </w:num>
  <w:num w:numId="66" w16cid:durableId="1177382873">
    <w:abstractNumId w:val="4"/>
  </w:num>
  <w:num w:numId="67" w16cid:durableId="1863938840">
    <w:abstractNumId w:val="4"/>
  </w:num>
  <w:num w:numId="68" w16cid:durableId="566301998">
    <w:abstractNumId w:val="4"/>
  </w:num>
  <w:num w:numId="69" w16cid:durableId="1183205071">
    <w:abstractNumId w:val="11"/>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R_RefLast" w:val="0"/>
    <w:docVar w:name="DQCDateTime" w:val="2026-01-12 16:33:15"/>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Yellow"/>
    <w:docVar w:name="DQCVersion" w:val="3"/>
    <w:docVar w:name="DQCWithWarnings" w:val="0"/>
    <w:docVar w:name="EPKit_DocumentHasBeenSaved" w:val="true"/>
    <w:docVar w:name="LW_CORRIGENDUM" w:val="&lt;UNUSED&gt;"/>
    <w:docVar w:name="LW_COVERPAGE_EXISTS" w:val="True"/>
    <w:docVar w:name="LW_COVERPAGE_GUID" w:val="A9C6CC4E-C45B-462E-B93B-A15A514AD689"/>
    <w:docVar w:name="LW_COVERPAGE_TYPE" w:val="1"/>
    <w:docVar w:name="LW_CreatedUtc" w:val="2025-10-14T13:52:20.4536867Z"/>
    <w:docVar w:name="LW_CROSSREFERENCE" w:val="&lt;UNUSED&gt;"/>
    <w:docVar w:name="LW_DocType" w:val="COM"/>
    <w:docVar w:name="LW_EMISSION" w:val="14.1.2026"/>
    <w:docVar w:name="LW_EMISSION_ISODATE" w:val="2026-01-14"/>
    <w:docVar w:name="LW_EMISSION_LOCATION" w:val="BRX"/>
    <w:docVar w:name="LW_EMISSION_PREFIX" w:val="Bryssel "/>
    <w:docVar w:name="LW_EMISSION_SUFFIX" w:val=" "/>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FI"/>
    <w:docVar w:name="LW_LEVEL_OF_SENSITIVITY" w:val="Standard treatment"/>
    <w:docVar w:name="LW_NOM.INST" w:val="EUROOPAN KOMISSIO"/>
    <w:docVar w:name="LW_NOM.INST_JOINTDOC" w:val="&lt;EMPTY&gt;"/>
    <w:docVar w:name="LW_PART_NBR" w:val="1"/>
    <w:docVar w:name="LW_PART_NBR_TOTAL" w:val="1"/>
    <w:docVar w:name="LW_REF.II.NEW.CP" w:val="COD"/>
    <w:docVar w:name="LW_REF.II.NEW.CP_NUMBER" w:val="0008"/>
    <w:docVar w:name="LW_REF.II.NEW.CP_YEAR" w:val="2026"/>
    <w:docVar w:name="LW_REF.INST.NEW" w:val="COM"/>
    <w:docVar w:name="LW_REF.INST.NEW_ADOPTED" w:val="final"/>
    <w:docVar w:name="LW_REF.INST.NEW_TEXT" w:val="(2026) 20"/>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Ehdotus"/>
    <w:docVar w:name="LW_SUPERTITRE" w:val="&lt;UNUSED&gt;"/>
    <w:docVar w:name="LW_TITRE.OBJ.CP" w:val="tiiviimmän yhteistyön toteuttamisesta Ukrainan tukilainan perustamiseksi vuosiksi 2026 ja 2027"/>
    <w:docVar w:name="LW_TYPE.DOC.CP" w:val="EUROOPAN PARLAMENTIN JA NEUVOSTON ASETUS"/>
    <w:docVar w:name="LwApiVersions" w:val="LW4CoDe 1.24.5.0; LW 9.2, Build 20251112"/>
  </w:docVars>
  <w:rsids>
    <w:rsidRoot w:val="00A30D6B"/>
    <w:rsid w:val="000003FC"/>
    <w:rsid w:val="00000BC1"/>
    <w:rsid w:val="00001BD3"/>
    <w:rsid w:val="00001BFC"/>
    <w:rsid w:val="00001C5A"/>
    <w:rsid w:val="00001F8D"/>
    <w:rsid w:val="00002730"/>
    <w:rsid w:val="0000276E"/>
    <w:rsid w:val="00002DC3"/>
    <w:rsid w:val="00005772"/>
    <w:rsid w:val="00005C0F"/>
    <w:rsid w:val="000069A4"/>
    <w:rsid w:val="000071D1"/>
    <w:rsid w:val="0000736B"/>
    <w:rsid w:val="00007C60"/>
    <w:rsid w:val="00007CC1"/>
    <w:rsid w:val="00007EF1"/>
    <w:rsid w:val="000100B6"/>
    <w:rsid w:val="00011651"/>
    <w:rsid w:val="00011B8F"/>
    <w:rsid w:val="0001301C"/>
    <w:rsid w:val="00013451"/>
    <w:rsid w:val="0001587B"/>
    <w:rsid w:val="00015AE4"/>
    <w:rsid w:val="00015BD6"/>
    <w:rsid w:val="0001606F"/>
    <w:rsid w:val="00016197"/>
    <w:rsid w:val="00016D26"/>
    <w:rsid w:val="00017316"/>
    <w:rsid w:val="00017D0C"/>
    <w:rsid w:val="00020718"/>
    <w:rsid w:val="000209CB"/>
    <w:rsid w:val="000211B4"/>
    <w:rsid w:val="000216C4"/>
    <w:rsid w:val="000216E8"/>
    <w:rsid w:val="00021B09"/>
    <w:rsid w:val="00021E08"/>
    <w:rsid w:val="000224E0"/>
    <w:rsid w:val="0002397E"/>
    <w:rsid w:val="0002420A"/>
    <w:rsid w:val="00024765"/>
    <w:rsid w:val="00024EDD"/>
    <w:rsid w:val="00024FB2"/>
    <w:rsid w:val="00025474"/>
    <w:rsid w:val="00025E40"/>
    <w:rsid w:val="000260A6"/>
    <w:rsid w:val="000261F0"/>
    <w:rsid w:val="00026B4A"/>
    <w:rsid w:val="00027589"/>
    <w:rsid w:val="00027BA1"/>
    <w:rsid w:val="000315AB"/>
    <w:rsid w:val="00031775"/>
    <w:rsid w:val="00031930"/>
    <w:rsid w:val="00031A7D"/>
    <w:rsid w:val="000325BE"/>
    <w:rsid w:val="00033144"/>
    <w:rsid w:val="0003377B"/>
    <w:rsid w:val="00033A8F"/>
    <w:rsid w:val="000343DB"/>
    <w:rsid w:val="000349B8"/>
    <w:rsid w:val="000351AC"/>
    <w:rsid w:val="000351FD"/>
    <w:rsid w:val="000353C1"/>
    <w:rsid w:val="0003590C"/>
    <w:rsid w:val="00035BA8"/>
    <w:rsid w:val="00036241"/>
    <w:rsid w:val="00036C47"/>
    <w:rsid w:val="000405FE"/>
    <w:rsid w:val="00041F6A"/>
    <w:rsid w:val="00042024"/>
    <w:rsid w:val="00042268"/>
    <w:rsid w:val="000430ED"/>
    <w:rsid w:val="0004320E"/>
    <w:rsid w:val="0004363D"/>
    <w:rsid w:val="00043884"/>
    <w:rsid w:val="000442DC"/>
    <w:rsid w:val="00044C88"/>
    <w:rsid w:val="00045D66"/>
    <w:rsid w:val="000461A0"/>
    <w:rsid w:val="00046BCD"/>
    <w:rsid w:val="00046E72"/>
    <w:rsid w:val="00047051"/>
    <w:rsid w:val="000508BA"/>
    <w:rsid w:val="000510AF"/>
    <w:rsid w:val="00051CA3"/>
    <w:rsid w:val="00051F01"/>
    <w:rsid w:val="00052F2B"/>
    <w:rsid w:val="0005351C"/>
    <w:rsid w:val="00054B64"/>
    <w:rsid w:val="00054D4D"/>
    <w:rsid w:val="0005529A"/>
    <w:rsid w:val="00055718"/>
    <w:rsid w:val="000571A8"/>
    <w:rsid w:val="00057336"/>
    <w:rsid w:val="00057E7C"/>
    <w:rsid w:val="00060E8D"/>
    <w:rsid w:val="00061611"/>
    <w:rsid w:val="000617C3"/>
    <w:rsid w:val="00061E54"/>
    <w:rsid w:val="00062A95"/>
    <w:rsid w:val="00065239"/>
    <w:rsid w:val="000664A9"/>
    <w:rsid w:val="0006659C"/>
    <w:rsid w:val="00067305"/>
    <w:rsid w:val="00067866"/>
    <w:rsid w:val="00070689"/>
    <w:rsid w:val="00071680"/>
    <w:rsid w:val="00071796"/>
    <w:rsid w:val="0007196C"/>
    <w:rsid w:val="00071D61"/>
    <w:rsid w:val="00074310"/>
    <w:rsid w:val="000744C6"/>
    <w:rsid w:val="000746AE"/>
    <w:rsid w:val="00074D2F"/>
    <w:rsid w:val="00075445"/>
    <w:rsid w:val="00075DEB"/>
    <w:rsid w:val="000772A2"/>
    <w:rsid w:val="000806FD"/>
    <w:rsid w:val="0008133D"/>
    <w:rsid w:val="0008157E"/>
    <w:rsid w:val="00082E5D"/>
    <w:rsid w:val="00082FBD"/>
    <w:rsid w:val="0008395C"/>
    <w:rsid w:val="00084115"/>
    <w:rsid w:val="00084684"/>
    <w:rsid w:val="00084F3F"/>
    <w:rsid w:val="000854FA"/>
    <w:rsid w:val="00085523"/>
    <w:rsid w:val="00085868"/>
    <w:rsid w:val="000861A1"/>
    <w:rsid w:val="00086751"/>
    <w:rsid w:val="000875AF"/>
    <w:rsid w:val="000877E6"/>
    <w:rsid w:val="00087D33"/>
    <w:rsid w:val="00087FED"/>
    <w:rsid w:val="0009040F"/>
    <w:rsid w:val="00090B92"/>
    <w:rsid w:val="00090BFD"/>
    <w:rsid w:val="000920B2"/>
    <w:rsid w:val="00092277"/>
    <w:rsid w:val="000922FC"/>
    <w:rsid w:val="000937AF"/>
    <w:rsid w:val="00093836"/>
    <w:rsid w:val="00094017"/>
    <w:rsid w:val="00095A60"/>
    <w:rsid w:val="00095C80"/>
    <w:rsid w:val="00096145"/>
    <w:rsid w:val="00096C49"/>
    <w:rsid w:val="00096C4C"/>
    <w:rsid w:val="00097B9C"/>
    <w:rsid w:val="00097E6D"/>
    <w:rsid w:val="00097FD1"/>
    <w:rsid w:val="000A014C"/>
    <w:rsid w:val="000A064F"/>
    <w:rsid w:val="000A0D96"/>
    <w:rsid w:val="000A1117"/>
    <w:rsid w:val="000A114A"/>
    <w:rsid w:val="000A152B"/>
    <w:rsid w:val="000A2575"/>
    <w:rsid w:val="000A28A1"/>
    <w:rsid w:val="000A31E2"/>
    <w:rsid w:val="000A3F72"/>
    <w:rsid w:val="000A47B7"/>
    <w:rsid w:val="000A4F73"/>
    <w:rsid w:val="000A505E"/>
    <w:rsid w:val="000A586D"/>
    <w:rsid w:val="000A6C0F"/>
    <w:rsid w:val="000A6EDE"/>
    <w:rsid w:val="000A7288"/>
    <w:rsid w:val="000A7CB6"/>
    <w:rsid w:val="000A7DF8"/>
    <w:rsid w:val="000B022C"/>
    <w:rsid w:val="000B038B"/>
    <w:rsid w:val="000B0F5F"/>
    <w:rsid w:val="000B168A"/>
    <w:rsid w:val="000B18AC"/>
    <w:rsid w:val="000B1FF4"/>
    <w:rsid w:val="000B2267"/>
    <w:rsid w:val="000B2E0D"/>
    <w:rsid w:val="000B3183"/>
    <w:rsid w:val="000B34AD"/>
    <w:rsid w:val="000B4381"/>
    <w:rsid w:val="000B471B"/>
    <w:rsid w:val="000B5040"/>
    <w:rsid w:val="000B56F0"/>
    <w:rsid w:val="000B594B"/>
    <w:rsid w:val="000B60C4"/>
    <w:rsid w:val="000B6E8C"/>
    <w:rsid w:val="000B719F"/>
    <w:rsid w:val="000B769D"/>
    <w:rsid w:val="000B7D5F"/>
    <w:rsid w:val="000B7FC0"/>
    <w:rsid w:val="000C09E6"/>
    <w:rsid w:val="000C1652"/>
    <w:rsid w:val="000C171E"/>
    <w:rsid w:val="000C2D1D"/>
    <w:rsid w:val="000C2EC6"/>
    <w:rsid w:val="000C3491"/>
    <w:rsid w:val="000C34D1"/>
    <w:rsid w:val="000C381F"/>
    <w:rsid w:val="000C41E9"/>
    <w:rsid w:val="000C4790"/>
    <w:rsid w:val="000C4AAD"/>
    <w:rsid w:val="000C563E"/>
    <w:rsid w:val="000C60C1"/>
    <w:rsid w:val="000C7DD1"/>
    <w:rsid w:val="000D0C84"/>
    <w:rsid w:val="000D1339"/>
    <w:rsid w:val="000D1367"/>
    <w:rsid w:val="000D16C5"/>
    <w:rsid w:val="000D20A1"/>
    <w:rsid w:val="000D20BC"/>
    <w:rsid w:val="000D3D22"/>
    <w:rsid w:val="000D40B8"/>
    <w:rsid w:val="000D413B"/>
    <w:rsid w:val="000D43DD"/>
    <w:rsid w:val="000D55EA"/>
    <w:rsid w:val="000D6E3C"/>
    <w:rsid w:val="000D726E"/>
    <w:rsid w:val="000D7371"/>
    <w:rsid w:val="000D7520"/>
    <w:rsid w:val="000E079C"/>
    <w:rsid w:val="000E1350"/>
    <w:rsid w:val="000E267C"/>
    <w:rsid w:val="000E2D19"/>
    <w:rsid w:val="000E2EBB"/>
    <w:rsid w:val="000E41B1"/>
    <w:rsid w:val="000E5181"/>
    <w:rsid w:val="000E5A7F"/>
    <w:rsid w:val="000E5AB0"/>
    <w:rsid w:val="000E5DE3"/>
    <w:rsid w:val="000E5FD4"/>
    <w:rsid w:val="000E6672"/>
    <w:rsid w:val="000E7744"/>
    <w:rsid w:val="000E7814"/>
    <w:rsid w:val="000E7AD7"/>
    <w:rsid w:val="000F16E9"/>
    <w:rsid w:val="000F17E7"/>
    <w:rsid w:val="000F2E7E"/>
    <w:rsid w:val="000F2E97"/>
    <w:rsid w:val="000F3952"/>
    <w:rsid w:val="000F3EC6"/>
    <w:rsid w:val="000F4EF9"/>
    <w:rsid w:val="000F54C1"/>
    <w:rsid w:val="000F5551"/>
    <w:rsid w:val="000F6874"/>
    <w:rsid w:val="000F7A11"/>
    <w:rsid w:val="001027A7"/>
    <w:rsid w:val="00102A48"/>
    <w:rsid w:val="00103AC2"/>
    <w:rsid w:val="001065F5"/>
    <w:rsid w:val="00106671"/>
    <w:rsid w:val="0010715A"/>
    <w:rsid w:val="00107D8B"/>
    <w:rsid w:val="00107E58"/>
    <w:rsid w:val="001100FA"/>
    <w:rsid w:val="0011049C"/>
    <w:rsid w:val="00110626"/>
    <w:rsid w:val="001107E6"/>
    <w:rsid w:val="00110935"/>
    <w:rsid w:val="00111026"/>
    <w:rsid w:val="00111CAE"/>
    <w:rsid w:val="00111D5C"/>
    <w:rsid w:val="001122BA"/>
    <w:rsid w:val="001130E8"/>
    <w:rsid w:val="00113335"/>
    <w:rsid w:val="00114132"/>
    <w:rsid w:val="001143E9"/>
    <w:rsid w:val="00114503"/>
    <w:rsid w:val="00114B8A"/>
    <w:rsid w:val="00114D72"/>
    <w:rsid w:val="00114DCD"/>
    <w:rsid w:val="001158A5"/>
    <w:rsid w:val="0011598B"/>
    <w:rsid w:val="001160E7"/>
    <w:rsid w:val="00116336"/>
    <w:rsid w:val="00116589"/>
    <w:rsid w:val="00116B8C"/>
    <w:rsid w:val="00116DC1"/>
    <w:rsid w:val="00117842"/>
    <w:rsid w:val="00117898"/>
    <w:rsid w:val="001201EE"/>
    <w:rsid w:val="0012038E"/>
    <w:rsid w:val="001204F4"/>
    <w:rsid w:val="00120784"/>
    <w:rsid w:val="00120AAB"/>
    <w:rsid w:val="00121323"/>
    <w:rsid w:val="0012156F"/>
    <w:rsid w:val="00122807"/>
    <w:rsid w:val="00122889"/>
    <w:rsid w:val="00122951"/>
    <w:rsid w:val="00122CF6"/>
    <w:rsid w:val="00122FA6"/>
    <w:rsid w:val="001238EF"/>
    <w:rsid w:val="00124E80"/>
    <w:rsid w:val="00125523"/>
    <w:rsid w:val="001257FD"/>
    <w:rsid w:val="00126C48"/>
    <w:rsid w:val="001273B9"/>
    <w:rsid w:val="00127E58"/>
    <w:rsid w:val="0013035B"/>
    <w:rsid w:val="00131261"/>
    <w:rsid w:val="001325C0"/>
    <w:rsid w:val="001329D0"/>
    <w:rsid w:val="00132DE5"/>
    <w:rsid w:val="001330E8"/>
    <w:rsid w:val="00133807"/>
    <w:rsid w:val="00133888"/>
    <w:rsid w:val="00133988"/>
    <w:rsid w:val="001343DA"/>
    <w:rsid w:val="0013476B"/>
    <w:rsid w:val="001347F1"/>
    <w:rsid w:val="0013533D"/>
    <w:rsid w:val="001353FF"/>
    <w:rsid w:val="00136390"/>
    <w:rsid w:val="00137810"/>
    <w:rsid w:val="001379F8"/>
    <w:rsid w:val="00137A0D"/>
    <w:rsid w:val="00140053"/>
    <w:rsid w:val="00140153"/>
    <w:rsid w:val="0014024C"/>
    <w:rsid w:val="0014092D"/>
    <w:rsid w:val="00140FC5"/>
    <w:rsid w:val="00141452"/>
    <w:rsid w:val="00141A0A"/>
    <w:rsid w:val="00141CAD"/>
    <w:rsid w:val="0014431D"/>
    <w:rsid w:val="0014478A"/>
    <w:rsid w:val="001451E0"/>
    <w:rsid w:val="001453D3"/>
    <w:rsid w:val="00145A7B"/>
    <w:rsid w:val="00145B15"/>
    <w:rsid w:val="00145D8E"/>
    <w:rsid w:val="0014730C"/>
    <w:rsid w:val="00147F8C"/>
    <w:rsid w:val="001506B7"/>
    <w:rsid w:val="00150962"/>
    <w:rsid w:val="00151505"/>
    <w:rsid w:val="001516FF"/>
    <w:rsid w:val="00152A47"/>
    <w:rsid w:val="00152C88"/>
    <w:rsid w:val="00152F72"/>
    <w:rsid w:val="00152FAC"/>
    <w:rsid w:val="00153041"/>
    <w:rsid w:val="00153D09"/>
    <w:rsid w:val="00153D13"/>
    <w:rsid w:val="00155231"/>
    <w:rsid w:val="00155362"/>
    <w:rsid w:val="001558C6"/>
    <w:rsid w:val="001559BF"/>
    <w:rsid w:val="001567B4"/>
    <w:rsid w:val="00156F07"/>
    <w:rsid w:val="0016049C"/>
    <w:rsid w:val="00160B7E"/>
    <w:rsid w:val="001611A8"/>
    <w:rsid w:val="001611D9"/>
    <w:rsid w:val="00161333"/>
    <w:rsid w:val="0016143A"/>
    <w:rsid w:val="00161AB1"/>
    <w:rsid w:val="00163683"/>
    <w:rsid w:val="001637BE"/>
    <w:rsid w:val="00163E98"/>
    <w:rsid w:val="00164498"/>
    <w:rsid w:val="001646D5"/>
    <w:rsid w:val="001647E5"/>
    <w:rsid w:val="00164B7A"/>
    <w:rsid w:val="00165126"/>
    <w:rsid w:val="0016538C"/>
    <w:rsid w:val="00170BC2"/>
    <w:rsid w:val="001716B0"/>
    <w:rsid w:val="00171FBD"/>
    <w:rsid w:val="001723CC"/>
    <w:rsid w:val="00172EA2"/>
    <w:rsid w:val="001735C2"/>
    <w:rsid w:val="001737A5"/>
    <w:rsid w:val="0017483D"/>
    <w:rsid w:val="00174E99"/>
    <w:rsid w:val="0017564B"/>
    <w:rsid w:val="00175AA4"/>
    <w:rsid w:val="00175EBB"/>
    <w:rsid w:val="00176710"/>
    <w:rsid w:val="001775F2"/>
    <w:rsid w:val="00177705"/>
    <w:rsid w:val="0017795B"/>
    <w:rsid w:val="00177EFF"/>
    <w:rsid w:val="00177FDE"/>
    <w:rsid w:val="0018040B"/>
    <w:rsid w:val="00180731"/>
    <w:rsid w:val="001809EA"/>
    <w:rsid w:val="00180D78"/>
    <w:rsid w:val="0018210C"/>
    <w:rsid w:val="0018353C"/>
    <w:rsid w:val="00183643"/>
    <w:rsid w:val="00183839"/>
    <w:rsid w:val="00183A75"/>
    <w:rsid w:val="00183F65"/>
    <w:rsid w:val="001841A1"/>
    <w:rsid w:val="00184535"/>
    <w:rsid w:val="00184F6C"/>
    <w:rsid w:val="00186055"/>
    <w:rsid w:val="00186657"/>
    <w:rsid w:val="00186914"/>
    <w:rsid w:val="00186BCC"/>
    <w:rsid w:val="00187471"/>
    <w:rsid w:val="0018774D"/>
    <w:rsid w:val="00190057"/>
    <w:rsid w:val="00191880"/>
    <w:rsid w:val="0019332D"/>
    <w:rsid w:val="0019344B"/>
    <w:rsid w:val="00194606"/>
    <w:rsid w:val="00196400"/>
    <w:rsid w:val="00196750"/>
    <w:rsid w:val="00197613"/>
    <w:rsid w:val="001A0589"/>
    <w:rsid w:val="001A0684"/>
    <w:rsid w:val="001A06DD"/>
    <w:rsid w:val="001A114E"/>
    <w:rsid w:val="001A1A29"/>
    <w:rsid w:val="001A2713"/>
    <w:rsid w:val="001A31EE"/>
    <w:rsid w:val="001A324A"/>
    <w:rsid w:val="001A3283"/>
    <w:rsid w:val="001A3528"/>
    <w:rsid w:val="001A396E"/>
    <w:rsid w:val="001A3A45"/>
    <w:rsid w:val="001A3AEE"/>
    <w:rsid w:val="001A41A4"/>
    <w:rsid w:val="001A485E"/>
    <w:rsid w:val="001A59D6"/>
    <w:rsid w:val="001A5F9A"/>
    <w:rsid w:val="001A6171"/>
    <w:rsid w:val="001A6659"/>
    <w:rsid w:val="001A7445"/>
    <w:rsid w:val="001A76A9"/>
    <w:rsid w:val="001B0273"/>
    <w:rsid w:val="001B03B5"/>
    <w:rsid w:val="001B1235"/>
    <w:rsid w:val="001B13D0"/>
    <w:rsid w:val="001B262E"/>
    <w:rsid w:val="001B27F4"/>
    <w:rsid w:val="001B2939"/>
    <w:rsid w:val="001B2EB7"/>
    <w:rsid w:val="001B3A36"/>
    <w:rsid w:val="001B3C60"/>
    <w:rsid w:val="001B3CE0"/>
    <w:rsid w:val="001B3DCD"/>
    <w:rsid w:val="001B3E93"/>
    <w:rsid w:val="001B4163"/>
    <w:rsid w:val="001B4557"/>
    <w:rsid w:val="001B522E"/>
    <w:rsid w:val="001B540F"/>
    <w:rsid w:val="001B5C46"/>
    <w:rsid w:val="001B65F0"/>
    <w:rsid w:val="001B75EA"/>
    <w:rsid w:val="001B7909"/>
    <w:rsid w:val="001B7F9A"/>
    <w:rsid w:val="001C11B2"/>
    <w:rsid w:val="001C19D2"/>
    <w:rsid w:val="001C1B00"/>
    <w:rsid w:val="001C20B0"/>
    <w:rsid w:val="001C2564"/>
    <w:rsid w:val="001C2B3A"/>
    <w:rsid w:val="001C3D48"/>
    <w:rsid w:val="001C3E71"/>
    <w:rsid w:val="001C41D1"/>
    <w:rsid w:val="001C4954"/>
    <w:rsid w:val="001C4A51"/>
    <w:rsid w:val="001C6B66"/>
    <w:rsid w:val="001C6F53"/>
    <w:rsid w:val="001C7187"/>
    <w:rsid w:val="001C767E"/>
    <w:rsid w:val="001D001E"/>
    <w:rsid w:val="001D0998"/>
    <w:rsid w:val="001D0FB8"/>
    <w:rsid w:val="001D148A"/>
    <w:rsid w:val="001D1EBE"/>
    <w:rsid w:val="001D2B67"/>
    <w:rsid w:val="001D2B9B"/>
    <w:rsid w:val="001D3296"/>
    <w:rsid w:val="001D430A"/>
    <w:rsid w:val="001D4590"/>
    <w:rsid w:val="001D506A"/>
    <w:rsid w:val="001D537C"/>
    <w:rsid w:val="001D6278"/>
    <w:rsid w:val="001D6282"/>
    <w:rsid w:val="001D6F13"/>
    <w:rsid w:val="001D7C96"/>
    <w:rsid w:val="001D7EB6"/>
    <w:rsid w:val="001E1173"/>
    <w:rsid w:val="001E1B9D"/>
    <w:rsid w:val="001E1BD9"/>
    <w:rsid w:val="001E1FFC"/>
    <w:rsid w:val="001E22F8"/>
    <w:rsid w:val="001E2B93"/>
    <w:rsid w:val="001E2D9A"/>
    <w:rsid w:val="001E33B7"/>
    <w:rsid w:val="001E3919"/>
    <w:rsid w:val="001E4029"/>
    <w:rsid w:val="001E5421"/>
    <w:rsid w:val="001E6A91"/>
    <w:rsid w:val="001E6D19"/>
    <w:rsid w:val="001E6FB9"/>
    <w:rsid w:val="001E74E2"/>
    <w:rsid w:val="001E799C"/>
    <w:rsid w:val="001F00F1"/>
    <w:rsid w:val="001F017F"/>
    <w:rsid w:val="001F0273"/>
    <w:rsid w:val="001F0602"/>
    <w:rsid w:val="001F085C"/>
    <w:rsid w:val="001F0CBB"/>
    <w:rsid w:val="001F100F"/>
    <w:rsid w:val="001F1110"/>
    <w:rsid w:val="001F14A2"/>
    <w:rsid w:val="001F14A7"/>
    <w:rsid w:val="001F1822"/>
    <w:rsid w:val="001F1D6C"/>
    <w:rsid w:val="001F1E16"/>
    <w:rsid w:val="001F3244"/>
    <w:rsid w:val="001F37BE"/>
    <w:rsid w:val="001F39CE"/>
    <w:rsid w:val="001F3CE6"/>
    <w:rsid w:val="001F4B8B"/>
    <w:rsid w:val="001F4FFB"/>
    <w:rsid w:val="001F6B74"/>
    <w:rsid w:val="001F6ECD"/>
    <w:rsid w:val="001F7A81"/>
    <w:rsid w:val="002002F0"/>
    <w:rsid w:val="0020037E"/>
    <w:rsid w:val="002005F2"/>
    <w:rsid w:val="00200849"/>
    <w:rsid w:val="00200E75"/>
    <w:rsid w:val="0020124D"/>
    <w:rsid w:val="00201499"/>
    <w:rsid w:val="00201593"/>
    <w:rsid w:val="00201BB8"/>
    <w:rsid w:val="00201F71"/>
    <w:rsid w:val="002033A7"/>
    <w:rsid w:val="0020357A"/>
    <w:rsid w:val="00205019"/>
    <w:rsid w:val="00205802"/>
    <w:rsid w:val="002059A2"/>
    <w:rsid w:val="00205A39"/>
    <w:rsid w:val="00205C66"/>
    <w:rsid w:val="00205C90"/>
    <w:rsid w:val="00205EDD"/>
    <w:rsid w:val="002066D8"/>
    <w:rsid w:val="00207BD2"/>
    <w:rsid w:val="00210226"/>
    <w:rsid w:val="002109F3"/>
    <w:rsid w:val="00210C3C"/>
    <w:rsid w:val="00210EB2"/>
    <w:rsid w:val="002110EA"/>
    <w:rsid w:val="00211B49"/>
    <w:rsid w:val="00211F2F"/>
    <w:rsid w:val="002122CB"/>
    <w:rsid w:val="00212CB5"/>
    <w:rsid w:val="00212F1D"/>
    <w:rsid w:val="0021300C"/>
    <w:rsid w:val="002137F6"/>
    <w:rsid w:val="00213950"/>
    <w:rsid w:val="002142EB"/>
    <w:rsid w:val="002148AB"/>
    <w:rsid w:val="00215D1B"/>
    <w:rsid w:val="00215E71"/>
    <w:rsid w:val="0021611B"/>
    <w:rsid w:val="002165D6"/>
    <w:rsid w:val="00216816"/>
    <w:rsid w:val="00217876"/>
    <w:rsid w:val="00221729"/>
    <w:rsid w:val="002217BE"/>
    <w:rsid w:val="00221B8E"/>
    <w:rsid w:val="00222328"/>
    <w:rsid w:val="00222977"/>
    <w:rsid w:val="00222D1F"/>
    <w:rsid w:val="00222D68"/>
    <w:rsid w:val="00222F58"/>
    <w:rsid w:val="0022323F"/>
    <w:rsid w:val="00223388"/>
    <w:rsid w:val="0022360F"/>
    <w:rsid w:val="00223901"/>
    <w:rsid w:val="00224212"/>
    <w:rsid w:val="00224347"/>
    <w:rsid w:val="0022558C"/>
    <w:rsid w:val="00225ACC"/>
    <w:rsid w:val="002269E4"/>
    <w:rsid w:val="00227534"/>
    <w:rsid w:val="002275D8"/>
    <w:rsid w:val="00227A86"/>
    <w:rsid w:val="002307DC"/>
    <w:rsid w:val="00230E85"/>
    <w:rsid w:val="00231054"/>
    <w:rsid w:val="00232322"/>
    <w:rsid w:val="002323E7"/>
    <w:rsid w:val="00232964"/>
    <w:rsid w:val="00232AFB"/>
    <w:rsid w:val="00233483"/>
    <w:rsid w:val="00233CA7"/>
    <w:rsid w:val="00233DC7"/>
    <w:rsid w:val="002348E1"/>
    <w:rsid w:val="00235B5F"/>
    <w:rsid w:val="00235D86"/>
    <w:rsid w:val="0023628F"/>
    <w:rsid w:val="002374C0"/>
    <w:rsid w:val="00237520"/>
    <w:rsid w:val="00237924"/>
    <w:rsid w:val="00240AE1"/>
    <w:rsid w:val="00240C4E"/>
    <w:rsid w:val="00241FAE"/>
    <w:rsid w:val="00242187"/>
    <w:rsid w:val="00243206"/>
    <w:rsid w:val="00243508"/>
    <w:rsid w:val="00243922"/>
    <w:rsid w:val="00243F78"/>
    <w:rsid w:val="00244275"/>
    <w:rsid w:val="00244652"/>
    <w:rsid w:val="00244980"/>
    <w:rsid w:val="00244EFA"/>
    <w:rsid w:val="00244FC3"/>
    <w:rsid w:val="00246452"/>
    <w:rsid w:val="00246BCA"/>
    <w:rsid w:val="002470CB"/>
    <w:rsid w:val="002476BA"/>
    <w:rsid w:val="00247779"/>
    <w:rsid w:val="00247A00"/>
    <w:rsid w:val="002500A7"/>
    <w:rsid w:val="002504BD"/>
    <w:rsid w:val="00250858"/>
    <w:rsid w:val="00250A23"/>
    <w:rsid w:val="00251694"/>
    <w:rsid w:val="00253033"/>
    <w:rsid w:val="0025484B"/>
    <w:rsid w:val="00254851"/>
    <w:rsid w:val="00254A51"/>
    <w:rsid w:val="00255D71"/>
    <w:rsid w:val="0025603B"/>
    <w:rsid w:val="00256385"/>
    <w:rsid w:val="002568E7"/>
    <w:rsid w:val="00256B38"/>
    <w:rsid w:val="0025759D"/>
    <w:rsid w:val="0025760C"/>
    <w:rsid w:val="0026045D"/>
    <w:rsid w:val="0026077F"/>
    <w:rsid w:val="00260816"/>
    <w:rsid w:val="00260DE4"/>
    <w:rsid w:val="0026106A"/>
    <w:rsid w:val="0026221D"/>
    <w:rsid w:val="002634DB"/>
    <w:rsid w:val="00263F47"/>
    <w:rsid w:val="00265CAF"/>
    <w:rsid w:val="00265E4A"/>
    <w:rsid w:val="002663B3"/>
    <w:rsid w:val="0026690E"/>
    <w:rsid w:val="00267661"/>
    <w:rsid w:val="002676E7"/>
    <w:rsid w:val="00267815"/>
    <w:rsid w:val="0027011B"/>
    <w:rsid w:val="00270A94"/>
    <w:rsid w:val="0027191C"/>
    <w:rsid w:val="00272756"/>
    <w:rsid w:val="0027285F"/>
    <w:rsid w:val="00272BF7"/>
    <w:rsid w:val="002731CB"/>
    <w:rsid w:val="00273D83"/>
    <w:rsid w:val="002746F0"/>
    <w:rsid w:val="00274CDE"/>
    <w:rsid w:val="00275B57"/>
    <w:rsid w:val="00276AD3"/>
    <w:rsid w:val="00276C64"/>
    <w:rsid w:val="00276E65"/>
    <w:rsid w:val="00280FC0"/>
    <w:rsid w:val="0028261E"/>
    <w:rsid w:val="00282E2C"/>
    <w:rsid w:val="00282F4A"/>
    <w:rsid w:val="0028355F"/>
    <w:rsid w:val="0028364E"/>
    <w:rsid w:val="0028386B"/>
    <w:rsid w:val="0028473C"/>
    <w:rsid w:val="00284A61"/>
    <w:rsid w:val="00285729"/>
    <w:rsid w:val="00285996"/>
    <w:rsid w:val="002859B4"/>
    <w:rsid w:val="00285B18"/>
    <w:rsid w:val="00285BEE"/>
    <w:rsid w:val="00285E44"/>
    <w:rsid w:val="0028716C"/>
    <w:rsid w:val="00287265"/>
    <w:rsid w:val="002874BC"/>
    <w:rsid w:val="00287601"/>
    <w:rsid w:val="0029024B"/>
    <w:rsid w:val="00290D8C"/>
    <w:rsid w:val="002914DB"/>
    <w:rsid w:val="00292097"/>
    <w:rsid w:val="00292150"/>
    <w:rsid w:val="002922D9"/>
    <w:rsid w:val="0029253C"/>
    <w:rsid w:val="002933FD"/>
    <w:rsid w:val="002934AA"/>
    <w:rsid w:val="0029533F"/>
    <w:rsid w:val="002961CD"/>
    <w:rsid w:val="002969BC"/>
    <w:rsid w:val="00296C43"/>
    <w:rsid w:val="00296EAE"/>
    <w:rsid w:val="002971BB"/>
    <w:rsid w:val="00297387"/>
    <w:rsid w:val="0029764D"/>
    <w:rsid w:val="002A0122"/>
    <w:rsid w:val="002A08D4"/>
    <w:rsid w:val="002A192D"/>
    <w:rsid w:val="002A2613"/>
    <w:rsid w:val="002A2826"/>
    <w:rsid w:val="002A29DD"/>
    <w:rsid w:val="002A2FBD"/>
    <w:rsid w:val="002A37DF"/>
    <w:rsid w:val="002A3D46"/>
    <w:rsid w:val="002A4B1C"/>
    <w:rsid w:val="002A4E7B"/>
    <w:rsid w:val="002A5317"/>
    <w:rsid w:val="002A56ED"/>
    <w:rsid w:val="002A58E3"/>
    <w:rsid w:val="002A5BDB"/>
    <w:rsid w:val="002A5C1B"/>
    <w:rsid w:val="002A6370"/>
    <w:rsid w:val="002A7333"/>
    <w:rsid w:val="002A78EC"/>
    <w:rsid w:val="002B026E"/>
    <w:rsid w:val="002B03B8"/>
    <w:rsid w:val="002B08C7"/>
    <w:rsid w:val="002B09B6"/>
    <w:rsid w:val="002B0AFD"/>
    <w:rsid w:val="002B1AF5"/>
    <w:rsid w:val="002B1ED3"/>
    <w:rsid w:val="002B2584"/>
    <w:rsid w:val="002B2A38"/>
    <w:rsid w:val="002B30AF"/>
    <w:rsid w:val="002B4667"/>
    <w:rsid w:val="002B48BA"/>
    <w:rsid w:val="002B4A1A"/>
    <w:rsid w:val="002B52BF"/>
    <w:rsid w:val="002B5581"/>
    <w:rsid w:val="002B618A"/>
    <w:rsid w:val="002B6BC9"/>
    <w:rsid w:val="002B7025"/>
    <w:rsid w:val="002B7830"/>
    <w:rsid w:val="002B7B73"/>
    <w:rsid w:val="002C11E3"/>
    <w:rsid w:val="002C1CF7"/>
    <w:rsid w:val="002C1DD3"/>
    <w:rsid w:val="002C2180"/>
    <w:rsid w:val="002C314C"/>
    <w:rsid w:val="002C39FD"/>
    <w:rsid w:val="002C3CBD"/>
    <w:rsid w:val="002C56AE"/>
    <w:rsid w:val="002C65D9"/>
    <w:rsid w:val="002C68AE"/>
    <w:rsid w:val="002C69A3"/>
    <w:rsid w:val="002D0254"/>
    <w:rsid w:val="002D2B10"/>
    <w:rsid w:val="002D2E62"/>
    <w:rsid w:val="002D2FA9"/>
    <w:rsid w:val="002D3C51"/>
    <w:rsid w:val="002D3F68"/>
    <w:rsid w:val="002D4357"/>
    <w:rsid w:val="002D4A20"/>
    <w:rsid w:val="002D5480"/>
    <w:rsid w:val="002D5DF4"/>
    <w:rsid w:val="002D600C"/>
    <w:rsid w:val="002D6CA5"/>
    <w:rsid w:val="002D71A9"/>
    <w:rsid w:val="002D73C5"/>
    <w:rsid w:val="002D7F19"/>
    <w:rsid w:val="002E06A2"/>
    <w:rsid w:val="002E14B9"/>
    <w:rsid w:val="002E2AFC"/>
    <w:rsid w:val="002E2E87"/>
    <w:rsid w:val="002E36D1"/>
    <w:rsid w:val="002E4402"/>
    <w:rsid w:val="002E4572"/>
    <w:rsid w:val="002E4A84"/>
    <w:rsid w:val="002E4E1E"/>
    <w:rsid w:val="002E535A"/>
    <w:rsid w:val="002E5EE7"/>
    <w:rsid w:val="002E630D"/>
    <w:rsid w:val="002E6DC8"/>
    <w:rsid w:val="002E6E26"/>
    <w:rsid w:val="002E7550"/>
    <w:rsid w:val="002E76A8"/>
    <w:rsid w:val="002F05E9"/>
    <w:rsid w:val="002F0814"/>
    <w:rsid w:val="002F1325"/>
    <w:rsid w:val="002F153F"/>
    <w:rsid w:val="002F16F0"/>
    <w:rsid w:val="002F1B8A"/>
    <w:rsid w:val="002F1F06"/>
    <w:rsid w:val="002F2571"/>
    <w:rsid w:val="002F2A98"/>
    <w:rsid w:val="002F3375"/>
    <w:rsid w:val="002F33AA"/>
    <w:rsid w:val="002F58B0"/>
    <w:rsid w:val="002F5F7C"/>
    <w:rsid w:val="002F689F"/>
    <w:rsid w:val="002F6982"/>
    <w:rsid w:val="002F6A80"/>
    <w:rsid w:val="002F6A90"/>
    <w:rsid w:val="002F7439"/>
    <w:rsid w:val="002F7C48"/>
    <w:rsid w:val="00300CD1"/>
    <w:rsid w:val="00300EA2"/>
    <w:rsid w:val="00301774"/>
    <w:rsid w:val="0030292F"/>
    <w:rsid w:val="00302F0D"/>
    <w:rsid w:val="00303115"/>
    <w:rsid w:val="00303511"/>
    <w:rsid w:val="00303D90"/>
    <w:rsid w:val="00304131"/>
    <w:rsid w:val="00304478"/>
    <w:rsid w:val="00305A28"/>
    <w:rsid w:val="00307B68"/>
    <w:rsid w:val="00307F2D"/>
    <w:rsid w:val="00310A11"/>
    <w:rsid w:val="00310AE9"/>
    <w:rsid w:val="00310BF2"/>
    <w:rsid w:val="00310E58"/>
    <w:rsid w:val="00310F90"/>
    <w:rsid w:val="003115A0"/>
    <w:rsid w:val="0031235A"/>
    <w:rsid w:val="00312728"/>
    <w:rsid w:val="0031298C"/>
    <w:rsid w:val="00312D4F"/>
    <w:rsid w:val="0031442F"/>
    <w:rsid w:val="0031559F"/>
    <w:rsid w:val="00316C48"/>
    <w:rsid w:val="00317A0C"/>
    <w:rsid w:val="003202D0"/>
    <w:rsid w:val="00320405"/>
    <w:rsid w:val="00320A6C"/>
    <w:rsid w:val="00320CD8"/>
    <w:rsid w:val="00321BE1"/>
    <w:rsid w:val="00323E75"/>
    <w:rsid w:val="00324075"/>
    <w:rsid w:val="003240B9"/>
    <w:rsid w:val="0032515D"/>
    <w:rsid w:val="00326E6F"/>
    <w:rsid w:val="0032785F"/>
    <w:rsid w:val="00330E73"/>
    <w:rsid w:val="00331406"/>
    <w:rsid w:val="003317D1"/>
    <w:rsid w:val="00331F52"/>
    <w:rsid w:val="0033215D"/>
    <w:rsid w:val="00333346"/>
    <w:rsid w:val="0033344A"/>
    <w:rsid w:val="00333C92"/>
    <w:rsid w:val="00333FFD"/>
    <w:rsid w:val="00334B69"/>
    <w:rsid w:val="00334BBC"/>
    <w:rsid w:val="00334FB3"/>
    <w:rsid w:val="00335235"/>
    <w:rsid w:val="00335236"/>
    <w:rsid w:val="00336482"/>
    <w:rsid w:val="00336A01"/>
    <w:rsid w:val="0033771A"/>
    <w:rsid w:val="00337908"/>
    <w:rsid w:val="003406B4"/>
    <w:rsid w:val="00340785"/>
    <w:rsid w:val="00340F3B"/>
    <w:rsid w:val="00342A1D"/>
    <w:rsid w:val="00342A60"/>
    <w:rsid w:val="003435E4"/>
    <w:rsid w:val="00344F69"/>
    <w:rsid w:val="00345469"/>
    <w:rsid w:val="003457FB"/>
    <w:rsid w:val="00345BD3"/>
    <w:rsid w:val="003462D4"/>
    <w:rsid w:val="00346BD1"/>
    <w:rsid w:val="00346C28"/>
    <w:rsid w:val="00346F01"/>
    <w:rsid w:val="00347962"/>
    <w:rsid w:val="003513BE"/>
    <w:rsid w:val="003515F8"/>
    <w:rsid w:val="0035160B"/>
    <w:rsid w:val="00351BEB"/>
    <w:rsid w:val="00351F3B"/>
    <w:rsid w:val="003530BD"/>
    <w:rsid w:val="00353FB3"/>
    <w:rsid w:val="0035435C"/>
    <w:rsid w:val="003547B4"/>
    <w:rsid w:val="00354C27"/>
    <w:rsid w:val="00355AB7"/>
    <w:rsid w:val="003561E7"/>
    <w:rsid w:val="003566D4"/>
    <w:rsid w:val="003566DF"/>
    <w:rsid w:val="0035687B"/>
    <w:rsid w:val="0035692B"/>
    <w:rsid w:val="00356934"/>
    <w:rsid w:val="00356D27"/>
    <w:rsid w:val="003572D8"/>
    <w:rsid w:val="003604F1"/>
    <w:rsid w:val="0036084C"/>
    <w:rsid w:val="00360876"/>
    <w:rsid w:val="00362528"/>
    <w:rsid w:val="00362883"/>
    <w:rsid w:val="00362F8C"/>
    <w:rsid w:val="0036320D"/>
    <w:rsid w:val="003634B7"/>
    <w:rsid w:val="00363F97"/>
    <w:rsid w:val="0036535E"/>
    <w:rsid w:val="0036587E"/>
    <w:rsid w:val="003664C3"/>
    <w:rsid w:val="003666D6"/>
    <w:rsid w:val="00367486"/>
    <w:rsid w:val="00367599"/>
    <w:rsid w:val="003703C4"/>
    <w:rsid w:val="003707CC"/>
    <w:rsid w:val="003707D6"/>
    <w:rsid w:val="00370AEC"/>
    <w:rsid w:val="00371BF0"/>
    <w:rsid w:val="0037200D"/>
    <w:rsid w:val="0037299A"/>
    <w:rsid w:val="003730EF"/>
    <w:rsid w:val="00374CC7"/>
    <w:rsid w:val="00375670"/>
    <w:rsid w:val="00375F69"/>
    <w:rsid w:val="00376CE8"/>
    <w:rsid w:val="0037706C"/>
    <w:rsid w:val="003800C4"/>
    <w:rsid w:val="00380880"/>
    <w:rsid w:val="00380C81"/>
    <w:rsid w:val="00380CE3"/>
    <w:rsid w:val="00381355"/>
    <w:rsid w:val="00381F09"/>
    <w:rsid w:val="00382136"/>
    <w:rsid w:val="00382174"/>
    <w:rsid w:val="00382569"/>
    <w:rsid w:val="00382781"/>
    <w:rsid w:val="003832D9"/>
    <w:rsid w:val="00385262"/>
    <w:rsid w:val="00385778"/>
    <w:rsid w:val="00385B46"/>
    <w:rsid w:val="0038634A"/>
    <w:rsid w:val="00386C0E"/>
    <w:rsid w:val="003902B7"/>
    <w:rsid w:val="003911FE"/>
    <w:rsid w:val="0039125B"/>
    <w:rsid w:val="00391562"/>
    <w:rsid w:val="003927E2"/>
    <w:rsid w:val="00392B30"/>
    <w:rsid w:val="003933F5"/>
    <w:rsid w:val="00393B22"/>
    <w:rsid w:val="00394831"/>
    <w:rsid w:val="0039488B"/>
    <w:rsid w:val="003949C8"/>
    <w:rsid w:val="00397BE7"/>
    <w:rsid w:val="003A0B26"/>
    <w:rsid w:val="003A1C1C"/>
    <w:rsid w:val="003A1C48"/>
    <w:rsid w:val="003A1E02"/>
    <w:rsid w:val="003A2E08"/>
    <w:rsid w:val="003A40BA"/>
    <w:rsid w:val="003A41B1"/>
    <w:rsid w:val="003A4EFE"/>
    <w:rsid w:val="003A54AD"/>
    <w:rsid w:val="003A551B"/>
    <w:rsid w:val="003A55E9"/>
    <w:rsid w:val="003A595A"/>
    <w:rsid w:val="003A60C1"/>
    <w:rsid w:val="003A6D36"/>
    <w:rsid w:val="003A736B"/>
    <w:rsid w:val="003A7602"/>
    <w:rsid w:val="003B0270"/>
    <w:rsid w:val="003B0377"/>
    <w:rsid w:val="003B1795"/>
    <w:rsid w:val="003B2261"/>
    <w:rsid w:val="003B2CEE"/>
    <w:rsid w:val="003B2FC1"/>
    <w:rsid w:val="003B30CE"/>
    <w:rsid w:val="003B3D7B"/>
    <w:rsid w:val="003B421D"/>
    <w:rsid w:val="003B4654"/>
    <w:rsid w:val="003B488C"/>
    <w:rsid w:val="003B5B0B"/>
    <w:rsid w:val="003B6435"/>
    <w:rsid w:val="003B74E3"/>
    <w:rsid w:val="003B74FE"/>
    <w:rsid w:val="003B799D"/>
    <w:rsid w:val="003C0379"/>
    <w:rsid w:val="003C0DB0"/>
    <w:rsid w:val="003C1CAD"/>
    <w:rsid w:val="003C2565"/>
    <w:rsid w:val="003C28F3"/>
    <w:rsid w:val="003C2ACE"/>
    <w:rsid w:val="003C2D0A"/>
    <w:rsid w:val="003C3705"/>
    <w:rsid w:val="003C3CCB"/>
    <w:rsid w:val="003C46C0"/>
    <w:rsid w:val="003C51BF"/>
    <w:rsid w:val="003C58C2"/>
    <w:rsid w:val="003C5BDA"/>
    <w:rsid w:val="003C6523"/>
    <w:rsid w:val="003C79D9"/>
    <w:rsid w:val="003D0E65"/>
    <w:rsid w:val="003D1FF6"/>
    <w:rsid w:val="003D3266"/>
    <w:rsid w:val="003D341F"/>
    <w:rsid w:val="003D39B9"/>
    <w:rsid w:val="003D3CD6"/>
    <w:rsid w:val="003D4030"/>
    <w:rsid w:val="003D4AFC"/>
    <w:rsid w:val="003D4C3D"/>
    <w:rsid w:val="003D4E0A"/>
    <w:rsid w:val="003D5D10"/>
    <w:rsid w:val="003D6202"/>
    <w:rsid w:val="003D70BC"/>
    <w:rsid w:val="003D7B00"/>
    <w:rsid w:val="003D7C50"/>
    <w:rsid w:val="003E0540"/>
    <w:rsid w:val="003E21BD"/>
    <w:rsid w:val="003E2FE3"/>
    <w:rsid w:val="003E364B"/>
    <w:rsid w:val="003E3D66"/>
    <w:rsid w:val="003E3F67"/>
    <w:rsid w:val="003E42E4"/>
    <w:rsid w:val="003E445B"/>
    <w:rsid w:val="003E48BA"/>
    <w:rsid w:val="003E4F2D"/>
    <w:rsid w:val="003E5727"/>
    <w:rsid w:val="003E647F"/>
    <w:rsid w:val="003E768E"/>
    <w:rsid w:val="003E791D"/>
    <w:rsid w:val="003F04DA"/>
    <w:rsid w:val="003F05F3"/>
    <w:rsid w:val="003F0C4A"/>
    <w:rsid w:val="003F1BD6"/>
    <w:rsid w:val="003F1E1E"/>
    <w:rsid w:val="003F23C3"/>
    <w:rsid w:val="003F2FFC"/>
    <w:rsid w:val="003F33DA"/>
    <w:rsid w:val="003F3797"/>
    <w:rsid w:val="003F3859"/>
    <w:rsid w:val="003F42E8"/>
    <w:rsid w:val="003F490C"/>
    <w:rsid w:val="003F5186"/>
    <w:rsid w:val="003F5550"/>
    <w:rsid w:val="003F587D"/>
    <w:rsid w:val="003F6B36"/>
    <w:rsid w:val="003F7AC6"/>
    <w:rsid w:val="00400902"/>
    <w:rsid w:val="00400F1D"/>
    <w:rsid w:val="0040277F"/>
    <w:rsid w:val="00404B20"/>
    <w:rsid w:val="00404BF0"/>
    <w:rsid w:val="00404C14"/>
    <w:rsid w:val="00404E18"/>
    <w:rsid w:val="004053E5"/>
    <w:rsid w:val="00405B8B"/>
    <w:rsid w:val="00405DC2"/>
    <w:rsid w:val="00406E23"/>
    <w:rsid w:val="004074E2"/>
    <w:rsid w:val="004077D6"/>
    <w:rsid w:val="00411062"/>
    <w:rsid w:val="004117BB"/>
    <w:rsid w:val="00411F6E"/>
    <w:rsid w:val="00412D96"/>
    <w:rsid w:val="00414383"/>
    <w:rsid w:val="00414D78"/>
    <w:rsid w:val="0041527F"/>
    <w:rsid w:val="00415363"/>
    <w:rsid w:val="0041590C"/>
    <w:rsid w:val="004167A2"/>
    <w:rsid w:val="004168A6"/>
    <w:rsid w:val="004169E4"/>
    <w:rsid w:val="00416AE4"/>
    <w:rsid w:val="004170A8"/>
    <w:rsid w:val="00417542"/>
    <w:rsid w:val="00417B79"/>
    <w:rsid w:val="00417BE8"/>
    <w:rsid w:val="00417DA9"/>
    <w:rsid w:val="00420301"/>
    <w:rsid w:val="004209BA"/>
    <w:rsid w:val="00420B12"/>
    <w:rsid w:val="00420CD7"/>
    <w:rsid w:val="0042237C"/>
    <w:rsid w:val="00422B37"/>
    <w:rsid w:val="0042352A"/>
    <w:rsid w:val="00423727"/>
    <w:rsid w:val="00423E2C"/>
    <w:rsid w:val="00424087"/>
    <w:rsid w:val="004241E7"/>
    <w:rsid w:val="00425C73"/>
    <w:rsid w:val="00425D97"/>
    <w:rsid w:val="0042648E"/>
    <w:rsid w:val="00426E05"/>
    <w:rsid w:val="00427229"/>
    <w:rsid w:val="004277A6"/>
    <w:rsid w:val="0043068F"/>
    <w:rsid w:val="00431124"/>
    <w:rsid w:val="00432DD5"/>
    <w:rsid w:val="00432E98"/>
    <w:rsid w:val="004338F9"/>
    <w:rsid w:val="00433BE6"/>
    <w:rsid w:val="00434026"/>
    <w:rsid w:val="0043433E"/>
    <w:rsid w:val="00434A96"/>
    <w:rsid w:val="00434B49"/>
    <w:rsid w:val="00435A1D"/>
    <w:rsid w:val="00435F28"/>
    <w:rsid w:val="00437938"/>
    <w:rsid w:val="004379E3"/>
    <w:rsid w:val="00437A91"/>
    <w:rsid w:val="00440803"/>
    <w:rsid w:val="004408C6"/>
    <w:rsid w:val="00440A83"/>
    <w:rsid w:val="00441773"/>
    <w:rsid w:val="00441AD8"/>
    <w:rsid w:val="00443B77"/>
    <w:rsid w:val="00443E1D"/>
    <w:rsid w:val="00444774"/>
    <w:rsid w:val="004454E2"/>
    <w:rsid w:val="00445D3C"/>
    <w:rsid w:val="00446118"/>
    <w:rsid w:val="00446F72"/>
    <w:rsid w:val="0044713C"/>
    <w:rsid w:val="0044729C"/>
    <w:rsid w:val="00447643"/>
    <w:rsid w:val="004506B4"/>
    <w:rsid w:val="00450AE4"/>
    <w:rsid w:val="00451258"/>
    <w:rsid w:val="00451385"/>
    <w:rsid w:val="004516BA"/>
    <w:rsid w:val="004517FF"/>
    <w:rsid w:val="004520F4"/>
    <w:rsid w:val="004523DE"/>
    <w:rsid w:val="0045263B"/>
    <w:rsid w:val="004530FF"/>
    <w:rsid w:val="00453812"/>
    <w:rsid w:val="00454085"/>
    <w:rsid w:val="00454092"/>
    <w:rsid w:val="00454A01"/>
    <w:rsid w:val="0045620D"/>
    <w:rsid w:val="004566E9"/>
    <w:rsid w:val="00456917"/>
    <w:rsid w:val="00456F25"/>
    <w:rsid w:val="004572D3"/>
    <w:rsid w:val="004579E6"/>
    <w:rsid w:val="004600CB"/>
    <w:rsid w:val="004610D6"/>
    <w:rsid w:val="00461314"/>
    <w:rsid w:val="00461A55"/>
    <w:rsid w:val="00461FEA"/>
    <w:rsid w:val="0046240C"/>
    <w:rsid w:val="00462967"/>
    <w:rsid w:val="004636D5"/>
    <w:rsid w:val="004641E0"/>
    <w:rsid w:val="00464611"/>
    <w:rsid w:val="00465615"/>
    <w:rsid w:val="004658CF"/>
    <w:rsid w:val="00466FFB"/>
    <w:rsid w:val="0046725A"/>
    <w:rsid w:val="004704ED"/>
    <w:rsid w:val="00470C54"/>
    <w:rsid w:val="00470DD4"/>
    <w:rsid w:val="00471427"/>
    <w:rsid w:val="00471536"/>
    <w:rsid w:val="00471A4B"/>
    <w:rsid w:val="00473316"/>
    <w:rsid w:val="0047355A"/>
    <w:rsid w:val="0047369C"/>
    <w:rsid w:val="00473F43"/>
    <w:rsid w:val="00474422"/>
    <w:rsid w:val="00474879"/>
    <w:rsid w:val="00475014"/>
    <w:rsid w:val="004756CA"/>
    <w:rsid w:val="004765E8"/>
    <w:rsid w:val="00476B23"/>
    <w:rsid w:val="00477D6C"/>
    <w:rsid w:val="00477F2C"/>
    <w:rsid w:val="004817F1"/>
    <w:rsid w:val="00481A0E"/>
    <w:rsid w:val="00481BF6"/>
    <w:rsid w:val="004821D7"/>
    <w:rsid w:val="004826EB"/>
    <w:rsid w:val="00484352"/>
    <w:rsid w:val="0048438B"/>
    <w:rsid w:val="00484684"/>
    <w:rsid w:val="00484A8D"/>
    <w:rsid w:val="00485D3E"/>
    <w:rsid w:val="00487739"/>
    <w:rsid w:val="004877A7"/>
    <w:rsid w:val="00487A1E"/>
    <w:rsid w:val="004903F3"/>
    <w:rsid w:val="00491152"/>
    <w:rsid w:val="004911E4"/>
    <w:rsid w:val="0049158E"/>
    <w:rsid w:val="0049202C"/>
    <w:rsid w:val="004936D2"/>
    <w:rsid w:val="00493846"/>
    <w:rsid w:val="00493F98"/>
    <w:rsid w:val="00494109"/>
    <w:rsid w:val="00494128"/>
    <w:rsid w:val="004946C7"/>
    <w:rsid w:val="004947D5"/>
    <w:rsid w:val="00494833"/>
    <w:rsid w:val="00494F53"/>
    <w:rsid w:val="004963E0"/>
    <w:rsid w:val="004968A7"/>
    <w:rsid w:val="004A035E"/>
    <w:rsid w:val="004A07CB"/>
    <w:rsid w:val="004A0EF7"/>
    <w:rsid w:val="004A10FB"/>
    <w:rsid w:val="004A47BA"/>
    <w:rsid w:val="004A47C7"/>
    <w:rsid w:val="004A4B1E"/>
    <w:rsid w:val="004A4F69"/>
    <w:rsid w:val="004A56EE"/>
    <w:rsid w:val="004A571E"/>
    <w:rsid w:val="004A6472"/>
    <w:rsid w:val="004A647D"/>
    <w:rsid w:val="004A6818"/>
    <w:rsid w:val="004B168B"/>
    <w:rsid w:val="004B310C"/>
    <w:rsid w:val="004B348F"/>
    <w:rsid w:val="004B46E0"/>
    <w:rsid w:val="004B4A70"/>
    <w:rsid w:val="004B5167"/>
    <w:rsid w:val="004B633C"/>
    <w:rsid w:val="004B672A"/>
    <w:rsid w:val="004B6999"/>
    <w:rsid w:val="004B6A1A"/>
    <w:rsid w:val="004B6E54"/>
    <w:rsid w:val="004B6F53"/>
    <w:rsid w:val="004B72EC"/>
    <w:rsid w:val="004B73A0"/>
    <w:rsid w:val="004B7848"/>
    <w:rsid w:val="004C0566"/>
    <w:rsid w:val="004C05ED"/>
    <w:rsid w:val="004C0A6F"/>
    <w:rsid w:val="004C20BA"/>
    <w:rsid w:val="004C3CF5"/>
    <w:rsid w:val="004C4051"/>
    <w:rsid w:val="004C4513"/>
    <w:rsid w:val="004C478A"/>
    <w:rsid w:val="004C529B"/>
    <w:rsid w:val="004C5BC6"/>
    <w:rsid w:val="004C631A"/>
    <w:rsid w:val="004C6432"/>
    <w:rsid w:val="004C740E"/>
    <w:rsid w:val="004C79CD"/>
    <w:rsid w:val="004C7A1B"/>
    <w:rsid w:val="004C7C78"/>
    <w:rsid w:val="004D0621"/>
    <w:rsid w:val="004D0937"/>
    <w:rsid w:val="004D0C58"/>
    <w:rsid w:val="004D0E22"/>
    <w:rsid w:val="004D0F98"/>
    <w:rsid w:val="004D1BA5"/>
    <w:rsid w:val="004D273B"/>
    <w:rsid w:val="004D342D"/>
    <w:rsid w:val="004D3503"/>
    <w:rsid w:val="004D4508"/>
    <w:rsid w:val="004D4A98"/>
    <w:rsid w:val="004D4C91"/>
    <w:rsid w:val="004D4D19"/>
    <w:rsid w:val="004D55F4"/>
    <w:rsid w:val="004D5B61"/>
    <w:rsid w:val="004D60A5"/>
    <w:rsid w:val="004D6361"/>
    <w:rsid w:val="004D67E1"/>
    <w:rsid w:val="004D6C3C"/>
    <w:rsid w:val="004D7872"/>
    <w:rsid w:val="004D7B7B"/>
    <w:rsid w:val="004E0000"/>
    <w:rsid w:val="004E00AD"/>
    <w:rsid w:val="004E0BA6"/>
    <w:rsid w:val="004E1054"/>
    <w:rsid w:val="004E116A"/>
    <w:rsid w:val="004E1C3B"/>
    <w:rsid w:val="004E2107"/>
    <w:rsid w:val="004E27F8"/>
    <w:rsid w:val="004E2956"/>
    <w:rsid w:val="004E2A52"/>
    <w:rsid w:val="004E3F85"/>
    <w:rsid w:val="004E4017"/>
    <w:rsid w:val="004E4158"/>
    <w:rsid w:val="004E4202"/>
    <w:rsid w:val="004E4890"/>
    <w:rsid w:val="004E5754"/>
    <w:rsid w:val="004E63CB"/>
    <w:rsid w:val="004E6B7D"/>
    <w:rsid w:val="004E782C"/>
    <w:rsid w:val="004F01C0"/>
    <w:rsid w:val="004F01C2"/>
    <w:rsid w:val="004F13E0"/>
    <w:rsid w:val="004F19A3"/>
    <w:rsid w:val="004F23CD"/>
    <w:rsid w:val="004F3864"/>
    <w:rsid w:val="004F3D8C"/>
    <w:rsid w:val="004F4B0D"/>
    <w:rsid w:val="004F5167"/>
    <w:rsid w:val="004F51E3"/>
    <w:rsid w:val="004F566F"/>
    <w:rsid w:val="004F5F78"/>
    <w:rsid w:val="004F73E0"/>
    <w:rsid w:val="004F75E2"/>
    <w:rsid w:val="00500153"/>
    <w:rsid w:val="00500377"/>
    <w:rsid w:val="005008C0"/>
    <w:rsid w:val="00501DC2"/>
    <w:rsid w:val="00501E5E"/>
    <w:rsid w:val="00501FCB"/>
    <w:rsid w:val="00502E8D"/>
    <w:rsid w:val="00503A23"/>
    <w:rsid w:val="005055BE"/>
    <w:rsid w:val="0050585B"/>
    <w:rsid w:val="00505889"/>
    <w:rsid w:val="00505C65"/>
    <w:rsid w:val="0050775F"/>
    <w:rsid w:val="005079D4"/>
    <w:rsid w:val="00507D60"/>
    <w:rsid w:val="0051102E"/>
    <w:rsid w:val="00511CD2"/>
    <w:rsid w:val="00511DF6"/>
    <w:rsid w:val="005129EA"/>
    <w:rsid w:val="00512B35"/>
    <w:rsid w:val="0051313E"/>
    <w:rsid w:val="00514B68"/>
    <w:rsid w:val="00514D95"/>
    <w:rsid w:val="00515412"/>
    <w:rsid w:val="00516DE7"/>
    <w:rsid w:val="00516FEA"/>
    <w:rsid w:val="005171C5"/>
    <w:rsid w:val="005174B0"/>
    <w:rsid w:val="0052009F"/>
    <w:rsid w:val="0052019D"/>
    <w:rsid w:val="00522A68"/>
    <w:rsid w:val="00522C3A"/>
    <w:rsid w:val="00523595"/>
    <w:rsid w:val="005239BF"/>
    <w:rsid w:val="005241CE"/>
    <w:rsid w:val="00525022"/>
    <w:rsid w:val="00525416"/>
    <w:rsid w:val="005254E5"/>
    <w:rsid w:val="005255E0"/>
    <w:rsid w:val="00526BD0"/>
    <w:rsid w:val="005279AE"/>
    <w:rsid w:val="00527E50"/>
    <w:rsid w:val="00530033"/>
    <w:rsid w:val="00530517"/>
    <w:rsid w:val="00530526"/>
    <w:rsid w:val="00531553"/>
    <w:rsid w:val="00531B96"/>
    <w:rsid w:val="005326D8"/>
    <w:rsid w:val="00532952"/>
    <w:rsid w:val="00532A0F"/>
    <w:rsid w:val="00533B2A"/>
    <w:rsid w:val="00534B35"/>
    <w:rsid w:val="00535490"/>
    <w:rsid w:val="005360A2"/>
    <w:rsid w:val="0053684C"/>
    <w:rsid w:val="005371AB"/>
    <w:rsid w:val="00537B0F"/>
    <w:rsid w:val="00537B39"/>
    <w:rsid w:val="005412D1"/>
    <w:rsid w:val="005416EA"/>
    <w:rsid w:val="0054177F"/>
    <w:rsid w:val="0054182E"/>
    <w:rsid w:val="00541BFC"/>
    <w:rsid w:val="00542387"/>
    <w:rsid w:val="0054413A"/>
    <w:rsid w:val="005443AA"/>
    <w:rsid w:val="00544604"/>
    <w:rsid w:val="00544D20"/>
    <w:rsid w:val="00544EC6"/>
    <w:rsid w:val="0054631E"/>
    <w:rsid w:val="00546FC5"/>
    <w:rsid w:val="005470FD"/>
    <w:rsid w:val="00550A3B"/>
    <w:rsid w:val="00550C6B"/>
    <w:rsid w:val="00550E41"/>
    <w:rsid w:val="00551092"/>
    <w:rsid w:val="005512D4"/>
    <w:rsid w:val="00552434"/>
    <w:rsid w:val="005529DF"/>
    <w:rsid w:val="005537AC"/>
    <w:rsid w:val="005540FC"/>
    <w:rsid w:val="0055411B"/>
    <w:rsid w:val="0055435F"/>
    <w:rsid w:val="005546FE"/>
    <w:rsid w:val="00554923"/>
    <w:rsid w:val="00554F7E"/>
    <w:rsid w:val="005550BE"/>
    <w:rsid w:val="005558F8"/>
    <w:rsid w:val="00555A42"/>
    <w:rsid w:val="00555BE9"/>
    <w:rsid w:val="00556AF6"/>
    <w:rsid w:val="00560935"/>
    <w:rsid w:val="005610FD"/>
    <w:rsid w:val="00561AFC"/>
    <w:rsid w:val="00561B2A"/>
    <w:rsid w:val="005624CA"/>
    <w:rsid w:val="00563D0A"/>
    <w:rsid w:val="005647BB"/>
    <w:rsid w:val="00564876"/>
    <w:rsid w:val="00564A05"/>
    <w:rsid w:val="0056546C"/>
    <w:rsid w:val="00565C28"/>
    <w:rsid w:val="00566737"/>
    <w:rsid w:val="00566A5A"/>
    <w:rsid w:val="005678BD"/>
    <w:rsid w:val="00570BDF"/>
    <w:rsid w:val="00570E6F"/>
    <w:rsid w:val="00572555"/>
    <w:rsid w:val="005725A9"/>
    <w:rsid w:val="00572627"/>
    <w:rsid w:val="00572849"/>
    <w:rsid w:val="00572CB8"/>
    <w:rsid w:val="00572FEC"/>
    <w:rsid w:val="00573BB0"/>
    <w:rsid w:val="005743CF"/>
    <w:rsid w:val="005744C2"/>
    <w:rsid w:val="00574C68"/>
    <w:rsid w:val="005751F7"/>
    <w:rsid w:val="00575A8A"/>
    <w:rsid w:val="00575E80"/>
    <w:rsid w:val="00577A5C"/>
    <w:rsid w:val="00582328"/>
    <w:rsid w:val="00582798"/>
    <w:rsid w:val="0058281C"/>
    <w:rsid w:val="005828E7"/>
    <w:rsid w:val="0058442D"/>
    <w:rsid w:val="005853FB"/>
    <w:rsid w:val="00585CD5"/>
    <w:rsid w:val="00586C30"/>
    <w:rsid w:val="00586D62"/>
    <w:rsid w:val="00590E9C"/>
    <w:rsid w:val="0059126B"/>
    <w:rsid w:val="005926DA"/>
    <w:rsid w:val="00593156"/>
    <w:rsid w:val="0059351A"/>
    <w:rsid w:val="00593BFB"/>
    <w:rsid w:val="00593C05"/>
    <w:rsid w:val="00593FE5"/>
    <w:rsid w:val="005941A4"/>
    <w:rsid w:val="0059467D"/>
    <w:rsid w:val="00594BD2"/>
    <w:rsid w:val="00595383"/>
    <w:rsid w:val="00595633"/>
    <w:rsid w:val="0059632A"/>
    <w:rsid w:val="00596444"/>
    <w:rsid w:val="00596E2A"/>
    <w:rsid w:val="00597DEA"/>
    <w:rsid w:val="005A008F"/>
    <w:rsid w:val="005A1350"/>
    <w:rsid w:val="005A197F"/>
    <w:rsid w:val="005A3808"/>
    <w:rsid w:val="005A5BEA"/>
    <w:rsid w:val="005A640A"/>
    <w:rsid w:val="005A6974"/>
    <w:rsid w:val="005A6B34"/>
    <w:rsid w:val="005A6EA1"/>
    <w:rsid w:val="005A70D6"/>
    <w:rsid w:val="005A7A3A"/>
    <w:rsid w:val="005A7FA4"/>
    <w:rsid w:val="005B13CA"/>
    <w:rsid w:val="005B147B"/>
    <w:rsid w:val="005B1A4F"/>
    <w:rsid w:val="005B1EB6"/>
    <w:rsid w:val="005B2769"/>
    <w:rsid w:val="005B2B90"/>
    <w:rsid w:val="005B33F4"/>
    <w:rsid w:val="005B3A92"/>
    <w:rsid w:val="005B45AB"/>
    <w:rsid w:val="005B4C27"/>
    <w:rsid w:val="005B4EFB"/>
    <w:rsid w:val="005B5368"/>
    <w:rsid w:val="005B7465"/>
    <w:rsid w:val="005B7A05"/>
    <w:rsid w:val="005B7ACA"/>
    <w:rsid w:val="005C0862"/>
    <w:rsid w:val="005C10B2"/>
    <w:rsid w:val="005C1278"/>
    <w:rsid w:val="005C1376"/>
    <w:rsid w:val="005C17B7"/>
    <w:rsid w:val="005C1AAE"/>
    <w:rsid w:val="005C1BF2"/>
    <w:rsid w:val="005C3DA0"/>
    <w:rsid w:val="005C3EB2"/>
    <w:rsid w:val="005C4B4E"/>
    <w:rsid w:val="005C4F35"/>
    <w:rsid w:val="005C5233"/>
    <w:rsid w:val="005C5690"/>
    <w:rsid w:val="005C5ACB"/>
    <w:rsid w:val="005C5F14"/>
    <w:rsid w:val="005C68AF"/>
    <w:rsid w:val="005D04F0"/>
    <w:rsid w:val="005D0C4B"/>
    <w:rsid w:val="005D182C"/>
    <w:rsid w:val="005D1DE8"/>
    <w:rsid w:val="005D21FE"/>
    <w:rsid w:val="005D2938"/>
    <w:rsid w:val="005D2C27"/>
    <w:rsid w:val="005D35DA"/>
    <w:rsid w:val="005D44D3"/>
    <w:rsid w:val="005D4683"/>
    <w:rsid w:val="005D4D5B"/>
    <w:rsid w:val="005D5DA2"/>
    <w:rsid w:val="005D723A"/>
    <w:rsid w:val="005D777B"/>
    <w:rsid w:val="005D7C60"/>
    <w:rsid w:val="005E01C1"/>
    <w:rsid w:val="005E07B7"/>
    <w:rsid w:val="005E0CC4"/>
    <w:rsid w:val="005E0FF6"/>
    <w:rsid w:val="005E1F72"/>
    <w:rsid w:val="005E257D"/>
    <w:rsid w:val="005E2AB9"/>
    <w:rsid w:val="005E3243"/>
    <w:rsid w:val="005E3DEF"/>
    <w:rsid w:val="005E454C"/>
    <w:rsid w:val="005E4B65"/>
    <w:rsid w:val="005E5500"/>
    <w:rsid w:val="005E55F8"/>
    <w:rsid w:val="005E5AC3"/>
    <w:rsid w:val="005E5B80"/>
    <w:rsid w:val="005E6952"/>
    <w:rsid w:val="005E69B9"/>
    <w:rsid w:val="005E7372"/>
    <w:rsid w:val="005F05EA"/>
    <w:rsid w:val="005F086C"/>
    <w:rsid w:val="005F1387"/>
    <w:rsid w:val="005F15ED"/>
    <w:rsid w:val="005F182D"/>
    <w:rsid w:val="005F1EBA"/>
    <w:rsid w:val="005F25D3"/>
    <w:rsid w:val="005F4ACB"/>
    <w:rsid w:val="005F51E6"/>
    <w:rsid w:val="005F5F5D"/>
    <w:rsid w:val="005F7E17"/>
    <w:rsid w:val="0060109B"/>
    <w:rsid w:val="0060127C"/>
    <w:rsid w:val="00602313"/>
    <w:rsid w:val="006027F6"/>
    <w:rsid w:val="00602B8B"/>
    <w:rsid w:val="006030FD"/>
    <w:rsid w:val="006037AD"/>
    <w:rsid w:val="006038AF"/>
    <w:rsid w:val="00604D3A"/>
    <w:rsid w:val="00605382"/>
    <w:rsid w:val="006058D4"/>
    <w:rsid w:val="00605FCB"/>
    <w:rsid w:val="00606013"/>
    <w:rsid w:val="00606EF7"/>
    <w:rsid w:val="00607F96"/>
    <w:rsid w:val="00610A52"/>
    <w:rsid w:val="00610AC5"/>
    <w:rsid w:val="00610AFE"/>
    <w:rsid w:val="00610E1F"/>
    <w:rsid w:val="00611CBE"/>
    <w:rsid w:val="00612310"/>
    <w:rsid w:val="0061338F"/>
    <w:rsid w:val="006133FA"/>
    <w:rsid w:val="006138B1"/>
    <w:rsid w:val="006146A7"/>
    <w:rsid w:val="00615C8D"/>
    <w:rsid w:val="00615F8E"/>
    <w:rsid w:val="006164CE"/>
    <w:rsid w:val="0061659A"/>
    <w:rsid w:val="00617026"/>
    <w:rsid w:val="006176BA"/>
    <w:rsid w:val="006179D9"/>
    <w:rsid w:val="0062005F"/>
    <w:rsid w:val="0062156D"/>
    <w:rsid w:val="0062195B"/>
    <w:rsid w:val="00621E0F"/>
    <w:rsid w:val="00621F5A"/>
    <w:rsid w:val="00622111"/>
    <w:rsid w:val="00622616"/>
    <w:rsid w:val="0062267F"/>
    <w:rsid w:val="0062296C"/>
    <w:rsid w:val="006246A1"/>
    <w:rsid w:val="006248E6"/>
    <w:rsid w:val="00624D1A"/>
    <w:rsid w:val="00625F5F"/>
    <w:rsid w:val="00626C59"/>
    <w:rsid w:val="0062716E"/>
    <w:rsid w:val="00627905"/>
    <w:rsid w:val="00627B94"/>
    <w:rsid w:val="00627F82"/>
    <w:rsid w:val="00630FC2"/>
    <w:rsid w:val="006311B8"/>
    <w:rsid w:val="006315C2"/>
    <w:rsid w:val="00631DF6"/>
    <w:rsid w:val="00632CA0"/>
    <w:rsid w:val="006333CD"/>
    <w:rsid w:val="006336C8"/>
    <w:rsid w:val="00634631"/>
    <w:rsid w:val="006359AE"/>
    <w:rsid w:val="0063655E"/>
    <w:rsid w:val="0063663B"/>
    <w:rsid w:val="00636A31"/>
    <w:rsid w:val="00636B6D"/>
    <w:rsid w:val="00636BF2"/>
    <w:rsid w:val="00636C48"/>
    <w:rsid w:val="00636FF1"/>
    <w:rsid w:val="0063751A"/>
    <w:rsid w:val="0063761E"/>
    <w:rsid w:val="00637F48"/>
    <w:rsid w:val="0064140F"/>
    <w:rsid w:val="00642060"/>
    <w:rsid w:val="0064243B"/>
    <w:rsid w:val="006445BF"/>
    <w:rsid w:val="0064470D"/>
    <w:rsid w:val="00644A48"/>
    <w:rsid w:val="00645340"/>
    <w:rsid w:val="0064571C"/>
    <w:rsid w:val="00645B39"/>
    <w:rsid w:val="00646051"/>
    <w:rsid w:val="006464DB"/>
    <w:rsid w:val="00646902"/>
    <w:rsid w:val="00646950"/>
    <w:rsid w:val="00646B66"/>
    <w:rsid w:val="00646BEB"/>
    <w:rsid w:val="0064777E"/>
    <w:rsid w:val="00647984"/>
    <w:rsid w:val="0065073E"/>
    <w:rsid w:val="00650926"/>
    <w:rsid w:val="00650E5D"/>
    <w:rsid w:val="00651AB7"/>
    <w:rsid w:val="0065224C"/>
    <w:rsid w:val="00653624"/>
    <w:rsid w:val="00653B3E"/>
    <w:rsid w:val="00655621"/>
    <w:rsid w:val="006560E3"/>
    <w:rsid w:val="00656309"/>
    <w:rsid w:val="0065650B"/>
    <w:rsid w:val="006567F7"/>
    <w:rsid w:val="00656AA8"/>
    <w:rsid w:val="00656D93"/>
    <w:rsid w:val="00657AB8"/>
    <w:rsid w:val="00657B5A"/>
    <w:rsid w:val="00657BD8"/>
    <w:rsid w:val="00657EC8"/>
    <w:rsid w:val="0066003B"/>
    <w:rsid w:val="006604E2"/>
    <w:rsid w:val="00660E9A"/>
    <w:rsid w:val="00660FB8"/>
    <w:rsid w:val="00661FD8"/>
    <w:rsid w:val="006621C2"/>
    <w:rsid w:val="00662398"/>
    <w:rsid w:val="0066245F"/>
    <w:rsid w:val="006638DA"/>
    <w:rsid w:val="00663E74"/>
    <w:rsid w:val="0066422A"/>
    <w:rsid w:val="00664EA7"/>
    <w:rsid w:val="00665833"/>
    <w:rsid w:val="00665B73"/>
    <w:rsid w:val="00665FC4"/>
    <w:rsid w:val="00666028"/>
    <w:rsid w:val="006666E6"/>
    <w:rsid w:val="00666F62"/>
    <w:rsid w:val="0066751F"/>
    <w:rsid w:val="00667644"/>
    <w:rsid w:val="00667B32"/>
    <w:rsid w:val="00670395"/>
    <w:rsid w:val="00670465"/>
    <w:rsid w:val="00670A4D"/>
    <w:rsid w:val="006710D0"/>
    <w:rsid w:val="0067181F"/>
    <w:rsid w:val="006730BF"/>
    <w:rsid w:val="00673CEF"/>
    <w:rsid w:val="00675DB1"/>
    <w:rsid w:val="00676452"/>
    <w:rsid w:val="00676990"/>
    <w:rsid w:val="006769C4"/>
    <w:rsid w:val="00676CD1"/>
    <w:rsid w:val="006774F8"/>
    <w:rsid w:val="0068024B"/>
    <w:rsid w:val="00680819"/>
    <w:rsid w:val="00680C44"/>
    <w:rsid w:val="006815EB"/>
    <w:rsid w:val="0068167C"/>
    <w:rsid w:val="0068171D"/>
    <w:rsid w:val="006821EC"/>
    <w:rsid w:val="00682273"/>
    <w:rsid w:val="00682419"/>
    <w:rsid w:val="00682ADE"/>
    <w:rsid w:val="00682DCC"/>
    <w:rsid w:val="00683C45"/>
    <w:rsid w:val="006842D1"/>
    <w:rsid w:val="00684699"/>
    <w:rsid w:val="00684CDB"/>
    <w:rsid w:val="00684E99"/>
    <w:rsid w:val="00685492"/>
    <w:rsid w:val="006858D1"/>
    <w:rsid w:val="006860F0"/>
    <w:rsid w:val="0068630C"/>
    <w:rsid w:val="0068659B"/>
    <w:rsid w:val="00686AF8"/>
    <w:rsid w:val="0068705F"/>
    <w:rsid w:val="00687482"/>
    <w:rsid w:val="00687809"/>
    <w:rsid w:val="00687F1D"/>
    <w:rsid w:val="00691796"/>
    <w:rsid w:val="006922CC"/>
    <w:rsid w:val="00693229"/>
    <w:rsid w:val="00693661"/>
    <w:rsid w:val="00694AAE"/>
    <w:rsid w:val="00694D2F"/>
    <w:rsid w:val="0069537C"/>
    <w:rsid w:val="00695399"/>
    <w:rsid w:val="00695B95"/>
    <w:rsid w:val="00695CC5"/>
    <w:rsid w:val="00695D15"/>
    <w:rsid w:val="00696D46"/>
    <w:rsid w:val="00697E68"/>
    <w:rsid w:val="006A018D"/>
    <w:rsid w:val="006A103C"/>
    <w:rsid w:val="006A1C16"/>
    <w:rsid w:val="006A1C49"/>
    <w:rsid w:val="006A1C4C"/>
    <w:rsid w:val="006A1D77"/>
    <w:rsid w:val="006A1F37"/>
    <w:rsid w:val="006A22E5"/>
    <w:rsid w:val="006A29BA"/>
    <w:rsid w:val="006A31D7"/>
    <w:rsid w:val="006A391E"/>
    <w:rsid w:val="006A4AFF"/>
    <w:rsid w:val="006A6B75"/>
    <w:rsid w:val="006A6FE5"/>
    <w:rsid w:val="006A739B"/>
    <w:rsid w:val="006A74F4"/>
    <w:rsid w:val="006A7AFA"/>
    <w:rsid w:val="006A7BF1"/>
    <w:rsid w:val="006B0304"/>
    <w:rsid w:val="006B09E0"/>
    <w:rsid w:val="006B12CB"/>
    <w:rsid w:val="006B1AED"/>
    <w:rsid w:val="006B201E"/>
    <w:rsid w:val="006B2767"/>
    <w:rsid w:val="006B293A"/>
    <w:rsid w:val="006B2ACB"/>
    <w:rsid w:val="006B2C34"/>
    <w:rsid w:val="006B3747"/>
    <w:rsid w:val="006B464D"/>
    <w:rsid w:val="006B48F6"/>
    <w:rsid w:val="006B5356"/>
    <w:rsid w:val="006B5DAB"/>
    <w:rsid w:val="006B6955"/>
    <w:rsid w:val="006B6E00"/>
    <w:rsid w:val="006B70FF"/>
    <w:rsid w:val="006B7AFA"/>
    <w:rsid w:val="006C1454"/>
    <w:rsid w:val="006C195E"/>
    <w:rsid w:val="006C1C50"/>
    <w:rsid w:val="006C1CA6"/>
    <w:rsid w:val="006C1CD6"/>
    <w:rsid w:val="006C2B90"/>
    <w:rsid w:val="006C3571"/>
    <w:rsid w:val="006C3650"/>
    <w:rsid w:val="006C41A6"/>
    <w:rsid w:val="006C499E"/>
    <w:rsid w:val="006C5107"/>
    <w:rsid w:val="006C538C"/>
    <w:rsid w:val="006C54E3"/>
    <w:rsid w:val="006C5E1F"/>
    <w:rsid w:val="006C6958"/>
    <w:rsid w:val="006C6BEB"/>
    <w:rsid w:val="006C6D5C"/>
    <w:rsid w:val="006C6EB6"/>
    <w:rsid w:val="006C7CE8"/>
    <w:rsid w:val="006D0B3B"/>
    <w:rsid w:val="006D1E70"/>
    <w:rsid w:val="006D2C12"/>
    <w:rsid w:val="006D30BF"/>
    <w:rsid w:val="006D319E"/>
    <w:rsid w:val="006D3279"/>
    <w:rsid w:val="006D3719"/>
    <w:rsid w:val="006D462A"/>
    <w:rsid w:val="006D4A94"/>
    <w:rsid w:val="006D5237"/>
    <w:rsid w:val="006D5599"/>
    <w:rsid w:val="006D6250"/>
    <w:rsid w:val="006D6255"/>
    <w:rsid w:val="006D62D0"/>
    <w:rsid w:val="006D74ED"/>
    <w:rsid w:val="006D7577"/>
    <w:rsid w:val="006E038A"/>
    <w:rsid w:val="006E054C"/>
    <w:rsid w:val="006E07F1"/>
    <w:rsid w:val="006E146C"/>
    <w:rsid w:val="006E18ED"/>
    <w:rsid w:val="006E2422"/>
    <w:rsid w:val="006E2B6D"/>
    <w:rsid w:val="006E5183"/>
    <w:rsid w:val="006E552E"/>
    <w:rsid w:val="006F0050"/>
    <w:rsid w:val="006F12AA"/>
    <w:rsid w:val="006F1751"/>
    <w:rsid w:val="006F1795"/>
    <w:rsid w:val="006F1E00"/>
    <w:rsid w:val="006F1EA7"/>
    <w:rsid w:val="006F23A3"/>
    <w:rsid w:val="006F39F5"/>
    <w:rsid w:val="006F3EEF"/>
    <w:rsid w:val="006F426F"/>
    <w:rsid w:val="006F4A57"/>
    <w:rsid w:val="006F4AB4"/>
    <w:rsid w:val="006F4C6D"/>
    <w:rsid w:val="006F53A6"/>
    <w:rsid w:val="006F55A6"/>
    <w:rsid w:val="006F70AA"/>
    <w:rsid w:val="006F75D1"/>
    <w:rsid w:val="00700170"/>
    <w:rsid w:val="00701A1C"/>
    <w:rsid w:val="00701ACE"/>
    <w:rsid w:val="00702515"/>
    <w:rsid w:val="0070267E"/>
    <w:rsid w:val="00702CF8"/>
    <w:rsid w:val="0070333D"/>
    <w:rsid w:val="00703A0B"/>
    <w:rsid w:val="00704C19"/>
    <w:rsid w:val="007052E3"/>
    <w:rsid w:val="00705B25"/>
    <w:rsid w:val="00705EAB"/>
    <w:rsid w:val="0070601A"/>
    <w:rsid w:val="00706D50"/>
    <w:rsid w:val="00706D8E"/>
    <w:rsid w:val="007073A7"/>
    <w:rsid w:val="007074D2"/>
    <w:rsid w:val="00707915"/>
    <w:rsid w:val="00707B52"/>
    <w:rsid w:val="007112E4"/>
    <w:rsid w:val="00711589"/>
    <w:rsid w:val="00711CBA"/>
    <w:rsid w:val="00711D8C"/>
    <w:rsid w:val="00712636"/>
    <w:rsid w:val="007127A1"/>
    <w:rsid w:val="00712B95"/>
    <w:rsid w:val="00713578"/>
    <w:rsid w:val="00713BDB"/>
    <w:rsid w:val="0071459B"/>
    <w:rsid w:val="00714C25"/>
    <w:rsid w:val="00716746"/>
    <w:rsid w:val="00716967"/>
    <w:rsid w:val="00717178"/>
    <w:rsid w:val="00717586"/>
    <w:rsid w:val="0071778B"/>
    <w:rsid w:val="007179F6"/>
    <w:rsid w:val="00717B9B"/>
    <w:rsid w:val="007201BF"/>
    <w:rsid w:val="00721093"/>
    <w:rsid w:val="007215EC"/>
    <w:rsid w:val="00721798"/>
    <w:rsid w:val="00721A88"/>
    <w:rsid w:val="00722239"/>
    <w:rsid w:val="00722BE6"/>
    <w:rsid w:val="00722BF3"/>
    <w:rsid w:val="007237AE"/>
    <w:rsid w:val="00723980"/>
    <w:rsid w:val="00724274"/>
    <w:rsid w:val="0072452F"/>
    <w:rsid w:val="00724ACC"/>
    <w:rsid w:val="00724E8E"/>
    <w:rsid w:val="0072518E"/>
    <w:rsid w:val="00725255"/>
    <w:rsid w:val="00725DFB"/>
    <w:rsid w:val="00725F81"/>
    <w:rsid w:val="007269CB"/>
    <w:rsid w:val="007273E4"/>
    <w:rsid w:val="00727AF8"/>
    <w:rsid w:val="00727EF8"/>
    <w:rsid w:val="00730182"/>
    <w:rsid w:val="0073022F"/>
    <w:rsid w:val="007306AF"/>
    <w:rsid w:val="0073084C"/>
    <w:rsid w:val="007319E3"/>
    <w:rsid w:val="00731D4A"/>
    <w:rsid w:val="00732D68"/>
    <w:rsid w:val="007331C1"/>
    <w:rsid w:val="007336A9"/>
    <w:rsid w:val="00733EC7"/>
    <w:rsid w:val="00734324"/>
    <w:rsid w:val="007346F2"/>
    <w:rsid w:val="00734858"/>
    <w:rsid w:val="0073539C"/>
    <w:rsid w:val="00735B7D"/>
    <w:rsid w:val="00735F5D"/>
    <w:rsid w:val="007364DF"/>
    <w:rsid w:val="007368F4"/>
    <w:rsid w:val="00737128"/>
    <w:rsid w:val="0073795B"/>
    <w:rsid w:val="00737ACC"/>
    <w:rsid w:val="0074023B"/>
    <w:rsid w:val="00740745"/>
    <w:rsid w:val="0074203C"/>
    <w:rsid w:val="0074392E"/>
    <w:rsid w:val="0074536D"/>
    <w:rsid w:val="00745538"/>
    <w:rsid w:val="007455D3"/>
    <w:rsid w:val="007460A9"/>
    <w:rsid w:val="00746EAD"/>
    <w:rsid w:val="007474CD"/>
    <w:rsid w:val="00750BD0"/>
    <w:rsid w:val="00750D21"/>
    <w:rsid w:val="00751AFA"/>
    <w:rsid w:val="007534FC"/>
    <w:rsid w:val="00753737"/>
    <w:rsid w:val="00753A75"/>
    <w:rsid w:val="007543A6"/>
    <w:rsid w:val="0075478C"/>
    <w:rsid w:val="00754965"/>
    <w:rsid w:val="00754E31"/>
    <w:rsid w:val="0075551F"/>
    <w:rsid w:val="00755873"/>
    <w:rsid w:val="007558C7"/>
    <w:rsid w:val="00756283"/>
    <w:rsid w:val="00756D98"/>
    <w:rsid w:val="00756F08"/>
    <w:rsid w:val="00757040"/>
    <w:rsid w:val="00757268"/>
    <w:rsid w:val="007578D8"/>
    <w:rsid w:val="00757EBC"/>
    <w:rsid w:val="0076035C"/>
    <w:rsid w:val="00760696"/>
    <w:rsid w:val="00760DBB"/>
    <w:rsid w:val="00761351"/>
    <w:rsid w:val="00761501"/>
    <w:rsid w:val="00762011"/>
    <w:rsid w:val="0076208A"/>
    <w:rsid w:val="00762706"/>
    <w:rsid w:val="00763467"/>
    <w:rsid w:val="007648C8"/>
    <w:rsid w:val="00765948"/>
    <w:rsid w:val="0076783E"/>
    <w:rsid w:val="00767AFF"/>
    <w:rsid w:val="00770113"/>
    <w:rsid w:val="007705B0"/>
    <w:rsid w:val="00770A14"/>
    <w:rsid w:val="007718BF"/>
    <w:rsid w:val="00771F42"/>
    <w:rsid w:val="00772641"/>
    <w:rsid w:val="0077264D"/>
    <w:rsid w:val="007726E1"/>
    <w:rsid w:val="00772F3C"/>
    <w:rsid w:val="00772FB6"/>
    <w:rsid w:val="00772FFE"/>
    <w:rsid w:val="00773331"/>
    <w:rsid w:val="007734FE"/>
    <w:rsid w:val="00774F04"/>
    <w:rsid w:val="00775536"/>
    <w:rsid w:val="007761D8"/>
    <w:rsid w:val="00776C0D"/>
    <w:rsid w:val="00776EE0"/>
    <w:rsid w:val="00777A7B"/>
    <w:rsid w:val="00780048"/>
    <w:rsid w:val="007803AA"/>
    <w:rsid w:val="00780FA1"/>
    <w:rsid w:val="00780FCA"/>
    <w:rsid w:val="0078189C"/>
    <w:rsid w:val="00781CC4"/>
    <w:rsid w:val="0078219E"/>
    <w:rsid w:val="00783710"/>
    <w:rsid w:val="00783909"/>
    <w:rsid w:val="00783FCD"/>
    <w:rsid w:val="0078523F"/>
    <w:rsid w:val="0078667F"/>
    <w:rsid w:val="007866A0"/>
    <w:rsid w:val="00787295"/>
    <w:rsid w:val="00791883"/>
    <w:rsid w:val="00792AB3"/>
    <w:rsid w:val="007932EF"/>
    <w:rsid w:val="0079376E"/>
    <w:rsid w:val="00793BCF"/>
    <w:rsid w:val="00793FFA"/>
    <w:rsid w:val="00794ACC"/>
    <w:rsid w:val="00795267"/>
    <w:rsid w:val="007957FE"/>
    <w:rsid w:val="00795BB5"/>
    <w:rsid w:val="00796318"/>
    <w:rsid w:val="00796380"/>
    <w:rsid w:val="007969EF"/>
    <w:rsid w:val="00796A8B"/>
    <w:rsid w:val="00796BEE"/>
    <w:rsid w:val="00797CA4"/>
    <w:rsid w:val="007A0250"/>
    <w:rsid w:val="007A212B"/>
    <w:rsid w:val="007A232B"/>
    <w:rsid w:val="007A28A8"/>
    <w:rsid w:val="007A2997"/>
    <w:rsid w:val="007A2CED"/>
    <w:rsid w:val="007A32AB"/>
    <w:rsid w:val="007A3AC6"/>
    <w:rsid w:val="007A3E11"/>
    <w:rsid w:val="007A4AA2"/>
    <w:rsid w:val="007A4EBD"/>
    <w:rsid w:val="007A5406"/>
    <w:rsid w:val="007A5CF1"/>
    <w:rsid w:val="007A5E95"/>
    <w:rsid w:val="007A63CD"/>
    <w:rsid w:val="007A67DE"/>
    <w:rsid w:val="007A6C96"/>
    <w:rsid w:val="007A7798"/>
    <w:rsid w:val="007A7A6B"/>
    <w:rsid w:val="007A7CC9"/>
    <w:rsid w:val="007B09F5"/>
    <w:rsid w:val="007B1459"/>
    <w:rsid w:val="007B156E"/>
    <w:rsid w:val="007B1F13"/>
    <w:rsid w:val="007B1F29"/>
    <w:rsid w:val="007B2353"/>
    <w:rsid w:val="007B2C9B"/>
    <w:rsid w:val="007B32B3"/>
    <w:rsid w:val="007B356D"/>
    <w:rsid w:val="007B36A8"/>
    <w:rsid w:val="007B3BDF"/>
    <w:rsid w:val="007B3F8F"/>
    <w:rsid w:val="007B4AB4"/>
    <w:rsid w:val="007B4C5C"/>
    <w:rsid w:val="007B5B96"/>
    <w:rsid w:val="007B5F60"/>
    <w:rsid w:val="007B624B"/>
    <w:rsid w:val="007B65E1"/>
    <w:rsid w:val="007B6B2F"/>
    <w:rsid w:val="007B7819"/>
    <w:rsid w:val="007C046D"/>
    <w:rsid w:val="007C06C9"/>
    <w:rsid w:val="007C0E08"/>
    <w:rsid w:val="007C12D6"/>
    <w:rsid w:val="007C1802"/>
    <w:rsid w:val="007C1C7F"/>
    <w:rsid w:val="007C2AE3"/>
    <w:rsid w:val="007C2F17"/>
    <w:rsid w:val="007C3110"/>
    <w:rsid w:val="007C3117"/>
    <w:rsid w:val="007C3A8E"/>
    <w:rsid w:val="007C43C9"/>
    <w:rsid w:val="007C452C"/>
    <w:rsid w:val="007C4F30"/>
    <w:rsid w:val="007C4FAC"/>
    <w:rsid w:val="007C586E"/>
    <w:rsid w:val="007C64BC"/>
    <w:rsid w:val="007C6AA6"/>
    <w:rsid w:val="007C74EF"/>
    <w:rsid w:val="007C7C2F"/>
    <w:rsid w:val="007C7E07"/>
    <w:rsid w:val="007C7E64"/>
    <w:rsid w:val="007D0331"/>
    <w:rsid w:val="007D135F"/>
    <w:rsid w:val="007D28D6"/>
    <w:rsid w:val="007D2EBC"/>
    <w:rsid w:val="007D3551"/>
    <w:rsid w:val="007D3777"/>
    <w:rsid w:val="007D4745"/>
    <w:rsid w:val="007D4C2F"/>
    <w:rsid w:val="007D5445"/>
    <w:rsid w:val="007D5622"/>
    <w:rsid w:val="007D6856"/>
    <w:rsid w:val="007D7E1F"/>
    <w:rsid w:val="007E0577"/>
    <w:rsid w:val="007E05B0"/>
    <w:rsid w:val="007E12BB"/>
    <w:rsid w:val="007E2381"/>
    <w:rsid w:val="007E247A"/>
    <w:rsid w:val="007E2A21"/>
    <w:rsid w:val="007E2BBA"/>
    <w:rsid w:val="007E3F32"/>
    <w:rsid w:val="007E4433"/>
    <w:rsid w:val="007E4ECA"/>
    <w:rsid w:val="007E5B6F"/>
    <w:rsid w:val="007E6117"/>
    <w:rsid w:val="007E6BC1"/>
    <w:rsid w:val="007E6FC1"/>
    <w:rsid w:val="007E7D24"/>
    <w:rsid w:val="007F1100"/>
    <w:rsid w:val="007F16B9"/>
    <w:rsid w:val="007F2E3E"/>
    <w:rsid w:val="007F36E7"/>
    <w:rsid w:val="007F36EA"/>
    <w:rsid w:val="007F3FF2"/>
    <w:rsid w:val="007F5068"/>
    <w:rsid w:val="007F58AC"/>
    <w:rsid w:val="007F597E"/>
    <w:rsid w:val="007F5ECC"/>
    <w:rsid w:val="007F61D2"/>
    <w:rsid w:val="007F698D"/>
    <w:rsid w:val="007F6C14"/>
    <w:rsid w:val="007F75C9"/>
    <w:rsid w:val="007F778B"/>
    <w:rsid w:val="007F77E2"/>
    <w:rsid w:val="007F78E7"/>
    <w:rsid w:val="007F7F29"/>
    <w:rsid w:val="00800BAA"/>
    <w:rsid w:val="00800E74"/>
    <w:rsid w:val="00801416"/>
    <w:rsid w:val="00801B4C"/>
    <w:rsid w:val="00801BAB"/>
    <w:rsid w:val="00801C0D"/>
    <w:rsid w:val="00802CA3"/>
    <w:rsid w:val="008045C7"/>
    <w:rsid w:val="00804666"/>
    <w:rsid w:val="008049CE"/>
    <w:rsid w:val="00804B2A"/>
    <w:rsid w:val="00805FCD"/>
    <w:rsid w:val="0080681A"/>
    <w:rsid w:val="008070D1"/>
    <w:rsid w:val="00807D57"/>
    <w:rsid w:val="00810315"/>
    <w:rsid w:val="00810FCC"/>
    <w:rsid w:val="00811231"/>
    <w:rsid w:val="00812343"/>
    <w:rsid w:val="00812461"/>
    <w:rsid w:val="00813A0C"/>
    <w:rsid w:val="00813C99"/>
    <w:rsid w:val="00814153"/>
    <w:rsid w:val="008143B1"/>
    <w:rsid w:val="00814736"/>
    <w:rsid w:val="008153AE"/>
    <w:rsid w:val="00815A86"/>
    <w:rsid w:val="00815E87"/>
    <w:rsid w:val="00817602"/>
    <w:rsid w:val="008176C7"/>
    <w:rsid w:val="008178BB"/>
    <w:rsid w:val="0082005C"/>
    <w:rsid w:val="008202BA"/>
    <w:rsid w:val="008208F0"/>
    <w:rsid w:val="008209AC"/>
    <w:rsid w:val="00820C1A"/>
    <w:rsid w:val="00821209"/>
    <w:rsid w:val="00821BD0"/>
    <w:rsid w:val="00821FDD"/>
    <w:rsid w:val="00822B59"/>
    <w:rsid w:val="00822FF0"/>
    <w:rsid w:val="00823381"/>
    <w:rsid w:val="0082461C"/>
    <w:rsid w:val="0082533D"/>
    <w:rsid w:val="0082589F"/>
    <w:rsid w:val="0082675C"/>
    <w:rsid w:val="008274ED"/>
    <w:rsid w:val="00827894"/>
    <w:rsid w:val="00827F71"/>
    <w:rsid w:val="00830C32"/>
    <w:rsid w:val="00830ED0"/>
    <w:rsid w:val="008311B3"/>
    <w:rsid w:val="00831244"/>
    <w:rsid w:val="00831704"/>
    <w:rsid w:val="00831A1F"/>
    <w:rsid w:val="00831CBE"/>
    <w:rsid w:val="008322E3"/>
    <w:rsid w:val="0083284F"/>
    <w:rsid w:val="00833EE4"/>
    <w:rsid w:val="00834238"/>
    <w:rsid w:val="00835117"/>
    <w:rsid w:val="00835120"/>
    <w:rsid w:val="00835919"/>
    <w:rsid w:val="0083744A"/>
    <w:rsid w:val="00837821"/>
    <w:rsid w:val="00837A88"/>
    <w:rsid w:val="008402A5"/>
    <w:rsid w:val="00840BD6"/>
    <w:rsid w:val="008410CD"/>
    <w:rsid w:val="0084144F"/>
    <w:rsid w:val="00841622"/>
    <w:rsid w:val="00841F05"/>
    <w:rsid w:val="0084268F"/>
    <w:rsid w:val="00843729"/>
    <w:rsid w:val="00843B5D"/>
    <w:rsid w:val="00843B95"/>
    <w:rsid w:val="008445ED"/>
    <w:rsid w:val="0084533B"/>
    <w:rsid w:val="00846243"/>
    <w:rsid w:val="00846A60"/>
    <w:rsid w:val="008475F7"/>
    <w:rsid w:val="0084776D"/>
    <w:rsid w:val="0084786B"/>
    <w:rsid w:val="00847A43"/>
    <w:rsid w:val="008502F3"/>
    <w:rsid w:val="008510FA"/>
    <w:rsid w:val="00851B01"/>
    <w:rsid w:val="00851C1A"/>
    <w:rsid w:val="00851E83"/>
    <w:rsid w:val="00851EF2"/>
    <w:rsid w:val="00851FB7"/>
    <w:rsid w:val="00852DC3"/>
    <w:rsid w:val="00853031"/>
    <w:rsid w:val="00853614"/>
    <w:rsid w:val="00853AD9"/>
    <w:rsid w:val="008542F2"/>
    <w:rsid w:val="0085463C"/>
    <w:rsid w:val="008554BC"/>
    <w:rsid w:val="008559CE"/>
    <w:rsid w:val="00855D09"/>
    <w:rsid w:val="008567A9"/>
    <w:rsid w:val="00856FB3"/>
    <w:rsid w:val="00860EFB"/>
    <w:rsid w:val="008610DE"/>
    <w:rsid w:val="008612B9"/>
    <w:rsid w:val="008614B0"/>
    <w:rsid w:val="008617C5"/>
    <w:rsid w:val="00861E65"/>
    <w:rsid w:val="00862530"/>
    <w:rsid w:val="0086283F"/>
    <w:rsid w:val="00863B05"/>
    <w:rsid w:val="00863C2C"/>
    <w:rsid w:val="00863CFF"/>
    <w:rsid w:val="00864877"/>
    <w:rsid w:val="00865C81"/>
    <w:rsid w:val="00866B88"/>
    <w:rsid w:val="00866BEF"/>
    <w:rsid w:val="00866C06"/>
    <w:rsid w:val="00867131"/>
    <w:rsid w:val="008672D3"/>
    <w:rsid w:val="00867419"/>
    <w:rsid w:val="00867D56"/>
    <w:rsid w:val="008704C6"/>
    <w:rsid w:val="008711E1"/>
    <w:rsid w:val="00872C2F"/>
    <w:rsid w:val="0087305A"/>
    <w:rsid w:val="00874C7D"/>
    <w:rsid w:val="00874D22"/>
    <w:rsid w:val="008759AE"/>
    <w:rsid w:val="008759F4"/>
    <w:rsid w:val="00875CB3"/>
    <w:rsid w:val="00876A4C"/>
    <w:rsid w:val="00876FC8"/>
    <w:rsid w:val="00877F5A"/>
    <w:rsid w:val="008801F2"/>
    <w:rsid w:val="008807C1"/>
    <w:rsid w:val="0088168D"/>
    <w:rsid w:val="0088177A"/>
    <w:rsid w:val="008823F8"/>
    <w:rsid w:val="00883B08"/>
    <w:rsid w:val="00883CFD"/>
    <w:rsid w:val="00884F8F"/>
    <w:rsid w:val="00885AFC"/>
    <w:rsid w:val="008860A6"/>
    <w:rsid w:val="008860A9"/>
    <w:rsid w:val="008869DB"/>
    <w:rsid w:val="00886A3B"/>
    <w:rsid w:val="00886A7B"/>
    <w:rsid w:val="00886C18"/>
    <w:rsid w:val="008871DB"/>
    <w:rsid w:val="00887202"/>
    <w:rsid w:val="0088751E"/>
    <w:rsid w:val="0089065C"/>
    <w:rsid w:val="00890F60"/>
    <w:rsid w:val="00891EE8"/>
    <w:rsid w:val="0089385C"/>
    <w:rsid w:val="00893FEC"/>
    <w:rsid w:val="00895763"/>
    <w:rsid w:val="00896A2D"/>
    <w:rsid w:val="00896E63"/>
    <w:rsid w:val="008A0861"/>
    <w:rsid w:val="008A0D5A"/>
    <w:rsid w:val="008A0F87"/>
    <w:rsid w:val="008A1DD7"/>
    <w:rsid w:val="008A229D"/>
    <w:rsid w:val="008A2914"/>
    <w:rsid w:val="008A3612"/>
    <w:rsid w:val="008A3E22"/>
    <w:rsid w:val="008A3FF7"/>
    <w:rsid w:val="008A42F3"/>
    <w:rsid w:val="008A432F"/>
    <w:rsid w:val="008A4415"/>
    <w:rsid w:val="008A4BA9"/>
    <w:rsid w:val="008A623A"/>
    <w:rsid w:val="008A6387"/>
    <w:rsid w:val="008A6971"/>
    <w:rsid w:val="008B0A35"/>
    <w:rsid w:val="008B1432"/>
    <w:rsid w:val="008B1662"/>
    <w:rsid w:val="008B276A"/>
    <w:rsid w:val="008B2C8B"/>
    <w:rsid w:val="008B31F3"/>
    <w:rsid w:val="008B3E78"/>
    <w:rsid w:val="008B3FD7"/>
    <w:rsid w:val="008B43E8"/>
    <w:rsid w:val="008B47A6"/>
    <w:rsid w:val="008B4A22"/>
    <w:rsid w:val="008B4A45"/>
    <w:rsid w:val="008B4A83"/>
    <w:rsid w:val="008B5F04"/>
    <w:rsid w:val="008B601D"/>
    <w:rsid w:val="008B6D00"/>
    <w:rsid w:val="008B7A0B"/>
    <w:rsid w:val="008B7EE0"/>
    <w:rsid w:val="008C07CD"/>
    <w:rsid w:val="008C0D1F"/>
    <w:rsid w:val="008C111E"/>
    <w:rsid w:val="008C11D4"/>
    <w:rsid w:val="008C1C20"/>
    <w:rsid w:val="008C24CC"/>
    <w:rsid w:val="008C27AF"/>
    <w:rsid w:val="008C27F6"/>
    <w:rsid w:val="008C296A"/>
    <w:rsid w:val="008C318B"/>
    <w:rsid w:val="008C3411"/>
    <w:rsid w:val="008C4386"/>
    <w:rsid w:val="008C4D5C"/>
    <w:rsid w:val="008C51E5"/>
    <w:rsid w:val="008C5461"/>
    <w:rsid w:val="008C547F"/>
    <w:rsid w:val="008C56DC"/>
    <w:rsid w:val="008C7057"/>
    <w:rsid w:val="008C7CA6"/>
    <w:rsid w:val="008D07FD"/>
    <w:rsid w:val="008D09D5"/>
    <w:rsid w:val="008D2675"/>
    <w:rsid w:val="008D2A22"/>
    <w:rsid w:val="008D2FD8"/>
    <w:rsid w:val="008D34BD"/>
    <w:rsid w:val="008D3882"/>
    <w:rsid w:val="008D4273"/>
    <w:rsid w:val="008D52A3"/>
    <w:rsid w:val="008D5377"/>
    <w:rsid w:val="008D5CAE"/>
    <w:rsid w:val="008D5DB2"/>
    <w:rsid w:val="008D5ED1"/>
    <w:rsid w:val="008D66C6"/>
    <w:rsid w:val="008D66E0"/>
    <w:rsid w:val="008D725D"/>
    <w:rsid w:val="008D748D"/>
    <w:rsid w:val="008E08A8"/>
    <w:rsid w:val="008E08F3"/>
    <w:rsid w:val="008E0CCD"/>
    <w:rsid w:val="008E164F"/>
    <w:rsid w:val="008E198D"/>
    <w:rsid w:val="008E28FB"/>
    <w:rsid w:val="008E414E"/>
    <w:rsid w:val="008E4279"/>
    <w:rsid w:val="008E4D8E"/>
    <w:rsid w:val="008E4DA1"/>
    <w:rsid w:val="008E4E53"/>
    <w:rsid w:val="008E5132"/>
    <w:rsid w:val="008E531D"/>
    <w:rsid w:val="008F0242"/>
    <w:rsid w:val="008F07B1"/>
    <w:rsid w:val="008F173F"/>
    <w:rsid w:val="008F1BEA"/>
    <w:rsid w:val="008F2789"/>
    <w:rsid w:val="008F4209"/>
    <w:rsid w:val="008F7205"/>
    <w:rsid w:val="00900ED2"/>
    <w:rsid w:val="00901836"/>
    <w:rsid w:val="00901E86"/>
    <w:rsid w:val="00901EC1"/>
    <w:rsid w:val="00902120"/>
    <w:rsid w:val="0090267C"/>
    <w:rsid w:val="00902BE8"/>
    <w:rsid w:val="00904113"/>
    <w:rsid w:val="009043A0"/>
    <w:rsid w:val="00904B44"/>
    <w:rsid w:val="0090514D"/>
    <w:rsid w:val="00906A43"/>
    <w:rsid w:val="00906AC8"/>
    <w:rsid w:val="00906C86"/>
    <w:rsid w:val="00906D1D"/>
    <w:rsid w:val="0090722A"/>
    <w:rsid w:val="00907300"/>
    <w:rsid w:val="00907E5A"/>
    <w:rsid w:val="009102DC"/>
    <w:rsid w:val="009105B6"/>
    <w:rsid w:val="00910646"/>
    <w:rsid w:val="00911721"/>
    <w:rsid w:val="00911AAA"/>
    <w:rsid w:val="00911B2A"/>
    <w:rsid w:val="00911FDF"/>
    <w:rsid w:val="0091214F"/>
    <w:rsid w:val="00912291"/>
    <w:rsid w:val="00912551"/>
    <w:rsid w:val="00912D53"/>
    <w:rsid w:val="0091343F"/>
    <w:rsid w:val="00913ADD"/>
    <w:rsid w:val="00913D1C"/>
    <w:rsid w:val="00915881"/>
    <w:rsid w:val="00916227"/>
    <w:rsid w:val="0091624E"/>
    <w:rsid w:val="00916473"/>
    <w:rsid w:val="00916C46"/>
    <w:rsid w:val="009201BD"/>
    <w:rsid w:val="00920387"/>
    <w:rsid w:val="0092123D"/>
    <w:rsid w:val="0092180B"/>
    <w:rsid w:val="00921880"/>
    <w:rsid w:val="009219B9"/>
    <w:rsid w:val="0092227D"/>
    <w:rsid w:val="00923054"/>
    <w:rsid w:val="00923BCD"/>
    <w:rsid w:val="00924E75"/>
    <w:rsid w:val="00925154"/>
    <w:rsid w:val="009252AC"/>
    <w:rsid w:val="00925BFB"/>
    <w:rsid w:val="009272B0"/>
    <w:rsid w:val="00930633"/>
    <w:rsid w:val="00930989"/>
    <w:rsid w:val="00930AE8"/>
    <w:rsid w:val="0093115D"/>
    <w:rsid w:val="009323A0"/>
    <w:rsid w:val="009335C1"/>
    <w:rsid w:val="00933F2F"/>
    <w:rsid w:val="00934B13"/>
    <w:rsid w:val="009355C2"/>
    <w:rsid w:val="0094095F"/>
    <w:rsid w:val="00943887"/>
    <w:rsid w:val="00945A1F"/>
    <w:rsid w:val="00945DDA"/>
    <w:rsid w:val="00946A52"/>
    <w:rsid w:val="00946D3D"/>
    <w:rsid w:val="009470CE"/>
    <w:rsid w:val="00947277"/>
    <w:rsid w:val="00947312"/>
    <w:rsid w:val="00947D06"/>
    <w:rsid w:val="00950858"/>
    <w:rsid w:val="00950E30"/>
    <w:rsid w:val="0095114C"/>
    <w:rsid w:val="0095161E"/>
    <w:rsid w:val="009516EB"/>
    <w:rsid w:val="00951F71"/>
    <w:rsid w:val="00952090"/>
    <w:rsid w:val="00952E53"/>
    <w:rsid w:val="009543A4"/>
    <w:rsid w:val="009549C2"/>
    <w:rsid w:val="0095597E"/>
    <w:rsid w:val="00955E3D"/>
    <w:rsid w:val="0095648D"/>
    <w:rsid w:val="009572FA"/>
    <w:rsid w:val="00957F3A"/>
    <w:rsid w:val="009604FD"/>
    <w:rsid w:val="00960579"/>
    <w:rsid w:val="00960A46"/>
    <w:rsid w:val="00960B22"/>
    <w:rsid w:val="009615CB"/>
    <w:rsid w:val="00961C18"/>
    <w:rsid w:val="009625F2"/>
    <w:rsid w:val="00962F90"/>
    <w:rsid w:val="0096479D"/>
    <w:rsid w:val="00964B9B"/>
    <w:rsid w:val="009651AA"/>
    <w:rsid w:val="009651CF"/>
    <w:rsid w:val="00967FF6"/>
    <w:rsid w:val="00970EE0"/>
    <w:rsid w:val="009711F9"/>
    <w:rsid w:val="0097153C"/>
    <w:rsid w:val="009731A0"/>
    <w:rsid w:val="00973751"/>
    <w:rsid w:val="009744BC"/>
    <w:rsid w:val="00974633"/>
    <w:rsid w:val="009761DC"/>
    <w:rsid w:val="009768E6"/>
    <w:rsid w:val="00976A95"/>
    <w:rsid w:val="009774A4"/>
    <w:rsid w:val="00977703"/>
    <w:rsid w:val="00980183"/>
    <w:rsid w:val="009809C4"/>
    <w:rsid w:val="00980BD1"/>
    <w:rsid w:val="009811AF"/>
    <w:rsid w:val="00981284"/>
    <w:rsid w:val="00981A13"/>
    <w:rsid w:val="009821D1"/>
    <w:rsid w:val="009823DE"/>
    <w:rsid w:val="009842E9"/>
    <w:rsid w:val="00984F2D"/>
    <w:rsid w:val="00985CEA"/>
    <w:rsid w:val="00986C7D"/>
    <w:rsid w:val="00987066"/>
    <w:rsid w:val="00987E74"/>
    <w:rsid w:val="009900A2"/>
    <w:rsid w:val="009904A4"/>
    <w:rsid w:val="009905CA"/>
    <w:rsid w:val="0099135E"/>
    <w:rsid w:val="00991448"/>
    <w:rsid w:val="00991DA2"/>
    <w:rsid w:val="00991F65"/>
    <w:rsid w:val="009920C7"/>
    <w:rsid w:val="009929BE"/>
    <w:rsid w:val="00993A73"/>
    <w:rsid w:val="00994641"/>
    <w:rsid w:val="009946A2"/>
    <w:rsid w:val="00994EEC"/>
    <w:rsid w:val="0099507F"/>
    <w:rsid w:val="009951D2"/>
    <w:rsid w:val="009960EC"/>
    <w:rsid w:val="009967DE"/>
    <w:rsid w:val="00996B06"/>
    <w:rsid w:val="0099768D"/>
    <w:rsid w:val="00997C2B"/>
    <w:rsid w:val="00997FC2"/>
    <w:rsid w:val="009A0A2B"/>
    <w:rsid w:val="009A0F05"/>
    <w:rsid w:val="009A0F8F"/>
    <w:rsid w:val="009A0FBD"/>
    <w:rsid w:val="009A1384"/>
    <w:rsid w:val="009A159F"/>
    <w:rsid w:val="009A17AE"/>
    <w:rsid w:val="009A1B9D"/>
    <w:rsid w:val="009A1D0E"/>
    <w:rsid w:val="009A2AAB"/>
    <w:rsid w:val="009A32E7"/>
    <w:rsid w:val="009A3347"/>
    <w:rsid w:val="009A35A2"/>
    <w:rsid w:val="009A3EE4"/>
    <w:rsid w:val="009A5241"/>
    <w:rsid w:val="009A5660"/>
    <w:rsid w:val="009A6556"/>
    <w:rsid w:val="009A6A2B"/>
    <w:rsid w:val="009A6C79"/>
    <w:rsid w:val="009B0B4A"/>
    <w:rsid w:val="009B100C"/>
    <w:rsid w:val="009B1895"/>
    <w:rsid w:val="009B1F45"/>
    <w:rsid w:val="009B1FA6"/>
    <w:rsid w:val="009B2402"/>
    <w:rsid w:val="009B246D"/>
    <w:rsid w:val="009B2EC3"/>
    <w:rsid w:val="009B3577"/>
    <w:rsid w:val="009B3806"/>
    <w:rsid w:val="009B38C2"/>
    <w:rsid w:val="009B3DEB"/>
    <w:rsid w:val="009B528D"/>
    <w:rsid w:val="009B571B"/>
    <w:rsid w:val="009B5A60"/>
    <w:rsid w:val="009B62FB"/>
    <w:rsid w:val="009B6C3D"/>
    <w:rsid w:val="009B7204"/>
    <w:rsid w:val="009B7F0C"/>
    <w:rsid w:val="009C0898"/>
    <w:rsid w:val="009C1355"/>
    <w:rsid w:val="009C1989"/>
    <w:rsid w:val="009C1DDF"/>
    <w:rsid w:val="009C2C0B"/>
    <w:rsid w:val="009C3249"/>
    <w:rsid w:val="009C3541"/>
    <w:rsid w:val="009C379A"/>
    <w:rsid w:val="009C38F5"/>
    <w:rsid w:val="009C3B9D"/>
    <w:rsid w:val="009C4073"/>
    <w:rsid w:val="009C491E"/>
    <w:rsid w:val="009C53FE"/>
    <w:rsid w:val="009C5E67"/>
    <w:rsid w:val="009C60CE"/>
    <w:rsid w:val="009C6816"/>
    <w:rsid w:val="009C6CA5"/>
    <w:rsid w:val="009C6F6B"/>
    <w:rsid w:val="009C7963"/>
    <w:rsid w:val="009C7DD5"/>
    <w:rsid w:val="009D0789"/>
    <w:rsid w:val="009D0C4C"/>
    <w:rsid w:val="009D0F03"/>
    <w:rsid w:val="009D19FC"/>
    <w:rsid w:val="009D1BEA"/>
    <w:rsid w:val="009D1F4D"/>
    <w:rsid w:val="009D33BA"/>
    <w:rsid w:val="009D42A5"/>
    <w:rsid w:val="009D42B7"/>
    <w:rsid w:val="009D44E0"/>
    <w:rsid w:val="009D4506"/>
    <w:rsid w:val="009D500D"/>
    <w:rsid w:val="009D5CC9"/>
    <w:rsid w:val="009D6B03"/>
    <w:rsid w:val="009D6ED8"/>
    <w:rsid w:val="009D70CB"/>
    <w:rsid w:val="009D78B6"/>
    <w:rsid w:val="009E15A1"/>
    <w:rsid w:val="009E1E11"/>
    <w:rsid w:val="009E2FAE"/>
    <w:rsid w:val="009E3ADE"/>
    <w:rsid w:val="009E3D45"/>
    <w:rsid w:val="009E40C6"/>
    <w:rsid w:val="009E58FB"/>
    <w:rsid w:val="009E59DD"/>
    <w:rsid w:val="009E6363"/>
    <w:rsid w:val="009E65CC"/>
    <w:rsid w:val="009E6646"/>
    <w:rsid w:val="009E6667"/>
    <w:rsid w:val="009E6B8D"/>
    <w:rsid w:val="009E6C9D"/>
    <w:rsid w:val="009E6E29"/>
    <w:rsid w:val="009E6F27"/>
    <w:rsid w:val="009E7FC4"/>
    <w:rsid w:val="009F0BFD"/>
    <w:rsid w:val="009F16A0"/>
    <w:rsid w:val="009F1715"/>
    <w:rsid w:val="009F1F5C"/>
    <w:rsid w:val="009F24C4"/>
    <w:rsid w:val="009F3AAA"/>
    <w:rsid w:val="009F3AB1"/>
    <w:rsid w:val="009F3BDF"/>
    <w:rsid w:val="009F4604"/>
    <w:rsid w:val="009F4F2B"/>
    <w:rsid w:val="009F5293"/>
    <w:rsid w:val="009F593C"/>
    <w:rsid w:val="009F6104"/>
    <w:rsid w:val="009F66D8"/>
    <w:rsid w:val="009F72A8"/>
    <w:rsid w:val="00A00775"/>
    <w:rsid w:val="00A01995"/>
    <w:rsid w:val="00A01A24"/>
    <w:rsid w:val="00A0231E"/>
    <w:rsid w:val="00A02A64"/>
    <w:rsid w:val="00A02E61"/>
    <w:rsid w:val="00A02F32"/>
    <w:rsid w:val="00A033ED"/>
    <w:rsid w:val="00A04CE4"/>
    <w:rsid w:val="00A05EFC"/>
    <w:rsid w:val="00A06952"/>
    <w:rsid w:val="00A06D2E"/>
    <w:rsid w:val="00A074FA"/>
    <w:rsid w:val="00A07C65"/>
    <w:rsid w:val="00A1062B"/>
    <w:rsid w:val="00A123B3"/>
    <w:rsid w:val="00A12424"/>
    <w:rsid w:val="00A12622"/>
    <w:rsid w:val="00A12FB2"/>
    <w:rsid w:val="00A132CA"/>
    <w:rsid w:val="00A13654"/>
    <w:rsid w:val="00A13A84"/>
    <w:rsid w:val="00A141EE"/>
    <w:rsid w:val="00A14766"/>
    <w:rsid w:val="00A14CC1"/>
    <w:rsid w:val="00A15892"/>
    <w:rsid w:val="00A15F26"/>
    <w:rsid w:val="00A16518"/>
    <w:rsid w:val="00A167AC"/>
    <w:rsid w:val="00A17643"/>
    <w:rsid w:val="00A21480"/>
    <w:rsid w:val="00A224B0"/>
    <w:rsid w:val="00A22677"/>
    <w:rsid w:val="00A2288A"/>
    <w:rsid w:val="00A23560"/>
    <w:rsid w:val="00A23F39"/>
    <w:rsid w:val="00A242A6"/>
    <w:rsid w:val="00A2497A"/>
    <w:rsid w:val="00A24B92"/>
    <w:rsid w:val="00A25831"/>
    <w:rsid w:val="00A25C85"/>
    <w:rsid w:val="00A263C4"/>
    <w:rsid w:val="00A26669"/>
    <w:rsid w:val="00A268B1"/>
    <w:rsid w:val="00A26D7C"/>
    <w:rsid w:val="00A30071"/>
    <w:rsid w:val="00A3077C"/>
    <w:rsid w:val="00A30CEA"/>
    <w:rsid w:val="00A30D6B"/>
    <w:rsid w:val="00A319B2"/>
    <w:rsid w:val="00A31F58"/>
    <w:rsid w:val="00A3273A"/>
    <w:rsid w:val="00A32CDE"/>
    <w:rsid w:val="00A3347C"/>
    <w:rsid w:val="00A33A17"/>
    <w:rsid w:val="00A34E29"/>
    <w:rsid w:val="00A356FE"/>
    <w:rsid w:val="00A3766E"/>
    <w:rsid w:val="00A40771"/>
    <w:rsid w:val="00A40800"/>
    <w:rsid w:val="00A415E8"/>
    <w:rsid w:val="00A4160C"/>
    <w:rsid w:val="00A41B8B"/>
    <w:rsid w:val="00A41D69"/>
    <w:rsid w:val="00A43090"/>
    <w:rsid w:val="00A43E97"/>
    <w:rsid w:val="00A44ABD"/>
    <w:rsid w:val="00A44CBD"/>
    <w:rsid w:val="00A451BF"/>
    <w:rsid w:val="00A45F33"/>
    <w:rsid w:val="00A45FB8"/>
    <w:rsid w:val="00A463D7"/>
    <w:rsid w:val="00A46ECE"/>
    <w:rsid w:val="00A471B8"/>
    <w:rsid w:val="00A471DF"/>
    <w:rsid w:val="00A505F6"/>
    <w:rsid w:val="00A52836"/>
    <w:rsid w:val="00A54931"/>
    <w:rsid w:val="00A554A4"/>
    <w:rsid w:val="00A55DB7"/>
    <w:rsid w:val="00A55FAD"/>
    <w:rsid w:val="00A563A4"/>
    <w:rsid w:val="00A5663F"/>
    <w:rsid w:val="00A566F9"/>
    <w:rsid w:val="00A56A71"/>
    <w:rsid w:val="00A56D6F"/>
    <w:rsid w:val="00A57F8E"/>
    <w:rsid w:val="00A600AD"/>
    <w:rsid w:val="00A60F8F"/>
    <w:rsid w:val="00A610A6"/>
    <w:rsid w:val="00A61243"/>
    <w:rsid w:val="00A61879"/>
    <w:rsid w:val="00A62007"/>
    <w:rsid w:val="00A63313"/>
    <w:rsid w:val="00A63C84"/>
    <w:rsid w:val="00A640C4"/>
    <w:rsid w:val="00A6476C"/>
    <w:rsid w:val="00A64863"/>
    <w:rsid w:val="00A649FA"/>
    <w:rsid w:val="00A64A27"/>
    <w:rsid w:val="00A6528E"/>
    <w:rsid w:val="00A6554A"/>
    <w:rsid w:val="00A65F02"/>
    <w:rsid w:val="00A66001"/>
    <w:rsid w:val="00A677C2"/>
    <w:rsid w:val="00A70507"/>
    <w:rsid w:val="00A7071B"/>
    <w:rsid w:val="00A7080C"/>
    <w:rsid w:val="00A70DEE"/>
    <w:rsid w:val="00A70FEA"/>
    <w:rsid w:val="00A71885"/>
    <w:rsid w:val="00A7189E"/>
    <w:rsid w:val="00A71C48"/>
    <w:rsid w:val="00A71F90"/>
    <w:rsid w:val="00A724E7"/>
    <w:rsid w:val="00A7313C"/>
    <w:rsid w:val="00A731F0"/>
    <w:rsid w:val="00A7347E"/>
    <w:rsid w:val="00A73682"/>
    <w:rsid w:val="00A73932"/>
    <w:rsid w:val="00A73E11"/>
    <w:rsid w:val="00A743EF"/>
    <w:rsid w:val="00A7551F"/>
    <w:rsid w:val="00A761AB"/>
    <w:rsid w:val="00A76CC6"/>
    <w:rsid w:val="00A76E37"/>
    <w:rsid w:val="00A77039"/>
    <w:rsid w:val="00A8208D"/>
    <w:rsid w:val="00A829E2"/>
    <w:rsid w:val="00A82FDA"/>
    <w:rsid w:val="00A832D4"/>
    <w:rsid w:val="00A83A2E"/>
    <w:rsid w:val="00A84149"/>
    <w:rsid w:val="00A8443F"/>
    <w:rsid w:val="00A84BFE"/>
    <w:rsid w:val="00A8514F"/>
    <w:rsid w:val="00A866BE"/>
    <w:rsid w:val="00A86974"/>
    <w:rsid w:val="00A86B2F"/>
    <w:rsid w:val="00A87247"/>
    <w:rsid w:val="00A876F5"/>
    <w:rsid w:val="00A87CDD"/>
    <w:rsid w:val="00A901B5"/>
    <w:rsid w:val="00A90681"/>
    <w:rsid w:val="00A90A7B"/>
    <w:rsid w:val="00A92311"/>
    <w:rsid w:val="00A924DC"/>
    <w:rsid w:val="00A92CB2"/>
    <w:rsid w:val="00A9420C"/>
    <w:rsid w:val="00A948F4"/>
    <w:rsid w:val="00A95876"/>
    <w:rsid w:val="00A9676E"/>
    <w:rsid w:val="00A9678F"/>
    <w:rsid w:val="00A96F94"/>
    <w:rsid w:val="00AA04F6"/>
    <w:rsid w:val="00AA05F3"/>
    <w:rsid w:val="00AA2894"/>
    <w:rsid w:val="00AA3C0D"/>
    <w:rsid w:val="00AA4043"/>
    <w:rsid w:val="00AA4432"/>
    <w:rsid w:val="00AA453B"/>
    <w:rsid w:val="00AA488A"/>
    <w:rsid w:val="00AA5094"/>
    <w:rsid w:val="00AA5120"/>
    <w:rsid w:val="00AA545C"/>
    <w:rsid w:val="00AA5BDD"/>
    <w:rsid w:val="00AA5E09"/>
    <w:rsid w:val="00AA62EA"/>
    <w:rsid w:val="00AA6F10"/>
    <w:rsid w:val="00AA73D0"/>
    <w:rsid w:val="00AA76B3"/>
    <w:rsid w:val="00AA7C76"/>
    <w:rsid w:val="00AB0392"/>
    <w:rsid w:val="00AB0E78"/>
    <w:rsid w:val="00AB225D"/>
    <w:rsid w:val="00AB29E6"/>
    <w:rsid w:val="00AB2F7E"/>
    <w:rsid w:val="00AB5D30"/>
    <w:rsid w:val="00AB5DCB"/>
    <w:rsid w:val="00AB6A1E"/>
    <w:rsid w:val="00AB7BA8"/>
    <w:rsid w:val="00AC1E21"/>
    <w:rsid w:val="00AC24E2"/>
    <w:rsid w:val="00AC30E3"/>
    <w:rsid w:val="00AC4424"/>
    <w:rsid w:val="00AC49B5"/>
    <w:rsid w:val="00AC4B14"/>
    <w:rsid w:val="00AC4EE4"/>
    <w:rsid w:val="00AC6242"/>
    <w:rsid w:val="00AC6845"/>
    <w:rsid w:val="00AC6D95"/>
    <w:rsid w:val="00AC7EDD"/>
    <w:rsid w:val="00AD0207"/>
    <w:rsid w:val="00AD0540"/>
    <w:rsid w:val="00AD0D8E"/>
    <w:rsid w:val="00AD12B4"/>
    <w:rsid w:val="00AD17DA"/>
    <w:rsid w:val="00AD2816"/>
    <w:rsid w:val="00AD2D98"/>
    <w:rsid w:val="00AD317F"/>
    <w:rsid w:val="00AD3683"/>
    <w:rsid w:val="00AD36E5"/>
    <w:rsid w:val="00AD3A31"/>
    <w:rsid w:val="00AD3CEE"/>
    <w:rsid w:val="00AD3F15"/>
    <w:rsid w:val="00AD55E1"/>
    <w:rsid w:val="00AD59C4"/>
    <w:rsid w:val="00AD5ED7"/>
    <w:rsid w:val="00AD60D4"/>
    <w:rsid w:val="00AD6436"/>
    <w:rsid w:val="00AD6685"/>
    <w:rsid w:val="00AD734E"/>
    <w:rsid w:val="00AD753E"/>
    <w:rsid w:val="00AD765D"/>
    <w:rsid w:val="00AD76A9"/>
    <w:rsid w:val="00AD7932"/>
    <w:rsid w:val="00AD79AA"/>
    <w:rsid w:val="00AE2832"/>
    <w:rsid w:val="00AE3DA6"/>
    <w:rsid w:val="00AE4F13"/>
    <w:rsid w:val="00AE5B73"/>
    <w:rsid w:val="00AE5E94"/>
    <w:rsid w:val="00AF0370"/>
    <w:rsid w:val="00AF041B"/>
    <w:rsid w:val="00AF07F4"/>
    <w:rsid w:val="00AF173A"/>
    <w:rsid w:val="00AF2385"/>
    <w:rsid w:val="00AF2608"/>
    <w:rsid w:val="00AF28B0"/>
    <w:rsid w:val="00AF32F9"/>
    <w:rsid w:val="00AF40E0"/>
    <w:rsid w:val="00AF42E7"/>
    <w:rsid w:val="00AF484E"/>
    <w:rsid w:val="00AF48DA"/>
    <w:rsid w:val="00AF4E48"/>
    <w:rsid w:val="00AF6474"/>
    <w:rsid w:val="00AF6546"/>
    <w:rsid w:val="00AF6EE8"/>
    <w:rsid w:val="00AF6F8A"/>
    <w:rsid w:val="00AF71AB"/>
    <w:rsid w:val="00AF7AF5"/>
    <w:rsid w:val="00AF7C69"/>
    <w:rsid w:val="00AF7F1A"/>
    <w:rsid w:val="00B00576"/>
    <w:rsid w:val="00B00AA2"/>
    <w:rsid w:val="00B01CF7"/>
    <w:rsid w:val="00B02507"/>
    <w:rsid w:val="00B02703"/>
    <w:rsid w:val="00B02EF9"/>
    <w:rsid w:val="00B02F3D"/>
    <w:rsid w:val="00B02F3E"/>
    <w:rsid w:val="00B04D03"/>
    <w:rsid w:val="00B04D07"/>
    <w:rsid w:val="00B06ED4"/>
    <w:rsid w:val="00B07130"/>
    <w:rsid w:val="00B07346"/>
    <w:rsid w:val="00B07DB6"/>
    <w:rsid w:val="00B1008B"/>
    <w:rsid w:val="00B10299"/>
    <w:rsid w:val="00B103E1"/>
    <w:rsid w:val="00B11F77"/>
    <w:rsid w:val="00B128EB"/>
    <w:rsid w:val="00B13D00"/>
    <w:rsid w:val="00B14413"/>
    <w:rsid w:val="00B1471A"/>
    <w:rsid w:val="00B157A0"/>
    <w:rsid w:val="00B15D95"/>
    <w:rsid w:val="00B167D6"/>
    <w:rsid w:val="00B2018D"/>
    <w:rsid w:val="00B20AB9"/>
    <w:rsid w:val="00B20F9C"/>
    <w:rsid w:val="00B215F6"/>
    <w:rsid w:val="00B21B36"/>
    <w:rsid w:val="00B22D7D"/>
    <w:rsid w:val="00B22FAB"/>
    <w:rsid w:val="00B23437"/>
    <w:rsid w:val="00B23773"/>
    <w:rsid w:val="00B24CDD"/>
    <w:rsid w:val="00B25ABF"/>
    <w:rsid w:val="00B25C59"/>
    <w:rsid w:val="00B27658"/>
    <w:rsid w:val="00B27908"/>
    <w:rsid w:val="00B2792E"/>
    <w:rsid w:val="00B3044A"/>
    <w:rsid w:val="00B306F0"/>
    <w:rsid w:val="00B3073C"/>
    <w:rsid w:val="00B314A9"/>
    <w:rsid w:val="00B31772"/>
    <w:rsid w:val="00B31CC2"/>
    <w:rsid w:val="00B32677"/>
    <w:rsid w:val="00B32C86"/>
    <w:rsid w:val="00B332BB"/>
    <w:rsid w:val="00B34AED"/>
    <w:rsid w:val="00B35D42"/>
    <w:rsid w:val="00B35E27"/>
    <w:rsid w:val="00B361FA"/>
    <w:rsid w:val="00B3643C"/>
    <w:rsid w:val="00B368CC"/>
    <w:rsid w:val="00B3692A"/>
    <w:rsid w:val="00B36B3C"/>
    <w:rsid w:val="00B36D02"/>
    <w:rsid w:val="00B37ABD"/>
    <w:rsid w:val="00B401B2"/>
    <w:rsid w:val="00B4035F"/>
    <w:rsid w:val="00B40F61"/>
    <w:rsid w:val="00B41D4E"/>
    <w:rsid w:val="00B42429"/>
    <w:rsid w:val="00B4255F"/>
    <w:rsid w:val="00B42946"/>
    <w:rsid w:val="00B43479"/>
    <w:rsid w:val="00B4371C"/>
    <w:rsid w:val="00B43BF6"/>
    <w:rsid w:val="00B465B7"/>
    <w:rsid w:val="00B46759"/>
    <w:rsid w:val="00B47A62"/>
    <w:rsid w:val="00B507EA"/>
    <w:rsid w:val="00B50CB0"/>
    <w:rsid w:val="00B52259"/>
    <w:rsid w:val="00B5269E"/>
    <w:rsid w:val="00B52819"/>
    <w:rsid w:val="00B5340E"/>
    <w:rsid w:val="00B53422"/>
    <w:rsid w:val="00B54621"/>
    <w:rsid w:val="00B5473C"/>
    <w:rsid w:val="00B566C2"/>
    <w:rsid w:val="00B5688F"/>
    <w:rsid w:val="00B571A1"/>
    <w:rsid w:val="00B578FB"/>
    <w:rsid w:val="00B60956"/>
    <w:rsid w:val="00B60CD4"/>
    <w:rsid w:val="00B60DC7"/>
    <w:rsid w:val="00B60EE5"/>
    <w:rsid w:val="00B612D9"/>
    <w:rsid w:val="00B626C0"/>
    <w:rsid w:val="00B632C1"/>
    <w:rsid w:val="00B64045"/>
    <w:rsid w:val="00B64A0A"/>
    <w:rsid w:val="00B64EE0"/>
    <w:rsid w:val="00B664E7"/>
    <w:rsid w:val="00B66DC5"/>
    <w:rsid w:val="00B67A2E"/>
    <w:rsid w:val="00B70174"/>
    <w:rsid w:val="00B70843"/>
    <w:rsid w:val="00B70AB2"/>
    <w:rsid w:val="00B710DC"/>
    <w:rsid w:val="00B71302"/>
    <w:rsid w:val="00B722B7"/>
    <w:rsid w:val="00B73029"/>
    <w:rsid w:val="00B74174"/>
    <w:rsid w:val="00B7419D"/>
    <w:rsid w:val="00B76203"/>
    <w:rsid w:val="00B7627B"/>
    <w:rsid w:val="00B76BDB"/>
    <w:rsid w:val="00B76F01"/>
    <w:rsid w:val="00B7762E"/>
    <w:rsid w:val="00B80536"/>
    <w:rsid w:val="00B808A9"/>
    <w:rsid w:val="00B819F3"/>
    <w:rsid w:val="00B82843"/>
    <w:rsid w:val="00B832FC"/>
    <w:rsid w:val="00B83CBE"/>
    <w:rsid w:val="00B846BA"/>
    <w:rsid w:val="00B84E52"/>
    <w:rsid w:val="00B850BF"/>
    <w:rsid w:val="00B852A7"/>
    <w:rsid w:val="00B85E9A"/>
    <w:rsid w:val="00B85FC6"/>
    <w:rsid w:val="00B87BD0"/>
    <w:rsid w:val="00B87C39"/>
    <w:rsid w:val="00B87F43"/>
    <w:rsid w:val="00B908D0"/>
    <w:rsid w:val="00B91B69"/>
    <w:rsid w:val="00B92D59"/>
    <w:rsid w:val="00B92FE4"/>
    <w:rsid w:val="00B93539"/>
    <w:rsid w:val="00B93FF8"/>
    <w:rsid w:val="00B9406A"/>
    <w:rsid w:val="00B95DBC"/>
    <w:rsid w:val="00B963EC"/>
    <w:rsid w:val="00B9657C"/>
    <w:rsid w:val="00B96B3F"/>
    <w:rsid w:val="00B96D3D"/>
    <w:rsid w:val="00B96E4E"/>
    <w:rsid w:val="00B970F9"/>
    <w:rsid w:val="00B972A0"/>
    <w:rsid w:val="00B975B9"/>
    <w:rsid w:val="00B97E58"/>
    <w:rsid w:val="00BA0851"/>
    <w:rsid w:val="00BA100E"/>
    <w:rsid w:val="00BA1706"/>
    <w:rsid w:val="00BA1972"/>
    <w:rsid w:val="00BA2D42"/>
    <w:rsid w:val="00BA36E2"/>
    <w:rsid w:val="00BA3B62"/>
    <w:rsid w:val="00BA3E7F"/>
    <w:rsid w:val="00BA4054"/>
    <w:rsid w:val="00BA485E"/>
    <w:rsid w:val="00BA4C14"/>
    <w:rsid w:val="00BA4D54"/>
    <w:rsid w:val="00BA4EB9"/>
    <w:rsid w:val="00BA5C69"/>
    <w:rsid w:val="00BA62EE"/>
    <w:rsid w:val="00BA693C"/>
    <w:rsid w:val="00BA7646"/>
    <w:rsid w:val="00BA7941"/>
    <w:rsid w:val="00BA7FC9"/>
    <w:rsid w:val="00BB0389"/>
    <w:rsid w:val="00BB041B"/>
    <w:rsid w:val="00BB0AE6"/>
    <w:rsid w:val="00BB0C72"/>
    <w:rsid w:val="00BB1298"/>
    <w:rsid w:val="00BB1397"/>
    <w:rsid w:val="00BB189D"/>
    <w:rsid w:val="00BB1AB9"/>
    <w:rsid w:val="00BB24EA"/>
    <w:rsid w:val="00BB4D77"/>
    <w:rsid w:val="00BB4E4E"/>
    <w:rsid w:val="00BB5EFE"/>
    <w:rsid w:val="00BB630B"/>
    <w:rsid w:val="00BB7D40"/>
    <w:rsid w:val="00BC0F3D"/>
    <w:rsid w:val="00BC124D"/>
    <w:rsid w:val="00BC12C1"/>
    <w:rsid w:val="00BC1CC1"/>
    <w:rsid w:val="00BC1E59"/>
    <w:rsid w:val="00BC27EA"/>
    <w:rsid w:val="00BC409B"/>
    <w:rsid w:val="00BC55FC"/>
    <w:rsid w:val="00BC59AE"/>
    <w:rsid w:val="00BC5CC7"/>
    <w:rsid w:val="00BC62F5"/>
    <w:rsid w:val="00BC639E"/>
    <w:rsid w:val="00BC6B2A"/>
    <w:rsid w:val="00BC6DD8"/>
    <w:rsid w:val="00BC717B"/>
    <w:rsid w:val="00BD141E"/>
    <w:rsid w:val="00BD14A4"/>
    <w:rsid w:val="00BD1650"/>
    <w:rsid w:val="00BD2303"/>
    <w:rsid w:val="00BD2464"/>
    <w:rsid w:val="00BD2822"/>
    <w:rsid w:val="00BD2D24"/>
    <w:rsid w:val="00BD3CA7"/>
    <w:rsid w:val="00BD43D2"/>
    <w:rsid w:val="00BD4BEC"/>
    <w:rsid w:val="00BD51E3"/>
    <w:rsid w:val="00BD578D"/>
    <w:rsid w:val="00BD673E"/>
    <w:rsid w:val="00BD70C9"/>
    <w:rsid w:val="00BD7B5D"/>
    <w:rsid w:val="00BE0193"/>
    <w:rsid w:val="00BE0B54"/>
    <w:rsid w:val="00BE1135"/>
    <w:rsid w:val="00BE1173"/>
    <w:rsid w:val="00BE2D36"/>
    <w:rsid w:val="00BE324C"/>
    <w:rsid w:val="00BE3DAE"/>
    <w:rsid w:val="00BE41D2"/>
    <w:rsid w:val="00BE4A3E"/>
    <w:rsid w:val="00BE4C42"/>
    <w:rsid w:val="00BE5FA0"/>
    <w:rsid w:val="00BE60CF"/>
    <w:rsid w:val="00BE644B"/>
    <w:rsid w:val="00BE6913"/>
    <w:rsid w:val="00BE7858"/>
    <w:rsid w:val="00BE7C2C"/>
    <w:rsid w:val="00BE7C36"/>
    <w:rsid w:val="00BF0FE4"/>
    <w:rsid w:val="00BF2D8C"/>
    <w:rsid w:val="00BF2F59"/>
    <w:rsid w:val="00BF375A"/>
    <w:rsid w:val="00BF3D49"/>
    <w:rsid w:val="00BF3F60"/>
    <w:rsid w:val="00BF3F6F"/>
    <w:rsid w:val="00BF4041"/>
    <w:rsid w:val="00BF4622"/>
    <w:rsid w:val="00BF4739"/>
    <w:rsid w:val="00BF4A82"/>
    <w:rsid w:val="00BF5811"/>
    <w:rsid w:val="00BF667E"/>
    <w:rsid w:val="00C0003A"/>
    <w:rsid w:val="00C009B6"/>
    <w:rsid w:val="00C01B32"/>
    <w:rsid w:val="00C021AB"/>
    <w:rsid w:val="00C0233B"/>
    <w:rsid w:val="00C028F9"/>
    <w:rsid w:val="00C03BB9"/>
    <w:rsid w:val="00C03D0E"/>
    <w:rsid w:val="00C045D8"/>
    <w:rsid w:val="00C04966"/>
    <w:rsid w:val="00C04A21"/>
    <w:rsid w:val="00C04CC7"/>
    <w:rsid w:val="00C053F3"/>
    <w:rsid w:val="00C05869"/>
    <w:rsid w:val="00C06B8B"/>
    <w:rsid w:val="00C06C47"/>
    <w:rsid w:val="00C07868"/>
    <w:rsid w:val="00C078D1"/>
    <w:rsid w:val="00C1017A"/>
    <w:rsid w:val="00C10C4A"/>
    <w:rsid w:val="00C10E1B"/>
    <w:rsid w:val="00C1126C"/>
    <w:rsid w:val="00C11339"/>
    <w:rsid w:val="00C11E49"/>
    <w:rsid w:val="00C12243"/>
    <w:rsid w:val="00C12301"/>
    <w:rsid w:val="00C12565"/>
    <w:rsid w:val="00C12B12"/>
    <w:rsid w:val="00C12BB2"/>
    <w:rsid w:val="00C137AC"/>
    <w:rsid w:val="00C143AB"/>
    <w:rsid w:val="00C145BB"/>
    <w:rsid w:val="00C151B9"/>
    <w:rsid w:val="00C15C87"/>
    <w:rsid w:val="00C15E7E"/>
    <w:rsid w:val="00C165B1"/>
    <w:rsid w:val="00C16952"/>
    <w:rsid w:val="00C16B9E"/>
    <w:rsid w:val="00C1703D"/>
    <w:rsid w:val="00C171CF"/>
    <w:rsid w:val="00C17FA0"/>
    <w:rsid w:val="00C201A0"/>
    <w:rsid w:val="00C201B2"/>
    <w:rsid w:val="00C20C1F"/>
    <w:rsid w:val="00C20C9A"/>
    <w:rsid w:val="00C21091"/>
    <w:rsid w:val="00C213DA"/>
    <w:rsid w:val="00C222B3"/>
    <w:rsid w:val="00C2360E"/>
    <w:rsid w:val="00C23A7A"/>
    <w:rsid w:val="00C23AB1"/>
    <w:rsid w:val="00C23ABF"/>
    <w:rsid w:val="00C2596A"/>
    <w:rsid w:val="00C262E9"/>
    <w:rsid w:val="00C267B8"/>
    <w:rsid w:val="00C274AF"/>
    <w:rsid w:val="00C27EA5"/>
    <w:rsid w:val="00C314D5"/>
    <w:rsid w:val="00C31A54"/>
    <w:rsid w:val="00C320EE"/>
    <w:rsid w:val="00C34070"/>
    <w:rsid w:val="00C340C5"/>
    <w:rsid w:val="00C344B9"/>
    <w:rsid w:val="00C34A40"/>
    <w:rsid w:val="00C34D1E"/>
    <w:rsid w:val="00C35C22"/>
    <w:rsid w:val="00C367E0"/>
    <w:rsid w:val="00C36CB8"/>
    <w:rsid w:val="00C36EBA"/>
    <w:rsid w:val="00C3702B"/>
    <w:rsid w:val="00C37971"/>
    <w:rsid w:val="00C37C3C"/>
    <w:rsid w:val="00C37EAB"/>
    <w:rsid w:val="00C40313"/>
    <w:rsid w:val="00C41BA7"/>
    <w:rsid w:val="00C41E37"/>
    <w:rsid w:val="00C42397"/>
    <w:rsid w:val="00C424BF"/>
    <w:rsid w:val="00C42EEF"/>
    <w:rsid w:val="00C443E0"/>
    <w:rsid w:val="00C44E27"/>
    <w:rsid w:val="00C4523F"/>
    <w:rsid w:val="00C45C5D"/>
    <w:rsid w:val="00C47E3C"/>
    <w:rsid w:val="00C502C7"/>
    <w:rsid w:val="00C5040B"/>
    <w:rsid w:val="00C50A41"/>
    <w:rsid w:val="00C51746"/>
    <w:rsid w:val="00C51A3F"/>
    <w:rsid w:val="00C51D3A"/>
    <w:rsid w:val="00C5236B"/>
    <w:rsid w:val="00C527E6"/>
    <w:rsid w:val="00C52D69"/>
    <w:rsid w:val="00C53A49"/>
    <w:rsid w:val="00C53D3F"/>
    <w:rsid w:val="00C53DF1"/>
    <w:rsid w:val="00C541B3"/>
    <w:rsid w:val="00C543CF"/>
    <w:rsid w:val="00C551EB"/>
    <w:rsid w:val="00C55ADA"/>
    <w:rsid w:val="00C572D8"/>
    <w:rsid w:val="00C6097C"/>
    <w:rsid w:val="00C636E0"/>
    <w:rsid w:val="00C639B1"/>
    <w:rsid w:val="00C63DD9"/>
    <w:rsid w:val="00C6402A"/>
    <w:rsid w:val="00C65E9E"/>
    <w:rsid w:val="00C66478"/>
    <w:rsid w:val="00C67941"/>
    <w:rsid w:val="00C709A2"/>
    <w:rsid w:val="00C7252F"/>
    <w:rsid w:val="00C7327F"/>
    <w:rsid w:val="00C73BC8"/>
    <w:rsid w:val="00C7445C"/>
    <w:rsid w:val="00C74671"/>
    <w:rsid w:val="00C747B2"/>
    <w:rsid w:val="00C75381"/>
    <w:rsid w:val="00C755BF"/>
    <w:rsid w:val="00C76796"/>
    <w:rsid w:val="00C76A25"/>
    <w:rsid w:val="00C77081"/>
    <w:rsid w:val="00C7778B"/>
    <w:rsid w:val="00C81355"/>
    <w:rsid w:val="00C839B0"/>
    <w:rsid w:val="00C83B76"/>
    <w:rsid w:val="00C84022"/>
    <w:rsid w:val="00C84363"/>
    <w:rsid w:val="00C853BA"/>
    <w:rsid w:val="00C860C5"/>
    <w:rsid w:val="00C87C04"/>
    <w:rsid w:val="00C87C86"/>
    <w:rsid w:val="00C87DED"/>
    <w:rsid w:val="00C90195"/>
    <w:rsid w:val="00C91505"/>
    <w:rsid w:val="00C91D3C"/>
    <w:rsid w:val="00C9287F"/>
    <w:rsid w:val="00C92A85"/>
    <w:rsid w:val="00C92ABB"/>
    <w:rsid w:val="00C92E55"/>
    <w:rsid w:val="00C93694"/>
    <w:rsid w:val="00C9415D"/>
    <w:rsid w:val="00C94F8E"/>
    <w:rsid w:val="00C95150"/>
    <w:rsid w:val="00C956B0"/>
    <w:rsid w:val="00C95797"/>
    <w:rsid w:val="00C95D0D"/>
    <w:rsid w:val="00C96368"/>
    <w:rsid w:val="00C96AF2"/>
    <w:rsid w:val="00C971CF"/>
    <w:rsid w:val="00CA0367"/>
    <w:rsid w:val="00CA08AA"/>
    <w:rsid w:val="00CA12DF"/>
    <w:rsid w:val="00CA180D"/>
    <w:rsid w:val="00CA2B49"/>
    <w:rsid w:val="00CA2C95"/>
    <w:rsid w:val="00CA3976"/>
    <w:rsid w:val="00CA468E"/>
    <w:rsid w:val="00CA4D33"/>
    <w:rsid w:val="00CA5015"/>
    <w:rsid w:val="00CA5969"/>
    <w:rsid w:val="00CA59CE"/>
    <w:rsid w:val="00CA5BBD"/>
    <w:rsid w:val="00CA6B75"/>
    <w:rsid w:val="00CA6DF9"/>
    <w:rsid w:val="00CA7D58"/>
    <w:rsid w:val="00CB01FC"/>
    <w:rsid w:val="00CB0444"/>
    <w:rsid w:val="00CB0620"/>
    <w:rsid w:val="00CB07B2"/>
    <w:rsid w:val="00CB0D8B"/>
    <w:rsid w:val="00CB3A56"/>
    <w:rsid w:val="00CB3ADB"/>
    <w:rsid w:val="00CB3B47"/>
    <w:rsid w:val="00CB3D61"/>
    <w:rsid w:val="00CB442C"/>
    <w:rsid w:val="00CB46A9"/>
    <w:rsid w:val="00CB4841"/>
    <w:rsid w:val="00CB6511"/>
    <w:rsid w:val="00CB68DC"/>
    <w:rsid w:val="00CB71EA"/>
    <w:rsid w:val="00CB78B7"/>
    <w:rsid w:val="00CB7B90"/>
    <w:rsid w:val="00CC0540"/>
    <w:rsid w:val="00CC0F46"/>
    <w:rsid w:val="00CC150B"/>
    <w:rsid w:val="00CC15FC"/>
    <w:rsid w:val="00CC3313"/>
    <w:rsid w:val="00CC37BB"/>
    <w:rsid w:val="00CC37CC"/>
    <w:rsid w:val="00CC38D2"/>
    <w:rsid w:val="00CC49E5"/>
    <w:rsid w:val="00CC4A50"/>
    <w:rsid w:val="00CC4B30"/>
    <w:rsid w:val="00CC505C"/>
    <w:rsid w:val="00CC7BDF"/>
    <w:rsid w:val="00CD0325"/>
    <w:rsid w:val="00CD04F0"/>
    <w:rsid w:val="00CD0C57"/>
    <w:rsid w:val="00CD1199"/>
    <w:rsid w:val="00CD289A"/>
    <w:rsid w:val="00CD35F2"/>
    <w:rsid w:val="00CD3BEB"/>
    <w:rsid w:val="00CD3D19"/>
    <w:rsid w:val="00CD40C0"/>
    <w:rsid w:val="00CD6CFC"/>
    <w:rsid w:val="00CD73C0"/>
    <w:rsid w:val="00CD748B"/>
    <w:rsid w:val="00CE024F"/>
    <w:rsid w:val="00CE04C1"/>
    <w:rsid w:val="00CE07BC"/>
    <w:rsid w:val="00CE09A6"/>
    <w:rsid w:val="00CE154F"/>
    <w:rsid w:val="00CE179C"/>
    <w:rsid w:val="00CE2439"/>
    <w:rsid w:val="00CE2581"/>
    <w:rsid w:val="00CE261A"/>
    <w:rsid w:val="00CE2B06"/>
    <w:rsid w:val="00CE41B4"/>
    <w:rsid w:val="00CE46FD"/>
    <w:rsid w:val="00CE4AC6"/>
    <w:rsid w:val="00CE52FE"/>
    <w:rsid w:val="00CE58A7"/>
    <w:rsid w:val="00CE620C"/>
    <w:rsid w:val="00CE63DF"/>
    <w:rsid w:val="00CE6D99"/>
    <w:rsid w:val="00CE755B"/>
    <w:rsid w:val="00CF0148"/>
    <w:rsid w:val="00CF0AD8"/>
    <w:rsid w:val="00CF0D05"/>
    <w:rsid w:val="00CF15D4"/>
    <w:rsid w:val="00CF1C1F"/>
    <w:rsid w:val="00CF236C"/>
    <w:rsid w:val="00CF23F1"/>
    <w:rsid w:val="00CF245D"/>
    <w:rsid w:val="00CF29FF"/>
    <w:rsid w:val="00CF3155"/>
    <w:rsid w:val="00CF49DF"/>
    <w:rsid w:val="00CF4D02"/>
    <w:rsid w:val="00CF55F4"/>
    <w:rsid w:val="00CF6C6E"/>
    <w:rsid w:val="00CF7454"/>
    <w:rsid w:val="00CF755E"/>
    <w:rsid w:val="00D015E0"/>
    <w:rsid w:val="00D02012"/>
    <w:rsid w:val="00D02B91"/>
    <w:rsid w:val="00D03315"/>
    <w:rsid w:val="00D0371B"/>
    <w:rsid w:val="00D04674"/>
    <w:rsid w:val="00D04B90"/>
    <w:rsid w:val="00D06130"/>
    <w:rsid w:val="00D071C2"/>
    <w:rsid w:val="00D1190B"/>
    <w:rsid w:val="00D12558"/>
    <w:rsid w:val="00D13020"/>
    <w:rsid w:val="00D147ED"/>
    <w:rsid w:val="00D14D92"/>
    <w:rsid w:val="00D1686F"/>
    <w:rsid w:val="00D17C74"/>
    <w:rsid w:val="00D20381"/>
    <w:rsid w:val="00D20471"/>
    <w:rsid w:val="00D20EDA"/>
    <w:rsid w:val="00D211F0"/>
    <w:rsid w:val="00D2137B"/>
    <w:rsid w:val="00D213F9"/>
    <w:rsid w:val="00D21463"/>
    <w:rsid w:val="00D2167E"/>
    <w:rsid w:val="00D21817"/>
    <w:rsid w:val="00D21905"/>
    <w:rsid w:val="00D225E8"/>
    <w:rsid w:val="00D22A65"/>
    <w:rsid w:val="00D22B57"/>
    <w:rsid w:val="00D23EDD"/>
    <w:rsid w:val="00D246CE"/>
    <w:rsid w:val="00D25224"/>
    <w:rsid w:val="00D25806"/>
    <w:rsid w:val="00D25E04"/>
    <w:rsid w:val="00D2637A"/>
    <w:rsid w:val="00D2731B"/>
    <w:rsid w:val="00D274DB"/>
    <w:rsid w:val="00D27C1F"/>
    <w:rsid w:val="00D32501"/>
    <w:rsid w:val="00D326EE"/>
    <w:rsid w:val="00D330AC"/>
    <w:rsid w:val="00D336E1"/>
    <w:rsid w:val="00D35B7E"/>
    <w:rsid w:val="00D36CB1"/>
    <w:rsid w:val="00D3765F"/>
    <w:rsid w:val="00D37EF8"/>
    <w:rsid w:val="00D40033"/>
    <w:rsid w:val="00D4014D"/>
    <w:rsid w:val="00D40319"/>
    <w:rsid w:val="00D4074E"/>
    <w:rsid w:val="00D40BD4"/>
    <w:rsid w:val="00D411F9"/>
    <w:rsid w:val="00D41408"/>
    <w:rsid w:val="00D418B9"/>
    <w:rsid w:val="00D419D8"/>
    <w:rsid w:val="00D42266"/>
    <w:rsid w:val="00D426D9"/>
    <w:rsid w:val="00D4383E"/>
    <w:rsid w:val="00D43A4A"/>
    <w:rsid w:val="00D443E2"/>
    <w:rsid w:val="00D44A10"/>
    <w:rsid w:val="00D44A4B"/>
    <w:rsid w:val="00D44FB5"/>
    <w:rsid w:val="00D450BC"/>
    <w:rsid w:val="00D465AA"/>
    <w:rsid w:val="00D46ADC"/>
    <w:rsid w:val="00D46CAC"/>
    <w:rsid w:val="00D46DAE"/>
    <w:rsid w:val="00D472EE"/>
    <w:rsid w:val="00D477FF"/>
    <w:rsid w:val="00D50284"/>
    <w:rsid w:val="00D504A1"/>
    <w:rsid w:val="00D50616"/>
    <w:rsid w:val="00D50B92"/>
    <w:rsid w:val="00D51652"/>
    <w:rsid w:val="00D5193F"/>
    <w:rsid w:val="00D529B3"/>
    <w:rsid w:val="00D53A9C"/>
    <w:rsid w:val="00D53BC2"/>
    <w:rsid w:val="00D53F64"/>
    <w:rsid w:val="00D540BF"/>
    <w:rsid w:val="00D5457A"/>
    <w:rsid w:val="00D54903"/>
    <w:rsid w:val="00D5503D"/>
    <w:rsid w:val="00D551DB"/>
    <w:rsid w:val="00D559E3"/>
    <w:rsid w:val="00D55B8D"/>
    <w:rsid w:val="00D55C03"/>
    <w:rsid w:val="00D55ECD"/>
    <w:rsid w:val="00D569FD"/>
    <w:rsid w:val="00D570B6"/>
    <w:rsid w:val="00D57A4B"/>
    <w:rsid w:val="00D57C11"/>
    <w:rsid w:val="00D60335"/>
    <w:rsid w:val="00D613E8"/>
    <w:rsid w:val="00D61AA6"/>
    <w:rsid w:val="00D62027"/>
    <w:rsid w:val="00D62229"/>
    <w:rsid w:val="00D6229A"/>
    <w:rsid w:val="00D629DF"/>
    <w:rsid w:val="00D632C5"/>
    <w:rsid w:val="00D63BD3"/>
    <w:rsid w:val="00D63CD1"/>
    <w:rsid w:val="00D6508C"/>
    <w:rsid w:val="00D65BE2"/>
    <w:rsid w:val="00D65CF6"/>
    <w:rsid w:val="00D666C1"/>
    <w:rsid w:val="00D66C40"/>
    <w:rsid w:val="00D67360"/>
    <w:rsid w:val="00D70848"/>
    <w:rsid w:val="00D708BF"/>
    <w:rsid w:val="00D726A9"/>
    <w:rsid w:val="00D72C3B"/>
    <w:rsid w:val="00D72ECD"/>
    <w:rsid w:val="00D72F2D"/>
    <w:rsid w:val="00D73BE7"/>
    <w:rsid w:val="00D73F4B"/>
    <w:rsid w:val="00D73FAE"/>
    <w:rsid w:val="00D74B8A"/>
    <w:rsid w:val="00D74E98"/>
    <w:rsid w:val="00D75B87"/>
    <w:rsid w:val="00D75E55"/>
    <w:rsid w:val="00D804D4"/>
    <w:rsid w:val="00D80725"/>
    <w:rsid w:val="00D8192F"/>
    <w:rsid w:val="00D819BA"/>
    <w:rsid w:val="00D83520"/>
    <w:rsid w:val="00D835A3"/>
    <w:rsid w:val="00D836A7"/>
    <w:rsid w:val="00D84562"/>
    <w:rsid w:val="00D855E8"/>
    <w:rsid w:val="00D8658A"/>
    <w:rsid w:val="00D90238"/>
    <w:rsid w:val="00D902D1"/>
    <w:rsid w:val="00D90708"/>
    <w:rsid w:val="00D91658"/>
    <w:rsid w:val="00D9181E"/>
    <w:rsid w:val="00D92823"/>
    <w:rsid w:val="00D932FF"/>
    <w:rsid w:val="00D93C06"/>
    <w:rsid w:val="00D93F29"/>
    <w:rsid w:val="00D94E3E"/>
    <w:rsid w:val="00D95C57"/>
    <w:rsid w:val="00D9660F"/>
    <w:rsid w:val="00D96EEB"/>
    <w:rsid w:val="00D97421"/>
    <w:rsid w:val="00DA0130"/>
    <w:rsid w:val="00DA1398"/>
    <w:rsid w:val="00DA1A66"/>
    <w:rsid w:val="00DA1B1C"/>
    <w:rsid w:val="00DA20C5"/>
    <w:rsid w:val="00DA3701"/>
    <w:rsid w:val="00DA3BCF"/>
    <w:rsid w:val="00DA4273"/>
    <w:rsid w:val="00DA4AE3"/>
    <w:rsid w:val="00DA54A0"/>
    <w:rsid w:val="00DA5BBA"/>
    <w:rsid w:val="00DA62F3"/>
    <w:rsid w:val="00DA7332"/>
    <w:rsid w:val="00DA7AD2"/>
    <w:rsid w:val="00DA7D7F"/>
    <w:rsid w:val="00DB012D"/>
    <w:rsid w:val="00DB17E1"/>
    <w:rsid w:val="00DB1A6A"/>
    <w:rsid w:val="00DB269E"/>
    <w:rsid w:val="00DB28E5"/>
    <w:rsid w:val="00DB30EE"/>
    <w:rsid w:val="00DB352D"/>
    <w:rsid w:val="00DB4880"/>
    <w:rsid w:val="00DB4A97"/>
    <w:rsid w:val="00DB4DEF"/>
    <w:rsid w:val="00DB5697"/>
    <w:rsid w:val="00DB5D78"/>
    <w:rsid w:val="00DB69D4"/>
    <w:rsid w:val="00DC0DB4"/>
    <w:rsid w:val="00DC115F"/>
    <w:rsid w:val="00DC123B"/>
    <w:rsid w:val="00DC1510"/>
    <w:rsid w:val="00DC1C38"/>
    <w:rsid w:val="00DC1D82"/>
    <w:rsid w:val="00DC3A1E"/>
    <w:rsid w:val="00DC3CD9"/>
    <w:rsid w:val="00DC4835"/>
    <w:rsid w:val="00DC51EA"/>
    <w:rsid w:val="00DC5303"/>
    <w:rsid w:val="00DC5C35"/>
    <w:rsid w:val="00DC74F6"/>
    <w:rsid w:val="00DD01BD"/>
    <w:rsid w:val="00DD02C6"/>
    <w:rsid w:val="00DD0E48"/>
    <w:rsid w:val="00DD16C2"/>
    <w:rsid w:val="00DD250F"/>
    <w:rsid w:val="00DD326D"/>
    <w:rsid w:val="00DD49EF"/>
    <w:rsid w:val="00DD4F18"/>
    <w:rsid w:val="00DD5886"/>
    <w:rsid w:val="00DD658C"/>
    <w:rsid w:val="00DD686D"/>
    <w:rsid w:val="00DD6E2C"/>
    <w:rsid w:val="00DD7017"/>
    <w:rsid w:val="00DD7D64"/>
    <w:rsid w:val="00DE1295"/>
    <w:rsid w:val="00DE169B"/>
    <w:rsid w:val="00DE17C8"/>
    <w:rsid w:val="00DE2E2A"/>
    <w:rsid w:val="00DE3122"/>
    <w:rsid w:val="00DE3AA4"/>
    <w:rsid w:val="00DE3F21"/>
    <w:rsid w:val="00DE40AB"/>
    <w:rsid w:val="00DE4D52"/>
    <w:rsid w:val="00DE5279"/>
    <w:rsid w:val="00DE5D93"/>
    <w:rsid w:val="00DE72F2"/>
    <w:rsid w:val="00DE7615"/>
    <w:rsid w:val="00DE76E7"/>
    <w:rsid w:val="00DF176B"/>
    <w:rsid w:val="00DF1F46"/>
    <w:rsid w:val="00DF2434"/>
    <w:rsid w:val="00DF256C"/>
    <w:rsid w:val="00DF2FC8"/>
    <w:rsid w:val="00DF3A77"/>
    <w:rsid w:val="00DF4A87"/>
    <w:rsid w:val="00DF4B95"/>
    <w:rsid w:val="00DF5C9B"/>
    <w:rsid w:val="00DF5E05"/>
    <w:rsid w:val="00DF69C4"/>
    <w:rsid w:val="00DF6B9C"/>
    <w:rsid w:val="00DF7825"/>
    <w:rsid w:val="00E0086F"/>
    <w:rsid w:val="00E0154C"/>
    <w:rsid w:val="00E01F32"/>
    <w:rsid w:val="00E02797"/>
    <w:rsid w:val="00E02960"/>
    <w:rsid w:val="00E03B64"/>
    <w:rsid w:val="00E03D45"/>
    <w:rsid w:val="00E0435C"/>
    <w:rsid w:val="00E04784"/>
    <w:rsid w:val="00E0523F"/>
    <w:rsid w:val="00E052AC"/>
    <w:rsid w:val="00E055D9"/>
    <w:rsid w:val="00E056A5"/>
    <w:rsid w:val="00E057ED"/>
    <w:rsid w:val="00E05D30"/>
    <w:rsid w:val="00E06991"/>
    <w:rsid w:val="00E069BE"/>
    <w:rsid w:val="00E06B35"/>
    <w:rsid w:val="00E07F45"/>
    <w:rsid w:val="00E10037"/>
    <w:rsid w:val="00E10F92"/>
    <w:rsid w:val="00E114B9"/>
    <w:rsid w:val="00E11DA3"/>
    <w:rsid w:val="00E124AA"/>
    <w:rsid w:val="00E12892"/>
    <w:rsid w:val="00E12CF0"/>
    <w:rsid w:val="00E12E80"/>
    <w:rsid w:val="00E13050"/>
    <w:rsid w:val="00E13170"/>
    <w:rsid w:val="00E13444"/>
    <w:rsid w:val="00E13A5C"/>
    <w:rsid w:val="00E15102"/>
    <w:rsid w:val="00E15DAE"/>
    <w:rsid w:val="00E15FBD"/>
    <w:rsid w:val="00E16341"/>
    <w:rsid w:val="00E170AE"/>
    <w:rsid w:val="00E17508"/>
    <w:rsid w:val="00E20181"/>
    <w:rsid w:val="00E20CA3"/>
    <w:rsid w:val="00E2130A"/>
    <w:rsid w:val="00E214AA"/>
    <w:rsid w:val="00E2161B"/>
    <w:rsid w:val="00E21F2C"/>
    <w:rsid w:val="00E22DC8"/>
    <w:rsid w:val="00E23141"/>
    <w:rsid w:val="00E2336F"/>
    <w:rsid w:val="00E23B8D"/>
    <w:rsid w:val="00E24C2A"/>
    <w:rsid w:val="00E24EC5"/>
    <w:rsid w:val="00E26690"/>
    <w:rsid w:val="00E27B78"/>
    <w:rsid w:val="00E30492"/>
    <w:rsid w:val="00E30BE2"/>
    <w:rsid w:val="00E30E85"/>
    <w:rsid w:val="00E312EA"/>
    <w:rsid w:val="00E31399"/>
    <w:rsid w:val="00E31507"/>
    <w:rsid w:val="00E31B02"/>
    <w:rsid w:val="00E32340"/>
    <w:rsid w:val="00E32437"/>
    <w:rsid w:val="00E32EC1"/>
    <w:rsid w:val="00E32EDF"/>
    <w:rsid w:val="00E33A92"/>
    <w:rsid w:val="00E33D4E"/>
    <w:rsid w:val="00E35FC4"/>
    <w:rsid w:val="00E364ED"/>
    <w:rsid w:val="00E3678D"/>
    <w:rsid w:val="00E36EED"/>
    <w:rsid w:val="00E400B5"/>
    <w:rsid w:val="00E41A07"/>
    <w:rsid w:val="00E426B4"/>
    <w:rsid w:val="00E4275E"/>
    <w:rsid w:val="00E42888"/>
    <w:rsid w:val="00E42B67"/>
    <w:rsid w:val="00E42C9B"/>
    <w:rsid w:val="00E42CAC"/>
    <w:rsid w:val="00E4357D"/>
    <w:rsid w:val="00E43B9C"/>
    <w:rsid w:val="00E44EFA"/>
    <w:rsid w:val="00E45256"/>
    <w:rsid w:val="00E4533D"/>
    <w:rsid w:val="00E462BC"/>
    <w:rsid w:val="00E46B6A"/>
    <w:rsid w:val="00E4736F"/>
    <w:rsid w:val="00E475BC"/>
    <w:rsid w:val="00E514DD"/>
    <w:rsid w:val="00E51A4B"/>
    <w:rsid w:val="00E520D1"/>
    <w:rsid w:val="00E5263F"/>
    <w:rsid w:val="00E5287A"/>
    <w:rsid w:val="00E5348C"/>
    <w:rsid w:val="00E53554"/>
    <w:rsid w:val="00E53B59"/>
    <w:rsid w:val="00E53DC1"/>
    <w:rsid w:val="00E54555"/>
    <w:rsid w:val="00E548A9"/>
    <w:rsid w:val="00E55022"/>
    <w:rsid w:val="00E55665"/>
    <w:rsid w:val="00E56078"/>
    <w:rsid w:val="00E56A22"/>
    <w:rsid w:val="00E56D6C"/>
    <w:rsid w:val="00E575D1"/>
    <w:rsid w:val="00E57A16"/>
    <w:rsid w:val="00E609BA"/>
    <w:rsid w:val="00E60CC3"/>
    <w:rsid w:val="00E6133D"/>
    <w:rsid w:val="00E61A10"/>
    <w:rsid w:val="00E6287B"/>
    <w:rsid w:val="00E62A67"/>
    <w:rsid w:val="00E639F9"/>
    <w:rsid w:val="00E64916"/>
    <w:rsid w:val="00E64F62"/>
    <w:rsid w:val="00E64FCC"/>
    <w:rsid w:val="00E664EE"/>
    <w:rsid w:val="00E6662B"/>
    <w:rsid w:val="00E670B7"/>
    <w:rsid w:val="00E6736C"/>
    <w:rsid w:val="00E675F4"/>
    <w:rsid w:val="00E67A4E"/>
    <w:rsid w:val="00E706CE"/>
    <w:rsid w:val="00E70E59"/>
    <w:rsid w:val="00E70E9A"/>
    <w:rsid w:val="00E71095"/>
    <w:rsid w:val="00E71759"/>
    <w:rsid w:val="00E71BC7"/>
    <w:rsid w:val="00E72FF1"/>
    <w:rsid w:val="00E75159"/>
    <w:rsid w:val="00E757B3"/>
    <w:rsid w:val="00E760B9"/>
    <w:rsid w:val="00E762F6"/>
    <w:rsid w:val="00E77457"/>
    <w:rsid w:val="00E80368"/>
    <w:rsid w:val="00E818B5"/>
    <w:rsid w:val="00E81CC2"/>
    <w:rsid w:val="00E82137"/>
    <w:rsid w:val="00E8224B"/>
    <w:rsid w:val="00E838FD"/>
    <w:rsid w:val="00E83AD5"/>
    <w:rsid w:val="00E83E66"/>
    <w:rsid w:val="00E84664"/>
    <w:rsid w:val="00E8568C"/>
    <w:rsid w:val="00E86C60"/>
    <w:rsid w:val="00E86F15"/>
    <w:rsid w:val="00E8700B"/>
    <w:rsid w:val="00E87392"/>
    <w:rsid w:val="00E906A4"/>
    <w:rsid w:val="00E90B22"/>
    <w:rsid w:val="00E91008"/>
    <w:rsid w:val="00E91CF1"/>
    <w:rsid w:val="00E91F4C"/>
    <w:rsid w:val="00E92100"/>
    <w:rsid w:val="00E921E8"/>
    <w:rsid w:val="00E92A6E"/>
    <w:rsid w:val="00E92DE9"/>
    <w:rsid w:val="00E944D8"/>
    <w:rsid w:val="00E94BCF"/>
    <w:rsid w:val="00E94FD0"/>
    <w:rsid w:val="00E953C9"/>
    <w:rsid w:val="00E95CF9"/>
    <w:rsid w:val="00E95D92"/>
    <w:rsid w:val="00E96193"/>
    <w:rsid w:val="00E961B1"/>
    <w:rsid w:val="00E962EF"/>
    <w:rsid w:val="00E9639E"/>
    <w:rsid w:val="00EA185B"/>
    <w:rsid w:val="00EA199B"/>
    <w:rsid w:val="00EA1B6D"/>
    <w:rsid w:val="00EA1B88"/>
    <w:rsid w:val="00EA2052"/>
    <w:rsid w:val="00EA2539"/>
    <w:rsid w:val="00EA3705"/>
    <w:rsid w:val="00EA40CE"/>
    <w:rsid w:val="00EA5256"/>
    <w:rsid w:val="00EA5C68"/>
    <w:rsid w:val="00EA5DB7"/>
    <w:rsid w:val="00EA6389"/>
    <w:rsid w:val="00EA63A0"/>
    <w:rsid w:val="00EA73FB"/>
    <w:rsid w:val="00EA799E"/>
    <w:rsid w:val="00EB0779"/>
    <w:rsid w:val="00EB1226"/>
    <w:rsid w:val="00EB1655"/>
    <w:rsid w:val="00EB16D4"/>
    <w:rsid w:val="00EB2ED6"/>
    <w:rsid w:val="00EB2F1E"/>
    <w:rsid w:val="00EB3581"/>
    <w:rsid w:val="00EB39AA"/>
    <w:rsid w:val="00EB4F0A"/>
    <w:rsid w:val="00EB5CF4"/>
    <w:rsid w:val="00EB7966"/>
    <w:rsid w:val="00EB7B40"/>
    <w:rsid w:val="00EC0A39"/>
    <w:rsid w:val="00EC1375"/>
    <w:rsid w:val="00EC18A6"/>
    <w:rsid w:val="00EC2083"/>
    <w:rsid w:val="00EC222C"/>
    <w:rsid w:val="00EC24D8"/>
    <w:rsid w:val="00EC325F"/>
    <w:rsid w:val="00EC3EB2"/>
    <w:rsid w:val="00EC4AC3"/>
    <w:rsid w:val="00EC4CEA"/>
    <w:rsid w:val="00EC4FA0"/>
    <w:rsid w:val="00EC561C"/>
    <w:rsid w:val="00EC5B5D"/>
    <w:rsid w:val="00EC62F7"/>
    <w:rsid w:val="00EC7B00"/>
    <w:rsid w:val="00ED0374"/>
    <w:rsid w:val="00ED0640"/>
    <w:rsid w:val="00ED0781"/>
    <w:rsid w:val="00ED0F13"/>
    <w:rsid w:val="00ED1890"/>
    <w:rsid w:val="00ED2911"/>
    <w:rsid w:val="00ED2B92"/>
    <w:rsid w:val="00ED2E00"/>
    <w:rsid w:val="00ED2EF7"/>
    <w:rsid w:val="00ED3079"/>
    <w:rsid w:val="00ED3A2F"/>
    <w:rsid w:val="00ED3AEC"/>
    <w:rsid w:val="00ED3D4A"/>
    <w:rsid w:val="00ED5462"/>
    <w:rsid w:val="00ED562F"/>
    <w:rsid w:val="00ED678C"/>
    <w:rsid w:val="00ED6990"/>
    <w:rsid w:val="00ED6BC0"/>
    <w:rsid w:val="00ED7549"/>
    <w:rsid w:val="00ED7EF9"/>
    <w:rsid w:val="00EE02F2"/>
    <w:rsid w:val="00EE0AF8"/>
    <w:rsid w:val="00EE0C33"/>
    <w:rsid w:val="00EE0E13"/>
    <w:rsid w:val="00EE11E8"/>
    <w:rsid w:val="00EE2102"/>
    <w:rsid w:val="00EE2181"/>
    <w:rsid w:val="00EE22AD"/>
    <w:rsid w:val="00EE23E1"/>
    <w:rsid w:val="00EE2610"/>
    <w:rsid w:val="00EE3117"/>
    <w:rsid w:val="00EE3C2C"/>
    <w:rsid w:val="00EE4440"/>
    <w:rsid w:val="00EF01F9"/>
    <w:rsid w:val="00EF119A"/>
    <w:rsid w:val="00EF1F86"/>
    <w:rsid w:val="00EF2BCA"/>
    <w:rsid w:val="00EF3120"/>
    <w:rsid w:val="00EF3340"/>
    <w:rsid w:val="00EF3798"/>
    <w:rsid w:val="00EF44BA"/>
    <w:rsid w:val="00EF4CE2"/>
    <w:rsid w:val="00EF5023"/>
    <w:rsid w:val="00EF557A"/>
    <w:rsid w:val="00EF5BFA"/>
    <w:rsid w:val="00EF5E8E"/>
    <w:rsid w:val="00EF6111"/>
    <w:rsid w:val="00EF6BB7"/>
    <w:rsid w:val="00EF6DCE"/>
    <w:rsid w:val="00EF731E"/>
    <w:rsid w:val="00F001E5"/>
    <w:rsid w:val="00F0140B"/>
    <w:rsid w:val="00F014CF"/>
    <w:rsid w:val="00F01581"/>
    <w:rsid w:val="00F01A2E"/>
    <w:rsid w:val="00F01B09"/>
    <w:rsid w:val="00F01BDF"/>
    <w:rsid w:val="00F01D9D"/>
    <w:rsid w:val="00F025B4"/>
    <w:rsid w:val="00F02705"/>
    <w:rsid w:val="00F03285"/>
    <w:rsid w:val="00F03A0B"/>
    <w:rsid w:val="00F03D59"/>
    <w:rsid w:val="00F048A0"/>
    <w:rsid w:val="00F04D0A"/>
    <w:rsid w:val="00F04E66"/>
    <w:rsid w:val="00F05708"/>
    <w:rsid w:val="00F060CA"/>
    <w:rsid w:val="00F066F6"/>
    <w:rsid w:val="00F06B2B"/>
    <w:rsid w:val="00F07732"/>
    <w:rsid w:val="00F07CD9"/>
    <w:rsid w:val="00F111DB"/>
    <w:rsid w:val="00F11864"/>
    <w:rsid w:val="00F135CE"/>
    <w:rsid w:val="00F1379C"/>
    <w:rsid w:val="00F13A19"/>
    <w:rsid w:val="00F147E9"/>
    <w:rsid w:val="00F154ED"/>
    <w:rsid w:val="00F15B09"/>
    <w:rsid w:val="00F15FCB"/>
    <w:rsid w:val="00F17558"/>
    <w:rsid w:val="00F20213"/>
    <w:rsid w:val="00F20779"/>
    <w:rsid w:val="00F20FB4"/>
    <w:rsid w:val="00F216AB"/>
    <w:rsid w:val="00F21B48"/>
    <w:rsid w:val="00F21E66"/>
    <w:rsid w:val="00F249AD"/>
    <w:rsid w:val="00F250BA"/>
    <w:rsid w:val="00F2511E"/>
    <w:rsid w:val="00F25A97"/>
    <w:rsid w:val="00F2691C"/>
    <w:rsid w:val="00F26E25"/>
    <w:rsid w:val="00F27A54"/>
    <w:rsid w:val="00F30D52"/>
    <w:rsid w:val="00F316E2"/>
    <w:rsid w:val="00F317DD"/>
    <w:rsid w:val="00F31EC0"/>
    <w:rsid w:val="00F32320"/>
    <w:rsid w:val="00F3280E"/>
    <w:rsid w:val="00F353AE"/>
    <w:rsid w:val="00F3574E"/>
    <w:rsid w:val="00F36B72"/>
    <w:rsid w:val="00F3721A"/>
    <w:rsid w:val="00F40AF9"/>
    <w:rsid w:val="00F42492"/>
    <w:rsid w:val="00F42CCF"/>
    <w:rsid w:val="00F42F4F"/>
    <w:rsid w:val="00F442E2"/>
    <w:rsid w:val="00F443D8"/>
    <w:rsid w:val="00F4483F"/>
    <w:rsid w:val="00F45054"/>
    <w:rsid w:val="00F46AF4"/>
    <w:rsid w:val="00F4754E"/>
    <w:rsid w:val="00F47E9C"/>
    <w:rsid w:val="00F47F96"/>
    <w:rsid w:val="00F502E2"/>
    <w:rsid w:val="00F50796"/>
    <w:rsid w:val="00F50A13"/>
    <w:rsid w:val="00F51887"/>
    <w:rsid w:val="00F51965"/>
    <w:rsid w:val="00F52240"/>
    <w:rsid w:val="00F52926"/>
    <w:rsid w:val="00F52DB0"/>
    <w:rsid w:val="00F5338F"/>
    <w:rsid w:val="00F539B6"/>
    <w:rsid w:val="00F54148"/>
    <w:rsid w:val="00F5545C"/>
    <w:rsid w:val="00F556C5"/>
    <w:rsid w:val="00F560BF"/>
    <w:rsid w:val="00F562F8"/>
    <w:rsid w:val="00F568B2"/>
    <w:rsid w:val="00F569D8"/>
    <w:rsid w:val="00F5713C"/>
    <w:rsid w:val="00F57B3C"/>
    <w:rsid w:val="00F57BC4"/>
    <w:rsid w:val="00F57C5E"/>
    <w:rsid w:val="00F608A9"/>
    <w:rsid w:val="00F61955"/>
    <w:rsid w:val="00F61A92"/>
    <w:rsid w:val="00F61DFC"/>
    <w:rsid w:val="00F61E07"/>
    <w:rsid w:val="00F622E8"/>
    <w:rsid w:val="00F622E9"/>
    <w:rsid w:val="00F62478"/>
    <w:rsid w:val="00F632F2"/>
    <w:rsid w:val="00F64C66"/>
    <w:rsid w:val="00F64E86"/>
    <w:rsid w:val="00F65282"/>
    <w:rsid w:val="00F6590B"/>
    <w:rsid w:val="00F65B8F"/>
    <w:rsid w:val="00F664BE"/>
    <w:rsid w:val="00F66D64"/>
    <w:rsid w:val="00F67369"/>
    <w:rsid w:val="00F67F68"/>
    <w:rsid w:val="00F70052"/>
    <w:rsid w:val="00F704F8"/>
    <w:rsid w:val="00F70827"/>
    <w:rsid w:val="00F70D38"/>
    <w:rsid w:val="00F70D7C"/>
    <w:rsid w:val="00F712E7"/>
    <w:rsid w:val="00F714C0"/>
    <w:rsid w:val="00F71856"/>
    <w:rsid w:val="00F71FEE"/>
    <w:rsid w:val="00F72C0D"/>
    <w:rsid w:val="00F72D4D"/>
    <w:rsid w:val="00F73671"/>
    <w:rsid w:val="00F738A7"/>
    <w:rsid w:val="00F743DF"/>
    <w:rsid w:val="00F74414"/>
    <w:rsid w:val="00F77ED6"/>
    <w:rsid w:val="00F80468"/>
    <w:rsid w:val="00F806C9"/>
    <w:rsid w:val="00F81921"/>
    <w:rsid w:val="00F83946"/>
    <w:rsid w:val="00F85031"/>
    <w:rsid w:val="00F85E66"/>
    <w:rsid w:val="00F861E4"/>
    <w:rsid w:val="00F86B27"/>
    <w:rsid w:val="00F87A35"/>
    <w:rsid w:val="00F87E90"/>
    <w:rsid w:val="00F9031A"/>
    <w:rsid w:val="00F912AF"/>
    <w:rsid w:val="00F91632"/>
    <w:rsid w:val="00F9170C"/>
    <w:rsid w:val="00F91785"/>
    <w:rsid w:val="00F920B7"/>
    <w:rsid w:val="00F9218A"/>
    <w:rsid w:val="00F922AA"/>
    <w:rsid w:val="00F927B1"/>
    <w:rsid w:val="00F93035"/>
    <w:rsid w:val="00F93F84"/>
    <w:rsid w:val="00F94020"/>
    <w:rsid w:val="00F95DF9"/>
    <w:rsid w:val="00F95E84"/>
    <w:rsid w:val="00F96390"/>
    <w:rsid w:val="00F96503"/>
    <w:rsid w:val="00F96D62"/>
    <w:rsid w:val="00F97355"/>
    <w:rsid w:val="00F9777A"/>
    <w:rsid w:val="00F97A2A"/>
    <w:rsid w:val="00F97D0C"/>
    <w:rsid w:val="00FA0481"/>
    <w:rsid w:val="00FA0CB1"/>
    <w:rsid w:val="00FA1525"/>
    <w:rsid w:val="00FA1CCA"/>
    <w:rsid w:val="00FA1D36"/>
    <w:rsid w:val="00FA20A2"/>
    <w:rsid w:val="00FA3104"/>
    <w:rsid w:val="00FA344C"/>
    <w:rsid w:val="00FA351E"/>
    <w:rsid w:val="00FA36F9"/>
    <w:rsid w:val="00FA386C"/>
    <w:rsid w:val="00FA4E3D"/>
    <w:rsid w:val="00FA526D"/>
    <w:rsid w:val="00FA52A3"/>
    <w:rsid w:val="00FA5605"/>
    <w:rsid w:val="00FA6F4B"/>
    <w:rsid w:val="00FA71FA"/>
    <w:rsid w:val="00FB066D"/>
    <w:rsid w:val="00FB07C2"/>
    <w:rsid w:val="00FB0B20"/>
    <w:rsid w:val="00FB1B6D"/>
    <w:rsid w:val="00FB324C"/>
    <w:rsid w:val="00FB331A"/>
    <w:rsid w:val="00FB3DDA"/>
    <w:rsid w:val="00FB42FD"/>
    <w:rsid w:val="00FB519C"/>
    <w:rsid w:val="00FB52B9"/>
    <w:rsid w:val="00FB5F02"/>
    <w:rsid w:val="00FB6044"/>
    <w:rsid w:val="00FB6206"/>
    <w:rsid w:val="00FB67D3"/>
    <w:rsid w:val="00FB736C"/>
    <w:rsid w:val="00FB7968"/>
    <w:rsid w:val="00FC0798"/>
    <w:rsid w:val="00FC1375"/>
    <w:rsid w:val="00FC1805"/>
    <w:rsid w:val="00FC1A3D"/>
    <w:rsid w:val="00FC20B5"/>
    <w:rsid w:val="00FC2411"/>
    <w:rsid w:val="00FC2EAA"/>
    <w:rsid w:val="00FC312C"/>
    <w:rsid w:val="00FC38F8"/>
    <w:rsid w:val="00FC40ED"/>
    <w:rsid w:val="00FC4BCE"/>
    <w:rsid w:val="00FC5492"/>
    <w:rsid w:val="00FC6831"/>
    <w:rsid w:val="00FC76F0"/>
    <w:rsid w:val="00FD107E"/>
    <w:rsid w:val="00FD1B66"/>
    <w:rsid w:val="00FD20C7"/>
    <w:rsid w:val="00FD2715"/>
    <w:rsid w:val="00FD2869"/>
    <w:rsid w:val="00FD351B"/>
    <w:rsid w:val="00FD3FC2"/>
    <w:rsid w:val="00FD45D4"/>
    <w:rsid w:val="00FD60F6"/>
    <w:rsid w:val="00FD6D30"/>
    <w:rsid w:val="00FD6FBB"/>
    <w:rsid w:val="00FD77BA"/>
    <w:rsid w:val="00FE0B9E"/>
    <w:rsid w:val="00FE153A"/>
    <w:rsid w:val="00FE198A"/>
    <w:rsid w:val="00FE2606"/>
    <w:rsid w:val="00FE48BE"/>
    <w:rsid w:val="00FE4B9C"/>
    <w:rsid w:val="00FE5111"/>
    <w:rsid w:val="00FE5274"/>
    <w:rsid w:val="00FE5E15"/>
    <w:rsid w:val="00FE6832"/>
    <w:rsid w:val="00FE6B4A"/>
    <w:rsid w:val="00FE6FA9"/>
    <w:rsid w:val="00FE70D7"/>
    <w:rsid w:val="00FE7BC9"/>
    <w:rsid w:val="00FF120A"/>
    <w:rsid w:val="00FF13C3"/>
    <w:rsid w:val="00FF14C1"/>
    <w:rsid w:val="00FF38C8"/>
    <w:rsid w:val="00FF4B12"/>
    <w:rsid w:val="00FF5242"/>
    <w:rsid w:val="00FF5B1A"/>
    <w:rsid w:val="00FF5BAA"/>
    <w:rsid w:val="00FF5E88"/>
    <w:rsid w:val="00FF66FE"/>
    <w:rsid w:val="00FF767D"/>
    <w:rsid w:val="00FF7C64"/>
    <w:rsid w:val="01D7336A"/>
    <w:rsid w:val="0241E509"/>
    <w:rsid w:val="03043241"/>
    <w:rsid w:val="033D0C49"/>
    <w:rsid w:val="039C919A"/>
    <w:rsid w:val="03E6EEE4"/>
    <w:rsid w:val="041EEA17"/>
    <w:rsid w:val="04EA6336"/>
    <w:rsid w:val="050007EE"/>
    <w:rsid w:val="072BF0FF"/>
    <w:rsid w:val="072DB3C5"/>
    <w:rsid w:val="0738932E"/>
    <w:rsid w:val="073DE8A2"/>
    <w:rsid w:val="078DE3BD"/>
    <w:rsid w:val="07FDD7FB"/>
    <w:rsid w:val="081BAB14"/>
    <w:rsid w:val="083C17AF"/>
    <w:rsid w:val="083E55DF"/>
    <w:rsid w:val="085AD5E4"/>
    <w:rsid w:val="085ED29B"/>
    <w:rsid w:val="091AB562"/>
    <w:rsid w:val="095CD327"/>
    <w:rsid w:val="09709948"/>
    <w:rsid w:val="09C71286"/>
    <w:rsid w:val="0AF6AD69"/>
    <w:rsid w:val="0B27F1D8"/>
    <w:rsid w:val="0BB52852"/>
    <w:rsid w:val="0BEECD03"/>
    <w:rsid w:val="0DDAE008"/>
    <w:rsid w:val="0E0410AD"/>
    <w:rsid w:val="0E055DC8"/>
    <w:rsid w:val="0E7062FA"/>
    <w:rsid w:val="0FA097A6"/>
    <w:rsid w:val="10E4DC2E"/>
    <w:rsid w:val="111C7D34"/>
    <w:rsid w:val="113E7A43"/>
    <w:rsid w:val="12047A96"/>
    <w:rsid w:val="12248CF5"/>
    <w:rsid w:val="12552429"/>
    <w:rsid w:val="140174FB"/>
    <w:rsid w:val="146E4191"/>
    <w:rsid w:val="14A3BD17"/>
    <w:rsid w:val="14C40B5F"/>
    <w:rsid w:val="14C592D0"/>
    <w:rsid w:val="15F10B94"/>
    <w:rsid w:val="165B2F95"/>
    <w:rsid w:val="16848BB3"/>
    <w:rsid w:val="16E2FA3C"/>
    <w:rsid w:val="1711A2C4"/>
    <w:rsid w:val="17BC7754"/>
    <w:rsid w:val="18296AB0"/>
    <w:rsid w:val="1893C709"/>
    <w:rsid w:val="1894BABB"/>
    <w:rsid w:val="19C644C5"/>
    <w:rsid w:val="1A41CD2C"/>
    <w:rsid w:val="1A5A1306"/>
    <w:rsid w:val="1A5B5089"/>
    <w:rsid w:val="1ACC97DD"/>
    <w:rsid w:val="1B01BFEB"/>
    <w:rsid w:val="1B6E8CA0"/>
    <w:rsid w:val="1BBB6169"/>
    <w:rsid w:val="1BBD59C0"/>
    <w:rsid w:val="1C04B084"/>
    <w:rsid w:val="1CF6564F"/>
    <w:rsid w:val="1D313C11"/>
    <w:rsid w:val="1E04D167"/>
    <w:rsid w:val="1EA65023"/>
    <w:rsid w:val="1EB44DAE"/>
    <w:rsid w:val="1EB5A6C1"/>
    <w:rsid w:val="1F18C029"/>
    <w:rsid w:val="1F9EC882"/>
    <w:rsid w:val="1FBF0685"/>
    <w:rsid w:val="209EE267"/>
    <w:rsid w:val="213FE48B"/>
    <w:rsid w:val="214A000D"/>
    <w:rsid w:val="21A48E62"/>
    <w:rsid w:val="21B3231E"/>
    <w:rsid w:val="222E36B3"/>
    <w:rsid w:val="2230BFEC"/>
    <w:rsid w:val="227E1907"/>
    <w:rsid w:val="232F0831"/>
    <w:rsid w:val="2477D3DB"/>
    <w:rsid w:val="24AE3703"/>
    <w:rsid w:val="25804F60"/>
    <w:rsid w:val="25C398CC"/>
    <w:rsid w:val="27687BAF"/>
    <w:rsid w:val="278D85DB"/>
    <w:rsid w:val="279B3E95"/>
    <w:rsid w:val="281043CA"/>
    <w:rsid w:val="28ED1D72"/>
    <w:rsid w:val="29042592"/>
    <w:rsid w:val="295227D0"/>
    <w:rsid w:val="296D8CB4"/>
    <w:rsid w:val="29D8473D"/>
    <w:rsid w:val="2A39D0EC"/>
    <w:rsid w:val="2AB86E0D"/>
    <w:rsid w:val="2B2C8E75"/>
    <w:rsid w:val="2B6FBF43"/>
    <w:rsid w:val="2BFF440B"/>
    <w:rsid w:val="2C1093C7"/>
    <w:rsid w:val="2D436F4F"/>
    <w:rsid w:val="2DDCA33C"/>
    <w:rsid w:val="2DFFD505"/>
    <w:rsid w:val="2E8DE92E"/>
    <w:rsid w:val="313D17E4"/>
    <w:rsid w:val="321CCC2B"/>
    <w:rsid w:val="326FF10D"/>
    <w:rsid w:val="32B653FD"/>
    <w:rsid w:val="32FE164E"/>
    <w:rsid w:val="339869FD"/>
    <w:rsid w:val="34BA0CFD"/>
    <w:rsid w:val="351D8E47"/>
    <w:rsid w:val="352B870B"/>
    <w:rsid w:val="356A1DF7"/>
    <w:rsid w:val="36A50FE4"/>
    <w:rsid w:val="36AE05E6"/>
    <w:rsid w:val="3713C2E1"/>
    <w:rsid w:val="37399EFA"/>
    <w:rsid w:val="374B72D7"/>
    <w:rsid w:val="37A9B679"/>
    <w:rsid w:val="37C9F897"/>
    <w:rsid w:val="380E4325"/>
    <w:rsid w:val="38871DA2"/>
    <w:rsid w:val="38E6536A"/>
    <w:rsid w:val="392150F2"/>
    <w:rsid w:val="398B1912"/>
    <w:rsid w:val="39D5DD84"/>
    <w:rsid w:val="3A90ACF1"/>
    <w:rsid w:val="3B323EA3"/>
    <w:rsid w:val="3B5BF6CB"/>
    <w:rsid w:val="3BC979B1"/>
    <w:rsid w:val="3C66311B"/>
    <w:rsid w:val="3CD45FB9"/>
    <w:rsid w:val="3E8180A6"/>
    <w:rsid w:val="3EACAFDB"/>
    <w:rsid w:val="3EBC9E31"/>
    <w:rsid w:val="3F02E5CC"/>
    <w:rsid w:val="3F3045C8"/>
    <w:rsid w:val="3F527177"/>
    <w:rsid w:val="3F7C70B5"/>
    <w:rsid w:val="3FB48A12"/>
    <w:rsid w:val="3FC33B5E"/>
    <w:rsid w:val="3FCECC2B"/>
    <w:rsid w:val="41348074"/>
    <w:rsid w:val="4151C8CE"/>
    <w:rsid w:val="419D64FF"/>
    <w:rsid w:val="41B0D7E3"/>
    <w:rsid w:val="41E01F2D"/>
    <w:rsid w:val="41FE0338"/>
    <w:rsid w:val="42AEF9AC"/>
    <w:rsid w:val="43DB9F52"/>
    <w:rsid w:val="43EDBB18"/>
    <w:rsid w:val="447990E0"/>
    <w:rsid w:val="447CB5D8"/>
    <w:rsid w:val="44E9875F"/>
    <w:rsid w:val="45F9519A"/>
    <w:rsid w:val="464DCEED"/>
    <w:rsid w:val="467BA2C6"/>
    <w:rsid w:val="46A4F2D2"/>
    <w:rsid w:val="477B8BF5"/>
    <w:rsid w:val="478E4B4E"/>
    <w:rsid w:val="47A22844"/>
    <w:rsid w:val="4820B7B5"/>
    <w:rsid w:val="48F5EE60"/>
    <w:rsid w:val="48F8801D"/>
    <w:rsid w:val="49AA680E"/>
    <w:rsid w:val="4A120F39"/>
    <w:rsid w:val="4A838171"/>
    <w:rsid w:val="4A8A2B76"/>
    <w:rsid w:val="4BAB6952"/>
    <w:rsid w:val="4C77EF99"/>
    <w:rsid w:val="4D0AE3D7"/>
    <w:rsid w:val="4D557823"/>
    <w:rsid w:val="4D56C955"/>
    <w:rsid w:val="4D92200C"/>
    <w:rsid w:val="4DDF1B60"/>
    <w:rsid w:val="4E0A5530"/>
    <w:rsid w:val="514FA7AE"/>
    <w:rsid w:val="51C04BE2"/>
    <w:rsid w:val="52507253"/>
    <w:rsid w:val="528B7EC1"/>
    <w:rsid w:val="530CD163"/>
    <w:rsid w:val="537224E0"/>
    <w:rsid w:val="5383974C"/>
    <w:rsid w:val="54120B30"/>
    <w:rsid w:val="543A22DE"/>
    <w:rsid w:val="5524C571"/>
    <w:rsid w:val="559359BC"/>
    <w:rsid w:val="56529175"/>
    <w:rsid w:val="568C9A3C"/>
    <w:rsid w:val="57211C1C"/>
    <w:rsid w:val="575C766F"/>
    <w:rsid w:val="57905649"/>
    <w:rsid w:val="58AA6E35"/>
    <w:rsid w:val="58B94EB0"/>
    <w:rsid w:val="58D7D8A0"/>
    <w:rsid w:val="59225C70"/>
    <w:rsid w:val="5AEB6702"/>
    <w:rsid w:val="5BBFFF80"/>
    <w:rsid w:val="5BE0F6F6"/>
    <w:rsid w:val="5BFCAADE"/>
    <w:rsid w:val="5C1373A5"/>
    <w:rsid w:val="5C13BB99"/>
    <w:rsid w:val="5C1CB36F"/>
    <w:rsid w:val="5C1EDBAB"/>
    <w:rsid w:val="5C812993"/>
    <w:rsid w:val="5CAD5235"/>
    <w:rsid w:val="5D2AC2DA"/>
    <w:rsid w:val="5DEC0838"/>
    <w:rsid w:val="5F8638B8"/>
    <w:rsid w:val="5FC12FDE"/>
    <w:rsid w:val="600D3375"/>
    <w:rsid w:val="60E40ECA"/>
    <w:rsid w:val="6110456C"/>
    <w:rsid w:val="616A08F4"/>
    <w:rsid w:val="62992687"/>
    <w:rsid w:val="634A8DAA"/>
    <w:rsid w:val="63736D8E"/>
    <w:rsid w:val="63B12AB0"/>
    <w:rsid w:val="64D2A933"/>
    <w:rsid w:val="64D680A5"/>
    <w:rsid w:val="652959C7"/>
    <w:rsid w:val="6532F14F"/>
    <w:rsid w:val="654DCF90"/>
    <w:rsid w:val="65AC3490"/>
    <w:rsid w:val="65C7F5B2"/>
    <w:rsid w:val="65E91FE5"/>
    <w:rsid w:val="679C6849"/>
    <w:rsid w:val="6889C083"/>
    <w:rsid w:val="68F76460"/>
    <w:rsid w:val="69051473"/>
    <w:rsid w:val="697C017F"/>
    <w:rsid w:val="69AAF2B2"/>
    <w:rsid w:val="6A3BA3F5"/>
    <w:rsid w:val="6A6612F0"/>
    <w:rsid w:val="6A8C2322"/>
    <w:rsid w:val="6AF58462"/>
    <w:rsid w:val="6C03C8D7"/>
    <w:rsid w:val="6C9F1FAC"/>
    <w:rsid w:val="6CBCBCA4"/>
    <w:rsid w:val="6CC43495"/>
    <w:rsid w:val="6D0C8829"/>
    <w:rsid w:val="6D1ACA75"/>
    <w:rsid w:val="6D5F26A4"/>
    <w:rsid w:val="6DF47A0A"/>
    <w:rsid w:val="6E584E73"/>
    <w:rsid w:val="6E68B90F"/>
    <w:rsid w:val="6ECB54C0"/>
    <w:rsid w:val="6F8B0D5C"/>
    <w:rsid w:val="6FB8572E"/>
    <w:rsid w:val="6FDE92F1"/>
    <w:rsid w:val="70406C57"/>
    <w:rsid w:val="70AAA0AE"/>
    <w:rsid w:val="71672E4B"/>
    <w:rsid w:val="7189E1E8"/>
    <w:rsid w:val="72241472"/>
    <w:rsid w:val="72364CA8"/>
    <w:rsid w:val="7251161D"/>
    <w:rsid w:val="7327BE37"/>
    <w:rsid w:val="73841054"/>
    <w:rsid w:val="73CFA250"/>
    <w:rsid w:val="73D854AB"/>
    <w:rsid w:val="75212B35"/>
    <w:rsid w:val="75546DD3"/>
    <w:rsid w:val="757D3E83"/>
    <w:rsid w:val="75BD2BFA"/>
    <w:rsid w:val="771D8E0A"/>
    <w:rsid w:val="7745914A"/>
    <w:rsid w:val="779E36C6"/>
    <w:rsid w:val="77EEBD06"/>
    <w:rsid w:val="78865A2D"/>
    <w:rsid w:val="789D070D"/>
    <w:rsid w:val="78D1AE1B"/>
    <w:rsid w:val="7954638C"/>
    <w:rsid w:val="79ABA886"/>
    <w:rsid w:val="79E99D5C"/>
    <w:rsid w:val="79F0AAA6"/>
    <w:rsid w:val="7A0BB6EC"/>
    <w:rsid w:val="7A1E5899"/>
    <w:rsid w:val="7AAA2CE6"/>
    <w:rsid w:val="7B3E9424"/>
    <w:rsid w:val="7B5607A1"/>
    <w:rsid w:val="7B5E8613"/>
    <w:rsid w:val="7BA5D43E"/>
    <w:rsid w:val="7C2F0F4F"/>
    <w:rsid w:val="7C518A80"/>
    <w:rsid w:val="7D5A5AD0"/>
    <w:rsid w:val="7DDBD043"/>
    <w:rsid w:val="7DF33D4D"/>
    <w:rsid w:val="7E1D5DA8"/>
    <w:rsid w:val="7E973909"/>
    <w:rsid w:val="7F8D0D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955D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6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6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6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64"/>
      </w:numPr>
      <w:outlineLvl w:val="3"/>
    </w:pPr>
    <w:rPr>
      <w:rFonts w:eastAsiaTheme="majorEastAsia"/>
      <w:bCs/>
      <w:iCs/>
    </w:rPr>
  </w:style>
  <w:style w:type="paragraph" w:styleId="Heading5">
    <w:name w:val="heading 5"/>
    <w:basedOn w:val="Normal"/>
    <w:next w:val="Text2"/>
    <w:link w:val="Heading5Char"/>
    <w:uiPriority w:val="9"/>
    <w:semiHidden/>
    <w:unhideWhenUsed/>
    <w:qFormat/>
    <w:rsid w:val="00707B52"/>
    <w:pPr>
      <w:keepNext/>
      <w:numPr>
        <w:ilvl w:val="4"/>
        <w:numId w:val="64"/>
      </w:numPr>
      <w:outlineLvl w:val="4"/>
    </w:pPr>
    <w:rPr>
      <w:rFonts w:eastAsiaTheme="majorEastAsia"/>
    </w:rPr>
  </w:style>
  <w:style w:type="paragraph" w:styleId="Heading6">
    <w:name w:val="heading 6"/>
    <w:basedOn w:val="Normal"/>
    <w:next w:val="Text2"/>
    <w:link w:val="Heading6Char"/>
    <w:uiPriority w:val="9"/>
    <w:semiHidden/>
    <w:unhideWhenUsed/>
    <w:qFormat/>
    <w:rsid w:val="00707B52"/>
    <w:pPr>
      <w:keepNext/>
      <w:numPr>
        <w:ilvl w:val="5"/>
        <w:numId w:val="64"/>
      </w:numPr>
      <w:outlineLvl w:val="5"/>
    </w:pPr>
    <w:rPr>
      <w:rFonts w:eastAsiaTheme="majorEastAsia"/>
      <w:iCs/>
    </w:rPr>
  </w:style>
  <w:style w:type="paragraph" w:styleId="Heading7">
    <w:name w:val="heading 7"/>
    <w:basedOn w:val="Normal"/>
    <w:next w:val="Text2"/>
    <w:link w:val="Heading7Char"/>
    <w:uiPriority w:val="9"/>
    <w:semiHidden/>
    <w:unhideWhenUsed/>
    <w:qFormat/>
    <w:rsid w:val="00707B52"/>
    <w:pPr>
      <w:keepNext/>
      <w:numPr>
        <w:ilvl w:val="6"/>
        <w:numId w:val="6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A30D6B"/>
    <w:pPr>
      <w:numPr>
        <w:numId w:val="2"/>
      </w:numPr>
      <w:tabs>
        <w:tab w:val="num" w:pos="360"/>
      </w:tabs>
      <w:ind w:left="0" w:firstLine="0"/>
    </w:pPr>
    <w:rPr>
      <w:rFonts w:eastAsia="Times New Roman"/>
      <w:lang w:eastAsia="de-DE"/>
    </w:rPr>
  </w:style>
  <w:style w:type="paragraph" w:styleId="ListNumber">
    <w:name w:val="List Number"/>
    <w:basedOn w:val="Normal"/>
    <w:rsid w:val="00A30D6B"/>
    <w:pPr>
      <w:numPr>
        <w:numId w:val="6"/>
      </w:numPr>
    </w:pPr>
    <w:rPr>
      <w:rFonts w:eastAsia="Times New Roman"/>
      <w:lang w:eastAsia="de-DE"/>
    </w:rPr>
  </w:style>
  <w:style w:type="paragraph" w:customStyle="1" w:styleId="ListBullet1">
    <w:name w:val="List Bullet 1"/>
    <w:basedOn w:val="Normal"/>
    <w:rsid w:val="00A30D6B"/>
    <w:pPr>
      <w:numPr>
        <w:numId w:val="1"/>
      </w:numPr>
    </w:pPr>
    <w:rPr>
      <w:rFonts w:eastAsia="Times New Roman"/>
      <w:lang w:eastAsia="de-DE"/>
    </w:rPr>
  </w:style>
  <w:style w:type="paragraph" w:customStyle="1" w:styleId="ListDash">
    <w:name w:val="List Dash"/>
    <w:basedOn w:val="Normal"/>
    <w:rsid w:val="00A30D6B"/>
    <w:pPr>
      <w:numPr>
        <w:numId w:val="3"/>
      </w:numPr>
    </w:pPr>
    <w:rPr>
      <w:rFonts w:eastAsia="Times New Roman"/>
      <w:lang w:eastAsia="de-DE"/>
    </w:rPr>
  </w:style>
  <w:style w:type="paragraph" w:customStyle="1" w:styleId="ListDash1">
    <w:name w:val="List Dash 1"/>
    <w:basedOn w:val="Normal"/>
    <w:rsid w:val="00A30D6B"/>
    <w:pPr>
      <w:numPr>
        <w:numId w:val="4"/>
      </w:numPr>
    </w:pPr>
    <w:rPr>
      <w:rFonts w:eastAsia="Times New Roman"/>
      <w:lang w:eastAsia="de-DE"/>
    </w:rPr>
  </w:style>
  <w:style w:type="paragraph" w:customStyle="1" w:styleId="ListDash2">
    <w:name w:val="List Dash 2"/>
    <w:basedOn w:val="Normal"/>
    <w:rsid w:val="00A30D6B"/>
    <w:pPr>
      <w:numPr>
        <w:numId w:val="5"/>
      </w:numPr>
    </w:pPr>
    <w:rPr>
      <w:rFonts w:eastAsia="Times New Roman"/>
      <w:lang w:eastAsia="de-DE"/>
    </w:rPr>
  </w:style>
  <w:style w:type="paragraph" w:customStyle="1" w:styleId="ListNumberLevel2">
    <w:name w:val="List Number (Level 2)"/>
    <w:basedOn w:val="Normal"/>
    <w:rsid w:val="00A30D6B"/>
    <w:pPr>
      <w:numPr>
        <w:ilvl w:val="1"/>
        <w:numId w:val="6"/>
      </w:numPr>
    </w:pPr>
    <w:rPr>
      <w:rFonts w:eastAsia="Times New Roman"/>
      <w:lang w:eastAsia="de-DE"/>
    </w:rPr>
  </w:style>
  <w:style w:type="paragraph" w:customStyle="1" w:styleId="ListNumberLevel3">
    <w:name w:val="List Number (Level 3)"/>
    <w:basedOn w:val="Normal"/>
    <w:rsid w:val="00A30D6B"/>
    <w:pPr>
      <w:numPr>
        <w:ilvl w:val="2"/>
        <w:numId w:val="6"/>
      </w:numPr>
    </w:pPr>
    <w:rPr>
      <w:rFonts w:eastAsia="Times New Roman"/>
      <w:lang w:eastAsia="de-DE"/>
    </w:rPr>
  </w:style>
  <w:style w:type="paragraph" w:customStyle="1" w:styleId="ListNumberLevel4">
    <w:name w:val="List Number (Level 4)"/>
    <w:basedOn w:val="Normal"/>
    <w:rsid w:val="00A30D6B"/>
    <w:pPr>
      <w:numPr>
        <w:ilvl w:val="3"/>
        <w:numId w:val="6"/>
      </w:numPr>
    </w:pPr>
    <w:rPr>
      <w:rFonts w:eastAsia="Times New Roman"/>
      <w:lang w:eastAsia="de-DE"/>
    </w:rPr>
  </w:style>
  <w:style w:type="table" w:styleId="TableGrid">
    <w:name w:val="Table Grid"/>
    <w:basedOn w:val="TableNormal"/>
    <w:rsid w:val="00A30D6B"/>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30D6B"/>
    <w:rPr>
      <w:color w:val="0000FF"/>
      <w:u w:val="single"/>
    </w:rPr>
  </w:style>
  <w:style w:type="paragraph" w:styleId="ListBullet">
    <w:name w:val="List Bullet"/>
    <w:basedOn w:val="Normal"/>
    <w:rsid w:val="00A30D6B"/>
    <w:pPr>
      <w:numPr>
        <w:numId w:val="7"/>
      </w:numPr>
    </w:pPr>
    <w:rPr>
      <w:rFonts w:eastAsia="Times New Roman"/>
      <w:lang w:eastAsia="en-GB"/>
    </w:rPr>
  </w:style>
  <w:style w:type="paragraph" w:styleId="ListBullet2">
    <w:name w:val="List Bullet 2"/>
    <w:basedOn w:val="Normal"/>
    <w:rsid w:val="00A30D6B"/>
    <w:pPr>
      <w:numPr>
        <w:numId w:val="8"/>
      </w:numPr>
    </w:pPr>
    <w:rPr>
      <w:rFonts w:eastAsia="Times New Roman"/>
      <w:lang w:eastAsia="en-GB"/>
    </w:rPr>
  </w:style>
  <w:style w:type="paragraph" w:styleId="ListBullet3">
    <w:name w:val="List Bullet 3"/>
    <w:basedOn w:val="Normal"/>
    <w:rsid w:val="00A30D6B"/>
    <w:pPr>
      <w:numPr>
        <w:numId w:val="9"/>
      </w:numPr>
    </w:pPr>
    <w:rPr>
      <w:rFonts w:eastAsia="Times New Roman"/>
      <w:lang w:eastAsia="en-GB"/>
    </w:rPr>
  </w:style>
  <w:style w:type="paragraph" w:styleId="ListNumber2">
    <w:name w:val="List Number 2"/>
    <w:basedOn w:val="Normal"/>
    <w:rsid w:val="00A30D6B"/>
    <w:pPr>
      <w:numPr>
        <w:numId w:val="13"/>
      </w:numPr>
    </w:pPr>
    <w:rPr>
      <w:rFonts w:eastAsia="Times New Roman"/>
      <w:lang w:eastAsia="en-GB"/>
    </w:rPr>
  </w:style>
  <w:style w:type="paragraph" w:styleId="ListNumber3">
    <w:name w:val="List Number 3"/>
    <w:basedOn w:val="Normal"/>
    <w:rsid w:val="00A30D6B"/>
    <w:pPr>
      <w:numPr>
        <w:numId w:val="14"/>
      </w:numPr>
    </w:pPr>
    <w:rPr>
      <w:rFonts w:eastAsia="Times New Roman"/>
      <w:lang w:eastAsia="en-GB"/>
    </w:rPr>
  </w:style>
  <w:style w:type="paragraph" w:styleId="ListNumber4">
    <w:name w:val="List Number 4"/>
    <w:basedOn w:val="Normal"/>
    <w:rsid w:val="00A30D6B"/>
    <w:pPr>
      <w:numPr>
        <w:numId w:val="15"/>
      </w:numPr>
    </w:pPr>
    <w:rPr>
      <w:rFonts w:eastAsia="Times New Roman"/>
      <w:lang w:eastAsia="en-GB"/>
    </w:rPr>
  </w:style>
  <w:style w:type="paragraph" w:customStyle="1" w:styleId="ListDash3">
    <w:name w:val="List Dash 3"/>
    <w:basedOn w:val="Normal"/>
    <w:rsid w:val="00A30D6B"/>
    <w:pPr>
      <w:numPr>
        <w:numId w:val="10"/>
      </w:numPr>
    </w:pPr>
    <w:rPr>
      <w:rFonts w:eastAsia="Times New Roman"/>
      <w:lang w:eastAsia="en-GB"/>
    </w:rPr>
  </w:style>
  <w:style w:type="paragraph" w:customStyle="1" w:styleId="ListDash4">
    <w:name w:val="List Dash 4"/>
    <w:basedOn w:val="Normal"/>
    <w:rsid w:val="00A30D6B"/>
    <w:pPr>
      <w:numPr>
        <w:numId w:val="11"/>
      </w:numPr>
    </w:pPr>
    <w:rPr>
      <w:rFonts w:eastAsia="Times New Roman"/>
      <w:lang w:eastAsia="en-GB"/>
    </w:rPr>
  </w:style>
  <w:style w:type="paragraph" w:customStyle="1" w:styleId="ListNumber1">
    <w:name w:val="List Number 1"/>
    <w:basedOn w:val="Text1"/>
    <w:rsid w:val="00A30D6B"/>
    <w:pPr>
      <w:numPr>
        <w:numId w:val="12"/>
      </w:numPr>
    </w:pPr>
    <w:rPr>
      <w:rFonts w:eastAsia="Times New Roman"/>
      <w:lang w:eastAsia="en-GB"/>
    </w:rPr>
  </w:style>
  <w:style w:type="paragraph" w:customStyle="1" w:styleId="ListNumber1Level2">
    <w:name w:val="List Number 1 (Level 2)"/>
    <w:basedOn w:val="Text1"/>
    <w:rsid w:val="00A30D6B"/>
    <w:pPr>
      <w:numPr>
        <w:ilvl w:val="1"/>
        <w:numId w:val="12"/>
      </w:numPr>
    </w:pPr>
    <w:rPr>
      <w:rFonts w:eastAsia="Times New Roman"/>
      <w:lang w:eastAsia="en-GB"/>
    </w:rPr>
  </w:style>
  <w:style w:type="paragraph" w:customStyle="1" w:styleId="ListNumber2Level2">
    <w:name w:val="List Number 2 (Level 2)"/>
    <w:basedOn w:val="Text2"/>
    <w:rsid w:val="00A30D6B"/>
    <w:pPr>
      <w:numPr>
        <w:ilvl w:val="1"/>
        <w:numId w:val="13"/>
      </w:numPr>
    </w:pPr>
    <w:rPr>
      <w:rFonts w:eastAsia="Times New Roman"/>
      <w:lang w:eastAsia="en-GB"/>
    </w:rPr>
  </w:style>
  <w:style w:type="paragraph" w:customStyle="1" w:styleId="ListNumber3Level2">
    <w:name w:val="List Number 3 (Level 2)"/>
    <w:basedOn w:val="Text3"/>
    <w:rsid w:val="00A30D6B"/>
    <w:pPr>
      <w:numPr>
        <w:ilvl w:val="1"/>
        <w:numId w:val="14"/>
      </w:numPr>
    </w:pPr>
    <w:rPr>
      <w:rFonts w:eastAsia="Times New Roman"/>
      <w:lang w:eastAsia="en-GB"/>
    </w:rPr>
  </w:style>
  <w:style w:type="paragraph" w:customStyle="1" w:styleId="ListNumber4Level2">
    <w:name w:val="List Number 4 (Level 2)"/>
    <w:basedOn w:val="Text4"/>
    <w:rsid w:val="00A30D6B"/>
    <w:pPr>
      <w:numPr>
        <w:ilvl w:val="1"/>
        <w:numId w:val="15"/>
      </w:numPr>
    </w:pPr>
    <w:rPr>
      <w:rFonts w:eastAsia="Times New Roman"/>
      <w:lang w:eastAsia="en-GB"/>
    </w:rPr>
  </w:style>
  <w:style w:type="paragraph" w:customStyle="1" w:styleId="ListNumber1Level3">
    <w:name w:val="List Number 1 (Level 3)"/>
    <w:basedOn w:val="Text1"/>
    <w:rsid w:val="00A30D6B"/>
    <w:pPr>
      <w:numPr>
        <w:ilvl w:val="2"/>
        <w:numId w:val="12"/>
      </w:numPr>
    </w:pPr>
    <w:rPr>
      <w:rFonts w:eastAsia="Times New Roman"/>
      <w:lang w:eastAsia="en-GB"/>
    </w:rPr>
  </w:style>
  <w:style w:type="paragraph" w:customStyle="1" w:styleId="ListNumber2Level3">
    <w:name w:val="List Number 2 (Level 3)"/>
    <w:basedOn w:val="Text2"/>
    <w:rsid w:val="00A30D6B"/>
    <w:pPr>
      <w:numPr>
        <w:ilvl w:val="2"/>
        <w:numId w:val="13"/>
      </w:numPr>
    </w:pPr>
    <w:rPr>
      <w:rFonts w:eastAsia="Times New Roman"/>
      <w:lang w:eastAsia="en-GB"/>
    </w:rPr>
  </w:style>
  <w:style w:type="paragraph" w:customStyle="1" w:styleId="ListNumber3Level3">
    <w:name w:val="List Number 3 (Level 3)"/>
    <w:basedOn w:val="Text3"/>
    <w:rsid w:val="00A30D6B"/>
    <w:pPr>
      <w:numPr>
        <w:ilvl w:val="2"/>
        <w:numId w:val="14"/>
      </w:numPr>
    </w:pPr>
    <w:rPr>
      <w:rFonts w:eastAsia="Times New Roman"/>
      <w:lang w:eastAsia="en-GB"/>
    </w:rPr>
  </w:style>
  <w:style w:type="paragraph" w:customStyle="1" w:styleId="ListNumber4Level3">
    <w:name w:val="List Number 4 (Level 3)"/>
    <w:basedOn w:val="Text4"/>
    <w:rsid w:val="00A30D6B"/>
    <w:pPr>
      <w:numPr>
        <w:ilvl w:val="2"/>
        <w:numId w:val="15"/>
      </w:numPr>
    </w:pPr>
    <w:rPr>
      <w:rFonts w:eastAsia="Times New Roman"/>
      <w:lang w:eastAsia="en-GB"/>
    </w:rPr>
  </w:style>
  <w:style w:type="paragraph" w:customStyle="1" w:styleId="ListNumber1Level4">
    <w:name w:val="List Number 1 (Level 4)"/>
    <w:basedOn w:val="Text1"/>
    <w:rsid w:val="00A30D6B"/>
    <w:pPr>
      <w:numPr>
        <w:ilvl w:val="3"/>
        <w:numId w:val="12"/>
      </w:numPr>
    </w:pPr>
    <w:rPr>
      <w:rFonts w:eastAsia="Times New Roman"/>
      <w:lang w:eastAsia="en-GB"/>
    </w:rPr>
  </w:style>
  <w:style w:type="paragraph" w:customStyle="1" w:styleId="ListNumber2Level4">
    <w:name w:val="List Number 2 (Level 4)"/>
    <w:basedOn w:val="Text2"/>
    <w:rsid w:val="00A30D6B"/>
    <w:pPr>
      <w:numPr>
        <w:ilvl w:val="3"/>
        <w:numId w:val="13"/>
      </w:numPr>
    </w:pPr>
    <w:rPr>
      <w:rFonts w:eastAsia="Times New Roman"/>
      <w:lang w:eastAsia="en-GB"/>
    </w:rPr>
  </w:style>
  <w:style w:type="paragraph" w:customStyle="1" w:styleId="ListNumber3Level4">
    <w:name w:val="List Number 3 (Level 4)"/>
    <w:basedOn w:val="Text3"/>
    <w:rsid w:val="00A30D6B"/>
    <w:pPr>
      <w:numPr>
        <w:ilvl w:val="3"/>
        <w:numId w:val="14"/>
      </w:numPr>
    </w:pPr>
    <w:rPr>
      <w:rFonts w:eastAsia="Times New Roman"/>
      <w:lang w:eastAsia="en-GB"/>
    </w:rPr>
  </w:style>
  <w:style w:type="paragraph" w:customStyle="1" w:styleId="ListNumber4Level4">
    <w:name w:val="List Number 4 (Level 4)"/>
    <w:basedOn w:val="Text4"/>
    <w:rsid w:val="00A30D6B"/>
    <w:pPr>
      <w:numPr>
        <w:ilvl w:val="3"/>
        <w:numId w:val="15"/>
      </w:numPr>
    </w:pPr>
    <w:rPr>
      <w:rFonts w:eastAsia="Times New Roman"/>
      <w:lang w:eastAsia="en-GB"/>
    </w:rPr>
  </w:style>
  <w:style w:type="paragraph" w:customStyle="1" w:styleId="Annexetitreacte">
    <w:name w:val="Annexe titre (acte)"/>
    <w:basedOn w:val="Normal"/>
    <w:next w:val="Normal"/>
    <w:rsid w:val="00A30D6B"/>
    <w:pPr>
      <w:jc w:val="center"/>
    </w:pPr>
    <w:rPr>
      <w:rFonts w:eastAsia="Times New Roman"/>
      <w:b/>
      <w:u w:val="single"/>
      <w:lang w:eastAsia="en-GB"/>
    </w:rPr>
  </w:style>
  <w:style w:type="paragraph" w:customStyle="1" w:styleId="Annexetitreexposglobal">
    <w:name w:val="Annexe titre (exposé global)"/>
    <w:basedOn w:val="Normal"/>
    <w:next w:val="Normal"/>
    <w:rsid w:val="00A30D6B"/>
    <w:pPr>
      <w:jc w:val="center"/>
    </w:pPr>
    <w:rPr>
      <w:rFonts w:eastAsia="Times New Roman"/>
      <w:b/>
      <w:u w:val="single"/>
      <w:lang w:eastAsia="en-GB"/>
    </w:rPr>
  </w:style>
  <w:style w:type="paragraph" w:customStyle="1" w:styleId="Annexetitrefichefinacte">
    <w:name w:val="Annexe titre (fiche fin. acte)"/>
    <w:basedOn w:val="Normal"/>
    <w:next w:val="Normal"/>
    <w:rsid w:val="00A30D6B"/>
    <w:pPr>
      <w:jc w:val="center"/>
    </w:pPr>
    <w:rPr>
      <w:rFonts w:eastAsia="Times New Roman"/>
      <w:b/>
      <w:u w:val="single"/>
      <w:lang w:eastAsia="en-GB"/>
    </w:rPr>
  </w:style>
  <w:style w:type="paragraph" w:customStyle="1" w:styleId="Annexetitrefichefinglobale">
    <w:name w:val="Annexe titre (fiche fin. globale)"/>
    <w:basedOn w:val="Normal"/>
    <w:next w:val="Normal"/>
    <w:rsid w:val="00A30D6B"/>
    <w:pPr>
      <w:jc w:val="center"/>
    </w:pPr>
    <w:rPr>
      <w:rFonts w:eastAsia="Times New Roman"/>
      <w:b/>
      <w:u w:val="single"/>
      <w:lang w:eastAsia="en-GB"/>
    </w:rPr>
  </w:style>
  <w:style w:type="paragraph" w:customStyle="1" w:styleId="Annexetitreglobale">
    <w:name w:val="Annexe titre (globale)"/>
    <w:basedOn w:val="Normal"/>
    <w:next w:val="Normal"/>
    <w:rsid w:val="00A30D6B"/>
    <w:pPr>
      <w:jc w:val="center"/>
    </w:pPr>
    <w:rPr>
      <w:rFonts w:eastAsia="Times New Roman"/>
      <w:b/>
      <w:u w:val="single"/>
      <w:lang w:eastAsia="en-GB"/>
    </w:rPr>
  </w:style>
  <w:style w:type="paragraph" w:customStyle="1" w:styleId="Exposdesmotifstitreglobal">
    <w:name w:val="Exposé des motifs titre (global)"/>
    <w:basedOn w:val="Normal"/>
    <w:next w:val="Normal"/>
    <w:rsid w:val="00A30D6B"/>
    <w:pPr>
      <w:jc w:val="center"/>
    </w:pPr>
    <w:rPr>
      <w:rFonts w:eastAsia="Times New Roman"/>
      <w:b/>
      <w:u w:val="single"/>
      <w:lang w:eastAsia="en-GB"/>
    </w:rPr>
  </w:style>
  <w:style w:type="paragraph" w:customStyle="1" w:styleId="Langueoriginale">
    <w:name w:val="Langue originale"/>
    <w:basedOn w:val="Normal"/>
    <w:rsid w:val="00A30D6B"/>
    <w:pPr>
      <w:spacing w:before="360"/>
      <w:jc w:val="center"/>
    </w:pPr>
    <w:rPr>
      <w:rFonts w:eastAsia="Times New Roman"/>
      <w:caps/>
      <w:lang w:eastAsia="en-GB"/>
    </w:rPr>
  </w:style>
  <w:style w:type="paragraph" w:customStyle="1" w:styleId="Phrasefinale">
    <w:name w:val="Phrase finale"/>
    <w:basedOn w:val="Normal"/>
    <w:next w:val="Normal"/>
    <w:rsid w:val="00A30D6B"/>
    <w:pPr>
      <w:spacing w:before="360" w:after="0"/>
      <w:jc w:val="center"/>
    </w:pPr>
    <w:rPr>
      <w:rFonts w:eastAsia="Times New Roman"/>
      <w:lang w:eastAsia="en-GB"/>
    </w:rPr>
  </w:style>
  <w:style w:type="paragraph" w:customStyle="1" w:styleId="Prliminairetitre">
    <w:name w:val="Préliminaire titre"/>
    <w:basedOn w:val="Normal"/>
    <w:next w:val="Normal"/>
    <w:rsid w:val="00A30D6B"/>
    <w:pPr>
      <w:spacing w:before="360" w:after="360"/>
      <w:jc w:val="center"/>
    </w:pPr>
    <w:rPr>
      <w:rFonts w:eastAsia="Times New Roman"/>
      <w:b/>
      <w:lang w:eastAsia="en-GB"/>
    </w:rPr>
  </w:style>
  <w:style w:type="paragraph" w:customStyle="1" w:styleId="Prliminairetype">
    <w:name w:val="Préliminaire type"/>
    <w:basedOn w:val="Normal"/>
    <w:next w:val="Normal"/>
    <w:rsid w:val="00A30D6B"/>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A30D6B"/>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A30D6B"/>
    <w:pPr>
      <w:spacing w:before="0" w:after="0"/>
      <w:ind w:left="5103"/>
      <w:jc w:val="left"/>
    </w:pPr>
    <w:rPr>
      <w:rFonts w:eastAsia="Times New Roman"/>
      <w:lang w:eastAsia="en-GB"/>
    </w:rPr>
  </w:style>
  <w:style w:type="paragraph" w:customStyle="1" w:styleId="Rfrenceinterinstitutionelleprliminaire">
    <w:name w:val="Référence interinstitutionelle (préliminaire)"/>
    <w:basedOn w:val="Normal"/>
    <w:next w:val="Normal"/>
    <w:rsid w:val="00A30D6B"/>
    <w:pPr>
      <w:spacing w:before="0" w:after="0"/>
      <w:ind w:left="5103"/>
      <w:jc w:val="left"/>
    </w:pPr>
    <w:rPr>
      <w:rFonts w:eastAsia="Times New Roman"/>
      <w:lang w:eastAsia="en-GB"/>
    </w:rPr>
  </w:style>
  <w:style w:type="paragraph" w:customStyle="1" w:styleId="Sous-titreobjetprliminaire">
    <w:name w:val="Sous-titre objet (préliminaire)"/>
    <w:basedOn w:val="Normal"/>
    <w:rsid w:val="00A30D6B"/>
    <w:pPr>
      <w:spacing w:before="0" w:after="0"/>
      <w:jc w:val="center"/>
    </w:pPr>
    <w:rPr>
      <w:rFonts w:eastAsia="Times New Roman"/>
      <w:b/>
      <w:lang w:eastAsia="en-GB"/>
    </w:rPr>
  </w:style>
  <w:style w:type="paragraph" w:customStyle="1" w:styleId="Statutprliminaire">
    <w:name w:val="Statut (préliminaire)"/>
    <w:basedOn w:val="Normal"/>
    <w:next w:val="Normal"/>
    <w:rsid w:val="00A30D6B"/>
    <w:pPr>
      <w:spacing w:before="360" w:after="0"/>
      <w:jc w:val="center"/>
    </w:pPr>
    <w:rPr>
      <w:rFonts w:eastAsia="Times New Roman"/>
      <w:lang w:eastAsia="en-GB"/>
    </w:rPr>
  </w:style>
  <w:style w:type="paragraph" w:customStyle="1" w:styleId="Titreobjetprliminaire">
    <w:name w:val="Titre objet (préliminaire)"/>
    <w:basedOn w:val="Normal"/>
    <w:next w:val="Normal"/>
    <w:rsid w:val="00A30D6B"/>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A30D6B"/>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A30D6B"/>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A30D6B"/>
    <w:pPr>
      <w:jc w:val="center"/>
    </w:pPr>
    <w:rPr>
      <w:rFonts w:eastAsia="Times New Roman"/>
      <w:b/>
      <w:u w:val="single"/>
      <w:lang w:eastAsia="en-GB"/>
    </w:rPr>
  </w:style>
  <w:style w:type="paragraph" w:customStyle="1" w:styleId="Fichefinanciretravailtitre">
    <w:name w:val="Fiche financière (travail) titre"/>
    <w:basedOn w:val="Normal"/>
    <w:next w:val="Normal"/>
    <w:rsid w:val="00A30D6B"/>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A30D6B"/>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A30D6B"/>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A30D6B"/>
    <w:pPr>
      <w:jc w:val="center"/>
    </w:pPr>
    <w:rPr>
      <w:rFonts w:eastAsia="Times New Roman"/>
      <w:b/>
      <w:u w:val="single"/>
      <w:lang w:eastAsia="en-GB"/>
    </w:rPr>
  </w:style>
  <w:style w:type="character" w:styleId="CommentReference">
    <w:name w:val="annotation reference"/>
    <w:uiPriority w:val="99"/>
    <w:rsid w:val="00A30D6B"/>
    <w:rPr>
      <w:rFonts w:cs="Times New Roman"/>
      <w:sz w:val="16"/>
      <w:szCs w:val="16"/>
    </w:rPr>
  </w:style>
  <w:style w:type="paragraph" w:styleId="CommentText">
    <w:name w:val="annotation text"/>
    <w:basedOn w:val="Normal"/>
    <w:link w:val="CommentTextChar"/>
    <w:uiPriority w:val="99"/>
    <w:rsid w:val="00A30D6B"/>
    <w:rPr>
      <w:rFonts w:eastAsia="Times New Roman"/>
      <w:sz w:val="20"/>
      <w:szCs w:val="20"/>
      <w:lang w:eastAsia="en-GB"/>
    </w:rPr>
  </w:style>
  <w:style w:type="character" w:customStyle="1" w:styleId="CommentTextChar">
    <w:name w:val="Comment Text Char"/>
    <w:basedOn w:val="DefaultParagraphFont"/>
    <w:link w:val="CommentText"/>
    <w:uiPriority w:val="99"/>
    <w:rsid w:val="00A30D6B"/>
    <w:rPr>
      <w:rFonts w:ascii="Times New Roman" w:eastAsia="Times New Roman" w:hAnsi="Times New Roman" w:cs="Times New Roman"/>
      <w:sz w:val="20"/>
      <w:szCs w:val="20"/>
      <w:lang w:val="fi-FI" w:eastAsia="en-GB"/>
    </w:rPr>
  </w:style>
  <w:style w:type="paragraph" w:styleId="CommentSubject">
    <w:name w:val="annotation subject"/>
    <w:basedOn w:val="CommentText"/>
    <w:next w:val="CommentText"/>
    <w:link w:val="CommentSubjectChar"/>
    <w:rsid w:val="00A30D6B"/>
    <w:rPr>
      <w:b/>
      <w:bCs/>
    </w:rPr>
  </w:style>
  <w:style w:type="character" w:customStyle="1" w:styleId="CommentSubjectChar">
    <w:name w:val="Comment Subject Char"/>
    <w:basedOn w:val="CommentTextChar"/>
    <w:link w:val="CommentSubject"/>
    <w:rsid w:val="00A30D6B"/>
    <w:rPr>
      <w:rFonts w:ascii="Times New Roman" w:eastAsia="Times New Roman" w:hAnsi="Times New Roman" w:cs="Times New Roman"/>
      <w:b/>
      <w:bCs/>
      <w:sz w:val="20"/>
      <w:szCs w:val="20"/>
      <w:lang w:val="fi-FI" w:eastAsia="en-GB"/>
    </w:rPr>
  </w:style>
  <w:style w:type="paragraph" w:styleId="BalloonText">
    <w:name w:val="Balloon Text"/>
    <w:basedOn w:val="Normal"/>
    <w:link w:val="BalloonTextChar"/>
    <w:rsid w:val="00A30D6B"/>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A30D6B"/>
    <w:rPr>
      <w:rFonts w:ascii="Tahoma" w:eastAsia="Times New Roman" w:hAnsi="Tahoma" w:cs="Tahoma"/>
      <w:sz w:val="16"/>
      <w:szCs w:val="16"/>
      <w:lang w:val="fi-FI" w:eastAsia="en-GB"/>
    </w:rPr>
  </w:style>
  <w:style w:type="paragraph" w:styleId="Caption">
    <w:name w:val="caption"/>
    <w:basedOn w:val="Normal"/>
    <w:next w:val="Normal"/>
    <w:qFormat/>
    <w:rsid w:val="00A30D6B"/>
    <w:rPr>
      <w:rFonts w:eastAsia="Times New Roman"/>
      <w:b/>
      <w:bCs/>
      <w:sz w:val="20"/>
      <w:szCs w:val="20"/>
      <w:lang w:eastAsia="en-GB"/>
    </w:rPr>
  </w:style>
  <w:style w:type="paragraph" w:styleId="TableofFigures">
    <w:name w:val="table of figures"/>
    <w:basedOn w:val="Normal"/>
    <w:next w:val="Normal"/>
    <w:rsid w:val="00A30D6B"/>
    <w:rPr>
      <w:rFonts w:eastAsia="Times New Roman"/>
      <w:lang w:eastAsia="en-GB"/>
    </w:rPr>
  </w:style>
  <w:style w:type="character" w:styleId="PageNumber">
    <w:name w:val="page number"/>
    <w:rsid w:val="00A30D6B"/>
  </w:style>
  <w:style w:type="character" w:customStyle="1" w:styleId="tw4winMark">
    <w:name w:val="tw4winMark"/>
    <w:rsid w:val="00A30D6B"/>
    <w:rPr>
      <w:vanish/>
      <w:color w:val="800080"/>
      <w:vertAlign w:val="subscript"/>
    </w:rPr>
  </w:style>
  <w:style w:type="character" w:styleId="FollowedHyperlink">
    <w:name w:val="FollowedHyperlink"/>
    <w:rsid w:val="00A30D6B"/>
    <w:rPr>
      <w:color w:val="800080"/>
      <w:u w:val="single"/>
    </w:rPr>
  </w:style>
  <w:style w:type="paragraph" w:customStyle="1" w:styleId="Sous-titreobjet">
    <w:name w:val="Sous-titre objet"/>
    <w:basedOn w:val="Normal"/>
    <w:rsid w:val="00A30D6B"/>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A30D6B"/>
  </w:style>
  <w:style w:type="paragraph" w:styleId="Revision">
    <w:name w:val="Revision"/>
    <w:hidden/>
    <w:uiPriority w:val="99"/>
    <w:semiHidden/>
    <w:rsid w:val="00A30D6B"/>
    <w:rPr>
      <w:rFonts w:ascii="Calibri" w:eastAsia="Calibri" w:hAnsi="Calibri" w:cs="Times New Roman"/>
      <w:sz w:val="24"/>
      <w:lang w:eastAsia="en-GB"/>
    </w:rPr>
  </w:style>
  <w:style w:type="paragraph" w:customStyle="1" w:styleId="FooterCoverPage">
    <w:name w:val="Footer Cover Page"/>
    <w:basedOn w:val="Normal"/>
    <w:link w:val="FooterCoverPageChar"/>
    <w:rsid w:val="00A30D6B"/>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A30D6B"/>
    <w:rPr>
      <w:rFonts w:ascii="Times New Roman" w:hAnsi="Times New Roman" w:cs="Times New Roman"/>
      <w:b/>
      <w:sz w:val="28"/>
      <w:lang w:val="fi-FI"/>
    </w:rPr>
  </w:style>
  <w:style w:type="character" w:customStyle="1" w:styleId="FooterCoverPageChar">
    <w:name w:val="Footer Cover Page Char"/>
    <w:link w:val="FooterCoverPage"/>
    <w:rsid w:val="00A30D6B"/>
    <w:rPr>
      <w:rFonts w:ascii="Times New Roman" w:eastAsia="Calibri" w:hAnsi="Times New Roman" w:cs="Times New Roman"/>
      <w:sz w:val="24"/>
      <w:lang w:val="fi-FI" w:eastAsia="en-GB"/>
    </w:rPr>
  </w:style>
  <w:style w:type="paragraph" w:customStyle="1" w:styleId="HeaderCoverPage">
    <w:name w:val="Header Cover Page"/>
    <w:basedOn w:val="Normal"/>
    <w:link w:val="HeaderCoverPageChar"/>
    <w:rsid w:val="00A30D6B"/>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A30D6B"/>
    <w:rPr>
      <w:rFonts w:ascii="Times New Roman" w:eastAsia="Calibri" w:hAnsi="Times New Roman" w:cs="Times New Roman"/>
      <w:sz w:val="24"/>
      <w:lang w:val="fi-FI" w:eastAsia="en-GB"/>
    </w:rPr>
  </w:style>
  <w:style w:type="character" w:customStyle="1" w:styleId="FooterSensitivityChar">
    <w:name w:val="Footer Sensitivity Char"/>
    <w:rsid w:val="00A30D6B"/>
    <w:rPr>
      <w:rFonts w:ascii="Times New Roman" w:hAnsi="Times New Roman" w:cs="Times New Roman"/>
      <w:b/>
      <w:sz w:val="32"/>
      <w:lang w:val="fi-FI"/>
    </w:rPr>
  </w:style>
  <w:style w:type="character" w:customStyle="1" w:styleId="HeaderSensitivityChar">
    <w:name w:val="Header Sensitivity Char"/>
    <w:rsid w:val="00A30D6B"/>
    <w:rPr>
      <w:rFonts w:ascii="Times New Roman" w:hAnsi="Times New Roman" w:cs="Times New Roman"/>
      <w:b/>
      <w:sz w:val="32"/>
      <w:lang w:val="fi-FI"/>
    </w:rPr>
  </w:style>
  <w:style w:type="character" w:customStyle="1" w:styleId="HeaderSensitivityRightChar">
    <w:name w:val="Header Sensitivity Right Char"/>
    <w:rsid w:val="00A30D6B"/>
    <w:rPr>
      <w:rFonts w:ascii="Times New Roman" w:hAnsi="Times New Roman" w:cs="Times New Roman"/>
      <w:sz w:val="28"/>
      <w:lang w:val="fi-FI"/>
    </w:rPr>
  </w:style>
  <w:style w:type="paragraph" w:customStyle="1" w:styleId="LegalNumPar">
    <w:name w:val="LegalNumPar"/>
    <w:basedOn w:val="Normal"/>
    <w:qFormat/>
    <w:rsid w:val="00A30D6B"/>
    <w:pPr>
      <w:numPr>
        <w:numId w:val="29"/>
      </w:numPr>
      <w:spacing w:line="360" w:lineRule="auto"/>
    </w:pPr>
    <w:rPr>
      <w:rFonts w:eastAsia="Times New Roman"/>
      <w:lang w:eastAsia="en-GB"/>
    </w:rPr>
  </w:style>
  <w:style w:type="paragraph" w:customStyle="1" w:styleId="LegalNumPar2">
    <w:name w:val="LegalNumPar2"/>
    <w:basedOn w:val="Normal"/>
    <w:qFormat/>
    <w:rsid w:val="00A30D6B"/>
    <w:pPr>
      <w:numPr>
        <w:ilvl w:val="1"/>
        <w:numId w:val="29"/>
      </w:numPr>
      <w:spacing w:line="360" w:lineRule="auto"/>
    </w:pPr>
    <w:rPr>
      <w:rFonts w:eastAsia="Times New Roman"/>
      <w:lang w:eastAsia="en-GB"/>
    </w:rPr>
  </w:style>
  <w:style w:type="paragraph" w:customStyle="1" w:styleId="LegalNumPar3">
    <w:name w:val="LegalNumPar3"/>
    <w:basedOn w:val="Normal"/>
    <w:rsid w:val="00A30D6B"/>
    <w:pPr>
      <w:numPr>
        <w:ilvl w:val="2"/>
        <w:numId w:val="29"/>
      </w:numPr>
      <w:spacing w:line="360" w:lineRule="auto"/>
    </w:pPr>
    <w:rPr>
      <w:rFonts w:eastAsia="Times New Roman"/>
      <w:lang w:eastAsia="en-GB"/>
    </w:rPr>
  </w:style>
  <w:style w:type="paragraph" w:styleId="ListParagraph">
    <w:name w:val="List Paragraph"/>
    <w:basedOn w:val="Normal"/>
    <w:uiPriority w:val="34"/>
    <w:qFormat/>
    <w:rsid w:val="00A30D6B"/>
    <w:pPr>
      <w:ind w:left="720"/>
      <w:contextualSpacing/>
    </w:pPr>
    <w:rPr>
      <w:rFonts w:eastAsia="Times New Roman"/>
      <w:lang w:eastAsia="en-GB"/>
    </w:rPr>
  </w:style>
  <w:style w:type="character" w:customStyle="1" w:styleId="UnresolvedMention1">
    <w:name w:val="Unresolved Mention1"/>
    <w:basedOn w:val="DefaultParagraphFont"/>
    <w:uiPriority w:val="99"/>
    <w:semiHidden/>
    <w:unhideWhenUsed/>
    <w:rsid w:val="00A30D6B"/>
    <w:rPr>
      <w:color w:val="605E5C"/>
      <w:shd w:val="clear" w:color="auto" w:fill="E1DFDD"/>
    </w:rPr>
  </w:style>
  <w:style w:type="character" w:styleId="Strong">
    <w:name w:val="Strong"/>
    <w:basedOn w:val="DefaultParagraphFont"/>
    <w:qFormat/>
    <w:rsid w:val="00A30D6B"/>
    <w:rPr>
      <w:b/>
      <w:bCs/>
    </w:rPr>
  </w:style>
  <w:style w:type="character" w:styleId="Emphasis">
    <w:name w:val="Emphasis"/>
    <w:basedOn w:val="DefaultParagraphFont"/>
    <w:qFormat/>
    <w:rsid w:val="00A30D6B"/>
    <w:rPr>
      <w:i/>
      <w:iCs/>
    </w:rPr>
  </w:style>
  <w:style w:type="character" w:customStyle="1" w:styleId="Mention1">
    <w:name w:val="Mention1"/>
    <w:basedOn w:val="DefaultParagraphFont"/>
    <w:uiPriority w:val="99"/>
    <w:unhideWhenUsed/>
    <w:rsid w:val="00A30D6B"/>
    <w:rPr>
      <w:color w:val="2B579A"/>
      <w:shd w:val="clear" w:color="auto" w:fill="E1DFDD"/>
    </w:rPr>
  </w:style>
  <w:style w:type="character" w:customStyle="1" w:styleId="normaltextrun">
    <w:name w:val="normaltextrun"/>
    <w:basedOn w:val="DefaultParagraphFont"/>
    <w:rsid w:val="00A30D6B"/>
  </w:style>
  <w:style w:type="character" w:customStyle="1" w:styleId="eop">
    <w:name w:val="eop"/>
    <w:basedOn w:val="DefaultParagraphFont"/>
    <w:rsid w:val="00A30D6B"/>
  </w:style>
  <w:style w:type="paragraph" w:styleId="NormalWeb">
    <w:name w:val="Normal (Web)"/>
    <w:basedOn w:val="Normal"/>
    <w:uiPriority w:val="99"/>
    <w:unhideWhenUsed/>
    <w:rsid w:val="003D0E65"/>
    <w:pPr>
      <w:spacing w:before="100" w:beforeAutospacing="1" w:after="100" w:afterAutospacing="1"/>
      <w:jc w:val="left"/>
    </w:pPr>
    <w:rPr>
      <w:rFonts w:eastAsia="Times New Roman"/>
      <w:szCs w:val="24"/>
      <w:lang w:eastAsia="en-IE"/>
    </w:rPr>
  </w:style>
  <w:style w:type="paragraph" w:customStyle="1" w:styleId="Article">
    <w:name w:val="Article"/>
    <w:basedOn w:val="Normal"/>
    <w:rsid w:val="00846A60"/>
    <w:pPr>
      <w:ind w:left="360"/>
      <w:jc w:val="center"/>
    </w:pPr>
    <w:rPr>
      <w:b/>
    </w:rPr>
  </w:style>
  <w:style w:type="paragraph" w:customStyle="1" w:styleId="paragraph">
    <w:name w:val="paragraph"/>
    <w:basedOn w:val="Normal"/>
    <w:rsid w:val="008B31F3"/>
    <w:pPr>
      <w:spacing w:before="100" w:beforeAutospacing="1" w:after="100" w:afterAutospacing="1"/>
      <w:jc w:val="left"/>
    </w:pPr>
    <w:rPr>
      <w:rFonts w:eastAsia="Times New Roman"/>
      <w:szCs w:val="24"/>
      <w:lang w:eastAsia="en-IE"/>
    </w:rPr>
  </w:style>
  <w:style w:type="character" w:customStyle="1" w:styleId="tabchar">
    <w:name w:val="tabchar"/>
    <w:basedOn w:val="DefaultParagraphFont"/>
    <w:rsid w:val="008B31F3"/>
  </w:style>
  <w:style w:type="character" w:customStyle="1" w:styleId="UnresolvedMention2">
    <w:name w:val="Unresolved Mention2"/>
    <w:basedOn w:val="DefaultParagraphFont"/>
    <w:uiPriority w:val="99"/>
    <w:semiHidden/>
    <w:unhideWhenUsed/>
    <w:rsid w:val="006A31D7"/>
    <w:rPr>
      <w:color w:val="605E5C"/>
      <w:shd w:val="clear" w:color="auto" w:fill="E1DFDD"/>
    </w:rPr>
  </w:style>
  <w:style w:type="character" w:customStyle="1" w:styleId="HeaderChar">
    <w:name w:val="Header Char"/>
    <w:basedOn w:val="DefaultParagraphFont"/>
    <w:link w:val="Header"/>
    <w:uiPriority w:val="99"/>
    <w:rsid w:val="00A02E61"/>
    <w:rPr>
      <w:rFonts w:ascii="Times New Roman" w:hAnsi="Times New Roman" w:cs="Times New Roman"/>
      <w:sz w:val="24"/>
    </w:rPr>
  </w:style>
  <w:style w:type="character" w:customStyle="1" w:styleId="FooterChar">
    <w:name w:val="Footer Char"/>
    <w:basedOn w:val="DefaultParagraphFont"/>
    <w:link w:val="Footer"/>
    <w:uiPriority w:val="99"/>
    <w:rsid w:val="00A02E61"/>
    <w:rPr>
      <w:rFonts w:ascii="Times New Roman" w:hAnsi="Times New Roman" w:cs="Times New Roman"/>
      <w:sz w:val="24"/>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fi-FI"/>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fi-FI"/>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fi-FI"/>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fi-FI"/>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fi-FI"/>
    </w:rPr>
  </w:style>
  <w:style w:type="character" w:customStyle="1" w:styleId="Heading5Char">
    <w:name w:val="Heading 5 Char"/>
    <w:basedOn w:val="DefaultParagraphFont"/>
    <w:link w:val="Heading5"/>
    <w:uiPriority w:val="9"/>
    <w:semiHidden/>
    <w:rsid w:val="00707B52"/>
    <w:rPr>
      <w:rFonts w:ascii="Times New Roman" w:eastAsiaTheme="majorEastAsia" w:hAnsi="Times New Roman" w:cs="Times New Roman"/>
      <w:sz w:val="24"/>
      <w:lang w:val="fi-FI"/>
    </w:rPr>
  </w:style>
  <w:style w:type="character" w:customStyle="1" w:styleId="Heading6Char">
    <w:name w:val="Heading 6 Char"/>
    <w:basedOn w:val="DefaultParagraphFont"/>
    <w:link w:val="Heading6"/>
    <w:uiPriority w:val="9"/>
    <w:semiHidden/>
    <w:rsid w:val="00707B52"/>
    <w:rPr>
      <w:rFonts w:ascii="Times New Roman" w:eastAsiaTheme="majorEastAsia" w:hAnsi="Times New Roman" w:cs="Times New Roman"/>
      <w:iCs/>
      <w:sz w:val="24"/>
      <w:lang w:val="fi-FI"/>
    </w:rPr>
  </w:style>
  <w:style w:type="character" w:customStyle="1" w:styleId="Heading7Char">
    <w:name w:val="Heading 7 Char"/>
    <w:basedOn w:val="DefaultParagraphFont"/>
    <w:link w:val="Heading7"/>
    <w:uiPriority w:val="9"/>
    <w:semiHidden/>
    <w:rsid w:val="00707B52"/>
    <w:rPr>
      <w:rFonts w:ascii="Times New Roman" w:eastAsiaTheme="majorEastAsia" w:hAnsi="Times New Roman" w:cs="Times New Roman"/>
      <w:iCs/>
      <w:sz w:val="24"/>
      <w:lang w:val="fi-FI"/>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rsid w:val="00707B52"/>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02E61"/>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02E61"/>
    <w:pPr>
      <w:spacing w:before="0"/>
      <w:jc w:val="right"/>
    </w:pPr>
    <w:rPr>
      <w:sz w:val="28"/>
    </w:rPr>
  </w:style>
  <w:style w:type="paragraph" w:customStyle="1" w:styleId="FooterSensitivity">
    <w:name w:val="Footer Sensitivity"/>
    <w:basedOn w:val="Normal"/>
    <w:rsid w:val="00A02E61"/>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rsid w:val="00707B52"/>
    <w:pPr>
      <w:ind w:left="3118"/>
    </w:pPr>
  </w:style>
  <w:style w:type="paragraph" w:customStyle="1" w:styleId="Text6">
    <w:name w:val="Text 6"/>
    <w:basedOn w:val="Normal"/>
    <w:rsid w:val="00707B52"/>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rsid w:val="00707B52"/>
    <w:pPr>
      <w:ind w:left="3685" w:hanging="567"/>
    </w:pPr>
  </w:style>
  <w:style w:type="paragraph" w:customStyle="1" w:styleId="Tiret0">
    <w:name w:val="Tiret 0"/>
    <w:basedOn w:val="Point0"/>
    <w:pPr>
      <w:numPr>
        <w:numId w:val="47"/>
      </w:numPr>
    </w:pPr>
  </w:style>
  <w:style w:type="paragraph" w:customStyle="1" w:styleId="Tiret1">
    <w:name w:val="Tiret 1"/>
    <w:basedOn w:val="Point1"/>
    <w:pPr>
      <w:numPr>
        <w:numId w:val="48"/>
      </w:numPr>
    </w:pPr>
  </w:style>
  <w:style w:type="paragraph" w:customStyle="1" w:styleId="Tiret2">
    <w:name w:val="Tiret 2"/>
    <w:basedOn w:val="Point2"/>
    <w:pPr>
      <w:numPr>
        <w:numId w:val="49"/>
      </w:numPr>
    </w:pPr>
  </w:style>
  <w:style w:type="paragraph" w:customStyle="1" w:styleId="Tiret3">
    <w:name w:val="Tiret 3"/>
    <w:basedOn w:val="Point3"/>
    <w:pPr>
      <w:numPr>
        <w:numId w:val="50"/>
      </w:numPr>
    </w:pPr>
  </w:style>
  <w:style w:type="paragraph" w:customStyle="1" w:styleId="Tiret4">
    <w:name w:val="Tiret 4"/>
    <w:basedOn w:val="Point4"/>
    <w:pPr>
      <w:numPr>
        <w:numId w:val="51"/>
      </w:numPr>
    </w:pPr>
  </w:style>
  <w:style w:type="paragraph" w:customStyle="1" w:styleId="Tiret5">
    <w:name w:val="Tiret 5"/>
    <w:basedOn w:val="Point5"/>
    <w:rsid w:val="00707B52"/>
    <w:pPr>
      <w:numPr>
        <w:numId w:val="6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68"/>
      </w:numPr>
    </w:pPr>
  </w:style>
  <w:style w:type="paragraph" w:customStyle="1" w:styleId="NumPar2">
    <w:name w:val="NumPar 2"/>
    <w:basedOn w:val="Normal"/>
    <w:next w:val="Text1"/>
    <w:pPr>
      <w:numPr>
        <w:ilvl w:val="1"/>
        <w:numId w:val="68"/>
      </w:numPr>
    </w:pPr>
  </w:style>
  <w:style w:type="paragraph" w:customStyle="1" w:styleId="NumPar3">
    <w:name w:val="NumPar 3"/>
    <w:basedOn w:val="Normal"/>
    <w:next w:val="Text1"/>
    <w:pPr>
      <w:numPr>
        <w:ilvl w:val="2"/>
        <w:numId w:val="68"/>
      </w:numPr>
    </w:pPr>
  </w:style>
  <w:style w:type="paragraph" w:customStyle="1" w:styleId="NumPar4">
    <w:name w:val="NumPar 4"/>
    <w:basedOn w:val="Normal"/>
    <w:next w:val="Text1"/>
    <w:pPr>
      <w:numPr>
        <w:ilvl w:val="3"/>
        <w:numId w:val="68"/>
      </w:numPr>
    </w:pPr>
  </w:style>
  <w:style w:type="paragraph" w:customStyle="1" w:styleId="NumPar5">
    <w:name w:val="NumPar 5"/>
    <w:basedOn w:val="Normal"/>
    <w:next w:val="Text2"/>
    <w:rsid w:val="00707B52"/>
    <w:pPr>
      <w:numPr>
        <w:ilvl w:val="4"/>
        <w:numId w:val="68"/>
      </w:numPr>
    </w:pPr>
  </w:style>
  <w:style w:type="paragraph" w:customStyle="1" w:styleId="NumPar6">
    <w:name w:val="NumPar 6"/>
    <w:basedOn w:val="Normal"/>
    <w:next w:val="Text2"/>
    <w:rsid w:val="00707B52"/>
    <w:pPr>
      <w:numPr>
        <w:ilvl w:val="5"/>
        <w:numId w:val="68"/>
      </w:numPr>
    </w:pPr>
  </w:style>
  <w:style w:type="paragraph" w:customStyle="1" w:styleId="NumPar7">
    <w:name w:val="NumPar 7"/>
    <w:basedOn w:val="Normal"/>
    <w:next w:val="Text2"/>
    <w:rsid w:val="00707B52"/>
    <w:pPr>
      <w:numPr>
        <w:ilvl w:val="6"/>
        <w:numId w:val="6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rsid w:val="00707B52"/>
    <w:pPr>
      <w:ind w:left="1417" w:hanging="1417"/>
    </w:pPr>
  </w:style>
  <w:style w:type="paragraph" w:customStyle="1" w:styleId="ManualNumPar6">
    <w:name w:val="Manual NumPar 6"/>
    <w:basedOn w:val="Normal"/>
    <w:next w:val="Text2"/>
    <w:rsid w:val="00707B52"/>
    <w:pPr>
      <w:ind w:left="1417" w:hanging="1417"/>
    </w:pPr>
  </w:style>
  <w:style w:type="paragraph" w:customStyle="1" w:styleId="ManualNumPar7">
    <w:name w:val="Manual NumPar 7"/>
    <w:basedOn w:val="Normal"/>
    <w:next w:val="Text2"/>
    <w:rsid w:val="00707B5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rsid w:val="00707B52"/>
    <w:pPr>
      <w:keepNext/>
      <w:tabs>
        <w:tab w:val="left" w:pos="1417"/>
      </w:tabs>
      <w:ind w:left="1417" w:hanging="1417"/>
      <w:outlineLvl w:val="4"/>
    </w:pPr>
  </w:style>
  <w:style w:type="paragraph" w:customStyle="1" w:styleId="ManualHeading6">
    <w:name w:val="Manual Heading 6"/>
    <w:basedOn w:val="Normal"/>
    <w:next w:val="Text2"/>
    <w:rsid w:val="00707B52"/>
    <w:pPr>
      <w:keepNext/>
      <w:tabs>
        <w:tab w:val="left" w:pos="1417"/>
      </w:tabs>
      <w:ind w:left="1417" w:hanging="1417"/>
      <w:outlineLvl w:val="5"/>
    </w:pPr>
  </w:style>
  <w:style w:type="paragraph" w:customStyle="1" w:styleId="ManualHeading7">
    <w:name w:val="Manual Heading 7"/>
    <w:basedOn w:val="Normal"/>
    <w:next w:val="Text2"/>
    <w:rsid w:val="00707B5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55"/>
      </w:numPr>
    </w:pPr>
  </w:style>
  <w:style w:type="paragraph" w:customStyle="1" w:styleId="Point1number">
    <w:name w:val="Point 1 (number)"/>
    <w:basedOn w:val="Normal"/>
    <w:pPr>
      <w:numPr>
        <w:ilvl w:val="2"/>
        <w:numId w:val="55"/>
      </w:numPr>
    </w:pPr>
  </w:style>
  <w:style w:type="paragraph" w:customStyle="1" w:styleId="Point2number">
    <w:name w:val="Point 2 (number)"/>
    <w:basedOn w:val="Normal"/>
    <w:pPr>
      <w:numPr>
        <w:ilvl w:val="4"/>
        <w:numId w:val="55"/>
      </w:numPr>
    </w:pPr>
  </w:style>
  <w:style w:type="paragraph" w:customStyle="1" w:styleId="Point3number">
    <w:name w:val="Point 3 (number)"/>
    <w:basedOn w:val="Normal"/>
    <w:pPr>
      <w:numPr>
        <w:ilvl w:val="6"/>
        <w:numId w:val="55"/>
      </w:numPr>
    </w:pPr>
  </w:style>
  <w:style w:type="paragraph" w:customStyle="1" w:styleId="Point0letter">
    <w:name w:val="Point 0 (letter)"/>
    <w:basedOn w:val="Normal"/>
    <w:pPr>
      <w:numPr>
        <w:ilvl w:val="1"/>
        <w:numId w:val="55"/>
      </w:numPr>
    </w:pPr>
  </w:style>
  <w:style w:type="paragraph" w:customStyle="1" w:styleId="Point1letter">
    <w:name w:val="Point 1 (letter)"/>
    <w:basedOn w:val="Normal"/>
    <w:pPr>
      <w:numPr>
        <w:ilvl w:val="3"/>
        <w:numId w:val="55"/>
      </w:numPr>
    </w:pPr>
  </w:style>
  <w:style w:type="paragraph" w:customStyle="1" w:styleId="Point2letter">
    <w:name w:val="Point 2 (letter)"/>
    <w:basedOn w:val="Normal"/>
    <w:pPr>
      <w:numPr>
        <w:ilvl w:val="5"/>
        <w:numId w:val="55"/>
      </w:numPr>
    </w:pPr>
  </w:style>
  <w:style w:type="paragraph" w:customStyle="1" w:styleId="Point3letter">
    <w:name w:val="Point 3 (letter)"/>
    <w:basedOn w:val="Normal"/>
    <w:pPr>
      <w:numPr>
        <w:ilvl w:val="7"/>
        <w:numId w:val="55"/>
      </w:numPr>
    </w:pPr>
  </w:style>
  <w:style w:type="paragraph" w:customStyle="1" w:styleId="Point4letter">
    <w:name w:val="Point 4 (letter)"/>
    <w:basedOn w:val="Normal"/>
    <w:pPr>
      <w:numPr>
        <w:ilvl w:val="8"/>
        <w:numId w:val="55"/>
      </w:numPr>
    </w:pPr>
  </w:style>
  <w:style w:type="paragraph" w:customStyle="1" w:styleId="Bullet0">
    <w:name w:val="Bullet 0"/>
    <w:basedOn w:val="Normal"/>
    <w:pPr>
      <w:numPr>
        <w:numId w:val="56"/>
      </w:numPr>
    </w:pPr>
  </w:style>
  <w:style w:type="paragraph" w:customStyle="1" w:styleId="Bullet1">
    <w:name w:val="Bullet 1"/>
    <w:basedOn w:val="Normal"/>
    <w:pPr>
      <w:numPr>
        <w:numId w:val="57"/>
      </w:numPr>
    </w:pPr>
  </w:style>
  <w:style w:type="paragraph" w:customStyle="1" w:styleId="Bullet2">
    <w:name w:val="Bullet 2"/>
    <w:basedOn w:val="Normal"/>
    <w:pPr>
      <w:numPr>
        <w:numId w:val="58"/>
      </w:numPr>
    </w:pPr>
  </w:style>
  <w:style w:type="paragraph" w:customStyle="1" w:styleId="Bullet3">
    <w:name w:val="Bullet 3"/>
    <w:basedOn w:val="Normal"/>
    <w:pPr>
      <w:numPr>
        <w:numId w:val="59"/>
      </w:numPr>
    </w:pPr>
  </w:style>
  <w:style w:type="paragraph" w:customStyle="1" w:styleId="Bullet4">
    <w:name w:val="Bullet 4"/>
    <w:basedOn w:val="Normal"/>
    <w:pPr>
      <w:numPr>
        <w:numId w:val="6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rsid w:val="00707B52"/>
    <w:pPr>
      <w:spacing w:before="0" w:after="0" w:line="276" w:lineRule="auto"/>
      <w:ind w:left="5103"/>
      <w:jc w:val="left"/>
    </w:pPr>
    <w:rPr>
      <w:sz w:val="28"/>
    </w:rPr>
  </w:style>
  <w:style w:type="paragraph" w:customStyle="1" w:styleId="DateMarking">
    <w:name w:val="DateMarking"/>
    <w:basedOn w:val="Normal"/>
    <w:rsid w:val="00707B52"/>
    <w:pPr>
      <w:spacing w:before="0" w:after="0" w:line="276" w:lineRule="auto"/>
      <w:ind w:left="5103"/>
      <w:jc w:val="left"/>
    </w:pPr>
    <w:rPr>
      <w:i/>
      <w:sz w:val="28"/>
    </w:rPr>
  </w:style>
  <w:style w:type="paragraph" w:customStyle="1" w:styleId="ReleasableTo">
    <w:name w:val="ReleasableTo"/>
    <w:basedOn w:val="Normal"/>
    <w:rsid w:val="00707B52"/>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6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rsid w:val="00E664ED"/>
    <w:pPr>
      <w:spacing w:before="360" w:after="24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rsid w:val="00E664ED"/>
    <w:pPr>
      <w:spacing w:after="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Normal"/>
    <w:rsid w:val="00E664ED"/>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Rfrencecroise"/>
    <w:rsid w:val="00E664ED"/>
    <w:pPr>
      <w:spacing w:before="360" w:after="240"/>
      <w:jc w:val="center"/>
    </w:pPr>
  </w:style>
  <w:style w:type="paragraph" w:styleId="Header">
    <w:name w:val="header"/>
    <w:basedOn w:val="Normal"/>
    <w:link w:val="HeaderChar"/>
    <w:uiPriority w:val="99"/>
    <w:unhideWhenUsed/>
    <w:rsid w:val="00A02E61"/>
    <w:pPr>
      <w:tabs>
        <w:tab w:val="center" w:pos="4535"/>
        <w:tab w:val="right" w:pos="9071"/>
      </w:tabs>
      <w:spacing w:before="0"/>
    </w:pPr>
  </w:style>
  <w:style w:type="paragraph" w:customStyle="1" w:styleId="HeaderLandscape">
    <w:name w:val="HeaderLandscape"/>
    <w:basedOn w:val="Normal"/>
    <w:rsid w:val="00A02E61"/>
    <w:pPr>
      <w:tabs>
        <w:tab w:val="center" w:pos="7285"/>
        <w:tab w:val="right" w:pos="14003"/>
      </w:tabs>
      <w:spacing w:before="0"/>
    </w:pPr>
  </w:style>
  <w:style w:type="paragraph" w:styleId="Footer">
    <w:name w:val="footer"/>
    <w:basedOn w:val="Normal"/>
    <w:link w:val="FooterChar"/>
    <w:uiPriority w:val="99"/>
    <w:unhideWhenUsed/>
    <w:rsid w:val="00A02E61"/>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A02E61"/>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797">
      <w:bodyDiv w:val="1"/>
      <w:marLeft w:val="0"/>
      <w:marRight w:val="0"/>
      <w:marTop w:val="0"/>
      <w:marBottom w:val="0"/>
      <w:divBdr>
        <w:top w:val="none" w:sz="0" w:space="0" w:color="auto"/>
        <w:left w:val="none" w:sz="0" w:space="0" w:color="auto"/>
        <w:bottom w:val="none" w:sz="0" w:space="0" w:color="auto"/>
        <w:right w:val="none" w:sz="0" w:space="0" w:color="auto"/>
      </w:divBdr>
    </w:div>
    <w:div w:id="33510328">
      <w:bodyDiv w:val="1"/>
      <w:marLeft w:val="0"/>
      <w:marRight w:val="0"/>
      <w:marTop w:val="0"/>
      <w:marBottom w:val="0"/>
      <w:divBdr>
        <w:top w:val="none" w:sz="0" w:space="0" w:color="auto"/>
        <w:left w:val="none" w:sz="0" w:space="0" w:color="auto"/>
        <w:bottom w:val="none" w:sz="0" w:space="0" w:color="auto"/>
        <w:right w:val="none" w:sz="0" w:space="0" w:color="auto"/>
      </w:divBdr>
      <w:divsChild>
        <w:div w:id="2109350296">
          <w:marLeft w:val="0"/>
          <w:marRight w:val="0"/>
          <w:marTop w:val="0"/>
          <w:marBottom w:val="0"/>
          <w:divBdr>
            <w:top w:val="none" w:sz="0" w:space="0" w:color="auto"/>
            <w:left w:val="none" w:sz="0" w:space="0" w:color="auto"/>
            <w:bottom w:val="none" w:sz="0" w:space="0" w:color="auto"/>
            <w:right w:val="none" w:sz="0" w:space="0" w:color="auto"/>
          </w:divBdr>
        </w:div>
        <w:div w:id="1727755579">
          <w:marLeft w:val="0"/>
          <w:marRight w:val="0"/>
          <w:marTop w:val="0"/>
          <w:marBottom w:val="0"/>
          <w:divBdr>
            <w:top w:val="none" w:sz="0" w:space="0" w:color="auto"/>
            <w:left w:val="none" w:sz="0" w:space="0" w:color="auto"/>
            <w:bottom w:val="none" w:sz="0" w:space="0" w:color="auto"/>
            <w:right w:val="none" w:sz="0" w:space="0" w:color="auto"/>
          </w:divBdr>
        </w:div>
        <w:div w:id="36971719">
          <w:marLeft w:val="0"/>
          <w:marRight w:val="0"/>
          <w:marTop w:val="0"/>
          <w:marBottom w:val="0"/>
          <w:divBdr>
            <w:top w:val="none" w:sz="0" w:space="0" w:color="auto"/>
            <w:left w:val="none" w:sz="0" w:space="0" w:color="auto"/>
            <w:bottom w:val="none" w:sz="0" w:space="0" w:color="auto"/>
            <w:right w:val="none" w:sz="0" w:space="0" w:color="auto"/>
          </w:divBdr>
        </w:div>
        <w:div w:id="1909463006">
          <w:marLeft w:val="0"/>
          <w:marRight w:val="0"/>
          <w:marTop w:val="0"/>
          <w:marBottom w:val="0"/>
          <w:divBdr>
            <w:top w:val="none" w:sz="0" w:space="0" w:color="auto"/>
            <w:left w:val="none" w:sz="0" w:space="0" w:color="auto"/>
            <w:bottom w:val="none" w:sz="0" w:space="0" w:color="auto"/>
            <w:right w:val="none" w:sz="0" w:space="0" w:color="auto"/>
          </w:divBdr>
        </w:div>
        <w:div w:id="1026174575">
          <w:marLeft w:val="0"/>
          <w:marRight w:val="0"/>
          <w:marTop w:val="0"/>
          <w:marBottom w:val="0"/>
          <w:divBdr>
            <w:top w:val="none" w:sz="0" w:space="0" w:color="auto"/>
            <w:left w:val="none" w:sz="0" w:space="0" w:color="auto"/>
            <w:bottom w:val="none" w:sz="0" w:space="0" w:color="auto"/>
            <w:right w:val="none" w:sz="0" w:space="0" w:color="auto"/>
          </w:divBdr>
        </w:div>
        <w:div w:id="1684286431">
          <w:marLeft w:val="0"/>
          <w:marRight w:val="0"/>
          <w:marTop w:val="0"/>
          <w:marBottom w:val="0"/>
          <w:divBdr>
            <w:top w:val="none" w:sz="0" w:space="0" w:color="auto"/>
            <w:left w:val="none" w:sz="0" w:space="0" w:color="auto"/>
            <w:bottom w:val="none" w:sz="0" w:space="0" w:color="auto"/>
            <w:right w:val="none" w:sz="0" w:space="0" w:color="auto"/>
          </w:divBdr>
        </w:div>
        <w:div w:id="544174354">
          <w:marLeft w:val="0"/>
          <w:marRight w:val="0"/>
          <w:marTop w:val="0"/>
          <w:marBottom w:val="0"/>
          <w:divBdr>
            <w:top w:val="none" w:sz="0" w:space="0" w:color="auto"/>
            <w:left w:val="none" w:sz="0" w:space="0" w:color="auto"/>
            <w:bottom w:val="none" w:sz="0" w:space="0" w:color="auto"/>
            <w:right w:val="none" w:sz="0" w:space="0" w:color="auto"/>
          </w:divBdr>
        </w:div>
        <w:div w:id="1539859590">
          <w:marLeft w:val="0"/>
          <w:marRight w:val="0"/>
          <w:marTop w:val="0"/>
          <w:marBottom w:val="0"/>
          <w:divBdr>
            <w:top w:val="none" w:sz="0" w:space="0" w:color="auto"/>
            <w:left w:val="none" w:sz="0" w:space="0" w:color="auto"/>
            <w:bottom w:val="none" w:sz="0" w:space="0" w:color="auto"/>
            <w:right w:val="none" w:sz="0" w:space="0" w:color="auto"/>
          </w:divBdr>
        </w:div>
        <w:div w:id="45494965">
          <w:marLeft w:val="0"/>
          <w:marRight w:val="0"/>
          <w:marTop w:val="0"/>
          <w:marBottom w:val="0"/>
          <w:divBdr>
            <w:top w:val="none" w:sz="0" w:space="0" w:color="auto"/>
            <w:left w:val="none" w:sz="0" w:space="0" w:color="auto"/>
            <w:bottom w:val="none" w:sz="0" w:space="0" w:color="auto"/>
            <w:right w:val="none" w:sz="0" w:space="0" w:color="auto"/>
          </w:divBdr>
        </w:div>
        <w:div w:id="1635595912">
          <w:marLeft w:val="0"/>
          <w:marRight w:val="0"/>
          <w:marTop w:val="0"/>
          <w:marBottom w:val="0"/>
          <w:divBdr>
            <w:top w:val="none" w:sz="0" w:space="0" w:color="auto"/>
            <w:left w:val="none" w:sz="0" w:space="0" w:color="auto"/>
            <w:bottom w:val="none" w:sz="0" w:space="0" w:color="auto"/>
            <w:right w:val="none" w:sz="0" w:space="0" w:color="auto"/>
          </w:divBdr>
        </w:div>
        <w:div w:id="521016739">
          <w:marLeft w:val="0"/>
          <w:marRight w:val="0"/>
          <w:marTop w:val="0"/>
          <w:marBottom w:val="0"/>
          <w:divBdr>
            <w:top w:val="none" w:sz="0" w:space="0" w:color="auto"/>
            <w:left w:val="none" w:sz="0" w:space="0" w:color="auto"/>
            <w:bottom w:val="none" w:sz="0" w:space="0" w:color="auto"/>
            <w:right w:val="none" w:sz="0" w:space="0" w:color="auto"/>
          </w:divBdr>
        </w:div>
        <w:div w:id="205915787">
          <w:marLeft w:val="0"/>
          <w:marRight w:val="0"/>
          <w:marTop w:val="0"/>
          <w:marBottom w:val="0"/>
          <w:divBdr>
            <w:top w:val="none" w:sz="0" w:space="0" w:color="auto"/>
            <w:left w:val="none" w:sz="0" w:space="0" w:color="auto"/>
            <w:bottom w:val="none" w:sz="0" w:space="0" w:color="auto"/>
            <w:right w:val="none" w:sz="0" w:space="0" w:color="auto"/>
          </w:divBdr>
        </w:div>
        <w:div w:id="101535894">
          <w:marLeft w:val="0"/>
          <w:marRight w:val="0"/>
          <w:marTop w:val="0"/>
          <w:marBottom w:val="0"/>
          <w:divBdr>
            <w:top w:val="none" w:sz="0" w:space="0" w:color="auto"/>
            <w:left w:val="none" w:sz="0" w:space="0" w:color="auto"/>
            <w:bottom w:val="none" w:sz="0" w:space="0" w:color="auto"/>
            <w:right w:val="none" w:sz="0" w:space="0" w:color="auto"/>
          </w:divBdr>
        </w:div>
        <w:div w:id="976227520">
          <w:marLeft w:val="0"/>
          <w:marRight w:val="0"/>
          <w:marTop w:val="0"/>
          <w:marBottom w:val="0"/>
          <w:divBdr>
            <w:top w:val="none" w:sz="0" w:space="0" w:color="auto"/>
            <w:left w:val="none" w:sz="0" w:space="0" w:color="auto"/>
            <w:bottom w:val="none" w:sz="0" w:space="0" w:color="auto"/>
            <w:right w:val="none" w:sz="0" w:space="0" w:color="auto"/>
          </w:divBdr>
        </w:div>
        <w:div w:id="631523474">
          <w:marLeft w:val="0"/>
          <w:marRight w:val="0"/>
          <w:marTop w:val="0"/>
          <w:marBottom w:val="0"/>
          <w:divBdr>
            <w:top w:val="none" w:sz="0" w:space="0" w:color="auto"/>
            <w:left w:val="none" w:sz="0" w:space="0" w:color="auto"/>
            <w:bottom w:val="none" w:sz="0" w:space="0" w:color="auto"/>
            <w:right w:val="none" w:sz="0" w:space="0" w:color="auto"/>
          </w:divBdr>
        </w:div>
        <w:div w:id="410548475">
          <w:marLeft w:val="0"/>
          <w:marRight w:val="0"/>
          <w:marTop w:val="0"/>
          <w:marBottom w:val="0"/>
          <w:divBdr>
            <w:top w:val="none" w:sz="0" w:space="0" w:color="auto"/>
            <w:left w:val="none" w:sz="0" w:space="0" w:color="auto"/>
            <w:bottom w:val="none" w:sz="0" w:space="0" w:color="auto"/>
            <w:right w:val="none" w:sz="0" w:space="0" w:color="auto"/>
          </w:divBdr>
        </w:div>
        <w:div w:id="1857117092">
          <w:marLeft w:val="0"/>
          <w:marRight w:val="0"/>
          <w:marTop w:val="0"/>
          <w:marBottom w:val="0"/>
          <w:divBdr>
            <w:top w:val="none" w:sz="0" w:space="0" w:color="auto"/>
            <w:left w:val="none" w:sz="0" w:space="0" w:color="auto"/>
            <w:bottom w:val="none" w:sz="0" w:space="0" w:color="auto"/>
            <w:right w:val="none" w:sz="0" w:space="0" w:color="auto"/>
          </w:divBdr>
        </w:div>
        <w:div w:id="1005135900">
          <w:marLeft w:val="0"/>
          <w:marRight w:val="0"/>
          <w:marTop w:val="0"/>
          <w:marBottom w:val="0"/>
          <w:divBdr>
            <w:top w:val="none" w:sz="0" w:space="0" w:color="auto"/>
            <w:left w:val="none" w:sz="0" w:space="0" w:color="auto"/>
            <w:bottom w:val="none" w:sz="0" w:space="0" w:color="auto"/>
            <w:right w:val="none" w:sz="0" w:space="0" w:color="auto"/>
          </w:divBdr>
        </w:div>
        <w:div w:id="1260913748">
          <w:marLeft w:val="0"/>
          <w:marRight w:val="0"/>
          <w:marTop w:val="0"/>
          <w:marBottom w:val="0"/>
          <w:divBdr>
            <w:top w:val="none" w:sz="0" w:space="0" w:color="auto"/>
            <w:left w:val="none" w:sz="0" w:space="0" w:color="auto"/>
            <w:bottom w:val="none" w:sz="0" w:space="0" w:color="auto"/>
            <w:right w:val="none" w:sz="0" w:space="0" w:color="auto"/>
          </w:divBdr>
        </w:div>
        <w:div w:id="169879398">
          <w:marLeft w:val="0"/>
          <w:marRight w:val="0"/>
          <w:marTop w:val="0"/>
          <w:marBottom w:val="0"/>
          <w:divBdr>
            <w:top w:val="none" w:sz="0" w:space="0" w:color="auto"/>
            <w:left w:val="none" w:sz="0" w:space="0" w:color="auto"/>
            <w:bottom w:val="none" w:sz="0" w:space="0" w:color="auto"/>
            <w:right w:val="none" w:sz="0" w:space="0" w:color="auto"/>
          </w:divBdr>
        </w:div>
        <w:div w:id="155390611">
          <w:marLeft w:val="0"/>
          <w:marRight w:val="0"/>
          <w:marTop w:val="0"/>
          <w:marBottom w:val="0"/>
          <w:divBdr>
            <w:top w:val="none" w:sz="0" w:space="0" w:color="auto"/>
            <w:left w:val="none" w:sz="0" w:space="0" w:color="auto"/>
            <w:bottom w:val="none" w:sz="0" w:space="0" w:color="auto"/>
            <w:right w:val="none" w:sz="0" w:space="0" w:color="auto"/>
          </w:divBdr>
        </w:div>
        <w:div w:id="838425604">
          <w:marLeft w:val="0"/>
          <w:marRight w:val="0"/>
          <w:marTop w:val="0"/>
          <w:marBottom w:val="0"/>
          <w:divBdr>
            <w:top w:val="none" w:sz="0" w:space="0" w:color="auto"/>
            <w:left w:val="none" w:sz="0" w:space="0" w:color="auto"/>
            <w:bottom w:val="none" w:sz="0" w:space="0" w:color="auto"/>
            <w:right w:val="none" w:sz="0" w:space="0" w:color="auto"/>
          </w:divBdr>
        </w:div>
        <w:div w:id="663702502">
          <w:marLeft w:val="0"/>
          <w:marRight w:val="0"/>
          <w:marTop w:val="0"/>
          <w:marBottom w:val="0"/>
          <w:divBdr>
            <w:top w:val="none" w:sz="0" w:space="0" w:color="auto"/>
            <w:left w:val="none" w:sz="0" w:space="0" w:color="auto"/>
            <w:bottom w:val="none" w:sz="0" w:space="0" w:color="auto"/>
            <w:right w:val="none" w:sz="0" w:space="0" w:color="auto"/>
          </w:divBdr>
        </w:div>
        <w:div w:id="1459255892">
          <w:marLeft w:val="0"/>
          <w:marRight w:val="0"/>
          <w:marTop w:val="0"/>
          <w:marBottom w:val="0"/>
          <w:divBdr>
            <w:top w:val="none" w:sz="0" w:space="0" w:color="auto"/>
            <w:left w:val="none" w:sz="0" w:space="0" w:color="auto"/>
            <w:bottom w:val="none" w:sz="0" w:space="0" w:color="auto"/>
            <w:right w:val="none" w:sz="0" w:space="0" w:color="auto"/>
          </w:divBdr>
        </w:div>
      </w:divsChild>
    </w:div>
    <w:div w:id="83261873">
      <w:bodyDiv w:val="1"/>
      <w:marLeft w:val="0"/>
      <w:marRight w:val="0"/>
      <w:marTop w:val="0"/>
      <w:marBottom w:val="0"/>
      <w:divBdr>
        <w:top w:val="none" w:sz="0" w:space="0" w:color="auto"/>
        <w:left w:val="none" w:sz="0" w:space="0" w:color="auto"/>
        <w:bottom w:val="none" w:sz="0" w:space="0" w:color="auto"/>
        <w:right w:val="none" w:sz="0" w:space="0" w:color="auto"/>
      </w:divBdr>
    </w:div>
    <w:div w:id="142507512">
      <w:bodyDiv w:val="1"/>
      <w:marLeft w:val="0"/>
      <w:marRight w:val="0"/>
      <w:marTop w:val="0"/>
      <w:marBottom w:val="0"/>
      <w:divBdr>
        <w:top w:val="none" w:sz="0" w:space="0" w:color="auto"/>
        <w:left w:val="none" w:sz="0" w:space="0" w:color="auto"/>
        <w:bottom w:val="none" w:sz="0" w:space="0" w:color="auto"/>
        <w:right w:val="none" w:sz="0" w:space="0" w:color="auto"/>
      </w:divBdr>
    </w:div>
    <w:div w:id="181819381">
      <w:bodyDiv w:val="1"/>
      <w:marLeft w:val="0"/>
      <w:marRight w:val="0"/>
      <w:marTop w:val="0"/>
      <w:marBottom w:val="0"/>
      <w:divBdr>
        <w:top w:val="none" w:sz="0" w:space="0" w:color="auto"/>
        <w:left w:val="none" w:sz="0" w:space="0" w:color="auto"/>
        <w:bottom w:val="none" w:sz="0" w:space="0" w:color="auto"/>
        <w:right w:val="none" w:sz="0" w:space="0" w:color="auto"/>
      </w:divBdr>
    </w:div>
    <w:div w:id="351617636">
      <w:bodyDiv w:val="1"/>
      <w:marLeft w:val="0"/>
      <w:marRight w:val="0"/>
      <w:marTop w:val="0"/>
      <w:marBottom w:val="0"/>
      <w:divBdr>
        <w:top w:val="none" w:sz="0" w:space="0" w:color="auto"/>
        <w:left w:val="none" w:sz="0" w:space="0" w:color="auto"/>
        <w:bottom w:val="none" w:sz="0" w:space="0" w:color="auto"/>
        <w:right w:val="none" w:sz="0" w:space="0" w:color="auto"/>
      </w:divBdr>
      <w:divsChild>
        <w:div w:id="1266157285">
          <w:marLeft w:val="0"/>
          <w:marRight w:val="0"/>
          <w:marTop w:val="0"/>
          <w:marBottom w:val="0"/>
          <w:divBdr>
            <w:top w:val="none" w:sz="0" w:space="0" w:color="auto"/>
            <w:left w:val="none" w:sz="0" w:space="0" w:color="auto"/>
            <w:bottom w:val="none" w:sz="0" w:space="0" w:color="auto"/>
            <w:right w:val="none" w:sz="0" w:space="0" w:color="auto"/>
          </w:divBdr>
        </w:div>
      </w:divsChild>
    </w:div>
    <w:div w:id="351809553">
      <w:bodyDiv w:val="1"/>
      <w:marLeft w:val="0"/>
      <w:marRight w:val="0"/>
      <w:marTop w:val="0"/>
      <w:marBottom w:val="0"/>
      <w:divBdr>
        <w:top w:val="none" w:sz="0" w:space="0" w:color="auto"/>
        <w:left w:val="none" w:sz="0" w:space="0" w:color="auto"/>
        <w:bottom w:val="none" w:sz="0" w:space="0" w:color="auto"/>
        <w:right w:val="none" w:sz="0" w:space="0" w:color="auto"/>
      </w:divBdr>
    </w:div>
    <w:div w:id="368458047">
      <w:bodyDiv w:val="1"/>
      <w:marLeft w:val="0"/>
      <w:marRight w:val="0"/>
      <w:marTop w:val="0"/>
      <w:marBottom w:val="0"/>
      <w:divBdr>
        <w:top w:val="none" w:sz="0" w:space="0" w:color="auto"/>
        <w:left w:val="none" w:sz="0" w:space="0" w:color="auto"/>
        <w:bottom w:val="none" w:sz="0" w:space="0" w:color="auto"/>
        <w:right w:val="none" w:sz="0" w:space="0" w:color="auto"/>
      </w:divBdr>
      <w:divsChild>
        <w:div w:id="1384794126">
          <w:marLeft w:val="0"/>
          <w:marRight w:val="0"/>
          <w:marTop w:val="0"/>
          <w:marBottom w:val="0"/>
          <w:divBdr>
            <w:top w:val="none" w:sz="0" w:space="0" w:color="auto"/>
            <w:left w:val="none" w:sz="0" w:space="0" w:color="auto"/>
            <w:bottom w:val="none" w:sz="0" w:space="0" w:color="auto"/>
            <w:right w:val="none" w:sz="0" w:space="0" w:color="auto"/>
          </w:divBdr>
        </w:div>
      </w:divsChild>
    </w:div>
    <w:div w:id="488788427">
      <w:bodyDiv w:val="1"/>
      <w:marLeft w:val="0"/>
      <w:marRight w:val="0"/>
      <w:marTop w:val="0"/>
      <w:marBottom w:val="0"/>
      <w:divBdr>
        <w:top w:val="none" w:sz="0" w:space="0" w:color="auto"/>
        <w:left w:val="none" w:sz="0" w:space="0" w:color="auto"/>
        <w:bottom w:val="none" w:sz="0" w:space="0" w:color="auto"/>
        <w:right w:val="none" w:sz="0" w:space="0" w:color="auto"/>
      </w:divBdr>
    </w:div>
    <w:div w:id="507523025">
      <w:bodyDiv w:val="1"/>
      <w:marLeft w:val="0"/>
      <w:marRight w:val="0"/>
      <w:marTop w:val="0"/>
      <w:marBottom w:val="0"/>
      <w:divBdr>
        <w:top w:val="none" w:sz="0" w:space="0" w:color="auto"/>
        <w:left w:val="none" w:sz="0" w:space="0" w:color="auto"/>
        <w:bottom w:val="none" w:sz="0" w:space="0" w:color="auto"/>
        <w:right w:val="none" w:sz="0" w:space="0" w:color="auto"/>
      </w:divBdr>
      <w:divsChild>
        <w:div w:id="1017122668">
          <w:marLeft w:val="0"/>
          <w:marRight w:val="0"/>
          <w:marTop w:val="0"/>
          <w:marBottom w:val="0"/>
          <w:divBdr>
            <w:top w:val="none" w:sz="0" w:space="0" w:color="auto"/>
            <w:left w:val="none" w:sz="0" w:space="0" w:color="auto"/>
            <w:bottom w:val="none" w:sz="0" w:space="0" w:color="auto"/>
            <w:right w:val="none" w:sz="0" w:space="0" w:color="auto"/>
          </w:divBdr>
        </w:div>
        <w:div w:id="1084911060">
          <w:marLeft w:val="0"/>
          <w:marRight w:val="0"/>
          <w:marTop w:val="0"/>
          <w:marBottom w:val="0"/>
          <w:divBdr>
            <w:top w:val="none" w:sz="0" w:space="0" w:color="auto"/>
            <w:left w:val="none" w:sz="0" w:space="0" w:color="auto"/>
            <w:bottom w:val="none" w:sz="0" w:space="0" w:color="auto"/>
            <w:right w:val="none" w:sz="0" w:space="0" w:color="auto"/>
          </w:divBdr>
        </w:div>
        <w:div w:id="125784871">
          <w:marLeft w:val="0"/>
          <w:marRight w:val="0"/>
          <w:marTop w:val="0"/>
          <w:marBottom w:val="0"/>
          <w:divBdr>
            <w:top w:val="none" w:sz="0" w:space="0" w:color="auto"/>
            <w:left w:val="none" w:sz="0" w:space="0" w:color="auto"/>
            <w:bottom w:val="none" w:sz="0" w:space="0" w:color="auto"/>
            <w:right w:val="none" w:sz="0" w:space="0" w:color="auto"/>
          </w:divBdr>
        </w:div>
        <w:div w:id="278145585">
          <w:marLeft w:val="0"/>
          <w:marRight w:val="0"/>
          <w:marTop w:val="0"/>
          <w:marBottom w:val="0"/>
          <w:divBdr>
            <w:top w:val="none" w:sz="0" w:space="0" w:color="auto"/>
            <w:left w:val="none" w:sz="0" w:space="0" w:color="auto"/>
            <w:bottom w:val="none" w:sz="0" w:space="0" w:color="auto"/>
            <w:right w:val="none" w:sz="0" w:space="0" w:color="auto"/>
          </w:divBdr>
        </w:div>
        <w:div w:id="701712926">
          <w:marLeft w:val="0"/>
          <w:marRight w:val="0"/>
          <w:marTop w:val="0"/>
          <w:marBottom w:val="0"/>
          <w:divBdr>
            <w:top w:val="none" w:sz="0" w:space="0" w:color="auto"/>
            <w:left w:val="none" w:sz="0" w:space="0" w:color="auto"/>
            <w:bottom w:val="none" w:sz="0" w:space="0" w:color="auto"/>
            <w:right w:val="none" w:sz="0" w:space="0" w:color="auto"/>
          </w:divBdr>
        </w:div>
        <w:div w:id="2091929249">
          <w:marLeft w:val="0"/>
          <w:marRight w:val="0"/>
          <w:marTop w:val="0"/>
          <w:marBottom w:val="0"/>
          <w:divBdr>
            <w:top w:val="none" w:sz="0" w:space="0" w:color="auto"/>
            <w:left w:val="none" w:sz="0" w:space="0" w:color="auto"/>
            <w:bottom w:val="none" w:sz="0" w:space="0" w:color="auto"/>
            <w:right w:val="none" w:sz="0" w:space="0" w:color="auto"/>
          </w:divBdr>
        </w:div>
        <w:div w:id="166529191">
          <w:marLeft w:val="0"/>
          <w:marRight w:val="0"/>
          <w:marTop w:val="0"/>
          <w:marBottom w:val="0"/>
          <w:divBdr>
            <w:top w:val="none" w:sz="0" w:space="0" w:color="auto"/>
            <w:left w:val="none" w:sz="0" w:space="0" w:color="auto"/>
            <w:bottom w:val="none" w:sz="0" w:space="0" w:color="auto"/>
            <w:right w:val="none" w:sz="0" w:space="0" w:color="auto"/>
          </w:divBdr>
        </w:div>
        <w:div w:id="1786269936">
          <w:marLeft w:val="0"/>
          <w:marRight w:val="0"/>
          <w:marTop w:val="0"/>
          <w:marBottom w:val="0"/>
          <w:divBdr>
            <w:top w:val="none" w:sz="0" w:space="0" w:color="auto"/>
            <w:left w:val="none" w:sz="0" w:space="0" w:color="auto"/>
            <w:bottom w:val="none" w:sz="0" w:space="0" w:color="auto"/>
            <w:right w:val="none" w:sz="0" w:space="0" w:color="auto"/>
          </w:divBdr>
        </w:div>
        <w:div w:id="601883614">
          <w:marLeft w:val="0"/>
          <w:marRight w:val="0"/>
          <w:marTop w:val="0"/>
          <w:marBottom w:val="0"/>
          <w:divBdr>
            <w:top w:val="none" w:sz="0" w:space="0" w:color="auto"/>
            <w:left w:val="none" w:sz="0" w:space="0" w:color="auto"/>
            <w:bottom w:val="none" w:sz="0" w:space="0" w:color="auto"/>
            <w:right w:val="none" w:sz="0" w:space="0" w:color="auto"/>
          </w:divBdr>
        </w:div>
        <w:div w:id="1805613010">
          <w:marLeft w:val="0"/>
          <w:marRight w:val="0"/>
          <w:marTop w:val="0"/>
          <w:marBottom w:val="0"/>
          <w:divBdr>
            <w:top w:val="none" w:sz="0" w:space="0" w:color="auto"/>
            <w:left w:val="none" w:sz="0" w:space="0" w:color="auto"/>
            <w:bottom w:val="none" w:sz="0" w:space="0" w:color="auto"/>
            <w:right w:val="none" w:sz="0" w:space="0" w:color="auto"/>
          </w:divBdr>
        </w:div>
        <w:div w:id="1407994693">
          <w:marLeft w:val="0"/>
          <w:marRight w:val="0"/>
          <w:marTop w:val="0"/>
          <w:marBottom w:val="0"/>
          <w:divBdr>
            <w:top w:val="none" w:sz="0" w:space="0" w:color="auto"/>
            <w:left w:val="none" w:sz="0" w:space="0" w:color="auto"/>
            <w:bottom w:val="none" w:sz="0" w:space="0" w:color="auto"/>
            <w:right w:val="none" w:sz="0" w:space="0" w:color="auto"/>
          </w:divBdr>
        </w:div>
        <w:div w:id="958801697">
          <w:marLeft w:val="0"/>
          <w:marRight w:val="0"/>
          <w:marTop w:val="0"/>
          <w:marBottom w:val="0"/>
          <w:divBdr>
            <w:top w:val="none" w:sz="0" w:space="0" w:color="auto"/>
            <w:left w:val="none" w:sz="0" w:space="0" w:color="auto"/>
            <w:bottom w:val="none" w:sz="0" w:space="0" w:color="auto"/>
            <w:right w:val="none" w:sz="0" w:space="0" w:color="auto"/>
          </w:divBdr>
        </w:div>
        <w:div w:id="563444868">
          <w:marLeft w:val="0"/>
          <w:marRight w:val="0"/>
          <w:marTop w:val="0"/>
          <w:marBottom w:val="0"/>
          <w:divBdr>
            <w:top w:val="none" w:sz="0" w:space="0" w:color="auto"/>
            <w:left w:val="none" w:sz="0" w:space="0" w:color="auto"/>
            <w:bottom w:val="none" w:sz="0" w:space="0" w:color="auto"/>
            <w:right w:val="none" w:sz="0" w:space="0" w:color="auto"/>
          </w:divBdr>
        </w:div>
        <w:div w:id="36590137">
          <w:marLeft w:val="0"/>
          <w:marRight w:val="0"/>
          <w:marTop w:val="0"/>
          <w:marBottom w:val="0"/>
          <w:divBdr>
            <w:top w:val="none" w:sz="0" w:space="0" w:color="auto"/>
            <w:left w:val="none" w:sz="0" w:space="0" w:color="auto"/>
            <w:bottom w:val="none" w:sz="0" w:space="0" w:color="auto"/>
            <w:right w:val="none" w:sz="0" w:space="0" w:color="auto"/>
          </w:divBdr>
        </w:div>
        <w:div w:id="2020963988">
          <w:marLeft w:val="0"/>
          <w:marRight w:val="0"/>
          <w:marTop w:val="0"/>
          <w:marBottom w:val="0"/>
          <w:divBdr>
            <w:top w:val="none" w:sz="0" w:space="0" w:color="auto"/>
            <w:left w:val="none" w:sz="0" w:space="0" w:color="auto"/>
            <w:bottom w:val="none" w:sz="0" w:space="0" w:color="auto"/>
            <w:right w:val="none" w:sz="0" w:space="0" w:color="auto"/>
          </w:divBdr>
        </w:div>
        <w:div w:id="896165509">
          <w:marLeft w:val="0"/>
          <w:marRight w:val="0"/>
          <w:marTop w:val="0"/>
          <w:marBottom w:val="0"/>
          <w:divBdr>
            <w:top w:val="none" w:sz="0" w:space="0" w:color="auto"/>
            <w:left w:val="none" w:sz="0" w:space="0" w:color="auto"/>
            <w:bottom w:val="none" w:sz="0" w:space="0" w:color="auto"/>
            <w:right w:val="none" w:sz="0" w:space="0" w:color="auto"/>
          </w:divBdr>
        </w:div>
        <w:div w:id="888031781">
          <w:marLeft w:val="0"/>
          <w:marRight w:val="0"/>
          <w:marTop w:val="0"/>
          <w:marBottom w:val="0"/>
          <w:divBdr>
            <w:top w:val="none" w:sz="0" w:space="0" w:color="auto"/>
            <w:left w:val="none" w:sz="0" w:space="0" w:color="auto"/>
            <w:bottom w:val="none" w:sz="0" w:space="0" w:color="auto"/>
            <w:right w:val="none" w:sz="0" w:space="0" w:color="auto"/>
          </w:divBdr>
        </w:div>
        <w:div w:id="102002413">
          <w:marLeft w:val="0"/>
          <w:marRight w:val="0"/>
          <w:marTop w:val="0"/>
          <w:marBottom w:val="0"/>
          <w:divBdr>
            <w:top w:val="none" w:sz="0" w:space="0" w:color="auto"/>
            <w:left w:val="none" w:sz="0" w:space="0" w:color="auto"/>
            <w:bottom w:val="none" w:sz="0" w:space="0" w:color="auto"/>
            <w:right w:val="none" w:sz="0" w:space="0" w:color="auto"/>
          </w:divBdr>
        </w:div>
        <w:div w:id="622425993">
          <w:marLeft w:val="0"/>
          <w:marRight w:val="0"/>
          <w:marTop w:val="0"/>
          <w:marBottom w:val="0"/>
          <w:divBdr>
            <w:top w:val="none" w:sz="0" w:space="0" w:color="auto"/>
            <w:left w:val="none" w:sz="0" w:space="0" w:color="auto"/>
            <w:bottom w:val="none" w:sz="0" w:space="0" w:color="auto"/>
            <w:right w:val="none" w:sz="0" w:space="0" w:color="auto"/>
          </w:divBdr>
        </w:div>
        <w:div w:id="1575168649">
          <w:marLeft w:val="0"/>
          <w:marRight w:val="0"/>
          <w:marTop w:val="0"/>
          <w:marBottom w:val="0"/>
          <w:divBdr>
            <w:top w:val="none" w:sz="0" w:space="0" w:color="auto"/>
            <w:left w:val="none" w:sz="0" w:space="0" w:color="auto"/>
            <w:bottom w:val="none" w:sz="0" w:space="0" w:color="auto"/>
            <w:right w:val="none" w:sz="0" w:space="0" w:color="auto"/>
          </w:divBdr>
        </w:div>
        <w:div w:id="1322201587">
          <w:marLeft w:val="0"/>
          <w:marRight w:val="0"/>
          <w:marTop w:val="0"/>
          <w:marBottom w:val="0"/>
          <w:divBdr>
            <w:top w:val="none" w:sz="0" w:space="0" w:color="auto"/>
            <w:left w:val="none" w:sz="0" w:space="0" w:color="auto"/>
            <w:bottom w:val="none" w:sz="0" w:space="0" w:color="auto"/>
            <w:right w:val="none" w:sz="0" w:space="0" w:color="auto"/>
          </w:divBdr>
        </w:div>
        <w:div w:id="1082333820">
          <w:marLeft w:val="0"/>
          <w:marRight w:val="0"/>
          <w:marTop w:val="0"/>
          <w:marBottom w:val="0"/>
          <w:divBdr>
            <w:top w:val="none" w:sz="0" w:space="0" w:color="auto"/>
            <w:left w:val="none" w:sz="0" w:space="0" w:color="auto"/>
            <w:bottom w:val="none" w:sz="0" w:space="0" w:color="auto"/>
            <w:right w:val="none" w:sz="0" w:space="0" w:color="auto"/>
          </w:divBdr>
        </w:div>
        <w:div w:id="514000832">
          <w:marLeft w:val="0"/>
          <w:marRight w:val="0"/>
          <w:marTop w:val="0"/>
          <w:marBottom w:val="0"/>
          <w:divBdr>
            <w:top w:val="none" w:sz="0" w:space="0" w:color="auto"/>
            <w:left w:val="none" w:sz="0" w:space="0" w:color="auto"/>
            <w:bottom w:val="none" w:sz="0" w:space="0" w:color="auto"/>
            <w:right w:val="none" w:sz="0" w:space="0" w:color="auto"/>
          </w:divBdr>
        </w:div>
        <w:div w:id="1694696249">
          <w:marLeft w:val="0"/>
          <w:marRight w:val="0"/>
          <w:marTop w:val="0"/>
          <w:marBottom w:val="0"/>
          <w:divBdr>
            <w:top w:val="none" w:sz="0" w:space="0" w:color="auto"/>
            <w:left w:val="none" w:sz="0" w:space="0" w:color="auto"/>
            <w:bottom w:val="none" w:sz="0" w:space="0" w:color="auto"/>
            <w:right w:val="none" w:sz="0" w:space="0" w:color="auto"/>
          </w:divBdr>
        </w:div>
      </w:divsChild>
    </w:div>
    <w:div w:id="525944173">
      <w:bodyDiv w:val="1"/>
      <w:marLeft w:val="0"/>
      <w:marRight w:val="0"/>
      <w:marTop w:val="0"/>
      <w:marBottom w:val="0"/>
      <w:divBdr>
        <w:top w:val="none" w:sz="0" w:space="0" w:color="auto"/>
        <w:left w:val="none" w:sz="0" w:space="0" w:color="auto"/>
        <w:bottom w:val="none" w:sz="0" w:space="0" w:color="auto"/>
        <w:right w:val="none" w:sz="0" w:space="0" w:color="auto"/>
      </w:divBdr>
    </w:div>
    <w:div w:id="558782044">
      <w:bodyDiv w:val="1"/>
      <w:marLeft w:val="0"/>
      <w:marRight w:val="0"/>
      <w:marTop w:val="0"/>
      <w:marBottom w:val="0"/>
      <w:divBdr>
        <w:top w:val="none" w:sz="0" w:space="0" w:color="auto"/>
        <w:left w:val="none" w:sz="0" w:space="0" w:color="auto"/>
        <w:bottom w:val="none" w:sz="0" w:space="0" w:color="auto"/>
        <w:right w:val="none" w:sz="0" w:space="0" w:color="auto"/>
      </w:divBdr>
      <w:divsChild>
        <w:div w:id="931745008">
          <w:marLeft w:val="0"/>
          <w:marRight w:val="0"/>
          <w:marTop w:val="0"/>
          <w:marBottom w:val="0"/>
          <w:divBdr>
            <w:top w:val="none" w:sz="0" w:space="0" w:color="auto"/>
            <w:left w:val="none" w:sz="0" w:space="0" w:color="auto"/>
            <w:bottom w:val="none" w:sz="0" w:space="0" w:color="auto"/>
            <w:right w:val="none" w:sz="0" w:space="0" w:color="auto"/>
          </w:divBdr>
          <w:divsChild>
            <w:div w:id="1017269709">
              <w:marLeft w:val="0"/>
              <w:marRight w:val="0"/>
              <w:marTop w:val="0"/>
              <w:marBottom w:val="0"/>
              <w:divBdr>
                <w:top w:val="none" w:sz="0" w:space="0" w:color="auto"/>
                <w:left w:val="none" w:sz="0" w:space="0" w:color="auto"/>
                <w:bottom w:val="none" w:sz="0" w:space="0" w:color="auto"/>
                <w:right w:val="none" w:sz="0" w:space="0" w:color="auto"/>
              </w:divBdr>
            </w:div>
            <w:div w:id="1097825756">
              <w:marLeft w:val="0"/>
              <w:marRight w:val="0"/>
              <w:marTop w:val="0"/>
              <w:marBottom w:val="0"/>
              <w:divBdr>
                <w:top w:val="none" w:sz="0" w:space="0" w:color="auto"/>
                <w:left w:val="none" w:sz="0" w:space="0" w:color="auto"/>
                <w:bottom w:val="none" w:sz="0" w:space="0" w:color="auto"/>
                <w:right w:val="none" w:sz="0" w:space="0" w:color="auto"/>
              </w:divBdr>
            </w:div>
            <w:div w:id="2024167502">
              <w:marLeft w:val="0"/>
              <w:marRight w:val="0"/>
              <w:marTop w:val="0"/>
              <w:marBottom w:val="0"/>
              <w:divBdr>
                <w:top w:val="none" w:sz="0" w:space="0" w:color="auto"/>
                <w:left w:val="none" w:sz="0" w:space="0" w:color="auto"/>
                <w:bottom w:val="none" w:sz="0" w:space="0" w:color="auto"/>
                <w:right w:val="none" w:sz="0" w:space="0" w:color="auto"/>
              </w:divBdr>
            </w:div>
          </w:divsChild>
        </w:div>
        <w:div w:id="1568833335">
          <w:marLeft w:val="0"/>
          <w:marRight w:val="0"/>
          <w:marTop w:val="0"/>
          <w:marBottom w:val="0"/>
          <w:divBdr>
            <w:top w:val="none" w:sz="0" w:space="0" w:color="auto"/>
            <w:left w:val="none" w:sz="0" w:space="0" w:color="auto"/>
            <w:bottom w:val="none" w:sz="0" w:space="0" w:color="auto"/>
            <w:right w:val="none" w:sz="0" w:space="0" w:color="auto"/>
          </w:divBdr>
        </w:div>
      </w:divsChild>
    </w:div>
    <w:div w:id="565143652">
      <w:bodyDiv w:val="1"/>
      <w:marLeft w:val="0"/>
      <w:marRight w:val="0"/>
      <w:marTop w:val="0"/>
      <w:marBottom w:val="0"/>
      <w:divBdr>
        <w:top w:val="none" w:sz="0" w:space="0" w:color="auto"/>
        <w:left w:val="none" w:sz="0" w:space="0" w:color="auto"/>
        <w:bottom w:val="none" w:sz="0" w:space="0" w:color="auto"/>
        <w:right w:val="none" w:sz="0" w:space="0" w:color="auto"/>
      </w:divBdr>
      <w:divsChild>
        <w:div w:id="5906986">
          <w:marLeft w:val="0"/>
          <w:marRight w:val="0"/>
          <w:marTop w:val="0"/>
          <w:marBottom w:val="0"/>
          <w:divBdr>
            <w:top w:val="none" w:sz="0" w:space="0" w:color="auto"/>
            <w:left w:val="none" w:sz="0" w:space="0" w:color="auto"/>
            <w:bottom w:val="none" w:sz="0" w:space="0" w:color="auto"/>
            <w:right w:val="none" w:sz="0" w:space="0" w:color="auto"/>
          </w:divBdr>
        </w:div>
        <w:div w:id="1199001809">
          <w:marLeft w:val="0"/>
          <w:marRight w:val="0"/>
          <w:marTop w:val="0"/>
          <w:marBottom w:val="0"/>
          <w:divBdr>
            <w:top w:val="none" w:sz="0" w:space="0" w:color="auto"/>
            <w:left w:val="none" w:sz="0" w:space="0" w:color="auto"/>
            <w:bottom w:val="none" w:sz="0" w:space="0" w:color="auto"/>
            <w:right w:val="none" w:sz="0" w:space="0" w:color="auto"/>
          </w:divBdr>
        </w:div>
        <w:div w:id="1969125113">
          <w:marLeft w:val="0"/>
          <w:marRight w:val="0"/>
          <w:marTop w:val="0"/>
          <w:marBottom w:val="0"/>
          <w:divBdr>
            <w:top w:val="none" w:sz="0" w:space="0" w:color="auto"/>
            <w:left w:val="none" w:sz="0" w:space="0" w:color="auto"/>
            <w:bottom w:val="none" w:sz="0" w:space="0" w:color="auto"/>
            <w:right w:val="none" w:sz="0" w:space="0" w:color="auto"/>
          </w:divBdr>
        </w:div>
        <w:div w:id="1640265337">
          <w:marLeft w:val="0"/>
          <w:marRight w:val="0"/>
          <w:marTop w:val="0"/>
          <w:marBottom w:val="0"/>
          <w:divBdr>
            <w:top w:val="none" w:sz="0" w:space="0" w:color="auto"/>
            <w:left w:val="none" w:sz="0" w:space="0" w:color="auto"/>
            <w:bottom w:val="none" w:sz="0" w:space="0" w:color="auto"/>
            <w:right w:val="none" w:sz="0" w:space="0" w:color="auto"/>
          </w:divBdr>
        </w:div>
        <w:div w:id="992367902">
          <w:marLeft w:val="0"/>
          <w:marRight w:val="0"/>
          <w:marTop w:val="0"/>
          <w:marBottom w:val="0"/>
          <w:divBdr>
            <w:top w:val="none" w:sz="0" w:space="0" w:color="auto"/>
            <w:left w:val="none" w:sz="0" w:space="0" w:color="auto"/>
            <w:bottom w:val="none" w:sz="0" w:space="0" w:color="auto"/>
            <w:right w:val="none" w:sz="0" w:space="0" w:color="auto"/>
          </w:divBdr>
        </w:div>
        <w:div w:id="309335501">
          <w:marLeft w:val="0"/>
          <w:marRight w:val="0"/>
          <w:marTop w:val="0"/>
          <w:marBottom w:val="0"/>
          <w:divBdr>
            <w:top w:val="none" w:sz="0" w:space="0" w:color="auto"/>
            <w:left w:val="none" w:sz="0" w:space="0" w:color="auto"/>
            <w:bottom w:val="none" w:sz="0" w:space="0" w:color="auto"/>
            <w:right w:val="none" w:sz="0" w:space="0" w:color="auto"/>
          </w:divBdr>
        </w:div>
        <w:div w:id="1649624759">
          <w:marLeft w:val="0"/>
          <w:marRight w:val="0"/>
          <w:marTop w:val="0"/>
          <w:marBottom w:val="0"/>
          <w:divBdr>
            <w:top w:val="none" w:sz="0" w:space="0" w:color="auto"/>
            <w:left w:val="none" w:sz="0" w:space="0" w:color="auto"/>
            <w:bottom w:val="none" w:sz="0" w:space="0" w:color="auto"/>
            <w:right w:val="none" w:sz="0" w:space="0" w:color="auto"/>
          </w:divBdr>
        </w:div>
        <w:div w:id="76829869">
          <w:marLeft w:val="0"/>
          <w:marRight w:val="0"/>
          <w:marTop w:val="0"/>
          <w:marBottom w:val="0"/>
          <w:divBdr>
            <w:top w:val="none" w:sz="0" w:space="0" w:color="auto"/>
            <w:left w:val="none" w:sz="0" w:space="0" w:color="auto"/>
            <w:bottom w:val="none" w:sz="0" w:space="0" w:color="auto"/>
            <w:right w:val="none" w:sz="0" w:space="0" w:color="auto"/>
          </w:divBdr>
        </w:div>
        <w:div w:id="605311147">
          <w:marLeft w:val="0"/>
          <w:marRight w:val="0"/>
          <w:marTop w:val="0"/>
          <w:marBottom w:val="0"/>
          <w:divBdr>
            <w:top w:val="none" w:sz="0" w:space="0" w:color="auto"/>
            <w:left w:val="none" w:sz="0" w:space="0" w:color="auto"/>
            <w:bottom w:val="none" w:sz="0" w:space="0" w:color="auto"/>
            <w:right w:val="none" w:sz="0" w:space="0" w:color="auto"/>
          </w:divBdr>
        </w:div>
        <w:div w:id="1603100083">
          <w:marLeft w:val="0"/>
          <w:marRight w:val="0"/>
          <w:marTop w:val="0"/>
          <w:marBottom w:val="0"/>
          <w:divBdr>
            <w:top w:val="none" w:sz="0" w:space="0" w:color="auto"/>
            <w:left w:val="none" w:sz="0" w:space="0" w:color="auto"/>
            <w:bottom w:val="none" w:sz="0" w:space="0" w:color="auto"/>
            <w:right w:val="none" w:sz="0" w:space="0" w:color="auto"/>
          </w:divBdr>
        </w:div>
        <w:div w:id="828407398">
          <w:marLeft w:val="0"/>
          <w:marRight w:val="0"/>
          <w:marTop w:val="0"/>
          <w:marBottom w:val="0"/>
          <w:divBdr>
            <w:top w:val="none" w:sz="0" w:space="0" w:color="auto"/>
            <w:left w:val="none" w:sz="0" w:space="0" w:color="auto"/>
            <w:bottom w:val="none" w:sz="0" w:space="0" w:color="auto"/>
            <w:right w:val="none" w:sz="0" w:space="0" w:color="auto"/>
          </w:divBdr>
        </w:div>
        <w:div w:id="786971142">
          <w:marLeft w:val="0"/>
          <w:marRight w:val="0"/>
          <w:marTop w:val="0"/>
          <w:marBottom w:val="0"/>
          <w:divBdr>
            <w:top w:val="none" w:sz="0" w:space="0" w:color="auto"/>
            <w:left w:val="none" w:sz="0" w:space="0" w:color="auto"/>
            <w:bottom w:val="none" w:sz="0" w:space="0" w:color="auto"/>
            <w:right w:val="none" w:sz="0" w:space="0" w:color="auto"/>
          </w:divBdr>
        </w:div>
        <w:div w:id="541088770">
          <w:marLeft w:val="0"/>
          <w:marRight w:val="0"/>
          <w:marTop w:val="0"/>
          <w:marBottom w:val="0"/>
          <w:divBdr>
            <w:top w:val="none" w:sz="0" w:space="0" w:color="auto"/>
            <w:left w:val="none" w:sz="0" w:space="0" w:color="auto"/>
            <w:bottom w:val="none" w:sz="0" w:space="0" w:color="auto"/>
            <w:right w:val="none" w:sz="0" w:space="0" w:color="auto"/>
          </w:divBdr>
        </w:div>
        <w:div w:id="1765036033">
          <w:marLeft w:val="0"/>
          <w:marRight w:val="0"/>
          <w:marTop w:val="0"/>
          <w:marBottom w:val="0"/>
          <w:divBdr>
            <w:top w:val="none" w:sz="0" w:space="0" w:color="auto"/>
            <w:left w:val="none" w:sz="0" w:space="0" w:color="auto"/>
            <w:bottom w:val="none" w:sz="0" w:space="0" w:color="auto"/>
            <w:right w:val="none" w:sz="0" w:space="0" w:color="auto"/>
          </w:divBdr>
        </w:div>
        <w:div w:id="1556550413">
          <w:marLeft w:val="0"/>
          <w:marRight w:val="0"/>
          <w:marTop w:val="0"/>
          <w:marBottom w:val="0"/>
          <w:divBdr>
            <w:top w:val="none" w:sz="0" w:space="0" w:color="auto"/>
            <w:left w:val="none" w:sz="0" w:space="0" w:color="auto"/>
            <w:bottom w:val="none" w:sz="0" w:space="0" w:color="auto"/>
            <w:right w:val="none" w:sz="0" w:space="0" w:color="auto"/>
          </w:divBdr>
        </w:div>
        <w:div w:id="1779644353">
          <w:marLeft w:val="0"/>
          <w:marRight w:val="0"/>
          <w:marTop w:val="0"/>
          <w:marBottom w:val="0"/>
          <w:divBdr>
            <w:top w:val="none" w:sz="0" w:space="0" w:color="auto"/>
            <w:left w:val="none" w:sz="0" w:space="0" w:color="auto"/>
            <w:bottom w:val="none" w:sz="0" w:space="0" w:color="auto"/>
            <w:right w:val="none" w:sz="0" w:space="0" w:color="auto"/>
          </w:divBdr>
        </w:div>
        <w:div w:id="1880360247">
          <w:marLeft w:val="0"/>
          <w:marRight w:val="0"/>
          <w:marTop w:val="0"/>
          <w:marBottom w:val="0"/>
          <w:divBdr>
            <w:top w:val="none" w:sz="0" w:space="0" w:color="auto"/>
            <w:left w:val="none" w:sz="0" w:space="0" w:color="auto"/>
            <w:bottom w:val="none" w:sz="0" w:space="0" w:color="auto"/>
            <w:right w:val="none" w:sz="0" w:space="0" w:color="auto"/>
          </w:divBdr>
        </w:div>
        <w:div w:id="348869842">
          <w:marLeft w:val="0"/>
          <w:marRight w:val="0"/>
          <w:marTop w:val="0"/>
          <w:marBottom w:val="0"/>
          <w:divBdr>
            <w:top w:val="none" w:sz="0" w:space="0" w:color="auto"/>
            <w:left w:val="none" w:sz="0" w:space="0" w:color="auto"/>
            <w:bottom w:val="none" w:sz="0" w:space="0" w:color="auto"/>
            <w:right w:val="none" w:sz="0" w:space="0" w:color="auto"/>
          </w:divBdr>
        </w:div>
        <w:div w:id="487093941">
          <w:marLeft w:val="0"/>
          <w:marRight w:val="0"/>
          <w:marTop w:val="0"/>
          <w:marBottom w:val="0"/>
          <w:divBdr>
            <w:top w:val="none" w:sz="0" w:space="0" w:color="auto"/>
            <w:left w:val="none" w:sz="0" w:space="0" w:color="auto"/>
            <w:bottom w:val="none" w:sz="0" w:space="0" w:color="auto"/>
            <w:right w:val="none" w:sz="0" w:space="0" w:color="auto"/>
          </w:divBdr>
        </w:div>
        <w:div w:id="1001203702">
          <w:marLeft w:val="0"/>
          <w:marRight w:val="0"/>
          <w:marTop w:val="0"/>
          <w:marBottom w:val="0"/>
          <w:divBdr>
            <w:top w:val="none" w:sz="0" w:space="0" w:color="auto"/>
            <w:left w:val="none" w:sz="0" w:space="0" w:color="auto"/>
            <w:bottom w:val="none" w:sz="0" w:space="0" w:color="auto"/>
            <w:right w:val="none" w:sz="0" w:space="0" w:color="auto"/>
          </w:divBdr>
        </w:div>
        <w:div w:id="398360043">
          <w:marLeft w:val="0"/>
          <w:marRight w:val="0"/>
          <w:marTop w:val="0"/>
          <w:marBottom w:val="0"/>
          <w:divBdr>
            <w:top w:val="none" w:sz="0" w:space="0" w:color="auto"/>
            <w:left w:val="none" w:sz="0" w:space="0" w:color="auto"/>
            <w:bottom w:val="none" w:sz="0" w:space="0" w:color="auto"/>
            <w:right w:val="none" w:sz="0" w:space="0" w:color="auto"/>
          </w:divBdr>
        </w:div>
        <w:div w:id="1202860179">
          <w:marLeft w:val="0"/>
          <w:marRight w:val="0"/>
          <w:marTop w:val="0"/>
          <w:marBottom w:val="0"/>
          <w:divBdr>
            <w:top w:val="none" w:sz="0" w:space="0" w:color="auto"/>
            <w:left w:val="none" w:sz="0" w:space="0" w:color="auto"/>
            <w:bottom w:val="none" w:sz="0" w:space="0" w:color="auto"/>
            <w:right w:val="none" w:sz="0" w:space="0" w:color="auto"/>
          </w:divBdr>
        </w:div>
        <w:div w:id="514075128">
          <w:marLeft w:val="0"/>
          <w:marRight w:val="0"/>
          <w:marTop w:val="0"/>
          <w:marBottom w:val="0"/>
          <w:divBdr>
            <w:top w:val="none" w:sz="0" w:space="0" w:color="auto"/>
            <w:left w:val="none" w:sz="0" w:space="0" w:color="auto"/>
            <w:bottom w:val="none" w:sz="0" w:space="0" w:color="auto"/>
            <w:right w:val="none" w:sz="0" w:space="0" w:color="auto"/>
          </w:divBdr>
        </w:div>
        <w:div w:id="817961913">
          <w:marLeft w:val="0"/>
          <w:marRight w:val="0"/>
          <w:marTop w:val="0"/>
          <w:marBottom w:val="0"/>
          <w:divBdr>
            <w:top w:val="none" w:sz="0" w:space="0" w:color="auto"/>
            <w:left w:val="none" w:sz="0" w:space="0" w:color="auto"/>
            <w:bottom w:val="none" w:sz="0" w:space="0" w:color="auto"/>
            <w:right w:val="none" w:sz="0" w:space="0" w:color="auto"/>
          </w:divBdr>
        </w:div>
      </w:divsChild>
    </w:div>
    <w:div w:id="948313808">
      <w:bodyDiv w:val="1"/>
      <w:marLeft w:val="0"/>
      <w:marRight w:val="0"/>
      <w:marTop w:val="0"/>
      <w:marBottom w:val="0"/>
      <w:divBdr>
        <w:top w:val="none" w:sz="0" w:space="0" w:color="auto"/>
        <w:left w:val="none" w:sz="0" w:space="0" w:color="auto"/>
        <w:bottom w:val="none" w:sz="0" w:space="0" w:color="auto"/>
        <w:right w:val="none" w:sz="0" w:space="0" w:color="auto"/>
      </w:divBdr>
      <w:divsChild>
        <w:div w:id="326441970">
          <w:marLeft w:val="0"/>
          <w:marRight w:val="0"/>
          <w:marTop w:val="0"/>
          <w:marBottom w:val="0"/>
          <w:divBdr>
            <w:top w:val="none" w:sz="0" w:space="0" w:color="auto"/>
            <w:left w:val="none" w:sz="0" w:space="0" w:color="auto"/>
            <w:bottom w:val="none" w:sz="0" w:space="0" w:color="auto"/>
            <w:right w:val="none" w:sz="0" w:space="0" w:color="auto"/>
          </w:divBdr>
        </w:div>
        <w:div w:id="341669624">
          <w:marLeft w:val="0"/>
          <w:marRight w:val="0"/>
          <w:marTop w:val="0"/>
          <w:marBottom w:val="0"/>
          <w:divBdr>
            <w:top w:val="none" w:sz="0" w:space="0" w:color="auto"/>
            <w:left w:val="none" w:sz="0" w:space="0" w:color="auto"/>
            <w:bottom w:val="none" w:sz="0" w:space="0" w:color="auto"/>
            <w:right w:val="none" w:sz="0" w:space="0" w:color="auto"/>
          </w:divBdr>
        </w:div>
        <w:div w:id="855660285">
          <w:marLeft w:val="0"/>
          <w:marRight w:val="0"/>
          <w:marTop w:val="0"/>
          <w:marBottom w:val="0"/>
          <w:divBdr>
            <w:top w:val="none" w:sz="0" w:space="0" w:color="auto"/>
            <w:left w:val="none" w:sz="0" w:space="0" w:color="auto"/>
            <w:bottom w:val="none" w:sz="0" w:space="0" w:color="auto"/>
            <w:right w:val="none" w:sz="0" w:space="0" w:color="auto"/>
          </w:divBdr>
        </w:div>
        <w:div w:id="1067998737">
          <w:marLeft w:val="0"/>
          <w:marRight w:val="0"/>
          <w:marTop w:val="0"/>
          <w:marBottom w:val="0"/>
          <w:divBdr>
            <w:top w:val="none" w:sz="0" w:space="0" w:color="auto"/>
            <w:left w:val="none" w:sz="0" w:space="0" w:color="auto"/>
            <w:bottom w:val="none" w:sz="0" w:space="0" w:color="auto"/>
            <w:right w:val="none" w:sz="0" w:space="0" w:color="auto"/>
          </w:divBdr>
        </w:div>
        <w:div w:id="1475485187">
          <w:marLeft w:val="0"/>
          <w:marRight w:val="0"/>
          <w:marTop w:val="0"/>
          <w:marBottom w:val="0"/>
          <w:divBdr>
            <w:top w:val="none" w:sz="0" w:space="0" w:color="auto"/>
            <w:left w:val="none" w:sz="0" w:space="0" w:color="auto"/>
            <w:bottom w:val="none" w:sz="0" w:space="0" w:color="auto"/>
            <w:right w:val="none" w:sz="0" w:space="0" w:color="auto"/>
          </w:divBdr>
        </w:div>
        <w:div w:id="1556551723">
          <w:marLeft w:val="0"/>
          <w:marRight w:val="0"/>
          <w:marTop w:val="0"/>
          <w:marBottom w:val="0"/>
          <w:divBdr>
            <w:top w:val="none" w:sz="0" w:space="0" w:color="auto"/>
            <w:left w:val="none" w:sz="0" w:space="0" w:color="auto"/>
            <w:bottom w:val="none" w:sz="0" w:space="0" w:color="auto"/>
            <w:right w:val="none" w:sz="0" w:space="0" w:color="auto"/>
          </w:divBdr>
        </w:div>
        <w:div w:id="1702239238">
          <w:marLeft w:val="0"/>
          <w:marRight w:val="0"/>
          <w:marTop w:val="0"/>
          <w:marBottom w:val="0"/>
          <w:divBdr>
            <w:top w:val="none" w:sz="0" w:space="0" w:color="auto"/>
            <w:left w:val="none" w:sz="0" w:space="0" w:color="auto"/>
            <w:bottom w:val="none" w:sz="0" w:space="0" w:color="auto"/>
            <w:right w:val="none" w:sz="0" w:space="0" w:color="auto"/>
          </w:divBdr>
        </w:div>
        <w:div w:id="1938752990">
          <w:marLeft w:val="0"/>
          <w:marRight w:val="0"/>
          <w:marTop w:val="0"/>
          <w:marBottom w:val="0"/>
          <w:divBdr>
            <w:top w:val="none" w:sz="0" w:space="0" w:color="auto"/>
            <w:left w:val="none" w:sz="0" w:space="0" w:color="auto"/>
            <w:bottom w:val="none" w:sz="0" w:space="0" w:color="auto"/>
            <w:right w:val="none" w:sz="0" w:space="0" w:color="auto"/>
          </w:divBdr>
        </w:div>
      </w:divsChild>
    </w:div>
    <w:div w:id="952397203">
      <w:bodyDiv w:val="1"/>
      <w:marLeft w:val="0"/>
      <w:marRight w:val="0"/>
      <w:marTop w:val="0"/>
      <w:marBottom w:val="0"/>
      <w:divBdr>
        <w:top w:val="none" w:sz="0" w:space="0" w:color="auto"/>
        <w:left w:val="none" w:sz="0" w:space="0" w:color="auto"/>
        <w:bottom w:val="none" w:sz="0" w:space="0" w:color="auto"/>
        <w:right w:val="none" w:sz="0" w:space="0" w:color="auto"/>
      </w:divBdr>
      <w:divsChild>
        <w:div w:id="443428424">
          <w:marLeft w:val="0"/>
          <w:marRight w:val="0"/>
          <w:marTop w:val="0"/>
          <w:marBottom w:val="0"/>
          <w:divBdr>
            <w:top w:val="none" w:sz="0" w:space="0" w:color="auto"/>
            <w:left w:val="none" w:sz="0" w:space="0" w:color="auto"/>
            <w:bottom w:val="none" w:sz="0" w:space="0" w:color="auto"/>
            <w:right w:val="none" w:sz="0" w:space="0" w:color="auto"/>
          </w:divBdr>
        </w:div>
        <w:div w:id="541136627">
          <w:marLeft w:val="0"/>
          <w:marRight w:val="0"/>
          <w:marTop w:val="0"/>
          <w:marBottom w:val="0"/>
          <w:divBdr>
            <w:top w:val="none" w:sz="0" w:space="0" w:color="auto"/>
            <w:left w:val="none" w:sz="0" w:space="0" w:color="auto"/>
            <w:bottom w:val="none" w:sz="0" w:space="0" w:color="auto"/>
            <w:right w:val="none" w:sz="0" w:space="0" w:color="auto"/>
          </w:divBdr>
        </w:div>
        <w:div w:id="836118529">
          <w:marLeft w:val="0"/>
          <w:marRight w:val="0"/>
          <w:marTop w:val="0"/>
          <w:marBottom w:val="0"/>
          <w:divBdr>
            <w:top w:val="none" w:sz="0" w:space="0" w:color="auto"/>
            <w:left w:val="none" w:sz="0" w:space="0" w:color="auto"/>
            <w:bottom w:val="none" w:sz="0" w:space="0" w:color="auto"/>
            <w:right w:val="none" w:sz="0" w:space="0" w:color="auto"/>
          </w:divBdr>
        </w:div>
        <w:div w:id="1689214640">
          <w:marLeft w:val="0"/>
          <w:marRight w:val="0"/>
          <w:marTop w:val="0"/>
          <w:marBottom w:val="0"/>
          <w:divBdr>
            <w:top w:val="none" w:sz="0" w:space="0" w:color="auto"/>
            <w:left w:val="none" w:sz="0" w:space="0" w:color="auto"/>
            <w:bottom w:val="none" w:sz="0" w:space="0" w:color="auto"/>
            <w:right w:val="none" w:sz="0" w:space="0" w:color="auto"/>
          </w:divBdr>
        </w:div>
        <w:div w:id="1807694272">
          <w:marLeft w:val="0"/>
          <w:marRight w:val="0"/>
          <w:marTop w:val="0"/>
          <w:marBottom w:val="0"/>
          <w:divBdr>
            <w:top w:val="none" w:sz="0" w:space="0" w:color="auto"/>
            <w:left w:val="none" w:sz="0" w:space="0" w:color="auto"/>
            <w:bottom w:val="none" w:sz="0" w:space="0" w:color="auto"/>
            <w:right w:val="none" w:sz="0" w:space="0" w:color="auto"/>
          </w:divBdr>
        </w:div>
        <w:div w:id="1845320369">
          <w:marLeft w:val="0"/>
          <w:marRight w:val="0"/>
          <w:marTop w:val="0"/>
          <w:marBottom w:val="0"/>
          <w:divBdr>
            <w:top w:val="none" w:sz="0" w:space="0" w:color="auto"/>
            <w:left w:val="none" w:sz="0" w:space="0" w:color="auto"/>
            <w:bottom w:val="none" w:sz="0" w:space="0" w:color="auto"/>
            <w:right w:val="none" w:sz="0" w:space="0" w:color="auto"/>
          </w:divBdr>
        </w:div>
        <w:div w:id="1890728020">
          <w:marLeft w:val="0"/>
          <w:marRight w:val="0"/>
          <w:marTop w:val="0"/>
          <w:marBottom w:val="0"/>
          <w:divBdr>
            <w:top w:val="none" w:sz="0" w:space="0" w:color="auto"/>
            <w:left w:val="none" w:sz="0" w:space="0" w:color="auto"/>
            <w:bottom w:val="none" w:sz="0" w:space="0" w:color="auto"/>
            <w:right w:val="none" w:sz="0" w:space="0" w:color="auto"/>
          </w:divBdr>
        </w:div>
        <w:div w:id="2117165459">
          <w:marLeft w:val="0"/>
          <w:marRight w:val="0"/>
          <w:marTop w:val="0"/>
          <w:marBottom w:val="0"/>
          <w:divBdr>
            <w:top w:val="none" w:sz="0" w:space="0" w:color="auto"/>
            <w:left w:val="none" w:sz="0" w:space="0" w:color="auto"/>
            <w:bottom w:val="none" w:sz="0" w:space="0" w:color="auto"/>
            <w:right w:val="none" w:sz="0" w:space="0" w:color="auto"/>
          </w:divBdr>
        </w:div>
      </w:divsChild>
    </w:div>
    <w:div w:id="1108425699">
      <w:bodyDiv w:val="1"/>
      <w:marLeft w:val="0"/>
      <w:marRight w:val="0"/>
      <w:marTop w:val="0"/>
      <w:marBottom w:val="0"/>
      <w:divBdr>
        <w:top w:val="none" w:sz="0" w:space="0" w:color="auto"/>
        <w:left w:val="none" w:sz="0" w:space="0" w:color="auto"/>
        <w:bottom w:val="none" w:sz="0" w:space="0" w:color="auto"/>
        <w:right w:val="none" w:sz="0" w:space="0" w:color="auto"/>
      </w:divBdr>
      <w:divsChild>
        <w:div w:id="1039667553">
          <w:marLeft w:val="0"/>
          <w:marRight w:val="0"/>
          <w:marTop w:val="0"/>
          <w:marBottom w:val="0"/>
          <w:divBdr>
            <w:top w:val="none" w:sz="0" w:space="0" w:color="auto"/>
            <w:left w:val="none" w:sz="0" w:space="0" w:color="auto"/>
            <w:bottom w:val="none" w:sz="0" w:space="0" w:color="auto"/>
            <w:right w:val="none" w:sz="0" w:space="0" w:color="auto"/>
          </w:divBdr>
          <w:divsChild>
            <w:div w:id="4216370">
              <w:marLeft w:val="0"/>
              <w:marRight w:val="0"/>
              <w:marTop w:val="0"/>
              <w:marBottom w:val="0"/>
              <w:divBdr>
                <w:top w:val="none" w:sz="0" w:space="0" w:color="auto"/>
                <w:left w:val="none" w:sz="0" w:space="0" w:color="auto"/>
                <w:bottom w:val="none" w:sz="0" w:space="0" w:color="auto"/>
                <w:right w:val="none" w:sz="0" w:space="0" w:color="auto"/>
              </w:divBdr>
            </w:div>
            <w:div w:id="144125707">
              <w:marLeft w:val="0"/>
              <w:marRight w:val="0"/>
              <w:marTop w:val="0"/>
              <w:marBottom w:val="0"/>
              <w:divBdr>
                <w:top w:val="none" w:sz="0" w:space="0" w:color="auto"/>
                <w:left w:val="none" w:sz="0" w:space="0" w:color="auto"/>
                <w:bottom w:val="none" w:sz="0" w:space="0" w:color="auto"/>
                <w:right w:val="none" w:sz="0" w:space="0" w:color="auto"/>
              </w:divBdr>
            </w:div>
            <w:div w:id="606735515">
              <w:marLeft w:val="0"/>
              <w:marRight w:val="0"/>
              <w:marTop w:val="0"/>
              <w:marBottom w:val="0"/>
              <w:divBdr>
                <w:top w:val="none" w:sz="0" w:space="0" w:color="auto"/>
                <w:left w:val="none" w:sz="0" w:space="0" w:color="auto"/>
                <w:bottom w:val="none" w:sz="0" w:space="0" w:color="auto"/>
                <w:right w:val="none" w:sz="0" w:space="0" w:color="auto"/>
              </w:divBdr>
            </w:div>
            <w:div w:id="1650749201">
              <w:marLeft w:val="0"/>
              <w:marRight w:val="0"/>
              <w:marTop w:val="0"/>
              <w:marBottom w:val="0"/>
              <w:divBdr>
                <w:top w:val="none" w:sz="0" w:space="0" w:color="auto"/>
                <w:left w:val="none" w:sz="0" w:space="0" w:color="auto"/>
                <w:bottom w:val="none" w:sz="0" w:space="0" w:color="auto"/>
                <w:right w:val="none" w:sz="0" w:space="0" w:color="auto"/>
              </w:divBdr>
            </w:div>
            <w:div w:id="1817136759">
              <w:marLeft w:val="0"/>
              <w:marRight w:val="0"/>
              <w:marTop w:val="0"/>
              <w:marBottom w:val="0"/>
              <w:divBdr>
                <w:top w:val="none" w:sz="0" w:space="0" w:color="auto"/>
                <w:left w:val="none" w:sz="0" w:space="0" w:color="auto"/>
                <w:bottom w:val="none" w:sz="0" w:space="0" w:color="auto"/>
                <w:right w:val="none" w:sz="0" w:space="0" w:color="auto"/>
              </w:divBdr>
            </w:div>
            <w:div w:id="2126998741">
              <w:marLeft w:val="0"/>
              <w:marRight w:val="0"/>
              <w:marTop w:val="0"/>
              <w:marBottom w:val="0"/>
              <w:divBdr>
                <w:top w:val="none" w:sz="0" w:space="0" w:color="auto"/>
                <w:left w:val="none" w:sz="0" w:space="0" w:color="auto"/>
                <w:bottom w:val="none" w:sz="0" w:space="0" w:color="auto"/>
                <w:right w:val="none" w:sz="0" w:space="0" w:color="auto"/>
              </w:divBdr>
            </w:div>
          </w:divsChild>
        </w:div>
        <w:div w:id="1129780285">
          <w:marLeft w:val="0"/>
          <w:marRight w:val="0"/>
          <w:marTop w:val="0"/>
          <w:marBottom w:val="0"/>
          <w:divBdr>
            <w:top w:val="none" w:sz="0" w:space="0" w:color="auto"/>
            <w:left w:val="none" w:sz="0" w:space="0" w:color="auto"/>
            <w:bottom w:val="none" w:sz="0" w:space="0" w:color="auto"/>
            <w:right w:val="none" w:sz="0" w:space="0" w:color="auto"/>
          </w:divBdr>
        </w:div>
      </w:divsChild>
    </w:div>
    <w:div w:id="1131485191">
      <w:bodyDiv w:val="1"/>
      <w:marLeft w:val="0"/>
      <w:marRight w:val="0"/>
      <w:marTop w:val="0"/>
      <w:marBottom w:val="0"/>
      <w:divBdr>
        <w:top w:val="none" w:sz="0" w:space="0" w:color="auto"/>
        <w:left w:val="none" w:sz="0" w:space="0" w:color="auto"/>
        <w:bottom w:val="none" w:sz="0" w:space="0" w:color="auto"/>
        <w:right w:val="none" w:sz="0" w:space="0" w:color="auto"/>
      </w:divBdr>
      <w:divsChild>
        <w:div w:id="935599620">
          <w:marLeft w:val="0"/>
          <w:marRight w:val="0"/>
          <w:marTop w:val="0"/>
          <w:marBottom w:val="0"/>
          <w:divBdr>
            <w:top w:val="none" w:sz="0" w:space="0" w:color="auto"/>
            <w:left w:val="none" w:sz="0" w:space="0" w:color="auto"/>
            <w:bottom w:val="none" w:sz="0" w:space="0" w:color="auto"/>
            <w:right w:val="none" w:sz="0" w:space="0" w:color="auto"/>
          </w:divBdr>
        </w:div>
        <w:div w:id="46993199">
          <w:marLeft w:val="0"/>
          <w:marRight w:val="0"/>
          <w:marTop w:val="0"/>
          <w:marBottom w:val="0"/>
          <w:divBdr>
            <w:top w:val="none" w:sz="0" w:space="0" w:color="auto"/>
            <w:left w:val="none" w:sz="0" w:space="0" w:color="auto"/>
            <w:bottom w:val="none" w:sz="0" w:space="0" w:color="auto"/>
            <w:right w:val="none" w:sz="0" w:space="0" w:color="auto"/>
          </w:divBdr>
        </w:div>
        <w:div w:id="2007631680">
          <w:marLeft w:val="0"/>
          <w:marRight w:val="0"/>
          <w:marTop w:val="0"/>
          <w:marBottom w:val="0"/>
          <w:divBdr>
            <w:top w:val="none" w:sz="0" w:space="0" w:color="auto"/>
            <w:left w:val="none" w:sz="0" w:space="0" w:color="auto"/>
            <w:bottom w:val="none" w:sz="0" w:space="0" w:color="auto"/>
            <w:right w:val="none" w:sz="0" w:space="0" w:color="auto"/>
          </w:divBdr>
        </w:div>
        <w:div w:id="439179887">
          <w:marLeft w:val="0"/>
          <w:marRight w:val="0"/>
          <w:marTop w:val="0"/>
          <w:marBottom w:val="0"/>
          <w:divBdr>
            <w:top w:val="none" w:sz="0" w:space="0" w:color="auto"/>
            <w:left w:val="none" w:sz="0" w:space="0" w:color="auto"/>
            <w:bottom w:val="none" w:sz="0" w:space="0" w:color="auto"/>
            <w:right w:val="none" w:sz="0" w:space="0" w:color="auto"/>
          </w:divBdr>
        </w:div>
        <w:div w:id="1763212248">
          <w:marLeft w:val="0"/>
          <w:marRight w:val="0"/>
          <w:marTop w:val="0"/>
          <w:marBottom w:val="0"/>
          <w:divBdr>
            <w:top w:val="none" w:sz="0" w:space="0" w:color="auto"/>
            <w:left w:val="none" w:sz="0" w:space="0" w:color="auto"/>
            <w:bottom w:val="none" w:sz="0" w:space="0" w:color="auto"/>
            <w:right w:val="none" w:sz="0" w:space="0" w:color="auto"/>
          </w:divBdr>
        </w:div>
        <w:div w:id="1281649034">
          <w:marLeft w:val="0"/>
          <w:marRight w:val="0"/>
          <w:marTop w:val="0"/>
          <w:marBottom w:val="0"/>
          <w:divBdr>
            <w:top w:val="none" w:sz="0" w:space="0" w:color="auto"/>
            <w:left w:val="none" w:sz="0" w:space="0" w:color="auto"/>
            <w:bottom w:val="none" w:sz="0" w:space="0" w:color="auto"/>
            <w:right w:val="none" w:sz="0" w:space="0" w:color="auto"/>
          </w:divBdr>
        </w:div>
        <w:div w:id="94595057">
          <w:marLeft w:val="0"/>
          <w:marRight w:val="0"/>
          <w:marTop w:val="0"/>
          <w:marBottom w:val="0"/>
          <w:divBdr>
            <w:top w:val="none" w:sz="0" w:space="0" w:color="auto"/>
            <w:left w:val="none" w:sz="0" w:space="0" w:color="auto"/>
            <w:bottom w:val="none" w:sz="0" w:space="0" w:color="auto"/>
            <w:right w:val="none" w:sz="0" w:space="0" w:color="auto"/>
          </w:divBdr>
        </w:div>
        <w:div w:id="887955622">
          <w:marLeft w:val="0"/>
          <w:marRight w:val="0"/>
          <w:marTop w:val="0"/>
          <w:marBottom w:val="0"/>
          <w:divBdr>
            <w:top w:val="none" w:sz="0" w:space="0" w:color="auto"/>
            <w:left w:val="none" w:sz="0" w:space="0" w:color="auto"/>
            <w:bottom w:val="none" w:sz="0" w:space="0" w:color="auto"/>
            <w:right w:val="none" w:sz="0" w:space="0" w:color="auto"/>
          </w:divBdr>
        </w:div>
        <w:div w:id="215286043">
          <w:marLeft w:val="0"/>
          <w:marRight w:val="0"/>
          <w:marTop w:val="0"/>
          <w:marBottom w:val="0"/>
          <w:divBdr>
            <w:top w:val="none" w:sz="0" w:space="0" w:color="auto"/>
            <w:left w:val="none" w:sz="0" w:space="0" w:color="auto"/>
            <w:bottom w:val="none" w:sz="0" w:space="0" w:color="auto"/>
            <w:right w:val="none" w:sz="0" w:space="0" w:color="auto"/>
          </w:divBdr>
        </w:div>
        <w:div w:id="1799257423">
          <w:marLeft w:val="0"/>
          <w:marRight w:val="0"/>
          <w:marTop w:val="0"/>
          <w:marBottom w:val="0"/>
          <w:divBdr>
            <w:top w:val="none" w:sz="0" w:space="0" w:color="auto"/>
            <w:left w:val="none" w:sz="0" w:space="0" w:color="auto"/>
            <w:bottom w:val="none" w:sz="0" w:space="0" w:color="auto"/>
            <w:right w:val="none" w:sz="0" w:space="0" w:color="auto"/>
          </w:divBdr>
        </w:div>
        <w:div w:id="2106685368">
          <w:marLeft w:val="0"/>
          <w:marRight w:val="0"/>
          <w:marTop w:val="0"/>
          <w:marBottom w:val="0"/>
          <w:divBdr>
            <w:top w:val="none" w:sz="0" w:space="0" w:color="auto"/>
            <w:left w:val="none" w:sz="0" w:space="0" w:color="auto"/>
            <w:bottom w:val="none" w:sz="0" w:space="0" w:color="auto"/>
            <w:right w:val="none" w:sz="0" w:space="0" w:color="auto"/>
          </w:divBdr>
        </w:div>
        <w:div w:id="1922446708">
          <w:marLeft w:val="0"/>
          <w:marRight w:val="0"/>
          <w:marTop w:val="0"/>
          <w:marBottom w:val="0"/>
          <w:divBdr>
            <w:top w:val="none" w:sz="0" w:space="0" w:color="auto"/>
            <w:left w:val="none" w:sz="0" w:space="0" w:color="auto"/>
            <w:bottom w:val="none" w:sz="0" w:space="0" w:color="auto"/>
            <w:right w:val="none" w:sz="0" w:space="0" w:color="auto"/>
          </w:divBdr>
        </w:div>
        <w:div w:id="1039085139">
          <w:marLeft w:val="0"/>
          <w:marRight w:val="0"/>
          <w:marTop w:val="0"/>
          <w:marBottom w:val="0"/>
          <w:divBdr>
            <w:top w:val="none" w:sz="0" w:space="0" w:color="auto"/>
            <w:left w:val="none" w:sz="0" w:space="0" w:color="auto"/>
            <w:bottom w:val="none" w:sz="0" w:space="0" w:color="auto"/>
            <w:right w:val="none" w:sz="0" w:space="0" w:color="auto"/>
          </w:divBdr>
        </w:div>
        <w:div w:id="697270006">
          <w:marLeft w:val="0"/>
          <w:marRight w:val="0"/>
          <w:marTop w:val="0"/>
          <w:marBottom w:val="0"/>
          <w:divBdr>
            <w:top w:val="none" w:sz="0" w:space="0" w:color="auto"/>
            <w:left w:val="none" w:sz="0" w:space="0" w:color="auto"/>
            <w:bottom w:val="none" w:sz="0" w:space="0" w:color="auto"/>
            <w:right w:val="none" w:sz="0" w:space="0" w:color="auto"/>
          </w:divBdr>
        </w:div>
        <w:div w:id="1079013457">
          <w:marLeft w:val="0"/>
          <w:marRight w:val="0"/>
          <w:marTop w:val="0"/>
          <w:marBottom w:val="0"/>
          <w:divBdr>
            <w:top w:val="none" w:sz="0" w:space="0" w:color="auto"/>
            <w:left w:val="none" w:sz="0" w:space="0" w:color="auto"/>
            <w:bottom w:val="none" w:sz="0" w:space="0" w:color="auto"/>
            <w:right w:val="none" w:sz="0" w:space="0" w:color="auto"/>
          </w:divBdr>
        </w:div>
        <w:div w:id="1799686727">
          <w:marLeft w:val="0"/>
          <w:marRight w:val="0"/>
          <w:marTop w:val="0"/>
          <w:marBottom w:val="0"/>
          <w:divBdr>
            <w:top w:val="none" w:sz="0" w:space="0" w:color="auto"/>
            <w:left w:val="none" w:sz="0" w:space="0" w:color="auto"/>
            <w:bottom w:val="none" w:sz="0" w:space="0" w:color="auto"/>
            <w:right w:val="none" w:sz="0" w:space="0" w:color="auto"/>
          </w:divBdr>
        </w:div>
        <w:div w:id="1437406233">
          <w:marLeft w:val="0"/>
          <w:marRight w:val="0"/>
          <w:marTop w:val="0"/>
          <w:marBottom w:val="0"/>
          <w:divBdr>
            <w:top w:val="none" w:sz="0" w:space="0" w:color="auto"/>
            <w:left w:val="none" w:sz="0" w:space="0" w:color="auto"/>
            <w:bottom w:val="none" w:sz="0" w:space="0" w:color="auto"/>
            <w:right w:val="none" w:sz="0" w:space="0" w:color="auto"/>
          </w:divBdr>
        </w:div>
        <w:div w:id="48578655">
          <w:marLeft w:val="0"/>
          <w:marRight w:val="0"/>
          <w:marTop w:val="0"/>
          <w:marBottom w:val="0"/>
          <w:divBdr>
            <w:top w:val="none" w:sz="0" w:space="0" w:color="auto"/>
            <w:left w:val="none" w:sz="0" w:space="0" w:color="auto"/>
            <w:bottom w:val="none" w:sz="0" w:space="0" w:color="auto"/>
            <w:right w:val="none" w:sz="0" w:space="0" w:color="auto"/>
          </w:divBdr>
        </w:div>
        <w:div w:id="107433628">
          <w:marLeft w:val="0"/>
          <w:marRight w:val="0"/>
          <w:marTop w:val="0"/>
          <w:marBottom w:val="0"/>
          <w:divBdr>
            <w:top w:val="none" w:sz="0" w:space="0" w:color="auto"/>
            <w:left w:val="none" w:sz="0" w:space="0" w:color="auto"/>
            <w:bottom w:val="none" w:sz="0" w:space="0" w:color="auto"/>
            <w:right w:val="none" w:sz="0" w:space="0" w:color="auto"/>
          </w:divBdr>
        </w:div>
        <w:div w:id="1695382092">
          <w:marLeft w:val="0"/>
          <w:marRight w:val="0"/>
          <w:marTop w:val="0"/>
          <w:marBottom w:val="0"/>
          <w:divBdr>
            <w:top w:val="none" w:sz="0" w:space="0" w:color="auto"/>
            <w:left w:val="none" w:sz="0" w:space="0" w:color="auto"/>
            <w:bottom w:val="none" w:sz="0" w:space="0" w:color="auto"/>
            <w:right w:val="none" w:sz="0" w:space="0" w:color="auto"/>
          </w:divBdr>
        </w:div>
        <w:div w:id="1407920475">
          <w:marLeft w:val="0"/>
          <w:marRight w:val="0"/>
          <w:marTop w:val="0"/>
          <w:marBottom w:val="0"/>
          <w:divBdr>
            <w:top w:val="none" w:sz="0" w:space="0" w:color="auto"/>
            <w:left w:val="none" w:sz="0" w:space="0" w:color="auto"/>
            <w:bottom w:val="none" w:sz="0" w:space="0" w:color="auto"/>
            <w:right w:val="none" w:sz="0" w:space="0" w:color="auto"/>
          </w:divBdr>
        </w:div>
        <w:div w:id="654530013">
          <w:marLeft w:val="0"/>
          <w:marRight w:val="0"/>
          <w:marTop w:val="0"/>
          <w:marBottom w:val="0"/>
          <w:divBdr>
            <w:top w:val="none" w:sz="0" w:space="0" w:color="auto"/>
            <w:left w:val="none" w:sz="0" w:space="0" w:color="auto"/>
            <w:bottom w:val="none" w:sz="0" w:space="0" w:color="auto"/>
            <w:right w:val="none" w:sz="0" w:space="0" w:color="auto"/>
          </w:divBdr>
        </w:div>
        <w:div w:id="233514350">
          <w:marLeft w:val="0"/>
          <w:marRight w:val="0"/>
          <w:marTop w:val="0"/>
          <w:marBottom w:val="0"/>
          <w:divBdr>
            <w:top w:val="none" w:sz="0" w:space="0" w:color="auto"/>
            <w:left w:val="none" w:sz="0" w:space="0" w:color="auto"/>
            <w:bottom w:val="none" w:sz="0" w:space="0" w:color="auto"/>
            <w:right w:val="none" w:sz="0" w:space="0" w:color="auto"/>
          </w:divBdr>
        </w:div>
        <w:div w:id="2125347699">
          <w:marLeft w:val="0"/>
          <w:marRight w:val="0"/>
          <w:marTop w:val="0"/>
          <w:marBottom w:val="0"/>
          <w:divBdr>
            <w:top w:val="none" w:sz="0" w:space="0" w:color="auto"/>
            <w:left w:val="none" w:sz="0" w:space="0" w:color="auto"/>
            <w:bottom w:val="none" w:sz="0" w:space="0" w:color="auto"/>
            <w:right w:val="none" w:sz="0" w:space="0" w:color="auto"/>
          </w:divBdr>
        </w:div>
      </w:divsChild>
    </w:div>
    <w:div w:id="1136024380">
      <w:bodyDiv w:val="1"/>
      <w:marLeft w:val="0"/>
      <w:marRight w:val="0"/>
      <w:marTop w:val="0"/>
      <w:marBottom w:val="0"/>
      <w:divBdr>
        <w:top w:val="none" w:sz="0" w:space="0" w:color="auto"/>
        <w:left w:val="none" w:sz="0" w:space="0" w:color="auto"/>
        <w:bottom w:val="none" w:sz="0" w:space="0" w:color="auto"/>
        <w:right w:val="none" w:sz="0" w:space="0" w:color="auto"/>
      </w:divBdr>
    </w:div>
    <w:div w:id="1194920679">
      <w:bodyDiv w:val="1"/>
      <w:marLeft w:val="0"/>
      <w:marRight w:val="0"/>
      <w:marTop w:val="0"/>
      <w:marBottom w:val="0"/>
      <w:divBdr>
        <w:top w:val="none" w:sz="0" w:space="0" w:color="auto"/>
        <w:left w:val="none" w:sz="0" w:space="0" w:color="auto"/>
        <w:bottom w:val="none" w:sz="0" w:space="0" w:color="auto"/>
        <w:right w:val="none" w:sz="0" w:space="0" w:color="auto"/>
      </w:divBdr>
    </w:div>
    <w:div w:id="1272009212">
      <w:bodyDiv w:val="1"/>
      <w:marLeft w:val="0"/>
      <w:marRight w:val="0"/>
      <w:marTop w:val="0"/>
      <w:marBottom w:val="0"/>
      <w:divBdr>
        <w:top w:val="none" w:sz="0" w:space="0" w:color="auto"/>
        <w:left w:val="none" w:sz="0" w:space="0" w:color="auto"/>
        <w:bottom w:val="none" w:sz="0" w:space="0" w:color="auto"/>
        <w:right w:val="none" w:sz="0" w:space="0" w:color="auto"/>
      </w:divBdr>
      <w:divsChild>
        <w:div w:id="583957925">
          <w:marLeft w:val="0"/>
          <w:marRight w:val="0"/>
          <w:marTop w:val="0"/>
          <w:marBottom w:val="0"/>
          <w:divBdr>
            <w:top w:val="none" w:sz="0" w:space="0" w:color="auto"/>
            <w:left w:val="none" w:sz="0" w:space="0" w:color="auto"/>
            <w:bottom w:val="none" w:sz="0" w:space="0" w:color="auto"/>
            <w:right w:val="none" w:sz="0" w:space="0" w:color="auto"/>
          </w:divBdr>
        </w:div>
        <w:div w:id="637489796">
          <w:marLeft w:val="0"/>
          <w:marRight w:val="0"/>
          <w:marTop w:val="0"/>
          <w:marBottom w:val="0"/>
          <w:divBdr>
            <w:top w:val="none" w:sz="0" w:space="0" w:color="auto"/>
            <w:left w:val="none" w:sz="0" w:space="0" w:color="auto"/>
            <w:bottom w:val="none" w:sz="0" w:space="0" w:color="auto"/>
            <w:right w:val="none" w:sz="0" w:space="0" w:color="auto"/>
          </w:divBdr>
        </w:div>
        <w:div w:id="1037580761">
          <w:marLeft w:val="0"/>
          <w:marRight w:val="0"/>
          <w:marTop w:val="0"/>
          <w:marBottom w:val="0"/>
          <w:divBdr>
            <w:top w:val="none" w:sz="0" w:space="0" w:color="auto"/>
            <w:left w:val="none" w:sz="0" w:space="0" w:color="auto"/>
            <w:bottom w:val="none" w:sz="0" w:space="0" w:color="auto"/>
            <w:right w:val="none" w:sz="0" w:space="0" w:color="auto"/>
          </w:divBdr>
        </w:div>
        <w:div w:id="1258099821">
          <w:marLeft w:val="0"/>
          <w:marRight w:val="0"/>
          <w:marTop w:val="0"/>
          <w:marBottom w:val="0"/>
          <w:divBdr>
            <w:top w:val="none" w:sz="0" w:space="0" w:color="auto"/>
            <w:left w:val="none" w:sz="0" w:space="0" w:color="auto"/>
            <w:bottom w:val="none" w:sz="0" w:space="0" w:color="auto"/>
            <w:right w:val="none" w:sz="0" w:space="0" w:color="auto"/>
          </w:divBdr>
        </w:div>
        <w:div w:id="1260793507">
          <w:marLeft w:val="0"/>
          <w:marRight w:val="0"/>
          <w:marTop w:val="0"/>
          <w:marBottom w:val="0"/>
          <w:divBdr>
            <w:top w:val="none" w:sz="0" w:space="0" w:color="auto"/>
            <w:left w:val="none" w:sz="0" w:space="0" w:color="auto"/>
            <w:bottom w:val="none" w:sz="0" w:space="0" w:color="auto"/>
            <w:right w:val="none" w:sz="0" w:space="0" w:color="auto"/>
          </w:divBdr>
        </w:div>
        <w:div w:id="1479493169">
          <w:marLeft w:val="0"/>
          <w:marRight w:val="0"/>
          <w:marTop w:val="0"/>
          <w:marBottom w:val="0"/>
          <w:divBdr>
            <w:top w:val="none" w:sz="0" w:space="0" w:color="auto"/>
            <w:left w:val="none" w:sz="0" w:space="0" w:color="auto"/>
            <w:bottom w:val="none" w:sz="0" w:space="0" w:color="auto"/>
            <w:right w:val="none" w:sz="0" w:space="0" w:color="auto"/>
          </w:divBdr>
        </w:div>
        <w:div w:id="1713185252">
          <w:marLeft w:val="0"/>
          <w:marRight w:val="0"/>
          <w:marTop w:val="0"/>
          <w:marBottom w:val="0"/>
          <w:divBdr>
            <w:top w:val="none" w:sz="0" w:space="0" w:color="auto"/>
            <w:left w:val="none" w:sz="0" w:space="0" w:color="auto"/>
            <w:bottom w:val="none" w:sz="0" w:space="0" w:color="auto"/>
            <w:right w:val="none" w:sz="0" w:space="0" w:color="auto"/>
          </w:divBdr>
        </w:div>
      </w:divsChild>
    </w:div>
    <w:div w:id="1283266663">
      <w:bodyDiv w:val="1"/>
      <w:marLeft w:val="0"/>
      <w:marRight w:val="0"/>
      <w:marTop w:val="0"/>
      <w:marBottom w:val="0"/>
      <w:divBdr>
        <w:top w:val="none" w:sz="0" w:space="0" w:color="auto"/>
        <w:left w:val="none" w:sz="0" w:space="0" w:color="auto"/>
        <w:bottom w:val="none" w:sz="0" w:space="0" w:color="auto"/>
        <w:right w:val="none" w:sz="0" w:space="0" w:color="auto"/>
      </w:divBdr>
    </w:div>
    <w:div w:id="1295795019">
      <w:bodyDiv w:val="1"/>
      <w:marLeft w:val="0"/>
      <w:marRight w:val="0"/>
      <w:marTop w:val="0"/>
      <w:marBottom w:val="0"/>
      <w:divBdr>
        <w:top w:val="none" w:sz="0" w:space="0" w:color="auto"/>
        <w:left w:val="none" w:sz="0" w:space="0" w:color="auto"/>
        <w:bottom w:val="none" w:sz="0" w:space="0" w:color="auto"/>
        <w:right w:val="none" w:sz="0" w:space="0" w:color="auto"/>
      </w:divBdr>
    </w:div>
    <w:div w:id="1365011119">
      <w:bodyDiv w:val="1"/>
      <w:marLeft w:val="0"/>
      <w:marRight w:val="0"/>
      <w:marTop w:val="0"/>
      <w:marBottom w:val="0"/>
      <w:divBdr>
        <w:top w:val="none" w:sz="0" w:space="0" w:color="auto"/>
        <w:left w:val="none" w:sz="0" w:space="0" w:color="auto"/>
        <w:bottom w:val="none" w:sz="0" w:space="0" w:color="auto"/>
        <w:right w:val="none" w:sz="0" w:space="0" w:color="auto"/>
      </w:divBdr>
      <w:divsChild>
        <w:div w:id="2105611432">
          <w:marLeft w:val="0"/>
          <w:marRight w:val="0"/>
          <w:marTop w:val="0"/>
          <w:marBottom w:val="0"/>
          <w:divBdr>
            <w:top w:val="none" w:sz="0" w:space="0" w:color="auto"/>
            <w:left w:val="none" w:sz="0" w:space="0" w:color="auto"/>
            <w:bottom w:val="none" w:sz="0" w:space="0" w:color="auto"/>
            <w:right w:val="none" w:sz="0" w:space="0" w:color="auto"/>
          </w:divBdr>
        </w:div>
        <w:div w:id="247888270">
          <w:marLeft w:val="0"/>
          <w:marRight w:val="0"/>
          <w:marTop w:val="0"/>
          <w:marBottom w:val="0"/>
          <w:divBdr>
            <w:top w:val="none" w:sz="0" w:space="0" w:color="auto"/>
            <w:left w:val="none" w:sz="0" w:space="0" w:color="auto"/>
            <w:bottom w:val="none" w:sz="0" w:space="0" w:color="auto"/>
            <w:right w:val="none" w:sz="0" w:space="0" w:color="auto"/>
          </w:divBdr>
        </w:div>
        <w:div w:id="1867013956">
          <w:marLeft w:val="0"/>
          <w:marRight w:val="0"/>
          <w:marTop w:val="0"/>
          <w:marBottom w:val="0"/>
          <w:divBdr>
            <w:top w:val="none" w:sz="0" w:space="0" w:color="auto"/>
            <w:left w:val="none" w:sz="0" w:space="0" w:color="auto"/>
            <w:bottom w:val="none" w:sz="0" w:space="0" w:color="auto"/>
            <w:right w:val="none" w:sz="0" w:space="0" w:color="auto"/>
          </w:divBdr>
        </w:div>
        <w:div w:id="1743522377">
          <w:marLeft w:val="0"/>
          <w:marRight w:val="0"/>
          <w:marTop w:val="0"/>
          <w:marBottom w:val="0"/>
          <w:divBdr>
            <w:top w:val="none" w:sz="0" w:space="0" w:color="auto"/>
            <w:left w:val="none" w:sz="0" w:space="0" w:color="auto"/>
            <w:bottom w:val="none" w:sz="0" w:space="0" w:color="auto"/>
            <w:right w:val="none" w:sz="0" w:space="0" w:color="auto"/>
          </w:divBdr>
        </w:div>
        <w:div w:id="470368659">
          <w:marLeft w:val="0"/>
          <w:marRight w:val="0"/>
          <w:marTop w:val="0"/>
          <w:marBottom w:val="0"/>
          <w:divBdr>
            <w:top w:val="none" w:sz="0" w:space="0" w:color="auto"/>
            <w:left w:val="none" w:sz="0" w:space="0" w:color="auto"/>
            <w:bottom w:val="none" w:sz="0" w:space="0" w:color="auto"/>
            <w:right w:val="none" w:sz="0" w:space="0" w:color="auto"/>
          </w:divBdr>
        </w:div>
        <w:div w:id="1135173221">
          <w:marLeft w:val="0"/>
          <w:marRight w:val="0"/>
          <w:marTop w:val="0"/>
          <w:marBottom w:val="0"/>
          <w:divBdr>
            <w:top w:val="none" w:sz="0" w:space="0" w:color="auto"/>
            <w:left w:val="none" w:sz="0" w:space="0" w:color="auto"/>
            <w:bottom w:val="none" w:sz="0" w:space="0" w:color="auto"/>
            <w:right w:val="none" w:sz="0" w:space="0" w:color="auto"/>
          </w:divBdr>
        </w:div>
        <w:div w:id="1894346195">
          <w:marLeft w:val="0"/>
          <w:marRight w:val="0"/>
          <w:marTop w:val="0"/>
          <w:marBottom w:val="0"/>
          <w:divBdr>
            <w:top w:val="none" w:sz="0" w:space="0" w:color="auto"/>
            <w:left w:val="none" w:sz="0" w:space="0" w:color="auto"/>
            <w:bottom w:val="none" w:sz="0" w:space="0" w:color="auto"/>
            <w:right w:val="none" w:sz="0" w:space="0" w:color="auto"/>
          </w:divBdr>
        </w:div>
        <w:div w:id="1553080420">
          <w:marLeft w:val="0"/>
          <w:marRight w:val="0"/>
          <w:marTop w:val="0"/>
          <w:marBottom w:val="0"/>
          <w:divBdr>
            <w:top w:val="none" w:sz="0" w:space="0" w:color="auto"/>
            <w:left w:val="none" w:sz="0" w:space="0" w:color="auto"/>
            <w:bottom w:val="none" w:sz="0" w:space="0" w:color="auto"/>
            <w:right w:val="none" w:sz="0" w:space="0" w:color="auto"/>
          </w:divBdr>
        </w:div>
        <w:div w:id="1068070565">
          <w:marLeft w:val="0"/>
          <w:marRight w:val="0"/>
          <w:marTop w:val="0"/>
          <w:marBottom w:val="0"/>
          <w:divBdr>
            <w:top w:val="none" w:sz="0" w:space="0" w:color="auto"/>
            <w:left w:val="none" w:sz="0" w:space="0" w:color="auto"/>
            <w:bottom w:val="none" w:sz="0" w:space="0" w:color="auto"/>
            <w:right w:val="none" w:sz="0" w:space="0" w:color="auto"/>
          </w:divBdr>
        </w:div>
        <w:div w:id="825979114">
          <w:marLeft w:val="0"/>
          <w:marRight w:val="0"/>
          <w:marTop w:val="0"/>
          <w:marBottom w:val="0"/>
          <w:divBdr>
            <w:top w:val="none" w:sz="0" w:space="0" w:color="auto"/>
            <w:left w:val="none" w:sz="0" w:space="0" w:color="auto"/>
            <w:bottom w:val="none" w:sz="0" w:space="0" w:color="auto"/>
            <w:right w:val="none" w:sz="0" w:space="0" w:color="auto"/>
          </w:divBdr>
        </w:div>
        <w:div w:id="1987052091">
          <w:marLeft w:val="0"/>
          <w:marRight w:val="0"/>
          <w:marTop w:val="0"/>
          <w:marBottom w:val="0"/>
          <w:divBdr>
            <w:top w:val="none" w:sz="0" w:space="0" w:color="auto"/>
            <w:left w:val="none" w:sz="0" w:space="0" w:color="auto"/>
            <w:bottom w:val="none" w:sz="0" w:space="0" w:color="auto"/>
            <w:right w:val="none" w:sz="0" w:space="0" w:color="auto"/>
          </w:divBdr>
        </w:div>
        <w:div w:id="547181544">
          <w:marLeft w:val="0"/>
          <w:marRight w:val="0"/>
          <w:marTop w:val="0"/>
          <w:marBottom w:val="0"/>
          <w:divBdr>
            <w:top w:val="none" w:sz="0" w:space="0" w:color="auto"/>
            <w:left w:val="none" w:sz="0" w:space="0" w:color="auto"/>
            <w:bottom w:val="none" w:sz="0" w:space="0" w:color="auto"/>
            <w:right w:val="none" w:sz="0" w:space="0" w:color="auto"/>
          </w:divBdr>
        </w:div>
        <w:div w:id="177618210">
          <w:marLeft w:val="0"/>
          <w:marRight w:val="0"/>
          <w:marTop w:val="0"/>
          <w:marBottom w:val="0"/>
          <w:divBdr>
            <w:top w:val="none" w:sz="0" w:space="0" w:color="auto"/>
            <w:left w:val="none" w:sz="0" w:space="0" w:color="auto"/>
            <w:bottom w:val="none" w:sz="0" w:space="0" w:color="auto"/>
            <w:right w:val="none" w:sz="0" w:space="0" w:color="auto"/>
          </w:divBdr>
        </w:div>
        <w:div w:id="1632245005">
          <w:marLeft w:val="0"/>
          <w:marRight w:val="0"/>
          <w:marTop w:val="0"/>
          <w:marBottom w:val="0"/>
          <w:divBdr>
            <w:top w:val="none" w:sz="0" w:space="0" w:color="auto"/>
            <w:left w:val="none" w:sz="0" w:space="0" w:color="auto"/>
            <w:bottom w:val="none" w:sz="0" w:space="0" w:color="auto"/>
            <w:right w:val="none" w:sz="0" w:space="0" w:color="auto"/>
          </w:divBdr>
        </w:div>
        <w:div w:id="657808230">
          <w:marLeft w:val="0"/>
          <w:marRight w:val="0"/>
          <w:marTop w:val="0"/>
          <w:marBottom w:val="0"/>
          <w:divBdr>
            <w:top w:val="none" w:sz="0" w:space="0" w:color="auto"/>
            <w:left w:val="none" w:sz="0" w:space="0" w:color="auto"/>
            <w:bottom w:val="none" w:sz="0" w:space="0" w:color="auto"/>
            <w:right w:val="none" w:sz="0" w:space="0" w:color="auto"/>
          </w:divBdr>
        </w:div>
        <w:div w:id="2006351649">
          <w:marLeft w:val="0"/>
          <w:marRight w:val="0"/>
          <w:marTop w:val="0"/>
          <w:marBottom w:val="0"/>
          <w:divBdr>
            <w:top w:val="none" w:sz="0" w:space="0" w:color="auto"/>
            <w:left w:val="none" w:sz="0" w:space="0" w:color="auto"/>
            <w:bottom w:val="none" w:sz="0" w:space="0" w:color="auto"/>
            <w:right w:val="none" w:sz="0" w:space="0" w:color="auto"/>
          </w:divBdr>
        </w:div>
        <w:div w:id="1079601008">
          <w:marLeft w:val="0"/>
          <w:marRight w:val="0"/>
          <w:marTop w:val="0"/>
          <w:marBottom w:val="0"/>
          <w:divBdr>
            <w:top w:val="none" w:sz="0" w:space="0" w:color="auto"/>
            <w:left w:val="none" w:sz="0" w:space="0" w:color="auto"/>
            <w:bottom w:val="none" w:sz="0" w:space="0" w:color="auto"/>
            <w:right w:val="none" w:sz="0" w:space="0" w:color="auto"/>
          </w:divBdr>
        </w:div>
        <w:div w:id="1578827924">
          <w:marLeft w:val="0"/>
          <w:marRight w:val="0"/>
          <w:marTop w:val="0"/>
          <w:marBottom w:val="0"/>
          <w:divBdr>
            <w:top w:val="none" w:sz="0" w:space="0" w:color="auto"/>
            <w:left w:val="none" w:sz="0" w:space="0" w:color="auto"/>
            <w:bottom w:val="none" w:sz="0" w:space="0" w:color="auto"/>
            <w:right w:val="none" w:sz="0" w:space="0" w:color="auto"/>
          </w:divBdr>
        </w:div>
        <w:div w:id="961301490">
          <w:marLeft w:val="0"/>
          <w:marRight w:val="0"/>
          <w:marTop w:val="0"/>
          <w:marBottom w:val="0"/>
          <w:divBdr>
            <w:top w:val="none" w:sz="0" w:space="0" w:color="auto"/>
            <w:left w:val="none" w:sz="0" w:space="0" w:color="auto"/>
            <w:bottom w:val="none" w:sz="0" w:space="0" w:color="auto"/>
            <w:right w:val="none" w:sz="0" w:space="0" w:color="auto"/>
          </w:divBdr>
        </w:div>
        <w:div w:id="518617397">
          <w:marLeft w:val="0"/>
          <w:marRight w:val="0"/>
          <w:marTop w:val="0"/>
          <w:marBottom w:val="0"/>
          <w:divBdr>
            <w:top w:val="none" w:sz="0" w:space="0" w:color="auto"/>
            <w:left w:val="none" w:sz="0" w:space="0" w:color="auto"/>
            <w:bottom w:val="none" w:sz="0" w:space="0" w:color="auto"/>
            <w:right w:val="none" w:sz="0" w:space="0" w:color="auto"/>
          </w:divBdr>
        </w:div>
        <w:div w:id="63112241">
          <w:marLeft w:val="0"/>
          <w:marRight w:val="0"/>
          <w:marTop w:val="0"/>
          <w:marBottom w:val="0"/>
          <w:divBdr>
            <w:top w:val="none" w:sz="0" w:space="0" w:color="auto"/>
            <w:left w:val="none" w:sz="0" w:space="0" w:color="auto"/>
            <w:bottom w:val="none" w:sz="0" w:space="0" w:color="auto"/>
            <w:right w:val="none" w:sz="0" w:space="0" w:color="auto"/>
          </w:divBdr>
        </w:div>
        <w:div w:id="1290361741">
          <w:marLeft w:val="0"/>
          <w:marRight w:val="0"/>
          <w:marTop w:val="0"/>
          <w:marBottom w:val="0"/>
          <w:divBdr>
            <w:top w:val="none" w:sz="0" w:space="0" w:color="auto"/>
            <w:left w:val="none" w:sz="0" w:space="0" w:color="auto"/>
            <w:bottom w:val="none" w:sz="0" w:space="0" w:color="auto"/>
            <w:right w:val="none" w:sz="0" w:space="0" w:color="auto"/>
          </w:divBdr>
        </w:div>
        <w:div w:id="1243443296">
          <w:marLeft w:val="0"/>
          <w:marRight w:val="0"/>
          <w:marTop w:val="0"/>
          <w:marBottom w:val="0"/>
          <w:divBdr>
            <w:top w:val="none" w:sz="0" w:space="0" w:color="auto"/>
            <w:left w:val="none" w:sz="0" w:space="0" w:color="auto"/>
            <w:bottom w:val="none" w:sz="0" w:space="0" w:color="auto"/>
            <w:right w:val="none" w:sz="0" w:space="0" w:color="auto"/>
          </w:divBdr>
        </w:div>
        <w:div w:id="1029985571">
          <w:marLeft w:val="0"/>
          <w:marRight w:val="0"/>
          <w:marTop w:val="0"/>
          <w:marBottom w:val="0"/>
          <w:divBdr>
            <w:top w:val="none" w:sz="0" w:space="0" w:color="auto"/>
            <w:left w:val="none" w:sz="0" w:space="0" w:color="auto"/>
            <w:bottom w:val="none" w:sz="0" w:space="0" w:color="auto"/>
            <w:right w:val="none" w:sz="0" w:space="0" w:color="auto"/>
          </w:divBdr>
        </w:div>
      </w:divsChild>
    </w:div>
    <w:div w:id="1535268252">
      <w:bodyDiv w:val="1"/>
      <w:marLeft w:val="0"/>
      <w:marRight w:val="0"/>
      <w:marTop w:val="0"/>
      <w:marBottom w:val="0"/>
      <w:divBdr>
        <w:top w:val="none" w:sz="0" w:space="0" w:color="auto"/>
        <w:left w:val="none" w:sz="0" w:space="0" w:color="auto"/>
        <w:bottom w:val="none" w:sz="0" w:space="0" w:color="auto"/>
        <w:right w:val="none" w:sz="0" w:space="0" w:color="auto"/>
      </w:divBdr>
      <w:divsChild>
        <w:div w:id="1165899775">
          <w:marLeft w:val="0"/>
          <w:marRight w:val="0"/>
          <w:marTop w:val="0"/>
          <w:marBottom w:val="0"/>
          <w:divBdr>
            <w:top w:val="none" w:sz="0" w:space="0" w:color="auto"/>
            <w:left w:val="none" w:sz="0" w:space="0" w:color="auto"/>
            <w:bottom w:val="none" w:sz="0" w:space="0" w:color="auto"/>
            <w:right w:val="none" w:sz="0" w:space="0" w:color="auto"/>
          </w:divBdr>
        </w:div>
        <w:div w:id="1395856104">
          <w:marLeft w:val="0"/>
          <w:marRight w:val="0"/>
          <w:marTop w:val="0"/>
          <w:marBottom w:val="0"/>
          <w:divBdr>
            <w:top w:val="none" w:sz="0" w:space="0" w:color="auto"/>
            <w:left w:val="none" w:sz="0" w:space="0" w:color="auto"/>
            <w:bottom w:val="none" w:sz="0" w:space="0" w:color="auto"/>
            <w:right w:val="none" w:sz="0" w:space="0" w:color="auto"/>
          </w:divBdr>
        </w:div>
        <w:div w:id="1756824519">
          <w:marLeft w:val="0"/>
          <w:marRight w:val="0"/>
          <w:marTop w:val="0"/>
          <w:marBottom w:val="0"/>
          <w:divBdr>
            <w:top w:val="none" w:sz="0" w:space="0" w:color="auto"/>
            <w:left w:val="none" w:sz="0" w:space="0" w:color="auto"/>
            <w:bottom w:val="none" w:sz="0" w:space="0" w:color="auto"/>
            <w:right w:val="none" w:sz="0" w:space="0" w:color="auto"/>
          </w:divBdr>
        </w:div>
        <w:div w:id="1789660230">
          <w:marLeft w:val="0"/>
          <w:marRight w:val="0"/>
          <w:marTop w:val="0"/>
          <w:marBottom w:val="0"/>
          <w:divBdr>
            <w:top w:val="none" w:sz="0" w:space="0" w:color="auto"/>
            <w:left w:val="none" w:sz="0" w:space="0" w:color="auto"/>
            <w:bottom w:val="none" w:sz="0" w:space="0" w:color="auto"/>
            <w:right w:val="none" w:sz="0" w:space="0" w:color="auto"/>
          </w:divBdr>
        </w:div>
        <w:div w:id="1833369695">
          <w:marLeft w:val="0"/>
          <w:marRight w:val="0"/>
          <w:marTop w:val="0"/>
          <w:marBottom w:val="0"/>
          <w:divBdr>
            <w:top w:val="none" w:sz="0" w:space="0" w:color="auto"/>
            <w:left w:val="none" w:sz="0" w:space="0" w:color="auto"/>
            <w:bottom w:val="none" w:sz="0" w:space="0" w:color="auto"/>
            <w:right w:val="none" w:sz="0" w:space="0" w:color="auto"/>
          </w:divBdr>
        </w:div>
        <w:div w:id="1853566024">
          <w:marLeft w:val="0"/>
          <w:marRight w:val="0"/>
          <w:marTop w:val="0"/>
          <w:marBottom w:val="0"/>
          <w:divBdr>
            <w:top w:val="none" w:sz="0" w:space="0" w:color="auto"/>
            <w:left w:val="none" w:sz="0" w:space="0" w:color="auto"/>
            <w:bottom w:val="none" w:sz="0" w:space="0" w:color="auto"/>
            <w:right w:val="none" w:sz="0" w:space="0" w:color="auto"/>
          </w:divBdr>
        </w:div>
        <w:div w:id="2033798312">
          <w:marLeft w:val="0"/>
          <w:marRight w:val="0"/>
          <w:marTop w:val="0"/>
          <w:marBottom w:val="0"/>
          <w:divBdr>
            <w:top w:val="none" w:sz="0" w:space="0" w:color="auto"/>
            <w:left w:val="none" w:sz="0" w:space="0" w:color="auto"/>
            <w:bottom w:val="none" w:sz="0" w:space="0" w:color="auto"/>
            <w:right w:val="none" w:sz="0" w:space="0" w:color="auto"/>
          </w:divBdr>
        </w:div>
      </w:divsChild>
    </w:div>
    <w:div w:id="1616785536">
      <w:bodyDiv w:val="1"/>
      <w:marLeft w:val="0"/>
      <w:marRight w:val="0"/>
      <w:marTop w:val="0"/>
      <w:marBottom w:val="0"/>
      <w:divBdr>
        <w:top w:val="none" w:sz="0" w:space="0" w:color="auto"/>
        <w:left w:val="none" w:sz="0" w:space="0" w:color="auto"/>
        <w:bottom w:val="none" w:sz="0" w:space="0" w:color="auto"/>
        <w:right w:val="none" w:sz="0" w:space="0" w:color="auto"/>
      </w:divBdr>
    </w:div>
    <w:div w:id="1688868389">
      <w:bodyDiv w:val="1"/>
      <w:marLeft w:val="0"/>
      <w:marRight w:val="0"/>
      <w:marTop w:val="0"/>
      <w:marBottom w:val="0"/>
      <w:divBdr>
        <w:top w:val="none" w:sz="0" w:space="0" w:color="auto"/>
        <w:left w:val="none" w:sz="0" w:space="0" w:color="auto"/>
        <w:bottom w:val="none" w:sz="0" w:space="0" w:color="auto"/>
        <w:right w:val="none" w:sz="0" w:space="0" w:color="auto"/>
      </w:divBdr>
    </w:div>
    <w:div w:id="1694989242">
      <w:bodyDiv w:val="1"/>
      <w:marLeft w:val="0"/>
      <w:marRight w:val="0"/>
      <w:marTop w:val="0"/>
      <w:marBottom w:val="0"/>
      <w:divBdr>
        <w:top w:val="none" w:sz="0" w:space="0" w:color="auto"/>
        <w:left w:val="none" w:sz="0" w:space="0" w:color="auto"/>
        <w:bottom w:val="none" w:sz="0" w:space="0" w:color="auto"/>
        <w:right w:val="none" w:sz="0" w:space="0" w:color="auto"/>
      </w:divBdr>
    </w:div>
    <w:div w:id="1696269424">
      <w:bodyDiv w:val="1"/>
      <w:marLeft w:val="0"/>
      <w:marRight w:val="0"/>
      <w:marTop w:val="0"/>
      <w:marBottom w:val="0"/>
      <w:divBdr>
        <w:top w:val="none" w:sz="0" w:space="0" w:color="auto"/>
        <w:left w:val="none" w:sz="0" w:space="0" w:color="auto"/>
        <w:bottom w:val="none" w:sz="0" w:space="0" w:color="auto"/>
        <w:right w:val="none" w:sz="0" w:space="0" w:color="auto"/>
      </w:divBdr>
      <w:divsChild>
        <w:div w:id="207182207">
          <w:marLeft w:val="0"/>
          <w:marRight w:val="0"/>
          <w:marTop w:val="0"/>
          <w:marBottom w:val="0"/>
          <w:divBdr>
            <w:top w:val="none" w:sz="0" w:space="0" w:color="auto"/>
            <w:left w:val="none" w:sz="0" w:space="0" w:color="auto"/>
            <w:bottom w:val="none" w:sz="0" w:space="0" w:color="auto"/>
            <w:right w:val="none" w:sz="0" w:space="0" w:color="auto"/>
          </w:divBdr>
        </w:div>
        <w:div w:id="1136794802">
          <w:marLeft w:val="0"/>
          <w:marRight w:val="0"/>
          <w:marTop w:val="0"/>
          <w:marBottom w:val="0"/>
          <w:divBdr>
            <w:top w:val="none" w:sz="0" w:space="0" w:color="auto"/>
            <w:left w:val="none" w:sz="0" w:space="0" w:color="auto"/>
            <w:bottom w:val="none" w:sz="0" w:space="0" w:color="auto"/>
            <w:right w:val="none" w:sz="0" w:space="0" w:color="auto"/>
          </w:divBdr>
          <w:divsChild>
            <w:div w:id="362950184">
              <w:marLeft w:val="0"/>
              <w:marRight w:val="0"/>
              <w:marTop w:val="0"/>
              <w:marBottom w:val="0"/>
              <w:divBdr>
                <w:top w:val="none" w:sz="0" w:space="0" w:color="auto"/>
                <w:left w:val="none" w:sz="0" w:space="0" w:color="auto"/>
                <w:bottom w:val="none" w:sz="0" w:space="0" w:color="auto"/>
                <w:right w:val="none" w:sz="0" w:space="0" w:color="auto"/>
              </w:divBdr>
            </w:div>
            <w:div w:id="387874368">
              <w:marLeft w:val="0"/>
              <w:marRight w:val="0"/>
              <w:marTop w:val="0"/>
              <w:marBottom w:val="0"/>
              <w:divBdr>
                <w:top w:val="none" w:sz="0" w:space="0" w:color="auto"/>
                <w:left w:val="none" w:sz="0" w:space="0" w:color="auto"/>
                <w:bottom w:val="none" w:sz="0" w:space="0" w:color="auto"/>
                <w:right w:val="none" w:sz="0" w:space="0" w:color="auto"/>
              </w:divBdr>
            </w:div>
            <w:div w:id="207723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2924">
      <w:bodyDiv w:val="1"/>
      <w:marLeft w:val="0"/>
      <w:marRight w:val="0"/>
      <w:marTop w:val="0"/>
      <w:marBottom w:val="0"/>
      <w:divBdr>
        <w:top w:val="none" w:sz="0" w:space="0" w:color="auto"/>
        <w:left w:val="none" w:sz="0" w:space="0" w:color="auto"/>
        <w:bottom w:val="none" w:sz="0" w:space="0" w:color="auto"/>
        <w:right w:val="none" w:sz="0" w:space="0" w:color="auto"/>
      </w:divBdr>
    </w:div>
    <w:div w:id="1837452525">
      <w:bodyDiv w:val="1"/>
      <w:marLeft w:val="0"/>
      <w:marRight w:val="0"/>
      <w:marTop w:val="0"/>
      <w:marBottom w:val="0"/>
      <w:divBdr>
        <w:top w:val="none" w:sz="0" w:space="0" w:color="auto"/>
        <w:left w:val="none" w:sz="0" w:space="0" w:color="auto"/>
        <w:bottom w:val="none" w:sz="0" w:space="0" w:color="auto"/>
        <w:right w:val="none" w:sz="0" w:space="0" w:color="auto"/>
      </w:divBdr>
      <w:divsChild>
        <w:div w:id="1053700177">
          <w:marLeft w:val="0"/>
          <w:marRight w:val="0"/>
          <w:marTop w:val="0"/>
          <w:marBottom w:val="0"/>
          <w:divBdr>
            <w:top w:val="none" w:sz="0" w:space="0" w:color="auto"/>
            <w:left w:val="none" w:sz="0" w:space="0" w:color="auto"/>
            <w:bottom w:val="none" w:sz="0" w:space="0" w:color="auto"/>
            <w:right w:val="none" w:sz="0" w:space="0" w:color="auto"/>
          </w:divBdr>
        </w:div>
        <w:div w:id="620264369">
          <w:marLeft w:val="0"/>
          <w:marRight w:val="0"/>
          <w:marTop w:val="0"/>
          <w:marBottom w:val="0"/>
          <w:divBdr>
            <w:top w:val="none" w:sz="0" w:space="0" w:color="auto"/>
            <w:left w:val="none" w:sz="0" w:space="0" w:color="auto"/>
            <w:bottom w:val="none" w:sz="0" w:space="0" w:color="auto"/>
            <w:right w:val="none" w:sz="0" w:space="0" w:color="auto"/>
          </w:divBdr>
        </w:div>
        <w:div w:id="1673725401">
          <w:marLeft w:val="0"/>
          <w:marRight w:val="0"/>
          <w:marTop w:val="0"/>
          <w:marBottom w:val="0"/>
          <w:divBdr>
            <w:top w:val="none" w:sz="0" w:space="0" w:color="auto"/>
            <w:left w:val="none" w:sz="0" w:space="0" w:color="auto"/>
            <w:bottom w:val="none" w:sz="0" w:space="0" w:color="auto"/>
            <w:right w:val="none" w:sz="0" w:space="0" w:color="auto"/>
          </w:divBdr>
        </w:div>
        <w:div w:id="1646230051">
          <w:marLeft w:val="0"/>
          <w:marRight w:val="0"/>
          <w:marTop w:val="0"/>
          <w:marBottom w:val="0"/>
          <w:divBdr>
            <w:top w:val="none" w:sz="0" w:space="0" w:color="auto"/>
            <w:left w:val="none" w:sz="0" w:space="0" w:color="auto"/>
            <w:bottom w:val="none" w:sz="0" w:space="0" w:color="auto"/>
            <w:right w:val="none" w:sz="0" w:space="0" w:color="auto"/>
          </w:divBdr>
        </w:div>
        <w:div w:id="954559997">
          <w:marLeft w:val="0"/>
          <w:marRight w:val="0"/>
          <w:marTop w:val="0"/>
          <w:marBottom w:val="0"/>
          <w:divBdr>
            <w:top w:val="none" w:sz="0" w:space="0" w:color="auto"/>
            <w:left w:val="none" w:sz="0" w:space="0" w:color="auto"/>
            <w:bottom w:val="none" w:sz="0" w:space="0" w:color="auto"/>
            <w:right w:val="none" w:sz="0" w:space="0" w:color="auto"/>
          </w:divBdr>
        </w:div>
        <w:div w:id="528026824">
          <w:marLeft w:val="0"/>
          <w:marRight w:val="0"/>
          <w:marTop w:val="0"/>
          <w:marBottom w:val="0"/>
          <w:divBdr>
            <w:top w:val="none" w:sz="0" w:space="0" w:color="auto"/>
            <w:left w:val="none" w:sz="0" w:space="0" w:color="auto"/>
            <w:bottom w:val="none" w:sz="0" w:space="0" w:color="auto"/>
            <w:right w:val="none" w:sz="0" w:space="0" w:color="auto"/>
          </w:divBdr>
        </w:div>
        <w:div w:id="1361587271">
          <w:marLeft w:val="0"/>
          <w:marRight w:val="0"/>
          <w:marTop w:val="0"/>
          <w:marBottom w:val="0"/>
          <w:divBdr>
            <w:top w:val="none" w:sz="0" w:space="0" w:color="auto"/>
            <w:left w:val="none" w:sz="0" w:space="0" w:color="auto"/>
            <w:bottom w:val="none" w:sz="0" w:space="0" w:color="auto"/>
            <w:right w:val="none" w:sz="0" w:space="0" w:color="auto"/>
          </w:divBdr>
        </w:div>
        <w:div w:id="698438076">
          <w:marLeft w:val="0"/>
          <w:marRight w:val="0"/>
          <w:marTop w:val="0"/>
          <w:marBottom w:val="0"/>
          <w:divBdr>
            <w:top w:val="none" w:sz="0" w:space="0" w:color="auto"/>
            <w:left w:val="none" w:sz="0" w:space="0" w:color="auto"/>
            <w:bottom w:val="none" w:sz="0" w:space="0" w:color="auto"/>
            <w:right w:val="none" w:sz="0" w:space="0" w:color="auto"/>
          </w:divBdr>
        </w:div>
        <w:div w:id="1030060728">
          <w:marLeft w:val="0"/>
          <w:marRight w:val="0"/>
          <w:marTop w:val="0"/>
          <w:marBottom w:val="0"/>
          <w:divBdr>
            <w:top w:val="none" w:sz="0" w:space="0" w:color="auto"/>
            <w:left w:val="none" w:sz="0" w:space="0" w:color="auto"/>
            <w:bottom w:val="none" w:sz="0" w:space="0" w:color="auto"/>
            <w:right w:val="none" w:sz="0" w:space="0" w:color="auto"/>
          </w:divBdr>
        </w:div>
        <w:div w:id="277489544">
          <w:marLeft w:val="0"/>
          <w:marRight w:val="0"/>
          <w:marTop w:val="0"/>
          <w:marBottom w:val="0"/>
          <w:divBdr>
            <w:top w:val="none" w:sz="0" w:space="0" w:color="auto"/>
            <w:left w:val="none" w:sz="0" w:space="0" w:color="auto"/>
            <w:bottom w:val="none" w:sz="0" w:space="0" w:color="auto"/>
            <w:right w:val="none" w:sz="0" w:space="0" w:color="auto"/>
          </w:divBdr>
        </w:div>
        <w:div w:id="260577786">
          <w:marLeft w:val="0"/>
          <w:marRight w:val="0"/>
          <w:marTop w:val="0"/>
          <w:marBottom w:val="0"/>
          <w:divBdr>
            <w:top w:val="none" w:sz="0" w:space="0" w:color="auto"/>
            <w:left w:val="none" w:sz="0" w:space="0" w:color="auto"/>
            <w:bottom w:val="none" w:sz="0" w:space="0" w:color="auto"/>
            <w:right w:val="none" w:sz="0" w:space="0" w:color="auto"/>
          </w:divBdr>
        </w:div>
        <w:div w:id="681858623">
          <w:marLeft w:val="0"/>
          <w:marRight w:val="0"/>
          <w:marTop w:val="0"/>
          <w:marBottom w:val="0"/>
          <w:divBdr>
            <w:top w:val="none" w:sz="0" w:space="0" w:color="auto"/>
            <w:left w:val="none" w:sz="0" w:space="0" w:color="auto"/>
            <w:bottom w:val="none" w:sz="0" w:space="0" w:color="auto"/>
            <w:right w:val="none" w:sz="0" w:space="0" w:color="auto"/>
          </w:divBdr>
        </w:div>
        <w:div w:id="1040596627">
          <w:marLeft w:val="0"/>
          <w:marRight w:val="0"/>
          <w:marTop w:val="0"/>
          <w:marBottom w:val="0"/>
          <w:divBdr>
            <w:top w:val="none" w:sz="0" w:space="0" w:color="auto"/>
            <w:left w:val="none" w:sz="0" w:space="0" w:color="auto"/>
            <w:bottom w:val="none" w:sz="0" w:space="0" w:color="auto"/>
            <w:right w:val="none" w:sz="0" w:space="0" w:color="auto"/>
          </w:divBdr>
        </w:div>
        <w:div w:id="378555072">
          <w:marLeft w:val="0"/>
          <w:marRight w:val="0"/>
          <w:marTop w:val="0"/>
          <w:marBottom w:val="0"/>
          <w:divBdr>
            <w:top w:val="none" w:sz="0" w:space="0" w:color="auto"/>
            <w:left w:val="none" w:sz="0" w:space="0" w:color="auto"/>
            <w:bottom w:val="none" w:sz="0" w:space="0" w:color="auto"/>
            <w:right w:val="none" w:sz="0" w:space="0" w:color="auto"/>
          </w:divBdr>
        </w:div>
        <w:div w:id="1265000209">
          <w:marLeft w:val="0"/>
          <w:marRight w:val="0"/>
          <w:marTop w:val="0"/>
          <w:marBottom w:val="0"/>
          <w:divBdr>
            <w:top w:val="none" w:sz="0" w:space="0" w:color="auto"/>
            <w:left w:val="none" w:sz="0" w:space="0" w:color="auto"/>
            <w:bottom w:val="none" w:sz="0" w:space="0" w:color="auto"/>
            <w:right w:val="none" w:sz="0" w:space="0" w:color="auto"/>
          </w:divBdr>
        </w:div>
        <w:div w:id="1110246304">
          <w:marLeft w:val="0"/>
          <w:marRight w:val="0"/>
          <w:marTop w:val="0"/>
          <w:marBottom w:val="0"/>
          <w:divBdr>
            <w:top w:val="none" w:sz="0" w:space="0" w:color="auto"/>
            <w:left w:val="none" w:sz="0" w:space="0" w:color="auto"/>
            <w:bottom w:val="none" w:sz="0" w:space="0" w:color="auto"/>
            <w:right w:val="none" w:sz="0" w:space="0" w:color="auto"/>
          </w:divBdr>
        </w:div>
        <w:div w:id="574358281">
          <w:marLeft w:val="0"/>
          <w:marRight w:val="0"/>
          <w:marTop w:val="0"/>
          <w:marBottom w:val="0"/>
          <w:divBdr>
            <w:top w:val="none" w:sz="0" w:space="0" w:color="auto"/>
            <w:left w:val="none" w:sz="0" w:space="0" w:color="auto"/>
            <w:bottom w:val="none" w:sz="0" w:space="0" w:color="auto"/>
            <w:right w:val="none" w:sz="0" w:space="0" w:color="auto"/>
          </w:divBdr>
        </w:div>
        <w:div w:id="2123457809">
          <w:marLeft w:val="0"/>
          <w:marRight w:val="0"/>
          <w:marTop w:val="0"/>
          <w:marBottom w:val="0"/>
          <w:divBdr>
            <w:top w:val="none" w:sz="0" w:space="0" w:color="auto"/>
            <w:left w:val="none" w:sz="0" w:space="0" w:color="auto"/>
            <w:bottom w:val="none" w:sz="0" w:space="0" w:color="auto"/>
            <w:right w:val="none" w:sz="0" w:space="0" w:color="auto"/>
          </w:divBdr>
        </w:div>
        <w:div w:id="1842426580">
          <w:marLeft w:val="0"/>
          <w:marRight w:val="0"/>
          <w:marTop w:val="0"/>
          <w:marBottom w:val="0"/>
          <w:divBdr>
            <w:top w:val="none" w:sz="0" w:space="0" w:color="auto"/>
            <w:left w:val="none" w:sz="0" w:space="0" w:color="auto"/>
            <w:bottom w:val="none" w:sz="0" w:space="0" w:color="auto"/>
            <w:right w:val="none" w:sz="0" w:space="0" w:color="auto"/>
          </w:divBdr>
        </w:div>
        <w:div w:id="341863904">
          <w:marLeft w:val="0"/>
          <w:marRight w:val="0"/>
          <w:marTop w:val="0"/>
          <w:marBottom w:val="0"/>
          <w:divBdr>
            <w:top w:val="none" w:sz="0" w:space="0" w:color="auto"/>
            <w:left w:val="none" w:sz="0" w:space="0" w:color="auto"/>
            <w:bottom w:val="none" w:sz="0" w:space="0" w:color="auto"/>
            <w:right w:val="none" w:sz="0" w:space="0" w:color="auto"/>
          </w:divBdr>
        </w:div>
        <w:div w:id="1637056017">
          <w:marLeft w:val="0"/>
          <w:marRight w:val="0"/>
          <w:marTop w:val="0"/>
          <w:marBottom w:val="0"/>
          <w:divBdr>
            <w:top w:val="none" w:sz="0" w:space="0" w:color="auto"/>
            <w:left w:val="none" w:sz="0" w:space="0" w:color="auto"/>
            <w:bottom w:val="none" w:sz="0" w:space="0" w:color="auto"/>
            <w:right w:val="none" w:sz="0" w:space="0" w:color="auto"/>
          </w:divBdr>
        </w:div>
        <w:div w:id="2130779024">
          <w:marLeft w:val="0"/>
          <w:marRight w:val="0"/>
          <w:marTop w:val="0"/>
          <w:marBottom w:val="0"/>
          <w:divBdr>
            <w:top w:val="none" w:sz="0" w:space="0" w:color="auto"/>
            <w:left w:val="none" w:sz="0" w:space="0" w:color="auto"/>
            <w:bottom w:val="none" w:sz="0" w:space="0" w:color="auto"/>
            <w:right w:val="none" w:sz="0" w:space="0" w:color="auto"/>
          </w:divBdr>
        </w:div>
        <w:div w:id="2121289830">
          <w:marLeft w:val="0"/>
          <w:marRight w:val="0"/>
          <w:marTop w:val="0"/>
          <w:marBottom w:val="0"/>
          <w:divBdr>
            <w:top w:val="none" w:sz="0" w:space="0" w:color="auto"/>
            <w:left w:val="none" w:sz="0" w:space="0" w:color="auto"/>
            <w:bottom w:val="none" w:sz="0" w:space="0" w:color="auto"/>
            <w:right w:val="none" w:sz="0" w:space="0" w:color="auto"/>
          </w:divBdr>
        </w:div>
        <w:div w:id="173422048">
          <w:marLeft w:val="0"/>
          <w:marRight w:val="0"/>
          <w:marTop w:val="0"/>
          <w:marBottom w:val="0"/>
          <w:divBdr>
            <w:top w:val="none" w:sz="0" w:space="0" w:color="auto"/>
            <w:left w:val="none" w:sz="0" w:space="0" w:color="auto"/>
            <w:bottom w:val="none" w:sz="0" w:space="0" w:color="auto"/>
            <w:right w:val="none" w:sz="0" w:space="0" w:color="auto"/>
          </w:divBdr>
        </w:div>
      </w:divsChild>
    </w:div>
    <w:div w:id="1894266788">
      <w:bodyDiv w:val="1"/>
      <w:marLeft w:val="0"/>
      <w:marRight w:val="0"/>
      <w:marTop w:val="0"/>
      <w:marBottom w:val="0"/>
      <w:divBdr>
        <w:top w:val="none" w:sz="0" w:space="0" w:color="auto"/>
        <w:left w:val="none" w:sz="0" w:space="0" w:color="auto"/>
        <w:bottom w:val="none" w:sz="0" w:space="0" w:color="auto"/>
        <w:right w:val="none" w:sz="0" w:space="0" w:color="auto"/>
      </w:divBdr>
    </w:div>
    <w:div w:id="1975135955">
      <w:bodyDiv w:val="1"/>
      <w:marLeft w:val="0"/>
      <w:marRight w:val="0"/>
      <w:marTop w:val="0"/>
      <w:marBottom w:val="0"/>
      <w:divBdr>
        <w:top w:val="none" w:sz="0" w:space="0" w:color="auto"/>
        <w:left w:val="none" w:sz="0" w:space="0" w:color="auto"/>
        <w:bottom w:val="none" w:sz="0" w:space="0" w:color="auto"/>
        <w:right w:val="none" w:sz="0" w:space="0" w:color="auto"/>
      </w:divBdr>
    </w:div>
    <w:div w:id="2050107521">
      <w:bodyDiv w:val="1"/>
      <w:marLeft w:val="0"/>
      <w:marRight w:val="0"/>
      <w:marTop w:val="0"/>
      <w:marBottom w:val="0"/>
      <w:divBdr>
        <w:top w:val="none" w:sz="0" w:space="0" w:color="auto"/>
        <w:left w:val="none" w:sz="0" w:space="0" w:color="auto"/>
        <w:bottom w:val="none" w:sz="0" w:space="0" w:color="auto"/>
        <w:right w:val="none" w:sz="0" w:space="0" w:color="auto"/>
      </w:divBdr>
    </w:div>
    <w:div w:id="2053768538">
      <w:bodyDiv w:val="1"/>
      <w:marLeft w:val="0"/>
      <w:marRight w:val="0"/>
      <w:marTop w:val="0"/>
      <w:marBottom w:val="0"/>
      <w:divBdr>
        <w:top w:val="none" w:sz="0" w:space="0" w:color="auto"/>
        <w:left w:val="none" w:sz="0" w:space="0" w:color="auto"/>
        <w:bottom w:val="none" w:sz="0" w:space="0" w:color="auto"/>
        <w:right w:val="none" w:sz="0" w:space="0" w:color="auto"/>
      </w:divBdr>
    </w:div>
    <w:div w:id="2088918876">
      <w:bodyDiv w:val="1"/>
      <w:marLeft w:val="0"/>
      <w:marRight w:val="0"/>
      <w:marTop w:val="0"/>
      <w:marBottom w:val="0"/>
      <w:divBdr>
        <w:top w:val="none" w:sz="0" w:space="0" w:color="auto"/>
        <w:left w:val="none" w:sz="0" w:space="0" w:color="auto"/>
        <w:bottom w:val="none" w:sz="0" w:space="0" w:color="auto"/>
        <w:right w:val="none" w:sz="0" w:space="0" w:color="auto"/>
      </w:divBdr>
    </w:div>
    <w:div w:id="2136752868">
      <w:bodyDiv w:val="1"/>
      <w:marLeft w:val="0"/>
      <w:marRight w:val="0"/>
      <w:marTop w:val="0"/>
      <w:marBottom w:val="0"/>
      <w:divBdr>
        <w:top w:val="none" w:sz="0" w:space="0" w:color="auto"/>
        <w:left w:val="none" w:sz="0" w:space="0" w:color="auto"/>
        <w:bottom w:val="none" w:sz="0" w:space="0" w:color="auto"/>
        <w:right w:val="none" w:sz="0" w:space="0" w:color="auto"/>
      </w:divBdr>
      <w:divsChild>
        <w:div w:id="26418421">
          <w:marLeft w:val="0"/>
          <w:marRight w:val="0"/>
          <w:marTop w:val="0"/>
          <w:marBottom w:val="0"/>
          <w:divBdr>
            <w:top w:val="none" w:sz="0" w:space="0" w:color="auto"/>
            <w:left w:val="none" w:sz="0" w:space="0" w:color="auto"/>
            <w:bottom w:val="none" w:sz="0" w:space="0" w:color="auto"/>
            <w:right w:val="none" w:sz="0" w:space="0" w:color="auto"/>
          </w:divBdr>
          <w:divsChild>
            <w:div w:id="46150232">
              <w:marLeft w:val="0"/>
              <w:marRight w:val="0"/>
              <w:marTop w:val="0"/>
              <w:marBottom w:val="0"/>
              <w:divBdr>
                <w:top w:val="none" w:sz="0" w:space="0" w:color="auto"/>
                <w:left w:val="none" w:sz="0" w:space="0" w:color="auto"/>
                <w:bottom w:val="none" w:sz="0" w:space="0" w:color="auto"/>
                <w:right w:val="none" w:sz="0" w:space="0" w:color="auto"/>
              </w:divBdr>
            </w:div>
            <w:div w:id="203711604">
              <w:marLeft w:val="0"/>
              <w:marRight w:val="0"/>
              <w:marTop w:val="0"/>
              <w:marBottom w:val="0"/>
              <w:divBdr>
                <w:top w:val="none" w:sz="0" w:space="0" w:color="auto"/>
                <w:left w:val="none" w:sz="0" w:space="0" w:color="auto"/>
                <w:bottom w:val="none" w:sz="0" w:space="0" w:color="auto"/>
                <w:right w:val="none" w:sz="0" w:space="0" w:color="auto"/>
              </w:divBdr>
            </w:div>
            <w:div w:id="650057229">
              <w:marLeft w:val="0"/>
              <w:marRight w:val="0"/>
              <w:marTop w:val="0"/>
              <w:marBottom w:val="0"/>
              <w:divBdr>
                <w:top w:val="none" w:sz="0" w:space="0" w:color="auto"/>
                <w:left w:val="none" w:sz="0" w:space="0" w:color="auto"/>
                <w:bottom w:val="none" w:sz="0" w:space="0" w:color="auto"/>
                <w:right w:val="none" w:sz="0" w:space="0" w:color="auto"/>
              </w:divBdr>
            </w:div>
            <w:div w:id="920406539">
              <w:marLeft w:val="0"/>
              <w:marRight w:val="0"/>
              <w:marTop w:val="0"/>
              <w:marBottom w:val="0"/>
              <w:divBdr>
                <w:top w:val="none" w:sz="0" w:space="0" w:color="auto"/>
                <w:left w:val="none" w:sz="0" w:space="0" w:color="auto"/>
                <w:bottom w:val="none" w:sz="0" w:space="0" w:color="auto"/>
                <w:right w:val="none" w:sz="0" w:space="0" w:color="auto"/>
              </w:divBdr>
            </w:div>
            <w:div w:id="1158418218">
              <w:marLeft w:val="0"/>
              <w:marRight w:val="0"/>
              <w:marTop w:val="0"/>
              <w:marBottom w:val="0"/>
              <w:divBdr>
                <w:top w:val="none" w:sz="0" w:space="0" w:color="auto"/>
                <w:left w:val="none" w:sz="0" w:space="0" w:color="auto"/>
                <w:bottom w:val="none" w:sz="0" w:space="0" w:color="auto"/>
                <w:right w:val="none" w:sz="0" w:space="0" w:color="auto"/>
              </w:divBdr>
            </w:div>
            <w:div w:id="1799225911">
              <w:marLeft w:val="0"/>
              <w:marRight w:val="0"/>
              <w:marTop w:val="0"/>
              <w:marBottom w:val="0"/>
              <w:divBdr>
                <w:top w:val="none" w:sz="0" w:space="0" w:color="auto"/>
                <w:left w:val="none" w:sz="0" w:space="0" w:color="auto"/>
                <w:bottom w:val="none" w:sz="0" w:space="0" w:color="auto"/>
                <w:right w:val="none" w:sz="0" w:space="0" w:color="auto"/>
              </w:divBdr>
            </w:div>
          </w:divsChild>
        </w:div>
        <w:div w:id="9087343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eader" Target="header6.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 Id="rId22" Type="http://schemas.openxmlformats.org/officeDocument/2006/relationships/footer" Target="footer9.xml"/></Relationships>
</file>

<file path=word/_rels/footnotes.xml.rels><?xml version="1.0" encoding="UTF-8" standalone="yes"?>
<Relationships xmlns="http://schemas.openxmlformats.org/package/2006/relationships"><Relationship Id="rId8" Type="http://schemas.openxmlformats.org/officeDocument/2006/relationships/hyperlink" Target="http://data.europa.eu/eli/dec/2022/1201/oj" TargetMode="External"/><Relationship Id="rId13" Type="http://schemas.openxmlformats.org/officeDocument/2006/relationships/hyperlink" Target="http://data.europa.eu/eli/dec/2022/335/oj" TargetMode="External"/><Relationship Id="rId18" Type="http://schemas.openxmlformats.org/officeDocument/2006/relationships/hyperlink" Target="http://data.europa.eu/eli/reg/2024/2509/oj" TargetMode="External"/><Relationship Id="rId26" Type="http://schemas.openxmlformats.org/officeDocument/2006/relationships/hyperlink" Target="http://data.europa.eu/eli/dec/2010/427/oj" TargetMode="External"/><Relationship Id="rId3" Type="http://schemas.openxmlformats.org/officeDocument/2006/relationships/hyperlink" Target="http://data.europa.eu/eli/reg/2021/947/2021-06-14" TargetMode="External"/><Relationship Id="rId21" Type="http://schemas.openxmlformats.org/officeDocument/2006/relationships/hyperlink" Target="http://data.europa.eu/eli/reg/2013/883/oj" TargetMode="External"/><Relationship Id="rId7" Type="http://schemas.openxmlformats.org/officeDocument/2006/relationships/hyperlink" Target="http://data.europa.eu/eli/dec/2022/313/oj" TargetMode="External"/><Relationship Id="rId12" Type="http://schemas.openxmlformats.org/officeDocument/2006/relationships/hyperlink" Target="http://data.europa.eu/eli/reg/2024/2773/oj" TargetMode="External"/><Relationship Id="rId17" Type="http://schemas.openxmlformats.org/officeDocument/2006/relationships/hyperlink" Target="http://data.europa.eu/eli/reg/2025/1106/oj" TargetMode="External"/><Relationship Id="rId25" Type="http://schemas.openxmlformats.org/officeDocument/2006/relationships/hyperlink" Target="http://data.europa.eu/eli/reg/2014/609/oj" TargetMode="External"/><Relationship Id="rId2" Type="http://schemas.openxmlformats.org/officeDocument/2006/relationships/hyperlink" Target="http://data.europa.eu/eli/reg/2024/792/oj" TargetMode="External"/><Relationship Id="rId16" Type="http://schemas.openxmlformats.org/officeDocument/2006/relationships/hyperlink" Target="http://data.europa.eu/eli/reg/2011/182/oj" TargetMode="External"/><Relationship Id="rId20" Type="http://schemas.openxmlformats.org/officeDocument/2006/relationships/hyperlink" Target="http://data.europa.eu/eli/reg/1995/2988/oj" TargetMode="External"/><Relationship Id="rId29" Type="http://schemas.openxmlformats.org/officeDocument/2006/relationships/hyperlink" Target="http://data.europa.eu/eli/reg/2023/1525/oj" TargetMode="External"/><Relationship Id="rId1" Type="http://schemas.openxmlformats.org/officeDocument/2006/relationships/hyperlink" Target="http://data.europa.eu/eli/reg/2025/2600/oj" TargetMode="External"/><Relationship Id="rId6" Type="http://schemas.openxmlformats.org/officeDocument/2006/relationships/hyperlink" Target="http://data.europa.eu/eli/reg/2025/1106/oj" TargetMode="External"/><Relationship Id="rId11" Type="http://schemas.openxmlformats.org/officeDocument/2006/relationships/hyperlink" Target="http://data.europa.eu/eli/reg/2024/792/oj" TargetMode="External"/><Relationship Id="rId24" Type="http://schemas.openxmlformats.org/officeDocument/2006/relationships/hyperlink" Target="http://data.europa.eu/eli/reg/2021/947/2021-06-14" TargetMode="External"/><Relationship Id="rId5" Type="http://schemas.openxmlformats.org/officeDocument/2006/relationships/hyperlink" Target="http://data.europa.eu/eli/reg/2024/2773/oj" TargetMode="External"/><Relationship Id="rId15" Type="http://schemas.openxmlformats.org/officeDocument/2006/relationships/hyperlink" Target="http://data.europa.eu/eli/reg/2025/2600/oj" TargetMode="External"/><Relationship Id="rId23" Type="http://schemas.openxmlformats.org/officeDocument/2006/relationships/hyperlink" Target="http://data.europa.eu/eli/reg/2017/1939/oj" TargetMode="External"/><Relationship Id="rId28" Type="http://schemas.openxmlformats.org/officeDocument/2006/relationships/hyperlink" Target="http://data.europa.eu/eli/reg/2021/697/oj" TargetMode="External"/><Relationship Id="rId10" Type="http://schemas.openxmlformats.org/officeDocument/2006/relationships/hyperlink" Target="http://data.europa.eu/eli/reg/2022/2463/oj" TargetMode="External"/><Relationship Id="rId19" Type="http://schemas.openxmlformats.org/officeDocument/2006/relationships/hyperlink" Target="http://data.europa.eu/eli/dir/2009/81/oj" TargetMode="External"/><Relationship Id="rId31" Type="http://schemas.openxmlformats.org/officeDocument/2006/relationships/hyperlink" Target="http://data.europa.eu/eli/dec/2015/444/oj" TargetMode="External"/><Relationship Id="rId4" Type="http://schemas.openxmlformats.org/officeDocument/2006/relationships/hyperlink" Target="http://data.europa.eu/eli/reg/1996/1257/2019-07-26" TargetMode="External"/><Relationship Id="rId9" Type="http://schemas.openxmlformats.org/officeDocument/2006/relationships/hyperlink" Target="http://data.europa.eu/eli/dec/2022/1628/oj" TargetMode="External"/><Relationship Id="rId14" Type="http://schemas.openxmlformats.org/officeDocument/2006/relationships/hyperlink" Target="http://data.europa.eu/eli/reg/2022/334/oj" TargetMode="External"/><Relationship Id="rId22" Type="http://schemas.openxmlformats.org/officeDocument/2006/relationships/hyperlink" Target="http://data.europa.eu/eli/dir/2017/1371/oj" TargetMode="External"/><Relationship Id="rId27" Type="http://schemas.openxmlformats.org/officeDocument/2006/relationships/hyperlink" Target="http://data.europa.eu/eli/reg/2018/1092/oj" TargetMode="External"/><Relationship Id="rId30" Type="http://schemas.openxmlformats.org/officeDocument/2006/relationships/hyperlink" Target="http://data.europa.eu/eli/reg/2023/2418/oj"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CA7801-1D8A-4D87-B50D-4691C837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79</Pages>
  <Words>26943</Words>
  <Characters>153578</Characters>
  <Application>Microsoft Office Word</Application>
  <DocSecurity>0</DocSecurity>
  <Lines>1279</Lines>
  <Paragraphs>360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180161</CharactersWithSpaces>
  <SharedDoc>false</SharedDoc>
  <HLinks>
    <vt:vector size="24" baseType="variant">
      <vt:variant>
        <vt:i4>5439606</vt:i4>
      </vt:variant>
      <vt:variant>
        <vt:i4>9</vt:i4>
      </vt:variant>
      <vt:variant>
        <vt:i4>0</vt:i4>
      </vt:variant>
      <vt:variant>
        <vt:i4>5</vt:i4>
      </vt:variant>
      <vt:variant>
        <vt:lpwstr>https://commission.europa.eu/strategy-and-policy/priorities-2019-2024/europe-fit-digital-age/european-data-strategy_en</vt:lpwstr>
      </vt:variant>
      <vt:variant>
        <vt:lpwstr/>
      </vt:variant>
      <vt:variant>
        <vt:i4>4980764</vt:i4>
      </vt:variant>
      <vt:variant>
        <vt:i4>6</vt:i4>
      </vt:variant>
      <vt:variant>
        <vt:i4>0</vt:i4>
      </vt:variant>
      <vt:variant>
        <vt:i4>5</vt:i4>
      </vt:variant>
      <vt:variant>
        <vt:lpwstr>http://data.europa.eu/eli/reg/2024/903/oj</vt:lpwstr>
      </vt:variant>
      <vt:variant>
        <vt:lpwstr/>
      </vt:variant>
      <vt:variant>
        <vt:i4>458767</vt:i4>
      </vt:variant>
      <vt:variant>
        <vt:i4>3</vt:i4>
      </vt:variant>
      <vt:variant>
        <vt:i4>0</vt:i4>
      </vt:variant>
      <vt:variant>
        <vt:i4>5</vt:i4>
      </vt:variant>
      <vt:variant>
        <vt:lpwstr>https://myintracomm.ec.europa.eu/corp/budget/financial-rules/budget-implementation/Pages/financial-statement.aspx</vt:lpwstr>
      </vt:variant>
      <vt:variant>
        <vt:lpwstr/>
      </vt:variant>
      <vt:variant>
        <vt:i4>262150</vt:i4>
      </vt:variant>
      <vt:variant>
        <vt:i4>0</vt:i4>
      </vt:variant>
      <vt:variant>
        <vt:i4>0</vt:i4>
      </vt:variant>
      <vt:variant>
        <vt:i4>5</vt:i4>
      </vt:variant>
      <vt:variant>
        <vt:lpwstr>https://myintracomm.ec.europa.eu/corp/budget/financial-rules/budget-implementation/Pages/implementation-methods.aspx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2026-01-16T10:12:00Z</dcterms:created>
  <dcterms:modified xsi:type="dcterms:W3CDTF">2026-01-16T10:12:00Z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2026-01-12T17:46:10Z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5a5b7883-44c9-4452-bed2-fc6ef9fd7f43</vt:lpwstr>
  </property>
  <property fmtid="{D5CDD505-2E9C-101B-9397-08002B2CF9AE}" pid="8" name="MSIP_Label_6bd9ddd1-4d20-43f6-abfa-fc3c07406f94_ContentBits">
    <vt:lpwstr>0</vt:lpwstr>
  </property>
  <property fmtid="{D5CDD505-2E9C-101B-9397-08002B2CF9AE}" pid="9" name="MSIP_Label_6bd9ddd1-4d20-43f6-abfa-fc3c07406f94_Tag">
    <vt:lpwstr>10, 3, 0, 1</vt:lpwstr>
  </property>
  <property fmtid="{D5CDD505-2E9C-101B-9397-08002B2CF9AE}" pid="10" name="DQCStatus">
    <vt:lpwstr>Yellow (DQC version 03)</vt:lpwstr>
  </property>
  <property fmtid="{D5CDD505-2E9C-101B-9397-08002B2CF9AE}" pid="11" name="Level of sensitivity">
    <vt:lpwstr>Standard treatment</vt:lpwstr>
  </property>
  <property fmtid="{D5CDD505-2E9C-101B-9397-08002B2CF9AE}" pid="12" name="Category">
    <vt:lpwstr>COM/PL/ORG</vt:lpwstr>
  </property>
  <property fmtid="{D5CDD505-2E9C-101B-9397-08002B2CF9AE}" pid="13" name="Last edited using">
    <vt:lpwstr>LW 9.2, Build 20250828</vt:lpwstr>
  </property>
  <property fmtid="{D5CDD505-2E9C-101B-9397-08002B2CF9AE}" pid="14" name="Part">
    <vt:lpwstr>1</vt:lpwstr>
  </property>
  <property fmtid="{D5CDD505-2E9C-101B-9397-08002B2CF9AE}" pid="15" name="Total parts">
    <vt:lpwstr>1</vt:lpwstr>
  </property>
  <property fmtid="{D5CDD505-2E9C-101B-9397-08002B2CF9AE}" pid="16" name="LWTemplateID">
    <vt:lpwstr>SJ-023</vt:lpwstr>
  </property>
</Properties>
</file>