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1AD72" w14:textId="5BD51CC6" w:rsidR="003F5DC3" w:rsidRPr="003019A6" w:rsidRDefault="00B351B4" w:rsidP="00B351B4">
      <w:pPr>
        <w:pStyle w:val="Pagedecouverture"/>
        <w:rPr>
          <w:noProof/>
        </w:rPr>
      </w:pPr>
      <w:r>
        <w:rPr>
          <w:noProof/>
        </w:rPr>
        <w:pict w14:anchorId="583A6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B535B3C8-EFDC-4C6C-909D-3B6FFB24A306" style="width:455.4pt;height:369.6pt">
            <v:imagedata r:id="rId8" o:title=""/>
          </v:shape>
        </w:pict>
      </w:r>
    </w:p>
    <w:p w14:paraId="56F7AA95" w14:textId="77777777" w:rsidR="00CF661B" w:rsidRPr="003019A6" w:rsidRDefault="00CF661B" w:rsidP="00CF661B">
      <w:pPr>
        <w:pStyle w:val="Pagedecouverture"/>
        <w:rPr>
          <w:noProof/>
        </w:rPr>
        <w:sectPr w:rsidR="00CF661B" w:rsidRPr="003019A6" w:rsidSect="00B351B4">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26"/>
        </w:sectPr>
      </w:pPr>
    </w:p>
    <w:p w14:paraId="7657EA7F" w14:textId="77777777" w:rsidR="003F5DC3" w:rsidRPr="003019A6" w:rsidRDefault="003F5DC3" w:rsidP="003F5DC3">
      <w:pPr>
        <w:pStyle w:val="Exposdesmotifstitre"/>
        <w:rPr>
          <w:noProof/>
        </w:rPr>
      </w:pPr>
      <w:r w:rsidRPr="003019A6">
        <w:rPr>
          <w:noProof/>
        </w:rPr>
        <w:lastRenderedPageBreak/>
        <w:t>PERUSTELUT</w:t>
      </w:r>
    </w:p>
    <w:p w14:paraId="25CBF835" w14:textId="77777777" w:rsidR="003F5DC3" w:rsidRPr="003019A6" w:rsidRDefault="003F5DC3" w:rsidP="003F5DC3">
      <w:pPr>
        <w:pStyle w:val="ManualHeading1"/>
        <w:rPr>
          <w:noProof/>
        </w:rPr>
      </w:pPr>
      <w:r w:rsidRPr="003019A6">
        <w:rPr>
          <w:noProof/>
        </w:rPr>
        <w:t>1.</w:t>
      </w:r>
      <w:r w:rsidRPr="003019A6">
        <w:rPr>
          <w:noProof/>
        </w:rPr>
        <w:tab/>
        <w:t>Ehdotuksen tausta</w:t>
      </w:r>
    </w:p>
    <w:p w14:paraId="1CFDDCA7" w14:textId="77777777" w:rsidR="003F5DC3" w:rsidRPr="003019A6" w:rsidRDefault="0409977A" w:rsidP="003F5DC3">
      <w:pPr>
        <w:pStyle w:val="Text1"/>
        <w:rPr>
          <w:noProof/>
        </w:rPr>
      </w:pPr>
      <w:r w:rsidRPr="003019A6">
        <w:rPr>
          <w:noProof/>
        </w:rPr>
        <w:t>Komissio hyväksyi 4. kesäkuuta 2025 Euroopan unionin toiminnasta tehdyn sopimuksen, jäljempänä ’SEUT-sopimus’, 140 artiklan 2 kohdan mukaisesti ehdotuksen neuvoston päätökseksi. Ehdotuksen mukaan Bulgaria täyttää euron käyttöönottamiseksi vaadittavat edellytykset, ja Bulgariaa koskeva poikkeus olisi kumottava 1. tammikuuta 2026 alkaen.</w:t>
      </w:r>
    </w:p>
    <w:p w14:paraId="5206AC83" w14:textId="77777777" w:rsidR="003F5DC3" w:rsidRPr="003019A6" w:rsidRDefault="31CE6660" w:rsidP="003F5DC3">
      <w:pPr>
        <w:pStyle w:val="Text1"/>
        <w:rPr>
          <w:noProof/>
        </w:rPr>
      </w:pPr>
      <w:r w:rsidRPr="003019A6">
        <w:rPr>
          <w:noProof/>
        </w:rPr>
        <w:t>Jos poikkeus päätetään kumota, neuvoston on sen seurauksena vahvistettava euron ja Bulgarian levin välinen muuntokurssi, joka tulee voimaan 1. tammikuuta 2026.</w:t>
      </w:r>
    </w:p>
    <w:p w14:paraId="6515001E" w14:textId="77777777" w:rsidR="003F5DC3" w:rsidRPr="003019A6" w:rsidRDefault="0409977A" w:rsidP="003F5DC3">
      <w:pPr>
        <w:pStyle w:val="Text1"/>
        <w:ind w:left="851"/>
        <w:rPr>
          <w:noProof/>
        </w:rPr>
      </w:pPr>
      <w:r w:rsidRPr="003019A6">
        <w:rPr>
          <w:noProof/>
        </w:rPr>
        <w:t>Euron ja euron käyttöön ottavien jäsenvaltioiden valuuttojen välisistä muuntokursseista annetussa neuvoston asetuksessa (EY) N:o 2866/98</w:t>
      </w:r>
      <w:r w:rsidR="003F5DC3" w:rsidRPr="003019A6">
        <w:rPr>
          <w:rStyle w:val="FootnoteReference"/>
          <w:noProof/>
        </w:rPr>
        <w:footnoteReference w:id="2"/>
      </w:r>
      <w:r w:rsidRPr="003019A6">
        <w:rPr>
          <w:noProof/>
        </w:rPr>
        <w:t xml:space="preserve"> vahvistetaan tällä hetkellä euroon osallistuvien 20 jäsenvaltion (Belgia, Saksa, Viro, Kreikka, Espanja, Ranska, Kroatia, Irlanti, Italia, Kypros, Latvia, Liettua, Luxemburg, Malta, Alankomaat, Itävalta, Portugali, Slovenia, Slovakia ja Suomi) peruuttamattomat muuntokurssit. Jotta Bulgarian lev voitaisiin sisällyttää mainitun asetuksen soveltamisalaan, asetukseen on lisättävä viittaus kyseiseen valuuttaan. Se on tämän ehdotuksen tarkoitus.</w:t>
      </w:r>
    </w:p>
    <w:p w14:paraId="71B279A1" w14:textId="77777777" w:rsidR="003F5DC3" w:rsidRPr="003019A6" w:rsidRDefault="003F5DC3" w:rsidP="003F5DC3">
      <w:pPr>
        <w:pStyle w:val="ManualHeading1"/>
        <w:rPr>
          <w:noProof/>
        </w:rPr>
      </w:pPr>
      <w:r w:rsidRPr="003019A6">
        <w:rPr>
          <w:noProof/>
        </w:rPr>
        <w:t>2.</w:t>
      </w:r>
      <w:r w:rsidRPr="003019A6">
        <w:rPr>
          <w:noProof/>
        </w:rPr>
        <w:tab/>
        <w:t>Asianosaisten kuulemisen tulokset ja vaikutusarvioinnit</w:t>
      </w:r>
    </w:p>
    <w:p w14:paraId="66F1038E" w14:textId="77777777" w:rsidR="003F5DC3" w:rsidRPr="003019A6" w:rsidRDefault="003F5DC3" w:rsidP="003F5DC3">
      <w:pPr>
        <w:pStyle w:val="Text1"/>
        <w:rPr>
          <w:noProof/>
        </w:rPr>
      </w:pPr>
      <w:r w:rsidRPr="003019A6">
        <w:rPr>
          <w:noProof/>
        </w:rPr>
        <w:t>Jäsenvaltioiden kanssa käydään säännöllisesti keskusteluja jäsenvaltioiden talouspoliittisista kysymyksistä talous- ja rahoituskomiteassa, Euroopan unionin neuvostossa (Ecofin) ja euroryhmässä. Niihin sisältyy epävirallisia keskusteluja erityisesti jonkin maan odotettavissa olevan euroalueeseen liittymisen valmistelua koskevista seikoista (myös valuuttakurssipolitiikasta).</w:t>
      </w:r>
    </w:p>
    <w:p w14:paraId="47225858" w14:textId="77777777" w:rsidR="003F5DC3" w:rsidRPr="003019A6" w:rsidRDefault="003F5DC3" w:rsidP="003F5DC3">
      <w:pPr>
        <w:pStyle w:val="Text1"/>
        <w:rPr>
          <w:noProof/>
        </w:rPr>
      </w:pPr>
      <w:r w:rsidRPr="003019A6">
        <w:rPr>
          <w:noProof/>
        </w:rPr>
        <w:t>Talouden kehitystä euroalueella ja jäsenvaltioissa arvioidaan useissa talouspolitiikan koordinointi- ja valvontamenettelyissä (erityisesti SEUT-sopimuksen 121 artiklan nojalla) sekä komission säännöllisesti suorittaman maa- ja aluekohtaisen seurannan ja analyysin kautta (mukaan lukien ennusteet, säännölliset julkaisusarjat sekä talous- ja rahoituskomitealle, Ecofin-neuvostolle ja euroryhmälle tuotettu aineisto). Suhteellisuusperiaatteen ja aikaisemman käytännön mukaisesti muodollista vaikutusten arviointia ei tarvita.</w:t>
      </w:r>
    </w:p>
    <w:p w14:paraId="0BA4082E" w14:textId="77777777" w:rsidR="003F5DC3" w:rsidRPr="003019A6" w:rsidRDefault="003F5DC3" w:rsidP="003F5DC3">
      <w:pPr>
        <w:pStyle w:val="ManualHeading1"/>
        <w:rPr>
          <w:noProof/>
        </w:rPr>
      </w:pPr>
      <w:r w:rsidRPr="003019A6">
        <w:rPr>
          <w:noProof/>
        </w:rPr>
        <w:t>3.</w:t>
      </w:r>
      <w:r w:rsidRPr="003019A6">
        <w:rPr>
          <w:noProof/>
        </w:rPr>
        <w:tab/>
        <w:t>Ehdotuksen oikeudellinen sisältö</w:t>
      </w:r>
    </w:p>
    <w:p w14:paraId="2EDA88E1" w14:textId="77777777" w:rsidR="003F5DC3" w:rsidRPr="003019A6" w:rsidRDefault="003F5DC3" w:rsidP="003F5DC3">
      <w:pPr>
        <w:pStyle w:val="ManualHeading2"/>
        <w:rPr>
          <w:noProof/>
        </w:rPr>
      </w:pPr>
      <w:r w:rsidRPr="003019A6">
        <w:rPr>
          <w:noProof/>
        </w:rPr>
        <w:t>3.1.</w:t>
      </w:r>
      <w:r w:rsidRPr="003019A6">
        <w:rPr>
          <w:noProof/>
        </w:rPr>
        <w:tab/>
        <w:t>Oikeusperusta</w:t>
      </w:r>
    </w:p>
    <w:p w14:paraId="10C1F41C" w14:textId="77777777" w:rsidR="003F5DC3" w:rsidRPr="003019A6" w:rsidRDefault="00AB00A7" w:rsidP="003F5DC3">
      <w:pPr>
        <w:pStyle w:val="Text1"/>
        <w:rPr>
          <w:noProof/>
        </w:rPr>
      </w:pPr>
      <w:r w:rsidRPr="003019A6">
        <w:rPr>
          <w:noProof/>
        </w:rPr>
        <w:t>Tämän ehdotuksen oikeusperusta on SEUT-sopimuksen 140 artiklan 3 kohta, ja sen mukaan neuvosto hyväksyy muuntokurssin, jolla euro korvaa euron käyttöön ottavan jäsenvaltion käyttöön yhteisenä rahana.</w:t>
      </w:r>
    </w:p>
    <w:p w14:paraId="7BBE9DE0" w14:textId="77777777" w:rsidR="003F5DC3" w:rsidRPr="003019A6" w:rsidRDefault="003F5DC3" w:rsidP="003F5DC3">
      <w:pPr>
        <w:pStyle w:val="Text1"/>
        <w:rPr>
          <w:noProof/>
        </w:rPr>
      </w:pPr>
      <w:r w:rsidRPr="003019A6">
        <w:rPr>
          <w:noProof/>
        </w:rPr>
        <w:t>Neuvoston toimii niiden jäsenvaltioiden, joiden rahayksikkö on euro, ja sen jäsenvaltion, jota asia koskee, yksimielisyydellä komission ehdotuksesta sekä Euroopan keskuspankkia kuultuaan.</w:t>
      </w:r>
    </w:p>
    <w:p w14:paraId="5ABB940F" w14:textId="77777777" w:rsidR="003F5DC3" w:rsidRPr="003019A6" w:rsidRDefault="003F5DC3" w:rsidP="003F5DC3">
      <w:pPr>
        <w:pStyle w:val="ManualHeading2"/>
        <w:rPr>
          <w:noProof/>
        </w:rPr>
      </w:pPr>
      <w:r w:rsidRPr="003019A6">
        <w:rPr>
          <w:noProof/>
        </w:rPr>
        <w:lastRenderedPageBreak/>
        <w:t>3.2.</w:t>
      </w:r>
      <w:r w:rsidRPr="003019A6">
        <w:rPr>
          <w:noProof/>
        </w:rPr>
        <w:tab/>
        <w:t>Toissijaisuus- ja suhteellisuusperiaate</w:t>
      </w:r>
    </w:p>
    <w:p w14:paraId="692BDCB0" w14:textId="77777777" w:rsidR="003F5DC3" w:rsidRPr="003019A6" w:rsidRDefault="003F5DC3" w:rsidP="003F5DC3">
      <w:pPr>
        <w:pStyle w:val="Text1"/>
        <w:rPr>
          <w:noProof/>
        </w:rPr>
      </w:pPr>
      <w:r w:rsidRPr="003019A6">
        <w:rPr>
          <w:noProof/>
        </w:rPr>
        <w:t>Ehdotus kuuluu unionin yksinomaiseen toimivaltaan. Tämän vuoksi toissijaisuusperiaatetta ei sovelleta.</w:t>
      </w:r>
    </w:p>
    <w:p w14:paraId="52BE3297" w14:textId="77777777" w:rsidR="003F5DC3" w:rsidRPr="003019A6" w:rsidRDefault="003F5DC3" w:rsidP="003F5DC3">
      <w:pPr>
        <w:pStyle w:val="Text1"/>
        <w:rPr>
          <w:noProof/>
        </w:rPr>
      </w:pPr>
      <w:r w:rsidRPr="003019A6">
        <w:rPr>
          <w:noProof/>
        </w:rPr>
        <w:t>Ehdotuksessa ei ylitetä sitä, mikä on tarpeen sen tavoitteen saavuttamiseksi, joten se on suhteellisuusperiaatteen mukainen.</w:t>
      </w:r>
    </w:p>
    <w:p w14:paraId="65A79ED9" w14:textId="77777777" w:rsidR="003F5DC3" w:rsidRPr="003019A6" w:rsidRDefault="003F5DC3" w:rsidP="003F5DC3">
      <w:pPr>
        <w:pStyle w:val="ManualHeading2"/>
        <w:rPr>
          <w:noProof/>
        </w:rPr>
      </w:pPr>
      <w:r w:rsidRPr="003019A6">
        <w:rPr>
          <w:noProof/>
        </w:rPr>
        <w:t>3.3.</w:t>
      </w:r>
      <w:r w:rsidRPr="003019A6">
        <w:rPr>
          <w:noProof/>
        </w:rPr>
        <w:tab/>
        <w:t>Sääntelytavan valinta</w:t>
      </w:r>
    </w:p>
    <w:p w14:paraId="6A85DC6C" w14:textId="77777777" w:rsidR="003F5DC3" w:rsidRPr="003019A6" w:rsidRDefault="008D5FF5" w:rsidP="003F5DC3">
      <w:pPr>
        <w:pStyle w:val="Text1"/>
        <w:rPr>
          <w:noProof/>
        </w:rPr>
      </w:pPr>
      <w:r w:rsidRPr="003019A6">
        <w:rPr>
          <w:noProof/>
        </w:rPr>
        <w:t>Asetus on asianmukainen oikeudellinen väline euron ja euron käyttöön ottavien jäsenvaltioiden valuuttojen välisistä muuntokursseista annetun neuvoston asetuksen (EY) N:o 2866/98 muuttamista varten.</w:t>
      </w:r>
    </w:p>
    <w:p w14:paraId="2C660329" w14:textId="77777777" w:rsidR="003F5DC3" w:rsidRPr="003019A6" w:rsidRDefault="003F5DC3" w:rsidP="003F5DC3">
      <w:pPr>
        <w:pStyle w:val="ManualHeading1"/>
        <w:rPr>
          <w:noProof/>
        </w:rPr>
      </w:pPr>
      <w:r w:rsidRPr="003019A6">
        <w:rPr>
          <w:noProof/>
        </w:rPr>
        <w:t>4.</w:t>
      </w:r>
      <w:r w:rsidRPr="003019A6">
        <w:rPr>
          <w:noProof/>
        </w:rPr>
        <w:tab/>
        <w:t>Talousarviovaikutukset</w:t>
      </w:r>
    </w:p>
    <w:p w14:paraId="60941342" w14:textId="77777777" w:rsidR="003F5DC3" w:rsidRPr="003019A6" w:rsidRDefault="003F5DC3" w:rsidP="003F5DC3">
      <w:pPr>
        <w:pStyle w:val="Text1"/>
        <w:rPr>
          <w:noProof/>
        </w:rPr>
      </w:pPr>
      <w:r w:rsidRPr="003019A6">
        <w:rPr>
          <w:noProof/>
        </w:rPr>
        <w:t>Ehdotuksella ei ole vaikutuksia unionin talousarvioon.</w:t>
      </w:r>
    </w:p>
    <w:p w14:paraId="2BB3C33D" w14:textId="77777777" w:rsidR="003F5DC3" w:rsidRPr="003019A6" w:rsidRDefault="003F5DC3" w:rsidP="003F5DC3">
      <w:pPr>
        <w:pStyle w:val="ManualHeading1"/>
        <w:rPr>
          <w:noProof/>
        </w:rPr>
      </w:pPr>
      <w:r w:rsidRPr="003019A6">
        <w:rPr>
          <w:noProof/>
        </w:rPr>
        <w:t>5.</w:t>
      </w:r>
      <w:r w:rsidRPr="003019A6">
        <w:rPr>
          <w:noProof/>
        </w:rPr>
        <w:tab/>
        <w:t>Artikloja koskevat huomautukset</w:t>
      </w:r>
    </w:p>
    <w:p w14:paraId="2A55C318" w14:textId="77777777" w:rsidR="003F5DC3" w:rsidRPr="003019A6" w:rsidRDefault="003F5DC3" w:rsidP="003F5DC3">
      <w:pPr>
        <w:pStyle w:val="ManualHeading2"/>
        <w:rPr>
          <w:noProof/>
        </w:rPr>
      </w:pPr>
      <w:r w:rsidRPr="003019A6">
        <w:rPr>
          <w:noProof/>
        </w:rPr>
        <w:t>5.1.</w:t>
      </w:r>
      <w:r w:rsidRPr="003019A6">
        <w:rPr>
          <w:noProof/>
        </w:rPr>
        <w:tab/>
        <w:t>1 artikla</w:t>
      </w:r>
    </w:p>
    <w:p w14:paraId="372A3195" w14:textId="77777777" w:rsidR="003F5DC3" w:rsidRPr="003019A6" w:rsidRDefault="0409977A" w:rsidP="003F5DC3">
      <w:pPr>
        <w:pStyle w:val="Text1"/>
        <w:rPr>
          <w:noProof/>
        </w:rPr>
      </w:pPr>
      <w:r w:rsidRPr="003019A6">
        <w:rPr>
          <w:noProof/>
        </w:rPr>
        <w:t>Kurssiksi ehdotetaan Bulgarian levin tämänhetkistä keskuskurssia valuuttakurssimekanismissa (ERM II).</w:t>
      </w:r>
    </w:p>
    <w:p w14:paraId="68BCEE01" w14:textId="77777777" w:rsidR="003F5DC3" w:rsidRPr="003019A6" w:rsidRDefault="003F5DC3" w:rsidP="003F5DC3">
      <w:pPr>
        <w:pStyle w:val="Text1"/>
        <w:rPr>
          <w:noProof/>
        </w:rPr>
      </w:pPr>
      <w:r w:rsidRPr="003019A6">
        <w:rPr>
          <w:noProof/>
        </w:rPr>
        <w:t>Kuten muidenkin valuuttojen kohdalla, kurssi määritellään kuuden merkitsevän numeron tarkkuudella tietyistä euron käyttöön ottamiseen liittyvistä säännöksistä annetun neuvoston asetuksen (EY) N:o 1103/97</w:t>
      </w:r>
      <w:r w:rsidRPr="003019A6">
        <w:rPr>
          <w:rStyle w:val="FootnoteReference"/>
          <w:noProof/>
        </w:rPr>
        <w:footnoteReference w:id="3"/>
      </w:r>
      <w:r w:rsidRPr="003019A6">
        <w:rPr>
          <w:noProof/>
        </w:rPr>
        <w:t xml:space="preserve"> mukaisesti.</w:t>
      </w:r>
    </w:p>
    <w:p w14:paraId="33038424" w14:textId="77777777" w:rsidR="003F5DC3" w:rsidRPr="003019A6" w:rsidRDefault="003F5DC3" w:rsidP="003F5DC3">
      <w:pPr>
        <w:pStyle w:val="ManualHeading2"/>
        <w:rPr>
          <w:noProof/>
        </w:rPr>
      </w:pPr>
      <w:r w:rsidRPr="003019A6">
        <w:rPr>
          <w:noProof/>
        </w:rPr>
        <w:t>5.2.</w:t>
      </w:r>
      <w:r w:rsidRPr="003019A6">
        <w:rPr>
          <w:noProof/>
        </w:rPr>
        <w:tab/>
        <w:t>2 artikla</w:t>
      </w:r>
    </w:p>
    <w:p w14:paraId="28F12282" w14:textId="77777777" w:rsidR="003F5DC3" w:rsidRPr="003019A6" w:rsidRDefault="0409977A" w:rsidP="3866898E">
      <w:pPr>
        <w:pStyle w:val="Text1"/>
        <w:rPr>
          <w:b/>
          <w:bCs/>
          <w:noProof/>
        </w:rPr>
      </w:pPr>
      <w:r w:rsidRPr="003019A6">
        <w:rPr>
          <w:noProof/>
        </w:rPr>
        <w:t>Artiklassa säädetään, että asetus tulee voimaan 1. tammikuuta 2026 ja että sillä varmistetaan johdonmukaisuus muiden Bulgarian euron käyttöönottoa koskevien neuvoston säädösten ajoituksen kanssa, mukaan lukien poikkeuksen kumoamispäivä ja euron käyttöönottamiseksi Bulgariassa tarvittavien muiden toimenpiteiden voimaantulopäivä.</w:t>
      </w:r>
    </w:p>
    <w:p w14:paraId="45C5AF5E" w14:textId="77777777" w:rsidR="003D5DF6" w:rsidRPr="003019A6" w:rsidRDefault="003D5DF6" w:rsidP="00B71F44">
      <w:pPr>
        <w:tabs>
          <w:tab w:val="left" w:pos="6266"/>
        </w:tabs>
        <w:rPr>
          <w:noProof/>
        </w:rPr>
        <w:sectPr w:rsidR="003D5DF6" w:rsidRPr="003019A6" w:rsidSect="00B351B4">
          <w:headerReference w:type="even" r:id="rId15"/>
          <w:footerReference w:type="even" r:id="rId16"/>
          <w:footerReference w:type="default" r:id="rId17"/>
          <w:headerReference w:type="first" r:id="rId18"/>
          <w:footerReference w:type="first" r:id="rId19"/>
          <w:pgSz w:w="11907" w:h="16839"/>
          <w:pgMar w:top="1134" w:right="1418" w:bottom="1134" w:left="1418" w:header="720" w:footer="720" w:gutter="0"/>
          <w:pgNumType w:start="1"/>
          <w:cols w:space="720"/>
          <w:docGrid w:linePitch="326"/>
        </w:sectPr>
      </w:pPr>
    </w:p>
    <w:p w14:paraId="4BE57054" w14:textId="7F0E44E1" w:rsidR="00190242" w:rsidRDefault="00B351B4" w:rsidP="00B351B4">
      <w:pPr>
        <w:pStyle w:val="Rfrenceinterinstitutionnelle"/>
        <w:rPr>
          <w:noProof/>
        </w:rPr>
      </w:pPr>
      <w:r w:rsidRPr="00B351B4">
        <w:lastRenderedPageBreak/>
        <w:t>2025/0197 (NLE)</w:t>
      </w:r>
    </w:p>
    <w:p w14:paraId="3C1335C9" w14:textId="6D56B55A" w:rsidR="003D5DF6" w:rsidRPr="003019A6" w:rsidRDefault="00B351B4" w:rsidP="00B351B4">
      <w:pPr>
        <w:pStyle w:val="Statut"/>
        <w:rPr>
          <w:noProof/>
        </w:rPr>
      </w:pPr>
      <w:r w:rsidRPr="00B351B4">
        <w:t>Ehdotus</w:t>
      </w:r>
    </w:p>
    <w:p w14:paraId="48032FBE" w14:textId="47AF6BF6" w:rsidR="003D5DF6" w:rsidRPr="003019A6" w:rsidRDefault="00B351B4" w:rsidP="00B351B4">
      <w:pPr>
        <w:pStyle w:val="Typedudocument"/>
        <w:rPr>
          <w:noProof/>
        </w:rPr>
      </w:pPr>
      <w:r w:rsidRPr="00B351B4">
        <w:t>NEUVOSTON ASETUS</w:t>
      </w:r>
    </w:p>
    <w:p w14:paraId="3D4B700E" w14:textId="7F21C8BD" w:rsidR="003D5DF6" w:rsidRPr="003019A6" w:rsidRDefault="00B351B4" w:rsidP="00B351B4">
      <w:pPr>
        <w:pStyle w:val="Titreobjet"/>
        <w:rPr>
          <w:noProof/>
        </w:rPr>
      </w:pPr>
      <w:r w:rsidRPr="00B351B4">
        <w:t>asetuksen (EY) N:o 2866/98 muuttamisesta Bulgariaa koskevan euron muuntokurssin osalta</w:t>
      </w:r>
    </w:p>
    <w:p w14:paraId="12168F5F" w14:textId="77777777" w:rsidR="003D5DF6" w:rsidRPr="003019A6" w:rsidRDefault="003D5DF6" w:rsidP="008B7CAC">
      <w:pPr>
        <w:pStyle w:val="Institutionquiagit"/>
        <w:rPr>
          <w:noProof/>
        </w:rPr>
      </w:pPr>
      <w:r w:rsidRPr="003019A6">
        <w:rPr>
          <w:noProof/>
        </w:rPr>
        <w:t>EUROOPAN UNIONIN NEUVOSTO, joka</w:t>
      </w:r>
    </w:p>
    <w:p w14:paraId="0686F187" w14:textId="77777777" w:rsidR="003D5DF6" w:rsidRPr="003019A6" w:rsidRDefault="003D5DF6" w:rsidP="008B7CAC">
      <w:pPr>
        <w:rPr>
          <w:noProof/>
        </w:rPr>
      </w:pPr>
      <w:r w:rsidRPr="003019A6">
        <w:rPr>
          <w:noProof/>
        </w:rPr>
        <w:t>ottaa huomioon Euroopan unionin toiminnasta tehdyn sopimuksen ja erityisesti sen 140 artiklan 3 kohdan,</w:t>
      </w:r>
    </w:p>
    <w:p w14:paraId="01EC7C7F" w14:textId="77777777" w:rsidR="003D5DF6" w:rsidRPr="003019A6" w:rsidRDefault="003D5DF6" w:rsidP="008B7CAC">
      <w:pPr>
        <w:rPr>
          <w:noProof/>
        </w:rPr>
      </w:pPr>
      <w:r w:rsidRPr="003019A6">
        <w:rPr>
          <w:noProof/>
        </w:rPr>
        <w:t>ottaa huomioon Euroopan komission ehdotuksen,</w:t>
      </w:r>
    </w:p>
    <w:p w14:paraId="6870CD4E" w14:textId="77777777" w:rsidR="003D5DF6" w:rsidRPr="003019A6" w:rsidRDefault="38C2203B" w:rsidP="008B7CAC">
      <w:pPr>
        <w:rPr>
          <w:noProof/>
        </w:rPr>
      </w:pPr>
      <w:r w:rsidRPr="003019A6">
        <w:rPr>
          <w:noProof/>
        </w:rPr>
        <w:t>ottaa huomioon Euroopan keskuspankin lausunnon</w:t>
      </w:r>
      <w:r w:rsidRPr="003019A6">
        <w:rPr>
          <w:rStyle w:val="FootnoteReference"/>
          <w:noProof/>
        </w:rPr>
        <w:footnoteReference w:id="4"/>
      </w:r>
      <w:r w:rsidRPr="003019A6">
        <w:rPr>
          <w:noProof/>
        </w:rPr>
        <w:t>,</w:t>
      </w:r>
    </w:p>
    <w:p w14:paraId="4A8119E1" w14:textId="77777777" w:rsidR="003D5DF6" w:rsidRPr="003019A6" w:rsidRDefault="003D5DF6" w:rsidP="008B7CAC">
      <w:pPr>
        <w:rPr>
          <w:noProof/>
        </w:rPr>
      </w:pPr>
      <w:r w:rsidRPr="003019A6">
        <w:rPr>
          <w:noProof/>
        </w:rPr>
        <w:t>sekä katsoo seuraavaa:</w:t>
      </w:r>
    </w:p>
    <w:p w14:paraId="55CAB6D6" w14:textId="77777777" w:rsidR="003D5DF6" w:rsidRPr="003019A6" w:rsidRDefault="0033225A" w:rsidP="0033225A">
      <w:pPr>
        <w:pStyle w:val="ManualConsidrant"/>
        <w:rPr>
          <w:noProof/>
        </w:rPr>
      </w:pPr>
      <w:r w:rsidRPr="0033225A">
        <w:rPr>
          <w:noProof/>
        </w:rPr>
        <w:t>(1)</w:t>
      </w:r>
      <w:r w:rsidRPr="0033225A">
        <w:rPr>
          <w:noProof/>
        </w:rPr>
        <w:tab/>
      </w:r>
      <w:r w:rsidR="38C2203B" w:rsidRPr="003019A6">
        <w:rPr>
          <w:noProof/>
        </w:rPr>
        <w:t>Neuvoston asetuksessa (EY) N:o 2866/98</w:t>
      </w:r>
      <w:r w:rsidR="38C2203B" w:rsidRPr="003019A6">
        <w:rPr>
          <w:rStyle w:val="FootnoteReference"/>
          <w:noProof/>
        </w:rPr>
        <w:footnoteReference w:id="5"/>
      </w:r>
      <w:r w:rsidR="38C2203B" w:rsidRPr="003019A6">
        <w:rPr>
          <w:noProof/>
        </w:rPr>
        <w:t xml:space="preserve"> vahvistetaan euron ja euron käyttöön ottavien jäsenvaltioiden valuuttojen väliset muuntokurssit 1 päivästä tammikuuta 1999 alkaen.</w:t>
      </w:r>
    </w:p>
    <w:p w14:paraId="5CD5115F" w14:textId="77777777" w:rsidR="003D5DF6" w:rsidRPr="003019A6" w:rsidRDefault="0033225A" w:rsidP="0033225A">
      <w:pPr>
        <w:pStyle w:val="ManualConsidrant"/>
        <w:rPr>
          <w:noProof/>
        </w:rPr>
      </w:pPr>
      <w:r w:rsidRPr="0033225A">
        <w:rPr>
          <w:noProof/>
        </w:rPr>
        <w:t>(2)</w:t>
      </w:r>
      <w:r w:rsidRPr="0033225A">
        <w:rPr>
          <w:noProof/>
        </w:rPr>
        <w:tab/>
      </w:r>
      <w:r w:rsidR="009D288E" w:rsidRPr="003019A6">
        <w:rPr>
          <w:noProof/>
        </w:rPr>
        <w:t>Bulgaria osallistuu vuoden 2005 liittymisasiakirjan</w:t>
      </w:r>
      <w:r w:rsidR="009D288E" w:rsidRPr="003019A6">
        <w:rPr>
          <w:rStyle w:val="FootnoteReference"/>
          <w:noProof/>
        </w:rPr>
        <w:footnoteReference w:id="6"/>
      </w:r>
      <w:r w:rsidR="009D288E" w:rsidRPr="003019A6">
        <w:rPr>
          <w:noProof/>
        </w:rPr>
        <w:t xml:space="preserve"> 5 artiklan mukaisesti </w:t>
      </w:r>
      <w:bookmarkStart w:id="0" w:name="_Hlk194575750"/>
      <w:r w:rsidR="009D288E" w:rsidRPr="003019A6">
        <w:rPr>
          <w:noProof/>
        </w:rPr>
        <w:t>talous- ja rahaliittoon liittymispäivästä alkaen Euroopan unionin toiminnasta tehdyn 139 artiklan 1 kohdassa</w:t>
      </w:r>
      <w:bookmarkEnd w:id="0"/>
      <w:r w:rsidR="009D288E" w:rsidRPr="003019A6">
        <w:rPr>
          <w:noProof/>
        </w:rPr>
        <w:t xml:space="preserve"> tarkoitettuna jäsenvaltiona, jota koskee poikkeus.</w:t>
      </w:r>
    </w:p>
    <w:p w14:paraId="75085D59" w14:textId="77777777" w:rsidR="003D5DF6" w:rsidRPr="003019A6" w:rsidRDefault="0033225A" w:rsidP="0033225A">
      <w:pPr>
        <w:pStyle w:val="ManualConsidrant"/>
        <w:rPr>
          <w:noProof/>
        </w:rPr>
      </w:pPr>
      <w:r w:rsidRPr="0033225A">
        <w:rPr>
          <w:noProof/>
        </w:rPr>
        <w:t>(3)</w:t>
      </w:r>
      <w:r w:rsidRPr="0033225A">
        <w:rPr>
          <w:noProof/>
        </w:rPr>
        <w:tab/>
      </w:r>
      <w:r w:rsidR="3F36D081" w:rsidRPr="003019A6">
        <w:rPr>
          <w:noProof/>
        </w:rPr>
        <w:t>Euron käyttöönotosta Bulgariassa 1 päivänä tammikuuta 2026 annetun neuvoston päätöksen (EU) 2025/[…]</w:t>
      </w:r>
      <w:r w:rsidR="001369C0" w:rsidRPr="003019A6">
        <w:rPr>
          <w:rStyle w:val="FootnoteReference"/>
          <w:noProof/>
        </w:rPr>
        <w:footnoteReference w:id="7"/>
      </w:r>
      <w:r w:rsidR="3F36D081" w:rsidRPr="003019A6">
        <w:rPr>
          <w:noProof/>
        </w:rPr>
        <w:t xml:space="preserve"> mukaan Bulgaria täyttää vaadittavat edellytykset euron käyttöönottamiseksi, ja Bulgariaa koskeva poikkeus kumotaan 1 päivästä tammikuuta 2026.</w:t>
      </w:r>
    </w:p>
    <w:p w14:paraId="5CF2187D" w14:textId="77777777" w:rsidR="003D5DF6" w:rsidRPr="003019A6" w:rsidRDefault="0033225A" w:rsidP="0033225A">
      <w:pPr>
        <w:pStyle w:val="ManualConsidrant"/>
        <w:rPr>
          <w:noProof/>
        </w:rPr>
      </w:pPr>
      <w:r w:rsidRPr="0033225A">
        <w:rPr>
          <w:noProof/>
        </w:rPr>
        <w:t>(4)</w:t>
      </w:r>
      <w:r w:rsidRPr="0033225A">
        <w:rPr>
          <w:noProof/>
        </w:rPr>
        <w:tab/>
      </w:r>
      <w:r w:rsidR="38C2203B" w:rsidRPr="003019A6">
        <w:rPr>
          <w:noProof/>
        </w:rPr>
        <w:t>Euron käyttöönotto Bulgariassa edellyttää euron ja Bulgarian levin välisen muuntokurssin vahvistamista. Täksi muuntokurssiksi vahvistetaan 1,95583 leviä yhtä euroa kohden, mikä vastaa levin tämänhetkistä keskuskurssia valuuttakurssimekanismissa (ERM II).</w:t>
      </w:r>
    </w:p>
    <w:p w14:paraId="4EA268AC" w14:textId="77777777" w:rsidR="003D5DF6" w:rsidRPr="003019A6" w:rsidRDefault="0033225A" w:rsidP="0033225A">
      <w:pPr>
        <w:pStyle w:val="ManualConsidrant"/>
        <w:rPr>
          <w:noProof/>
        </w:rPr>
      </w:pPr>
      <w:r w:rsidRPr="0033225A">
        <w:rPr>
          <w:noProof/>
        </w:rPr>
        <w:t>(5)</w:t>
      </w:r>
      <w:r w:rsidRPr="0033225A">
        <w:rPr>
          <w:noProof/>
        </w:rPr>
        <w:tab/>
      </w:r>
      <w:r w:rsidR="38C2203B" w:rsidRPr="003019A6">
        <w:rPr>
          <w:noProof/>
        </w:rPr>
        <w:t>Asetusta (EY) N:o 2866/98 olisi sen vuoksi muutettava,</w:t>
      </w:r>
    </w:p>
    <w:p w14:paraId="47967297" w14:textId="77777777" w:rsidR="003D5DF6" w:rsidRPr="003019A6" w:rsidRDefault="003D5DF6" w:rsidP="008B7CAC">
      <w:pPr>
        <w:pStyle w:val="Formuledadoption"/>
        <w:rPr>
          <w:noProof/>
        </w:rPr>
      </w:pPr>
      <w:r w:rsidRPr="003019A6">
        <w:rPr>
          <w:noProof/>
        </w:rPr>
        <w:t>ON ANTANUT TÄMÄN ASETUKSEN:</w:t>
      </w:r>
    </w:p>
    <w:p w14:paraId="71B6D81B" w14:textId="77777777" w:rsidR="003D5DF6" w:rsidRPr="003019A6" w:rsidRDefault="003D5DF6" w:rsidP="008B7CAC">
      <w:pPr>
        <w:pStyle w:val="Titrearticle"/>
        <w:rPr>
          <w:noProof/>
        </w:rPr>
      </w:pPr>
      <w:r w:rsidRPr="003019A6">
        <w:rPr>
          <w:noProof/>
        </w:rPr>
        <w:t>1 artikla</w:t>
      </w:r>
    </w:p>
    <w:p w14:paraId="0E8D6811" w14:textId="77777777" w:rsidR="003D5DF6" w:rsidRPr="003019A6" w:rsidRDefault="38C2203B" w:rsidP="008B7CAC">
      <w:pPr>
        <w:rPr>
          <w:noProof/>
        </w:rPr>
      </w:pPr>
      <w:r w:rsidRPr="003019A6">
        <w:rPr>
          <w:noProof/>
        </w:rPr>
        <w:t>Lisätään asetuksen (EY) N:o 2866/98 1 artiklassa Belgian frangiin ja Saksan markkaan sovellettavien muuntokurssien väliin rivi seuraavasti:</w:t>
      </w:r>
    </w:p>
    <w:p w14:paraId="61DE0926" w14:textId="77777777" w:rsidR="003D5DF6" w:rsidRPr="003019A6" w:rsidRDefault="3D880941" w:rsidP="3DCC07F2">
      <w:pPr>
        <w:jc w:val="center"/>
        <w:rPr>
          <w:noProof/>
          <w:highlight w:val="yellow"/>
        </w:rPr>
      </w:pPr>
      <w:r w:rsidRPr="003019A6">
        <w:rPr>
          <w:noProof/>
          <w:color w:val="333333"/>
          <w:shd w:val="clear" w:color="auto" w:fill="FFFFFF"/>
        </w:rPr>
        <w:t>”</w:t>
      </w:r>
      <w:r w:rsidRPr="003019A6">
        <w:rPr>
          <w:noProof/>
        </w:rPr>
        <w:t>= 1,95583 Bulgarian leviä</w:t>
      </w:r>
      <w:r w:rsidRPr="003019A6">
        <w:rPr>
          <w:noProof/>
          <w:color w:val="333333"/>
          <w:shd w:val="clear" w:color="auto" w:fill="FFFFFF"/>
        </w:rPr>
        <w:t>”</w:t>
      </w:r>
      <w:r w:rsidRPr="003019A6">
        <w:rPr>
          <w:noProof/>
        </w:rPr>
        <w:t>.</w:t>
      </w:r>
    </w:p>
    <w:p w14:paraId="1E11E0C1" w14:textId="77777777" w:rsidR="003D5DF6" w:rsidRPr="003019A6" w:rsidRDefault="003D5DF6" w:rsidP="008B7CAC">
      <w:pPr>
        <w:pStyle w:val="Titrearticle"/>
        <w:rPr>
          <w:noProof/>
        </w:rPr>
      </w:pPr>
      <w:r w:rsidRPr="003019A6">
        <w:rPr>
          <w:noProof/>
        </w:rPr>
        <w:t>2 artikla</w:t>
      </w:r>
    </w:p>
    <w:p w14:paraId="2EE81FCF" w14:textId="77777777" w:rsidR="003D5DF6" w:rsidRPr="003019A6" w:rsidRDefault="38C2203B" w:rsidP="008B7CAC">
      <w:pPr>
        <w:rPr>
          <w:noProof/>
        </w:rPr>
      </w:pPr>
      <w:r w:rsidRPr="003019A6">
        <w:rPr>
          <w:noProof/>
        </w:rPr>
        <w:t>Tämä asetus tulee voimaan 1 päivänä tammikuuta 2026.</w:t>
      </w:r>
    </w:p>
    <w:p w14:paraId="1A191DEB" w14:textId="77777777" w:rsidR="003D5DF6" w:rsidRPr="003019A6" w:rsidRDefault="003D5DF6" w:rsidP="003F5DC3">
      <w:pPr>
        <w:pStyle w:val="Applicationdirecte"/>
        <w:rPr>
          <w:noProof/>
        </w:rPr>
      </w:pPr>
      <w:r w:rsidRPr="003019A6">
        <w:rPr>
          <w:noProof/>
        </w:rPr>
        <w:t>Tämä asetus on kaikilta osiltaan velvoittava, ja sitä sovelletaan sellaisenaan kaikissa jäsenvaltioissa.</w:t>
      </w:r>
    </w:p>
    <w:p w14:paraId="509D926B" w14:textId="50D29CC1" w:rsidR="003D5DF6" w:rsidRPr="003019A6" w:rsidRDefault="00B351B4" w:rsidP="00B351B4">
      <w:pPr>
        <w:pStyle w:val="Fait"/>
        <w:rPr>
          <w:noProof/>
        </w:rPr>
      </w:pPr>
      <w:r w:rsidRPr="00B351B4">
        <w:t>Tehty Brysselissä</w:t>
      </w:r>
    </w:p>
    <w:p w14:paraId="4806E8BD" w14:textId="77777777" w:rsidR="003D5DF6" w:rsidRPr="003019A6" w:rsidRDefault="003D5DF6" w:rsidP="00A32DD1">
      <w:pPr>
        <w:pStyle w:val="Institutionquisigne"/>
        <w:rPr>
          <w:noProof/>
        </w:rPr>
      </w:pPr>
      <w:r w:rsidRPr="003019A6">
        <w:rPr>
          <w:noProof/>
        </w:rPr>
        <w:tab/>
        <w:t>Neuvoston puolesta</w:t>
      </w:r>
    </w:p>
    <w:p w14:paraId="4C1B7AA5" w14:textId="77777777" w:rsidR="003D5DF6" w:rsidRPr="003019A6" w:rsidRDefault="003D5DF6" w:rsidP="008B7CAC">
      <w:pPr>
        <w:pStyle w:val="Personnequisigne"/>
        <w:rPr>
          <w:noProof/>
        </w:rPr>
      </w:pPr>
      <w:r w:rsidRPr="003019A6">
        <w:rPr>
          <w:noProof/>
        </w:rPr>
        <w:tab/>
        <w:t>Puheenjohtaja</w:t>
      </w:r>
      <w:bookmarkStart w:id="1" w:name="_CopyToNewDocument_"/>
      <w:bookmarkEnd w:id="1"/>
    </w:p>
    <w:sectPr w:rsidR="003D5DF6" w:rsidRPr="003019A6" w:rsidSect="00B351B4">
      <w:pgSz w:w="11907" w:h="16839"/>
      <w:pgMar w:top="1134" w:right="1417" w:bottom="1134"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CFB25" w14:textId="77777777" w:rsidR="00307BCD" w:rsidRPr="009D288E" w:rsidRDefault="00307BCD" w:rsidP="003D5DF6">
      <w:pPr>
        <w:spacing w:before="0" w:after="0"/>
      </w:pPr>
      <w:r w:rsidRPr="009D288E">
        <w:separator/>
      </w:r>
    </w:p>
  </w:endnote>
  <w:endnote w:type="continuationSeparator" w:id="0">
    <w:p w14:paraId="4A62C395" w14:textId="77777777" w:rsidR="00307BCD" w:rsidRPr="009D288E" w:rsidRDefault="00307BCD" w:rsidP="003D5DF6">
      <w:pPr>
        <w:spacing w:before="0" w:after="0"/>
      </w:pPr>
      <w:r w:rsidRPr="009D288E">
        <w:continuationSeparator/>
      </w:r>
    </w:p>
  </w:endnote>
  <w:endnote w:type="continuationNotice" w:id="1">
    <w:p w14:paraId="7F3A837A" w14:textId="77777777" w:rsidR="00307BCD" w:rsidRPr="009D288E" w:rsidRDefault="00307B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43D0" w14:textId="4342C8A9" w:rsidR="00B351B4" w:rsidRPr="00B351B4" w:rsidRDefault="00B351B4" w:rsidP="00B351B4">
    <w:pPr>
      <w:pStyle w:val="Footer"/>
      <w:rPr>
        <w:rFonts w:ascii="Arial" w:hAnsi="Arial" w:cs="Arial"/>
        <w:b/>
        <w:sz w:val="48"/>
      </w:rPr>
    </w:pPr>
    <w:r w:rsidRPr="00B351B4">
      <w:rPr>
        <w:rFonts w:ascii="Arial" w:hAnsi="Arial" w:cs="Arial"/>
        <w:b/>
        <w:sz w:val="48"/>
      </w:rPr>
      <w:t>FI</w:t>
    </w:r>
    <w:r w:rsidRPr="00B351B4">
      <w:rPr>
        <w:rFonts w:ascii="Arial" w:hAnsi="Arial" w:cs="Arial"/>
        <w:b/>
        <w:sz w:val="48"/>
      </w:rPr>
      <w:tab/>
    </w:r>
    <w:r w:rsidRPr="00B351B4">
      <w:rPr>
        <w:rFonts w:ascii="Arial" w:hAnsi="Arial" w:cs="Arial"/>
        <w:b/>
        <w:sz w:val="48"/>
      </w:rPr>
      <w:tab/>
    </w:r>
    <w:r w:rsidRPr="00B351B4">
      <w:tab/>
    </w:r>
    <w:proofErr w:type="spellStart"/>
    <w:r w:rsidRPr="00B351B4">
      <w:rPr>
        <w:rFonts w:ascii="Arial" w:hAnsi="Arial" w:cs="Arial"/>
        <w:b/>
        <w:sz w:val="48"/>
      </w:rPr>
      <w:t>FI</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1CE1" w14:textId="025C8AFD" w:rsidR="00B351B4" w:rsidRPr="00B351B4" w:rsidRDefault="00B351B4" w:rsidP="00B351B4">
    <w:pPr>
      <w:pStyle w:val="Footer"/>
      <w:rPr>
        <w:rFonts w:ascii="Arial" w:hAnsi="Arial" w:cs="Arial"/>
        <w:b/>
        <w:sz w:val="48"/>
      </w:rPr>
    </w:pPr>
    <w:r w:rsidRPr="00B351B4">
      <w:rPr>
        <w:rFonts w:ascii="Arial" w:hAnsi="Arial" w:cs="Arial"/>
        <w:b/>
        <w:sz w:val="48"/>
      </w:rPr>
      <w:t>FI</w:t>
    </w:r>
    <w:r w:rsidRPr="00B351B4">
      <w:rPr>
        <w:rFonts w:ascii="Arial" w:hAnsi="Arial" w:cs="Arial"/>
        <w:b/>
        <w:sz w:val="48"/>
      </w:rPr>
      <w:tab/>
    </w:r>
    <w:r w:rsidRPr="00B351B4">
      <w:rPr>
        <w:rFonts w:ascii="Arial" w:hAnsi="Arial" w:cs="Arial"/>
        <w:b/>
        <w:sz w:val="48"/>
      </w:rPr>
      <w:tab/>
    </w:r>
    <w:r w:rsidRPr="00B351B4">
      <w:tab/>
    </w:r>
    <w:proofErr w:type="spellStart"/>
    <w:r w:rsidRPr="00B351B4">
      <w:rPr>
        <w:rFonts w:ascii="Arial" w:hAnsi="Arial" w:cs="Arial"/>
        <w:b/>
        <w:sz w:val="48"/>
      </w:rPr>
      <w:t>FI</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C2F4" w14:textId="77777777" w:rsidR="00B351B4" w:rsidRPr="00B351B4" w:rsidRDefault="00B351B4" w:rsidP="00B351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471C" w14:textId="77777777" w:rsidR="00F2174C" w:rsidRDefault="00F217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61B8" w14:textId="550DF8C1" w:rsidR="00F2174C" w:rsidRPr="00B351B4" w:rsidRDefault="00B351B4" w:rsidP="00B351B4">
    <w:pPr>
      <w:pStyle w:val="Footer"/>
      <w:rPr>
        <w:rFonts w:ascii="Arial" w:hAnsi="Arial" w:cs="Arial"/>
        <w:b/>
        <w:sz w:val="48"/>
      </w:rPr>
    </w:pPr>
    <w:r w:rsidRPr="00B351B4">
      <w:rPr>
        <w:rFonts w:ascii="Arial" w:hAnsi="Arial" w:cs="Arial"/>
        <w:b/>
        <w:sz w:val="48"/>
      </w:rPr>
      <w:t>FI</w:t>
    </w:r>
    <w:r w:rsidRPr="00B351B4">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rsidRPr="00B351B4">
      <w:tab/>
    </w:r>
    <w:r w:rsidRPr="00B351B4">
      <w:rPr>
        <w:rFonts w:ascii="Arial" w:hAnsi="Arial" w:cs="Arial"/>
        <w:b/>
        <w:sz w:val="48"/>
      </w:rPr>
      <w:t>FI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C80" w14:textId="77777777" w:rsidR="00F2174C" w:rsidRDefault="00F2174C" w:rsidP="00B3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2B9D" w14:textId="77777777" w:rsidR="00307BCD" w:rsidRPr="009D288E" w:rsidRDefault="00307BCD" w:rsidP="003D5DF6">
      <w:pPr>
        <w:spacing w:before="0" w:after="0"/>
      </w:pPr>
      <w:r w:rsidRPr="009D288E">
        <w:separator/>
      </w:r>
    </w:p>
  </w:footnote>
  <w:footnote w:type="continuationSeparator" w:id="0">
    <w:p w14:paraId="097B2C55" w14:textId="77777777" w:rsidR="00307BCD" w:rsidRPr="009D288E" w:rsidRDefault="00307BCD" w:rsidP="003D5DF6">
      <w:pPr>
        <w:spacing w:before="0" w:after="0"/>
      </w:pPr>
      <w:r w:rsidRPr="009D288E">
        <w:continuationSeparator/>
      </w:r>
    </w:p>
  </w:footnote>
  <w:footnote w:type="continuationNotice" w:id="1">
    <w:p w14:paraId="6DED7EF4" w14:textId="77777777" w:rsidR="00307BCD" w:rsidRPr="009D288E" w:rsidRDefault="00307BCD">
      <w:pPr>
        <w:spacing w:before="0" w:after="0"/>
      </w:pPr>
    </w:p>
  </w:footnote>
  <w:footnote w:id="2">
    <w:p w14:paraId="343736A3" w14:textId="77777777" w:rsidR="003F5DC3" w:rsidRPr="00A844BD" w:rsidRDefault="00F811DD" w:rsidP="003F5DC3">
      <w:pPr>
        <w:pStyle w:val="FootnoteText"/>
        <w:rPr>
          <w:lang w:val="en-IE"/>
        </w:rPr>
      </w:pPr>
      <w:r w:rsidRPr="00A844BD">
        <w:rPr>
          <w:lang w:val="en-IE"/>
        </w:rPr>
        <w:t>(</w:t>
      </w:r>
      <w:r>
        <w:rPr>
          <w:rStyle w:val="FootnoteReference"/>
        </w:rPr>
        <w:footnoteRef/>
      </w:r>
      <w:r w:rsidRPr="00A844BD">
        <w:rPr>
          <w:lang w:val="en-IE"/>
        </w:rPr>
        <w:t>)</w:t>
      </w:r>
      <w:r w:rsidRPr="00A844BD">
        <w:rPr>
          <w:lang w:val="en-IE"/>
        </w:rPr>
        <w:tab/>
        <w:t>EYVL L 359, 31.12.1998, s. 1.</w:t>
      </w:r>
    </w:p>
  </w:footnote>
  <w:footnote w:id="3">
    <w:p w14:paraId="4537D5D8" w14:textId="77777777" w:rsidR="7CB2394A" w:rsidRPr="00A844BD" w:rsidRDefault="7CB2394A" w:rsidP="7CB2394A">
      <w:pPr>
        <w:pStyle w:val="FootnoteText"/>
        <w:rPr>
          <w:lang w:val="en-IE"/>
        </w:rPr>
      </w:pPr>
      <w:r w:rsidRPr="00A844BD">
        <w:rPr>
          <w:lang w:val="en-IE"/>
        </w:rPr>
        <w:t>(</w:t>
      </w:r>
      <w:r>
        <w:rPr>
          <w:rStyle w:val="FootnoteReference"/>
        </w:rPr>
        <w:footnoteRef/>
      </w:r>
      <w:r w:rsidRPr="00A844BD">
        <w:rPr>
          <w:lang w:val="en-IE"/>
        </w:rPr>
        <w:t>)</w:t>
      </w:r>
      <w:r w:rsidRPr="00A844BD">
        <w:rPr>
          <w:lang w:val="en-IE"/>
        </w:rPr>
        <w:tab/>
        <w:t>EYVL L 162, 19.6.1997, s. 1.</w:t>
      </w:r>
    </w:p>
  </w:footnote>
  <w:footnote w:id="4">
    <w:p w14:paraId="0A139604" w14:textId="77777777" w:rsidR="6AE2B56A" w:rsidRPr="00F74775" w:rsidRDefault="00F811DD" w:rsidP="004E00D9">
      <w:pPr>
        <w:pStyle w:val="FootnoteText"/>
      </w:pPr>
      <w:r w:rsidRPr="00F74775">
        <w:rPr>
          <w:rStyle w:val="FootnoteReference"/>
        </w:rPr>
        <w:t>(</w:t>
      </w:r>
      <w:r>
        <w:rPr>
          <w:rStyle w:val="FootnoteReference"/>
        </w:rPr>
        <w:footnoteRef/>
      </w:r>
      <w:r w:rsidRPr="00F74775">
        <w:rPr>
          <w:rStyle w:val="FootnoteReference"/>
        </w:rPr>
        <w:t>)</w:t>
      </w:r>
      <w:r w:rsidRPr="00F74775">
        <w:tab/>
        <w:t>Lausunto […] […] […].</w:t>
      </w:r>
    </w:p>
  </w:footnote>
  <w:footnote w:id="5">
    <w:p w14:paraId="2C6EC310" w14:textId="77777777" w:rsidR="3DCC07F2" w:rsidRPr="00F74775" w:rsidRDefault="00F811DD" w:rsidP="004E00D9">
      <w:pPr>
        <w:pStyle w:val="FootnoteText"/>
      </w:pPr>
      <w:r w:rsidRPr="00F74775">
        <w:rPr>
          <w:rStyle w:val="FootnoteReference"/>
        </w:rPr>
        <w:t>(</w:t>
      </w:r>
      <w:r>
        <w:rPr>
          <w:rStyle w:val="FootnoteReference"/>
        </w:rPr>
        <w:footnoteRef/>
      </w:r>
      <w:r w:rsidRPr="00F74775">
        <w:rPr>
          <w:rStyle w:val="FootnoteReference"/>
        </w:rPr>
        <w:t>)</w:t>
      </w:r>
      <w:r w:rsidRPr="00F74775">
        <w:tab/>
        <w:t>Neuvoston asetus (EY) N:o 2866/98, annettu 31 päivänä joulukuuta 1998, euron ja euron käyttöön ottavien jäsenvaltioiden valuuttojen välisistä muuntokursseista (EYVL L 359, 31.12.1998, s. 1).</w:t>
      </w:r>
    </w:p>
  </w:footnote>
  <w:footnote w:id="6">
    <w:p w14:paraId="303E0BB7" w14:textId="77777777" w:rsidR="009D288E" w:rsidRPr="00F74775" w:rsidRDefault="009D288E">
      <w:pPr>
        <w:pStyle w:val="FootnoteText"/>
      </w:pPr>
      <w:r w:rsidRPr="00F74775">
        <w:rPr>
          <w:rStyle w:val="FootnoteReference"/>
        </w:rPr>
        <w:t>(</w:t>
      </w:r>
      <w:r>
        <w:rPr>
          <w:rStyle w:val="FootnoteReference"/>
        </w:rPr>
        <w:footnoteRef/>
      </w:r>
      <w:r w:rsidRPr="00F74775">
        <w:rPr>
          <w:rStyle w:val="FootnoteReference"/>
        </w:rPr>
        <w:t>)</w:t>
      </w:r>
      <w:r w:rsidRPr="00F74775">
        <w:tab/>
        <w:t>Asiakirja Bulgarian tasavallan ja Romanian liittymisehdoista ja niiden sopimusten mukautuksista, joihin Euroopan unioni perustuu (EUVL L 157, 21.6.2005, s. 203).</w:t>
      </w:r>
    </w:p>
  </w:footnote>
  <w:footnote w:id="7">
    <w:p w14:paraId="57542938" w14:textId="77777777" w:rsidR="3866898E" w:rsidRPr="00F74775" w:rsidRDefault="00F811DD" w:rsidP="00B649BF">
      <w:pPr>
        <w:pStyle w:val="FootnoteText"/>
        <w:shd w:val="clear" w:color="auto" w:fill="FFFFFF" w:themeFill="background1"/>
        <w:spacing w:before="60" w:after="60"/>
        <w:rPr>
          <w:rFonts w:eastAsia="Times New Roman"/>
          <w:color w:val="333333"/>
        </w:rPr>
      </w:pPr>
      <w:r w:rsidRPr="00F74775">
        <w:rPr>
          <w:rStyle w:val="FootnoteReference"/>
        </w:rPr>
        <w:t>(</w:t>
      </w:r>
      <w:r>
        <w:rPr>
          <w:rStyle w:val="FootnoteReference"/>
        </w:rPr>
        <w:footnoteRef/>
      </w:r>
      <w:r w:rsidRPr="00F74775">
        <w:rPr>
          <w:rStyle w:val="FootnoteReference"/>
        </w:rPr>
        <w:t>)</w:t>
      </w:r>
      <w:r w:rsidRPr="00F74775">
        <w:tab/>
      </w:r>
      <w:r w:rsidRPr="00F74775">
        <w:rPr>
          <w:color w:val="333333"/>
        </w:rPr>
        <w:t>Neuvoston päätös (EU) 2025/…, annettu</w:t>
      </w:r>
      <w:r w:rsidR="00A844BD">
        <w:rPr>
          <w:color w:val="333333"/>
        </w:rPr>
        <w:t xml:space="preserve"> </w:t>
      </w:r>
      <w:r w:rsidRPr="00F74775">
        <w:rPr>
          <w:color w:val="333333"/>
        </w:rPr>
        <w:t>[……], euron käyttöönotosta Bulgariassa 1 päivänä tammikuuta 2026.</w:t>
      </w:r>
    </w:p>
    <w:p w14:paraId="52BE3CF5" w14:textId="77777777" w:rsidR="3866898E" w:rsidRPr="009D288E" w:rsidRDefault="0021486C" w:rsidP="00B649BF">
      <w:pPr>
        <w:pStyle w:val="FootnoteText"/>
        <w:ind w:firstLine="0"/>
      </w:pP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4B0C" w14:textId="77777777" w:rsidR="00B351B4" w:rsidRPr="00B351B4" w:rsidRDefault="00B351B4" w:rsidP="00B3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6C0F" w14:textId="77777777" w:rsidR="00B351B4" w:rsidRPr="00B351B4" w:rsidRDefault="00B351B4" w:rsidP="00B3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3481" w14:textId="77777777" w:rsidR="00B351B4" w:rsidRPr="00B351B4" w:rsidRDefault="00B351B4" w:rsidP="00B351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2B66" w14:textId="77777777" w:rsidR="00F2174C" w:rsidRDefault="00F217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FF41" w14:textId="77777777" w:rsidR="00F2174C" w:rsidRDefault="00F21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7412397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236AD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5EE13F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476D06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C40EE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C5ACB3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2903E5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14820E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767384644">
    <w:abstractNumId w:val="6"/>
  </w:num>
  <w:num w:numId="2" w16cid:durableId="1429887969">
    <w:abstractNumId w:val="2"/>
  </w:num>
  <w:num w:numId="3" w16cid:durableId="1340428157">
    <w:abstractNumId w:val="1"/>
  </w:num>
  <w:num w:numId="4" w16cid:durableId="70583732">
    <w:abstractNumId w:val="0"/>
  </w:num>
  <w:num w:numId="5" w16cid:durableId="501506897">
    <w:abstractNumId w:val="7"/>
  </w:num>
  <w:num w:numId="6" w16cid:durableId="965310049">
    <w:abstractNumId w:val="5"/>
  </w:num>
  <w:num w:numId="7" w16cid:durableId="1680043133">
    <w:abstractNumId w:val="4"/>
  </w:num>
  <w:num w:numId="8" w16cid:durableId="577981725">
    <w:abstractNumId w:val="3"/>
  </w:num>
  <w:num w:numId="9" w16cid:durableId="936447407">
    <w:abstractNumId w:val="22"/>
    <w:lvlOverride w:ilvl="0">
      <w:startOverride w:val="1"/>
    </w:lvlOverride>
  </w:num>
  <w:num w:numId="10" w16cid:durableId="610237906">
    <w:abstractNumId w:val="19"/>
  </w:num>
  <w:num w:numId="11" w16cid:durableId="1674063466">
    <w:abstractNumId w:val="12"/>
  </w:num>
  <w:num w:numId="12" w16cid:durableId="1119950648">
    <w:abstractNumId w:val="21"/>
  </w:num>
  <w:num w:numId="13" w16cid:durableId="241642063">
    <w:abstractNumId w:val="11"/>
  </w:num>
  <w:num w:numId="14" w16cid:durableId="1597440953">
    <w:abstractNumId w:val="13"/>
  </w:num>
  <w:num w:numId="15" w16cid:durableId="899948761">
    <w:abstractNumId w:val="14"/>
  </w:num>
  <w:num w:numId="16" w16cid:durableId="98451884">
    <w:abstractNumId w:val="9"/>
  </w:num>
  <w:num w:numId="17" w16cid:durableId="1692368834">
    <w:abstractNumId w:val="20"/>
  </w:num>
  <w:num w:numId="18" w16cid:durableId="1925604091">
    <w:abstractNumId w:val="8"/>
  </w:num>
  <w:num w:numId="19" w16cid:durableId="1255358563">
    <w:abstractNumId w:val="15"/>
  </w:num>
  <w:num w:numId="20" w16cid:durableId="48110698">
    <w:abstractNumId w:val="17"/>
  </w:num>
  <w:num w:numId="21" w16cid:durableId="114981926">
    <w:abstractNumId w:val="18"/>
  </w:num>
  <w:num w:numId="22" w16cid:durableId="1267277128">
    <w:abstractNumId w:val="10"/>
  </w:num>
  <w:num w:numId="23" w16cid:durableId="2144997619">
    <w:abstractNumId w:val="16"/>
  </w:num>
  <w:num w:numId="24" w16cid:durableId="876314343">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characterSpacingControl w:val="doNotCompress"/>
  <w:hdrShapeDefaults>
    <o:shapedefaults v:ext="edit" spidmax="205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DQCDateTime" w:val="2025-06-27 12:19:0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EPKit_DocumentHasBeenSaved" w:val="true"/>
    <w:docVar w:name="LW_CORRIGENDUM" w:val="&lt;UNUSED&gt;"/>
    <w:docVar w:name="LW_COVERPAGE_EXISTS" w:val="True"/>
    <w:docVar w:name="LW_COVERPAGE_GUID" w:val="B535B3C8-EFDC-4C6C-909D-3B6FFB24A306"/>
    <w:docVar w:name="LW_COVERPAGE_TYPE" w:val="1"/>
    <w:docVar w:name="LW_CROSSREFERENCE" w:val="&lt;UNUSED&gt;"/>
    <w:docVar w:name="LW_DocType" w:val="COM"/>
    <w:docVar w:name="LW_EMISSION" w:val="30.6.2025"/>
    <w:docVar w:name="LW_EMISSION_ISODATE" w:val="2025-06-30"/>
    <w:docVar w:name="LW_EMISSION_LOCATION" w:val="BRX"/>
    <w:docVar w:name="LW_EMISSION_PREFIX" w:val="Bryssel "/>
    <w:docVar w:name="LW_EMISSION_SUFFIX" w:val=" "/>
    <w:docVar w:name="LW_FAITA" w:val="Done at Brussels, "/>
    <w:docVar w:name="LW_ID_DOCMODEL" w:val="SJ-016"/>
    <w:docVar w:name="LW_ID_DOCSIGNATURE" w:val="SJ-016"/>
    <w:docVar w:name="LW_ID_DOCSTRUCTURE" w:val="COM/PL/ORG"/>
    <w:docVar w:name="LW_ID_DOCTYPE" w:val="SJ-016"/>
    <w:docVar w:name="LW_ID_STATUT" w:val="SJ-016"/>
    <w:docVar w:name="LW_INST.SIGNE" w:val="_x0009_For the Council"/>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PERS.SIGNE" w:val="_x0009_The President"/>
    <w:docVar w:name="LW_REF.II.NEW.CP" w:val="NLE"/>
    <w:docVar w:name="LW_REF.II.NEW.CP_NUMBER" w:val="0197"/>
    <w:docVar w:name="LW_REF.II.NEW.CP_YEAR" w:val="2025"/>
    <w:docVar w:name="LW_REF.INST.NEW" w:val="COM"/>
    <w:docVar w:name="LW_REF.INST.NEW_ADOPTED" w:val="final/2        DOWNGRADED ON 9.7.2025"/>
    <w:docVar w:name="LW_REF.INST.NEW_TEXT" w:val="(2025) 37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asetuksen (EY) N:o 2866/98 muuttamisesta Bulgariaa koskevan euron muuntokurssin osalta"/>
    <w:docVar w:name="LW_TYPE.DOC.CP" w:val="NEUVOSTON ASETUS"/>
    <w:docVar w:name="LwApiVersions" w:val="LW4CoDe 1.24.5.0; LW 9.0, Build 20240221"/>
    <w:docVar w:name="Stamp" w:val="\\net1.cec.eu.int\offline\004\davieri\My Documents\Editing jobs\ECFIN - CIS 05471-ft - REG - Commission proposal for Regulation on conversion rate for Bulgaria.docx"/>
  </w:docVars>
  <w:rsids>
    <w:rsidRoot w:val="003D5DF6"/>
    <w:rsid w:val="00001C89"/>
    <w:rsid w:val="000068E4"/>
    <w:rsid w:val="00015C93"/>
    <w:rsid w:val="0002159F"/>
    <w:rsid w:val="00037A2B"/>
    <w:rsid w:val="00080782"/>
    <w:rsid w:val="000857C8"/>
    <w:rsid w:val="0008593D"/>
    <w:rsid w:val="00097769"/>
    <w:rsid w:val="000A188D"/>
    <w:rsid w:val="000B5908"/>
    <w:rsid w:val="000E4CC6"/>
    <w:rsid w:val="000E777D"/>
    <w:rsid w:val="000E784C"/>
    <w:rsid w:val="000F400A"/>
    <w:rsid w:val="000F43A0"/>
    <w:rsid w:val="001014B1"/>
    <w:rsid w:val="00106A56"/>
    <w:rsid w:val="00110558"/>
    <w:rsid w:val="001114D6"/>
    <w:rsid w:val="001172AA"/>
    <w:rsid w:val="00120DA0"/>
    <w:rsid w:val="00127A64"/>
    <w:rsid w:val="00133418"/>
    <w:rsid w:val="00135B01"/>
    <w:rsid w:val="001369C0"/>
    <w:rsid w:val="0014710D"/>
    <w:rsid w:val="00150AF5"/>
    <w:rsid w:val="00152D8E"/>
    <w:rsid w:val="0017431E"/>
    <w:rsid w:val="00180A1D"/>
    <w:rsid w:val="00190242"/>
    <w:rsid w:val="001956A8"/>
    <w:rsid w:val="001A1EEA"/>
    <w:rsid w:val="001A5BE0"/>
    <w:rsid w:val="001A5C46"/>
    <w:rsid w:val="001C5303"/>
    <w:rsid w:val="001D1784"/>
    <w:rsid w:val="001D6818"/>
    <w:rsid w:val="001E7DA5"/>
    <w:rsid w:val="001F17B2"/>
    <w:rsid w:val="001F1AF7"/>
    <w:rsid w:val="001F2465"/>
    <w:rsid w:val="002071EC"/>
    <w:rsid w:val="00212814"/>
    <w:rsid w:val="0021486C"/>
    <w:rsid w:val="00217177"/>
    <w:rsid w:val="00221F82"/>
    <w:rsid w:val="0022747B"/>
    <w:rsid w:val="002326A0"/>
    <w:rsid w:val="00251390"/>
    <w:rsid w:val="00260834"/>
    <w:rsid w:val="002608EB"/>
    <w:rsid w:val="00262F01"/>
    <w:rsid w:val="00264E08"/>
    <w:rsid w:val="0026617C"/>
    <w:rsid w:val="00271F99"/>
    <w:rsid w:val="00297140"/>
    <w:rsid w:val="002A03C7"/>
    <w:rsid w:val="002B6B6F"/>
    <w:rsid w:val="002B7F3D"/>
    <w:rsid w:val="002BA7AB"/>
    <w:rsid w:val="002C15C3"/>
    <w:rsid w:val="002C1CB2"/>
    <w:rsid w:val="002C3BA7"/>
    <w:rsid w:val="002C5D6C"/>
    <w:rsid w:val="002D0175"/>
    <w:rsid w:val="002D2814"/>
    <w:rsid w:val="002D3E41"/>
    <w:rsid w:val="002E42C4"/>
    <w:rsid w:val="002F34CC"/>
    <w:rsid w:val="003019A6"/>
    <w:rsid w:val="00307BCD"/>
    <w:rsid w:val="0031164E"/>
    <w:rsid w:val="00312F28"/>
    <w:rsid w:val="00317696"/>
    <w:rsid w:val="00324168"/>
    <w:rsid w:val="0032752F"/>
    <w:rsid w:val="0033225A"/>
    <w:rsid w:val="0033616D"/>
    <w:rsid w:val="00341828"/>
    <w:rsid w:val="003439D0"/>
    <w:rsid w:val="00344ABD"/>
    <w:rsid w:val="0034587F"/>
    <w:rsid w:val="00345960"/>
    <w:rsid w:val="003528E6"/>
    <w:rsid w:val="00363D06"/>
    <w:rsid w:val="0039054A"/>
    <w:rsid w:val="003942EC"/>
    <w:rsid w:val="00397E33"/>
    <w:rsid w:val="003A0551"/>
    <w:rsid w:val="003A06A4"/>
    <w:rsid w:val="003A473B"/>
    <w:rsid w:val="003B6726"/>
    <w:rsid w:val="003C2A3E"/>
    <w:rsid w:val="003C2B6F"/>
    <w:rsid w:val="003C5FD8"/>
    <w:rsid w:val="003C7120"/>
    <w:rsid w:val="003D2EA1"/>
    <w:rsid w:val="003D50CD"/>
    <w:rsid w:val="003D5DF6"/>
    <w:rsid w:val="003D6909"/>
    <w:rsid w:val="003E1B73"/>
    <w:rsid w:val="003E3594"/>
    <w:rsid w:val="003E4887"/>
    <w:rsid w:val="003F5DC3"/>
    <w:rsid w:val="004007EE"/>
    <w:rsid w:val="0040366B"/>
    <w:rsid w:val="00404C2B"/>
    <w:rsid w:val="0040570C"/>
    <w:rsid w:val="004120EF"/>
    <w:rsid w:val="0041644A"/>
    <w:rsid w:val="00417AEE"/>
    <w:rsid w:val="00431063"/>
    <w:rsid w:val="004360D5"/>
    <w:rsid w:val="00437793"/>
    <w:rsid w:val="004413D3"/>
    <w:rsid w:val="00442E80"/>
    <w:rsid w:val="0044436D"/>
    <w:rsid w:val="00447495"/>
    <w:rsid w:val="0045730F"/>
    <w:rsid w:val="00462ADB"/>
    <w:rsid w:val="004720F1"/>
    <w:rsid w:val="00474313"/>
    <w:rsid w:val="00482729"/>
    <w:rsid w:val="0049067E"/>
    <w:rsid w:val="0049191D"/>
    <w:rsid w:val="004951B1"/>
    <w:rsid w:val="004A101E"/>
    <w:rsid w:val="004A2F03"/>
    <w:rsid w:val="004B60A0"/>
    <w:rsid w:val="004D727F"/>
    <w:rsid w:val="004E00D9"/>
    <w:rsid w:val="004E0E46"/>
    <w:rsid w:val="004E1192"/>
    <w:rsid w:val="004E1409"/>
    <w:rsid w:val="004E236F"/>
    <w:rsid w:val="004E70E6"/>
    <w:rsid w:val="004E7ED4"/>
    <w:rsid w:val="004F5661"/>
    <w:rsid w:val="00506752"/>
    <w:rsid w:val="005115E1"/>
    <w:rsid w:val="00511913"/>
    <w:rsid w:val="00512256"/>
    <w:rsid w:val="005127D9"/>
    <w:rsid w:val="00512E5D"/>
    <w:rsid w:val="00516601"/>
    <w:rsid w:val="005203D8"/>
    <w:rsid w:val="0053369B"/>
    <w:rsid w:val="00536B3B"/>
    <w:rsid w:val="00543633"/>
    <w:rsid w:val="00547DB7"/>
    <w:rsid w:val="00551CB5"/>
    <w:rsid w:val="005563A8"/>
    <w:rsid w:val="00560D72"/>
    <w:rsid w:val="00565FD0"/>
    <w:rsid w:val="0056799F"/>
    <w:rsid w:val="005778E4"/>
    <w:rsid w:val="00577B60"/>
    <w:rsid w:val="005804BF"/>
    <w:rsid w:val="005A7EB9"/>
    <w:rsid w:val="005C0251"/>
    <w:rsid w:val="005D46E3"/>
    <w:rsid w:val="005D6296"/>
    <w:rsid w:val="005E3FC3"/>
    <w:rsid w:val="005E5BC5"/>
    <w:rsid w:val="005F1C45"/>
    <w:rsid w:val="005F57F1"/>
    <w:rsid w:val="0060119C"/>
    <w:rsid w:val="0060276C"/>
    <w:rsid w:val="006048D6"/>
    <w:rsid w:val="00604BC2"/>
    <w:rsid w:val="006079C8"/>
    <w:rsid w:val="00610465"/>
    <w:rsid w:val="0061156D"/>
    <w:rsid w:val="00611698"/>
    <w:rsid w:val="00615144"/>
    <w:rsid w:val="00615488"/>
    <w:rsid w:val="00620073"/>
    <w:rsid w:val="00620BD4"/>
    <w:rsid w:val="006369F3"/>
    <w:rsid w:val="00655271"/>
    <w:rsid w:val="00657DB7"/>
    <w:rsid w:val="0066293B"/>
    <w:rsid w:val="0066740A"/>
    <w:rsid w:val="00671298"/>
    <w:rsid w:val="0067750B"/>
    <w:rsid w:val="00677BF2"/>
    <w:rsid w:val="006945BE"/>
    <w:rsid w:val="006A0C83"/>
    <w:rsid w:val="006A1E62"/>
    <w:rsid w:val="006A63D4"/>
    <w:rsid w:val="006A7E97"/>
    <w:rsid w:val="006C22A3"/>
    <w:rsid w:val="006C7D6B"/>
    <w:rsid w:val="006E6E89"/>
    <w:rsid w:val="006F0815"/>
    <w:rsid w:val="006F0DE5"/>
    <w:rsid w:val="006F671B"/>
    <w:rsid w:val="007011A8"/>
    <w:rsid w:val="007039C3"/>
    <w:rsid w:val="00706C07"/>
    <w:rsid w:val="00712649"/>
    <w:rsid w:val="00713008"/>
    <w:rsid w:val="007170C6"/>
    <w:rsid w:val="00724CB1"/>
    <w:rsid w:val="00725FCA"/>
    <w:rsid w:val="00730870"/>
    <w:rsid w:val="0076059C"/>
    <w:rsid w:val="0076163B"/>
    <w:rsid w:val="00766561"/>
    <w:rsid w:val="00777830"/>
    <w:rsid w:val="007862CE"/>
    <w:rsid w:val="0079028D"/>
    <w:rsid w:val="007905A5"/>
    <w:rsid w:val="007A2BD0"/>
    <w:rsid w:val="007A697A"/>
    <w:rsid w:val="007B1574"/>
    <w:rsid w:val="007C181E"/>
    <w:rsid w:val="007C42B3"/>
    <w:rsid w:val="007D736C"/>
    <w:rsid w:val="007F050C"/>
    <w:rsid w:val="007F0DF6"/>
    <w:rsid w:val="007F24F8"/>
    <w:rsid w:val="007F25AE"/>
    <w:rsid w:val="00803C45"/>
    <w:rsid w:val="0080583E"/>
    <w:rsid w:val="00817BA6"/>
    <w:rsid w:val="008207FD"/>
    <w:rsid w:val="00822674"/>
    <w:rsid w:val="00830D42"/>
    <w:rsid w:val="00834F15"/>
    <w:rsid w:val="00843978"/>
    <w:rsid w:val="00843AB7"/>
    <w:rsid w:val="00846540"/>
    <w:rsid w:val="008513C8"/>
    <w:rsid w:val="00857BF2"/>
    <w:rsid w:val="00864168"/>
    <w:rsid w:val="008675EF"/>
    <w:rsid w:val="00884D4C"/>
    <w:rsid w:val="00886238"/>
    <w:rsid w:val="00892DD2"/>
    <w:rsid w:val="00895D26"/>
    <w:rsid w:val="008A2E33"/>
    <w:rsid w:val="008A452D"/>
    <w:rsid w:val="008A4880"/>
    <w:rsid w:val="008A5EFD"/>
    <w:rsid w:val="008B7CAC"/>
    <w:rsid w:val="008C3C8F"/>
    <w:rsid w:val="008C583E"/>
    <w:rsid w:val="008D18FA"/>
    <w:rsid w:val="008D1CEF"/>
    <w:rsid w:val="008D37D8"/>
    <w:rsid w:val="008D5FF5"/>
    <w:rsid w:val="008E081C"/>
    <w:rsid w:val="008E5B01"/>
    <w:rsid w:val="008E6E0A"/>
    <w:rsid w:val="008F23ED"/>
    <w:rsid w:val="008F4DD3"/>
    <w:rsid w:val="0090118A"/>
    <w:rsid w:val="009100E1"/>
    <w:rsid w:val="0092070A"/>
    <w:rsid w:val="00921A28"/>
    <w:rsid w:val="00930494"/>
    <w:rsid w:val="009313AA"/>
    <w:rsid w:val="009318DE"/>
    <w:rsid w:val="00936046"/>
    <w:rsid w:val="00944339"/>
    <w:rsid w:val="00962FD5"/>
    <w:rsid w:val="00972700"/>
    <w:rsid w:val="00974F26"/>
    <w:rsid w:val="00991825"/>
    <w:rsid w:val="00992ABB"/>
    <w:rsid w:val="00992B2A"/>
    <w:rsid w:val="009A235D"/>
    <w:rsid w:val="009B08A4"/>
    <w:rsid w:val="009D288E"/>
    <w:rsid w:val="009E18A4"/>
    <w:rsid w:val="00A00B14"/>
    <w:rsid w:val="00A0542A"/>
    <w:rsid w:val="00A06A7D"/>
    <w:rsid w:val="00A11757"/>
    <w:rsid w:val="00A11DC9"/>
    <w:rsid w:val="00A23028"/>
    <w:rsid w:val="00A24AF9"/>
    <w:rsid w:val="00A271E9"/>
    <w:rsid w:val="00A32DD1"/>
    <w:rsid w:val="00A3578E"/>
    <w:rsid w:val="00A35CC2"/>
    <w:rsid w:val="00A37C9E"/>
    <w:rsid w:val="00A37F5A"/>
    <w:rsid w:val="00A50C3F"/>
    <w:rsid w:val="00A512FB"/>
    <w:rsid w:val="00A844BD"/>
    <w:rsid w:val="00A84C16"/>
    <w:rsid w:val="00A9135C"/>
    <w:rsid w:val="00A94683"/>
    <w:rsid w:val="00A97788"/>
    <w:rsid w:val="00AB00A7"/>
    <w:rsid w:val="00AB173A"/>
    <w:rsid w:val="00AB1AF4"/>
    <w:rsid w:val="00AC4C3F"/>
    <w:rsid w:val="00AC6EC2"/>
    <w:rsid w:val="00AD0925"/>
    <w:rsid w:val="00AD10CC"/>
    <w:rsid w:val="00AD195C"/>
    <w:rsid w:val="00AD1A84"/>
    <w:rsid w:val="00AD45F0"/>
    <w:rsid w:val="00AD4BDD"/>
    <w:rsid w:val="00AE0450"/>
    <w:rsid w:val="00AE5623"/>
    <w:rsid w:val="00AE7603"/>
    <w:rsid w:val="00B030AC"/>
    <w:rsid w:val="00B030D1"/>
    <w:rsid w:val="00B125B7"/>
    <w:rsid w:val="00B1751F"/>
    <w:rsid w:val="00B351B4"/>
    <w:rsid w:val="00B35801"/>
    <w:rsid w:val="00B43B9A"/>
    <w:rsid w:val="00B456C5"/>
    <w:rsid w:val="00B45897"/>
    <w:rsid w:val="00B5559B"/>
    <w:rsid w:val="00B617B6"/>
    <w:rsid w:val="00B649BF"/>
    <w:rsid w:val="00B71F44"/>
    <w:rsid w:val="00B74E84"/>
    <w:rsid w:val="00B820AD"/>
    <w:rsid w:val="00B830F4"/>
    <w:rsid w:val="00B90392"/>
    <w:rsid w:val="00B92ADB"/>
    <w:rsid w:val="00B97946"/>
    <w:rsid w:val="00BB0356"/>
    <w:rsid w:val="00BD2083"/>
    <w:rsid w:val="00C01174"/>
    <w:rsid w:val="00C17FB7"/>
    <w:rsid w:val="00C27F99"/>
    <w:rsid w:val="00C406A5"/>
    <w:rsid w:val="00C4327E"/>
    <w:rsid w:val="00C44FDB"/>
    <w:rsid w:val="00C71926"/>
    <w:rsid w:val="00C75015"/>
    <w:rsid w:val="00C76C9C"/>
    <w:rsid w:val="00C76D18"/>
    <w:rsid w:val="00C84D23"/>
    <w:rsid w:val="00CA6E2D"/>
    <w:rsid w:val="00CA7335"/>
    <w:rsid w:val="00CB3148"/>
    <w:rsid w:val="00CB33C0"/>
    <w:rsid w:val="00CB4081"/>
    <w:rsid w:val="00CC1CBF"/>
    <w:rsid w:val="00CC35F6"/>
    <w:rsid w:val="00CD0940"/>
    <w:rsid w:val="00CD15C0"/>
    <w:rsid w:val="00CE1842"/>
    <w:rsid w:val="00CE2AA3"/>
    <w:rsid w:val="00CE74AA"/>
    <w:rsid w:val="00CE7C54"/>
    <w:rsid w:val="00CF017A"/>
    <w:rsid w:val="00CF54F5"/>
    <w:rsid w:val="00CF661B"/>
    <w:rsid w:val="00CF6F86"/>
    <w:rsid w:val="00D03A21"/>
    <w:rsid w:val="00D0619C"/>
    <w:rsid w:val="00D129A7"/>
    <w:rsid w:val="00D16226"/>
    <w:rsid w:val="00D20466"/>
    <w:rsid w:val="00D2173D"/>
    <w:rsid w:val="00D24162"/>
    <w:rsid w:val="00D27600"/>
    <w:rsid w:val="00D32AC4"/>
    <w:rsid w:val="00D32D34"/>
    <w:rsid w:val="00D45E9C"/>
    <w:rsid w:val="00D524D6"/>
    <w:rsid w:val="00D546FA"/>
    <w:rsid w:val="00D62E66"/>
    <w:rsid w:val="00D7073F"/>
    <w:rsid w:val="00D72A40"/>
    <w:rsid w:val="00D72AD3"/>
    <w:rsid w:val="00D7469D"/>
    <w:rsid w:val="00D913EF"/>
    <w:rsid w:val="00DB1532"/>
    <w:rsid w:val="00DB4CDC"/>
    <w:rsid w:val="00DC5A32"/>
    <w:rsid w:val="00DC60BF"/>
    <w:rsid w:val="00DD0E9E"/>
    <w:rsid w:val="00DD1769"/>
    <w:rsid w:val="00DD1F0B"/>
    <w:rsid w:val="00DD4647"/>
    <w:rsid w:val="00DD7563"/>
    <w:rsid w:val="00DE35D1"/>
    <w:rsid w:val="00DE73B5"/>
    <w:rsid w:val="00DF7F0D"/>
    <w:rsid w:val="00E002EC"/>
    <w:rsid w:val="00E01EFE"/>
    <w:rsid w:val="00E02FDE"/>
    <w:rsid w:val="00E04BC5"/>
    <w:rsid w:val="00E1460B"/>
    <w:rsid w:val="00E151CA"/>
    <w:rsid w:val="00E20BBB"/>
    <w:rsid w:val="00E25008"/>
    <w:rsid w:val="00E259A1"/>
    <w:rsid w:val="00E35BBE"/>
    <w:rsid w:val="00E450F5"/>
    <w:rsid w:val="00E5229F"/>
    <w:rsid w:val="00E57551"/>
    <w:rsid w:val="00E57ACB"/>
    <w:rsid w:val="00E72362"/>
    <w:rsid w:val="00E767D8"/>
    <w:rsid w:val="00E92EFA"/>
    <w:rsid w:val="00E965ED"/>
    <w:rsid w:val="00E968AF"/>
    <w:rsid w:val="00EA391E"/>
    <w:rsid w:val="00EB07BA"/>
    <w:rsid w:val="00EB0E3B"/>
    <w:rsid w:val="00EC10C7"/>
    <w:rsid w:val="00EC7379"/>
    <w:rsid w:val="00ED41E8"/>
    <w:rsid w:val="00ED4554"/>
    <w:rsid w:val="00EE6AA1"/>
    <w:rsid w:val="00EF15C2"/>
    <w:rsid w:val="00EF38B0"/>
    <w:rsid w:val="00F0160D"/>
    <w:rsid w:val="00F068B3"/>
    <w:rsid w:val="00F132BC"/>
    <w:rsid w:val="00F13867"/>
    <w:rsid w:val="00F20DA1"/>
    <w:rsid w:val="00F2174C"/>
    <w:rsid w:val="00F21DC4"/>
    <w:rsid w:val="00F222A1"/>
    <w:rsid w:val="00F24F57"/>
    <w:rsid w:val="00F25FB1"/>
    <w:rsid w:val="00F42826"/>
    <w:rsid w:val="00F63B5A"/>
    <w:rsid w:val="00F6528C"/>
    <w:rsid w:val="00F74775"/>
    <w:rsid w:val="00F811DD"/>
    <w:rsid w:val="00F83B08"/>
    <w:rsid w:val="00F93170"/>
    <w:rsid w:val="00FB119D"/>
    <w:rsid w:val="00FC24BF"/>
    <w:rsid w:val="00FC5D9F"/>
    <w:rsid w:val="00FD1D6B"/>
    <w:rsid w:val="00FD4293"/>
    <w:rsid w:val="00FF25AD"/>
    <w:rsid w:val="01301D27"/>
    <w:rsid w:val="01702E1D"/>
    <w:rsid w:val="02713F9D"/>
    <w:rsid w:val="02810328"/>
    <w:rsid w:val="02F68FEF"/>
    <w:rsid w:val="030A2F54"/>
    <w:rsid w:val="031E0028"/>
    <w:rsid w:val="037C46F9"/>
    <w:rsid w:val="03CEE7FF"/>
    <w:rsid w:val="0409977A"/>
    <w:rsid w:val="0465E496"/>
    <w:rsid w:val="04D4DE00"/>
    <w:rsid w:val="054DB230"/>
    <w:rsid w:val="064CDF63"/>
    <w:rsid w:val="07AC07A5"/>
    <w:rsid w:val="0835093A"/>
    <w:rsid w:val="08834587"/>
    <w:rsid w:val="09064D68"/>
    <w:rsid w:val="09BC7D33"/>
    <w:rsid w:val="09C1059E"/>
    <w:rsid w:val="09C30121"/>
    <w:rsid w:val="0B07774E"/>
    <w:rsid w:val="0B48B8D0"/>
    <w:rsid w:val="0BE795DE"/>
    <w:rsid w:val="0C150527"/>
    <w:rsid w:val="0C81D71B"/>
    <w:rsid w:val="0D24B94A"/>
    <w:rsid w:val="0D72C329"/>
    <w:rsid w:val="0FADEC3F"/>
    <w:rsid w:val="0FF94E99"/>
    <w:rsid w:val="107952A6"/>
    <w:rsid w:val="12918289"/>
    <w:rsid w:val="133B003A"/>
    <w:rsid w:val="1385FC4D"/>
    <w:rsid w:val="14586CA8"/>
    <w:rsid w:val="16E1DC1A"/>
    <w:rsid w:val="1B716856"/>
    <w:rsid w:val="1B768B08"/>
    <w:rsid w:val="1CF2D560"/>
    <w:rsid w:val="1D047F8F"/>
    <w:rsid w:val="1DC3DEDA"/>
    <w:rsid w:val="2070925E"/>
    <w:rsid w:val="20A84BF7"/>
    <w:rsid w:val="22295FEC"/>
    <w:rsid w:val="22CE91E2"/>
    <w:rsid w:val="230AB7BC"/>
    <w:rsid w:val="250FBC1C"/>
    <w:rsid w:val="263DB75D"/>
    <w:rsid w:val="2689826A"/>
    <w:rsid w:val="26F3ED76"/>
    <w:rsid w:val="273C8368"/>
    <w:rsid w:val="275170D2"/>
    <w:rsid w:val="2759E53A"/>
    <w:rsid w:val="2774FAC9"/>
    <w:rsid w:val="277CB4D8"/>
    <w:rsid w:val="27854A1C"/>
    <w:rsid w:val="288EDB05"/>
    <w:rsid w:val="288FC438"/>
    <w:rsid w:val="2B6B55C6"/>
    <w:rsid w:val="2C5B77EC"/>
    <w:rsid w:val="2C98A4C9"/>
    <w:rsid w:val="2D740AF9"/>
    <w:rsid w:val="2DF8CCFE"/>
    <w:rsid w:val="31CE6660"/>
    <w:rsid w:val="321E6B53"/>
    <w:rsid w:val="322D8B0F"/>
    <w:rsid w:val="32F01098"/>
    <w:rsid w:val="3488ABBF"/>
    <w:rsid w:val="34D9AC4C"/>
    <w:rsid w:val="35F1B3D0"/>
    <w:rsid w:val="3765D628"/>
    <w:rsid w:val="380F0F25"/>
    <w:rsid w:val="3866898E"/>
    <w:rsid w:val="3873E618"/>
    <w:rsid w:val="3898DED8"/>
    <w:rsid w:val="38C2203B"/>
    <w:rsid w:val="39143746"/>
    <w:rsid w:val="39B2FDCD"/>
    <w:rsid w:val="3A1D64BE"/>
    <w:rsid w:val="3B493E49"/>
    <w:rsid w:val="3C876C93"/>
    <w:rsid w:val="3D18D985"/>
    <w:rsid w:val="3D880941"/>
    <w:rsid w:val="3DCC07F2"/>
    <w:rsid w:val="3DD19438"/>
    <w:rsid w:val="3E377B31"/>
    <w:rsid w:val="3EDB450D"/>
    <w:rsid w:val="3F36D081"/>
    <w:rsid w:val="433BD45A"/>
    <w:rsid w:val="43ADE132"/>
    <w:rsid w:val="43AF104F"/>
    <w:rsid w:val="455AC586"/>
    <w:rsid w:val="459CBD6A"/>
    <w:rsid w:val="479F4247"/>
    <w:rsid w:val="495F5166"/>
    <w:rsid w:val="4B5BF39E"/>
    <w:rsid w:val="4C581C61"/>
    <w:rsid w:val="4D8AAD51"/>
    <w:rsid w:val="5013E41A"/>
    <w:rsid w:val="50385B3A"/>
    <w:rsid w:val="5079A610"/>
    <w:rsid w:val="50B9BB25"/>
    <w:rsid w:val="525CE15B"/>
    <w:rsid w:val="5454770C"/>
    <w:rsid w:val="5457025D"/>
    <w:rsid w:val="54918A3B"/>
    <w:rsid w:val="54AADD09"/>
    <w:rsid w:val="58119F1F"/>
    <w:rsid w:val="58D8604A"/>
    <w:rsid w:val="5A9B1C17"/>
    <w:rsid w:val="5B2C7FEC"/>
    <w:rsid w:val="5BA1806A"/>
    <w:rsid w:val="5BFE0A25"/>
    <w:rsid w:val="5D485844"/>
    <w:rsid w:val="5E19B68A"/>
    <w:rsid w:val="5F09CD48"/>
    <w:rsid w:val="5F1943C9"/>
    <w:rsid w:val="5F97D85C"/>
    <w:rsid w:val="624FC532"/>
    <w:rsid w:val="63696093"/>
    <w:rsid w:val="63CDD9AE"/>
    <w:rsid w:val="686155B6"/>
    <w:rsid w:val="69ABFEC1"/>
    <w:rsid w:val="69BE9051"/>
    <w:rsid w:val="6A5A0205"/>
    <w:rsid w:val="6A96A8E5"/>
    <w:rsid w:val="6AE2B56A"/>
    <w:rsid w:val="6E1CFC4B"/>
    <w:rsid w:val="6F76CF13"/>
    <w:rsid w:val="6FAB3473"/>
    <w:rsid w:val="70067746"/>
    <w:rsid w:val="70F12D27"/>
    <w:rsid w:val="717F2773"/>
    <w:rsid w:val="71A0272E"/>
    <w:rsid w:val="729A7987"/>
    <w:rsid w:val="7335141D"/>
    <w:rsid w:val="73A5F56F"/>
    <w:rsid w:val="73BAA248"/>
    <w:rsid w:val="749DE70E"/>
    <w:rsid w:val="75BBC12A"/>
    <w:rsid w:val="766D4BA3"/>
    <w:rsid w:val="774DF3E5"/>
    <w:rsid w:val="7894408D"/>
    <w:rsid w:val="7AC2F666"/>
    <w:rsid w:val="7B091E1E"/>
    <w:rsid w:val="7CB2394A"/>
    <w:rsid w:val="7E482181"/>
    <w:rsid w:val="7EA753A5"/>
    <w:rsid w:val="7EFFC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7ED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sid w:val="00447495"/>
    <w:rPr>
      <w:b/>
      <w:bCs/>
      <w:sz w:val="20"/>
      <w:szCs w:val="20"/>
    </w:rPr>
  </w:style>
  <w:style w:type="paragraph" w:styleId="TableofFigures">
    <w:name w:val="table of figures"/>
    <w:basedOn w:val="Normal"/>
    <w:next w:val="Normal"/>
    <w:rsid w:val="00447495"/>
  </w:style>
  <w:style w:type="paragraph" w:styleId="ListNumber">
    <w:name w:val="List Number"/>
    <w:basedOn w:val="Normal"/>
    <w:rsid w:val="003D5DF6"/>
    <w:pPr>
      <w:numPr>
        <w:numId w:val="1"/>
      </w:numPr>
      <w:contextualSpacing/>
    </w:pPr>
  </w:style>
  <w:style w:type="paragraph" w:styleId="ListNumber2">
    <w:name w:val="List Number 2"/>
    <w:basedOn w:val="Normal"/>
    <w:rsid w:val="003D5DF6"/>
    <w:pPr>
      <w:numPr>
        <w:numId w:val="2"/>
      </w:numPr>
      <w:contextualSpacing/>
    </w:pPr>
  </w:style>
  <w:style w:type="paragraph" w:styleId="ListNumber3">
    <w:name w:val="List Number 3"/>
    <w:basedOn w:val="Normal"/>
    <w:rsid w:val="003D5DF6"/>
    <w:pPr>
      <w:numPr>
        <w:numId w:val="3"/>
      </w:numPr>
      <w:contextualSpacing/>
    </w:pPr>
  </w:style>
  <w:style w:type="paragraph" w:styleId="ListNumber4">
    <w:name w:val="List Number 4"/>
    <w:basedOn w:val="Normal"/>
    <w:rsid w:val="003D5DF6"/>
    <w:pPr>
      <w:numPr>
        <w:numId w:val="4"/>
      </w:numPr>
      <w:contextualSpacing/>
    </w:pPr>
  </w:style>
  <w:style w:type="paragraph" w:styleId="ListBullet">
    <w:name w:val="List Bullet"/>
    <w:basedOn w:val="Normal"/>
    <w:rsid w:val="003D5DF6"/>
    <w:pPr>
      <w:numPr>
        <w:numId w:val="5"/>
      </w:numPr>
      <w:contextualSpacing/>
    </w:pPr>
  </w:style>
  <w:style w:type="paragraph" w:styleId="ListBullet2">
    <w:name w:val="List Bullet 2"/>
    <w:basedOn w:val="Normal"/>
    <w:rsid w:val="003D5DF6"/>
    <w:pPr>
      <w:numPr>
        <w:numId w:val="6"/>
      </w:numPr>
      <w:contextualSpacing/>
    </w:pPr>
  </w:style>
  <w:style w:type="paragraph" w:styleId="ListBullet3">
    <w:name w:val="List Bullet 3"/>
    <w:basedOn w:val="Normal"/>
    <w:rsid w:val="003D5DF6"/>
    <w:pPr>
      <w:numPr>
        <w:numId w:val="7"/>
      </w:numPr>
      <w:contextualSpacing/>
    </w:pPr>
  </w:style>
  <w:style w:type="paragraph" w:styleId="ListBullet4">
    <w:name w:val="List Bullet 4"/>
    <w:basedOn w:val="Normal"/>
    <w:rsid w:val="003D5DF6"/>
    <w:pPr>
      <w:numPr>
        <w:numId w:val="8"/>
      </w:numPr>
      <w:contextualSpacing/>
    </w:pPr>
  </w:style>
  <w:style w:type="character" w:styleId="CommentReference">
    <w:name w:val="annotation reference"/>
    <w:rsid w:val="003E3594"/>
    <w:rPr>
      <w:sz w:val="16"/>
      <w:szCs w:val="16"/>
    </w:rPr>
  </w:style>
  <w:style w:type="paragraph" w:styleId="CommentText">
    <w:name w:val="annotation text"/>
    <w:basedOn w:val="Normal"/>
    <w:link w:val="CommentTextChar"/>
    <w:rsid w:val="003E3594"/>
    <w:rPr>
      <w:sz w:val="20"/>
      <w:szCs w:val="20"/>
    </w:rPr>
  </w:style>
  <w:style w:type="character" w:customStyle="1" w:styleId="CommentTextChar">
    <w:name w:val="Comment Text Char"/>
    <w:link w:val="CommentText"/>
    <w:rsid w:val="003E3594"/>
    <w:rPr>
      <w:lang w:eastAsia="en-US"/>
    </w:rPr>
  </w:style>
  <w:style w:type="paragraph" w:styleId="CommentSubject">
    <w:name w:val="annotation subject"/>
    <w:basedOn w:val="CommentText"/>
    <w:next w:val="CommentText"/>
    <w:link w:val="CommentSubjectChar"/>
    <w:rsid w:val="003E3594"/>
    <w:rPr>
      <w:b/>
      <w:bCs/>
    </w:rPr>
  </w:style>
  <w:style w:type="character" w:customStyle="1" w:styleId="CommentSubjectChar">
    <w:name w:val="Comment Subject Char"/>
    <w:link w:val="CommentSubject"/>
    <w:rsid w:val="003E3594"/>
    <w:rPr>
      <w:b/>
      <w:bCs/>
      <w:lang w:eastAsia="en-US"/>
    </w:rPr>
  </w:style>
  <w:style w:type="character" w:styleId="Hyperlink">
    <w:name w:val="Hyperlink"/>
    <w:rsid w:val="003E3594"/>
    <w:rPr>
      <w:color w:val="0000FF"/>
      <w:u w:val="single"/>
    </w:rPr>
  </w:style>
  <w:style w:type="paragraph" w:styleId="BalloonText">
    <w:name w:val="Balloon Text"/>
    <w:basedOn w:val="Normal"/>
    <w:link w:val="BalloonTextChar"/>
    <w:rsid w:val="003E3594"/>
    <w:pPr>
      <w:spacing w:before="0" w:after="0"/>
    </w:pPr>
    <w:rPr>
      <w:rFonts w:ascii="Tahoma" w:hAnsi="Tahoma" w:cs="Tahoma"/>
      <w:sz w:val="16"/>
      <w:szCs w:val="16"/>
    </w:rPr>
  </w:style>
  <w:style w:type="character" w:customStyle="1" w:styleId="BalloonTextChar">
    <w:name w:val="Balloon Text Char"/>
    <w:link w:val="BalloonText"/>
    <w:rsid w:val="003E3594"/>
    <w:rPr>
      <w:rFonts w:ascii="Tahoma" w:hAnsi="Tahoma" w:cs="Tahoma"/>
      <w:sz w:val="16"/>
      <w:szCs w:val="16"/>
      <w:lang w:eastAsia="en-US"/>
    </w:rPr>
  </w:style>
  <w:style w:type="paragraph" w:customStyle="1" w:styleId="Sous-titreobjet">
    <w:name w:val="Sous-titre objet"/>
    <w:basedOn w:val="Normal"/>
    <w:rsid w:val="007D53B6"/>
    <w:pPr>
      <w:spacing w:before="0" w:after="0"/>
      <w:jc w:val="center"/>
    </w:pPr>
    <w:rPr>
      <w:b/>
    </w:rPr>
  </w:style>
  <w:style w:type="paragraph" w:customStyle="1" w:styleId="Sous-titreobjetPagedecouverture">
    <w:name w:val="Sous-titre objet (Page de couverture)"/>
    <w:basedOn w:val="Sous-titreobjet"/>
    <w:rsid w:val="007D53B6"/>
  </w:style>
  <w:style w:type="paragraph" w:styleId="Revision">
    <w:name w:val="Revision"/>
    <w:hidden/>
    <w:uiPriority w:val="99"/>
    <w:semiHidden/>
    <w:rsid w:val="008C583E"/>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E5229F"/>
    <w:rPr>
      <w:color w:val="605E5C"/>
      <w:shd w:val="clear" w:color="auto" w:fill="E1DFDD"/>
    </w:rPr>
  </w:style>
  <w:style w:type="character" w:customStyle="1" w:styleId="HeaderChar">
    <w:name w:val="Header Char"/>
    <w:basedOn w:val="DefaultParagraphFont"/>
    <w:link w:val="Header"/>
    <w:uiPriority w:val="99"/>
    <w:rsid w:val="00B351B4"/>
    <w:rPr>
      <w:rFonts w:ascii="Times New Roman" w:hAnsi="Times New Roman" w:cs="Times New Roman"/>
      <w:sz w:val="24"/>
      <w:lang w:val="fi-FI"/>
    </w:rPr>
  </w:style>
  <w:style w:type="character" w:customStyle="1" w:styleId="FooterChar">
    <w:name w:val="Footer Char"/>
    <w:basedOn w:val="DefaultParagraphFont"/>
    <w:link w:val="Footer"/>
    <w:uiPriority w:val="99"/>
    <w:rsid w:val="00B351B4"/>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351B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351B4"/>
    <w:pPr>
      <w:spacing w:before="0"/>
      <w:jc w:val="right"/>
    </w:pPr>
    <w:rPr>
      <w:sz w:val="28"/>
    </w:rPr>
  </w:style>
  <w:style w:type="paragraph" w:customStyle="1" w:styleId="FooterSensitivity">
    <w:name w:val="Footer Sensitivity"/>
    <w:basedOn w:val="Normal"/>
    <w:rsid w:val="00B351B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B351B4"/>
    <w:pPr>
      <w:tabs>
        <w:tab w:val="center" w:pos="4535"/>
        <w:tab w:val="right" w:pos="9071"/>
      </w:tabs>
      <w:spacing w:before="0"/>
    </w:pPr>
  </w:style>
  <w:style w:type="paragraph" w:customStyle="1" w:styleId="HeaderLandscape">
    <w:name w:val="HeaderLandscape"/>
    <w:basedOn w:val="Normal"/>
    <w:rsid w:val="00B351B4"/>
    <w:pPr>
      <w:tabs>
        <w:tab w:val="center" w:pos="7285"/>
        <w:tab w:val="right" w:pos="14003"/>
      </w:tabs>
      <w:spacing w:before="0"/>
    </w:pPr>
  </w:style>
  <w:style w:type="paragraph" w:styleId="Footer">
    <w:name w:val="footer"/>
    <w:basedOn w:val="Normal"/>
    <w:link w:val="FooterChar"/>
    <w:uiPriority w:val="99"/>
    <w:unhideWhenUsed/>
    <w:rsid w:val="00B351B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B351B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469E0-0C2B-4020-A4DC-ACB1C0F62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5</Pages>
  <Words>930</Words>
  <Characters>4672</Characters>
  <Application>Microsoft Office Word</Application>
  <DocSecurity>0</DocSecurity>
  <Lines>99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2025-06-23T13:49:00Z</dcterms:created>
  <dcterms:modified xsi:type="dcterms:W3CDTF">2025-06-27T13:01:00Z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2025-06-19T12:26:44Z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d8bebbf7-21e1-4c7f-8cbf-f5f16f1cc9bd</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9.1, Build 20240808</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SJ-016</vt:lpwstr>
  </property>
  <property fmtid="{D5CDD505-2E9C-101B-9397-08002B2CF9AE}" pid="15" name="DQCStatus">
    <vt:lpwstr>Yellow (DQC version 03)</vt:lpwstr>
  </property>
</Properties>
</file>