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14B" w:rsidRPr="001E5C79" w:rsidRDefault="00C4369A" w:rsidP="00C4369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59920B4-960B-439F-B566-3EA89A252682" style="width:455.25pt;height:355.5pt">
            <v:imagedata r:id="rId10" o:title=""/>
          </v:shape>
        </w:pict>
      </w:r>
    </w:p>
    <w:p w:rsidR="001B0304" w:rsidRPr="001E5C79" w:rsidRDefault="001B0304" w:rsidP="001B0304">
      <w:pPr>
        <w:rPr>
          <w:noProof/>
        </w:rPr>
        <w:sectPr w:rsidR="001B0304" w:rsidRPr="001E5C79" w:rsidSect="00C4369A">
          <w:footerReference w:type="even" r:id="rId11"/>
          <w:footerReference w:type="default" r:id="rId12"/>
          <w:pgSz w:w="11907" w:h="16839"/>
          <w:pgMar w:top="1134" w:right="1417" w:bottom="1134" w:left="1417" w:header="709" w:footer="709" w:gutter="0"/>
          <w:pgNumType w:start="0"/>
          <w:cols w:space="720"/>
          <w:docGrid w:linePitch="360"/>
        </w:sectPr>
      </w:pPr>
    </w:p>
    <w:p w:rsidR="0085414B" w:rsidRPr="001E5C79" w:rsidRDefault="0085414B" w:rsidP="00A147AC">
      <w:pPr>
        <w:pStyle w:val="Exposdesmotifstitre"/>
        <w:rPr>
          <w:noProof/>
        </w:rPr>
      </w:pPr>
      <w:bookmarkStart w:id="0" w:name="_GoBack"/>
      <w:bookmarkEnd w:id="0"/>
      <w:r w:rsidRPr="001E5C79">
        <w:rPr>
          <w:noProof/>
        </w:rPr>
        <w:lastRenderedPageBreak/>
        <w:t>PERUSTELUT</w:t>
      </w:r>
    </w:p>
    <w:p w:rsidR="0085414B" w:rsidRPr="001E5C79" w:rsidRDefault="0085414B" w:rsidP="00A147AC">
      <w:pPr>
        <w:pStyle w:val="ManualHeading1"/>
        <w:rPr>
          <w:noProof/>
        </w:rPr>
      </w:pPr>
      <w:r w:rsidRPr="001E5C79">
        <w:rPr>
          <w:noProof/>
        </w:rPr>
        <w:t>1.</w:t>
      </w:r>
      <w:r w:rsidRPr="001E5C79">
        <w:rPr>
          <w:noProof/>
        </w:rPr>
        <w:tab/>
        <w:t>EHDOTUKSEN TAUSTA</w:t>
      </w:r>
    </w:p>
    <w:p w:rsidR="00163B5D" w:rsidRPr="001E5C79" w:rsidRDefault="00163B5D" w:rsidP="00163B5D">
      <w:pPr>
        <w:pStyle w:val="ManualHeading2"/>
        <w:rPr>
          <w:noProof/>
        </w:rPr>
      </w:pPr>
      <w:bookmarkStart w:id="1" w:name="_Hlk101503899"/>
      <w:r w:rsidRPr="001E5C79">
        <w:rPr>
          <w:noProof/>
        </w:rPr>
        <w:t>•</w:t>
      </w:r>
      <w:r w:rsidRPr="001E5C79">
        <w:rPr>
          <w:noProof/>
        </w:rPr>
        <w:tab/>
        <w:t>Ehdotuksen perustelut ja tavoitteet</w:t>
      </w:r>
    </w:p>
    <w:p w:rsidR="00884969" w:rsidRPr="001E5C79" w:rsidRDefault="694E4328" w:rsidP="3B63E65D">
      <w:pPr>
        <w:pBdr>
          <w:top w:val="nil"/>
          <w:left w:val="nil"/>
          <w:bottom w:val="nil"/>
          <w:right w:val="nil"/>
          <w:between w:val="nil"/>
          <w:bar w:val="nil"/>
        </w:pBdr>
        <w:spacing w:before="0" w:after="240"/>
        <w:rPr>
          <w:noProof/>
        </w:rPr>
      </w:pPr>
      <w:r w:rsidRPr="001E5C79">
        <w:rPr>
          <w:noProof/>
        </w:rPr>
        <w:t>Venäjän provosoimattomalla ja perusteettomalla täysimittaisella sotilaallisella hyökkäyksellä Ukrainaan on 24. helmikuuta 2022 lähtien ollut erittäin kielteinen vaikutus Ukrainan kykyyn käydä kauppaa muun maailman kanssa. Tässä vaikeassa tilanteessa Eurooppa-neuvosto korosti 27. lokakuuta 2023 ja 15. joulukuuta 2023 antamissaan päätelmissä (jotka se vahvisti 19. joulukuuta 2024), että se jatkaa vahvaa poliittista ja taloudellista tukeaan Ukrainalle niin kauan kuin se on tarpeen.</w:t>
      </w:r>
    </w:p>
    <w:p w:rsidR="00F828E9" w:rsidRPr="001E5C79" w:rsidRDefault="694E4328" w:rsidP="3B63E65D">
      <w:pPr>
        <w:pBdr>
          <w:top w:val="nil"/>
          <w:left w:val="nil"/>
          <w:bottom w:val="nil"/>
          <w:right w:val="nil"/>
          <w:between w:val="nil"/>
          <w:bar w:val="nil"/>
        </w:pBdr>
        <w:spacing w:before="0" w:after="240"/>
        <w:rPr>
          <w:noProof/>
        </w:rPr>
      </w:pPr>
      <w:r w:rsidRPr="001E5C79">
        <w:rPr>
          <w:noProof/>
        </w:rPr>
        <w:t>Ukraina on pyytänyt, että unioni auttaisi mahdollisuuksien mukaan Ukrainaa säilyttämään maailmanlaajuisen kauppa-asemansa ja syventämään kauppasuhteitaan unioniin. Tähän tähdättiin muun muassa vapauttamalla Ukrainan viennin pääsyä markkinoille 30. toukokuuta 2022 annetulla Euroopan parlamentin ja neuvoston asetuksella (EU) 2022/870</w:t>
      </w:r>
      <w:r w:rsidR="00F828E9" w:rsidRPr="001E5C79">
        <w:rPr>
          <w:rStyle w:val="FootnoteReference"/>
          <w:noProof/>
        </w:rPr>
        <w:footnoteReference w:id="2"/>
      </w:r>
      <w:r w:rsidRPr="001E5C79">
        <w:rPr>
          <w:noProof/>
        </w:rPr>
        <w:t xml:space="preserve"> ja EU:n ja Ukrainan välisen assosiaatiosopimuksen mukaisesti ukrainalaisiin tuotteisiin sovellettavia kaupan myönnytyksiä täydentävistä väliaikaisista kauppaa vapauttavista toimenpiteistä 31. toukokuuta 2023 annetulla Euroopan parlamentin ja neuvoston asetuksella (EU) 2023/1077</w:t>
      </w:r>
      <w:r w:rsidR="00F828E9" w:rsidRPr="001E5C79">
        <w:rPr>
          <w:rStyle w:val="FootnoteReference"/>
          <w:noProof/>
        </w:rPr>
        <w:footnoteReference w:id="3"/>
      </w:r>
      <w:r w:rsidRPr="001E5C79">
        <w:rPr>
          <w:noProof/>
        </w:rPr>
        <w:t>. Asetus (EU) 2024/1392</w:t>
      </w:r>
      <w:r w:rsidR="00F828E9" w:rsidRPr="001E5C79">
        <w:rPr>
          <w:rStyle w:val="FootnoteReference"/>
          <w:noProof/>
        </w:rPr>
        <w:footnoteReference w:id="4"/>
      </w:r>
      <w:r w:rsidRPr="001E5C79">
        <w:rPr>
          <w:noProof/>
        </w:rPr>
        <w:t xml:space="preserve"> tuli voimaan 6. kesäkuuta 2024, ja sitä sovelletaan 5. kesäkuuta 2025 asti. Näillä toimenpiteillä on lisätty joustavuutta ja varmuutta ukrainalaisten tuottajien kannalta. </w:t>
      </w:r>
    </w:p>
    <w:p w:rsidR="00F828E9" w:rsidRPr="001E5C79" w:rsidRDefault="00F828E9" w:rsidP="00B81B54">
      <w:pPr>
        <w:rPr>
          <w:noProof/>
        </w:rPr>
      </w:pPr>
      <w:r w:rsidRPr="001E5C79">
        <w:rPr>
          <w:noProof/>
        </w:rPr>
        <w:t>Ukraina on edelleen merkittävä raudan ja teräksen viejä huolimatta siitä, että sota on johtanut monien tuotantolaitosten tuhoutumiseen tai miehittämiseen. Sen vuoksi on edelleen tarpeen jatkaa tuontiin sovellettavasta yhteisestä järjestelmästä annetun asetuksen (EU) 2015/478</w:t>
      </w:r>
      <w:r w:rsidR="00886316" w:rsidRPr="001E5C79">
        <w:rPr>
          <w:rStyle w:val="FootnoteReference"/>
          <w:noProof/>
        </w:rPr>
        <w:footnoteReference w:id="5"/>
      </w:r>
      <w:r w:rsidRPr="001E5C79">
        <w:rPr>
          <w:noProof/>
        </w:rPr>
        <w:t xml:space="preserve"> soveltamisen keskeyttämistä. Soveltamisen keskeyttäminen on ja olisi edelleen oikeusperusta unionin nykyisen terästuotteita koskevan suojatoimenpiteen (tällaiseen Ukrainasta tulevaan tuontiin nähden) soveltamisen keskeyttämiselle osana unionin tukea. </w:t>
      </w:r>
    </w:p>
    <w:p w:rsidR="3B63E65D" w:rsidRPr="001E5C79" w:rsidRDefault="5893E3F4" w:rsidP="3B63E65D">
      <w:pPr>
        <w:pBdr>
          <w:top w:val="nil"/>
          <w:left w:val="nil"/>
          <w:bottom w:val="nil"/>
          <w:right w:val="nil"/>
          <w:between w:val="nil"/>
          <w:bar w:val="nil"/>
        </w:pBdr>
        <w:spacing w:before="0" w:after="240"/>
        <w:rPr>
          <w:noProof/>
        </w:rPr>
      </w:pPr>
      <w:r w:rsidRPr="001E5C79">
        <w:rPr>
          <w:noProof/>
        </w:rPr>
        <w:t xml:space="preserve">Tätä varten on tarpeen keskeyttää yhteisestä järjestelmästä annetun asetuksen (EU) 2015/478 </w:t>
      </w:r>
      <w:bookmarkStart w:id="2" w:name="_Hlk188452421"/>
      <w:r w:rsidRPr="001E5C79">
        <w:rPr>
          <w:noProof/>
        </w:rPr>
        <w:t>2, 4–7, 9–17 ja 19–21 artiklan</w:t>
      </w:r>
      <w:bookmarkEnd w:id="2"/>
      <w:r w:rsidRPr="001E5C79">
        <w:rPr>
          <w:noProof/>
        </w:rPr>
        <w:t xml:space="preserve"> soveltaminen Ukrainasta tulevaan tuontiin.</w:t>
      </w:r>
    </w:p>
    <w:p w:rsidR="00163B5D" w:rsidRPr="001E5C79" w:rsidRDefault="694E4328" w:rsidP="3B63E65D">
      <w:pPr>
        <w:pBdr>
          <w:top w:val="nil"/>
          <w:left w:val="nil"/>
          <w:bottom w:val="nil"/>
          <w:right w:val="nil"/>
          <w:between w:val="nil"/>
          <w:bar w:val="nil"/>
        </w:pBdr>
        <w:spacing w:before="0" w:after="240"/>
        <w:rPr>
          <w:noProof/>
        </w:rPr>
      </w:pPr>
      <w:r w:rsidRPr="001E5C79">
        <w:rPr>
          <w:noProof/>
        </w:rPr>
        <w:t xml:space="preserve">Koska Ukrainan taloudellista tukemista on näistä syistä jatkettava, komissio ehdottaa Euroopan parlamentin ja neuvoston asetusta, jolla keskeytetään tuontiin sovellettavasta yhteisestä järjestelmästä annetun asetuksen (EU) 2015/478 2, 4–7, 9–17 ja 19–21 artiklan soveltaminen Ukrainasta peräisin olevaan tuontiin. </w:t>
      </w:r>
    </w:p>
    <w:p w:rsidR="00163B5D" w:rsidRPr="001E5C79" w:rsidRDefault="00163B5D" w:rsidP="00163B5D">
      <w:pPr>
        <w:pStyle w:val="ManualHeading2"/>
        <w:rPr>
          <w:noProof/>
        </w:rPr>
      </w:pPr>
      <w:r w:rsidRPr="001E5C79">
        <w:rPr>
          <w:noProof/>
        </w:rPr>
        <w:t>•</w:t>
      </w:r>
      <w:r w:rsidRPr="001E5C79">
        <w:rPr>
          <w:noProof/>
        </w:rPr>
        <w:tab/>
        <w:t>Yhdenmukaisuus muiden alaa koskevien politiikkojen säännösten kanssa</w:t>
      </w:r>
    </w:p>
    <w:p w:rsidR="00163B5D" w:rsidRPr="001E5C79" w:rsidRDefault="00163B5D" w:rsidP="3B63E65D">
      <w:pPr>
        <w:pBdr>
          <w:top w:val="nil"/>
          <w:left w:val="nil"/>
          <w:bottom w:val="nil"/>
          <w:right w:val="nil"/>
          <w:between w:val="nil"/>
          <w:bar w:val="nil"/>
        </w:pBdr>
        <w:spacing w:before="0" w:after="240"/>
        <w:rPr>
          <w:noProof/>
        </w:rPr>
      </w:pPr>
      <w:r w:rsidRPr="001E5C79">
        <w:rPr>
          <w:noProof/>
        </w:rPr>
        <w:t>Tuontiin sovellettavasta yhteisestä järjestelmästä annetun asetuksen (EU) 2015/478 soveltamisen keskeyttäminen olisi linjassa sen kanssa, että EU on vahvasti sitoutunut tukemaan Ukrainaa kansainvälisen kaupan avulla Venäjän käydessä hyökkäyssotaa Ukrainaa vastaan.</w:t>
      </w:r>
    </w:p>
    <w:p w:rsidR="00163B5D" w:rsidRPr="001E5C79" w:rsidRDefault="00163B5D" w:rsidP="00163B5D">
      <w:pPr>
        <w:pStyle w:val="ManualHeading2"/>
        <w:rPr>
          <w:noProof/>
        </w:rPr>
      </w:pPr>
      <w:r w:rsidRPr="001E5C79">
        <w:rPr>
          <w:noProof/>
        </w:rPr>
        <w:t>•</w:t>
      </w:r>
      <w:r w:rsidRPr="001E5C79">
        <w:rPr>
          <w:noProof/>
        </w:rPr>
        <w:tab/>
        <w:t>Yhdenmukaisuus unionin muiden politiikkojen kanssa</w:t>
      </w:r>
    </w:p>
    <w:p w:rsidR="00886316" w:rsidRPr="001E5C79" w:rsidRDefault="00163B5D" w:rsidP="00163B5D">
      <w:pPr>
        <w:pBdr>
          <w:top w:val="nil"/>
          <w:left w:val="nil"/>
          <w:bottom w:val="nil"/>
          <w:right w:val="nil"/>
          <w:between w:val="nil"/>
          <w:bar w:val="nil"/>
        </w:pBdr>
        <w:spacing w:before="0" w:after="240"/>
        <w:rPr>
          <w:noProof/>
        </w:rPr>
      </w:pPr>
      <w:r w:rsidRPr="001E5C79">
        <w:rPr>
          <w:noProof/>
        </w:rPr>
        <w:t>Unioni on tuominnut jyrkästi Venäjän hyökkäyssodan Ukrainaa vastaan ja toteuttanut ennennäkemättömiä toimia Ukrainan tukemiseksi tässä poikkeuksellisessa tilanteessa. Näitä toimia ovat muiden muassa rahoitusapu (mukaan lukien makrotaloudellinen rahoitusapu hätätoimenpiteitä ja jälleenrakennusta varten), puolustustarvikkeiden toimittaminen, laajat pakotteet Venäjää ja Valko-Venäjää vastaan ja assosiaatiosopimuksen mukaisen yhteistyön tiivistäminen. Lisäksi Ukrainalle myönnettiin EU:n ehdokasmaan asema kesäkuussa 2022, ja liittymisneuvottelut aloitettiin joulukuussa 2023.</w:t>
      </w:r>
    </w:p>
    <w:p w:rsidR="00163B5D" w:rsidRPr="001E5C79" w:rsidRDefault="00163B5D" w:rsidP="00163B5D">
      <w:pPr>
        <w:pBdr>
          <w:top w:val="nil"/>
          <w:left w:val="nil"/>
          <w:bottom w:val="nil"/>
          <w:right w:val="nil"/>
          <w:between w:val="nil"/>
          <w:bar w:val="nil"/>
        </w:pBdr>
        <w:spacing w:before="0" w:after="240"/>
        <w:rPr>
          <w:noProof/>
        </w:rPr>
      </w:pPr>
      <w:r w:rsidRPr="001E5C79">
        <w:rPr>
          <w:noProof/>
        </w:rPr>
        <w:t>Asetusehdotuksessa noudatettaisiin näin ollen Euroopan unionista tehdyn sopimuksen (SEU) 21 artiklan 3 kohdan mukaista unionin velvoitetta huolehtia johdonmukaisuudesta ulkoisen toimintansa eri alojen välillä ja noudattaa tätä velvoitetta. Se olisi myös Euroopan unionin toiminnasta tehdyn sopimuksen (SEUT) 207 artiklan 1 kohdan mukainen. Kyseisessä kohdassa edellytetään, että yhteistä kauppapolitiikkaa harjoitetaan unionin ulkoista toimintaa koskevien periaatteiden ja tavoitteiden mukaisesti.</w:t>
      </w:r>
    </w:p>
    <w:p w:rsidR="00163B5D" w:rsidRPr="001E5C79" w:rsidRDefault="00163B5D" w:rsidP="00163B5D">
      <w:pPr>
        <w:pStyle w:val="ManualHeading1"/>
        <w:rPr>
          <w:noProof/>
        </w:rPr>
      </w:pPr>
      <w:r w:rsidRPr="001E5C79">
        <w:rPr>
          <w:noProof/>
        </w:rPr>
        <w:t>2.</w:t>
      </w:r>
      <w:r w:rsidRPr="001E5C79">
        <w:rPr>
          <w:noProof/>
        </w:rPr>
        <w:tab/>
        <w:t>OIKEUSPERUSTA, TOISSIJAISUUSPERIAATE JA SUHTEELLISUUSPERIAATE</w:t>
      </w:r>
    </w:p>
    <w:p w:rsidR="00163B5D" w:rsidRPr="001E5C79" w:rsidRDefault="00163B5D" w:rsidP="00163B5D">
      <w:pPr>
        <w:pStyle w:val="ManualHeading2"/>
        <w:rPr>
          <w:noProof/>
        </w:rPr>
      </w:pPr>
      <w:r w:rsidRPr="001E5C79">
        <w:rPr>
          <w:noProof/>
        </w:rPr>
        <w:t>•</w:t>
      </w:r>
      <w:r w:rsidRPr="001E5C79">
        <w:rPr>
          <w:noProof/>
        </w:rPr>
        <w:tab/>
        <w:t>Oikeusperusta</w:t>
      </w:r>
    </w:p>
    <w:p w:rsidR="00163B5D" w:rsidRPr="001E5C79" w:rsidRDefault="00163B5D" w:rsidP="00163B5D">
      <w:pPr>
        <w:rPr>
          <w:noProof/>
        </w:rPr>
      </w:pPr>
      <w:r w:rsidRPr="001E5C79">
        <w:rPr>
          <w:noProof/>
        </w:rPr>
        <w:t>Ehdotuksen oikeusperustana on SEUT-sopimuksen 207 artiklan 2 kohta.</w:t>
      </w:r>
    </w:p>
    <w:p w:rsidR="00163B5D" w:rsidRPr="001E5C79" w:rsidRDefault="00163B5D" w:rsidP="00163B5D">
      <w:pPr>
        <w:pStyle w:val="ManualHeading2"/>
        <w:rPr>
          <w:noProof/>
        </w:rPr>
      </w:pPr>
      <w:r w:rsidRPr="001E5C79">
        <w:rPr>
          <w:noProof/>
        </w:rPr>
        <w:t>•</w:t>
      </w:r>
      <w:r w:rsidRPr="001E5C79">
        <w:rPr>
          <w:noProof/>
        </w:rPr>
        <w:tab/>
        <w:t xml:space="preserve">Toissijaisuusperiaate (jaetun toimivallan osalta) </w:t>
      </w:r>
    </w:p>
    <w:p w:rsidR="00163B5D" w:rsidRPr="001E5C79" w:rsidRDefault="0023583F" w:rsidP="00163B5D">
      <w:pPr>
        <w:rPr>
          <w:noProof/>
        </w:rPr>
      </w:pPr>
      <w:r w:rsidRPr="001E5C79">
        <w:rPr>
          <w:noProof/>
        </w:rPr>
        <w:t>Toissijaisuusperiaatetta ei sovelleta, koska SEUT-sopimuksen 3 artiklan 1 kohdan e alakohdan mukaan yhteinen kauppapolitiikka kuuluu unionin yksinomaiseen toimivaltaan.</w:t>
      </w:r>
    </w:p>
    <w:p w:rsidR="00163B5D" w:rsidRPr="001E5C79" w:rsidRDefault="00163B5D" w:rsidP="00163B5D">
      <w:pPr>
        <w:pStyle w:val="ManualHeading2"/>
        <w:rPr>
          <w:noProof/>
        </w:rPr>
      </w:pPr>
      <w:r w:rsidRPr="001E5C79">
        <w:rPr>
          <w:noProof/>
        </w:rPr>
        <w:t>•</w:t>
      </w:r>
      <w:r w:rsidRPr="001E5C79">
        <w:rPr>
          <w:noProof/>
        </w:rPr>
        <w:tab/>
        <w:t>Suhteellisuusperiaate</w:t>
      </w:r>
    </w:p>
    <w:p w:rsidR="00163B5D" w:rsidRPr="001E5C79" w:rsidRDefault="00163B5D" w:rsidP="00163B5D">
      <w:pPr>
        <w:rPr>
          <w:noProof/>
        </w:rPr>
      </w:pPr>
      <w:r w:rsidRPr="001E5C79">
        <w:rPr>
          <w:noProof/>
        </w:rPr>
        <w:t>Tämä ehdotus on tarpeen, jotta voidaan saavuttaa tavoite, jonka mukaan Ukrainaa tuetaan taloudellisesti sen nykyisissä vaikeuksissa, myös unionin kanssa käytävän kaupan alalla.</w:t>
      </w:r>
    </w:p>
    <w:p w:rsidR="00163B5D" w:rsidRPr="001E5C79" w:rsidRDefault="00163B5D" w:rsidP="00163B5D">
      <w:pPr>
        <w:pStyle w:val="ManualHeading2"/>
        <w:rPr>
          <w:noProof/>
        </w:rPr>
      </w:pPr>
      <w:r w:rsidRPr="001E5C79">
        <w:rPr>
          <w:noProof/>
        </w:rPr>
        <w:t>•</w:t>
      </w:r>
      <w:r w:rsidRPr="001E5C79">
        <w:rPr>
          <w:noProof/>
        </w:rPr>
        <w:tab/>
        <w:t>Toimintatavan valinta</w:t>
      </w:r>
    </w:p>
    <w:p w:rsidR="00163B5D" w:rsidRPr="001E5C79" w:rsidRDefault="00163B5D" w:rsidP="00163B5D">
      <w:pPr>
        <w:rPr>
          <w:noProof/>
        </w:rPr>
      </w:pPr>
      <w:r w:rsidRPr="001E5C79">
        <w:rPr>
          <w:noProof/>
        </w:rPr>
        <w:t xml:space="preserve">Ehdotus noudattaa SEUT-sopimuksen 207 artiklan 2 kohtaa, joka koskee yhteiseen kauppapolitiikkaan liittyviä toimenpiteitä. </w:t>
      </w:r>
    </w:p>
    <w:p w:rsidR="00163B5D" w:rsidRPr="001E5C79" w:rsidRDefault="00163B5D" w:rsidP="00163B5D">
      <w:pPr>
        <w:pStyle w:val="ManualHeading1"/>
        <w:rPr>
          <w:noProof/>
        </w:rPr>
      </w:pPr>
      <w:r w:rsidRPr="001E5C79">
        <w:rPr>
          <w:noProof/>
        </w:rPr>
        <w:t>3.</w:t>
      </w:r>
      <w:r w:rsidRPr="001E5C79">
        <w:rPr>
          <w:noProof/>
        </w:rPr>
        <w:tab/>
        <w:t>JÄLKIARVIOINTIEN, SIDOSRYHMIEN KUULEMISTEN JA VAIKUTUSTENARVIOINTIEN TULOKSET</w:t>
      </w:r>
    </w:p>
    <w:p w:rsidR="00163B5D" w:rsidRPr="001E5C79" w:rsidRDefault="00163B5D" w:rsidP="00163B5D">
      <w:pPr>
        <w:pStyle w:val="ManualHeading2"/>
        <w:rPr>
          <w:noProof/>
        </w:rPr>
      </w:pPr>
      <w:r w:rsidRPr="001E5C79">
        <w:rPr>
          <w:noProof/>
        </w:rPr>
        <w:t>•</w:t>
      </w:r>
      <w:r w:rsidRPr="001E5C79">
        <w:rPr>
          <w:noProof/>
        </w:rPr>
        <w:tab/>
        <w:t>Jälkiarvioinnit/toimivuustarkastukset</w:t>
      </w:r>
    </w:p>
    <w:p w:rsidR="00163B5D" w:rsidRPr="001E5C79" w:rsidRDefault="00163B5D" w:rsidP="00163B5D">
      <w:pPr>
        <w:pBdr>
          <w:top w:val="nil"/>
          <w:left w:val="nil"/>
          <w:bottom w:val="nil"/>
          <w:right w:val="nil"/>
          <w:between w:val="nil"/>
          <w:bar w:val="nil"/>
        </w:pBdr>
        <w:spacing w:before="0" w:after="240"/>
        <w:rPr>
          <w:noProof/>
        </w:rPr>
      </w:pPr>
      <w:r w:rsidRPr="001E5C79">
        <w:rPr>
          <w:noProof/>
        </w:rPr>
        <w:t>Ei sovelleta.</w:t>
      </w:r>
    </w:p>
    <w:p w:rsidR="00163B5D" w:rsidRPr="001E5C79" w:rsidRDefault="00163B5D" w:rsidP="00163B5D">
      <w:pPr>
        <w:pStyle w:val="ManualHeading2"/>
        <w:rPr>
          <w:noProof/>
        </w:rPr>
      </w:pPr>
      <w:r w:rsidRPr="001E5C79">
        <w:rPr>
          <w:noProof/>
        </w:rPr>
        <w:t>•</w:t>
      </w:r>
      <w:r w:rsidRPr="001E5C79">
        <w:rPr>
          <w:noProof/>
        </w:rPr>
        <w:tab/>
        <w:t>Sidosryhmien kuuleminen</w:t>
      </w:r>
    </w:p>
    <w:p w:rsidR="00163B5D" w:rsidRPr="001E5C79" w:rsidRDefault="00163B5D" w:rsidP="00163B5D">
      <w:pPr>
        <w:pBdr>
          <w:top w:val="nil"/>
          <w:left w:val="nil"/>
          <w:bottom w:val="nil"/>
          <w:right w:val="nil"/>
          <w:between w:val="nil"/>
          <w:bar w:val="nil"/>
        </w:pBdr>
        <w:spacing w:before="0" w:after="240"/>
        <w:rPr>
          <w:noProof/>
        </w:rPr>
      </w:pPr>
      <w:r w:rsidRPr="001E5C79">
        <w:rPr>
          <w:noProof/>
        </w:rPr>
        <w:t>Ei sovelleta.</w:t>
      </w:r>
    </w:p>
    <w:p w:rsidR="00163B5D" w:rsidRPr="001E5C79" w:rsidRDefault="00163B5D" w:rsidP="00163B5D">
      <w:pPr>
        <w:pStyle w:val="ManualHeading2"/>
        <w:rPr>
          <w:noProof/>
        </w:rPr>
      </w:pPr>
      <w:r w:rsidRPr="001E5C79">
        <w:rPr>
          <w:noProof/>
        </w:rPr>
        <w:t>•</w:t>
      </w:r>
      <w:r w:rsidRPr="001E5C79">
        <w:rPr>
          <w:noProof/>
        </w:rPr>
        <w:tab/>
        <w:t>Asiantuntijatiedon keruu ja käyttö</w:t>
      </w:r>
    </w:p>
    <w:p w:rsidR="00163B5D" w:rsidRPr="001E5C79" w:rsidRDefault="00163B5D" w:rsidP="00163B5D">
      <w:pPr>
        <w:pBdr>
          <w:top w:val="nil"/>
          <w:left w:val="nil"/>
          <w:bottom w:val="nil"/>
          <w:right w:val="nil"/>
          <w:between w:val="nil"/>
          <w:bar w:val="nil"/>
        </w:pBdr>
        <w:spacing w:before="0" w:after="240"/>
        <w:rPr>
          <w:noProof/>
        </w:rPr>
      </w:pPr>
      <w:r w:rsidRPr="001E5C79">
        <w:rPr>
          <w:noProof/>
        </w:rPr>
        <w:t>Ei sovelleta.</w:t>
      </w:r>
    </w:p>
    <w:p w:rsidR="00163B5D" w:rsidRPr="001E5C79" w:rsidRDefault="00163B5D" w:rsidP="00163B5D">
      <w:pPr>
        <w:pStyle w:val="ManualHeading2"/>
        <w:rPr>
          <w:noProof/>
        </w:rPr>
      </w:pPr>
      <w:r w:rsidRPr="001E5C79">
        <w:rPr>
          <w:noProof/>
        </w:rPr>
        <w:t>•</w:t>
      </w:r>
      <w:r w:rsidRPr="001E5C79">
        <w:rPr>
          <w:noProof/>
        </w:rPr>
        <w:tab/>
        <w:t>Vaikutustenarviointi</w:t>
      </w:r>
    </w:p>
    <w:p w:rsidR="00163B5D" w:rsidRPr="001E5C79" w:rsidRDefault="00163B5D" w:rsidP="00163B5D">
      <w:pPr>
        <w:keepNext/>
        <w:tabs>
          <w:tab w:val="left" w:pos="850"/>
        </w:tabs>
        <w:outlineLvl w:val="1"/>
        <w:rPr>
          <w:noProof/>
        </w:rPr>
      </w:pPr>
      <w:r w:rsidRPr="001E5C79">
        <w:rPr>
          <w:noProof/>
        </w:rPr>
        <w:t xml:space="preserve">Jotta voidaan varmistaa, että Ukrainaa koskevia kauppaa vapauttavia toimenpiteitä jatketaan asetuksen (EU) 2024/1392 voimassaolon päätyttyä 5. kesäkuuta 2025, asetusehdotuksen on välttämätöntä tulla voimaan 6. kesäkuuta 2025. Vaikutustenarvioinnin tekemiseen ei ole tämän asian kiireellisyyden vuoksi ollut riittävästi aikaa. Assosiaatiosopimuksen sisältämistä kauppaa ja kaupan liitännäistoimenpiteitä koskevista määräyksistä on kuitenkin tehty komission kauppapolitiikan pääosaston vuonna 2007 tilaama kestävään kehitykseen kohdistuvien vaikutusten arviointi, joka on otettu huomioon pitkälle menevää ja laaja-alaista vapaakauppa-aluetta koskevaan sopimukseen (DCFTA) liittyvässä neuvotteluprosessissa. Tutkimuksessa vahvistui, että kauppaa ja kaupan liitännäistoimenpiteitä koskevien määräysten täytäntöönpanolla olisi myönteinen taloudellinen vaikutus sekä EU:hun että Ukrainaan. </w:t>
      </w:r>
    </w:p>
    <w:p w:rsidR="00163B5D" w:rsidRPr="001E5C79" w:rsidRDefault="00163B5D" w:rsidP="00163B5D">
      <w:pPr>
        <w:pStyle w:val="ManualHeading2"/>
        <w:rPr>
          <w:noProof/>
        </w:rPr>
      </w:pPr>
      <w:r w:rsidRPr="001E5C79">
        <w:rPr>
          <w:noProof/>
        </w:rPr>
        <w:t>•</w:t>
      </w:r>
      <w:r w:rsidRPr="001E5C79">
        <w:rPr>
          <w:noProof/>
        </w:rPr>
        <w:tab/>
        <w:t>Sääntelyn toimivuus ja yksinkertaistaminen</w:t>
      </w:r>
    </w:p>
    <w:p w:rsidR="00163B5D" w:rsidRPr="001E5C79" w:rsidRDefault="00163B5D" w:rsidP="00163B5D">
      <w:pPr>
        <w:pBdr>
          <w:top w:val="nil"/>
          <w:left w:val="nil"/>
          <w:bottom w:val="nil"/>
          <w:right w:val="nil"/>
          <w:between w:val="nil"/>
          <w:bar w:val="nil"/>
        </w:pBdr>
        <w:spacing w:before="0" w:after="240"/>
        <w:rPr>
          <w:noProof/>
        </w:rPr>
      </w:pPr>
      <w:r w:rsidRPr="001E5C79">
        <w:rPr>
          <w:noProof/>
        </w:rPr>
        <w:t xml:space="preserve">Toimenpide ei lisää yritysten sääntelytaakkaa. </w:t>
      </w:r>
    </w:p>
    <w:p w:rsidR="00163B5D" w:rsidRPr="001E5C79" w:rsidRDefault="00163B5D" w:rsidP="00163B5D">
      <w:pPr>
        <w:pStyle w:val="ManualHeading2"/>
        <w:rPr>
          <w:noProof/>
        </w:rPr>
      </w:pPr>
      <w:r w:rsidRPr="001E5C79">
        <w:rPr>
          <w:noProof/>
        </w:rPr>
        <w:t>•</w:t>
      </w:r>
      <w:r w:rsidRPr="001E5C79">
        <w:rPr>
          <w:noProof/>
        </w:rPr>
        <w:tab/>
        <w:t>Perusoikeudet</w:t>
      </w:r>
    </w:p>
    <w:p w:rsidR="00163B5D" w:rsidRPr="001E5C79" w:rsidRDefault="00163B5D" w:rsidP="00163B5D">
      <w:pPr>
        <w:pBdr>
          <w:top w:val="nil"/>
          <w:left w:val="nil"/>
          <w:bottom w:val="nil"/>
          <w:right w:val="nil"/>
          <w:between w:val="nil"/>
          <w:bar w:val="nil"/>
        </w:pBdr>
        <w:spacing w:before="0" w:after="240"/>
        <w:rPr>
          <w:noProof/>
        </w:rPr>
      </w:pPr>
      <w:r w:rsidRPr="001E5C79">
        <w:rPr>
          <w:noProof/>
        </w:rPr>
        <w:t xml:space="preserve">Näissä toimenpiteissä noudatetaan samoja perusperiaatteita, jotka on vahvistettu EU:n ja Ukrainan välisessä assosiaatiosopimuksessa. Ukrainan kanssa tehdyn assosiaatiosopimuksen 2 artiklassa määrätään erityisesti, että olennaisen osan sopimusta muodostavat i) demokratian periaatteiden, ihmisoikeuksien ja perusvapauksien kunnioittaminen ja ii) oikeusvaltioperiaatteen noudattaminen. </w:t>
      </w:r>
    </w:p>
    <w:p w:rsidR="00163B5D" w:rsidRPr="001E5C79" w:rsidRDefault="00163B5D" w:rsidP="7ECA3943">
      <w:pPr>
        <w:pBdr>
          <w:top w:val="nil"/>
          <w:left w:val="nil"/>
          <w:bottom w:val="nil"/>
          <w:right w:val="nil"/>
          <w:between w:val="nil"/>
          <w:bar w:val="nil"/>
        </w:pBdr>
        <w:spacing w:before="0" w:after="240"/>
        <w:rPr>
          <w:noProof/>
        </w:rPr>
      </w:pPr>
      <w:r w:rsidRPr="001E5C79">
        <w:rPr>
          <w:noProof/>
        </w:rPr>
        <w:t xml:space="preserve">Kauppaa vapauttavat toimenpiteet olisivat myös Euroopan unionin perusoikeuskirjan mukaisia kolmesta syystä. Ensinnäkin niiden välittömänä vaikutuksena on, että Ukrainasta tulevaan tuontiin voidaan kohdistaa vähemmän rajoituksia kuin siinä tapauksessa, että Ukrainasta tulevaan tuontiin sovellettaisiin valvontaa ja suojatoimia. Toiseksi, unioni ei näin ollen laiminlöisi perusoikeuskirjan mukaista velvollisuuttaan suojella perusoikeuksia, koska kyseisten perusoikeuksien suojelu on (tarvittaessa) edelleen mahdollista muilla keinoin. Kolmanneksi, mitä tulee Ukrainasta peräisin olevien tuotteiden tuojien tai käyttäjien eriarvoiseen kohteluun (verrattuna sellaisista muista kolmansista maista peräisin olevien tuotteiden tuojiin tai käyttäjiin, joita ei ole vapautettu valvonnasta ja suojatoimista), tätä eriarvoista kohtelua sovelletaan muissa tapauksissa, joissa unionin kahdenvälisissä kauppasopimuksissa vapautetaan tuonti suojatoimenpiteistä ja kyseessä on unionin yhteisen kauppapolitiikan oikeutettu harjoittaminen (mukaan lukien asianmukaisen oikeusperustan käyttäminen) taloudellisen yhdentymisen tiivistämiseksi. </w:t>
      </w:r>
    </w:p>
    <w:p w:rsidR="00163B5D" w:rsidRPr="001E5C79" w:rsidRDefault="00163B5D" w:rsidP="00163B5D">
      <w:pPr>
        <w:pStyle w:val="ManualHeading1"/>
        <w:rPr>
          <w:noProof/>
        </w:rPr>
      </w:pPr>
      <w:r w:rsidRPr="001E5C79">
        <w:rPr>
          <w:noProof/>
        </w:rPr>
        <w:t>4.</w:t>
      </w:r>
      <w:r w:rsidRPr="001E5C79">
        <w:rPr>
          <w:noProof/>
        </w:rPr>
        <w:tab/>
        <w:t>TALOUSARVIOVAIKUTUKSET</w:t>
      </w:r>
    </w:p>
    <w:p w:rsidR="00163B5D" w:rsidRPr="001E5C79" w:rsidRDefault="00886316" w:rsidP="00163B5D">
      <w:pPr>
        <w:rPr>
          <w:noProof/>
          <w:sz w:val="22"/>
        </w:rPr>
      </w:pPr>
      <w:r w:rsidRPr="001E5C79">
        <w:rPr>
          <w:noProof/>
        </w:rPr>
        <w:t>Ei sovelleta.</w:t>
      </w:r>
    </w:p>
    <w:p w:rsidR="00163B5D" w:rsidRPr="001E5C79" w:rsidRDefault="00163B5D" w:rsidP="00163B5D">
      <w:pPr>
        <w:pStyle w:val="ManualHeading1"/>
        <w:rPr>
          <w:noProof/>
        </w:rPr>
      </w:pPr>
      <w:r w:rsidRPr="001E5C79">
        <w:rPr>
          <w:noProof/>
        </w:rPr>
        <w:t>5.</w:t>
      </w:r>
      <w:r w:rsidRPr="001E5C79">
        <w:rPr>
          <w:noProof/>
        </w:rPr>
        <w:tab/>
        <w:t>LISÄTIEDOT</w:t>
      </w:r>
    </w:p>
    <w:p w:rsidR="00163B5D" w:rsidRPr="001E5C79" w:rsidRDefault="00163B5D" w:rsidP="00163B5D">
      <w:pPr>
        <w:pStyle w:val="ManualHeading2"/>
        <w:rPr>
          <w:noProof/>
        </w:rPr>
      </w:pPr>
      <w:r w:rsidRPr="001E5C79">
        <w:rPr>
          <w:noProof/>
        </w:rPr>
        <w:t>•</w:t>
      </w:r>
      <w:r w:rsidRPr="001E5C79">
        <w:rPr>
          <w:noProof/>
        </w:rPr>
        <w:tab/>
        <w:t>Toteuttamissuunnitelmat, seuranta, arviointi ja raportointijärjestelyt</w:t>
      </w:r>
    </w:p>
    <w:p w:rsidR="00163B5D" w:rsidRPr="001E5C79" w:rsidRDefault="00886316" w:rsidP="00163B5D">
      <w:pPr>
        <w:pBdr>
          <w:top w:val="nil"/>
          <w:left w:val="nil"/>
          <w:bottom w:val="nil"/>
          <w:right w:val="nil"/>
          <w:between w:val="nil"/>
          <w:bar w:val="nil"/>
        </w:pBdr>
        <w:spacing w:before="0" w:after="240"/>
        <w:rPr>
          <w:noProof/>
        </w:rPr>
      </w:pPr>
      <w:r w:rsidRPr="001E5C79">
        <w:rPr>
          <w:noProof/>
        </w:rPr>
        <w:t>Ei sovelleta.</w:t>
      </w:r>
    </w:p>
    <w:p w:rsidR="00163B5D" w:rsidRPr="001E5C79" w:rsidRDefault="00163B5D" w:rsidP="00163B5D">
      <w:pPr>
        <w:pStyle w:val="ManualHeading2"/>
        <w:rPr>
          <w:noProof/>
        </w:rPr>
      </w:pPr>
      <w:r w:rsidRPr="001E5C79">
        <w:rPr>
          <w:noProof/>
        </w:rPr>
        <w:t>•</w:t>
      </w:r>
      <w:r w:rsidRPr="001E5C79">
        <w:rPr>
          <w:noProof/>
        </w:rPr>
        <w:tab/>
        <w:t>Selittävät asiakirjat (direktiivien osalta)</w:t>
      </w:r>
    </w:p>
    <w:p w:rsidR="00163B5D" w:rsidRPr="001E5C79" w:rsidRDefault="00163B5D" w:rsidP="00163B5D">
      <w:pPr>
        <w:pBdr>
          <w:top w:val="nil"/>
          <w:left w:val="nil"/>
          <w:bottom w:val="nil"/>
          <w:right w:val="nil"/>
          <w:between w:val="nil"/>
          <w:bar w:val="nil"/>
        </w:pBdr>
        <w:spacing w:before="0" w:after="240"/>
        <w:rPr>
          <w:noProof/>
        </w:rPr>
      </w:pPr>
      <w:r w:rsidRPr="001E5C79">
        <w:rPr>
          <w:noProof/>
        </w:rPr>
        <w:t>Ei sovelleta.</w:t>
      </w:r>
    </w:p>
    <w:p w:rsidR="00163B5D" w:rsidRPr="001E5C79" w:rsidRDefault="00163B5D" w:rsidP="00163B5D">
      <w:pPr>
        <w:pStyle w:val="ManualHeading2"/>
        <w:rPr>
          <w:noProof/>
        </w:rPr>
      </w:pPr>
      <w:r w:rsidRPr="001E5C79">
        <w:rPr>
          <w:noProof/>
        </w:rPr>
        <w:t>•</w:t>
      </w:r>
      <w:r w:rsidRPr="001E5C79">
        <w:rPr>
          <w:noProof/>
        </w:rPr>
        <w:tab/>
        <w:t>Ehdotukseen sisältyvien säännösten yksityiskohtaiset selitykset</w:t>
      </w:r>
    </w:p>
    <w:p w:rsidR="002A5CF9" w:rsidRPr="001E5C79" w:rsidRDefault="004C4A78" w:rsidP="7ECA3943">
      <w:pPr>
        <w:pBdr>
          <w:top w:val="nil"/>
          <w:left w:val="nil"/>
          <w:bottom w:val="nil"/>
          <w:right w:val="nil"/>
          <w:between w:val="nil"/>
          <w:bar w:val="nil"/>
        </w:pBdr>
        <w:spacing w:before="0" w:after="240"/>
        <w:rPr>
          <w:noProof/>
        </w:rPr>
      </w:pPr>
      <w:r w:rsidRPr="001E5C79">
        <w:rPr>
          <w:noProof/>
        </w:rPr>
        <w:t>Ukrainan taloudellinen tilanne huomioon ottaen tällä asetusehdotuksella pyritään suojaamaan Ukrainasta tulevan tuonnin markkinoillepääsyn edellytyksiä keskeyttämällä tiettyjen tuontiin sovellettavasta yhteisestä järjestelmästä annetun asetuksen (EU) 2015/478 valvontaa ja suojatoimia koskevien säännösten soveltaminen.</w:t>
      </w:r>
    </w:p>
    <w:p w:rsidR="0085414B" w:rsidRPr="001E5C79" w:rsidRDefault="0085414B" w:rsidP="00A147AC">
      <w:pPr>
        <w:rPr>
          <w:noProof/>
        </w:rPr>
        <w:sectPr w:rsidR="0085414B" w:rsidRPr="001E5C79" w:rsidSect="00C4369A">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rsidR="00E07B50" w:rsidRDefault="00BA69A1">
      <w:pPr>
        <w:pStyle w:val="Rfrenceinterinstitutionnelle"/>
        <w:rPr>
          <w:noProof/>
        </w:rPr>
      </w:pPr>
      <w:r>
        <w:rPr>
          <w:noProof/>
        </w:rPr>
        <w:t>2025/0056 (COD)</w:t>
      </w:r>
    </w:p>
    <w:p w:rsidR="0085414B" w:rsidRPr="001E5C79" w:rsidRDefault="001E5C79" w:rsidP="001E5C79">
      <w:pPr>
        <w:pStyle w:val="Statut"/>
        <w:rPr>
          <w:noProof/>
        </w:rPr>
      </w:pPr>
      <w:r w:rsidRPr="001E5C79">
        <w:rPr>
          <w:noProof/>
        </w:rPr>
        <w:t>Ehdotus</w:t>
      </w:r>
    </w:p>
    <w:p w:rsidR="0085414B" w:rsidRPr="001E5C79" w:rsidRDefault="001E5C79" w:rsidP="001E5C79">
      <w:pPr>
        <w:pStyle w:val="Typedudocument"/>
        <w:rPr>
          <w:noProof/>
        </w:rPr>
      </w:pPr>
      <w:r w:rsidRPr="001E5C79">
        <w:rPr>
          <w:noProof/>
        </w:rPr>
        <w:t>EUROOPAN PARLAMENTIN JA NEUVOSTON ASETUS</w:t>
      </w:r>
    </w:p>
    <w:p w:rsidR="00561945" w:rsidRPr="001E5C79" w:rsidRDefault="001E5C79" w:rsidP="001E5C79">
      <w:pPr>
        <w:pStyle w:val="Titreobjet"/>
        <w:rPr>
          <w:noProof/>
        </w:rPr>
      </w:pPr>
      <w:r w:rsidRPr="001E5C79">
        <w:rPr>
          <w:noProof/>
        </w:rPr>
        <w:t>asetuksen (EU) 2015/478 tiettyjen osien soveltamisen keskeyttämisestä ukrainalaisten tuotteiden tuonnissa Euroopan unioniin</w:t>
      </w:r>
    </w:p>
    <w:p w:rsidR="00B529D9" w:rsidRPr="001E5C79" w:rsidRDefault="0085414B" w:rsidP="00B529D9">
      <w:pPr>
        <w:pStyle w:val="Institutionquiagit"/>
        <w:rPr>
          <w:noProof/>
        </w:rPr>
      </w:pPr>
      <w:r w:rsidRPr="001E5C79">
        <w:rPr>
          <w:noProof/>
        </w:rPr>
        <w:t>EUROOPAN PARLAMENTTI JA EUROOPAN UNIONIN NEUVOSTO, jotka</w:t>
      </w:r>
    </w:p>
    <w:p w:rsidR="00B529D9" w:rsidRPr="001E5C79" w:rsidRDefault="00B529D9" w:rsidP="00B529D9">
      <w:pPr>
        <w:rPr>
          <w:noProof/>
        </w:rPr>
      </w:pPr>
      <w:r w:rsidRPr="001E5C79">
        <w:rPr>
          <w:noProof/>
        </w:rPr>
        <w:t>ottavat huomioon Euroopan unionin toiminnasta tehdyn sopimuksen ja erityisesti sen 207 artiklan 2 kohdan,</w:t>
      </w:r>
    </w:p>
    <w:p w:rsidR="00B529D9" w:rsidRPr="001E5C79" w:rsidRDefault="00B529D9" w:rsidP="00B529D9">
      <w:pPr>
        <w:rPr>
          <w:noProof/>
        </w:rPr>
      </w:pPr>
      <w:r w:rsidRPr="001E5C79">
        <w:rPr>
          <w:noProof/>
        </w:rPr>
        <w:t>ottavat huomioon Euroopan komission ehdotuksen,</w:t>
      </w:r>
    </w:p>
    <w:p w:rsidR="00B529D9" w:rsidRPr="001E5C79" w:rsidRDefault="00B529D9" w:rsidP="00B529D9">
      <w:pPr>
        <w:rPr>
          <w:noProof/>
        </w:rPr>
      </w:pPr>
      <w:r w:rsidRPr="001E5C79">
        <w:rPr>
          <w:noProof/>
        </w:rPr>
        <w:t>sen jälkeen, kun esitys lainsäätämisjärjestyksessä hyväksyttäväksi säädökseksi on toimitettu kansallisille parlamenteille,</w:t>
      </w:r>
    </w:p>
    <w:p w:rsidR="00B529D9" w:rsidRPr="001E5C79" w:rsidRDefault="00B529D9" w:rsidP="00B529D9">
      <w:pPr>
        <w:rPr>
          <w:noProof/>
        </w:rPr>
      </w:pPr>
      <w:r w:rsidRPr="001E5C79">
        <w:rPr>
          <w:noProof/>
        </w:rPr>
        <w:t>noudattavat tavallista lainsäätämisjärjestystä</w:t>
      </w:r>
      <w:r w:rsidRPr="001E5C79">
        <w:rPr>
          <w:rStyle w:val="FootnoteReference"/>
          <w:noProof/>
        </w:rPr>
        <w:footnoteReference w:id="6"/>
      </w:r>
      <w:r w:rsidRPr="001E5C79">
        <w:rPr>
          <w:noProof/>
        </w:rPr>
        <w:t>,</w:t>
      </w:r>
    </w:p>
    <w:p w:rsidR="00B529D9" w:rsidRPr="001E5C79" w:rsidRDefault="00B529D9" w:rsidP="00B529D9">
      <w:pPr>
        <w:rPr>
          <w:noProof/>
        </w:rPr>
      </w:pPr>
      <w:r w:rsidRPr="001E5C79">
        <w:rPr>
          <w:noProof/>
        </w:rPr>
        <w:t>sekä katsovat seuraavaa:</w:t>
      </w:r>
    </w:p>
    <w:p w:rsidR="00B529D9" w:rsidRPr="001E5C79" w:rsidRDefault="00B529D9" w:rsidP="00B529D9">
      <w:pPr>
        <w:pStyle w:val="ManualConsidrant"/>
        <w:rPr>
          <w:noProof/>
        </w:rPr>
      </w:pPr>
      <w:r w:rsidRPr="001E5C79">
        <w:rPr>
          <w:noProof/>
        </w:rPr>
        <w:t>(1)</w:t>
      </w:r>
      <w:r w:rsidRPr="001E5C79">
        <w:rPr>
          <w:noProof/>
        </w:rPr>
        <w:tab/>
        <w:t>Euroopan unionin ja Euroopan atomienergiayhteisön ja niiden jäsenvaltioiden sekä Ukrainan välinen assosiaatiosopimus</w:t>
      </w:r>
      <w:r w:rsidRPr="001E5C79">
        <w:rPr>
          <w:rStyle w:val="FootnoteReference"/>
          <w:noProof/>
        </w:rPr>
        <w:footnoteReference w:id="7"/>
      </w:r>
      <w:r w:rsidRPr="001E5C79">
        <w:rPr>
          <w:noProof/>
        </w:rPr>
        <w:t>, jäljempänä ’assosiaatiosopimus’, muodostaa perustan unionin ja Ukrainan välisille suhteille. Neuvoston päätöksen 2014/668/EU</w:t>
      </w:r>
      <w:r w:rsidRPr="001E5C79">
        <w:rPr>
          <w:rStyle w:val="FootnoteReference"/>
          <w:noProof/>
        </w:rPr>
        <w:footnoteReference w:id="8"/>
      </w:r>
      <w:r w:rsidRPr="001E5C79">
        <w:rPr>
          <w:noProof/>
        </w:rPr>
        <w:t xml:space="preserve"> mukaisesti assosiaatiosopimuksen IV osastoa, joka koskee kauppaa ja kaupan liitännäistoimenpiteitä, alettiin väliaikaisesti soveltaa 1 päivästä tammikuuta 2016, ja se tuli voimaan 1 päivänä syyskuuta 2017 kaikkien jäsenvaltioiden ratifioitua sen.</w:t>
      </w:r>
    </w:p>
    <w:p w:rsidR="00B529D9" w:rsidRPr="001E5C79" w:rsidRDefault="00B529D9" w:rsidP="00B529D9">
      <w:pPr>
        <w:pStyle w:val="ManualConsidrant"/>
        <w:rPr>
          <w:noProof/>
        </w:rPr>
      </w:pPr>
      <w:r w:rsidRPr="001E5C79">
        <w:rPr>
          <w:noProof/>
        </w:rPr>
        <w:t>(2)</w:t>
      </w:r>
      <w:r w:rsidRPr="001E5C79">
        <w:rPr>
          <w:noProof/>
        </w:rPr>
        <w:tab/>
        <w:t>Assosiaatiosopimuksella vahvistetaan ja laajennetaan osapuolten suhteita kunnianhimoisella ja innovatiivisella tavalla asteittaisen taloudellisen yhdentymisen helpottamiseksi ja saavuttamiseksi, jotta se voidaan toteuttaa sopimuksen osapuolille Maailman kauppajärjestön (WTO) jäsenyyden perusteella kuuluvien oikeuksien ja velvollisuuksien mukaisesti.</w:t>
      </w:r>
    </w:p>
    <w:p w:rsidR="00B529D9" w:rsidRPr="001E5C79" w:rsidRDefault="00B529D9" w:rsidP="00B529D9">
      <w:pPr>
        <w:pStyle w:val="ManualConsidrant"/>
        <w:rPr>
          <w:noProof/>
        </w:rPr>
      </w:pPr>
      <w:r w:rsidRPr="001E5C79">
        <w:rPr>
          <w:noProof/>
        </w:rPr>
        <w:t>(3)</w:t>
      </w:r>
      <w:r w:rsidRPr="001E5C79">
        <w:rPr>
          <w:noProof/>
        </w:rPr>
        <w:tab/>
        <w:t>Maaliskuun 11 päivänä 2015 annetussa Euroopan parlamentin ja neuvoston asetuksessa (EU) 2015/478</w:t>
      </w:r>
      <w:r w:rsidR="00C45C2B" w:rsidRPr="001E5C79">
        <w:rPr>
          <w:rStyle w:val="FootnoteReference"/>
          <w:noProof/>
        </w:rPr>
        <w:footnoteReference w:id="9"/>
      </w:r>
      <w:r w:rsidRPr="001E5C79">
        <w:rPr>
          <w:noProof/>
        </w:rPr>
        <w:t xml:space="preserve"> vahvistetaan useimmista kolmansista maista, myös Ukrainasta, peräisin olevaan tuontiin sovellettava yhteinen järjestelmä. Se sisältää myös valvonta- ja suojatoimenpiteitä koskevia säännöksiä.</w:t>
      </w:r>
    </w:p>
    <w:p w:rsidR="00A62A07" w:rsidRPr="001E5C79" w:rsidRDefault="00B529D9" w:rsidP="3B63E65D">
      <w:pPr>
        <w:pStyle w:val="ManualConsidrant"/>
        <w:rPr>
          <w:noProof/>
        </w:rPr>
      </w:pPr>
      <w:r w:rsidRPr="001E5C79">
        <w:rPr>
          <w:noProof/>
        </w:rPr>
        <w:t>(4)</w:t>
      </w:r>
      <w:r w:rsidRPr="001E5C79">
        <w:rPr>
          <w:noProof/>
        </w:rPr>
        <w:tab/>
        <w:t xml:space="preserve">Venäjän provosoimattomalla ja perusteettomalla täysimittaisella sotilaallisella hyökkäyksellä Ukrainaan on 24 päivästä helmikuuta 2022 lähtien ollut erittäin kielteinen vaikutus Ukrainan kykyyn käydä kauppaa muun maailman kanssa. Näin on ollut esimerkiksi raudan ja teräksen kohdalla raudan ja teräksen tuotantolaitosten miehittämisen tai tuhoamisen vuoksi. Näin on ollut myös Ukrainan talouden muiden osien kohdalla. </w:t>
      </w:r>
    </w:p>
    <w:p w:rsidR="009B1949" w:rsidRPr="001E5C79" w:rsidRDefault="00B529D9" w:rsidP="009B1949">
      <w:pPr>
        <w:pStyle w:val="ManualConsidrant"/>
        <w:rPr>
          <w:noProof/>
        </w:rPr>
      </w:pPr>
      <w:r w:rsidRPr="001E5C79">
        <w:rPr>
          <w:noProof/>
        </w:rPr>
        <w:t>(5)</w:t>
      </w:r>
      <w:r w:rsidRPr="001E5C79">
        <w:rPr>
          <w:noProof/>
        </w:rPr>
        <w:tab/>
        <w:t xml:space="preserve">Näissä olosuhteissa ja Venäjän Ukrainaa vastaan käymän hyökkäyssodan kielteisten taloudellisten vaikutusten lieventämiseksi on aiheellista Ukrainan hyväksi vapauttaa Ukrainasta peräisin oleva unioniin tuleva tuonti unionin valvonta- ja suojatoimenpiteistä. Tätä varten on tarpeen keskeyttää useiden yhteisestä järjestelmästä annetun asetuksen (EU) 2015/478 säännösten soveltaminen Ukrainasta tulevaan tuontiin. </w:t>
      </w:r>
    </w:p>
    <w:p w:rsidR="000B464C" w:rsidRPr="001E5C79" w:rsidRDefault="00B529D9" w:rsidP="4D58D7A3">
      <w:pPr>
        <w:pStyle w:val="ManualConsidrant"/>
        <w:rPr>
          <w:noProof/>
        </w:rPr>
      </w:pPr>
      <w:r w:rsidRPr="001E5C79">
        <w:rPr>
          <w:noProof/>
        </w:rPr>
        <w:t>(6)</w:t>
      </w:r>
      <w:r w:rsidRPr="001E5C79">
        <w:rPr>
          <w:noProof/>
        </w:rPr>
        <w:tab/>
        <w:t>Komission olisi voitava täytäntöönpanosäädöksellä väliaikaisesti keskeyttää tämän asetuksen soveltaminen tietyn tuotteen osalta. Tätä valtaa olisi käytettävä Euroopan parlamentin ja neuvoston asetuksen (EU) N:o 182/2011</w:t>
      </w:r>
      <w:r w:rsidR="000B464C" w:rsidRPr="001E5C79">
        <w:rPr>
          <w:rStyle w:val="FootnoteReference"/>
          <w:noProof/>
        </w:rPr>
        <w:footnoteReference w:id="10"/>
      </w:r>
      <w:r w:rsidRPr="001E5C79">
        <w:rPr>
          <w:noProof/>
        </w:rPr>
        <w:t xml:space="preserve"> mukaisesti. Keskeytyksen keston olisi oltava riittävän pitkä, jotta komissio voi tehdä ehdotuksen ja jotta parlamentti ja neuvosto voivat antaa asetuksen tämän asetuksen soveltamisen keskeyttämisestä, muuttamisesta tai päättämisestä.</w:t>
      </w:r>
    </w:p>
    <w:p w:rsidR="13496541" w:rsidRPr="001E5C79" w:rsidRDefault="13496541" w:rsidP="18BE9D93">
      <w:pPr>
        <w:pStyle w:val="ManualConsidrant"/>
        <w:rPr>
          <w:noProof/>
        </w:rPr>
      </w:pPr>
      <w:r w:rsidRPr="001E5C79">
        <w:rPr>
          <w:noProof/>
        </w:rPr>
        <w:t>(7)</w:t>
      </w:r>
      <w:r w:rsidRPr="001E5C79">
        <w:rPr>
          <w:noProof/>
        </w:rPr>
        <w:tab/>
        <w:t xml:space="preserve">Tätä asetusta olisi sovellettava kolme vuotta, ja sen soveltamista olisi jatkettava ilman eri toimenpiteitä kolmella vuodella, jollei Euroopan parlamentti tai neuvosto vastusta tällaista jatkamista viimeistään kolme kuukautta ennen voimassaolon päättymispäivää. </w:t>
      </w:r>
    </w:p>
    <w:p w:rsidR="000316FE" w:rsidRPr="001E5C79" w:rsidRDefault="00B529D9" w:rsidP="009B1949">
      <w:pPr>
        <w:pStyle w:val="ManualConsidrant"/>
        <w:rPr>
          <w:noProof/>
        </w:rPr>
      </w:pPr>
      <w:r w:rsidRPr="001E5C79">
        <w:rPr>
          <w:noProof/>
        </w:rPr>
        <w:t>(8)</w:t>
      </w:r>
      <w:r w:rsidRPr="001E5C79">
        <w:rPr>
          <w:noProof/>
        </w:rPr>
        <w:tab/>
        <w:t>Koska Euroopan parlamentin ja neuvoston asetuksen (EU) 2024/1392</w:t>
      </w:r>
      <w:r w:rsidR="0034741D" w:rsidRPr="001E5C79">
        <w:rPr>
          <w:rStyle w:val="FootnoteReference"/>
          <w:noProof/>
        </w:rPr>
        <w:footnoteReference w:id="11"/>
      </w:r>
      <w:r w:rsidRPr="001E5C79">
        <w:rPr>
          <w:noProof/>
        </w:rPr>
        <w:t>, jossa säädetään muun muassa tämän asetuksen vaikutuksia vastaavista vaikutuksista, voimassaolo päättyy 5 päivänä kesäkuuta 2025, tämän asetuksen olisi tultava voimaan 6 päivänä kesäkuuta 2025,</w:t>
      </w:r>
    </w:p>
    <w:p w:rsidR="00B529D9" w:rsidRPr="001E5C79" w:rsidRDefault="00B529D9" w:rsidP="00B529D9">
      <w:pPr>
        <w:pStyle w:val="Formuledadoption"/>
        <w:rPr>
          <w:noProof/>
        </w:rPr>
      </w:pPr>
      <w:r w:rsidRPr="001E5C79">
        <w:rPr>
          <w:noProof/>
        </w:rPr>
        <w:t>OVAT HYVÄKSYNEET TÄMÄN ASETUKSEN:</w:t>
      </w:r>
    </w:p>
    <w:p w:rsidR="00B529D9" w:rsidRPr="001E5C79" w:rsidRDefault="00B529D9" w:rsidP="00B529D9">
      <w:pPr>
        <w:pStyle w:val="Titrearticle"/>
        <w:rPr>
          <w:noProof/>
        </w:rPr>
      </w:pPr>
      <w:r w:rsidRPr="001E5C79">
        <w:rPr>
          <w:noProof/>
        </w:rPr>
        <w:t>1 artikla</w:t>
      </w:r>
      <w:r w:rsidRPr="001E5C79">
        <w:rPr>
          <w:noProof/>
        </w:rPr>
        <w:br/>
        <w:t>Kauppaa vapauttavat toimenpiteet</w:t>
      </w:r>
    </w:p>
    <w:p w:rsidR="0034741D" w:rsidRPr="001E5C79" w:rsidRDefault="0034741D" w:rsidP="0034741D">
      <w:pPr>
        <w:rPr>
          <w:noProof/>
        </w:rPr>
      </w:pPr>
      <w:r w:rsidRPr="001E5C79">
        <w:rPr>
          <w:noProof/>
        </w:rPr>
        <w:t xml:space="preserve">Keskeytetään tuontiin sovellettavasta yhteisestä järjestelmästä annetun asetuksen (EU) 2015/478 2, 4–7, 9–17 ja 19–21 artiklan soveltaminen Ukrainasta peräisin olevaan unioniin tulevaan tuontiin. </w:t>
      </w:r>
    </w:p>
    <w:p w:rsidR="00B529D9" w:rsidRPr="001E5C79" w:rsidRDefault="00B529D9" w:rsidP="00B529D9">
      <w:pPr>
        <w:pStyle w:val="Titrearticle"/>
        <w:rPr>
          <w:noProof/>
        </w:rPr>
      </w:pPr>
      <w:r w:rsidRPr="001E5C79">
        <w:rPr>
          <w:noProof/>
        </w:rPr>
        <w:t>2 artikla</w:t>
      </w:r>
      <w:r w:rsidRPr="001E5C79">
        <w:rPr>
          <w:noProof/>
        </w:rPr>
        <w:br/>
        <w:t>Väliaikainen keskeyttäminen</w:t>
      </w:r>
    </w:p>
    <w:p w:rsidR="000B22C2" w:rsidRPr="001E5C79" w:rsidRDefault="00F723F7" w:rsidP="003D4C8B">
      <w:pPr>
        <w:rPr>
          <w:i/>
          <w:noProof/>
        </w:rPr>
      </w:pPr>
      <w:r w:rsidRPr="001E5C79">
        <w:rPr>
          <w:noProof/>
        </w:rPr>
        <w:t>Siirretään komissiolle valta antaa täytäntöönpanosäädös, jolla keskeytetään tämän asetuksen soveltaminen tietyn tuotteen osalta ajanjaksoksi, joka ei periaatteessa saa ylittää kahtatoista kuukautta, jos kyseisen Ukrainasta peräisin olevan tuotteen tuonti kasvaa tasolle, joka merkittävästi lisää samankaltaista tai suoraan kilpailevaa tuotetta tuottavalle unionin tuotannonalalle aiheutuvaa vakavaa haittaa tai vakavan haitan uhkaa. Kyseinen täytäntöönpanosäädös hyväksytään 3 artiklan 2 kohdassa tarkoitettua tarkastelumenettelyä noudattaen.</w:t>
      </w:r>
    </w:p>
    <w:p w:rsidR="005857A9" w:rsidRPr="001E5C79" w:rsidRDefault="00B529D9" w:rsidP="005857A9">
      <w:pPr>
        <w:pStyle w:val="Titrearticle"/>
        <w:spacing w:before="0" w:after="0"/>
        <w:rPr>
          <w:noProof/>
        </w:rPr>
      </w:pPr>
      <w:r w:rsidRPr="001E5C79">
        <w:rPr>
          <w:noProof/>
        </w:rPr>
        <w:t>3 artikla</w:t>
      </w:r>
    </w:p>
    <w:p w:rsidR="005857A9" w:rsidRPr="001E5C79" w:rsidRDefault="005857A9" w:rsidP="005857A9">
      <w:pPr>
        <w:pStyle w:val="Titrearticle"/>
        <w:spacing w:before="0"/>
        <w:rPr>
          <w:noProof/>
        </w:rPr>
      </w:pPr>
      <w:r w:rsidRPr="001E5C79">
        <w:rPr>
          <w:noProof/>
        </w:rPr>
        <w:t>Komiteamenettely</w:t>
      </w:r>
    </w:p>
    <w:p w:rsidR="005857A9" w:rsidRPr="001E5C79" w:rsidRDefault="002A6619" w:rsidP="002A6619">
      <w:pPr>
        <w:pStyle w:val="ManualNumPar1"/>
        <w:rPr>
          <w:noProof/>
        </w:rPr>
      </w:pPr>
      <w:r w:rsidRPr="002A6619">
        <w:rPr>
          <w:noProof/>
        </w:rPr>
        <w:t>1.</w:t>
      </w:r>
      <w:r w:rsidRPr="002A6619">
        <w:rPr>
          <w:noProof/>
        </w:rPr>
        <w:tab/>
      </w:r>
      <w:r w:rsidR="005857A9" w:rsidRPr="001E5C79">
        <w:rPr>
          <w:noProof/>
        </w:rPr>
        <w:t>Komissiota avustaa tämän asetuksen 4 artiklan soveltamisessa suojatoimenpidekomitea. Tämä komitea on asetuksessa (EU) N:o 182/2011 tarkoitettu komitea.</w:t>
      </w:r>
    </w:p>
    <w:p w:rsidR="005857A9" w:rsidRPr="001E5C79" w:rsidRDefault="002A6619" w:rsidP="002A6619">
      <w:pPr>
        <w:pStyle w:val="ManualNumPar1"/>
        <w:rPr>
          <w:noProof/>
        </w:rPr>
      </w:pPr>
      <w:r w:rsidRPr="002A6619">
        <w:rPr>
          <w:noProof/>
        </w:rPr>
        <w:t>2.</w:t>
      </w:r>
      <w:r w:rsidRPr="002A6619">
        <w:rPr>
          <w:noProof/>
        </w:rPr>
        <w:tab/>
      </w:r>
      <w:r w:rsidR="005857A9" w:rsidRPr="001E5C79">
        <w:rPr>
          <w:noProof/>
        </w:rPr>
        <w:t>Kun viitataan tähän kohtaan, sovelletaan asetuksen (EU) N:o 182/2011 5 artiklaa.</w:t>
      </w:r>
    </w:p>
    <w:p w:rsidR="005857A9" w:rsidRPr="001E5C79" w:rsidRDefault="005857A9" w:rsidP="005857A9">
      <w:pPr>
        <w:pStyle w:val="Titrearticle"/>
        <w:spacing w:after="0"/>
        <w:rPr>
          <w:noProof/>
        </w:rPr>
      </w:pPr>
      <w:r w:rsidRPr="001E5C79">
        <w:rPr>
          <w:noProof/>
        </w:rPr>
        <w:t>4 artikla</w:t>
      </w:r>
    </w:p>
    <w:p w:rsidR="00B529D9" w:rsidRPr="001E5C79" w:rsidRDefault="00B529D9" w:rsidP="005857A9">
      <w:pPr>
        <w:pStyle w:val="Titrearticle"/>
        <w:spacing w:before="0"/>
        <w:rPr>
          <w:noProof/>
        </w:rPr>
      </w:pPr>
      <w:r w:rsidRPr="001E5C79">
        <w:rPr>
          <w:noProof/>
        </w:rPr>
        <w:t>Voimaantulo ja soveltaminen</w:t>
      </w:r>
    </w:p>
    <w:p w:rsidR="001C649C" w:rsidRPr="001E5C79" w:rsidRDefault="00B529D9" w:rsidP="000B22C2">
      <w:pPr>
        <w:rPr>
          <w:noProof/>
        </w:rPr>
      </w:pPr>
      <w:r w:rsidRPr="001E5C79">
        <w:rPr>
          <w:noProof/>
        </w:rPr>
        <w:t xml:space="preserve">Tämä asetus tulee voimaan 6 päivänä kesäkuuta 2025. </w:t>
      </w:r>
    </w:p>
    <w:p w:rsidR="001C649C" w:rsidRPr="001E5C79" w:rsidRDefault="001C649C" w:rsidP="000B22C2">
      <w:pPr>
        <w:rPr>
          <w:noProof/>
        </w:rPr>
      </w:pPr>
      <w:r w:rsidRPr="001E5C79">
        <w:rPr>
          <w:noProof/>
        </w:rPr>
        <w:t xml:space="preserve">Sitä sovelletaan aluksi kolmen vuoden ajan. </w:t>
      </w:r>
    </w:p>
    <w:p w:rsidR="000B22C2" w:rsidRPr="001E5C79" w:rsidRDefault="001C649C" w:rsidP="000B22C2">
      <w:pPr>
        <w:rPr>
          <w:noProof/>
        </w:rPr>
      </w:pPr>
      <w:r w:rsidRPr="001E5C79">
        <w:rPr>
          <w:noProof/>
        </w:rPr>
        <w:t>Sen soveltamista jatketaan ilman eri toimenpiteitä kolmen vuoden mittaisiksi ajanjaksoiksi, jollei Euroopan parlamentti tai neuvosto vastusta tällaista jatkamista viimeistään kolme kuukautta ennen kunkin kauden päättymistä.</w:t>
      </w:r>
    </w:p>
    <w:p w:rsidR="0085414B" w:rsidRPr="001E5C79" w:rsidRDefault="0085414B" w:rsidP="00E61698">
      <w:pPr>
        <w:pStyle w:val="Applicationdirecte"/>
        <w:rPr>
          <w:noProof/>
        </w:rPr>
      </w:pPr>
      <w:r w:rsidRPr="001E5C79">
        <w:rPr>
          <w:noProof/>
        </w:rPr>
        <w:t>Tämä asetus on kaikilta osiltaan velvoittava, ja sitä sovelletaan sellaisenaan kaikissa jäsenvaltioissa.</w:t>
      </w:r>
    </w:p>
    <w:p w:rsidR="0085414B" w:rsidRPr="001E5C79" w:rsidRDefault="001E5C79" w:rsidP="008373A2">
      <w:pPr>
        <w:pStyle w:val="Fait"/>
        <w:rPr>
          <w:noProof/>
        </w:rPr>
      </w:pPr>
      <w:r>
        <w:rPr>
          <w:noProof/>
        </w:rPr>
        <w:t>Tehty Brysselissä</w:t>
      </w:r>
    </w:p>
    <w:p w:rsidR="0085414B" w:rsidRPr="001E5C79" w:rsidRDefault="0085414B" w:rsidP="008373A2">
      <w:pPr>
        <w:pStyle w:val="Institutionquisigne"/>
        <w:rPr>
          <w:noProof/>
        </w:rPr>
      </w:pPr>
      <w:r w:rsidRPr="001E5C79">
        <w:rPr>
          <w:noProof/>
        </w:rPr>
        <w:t>Euroopan parlamentin puolesta</w:t>
      </w:r>
      <w:r w:rsidRPr="001E5C79">
        <w:rPr>
          <w:noProof/>
        </w:rPr>
        <w:tab/>
        <w:t>Neuvoston puolesta</w:t>
      </w:r>
    </w:p>
    <w:p w:rsidR="000E6559" w:rsidRPr="001E5C79" w:rsidRDefault="0085414B" w:rsidP="0085414B">
      <w:pPr>
        <w:pStyle w:val="Personnequisigne"/>
        <w:rPr>
          <w:noProof/>
        </w:rPr>
      </w:pPr>
      <w:r w:rsidRPr="001E5C79">
        <w:rPr>
          <w:noProof/>
        </w:rPr>
        <w:t>Puhemies</w:t>
      </w:r>
      <w:r w:rsidRPr="001E5C79">
        <w:rPr>
          <w:noProof/>
        </w:rPr>
        <w:tab/>
        <w:t>Puheenjohtaja</w:t>
      </w:r>
      <w:bookmarkEnd w:id="1"/>
    </w:p>
    <w:p w:rsidR="000E6559" w:rsidRPr="001E5C79" w:rsidRDefault="000E6559" w:rsidP="000E6559">
      <w:pPr>
        <w:pStyle w:val="Fichefinanciretitre"/>
        <w:rPr>
          <w:noProof/>
        </w:rPr>
      </w:pPr>
      <w:r w:rsidRPr="001E5C79">
        <w:rPr>
          <w:noProof/>
        </w:rPr>
        <w:br w:type="page"/>
        <w:t>YKSINOMAAN TALOUSARVION TULOPUOLEEN VAIKUTTAVAAN SÄÄDÖKSEEN LIITTYVÄ RAHOITUSSELVITYS</w:t>
      </w:r>
    </w:p>
    <w:p w:rsidR="000E6559" w:rsidRPr="001E5C79" w:rsidRDefault="000E6559" w:rsidP="000E6559">
      <w:pPr>
        <w:pStyle w:val="ManualHeading1"/>
        <w:rPr>
          <w:noProof/>
        </w:rPr>
      </w:pPr>
      <w:r w:rsidRPr="001E5C79">
        <w:rPr>
          <w:noProof/>
        </w:rPr>
        <w:t>1.</w:t>
      </w:r>
      <w:r w:rsidRPr="001E5C79">
        <w:rPr>
          <w:noProof/>
        </w:rPr>
        <w:tab/>
        <w:t>EHDOTUKSEN NIMI:</w:t>
      </w:r>
    </w:p>
    <w:p w:rsidR="00DC7FDF" w:rsidRPr="001E5C79" w:rsidRDefault="000E6559" w:rsidP="00254C44">
      <w:pPr>
        <w:rPr>
          <w:b/>
          <w:noProof/>
        </w:rPr>
      </w:pPr>
      <w:r w:rsidRPr="001E5C79">
        <w:rPr>
          <w:noProof/>
        </w:rPr>
        <w:t>Ehdotus Euroopan parlamentin ja neuvoston asetukseksi asetuksen (EU) 2015/478 tiettyjen osien soveltamisen keskeyttämisestä ukrainalaisten tuotteiden tuonnissa Euroopan unioniin</w:t>
      </w:r>
    </w:p>
    <w:p w:rsidR="000E6559" w:rsidRPr="001E5C79" w:rsidRDefault="000E6559" w:rsidP="000E6559">
      <w:pPr>
        <w:pStyle w:val="ManualHeading1"/>
        <w:rPr>
          <w:noProof/>
        </w:rPr>
      </w:pPr>
      <w:r w:rsidRPr="001E5C79">
        <w:rPr>
          <w:noProof/>
        </w:rPr>
        <w:t>2.</w:t>
      </w:r>
      <w:r w:rsidRPr="001E5C79">
        <w:rPr>
          <w:noProof/>
        </w:rPr>
        <w:tab/>
        <w:t>BUDJETTIKOHDAT:</w:t>
      </w:r>
    </w:p>
    <w:p w:rsidR="000E6559" w:rsidRPr="001E5C79" w:rsidRDefault="000E6559" w:rsidP="000E6559">
      <w:pPr>
        <w:pStyle w:val="Text1"/>
        <w:rPr>
          <w:noProof/>
        </w:rPr>
      </w:pPr>
      <w:r w:rsidRPr="001E5C79">
        <w:rPr>
          <w:noProof/>
        </w:rPr>
        <w:t>12 luvun 120 momentti.</w:t>
      </w:r>
    </w:p>
    <w:p w:rsidR="000E6559" w:rsidRPr="001E5C79" w:rsidRDefault="000E6559" w:rsidP="000E6559">
      <w:pPr>
        <w:pStyle w:val="ManualHeading1"/>
        <w:rPr>
          <w:noProof/>
        </w:rPr>
      </w:pPr>
      <w:r w:rsidRPr="001E5C79">
        <w:rPr>
          <w:noProof/>
        </w:rPr>
        <w:t>3.</w:t>
      </w:r>
      <w:r w:rsidRPr="001E5C79">
        <w:rPr>
          <w:noProof/>
        </w:rPr>
        <w:tab/>
        <w:t xml:space="preserve">RAHOITUSVAIKUTUKSET </w:t>
      </w:r>
    </w:p>
    <w:p w:rsidR="000E6559" w:rsidRPr="001E5C79" w:rsidRDefault="00EC0913" w:rsidP="00EC0913">
      <w:pPr>
        <w:pStyle w:val="Text1"/>
        <w:rPr>
          <w:noProof/>
        </w:rPr>
      </w:pPr>
      <w:r w:rsidRPr="001E5C79">
        <w:rPr>
          <w:rFonts w:ascii="Segoe UI Symbol" w:hAnsi="Segoe UI Symbol"/>
          <w:noProof/>
        </w:rPr>
        <w:t>☒</w:t>
      </w:r>
      <w:r w:rsidRPr="001E5C79">
        <w:rPr>
          <w:noProof/>
        </w:rPr>
        <w:tab/>
        <w:t>Ehdotuksella ei ole rahoitusvaikutuksia.</w:t>
      </w:r>
    </w:p>
    <w:p w:rsidR="000E6559" w:rsidRPr="001E5C79" w:rsidRDefault="00616566" w:rsidP="00616566">
      <w:pPr>
        <w:pStyle w:val="Text1"/>
        <w:rPr>
          <w:noProof/>
        </w:rPr>
      </w:pPr>
      <w:r w:rsidRPr="001E5C79">
        <w:rPr>
          <w:noProof/>
        </w:rPr>
        <w:sym w:font="Wingdings" w:char="F0A8"/>
      </w:r>
      <w:r w:rsidRPr="001E5C79">
        <w:rPr>
          <w:noProof/>
        </w:rPr>
        <w:tab/>
        <w:t>Ehdotuksella ei ole rahoitusvaikutuksia menoihin, mutta sillä on seuraava rahoitusvaikutus tuloihin:</w:t>
      </w:r>
    </w:p>
    <w:tbl>
      <w:tblPr>
        <w:tblW w:w="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2641"/>
        <w:gridCol w:w="2551"/>
        <w:gridCol w:w="3402"/>
      </w:tblGrid>
      <w:tr w:rsidR="000E6559" w:rsidRPr="001E5C79" w:rsidTr="3B63E65D">
        <w:trPr>
          <w:gridAfter w:val="1"/>
          <w:wAfter w:w="3402" w:type="dxa"/>
          <w:cantSplit/>
          <w:trHeight w:val="408"/>
        </w:trPr>
        <w:tc>
          <w:tcPr>
            <w:tcW w:w="2641" w:type="dxa"/>
            <w:tcBorders>
              <w:top w:val="single" w:sz="4" w:space="0" w:color="auto"/>
              <w:left w:val="single" w:sz="4" w:space="0" w:color="auto"/>
              <w:bottom w:val="single" w:sz="4" w:space="0" w:color="auto"/>
              <w:right w:val="single" w:sz="4" w:space="0" w:color="auto"/>
            </w:tcBorders>
          </w:tcPr>
          <w:p w:rsidR="000E6559" w:rsidRPr="001E5C79" w:rsidRDefault="000E6559">
            <w:pPr>
              <w:spacing w:line="276" w:lineRule="auto"/>
              <w:rPr>
                <w:noProof/>
                <w:sz w:val="18"/>
              </w:rPr>
            </w:pPr>
          </w:p>
        </w:tc>
        <w:tc>
          <w:tcPr>
            <w:tcW w:w="2551" w:type="dxa"/>
            <w:tcBorders>
              <w:top w:val="single" w:sz="4" w:space="0" w:color="auto"/>
              <w:left w:val="single" w:sz="4" w:space="0" w:color="auto"/>
              <w:bottom w:val="single" w:sz="4" w:space="0" w:color="auto"/>
              <w:right w:val="single" w:sz="4" w:space="0" w:color="auto"/>
            </w:tcBorders>
          </w:tcPr>
          <w:p w:rsidR="000E6559" w:rsidRPr="001E5C79" w:rsidRDefault="000E6559">
            <w:pPr>
              <w:spacing w:line="276" w:lineRule="auto"/>
              <w:rPr>
                <w:noProof/>
                <w:sz w:val="18"/>
              </w:rPr>
            </w:pPr>
          </w:p>
        </w:tc>
      </w:tr>
      <w:tr w:rsidR="000E6559" w:rsidRPr="001E5C79" w:rsidTr="3B63E65D">
        <w:trPr>
          <w:trHeight w:val="859"/>
        </w:trPr>
        <w:tc>
          <w:tcPr>
            <w:tcW w:w="26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E6559" w:rsidRPr="001E5C79" w:rsidRDefault="000E6559">
            <w:pPr>
              <w:spacing w:line="276" w:lineRule="auto"/>
              <w:jc w:val="center"/>
              <w:rPr>
                <w:noProof/>
                <w:color w:val="000000"/>
              </w:rPr>
            </w:pPr>
            <w:r w:rsidRPr="001E5C79">
              <w:rPr>
                <w:noProof/>
                <w:color w:val="000000"/>
              </w:rPr>
              <w:t>Budjettikohta</w:t>
            </w:r>
          </w:p>
        </w:tc>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E6559" w:rsidRPr="001E5C79" w:rsidRDefault="000E6559">
            <w:pPr>
              <w:spacing w:line="276" w:lineRule="auto"/>
              <w:jc w:val="center"/>
              <w:rPr>
                <w:i/>
                <w:noProof/>
              </w:rPr>
            </w:pPr>
            <w:r w:rsidRPr="001E5C79">
              <w:rPr>
                <w:noProof/>
                <w:color w:val="000000"/>
              </w:rPr>
              <w:t>Tulot</w:t>
            </w:r>
            <w:r w:rsidRPr="001E5C79">
              <w:rPr>
                <w:i/>
                <w:noProof/>
              </w:rPr>
              <w:t xml:space="preserve"> </w:t>
            </w:r>
          </w:p>
          <w:p w:rsidR="000E6559" w:rsidRPr="001E5C79" w:rsidRDefault="000E6559">
            <w:pPr>
              <w:spacing w:line="276" w:lineRule="auto"/>
              <w:jc w:val="center"/>
              <w:rPr>
                <w:noProof/>
                <w:color w:val="000000"/>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E6559" w:rsidRPr="001E5C79" w:rsidRDefault="000E6559">
            <w:pPr>
              <w:spacing w:line="276" w:lineRule="auto"/>
              <w:jc w:val="center"/>
              <w:rPr>
                <w:noProof/>
              </w:rPr>
            </w:pPr>
            <w:r w:rsidRPr="001E5C79">
              <w:rPr>
                <w:noProof/>
              </w:rPr>
              <w:t>Kausi: osa vuotta 2024 – osa vuotta 2025 *</w:t>
            </w:r>
          </w:p>
          <w:p w:rsidR="000E6559" w:rsidRPr="001E5C79" w:rsidRDefault="000E6559">
            <w:pPr>
              <w:spacing w:line="276" w:lineRule="auto"/>
              <w:jc w:val="center"/>
              <w:rPr>
                <w:noProof/>
              </w:rPr>
            </w:pPr>
            <w:r w:rsidRPr="001E5C79">
              <w:rPr>
                <w:noProof/>
              </w:rPr>
              <w:t>(milj. euroa yhden desimaalin tarkkuudella)</w:t>
            </w:r>
          </w:p>
        </w:tc>
      </w:tr>
      <w:tr w:rsidR="000E6559" w:rsidRPr="001E5C79" w:rsidTr="3B63E65D">
        <w:trPr>
          <w:trHeight w:val="591"/>
        </w:trPr>
        <w:tc>
          <w:tcPr>
            <w:tcW w:w="26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E6559" w:rsidRPr="001E5C79" w:rsidRDefault="0041381A" w:rsidP="3B63E65D">
            <w:pPr>
              <w:spacing w:line="276" w:lineRule="auto"/>
              <w:jc w:val="center"/>
              <w:rPr>
                <w:rStyle w:val="FootnoteReference"/>
                <w:noProof/>
              </w:rPr>
            </w:pPr>
            <w:r w:rsidRPr="001E5C79">
              <w:rPr>
                <w:noProof/>
              </w:rPr>
              <w:t xml:space="preserve">12 luvun 120 momentti </w:t>
            </w:r>
          </w:p>
        </w:tc>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E6559" w:rsidRPr="001E5C79" w:rsidRDefault="199008F6" w:rsidP="3B63E65D">
            <w:pPr>
              <w:spacing w:line="276" w:lineRule="auto"/>
              <w:jc w:val="center"/>
              <w:rPr>
                <w:noProof/>
              </w:rPr>
            </w:pPr>
            <w:r w:rsidRPr="001E5C79">
              <w:rPr>
                <w:noProof/>
              </w:rPr>
              <w:t>Ei vaikutusta omiin varoihin</w:t>
            </w: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E6559" w:rsidRPr="001E5C79" w:rsidRDefault="001E2430">
            <w:pPr>
              <w:spacing w:line="276" w:lineRule="auto"/>
              <w:jc w:val="center"/>
              <w:rPr>
                <w:noProof/>
              </w:rPr>
            </w:pPr>
            <w:r w:rsidRPr="001E5C79">
              <w:rPr>
                <w:noProof/>
              </w:rPr>
              <w:t>Ei sovelleta</w:t>
            </w:r>
          </w:p>
        </w:tc>
      </w:tr>
      <w:tr w:rsidR="000E6559" w:rsidRPr="001E5C79" w:rsidTr="3B63E65D">
        <w:tc>
          <w:tcPr>
            <w:tcW w:w="26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E6559" w:rsidRPr="001E5C79" w:rsidRDefault="000E6559">
            <w:pPr>
              <w:spacing w:line="276" w:lineRule="auto"/>
              <w:jc w:val="center"/>
              <w:rPr>
                <w:b/>
                <w:noProof/>
              </w:rPr>
            </w:pPr>
            <w:r w:rsidRPr="001E5C79">
              <w:rPr>
                <w:b/>
                <w:noProof/>
              </w:rPr>
              <w:t xml:space="preserve">Yhteensä </w:t>
            </w:r>
          </w:p>
        </w:tc>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E6559" w:rsidRPr="001E5C79" w:rsidRDefault="000E6559">
            <w:pPr>
              <w:spacing w:line="276" w:lineRule="auto"/>
              <w:jc w:val="center"/>
              <w:rPr>
                <w:b/>
                <w:i/>
                <w:noProof/>
              </w:rPr>
            </w:pPr>
          </w:p>
        </w:tc>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E6559" w:rsidRPr="001E5C79" w:rsidRDefault="000E6559">
            <w:pPr>
              <w:spacing w:line="276" w:lineRule="auto"/>
              <w:jc w:val="center"/>
              <w:rPr>
                <w:noProof/>
                <w:color w:val="000000"/>
              </w:rPr>
            </w:pPr>
          </w:p>
        </w:tc>
      </w:tr>
    </w:tbl>
    <w:p w:rsidR="000E6559" w:rsidRPr="001E5C79" w:rsidRDefault="000E6559" w:rsidP="000E6559">
      <w:pPr>
        <w:pStyle w:val="Text2"/>
        <w:rPr>
          <w:noProof/>
        </w:rPr>
      </w:pPr>
      <w:r w:rsidRPr="001E5C79">
        <w:rPr>
          <w:noProof/>
        </w:rPr>
        <w:t>* Yksi vuosi asetuksen voimaantulosta</w:t>
      </w:r>
    </w:p>
    <w:p w:rsidR="000E6559" w:rsidRPr="001E5C79" w:rsidRDefault="000E6559" w:rsidP="000E6559">
      <w:pPr>
        <w:pStyle w:val="ManualHeading1"/>
        <w:rPr>
          <w:noProof/>
        </w:rPr>
      </w:pPr>
      <w:r w:rsidRPr="001E5C79">
        <w:rPr>
          <w:noProof/>
        </w:rPr>
        <w:t>4.</w:t>
      </w:r>
      <w:r w:rsidRPr="001E5C79">
        <w:rPr>
          <w:noProof/>
        </w:rPr>
        <w:tab/>
        <w:t>PETOSTENTORJUNTA</w:t>
      </w:r>
    </w:p>
    <w:p w:rsidR="003D372A" w:rsidRPr="001E5C79" w:rsidRDefault="000E6559" w:rsidP="000E6559">
      <w:pPr>
        <w:rPr>
          <w:noProof/>
        </w:rPr>
      </w:pPr>
      <w:r w:rsidRPr="001E5C79">
        <w:rPr>
          <w:noProof/>
        </w:rPr>
        <w:t>Petosten ehkäisemiseksi tässä asetusehdotuksessa vahvistettujen kauppatoimenpiteiden edellytyksenä olisi oltava, että i) Ukraina noudattaa kaikkia asiaankuuluvia edellytyksiä assosiaatiosopimuksen mukaisten etujen saamiseksi (mukaan lukien asianomaisten tuotteiden alkuperäsäännöt ja niihin liittyvät menettelyt) ja ii) että Ukraina tekee tiivistä hallinnollista yhteistyötä unionin kanssa (siten kuin assosiaatiosopimuksessa määrätään).</w:t>
      </w:r>
    </w:p>
    <w:sectPr w:rsidR="003D372A" w:rsidRPr="001E5C79" w:rsidSect="00C4369A">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F61" w:rsidRDefault="00791F61" w:rsidP="0085414B">
      <w:pPr>
        <w:spacing w:before="0" w:after="0"/>
      </w:pPr>
      <w:r>
        <w:separator/>
      </w:r>
    </w:p>
  </w:endnote>
  <w:endnote w:type="continuationSeparator" w:id="0">
    <w:p w:rsidR="00791F61" w:rsidRDefault="00791F61" w:rsidP="0085414B">
      <w:pPr>
        <w:spacing w:before="0" w:after="0"/>
      </w:pPr>
      <w:r>
        <w:continuationSeparator/>
      </w:r>
    </w:p>
  </w:endnote>
  <w:endnote w:type="continuationNotice" w:id="1">
    <w:p w:rsidR="00791F61" w:rsidRDefault="00791F6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69A" w:rsidRPr="00C4369A" w:rsidRDefault="00C4369A" w:rsidP="00C4369A">
    <w:pPr>
      <w:pStyle w:val="Footer"/>
      <w:rPr>
        <w:rFonts w:ascii="Arial" w:hAnsi="Arial" w:cs="Arial"/>
        <w:b/>
        <w:sz w:val="48"/>
      </w:rPr>
    </w:pPr>
    <w:r w:rsidRPr="00C4369A">
      <w:rPr>
        <w:rFonts w:ascii="Arial" w:hAnsi="Arial" w:cs="Arial"/>
        <w:b/>
        <w:sz w:val="48"/>
      </w:rPr>
      <w:t>FI</w:t>
    </w:r>
    <w:r w:rsidRPr="00C4369A">
      <w:rPr>
        <w:rFonts w:ascii="Arial" w:hAnsi="Arial" w:cs="Arial"/>
        <w:b/>
        <w:sz w:val="48"/>
      </w:rPr>
      <w:tab/>
    </w:r>
    <w:r w:rsidRPr="00C4369A">
      <w:rPr>
        <w:rFonts w:ascii="Arial" w:hAnsi="Arial" w:cs="Arial"/>
        <w:b/>
        <w:sz w:val="48"/>
      </w:rPr>
      <w:tab/>
    </w:r>
    <w:r w:rsidRPr="00C4369A">
      <w:tab/>
    </w:r>
    <w:r w:rsidRPr="00C4369A">
      <w:rPr>
        <w:rFonts w:ascii="Arial" w:hAnsi="Arial" w:cs="Arial"/>
        <w:b/>
        <w:sz w:val="48"/>
      </w:rPr>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69A" w:rsidRPr="00C4369A" w:rsidRDefault="00C4369A" w:rsidP="00C4369A">
    <w:pPr>
      <w:pStyle w:val="Footer"/>
      <w:rPr>
        <w:rFonts w:ascii="Arial" w:hAnsi="Arial" w:cs="Arial"/>
        <w:b/>
        <w:sz w:val="48"/>
      </w:rPr>
    </w:pPr>
    <w:r w:rsidRPr="00C4369A">
      <w:rPr>
        <w:rFonts w:ascii="Arial" w:hAnsi="Arial" w:cs="Arial"/>
        <w:b/>
        <w:sz w:val="48"/>
      </w:rPr>
      <w:t>FI</w:t>
    </w:r>
    <w:r w:rsidRPr="00C4369A">
      <w:rPr>
        <w:rFonts w:ascii="Arial" w:hAnsi="Arial" w:cs="Arial"/>
        <w:b/>
        <w:sz w:val="48"/>
      </w:rPr>
      <w:tab/>
    </w:r>
    <w:r w:rsidRPr="00C4369A">
      <w:rPr>
        <w:rFonts w:ascii="Arial" w:hAnsi="Arial" w:cs="Arial"/>
        <w:b/>
        <w:sz w:val="48"/>
      </w:rPr>
      <w:tab/>
    </w:r>
    <w:r w:rsidRPr="00C4369A">
      <w:tab/>
    </w:r>
    <w:r w:rsidRPr="00C4369A">
      <w:rPr>
        <w:rFonts w:ascii="Arial" w:hAnsi="Arial" w:cs="Arial"/>
        <w:b/>
        <w:sz w:val="48"/>
      </w:rPr>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69A" w:rsidRDefault="00C436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69A" w:rsidRPr="00C4369A" w:rsidRDefault="00C4369A" w:rsidP="00C4369A">
    <w:pPr>
      <w:pStyle w:val="Footer"/>
      <w:rPr>
        <w:rFonts w:ascii="Arial" w:hAnsi="Arial" w:cs="Arial"/>
        <w:b/>
        <w:sz w:val="48"/>
      </w:rPr>
    </w:pPr>
    <w:r w:rsidRPr="00C4369A">
      <w:rPr>
        <w:rFonts w:ascii="Arial" w:hAnsi="Arial" w:cs="Arial"/>
        <w:b/>
        <w:sz w:val="48"/>
      </w:rPr>
      <w:t>FI</w:t>
    </w:r>
    <w:r w:rsidRPr="00C4369A">
      <w:rPr>
        <w:rFonts w:ascii="Arial" w:hAnsi="Arial" w:cs="Arial"/>
        <w:b/>
        <w:sz w:val="48"/>
      </w:rPr>
      <w:tab/>
    </w:r>
    <w:r>
      <w:fldChar w:fldCharType="begin"/>
    </w:r>
    <w:r>
      <w:instrText xml:space="preserve"> PAGE  \* MERGEFORMAT </w:instrText>
    </w:r>
    <w:r>
      <w:fldChar w:fldCharType="separate"/>
    </w:r>
    <w:r w:rsidR="008373A2">
      <w:rPr>
        <w:noProof/>
      </w:rPr>
      <w:t>7</w:t>
    </w:r>
    <w:r>
      <w:fldChar w:fldCharType="end"/>
    </w:r>
    <w:r>
      <w:tab/>
    </w:r>
    <w:r w:rsidRPr="00C4369A">
      <w:tab/>
    </w:r>
    <w:r w:rsidRPr="00C4369A">
      <w:rPr>
        <w:rFonts w:ascii="Arial" w:hAnsi="Arial" w:cs="Arial"/>
        <w:b/>
        <w:sz w:val="48"/>
      </w:rPr>
      <w:t>FI</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69A" w:rsidRDefault="00C4369A" w:rsidP="00C436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F61" w:rsidRDefault="00791F61" w:rsidP="0085414B">
      <w:pPr>
        <w:spacing w:before="0" w:after="0"/>
      </w:pPr>
      <w:r>
        <w:separator/>
      </w:r>
    </w:p>
  </w:footnote>
  <w:footnote w:type="continuationSeparator" w:id="0">
    <w:p w:rsidR="00791F61" w:rsidRDefault="00791F61" w:rsidP="0085414B">
      <w:pPr>
        <w:spacing w:before="0" w:after="0"/>
      </w:pPr>
      <w:r>
        <w:continuationSeparator/>
      </w:r>
    </w:p>
  </w:footnote>
  <w:footnote w:type="continuationNotice" w:id="1">
    <w:p w:rsidR="00791F61" w:rsidRDefault="00791F61">
      <w:pPr>
        <w:spacing w:before="0" w:after="0"/>
      </w:pPr>
    </w:p>
  </w:footnote>
  <w:footnote w:id="2">
    <w:p w:rsidR="00F828E9" w:rsidRPr="002020FF" w:rsidRDefault="00F828E9" w:rsidP="005067E6">
      <w:pPr>
        <w:pStyle w:val="FootnoteText"/>
      </w:pPr>
      <w:r>
        <w:rPr>
          <w:rStyle w:val="FootnoteReference"/>
        </w:rPr>
        <w:footnoteRef/>
      </w:r>
      <w:r>
        <w:tab/>
        <w:t>Euroopan parlamentin ja neuvoston asetus (EU) 2022/870, annettu 30 päivänä toukokuuta 2022, Euroopan unionin ja Euroopan atomienergiayhteisön ja niiden jäsenvaltioiden sekä Ukrainan välisen assosiaatiosopimuksen mukaisesti ukrainalaisiin tuotteisiin sovellettavia kaupan myönnytyksiä täydentävistä väliaikaisista kauppaa vapauttavista toimenpiteistä (EUVL L 152, 3.6.2022, s. 103).</w:t>
      </w:r>
    </w:p>
  </w:footnote>
  <w:footnote w:id="3">
    <w:p w:rsidR="00F828E9" w:rsidRPr="00F70B40" w:rsidRDefault="00F828E9" w:rsidP="005067E6">
      <w:pPr>
        <w:pStyle w:val="FootnoteText"/>
      </w:pPr>
      <w:r>
        <w:rPr>
          <w:rStyle w:val="FootnoteReference"/>
        </w:rPr>
        <w:footnoteRef/>
      </w:r>
      <w:r>
        <w:tab/>
        <w:t>Euroopan parlamentin ja neuvoston asetus (EU) 2023/1077, annettu 31 päivänä toukokuuta 2023, Euroopan unionin ja Euroopan atomienergiayhteisön ja niiden jäsenvaltioiden sekä Ukrainan välisen assosiaatiosopimuksen mukaisesti ukrainalaisiin tuotteisiin sovellettavia kaupan myönnytyksiä täydentävistä väliaikaisista kauppaa vapauttavista toimenpiteistä (EUVL L 144, 5.6.2023, s. 1).</w:t>
      </w:r>
    </w:p>
  </w:footnote>
  <w:footnote w:id="4">
    <w:p w:rsidR="00F828E9" w:rsidRPr="00884969" w:rsidRDefault="00F828E9" w:rsidP="005067E6">
      <w:pPr>
        <w:pStyle w:val="FootnoteText"/>
      </w:pPr>
      <w:r>
        <w:rPr>
          <w:rStyle w:val="FootnoteReference"/>
        </w:rPr>
        <w:footnoteRef/>
      </w:r>
      <w:r>
        <w:tab/>
        <w:t xml:space="preserve">Euroopan parlamentin ja neuvoston asetus (EU) 2024/1392, annettu 14 päivänä toukokuuta 2024, Euroopan unionin ja Euroopan atomienergiayhteisön ja niiden jäsenvaltioiden sekä Ukrainan välisen assosiaatiosopimuksen mukaisesti ukrainalaisiin tuotteisiin sovellettavia kaupan myönnytyksiä täydentävistä väliaikaisista kauppaa vapauttavista toimenpiteistä, ELI: </w:t>
      </w:r>
      <w:hyperlink r:id="rId1" w:history="1">
        <w:r>
          <w:rPr>
            <w:rStyle w:val="Hyperlink"/>
          </w:rPr>
          <w:t>http://data.europa.eu/eli/reg/2024/1392/oj</w:t>
        </w:r>
      </w:hyperlink>
      <w:r>
        <w:t>.</w:t>
      </w:r>
    </w:p>
  </w:footnote>
  <w:footnote w:id="5">
    <w:p w:rsidR="00886316" w:rsidRPr="00C44650" w:rsidRDefault="00886316" w:rsidP="005067E6">
      <w:pPr>
        <w:pStyle w:val="FootnoteText"/>
      </w:pPr>
      <w:r>
        <w:rPr>
          <w:rStyle w:val="FootnoteReference"/>
        </w:rPr>
        <w:footnoteRef/>
      </w:r>
      <w:r>
        <w:tab/>
        <w:t>Euroopan parlamentin ja neuvoston asetus (EU) 2015/478, annettu 11 päivänä maaliskuuta 2015, tuontiin sovellettavasta yhteisestä järjestelmästä (EUVL L 83, 27.3.2015, s. 16).</w:t>
      </w:r>
    </w:p>
  </w:footnote>
  <w:footnote w:id="6">
    <w:p w:rsidR="00B529D9" w:rsidRPr="00837C16" w:rsidRDefault="00B529D9" w:rsidP="005067E6">
      <w:pPr>
        <w:pStyle w:val="FootnoteText"/>
      </w:pPr>
      <w:r>
        <w:rPr>
          <w:rStyle w:val="FootnoteReference"/>
        </w:rPr>
        <w:footnoteRef/>
      </w:r>
      <w:r>
        <w:tab/>
        <w:t>Euroopan parlamentin kanta (ei vielä julkaistu virallisessa lehdessä) ja neuvoston kanta (ei vielä julkaistu virallisessa lehdessä).</w:t>
      </w:r>
    </w:p>
  </w:footnote>
  <w:footnote w:id="7">
    <w:p w:rsidR="00B529D9" w:rsidRPr="00837C16" w:rsidRDefault="00B529D9" w:rsidP="005067E6">
      <w:pPr>
        <w:pStyle w:val="FootnoteText"/>
      </w:pPr>
      <w:r>
        <w:rPr>
          <w:rStyle w:val="FootnoteReference"/>
        </w:rPr>
        <w:footnoteRef/>
      </w:r>
      <w:r>
        <w:tab/>
        <w:t>EUVL L 161, 29.5.2014, s. 3.</w:t>
      </w:r>
    </w:p>
  </w:footnote>
  <w:footnote w:id="8">
    <w:p w:rsidR="00B529D9" w:rsidRPr="00837C16" w:rsidRDefault="00B529D9" w:rsidP="005067E6">
      <w:pPr>
        <w:pStyle w:val="FootnoteText"/>
      </w:pPr>
      <w:r>
        <w:rPr>
          <w:rStyle w:val="FootnoteReference"/>
        </w:rPr>
        <w:footnoteRef/>
      </w:r>
      <w:r>
        <w:tab/>
        <w:t>Neuvoston päätös 2014/668/EU, annettu 23 päivänä kesäkuuta 2014, Euroopan unionin ja Euroopan atomienergiayhteisön ja niiden jäsenvaltioiden sekä Ukrainan välisen assosiaatiosopimuksen allekirjoittamisesta Euroopan unionin puolesta III osaston (lukuun ottamatta määräyksiä, jotka liittyvät työntekijöinä toisen osapuolen alueella laillisesti työskentelevien kolmansien maiden kansalaisten kohteluun) ja IV, V, VI ja VII osaston sekä niitä koskevien liitteiden ja pöytäkirjojen osalta, ja sopimuksen väliaikaisesta soveltamisesta (EUVL L 278, 20.9.2014, s. 1).</w:t>
      </w:r>
    </w:p>
  </w:footnote>
  <w:footnote w:id="9">
    <w:p w:rsidR="00C45C2B" w:rsidRPr="00C44650" w:rsidRDefault="00C45C2B" w:rsidP="005067E6">
      <w:pPr>
        <w:pStyle w:val="FootnoteText"/>
      </w:pPr>
      <w:r>
        <w:rPr>
          <w:rStyle w:val="FootnoteReference"/>
        </w:rPr>
        <w:footnoteRef/>
      </w:r>
      <w:r>
        <w:tab/>
        <w:t>Euroopan parlamentin ja neuvoston asetus (EU) 2015/478, annettu 11 päivänä maaliskuuta 2015, tuontiin sovellettavasta yhteisestä järjestelmästä (EUVL L 83, 27.3.2015, s. 16).</w:t>
      </w:r>
    </w:p>
  </w:footnote>
  <w:footnote w:id="10">
    <w:p w:rsidR="000B464C" w:rsidRPr="00837C16" w:rsidRDefault="000B464C" w:rsidP="005067E6">
      <w:pPr>
        <w:pStyle w:val="FootnoteText"/>
      </w:pPr>
      <w:r>
        <w:rPr>
          <w:rStyle w:val="FootnoteReference"/>
        </w:rPr>
        <w:footnoteRef/>
      </w:r>
      <w:r>
        <w:tab/>
        <w:t>Euroopan parlamentin ja neuvoston asetus (EU) N:o 182/2011, annettu 16 päivänä helmikuuta 2011, yleisistä säännöistä ja periaatteista, joiden mukaisesti jäsenvaltiot valvovat komission täytäntöönpanovallan käyttöä (EUVL L 55, 28.2.2011, s. 13).</w:t>
      </w:r>
    </w:p>
  </w:footnote>
  <w:footnote w:id="11">
    <w:p w:rsidR="0034741D" w:rsidRPr="00D601FC" w:rsidRDefault="0034741D" w:rsidP="005067E6">
      <w:pPr>
        <w:pStyle w:val="FootnoteText"/>
        <w:jc w:val="left"/>
      </w:pPr>
      <w:r>
        <w:rPr>
          <w:rStyle w:val="FootnoteReference"/>
        </w:rPr>
        <w:footnoteRef/>
      </w:r>
      <w:r>
        <w:tab/>
        <w:t xml:space="preserve">Euroopan parlamentin ja neuvoston asetus (EU) 2024/1392, annettu 14 päivänä toukokuuta 2024, Euroopan unionin ja Euroopan atomienergiayhteisön ja niiden jäsenvaltioiden sekä Ukrainan välisen assosiaatiosopimuksen mukaisesti ukrainalaisiin tuotteisiin sovellettavia kaupan myönnytyksiä täydentävistä väliaikaisista kauppaa vapauttavista toimenpiteistä, ELI: </w:t>
      </w:r>
      <w:hyperlink r:id="rId2" w:history="1">
        <w:r>
          <w:rPr>
            <w:rStyle w:val="Hyperlink"/>
          </w:rPr>
          <w:t>http://data.europa.eu/eli/reg/2024/1392/oj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69A" w:rsidRDefault="00C436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69A" w:rsidRDefault="00C436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9DACE5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6ECB32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A58140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1B47BB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62034A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3E69A4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6F6C3D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C32549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5-03-11 08:38:5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59920B4-960B-439F-B566-3EA89A252682"/>
    <w:docVar w:name="LW_COVERPAGE_TYPE" w:val="1"/>
    <w:docVar w:name="LW_CROSSREFERENCE" w:val="&lt;UNUSED&gt;"/>
    <w:docVar w:name="LW_DocType" w:val="COM"/>
    <w:docVar w:name="LW_EMISSION" w:val="7.3.2025"/>
    <w:docVar w:name="LW_EMISSION_ISODATE" w:val="2025-03-07"/>
    <w:docVar w:name="LW_EMISSION_LOCATION" w:val="BRX"/>
    <w:docVar w:name="LW_EMISSION_PREFIX" w:val="Bryssel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FI"/>
    <w:docVar w:name="LW_LEVEL_OF_SENSITIVITY" w:val="Standard treatment"/>
    <w:docVar w:name="LW_NOM.INST" w:val="EUROOPAN KOMISSIO"/>
    <w:docVar w:name="LW_NOM.INST_JOINTDOC" w:val="&lt;EMPTY&gt;"/>
    <w:docVar w:name="LW_PART_NBR" w:val="1"/>
    <w:docVar w:name="LW_PART_NBR_TOTAL" w:val="1"/>
    <w:docVar w:name="LW_REF.II.NEW.CP" w:val="COD"/>
    <w:docVar w:name="LW_REF.II.NEW.CP_NUMBER" w:val="0056"/>
    <w:docVar w:name="LW_REF.II.NEW.CP_YEAR" w:val="2025"/>
    <w:docVar w:name="LW_REF.INST.NEW" w:val="COM"/>
    <w:docVar w:name="LW_REF.INST.NEW_ADOPTED" w:val="final"/>
    <w:docVar w:name="LW_REF.INST.NEW_TEXT" w:val="(2025) 10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Ehdotus"/>
    <w:docVar w:name="LW_SUPERTITRE" w:val="&lt;UNUSED&gt;"/>
    <w:docVar w:name="LW_TITRE.OBJ.CP" w:val="asetuksen (EU) 2015/478 tiettyjen osien soveltamisen keskeyttämisestä ukrainalaisten tuotteiden tuonnissa Euroopan unioniin"/>
    <w:docVar w:name="LW_TYPE.DOC.CP" w:val="EUROOPAN PARLAMENTIN JA NEUVOSTON ASETUS"/>
    <w:docVar w:name="LwApiVersions" w:val="LW4CoDe 1.24.5.0; LW 9.0, Build 20240221"/>
  </w:docVars>
  <w:rsids>
    <w:rsidRoot w:val="0085414B"/>
    <w:rsid w:val="000014C4"/>
    <w:rsid w:val="000016F1"/>
    <w:rsid w:val="00002792"/>
    <w:rsid w:val="00002F9A"/>
    <w:rsid w:val="00003429"/>
    <w:rsid w:val="00004DE2"/>
    <w:rsid w:val="00005A93"/>
    <w:rsid w:val="00005AFE"/>
    <w:rsid w:val="00007437"/>
    <w:rsid w:val="00007AA5"/>
    <w:rsid w:val="00010883"/>
    <w:rsid w:val="000120C0"/>
    <w:rsid w:val="000132D2"/>
    <w:rsid w:val="00014604"/>
    <w:rsid w:val="000156D4"/>
    <w:rsid w:val="00015FBC"/>
    <w:rsid w:val="00017085"/>
    <w:rsid w:val="00021BDC"/>
    <w:rsid w:val="0002461C"/>
    <w:rsid w:val="00024B45"/>
    <w:rsid w:val="00027D1B"/>
    <w:rsid w:val="000314AD"/>
    <w:rsid w:val="000316FE"/>
    <w:rsid w:val="00031F95"/>
    <w:rsid w:val="00032288"/>
    <w:rsid w:val="000368E8"/>
    <w:rsid w:val="00036D8F"/>
    <w:rsid w:val="00036EF2"/>
    <w:rsid w:val="000407B7"/>
    <w:rsid w:val="000409B7"/>
    <w:rsid w:val="00040AD3"/>
    <w:rsid w:val="000417A8"/>
    <w:rsid w:val="00041E89"/>
    <w:rsid w:val="000424F0"/>
    <w:rsid w:val="00042568"/>
    <w:rsid w:val="00043A71"/>
    <w:rsid w:val="0004595F"/>
    <w:rsid w:val="00046519"/>
    <w:rsid w:val="0004741F"/>
    <w:rsid w:val="00050BF7"/>
    <w:rsid w:val="00050D9E"/>
    <w:rsid w:val="000513C4"/>
    <w:rsid w:val="0005163D"/>
    <w:rsid w:val="00051AEF"/>
    <w:rsid w:val="00051F37"/>
    <w:rsid w:val="000524D5"/>
    <w:rsid w:val="00052D48"/>
    <w:rsid w:val="0005335F"/>
    <w:rsid w:val="00053519"/>
    <w:rsid w:val="00054685"/>
    <w:rsid w:val="000557FB"/>
    <w:rsid w:val="0005592C"/>
    <w:rsid w:val="00055ED8"/>
    <w:rsid w:val="00056592"/>
    <w:rsid w:val="0005693E"/>
    <w:rsid w:val="000615F5"/>
    <w:rsid w:val="000618C0"/>
    <w:rsid w:val="00062894"/>
    <w:rsid w:val="0006296F"/>
    <w:rsid w:val="00063826"/>
    <w:rsid w:val="0006422C"/>
    <w:rsid w:val="000647CB"/>
    <w:rsid w:val="000649E3"/>
    <w:rsid w:val="00066408"/>
    <w:rsid w:val="0007005A"/>
    <w:rsid w:val="00071CA7"/>
    <w:rsid w:val="00071FF4"/>
    <w:rsid w:val="0007223D"/>
    <w:rsid w:val="000747C7"/>
    <w:rsid w:val="000751FC"/>
    <w:rsid w:val="000762B7"/>
    <w:rsid w:val="0007753A"/>
    <w:rsid w:val="00077655"/>
    <w:rsid w:val="00077F5D"/>
    <w:rsid w:val="00080069"/>
    <w:rsid w:val="000812F8"/>
    <w:rsid w:val="00081322"/>
    <w:rsid w:val="00081A42"/>
    <w:rsid w:val="00081F9B"/>
    <w:rsid w:val="00082B8E"/>
    <w:rsid w:val="00082D26"/>
    <w:rsid w:val="00083464"/>
    <w:rsid w:val="00085B30"/>
    <w:rsid w:val="00085C7C"/>
    <w:rsid w:val="000866E2"/>
    <w:rsid w:val="0009127A"/>
    <w:rsid w:val="00091DF8"/>
    <w:rsid w:val="00093486"/>
    <w:rsid w:val="00093E30"/>
    <w:rsid w:val="000945C1"/>
    <w:rsid w:val="00094A2D"/>
    <w:rsid w:val="00096780"/>
    <w:rsid w:val="00096C45"/>
    <w:rsid w:val="000976A5"/>
    <w:rsid w:val="0009776F"/>
    <w:rsid w:val="000A08FD"/>
    <w:rsid w:val="000A1D67"/>
    <w:rsid w:val="000A3440"/>
    <w:rsid w:val="000A3524"/>
    <w:rsid w:val="000A3BD9"/>
    <w:rsid w:val="000A4D88"/>
    <w:rsid w:val="000A594C"/>
    <w:rsid w:val="000A5985"/>
    <w:rsid w:val="000A62D6"/>
    <w:rsid w:val="000A7663"/>
    <w:rsid w:val="000A7ECD"/>
    <w:rsid w:val="000B0609"/>
    <w:rsid w:val="000B0B29"/>
    <w:rsid w:val="000B0BED"/>
    <w:rsid w:val="000B0F88"/>
    <w:rsid w:val="000B100D"/>
    <w:rsid w:val="000B192A"/>
    <w:rsid w:val="000B22C2"/>
    <w:rsid w:val="000B2553"/>
    <w:rsid w:val="000B29C5"/>
    <w:rsid w:val="000B2FA3"/>
    <w:rsid w:val="000B2FAE"/>
    <w:rsid w:val="000B3225"/>
    <w:rsid w:val="000B464C"/>
    <w:rsid w:val="000B57E2"/>
    <w:rsid w:val="000B700C"/>
    <w:rsid w:val="000B7750"/>
    <w:rsid w:val="000B7A7D"/>
    <w:rsid w:val="000B7E8B"/>
    <w:rsid w:val="000C07CD"/>
    <w:rsid w:val="000C2B98"/>
    <w:rsid w:val="000C2C0E"/>
    <w:rsid w:val="000C33E6"/>
    <w:rsid w:val="000C42B1"/>
    <w:rsid w:val="000C63EF"/>
    <w:rsid w:val="000C6687"/>
    <w:rsid w:val="000C750B"/>
    <w:rsid w:val="000C79DF"/>
    <w:rsid w:val="000D0167"/>
    <w:rsid w:val="000D0310"/>
    <w:rsid w:val="000D04A8"/>
    <w:rsid w:val="000D0688"/>
    <w:rsid w:val="000D0957"/>
    <w:rsid w:val="000D1CEC"/>
    <w:rsid w:val="000D22C0"/>
    <w:rsid w:val="000D29DF"/>
    <w:rsid w:val="000D2FF5"/>
    <w:rsid w:val="000D3374"/>
    <w:rsid w:val="000D37E5"/>
    <w:rsid w:val="000D404C"/>
    <w:rsid w:val="000D5241"/>
    <w:rsid w:val="000D52D8"/>
    <w:rsid w:val="000D5692"/>
    <w:rsid w:val="000D66BE"/>
    <w:rsid w:val="000D7511"/>
    <w:rsid w:val="000E101A"/>
    <w:rsid w:val="000E1DB0"/>
    <w:rsid w:val="000E23A7"/>
    <w:rsid w:val="000E35D4"/>
    <w:rsid w:val="000E374D"/>
    <w:rsid w:val="000E37DF"/>
    <w:rsid w:val="000E446F"/>
    <w:rsid w:val="000E51AD"/>
    <w:rsid w:val="000E58F7"/>
    <w:rsid w:val="000E6559"/>
    <w:rsid w:val="000E70C8"/>
    <w:rsid w:val="000F0A5D"/>
    <w:rsid w:val="000F119B"/>
    <w:rsid w:val="000F13E7"/>
    <w:rsid w:val="000F416E"/>
    <w:rsid w:val="000F6407"/>
    <w:rsid w:val="000F6B8E"/>
    <w:rsid w:val="000F7564"/>
    <w:rsid w:val="000F7D88"/>
    <w:rsid w:val="00100EA7"/>
    <w:rsid w:val="00102272"/>
    <w:rsid w:val="001024B4"/>
    <w:rsid w:val="001027B8"/>
    <w:rsid w:val="00102B67"/>
    <w:rsid w:val="001036DE"/>
    <w:rsid w:val="0010438D"/>
    <w:rsid w:val="00104C2B"/>
    <w:rsid w:val="00105919"/>
    <w:rsid w:val="00106B34"/>
    <w:rsid w:val="00106EC0"/>
    <w:rsid w:val="00110063"/>
    <w:rsid w:val="0011114D"/>
    <w:rsid w:val="001115C7"/>
    <w:rsid w:val="00112A46"/>
    <w:rsid w:val="00113A17"/>
    <w:rsid w:val="00113C1F"/>
    <w:rsid w:val="0011421D"/>
    <w:rsid w:val="00114666"/>
    <w:rsid w:val="0011485F"/>
    <w:rsid w:val="0011589C"/>
    <w:rsid w:val="00116370"/>
    <w:rsid w:val="00116F56"/>
    <w:rsid w:val="00117849"/>
    <w:rsid w:val="00117D45"/>
    <w:rsid w:val="00121AEE"/>
    <w:rsid w:val="00124023"/>
    <w:rsid w:val="00124274"/>
    <w:rsid w:val="00124600"/>
    <w:rsid w:val="00124ACA"/>
    <w:rsid w:val="00124F00"/>
    <w:rsid w:val="00124FF9"/>
    <w:rsid w:val="001254B6"/>
    <w:rsid w:val="0012550E"/>
    <w:rsid w:val="00127C33"/>
    <w:rsid w:val="001311BC"/>
    <w:rsid w:val="00131313"/>
    <w:rsid w:val="00131B0A"/>
    <w:rsid w:val="00131C56"/>
    <w:rsid w:val="00132246"/>
    <w:rsid w:val="001328EB"/>
    <w:rsid w:val="00133707"/>
    <w:rsid w:val="00133E28"/>
    <w:rsid w:val="001354E5"/>
    <w:rsid w:val="00135E95"/>
    <w:rsid w:val="00136762"/>
    <w:rsid w:val="00136820"/>
    <w:rsid w:val="001373AA"/>
    <w:rsid w:val="00137416"/>
    <w:rsid w:val="0014091F"/>
    <w:rsid w:val="00141010"/>
    <w:rsid w:val="00141357"/>
    <w:rsid w:val="00141FC0"/>
    <w:rsid w:val="001421AE"/>
    <w:rsid w:val="00143AC6"/>
    <w:rsid w:val="00143C34"/>
    <w:rsid w:val="0014463D"/>
    <w:rsid w:val="00146D5C"/>
    <w:rsid w:val="00150530"/>
    <w:rsid w:val="00150544"/>
    <w:rsid w:val="00150875"/>
    <w:rsid w:val="00150E32"/>
    <w:rsid w:val="00151185"/>
    <w:rsid w:val="00152894"/>
    <w:rsid w:val="00152AA7"/>
    <w:rsid w:val="00152D6C"/>
    <w:rsid w:val="00153776"/>
    <w:rsid w:val="001538E8"/>
    <w:rsid w:val="00154238"/>
    <w:rsid w:val="00156584"/>
    <w:rsid w:val="00156F48"/>
    <w:rsid w:val="00157DD9"/>
    <w:rsid w:val="00157E01"/>
    <w:rsid w:val="00160897"/>
    <w:rsid w:val="001617D2"/>
    <w:rsid w:val="00163395"/>
    <w:rsid w:val="00163B5D"/>
    <w:rsid w:val="00163E76"/>
    <w:rsid w:val="0016422F"/>
    <w:rsid w:val="0016464C"/>
    <w:rsid w:val="001656DD"/>
    <w:rsid w:val="001670CD"/>
    <w:rsid w:val="001712DB"/>
    <w:rsid w:val="00173D07"/>
    <w:rsid w:val="00173F20"/>
    <w:rsid w:val="00173FF6"/>
    <w:rsid w:val="00174CA8"/>
    <w:rsid w:val="00175425"/>
    <w:rsid w:val="00175A0D"/>
    <w:rsid w:val="00177A50"/>
    <w:rsid w:val="00180803"/>
    <w:rsid w:val="00180BF2"/>
    <w:rsid w:val="00181122"/>
    <w:rsid w:val="0018228D"/>
    <w:rsid w:val="0018377F"/>
    <w:rsid w:val="00183C39"/>
    <w:rsid w:val="001849FB"/>
    <w:rsid w:val="0018579D"/>
    <w:rsid w:val="00186BBC"/>
    <w:rsid w:val="00186D6F"/>
    <w:rsid w:val="0019069E"/>
    <w:rsid w:val="00190E2E"/>
    <w:rsid w:val="00191166"/>
    <w:rsid w:val="001937AC"/>
    <w:rsid w:val="00193F01"/>
    <w:rsid w:val="0019439A"/>
    <w:rsid w:val="0019483D"/>
    <w:rsid w:val="00194A99"/>
    <w:rsid w:val="00195308"/>
    <w:rsid w:val="00195AEA"/>
    <w:rsid w:val="001961BD"/>
    <w:rsid w:val="00196CA1"/>
    <w:rsid w:val="001A1BBB"/>
    <w:rsid w:val="001A1F97"/>
    <w:rsid w:val="001A234A"/>
    <w:rsid w:val="001A33E7"/>
    <w:rsid w:val="001A4873"/>
    <w:rsid w:val="001A4B7C"/>
    <w:rsid w:val="001A5C47"/>
    <w:rsid w:val="001A6D95"/>
    <w:rsid w:val="001A70A1"/>
    <w:rsid w:val="001B01B4"/>
    <w:rsid w:val="001B0304"/>
    <w:rsid w:val="001B2897"/>
    <w:rsid w:val="001B38F2"/>
    <w:rsid w:val="001B48D2"/>
    <w:rsid w:val="001B4E09"/>
    <w:rsid w:val="001B776B"/>
    <w:rsid w:val="001C037F"/>
    <w:rsid w:val="001C0756"/>
    <w:rsid w:val="001C0C00"/>
    <w:rsid w:val="001C0D3E"/>
    <w:rsid w:val="001C0EED"/>
    <w:rsid w:val="001C1C98"/>
    <w:rsid w:val="001C3783"/>
    <w:rsid w:val="001C3BB2"/>
    <w:rsid w:val="001C5710"/>
    <w:rsid w:val="001C649C"/>
    <w:rsid w:val="001D10E8"/>
    <w:rsid w:val="001D1350"/>
    <w:rsid w:val="001D1FE3"/>
    <w:rsid w:val="001D3C44"/>
    <w:rsid w:val="001D4FFF"/>
    <w:rsid w:val="001D5778"/>
    <w:rsid w:val="001D5FD7"/>
    <w:rsid w:val="001E00DB"/>
    <w:rsid w:val="001E0E24"/>
    <w:rsid w:val="001E1667"/>
    <w:rsid w:val="001E2430"/>
    <w:rsid w:val="001E32B3"/>
    <w:rsid w:val="001E40A9"/>
    <w:rsid w:val="001E4851"/>
    <w:rsid w:val="001E4DBA"/>
    <w:rsid w:val="001E5C79"/>
    <w:rsid w:val="001E5D9C"/>
    <w:rsid w:val="001E6539"/>
    <w:rsid w:val="001E6998"/>
    <w:rsid w:val="001E77DF"/>
    <w:rsid w:val="001F02F1"/>
    <w:rsid w:val="001F4EBF"/>
    <w:rsid w:val="001F503B"/>
    <w:rsid w:val="001F6AC0"/>
    <w:rsid w:val="002006CD"/>
    <w:rsid w:val="00200CC8"/>
    <w:rsid w:val="002013A3"/>
    <w:rsid w:val="002020FF"/>
    <w:rsid w:val="0020331A"/>
    <w:rsid w:val="002047BD"/>
    <w:rsid w:val="00204D15"/>
    <w:rsid w:val="00205B1A"/>
    <w:rsid w:val="0020613F"/>
    <w:rsid w:val="00206161"/>
    <w:rsid w:val="00206D3E"/>
    <w:rsid w:val="00207045"/>
    <w:rsid w:val="00211874"/>
    <w:rsid w:val="0021209B"/>
    <w:rsid w:val="00212862"/>
    <w:rsid w:val="00216E9F"/>
    <w:rsid w:val="002170FA"/>
    <w:rsid w:val="00223FA3"/>
    <w:rsid w:val="002240B4"/>
    <w:rsid w:val="002240C3"/>
    <w:rsid w:val="002255E3"/>
    <w:rsid w:val="00225EF9"/>
    <w:rsid w:val="0022637D"/>
    <w:rsid w:val="00226E72"/>
    <w:rsid w:val="0022745E"/>
    <w:rsid w:val="002278C9"/>
    <w:rsid w:val="00234314"/>
    <w:rsid w:val="0023583F"/>
    <w:rsid w:val="002363E6"/>
    <w:rsid w:val="00237F8F"/>
    <w:rsid w:val="002416CD"/>
    <w:rsid w:val="0024284A"/>
    <w:rsid w:val="002428BD"/>
    <w:rsid w:val="00243094"/>
    <w:rsid w:val="002438AF"/>
    <w:rsid w:val="00243FD1"/>
    <w:rsid w:val="00244A6B"/>
    <w:rsid w:val="00245952"/>
    <w:rsid w:val="00245E6B"/>
    <w:rsid w:val="00247219"/>
    <w:rsid w:val="00247502"/>
    <w:rsid w:val="00250262"/>
    <w:rsid w:val="00253117"/>
    <w:rsid w:val="0025320C"/>
    <w:rsid w:val="002541D7"/>
    <w:rsid w:val="00254C44"/>
    <w:rsid w:val="00255E93"/>
    <w:rsid w:val="0025621F"/>
    <w:rsid w:val="00257126"/>
    <w:rsid w:val="00260484"/>
    <w:rsid w:val="002634BB"/>
    <w:rsid w:val="00264C0B"/>
    <w:rsid w:val="00265E08"/>
    <w:rsid w:val="00265E68"/>
    <w:rsid w:val="002676FC"/>
    <w:rsid w:val="0027004E"/>
    <w:rsid w:val="00270AA7"/>
    <w:rsid w:val="00270F70"/>
    <w:rsid w:val="0027159A"/>
    <w:rsid w:val="002715A2"/>
    <w:rsid w:val="00271AB0"/>
    <w:rsid w:val="00272A48"/>
    <w:rsid w:val="00272D82"/>
    <w:rsid w:val="00273CD0"/>
    <w:rsid w:val="002757A9"/>
    <w:rsid w:val="002764FE"/>
    <w:rsid w:val="00276AAE"/>
    <w:rsid w:val="00277D6A"/>
    <w:rsid w:val="00280A69"/>
    <w:rsid w:val="0028100A"/>
    <w:rsid w:val="002819B2"/>
    <w:rsid w:val="00281C6F"/>
    <w:rsid w:val="00282791"/>
    <w:rsid w:val="00283843"/>
    <w:rsid w:val="00284043"/>
    <w:rsid w:val="00284518"/>
    <w:rsid w:val="00284DC7"/>
    <w:rsid w:val="00286DAC"/>
    <w:rsid w:val="00286DB8"/>
    <w:rsid w:val="00286E44"/>
    <w:rsid w:val="00287304"/>
    <w:rsid w:val="00287786"/>
    <w:rsid w:val="00290BD1"/>
    <w:rsid w:val="002920D7"/>
    <w:rsid w:val="002933F9"/>
    <w:rsid w:val="00293EA8"/>
    <w:rsid w:val="00294305"/>
    <w:rsid w:val="00294D5C"/>
    <w:rsid w:val="002977D6"/>
    <w:rsid w:val="00297B84"/>
    <w:rsid w:val="002A1700"/>
    <w:rsid w:val="002A17E7"/>
    <w:rsid w:val="002A1A08"/>
    <w:rsid w:val="002A1C49"/>
    <w:rsid w:val="002A2314"/>
    <w:rsid w:val="002A24BA"/>
    <w:rsid w:val="002A2638"/>
    <w:rsid w:val="002A2833"/>
    <w:rsid w:val="002A57C5"/>
    <w:rsid w:val="002A5CF9"/>
    <w:rsid w:val="002A6619"/>
    <w:rsid w:val="002A6BCD"/>
    <w:rsid w:val="002A6D98"/>
    <w:rsid w:val="002A715F"/>
    <w:rsid w:val="002A7945"/>
    <w:rsid w:val="002A7A46"/>
    <w:rsid w:val="002A7D48"/>
    <w:rsid w:val="002B013E"/>
    <w:rsid w:val="002B0383"/>
    <w:rsid w:val="002B0691"/>
    <w:rsid w:val="002B06C2"/>
    <w:rsid w:val="002B079D"/>
    <w:rsid w:val="002B21FB"/>
    <w:rsid w:val="002B2C56"/>
    <w:rsid w:val="002B4DB9"/>
    <w:rsid w:val="002B51B6"/>
    <w:rsid w:val="002B6396"/>
    <w:rsid w:val="002B72F0"/>
    <w:rsid w:val="002B79C7"/>
    <w:rsid w:val="002C1D17"/>
    <w:rsid w:val="002C1D7B"/>
    <w:rsid w:val="002C3384"/>
    <w:rsid w:val="002C56E5"/>
    <w:rsid w:val="002C5A0F"/>
    <w:rsid w:val="002C60A7"/>
    <w:rsid w:val="002C643D"/>
    <w:rsid w:val="002C714E"/>
    <w:rsid w:val="002C745A"/>
    <w:rsid w:val="002D3348"/>
    <w:rsid w:val="002D46DA"/>
    <w:rsid w:val="002E011C"/>
    <w:rsid w:val="002E189B"/>
    <w:rsid w:val="002E2485"/>
    <w:rsid w:val="002E285C"/>
    <w:rsid w:val="002E33A0"/>
    <w:rsid w:val="002E3B66"/>
    <w:rsid w:val="002E5433"/>
    <w:rsid w:val="002E573E"/>
    <w:rsid w:val="002E6D70"/>
    <w:rsid w:val="002E73C5"/>
    <w:rsid w:val="002E7692"/>
    <w:rsid w:val="002F1624"/>
    <w:rsid w:val="002F2120"/>
    <w:rsid w:val="002F2F8B"/>
    <w:rsid w:val="002F38AE"/>
    <w:rsid w:val="002F447B"/>
    <w:rsid w:val="002F4613"/>
    <w:rsid w:val="002F5FE1"/>
    <w:rsid w:val="002F68DD"/>
    <w:rsid w:val="002F7ECB"/>
    <w:rsid w:val="00300B58"/>
    <w:rsid w:val="003015BF"/>
    <w:rsid w:val="00302296"/>
    <w:rsid w:val="00302B67"/>
    <w:rsid w:val="00302EA1"/>
    <w:rsid w:val="0030336F"/>
    <w:rsid w:val="0030349D"/>
    <w:rsid w:val="003038B1"/>
    <w:rsid w:val="00304297"/>
    <w:rsid w:val="00304541"/>
    <w:rsid w:val="00304A70"/>
    <w:rsid w:val="00305142"/>
    <w:rsid w:val="00305DF9"/>
    <w:rsid w:val="0030633B"/>
    <w:rsid w:val="00306877"/>
    <w:rsid w:val="00307979"/>
    <w:rsid w:val="00310221"/>
    <w:rsid w:val="003107FC"/>
    <w:rsid w:val="003112A0"/>
    <w:rsid w:val="003116A6"/>
    <w:rsid w:val="0031172A"/>
    <w:rsid w:val="00311D9B"/>
    <w:rsid w:val="00311EEB"/>
    <w:rsid w:val="00312386"/>
    <w:rsid w:val="00312E02"/>
    <w:rsid w:val="0031311B"/>
    <w:rsid w:val="003132F8"/>
    <w:rsid w:val="00314A34"/>
    <w:rsid w:val="003155B6"/>
    <w:rsid w:val="00315D1A"/>
    <w:rsid w:val="0031674B"/>
    <w:rsid w:val="003169DA"/>
    <w:rsid w:val="00317BA4"/>
    <w:rsid w:val="0032014C"/>
    <w:rsid w:val="00322486"/>
    <w:rsid w:val="0032381F"/>
    <w:rsid w:val="003238B9"/>
    <w:rsid w:val="00323B25"/>
    <w:rsid w:val="0032561F"/>
    <w:rsid w:val="003259B8"/>
    <w:rsid w:val="00326CC6"/>
    <w:rsid w:val="00330BBB"/>
    <w:rsid w:val="00331037"/>
    <w:rsid w:val="00333829"/>
    <w:rsid w:val="003343C1"/>
    <w:rsid w:val="00334982"/>
    <w:rsid w:val="00334C20"/>
    <w:rsid w:val="00335FBD"/>
    <w:rsid w:val="00336127"/>
    <w:rsid w:val="00336284"/>
    <w:rsid w:val="00336B27"/>
    <w:rsid w:val="00337066"/>
    <w:rsid w:val="0033734A"/>
    <w:rsid w:val="0034068B"/>
    <w:rsid w:val="003419F2"/>
    <w:rsid w:val="00341E24"/>
    <w:rsid w:val="00342486"/>
    <w:rsid w:val="00342D5D"/>
    <w:rsid w:val="00343920"/>
    <w:rsid w:val="00344332"/>
    <w:rsid w:val="00344605"/>
    <w:rsid w:val="00344A24"/>
    <w:rsid w:val="003450ED"/>
    <w:rsid w:val="0034525C"/>
    <w:rsid w:val="00345710"/>
    <w:rsid w:val="003459DF"/>
    <w:rsid w:val="00346708"/>
    <w:rsid w:val="0034741D"/>
    <w:rsid w:val="00347C3E"/>
    <w:rsid w:val="0035043F"/>
    <w:rsid w:val="00351D5E"/>
    <w:rsid w:val="00352B2E"/>
    <w:rsid w:val="00352E4A"/>
    <w:rsid w:val="003537BB"/>
    <w:rsid w:val="003541EC"/>
    <w:rsid w:val="00356C3E"/>
    <w:rsid w:val="003635F6"/>
    <w:rsid w:val="00364D25"/>
    <w:rsid w:val="00365CFF"/>
    <w:rsid w:val="00366360"/>
    <w:rsid w:val="00366607"/>
    <w:rsid w:val="00366811"/>
    <w:rsid w:val="00366D14"/>
    <w:rsid w:val="00366D2A"/>
    <w:rsid w:val="003705D9"/>
    <w:rsid w:val="003711D2"/>
    <w:rsid w:val="00371497"/>
    <w:rsid w:val="0037199B"/>
    <w:rsid w:val="00371C2F"/>
    <w:rsid w:val="00372B1D"/>
    <w:rsid w:val="00373460"/>
    <w:rsid w:val="00373534"/>
    <w:rsid w:val="003757E0"/>
    <w:rsid w:val="003757E7"/>
    <w:rsid w:val="003764C2"/>
    <w:rsid w:val="00376583"/>
    <w:rsid w:val="00376A1F"/>
    <w:rsid w:val="00377363"/>
    <w:rsid w:val="0038014A"/>
    <w:rsid w:val="00380599"/>
    <w:rsid w:val="00380D89"/>
    <w:rsid w:val="00381BF3"/>
    <w:rsid w:val="00383691"/>
    <w:rsid w:val="00384086"/>
    <w:rsid w:val="00384624"/>
    <w:rsid w:val="0038500D"/>
    <w:rsid w:val="003853F8"/>
    <w:rsid w:val="00385C79"/>
    <w:rsid w:val="00385CC6"/>
    <w:rsid w:val="00385E7B"/>
    <w:rsid w:val="003864C5"/>
    <w:rsid w:val="00386A66"/>
    <w:rsid w:val="00386C28"/>
    <w:rsid w:val="00387337"/>
    <w:rsid w:val="003876D0"/>
    <w:rsid w:val="00387A3C"/>
    <w:rsid w:val="0039006B"/>
    <w:rsid w:val="003902C8"/>
    <w:rsid w:val="0039260F"/>
    <w:rsid w:val="00392D6D"/>
    <w:rsid w:val="00392F62"/>
    <w:rsid w:val="003955AE"/>
    <w:rsid w:val="00396297"/>
    <w:rsid w:val="00396ACD"/>
    <w:rsid w:val="00396BE1"/>
    <w:rsid w:val="00397657"/>
    <w:rsid w:val="003A03C7"/>
    <w:rsid w:val="003A0A29"/>
    <w:rsid w:val="003A10A7"/>
    <w:rsid w:val="003A10B7"/>
    <w:rsid w:val="003A12DF"/>
    <w:rsid w:val="003A2489"/>
    <w:rsid w:val="003A27DA"/>
    <w:rsid w:val="003A2C3A"/>
    <w:rsid w:val="003A335E"/>
    <w:rsid w:val="003A38D7"/>
    <w:rsid w:val="003A3DA0"/>
    <w:rsid w:val="003A44B4"/>
    <w:rsid w:val="003A4667"/>
    <w:rsid w:val="003A4C38"/>
    <w:rsid w:val="003A5C9A"/>
    <w:rsid w:val="003A5D7B"/>
    <w:rsid w:val="003A6125"/>
    <w:rsid w:val="003A6379"/>
    <w:rsid w:val="003A744E"/>
    <w:rsid w:val="003B02C6"/>
    <w:rsid w:val="003B15BB"/>
    <w:rsid w:val="003B1E87"/>
    <w:rsid w:val="003B2366"/>
    <w:rsid w:val="003B308F"/>
    <w:rsid w:val="003B3DE9"/>
    <w:rsid w:val="003B4E4D"/>
    <w:rsid w:val="003B54D7"/>
    <w:rsid w:val="003B5E41"/>
    <w:rsid w:val="003B5E52"/>
    <w:rsid w:val="003B6CDE"/>
    <w:rsid w:val="003B73E0"/>
    <w:rsid w:val="003C0677"/>
    <w:rsid w:val="003C0B30"/>
    <w:rsid w:val="003C0F54"/>
    <w:rsid w:val="003C1DB0"/>
    <w:rsid w:val="003C32CF"/>
    <w:rsid w:val="003C49EB"/>
    <w:rsid w:val="003C4CC4"/>
    <w:rsid w:val="003C5C46"/>
    <w:rsid w:val="003C5F52"/>
    <w:rsid w:val="003C6599"/>
    <w:rsid w:val="003D1698"/>
    <w:rsid w:val="003D17D8"/>
    <w:rsid w:val="003D23AD"/>
    <w:rsid w:val="003D26EE"/>
    <w:rsid w:val="003D372A"/>
    <w:rsid w:val="003D3823"/>
    <w:rsid w:val="003D4C8B"/>
    <w:rsid w:val="003D552F"/>
    <w:rsid w:val="003D57C9"/>
    <w:rsid w:val="003D76B6"/>
    <w:rsid w:val="003E0274"/>
    <w:rsid w:val="003E0AF7"/>
    <w:rsid w:val="003E0F14"/>
    <w:rsid w:val="003E2545"/>
    <w:rsid w:val="003E40B8"/>
    <w:rsid w:val="003E467B"/>
    <w:rsid w:val="003E4D25"/>
    <w:rsid w:val="003E5609"/>
    <w:rsid w:val="003E608C"/>
    <w:rsid w:val="003E68F2"/>
    <w:rsid w:val="003E6A5D"/>
    <w:rsid w:val="003F0120"/>
    <w:rsid w:val="003F0227"/>
    <w:rsid w:val="003F0900"/>
    <w:rsid w:val="003F0944"/>
    <w:rsid w:val="003F296C"/>
    <w:rsid w:val="003F3A70"/>
    <w:rsid w:val="003F73E7"/>
    <w:rsid w:val="00400B09"/>
    <w:rsid w:val="004014CD"/>
    <w:rsid w:val="00402CBE"/>
    <w:rsid w:val="00402F3A"/>
    <w:rsid w:val="00405BF0"/>
    <w:rsid w:val="00405DE1"/>
    <w:rsid w:val="00406E0C"/>
    <w:rsid w:val="00407F64"/>
    <w:rsid w:val="004108CA"/>
    <w:rsid w:val="00411E39"/>
    <w:rsid w:val="004121BD"/>
    <w:rsid w:val="00412535"/>
    <w:rsid w:val="0041381A"/>
    <w:rsid w:val="00413C2C"/>
    <w:rsid w:val="00413FF5"/>
    <w:rsid w:val="00414638"/>
    <w:rsid w:val="00415738"/>
    <w:rsid w:val="0041711B"/>
    <w:rsid w:val="004175A6"/>
    <w:rsid w:val="00417A87"/>
    <w:rsid w:val="00417BCA"/>
    <w:rsid w:val="0042063A"/>
    <w:rsid w:val="00420A5F"/>
    <w:rsid w:val="00420FE9"/>
    <w:rsid w:val="004211F8"/>
    <w:rsid w:val="0042186B"/>
    <w:rsid w:val="004231FB"/>
    <w:rsid w:val="004234C0"/>
    <w:rsid w:val="00423787"/>
    <w:rsid w:val="00424710"/>
    <w:rsid w:val="0042544A"/>
    <w:rsid w:val="00427632"/>
    <w:rsid w:val="004276A5"/>
    <w:rsid w:val="00427A21"/>
    <w:rsid w:val="00431212"/>
    <w:rsid w:val="00431895"/>
    <w:rsid w:val="0043210C"/>
    <w:rsid w:val="00432F6D"/>
    <w:rsid w:val="00433338"/>
    <w:rsid w:val="00433822"/>
    <w:rsid w:val="00433DD1"/>
    <w:rsid w:val="004348DC"/>
    <w:rsid w:val="00435344"/>
    <w:rsid w:val="00436325"/>
    <w:rsid w:val="0043663D"/>
    <w:rsid w:val="00437161"/>
    <w:rsid w:val="00437190"/>
    <w:rsid w:val="00437AA5"/>
    <w:rsid w:val="00437AD0"/>
    <w:rsid w:val="004400F6"/>
    <w:rsid w:val="00440BE2"/>
    <w:rsid w:val="00440DC8"/>
    <w:rsid w:val="00441C81"/>
    <w:rsid w:val="00442A28"/>
    <w:rsid w:val="00442C4D"/>
    <w:rsid w:val="00447ADB"/>
    <w:rsid w:val="00447B62"/>
    <w:rsid w:val="004500BD"/>
    <w:rsid w:val="004514AE"/>
    <w:rsid w:val="004527E9"/>
    <w:rsid w:val="00453458"/>
    <w:rsid w:val="00454182"/>
    <w:rsid w:val="00455631"/>
    <w:rsid w:val="004561EF"/>
    <w:rsid w:val="00456FF7"/>
    <w:rsid w:val="0045723A"/>
    <w:rsid w:val="004577AF"/>
    <w:rsid w:val="00460C62"/>
    <w:rsid w:val="00462023"/>
    <w:rsid w:val="00462CF0"/>
    <w:rsid w:val="00463199"/>
    <w:rsid w:val="00463832"/>
    <w:rsid w:val="00463CF0"/>
    <w:rsid w:val="00465B5A"/>
    <w:rsid w:val="00466792"/>
    <w:rsid w:val="004673A6"/>
    <w:rsid w:val="004679E5"/>
    <w:rsid w:val="00467BBC"/>
    <w:rsid w:val="00467CC0"/>
    <w:rsid w:val="00470DC8"/>
    <w:rsid w:val="004731E6"/>
    <w:rsid w:val="00473C2D"/>
    <w:rsid w:val="00474CA8"/>
    <w:rsid w:val="00476648"/>
    <w:rsid w:val="004767ED"/>
    <w:rsid w:val="00477FDF"/>
    <w:rsid w:val="00480FD6"/>
    <w:rsid w:val="00481592"/>
    <w:rsid w:val="00482456"/>
    <w:rsid w:val="00482F02"/>
    <w:rsid w:val="00483195"/>
    <w:rsid w:val="00483828"/>
    <w:rsid w:val="00483CBB"/>
    <w:rsid w:val="00484379"/>
    <w:rsid w:val="00484FB7"/>
    <w:rsid w:val="00485AE3"/>
    <w:rsid w:val="00486A85"/>
    <w:rsid w:val="00486CE3"/>
    <w:rsid w:val="004875E4"/>
    <w:rsid w:val="00487723"/>
    <w:rsid w:val="00487978"/>
    <w:rsid w:val="00492396"/>
    <w:rsid w:val="00492547"/>
    <w:rsid w:val="00492895"/>
    <w:rsid w:val="004945E9"/>
    <w:rsid w:val="00494CD8"/>
    <w:rsid w:val="0049546C"/>
    <w:rsid w:val="00495545"/>
    <w:rsid w:val="00495CA7"/>
    <w:rsid w:val="00495CD7"/>
    <w:rsid w:val="00495D67"/>
    <w:rsid w:val="004A004B"/>
    <w:rsid w:val="004A0E13"/>
    <w:rsid w:val="004A1D86"/>
    <w:rsid w:val="004A3038"/>
    <w:rsid w:val="004A495B"/>
    <w:rsid w:val="004A5002"/>
    <w:rsid w:val="004A5586"/>
    <w:rsid w:val="004A595A"/>
    <w:rsid w:val="004A5A5B"/>
    <w:rsid w:val="004A5F81"/>
    <w:rsid w:val="004A784A"/>
    <w:rsid w:val="004A7DAE"/>
    <w:rsid w:val="004B077D"/>
    <w:rsid w:val="004B329E"/>
    <w:rsid w:val="004B32A8"/>
    <w:rsid w:val="004B70CC"/>
    <w:rsid w:val="004C0778"/>
    <w:rsid w:val="004C0BE2"/>
    <w:rsid w:val="004C25EB"/>
    <w:rsid w:val="004C2828"/>
    <w:rsid w:val="004C3692"/>
    <w:rsid w:val="004C448D"/>
    <w:rsid w:val="004C468C"/>
    <w:rsid w:val="004C4A78"/>
    <w:rsid w:val="004C4B91"/>
    <w:rsid w:val="004C50DF"/>
    <w:rsid w:val="004C51E6"/>
    <w:rsid w:val="004C543A"/>
    <w:rsid w:val="004C5761"/>
    <w:rsid w:val="004C6BB9"/>
    <w:rsid w:val="004C71ED"/>
    <w:rsid w:val="004C76F2"/>
    <w:rsid w:val="004D0F32"/>
    <w:rsid w:val="004D18F2"/>
    <w:rsid w:val="004D29BD"/>
    <w:rsid w:val="004D479D"/>
    <w:rsid w:val="004D555D"/>
    <w:rsid w:val="004D599B"/>
    <w:rsid w:val="004D5B49"/>
    <w:rsid w:val="004D6D09"/>
    <w:rsid w:val="004D6F7E"/>
    <w:rsid w:val="004E0E23"/>
    <w:rsid w:val="004E1949"/>
    <w:rsid w:val="004E19F9"/>
    <w:rsid w:val="004E202F"/>
    <w:rsid w:val="004E2244"/>
    <w:rsid w:val="004E4A2A"/>
    <w:rsid w:val="004E531C"/>
    <w:rsid w:val="004E55C5"/>
    <w:rsid w:val="004E63E4"/>
    <w:rsid w:val="004E69C4"/>
    <w:rsid w:val="004E74CC"/>
    <w:rsid w:val="004F0083"/>
    <w:rsid w:val="004F206F"/>
    <w:rsid w:val="004F2E85"/>
    <w:rsid w:val="004F3BE1"/>
    <w:rsid w:val="004F44A3"/>
    <w:rsid w:val="004F4730"/>
    <w:rsid w:val="004F4F0F"/>
    <w:rsid w:val="004F5680"/>
    <w:rsid w:val="004F5BAA"/>
    <w:rsid w:val="004F7CF7"/>
    <w:rsid w:val="004F7E64"/>
    <w:rsid w:val="005003CD"/>
    <w:rsid w:val="00500796"/>
    <w:rsid w:val="00500930"/>
    <w:rsid w:val="00501316"/>
    <w:rsid w:val="00501403"/>
    <w:rsid w:val="005016F4"/>
    <w:rsid w:val="00501CC5"/>
    <w:rsid w:val="00501E16"/>
    <w:rsid w:val="005026D4"/>
    <w:rsid w:val="00502F9B"/>
    <w:rsid w:val="00503998"/>
    <w:rsid w:val="00503FB0"/>
    <w:rsid w:val="00504130"/>
    <w:rsid w:val="00504A57"/>
    <w:rsid w:val="005054CB"/>
    <w:rsid w:val="005061F6"/>
    <w:rsid w:val="005067E6"/>
    <w:rsid w:val="00507109"/>
    <w:rsid w:val="00507E3E"/>
    <w:rsid w:val="0051071F"/>
    <w:rsid w:val="00510875"/>
    <w:rsid w:val="0051090F"/>
    <w:rsid w:val="0051153D"/>
    <w:rsid w:val="005128F6"/>
    <w:rsid w:val="00513046"/>
    <w:rsid w:val="00516B82"/>
    <w:rsid w:val="005170BA"/>
    <w:rsid w:val="00517169"/>
    <w:rsid w:val="00517205"/>
    <w:rsid w:val="005206D4"/>
    <w:rsid w:val="00520844"/>
    <w:rsid w:val="005211D5"/>
    <w:rsid w:val="00523434"/>
    <w:rsid w:val="005245A5"/>
    <w:rsid w:val="00525811"/>
    <w:rsid w:val="0052712D"/>
    <w:rsid w:val="0052750D"/>
    <w:rsid w:val="0052764B"/>
    <w:rsid w:val="005276A6"/>
    <w:rsid w:val="005302A9"/>
    <w:rsid w:val="00530814"/>
    <w:rsid w:val="00531266"/>
    <w:rsid w:val="00533F87"/>
    <w:rsid w:val="00534BA6"/>
    <w:rsid w:val="00534CEC"/>
    <w:rsid w:val="00535CA7"/>
    <w:rsid w:val="00536005"/>
    <w:rsid w:val="00536583"/>
    <w:rsid w:val="00536DA2"/>
    <w:rsid w:val="005402E3"/>
    <w:rsid w:val="005410D1"/>
    <w:rsid w:val="00542487"/>
    <w:rsid w:val="00543B80"/>
    <w:rsid w:val="00543FC1"/>
    <w:rsid w:val="00544F06"/>
    <w:rsid w:val="005450ED"/>
    <w:rsid w:val="00546DD7"/>
    <w:rsid w:val="005477B1"/>
    <w:rsid w:val="005509FC"/>
    <w:rsid w:val="005514CB"/>
    <w:rsid w:val="00551B18"/>
    <w:rsid w:val="00551E11"/>
    <w:rsid w:val="005524C0"/>
    <w:rsid w:val="00552ED2"/>
    <w:rsid w:val="005545F1"/>
    <w:rsid w:val="005573D5"/>
    <w:rsid w:val="00561350"/>
    <w:rsid w:val="00561945"/>
    <w:rsid w:val="00562AA2"/>
    <w:rsid w:val="00563107"/>
    <w:rsid w:val="00563F8A"/>
    <w:rsid w:val="00564276"/>
    <w:rsid w:val="0056669F"/>
    <w:rsid w:val="00570646"/>
    <w:rsid w:val="0057112F"/>
    <w:rsid w:val="005717A2"/>
    <w:rsid w:val="00571B50"/>
    <w:rsid w:val="00572FFB"/>
    <w:rsid w:val="0057446D"/>
    <w:rsid w:val="005746CE"/>
    <w:rsid w:val="00575A84"/>
    <w:rsid w:val="0057657A"/>
    <w:rsid w:val="00576590"/>
    <w:rsid w:val="005769BE"/>
    <w:rsid w:val="00577845"/>
    <w:rsid w:val="00577B48"/>
    <w:rsid w:val="00577FD9"/>
    <w:rsid w:val="005817E3"/>
    <w:rsid w:val="00582810"/>
    <w:rsid w:val="00582FAD"/>
    <w:rsid w:val="00582FB6"/>
    <w:rsid w:val="005857A9"/>
    <w:rsid w:val="005860DF"/>
    <w:rsid w:val="005873B7"/>
    <w:rsid w:val="005877E0"/>
    <w:rsid w:val="00587A19"/>
    <w:rsid w:val="00587A2A"/>
    <w:rsid w:val="0058AEB7"/>
    <w:rsid w:val="0059082C"/>
    <w:rsid w:val="00590A36"/>
    <w:rsid w:val="00591D0D"/>
    <w:rsid w:val="00592616"/>
    <w:rsid w:val="00592D99"/>
    <w:rsid w:val="00593404"/>
    <w:rsid w:val="00593846"/>
    <w:rsid w:val="005954B0"/>
    <w:rsid w:val="00595540"/>
    <w:rsid w:val="00595701"/>
    <w:rsid w:val="005972BE"/>
    <w:rsid w:val="005A033C"/>
    <w:rsid w:val="005A0402"/>
    <w:rsid w:val="005A1388"/>
    <w:rsid w:val="005A1801"/>
    <w:rsid w:val="005A1B96"/>
    <w:rsid w:val="005A3070"/>
    <w:rsid w:val="005A3FCB"/>
    <w:rsid w:val="005A4910"/>
    <w:rsid w:val="005A5D1C"/>
    <w:rsid w:val="005B059F"/>
    <w:rsid w:val="005B0AB8"/>
    <w:rsid w:val="005B1448"/>
    <w:rsid w:val="005B1562"/>
    <w:rsid w:val="005B20BE"/>
    <w:rsid w:val="005B20FA"/>
    <w:rsid w:val="005B2FBD"/>
    <w:rsid w:val="005B3000"/>
    <w:rsid w:val="005B343E"/>
    <w:rsid w:val="005B3513"/>
    <w:rsid w:val="005B3F20"/>
    <w:rsid w:val="005B425B"/>
    <w:rsid w:val="005B4D71"/>
    <w:rsid w:val="005B5523"/>
    <w:rsid w:val="005B5CE0"/>
    <w:rsid w:val="005B5FA6"/>
    <w:rsid w:val="005B6B22"/>
    <w:rsid w:val="005B6E60"/>
    <w:rsid w:val="005C0481"/>
    <w:rsid w:val="005C11F4"/>
    <w:rsid w:val="005C205B"/>
    <w:rsid w:val="005C2F83"/>
    <w:rsid w:val="005C311A"/>
    <w:rsid w:val="005C3545"/>
    <w:rsid w:val="005C4774"/>
    <w:rsid w:val="005C4D5C"/>
    <w:rsid w:val="005C5915"/>
    <w:rsid w:val="005D1D38"/>
    <w:rsid w:val="005D27C4"/>
    <w:rsid w:val="005D2F22"/>
    <w:rsid w:val="005D30D8"/>
    <w:rsid w:val="005D351B"/>
    <w:rsid w:val="005D4637"/>
    <w:rsid w:val="005D4F9C"/>
    <w:rsid w:val="005D5D05"/>
    <w:rsid w:val="005D734F"/>
    <w:rsid w:val="005D7D5E"/>
    <w:rsid w:val="005E2070"/>
    <w:rsid w:val="005E2902"/>
    <w:rsid w:val="005E52AB"/>
    <w:rsid w:val="005E6936"/>
    <w:rsid w:val="005E7206"/>
    <w:rsid w:val="005E7BE0"/>
    <w:rsid w:val="005F07AA"/>
    <w:rsid w:val="005F0AC0"/>
    <w:rsid w:val="005F2377"/>
    <w:rsid w:val="005F2573"/>
    <w:rsid w:val="005F25EA"/>
    <w:rsid w:val="005F366F"/>
    <w:rsid w:val="005F403E"/>
    <w:rsid w:val="005F5CFD"/>
    <w:rsid w:val="005F63D0"/>
    <w:rsid w:val="005F65EA"/>
    <w:rsid w:val="005F7CCC"/>
    <w:rsid w:val="005F7ECB"/>
    <w:rsid w:val="006003E0"/>
    <w:rsid w:val="0060197B"/>
    <w:rsid w:val="0060301F"/>
    <w:rsid w:val="00603170"/>
    <w:rsid w:val="00604524"/>
    <w:rsid w:val="00604B2B"/>
    <w:rsid w:val="0060525B"/>
    <w:rsid w:val="00605742"/>
    <w:rsid w:val="00605FBF"/>
    <w:rsid w:val="00606190"/>
    <w:rsid w:val="00606758"/>
    <w:rsid w:val="00607EEA"/>
    <w:rsid w:val="00612CC2"/>
    <w:rsid w:val="00613D95"/>
    <w:rsid w:val="00615EFF"/>
    <w:rsid w:val="0061646D"/>
    <w:rsid w:val="00616566"/>
    <w:rsid w:val="0061687A"/>
    <w:rsid w:val="0061788F"/>
    <w:rsid w:val="0061789E"/>
    <w:rsid w:val="00617F04"/>
    <w:rsid w:val="006200D3"/>
    <w:rsid w:val="00620161"/>
    <w:rsid w:val="0062200A"/>
    <w:rsid w:val="006223BB"/>
    <w:rsid w:val="0062350C"/>
    <w:rsid w:val="0062612A"/>
    <w:rsid w:val="00626D85"/>
    <w:rsid w:val="00627888"/>
    <w:rsid w:val="00627A48"/>
    <w:rsid w:val="00630209"/>
    <w:rsid w:val="0063110C"/>
    <w:rsid w:val="006311BC"/>
    <w:rsid w:val="00631876"/>
    <w:rsid w:val="00631E95"/>
    <w:rsid w:val="00632D52"/>
    <w:rsid w:val="00633F3B"/>
    <w:rsid w:val="00634264"/>
    <w:rsid w:val="0063514A"/>
    <w:rsid w:val="0063604F"/>
    <w:rsid w:val="00636555"/>
    <w:rsid w:val="006379E4"/>
    <w:rsid w:val="00641BDC"/>
    <w:rsid w:val="00641C84"/>
    <w:rsid w:val="006429D8"/>
    <w:rsid w:val="00644C10"/>
    <w:rsid w:val="0064500D"/>
    <w:rsid w:val="006470AF"/>
    <w:rsid w:val="0064719C"/>
    <w:rsid w:val="00650D37"/>
    <w:rsid w:val="0065171F"/>
    <w:rsid w:val="00651E40"/>
    <w:rsid w:val="00651FDD"/>
    <w:rsid w:val="00652090"/>
    <w:rsid w:val="006521B3"/>
    <w:rsid w:val="00653701"/>
    <w:rsid w:val="00655E71"/>
    <w:rsid w:val="006574BF"/>
    <w:rsid w:val="0065771E"/>
    <w:rsid w:val="00657AB9"/>
    <w:rsid w:val="0066192E"/>
    <w:rsid w:val="00663A8F"/>
    <w:rsid w:val="006653FF"/>
    <w:rsid w:val="006654AB"/>
    <w:rsid w:val="00665543"/>
    <w:rsid w:val="00665EAF"/>
    <w:rsid w:val="00666584"/>
    <w:rsid w:val="00666985"/>
    <w:rsid w:val="0066711C"/>
    <w:rsid w:val="006701BE"/>
    <w:rsid w:val="0067178E"/>
    <w:rsid w:val="00672B45"/>
    <w:rsid w:val="00672E4C"/>
    <w:rsid w:val="00673ACA"/>
    <w:rsid w:val="00674B5C"/>
    <w:rsid w:val="006753BF"/>
    <w:rsid w:val="0067559E"/>
    <w:rsid w:val="0067634F"/>
    <w:rsid w:val="00676AA7"/>
    <w:rsid w:val="006770AB"/>
    <w:rsid w:val="006770EA"/>
    <w:rsid w:val="00677712"/>
    <w:rsid w:val="006812AD"/>
    <w:rsid w:val="006815FF"/>
    <w:rsid w:val="00684599"/>
    <w:rsid w:val="00685FF8"/>
    <w:rsid w:val="00686298"/>
    <w:rsid w:val="00686D7A"/>
    <w:rsid w:val="00690DDC"/>
    <w:rsid w:val="00691720"/>
    <w:rsid w:val="00691BF7"/>
    <w:rsid w:val="00692C32"/>
    <w:rsid w:val="006935BD"/>
    <w:rsid w:val="00694369"/>
    <w:rsid w:val="0069475F"/>
    <w:rsid w:val="0069487E"/>
    <w:rsid w:val="006950BB"/>
    <w:rsid w:val="00696EDF"/>
    <w:rsid w:val="006972B9"/>
    <w:rsid w:val="006975EC"/>
    <w:rsid w:val="00697E57"/>
    <w:rsid w:val="006A0B08"/>
    <w:rsid w:val="006A107B"/>
    <w:rsid w:val="006A1E3B"/>
    <w:rsid w:val="006A219C"/>
    <w:rsid w:val="006A334F"/>
    <w:rsid w:val="006A3385"/>
    <w:rsid w:val="006A33BE"/>
    <w:rsid w:val="006A4633"/>
    <w:rsid w:val="006A522D"/>
    <w:rsid w:val="006A6427"/>
    <w:rsid w:val="006A6625"/>
    <w:rsid w:val="006A7F31"/>
    <w:rsid w:val="006A7F85"/>
    <w:rsid w:val="006B068B"/>
    <w:rsid w:val="006B0719"/>
    <w:rsid w:val="006B0E65"/>
    <w:rsid w:val="006B27FA"/>
    <w:rsid w:val="006B340E"/>
    <w:rsid w:val="006B35CE"/>
    <w:rsid w:val="006B3D80"/>
    <w:rsid w:val="006B57BC"/>
    <w:rsid w:val="006B6185"/>
    <w:rsid w:val="006B6B74"/>
    <w:rsid w:val="006B6CCD"/>
    <w:rsid w:val="006B71D2"/>
    <w:rsid w:val="006B7B11"/>
    <w:rsid w:val="006B7DAA"/>
    <w:rsid w:val="006C0BA9"/>
    <w:rsid w:val="006C147E"/>
    <w:rsid w:val="006C289E"/>
    <w:rsid w:val="006C2F7B"/>
    <w:rsid w:val="006C3C78"/>
    <w:rsid w:val="006C5039"/>
    <w:rsid w:val="006C628F"/>
    <w:rsid w:val="006C6A46"/>
    <w:rsid w:val="006D01A1"/>
    <w:rsid w:val="006D0F5C"/>
    <w:rsid w:val="006D15A3"/>
    <w:rsid w:val="006D176F"/>
    <w:rsid w:val="006D221C"/>
    <w:rsid w:val="006D26AB"/>
    <w:rsid w:val="006D2C65"/>
    <w:rsid w:val="006D3B17"/>
    <w:rsid w:val="006D4CB3"/>
    <w:rsid w:val="006D4F99"/>
    <w:rsid w:val="006D6549"/>
    <w:rsid w:val="006D6AB6"/>
    <w:rsid w:val="006D7898"/>
    <w:rsid w:val="006E113F"/>
    <w:rsid w:val="006E1BAA"/>
    <w:rsid w:val="006E2A5D"/>
    <w:rsid w:val="006E3AB3"/>
    <w:rsid w:val="006E411C"/>
    <w:rsid w:val="006E592F"/>
    <w:rsid w:val="006E77FF"/>
    <w:rsid w:val="006F0C27"/>
    <w:rsid w:val="006F3EB3"/>
    <w:rsid w:val="006F4155"/>
    <w:rsid w:val="006F49DD"/>
    <w:rsid w:val="006F6613"/>
    <w:rsid w:val="006F6E57"/>
    <w:rsid w:val="006F7EFE"/>
    <w:rsid w:val="00701570"/>
    <w:rsid w:val="00702406"/>
    <w:rsid w:val="0070267E"/>
    <w:rsid w:val="00702FB4"/>
    <w:rsid w:val="0070307B"/>
    <w:rsid w:val="007040BF"/>
    <w:rsid w:val="007050A7"/>
    <w:rsid w:val="0070585E"/>
    <w:rsid w:val="00705963"/>
    <w:rsid w:val="007061C7"/>
    <w:rsid w:val="0070638E"/>
    <w:rsid w:val="00707757"/>
    <w:rsid w:val="0071174C"/>
    <w:rsid w:val="00711AA7"/>
    <w:rsid w:val="0071255E"/>
    <w:rsid w:val="00712B87"/>
    <w:rsid w:val="007134FB"/>
    <w:rsid w:val="00713673"/>
    <w:rsid w:val="007137B9"/>
    <w:rsid w:val="00714539"/>
    <w:rsid w:val="00715BFC"/>
    <w:rsid w:val="00715C1A"/>
    <w:rsid w:val="007171B2"/>
    <w:rsid w:val="00720F9B"/>
    <w:rsid w:val="0072166F"/>
    <w:rsid w:val="0072205C"/>
    <w:rsid w:val="00722127"/>
    <w:rsid w:val="00724D7B"/>
    <w:rsid w:val="00726753"/>
    <w:rsid w:val="00726ED3"/>
    <w:rsid w:val="007273FB"/>
    <w:rsid w:val="00727A68"/>
    <w:rsid w:val="00727E29"/>
    <w:rsid w:val="007329B1"/>
    <w:rsid w:val="00734ED8"/>
    <w:rsid w:val="007354AD"/>
    <w:rsid w:val="0073614E"/>
    <w:rsid w:val="00736174"/>
    <w:rsid w:val="00737052"/>
    <w:rsid w:val="007379FE"/>
    <w:rsid w:val="0074052F"/>
    <w:rsid w:val="00740A82"/>
    <w:rsid w:val="0074283F"/>
    <w:rsid w:val="00742E14"/>
    <w:rsid w:val="00742E4F"/>
    <w:rsid w:val="007435AB"/>
    <w:rsid w:val="00744CAF"/>
    <w:rsid w:val="00744E7F"/>
    <w:rsid w:val="00745420"/>
    <w:rsid w:val="007464E4"/>
    <w:rsid w:val="0075082F"/>
    <w:rsid w:val="00750B95"/>
    <w:rsid w:val="00752F0B"/>
    <w:rsid w:val="007531F7"/>
    <w:rsid w:val="00754BFA"/>
    <w:rsid w:val="00755486"/>
    <w:rsid w:val="0075556C"/>
    <w:rsid w:val="0075563B"/>
    <w:rsid w:val="00755CC2"/>
    <w:rsid w:val="00755DF3"/>
    <w:rsid w:val="00756E76"/>
    <w:rsid w:val="00760608"/>
    <w:rsid w:val="007608EC"/>
    <w:rsid w:val="0076185A"/>
    <w:rsid w:val="007619C0"/>
    <w:rsid w:val="007631BF"/>
    <w:rsid w:val="00763894"/>
    <w:rsid w:val="00764045"/>
    <w:rsid w:val="00764BC6"/>
    <w:rsid w:val="00765635"/>
    <w:rsid w:val="0076598D"/>
    <w:rsid w:val="007703AF"/>
    <w:rsid w:val="007726CF"/>
    <w:rsid w:val="007732BE"/>
    <w:rsid w:val="00775B39"/>
    <w:rsid w:val="00776B90"/>
    <w:rsid w:val="00776F02"/>
    <w:rsid w:val="00781331"/>
    <w:rsid w:val="007826EB"/>
    <w:rsid w:val="00782CCE"/>
    <w:rsid w:val="007836CD"/>
    <w:rsid w:val="00783790"/>
    <w:rsid w:val="00784265"/>
    <w:rsid w:val="00785409"/>
    <w:rsid w:val="007856FA"/>
    <w:rsid w:val="00785D49"/>
    <w:rsid w:val="007868D6"/>
    <w:rsid w:val="0079082B"/>
    <w:rsid w:val="00791A47"/>
    <w:rsid w:val="00791F61"/>
    <w:rsid w:val="00792683"/>
    <w:rsid w:val="00792BF5"/>
    <w:rsid w:val="00794433"/>
    <w:rsid w:val="00794912"/>
    <w:rsid w:val="0079537D"/>
    <w:rsid w:val="0079575B"/>
    <w:rsid w:val="00795F13"/>
    <w:rsid w:val="00796081"/>
    <w:rsid w:val="007972DD"/>
    <w:rsid w:val="007975E8"/>
    <w:rsid w:val="007A081F"/>
    <w:rsid w:val="007A0C00"/>
    <w:rsid w:val="007A295C"/>
    <w:rsid w:val="007A2AE1"/>
    <w:rsid w:val="007A3746"/>
    <w:rsid w:val="007A3798"/>
    <w:rsid w:val="007A3BA8"/>
    <w:rsid w:val="007A46C6"/>
    <w:rsid w:val="007A5925"/>
    <w:rsid w:val="007A5C60"/>
    <w:rsid w:val="007A64E8"/>
    <w:rsid w:val="007A70D5"/>
    <w:rsid w:val="007B04CB"/>
    <w:rsid w:val="007B084A"/>
    <w:rsid w:val="007B1D71"/>
    <w:rsid w:val="007B28A7"/>
    <w:rsid w:val="007B29BE"/>
    <w:rsid w:val="007B3286"/>
    <w:rsid w:val="007B3AB4"/>
    <w:rsid w:val="007B40FC"/>
    <w:rsid w:val="007B484D"/>
    <w:rsid w:val="007B59E3"/>
    <w:rsid w:val="007B5CC9"/>
    <w:rsid w:val="007B5EBF"/>
    <w:rsid w:val="007B622A"/>
    <w:rsid w:val="007B6B1F"/>
    <w:rsid w:val="007B6F41"/>
    <w:rsid w:val="007B710F"/>
    <w:rsid w:val="007B7D1D"/>
    <w:rsid w:val="007C0369"/>
    <w:rsid w:val="007C048A"/>
    <w:rsid w:val="007C0690"/>
    <w:rsid w:val="007C0F16"/>
    <w:rsid w:val="007C394A"/>
    <w:rsid w:val="007C408E"/>
    <w:rsid w:val="007C41AC"/>
    <w:rsid w:val="007C5272"/>
    <w:rsid w:val="007C55A5"/>
    <w:rsid w:val="007C5E80"/>
    <w:rsid w:val="007C645E"/>
    <w:rsid w:val="007C6E21"/>
    <w:rsid w:val="007D03D1"/>
    <w:rsid w:val="007D05F2"/>
    <w:rsid w:val="007D0861"/>
    <w:rsid w:val="007D0FF2"/>
    <w:rsid w:val="007D130C"/>
    <w:rsid w:val="007D30E2"/>
    <w:rsid w:val="007D31C3"/>
    <w:rsid w:val="007D3C10"/>
    <w:rsid w:val="007D4857"/>
    <w:rsid w:val="007D4F46"/>
    <w:rsid w:val="007D521F"/>
    <w:rsid w:val="007D70DA"/>
    <w:rsid w:val="007D7308"/>
    <w:rsid w:val="007D746A"/>
    <w:rsid w:val="007E010B"/>
    <w:rsid w:val="007E02E1"/>
    <w:rsid w:val="007E074B"/>
    <w:rsid w:val="007E43E9"/>
    <w:rsid w:val="007E4478"/>
    <w:rsid w:val="007E5161"/>
    <w:rsid w:val="007E52E9"/>
    <w:rsid w:val="007E6398"/>
    <w:rsid w:val="007E7309"/>
    <w:rsid w:val="007E7466"/>
    <w:rsid w:val="007F0314"/>
    <w:rsid w:val="007F05F0"/>
    <w:rsid w:val="007F062C"/>
    <w:rsid w:val="007F13F7"/>
    <w:rsid w:val="007F2A67"/>
    <w:rsid w:val="007F2FAC"/>
    <w:rsid w:val="007F303B"/>
    <w:rsid w:val="007F3046"/>
    <w:rsid w:val="007F32EC"/>
    <w:rsid w:val="007F342F"/>
    <w:rsid w:val="007F4C64"/>
    <w:rsid w:val="007F5D4E"/>
    <w:rsid w:val="007F6B6F"/>
    <w:rsid w:val="007F7D42"/>
    <w:rsid w:val="00800E59"/>
    <w:rsid w:val="00801565"/>
    <w:rsid w:val="0080196B"/>
    <w:rsid w:val="008023DB"/>
    <w:rsid w:val="008025EA"/>
    <w:rsid w:val="008028ED"/>
    <w:rsid w:val="00802FC2"/>
    <w:rsid w:val="00803E5B"/>
    <w:rsid w:val="008047D2"/>
    <w:rsid w:val="00804C47"/>
    <w:rsid w:val="0080678F"/>
    <w:rsid w:val="008067D8"/>
    <w:rsid w:val="00807237"/>
    <w:rsid w:val="0081001C"/>
    <w:rsid w:val="00810126"/>
    <w:rsid w:val="00810D54"/>
    <w:rsid w:val="00812ACA"/>
    <w:rsid w:val="00813620"/>
    <w:rsid w:val="00813E17"/>
    <w:rsid w:val="0081438A"/>
    <w:rsid w:val="00814638"/>
    <w:rsid w:val="00814778"/>
    <w:rsid w:val="008148BA"/>
    <w:rsid w:val="008151A8"/>
    <w:rsid w:val="00815722"/>
    <w:rsid w:val="00815ADC"/>
    <w:rsid w:val="00820334"/>
    <w:rsid w:val="00820AC9"/>
    <w:rsid w:val="00822DBB"/>
    <w:rsid w:val="00823526"/>
    <w:rsid w:val="00824112"/>
    <w:rsid w:val="0082591C"/>
    <w:rsid w:val="00826E7F"/>
    <w:rsid w:val="00827178"/>
    <w:rsid w:val="00827BEC"/>
    <w:rsid w:val="00830A05"/>
    <w:rsid w:val="00830BF5"/>
    <w:rsid w:val="008328A2"/>
    <w:rsid w:val="00833AEB"/>
    <w:rsid w:val="00833B33"/>
    <w:rsid w:val="008351FE"/>
    <w:rsid w:val="0083524D"/>
    <w:rsid w:val="008352B1"/>
    <w:rsid w:val="0083544D"/>
    <w:rsid w:val="00835DA1"/>
    <w:rsid w:val="008373A2"/>
    <w:rsid w:val="00837A55"/>
    <w:rsid w:val="00842557"/>
    <w:rsid w:val="00843472"/>
    <w:rsid w:val="0084359C"/>
    <w:rsid w:val="008440AD"/>
    <w:rsid w:val="008440D0"/>
    <w:rsid w:val="008448D5"/>
    <w:rsid w:val="00844955"/>
    <w:rsid w:val="00845974"/>
    <w:rsid w:val="008462EC"/>
    <w:rsid w:val="008474F3"/>
    <w:rsid w:val="0084759F"/>
    <w:rsid w:val="00850307"/>
    <w:rsid w:val="008506DD"/>
    <w:rsid w:val="00850D1A"/>
    <w:rsid w:val="008525D5"/>
    <w:rsid w:val="008525ED"/>
    <w:rsid w:val="008526F9"/>
    <w:rsid w:val="0085414B"/>
    <w:rsid w:val="008549B8"/>
    <w:rsid w:val="00855497"/>
    <w:rsid w:val="00855D82"/>
    <w:rsid w:val="00855F8B"/>
    <w:rsid w:val="00856635"/>
    <w:rsid w:val="00857C68"/>
    <w:rsid w:val="00857F5D"/>
    <w:rsid w:val="00860A41"/>
    <w:rsid w:val="00860AC3"/>
    <w:rsid w:val="008610BF"/>
    <w:rsid w:val="00861552"/>
    <w:rsid w:val="00862A63"/>
    <w:rsid w:val="00862AE6"/>
    <w:rsid w:val="00864270"/>
    <w:rsid w:val="00865D32"/>
    <w:rsid w:val="008665C2"/>
    <w:rsid w:val="0086785D"/>
    <w:rsid w:val="0087158E"/>
    <w:rsid w:val="00871C88"/>
    <w:rsid w:val="0087272D"/>
    <w:rsid w:val="008750DD"/>
    <w:rsid w:val="008754D8"/>
    <w:rsid w:val="0087690B"/>
    <w:rsid w:val="008773C4"/>
    <w:rsid w:val="00877E76"/>
    <w:rsid w:val="008810B8"/>
    <w:rsid w:val="00881617"/>
    <w:rsid w:val="008816B5"/>
    <w:rsid w:val="008820C0"/>
    <w:rsid w:val="00884969"/>
    <w:rsid w:val="00884CA5"/>
    <w:rsid w:val="0088502B"/>
    <w:rsid w:val="00885696"/>
    <w:rsid w:val="00885BE9"/>
    <w:rsid w:val="00886316"/>
    <w:rsid w:val="008877FD"/>
    <w:rsid w:val="00887FA3"/>
    <w:rsid w:val="00890139"/>
    <w:rsid w:val="0089037F"/>
    <w:rsid w:val="0089183E"/>
    <w:rsid w:val="00892CF2"/>
    <w:rsid w:val="00895146"/>
    <w:rsid w:val="00895B76"/>
    <w:rsid w:val="0089670D"/>
    <w:rsid w:val="008A098F"/>
    <w:rsid w:val="008A160B"/>
    <w:rsid w:val="008A1CA8"/>
    <w:rsid w:val="008A1DCE"/>
    <w:rsid w:val="008A2A3A"/>
    <w:rsid w:val="008A2A83"/>
    <w:rsid w:val="008A2B86"/>
    <w:rsid w:val="008A353D"/>
    <w:rsid w:val="008A42DA"/>
    <w:rsid w:val="008A5DC5"/>
    <w:rsid w:val="008A6177"/>
    <w:rsid w:val="008A6912"/>
    <w:rsid w:val="008A79D2"/>
    <w:rsid w:val="008B021B"/>
    <w:rsid w:val="008B1769"/>
    <w:rsid w:val="008B1834"/>
    <w:rsid w:val="008B5FD2"/>
    <w:rsid w:val="008B6DEC"/>
    <w:rsid w:val="008B73D0"/>
    <w:rsid w:val="008B77FA"/>
    <w:rsid w:val="008B7FF3"/>
    <w:rsid w:val="008C1995"/>
    <w:rsid w:val="008C288C"/>
    <w:rsid w:val="008C3337"/>
    <w:rsid w:val="008C38ED"/>
    <w:rsid w:val="008C49C0"/>
    <w:rsid w:val="008C4ACF"/>
    <w:rsid w:val="008C4FFA"/>
    <w:rsid w:val="008C63C2"/>
    <w:rsid w:val="008C6514"/>
    <w:rsid w:val="008C66ED"/>
    <w:rsid w:val="008C6BEB"/>
    <w:rsid w:val="008C7092"/>
    <w:rsid w:val="008C7425"/>
    <w:rsid w:val="008C7FD9"/>
    <w:rsid w:val="008D0F98"/>
    <w:rsid w:val="008D169B"/>
    <w:rsid w:val="008D2A73"/>
    <w:rsid w:val="008D307E"/>
    <w:rsid w:val="008D4B4C"/>
    <w:rsid w:val="008D5996"/>
    <w:rsid w:val="008D5FEB"/>
    <w:rsid w:val="008D6056"/>
    <w:rsid w:val="008D654D"/>
    <w:rsid w:val="008D6C29"/>
    <w:rsid w:val="008D6D6E"/>
    <w:rsid w:val="008D7350"/>
    <w:rsid w:val="008D7943"/>
    <w:rsid w:val="008E0419"/>
    <w:rsid w:val="008E2694"/>
    <w:rsid w:val="008E2A2E"/>
    <w:rsid w:val="008E32B2"/>
    <w:rsid w:val="008E39D6"/>
    <w:rsid w:val="008E510C"/>
    <w:rsid w:val="008E6AFE"/>
    <w:rsid w:val="008E7B0F"/>
    <w:rsid w:val="008F0231"/>
    <w:rsid w:val="008F04BA"/>
    <w:rsid w:val="008F16A8"/>
    <w:rsid w:val="008F1934"/>
    <w:rsid w:val="008F2490"/>
    <w:rsid w:val="008F3274"/>
    <w:rsid w:val="008F3C74"/>
    <w:rsid w:val="008F67B1"/>
    <w:rsid w:val="008F6D5C"/>
    <w:rsid w:val="008F71EB"/>
    <w:rsid w:val="008F7CA9"/>
    <w:rsid w:val="009001A3"/>
    <w:rsid w:val="00900F85"/>
    <w:rsid w:val="00901645"/>
    <w:rsid w:val="0090271C"/>
    <w:rsid w:val="00902ADA"/>
    <w:rsid w:val="0090458E"/>
    <w:rsid w:val="009045C9"/>
    <w:rsid w:val="00904C59"/>
    <w:rsid w:val="00905887"/>
    <w:rsid w:val="009069D0"/>
    <w:rsid w:val="00906E7C"/>
    <w:rsid w:val="00907CDE"/>
    <w:rsid w:val="009105E3"/>
    <w:rsid w:val="0091078D"/>
    <w:rsid w:val="009108E3"/>
    <w:rsid w:val="009112BC"/>
    <w:rsid w:val="00913542"/>
    <w:rsid w:val="009138AB"/>
    <w:rsid w:val="0091453A"/>
    <w:rsid w:val="00915DB6"/>
    <w:rsid w:val="00916400"/>
    <w:rsid w:val="0091706B"/>
    <w:rsid w:val="00917AB5"/>
    <w:rsid w:val="00920369"/>
    <w:rsid w:val="00920500"/>
    <w:rsid w:val="009215EF"/>
    <w:rsid w:val="00921675"/>
    <w:rsid w:val="00921849"/>
    <w:rsid w:val="00921DBC"/>
    <w:rsid w:val="00923C2F"/>
    <w:rsid w:val="00924352"/>
    <w:rsid w:val="009327C2"/>
    <w:rsid w:val="00932D0F"/>
    <w:rsid w:val="00933A26"/>
    <w:rsid w:val="00934022"/>
    <w:rsid w:val="0093460E"/>
    <w:rsid w:val="00935818"/>
    <w:rsid w:val="00937AA8"/>
    <w:rsid w:val="00940731"/>
    <w:rsid w:val="00941367"/>
    <w:rsid w:val="00941649"/>
    <w:rsid w:val="0094267E"/>
    <w:rsid w:val="009429B4"/>
    <w:rsid w:val="00944282"/>
    <w:rsid w:val="00944995"/>
    <w:rsid w:val="00944DC5"/>
    <w:rsid w:val="009457F1"/>
    <w:rsid w:val="00945F8F"/>
    <w:rsid w:val="00947AD8"/>
    <w:rsid w:val="00950F56"/>
    <w:rsid w:val="009516BC"/>
    <w:rsid w:val="00952D2A"/>
    <w:rsid w:val="00953462"/>
    <w:rsid w:val="00954301"/>
    <w:rsid w:val="00954FFB"/>
    <w:rsid w:val="00956C56"/>
    <w:rsid w:val="00957245"/>
    <w:rsid w:val="009576EE"/>
    <w:rsid w:val="00960F43"/>
    <w:rsid w:val="009610B0"/>
    <w:rsid w:val="00961433"/>
    <w:rsid w:val="00961453"/>
    <w:rsid w:val="00963C65"/>
    <w:rsid w:val="00963D17"/>
    <w:rsid w:val="00964496"/>
    <w:rsid w:val="00964E56"/>
    <w:rsid w:val="00965D76"/>
    <w:rsid w:val="00965FA1"/>
    <w:rsid w:val="009661B4"/>
    <w:rsid w:val="0096641E"/>
    <w:rsid w:val="00967272"/>
    <w:rsid w:val="009678B8"/>
    <w:rsid w:val="00967E72"/>
    <w:rsid w:val="0097081A"/>
    <w:rsid w:val="00971555"/>
    <w:rsid w:val="00971622"/>
    <w:rsid w:val="009729FB"/>
    <w:rsid w:val="00972B74"/>
    <w:rsid w:val="00973EE2"/>
    <w:rsid w:val="009759AD"/>
    <w:rsid w:val="00976D39"/>
    <w:rsid w:val="00976D50"/>
    <w:rsid w:val="00977821"/>
    <w:rsid w:val="00977C0D"/>
    <w:rsid w:val="00980BC6"/>
    <w:rsid w:val="00980BFA"/>
    <w:rsid w:val="00982090"/>
    <w:rsid w:val="00982BA9"/>
    <w:rsid w:val="00984740"/>
    <w:rsid w:val="0098584F"/>
    <w:rsid w:val="00985F93"/>
    <w:rsid w:val="00986067"/>
    <w:rsid w:val="00986548"/>
    <w:rsid w:val="009869BA"/>
    <w:rsid w:val="00986DD3"/>
    <w:rsid w:val="009870EE"/>
    <w:rsid w:val="009917F9"/>
    <w:rsid w:val="00993726"/>
    <w:rsid w:val="009937A7"/>
    <w:rsid w:val="00994229"/>
    <w:rsid w:val="009957C5"/>
    <w:rsid w:val="00995F09"/>
    <w:rsid w:val="00997AFD"/>
    <w:rsid w:val="009A0595"/>
    <w:rsid w:val="009A10C9"/>
    <w:rsid w:val="009A1C6A"/>
    <w:rsid w:val="009A27E4"/>
    <w:rsid w:val="009A4126"/>
    <w:rsid w:val="009A45D4"/>
    <w:rsid w:val="009A4D99"/>
    <w:rsid w:val="009A4F3A"/>
    <w:rsid w:val="009A51C1"/>
    <w:rsid w:val="009A5B9A"/>
    <w:rsid w:val="009B1949"/>
    <w:rsid w:val="009B1E43"/>
    <w:rsid w:val="009B1E61"/>
    <w:rsid w:val="009B2860"/>
    <w:rsid w:val="009B30C9"/>
    <w:rsid w:val="009B3401"/>
    <w:rsid w:val="009B414D"/>
    <w:rsid w:val="009B5234"/>
    <w:rsid w:val="009B53AD"/>
    <w:rsid w:val="009B5976"/>
    <w:rsid w:val="009B7840"/>
    <w:rsid w:val="009B7ED1"/>
    <w:rsid w:val="009C1185"/>
    <w:rsid w:val="009C11A3"/>
    <w:rsid w:val="009C12B3"/>
    <w:rsid w:val="009C3C04"/>
    <w:rsid w:val="009C49B2"/>
    <w:rsid w:val="009C4A01"/>
    <w:rsid w:val="009C5F93"/>
    <w:rsid w:val="009C6419"/>
    <w:rsid w:val="009C7C9D"/>
    <w:rsid w:val="009D0762"/>
    <w:rsid w:val="009D1625"/>
    <w:rsid w:val="009D1812"/>
    <w:rsid w:val="009D19AA"/>
    <w:rsid w:val="009D233C"/>
    <w:rsid w:val="009D2823"/>
    <w:rsid w:val="009D29F6"/>
    <w:rsid w:val="009D3B80"/>
    <w:rsid w:val="009D3D5A"/>
    <w:rsid w:val="009D44BC"/>
    <w:rsid w:val="009D4BDC"/>
    <w:rsid w:val="009D4F21"/>
    <w:rsid w:val="009D50D2"/>
    <w:rsid w:val="009D527A"/>
    <w:rsid w:val="009D5CAD"/>
    <w:rsid w:val="009D5E00"/>
    <w:rsid w:val="009D5E20"/>
    <w:rsid w:val="009D759D"/>
    <w:rsid w:val="009E02E9"/>
    <w:rsid w:val="009E07BC"/>
    <w:rsid w:val="009E0E7D"/>
    <w:rsid w:val="009E15C7"/>
    <w:rsid w:val="009E2A20"/>
    <w:rsid w:val="009E2EE0"/>
    <w:rsid w:val="009E2F7F"/>
    <w:rsid w:val="009E3463"/>
    <w:rsid w:val="009E3519"/>
    <w:rsid w:val="009E362F"/>
    <w:rsid w:val="009E3FC6"/>
    <w:rsid w:val="009E64C1"/>
    <w:rsid w:val="009E6532"/>
    <w:rsid w:val="009F04E4"/>
    <w:rsid w:val="009F1A4E"/>
    <w:rsid w:val="009F2D8A"/>
    <w:rsid w:val="009F3F4B"/>
    <w:rsid w:val="009F518D"/>
    <w:rsid w:val="009F5831"/>
    <w:rsid w:val="009F5DF5"/>
    <w:rsid w:val="009F64D8"/>
    <w:rsid w:val="00A01537"/>
    <w:rsid w:val="00A0160B"/>
    <w:rsid w:val="00A02A46"/>
    <w:rsid w:val="00A034CF"/>
    <w:rsid w:val="00A036CF"/>
    <w:rsid w:val="00A0459D"/>
    <w:rsid w:val="00A04D5B"/>
    <w:rsid w:val="00A0509E"/>
    <w:rsid w:val="00A05EBA"/>
    <w:rsid w:val="00A10D22"/>
    <w:rsid w:val="00A117BE"/>
    <w:rsid w:val="00A12C59"/>
    <w:rsid w:val="00A147AC"/>
    <w:rsid w:val="00A14E40"/>
    <w:rsid w:val="00A160B3"/>
    <w:rsid w:val="00A168FE"/>
    <w:rsid w:val="00A17257"/>
    <w:rsid w:val="00A172AB"/>
    <w:rsid w:val="00A17F4C"/>
    <w:rsid w:val="00A20617"/>
    <w:rsid w:val="00A20C9E"/>
    <w:rsid w:val="00A20D1B"/>
    <w:rsid w:val="00A2185D"/>
    <w:rsid w:val="00A221E1"/>
    <w:rsid w:val="00A23603"/>
    <w:rsid w:val="00A23BDA"/>
    <w:rsid w:val="00A23FDF"/>
    <w:rsid w:val="00A2477B"/>
    <w:rsid w:val="00A24BF5"/>
    <w:rsid w:val="00A25C3E"/>
    <w:rsid w:val="00A26535"/>
    <w:rsid w:val="00A26843"/>
    <w:rsid w:val="00A27D21"/>
    <w:rsid w:val="00A27FB3"/>
    <w:rsid w:val="00A3001A"/>
    <w:rsid w:val="00A3077B"/>
    <w:rsid w:val="00A30AD4"/>
    <w:rsid w:val="00A30F56"/>
    <w:rsid w:val="00A315D9"/>
    <w:rsid w:val="00A325F9"/>
    <w:rsid w:val="00A3343E"/>
    <w:rsid w:val="00A34BCE"/>
    <w:rsid w:val="00A34CDE"/>
    <w:rsid w:val="00A35E30"/>
    <w:rsid w:val="00A36B4D"/>
    <w:rsid w:val="00A40C10"/>
    <w:rsid w:val="00A4119D"/>
    <w:rsid w:val="00A4123F"/>
    <w:rsid w:val="00A41CE4"/>
    <w:rsid w:val="00A41D98"/>
    <w:rsid w:val="00A422A4"/>
    <w:rsid w:val="00A438D6"/>
    <w:rsid w:val="00A43CA8"/>
    <w:rsid w:val="00A4467A"/>
    <w:rsid w:val="00A46EB3"/>
    <w:rsid w:val="00A4738C"/>
    <w:rsid w:val="00A47D77"/>
    <w:rsid w:val="00A5181C"/>
    <w:rsid w:val="00A525A9"/>
    <w:rsid w:val="00A535A5"/>
    <w:rsid w:val="00A53CBA"/>
    <w:rsid w:val="00A565C7"/>
    <w:rsid w:val="00A57ED2"/>
    <w:rsid w:val="00A60B5C"/>
    <w:rsid w:val="00A61FDE"/>
    <w:rsid w:val="00A62A07"/>
    <w:rsid w:val="00A6350F"/>
    <w:rsid w:val="00A63CC3"/>
    <w:rsid w:val="00A643AE"/>
    <w:rsid w:val="00A6483A"/>
    <w:rsid w:val="00A650BF"/>
    <w:rsid w:val="00A6514C"/>
    <w:rsid w:val="00A66522"/>
    <w:rsid w:val="00A67B6F"/>
    <w:rsid w:val="00A67BBE"/>
    <w:rsid w:val="00A700EB"/>
    <w:rsid w:val="00A70207"/>
    <w:rsid w:val="00A70886"/>
    <w:rsid w:val="00A70CD5"/>
    <w:rsid w:val="00A7145A"/>
    <w:rsid w:val="00A72130"/>
    <w:rsid w:val="00A729A1"/>
    <w:rsid w:val="00A72F14"/>
    <w:rsid w:val="00A738A0"/>
    <w:rsid w:val="00A75B62"/>
    <w:rsid w:val="00A7780B"/>
    <w:rsid w:val="00A77FC9"/>
    <w:rsid w:val="00A801AE"/>
    <w:rsid w:val="00A80434"/>
    <w:rsid w:val="00A85204"/>
    <w:rsid w:val="00A86D54"/>
    <w:rsid w:val="00A879B5"/>
    <w:rsid w:val="00A903E4"/>
    <w:rsid w:val="00A90E86"/>
    <w:rsid w:val="00A91358"/>
    <w:rsid w:val="00A91806"/>
    <w:rsid w:val="00A91F33"/>
    <w:rsid w:val="00A931E0"/>
    <w:rsid w:val="00A9436C"/>
    <w:rsid w:val="00A966D0"/>
    <w:rsid w:val="00AA058F"/>
    <w:rsid w:val="00AA112F"/>
    <w:rsid w:val="00AA278A"/>
    <w:rsid w:val="00AA398D"/>
    <w:rsid w:val="00AA3EB1"/>
    <w:rsid w:val="00AA4706"/>
    <w:rsid w:val="00AA4ED9"/>
    <w:rsid w:val="00AA5F09"/>
    <w:rsid w:val="00AA714D"/>
    <w:rsid w:val="00AB0C87"/>
    <w:rsid w:val="00AB0F41"/>
    <w:rsid w:val="00AB1EEF"/>
    <w:rsid w:val="00AB26E7"/>
    <w:rsid w:val="00AB31A4"/>
    <w:rsid w:val="00AB337A"/>
    <w:rsid w:val="00AB34C2"/>
    <w:rsid w:val="00AB3E75"/>
    <w:rsid w:val="00AB64E1"/>
    <w:rsid w:val="00AB684F"/>
    <w:rsid w:val="00AB6D6A"/>
    <w:rsid w:val="00AB7164"/>
    <w:rsid w:val="00AB752F"/>
    <w:rsid w:val="00AC04E7"/>
    <w:rsid w:val="00AC0EC7"/>
    <w:rsid w:val="00AC16B5"/>
    <w:rsid w:val="00AC1733"/>
    <w:rsid w:val="00AC1FAF"/>
    <w:rsid w:val="00AC1FBC"/>
    <w:rsid w:val="00AC3B9B"/>
    <w:rsid w:val="00AC4340"/>
    <w:rsid w:val="00AC44FD"/>
    <w:rsid w:val="00AC549F"/>
    <w:rsid w:val="00AC58EA"/>
    <w:rsid w:val="00AC5DAF"/>
    <w:rsid w:val="00AC653C"/>
    <w:rsid w:val="00AC7061"/>
    <w:rsid w:val="00AD015B"/>
    <w:rsid w:val="00AD038E"/>
    <w:rsid w:val="00AD08FA"/>
    <w:rsid w:val="00AD1876"/>
    <w:rsid w:val="00AD240A"/>
    <w:rsid w:val="00AD2DE9"/>
    <w:rsid w:val="00AD4736"/>
    <w:rsid w:val="00AD5391"/>
    <w:rsid w:val="00AD5769"/>
    <w:rsid w:val="00AD7A9D"/>
    <w:rsid w:val="00AE2F50"/>
    <w:rsid w:val="00AE3093"/>
    <w:rsid w:val="00AE4AF3"/>
    <w:rsid w:val="00AE5FDD"/>
    <w:rsid w:val="00AE641D"/>
    <w:rsid w:val="00AE6D5E"/>
    <w:rsid w:val="00AE7080"/>
    <w:rsid w:val="00AE7169"/>
    <w:rsid w:val="00AF0419"/>
    <w:rsid w:val="00AF301B"/>
    <w:rsid w:val="00AF33AD"/>
    <w:rsid w:val="00AF3A38"/>
    <w:rsid w:val="00AF3E7F"/>
    <w:rsid w:val="00AF4C51"/>
    <w:rsid w:val="00AF5A96"/>
    <w:rsid w:val="00AF5B63"/>
    <w:rsid w:val="00B00993"/>
    <w:rsid w:val="00B02B0C"/>
    <w:rsid w:val="00B0420E"/>
    <w:rsid w:val="00B06AFA"/>
    <w:rsid w:val="00B0706E"/>
    <w:rsid w:val="00B0716F"/>
    <w:rsid w:val="00B075C9"/>
    <w:rsid w:val="00B07734"/>
    <w:rsid w:val="00B07B2B"/>
    <w:rsid w:val="00B07FB4"/>
    <w:rsid w:val="00B10197"/>
    <w:rsid w:val="00B10272"/>
    <w:rsid w:val="00B103BE"/>
    <w:rsid w:val="00B10C41"/>
    <w:rsid w:val="00B12252"/>
    <w:rsid w:val="00B12908"/>
    <w:rsid w:val="00B13921"/>
    <w:rsid w:val="00B144B7"/>
    <w:rsid w:val="00B14CA1"/>
    <w:rsid w:val="00B16FB9"/>
    <w:rsid w:val="00B17EAE"/>
    <w:rsid w:val="00B21CCC"/>
    <w:rsid w:val="00B23A91"/>
    <w:rsid w:val="00B24068"/>
    <w:rsid w:val="00B24349"/>
    <w:rsid w:val="00B243BD"/>
    <w:rsid w:val="00B26173"/>
    <w:rsid w:val="00B26816"/>
    <w:rsid w:val="00B26858"/>
    <w:rsid w:val="00B270DB"/>
    <w:rsid w:val="00B27455"/>
    <w:rsid w:val="00B277E4"/>
    <w:rsid w:val="00B30985"/>
    <w:rsid w:val="00B32404"/>
    <w:rsid w:val="00B32EE9"/>
    <w:rsid w:val="00B330CF"/>
    <w:rsid w:val="00B33E5E"/>
    <w:rsid w:val="00B33EB6"/>
    <w:rsid w:val="00B352F9"/>
    <w:rsid w:val="00B40A72"/>
    <w:rsid w:val="00B40BBD"/>
    <w:rsid w:val="00B411C6"/>
    <w:rsid w:val="00B41300"/>
    <w:rsid w:val="00B42F59"/>
    <w:rsid w:val="00B43034"/>
    <w:rsid w:val="00B43EFF"/>
    <w:rsid w:val="00B464FA"/>
    <w:rsid w:val="00B467FF"/>
    <w:rsid w:val="00B47E09"/>
    <w:rsid w:val="00B5044E"/>
    <w:rsid w:val="00B50C92"/>
    <w:rsid w:val="00B5166D"/>
    <w:rsid w:val="00B529D9"/>
    <w:rsid w:val="00B52A38"/>
    <w:rsid w:val="00B52A96"/>
    <w:rsid w:val="00B52EAC"/>
    <w:rsid w:val="00B54EA3"/>
    <w:rsid w:val="00B551BE"/>
    <w:rsid w:val="00B57D6D"/>
    <w:rsid w:val="00B60744"/>
    <w:rsid w:val="00B617D0"/>
    <w:rsid w:val="00B61883"/>
    <w:rsid w:val="00B61995"/>
    <w:rsid w:val="00B637D2"/>
    <w:rsid w:val="00B65008"/>
    <w:rsid w:val="00B704B3"/>
    <w:rsid w:val="00B71028"/>
    <w:rsid w:val="00B7321E"/>
    <w:rsid w:val="00B73638"/>
    <w:rsid w:val="00B77FD8"/>
    <w:rsid w:val="00B80D1B"/>
    <w:rsid w:val="00B81697"/>
    <w:rsid w:val="00B81B54"/>
    <w:rsid w:val="00B82F78"/>
    <w:rsid w:val="00B83CFA"/>
    <w:rsid w:val="00B84B1F"/>
    <w:rsid w:val="00B84DF3"/>
    <w:rsid w:val="00B862C3"/>
    <w:rsid w:val="00B87D72"/>
    <w:rsid w:val="00B900F4"/>
    <w:rsid w:val="00B91111"/>
    <w:rsid w:val="00B915CA"/>
    <w:rsid w:val="00B918C5"/>
    <w:rsid w:val="00B927D7"/>
    <w:rsid w:val="00B94189"/>
    <w:rsid w:val="00B94624"/>
    <w:rsid w:val="00B9523F"/>
    <w:rsid w:val="00B977C4"/>
    <w:rsid w:val="00B97944"/>
    <w:rsid w:val="00BA0D73"/>
    <w:rsid w:val="00BA5122"/>
    <w:rsid w:val="00BA64C3"/>
    <w:rsid w:val="00BA76E1"/>
    <w:rsid w:val="00BA7AB2"/>
    <w:rsid w:val="00BA7B93"/>
    <w:rsid w:val="00BB05AF"/>
    <w:rsid w:val="00BB126C"/>
    <w:rsid w:val="00BB2404"/>
    <w:rsid w:val="00BB253F"/>
    <w:rsid w:val="00BB3A16"/>
    <w:rsid w:val="00BB404C"/>
    <w:rsid w:val="00BB572A"/>
    <w:rsid w:val="00BB5FA3"/>
    <w:rsid w:val="00BB6F05"/>
    <w:rsid w:val="00BC0283"/>
    <w:rsid w:val="00BC2E0E"/>
    <w:rsid w:val="00BC38E8"/>
    <w:rsid w:val="00BC3A24"/>
    <w:rsid w:val="00BC3E44"/>
    <w:rsid w:val="00BC3EA7"/>
    <w:rsid w:val="00BC4988"/>
    <w:rsid w:val="00BC58A1"/>
    <w:rsid w:val="00BC5B62"/>
    <w:rsid w:val="00BC5CF6"/>
    <w:rsid w:val="00BC5F14"/>
    <w:rsid w:val="00BC7D00"/>
    <w:rsid w:val="00BC7E60"/>
    <w:rsid w:val="00BD008E"/>
    <w:rsid w:val="00BD1DD5"/>
    <w:rsid w:val="00BD29F3"/>
    <w:rsid w:val="00BD3CC6"/>
    <w:rsid w:val="00BD4615"/>
    <w:rsid w:val="00BD7748"/>
    <w:rsid w:val="00BD7AB0"/>
    <w:rsid w:val="00BD7FF1"/>
    <w:rsid w:val="00BE33F1"/>
    <w:rsid w:val="00BE3987"/>
    <w:rsid w:val="00BE4791"/>
    <w:rsid w:val="00BE4894"/>
    <w:rsid w:val="00BE6195"/>
    <w:rsid w:val="00BE61E3"/>
    <w:rsid w:val="00BE6964"/>
    <w:rsid w:val="00BE6E2C"/>
    <w:rsid w:val="00BE7B32"/>
    <w:rsid w:val="00BF095B"/>
    <w:rsid w:val="00BF0C11"/>
    <w:rsid w:val="00BF20CC"/>
    <w:rsid w:val="00BF2183"/>
    <w:rsid w:val="00BF2277"/>
    <w:rsid w:val="00BF277C"/>
    <w:rsid w:val="00BF42C5"/>
    <w:rsid w:val="00BF5154"/>
    <w:rsid w:val="00BF5B2B"/>
    <w:rsid w:val="00C02AE1"/>
    <w:rsid w:val="00C02F51"/>
    <w:rsid w:val="00C037DD"/>
    <w:rsid w:val="00C04680"/>
    <w:rsid w:val="00C04A89"/>
    <w:rsid w:val="00C102B6"/>
    <w:rsid w:val="00C142EB"/>
    <w:rsid w:val="00C150A6"/>
    <w:rsid w:val="00C1558A"/>
    <w:rsid w:val="00C155F4"/>
    <w:rsid w:val="00C17522"/>
    <w:rsid w:val="00C201B6"/>
    <w:rsid w:val="00C20B4C"/>
    <w:rsid w:val="00C20ECB"/>
    <w:rsid w:val="00C2179D"/>
    <w:rsid w:val="00C23B81"/>
    <w:rsid w:val="00C2435D"/>
    <w:rsid w:val="00C24EC1"/>
    <w:rsid w:val="00C2567B"/>
    <w:rsid w:val="00C26AD2"/>
    <w:rsid w:val="00C2742F"/>
    <w:rsid w:val="00C27C41"/>
    <w:rsid w:val="00C305CE"/>
    <w:rsid w:val="00C30884"/>
    <w:rsid w:val="00C30AE2"/>
    <w:rsid w:val="00C311ED"/>
    <w:rsid w:val="00C31610"/>
    <w:rsid w:val="00C316D8"/>
    <w:rsid w:val="00C31B9C"/>
    <w:rsid w:val="00C323CC"/>
    <w:rsid w:val="00C3346E"/>
    <w:rsid w:val="00C33519"/>
    <w:rsid w:val="00C3445A"/>
    <w:rsid w:val="00C34B99"/>
    <w:rsid w:val="00C34F46"/>
    <w:rsid w:val="00C360B1"/>
    <w:rsid w:val="00C3731E"/>
    <w:rsid w:val="00C3731F"/>
    <w:rsid w:val="00C373A1"/>
    <w:rsid w:val="00C378D9"/>
    <w:rsid w:val="00C40AC5"/>
    <w:rsid w:val="00C42DC8"/>
    <w:rsid w:val="00C4369A"/>
    <w:rsid w:val="00C44650"/>
    <w:rsid w:val="00C457A3"/>
    <w:rsid w:val="00C45830"/>
    <w:rsid w:val="00C45C2B"/>
    <w:rsid w:val="00C463E2"/>
    <w:rsid w:val="00C46743"/>
    <w:rsid w:val="00C46A49"/>
    <w:rsid w:val="00C471F5"/>
    <w:rsid w:val="00C47B9D"/>
    <w:rsid w:val="00C50222"/>
    <w:rsid w:val="00C5063E"/>
    <w:rsid w:val="00C51B45"/>
    <w:rsid w:val="00C51EFD"/>
    <w:rsid w:val="00C52933"/>
    <w:rsid w:val="00C5487E"/>
    <w:rsid w:val="00C5538F"/>
    <w:rsid w:val="00C5628D"/>
    <w:rsid w:val="00C57F47"/>
    <w:rsid w:val="00C60CCB"/>
    <w:rsid w:val="00C61012"/>
    <w:rsid w:val="00C616F0"/>
    <w:rsid w:val="00C6204A"/>
    <w:rsid w:val="00C6247D"/>
    <w:rsid w:val="00C6290C"/>
    <w:rsid w:val="00C62FED"/>
    <w:rsid w:val="00C64CBA"/>
    <w:rsid w:val="00C65F92"/>
    <w:rsid w:val="00C664D5"/>
    <w:rsid w:val="00C71A66"/>
    <w:rsid w:val="00C7267F"/>
    <w:rsid w:val="00C72B1C"/>
    <w:rsid w:val="00C7446E"/>
    <w:rsid w:val="00C75203"/>
    <w:rsid w:val="00C763B1"/>
    <w:rsid w:val="00C768D5"/>
    <w:rsid w:val="00C76DFA"/>
    <w:rsid w:val="00C8212F"/>
    <w:rsid w:val="00C84DF7"/>
    <w:rsid w:val="00C84E6C"/>
    <w:rsid w:val="00C85BED"/>
    <w:rsid w:val="00C86632"/>
    <w:rsid w:val="00C86A54"/>
    <w:rsid w:val="00C876F2"/>
    <w:rsid w:val="00C90DBE"/>
    <w:rsid w:val="00C91594"/>
    <w:rsid w:val="00C94564"/>
    <w:rsid w:val="00C949D1"/>
    <w:rsid w:val="00C94BBD"/>
    <w:rsid w:val="00C94CE8"/>
    <w:rsid w:val="00C97440"/>
    <w:rsid w:val="00C97B86"/>
    <w:rsid w:val="00CA04BC"/>
    <w:rsid w:val="00CA1772"/>
    <w:rsid w:val="00CA26B8"/>
    <w:rsid w:val="00CA2897"/>
    <w:rsid w:val="00CA28D5"/>
    <w:rsid w:val="00CA2F11"/>
    <w:rsid w:val="00CA3009"/>
    <w:rsid w:val="00CA38ED"/>
    <w:rsid w:val="00CA45A6"/>
    <w:rsid w:val="00CA519A"/>
    <w:rsid w:val="00CA616A"/>
    <w:rsid w:val="00CA661B"/>
    <w:rsid w:val="00CA6F43"/>
    <w:rsid w:val="00CA71E7"/>
    <w:rsid w:val="00CA7FC9"/>
    <w:rsid w:val="00CB2149"/>
    <w:rsid w:val="00CB46E8"/>
    <w:rsid w:val="00CB5613"/>
    <w:rsid w:val="00CB612A"/>
    <w:rsid w:val="00CB61DA"/>
    <w:rsid w:val="00CB6514"/>
    <w:rsid w:val="00CB7741"/>
    <w:rsid w:val="00CB7B14"/>
    <w:rsid w:val="00CC00E4"/>
    <w:rsid w:val="00CC04E9"/>
    <w:rsid w:val="00CC0AA4"/>
    <w:rsid w:val="00CC10E3"/>
    <w:rsid w:val="00CC117F"/>
    <w:rsid w:val="00CC2359"/>
    <w:rsid w:val="00CC4545"/>
    <w:rsid w:val="00CC5FB9"/>
    <w:rsid w:val="00CC5FDB"/>
    <w:rsid w:val="00CC6AA3"/>
    <w:rsid w:val="00CD019E"/>
    <w:rsid w:val="00CD1BFD"/>
    <w:rsid w:val="00CD315F"/>
    <w:rsid w:val="00CD4D4B"/>
    <w:rsid w:val="00CE0034"/>
    <w:rsid w:val="00CE0FB5"/>
    <w:rsid w:val="00CE11CC"/>
    <w:rsid w:val="00CE1D53"/>
    <w:rsid w:val="00CE30FF"/>
    <w:rsid w:val="00CE319E"/>
    <w:rsid w:val="00CE3430"/>
    <w:rsid w:val="00CE38C9"/>
    <w:rsid w:val="00CE54DB"/>
    <w:rsid w:val="00CE55E3"/>
    <w:rsid w:val="00CE5D18"/>
    <w:rsid w:val="00CE6899"/>
    <w:rsid w:val="00CE691B"/>
    <w:rsid w:val="00CE7F24"/>
    <w:rsid w:val="00CF0631"/>
    <w:rsid w:val="00CF0D30"/>
    <w:rsid w:val="00CF0E8C"/>
    <w:rsid w:val="00CF0FC6"/>
    <w:rsid w:val="00CF13A9"/>
    <w:rsid w:val="00CF338B"/>
    <w:rsid w:val="00CF44E2"/>
    <w:rsid w:val="00CF69A3"/>
    <w:rsid w:val="00D0094F"/>
    <w:rsid w:val="00D01D4C"/>
    <w:rsid w:val="00D01FC4"/>
    <w:rsid w:val="00D02446"/>
    <w:rsid w:val="00D03135"/>
    <w:rsid w:val="00D034D2"/>
    <w:rsid w:val="00D03609"/>
    <w:rsid w:val="00D0389B"/>
    <w:rsid w:val="00D03A21"/>
    <w:rsid w:val="00D03BBC"/>
    <w:rsid w:val="00D03D14"/>
    <w:rsid w:val="00D0417D"/>
    <w:rsid w:val="00D0516C"/>
    <w:rsid w:val="00D06211"/>
    <w:rsid w:val="00D0688E"/>
    <w:rsid w:val="00D06DEE"/>
    <w:rsid w:val="00D06FE2"/>
    <w:rsid w:val="00D07C11"/>
    <w:rsid w:val="00D10C3B"/>
    <w:rsid w:val="00D124F0"/>
    <w:rsid w:val="00D13E6C"/>
    <w:rsid w:val="00D1571B"/>
    <w:rsid w:val="00D16551"/>
    <w:rsid w:val="00D171B8"/>
    <w:rsid w:val="00D1741F"/>
    <w:rsid w:val="00D206AD"/>
    <w:rsid w:val="00D238E7"/>
    <w:rsid w:val="00D23A81"/>
    <w:rsid w:val="00D245EF"/>
    <w:rsid w:val="00D24E25"/>
    <w:rsid w:val="00D25B49"/>
    <w:rsid w:val="00D26A8D"/>
    <w:rsid w:val="00D27CF3"/>
    <w:rsid w:val="00D30628"/>
    <w:rsid w:val="00D3070A"/>
    <w:rsid w:val="00D31C0A"/>
    <w:rsid w:val="00D32132"/>
    <w:rsid w:val="00D32402"/>
    <w:rsid w:val="00D3284B"/>
    <w:rsid w:val="00D32D3C"/>
    <w:rsid w:val="00D33428"/>
    <w:rsid w:val="00D33516"/>
    <w:rsid w:val="00D33828"/>
    <w:rsid w:val="00D33BDF"/>
    <w:rsid w:val="00D33D06"/>
    <w:rsid w:val="00D34C9A"/>
    <w:rsid w:val="00D35B3E"/>
    <w:rsid w:val="00D36135"/>
    <w:rsid w:val="00D370D8"/>
    <w:rsid w:val="00D37635"/>
    <w:rsid w:val="00D37906"/>
    <w:rsid w:val="00D37C50"/>
    <w:rsid w:val="00D40ECE"/>
    <w:rsid w:val="00D41E36"/>
    <w:rsid w:val="00D423DA"/>
    <w:rsid w:val="00D429E6"/>
    <w:rsid w:val="00D43ED1"/>
    <w:rsid w:val="00D440E1"/>
    <w:rsid w:val="00D449B9"/>
    <w:rsid w:val="00D44D96"/>
    <w:rsid w:val="00D4502C"/>
    <w:rsid w:val="00D45595"/>
    <w:rsid w:val="00D45725"/>
    <w:rsid w:val="00D457D8"/>
    <w:rsid w:val="00D4728A"/>
    <w:rsid w:val="00D47C66"/>
    <w:rsid w:val="00D508C3"/>
    <w:rsid w:val="00D50D6A"/>
    <w:rsid w:val="00D50DD4"/>
    <w:rsid w:val="00D51082"/>
    <w:rsid w:val="00D5220C"/>
    <w:rsid w:val="00D526AC"/>
    <w:rsid w:val="00D53407"/>
    <w:rsid w:val="00D5390D"/>
    <w:rsid w:val="00D54B58"/>
    <w:rsid w:val="00D5535B"/>
    <w:rsid w:val="00D57220"/>
    <w:rsid w:val="00D57DB3"/>
    <w:rsid w:val="00D60493"/>
    <w:rsid w:val="00D6098C"/>
    <w:rsid w:val="00D61AD9"/>
    <w:rsid w:val="00D62950"/>
    <w:rsid w:val="00D62EB6"/>
    <w:rsid w:val="00D637F3"/>
    <w:rsid w:val="00D63A0B"/>
    <w:rsid w:val="00D66425"/>
    <w:rsid w:val="00D66432"/>
    <w:rsid w:val="00D67CEB"/>
    <w:rsid w:val="00D67E32"/>
    <w:rsid w:val="00D70E75"/>
    <w:rsid w:val="00D7188F"/>
    <w:rsid w:val="00D71C23"/>
    <w:rsid w:val="00D74874"/>
    <w:rsid w:val="00D77B21"/>
    <w:rsid w:val="00D8110E"/>
    <w:rsid w:val="00D8163E"/>
    <w:rsid w:val="00D821BE"/>
    <w:rsid w:val="00D825BE"/>
    <w:rsid w:val="00D828F7"/>
    <w:rsid w:val="00D82F52"/>
    <w:rsid w:val="00D839B9"/>
    <w:rsid w:val="00D840F5"/>
    <w:rsid w:val="00D8421F"/>
    <w:rsid w:val="00D84533"/>
    <w:rsid w:val="00D84678"/>
    <w:rsid w:val="00D85BC3"/>
    <w:rsid w:val="00D860A8"/>
    <w:rsid w:val="00D86185"/>
    <w:rsid w:val="00D86B4D"/>
    <w:rsid w:val="00D87137"/>
    <w:rsid w:val="00D87256"/>
    <w:rsid w:val="00D87F1A"/>
    <w:rsid w:val="00D91688"/>
    <w:rsid w:val="00D928B0"/>
    <w:rsid w:val="00D931FC"/>
    <w:rsid w:val="00D94DBE"/>
    <w:rsid w:val="00D96DE7"/>
    <w:rsid w:val="00D978D3"/>
    <w:rsid w:val="00DA056B"/>
    <w:rsid w:val="00DA0718"/>
    <w:rsid w:val="00DA0C3C"/>
    <w:rsid w:val="00DA0E63"/>
    <w:rsid w:val="00DA15A5"/>
    <w:rsid w:val="00DA1BE3"/>
    <w:rsid w:val="00DA1EBF"/>
    <w:rsid w:val="00DA1F52"/>
    <w:rsid w:val="00DA207D"/>
    <w:rsid w:val="00DA2311"/>
    <w:rsid w:val="00DA2634"/>
    <w:rsid w:val="00DA2862"/>
    <w:rsid w:val="00DA3183"/>
    <w:rsid w:val="00DA3C0D"/>
    <w:rsid w:val="00DA4907"/>
    <w:rsid w:val="00DA6937"/>
    <w:rsid w:val="00DA6A14"/>
    <w:rsid w:val="00DA753E"/>
    <w:rsid w:val="00DB0F48"/>
    <w:rsid w:val="00DB1430"/>
    <w:rsid w:val="00DB1F34"/>
    <w:rsid w:val="00DB216E"/>
    <w:rsid w:val="00DB23B3"/>
    <w:rsid w:val="00DB26C1"/>
    <w:rsid w:val="00DB3795"/>
    <w:rsid w:val="00DB42EB"/>
    <w:rsid w:val="00DB4535"/>
    <w:rsid w:val="00DB4B20"/>
    <w:rsid w:val="00DB6629"/>
    <w:rsid w:val="00DB7551"/>
    <w:rsid w:val="00DB7A73"/>
    <w:rsid w:val="00DB7B28"/>
    <w:rsid w:val="00DC2277"/>
    <w:rsid w:val="00DC248E"/>
    <w:rsid w:val="00DC3EE7"/>
    <w:rsid w:val="00DC56E3"/>
    <w:rsid w:val="00DC5F80"/>
    <w:rsid w:val="00DC7681"/>
    <w:rsid w:val="00DC769F"/>
    <w:rsid w:val="00DC7789"/>
    <w:rsid w:val="00DC7FAF"/>
    <w:rsid w:val="00DC7FDF"/>
    <w:rsid w:val="00DC7FE5"/>
    <w:rsid w:val="00DD0177"/>
    <w:rsid w:val="00DD1E83"/>
    <w:rsid w:val="00DD1F59"/>
    <w:rsid w:val="00DD2A9A"/>
    <w:rsid w:val="00DD2B34"/>
    <w:rsid w:val="00DD32CB"/>
    <w:rsid w:val="00DD58E5"/>
    <w:rsid w:val="00DD6641"/>
    <w:rsid w:val="00DD7560"/>
    <w:rsid w:val="00DE0D4D"/>
    <w:rsid w:val="00DE0F6A"/>
    <w:rsid w:val="00DE38B6"/>
    <w:rsid w:val="00DE40DE"/>
    <w:rsid w:val="00DE4906"/>
    <w:rsid w:val="00DE4D9C"/>
    <w:rsid w:val="00DE5234"/>
    <w:rsid w:val="00DE57B7"/>
    <w:rsid w:val="00DE7670"/>
    <w:rsid w:val="00DF0F72"/>
    <w:rsid w:val="00DF12EE"/>
    <w:rsid w:val="00DF147C"/>
    <w:rsid w:val="00DF1737"/>
    <w:rsid w:val="00DF1A65"/>
    <w:rsid w:val="00DF3670"/>
    <w:rsid w:val="00DF4026"/>
    <w:rsid w:val="00DF4243"/>
    <w:rsid w:val="00DF439B"/>
    <w:rsid w:val="00DF4A62"/>
    <w:rsid w:val="00DF525A"/>
    <w:rsid w:val="00DF539C"/>
    <w:rsid w:val="00DF5A49"/>
    <w:rsid w:val="00DF7437"/>
    <w:rsid w:val="00E00643"/>
    <w:rsid w:val="00E00D77"/>
    <w:rsid w:val="00E00EE3"/>
    <w:rsid w:val="00E00FC9"/>
    <w:rsid w:val="00E01375"/>
    <w:rsid w:val="00E01542"/>
    <w:rsid w:val="00E01AAC"/>
    <w:rsid w:val="00E024CE"/>
    <w:rsid w:val="00E028D6"/>
    <w:rsid w:val="00E03B67"/>
    <w:rsid w:val="00E03EFA"/>
    <w:rsid w:val="00E04C10"/>
    <w:rsid w:val="00E04DE1"/>
    <w:rsid w:val="00E064B9"/>
    <w:rsid w:val="00E0688B"/>
    <w:rsid w:val="00E069BA"/>
    <w:rsid w:val="00E07235"/>
    <w:rsid w:val="00E07B50"/>
    <w:rsid w:val="00E10157"/>
    <w:rsid w:val="00E12C38"/>
    <w:rsid w:val="00E12F03"/>
    <w:rsid w:val="00E13769"/>
    <w:rsid w:val="00E13998"/>
    <w:rsid w:val="00E14594"/>
    <w:rsid w:val="00E15710"/>
    <w:rsid w:val="00E16061"/>
    <w:rsid w:val="00E16282"/>
    <w:rsid w:val="00E179E0"/>
    <w:rsid w:val="00E210E1"/>
    <w:rsid w:val="00E22ABD"/>
    <w:rsid w:val="00E22B26"/>
    <w:rsid w:val="00E236A2"/>
    <w:rsid w:val="00E249F7"/>
    <w:rsid w:val="00E25219"/>
    <w:rsid w:val="00E25DF1"/>
    <w:rsid w:val="00E263E3"/>
    <w:rsid w:val="00E26BA2"/>
    <w:rsid w:val="00E275A9"/>
    <w:rsid w:val="00E2774B"/>
    <w:rsid w:val="00E307E1"/>
    <w:rsid w:val="00E30BEB"/>
    <w:rsid w:val="00E316AE"/>
    <w:rsid w:val="00E33C9F"/>
    <w:rsid w:val="00E34BC2"/>
    <w:rsid w:val="00E35D90"/>
    <w:rsid w:val="00E36098"/>
    <w:rsid w:val="00E36382"/>
    <w:rsid w:val="00E36807"/>
    <w:rsid w:val="00E36A87"/>
    <w:rsid w:val="00E3799F"/>
    <w:rsid w:val="00E37E43"/>
    <w:rsid w:val="00E40E57"/>
    <w:rsid w:val="00E41416"/>
    <w:rsid w:val="00E41F10"/>
    <w:rsid w:val="00E4291D"/>
    <w:rsid w:val="00E429C0"/>
    <w:rsid w:val="00E4391C"/>
    <w:rsid w:val="00E452EF"/>
    <w:rsid w:val="00E4729C"/>
    <w:rsid w:val="00E472BA"/>
    <w:rsid w:val="00E47BAA"/>
    <w:rsid w:val="00E47C10"/>
    <w:rsid w:val="00E50D54"/>
    <w:rsid w:val="00E50DBC"/>
    <w:rsid w:val="00E5168D"/>
    <w:rsid w:val="00E5293D"/>
    <w:rsid w:val="00E52F3D"/>
    <w:rsid w:val="00E52F7B"/>
    <w:rsid w:val="00E56893"/>
    <w:rsid w:val="00E60124"/>
    <w:rsid w:val="00E606BF"/>
    <w:rsid w:val="00E61698"/>
    <w:rsid w:val="00E63D26"/>
    <w:rsid w:val="00E64C68"/>
    <w:rsid w:val="00E65708"/>
    <w:rsid w:val="00E669A3"/>
    <w:rsid w:val="00E66FD1"/>
    <w:rsid w:val="00E676A0"/>
    <w:rsid w:val="00E7002B"/>
    <w:rsid w:val="00E701BC"/>
    <w:rsid w:val="00E72BEB"/>
    <w:rsid w:val="00E76493"/>
    <w:rsid w:val="00E76565"/>
    <w:rsid w:val="00E765A7"/>
    <w:rsid w:val="00E76A78"/>
    <w:rsid w:val="00E77428"/>
    <w:rsid w:val="00E80260"/>
    <w:rsid w:val="00E81B0F"/>
    <w:rsid w:val="00E828BF"/>
    <w:rsid w:val="00E83D11"/>
    <w:rsid w:val="00E84974"/>
    <w:rsid w:val="00E84C82"/>
    <w:rsid w:val="00E859B8"/>
    <w:rsid w:val="00E869CB"/>
    <w:rsid w:val="00E87A7D"/>
    <w:rsid w:val="00E87F44"/>
    <w:rsid w:val="00E87F9C"/>
    <w:rsid w:val="00E903B6"/>
    <w:rsid w:val="00E90A3B"/>
    <w:rsid w:val="00E91E78"/>
    <w:rsid w:val="00E92A7F"/>
    <w:rsid w:val="00E93FEE"/>
    <w:rsid w:val="00E94C16"/>
    <w:rsid w:val="00E94E8E"/>
    <w:rsid w:val="00E95676"/>
    <w:rsid w:val="00E960C7"/>
    <w:rsid w:val="00E967E7"/>
    <w:rsid w:val="00E9707D"/>
    <w:rsid w:val="00E979AB"/>
    <w:rsid w:val="00E97C5D"/>
    <w:rsid w:val="00EA021E"/>
    <w:rsid w:val="00EA0FE7"/>
    <w:rsid w:val="00EA11CE"/>
    <w:rsid w:val="00EA1887"/>
    <w:rsid w:val="00EA429D"/>
    <w:rsid w:val="00EA5ABD"/>
    <w:rsid w:val="00EB26B8"/>
    <w:rsid w:val="00EB2FBB"/>
    <w:rsid w:val="00EB4E86"/>
    <w:rsid w:val="00EB4F3C"/>
    <w:rsid w:val="00EB6193"/>
    <w:rsid w:val="00EB68C4"/>
    <w:rsid w:val="00EB711E"/>
    <w:rsid w:val="00EC0913"/>
    <w:rsid w:val="00EC10BF"/>
    <w:rsid w:val="00EC1475"/>
    <w:rsid w:val="00EC38BE"/>
    <w:rsid w:val="00EC39BC"/>
    <w:rsid w:val="00EC5095"/>
    <w:rsid w:val="00EC7CE4"/>
    <w:rsid w:val="00EC7E9F"/>
    <w:rsid w:val="00ED07D2"/>
    <w:rsid w:val="00ED28E5"/>
    <w:rsid w:val="00ED3EA7"/>
    <w:rsid w:val="00ED40DC"/>
    <w:rsid w:val="00ED4E8A"/>
    <w:rsid w:val="00ED5059"/>
    <w:rsid w:val="00ED52C9"/>
    <w:rsid w:val="00ED5666"/>
    <w:rsid w:val="00ED5C8C"/>
    <w:rsid w:val="00ED737F"/>
    <w:rsid w:val="00ED7869"/>
    <w:rsid w:val="00ED7DC6"/>
    <w:rsid w:val="00EE03F1"/>
    <w:rsid w:val="00EE0908"/>
    <w:rsid w:val="00EE140B"/>
    <w:rsid w:val="00EE2D99"/>
    <w:rsid w:val="00EE45F6"/>
    <w:rsid w:val="00EE4C21"/>
    <w:rsid w:val="00EE4D3E"/>
    <w:rsid w:val="00EE7667"/>
    <w:rsid w:val="00EEE06F"/>
    <w:rsid w:val="00EF2142"/>
    <w:rsid w:val="00EF3329"/>
    <w:rsid w:val="00EF4B04"/>
    <w:rsid w:val="00EF521E"/>
    <w:rsid w:val="00EF6ABD"/>
    <w:rsid w:val="00EF7487"/>
    <w:rsid w:val="00EF7885"/>
    <w:rsid w:val="00F001A1"/>
    <w:rsid w:val="00F0025D"/>
    <w:rsid w:val="00F00F69"/>
    <w:rsid w:val="00F01812"/>
    <w:rsid w:val="00F03724"/>
    <w:rsid w:val="00F0380C"/>
    <w:rsid w:val="00F04A03"/>
    <w:rsid w:val="00F059B0"/>
    <w:rsid w:val="00F05B2D"/>
    <w:rsid w:val="00F06912"/>
    <w:rsid w:val="00F06B07"/>
    <w:rsid w:val="00F114E4"/>
    <w:rsid w:val="00F11F20"/>
    <w:rsid w:val="00F12193"/>
    <w:rsid w:val="00F144C4"/>
    <w:rsid w:val="00F15191"/>
    <w:rsid w:val="00F15956"/>
    <w:rsid w:val="00F15D36"/>
    <w:rsid w:val="00F15FA0"/>
    <w:rsid w:val="00F1785B"/>
    <w:rsid w:val="00F20104"/>
    <w:rsid w:val="00F20B06"/>
    <w:rsid w:val="00F2143D"/>
    <w:rsid w:val="00F22EE9"/>
    <w:rsid w:val="00F232DE"/>
    <w:rsid w:val="00F2369C"/>
    <w:rsid w:val="00F2471C"/>
    <w:rsid w:val="00F252C7"/>
    <w:rsid w:val="00F25906"/>
    <w:rsid w:val="00F2623C"/>
    <w:rsid w:val="00F27C8D"/>
    <w:rsid w:val="00F31198"/>
    <w:rsid w:val="00F31A57"/>
    <w:rsid w:val="00F3203F"/>
    <w:rsid w:val="00F32A19"/>
    <w:rsid w:val="00F32B68"/>
    <w:rsid w:val="00F33EA9"/>
    <w:rsid w:val="00F34CBD"/>
    <w:rsid w:val="00F3542D"/>
    <w:rsid w:val="00F357B3"/>
    <w:rsid w:val="00F369A9"/>
    <w:rsid w:val="00F36FBE"/>
    <w:rsid w:val="00F37412"/>
    <w:rsid w:val="00F40D72"/>
    <w:rsid w:val="00F40E6D"/>
    <w:rsid w:val="00F41A1E"/>
    <w:rsid w:val="00F44629"/>
    <w:rsid w:val="00F44DB4"/>
    <w:rsid w:val="00F45527"/>
    <w:rsid w:val="00F471F4"/>
    <w:rsid w:val="00F47258"/>
    <w:rsid w:val="00F5065A"/>
    <w:rsid w:val="00F53EE9"/>
    <w:rsid w:val="00F54863"/>
    <w:rsid w:val="00F5500C"/>
    <w:rsid w:val="00F5543C"/>
    <w:rsid w:val="00F5623D"/>
    <w:rsid w:val="00F56A07"/>
    <w:rsid w:val="00F603D5"/>
    <w:rsid w:val="00F60BBA"/>
    <w:rsid w:val="00F61DC3"/>
    <w:rsid w:val="00F6494F"/>
    <w:rsid w:val="00F65E10"/>
    <w:rsid w:val="00F66551"/>
    <w:rsid w:val="00F67971"/>
    <w:rsid w:val="00F67FF2"/>
    <w:rsid w:val="00F70B40"/>
    <w:rsid w:val="00F7152D"/>
    <w:rsid w:val="00F7176A"/>
    <w:rsid w:val="00F71B56"/>
    <w:rsid w:val="00F7216B"/>
    <w:rsid w:val="00F723F7"/>
    <w:rsid w:val="00F72D56"/>
    <w:rsid w:val="00F72EC6"/>
    <w:rsid w:val="00F73FB2"/>
    <w:rsid w:val="00F742A3"/>
    <w:rsid w:val="00F74CD5"/>
    <w:rsid w:val="00F7557A"/>
    <w:rsid w:val="00F7659E"/>
    <w:rsid w:val="00F76D7E"/>
    <w:rsid w:val="00F775A2"/>
    <w:rsid w:val="00F81F6B"/>
    <w:rsid w:val="00F8236F"/>
    <w:rsid w:val="00F8237B"/>
    <w:rsid w:val="00F82482"/>
    <w:rsid w:val="00F828E9"/>
    <w:rsid w:val="00F82C50"/>
    <w:rsid w:val="00F82F2B"/>
    <w:rsid w:val="00F85A5A"/>
    <w:rsid w:val="00F85A75"/>
    <w:rsid w:val="00F879E7"/>
    <w:rsid w:val="00F9030D"/>
    <w:rsid w:val="00F91155"/>
    <w:rsid w:val="00F9216C"/>
    <w:rsid w:val="00F92723"/>
    <w:rsid w:val="00F927B0"/>
    <w:rsid w:val="00F929AB"/>
    <w:rsid w:val="00F92F54"/>
    <w:rsid w:val="00F93475"/>
    <w:rsid w:val="00F93956"/>
    <w:rsid w:val="00F9508F"/>
    <w:rsid w:val="00F957E6"/>
    <w:rsid w:val="00F958CB"/>
    <w:rsid w:val="00F96BFE"/>
    <w:rsid w:val="00FA0006"/>
    <w:rsid w:val="00FA14D2"/>
    <w:rsid w:val="00FA1DE2"/>
    <w:rsid w:val="00FA2AF8"/>
    <w:rsid w:val="00FA35F4"/>
    <w:rsid w:val="00FA36E0"/>
    <w:rsid w:val="00FA37A5"/>
    <w:rsid w:val="00FA39AF"/>
    <w:rsid w:val="00FA3A6D"/>
    <w:rsid w:val="00FA4F98"/>
    <w:rsid w:val="00FA5A0E"/>
    <w:rsid w:val="00FA5E45"/>
    <w:rsid w:val="00FA68C5"/>
    <w:rsid w:val="00FA699A"/>
    <w:rsid w:val="00FB0AD8"/>
    <w:rsid w:val="00FB23CA"/>
    <w:rsid w:val="00FB2B89"/>
    <w:rsid w:val="00FB3C96"/>
    <w:rsid w:val="00FB3D19"/>
    <w:rsid w:val="00FB53A9"/>
    <w:rsid w:val="00FB565B"/>
    <w:rsid w:val="00FB56C0"/>
    <w:rsid w:val="00FB7968"/>
    <w:rsid w:val="00FC003C"/>
    <w:rsid w:val="00FC05A6"/>
    <w:rsid w:val="00FC202B"/>
    <w:rsid w:val="00FC204D"/>
    <w:rsid w:val="00FC2083"/>
    <w:rsid w:val="00FC2396"/>
    <w:rsid w:val="00FC2D28"/>
    <w:rsid w:val="00FC6533"/>
    <w:rsid w:val="00FD098C"/>
    <w:rsid w:val="00FD1A1D"/>
    <w:rsid w:val="00FD2330"/>
    <w:rsid w:val="00FD36B5"/>
    <w:rsid w:val="00FE032D"/>
    <w:rsid w:val="00FE2BA0"/>
    <w:rsid w:val="00FE2BFD"/>
    <w:rsid w:val="00FE3B39"/>
    <w:rsid w:val="00FE3C7B"/>
    <w:rsid w:val="00FE40F5"/>
    <w:rsid w:val="00FE4743"/>
    <w:rsid w:val="00FE6340"/>
    <w:rsid w:val="00FE6544"/>
    <w:rsid w:val="00FF0D77"/>
    <w:rsid w:val="00FF11D8"/>
    <w:rsid w:val="00FF1D53"/>
    <w:rsid w:val="00FF282B"/>
    <w:rsid w:val="00FF2EBC"/>
    <w:rsid w:val="00FF3024"/>
    <w:rsid w:val="00FF331E"/>
    <w:rsid w:val="00FF348F"/>
    <w:rsid w:val="00FF3ACB"/>
    <w:rsid w:val="00FF6254"/>
    <w:rsid w:val="00FF71FA"/>
    <w:rsid w:val="00FF7253"/>
    <w:rsid w:val="00FF7D5C"/>
    <w:rsid w:val="015F51DB"/>
    <w:rsid w:val="016C9EE7"/>
    <w:rsid w:val="01C86FAA"/>
    <w:rsid w:val="025BE520"/>
    <w:rsid w:val="0293F620"/>
    <w:rsid w:val="03597926"/>
    <w:rsid w:val="03A14D8D"/>
    <w:rsid w:val="04449486"/>
    <w:rsid w:val="0472BC50"/>
    <w:rsid w:val="04AC95FB"/>
    <w:rsid w:val="04D7E60B"/>
    <w:rsid w:val="0500E431"/>
    <w:rsid w:val="054F761B"/>
    <w:rsid w:val="05E6C022"/>
    <w:rsid w:val="060BA0AE"/>
    <w:rsid w:val="0611B299"/>
    <w:rsid w:val="06C5D5C6"/>
    <w:rsid w:val="06FC6D2F"/>
    <w:rsid w:val="07E5E6D1"/>
    <w:rsid w:val="083DADF3"/>
    <w:rsid w:val="084CD484"/>
    <w:rsid w:val="099401C9"/>
    <w:rsid w:val="0B1F42FF"/>
    <w:rsid w:val="0B779AA6"/>
    <w:rsid w:val="0B8DD606"/>
    <w:rsid w:val="0BC03FD3"/>
    <w:rsid w:val="0C003B01"/>
    <w:rsid w:val="0C15E75C"/>
    <w:rsid w:val="0C28881E"/>
    <w:rsid w:val="0C5FA8CB"/>
    <w:rsid w:val="0D9B342A"/>
    <w:rsid w:val="0DB5ECF3"/>
    <w:rsid w:val="0DD33DF0"/>
    <w:rsid w:val="0DE1B3A2"/>
    <w:rsid w:val="0DFAD3C5"/>
    <w:rsid w:val="0E162DD5"/>
    <w:rsid w:val="0E6C1505"/>
    <w:rsid w:val="0ED5C652"/>
    <w:rsid w:val="0F439BA1"/>
    <w:rsid w:val="0F9DF5AD"/>
    <w:rsid w:val="100C6EFE"/>
    <w:rsid w:val="1012E6CC"/>
    <w:rsid w:val="10745540"/>
    <w:rsid w:val="10A0AE19"/>
    <w:rsid w:val="10B06872"/>
    <w:rsid w:val="10B14438"/>
    <w:rsid w:val="10E3EE70"/>
    <w:rsid w:val="10F4A3AE"/>
    <w:rsid w:val="10F9AFE3"/>
    <w:rsid w:val="111689E3"/>
    <w:rsid w:val="111FABD9"/>
    <w:rsid w:val="11546DF6"/>
    <w:rsid w:val="120AB3B1"/>
    <w:rsid w:val="1226A7EA"/>
    <w:rsid w:val="1235944C"/>
    <w:rsid w:val="12D293E9"/>
    <w:rsid w:val="130F3BFE"/>
    <w:rsid w:val="13496541"/>
    <w:rsid w:val="1356AA07"/>
    <w:rsid w:val="1377114D"/>
    <w:rsid w:val="13A87498"/>
    <w:rsid w:val="13FE4600"/>
    <w:rsid w:val="140FF83F"/>
    <w:rsid w:val="142A79A4"/>
    <w:rsid w:val="14383212"/>
    <w:rsid w:val="145CDBDF"/>
    <w:rsid w:val="1482B00B"/>
    <w:rsid w:val="1487635D"/>
    <w:rsid w:val="14987822"/>
    <w:rsid w:val="149C6794"/>
    <w:rsid w:val="14A5459A"/>
    <w:rsid w:val="14A7530C"/>
    <w:rsid w:val="14BD281B"/>
    <w:rsid w:val="14E2E049"/>
    <w:rsid w:val="1532347A"/>
    <w:rsid w:val="15398BA0"/>
    <w:rsid w:val="15723C60"/>
    <w:rsid w:val="15837571"/>
    <w:rsid w:val="15A73C67"/>
    <w:rsid w:val="15C776A9"/>
    <w:rsid w:val="160A780C"/>
    <w:rsid w:val="161BE56F"/>
    <w:rsid w:val="16316BA0"/>
    <w:rsid w:val="1643D36B"/>
    <w:rsid w:val="166E4C45"/>
    <w:rsid w:val="1691A7BA"/>
    <w:rsid w:val="17112FB3"/>
    <w:rsid w:val="17530E6A"/>
    <w:rsid w:val="175A4976"/>
    <w:rsid w:val="175CDE5B"/>
    <w:rsid w:val="176CB5D9"/>
    <w:rsid w:val="178B4F7B"/>
    <w:rsid w:val="178C99CA"/>
    <w:rsid w:val="17CFBB60"/>
    <w:rsid w:val="17D643AB"/>
    <w:rsid w:val="182014A3"/>
    <w:rsid w:val="18BE9D93"/>
    <w:rsid w:val="18CA3088"/>
    <w:rsid w:val="1908752E"/>
    <w:rsid w:val="19338676"/>
    <w:rsid w:val="199008F6"/>
    <w:rsid w:val="19BAC83E"/>
    <w:rsid w:val="19D5EFF3"/>
    <w:rsid w:val="1A71F49E"/>
    <w:rsid w:val="1AA90405"/>
    <w:rsid w:val="1AAC4D65"/>
    <w:rsid w:val="1AC39262"/>
    <w:rsid w:val="1B4733CB"/>
    <w:rsid w:val="1B66CED4"/>
    <w:rsid w:val="1BE13397"/>
    <w:rsid w:val="1BF86DC0"/>
    <w:rsid w:val="1C02FCAD"/>
    <w:rsid w:val="1C11E996"/>
    <w:rsid w:val="1C3FAC95"/>
    <w:rsid w:val="1C663B1C"/>
    <w:rsid w:val="1C7DA5D1"/>
    <w:rsid w:val="1CBAE878"/>
    <w:rsid w:val="1D11209E"/>
    <w:rsid w:val="1D41544C"/>
    <w:rsid w:val="1DE95709"/>
    <w:rsid w:val="1DFE0C3F"/>
    <w:rsid w:val="1E9EFC63"/>
    <w:rsid w:val="1F00BB4D"/>
    <w:rsid w:val="1F30C6EC"/>
    <w:rsid w:val="1F322537"/>
    <w:rsid w:val="1F565EDD"/>
    <w:rsid w:val="1FAB4D97"/>
    <w:rsid w:val="1FBCAA79"/>
    <w:rsid w:val="1FC41915"/>
    <w:rsid w:val="1FF3797A"/>
    <w:rsid w:val="20090726"/>
    <w:rsid w:val="204E3947"/>
    <w:rsid w:val="206F8EAA"/>
    <w:rsid w:val="212782C2"/>
    <w:rsid w:val="214B4319"/>
    <w:rsid w:val="21B23750"/>
    <w:rsid w:val="22112E07"/>
    <w:rsid w:val="221809E0"/>
    <w:rsid w:val="2219FA39"/>
    <w:rsid w:val="223C17E7"/>
    <w:rsid w:val="226F1A18"/>
    <w:rsid w:val="22A94B74"/>
    <w:rsid w:val="22D06B94"/>
    <w:rsid w:val="232769BD"/>
    <w:rsid w:val="23B3CF1C"/>
    <w:rsid w:val="23F75096"/>
    <w:rsid w:val="24407204"/>
    <w:rsid w:val="2446131B"/>
    <w:rsid w:val="244B291D"/>
    <w:rsid w:val="24F839F2"/>
    <w:rsid w:val="25D20CD3"/>
    <w:rsid w:val="25E44C51"/>
    <w:rsid w:val="2653526C"/>
    <w:rsid w:val="26A70443"/>
    <w:rsid w:val="26D1551C"/>
    <w:rsid w:val="2708EFDD"/>
    <w:rsid w:val="27483119"/>
    <w:rsid w:val="285278B2"/>
    <w:rsid w:val="287AF2A9"/>
    <w:rsid w:val="287BCC9B"/>
    <w:rsid w:val="287ED0AA"/>
    <w:rsid w:val="28868014"/>
    <w:rsid w:val="28C71EDA"/>
    <w:rsid w:val="28F4981F"/>
    <w:rsid w:val="294EB93A"/>
    <w:rsid w:val="295338F1"/>
    <w:rsid w:val="297FD6BA"/>
    <w:rsid w:val="29A7E0BE"/>
    <w:rsid w:val="2A0790AE"/>
    <w:rsid w:val="2A789A82"/>
    <w:rsid w:val="2A9666D6"/>
    <w:rsid w:val="2AD5A016"/>
    <w:rsid w:val="2B1CE19E"/>
    <w:rsid w:val="2B5D61C5"/>
    <w:rsid w:val="2B774925"/>
    <w:rsid w:val="2CCE74A2"/>
    <w:rsid w:val="2D8F88C4"/>
    <w:rsid w:val="2DE3ACAE"/>
    <w:rsid w:val="2DFD0F93"/>
    <w:rsid w:val="2E270611"/>
    <w:rsid w:val="2E5C5068"/>
    <w:rsid w:val="2F4D74F8"/>
    <w:rsid w:val="2F54A869"/>
    <w:rsid w:val="2FC02A64"/>
    <w:rsid w:val="300B1B2A"/>
    <w:rsid w:val="305176DF"/>
    <w:rsid w:val="305B4FB0"/>
    <w:rsid w:val="30643531"/>
    <w:rsid w:val="3069426F"/>
    <w:rsid w:val="30A17A89"/>
    <w:rsid w:val="30B4427E"/>
    <w:rsid w:val="30D598EC"/>
    <w:rsid w:val="316650D7"/>
    <w:rsid w:val="322DE6E4"/>
    <w:rsid w:val="3312168C"/>
    <w:rsid w:val="338C0882"/>
    <w:rsid w:val="338CE01E"/>
    <w:rsid w:val="338E43E9"/>
    <w:rsid w:val="33AB4A02"/>
    <w:rsid w:val="33BF2F1F"/>
    <w:rsid w:val="3440BC44"/>
    <w:rsid w:val="347CBAB8"/>
    <w:rsid w:val="348253C2"/>
    <w:rsid w:val="34852A40"/>
    <w:rsid w:val="34B62157"/>
    <w:rsid w:val="35674400"/>
    <w:rsid w:val="35762417"/>
    <w:rsid w:val="35C70422"/>
    <w:rsid w:val="35CD85C4"/>
    <w:rsid w:val="35FD7E3B"/>
    <w:rsid w:val="36841008"/>
    <w:rsid w:val="369E00E7"/>
    <w:rsid w:val="36B30D43"/>
    <w:rsid w:val="3724228B"/>
    <w:rsid w:val="372A7D1F"/>
    <w:rsid w:val="373C1BAD"/>
    <w:rsid w:val="3756E9B9"/>
    <w:rsid w:val="376E1FA1"/>
    <w:rsid w:val="379C59FA"/>
    <w:rsid w:val="37FB56A4"/>
    <w:rsid w:val="37FD04B2"/>
    <w:rsid w:val="37FFC0BE"/>
    <w:rsid w:val="380F0357"/>
    <w:rsid w:val="38351867"/>
    <w:rsid w:val="3861C72D"/>
    <w:rsid w:val="387C3EFC"/>
    <w:rsid w:val="38A1D38D"/>
    <w:rsid w:val="390354EF"/>
    <w:rsid w:val="393CA2C5"/>
    <w:rsid w:val="394767BF"/>
    <w:rsid w:val="39533E9E"/>
    <w:rsid w:val="3A157DAE"/>
    <w:rsid w:val="3B63E65D"/>
    <w:rsid w:val="3B9B02C1"/>
    <w:rsid w:val="3BAD26B7"/>
    <w:rsid w:val="3BAE9AB2"/>
    <w:rsid w:val="3BD6EDA1"/>
    <w:rsid w:val="3BEE862C"/>
    <w:rsid w:val="3C3457E8"/>
    <w:rsid w:val="3C806302"/>
    <w:rsid w:val="3DB2D93A"/>
    <w:rsid w:val="3DCDA4CB"/>
    <w:rsid w:val="3DD5739F"/>
    <w:rsid w:val="3DF295D9"/>
    <w:rsid w:val="3E430B37"/>
    <w:rsid w:val="3E5C4063"/>
    <w:rsid w:val="3E6698F7"/>
    <w:rsid w:val="3E673CA2"/>
    <w:rsid w:val="3E8B675E"/>
    <w:rsid w:val="3EC0149C"/>
    <w:rsid w:val="3EC7A853"/>
    <w:rsid w:val="3ECC0DB1"/>
    <w:rsid w:val="3F76D70E"/>
    <w:rsid w:val="3FCA1E90"/>
    <w:rsid w:val="402D8418"/>
    <w:rsid w:val="40E47923"/>
    <w:rsid w:val="4134D696"/>
    <w:rsid w:val="41FE9305"/>
    <w:rsid w:val="42CB912C"/>
    <w:rsid w:val="42FC98A4"/>
    <w:rsid w:val="43DA7909"/>
    <w:rsid w:val="440B6C50"/>
    <w:rsid w:val="4448953A"/>
    <w:rsid w:val="44567EFF"/>
    <w:rsid w:val="446099A0"/>
    <w:rsid w:val="449131F3"/>
    <w:rsid w:val="44F3062A"/>
    <w:rsid w:val="459F96D6"/>
    <w:rsid w:val="464FDE80"/>
    <w:rsid w:val="4686642F"/>
    <w:rsid w:val="47057F64"/>
    <w:rsid w:val="4714B9F7"/>
    <w:rsid w:val="4762BAFE"/>
    <w:rsid w:val="47704E4F"/>
    <w:rsid w:val="478E7229"/>
    <w:rsid w:val="47BD43E5"/>
    <w:rsid w:val="485C8158"/>
    <w:rsid w:val="48CD0934"/>
    <w:rsid w:val="48DE6C2B"/>
    <w:rsid w:val="49AA13E5"/>
    <w:rsid w:val="49B36881"/>
    <w:rsid w:val="49BC4814"/>
    <w:rsid w:val="49EF5AE2"/>
    <w:rsid w:val="4A192392"/>
    <w:rsid w:val="4A7C105D"/>
    <w:rsid w:val="4A8A5741"/>
    <w:rsid w:val="4A9533D6"/>
    <w:rsid w:val="4AB61184"/>
    <w:rsid w:val="4AD195E5"/>
    <w:rsid w:val="4BDBB7FC"/>
    <w:rsid w:val="4BE94C4D"/>
    <w:rsid w:val="4BF39A7A"/>
    <w:rsid w:val="4C4232DF"/>
    <w:rsid w:val="4C4A8B47"/>
    <w:rsid w:val="4C5C7D88"/>
    <w:rsid w:val="4CACE2A3"/>
    <w:rsid w:val="4CEE6C80"/>
    <w:rsid w:val="4D2158A0"/>
    <w:rsid w:val="4D58D7A3"/>
    <w:rsid w:val="4E1B8D44"/>
    <w:rsid w:val="4E333ED1"/>
    <w:rsid w:val="4EB085C5"/>
    <w:rsid w:val="4F83F841"/>
    <w:rsid w:val="4FF63E63"/>
    <w:rsid w:val="5055CFC9"/>
    <w:rsid w:val="5064E01E"/>
    <w:rsid w:val="509FC48A"/>
    <w:rsid w:val="50D79761"/>
    <w:rsid w:val="50E2584D"/>
    <w:rsid w:val="51037E89"/>
    <w:rsid w:val="51998D52"/>
    <w:rsid w:val="51CDEAE7"/>
    <w:rsid w:val="51F1A3BD"/>
    <w:rsid w:val="52138479"/>
    <w:rsid w:val="522E54B8"/>
    <w:rsid w:val="52675DE3"/>
    <w:rsid w:val="52A453E2"/>
    <w:rsid w:val="52F12B59"/>
    <w:rsid w:val="536B76B1"/>
    <w:rsid w:val="53709F27"/>
    <w:rsid w:val="53735692"/>
    <w:rsid w:val="53C190AE"/>
    <w:rsid w:val="53E5F3AA"/>
    <w:rsid w:val="5438B957"/>
    <w:rsid w:val="545BEA98"/>
    <w:rsid w:val="54803D29"/>
    <w:rsid w:val="54B59440"/>
    <w:rsid w:val="5511079F"/>
    <w:rsid w:val="555B15FE"/>
    <w:rsid w:val="55D153D3"/>
    <w:rsid w:val="55FC9F38"/>
    <w:rsid w:val="56A18F6E"/>
    <w:rsid w:val="56D351B2"/>
    <w:rsid w:val="56D98E5C"/>
    <w:rsid w:val="56E06734"/>
    <w:rsid w:val="56EE2F2D"/>
    <w:rsid w:val="57CB96B9"/>
    <w:rsid w:val="57D2F51C"/>
    <w:rsid w:val="585BD96E"/>
    <w:rsid w:val="5893E3F4"/>
    <w:rsid w:val="58AC0B82"/>
    <w:rsid w:val="5939F5BC"/>
    <w:rsid w:val="5959501B"/>
    <w:rsid w:val="595F16D2"/>
    <w:rsid w:val="599FA791"/>
    <w:rsid w:val="5A129DA7"/>
    <w:rsid w:val="5A7E664E"/>
    <w:rsid w:val="5A97D77D"/>
    <w:rsid w:val="5AA4B2E5"/>
    <w:rsid w:val="5AE36AA2"/>
    <w:rsid w:val="5B406F98"/>
    <w:rsid w:val="5BC10DE9"/>
    <w:rsid w:val="5BCA9794"/>
    <w:rsid w:val="5C04857E"/>
    <w:rsid w:val="5C4980FC"/>
    <w:rsid w:val="5C6F1BAA"/>
    <w:rsid w:val="5CB50B27"/>
    <w:rsid w:val="5CC2397E"/>
    <w:rsid w:val="5D4A3622"/>
    <w:rsid w:val="5D4DEE4C"/>
    <w:rsid w:val="5D5621C7"/>
    <w:rsid w:val="5D8E970F"/>
    <w:rsid w:val="5E496441"/>
    <w:rsid w:val="5F23C338"/>
    <w:rsid w:val="5F27B66C"/>
    <w:rsid w:val="5F507E04"/>
    <w:rsid w:val="5F5346F5"/>
    <w:rsid w:val="5FFE9BD2"/>
    <w:rsid w:val="603F7B82"/>
    <w:rsid w:val="603FE2B3"/>
    <w:rsid w:val="6073FC93"/>
    <w:rsid w:val="6087E0CC"/>
    <w:rsid w:val="609D8BCF"/>
    <w:rsid w:val="60B09AAE"/>
    <w:rsid w:val="60DBFB27"/>
    <w:rsid w:val="60F69432"/>
    <w:rsid w:val="615DAE6C"/>
    <w:rsid w:val="6172A6D6"/>
    <w:rsid w:val="61A0D482"/>
    <w:rsid w:val="6200E9AB"/>
    <w:rsid w:val="62364FE6"/>
    <w:rsid w:val="623ADC53"/>
    <w:rsid w:val="627A93AF"/>
    <w:rsid w:val="627FE658"/>
    <w:rsid w:val="628A3A9F"/>
    <w:rsid w:val="628B76AE"/>
    <w:rsid w:val="63035DE9"/>
    <w:rsid w:val="63683245"/>
    <w:rsid w:val="637075CE"/>
    <w:rsid w:val="638F497C"/>
    <w:rsid w:val="639AE7F1"/>
    <w:rsid w:val="63A17C83"/>
    <w:rsid w:val="63BDA092"/>
    <w:rsid w:val="63F1331E"/>
    <w:rsid w:val="64013024"/>
    <w:rsid w:val="6481FD12"/>
    <w:rsid w:val="64E5EA4E"/>
    <w:rsid w:val="64F5ED21"/>
    <w:rsid w:val="6533C6A1"/>
    <w:rsid w:val="65388630"/>
    <w:rsid w:val="655ECA5A"/>
    <w:rsid w:val="656A7C09"/>
    <w:rsid w:val="657A38D8"/>
    <w:rsid w:val="6583AE4A"/>
    <w:rsid w:val="65BFB4D8"/>
    <w:rsid w:val="65E7C004"/>
    <w:rsid w:val="65E82BAB"/>
    <w:rsid w:val="660D1ECF"/>
    <w:rsid w:val="6697A12E"/>
    <w:rsid w:val="67284DBE"/>
    <w:rsid w:val="6741122D"/>
    <w:rsid w:val="6743B848"/>
    <w:rsid w:val="677B3874"/>
    <w:rsid w:val="6791694A"/>
    <w:rsid w:val="67E72F5B"/>
    <w:rsid w:val="68AD7A6F"/>
    <w:rsid w:val="68AE3E37"/>
    <w:rsid w:val="68B8902A"/>
    <w:rsid w:val="68D06DDA"/>
    <w:rsid w:val="69065DF1"/>
    <w:rsid w:val="694E4328"/>
    <w:rsid w:val="699402C8"/>
    <w:rsid w:val="69CC6110"/>
    <w:rsid w:val="6A06558A"/>
    <w:rsid w:val="6A6DB0BD"/>
    <w:rsid w:val="6ABBF649"/>
    <w:rsid w:val="6B6402FC"/>
    <w:rsid w:val="6BD259F9"/>
    <w:rsid w:val="6C61B165"/>
    <w:rsid w:val="6C94B8F8"/>
    <w:rsid w:val="6D37255E"/>
    <w:rsid w:val="6D3C8165"/>
    <w:rsid w:val="6D4DF2C9"/>
    <w:rsid w:val="6D67E545"/>
    <w:rsid w:val="6D8CE782"/>
    <w:rsid w:val="6DD0EC88"/>
    <w:rsid w:val="6E1FCC94"/>
    <w:rsid w:val="6E32C9BC"/>
    <w:rsid w:val="6E4E41A9"/>
    <w:rsid w:val="6E5DED8E"/>
    <w:rsid w:val="6E71C138"/>
    <w:rsid w:val="6E7CF94D"/>
    <w:rsid w:val="6F0A2D38"/>
    <w:rsid w:val="6F14F9F9"/>
    <w:rsid w:val="6F5D484D"/>
    <w:rsid w:val="6F5FACC4"/>
    <w:rsid w:val="70AB971D"/>
    <w:rsid w:val="711523D4"/>
    <w:rsid w:val="7118A87F"/>
    <w:rsid w:val="7191810D"/>
    <w:rsid w:val="71E7F03C"/>
    <w:rsid w:val="71F0DAEA"/>
    <w:rsid w:val="7209C8B4"/>
    <w:rsid w:val="722230EF"/>
    <w:rsid w:val="72E69110"/>
    <w:rsid w:val="72F36901"/>
    <w:rsid w:val="730B27E7"/>
    <w:rsid w:val="734404AA"/>
    <w:rsid w:val="7378D566"/>
    <w:rsid w:val="74205C18"/>
    <w:rsid w:val="742A4D51"/>
    <w:rsid w:val="749121DA"/>
    <w:rsid w:val="7508FB96"/>
    <w:rsid w:val="752710E4"/>
    <w:rsid w:val="754D785C"/>
    <w:rsid w:val="75AAAAB9"/>
    <w:rsid w:val="75C94FF7"/>
    <w:rsid w:val="7657630F"/>
    <w:rsid w:val="767812D5"/>
    <w:rsid w:val="76A94C70"/>
    <w:rsid w:val="76DBD998"/>
    <w:rsid w:val="778418C8"/>
    <w:rsid w:val="77CF79AD"/>
    <w:rsid w:val="7827492B"/>
    <w:rsid w:val="783F8817"/>
    <w:rsid w:val="7878DE69"/>
    <w:rsid w:val="78AEBD50"/>
    <w:rsid w:val="78EBECB8"/>
    <w:rsid w:val="79179E86"/>
    <w:rsid w:val="798FF97C"/>
    <w:rsid w:val="79E42EB1"/>
    <w:rsid w:val="7A219378"/>
    <w:rsid w:val="7AF00D2E"/>
    <w:rsid w:val="7B607733"/>
    <w:rsid w:val="7B83B8E3"/>
    <w:rsid w:val="7B8EA66F"/>
    <w:rsid w:val="7C16599F"/>
    <w:rsid w:val="7C1CF398"/>
    <w:rsid w:val="7C310CA0"/>
    <w:rsid w:val="7C513609"/>
    <w:rsid w:val="7C762C53"/>
    <w:rsid w:val="7D1E5958"/>
    <w:rsid w:val="7D2882D9"/>
    <w:rsid w:val="7D9A1FCB"/>
    <w:rsid w:val="7E08E875"/>
    <w:rsid w:val="7EB779F0"/>
    <w:rsid w:val="7ECA3943"/>
    <w:rsid w:val="7F58324B"/>
    <w:rsid w:val="7F818A2B"/>
    <w:rsid w:val="7FEA84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14523C2-B0B3-4CA7-B8EB-763988EFA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i-FI"/>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art">
    <w:name w:val="sti-art"/>
    <w:basedOn w:val="Normal"/>
    <w:rsid w:val="00E90A3B"/>
    <w:pPr>
      <w:spacing w:before="100" w:beforeAutospacing="1" w:after="100" w:afterAutospacing="1"/>
      <w:jc w:val="left"/>
    </w:pPr>
    <w:rPr>
      <w:rFonts w:eastAsia="Times New Roman"/>
      <w:szCs w:val="24"/>
      <w:lang w:eastAsia="en-IE"/>
    </w:rPr>
  </w:style>
  <w:style w:type="paragraph" w:customStyle="1" w:styleId="Normal1">
    <w:name w:val="Normal1"/>
    <w:basedOn w:val="Normal"/>
    <w:rsid w:val="00E90A3B"/>
    <w:pPr>
      <w:spacing w:before="100" w:beforeAutospacing="1" w:after="100" w:afterAutospacing="1"/>
      <w:jc w:val="left"/>
    </w:pPr>
    <w:rPr>
      <w:rFonts w:eastAsia="Times New Roman"/>
      <w:szCs w:val="24"/>
      <w:lang w:eastAsia="en-IE"/>
    </w:rPr>
  </w:style>
  <w:style w:type="paragraph" w:customStyle="1" w:styleId="ti-art">
    <w:name w:val="ti-art"/>
    <w:basedOn w:val="Normal"/>
    <w:rsid w:val="00E90A3B"/>
    <w:pPr>
      <w:spacing w:before="100" w:beforeAutospacing="1" w:after="100" w:afterAutospacing="1"/>
      <w:jc w:val="left"/>
    </w:pPr>
    <w:rPr>
      <w:rFonts w:eastAsia="Times New Roman"/>
      <w:szCs w:val="24"/>
      <w:lang w:eastAsia="en-IE"/>
    </w:rPr>
  </w:style>
  <w:style w:type="character" w:customStyle="1" w:styleId="italic">
    <w:name w:val="italic"/>
    <w:basedOn w:val="DefaultParagraphFont"/>
    <w:rsid w:val="00E90A3B"/>
  </w:style>
  <w:style w:type="character" w:styleId="Hyperlink">
    <w:name w:val="Hyperlink"/>
    <w:basedOn w:val="DefaultParagraphFont"/>
    <w:uiPriority w:val="99"/>
    <w:unhideWhenUsed/>
    <w:rsid w:val="00E90A3B"/>
    <w:rPr>
      <w:color w:val="0000FF"/>
      <w:u w:val="single"/>
    </w:rPr>
  </w:style>
  <w:style w:type="character" w:customStyle="1" w:styleId="super">
    <w:name w:val="super"/>
    <w:basedOn w:val="DefaultParagraphFont"/>
    <w:rsid w:val="00E90A3B"/>
  </w:style>
  <w:style w:type="paragraph" w:styleId="ListParagraph">
    <w:name w:val="List Paragraph"/>
    <w:basedOn w:val="Normal"/>
    <w:uiPriority w:val="34"/>
    <w:qFormat/>
    <w:rsid w:val="00571B50"/>
    <w:pPr>
      <w:ind w:left="720"/>
      <w:contextualSpacing/>
    </w:pPr>
  </w:style>
  <w:style w:type="character" w:styleId="CommentReference">
    <w:name w:val="annotation reference"/>
    <w:basedOn w:val="DefaultParagraphFont"/>
    <w:semiHidden/>
    <w:unhideWhenUsed/>
    <w:rsid w:val="00131313"/>
    <w:rPr>
      <w:sz w:val="16"/>
      <w:szCs w:val="16"/>
    </w:rPr>
  </w:style>
  <w:style w:type="paragraph" w:styleId="CommentText">
    <w:name w:val="annotation text"/>
    <w:basedOn w:val="Normal"/>
    <w:link w:val="CommentTextChar"/>
    <w:unhideWhenUsed/>
    <w:rsid w:val="003E0AF7"/>
    <w:rPr>
      <w:sz w:val="20"/>
      <w:szCs w:val="20"/>
    </w:rPr>
  </w:style>
  <w:style w:type="character" w:customStyle="1" w:styleId="CommentTextChar">
    <w:name w:val="Comment Text Char"/>
    <w:basedOn w:val="DefaultParagraphFont"/>
    <w:link w:val="CommentText"/>
    <w:rsid w:val="00131313"/>
    <w:rPr>
      <w:rFonts w:ascii="Times New Roman" w:hAnsi="Times New Roman" w:cs="Times New Roman"/>
      <w:sz w:val="20"/>
      <w:szCs w:val="20"/>
      <w:lang w:val="fi-FI"/>
    </w:rPr>
  </w:style>
  <w:style w:type="paragraph" w:styleId="CommentSubject">
    <w:name w:val="annotation subject"/>
    <w:basedOn w:val="CommentText"/>
    <w:next w:val="CommentText"/>
    <w:link w:val="CommentSubjectChar"/>
    <w:uiPriority w:val="99"/>
    <w:semiHidden/>
    <w:unhideWhenUsed/>
    <w:rsid w:val="00131313"/>
    <w:rPr>
      <w:b/>
      <w:bCs/>
    </w:rPr>
  </w:style>
  <w:style w:type="character" w:customStyle="1" w:styleId="CommentSubjectChar">
    <w:name w:val="Comment Subject Char"/>
    <w:basedOn w:val="CommentTextChar"/>
    <w:link w:val="CommentSubject"/>
    <w:uiPriority w:val="99"/>
    <w:semiHidden/>
    <w:rsid w:val="00131313"/>
    <w:rPr>
      <w:rFonts w:ascii="Times New Roman" w:hAnsi="Times New Roman" w:cs="Times New Roman"/>
      <w:b/>
      <w:bCs/>
      <w:sz w:val="20"/>
      <w:szCs w:val="20"/>
      <w:lang w:val="fi-FI"/>
    </w:rPr>
  </w:style>
  <w:style w:type="paragraph" w:customStyle="1" w:styleId="oj-ti-art">
    <w:name w:val="oj-ti-art"/>
    <w:basedOn w:val="Normal"/>
    <w:rsid w:val="00BB253F"/>
    <w:pPr>
      <w:spacing w:before="100" w:beforeAutospacing="1" w:after="100" w:afterAutospacing="1"/>
      <w:jc w:val="left"/>
    </w:pPr>
    <w:rPr>
      <w:rFonts w:eastAsia="Times New Roman"/>
      <w:szCs w:val="24"/>
      <w:lang w:eastAsia="en-IE"/>
    </w:rPr>
  </w:style>
  <w:style w:type="paragraph" w:customStyle="1" w:styleId="oj-normal">
    <w:name w:val="oj-normal"/>
    <w:basedOn w:val="Normal"/>
    <w:rsid w:val="00BB253F"/>
    <w:pPr>
      <w:spacing w:before="100" w:beforeAutospacing="1" w:after="100" w:afterAutospacing="1"/>
      <w:jc w:val="left"/>
    </w:pPr>
    <w:rPr>
      <w:rFonts w:eastAsia="Times New Roman"/>
      <w:szCs w:val="24"/>
      <w:lang w:eastAsia="en-IE"/>
    </w:rPr>
  </w:style>
  <w:style w:type="paragraph" w:styleId="ListBullet">
    <w:name w:val="List Bullet"/>
    <w:basedOn w:val="Normal"/>
    <w:uiPriority w:val="99"/>
    <w:semiHidden/>
    <w:unhideWhenUsed/>
    <w:rsid w:val="00ED7DC6"/>
    <w:pPr>
      <w:numPr>
        <w:numId w:val="1"/>
      </w:numPr>
      <w:contextualSpacing/>
    </w:pPr>
  </w:style>
  <w:style w:type="paragraph" w:styleId="ListBullet2">
    <w:name w:val="List Bullet 2"/>
    <w:basedOn w:val="Normal"/>
    <w:uiPriority w:val="99"/>
    <w:semiHidden/>
    <w:unhideWhenUsed/>
    <w:rsid w:val="00ED7DC6"/>
    <w:pPr>
      <w:numPr>
        <w:numId w:val="2"/>
      </w:numPr>
      <w:contextualSpacing/>
    </w:pPr>
  </w:style>
  <w:style w:type="paragraph" w:styleId="ListBullet3">
    <w:name w:val="List Bullet 3"/>
    <w:basedOn w:val="Normal"/>
    <w:uiPriority w:val="99"/>
    <w:semiHidden/>
    <w:unhideWhenUsed/>
    <w:rsid w:val="00ED7DC6"/>
    <w:pPr>
      <w:numPr>
        <w:numId w:val="3"/>
      </w:numPr>
      <w:contextualSpacing/>
    </w:pPr>
  </w:style>
  <w:style w:type="paragraph" w:styleId="ListBullet4">
    <w:name w:val="List Bullet 4"/>
    <w:basedOn w:val="Normal"/>
    <w:uiPriority w:val="99"/>
    <w:semiHidden/>
    <w:unhideWhenUsed/>
    <w:rsid w:val="00ED7DC6"/>
    <w:pPr>
      <w:numPr>
        <w:numId w:val="4"/>
      </w:numPr>
      <w:contextualSpacing/>
    </w:pPr>
  </w:style>
  <w:style w:type="paragraph" w:styleId="BalloonText">
    <w:name w:val="Balloon Text"/>
    <w:basedOn w:val="Normal"/>
    <w:link w:val="BalloonTextChar"/>
    <w:uiPriority w:val="99"/>
    <w:semiHidden/>
    <w:unhideWhenUsed/>
    <w:rsid w:val="00ED7DC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DC6"/>
    <w:rPr>
      <w:rFonts w:ascii="Segoe UI" w:hAnsi="Segoe UI" w:cs="Segoe UI"/>
      <w:sz w:val="18"/>
      <w:szCs w:val="18"/>
      <w:lang w:val="fi-FI"/>
    </w:rPr>
  </w:style>
  <w:style w:type="paragraph" w:styleId="Caption">
    <w:name w:val="caption"/>
    <w:basedOn w:val="Normal"/>
    <w:next w:val="Normal"/>
    <w:uiPriority w:val="35"/>
    <w:semiHidden/>
    <w:unhideWhenUsed/>
    <w:qFormat/>
    <w:rsid w:val="00AC1733"/>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C1733"/>
    <w:pPr>
      <w:spacing w:after="0"/>
    </w:pPr>
  </w:style>
  <w:style w:type="paragraph" w:styleId="ListNumber">
    <w:name w:val="List Number"/>
    <w:basedOn w:val="Normal"/>
    <w:uiPriority w:val="99"/>
    <w:semiHidden/>
    <w:unhideWhenUsed/>
    <w:rsid w:val="00AC1733"/>
    <w:pPr>
      <w:numPr>
        <w:numId w:val="5"/>
      </w:numPr>
      <w:contextualSpacing/>
    </w:pPr>
  </w:style>
  <w:style w:type="paragraph" w:styleId="ListNumber2">
    <w:name w:val="List Number 2"/>
    <w:basedOn w:val="Normal"/>
    <w:uiPriority w:val="99"/>
    <w:semiHidden/>
    <w:unhideWhenUsed/>
    <w:rsid w:val="00AC1733"/>
    <w:pPr>
      <w:numPr>
        <w:numId w:val="6"/>
      </w:numPr>
      <w:contextualSpacing/>
    </w:pPr>
  </w:style>
  <w:style w:type="paragraph" w:styleId="ListNumber3">
    <w:name w:val="List Number 3"/>
    <w:basedOn w:val="Normal"/>
    <w:uiPriority w:val="99"/>
    <w:semiHidden/>
    <w:unhideWhenUsed/>
    <w:rsid w:val="00AC1733"/>
    <w:pPr>
      <w:numPr>
        <w:numId w:val="7"/>
      </w:numPr>
      <w:contextualSpacing/>
    </w:pPr>
  </w:style>
  <w:style w:type="paragraph" w:styleId="ListNumber4">
    <w:name w:val="List Number 4"/>
    <w:basedOn w:val="Normal"/>
    <w:uiPriority w:val="99"/>
    <w:semiHidden/>
    <w:unhideWhenUsed/>
    <w:rsid w:val="00AC1733"/>
    <w:pPr>
      <w:numPr>
        <w:numId w:val="8"/>
      </w:numPr>
      <w:contextualSpacing/>
    </w:pPr>
  </w:style>
  <w:style w:type="paragraph" w:styleId="Revision">
    <w:name w:val="Revision"/>
    <w:hidden/>
    <w:uiPriority w:val="99"/>
    <w:semiHidden/>
    <w:rsid w:val="004F7E64"/>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3C5F52"/>
    <w:rPr>
      <w:color w:val="605E5C"/>
      <w:shd w:val="clear" w:color="auto" w:fill="E1DFDD"/>
    </w:rPr>
  </w:style>
  <w:style w:type="character" w:customStyle="1" w:styleId="highlight">
    <w:name w:val="highlight"/>
    <w:basedOn w:val="DefaultParagraphFont"/>
    <w:rsid w:val="00AC5DAF"/>
  </w:style>
  <w:style w:type="character" w:styleId="Emphasis">
    <w:name w:val="Emphasis"/>
    <w:basedOn w:val="DefaultParagraphFont"/>
    <w:uiPriority w:val="20"/>
    <w:qFormat/>
    <w:rsid w:val="0021209B"/>
    <w:rPr>
      <w:i/>
      <w:iCs/>
    </w:rPr>
  </w:style>
  <w:style w:type="character" w:styleId="FollowedHyperlink">
    <w:name w:val="FollowedHyperlink"/>
    <w:basedOn w:val="DefaultParagraphFont"/>
    <w:uiPriority w:val="99"/>
    <w:semiHidden/>
    <w:unhideWhenUsed/>
    <w:rsid w:val="00FF331E"/>
    <w:rPr>
      <w:color w:val="800080" w:themeColor="followedHyperlink"/>
      <w:u w:val="single"/>
    </w:rPr>
  </w:style>
  <w:style w:type="character" w:customStyle="1" w:styleId="Mention">
    <w:name w:val="Mention"/>
    <w:basedOn w:val="DefaultParagraphFont"/>
    <w:uiPriority w:val="99"/>
    <w:unhideWhenUsed/>
    <w:rsid w:val="0087272D"/>
    <w:rPr>
      <w:color w:val="2B579A"/>
      <w:shd w:val="clear" w:color="auto" w:fill="E1DFDD"/>
    </w:rPr>
  </w:style>
  <w:style w:type="character" w:customStyle="1" w:styleId="UnresolvedMention">
    <w:name w:val="Unresolved Mention"/>
    <w:basedOn w:val="DefaultParagraphFont"/>
    <w:uiPriority w:val="99"/>
    <w:semiHidden/>
    <w:unhideWhenUsed/>
    <w:rsid w:val="0084759F"/>
    <w:rPr>
      <w:color w:val="605E5C"/>
      <w:shd w:val="clear" w:color="auto" w:fill="E1DFDD"/>
    </w:rPr>
  </w:style>
  <w:style w:type="character" w:customStyle="1" w:styleId="HeaderChar">
    <w:name w:val="Header Char"/>
    <w:basedOn w:val="DefaultParagraphFont"/>
    <w:link w:val="Header"/>
    <w:uiPriority w:val="99"/>
    <w:rsid w:val="00C4369A"/>
    <w:rPr>
      <w:rFonts w:ascii="Times New Roman" w:hAnsi="Times New Roman" w:cs="Times New Roman"/>
      <w:sz w:val="24"/>
      <w:lang w:val="fi-FI"/>
    </w:rPr>
  </w:style>
  <w:style w:type="character" w:customStyle="1" w:styleId="FooterChar">
    <w:name w:val="Footer Char"/>
    <w:basedOn w:val="DefaultParagraphFont"/>
    <w:link w:val="Footer"/>
    <w:uiPriority w:val="99"/>
    <w:rsid w:val="00C4369A"/>
    <w:rPr>
      <w:rFonts w:ascii="Times New Roman" w:hAnsi="Times New Roman" w:cs="Times New Roman"/>
      <w:sz w:val="24"/>
      <w:lang w:val="fi-FI"/>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4369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4369A"/>
    <w:pPr>
      <w:spacing w:before="0"/>
      <w:jc w:val="right"/>
    </w:pPr>
    <w:rPr>
      <w:sz w:val="28"/>
    </w:rPr>
  </w:style>
  <w:style w:type="paragraph" w:customStyle="1" w:styleId="FooterSensitivity">
    <w:name w:val="Footer Sensitivity"/>
    <w:basedOn w:val="Normal"/>
    <w:rsid w:val="00C4369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C4369A"/>
    <w:pPr>
      <w:tabs>
        <w:tab w:val="center" w:pos="4535"/>
        <w:tab w:val="right" w:pos="9071"/>
      </w:tabs>
      <w:spacing w:before="0"/>
    </w:pPr>
  </w:style>
  <w:style w:type="paragraph" w:customStyle="1" w:styleId="HeaderLandscape">
    <w:name w:val="HeaderLandscape"/>
    <w:basedOn w:val="Normal"/>
    <w:rsid w:val="00C4369A"/>
    <w:pPr>
      <w:tabs>
        <w:tab w:val="center" w:pos="7285"/>
        <w:tab w:val="right" w:pos="14003"/>
      </w:tabs>
      <w:spacing w:before="0"/>
    </w:pPr>
  </w:style>
  <w:style w:type="paragraph" w:styleId="Footer">
    <w:name w:val="footer"/>
    <w:basedOn w:val="Normal"/>
    <w:link w:val="FooterChar"/>
    <w:uiPriority w:val="99"/>
    <w:unhideWhenUsed/>
    <w:rsid w:val="00C4369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4369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2739">
      <w:bodyDiv w:val="1"/>
      <w:marLeft w:val="0"/>
      <w:marRight w:val="0"/>
      <w:marTop w:val="0"/>
      <w:marBottom w:val="0"/>
      <w:divBdr>
        <w:top w:val="none" w:sz="0" w:space="0" w:color="auto"/>
        <w:left w:val="none" w:sz="0" w:space="0" w:color="auto"/>
        <w:bottom w:val="none" w:sz="0" w:space="0" w:color="auto"/>
        <w:right w:val="none" w:sz="0" w:space="0" w:color="auto"/>
      </w:divBdr>
    </w:div>
    <w:div w:id="109012250">
      <w:bodyDiv w:val="1"/>
      <w:marLeft w:val="0"/>
      <w:marRight w:val="0"/>
      <w:marTop w:val="0"/>
      <w:marBottom w:val="0"/>
      <w:divBdr>
        <w:top w:val="none" w:sz="0" w:space="0" w:color="auto"/>
        <w:left w:val="none" w:sz="0" w:space="0" w:color="auto"/>
        <w:bottom w:val="none" w:sz="0" w:space="0" w:color="auto"/>
        <w:right w:val="none" w:sz="0" w:space="0" w:color="auto"/>
      </w:divBdr>
    </w:div>
    <w:div w:id="117915248">
      <w:bodyDiv w:val="1"/>
      <w:marLeft w:val="0"/>
      <w:marRight w:val="0"/>
      <w:marTop w:val="0"/>
      <w:marBottom w:val="0"/>
      <w:divBdr>
        <w:top w:val="none" w:sz="0" w:space="0" w:color="auto"/>
        <w:left w:val="none" w:sz="0" w:space="0" w:color="auto"/>
        <w:bottom w:val="none" w:sz="0" w:space="0" w:color="auto"/>
        <w:right w:val="none" w:sz="0" w:space="0" w:color="auto"/>
      </w:divBdr>
    </w:div>
    <w:div w:id="148717134">
      <w:bodyDiv w:val="1"/>
      <w:marLeft w:val="0"/>
      <w:marRight w:val="0"/>
      <w:marTop w:val="0"/>
      <w:marBottom w:val="0"/>
      <w:divBdr>
        <w:top w:val="none" w:sz="0" w:space="0" w:color="auto"/>
        <w:left w:val="none" w:sz="0" w:space="0" w:color="auto"/>
        <w:bottom w:val="none" w:sz="0" w:space="0" w:color="auto"/>
        <w:right w:val="none" w:sz="0" w:space="0" w:color="auto"/>
      </w:divBdr>
      <w:divsChild>
        <w:div w:id="707880759">
          <w:marLeft w:val="0"/>
          <w:marRight w:val="0"/>
          <w:marTop w:val="0"/>
          <w:marBottom w:val="0"/>
          <w:divBdr>
            <w:top w:val="none" w:sz="0" w:space="0" w:color="auto"/>
            <w:left w:val="none" w:sz="0" w:space="0" w:color="auto"/>
            <w:bottom w:val="none" w:sz="0" w:space="0" w:color="auto"/>
            <w:right w:val="none" w:sz="0" w:space="0" w:color="auto"/>
          </w:divBdr>
        </w:div>
        <w:div w:id="1116873237">
          <w:marLeft w:val="0"/>
          <w:marRight w:val="0"/>
          <w:marTop w:val="0"/>
          <w:marBottom w:val="0"/>
          <w:divBdr>
            <w:top w:val="none" w:sz="0" w:space="0" w:color="auto"/>
            <w:left w:val="none" w:sz="0" w:space="0" w:color="auto"/>
            <w:bottom w:val="none" w:sz="0" w:space="0" w:color="auto"/>
            <w:right w:val="none" w:sz="0" w:space="0" w:color="auto"/>
          </w:divBdr>
        </w:div>
        <w:div w:id="1385174086">
          <w:marLeft w:val="0"/>
          <w:marRight w:val="0"/>
          <w:marTop w:val="0"/>
          <w:marBottom w:val="0"/>
          <w:divBdr>
            <w:top w:val="none" w:sz="0" w:space="0" w:color="auto"/>
            <w:left w:val="none" w:sz="0" w:space="0" w:color="auto"/>
            <w:bottom w:val="none" w:sz="0" w:space="0" w:color="auto"/>
            <w:right w:val="none" w:sz="0" w:space="0" w:color="auto"/>
          </w:divBdr>
        </w:div>
      </w:divsChild>
    </w:div>
    <w:div w:id="364986957">
      <w:bodyDiv w:val="1"/>
      <w:marLeft w:val="0"/>
      <w:marRight w:val="0"/>
      <w:marTop w:val="0"/>
      <w:marBottom w:val="0"/>
      <w:divBdr>
        <w:top w:val="none" w:sz="0" w:space="0" w:color="auto"/>
        <w:left w:val="none" w:sz="0" w:space="0" w:color="auto"/>
        <w:bottom w:val="none" w:sz="0" w:space="0" w:color="auto"/>
        <w:right w:val="none" w:sz="0" w:space="0" w:color="auto"/>
      </w:divBdr>
    </w:div>
    <w:div w:id="386031953">
      <w:bodyDiv w:val="1"/>
      <w:marLeft w:val="0"/>
      <w:marRight w:val="0"/>
      <w:marTop w:val="0"/>
      <w:marBottom w:val="0"/>
      <w:divBdr>
        <w:top w:val="none" w:sz="0" w:space="0" w:color="auto"/>
        <w:left w:val="none" w:sz="0" w:space="0" w:color="auto"/>
        <w:bottom w:val="none" w:sz="0" w:space="0" w:color="auto"/>
        <w:right w:val="none" w:sz="0" w:space="0" w:color="auto"/>
      </w:divBdr>
    </w:div>
    <w:div w:id="441726725">
      <w:bodyDiv w:val="1"/>
      <w:marLeft w:val="0"/>
      <w:marRight w:val="0"/>
      <w:marTop w:val="0"/>
      <w:marBottom w:val="0"/>
      <w:divBdr>
        <w:top w:val="none" w:sz="0" w:space="0" w:color="auto"/>
        <w:left w:val="none" w:sz="0" w:space="0" w:color="auto"/>
        <w:bottom w:val="none" w:sz="0" w:space="0" w:color="auto"/>
        <w:right w:val="none" w:sz="0" w:space="0" w:color="auto"/>
      </w:divBdr>
      <w:divsChild>
        <w:div w:id="1005132762">
          <w:marLeft w:val="0"/>
          <w:marRight w:val="0"/>
          <w:marTop w:val="0"/>
          <w:marBottom w:val="0"/>
          <w:divBdr>
            <w:top w:val="none" w:sz="0" w:space="0" w:color="auto"/>
            <w:left w:val="none" w:sz="0" w:space="0" w:color="auto"/>
            <w:bottom w:val="none" w:sz="0" w:space="0" w:color="auto"/>
            <w:right w:val="none" w:sz="0" w:space="0" w:color="auto"/>
          </w:divBdr>
        </w:div>
        <w:div w:id="1132671608">
          <w:marLeft w:val="0"/>
          <w:marRight w:val="0"/>
          <w:marTop w:val="0"/>
          <w:marBottom w:val="0"/>
          <w:divBdr>
            <w:top w:val="none" w:sz="0" w:space="0" w:color="auto"/>
            <w:left w:val="none" w:sz="0" w:space="0" w:color="auto"/>
            <w:bottom w:val="none" w:sz="0" w:space="0" w:color="auto"/>
            <w:right w:val="none" w:sz="0" w:space="0" w:color="auto"/>
          </w:divBdr>
        </w:div>
        <w:div w:id="1714843227">
          <w:marLeft w:val="0"/>
          <w:marRight w:val="0"/>
          <w:marTop w:val="0"/>
          <w:marBottom w:val="0"/>
          <w:divBdr>
            <w:top w:val="none" w:sz="0" w:space="0" w:color="auto"/>
            <w:left w:val="none" w:sz="0" w:space="0" w:color="auto"/>
            <w:bottom w:val="none" w:sz="0" w:space="0" w:color="auto"/>
            <w:right w:val="none" w:sz="0" w:space="0" w:color="auto"/>
          </w:divBdr>
        </w:div>
      </w:divsChild>
    </w:div>
    <w:div w:id="445469871">
      <w:bodyDiv w:val="1"/>
      <w:marLeft w:val="0"/>
      <w:marRight w:val="0"/>
      <w:marTop w:val="0"/>
      <w:marBottom w:val="0"/>
      <w:divBdr>
        <w:top w:val="none" w:sz="0" w:space="0" w:color="auto"/>
        <w:left w:val="none" w:sz="0" w:space="0" w:color="auto"/>
        <w:bottom w:val="none" w:sz="0" w:space="0" w:color="auto"/>
        <w:right w:val="none" w:sz="0" w:space="0" w:color="auto"/>
      </w:divBdr>
    </w:div>
    <w:div w:id="449710412">
      <w:bodyDiv w:val="1"/>
      <w:marLeft w:val="0"/>
      <w:marRight w:val="0"/>
      <w:marTop w:val="0"/>
      <w:marBottom w:val="0"/>
      <w:divBdr>
        <w:top w:val="none" w:sz="0" w:space="0" w:color="auto"/>
        <w:left w:val="none" w:sz="0" w:space="0" w:color="auto"/>
        <w:bottom w:val="none" w:sz="0" w:space="0" w:color="auto"/>
        <w:right w:val="none" w:sz="0" w:space="0" w:color="auto"/>
      </w:divBdr>
    </w:div>
    <w:div w:id="466556703">
      <w:bodyDiv w:val="1"/>
      <w:marLeft w:val="0"/>
      <w:marRight w:val="0"/>
      <w:marTop w:val="0"/>
      <w:marBottom w:val="0"/>
      <w:divBdr>
        <w:top w:val="none" w:sz="0" w:space="0" w:color="auto"/>
        <w:left w:val="none" w:sz="0" w:space="0" w:color="auto"/>
        <w:bottom w:val="none" w:sz="0" w:space="0" w:color="auto"/>
        <w:right w:val="none" w:sz="0" w:space="0" w:color="auto"/>
      </w:divBdr>
    </w:div>
    <w:div w:id="482624228">
      <w:bodyDiv w:val="1"/>
      <w:marLeft w:val="0"/>
      <w:marRight w:val="0"/>
      <w:marTop w:val="0"/>
      <w:marBottom w:val="0"/>
      <w:divBdr>
        <w:top w:val="none" w:sz="0" w:space="0" w:color="auto"/>
        <w:left w:val="none" w:sz="0" w:space="0" w:color="auto"/>
        <w:bottom w:val="none" w:sz="0" w:space="0" w:color="auto"/>
        <w:right w:val="none" w:sz="0" w:space="0" w:color="auto"/>
      </w:divBdr>
    </w:div>
    <w:div w:id="505755707">
      <w:bodyDiv w:val="1"/>
      <w:marLeft w:val="0"/>
      <w:marRight w:val="0"/>
      <w:marTop w:val="0"/>
      <w:marBottom w:val="0"/>
      <w:divBdr>
        <w:top w:val="none" w:sz="0" w:space="0" w:color="auto"/>
        <w:left w:val="none" w:sz="0" w:space="0" w:color="auto"/>
        <w:bottom w:val="none" w:sz="0" w:space="0" w:color="auto"/>
        <w:right w:val="none" w:sz="0" w:space="0" w:color="auto"/>
      </w:divBdr>
    </w:div>
    <w:div w:id="586235242">
      <w:bodyDiv w:val="1"/>
      <w:marLeft w:val="0"/>
      <w:marRight w:val="0"/>
      <w:marTop w:val="0"/>
      <w:marBottom w:val="0"/>
      <w:divBdr>
        <w:top w:val="none" w:sz="0" w:space="0" w:color="auto"/>
        <w:left w:val="none" w:sz="0" w:space="0" w:color="auto"/>
        <w:bottom w:val="none" w:sz="0" w:space="0" w:color="auto"/>
        <w:right w:val="none" w:sz="0" w:space="0" w:color="auto"/>
      </w:divBdr>
    </w:div>
    <w:div w:id="611016558">
      <w:bodyDiv w:val="1"/>
      <w:marLeft w:val="0"/>
      <w:marRight w:val="0"/>
      <w:marTop w:val="0"/>
      <w:marBottom w:val="0"/>
      <w:divBdr>
        <w:top w:val="none" w:sz="0" w:space="0" w:color="auto"/>
        <w:left w:val="none" w:sz="0" w:space="0" w:color="auto"/>
        <w:bottom w:val="none" w:sz="0" w:space="0" w:color="auto"/>
        <w:right w:val="none" w:sz="0" w:space="0" w:color="auto"/>
      </w:divBdr>
    </w:div>
    <w:div w:id="709259807">
      <w:bodyDiv w:val="1"/>
      <w:marLeft w:val="0"/>
      <w:marRight w:val="0"/>
      <w:marTop w:val="0"/>
      <w:marBottom w:val="0"/>
      <w:divBdr>
        <w:top w:val="none" w:sz="0" w:space="0" w:color="auto"/>
        <w:left w:val="none" w:sz="0" w:space="0" w:color="auto"/>
        <w:bottom w:val="none" w:sz="0" w:space="0" w:color="auto"/>
        <w:right w:val="none" w:sz="0" w:space="0" w:color="auto"/>
      </w:divBdr>
    </w:div>
    <w:div w:id="726953366">
      <w:bodyDiv w:val="1"/>
      <w:marLeft w:val="0"/>
      <w:marRight w:val="0"/>
      <w:marTop w:val="0"/>
      <w:marBottom w:val="0"/>
      <w:divBdr>
        <w:top w:val="none" w:sz="0" w:space="0" w:color="auto"/>
        <w:left w:val="none" w:sz="0" w:space="0" w:color="auto"/>
        <w:bottom w:val="none" w:sz="0" w:space="0" w:color="auto"/>
        <w:right w:val="none" w:sz="0" w:space="0" w:color="auto"/>
      </w:divBdr>
    </w:div>
    <w:div w:id="788015226">
      <w:bodyDiv w:val="1"/>
      <w:marLeft w:val="0"/>
      <w:marRight w:val="0"/>
      <w:marTop w:val="0"/>
      <w:marBottom w:val="0"/>
      <w:divBdr>
        <w:top w:val="none" w:sz="0" w:space="0" w:color="auto"/>
        <w:left w:val="none" w:sz="0" w:space="0" w:color="auto"/>
        <w:bottom w:val="none" w:sz="0" w:space="0" w:color="auto"/>
        <w:right w:val="none" w:sz="0" w:space="0" w:color="auto"/>
      </w:divBdr>
    </w:div>
    <w:div w:id="895776121">
      <w:bodyDiv w:val="1"/>
      <w:marLeft w:val="0"/>
      <w:marRight w:val="0"/>
      <w:marTop w:val="0"/>
      <w:marBottom w:val="0"/>
      <w:divBdr>
        <w:top w:val="none" w:sz="0" w:space="0" w:color="auto"/>
        <w:left w:val="none" w:sz="0" w:space="0" w:color="auto"/>
        <w:bottom w:val="none" w:sz="0" w:space="0" w:color="auto"/>
        <w:right w:val="none" w:sz="0" w:space="0" w:color="auto"/>
      </w:divBdr>
    </w:div>
    <w:div w:id="927156168">
      <w:bodyDiv w:val="1"/>
      <w:marLeft w:val="0"/>
      <w:marRight w:val="0"/>
      <w:marTop w:val="0"/>
      <w:marBottom w:val="0"/>
      <w:divBdr>
        <w:top w:val="none" w:sz="0" w:space="0" w:color="auto"/>
        <w:left w:val="none" w:sz="0" w:space="0" w:color="auto"/>
        <w:bottom w:val="none" w:sz="0" w:space="0" w:color="auto"/>
        <w:right w:val="none" w:sz="0" w:space="0" w:color="auto"/>
      </w:divBdr>
    </w:div>
    <w:div w:id="1046760811">
      <w:bodyDiv w:val="1"/>
      <w:marLeft w:val="0"/>
      <w:marRight w:val="0"/>
      <w:marTop w:val="0"/>
      <w:marBottom w:val="0"/>
      <w:divBdr>
        <w:top w:val="none" w:sz="0" w:space="0" w:color="auto"/>
        <w:left w:val="none" w:sz="0" w:space="0" w:color="auto"/>
        <w:bottom w:val="none" w:sz="0" w:space="0" w:color="auto"/>
        <w:right w:val="none" w:sz="0" w:space="0" w:color="auto"/>
      </w:divBdr>
    </w:div>
    <w:div w:id="1066997238">
      <w:bodyDiv w:val="1"/>
      <w:marLeft w:val="0"/>
      <w:marRight w:val="0"/>
      <w:marTop w:val="0"/>
      <w:marBottom w:val="0"/>
      <w:divBdr>
        <w:top w:val="none" w:sz="0" w:space="0" w:color="auto"/>
        <w:left w:val="none" w:sz="0" w:space="0" w:color="auto"/>
        <w:bottom w:val="none" w:sz="0" w:space="0" w:color="auto"/>
        <w:right w:val="none" w:sz="0" w:space="0" w:color="auto"/>
      </w:divBdr>
    </w:div>
    <w:div w:id="1207067973">
      <w:bodyDiv w:val="1"/>
      <w:marLeft w:val="0"/>
      <w:marRight w:val="0"/>
      <w:marTop w:val="0"/>
      <w:marBottom w:val="0"/>
      <w:divBdr>
        <w:top w:val="none" w:sz="0" w:space="0" w:color="auto"/>
        <w:left w:val="none" w:sz="0" w:space="0" w:color="auto"/>
        <w:bottom w:val="none" w:sz="0" w:space="0" w:color="auto"/>
        <w:right w:val="none" w:sz="0" w:space="0" w:color="auto"/>
      </w:divBdr>
    </w:div>
    <w:div w:id="1262908647">
      <w:bodyDiv w:val="1"/>
      <w:marLeft w:val="0"/>
      <w:marRight w:val="0"/>
      <w:marTop w:val="0"/>
      <w:marBottom w:val="0"/>
      <w:divBdr>
        <w:top w:val="none" w:sz="0" w:space="0" w:color="auto"/>
        <w:left w:val="none" w:sz="0" w:space="0" w:color="auto"/>
        <w:bottom w:val="none" w:sz="0" w:space="0" w:color="auto"/>
        <w:right w:val="none" w:sz="0" w:space="0" w:color="auto"/>
      </w:divBdr>
    </w:div>
    <w:div w:id="1393188788">
      <w:bodyDiv w:val="1"/>
      <w:marLeft w:val="0"/>
      <w:marRight w:val="0"/>
      <w:marTop w:val="0"/>
      <w:marBottom w:val="0"/>
      <w:divBdr>
        <w:top w:val="none" w:sz="0" w:space="0" w:color="auto"/>
        <w:left w:val="none" w:sz="0" w:space="0" w:color="auto"/>
        <w:bottom w:val="none" w:sz="0" w:space="0" w:color="auto"/>
        <w:right w:val="none" w:sz="0" w:space="0" w:color="auto"/>
      </w:divBdr>
    </w:div>
    <w:div w:id="1430153544">
      <w:bodyDiv w:val="1"/>
      <w:marLeft w:val="0"/>
      <w:marRight w:val="0"/>
      <w:marTop w:val="0"/>
      <w:marBottom w:val="0"/>
      <w:divBdr>
        <w:top w:val="none" w:sz="0" w:space="0" w:color="auto"/>
        <w:left w:val="none" w:sz="0" w:space="0" w:color="auto"/>
        <w:bottom w:val="none" w:sz="0" w:space="0" w:color="auto"/>
        <w:right w:val="none" w:sz="0" w:space="0" w:color="auto"/>
      </w:divBdr>
    </w:div>
    <w:div w:id="1463890623">
      <w:bodyDiv w:val="1"/>
      <w:marLeft w:val="0"/>
      <w:marRight w:val="0"/>
      <w:marTop w:val="0"/>
      <w:marBottom w:val="0"/>
      <w:divBdr>
        <w:top w:val="none" w:sz="0" w:space="0" w:color="auto"/>
        <w:left w:val="none" w:sz="0" w:space="0" w:color="auto"/>
        <w:bottom w:val="none" w:sz="0" w:space="0" w:color="auto"/>
        <w:right w:val="none" w:sz="0" w:space="0" w:color="auto"/>
      </w:divBdr>
    </w:div>
    <w:div w:id="1662734454">
      <w:bodyDiv w:val="1"/>
      <w:marLeft w:val="0"/>
      <w:marRight w:val="0"/>
      <w:marTop w:val="0"/>
      <w:marBottom w:val="0"/>
      <w:divBdr>
        <w:top w:val="none" w:sz="0" w:space="0" w:color="auto"/>
        <w:left w:val="none" w:sz="0" w:space="0" w:color="auto"/>
        <w:bottom w:val="none" w:sz="0" w:space="0" w:color="auto"/>
        <w:right w:val="none" w:sz="0" w:space="0" w:color="auto"/>
      </w:divBdr>
    </w:div>
    <w:div w:id="1674916392">
      <w:bodyDiv w:val="1"/>
      <w:marLeft w:val="0"/>
      <w:marRight w:val="0"/>
      <w:marTop w:val="0"/>
      <w:marBottom w:val="0"/>
      <w:divBdr>
        <w:top w:val="none" w:sz="0" w:space="0" w:color="auto"/>
        <w:left w:val="none" w:sz="0" w:space="0" w:color="auto"/>
        <w:bottom w:val="none" w:sz="0" w:space="0" w:color="auto"/>
        <w:right w:val="none" w:sz="0" w:space="0" w:color="auto"/>
      </w:divBdr>
    </w:div>
    <w:div w:id="1795636548">
      <w:bodyDiv w:val="1"/>
      <w:marLeft w:val="0"/>
      <w:marRight w:val="0"/>
      <w:marTop w:val="0"/>
      <w:marBottom w:val="0"/>
      <w:divBdr>
        <w:top w:val="none" w:sz="0" w:space="0" w:color="auto"/>
        <w:left w:val="none" w:sz="0" w:space="0" w:color="auto"/>
        <w:bottom w:val="none" w:sz="0" w:space="0" w:color="auto"/>
        <w:right w:val="none" w:sz="0" w:space="0" w:color="auto"/>
      </w:divBdr>
    </w:div>
    <w:div w:id="1931623453">
      <w:bodyDiv w:val="1"/>
      <w:marLeft w:val="0"/>
      <w:marRight w:val="0"/>
      <w:marTop w:val="0"/>
      <w:marBottom w:val="0"/>
      <w:divBdr>
        <w:top w:val="none" w:sz="0" w:space="0" w:color="auto"/>
        <w:left w:val="none" w:sz="0" w:space="0" w:color="auto"/>
        <w:bottom w:val="none" w:sz="0" w:space="0" w:color="auto"/>
        <w:right w:val="none" w:sz="0" w:space="0" w:color="auto"/>
      </w:divBdr>
    </w:div>
    <w:div w:id="1942714128">
      <w:bodyDiv w:val="1"/>
      <w:marLeft w:val="0"/>
      <w:marRight w:val="0"/>
      <w:marTop w:val="0"/>
      <w:marBottom w:val="0"/>
      <w:divBdr>
        <w:top w:val="none" w:sz="0" w:space="0" w:color="auto"/>
        <w:left w:val="none" w:sz="0" w:space="0" w:color="auto"/>
        <w:bottom w:val="none" w:sz="0" w:space="0" w:color="auto"/>
        <w:right w:val="none" w:sz="0" w:space="0" w:color="auto"/>
      </w:divBdr>
    </w:div>
    <w:div w:id="1956473362">
      <w:bodyDiv w:val="1"/>
      <w:marLeft w:val="0"/>
      <w:marRight w:val="0"/>
      <w:marTop w:val="0"/>
      <w:marBottom w:val="0"/>
      <w:divBdr>
        <w:top w:val="none" w:sz="0" w:space="0" w:color="auto"/>
        <w:left w:val="none" w:sz="0" w:space="0" w:color="auto"/>
        <w:bottom w:val="none" w:sz="0" w:space="0" w:color="auto"/>
        <w:right w:val="none" w:sz="0" w:space="0" w:color="auto"/>
      </w:divBdr>
    </w:div>
    <w:div w:id="1962224410">
      <w:bodyDiv w:val="1"/>
      <w:marLeft w:val="0"/>
      <w:marRight w:val="0"/>
      <w:marTop w:val="0"/>
      <w:marBottom w:val="0"/>
      <w:divBdr>
        <w:top w:val="none" w:sz="0" w:space="0" w:color="auto"/>
        <w:left w:val="none" w:sz="0" w:space="0" w:color="auto"/>
        <w:bottom w:val="none" w:sz="0" w:space="0" w:color="auto"/>
        <w:right w:val="none" w:sz="0" w:space="0" w:color="auto"/>
      </w:divBdr>
    </w:div>
    <w:div w:id="200462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392/oj" TargetMode="External"/><Relationship Id="rId1" Type="http://schemas.openxmlformats.org/officeDocument/2006/relationships/hyperlink" Target="http://data.europa.eu/eli/reg/2024/13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8322858357ED4DB8ACEC003F271AA8" ma:contentTypeVersion="16" ma:contentTypeDescription="Create a new document." ma:contentTypeScope="" ma:versionID="159efb259b73cfba5195d5b9ec0ff28f">
  <xsd:schema xmlns:xsd="http://www.w3.org/2001/XMLSchema" xmlns:xs="http://www.w3.org/2001/XMLSchema" xmlns:p="http://schemas.microsoft.com/office/2006/metadata/properties" xmlns:ns2="bf5373a9-3ae6-4627-894d-852f27c3d4f0" xmlns:ns3="3b32b93a-a41f-449a-9492-9bc9f41ec6d7" targetNamespace="http://schemas.microsoft.com/office/2006/metadata/properties" ma:root="true" ma:fieldsID="0714391db37317330fe04c9d20c44dec" ns2:_="" ns3:_="">
    <xsd:import namespace="bf5373a9-3ae6-4627-894d-852f27c3d4f0"/>
    <xsd:import namespace="3b32b93a-a41f-449a-9492-9bc9f41ec6d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5373a9-3ae6-4627-894d-852f27c3d4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32b93a-a41f-449a-9492-9bc9f41ec6d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e0aa601-896c-4231-9ada-b91350ff9040}" ma:internalName="TaxCatchAll" ma:showField="CatchAllData" ma:web="3b32b93a-a41f-449a-9492-9bc9f41ec6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D1BB7-B6FB-471F-A3A8-0514DC98B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5373a9-3ae6-4627-894d-852f27c3d4f0"/>
    <ds:schemaRef ds:uri="3b32b93a-a41f-449a-9492-9bc9f41ec6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4D5804-FA1D-4608-91B3-BFD72A1CE1BA}">
  <ds:schemaRefs>
    <ds:schemaRef ds:uri="http://schemas.microsoft.com/sharepoint/v3/contenttype/forms"/>
  </ds:schemaRefs>
</ds:datastoreItem>
</file>

<file path=customXml/itemProps3.xml><?xml version="1.0" encoding="utf-8"?>
<ds:datastoreItem xmlns:ds="http://schemas.openxmlformats.org/officeDocument/2006/customXml" ds:itemID="{67A5EA6E-949F-4007-8710-28E60DC9B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46</TotalTime>
  <Pages>9</Pages>
  <Words>2139</Words>
  <Characters>12196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66</cp:revision>
  <dcterms:created xsi:type="dcterms:W3CDTF">2025-03-03T13:25:00Z</dcterms:created>
  <dcterms:modified xsi:type="dcterms:W3CDTF">2025-03-11T07:38:00Z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2024-01-27T17:25:45Z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a8564e86-62f9-4b72-857c-499ec15afb12</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Category">
    <vt:lpwstr>COM/PL/ORG</vt:lpwstr>
  </property>
  <property fmtid="{D5CDD505-2E9C-101B-9397-08002B2CF9AE}" pid="11" name="Last edited using">
    <vt:lpwstr>LW 9.1, Build 20240808</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SJ-023</vt:lpwstr>
  </property>
  <property fmtid="{D5CDD505-2E9C-101B-9397-08002B2CF9AE}" pid="15" name="DQCStatus">
    <vt:lpwstr>Green (DQC version 03)</vt:lpwstr>
  </property>
  <property name="OP_sanitized" fmtid="{D5CDD505-2E9C-101B-9397-08002B2CF9AE}" pid="16">
    <vt:lpwstr>True</vt:lpwstr>
  </property>
</Properties>
</file>