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D9FC9" w14:textId="7AFBBA17" w:rsidR="00593CC6" w:rsidRPr="00EB7070" w:rsidRDefault="0027238C" w:rsidP="0027238C">
      <w:pPr>
        <w:pStyle w:val="Pagedecouverture"/>
        <w:rPr>
          <w:noProof/>
        </w:rPr>
      </w:pPr>
      <w:bookmarkStart w:id="0" w:name="LW_BM_COVERPAGE"/>
      <w:r>
        <w:rPr>
          <w:noProof/>
        </w:rPr>
        <w:pict w14:anchorId="5C1D8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FE96F891-9304-40E7-ACF9-D191613A3931" style="width:455.25pt;height:324pt">
            <v:imagedata r:id="rId8" o:title=""/>
          </v:shape>
        </w:pict>
      </w:r>
    </w:p>
    <w:bookmarkEnd w:id="0"/>
    <w:p w14:paraId="10579F3D" w14:textId="77777777" w:rsidR="00593CC6" w:rsidRPr="00EB7070" w:rsidRDefault="00593CC6" w:rsidP="00593CC6">
      <w:pPr>
        <w:rPr>
          <w:noProof/>
        </w:rPr>
        <w:sectPr w:rsidR="00593CC6" w:rsidRPr="00EB7070" w:rsidSect="0027238C">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299"/>
        </w:sectPr>
      </w:pPr>
    </w:p>
    <w:p w14:paraId="0C84AA00" w14:textId="77777777" w:rsidR="003A15D0" w:rsidRPr="00EB7070" w:rsidRDefault="003A15D0" w:rsidP="003A5321">
      <w:pPr>
        <w:jc w:val="center"/>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YHTEINEN KERTOMUS EUROOPAN PARLAMENTILLE JA NEUVOSTOLLE</w:t>
      </w:r>
    </w:p>
    <w:p w14:paraId="587A7660" w14:textId="77777777" w:rsidR="003A15D0" w:rsidRPr="00EB7070" w:rsidRDefault="003A15D0" w:rsidP="003A5321">
      <w:pPr>
        <w:jc w:val="center"/>
        <w:rPr>
          <w:rFonts w:ascii="Times New Roman" w:hAnsi="Times New Roman" w:cs="Times New Roman"/>
          <w:b/>
          <w:noProof/>
          <w:sz w:val="24"/>
          <w:szCs w:val="24"/>
        </w:rPr>
      </w:pPr>
    </w:p>
    <w:p w14:paraId="6D1C1970" w14:textId="161BAF87" w:rsidR="003A15D0" w:rsidRPr="00EB7070" w:rsidRDefault="003A15D0" w:rsidP="003A5321">
      <w:pPr>
        <w:jc w:val="center"/>
        <w:rPr>
          <w:rFonts w:ascii="Times New Roman" w:hAnsi="Times New Roman" w:cs="Times New Roman"/>
          <w:b/>
          <w:noProof/>
          <w:sz w:val="24"/>
          <w:szCs w:val="24"/>
        </w:rPr>
      </w:pPr>
      <w:r>
        <w:rPr>
          <w:rFonts w:ascii="Times New Roman" w:hAnsi="Times New Roman"/>
          <w:b/>
          <w:noProof/>
          <w:sz w:val="24"/>
        </w:rPr>
        <w:t>MACAON ERITYISHALLINTOALUE</w:t>
      </w:r>
    </w:p>
    <w:p w14:paraId="6A08D259" w14:textId="77777777" w:rsidR="003A15D0" w:rsidRPr="00EB7070" w:rsidRDefault="003A15D0" w:rsidP="003A5321">
      <w:pPr>
        <w:jc w:val="center"/>
        <w:rPr>
          <w:rFonts w:ascii="Times New Roman" w:hAnsi="Times New Roman" w:cs="Times New Roman"/>
          <w:b/>
          <w:noProof/>
          <w:sz w:val="24"/>
          <w:szCs w:val="24"/>
        </w:rPr>
      </w:pPr>
    </w:p>
    <w:p w14:paraId="6F7A997D" w14:textId="77777777" w:rsidR="003A15D0" w:rsidRPr="00EB7070" w:rsidRDefault="003A15D0" w:rsidP="003A5321">
      <w:pPr>
        <w:jc w:val="center"/>
        <w:rPr>
          <w:rFonts w:ascii="Times New Roman" w:hAnsi="Times New Roman" w:cs="Times New Roman"/>
          <w:b/>
          <w:noProof/>
          <w:sz w:val="24"/>
          <w:szCs w:val="24"/>
        </w:rPr>
      </w:pPr>
      <w:r>
        <w:rPr>
          <w:rFonts w:ascii="Times New Roman" w:hAnsi="Times New Roman"/>
          <w:b/>
          <w:noProof/>
          <w:sz w:val="24"/>
        </w:rPr>
        <w:t>VUOSIKERTOMUS 2024</w:t>
      </w:r>
    </w:p>
    <w:p w14:paraId="4D5F4599" w14:textId="77777777" w:rsidR="003A15D0" w:rsidRPr="00EB7070" w:rsidRDefault="003A15D0" w:rsidP="003A5321">
      <w:pPr>
        <w:rPr>
          <w:rFonts w:ascii="Times New Roman" w:hAnsi="Times New Roman" w:cs="Times New Roman"/>
          <w:b/>
          <w:noProof/>
          <w:sz w:val="24"/>
          <w:szCs w:val="24"/>
        </w:rPr>
      </w:pPr>
    </w:p>
    <w:p w14:paraId="5AFDDBB7" w14:textId="32E58B01" w:rsidR="003A15D0" w:rsidRPr="00EB7070" w:rsidRDefault="003A15D0" w:rsidP="003A5321">
      <w:pPr>
        <w:rPr>
          <w:rFonts w:ascii="Times New Roman" w:hAnsi="Times New Roman" w:cs="Times New Roman"/>
          <w:b/>
          <w:noProof/>
          <w:sz w:val="24"/>
          <w:szCs w:val="24"/>
        </w:rPr>
      </w:pPr>
      <w:r>
        <w:rPr>
          <w:rFonts w:ascii="Times New Roman" w:hAnsi="Times New Roman"/>
          <w:b/>
          <w:noProof/>
          <w:sz w:val="24"/>
        </w:rPr>
        <w:t>Yhteenveto</w:t>
      </w:r>
    </w:p>
    <w:p w14:paraId="57E2F337" w14:textId="77777777" w:rsidR="003A15D0" w:rsidRPr="00EB7070" w:rsidRDefault="003A15D0" w:rsidP="003A5321">
      <w:pPr>
        <w:rPr>
          <w:rFonts w:ascii="Times New Roman" w:hAnsi="Times New Roman" w:cs="Times New Roman"/>
          <w:b/>
          <w:noProof/>
          <w:sz w:val="24"/>
          <w:szCs w:val="24"/>
        </w:rPr>
      </w:pPr>
    </w:p>
    <w:p w14:paraId="389968DC" w14:textId="77777777" w:rsidR="003A15D0" w:rsidRPr="00EB7070" w:rsidRDefault="003A15D0" w:rsidP="003A5321">
      <w:pPr>
        <w:jc w:val="both"/>
        <w:rPr>
          <w:rFonts w:ascii="Times New Roman" w:hAnsi="Times New Roman" w:cs="Times New Roman"/>
          <w:noProof/>
          <w:sz w:val="24"/>
          <w:szCs w:val="24"/>
        </w:rPr>
      </w:pPr>
      <w:r>
        <w:rPr>
          <w:rFonts w:ascii="Times New Roman" w:hAnsi="Times New Roman"/>
          <w:noProof/>
          <w:sz w:val="24"/>
        </w:rPr>
        <w:t>Siitä lähtien, kun Macao vuonna 1999 palautettiin Kiinan kansantasavallalle, Euroopan unioni ja sen jäsenvaltiot ovat seuranneet tiiviisti Macaon erityishallintoalueen poliittista ja taloudellista kehitystä ”yksi maa, kaksi järjestelmää” ‑periaatteen puitteissa. EU tukee tätä periaatetta ja sen Macaon peruslain mukaista täytäntöönpanoa. Peruslain tarkoituksena on varmistaa, että Macaon elämäntapa, oikeusvaltioperiaate sekä perusoikeuksien ja -vapauksien suoja säilyvät muuttumattomina vuoteen 2049 asti.</w:t>
      </w:r>
    </w:p>
    <w:p w14:paraId="70589EA1" w14:textId="77777777" w:rsidR="00F11BB2" w:rsidRPr="00EB7070" w:rsidRDefault="00F11BB2" w:rsidP="003A5321">
      <w:pPr>
        <w:jc w:val="both"/>
        <w:rPr>
          <w:rFonts w:ascii="Times New Roman" w:hAnsi="Times New Roman" w:cs="Times New Roman"/>
          <w:noProof/>
          <w:sz w:val="24"/>
          <w:szCs w:val="24"/>
        </w:rPr>
      </w:pPr>
    </w:p>
    <w:p w14:paraId="12CA771C" w14:textId="64565675" w:rsidR="007539D5" w:rsidRPr="00EB7070" w:rsidRDefault="007539D5" w:rsidP="003A5321">
      <w:pPr>
        <w:jc w:val="both"/>
        <w:rPr>
          <w:rFonts w:ascii="Times New Roman" w:hAnsi="Times New Roman" w:cs="Times New Roman"/>
          <w:noProof/>
          <w:sz w:val="24"/>
          <w:szCs w:val="24"/>
        </w:rPr>
      </w:pPr>
      <w:r>
        <w:rPr>
          <w:rFonts w:ascii="Times New Roman" w:hAnsi="Times New Roman"/>
          <w:noProof/>
          <w:sz w:val="24"/>
        </w:rPr>
        <w:t>Euroopan parlamentille vuonna 1999 annetun sitoumuksen mukaisesti komissio ja korkea edustaja, varapuheenjohtaja laativat vuosittain kertomuksen tilanteen kehittymisestä Macaossa. Kertomuksessa on vuosien varrella kiinnitetty erityistä huomiota ”yksi maa, kaksi järjestelmää” ‑periaatteen täytäntöönpanoon ja Macaon itsehallintoon maan peruslain mukaisesti.</w:t>
      </w:r>
    </w:p>
    <w:p w14:paraId="7C4820F2" w14:textId="77777777" w:rsidR="007539D5" w:rsidRPr="00EB7070" w:rsidRDefault="007539D5" w:rsidP="003A5321">
      <w:pPr>
        <w:jc w:val="both"/>
        <w:rPr>
          <w:rFonts w:ascii="Times New Roman" w:hAnsi="Times New Roman" w:cs="Times New Roman"/>
          <w:noProof/>
          <w:sz w:val="24"/>
          <w:szCs w:val="24"/>
        </w:rPr>
      </w:pPr>
    </w:p>
    <w:p w14:paraId="7624D175" w14:textId="7B72BE89" w:rsidR="00F11BB2" w:rsidRPr="00EB7070" w:rsidRDefault="003A15D0" w:rsidP="003A5321">
      <w:pPr>
        <w:jc w:val="both"/>
        <w:rPr>
          <w:rFonts w:ascii="Times New Roman" w:hAnsi="Times New Roman" w:cs="Times New Roman"/>
          <w:noProof/>
          <w:sz w:val="24"/>
          <w:szCs w:val="24"/>
        </w:rPr>
      </w:pPr>
      <w:r>
        <w:rPr>
          <w:rFonts w:ascii="Times New Roman" w:hAnsi="Times New Roman"/>
          <w:noProof/>
          <w:sz w:val="24"/>
        </w:rPr>
        <w:t>Tämä 25. vuosikertomus koskee kehitystä vuonna 2024. Politiikan näkökulmasta itsehallinto ja ainakin vuoteen 2049 asti suojeltavat perusvapaudet ja -oikeudet rapautuivat edelleen vuoden aikana. Merkittäviä tapahtumia vuoden aikana olivat i) kaksi lainsäädäntömuutosta, joilla pannaan täytäntöön Macaon hallintoa koskeva ”patriots ruling Macao” -periaate rajoittamalla entisestään moniarvoisuuden tilaa Macaossa, ja ii) erityishallintoalueen kuudennen kauden hallituksen muodostaminen ja ensimmäisen Manner-Kiinassa syntyneen hallintojohtajan Sam Hou Fain nimittäminen sen johtoon.</w:t>
      </w:r>
    </w:p>
    <w:p w14:paraId="7D8464EB" w14:textId="77777777" w:rsidR="00F11BB2" w:rsidRPr="00EB7070" w:rsidRDefault="00F11BB2" w:rsidP="003A5321">
      <w:pPr>
        <w:jc w:val="both"/>
        <w:rPr>
          <w:rFonts w:ascii="Times New Roman" w:hAnsi="Times New Roman" w:cs="Times New Roman"/>
          <w:noProof/>
          <w:sz w:val="24"/>
          <w:szCs w:val="24"/>
        </w:rPr>
      </w:pPr>
    </w:p>
    <w:p w14:paraId="5B208F78" w14:textId="1CD92339" w:rsidR="008E58EF" w:rsidRPr="00EB7070" w:rsidRDefault="008E58EF" w:rsidP="003A5321">
      <w:pPr>
        <w:jc w:val="both"/>
        <w:rPr>
          <w:rFonts w:ascii="Times New Roman" w:eastAsia="PMingLiU" w:hAnsi="Times New Roman" w:cs="Times New Roman"/>
          <w:bCs/>
          <w:noProof/>
          <w:sz w:val="24"/>
          <w:szCs w:val="24"/>
        </w:rPr>
      </w:pPr>
      <w:r>
        <w:rPr>
          <w:rFonts w:ascii="Times New Roman" w:hAnsi="Times New Roman"/>
          <w:noProof/>
          <w:sz w:val="24"/>
        </w:rPr>
        <w:t>Macaon bruttokansantuote kasvoi 8,8 prosenttia vuonna 2024. Tämä oli toinen peräkkäinen kasvuvuosi, mutta talous ei ole vielä täysin elpynyt covid-19-pandemiaa edeltäneelle tasolle. Talouskasvua tuki Macaoon saapuvien matkailijoiden määrän ja rahapelitulojen kasvu. Vuonna 2024 Macaossa vieraili 34,9 miljoonaa ihmistä eli 24 prosenttia enemmän kuin edellisenä vuonna. Määrä oli kuitenkin pienempi kuin vuonna 2019, jolloin vierailijoita oli 39,4 miljoonaa. Suurin osa matkailijoista saapuu Manner-Kiinasta ja Hongkongista.</w:t>
      </w:r>
    </w:p>
    <w:p w14:paraId="0B2CD16D" w14:textId="77777777" w:rsidR="008E58EF" w:rsidRPr="00EB7070" w:rsidRDefault="008E58EF" w:rsidP="003A5321">
      <w:pPr>
        <w:jc w:val="both"/>
        <w:rPr>
          <w:rFonts w:ascii="Times New Roman" w:eastAsia="PMingLiU" w:hAnsi="Times New Roman" w:cs="Times New Roman"/>
          <w:bCs/>
          <w:noProof/>
          <w:sz w:val="24"/>
          <w:szCs w:val="24"/>
        </w:rPr>
      </w:pPr>
    </w:p>
    <w:p w14:paraId="516B0C7A" w14:textId="77777777" w:rsidR="007A4403" w:rsidRPr="00EB7070" w:rsidRDefault="008E58EF" w:rsidP="003A5321">
      <w:pPr>
        <w:jc w:val="both"/>
        <w:rPr>
          <w:rFonts w:ascii="Times New Roman" w:eastAsia="PMingLiU" w:hAnsi="Times New Roman" w:cs="Times New Roman"/>
          <w:bCs/>
          <w:noProof/>
          <w:sz w:val="24"/>
          <w:szCs w:val="24"/>
        </w:rPr>
      </w:pPr>
      <w:r>
        <w:rPr>
          <w:rFonts w:ascii="Times New Roman" w:hAnsi="Times New Roman"/>
          <w:noProof/>
          <w:sz w:val="24"/>
        </w:rPr>
        <w:t>EU oli vuoden aikana Macaon toiseksi suurin kauppakumppani tavarakaupassa, ja sen osuus Macaon kokonaiskaupasta oli 26,6 prosenttia. Kauppatase oli ylijäämäinen EU:n hyväksi. EU oli erityishallintoalueen neljänneksi suurin suora ulkomainen investoija (viimeisimmät saatavilla olevat tiedot vuodelta 2023).</w:t>
      </w:r>
    </w:p>
    <w:p w14:paraId="12CA81E9" w14:textId="77777777" w:rsidR="005A3C88" w:rsidRPr="00EB7070" w:rsidRDefault="005A3C88" w:rsidP="003A5321">
      <w:pPr>
        <w:rPr>
          <w:rFonts w:ascii="Times New Roman" w:hAnsi="Times New Roman" w:cs="Times New Roman"/>
          <w:b/>
          <w:noProof/>
          <w:sz w:val="24"/>
          <w:szCs w:val="24"/>
        </w:rPr>
      </w:pPr>
    </w:p>
    <w:p w14:paraId="7DE67619" w14:textId="701550DD" w:rsidR="00C279C0" w:rsidRPr="00EB7070" w:rsidRDefault="00C279C0" w:rsidP="003A5321">
      <w:pPr>
        <w:pStyle w:val="ListParagraph"/>
        <w:numPr>
          <w:ilvl w:val="0"/>
          <w:numId w:val="4"/>
        </w:numPr>
        <w:rPr>
          <w:rFonts w:ascii="Times New Roman" w:hAnsi="Times New Roman" w:cs="Times New Roman"/>
          <w:b/>
          <w:noProof/>
          <w:sz w:val="24"/>
          <w:szCs w:val="24"/>
        </w:rPr>
      </w:pPr>
      <w:r>
        <w:rPr>
          <w:rFonts w:ascii="Times New Roman" w:hAnsi="Times New Roman"/>
          <w:b/>
          <w:noProof/>
          <w:sz w:val="24"/>
        </w:rPr>
        <w:t>Poliittinen ja sosiaalinen kehitys</w:t>
      </w:r>
    </w:p>
    <w:p w14:paraId="0D4D8E9A" w14:textId="77777777" w:rsidR="00DD664A" w:rsidRPr="00EB7070" w:rsidRDefault="00DD664A" w:rsidP="003A5321">
      <w:pPr>
        <w:jc w:val="both"/>
        <w:rPr>
          <w:rFonts w:ascii="Times New Roman" w:eastAsia="MS Mincho" w:hAnsi="Times New Roman" w:cs="Times New Roman"/>
          <w:noProof/>
          <w:sz w:val="24"/>
          <w:szCs w:val="24"/>
          <w:lang w:eastAsia="ja-JP"/>
        </w:rPr>
      </w:pPr>
    </w:p>
    <w:p w14:paraId="7364649D" w14:textId="0E19CD1D" w:rsidR="00803F3E" w:rsidRPr="00EB7070" w:rsidRDefault="00803F3E" w:rsidP="003A5321">
      <w:pPr>
        <w:jc w:val="both"/>
        <w:rPr>
          <w:rFonts w:ascii="Times New Roman" w:eastAsia="MS Mincho" w:hAnsi="Times New Roman" w:cs="Times New Roman"/>
          <w:noProof/>
          <w:sz w:val="24"/>
          <w:szCs w:val="24"/>
        </w:rPr>
      </w:pPr>
      <w:r>
        <w:rPr>
          <w:rFonts w:ascii="Times New Roman" w:hAnsi="Times New Roman"/>
          <w:noProof/>
          <w:sz w:val="24"/>
        </w:rPr>
        <w:t>Vuonna 2024 tuli kuluneeksi 25 vuotta siitä, kun Portugali palautti Macaon Kiinan kansantasavallalle. Vuonna 1987 allekirjoitetussa Kiinan ja Portugalin yhteisessä julistuksessa määrätään, että Macaon yhteiskunta- ja talousjärjestelmän ja elämäntavan on säilyttävä muuttumattomina vähintään 50 vuotta ”yksi maa, kaksi järjestelmää” -periaatteen mukaisesti. Julistukseen sisältyy myös ”Macaon kansa hallitsee Macaota” -periaate, ja julistuksen mukaan Macaolla olisi erityishallintoalueena ”laaja itsehallinto”.</w:t>
      </w:r>
    </w:p>
    <w:p w14:paraId="6D74BD7D" w14:textId="77777777" w:rsidR="0058156F" w:rsidRPr="00EB7070" w:rsidRDefault="0058156F" w:rsidP="003A5321">
      <w:pPr>
        <w:jc w:val="both"/>
        <w:rPr>
          <w:rFonts w:ascii="Times New Roman" w:eastAsia="MS Mincho" w:hAnsi="Times New Roman" w:cs="Times New Roman"/>
          <w:noProof/>
          <w:sz w:val="24"/>
          <w:szCs w:val="24"/>
          <w:lang w:eastAsia="ja-JP"/>
        </w:rPr>
      </w:pPr>
    </w:p>
    <w:p w14:paraId="32965853" w14:textId="77777777" w:rsidR="0058156F" w:rsidRPr="00EB7070" w:rsidRDefault="0058156F" w:rsidP="00DA48D8">
      <w:pPr>
        <w:ind w:firstLine="720"/>
        <w:jc w:val="both"/>
        <w:rPr>
          <w:rFonts w:ascii="Times New Roman" w:eastAsia="MS Mincho" w:hAnsi="Times New Roman" w:cs="Times New Roman"/>
          <w:b/>
          <w:noProof/>
          <w:sz w:val="24"/>
          <w:szCs w:val="24"/>
        </w:rPr>
      </w:pPr>
      <w:r>
        <w:rPr>
          <w:rFonts w:ascii="Times New Roman" w:hAnsi="Times New Roman"/>
          <w:b/>
          <w:noProof/>
          <w:sz w:val="24"/>
        </w:rPr>
        <w:t>Lainsäädäntömuutokset ”patriots ruling Macao” -periaatteen täytäntöönpanemiseksi</w:t>
      </w:r>
    </w:p>
    <w:p w14:paraId="4CC741FE" w14:textId="77777777" w:rsidR="0058156F" w:rsidRPr="00EB7070" w:rsidRDefault="0058156F" w:rsidP="0058156F">
      <w:pPr>
        <w:jc w:val="both"/>
        <w:rPr>
          <w:rFonts w:ascii="Times New Roman" w:eastAsia="MS Mincho" w:hAnsi="Times New Roman" w:cs="Times New Roman"/>
          <w:noProof/>
          <w:sz w:val="24"/>
          <w:szCs w:val="24"/>
          <w:lang w:eastAsia="ja-JP"/>
        </w:rPr>
      </w:pPr>
    </w:p>
    <w:p w14:paraId="133B7EF3" w14:textId="648DD2BA" w:rsidR="0058156F" w:rsidRPr="00EB7070" w:rsidRDefault="0058156F" w:rsidP="0058156F">
      <w:pPr>
        <w:jc w:val="both"/>
        <w:rPr>
          <w:rFonts w:ascii="Times New Roman" w:eastAsia="MS Mincho" w:hAnsi="Times New Roman" w:cs="Times New Roman"/>
          <w:noProof/>
          <w:sz w:val="24"/>
          <w:szCs w:val="24"/>
        </w:rPr>
      </w:pPr>
      <w:r>
        <w:rPr>
          <w:rFonts w:ascii="Times New Roman" w:hAnsi="Times New Roman"/>
          <w:noProof/>
          <w:sz w:val="24"/>
        </w:rPr>
        <w:t>Macao hyväksyi uutta lainsäädäntöä, jolla pannaan täytäntöön poliittinen ”patriots ruling Macao” -periaate, eli Macaon erityishallintoalueen lainsäädäntöneuvoston vaalia koskevan lain muutoksen ja virkamiesten valan vannomista koskevan lain nro 4/1999 muutoksen. Uudella lainsäädännöllä rajoitetaan entisestään moniarvoisuuden tilaa sekä politiikassa että yhteiskunnassa.</w:t>
      </w:r>
    </w:p>
    <w:p w14:paraId="6C81E34D" w14:textId="0D78B217" w:rsidR="0058156F" w:rsidRPr="00EB7070" w:rsidRDefault="0058156F" w:rsidP="0058156F">
      <w:pPr>
        <w:jc w:val="both"/>
        <w:rPr>
          <w:rFonts w:ascii="Times New Roman" w:eastAsia="MS Mincho" w:hAnsi="Times New Roman" w:cs="Times New Roman"/>
          <w:noProof/>
          <w:sz w:val="24"/>
          <w:szCs w:val="24"/>
          <w:lang w:eastAsia="ja-JP"/>
        </w:rPr>
      </w:pPr>
    </w:p>
    <w:p w14:paraId="4DF9F590" w14:textId="2849AE4D" w:rsidR="0058156F" w:rsidRPr="00EB7070" w:rsidRDefault="0058156F" w:rsidP="0058156F">
      <w:pPr>
        <w:jc w:val="both"/>
        <w:rPr>
          <w:rFonts w:ascii="Times New Roman" w:eastAsia="MS Mincho" w:hAnsi="Times New Roman" w:cs="Times New Roman"/>
          <w:noProof/>
          <w:sz w:val="24"/>
          <w:szCs w:val="24"/>
        </w:rPr>
      </w:pPr>
      <w:r>
        <w:rPr>
          <w:rFonts w:ascii="Times New Roman" w:hAnsi="Times New Roman"/>
          <w:noProof/>
          <w:sz w:val="24"/>
        </w:rPr>
        <w:t>Muutetulla vaalilailla, joka hyväksyttiin 11. huhtikuuta, otettiin käyttöön uusia lainsäädäntöneuvoston vaalien tarkastusmekanismeja. Macaon kansallisen turvallisuuden komitea voi nyt antaa vaalilautakunnalle ”oikeudellisesti sitovia lausuntoja” siitä, puolustavatko ehdokkaat peruslakia ja ovatko he uskollisia Macaon erityishallintoalueelle. Päätökseen ei voi hakea muutosta tuomioistuimessa.</w:t>
      </w:r>
    </w:p>
    <w:p w14:paraId="094E6112" w14:textId="77777777" w:rsidR="0058156F" w:rsidRPr="00EB7070" w:rsidRDefault="0058156F" w:rsidP="0058156F">
      <w:pPr>
        <w:jc w:val="both"/>
        <w:rPr>
          <w:rFonts w:ascii="Times New Roman" w:eastAsia="MS Mincho" w:hAnsi="Times New Roman" w:cs="Times New Roman"/>
          <w:noProof/>
          <w:sz w:val="24"/>
          <w:szCs w:val="24"/>
          <w:lang w:eastAsia="ja-JP"/>
        </w:rPr>
      </w:pPr>
    </w:p>
    <w:p w14:paraId="1EEE9528" w14:textId="4E30EE11" w:rsidR="0058156F" w:rsidRPr="00EB7070" w:rsidRDefault="0058156F" w:rsidP="0058156F">
      <w:pPr>
        <w:jc w:val="both"/>
        <w:rPr>
          <w:rFonts w:ascii="Times New Roman" w:eastAsia="MS Mincho" w:hAnsi="Times New Roman" w:cs="Times New Roman"/>
          <w:noProof/>
          <w:sz w:val="24"/>
          <w:szCs w:val="24"/>
        </w:rPr>
      </w:pPr>
      <w:r>
        <w:rPr>
          <w:rFonts w:ascii="Times New Roman" w:hAnsi="Times New Roman"/>
          <w:noProof/>
          <w:sz w:val="24"/>
        </w:rPr>
        <w:t>Kansallisen turvallisuuden komitea perustettiin vuonna 2018 kansallisen turvallisuuslain nojalla. Sen puheenjohtajana toimii hallintojohtaja ja kansallisten turvallisuusasioiden neuvonantajana Pekingin keskushallinnon Macaon yhteystoimiston johtaja. Kaksi muuta yhteystoimiston jäsentä toimivat kansallisen turvallisuuden teknisinä neuvonantajina. Uusi järjestely antaa keskushallinnolle mahdollisuuden vaikuttaa suoraan Macaon paikallisen lainsäädäntöelimen vaaleihin.</w:t>
      </w:r>
    </w:p>
    <w:p w14:paraId="41DCDA0D" w14:textId="77777777" w:rsidR="0058156F" w:rsidRPr="00EB7070" w:rsidRDefault="0058156F" w:rsidP="0058156F">
      <w:pPr>
        <w:jc w:val="both"/>
        <w:rPr>
          <w:rFonts w:ascii="Times New Roman" w:eastAsia="MS Mincho" w:hAnsi="Times New Roman" w:cs="Times New Roman"/>
          <w:noProof/>
          <w:sz w:val="24"/>
          <w:szCs w:val="24"/>
          <w:lang w:eastAsia="ja-JP"/>
        </w:rPr>
      </w:pPr>
    </w:p>
    <w:p w14:paraId="50A5F93E" w14:textId="7DDCF251" w:rsidR="0058156F" w:rsidRPr="00EB7070" w:rsidRDefault="0058156F" w:rsidP="0058156F">
      <w:pPr>
        <w:jc w:val="both"/>
        <w:rPr>
          <w:rFonts w:ascii="Times New Roman" w:eastAsia="MS Mincho" w:hAnsi="Times New Roman" w:cs="Times New Roman"/>
          <w:noProof/>
          <w:sz w:val="24"/>
          <w:szCs w:val="24"/>
        </w:rPr>
      </w:pPr>
      <w:r>
        <w:rPr>
          <w:rFonts w:ascii="Times New Roman" w:hAnsi="Times New Roman"/>
          <w:noProof/>
          <w:sz w:val="24"/>
        </w:rPr>
        <w:t>Lainsäädäntöneuvoston vaalijärjestelmää koskevassa laissa vahvistetaan seitsemän perustetta, jotka kansallisen turvallisuuden komitean on otettava huomioon tutkiessaan ehdokkaan vaalikelpoisuutta. Jos havaitaan, ettei ehdokas puolusta Macaon peruslakia tai lupaa uskollisuutta Kiinan kansantasavallan Macaon erityishallintoalueelle, hänelle asetetaan viiden vuoden kielto asettua ehdolle vaaleissa. Tämän muutoksen myötä muiden yllyttämisestä olemaan äänestämättä, tyhjän äänen antamisesta ja oman äänen pilaamisesta on tullut rikoksia, joista voidaan tuomita enintään kolmen vuoden vankeusrangaistukseen.</w:t>
      </w:r>
    </w:p>
    <w:p w14:paraId="0A57952C" w14:textId="77777777" w:rsidR="0058156F" w:rsidRPr="00EB7070" w:rsidRDefault="0058156F" w:rsidP="0058156F">
      <w:pPr>
        <w:jc w:val="both"/>
        <w:rPr>
          <w:rFonts w:ascii="Times New Roman" w:eastAsia="MS Mincho" w:hAnsi="Times New Roman" w:cs="Times New Roman"/>
          <w:noProof/>
          <w:sz w:val="24"/>
          <w:szCs w:val="24"/>
          <w:lang w:eastAsia="ja-JP"/>
        </w:rPr>
      </w:pPr>
    </w:p>
    <w:p w14:paraId="5D025DB3" w14:textId="34B9EF9D" w:rsidR="0058156F" w:rsidRPr="00EB7070" w:rsidRDefault="0058156F" w:rsidP="0058156F">
      <w:pPr>
        <w:jc w:val="both"/>
        <w:rPr>
          <w:rFonts w:ascii="Times New Roman" w:eastAsia="MS Mincho" w:hAnsi="Times New Roman" w:cs="Times New Roman"/>
          <w:noProof/>
          <w:sz w:val="24"/>
          <w:szCs w:val="24"/>
        </w:rPr>
      </w:pPr>
      <w:r>
        <w:rPr>
          <w:rFonts w:ascii="Times New Roman" w:hAnsi="Times New Roman"/>
          <w:noProof/>
          <w:sz w:val="24"/>
        </w:rPr>
        <w:t>Virkamiesten valan vannomista koskevan lain nro 4/1999 muutos hyväksyttiin 21. toukokuuta, ja siinä edellytetään, että hallintojohtajan vaalikomitean jäsenet vannovat valan ja lupaavat puolustaa Macaon peruslakia ja olla uskollisia Macaon erityishallintoalueelle. Samalla siinä todetaan, että vala on vannottava vilpittömästi ja juhlallisesti.</w:t>
      </w:r>
    </w:p>
    <w:p w14:paraId="3ED17604" w14:textId="77777777" w:rsidR="0058156F" w:rsidRPr="00EB7070" w:rsidRDefault="0058156F" w:rsidP="0058156F">
      <w:pPr>
        <w:jc w:val="both"/>
        <w:rPr>
          <w:rFonts w:ascii="Times New Roman" w:eastAsia="MS Mincho" w:hAnsi="Times New Roman" w:cs="Times New Roman"/>
          <w:noProof/>
          <w:sz w:val="24"/>
          <w:szCs w:val="24"/>
          <w:lang w:eastAsia="ja-JP"/>
        </w:rPr>
      </w:pPr>
    </w:p>
    <w:p w14:paraId="04A95711" w14:textId="596D7DAB" w:rsidR="0058156F" w:rsidRPr="00EB7070" w:rsidRDefault="00EB7070" w:rsidP="0058156F">
      <w:pPr>
        <w:jc w:val="both"/>
        <w:rPr>
          <w:rFonts w:ascii="Times New Roman" w:eastAsiaTheme="minorEastAsia" w:hAnsi="Times New Roman" w:cs="Times New Roman"/>
          <w:bCs/>
          <w:noProof/>
          <w:sz w:val="24"/>
          <w:szCs w:val="24"/>
        </w:rPr>
      </w:pPr>
      <w:r>
        <w:rPr>
          <w:rFonts w:ascii="Times New Roman" w:hAnsi="Times New Roman"/>
          <w:noProof/>
          <w:sz w:val="24"/>
        </w:rPr>
        <w:t>Koulutus- ja nuorisotoimisto otti syyskuussa käyttöön kansallista turvallisuutta koskevaa opetusmateriaalia, joka on tarkoitettu kaikille koulutustasoille esikoulusta korkeakoulutukseen.</w:t>
      </w:r>
    </w:p>
    <w:p w14:paraId="6F7DD1F5" w14:textId="77777777" w:rsidR="00803F3E" w:rsidRPr="00EB7070" w:rsidRDefault="00803F3E" w:rsidP="003A5321">
      <w:pPr>
        <w:jc w:val="both"/>
        <w:rPr>
          <w:rFonts w:ascii="Times New Roman" w:eastAsia="MS Mincho" w:hAnsi="Times New Roman" w:cs="Times New Roman"/>
          <w:noProof/>
          <w:sz w:val="24"/>
          <w:szCs w:val="24"/>
          <w:lang w:eastAsia="ja-JP"/>
        </w:rPr>
      </w:pPr>
    </w:p>
    <w:p w14:paraId="48EC9957" w14:textId="72231343" w:rsidR="008E58EF" w:rsidRPr="00EB7070" w:rsidRDefault="008E58EF" w:rsidP="003A5321">
      <w:pPr>
        <w:ind w:left="720"/>
        <w:jc w:val="both"/>
        <w:rPr>
          <w:rFonts w:ascii="Times New Roman" w:eastAsia="MS Mincho" w:hAnsi="Times New Roman" w:cs="Times New Roman"/>
          <w:b/>
          <w:noProof/>
          <w:sz w:val="24"/>
          <w:szCs w:val="24"/>
        </w:rPr>
      </w:pPr>
      <w:r>
        <w:rPr>
          <w:rFonts w:ascii="Times New Roman" w:hAnsi="Times New Roman"/>
          <w:b/>
          <w:noProof/>
          <w:sz w:val="24"/>
        </w:rPr>
        <w:t>Erityishallintoalueen kuudennen kauden hallituksen muodostaminen</w:t>
      </w:r>
    </w:p>
    <w:p w14:paraId="37C389D4" w14:textId="77777777" w:rsidR="008E58EF" w:rsidRPr="00EB7070" w:rsidRDefault="008E58EF" w:rsidP="003A5321">
      <w:pPr>
        <w:ind w:left="720"/>
        <w:jc w:val="both"/>
        <w:rPr>
          <w:rFonts w:ascii="Times New Roman" w:eastAsia="MS Mincho" w:hAnsi="Times New Roman" w:cs="Times New Roman"/>
          <w:noProof/>
          <w:sz w:val="24"/>
          <w:szCs w:val="24"/>
          <w:lang w:eastAsia="ja-JP"/>
        </w:rPr>
      </w:pPr>
    </w:p>
    <w:p w14:paraId="638B6115" w14:textId="4B9B9E5A" w:rsidR="00AF6B55" w:rsidRPr="00EB7070" w:rsidRDefault="00AF6B55" w:rsidP="003A5321">
      <w:pPr>
        <w:jc w:val="both"/>
        <w:rPr>
          <w:rFonts w:ascii="Times New Roman" w:eastAsia="MS Mincho" w:hAnsi="Times New Roman" w:cs="Times New Roman"/>
          <w:noProof/>
          <w:sz w:val="24"/>
          <w:szCs w:val="24"/>
        </w:rPr>
      </w:pPr>
      <w:r>
        <w:rPr>
          <w:rFonts w:ascii="Times New Roman" w:hAnsi="Times New Roman"/>
          <w:noProof/>
          <w:sz w:val="24"/>
        </w:rPr>
        <w:t>Lainsäädäntöneuvosto hyväksyi vuonna 2023 muutoksen hallintojohtajan vaalia koskevaan lakiin N:o 3/2004. Muutoksella otettiin käyttöön muun muassa kansalliseen turvallisuuteen liittyvä ehdokkaiden taustaselvitysmenettely, jolla pyritään varmistamaan ”patriots ruling Macao” -periaatteen noudattaminen. Uusien sääntöjen mukaisesti vaalikomitean 400 jäsenestä 394 äänesti 13. lokakuuta ylimmän muutoksenhakutuomioistuimen entistä presidenttiä Sam Hou Faita, joka oli ainut ehdokas. Samista tuli erityishallintoalueen ensimmäinen Manner-Kiinassa syntynyt johtaja</w:t>
      </w:r>
      <w:r>
        <w:rPr>
          <w:rStyle w:val="FootnoteReference"/>
          <w:rFonts w:ascii="Times New Roman" w:eastAsia="MS Mincho" w:hAnsi="Times New Roman" w:cs="Times New Roman"/>
          <w:noProof/>
          <w:sz w:val="24"/>
          <w:szCs w:val="24"/>
          <w:lang w:eastAsia="ja-JP"/>
        </w:rPr>
        <w:footnoteReference w:id="1"/>
      </w:r>
      <w:r>
        <w:rPr>
          <w:rFonts w:ascii="Times New Roman" w:hAnsi="Times New Roman"/>
          <w:noProof/>
          <w:sz w:val="24"/>
        </w:rPr>
        <w:t>, mikä herätti kysymyksiä siitä, onko ”Macaon kansa hallitsee Macaota” -periaate edelleen voimassa.</w:t>
      </w:r>
    </w:p>
    <w:p w14:paraId="75183F03" w14:textId="77777777" w:rsidR="000709E7" w:rsidRPr="00EB7070" w:rsidRDefault="000709E7" w:rsidP="003A5321">
      <w:pPr>
        <w:jc w:val="both"/>
        <w:rPr>
          <w:rFonts w:ascii="Times New Roman" w:eastAsia="MS Mincho" w:hAnsi="Times New Roman" w:cs="Times New Roman"/>
          <w:noProof/>
          <w:sz w:val="24"/>
          <w:szCs w:val="24"/>
          <w:lang w:eastAsia="ja-JP"/>
        </w:rPr>
      </w:pPr>
    </w:p>
    <w:p w14:paraId="3E3654DE" w14:textId="2EFB1530" w:rsidR="00DD664A" w:rsidRPr="00EB7070" w:rsidRDefault="000709E7" w:rsidP="003A5321">
      <w:pPr>
        <w:jc w:val="both"/>
        <w:rPr>
          <w:rFonts w:ascii="Times New Roman" w:eastAsia="MS Mincho" w:hAnsi="Times New Roman" w:cs="Times New Roman"/>
          <w:noProof/>
          <w:sz w:val="24"/>
          <w:szCs w:val="24"/>
        </w:rPr>
      </w:pPr>
      <w:r>
        <w:rPr>
          <w:rFonts w:ascii="Times New Roman" w:hAnsi="Times New Roman"/>
          <w:noProof/>
          <w:sz w:val="24"/>
        </w:rPr>
        <w:t>Hallintojohtajan vaaliprosessi käynnistettiin perustamalla 400-jäseninen vaalikomitea. Sen jäsenistä 344 oli hyväksyttyjen yritysten ja yhteiskunnallisten ryhmien välillisesti valitsemia. Noin 686 600 asukkaasta äänioikeutettuja oli vain 6 265. Saatujen hakemusten määrä ylitti vuonna 2024 saatavilla olevien paikkojen määrän vain kahdella alasektorilla. Koulutuksen alasektorilla saatavilla olevia paikkoja oli 29 ja ehdokkaita 31, ja työvoiman alasektorilla ehdokkaita oli 61 ja saatavilla olevia paikkoja 59. Kaikkien ehdokkaiden oli läpäistävä uuden vaalilain mukainen tarkastusprosessi.</w:t>
      </w:r>
    </w:p>
    <w:p w14:paraId="4562AF60" w14:textId="77777777" w:rsidR="00226284" w:rsidRPr="00EB7070" w:rsidRDefault="00226284" w:rsidP="003A5321">
      <w:pPr>
        <w:jc w:val="both"/>
        <w:rPr>
          <w:rFonts w:ascii="Times New Roman" w:eastAsia="MS Mincho" w:hAnsi="Times New Roman" w:cs="Times New Roman"/>
          <w:noProof/>
          <w:sz w:val="24"/>
          <w:szCs w:val="24"/>
          <w:lang w:eastAsia="ja-JP"/>
        </w:rPr>
      </w:pPr>
    </w:p>
    <w:p w14:paraId="75EED0D6" w14:textId="00626CE1" w:rsidR="002309C4" w:rsidRPr="00EB7070" w:rsidRDefault="00226284" w:rsidP="003A5321">
      <w:pPr>
        <w:jc w:val="both"/>
        <w:rPr>
          <w:rFonts w:ascii="Times New Roman" w:eastAsia="MS Mincho" w:hAnsi="Times New Roman" w:cs="Times New Roman"/>
          <w:noProof/>
          <w:sz w:val="24"/>
          <w:szCs w:val="24"/>
        </w:rPr>
      </w:pPr>
      <w:r>
        <w:rPr>
          <w:rFonts w:ascii="Times New Roman" w:hAnsi="Times New Roman"/>
          <w:noProof/>
          <w:sz w:val="24"/>
        </w:rPr>
        <w:t>Hallintojohtajan vaalikomitean vaalit järjestettiin 11. elokuuta. Äänestysprosentti oli 88 eli vastaavanlainen kuin vuonna 2019 (87,2 prosenttia). Hyväksyttyjen 5 347 äänen lisäksi tyhjiä äänestyslippuja oli 18 ja mitätöityjä 156; yhteen äänestyslippuun oli kirjoitettu ”demokratia on kuollut”.</w:t>
      </w:r>
    </w:p>
    <w:p w14:paraId="65CE8F36" w14:textId="77777777" w:rsidR="002309C4" w:rsidRPr="00EB7070" w:rsidRDefault="002309C4" w:rsidP="003A5321">
      <w:pPr>
        <w:jc w:val="both"/>
        <w:rPr>
          <w:rFonts w:ascii="Times New Roman" w:eastAsia="MS Mincho" w:hAnsi="Times New Roman" w:cs="Times New Roman"/>
          <w:noProof/>
          <w:sz w:val="24"/>
          <w:szCs w:val="24"/>
          <w:lang w:eastAsia="ja-JP"/>
        </w:rPr>
      </w:pPr>
    </w:p>
    <w:p w14:paraId="4058F2FE" w14:textId="13770623" w:rsidR="00C40ADE" w:rsidRPr="00EB7070" w:rsidRDefault="00C40ADE" w:rsidP="003A5321">
      <w:pPr>
        <w:jc w:val="both"/>
        <w:rPr>
          <w:rFonts w:ascii="Times New Roman" w:eastAsia="MS Mincho" w:hAnsi="Times New Roman" w:cs="Times New Roman"/>
          <w:noProof/>
          <w:sz w:val="24"/>
          <w:szCs w:val="24"/>
        </w:rPr>
      </w:pPr>
      <w:r>
        <w:rPr>
          <w:rFonts w:ascii="Times New Roman" w:hAnsi="Times New Roman"/>
          <w:noProof/>
          <w:sz w:val="24"/>
        </w:rPr>
        <w:t>Elokuun 21. päivänä silloinen hallintojohtaja Ho Iat Seng ilmoitti päätöksestään olla asettumatta uudelleen ehdolle tehtävään terveydellisistä syistä. Hosta tuli ensimmäinen Macaon hallintojohtaja, joka ei asettunut uudelleen ehdolle ensimmäisen viisivuotiskautensa päätyttyä.</w:t>
      </w:r>
    </w:p>
    <w:p w14:paraId="2F6ED516" w14:textId="77777777" w:rsidR="009C3F09" w:rsidRPr="00EB7070" w:rsidRDefault="009C3F09" w:rsidP="003A5321">
      <w:pPr>
        <w:jc w:val="both"/>
        <w:rPr>
          <w:rFonts w:ascii="Times New Roman" w:eastAsia="MS Mincho" w:hAnsi="Times New Roman" w:cs="Times New Roman"/>
          <w:noProof/>
          <w:sz w:val="24"/>
          <w:szCs w:val="24"/>
          <w:lang w:eastAsia="ja-JP"/>
        </w:rPr>
      </w:pPr>
    </w:p>
    <w:p w14:paraId="49F18C87" w14:textId="2A49B533" w:rsidR="007F052A" w:rsidRPr="00EB7070" w:rsidRDefault="00813F79" w:rsidP="003A5321">
      <w:pPr>
        <w:jc w:val="both"/>
        <w:rPr>
          <w:rFonts w:ascii="Times New Roman" w:eastAsia="MS Mincho" w:hAnsi="Times New Roman" w:cs="Times New Roman"/>
          <w:noProof/>
          <w:sz w:val="24"/>
          <w:szCs w:val="24"/>
        </w:rPr>
      </w:pPr>
      <w:r>
        <w:rPr>
          <w:rFonts w:ascii="Times New Roman" w:hAnsi="Times New Roman"/>
          <w:noProof/>
          <w:sz w:val="24"/>
        </w:rPr>
        <w:t>Sam Huo Fai, joka oli eronnut ylimmän muutoksenhakutuomioistuimen presidentin virasta 26. elokuuta, ilmoitti 28. elokuuta aikeestaan asettua ehdolle Macaon korkeimpaan virkaan. Vaikka Sam on syntynyt Manner-Kiinassa Zhongshanin kaupungissa, hän korosti yhteyttään Macaoon, jossa hän on asunut lähes 40 vuotta.</w:t>
      </w:r>
    </w:p>
    <w:p w14:paraId="52A8E139" w14:textId="77777777" w:rsidR="009C3F09" w:rsidRPr="00EB7070" w:rsidRDefault="009C3F09" w:rsidP="003A5321">
      <w:pPr>
        <w:jc w:val="both"/>
        <w:rPr>
          <w:rFonts w:ascii="Times New Roman" w:eastAsia="MS Mincho" w:hAnsi="Times New Roman" w:cs="Times New Roman"/>
          <w:noProof/>
          <w:sz w:val="24"/>
          <w:szCs w:val="24"/>
          <w:lang w:eastAsia="ja-JP"/>
        </w:rPr>
      </w:pPr>
    </w:p>
    <w:p w14:paraId="33D51ACE" w14:textId="025F43B7" w:rsidR="007F052A" w:rsidRPr="00EB7070" w:rsidRDefault="00813F79" w:rsidP="003A5321">
      <w:pPr>
        <w:jc w:val="both"/>
        <w:rPr>
          <w:rFonts w:ascii="Times New Roman" w:eastAsia="MS Mincho" w:hAnsi="Times New Roman" w:cs="Times New Roman"/>
          <w:noProof/>
          <w:sz w:val="24"/>
          <w:szCs w:val="24"/>
        </w:rPr>
      </w:pPr>
      <w:r>
        <w:rPr>
          <w:rFonts w:ascii="Times New Roman" w:hAnsi="Times New Roman"/>
          <w:noProof/>
          <w:sz w:val="24"/>
        </w:rPr>
        <w:t>Viisitoista päivää kestävä ehdokasasettelu alkoi 29. elokuuta. Vaikka 11 henkilöä pyysi nimityslomakkeita asettuakseen ehdolle hallintojohtajan vaaleissa, vain Sam ylitti vaaditun 66 nimitysehdotuksen rajan. Sam sai 12. syyskuuta 386 nimitystä, mikä vahvisti hänen asemansa vaalien ainoana ehdokkaana</w:t>
      </w:r>
      <w:r>
        <w:rPr>
          <w:rStyle w:val="FootnoteReference"/>
          <w:rFonts w:ascii="Times New Roman" w:eastAsia="MS Mincho" w:hAnsi="Times New Roman" w:cs="Times New Roman"/>
          <w:noProof/>
          <w:sz w:val="24"/>
          <w:szCs w:val="24"/>
          <w:lang w:eastAsia="ja-JP"/>
        </w:rPr>
        <w:footnoteReference w:id="2"/>
      </w:r>
      <w:r>
        <w:rPr>
          <w:rFonts w:ascii="Times New Roman" w:hAnsi="Times New Roman"/>
          <w:noProof/>
          <w:sz w:val="24"/>
        </w:rPr>
        <w:t>. Vaalilautakunta vahvisti 18. syyskuuta, että Sam läpäisi kansalliseen turvallisuuteen liittyvän tarkastuksen.</w:t>
      </w:r>
    </w:p>
    <w:p w14:paraId="1172152C" w14:textId="77777777" w:rsidR="007F052A" w:rsidRPr="00EB7070" w:rsidRDefault="007F052A" w:rsidP="003A5321">
      <w:pPr>
        <w:jc w:val="both"/>
        <w:rPr>
          <w:rFonts w:ascii="Times New Roman" w:eastAsia="MS Mincho" w:hAnsi="Times New Roman" w:cs="Times New Roman"/>
          <w:noProof/>
          <w:sz w:val="24"/>
          <w:szCs w:val="24"/>
          <w:lang w:eastAsia="ja-JP"/>
        </w:rPr>
      </w:pPr>
    </w:p>
    <w:p w14:paraId="60A305A2" w14:textId="09DCCE90" w:rsidR="00084872" w:rsidRPr="00EB7070" w:rsidRDefault="00924F2D" w:rsidP="003A5321">
      <w:pPr>
        <w:jc w:val="both"/>
        <w:rPr>
          <w:rFonts w:ascii="Times New Roman" w:eastAsia="MS Mincho" w:hAnsi="Times New Roman" w:cs="Times New Roman"/>
          <w:noProof/>
          <w:sz w:val="24"/>
          <w:szCs w:val="24"/>
        </w:rPr>
      </w:pPr>
      <w:r>
        <w:rPr>
          <w:rFonts w:ascii="Times New Roman" w:hAnsi="Times New Roman"/>
          <w:noProof/>
          <w:sz w:val="24"/>
        </w:rPr>
        <w:t>Sam sai 13. lokakuuta 394 ääntä 400:sta, mikä on kaikkien aikojen korkein tulos Macaon hallintojohtajan vaaleissa.</w:t>
      </w:r>
    </w:p>
    <w:p w14:paraId="691C1115" w14:textId="77777777" w:rsidR="00084872" w:rsidRPr="00EB7070" w:rsidRDefault="00084872" w:rsidP="003A5321">
      <w:pPr>
        <w:jc w:val="both"/>
        <w:rPr>
          <w:rFonts w:ascii="Times New Roman" w:eastAsia="MS Mincho" w:hAnsi="Times New Roman" w:cs="Times New Roman"/>
          <w:noProof/>
          <w:sz w:val="24"/>
          <w:szCs w:val="24"/>
          <w:lang w:eastAsia="ja-JP"/>
        </w:rPr>
      </w:pPr>
    </w:p>
    <w:p w14:paraId="74C84EC8" w14:textId="24F74046" w:rsidR="0068609E" w:rsidRPr="00EB7070" w:rsidRDefault="00084872" w:rsidP="003A5321">
      <w:pPr>
        <w:jc w:val="both"/>
        <w:rPr>
          <w:rFonts w:ascii="Times New Roman" w:eastAsiaTheme="minorEastAsia" w:hAnsi="Times New Roman" w:cs="Times New Roman"/>
          <w:noProof/>
          <w:sz w:val="24"/>
          <w:szCs w:val="24"/>
        </w:rPr>
      </w:pPr>
      <w:r>
        <w:rPr>
          <w:rFonts w:ascii="Times New Roman" w:hAnsi="Times New Roman"/>
          <w:noProof/>
          <w:sz w:val="24"/>
        </w:rPr>
        <w:t>Pekingin valtioneuvosto päätti 25. lokakuuta nimittää Samin Macaon erityishallintoalueen kuudennen kauden hallituksen hallintojohtajaksi. Sam vieraili Pekingissä 31. lokakuuta – 2. marraskuuta vastaanottamassa nimityksensä keskushallinnolta. Hän tapasi Kiinan presidentin Xi Jinpingin ja pääministeri Li Qiangin 1. marraskuuta.</w:t>
      </w:r>
    </w:p>
    <w:p w14:paraId="43834E09" w14:textId="77777777" w:rsidR="00084872" w:rsidRPr="00EB7070" w:rsidRDefault="00084872" w:rsidP="003A5321">
      <w:pPr>
        <w:jc w:val="both"/>
        <w:rPr>
          <w:rFonts w:ascii="Times New Roman" w:eastAsia="MS Mincho" w:hAnsi="Times New Roman" w:cs="Times New Roman"/>
          <w:noProof/>
          <w:sz w:val="24"/>
          <w:szCs w:val="24"/>
          <w:lang w:eastAsia="ja-JP"/>
        </w:rPr>
      </w:pPr>
    </w:p>
    <w:p w14:paraId="1F558105" w14:textId="0D4F8BA5" w:rsidR="00FA1889" w:rsidRPr="00EB7070" w:rsidRDefault="00BE143B" w:rsidP="003A5321">
      <w:pPr>
        <w:jc w:val="both"/>
        <w:rPr>
          <w:rFonts w:ascii="Times New Roman" w:eastAsia="MS Mincho" w:hAnsi="Times New Roman" w:cs="Times New Roman"/>
          <w:noProof/>
          <w:sz w:val="24"/>
          <w:szCs w:val="24"/>
        </w:rPr>
      </w:pPr>
      <w:r>
        <w:rPr>
          <w:rFonts w:ascii="Times New Roman" w:hAnsi="Times New Roman"/>
          <w:noProof/>
          <w:sz w:val="24"/>
        </w:rPr>
        <w:t>Keskushallinto nimitti 30. marraskuuta hallituksen päävirkamiehet juuri nimitetyn hallintojohtajan esityksen perusteella. Viiden tärkeimmän valtiosihteerin joukossa oli kaksi edellisen hallinnon palveluksessa ollutta valtiosihteeriä eli hallinto- ja oikeusasioista vastaava valtiosihteeri ja turvallisuusasioista vastaava valtiosihteeri.</w:t>
      </w:r>
    </w:p>
    <w:p w14:paraId="2E4356D0" w14:textId="77777777" w:rsidR="00FA1889" w:rsidRPr="00EB7070" w:rsidRDefault="00FA1889" w:rsidP="003A5321">
      <w:pPr>
        <w:jc w:val="both"/>
        <w:rPr>
          <w:rFonts w:ascii="Times New Roman" w:eastAsia="MS Mincho" w:hAnsi="Times New Roman" w:cs="Times New Roman"/>
          <w:noProof/>
          <w:sz w:val="24"/>
          <w:szCs w:val="24"/>
          <w:lang w:eastAsia="ja-JP"/>
        </w:rPr>
      </w:pPr>
    </w:p>
    <w:p w14:paraId="686633AA" w14:textId="0864026B" w:rsidR="00FA1889" w:rsidRPr="00EB7070" w:rsidRDefault="00FA1889" w:rsidP="003A5321">
      <w:pPr>
        <w:jc w:val="both"/>
        <w:rPr>
          <w:rFonts w:ascii="Times New Roman" w:eastAsia="MS Mincho" w:hAnsi="Times New Roman" w:cs="Times New Roman"/>
          <w:noProof/>
          <w:sz w:val="24"/>
          <w:szCs w:val="24"/>
        </w:rPr>
      </w:pPr>
      <w:r>
        <w:rPr>
          <w:rFonts w:ascii="Times New Roman" w:hAnsi="Times New Roman"/>
          <w:noProof/>
          <w:sz w:val="24"/>
        </w:rPr>
        <w:t>Nimitetty hallintojohtaja ilmoitti 13. joulukuuta hallintoneuvoston kokoonpanon, johon kuului muun muassa yksi portugalilaistaustainen macaolainen.</w:t>
      </w:r>
    </w:p>
    <w:p w14:paraId="33D8F340" w14:textId="77777777" w:rsidR="0062506B" w:rsidRPr="00EB7070" w:rsidRDefault="0062506B" w:rsidP="003A5321">
      <w:pPr>
        <w:jc w:val="both"/>
        <w:rPr>
          <w:rFonts w:ascii="Times New Roman" w:eastAsia="MS Mincho" w:hAnsi="Times New Roman" w:cs="Times New Roman"/>
          <w:noProof/>
          <w:sz w:val="24"/>
          <w:szCs w:val="24"/>
          <w:lang w:eastAsia="ja-JP"/>
        </w:rPr>
      </w:pPr>
    </w:p>
    <w:p w14:paraId="24F8A6B5" w14:textId="69D606CB" w:rsidR="008E58EF" w:rsidRPr="00EB7070" w:rsidRDefault="0062506B" w:rsidP="003A5321">
      <w:pPr>
        <w:jc w:val="both"/>
        <w:rPr>
          <w:rFonts w:ascii="Times New Roman" w:eastAsia="MS Mincho" w:hAnsi="Times New Roman" w:cs="Times New Roman"/>
          <w:noProof/>
          <w:sz w:val="24"/>
          <w:szCs w:val="24"/>
        </w:rPr>
      </w:pPr>
      <w:r>
        <w:rPr>
          <w:rFonts w:ascii="Times New Roman" w:hAnsi="Times New Roman"/>
          <w:noProof/>
          <w:sz w:val="24"/>
        </w:rPr>
        <w:t>Kiinan presidentti Xi Jinping vieraili 20. joulukuuta Macaossa, kun erityishallintoalueen uusi hallintojohtaja ja päävirkamiehet vannoivat valansa. Vierailun yhteydessä juhlittiin Macaon Portugalilta Kiinan kansantasavallalle palautumisen 25-vuotispäivää. EU:n toimiston päällikkö sekä muut EU:n edustuston päälliköt / pääkonsulit kutsuttiin tilaisuuteen, ja he osallistuivat siihen. Presidentti Xi korosti ”yksi maa, kaksi järjestelmää” -periaatteen etuja, talouden monipuolistamisen tarvetta, Guangdongin, Hongkongin ja Macaon suuralueen (Greater Bay Area) kehittämistä (ja Hengqinin erityistalousalueen merkitystä) sekä painotti Macaon ainutlaatuista roolia Kiinan ja portugalinkielisten maiden välisen yhteistyön ja vaihdon edistämisessä ja uusi silkkitie -aloitteessa.</w:t>
      </w:r>
    </w:p>
    <w:p w14:paraId="72203A07" w14:textId="77777777" w:rsidR="000A2E71" w:rsidRPr="00EB7070" w:rsidRDefault="000A2E71" w:rsidP="003A5321">
      <w:pPr>
        <w:jc w:val="both"/>
        <w:rPr>
          <w:rFonts w:ascii="Times New Roman" w:eastAsia="MS Mincho" w:hAnsi="Times New Roman" w:cs="Times New Roman"/>
          <w:noProof/>
          <w:sz w:val="24"/>
          <w:szCs w:val="24"/>
          <w:lang w:eastAsia="ja-JP"/>
        </w:rPr>
      </w:pPr>
    </w:p>
    <w:p w14:paraId="595F1B4C" w14:textId="79F76385" w:rsidR="00DA3A0C" w:rsidRPr="00EB7070" w:rsidRDefault="00DA3A0C" w:rsidP="003A5321">
      <w:pPr>
        <w:jc w:val="both"/>
        <w:rPr>
          <w:rFonts w:ascii="Times New Roman" w:eastAsia="MS Mincho" w:hAnsi="Times New Roman" w:cs="Times New Roman"/>
          <w:noProof/>
          <w:sz w:val="24"/>
          <w:szCs w:val="24"/>
        </w:rPr>
      </w:pPr>
      <w:r>
        <w:rPr>
          <w:rFonts w:ascii="Times New Roman" w:hAnsi="Times New Roman"/>
          <w:noProof/>
          <w:sz w:val="24"/>
        </w:rPr>
        <w:t>Virkavalansa juuri vannonut hallintojohtaja johti 24. joulukuuta kolmen virkamiehen valtuuskuntaa, joka teki päivämatkan Guangzhouhun tapaamaan Guangdongin maakunnan johtajia. Tavoitteena oli vahvistaa yhteistyötä Macaon ja sen Manner-Kiinan puolella sijaitsevan naapurimaakunnan välillä.</w:t>
      </w:r>
    </w:p>
    <w:p w14:paraId="30A71D15" w14:textId="77777777" w:rsidR="00063BBD" w:rsidRPr="00EB7070" w:rsidRDefault="00063BBD" w:rsidP="003A5321">
      <w:pPr>
        <w:jc w:val="both"/>
        <w:rPr>
          <w:rFonts w:ascii="Times New Roman" w:eastAsia="Times New Roman" w:hAnsi="Times New Roman" w:cs="Times New Roman"/>
          <w:noProof/>
          <w:sz w:val="24"/>
          <w:szCs w:val="24"/>
        </w:rPr>
      </w:pPr>
    </w:p>
    <w:p w14:paraId="16138CBE" w14:textId="3C72FC2D" w:rsidR="00C279C0" w:rsidRPr="00EB7070" w:rsidRDefault="00C279C0" w:rsidP="003A5321">
      <w:pPr>
        <w:ind w:firstLine="720"/>
        <w:jc w:val="both"/>
        <w:rPr>
          <w:rFonts w:ascii="Times New Roman" w:hAnsi="Times New Roman" w:cs="Times New Roman"/>
          <w:b/>
          <w:noProof/>
          <w:sz w:val="24"/>
          <w:szCs w:val="24"/>
        </w:rPr>
      </w:pPr>
      <w:r>
        <w:rPr>
          <w:rFonts w:ascii="Times New Roman" w:hAnsi="Times New Roman"/>
          <w:b/>
          <w:noProof/>
          <w:sz w:val="24"/>
        </w:rPr>
        <w:t>Oikeudet, vapaudet ja yhtäläiset mahdollisuudet</w:t>
      </w:r>
    </w:p>
    <w:p w14:paraId="070B0DE6" w14:textId="77777777" w:rsidR="00242644" w:rsidRPr="00EB7070" w:rsidRDefault="00242644" w:rsidP="003A5321">
      <w:pPr>
        <w:jc w:val="both"/>
        <w:rPr>
          <w:rFonts w:ascii="Times New Roman" w:eastAsia="Times New Roman" w:hAnsi="Times New Roman" w:cs="Times New Roman"/>
          <w:noProof/>
          <w:sz w:val="24"/>
          <w:szCs w:val="24"/>
          <w:highlight w:val="red"/>
        </w:rPr>
      </w:pPr>
    </w:p>
    <w:p w14:paraId="4E20DEDC" w14:textId="5834730F" w:rsidR="00A919E5" w:rsidRPr="00EB7070" w:rsidRDefault="00A919E5" w:rsidP="00DF7FA1">
      <w:pPr>
        <w:jc w:val="both"/>
        <w:rPr>
          <w:rFonts w:ascii="Times New Roman" w:eastAsia="MS Mincho" w:hAnsi="Times New Roman" w:cs="Times New Roman"/>
          <w:noProof/>
          <w:sz w:val="24"/>
          <w:szCs w:val="24"/>
        </w:rPr>
      </w:pPr>
      <w:r>
        <w:rPr>
          <w:rFonts w:ascii="Times New Roman" w:hAnsi="Times New Roman"/>
          <w:noProof/>
          <w:sz w:val="24"/>
        </w:rPr>
        <w:t>Yhdistyneiden kansakuntien ihmisoikeusneuvoston Kiinaa ja Macaota käsittelevän yleisen määräaikaisarvioinnin työryhmän kokous pidettiin 23. tammikuuta. Yhdysvallat ja Venäjä esittivät ennen kokousta Macaoon liittyviä huomautuksia ja tiedustelivat, oliko Macao noudattanut YK:n elinten suosituksia edellisen yleisen määräaikaisarvioinnin jälkeen.</w:t>
      </w:r>
    </w:p>
    <w:p w14:paraId="5E128180" w14:textId="77777777" w:rsidR="00A919E5" w:rsidRPr="00EB7070" w:rsidRDefault="00A919E5" w:rsidP="003A5321">
      <w:pPr>
        <w:jc w:val="both"/>
        <w:rPr>
          <w:rFonts w:ascii="Times New Roman" w:eastAsia="MS Mincho" w:hAnsi="Times New Roman" w:cs="Times New Roman"/>
          <w:noProof/>
          <w:sz w:val="24"/>
          <w:szCs w:val="24"/>
          <w:lang w:eastAsia="ja-JP"/>
        </w:rPr>
      </w:pPr>
    </w:p>
    <w:p w14:paraId="06FEF4B4" w14:textId="1A55DCA9" w:rsidR="00A919E5" w:rsidRPr="00EB7070" w:rsidRDefault="00A919E5" w:rsidP="003A5321">
      <w:pPr>
        <w:jc w:val="both"/>
        <w:rPr>
          <w:rFonts w:ascii="Times New Roman" w:eastAsia="MS Mincho" w:hAnsi="Times New Roman" w:cs="Times New Roman"/>
          <w:noProof/>
          <w:sz w:val="24"/>
          <w:szCs w:val="24"/>
        </w:rPr>
      </w:pPr>
      <w:r>
        <w:rPr>
          <w:rFonts w:ascii="Times New Roman" w:hAnsi="Times New Roman"/>
          <w:noProof/>
          <w:sz w:val="24"/>
        </w:rPr>
        <w:t>Ihmisoikeusneuvosto julkaisi 31. toukokuuta Kiinan näkemykset päätelmistä ja suosituksista. Kolme maata antoi kolme Macaoon liittyvää ihmisoikeussuositusta, mutta Kiina hyväksyi vain Eritrean antaman suosituksen, jossa vaadittiin jatkamaan Macaon asukkaiden oikeuksien edistämistä ja turvaamista kaikkien paikallisten lakien mukaisesti. Peking totesi, että Burundin suositus avun antamisesta Macaolle, jotta se voisi toteuttaa tehokkaampia toimenpiteitä asukkaiden hyvinvoinnin edistämiseksi asumisen, työllisyyden ja terveydenhuollon aloilla, on hyväksytty ja pannaan täytäntöön. Kiina hylkäsi Yhdysvaltojen suosituksen lopettaa naisiin, hlbtiq+-henkilöihin, työntekijöihin ja siirtotyöläisiin kohdistuvat tukahduttamistoimet ja totesi suosituksen perustuvan vääriin tietoihin.</w:t>
      </w:r>
    </w:p>
    <w:p w14:paraId="7DFE51C3" w14:textId="77777777" w:rsidR="00A919E5" w:rsidRPr="00EB7070" w:rsidRDefault="00A919E5" w:rsidP="003A5321">
      <w:pPr>
        <w:jc w:val="both"/>
        <w:rPr>
          <w:rFonts w:ascii="Times New Roman" w:eastAsia="MS Mincho" w:hAnsi="Times New Roman" w:cs="Times New Roman"/>
          <w:noProof/>
          <w:sz w:val="24"/>
          <w:szCs w:val="24"/>
          <w:lang w:eastAsia="ja-JP"/>
        </w:rPr>
      </w:pPr>
    </w:p>
    <w:p w14:paraId="2093A4C5" w14:textId="58B618C5" w:rsidR="00A919E5" w:rsidRPr="00EB7070" w:rsidRDefault="00A919E5" w:rsidP="003A5321">
      <w:pPr>
        <w:jc w:val="both"/>
        <w:rPr>
          <w:rFonts w:ascii="Times New Roman" w:eastAsia="MS Mincho" w:hAnsi="Times New Roman" w:cs="Times New Roman"/>
          <w:noProof/>
          <w:sz w:val="24"/>
          <w:szCs w:val="24"/>
        </w:rPr>
      </w:pPr>
      <w:r>
        <w:rPr>
          <w:rFonts w:ascii="Times New Roman" w:hAnsi="Times New Roman"/>
          <w:noProof/>
          <w:sz w:val="24"/>
        </w:rPr>
        <w:t>Oikeudellisten asioiden toimisto kehotti 5. elokuuta kaikkia yhteiskunnan sektoreita ja yhteiskunnallisia järjestöjä toimittamaan kannanottoja, kun Kiina valmistautui kaikkinaisen rotusyrjinnän poistamista koskevaan kansainväliseen yleissopimukseen liittyvään YK:n raportointiprosessiin. Uudelleentarkastelu kattaa ajanjakson 1. tammikuuta 2017 – 31. joulukuuta 2023. Paikalliset tiedotusvälineet totesivat, että tämä on todennäköisesti ensimmäinen kerta, kun hallitus on pyytänyt Macaon yhteiskuntaa osallistumaan kansainvälisen sopimuksen uudelleentarkasteluun.</w:t>
      </w:r>
    </w:p>
    <w:p w14:paraId="5B24E804" w14:textId="77777777" w:rsidR="00A919E5" w:rsidRPr="00EB7070" w:rsidRDefault="00A919E5" w:rsidP="003A5321">
      <w:pPr>
        <w:jc w:val="both"/>
        <w:rPr>
          <w:rFonts w:ascii="Times New Roman" w:eastAsia="MS Mincho" w:hAnsi="Times New Roman" w:cs="Times New Roman"/>
          <w:b/>
          <w:noProof/>
          <w:sz w:val="24"/>
          <w:szCs w:val="24"/>
          <w:lang w:eastAsia="ja-JP"/>
        </w:rPr>
      </w:pPr>
    </w:p>
    <w:p w14:paraId="31E5C21D" w14:textId="780A3B55" w:rsidR="00A919E5" w:rsidRPr="00EB7070" w:rsidRDefault="0002032F" w:rsidP="003A5321">
      <w:pPr>
        <w:jc w:val="both"/>
        <w:rPr>
          <w:rFonts w:ascii="Times New Roman" w:eastAsia="MS Mincho" w:hAnsi="Times New Roman" w:cs="Times New Roman"/>
          <w:noProof/>
          <w:sz w:val="24"/>
          <w:szCs w:val="24"/>
        </w:rPr>
      </w:pPr>
      <w:r>
        <w:rPr>
          <w:rFonts w:ascii="Times New Roman" w:hAnsi="Times New Roman"/>
          <w:b/>
          <w:noProof/>
          <w:sz w:val="24"/>
        </w:rPr>
        <w:t>Työntekijöiden oikeuksien osalta</w:t>
      </w:r>
      <w:r>
        <w:rPr>
          <w:rFonts w:ascii="Times New Roman" w:hAnsi="Times New Roman"/>
          <w:noProof/>
          <w:sz w:val="24"/>
        </w:rPr>
        <w:t xml:space="preserve"> lainsäädäntöneuvosto hyväksyi hallituksen ehdottaman ammattiyhdistyslain 12. huhtikuuta.</w:t>
      </w:r>
      <w:r>
        <w:rPr>
          <w:rStyle w:val="FootnoteReference"/>
          <w:noProof/>
        </w:rPr>
        <w:footnoteReference w:id="3"/>
      </w:r>
      <w:r>
        <w:rPr>
          <w:rFonts w:ascii="Times New Roman" w:hAnsi="Times New Roman"/>
          <w:noProof/>
          <w:sz w:val="24"/>
        </w:rPr>
        <w:t xml:space="preserve"> Ammattiyhdistysten rekisteröintiä on mahdollista hakea 1. tammikuuta 2025 alkaen. Kaksi lainsäätäjää, jotka äänestivät tyhjää, väitti, että lakiehdotuksessa ei ollut onnistuttu suojelemaan työehtosopimusneuvotteluihin liittyviä oikeuksia eikä siinä otettu kaikilta osin huomioon Macaon peruslain 27 §:ssä</w:t>
      </w:r>
      <w:r>
        <w:rPr>
          <w:rStyle w:val="FootnoteReference"/>
          <w:noProof/>
        </w:rPr>
        <w:footnoteReference w:id="4"/>
      </w:r>
      <w:r>
        <w:rPr>
          <w:rFonts w:ascii="Times New Roman" w:hAnsi="Times New Roman"/>
          <w:noProof/>
          <w:sz w:val="24"/>
        </w:rPr>
        <w:t xml:space="preserve"> vahvistettuja oikeuksia.</w:t>
      </w:r>
    </w:p>
    <w:p w14:paraId="56549226" w14:textId="77777777" w:rsidR="00A919E5" w:rsidRPr="00EB7070" w:rsidRDefault="00A919E5" w:rsidP="003A5321">
      <w:pPr>
        <w:jc w:val="both"/>
        <w:rPr>
          <w:rFonts w:ascii="Times New Roman" w:eastAsia="MS Mincho" w:hAnsi="Times New Roman" w:cs="Times New Roman"/>
          <w:noProof/>
          <w:sz w:val="24"/>
          <w:szCs w:val="24"/>
          <w:lang w:eastAsia="ja-JP"/>
        </w:rPr>
      </w:pPr>
    </w:p>
    <w:p w14:paraId="05779DD1" w14:textId="2AF76907" w:rsidR="00A919E5" w:rsidRPr="00EB7070" w:rsidRDefault="00A919E5" w:rsidP="003A5321">
      <w:pPr>
        <w:jc w:val="both"/>
        <w:rPr>
          <w:rFonts w:ascii="Times New Roman" w:eastAsia="MS Mincho" w:hAnsi="Times New Roman" w:cs="Times New Roman"/>
          <w:noProof/>
          <w:sz w:val="24"/>
          <w:szCs w:val="24"/>
        </w:rPr>
      </w:pPr>
      <w:r>
        <w:rPr>
          <w:rFonts w:ascii="Times New Roman" w:hAnsi="Times New Roman"/>
          <w:noProof/>
          <w:sz w:val="24"/>
        </w:rPr>
        <w:t>Ammattiyhdistyslain mukaan ryhmien, jotka haluavat osallistua Macaon ulkopuolisiin organisaatioihin, on saatava siihen hyväksyntä jäseniltään ja hallintojohtajalta. Laissa myös kielletään ulkomaisen lainsäädäntöelimen tai ulkomaisen hallituksen jäseniä tai henkilöitä, jotka on tuomittu yli kolmen vuoden vankeusrangaistukseen kansalliseen turvallisuuteen liittyvästä rikoksesta, ottamasta vastaan johtotehtävää ammattiyhdistyksissä.</w:t>
      </w:r>
      <w:r>
        <w:rPr>
          <w:rStyle w:val="FootnoteReference"/>
          <w:noProof/>
        </w:rPr>
        <w:footnoteReference w:id="5"/>
      </w:r>
    </w:p>
    <w:p w14:paraId="58EDFE84" w14:textId="77777777" w:rsidR="00A919E5" w:rsidRPr="00EB7070" w:rsidRDefault="00A919E5" w:rsidP="003A5321">
      <w:pPr>
        <w:jc w:val="both"/>
        <w:rPr>
          <w:rFonts w:ascii="Times New Roman" w:eastAsia="MS Mincho" w:hAnsi="Times New Roman" w:cs="Times New Roman"/>
          <w:noProof/>
          <w:sz w:val="24"/>
          <w:szCs w:val="24"/>
          <w:lang w:eastAsia="ja-JP"/>
        </w:rPr>
      </w:pPr>
    </w:p>
    <w:p w14:paraId="3D49F282" w14:textId="487AC8C0" w:rsidR="00A919E5" w:rsidRPr="00EB7070" w:rsidRDefault="00A919E5" w:rsidP="003A5321">
      <w:pPr>
        <w:jc w:val="both"/>
        <w:rPr>
          <w:rFonts w:ascii="Times New Roman" w:eastAsia="MS Mincho" w:hAnsi="Times New Roman" w:cs="Times New Roman"/>
          <w:noProof/>
          <w:sz w:val="24"/>
          <w:szCs w:val="24"/>
        </w:rPr>
      </w:pPr>
      <w:r>
        <w:rPr>
          <w:rFonts w:ascii="Times New Roman" w:hAnsi="Times New Roman"/>
          <w:b/>
          <w:noProof/>
          <w:sz w:val="24"/>
        </w:rPr>
        <w:t>Kokoontumisvapauteen</w:t>
      </w:r>
      <w:r>
        <w:rPr>
          <w:rFonts w:ascii="Times New Roman" w:hAnsi="Times New Roman"/>
          <w:noProof/>
          <w:sz w:val="24"/>
        </w:rPr>
        <w:t xml:space="preserve"> kohdistui edelleen paineita. Taivaallisen rauhan aukiolla vuonna 1989 tapahtuneen verilöylyn 35-vuotispäivää ei muistettu julkisesti. Kyseessä oli neljäs perättäinen vuosi, jolloin muistotilaisuutta ei järjestetty. Samaan aikaan eräs muistotilaisuuden aiemmista järjestäjistä, demokratiaa puoltava entinen lainsäätäjä, paljasti 29. kesäkuuta, että Macaon viikkolehti Jornal Son Pou lakkasi julkaisemasta hänen kolumniaan ”erityisten poliittisten syiden” vuoksi.</w:t>
      </w:r>
    </w:p>
    <w:p w14:paraId="58E935EC" w14:textId="77777777" w:rsidR="00A919E5" w:rsidRPr="00EB7070" w:rsidRDefault="00A919E5" w:rsidP="003A5321">
      <w:pPr>
        <w:jc w:val="both"/>
        <w:rPr>
          <w:rFonts w:ascii="Times New Roman" w:eastAsia="MS Mincho" w:hAnsi="Times New Roman" w:cs="Times New Roman"/>
          <w:noProof/>
          <w:sz w:val="24"/>
          <w:szCs w:val="24"/>
          <w:lang w:eastAsia="ja-JP"/>
        </w:rPr>
      </w:pPr>
    </w:p>
    <w:p w14:paraId="05C690A1" w14:textId="79308BB2" w:rsidR="00A919E5" w:rsidRPr="00EB7070" w:rsidRDefault="00A919E5" w:rsidP="003A5321">
      <w:pPr>
        <w:jc w:val="both"/>
        <w:rPr>
          <w:rFonts w:ascii="Times New Roman" w:eastAsia="MS Mincho" w:hAnsi="Times New Roman" w:cs="Times New Roman"/>
          <w:noProof/>
          <w:sz w:val="24"/>
          <w:szCs w:val="24"/>
        </w:rPr>
      </w:pPr>
      <w:r>
        <w:rPr>
          <w:rFonts w:ascii="Times New Roman" w:hAnsi="Times New Roman"/>
          <w:b/>
          <w:noProof/>
          <w:sz w:val="24"/>
        </w:rPr>
        <w:t>Lehdistönvapaus ja sananvapaus</w:t>
      </w:r>
      <w:r>
        <w:rPr>
          <w:rFonts w:ascii="Times New Roman" w:hAnsi="Times New Roman"/>
          <w:noProof/>
          <w:sz w:val="24"/>
        </w:rPr>
        <w:t xml:space="preserve"> olivat edelleen uhattuina. Macaon journalistiliitto antoi 7. marraskuuta lausunnon, jossa se kehotti hallitusta poistamaan tarpeettomat raportointirajoitukset. Lausunnossa todettiin, että hallitus oli rajoittanut useiden tiedotusvälineiden raportointioikeuksia toimittamalla kutsuja vain valikoiduille tiedotusvälineille. Journalistiliitto ilmoitti myös, että tiedotusvälineitä oli pyydetty poistamaan artikkeleitaan poliittisen painostuksen vuoksi useissa viimeaikaisissa tapauksissa.</w:t>
      </w:r>
    </w:p>
    <w:p w14:paraId="2DA72790" w14:textId="77777777" w:rsidR="007B67CE" w:rsidRPr="00EB7070" w:rsidRDefault="007B67CE" w:rsidP="003A5321">
      <w:pPr>
        <w:jc w:val="both"/>
        <w:rPr>
          <w:rFonts w:ascii="Times New Roman" w:eastAsia="MS Mincho" w:hAnsi="Times New Roman" w:cs="Times New Roman"/>
          <w:noProof/>
          <w:sz w:val="24"/>
          <w:szCs w:val="24"/>
          <w:lang w:eastAsia="ja-JP"/>
        </w:rPr>
      </w:pPr>
    </w:p>
    <w:p w14:paraId="00A58633" w14:textId="5B2A27DD" w:rsidR="007B67CE" w:rsidRPr="00EB7070" w:rsidRDefault="00A974BA" w:rsidP="003A5321">
      <w:pPr>
        <w:jc w:val="both"/>
        <w:rPr>
          <w:rFonts w:ascii="Times New Roman" w:eastAsia="MS Mincho" w:hAnsi="Times New Roman" w:cs="Times New Roman"/>
          <w:noProof/>
          <w:sz w:val="24"/>
          <w:szCs w:val="24"/>
        </w:rPr>
      </w:pPr>
      <w:r>
        <w:rPr>
          <w:rFonts w:ascii="Times New Roman" w:hAnsi="Times New Roman"/>
          <w:noProof/>
          <w:sz w:val="24"/>
        </w:rPr>
        <w:t>Viranomaiset vetosivat edelleen maahanmuuttosääntöihin estääkseen ei-toivottuina pidettyjen henkilöiden pääsyn alueelle. Macaon viranomaiset kielsivät 15. kesäkuuta Macaon journalistiliiton kutsuman journalismin opettajan pääsyn erityishallintoalueelle ”yleiseen turvallisuuteen liittyvistä syistä”.</w:t>
      </w:r>
    </w:p>
    <w:p w14:paraId="6919FF8F" w14:textId="77777777" w:rsidR="00A919E5" w:rsidRPr="00EB7070" w:rsidRDefault="00A919E5" w:rsidP="003A5321">
      <w:pPr>
        <w:jc w:val="both"/>
        <w:rPr>
          <w:rFonts w:ascii="Times New Roman" w:eastAsia="MS Mincho" w:hAnsi="Times New Roman" w:cs="Times New Roman"/>
          <w:noProof/>
          <w:sz w:val="24"/>
          <w:szCs w:val="24"/>
          <w:lang w:eastAsia="ja-JP"/>
        </w:rPr>
      </w:pPr>
    </w:p>
    <w:p w14:paraId="256DF129" w14:textId="7D954712" w:rsidR="00A919E5" w:rsidRPr="00EB7070" w:rsidRDefault="00591429" w:rsidP="003A5321">
      <w:pPr>
        <w:jc w:val="both"/>
        <w:rPr>
          <w:rFonts w:ascii="Times New Roman" w:eastAsia="MS Mincho" w:hAnsi="Times New Roman" w:cs="Times New Roman"/>
          <w:noProof/>
          <w:sz w:val="24"/>
          <w:szCs w:val="24"/>
        </w:rPr>
      </w:pPr>
      <w:r>
        <w:rPr>
          <w:rFonts w:ascii="Times New Roman" w:hAnsi="Times New Roman"/>
          <w:b/>
          <w:noProof/>
          <w:sz w:val="24"/>
        </w:rPr>
        <w:t xml:space="preserve">Mahdollisuudet hlbtiq+-henkilöiden oikeuksien puolustamiseen olivat edelleen rajalliset. </w:t>
      </w:r>
      <w:r>
        <w:rPr>
          <w:rFonts w:ascii="Times New Roman" w:hAnsi="Times New Roman"/>
          <w:noProof/>
          <w:sz w:val="24"/>
        </w:rPr>
        <w:t>Kulttuuriasioiden toimisto keskeytti 22. tammikuuta 22. kerran järjestetyllä Fringe-festivaalilla vuorovaikutteisen esityksen, jossa oli mukana drag-artisteja. Kolme päivää myöhemmin toimiston edustaja selitti, että päätös ohjelman peruuttamisesta johtui varsinaisen esityksen ja saatujen tietojen välisistä epäjohdonmukaisuuksista. Sama esitys esitettiin Manner-Kiinan puolella sijaitsevassa naapurikaupungissa Shenzhenissä järjestetyllä teatterifestivaalilla.</w:t>
      </w:r>
    </w:p>
    <w:p w14:paraId="05C97988" w14:textId="77777777" w:rsidR="00A919E5" w:rsidRPr="00EB7070" w:rsidRDefault="00A919E5" w:rsidP="003A5321">
      <w:pPr>
        <w:jc w:val="both"/>
        <w:rPr>
          <w:rFonts w:ascii="Times New Roman" w:eastAsia="MS Mincho" w:hAnsi="Times New Roman" w:cs="Times New Roman"/>
          <w:noProof/>
          <w:sz w:val="24"/>
          <w:szCs w:val="24"/>
          <w:lang w:eastAsia="ja-JP"/>
        </w:rPr>
      </w:pPr>
    </w:p>
    <w:p w14:paraId="1D47FC66" w14:textId="555B2D57" w:rsidR="00A919E5" w:rsidRPr="00EB7070" w:rsidRDefault="00C34FE4" w:rsidP="003A5321">
      <w:pPr>
        <w:jc w:val="both"/>
        <w:rPr>
          <w:rFonts w:ascii="Times New Roman" w:eastAsia="MS Mincho" w:hAnsi="Times New Roman" w:cs="Times New Roman"/>
          <w:noProof/>
          <w:sz w:val="24"/>
          <w:szCs w:val="24"/>
        </w:rPr>
      </w:pPr>
      <w:r>
        <w:rPr>
          <w:rFonts w:ascii="Times New Roman" w:hAnsi="Times New Roman"/>
          <w:noProof/>
          <w:sz w:val="24"/>
        </w:rPr>
        <w:t>Kaksi kansalaisyhteiskunnan ryhmää onnistui järjestämään yhteisötoimintaa Pride-kuukauden aikana kesäkuussa.</w:t>
      </w:r>
    </w:p>
    <w:p w14:paraId="6DAA8C0D" w14:textId="77777777" w:rsidR="00A919E5" w:rsidRPr="00EB7070" w:rsidRDefault="00A919E5" w:rsidP="003A5321">
      <w:pPr>
        <w:jc w:val="both"/>
        <w:rPr>
          <w:rFonts w:ascii="Times New Roman" w:eastAsia="MS Mincho" w:hAnsi="Times New Roman" w:cs="Times New Roman"/>
          <w:noProof/>
          <w:sz w:val="24"/>
          <w:szCs w:val="24"/>
          <w:lang w:eastAsia="ja-JP"/>
        </w:rPr>
      </w:pPr>
    </w:p>
    <w:p w14:paraId="42CBB500" w14:textId="18639FB1" w:rsidR="00A919E5" w:rsidRPr="00EB7070" w:rsidRDefault="00A919E5" w:rsidP="003A5321">
      <w:pPr>
        <w:jc w:val="both"/>
        <w:rPr>
          <w:rFonts w:ascii="Times New Roman" w:eastAsia="MS Mincho" w:hAnsi="Times New Roman" w:cs="Times New Roman"/>
          <w:noProof/>
          <w:sz w:val="24"/>
          <w:szCs w:val="24"/>
        </w:rPr>
      </w:pPr>
      <w:r>
        <w:rPr>
          <w:rFonts w:ascii="Times New Roman" w:hAnsi="Times New Roman"/>
          <w:noProof/>
          <w:sz w:val="24"/>
        </w:rPr>
        <w:t>Heinäkuun 7. päivänä julkaistussa paikallisessa tutkimusraportissa ilmoitettiin, että hlbtiq+-yhteisön jäsenet kokivat syrjintää hakiessaan lääkinnällistä apua.</w:t>
      </w:r>
    </w:p>
    <w:p w14:paraId="1BEB9898" w14:textId="77777777" w:rsidR="00242644" w:rsidRPr="00EB7070" w:rsidRDefault="00242644" w:rsidP="003A5321">
      <w:pPr>
        <w:jc w:val="both"/>
        <w:rPr>
          <w:rFonts w:ascii="Times New Roman" w:hAnsi="Times New Roman" w:cs="Times New Roman"/>
          <w:noProof/>
          <w:sz w:val="24"/>
          <w:szCs w:val="24"/>
        </w:rPr>
      </w:pPr>
    </w:p>
    <w:p w14:paraId="3849BFA8" w14:textId="05D4EE58" w:rsidR="00C279C0" w:rsidRPr="00EB7070" w:rsidRDefault="00C279C0" w:rsidP="003A5321">
      <w:pPr>
        <w:pStyle w:val="ListParagraph"/>
        <w:numPr>
          <w:ilvl w:val="0"/>
          <w:numId w:val="4"/>
        </w:numPr>
        <w:jc w:val="both"/>
        <w:rPr>
          <w:rFonts w:ascii="Times New Roman" w:hAnsi="Times New Roman" w:cs="Times New Roman"/>
          <w:b/>
          <w:noProof/>
          <w:sz w:val="24"/>
          <w:szCs w:val="24"/>
        </w:rPr>
      </w:pPr>
      <w:r>
        <w:rPr>
          <w:rFonts w:ascii="Times New Roman" w:hAnsi="Times New Roman"/>
          <w:b/>
          <w:noProof/>
          <w:sz w:val="24"/>
        </w:rPr>
        <w:t>Taloudellinen kehitys</w:t>
      </w:r>
    </w:p>
    <w:p w14:paraId="004A71F7" w14:textId="77777777" w:rsidR="00C279C0" w:rsidRPr="00EB7070" w:rsidRDefault="00C279C0" w:rsidP="003A5321">
      <w:pPr>
        <w:jc w:val="both"/>
        <w:rPr>
          <w:rFonts w:ascii="Times New Roman" w:hAnsi="Times New Roman" w:cs="Times New Roman"/>
          <w:noProof/>
          <w:sz w:val="24"/>
          <w:szCs w:val="24"/>
        </w:rPr>
      </w:pPr>
    </w:p>
    <w:p w14:paraId="4302D3B7" w14:textId="36660638"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Macaon BKT kasvoi</w:t>
      </w:r>
      <w:r>
        <w:rPr>
          <w:rFonts w:ascii="Times New Roman" w:hAnsi="Times New Roman"/>
          <w:noProof/>
          <w:color w:val="000000" w:themeColor="text1"/>
          <w:sz w:val="24"/>
        </w:rPr>
        <w:t xml:space="preserve"> vuonna 2024 edellisvuoteen verrattuna 8,8 prosenttia ja nousi 384,1 miljardiin patacaan (45,4 miljardiin euroon). Tätä edelsi vuonna 2023 BKT:n 75,1 prosentin kasvu, jota tukivat tiukkojen covid-19-rajoitusten poistaminen sekä matkailu- ja rahapelitulojen lisääntyminen. Macaon talous ei kuitenkaan ollut vielä täysin elpynyt pandemiaa edeltävälle tasolle vuonna 2024, ja BKT oli (ketjutettujen tietojen mukaan) edelleen 13,6 prosenttia alhaisempi kuin vuonna 2019.</w:t>
      </w:r>
    </w:p>
    <w:p w14:paraId="5E80FC28"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1556693E" w14:textId="0B811C1E" w:rsidR="008E58EF" w:rsidRPr="00EB7070" w:rsidRDefault="008E58EF" w:rsidP="003A5321">
      <w:pPr>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Kansainvälinen valuuttarahasto</w:t>
      </w:r>
      <w:r>
        <w:rPr>
          <w:rFonts w:ascii="Times New Roman" w:hAnsi="Times New Roman"/>
          <w:noProof/>
          <w:color w:val="000000" w:themeColor="text1"/>
          <w:sz w:val="24"/>
        </w:rPr>
        <w:t xml:space="preserve"> (IMF) julkaisi toukokuussa 2024 Macaota koskevan IV artiklan mukaisen kuulemisraportin</w:t>
      </w:r>
      <w:r>
        <w:rPr>
          <w:rStyle w:val="FootnoteReference"/>
          <w:noProof/>
        </w:rPr>
        <w:footnoteReference w:id="6"/>
      </w:r>
      <w:r>
        <w:rPr>
          <w:rFonts w:ascii="Times New Roman" w:hAnsi="Times New Roman"/>
          <w:noProof/>
          <w:color w:val="000000" w:themeColor="text1"/>
          <w:sz w:val="24"/>
        </w:rPr>
        <w:t>. IMF:n näkymien mukaan Macaon BKT kasvoi 13,9 prosenttia vuonna 2024 ja kasvaisi 9,6 prosenttia vuonna 2025, 4,4 prosenttia vuonna 2026 ja 3 prosenttia kolmena seuraavana vuonna. Kasvuun kohdistuvia riskejä ovat muassa odotettua hitaampi kasvu Manner-Kiinassa, pidempään korkeina pysyvät korot suurimmissa kansantalouksissa ja äärimmäisten ilmastoilmiöiden lisääntyminen. Toisaalta Macaon taloutta tukisivat IMF:n mukaan yhdentyminen Guangdongin, Hongkongin ja Macaon suuralueeseen ja talouden onnistunut monipuolistaminen.</w:t>
      </w:r>
    </w:p>
    <w:p w14:paraId="2F1039C7"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1C85615C" w14:textId="724A2CE9"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r>
        <w:rPr>
          <w:rFonts w:ascii="Times New Roman" w:hAnsi="Times New Roman"/>
          <w:noProof/>
          <w:color w:val="000000" w:themeColor="text1"/>
          <w:sz w:val="24"/>
        </w:rPr>
        <w:t xml:space="preserve">Talouskasvua tuki vuonna 2024 </w:t>
      </w:r>
      <w:r>
        <w:rPr>
          <w:rFonts w:ascii="Times New Roman" w:hAnsi="Times New Roman"/>
          <w:b/>
          <w:noProof/>
          <w:color w:val="000000" w:themeColor="text1"/>
          <w:sz w:val="24"/>
        </w:rPr>
        <w:t>matkailijoiden määrän kasvu</w:t>
      </w:r>
      <w:r>
        <w:rPr>
          <w:rFonts w:ascii="Times New Roman" w:hAnsi="Times New Roman"/>
          <w:noProof/>
          <w:color w:val="000000" w:themeColor="text1"/>
          <w:sz w:val="24"/>
        </w:rPr>
        <w:t>. Macaossa vieraili vuoden aikana 34,9 miljoonaa ihmistä, joista 70,1 prosenttia tuli Manner-Kiinasta ja 20,6 prosenttia Hongkongista. Määrä kasvoi 23,8 prosenttia edellisvuodesta, mutta se oli edelleen 11,4 prosenttia vähemmän kuin vuonna 2019 (ennen covid-19-pandemiaa), jolloin Macaossa vieraili 39,4 miljoonaa ihmistä. Vuonna 2024 hotellien keskimääräinen käyttöaste oli 86,5 prosenttia, joka on vähemmän kuin vuonna 2019, jolloin se oli 90,8 prosenttia, mutta enemmän kuin vuonna 2023 (81,2 prosenttia) ja vuonna 2022 (38,5 prosenttia).</w:t>
      </w:r>
    </w:p>
    <w:p w14:paraId="43F4C6A3"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2075283E" w14:textId="47EE1FDF" w:rsidR="008E58EF" w:rsidRPr="00EB7070" w:rsidRDefault="008E58EF" w:rsidP="003A5321">
      <w:pPr>
        <w:autoSpaceDE w:val="0"/>
        <w:autoSpaceDN w:val="0"/>
        <w:adjustRightInd w:val="0"/>
        <w:jc w:val="both"/>
        <w:rPr>
          <w:rFonts w:ascii="Times New Roman" w:eastAsia="PMingLiU" w:hAnsi="Times New Roman" w:cs="Times New Roman"/>
          <w:noProof/>
          <w:color w:val="000000" w:themeColor="text1"/>
          <w:sz w:val="24"/>
          <w:szCs w:val="24"/>
        </w:rPr>
      </w:pPr>
      <w:r>
        <w:rPr>
          <w:rFonts w:ascii="Times New Roman" w:hAnsi="Times New Roman"/>
          <w:b/>
          <w:noProof/>
          <w:color w:val="000000" w:themeColor="text1"/>
          <w:sz w:val="24"/>
        </w:rPr>
        <w:t xml:space="preserve">Rahapelialan ja siihen liittyvien toimialojen </w:t>
      </w:r>
      <w:r>
        <w:rPr>
          <w:rFonts w:ascii="Times New Roman" w:hAnsi="Times New Roman"/>
          <w:noProof/>
          <w:color w:val="000000" w:themeColor="text1"/>
          <w:sz w:val="24"/>
        </w:rPr>
        <w:t>osuus on Macaon taloudessa suurin, pitkälti matkailijoiden vuoksi. Vuonna 2024 rahapelitulot elpyivät edelleen ja kasvoivat 227,4 miljardiin patacaan (26,9 miljardiin euroon), mikä on 23,8 prosenttia enemmän kuin edellisenä vuonna. Ne olivat kuitenkin edelleen 22,5 prosenttia alhaisemmat kuin ennen pandemiaa (vuonna 2019), jolloin tuloja kertyi 293,3 miljardia patacaa (34,7 miljardia euroa).</w:t>
      </w:r>
    </w:p>
    <w:p w14:paraId="4995A1DF" w14:textId="77777777" w:rsidR="008E58EF" w:rsidRPr="00EB7070" w:rsidRDefault="008E58EF" w:rsidP="003A5321">
      <w:pPr>
        <w:autoSpaceDE w:val="0"/>
        <w:autoSpaceDN w:val="0"/>
        <w:adjustRightInd w:val="0"/>
        <w:jc w:val="both"/>
        <w:rPr>
          <w:rFonts w:ascii="Times New Roman" w:eastAsia="PMingLiU" w:hAnsi="Times New Roman" w:cs="Times New Roman"/>
          <w:noProof/>
          <w:color w:val="984806" w:themeColor="accent6" w:themeShade="80"/>
          <w:sz w:val="24"/>
          <w:szCs w:val="24"/>
          <w:lang w:eastAsia="en-US"/>
        </w:rPr>
      </w:pPr>
    </w:p>
    <w:p w14:paraId="0C6FCF91" w14:textId="787CA06C" w:rsidR="008E58EF" w:rsidRPr="00EB7070" w:rsidRDefault="00DD1649"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Työttömyysaste</w:t>
      </w:r>
      <w:r>
        <w:rPr>
          <w:rFonts w:ascii="Times New Roman" w:hAnsi="Times New Roman"/>
          <w:noProof/>
          <w:color w:val="000000" w:themeColor="text1"/>
          <w:sz w:val="24"/>
        </w:rPr>
        <w:t xml:space="preserve"> laski 1,8 prosenttiin vuonna 2024, kun se oli 2,7 prosenttia vuonna 2023 ja 3,7 prosenttia vuonna 2022, ja se palasi pandemiaa edeltäneelle tasolle (1,7 prosenttia vuonna 2019).</w:t>
      </w:r>
    </w:p>
    <w:p w14:paraId="387AA234"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53AD6507" w14:textId="6BE1F38D"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 xml:space="preserve">Inflaatio </w:t>
      </w:r>
      <w:r>
        <w:rPr>
          <w:rFonts w:ascii="Times New Roman" w:hAnsi="Times New Roman"/>
          <w:noProof/>
          <w:color w:val="000000" w:themeColor="text1"/>
          <w:sz w:val="24"/>
        </w:rPr>
        <w:t>oli vuoden aikana edelleen hidasta, ja kuluttajahintaindeksi nousi keskimäärin 0,7 prosenttia.</w:t>
      </w:r>
    </w:p>
    <w:p w14:paraId="3E09A9F7"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13CA3C34" w14:textId="4E3C070C" w:rsidR="008E58EF" w:rsidRPr="00EB7070" w:rsidRDefault="008E58EF" w:rsidP="003A5321">
      <w:pPr>
        <w:autoSpaceDE w:val="0"/>
        <w:autoSpaceDN w:val="0"/>
        <w:adjustRightInd w:val="0"/>
        <w:jc w:val="both"/>
        <w:rPr>
          <w:rFonts w:ascii="Times New Roman" w:hAnsi="Times New Roman" w:cs="Times New Roman"/>
          <w:noProof/>
          <w:color w:val="FF0000"/>
          <w:sz w:val="24"/>
          <w:szCs w:val="24"/>
        </w:rPr>
      </w:pPr>
      <w:r>
        <w:rPr>
          <w:rFonts w:ascii="Times New Roman" w:hAnsi="Times New Roman"/>
          <w:noProof/>
          <w:color w:val="000000" w:themeColor="text1"/>
          <w:sz w:val="24"/>
        </w:rPr>
        <w:t xml:space="preserve">Vuonna 2024 </w:t>
      </w:r>
      <w:r>
        <w:rPr>
          <w:rFonts w:ascii="Times New Roman" w:hAnsi="Times New Roman"/>
          <w:b/>
          <w:noProof/>
          <w:color w:val="000000" w:themeColor="text1"/>
          <w:sz w:val="24"/>
        </w:rPr>
        <w:t>julkisen talouden ylijäämä</w:t>
      </w:r>
      <w:r>
        <w:rPr>
          <w:rFonts w:ascii="Times New Roman" w:hAnsi="Times New Roman"/>
          <w:noProof/>
          <w:color w:val="000000" w:themeColor="text1"/>
          <w:sz w:val="24"/>
        </w:rPr>
        <w:t xml:space="preserve"> oli 31,0 miljardia patacaa (3,7 miljardia euroa), kun se vuonna 2023 oli 29,0 miljardia patacaa (3,4 miljardia euroa). Julkisen talouden varantojen määrä oli joulukuun lopussa 616 miljardia patacaa (72,9 miljardia euroa), mikä on 6,2 prosenttia enemmän kuin edellisvuonna ja 6,4 prosenttia enemmän kuin ennen pandemiaa (579 miljardia patacaa). Varannot riittävät kattamaan kuuden ja puolen vuoden julkiset menot.</w:t>
      </w:r>
    </w:p>
    <w:p w14:paraId="507457B4"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1A5572CE" w14:textId="75670182"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Vuonna 2023 (viimeisimmät saatavilla olevat Macaon tilastot) suorien ulkomaisten investointien määrä Macaossa ylsi 383 miljardiin patacaan (45,3 miljardiin euroon), mikä on 4,2 prosenttia enemmän kuin edellisvuonna. Hongkongin ja Manner-Kiinan osuudet kaikista suorista ulkomaisista investoinneista olivat suurimmat.</w:t>
      </w:r>
    </w:p>
    <w:p w14:paraId="5B21F737" w14:textId="77777777" w:rsidR="008E58EF" w:rsidRPr="00EB7070" w:rsidRDefault="008E58EF" w:rsidP="003A5321">
      <w:pPr>
        <w:jc w:val="both"/>
        <w:rPr>
          <w:rFonts w:ascii="Times New Roman" w:hAnsi="Times New Roman" w:cs="Times New Roman"/>
          <w:noProof/>
          <w:color w:val="000000" w:themeColor="text1"/>
          <w:sz w:val="24"/>
          <w:szCs w:val="24"/>
        </w:rPr>
      </w:pPr>
    </w:p>
    <w:p w14:paraId="4115E387" w14:textId="77777777" w:rsidR="008E58EF" w:rsidRPr="00EB7070" w:rsidRDefault="008E58EF" w:rsidP="003A5321">
      <w:pPr>
        <w:autoSpaceDE w:val="0"/>
        <w:autoSpaceDN w:val="0"/>
        <w:adjustRightInd w:val="0"/>
        <w:ind w:firstLine="720"/>
        <w:jc w:val="both"/>
        <w:rPr>
          <w:rFonts w:ascii="Times New Roman" w:eastAsia="PMingLiU" w:hAnsi="Times New Roman" w:cs="Times New Roman"/>
          <w:noProof/>
          <w:color w:val="000000" w:themeColor="text1"/>
          <w:sz w:val="24"/>
          <w:szCs w:val="24"/>
        </w:rPr>
      </w:pPr>
      <w:r>
        <w:rPr>
          <w:rFonts w:ascii="Times New Roman" w:hAnsi="Times New Roman"/>
          <w:b/>
          <w:noProof/>
          <w:color w:val="000000" w:themeColor="text1"/>
          <w:sz w:val="24"/>
        </w:rPr>
        <w:t>Talouspolitiikka</w:t>
      </w:r>
    </w:p>
    <w:p w14:paraId="7FC6971E" w14:textId="77777777" w:rsidR="008E58EF" w:rsidRPr="00EB7070" w:rsidRDefault="008E58EF" w:rsidP="003A5321">
      <w:pPr>
        <w:autoSpaceDE w:val="0"/>
        <w:autoSpaceDN w:val="0"/>
        <w:adjustRightInd w:val="0"/>
        <w:jc w:val="both"/>
        <w:rPr>
          <w:rFonts w:ascii="Times New Roman" w:eastAsia="PMingLiU" w:hAnsi="Times New Roman" w:cs="Times New Roman"/>
          <w:noProof/>
          <w:color w:val="984806" w:themeColor="accent6" w:themeShade="80"/>
          <w:sz w:val="24"/>
          <w:szCs w:val="24"/>
          <w:lang w:eastAsia="en-US"/>
        </w:rPr>
      </w:pPr>
    </w:p>
    <w:p w14:paraId="00A05B61" w14:textId="30D5328A"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Hallintojohtaja Sam Hou Fai julkisti uuden hallinnon </w:t>
      </w:r>
      <w:r>
        <w:rPr>
          <w:rFonts w:ascii="Times New Roman" w:hAnsi="Times New Roman"/>
          <w:b/>
          <w:noProof/>
          <w:color w:val="000000" w:themeColor="text1"/>
          <w:sz w:val="24"/>
        </w:rPr>
        <w:t>taloudelliset painopisteet</w:t>
      </w:r>
      <w:r>
        <w:rPr>
          <w:rFonts w:ascii="Times New Roman" w:hAnsi="Times New Roman"/>
          <w:noProof/>
          <w:color w:val="000000" w:themeColor="text1"/>
          <w:sz w:val="24"/>
        </w:rPr>
        <w:t>, jotka koskevat Macaon talouden monipuolistamista, ihmisten hyvinvoinnin parantamista (mukaan lukien sosiaaliturva, terveydenhuolto, vanhustenhoito ja kaupunkien kunnostaminen), Macaon kehittämistä edelleen Manner-Kiinan ja portugalinkielisten maiden välisenä yhdyssiteenä, Macaon integroitumista Manner-Kiinaan ja osallistumista Manner-Kiinan talouskehitykseen sekä hallinnon parantamista.</w:t>
      </w:r>
    </w:p>
    <w:p w14:paraId="22DE46EC"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4453856E" w14:textId="50FCB077" w:rsidR="008E58EF" w:rsidRPr="00EB7070" w:rsidRDefault="008E58EF" w:rsidP="003A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Rahapelialalla</w:t>
      </w:r>
      <w:r>
        <w:rPr>
          <w:rFonts w:ascii="Times New Roman" w:hAnsi="Times New Roman"/>
          <w:noProof/>
          <w:color w:val="000000" w:themeColor="text1"/>
          <w:sz w:val="24"/>
        </w:rPr>
        <w:t xml:space="preserve"> kasinotoimiluvan haltijoiden on investoitava muuhun kuin rahapelitoimintaan tukeakseen Macaon talouden monipuolistamista. Rahapelejä koskevaan sääntelyyn tehtiin muutoksia vuoden aikana. Huhtikuussa hyväksyttiin uutta lainsäädäntöä (laki nro 7/2024)</w:t>
      </w:r>
      <w:r>
        <w:rPr>
          <w:rStyle w:val="FootnoteReference"/>
          <w:noProof/>
        </w:rPr>
        <w:footnoteReference w:id="7"/>
      </w:r>
      <w:r>
        <w:rPr>
          <w:rFonts w:ascii="Times New Roman" w:hAnsi="Times New Roman"/>
          <w:noProof/>
          <w:color w:val="000000" w:themeColor="text1"/>
          <w:sz w:val="24"/>
        </w:rPr>
        <w:t>, joka koskee luoton myöntämistä kasinoilla pelattavia uhkapelejä varten. Laissa myönnetään kasinotoimiluvan haltijoille yksinoikeus antaa luottoa suoraan asiakkaille. Tämä rajoittaa rahapelipromoottorien roolia ja vaikutusvaltaa. Promoottoreilla oli aiemmin tärkeä rooli houkuteltaessa suurilla panoksilla pelaavia mukaan rahapeleihin, ja he myönsivät tällaisille pelaajille luottoa. Rahapelipromoottorit voivat nyt toimia ainoastaan toimiluvan haltijoiden edustajina. Lokakuussa annettiin laki nro 20/2024</w:t>
      </w:r>
      <w:r>
        <w:rPr>
          <w:rStyle w:val="FootnoteReference"/>
          <w:noProof/>
        </w:rPr>
        <w:footnoteReference w:id="8"/>
      </w:r>
      <w:r>
        <w:rPr>
          <w:rFonts w:ascii="Times New Roman" w:hAnsi="Times New Roman"/>
          <w:noProof/>
          <w:color w:val="000000" w:themeColor="text1"/>
          <w:sz w:val="24"/>
        </w:rPr>
        <w:t xml:space="preserve"> laittomiin rahapeleihin liittyvien rikosten torjunnasta, rahapelirikoksista määrättävien sakkojen korottamisesta ja rangaistusten tiukentamisesta, rahapeleihin liittyvien laittomien lainojen ja valuutanvaihdon kriminalisoinnista sekä luvattomasta rahapelitoiminnasta verkossa.</w:t>
      </w:r>
    </w:p>
    <w:p w14:paraId="5332AD0E"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5A25DD62" w14:textId="7B23B82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Macaon </w:t>
      </w:r>
      <w:r>
        <w:rPr>
          <w:rFonts w:ascii="Times New Roman" w:hAnsi="Times New Roman"/>
          <w:b/>
          <w:noProof/>
          <w:color w:val="000000" w:themeColor="text1"/>
          <w:sz w:val="24"/>
        </w:rPr>
        <w:t>talouden monipuolistamisstrategian</w:t>
      </w:r>
      <w:r>
        <w:rPr>
          <w:rFonts w:ascii="Times New Roman" w:hAnsi="Times New Roman"/>
          <w:noProof/>
          <w:color w:val="000000" w:themeColor="text1"/>
          <w:sz w:val="24"/>
        </w:rPr>
        <w:t xml:space="preserve"> täytäntöönpanoa jatkettiin niin kutsuttujen ”1 + 4” -toimialojen kehittämiseksi. Tässä nimityksessä ”1” viittaa matkailu- ja vapaa-ajan palveluihin ja ”4” seuraaviin muihin aloihin: terveydenhuolto, jossa keskitytään perinteiseen kiinalaiseen lääketieteeseen, rahoituspalvelut, uudet teknologiat sekä kokous- ja näyttelytoiminta, kauppa, kulttuuri ja urheilu. Yhtenä päätavoitteena on monipuolistaa paikallistaloutta ja nostaa muun kuin rahapelitoiminnan osuus 60 prosenttiin BKT:sta. IMF:n mukaan (IV artiklan mukainen raportti, toukokuu 2024) rahapelialan hallitseva asema luo haavoittuvuuksia ja korostaa tarvetta monipuolistaa taloutta muun muassa parantamalla tehokkuutta ja resurssien kohdentamista, kannustamalla tutkimus- ja kehitystoimintaa sekä innovointia, tarjoamalla työvoimalle täydennys- ja uudelleenkoulutusta sekä virtaviivaistamalla työn ja liiketoiminnan sääntelyä. IMF kehotti myös ottamaan huomioon mahdolliset kielteiset heijastusvaikutukset, kaupan vääristymät ja hallintoon liittyvät riskit, joita talouden monipuolistamiseen tähtäävä politiikka voi aiheuttaa.</w:t>
      </w:r>
    </w:p>
    <w:p w14:paraId="79AAD6A2"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29F9037B"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Alan edustajien mukaan talouden monipuolistamisen esteenä on </w:t>
      </w:r>
      <w:r>
        <w:rPr>
          <w:rFonts w:ascii="Times New Roman" w:hAnsi="Times New Roman"/>
          <w:b/>
          <w:noProof/>
          <w:color w:val="000000" w:themeColor="text1"/>
          <w:sz w:val="24"/>
        </w:rPr>
        <w:t>monipuolisen osaamisreservin puute</w:t>
      </w:r>
      <w:r>
        <w:rPr>
          <w:rFonts w:ascii="Times New Roman" w:hAnsi="Times New Roman"/>
          <w:noProof/>
          <w:color w:val="000000" w:themeColor="text1"/>
          <w:sz w:val="24"/>
        </w:rPr>
        <w:t xml:space="preserve"> Macaossa. Osaajaluetteloihin lisättiin vuonna 2024 vain 470 henkilöä kolmessa hiljattain käynnistetyssä osaajien rekrytointiohjelmassa.</w:t>
      </w:r>
    </w:p>
    <w:p w14:paraId="51075E9F"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22C5EAE8" w14:textId="3BB2C7CF"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Uusia teknologioita ja innovointia</w:t>
      </w:r>
      <w:r>
        <w:rPr>
          <w:rFonts w:ascii="Times New Roman" w:hAnsi="Times New Roman"/>
          <w:noProof/>
          <w:color w:val="000000" w:themeColor="text1"/>
          <w:sz w:val="24"/>
        </w:rPr>
        <w:t xml:space="preserve"> tuetaan muun muassa verokannustimia, tutkimus- ja kehitysrahoitusta sekä Hengqinin ja Guangdongin, Hongkongin ja Macaon suuralueen kanssa tehtävää yhteistyötä koskevissa aloitteissa.</w:t>
      </w:r>
      <w:r>
        <w:rPr>
          <w:rStyle w:val="FootnoteReference"/>
          <w:noProof/>
        </w:rPr>
        <w:footnoteReference w:id="9"/>
      </w:r>
      <w:r>
        <w:rPr>
          <w:rFonts w:ascii="Times New Roman" w:hAnsi="Times New Roman"/>
          <w:noProof/>
          <w:color w:val="000000" w:themeColor="text1"/>
          <w:sz w:val="24"/>
        </w:rPr>
        <w:t xml:space="preserve"> Macaon teknologiayritysten sertifiointiohjelmassa on (lokakuusta 2024 alkaen) sertifioitu 33 yritystä, jotka työllistävät hallituksen lähteiden mukaan 1 300 henkilöä. Maaliskuussa otettiin käyttöön uusi järjestelmä datakeskuksen perustamista ja käyttöä varten.</w:t>
      </w:r>
      <w:r>
        <w:rPr>
          <w:rStyle w:val="FootnoteReference"/>
          <w:noProof/>
        </w:rPr>
        <w:footnoteReference w:id="10"/>
      </w:r>
    </w:p>
    <w:p w14:paraId="1DD18466"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09D106CA" w14:textId="35EDFA4B"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Kokousten ja näyttelyjen</w:t>
      </w:r>
      <w:r>
        <w:rPr>
          <w:rFonts w:ascii="Times New Roman" w:hAnsi="Times New Roman"/>
          <w:noProof/>
          <w:color w:val="000000" w:themeColor="text1"/>
          <w:sz w:val="24"/>
        </w:rPr>
        <w:t xml:space="preserve"> osalta Macaossa järjestettiin vuoden 2024 kolmen ensimmäisen neljänneksen aikana 1 011 kokousta, kannustematkaa, konferenssia ja näyttelyä (kokous-, kannuste- ja tapahtumamatkaa), mikä on 29,8 prosenttia enemmän kuin edellisvuonna ja suunnilleen saman verran kuin vuonna 2019.</w:t>
      </w:r>
    </w:p>
    <w:p w14:paraId="32FE1CAB"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599EA92E" w14:textId="1B7D8F18" w:rsidR="008E58EF" w:rsidRPr="00EB7070" w:rsidRDefault="00676C38"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Terveydenhuollon alalla</w:t>
      </w:r>
      <w:r>
        <w:rPr>
          <w:rFonts w:ascii="Times New Roman" w:hAnsi="Times New Roman"/>
          <w:noProof/>
          <w:color w:val="000000" w:themeColor="text1"/>
          <w:sz w:val="24"/>
        </w:rPr>
        <w:t xml:space="preserve"> </w:t>
      </w:r>
      <w:r>
        <w:rPr>
          <w:rFonts w:ascii="Times New Roman" w:hAnsi="Times New Roman"/>
          <w:noProof/>
          <w:color w:val="000000"/>
          <w:sz w:val="24"/>
        </w:rPr>
        <w:t xml:space="preserve">Macao Union -sairaala aloitti toimintansa syyskuussa, ja se tukee Macaoon suuntautuvan hoito-, hyvinvointi- ja terveydenhuoltomatkailun kehittämistä. </w:t>
      </w:r>
      <w:r>
        <w:rPr>
          <w:rFonts w:ascii="Times New Roman" w:hAnsi="Times New Roman"/>
          <w:noProof/>
          <w:color w:val="000000" w:themeColor="text1"/>
          <w:sz w:val="24"/>
        </w:rPr>
        <w:t>Kiinalaista lääketiedettä edistetään muun muassa perustamalla Hengqiniin perinteiseen kiinalaiseen lääketieteeseen keskittyvä tiede- ja teknologiapuisto Guangdongin ja Macaon välisen yhteistyön puitteissa. Hallituksen mukaan portugalinkielisissä maissa on vuodesta 2024 alkaen rekisteröity 24 perinteistä kiinalaista lääkevalmistetta.</w:t>
      </w:r>
    </w:p>
    <w:p w14:paraId="36CD3A7B" w14:textId="77777777" w:rsidR="008E58EF" w:rsidRPr="00EB7070" w:rsidRDefault="008E58EF" w:rsidP="003A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noProof/>
          <w:color w:val="000000" w:themeColor="text1"/>
          <w:sz w:val="24"/>
          <w:szCs w:val="24"/>
        </w:rPr>
      </w:pPr>
    </w:p>
    <w:p w14:paraId="7A494251" w14:textId="0C141EFC" w:rsidR="008E58EF" w:rsidRPr="00EB7070" w:rsidRDefault="008E58EF" w:rsidP="003A5321">
      <w:pPr>
        <w:autoSpaceDE w:val="0"/>
        <w:autoSpaceDN w:val="0"/>
        <w:adjustRightInd w:val="0"/>
        <w:jc w:val="both"/>
        <w:rPr>
          <w:rFonts w:ascii="Times New Roman" w:eastAsia="PMingLiU" w:hAnsi="Times New Roman" w:cs="Times New Roman"/>
          <w:noProof/>
          <w:color w:val="000000"/>
          <w:sz w:val="24"/>
          <w:szCs w:val="24"/>
        </w:rPr>
      </w:pPr>
      <w:r>
        <w:rPr>
          <w:rFonts w:ascii="Times New Roman" w:hAnsi="Times New Roman"/>
          <w:b/>
          <w:noProof/>
          <w:color w:val="000000" w:themeColor="text1"/>
          <w:sz w:val="24"/>
        </w:rPr>
        <w:t>Rahoituspalvelujen</w:t>
      </w:r>
      <w:r>
        <w:rPr>
          <w:rFonts w:ascii="Times New Roman" w:hAnsi="Times New Roman"/>
          <w:noProof/>
          <w:color w:val="000000" w:themeColor="text1"/>
          <w:sz w:val="24"/>
        </w:rPr>
        <w:t xml:space="preserve"> alalla viranomaiset pyrkivät kehittämään paikallisia joukkolainamarkkinoita (mukaan lukien Manner-Kiinan laitosten ja yritysten vihreät joukkolainat ja joukkovelkakirjojen listaukset), varainhoitopalveluja ja rahoitusleasingtoimintaa, investointipankkitoimintaa ja rajatylittäviä renminbimääräisiä maksuja. Rahoitusalan sääntelykehyksen tarkistamista jatkettiin vuoden aikana. Heinäkuussa hyväksyttiin vakuutusedustajien toimintaa koskeva laki (voimaantulopäivä 1. elokuuta 2025), jolla muutettiin vakuutusalan lupajärjestelmää, toimintastandardeja ja valvontakehystä. Lainsäädäntöneuvostolle esitettiin marraskuussa uusi sijoitusrahastolaki, jolla nykyaikaistetaan rahastoja koskevaa sääntelyjärjestelmää ja edistetään rahastojen hallinnointia. Hallitus jatkoi myös digitaalisen Macaon patacan (e-MOP) kehittämistä. Syyskuussa 2024 Macaossa liikkeeseen laskettujen tai noteerattujen, liikkeessä olevien joukkolainojen arvo oli 740 miljardia patacaa (87,5 miljardia euroa), ja </w:t>
      </w:r>
      <w:r>
        <w:rPr>
          <w:rFonts w:ascii="Times New Roman" w:hAnsi="Times New Roman"/>
          <w:noProof/>
          <w:color w:val="000000"/>
          <w:sz w:val="24"/>
        </w:rPr>
        <w:t>Macaossa toimiluvan saaneita rahoituslaitoksia oli yhteensä 102.</w:t>
      </w:r>
    </w:p>
    <w:p w14:paraId="6782221F" w14:textId="77777777" w:rsidR="008E58EF" w:rsidRPr="00EB7070" w:rsidRDefault="008E58EF" w:rsidP="003A5321">
      <w:pPr>
        <w:autoSpaceDE w:val="0"/>
        <w:autoSpaceDN w:val="0"/>
        <w:adjustRightInd w:val="0"/>
        <w:jc w:val="both"/>
        <w:rPr>
          <w:rFonts w:ascii="Times New Roman" w:eastAsia="PMingLiU" w:hAnsi="Times New Roman" w:cs="Times New Roman"/>
          <w:noProof/>
          <w:color w:val="000000"/>
          <w:sz w:val="24"/>
          <w:szCs w:val="24"/>
          <w:lang w:eastAsia="en-US"/>
        </w:rPr>
      </w:pPr>
    </w:p>
    <w:p w14:paraId="0663F37B" w14:textId="07C14438" w:rsidR="008E58EF" w:rsidRPr="00EB7070" w:rsidRDefault="008E58EF" w:rsidP="003A5321">
      <w:pPr>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IMF:n mukaan (IV artiklan mukainen raportti, toukokuu 2024) rahoitusjärjestelmän nykyaikaistamis- ja vahvistamisaloitteet olisi yhdistettävä toimiin, joilla hallitaan asiaan liittyviä riskejä. IMF kehotti toteuttamaan toimia, joilla vahvistetaan rahoitusjärjestelmän vakautta ja hallitaan riskejä (mukaan lukien pankkien luottotappiovarausten lisääminen, yksityiskohtaisempien tietojen kerääminen järjestämättömistä lainoista ja pankkien välisistä luotoista, maksukyvyttömyys-, velkajärjestely- ja rakenneuudistuspuitteiden parantaminen, Manner-Kiinan lainanottajien riskien seuranta, sellaisten pankkien likviditeettiaseman seuranta, joilla on paljon ulkomaista velkaa, sekä pankkien ulkopuolisen rahoitussektorin seuranta). IMF totesi, että Macaolla on runsaasti julkisen talouden liikkumavaraa, ja vaati hidastamaan julkisen talouden vakauttamista. Se määritteli finanssipolitiikan tärkeimmät painopisteet, jotka koskevat muun muassa inhimilliseen ja fyysiseen pääomaan suunnattujen menojen lisäämistä, muun kuin rahapelitoiminnan kehittämistä, kasvun kestävyyden parantamista ja ulkoisen tasapainon palauttamista.</w:t>
      </w:r>
    </w:p>
    <w:p w14:paraId="43805E98"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2EB9CDCD" w14:textId="37E6273A"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Ympäristöpolitiikan</w:t>
      </w:r>
      <w:r>
        <w:rPr>
          <w:rFonts w:ascii="Times New Roman" w:hAnsi="Times New Roman"/>
          <w:noProof/>
          <w:color w:val="000000" w:themeColor="text1"/>
          <w:sz w:val="24"/>
        </w:rPr>
        <w:t xml:space="preserve"> osalta sähköajoneuvojen määrä Macaossa kasvoi syyskuuhun mennessä 10 978 ajoneuvoon (1 339 ajoneuvosta vuonna 2020), Macaon jätteenpolttokeskuksen laajentaminen saatiin päätökseen ja tulvien vähentämiseksi tehtiin töitä. Vuoden 2024 Macaon kansainvälinen ympäristöalan yhteistyöfoorumi ja siihen liittyvä näyttely järjestettiin maaliskuussa.</w:t>
      </w:r>
    </w:p>
    <w:p w14:paraId="2919107C"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419A24D0" w14:textId="4FCEB5DA"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Hallitus jatkoi </w:t>
      </w:r>
      <w:r>
        <w:rPr>
          <w:rFonts w:ascii="Times New Roman" w:hAnsi="Times New Roman"/>
          <w:b/>
          <w:noProof/>
          <w:color w:val="000000" w:themeColor="text1"/>
          <w:sz w:val="24"/>
        </w:rPr>
        <w:t>taloudellisen tuen jakamista asukkaille</w:t>
      </w:r>
      <w:r>
        <w:rPr>
          <w:rFonts w:ascii="Times New Roman" w:hAnsi="Times New Roman"/>
          <w:noProof/>
          <w:color w:val="000000" w:themeColor="text1"/>
          <w:sz w:val="24"/>
        </w:rPr>
        <w:t>, ja siihen sisältyi muun muassa varallisuudenjakojärjestelmästä myönnettäviä rahaetuuksia, terveyspalveluseteleitä, sähkölaskujen ja lukukausimaksujen maksamiseen liittyviä tukia sekä vanhuus- ja vammaistukia.</w:t>
      </w:r>
    </w:p>
    <w:p w14:paraId="51830924"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2B029228" w14:textId="6EDB0F44"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Vuoden aikana toteutettiin infrastruktuurihankkeita, jotka koskivat muun muassa liikenneinfrastruktuureja, Macaon kansainvälisen lentokentän käynnissä olevia laajennustöitä sekä asuin-, hallinto- ja koulutusrakennuksia.</w:t>
      </w:r>
    </w:p>
    <w:p w14:paraId="1CADC779"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51CA369C" w14:textId="77777777" w:rsidR="008E58EF" w:rsidRPr="00EB7070" w:rsidRDefault="008E58EF" w:rsidP="003A5321">
      <w:pPr>
        <w:autoSpaceDE w:val="0"/>
        <w:autoSpaceDN w:val="0"/>
        <w:adjustRightInd w:val="0"/>
        <w:ind w:firstLine="720"/>
        <w:jc w:val="both"/>
        <w:rPr>
          <w:rFonts w:ascii="Times New Roman" w:eastAsia="PMingLiU" w:hAnsi="Times New Roman" w:cs="Times New Roman"/>
          <w:b/>
          <w:bCs/>
          <w:noProof/>
          <w:color w:val="000000" w:themeColor="text1"/>
          <w:sz w:val="24"/>
          <w:szCs w:val="24"/>
        </w:rPr>
      </w:pPr>
      <w:r>
        <w:rPr>
          <w:rFonts w:ascii="Times New Roman" w:hAnsi="Times New Roman"/>
          <w:b/>
          <w:noProof/>
          <w:color w:val="000000" w:themeColor="text1"/>
          <w:sz w:val="24"/>
        </w:rPr>
        <w:t>Taloudellinen yhdentyminen Manner-Kiinaan</w:t>
      </w:r>
    </w:p>
    <w:p w14:paraId="559DEDB7" w14:textId="77777777" w:rsidR="008E58EF" w:rsidRPr="00EB7070" w:rsidRDefault="008E58EF" w:rsidP="003A5321">
      <w:pPr>
        <w:autoSpaceDE w:val="0"/>
        <w:autoSpaceDN w:val="0"/>
        <w:adjustRightInd w:val="0"/>
        <w:jc w:val="both"/>
        <w:rPr>
          <w:rFonts w:ascii="Times New Roman" w:eastAsia="PMingLiU" w:hAnsi="Times New Roman" w:cs="Times New Roman"/>
          <w:noProof/>
          <w:color w:val="000000" w:themeColor="text1"/>
          <w:sz w:val="24"/>
          <w:szCs w:val="24"/>
          <w:lang w:eastAsia="en-US"/>
        </w:rPr>
      </w:pPr>
    </w:p>
    <w:p w14:paraId="26B566AA" w14:textId="1CD2776C" w:rsidR="008E58EF" w:rsidRPr="00EB7070" w:rsidRDefault="008E58EF" w:rsidP="003A5321">
      <w:pPr>
        <w:autoSpaceDE w:val="0"/>
        <w:autoSpaceDN w:val="0"/>
        <w:adjustRightInd w:val="0"/>
        <w:jc w:val="both"/>
        <w:rPr>
          <w:rFonts w:ascii="Times New Roman" w:eastAsia="PMingLiU" w:hAnsi="Times New Roman" w:cs="Times New Roman"/>
          <w:noProof/>
          <w:color w:val="000000"/>
          <w:sz w:val="24"/>
          <w:szCs w:val="24"/>
        </w:rPr>
      </w:pPr>
      <w:r>
        <w:rPr>
          <w:rFonts w:ascii="Times New Roman" w:hAnsi="Times New Roman"/>
          <w:noProof/>
          <w:color w:val="000000" w:themeColor="text1"/>
          <w:sz w:val="24"/>
        </w:rPr>
        <w:t xml:space="preserve">Macao asemoi itsensä Manner-Kiinan ja portugalinkielisten maiden väliseksi foorumiksi ja yhdyssiteeksi (myös matkailu-, yritys- ja rahoituspalvelujen alalla). </w:t>
      </w:r>
      <w:r>
        <w:rPr>
          <w:rFonts w:ascii="Times New Roman" w:hAnsi="Times New Roman"/>
          <w:noProof/>
          <w:color w:val="000000"/>
          <w:sz w:val="24"/>
        </w:rPr>
        <w:t>Macaossa pidettiin huhtikuussa Kiinan ja portugalinkielisten maiden talouden ja kaupan alan yhteistyöfoorumin kuudes ministerikonferenssi (konferenssissa allekirjoitettiin talous- ja kauppayhteistyön strateginen suunnitelma vuosiksi 2024–2027). Kiinan ja portugalinkielisten maiden teknologiakeskus avattiin vuoden aikana.</w:t>
      </w:r>
    </w:p>
    <w:p w14:paraId="183051CA" w14:textId="66B4940F"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10BE778B" w14:textId="1D91BF09"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Macaon talouteen vaikuttavat merkittävästi Manner-Kiinasta tulevat vierailijat, jotka saapuvat erityishallintoalueelle matkailun ja rahapelien vuoksi. Manner-Kiina on myös Macaon suurin kauppakumppani tavarakaupassa, ja vuonna 2024 sen osuus maan kokonaiskaupasta oli 28,3 prosenttia. Manner-Kiina teki Macaoon toiseksi eniten suoria ulkomaisia investointeja vuonna 2023 (viimeisimmät saatavilla olevat tiedot).</w:t>
      </w:r>
    </w:p>
    <w:p w14:paraId="75FCDC12" w14:textId="77777777"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p>
    <w:p w14:paraId="009390CF" w14:textId="6913C65E"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Macao jatkaa taloudellista yhdentymistä Manner-Kiinan kanssa muun muassa Guangdongin, Hongkongin ja Macaon suuralueen ja Hengqinissä sijaitsevan Guangdongin ja Macaon välisen tiiviin yhteistyön vyöhykkeen kautta.</w:t>
      </w:r>
    </w:p>
    <w:p w14:paraId="382708D3" w14:textId="77777777" w:rsidR="008E58EF" w:rsidRPr="00EB7070" w:rsidRDefault="008E58EF" w:rsidP="003A5321">
      <w:pPr>
        <w:autoSpaceDE w:val="0"/>
        <w:autoSpaceDN w:val="0"/>
        <w:adjustRightInd w:val="0"/>
        <w:jc w:val="both"/>
        <w:rPr>
          <w:rFonts w:ascii="Times New Roman" w:hAnsi="Times New Roman" w:cs="Times New Roman"/>
          <w:noProof/>
          <w:color w:val="984806" w:themeColor="accent6" w:themeShade="80"/>
          <w:sz w:val="24"/>
          <w:szCs w:val="24"/>
        </w:rPr>
      </w:pPr>
    </w:p>
    <w:p w14:paraId="4C8A6643" w14:textId="7ED56043" w:rsidR="008E58EF" w:rsidRPr="00EB7070" w:rsidRDefault="008E58EF"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Guangdongin ja Macaon välinen tiiviin yhteistyön vyöhyke</w:t>
      </w:r>
      <w:r>
        <w:rPr>
          <w:rFonts w:ascii="Times New Roman" w:hAnsi="Times New Roman"/>
          <w:noProof/>
          <w:color w:val="000000" w:themeColor="text1"/>
          <w:sz w:val="24"/>
        </w:rPr>
        <w:t xml:space="preserve"> Hengqinissä kattaa noin 100 neliökilometrin suuruisen alueen (noin kolme kertaa Macaon pinta-ala) Macaon läheisyydessä Guangdongin maakunnassa Manner-Kiinassa, ja sitä hallinnoivat Guangdong ja Macao yhdessä. Se tarjoaa lisämaata Macaon talouden monipuolistamiseen ja taloudelliseen yhdentymiseen Manner-Kiinaan. Vyöhykkeellä kehitettyjä toimialoja ovat muun muassa innovointi ja teknologiat, terveydenhuolto ja perinteinen kiinalainen lääketiede, rahoituspalvelut sekä kokous-, kannuste- ja tapahtumamatkailu. Macaon hallituksen mukaan Hengqinin BKT oli 37,3 miljardia juan renminbiä (4,9 miljardia euroa), Hengqinissä asui 16 539 Macaon asukasta ja vyöhykkeelle oli sijoittautunut 6 461 Macaon yritystä (syyskuussa 2024).</w:t>
      </w:r>
    </w:p>
    <w:p w14:paraId="7481F4F3" w14:textId="77777777" w:rsidR="008E58EF" w:rsidRPr="00EB7070" w:rsidRDefault="008E58EF" w:rsidP="003A5321">
      <w:pPr>
        <w:autoSpaceDE w:val="0"/>
        <w:autoSpaceDN w:val="0"/>
        <w:adjustRightInd w:val="0"/>
        <w:jc w:val="both"/>
        <w:rPr>
          <w:rFonts w:ascii="Times New Roman" w:hAnsi="Times New Roman" w:cs="Times New Roman"/>
          <w:noProof/>
          <w:color w:val="FF0000"/>
          <w:sz w:val="24"/>
          <w:szCs w:val="24"/>
        </w:rPr>
      </w:pPr>
    </w:p>
    <w:p w14:paraId="389EFB99" w14:textId="2E2B64AF" w:rsidR="008E58EF" w:rsidRPr="00EB7070" w:rsidRDefault="008E58EF" w:rsidP="003A5321">
      <w:pPr>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Maaliskuussa tuli voimaan uusi tullimenettely, jonka mukaan Macaosta Hengqinin yhteistyövyöhykkeelle saapuvat tavarat vapautetaan Manner-Kiinan verosta.</w:t>
      </w:r>
      <w:r>
        <w:rPr>
          <w:rStyle w:val="FootnoteReference"/>
          <w:noProof/>
        </w:rPr>
        <w:footnoteReference w:id="11"/>
      </w:r>
      <w:r>
        <w:rPr>
          <w:rFonts w:ascii="Times New Roman" w:hAnsi="Times New Roman"/>
          <w:noProof/>
          <w:color w:val="000000" w:themeColor="text1"/>
          <w:sz w:val="24"/>
        </w:rPr>
        <w:t xml:space="preserve"> Tämä takaa erityishallintoalueelta peräisin oleville tavaroille etuuskohteluun perustuvan pääsyn Hengqiniin (Manner-Kiinan veroja sovelletaan, jos tavarat myöhemmin viedään pois Hengqinistä ja tuodaan Manner-Kiinan muihin osiin). Joulukuussa allekirjoitettiin yhteisymmärryspöytäkirja Macaon kansainvälistä lentokenttää koskevasta hankkeesta lentorahtitilojen rakentamiseksi Hengqiniin. Yhdentymistä helpotettiin aloitteilla, joissa muun muassa kannustetaan ihmisten liikkuvuutta, sujuvoitetaan tulliselvityksiä, helpotetaan sähköisiä maksuja ja kahden valuutan rinnakkaiskäyttöä maksuissa Hengqinissä sekä tuetaan Macaon asukkaita Hengqinissä asumiseen ja työskentelyyn liittyvissä asioissa (esim. vuonna 2023 toteutettu asuntohanke ja koulun avaaminen macaolaislapsille Hengqinissä vuonna 2024 sekä Macaon terveyspalveluseteleiden käytön laajentaminen alueelle).</w:t>
      </w:r>
    </w:p>
    <w:p w14:paraId="4626F705" w14:textId="77777777" w:rsidR="008E58EF" w:rsidRPr="00EB7070" w:rsidRDefault="008E58EF" w:rsidP="003A5321">
      <w:pPr>
        <w:jc w:val="both"/>
        <w:rPr>
          <w:rFonts w:ascii="Times New Roman" w:hAnsi="Times New Roman" w:cs="Times New Roman"/>
          <w:noProof/>
          <w:color w:val="984806" w:themeColor="accent6" w:themeShade="80"/>
          <w:sz w:val="24"/>
          <w:szCs w:val="24"/>
        </w:rPr>
      </w:pPr>
    </w:p>
    <w:p w14:paraId="5FDF5DDF" w14:textId="2DA299B2" w:rsidR="008E58EF" w:rsidRPr="00EB7070" w:rsidRDefault="008E58EF" w:rsidP="003A5321">
      <w:pPr>
        <w:autoSpaceDE w:val="0"/>
        <w:autoSpaceDN w:val="0"/>
        <w:adjustRightInd w:val="0"/>
        <w:jc w:val="both"/>
        <w:rPr>
          <w:rFonts w:ascii="Times New Roman" w:eastAsia="PMingLiU" w:hAnsi="Times New Roman" w:cs="Times New Roman"/>
          <w:noProof/>
          <w:color w:val="000000"/>
          <w:sz w:val="24"/>
          <w:szCs w:val="24"/>
        </w:rPr>
      </w:pPr>
      <w:r>
        <w:rPr>
          <w:rFonts w:ascii="Times New Roman" w:hAnsi="Times New Roman"/>
          <w:noProof/>
          <w:color w:val="000000"/>
          <w:sz w:val="24"/>
        </w:rPr>
        <w:t xml:space="preserve">Guangdongin, Hongkongin ja Macaon suuralueen </w:t>
      </w:r>
      <w:r>
        <w:rPr>
          <w:rFonts w:ascii="Times New Roman" w:hAnsi="Times New Roman"/>
          <w:b/>
          <w:noProof/>
          <w:color w:val="000000"/>
          <w:sz w:val="24"/>
        </w:rPr>
        <w:t>rajatylittävää Wealth Management Connect -järjestelmää</w:t>
      </w:r>
      <w:r>
        <w:rPr>
          <w:rFonts w:ascii="Times New Roman" w:hAnsi="Times New Roman"/>
          <w:noProof/>
          <w:color w:val="000000"/>
          <w:sz w:val="24"/>
        </w:rPr>
        <w:t xml:space="preserve"> muutettiin vuoden aikana. Järjestelmä käynnistettiin vuonna 2021, jotta</w:t>
      </w:r>
      <w:r>
        <w:rPr>
          <w:rFonts w:ascii="Times New Roman" w:hAnsi="Times New Roman"/>
          <w:noProof/>
          <w:sz w:val="24"/>
        </w:rPr>
        <w:t xml:space="preserve"> </w:t>
      </w:r>
      <w:r>
        <w:rPr>
          <w:rFonts w:ascii="Times New Roman" w:hAnsi="Times New Roman"/>
          <w:noProof/>
          <w:color w:val="000000" w:themeColor="text1"/>
          <w:sz w:val="24"/>
        </w:rPr>
        <w:t>vaatimukset täyttävät Manner-Kiinan, Hongkongin ja Macaon asukkaat voisivat investoida pankkien jakamiin varainhoitotuotteisiin toistensa markkinoilla.</w:t>
      </w:r>
      <w:r>
        <w:rPr>
          <w:rFonts w:ascii="Times New Roman" w:hAnsi="Times New Roman"/>
          <w:noProof/>
          <w:color w:val="000000"/>
          <w:sz w:val="24"/>
        </w:rPr>
        <w:t xml:space="preserve"> Muutoksilla muun muassa tarkennetaan Manner-Kiinan sijoittajien kelpoisuusvaatimuksia, laajennetaan osallistuvia laitoksia koskevaa soveltamisalaa (kelpoisuusvaatimukset täyttävien arvopaperiyritysten sisällyttämiseksi siihen) ja kelpoisuusvaatimukset täyttävien tuotteiden valikoimaa, lisätään yksittäisten sijoittajien kiintiöitä sekä parannetaan menekinedistämis- ja myyntijärjestelyjä.</w:t>
      </w:r>
    </w:p>
    <w:p w14:paraId="172112CC" w14:textId="77777777" w:rsidR="008E58EF" w:rsidRPr="00EB7070" w:rsidRDefault="008E58EF" w:rsidP="003A5321">
      <w:pPr>
        <w:autoSpaceDE w:val="0"/>
        <w:autoSpaceDN w:val="0"/>
        <w:adjustRightInd w:val="0"/>
        <w:jc w:val="both"/>
        <w:rPr>
          <w:rFonts w:ascii="Times New Roman" w:eastAsia="PMingLiU" w:hAnsi="Times New Roman" w:cs="Times New Roman"/>
          <w:noProof/>
          <w:color w:val="000000"/>
          <w:sz w:val="24"/>
          <w:szCs w:val="24"/>
          <w:lang w:eastAsia="en-US"/>
        </w:rPr>
      </w:pPr>
    </w:p>
    <w:p w14:paraId="6ADAED54" w14:textId="432B1B0C" w:rsidR="008E58EF" w:rsidRPr="00EB7070" w:rsidRDefault="008E58EF" w:rsidP="003A5321">
      <w:pPr>
        <w:autoSpaceDE w:val="0"/>
        <w:autoSpaceDN w:val="0"/>
        <w:adjustRightInd w:val="0"/>
        <w:jc w:val="both"/>
        <w:rPr>
          <w:rFonts w:ascii="Times New Roman" w:eastAsia="PMingLiU" w:hAnsi="Times New Roman" w:cs="Times New Roman"/>
          <w:noProof/>
          <w:color w:val="000000"/>
          <w:sz w:val="24"/>
          <w:szCs w:val="24"/>
        </w:rPr>
      </w:pPr>
      <w:r>
        <w:rPr>
          <w:rFonts w:ascii="Times New Roman" w:hAnsi="Times New Roman"/>
          <w:noProof/>
          <w:color w:val="000000"/>
          <w:sz w:val="24"/>
        </w:rPr>
        <w:t xml:space="preserve">Lokakuussa allekirjoitettiin toinen sopimus </w:t>
      </w:r>
      <w:r>
        <w:rPr>
          <w:rFonts w:ascii="Times New Roman" w:hAnsi="Times New Roman"/>
          <w:b/>
          <w:noProof/>
          <w:color w:val="000000"/>
          <w:sz w:val="24"/>
        </w:rPr>
        <w:t>Manner-Kiinan ja Macaon palvelukaupan kattavan tiiviimpää taloudellista kumppanuutta koskevan järjestelyn</w:t>
      </w:r>
      <w:r>
        <w:rPr>
          <w:rFonts w:ascii="Times New Roman" w:hAnsi="Times New Roman"/>
          <w:noProof/>
          <w:color w:val="000000"/>
          <w:sz w:val="24"/>
        </w:rPr>
        <w:t xml:space="preserve"> muuttamisesta. Sopimuksella otetaan käyttöön uusia toimenpiteitä kaupan vapauttamiseksi useilla palvelualoilla ja pyritään helpottamaan Macaon palveluntarjoajien liiketoiminnan käynnistämistä ja harjoittamista Manner-Kiinassa sekä ammattipätevyyden hankkimista toiminnan harjoittamiseksi Manner-Kiinassa. Sopimuksella myös lievennetään sääntöjä, joiden perusteella Macaoon sijoittautuneet ulkomaiset yritykset, myös Euroopan unionin yritykset, voivat toimia palveluntarjoajina ja hyötyä tiiviimpää taloudellista kumppanuutta palvelukaupan alalla koskevasta sopimuksesta.</w:t>
      </w:r>
    </w:p>
    <w:p w14:paraId="6BCFABD2" w14:textId="77777777" w:rsidR="001F15F3" w:rsidRPr="00EB7070" w:rsidRDefault="001F15F3" w:rsidP="003A5321">
      <w:pPr>
        <w:jc w:val="both"/>
        <w:rPr>
          <w:rFonts w:ascii="Times New Roman" w:hAnsi="Times New Roman" w:cs="Times New Roman"/>
          <w:noProof/>
          <w:sz w:val="24"/>
          <w:szCs w:val="24"/>
        </w:rPr>
      </w:pPr>
    </w:p>
    <w:p w14:paraId="18FF7E51" w14:textId="7A9FCA5C" w:rsidR="00C279C0" w:rsidRPr="00EB7070" w:rsidRDefault="00C279C0" w:rsidP="003A5321">
      <w:pPr>
        <w:pStyle w:val="ListParagraph"/>
        <w:numPr>
          <w:ilvl w:val="0"/>
          <w:numId w:val="4"/>
        </w:numPr>
        <w:jc w:val="both"/>
        <w:rPr>
          <w:rFonts w:ascii="Times New Roman" w:hAnsi="Times New Roman" w:cs="Times New Roman"/>
          <w:b/>
          <w:noProof/>
          <w:sz w:val="24"/>
          <w:szCs w:val="24"/>
        </w:rPr>
      </w:pPr>
      <w:r>
        <w:rPr>
          <w:rFonts w:ascii="Times New Roman" w:hAnsi="Times New Roman"/>
          <w:b/>
          <w:noProof/>
          <w:sz w:val="24"/>
        </w:rPr>
        <w:t>Macaon ja Manner-Kiinan suhteet</w:t>
      </w:r>
    </w:p>
    <w:p w14:paraId="1C9DB9FA" w14:textId="77777777" w:rsidR="00242644" w:rsidRPr="00EB7070" w:rsidRDefault="00242644" w:rsidP="003A5321">
      <w:pPr>
        <w:jc w:val="both"/>
        <w:rPr>
          <w:rFonts w:ascii="Times New Roman" w:eastAsia="Times New Roman" w:hAnsi="Times New Roman" w:cs="Times New Roman"/>
          <w:noProof/>
          <w:sz w:val="24"/>
          <w:szCs w:val="24"/>
        </w:rPr>
      </w:pPr>
    </w:p>
    <w:p w14:paraId="69F46969" w14:textId="0165A149" w:rsidR="00CB67FA" w:rsidRPr="00EB7070" w:rsidRDefault="00CB67FA" w:rsidP="003A5321">
      <w:pPr>
        <w:jc w:val="both"/>
        <w:rPr>
          <w:rFonts w:ascii="Times New Roman" w:eastAsia="Times New Roman" w:hAnsi="Times New Roman" w:cs="Times New Roman"/>
          <w:noProof/>
          <w:sz w:val="24"/>
          <w:szCs w:val="24"/>
        </w:rPr>
      </w:pPr>
      <w:r>
        <w:rPr>
          <w:rFonts w:ascii="Times New Roman" w:hAnsi="Times New Roman"/>
          <w:noProof/>
          <w:sz w:val="24"/>
        </w:rPr>
        <w:t>Kiinan presidentti Xi Jinping vieraili Macaossa 18.–20. joulukuuta Macaon Kiinan kansantasavallalle palautumisen 25-vuotispäivän yhteydessä. Se oli hänen ensimmäinen vierailunsa Macaoon vuoden 2019 jälkeen. Xi Jinping piti Macaon kuudennen kauden hallituksen avajaistilaisuuden ja oli läsnä, kun hallintojohtaja Sam Hou Fai vannoi virkavalansa.</w:t>
      </w:r>
    </w:p>
    <w:p w14:paraId="607CC6D2" w14:textId="77777777" w:rsidR="00A66FD8" w:rsidRPr="00EB7070" w:rsidRDefault="00A66FD8" w:rsidP="003A5321">
      <w:pPr>
        <w:jc w:val="both"/>
        <w:rPr>
          <w:rFonts w:ascii="Times New Roman" w:eastAsia="Times New Roman" w:hAnsi="Times New Roman" w:cs="Times New Roman"/>
          <w:noProof/>
          <w:sz w:val="24"/>
          <w:szCs w:val="24"/>
        </w:rPr>
      </w:pPr>
    </w:p>
    <w:p w14:paraId="2DE452C9" w14:textId="77777777" w:rsidR="00A66FD8" w:rsidRPr="00EB7070" w:rsidRDefault="00A66FD8" w:rsidP="003A5321">
      <w:pPr>
        <w:jc w:val="both"/>
        <w:rPr>
          <w:rFonts w:ascii="Times New Roman" w:eastAsia="Times New Roman" w:hAnsi="Times New Roman" w:cs="Times New Roman"/>
          <w:noProof/>
          <w:sz w:val="24"/>
          <w:szCs w:val="24"/>
        </w:rPr>
      </w:pPr>
      <w:r>
        <w:rPr>
          <w:rFonts w:ascii="Times New Roman" w:hAnsi="Times New Roman"/>
          <w:noProof/>
          <w:sz w:val="24"/>
        </w:rPr>
        <w:t>Xi esitteli 20. joulukuuta uuden hallinnon neljä painopistettä, jotka ovat asianmukaisen ja monipuolisen taloudellisen kehityksen edistäminen, hallintokyvyn parantaminen, kansainvälisten verkostojen laajentaminen sekä yhteiskunnallisen sopusoinnun ja vakauden edistäminen, mukaan lukien kansallisen turvallisuuden varmistaminen.</w:t>
      </w:r>
    </w:p>
    <w:p w14:paraId="2B48C376" w14:textId="77777777" w:rsidR="00A974BA" w:rsidRPr="00EB7070" w:rsidRDefault="00A974BA" w:rsidP="003A5321">
      <w:pPr>
        <w:jc w:val="both"/>
        <w:rPr>
          <w:rFonts w:ascii="Times New Roman" w:eastAsia="Times New Roman" w:hAnsi="Times New Roman" w:cs="Times New Roman"/>
          <w:noProof/>
          <w:sz w:val="24"/>
          <w:szCs w:val="24"/>
        </w:rPr>
      </w:pPr>
    </w:p>
    <w:p w14:paraId="217F4290" w14:textId="77777777" w:rsidR="00A66FD8" w:rsidRPr="00EB7070" w:rsidRDefault="00A66FD8" w:rsidP="003A5321">
      <w:pPr>
        <w:jc w:val="both"/>
        <w:rPr>
          <w:rFonts w:ascii="Times New Roman" w:eastAsia="Times New Roman" w:hAnsi="Times New Roman" w:cs="Times New Roman"/>
          <w:noProof/>
          <w:sz w:val="24"/>
          <w:szCs w:val="24"/>
        </w:rPr>
      </w:pPr>
      <w:r>
        <w:rPr>
          <w:rFonts w:ascii="Times New Roman" w:hAnsi="Times New Roman"/>
          <w:noProof/>
          <w:sz w:val="24"/>
        </w:rPr>
        <w:t>Xi totesi lisäksi, että Hengqinin yhteistyöalueella Zhuhaissa toteutettavat hankkeet eivät saa olla ristiriidassa Pekingin poliittisten tavoitteiden kanssa. Hän korosti, että keskushallinto päätti kehittää Hengqiniä edistääkseen Macaon talouden asianmukaista monipuolistamista ja helpottaakseen Macaon asukkaiden elämää ja työskentelyä.</w:t>
      </w:r>
    </w:p>
    <w:p w14:paraId="2A2946BC" w14:textId="77777777" w:rsidR="00CB67FA" w:rsidRPr="00EB7070" w:rsidRDefault="00CB67FA" w:rsidP="003A5321">
      <w:pPr>
        <w:jc w:val="both"/>
        <w:rPr>
          <w:rFonts w:ascii="Times New Roman" w:eastAsia="Times New Roman" w:hAnsi="Times New Roman" w:cs="Times New Roman"/>
          <w:noProof/>
          <w:sz w:val="24"/>
          <w:szCs w:val="24"/>
        </w:rPr>
      </w:pPr>
    </w:p>
    <w:p w14:paraId="0C8B6B86" w14:textId="6BBB61D4" w:rsidR="00DA3A0C" w:rsidRPr="00EB7070" w:rsidRDefault="00FE320D" w:rsidP="003A5321">
      <w:pPr>
        <w:jc w:val="both"/>
        <w:rPr>
          <w:rFonts w:ascii="Times New Roman" w:eastAsia="Times New Roman" w:hAnsi="Times New Roman" w:cs="Times New Roman"/>
          <w:noProof/>
          <w:sz w:val="24"/>
          <w:szCs w:val="24"/>
        </w:rPr>
      </w:pPr>
      <w:r>
        <w:rPr>
          <w:rFonts w:ascii="Times New Roman" w:hAnsi="Times New Roman"/>
          <w:noProof/>
          <w:sz w:val="24"/>
        </w:rPr>
        <w:t>Ennen Xin vierailua ja vuosipäivää ainakin kaksi ulkomailla asuvaa macaolaista kertoi tiedotusvälineille, että Manner-Kiinan turvallisuusviranomaiset olivat ottaneet heihin yhteyttä tekstiviesteillä. Macaosta kotoisin oleva, nykyisin Yhdistyneessä kuningaskunnassa asuva aktivisti paljasti, että häntä oli kehotettu olemaan julkaisematta yhtenäisyyttä rikkovia mielipiteitä tiedotusvälineissä ja sosiaalisessa mediassa. Demokratiaa puolustava toimittaja, joka asuu nykyisin Taiwanissa, sai vastaavanlaisen varoituksen.</w:t>
      </w:r>
    </w:p>
    <w:p w14:paraId="5BA8A342" w14:textId="77777777" w:rsidR="00DA3A0C" w:rsidRPr="00EB7070" w:rsidRDefault="00DA3A0C" w:rsidP="003A5321">
      <w:pPr>
        <w:jc w:val="both"/>
        <w:rPr>
          <w:rFonts w:ascii="Times New Roman" w:eastAsia="Times New Roman" w:hAnsi="Times New Roman" w:cs="Times New Roman"/>
          <w:noProof/>
          <w:sz w:val="24"/>
          <w:szCs w:val="24"/>
        </w:rPr>
      </w:pPr>
    </w:p>
    <w:p w14:paraId="6F8C01ED" w14:textId="096F8886" w:rsidR="00A919E5" w:rsidRPr="00EB7070" w:rsidRDefault="00A919E5" w:rsidP="003A5321">
      <w:pPr>
        <w:jc w:val="both"/>
        <w:rPr>
          <w:rFonts w:ascii="Times New Roman" w:eastAsia="Times New Roman" w:hAnsi="Times New Roman" w:cs="Times New Roman"/>
          <w:noProof/>
          <w:sz w:val="24"/>
          <w:szCs w:val="24"/>
        </w:rPr>
      </w:pPr>
      <w:r>
        <w:rPr>
          <w:rFonts w:ascii="Times New Roman" w:hAnsi="Times New Roman"/>
          <w:noProof/>
          <w:sz w:val="24"/>
        </w:rPr>
        <w:t>Kiinan kommunistisen puolueen 20. keskuskomitean kolmas täysistunto, jossa hahmoteltiin taloudellisen kehityksen suuntaviivoja, päättyi 18. heinäkuuta. Kolmannessa täysistunnossa tehdyn päätöksen Kiinan laajoja avautumispyrkimyksiä käsittelevässä osiossa todettiin, että valjastamalla käyttöön ”yksi maa, kaksi järjestelmää” -periaatteen institutionaaliset vahvuudet puolue tukee Hongkongin ja Macaon kehittymistä huippuosaajien kansainvälisiksi keskuksiksi ja parantaa olennaisia mekanismeja, jotta näillä kahdella alueella voi olla entistä suurempi rooli Kiinan avautumisessa ympäröivään maailmaan. Puolue kannustaa Guangdongin, Hongkongin ja Macaon suuralueen yhteistyötä edistämällä sääntöjen ja mekanismien yhdenmukaistamista.</w:t>
      </w:r>
    </w:p>
    <w:p w14:paraId="6932D0F7" w14:textId="77777777" w:rsidR="00A919E5" w:rsidRPr="00EB7070" w:rsidRDefault="00A919E5" w:rsidP="003A5321">
      <w:pPr>
        <w:jc w:val="both"/>
        <w:rPr>
          <w:rFonts w:ascii="Times New Roman" w:hAnsi="Times New Roman" w:cs="Times New Roman"/>
          <w:noProof/>
          <w:sz w:val="24"/>
          <w:szCs w:val="24"/>
        </w:rPr>
      </w:pPr>
    </w:p>
    <w:p w14:paraId="5D8774E9" w14:textId="43195519" w:rsidR="00A919E5" w:rsidRPr="00EB7070" w:rsidRDefault="00A919E5" w:rsidP="003A5321">
      <w:pPr>
        <w:jc w:val="both"/>
        <w:rPr>
          <w:rFonts w:ascii="Times New Roman" w:hAnsi="Times New Roman" w:cs="Times New Roman"/>
          <w:noProof/>
          <w:sz w:val="24"/>
          <w:szCs w:val="24"/>
        </w:rPr>
      </w:pPr>
      <w:r>
        <w:rPr>
          <w:rFonts w:ascii="Times New Roman" w:hAnsi="Times New Roman"/>
          <w:noProof/>
          <w:sz w:val="24"/>
        </w:rPr>
        <w:t>Kiinan kansankongressin perustuslaki- ja lakivaliokunnan varapuheenjohtaja Shen Chunyao sekä kauppaministeriössä Kiinan kommunistisen puolueen johtoryhmän sihteerinä toimiva kauppaministeri Wang Wentao vierailivat Macaon hallituksen pyynnöstä Macaossa 27.–28. elokuuta selvittääkseen kolmannen täysistunnon päätöksen vaikutuksia erityishallintoalueeseen. Molemmat virkamiehet pitivät suljettuja kokouksia, joihin osallistui noin 380 virkamiestä keskushallinnosta ja kaupungissa toimivien valtion omistamien yritysten johtajia. Lisäksi järjestettiin tilaisuus, johon osallistui noin 500 edustajaa yrityspalvelu-, koulutus-, media- ja nuorisoaloilta sekä muilta ammattialoilta.</w:t>
      </w:r>
    </w:p>
    <w:p w14:paraId="309CFF0A" w14:textId="77777777" w:rsidR="00A919E5" w:rsidRPr="00EB7070" w:rsidRDefault="00A919E5" w:rsidP="003A5321">
      <w:pPr>
        <w:jc w:val="both"/>
        <w:rPr>
          <w:rFonts w:ascii="Times New Roman" w:hAnsi="Times New Roman" w:cs="Times New Roman"/>
          <w:noProof/>
          <w:sz w:val="24"/>
          <w:szCs w:val="24"/>
        </w:rPr>
      </w:pPr>
    </w:p>
    <w:p w14:paraId="11F0E7CB" w14:textId="409C8727" w:rsidR="00BE17A8" w:rsidRPr="00EB7070" w:rsidRDefault="00BA2D30" w:rsidP="003A5321">
      <w:pPr>
        <w:jc w:val="both"/>
        <w:rPr>
          <w:rFonts w:ascii="Times New Roman" w:hAnsi="Times New Roman" w:cs="Times New Roman"/>
          <w:noProof/>
          <w:sz w:val="24"/>
          <w:szCs w:val="24"/>
        </w:rPr>
      </w:pPr>
      <w:r>
        <w:rPr>
          <w:rFonts w:ascii="Times New Roman" w:hAnsi="Times New Roman"/>
          <w:noProof/>
          <w:sz w:val="24"/>
        </w:rPr>
        <w:t>Hongkongin ja Macaon asioita käsittelevän työtoimiston johtaja Xia Baolong vieraili Macaossa 13.–19. toukokuuta. Hän osallistui seitsemän päivää kestäneen vierailunsa aikana yli 40 kokoukseen ja tapahtumaan. Yleisössä oli hallituksen virkamiehiä, oikeuslaitoksen ja lainsäädäntöelimen jäseniä sekä Kiinan kansankongressin ja Kiinan kansan neuvoa-antavan poliittisen konferenssin paikallisia jäseniä. Xia keskittyi vierailullaan lääketieteen ja teknologian aloihin sekä koulutus- ja nuorisoaloihin.</w:t>
      </w:r>
    </w:p>
    <w:p w14:paraId="61F92352" w14:textId="77777777" w:rsidR="00BE17A8" w:rsidRPr="00EB7070" w:rsidRDefault="00BE17A8" w:rsidP="003A5321">
      <w:pPr>
        <w:jc w:val="both"/>
        <w:rPr>
          <w:rFonts w:ascii="Times New Roman" w:hAnsi="Times New Roman" w:cs="Times New Roman"/>
          <w:noProof/>
          <w:sz w:val="24"/>
          <w:szCs w:val="24"/>
        </w:rPr>
      </w:pPr>
    </w:p>
    <w:p w14:paraId="2DCCF30E" w14:textId="6B69C9F3" w:rsidR="003A5321" w:rsidRPr="00EB7070" w:rsidRDefault="00A919E5" w:rsidP="003A5321">
      <w:pPr>
        <w:jc w:val="both"/>
        <w:rPr>
          <w:rFonts w:ascii="Times New Roman" w:hAnsi="Times New Roman" w:cs="Times New Roman"/>
          <w:noProof/>
          <w:sz w:val="24"/>
          <w:szCs w:val="24"/>
        </w:rPr>
      </w:pPr>
      <w:r>
        <w:rPr>
          <w:rFonts w:ascii="Times New Roman" w:hAnsi="Times New Roman"/>
          <w:b/>
          <w:noProof/>
          <w:sz w:val="24"/>
        </w:rPr>
        <w:t>Huhtikuun 15. päivänä vietettiin kansallista turvallisuutta koskevaa koulutuspäivää</w:t>
      </w:r>
      <w:r>
        <w:rPr>
          <w:rFonts w:ascii="Times New Roman" w:hAnsi="Times New Roman"/>
          <w:noProof/>
          <w:sz w:val="24"/>
        </w:rPr>
        <w:t xml:space="preserve"> ja presidentti Xi Jinpingin ehdottaman kansallisen turvallisuuden kokonaisvaltaista toimintamallia koskevan käsitteen kymmenvuotispäivää. Keskushallinnon Macaon yhteystoimiston johtaja Zheng Xincong toisti, että kansallisen turvallisuuden takaamisessa vastuussa on yksi maa eikä kahden järjestelmän välillä ole eroja.</w:t>
      </w:r>
    </w:p>
    <w:p w14:paraId="2A953A00" w14:textId="77777777" w:rsidR="003A5321" w:rsidRPr="00EB7070" w:rsidRDefault="003A5321" w:rsidP="003A5321">
      <w:pPr>
        <w:jc w:val="both"/>
        <w:rPr>
          <w:rFonts w:ascii="Times New Roman" w:hAnsi="Times New Roman" w:cs="Times New Roman"/>
          <w:noProof/>
          <w:sz w:val="24"/>
          <w:szCs w:val="24"/>
        </w:rPr>
      </w:pPr>
    </w:p>
    <w:p w14:paraId="39DEEAA4" w14:textId="32AF8C30" w:rsidR="00BE17A8" w:rsidRPr="00EB7070" w:rsidRDefault="003A5321" w:rsidP="003A5321">
      <w:pPr>
        <w:jc w:val="both"/>
        <w:rPr>
          <w:rFonts w:ascii="Times New Roman" w:eastAsia="Times New Roman" w:hAnsi="Times New Roman" w:cs="Times New Roman"/>
          <w:noProof/>
          <w:sz w:val="24"/>
          <w:szCs w:val="24"/>
        </w:rPr>
      </w:pPr>
      <w:r>
        <w:rPr>
          <w:rFonts w:ascii="Times New Roman" w:hAnsi="Times New Roman"/>
          <w:noProof/>
          <w:sz w:val="24"/>
        </w:rPr>
        <w:t>Kiinan kansankongressin pysyvän komitean kuudennen kauden Macaon erityishallintoalueen peruslakikomitean jäsenet nimitettiin 25. joulukuuta. Komitean puheenjohtajana toimii Shen Chunyao, ja siihen kuuluu kymmenen jäsentä, joista viisi on Manner-Kiinasta ja viisi Macaosta. Komitean toimikausi on viisi vuotta.</w:t>
      </w:r>
    </w:p>
    <w:p w14:paraId="37DC6AD9" w14:textId="77777777" w:rsidR="00242644" w:rsidRPr="00EB7070" w:rsidRDefault="00242644" w:rsidP="003A5321">
      <w:pPr>
        <w:jc w:val="both"/>
        <w:rPr>
          <w:rFonts w:ascii="Times New Roman" w:hAnsi="Times New Roman" w:cs="Times New Roman"/>
          <w:noProof/>
          <w:sz w:val="24"/>
          <w:szCs w:val="24"/>
        </w:rPr>
      </w:pPr>
    </w:p>
    <w:p w14:paraId="1DFBD56F" w14:textId="1E4ECB91" w:rsidR="00C279C0" w:rsidRPr="00EB7070" w:rsidRDefault="00C279C0" w:rsidP="003A5321">
      <w:pPr>
        <w:pStyle w:val="ListParagraph"/>
        <w:numPr>
          <w:ilvl w:val="0"/>
          <w:numId w:val="4"/>
        </w:numPr>
        <w:jc w:val="both"/>
        <w:rPr>
          <w:rFonts w:ascii="Times New Roman" w:hAnsi="Times New Roman" w:cs="Times New Roman"/>
          <w:b/>
          <w:noProof/>
          <w:sz w:val="24"/>
          <w:szCs w:val="24"/>
        </w:rPr>
      </w:pPr>
      <w:r>
        <w:rPr>
          <w:rFonts w:ascii="Times New Roman" w:hAnsi="Times New Roman"/>
          <w:b/>
          <w:noProof/>
          <w:sz w:val="24"/>
        </w:rPr>
        <w:t>Macaon kahdenväliset suhteet ja yhteistyö vuonna 2024</w:t>
      </w:r>
    </w:p>
    <w:p w14:paraId="6137CB8E" w14:textId="77777777" w:rsidR="004F10A3" w:rsidRPr="00EB7070" w:rsidRDefault="004F10A3" w:rsidP="003A5321">
      <w:pPr>
        <w:jc w:val="both"/>
        <w:rPr>
          <w:rFonts w:ascii="Times New Roman" w:hAnsi="Times New Roman" w:cs="Times New Roman"/>
          <w:noProof/>
          <w:color w:val="000000" w:themeColor="text1"/>
          <w:sz w:val="24"/>
          <w:szCs w:val="24"/>
        </w:rPr>
      </w:pPr>
    </w:p>
    <w:p w14:paraId="3488E452" w14:textId="36A0B226" w:rsidR="00434C66" w:rsidRPr="00EB7070" w:rsidRDefault="00434C66"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Vuonna 1992 tehdyllä Euroopan talousyhteisön ja Macaon välisellä kauppa- ja yhteistyösopimuksella pyrittiin vahvistamaan edelleen EU:n ja Macaon välisiä suhteita. Sopimus koskee yhteistyötä kaupan, talouden, tieteen ja teknologian aloilla.</w:t>
      </w:r>
    </w:p>
    <w:p w14:paraId="02AC008C" w14:textId="77777777" w:rsidR="00434C66" w:rsidRPr="00EB7070" w:rsidRDefault="00434C66" w:rsidP="003A5321">
      <w:pPr>
        <w:autoSpaceDE w:val="0"/>
        <w:autoSpaceDN w:val="0"/>
        <w:adjustRightInd w:val="0"/>
        <w:jc w:val="both"/>
        <w:rPr>
          <w:rFonts w:ascii="Times New Roman" w:hAnsi="Times New Roman" w:cs="Times New Roman"/>
          <w:noProof/>
          <w:color w:val="000000" w:themeColor="text1"/>
          <w:sz w:val="24"/>
          <w:szCs w:val="24"/>
        </w:rPr>
      </w:pPr>
    </w:p>
    <w:p w14:paraId="1B9DBDC6" w14:textId="0C1BBF89" w:rsidR="00434C66" w:rsidRPr="00EB7070" w:rsidRDefault="00434C66"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EU:n ja Macaon sekakomitea on Macaon ja EU:n välinen keskustelufoorumi useilla osa-alueilla. Viimeisin </w:t>
      </w:r>
      <w:r>
        <w:rPr>
          <w:rFonts w:ascii="Times New Roman" w:hAnsi="Times New Roman"/>
          <w:b/>
          <w:noProof/>
          <w:color w:val="000000" w:themeColor="text1"/>
          <w:sz w:val="24"/>
        </w:rPr>
        <w:t>sekakomitean kokous</w:t>
      </w:r>
      <w:r>
        <w:rPr>
          <w:rFonts w:ascii="Times New Roman" w:hAnsi="Times New Roman"/>
          <w:noProof/>
          <w:color w:val="000000" w:themeColor="text1"/>
          <w:sz w:val="24"/>
        </w:rPr>
        <w:t xml:space="preserve"> pidettiin vuonna 2019.</w:t>
      </w:r>
    </w:p>
    <w:p w14:paraId="0D861047" w14:textId="77777777" w:rsidR="00434C66" w:rsidRPr="00EB7070" w:rsidRDefault="00434C66" w:rsidP="003A5321">
      <w:pPr>
        <w:autoSpaceDE w:val="0"/>
        <w:autoSpaceDN w:val="0"/>
        <w:adjustRightInd w:val="0"/>
        <w:jc w:val="both"/>
        <w:rPr>
          <w:rFonts w:ascii="Times New Roman" w:hAnsi="Times New Roman" w:cs="Times New Roman"/>
          <w:noProof/>
          <w:color w:val="984806" w:themeColor="accent6" w:themeShade="80"/>
          <w:sz w:val="24"/>
          <w:szCs w:val="24"/>
        </w:rPr>
      </w:pPr>
    </w:p>
    <w:p w14:paraId="6B2B38E0" w14:textId="7DDB7D1B" w:rsidR="00434C66" w:rsidRPr="00EB7070" w:rsidRDefault="00DB1C40"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Euroopan unionin toimisto järjesti vuonna 2024 Eurooppa-päivän juhlatilaisuuden ensimmäisen kerran covid-19-pandemiaan liittyvien matkustusrajoitusten poistamisen jälkeen. Euroopan unionin Hongkongin- ja Macaon-toimiston nykyinen päällikkö aloitti tehtävänsä syyskuussa 2024 ja tapasi Macaon virkamiehiä (myös hallintojohtajan) sekä liike-elämän ja kansalaisyhteiskunnan sidosryhmiä.</w:t>
      </w:r>
    </w:p>
    <w:p w14:paraId="7431D558" w14:textId="77777777" w:rsidR="00434C66" w:rsidRPr="00EB7070" w:rsidRDefault="00434C66" w:rsidP="003A5321">
      <w:pPr>
        <w:autoSpaceDE w:val="0"/>
        <w:autoSpaceDN w:val="0"/>
        <w:adjustRightInd w:val="0"/>
        <w:jc w:val="both"/>
        <w:rPr>
          <w:rFonts w:ascii="Times New Roman" w:hAnsi="Times New Roman" w:cs="Times New Roman"/>
          <w:noProof/>
          <w:color w:val="984806" w:themeColor="accent6" w:themeShade="80"/>
          <w:sz w:val="24"/>
          <w:szCs w:val="24"/>
        </w:rPr>
      </w:pPr>
    </w:p>
    <w:p w14:paraId="36D2876E" w14:textId="5F7D6884" w:rsidR="00434C66" w:rsidRPr="00EB7070" w:rsidRDefault="00434C66" w:rsidP="003A5321">
      <w:pPr>
        <w:jc w:val="both"/>
        <w:rPr>
          <w:rFonts w:ascii="Times New Roman" w:hAnsi="Times New Roman" w:cs="Times New Roman"/>
          <w:noProof/>
          <w:color w:val="000000" w:themeColor="text1"/>
          <w:sz w:val="24"/>
          <w:szCs w:val="24"/>
        </w:rPr>
      </w:pPr>
      <w:r>
        <w:rPr>
          <w:rFonts w:ascii="Times New Roman" w:hAnsi="Times New Roman"/>
          <w:b/>
          <w:noProof/>
          <w:color w:val="000000" w:themeColor="text1"/>
          <w:sz w:val="24"/>
        </w:rPr>
        <w:t>EU oli vuonna 2024 Macaon toiseksi suurin kauppakumppani tavarakaupassa</w:t>
      </w:r>
      <w:r>
        <w:rPr>
          <w:rFonts w:ascii="Times New Roman" w:hAnsi="Times New Roman"/>
          <w:noProof/>
          <w:color w:val="000000" w:themeColor="text1"/>
          <w:sz w:val="24"/>
        </w:rPr>
        <w:t>, ja sen osuus Macaon kokonaiskaupasta oli 26,6 prosenttia (Macaon suurimman kauppakumppanin Manner-Kiinan osuus oli 28,3 prosenttia).</w:t>
      </w:r>
    </w:p>
    <w:p w14:paraId="45A2678B" w14:textId="77777777" w:rsidR="00434C66" w:rsidRPr="00EB7070" w:rsidRDefault="00434C66" w:rsidP="003A5321">
      <w:pPr>
        <w:jc w:val="both"/>
        <w:rPr>
          <w:rFonts w:ascii="Times New Roman" w:hAnsi="Times New Roman" w:cs="Times New Roman"/>
          <w:noProof/>
          <w:color w:val="984806" w:themeColor="accent6" w:themeShade="80"/>
          <w:sz w:val="24"/>
          <w:szCs w:val="24"/>
        </w:rPr>
      </w:pPr>
    </w:p>
    <w:p w14:paraId="026B1E82" w14:textId="4CA9EB50" w:rsidR="00434C66" w:rsidRPr="00EB7070" w:rsidRDefault="00434C66" w:rsidP="003A5321">
      <w:pPr>
        <w:autoSpaceDE w:val="0"/>
        <w:autoSpaceDN w:val="0"/>
        <w:adjustRightInd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Eurostatin tietojen mukaan </w:t>
      </w:r>
      <w:r>
        <w:rPr>
          <w:rFonts w:ascii="Times New Roman" w:hAnsi="Times New Roman"/>
          <w:b/>
          <w:noProof/>
          <w:color w:val="000000" w:themeColor="text1"/>
          <w:sz w:val="24"/>
        </w:rPr>
        <w:t>EU:n kahdenvälinen tavarakauppa Macaon kanssa</w:t>
      </w:r>
      <w:r>
        <w:rPr>
          <w:rFonts w:ascii="Times New Roman" w:hAnsi="Times New Roman"/>
          <w:noProof/>
          <w:color w:val="000000" w:themeColor="text1"/>
          <w:sz w:val="24"/>
        </w:rPr>
        <w:t xml:space="preserve"> oli vuonna 2024 arvoltaan 1 037 miljoonaa euroa ja koostui pääasiassa EU:n viennistä Macaoon (954 miljoonaa euroa). EU:sta Macaoon suuntautuvassa viennissä tärkeimpiä tuotteita olivat vaatteet ja asusteet, korut, nahkatuotteet ja ylellisyystuotteet.</w:t>
      </w:r>
    </w:p>
    <w:p w14:paraId="627E20FD" w14:textId="77777777" w:rsidR="00434C66" w:rsidRPr="00EB7070" w:rsidRDefault="00434C66" w:rsidP="003A5321">
      <w:pPr>
        <w:autoSpaceDE w:val="0"/>
        <w:autoSpaceDN w:val="0"/>
        <w:adjustRightInd w:val="0"/>
        <w:jc w:val="both"/>
        <w:rPr>
          <w:rFonts w:ascii="Times New Roman" w:hAnsi="Times New Roman" w:cs="Times New Roman"/>
          <w:noProof/>
          <w:color w:val="984806" w:themeColor="accent6" w:themeShade="80"/>
          <w:sz w:val="24"/>
          <w:szCs w:val="24"/>
        </w:rPr>
      </w:pPr>
    </w:p>
    <w:p w14:paraId="1BC479DC" w14:textId="1198749C" w:rsidR="00434C66" w:rsidRPr="00EB7070" w:rsidRDefault="00434C66" w:rsidP="003A5321">
      <w:pPr>
        <w:autoSpaceDE w:val="0"/>
        <w:autoSpaceDN w:val="0"/>
        <w:adjustRightInd w:val="0"/>
        <w:jc w:val="both"/>
        <w:rPr>
          <w:rFonts w:ascii="Times New Roman" w:hAnsi="Times New Roman" w:cs="Times New Roman"/>
          <w:noProof/>
          <w:color w:val="984806" w:themeColor="accent6" w:themeShade="80"/>
          <w:sz w:val="24"/>
          <w:szCs w:val="24"/>
        </w:rPr>
      </w:pPr>
      <w:r>
        <w:rPr>
          <w:rFonts w:ascii="Times New Roman" w:hAnsi="Times New Roman"/>
          <w:b/>
          <w:noProof/>
          <w:color w:val="000000" w:themeColor="text1"/>
          <w:sz w:val="24"/>
        </w:rPr>
        <w:t>EU teki Macaoon neljänneksi eniten suoria ulkomaisia investointeja vuonna 2023</w:t>
      </w:r>
      <w:r>
        <w:rPr>
          <w:rFonts w:ascii="Times New Roman" w:hAnsi="Times New Roman"/>
          <w:noProof/>
          <w:color w:val="000000" w:themeColor="text1"/>
          <w:sz w:val="24"/>
        </w:rPr>
        <w:t xml:space="preserve"> (lukuun ottamatta offshore-keskuksia). Eniten niitä tekivät Hongkong, Manner-Kiina ja Yhdysvallat. Macaon julkaisemien virallisten tilastojen mukaan EU:n osuus kaikista suorista ulkomaisista investoinneista oli 5,5 prosenttia vuonna 2023 (lukuun ottamatta offshore-keskuksia). Eurostatin mukaan EU:n ulkomaiset suorat investoinnit Macaoon olivat 1,46 miljardia euroa vuoden 2023 lopussa (viimeisimmät saatavilla olevat tiedot), kun taas Macaosta EU:hun tehtyjen suorien ulkomaisten investointien määrä oli 984 miljoonaa euroa.</w:t>
      </w:r>
    </w:p>
    <w:p w14:paraId="5B839F46" w14:textId="4DABA154" w:rsidR="00434C66" w:rsidRDefault="00434C66" w:rsidP="003A5321">
      <w:pPr>
        <w:jc w:val="both"/>
        <w:rPr>
          <w:rFonts w:ascii="Times New Roman" w:hAnsi="Times New Roman" w:cs="Times New Roman"/>
          <w:noProof/>
          <w:sz w:val="24"/>
          <w:szCs w:val="24"/>
        </w:rPr>
      </w:pPr>
    </w:p>
    <w:p w14:paraId="4C58EB55" w14:textId="7970F0F4" w:rsidR="0032431B" w:rsidRPr="00EB7070" w:rsidRDefault="0032431B" w:rsidP="003A5321">
      <w:pPr>
        <w:jc w:val="both"/>
        <w:rPr>
          <w:rFonts w:ascii="Times New Roman" w:hAnsi="Times New Roman" w:cs="Times New Roman"/>
          <w:noProof/>
          <w:sz w:val="24"/>
          <w:szCs w:val="24"/>
        </w:rPr>
      </w:pPr>
      <w:r>
        <w:rPr>
          <w:rFonts w:ascii="Times New Roman" w:hAnsi="Times New Roman"/>
          <w:noProof/>
          <w:sz w:val="24"/>
        </w:rPr>
        <w:t>EU:n ja Hongkongin sekä EU:n ja Macaon välisen poliittisen vuoropuhelun tukivälinettä koskeva hanke tarjosi foorumin keskusteluille esimerkiksi kestävyydestä vuoden alkupuolella toukokuuhun 2024 saakka. Joulukuussa 2024 käynnistettiin Hongkongia ja Macaota varten uusi poliittisen vuoropuhelun ja julkisuusdiplomatian väline. Kolmivuotisella hankkeella tuetaan Macaossa EU:n toimiston jatkuvaa yhteistyötä tärkeimpien kumppaneiden kanssa molempia osapuolia kiinnostavista strategisista aiheista pääasiassa järjestämällä yhteisiä tapahtumia, laatimalla tutkimuksia ja tuottamalla näkyvyyttä edistävää materiaalia.</w:t>
      </w:r>
    </w:p>
    <w:sectPr w:rsidR="0032431B" w:rsidRPr="00EB7070" w:rsidSect="00593CC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18EDA" w14:textId="77777777" w:rsidR="00E33E31" w:rsidRPr="00EB7070" w:rsidRDefault="00E33E31" w:rsidP="001F15F3">
      <w:r>
        <w:separator/>
      </w:r>
    </w:p>
  </w:endnote>
  <w:endnote w:type="continuationSeparator" w:id="0">
    <w:p w14:paraId="3846E437" w14:textId="77777777" w:rsidR="00E33E31" w:rsidRPr="00EB7070" w:rsidRDefault="00E33E31" w:rsidP="001F1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45220" w14:textId="5919AD8D" w:rsidR="0027238C" w:rsidRPr="0027238C" w:rsidRDefault="0027238C" w:rsidP="0027238C">
    <w:pPr>
      <w:pStyle w:val="FooterCoverPage"/>
      <w:rPr>
        <w:rFonts w:ascii="Arial" w:hAnsi="Arial" w:cs="Arial"/>
        <w:b/>
        <w:sz w:val="48"/>
      </w:rPr>
    </w:pPr>
    <w:r w:rsidRPr="0027238C">
      <w:rPr>
        <w:rFonts w:ascii="Arial" w:hAnsi="Arial" w:cs="Arial"/>
        <w:b/>
        <w:sz w:val="48"/>
      </w:rPr>
      <w:t>FI</w:t>
    </w:r>
    <w:r w:rsidRPr="0027238C">
      <w:rPr>
        <w:rFonts w:ascii="Arial" w:hAnsi="Arial" w:cs="Arial"/>
        <w:b/>
        <w:sz w:val="48"/>
      </w:rPr>
      <w:tab/>
    </w:r>
    <w:r w:rsidRPr="0027238C">
      <w:rPr>
        <w:rFonts w:ascii="Arial" w:hAnsi="Arial" w:cs="Arial"/>
        <w:b/>
        <w:sz w:val="48"/>
      </w:rPr>
      <w:tab/>
    </w:r>
    <w:r w:rsidRPr="0027238C">
      <w:tab/>
    </w:r>
    <w:r w:rsidRPr="0027238C">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CEC49" w14:textId="0E8A2FA1" w:rsidR="0027238C" w:rsidRPr="0027238C" w:rsidRDefault="0027238C" w:rsidP="0027238C">
    <w:pPr>
      <w:pStyle w:val="FooterCoverPage"/>
      <w:rPr>
        <w:rFonts w:ascii="Arial" w:hAnsi="Arial" w:cs="Arial"/>
        <w:b/>
        <w:sz w:val="48"/>
      </w:rPr>
    </w:pPr>
    <w:r w:rsidRPr="0027238C">
      <w:rPr>
        <w:rFonts w:ascii="Arial" w:hAnsi="Arial" w:cs="Arial"/>
        <w:b/>
        <w:sz w:val="48"/>
      </w:rPr>
      <w:t>FI</w:t>
    </w:r>
    <w:r w:rsidRPr="0027238C">
      <w:rPr>
        <w:rFonts w:ascii="Arial" w:hAnsi="Arial" w:cs="Arial"/>
        <w:b/>
        <w:sz w:val="48"/>
      </w:rPr>
      <w:tab/>
    </w:r>
    <w:r w:rsidRPr="0027238C">
      <w:rPr>
        <w:rFonts w:ascii="Arial" w:hAnsi="Arial" w:cs="Arial"/>
        <w:b/>
        <w:sz w:val="48"/>
      </w:rPr>
      <w:tab/>
    </w:r>
    <w:r w:rsidRPr="0027238C">
      <w:tab/>
    </w:r>
    <w:r w:rsidRPr="0027238C">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F0EC5" w14:textId="77777777" w:rsidR="0027238C" w:rsidRPr="0027238C" w:rsidRDefault="0027238C" w:rsidP="0027238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B6E99" w14:textId="77777777" w:rsidR="00593CC6" w:rsidRPr="00EB7070" w:rsidRDefault="00593C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632870"/>
      <w:docPartObj>
        <w:docPartGallery w:val="Page Numbers (Bottom of Page)"/>
        <w:docPartUnique/>
      </w:docPartObj>
    </w:sdtPr>
    <w:sdtEndPr/>
    <w:sdtContent>
      <w:p w14:paraId="41D7D169" w14:textId="5C98C326" w:rsidR="00593CC6" w:rsidRPr="00EB7070" w:rsidRDefault="00593CC6">
        <w:pPr>
          <w:pStyle w:val="Footer"/>
          <w:jc w:val="center"/>
        </w:pPr>
        <w:r>
          <w:fldChar w:fldCharType="begin"/>
        </w:r>
        <w:r>
          <w:instrText xml:space="preserve"> PAGE   \* MERGEFORMAT </w:instrText>
        </w:r>
        <w:r>
          <w:fldChar w:fldCharType="separate"/>
        </w:r>
        <w:r w:rsidR="0027238C">
          <w:rPr>
            <w:noProof/>
          </w:rPr>
          <w:t>1</w:t>
        </w:r>
        <w:r>
          <w:fldChar w:fldCharType="end"/>
        </w:r>
      </w:p>
    </w:sdtContent>
  </w:sdt>
  <w:p w14:paraId="0F8979C5" w14:textId="77777777" w:rsidR="00593CC6" w:rsidRPr="00EB7070" w:rsidRDefault="00593CC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4280B" w14:textId="77777777" w:rsidR="00593CC6" w:rsidRPr="00EB7070" w:rsidRDefault="00593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9DA7C" w14:textId="77777777" w:rsidR="00E33E31" w:rsidRPr="00EB7070" w:rsidRDefault="00E33E31" w:rsidP="001F15F3">
      <w:r>
        <w:separator/>
      </w:r>
    </w:p>
  </w:footnote>
  <w:footnote w:type="continuationSeparator" w:id="0">
    <w:p w14:paraId="4D17E358" w14:textId="77777777" w:rsidR="00E33E31" w:rsidRPr="00EB7070" w:rsidRDefault="00E33E31" w:rsidP="001F15F3">
      <w:r>
        <w:continuationSeparator/>
      </w:r>
    </w:p>
  </w:footnote>
  <w:footnote w:id="1">
    <w:p w14:paraId="591E7A7B" w14:textId="77777777" w:rsidR="00BA1CC7" w:rsidRPr="00DA48D8" w:rsidRDefault="00BA1CC7" w:rsidP="00DA48D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Sam syntyi vuonna 1962 Zhongshanissa Kiinan kansantasavallassa. Hän muutti Macaoon vuonna 1986. Hänet nimitettiin ylimmän muutoksenhakutuomioistuimen presidentiksi vuonna 1999, ja hän hoiti virkaa joulukuuhun 2024 asti.</w:t>
      </w:r>
    </w:p>
  </w:footnote>
  <w:footnote w:id="2">
    <w:p w14:paraId="1AD46558" w14:textId="0F01AEA9" w:rsidR="00BA1CC7" w:rsidRPr="00DA48D8" w:rsidRDefault="00BA1CC7" w:rsidP="00FE1889">
      <w:pPr>
        <w:jc w:val="both"/>
        <w:rPr>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Hallintojohtajan vaaleissa on ollut aina vain yksi ehdokas, lukuun ottamatta vuonna 1999 järjestettyjä ensimmäisiä vaaleja.</w:t>
      </w:r>
    </w:p>
  </w:footnote>
  <w:footnote w:id="3">
    <w:p w14:paraId="61409C03" w14:textId="4223F840" w:rsidR="00BA1CC7" w:rsidRPr="00DA48D8" w:rsidRDefault="00BA1CC7" w:rsidP="00DA48D8">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Lainsäädäntöelin oli hylännyt äänestyksessä lainsäätäjän ehdotuksen ammattiyhdistyslaista yhteensä 12 kertaa sen jälkeen, kun Macao oli palautettu vuonna 1999.</w:t>
      </w:r>
    </w:p>
  </w:footnote>
  <w:footnote w:id="4">
    <w:p w14:paraId="06AE0988" w14:textId="059D29B6" w:rsidR="00BA1CC7" w:rsidRPr="00DA48D8" w:rsidRDefault="00BA1CC7" w:rsidP="00DA48D8">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Macaon peruslain 27 §:ssä säädetään, että Macaon asukkailla on sananvapaus, lehdistön- ja julkaisuvapaus, yhdistymis-, kokoontumis- ja mielenosoitusvapaus, oikeus ja vapaus perustaa ammattiliittoja ja liittyä niihin sekä lakko-oikeus.</w:t>
      </w:r>
    </w:p>
  </w:footnote>
  <w:footnote w:id="5">
    <w:p w14:paraId="5DB04786" w14:textId="2E8E0AA5" w:rsidR="00BA1CC7" w:rsidRPr="00EB7070" w:rsidRDefault="00BA1CC7" w:rsidP="00DA48D8">
      <w:pPr>
        <w:pStyle w:val="FootnoteText"/>
        <w:jc w:val="both"/>
      </w:pPr>
      <w:r>
        <w:rPr>
          <w:rStyle w:val="FootnoteReference"/>
          <w:rFonts w:ascii="Times New Roman" w:hAnsi="Times New Roman"/>
        </w:rPr>
        <w:footnoteRef/>
      </w:r>
      <w:r>
        <w:rPr>
          <w:rFonts w:ascii="Times New Roman" w:hAnsi="Times New Roman"/>
        </w:rPr>
        <w:t xml:space="preserve"> Kansalliseen turvallisuuteen liittyvistä rikoksista tuomituille henkilöille voidaan palauttaa oikeus ottaa vastaan tällaisia tehtäviä kansallisen turvallisuuslain asiaa koskevien säännösten mukaisesti.</w:t>
      </w:r>
    </w:p>
  </w:footnote>
  <w:footnote w:id="6">
    <w:p w14:paraId="14CD1C80" w14:textId="77777777" w:rsidR="00DA48D8" w:rsidRPr="00A87BF2" w:rsidRDefault="00BA1CC7" w:rsidP="00DA48D8">
      <w:pPr>
        <w:jc w:val="both"/>
        <w:rPr>
          <w:rFonts w:ascii="Times New Roman" w:hAnsi="Times New Roman" w:cs="Times New Roman"/>
          <w:color w:val="000000" w:themeColor="text1"/>
          <w:sz w:val="20"/>
          <w:szCs w:val="20"/>
          <w:lang w:val="en-GB"/>
        </w:rPr>
      </w:pPr>
      <w:r>
        <w:rPr>
          <w:rStyle w:val="FootnoteReference"/>
          <w:rFonts w:ascii="Times New Roman" w:hAnsi="Times New Roman" w:cs="Times New Roman"/>
          <w:sz w:val="20"/>
          <w:szCs w:val="20"/>
        </w:rPr>
        <w:footnoteRef/>
      </w:r>
      <w:r w:rsidRPr="00A87BF2">
        <w:rPr>
          <w:rFonts w:ascii="Times New Roman" w:hAnsi="Times New Roman"/>
          <w:sz w:val="20"/>
          <w:lang w:val="en-GB"/>
        </w:rPr>
        <w:t xml:space="preserve"> </w:t>
      </w:r>
      <w:r w:rsidRPr="00A87BF2">
        <w:rPr>
          <w:rFonts w:ascii="Times New Roman" w:hAnsi="Times New Roman"/>
          <w:color w:val="000000" w:themeColor="text1"/>
          <w:sz w:val="20"/>
          <w:lang w:val="en-GB"/>
        </w:rPr>
        <w:t>Kansainvälinen valuuttarahasto, People’s Republic of China – Macao Special Administrative Region 2024 Article IV Consultation Discussions, Staff Report (toukokuu 2024):</w:t>
      </w:r>
    </w:p>
    <w:p w14:paraId="07E1A21C" w14:textId="1D7991F9" w:rsidR="00BA1CC7" w:rsidRPr="00A87BF2" w:rsidRDefault="0027238C" w:rsidP="00DA48D8">
      <w:pPr>
        <w:jc w:val="both"/>
        <w:rPr>
          <w:rFonts w:ascii="Times New Roman" w:hAnsi="Times New Roman" w:cs="Times New Roman"/>
          <w:sz w:val="20"/>
          <w:szCs w:val="20"/>
          <w:lang w:val="en-GB"/>
        </w:rPr>
      </w:pPr>
      <w:hyperlink r:id="rId1" w:history="1">
        <w:r w:rsidR="00E33E31" w:rsidRPr="00A87BF2">
          <w:rPr>
            <w:rStyle w:val="Hyperlink"/>
            <w:rFonts w:ascii="Times New Roman" w:hAnsi="Times New Roman"/>
            <w:sz w:val="20"/>
            <w:lang w:val="en-GB"/>
          </w:rPr>
          <w:t>https://www.imf.org/en/Publications/CR/Issues/2024/05/29/Peoples-Republic-of-China-Macao-Special-Administrative-Region-2024-Article-IV-Consultation-549654</w:t>
        </w:r>
      </w:hyperlink>
      <w:r w:rsidR="00E33E31" w:rsidRPr="00A87BF2">
        <w:rPr>
          <w:rStyle w:val="Hyperlink"/>
          <w:rFonts w:ascii="Times New Roman" w:hAnsi="Times New Roman"/>
          <w:sz w:val="20"/>
          <w:lang w:val="en-GB"/>
        </w:rPr>
        <w:t>.</w:t>
      </w:r>
    </w:p>
  </w:footnote>
  <w:footnote w:id="7">
    <w:p w14:paraId="7614CB55" w14:textId="3D1D1919" w:rsidR="00BA1CC7" w:rsidRPr="00DA48D8" w:rsidRDefault="00BA1CC7" w:rsidP="00DA48D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Virallinen lehti, </w:t>
      </w:r>
      <w:r>
        <w:rPr>
          <w:rFonts w:ascii="Times New Roman" w:hAnsi="Times New Roman"/>
          <w:color w:val="000000" w:themeColor="text1"/>
        </w:rPr>
        <w:t xml:space="preserve">Macaon erityishallintoalueen hallitus </w:t>
      </w:r>
      <w:hyperlink r:id="rId2" w:history="1">
        <w:r>
          <w:rPr>
            <w:rStyle w:val="Hyperlink"/>
            <w:rFonts w:ascii="Times New Roman" w:hAnsi="Times New Roman"/>
          </w:rPr>
          <w:t>https://bo.io.gov.mo/bo/i/2024/17/lei07.asp</w:t>
        </w:r>
      </w:hyperlink>
      <w:r>
        <w:rPr>
          <w:rFonts w:ascii="Times New Roman" w:hAnsi="Times New Roman"/>
        </w:rPr>
        <w:t>.</w:t>
      </w:r>
    </w:p>
  </w:footnote>
  <w:footnote w:id="8">
    <w:p w14:paraId="16C980CE" w14:textId="77777777" w:rsidR="00BA1CC7" w:rsidRPr="00DA48D8" w:rsidRDefault="00BA1CC7" w:rsidP="00DA48D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000000" w:themeColor="text1"/>
        </w:rPr>
        <w:t>Virallinen lehti, Macaon erityishallintoalueen hallitus</w:t>
      </w:r>
    </w:p>
    <w:p w14:paraId="4B5F1B4D" w14:textId="45C5EAD7" w:rsidR="00BA1CC7" w:rsidRPr="00EB7070" w:rsidRDefault="0027238C" w:rsidP="00DA48D8">
      <w:pPr>
        <w:pStyle w:val="FootnoteText"/>
        <w:jc w:val="both"/>
        <w:rPr>
          <w:rFonts w:ascii="Times New Roman" w:hAnsi="Times New Roman" w:cs="Times New Roman"/>
          <w:sz w:val="18"/>
          <w:szCs w:val="18"/>
        </w:rPr>
      </w:pPr>
      <w:hyperlink r:id="rId3" w:history="1">
        <w:r w:rsidR="00E33E31">
          <w:rPr>
            <w:rStyle w:val="Hyperlink"/>
            <w:rFonts w:ascii="Times New Roman" w:hAnsi="Times New Roman"/>
          </w:rPr>
          <w:t>https://bo.io.gov.mo/bo/i/2024/44/lei20.asp</w:t>
        </w:r>
      </w:hyperlink>
      <w:r w:rsidR="00E33E31">
        <w:t>.</w:t>
      </w:r>
    </w:p>
  </w:footnote>
  <w:footnote w:id="9">
    <w:p w14:paraId="1AA74938" w14:textId="16753838" w:rsidR="00BA1CC7" w:rsidRPr="00A87BF2" w:rsidRDefault="00BA1CC7" w:rsidP="00DA48D8">
      <w:pPr>
        <w:autoSpaceDE w:val="0"/>
        <w:autoSpaceDN w:val="0"/>
        <w:adjustRightInd w:val="0"/>
        <w:jc w:val="both"/>
        <w:rPr>
          <w:rFonts w:ascii="Times New Roman" w:hAnsi="Times New Roman" w:cs="Times New Roman"/>
          <w:color w:val="000000" w:themeColor="text1"/>
          <w:sz w:val="20"/>
          <w:szCs w:val="20"/>
          <w:lang w:val="en-GB"/>
        </w:rPr>
      </w:pPr>
      <w:r>
        <w:rPr>
          <w:rStyle w:val="FootnoteReference"/>
          <w:rFonts w:ascii="Times New Roman" w:hAnsi="Times New Roman" w:cs="Times New Roman"/>
          <w:sz w:val="20"/>
          <w:szCs w:val="20"/>
        </w:rPr>
        <w:footnoteRef/>
      </w:r>
      <w:r w:rsidRPr="00A87BF2">
        <w:rPr>
          <w:rFonts w:ascii="Times New Roman" w:hAnsi="Times New Roman"/>
          <w:sz w:val="20"/>
          <w:lang w:val="en-GB"/>
        </w:rPr>
        <w:t xml:space="preserve"> </w:t>
      </w:r>
      <w:r w:rsidRPr="00A87BF2">
        <w:rPr>
          <w:rFonts w:ascii="Times New Roman" w:hAnsi="Times New Roman"/>
          <w:color w:val="000000" w:themeColor="text1"/>
          <w:sz w:val="20"/>
          <w:lang w:val="en-GB"/>
        </w:rPr>
        <w:t>Review of the Government’s Work in the Fiscal Year 2024, Government of the Macao Special Administrative Region (MSAR), marraskuu 2024</w:t>
      </w:r>
    </w:p>
    <w:p w14:paraId="1EB0A091" w14:textId="77777777" w:rsidR="00BA1CC7" w:rsidRPr="00A87BF2" w:rsidRDefault="0027238C" w:rsidP="00DA48D8">
      <w:pPr>
        <w:autoSpaceDE w:val="0"/>
        <w:autoSpaceDN w:val="0"/>
        <w:adjustRightInd w:val="0"/>
        <w:jc w:val="both"/>
        <w:rPr>
          <w:rFonts w:ascii="Times New Roman" w:hAnsi="Times New Roman" w:cs="Times New Roman"/>
          <w:color w:val="000000" w:themeColor="text1"/>
          <w:sz w:val="20"/>
          <w:szCs w:val="20"/>
          <w:lang w:val="en-GB"/>
        </w:rPr>
      </w:pPr>
      <w:hyperlink r:id="rId4" w:history="1">
        <w:r w:rsidR="00E33E31" w:rsidRPr="00A87BF2">
          <w:rPr>
            <w:rStyle w:val="Hyperlink"/>
            <w:rFonts w:ascii="Times New Roman" w:hAnsi="Times New Roman"/>
            <w:sz w:val="20"/>
            <w:lang w:val="en-GB"/>
          </w:rPr>
          <w:t>https://www.gov.mo/en/wp-content/uploads/sites/2/2024/12/2024Review.pdf</w:t>
        </w:r>
      </w:hyperlink>
      <w:r w:rsidR="00E33E31" w:rsidRPr="00A87BF2">
        <w:rPr>
          <w:lang w:val="en-GB"/>
        </w:rPr>
        <w:t>.</w:t>
      </w:r>
    </w:p>
  </w:footnote>
  <w:footnote w:id="10">
    <w:p w14:paraId="790CAF7E" w14:textId="23591F92" w:rsidR="00BA1CC7" w:rsidRPr="00EB7070" w:rsidRDefault="00BA1CC7" w:rsidP="00DA48D8">
      <w:pPr>
        <w:pStyle w:val="FootnoteText"/>
        <w:jc w:val="both"/>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Virallinen lehti, </w:t>
      </w:r>
      <w:r>
        <w:rPr>
          <w:rFonts w:ascii="Times New Roman" w:hAnsi="Times New Roman"/>
          <w:color w:val="000000" w:themeColor="text1"/>
        </w:rPr>
        <w:t xml:space="preserve">Macaon erityishallintoalueen hallitus </w:t>
      </w:r>
      <w:hyperlink r:id="rId5" w:history="1">
        <w:r>
          <w:rPr>
            <w:rStyle w:val="Hyperlink"/>
            <w:rFonts w:ascii="Times New Roman" w:hAnsi="Times New Roman"/>
          </w:rPr>
          <w:t>https://bo.io.gov.mo/bo/i/2024/13/regadm13.asp</w:t>
        </w:r>
      </w:hyperlink>
      <w:r>
        <w:rPr>
          <w:rFonts w:ascii="Times New Roman" w:hAnsi="Times New Roman"/>
        </w:rPr>
        <w:t>.</w:t>
      </w:r>
    </w:p>
  </w:footnote>
  <w:footnote w:id="11">
    <w:p w14:paraId="76B56649" w14:textId="22744873" w:rsidR="00BA1CC7" w:rsidRPr="00DA48D8" w:rsidRDefault="00BA1CC7" w:rsidP="00DA48D8">
      <w:pPr>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Macaon erityishallintoalueen hallituksen lehdistötiedote,</w:t>
      </w:r>
    </w:p>
    <w:p w14:paraId="3C49C48A" w14:textId="2421FE35" w:rsidR="00BA1CC7" w:rsidRPr="00EB7070" w:rsidRDefault="0027238C" w:rsidP="00DA48D8">
      <w:pPr>
        <w:jc w:val="both"/>
      </w:pPr>
      <w:hyperlink r:id="rId6" w:history="1">
        <w:r w:rsidR="00E33E31">
          <w:rPr>
            <w:rStyle w:val="Hyperlink"/>
            <w:rFonts w:ascii="Times New Roman" w:hAnsi="Times New Roman"/>
            <w:sz w:val="20"/>
          </w:rPr>
          <w:t>https://www.gov.mo/en/news/321684/</w:t>
        </w:r>
      </w:hyperlink>
      <w:r w:rsidR="00E33E31">
        <w:rPr>
          <w:rStyle w:val="Hyperlink"/>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83730" w14:textId="77777777" w:rsidR="0027238C" w:rsidRPr="0027238C" w:rsidRDefault="0027238C" w:rsidP="0027238C">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AE2A2" w14:textId="77777777" w:rsidR="0027238C" w:rsidRPr="0027238C" w:rsidRDefault="0027238C" w:rsidP="0027238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CFC4" w14:textId="77777777" w:rsidR="0027238C" w:rsidRPr="0027238C" w:rsidRDefault="0027238C" w:rsidP="0027238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4CEFE" w14:textId="77777777" w:rsidR="00593CC6" w:rsidRPr="00EB7070" w:rsidRDefault="00593C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AE0C9" w14:textId="77777777" w:rsidR="00593CC6" w:rsidRPr="00EB7070" w:rsidRDefault="00593C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F902F" w14:textId="77777777" w:rsidR="00593CC6" w:rsidRPr="00EB7070" w:rsidRDefault="00593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C6625"/>
    <w:multiLevelType w:val="multilevel"/>
    <w:tmpl w:val="C5A4A9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AE55C0E"/>
    <w:multiLevelType w:val="hybridMultilevel"/>
    <w:tmpl w:val="207A70F2"/>
    <w:lvl w:ilvl="0" w:tplc="42EE1CF4">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0C4A89"/>
    <w:multiLevelType w:val="hybridMultilevel"/>
    <w:tmpl w:val="C22470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8D78E1"/>
    <w:multiLevelType w:val="hybridMultilevel"/>
    <w:tmpl w:val="202C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A22D1B"/>
    <w:multiLevelType w:val="multilevel"/>
    <w:tmpl w:val="43B8367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17A30D2"/>
    <w:multiLevelType w:val="hybridMultilevel"/>
    <w:tmpl w:val="3988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FE96F891-9304-40E7-ACF9-D191613A3931"/>
    <w:docVar w:name="LW_COVERPAGE_TYPE" w:val="1"/>
    <w:docVar w:name="LW_CROSSREFERENCE" w:val="&lt;UNUSED&gt;"/>
    <w:docVar w:name="LW_DocType" w:val="NORMAL"/>
    <w:docVar w:name="LW_EMISSION" w:val="8.9.2025"/>
    <w:docVar w:name="LW_EMISSION_ISODATE" w:val="2025-09-08"/>
    <w:docVar w:name="LW_EMISSION_LOCATION" w:val="BRX"/>
    <w:docVar w:name="LW_EMISSION_PREFIX" w:val="Bryssel "/>
    <w:docVar w:name="LW_EMISSION_SUFFIX" w:val=" "/>
    <w:docVar w:name="LW_ID_DOCTYPE_NONLW" w:val="CP-018"/>
    <w:docVar w:name="LW_LANGUE" w:val="FI"/>
    <w:docVar w:name="LW_LEVEL_OF_SENSITIVITY" w:val="Standard treatment"/>
    <w:docVar w:name="LW_NOM.INST" w:val="EUROOPAN KOMISSIO"/>
    <w:docVar w:name="LW_NOM.INST_JOINTDOC" w:val="UNIONIN ULKOASIOIDEN_x000b_JA TURVALLISUUSPOLITIIKAN_x000b_KORKEA EDUSTAJA"/>
    <w:docVar w:name="LW_PART_NBR" w:val="1"/>
    <w:docVar w:name="LW_PART_NBR_TOTAL" w:val="1"/>
    <w:docVar w:name="LW_REF.INST.NEW" w:val="JOIN"/>
    <w:docVar w:name="LW_REF.INST.NEW_ADOPTED" w:val="final"/>
    <w:docVar w:name="LW_REF.INST.NEW_TEXT" w:val="(2025) 18"/>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Macaon erityishallintoalue_x000d__x000d__x000b__x000d__x000d__x000b_Vuosikertomus 2024"/>
    <w:docVar w:name="LW_TYPE.DOC.CP" w:val="YHTEINEN KERTOMUS EUROOPAN PARLAMENTILLE JA NEUVOSTOLLE"/>
    <w:docVar w:name="LwApiVersions" w:val="LW4CoDe 1.24.5.0; LW 9.0, Build 20240221"/>
    <w:docVar w:name="Stamp" w:val="\\dossiers.dgt.cec.eu.int\dossiers\EEAS\EEAS-2025-00361\EEAS-2025-00361-00-00-EN-EDT-00.202504291013523121217.DOCX"/>
  </w:docVars>
  <w:rsids>
    <w:rsidRoot w:val="00242644"/>
    <w:rsid w:val="000013DA"/>
    <w:rsid w:val="0000429B"/>
    <w:rsid w:val="0000546F"/>
    <w:rsid w:val="00016576"/>
    <w:rsid w:val="00016F90"/>
    <w:rsid w:val="0002032F"/>
    <w:rsid w:val="0002241E"/>
    <w:rsid w:val="00027041"/>
    <w:rsid w:val="00030AE3"/>
    <w:rsid w:val="00035FBA"/>
    <w:rsid w:val="00036FF3"/>
    <w:rsid w:val="0004635A"/>
    <w:rsid w:val="000463B8"/>
    <w:rsid w:val="0004697F"/>
    <w:rsid w:val="000535B1"/>
    <w:rsid w:val="000544A4"/>
    <w:rsid w:val="00063BBD"/>
    <w:rsid w:val="0006778E"/>
    <w:rsid w:val="000709E7"/>
    <w:rsid w:val="000717C9"/>
    <w:rsid w:val="00072135"/>
    <w:rsid w:val="00073396"/>
    <w:rsid w:val="00081BFA"/>
    <w:rsid w:val="00084872"/>
    <w:rsid w:val="00085A4B"/>
    <w:rsid w:val="00091BF0"/>
    <w:rsid w:val="000940A7"/>
    <w:rsid w:val="000A2E71"/>
    <w:rsid w:val="000B2A1B"/>
    <w:rsid w:val="000C1F87"/>
    <w:rsid w:val="000C213D"/>
    <w:rsid w:val="000E24FD"/>
    <w:rsid w:val="000E78F2"/>
    <w:rsid w:val="000E7A06"/>
    <w:rsid w:val="000F0532"/>
    <w:rsid w:val="000F293F"/>
    <w:rsid w:val="00100BE1"/>
    <w:rsid w:val="00101782"/>
    <w:rsid w:val="00101F2B"/>
    <w:rsid w:val="00107EEB"/>
    <w:rsid w:val="00110D3E"/>
    <w:rsid w:val="00113100"/>
    <w:rsid w:val="00115C1A"/>
    <w:rsid w:val="001249DD"/>
    <w:rsid w:val="001309D0"/>
    <w:rsid w:val="0013460A"/>
    <w:rsid w:val="001414DF"/>
    <w:rsid w:val="00143248"/>
    <w:rsid w:val="00157243"/>
    <w:rsid w:val="00163AD1"/>
    <w:rsid w:val="001644C4"/>
    <w:rsid w:val="001708BA"/>
    <w:rsid w:val="00186F1B"/>
    <w:rsid w:val="001A39FE"/>
    <w:rsid w:val="001A47F1"/>
    <w:rsid w:val="001A6300"/>
    <w:rsid w:val="001A6571"/>
    <w:rsid w:val="001C252D"/>
    <w:rsid w:val="001D1C83"/>
    <w:rsid w:val="001D3CBB"/>
    <w:rsid w:val="001D6363"/>
    <w:rsid w:val="001E161F"/>
    <w:rsid w:val="001E454A"/>
    <w:rsid w:val="001E4DC9"/>
    <w:rsid w:val="001E6E97"/>
    <w:rsid w:val="001F15F3"/>
    <w:rsid w:val="001F2374"/>
    <w:rsid w:val="001F314E"/>
    <w:rsid w:val="001F463A"/>
    <w:rsid w:val="001F6AD2"/>
    <w:rsid w:val="002019A3"/>
    <w:rsid w:val="00206CCA"/>
    <w:rsid w:val="00206E52"/>
    <w:rsid w:val="002071BD"/>
    <w:rsid w:val="002170AC"/>
    <w:rsid w:val="002233DE"/>
    <w:rsid w:val="00225073"/>
    <w:rsid w:val="00226284"/>
    <w:rsid w:val="002263BD"/>
    <w:rsid w:val="002309C4"/>
    <w:rsid w:val="00236F52"/>
    <w:rsid w:val="00242644"/>
    <w:rsid w:val="00246055"/>
    <w:rsid w:val="00251B8F"/>
    <w:rsid w:val="002555DC"/>
    <w:rsid w:val="00255B61"/>
    <w:rsid w:val="0025756A"/>
    <w:rsid w:val="00260408"/>
    <w:rsid w:val="00265DE6"/>
    <w:rsid w:val="002670C8"/>
    <w:rsid w:val="00267B35"/>
    <w:rsid w:val="0027238C"/>
    <w:rsid w:val="002748FE"/>
    <w:rsid w:val="00277580"/>
    <w:rsid w:val="0028257B"/>
    <w:rsid w:val="002945D2"/>
    <w:rsid w:val="00296DB4"/>
    <w:rsid w:val="002A4FE6"/>
    <w:rsid w:val="002A5B81"/>
    <w:rsid w:val="002B3F60"/>
    <w:rsid w:val="002C0DF9"/>
    <w:rsid w:val="002C379C"/>
    <w:rsid w:val="002C618F"/>
    <w:rsid w:val="002C7036"/>
    <w:rsid w:val="002D5103"/>
    <w:rsid w:val="002D66EE"/>
    <w:rsid w:val="002E1680"/>
    <w:rsid w:val="002E1F89"/>
    <w:rsid w:val="002E5D68"/>
    <w:rsid w:val="002F5005"/>
    <w:rsid w:val="00307ABF"/>
    <w:rsid w:val="003138C8"/>
    <w:rsid w:val="00313D96"/>
    <w:rsid w:val="003144B3"/>
    <w:rsid w:val="00320724"/>
    <w:rsid w:val="0032386C"/>
    <w:rsid w:val="00323B77"/>
    <w:rsid w:val="0032431B"/>
    <w:rsid w:val="003252A6"/>
    <w:rsid w:val="003336E7"/>
    <w:rsid w:val="0033460D"/>
    <w:rsid w:val="003436C3"/>
    <w:rsid w:val="00362543"/>
    <w:rsid w:val="00362727"/>
    <w:rsid w:val="003642D0"/>
    <w:rsid w:val="00365B59"/>
    <w:rsid w:val="00366237"/>
    <w:rsid w:val="00367056"/>
    <w:rsid w:val="00367171"/>
    <w:rsid w:val="00371EB8"/>
    <w:rsid w:val="00375893"/>
    <w:rsid w:val="00376A0D"/>
    <w:rsid w:val="0038024D"/>
    <w:rsid w:val="003806F5"/>
    <w:rsid w:val="00380862"/>
    <w:rsid w:val="00384555"/>
    <w:rsid w:val="00385C69"/>
    <w:rsid w:val="0039048C"/>
    <w:rsid w:val="00390E4C"/>
    <w:rsid w:val="00392668"/>
    <w:rsid w:val="00394FC9"/>
    <w:rsid w:val="003A15D0"/>
    <w:rsid w:val="003A5321"/>
    <w:rsid w:val="003B41D8"/>
    <w:rsid w:val="003B5585"/>
    <w:rsid w:val="003B61D9"/>
    <w:rsid w:val="003D0CEA"/>
    <w:rsid w:val="003D56CD"/>
    <w:rsid w:val="003D7E9F"/>
    <w:rsid w:val="003F1C0F"/>
    <w:rsid w:val="003F2622"/>
    <w:rsid w:val="003F29A3"/>
    <w:rsid w:val="003F5A2C"/>
    <w:rsid w:val="003F5FAE"/>
    <w:rsid w:val="004036F1"/>
    <w:rsid w:val="0040403C"/>
    <w:rsid w:val="00406303"/>
    <w:rsid w:val="00407352"/>
    <w:rsid w:val="00412DC7"/>
    <w:rsid w:val="00412F07"/>
    <w:rsid w:val="004202D7"/>
    <w:rsid w:val="00421EBE"/>
    <w:rsid w:val="00423361"/>
    <w:rsid w:val="00426A4B"/>
    <w:rsid w:val="004309CF"/>
    <w:rsid w:val="00434C66"/>
    <w:rsid w:val="00440FC7"/>
    <w:rsid w:val="00446E61"/>
    <w:rsid w:val="004500D1"/>
    <w:rsid w:val="00454661"/>
    <w:rsid w:val="0046226F"/>
    <w:rsid w:val="00473B9C"/>
    <w:rsid w:val="004775A3"/>
    <w:rsid w:val="00484B90"/>
    <w:rsid w:val="004904E7"/>
    <w:rsid w:val="00492FB9"/>
    <w:rsid w:val="004A08E3"/>
    <w:rsid w:val="004A11B7"/>
    <w:rsid w:val="004A4C5A"/>
    <w:rsid w:val="004A6B06"/>
    <w:rsid w:val="004C7C3D"/>
    <w:rsid w:val="004D2A37"/>
    <w:rsid w:val="004D6FF4"/>
    <w:rsid w:val="004E0763"/>
    <w:rsid w:val="004E54C2"/>
    <w:rsid w:val="004E5D07"/>
    <w:rsid w:val="004E5E6A"/>
    <w:rsid w:val="004F10A3"/>
    <w:rsid w:val="004F1170"/>
    <w:rsid w:val="00504FC2"/>
    <w:rsid w:val="00510CD5"/>
    <w:rsid w:val="00512504"/>
    <w:rsid w:val="00513F94"/>
    <w:rsid w:val="00515EE2"/>
    <w:rsid w:val="00516A26"/>
    <w:rsid w:val="005175C0"/>
    <w:rsid w:val="00520F7B"/>
    <w:rsid w:val="00531A35"/>
    <w:rsid w:val="00533293"/>
    <w:rsid w:val="00536B7E"/>
    <w:rsid w:val="005411D8"/>
    <w:rsid w:val="005413D0"/>
    <w:rsid w:val="005444FF"/>
    <w:rsid w:val="00551B95"/>
    <w:rsid w:val="005537C7"/>
    <w:rsid w:val="00560722"/>
    <w:rsid w:val="00560862"/>
    <w:rsid w:val="00560C7E"/>
    <w:rsid w:val="00566F99"/>
    <w:rsid w:val="005704DF"/>
    <w:rsid w:val="00570508"/>
    <w:rsid w:val="00572003"/>
    <w:rsid w:val="00574B40"/>
    <w:rsid w:val="005775E7"/>
    <w:rsid w:val="0058156F"/>
    <w:rsid w:val="00590E60"/>
    <w:rsid w:val="00591429"/>
    <w:rsid w:val="0059308D"/>
    <w:rsid w:val="00593CC6"/>
    <w:rsid w:val="00595458"/>
    <w:rsid w:val="005A247E"/>
    <w:rsid w:val="005A3C88"/>
    <w:rsid w:val="005A68FF"/>
    <w:rsid w:val="005B16BB"/>
    <w:rsid w:val="005B244F"/>
    <w:rsid w:val="005B5A1E"/>
    <w:rsid w:val="005B5D57"/>
    <w:rsid w:val="005C330F"/>
    <w:rsid w:val="005C35F4"/>
    <w:rsid w:val="005E2A8A"/>
    <w:rsid w:val="005E3E24"/>
    <w:rsid w:val="005E4AD7"/>
    <w:rsid w:val="005E593B"/>
    <w:rsid w:val="005E5D1A"/>
    <w:rsid w:val="005E7053"/>
    <w:rsid w:val="005F1A1C"/>
    <w:rsid w:val="005F22BD"/>
    <w:rsid w:val="005F46A0"/>
    <w:rsid w:val="005F5D2A"/>
    <w:rsid w:val="005F6120"/>
    <w:rsid w:val="00611369"/>
    <w:rsid w:val="00615822"/>
    <w:rsid w:val="00617E28"/>
    <w:rsid w:val="00622D03"/>
    <w:rsid w:val="0062506B"/>
    <w:rsid w:val="006304B0"/>
    <w:rsid w:val="00632F3D"/>
    <w:rsid w:val="00635610"/>
    <w:rsid w:val="00637290"/>
    <w:rsid w:val="00643357"/>
    <w:rsid w:val="00643FC4"/>
    <w:rsid w:val="00645950"/>
    <w:rsid w:val="00651870"/>
    <w:rsid w:val="006608FF"/>
    <w:rsid w:val="00660B9B"/>
    <w:rsid w:val="00662E8E"/>
    <w:rsid w:val="00662F8E"/>
    <w:rsid w:val="0066372E"/>
    <w:rsid w:val="00667D44"/>
    <w:rsid w:val="00672B79"/>
    <w:rsid w:val="00676C38"/>
    <w:rsid w:val="00680CAA"/>
    <w:rsid w:val="0068609E"/>
    <w:rsid w:val="00687508"/>
    <w:rsid w:val="006A13EE"/>
    <w:rsid w:val="006A3C2E"/>
    <w:rsid w:val="006A7648"/>
    <w:rsid w:val="006B4E97"/>
    <w:rsid w:val="006B61B7"/>
    <w:rsid w:val="006C0604"/>
    <w:rsid w:val="006C0EBD"/>
    <w:rsid w:val="006C0F50"/>
    <w:rsid w:val="006C601F"/>
    <w:rsid w:val="006D1604"/>
    <w:rsid w:val="006D3126"/>
    <w:rsid w:val="006D35C5"/>
    <w:rsid w:val="006D62E9"/>
    <w:rsid w:val="006D6F22"/>
    <w:rsid w:val="006D77ED"/>
    <w:rsid w:val="006E5A5E"/>
    <w:rsid w:val="006F0FD9"/>
    <w:rsid w:val="006F7784"/>
    <w:rsid w:val="00701796"/>
    <w:rsid w:val="007050E3"/>
    <w:rsid w:val="00705308"/>
    <w:rsid w:val="00710683"/>
    <w:rsid w:val="00717345"/>
    <w:rsid w:val="00717DF9"/>
    <w:rsid w:val="00722706"/>
    <w:rsid w:val="00723CCC"/>
    <w:rsid w:val="00723E06"/>
    <w:rsid w:val="00727CAE"/>
    <w:rsid w:val="00730105"/>
    <w:rsid w:val="007310A9"/>
    <w:rsid w:val="007330A2"/>
    <w:rsid w:val="007520C7"/>
    <w:rsid w:val="007539D5"/>
    <w:rsid w:val="007570FF"/>
    <w:rsid w:val="00760D3F"/>
    <w:rsid w:val="00762C85"/>
    <w:rsid w:val="007721AD"/>
    <w:rsid w:val="00772CDB"/>
    <w:rsid w:val="007734F2"/>
    <w:rsid w:val="00785EC4"/>
    <w:rsid w:val="00787318"/>
    <w:rsid w:val="00787DA0"/>
    <w:rsid w:val="00791E33"/>
    <w:rsid w:val="00793A9F"/>
    <w:rsid w:val="00796483"/>
    <w:rsid w:val="007A1491"/>
    <w:rsid w:val="007A2B46"/>
    <w:rsid w:val="007A4403"/>
    <w:rsid w:val="007B2E0D"/>
    <w:rsid w:val="007B45A5"/>
    <w:rsid w:val="007B4799"/>
    <w:rsid w:val="007B515F"/>
    <w:rsid w:val="007B67CE"/>
    <w:rsid w:val="007B67E9"/>
    <w:rsid w:val="007C3C6F"/>
    <w:rsid w:val="007C7AE4"/>
    <w:rsid w:val="007D07E7"/>
    <w:rsid w:val="007D0D3C"/>
    <w:rsid w:val="007E71BE"/>
    <w:rsid w:val="007F052A"/>
    <w:rsid w:val="007F6F98"/>
    <w:rsid w:val="007F70B4"/>
    <w:rsid w:val="00800489"/>
    <w:rsid w:val="00800ACA"/>
    <w:rsid w:val="008031C9"/>
    <w:rsid w:val="00803F3E"/>
    <w:rsid w:val="00806FCC"/>
    <w:rsid w:val="008070F5"/>
    <w:rsid w:val="008128A7"/>
    <w:rsid w:val="00813F79"/>
    <w:rsid w:val="0081413F"/>
    <w:rsid w:val="008149BA"/>
    <w:rsid w:val="00827A18"/>
    <w:rsid w:val="00834E8A"/>
    <w:rsid w:val="00842E83"/>
    <w:rsid w:val="008472BE"/>
    <w:rsid w:val="00847C7D"/>
    <w:rsid w:val="008508CF"/>
    <w:rsid w:val="0087074A"/>
    <w:rsid w:val="00872174"/>
    <w:rsid w:val="00877FBF"/>
    <w:rsid w:val="00881E31"/>
    <w:rsid w:val="008861C6"/>
    <w:rsid w:val="00890BA9"/>
    <w:rsid w:val="008A2472"/>
    <w:rsid w:val="008A56D1"/>
    <w:rsid w:val="008A5DAE"/>
    <w:rsid w:val="008A702D"/>
    <w:rsid w:val="008A7F14"/>
    <w:rsid w:val="008B50F8"/>
    <w:rsid w:val="008C613B"/>
    <w:rsid w:val="008C6E57"/>
    <w:rsid w:val="008C7500"/>
    <w:rsid w:val="008D0525"/>
    <w:rsid w:val="008D0C4C"/>
    <w:rsid w:val="008D63FD"/>
    <w:rsid w:val="008E38FC"/>
    <w:rsid w:val="008E498F"/>
    <w:rsid w:val="008E58EF"/>
    <w:rsid w:val="008F0BCE"/>
    <w:rsid w:val="008F5CD8"/>
    <w:rsid w:val="00900CB7"/>
    <w:rsid w:val="00901C9D"/>
    <w:rsid w:val="009022BF"/>
    <w:rsid w:val="00915C8B"/>
    <w:rsid w:val="00921C46"/>
    <w:rsid w:val="00923DE9"/>
    <w:rsid w:val="00924F2D"/>
    <w:rsid w:val="009264CF"/>
    <w:rsid w:val="00933E71"/>
    <w:rsid w:val="00934420"/>
    <w:rsid w:val="00941DCF"/>
    <w:rsid w:val="00945284"/>
    <w:rsid w:val="00957D86"/>
    <w:rsid w:val="00965ED0"/>
    <w:rsid w:val="00971E05"/>
    <w:rsid w:val="009766D5"/>
    <w:rsid w:val="009778A8"/>
    <w:rsid w:val="009856F1"/>
    <w:rsid w:val="00991CA0"/>
    <w:rsid w:val="009925BD"/>
    <w:rsid w:val="00992E0F"/>
    <w:rsid w:val="00993B20"/>
    <w:rsid w:val="00994B5D"/>
    <w:rsid w:val="009A1EC1"/>
    <w:rsid w:val="009A616C"/>
    <w:rsid w:val="009B2185"/>
    <w:rsid w:val="009B37C5"/>
    <w:rsid w:val="009B632A"/>
    <w:rsid w:val="009B685C"/>
    <w:rsid w:val="009C3F09"/>
    <w:rsid w:val="009C5E5A"/>
    <w:rsid w:val="009D0B4B"/>
    <w:rsid w:val="009D0C56"/>
    <w:rsid w:val="009D129E"/>
    <w:rsid w:val="009D5FF3"/>
    <w:rsid w:val="009D672F"/>
    <w:rsid w:val="009D74BA"/>
    <w:rsid w:val="009F1391"/>
    <w:rsid w:val="009F2FEF"/>
    <w:rsid w:val="00A005CD"/>
    <w:rsid w:val="00A03C73"/>
    <w:rsid w:val="00A04BDC"/>
    <w:rsid w:val="00A3130F"/>
    <w:rsid w:val="00A32A7E"/>
    <w:rsid w:val="00A34382"/>
    <w:rsid w:val="00A3598A"/>
    <w:rsid w:val="00A36DC4"/>
    <w:rsid w:val="00A41388"/>
    <w:rsid w:val="00A44143"/>
    <w:rsid w:val="00A479FF"/>
    <w:rsid w:val="00A50FA2"/>
    <w:rsid w:val="00A53804"/>
    <w:rsid w:val="00A54237"/>
    <w:rsid w:val="00A54608"/>
    <w:rsid w:val="00A61371"/>
    <w:rsid w:val="00A614A3"/>
    <w:rsid w:val="00A6450F"/>
    <w:rsid w:val="00A66FD8"/>
    <w:rsid w:val="00A746C3"/>
    <w:rsid w:val="00A77C04"/>
    <w:rsid w:val="00A80576"/>
    <w:rsid w:val="00A83226"/>
    <w:rsid w:val="00A834AD"/>
    <w:rsid w:val="00A83D16"/>
    <w:rsid w:val="00A87BF2"/>
    <w:rsid w:val="00A919E5"/>
    <w:rsid w:val="00A96925"/>
    <w:rsid w:val="00A974BA"/>
    <w:rsid w:val="00AA0D08"/>
    <w:rsid w:val="00AA2985"/>
    <w:rsid w:val="00AA5610"/>
    <w:rsid w:val="00AA68A4"/>
    <w:rsid w:val="00AA6A31"/>
    <w:rsid w:val="00AC0C10"/>
    <w:rsid w:val="00AC6291"/>
    <w:rsid w:val="00AD164A"/>
    <w:rsid w:val="00AD2AE8"/>
    <w:rsid w:val="00AE1640"/>
    <w:rsid w:val="00AE229A"/>
    <w:rsid w:val="00AE35FD"/>
    <w:rsid w:val="00AE479C"/>
    <w:rsid w:val="00AF4168"/>
    <w:rsid w:val="00AF6B55"/>
    <w:rsid w:val="00B00492"/>
    <w:rsid w:val="00B00ADB"/>
    <w:rsid w:val="00B03BBF"/>
    <w:rsid w:val="00B0556F"/>
    <w:rsid w:val="00B11063"/>
    <w:rsid w:val="00B1459A"/>
    <w:rsid w:val="00B24E1D"/>
    <w:rsid w:val="00B30AA8"/>
    <w:rsid w:val="00B328CD"/>
    <w:rsid w:val="00B3407B"/>
    <w:rsid w:val="00B42B7D"/>
    <w:rsid w:val="00B558D4"/>
    <w:rsid w:val="00B62973"/>
    <w:rsid w:val="00B71001"/>
    <w:rsid w:val="00B722E4"/>
    <w:rsid w:val="00B73C6A"/>
    <w:rsid w:val="00B754C3"/>
    <w:rsid w:val="00B77F13"/>
    <w:rsid w:val="00B83B93"/>
    <w:rsid w:val="00B85233"/>
    <w:rsid w:val="00B86196"/>
    <w:rsid w:val="00B905CE"/>
    <w:rsid w:val="00B912F7"/>
    <w:rsid w:val="00BA1CC7"/>
    <w:rsid w:val="00BA2D30"/>
    <w:rsid w:val="00BC07AE"/>
    <w:rsid w:val="00BC0FA6"/>
    <w:rsid w:val="00BC3817"/>
    <w:rsid w:val="00BC3CDD"/>
    <w:rsid w:val="00BC3CE2"/>
    <w:rsid w:val="00BD0308"/>
    <w:rsid w:val="00BD4E1C"/>
    <w:rsid w:val="00BE143B"/>
    <w:rsid w:val="00BE17A8"/>
    <w:rsid w:val="00BE7151"/>
    <w:rsid w:val="00BF5D78"/>
    <w:rsid w:val="00BF7576"/>
    <w:rsid w:val="00BF7779"/>
    <w:rsid w:val="00C00F2E"/>
    <w:rsid w:val="00C03F22"/>
    <w:rsid w:val="00C06E87"/>
    <w:rsid w:val="00C0749C"/>
    <w:rsid w:val="00C125AE"/>
    <w:rsid w:val="00C21968"/>
    <w:rsid w:val="00C220E4"/>
    <w:rsid w:val="00C2257B"/>
    <w:rsid w:val="00C279C0"/>
    <w:rsid w:val="00C321D8"/>
    <w:rsid w:val="00C34FE4"/>
    <w:rsid w:val="00C3751F"/>
    <w:rsid w:val="00C375E1"/>
    <w:rsid w:val="00C37671"/>
    <w:rsid w:val="00C40ADE"/>
    <w:rsid w:val="00C41B96"/>
    <w:rsid w:val="00C46F77"/>
    <w:rsid w:val="00C47D4D"/>
    <w:rsid w:val="00C73A7A"/>
    <w:rsid w:val="00C7754E"/>
    <w:rsid w:val="00C84F07"/>
    <w:rsid w:val="00C90081"/>
    <w:rsid w:val="00C90CA1"/>
    <w:rsid w:val="00C91704"/>
    <w:rsid w:val="00CA49DB"/>
    <w:rsid w:val="00CB3CF5"/>
    <w:rsid w:val="00CB67FA"/>
    <w:rsid w:val="00CB76F6"/>
    <w:rsid w:val="00CB7DAE"/>
    <w:rsid w:val="00CC02FD"/>
    <w:rsid w:val="00CC3250"/>
    <w:rsid w:val="00CD4F7B"/>
    <w:rsid w:val="00CE2174"/>
    <w:rsid w:val="00CE2F5D"/>
    <w:rsid w:val="00CE4834"/>
    <w:rsid w:val="00CF12BE"/>
    <w:rsid w:val="00CF7AC2"/>
    <w:rsid w:val="00D01B12"/>
    <w:rsid w:val="00D03461"/>
    <w:rsid w:val="00D15983"/>
    <w:rsid w:val="00D15CB7"/>
    <w:rsid w:val="00D25633"/>
    <w:rsid w:val="00D30C2C"/>
    <w:rsid w:val="00D31CEB"/>
    <w:rsid w:val="00D32A08"/>
    <w:rsid w:val="00D3761E"/>
    <w:rsid w:val="00D406BA"/>
    <w:rsid w:val="00D40B57"/>
    <w:rsid w:val="00D430C9"/>
    <w:rsid w:val="00D5397E"/>
    <w:rsid w:val="00D57A20"/>
    <w:rsid w:val="00D707EE"/>
    <w:rsid w:val="00D81979"/>
    <w:rsid w:val="00D84070"/>
    <w:rsid w:val="00D84E87"/>
    <w:rsid w:val="00D94532"/>
    <w:rsid w:val="00D975A7"/>
    <w:rsid w:val="00DA3A0C"/>
    <w:rsid w:val="00DA48D8"/>
    <w:rsid w:val="00DB1C40"/>
    <w:rsid w:val="00DB761F"/>
    <w:rsid w:val="00DC103E"/>
    <w:rsid w:val="00DC1101"/>
    <w:rsid w:val="00DC27D9"/>
    <w:rsid w:val="00DC29D2"/>
    <w:rsid w:val="00DC530E"/>
    <w:rsid w:val="00DC759E"/>
    <w:rsid w:val="00DD1649"/>
    <w:rsid w:val="00DD1B0F"/>
    <w:rsid w:val="00DD50FD"/>
    <w:rsid w:val="00DD664A"/>
    <w:rsid w:val="00DD6DAD"/>
    <w:rsid w:val="00DE7EE1"/>
    <w:rsid w:val="00DF0C6C"/>
    <w:rsid w:val="00DF7FA1"/>
    <w:rsid w:val="00E048F2"/>
    <w:rsid w:val="00E10492"/>
    <w:rsid w:val="00E10F5F"/>
    <w:rsid w:val="00E11D58"/>
    <w:rsid w:val="00E12D51"/>
    <w:rsid w:val="00E15579"/>
    <w:rsid w:val="00E15E61"/>
    <w:rsid w:val="00E1794F"/>
    <w:rsid w:val="00E17B0E"/>
    <w:rsid w:val="00E2246A"/>
    <w:rsid w:val="00E2395F"/>
    <w:rsid w:val="00E2445D"/>
    <w:rsid w:val="00E33E31"/>
    <w:rsid w:val="00E344AD"/>
    <w:rsid w:val="00E364AC"/>
    <w:rsid w:val="00E3666F"/>
    <w:rsid w:val="00E42360"/>
    <w:rsid w:val="00E428FA"/>
    <w:rsid w:val="00E42EFA"/>
    <w:rsid w:val="00E44B58"/>
    <w:rsid w:val="00E476AD"/>
    <w:rsid w:val="00E53664"/>
    <w:rsid w:val="00E66113"/>
    <w:rsid w:val="00E70A9C"/>
    <w:rsid w:val="00E71E84"/>
    <w:rsid w:val="00E71F77"/>
    <w:rsid w:val="00E777B6"/>
    <w:rsid w:val="00E935BF"/>
    <w:rsid w:val="00E94C80"/>
    <w:rsid w:val="00E96B13"/>
    <w:rsid w:val="00EA5228"/>
    <w:rsid w:val="00EA74D2"/>
    <w:rsid w:val="00EA78B3"/>
    <w:rsid w:val="00EB0292"/>
    <w:rsid w:val="00EB4704"/>
    <w:rsid w:val="00EB7070"/>
    <w:rsid w:val="00ED0773"/>
    <w:rsid w:val="00ED1771"/>
    <w:rsid w:val="00ED220A"/>
    <w:rsid w:val="00ED4952"/>
    <w:rsid w:val="00EF0A7B"/>
    <w:rsid w:val="00F0162E"/>
    <w:rsid w:val="00F07E48"/>
    <w:rsid w:val="00F11BB2"/>
    <w:rsid w:val="00F13A41"/>
    <w:rsid w:val="00F1420F"/>
    <w:rsid w:val="00F1470A"/>
    <w:rsid w:val="00F268A9"/>
    <w:rsid w:val="00F342EC"/>
    <w:rsid w:val="00F41DB8"/>
    <w:rsid w:val="00F52C7B"/>
    <w:rsid w:val="00F5635B"/>
    <w:rsid w:val="00F66144"/>
    <w:rsid w:val="00F678EA"/>
    <w:rsid w:val="00F72519"/>
    <w:rsid w:val="00F7307C"/>
    <w:rsid w:val="00F733DB"/>
    <w:rsid w:val="00F76D74"/>
    <w:rsid w:val="00F91FB5"/>
    <w:rsid w:val="00F977F3"/>
    <w:rsid w:val="00F979EF"/>
    <w:rsid w:val="00FA0372"/>
    <w:rsid w:val="00FA1889"/>
    <w:rsid w:val="00FA49E4"/>
    <w:rsid w:val="00FA6E02"/>
    <w:rsid w:val="00FA6F0F"/>
    <w:rsid w:val="00FB3CF4"/>
    <w:rsid w:val="00FB5FDE"/>
    <w:rsid w:val="00FB60EA"/>
    <w:rsid w:val="00FB7085"/>
    <w:rsid w:val="00FB7536"/>
    <w:rsid w:val="00FC7E8E"/>
    <w:rsid w:val="00FD11AB"/>
    <w:rsid w:val="00FE0AF1"/>
    <w:rsid w:val="00FE1104"/>
    <w:rsid w:val="00FE1889"/>
    <w:rsid w:val="00FE320D"/>
    <w:rsid w:val="00FF161F"/>
    <w:rsid w:val="00FF1D5D"/>
    <w:rsid w:val="00FF2262"/>
    <w:rsid w:val="00FF3D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9F709B"/>
  <w15:docId w15:val="{47BBCB34-5CA4-4C8B-B6E9-3E8E6BDB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fi-FI"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unhideWhenUsed/>
    <w:rsid w:val="004C7C3D"/>
    <w:rPr>
      <w:sz w:val="16"/>
      <w:szCs w:val="16"/>
    </w:rPr>
  </w:style>
  <w:style w:type="paragraph" w:styleId="CommentText">
    <w:name w:val="annotation text"/>
    <w:basedOn w:val="Normal"/>
    <w:link w:val="CommentTextChar"/>
    <w:uiPriority w:val="99"/>
    <w:unhideWhenUsed/>
    <w:rsid w:val="004C7C3D"/>
    <w:rPr>
      <w:sz w:val="20"/>
      <w:szCs w:val="20"/>
    </w:rPr>
  </w:style>
  <w:style w:type="character" w:customStyle="1" w:styleId="CommentTextChar">
    <w:name w:val="Comment Text Char"/>
    <w:basedOn w:val="DefaultParagraphFont"/>
    <w:link w:val="CommentText"/>
    <w:uiPriority w:val="99"/>
    <w:rsid w:val="004C7C3D"/>
    <w:rPr>
      <w:sz w:val="20"/>
      <w:szCs w:val="20"/>
    </w:rPr>
  </w:style>
  <w:style w:type="paragraph" w:styleId="CommentSubject">
    <w:name w:val="annotation subject"/>
    <w:basedOn w:val="CommentText"/>
    <w:next w:val="CommentText"/>
    <w:link w:val="CommentSubjectChar"/>
    <w:uiPriority w:val="99"/>
    <w:semiHidden/>
    <w:unhideWhenUsed/>
    <w:rsid w:val="004C7C3D"/>
    <w:rPr>
      <w:b/>
      <w:bCs/>
    </w:rPr>
  </w:style>
  <w:style w:type="character" w:customStyle="1" w:styleId="CommentSubjectChar">
    <w:name w:val="Comment Subject Char"/>
    <w:basedOn w:val="CommentTextChar"/>
    <w:link w:val="CommentSubject"/>
    <w:uiPriority w:val="99"/>
    <w:semiHidden/>
    <w:rsid w:val="004C7C3D"/>
    <w:rPr>
      <w:b/>
      <w:bCs/>
      <w:sz w:val="20"/>
      <w:szCs w:val="20"/>
    </w:rPr>
  </w:style>
  <w:style w:type="paragraph" w:styleId="BalloonText">
    <w:name w:val="Balloon Text"/>
    <w:basedOn w:val="Normal"/>
    <w:link w:val="BalloonTextChar"/>
    <w:uiPriority w:val="99"/>
    <w:semiHidden/>
    <w:unhideWhenUsed/>
    <w:rsid w:val="004C7C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C3D"/>
    <w:rPr>
      <w:rFonts w:ascii="Segoe UI" w:hAnsi="Segoe UI" w:cs="Segoe UI"/>
      <w:sz w:val="18"/>
      <w:szCs w:val="18"/>
    </w:rPr>
  </w:style>
  <w:style w:type="character" w:styleId="Hyperlink">
    <w:name w:val="Hyperlink"/>
    <w:basedOn w:val="DefaultParagraphFont"/>
    <w:uiPriority w:val="99"/>
    <w:unhideWhenUsed/>
    <w:rsid w:val="004C7C3D"/>
    <w:rPr>
      <w:color w:val="0000FF" w:themeColor="hyperlink"/>
      <w:u w:val="single"/>
    </w:rPr>
  </w:style>
  <w:style w:type="paragraph" w:styleId="ListParagraph">
    <w:name w:val="List Paragraph"/>
    <w:basedOn w:val="Normal"/>
    <w:uiPriority w:val="34"/>
    <w:qFormat/>
    <w:rsid w:val="00073396"/>
    <w:pPr>
      <w:ind w:left="720"/>
      <w:contextualSpacing/>
    </w:pPr>
  </w:style>
  <w:style w:type="paragraph" w:customStyle="1" w:styleId="Default">
    <w:name w:val="Default"/>
    <w:rsid w:val="00C279C0"/>
    <w:pPr>
      <w:autoSpaceDE w:val="0"/>
      <w:autoSpaceDN w:val="0"/>
      <w:adjustRightInd w:val="0"/>
    </w:pPr>
    <w:rPr>
      <w:rFonts w:ascii="Times New Roman" w:eastAsia="PMingLiU" w:hAnsi="Times New Roman" w:cs="Times New Roman"/>
      <w:color w:val="000000"/>
      <w:sz w:val="24"/>
      <w:szCs w:val="24"/>
      <w:lang w:eastAsia="en-US"/>
    </w:rPr>
  </w:style>
  <w:style w:type="paragraph" w:styleId="FootnoteText">
    <w:name w:val="footnote text"/>
    <w:basedOn w:val="Normal"/>
    <w:unhideWhenUsed/>
    <w:rsid w:val="001F15F3"/>
    <w:rPr>
      <w:rFonts w:asciiTheme="minorHAnsi" w:eastAsiaTheme="minorEastAsia" w:hAnsiTheme="minorHAnsi" w:cstheme="minorBidi"/>
      <w:sz w:val="20"/>
      <w:szCs w:val="20"/>
    </w:rPr>
  </w:style>
  <w:style w:type="character" w:customStyle="1" w:styleId="FootnoteTextChar">
    <w:name w:val="Footnote Text Char"/>
    <w:basedOn w:val="DefaultParagraphFont"/>
    <w:rsid w:val="001F15F3"/>
    <w:rPr>
      <w:rFonts w:asciiTheme="minorHAnsi" w:eastAsiaTheme="minorEastAsia" w:hAnsiTheme="minorHAnsi" w:cstheme="minorBidi"/>
      <w:sz w:val="20"/>
      <w:szCs w:val="20"/>
    </w:rPr>
  </w:style>
  <w:style w:type="character" w:styleId="FootnoteReference">
    <w:name w:val="footnote reference"/>
    <w:basedOn w:val="DefaultParagraphFont"/>
    <w:uiPriority w:val="99"/>
    <w:unhideWhenUsed/>
    <w:rsid w:val="001F15F3"/>
    <w:rPr>
      <w:vertAlign w:val="superscript"/>
    </w:rPr>
  </w:style>
  <w:style w:type="paragraph" w:styleId="EndnoteText">
    <w:name w:val="endnote text"/>
    <w:basedOn w:val="Normal"/>
    <w:link w:val="EndnoteTextChar"/>
    <w:uiPriority w:val="99"/>
    <w:semiHidden/>
    <w:unhideWhenUsed/>
    <w:rsid w:val="001F15F3"/>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1F15F3"/>
    <w:rPr>
      <w:rFonts w:asciiTheme="minorHAnsi" w:eastAsiaTheme="minorEastAsia" w:hAnsiTheme="minorHAnsi" w:cstheme="minorBidi"/>
      <w:sz w:val="20"/>
      <w:szCs w:val="20"/>
    </w:rPr>
  </w:style>
  <w:style w:type="character" w:styleId="EndnoteReference">
    <w:name w:val="endnote reference"/>
    <w:basedOn w:val="DefaultParagraphFont"/>
    <w:uiPriority w:val="99"/>
    <w:semiHidden/>
    <w:unhideWhenUsed/>
    <w:rsid w:val="001F15F3"/>
    <w:rPr>
      <w:vertAlign w:val="superscript"/>
    </w:rPr>
  </w:style>
  <w:style w:type="paragraph" w:styleId="Revision">
    <w:name w:val="Revision"/>
    <w:hidden/>
    <w:uiPriority w:val="99"/>
    <w:semiHidden/>
    <w:rsid w:val="004904E7"/>
  </w:style>
  <w:style w:type="paragraph" w:styleId="Header">
    <w:name w:val="header"/>
    <w:basedOn w:val="Normal"/>
    <w:link w:val="HeaderChar"/>
    <w:uiPriority w:val="99"/>
    <w:unhideWhenUsed/>
    <w:rsid w:val="000C1F87"/>
    <w:pPr>
      <w:tabs>
        <w:tab w:val="center" w:pos="4513"/>
        <w:tab w:val="right" w:pos="9026"/>
      </w:tabs>
    </w:pPr>
  </w:style>
  <w:style w:type="character" w:customStyle="1" w:styleId="HeaderChar">
    <w:name w:val="Header Char"/>
    <w:basedOn w:val="DefaultParagraphFont"/>
    <w:link w:val="Header"/>
    <w:uiPriority w:val="99"/>
    <w:rsid w:val="000C1F87"/>
  </w:style>
  <w:style w:type="paragraph" w:styleId="Footer">
    <w:name w:val="footer"/>
    <w:basedOn w:val="Normal"/>
    <w:link w:val="FooterChar"/>
    <w:uiPriority w:val="99"/>
    <w:unhideWhenUsed/>
    <w:rsid w:val="000C1F87"/>
    <w:pPr>
      <w:tabs>
        <w:tab w:val="center" w:pos="4513"/>
        <w:tab w:val="right" w:pos="9026"/>
      </w:tabs>
    </w:pPr>
  </w:style>
  <w:style w:type="character" w:customStyle="1" w:styleId="FooterChar">
    <w:name w:val="Footer Char"/>
    <w:basedOn w:val="DefaultParagraphFont"/>
    <w:link w:val="Footer"/>
    <w:uiPriority w:val="99"/>
    <w:rsid w:val="000C1F87"/>
  </w:style>
  <w:style w:type="character" w:customStyle="1" w:styleId="Marker">
    <w:name w:val="Marker"/>
    <w:basedOn w:val="DefaultParagraphFont"/>
    <w:rsid w:val="00593CC6"/>
    <w:rPr>
      <w:color w:val="0000FF"/>
      <w:shd w:val="clear" w:color="auto" w:fill="auto"/>
    </w:rPr>
  </w:style>
  <w:style w:type="paragraph" w:customStyle="1" w:styleId="Pagedecouverture">
    <w:name w:val="Page de couverture"/>
    <w:basedOn w:val="Normal"/>
    <w:next w:val="Normal"/>
    <w:rsid w:val="00593CC6"/>
    <w:pPr>
      <w:jc w:val="both"/>
    </w:pPr>
    <w:rPr>
      <w:rFonts w:ascii="Times New Roman" w:eastAsiaTheme="minorHAnsi" w:hAnsi="Times New Roman" w:cs="Times New Roman"/>
      <w:sz w:val="24"/>
      <w:lang w:eastAsia="en-US"/>
    </w:rPr>
  </w:style>
  <w:style w:type="paragraph" w:customStyle="1" w:styleId="FooterCoverPage">
    <w:name w:val="Footer Cover Page"/>
    <w:basedOn w:val="Normal"/>
    <w:link w:val="FooterCoverPageChar"/>
    <w:rsid w:val="00593CC6"/>
    <w:pPr>
      <w:tabs>
        <w:tab w:val="center" w:pos="4535"/>
        <w:tab w:val="right" w:pos="9071"/>
        <w:tab w:val="right" w:pos="9921"/>
      </w:tabs>
      <w:spacing w:before="360"/>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593CC6"/>
    <w:rPr>
      <w:rFonts w:ascii="Times New Roman" w:hAnsi="Times New Roman" w:cs="Times New Roman"/>
      <w:sz w:val="24"/>
    </w:rPr>
  </w:style>
  <w:style w:type="paragraph" w:customStyle="1" w:styleId="FooterSensitivity">
    <w:name w:val="Footer Sensitivity"/>
    <w:basedOn w:val="Normal"/>
    <w:link w:val="FooterSensitivityChar"/>
    <w:rsid w:val="00593CC6"/>
    <w:pPr>
      <w:pBdr>
        <w:top w:val="single" w:sz="4" w:space="1" w:color="auto"/>
        <w:left w:val="single" w:sz="4" w:space="4" w:color="auto"/>
        <w:bottom w:val="single" w:sz="4" w:space="1" w:color="auto"/>
        <w:right w:val="single" w:sz="4" w:space="4" w:color="auto"/>
      </w:pBdr>
      <w:spacing w:before="360"/>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593CC6"/>
    <w:rPr>
      <w:rFonts w:ascii="Times New Roman" w:hAnsi="Times New Roman" w:cs="Times New Roman"/>
      <w:b/>
      <w:sz w:val="32"/>
    </w:rPr>
  </w:style>
  <w:style w:type="paragraph" w:customStyle="1" w:styleId="HeaderCoverPage">
    <w:name w:val="Header Cover Page"/>
    <w:basedOn w:val="Normal"/>
    <w:link w:val="HeaderCoverPageChar"/>
    <w:rsid w:val="00593CC6"/>
    <w:pPr>
      <w:tabs>
        <w:tab w:val="center" w:pos="4535"/>
        <w:tab w:val="right" w:pos="9071"/>
      </w:tabs>
      <w:spacing w:after="120"/>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593CC6"/>
    <w:rPr>
      <w:rFonts w:ascii="Times New Roman" w:hAnsi="Times New Roman" w:cs="Times New Roman"/>
      <w:sz w:val="24"/>
    </w:rPr>
  </w:style>
  <w:style w:type="paragraph" w:customStyle="1" w:styleId="HeaderSensitivity">
    <w:name w:val="Header Sensitivity"/>
    <w:basedOn w:val="Normal"/>
    <w:link w:val="HeaderSensitivityChar"/>
    <w:rsid w:val="00593CC6"/>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593CC6"/>
    <w:rPr>
      <w:rFonts w:ascii="Times New Roman" w:hAnsi="Times New Roman" w:cs="Times New Roman"/>
      <w:b/>
      <w:sz w:val="32"/>
    </w:rPr>
  </w:style>
  <w:style w:type="paragraph" w:customStyle="1" w:styleId="HeaderSensitivityRight">
    <w:name w:val="Header Sensitivity Right"/>
    <w:basedOn w:val="Normal"/>
    <w:link w:val="HeaderSensitivityRightChar"/>
    <w:rsid w:val="00593CC6"/>
    <w:pPr>
      <w:spacing w:after="120"/>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593CC6"/>
    <w:rPr>
      <w:rFonts w:ascii="Times New Roman" w:hAnsi="Times New Roman" w:cs="Times New Roman"/>
      <w:sz w:val="28"/>
    </w:rPr>
  </w:style>
  <w:style w:type="character" w:styleId="FollowedHyperlink">
    <w:name w:val="FollowedHyperlink"/>
    <w:basedOn w:val="DefaultParagraphFont"/>
    <w:uiPriority w:val="99"/>
    <w:semiHidden/>
    <w:unhideWhenUsed/>
    <w:rsid w:val="00CB7D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64208">
      <w:bodyDiv w:val="1"/>
      <w:marLeft w:val="0"/>
      <w:marRight w:val="0"/>
      <w:marTop w:val="0"/>
      <w:marBottom w:val="0"/>
      <w:divBdr>
        <w:top w:val="none" w:sz="0" w:space="0" w:color="auto"/>
        <w:left w:val="none" w:sz="0" w:space="0" w:color="auto"/>
        <w:bottom w:val="none" w:sz="0" w:space="0" w:color="auto"/>
        <w:right w:val="none" w:sz="0" w:space="0" w:color="auto"/>
      </w:divBdr>
    </w:div>
    <w:div w:id="494300232">
      <w:bodyDiv w:val="1"/>
      <w:marLeft w:val="0"/>
      <w:marRight w:val="0"/>
      <w:marTop w:val="0"/>
      <w:marBottom w:val="0"/>
      <w:divBdr>
        <w:top w:val="none" w:sz="0" w:space="0" w:color="auto"/>
        <w:left w:val="none" w:sz="0" w:space="0" w:color="auto"/>
        <w:bottom w:val="none" w:sz="0" w:space="0" w:color="auto"/>
        <w:right w:val="none" w:sz="0" w:space="0" w:color="auto"/>
      </w:divBdr>
    </w:div>
    <w:div w:id="910584618">
      <w:bodyDiv w:val="1"/>
      <w:marLeft w:val="0"/>
      <w:marRight w:val="0"/>
      <w:marTop w:val="0"/>
      <w:marBottom w:val="0"/>
      <w:divBdr>
        <w:top w:val="none" w:sz="0" w:space="0" w:color="auto"/>
        <w:left w:val="none" w:sz="0" w:space="0" w:color="auto"/>
        <w:bottom w:val="none" w:sz="0" w:space="0" w:color="auto"/>
        <w:right w:val="none" w:sz="0" w:space="0" w:color="auto"/>
      </w:divBdr>
    </w:div>
    <w:div w:id="1463302626">
      <w:bodyDiv w:val="1"/>
      <w:marLeft w:val="0"/>
      <w:marRight w:val="0"/>
      <w:marTop w:val="0"/>
      <w:marBottom w:val="0"/>
      <w:divBdr>
        <w:top w:val="none" w:sz="0" w:space="0" w:color="auto"/>
        <w:left w:val="none" w:sz="0" w:space="0" w:color="auto"/>
        <w:bottom w:val="none" w:sz="0" w:space="0" w:color="auto"/>
        <w:right w:val="none" w:sz="0" w:space="0" w:color="auto"/>
      </w:divBdr>
    </w:div>
    <w:div w:id="1504779226">
      <w:bodyDiv w:val="1"/>
      <w:marLeft w:val="0"/>
      <w:marRight w:val="0"/>
      <w:marTop w:val="0"/>
      <w:marBottom w:val="0"/>
      <w:divBdr>
        <w:top w:val="none" w:sz="0" w:space="0" w:color="auto"/>
        <w:left w:val="none" w:sz="0" w:space="0" w:color="auto"/>
        <w:bottom w:val="none" w:sz="0" w:space="0" w:color="auto"/>
        <w:right w:val="none" w:sz="0" w:space="0" w:color="auto"/>
      </w:divBdr>
    </w:div>
    <w:div w:id="1771972599">
      <w:bodyDiv w:val="1"/>
      <w:marLeft w:val="0"/>
      <w:marRight w:val="0"/>
      <w:marTop w:val="0"/>
      <w:marBottom w:val="0"/>
      <w:divBdr>
        <w:top w:val="none" w:sz="0" w:space="0" w:color="auto"/>
        <w:left w:val="none" w:sz="0" w:space="0" w:color="auto"/>
        <w:bottom w:val="none" w:sz="0" w:space="0" w:color="auto"/>
        <w:right w:val="none" w:sz="0" w:space="0" w:color="auto"/>
      </w:divBdr>
    </w:div>
    <w:div w:id="1772777019">
      <w:bodyDiv w:val="1"/>
      <w:marLeft w:val="0"/>
      <w:marRight w:val="0"/>
      <w:marTop w:val="0"/>
      <w:marBottom w:val="0"/>
      <w:divBdr>
        <w:top w:val="none" w:sz="0" w:space="0" w:color="auto"/>
        <w:left w:val="none" w:sz="0" w:space="0" w:color="auto"/>
        <w:bottom w:val="none" w:sz="0" w:space="0" w:color="auto"/>
        <w:right w:val="none" w:sz="0" w:space="0" w:color="auto"/>
      </w:divBdr>
    </w:div>
    <w:div w:id="1962108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o.io.gov.mo/bo/i/2024/44/lei20.asp" TargetMode="External"/><Relationship Id="rId2" Type="http://schemas.openxmlformats.org/officeDocument/2006/relationships/hyperlink" Target="https://bo.io.gov.mo/bo/i/2024/17/lei07.asp" TargetMode="External"/><Relationship Id="rId1" Type="http://schemas.openxmlformats.org/officeDocument/2006/relationships/hyperlink" Target="https://www.imf.org/en/Publications/CR/Issues/2024/05/29/Peoples-Republic-of-China-Macao-Special-Administrative-Region-2024-Article-IV-Consultation-549654" TargetMode="External"/><Relationship Id="rId6" Type="http://schemas.openxmlformats.org/officeDocument/2006/relationships/hyperlink" Target="https://www.gov.mo/en/news/321684/" TargetMode="External"/><Relationship Id="rId5" Type="http://schemas.openxmlformats.org/officeDocument/2006/relationships/hyperlink" Target="https://bo.io.gov.mo/bo/i/2024/13/regadm13.asp" TargetMode="External"/><Relationship Id="rId4" Type="http://schemas.openxmlformats.org/officeDocument/2006/relationships/hyperlink" Target="https://www.gov.mo/en/wp-content/uploads/sites/2/2024/12/2024Re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59ED7-2F1A-4E47-A07A-D349880C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5439</Words>
  <Characters>31004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6</cp:revision>
  <cp:lastPrinted>2024-03-01T07:53:00Z</cp:lastPrinted>
  <dcterms:created xsi:type="dcterms:W3CDTF">2025-07-18T09:59:00Z</dcterms:created>
  <dcterms:modified xsi:type="dcterms:W3CDTF">2025-08-29T13:25:00Z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CP-018</vt:lpwstr>
  </property>
  <property fmtid="{D5CDD505-2E9C-101B-9397-08002B2CF9AE}" pid="7" name="Last edited using">
    <vt:lpwstr>LW 9.1, Build 20240808</vt:lpwstr>
  </property>
  <property fmtid="{D5CDD505-2E9C-101B-9397-08002B2CF9AE}" pid="8" name="Created using">
    <vt:lpwstr>LW 8.1, Build 20220902</vt:lpwstr>
  </property>
  <property fmtid="{D5CDD505-2E9C-101B-9397-08002B2CF9AE}" pid="9" name="MSIP_Label_6bd9ddd1-4d20-43f6-abfa-fc3c07406f94_Enabled">
    <vt:lpwstr>true</vt:lpwstr>
  </property>
  <property fmtid="{D5CDD505-2E9C-101B-9397-08002B2CF9AE}" pid="10" name="MSIP_Label_6bd9ddd1-4d20-43f6-abfa-fc3c07406f94_SetDate">
    <vt:lpwstr>2025-04-28T13:53:16Z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c4122b73-0d09-4501-80aa-bbf5905e5eb0</vt:lpwstr>
  </property>
  <property fmtid="{D5CDD505-2E9C-101B-9397-08002B2CF9AE}" pid="15" name="MSIP_Label_6bd9ddd1-4d20-43f6-abfa-fc3c07406f94_ContentBits">
    <vt:lpwstr>0</vt:lpwstr>
  </property>
</Properties>
</file>