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EBF80" w14:textId="019E3D9A" w:rsidR="0089248B" w:rsidRDefault="00174E45" w:rsidP="00174E45">
      <w:pPr>
        <w:pStyle w:val="Pagedecouverture"/>
        <w:rPr>
          <w:noProof/>
        </w:rPr>
      </w:pPr>
      <w:bookmarkStart w:id="0" w:name="LW_BM_COVERPAGE"/>
      <w:r>
        <w:rPr>
          <w:noProof/>
        </w:rPr>
        <w:pict w14:anchorId="45599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9D929F8-C0C5-4150-AC7F-5E1B601A25DF" style="width:455.25pt;height:296.25pt">
            <v:imagedata r:id="rId11" o:title=""/>
          </v:shape>
        </w:pict>
      </w:r>
    </w:p>
    <w:bookmarkEnd w:id="0"/>
    <w:p w14:paraId="7A526634" w14:textId="77777777" w:rsidR="0089248B" w:rsidRDefault="0089248B" w:rsidP="0089248B">
      <w:pPr>
        <w:rPr>
          <w:noProof/>
          <w:lang w:val="en-IE"/>
        </w:rPr>
        <w:sectPr w:rsidR="0089248B" w:rsidSect="00174E4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4E12D44" w14:textId="0062AA0F" w:rsidR="007C648A" w:rsidRDefault="00994548" w:rsidP="00E41301">
      <w:pPr>
        <w:jc w:val="center"/>
        <w:rPr>
          <w:b/>
          <w:bCs/>
          <w:noProof/>
        </w:rPr>
      </w:pPr>
      <w:bookmarkStart w:id="1" w:name="_GoBack"/>
      <w:bookmarkEnd w:id="1"/>
      <w:r>
        <w:rPr>
          <w:b/>
          <w:noProof/>
        </w:rPr>
        <w:lastRenderedPageBreak/>
        <w:t>VUODEN 2025 KERTOMUS PUHTAAN ENERGIAN TEKNOLOGIOIDEN KILPAILUKYVYN EDISTYMISESTÄ</w:t>
      </w:r>
    </w:p>
    <w:p w14:paraId="100BAAAC" w14:textId="77777777" w:rsidR="00E41301" w:rsidRPr="00220722" w:rsidRDefault="00E41301" w:rsidP="00E41301">
      <w:pPr>
        <w:spacing w:after="60"/>
        <w:jc w:val="center"/>
        <w:rPr>
          <w:b/>
          <w:bCs/>
          <w:noProof/>
        </w:rPr>
      </w:pPr>
    </w:p>
    <w:sdt>
      <w:sdtPr>
        <w:rPr>
          <w:rFonts w:ascii="Times New Roman" w:eastAsiaTheme="minorEastAsia" w:hAnsi="Times New Roman" w:cs="Times New Roman"/>
          <w:b/>
          <w:bCs/>
          <w:noProof/>
          <w:color w:val="auto"/>
          <w:kern w:val="2"/>
          <w:sz w:val="22"/>
          <w:szCs w:val="22"/>
          <w:lang w:eastAsia="en-IE"/>
          <w14:ligatures w14:val="standardContextual"/>
        </w:rPr>
        <w:id w:val="450325408"/>
        <w:docPartObj>
          <w:docPartGallery w:val="Table of Contents"/>
          <w:docPartUnique/>
        </w:docPartObj>
      </w:sdtPr>
      <w:sdtEndPr>
        <w:rPr>
          <w:b w:val="0"/>
          <w:bCs w:val="0"/>
          <w:sz w:val="24"/>
          <w:szCs w:val="24"/>
        </w:rPr>
      </w:sdtEndPr>
      <w:sdtContent>
        <w:p w14:paraId="49F7A05F" w14:textId="35D051B8" w:rsidR="00E41301" w:rsidRPr="00B64ACF" w:rsidRDefault="00E41301" w:rsidP="00E41301">
          <w:pPr>
            <w:pStyle w:val="TOCHeading"/>
            <w:spacing w:after="6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Sisällysluettelo</w:t>
          </w:r>
        </w:p>
        <w:p w14:paraId="216931A8" w14:textId="77777777" w:rsidR="00E41301" w:rsidRPr="00E41301" w:rsidRDefault="00E41301" w:rsidP="00E41301">
          <w:pPr>
            <w:spacing w:after="60"/>
            <w:rPr>
              <w:noProof/>
              <w:lang w:val="en-US" w:eastAsia="en-US"/>
            </w:rPr>
          </w:pPr>
        </w:p>
        <w:p w14:paraId="00C0694A" w14:textId="457A9C46" w:rsidR="00753A83" w:rsidRDefault="000E6662">
          <w:pPr>
            <w:pStyle w:val="TOC1"/>
            <w:rPr>
              <w:rFonts w:asciiTheme="minorHAnsi" w:eastAsiaTheme="minorEastAsia" w:hAnsiTheme="minorHAnsi" w:cstheme="minorBidi"/>
              <w:b w:val="0"/>
              <w:noProof/>
              <w:sz w:val="24"/>
              <w:lang w:val="en-IE"/>
            </w:rPr>
          </w:pPr>
          <w:r>
            <w:rPr>
              <w:noProof/>
            </w:rPr>
            <w:fldChar w:fldCharType="begin"/>
          </w:r>
          <w:r w:rsidR="00B64ACF">
            <w:rPr>
              <w:noProof/>
            </w:rPr>
            <w:instrText>TOC \o "1-3" \z \u \h</w:instrText>
          </w:r>
          <w:r>
            <w:rPr>
              <w:noProof/>
            </w:rPr>
            <w:fldChar w:fldCharType="separate"/>
          </w:r>
          <w:hyperlink w:anchor="_Toc194657165" w:history="1">
            <w:r w:rsidR="00753A83" w:rsidRPr="00706A43">
              <w:rPr>
                <w:rStyle w:val="Hyperlink"/>
                <w:noProof/>
              </w:rPr>
              <w:t>Tiivistelmä</w:t>
            </w:r>
            <w:r w:rsidR="00753A83">
              <w:rPr>
                <w:noProof/>
                <w:webHidden/>
              </w:rPr>
              <w:tab/>
            </w:r>
            <w:r w:rsidR="00753A83">
              <w:rPr>
                <w:noProof/>
                <w:webHidden/>
              </w:rPr>
              <w:fldChar w:fldCharType="begin"/>
            </w:r>
            <w:r w:rsidR="00753A83">
              <w:rPr>
                <w:noProof/>
                <w:webHidden/>
              </w:rPr>
              <w:instrText xml:space="preserve"> PAGEREF _Toc194657165 \h </w:instrText>
            </w:r>
            <w:r w:rsidR="00753A83">
              <w:rPr>
                <w:noProof/>
                <w:webHidden/>
              </w:rPr>
            </w:r>
            <w:r w:rsidR="00753A83">
              <w:rPr>
                <w:noProof/>
                <w:webHidden/>
              </w:rPr>
              <w:fldChar w:fldCharType="separate"/>
            </w:r>
            <w:r w:rsidR="008C1E51">
              <w:rPr>
                <w:noProof/>
                <w:webHidden/>
              </w:rPr>
              <w:t>2</w:t>
            </w:r>
            <w:r w:rsidR="00753A83">
              <w:rPr>
                <w:noProof/>
                <w:webHidden/>
              </w:rPr>
              <w:fldChar w:fldCharType="end"/>
            </w:r>
          </w:hyperlink>
        </w:p>
        <w:p w14:paraId="7093F726" w14:textId="5F1D490C" w:rsidR="00753A83" w:rsidRDefault="00174E45">
          <w:pPr>
            <w:pStyle w:val="TOC1"/>
            <w:tabs>
              <w:tab w:val="left" w:pos="482"/>
            </w:tabs>
            <w:rPr>
              <w:rFonts w:asciiTheme="minorHAnsi" w:eastAsiaTheme="minorEastAsia" w:hAnsiTheme="minorHAnsi" w:cstheme="minorBidi"/>
              <w:b w:val="0"/>
              <w:noProof/>
              <w:sz w:val="24"/>
              <w:lang w:val="en-IE"/>
            </w:rPr>
          </w:pPr>
          <w:hyperlink w:anchor="_Toc194657166" w:history="1">
            <w:r w:rsidR="00753A83" w:rsidRPr="00706A43">
              <w:rPr>
                <w:rStyle w:val="Hyperlink"/>
                <w:noProof/>
              </w:rPr>
              <w:t>1.</w:t>
            </w:r>
            <w:r w:rsidR="00753A83">
              <w:rPr>
                <w:rFonts w:asciiTheme="minorHAnsi" w:eastAsiaTheme="minorEastAsia" w:hAnsiTheme="minorHAnsi" w:cstheme="minorBidi"/>
                <w:b w:val="0"/>
                <w:noProof/>
                <w:sz w:val="24"/>
                <w:lang w:val="en-IE"/>
              </w:rPr>
              <w:tab/>
            </w:r>
            <w:r w:rsidR="00753A83" w:rsidRPr="00706A43">
              <w:rPr>
                <w:rStyle w:val="Hyperlink"/>
                <w:noProof/>
              </w:rPr>
              <w:t>Johdanto</w:t>
            </w:r>
            <w:r w:rsidR="00753A83">
              <w:rPr>
                <w:noProof/>
                <w:webHidden/>
              </w:rPr>
              <w:tab/>
            </w:r>
            <w:r w:rsidR="00753A83">
              <w:rPr>
                <w:noProof/>
                <w:webHidden/>
              </w:rPr>
              <w:fldChar w:fldCharType="begin"/>
            </w:r>
            <w:r w:rsidR="00753A83">
              <w:rPr>
                <w:noProof/>
                <w:webHidden/>
              </w:rPr>
              <w:instrText xml:space="preserve"> PAGEREF _Toc194657166 \h </w:instrText>
            </w:r>
            <w:r w:rsidR="00753A83">
              <w:rPr>
                <w:noProof/>
                <w:webHidden/>
              </w:rPr>
            </w:r>
            <w:r w:rsidR="00753A83">
              <w:rPr>
                <w:noProof/>
                <w:webHidden/>
              </w:rPr>
              <w:fldChar w:fldCharType="separate"/>
            </w:r>
            <w:r w:rsidR="008C1E51">
              <w:rPr>
                <w:noProof/>
                <w:webHidden/>
              </w:rPr>
              <w:t>6</w:t>
            </w:r>
            <w:r w:rsidR="00753A83">
              <w:rPr>
                <w:noProof/>
                <w:webHidden/>
              </w:rPr>
              <w:fldChar w:fldCharType="end"/>
            </w:r>
          </w:hyperlink>
        </w:p>
        <w:p w14:paraId="777D60A4" w14:textId="6415A559" w:rsidR="00753A83" w:rsidRDefault="00174E45">
          <w:pPr>
            <w:pStyle w:val="TOC1"/>
            <w:tabs>
              <w:tab w:val="left" w:pos="482"/>
            </w:tabs>
            <w:rPr>
              <w:rFonts w:asciiTheme="minorHAnsi" w:eastAsiaTheme="minorEastAsia" w:hAnsiTheme="minorHAnsi" w:cstheme="minorBidi"/>
              <w:b w:val="0"/>
              <w:noProof/>
              <w:sz w:val="24"/>
              <w:lang w:val="en-IE"/>
            </w:rPr>
          </w:pPr>
          <w:hyperlink w:anchor="_Toc194657167" w:history="1">
            <w:r w:rsidR="00753A83" w:rsidRPr="00706A43">
              <w:rPr>
                <w:rStyle w:val="Hyperlink"/>
                <w:noProof/>
              </w:rPr>
              <w:t>2.</w:t>
            </w:r>
            <w:r w:rsidR="00753A83">
              <w:rPr>
                <w:rFonts w:asciiTheme="minorHAnsi" w:eastAsiaTheme="minorEastAsia" w:hAnsiTheme="minorHAnsi" w:cstheme="minorBidi"/>
                <w:b w:val="0"/>
                <w:noProof/>
                <w:sz w:val="24"/>
                <w:lang w:val="en-IE"/>
              </w:rPr>
              <w:tab/>
            </w:r>
            <w:r w:rsidR="00753A83" w:rsidRPr="00706A43">
              <w:rPr>
                <w:rStyle w:val="Hyperlink"/>
                <w:noProof/>
              </w:rPr>
              <w:t>EU:n puhtaan energian alan kilpailukyvyn arviointi</w:t>
            </w:r>
            <w:r w:rsidR="00753A83">
              <w:rPr>
                <w:noProof/>
                <w:webHidden/>
              </w:rPr>
              <w:tab/>
            </w:r>
            <w:r w:rsidR="00753A83">
              <w:rPr>
                <w:noProof/>
                <w:webHidden/>
              </w:rPr>
              <w:fldChar w:fldCharType="begin"/>
            </w:r>
            <w:r w:rsidR="00753A83">
              <w:rPr>
                <w:noProof/>
                <w:webHidden/>
              </w:rPr>
              <w:instrText xml:space="preserve"> PAGEREF _Toc194657167 \h </w:instrText>
            </w:r>
            <w:r w:rsidR="00753A83">
              <w:rPr>
                <w:noProof/>
                <w:webHidden/>
              </w:rPr>
            </w:r>
            <w:r w:rsidR="00753A83">
              <w:rPr>
                <w:noProof/>
                <w:webHidden/>
              </w:rPr>
              <w:fldChar w:fldCharType="separate"/>
            </w:r>
            <w:r w:rsidR="008C1E51">
              <w:rPr>
                <w:noProof/>
                <w:webHidden/>
              </w:rPr>
              <w:t>7</w:t>
            </w:r>
            <w:r w:rsidR="00753A83">
              <w:rPr>
                <w:noProof/>
                <w:webHidden/>
              </w:rPr>
              <w:fldChar w:fldCharType="end"/>
            </w:r>
          </w:hyperlink>
        </w:p>
        <w:p w14:paraId="1FF17847" w14:textId="02EAE216"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68" w:history="1">
            <w:r w:rsidR="00753A83" w:rsidRPr="00706A43">
              <w:rPr>
                <w:rStyle w:val="Hyperlink"/>
                <w:noProof/>
              </w:rPr>
              <w:t>2.1.</w:t>
            </w:r>
            <w:r w:rsidR="00753A83">
              <w:rPr>
                <w:rFonts w:asciiTheme="minorHAnsi" w:eastAsiaTheme="minorEastAsia" w:hAnsiTheme="minorHAnsi" w:cstheme="minorBidi"/>
                <w:noProof/>
                <w:sz w:val="24"/>
                <w:lang w:val="en-IE"/>
              </w:rPr>
              <w:tab/>
            </w:r>
            <w:r w:rsidR="00753A83" w:rsidRPr="00706A43">
              <w:rPr>
                <w:rStyle w:val="Hyperlink"/>
                <w:noProof/>
              </w:rPr>
              <w:t>Maailmantalouden tilanne ja EU:n nettonollateknologia-alan kilpailukyky</w:t>
            </w:r>
            <w:r w:rsidR="00753A83">
              <w:rPr>
                <w:noProof/>
                <w:webHidden/>
              </w:rPr>
              <w:tab/>
            </w:r>
            <w:r w:rsidR="00753A83">
              <w:rPr>
                <w:noProof/>
                <w:webHidden/>
              </w:rPr>
              <w:fldChar w:fldCharType="begin"/>
            </w:r>
            <w:r w:rsidR="00753A83">
              <w:rPr>
                <w:noProof/>
                <w:webHidden/>
              </w:rPr>
              <w:instrText xml:space="preserve"> PAGEREF _Toc194657168 \h </w:instrText>
            </w:r>
            <w:r w:rsidR="00753A83">
              <w:rPr>
                <w:noProof/>
                <w:webHidden/>
              </w:rPr>
            </w:r>
            <w:r w:rsidR="00753A83">
              <w:rPr>
                <w:noProof/>
                <w:webHidden/>
              </w:rPr>
              <w:fldChar w:fldCharType="separate"/>
            </w:r>
            <w:r w:rsidR="008C1E51">
              <w:rPr>
                <w:noProof/>
                <w:webHidden/>
              </w:rPr>
              <w:t>7</w:t>
            </w:r>
            <w:r w:rsidR="00753A83">
              <w:rPr>
                <w:noProof/>
                <w:webHidden/>
              </w:rPr>
              <w:fldChar w:fldCharType="end"/>
            </w:r>
          </w:hyperlink>
        </w:p>
        <w:p w14:paraId="0DA009A6" w14:textId="23B163E1" w:rsidR="00753A83" w:rsidRDefault="00174E45">
          <w:pPr>
            <w:pStyle w:val="TOC3"/>
            <w:tabs>
              <w:tab w:val="left" w:pos="1200"/>
              <w:tab w:val="right" w:leader="dot" w:pos="9016"/>
            </w:tabs>
            <w:rPr>
              <w:rFonts w:asciiTheme="minorHAnsi" w:eastAsiaTheme="minorEastAsia" w:hAnsiTheme="minorHAnsi" w:cstheme="minorBidi"/>
              <w:noProof/>
              <w:sz w:val="24"/>
              <w:lang w:val="en-IE"/>
            </w:rPr>
          </w:pPr>
          <w:hyperlink w:anchor="_Toc194657169" w:history="1">
            <w:r w:rsidR="00753A83" w:rsidRPr="00706A43">
              <w:rPr>
                <w:rStyle w:val="Hyperlink"/>
                <w:noProof/>
              </w:rPr>
              <w:t>2.1.1.</w:t>
            </w:r>
            <w:r w:rsidR="00753A83">
              <w:rPr>
                <w:rFonts w:asciiTheme="minorHAnsi" w:eastAsiaTheme="minorEastAsia" w:hAnsiTheme="minorHAnsi" w:cstheme="minorBidi"/>
                <w:noProof/>
                <w:sz w:val="24"/>
                <w:lang w:val="en-IE"/>
              </w:rPr>
              <w:tab/>
            </w:r>
            <w:r w:rsidR="00753A83" w:rsidRPr="00706A43">
              <w:rPr>
                <w:rStyle w:val="Hyperlink"/>
                <w:noProof/>
              </w:rPr>
              <w:t>Energian hintojen ja kustannusten kehitys</w:t>
            </w:r>
            <w:r w:rsidR="00753A83">
              <w:rPr>
                <w:noProof/>
                <w:webHidden/>
              </w:rPr>
              <w:tab/>
            </w:r>
            <w:r w:rsidR="00753A83">
              <w:rPr>
                <w:noProof/>
                <w:webHidden/>
              </w:rPr>
              <w:fldChar w:fldCharType="begin"/>
            </w:r>
            <w:r w:rsidR="00753A83">
              <w:rPr>
                <w:noProof/>
                <w:webHidden/>
              </w:rPr>
              <w:instrText xml:space="preserve"> PAGEREF _Toc194657169 \h </w:instrText>
            </w:r>
            <w:r w:rsidR="00753A83">
              <w:rPr>
                <w:noProof/>
                <w:webHidden/>
              </w:rPr>
            </w:r>
            <w:r w:rsidR="00753A83">
              <w:rPr>
                <w:noProof/>
                <w:webHidden/>
              </w:rPr>
              <w:fldChar w:fldCharType="separate"/>
            </w:r>
            <w:r w:rsidR="008C1E51">
              <w:rPr>
                <w:noProof/>
                <w:webHidden/>
              </w:rPr>
              <w:t>7</w:t>
            </w:r>
            <w:r w:rsidR="00753A83">
              <w:rPr>
                <w:noProof/>
                <w:webHidden/>
              </w:rPr>
              <w:fldChar w:fldCharType="end"/>
            </w:r>
          </w:hyperlink>
        </w:p>
        <w:p w14:paraId="4F9ECE37" w14:textId="3A2B36EB" w:rsidR="00753A83" w:rsidRDefault="00174E45">
          <w:pPr>
            <w:pStyle w:val="TOC3"/>
            <w:tabs>
              <w:tab w:val="left" w:pos="1200"/>
              <w:tab w:val="right" w:leader="dot" w:pos="9016"/>
            </w:tabs>
            <w:rPr>
              <w:rFonts w:asciiTheme="minorHAnsi" w:eastAsiaTheme="minorEastAsia" w:hAnsiTheme="minorHAnsi" w:cstheme="minorBidi"/>
              <w:noProof/>
              <w:sz w:val="24"/>
              <w:lang w:val="en-IE"/>
            </w:rPr>
          </w:pPr>
          <w:hyperlink w:anchor="_Toc194657170" w:history="1">
            <w:r w:rsidR="00753A83" w:rsidRPr="00706A43">
              <w:rPr>
                <w:rStyle w:val="Hyperlink"/>
                <w:noProof/>
              </w:rPr>
              <w:t>2.1.2.</w:t>
            </w:r>
            <w:r w:rsidR="00753A83">
              <w:rPr>
                <w:rFonts w:asciiTheme="minorHAnsi" w:eastAsiaTheme="minorEastAsia" w:hAnsiTheme="minorHAnsi" w:cstheme="minorBidi"/>
                <w:noProof/>
                <w:sz w:val="24"/>
                <w:lang w:val="en-IE"/>
              </w:rPr>
              <w:tab/>
            </w:r>
            <w:r w:rsidR="00753A83" w:rsidRPr="00706A43">
              <w:rPr>
                <w:rStyle w:val="Hyperlink"/>
                <w:noProof/>
              </w:rPr>
              <w:t>Tuki nettonollateknologialle maailmanmarkkinoilla</w:t>
            </w:r>
            <w:r w:rsidR="00753A83">
              <w:rPr>
                <w:noProof/>
                <w:webHidden/>
              </w:rPr>
              <w:tab/>
            </w:r>
            <w:r w:rsidR="00753A83">
              <w:rPr>
                <w:noProof/>
                <w:webHidden/>
              </w:rPr>
              <w:fldChar w:fldCharType="begin"/>
            </w:r>
            <w:r w:rsidR="00753A83">
              <w:rPr>
                <w:noProof/>
                <w:webHidden/>
              </w:rPr>
              <w:instrText xml:space="preserve"> PAGEREF _Toc194657170 \h </w:instrText>
            </w:r>
            <w:r w:rsidR="00753A83">
              <w:rPr>
                <w:noProof/>
                <w:webHidden/>
              </w:rPr>
            </w:r>
            <w:r w:rsidR="00753A83">
              <w:rPr>
                <w:noProof/>
                <w:webHidden/>
              </w:rPr>
              <w:fldChar w:fldCharType="separate"/>
            </w:r>
            <w:r w:rsidR="008C1E51">
              <w:rPr>
                <w:noProof/>
                <w:webHidden/>
              </w:rPr>
              <w:t>10</w:t>
            </w:r>
            <w:r w:rsidR="00753A83">
              <w:rPr>
                <w:noProof/>
                <w:webHidden/>
              </w:rPr>
              <w:fldChar w:fldCharType="end"/>
            </w:r>
          </w:hyperlink>
        </w:p>
        <w:p w14:paraId="1A59F491" w14:textId="78ABF581"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71" w:history="1">
            <w:r w:rsidR="00753A83" w:rsidRPr="00706A43">
              <w:rPr>
                <w:rStyle w:val="Hyperlink"/>
                <w:noProof/>
              </w:rPr>
              <w:t>2.2.</w:t>
            </w:r>
            <w:r w:rsidR="00753A83">
              <w:rPr>
                <w:rFonts w:asciiTheme="minorHAnsi" w:eastAsiaTheme="minorEastAsia" w:hAnsiTheme="minorHAnsi" w:cstheme="minorBidi"/>
                <w:noProof/>
                <w:sz w:val="24"/>
                <w:lang w:val="en-IE"/>
              </w:rPr>
              <w:tab/>
            </w:r>
            <w:r w:rsidR="00753A83" w:rsidRPr="00706A43">
              <w:rPr>
                <w:rStyle w:val="Hyperlink"/>
                <w:noProof/>
              </w:rPr>
              <w:t>Nettonollateknologian arvoketjut EU:ssa: puhtaan teollisuuden mahdollisuudet ja haasteet</w:t>
            </w:r>
            <w:r w:rsidR="00753A83">
              <w:rPr>
                <w:noProof/>
                <w:webHidden/>
              </w:rPr>
              <w:tab/>
            </w:r>
            <w:r w:rsidR="00753A83">
              <w:rPr>
                <w:noProof/>
                <w:webHidden/>
              </w:rPr>
              <w:fldChar w:fldCharType="begin"/>
            </w:r>
            <w:r w:rsidR="00753A83">
              <w:rPr>
                <w:noProof/>
                <w:webHidden/>
              </w:rPr>
              <w:instrText xml:space="preserve"> PAGEREF _Toc194657171 \h </w:instrText>
            </w:r>
            <w:r w:rsidR="00753A83">
              <w:rPr>
                <w:noProof/>
                <w:webHidden/>
              </w:rPr>
            </w:r>
            <w:r w:rsidR="00753A83">
              <w:rPr>
                <w:noProof/>
                <w:webHidden/>
              </w:rPr>
              <w:fldChar w:fldCharType="separate"/>
            </w:r>
            <w:r w:rsidR="008C1E51">
              <w:rPr>
                <w:noProof/>
                <w:webHidden/>
              </w:rPr>
              <w:t>12</w:t>
            </w:r>
            <w:r w:rsidR="00753A83">
              <w:rPr>
                <w:noProof/>
                <w:webHidden/>
              </w:rPr>
              <w:fldChar w:fldCharType="end"/>
            </w:r>
          </w:hyperlink>
        </w:p>
        <w:p w14:paraId="08081753" w14:textId="3FF1C044" w:rsidR="00753A83" w:rsidRDefault="00174E45">
          <w:pPr>
            <w:pStyle w:val="TOC3"/>
            <w:tabs>
              <w:tab w:val="left" w:pos="1200"/>
              <w:tab w:val="right" w:leader="dot" w:pos="9016"/>
            </w:tabs>
            <w:rPr>
              <w:rFonts w:asciiTheme="minorHAnsi" w:eastAsiaTheme="minorEastAsia" w:hAnsiTheme="minorHAnsi" w:cstheme="minorBidi"/>
              <w:noProof/>
              <w:sz w:val="24"/>
              <w:lang w:val="en-IE"/>
            </w:rPr>
          </w:pPr>
          <w:hyperlink w:anchor="_Toc194657172" w:history="1">
            <w:r w:rsidR="00753A83" w:rsidRPr="00706A43">
              <w:rPr>
                <w:rStyle w:val="Hyperlink"/>
                <w:noProof/>
              </w:rPr>
              <w:t>2.2.1.</w:t>
            </w:r>
            <w:r w:rsidR="00753A83">
              <w:rPr>
                <w:rFonts w:asciiTheme="minorHAnsi" w:eastAsiaTheme="minorEastAsia" w:hAnsiTheme="minorHAnsi" w:cstheme="minorBidi"/>
                <w:noProof/>
                <w:sz w:val="24"/>
                <w:lang w:val="en-IE"/>
              </w:rPr>
              <w:tab/>
            </w:r>
            <w:r w:rsidR="00753A83" w:rsidRPr="00706A43">
              <w:rPr>
                <w:rStyle w:val="Hyperlink"/>
                <w:noProof/>
              </w:rPr>
              <w:t>Valmistusteollisuuden toimitusketjut</w:t>
            </w:r>
            <w:r w:rsidR="00753A83">
              <w:rPr>
                <w:noProof/>
                <w:webHidden/>
              </w:rPr>
              <w:tab/>
            </w:r>
            <w:r w:rsidR="00753A83">
              <w:rPr>
                <w:noProof/>
                <w:webHidden/>
              </w:rPr>
              <w:fldChar w:fldCharType="begin"/>
            </w:r>
            <w:r w:rsidR="00753A83">
              <w:rPr>
                <w:noProof/>
                <w:webHidden/>
              </w:rPr>
              <w:instrText xml:space="preserve"> PAGEREF _Toc194657172 \h </w:instrText>
            </w:r>
            <w:r w:rsidR="00753A83">
              <w:rPr>
                <w:noProof/>
                <w:webHidden/>
              </w:rPr>
            </w:r>
            <w:r w:rsidR="00753A83">
              <w:rPr>
                <w:noProof/>
                <w:webHidden/>
              </w:rPr>
              <w:fldChar w:fldCharType="separate"/>
            </w:r>
            <w:r w:rsidR="008C1E51">
              <w:rPr>
                <w:noProof/>
                <w:webHidden/>
              </w:rPr>
              <w:t>12</w:t>
            </w:r>
            <w:r w:rsidR="00753A83">
              <w:rPr>
                <w:noProof/>
                <w:webHidden/>
              </w:rPr>
              <w:fldChar w:fldCharType="end"/>
            </w:r>
          </w:hyperlink>
        </w:p>
        <w:p w14:paraId="39738AEB" w14:textId="4CF68EE4" w:rsidR="00753A83" w:rsidRDefault="00174E45">
          <w:pPr>
            <w:pStyle w:val="TOC3"/>
            <w:tabs>
              <w:tab w:val="left" w:pos="1200"/>
              <w:tab w:val="right" w:leader="dot" w:pos="9016"/>
            </w:tabs>
            <w:rPr>
              <w:rFonts w:asciiTheme="minorHAnsi" w:eastAsiaTheme="minorEastAsia" w:hAnsiTheme="minorHAnsi" w:cstheme="minorBidi"/>
              <w:noProof/>
              <w:sz w:val="24"/>
              <w:lang w:val="en-IE"/>
            </w:rPr>
          </w:pPr>
          <w:hyperlink w:anchor="_Toc194657173" w:history="1">
            <w:r w:rsidR="00753A83" w:rsidRPr="00706A43">
              <w:rPr>
                <w:rStyle w:val="Hyperlink"/>
                <w:noProof/>
              </w:rPr>
              <w:t>2.2.2.</w:t>
            </w:r>
            <w:r w:rsidR="00753A83">
              <w:rPr>
                <w:rFonts w:asciiTheme="minorHAnsi" w:eastAsiaTheme="minorEastAsia" w:hAnsiTheme="minorHAnsi" w:cstheme="minorBidi"/>
                <w:noProof/>
                <w:sz w:val="24"/>
                <w:lang w:val="en-IE"/>
              </w:rPr>
              <w:tab/>
            </w:r>
            <w:r w:rsidR="00753A83" w:rsidRPr="00706A43">
              <w:rPr>
                <w:rStyle w:val="Hyperlink"/>
                <w:noProof/>
              </w:rPr>
              <w:t>Energiavaltaisen teollisuuden hiilestä irtautuminen</w:t>
            </w:r>
            <w:r w:rsidR="00753A83">
              <w:rPr>
                <w:noProof/>
                <w:webHidden/>
              </w:rPr>
              <w:tab/>
            </w:r>
            <w:r w:rsidR="00753A83">
              <w:rPr>
                <w:noProof/>
                <w:webHidden/>
              </w:rPr>
              <w:fldChar w:fldCharType="begin"/>
            </w:r>
            <w:r w:rsidR="00753A83">
              <w:rPr>
                <w:noProof/>
                <w:webHidden/>
              </w:rPr>
              <w:instrText xml:space="preserve"> PAGEREF _Toc194657173 \h </w:instrText>
            </w:r>
            <w:r w:rsidR="00753A83">
              <w:rPr>
                <w:noProof/>
                <w:webHidden/>
              </w:rPr>
            </w:r>
            <w:r w:rsidR="00753A83">
              <w:rPr>
                <w:noProof/>
                <w:webHidden/>
              </w:rPr>
              <w:fldChar w:fldCharType="separate"/>
            </w:r>
            <w:r w:rsidR="008C1E51">
              <w:rPr>
                <w:noProof/>
                <w:webHidden/>
              </w:rPr>
              <w:t>15</w:t>
            </w:r>
            <w:r w:rsidR="00753A83">
              <w:rPr>
                <w:noProof/>
                <w:webHidden/>
              </w:rPr>
              <w:fldChar w:fldCharType="end"/>
            </w:r>
          </w:hyperlink>
        </w:p>
        <w:p w14:paraId="20A522F4" w14:textId="5F8B7DC5" w:rsidR="00753A83" w:rsidRDefault="00174E45">
          <w:pPr>
            <w:pStyle w:val="TOC3"/>
            <w:tabs>
              <w:tab w:val="left" w:pos="1200"/>
              <w:tab w:val="right" w:leader="dot" w:pos="9016"/>
            </w:tabs>
            <w:rPr>
              <w:rFonts w:asciiTheme="minorHAnsi" w:eastAsiaTheme="minorEastAsia" w:hAnsiTheme="minorHAnsi" w:cstheme="minorBidi"/>
              <w:noProof/>
              <w:sz w:val="24"/>
              <w:lang w:val="en-IE"/>
            </w:rPr>
          </w:pPr>
          <w:hyperlink w:anchor="_Toc194657174" w:history="1">
            <w:r w:rsidR="00753A83" w:rsidRPr="00706A43">
              <w:rPr>
                <w:rStyle w:val="Hyperlink"/>
                <w:noProof/>
              </w:rPr>
              <w:t>2.2.3.</w:t>
            </w:r>
            <w:r w:rsidR="00753A83">
              <w:rPr>
                <w:rFonts w:asciiTheme="minorHAnsi" w:eastAsiaTheme="minorEastAsia" w:hAnsiTheme="minorHAnsi" w:cstheme="minorBidi"/>
                <w:noProof/>
                <w:sz w:val="24"/>
                <w:lang w:val="en-IE"/>
              </w:rPr>
              <w:tab/>
            </w:r>
            <w:r w:rsidR="00753A83" w:rsidRPr="00706A43">
              <w:rPr>
                <w:rStyle w:val="Hyperlink"/>
                <w:noProof/>
              </w:rPr>
              <w:t>Inhimillinen pääoma ja osaaminen</w:t>
            </w:r>
            <w:r w:rsidR="00753A83">
              <w:rPr>
                <w:noProof/>
                <w:webHidden/>
              </w:rPr>
              <w:tab/>
            </w:r>
            <w:r w:rsidR="00753A83">
              <w:rPr>
                <w:noProof/>
                <w:webHidden/>
              </w:rPr>
              <w:fldChar w:fldCharType="begin"/>
            </w:r>
            <w:r w:rsidR="00753A83">
              <w:rPr>
                <w:noProof/>
                <w:webHidden/>
              </w:rPr>
              <w:instrText xml:space="preserve"> PAGEREF _Toc194657174 \h </w:instrText>
            </w:r>
            <w:r w:rsidR="00753A83">
              <w:rPr>
                <w:noProof/>
                <w:webHidden/>
              </w:rPr>
            </w:r>
            <w:r w:rsidR="00753A83">
              <w:rPr>
                <w:noProof/>
                <w:webHidden/>
              </w:rPr>
              <w:fldChar w:fldCharType="separate"/>
            </w:r>
            <w:r w:rsidR="008C1E51">
              <w:rPr>
                <w:noProof/>
                <w:webHidden/>
              </w:rPr>
              <w:t>16</w:t>
            </w:r>
            <w:r w:rsidR="00753A83">
              <w:rPr>
                <w:noProof/>
                <w:webHidden/>
              </w:rPr>
              <w:fldChar w:fldCharType="end"/>
            </w:r>
          </w:hyperlink>
        </w:p>
        <w:p w14:paraId="7A3AAC59" w14:textId="08BEF48F"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75" w:history="1">
            <w:r w:rsidR="00753A83" w:rsidRPr="00706A43">
              <w:rPr>
                <w:rStyle w:val="Hyperlink"/>
                <w:noProof/>
              </w:rPr>
              <w:t>2.3.</w:t>
            </w:r>
            <w:r w:rsidR="00753A83">
              <w:rPr>
                <w:rFonts w:asciiTheme="minorHAnsi" w:eastAsiaTheme="minorEastAsia" w:hAnsiTheme="minorHAnsi" w:cstheme="minorBidi"/>
                <w:noProof/>
                <w:sz w:val="24"/>
                <w:lang w:val="en-IE"/>
              </w:rPr>
              <w:tab/>
            </w:r>
            <w:r w:rsidR="00753A83" w:rsidRPr="00706A43">
              <w:rPr>
                <w:rStyle w:val="Hyperlink"/>
                <w:noProof/>
              </w:rPr>
              <w:t>Puhtaan energian alan innovointiympäristö</w:t>
            </w:r>
            <w:r w:rsidR="00753A83">
              <w:rPr>
                <w:noProof/>
                <w:webHidden/>
              </w:rPr>
              <w:tab/>
            </w:r>
            <w:r w:rsidR="00753A83">
              <w:rPr>
                <w:noProof/>
                <w:webHidden/>
              </w:rPr>
              <w:fldChar w:fldCharType="begin"/>
            </w:r>
            <w:r w:rsidR="00753A83">
              <w:rPr>
                <w:noProof/>
                <w:webHidden/>
              </w:rPr>
              <w:instrText xml:space="preserve"> PAGEREF _Toc194657175 \h </w:instrText>
            </w:r>
            <w:r w:rsidR="00753A83">
              <w:rPr>
                <w:noProof/>
                <w:webHidden/>
              </w:rPr>
            </w:r>
            <w:r w:rsidR="00753A83">
              <w:rPr>
                <w:noProof/>
                <w:webHidden/>
              </w:rPr>
              <w:fldChar w:fldCharType="separate"/>
            </w:r>
            <w:r w:rsidR="008C1E51">
              <w:rPr>
                <w:noProof/>
                <w:webHidden/>
              </w:rPr>
              <w:t>17</w:t>
            </w:r>
            <w:r w:rsidR="00753A83">
              <w:rPr>
                <w:noProof/>
                <w:webHidden/>
              </w:rPr>
              <w:fldChar w:fldCharType="end"/>
            </w:r>
          </w:hyperlink>
        </w:p>
        <w:p w14:paraId="37F2DE00" w14:textId="696F8FCE" w:rsidR="00753A83" w:rsidRDefault="00174E45">
          <w:pPr>
            <w:pStyle w:val="TOC3"/>
            <w:tabs>
              <w:tab w:val="left" w:pos="1200"/>
              <w:tab w:val="right" w:leader="dot" w:pos="9016"/>
            </w:tabs>
            <w:rPr>
              <w:rFonts w:asciiTheme="minorHAnsi" w:eastAsiaTheme="minorEastAsia" w:hAnsiTheme="minorHAnsi" w:cstheme="minorBidi"/>
              <w:noProof/>
              <w:sz w:val="24"/>
              <w:lang w:val="en-IE"/>
            </w:rPr>
          </w:pPr>
          <w:hyperlink w:anchor="_Toc194657176" w:history="1">
            <w:r w:rsidR="00753A83" w:rsidRPr="00706A43">
              <w:rPr>
                <w:rStyle w:val="Hyperlink"/>
                <w:noProof/>
              </w:rPr>
              <w:t>2.3.1.</w:t>
            </w:r>
            <w:r w:rsidR="00753A83">
              <w:rPr>
                <w:rFonts w:asciiTheme="minorHAnsi" w:eastAsiaTheme="minorEastAsia" w:hAnsiTheme="minorHAnsi" w:cstheme="minorBidi"/>
                <w:noProof/>
                <w:sz w:val="24"/>
                <w:lang w:val="en-IE"/>
              </w:rPr>
              <w:tab/>
            </w:r>
            <w:r w:rsidR="00753A83" w:rsidRPr="00706A43">
              <w:rPr>
                <w:rStyle w:val="Hyperlink"/>
                <w:noProof/>
              </w:rPr>
              <w:t>Tutkimuksen ja innovoinnin suuntaukset</w:t>
            </w:r>
            <w:r w:rsidR="00753A83">
              <w:rPr>
                <w:noProof/>
                <w:webHidden/>
              </w:rPr>
              <w:tab/>
            </w:r>
            <w:r w:rsidR="00753A83">
              <w:rPr>
                <w:noProof/>
                <w:webHidden/>
              </w:rPr>
              <w:fldChar w:fldCharType="begin"/>
            </w:r>
            <w:r w:rsidR="00753A83">
              <w:rPr>
                <w:noProof/>
                <w:webHidden/>
              </w:rPr>
              <w:instrText xml:space="preserve"> PAGEREF _Toc194657176 \h </w:instrText>
            </w:r>
            <w:r w:rsidR="00753A83">
              <w:rPr>
                <w:noProof/>
                <w:webHidden/>
              </w:rPr>
            </w:r>
            <w:r w:rsidR="00753A83">
              <w:rPr>
                <w:noProof/>
                <w:webHidden/>
              </w:rPr>
              <w:fldChar w:fldCharType="separate"/>
            </w:r>
            <w:r w:rsidR="008C1E51">
              <w:rPr>
                <w:noProof/>
                <w:webHidden/>
              </w:rPr>
              <w:t>17</w:t>
            </w:r>
            <w:r w:rsidR="00753A83">
              <w:rPr>
                <w:noProof/>
                <w:webHidden/>
              </w:rPr>
              <w:fldChar w:fldCharType="end"/>
            </w:r>
          </w:hyperlink>
        </w:p>
        <w:p w14:paraId="7B3B6FA7" w14:textId="509C39D3" w:rsidR="00753A83" w:rsidRDefault="00174E45">
          <w:pPr>
            <w:pStyle w:val="TOC3"/>
            <w:tabs>
              <w:tab w:val="left" w:pos="1200"/>
              <w:tab w:val="right" w:leader="dot" w:pos="9016"/>
            </w:tabs>
            <w:rPr>
              <w:rFonts w:asciiTheme="minorHAnsi" w:eastAsiaTheme="minorEastAsia" w:hAnsiTheme="minorHAnsi" w:cstheme="minorBidi"/>
              <w:noProof/>
              <w:sz w:val="24"/>
              <w:lang w:val="en-IE"/>
            </w:rPr>
          </w:pPr>
          <w:hyperlink w:anchor="_Toc194657177" w:history="1">
            <w:r w:rsidR="00753A83" w:rsidRPr="00706A43">
              <w:rPr>
                <w:rStyle w:val="Hyperlink"/>
                <w:noProof/>
              </w:rPr>
              <w:t>2.3.2.</w:t>
            </w:r>
            <w:r w:rsidR="00753A83">
              <w:rPr>
                <w:rFonts w:asciiTheme="minorHAnsi" w:eastAsiaTheme="minorEastAsia" w:hAnsiTheme="minorHAnsi" w:cstheme="minorBidi"/>
                <w:noProof/>
                <w:sz w:val="24"/>
                <w:lang w:val="en-IE"/>
              </w:rPr>
              <w:tab/>
            </w:r>
            <w:r w:rsidR="00753A83" w:rsidRPr="00706A43">
              <w:rPr>
                <w:rStyle w:val="Hyperlink"/>
                <w:noProof/>
              </w:rPr>
              <w:t>Riskipääomasijoitusten kehitys</w:t>
            </w:r>
            <w:r w:rsidR="00753A83">
              <w:rPr>
                <w:noProof/>
                <w:webHidden/>
              </w:rPr>
              <w:tab/>
            </w:r>
            <w:r w:rsidR="00753A83">
              <w:rPr>
                <w:noProof/>
                <w:webHidden/>
              </w:rPr>
              <w:fldChar w:fldCharType="begin"/>
            </w:r>
            <w:r w:rsidR="00753A83">
              <w:rPr>
                <w:noProof/>
                <w:webHidden/>
              </w:rPr>
              <w:instrText xml:space="preserve"> PAGEREF _Toc194657177 \h </w:instrText>
            </w:r>
            <w:r w:rsidR="00753A83">
              <w:rPr>
                <w:noProof/>
                <w:webHidden/>
              </w:rPr>
            </w:r>
            <w:r w:rsidR="00753A83">
              <w:rPr>
                <w:noProof/>
                <w:webHidden/>
              </w:rPr>
              <w:fldChar w:fldCharType="separate"/>
            </w:r>
            <w:r w:rsidR="008C1E51">
              <w:rPr>
                <w:noProof/>
                <w:webHidden/>
              </w:rPr>
              <w:t>21</w:t>
            </w:r>
            <w:r w:rsidR="00753A83">
              <w:rPr>
                <w:noProof/>
                <w:webHidden/>
              </w:rPr>
              <w:fldChar w:fldCharType="end"/>
            </w:r>
          </w:hyperlink>
        </w:p>
        <w:p w14:paraId="323748B6" w14:textId="3DCEF5AF" w:rsidR="00753A83" w:rsidRDefault="00174E45">
          <w:pPr>
            <w:pStyle w:val="TOC1"/>
            <w:tabs>
              <w:tab w:val="left" w:pos="482"/>
            </w:tabs>
            <w:rPr>
              <w:rFonts w:asciiTheme="minorHAnsi" w:eastAsiaTheme="minorEastAsia" w:hAnsiTheme="minorHAnsi" w:cstheme="minorBidi"/>
              <w:b w:val="0"/>
              <w:noProof/>
              <w:sz w:val="24"/>
              <w:lang w:val="en-IE"/>
            </w:rPr>
          </w:pPr>
          <w:hyperlink w:anchor="_Toc194657178" w:history="1">
            <w:r w:rsidR="00753A83" w:rsidRPr="00706A43">
              <w:rPr>
                <w:rStyle w:val="Hyperlink"/>
                <w:noProof/>
              </w:rPr>
              <w:t>3.</w:t>
            </w:r>
            <w:r w:rsidR="00753A83">
              <w:rPr>
                <w:rFonts w:asciiTheme="minorHAnsi" w:eastAsiaTheme="minorEastAsia" w:hAnsiTheme="minorHAnsi" w:cstheme="minorBidi"/>
                <w:b w:val="0"/>
                <w:noProof/>
                <w:sz w:val="24"/>
                <w:lang w:val="en-IE"/>
              </w:rPr>
              <w:tab/>
            </w:r>
            <w:r w:rsidR="00753A83" w:rsidRPr="00706A43">
              <w:rPr>
                <w:rStyle w:val="Hyperlink"/>
                <w:noProof/>
              </w:rPr>
              <w:t>Arvio EU:n kilpailukyvystä nettonollateknologioiden alalla</w:t>
            </w:r>
            <w:r w:rsidR="00753A83">
              <w:rPr>
                <w:noProof/>
                <w:webHidden/>
              </w:rPr>
              <w:tab/>
            </w:r>
            <w:r w:rsidR="00753A83">
              <w:rPr>
                <w:noProof/>
                <w:webHidden/>
              </w:rPr>
              <w:fldChar w:fldCharType="begin"/>
            </w:r>
            <w:r w:rsidR="00753A83">
              <w:rPr>
                <w:noProof/>
                <w:webHidden/>
              </w:rPr>
              <w:instrText xml:space="preserve"> PAGEREF _Toc194657178 \h </w:instrText>
            </w:r>
            <w:r w:rsidR="00753A83">
              <w:rPr>
                <w:noProof/>
                <w:webHidden/>
              </w:rPr>
            </w:r>
            <w:r w:rsidR="00753A83">
              <w:rPr>
                <w:noProof/>
                <w:webHidden/>
              </w:rPr>
              <w:fldChar w:fldCharType="separate"/>
            </w:r>
            <w:r w:rsidR="008C1E51">
              <w:rPr>
                <w:noProof/>
                <w:webHidden/>
              </w:rPr>
              <w:t>24</w:t>
            </w:r>
            <w:r w:rsidR="00753A83">
              <w:rPr>
                <w:noProof/>
                <w:webHidden/>
              </w:rPr>
              <w:fldChar w:fldCharType="end"/>
            </w:r>
          </w:hyperlink>
        </w:p>
        <w:p w14:paraId="0DED4F74" w14:textId="62F8B2BF"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79" w:history="1">
            <w:r w:rsidR="00753A83" w:rsidRPr="00706A43">
              <w:rPr>
                <w:rStyle w:val="Hyperlink"/>
                <w:noProof/>
              </w:rPr>
              <w:t>3.1.</w:t>
            </w:r>
            <w:r w:rsidR="00753A83">
              <w:rPr>
                <w:rFonts w:asciiTheme="minorHAnsi" w:eastAsiaTheme="minorEastAsia" w:hAnsiTheme="minorHAnsi" w:cstheme="minorBidi"/>
                <w:noProof/>
                <w:sz w:val="24"/>
                <w:lang w:val="en-IE"/>
              </w:rPr>
              <w:tab/>
            </w:r>
            <w:r w:rsidR="00753A83" w:rsidRPr="00706A43">
              <w:rPr>
                <w:rStyle w:val="Hyperlink"/>
                <w:noProof/>
              </w:rPr>
              <w:t>Aurinkosähkö</w:t>
            </w:r>
            <w:r w:rsidR="00753A83">
              <w:rPr>
                <w:noProof/>
                <w:webHidden/>
              </w:rPr>
              <w:tab/>
            </w:r>
            <w:r w:rsidR="00753A83">
              <w:rPr>
                <w:noProof/>
                <w:webHidden/>
              </w:rPr>
              <w:fldChar w:fldCharType="begin"/>
            </w:r>
            <w:r w:rsidR="00753A83">
              <w:rPr>
                <w:noProof/>
                <w:webHidden/>
              </w:rPr>
              <w:instrText xml:space="preserve"> PAGEREF _Toc194657179 \h </w:instrText>
            </w:r>
            <w:r w:rsidR="00753A83">
              <w:rPr>
                <w:noProof/>
                <w:webHidden/>
              </w:rPr>
            </w:r>
            <w:r w:rsidR="00753A83">
              <w:rPr>
                <w:noProof/>
                <w:webHidden/>
              </w:rPr>
              <w:fldChar w:fldCharType="separate"/>
            </w:r>
            <w:r w:rsidR="008C1E51">
              <w:rPr>
                <w:noProof/>
                <w:webHidden/>
              </w:rPr>
              <w:t>24</w:t>
            </w:r>
            <w:r w:rsidR="00753A83">
              <w:rPr>
                <w:noProof/>
                <w:webHidden/>
              </w:rPr>
              <w:fldChar w:fldCharType="end"/>
            </w:r>
          </w:hyperlink>
        </w:p>
        <w:p w14:paraId="640DC6BE" w14:textId="42879A30"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0" w:history="1">
            <w:r w:rsidR="00753A83" w:rsidRPr="00706A43">
              <w:rPr>
                <w:rStyle w:val="Hyperlink"/>
                <w:noProof/>
              </w:rPr>
              <w:t>3.2.</w:t>
            </w:r>
            <w:r w:rsidR="00753A83">
              <w:rPr>
                <w:rFonts w:asciiTheme="minorHAnsi" w:eastAsiaTheme="minorEastAsia" w:hAnsiTheme="minorHAnsi" w:cstheme="minorBidi"/>
                <w:noProof/>
                <w:sz w:val="24"/>
                <w:lang w:val="en-IE"/>
              </w:rPr>
              <w:tab/>
            </w:r>
            <w:r w:rsidR="00753A83" w:rsidRPr="00706A43">
              <w:rPr>
                <w:rStyle w:val="Hyperlink"/>
                <w:noProof/>
              </w:rPr>
              <w:t>Aurinkolämpö</w:t>
            </w:r>
            <w:r w:rsidR="00753A83">
              <w:rPr>
                <w:noProof/>
                <w:webHidden/>
              </w:rPr>
              <w:tab/>
            </w:r>
            <w:r w:rsidR="00753A83">
              <w:rPr>
                <w:noProof/>
                <w:webHidden/>
              </w:rPr>
              <w:fldChar w:fldCharType="begin"/>
            </w:r>
            <w:r w:rsidR="00753A83">
              <w:rPr>
                <w:noProof/>
                <w:webHidden/>
              </w:rPr>
              <w:instrText xml:space="preserve"> PAGEREF _Toc194657180 \h </w:instrText>
            </w:r>
            <w:r w:rsidR="00753A83">
              <w:rPr>
                <w:noProof/>
                <w:webHidden/>
              </w:rPr>
            </w:r>
            <w:r w:rsidR="00753A83">
              <w:rPr>
                <w:noProof/>
                <w:webHidden/>
              </w:rPr>
              <w:fldChar w:fldCharType="separate"/>
            </w:r>
            <w:r w:rsidR="008C1E51">
              <w:rPr>
                <w:noProof/>
                <w:webHidden/>
              </w:rPr>
              <w:t>25</w:t>
            </w:r>
            <w:r w:rsidR="00753A83">
              <w:rPr>
                <w:noProof/>
                <w:webHidden/>
              </w:rPr>
              <w:fldChar w:fldCharType="end"/>
            </w:r>
          </w:hyperlink>
        </w:p>
        <w:p w14:paraId="7F8E4A4D" w14:textId="28E96CF3"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1" w:history="1">
            <w:r w:rsidR="00753A83" w:rsidRPr="00706A43">
              <w:rPr>
                <w:rStyle w:val="Hyperlink"/>
                <w:noProof/>
              </w:rPr>
              <w:t>3.3.</w:t>
            </w:r>
            <w:r w:rsidR="00753A83">
              <w:rPr>
                <w:rFonts w:asciiTheme="minorHAnsi" w:eastAsiaTheme="minorEastAsia" w:hAnsiTheme="minorHAnsi" w:cstheme="minorBidi"/>
                <w:noProof/>
                <w:sz w:val="24"/>
                <w:lang w:val="en-IE"/>
              </w:rPr>
              <w:tab/>
            </w:r>
            <w:r w:rsidR="00753A83" w:rsidRPr="00706A43">
              <w:rPr>
                <w:rStyle w:val="Hyperlink"/>
                <w:noProof/>
              </w:rPr>
              <w:t>Maa- ja merituulivoima</w:t>
            </w:r>
            <w:r w:rsidR="00753A83">
              <w:rPr>
                <w:noProof/>
                <w:webHidden/>
              </w:rPr>
              <w:tab/>
            </w:r>
            <w:r w:rsidR="00753A83">
              <w:rPr>
                <w:noProof/>
                <w:webHidden/>
              </w:rPr>
              <w:fldChar w:fldCharType="begin"/>
            </w:r>
            <w:r w:rsidR="00753A83">
              <w:rPr>
                <w:noProof/>
                <w:webHidden/>
              </w:rPr>
              <w:instrText xml:space="preserve"> PAGEREF _Toc194657181 \h </w:instrText>
            </w:r>
            <w:r w:rsidR="00753A83">
              <w:rPr>
                <w:noProof/>
                <w:webHidden/>
              </w:rPr>
            </w:r>
            <w:r w:rsidR="00753A83">
              <w:rPr>
                <w:noProof/>
                <w:webHidden/>
              </w:rPr>
              <w:fldChar w:fldCharType="separate"/>
            </w:r>
            <w:r w:rsidR="008C1E51">
              <w:rPr>
                <w:noProof/>
                <w:webHidden/>
              </w:rPr>
              <w:t>27</w:t>
            </w:r>
            <w:r w:rsidR="00753A83">
              <w:rPr>
                <w:noProof/>
                <w:webHidden/>
              </w:rPr>
              <w:fldChar w:fldCharType="end"/>
            </w:r>
          </w:hyperlink>
        </w:p>
        <w:p w14:paraId="10C55FAA" w14:textId="542D8F47"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2" w:history="1">
            <w:r w:rsidR="00753A83" w:rsidRPr="00706A43">
              <w:rPr>
                <w:rStyle w:val="Hyperlink"/>
                <w:noProof/>
              </w:rPr>
              <w:t>3.4.</w:t>
            </w:r>
            <w:r w:rsidR="00753A83">
              <w:rPr>
                <w:rFonts w:asciiTheme="minorHAnsi" w:eastAsiaTheme="minorEastAsia" w:hAnsiTheme="minorHAnsi" w:cstheme="minorBidi"/>
                <w:noProof/>
                <w:sz w:val="24"/>
                <w:lang w:val="en-IE"/>
              </w:rPr>
              <w:tab/>
            </w:r>
            <w:r w:rsidR="00753A83" w:rsidRPr="00706A43">
              <w:rPr>
                <w:rStyle w:val="Hyperlink"/>
                <w:noProof/>
              </w:rPr>
              <w:t>Valtamerienergia</w:t>
            </w:r>
            <w:r w:rsidR="00753A83">
              <w:rPr>
                <w:noProof/>
                <w:webHidden/>
              </w:rPr>
              <w:tab/>
            </w:r>
            <w:r w:rsidR="00753A83">
              <w:rPr>
                <w:noProof/>
                <w:webHidden/>
              </w:rPr>
              <w:fldChar w:fldCharType="begin"/>
            </w:r>
            <w:r w:rsidR="00753A83">
              <w:rPr>
                <w:noProof/>
                <w:webHidden/>
              </w:rPr>
              <w:instrText xml:space="preserve"> PAGEREF _Toc194657182 \h </w:instrText>
            </w:r>
            <w:r w:rsidR="00753A83">
              <w:rPr>
                <w:noProof/>
                <w:webHidden/>
              </w:rPr>
            </w:r>
            <w:r w:rsidR="00753A83">
              <w:rPr>
                <w:noProof/>
                <w:webHidden/>
              </w:rPr>
              <w:fldChar w:fldCharType="separate"/>
            </w:r>
            <w:r w:rsidR="008C1E51">
              <w:rPr>
                <w:noProof/>
                <w:webHidden/>
              </w:rPr>
              <w:t>28</w:t>
            </w:r>
            <w:r w:rsidR="00753A83">
              <w:rPr>
                <w:noProof/>
                <w:webHidden/>
              </w:rPr>
              <w:fldChar w:fldCharType="end"/>
            </w:r>
          </w:hyperlink>
        </w:p>
        <w:p w14:paraId="7EF3C19D" w14:textId="5A154E36"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3" w:history="1">
            <w:r w:rsidR="00753A83" w:rsidRPr="00706A43">
              <w:rPr>
                <w:rStyle w:val="Hyperlink"/>
                <w:noProof/>
              </w:rPr>
              <w:t>3.5.</w:t>
            </w:r>
            <w:r w:rsidR="00753A83">
              <w:rPr>
                <w:rFonts w:asciiTheme="minorHAnsi" w:eastAsiaTheme="minorEastAsia" w:hAnsiTheme="minorHAnsi" w:cstheme="minorBidi"/>
                <w:noProof/>
                <w:sz w:val="24"/>
                <w:lang w:val="en-IE"/>
              </w:rPr>
              <w:tab/>
            </w:r>
            <w:r w:rsidR="00753A83" w:rsidRPr="00706A43">
              <w:rPr>
                <w:rStyle w:val="Hyperlink"/>
                <w:noProof/>
              </w:rPr>
              <w:t>Akut ja energian varastointi</w:t>
            </w:r>
            <w:r w:rsidR="00753A83">
              <w:rPr>
                <w:noProof/>
                <w:webHidden/>
              </w:rPr>
              <w:tab/>
            </w:r>
            <w:r w:rsidR="00753A83">
              <w:rPr>
                <w:noProof/>
                <w:webHidden/>
              </w:rPr>
              <w:fldChar w:fldCharType="begin"/>
            </w:r>
            <w:r w:rsidR="00753A83">
              <w:rPr>
                <w:noProof/>
                <w:webHidden/>
              </w:rPr>
              <w:instrText xml:space="preserve"> PAGEREF _Toc194657183 \h </w:instrText>
            </w:r>
            <w:r w:rsidR="00753A83">
              <w:rPr>
                <w:noProof/>
                <w:webHidden/>
              </w:rPr>
            </w:r>
            <w:r w:rsidR="00753A83">
              <w:rPr>
                <w:noProof/>
                <w:webHidden/>
              </w:rPr>
              <w:fldChar w:fldCharType="separate"/>
            </w:r>
            <w:r w:rsidR="008C1E51">
              <w:rPr>
                <w:noProof/>
                <w:webHidden/>
              </w:rPr>
              <w:t>29</w:t>
            </w:r>
            <w:r w:rsidR="00753A83">
              <w:rPr>
                <w:noProof/>
                <w:webHidden/>
              </w:rPr>
              <w:fldChar w:fldCharType="end"/>
            </w:r>
          </w:hyperlink>
        </w:p>
        <w:p w14:paraId="6857A177" w14:textId="38F1F596"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4" w:history="1">
            <w:r w:rsidR="00753A83" w:rsidRPr="00706A43">
              <w:rPr>
                <w:rStyle w:val="Hyperlink"/>
                <w:noProof/>
              </w:rPr>
              <w:t>3.6.</w:t>
            </w:r>
            <w:r w:rsidR="00753A83">
              <w:rPr>
                <w:rFonts w:asciiTheme="minorHAnsi" w:eastAsiaTheme="minorEastAsia" w:hAnsiTheme="minorHAnsi" w:cstheme="minorBidi"/>
                <w:noProof/>
                <w:sz w:val="24"/>
                <w:lang w:val="en-IE"/>
              </w:rPr>
              <w:tab/>
            </w:r>
            <w:r w:rsidR="00753A83" w:rsidRPr="00706A43">
              <w:rPr>
                <w:rStyle w:val="Hyperlink"/>
                <w:noProof/>
              </w:rPr>
              <w:t>Lämpöpumpputeknologiat</w:t>
            </w:r>
            <w:r w:rsidR="00753A83">
              <w:rPr>
                <w:noProof/>
                <w:webHidden/>
              </w:rPr>
              <w:tab/>
            </w:r>
            <w:r w:rsidR="00753A83">
              <w:rPr>
                <w:noProof/>
                <w:webHidden/>
              </w:rPr>
              <w:fldChar w:fldCharType="begin"/>
            </w:r>
            <w:r w:rsidR="00753A83">
              <w:rPr>
                <w:noProof/>
                <w:webHidden/>
              </w:rPr>
              <w:instrText xml:space="preserve"> PAGEREF _Toc194657184 \h </w:instrText>
            </w:r>
            <w:r w:rsidR="00753A83">
              <w:rPr>
                <w:noProof/>
                <w:webHidden/>
              </w:rPr>
            </w:r>
            <w:r w:rsidR="00753A83">
              <w:rPr>
                <w:noProof/>
                <w:webHidden/>
              </w:rPr>
              <w:fldChar w:fldCharType="separate"/>
            </w:r>
            <w:r w:rsidR="008C1E51">
              <w:rPr>
                <w:noProof/>
                <w:webHidden/>
              </w:rPr>
              <w:t>30</w:t>
            </w:r>
            <w:r w:rsidR="00753A83">
              <w:rPr>
                <w:noProof/>
                <w:webHidden/>
              </w:rPr>
              <w:fldChar w:fldCharType="end"/>
            </w:r>
          </w:hyperlink>
        </w:p>
        <w:p w14:paraId="04DA2EC5" w14:textId="5528133E"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5" w:history="1">
            <w:r w:rsidR="00753A83" w:rsidRPr="00706A43">
              <w:rPr>
                <w:rStyle w:val="Hyperlink"/>
                <w:noProof/>
              </w:rPr>
              <w:t>3.7.</w:t>
            </w:r>
            <w:r w:rsidR="00753A83">
              <w:rPr>
                <w:rFonts w:asciiTheme="minorHAnsi" w:eastAsiaTheme="minorEastAsia" w:hAnsiTheme="minorHAnsi" w:cstheme="minorBidi"/>
                <w:noProof/>
                <w:sz w:val="24"/>
                <w:lang w:val="en-IE"/>
              </w:rPr>
              <w:tab/>
            </w:r>
            <w:r w:rsidR="00753A83" w:rsidRPr="00706A43">
              <w:rPr>
                <w:rStyle w:val="Hyperlink"/>
                <w:noProof/>
              </w:rPr>
              <w:t>Geoterminen energia</w:t>
            </w:r>
            <w:r w:rsidR="00753A83">
              <w:rPr>
                <w:noProof/>
                <w:webHidden/>
              </w:rPr>
              <w:tab/>
            </w:r>
            <w:r w:rsidR="00753A83">
              <w:rPr>
                <w:noProof/>
                <w:webHidden/>
              </w:rPr>
              <w:fldChar w:fldCharType="begin"/>
            </w:r>
            <w:r w:rsidR="00753A83">
              <w:rPr>
                <w:noProof/>
                <w:webHidden/>
              </w:rPr>
              <w:instrText xml:space="preserve"> PAGEREF _Toc194657185 \h </w:instrText>
            </w:r>
            <w:r w:rsidR="00753A83">
              <w:rPr>
                <w:noProof/>
                <w:webHidden/>
              </w:rPr>
            </w:r>
            <w:r w:rsidR="00753A83">
              <w:rPr>
                <w:noProof/>
                <w:webHidden/>
              </w:rPr>
              <w:fldChar w:fldCharType="separate"/>
            </w:r>
            <w:r w:rsidR="008C1E51">
              <w:rPr>
                <w:noProof/>
                <w:webHidden/>
              </w:rPr>
              <w:t>32</w:t>
            </w:r>
            <w:r w:rsidR="00753A83">
              <w:rPr>
                <w:noProof/>
                <w:webHidden/>
              </w:rPr>
              <w:fldChar w:fldCharType="end"/>
            </w:r>
          </w:hyperlink>
        </w:p>
        <w:p w14:paraId="4140FB8E" w14:textId="5EA4D64C"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6" w:history="1">
            <w:r w:rsidR="00753A83" w:rsidRPr="00706A43">
              <w:rPr>
                <w:rStyle w:val="Hyperlink"/>
                <w:noProof/>
              </w:rPr>
              <w:t>3.8.</w:t>
            </w:r>
            <w:r w:rsidR="00753A83">
              <w:rPr>
                <w:rFonts w:asciiTheme="minorHAnsi" w:eastAsiaTheme="minorEastAsia" w:hAnsiTheme="minorHAnsi" w:cstheme="minorBidi"/>
                <w:noProof/>
                <w:sz w:val="24"/>
                <w:lang w:val="en-IE"/>
              </w:rPr>
              <w:tab/>
            </w:r>
            <w:r w:rsidR="00753A83" w:rsidRPr="00706A43">
              <w:rPr>
                <w:rStyle w:val="Hyperlink"/>
                <w:noProof/>
              </w:rPr>
              <w:t>Vetyteknologiat: elektrolyysilaitteet ja polttokennot</w:t>
            </w:r>
            <w:r w:rsidR="00753A83">
              <w:rPr>
                <w:noProof/>
                <w:webHidden/>
              </w:rPr>
              <w:tab/>
            </w:r>
            <w:r w:rsidR="00753A83">
              <w:rPr>
                <w:noProof/>
                <w:webHidden/>
              </w:rPr>
              <w:fldChar w:fldCharType="begin"/>
            </w:r>
            <w:r w:rsidR="00753A83">
              <w:rPr>
                <w:noProof/>
                <w:webHidden/>
              </w:rPr>
              <w:instrText xml:space="preserve"> PAGEREF _Toc194657186 \h </w:instrText>
            </w:r>
            <w:r w:rsidR="00753A83">
              <w:rPr>
                <w:noProof/>
                <w:webHidden/>
              </w:rPr>
            </w:r>
            <w:r w:rsidR="00753A83">
              <w:rPr>
                <w:noProof/>
                <w:webHidden/>
              </w:rPr>
              <w:fldChar w:fldCharType="separate"/>
            </w:r>
            <w:r w:rsidR="008C1E51">
              <w:rPr>
                <w:noProof/>
                <w:webHidden/>
              </w:rPr>
              <w:t>33</w:t>
            </w:r>
            <w:r w:rsidR="00753A83">
              <w:rPr>
                <w:noProof/>
                <w:webHidden/>
              </w:rPr>
              <w:fldChar w:fldCharType="end"/>
            </w:r>
          </w:hyperlink>
        </w:p>
        <w:p w14:paraId="74FF5511" w14:textId="37363E85"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7" w:history="1">
            <w:r w:rsidR="00753A83" w:rsidRPr="00706A43">
              <w:rPr>
                <w:rStyle w:val="Hyperlink"/>
                <w:noProof/>
              </w:rPr>
              <w:t>3.9.</w:t>
            </w:r>
            <w:r w:rsidR="00753A83">
              <w:rPr>
                <w:rFonts w:asciiTheme="minorHAnsi" w:eastAsiaTheme="minorEastAsia" w:hAnsiTheme="minorHAnsi" w:cstheme="minorBidi"/>
                <w:noProof/>
                <w:sz w:val="24"/>
                <w:lang w:val="en-IE"/>
              </w:rPr>
              <w:tab/>
            </w:r>
            <w:r w:rsidR="00753A83" w:rsidRPr="00706A43">
              <w:rPr>
                <w:rStyle w:val="Hyperlink"/>
                <w:noProof/>
              </w:rPr>
              <w:t>Kestävät biokaasu- ja biometaaniteknologiat</w:t>
            </w:r>
            <w:r w:rsidR="00753A83">
              <w:rPr>
                <w:noProof/>
                <w:webHidden/>
              </w:rPr>
              <w:tab/>
            </w:r>
            <w:r w:rsidR="00753A83">
              <w:rPr>
                <w:noProof/>
                <w:webHidden/>
              </w:rPr>
              <w:fldChar w:fldCharType="begin"/>
            </w:r>
            <w:r w:rsidR="00753A83">
              <w:rPr>
                <w:noProof/>
                <w:webHidden/>
              </w:rPr>
              <w:instrText xml:space="preserve"> PAGEREF _Toc194657187 \h </w:instrText>
            </w:r>
            <w:r w:rsidR="00753A83">
              <w:rPr>
                <w:noProof/>
                <w:webHidden/>
              </w:rPr>
            </w:r>
            <w:r w:rsidR="00753A83">
              <w:rPr>
                <w:noProof/>
                <w:webHidden/>
              </w:rPr>
              <w:fldChar w:fldCharType="separate"/>
            </w:r>
            <w:r w:rsidR="008C1E51">
              <w:rPr>
                <w:noProof/>
                <w:webHidden/>
              </w:rPr>
              <w:t>35</w:t>
            </w:r>
            <w:r w:rsidR="00753A83">
              <w:rPr>
                <w:noProof/>
                <w:webHidden/>
              </w:rPr>
              <w:fldChar w:fldCharType="end"/>
            </w:r>
          </w:hyperlink>
        </w:p>
        <w:p w14:paraId="026F6F41" w14:textId="795EB957"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8" w:history="1">
            <w:r w:rsidR="00753A83" w:rsidRPr="00706A43">
              <w:rPr>
                <w:rStyle w:val="Hyperlink"/>
                <w:noProof/>
              </w:rPr>
              <w:t>3.10.</w:t>
            </w:r>
            <w:r w:rsidR="00753A83">
              <w:rPr>
                <w:rFonts w:asciiTheme="minorHAnsi" w:eastAsiaTheme="minorEastAsia" w:hAnsiTheme="minorHAnsi" w:cstheme="minorBidi"/>
                <w:noProof/>
                <w:sz w:val="24"/>
                <w:lang w:val="en-IE"/>
              </w:rPr>
              <w:tab/>
            </w:r>
            <w:r w:rsidR="00753A83" w:rsidRPr="00706A43">
              <w:rPr>
                <w:rStyle w:val="Hyperlink"/>
                <w:noProof/>
              </w:rPr>
              <w:t>Hiilidioksidin talteenoton ja varastoinnin (CCS) teknologiat</w:t>
            </w:r>
            <w:r w:rsidR="00753A83">
              <w:rPr>
                <w:noProof/>
                <w:webHidden/>
              </w:rPr>
              <w:tab/>
            </w:r>
            <w:r w:rsidR="00753A83">
              <w:rPr>
                <w:noProof/>
                <w:webHidden/>
              </w:rPr>
              <w:fldChar w:fldCharType="begin"/>
            </w:r>
            <w:r w:rsidR="00753A83">
              <w:rPr>
                <w:noProof/>
                <w:webHidden/>
              </w:rPr>
              <w:instrText xml:space="preserve"> PAGEREF _Toc194657188 \h </w:instrText>
            </w:r>
            <w:r w:rsidR="00753A83">
              <w:rPr>
                <w:noProof/>
                <w:webHidden/>
              </w:rPr>
            </w:r>
            <w:r w:rsidR="00753A83">
              <w:rPr>
                <w:noProof/>
                <w:webHidden/>
              </w:rPr>
              <w:fldChar w:fldCharType="separate"/>
            </w:r>
            <w:r w:rsidR="008C1E51">
              <w:rPr>
                <w:noProof/>
                <w:webHidden/>
              </w:rPr>
              <w:t>36</w:t>
            </w:r>
            <w:r w:rsidR="00753A83">
              <w:rPr>
                <w:noProof/>
                <w:webHidden/>
              </w:rPr>
              <w:fldChar w:fldCharType="end"/>
            </w:r>
          </w:hyperlink>
        </w:p>
        <w:p w14:paraId="080BD0AE" w14:textId="1144A473"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89" w:history="1">
            <w:r w:rsidR="00753A83" w:rsidRPr="00706A43">
              <w:rPr>
                <w:rStyle w:val="Hyperlink"/>
                <w:noProof/>
              </w:rPr>
              <w:t>3.11.</w:t>
            </w:r>
            <w:r w:rsidR="00753A83">
              <w:rPr>
                <w:rFonts w:asciiTheme="minorHAnsi" w:eastAsiaTheme="minorEastAsia" w:hAnsiTheme="minorHAnsi" w:cstheme="minorBidi"/>
                <w:noProof/>
                <w:sz w:val="24"/>
                <w:lang w:val="en-IE"/>
              </w:rPr>
              <w:tab/>
            </w:r>
            <w:r w:rsidR="00753A83" w:rsidRPr="00706A43">
              <w:rPr>
                <w:rStyle w:val="Hyperlink"/>
                <w:noProof/>
              </w:rPr>
              <w:t>Sähköverkkoteknologiat: voimajohdot ja muuntajat</w:t>
            </w:r>
            <w:r w:rsidR="00753A83">
              <w:rPr>
                <w:noProof/>
                <w:webHidden/>
              </w:rPr>
              <w:tab/>
            </w:r>
            <w:r w:rsidR="00753A83">
              <w:rPr>
                <w:noProof/>
                <w:webHidden/>
              </w:rPr>
              <w:fldChar w:fldCharType="begin"/>
            </w:r>
            <w:r w:rsidR="00753A83">
              <w:rPr>
                <w:noProof/>
                <w:webHidden/>
              </w:rPr>
              <w:instrText xml:space="preserve"> PAGEREF _Toc194657189 \h </w:instrText>
            </w:r>
            <w:r w:rsidR="00753A83">
              <w:rPr>
                <w:noProof/>
                <w:webHidden/>
              </w:rPr>
            </w:r>
            <w:r w:rsidR="00753A83">
              <w:rPr>
                <w:noProof/>
                <w:webHidden/>
              </w:rPr>
              <w:fldChar w:fldCharType="separate"/>
            </w:r>
            <w:r w:rsidR="008C1E51">
              <w:rPr>
                <w:noProof/>
                <w:webHidden/>
              </w:rPr>
              <w:t>38</w:t>
            </w:r>
            <w:r w:rsidR="00753A83">
              <w:rPr>
                <w:noProof/>
                <w:webHidden/>
              </w:rPr>
              <w:fldChar w:fldCharType="end"/>
            </w:r>
          </w:hyperlink>
        </w:p>
        <w:p w14:paraId="4851624D" w14:textId="00B66BC7"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90" w:history="1">
            <w:r w:rsidR="00753A83" w:rsidRPr="00706A43">
              <w:rPr>
                <w:rStyle w:val="Hyperlink"/>
                <w:noProof/>
              </w:rPr>
              <w:t>3.12.</w:t>
            </w:r>
            <w:r w:rsidR="00753A83">
              <w:rPr>
                <w:rFonts w:asciiTheme="minorHAnsi" w:eastAsiaTheme="minorEastAsia" w:hAnsiTheme="minorHAnsi" w:cstheme="minorBidi"/>
                <w:noProof/>
                <w:sz w:val="24"/>
                <w:lang w:val="en-IE"/>
              </w:rPr>
              <w:tab/>
            </w:r>
            <w:r w:rsidR="00753A83" w:rsidRPr="00706A43">
              <w:rPr>
                <w:rStyle w:val="Hyperlink"/>
                <w:noProof/>
              </w:rPr>
              <w:t>Ydinfissioenergiateknologiat</w:t>
            </w:r>
            <w:r w:rsidR="00753A83">
              <w:rPr>
                <w:noProof/>
                <w:webHidden/>
              </w:rPr>
              <w:tab/>
            </w:r>
            <w:r w:rsidR="00753A83">
              <w:rPr>
                <w:noProof/>
                <w:webHidden/>
              </w:rPr>
              <w:fldChar w:fldCharType="begin"/>
            </w:r>
            <w:r w:rsidR="00753A83">
              <w:rPr>
                <w:noProof/>
                <w:webHidden/>
              </w:rPr>
              <w:instrText xml:space="preserve"> PAGEREF _Toc194657190 \h </w:instrText>
            </w:r>
            <w:r w:rsidR="00753A83">
              <w:rPr>
                <w:noProof/>
                <w:webHidden/>
              </w:rPr>
            </w:r>
            <w:r w:rsidR="00753A83">
              <w:rPr>
                <w:noProof/>
                <w:webHidden/>
              </w:rPr>
              <w:fldChar w:fldCharType="separate"/>
            </w:r>
            <w:r w:rsidR="008C1E51">
              <w:rPr>
                <w:noProof/>
                <w:webHidden/>
              </w:rPr>
              <w:t>39</w:t>
            </w:r>
            <w:r w:rsidR="00753A83">
              <w:rPr>
                <w:noProof/>
                <w:webHidden/>
              </w:rPr>
              <w:fldChar w:fldCharType="end"/>
            </w:r>
          </w:hyperlink>
        </w:p>
        <w:p w14:paraId="7535128E" w14:textId="5A62CD70"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91" w:history="1">
            <w:r w:rsidR="00753A83" w:rsidRPr="00706A43">
              <w:rPr>
                <w:rStyle w:val="Hyperlink"/>
                <w:noProof/>
              </w:rPr>
              <w:t>3.13.</w:t>
            </w:r>
            <w:r w:rsidR="00753A83">
              <w:rPr>
                <w:rFonts w:asciiTheme="minorHAnsi" w:eastAsiaTheme="minorEastAsia" w:hAnsiTheme="minorHAnsi" w:cstheme="minorBidi"/>
                <w:noProof/>
                <w:sz w:val="24"/>
                <w:lang w:val="en-IE"/>
              </w:rPr>
              <w:tab/>
            </w:r>
            <w:r w:rsidR="00753A83" w:rsidRPr="00706A43">
              <w:rPr>
                <w:rStyle w:val="Hyperlink"/>
                <w:noProof/>
              </w:rPr>
              <w:t>Vesivoima</w:t>
            </w:r>
            <w:r w:rsidR="00753A83">
              <w:rPr>
                <w:noProof/>
                <w:webHidden/>
              </w:rPr>
              <w:tab/>
            </w:r>
            <w:r w:rsidR="00753A83">
              <w:rPr>
                <w:noProof/>
                <w:webHidden/>
              </w:rPr>
              <w:fldChar w:fldCharType="begin"/>
            </w:r>
            <w:r w:rsidR="00753A83">
              <w:rPr>
                <w:noProof/>
                <w:webHidden/>
              </w:rPr>
              <w:instrText xml:space="preserve"> PAGEREF _Toc194657191 \h </w:instrText>
            </w:r>
            <w:r w:rsidR="00753A83">
              <w:rPr>
                <w:noProof/>
                <w:webHidden/>
              </w:rPr>
            </w:r>
            <w:r w:rsidR="00753A83">
              <w:rPr>
                <w:noProof/>
                <w:webHidden/>
              </w:rPr>
              <w:fldChar w:fldCharType="separate"/>
            </w:r>
            <w:r w:rsidR="008C1E51">
              <w:rPr>
                <w:noProof/>
                <w:webHidden/>
              </w:rPr>
              <w:t>40</w:t>
            </w:r>
            <w:r w:rsidR="00753A83">
              <w:rPr>
                <w:noProof/>
                <w:webHidden/>
              </w:rPr>
              <w:fldChar w:fldCharType="end"/>
            </w:r>
          </w:hyperlink>
        </w:p>
        <w:p w14:paraId="1015C667" w14:textId="378953F5"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92" w:history="1">
            <w:r w:rsidR="00753A83" w:rsidRPr="00706A43">
              <w:rPr>
                <w:rStyle w:val="Hyperlink"/>
                <w:noProof/>
              </w:rPr>
              <w:t>3.14.</w:t>
            </w:r>
            <w:r w:rsidR="00753A83">
              <w:rPr>
                <w:rFonts w:asciiTheme="minorHAnsi" w:eastAsiaTheme="minorEastAsia" w:hAnsiTheme="minorHAnsi" w:cstheme="minorBidi"/>
                <w:noProof/>
                <w:sz w:val="24"/>
                <w:lang w:val="en-IE"/>
              </w:rPr>
              <w:tab/>
            </w:r>
            <w:r w:rsidR="00753A83" w:rsidRPr="00706A43">
              <w:rPr>
                <w:rStyle w:val="Hyperlink"/>
                <w:noProof/>
              </w:rPr>
              <w:t>Kestävät vaihtoehtoiset polttoaineet</w:t>
            </w:r>
            <w:r w:rsidR="00753A83">
              <w:rPr>
                <w:noProof/>
                <w:webHidden/>
              </w:rPr>
              <w:tab/>
            </w:r>
            <w:r w:rsidR="00753A83">
              <w:rPr>
                <w:noProof/>
                <w:webHidden/>
              </w:rPr>
              <w:fldChar w:fldCharType="begin"/>
            </w:r>
            <w:r w:rsidR="00753A83">
              <w:rPr>
                <w:noProof/>
                <w:webHidden/>
              </w:rPr>
              <w:instrText xml:space="preserve"> PAGEREF _Toc194657192 \h </w:instrText>
            </w:r>
            <w:r w:rsidR="00753A83">
              <w:rPr>
                <w:noProof/>
                <w:webHidden/>
              </w:rPr>
            </w:r>
            <w:r w:rsidR="00753A83">
              <w:rPr>
                <w:noProof/>
                <w:webHidden/>
              </w:rPr>
              <w:fldChar w:fldCharType="separate"/>
            </w:r>
            <w:r w:rsidR="008C1E51">
              <w:rPr>
                <w:noProof/>
                <w:webHidden/>
              </w:rPr>
              <w:t>41</w:t>
            </w:r>
            <w:r w:rsidR="00753A83">
              <w:rPr>
                <w:noProof/>
                <w:webHidden/>
              </w:rPr>
              <w:fldChar w:fldCharType="end"/>
            </w:r>
          </w:hyperlink>
        </w:p>
        <w:p w14:paraId="2E6917CA" w14:textId="3F070967" w:rsidR="00753A83" w:rsidRDefault="00174E45">
          <w:pPr>
            <w:pStyle w:val="TOC2"/>
            <w:tabs>
              <w:tab w:val="left" w:pos="960"/>
              <w:tab w:val="right" w:leader="dot" w:pos="9016"/>
            </w:tabs>
            <w:rPr>
              <w:rFonts w:asciiTheme="minorHAnsi" w:eastAsiaTheme="minorEastAsia" w:hAnsiTheme="minorHAnsi" w:cstheme="minorBidi"/>
              <w:noProof/>
              <w:sz w:val="24"/>
              <w:lang w:val="en-IE"/>
            </w:rPr>
          </w:pPr>
          <w:hyperlink w:anchor="_Toc194657193" w:history="1">
            <w:r w:rsidR="00753A83" w:rsidRPr="00706A43">
              <w:rPr>
                <w:rStyle w:val="Hyperlink"/>
                <w:noProof/>
              </w:rPr>
              <w:t>3.15.</w:t>
            </w:r>
            <w:r w:rsidR="00753A83">
              <w:rPr>
                <w:rFonts w:asciiTheme="minorHAnsi" w:eastAsiaTheme="minorEastAsia" w:hAnsiTheme="minorHAnsi" w:cstheme="minorBidi"/>
                <w:noProof/>
                <w:sz w:val="24"/>
                <w:lang w:val="en-IE"/>
              </w:rPr>
              <w:tab/>
            </w:r>
            <w:r w:rsidR="00753A83" w:rsidRPr="00706A43">
              <w:rPr>
                <w:rStyle w:val="Hyperlink"/>
                <w:noProof/>
              </w:rPr>
              <w:t>Teollisuuden ylijäämälämmön talteenottoteknologiat</w:t>
            </w:r>
            <w:r w:rsidR="00753A83">
              <w:rPr>
                <w:noProof/>
                <w:webHidden/>
              </w:rPr>
              <w:tab/>
            </w:r>
            <w:r w:rsidR="00753A83">
              <w:rPr>
                <w:noProof/>
                <w:webHidden/>
              </w:rPr>
              <w:fldChar w:fldCharType="begin"/>
            </w:r>
            <w:r w:rsidR="00753A83">
              <w:rPr>
                <w:noProof/>
                <w:webHidden/>
              </w:rPr>
              <w:instrText xml:space="preserve"> PAGEREF _Toc194657193 \h </w:instrText>
            </w:r>
            <w:r w:rsidR="00753A83">
              <w:rPr>
                <w:noProof/>
                <w:webHidden/>
              </w:rPr>
            </w:r>
            <w:r w:rsidR="00753A83">
              <w:rPr>
                <w:noProof/>
                <w:webHidden/>
              </w:rPr>
              <w:fldChar w:fldCharType="separate"/>
            </w:r>
            <w:r w:rsidR="008C1E51">
              <w:rPr>
                <w:noProof/>
                <w:webHidden/>
              </w:rPr>
              <w:t>43</w:t>
            </w:r>
            <w:r w:rsidR="00753A83">
              <w:rPr>
                <w:noProof/>
                <w:webHidden/>
              </w:rPr>
              <w:fldChar w:fldCharType="end"/>
            </w:r>
          </w:hyperlink>
        </w:p>
        <w:p w14:paraId="10C266F8" w14:textId="0D164360" w:rsidR="00753A83" w:rsidRDefault="00174E45">
          <w:pPr>
            <w:pStyle w:val="TOC1"/>
            <w:tabs>
              <w:tab w:val="left" w:pos="482"/>
            </w:tabs>
            <w:rPr>
              <w:rFonts w:asciiTheme="minorHAnsi" w:eastAsiaTheme="minorEastAsia" w:hAnsiTheme="minorHAnsi" w:cstheme="minorBidi"/>
              <w:b w:val="0"/>
              <w:noProof/>
              <w:sz w:val="24"/>
              <w:lang w:val="en-IE"/>
            </w:rPr>
          </w:pPr>
          <w:hyperlink w:anchor="_Toc194657194" w:history="1">
            <w:r w:rsidR="00753A83" w:rsidRPr="00706A43">
              <w:rPr>
                <w:rStyle w:val="Hyperlink"/>
                <w:noProof/>
              </w:rPr>
              <w:t>4.</w:t>
            </w:r>
            <w:r w:rsidR="00753A83">
              <w:rPr>
                <w:rFonts w:asciiTheme="minorHAnsi" w:eastAsiaTheme="minorEastAsia" w:hAnsiTheme="minorHAnsi" w:cstheme="minorBidi"/>
                <w:b w:val="0"/>
                <w:noProof/>
                <w:sz w:val="24"/>
                <w:lang w:val="en-IE"/>
              </w:rPr>
              <w:tab/>
            </w:r>
            <w:r w:rsidR="00753A83" w:rsidRPr="00706A43">
              <w:rPr>
                <w:rStyle w:val="Hyperlink"/>
                <w:noProof/>
              </w:rPr>
              <w:t>Päätelmät</w:t>
            </w:r>
            <w:r w:rsidR="00753A83">
              <w:rPr>
                <w:noProof/>
                <w:webHidden/>
              </w:rPr>
              <w:tab/>
            </w:r>
            <w:r w:rsidR="00753A83">
              <w:rPr>
                <w:noProof/>
                <w:webHidden/>
              </w:rPr>
              <w:fldChar w:fldCharType="begin"/>
            </w:r>
            <w:r w:rsidR="00753A83">
              <w:rPr>
                <w:noProof/>
                <w:webHidden/>
              </w:rPr>
              <w:instrText xml:space="preserve"> PAGEREF _Toc194657194 \h </w:instrText>
            </w:r>
            <w:r w:rsidR="00753A83">
              <w:rPr>
                <w:noProof/>
                <w:webHidden/>
              </w:rPr>
            </w:r>
            <w:r w:rsidR="00753A83">
              <w:rPr>
                <w:noProof/>
                <w:webHidden/>
              </w:rPr>
              <w:fldChar w:fldCharType="separate"/>
            </w:r>
            <w:r w:rsidR="008C1E51">
              <w:rPr>
                <w:noProof/>
                <w:webHidden/>
              </w:rPr>
              <w:t>44</w:t>
            </w:r>
            <w:r w:rsidR="00753A83">
              <w:rPr>
                <w:noProof/>
                <w:webHidden/>
              </w:rPr>
              <w:fldChar w:fldCharType="end"/>
            </w:r>
          </w:hyperlink>
        </w:p>
        <w:p w14:paraId="6D17B4EA" w14:textId="0CF4EF9E" w:rsidR="0006258B" w:rsidRDefault="000E6662" w:rsidP="001F6CF5">
          <w:pPr>
            <w:rPr>
              <w:rStyle w:val="Hyperlink"/>
              <w:noProof/>
              <w:sz w:val="20"/>
            </w:rPr>
          </w:pPr>
          <w:r>
            <w:rPr>
              <w:noProof/>
            </w:rPr>
            <w:fldChar w:fldCharType="end"/>
          </w:r>
        </w:p>
      </w:sdtContent>
    </w:sdt>
    <w:p w14:paraId="3BD0353A" w14:textId="3AE4E12E" w:rsidR="00E41301" w:rsidRDefault="00E41301" w:rsidP="00E41301">
      <w:pPr>
        <w:spacing w:after="60"/>
        <w:rPr>
          <w:noProof/>
        </w:rPr>
      </w:pPr>
    </w:p>
    <w:p w14:paraId="3922BD3B" w14:textId="21B1C182" w:rsidR="00E41301" w:rsidRDefault="00E41301" w:rsidP="00E41301">
      <w:pPr>
        <w:spacing w:after="60"/>
        <w:rPr>
          <w:b/>
          <w:bCs/>
          <w:noProof/>
        </w:rPr>
      </w:pPr>
      <w:r>
        <w:rPr>
          <w:noProof/>
        </w:rPr>
        <w:br w:type="page"/>
      </w:r>
    </w:p>
    <w:p w14:paraId="1823C77E" w14:textId="162E82DF" w:rsidR="00994548" w:rsidRPr="009029CA" w:rsidRDefault="00B64ACF" w:rsidP="009029CA">
      <w:pPr>
        <w:pStyle w:val="Heading1"/>
        <w:numPr>
          <w:ilvl w:val="0"/>
          <w:numId w:val="0"/>
        </w:numPr>
        <w:spacing w:before="0" w:after="160"/>
        <w:ind w:left="482"/>
        <w:rPr>
          <w:noProof/>
        </w:rPr>
      </w:pPr>
      <w:bookmarkStart w:id="2" w:name="_Toc194657165"/>
      <w:r>
        <w:rPr>
          <w:noProof/>
        </w:rPr>
        <w:lastRenderedPageBreak/>
        <w:t>Tiivistelmä</w:t>
      </w:r>
      <w:bookmarkEnd w:id="2"/>
    </w:p>
    <w:p w14:paraId="59FA7809" w14:textId="3C4B6712" w:rsidR="002C7790" w:rsidRPr="004D19A8" w:rsidRDefault="6D7CE9C6" w:rsidP="002C7790">
      <w:pPr>
        <w:rPr>
          <w:noProof/>
        </w:rPr>
      </w:pPr>
      <w:r>
        <w:rPr>
          <w:b/>
          <w:noProof/>
        </w:rPr>
        <w:t>Vuoden 2025 kertomuksessa puhtaan energian teknologioiden kilpailukyvyn edistymisestä</w:t>
      </w:r>
      <w:r>
        <w:rPr>
          <w:noProof/>
        </w:rPr>
        <w:t xml:space="preserve"> esitetään katsaus nettonollateknologioiden ja niiden valmistuksen suuntauksista ja haasteista EU:ssa. Siinä tarkastellaan ensin </w:t>
      </w:r>
      <w:r>
        <w:rPr>
          <w:b/>
          <w:noProof/>
        </w:rPr>
        <w:t>horisontaalisesti EU:n puhtaan energian alan kilpailukykyä</w:t>
      </w:r>
      <w:r>
        <w:rPr>
          <w:noProof/>
        </w:rPr>
        <w:t xml:space="preserve"> ja esitetään sen jälkeen </w:t>
      </w:r>
      <w:r>
        <w:rPr>
          <w:b/>
          <w:noProof/>
        </w:rPr>
        <w:t>alakohtainen analyysi 15 teknologiasta</w:t>
      </w:r>
      <w:r>
        <w:rPr>
          <w:noProof/>
        </w:rPr>
        <w:t xml:space="preserve">. Kertomus perustuu Draghin raporttiin ja kilpailukykykompassiin, ja se toimii nettonollateollisuussäädöksen seurantakertomuksena ja tukee siten säädöksen täytäntöönpanoa. Kertomus hyväksyttiin puhtaan teollisen kehityksen ohjelman ja kohtuuhintaista energiaa koskevan toimintasuunnitelman yhteydessä, ja se tukee molempia aloitteita tarjoamalla tietoa teknologioista, joita tarvitaan EU:n teollisuuden hiilestä irrottamiseksi samalla kun vahvistetaan teollisuuden kilpailukykyä ja alennetaan energiakustannuksia. </w:t>
      </w:r>
    </w:p>
    <w:p w14:paraId="78DBC449" w14:textId="77777777" w:rsidR="002C7790" w:rsidRPr="00710B7A" w:rsidRDefault="002C7790" w:rsidP="002C7790">
      <w:pPr>
        <w:rPr>
          <w:b/>
          <w:bCs/>
          <w:i/>
          <w:iCs/>
          <w:noProof/>
        </w:rPr>
      </w:pPr>
      <w:r>
        <w:rPr>
          <w:b/>
          <w:i/>
          <w:noProof/>
        </w:rPr>
        <w:t>EU:n puhtaan energian alan kilpailukyky</w:t>
      </w:r>
    </w:p>
    <w:p w14:paraId="22062E9D" w14:textId="15DA069D" w:rsidR="002C7790" w:rsidRPr="004D19A8" w:rsidRDefault="002C7790" w:rsidP="002C7790">
      <w:pPr>
        <w:rPr>
          <w:noProof/>
        </w:rPr>
      </w:pPr>
      <w:r>
        <w:rPr>
          <w:b/>
          <w:noProof/>
        </w:rPr>
        <w:t>Puhtaat energiateknologiat ovat kustannuksiltaan edelleen erittäin kilpailukykyisiä EU:ssa</w:t>
      </w:r>
      <w:r>
        <w:rPr>
          <w:noProof/>
        </w:rPr>
        <w:t xml:space="preserve"> alhaisten toimintakustannustensa ansiosta. Uusiutuvien energialähteiden osuus unionin sähköntuotannosta nousi vuonna 2024 ennätykselliseen 48 prosenttiin oltuaan 45 prosenttia vuonna 2023 ja 41 prosenttia vuonna 2022.</w:t>
      </w:r>
    </w:p>
    <w:p w14:paraId="62370DE2" w14:textId="50B1DF79" w:rsidR="002C7790" w:rsidRPr="004D19A8" w:rsidRDefault="002C7790" w:rsidP="002C7790">
      <w:pPr>
        <w:pStyle w:val="Text2"/>
        <w:spacing w:after="160"/>
        <w:ind w:left="0"/>
        <w:rPr>
          <w:rFonts w:eastAsiaTheme="minorEastAsia"/>
          <w:noProof/>
          <w:szCs w:val="24"/>
          <w:highlight w:val="yellow"/>
        </w:rPr>
      </w:pPr>
      <w:r>
        <w:rPr>
          <w:b/>
          <w:noProof/>
        </w:rPr>
        <w:t>Vaikka puhtaiden energiateknologioiden käyttöä lisätään voimakkaasti, EU:n nettonollateollisuuden liiketoimintaympäristö on haastava ja kilpailu on kovaa</w:t>
      </w:r>
      <w:r>
        <w:rPr>
          <w:noProof/>
        </w:rPr>
        <w:t xml:space="preserve">. Kuten Draghin raportissa korostetaan, EU:n on puhtaiden teknologioiden innovaatiojohtajana hyödynnettävä taloudelliset mahdollisuudet, joita näiden teknologioiden maailmanlaajuinen käyttöönotto tarjoaa. Samaan aikaan teollisuuspolitiikka ja uudet tuontirajoitukset esimerkiksi Yhdysvalloissa ja Kiinassa vaikuttavat yhä vahvemmin liiketoimintaympäristöön, kauppasuhteisiin ja investointipäätöksiin. </w:t>
      </w:r>
    </w:p>
    <w:p w14:paraId="751C7090" w14:textId="036AB7BA" w:rsidR="002C7790" w:rsidRPr="004D19A8" w:rsidRDefault="002C7790" w:rsidP="773EBCB2">
      <w:pPr>
        <w:pStyle w:val="Text3"/>
        <w:spacing w:after="160"/>
        <w:ind w:left="0"/>
        <w:rPr>
          <w:noProof/>
        </w:rPr>
      </w:pPr>
      <w:r>
        <w:rPr>
          <w:b/>
          <w:noProof/>
        </w:rPr>
        <w:t>EU:ssa on monipuolista nettonollateknologian valmistusteollisuutta. Se kuitenkin kamppailee säilyttääkseen markkinaosuutensa maailmanlaajuisesti</w:t>
      </w:r>
      <w:r>
        <w:rPr>
          <w:noProof/>
        </w:rPr>
        <w:t>, koska</w:t>
      </w:r>
      <w:r>
        <w:rPr>
          <w:b/>
          <w:noProof/>
        </w:rPr>
        <w:t xml:space="preserve"> </w:t>
      </w:r>
      <w:r>
        <w:rPr>
          <w:noProof/>
        </w:rPr>
        <w:t xml:space="preserve">Kiina hallitsee tuotantoa keskeisillä aloilla. EU on kaikkien nettonollateknologioiden toimitusketjuissa edelleen riippuvainen tietyistä teknologiakomponenteista ja keskeisistä raaka-aineista, mikä asettaa haasteita unionin talouden yleiselle häiriönsietokyvylle ja strategiselle riippumattomuudelle. Tämä on kytköksissä myös EU:n kohtaamiin haasteisiin energiavaltaisilla teollisuudenaloilla, jotka toimittavat metalleja ja kemikaaleja nettonollateknologian valmistajille. </w:t>
      </w:r>
    </w:p>
    <w:p w14:paraId="5F173FDE" w14:textId="7F9D8155" w:rsidR="002C7790" w:rsidRPr="004D19A8" w:rsidRDefault="00757666" w:rsidP="002C7790">
      <w:pPr>
        <w:pStyle w:val="Text3"/>
        <w:spacing w:after="160"/>
        <w:ind w:left="0"/>
        <w:rPr>
          <w:noProof/>
        </w:rPr>
      </w:pPr>
      <w:r>
        <w:rPr>
          <w:b/>
          <w:noProof/>
        </w:rPr>
        <w:t>Puhtaat energiateknologiat tarjoavat laadukkaita työpaikkoja, mutta ammattitaitoisten työntekijöiden saatavuus ja työvoiman ikääntyminen ovat yhä haasteena</w:t>
      </w:r>
      <w:r>
        <w:rPr>
          <w:noProof/>
        </w:rPr>
        <w:t xml:space="preserve">. Työllisyys kasvoi edelleen vuonna 2023, ja uusiutuvan energian alan työpaikat nousivat EU:ssa 1,8 miljoonaan. Laajemman puhtaan energian alan työpaikoista noin kolmannes on nettonollateknologioiden valmistuksessa, mikä on osoitus näiden arvoketjujen yhteiskunnallisesta ja taloudellisesta merkityksestä. </w:t>
      </w:r>
    </w:p>
    <w:p w14:paraId="19FA15B9" w14:textId="12797479" w:rsidR="002C7790" w:rsidRPr="00710B7A" w:rsidRDefault="002C7790" w:rsidP="773EBCB2">
      <w:pPr>
        <w:pStyle w:val="Text3"/>
        <w:spacing w:after="160"/>
        <w:ind w:left="0"/>
        <w:rPr>
          <w:rStyle w:val="normaltextrun"/>
          <w:noProof/>
          <w:color w:val="000000" w:themeColor="text1"/>
        </w:rPr>
      </w:pPr>
      <w:r>
        <w:rPr>
          <w:rStyle w:val="normaltextrun"/>
          <w:b/>
          <w:noProof/>
          <w:color w:val="000000"/>
          <w:shd w:val="clear" w:color="auto" w:fill="FFFFFF"/>
        </w:rPr>
        <w:t>EU:lla on edelleen hyvä asema puhtaita energiateknologioita koskevassa tutkimuksessa, mutta sen kilpailuetu innovoinnissa on viime vuosina heikentynyt kovan maailmanlaajuisen kilpailun takia</w:t>
      </w:r>
      <w:r>
        <w:rPr>
          <w:rStyle w:val="normaltextrun"/>
          <w:noProof/>
          <w:color w:val="000000"/>
          <w:shd w:val="clear" w:color="auto" w:fill="FFFFFF"/>
        </w:rPr>
        <w:t xml:space="preserve">. Tuoreimpien tietojen mukaan puolet raportoivista jäsenvaltioista lisäsi energiateknologioita koskevaan </w:t>
      </w:r>
      <w:r>
        <w:rPr>
          <w:rStyle w:val="normaltextrun"/>
          <w:noProof/>
          <w:color w:val="000000" w:themeColor="text1"/>
        </w:rPr>
        <w:t>tutkimukseen ja innovointiin (</w:t>
      </w:r>
      <w:r>
        <w:rPr>
          <w:rStyle w:val="normaltextrun"/>
          <w:noProof/>
          <w:color w:val="000000"/>
          <w:shd w:val="clear" w:color="auto" w:fill="FFFFFF"/>
        </w:rPr>
        <w:t>T&amp;I</w:t>
      </w:r>
      <w:r>
        <w:rPr>
          <w:rStyle w:val="normaltextrun"/>
          <w:noProof/>
          <w:color w:val="000000" w:themeColor="text1"/>
        </w:rPr>
        <w:t>)</w:t>
      </w:r>
      <w:r>
        <w:rPr>
          <w:rStyle w:val="normaltextrun"/>
          <w:noProof/>
          <w:color w:val="000000"/>
          <w:shd w:val="clear" w:color="auto" w:fill="FFFFFF"/>
        </w:rPr>
        <w:t xml:space="preserve"> liittyviä menojaan vuonna 2023. Jos nämä osittaiset raportointitiedot osoittautuvat edustaviksi, se merkitsisi 9 prosentin lisäystä energiaunionin T&amp;I-painopisteisiin myönnettävään tukeen. Kaiken kaikkiaan EU:lla on </w:t>
      </w:r>
      <w:r>
        <w:rPr>
          <w:rStyle w:val="normaltextrun"/>
          <w:noProof/>
          <w:color w:val="000000" w:themeColor="text1"/>
        </w:rPr>
        <w:t xml:space="preserve">maailmanlaajuinen </w:t>
      </w:r>
      <w:r>
        <w:rPr>
          <w:rStyle w:val="normaltextrun"/>
          <w:noProof/>
          <w:color w:val="000000"/>
          <w:shd w:val="clear" w:color="auto" w:fill="FFFFFF"/>
        </w:rPr>
        <w:t xml:space="preserve">johtoasema puhtaisiin energiateknologioihin suunnattujen julkisten T&amp;I-menojen osalta. Sitä vastoin </w:t>
      </w:r>
      <w:r>
        <w:rPr>
          <w:rStyle w:val="normaltextrun"/>
          <w:noProof/>
          <w:color w:val="000000" w:themeColor="text1"/>
        </w:rPr>
        <w:t xml:space="preserve">yksityiset T&amp;I-investoinnit – joiden </w:t>
      </w:r>
      <w:r>
        <w:rPr>
          <w:rStyle w:val="normaltextrun"/>
          <w:noProof/>
          <w:color w:val="000000" w:themeColor="text1"/>
        </w:rPr>
        <w:lastRenderedPageBreak/>
        <w:t xml:space="preserve">osuus on edelleen yli kolme neljäsosaa puhtaiden energiateknologioiden T&amp;I-rahoituksesta suurimmissa talouksissa – ovat huomattavasti suurempia Aasian suurissa talouksissa. Kuten Draghin raportissa korostetaan ja kilpailukykykompassissa todetaan, tarvitaan lisätoimia sen varmistamiseksi, että EU voi säilyttää johtoasemansa puhtaan teknologian tutkimuksen ja innovoinnin alalla ja parantaa heikkoa suorituskykyään innovaatioiden saattamisessa markkinoille. </w:t>
      </w:r>
    </w:p>
    <w:p w14:paraId="2A20072A" w14:textId="51A62500" w:rsidR="002C7790" w:rsidRPr="00005960" w:rsidRDefault="00C02DE3" w:rsidP="002C7790">
      <w:pPr>
        <w:pStyle w:val="Text3"/>
        <w:spacing w:after="160"/>
        <w:ind w:left="0"/>
        <w:rPr>
          <w:noProof/>
          <w:szCs w:val="24"/>
        </w:rPr>
      </w:pPr>
      <w:r>
        <w:rPr>
          <w:b/>
          <w:noProof/>
        </w:rPr>
        <w:t>Riskipääoman saatavuus on edelleen keskeinen ongelma puhtaan energiateknologian alalla toimivien EU:n yritysten perustamiselle ja laajentamiselle</w:t>
      </w:r>
      <w:r>
        <w:rPr>
          <w:noProof/>
        </w:rPr>
        <w:t>.</w:t>
      </w:r>
      <w:r>
        <w:rPr>
          <w:rStyle w:val="normaltextrun"/>
          <w:b/>
          <w:noProof/>
        </w:rPr>
        <w:t xml:space="preserve"> </w:t>
      </w:r>
      <w:r>
        <w:rPr>
          <w:noProof/>
        </w:rPr>
        <w:t xml:space="preserve">Vuoden 2024 alustavat tiedot osoittavat, että vaikea makrotaloudellinen tilanne vaikutti osaltaan siihen, että puhtaaseen energiateknologiaan tehdyt riskipääomasijoitukset vähenivät EU:ssa merkittävästi (–34 %) vuoteen 2023 verrattuna. </w:t>
      </w:r>
      <w:r>
        <w:rPr>
          <w:rStyle w:val="normaltextrun"/>
          <w:noProof/>
        </w:rPr>
        <w:t>Lasku liittyy pääomasijoitustoiminnan vähenemiseen ja merkittävien investointien vähäisempään määrään verrattuna vuoteen 2023, jolloin tehtiin akkujen ja vetypohjaisen teräksen tuotantolaitoksia koskevia laajamittaisia rahoitussopimuksia. Näillä sopimuksilla oli merkittävä rooli siinä</w:t>
      </w:r>
      <w:r>
        <w:rPr>
          <w:noProof/>
        </w:rPr>
        <w:t xml:space="preserve">, että alalle tehdyt </w:t>
      </w:r>
      <w:r>
        <w:rPr>
          <w:rStyle w:val="normaltextrun"/>
          <w:noProof/>
        </w:rPr>
        <w:t xml:space="preserve">riskipääomasijoitukset EU:ssa nousivat 9,2 miljardiin euroon vuonna 2023 (+20 prosenttia vuoteen 2022 verrattuna). </w:t>
      </w:r>
      <w:r>
        <w:rPr>
          <w:noProof/>
        </w:rPr>
        <w:t xml:space="preserve">Samaan aikaan alustavat tiedot osoittavat, että EU:n osuus puhtaisiin energiateknologioihin </w:t>
      </w:r>
      <w:r>
        <w:rPr>
          <w:rStyle w:val="normaltextrun"/>
          <w:noProof/>
        </w:rPr>
        <w:t>koko maailmassa tehdyistä riskipääomasijoituksista pysyi suhteellisen vakaana vuonna 2024. EU oli vuonna 2023 maailmanlaajuisesti toisella sijalla 28 prosentin osuudellaan Yhdysvaltojen (30 prosenttia) ja Kiinan (24 prosenttia) välissä.</w:t>
      </w:r>
    </w:p>
    <w:p w14:paraId="29BFAF80" w14:textId="3892579A" w:rsidR="002C7790" w:rsidRPr="00710B7A" w:rsidRDefault="23E33D1A" w:rsidP="002C7790">
      <w:pPr>
        <w:keepNext/>
        <w:rPr>
          <w:b/>
          <w:bCs/>
          <w:i/>
          <w:iCs/>
          <w:noProof/>
        </w:rPr>
      </w:pPr>
      <w:r>
        <w:rPr>
          <w:b/>
          <w:i/>
          <w:noProof/>
        </w:rPr>
        <w:t>EU:n kilpailukyky nettonollateknologioiden alalla</w:t>
      </w:r>
    </w:p>
    <w:p w14:paraId="39BC81CA" w14:textId="6B2D1C6D" w:rsidR="002C7790" w:rsidRPr="004D19A8" w:rsidRDefault="002C7790" w:rsidP="002C7790">
      <w:pPr>
        <w:pStyle w:val="Text2"/>
        <w:spacing w:after="160"/>
        <w:ind w:left="0"/>
        <w:rPr>
          <w:noProof/>
          <w:szCs w:val="24"/>
        </w:rPr>
      </w:pPr>
      <w:r>
        <w:rPr>
          <w:b/>
          <w:noProof/>
        </w:rPr>
        <w:t>Vuonna 2024 EU asensi Kiinan jälkeen toiseksi eniten uutta</w:t>
      </w:r>
      <w:r>
        <w:rPr>
          <w:noProof/>
        </w:rPr>
        <w:t xml:space="preserve"> </w:t>
      </w:r>
      <w:r>
        <w:rPr>
          <w:b/>
          <w:noProof/>
        </w:rPr>
        <w:t>aurinkosähkökapasiteettia</w:t>
      </w:r>
      <w:r>
        <w:rPr>
          <w:noProof/>
        </w:rPr>
        <w:t xml:space="preserve">. EU:n valmistajien toimintaympäristö on erittäin haastava, ja niillä on vaikeuksia kilpailla maailmanlaajuisesti. EU on hyvin riippuvainen aurinkosähkötuotteiden tuonnista Kiinasta, jossa sijaitsee yli 90 prosenttia maailman tuotantolaitoksista. Samaan aikaan EU:lla on kuitenkin edelleen vahva rooli tiettyjä aurinkosähkösovelluksia koskevassa T&amp;I-toiminnassa. </w:t>
      </w:r>
    </w:p>
    <w:p w14:paraId="0FCBF661" w14:textId="613791C6" w:rsidR="002C7790" w:rsidRPr="004D19A8" w:rsidRDefault="002C7790" w:rsidP="002C7790">
      <w:pPr>
        <w:pStyle w:val="Text2"/>
        <w:spacing w:after="160"/>
        <w:ind w:left="0"/>
        <w:rPr>
          <w:noProof/>
        </w:rPr>
      </w:pPr>
      <w:r>
        <w:rPr>
          <w:b/>
          <w:noProof/>
        </w:rPr>
        <w:t>EU:n aurinkolämpöteknologian valmistuskapasiteetti on edelleen vahva</w:t>
      </w:r>
      <w:r>
        <w:rPr>
          <w:noProof/>
        </w:rPr>
        <w:t xml:space="preserve">. Aurinkolämpö on kypsä teknologia, mutta alalla oli edelleen vaikeuksia pysyä muiden uusiutuvien ratkaisujen tahdissa vuosina 2023–2024. Vaikka aurinkolämpömarkkinat supistuivat vuonna 2023, teollisen prosessilämmön segmentin kehitys oli lupaavaa, ja segmentti kasvoi maailmanlaajuisesti kolminkertaiseksi edellisvuodesta. </w:t>
      </w:r>
    </w:p>
    <w:p w14:paraId="1EB7B278" w14:textId="2BE0492C" w:rsidR="002C7790" w:rsidRPr="004D19A8" w:rsidRDefault="002C7790" w:rsidP="002C7790">
      <w:pPr>
        <w:pStyle w:val="Text2"/>
        <w:spacing w:after="160"/>
        <w:ind w:left="0"/>
        <w:rPr>
          <w:noProof/>
        </w:rPr>
      </w:pPr>
      <w:r>
        <w:rPr>
          <w:b/>
          <w:noProof/>
        </w:rPr>
        <w:t>EU:n kilpailukyky tuulivoimateknologian alalla on edelleen erittäin hyvä. EU:n toimijoihin kohdistuu kuitenkin kasvavia paineita</w:t>
      </w:r>
      <w:r>
        <w:rPr>
          <w:noProof/>
        </w:rPr>
        <w:t xml:space="preserve"> erityisesti siksi, että kiinalaiset yritykset tarjoavat yhä kilpailukykyisempiä tuotteita alhaisemmilla hinnoilla. Vuonna 2024 EU:n osuus lapojen ja konehuonekokoonpanojen maailmanlaajuisesta valmistuskapasiteetista oli lähes 13 prosenttia ja tornien valmistuksesta noin 22 prosenttia. EU:n yritysten markkinaosuus oli vuonna 2023 lähes 90 prosenttia Euroopan markkinoista ja 23 prosenttia maailmanmarkkinoista, mikä merkitsee noin 7 prosentin laskua maailmanmarkkinoilla vuoteen 2022 verrattuna.</w:t>
      </w:r>
    </w:p>
    <w:p w14:paraId="08466729" w14:textId="569C3CD8" w:rsidR="002C7790" w:rsidRPr="004D19A8" w:rsidRDefault="00247565" w:rsidP="002C7790">
      <w:pPr>
        <w:pStyle w:val="Text2"/>
        <w:spacing w:after="160"/>
        <w:ind w:left="0"/>
        <w:rPr>
          <w:i/>
          <w:iCs/>
          <w:noProof/>
          <w:szCs w:val="24"/>
        </w:rPr>
      </w:pPr>
      <w:r>
        <w:rPr>
          <w:b/>
          <w:noProof/>
          <w:color w:val="000000"/>
        </w:rPr>
        <w:t>Vuonna 2024 valtamerienergiateknologiat houkuttelivat ennennäkemätöntä rahoitusta ja kiinnostusta</w:t>
      </w:r>
      <w:r>
        <w:rPr>
          <w:noProof/>
          <w:color w:val="000000"/>
        </w:rPr>
        <w:t xml:space="preserve">. </w:t>
      </w:r>
      <w:r w:rsidR="002C7790" w:rsidRPr="00796820">
        <w:rPr>
          <w:noProof/>
          <w:color w:val="000000"/>
        </w:rPr>
        <w:fldChar w:fldCharType="begin"/>
      </w:r>
      <w:r w:rsidR="002C7790" w:rsidRPr="00796820">
        <w:rPr>
          <w:noProof/>
          <w:color w:val="000000"/>
        </w:rPr>
        <w:instrText xml:space="preserve"> NOTEREF _Ref170153960 \f \p \h  \* MERGEFORMAT </w:instrText>
      </w:r>
      <w:r w:rsidR="002C7790" w:rsidRPr="00796820">
        <w:rPr>
          <w:noProof/>
          <w:color w:val="000000"/>
        </w:rPr>
      </w:r>
      <w:r w:rsidR="002C7790" w:rsidRPr="00796820">
        <w:rPr>
          <w:noProof/>
          <w:color w:val="000000"/>
        </w:rPr>
        <w:fldChar w:fldCharType="end"/>
      </w:r>
      <w:r>
        <w:rPr>
          <w:rStyle w:val="normaltextrun"/>
          <w:noProof/>
          <w:color w:val="000000" w:themeColor="text1"/>
        </w:rPr>
        <w:t>Euroopassa asennettiin vuonna 2024 noin 1 230 kilowattia uutta valtamerienergiakapasiteettia</w:t>
      </w:r>
      <w:r>
        <w:rPr>
          <w:rStyle w:val="normaltextrun"/>
          <w:i/>
          <w:noProof/>
        </w:rPr>
        <w:t xml:space="preserve">. </w:t>
      </w:r>
      <w:r>
        <w:rPr>
          <w:rStyle w:val="normaltextrun"/>
          <w:noProof/>
          <w:color w:val="000000" w:themeColor="text1"/>
        </w:rPr>
        <w:t>Kiinalla on kuitenkin tällä alalla johtoasema arvokkaiden keksintöjen osalta ennen EU:ta. Tarvitaan lisätoimia, jotta voidaan lisätä valtamerienergian taloudellista kannattavuutta ja saattaa innovatiivista valtamerienergiateknologiaa markkinoille.</w:t>
      </w:r>
    </w:p>
    <w:p w14:paraId="0FF040E7" w14:textId="58778F4A" w:rsidR="002C7790" w:rsidRPr="004D19A8" w:rsidRDefault="6D7CE9C6" w:rsidP="773EBCB2">
      <w:pPr>
        <w:pStyle w:val="Text2"/>
        <w:spacing w:after="160"/>
        <w:ind w:left="0"/>
        <w:rPr>
          <w:noProof/>
        </w:rPr>
      </w:pPr>
      <w:r>
        <w:rPr>
          <w:b/>
          <w:noProof/>
        </w:rPr>
        <w:t>EU:n akkuvalmistajat kohtaavat voimakasta kilpailua pyrkiessään kasvattamaan valmistuskapasiteettiaan ja lisäämään markkinaosuuksiaan</w:t>
      </w:r>
      <w:r>
        <w:rPr>
          <w:noProof/>
        </w:rPr>
        <w:t>. Akkuteknologian alalla Kiinalla on johtoasema, ja sen osuus maailmanlaajuisesta valmistuskapasiteetista vuonna 2024 oli yli 85 prosenttia. Kiinan jälkeen tulivat EU noin 7 prosentin osuudella ja Yhdysvallat noin 5 prosentin osuudella. EU:n valmistajat ovat erittäin riippuvaisia Kiinasta katodien ja anodien osalta. Jos ilmoitetut hankkeet toteutuvat, EU näyttää saavuttavan vuodelle 2030 asetetun tuotantotavoitteensa, joka on 10 prosenttia (1 510 gigawattituntia) vuodelle 2030 ennustetusta maailmanlaajuisesta akkutuotantokapasiteetista. Tarkkailijat ennustavat akkukennojen ylitarjontaa tulevina vuosina, mikä todennäköisesti johtaa maailmanlaajuisen kilpailun tiukentumiseen.</w:t>
      </w:r>
    </w:p>
    <w:p w14:paraId="0EF68974" w14:textId="4E710667" w:rsidR="002C7790" w:rsidRPr="004D19A8" w:rsidRDefault="002C7790" w:rsidP="773EBCB2">
      <w:pPr>
        <w:pStyle w:val="Text2"/>
        <w:spacing w:after="160"/>
        <w:ind w:left="0"/>
        <w:rPr>
          <w:noProof/>
        </w:rPr>
      </w:pPr>
      <w:r>
        <w:rPr>
          <w:b/>
          <w:noProof/>
        </w:rPr>
        <w:t>EU:n lämpöpumppuvalmistajilla on maailmanlaajuinen johtoasema kotitalouskäyttöön tarkoitettujen innovatiivisten huippuluokan ratkaisujen ja teollisuuden lämpöpumppujen alalla</w:t>
      </w:r>
      <w:r>
        <w:rPr>
          <w:noProof/>
        </w:rPr>
        <w:t xml:space="preserve">. EU:n loppukokoonpanokapasiteetti on hyvää vauhtia täyttämässä vuotta 2030 koskevat EU:n käyttöönottotarpeet. EU:n teollisuus on kuitenkin edelleen erittäin riippuvainen tiettyjen komponenttien, kuten kompressorien, tuonnista. Vaikka EU:n kauppataseen alijäämä toimitusketjussa supistui kolmanneksella vuonna 2023, lämpöpumppujen myynti EU:ssa väheni 7,2 prosenttia vuonna 2023 vuosikymmenen kasvun jälkeen. Suuntaus paheni vuonna 2024, jolloin myynti laski Euroopassa 31 prosenttia. Tämä osoittaa, että on tarpeen toteuttaa toimia alan kääntämiseksi jälleen kasvuun. </w:t>
      </w:r>
    </w:p>
    <w:p w14:paraId="2303EF13" w14:textId="0B8AF586" w:rsidR="002C7790" w:rsidRPr="004D19A8" w:rsidRDefault="002C7790" w:rsidP="773EBCB2">
      <w:pPr>
        <w:pStyle w:val="Text2"/>
        <w:spacing w:after="160"/>
        <w:ind w:left="0"/>
        <w:rPr>
          <w:rFonts w:eastAsia="Calibri"/>
          <w:noProof/>
        </w:rPr>
      </w:pPr>
      <w:r>
        <w:rPr>
          <w:b/>
          <w:noProof/>
        </w:rPr>
        <w:t>EU:n yrityksillä on vahva rooli unionissa käyttöönotetun geotermisen energiateknologian asentamisessa ja lopullisessa kokoonpanossa</w:t>
      </w:r>
      <w:r>
        <w:rPr>
          <w:noProof/>
        </w:rPr>
        <w:t xml:space="preserve">. Keskeisten komponenttien maailmanmarkkinoita hallitsevat kuitenkin EU:n ulkopuoliset yritykset. Alaa koskevien haasteiden, kuten pinnanalaisia kerroksia koskevan tiedon saatavuuden, ratkaiseminen voi auttaa EU:n teollisuutta. </w:t>
      </w:r>
    </w:p>
    <w:p w14:paraId="68F76DC3" w14:textId="04EDF3E8" w:rsidR="002C7790" w:rsidRPr="004D19A8" w:rsidRDefault="6D7CE9C6" w:rsidP="773EBCB2">
      <w:pPr>
        <w:pStyle w:val="Text2"/>
        <w:spacing w:after="160"/>
        <w:ind w:left="0"/>
        <w:rPr>
          <w:noProof/>
        </w:rPr>
      </w:pPr>
      <w:r>
        <w:rPr>
          <w:b/>
          <w:noProof/>
        </w:rPr>
        <w:t>Eurooppalaisilla yrityksillä on edelleen merkittävä rooli elektrolyysilaitteiden valmistuksessa. Niiden osuus maailmanlaajuisesta valmistuskapasiteetista vuonna 2024 oli arviolta noin kolmannes tai neljännes</w:t>
      </w:r>
      <w:r>
        <w:rPr>
          <w:noProof/>
        </w:rPr>
        <w:t xml:space="preserve">. Vaikka vetyelektrolyysikapasiteettia lisätään edelleen voimakkaasti EU:ssa, haasteena on luoda suuren tuotantokapasiteetin vetysektori, joka varmistaa, että saatavilla on runsaasti kustannuksiltaan kilpailukykyistä vetyä. Lisäksi EU on jäänyt jälkeen polttokennojen valmistuksessa. </w:t>
      </w:r>
    </w:p>
    <w:p w14:paraId="773AC514" w14:textId="30B14564" w:rsidR="002C7790" w:rsidRPr="004D19A8" w:rsidRDefault="002C7790" w:rsidP="002C7790">
      <w:pPr>
        <w:pStyle w:val="Text2"/>
        <w:spacing w:after="160"/>
        <w:ind w:left="0"/>
        <w:rPr>
          <w:noProof/>
          <w:szCs w:val="24"/>
        </w:rPr>
      </w:pPr>
      <w:r>
        <w:rPr>
          <w:b/>
          <w:noProof/>
        </w:rPr>
        <w:t>EU:ssa toimii joitakin maailman suurimpia biokaasun ja biometaanin tuottajia ja alan komponenttien valmistajia</w:t>
      </w:r>
      <w:r>
        <w:rPr>
          <w:noProof/>
        </w:rPr>
        <w:t xml:space="preserve">. </w:t>
      </w:r>
      <w:bookmarkStart w:id="3" w:name="_Hlk190683317"/>
      <w:r>
        <w:rPr>
          <w:noProof/>
        </w:rPr>
        <w:t>Euroopassa on kehittynyt biokaasu- ja biometaaniteollisuus, joka keskittyy pääasiassa sähköntuotantoon, mutta myös lämmitykseen ja liikenteeseen liittyvät markkinat kasvavat. Lähes 50 prosenttia tuotannosta on Euroopassa, ja pelkästään Saksa kattaa 20 prosenttia maailmanlaajuisesta kysynnästä.</w:t>
      </w:r>
    </w:p>
    <w:bookmarkEnd w:id="3"/>
    <w:p w14:paraId="24A7780B" w14:textId="5E52D566" w:rsidR="002C7790" w:rsidRPr="004D19A8" w:rsidRDefault="002C7790" w:rsidP="773EBCB2">
      <w:pPr>
        <w:pStyle w:val="Text2"/>
        <w:spacing w:after="160"/>
        <w:ind w:left="0"/>
        <w:rPr>
          <w:noProof/>
        </w:rPr>
      </w:pPr>
      <w:r>
        <w:rPr>
          <w:b/>
          <w:noProof/>
        </w:rPr>
        <w:t>EU:lla on hyvä asema hiilidioksidin talteenottoteknologioissa, mutta se on jäljessä Yhdysvalloista ja Kanadasta hiilidioksidin kuljetuksessa ja varastoinnissa.</w:t>
      </w:r>
      <w:r>
        <w:rPr>
          <w:noProof/>
        </w:rPr>
        <w:t xml:space="preserve"> Hiilidioksidin talteenottoa ja varastointia (CCS) koskevien hankkeiden määrä on kasvanut nopeasti sekä maailmanlaajuisesti että Euroopassa. Tällä alalla EU:n keskeisiin toimiin kuuluvat ennustettavuuden parantaminen investoijien kannalta sekä varastoinnin kysynnän ja tarjonnan näkyvyyden lisääminen. </w:t>
      </w:r>
    </w:p>
    <w:p w14:paraId="47B50780" w14:textId="44A943C0" w:rsidR="002C7790" w:rsidRPr="004D19A8" w:rsidRDefault="002C7790" w:rsidP="41259367">
      <w:pPr>
        <w:pStyle w:val="Text2"/>
        <w:spacing w:after="160"/>
        <w:ind w:left="0"/>
        <w:rPr>
          <w:noProof/>
          <w:szCs w:val="24"/>
        </w:rPr>
      </w:pPr>
      <w:r>
        <w:rPr>
          <w:b/>
          <w:noProof/>
        </w:rPr>
        <w:t>EU:ssa toimii joitakin pitkäaikaisia markkina- ja teknologiajohtajia sekä voimajohtojen että muuntajien aloilla</w:t>
      </w:r>
      <w:r>
        <w:rPr>
          <w:noProof/>
        </w:rPr>
        <w:t>. Eurooppalaisten yritysten odotetaan kohtaavan kasvavaa kansainvälistä kilpailua lyhyellä ja keskipitkällä aikavälillä. Sähköverkkolaitteiden valmistus riippuu suuresti raaka-aineiden, kuten kuparin, alumiinin ja raesuunnatun sähköteräksen, saatavuudesta, koska EU:n valmistajat ovat tältä osin alttiita tuontiriippuvuudelle.</w:t>
      </w:r>
    </w:p>
    <w:p w14:paraId="06ED9A9C" w14:textId="2C98E7FB" w:rsidR="002C7790" w:rsidRPr="005D78EA" w:rsidRDefault="6D7CE9C6" w:rsidP="460AE95B">
      <w:pPr>
        <w:pStyle w:val="Text2"/>
        <w:spacing w:after="160"/>
        <w:ind w:left="0"/>
        <w:rPr>
          <w:noProof/>
        </w:rPr>
      </w:pPr>
      <w:r>
        <w:rPr>
          <w:b/>
          <w:noProof/>
        </w:rPr>
        <w:t>Ydinvoiman alalla EU:ssa toimii edelleen yksi reaktoritoimittaja, jonka maailmanlaajuinen markkinaosuus rakenteilla olevista reaktoreista oli 5,3 prosenttia vuoden 2024 alussa</w:t>
      </w:r>
      <w:r>
        <w:rPr>
          <w:noProof/>
        </w:rPr>
        <w:t>. EU:n ydinvoimalaitosten ja alan työvoiman ikääntyminen merkitsevät, että on tarpeen ryhtyä toimiin alan nykyaikaistamiseksi. Vuonna 2024 perustettiin pieniä modulaarisia reaktoreita (SMR) koskeva eurooppalainen teollinen allianssi helpottamaan SMR-hankkeiden käyttöönottoa ja tukemaan kilpailukykyistä EU:n ekosysteemiä tämän kehittyvän teknologian alalla.</w:t>
      </w:r>
    </w:p>
    <w:p w14:paraId="645115BB" w14:textId="6766AF26" w:rsidR="002C7790" w:rsidRPr="004D19A8" w:rsidRDefault="002C7790" w:rsidP="773EBCB2">
      <w:pPr>
        <w:pStyle w:val="Text2"/>
        <w:spacing w:after="160"/>
        <w:ind w:left="0"/>
        <w:rPr>
          <w:noProof/>
        </w:rPr>
      </w:pPr>
      <w:r>
        <w:rPr>
          <w:b/>
          <w:noProof/>
        </w:rPr>
        <w:t>EU:lla on edelleen maailmanlaajuinen johtoasema vesivoimateollisuudessa, mutta se on viime vuosina menettänyt markkinaosuuttaan turbiinien ja muiden osien valmistuksen alalla</w:t>
      </w:r>
      <w:r>
        <w:rPr>
          <w:noProof/>
        </w:rPr>
        <w:t xml:space="preserve">. EU:n kauppataseen ylijäämä supistui merkittävästi vuoden 2015 ennätystuloksesta (466 miljoonaa euroa) 213 miljoonaan euroon vuonna 2023. Vahvan komponenttien valmistusteollisuuden säilyttäminen EU:ssa edellyttää sisämarkkinoiden tukemista uusilla investoinneilla. Käyttämätöntä potentiaalia verkon joustavuuden lisäämiseksi on myös pumppuvesivoiman tuotannon laajentamisessa.  </w:t>
      </w:r>
    </w:p>
    <w:p w14:paraId="15BB9694" w14:textId="5518A8BD" w:rsidR="002C7790" w:rsidRPr="004D19A8" w:rsidRDefault="002C7790" w:rsidP="773EBCB2">
      <w:pPr>
        <w:pStyle w:val="Text2"/>
        <w:spacing w:after="160"/>
        <w:ind w:left="0"/>
        <w:rPr>
          <w:noProof/>
        </w:rPr>
      </w:pPr>
      <w:r>
        <w:rPr>
          <w:b/>
          <w:noProof/>
        </w:rPr>
        <w:t>EU on yksi innovaatiojohtajista lento- ja meriliikenteessä käytettävien kestävien vaihtoehtoisten polttoaineiden kehittyvillä markkinoilla</w:t>
      </w:r>
      <w:r>
        <w:rPr>
          <w:noProof/>
        </w:rPr>
        <w:t xml:space="preserve">. Tuotantokapasiteetti on edelleen rajallinen, ja sitä on lisättävä. Samalla näiden polttoaineiden hintoja on alennettava. </w:t>
      </w:r>
    </w:p>
    <w:p w14:paraId="638FA141" w14:textId="3573C312" w:rsidR="0067392F" w:rsidRDefault="002C7790" w:rsidP="009029CA">
      <w:pPr>
        <w:rPr>
          <w:noProof/>
        </w:rPr>
      </w:pPr>
      <w:r>
        <w:rPr>
          <w:b/>
          <w:noProof/>
        </w:rPr>
        <w:t>EU:n teollisuusprosesseista peräisin olevasta ylijäämäenergiasta voitaisiin tuottaa orgaaniseen Rankine-prosessiin (ORC) perustuvissa voimalaitoksissa 150 terawattituntia sähköä vuosittain</w:t>
      </w:r>
      <w:r>
        <w:rPr>
          <w:noProof/>
        </w:rPr>
        <w:t xml:space="preserve">. EU:n valmistajat ovat johtavia toimijoita maailmanmarkkinoilla, mutta käyttöönoton lisäämiselle unionissa on edelleen esteitä, kuten pitkät takaisinmaksuajat. </w:t>
      </w:r>
      <w:r>
        <w:rPr>
          <w:noProof/>
        </w:rPr>
        <w:br w:type="page"/>
      </w:r>
    </w:p>
    <w:p w14:paraId="3B3F9965" w14:textId="31C024C6" w:rsidR="004E765E" w:rsidRPr="009029CA" w:rsidRDefault="004E765E" w:rsidP="009029CA">
      <w:pPr>
        <w:pStyle w:val="Heading1"/>
        <w:spacing w:before="0" w:after="160"/>
        <w:rPr>
          <w:noProof/>
        </w:rPr>
      </w:pPr>
      <w:bookmarkStart w:id="4" w:name="_Toc194657166"/>
      <w:r>
        <w:rPr>
          <w:noProof/>
        </w:rPr>
        <w:t>Johdanto</w:t>
      </w:r>
      <w:bookmarkEnd w:id="4"/>
    </w:p>
    <w:p w14:paraId="49FE5B37" w14:textId="0D9587ED" w:rsidR="00382E36" w:rsidRPr="00382E36" w:rsidRDefault="0209E5E4" w:rsidP="009029CA">
      <w:pPr>
        <w:rPr>
          <w:noProof/>
        </w:rPr>
      </w:pPr>
      <w:r>
        <w:rPr>
          <w:noProof/>
        </w:rPr>
        <w:t xml:space="preserve">Puhdas energiateknologia on yksi keskeisistä tekijöistä, joiden avulla EU voi saavuttaa ilmastoneutraaliuden vuoteen 2050 mennessä, vahvistaa energian toimitusvarmuuttaan ja parantaa kilpailukykyään. </w:t>
      </w:r>
      <w:r>
        <w:rPr>
          <w:b/>
          <w:noProof/>
        </w:rPr>
        <w:t>Viime vuosikymmeninä unionilla on ollut keskeinen rooli puhtaiden teknologioiden, kuten aurinko- ja tuulienergian, käyttöönotossa</w:t>
      </w:r>
      <w:r>
        <w:rPr>
          <w:noProof/>
        </w:rPr>
        <w:t>. Vuonna 2024 uusiutuvien energialähteiden osuus EU:n sähköntuotannosta oli 48 prosenttia. Tämä osoittaa, että puhtaiden energiateknologioiden kilpailukyky ja taloudellinen merkitys kasvaa fossiilisiin energialähteisiin verrattuna. Jotta Eurooppa voi saavuttaa vuodeksi 2030 ja sen jälkeiseksi ajaksi asetetut kasvihuonekaasupäästöjen vähentämistavoitteensa, sen on jatkettava tämän suuntaista työtä ja tehostettava toimiaan.</w:t>
      </w:r>
    </w:p>
    <w:p w14:paraId="3DFE30B6" w14:textId="3C8C4F03" w:rsidR="00382E36" w:rsidRPr="00382E36" w:rsidRDefault="007E2025" w:rsidP="009029CA">
      <w:pPr>
        <w:rPr>
          <w:noProof/>
        </w:rPr>
      </w:pPr>
      <w:r>
        <w:rPr>
          <w:b/>
          <w:noProof/>
        </w:rPr>
        <w:t>Samaan aikaan EU:n teollisuuden kilpailukykyyn kohdistuu entistä suurempi paine nettonollateknologioiden alalla.</w:t>
      </w:r>
      <w:r>
        <w:rPr>
          <w:noProof/>
        </w:rPr>
        <w:t xml:space="preserve"> Johtoasema EU:ssa kehitetyissä teknologioissa ja tällaisten teknologioiden valmistus ovat entistä enemmän siirtymässä muihin suuriin talouksiin, kuten Kiinaan ja Yhdysvaltoihin, jotka laajentavat tuotantokapasiteettiaan. </w:t>
      </w:r>
    </w:p>
    <w:p w14:paraId="5B9F86E3" w14:textId="1C58168F" w:rsidR="00382E36" w:rsidRPr="00382E36" w:rsidRDefault="77D0CAB9" w:rsidP="009029CA">
      <w:pPr>
        <w:rPr>
          <w:noProof/>
        </w:rPr>
      </w:pPr>
      <w:r>
        <w:rPr>
          <w:b/>
          <w:noProof/>
        </w:rPr>
        <w:t>Kilpailukyvystä on tullut EU:n politiikan painopiste, myös nettonollateknologioiden alalla</w:t>
      </w:r>
      <w:r>
        <w:rPr>
          <w:noProof/>
        </w:rPr>
        <w:t>. Huhtikuussa 2024 kokoontuneen Eurooppa-neuvoston päätelmissä kehotettiin EU:ta parantamaan kilpailukykyään.</w:t>
      </w:r>
      <w:r w:rsidRPr="01FFD40E">
        <w:rPr>
          <w:noProof/>
          <w:vertAlign w:val="superscript"/>
          <w:lang w:val="en-IE"/>
        </w:rPr>
        <w:footnoteReference w:id="2"/>
      </w:r>
      <w:r>
        <w:rPr>
          <w:noProof/>
        </w:rPr>
        <w:t xml:space="preserve"> Uudessa kilpailukykykompassissa esitetään joukko toimenpiteitä EU:n kilpailukyvyn vahvistamiseksi tulevina vuosina sisämarkkinoita ja kilpailukykyä koskevan vuosikertomuksen havaintojen ja Draghin raportissa esitetyn perusteellisen analyysin pohjalta.</w:t>
      </w:r>
      <w:r w:rsidR="00167215">
        <w:rPr>
          <w:rStyle w:val="FootnoteReference"/>
          <w:noProof/>
          <w:lang w:val="en-IE"/>
        </w:rPr>
        <w:footnoteReference w:id="3"/>
      </w:r>
      <w:r>
        <w:rPr>
          <w:noProof/>
        </w:rPr>
        <w:t xml:space="preserve"> Draghin raportissa korostetaan taloudellisia mahdollisuuksia, joita EU:lle on tarjolla puhtaan teknologian alan innovaatiojohtajana.</w:t>
      </w:r>
      <w:r w:rsidR="0052635F" w:rsidRPr="00382E36">
        <w:rPr>
          <w:noProof/>
          <w:vertAlign w:val="superscript"/>
          <w:lang w:val="en-IE"/>
        </w:rPr>
        <w:footnoteReference w:id="4"/>
      </w:r>
      <w:r>
        <w:rPr>
          <w:noProof/>
        </w:rPr>
        <w:t xml:space="preserve"> Raportissa luetellaan tärkeimmät esteet, jotka haittaavat EU:n kilpailukykyä, ja kehotetaan laatimaan yhdenmukainen ja kohdennettu strategia, jossa otetaan huomioon eri teollisuudenalojen väliset erot. Sekä Draghin että Lettan raporteissa mainitaan myös, että on tärkeää vahvistaa samalla energian sisämarkkinoita ja niihin liittyviä infrastruktuureja, jotta voidaan hyödyntää EU:n mahdollisuudet uusiutuvan energian alalla ja taata varma ja kohtuuhintainen energia EU:n teollisuudelle.</w:t>
      </w:r>
      <w:r w:rsidR="0052635F" w:rsidRPr="00382E36">
        <w:rPr>
          <w:noProof/>
          <w:vertAlign w:val="superscript"/>
          <w:lang w:val="en-IE"/>
        </w:rPr>
        <w:footnoteReference w:id="5"/>
      </w:r>
      <w:r>
        <w:rPr>
          <w:noProof/>
        </w:rPr>
        <w:t xml:space="preserve"> </w:t>
      </w:r>
    </w:p>
    <w:p w14:paraId="1206AB54" w14:textId="4C411D97" w:rsidR="00382E36" w:rsidRDefault="0209E5E4" w:rsidP="009029CA">
      <w:pPr>
        <w:rPr>
          <w:noProof/>
        </w:rPr>
      </w:pPr>
      <w:r>
        <w:rPr>
          <w:noProof/>
        </w:rPr>
        <w:t xml:space="preserve">EU:n strategisen riippumattomuuden tukemiseksi ja sen teollisen perustan turvaamiseksi ja innovaatiopotentiaalin ylläpitämiseksi on </w:t>
      </w:r>
      <w:r>
        <w:rPr>
          <w:b/>
          <w:noProof/>
        </w:rPr>
        <w:t>olennaisen tärkeää, että nykyisiä ja tulevaisuuden nettonollateknologioita valmistetaan Euroopassa</w:t>
      </w:r>
      <w:r>
        <w:rPr>
          <w:noProof/>
        </w:rPr>
        <w:t xml:space="preserve">. </w:t>
      </w:r>
      <w:r>
        <w:rPr>
          <w:b/>
          <w:noProof/>
        </w:rPr>
        <w:t>Puhtaan teollisen kehityksen ohjelma on uusi suunnitelma unionin vaurauden ja kilpailukyvyn varmistamiseksi</w:t>
      </w:r>
      <w:r>
        <w:rPr>
          <w:noProof/>
        </w:rPr>
        <w:t>.</w:t>
      </w:r>
      <w:r w:rsidR="0052635F" w:rsidRPr="00382E36">
        <w:rPr>
          <w:noProof/>
          <w:vertAlign w:val="superscript"/>
          <w:lang w:val="en-IE"/>
        </w:rPr>
        <w:footnoteReference w:id="6"/>
      </w:r>
      <w:r>
        <w:rPr>
          <w:noProof/>
        </w:rPr>
        <w:t xml:space="preserve"> Sen avulla komissio parantaa EU:n teollisuuden mahdollisuuksia saada rahoitusta, materiaalivirtoja ja ammattitaitoista työvoimaa samalla kun luodaan uusia edelläkävijämarkkinoita ja parannetaan arvoketjujen häiriönsietokykyä. Samaan aikaan komissio aikoo toteuttaa ennennäkemättömiä yksinkertaistamistoimia yrityksiin kohdistuvan taakan vähentämiseksi. Tämä tasoittaa tietä kilpailukykyisemmälle teollisuudelle ja laadukkaille työpaikoille erityisesti puhtaiden ja strategisten teknologioiden aloilla.</w:t>
      </w:r>
    </w:p>
    <w:p w14:paraId="139EAEFC" w14:textId="09F1A802" w:rsidR="00203196" w:rsidRPr="00382E36" w:rsidRDefault="00685911" w:rsidP="00C851BC">
      <w:pPr>
        <w:rPr>
          <w:noProof/>
        </w:rPr>
      </w:pPr>
      <w:r>
        <w:rPr>
          <w:b/>
          <w:noProof/>
        </w:rPr>
        <w:t>Kohtuuhintaisen energian saatavuus on EU:n kilpailukyvyn kannalta keskeinen tekijä ja myös uuden kohtuuhintaista energiaa koskevan toimintasuunnitelman</w:t>
      </w:r>
      <w:r w:rsidR="005C4C78" w:rsidRPr="005D2CA5">
        <w:rPr>
          <w:rStyle w:val="FootnoteReference"/>
          <w:bCs/>
          <w:noProof/>
          <w:lang w:val="en-IE"/>
        </w:rPr>
        <w:footnoteReference w:id="7"/>
      </w:r>
      <w:r>
        <w:rPr>
          <w:b/>
          <w:noProof/>
        </w:rPr>
        <w:t xml:space="preserve"> keskeinen tavoite</w:t>
      </w:r>
      <w:r>
        <w:rPr>
          <w:noProof/>
        </w:rPr>
        <w:t>. Toimintasuunnitelma täydentää puhtaan teollisen kehityksen ohjelmaa, ja siinä esitetään toimenpiteitä teollisuuden, yritysten ja kotitalouksien energiakustannusten alentamiseksi ja tarvittavien rakenneuudistusten nopeuttamiseksi. Suunnitelman tavoitteena on nopeuttaa siirtymistä kohtuuhintaiseen, puhtaaseen ja unionin sisällä tuotettuun energiaan tässä kertomuksessa käsiteltyjen teknologioiden pohjalta. Toimintasuunnitelman tarkoituksena on saattaa energiaunioni valmiiksi ja varmistaa täysin yhdentyneet energian sisämarkkinat ja tarvittavat fyysiset yhteenliitännät.</w:t>
      </w:r>
    </w:p>
    <w:p w14:paraId="5C9F8AD9" w14:textId="54A66E2D" w:rsidR="00382E36" w:rsidRPr="00382E36" w:rsidRDefault="0209E5E4">
      <w:pPr>
        <w:rPr>
          <w:noProof/>
        </w:rPr>
      </w:pPr>
      <w:r>
        <w:rPr>
          <w:b/>
          <w:noProof/>
        </w:rPr>
        <w:t>Tämä kertomus tarjoaa näyttöön perustuvaa seurantatietoa ja neuvontaa puhtaiden energiateknologioiden ja niiden valmistajien kilpailukyvystä Euroopassa</w:t>
      </w:r>
      <w:r>
        <w:rPr>
          <w:noProof/>
        </w:rPr>
        <w:t>. Kertomuksen merkitystä vahvistaa edelleen se, että vuonna 2024 voimaan tulleessa nettonollateollisuussäädöksessä kertomus nimetään ensisijaiseksi välineeksi, jolla seurataan EU:n edistymistä säädöksessä asetettujen tuotantotavoitteiden saavuttamisessa. Nettonollateollisuussäädöksen avulla EU pyrkii vahvistamaan keskeisten puhtaiden teknologioiden sisäistä valmistuskapasiteettiaan ja parantamaan teollisuuden kilpailukykyä ja häiriönsietokykyä. Tavoitteena on vähentää riippuvuutta ulkoisista toimijoista saavuttamalla valmistuskapasiteetti, joka on vähintään 40 prosenttia EU:n vuoteen 2030 ulottuvien ilmasto- ja energiatavoitteiden saavuttamiseksi tarvittavien teknologioiden vuotuisista käyttöönottotarpeista, sekä saavuttaa vuoteen 2040 mennessä 15 prosentin osuus maailmanlaajuisesta tuotannosta.</w:t>
      </w:r>
      <w:r w:rsidR="0052635F" w:rsidRPr="00382E36">
        <w:rPr>
          <w:noProof/>
          <w:vertAlign w:val="superscript"/>
          <w:lang w:val="en-IE"/>
        </w:rPr>
        <w:footnoteReference w:id="8"/>
      </w:r>
      <w:r>
        <w:rPr>
          <w:noProof/>
        </w:rPr>
        <w:t xml:space="preserve"> </w:t>
      </w:r>
    </w:p>
    <w:p w14:paraId="6F9E9D11" w14:textId="45B1EDB5" w:rsidR="00382E36" w:rsidRPr="00382E36" w:rsidRDefault="00382E36" w:rsidP="009029CA">
      <w:pPr>
        <w:rPr>
          <w:noProof/>
        </w:rPr>
      </w:pPr>
      <w:r>
        <w:rPr>
          <w:noProof/>
        </w:rPr>
        <w:t>Kertomuksen ensimmäisessä osassa esitetään yleistä tietoa EU:n koko nettonollateknologia-alan kilpailukyvyn kannalta keskeisistä kysymyksistä. Siinä käsitellään muun muassa energiakustannuksia, valmistusteollisuutta, teollisuuden hiilestä irtautumista, osaamista, investointisuuntauksia, tutkimusta ja innovointia sekä maailmanlaajuista toimintaympäristöä. Kertomuksen toisessa osassa kartoitetaan EU:n teollisuuden kilpailukykyä 15</w:t>
      </w:r>
      <w:r w:rsidR="00753A83">
        <w:rPr>
          <w:noProof/>
        </w:rPr>
        <w:t> </w:t>
      </w:r>
      <w:r>
        <w:rPr>
          <w:noProof/>
        </w:rPr>
        <w:t>nettonollateknologian alalla ja tuodaan esiin näihin teknologioihin liittyvien arvoketjujen vahvuuksia ja heikkouksia.</w:t>
      </w:r>
    </w:p>
    <w:p w14:paraId="5088CDE7" w14:textId="038C988F" w:rsidR="00931E93" w:rsidRPr="009029CA" w:rsidRDefault="00382E36" w:rsidP="009029CA">
      <w:pPr>
        <w:rPr>
          <w:noProof/>
        </w:rPr>
      </w:pPr>
      <w:r>
        <w:rPr>
          <w:noProof/>
        </w:rPr>
        <w:t>Tämä on viides painos tästä kilpailukykyä koskevasta edistymiskertomuksesta. Kertomus on julkaistu vuodesta 2020 lähtien energiaunionin ja ilmastotoimien hallinnosta annetun asetuksen 35 artiklan 2 kohdan m alakohdan mukaisesti. Kertomus perustuu puhtaan energiateknologian seurantakeskuksen (CETO) tietoihin.</w:t>
      </w:r>
      <w:r w:rsidR="0052635F" w:rsidRPr="00382E36">
        <w:rPr>
          <w:noProof/>
          <w:vertAlign w:val="superscript"/>
          <w:lang w:val="en-IE"/>
        </w:rPr>
        <w:footnoteReference w:id="9"/>
      </w:r>
    </w:p>
    <w:p w14:paraId="65254278" w14:textId="77777777" w:rsidR="001738BB" w:rsidRPr="009029CA" w:rsidRDefault="001738BB" w:rsidP="009029CA">
      <w:pPr>
        <w:rPr>
          <w:noProof/>
          <w:lang w:val="en-IE"/>
        </w:rPr>
      </w:pPr>
    </w:p>
    <w:p w14:paraId="2E9ECD0C" w14:textId="00955089" w:rsidR="004E765E" w:rsidRPr="009029CA" w:rsidRDefault="004E765E" w:rsidP="009029CA">
      <w:pPr>
        <w:pStyle w:val="Heading1"/>
        <w:spacing w:before="0" w:after="160"/>
        <w:rPr>
          <w:noProof/>
        </w:rPr>
      </w:pPr>
      <w:bookmarkStart w:id="5" w:name="_Toc194657167"/>
      <w:r>
        <w:rPr>
          <w:noProof/>
        </w:rPr>
        <w:t>EU:n puhtaan energian alan kilpailukyvyn arviointi</w:t>
      </w:r>
      <w:bookmarkEnd w:id="5"/>
      <w:r>
        <w:rPr>
          <w:noProof/>
        </w:rPr>
        <w:t xml:space="preserve"> </w:t>
      </w:r>
    </w:p>
    <w:p w14:paraId="1D2D1682" w14:textId="45352265" w:rsidR="004E765E" w:rsidRPr="009029CA" w:rsidRDefault="00C42AA2" w:rsidP="009029CA">
      <w:pPr>
        <w:pStyle w:val="Heading2"/>
        <w:spacing w:after="160"/>
        <w:rPr>
          <w:noProof/>
        </w:rPr>
      </w:pPr>
      <w:bookmarkStart w:id="6" w:name="_Toc194657168"/>
      <w:r>
        <w:rPr>
          <w:noProof/>
        </w:rPr>
        <w:t>Maailmantalouden tilanne ja EU:n nettonollateknologia-alan kilpailukyky</w:t>
      </w:r>
      <w:bookmarkEnd w:id="6"/>
    </w:p>
    <w:p w14:paraId="37A1C906" w14:textId="1C4F7146" w:rsidR="006B13B3" w:rsidRPr="009029CA" w:rsidRDefault="004E765E" w:rsidP="009029CA">
      <w:pPr>
        <w:pStyle w:val="Heading3"/>
        <w:spacing w:after="160"/>
        <w:rPr>
          <w:noProof/>
        </w:rPr>
      </w:pPr>
      <w:bookmarkStart w:id="7" w:name="_Toc194657169"/>
      <w:r>
        <w:rPr>
          <w:noProof/>
        </w:rPr>
        <w:t>Energian hintojen ja kustannusten kehitys</w:t>
      </w:r>
      <w:bookmarkEnd w:id="7"/>
    </w:p>
    <w:p w14:paraId="0789DF4E" w14:textId="6E19E0C7" w:rsidR="00725921" w:rsidRPr="00B27A5E" w:rsidRDefault="00725921" w:rsidP="00725921">
      <w:pPr>
        <w:rPr>
          <w:b/>
          <w:bCs/>
          <w:noProof/>
        </w:rPr>
      </w:pPr>
      <w:r>
        <w:rPr>
          <w:noProof/>
        </w:rPr>
        <w:t>EU:n energiamarkkinoiden tilanne parani vuosina 2023 ja 2024.</w:t>
      </w:r>
      <w:r>
        <w:rPr>
          <w:b/>
          <w:noProof/>
        </w:rPr>
        <w:t xml:space="preserve"> </w:t>
      </w:r>
      <w:r>
        <w:rPr>
          <w:noProof/>
        </w:rPr>
        <w:t xml:space="preserve">Energian hinnat olivat huomattavasti alhaisemmat kuin vuonna 2022, mutta ne pysyivät kuitenkin kriisiä edeltäneen tason yläpuolella ja olivat huomattavasti korkeammat kuin kilpailevilla alueilla. Kaasun tuonnin monipuolistaminen ja uusiutuvan energian tuotantokapasiteetin lisääminen yhdessä pienemmän kulutuksen kanssa auttoivat alentamaan kaasun ja sähkön tukkuhintoja. </w:t>
      </w:r>
    </w:p>
    <w:p w14:paraId="4F485D38" w14:textId="39076B3E" w:rsidR="00725921" w:rsidRPr="00B27A5E" w:rsidRDefault="1A780E5A" w:rsidP="00725921">
      <w:pPr>
        <w:rPr>
          <w:rFonts w:eastAsia="Times New Roman"/>
          <w:noProof/>
        </w:rPr>
      </w:pPr>
      <w:r>
        <w:rPr>
          <w:noProof/>
        </w:rPr>
        <w:t>Kaasun tukkuhinnat</w:t>
      </w:r>
      <w:r>
        <w:rPr>
          <w:rFonts w:ascii="Montserrat" w:hAnsi="Montserrat"/>
          <w:noProof/>
          <w:sz w:val="18"/>
        </w:rPr>
        <w:t xml:space="preserve"> </w:t>
      </w:r>
      <w:r>
        <w:rPr>
          <w:noProof/>
        </w:rPr>
        <w:t>olivat vuonna 2024 alhaisemmat kuin vuonna 2023 ja huomattavasti alhaisemmat kuin ensimmäisinä kuukausina sen jälkeen, kun Venäjä hyökkäsi Ukrainaan vuonna 2022. Ne pysyivät kuitenkin korkeampina kuin ennen kriisiä. Vuonna 2024 kaasun keskimääräinen tukkuhinta vakiintui 34 euroon megawattitunnilta. Vaikka hinnat laskivat lähes 30 euroon megawattitunnilta vuoden ensimmäisellä puoliskolla, ne nousivat tasaisesti 35–45 euroon megawattitunnilta vuoden 2024 loppuun mennessä ja nousivat jälleen vuoden 2025 alussa.</w:t>
      </w:r>
    </w:p>
    <w:p w14:paraId="262D1BCA" w14:textId="4C7F9874" w:rsidR="00725921" w:rsidRPr="009029CA" w:rsidRDefault="00725921" w:rsidP="00725921">
      <w:pPr>
        <w:rPr>
          <w:rFonts w:eastAsia="Times New Roman"/>
          <w:noProof/>
        </w:rPr>
      </w:pPr>
      <w:r>
        <w:rPr>
          <w:noProof/>
        </w:rPr>
        <w:t>Sähkömarkkinoiden perustekijöiden positiivinen kehitys jatkui vuonna 2024, mikä johti sähkön tukkuhintojen alenemiseen. Alhaisemmat kaasun hinnat, vaimea kysyntä ja uusiutuvan energian ja ydinvoiman lisääntynyt tuotanto auttoivat alentamaan sähkön tukkuhintoja kaikilla EU:n markkinoilla. Euroopan sähkön vertailuarvo oli keskimäärin 95 euroa megawattitunnilta vuonna 2023, mikä on 57 prosenttia vähemmän kuin vuonna 2022. Vuoden 2024 kolmella ensimmäisellä neljänneksellä keskiarvo laski 70 euroon megawattitunnilta, mutta hinnat nousivat jälleen viimeisellä neljänneksellä. Kaiken kaikkiaan vuoden 2024 keskiarvo oli 76 euroa megawattitunnilta. Vuonna 2024 EU:n sähkönkulutus kasvoi hieman (+2 %) teollisen kysynnän hienoisen kasvun myötä.</w:t>
      </w:r>
      <w:r>
        <w:rPr>
          <w:b/>
          <w:noProof/>
        </w:rPr>
        <w:t xml:space="preserve"> </w:t>
      </w:r>
    </w:p>
    <w:p w14:paraId="2B8FE42F" w14:textId="54050ED5" w:rsidR="00725921" w:rsidRPr="00B27A5E" w:rsidRDefault="567BD591" w:rsidP="00B27A5E">
      <w:pPr>
        <w:rPr>
          <w:rFonts w:eastAsia="Times New Roman"/>
          <w:noProof/>
        </w:rPr>
      </w:pPr>
      <w:r>
        <w:rPr>
          <w:noProof/>
        </w:rPr>
        <w:t>Energiakriisistä johtunut sähkön tukkuhintojen merkittävä nousu siirtyi loppukuluttajille, joissakin tapauksissa viiveellä. Tämän seurauksena kotitalouksien sähkön vähittäishinnat nousivat vuonna 2022 ja osittain myös vuonna 2023.</w:t>
      </w:r>
      <w:r w:rsidR="004A51D5">
        <w:rPr>
          <w:rStyle w:val="FootnoteReference"/>
          <w:rFonts w:eastAsia="Times New Roman"/>
          <w:noProof/>
        </w:rPr>
        <w:footnoteReference w:id="10"/>
      </w:r>
      <w:r>
        <w:rPr>
          <w:noProof/>
        </w:rPr>
        <w:t xml:space="preserve"> EU:n toimien mukaisesti jäsenvaltiot ottivat käyttöön väliaikaisia toimenpiteitä, joilla pyrittiin lieventämään korkeiden hintojen vaikutusta kuluttajiin. Korkeat hinnat olivat kuitenkin edelleen ongelma erityisesti heikossa asemassa oleville kuluttajille. Kotitalouksien vähittäishintojen kehitys vuonna 2024 osoittaa, että hinnat ovat kaikkialla EU:ssa laskeneet hieman tai pysyneet vuoden 2023 hintojen tasolla. </w:t>
      </w:r>
    </w:p>
    <w:p w14:paraId="4A31A3B5" w14:textId="1A75C64B" w:rsidR="00725921" w:rsidRDefault="00725921" w:rsidP="00725921">
      <w:pPr>
        <w:rPr>
          <w:noProof/>
        </w:rPr>
      </w:pPr>
      <w:r>
        <w:rPr>
          <w:noProof/>
        </w:rPr>
        <w:t>Teollisuuskäyttäjien sähkön hinnat laskivat merkittävästi vuoden 2024 alkupuoliskolla verrattuna vuoden 2023 vastaavaan ajanjaksoon. Lasku vaihteli eri kulutusluokissa 13 prosentista 27 prosenttiin (ilman veroja) tai 6 prosentista 27 prosenttiin (ei-palautettavat verot mukaan luettuna)</w:t>
      </w:r>
      <w:r w:rsidR="00CC7686">
        <w:rPr>
          <w:rStyle w:val="FootnoteReference"/>
          <w:noProof/>
          <w:lang w:val="en-IE"/>
        </w:rPr>
        <w:footnoteReference w:id="11"/>
      </w:r>
      <w:r>
        <w:rPr>
          <w:noProof/>
        </w:rPr>
        <w:t>, mikä vahvisti vuonna 2023 alkanutta laskusuuntausta. EU:n teollisuuden sähkön hinnat ovat kuitenkin tällä hetkellä noin kaksi kertaa korkeammat kuin Yhdysvalloissa tai Kiinassa. Vuonna 2024 keskimääräinen hinta oli 0,16 euroa kilowattitunnilta</w:t>
      </w:r>
      <w:r w:rsidR="00DA7C5E">
        <w:rPr>
          <w:rStyle w:val="FootnoteReference"/>
          <w:noProof/>
          <w:lang w:val="en-IE"/>
        </w:rPr>
        <w:footnoteReference w:id="12"/>
      </w:r>
      <w:r>
        <w:rPr>
          <w:noProof/>
        </w:rPr>
        <w:t>.</w:t>
      </w:r>
    </w:p>
    <w:p w14:paraId="6D67B8AD" w14:textId="5E1242C3" w:rsidR="009E6D46" w:rsidRPr="006D05CC" w:rsidRDefault="00725921" w:rsidP="006D05CC">
      <w:pPr>
        <w:autoSpaceDE w:val="0"/>
        <w:autoSpaceDN w:val="0"/>
        <w:adjustRightInd w:val="0"/>
        <w:rPr>
          <w:rFonts w:eastAsia="Times New Roman"/>
          <w:noProof/>
          <w:kern w:val="0"/>
          <w14:ligatures w14:val="none"/>
        </w:rPr>
      </w:pPr>
      <w:r>
        <w:rPr>
          <w:noProof/>
        </w:rPr>
        <w:t>Uusiutuvan energian osuus EU:n sähköntuotannosta kasvoi ennätykselliseen 48 prosenttiin vuonna 2024 (verrattuna 45 prosenttiin vuonna 2023 ja 41 prosenttiin vuonna 2022</w:t>
      </w:r>
      <w:r w:rsidR="00D03249" w:rsidRPr="009E6D46">
        <w:rPr>
          <w:rStyle w:val="FootnoteReference"/>
          <w:noProof/>
          <w:lang w:val="en-IE"/>
        </w:rPr>
        <w:footnoteReference w:id="13"/>
      </w:r>
      <w:r>
        <w:rPr>
          <w:noProof/>
        </w:rPr>
        <w:t>), kun taas fossiilisten polttoaineiden osuus laski merkittävästi 24 prosenttiin (vuoden 2023 28 prosentista). Aurinko- ja merituulivoiman tuotanto kasvoi merkittävästi vuonna 2024: merituulivoima kasvoi 17 prosenttia (+9 TWh) ja aurinkoenergia 19 prosenttia (+37 TWh). Vesivoiman tuotanto kasvoi 7 prosenttia (+22 TWh), kun taas maatuulivoiman tuotanto pysyi suunnilleen vakaana (–1 TWh) ja ydinvoiman tuotanto kasvoi 5 prosenttia (+29 TWh) samalla ajanjaksolla.</w:t>
      </w:r>
      <w:r w:rsidRPr="009E6D46">
        <w:rPr>
          <w:rStyle w:val="FootnoteReference"/>
          <w:noProof/>
          <w:lang w:val="en-IE"/>
        </w:rPr>
        <w:footnoteReference w:id="14"/>
      </w:r>
      <w:r>
        <w:rPr>
          <w:noProof/>
        </w:rPr>
        <w:t xml:space="preserve"> Samaan aikaan sähköistyminen ei ole nopeutunut, vaan sähkön osuus energiapaletista on pysynyt noin 20 prosentissa vuodesta 2000 lähtien.</w:t>
      </w:r>
      <w:r w:rsidR="000F4779" w:rsidRPr="009E6D46">
        <w:rPr>
          <w:rStyle w:val="FootnoteReference"/>
          <w:noProof/>
          <w:lang w:val="en-IE"/>
        </w:rPr>
        <w:footnoteReference w:id="15"/>
      </w:r>
    </w:p>
    <w:p w14:paraId="36AB3F71" w14:textId="7C58573B" w:rsidR="00EF0750" w:rsidRPr="009029CA" w:rsidRDefault="00EF0750" w:rsidP="00725921">
      <w:pPr>
        <w:rPr>
          <w:noProof/>
        </w:rPr>
      </w:pPr>
      <w:r>
        <w:rPr>
          <w:noProof/>
        </w:rPr>
        <w:t xml:space="preserve">Kaaviossa 1 esitetään arvio </w:t>
      </w:r>
      <w:r>
        <w:rPr>
          <w:b/>
          <w:noProof/>
        </w:rPr>
        <w:t>energian tasoitetuista kokonaistuotantokustannuksista (LCOE) EU:ssa</w:t>
      </w:r>
      <w:r w:rsidR="00847F4D" w:rsidRPr="00A56209">
        <w:rPr>
          <w:rStyle w:val="FootnoteReference"/>
          <w:noProof/>
          <w:lang w:val="en-IE"/>
        </w:rPr>
        <w:footnoteReference w:id="16"/>
      </w:r>
      <w:r>
        <w:rPr>
          <w:noProof/>
        </w:rPr>
        <w:t xml:space="preserve">, joka perustuu kunkin jäsenvaltion sähköjärjestelmien erityispiirteisiin vuonna 2023. Investointi-, toiminta- ja ylläpitokustannukset nousivat vuonna 2023 inflaation ja kasvaneiden materiaali- ja työvoimakustannusten vuoksi. Korkea inflaatio ja korkeat korot vaikuttivat merkittävästi investointipäätöksiin tai viivästyttivät niitä vuonna 2023 sekä hankkeiden toteuttajien että valmistajien osalta. </w:t>
      </w:r>
    </w:p>
    <w:p w14:paraId="05FD7F8D" w14:textId="64177C26" w:rsidR="00EF0750" w:rsidRPr="00780855" w:rsidRDefault="00EF0750" w:rsidP="00780855">
      <w:pPr>
        <w:keepNext/>
        <w:keepLines/>
        <w:jc w:val="center"/>
        <w:rPr>
          <w:i/>
          <w:iCs/>
          <w:noProof/>
        </w:rPr>
      </w:pPr>
      <w:bookmarkStart w:id="8" w:name="_Ref168475485"/>
      <w:bookmarkStart w:id="9" w:name="_Hlk178346836"/>
      <w:r>
        <w:rPr>
          <w:b/>
          <w:i/>
          <w:noProof/>
        </w:rPr>
        <w:t>Kaavio </w:t>
      </w:r>
      <w:r w:rsidRPr="00780855">
        <w:rPr>
          <w:b/>
          <w:i/>
          <w:noProof/>
        </w:rPr>
        <w:fldChar w:fldCharType="begin"/>
      </w:r>
      <w:r w:rsidRPr="00780855">
        <w:rPr>
          <w:b/>
          <w:i/>
          <w:noProof/>
        </w:rPr>
        <w:instrText xml:space="preserve"> SEQ Figure \* ARABIC </w:instrText>
      </w:r>
      <w:r w:rsidRPr="00780855">
        <w:rPr>
          <w:b/>
          <w:i/>
          <w:noProof/>
        </w:rPr>
        <w:fldChar w:fldCharType="separate"/>
      </w:r>
      <w:r w:rsidRPr="00780855">
        <w:rPr>
          <w:b/>
          <w:i/>
          <w:noProof/>
        </w:rPr>
        <w:t>1</w:t>
      </w:r>
      <w:r w:rsidRPr="00780855">
        <w:rPr>
          <w:b/>
          <w:i/>
          <w:noProof/>
        </w:rPr>
        <w:fldChar w:fldCharType="end"/>
      </w:r>
      <w:bookmarkEnd w:id="8"/>
      <w:r>
        <w:rPr>
          <w:i/>
          <w:noProof/>
        </w:rPr>
        <w:t>: Tilannekatsaus teknologiakohtaisiin energian tasoitettuihin kokonaistuotantokustannuksiin (LCOE) vuonna 2023. Siniset viivat kuvaavat mediaania ja vaaleansiniset pylväät osoittavat 25 prosentin vaihteluvälin eri puolilla EU:ta, mikä antaa käsityksen jäsenvaltioiden välisistä eroista.</w:t>
      </w:r>
    </w:p>
    <w:p w14:paraId="6912E4F7" w14:textId="716E0472" w:rsidR="00EF0750" w:rsidRPr="00EF0750" w:rsidRDefault="005318ED" w:rsidP="009029CA">
      <w:pPr>
        <w:jc w:val="center"/>
        <w:rPr>
          <w:i/>
          <w:iCs/>
          <w:noProof/>
        </w:rPr>
      </w:pPr>
      <w:r w:rsidRPr="005318ED">
        <w:rPr>
          <w:noProof/>
          <w:lang w:val="en-GB" w:eastAsia="en-GB"/>
        </w:rPr>
        <w:drawing>
          <wp:inline distT="0" distB="0" distL="0" distR="0" wp14:anchorId="6C2094B8" wp14:editId="20212048">
            <wp:extent cx="5244999" cy="3153258"/>
            <wp:effectExtent l="0" t="0" r="0" b="9525"/>
            <wp:docPr id="10057247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479" b="3830"/>
                    <a:stretch/>
                  </pic:blipFill>
                  <pic:spPr bwMode="auto">
                    <a:xfrm>
                      <a:off x="0" y="0"/>
                      <a:ext cx="5259456" cy="3161950"/>
                    </a:xfrm>
                    <a:prstGeom prst="rect">
                      <a:avLst/>
                    </a:prstGeom>
                    <a:noFill/>
                    <a:ln>
                      <a:noFill/>
                    </a:ln>
                    <a:extLst>
                      <a:ext uri="{53640926-AAD7-44D8-BBD7-CCE9431645EC}">
                        <a14:shadowObscured xmlns:a14="http://schemas.microsoft.com/office/drawing/2010/main"/>
                      </a:ext>
                    </a:extLst>
                  </pic:spPr>
                </pic:pic>
              </a:graphicData>
            </a:graphic>
          </wp:inline>
        </w:drawing>
      </w:r>
    </w:p>
    <w:p w14:paraId="14E6C009" w14:textId="77777777" w:rsidR="00EF0750" w:rsidRPr="004D0607" w:rsidRDefault="00EF0750" w:rsidP="00913358">
      <w:pPr>
        <w:spacing w:before="40"/>
        <w:jc w:val="center"/>
        <w:rPr>
          <w:i/>
          <w:noProof/>
          <w:sz w:val="18"/>
          <w:szCs w:val="18"/>
        </w:rPr>
      </w:pPr>
      <w:r>
        <w:rPr>
          <w:i/>
          <w:noProof/>
          <w:sz w:val="18"/>
        </w:rPr>
        <w:t>Lähde: JRC:n METIS-mallisimulaatio</w:t>
      </w:r>
      <w:r w:rsidRPr="00913358">
        <w:rPr>
          <w:bCs/>
          <w:i/>
          <w:iCs/>
          <w:noProof/>
          <w:sz w:val="18"/>
          <w:szCs w:val="18"/>
          <w:vertAlign w:val="superscript"/>
          <w:lang w:val="en-IE"/>
        </w:rPr>
        <w:footnoteReference w:id="17"/>
      </w:r>
    </w:p>
    <w:p w14:paraId="09129769" w14:textId="1CD0D2B3" w:rsidR="00EF0750" w:rsidRPr="00EF0750" w:rsidRDefault="00EF0750" w:rsidP="009029CA">
      <w:pPr>
        <w:rPr>
          <w:noProof/>
        </w:rPr>
      </w:pPr>
      <w:r>
        <w:rPr>
          <w:noProof/>
        </w:rPr>
        <w:t>Nousevista kustannuksista huolimatta teknologiatyypit, joiden muuttuvat kustannukset (mukaan lukien toimintakustannukset, kuten huolto- ja polttoainekustannukset) ovat alhaiset (esim. maatuuli- ja aurinkoenergia), ovat edelleen kustannuksiltaan kilpailukykyisempiä kuin tuotantoteknologiat, joiden muuttuvat kustannukset ovat korkeammat (esim. fossiiliset energialähteet, kuten kaasu ja kivihiili, joihin vaikuttavat polttoainekustannukset). Kaiken kaikkiaan uusiutuvat energialähteet ovat edelleen erittäin kustannuskilpailukykyisiä EU:ssa.</w:t>
      </w:r>
    </w:p>
    <w:p w14:paraId="29473ABD" w14:textId="52279676" w:rsidR="00EF0750" w:rsidRPr="00EF0750" w:rsidRDefault="00EF0750" w:rsidP="009029CA">
      <w:pPr>
        <w:rPr>
          <w:noProof/>
        </w:rPr>
      </w:pPr>
      <w:r>
        <w:rPr>
          <w:noProof/>
        </w:rPr>
        <w:t>Yksittäisen teknologian LCOE-arvoon vaikuttaa muun muassa kyseisen teknologian vuotuisen tuotantomäärän ja sen asennetun kapasiteetin välinen suhde. Mitä vähemmän teknologiaa käytetään, sitä suurempi sen LCOE-arvo on. Tästä syystä perinteisten teknologioiden, kuten ruskohiilen, avoimen kierron kaasuturbiinien (OCGT) ja kivihiilen LCOE-arvojen vaihteluväli on suurempi, koska niihin perustuva tuotanto on ollut joissakin jäsenvaltioissa vähäisempää. Sitä vastoin esimerkiksi maakaasukäyttöisten kombivoimalaitosten (CCGT) LCOE-arvojen vaihteluväli on hyvin pieni, koska CCGT-voimaloiden käyttöaste on useimmissa jäsenvaltioissa korkea.</w:t>
      </w:r>
    </w:p>
    <w:p w14:paraId="2CA522DA" w14:textId="3B452C58" w:rsidR="00EF0750" w:rsidRPr="00EF0750" w:rsidRDefault="00FB1673" w:rsidP="009029CA">
      <w:pPr>
        <w:rPr>
          <w:noProof/>
        </w:rPr>
      </w:pPr>
      <w:r>
        <w:rPr>
          <w:noProof/>
        </w:rPr>
        <w:t xml:space="preserve">Uusiutuvat energialähteet ovat edelleen kustannuksiltaan kaikkein kilpailukykyisimpiä teknologioita, kun taas CCGT nousi kustannuskilpailukykyisimmäksi lämpöteknologiaksi. Tämä suuntaus selittyy osittain sillä, että maakaasun hinnat laskivat merkittävästi edellisvuoteen verrattuna. Lisäksi vaikka vuonna 2022 kaasusta siirryttiin merkittävästi kivihiileen hintojen vaihtelun vuoksi, vuonna 2023 keskityttiin enemmän korkeampien kiinteiden kustannusten vaikutuksiin kaikkien teknologioiden osalta. </w:t>
      </w:r>
    </w:p>
    <w:p w14:paraId="7D712018" w14:textId="0AB21287" w:rsidR="002F479B" w:rsidRPr="009029CA" w:rsidRDefault="5322C238" w:rsidP="009029CA">
      <w:pPr>
        <w:rPr>
          <w:noProof/>
        </w:rPr>
      </w:pPr>
      <w:r>
        <w:rPr>
          <w:noProof/>
        </w:rPr>
        <w:t>Viimeisten kymmenen vuoden aikana eri tuotantoteknologioiden LCOE-arvot ovat muuttuneet Euroopassa merkittävästi useiden keskeisten tekijöiden vuoksi. Teknologian kehittyminen on lisännyt tehokkuutta ja kapasiteettia erityisesti aurinkosähkön ja tuulivoiman alalla, mikä on alentanut kustannuksia huomattavasti. Mittakaavaedut etenkin laajamittaisissa hankkeissa ja massatuotannossa ovat edelleen alentaneet uusiutuvan energian kustannuksia. Toimintapoliittiset tukitoimet, muun muassa tukipalkkiot, verokannustimet ja hiilen hinnoittelu, ovat kannustaneet ottamaan käyttöön puhtaampia energialähteitä ja samalla lisänneet fossiilisiin polttoaineisiin, kuten kivihiileen ja maakaasuun, liittyviä kustannuksia. Toimitusketjujen ja valmistusprosessien parantuminen on lisännyt uusiutuvan energian teknologioiden yleistä kilpailukykyä. Näiden tekijöiden yhteisvaikutukset ovat muuttaneet energiaympäristöä, tehneet uusiutuvista energialähteistä kustannustehokkaampia ja vähentäneet riippuvuutta perinteisistä energialähteistä.</w:t>
      </w:r>
      <w:bookmarkEnd w:id="9"/>
    </w:p>
    <w:p w14:paraId="0C210EB9" w14:textId="0E85994E" w:rsidR="006B13B3" w:rsidRPr="009029CA" w:rsidRDefault="410BB03D" w:rsidP="009029CA">
      <w:pPr>
        <w:rPr>
          <w:noProof/>
        </w:rPr>
      </w:pPr>
      <w:r>
        <w:rPr>
          <w:noProof/>
        </w:rPr>
        <w:t>Draghin raportissa korostetaan, että energia on EU:n kilpailukyvyn kannalta keskeinen tekijä. Siinä ehdotetaan toimenpidekokonaisuutta, jolla puututaan korkeiden energianhintojen syihin EU:ssa ja pyritään edesauttamaan sitä, että myös loppukäyttäjät hyötyisivät energia-alan hiilestä irtautumisesta.</w:t>
      </w:r>
      <w:r w:rsidR="006B13B3" w:rsidRPr="009029CA">
        <w:rPr>
          <w:rStyle w:val="FootnoteReference"/>
          <w:noProof/>
          <w:lang w:val="en-IE"/>
        </w:rPr>
        <w:footnoteReference w:id="18"/>
      </w:r>
      <w:r>
        <w:rPr>
          <w:noProof/>
        </w:rPr>
        <w:t xml:space="preserve"> Energianäkökohdat ovat keskeisellä sijalla uudessa puhtaan teollisen kehityksen ohjelmassa, ja komissio esittää kohtuuhintaista energiaa koskevan toimintasuunnitelman yhteydessä konkreettisia toimenpiteitä kotitalouksien ja teollisuuden energiakustannusten alentamiseksi. </w:t>
      </w:r>
    </w:p>
    <w:p w14:paraId="4329DCF5" w14:textId="77777777" w:rsidR="006B13B3" w:rsidRPr="00220722" w:rsidRDefault="006B13B3" w:rsidP="009029CA">
      <w:pPr>
        <w:rPr>
          <w:noProof/>
        </w:rPr>
      </w:pPr>
    </w:p>
    <w:p w14:paraId="173BFB06" w14:textId="55BF5953" w:rsidR="00457B1C" w:rsidRPr="009029CA" w:rsidRDefault="00457B1C" w:rsidP="009029CA">
      <w:pPr>
        <w:pStyle w:val="Heading3"/>
        <w:spacing w:after="160"/>
        <w:rPr>
          <w:noProof/>
        </w:rPr>
      </w:pPr>
      <w:bookmarkStart w:id="10" w:name="_Toc194657170"/>
      <w:r>
        <w:rPr>
          <w:noProof/>
        </w:rPr>
        <w:t>Tuki nettonollateknologialle maailmanmarkkinoilla</w:t>
      </w:r>
      <w:bookmarkEnd w:id="10"/>
      <w:r>
        <w:rPr>
          <w:noProof/>
        </w:rPr>
        <w:t xml:space="preserve">  </w:t>
      </w:r>
    </w:p>
    <w:p w14:paraId="0BBC3990" w14:textId="41155608" w:rsidR="009A5E5A" w:rsidRPr="009029CA" w:rsidRDefault="009A5E5A" w:rsidP="009029CA">
      <w:pPr>
        <w:rPr>
          <w:noProof/>
        </w:rPr>
      </w:pPr>
      <w:r>
        <w:rPr>
          <w:noProof/>
          <w:color w:val="000000" w:themeColor="text1"/>
        </w:rPr>
        <w:t>Uusi geopoliittinen dynamiikka ja</w:t>
      </w:r>
      <w:r>
        <w:rPr>
          <w:noProof/>
        </w:rPr>
        <w:t xml:space="preserve"> korkeat korot ja inflaatio ovat muuttaneet nettonollateknologioiden liiketoimintaympäristöä viime vuosina. Keskeisten massatuotannossa olevien nettonollateknologioiden maailmanmarkkinoiden odotetaan lähes kolminkertaistuvan vuoteen 2035 mennessä, jolloin niiden vuotuinen arvo olisi noin 1,9 biljoonaa euroa.</w:t>
      </w:r>
      <w:r w:rsidR="0052635F" w:rsidRPr="009029CA">
        <w:rPr>
          <w:noProof/>
          <w:vertAlign w:val="superscript"/>
          <w:lang w:val="en-IE"/>
        </w:rPr>
        <w:footnoteReference w:id="19"/>
      </w:r>
      <w:r>
        <w:rPr>
          <w:noProof/>
        </w:rPr>
        <w:t xml:space="preserve"> Kilpailtaessa valmistuskapasiteetin lisäämisestä ennakoidun kysynnän tyydyttämiseksi keskeisenä tavoitteena on edelleen varmistaa, että EU:n teollisuus säilyy kilpailukykyisenä ja kykenee osallistumaan energiasiirtymän edellyttämien teknologioiden tuottamiseen Euroopassa ja maailmanlaajuisesti. Samaan aikaan epävarma tilanne muodostaa haasteen pitkän aikavälin investoinneille, myös valmistus- tai tuotantolaitoksiin tehtäville investoinneille. Nyt tehtävillä ja toteutettavilla päätöksillä on ratkaiseva merkitys, jotta EU ja sen teollisuus voisivat kilpailla markkinaosuuksista vuonna 2030 ja sen jälkeen. Viivästykset nettonollateknologioiden valmistuskapasiteetin lisäämisessä uhkaavat vaikuttaa EU:n kilpailukykyyn tulevina vuosikymmeninä. Sähköistymisen vauhdittaminen vähentää riippuvuutta fossiilisista polttoaineista, mutta uusien riippuvuuksien välttämiseksi tarvitaan myös häiriönsietokykyisiä nettonollateknologioiden, kuten tuulivoiman tai akkujen, arvoketjuja.</w:t>
      </w:r>
      <w:r w:rsidR="00077452">
        <w:rPr>
          <w:rStyle w:val="FootnoteReference"/>
          <w:noProof/>
          <w:lang w:val="en-IE"/>
        </w:rPr>
        <w:footnoteReference w:id="20"/>
      </w:r>
    </w:p>
    <w:p w14:paraId="409C47D7" w14:textId="07D40F82" w:rsidR="009A5E5A" w:rsidRPr="009029CA" w:rsidRDefault="0A2B19CA" w:rsidP="009029CA">
      <w:pPr>
        <w:rPr>
          <w:noProof/>
        </w:rPr>
      </w:pPr>
      <w:r>
        <w:rPr>
          <w:noProof/>
        </w:rPr>
        <w:t xml:space="preserve">Viimeaikaisiin kriiseihin vastaamiseksi ja yritysten energiasiirtymän tukemiseksi eri puolilla maailmaa, kuten Etelä-Koreassa, Intiassa, Japanissa, Kanadassa, Kiinassa ja Yhdysvalloissa, on otettu käyttöön teollisuuspolitiikkaa, jolla lisätään puhtaan energiateknologian valmistusta. </w:t>
      </w:r>
      <w:r>
        <w:rPr>
          <w:noProof/>
          <w:color w:val="000000" w:themeColor="text1"/>
        </w:rPr>
        <w:t>Inflaation hillitsemistä koskevan lain (Inflation Reduction Act, IRA) myötä Yhdysvallat tarjosi avustuksia kehittyneiden teknologioiden asentamiseen sekä verohelpotuksia puhtaan energian laitteiden tuotantolaitoksiin tehtävien investointien edistämiseksi (tuen kokonaismäärä on arviolta</w:t>
      </w:r>
      <w:r>
        <w:rPr>
          <w:noProof/>
        </w:rPr>
        <w:t xml:space="preserve"> 461</w:t>
      </w:r>
      <w:r>
        <w:rPr>
          <w:noProof/>
          <w:color w:val="000000" w:themeColor="text1"/>
        </w:rPr>
        <w:t> miljardia euroa</w:t>
      </w:r>
      <w:r w:rsidR="0052635F" w:rsidRPr="009029CA">
        <w:rPr>
          <w:noProof/>
          <w:color w:val="000000" w:themeColor="text1"/>
          <w:vertAlign w:val="superscript"/>
          <w:lang w:val="en-IE"/>
        </w:rPr>
        <w:footnoteReference w:id="21"/>
      </w:r>
      <w:r>
        <w:rPr>
          <w:noProof/>
          <w:color w:val="000000" w:themeColor="text1"/>
        </w:rPr>
        <w:t>, josta 60 prosenttia on suunnattu energia-alalle).</w:t>
      </w:r>
      <w:r>
        <w:rPr>
          <w:noProof/>
        </w:rPr>
        <w:t xml:space="preserve"> Samaan aikaan Kiinasta on tullut monien nettonollateknologioiden pääasiallinen tuottaja ja edelläkävijä puhtaiden teknologioiden tukemisessa investointikeskeisen talouden kautta.</w:t>
      </w:r>
      <w:r w:rsidR="0052635F" w:rsidRPr="009029CA">
        <w:rPr>
          <w:noProof/>
          <w:vertAlign w:val="superscript"/>
          <w:lang w:val="en-IE"/>
        </w:rPr>
        <w:footnoteReference w:id="22"/>
      </w:r>
      <w:r>
        <w:rPr>
          <w:noProof/>
        </w:rPr>
        <w:t xml:space="preserve"> Esimerkiksi yli 90 prosenttia aurinkoenergia-alan tuotantolaitoksista sijaitsee Kiinassa.</w:t>
      </w:r>
      <w:r w:rsidR="0052635F" w:rsidRPr="009029CA">
        <w:rPr>
          <w:noProof/>
          <w:vertAlign w:val="superscript"/>
          <w:lang w:val="en-IE"/>
        </w:rPr>
        <w:footnoteReference w:id="23"/>
      </w:r>
      <w:r>
        <w:rPr>
          <w:noProof/>
        </w:rPr>
        <w:t xml:space="preserve"> </w:t>
      </w:r>
    </w:p>
    <w:p w14:paraId="467CDB85" w14:textId="0D258FB0" w:rsidR="009A5E5A" w:rsidRPr="009029CA" w:rsidRDefault="0A2B19CA" w:rsidP="009029CA">
      <w:pPr>
        <w:rPr>
          <w:noProof/>
        </w:rPr>
      </w:pPr>
      <w:r>
        <w:rPr>
          <w:noProof/>
        </w:rPr>
        <w:t>Yhdysvaltojen ja muiden maiden soveltamat tuontirajoitukset lisäävät EU:n valmistajiin kohdistuvaa painetta unionin sisäisillä markkinoilla. Lisäksi valmistuskapasiteetin maailmanlaajuinen kasvu aiheuttaa ylikapasiteetin riskin, koska sen ennakoidaan tällä hetkellä mahdollisesti ylittävän käyttöönottovalmiudet tiettyjen teknologioiden osalta. Tällainen kehitys voisi vakavasti vahingoittaa tiettyjä EU:n valmistusteollisuuden segmenttejä, mukaan lukien nettonollateknologiat. Vuotta 2025 koskevien ennusteiden mukaan maailmanlaajuinen ylikapasiteetti jatkuu edelleen keskeisten puhtaiden energiateknologioiden aloilla, erityisesti akku- ja aurinkoenergia-alojen koko arvoketjuissa sekä tuuliturbiinien konehuoneiden osalta.</w:t>
      </w:r>
      <w:r w:rsidR="00F64B6A">
        <w:rPr>
          <w:rStyle w:val="FootnoteReference"/>
          <w:noProof/>
          <w:lang w:val="en-IE"/>
        </w:rPr>
        <w:footnoteReference w:id="24"/>
      </w:r>
    </w:p>
    <w:p w14:paraId="3EFE640B" w14:textId="1DF13A29" w:rsidR="009A5E5A" w:rsidRPr="009029CA" w:rsidRDefault="009A5E5A" w:rsidP="009029CA">
      <w:pPr>
        <w:rPr>
          <w:noProof/>
        </w:rPr>
      </w:pPr>
      <w:r>
        <w:rPr>
          <w:noProof/>
        </w:rPr>
        <w:t>Arvioiden mukaan Kiinan kokonaistuet ovat kolmesta yhdeksään kertaa suuremmat kuin muissa OECD-maissa, kuten Yhdysvalloissa tai Saksassa.</w:t>
      </w:r>
      <w:bookmarkStart w:id="11" w:name="_Hlk189155091"/>
      <w:r w:rsidR="0052635F" w:rsidRPr="009029CA">
        <w:rPr>
          <w:noProof/>
          <w:vertAlign w:val="superscript"/>
          <w:lang w:val="en-IE"/>
        </w:rPr>
        <w:footnoteReference w:id="25"/>
      </w:r>
      <w:bookmarkEnd w:id="11"/>
      <w:r>
        <w:rPr>
          <w:noProof/>
        </w:rPr>
        <w:t xml:space="preserve"> EU on saattanut päätökseen Kiinasta peräisin olevien akkusähköajoneuvojen tasoitustulleja koskevan tutkimuksen, jonka tuloksena tällaiselle tuonnille otettiin käyttöön tasoitustullit.</w:t>
      </w:r>
      <w:r w:rsidR="0052635F" w:rsidRPr="00E03439">
        <w:rPr>
          <w:noProof/>
          <w:vertAlign w:val="superscript"/>
          <w:lang w:val="en-IE"/>
        </w:rPr>
        <w:footnoteReference w:id="26"/>
      </w:r>
      <w:r>
        <w:rPr>
          <w:noProof/>
        </w:rPr>
        <w:t xml:space="preserve"> Tukien laajuuden ja soveltamisalan sekä kansainvälisen kaupan sääntöjen noudattamisen arvioimiseksi on kuitenkin otettava huomioon myös muut julkisen tuen kanavat. EU aikoo myös tehdä yhteistyötä kansainvälisten kauppakumppanien kanssa ja pyytää apua tilanteen seurantaan kansainvälisiltä elimiltä, kuten Taloudellisen yhteistyön ja kehityksen järjestöltä (OECD) ja Kansainväliseltä energiajärjestöltä (IEA). </w:t>
      </w:r>
    </w:p>
    <w:p w14:paraId="3563D6C8" w14:textId="2256E160" w:rsidR="00907DF0" w:rsidRPr="009029CA" w:rsidRDefault="0A2B19CA">
      <w:pPr>
        <w:rPr>
          <w:noProof/>
        </w:rPr>
      </w:pPr>
      <w:r>
        <w:rPr>
          <w:noProof/>
        </w:rPr>
        <w:t xml:space="preserve">Maailmanlaajuisen energiasiirtymän onnistuminen edellyttää taloudellisten mahdollisuuksien ja hyötyjen jakamista koko arvoketjussa. Tältä osin maailmanlaajuiset kumppanuudet ja tasapuoliset toimintaedellytykset ovat olennaisen tärkeitä EU:n häiriönsietokyvyn ja strategisen riippumattomuuden saavuttamiseksi. EU:n nykyisellä Global Gateway </w:t>
      </w:r>
      <w:r>
        <w:rPr>
          <w:noProof/>
        </w:rPr>
        <w:noBreakHyphen/>
        <w:t xml:space="preserve">aloitteella edistetään investointeja EU:n ulkopuolisiin maihin unionin ja sen vihreän ja digitaalisen siirtymän kannalta keskeisillä aloilla. Global Gateway </w:t>
      </w:r>
      <w:r>
        <w:rPr>
          <w:noProof/>
        </w:rPr>
        <w:noBreakHyphen/>
        <w:t>strategian tavoitteena on saada liikkeelle jopa 300 miljardin euron investoinnit.</w:t>
      </w:r>
      <w:r w:rsidR="0052635F" w:rsidRPr="009029CA">
        <w:rPr>
          <w:noProof/>
          <w:vertAlign w:val="superscript"/>
          <w:lang w:val="en-IE"/>
        </w:rPr>
        <w:footnoteReference w:id="27"/>
      </w:r>
      <w:r>
        <w:rPr>
          <w:noProof/>
        </w:rPr>
        <w:t xml:space="preserve"> Kunnianhimoisten kauppasopimusten neuvotteleminen, tekeminen ja täytäntöönpano auttaa laajentamaan markkinoille pääsyä ja parantamaan talouden häiriönsietokykyä.</w:t>
      </w:r>
      <w:r w:rsidR="007F51C3" w:rsidRPr="009029CA">
        <w:rPr>
          <w:noProof/>
          <w:vertAlign w:val="superscript"/>
          <w:lang w:val="en-IE"/>
        </w:rPr>
        <w:footnoteReference w:id="28"/>
      </w:r>
      <w:r>
        <w:rPr>
          <w:noProof/>
        </w:rPr>
        <w:t xml:space="preserve"> Lisäksi puhtaan kaupan ja puhtaiden investointien kumppanuuksilla voidaan täydentää kauppasopimuksia ja tukea hiilestä irtautumista koskevia toimia EU:ssa ja sen ulkopuolella unionin ja sen kauppakumppaneiden puhtaaseen energiaan liittyvien liiketaloudellisten intressien mukaisesti. </w:t>
      </w:r>
    </w:p>
    <w:p w14:paraId="7806A879" w14:textId="50DEB733" w:rsidR="009A5E5A" w:rsidRPr="009029CA" w:rsidRDefault="009A5E5A" w:rsidP="009029CA">
      <w:pPr>
        <w:rPr>
          <w:noProof/>
        </w:rPr>
      </w:pPr>
      <w:r>
        <w:rPr>
          <w:noProof/>
        </w:rPr>
        <w:t xml:space="preserve">Unionin hiilestä irtautumisen ja puhtaaseen energiaan siirtymisen vauhdittaminen on ollut keskeisellä sijalla Euroopan vihreän kehityksen ohjelmassa ja sen jälkeisissä politiikkatoimissa, kuten 55-valmiuspaketissa ja vihreän kehityksen teollisuussuunnitelmassa. </w:t>
      </w:r>
      <w:r>
        <w:rPr>
          <w:noProof/>
          <w:color w:val="000000" w:themeColor="text1"/>
        </w:rPr>
        <w:t xml:space="preserve">EU:lla on vankka nettonollateknologioita edistävä kehys, jossa yhdistyvät T&amp;I-tuki, taloudelliset kannustimet, kuten EU:n päästökauppajärjestelmän mukainen hiilen hinnoittelu, sekä sääntelyvälineet, kuten uusiutuvan energian direktiivi ja nettonollateollisuussäädös. </w:t>
      </w:r>
      <w:r>
        <w:rPr>
          <w:noProof/>
        </w:rPr>
        <w:t>Elpymis- ja palautumistukivälineestä osoitettiin 650 miljardia euroa jäsenvaltioiden uudistusten ja investointien tukemiseen. Tästä määrästä vähintään 37 prosenttia kohdistetaan kansallisten elpymis- ja palautumissuunnitelmien vihreisiin toimenpiteisiin. Lisäksi EU:n koheesiopolitiikan rahastoista eli Euroopan aluekehitysrahastosta, koheesiorahastosta, oikeudenmukaisen siirtymän rahastosta ja Interreg-ohjelmasta myönnetään lähes 120 miljardia euroa vihreisiin toimenpiteisiin (kokonaisinvestoinnit ovat yli 166 miljardia euroa). Näiden rahastojen varoista osoitetaan ilmastotoimiin keskimäärin 40 prosenttia, mikä ylittää selvästi lakisääteiset vähimmäissitoumukset.</w:t>
      </w:r>
      <w:r w:rsidR="005948F9">
        <w:rPr>
          <w:rStyle w:val="FootnoteReference"/>
          <w:noProof/>
          <w:lang w:val="en-IE"/>
        </w:rPr>
        <w:footnoteReference w:id="29"/>
      </w:r>
      <w:r>
        <w:rPr>
          <w:noProof/>
        </w:rPr>
        <w:t xml:space="preserve"> Lisäksi REPowerEU-suunnitelmalla oli keskeinen rooli pyrittäessä vähentämään nopeasti riippuvuutta Venäjän fossiilisista polttoaineista ja vauhdittamaan vihreää siirtymää.</w:t>
      </w:r>
    </w:p>
    <w:p w14:paraId="327A1242" w14:textId="6116F25E" w:rsidR="009A5E5A" w:rsidRPr="009029CA" w:rsidRDefault="0A2B19CA" w:rsidP="009029CA">
      <w:pPr>
        <w:rPr>
          <w:noProof/>
        </w:rPr>
      </w:pPr>
      <w:r>
        <w:rPr>
          <w:noProof/>
        </w:rPr>
        <w:t xml:space="preserve">EU perusti Euroopan strategisten teknologioiden kehysvälineen (STEP) tukemaan Euroopan teollisuutta ja lisäämään eurooppalaisia investointeja kriittisiin teknologioihin, myös puhtaisiin energiateknologioihin. STEP-kehysvälineessä yhdistetään taloudellisia kannustimia hankerahoituksen saantia helpottaviin toimenpiteisiin. Välineen kautta pyritään rahoittamaan kriittisiä teknologioita EU:n nykyisistä ohjelmista ja rahastoista, kuten koheesiopolitiikan rahastoista, InvestEU-ohjelmasta, Horisontti Eurooppa </w:t>
      </w:r>
      <w:r>
        <w:rPr>
          <w:noProof/>
        </w:rPr>
        <w:noBreakHyphen/>
        <w:t xml:space="preserve">puiteohjelmasta, Euroopan puolustusrahastosta, EU:n päästökauppajärjestelmän innovaatiorahastosta sekä elpymis- ja palautumistukivälineestä. Lisäksi Horisontti Eurooppa </w:t>
      </w:r>
      <w:r>
        <w:rPr>
          <w:noProof/>
        </w:rPr>
        <w:noBreakHyphen/>
        <w:t>puiteohjelman klusterista 5 ”Ilmasto, energia ja liikkuvuus” on vuoteen 2024 mennessä myönnetty yli kolme miljardia euroa puhtaiden energiateknologioiden tutkimuksen ja innovoinnin tukemiseen.</w:t>
      </w:r>
    </w:p>
    <w:p w14:paraId="1B336758" w14:textId="77777777" w:rsidR="00344E87" w:rsidRPr="00220722" w:rsidRDefault="00344E87" w:rsidP="009029CA">
      <w:pPr>
        <w:rPr>
          <w:noProof/>
        </w:rPr>
      </w:pPr>
    </w:p>
    <w:p w14:paraId="5C5EFA12" w14:textId="42C87A66" w:rsidR="004E765E" w:rsidRPr="009029CA" w:rsidRDefault="005D1F0B" w:rsidP="009029CA">
      <w:pPr>
        <w:pStyle w:val="Heading2"/>
        <w:spacing w:after="160"/>
        <w:rPr>
          <w:noProof/>
        </w:rPr>
      </w:pPr>
      <w:bookmarkStart w:id="12" w:name="_Toc194657171"/>
      <w:r>
        <w:rPr>
          <w:noProof/>
        </w:rPr>
        <w:t>Nettonollateknologian arvoketjut EU:ssa: puhtaan teollisuuden mahdollisuudet ja haasteet</w:t>
      </w:r>
      <w:bookmarkEnd w:id="12"/>
    </w:p>
    <w:p w14:paraId="42AC724F" w14:textId="1842AC8E" w:rsidR="004E765E" w:rsidRPr="009029CA" w:rsidRDefault="0040066C" w:rsidP="009029CA">
      <w:pPr>
        <w:pStyle w:val="Heading3"/>
        <w:spacing w:after="160"/>
        <w:rPr>
          <w:noProof/>
        </w:rPr>
      </w:pPr>
      <w:bookmarkStart w:id="13" w:name="_Toc194657172"/>
      <w:r>
        <w:rPr>
          <w:noProof/>
        </w:rPr>
        <w:t>Valmistusteollisuuden toimitusketjut</w:t>
      </w:r>
      <w:bookmarkEnd w:id="13"/>
      <w:r>
        <w:rPr>
          <w:noProof/>
        </w:rPr>
        <w:t xml:space="preserve"> </w:t>
      </w:r>
    </w:p>
    <w:p w14:paraId="36EFF25E" w14:textId="767BC7A8" w:rsidR="000A248B" w:rsidRPr="009029CA" w:rsidRDefault="00D95E47" w:rsidP="009029CA">
      <w:pPr>
        <w:shd w:val="clear" w:color="auto" w:fill="FFFFFF" w:themeFill="background1"/>
        <w:rPr>
          <w:noProof/>
          <w:color w:val="000000" w:themeColor="text1"/>
        </w:rPr>
      </w:pPr>
      <w:r>
        <w:rPr>
          <w:noProof/>
          <w:color w:val="000000" w:themeColor="text1"/>
        </w:rPr>
        <w:t xml:space="preserve">EU on viime vuosina toteuttanut toimia nettonollateknologioiden valmistuskapasiteetin lisäämiseksi. Tavoitteena on vähentää strategisia riippuvuuksia ja parantaa EU:n häiriönsietokykyä sekä edistää unionin ilmasto- ja energiatavoitteiden saavuttamista. </w:t>
      </w:r>
    </w:p>
    <w:p w14:paraId="2E31BF50" w14:textId="37535C1A" w:rsidR="000A248B" w:rsidRPr="009029CA" w:rsidRDefault="000A248B" w:rsidP="009029CA">
      <w:pPr>
        <w:rPr>
          <w:noProof/>
          <w:color w:val="000000" w:themeColor="text1"/>
        </w:rPr>
      </w:pPr>
      <w:r>
        <w:rPr>
          <w:noProof/>
          <w:color w:val="000000" w:themeColor="text1"/>
        </w:rPr>
        <w:t>Vaikka EU lisää toimiaan, se kohtaa voimakasta painetta maailmanlaajuisten kilpailijoiden taholta. Viime vuosina</w:t>
      </w:r>
      <w:r>
        <w:rPr>
          <w:noProof/>
        </w:rPr>
        <w:t xml:space="preserve"> sen asema nettonollateknologioiden valmistuksessa on heikentynyt maailmanlaajuisesti huolimatta sen vahvuuksista esimerkiksi tutkimuksen ja innovoinnin, ammattitaitoisen työvoiman ja sääntelystandardien osa-alueilla. </w:t>
      </w:r>
      <w:r>
        <w:rPr>
          <w:noProof/>
          <w:color w:val="000000" w:themeColor="text1"/>
        </w:rPr>
        <w:t>EU:lla on edelleen vahva tuotantoperusta tietyissä nettonollateknologioissa, kuten tuulivoimassa ja elektrolyysilaitteissa, mutta muut maailman osat hallitsevat tiettyjä arvoketjuja yhä vahvemmin, kuten esimerkiksi aurinkosähkö- ja akkualoilla. Haasteena on riippuvuus paitsi tietyistä nettonollateknologioista myös toimitusketjun tietyistä teknologiakomponenteista. EU:n on esimerkiksi edelleen suurin ilmavesilämpöpumppujen valmistaja, mutta Kiina tuottaa suurimman osan nelitieventtiileistä ja kompressoreista.</w:t>
      </w:r>
      <w:r w:rsidR="0052635F" w:rsidRPr="009029CA">
        <w:rPr>
          <w:noProof/>
          <w:color w:val="000000" w:themeColor="text1"/>
          <w:vertAlign w:val="superscript"/>
          <w:lang w:val="en-IE"/>
        </w:rPr>
        <w:footnoteReference w:id="30"/>
      </w:r>
      <w:r>
        <w:rPr>
          <w:noProof/>
          <w:color w:val="000000" w:themeColor="text1"/>
        </w:rPr>
        <w:t xml:space="preserve"> Lisäksi EU on edelleen erittäin riippuvainen useista kriittisistä raaka-aineista, jotka ovat välttämättömiä erilaisten nettonollateknologioiden valmistuksessa.</w:t>
      </w:r>
    </w:p>
    <w:p w14:paraId="2F5A140E" w14:textId="492D3CCD" w:rsidR="003656C8" w:rsidRPr="009029CA" w:rsidRDefault="03CC892A" w:rsidP="009029CA">
      <w:pPr>
        <w:rPr>
          <w:noProof/>
          <w:color w:val="000000" w:themeColor="text1"/>
        </w:rPr>
      </w:pPr>
      <w:r>
        <w:rPr>
          <w:noProof/>
          <w:color w:val="000000" w:themeColor="text1"/>
        </w:rPr>
        <w:t>Maailmanlaajuiset investoinnit puhtaan teknologian valmistukseen kasvoivat nopeasti vuoteen 2023 asti. Vuonna 2024 investoinnit pysyivät samalla tasolla ja olivat noin 129 miljardia euroa (133 miljardia euroa vuonna 2023).</w:t>
      </w:r>
      <w:r w:rsidR="007254C9" w:rsidRPr="000534BE">
        <w:rPr>
          <w:rStyle w:val="FootnoteReference"/>
          <w:noProof/>
          <w:color w:val="000000" w:themeColor="text1"/>
        </w:rPr>
        <w:footnoteReference w:id="31"/>
      </w:r>
      <w:r>
        <w:rPr>
          <w:noProof/>
          <w:color w:val="000000" w:themeColor="text1"/>
        </w:rPr>
        <w:t xml:space="preserve"> Kansainvälisen energiajärjestön (IEA) mukaan EU ja Yhdysvallat pystyivät kasvattamaan yhteenlasketun osuutensa kaikista puhtaan teknologian valmistukseen tehdyistä investoinneista 16 prosenttiin vuonna 2023 (11 prosentista vuonna 2022).</w:t>
      </w:r>
      <w:r w:rsidR="00F739E9" w:rsidRPr="453A7CD3">
        <w:rPr>
          <w:rStyle w:val="FootnoteReference"/>
          <w:noProof/>
          <w:color w:val="000000" w:themeColor="text1"/>
        </w:rPr>
        <w:footnoteReference w:id="32"/>
      </w:r>
      <w:r>
        <w:rPr>
          <w:noProof/>
          <w:color w:val="000000" w:themeColor="text1"/>
        </w:rPr>
        <w:t xml:space="preserve"> Samaan aikaan Kiinalla on edelleen merkittävä johtoasema valmistusteollisuuteen tehtävissä investoinneissa. Vuonna 2024 Kiinan osuus kaikista puhtaan teknologian toimitusketjuihin tehdyistä investoinneista oli arviolta 81 prosenttia.</w:t>
      </w:r>
      <w:r w:rsidR="00666A4F">
        <w:rPr>
          <w:rStyle w:val="FootnoteReference"/>
          <w:noProof/>
          <w:color w:val="000000" w:themeColor="text1"/>
        </w:rPr>
        <w:footnoteReference w:id="33"/>
      </w:r>
      <w:r>
        <w:rPr>
          <w:noProof/>
          <w:color w:val="000000" w:themeColor="text1"/>
        </w:rPr>
        <w:t xml:space="preserve">   </w:t>
      </w:r>
    </w:p>
    <w:p w14:paraId="20DB9D5C" w14:textId="4DF5D0E2" w:rsidR="000A248B" w:rsidRPr="009029CA" w:rsidRDefault="000A248B" w:rsidP="009029CA">
      <w:pPr>
        <w:rPr>
          <w:noProof/>
          <w:color w:val="000000" w:themeColor="text1"/>
        </w:rPr>
      </w:pPr>
      <w:r>
        <w:rPr>
          <w:noProof/>
          <w:color w:val="000000" w:themeColor="text1"/>
        </w:rPr>
        <w:t>Valmistuskustannukset ovat EU:ssa ja Yhdysvalloissa edelleen rakenteellisesti korkeammat kuin Kiinassa. Aurinkosähkömoduulien valmistuskustannukset ovat Kiinassa 35–65 prosenttia alhaisemmat kuin EU:ssa ja Yhdysvalloissa.</w:t>
      </w:r>
      <w:r w:rsidR="00B37E2A">
        <w:rPr>
          <w:rStyle w:val="FootnoteReference"/>
          <w:noProof/>
          <w:color w:val="000000" w:themeColor="text1"/>
          <w:lang w:val="en-IE"/>
        </w:rPr>
        <w:footnoteReference w:id="34"/>
      </w:r>
      <w:r>
        <w:rPr>
          <w:noProof/>
          <w:color w:val="000000" w:themeColor="text1"/>
        </w:rPr>
        <w:t xml:space="preserve"> Maalla sijaitsevien tuuliturbiinien kustannukset Kiinassa ovat noin 355 euroa kilowattia kohtia, kun taas EU:ssa ja Yhdysvalloissa kustannukset vaihtelevat 448 eurosta 485 euroon kilowattia kohti.</w:t>
      </w:r>
      <w:r w:rsidR="0052635F" w:rsidRPr="002B2F91">
        <w:rPr>
          <w:rStyle w:val="FootnoteReference"/>
          <w:noProof/>
          <w:color w:val="000000" w:themeColor="text1"/>
          <w:lang w:val="en-IE"/>
        </w:rPr>
        <w:footnoteReference w:id="35"/>
      </w:r>
      <w:r>
        <w:rPr>
          <w:noProof/>
          <w:color w:val="000000" w:themeColor="text1"/>
        </w:rPr>
        <w:t xml:space="preserve"> Lämpöpumppujen loppukokoonpano maksaa EU:ssa ja Yhdysvalloissa noin kaksi kertaa enemmän kuin Kiinassa.</w:t>
      </w:r>
      <w:r w:rsidR="0052635F" w:rsidRPr="009029CA">
        <w:rPr>
          <w:noProof/>
          <w:color w:val="000000" w:themeColor="text1"/>
          <w:vertAlign w:val="superscript"/>
          <w:lang w:val="en-IE"/>
        </w:rPr>
        <w:footnoteReference w:id="36"/>
      </w:r>
      <w:r>
        <w:rPr>
          <w:noProof/>
          <w:color w:val="000000" w:themeColor="text1"/>
        </w:rPr>
        <w:t xml:space="preserve"> </w:t>
      </w:r>
    </w:p>
    <w:p w14:paraId="3E853285" w14:textId="496F555B" w:rsidR="0001155E" w:rsidRDefault="03CC892A" w:rsidP="009029CA">
      <w:pPr>
        <w:rPr>
          <w:noProof/>
          <w:color w:val="000000" w:themeColor="text1"/>
        </w:rPr>
      </w:pPr>
      <w:r>
        <w:rPr>
          <w:noProof/>
          <w:color w:val="000000" w:themeColor="text1"/>
        </w:rPr>
        <w:t>Kustannuseroihin vaikuttavat useat tekijät, kuten korkeat energian hinnat, toimitusketjuhäiriöt, valuuttainflaatio, korkojen nousu, voimakas kilpailu markkinoilla, erilaiset tukiohjelmat ja epävarma tuleva kysyntä. IEA:n tuore analyysi osoittaa, että Kiina on edelleen kustannustehokkain maa tuotantolaitoksiin tehtävien pääomainvestointien osalta. EU:ssa ja Yhdysvalloissa kustannukset ovat 70–195 prosenttia korkeammat tuotantokapasiteetin yksikköä kohti.</w:t>
      </w:r>
      <w:r w:rsidR="0052635F" w:rsidRPr="009029CA">
        <w:rPr>
          <w:rStyle w:val="FootnoteReference"/>
          <w:noProof/>
          <w:color w:val="000000" w:themeColor="text1"/>
          <w:lang w:val="en-IE"/>
        </w:rPr>
        <w:footnoteReference w:id="37"/>
      </w:r>
      <w:r>
        <w:rPr>
          <w:noProof/>
          <w:color w:val="000000" w:themeColor="text1"/>
        </w:rPr>
        <w:t xml:space="preserve"> Vaikka unionin valmistusteollisuuden vahvistamiseen liittyy huomattavia haasteita, EU on yksi nettonollateknologioiden kehittämisen ja käyttöönoton keskeisistä markkinoista. Siksi sillä on myös hyvät valmiudet hyödyntää maailmanlaajuisen energiasiirtymän tarjoamat taloudelliset mahdollisuudet.</w:t>
      </w:r>
    </w:p>
    <w:p w14:paraId="61596240" w14:textId="71BA602E" w:rsidR="000B72BA" w:rsidRPr="009029CA" w:rsidRDefault="00CB59E6" w:rsidP="009029CA">
      <w:pPr>
        <w:rPr>
          <w:noProof/>
          <w:color w:val="000000" w:themeColor="text1"/>
        </w:rPr>
      </w:pPr>
      <w:r>
        <w:rPr>
          <w:noProof/>
          <w:color w:val="000000" w:themeColor="text1"/>
        </w:rPr>
        <w:t>Nettonollateollisuus on levittäytynyt monille EU:n alueille, joista kukin on erikoistunut eri teknologioihin. Vaikka EU:n osuus maailmanlaajuisesta aurinkosähköteknologian valmistuksesta on pienentynyt viime vuosina, tuotantolaitoksia on edelleen Saksassa,</w:t>
      </w:r>
      <w:r>
        <w:rPr>
          <w:noProof/>
        </w:rPr>
        <w:t xml:space="preserve"> Italiassa, Espanjassa, Ranskassa ja Itävallassa. Tuulivoiman alalla komponenttien tuotanto on jakautunut eri puolille EU:ta, mutta tärkeimmät </w:t>
      </w:r>
      <w:r>
        <w:rPr>
          <w:noProof/>
          <w:color w:val="000000" w:themeColor="text1"/>
        </w:rPr>
        <w:t xml:space="preserve">turbiinivalmistajat ovat keskittyneet Tanskaan ja Saksaan, minkä lisäksi Espanjassa on tornien valmistuskapasiteettia. EU:n akkuvalmistusala on vasta kehittymässä, ja tuotantoa on Puolassa, Saksassa, Unkarissa, Ranskassa, Ruotsissa ja muutamissa muissa jäsenvaltioissa. Vedyn alalla yli puolet EU:n elektrolyysilaitteiden valmistuksesta tapahtuu Saksassa, ja lisäkapasiteettia on Tanskassa, Espanjassa, Portugalissa, Italiassa ja Ranskassa. Lämpöpumppujen osalta merkittävää valmistusta on Saksassa, Ruotsissa, Suomessa ja Tanskassa. </w:t>
      </w:r>
      <w:r>
        <w:rPr>
          <w:noProof/>
        </w:rPr>
        <w:t xml:space="preserve">Geotermisen energian alalla Italia on kärkisijalla valmistuksessa, mutta merkityksellistä tuotantoa on myös Saksassa ja Ranskassa. </w:t>
      </w:r>
      <w:r>
        <w:rPr>
          <w:noProof/>
          <w:color w:val="000000" w:themeColor="text1"/>
        </w:rPr>
        <w:t>Italialla on johtoasema myös EU:n kaapelituotannossa, ja sitä seuraavat Ruotsi, Saksa, Ranska, Puola ja Tanska. EU on myös johtava biokaasun ja biometaanin tuottaja. Merkityksellistä tuotantoa on erityisesti Saksassa ja Italiassa sekä alan komponenttien osalta Tšekissä, Espanjassa ja Puolassa.</w:t>
      </w:r>
      <w:r w:rsidR="0088267E">
        <w:rPr>
          <w:rStyle w:val="FootnoteReference"/>
          <w:noProof/>
          <w:color w:val="000000" w:themeColor="text1"/>
          <w:lang w:val="en-IE"/>
        </w:rPr>
        <w:footnoteReference w:id="38"/>
      </w:r>
    </w:p>
    <w:p w14:paraId="76598588" w14:textId="485CFD0E" w:rsidR="000A248B" w:rsidRPr="009029CA" w:rsidRDefault="000A248B" w:rsidP="009029CA">
      <w:pPr>
        <w:shd w:val="clear" w:color="auto" w:fill="FFFFFF" w:themeFill="background1"/>
        <w:rPr>
          <w:noProof/>
          <w:color w:val="000000" w:themeColor="text1"/>
        </w:rPr>
      </w:pPr>
      <w:r>
        <w:rPr>
          <w:noProof/>
          <w:color w:val="000000" w:themeColor="text1"/>
        </w:rPr>
        <w:t>EU hyväksyi nettonollateollisuussäädöksen vähentääkseen unionin riippuvuutta nettonollateknologioiden tuonnista, vahvistaakseen arvoketjujen häiriönsietokykyä ja rakentaakseen vahvan sisäisen tuotantoperustan. Säädöksen tavoitteena on luoda sääntelykehys, jolla varmistetaan nettonollateknologioiden turvattu ja kestävä tarjonta unionissa muun muassa lisäämällä nettonollateknologioiden ja niiden toimitusketjujen valmistuskapasiteettia.</w:t>
      </w:r>
    </w:p>
    <w:p w14:paraId="6364AAF7" w14:textId="7EFE10B6" w:rsidR="000A248B" w:rsidRPr="009029CA" w:rsidRDefault="03CC892A" w:rsidP="009029CA">
      <w:pPr>
        <w:rPr>
          <w:noProof/>
          <w:color w:val="FF0000"/>
        </w:rPr>
      </w:pPr>
      <w:r>
        <w:rPr>
          <w:noProof/>
          <w:color w:val="000000" w:themeColor="text1"/>
        </w:rPr>
        <w:t>Lisäksi jäsenvaltiot ottavat yhä enemmän käyttöön erityisiä politiikkoja, joilla edistetään nettonollateknologioiden tuotantoa. Nettonollateknologioita koskevissa kansallisissa poliittisissa ja oikeudellisissa kehyksissä yhdistellään kannustinjärjestelmiä, vero- ja finanssipolitiikkaa sekä osaamis- ja koulutuspolitiikkaa. Monissa näistä kansallisista strategioista kuitenkin keskitytään tiettyihin teknologioihin eikä nettonollateknologioihin yleensä. Tuoreen tutkimuksen mukaan suurin osa yksilöidyistä jäsenvaltioiden politiikoista koskee elektrolyysilaitteita ja polttokennoja, ja seuraavina tulevat akku- ja varastointiteknologiat, tuulienergia ja aurinkosähkö. Esimerkiksi Saksassa ja Espanjassa on käytössä vetyteknologiaa koskevat strategiat, kun taas Irlannilla ja Puolalla on alakohtaiset strategiat tuulivoimateknologiaa varten.</w:t>
      </w:r>
      <w:r w:rsidR="0052635F" w:rsidRPr="009029CA">
        <w:rPr>
          <w:noProof/>
          <w:color w:val="000000" w:themeColor="text1"/>
          <w:vertAlign w:val="superscript"/>
          <w:lang w:val="en-IE"/>
        </w:rPr>
        <w:footnoteReference w:id="39"/>
      </w:r>
      <w:r>
        <w:rPr>
          <w:noProof/>
          <w:color w:val="000000" w:themeColor="text1"/>
        </w:rPr>
        <w:t xml:space="preserve"> </w:t>
      </w:r>
    </w:p>
    <w:p w14:paraId="27FFA99D" w14:textId="3264D40F" w:rsidR="000A248B" w:rsidRPr="009029CA" w:rsidRDefault="03CC892A" w:rsidP="009029CA">
      <w:pPr>
        <w:rPr>
          <w:noProof/>
          <w:color w:val="000000" w:themeColor="text1"/>
        </w:rPr>
      </w:pPr>
      <w:r>
        <w:rPr>
          <w:noProof/>
          <w:color w:val="000000" w:themeColor="text1"/>
        </w:rPr>
        <w:t>Yksi nettonollateknologioiden laajamittaisen tuotannon haasteista on tuotantolaitoksia koskevat lupamenettelyt, joita käsitellään laajasti nettonollateollisuussäädöksessä. Säännöt vaihtelevat maittain, mikä saattaa vaikuttaa näiden teknologioiden käyttöönottoaikatauluun. Jäsenvaltiot ovat kuitenkin alkaneet esimerkiksi siirtyä kohti digitaalisia ratkaisuja sekä perustaa keskitettyjä asiointipisteitä ja priorisoida vihreitä hankkeita. Esimerkiksi Italia on luonut yritystoimintaan erikoistuneita keskitettyjä asiointipisteitä ja Suomi on asettanut vihreää siirtymää koskevat hankkeet tilapäisesti etusijalle. Lisäksi Unkari on luokitellut tietyt hankkeet ensisijaisiksi investointikohteiksi. Ranskassa puolestaan vihreää teollisuutta koskevan lain tavoitteena on lyhentää lupamenettelyjen kestoa rinnakkaiskäsittelyn ja strategisiin hankkeisiin sovellettavien nopeutettujen menettelyjen avulla.</w:t>
      </w:r>
      <w:r w:rsidR="0052635F" w:rsidRPr="009029CA">
        <w:rPr>
          <w:noProof/>
          <w:color w:val="000000" w:themeColor="text1"/>
          <w:vertAlign w:val="superscript"/>
          <w:lang w:val="en-IE"/>
        </w:rPr>
        <w:footnoteReference w:id="40"/>
      </w:r>
    </w:p>
    <w:p w14:paraId="161AA462" w14:textId="436F40DA" w:rsidR="000A248B" w:rsidRPr="009029CA" w:rsidRDefault="000A248B" w:rsidP="38BE83A0">
      <w:pPr>
        <w:rPr>
          <w:noProof/>
          <w:color w:val="000000" w:themeColor="text1"/>
        </w:rPr>
      </w:pPr>
      <w:r>
        <w:rPr>
          <w:noProof/>
          <w:color w:val="000000" w:themeColor="text1"/>
        </w:rPr>
        <w:t>Draghin raportissa</w:t>
      </w:r>
      <w:r>
        <w:rPr>
          <w:noProof/>
        </w:rPr>
        <w:t xml:space="preserve"> korostetaan, että EU:ssa on säilytettävä puhtaan teknologian valmistusta ja sitä on vahvistettava, jotta voidaan hyödyntää kasvumahdollisuudet, joita unionin vahvaan innovointi- ja valmistusperustaan pohjautuvat kasvavat markkinat EU:ssa ja sen ulkopuolella tarjoavat</w:t>
      </w:r>
      <w:r>
        <w:rPr>
          <w:noProof/>
          <w:color w:val="000000" w:themeColor="text1"/>
        </w:rPr>
        <w:t>. Lisäksi raportissa yksilöidään useita haasteita, joita EU:n valmistajat kohtaavat, kun ne pyrkivät laajentamaan toimintaansa ja kilpailemaan näillä teknologia-aloilla, sekä ehdotetaan useita toimenpiteitä EU:n kilpailukyvyn tukemiseksi tällä alalla. Raportissa korostetaan muun muassa, että nettonollateollisuussäädöksen täydellinen ja nopea täytäntöönpano on ratkaisevan tärkeää valmistusteollisuuden tukemiseksi.</w:t>
      </w:r>
      <w:r w:rsidR="0052635F" w:rsidRPr="38BE83A0">
        <w:rPr>
          <w:rStyle w:val="FootnoteReference"/>
          <w:noProof/>
          <w:color w:val="000000" w:themeColor="text1"/>
        </w:rPr>
        <w:footnoteReference w:id="41"/>
      </w:r>
    </w:p>
    <w:p w14:paraId="17210DDC" w14:textId="7AB0EFD8" w:rsidR="000A248B" w:rsidRPr="009029CA" w:rsidRDefault="000A248B" w:rsidP="009029CA">
      <w:pPr>
        <w:rPr>
          <w:noProof/>
        </w:rPr>
      </w:pPr>
      <w:r>
        <w:rPr>
          <w:noProof/>
          <w:color w:val="000000" w:themeColor="text1"/>
        </w:rPr>
        <w:t xml:space="preserve">Puhtaan teollisen kehityksen ohjelmassa </w:t>
      </w:r>
      <w:r>
        <w:rPr>
          <w:noProof/>
        </w:rPr>
        <w:t xml:space="preserve">esitetään kilpailukykyyn perustuva lähestymistapa hiilestä irtautumiseen. Tavoitteena on varmistaa, että EU on houkutteleva paikka valmistusteollisuudelle, myös energiavaltaisille teollisuudenaloille ja </w:t>
      </w:r>
      <w:r>
        <w:rPr>
          <w:noProof/>
          <w:color w:val="000000" w:themeColor="text1"/>
        </w:rPr>
        <w:t>puhtaalle teknologialle. Lisäksi tuleva Euroopan kilpailukykyrahasto auttaa varmistamaan, että strategista teknologiaa, myös puhdasta teknologiaa, kehitetään ja valmistetaan EU:ssa.</w:t>
      </w:r>
      <w:r w:rsidR="0052635F" w:rsidRPr="009029CA">
        <w:rPr>
          <w:rStyle w:val="FootnoteReference"/>
          <w:noProof/>
          <w:lang w:val="en-IE"/>
        </w:rPr>
        <w:footnoteReference w:id="42"/>
      </w:r>
    </w:p>
    <w:p w14:paraId="117345F4" w14:textId="47350B76" w:rsidR="005D1F2A" w:rsidRPr="009029CA" w:rsidRDefault="00D03504" w:rsidP="009029CA">
      <w:pPr>
        <w:pStyle w:val="Text3"/>
        <w:spacing w:after="160"/>
        <w:ind w:left="0"/>
        <w:rPr>
          <w:noProof/>
        </w:rPr>
      </w:pPr>
      <w:r>
        <w:rPr>
          <w:noProof/>
        </w:rPr>
        <w:t xml:space="preserve"> </w:t>
      </w:r>
    </w:p>
    <w:p w14:paraId="2885AB53" w14:textId="4D277EEF" w:rsidR="00457B1C" w:rsidRPr="009029CA" w:rsidRDefault="00246585" w:rsidP="009029CA">
      <w:pPr>
        <w:pStyle w:val="Heading3"/>
        <w:spacing w:after="160"/>
        <w:rPr>
          <w:noProof/>
        </w:rPr>
      </w:pPr>
      <w:bookmarkStart w:id="14" w:name="_Toc194657173"/>
      <w:r>
        <w:rPr>
          <w:noProof/>
        </w:rPr>
        <w:t>Energiavaltaisen teollisuuden hiilestä irtautuminen</w:t>
      </w:r>
      <w:bookmarkEnd w:id="14"/>
      <w:r>
        <w:rPr>
          <w:noProof/>
        </w:rPr>
        <w:t xml:space="preserve"> </w:t>
      </w:r>
    </w:p>
    <w:p w14:paraId="3EB8915D" w14:textId="03C3D890" w:rsidR="00124414" w:rsidRPr="009029CA" w:rsidRDefault="00124414" w:rsidP="009029CA">
      <w:pPr>
        <w:rPr>
          <w:noProof/>
        </w:rPr>
      </w:pPr>
      <w:r>
        <w:rPr>
          <w:noProof/>
        </w:rPr>
        <w:t>Energiavaltaisen teollisuuden tuottamilla materiaaleilla, kuten teräksellä, alumiinilla ja kemikaaleilla, on strateginen merkitys EU:n talouden kannalta muun muassa siksi, että ne muodostavat perustan nettonollateknologioiden suunnittelulle ja valmistukselle. Tuuliturbiinien rakentamisessa tarvitaan terästä tornia ja sen perustaa varten, alumiinia konehuonetta ja lapoja varten sekä erityisiä kemiallisia aineita pinnoitetta varten. Samaan aikaan nettonollateknologiat, kuten uusiutuvat energialähteet, vedyntuotanto, energiatehokkaat teknologiat ja hiilidioksidin talteenotto- ja varastointiteknologiat, mahdollistavat energiavaltaisen teollisuuden hiilestä irtautumisen. Tämä osoittaa, miten olennaisen tärkeitä energiavaltaisen teollisuuden tuotteet ovat nettonollateknologioiden arvoketjuille ja päinvastoin.</w:t>
      </w:r>
    </w:p>
    <w:p w14:paraId="49AD8383" w14:textId="4D4FE071" w:rsidR="00124414" w:rsidRPr="009029CA" w:rsidRDefault="1182D3CC" w:rsidP="009029CA">
      <w:pPr>
        <w:rPr>
          <w:noProof/>
        </w:rPr>
      </w:pPr>
      <w:r>
        <w:rPr>
          <w:noProof/>
        </w:rPr>
        <w:t xml:space="preserve">Siksi EU:n strategisen riippumattomuuden lisääminen edellyttää arvoketjuihin perustuvaa lähestymistapaa, jossa otetaan huomioon kaikki nettonollateknologioiden keskeiset komponentit ja materiaalit. </w:t>
      </w:r>
      <w:r>
        <w:rPr>
          <w:noProof/>
          <w:color w:val="000000" w:themeColor="text1"/>
        </w:rPr>
        <w:t>Nettonollateollisuussäädöksessä</w:t>
      </w:r>
      <w:r>
        <w:rPr>
          <w:noProof/>
        </w:rPr>
        <w:t xml:space="preserve"> tunnustetaan muutosvoimaisten teollisuusteknologioiden merkitys perusmateriaalien (kuten teräksen, alumiinin, muiden kuin rautametallien, kemikaalien ja sementin) tuotannon hiilestä irtautumisessa. Siihen sisältyy myös tuki energiavaltaisen teollisuuden hiilestä irtautumista koskeville hankkeille, jotka ovat osa nettonollateknologioiden toimitusketjuja.</w:t>
      </w:r>
      <w:r w:rsidR="00124414" w:rsidRPr="009029CA">
        <w:rPr>
          <w:rStyle w:val="FootnoteReference"/>
          <w:noProof/>
          <w:lang w:val="en-IE"/>
        </w:rPr>
        <w:footnoteReference w:id="43"/>
      </w:r>
      <w:r>
        <w:rPr>
          <w:noProof/>
        </w:rPr>
        <w:t xml:space="preserve"> Nämä hankkeet hyötyvät muun muassa nopeutetuista lupamenettelyistä. Lisäksi EU tukee siirtymistä fossiilisista polttoaineista uusiutuviin ja vähähiilisiin energialähteisiin erityisesti energiatehokkaan sähköistämisen avulla. Esimerkkinä voidaan mainita lämmön talteenotto pakokaasuista lämpöpumppujen avulla uudelleenkäyttöä varten. </w:t>
      </w:r>
    </w:p>
    <w:p w14:paraId="209B138E" w14:textId="0C622A3E" w:rsidR="00124414" w:rsidRPr="009029CA" w:rsidRDefault="00124414" w:rsidP="009029CA">
      <w:pPr>
        <w:rPr>
          <w:noProof/>
        </w:rPr>
      </w:pPr>
      <w:r>
        <w:rPr>
          <w:noProof/>
        </w:rPr>
        <w:t>Energiavaltaisen teollisuuden osuus EU:n teollisuuden energiankulutuksesta on yli puolet</w:t>
      </w:r>
      <w:r w:rsidRPr="009029CA">
        <w:rPr>
          <w:rStyle w:val="FootnoteReference"/>
          <w:noProof/>
          <w:lang w:val="en-IE"/>
        </w:rPr>
        <w:footnoteReference w:id="44"/>
      </w:r>
      <w:r>
        <w:rPr>
          <w:noProof/>
        </w:rPr>
        <w:t>, ja näihin teollisuudenaloihin vaikuttaa myös eniten se, että energian hinnat ovat EU:ssa rakenteellisesti korkeammat kuin muissa suurissa talouksissa. REPowerEU-suunnitelman puitteissa toteutetuista toimista huolimatta EU:n energiavaltaisen teollisuuden tuotanto on supistunut 10–15 prosenttia vuodesta 2021.</w:t>
      </w:r>
      <w:r w:rsidRPr="009029CA">
        <w:rPr>
          <w:rStyle w:val="FootnoteReference"/>
          <w:noProof/>
          <w:lang w:val="en-IE"/>
        </w:rPr>
        <w:footnoteReference w:id="45"/>
      </w:r>
      <w:r>
        <w:rPr>
          <w:noProof/>
        </w:rPr>
        <w:t xml:space="preserve"> Samaan aikaan energiavaltainen teollisuus aiheuttaa merkittävän osan EU:n kasvihuonekaasupäästöistä. Sen hiilestä irrottaminen on välttämätöntä ilmastoneutraaliuden saavuttamiseksi, mutta tämä edellyttää merkittäviä investointeja, mikä lisää entisestään EU:n yrityksiin kohdistuvaa painetta. Tämä aiheuttaa suuria paineita myös koko unionin energiavaltaisen teollisuuden kilpailukyvylle verrattuna maihin, joissa energian hinnat ovat alhaisemmat ja joiden hiilidioksidipäästöjen vähentämisohjelmat eivät ole yhtä kunnianhimoisia. Jos tämä paine johtaisi keskeisten teollisuustuotteiden tuotannon menettämiseen, se heikentäisi EU:n nettonollateknologioiden toimitusketjuja, lisäisi riippuvuutta tuonnista ja vähentäisi vaurautta.  </w:t>
      </w:r>
    </w:p>
    <w:p w14:paraId="7849F5B1" w14:textId="03BE0D6B" w:rsidR="00124414" w:rsidRPr="009029CA" w:rsidRDefault="00124414" w:rsidP="009029CA">
      <w:pPr>
        <w:rPr>
          <w:noProof/>
        </w:rPr>
      </w:pPr>
      <w:r>
        <w:rPr>
          <w:noProof/>
        </w:rPr>
        <w:t>Draghin raportissa korostetaan energiavaltaisten teollisuudenalojen merkitystä EU:n taloudelle ja niiden valtavaa haastetta jatkaa investointeja hiilestä irtautumiseen samalla kun hiilidioksidipäästöjen hinnat nousevat ja ne joutuvat kilpailemaan maailmanmarkkinoilla. Tältä osin raportissa todetaan, että toimintaedellytykset eivät ole tasapuoliset etenkään verrattuna yrityksiin, jotka hyötyvät suurista tuista esimerkiksi Kiinassa ja muissa tuotantoaan nopeasti laajentavissa maissa. Tämän analyysin pohjalta Draghin raportissa ehdotetaan koordinoidun tuen tarjoamista EU:n energiavaltaisille teollisuudenaloille niiden siirtymässä. Tuki ulottuisi lupamenettelyistä taloudelliseen tukeen ja kattaisi muun muassa kysynnän luomisen vihreille tuotteille, jotta puhtaaseen tuotantoon tehtäville investoinneille olisi selkeät taloudelliset kannustimet. Raportissa kehotetaan tasoittamaan toimintaedellytyksiä kansainvälisiin kilpailijoihin nähden myös esimerkiksi EU:n hiilirajamekanismin (CBAM) pohjalta.</w:t>
      </w:r>
      <w:r w:rsidRPr="009029CA">
        <w:rPr>
          <w:rStyle w:val="FootnoteReference"/>
          <w:noProof/>
          <w:lang w:val="en-IE"/>
        </w:rPr>
        <w:footnoteReference w:id="46"/>
      </w:r>
    </w:p>
    <w:p w14:paraId="48636F9A" w14:textId="2C072036" w:rsidR="00124414" w:rsidRPr="009029CA" w:rsidRDefault="00BC5A99" w:rsidP="009029CA">
      <w:pPr>
        <w:rPr>
          <w:noProof/>
        </w:rPr>
      </w:pPr>
      <w:r>
        <w:rPr>
          <w:noProof/>
        </w:rPr>
        <w:t xml:space="preserve">Puhtaan teollisen kehityksen ohjelmassa painotetaan voimakkaasti EU:n teollisuuden ja sen kilpailukyvyn tukemista hiilestä irtautumisessa. Komissio aikoo muun muassa ehdottaa teollisuuden vähähiilistämistä vauhdittavaa säädöstä, jolla tuetaan siirtymävaiheessa olevia teollisuudenaloja luomalla edelläkävijämarkkinat puhtaille tuotteille ja nopeuttamalla tuotantolaitosten rakentamis- ja muuntamishankkeita koskevia suunnittelu-, tarjouskilpailu- ja lupamenettelyjä, keskittyen erityisesti energiavaltaiseen teollisuuteen. Uudessa kilpailukykykompassissa kaavaillaan räätälöityjä toimintasuunnitelmia Euroopan valmistusteollisuuden selkärankana toimiville energiavaltaisille teollisuudenaloille, kuten teräs, metalli ja kemikaalit. Lisäksi kilpailukykykompassissa ehdotetaan kilpailukyvyn horisontaalisia edellytyksiä koskevia toimia, kuten sääntely-ympäristön yksinkertaistamista ja EU:n teollisuuden sääntelytaakan keventämistä.   </w:t>
      </w:r>
    </w:p>
    <w:p w14:paraId="28351DFD" w14:textId="77777777" w:rsidR="00457B1C" w:rsidRPr="00220722" w:rsidRDefault="00457B1C" w:rsidP="009029CA">
      <w:pPr>
        <w:pStyle w:val="Text3"/>
        <w:spacing w:after="160"/>
        <w:ind w:left="0"/>
        <w:rPr>
          <w:noProof/>
        </w:rPr>
      </w:pPr>
    </w:p>
    <w:p w14:paraId="60C90AE9" w14:textId="4A47215E" w:rsidR="004E765E" w:rsidRPr="009029CA" w:rsidRDefault="004E765E" w:rsidP="009029CA">
      <w:pPr>
        <w:pStyle w:val="Heading3"/>
        <w:spacing w:after="160"/>
        <w:rPr>
          <w:noProof/>
        </w:rPr>
      </w:pPr>
      <w:bookmarkStart w:id="15" w:name="_Toc194657174"/>
      <w:r>
        <w:rPr>
          <w:noProof/>
        </w:rPr>
        <w:t>Inhimillinen pääoma ja osaaminen</w:t>
      </w:r>
      <w:bookmarkEnd w:id="15"/>
    </w:p>
    <w:p w14:paraId="0B63DA9C" w14:textId="7DAB267F" w:rsidR="00A56CD6" w:rsidRPr="00B27A5E" w:rsidRDefault="17951BC1">
      <w:pPr>
        <w:rPr>
          <w:noProof/>
          <w:highlight w:val="yellow"/>
        </w:rPr>
      </w:pPr>
      <w:r>
        <w:rPr>
          <w:noProof/>
        </w:rPr>
        <w:t xml:space="preserve">EU:n kyky suunnitella, valmistaa, rakentaa, liittää ja ylläpitää puhtaita energiateknologioita ja </w:t>
      </w:r>
      <w:r>
        <w:rPr>
          <w:noProof/>
        </w:rPr>
        <w:noBreakHyphen/>
        <w:t>infrastruktuureja perustuu osaavaan työvoimaan. Viimeisimmän IRENAn raportin mukaan uusiutuvan energian ala työllisti EU:ssa noin 1,8 miljoonaa henkilöä vuonna 2023.</w:t>
      </w:r>
      <w:r w:rsidR="004E0030">
        <w:rPr>
          <w:rStyle w:val="FootnoteReference"/>
          <w:noProof/>
          <w:lang w:val="en-IE"/>
        </w:rPr>
        <w:footnoteReference w:id="47"/>
      </w:r>
      <w:r>
        <w:rPr>
          <w:noProof/>
        </w:rPr>
        <w:t xml:space="preserve"> Toimialajärjestöiltä saadut tiedot osoittavat, että EU:n aurinkoenergia-alalla työskenteli vuoden 2023 lopussa noin 826 000 henkilöä (362 000 suoraa työpaikkaa). Alan työpaikkojen määrä on kasvanut 27 prosenttia vuodesta 2022 alkaen, ja 5 prosenttia työpaikoista on valmistusteollisuudessa.</w:t>
      </w:r>
      <w:r w:rsidR="009D71EE">
        <w:rPr>
          <w:rStyle w:val="FootnoteReference"/>
          <w:noProof/>
          <w:lang w:val="en-US"/>
        </w:rPr>
        <w:footnoteReference w:id="48"/>
      </w:r>
      <w:r>
        <w:rPr>
          <w:noProof/>
        </w:rPr>
        <w:t xml:space="preserve"> Lämpöpumppualalla oli samana vuonna lähes 170 000 suoraa työpaikkaa, joista 39 prosenttia oli valmistusteollisuudessa.</w:t>
      </w:r>
      <w:r w:rsidR="004A7F0A" w:rsidRPr="00BF418F">
        <w:rPr>
          <w:rStyle w:val="FootnoteReference"/>
          <w:noProof/>
          <w:lang w:val="en-US"/>
        </w:rPr>
        <w:footnoteReference w:id="49"/>
      </w:r>
      <w:r>
        <w:rPr>
          <w:noProof/>
        </w:rPr>
        <w:t xml:space="preserve"> Negatiiviset suuntaukset vuonna 2024 ja sen jälkeen voivat kuitenkin vaikuttaa alan työmarkkinoihin. Tässä yhteydessä on syytä huomata puhtaiden energiateknologioiden rooli valmistusteollisuudessa, koska valmistuksen osuus laajemman puhtaan energian alan työpaikoista on noin kolmannes. Tämä korostaa nettonollateknologioiden ja niiden valmistusteollisuuden keskeistä merkitystä myös työllisyyden kannalta.</w:t>
      </w:r>
    </w:p>
    <w:p w14:paraId="185AC72C" w14:textId="52CF9830" w:rsidR="0040220C" w:rsidRPr="009029CA" w:rsidRDefault="003E26AF" w:rsidP="009029CA">
      <w:pPr>
        <w:rPr>
          <w:noProof/>
        </w:rPr>
      </w:pPr>
      <w:r>
        <w:rPr>
          <w:noProof/>
        </w:rPr>
        <w:t>Vaikka tilanne parani hieman vuonna 2024, työvoimapula on edelleen huolenaihe. Vuoden 2024 kolmannella neljänneksellä avoimien työpaikkojen aste oli energia-alalla 1,6 prosenttia, kun koko EU:n taloudessa se oli 2,3 prosenttia.</w:t>
      </w:r>
      <w:r w:rsidRPr="009029CA">
        <w:rPr>
          <w:rStyle w:val="FootnoteReference"/>
          <w:noProof/>
          <w:lang w:val="en-IE"/>
        </w:rPr>
        <w:footnoteReference w:id="50"/>
      </w:r>
      <w:r>
        <w:rPr>
          <w:noProof/>
        </w:rPr>
        <w:t xml:space="preserve"> Sähkölaitteiden valmistusalalla työvoimapulasta ilmoittaneiden yritysten osuus laski vuoden 2023 viimeisen neljänneksen 20 prosentista 15 prosenttiin vuoden 2024 viimeisellä neljänneksellä.</w:t>
      </w:r>
      <w:r w:rsidRPr="009029CA">
        <w:rPr>
          <w:rStyle w:val="FootnoteReference"/>
          <w:noProof/>
          <w:lang w:val="en-IE"/>
        </w:rPr>
        <w:footnoteReference w:id="51"/>
      </w:r>
      <w:r>
        <w:rPr>
          <w:noProof/>
        </w:rPr>
        <w:t xml:space="preserve"> Keskeinen tekijä, joka voi pahentaa rakenteellista työvoimapulaa tulevina vuosina, on työvoiman ikääntyminen monissa jäsenvaltioissa.</w:t>
      </w:r>
      <w:r w:rsidR="00BD4502">
        <w:rPr>
          <w:rStyle w:val="FootnoteReference"/>
          <w:noProof/>
          <w:lang w:val="en-US"/>
        </w:rPr>
        <w:footnoteReference w:id="52"/>
      </w:r>
    </w:p>
    <w:p w14:paraId="3E83739C" w14:textId="2CFB422C" w:rsidR="003E26AF" w:rsidRPr="009029CA" w:rsidRDefault="003E26AF" w:rsidP="009029CA">
      <w:pPr>
        <w:rPr>
          <w:noProof/>
        </w:rPr>
      </w:pPr>
      <w:r>
        <w:rPr>
          <w:noProof/>
        </w:rPr>
        <w:t>Useilla tasoilla on jo käytössä politiikkoja, joilla puututaan työvoimapulaan ja osaamisvajeeseen, mutta ponnisteluja on jatkettava. Jäsenvaltiot pitävät tärkeänä uudelleenkoulutusta ja työntekijöiden uudelleensijoittamista eri ammatteihin, aloille ja alueille. Osaamista koskevat tavoitteet ja toimenpiteet on mahdollisuuksien mukaan sisällytetty kansallisten energia- ja ilmastosuunnitelmien tutkimus-, innovointi- ja kilpailukykypolitiikkaan.</w:t>
      </w:r>
      <w:r w:rsidRPr="3BACF945">
        <w:rPr>
          <w:rStyle w:val="FootnoteReference"/>
          <w:noProof/>
        </w:rPr>
        <w:footnoteReference w:id="53"/>
      </w:r>
      <w:r>
        <w:rPr>
          <w:noProof/>
        </w:rPr>
        <w:t xml:space="preserve"> EU:n tasolla Euroopan osaamisohjelma on säilynyt painopisteenä myös Euroopan osaamisen teemavuoden 2023 jälkeen. Vuonna 2024 käyttöön otetussa työvoimapulaa ja osaamisvajetta koskevassa EU:n toimintasuunnitelmassa esitetään EU:lle, jäsenvaltioille ja työmarkkinaosapuolille uusia toimia täydennys- ja uudelleenkoulutuksen tukemiseksi erityisesti aloilla, joihin vihreä ja digitaalinen siirtymä vaikuttaa.</w:t>
      </w:r>
      <w:r w:rsidR="00933F48">
        <w:rPr>
          <w:rStyle w:val="FootnoteReference"/>
          <w:noProof/>
          <w:lang w:val="en-IE"/>
        </w:rPr>
        <w:footnoteReference w:id="54"/>
      </w:r>
      <w:r>
        <w:rPr>
          <w:noProof/>
        </w:rPr>
        <w:t xml:space="preserve"> Osaamissopimuksen puitteissa on perustettu kolme laajamittaista kumppanuutta (jotka koskevat merellä tuotettavaa uusiutuvaa energiaa, maalla tuotettavaa uusiutuvaa energiaa ja energiajärjestelmän digitalisointia) ja kolme nettonollateollisuuden alan koulutusyhteenliittymää (akkualan yhteenliittymän koulutuskeskus vuonna 2022, aurinkoalan koulutuskeskus kesäkuussa 2024 ja raaka-aineakatemia joulukuussa 2024). Näillä pyritään korjaamaan erityisiä osaamisvajeita keskeisillä puhtaan energiateknologian aloilla. Lisäksi suunnitteilla on myös tuuli- ja vetyteknologiaa käsittelevät koulutusyhteenliittymät. </w:t>
      </w:r>
    </w:p>
    <w:p w14:paraId="53F6FE37" w14:textId="25DF47CA" w:rsidR="003E26AF" w:rsidRPr="009029CA" w:rsidRDefault="006605B9" w:rsidP="009029CA">
      <w:pPr>
        <w:rPr>
          <w:noProof/>
        </w:rPr>
      </w:pPr>
      <w:r>
        <w:rPr>
          <w:noProof/>
        </w:rPr>
        <w:t>Kilpailukykyinen puhtaan energian teollisuus ja energiasiirtymä edellyttävät näin ollen merkittäviä, tehostettuja ja kohdennettuja julkisia ja yksityisiä koordinointitoimia työntekijöiden houkuttelemiseksi ja uudelleen- ja täydennyskouluttamiseksi, jotta käytettävissä on riittävästi työvoimaa. Tarvitaan jatkuvia toimia, jotta voidaan lisätä naisten osuutta puhtaiden energiateknologioiden kehittämisessä, valmistuksessa ja käyttöönotossa, houkutella nuoria energia-alan ammatteihin sekä kehittää puhtaan energian osaajareserviä. Komissio korostaa kilpailukykykompassissa, että osaamisvajeiden ja työvoimapulan korjaamiseksi tarvitaan lisätoimenpiteitä. Lisäksi se hahmottelee toimia kompassissa käsiteltyjen teollisuudenalojen tukemiseksi. Niihin sisältyvät muun muassa osaamisunionin perustaminen ja osaamiseen liittyvän rahoituksen painottaminen EU:n talousarviossa keskittyen vihreään ja digitaaliseen siirtymään osallistuviin aloihin. Nämä toimenpiteet ovat erityisen tärkeitä paitsi puhtaan energian teknologioiden myös energiasiirtymän onnistumisen kannalta.</w:t>
      </w:r>
    </w:p>
    <w:p w14:paraId="6047BC3D" w14:textId="77777777" w:rsidR="009026D6" w:rsidRPr="00220722" w:rsidRDefault="009026D6" w:rsidP="009029CA">
      <w:pPr>
        <w:pStyle w:val="Text3"/>
        <w:spacing w:after="160"/>
        <w:ind w:left="0"/>
        <w:rPr>
          <w:noProof/>
        </w:rPr>
      </w:pPr>
    </w:p>
    <w:p w14:paraId="1BB47FD0" w14:textId="77777777" w:rsidR="004E765E" w:rsidRPr="009029CA" w:rsidRDefault="004E765E" w:rsidP="009029CA">
      <w:pPr>
        <w:pStyle w:val="Heading2"/>
        <w:spacing w:after="160"/>
        <w:rPr>
          <w:noProof/>
        </w:rPr>
      </w:pPr>
      <w:bookmarkStart w:id="16" w:name="_Toc194657175"/>
      <w:r>
        <w:rPr>
          <w:noProof/>
        </w:rPr>
        <w:t>Puhtaan energian alan innovointiympäristö</w:t>
      </w:r>
      <w:bookmarkEnd w:id="16"/>
    </w:p>
    <w:p w14:paraId="76980901" w14:textId="77777777" w:rsidR="004E765E" w:rsidRPr="009029CA" w:rsidRDefault="004E765E" w:rsidP="009029CA">
      <w:pPr>
        <w:pStyle w:val="Heading3"/>
        <w:spacing w:after="160"/>
        <w:rPr>
          <w:noProof/>
        </w:rPr>
      </w:pPr>
      <w:bookmarkStart w:id="17" w:name="_Toc194657176"/>
      <w:r>
        <w:rPr>
          <w:noProof/>
        </w:rPr>
        <w:t>Tutkimuksen ja innovoinnin suuntaukset</w:t>
      </w:r>
      <w:bookmarkEnd w:id="17"/>
      <w:r>
        <w:rPr>
          <w:noProof/>
        </w:rPr>
        <w:t xml:space="preserve"> </w:t>
      </w:r>
    </w:p>
    <w:p w14:paraId="149D5392" w14:textId="339ED0E5" w:rsidR="003627DC" w:rsidRDefault="009B4B9D" w:rsidP="009B4B9D">
      <w:pPr>
        <w:rPr>
          <w:noProof/>
        </w:rPr>
      </w:pPr>
      <w:r>
        <w:rPr>
          <w:noProof/>
        </w:rPr>
        <w:t xml:space="preserve">EU on perinteisesti pyrkinyt ja onnistunut saavuttamaan tieteellistä ja teknistä huippuosaamista puhtaiden energiateknologioiden alalla, mikä on antanut sille etulyöntiaseman ja sitä kautta tuonut menestystä markkinoilla. Tämä kilpailuetu on kuitenkin vähentynyt viime vuosina. Muut taloudet ovat muun muassa T&amp;I-toimintaa edistämällä, teknologian siirron kytkösmarkkinoita hyödyntämällä ja tekemällä oppimisen kautta onnistuneet kuromaan EU:n kiinni tai jopa ohittaneet sen innovointivalmiudessa, mikä on samalla vaikuttanut kilpailukykyyn. Tämän vuoksi innovaatiokuilun umpeen kurominen on yksi kilpailukykykompassin kolmesta toimintalinjasta, ja siksi kompassissa esitetään toimenpiteitä EU:n innovaatiokyvyn vahvistamiseksi. </w:t>
      </w:r>
    </w:p>
    <w:p w14:paraId="71E974EC" w14:textId="6EF7A850" w:rsidR="009B4B9D" w:rsidRPr="0047627E" w:rsidRDefault="009B4B9D" w:rsidP="009B4B9D">
      <w:pPr>
        <w:rPr>
          <w:noProof/>
        </w:rPr>
      </w:pPr>
      <w:r>
        <w:rPr>
          <w:noProof/>
        </w:rPr>
        <w:t>Samaan aikaan unionilla on edelleen vahva perusta puhtaiden energiateknologioiden alalla, jolla se on monilla sektoreilla edelleen hyvässä asemassa. EU on kuitenkin jäämässä jälkeen Yhdysvalloista ja Kiinasta digitaalisilla aloilla sekä yleisesti että puhtaaseen teknologiaan liittyvillä erityisaloilla.</w:t>
      </w:r>
      <w:r w:rsidRPr="005C663E">
        <w:rPr>
          <w:noProof/>
          <w:vertAlign w:val="superscript"/>
        </w:rPr>
        <w:footnoteReference w:id="55"/>
      </w:r>
      <w:r>
        <w:rPr>
          <w:noProof/>
        </w:rPr>
        <w:t xml:space="preserve"> Ottaen huomioon digitalisaation horisontaalinen merkitys eri teknologioiden välillä myös tämä vaikuttaa EU:n kilpailukykyyn.</w:t>
      </w:r>
    </w:p>
    <w:p w14:paraId="717D803B" w14:textId="1196F9DA" w:rsidR="001E70A4" w:rsidRDefault="003B37CD" w:rsidP="009B4B9D">
      <w:pPr>
        <w:rPr>
          <w:noProof/>
        </w:rPr>
      </w:pPr>
      <w:r>
        <w:rPr>
          <w:noProof/>
        </w:rPr>
        <w:t>Kun tarkastellaan suurten talouksien puhtaisiin energiateknologioihin liittyviä T&amp;I-menoja BKT:hen suhteutettuna, EU:n julkiset T&amp;I-menot ovat korkeat mutta yksityisten T&amp;I-menojen taso on suhteellisen matala. Tuoreimmat saatavilla olevat tiedot osoittavat, että puolet jäsenvaltioista, jotka ovat jo ilmoittaneet vuotta 2023 koskevat luvut</w:t>
      </w:r>
      <w:r w:rsidR="00DC562F">
        <w:rPr>
          <w:rStyle w:val="FootnoteReference"/>
          <w:noProof/>
        </w:rPr>
        <w:footnoteReference w:id="56"/>
      </w:r>
      <w:r>
        <w:rPr>
          <w:noProof/>
        </w:rPr>
        <w:t>, ovat lisänneet julkisia T&amp;I-menojaan. Jos nämä osittaiset raportointitiedot osoittautuvat edustaviksi – ja jos huomioon ei oteta muita tekijöitä – se merkitsisi 0,7 miljardin euron (9 prosentin) lisäystä energiaunionin T&amp;I-painopisteisiin myönnettävään tukeen.</w:t>
      </w:r>
      <w:r w:rsidR="009B4B9D" w:rsidRPr="00711449">
        <w:rPr>
          <w:rStyle w:val="FootnoteReference"/>
          <w:noProof/>
        </w:rPr>
        <w:footnoteReference w:id="57"/>
      </w:r>
      <w:r>
        <w:rPr>
          <w:noProof/>
        </w:rPr>
        <w:t xml:space="preserve"> </w:t>
      </w:r>
    </w:p>
    <w:p w14:paraId="2437895B" w14:textId="448FFC0D" w:rsidR="009B4B9D" w:rsidRPr="005C663E" w:rsidRDefault="009B4B9D" w:rsidP="009B4B9D">
      <w:pPr>
        <w:rPr>
          <w:noProof/>
        </w:rPr>
      </w:pPr>
      <w:r>
        <w:rPr>
          <w:noProof/>
        </w:rPr>
        <w:t>Julkiset investoinnit energiaunionin T&amp;I-painopisteisiin ovat lisääntyneet tasaisesti, ja jäsenvaltioiden vuonna 2022 ilmoittamat luvut olivat 23 prosenttia suuremmat kuin vuonna 2021.</w:t>
      </w:r>
      <w:r w:rsidRPr="00711449">
        <w:rPr>
          <w:rStyle w:val="FootnoteReference"/>
          <w:noProof/>
        </w:rPr>
        <w:footnoteReference w:id="58"/>
      </w:r>
      <w:r>
        <w:rPr>
          <w:noProof/>
        </w:rPr>
        <w:t xml:space="preserve"> Noin puolet tietoja toimittaneista jäsenvaltioista</w:t>
      </w:r>
      <w:r w:rsidRPr="00711449">
        <w:rPr>
          <w:rStyle w:val="FootnoteReference"/>
          <w:noProof/>
        </w:rPr>
        <w:footnoteReference w:id="59"/>
      </w:r>
      <w:r>
        <w:rPr>
          <w:noProof/>
        </w:rPr>
        <w:t xml:space="preserve"> lisäsi vuonna 2022 julkisia T&amp;I-investointejaan energiaunionin painopisteisiin vuoteen 2021 verrattuna. Vuonna 2022 ilmoitetut julkiset investoinnit EU:n varoilla täydennettyinä olivat yli 9 miljardia euroa. Näiden lukujen sekä Kiinaa ja Yhdysvaltoja koskevien arvioiden perusteella EU on suurten talouksien kärjessä puhtaisiin energiateknologioihin liittyvissä julkisissa T&amp;I-menoissa sekä absoluuttisesti mitattuna että BKT:hen suhteutettuna (0,057 prosenttia, kun toisena tulevan Japanin suhdeluku on 0,055 prosenttia). </w:t>
      </w:r>
    </w:p>
    <w:p w14:paraId="019D3936" w14:textId="2F0A44CD" w:rsidR="009B4B9D" w:rsidRPr="00780855" w:rsidRDefault="009B4B9D" w:rsidP="00780855">
      <w:pPr>
        <w:pStyle w:val="JRCFigurecaption"/>
        <w:spacing w:line="240" w:lineRule="auto"/>
        <w:rPr>
          <w:rFonts w:ascii="Times New Roman" w:hAnsi="Times New Roman"/>
          <w:i/>
          <w:iCs/>
          <w:noProof/>
          <w:sz w:val="24"/>
          <w:szCs w:val="28"/>
        </w:rPr>
      </w:pPr>
      <w:bookmarkStart w:id="18" w:name="_Ref117698079"/>
      <w:bookmarkStart w:id="19" w:name="_Toc174987276"/>
      <w:bookmarkStart w:id="20" w:name="_Toc148091680"/>
      <w:bookmarkStart w:id="21" w:name="_Toc117697844"/>
      <w:r>
        <w:rPr>
          <w:rFonts w:ascii="Times New Roman" w:hAnsi="Times New Roman"/>
          <w:b/>
          <w:i/>
          <w:noProof/>
          <w:sz w:val="24"/>
        </w:rPr>
        <w:t>Kaavio </w:t>
      </w:r>
      <w:r w:rsidRPr="00780855">
        <w:rPr>
          <w:rFonts w:ascii="Times New Roman" w:hAnsi="Times New Roman"/>
          <w:i/>
          <w:noProof/>
          <w:sz w:val="24"/>
        </w:rPr>
        <w:fldChar w:fldCharType="begin"/>
      </w:r>
      <w:r w:rsidRPr="00780855">
        <w:rPr>
          <w:rFonts w:ascii="Times New Roman" w:hAnsi="Times New Roman"/>
          <w:b/>
          <w:i/>
          <w:noProof/>
          <w:sz w:val="24"/>
        </w:rPr>
        <w:instrText xml:space="preserve"> SEQ Figure \* ARABIC </w:instrText>
      </w:r>
      <w:r w:rsidRPr="00780855">
        <w:rPr>
          <w:rFonts w:ascii="Times New Roman" w:hAnsi="Times New Roman"/>
          <w:i/>
          <w:noProof/>
          <w:sz w:val="24"/>
        </w:rPr>
        <w:fldChar w:fldCharType="separate"/>
      </w:r>
      <w:r w:rsidRPr="00780855">
        <w:rPr>
          <w:rFonts w:ascii="Times New Roman" w:hAnsi="Times New Roman"/>
          <w:b/>
          <w:i/>
          <w:noProof/>
          <w:sz w:val="24"/>
        </w:rPr>
        <w:t>2</w:t>
      </w:r>
      <w:r w:rsidRPr="00780855">
        <w:rPr>
          <w:rFonts w:ascii="Times New Roman" w:hAnsi="Times New Roman"/>
          <w:i/>
          <w:noProof/>
          <w:sz w:val="24"/>
        </w:rPr>
        <w:fldChar w:fldCharType="end"/>
      </w:r>
      <w:bookmarkEnd w:id="18"/>
      <w:r>
        <w:rPr>
          <w:rFonts w:ascii="Times New Roman" w:hAnsi="Times New Roman"/>
          <w:i/>
          <w:noProof/>
          <w:sz w:val="24"/>
        </w:rPr>
        <w:t>: Julkiset ja yksityiset investoinnit energiaunionin T&amp;I-painopisteisiin suhteessa BKT:hen suurissa talouksissa</w:t>
      </w:r>
      <w:bookmarkEnd w:id="19"/>
      <w:bookmarkEnd w:id="20"/>
      <w:bookmarkEnd w:id="21"/>
    </w:p>
    <w:p w14:paraId="5917C2CE" w14:textId="10F80442" w:rsidR="009B4B9D" w:rsidRDefault="001B67C2" w:rsidP="009B4B9D">
      <w:pPr>
        <w:pStyle w:val="JRCFigureplaceholder"/>
        <w:spacing w:line="240" w:lineRule="auto"/>
        <w:rPr>
          <w:noProof/>
        </w:rPr>
      </w:pPr>
      <w:r w:rsidRPr="001B67C2">
        <w:rPr>
          <w:noProof/>
          <w:lang w:val="en-GB" w:eastAsia="en-GB"/>
        </w:rPr>
        <w:drawing>
          <wp:inline distT="0" distB="0" distL="0" distR="0" wp14:anchorId="6F3A0168" wp14:editId="41665FB5">
            <wp:extent cx="5673400" cy="2040941"/>
            <wp:effectExtent l="0" t="0" r="0" b="0"/>
            <wp:docPr id="14954792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90076" cy="2046940"/>
                    </a:xfrm>
                    <a:prstGeom prst="rect">
                      <a:avLst/>
                    </a:prstGeom>
                    <a:noFill/>
                    <a:ln>
                      <a:noFill/>
                    </a:ln>
                  </pic:spPr>
                </pic:pic>
              </a:graphicData>
            </a:graphic>
          </wp:inline>
        </w:drawing>
      </w:r>
    </w:p>
    <w:p w14:paraId="3DAF8725" w14:textId="1C565B54" w:rsidR="009B4B9D" w:rsidRPr="005C663E" w:rsidRDefault="009B4B9D" w:rsidP="009B4B9D">
      <w:pPr>
        <w:pStyle w:val="JRCFiguresource"/>
        <w:spacing w:after="160" w:line="240" w:lineRule="auto"/>
        <w:rPr>
          <w:rFonts w:ascii="Times New Roman" w:hAnsi="Times New Roman"/>
          <w:noProof/>
        </w:rPr>
      </w:pPr>
      <w:r>
        <w:rPr>
          <w:rFonts w:ascii="Times New Roman" w:hAnsi="Times New Roman"/>
          <w:noProof/>
        </w:rPr>
        <w:t>Lähde: Yhteinen tutkimuskeskus IEA:n</w:t>
      </w:r>
      <w:r w:rsidRPr="005C663E">
        <w:rPr>
          <w:rStyle w:val="FootnoteReference"/>
          <w:rFonts w:ascii="Times New Roman" w:hAnsi="Times New Roman"/>
          <w:noProof/>
        </w:rPr>
        <w:footnoteReference w:id="60"/>
      </w:r>
      <w:r>
        <w:rPr>
          <w:rFonts w:ascii="Times New Roman" w:hAnsi="Times New Roman"/>
          <w:noProof/>
        </w:rPr>
        <w:t>, Mission I</w:t>
      </w:r>
      <w:bookmarkStart w:id="22" w:name="_Ref174442848"/>
      <w:r>
        <w:rPr>
          <w:rFonts w:ascii="Times New Roman" w:hAnsi="Times New Roman"/>
          <w:noProof/>
        </w:rPr>
        <w:t>nnovationin</w:t>
      </w:r>
      <w:r w:rsidRPr="005C663E">
        <w:rPr>
          <w:rFonts w:ascii="Times New Roman" w:hAnsi="Times New Roman"/>
          <w:noProof/>
          <w:vertAlign w:val="superscript"/>
        </w:rPr>
        <w:footnoteReference w:id="61"/>
      </w:r>
      <w:bookmarkEnd w:id="22"/>
      <w:r>
        <w:rPr>
          <w:rFonts w:ascii="Times New Roman" w:hAnsi="Times New Roman"/>
          <w:noProof/>
        </w:rPr>
        <w:t xml:space="preserve"> ja oman analyysinsa</w:t>
      </w:r>
      <w:r w:rsidRPr="005C663E">
        <w:rPr>
          <w:rStyle w:val="FootnoteReference"/>
          <w:rFonts w:ascii="Times New Roman" w:hAnsi="Times New Roman"/>
          <w:noProof/>
        </w:rPr>
        <w:footnoteReference w:id="62"/>
      </w:r>
      <w:r>
        <w:rPr>
          <w:rFonts w:ascii="Times New Roman" w:hAnsi="Times New Roman"/>
          <w:noProof/>
        </w:rPr>
        <w:t xml:space="preserve"> perusteella.</w:t>
      </w:r>
    </w:p>
    <w:p w14:paraId="11E058E8" w14:textId="20BA917C" w:rsidR="009B4B9D" w:rsidRPr="005C663E" w:rsidRDefault="009B4B9D" w:rsidP="00214A14">
      <w:pPr>
        <w:rPr>
          <w:rFonts w:eastAsia="Times New Roman"/>
          <w:noProof/>
          <w:color w:val="000000"/>
        </w:rPr>
      </w:pPr>
      <w:r>
        <w:rPr>
          <w:noProof/>
        </w:rPr>
        <w:t xml:space="preserve">Viimeisimmät lisäykset merkitsevät sitä, että </w:t>
      </w:r>
      <w:r>
        <w:rPr>
          <w:noProof/>
          <w:color w:val="000000"/>
        </w:rPr>
        <w:t>jäsenvaltioiden investoinnit ovat vuodesta 2021 lähtien ylittäneet vuosikymmenen takaiset, ennen talouden taantumaa kirjatut huippulukemat paitsi nimellisesti myös inflaation vaikutukset huomioituna. Samalla ajanjaksolla julkisten T&amp;I-investointien jakautuminen energiaunionin T&amp;I-prioriteetteihin on muuttunut merkittävästi. Aiemmin merkittävin ala oli ydinturvallisuus, joka houkutteli lähes kolmanneksen julkisista T&amp;I-investoinneista, kun taas viime vuosina kestävä liikenne ja erityisesti akku- ja vetyteknologia on houkutellut vastaavan osuuden.</w:t>
      </w:r>
    </w:p>
    <w:p w14:paraId="6C542FD0" w14:textId="05259889" w:rsidR="00FC7A03" w:rsidRPr="00FC7A03" w:rsidRDefault="00810313" w:rsidP="00FC7A03">
      <w:pPr>
        <w:rPr>
          <w:i/>
          <w:iCs/>
          <w:noProof/>
        </w:rPr>
      </w:pPr>
      <w:r>
        <w:rPr>
          <w:noProof/>
          <w:color w:val="000000"/>
        </w:rPr>
        <w:t xml:space="preserve">Jäsenvaltioiden julkisia investointeja täydennetään EU:n varoilla. </w:t>
      </w:r>
      <w:r>
        <w:rPr>
          <w:noProof/>
        </w:rPr>
        <w:t xml:space="preserve">EU:n tutkimukseen ja innovointiin keskittyvästä Horisontti Eurooppa </w:t>
      </w:r>
      <w:r>
        <w:rPr>
          <w:noProof/>
        </w:rPr>
        <w:noBreakHyphen/>
        <w:t xml:space="preserve">puiteohjelmasta tuetaan edelleen puhtaita energiateknologioita ja niiden kilpailukykyä. </w:t>
      </w:r>
      <w:r>
        <w:rPr>
          <w:noProof/>
          <w:color w:val="000000"/>
        </w:rPr>
        <w:t xml:space="preserve">Esimerkiksi </w:t>
      </w:r>
      <w:r>
        <w:rPr>
          <w:noProof/>
        </w:rPr>
        <w:t xml:space="preserve">puiteohjelman klusterista 5 ”Ilmasto, energia ja liikkuvuus” investoitiin vuosina 2021–2024 noin 320 miljoonaa euroa tutkimukseen ja innovointiin aurinkosähköalalla, 70 miljoonaa euroa geotermiseen energiaan ja yli 230 miljoonaa euroa lento- ja meriliikenteen kestäviin vaihtoehtoisiin polttoaineisiin liittyvien kehittyneiden teknologioiden edistämiseen. Horisontti Eurooppa </w:t>
      </w:r>
      <w:r>
        <w:rPr>
          <w:noProof/>
        </w:rPr>
        <w:noBreakHyphen/>
        <w:t>puiteohjelmaan sisältyy myös toimia, joilla pyritään saamaan liikkeelle yksityisiä investointeja eurooppalaisten kumppanuuksien, kuten puhtaan vedyn kumppanuuden, akkukumppanuuden tai aurinkosähkökumppanuuden, kautta.</w:t>
      </w:r>
    </w:p>
    <w:p w14:paraId="354AA90F" w14:textId="60C6ACC2" w:rsidR="00D42E02" w:rsidRPr="00D42E02" w:rsidRDefault="009B4B9D" w:rsidP="00D42E02">
      <w:pPr>
        <w:rPr>
          <w:noProof/>
        </w:rPr>
      </w:pPr>
      <w:r>
        <w:rPr>
          <w:noProof/>
        </w:rPr>
        <w:t>Yksityiset investoinnit muodostavat edelleen suurimman osan (yli kolme neljäsosaa) puhtaan energiateknologian T&amp;I-rahoituksesta sekä EU:ssa että kaikissa suurimmissa talouksissa. BKT:hen suhteutetut investoinnit ovat edelleen huomattavasti suuremmat Aasian tärkeimmissä talouksissa kuin EU:ssa ja Yhdysvalloissa. Suurin osa puhtaaseen energiateknologiaan tehdyistä yksityisistä T&amp;I-investoinneista EU:ssa kohdistuu kestäviin liikenneteknologioihin. Suurin osa teollisuuden T&amp;K-investoinneista unionissa tehdään autoteollisuudessa. Alalla on kärkipaikka autoteollisuuden T&amp;K-investoinneissa koko maailmassa, ja sen investoinnit ovat kahdeksan kertaa niin suuret kuin investoinnit energiateollisuuteen (puhtaisiin ja muihin teknologioihin).</w:t>
      </w:r>
      <w:r w:rsidR="00D42E02" w:rsidRPr="00D42E02">
        <w:rPr>
          <w:noProof/>
          <w:vertAlign w:val="superscript"/>
        </w:rPr>
        <w:footnoteReference w:id="63"/>
      </w:r>
      <w:r>
        <w:rPr>
          <w:noProof/>
        </w:rPr>
        <w:t xml:space="preserve"> Lähes neljännes alan innovaatiotoiminnasta liittyy kestävämpiin teknologioihin, joista yli kolmannes koskee sähköistä liikkumista (myös akkuja).</w:t>
      </w:r>
      <w:r w:rsidR="00D42E02" w:rsidRPr="006D05CC">
        <w:rPr>
          <w:noProof/>
          <w:vertAlign w:val="superscript"/>
        </w:rPr>
        <w:footnoteReference w:id="64"/>
      </w:r>
      <w:r>
        <w:rPr>
          <w:noProof/>
        </w:rPr>
        <w:t xml:space="preserve"> </w:t>
      </w:r>
    </w:p>
    <w:p w14:paraId="5BEF280B" w14:textId="163DE102" w:rsidR="009B4B9D" w:rsidRDefault="003360C8" w:rsidP="009B4B9D">
      <w:pPr>
        <w:rPr>
          <w:noProof/>
        </w:rPr>
      </w:pPr>
      <w:r>
        <w:rPr>
          <w:noProof/>
        </w:rPr>
        <w:t>Draghin raportissa painotettiin innovoinnin keskeistä roolia tuottavuuden lisäämisessä ja korostettiin, että tarvitaan yhteisiä toimia innovoinnin esteiden poistamiseksi ja Kiinan ja Yhdysvaltojen saavuttamiseksi keskeisissä teknologioissa. Tältä osin raportissa korostetaan, että EU:n etumatka vihreiden teknologioiden alalla on entistä enemmän uhattuna.</w:t>
      </w:r>
      <w:r w:rsidR="009B4B9D" w:rsidRPr="005C663E">
        <w:rPr>
          <w:rStyle w:val="FootnoteReference"/>
          <w:noProof/>
        </w:rPr>
        <w:footnoteReference w:id="65"/>
      </w:r>
      <w:r>
        <w:rPr>
          <w:noProof/>
        </w:rPr>
        <w:t xml:space="preserve"> Samaan aikaan EU:n johtavia T&amp;K-investoijia koskeva analyysi osoittaa T&amp;K-investointien tuottojen olevan laskussa, mikä viittaa siihen, että pelkkä investointien lisääminen ei välttämättä riitä vaan myös muut kysymykset, kuten osaajien säilyttäminen, on ratkaistava.</w:t>
      </w:r>
      <w:r w:rsidR="009B4B9D">
        <w:rPr>
          <w:rStyle w:val="FootnoteReference"/>
          <w:noProof/>
        </w:rPr>
        <w:footnoteReference w:id="66"/>
      </w:r>
      <w:r>
        <w:rPr>
          <w:noProof/>
        </w:rPr>
        <w:t xml:space="preserve"> Manuel Heitorin johtama riippumaton asiantuntijaryhmä määritteli vuonna 2024 useita toimenpiteitä, joita EU voisi toteuttaa varmistaakseen johtoaseman T&amp;I-toiminnassa ja tukeakseen kilpailukykyä nopeasti muuttuvassa teknologiaympäristössä. Nämä toimenpiteet ulottuvat rahoituksen lisäämisestä ja yhteistoiminnan uudelleenmäärittelystä T&amp;I-politiikkojen ja </w:t>
      </w:r>
      <w:r>
        <w:rPr>
          <w:noProof/>
        </w:rPr>
        <w:noBreakHyphen/>
        <w:t>välineiden rakenteiden uudistamiseen.</w:t>
      </w:r>
      <w:r w:rsidR="009B4B9D">
        <w:rPr>
          <w:rStyle w:val="FootnoteReference"/>
          <w:noProof/>
        </w:rPr>
        <w:footnoteReference w:id="67"/>
      </w:r>
      <w:r>
        <w:rPr>
          <w:noProof/>
        </w:rPr>
        <w:t xml:space="preserve"> T&amp;I-toiminnan suorituskyvyn ja kilpailuaseman jatkuva seuranta auttaa toteuttamaan muutoksia käytännössä ja tarvittaessa arvioimaan niiden vaikutuksia.</w:t>
      </w:r>
    </w:p>
    <w:p w14:paraId="6D9DEDBE" w14:textId="5EEDC358" w:rsidR="009B4B9D" w:rsidRPr="005C663E" w:rsidRDefault="009B4B9D" w:rsidP="009B4B9D">
      <w:pPr>
        <w:rPr>
          <w:noProof/>
        </w:rPr>
      </w:pPr>
      <w:r>
        <w:rPr>
          <w:noProof/>
        </w:rPr>
        <w:t>Vaikka EU suoriutuu edelleen hyvin, Kiina on lisännyt johtoasemaansa puhtaita teknologioita koskevissa tieteellisissä tuotoksissa. Tieteellisten julkaisujen osalta unionissa tuotetaan enemmän erikoistunutta tutkimusta kuin Yhdysvalloissa, mutta EU jää Kiinasta älykästä, ympäristöystävällistä ja yhdentynyttä liikennettä sekä turvallista, puhdasta ja tehokasta energiaa koskevassa tutkimuksessa. Sillä on kuitenkin edelleen johtoasema tieteellisissä tuotoksissa, joissa käsitellään kohtuuhintaista ja puhdasta energiaa koskevan kestävän kehityksen tavoitetta.</w:t>
      </w:r>
      <w:r w:rsidRPr="005C663E">
        <w:rPr>
          <w:rStyle w:val="FootnoteReference"/>
          <w:noProof/>
        </w:rPr>
        <w:footnoteReference w:id="68"/>
      </w:r>
      <w:r>
        <w:rPr>
          <w:noProof/>
        </w:rPr>
        <w:t xml:space="preserve"> </w:t>
      </w:r>
    </w:p>
    <w:p w14:paraId="5EB6765A" w14:textId="1995F9E6" w:rsidR="009B4B9D" w:rsidRPr="005C663E" w:rsidRDefault="4C0A817D" w:rsidP="009B4B9D">
      <w:pPr>
        <w:rPr>
          <w:noProof/>
        </w:rPr>
      </w:pPr>
      <w:r>
        <w:rPr>
          <w:noProof/>
        </w:rPr>
        <w:t>Ilmastonmuutoksen hillitsemiseen liittyvien teknologioiden suojaamiseksi tehtyjen patenttihakemusten osuus kaikista keksinnöistä oli suurimmillaan vuonna 2011. Samaan aikaan kun ”vihreiden” patenttien hakeminen on vähentynyt, asiaan liittyviä tavaramerkkejä koskevat hakemukset ovat lisääntyneet, mikä osoittaa, että painopiste on siirtynyt tutkimuksesta ja innovoinnista toteutukseen ja käyttöönottoon.</w:t>
      </w:r>
      <w:bookmarkStart w:id="23" w:name="_Ref174637076"/>
      <w:r w:rsidR="009B4B9D" w:rsidRPr="005C663E">
        <w:rPr>
          <w:rStyle w:val="FootnoteReference"/>
          <w:noProof/>
        </w:rPr>
        <w:footnoteReference w:id="69"/>
      </w:r>
      <w:bookmarkEnd w:id="23"/>
      <w:r>
        <w:rPr>
          <w:noProof/>
        </w:rPr>
        <w:t xml:space="preserve"> EU:lla on edelleen maailmanlaajuinen johtoasema sellaisissa arvokkaissa patenttihakemuksissa</w:t>
      </w:r>
      <w:r w:rsidR="009B4B9D">
        <w:rPr>
          <w:rStyle w:val="FootnoteReference"/>
          <w:noProof/>
        </w:rPr>
        <w:footnoteReference w:id="70"/>
      </w:r>
      <w:r>
        <w:rPr>
          <w:noProof/>
        </w:rPr>
        <w:t>, jotka liittyvät uusiutuvia energialähteitä ja energiatehokkuutta koskeviin energiaunionin T&amp;I-prioriteetteihin. EU:n osuus uusiutuvia energialähteitä koskevista patenttihakemuksista on 29</w:t>
      </w:r>
      <w:r w:rsidR="00D850E7">
        <w:rPr>
          <w:noProof/>
        </w:rPr>
        <w:t> </w:t>
      </w:r>
      <w:r>
        <w:rPr>
          <w:noProof/>
        </w:rPr>
        <w:t>% ja energiatehokkuutta koskevista 23</w:t>
      </w:r>
      <w:r w:rsidR="00D850E7">
        <w:rPr>
          <w:noProof/>
        </w:rPr>
        <w:t> </w:t>
      </w:r>
      <w:r>
        <w:rPr>
          <w:noProof/>
        </w:rPr>
        <w:t xml:space="preserve">%. EU on toisella sijalla Japanin jälkeen kestävässä liikenteessä ja Yhdysvaltojen jälkeen hiilidioksidin talteenotossa, hyödyntämisessä ja varastoinnissa (CCUS) sekä ydinturvallisuudessa, mutta se ei ole onnistunut parantamaan asemiaan älykkäiden järjestelmien alalla. Kiina keskittyi vuosien ajan kotimarkkinoitaan koskeviin hakemuksiin, mutta nykyisin se keskittyy yhä enemmän puhtaan energian innovaatioiden suojaamiseen kansainvälisellä tasolla. Sillä on jo kärkisija älykkäitä järjestelmiä koskevissa arvokkaissa patenttihakemuksissa (33 %), ja se parantaa sijoitustaan myös kaikilla muilla aloilla. EU on kuitenkin jatkuvasti erikoistunut maailmanlaajuista keskiarvoa enemmän uusiutuvaan energiaan, kestävään liikenteeseen ja CCUS-teknologioihin. Unionilla on myös edelleen erikoistumiseen perustuvaa kilpailuetua useissa muissa teknologioissa, kuten tuulienergiassa, liikenteessä käytettävässä vedyssä ja bioenergiassa. </w:t>
      </w:r>
    </w:p>
    <w:p w14:paraId="18E73CEE" w14:textId="306BF466" w:rsidR="009B4B9D" w:rsidRDefault="4C0A817D" w:rsidP="009B4B9D">
      <w:pPr>
        <w:rPr>
          <w:noProof/>
        </w:rPr>
      </w:pPr>
      <w:r>
        <w:rPr>
          <w:noProof/>
        </w:rPr>
        <w:t>Euroopan strateginen energiateknologiasuunnitelma (SET-suunnitelma) on tärkein väline tutkimusta, innovointia ja kilpailukykyä koskevan energiaunionin toimintalohkon täytäntöönpanossa. Sen pohjalta jäsenvaltiot ja komissio tekevät yhteistyötä ja työskentelevät tiiviisti teollisuuden ja tutkimuslaitosten kanssa yhteisten tutkimus- ja innovointiohjelmien laatimiseksi nettonollateknologioiden alalla. SET-suunnitelmaa tarkistettiin vuonna 2023</w:t>
      </w:r>
      <w:r w:rsidR="009B4B9D" w:rsidRPr="005C663E">
        <w:rPr>
          <w:rStyle w:val="FootnoteReference"/>
          <w:noProof/>
        </w:rPr>
        <w:footnoteReference w:id="71"/>
      </w:r>
      <w:r>
        <w:rPr>
          <w:noProof/>
        </w:rPr>
        <w:t xml:space="preserve">, minkä jälkeen SET-suunnitelman ja sen ohjausryhmän roolia vahvistettiin edelleen </w:t>
      </w:r>
      <w:r>
        <w:rPr>
          <w:noProof/>
          <w:color w:val="000000" w:themeColor="text1"/>
        </w:rPr>
        <w:t>nettonollateollisuussäädöksellä</w:t>
      </w:r>
      <w:r>
        <w:rPr>
          <w:noProof/>
        </w:rPr>
        <w:t xml:space="preserve"> puhtaiden, tehokkaiden ja kustannustehokkaiden energiateknologioiden kehittämisen tukemiseksi koordinoinnin ja yhteistyön avulla</w:t>
      </w:r>
      <w:r w:rsidR="009B4B9D" w:rsidRPr="005C663E">
        <w:rPr>
          <w:rStyle w:val="FootnoteReference"/>
          <w:noProof/>
        </w:rPr>
        <w:footnoteReference w:id="72"/>
      </w:r>
      <w:r>
        <w:rPr>
          <w:noProof/>
        </w:rPr>
        <w:t>.</w:t>
      </w:r>
    </w:p>
    <w:p w14:paraId="13EBD2D6" w14:textId="04726AC6" w:rsidR="009B4B9D" w:rsidRPr="005C663E" w:rsidRDefault="4C0A817D" w:rsidP="009B4B9D">
      <w:pPr>
        <w:rPr>
          <w:noProof/>
        </w:rPr>
      </w:pPr>
      <w:r>
        <w:rPr>
          <w:noProof/>
        </w:rPr>
        <w:t>SET-suunnitelman mukainen työ edistyi tasaisesti vuosina 2023 ja 2024. SET-suunnitelman työryhmien käsittelemien aihealueiden välillä on vahvoja kytköksiä, minkä ansiosta suunnitelman mukainen yhteistyö on tehostunut. Vuonna 2024 työryhmien välillä tehtiin enemmän yhteistyötä kuin koskaan SET-suunnitelman laatimisesta lähtien. Yhteistyö on ollut tiivistä esimerkiksi energiajärjestelmiä sekä teollisuuden kestävää ja tehokasta energiankäyttöä käsittelevien ryhmien välillä. SET-suunnitelman työryhmät jatkavat teknologiakohtaisten toteutussuunnitelmiensa päivittämistä ja tarkistamista. Esimerkiksi tasavirtateknologian alalla julkaistiin vuonna 2024 uusi pienjännitteistä tasavirtaa (LVDC) koskeva toteutussuunnitelma, jonka tavoitteena on kehittää LVDC-mikroverkkoja ja demonstroida niiden toimintaa rakennuksissa ja teollisuuslaitoksissa. Vuoden 2024 SET-suunnitelman edistymiskertomuksessa</w:t>
      </w:r>
      <w:r w:rsidR="009B4B9D">
        <w:rPr>
          <w:rStyle w:val="FootnoteReference"/>
          <w:noProof/>
        </w:rPr>
        <w:footnoteReference w:id="73"/>
      </w:r>
      <w:r>
        <w:rPr>
          <w:noProof/>
        </w:rPr>
        <w:t xml:space="preserve"> tarkastellaan yksityiskohtaisemmin viimeaikaista kehitystä, kuten suunnitelman puitteissa geotermisen energian alalle kehitettyä, vuoteen 2050 ulottuvaa visiota. </w:t>
      </w:r>
    </w:p>
    <w:p w14:paraId="0A5FBD3B" w14:textId="1FFBE316" w:rsidR="001C7B56" w:rsidRPr="005C663E" w:rsidRDefault="61814F11" w:rsidP="009029CA">
      <w:pPr>
        <w:rPr>
          <w:noProof/>
        </w:rPr>
      </w:pPr>
      <w:r>
        <w:rPr>
          <w:noProof/>
        </w:rPr>
        <w:t>Komissio on uudessa kilpailukykykompassissaan korostanut tarvetta asettaa tutkimus ja innovointi EU:n talouden ytimeen, koska ne ovat keskeisiä kilpailukykyä edistäviä tekijöitä. Innovaatiokuilun umpeen kuromiseksi komissio aikoo esittää eurooppalaista tutkimusaluetta koskevan säädöksen, jolla vahvistetaan T&amp;K-investointeja ja nostetaan ne asetettuun tavoitteeseen, joka on 3 prosenttia suhteessa BKT:hen. Lisäksi Euroopan tutkimusneuvostoa ja Euroopan innovaationeuvostoa laajennetaan.</w:t>
      </w:r>
      <w:r w:rsidR="009B4B9D" w:rsidRPr="005C663E">
        <w:rPr>
          <w:rStyle w:val="FootnoteReference"/>
          <w:noProof/>
          <w:lang w:val="en-IE"/>
        </w:rPr>
        <w:footnoteReference w:id="74"/>
      </w:r>
    </w:p>
    <w:p w14:paraId="6948A031" w14:textId="77777777" w:rsidR="00E11EA4" w:rsidRPr="009029CA" w:rsidRDefault="00E11EA4" w:rsidP="009029CA">
      <w:pPr>
        <w:pStyle w:val="Text3"/>
        <w:spacing w:after="160"/>
        <w:ind w:left="0"/>
        <w:rPr>
          <w:noProof/>
          <w:lang w:val="en-IE"/>
        </w:rPr>
      </w:pPr>
    </w:p>
    <w:p w14:paraId="73BA00A1" w14:textId="44B3B6C2" w:rsidR="004E765E" w:rsidRPr="009029CA" w:rsidRDefault="008675AC" w:rsidP="009029CA">
      <w:pPr>
        <w:pStyle w:val="Heading3"/>
        <w:spacing w:after="160"/>
        <w:rPr>
          <w:noProof/>
        </w:rPr>
      </w:pPr>
      <w:bookmarkStart w:id="24" w:name="_Toc194657177"/>
      <w:r>
        <w:rPr>
          <w:noProof/>
        </w:rPr>
        <w:t>Riskipääomasijoitusten kehitys</w:t>
      </w:r>
      <w:bookmarkEnd w:id="24"/>
    </w:p>
    <w:p w14:paraId="3FA5A258" w14:textId="58F3FBC1" w:rsidR="00B4306D" w:rsidRPr="009029CA" w:rsidRDefault="00086CF4" w:rsidP="0A162CF3">
      <w:pPr>
        <w:rPr>
          <w:rStyle w:val="normaltextrun"/>
          <w:noProof/>
        </w:rPr>
      </w:pPr>
      <w:r>
        <w:rPr>
          <w:noProof/>
          <w:color w:val="000000" w:themeColor="text1"/>
        </w:rPr>
        <w:t>Puhtaan energian yritysten rahoituksella on tärkeä rooli EU:n energia-alan häiriönsietokyvyn ja teknologisen riippumattomuuden edistämisessä. Riskipääoma</w:t>
      </w:r>
      <w:r>
        <w:rPr>
          <w:rStyle w:val="normaltextrun"/>
          <w:noProof/>
          <w:color w:val="000000" w:themeColor="text1"/>
        </w:rPr>
        <w:t xml:space="preserve"> </w:t>
      </w:r>
      <w:r>
        <w:rPr>
          <w:noProof/>
          <w:color w:val="000000" w:themeColor="text1"/>
        </w:rPr>
        <w:t>on innovatiivisia startup- ja scale-up-yrityksiä rahoittavan ekosysteemin keskiössä. Sillä on myös keskeinen rooli sen varmistamisessa, että EU voi hyödyntää uusien puhtaiden energiateknologioiden tarjoamat teolliset mahdollisuudet.</w:t>
      </w:r>
    </w:p>
    <w:p w14:paraId="466E4CD3" w14:textId="22341BFA" w:rsidR="00086CF4" w:rsidRPr="009029CA" w:rsidRDefault="00086CF4" w:rsidP="00086CF4">
      <w:pPr>
        <w:rPr>
          <w:rStyle w:val="normaltextrun"/>
          <w:noProof/>
        </w:rPr>
      </w:pPr>
      <w:r>
        <w:rPr>
          <w:rStyle w:val="normaltextrun"/>
          <w:noProof/>
        </w:rPr>
        <w:t>Riskipääomasijoitusten kehitys EU:n puhtaan energian alalla on osoitus EU:n tekemästä työstä, jolla se on pyrkinyt kehittämään</w:t>
      </w:r>
      <w:r>
        <w:rPr>
          <w:noProof/>
        </w:rPr>
        <w:t xml:space="preserve"> unionin </w:t>
      </w:r>
      <w:r>
        <w:rPr>
          <w:rStyle w:val="normaltextrun"/>
          <w:noProof/>
        </w:rPr>
        <w:t>riskipääoma</w:t>
      </w:r>
      <w:r>
        <w:rPr>
          <w:noProof/>
        </w:rPr>
        <w:t>-alaa, lisäämään julkisia investointeja merkittävien rahoitusvajeiden korjaamiseksi ja houkuttelemaan myös muita rahoittajia, kuten yritys- ja yhteisösijoittajia</w:t>
      </w:r>
      <w:r>
        <w:rPr>
          <w:rStyle w:val="normaltextrun"/>
          <w:noProof/>
        </w:rPr>
        <w:t>. EU:ssa on suhteellisesti eniten julkista riskipääomaa (verrattuna riskipääoman kokonaismäärään)</w:t>
      </w:r>
      <w:r w:rsidRPr="009029CA">
        <w:rPr>
          <w:rStyle w:val="FootnoteReference"/>
          <w:noProof/>
          <w:lang w:val="en-IE"/>
        </w:rPr>
        <w:footnoteReference w:id="75"/>
      </w:r>
      <w:r>
        <w:rPr>
          <w:rStyle w:val="normaltextrun"/>
          <w:noProof/>
        </w:rPr>
        <w:t>, mikä osoittaa julkisten investointien vahvan aseman yksityisiin investointeihin verrattuna.</w:t>
      </w:r>
    </w:p>
    <w:p w14:paraId="7EA7DF87" w14:textId="1894B638" w:rsidR="00086CF4"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Vuosia 2023 ja 2024 koskevat tiedot antavat tilanteesta vaihtelevan kuvan, johon liittyy sekä mahdollisuuksia että haasteita EU:lle. Vuonna 2023 riskipääomarahoituksen määrä supistui koko maailmassa. EU kuitenkin osoitti kykynsä houkutella kasvuun tähtääviä strategisia rahoitussopimuksia akkujen ja vetypohjaisen teräksen laajamittaisia tuotantolaitoksia varten. Nämä poikkeukselliset sopimukset vauhdittivat puhtaaseen energiateknologiaan tehtyjen riskipääomasijoitusten kasvua unionissa, ja investoinnit nousivat 9,2 miljardiin euroon vuonna 2023 (+20 prosenttia vuoteen 2022 verrattuna)</w:t>
      </w:r>
      <w:r w:rsidR="00234180" w:rsidRPr="009029CA">
        <w:rPr>
          <w:rStyle w:val="normaltextrun"/>
          <w:rFonts w:ascii="Times New Roman" w:eastAsia="Times New Roman" w:hAnsi="Times New Roman"/>
          <w:noProof/>
          <w:sz w:val="24"/>
          <w:szCs w:val="24"/>
          <w:vertAlign w:val="superscript"/>
          <w:lang w:val="en-IE" w:eastAsia="en-GB"/>
        </w:rPr>
        <w:footnoteReference w:id="76"/>
      </w:r>
      <w:r>
        <w:rPr>
          <w:rStyle w:val="normaltextrun"/>
          <w:rFonts w:ascii="Times New Roman" w:hAnsi="Times New Roman"/>
          <w:noProof/>
          <w:sz w:val="24"/>
        </w:rPr>
        <w:t>.</w:t>
      </w:r>
    </w:p>
    <w:p w14:paraId="09372A78" w14:textId="388BC94B" w:rsidR="00086CF4"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Vuonna 2024 jatkunut epäsuotuisa makrotaloudellinen toimintaympäristö vähensi rahoitussopimusten tekemistä, mikä johti EU:n riskipääomasijoitusten kokonaismäärän merkittävään vähenemiseen. Tämä jyrkkä lasku (–34 prosenttia vuoteen 2023 verrattuna) osoitti, että toiminta on perustunut pitkälti vain muutamiin merkittäviin rahoitussopimuksiin, joissa riskipääoman määrä on ollut yli miljardi euroa. Vuonna 2023 ainoastaan kolme yritystä kykeni keräämään tällaisia määriä. Näiden investointien yhteenlaskettu osuus kaikista puhtaaseen energiateknologiaan tehdyistä riskipääomasijoituksista EU:ssa oli 43 prosenttia. Yksi mainituista yrityksistä oli ruotsalainen akkuvalmistaja Northvolt. Se kuitenkin haki konkurssisuojaa marraskuussa 2024, mikä korostaa tuotannon nopeaan laajentamiseen liittyviä haasteita. Riippuvuus merkittävistä rahoitussopimuksista oli vieläkin ilmeisempää vuonna 2024, jolloin tehtiin vain yksi tällainen sopimus. Se oli arvoltaan 2,4 miljardia euroa, ja sen osuus EU:n puhtaaseen energiateknologiaan tehdyistä riskipääomasijoituksista oli 39 prosenttia.</w:t>
      </w:r>
      <w:r w:rsidR="00572DCA">
        <w:rPr>
          <w:rStyle w:val="FootnoteReference"/>
          <w:rFonts w:ascii="Times New Roman" w:eastAsia="Times New Roman" w:hAnsi="Times New Roman"/>
          <w:noProof/>
          <w:sz w:val="24"/>
          <w:szCs w:val="24"/>
          <w:lang w:val="en-IE" w:eastAsia="en-GB"/>
        </w:rPr>
        <w:footnoteReference w:id="77"/>
      </w:r>
    </w:p>
    <w:p w14:paraId="4E8F9C13" w14:textId="65B60CB9" w:rsidR="00086CF4" w:rsidRPr="009029CA" w:rsidDel="007F157E"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Näiden merkittävien sopimusten vuoksi investointikuilu EU:n ja Yhdysvaltojen ja Kiinan välillä oli kapeimmillaan vuonna 2023. Tämä johtui siitä, että puhtaiden energiateknologioiden osuus EU:n yhteenlasketuista riskipääomasijoituksista kasvoi samaan aikaan kun riskipääomasijoitukset Yhdysvalloissa ja Kiinassa vähenivät. Näin ollen EU:n osuus puhtaisiin energiateknologioihin koko maailmassa tehdyistä riskipääomasijoituksista kasvoi 28 prosenttiin vuonna 2023. Tällä tuloksella se sijoittautui Yhdysvaltojen (30 %) ja Kiinan (24 %) väliin. Osuus pysyi suhteellisen vakaana vuonna 2024.</w:t>
      </w:r>
    </w:p>
    <w:p w14:paraId="33DCA17E" w14:textId="2FB559C1" w:rsidR="00086CF4" w:rsidRPr="009029CA"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 xml:space="preserve">Kaiken kaikkiaan rahoituksen saatavuus on edelleen keskeinen este useimmille EU:n yrityksille, jotka kehittävät ja valmistavat puhtaita energiateknologioita. Menestystarinoita on välttämätöntä toistaa, myös muissa teknologioissa, joissa EU on tällä hetkellä edelleen jäljessä. </w:t>
      </w:r>
    </w:p>
    <w:p w14:paraId="6217F826" w14:textId="11026A5B" w:rsidR="00086CF4" w:rsidRPr="009029CA"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 xml:space="preserve">Samaan aikaan riskipääomasijoitukset aurinkosähköteknologiaan kasvoivat EU:ssa, ja niiden osuus vuosina 2021–2023 koko maailmassa tehdyistä investoinneista oli 20 prosenttia. Näistä investoinneista kuitenkin hyötyivät enimmäkseen aurinkoenergiaratkaisujen integrointiin erikoistuneet yritykset, eivätkä ne siten edistäneet EU:n sisäistä aurinkomoduulituotantoa. Kiinalaiset yritykset keräsivät 2,7 kertaa enemmän riskipääomasijoituksia kuin vastaavat EU:n yritykset. Suurin osa investoinneista kohdistui uudentyyppisiä aurinkokennoja ja </w:t>
      </w:r>
      <w:r>
        <w:rPr>
          <w:rStyle w:val="normaltextrun"/>
          <w:rFonts w:ascii="Times New Roman" w:hAnsi="Times New Roman"/>
          <w:noProof/>
          <w:sz w:val="24"/>
        </w:rPr>
        <w:noBreakHyphen/>
        <w:t xml:space="preserve">moduuleja kehittäviin ja valmistaviin scale-up-yrityksiin. </w:t>
      </w:r>
    </w:p>
    <w:p w14:paraId="4C97C07E" w14:textId="67765C33" w:rsidR="00086CF4" w:rsidRPr="009029CA"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EU:n osuus vetyteknologioihin koko maailmassa tehdyistä riskipääomasijoituksista oli 15 prosenttia vuosina 2021–2023. Unionin asemaa on kuitenkin heikentänyt riskipääomasijoitusten väheneminen vuonna 2023 sekä kiinalaisten polttokennovalmistajien vuosina 2021 ja 2022 ja yhdysvaltalaisten elektrolyysilaitteiden valmistajien vuonna 2023 tekemät merkittävät rahoitussopimukset. Vuonna 2023 elektrolyysiteknologiaa kehittävät yhdysvaltalaiset startup-yritykset keräsivät kahdeksan kertaa enemmän riskipääomarahoitusta kuin EU:n kilpailijat. Niiden pyrkimyksenä on lisätä valmistuskapasiteettia, alentaa tuotantokustannuksia ja laajentaa toimintaa ulkomaisille markkinoille.</w:t>
      </w:r>
    </w:p>
    <w:p w14:paraId="6A78AE64" w14:textId="48C7A988" w:rsidR="00F523B2" w:rsidRPr="00B27A5E"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 xml:space="preserve">Pohjois-Amerikan startup-yritykset ovat perinteisesti menestyneet myös muilla nettonollateknologioiden aloilla, ja ne ovat houkutelleet valtaosan näihin teknologioihin tehdyistä riskipääomasijoituksista. Tämä koskee muun muassa CCUS-teknologiaa, keskittävää aurinkoenergiaa, geotermistä energiaa, vesivoimaa, ydinvoimaa, muuta kuin biologista alkuperää olevia uusiutuvia polttoaineita sekä kestävien vaihtoehtoisten polttoaineiden teknologioita. Näillä aloilla EU:n osuus koko maailmassa tehdyistä riskipääomasijoituksista on jatkuvasti ollut pieni. </w:t>
      </w:r>
    </w:p>
    <w:p w14:paraId="15B51A55" w14:textId="65E98479" w:rsidR="00086CF4" w:rsidRPr="009029CA"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 xml:space="preserve">EU on kuitenkin luonut merkittävää yritystoimintaa bioenergian, sähköajoneuvojen latauksen, lämpöpumppujen, uudenlaisten energian varastointiteknologioiden sekä valtameri-, aurinkolämpö- ja tuuliteknologian aloilla. Näiden alojen osuus EU:ssa vuosina 2021–2023 nettonollateknologioihin tehdyistä riskipääomasijoituksista on yhteensä 18,5 prosenttia (josta sähköajoneuvojen lataus kattaa puolet). Vuonna 2023 EU kattoi Yhdysvaltojen ohella suurimman osuuden kuhunkin näihin teknologioihin koko maailmassa tehdyistä investoinneista. Vaikka investoinnit ovat lisääntyneet vuodesta 2021 lähtien, tällaisia teknologioita ja komponentteja kehittäviltä EU:n yrityksiltä puuttuu edelleen merkittäviä rahoitussopimuksia, joiden avulla ne voisivat saada kilpailuetua ja edistää näiden teknologioiden laajamittaista käyttöönottoa. </w:t>
      </w:r>
    </w:p>
    <w:p w14:paraId="5844070A" w14:textId="505DA45E" w:rsidR="00250DCA" w:rsidRPr="009029CA" w:rsidRDefault="00250DCA" w:rsidP="00250DCA">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Innovatiivisia puhtaaseen teknologiaan tehtäviä investointeja edistetään useilla EU:n rahoitusvälineillä, kuten innovaatiorahastolla, InvestEU-ohjelmalla sekä Euroopan innovaationeuvoston (EIC) riskisijoitusvälineellä eli EIC-rahastolla. Vuonna 2024 käyttöön otetulla Euroopan strategisten teknologioiden kehitysvälineellä (STEP) tuetaan investointeja EU:n startup-yrityksiin, pk-yrityksiin ja pieniin midcap-yrityksiin, jotka kehittävät ja valmistavat kriittisiä puhtaan energian teknologioita.</w:t>
      </w:r>
      <w:r w:rsidRPr="009029CA">
        <w:rPr>
          <w:rStyle w:val="normaltextrun"/>
          <w:rFonts w:ascii="Times New Roman" w:eastAsia="Times New Roman" w:hAnsi="Times New Roman"/>
          <w:noProof/>
          <w:sz w:val="24"/>
          <w:szCs w:val="24"/>
          <w:vertAlign w:val="superscript"/>
          <w:lang w:val="en-IE" w:eastAsia="en-GB"/>
        </w:rPr>
        <w:footnoteReference w:id="78"/>
      </w:r>
      <w:r>
        <w:rPr>
          <w:rStyle w:val="normaltextrun"/>
          <w:rFonts w:ascii="Times New Roman" w:hAnsi="Times New Roman"/>
          <w:noProof/>
          <w:sz w:val="24"/>
        </w:rPr>
        <w:t xml:space="preserve"> </w:t>
      </w:r>
    </w:p>
    <w:p w14:paraId="6201F035" w14:textId="1413042E" w:rsidR="00086CF4" w:rsidRPr="009029CA"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EU:n puhtaan energian ekosysteemin koko potentiaalin hyödyntäminen edellyttää investointien esteiden poistamista ja kohdennettuja julkisia toimia.</w:t>
      </w:r>
      <w:r w:rsidRPr="009029CA">
        <w:rPr>
          <w:rStyle w:val="normaltextrun"/>
          <w:rFonts w:ascii="Times New Roman" w:eastAsia="Times New Roman" w:hAnsi="Times New Roman"/>
          <w:noProof/>
          <w:sz w:val="24"/>
          <w:szCs w:val="24"/>
          <w:vertAlign w:val="superscript"/>
          <w:lang w:val="en-IE" w:eastAsia="en-GB"/>
        </w:rPr>
        <w:footnoteReference w:id="79"/>
      </w:r>
      <w:r>
        <w:rPr>
          <w:rStyle w:val="normaltextrun"/>
          <w:rFonts w:ascii="Times New Roman" w:hAnsi="Times New Roman"/>
          <w:noProof/>
          <w:sz w:val="24"/>
        </w:rPr>
        <w:t xml:space="preserve"> Draghin raportissa katsotaan, että alikehittyneet riskipääomamarkkinat ovat yksi puhtaan teknologian esteistä EU:ssa, ja kehotetaan edistämään yksityisiä investointeja.</w:t>
      </w:r>
      <w:r w:rsidRPr="009029CA">
        <w:rPr>
          <w:rStyle w:val="normaltextrun"/>
          <w:rFonts w:ascii="Times New Roman" w:eastAsia="Times New Roman" w:hAnsi="Times New Roman"/>
          <w:noProof/>
          <w:sz w:val="24"/>
          <w:szCs w:val="24"/>
          <w:vertAlign w:val="superscript"/>
          <w:lang w:val="en-IE" w:eastAsia="en-GB"/>
        </w:rPr>
        <w:footnoteReference w:id="80"/>
      </w:r>
      <w:r>
        <w:rPr>
          <w:rStyle w:val="normaltextrun"/>
          <w:rFonts w:ascii="Times New Roman" w:hAnsi="Times New Roman"/>
          <w:noProof/>
          <w:sz w:val="24"/>
        </w:rPr>
        <w:t xml:space="preserve"> Kuten raportissa todetaan, puhtaaseen energiateknologiaan tehtävien investointien lisääminen edellyttää määrärahojen vahvistamista ja tehostamista EU:n talousarvion tasolla sekä sellaisten rahoitusjärjestelmien käyttöönottoa, joilla tuetaan yksityisiä ja riskialttiimpia investointeja innovatiivisiin yrityksiin, jotta EU:n strategisten yritysten ja pitkän aikavälin siirtymähankkeiden toimintaa voidaan laajentaa. </w:t>
      </w:r>
    </w:p>
    <w:p w14:paraId="7F691384" w14:textId="127AD736" w:rsidR="00086CF4" w:rsidRPr="009029CA" w:rsidRDefault="00086CF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Komission poliittisissa suuntaviivoissa todetaan, että tarvitaan enemmän julkisia investointeja ja yksityiseen pääomaan liittyvien riskien vähentämistä koskevia toimia. Erityisen tärkeää on helpottaa liikepankkien, sijoittajien ja riskipääoman mahdollisuuksia rahoittaa nopeasti kasvavia yrityksiä. Komissio aikoo Lettan raportin</w:t>
      </w:r>
      <w:r w:rsidRPr="009029CA">
        <w:rPr>
          <w:rStyle w:val="normaltextrun"/>
          <w:rFonts w:ascii="Times New Roman" w:eastAsia="Times New Roman" w:hAnsi="Times New Roman"/>
          <w:noProof/>
          <w:sz w:val="24"/>
          <w:szCs w:val="24"/>
          <w:vertAlign w:val="superscript"/>
          <w:lang w:val="en-IE" w:eastAsia="en-GB"/>
        </w:rPr>
        <w:footnoteReference w:id="81"/>
      </w:r>
      <w:r>
        <w:rPr>
          <w:rStyle w:val="normaltextrun"/>
          <w:rFonts w:ascii="Times New Roman" w:hAnsi="Times New Roman"/>
          <w:noProof/>
          <w:sz w:val="24"/>
        </w:rPr>
        <w:t xml:space="preserve"> pohjalta ehdottaa Euroopan säästö- ja investointiunionia, joka kattaa pankkitoiminnan ja pääomamarkkinat</w:t>
      </w:r>
      <w:r w:rsidR="003522A1">
        <w:rPr>
          <w:rStyle w:val="FootnoteReference"/>
          <w:rFonts w:ascii="Times New Roman" w:eastAsia="Times New Roman" w:hAnsi="Times New Roman"/>
          <w:noProof/>
          <w:sz w:val="24"/>
          <w:szCs w:val="24"/>
          <w:lang w:val="en-IE" w:eastAsia="en-GB"/>
        </w:rPr>
        <w:footnoteReference w:id="82"/>
      </w:r>
      <w:r>
        <w:rPr>
          <w:rStyle w:val="normaltextrun"/>
          <w:rFonts w:ascii="Times New Roman" w:hAnsi="Times New Roman"/>
          <w:noProof/>
          <w:sz w:val="24"/>
        </w:rPr>
        <w:t>. EU:n pankki- ja pääomamarkkinoiden syventäminen on olennainen edellytys, jotta voidaan löytää uusia rahoituslähteitä, edistää rajatylittäviä investointeja ja lisätä scale-up-yritysten houkuttelevuutta sijoittajien kannalta parantamalla sijoittajien irtautumisvaihtoehtoja.</w:t>
      </w:r>
    </w:p>
    <w:p w14:paraId="18E46A96" w14:textId="27F09C13" w:rsidR="00086CF4" w:rsidRPr="009029CA" w:rsidRDefault="6B12C664" w:rsidP="00086CF4">
      <w:pPr>
        <w:pStyle w:val="JRCText"/>
        <w:spacing w:before="0" w:after="160"/>
        <w:rPr>
          <w:rStyle w:val="normaltextrun"/>
          <w:rFonts w:ascii="Times New Roman" w:eastAsia="Times New Roman" w:hAnsi="Times New Roman"/>
          <w:noProof/>
          <w:sz w:val="24"/>
          <w:szCs w:val="24"/>
        </w:rPr>
      </w:pPr>
      <w:r>
        <w:rPr>
          <w:rStyle w:val="normaltextrun"/>
          <w:rFonts w:ascii="Times New Roman" w:hAnsi="Times New Roman"/>
          <w:noProof/>
          <w:sz w:val="24"/>
        </w:rPr>
        <w:t>EU:n investointivajeen korjaamiseksi tarvittavien rahoitusvirtojen varmistaminen edellyttää, että puhtaat energiateknologiat asetetaan strategiseksi painopisteeksi. Tältä osin komissio on ilmoittanut, että seuraavan monivuotisen rahoituskehyksen puitteissa otetaan käyttöön Euroopan kilpailukykyrahasto, jolla pyritään houkuttelemaan investointeja puhtaisiin ja strategisiin teknologioihin. Lisäksi uusien yritysten perustamisen ja laajenemisen esteisiin tullaan puuttumaan EU:n startup- ja scale-up-strategialla.</w:t>
      </w:r>
      <w:r w:rsidR="00086CF4" w:rsidRPr="228B9891">
        <w:rPr>
          <w:rStyle w:val="normaltextrun"/>
          <w:rFonts w:ascii="Times New Roman" w:eastAsia="Times New Roman" w:hAnsi="Times New Roman"/>
          <w:noProof/>
          <w:sz w:val="24"/>
          <w:szCs w:val="24"/>
          <w:vertAlign w:val="superscript"/>
          <w:lang w:eastAsia="en-GB"/>
        </w:rPr>
        <w:footnoteReference w:id="83"/>
      </w:r>
    </w:p>
    <w:p w14:paraId="6647728A" w14:textId="77777777" w:rsidR="00E11EA4" w:rsidRPr="00220722" w:rsidRDefault="00E11EA4" w:rsidP="00B27A5E">
      <w:pPr>
        <w:pStyle w:val="JRCText"/>
        <w:spacing w:before="0" w:after="160"/>
        <w:rPr>
          <w:noProof/>
        </w:rPr>
      </w:pPr>
    </w:p>
    <w:p w14:paraId="4752700F" w14:textId="32A917B0" w:rsidR="005F5A83" w:rsidRPr="009029CA" w:rsidRDefault="001B5EE8" w:rsidP="009029CA">
      <w:pPr>
        <w:pStyle w:val="Heading1"/>
        <w:spacing w:before="0" w:after="160"/>
        <w:rPr>
          <w:noProof/>
        </w:rPr>
      </w:pPr>
      <w:bookmarkStart w:id="25" w:name="_Toc194657178"/>
      <w:r>
        <w:rPr>
          <w:noProof/>
        </w:rPr>
        <w:t>Arvio EU:n kilpailukyvystä nettonollateknologioiden alalla</w:t>
      </w:r>
      <w:bookmarkEnd w:id="25"/>
    </w:p>
    <w:p w14:paraId="2865C24F" w14:textId="705206EF" w:rsidR="00DF2B95" w:rsidRPr="009029CA" w:rsidRDefault="00DF2B95" w:rsidP="009029CA">
      <w:pPr>
        <w:pStyle w:val="Heading2"/>
        <w:spacing w:after="160"/>
        <w:rPr>
          <w:noProof/>
        </w:rPr>
      </w:pPr>
      <w:bookmarkStart w:id="26" w:name="_Toc194657179"/>
      <w:r>
        <w:rPr>
          <w:noProof/>
        </w:rPr>
        <w:t>Aurinkosähkö</w:t>
      </w:r>
      <w:bookmarkEnd w:id="26"/>
    </w:p>
    <w:p w14:paraId="6DFA790F" w14:textId="131571D3" w:rsidR="005F7134" w:rsidRPr="00E40852" w:rsidRDefault="005F7134" w:rsidP="38BE83A0">
      <w:pPr>
        <w:rPr>
          <w:noProof/>
        </w:rPr>
      </w:pPr>
      <w:r>
        <w:rPr>
          <w:noProof/>
        </w:rPr>
        <w:t xml:space="preserve">Aurinkosähkö on nopeimmin kasvava uusiutuviin energialähteisiin perustuva sähköntuotantoteknologia. </w:t>
      </w:r>
      <w:r>
        <w:rPr>
          <w:rStyle w:val="normaltextrun"/>
          <w:noProof/>
          <w:color w:val="000000"/>
          <w:shd w:val="clear" w:color="auto" w:fill="FFFFFF"/>
        </w:rPr>
        <w:t>Vuonna 2024</w:t>
      </w:r>
      <w:r>
        <w:rPr>
          <w:rStyle w:val="normaltextrun"/>
          <w:noProof/>
          <w:color w:val="000000" w:themeColor="text1"/>
        </w:rPr>
        <w:t xml:space="preserve"> EU</w:t>
      </w:r>
      <w:r>
        <w:rPr>
          <w:rStyle w:val="normaltextrun"/>
          <w:noProof/>
          <w:color w:val="000000"/>
          <w:shd w:val="clear" w:color="auto" w:fill="FFFFFF"/>
        </w:rPr>
        <w:t xml:space="preserve"> eteni hyvää vauhtia kohti unionin aurinkoenergiastrategian tavoitetta</w:t>
      </w:r>
      <w:r>
        <w:rPr>
          <w:rStyle w:val="normaltextrun"/>
          <w:noProof/>
          <w:color w:val="000000" w:themeColor="text1"/>
        </w:rPr>
        <w:t xml:space="preserve"> saavuttaa</w:t>
      </w:r>
      <w:r>
        <w:rPr>
          <w:rStyle w:val="normaltextrun"/>
          <w:noProof/>
          <w:color w:val="000000"/>
          <w:shd w:val="clear" w:color="auto" w:fill="FFFFFF"/>
        </w:rPr>
        <w:t xml:space="preserve"> 600 gigawattia asennettua vaihtovirtakapasiteettia (noin 720 gigawattipiikkiä) vuoteen 2030 mennessä</w:t>
      </w:r>
      <w:r w:rsidRPr="00824D92">
        <w:rPr>
          <w:rStyle w:val="FootnoteReference"/>
          <w:noProof/>
          <w:color w:val="000000"/>
          <w:shd w:val="clear" w:color="auto" w:fill="FFFFFF"/>
        </w:rPr>
        <w:footnoteReference w:id="84"/>
      </w:r>
      <w:r>
        <w:rPr>
          <w:rStyle w:val="normaltextrun"/>
          <w:noProof/>
          <w:color w:val="000000"/>
          <w:shd w:val="clear" w:color="auto" w:fill="FFFFFF"/>
        </w:rPr>
        <w:t xml:space="preserve">. </w:t>
      </w:r>
      <w:r>
        <w:rPr>
          <w:noProof/>
        </w:rPr>
        <w:t>Vuotta 2024 koskevien alustavien tietojen perusteella vuotuinen kasvu on hidastunut, mutta asennettu kapasiteetti on silti lisääntynyt merkittävästi: vuonna 2023 määrä ylitti 56 gigawattipiikkiä ja vuonna 2024 se oli 63 gigawattipiikkiä. Molempina vuosina EU oli toisella sijalla Kiinan (374 gigawattipiikkiä vuonna 2024) jälkeen ja ennen Yhdysvaltoja (45 gigawattipiikkiä vuonna 2024).</w:t>
      </w:r>
      <w:r w:rsidRPr="00824D92">
        <w:rPr>
          <w:rStyle w:val="FootnoteReference"/>
          <w:noProof/>
        </w:rPr>
        <w:footnoteReference w:id="85"/>
      </w:r>
      <w:r>
        <w:rPr>
          <w:rStyle w:val="normaltextrun"/>
          <w:noProof/>
          <w:color w:val="000000"/>
          <w:shd w:val="clear" w:color="auto" w:fill="FFFFFF"/>
        </w:rPr>
        <w:t xml:space="preserve"> Useimmissa maissa aurinkosähkön tuotantokustannukset ovat nyt alhaisemmat kuin fossiilisiin polttoaineisiin perustuvien vaihtoehtojen kustannukset.</w:t>
      </w:r>
      <w:r w:rsidRPr="38BE83A0">
        <w:rPr>
          <w:rStyle w:val="FootnoteReference"/>
          <w:noProof/>
          <w:color w:val="000000"/>
          <w:shd w:val="clear" w:color="auto" w:fill="FFFFFF"/>
        </w:rPr>
        <w:footnoteReference w:id="86"/>
      </w:r>
      <w:r>
        <w:rPr>
          <w:rStyle w:val="normaltextrun"/>
          <w:noProof/>
          <w:color w:val="000000"/>
          <w:shd w:val="clear" w:color="auto" w:fill="FFFFFF"/>
        </w:rPr>
        <w:t xml:space="preserve"> </w:t>
      </w:r>
      <w:r>
        <w:rPr>
          <w:rStyle w:val="normaltextrun"/>
          <w:noProof/>
          <w:color w:val="000000" w:themeColor="text1"/>
        </w:rPr>
        <w:t xml:space="preserve"> </w:t>
      </w:r>
      <w:r>
        <w:rPr>
          <w:noProof/>
        </w:rPr>
        <w:t xml:space="preserve"> </w:t>
      </w:r>
    </w:p>
    <w:p w14:paraId="3D031C00" w14:textId="78E7DCB4" w:rsidR="005F7134" w:rsidRPr="00E40852" w:rsidRDefault="44708829" w:rsidP="009029CA">
      <w:pPr>
        <w:rPr>
          <w:rStyle w:val="normaltextrun"/>
          <w:noProof/>
        </w:rPr>
      </w:pPr>
      <w:r>
        <w:rPr>
          <w:rStyle w:val="normaltextrun"/>
          <w:noProof/>
          <w:color w:val="000000" w:themeColor="text1"/>
        </w:rPr>
        <w:t>Nettonollateollisuussäädöksessä viitataan eurooppalaisen aurinkovoimateollisuuden allianssin tavoitteeseen saavuttaa 30 gigawattipiikin vuotuinen aurinkosähkön valmistuskapasiteetti koko arvoketjussa vuoteen 2025 mennessä.</w:t>
      </w:r>
      <w:r w:rsidR="005F7134" w:rsidRPr="00E40852">
        <w:rPr>
          <w:rStyle w:val="FootnoteReference"/>
          <w:noProof/>
          <w:color w:val="000000"/>
          <w:shd w:val="clear" w:color="auto" w:fill="FFFFFF"/>
          <w:lang w:val="en-IE"/>
        </w:rPr>
        <w:footnoteReference w:id="87"/>
      </w:r>
      <w:r>
        <w:rPr>
          <w:rStyle w:val="normaltextrun"/>
          <w:noProof/>
          <w:color w:val="000000"/>
          <w:shd w:val="clear" w:color="auto" w:fill="FFFFFF"/>
        </w:rPr>
        <w:t xml:space="preserve"> Tämä tavoite on jo ylitetty vaihtosuuntaajien osalta (82 gigawattipiikkiä vuonna 2023</w:t>
      </w:r>
      <w:r w:rsidR="005F7134" w:rsidRPr="00965C9F">
        <w:rPr>
          <w:rStyle w:val="FootnoteReference"/>
          <w:noProof/>
          <w:color w:val="000000"/>
          <w:shd w:val="clear" w:color="auto" w:fill="FFFFFF"/>
          <w:lang w:val="en-IE"/>
        </w:rPr>
        <w:footnoteReference w:id="88"/>
      </w:r>
      <w:r>
        <w:rPr>
          <w:rStyle w:val="normaltextrun"/>
          <w:noProof/>
          <w:color w:val="000000"/>
          <w:shd w:val="clear" w:color="auto" w:fill="FFFFFF"/>
        </w:rPr>
        <w:t>), ja se on lähes saavutettu monikiteisen piin osalta (29 gigawattipiikkiä vuonna 2024).</w:t>
      </w:r>
      <w:r>
        <w:rPr>
          <w:rStyle w:val="normaltextrun"/>
          <w:noProof/>
          <w:color w:val="000000" w:themeColor="text1"/>
        </w:rPr>
        <w:t xml:space="preserve"> Tilanne on kuitenkin toinen arvoketjun muiden osien osalta. </w:t>
      </w:r>
      <w:r>
        <w:rPr>
          <w:rStyle w:val="normaltextrun"/>
          <w:noProof/>
          <w:color w:val="000000"/>
          <w:shd w:val="clear" w:color="auto" w:fill="FFFFFF"/>
        </w:rPr>
        <w:t>Unionin aurinkosähköalan nykyinen valmistuskapasiteetti harkkojen ja kiekkojen osalta on alle 1 gigawattipiikkiä, kun taas kennojen ja moduulien osalta se on alle 3 gigawattipiikkiä.</w:t>
      </w:r>
      <w:r w:rsidR="00A7143B">
        <w:rPr>
          <w:rStyle w:val="FootnoteReference"/>
          <w:noProof/>
          <w:color w:val="000000" w:themeColor="text1"/>
          <w:lang w:val="en-IE"/>
        </w:rPr>
        <w:footnoteReference w:id="89"/>
      </w:r>
      <w:r>
        <w:rPr>
          <w:rStyle w:val="normaltextrun"/>
          <w:noProof/>
          <w:color w:val="000000" w:themeColor="text1"/>
        </w:rPr>
        <w:t xml:space="preserve"> Jälkimmäisten osalta on kuitenkin viitteitä siitä, että tosiasiallinen tuotanto vuonna 2023 oli noin 2 gigawattipiikkiä.</w:t>
      </w:r>
      <w:r w:rsidR="00B34262">
        <w:rPr>
          <w:rStyle w:val="FootnoteReference"/>
          <w:noProof/>
          <w:color w:val="000000" w:themeColor="text1"/>
          <w:lang w:val="en-IE"/>
        </w:rPr>
        <w:footnoteReference w:id="90"/>
      </w:r>
      <w:r>
        <w:rPr>
          <w:rStyle w:val="normaltextrun"/>
          <w:noProof/>
          <w:color w:val="000000" w:themeColor="text1"/>
        </w:rPr>
        <w:t xml:space="preserve"> </w:t>
      </w:r>
      <w:r>
        <w:rPr>
          <w:noProof/>
        </w:rPr>
        <w:t>Kaiken kaikkiaan EU on hyvin riippuvainen aurinkosähkötuotteiden tuonnista Kiinasta, jossa sijaitsee 91 prosenttia käyttöönotetuista tuotantolaitoksista. EU:n, Yhdysvaltojen ja Intian osuus on kunkin osalta 1 prosentti</w:t>
      </w:r>
      <w:r w:rsidR="005F7134" w:rsidRPr="00E40852">
        <w:rPr>
          <w:rStyle w:val="FootnoteReference"/>
          <w:noProof/>
          <w:lang w:val="en-IE"/>
        </w:rPr>
        <w:footnoteReference w:id="91"/>
      </w:r>
      <w:r>
        <w:rPr>
          <w:noProof/>
        </w:rPr>
        <w:t xml:space="preserve">. </w:t>
      </w:r>
    </w:p>
    <w:p w14:paraId="3B56070A" w14:textId="22B2BE77" w:rsidR="005F7134" w:rsidRPr="00E40852" w:rsidRDefault="4AE93508" w:rsidP="496FFA37">
      <w:pPr>
        <w:rPr>
          <w:rStyle w:val="Heading1Char"/>
          <w:rFonts w:eastAsiaTheme="minorEastAsia"/>
          <w:noProof/>
        </w:rPr>
      </w:pPr>
      <w:r>
        <w:rPr>
          <w:rStyle w:val="normaltextrun"/>
          <w:noProof/>
          <w:color w:val="000000" w:themeColor="text1"/>
        </w:rPr>
        <w:t>Aurinkosähkömoduulien tuotantokustannusten arvioidaan olevan EU:ssa noin 60 prosenttia korkeammat kuin Kiinassa.</w:t>
      </w:r>
      <w:r w:rsidR="005F7134" w:rsidRPr="38BE83A0">
        <w:rPr>
          <w:rStyle w:val="FootnoteReference"/>
          <w:noProof/>
          <w:color w:val="000000" w:themeColor="text1"/>
        </w:rPr>
        <w:footnoteReference w:id="92"/>
      </w:r>
      <w:r>
        <w:rPr>
          <w:rStyle w:val="normaltextrun"/>
          <w:noProof/>
          <w:color w:val="000000" w:themeColor="text1"/>
        </w:rPr>
        <w:t xml:space="preserve"> Erot johtuvat korkeammista investointi-, työvoima- ja energiakustannuksista, pienimuotoisemmasta tuotannosta sekä vertikaalisen integroinnin puutteesta. Eurooppalaisten valmistajien lisähaasteita ovat suuret varastot ja Kiinasta tuleva ylitarjonta, mikä on johtanut moduulien spot-markkinahintojen jyrkkään laskuun. Hinnat laskivat vuositasolla yli 25 prosenttia ja olivat 0,105 euroa wattipiikkiä kohti tammikuussa 2025.</w:t>
      </w:r>
      <w:r w:rsidR="005F7134" w:rsidRPr="38BE83A0">
        <w:rPr>
          <w:rStyle w:val="FootnoteReference"/>
          <w:noProof/>
          <w:color w:val="000000"/>
          <w:shd w:val="clear" w:color="auto" w:fill="FFFFFF"/>
        </w:rPr>
        <w:footnoteReference w:id="93"/>
      </w:r>
      <w:r>
        <w:rPr>
          <w:rStyle w:val="normaltextrun"/>
          <w:noProof/>
          <w:color w:val="000000" w:themeColor="text1"/>
        </w:rPr>
        <w:t xml:space="preserve"> Vaikka tämä lisää käyttöönottoa, se aiheuttaa valmistajille suuria paineita. </w:t>
      </w:r>
      <w:r>
        <w:rPr>
          <w:noProof/>
        </w:rPr>
        <w:t>Kennoja ja moduuleja valmistavien laitosten keskimääräinen käyttöaste on maailmanlaajuisesti alhainen, noin 50 prosenttia</w:t>
      </w:r>
      <w:r w:rsidR="005F7134" w:rsidRPr="38BE83A0">
        <w:rPr>
          <w:rStyle w:val="FootnoteReference"/>
          <w:noProof/>
        </w:rPr>
        <w:footnoteReference w:id="94"/>
      </w:r>
      <w:r>
        <w:rPr>
          <w:noProof/>
        </w:rPr>
        <w:t>.</w:t>
      </w:r>
    </w:p>
    <w:p w14:paraId="6E58D8B5" w14:textId="6E391CB2" w:rsidR="005F7134" w:rsidRPr="00E40852" w:rsidRDefault="005F7134" w:rsidP="009029CA">
      <w:pPr>
        <w:rPr>
          <w:noProof/>
        </w:rPr>
      </w:pPr>
      <w:r>
        <w:rPr>
          <w:noProof/>
        </w:rPr>
        <w:t xml:space="preserve">EU:n </w:t>
      </w:r>
      <w:r>
        <w:rPr>
          <w:rStyle w:val="normaltextrun"/>
          <w:noProof/>
          <w:color w:val="000000" w:themeColor="text1"/>
        </w:rPr>
        <w:t>aurinkosähkövalmistajilla</w:t>
      </w:r>
      <w:r>
        <w:rPr>
          <w:noProof/>
        </w:rPr>
        <w:t xml:space="preserve"> on yleisesti ottaen vaikeuksia kilpailla maailmanlaajuisesti, etenkin hinnoilla. Aurinkosähköalan </w:t>
      </w:r>
      <w:r>
        <w:rPr>
          <w:rStyle w:val="normaltextrun"/>
          <w:noProof/>
          <w:color w:val="000000" w:themeColor="text1"/>
        </w:rPr>
        <w:t>valmistuskapasiteetin</w:t>
      </w:r>
      <w:r>
        <w:rPr>
          <w:noProof/>
        </w:rPr>
        <w:t xml:space="preserve"> keskittyminen yhteen maahan, Kiinaan, aiheuttaa riskejä arvoketjun häiriönsietokyvylle sekä hintavakaudelle.</w:t>
      </w:r>
      <w:r w:rsidRPr="00E40852">
        <w:rPr>
          <w:rStyle w:val="FootnoteReference"/>
          <w:noProof/>
          <w:lang w:val="en-IE"/>
        </w:rPr>
        <w:footnoteReference w:id="95"/>
      </w:r>
      <w:r>
        <w:rPr>
          <w:noProof/>
        </w:rPr>
        <w:t xml:space="preserve"> EU:lla on edelleen vahva rooli </w:t>
      </w:r>
      <w:r>
        <w:rPr>
          <w:rStyle w:val="normaltextrun"/>
          <w:noProof/>
          <w:color w:val="000000" w:themeColor="text1"/>
        </w:rPr>
        <w:t>aurinkosähköä</w:t>
      </w:r>
      <w:r>
        <w:rPr>
          <w:noProof/>
        </w:rPr>
        <w:t xml:space="preserve"> koskevassa tutkimuksessa ja innovoinnissa erityisesti tiettyjen sovellusten, kuten rakennuksiin, maatalouteen, infrastruktuuriin tai ajoneuvoihin integroidun </w:t>
      </w:r>
      <w:r>
        <w:rPr>
          <w:rStyle w:val="normaltextrun"/>
          <w:noProof/>
          <w:color w:val="000000" w:themeColor="text1"/>
        </w:rPr>
        <w:t>aurinkosähköteknologian</w:t>
      </w:r>
      <w:r>
        <w:rPr>
          <w:noProof/>
        </w:rPr>
        <w:t>, alalla.</w:t>
      </w:r>
      <w:r w:rsidRPr="00E40852">
        <w:rPr>
          <w:rStyle w:val="FootnoteReference"/>
          <w:noProof/>
          <w:lang w:val="en-IE"/>
        </w:rPr>
        <w:footnoteReference w:id="96"/>
      </w:r>
      <w:r>
        <w:rPr>
          <w:noProof/>
        </w:rPr>
        <w:t xml:space="preserve"> </w:t>
      </w:r>
    </w:p>
    <w:p w14:paraId="617E7BEE" w14:textId="32E10A70" w:rsidR="005F7134" w:rsidRPr="00E40852" w:rsidRDefault="005F7134" w:rsidP="00A50B7E">
      <w:pPr>
        <w:rPr>
          <w:noProof/>
          <w:color w:val="0078D4"/>
          <w:u w:val="single"/>
          <w:shd w:val="clear" w:color="auto" w:fill="FFFFFF"/>
        </w:rPr>
      </w:pPr>
      <w:r>
        <w:rPr>
          <w:noProof/>
        </w:rPr>
        <w:t xml:space="preserve">Jotta EU voisi parantaa kilpailukykyään </w:t>
      </w:r>
      <w:r>
        <w:rPr>
          <w:rStyle w:val="normaltextrun"/>
          <w:noProof/>
          <w:color w:val="000000" w:themeColor="text1"/>
        </w:rPr>
        <w:t>aurinkosähköalan</w:t>
      </w:r>
      <w:r>
        <w:rPr>
          <w:noProof/>
        </w:rPr>
        <w:t xml:space="preserve"> valmistuksessa, sen olisi laajennettava innovatiivisten teknologioiden käyttöä suuriin gigawattiluokan tehtaisiin, jotka on integroitu koko arvoketjuun. Huhtikuussa 2024 allekirjoitetussa Euroopan aurinkovoimaa koskevassa peruskirjassa</w:t>
      </w:r>
      <w:r w:rsidRPr="00E40852">
        <w:rPr>
          <w:rStyle w:val="FootnoteReference"/>
          <w:noProof/>
          <w:lang w:val="en-IE"/>
        </w:rPr>
        <w:footnoteReference w:id="97"/>
      </w:r>
      <w:r>
        <w:rPr>
          <w:noProof/>
        </w:rPr>
        <w:t xml:space="preserve"> komissio, 23 jäsenvaltiota ja toimialan edustajat sitoutuivat vapaaehtoisiin toimiin EU:n aurinkosähköalan valmistusteollisuuden tukemiseksi. </w:t>
      </w:r>
    </w:p>
    <w:p w14:paraId="1CA77C8A" w14:textId="349DB004" w:rsidR="00FA086D" w:rsidRPr="00220722" w:rsidRDefault="00FA086D" w:rsidP="009029CA">
      <w:pPr>
        <w:pStyle w:val="Text2"/>
        <w:spacing w:after="160"/>
        <w:ind w:left="0"/>
        <w:rPr>
          <w:noProof/>
        </w:rPr>
      </w:pPr>
    </w:p>
    <w:p w14:paraId="62DC2A89" w14:textId="6742B06E" w:rsidR="00DF2B95" w:rsidRPr="009029CA" w:rsidRDefault="00DF2B95" w:rsidP="009029CA">
      <w:pPr>
        <w:pStyle w:val="Heading2"/>
        <w:spacing w:after="160"/>
        <w:rPr>
          <w:noProof/>
        </w:rPr>
      </w:pPr>
      <w:bookmarkStart w:id="27" w:name="_Toc194657180"/>
      <w:r>
        <w:rPr>
          <w:noProof/>
        </w:rPr>
        <w:t>Aurinkolämpö</w:t>
      </w:r>
      <w:bookmarkEnd w:id="27"/>
    </w:p>
    <w:p w14:paraId="022D9F01" w14:textId="704B7E5E" w:rsidR="00222EAB" w:rsidRDefault="4083A279" w:rsidP="009029CA">
      <w:pPr>
        <w:pStyle w:val="Text2"/>
        <w:tabs>
          <w:tab w:val="left" w:pos="1202"/>
        </w:tabs>
        <w:spacing w:after="160"/>
        <w:ind w:left="0"/>
        <w:rPr>
          <w:noProof/>
        </w:rPr>
      </w:pPr>
      <w:r>
        <w:rPr>
          <w:noProof/>
        </w:rPr>
        <w:t>EU:n aurinkoenergiastrategiassa</w:t>
      </w:r>
      <w:r w:rsidR="00542BBB" w:rsidRPr="009029CA">
        <w:rPr>
          <w:rStyle w:val="FootnoteReference"/>
          <w:noProof/>
          <w:lang w:eastAsia="fr-BE"/>
        </w:rPr>
        <w:footnoteReference w:id="98"/>
      </w:r>
      <w:r>
        <w:rPr>
          <w:noProof/>
        </w:rPr>
        <w:t xml:space="preserve"> asetettiin tavoitteeksi kolminkertaistaa aurinkolämmön kysyntä vuosien 2022 ja 2030 välillä. Ala on kuitenkin toistaiseksi edistynyt tässä tavoitteessa vain vähän, ja se kohtasi monenlaisia haasteita vuosina 2023 ja 2024. Investoinnit hidastuivat vaihtoehtoisina uusiutuvina ratkaisuina nähtyjen </w:t>
      </w:r>
      <w:r>
        <w:rPr>
          <w:rStyle w:val="normaltextrun"/>
          <w:noProof/>
          <w:color w:val="000000" w:themeColor="text1"/>
        </w:rPr>
        <w:t>aurinkosähkön</w:t>
      </w:r>
      <w:r>
        <w:rPr>
          <w:noProof/>
        </w:rPr>
        <w:t xml:space="preserve"> ja lämpöpumppujen aiheuttaman kilpailun vuoksi sekä edullisemman kaasun ja käyttöönottokannustimien muutosten seurauksena.</w:t>
      </w:r>
      <w:r w:rsidR="00542BBB" w:rsidRPr="009029CA">
        <w:rPr>
          <w:rStyle w:val="FootnoteReference"/>
          <w:noProof/>
          <w:lang w:eastAsia="fr-BE"/>
        </w:rPr>
        <w:footnoteReference w:id="99"/>
      </w:r>
      <w:r>
        <w:rPr>
          <w:noProof/>
        </w:rPr>
        <w:t xml:space="preserve"> EU lisäsi aurinkolämpökapasiteettia 1,3 gigawattia lämpötehoa (GWth) vuonna 2023, mikä on 24 prosenttia vähemmän kuin vuonna 2022. Kapasiteetin nettolisäys (vanhojen järjestelmien käytöstä poisto mukaan luettuna) oli näin ollen 1,3 prosenttia, mikä on huomattavasti alle kapasiteetin kolminkertaistamiseksi vuoteen 2030 mennessä tarvittavan tason.</w:t>
      </w:r>
      <w:r w:rsidR="00542BBB" w:rsidRPr="009029CA">
        <w:rPr>
          <w:noProof/>
          <w:vertAlign w:val="superscript"/>
          <w:lang w:eastAsia="fr-BE"/>
        </w:rPr>
        <w:footnoteReference w:id="100"/>
      </w:r>
      <w:r>
        <w:rPr>
          <w:noProof/>
        </w:rPr>
        <w:t xml:space="preserve"> </w:t>
      </w:r>
    </w:p>
    <w:p w14:paraId="5EDFDA1F" w14:textId="3C0DD517" w:rsidR="00542BBB" w:rsidRPr="00B27A5E" w:rsidRDefault="4083A279" w:rsidP="009029CA">
      <w:pPr>
        <w:pStyle w:val="Text2"/>
        <w:tabs>
          <w:tab w:val="left" w:pos="1202"/>
        </w:tabs>
        <w:spacing w:after="160"/>
        <w:ind w:left="0"/>
        <w:rPr>
          <w:rStyle w:val="FootnoteReference"/>
          <w:noProof/>
          <w:vertAlign w:val="baseline"/>
        </w:rPr>
      </w:pPr>
      <w:r>
        <w:rPr>
          <w:noProof/>
        </w:rPr>
        <w:t>Myös maailmanmarkkinat kääntyivät laskuun: vuonna 2023 uutta kapasiteettia asennettiin 21 GWth, kun vuonna 2022 vastaava luku oli 23 GWth.</w:t>
      </w:r>
      <w:r w:rsidR="00542BBB" w:rsidRPr="009029CA">
        <w:rPr>
          <w:rStyle w:val="FootnoteReference"/>
          <w:noProof/>
          <w:lang w:eastAsia="fr-BE"/>
        </w:rPr>
        <w:footnoteReference w:id="101"/>
      </w:r>
      <w:r>
        <w:rPr>
          <w:noProof/>
        </w:rPr>
        <w:t xml:space="preserve"> Teollisen prosessilämmön segmentti kuitenkin ilahduttavasti kasvoi maailmanlaajuisesti kolminkertaiseksi edellisvuodesta ja saavutti 0,95 GWth:n kokonaiskapasiteetin vuonna 2023. Tähän sisältyi Espanjassa sijaitseva EU:n uusin ja suurin keskittävä aurinkolämpölaitos (tuotantokapasiteetti 30 MWth, varastointikapasiteetti 68 MWh). Keskittävän aurinkoenergian (CSP) osalta EU:n tuotantokapasiteetti ei kuitenkaan ole kasvanut, vaan se on pysynyt lähes muuttumattomana vuodesta 2013 (2,30 gigawattia, josta lähes kaikki Espanjassa).</w:t>
      </w:r>
      <w:r w:rsidR="00542BBB" w:rsidRPr="009029CA">
        <w:rPr>
          <w:rStyle w:val="FootnoteReference"/>
          <w:noProof/>
          <w:lang w:eastAsia="fr-BE"/>
        </w:rPr>
        <w:footnoteReference w:id="102"/>
      </w:r>
      <w:r>
        <w:rPr>
          <w:noProof/>
        </w:rPr>
        <w:t xml:space="preserve"> Tällä välin Kiina on noussut maailman johtavaksi CSP-tuottajaksi: sillä on jo käytössä 1 gigawatin verran uutta kapasiteettia ja 2 gigawatin lisäkapasiteetti on kehitteillä.</w:t>
      </w:r>
      <w:r w:rsidR="00201F40">
        <w:rPr>
          <w:rStyle w:val="FootnoteReference"/>
          <w:noProof/>
          <w:lang w:eastAsia="fr-BE"/>
        </w:rPr>
        <w:footnoteReference w:id="103"/>
      </w:r>
      <w:r>
        <w:rPr>
          <w:noProof/>
        </w:rPr>
        <w:t xml:space="preserve">  </w:t>
      </w:r>
    </w:p>
    <w:p w14:paraId="4CBFAFD4" w14:textId="59310DF2" w:rsidR="00542BBB" w:rsidRPr="009029CA" w:rsidRDefault="00542BBB" w:rsidP="009029CA">
      <w:pPr>
        <w:rPr>
          <w:rFonts w:eastAsia="Times New Roman"/>
          <w:noProof/>
        </w:rPr>
      </w:pPr>
      <w:r>
        <w:rPr>
          <w:noProof/>
        </w:rPr>
        <w:t>EU:ssa on vahva aurinkokäyttöisten vedenlämmittimien valmistusala. Aiempien arvioiden mukaan se kattaa jopa 90 prosenttia unionin sisäisestä kysynnästä, mikä ylittää selvästi nettonollateollisuussäädöksessä vahvistetun valmistuksen vertailuarvon. Vaikka ala on keskittynyt viimeisten kymmenen vuoden aikana erityisesti Saksaan ja Espanjaan, sillä toimii edelleen useita monenlaisia tuotteita tarjoavia toimijoita. Kreikkalaiset painovoimaisten järjestelmien valmistajat ovat pystyneet hyödyntämään markkinoiden vahvan kasvun, ja myös vienti on ollut merkittävää.</w:t>
      </w:r>
      <w:r w:rsidRPr="009029CA">
        <w:rPr>
          <w:rStyle w:val="FootnoteReference"/>
          <w:noProof/>
        </w:rPr>
        <w:footnoteReference w:id="104"/>
      </w:r>
      <w:r>
        <w:rPr>
          <w:noProof/>
        </w:rPr>
        <w:t xml:space="preserve"> Lisäksi suurten kaukolämpölaitosten ja teollisen aurinkolämmön markkinoille on tulossa useita uusia EU:n yrityksiä, ja alan odotetaan kasvavan merkittävästi tulevien kymmenen vuoden aikana. Aurinkokäyttöisten ja muiden kuin sähköllä toimivien vedenlämmittimien kauppaa koskevat tiedot osoittavat tuonnin kasvaneen merkittävästi, vaikka EU:n kauppatase säilyikin kokonaisuudessaan positiivisena ja oli 27 miljoonaa euroa vuonna 2023.</w:t>
      </w:r>
      <w:r w:rsidRPr="009029CA">
        <w:rPr>
          <w:rStyle w:val="FootnoteReference"/>
          <w:noProof/>
          <w:lang w:eastAsia="fr-BE"/>
        </w:rPr>
        <w:footnoteReference w:id="105"/>
      </w:r>
    </w:p>
    <w:p w14:paraId="70C92650" w14:textId="2DE9A67F" w:rsidR="00542BBB" w:rsidRPr="009029CA" w:rsidRDefault="00542BBB" w:rsidP="009029CA">
      <w:pPr>
        <w:rPr>
          <w:rFonts w:eastAsia="Times New Roman"/>
          <w:noProof/>
        </w:rPr>
      </w:pPr>
      <w:r>
        <w:rPr>
          <w:noProof/>
        </w:rPr>
        <w:t xml:space="preserve">Aurinkolämpöteknologia on kypsä vaihtoehto hiilestä irtautumiseen, mutta jää nähtäväksi, voiko se saavuttaa merkittävän markkinaosuuden. </w:t>
      </w:r>
      <w:bookmarkStart w:id="28" w:name="_Hlk189488221"/>
      <w:r>
        <w:rPr>
          <w:noProof/>
        </w:rPr>
        <w:t>Tällä hetkellä aurinkolämpö kattaa vain 0,9 prosenttia maailmanlaajuisesta lämmönkulutuksesta.</w:t>
      </w:r>
      <w:r w:rsidR="00FD54F1">
        <w:rPr>
          <w:rStyle w:val="FootnoteReference"/>
          <w:rFonts w:eastAsia="Times New Roman"/>
          <w:noProof/>
          <w:lang w:eastAsia="fr-BE"/>
        </w:rPr>
        <w:footnoteReference w:id="106"/>
      </w:r>
      <w:r>
        <w:rPr>
          <w:noProof/>
        </w:rPr>
        <w:t xml:space="preserve"> </w:t>
      </w:r>
      <w:bookmarkEnd w:id="28"/>
      <w:r>
        <w:rPr>
          <w:noProof/>
        </w:rPr>
        <w:t xml:space="preserve">Aurinkolämmön tasoitetut kustannukset voivat olla kilpailukykyisiä perinteisiin lähteisiin nähden erityisesti alueilla, joilla on hyvät aurinkoenergiaresurssit. Aurinkolämpöteknologiaa käytetään kuitenkin usein järjestelmissä, joissa on myös jokin toinen lämmönlähde, kun taas lämpöpumput voivat tarjota itsenäisesti toimivia ratkaisuja moniin eri sovelluksiin. Aurinkolämpöala hyötyisi koordinoiduista toimista ja selkeistä etenemissuunnitelmista, jotta kasvu saataisiin etenemään kohti vuodeksi 2030 asetettua tavoitetta. </w:t>
      </w:r>
    </w:p>
    <w:p w14:paraId="6FCFC425" w14:textId="0E6A757A" w:rsidR="00542BBB" w:rsidRPr="00B27A5E" w:rsidRDefault="00542BBB" w:rsidP="009029CA">
      <w:pPr>
        <w:rPr>
          <w:rFonts w:eastAsia="Times New Roman"/>
          <w:strike/>
          <w:noProof/>
        </w:rPr>
      </w:pPr>
      <w:r>
        <w:rPr>
          <w:noProof/>
        </w:rPr>
        <w:t>EU:n yritykset ovat hyvässä asemassa teknologian toimittajina, mutta standardointia on jatkettava, kuin myös sellaisen asentajien verkoston kehittämistä, jolla on asiantuntemusta kustannustehokkaista ratkaisuista, kuten teknologian yhdistämisestä muihin uusiutuviin teknologioihin. Keskittävän aurinkoenergian alalla EU:n markkinoiden elpyminen perustuu pitkälti Espanjan ehdotukseen lisätä kapasiteettia 2,5 gigawattia vuoteen 2030 mennessä.</w:t>
      </w:r>
      <w:r w:rsidRPr="009029CA">
        <w:rPr>
          <w:rStyle w:val="FootnoteReference"/>
          <w:noProof/>
          <w:lang w:eastAsia="fr-BE"/>
        </w:rPr>
        <w:footnoteReference w:id="107"/>
      </w:r>
      <w:r>
        <w:rPr>
          <w:noProof/>
        </w:rPr>
        <w:t xml:space="preserve"> Myös tässä tapauksessa suunnittelun ja valmistuksen standardointi olisi olennaisen tärkeää kilpailukykyisen kustannustason saavuttamiseksi. </w:t>
      </w:r>
    </w:p>
    <w:p w14:paraId="4A8802CA" w14:textId="77777777" w:rsidR="00542BBB" w:rsidRPr="00220722" w:rsidRDefault="00542BBB" w:rsidP="009029CA">
      <w:pPr>
        <w:pStyle w:val="Text2"/>
        <w:spacing w:after="160"/>
        <w:ind w:left="0"/>
        <w:rPr>
          <w:noProof/>
        </w:rPr>
      </w:pPr>
    </w:p>
    <w:p w14:paraId="4EACB675" w14:textId="71DF970F" w:rsidR="001E7F3E" w:rsidRPr="009029CA" w:rsidRDefault="00DF2B95" w:rsidP="009029CA">
      <w:pPr>
        <w:pStyle w:val="Heading2"/>
        <w:spacing w:after="160"/>
        <w:rPr>
          <w:noProof/>
        </w:rPr>
      </w:pPr>
      <w:bookmarkStart w:id="29" w:name="_Toc194657181"/>
      <w:r>
        <w:rPr>
          <w:noProof/>
        </w:rPr>
        <w:t>Maa- ja merituulivoima</w:t>
      </w:r>
      <w:bookmarkEnd w:id="29"/>
      <w:r>
        <w:rPr>
          <w:noProof/>
        </w:rPr>
        <w:t xml:space="preserve"> </w:t>
      </w:r>
    </w:p>
    <w:p w14:paraId="104E96CD" w14:textId="5364B8CF" w:rsidR="00FB2D80" w:rsidRPr="009029CA" w:rsidRDefault="0099132A" w:rsidP="009029CA">
      <w:pPr>
        <w:rPr>
          <w:rFonts w:eastAsia="Times New Roman"/>
          <w:noProof/>
        </w:rPr>
      </w:pPr>
      <w:r>
        <w:rPr>
          <w:noProof/>
        </w:rPr>
        <w:t>EU on maailman tuulivoimateollisuuden eturintamassa, ja sen asema on tähän asti ollut vahva. Kiina kuitenkin asettaa painetta unionin kilpailukyvylle. Tuulivoimalla on keskeinen rooli EU:n energiasiirtymässä. Vuoteen 2023 mennessä asennettu tuulivoimakapasiteetti oli yhteensä 219 gigawattia, josta 91 prosenttia oli maalla ja 9 prosenttia merellä.</w:t>
      </w:r>
      <w:r w:rsidR="00586B79">
        <w:rPr>
          <w:rStyle w:val="FootnoteReference"/>
          <w:rFonts w:eastAsia="Times New Roman"/>
          <w:noProof/>
          <w:lang w:eastAsia="fr-BE"/>
        </w:rPr>
        <w:footnoteReference w:id="108"/>
      </w:r>
      <w:r>
        <w:rPr>
          <w:noProof/>
        </w:rPr>
        <w:t xml:space="preserve"> Vuonna 2023 uutta kapasiteettia asennettiin 16,8 gigawattia, josta 83 prosenttia oli maatuulivoimaloita ja 17 prosenttia merituulivoimaloita.</w:t>
      </w:r>
      <w:r w:rsidRPr="009029CA">
        <w:rPr>
          <w:rStyle w:val="FootnoteReference"/>
          <w:noProof/>
          <w:lang w:eastAsia="fr-BE"/>
        </w:rPr>
        <w:footnoteReference w:id="109"/>
      </w:r>
      <w:r>
        <w:rPr>
          <w:noProof/>
        </w:rPr>
        <w:t xml:space="preserve"> Tämä kehitys osoittaa, että asennustahti on nopeutunut (vuonna 2022 kapasiteettia asennettiin yhteensä 15,5 gigawattia). Vuosi 2023 olikin ennätysvuosi vuotuisen asennetun kapasiteetin osalta. Vuotta 2024 koskevat alustavat luvut osoittavat, että EU:ssa asennettiin uutta tuulivoimakapasiteettia 13,6 gigawattia, josta 10,7 gigawattia maatuulivoimaloita ja 2,9 gigawattia merituulivoimaloita.</w:t>
      </w:r>
      <w:r w:rsidR="00DC3F23">
        <w:rPr>
          <w:rStyle w:val="FootnoteReference"/>
          <w:rFonts w:eastAsia="Times New Roman"/>
          <w:noProof/>
          <w:lang w:eastAsia="fr-BE"/>
        </w:rPr>
        <w:footnoteReference w:id="110"/>
      </w:r>
    </w:p>
    <w:p w14:paraId="0E0A3E77" w14:textId="3E41A004" w:rsidR="0099132A" w:rsidRPr="009029CA" w:rsidRDefault="0099132A" w:rsidP="009029CA">
      <w:pPr>
        <w:rPr>
          <w:rFonts w:eastAsia="Times New Roman"/>
          <w:noProof/>
        </w:rPr>
      </w:pPr>
      <w:r>
        <w:rPr>
          <w:noProof/>
        </w:rPr>
        <w:t>Nettonollateollisuussäädöksen myötä EU:n tavoitteena on saavuttaa vähintään 36 gigawatin tuulivoiman valmistuskapasiteetti vuoteen 2030 mennessä.</w:t>
      </w:r>
      <w:r w:rsidRPr="009029CA">
        <w:rPr>
          <w:rStyle w:val="FootnoteReference"/>
          <w:noProof/>
          <w:lang w:eastAsia="fr-BE"/>
        </w:rPr>
        <w:footnoteReference w:id="111"/>
      </w:r>
      <w:r>
        <w:rPr>
          <w:noProof/>
        </w:rPr>
        <w:t xml:space="preserve"> Vuonna 2024 EU:n osuus maailmanlaajuisesta lapojen valmistuksesta oli 12,6 prosenttia (noin 25 gigawattia), konehuonekokoonpanojen valmistuksesta 12,5 prosenttia (noin 35 gigawattia) ja tornien valmistuksesta 21,8 prosenttia (noin 38 gigawattia).</w:t>
      </w:r>
      <w:r w:rsidR="00EC1569" w:rsidRPr="009029CA">
        <w:rPr>
          <w:rStyle w:val="FootnoteReference"/>
          <w:noProof/>
          <w:lang w:eastAsia="fr-BE"/>
        </w:rPr>
        <w:footnoteReference w:id="112"/>
      </w:r>
      <w:r>
        <w:rPr>
          <w:noProof/>
        </w:rPr>
        <w:t xml:space="preserve"> Vuonna 2023 EU:n yritykset toimittivat tuuliturbiineja maailmanlaajuisesti yli 27 gigawatin edestä.</w:t>
      </w:r>
      <w:r w:rsidRPr="009029CA">
        <w:rPr>
          <w:rStyle w:val="FootnoteReference"/>
          <w:noProof/>
          <w:lang w:eastAsia="fr-BE"/>
        </w:rPr>
        <w:footnoteReference w:id="113"/>
      </w:r>
      <w:r>
        <w:rPr>
          <w:noProof/>
        </w:rPr>
        <w:t xml:space="preserve"> EU:n valmistajien maailmanlaajuinen markkinaosuus kuitenkin pieneni vuonna 2023 edellisvuoden 30 prosentista 23 prosenttiin, kun taas kiinalaisten valmistajien osuus kasvoi 46 prosentista 55 prosenttiin. EU:n yritykset kuitenkin hallitsevat edelleen Euroopan markkinoita, ja niiden markkinaosuus oli 89 prosenttia vuonna 2023. Unionin valmistuskapasiteettia on lisättävä, jotta se voi vastata tulevaan kysyntään, joka perustuu asennetun kapasiteetin odotettuun lisääntymiseen. Tämä on ratkaisevan tärkeää uuden asennetun kapasiteetin edellyttämien pääomamenojen vähentämiseksi, sen varmistamiseksi, että tarjonta vastaa kysyntään kilpailukykyiseen hintaan, sekä tarjonnan pullonkaulojen ja kustannusten nousun välttämiseksi.</w:t>
      </w:r>
    </w:p>
    <w:p w14:paraId="3A0B1706" w14:textId="76A4898C" w:rsidR="0099132A" w:rsidRPr="009029CA" w:rsidRDefault="0099132A" w:rsidP="009029CA">
      <w:pPr>
        <w:rPr>
          <w:rFonts w:eastAsia="Times New Roman"/>
          <w:noProof/>
        </w:rPr>
      </w:pPr>
      <w:r>
        <w:rPr>
          <w:noProof/>
        </w:rPr>
        <w:t>EU:n yritysten suurimmat haasteet liittyvät erityisesti Kiinasta tulevaan voimakkaaseen kilpailuun. Kiinalaiset valmistajat pystyvät tarjoamaan paljon alhaisempia hintoja kuin eurooppalaiset kilpailijansa, ja Kiinasta viedyt turbiinit ovat noin 32 prosenttia halvempia kuin kilpailevat tuotteet.</w:t>
      </w:r>
      <w:r w:rsidR="00F11DB6">
        <w:rPr>
          <w:rStyle w:val="FootnoteReference"/>
          <w:rFonts w:eastAsia="Times New Roman"/>
          <w:noProof/>
        </w:rPr>
        <w:footnoteReference w:id="114"/>
      </w:r>
      <w:r>
        <w:rPr>
          <w:noProof/>
        </w:rPr>
        <w:t xml:space="preserve"> Lisäksi tuuliturbiinien ja niiden komponenttien hinnat nousivat maailmanlaajuisesti noin 26 prosenttia pandemiaa edeltäneeseen tasoon verrattuna.</w:t>
      </w:r>
      <w:r w:rsidRPr="009029CA">
        <w:rPr>
          <w:rStyle w:val="FootnoteReference"/>
          <w:noProof/>
          <w:lang w:eastAsia="fr-BE"/>
        </w:rPr>
        <w:footnoteReference w:id="115"/>
      </w:r>
      <w:r>
        <w:rPr>
          <w:noProof/>
        </w:rPr>
        <w:t xml:space="preserve"> Tämä voi luoda epätasapuoliset toimintaedellytykset EU:n yrityksille ja haitata niiden tulevaa kilpailukykyä maailmanmarkkinoilla.</w:t>
      </w:r>
    </w:p>
    <w:p w14:paraId="567F2492" w14:textId="4006CA3B" w:rsidR="0099132A" w:rsidRPr="009029CA" w:rsidRDefault="0099132A" w:rsidP="009029CA">
      <w:pPr>
        <w:rPr>
          <w:rFonts w:eastAsia="Times New Roman"/>
          <w:noProof/>
        </w:rPr>
      </w:pPr>
      <w:r>
        <w:rPr>
          <w:noProof/>
        </w:rPr>
        <w:t>Makrotaloudellisen ympäristön parantuessa myös tuulivoimainvestoinnit ovat alkaneet elpyä.</w:t>
      </w:r>
      <w:r w:rsidRPr="009029CA">
        <w:rPr>
          <w:rStyle w:val="FootnoteReference"/>
          <w:noProof/>
          <w:lang w:eastAsia="fr-BE"/>
        </w:rPr>
        <w:footnoteReference w:id="116"/>
      </w:r>
      <w:r>
        <w:rPr>
          <w:noProof/>
        </w:rPr>
        <w:t xml:space="preserve"> Vuonna 2023 EU:ssa investoitiin ennätykselliset 48 miljardia euroa (kun vuonna 2022 investoinnit olivat 20 miljardia euroa). Vuonna 2023 maatuulivoimainvestoinnit pysyivät vuoden 2022 tasolla ja olivat noin 18 miljardia euroa, kun taas merituulivoimainvestoinnit kasvoivat 0,4 miljardista eurosta vuonna 2022 yhteensä 30 miljardiin euroon vuonna 2023. </w:t>
      </w:r>
    </w:p>
    <w:p w14:paraId="66AAE009" w14:textId="73F25F9A" w:rsidR="0099132A" w:rsidRPr="009029CA" w:rsidRDefault="0099132A" w:rsidP="009029CA">
      <w:pPr>
        <w:rPr>
          <w:rFonts w:eastAsia="Times New Roman"/>
          <w:noProof/>
        </w:rPr>
      </w:pPr>
      <w:r>
        <w:rPr>
          <w:noProof/>
        </w:rPr>
        <w:t>Tuulivoimateollisuus on koko maailmassa vahvasti riippuvainen monimutkaisista toimitusketjuista, jotka voivat olla alttiita häiriöille, kaupan jännitteille ja kriittisten raaka-aineiden puutteelle. Joitakin materiaaleja, kuten kuparia ja terästä, tarvitaan paljon, koska niitä käytetään useissa turbiinikomponenteissa, kuten generaattoreissa, torneissa, lavoissa ja vaihteistoissa. Huolta aiheuttaa etenkin vahva riippuvuus kiinalaisista harvinaisista maametalleista</w:t>
      </w:r>
      <w:r w:rsidR="00BA61D2">
        <w:rPr>
          <w:rStyle w:val="FootnoteReference"/>
          <w:rFonts w:eastAsia="Times New Roman"/>
          <w:noProof/>
        </w:rPr>
        <w:footnoteReference w:id="117"/>
      </w:r>
      <w:r>
        <w:rPr>
          <w:noProof/>
        </w:rPr>
        <w:t>, jotka ovat välttämättömiä tuuliturbiineissa käytettävien kestomagneettien tuottamiseksi. Myös komponentteihin ja osakomponentteihin, kuten generaattoreihin, liittyy haavoittuvuuksia, mikä lisää toimitusketjuhäiriöiden riskiä. Materiaalien ja komponenttien hankinta voi keskittyä vain muutamiin maihin, mikä saattaa aiheuttaa geopoliittisista riippuvuuksista johtuvia toimitusketjuriskejä. Tämä korostaa tarvetta parantaa toimitusketjujen monipuolisuutta ja kestävyyttä tuulivoimateollisuuden kasvun tukemiseksi.</w:t>
      </w:r>
    </w:p>
    <w:p w14:paraId="4461A1CB" w14:textId="2EFCFF36" w:rsidR="0099132A" w:rsidRPr="009029CA" w:rsidRDefault="00836024" w:rsidP="009029CA">
      <w:pPr>
        <w:rPr>
          <w:rFonts w:eastAsia="Times New Roman"/>
          <w:noProof/>
        </w:rPr>
      </w:pPr>
      <w:r>
        <w:rPr>
          <w:noProof/>
        </w:rPr>
        <w:t>Komissio on ehdottanut Euroopan tuulivoimaa koskevassa toimintasuunnitelmassa toimenpiteitä, joilla tuetaan unionin tuulivoimateollisuuden kilpailukykyä.</w:t>
      </w:r>
      <w:r w:rsidR="00E41F5A">
        <w:rPr>
          <w:rStyle w:val="FootnoteReference"/>
          <w:rFonts w:eastAsia="Times New Roman"/>
          <w:noProof/>
          <w:lang w:eastAsia="fr-BE"/>
        </w:rPr>
        <w:footnoteReference w:id="118"/>
      </w:r>
      <w:r>
        <w:rPr>
          <w:noProof/>
        </w:rPr>
        <w:t xml:space="preserve"> Yksi näistä aloitteista on EU:n tuulivoimaa koskeva peruskirja</w:t>
      </w:r>
      <w:r w:rsidR="0099132A" w:rsidRPr="009029CA">
        <w:rPr>
          <w:rStyle w:val="FootnoteReference"/>
          <w:noProof/>
          <w:lang w:eastAsia="fr-BE"/>
        </w:rPr>
        <w:footnoteReference w:id="119"/>
      </w:r>
      <w:r>
        <w:rPr>
          <w:noProof/>
        </w:rPr>
        <w:t>, joka allekirjoitettiin joulukuussa 2023. Siihen osallistuu 26 jäsenvaltiota, jotka ovat sitoutuneet tukemaan unionin tuulivoima-alaa muun muassa lisäämällä valmistuskapasiteettia EU:ssa sekä parantamalla ja yksinkertaistamalla huutokauppa- ja lupamenettelyjä. Nykyisiä toimia käyttöönoton tukemiseksi, mukaan lukien lupamenettelyjen nopeuttaminen, hankkeiden kehittämisen näkyvyyden lisääminen ja verkkoinvestoinnit, on jatkettava sen varmistamiseksi, että tulevat tuulipuistot säilyvät houkuttelevina investointikohteina ja että EU:n tuulivoimateollisuus voi hyötyä tuulienergian maailmanlaajuisen kasvun tarjoamista mahdollisuuksista.</w:t>
      </w:r>
    </w:p>
    <w:p w14:paraId="7C1A5551" w14:textId="77777777" w:rsidR="00542BBB" w:rsidRPr="00220722" w:rsidRDefault="00542BBB" w:rsidP="009029CA">
      <w:pPr>
        <w:pStyle w:val="Text2"/>
        <w:spacing w:after="160"/>
        <w:ind w:left="0"/>
        <w:rPr>
          <w:noProof/>
        </w:rPr>
      </w:pPr>
    </w:p>
    <w:p w14:paraId="3358C1CE" w14:textId="1546ACD5" w:rsidR="00DF2B95" w:rsidRPr="009029CA" w:rsidRDefault="00DF2B95" w:rsidP="009029CA">
      <w:pPr>
        <w:pStyle w:val="Heading2"/>
        <w:spacing w:after="160"/>
        <w:rPr>
          <w:noProof/>
        </w:rPr>
      </w:pPr>
      <w:bookmarkStart w:id="30" w:name="_Toc194657182"/>
      <w:r>
        <w:rPr>
          <w:noProof/>
        </w:rPr>
        <w:t>Valtamerienergia</w:t>
      </w:r>
      <w:bookmarkEnd w:id="30"/>
    </w:p>
    <w:p w14:paraId="0F27CA28" w14:textId="2D16902A" w:rsidR="00061D49" w:rsidRPr="009029CA" w:rsidRDefault="00061D49">
      <w:pPr>
        <w:pStyle w:val="paragraph"/>
        <w:spacing w:before="0" w:beforeAutospacing="0" w:after="160" w:afterAutospacing="0"/>
        <w:jc w:val="both"/>
        <w:rPr>
          <w:rStyle w:val="normaltextrun"/>
          <w:rFonts w:eastAsiaTheme="majorEastAsia"/>
          <w:noProof/>
        </w:rPr>
      </w:pPr>
      <w:r>
        <w:rPr>
          <w:rStyle w:val="normaltextrun"/>
          <w:noProof/>
        </w:rPr>
        <w:t xml:space="preserve">Valtamerienergia käsittää useita teknologioita, joista edistyneimpiä ovat vuorovesienergia ja aaltoenergia. Vaikka jotkin näistä teknologioista ovat saavuttaneet korkean teknologisen valmiuden tason, </w:t>
      </w:r>
      <w:r>
        <w:rPr>
          <w:noProof/>
        </w:rPr>
        <w:t xml:space="preserve">valtamerienergiaan liittyvää teknologiaa </w:t>
      </w:r>
      <w:r>
        <w:rPr>
          <w:rStyle w:val="normaltextrun"/>
          <w:noProof/>
        </w:rPr>
        <w:t>ei ole vielä otettu käyttöön teollisessa mittakaavassa.</w:t>
      </w:r>
    </w:p>
    <w:p w14:paraId="04831CA1" w14:textId="4F8EDE1D" w:rsidR="00061D49" w:rsidRPr="009029CA" w:rsidRDefault="00061D49" w:rsidP="38BE83A0">
      <w:pPr>
        <w:pStyle w:val="Default"/>
        <w:spacing w:after="160"/>
        <w:jc w:val="both"/>
        <w:rPr>
          <w:rFonts w:ascii="Times New Roman" w:eastAsia="Times New Roman" w:hAnsi="Times New Roman" w:cs="Times New Roman"/>
          <w:noProof/>
        </w:rPr>
      </w:pPr>
      <w:r>
        <w:rPr>
          <w:rFonts w:ascii="Times New Roman" w:hAnsi="Times New Roman"/>
          <w:noProof/>
          <w:color w:val="000000" w:themeColor="text1"/>
        </w:rPr>
        <w:t>EU:lla on johtoasema valtamerienergiateknologian kehittämisessä, erityisesti vuorovesi- ja aaltoenergian alalla. Se kohtaa kuitenkin kasvavaa kilpailua muiden suurten talouksien, kuten Yhdysvaltojen ja Kiinan, taholta. Yhdysvallat on investoinut viiden viime vuoden aikana 546 miljoonaa euroa</w:t>
      </w:r>
      <w:r w:rsidR="001B1104">
        <w:rPr>
          <w:rStyle w:val="FootnoteReference"/>
          <w:rFonts w:ascii="Times New Roman" w:eastAsia="Times New Roman" w:hAnsi="Times New Roman" w:cs="Times New Roman"/>
          <w:noProof/>
          <w:color w:val="000000" w:themeColor="text1"/>
          <w:lang w:val="en-GB" w:eastAsia="en-GB"/>
        </w:rPr>
        <w:footnoteReference w:id="120"/>
      </w:r>
      <w:r>
        <w:rPr>
          <w:rFonts w:ascii="Times New Roman" w:hAnsi="Times New Roman"/>
          <w:noProof/>
          <w:color w:val="000000" w:themeColor="text1"/>
        </w:rPr>
        <w:t xml:space="preserve"> valtamerienergiaan. </w:t>
      </w:r>
      <w:r>
        <w:rPr>
          <w:rFonts w:ascii="Times New Roman" w:hAnsi="Times New Roman"/>
          <w:noProof/>
        </w:rPr>
        <w:t>Vuosina 2023 ja 2024 markkinat houkuttelivat ennennäkemätöntä rahoitusta ja kiinnostusta. Vuotta 2024 koskevat alustavat tiedot osoittavat, että Euroopassa asennettiin kyseisenä vuonna ainakin 1 230 kilowattia uutta valtamerienergiakapasiteettia.</w:t>
      </w:r>
      <w:r w:rsidR="009144C9">
        <w:rPr>
          <w:rStyle w:val="FootnoteReference"/>
          <w:rFonts w:ascii="Times New Roman" w:eastAsia="Times New Roman" w:hAnsi="Times New Roman" w:cs="Times New Roman"/>
          <w:noProof/>
          <w:lang w:val="en-GB" w:eastAsia="en-GB"/>
        </w:rPr>
        <w:footnoteReference w:id="121"/>
      </w:r>
      <w:r>
        <w:rPr>
          <w:rFonts w:ascii="Times New Roman" w:hAnsi="Times New Roman"/>
          <w:noProof/>
        </w:rPr>
        <w:t xml:space="preserve"> Vuonna 2022 EU:ssa asennettiin 878 kilowattia ja vuonna 2023 asennettiin 250 kilowattia.</w:t>
      </w:r>
      <w:r w:rsidRPr="38BE83A0">
        <w:rPr>
          <w:rStyle w:val="FootnoteReference"/>
          <w:rFonts w:ascii="Times New Roman" w:hAnsi="Times New Roman" w:cs="Times New Roman"/>
          <w:noProof/>
          <w:lang w:val="en-GB" w:eastAsia="en-GB"/>
        </w:rPr>
        <w:footnoteReference w:id="122"/>
      </w:r>
      <w:r>
        <w:rPr>
          <w:rFonts w:ascii="Times New Roman" w:hAnsi="Times New Roman"/>
          <w:noProof/>
        </w:rPr>
        <w:t xml:space="preserve"> Kansalliset tulotuet (esim. hinnanerosopimukset tai syöttötariffit) sekä EU:n ja kansallinen rahoitus olivat vuosina 2023–2024 tärkeimmät tekijät, jotka houkuttelivat yksityisiä investointeja ja vauhdittivat näiden hankkeiden kehittämistä Euroopassa. Toimialan edustajat odottavat 165 megawatin hankeputkea, johon kuuluu 15</w:t>
      </w:r>
      <w:r w:rsidR="00753A83">
        <w:rPr>
          <w:rFonts w:ascii="Times New Roman" w:hAnsi="Times New Roman"/>
          <w:noProof/>
        </w:rPr>
        <w:t> </w:t>
      </w:r>
      <w:r>
        <w:rPr>
          <w:rFonts w:ascii="Times New Roman" w:hAnsi="Times New Roman"/>
          <w:noProof/>
        </w:rPr>
        <w:t>pilotti- tai esikaupallisessa vaiheessa olevaa tuotantolaitosta.</w:t>
      </w:r>
      <w:r w:rsidRPr="38BE83A0">
        <w:rPr>
          <w:rStyle w:val="FootnoteReference"/>
          <w:rFonts w:ascii="Times New Roman" w:hAnsi="Times New Roman" w:cs="Times New Roman"/>
          <w:noProof/>
          <w:lang w:val="en-GB"/>
        </w:rPr>
        <w:footnoteReference w:id="123"/>
      </w:r>
      <w:r>
        <w:rPr>
          <w:rFonts w:ascii="Times New Roman" w:hAnsi="Times New Roman"/>
          <w:noProof/>
          <w:color w:val="000000" w:themeColor="text1"/>
        </w:rPr>
        <w:t xml:space="preserve"> Suurin osa jäsenvaltioiden yhteenlasketusta asennetusta kapasiteetista vuorovesienergian alalla on Ranskassa, Tanskassa ja Alankomaissa, kun taas Portugali ja Espanja ovat kärjessä aaltoenergialaitteiden käyttöönotossa.</w:t>
      </w:r>
    </w:p>
    <w:p w14:paraId="34EDF387" w14:textId="1426A0D4" w:rsidR="00061D49" w:rsidRPr="009029CA" w:rsidRDefault="00A7002D" w:rsidP="00C577C6">
      <w:pPr>
        <w:pStyle w:val="Default"/>
        <w:spacing w:after="160"/>
        <w:jc w:val="both"/>
        <w:rPr>
          <w:rFonts w:ascii="Times New Roman" w:eastAsia="Times New Roman" w:hAnsi="Times New Roman" w:cs="Times New Roman"/>
          <w:noProof/>
        </w:rPr>
      </w:pPr>
      <w:r>
        <w:rPr>
          <w:rStyle w:val="normaltextrun"/>
          <w:rFonts w:ascii="Times New Roman" w:hAnsi="Times New Roman"/>
          <w:noProof/>
          <w:color w:val="000000" w:themeColor="text1"/>
        </w:rPr>
        <w:t>Unionin teollisuus on edelläkävijä alan kehittämisessä, ja 41 prosenttia vuorovesivirtateknologian kehittäjistä ja 52 prosenttia aaltoenergian kehittäjistä on sijoittautunut EU:hun.</w:t>
      </w:r>
      <w:r w:rsidR="00061D49" w:rsidRPr="38BE83A0">
        <w:rPr>
          <w:rFonts w:ascii="Times New Roman" w:eastAsia="Times New Roman" w:hAnsi="Times New Roman" w:cs="Times New Roman"/>
          <w:noProof/>
          <w:color w:val="000000" w:themeColor="text1"/>
          <w:vertAlign w:val="superscript"/>
          <w:lang w:val="en-GB"/>
        </w:rPr>
        <w:footnoteReference w:id="124"/>
      </w:r>
      <w:r>
        <w:rPr>
          <w:rFonts w:ascii="Times New Roman" w:hAnsi="Times New Roman"/>
          <w:noProof/>
        </w:rPr>
        <w:t xml:space="preserve"> Vaihteistojen, generaattoreiden ja ohjausjärjestelmien valmistus tapahtuu pääasiassa Euroopassa, ja hankkeiden arvioidaan tarjoavan vähintään 415</w:t>
      </w:r>
      <w:r w:rsidR="00753A83">
        <w:rPr>
          <w:rFonts w:ascii="Times New Roman" w:hAnsi="Times New Roman"/>
          <w:noProof/>
        </w:rPr>
        <w:t> </w:t>
      </w:r>
      <w:r>
        <w:rPr>
          <w:rFonts w:ascii="Times New Roman" w:hAnsi="Times New Roman"/>
          <w:noProof/>
        </w:rPr>
        <w:t xml:space="preserve">kokoaikaista työpaikkaa unionissa. </w:t>
      </w:r>
      <w:r>
        <w:rPr>
          <w:rFonts w:ascii="Times New Roman" w:hAnsi="Times New Roman"/>
          <w:noProof/>
          <w:color w:val="000000" w:themeColor="text1"/>
        </w:rPr>
        <w:t>Maailmanlaajuisesti EU:n hallussa on 20 prosenttia arvokkaista keksinnöistä, mikä on toiseksi eniten heti Kiinan (32 prosenttia) jälkeen.</w:t>
      </w:r>
      <w:r w:rsidR="00061D49" w:rsidRPr="38BE83A0">
        <w:rPr>
          <w:rStyle w:val="FootnoteReference"/>
          <w:rFonts w:ascii="Times New Roman" w:hAnsi="Times New Roman" w:cs="Times New Roman"/>
          <w:noProof/>
          <w:lang w:val="en-GB" w:eastAsia="en-GB"/>
        </w:rPr>
        <w:footnoteReference w:id="125"/>
      </w:r>
      <w:r>
        <w:rPr>
          <w:rFonts w:ascii="Times New Roman" w:hAnsi="Times New Roman"/>
          <w:noProof/>
        </w:rPr>
        <w:t xml:space="preserve"> </w:t>
      </w:r>
    </w:p>
    <w:p w14:paraId="4E7F642B" w14:textId="083937B5" w:rsidR="00542BBB" w:rsidRDefault="00061D49" w:rsidP="009029CA">
      <w:pPr>
        <w:pStyle w:val="Text2"/>
        <w:spacing w:after="160"/>
        <w:ind w:left="0"/>
        <w:rPr>
          <w:noProof/>
        </w:rPr>
      </w:pPr>
      <w:r>
        <w:rPr>
          <w:noProof/>
          <w:color w:val="000000"/>
        </w:rPr>
        <w:t>Suurin haaste</w:t>
      </w:r>
      <w:r>
        <w:rPr>
          <w:noProof/>
        </w:rPr>
        <w:t xml:space="preserve"> </w:t>
      </w:r>
      <w:r>
        <w:rPr>
          <w:noProof/>
          <w:color w:val="000000" w:themeColor="text1"/>
        </w:rPr>
        <w:t>on edelleen korkeat</w:t>
      </w:r>
      <w:r>
        <w:rPr>
          <w:noProof/>
        </w:rPr>
        <w:t xml:space="preserve"> pääomakustannukset, </w:t>
      </w:r>
      <w:r>
        <w:rPr>
          <w:noProof/>
          <w:color w:val="000000" w:themeColor="text1"/>
        </w:rPr>
        <w:t xml:space="preserve">mikä hidastaa investointeja ja käyttöönottoa. Sillä on myös kerrannaisvaikutuksia teollistumiseen. </w:t>
      </w:r>
      <w:r>
        <w:rPr>
          <w:rStyle w:val="normaltextrun"/>
          <w:noProof/>
          <w:color w:val="000000" w:themeColor="text1"/>
        </w:rPr>
        <w:t>Strategisessa energiateknologiasuunnitelmassa (SET-suunnitelma) asetetaan tältä osin tavoitteita, joilla pyritään alentamaan tuotantokustannukset 0,10 euroon kilowattitunnilta vuorovesivirran osalta ja 0,15 euroon kilowattitunnilta aaltoenergian osalta vuoteen 2030 mennessä.</w:t>
      </w:r>
      <w:r w:rsidRPr="009029CA">
        <w:rPr>
          <w:rStyle w:val="FootnoteReference"/>
          <w:noProof/>
          <w:color w:val="000000" w:themeColor="text1"/>
        </w:rPr>
        <w:footnoteReference w:id="126"/>
      </w:r>
      <w:r>
        <w:rPr>
          <w:rStyle w:val="normaltextrun"/>
          <w:noProof/>
          <w:color w:val="000000" w:themeColor="text1"/>
        </w:rPr>
        <w:t xml:space="preserve"> Tämä on tarkoitus saavuttaa</w:t>
      </w:r>
      <w:r>
        <w:rPr>
          <w:noProof/>
          <w:color w:val="000000" w:themeColor="text1"/>
        </w:rPr>
        <w:t xml:space="preserve"> erityisesti pilotti- ja esikaupallisille tuotantolaitoksille suunnatuilla</w:t>
      </w:r>
      <w:r>
        <w:rPr>
          <w:noProof/>
        </w:rPr>
        <w:t xml:space="preserve"> teknologiakohtaisilla huutokaupoilla. Tällaisia laitoksia ei kuitenkaan ole vielä kaikissa jäsenvaltioissa. Hankeputken toteuttaminen ja tämän tavoitteen saavuttaminen edellyttävät välineitä, joilla voidaan pienentää investointiriskiä. Tällaisiin riskien vähentämisvälineisiin voisi kuulua esimerkiksi lainatakuut ensimmäisille esikaupallisille tuotantolaitoksille pääomakustannusten alentamiseksi, sijoittajien houkuttelemiseksi ja käyttöönoton nopeuttamiseksi. Näin saataisiin aikaan mittakaavaetuja ja voitaisiin alentaa kustannuksia edelleen, kuten vakiintuneempien uusiutuvien energialähteiden tapauksessa on käynyt.</w:t>
      </w:r>
    </w:p>
    <w:p w14:paraId="0EDEA999" w14:textId="77777777" w:rsidR="00143BA6" w:rsidRPr="00220722" w:rsidRDefault="00143BA6" w:rsidP="009029CA">
      <w:pPr>
        <w:pStyle w:val="Text2"/>
        <w:spacing w:after="160"/>
        <w:ind w:left="0"/>
        <w:rPr>
          <w:noProof/>
          <w:szCs w:val="24"/>
        </w:rPr>
      </w:pPr>
    </w:p>
    <w:p w14:paraId="6F0FD539" w14:textId="39555B2F" w:rsidR="00DF2B95" w:rsidRPr="009029CA" w:rsidRDefault="00DF2B95" w:rsidP="009029CA">
      <w:pPr>
        <w:pStyle w:val="Heading2"/>
        <w:spacing w:after="160"/>
        <w:rPr>
          <w:noProof/>
        </w:rPr>
      </w:pPr>
      <w:bookmarkStart w:id="31" w:name="_Toc194657183"/>
      <w:r>
        <w:rPr>
          <w:noProof/>
        </w:rPr>
        <w:t>Akut ja energian varastointi</w:t>
      </w:r>
      <w:bookmarkEnd w:id="31"/>
    </w:p>
    <w:p w14:paraId="2426873C" w14:textId="12BB13B7" w:rsidR="00816003" w:rsidRPr="009029CA" w:rsidRDefault="002C0662" w:rsidP="002C0662">
      <w:pPr>
        <w:rPr>
          <w:noProof/>
        </w:rPr>
      </w:pPr>
      <w:r>
        <w:rPr>
          <w:noProof/>
        </w:rPr>
        <w:t>Euroopan pyrkimys johtaa maailmanlaajuista siirtymistä puhtaaseen energiaan perustuu sen valmiuksiin kehittää, tuottaa ja integroida kehittynyttä akkuteknologiaa nopeasti ja laajamittaisesti. Nettonollateollisuussäädöksessä mainitaan tavoitteeksi saavuttaa unionissa vähintään 550 gigawattitunnin akkuvalmistuskapasiteetti vuoteen 2030 mennessä.</w:t>
      </w:r>
      <w:r w:rsidR="009A3589">
        <w:rPr>
          <w:rStyle w:val="FootnoteReference"/>
          <w:noProof/>
        </w:rPr>
        <w:footnoteReference w:id="127"/>
      </w:r>
    </w:p>
    <w:p w14:paraId="54E75AC2" w14:textId="213DC6BC" w:rsidR="002C0662" w:rsidRPr="009029CA" w:rsidRDefault="002C0662" w:rsidP="002C0662">
      <w:pPr>
        <w:rPr>
          <w:rFonts w:eastAsia="Times New Roman"/>
          <w:noProof/>
          <w:color w:val="000000" w:themeColor="text1"/>
        </w:rPr>
      </w:pPr>
      <w:r>
        <w:rPr>
          <w:noProof/>
        </w:rPr>
        <w:t>Vuoden 2024 alussa EU näytti saavuttavan vuodeksi 2030 asetetun tavoitteensa,</w:t>
      </w:r>
      <w:r>
        <w:rPr>
          <w:noProof/>
          <w:color w:val="000000" w:themeColor="text1"/>
        </w:rPr>
        <w:t xml:space="preserve"> mutta marraskuussa 2024 ruotsalainen valmistaja Northvolt ilmoitti hakeneensa konkurssisuojaa. Arvioiden mukaan noin 616 gigawattituntia Eurooppaan suunnitellusta valmistuskapasiteetista on ilmoitettu peruutetuksi, viivästyneeksi tai supistetuksi, mikä saattaa vaarantaa vuodeksi 2030 asetetun tavoitteen.</w:t>
      </w:r>
      <w:r>
        <w:rPr>
          <w:rStyle w:val="FootnoteReference"/>
          <w:noProof/>
          <w:color w:val="000000" w:themeColor="text1"/>
        </w:rPr>
        <w:footnoteReference w:id="128"/>
      </w:r>
      <w:r>
        <w:rPr>
          <w:noProof/>
          <w:color w:val="000000" w:themeColor="text1"/>
        </w:rPr>
        <w:t xml:space="preserve"> Tämän seurauksena </w:t>
      </w:r>
      <w:r>
        <w:rPr>
          <w:noProof/>
        </w:rPr>
        <w:t>EU:n osuus maailmanlaajuisesti toiminnassa olevasta akkutuotannosta oli 7 prosenttia vuonna 2024, mikä on arvioitua pienempi tulos. Samaan aikaan maailmanlaajuisen tuotannon odotetaan lähes viisinkertaistuvan seuraavien viiden vuoden aikana. Jos EU:n osuudeksi ennustettu 10 prosenttia maailmanlaajuisesta tuotannosta toteutuu, se kattaisi kokonaan unionin arvioidut tarpeet vuonna 2030.</w:t>
      </w:r>
      <w:r w:rsidR="006E23C8" w:rsidRPr="009029CA">
        <w:rPr>
          <w:rStyle w:val="FootnoteReference"/>
          <w:noProof/>
        </w:rPr>
        <w:footnoteReference w:id="129"/>
      </w:r>
      <w:r>
        <w:rPr>
          <w:noProof/>
        </w:rPr>
        <w:t xml:space="preserve"> </w:t>
      </w:r>
    </w:p>
    <w:p w14:paraId="53980B60" w14:textId="73EF6BAC" w:rsidR="002C0662" w:rsidRDefault="002C0662" w:rsidP="002C0662">
      <w:pPr>
        <w:rPr>
          <w:noProof/>
        </w:rPr>
      </w:pPr>
      <w:r>
        <w:rPr>
          <w:noProof/>
          <w:color w:val="000000" w:themeColor="text1"/>
        </w:rPr>
        <w:t>EU:n kennotuotantoon kohdistuu kriittisiä toimitusketjuriskejä, jotka johtuvat muun muassa suuresta riippuvuudesta Kiinasta katodien ja anodien osalta sekä korkeammista tuotantokustannuksista. Nämä kustannukset ovat yleensä 70–130 prosenttia suuremmat tuotantokapasiteettiyksikköä kohti kuin Kiinassa.</w:t>
      </w:r>
      <w:r w:rsidRPr="009029CA">
        <w:rPr>
          <w:rStyle w:val="FootnoteReference"/>
          <w:noProof/>
          <w:color w:val="000000" w:themeColor="text1"/>
          <w:lang w:val="en-IE"/>
        </w:rPr>
        <w:footnoteReference w:id="130"/>
      </w:r>
      <w:r>
        <w:rPr>
          <w:noProof/>
          <w:color w:val="000000" w:themeColor="text1"/>
        </w:rPr>
        <w:t xml:space="preserve"> Kennojen maailmanlaajuisen ylituotannon lisääntyminen ja sähköajoneuvojen kysynnän lasku johtivat siihen, että eurooppalaiset tuotantolaitokset toimivat vajaateholla tai pysäyttivät tai lykkäsivät tuotantolinjojaan, kuten kävi esimerkiksi Volkswagenin Salzgitterin-tehtaan tapauksessa (tehdas tuotti vain 20 gigawattituntia 40 gigawattitunnin sijaan)</w:t>
      </w:r>
      <w:r>
        <w:rPr>
          <w:rStyle w:val="FootnoteReference"/>
          <w:noProof/>
          <w:color w:val="000000" w:themeColor="text1"/>
        </w:rPr>
        <w:footnoteReference w:id="131"/>
      </w:r>
      <w:r>
        <w:rPr>
          <w:noProof/>
          <w:color w:val="000000" w:themeColor="text1"/>
        </w:rPr>
        <w:t xml:space="preserve">. </w:t>
      </w:r>
      <w:r>
        <w:rPr>
          <w:noProof/>
        </w:rPr>
        <w:t xml:space="preserve">Ennusteiden mukaan akkukennoista on edelleen maailmanlaajuista ylitarjontaa vuonna 2030. </w:t>
      </w:r>
      <w:r>
        <w:rPr>
          <w:noProof/>
          <w:color w:val="000000" w:themeColor="text1"/>
        </w:rPr>
        <w:t>Lisäksi</w:t>
      </w:r>
      <w:r>
        <w:rPr>
          <w:noProof/>
        </w:rPr>
        <w:t xml:space="preserve"> kaupan suojatoimenpiteet ovat lisääntymässä. Yhtenä esimerkkinä voidaan mainita Yhdysvaltojen asettamat tullit kiinalaisille </w:t>
      </w:r>
      <w:r>
        <w:rPr>
          <w:noProof/>
          <w:color w:val="000000" w:themeColor="text1"/>
        </w:rPr>
        <w:t>sähköajoneuvoille. Kaupan jännitteiden kärjistyminen entisestään voisi lisätä kustannuksia ja vaikuttaa akkutoimitusketjujen hankintapäätöksiin.</w:t>
      </w:r>
      <w:r w:rsidR="006F0D50">
        <w:rPr>
          <w:rStyle w:val="FootnoteReference"/>
          <w:rFonts w:eastAsia="Times New Roman"/>
          <w:noProof/>
          <w:color w:val="000000" w:themeColor="text1"/>
          <w:lang w:val="en-IE"/>
        </w:rPr>
        <w:footnoteReference w:id="132"/>
      </w:r>
      <w:r>
        <w:rPr>
          <w:noProof/>
          <w:color w:val="000000" w:themeColor="text1"/>
        </w:rPr>
        <w:t xml:space="preserve"> </w:t>
      </w:r>
      <w:r>
        <w:rPr>
          <w:noProof/>
        </w:rPr>
        <w:t>EU:ssa komissio saattoi vuonna 2024 päätökseen Kiinasta peräisin olevien akkusähköajoneuvojen tasoitustulleja koskevan tutkimuksen, jonka tuloksena tuontiajoneuvoille otettiin käyttöön tasoitustullit.</w:t>
      </w:r>
      <w:r>
        <w:rPr>
          <w:rStyle w:val="FootnoteReference"/>
          <w:noProof/>
        </w:rPr>
        <w:footnoteReference w:id="133"/>
      </w:r>
    </w:p>
    <w:p w14:paraId="18773601" w14:textId="63D054C0" w:rsidR="002C0662" w:rsidRDefault="00B33943" w:rsidP="002C0662">
      <w:pPr>
        <w:rPr>
          <w:noProof/>
        </w:rPr>
      </w:pPr>
      <w:r>
        <w:rPr>
          <w:noProof/>
        </w:rPr>
        <w:t>Verkkomittakaavan akkuenergian varastointijärjestelmän (BESS) kapasiteetti oli vuonna 2024 maailmanlaajuisesti 168 gigawattituntia, mikä merkitsee huomattavaa lisäystä vuonna 2023 käyttöön otetusta 96,1 gigawattitunnista.</w:t>
      </w:r>
      <w:r w:rsidR="00235C53">
        <w:rPr>
          <w:rStyle w:val="FootnoteReference"/>
          <w:noProof/>
        </w:rPr>
        <w:footnoteReference w:id="134"/>
      </w:r>
      <w:r>
        <w:rPr>
          <w:noProof/>
        </w:rPr>
        <w:t xml:space="preserve"> Kiinan osuus koko maailmassa käyttöön otetusta BESS-kapasiteetista oli 67 prosenttia, jonka jälkeen tulivat Yhdysvallat ja Kanada. Eurooppa on tällä hetkellä jäljessä BESS-kapasiteetin käyttöönotossa. ”Mittarin takana” (behind the meter, BTM) olevien energiavarastojen kapasiteetti oli koko maailmassa 40 gigawattituntia vuonna 2024. Arvioiden mukaan vuoteen 2035 mennessä kiinteiden sovellusten osuus koko maailmassa käyttöön otetuista akuista on 16 prosenttia, kun se vuonna 2020 oli 6 prosenttia.</w:t>
      </w:r>
      <w:r w:rsidR="002C0662">
        <w:rPr>
          <w:rStyle w:val="FootnoteReference"/>
          <w:noProof/>
        </w:rPr>
        <w:footnoteReference w:id="135"/>
      </w:r>
      <w:r>
        <w:rPr>
          <w:noProof/>
        </w:rPr>
        <w:t xml:space="preserve"> Useimmat johtavat BESS-akkujen toimittajat ovat sijoittautuneet Aasiaan.</w:t>
      </w:r>
    </w:p>
    <w:p w14:paraId="675817EE" w14:textId="5E84998F" w:rsidR="00D735EE" w:rsidDel="002C0662" w:rsidRDefault="00AD2EEC" w:rsidP="009029CA">
      <w:pPr>
        <w:rPr>
          <w:noProof/>
        </w:rPr>
      </w:pPr>
      <w:r>
        <w:rPr>
          <w:noProof/>
        </w:rPr>
        <w:t xml:space="preserve">Pysyäkseen kilpailijoidensa vauhdissa EU:n on vauhditettava tuotantokapasiteetin käyttöönottoa, </w:t>
      </w:r>
      <w:r>
        <w:rPr>
          <w:noProof/>
          <w:color w:val="333333"/>
        </w:rPr>
        <w:t>rakennettava luotettavia arvoketjuja,</w:t>
      </w:r>
      <w:r>
        <w:rPr>
          <w:noProof/>
        </w:rPr>
        <w:t xml:space="preserve"> investoitava enemmän uusien akkuteknologioiden tutkimukseen ja kehittämiseen sekä korjattava arvoketjujensa kriittiset puutteet vaihtoehtoisten ratkaisujen avulla. </w:t>
      </w:r>
    </w:p>
    <w:p w14:paraId="076962E5" w14:textId="77777777" w:rsidR="00542BBB" w:rsidRPr="00220722" w:rsidRDefault="00542BBB" w:rsidP="009029CA">
      <w:pPr>
        <w:pStyle w:val="Text2"/>
        <w:spacing w:after="160"/>
        <w:ind w:left="0"/>
        <w:rPr>
          <w:noProof/>
        </w:rPr>
      </w:pPr>
    </w:p>
    <w:p w14:paraId="4D73E04C" w14:textId="468D9977" w:rsidR="00DF2B95" w:rsidRPr="009029CA" w:rsidRDefault="00DF2B95" w:rsidP="009029CA">
      <w:pPr>
        <w:pStyle w:val="Heading2"/>
        <w:spacing w:after="160"/>
        <w:rPr>
          <w:noProof/>
        </w:rPr>
      </w:pPr>
      <w:bookmarkStart w:id="32" w:name="_Toc194657184"/>
      <w:r>
        <w:rPr>
          <w:noProof/>
        </w:rPr>
        <w:t>Lämpöpumpputeknologiat</w:t>
      </w:r>
      <w:bookmarkEnd w:id="32"/>
    </w:p>
    <w:p w14:paraId="440D3CB2" w14:textId="4302A670" w:rsidR="00FA731C" w:rsidRPr="009029CA" w:rsidRDefault="00FA731C" w:rsidP="009029CA">
      <w:pPr>
        <w:rPr>
          <w:noProof/>
        </w:rPr>
      </w:pPr>
      <w:r>
        <w:rPr>
          <w:noProof/>
        </w:rPr>
        <w:t>EU:ssa sijaitsevat lämpöpumppujen loppukokoonpanojen valmistajat ovat maailman kärjessä asuinrakennuksiin tarkoitettujen huippuluokan vesikiertoisten ratkaisujen alalla, kun taas kiinalaiset yritykset hallitsevat kaksitoimisten ilma-ilma-ilmastointilaitteiden markkinoita.</w:t>
      </w:r>
      <w:r w:rsidRPr="009029CA">
        <w:rPr>
          <w:rStyle w:val="FootnoteReference"/>
          <w:noProof/>
        </w:rPr>
        <w:footnoteReference w:id="136"/>
      </w:r>
      <w:r>
        <w:rPr>
          <w:noProof/>
        </w:rPr>
        <w:t xml:space="preserve"> EU:n valmistajat ovat ilmoittaneet lisäävänsä loppukokoonpanokapasiteettia yli 30 gigawattia lämpötehoa (GWth) tämän vuosikymmenen aikana, kun vuonna 2023 olemassa oleva kapasiteetti oli noin 24 GWth. Näiden suunniteltujen lisäysten myötä unionin teollisuus on lähellä Kansainvälisen energiajärjestön vuodeksi 2030 unionin osalta määrittämää noin 60 GWth:n käyttöönottotarvetta.</w:t>
      </w:r>
      <w:r w:rsidRPr="009029CA">
        <w:rPr>
          <w:rStyle w:val="FootnoteReference"/>
          <w:noProof/>
        </w:rPr>
        <w:footnoteReference w:id="137"/>
      </w:r>
      <w:r>
        <w:rPr>
          <w:noProof/>
        </w:rPr>
        <w:t xml:space="preserve"> EU on näin ollen hyvää vauhtia saavuttamassa nettonollateollisuussäädöksen tavoitteen, jonka mukaan lämpöpumppujen loppukokoonpanojen valmistuskapasiteetti on vähintään 31 GWth. Unionin yritysten asema on kuitenkin heikompi tiettyjen komponenttien valmistuksessa.</w:t>
      </w:r>
    </w:p>
    <w:p w14:paraId="4ADE5E0B" w14:textId="57B7E164" w:rsidR="00FA731C" w:rsidRPr="009029CA" w:rsidRDefault="00FA731C" w:rsidP="009029CA">
      <w:pPr>
        <w:rPr>
          <w:noProof/>
        </w:rPr>
      </w:pPr>
      <w:r>
        <w:rPr>
          <w:noProof/>
        </w:rPr>
        <w:t>Ilmavesilämpöpumppujen kauppataseen alijäämä EU:ssa supistui kolmanneksella vuonna 2023, kun tuonti väheni 13 prosenttia ja vienti kasvoi 14 prosenttia.</w:t>
      </w:r>
      <w:r w:rsidRPr="009029CA">
        <w:rPr>
          <w:rStyle w:val="FootnoteReference"/>
          <w:noProof/>
        </w:rPr>
        <w:footnoteReference w:id="138"/>
      </w:r>
      <w:r>
        <w:rPr>
          <w:noProof/>
        </w:rPr>
        <w:t xml:space="preserve"> Samaan aikaan lämpöpumppujen myynti EU:ssa laski 7,2 prosenttia vuonna 2023 vuoteen 2022 verrattuna kymmenen vuoden tasaisen kasvun jälkeen.</w:t>
      </w:r>
      <w:r w:rsidRPr="009029CA">
        <w:rPr>
          <w:rStyle w:val="FootnoteReference"/>
          <w:noProof/>
        </w:rPr>
        <w:footnoteReference w:id="139"/>
      </w:r>
      <w:r>
        <w:rPr>
          <w:noProof/>
        </w:rPr>
        <w:t xml:space="preserve"> Suuntaus jatkui vuonna 2024, kun myynti laski Euroopassa 31 prosenttia vuoteen 2023 verrattuna.</w:t>
      </w:r>
      <w:r w:rsidR="00966609">
        <w:rPr>
          <w:rStyle w:val="FootnoteReference"/>
          <w:noProof/>
        </w:rPr>
        <w:footnoteReference w:id="140"/>
      </w:r>
      <w:r>
        <w:rPr>
          <w:noProof/>
        </w:rPr>
        <w:t xml:space="preserve"> Tämä johti työajan lyhentämisjärjestelyihin ja alan työpaikkojen vähenemiseen ja aiheutti epävarmuutta tuotantoa koskeviin investointipäätöksiin. Lisäksi EU:n valmistuskapasiteetin kasvu hidastui vuonna 2023.</w:t>
      </w:r>
      <w:r w:rsidRPr="009029CA">
        <w:rPr>
          <w:rStyle w:val="FootnoteReference"/>
          <w:noProof/>
        </w:rPr>
        <w:footnoteReference w:id="141"/>
      </w:r>
      <w:r>
        <w:rPr>
          <w:noProof/>
        </w:rPr>
        <w:t xml:space="preserve"> Suuntauksen kääntämiseksi toimiala peräänkuuluttaa kunnianhimoisia EU:n tavoitteita tilojen lämmityksen hiilestä irrottamiseksi, vakaita pitkän aikavälin kansallisia toimintakehyksiä sekä suotuisaa sähkön ja kaasun hintasuhdetta.</w:t>
      </w:r>
      <w:r w:rsidRPr="009029CA">
        <w:rPr>
          <w:rStyle w:val="FootnoteReference"/>
          <w:noProof/>
        </w:rPr>
        <w:footnoteReference w:id="142"/>
      </w:r>
    </w:p>
    <w:p w14:paraId="4FCA9C9E" w14:textId="2033D6E8" w:rsidR="00FA731C" w:rsidRPr="009029CA" w:rsidRDefault="00B11A57" w:rsidP="009029CA">
      <w:pPr>
        <w:rPr>
          <w:noProof/>
        </w:rPr>
      </w:pPr>
      <w:r>
        <w:rPr>
          <w:noProof/>
        </w:rPr>
        <w:t>Lämpöpumppujen loppukokoonpanovaiheen arvioidaan maksavan Euroopassa ja Yhdysvalloissa noin 184–230 euroa kilowattia kohti</w:t>
      </w:r>
      <w:r w:rsidR="00FA731C" w:rsidRPr="006D05CC">
        <w:rPr>
          <w:rStyle w:val="FootnoteReference"/>
          <w:noProof/>
        </w:rPr>
        <w:footnoteReference w:id="143"/>
      </w:r>
      <w:r>
        <w:rPr>
          <w:noProof/>
        </w:rPr>
        <w:t>, mikä on noin kaksi kertaa enemmän kuin Kiinassa. Koska komponenttien osuus lopullisista kustannuksista on 75 prosenttia, vertikaalisesti integroituneilla valmistajilla on parempi kilpailuasema.</w:t>
      </w:r>
      <w:r w:rsidR="00FA731C" w:rsidRPr="009029CA">
        <w:rPr>
          <w:rStyle w:val="FootnoteReference"/>
          <w:noProof/>
        </w:rPr>
        <w:footnoteReference w:id="144"/>
      </w:r>
      <w:r>
        <w:rPr>
          <w:noProof/>
        </w:rPr>
        <w:t xml:space="preserve"> EU:n teollisuus on edelleen suurelta osin riippuvainen tuontikomponenteista, kuten kompressoreista, lämmönvaihtimista, venttiileistä ja kylmäaineista. Jotta voitaisiin vahvistaa asuinrakennuksiin tarkoitettujen lämpöpumppujen valmistajien kilpailukykyä ja häiriönsietokykyä, riippuvuuksia on pyrittävä vähentämään monipuolistamalla toimitusketjuja ja vahvistamalla EU:n arvoketjuja. </w:t>
      </w:r>
    </w:p>
    <w:p w14:paraId="2AE74453" w14:textId="2409CB50" w:rsidR="00FA731C" w:rsidRPr="009029CA" w:rsidRDefault="00FA731C" w:rsidP="009029CA">
      <w:pPr>
        <w:rPr>
          <w:noProof/>
        </w:rPr>
      </w:pPr>
      <w:r>
        <w:rPr>
          <w:b/>
          <w:noProof/>
        </w:rPr>
        <w:t>Teollisuuden lämpöpumppujen</w:t>
      </w:r>
      <w:r>
        <w:rPr>
          <w:noProof/>
        </w:rPr>
        <w:t xml:space="preserve"> alalla EU:n valmistajat ovat maailman kärjessä ja kattavat koko toimitusketjun.</w:t>
      </w:r>
      <w:r w:rsidRPr="009029CA">
        <w:rPr>
          <w:rStyle w:val="FootnoteReference"/>
          <w:noProof/>
        </w:rPr>
        <w:footnoteReference w:id="145"/>
      </w:r>
      <w:r>
        <w:rPr>
          <w:noProof/>
        </w:rPr>
        <w:t xml:space="preserve"> Kansainvälisen energiajärjestön mukaan noin 30 prosenttia teollisuuden lämmöntarpeesta aina 400 C:n lämpötilaan saakka olisi katettava teollisuuslämpöpumpuilla vuoteen 2050 mennessä ja puolet siitä jo vuoteen 2030 mennessä.</w:t>
      </w:r>
      <w:r w:rsidRPr="009029CA">
        <w:rPr>
          <w:rStyle w:val="FootnoteReference"/>
          <w:noProof/>
        </w:rPr>
        <w:footnoteReference w:id="146"/>
      </w:r>
      <w:r>
        <w:rPr>
          <w:noProof/>
        </w:rPr>
        <w:t xml:space="preserve"> Teollisuuden lämpöpumpuilla voitaisiin kattaa myös alle 200°C:n lämmitystarpeet – niiden osuus teollisuuden lämmöntarpeesta on 37 prosenttia</w:t>
      </w:r>
      <w:r w:rsidRPr="009029CA">
        <w:rPr>
          <w:rStyle w:val="FootnoteReference"/>
          <w:noProof/>
        </w:rPr>
        <w:footnoteReference w:id="147"/>
      </w:r>
      <w:r>
        <w:rPr>
          <w:noProof/>
        </w:rPr>
        <w:t>. Tällaisia ratkaisuja on jo käytössä elintarvike- ja juoma-alalla sekä sellu- ja paperialalla.</w:t>
      </w:r>
    </w:p>
    <w:p w14:paraId="0534DF5A" w14:textId="1A5D5C16" w:rsidR="00FA731C" w:rsidRPr="009029CA" w:rsidRDefault="00963F9E" w:rsidP="009029CA">
      <w:pPr>
        <w:rPr>
          <w:noProof/>
        </w:rPr>
      </w:pPr>
      <w:r>
        <w:rPr>
          <w:noProof/>
        </w:rPr>
        <w:t>Teollisuuden lämpöpumppujen kehittämiseksi tarvitaan T&amp;K-hankkeita, jotta sovellusvalikoimaa voitaisiin edelleen laajentaa ja jotta voitaisiin varmistaa näiden teknologioiden mahdollisimman nopea käyttöönotto ja standardisointi.</w:t>
      </w:r>
      <w:r w:rsidR="00FA731C" w:rsidRPr="009029CA">
        <w:rPr>
          <w:rStyle w:val="FootnoteReference"/>
          <w:noProof/>
        </w:rPr>
        <w:footnoteReference w:id="148"/>
      </w:r>
      <w:r>
        <w:rPr>
          <w:noProof/>
        </w:rPr>
        <w:t xml:space="preserve"> Lisäksi tarvitaan investointeja EU:n toimitusketjuun tuotantokapasiteetin lisäämiseksi ja tuotekustannusten alentamiseksi. Toimiala katsoo, että teollisuuden lämpöpumpuilla on potentiaalia tulla eurooppalaiseksi menestystarinaksi.  </w:t>
      </w:r>
    </w:p>
    <w:p w14:paraId="0EC6FBFE" w14:textId="77777777" w:rsidR="00542BBB" w:rsidRPr="00220722" w:rsidRDefault="00542BBB" w:rsidP="009029CA">
      <w:pPr>
        <w:pStyle w:val="Text2"/>
        <w:spacing w:after="160"/>
        <w:ind w:left="0"/>
        <w:rPr>
          <w:noProof/>
        </w:rPr>
      </w:pPr>
    </w:p>
    <w:p w14:paraId="71708F5C" w14:textId="25C468C0" w:rsidR="00DF2B95" w:rsidRPr="009029CA" w:rsidRDefault="00DF2B95" w:rsidP="009029CA">
      <w:pPr>
        <w:pStyle w:val="Heading2"/>
        <w:spacing w:after="160"/>
        <w:rPr>
          <w:noProof/>
        </w:rPr>
      </w:pPr>
      <w:bookmarkStart w:id="33" w:name="_Toc194657185"/>
      <w:r>
        <w:rPr>
          <w:noProof/>
        </w:rPr>
        <w:t>Geoterminen energia</w:t>
      </w:r>
      <w:bookmarkEnd w:id="33"/>
    </w:p>
    <w:p w14:paraId="178BCD8D" w14:textId="6E80CCC2" w:rsidR="001A710E" w:rsidRPr="009029CA" w:rsidRDefault="00177F62" w:rsidP="009029CA">
      <w:pPr>
        <w:ind w:left="-20" w:right="-20"/>
        <w:rPr>
          <w:rFonts w:eastAsia="Calibri"/>
          <w:noProof/>
        </w:rPr>
      </w:pPr>
      <w:r>
        <w:rPr>
          <w:noProof/>
        </w:rPr>
        <w:t>Vuonna 2024 geoterminen energia sai paljon julkista huomiota ja poliittista nostetta. Poliittinen tahto näkyi muun muassa Euroopan parlamentin päätöslauselmassa geotermisestä energiasta</w:t>
      </w:r>
      <w:r w:rsidR="003D26A5">
        <w:rPr>
          <w:rStyle w:val="FootnoteReference"/>
          <w:rFonts w:eastAsia="Calibri"/>
          <w:noProof/>
        </w:rPr>
        <w:footnoteReference w:id="149"/>
      </w:r>
      <w:r>
        <w:rPr>
          <w:noProof/>
        </w:rPr>
        <w:t xml:space="preserve"> ja neuvoston päätelmissä geotermisestä energiasta</w:t>
      </w:r>
      <w:r w:rsidR="000710CC">
        <w:rPr>
          <w:rStyle w:val="FootnoteReference"/>
          <w:rFonts w:eastAsia="Calibri"/>
          <w:noProof/>
        </w:rPr>
        <w:footnoteReference w:id="150"/>
      </w:r>
      <w:r>
        <w:rPr>
          <w:noProof/>
        </w:rPr>
        <w:t>. Vuonna 2023 asennetun geotermisen energian nettokapasiteetti EU:ssa oli noin 0,9 gigawattia sähkötehoa (GWe)</w:t>
      </w:r>
      <w:r w:rsidR="001A710E" w:rsidRPr="009029CA">
        <w:rPr>
          <w:rStyle w:val="FootnoteReference"/>
          <w:rFonts w:eastAsia="Calibri"/>
          <w:noProof/>
        </w:rPr>
        <w:footnoteReference w:id="151"/>
      </w:r>
      <w:r>
        <w:rPr>
          <w:noProof/>
        </w:rPr>
        <w:t xml:space="preserve"> (maailmanlaajuisesti 14,8 GWe</w:t>
      </w:r>
      <w:r w:rsidR="001A710E" w:rsidRPr="009029CA">
        <w:rPr>
          <w:rFonts w:eastAsia="Calibri"/>
          <w:noProof/>
          <w:vertAlign w:val="superscript"/>
        </w:rPr>
        <w:footnoteReference w:id="152"/>
      </w:r>
      <w:r>
        <w:rPr>
          <w:noProof/>
        </w:rPr>
        <w:t xml:space="preserve">). Maalämmön suora käyttö kasvoi tasaisesti, ja vuonna 2023 oli käytössä 298 kaukolämmitys- ja </w:t>
      </w:r>
      <w:r>
        <w:rPr>
          <w:noProof/>
        </w:rPr>
        <w:noBreakHyphen/>
        <w:t>jäähdytysjärjestelmää.</w:t>
      </w:r>
      <w:r w:rsidR="001A710E" w:rsidRPr="009029CA">
        <w:rPr>
          <w:rFonts w:eastAsia="Calibri"/>
          <w:noProof/>
          <w:vertAlign w:val="superscript"/>
        </w:rPr>
        <w:footnoteReference w:id="153"/>
      </w:r>
      <w:r>
        <w:rPr>
          <w:noProof/>
        </w:rPr>
        <w:t xml:space="preserve">  </w:t>
      </w:r>
    </w:p>
    <w:p w14:paraId="260BAF67" w14:textId="15FD83F5" w:rsidR="001A710E" w:rsidRPr="006D05CC" w:rsidRDefault="00950B5B" w:rsidP="006D05CC">
      <w:pPr>
        <w:rPr>
          <w:noProof/>
          <w:color w:val="0078D4"/>
          <w:u w:val="single"/>
          <w:shd w:val="clear" w:color="auto" w:fill="FFFFFF"/>
        </w:rPr>
      </w:pPr>
      <w:r>
        <w:rPr>
          <w:noProof/>
        </w:rPr>
        <w:t>EU:n yrityksillä on vahva rooli sisämarkkinoilla maastotutkimuksista käytöstäpoistoon asti, koska käyttöönottoon liittyvät arvoketjut ovat yleensä täysin unionin sisäisiä.</w:t>
      </w:r>
      <w:r w:rsidR="001A710E" w:rsidRPr="009029CA">
        <w:rPr>
          <w:rStyle w:val="FootnoteReference"/>
          <w:rFonts w:eastAsia="Calibri"/>
          <w:noProof/>
        </w:rPr>
        <w:footnoteReference w:id="154"/>
      </w:r>
      <w:r>
        <w:rPr>
          <w:noProof/>
        </w:rPr>
        <w:t xml:space="preserve"> Lopputuotteiden valmistuksen osalta alan arvioidaan saavuttavan nettonollateollisuussäädöksen tavoitteen, jonka mukaan 40 prosenttia käyttöönottotarpeista on katettava unionin sisäisellä tuotannolla.</w:t>
      </w:r>
      <w:r w:rsidR="001A710E" w:rsidRPr="009029CA">
        <w:rPr>
          <w:rFonts w:eastAsia="Calibri"/>
          <w:noProof/>
          <w:vertAlign w:val="superscript"/>
        </w:rPr>
        <w:footnoteReference w:id="155"/>
      </w:r>
      <w:r>
        <w:rPr>
          <w:noProof/>
        </w:rPr>
        <w:t xml:space="preserve"> Sitä vastoin komponenttien, kuten turbiinien, turbohöyrystimien, pumppujen, venttiilien ja ohjausjärjestelmien, maailmanmarkkinoita hallitsevat EU:n ulkopuoliset yritykset. Japani tuottaa 82 prosenttia flash cycle </w:t>
      </w:r>
      <w:r>
        <w:rPr>
          <w:noProof/>
        </w:rPr>
        <w:noBreakHyphen/>
        <w:t>höyryturbiineista ja Israel 74 prosenttia kaksikiertoteknologiaan perustuvista höyrystimistä. Näiden teknologioiden eurooppalaiset valmistajat sijaitsevat pääasiassa Italiassa ja vähäisemmässä määrin Saksassa ja Ranskassa.</w:t>
      </w:r>
      <w:r w:rsidR="001A710E" w:rsidRPr="009029CA">
        <w:rPr>
          <w:rFonts w:eastAsia="Calibri"/>
          <w:noProof/>
          <w:vertAlign w:val="superscript"/>
        </w:rPr>
        <w:footnoteReference w:id="156"/>
      </w:r>
      <w:r>
        <w:rPr>
          <w:noProof/>
        </w:rPr>
        <w:t xml:space="preserve"> Tutkimuksen ja innovoinnin alalla EU oli maailman kärjessä arvokkaissa keksinnöissä ennen kuin Kiina ohitti sen vuonna 2019.</w:t>
      </w:r>
      <w:r w:rsidR="001A710E" w:rsidRPr="009029CA">
        <w:rPr>
          <w:rStyle w:val="FootnoteReference"/>
          <w:noProof/>
        </w:rPr>
        <w:footnoteReference w:id="157"/>
      </w:r>
      <w:r>
        <w:rPr>
          <w:noProof/>
        </w:rPr>
        <w:t xml:space="preserve"> </w:t>
      </w:r>
    </w:p>
    <w:p w14:paraId="41A748F4" w14:textId="40972F43" w:rsidR="00CE55E8" w:rsidRPr="009029CA" w:rsidRDefault="001A710E">
      <w:pPr>
        <w:ind w:left="-20" w:right="-20"/>
        <w:rPr>
          <w:rFonts w:eastAsia="Calibri"/>
          <w:noProof/>
        </w:rPr>
      </w:pPr>
      <w:r>
        <w:rPr>
          <w:noProof/>
        </w:rPr>
        <w:t>Litiumin ja muiden raaka-aineiden yhteistuotanto voi parantaa geotermisten laitosten taloudellista kestävyyttä. Materiaaliriippuvuuksien suhteen teknologia itsessään on vahvasti riippuvainen teräksestä, josta suuri osa tuodaan Aasiasta. Geoterminen ala tarvitsee vähäisemässä määrin myös kriittisiä raaka-aineita, kuten alumiinia</w:t>
      </w:r>
      <w:r w:rsidR="003D1765" w:rsidRPr="009029CA">
        <w:rPr>
          <w:rStyle w:val="FootnoteReference"/>
          <w:rFonts w:eastAsia="Calibri"/>
          <w:noProof/>
        </w:rPr>
        <w:footnoteReference w:id="158"/>
      </w:r>
      <w:r>
        <w:rPr>
          <w:noProof/>
        </w:rPr>
        <w:t>, kuparia ja titaania</w:t>
      </w:r>
      <w:r w:rsidR="003D1765" w:rsidRPr="009029CA">
        <w:rPr>
          <w:rFonts w:eastAsia="Calibri"/>
          <w:noProof/>
          <w:vertAlign w:val="superscript"/>
        </w:rPr>
        <w:footnoteReference w:id="159"/>
      </w:r>
      <w:r>
        <w:rPr>
          <w:noProof/>
        </w:rPr>
        <w:t>. Euroopan parlamentin äskettäisessä valiokunta-aloitteisessa mietinnössä</w:t>
      </w:r>
      <w:r w:rsidR="002552F1">
        <w:rPr>
          <w:rStyle w:val="FootnoteReference"/>
          <w:rFonts w:eastAsia="Calibri"/>
          <w:noProof/>
        </w:rPr>
        <w:footnoteReference w:id="160"/>
      </w:r>
      <w:r>
        <w:rPr>
          <w:noProof/>
        </w:rPr>
        <w:t xml:space="preserve"> sekä hiljattaisissa neuvoston päätelmissä</w:t>
      </w:r>
      <w:r w:rsidR="0024623B">
        <w:rPr>
          <w:rStyle w:val="FootnoteReference"/>
          <w:rFonts w:eastAsia="Calibri"/>
          <w:noProof/>
        </w:rPr>
        <w:footnoteReference w:id="161"/>
      </w:r>
      <w:r>
        <w:rPr>
          <w:noProof/>
        </w:rPr>
        <w:t xml:space="preserve"> suositellaan muun muassa seuraavia toimia: i) lisätään poliittista näkyvyyttä ja yleistä tietoisuutta geotermisen energian mahdollisuuksista ja haasteista, ii) korjataan tietojen saatavuuteen liittyvät puutteet, iii) vähennetään investointiriskejä ottamalla käyttöön takausjärjestelyjä, iv) yksinkertaistetaan ja nopeutetaan lupamenettelyjä, v) edistetään parhaita käytäntöjä, vi) korjataan ammattitaitoisen työvoiman puute ja vi) edesautetaan yleistä hyväksyntää. </w:t>
      </w:r>
    </w:p>
    <w:p w14:paraId="0D099883" w14:textId="77777777" w:rsidR="001A710E" w:rsidRPr="009029CA" w:rsidRDefault="001A710E" w:rsidP="009029CA">
      <w:pPr>
        <w:ind w:left="-20" w:right="-20"/>
        <w:rPr>
          <w:rFonts w:eastAsia="Calibri"/>
          <w:noProof/>
        </w:rPr>
      </w:pPr>
    </w:p>
    <w:p w14:paraId="0638AEC4" w14:textId="76AF156A" w:rsidR="00DF2B95" w:rsidRPr="009029CA" w:rsidRDefault="006C3FB5" w:rsidP="009029CA">
      <w:pPr>
        <w:pStyle w:val="Heading2"/>
        <w:spacing w:after="160"/>
        <w:rPr>
          <w:noProof/>
        </w:rPr>
      </w:pPr>
      <w:bookmarkStart w:id="34" w:name="_Toc194657186"/>
      <w:r>
        <w:rPr>
          <w:noProof/>
        </w:rPr>
        <w:t>Vetyteknologiat: elektrolyysilaitteet ja polttokennot</w:t>
      </w:r>
      <w:bookmarkEnd w:id="34"/>
    </w:p>
    <w:p w14:paraId="0A019E08" w14:textId="2C78A0C7" w:rsidR="002C0E43" w:rsidRPr="00B810D7" w:rsidRDefault="002C0E43" w:rsidP="002C0E43">
      <w:pPr>
        <w:rPr>
          <w:noProof/>
        </w:rPr>
      </w:pPr>
      <w:r>
        <w:rPr>
          <w:noProof/>
        </w:rPr>
        <w:t>Veden elektrolyysi on prosessi, jossa vetyä tuotetaan vedestä sähköllä. Jos tarvittava sähkö tuotetaan uusiutuvista ja vähähiilisistä lähteistä, tällä teknologialla voi olla keskeinen rooli hiilestä irtautumisessa teollisuudenaloilla, joilla päästöjä on vaikea vähentää, kuten energiaintensiivisten materiaalien tuotannossa (esim. teräs tai sementti), lannoitetuotannossa sekä lento- ja meriliikenteessä. Elektrolyysilaitteiden valmistuskapasiteetti on lisääntymässä Euroopassa, ja sitä tuetaan sääntely- ja rahoituskehyksillä</w:t>
      </w:r>
      <w:r w:rsidRPr="00B810D7">
        <w:rPr>
          <w:rStyle w:val="FootnoteReference"/>
          <w:noProof/>
        </w:rPr>
        <w:footnoteReference w:id="162"/>
      </w:r>
      <w:r>
        <w:rPr>
          <w:noProof/>
        </w:rPr>
        <w:t>. Vuonna 2024 järjestetyssä Euroopan vetypankin ensimmäisessä huutokaupassa myönnettiin 720 miljoonaa euroa seitsemälle hankkeelle. Vaikka tämä mahdollistaa yhä useampien hankkeiden lopulliset investointipäätökset, eurooppalaiset yritykset kohtaavat edelleen rahoitukseen ja toimintaan liittyviä esteitä.</w:t>
      </w:r>
    </w:p>
    <w:p w14:paraId="7925962F" w14:textId="62E8A1A8" w:rsidR="008D0C91" w:rsidRDefault="002C0E43" w:rsidP="002C0E43">
      <w:pPr>
        <w:rPr>
          <w:rFonts w:eastAsiaTheme="minorEastAsia"/>
          <w:noProof/>
        </w:rPr>
      </w:pPr>
      <w:r>
        <w:rPr>
          <w:noProof/>
        </w:rPr>
        <w:t>Elektrolyysilaitteiden asennettu kapasiteetti kasvoi Euroopassa vuonna 2023 kirjatusta 228 MWe:stä 663 MWe:hen vuonna 2024 (käynnissä olevat hankkeet ja hankkeet, joista on tehty investointipäätös), ja kapasiteetista 517 MWe oli EU-maissa.</w:t>
      </w:r>
      <w:r w:rsidR="00772235" w:rsidRPr="00F85074">
        <w:rPr>
          <w:rStyle w:val="FootnoteReference"/>
          <w:noProof/>
        </w:rPr>
        <w:footnoteReference w:id="163"/>
      </w:r>
      <w:r>
        <w:rPr>
          <w:noProof/>
        </w:rPr>
        <w:t xml:space="preserve"> Maailmanlaajuinen asennettu kapasiteetti kasvoi 1,4–1,7 GWe:stä vuonna 2023 jopa 5 GWe:hen vuonna 2024.</w:t>
      </w:r>
      <w:r w:rsidRPr="00F85074">
        <w:rPr>
          <w:rStyle w:val="FootnoteReference"/>
          <w:noProof/>
        </w:rPr>
        <w:footnoteReference w:id="164"/>
      </w:r>
      <w:r>
        <w:rPr>
          <w:noProof/>
        </w:rPr>
        <w:t xml:space="preserve"> Tästä määrästä 2,7 GWe on Kiinassa ja noin 300 MWe Yhdysvalloissa. </w:t>
      </w:r>
    </w:p>
    <w:p w14:paraId="712B1B42" w14:textId="255BD22A" w:rsidR="002C0E43" w:rsidRPr="00B810D7" w:rsidRDefault="002C0E43" w:rsidP="002C0E43">
      <w:pPr>
        <w:rPr>
          <w:rFonts w:eastAsiaTheme="minorEastAsia"/>
          <w:noProof/>
        </w:rPr>
      </w:pPr>
      <w:r>
        <w:rPr>
          <w:noProof/>
        </w:rPr>
        <w:t>Euroopan elektrolyysipinojen vuotuisen valmistuskapasiteetin arvioidaan olevan 10–15,7 GWe vuonna 2024</w:t>
      </w:r>
      <w:r w:rsidR="005D6C2C" w:rsidRPr="5777557F">
        <w:rPr>
          <w:rStyle w:val="FootnoteReference"/>
          <w:rFonts w:eastAsiaTheme="minorEastAsia"/>
          <w:noProof/>
        </w:rPr>
        <w:footnoteReference w:id="165"/>
      </w:r>
      <w:r>
        <w:rPr>
          <w:noProof/>
        </w:rPr>
        <w:t>, kun taas maailmanlaajuisesti vuotuisen kapasiteetin ennustetaan olevan 40–54 GWe</w:t>
      </w:r>
      <w:r w:rsidR="004B723D" w:rsidRPr="5777557F">
        <w:rPr>
          <w:rStyle w:val="FootnoteReference"/>
          <w:rFonts w:eastAsiaTheme="minorEastAsia"/>
          <w:noProof/>
        </w:rPr>
        <w:footnoteReference w:id="166"/>
      </w:r>
      <w:r>
        <w:rPr>
          <w:noProof/>
        </w:rPr>
        <w:t>. Kiinan valmistuskapasiteetti on suurin, arviolta noin 20 GWe vuonna 2024</w:t>
      </w:r>
      <w:r w:rsidRPr="5777557F">
        <w:rPr>
          <w:rStyle w:val="FootnoteReference"/>
          <w:rFonts w:eastAsiaTheme="minorEastAsia"/>
          <w:noProof/>
        </w:rPr>
        <w:footnoteReference w:id="167"/>
      </w:r>
      <w:r>
        <w:rPr>
          <w:noProof/>
        </w:rPr>
        <w:t>.</w:t>
      </w:r>
    </w:p>
    <w:p w14:paraId="1DC1A924" w14:textId="672A0DDC" w:rsidR="002C0E43" w:rsidRDefault="002C0E43" w:rsidP="002C0E43">
      <w:pPr>
        <w:rPr>
          <w:i/>
          <w:iCs/>
          <w:noProof/>
        </w:rPr>
      </w:pPr>
      <w:r>
        <w:rPr>
          <w:noProof/>
        </w:rPr>
        <w:t>Valmistuskapasiteetin ja järjestelmien koon kasvusta huolimatta odotettuja kustannussäästöjä ei ole vielä saavutettu. Tämä johtuu inflaatiosta ja muista kustannuksista, kuten apukomponenteista, sähköliitännöistä ja välillisistä kustannuksista. Tuoreimpien tutkimusten mukaan 100 megawatin alkalijärjestelmien pääomakustannukset ovat 3 050 euroa kilowattia kohti ja 200 megawatin järjestelmien osalta 2 630 euroa kilowattia kohtia</w:t>
      </w:r>
      <w:r w:rsidR="00D21A4F" w:rsidRPr="00B810D7">
        <w:rPr>
          <w:rStyle w:val="FootnoteReference"/>
          <w:noProof/>
        </w:rPr>
        <w:footnoteReference w:id="168"/>
      </w:r>
      <w:r>
        <w:rPr>
          <w:noProof/>
        </w:rPr>
        <w:t xml:space="preserve">, mikä on ainakin neljä kertaa enemmän kuin Aasiassa. </w:t>
      </w:r>
      <w:bookmarkStart w:id="36" w:name="_Hlk176860383"/>
      <w:r>
        <w:rPr>
          <w:noProof/>
        </w:rPr>
        <w:t>Jotkin eurooppalaiset valmistajat ovat ilmoittaneet, että niiden tuotannolle ei ole riittävästi ostajia. Tämä vaikuttaa niiden kykyyn vähentää pääomakustannuksia kilowattia kohti sekä myös monien uusiutuvan ja vähähiilisen vedyn liiketoimintamallien kannattavuuteen.</w:t>
      </w:r>
      <w:r>
        <w:rPr>
          <w:i/>
          <w:noProof/>
        </w:rPr>
        <w:t xml:space="preserve"> </w:t>
      </w:r>
      <w:bookmarkEnd w:id="36"/>
    </w:p>
    <w:p w14:paraId="10ACA484" w14:textId="00BC0D61" w:rsidR="002C0E43" w:rsidRPr="00B810D7" w:rsidRDefault="00B30862" w:rsidP="002C0E43">
      <w:pPr>
        <w:rPr>
          <w:rFonts w:eastAsiaTheme="minorEastAsia"/>
          <w:noProof/>
        </w:rPr>
      </w:pPr>
      <w:r>
        <w:rPr>
          <w:noProof/>
        </w:rPr>
        <w:t>Tarjonnan kasvu Euroopassa on hidastumassa. Tämä johtuu toimitusketjun alkupäähän vaikuttavista puutteista, riittävän kysynnän puutteesta sekä riippuvuudesta kriittisistä raaka-aineista (kuten platinaryhmän metalleista)</w:t>
      </w:r>
      <w:r w:rsidR="002C0E43" w:rsidRPr="00B810D7">
        <w:rPr>
          <w:rStyle w:val="FootnoteReference"/>
          <w:noProof/>
        </w:rPr>
        <w:footnoteReference w:id="169"/>
      </w:r>
      <w:r>
        <w:rPr>
          <w:noProof/>
        </w:rPr>
        <w:t xml:space="preserve"> ja komponenteista</w:t>
      </w:r>
      <w:r w:rsidR="002C0E43" w:rsidRPr="00B810D7">
        <w:rPr>
          <w:rStyle w:val="FootnoteReference"/>
          <w:noProof/>
        </w:rPr>
        <w:footnoteReference w:id="170"/>
      </w:r>
      <w:r>
        <w:rPr>
          <w:noProof/>
        </w:rPr>
        <w:t>. Nämä tekijät myös lisäävät valmistuskustannuksia. Eurooppalaisten elektrolyysiyritysten kilpailukyky jää näin ollen vaatimattomaksi. Tärkeimmissä elektrolyysilaitteiden ryhmissä on kuitenkin kaupallisesti saatavilla olevia tuotteita</w:t>
      </w:r>
      <w:r w:rsidR="002C0E43">
        <w:rPr>
          <w:rStyle w:val="FootnoteReference"/>
          <w:rFonts w:eastAsiaTheme="minorEastAsia"/>
          <w:noProof/>
        </w:rPr>
        <w:footnoteReference w:id="171"/>
      </w:r>
      <w:r>
        <w:rPr>
          <w:noProof/>
        </w:rPr>
        <w:t>, ja EU:n toimijoilla on hyvä asema arvokkaissa patenteissa</w:t>
      </w:r>
      <w:r w:rsidR="002C0E43" w:rsidRPr="00B810D7">
        <w:rPr>
          <w:rStyle w:val="FootnoteReference"/>
          <w:rFonts w:eastAsiaTheme="minorEastAsia"/>
          <w:noProof/>
        </w:rPr>
        <w:footnoteReference w:id="172"/>
      </w:r>
      <w:r>
        <w:rPr>
          <w:noProof/>
        </w:rPr>
        <w:t>. Toisaalta pinokokoonpanojen pitkät toimitusajat, arvoketjun alkupään heikkoudet ja kalliimmat järjestelmät vaikuttavat eurooppalaisten valmistajien kilpailukykyyn. Liiketoimintamahdollisuuksiin voivat vaikuttaa myös muut näkökohdat, kuten valmistuksen jälkeiset takuut ja uusiutuvan vedyn tuotannon korkeat toimintakustannukset.</w:t>
      </w:r>
    </w:p>
    <w:p w14:paraId="4A301A38" w14:textId="38EB526B" w:rsidR="002C0E43" w:rsidRDefault="002C0E43" w:rsidP="002C0E43">
      <w:pPr>
        <w:rPr>
          <w:noProof/>
        </w:rPr>
      </w:pPr>
      <w:r>
        <w:rPr>
          <w:noProof/>
        </w:rPr>
        <w:t>Sähkökustannuksilla on tärkeä rooli vedyn tasoitetuissa kokonaiskustannuksissa (LCOH). Tämä johtuu siitä, että sähkön osuus kokonaiskustannuksista on merkittävä. Suhteellinen osuus kuitenkin vaihtelee sijainnin ja elektrolyysilaitteen ominaisuuksien mukaan.</w:t>
      </w:r>
      <w:r w:rsidRPr="00927B9A">
        <w:rPr>
          <w:rStyle w:val="FootnoteReference"/>
          <w:noProof/>
        </w:rPr>
        <w:footnoteReference w:id="173"/>
      </w:r>
      <w:r>
        <w:rPr>
          <w:noProof/>
        </w:rPr>
        <w:t xml:space="preserve"> Esimerkiksi Alankomaissa hiljattain ehdotetuissa hankkeissa</w:t>
      </w:r>
      <w:r w:rsidRPr="00913358">
        <w:rPr>
          <w:rStyle w:val="FootnoteReference"/>
          <w:noProof/>
        </w:rPr>
        <w:footnoteReference w:id="174"/>
      </w:r>
      <w:r>
        <w:rPr>
          <w:noProof/>
        </w:rPr>
        <w:t xml:space="preserve"> LCOH-arvo oli 12–14 euroa vetykiloa kohti 100–200 MWe:n elektrolyysijärjestelmissä merellä tuotettavan sähkön osalta. LCOH-arvo kuitenkin riippuu merkittävästi hankkeiden suunnittelusta, toteutuksesta ja sijainnista.</w:t>
      </w:r>
    </w:p>
    <w:p w14:paraId="326AAE03" w14:textId="4F406B53" w:rsidR="002C0E43" w:rsidRPr="00B810D7" w:rsidRDefault="002C0E43" w:rsidP="002C0E43">
      <w:pPr>
        <w:rPr>
          <w:noProof/>
        </w:rPr>
      </w:pPr>
      <w:r>
        <w:rPr>
          <w:noProof/>
        </w:rPr>
        <w:t xml:space="preserve">Muita tutkimus- ja innovointihaasteita ovat kalvoissa käytettävien ”ikuisuuskemikaalien” (PFAS-yhdisteiden) korvaaminen, järjestelmäkustannusten alentaminen, järjestelmien suorituskyvyn ja käyttöiän parantaminen, makean veden kulutuksen vähentäminen ja käyttöönoton edistäminen loppukäyttöaloilla kilpailukykyisin hinnoin. </w:t>
      </w:r>
    </w:p>
    <w:p w14:paraId="0FC295F3" w14:textId="4959FAE2" w:rsidR="002C0E43" w:rsidRPr="00B810D7" w:rsidRDefault="002C0E43" w:rsidP="002C0E43">
      <w:pPr>
        <w:rPr>
          <w:noProof/>
          <w:color w:val="000000" w:themeColor="text1"/>
        </w:rPr>
      </w:pPr>
      <w:r>
        <w:rPr>
          <w:b/>
          <w:noProof/>
          <w:color w:val="000000" w:themeColor="text1"/>
        </w:rPr>
        <w:t>Polttokennot</w:t>
      </w:r>
      <w:r>
        <w:rPr>
          <w:noProof/>
          <w:color w:val="000000" w:themeColor="text1"/>
        </w:rPr>
        <w:t xml:space="preserve"> ovat järjestelmiä, jotka tuottavat sähköä puhtaasta vedystä tehokkaasti. Ne tuottavat lisäarvoa tarjoamalla hiilettömiä ratkaisuja liikenteeseen, lämmitykseen tai sähköverkon ulkopuoliseen energiantuotantoon. Polttokennoja käytetään pääasiassa polttokennokäyttöisissä sähköajoneuvoissa, linja-autoissa ja taajamajunissa sekä vähemmässä määrin lämmityksessä, koneissa ja sähköverkon ulkopuolissa kiinteissä energiajärjestelmissä. EU:ssa päästönormit ja hiilen hinta luovat lisäkannustimia investoinneille. Vuonna 2023 maailmanlaajuinen asennettu kapasiteetti oli arviolta 7,8 gigawattia, josta suurin osa oli Aasiassa (72 %), Yhdysvalloissa ja Kanadassa (18 %) sekä Euroopassa (0,6 gigawattia eli 8 %)</w:t>
      </w:r>
      <w:r w:rsidRPr="00B810D7">
        <w:rPr>
          <w:rStyle w:val="FootnoteReference"/>
          <w:noProof/>
          <w:color w:val="000000" w:themeColor="text1"/>
        </w:rPr>
        <w:footnoteReference w:id="175"/>
      </w:r>
      <w:r>
        <w:rPr>
          <w:noProof/>
          <w:color w:val="000000" w:themeColor="text1"/>
        </w:rPr>
        <w:t>. Suurin markkinasegmentti oli liikenne</w:t>
      </w:r>
      <w:r w:rsidRPr="00B810D7">
        <w:rPr>
          <w:rStyle w:val="FootnoteReference"/>
          <w:noProof/>
          <w:color w:val="000000" w:themeColor="text1"/>
        </w:rPr>
        <w:footnoteReference w:id="176"/>
      </w:r>
      <w:r>
        <w:rPr>
          <w:noProof/>
          <w:color w:val="000000" w:themeColor="text1"/>
        </w:rPr>
        <w:t>.</w:t>
      </w:r>
      <w:r>
        <w:rPr>
          <w:rStyle w:val="FootnoteReference"/>
          <w:noProof/>
          <w:color w:val="000000" w:themeColor="text1"/>
        </w:rPr>
        <w:t xml:space="preserve"> </w:t>
      </w:r>
    </w:p>
    <w:p w14:paraId="36FF4EA4" w14:textId="2071DFFC" w:rsidR="002C0E43" w:rsidRPr="00B810D7" w:rsidDel="000C10BE" w:rsidRDefault="002C0E43" w:rsidP="002C0E43">
      <w:pPr>
        <w:rPr>
          <w:noProof/>
          <w:color w:val="000000" w:themeColor="text1"/>
        </w:rPr>
      </w:pPr>
      <w:r>
        <w:rPr>
          <w:noProof/>
          <w:color w:val="000000" w:themeColor="text1"/>
        </w:rPr>
        <w:t>Eurooppalaiset toimijat valmistavat myös polttokennobusseja, mutta niissä käytettävät polttokennot ostetaan useimmiten unionin ulkopuolisilta toimittajilta, erityisesti Kanadasta ja Japanista. EU:ssa on kehitteillä polttokennoprototyyppejä raskaille hyötyajoneuvoille, koska kiinnostus puhtaaseen liikenteeseen kasvaa ja siten kokonaiskäyttökustannukset saattavat laskea lähelle dieselkäyttöisten kuorma-autojen kustannuksia vuoden 2035 jälkeen. Polttokennokäyttöisten raskaiden hyötyajoneuvojen arvioidaan kuitenkin pysyvän kalliimpana kuin akkukäyttöiset sähköajoneuvot. Polttokennojen käyttö lämmityksessä jää todennäköisesti marginaaliseksi EU:ssa</w:t>
      </w:r>
      <w:r>
        <w:rPr>
          <w:noProof/>
          <w:color w:val="44546A" w:themeColor="text2"/>
        </w:rPr>
        <w:t>.</w:t>
      </w:r>
    </w:p>
    <w:p w14:paraId="391919FA" w14:textId="3F36BA07" w:rsidR="00A80E1E" w:rsidRPr="00B810D7" w:rsidRDefault="002C0E43" w:rsidP="00A80E1E">
      <w:pPr>
        <w:rPr>
          <w:noProof/>
          <w:color w:val="000000" w:themeColor="text1"/>
        </w:rPr>
      </w:pPr>
      <w:r>
        <w:rPr>
          <w:noProof/>
          <w:color w:val="000000" w:themeColor="text1"/>
        </w:rPr>
        <w:t>Sekä elektrolyysilaitteiden että polttokennojen arvoketjujen häiriönsietokykyä on vahvistettava raaka-aineiden hankinnasta aina komponenttien valmistukseen ja toimitukseen asti, jotta kokonaisten järjestelmien toimitusaikoja voidaan lyhentää Euroopassa kilpailukykyisin kustannuksin. Politiikan painopisteenä on edelleen varmistaa, että saatavilla on runsaasti kustannuksiltaan kilpailukykyistä uusiutuvaa ja vähähiilistä vetyä.</w:t>
      </w:r>
    </w:p>
    <w:p w14:paraId="3BD46772" w14:textId="77777777" w:rsidR="00542BBB" w:rsidRPr="00220722" w:rsidRDefault="00542BBB" w:rsidP="009029CA">
      <w:pPr>
        <w:pStyle w:val="Text2"/>
        <w:spacing w:after="160"/>
        <w:ind w:left="0"/>
        <w:rPr>
          <w:noProof/>
        </w:rPr>
      </w:pPr>
    </w:p>
    <w:p w14:paraId="47954FDF" w14:textId="5972E2B9" w:rsidR="00DF2B95" w:rsidRPr="009029CA" w:rsidRDefault="00DF2B95" w:rsidP="009029CA">
      <w:pPr>
        <w:pStyle w:val="Heading2"/>
        <w:spacing w:after="160"/>
        <w:rPr>
          <w:noProof/>
        </w:rPr>
      </w:pPr>
      <w:bookmarkStart w:id="38" w:name="_Toc194657187"/>
      <w:r>
        <w:rPr>
          <w:noProof/>
        </w:rPr>
        <w:t>Kestävät biokaasu- ja biometaaniteknologiat</w:t>
      </w:r>
      <w:bookmarkEnd w:id="38"/>
      <w:r>
        <w:rPr>
          <w:noProof/>
        </w:rPr>
        <w:t xml:space="preserve"> </w:t>
      </w:r>
    </w:p>
    <w:p w14:paraId="58C0843B" w14:textId="4616DC53" w:rsidR="004F39A6" w:rsidRPr="009029CA" w:rsidRDefault="004F39A6" w:rsidP="009029CA">
      <w:pPr>
        <w:rPr>
          <w:noProof/>
        </w:rPr>
      </w:pPr>
      <w:r>
        <w:rPr>
          <w:noProof/>
        </w:rPr>
        <w:t>Euroopassa on kehittynyttä teollisuutta, joka tuottaa sähköä pääasiassa biokaasun avulla, sekä kasvavat lämmityksen ja liikenteen markkinat, jotka perustuvat biometaanin syöttämiseen verkkoon. Lähes 50 prosenttia tuotannosta on Euroopassa, ja pelkästään Saksa kattaa 20 prosenttia maailmanlaajuisesta kysynnästä.</w:t>
      </w:r>
      <w:r w:rsidRPr="009029CA">
        <w:rPr>
          <w:rStyle w:val="FootnoteReference"/>
          <w:noProof/>
        </w:rPr>
        <w:footnoteReference w:id="177"/>
      </w:r>
      <w:r>
        <w:rPr>
          <w:noProof/>
        </w:rPr>
        <w:t xml:space="preserve"> Anaerobinen mädätys on edelleen tärkein kaupallinen teknologia, jolla tuotetaan biometaaniksi jalostettavaa biokaasua. EU on johtava biokaasun ja biometaanin tuottaja, ja sen yhteenlaskettu tuotanto oli noin 22,1 miljardia kuutiometriä vuonna 2023.</w:t>
      </w:r>
      <w:bookmarkStart w:id="39" w:name="_Ref169694999"/>
      <w:r w:rsidRPr="009029CA">
        <w:rPr>
          <w:rStyle w:val="FootnoteReference"/>
          <w:noProof/>
        </w:rPr>
        <w:footnoteReference w:id="178"/>
      </w:r>
      <w:bookmarkEnd w:id="39"/>
      <w:r>
        <w:rPr>
          <w:noProof/>
        </w:rPr>
        <w:t xml:space="preserve"> Sillä on johtoasema myös laitevalmistuksessa. Anaerobisesta mädätyksestä peräisin olevan biometaanin tuotantokapasiteetti unionissa oli 3,8 miljardia kuutiometriä vuonna 2023, ja todellisen vuosituotannon arvioidaan olevan 3,5 miljardia kuutiometriä. Tuotantokapasiteetin kuitenkin ennustetaan viisinkertaistuvan vuoteen 2030 mennessä.</w:t>
      </w:r>
      <w:bookmarkStart w:id="40" w:name="_Ref167701351"/>
      <w:bookmarkStart w:id="41" w:name="_Ref170925971"/>
      <w:r w:rsidRPr="009029CA">
        <w:rPr>
          <w:rStyle w:val="FootnoteReference"/>
          <w:noProof/>
        </w:rPr>
        <w:footnoteReference w:id="179"/>
      </w:r>
      <w:bookmarkEnd w:id="40"/>
      <w:bookmarkEnd w:id="41"/>
      <w:r>
        <w:rPr>
          <w:noProof/>
        </w:rPr>
        <w:t xml:space="preserve"> Biometaanin nykyinen kasvuvauhti EU:ssa noudattaa tarkasti kansallisissa energia- ja ilmastosuunnitelmissa vuodelle 2030 asetettuja tavoitteita REPowerEU-tavoitteen mukaisesti.</w:t>
      </w:r>
    </w:p>
    <w:p w14:paraId="6C9D9F20" w14:textId="52950734" w:rsidR="004F39A6" w:rsidRPr="009029CA" w:rsidRDefault="004F39A6" w:rsidP="009029CA">
      <w:pPr>
        <w:tabs>
          <w:tab w:val="left" w:pos="2096"/>
        </w:tabs>
        <w:rPr>
          <w:noProof/>
        </w:rPr>
      </w:pPr>
      <w:r>
        <w:rPr>
          <w:noProof/>
        </w:rPr>
        <w:t>EU:ssa toimii joitakin maailman johtavia yrityksiä biokaasun ja biometaanin tuotanto- ja valmistuskomponenttien (mädättimet, biokaasun puhdistuslaitteet, kaasuttimet jne.) alalla.</w:t>
      </w:r>
      <w:bookmarkStart w:id="42" w:name="_Ref177044528"/>
      <w:r w:rsidRPr="009029CA">
        <w:rPr>
          <w:rStyle w:val="FootnoteReference"/>
          <w:noProof/>
        </w:rPr>
        <w:footnoteReference w:id="180"/>
      </w:r>
      <w:bookmarkEnd w:id="42"/>
      <w:r>
        <w:rPr>
          <w:noProof/>
        </w:rPr>
        <w:t xml:space="preserve"> Myös uusia etenemisreittejä on kehitteillä, ja EU on tällä alalla edelläkävijä.</w:t>
      </w:r>
      <w:bookmarkStart w:id="43" w:name="_Ref177046885"/>
      <w:r w:rsidRPr="009029CA">
        <w:rPr>
          <w:rStyle w:val="FootnoteReference"/>
          <w:noProof/>
        </w:rPr>
        <w:footnoteReference w:id="181"/>
      </w:r>
      <w:bookmarkEnd w:id="43"/>
      <w:r>
        <w:rPr>
          <w:noProof/>
        </w:rPr>
        <w:t xml:space="preserve"> EU:n Horisontti-ohjelmasta on investoitu yli 120 miljoonaa euroa 20 innovatiiviseen hankkeeseen, jotka edistävät alan teknologiaa. Biometaania suoraan tuottavia innovatiivisia teknologioita, kuten jäännös- ja jätebiomassan kaasuttamista, ei ole vielä laajalti demonstroitu EU:ssa (vuonna 2023 käytössä oleva asennettu tuotantokapasiteetti oli 2 000 tonnia vuodessa, mutta biometaanin tuotannon odotetaan kasvavan 0,7 miljardiin kuutiometriin vuoteen 2030 mennessä</w:t>
      </w:r>
      <w:r w:rsidR="008C4FEA">
        <w:rPr>
          <w:rStyle w:val="FootnoteReference"/>
          <w:noProof/>
        </w:rPr>
        <w:footnoteReference w:id="182"/>
      </w:r>
      <w:r>
        <w:rPr>
          <w:noProof/>
        </w:rPr>
        <w:t>). Nesteytetyn biometaanin tuotantolaitokset tarjoavat arvokkaan vaihtoehdon EU:ssa. Niiden kapasiteetin odotetaan kasvavan vuoden 2023 noin 7,3 terawattitunnista 15,4 terawattituntiin vuonna 2025.</w:t>
      </w:r>
      <w:r w:rsidR="00411A4A">
        <w:rPr>
          <w:rStyle w:val="FootnoteReference"/>
          <w:noProof/>
        </w:rPr>
        <w:footnoteReference w:id="183"/>
      </w:r>
    </w:p>
    <w:p w14:paraId="75EE8AB4" w14:textId="0387CFF3" w:rsidR="004F39A6" w:rsidRPr="009029CA" w:rsidRDefault="004F39A6" w:rsidP="009029CA">
      <w:pPr>
        <w:tabs>
          <w:tab w:val="left" w:pos="2096"/>
        </w:tabs>
        <w:rPr>
          <w:noProof/>
        </w:rPr>
      </w:pPr>
      <w:r>
        <w:rPr>
          <w:noProof/>
        </w:rPr>
        <w:t>EU:n osuus biokaasuinvestoinneista on merkittävä, ja se on kärkisijalla arvokkaissa patenteissa.</w:t>
      </w:r>
      <w:r w:rsidR="00D20665">
        <w:rPr>
          <w:rStyle w:val="FootnoteReference"/>
          <w:noProof/>
        </w:rPr>
        <w:footnoteReference w:id="184"/>
      </w:r>
      <w:r>
        <w:rPr>
          <w:noProof/>
        </w:rPr>
        <w:t xml:space="preserve"> Biokaasuteknologioihin (anaerobinen mädätys ja kaasun jalostus) ei liity kriittisiä riippuvuuksia materiaaleista, komponenteista tai toimittajista, eivätkä kaasuttimissa käytetyt teknologiat ole riippuvaisia mistään tietyistä laitteista, materiaaleista tai toimittajista.</w:t>
      </w:r>
      <w:r w:rsidR="009B60D9">
        <w:rPr>
          <w:rStyle w:val="FootnoteReference"/>
          <w:noProof/>
        </w:rPr>
        <w:footnoteReference w:id="185"/>
      </w:r>
      <w:r>
        <w:rPr>
          <w:noProof/>
        </w:rPr>
        <w:t xml:space="preserve"> EU ei myöskään ole riippuvainen biologisten raaka-aineiden tuonnista.</w:t>
      </w:r>
      <w:r w:rsidR="00443332">
        <w:rPr>
          <w:rStyle w:val="FootnoteReference"/>
          <w:noProof/>
        </w:rPr>
        <w:footnoteReference w:id="186"/>
      </w:r>
      <w:r>
        <w:rPr>
          <w:noProof/>
        </w:rPr>
        <w:t xml:space="preserve"> Sitä vastoin sähköntuotannossa käytettäviin kaasumoottoreihin ja </w:t>
      </w:r>
      <w:r>
        <w:rPr>
          <w:noProof/>
        </w:rPr>
        <w:noBreakHyphen/>
        <w:t xml:space="preserve">turbiineihin sekä kaikkiin kaasumaisiin polttoaineisiin liittyy riippuvuuksia unionin ulkopuolisista toimittajista. </w:t>
      </w:r>
    </w:p>
    <w:p w14:paraId="5B4C13CD" w14:textId="22F39CB3" w:rsidR="004F39A6" w:rsidRPr="009029CA" w:rsidRDefault="004F39A6" w:rsidP="009029CA">
      <w:pPr>
        <w:tabs>
          <w:tab w:val="left" w:pos="2096"/>
        </w:tabs>
        <w:rPr>
          <w:noProof/>
        </w:rPr>
      </w:pPr>
      <w:r>
        <w:rPr>
          <w:noProof/>
        </w:rPr>
        <w:t>Korkeat kustannukset haittaavat tällä hetkellä biometaanin laajempaa käyttöönottoa. Esimerkiksi anaerobiseen mädätykseen perustuvan biokaasulaitoksen pääomakustannukset ovat noin 1 500–2 000 euroa kilowattia kohti</w:t>
      </w:r>
      <w:r w:rsidR="00845F0A">
        <w:rPr>
          <w:rStyle w:val="FootnoteReference"/>
          <w:noProof/>
        </w:rPr>
        <w:footnoteReference w:id="187"/>
      </w:r>
      <w:r>
        <w:rPr>
          <w:noProof/>
        </w:rPr>
        <w:t>, ja biokaasun tuotannon ja jalostuksen kokonaiskustannusten arvioidaan olevan noin 100 euroa megawattituntia kohti</w:t>
      </w:r>
      <w:r w:rsidRPr="009029CA">
        <w:rPr>
          <w:rStyle w:val="FootnoteReference"/>
          <w:noProof/>
        </w:rPr>
        <w:footnoteReference w:id="188"/>
      </w:r>
      <w:r>
        <w:rPr>
          <w:noProof/>
        </w:rPr>
        <w:t>. Vastaavasti kaasutukseen perustuvan biometaanilaitoksen pääomakustannukset ovat 2 000–3 600 euroa kilowattia kohti ja tuotantokustannukset noin 89–112 euroa megawattituntia kohti.</w:t>
      </w:r>
      <w:r w:rsidR="00411A4A">
        <w:rPr>
          <w:rStyle w:val="FootnoteReference"/>
          <w:noProof/>
        </w:rPr>
        <w:footnoteReference w:id="189"/>
      </w:r>
      <w:r>
        <w:rPr>
          <w:noProof/>
        </w:rPr>
        <w:t xml:space="preserve"> </w:t>
      </w:r>
    </w:p>
    <w:p w14:paraId="10A0756B" w14:textId="4C53AE11" w:rsidR="004F39A6" w:rsidRPr="009029CA" w:rsidRDefault="004F39A6" w:rsidP="009029CA">
      <w:pPr>
        <w:tabs>
          <w:tab w:val="left" w:pos="2096"/>
        </w:tabs>
        <w:rPr>
          <w:noProof/>
        </w:rPr>
      </w:pPr>
      <w:r>
        <w:rPr>
          <w:noProof/>
        </w:rPr>
        <w:t>EU:n kilpailukyky voidaan säilyttää tällä alalla tukemalla edelleen innovointia teknologioissa, jotka koskevat kaasutuksesta ja anaerobisesta mädätyksestä peräisin olevan biometaanin jalostukseen perustuvaa kestävää biokaasutuotantoa. Tavoitteena on lisätä tuotantokapasiteettia ja alentaa tuotantokustannuksia. Lisäksi biokaasu- ja biometaanilaitosten verkkoon pääsyä olisi helpotettava.</w:t>
      </w:r>
    </w:p>
    <w:p w14:paraId="67DD75BE" w14:textId="77777777" w:rsidR="00542BBB" w:rsidRPr="00220722" w:rsidRDefault="00542BBB" w:rsidP="009029CA">
      <w:pPr>
        <w:pStyle w:val="Text2"/>
        <w:spacing w:after="160"/>
        <w:ind w:left="0"/>
        <w:rPr>
          <w:noProof/>
        </w:rPr>
      </w:pPr>
    </w:p>
    <w:p w14:paraId="46260078" w14:textId="6948F64F" w:rsidR="00DF2B95" w:rsidRPr="00692F4A" w:rsidRDefault="00DF2B95" w:rsidP="009029CA">
      <w:pPr>
        <w:pStyle w:val="Heading2"/>
        <w:spacing w:after="160"/>
        <w:rPr>
          <w:noProof/>
        </w:rPr>
      </w:pPr>
      <w:bookmarkStart w:id="44" w:name="_Toc194657188"/>
      <w:r>
        <w:rPr>
          <w:noProof/>
        </w:rPr>
        <w:t>Hiilidioksidin talteenoton ja varastoinnin (CCS) teknologiat</w:t>
      </w:r>
      <w:bookmarkEnd w:id="44"/>
    </w:p>
    <w:p w14:paraId="7C87C03A" w14:textId="5F3D3A30" w:rsidR="004D15DA" w:rsidRPr="009029CA" w:rsidRDefault="004D15DA" w:rsidP="009029CA">
      <w:pPr>
        <w:pStyle w:val="paragraph"/>
        <w:spacing w:before="0" w:beforeAutospacing="0" w:after="160" w:afterAutospacing="0"/>
        <w:jc w:val="both"/>
        <w:rPr>
          <w:noProof/>
        </w:rPr>
      </w:pPr>
      <w:r>
        <w:rPr>
          <w:noProof/>
        </w:rPr>
        <w:t>Helmikuussa 2024 hyväksytyssä teollisessa hiilenhallintastrategiassa</w:t>
      </w:r>
      <w:r w:rsidRPr="009029CA">
        <w:rPr>
          <w:rStyle w:val="FootnoteReference"/>
          <w:noProof/>
        </w:rPr>
        <w:footnoteReference w:id="190"/>
      </w:r>
      <w:r>
        <w:rPr>
          <w:noProof/>
        </w:rPr>
        <w:t xml:space="preserve"> EU esittää vision vankasta sääntely- ja investointikehyksestä, joka koskee hiilidioksidin talteenottoa, kuljetusta, käyttöä ja varastointia sekä ilmakehästä peräisin olevaa hiiltä poistavia teknologioita. Strategiassa esitetään konkreettisia toimia CCS-teknologioiden tukemiseksi. Sitä tuetaan nettonollateollisuussäädöksellä, jossa asetetaan tavoitteeksi saavuttaa 50 miljoonan tonnin vuotuinen hiilidioksidin injektointikapasiteetti EU:n varastointipaikoilla vuoteen 2030 mennessä</w:t>
      </w:r>
      <w:r w:rsidRPr="009029CA">
        <w:rPr>
          <w:rStyle w:val="FootnoteReference"/>
          <w:noProof/>
        </w:rPr>
        <w:footnoteReference w:id="191"/>
      </w:r>
      <w:r>
        <w:rPr>
          <w:noProof/>
        </w:rPr>
        <w:t xml:space="preserve">.  </w:t>
      </w:r>
    </w:p>
    <w:p w14:paraId="7EE670F8" w14:textId="28F13B27" w:rsidR="004D15DA" w:rsidRPr="009029CA" w:rsidRDefault="004D15DA" w:rsidP="009029CA">
      <w:pPr>
        <w:pStyle w:val="paragraph"/>
        <w:spacing w:before="0" w:beforeAutospacing="0" w:after="160" w:afterAutospacing="0"/>
        <w:jc w:val="both"/>
        <w:rPr>
          <w:noProof/>
        </w:rPr>
      </w:pPr>
      <w:r>
        <w:rPr>
          <w:noProof/>
        </w:rPr>
        <w:t>EU:n asema hiilidioksidin talteenottoteknologioissa on hyvä, ja viisi näiden teknologioiden 16</w:t>
      </w:r>
      <w:r w:rsidR="00753A83">
        <w:rPr>
          <w:noProof/>
        </w:rPr>
        <w:t> </w:t>
      </w:r>
      <w:r>
        <w:rPr>
          <w:noProof/>
        </w:rPr>
        <w:t>tärkeimmästä toimittajasta on EU:n yrityksiä.</w:t>
      </w:r>
      <w:r w:rsidRPr="009029CA">
        <w:rPr>
          <w:rStyle w:val="FootnoteReference"/>
          <w:rFonts w:eastAsiaTheme="minorEastAsia"/>
          <w:noProof/>
        </w:rPr>
        <w:footnoteReference w:id="192"/>
      </w:r>
      <w:r>
        <w:rPr>
          <w:noProof/>
        </w:rPr>
        <w:t xml:space="preserve"> Kuitenkin kun tarkastellaan hiilidioksidin kuljetusta, varastointia ja koko arvoketjua, Eurooppa on jäljessä Yhdysvalloista ja Kanadasta, koska näitä teknologioita tarjoavia EU:n yrityksiä on hyvin vähän.</w:t>
      </w:r>
      <w:r w:rsidRPr="009029CA">
        <w:rPr>
          <w:rStyle w:val="FootnoteReference"/>
          <w:rFonts w:eastAsiaTheme="minorEastAsia"/>
          <w:noProof/>
        </w:rPr>
        <w:footnoteReference w:id="193"/>
      </w:r>
      <w:r>
        <w:rPr>
          <w:noProof/>
        </w:rPr>
        <w:t xml:space="preserve"> EU on viime vuosina kuronut etumatkaa umpeen julkisissa T&amp;K-menoissa. Vuonna 2022 EU:n osuus maailmanlaajuisista menoista oli noin 22 prosenttia, mikä on hieman suurempi kuin Kanadan tai Japanin osuus</w:t>
      </w:r>
      <w:r w:rsidRPr="009029CA">
        <w:rPr>
          <w:rStyle w:val="FootnoteReference"/>
          <w:noProof/>
        </w:rPr>
        <w:footnoteReference w:id="194"/>
      </w:r>
      <w:r>
        <w:rPr>
          <w:noProof/>
        </w:rPr>
        <w:t>. Suurin osa investoinneista suuntautui hiilidioksidin varastointiin.</w:t>
      </w:r>
    </w:p>
    <w:p w14:paraId="6988DCB1" w14:textId="4F4A518B" w:rsidR="004D15DA" w:rsidRPr="009029CA" w:rsidRDefault="004D15DA" w:rsidP="009029CA">
      <w:pPr>
        <w:pStyle w:val="paragraph"/>
        <w:spacing w:before="0" w:beforeAutospacing="0" w:after="160" w:afterAutospacing="0"/>
        <w:jc w:val="both"/>
        <w:rPr>
          <w:noProof/>
        </w:rPr>
      </w:pPr>
      <w:r>
        <w:rPr>
          <w:noProof/>
        </w:rPr>
        <w:t>Vuonna 2023 eri kehitysvaiheissa olevien CCS-hankkeiden määrä kaksinkertaistui edellisvuoteen verrattuna ja oli 392 hanketta maailmanlaajuisesti</w:t>
      </w:r>
      <w:r>
        <w:rPr>
          <w:rStyle w:val="FootnoteReference"/>
          <w:noProof/>
        </w:rPr>
        <w:t xml:space="preserve"> </w:t>
      </w:r>
      <w:r>
        <w:rPr>
          <w:noProof/>
        </w:rPr>
        <w:t>(joista 119 hanketta sijaitsi Euroopassa). Näiden hankkeiden yhteenlaskettu vuotuinen kapasiteetti oli 361 miljoonaa hiilidioksiditonnia</w:t>
      </w:r>
      <w:r w:rsidRPr="009029CA">
        <w:rPr>
          <w:rStyle w:val="FootnoteReference"/>
          <w:rFonts w:eastAsiaTheme="minorEastAsia"/>
          <w:noProof/>
        </w:rPr>
        <w:footnoteReference w:id="195"/>
      </w:r>
      <w:r>
        <w:rPr>
          <w:noProof/>
        </w:rPr>
        <w:t>. Euroopan eri kehitysvaiheissa olevilla CCS-hankkeilla tuetaan esimerkiksi seuraavia teollisuudenaloja: vedyn, ammoniakin ja lannoitteiden tuotanto (20</w:t>
      </w:r>
      <w:r w:rsidR="000E18FF">
        <w:rPr>
          <w:noProof/>
        </w:rPr>
        <w:t> </w:t>
      </w:r>
      <w:r>
        <w:rPr>
          <w:noProof/>
        </w:rPr>
        <w:t>laitosta), sähkön- ja lämmöntuotanto (19 laitosta), sementintuotanto (17 laitosta) ja sähkön- ja lämmöntuotanto biomassasta (15 laitosta).</w:t>
      </w:r>
      <w:r w:rsidRPr="009029CA">
        <w:rPr>
          <w:rStyle w:val="FootnoteReference"/>
          <w:rFonts w:eastAsiaTheme="minorEastAsia"/>
          <w:noProof/>
        </w:rPr>
        <w:footnoteReference w:id="196"/>
      </w:r>
    </w:p>
    <w:p w14:paraId="42876338" w14:textId="3A38BF30" w:rsidR="004D15DA" w:rsidRPr="009029CA" w:rsidRDefault="004D15DA" w:rsidP="009029CA">
      <w:pPr>
        <w:pStyle w:val="paragraph"/>
        <w:spacing w:before="0" w:beforeAutospacing="0" w:after="160" w:afterAutospacing="0"/>
        <w:jc w:val="both"/>
        <w:rPr>
          <w:noProof/>
        </w:rPr>
      </w:pPr>
      <w:r>
        <w:rPr>
          <w:noProof/>
        </w:rPr>
        <w:t>Euroopassa kehitteillä olevista 35:stä hiilidioksidin kuljetus- ja verkkohankkeesta monet ovat keskeisiä yhteistä etua koskevia hankkeita, joilla tuetaan EU:n rajatylittävää hiilidioksidiverkkoa.</w:t>
      </w:r>
      <w:r w:rsidRPr="009029CA">
        <w:rPr>
          <w:rFonts w:eastAsiaTheme="minorEastAsia"/>
          <w:noProof/>
          <w:vertAlign w:val="superscript"/>
          <w:lang w:val="en-GB"/>
        </w:rPr>
        <w:footnoteReference w:id="197"/>
      </w:r>
      <w:r>
        <w:rPr>
          <w:noProof/>
        </w:rPr>
        <w:t xml:space="preserve"> Vaikka varastointikapasiteetti on edelleen keskittynyt Pohjanmerelle, myös muissa jäsenvaltioissa, kuten Bulgariassa, Kroatiassa, Kreikassa ja Italiassa, on kartoitettu uusia sijoituspaikkoja maalla ja merellä toteutettaville CCS-hankkeille. Vuonna 2024 Tanska myönsi ensimmäiset tutkimusluvat hiilidioksidin maalla tapahtuvaa varastointia varten, mikä kaksinkertaistaa hiilidioksidin varastointia koskevien tutkintalupien kokonaismäärän.</w:t>
      </w:r>
      <w:r w:rsidRPr="009029CA">
        <w:rPr>
          <w:rStyle w:val="FootnoteReference"/>
          <w:rFonts w:eastAsiaTheme="minorEastAsia"/>
          <w:noProof/>
        </w:rPr>
        <w:footnoteReference w:id="198"/>
      </w:r>
      <w:r>
        <w:rPr>
          <w:noProof/>
        </w:rPr>
        <w:t xml:space="preserve"> Komissio myönsi tammikuussa 2025 Verkkojen Eurooppa </w:t>
      </w:r>
      <w:r>
        <w:rPr>
          <w:noProof/>
        </w:rPr>
        <w:noBreakHyphen/>
        <w:t>välineestä 250 miljoonaa euroa rahoitusta, jolla tuetaan kolmen hankkeen rakentamista ja yhdeksää valmistelevaa tutkimusta yhteistä etua koskevia hiilidioksidi-infrastruktuurihankkeita varten.</w:t>
      </w:r>
      <w:r w:rsidRPr="164DE761">
        <w:rPr>
          <w:rFonts w:eastAsiaTheme="minorEastAsia"/>
          <w:noProof/>
          <w:vertAlign w:val="superscript"/>
          <w:lang w:val="en-GB"/>
        </w:rPr>
        <w:footnoteReference w:id="199"/>
      </w:r>
      <w:r>
        <w:rPr>
          <w:noProof/>
        </w:rPr>
        <w:t xml:space="preserve">  </w:t>
      </w:r>
    </w:p>
    <w:p w14:paraId="5EF62AEB" w14:textId="47060DC4" w:rsidR="004D15DA" w:rsidRPr="009029CA" w:rsidRDefault="00EC6BFA" w:rsidP="009029CA">
      <w:pPr>
        <w:pStyle w:val="paragraph"/>
        <w:spacing w:before="0" w:beforeAutospacing="0" w:after="160" w:afterAutospacing="0"/>
        <w:jc w:val="both"/>
        <w:rPr>
          <w:rFonts w:eastAsiaTheme="minorEastAsia"/>
          <w:noProof/>
        </w:rPr>
      </w:pPr>
      <w:r>
        <w:rPr>
          <w:rStyle w:val="normaltextrun"/>
          <w:noProof/>
        </w:rPr>
        <w:t>EU:lla on hyvä asema keskeisten CCS-komponenttien valmistuksessa, kuten absorptiossa käytettävissä amiiniliuottimissa (kypsin teknologia). Tuotanto ei kuitenkaan ole vielä laajamittaista, eikä alalla ole vielä erikoistuneita arvoketjuja. Kymmenen vuoden nollakasvujakson jälkeen unionin amiiniliuottimien tuotanto saavutti 260 miljoonaa euroa vuonna 2023, mikä on 8 prosenttia enemmän kuin edellisenä vuonna. EU:lla on hyvät edellytykset kehittää innovatiivisia menetelmiä, joissa käytetään esimerkiksi kalvomateriaaleja (polymeeriset, keraamiset) ja adsorbentteja</w:t>
      </w:r>
      <w:r>
        <w:rPr>
          <w:noProof/>
        </w:rPr>
        <w:t xml:space="preserve">. Toisaalta Kiinalla on maailmanlaajuinen johtoasema vertaisarvioiduissa artikkeleissa. EU:n Horisontti 2020 </w:t>
      </w:r>
      <w:r>
        <w:rPr>
          <w:noProof/>
        </w:rPr>
        <w:noBreakHyphen/>
        <w:t>puiteohjelman hankkeiden odotetaan parantavan prosesseja merkittävästi ja sysäävän nämä menetelmät kaupalliseen vaiheeseen.</w:t>
      </w:r>
      <w:r w:rsidR="004D15DA" w:rsidRPr="009029CA">
        <w:rPr>
          <w:rStyle w:val="FootnoteReference"/>
          <w:rFonts w:eastAsiaTheme="minorEastAsia"/>
          <w:noProof/>
        </w:rPr>
        <w:footnoteReference w:id="200"/>
      </w:r>
    </w:p>
    <w:p w14:paraId="24D94F77" w14:textId="20D63C91" w:rsidR="004D15DA" w:rsidRPr="009029CA" w:rsidRDefault="004D15DA" w:rsidP="009029CA">
      <w:pPr>
        <w:rPr>
          <w:rFonts w:eastAsia="Calibri"/>
          <w:noProof/>
          <w:color w:val="000000" w:themeColor="text1"/>
        </w:rPr>
      </w:pPr>
      <w:r>
        <w:rPr>
          <w:noProof/>
        </w:rPr>
        <w:t xml:space="preserve">Vaikka CCS-teknologioiden käyttö lisääntyi EU:ssa viime vuonna, hiilidioksidin varastoinnin käyttöönottotahtia on lisättävä eksponentiaalisesti, jotta voidaan saavuttaa vuosiin 2030, 2040 ja 2050 ulottuvien tavoitteiden edellyttämät merkittävät hiilidioksidin talteenottovolyymit. EU ottaa käyttöön toimenpiteitä, joilla lisätään varastoinnin kysynnän ja tarjonnan näkyvyyttä, ja </w:t>
      </w:r>
      <w:r>
        <w:rPr>
          <w:noProof/>
          <w:color w:val="000000" w:themeColor="text1"/>
        </w:rPr>
        <w:t xml:space="preserve">luo tarvittavat puitteet syrjimättömälle multimodaaliselle hiilidioksidi-infrastruktuurille, johon on avoin pääsy. Näillä toimenpiteillä </w:t>
      </w:r>
      <w:r>
        <w:rPr>
          <w:noProof/>
        </w:rPr>
        <w:t xml:space="preserve">vastataan teollisten hiilenhallintaratkaisujen käyttöönoton suurimpiin haasteisiin, lisätään ennustettavuutta sijoittajien kannalta ja vähennetään investointien riskejä. </w:t>
      </w:r>
      <w:r>
        <w:rPr>
          <w:noProof/>
          <w:color w:val="000000" w:themeColor="text1"/>
        </w:rPr>
        <w:t>Komissio aikoo myös ehdottaa lisätoimenpiteitä hiilidioksidin talteenotto-, hyödyntämis- ja varastointiteknologioiden (CCUS) käyttöönoton kannustamiseksi ja lisäämiseksi.</w:t>
      </w:r>
      <w:r w:rsidRPr="009029CA">
        <w:rPr>
          <w:rStyle w:val="FootnoteReference"/>
          <w:rFonts w:eastAsia="Calibri"/>
          <w:noProof/>
          <w:color w:val="000000" w:themeColor="text1"/>
          <w:lang w:val="en-IE"/>
        </w:rPr>
        <w:footnoteReference w:id="201"/>
      </w:r>
    </w:p>
    <w:p w14:paraId="63EBD740" w14:textId="77777777" w:rsidR="00542BBB" w:rsidRPr="00220722" w:rsidRDefault="00542BBB" w:rsidP="009029CA">
      <w:pPr>
        <w:pStyle w:val="Text2"/>
        <w:spacing w:after="160"/>
        <w:ind w:left="0"/>
        <w:rPr>
          <w:noProof/>
        </w:rPr>
      </w:pPr>
    </w:p>
    <w:p w14:paraId="3AECC8FF" w14:textId="4A0D349E" w:rsidR="00DF2B95" w:rsidRPr="009029CA" w:rsidRDefault="005C5932" w:rsidP="009029CA">
      <w:pPr>
        <w:pStyle w:val="Heading2"/>
        <w:spacing w:after="160"/>
        <w:rPr>
          <w:noProof/>
        </w:rPr>
      </w:pPr>
      <w:bookmarkStart w:id="45" w:name="_Toc194657189"/>
      <w:r>
        <w:rPr>
          <w:noProof/>
        </w:rPr>
        <w:t>Sähköverkkoteknologiat: voimajohdot ja muuntajat</w:t>
      </w:r>
      <w:bookmarkEnd w:id="45"/>
    </w:p>
    <w:p w14:paraId="4E5BFB47" w14:textId="707CBBB9" w:rsidR="00081EFA" w:rsidRPr="009029CA" w:rsidRDefault="3DCF996E" w:rsidP="6B39CC82">
      <w:pPr>
        <w:pStyle w:val="NormalWeb"/>
        <w:spacing w:before="0" w:beforeAutospacing="0" w:after="160" w:afterAutospacing="0"/>
        <w:jc w:val="both"/>
        <w:rPr>
          <w:noProof/>
          <w:color w:val="D13438"/>
          <w:u w:val="single"/>
        </w:rPr>
      </w:pPr>
      <w:r>
        <w:rPr>
          <w:noProof/>
        </w:rPr>
        <w:t>Sähköverkkoja koskevassa EU:n toimintasuunnitelmassa</w:t>
      </w:r>
      <w:r w:rsidR="00E93074" w:rsidRPr="009029CA">
        <w:rPr>
          <w:rStyle w:val="FootnoteReference"/>
          <w:noProof/>
        </w:rPr>
        <w:footnoteReference w:id="202"/>
      </w:r>
      <w:r>
        <w:rPr>
          <w:noProof/>
        </w:rPr>
        <w:t xml:space="preserve"> kuvataan maailmanlaajuisia suuntauksia (esim. kasvava sähkönkulutus, digitalisaatio ja uusiutuvien energialähteiden integrointi), jotka osaltaan lisäävät verkkokomponenttien, kuten voimajohtojen ja muuntajien</w:t>
      </w:r>
      <w:r w:rsidR="00F84837" w:rsidRPr="0049196B">
        <w:rPr>
          <w:rStyle w:val="FootnoteReference"/>
          <w:bCs/>
          <w:noProof/>
        </w:rPr>
        <w:footnoteReference w:id="203"/>
      </w:r>
      <w:r>
        <w:rPr>
          <w:noProof/>
        </w:rPr>
        <w:t>, maailmanlaajuista kysyntää. Europacablen vuoden 2024 analyysissa verkkojen kehittämisen 10-vuotissuunnitelmista</w:t>
      </w:r>
      <w:r w:rsidR="00081EFA" w:rsidRPr="009029CA">
        <w:rPr>
          <w:rStyle w:val="FootnoteReference"/>
          <w:noProof/>
        </w:rPr>
        <w:footnoteReference w:id="204"/>
      </w:r>
      <w:r>
        <w:rPr>
          <w:noProof/>
        </w:rPr>
        <w:t xml:space="preserve"> ennakoidaan, että Euroopassa asennetaan vuosina 2024–2033 lähes 100 000 kilometriä uusia siirtojohtoja ja kaapeleita (vuonna 2022 esitettyä arviota on tarkistettu 10 prosenttia ylöspäin). Jakelujärjestelmän osalta Eurelectric odottaa, että vuosina 2025–2050 on tarpeen asentaa keskimäärin 262 000 kilometriä johtimia vuosittain, uudet ja uusittavat linjat mukaan luettuina.</w:t>
      </w:r>
      <w:r w:rsidR="00081EFA" w:rsidRPr="009029CA">
        <w:rPr>
          <w:rStyle w:val="FootnoteReference"/>
          <w:noProof/>
        </w:rPr>
        <w:footnoteReference w:id="205"/>
      </w:r>
      <w:r>
        <w:rPr>
          <w:noProof/>
        </w:rPr>
        <w:t xml:space="preserve"> Lisäksi pelkästään EU:n ja Norjan jakeluverkon kehittäminen voi edellyttää jopa 172 000 muuntajayksikön asentamista vuosittain vuosina 2025–2050, mikä kaksinkertaistaisi muuntajien määrän 4,5 miljoonasta 9 miljoonaan vuosisadan puoliväliin mennessä.</w:t>
      </w:r>
      <w:r w:rsidR="00081EFA" w:rsidRPr="009029CA" w:rsidDel="00335A41">
        <w:rPr>
          <w:rStyle w:val="FootnoteReference"/>
          <w:noProof/>
        </w:rPr>
        <w:footnoteReference w:id="206"/>
      </w:r>
      <w:r>
        <w:rPr>
          <w:noProof/>
        </w:rPr>
        <w:t xml:space="preserve"> Kaiken kaikkiaan Euroopan sähkönsiirto- ja jakeluinfrastruktuurin parantaminen saattaa vaatia jopa 730 miljardin euron investoinnit vuoteen 2040 mennessä.</w:t>
      </w:r>
      <w:r w:rsidR="00704307" w:rsidRPr="00A10786">
        <w:rPr>
          <w:noProof/>
          <w:vertAlign w:val="superscript"/>
        </w:rPr>
        <w:footnoteReference w:id="207"/>
      </w:r>
      <w:r>
        <w:rPr>
          <w:noProof/>
        </w:rPr>
        <w:t xml:space="preserve"> </w:t>
      </w:r>
    </w:p>
    <w:p w14:paraId="39C3B104" w14:textId="37DB5C8C" w:rsidR="00081EFA" w:rsidRPr="009029CA" w:rsidRDefault="00081EFA" w:rsidP="009029CA">
      <w:pPr>
        <w:pStyle w:val="NormalWeb"/>
        <w:spacing w:before="0" w:beforeAutospacing="0" w:after="160" w:afterAutospacing="0"/>
        <w:jc w:val="both"/>
        <w:rPr>
          <w:noProof/>
        </w:rPr>
      </w:pPr>
      <w:r>
        <w:rPr>
          <w:noProof/>
        </w:rPr>
        <w:t xml:space="preserve">EU:ssa toimii joitakin pitkäaikaisia markkina- ja teknologiajohtajia sekä voimajohtojen että muuntajien aloilla. EU:n johto- ja kaapelimarkkinoilla toimii pääasiassa eurooppalaisia yrityksiä, vaikka kansainvälisten toimijoiden aiheuttama kilpailupaine saattaa kasvaa lyhyellä ja keskipitkällä aikavälillä. Euroopan muuntajamarkkinoilla tilanne on kuitenkin hieman erilainen: muutamat suuret monikansalliset yritykset hallitsevat suurten siirtoverkkomuuntajien segmenttiä, kun taas keskikokoisten muuntajien ja jakeluverkkomuuntajien segmenteissä toimii sekä perinteisiä kansallisia valmistajia ja eurooppalaisia perheyrityksiä että kansainvälisiä kilpailijoita.  </w:t>
      </w:r>
    </w:p>
    <w:p w14:paraId="236ABCEC" w14:textId="2E0B777E" w:rsidR="00081EFA" w:rsidRPr="009029CA" w:rsidRDefault="00081EFA" w:rsidP="009029CA">
      <w:pPr>
        <w:pStyle w:val="NormalWeb"/>
        <w:spacing w:before="0" w:beforeAutospacing="0" w:after="160" w:afterAutospacing="0"/>
        <w:jc w:val="both"/>
        <w:rPr>
          <w:noProof/>
        </w:rPr>
      </w:pPr>
      <w:r>
        <w:rPr>
          <w:noProof/>
        </w:rPr>
        <w:t>Kuparin ja alumiinin toimitusketjut ovat valmistuksen kannalta kriittisiä. Niiden odotetaan pysyvän kasvavan kysynnän tahdissa lyhyellä aikavälillä, mutta suuri kysyntä ja puhdistetun kuparin tuotannon keskittyminen aiheuttavat häiriöiden riskin pitkällä aikavälillä.</w:t>
      </w:r>
      <w:r w:rsidRPr="009029CA">
        <w:rPr>
          <w:rStyle w:val="FootnoteReference"/>
          <w:noProof/>
        </w:rPr>
        <w:footnoteReference w:id="208"/>
      </w:r>
      <w:r>
        <w:rPr>
          <w:noProof/>
        </w:rPr>
        <w:t xml:space="preserve"> Muuntajan tärkein arvokas komponentti, sydän, valmistetaan raesuunnatusta sähköteräksestä (GOES). Maailmanlaajuisten GOES-markkinoiden arvon arvioidaan lähes kaksinkertaistuvan vuoteen 2032 mennessä</w:t>
      </w:r>
      <w:r w:rsidRPr="009029CA">
        <w:rPr>
          <w:rStyle w:val="FootnoteReference"/>
          <w:noProof/>
        </w:rPr>
        <w:footnoteReference w:id="209"/>
      </w:r>
      <w:r>
        <w:rPr>
          <w:noProof/>
        </w:rPr>
        <w:t xml:space="preserve"> muuntajien kysynnän vuoksi. Vaikka EU on merkittävä tuottaja, monet unionin muuntajavalmistajat ovat riippuvaisia sydämessä käytettävän teräksen tuonnista.</w:t>
      </w:r>
      <w:r w:rsidRPr="009029CA">
        <w:rPr>
          <w:rStyle w:val="FootnoteReference"/>
          <w:noProof/>
        </w:rPr>
        <w:footnoteReference w:id="210"/>
      </w:r>
      <w:r>
        <w:rPr>
          <w:noProof/>
        </w:rPr>
        <w:t xml:space="preserve"> </w:t>
      </w:r>
    </w:p>
    <w:p w14:paraId="50DE74BD" w14:textId="08F3FB90" w:rsidR="00081EFA" w:rsidRPr="009029CA" w:rsidRDefault="4D3AFE9E" w:rsidP="6B39CC82">
      <w:pPr>
        <w:pStyle w:val="NormalWeb"/>
        <w:spacing w:before="0" w:beforeAutospacing="0" w:after="160" w:afterAutospacing="0"/>
        <w:jc w:val="both"/>
        <w:rPr>
          <w:noProof/>
        </w:rPr>
      </w:pPr>
      <w:r>
        <w:rPr>
          <w:noProof/>
        </w:rPr>
        <w:t>Voimajohtojen ja muuntajien kaltaisten sähköverkkokomponenttien kysynnän kasvu on johtanut toimitusten viivästymiseen, pitkiin toimitusaikoihin ja hintapiikkeihin. Korjatakseen tilanteen useat johtavat eurooppalaiset kaapelinvalmistajat ovat ilmoittaneet 4 miljardin euron investointipäätöksistä, mikä osaltaan auttaa kaksinkertaistamaan suurelle ja erittäin suurelle jännitteelle tarkoitettujen kaapelien tuotantokapasiteetin Euroopassa.</w:t>
      </w:r>
      <w:r w:rsidR="00081EFA" w:rsidRPr="009029CA">
        <w:rPr>
          <w:rStyle w:val="FootnoteReference"/>
          <w:noProof/>
        </w:rPr>
        <w:footnoteReference w:id="211"/>
      </w:r>
      <w:r>
        <w:rPr>
          <w:noProof/>
        </w:rPr>
        <w:t xml:space="preserve"> EU:n ja unionin ulkopuolisille muuntajavalmistajille suunnatun kyselytutkimuksen perusteella tuotantokapasiteetin voidaan odottaa kasvavan 10 prosenttia lyhyellä aikavälillä (vuoteen 2026 mennessä) ja jopa 30 prosenttia vuoteen 2030 mennessä, jos kysynnän kasvusuuntaus vahvistuu.</w:t>
      </w:r>
      <w:r w:rsidR="00081EFA" w:rsidRPr="009029CA">
        <w:rPr>
          <w:rStyle w:val="FootnoteReference"/>
          <w:noProof/>
        </w:rPr>
        <w:footnoteReference w:id="212"/>
      </w:r>
      <w:r>
        <w:rPr>
          <w:noProof/>
        </w:rPr>
        <w:t xml:space="preserve"> Kysynnän odotetaan joka tapauksessa kasvavan edelleen tarjontaa nopeammin tulevina vuosina ja 2030-luvulla.</w:t>
      </w:r>
    </w:p>
    <w:p w14:paraId="6B1703E5" w14:textId="77141C1B" w:rsidR="00542BBB" w:rsidRPr="009029CA" w:rsidRDefault="001D0881" w:rsidP="62699D7A">
      <w:pPr>
        <w:pStyle w:val="NormalWeb"/>
        <w:spacing w:before="0" w:beforeAutospacing="0" w:after="160" w:afterAutospacing="0"/>
        <w:jc w:val="both"/>
        <w:rPr>
          <w:noProof/>
        </w:rPr>
      </w:pPr>
      <w:r>
        <w:rPr>
          <w:noProof/>
        </w:rPr>
        <w:t>Alan yksi suurimmista haasteista on ammattitaitoisen työvoiman puute. Lähes puolet kyselyyn osallistuneista muuntajavalmistajista ilmoitti, että kapasiteetti oli vajaakäytöllä pätevien työntekijöiden puutteen vuoksi.</w:t>
      </w:r>
      <w:r w:rsidR="00A62E6C">
        <w:rPr>
          <w:rStyle w:val="FootnoteReference"/>
          <w:noProof/>
        </w:rPr>
        <w:footnoteReference w:id="213"/>
      </w:r>
      <w:r>
        <w:rPr>
          <w:noProof/>
        </w:rPr>
        <w:t xml:space="preserve"> Komissio on yksilöinyt sähköverkkoja koskevassa EU:n toimintasuunnitelmassa toimenpiteitä, joilla varmistetaan EU:n sähköverkkojen toiminnan tehostaminen ja nopeampi käyttöönotto.</w:t>
      </w:r>
      <w:r w:rsidR="001E4847">
        <w:rPr>
          <w:rStyle w:val="FootnoteReference"/>
          <w:noProof/>
        </w:rPr>
        <w:footnoteReference w:id="214"/>
      </w:r>
      <w:r>
        <w:rPr>
          <w:noProof/>
        </w:rPr>
        <w:t xml:space="preserve"> Tiiviimpi yhteistyö viranomaisten, verkonhaltijoiden ja teknologian tarjoajien välillä on keskeistä, jotta voidaan kehittää yhdenmukaistettuja teknologiaeritelmiä, parantaa verkkohankkeiden kehittämisen näkyvyyttä, helpottaa investointeja valmistuskapasiteettiin ja turvata toimitusketjut. Kuluvalla toimikaudella komissio harkitsee eurooppalaisten sähköverkkojen oikeudellista kehystä sähköistymisen tukemiseksi ja lupamenettelyjen nopeuttamiseksi.</w:t>
      </w:r>
      <w:r w:rsidR="00081EFA" w:rsidRPr="009029CA">
        <w:rPr>
          <w:rStyle w:val="FootnoteReference"/>
          <w:noProof/>
        </w:rPr>
        <w:footnoteReference w:id="215"/>
      </w:r>
      <w:r>
        <w:rPr>
          <w:noProof/>
        </w:rPr>
        <w:t xml:space="preserve"> Komissio esittää sähköistämistä koskevan toimintasuunnitelman, jolla tuetaan sähköistymistä kaikilla loppukäyttöaloilla. Lisäksi se ehdottaa Euroopan verkkoja koskevaa pakettia energian siirto- ja jakeluinfrastruktuurin nykyaikaistamiseksi ja laajentamiseksi.</w:t>
      </w:r>
    </w:p>
    <w:p w14:paraId="6CFD61F3" w14:textId="77777777" w:rsidR="00542BBB" w:rsidRPr="006D05CC" w:rsidRDefault="00542BBB" w:rsidP="009029CA">
      <w:pPr>
        <w:pStyle w:val="Text2"/>
        <w:spacing w:after="160"/>
        <w:ind w:left="0"/>
        <w:rPr>
          <w:noProof/>
        </w:rPr>
      </w:pPr>
    </w:p>
    <w:p w14:paraId="28E7AA77" w14:textId="2E3DE96D" w:rsidR="00DF2B95" w:rsidRPr="009029CA" w:rsidRDefault="00DF2B95" w:rsidP="009029CA">
      <w:pPr>
        <w:pStyle w:val="Heading2"/>
        <w:spacing w:after="160"/>
        <w:rPr>
          <w:noProof/>
        </w:rPr>
      </w:pPr>
      <w:bookmarkStart w:id="47" w:name="_Toc194657190"/>
      <w:r>
        <w:rPr>
          <w:noProof/>
        </w:rPr>
        <w:t>Ydinfissioenergiateknologiat</w:t>
      </w:r>
      <w:bookmarkEnd w:id="47"/>
    </w:p>
    <w:p w14:paraId="2E117D78" w14:textId="438539E3" w:rsidR="00952FE0" w:rsidRPr="009029CA" w:rsidRDefault="00952FE0" w:rsidP="009029CA">
      <w:pPr>
        <w:rPr>
          <w:noProof/>
        </w:rPr>
      </w:pPr>
      <w:r>
        <w:rPr>
          <w:noProof/>
        </w:rPr>
        <w:t>Ydinvoimalat ovat yksi niistä teknologioista, joilla voidaan säädettävästi tuottaa vähähiilistä sähköä.</w:t>
      </w:r>
      <w:r w:rsidR="0047229A">
        <w:rPr>
          <w:rStyle w:val="FootnoteReference"/>
          <w:noProof/>
        </w:rPr>
        <w:footnoteReference w:id="216"/>
      </w:r>
      <w:r>
        <w:rPr>
          <w:noProof/>
        </w:rPr>
        <w:t xml:space="preserve"> Ydinvoimaloiden tuottaman sähkön yksikkökustannukset ovat yleensä uusiutuvan energian ja fossiilisten teknologioiden välillä. Ydinvoimalat tuottivat 22,8 prosenttia EU:n sähköstä vuonna 2023, mikä on hieman enemmän kuin vuonna 2022 kirjattu 21,9 prosenttia.</w:t>
      </w:r>
      <w:r w:rsidR="0052635F" w:rsidRPr="009029CA">
        <w:rPr>
          <w:rStyle w:val="FootnoteReference"/>
          <w:noProof/>
        </w:rPr>
        <w:footnoteReference w:id="217"/>
      </w:r>
      <w:r>
        <w:rPr>
          <w:noProof/>
        </w:rPr>
        <w:t xml:space="preserve"> Tähän päästiin kolmella keinolla, jotka ovat: käyttöiän pidentäminen, uusien suurten ydinvoimaloiden rakentaminen sekä pienten modulaaristen reaktorien käyttöönotto. </w:t>
      </w:r>
    </w:p>
    <w:p w14:paraId="70072A59" w14:textId="775533D5" w:rsidR="00952FE0" w:rsidRPr="009029CA" w:rsidRDefault="001B3ED2" w:rsidP="009029CA">
      <w:pPr>
        <w:rPr>
          <w:noProof/>
        </w:rPr>
      </w:pPr>
      <w:r>
        <w:rPr>
          <w:noProof/>
        </w:rPr>
        <w:t>Suurin osa rakenteilla olevista uusista reaktoreista sijaitsee Aasiassa. Vuoden 2024 alussa maailmassa oli rakenteilla noin 61 gigawattia reaktorikapasiteettia, josta yli puolet Kiinassa ja Intiassa. EU:ssa toimii edelleen yksi reaktoritoimittaja</w:t>
      </w:r>
      <w:r w:rsidR="0052635F" w:rsidRPr="009029CA">
        <w:rPr>
          <w:rStyle w:val="FootnoteReference"/>
          <w:noProof/>
        </w:rPr>
        <w:footnoteReference w:id="218"/>
      </w:r>
      <w:r>
        <w:rPr>
          <w:noProof/>
        </w:rPr>
        <w:t>, jonka osuus edellä mainitusta kapasiteetista on 5,3 prosenttia.</w:t>
      </w:r>
      <w:r w:rsidR="0052635F" w:rsidRPr="009029CA">
        <w:rPr>
          <w:rStyle w:val="FootnoteReference"/>
          <w:noProof/>
        </w:rPr>
        <w:footnoteReference w:id="219"/>
      </w:r>
      <w:r>
        <w:rPr>
          <w:noProof/>
        </w:rPr>
        <w:t xml:space="preserve"> Tämä osoittaa, että EU:n teollisuuden on parannettava kilpailukykyään nettonollateollisuussäädöksen tavoitteiden mukaisesti.</w:t>
      </w:r>
    </w:p>
    <w:p w14:paraId="5DF09CA7" w14:textId="78BD63ED" w:rsidR="00952FE0" w:rsidRPr="009029CA" w:rsidRDefault="00952FE0" w:rsidP="009029CA">
      <w:pPr>
        <w:rPr>
          <w:noProof/>
        </w:rPr>
      </w:pPr>
      <w:r>
        <w:rPr>
          <w:noProof/>
        </w:rPr>
        <w:t>Komissio käynnisti vuonna 2024 pieniä modulaarisia reaktoreita (SMR) koskevan eurooppalaisen teollisen allianssin edistääkseen SMR-reaktorien käyttöönottoa 2030-luvun alkuun mennessä ja tukeakseen kilpailukykyistä eurooppalaista ekosysteemiä.</w:t>
      </w:r>
      <w:r w:rsidR="0052635F" w:rsidRPr="009029CA">
        <w:rPr>
          <w:rStyle w:val="FootnoteReference"/>
          <w:noProof/>
        </w:rPr>
        <w:footnoteReference w:id="220"/>
      </w:r>
      <w:r>
        <w:rPr>
          <w:noProof/>
        </w:rPr>
        <w:t xml:space="preserve"> SMR-voimaloissa käytetään innovatiivisia ratkaisuja, ja ne perustuvat modulaarisiin komponentteihin, joita saattaa olla mahdollista valmistaa sarjatuotantona. Niitä ei ole vielä otettu käyttöön EU:ssa, mutta ensimmäiset SMR-voimalat ovat jo toiminnassa Kiinassa ja Venäjällä.</w:t>
      </w:r>
      <w:r w:rsidR="001D1F9A">
        <w:rPr>
          <w:rStyle w:val="FootnoteReference"/>
          <w:noProof/>
        </w:rPr>
        <w:footnoteReference w:id="221"/>
      </w:r>
      <w:r>
        <w:rPr>
          <w:noProof/>
        </w:rPr>
        <w:t xml:space="preserve"> </w:t>
      </w:r>
    </w:p>
    <w:p w14:paraId="5F494FA5" w14:textId="31270DD7" w:rsidR="00542BBB" w:rsidRDefault="00952FE0" w:rsidP="006D05CC">
      <w:pPr>
        <w:rPr>
          <w:noProof/>
        </w:rPr>
      </w:pPr>
      <w:r>
        <w:rPr>
          <w:noProof/>
        </w:rPr>
        <w:t>Suunnitellun kapasiteetin toteuttaminen EU:ssa edellyttää valmistuskapasiteetin lisäämistä.</w:t>
      </w:r>
      <w:r w:rsidR="0052635F" w:rsidRPr="009029CA">
        <w:rPr>
          <w:rStyle w:val="FootnoteReference"/>
          <w:noProof/>
        </w:rPr>
        <w:footnoteReference w:id="222"/>
      </w:r>
      <w:r>
        <w:rPr>
          <w:noProof/>
        </w:rPr>
        <w:t xml:space="preserve"> Lisäksi alan työvoiman ikääntymiseen on vastattava houkuttelemalla nuorta työvoimaa ja uudelleenkouluttamalla muiden teollisuudenalojen ammattilaisia. Ydinalan osaamisen kehittämisohjelmia on myös edistettävä. Ydinpolttoaineen, polttoainekiertoon liittyvien palvelujen ja varaosien toimitusketjujen monipuolistamista on jatkettava, jotta voidaan poistaa riippuvuudet yksittäisistä epäluotettavista kumppaneista, erityisesti Venäjästä.</w:t>
      </w:r>
      <w:r w:rsidR="0052635F" w:rsidRPr="009029CA">
        <w:rPr>
          <w:rStyle w:val="FootnoteReference"/>
          <w:noProof/>
        </w:rPr>
        <w:footnoteReference w:id="223"/>
      </w:r>
      <w:r>
        <w:rPr>
          <w:noProof/>
        </w:rPr>
        <w:t xml:space="preserve"> Lisäksi ydinturvallisuuden ylläpitämiseen, monipuolisten toimitusketjujen turvaamiseen, turvalliseen jätehuoltoon ja uusien teknologioiden edistämiseen on kiinnitettävä jatkuvaa huomiota.</w:t>
      </w:r>
      <w:r w:rsidR="0052635F" w:rsidRPr="009029CA">
        <w:rPr>
          <w:rStyle w:val="FootnoteReference"/>
          <w:noProof/>
        </w:rPr>
        <w:footnoteReference w:id="224"/>
      </w:r>
      <w:r>
        <w:rPr>
          <w:noProof/>
        </w:rPr>
        <w:t xml:space="preserve"> Ydinvoiman tulevan käytön ehtona on oltava tiukimpien ydinturvallisuusnormien noudattaminen sekä kaikentyyppisen ydinjätteen ja käytetyn ydinpolttoaineen turvallinen loppusijoitus.</w:t>
      </w:r>
    </w:p>
    <w:p w14:paraId="46AE5F74" w14:textId="77777777" w:rsidR="000D7D0E" w:rsidRPr="00220722" w:rsidRDefault="000D7D0E" w:rsidP="009029CA">
      <w:pPr>
        <w:pStyle w:val="Text2"/>
        <w:spacing w:after="160"/>
        <w:ind w:left="0"/>
        <w:rPr>
          <w:noProof/>
        </w:rPr>
      </w:pPr>
    </w:p>
    <w:p w14:paraId="5A836A2D" w14:textId="419729FF" w:rsidR="00DF2B95" w:rsidRPr="009029CA" w:rsidRDefault="1ABD13BC" w:rsidP="009029CA">
      <w:pPr>
        <w:pStyle w:val="Heading2"/>
        <w:spacing w:after="160"/>
        <w:rPr>
          <w:noProof/>
        </w:rPr>
      </w:pPr>
      <w:bookmarkStart w:id="48" w:name="_Toc194657191"/>
      <w:r>
        <w:rPr>
          <w:noProof/>
        </w:rPr>
        <w:t>Vesivoima</w:t>
      </w:r>
      <w:bookmarkEnd w:id="48"/>
      <w:r>
        <w:rPr>
          <w:noProof/>
        </w:rPr>
        <w:t xml:space="preserve"> </w:t>
      </w:r>
    </w:p>
    <w:p w14:paraId="20BD3C8F" w14:textId="0EED2E22" w:rsidR="00E021F3" w:rsidRPr="009029CA" w:rsidRDefault="25F37A6B" w:rsidP="00E021F3">
      <w:pPr>
        <w:rPr>
          <w:noProof/>
        </w:rPr>
      </w:pPr>
      <w:r>
        <w:rPr>
          <w:noProof/>
        </w:rPr>
        <w:t>Maailmanlaajuinen vesivoimakapasiteetti oli 1 416 gigawattia vuonna 2023</w:t>
      </w:r>
      <w:r w:rsidR="0024264C">
        <w:rPr>
          <w:rStyle w:val="FootnoteReference"/>
          <w:noProof/>
        </w:rPr>
        <w:footnoteReference w:id="225"/>
      </w:r>
      <w:r>
        <w:rPr>
          <w:noProof/>
        </w:rPr>
        <w:t>, ja kapasiteetin odotetaan lisääntyvän noin 160 gigawattia (josta noin 15–16 gigawattia Euroopassa) vuoteen 2030 mennessä</w:t>
      </w:r>
      <w:r w:rsidR="00E021F3" w:rsidRPr="009029CA">
        <w:rPr>
          <w:rStyle w:val="FootnoteReference"/>
          <w:noProof/>
        </w:rPr>
        <w:footnoteReference w:id="226"/>
      </w:r>
      <w:r>
        <w:rPr>
          <w:noProof/>
        </w:rPr>
        <w:t>. Pumppuvesivoima on edelleen yleisin energian varastointiteknologia. Sen osuus koko maailman verkkomittakaavan varastointikapasiteettista on yli 90 prosenttia, ja EU:n asennettu pumppuvesivoimakapasiteetti on 46 gigawattia.</w:t>
      </w:r>
      <w:r w:rsidR="00E021F3" w:rsidRPr="009029CA">
        <w:rPr>
          <w:rStyle w:val="FootnoteReference"/>
          <w:noProof/>
        </w:rPr>
        <w:footnoteReference w:id="227"/>
      </w:r>
      <w:r>
        <w:rPr>
          <w:noProof/>
        </w:rPr>
        <w:t xml:space="preserve"> Vaikka unionin yritykset toteuttavat uusia vesivoimahankkeita maailmanlaajuisesti, EU:ssa keskitytään olemassa olevien laitosten parantamiseen ja kunnostamiseen. Näiden laitosten asennettu kapasiteetti on noin 153 gigawattia</w:t>
      </w:r>
      <w:r w:rsidR="00E021F3" w:rsidRPr="009029CA">
        <w:rPr>
          <w:rStyle w:val="FootnoteReference"/>
          <w:noProof/>
        </w:rPr>
        <w:footnoteReference w:id="228"/>
      </w:r>
      <w:r>
        <w:rPr>
          <w:noProof/>
        </w:rPr>
        <w:t xml:space="preserve">. </w:t>
      </w:r>
    </w:p>
    <w:p w14:paraId="16C9003C" w14:textId="766B8FEA" w:rsidR="00E021F3" w:rsidRPr="009029CA" w:rsidRDefault="25F37A6B" w:rsidP="00E021F3">
      <w:pPr>
        <w:rPr>
          <w:noProof/>
        </w:rPr>
      </w:pPr>
      <w:r>
        <w:rPr>
          <w:noProof/>
        </w:rPr>
        <w:t>EU:n vesivoimakomponenttien valmistusalan toiminta jatkui vahvana vuonna 2024, mikä viittaa siihen, että nettonollateollisuussäädöksen vertailuarvojen saavuttamisessa on edistytty. Vaikka unionin toimitusketjut ovat kehittyneitä, vaarana on, että kestomagneettien osalta esiintyy tulevaisuudessa riippuvaisuuksia.</w:t>
      </w:r>
      <w:r w:rsidR="00E021F3">
        <w:rPr>
          <w:rStyle w:val="FootnoteReference"/>
          <w:noProof/>
        </w:rPr>
        <w:footnoteReference w:id="229"/>
      </w:r>
      <w:r>
        <w:rPr>
          <w:noProof/>
        </w:rPr>
        <w:t xml:space="preserve"> EU:ssa valmistettujen osien ja turbiinien arvo oli 605 miljoonaa euroa vuonna 2023, mutta kauppataseen ylijäämä on supistunut huomattavasti viime vuosina: ylijäämä oli 213 miljoonaa euroa vuonna 2023, kun se vuonna 2015 oli 466 miljoonaa euroa. Tämä näkyy myös EU:n osuudessa maailmanlaajuisesta viennistä, vaikka unionin osuus pysyi edelleen suurena, 44 prosentissa, vuosina 2021–2023.</w:t>
      </w:r>
      <w:r w:rsidR="00E021F3" w:rsidRPr="009029CA">
        <w:rPr>
          <w:rStyle w:val="FootnoteReference"/>
          <w:noProof/>
        </w:rPr>
        <w:footnoteReference w:id="230"/>
      </w:r>
      <w:r>
        <w:rPr>
          <w:noProof/>
        </w:rPr>
        <w:t xml:space="preserve"> Tuotannon arvon lasku viime vuosina osoittaa, että vaikka EU:n teollisuus on edelleen kilpailukykyinen, sen kohtaama maailmanlaajuinen kilpailu on lisääntynyt, kun erityisesti Kiina on kasvattanut asemaansa vesivoimateknologian alalla.</w:t>
      </w:r>
      <w:r w:rsidR="00E021F3">
        <w:rPr>
          <w:rStyle w:val="FootnoteReference"/>
          <w:noProof/>
        </w:rPr>
        <w:footnoteReference w:id="231"/>
      </w:r>
    </w:p>
    <w:p w14:paraId="381ABFCF" w14:textId="177D0B8E" w:rsidR="00E021F3" w:rsidRPr="009029CA" w:rsidRDefault="00E021F3" w:rsidP="00E021F3">
      <w:pPr>
        <w:rPr>
          <w:noProof/>
        </w:rPr>
      </w:pPr>
      <w:r>
        <w:rPr>
          <w:noProof/>
        </w:rPr>
        <w:t>EU:n vesivoimateollisuus on edelleen edelläkävijä maailmanlaajuisesti, mutta on odotettavissa, että sen asema tullaan haastamaan keskipitkällä ja pitkällä aikavälillä. Unionin teollisuuden kannalta erityisenä ongelmana on uusien vesivoimahankkeiden vähäisempi potentiaali Euroopassa, jossa uusien sijoituspaikkojen löytäminen kestävän vesivoiman hankkeille on edelleen suuri haaste. EU:n vesivoima-alan valmistusteollisuuden lisähaasteena on alan osaamisen ylläpitäminen.</w:t>
      </w:r>
    </w:p>
    <w:p w14:paraId="753D4302" w14:textId="2411EE33" w:rsidR="004A44DA" w:rsidRPr="009029CA" w:rsidRDefault="00E021F3" w:rsidP="009029CA">
      <w:pPr>
        <w:rPr>
          <w:noProof/>
        </w:rPr>
      </w:pPr>
      <w:r>
        <w:rPr>
          <w:noProof/>
        </w:rPr>
        <w:t xml:space="preserve">EU:n on säilytettävä maailmanlaajuinen johtoasema vesivoiman alalla investoimalla enemmän tutkimukseen ja innovointiin kuin sen maailmanlaajuiset kilpailijat ja ylläpitämällä sisämarkkinoitaan uusilla investoinneilla. Käyttämätöntä potentiaalia on erityisesti pumppuvesivoiman laajentamisessa verkon joustavuuden lisäämiseksi muun muassa suorittamalla jälkiasennuksia nykyisissä vesivoimalaitoksissa. </w:t>
      </w:r>
    </w:p>
    <w:p w14:paraId="768D64C0" w14:textId="77777777" w:rsidR="00542BBB" w:rsidRPr="00220722" w:rsidRDefault="00542BBB" w:rsidP="009029CA">
      <w:pPr>
        <w:pStyle w:val="Text2"/>
        <w:spacing w:after="160"/>
        <w:ind w:left="0"/>
        <w:rPr>
          <w:noProof/>
        </w:rPr>
      </w:pPr>
    </w:p>
    <w:p w14:paraId="580BF05E" w14:textId="4BF450DD" w:rsidR="00B41049" w:rsidRPr="009029CA" w:rsidRDefault="00DF2B95" w:rsidP="009029CA">
      <w:pPr>
        <w:pStyle w:val="Heading2"/>
        <w:spacing w:after="160"/>
        <w:rPr>
          <w:noProof/>
        </w:rPr>
      </w:pPr>
      <w:bookmarkStart w:id="49" w:name="_Toc194657192"/>
      <w:r>
        <w:rPr>
          <w:noProof/>
        </w:rPr>
        <w:t>Kestävät vaihtoehtoiset polttoaineet</w:t>
      </w:r>
      <w:bookmarkEnd w:id="49"/>
    </w:p>
    <w:p w14:paraId="3F3DB6C1" w14:textId="14BF6196" w:rsidR="009029CA" w:rsidRPr="009029CA" w:rsidRDefault="009029CA" w:rsidP="009029CA">
      <w:pPr>
        <w:pStyle w:val="Point1"/>
        <w:spacing w:before="0" w:after="160" w:line="240" w:lineRule="auto"/>
        <w:ind w:left="0" w:firstLine="0"/>
        <w:jc w:val="both"/>
        <w:rPr>
          <w:noProof/>
          <w:szCs w:val="24"/>
          <w:highlight w:val="yellow"/>
        </w:rPr>
      </w:pPr>
      <w:r>
        <w:rPr>
          <w:noProof/>
        </w:rPr>
        <w:t>Nettonollateollisuussäädöksen määritelmän mukaan kestävillä vaihtoehtoisilla polttoaineilla tarkoitetaan kestäviä ja vähähiilisiä polttoaineita, joiden tarkoituksena on vähentää kasvihuonekaasupäästöjä lento- ja meriliikenteessä.</w:t>
      </w:r>
      <w:r w:rsidRPr="49B261DD">
        <w:rPr>
          <w:rStyle w:val="FootnoteReference"/>
          <w:noProof/>
        </w:rPr>
        <w:footnoteReference w:id="232"/>
      </w:r>
      <w:r>
        <w:rPr>
          <w:noProof/>
        </w:rPr>
        <w:t xml:space="preserve"> EU:lla on hyvä asema näissä teknologioissa, mutta lisätoimia tarvitaan kilpailukykyisen massatuotannon kehittämiseksi unioniin. Kaiken kaikkiaan EU:lla on tällä hetkellä teknologinen etulyöntiasema tuotannossa: suurin osa maailman kaupallisista tuotantolaitoksista sijaitsee unionissa, ja EU:lla on vahva rooli uusien ja innovatiivisten teknologioiden kehittämisessä.</w:t>
      </w:r>
    </w:p>
    <w:p w14:paraId="3D98E1EE" w14:textId="05225A7A" w:rsidR="009029CA" w:rsidRPr="009029CA" w:rsidRDefault="009029CA" w:rsidP="009029CA">
      <w:pPr>
        <w:pStyle w:val="Point1"/>
        <w:spacing w:before="0" w:after="160" w:line="240" w:lineRule="auto"/>
        <w:ind w:left="0" w:firstLine="0"/>
        <w:jc w:val="both"/>
        <w:rPr>
          <w:noProof/>
        </w:rPr>
      </w:pPr>
      <w:r>
        <w:rPr>
          <w:noProof/>
        </w:rPr>
        <w:t>Vetykäsitellyt esterit ja rasvahapot (HEFA) on tällä hetkellä ainoa täysin kaupallisesti toimiva lentopolttoaineteknologia. Vaikka EU:ssa ei tällä hetkellä ole merkittävää kestävien lentopolttoaineiden tuotantoa, nykyisiä vetykäsiteltyä kasviöljyä (HVO) tuottavia laitoksia koskevilla parannuksilla ne voitaisiin saada tuottamaan noin 1,07 miljoonaa öljyekvivalenttitonnia kehittyneitä HEFA-polttoaineita vuodessa. Tämä olisi yli kaksi kertaa enemmän kuin kestävien lentopolttoaineiden kokonaistuotanto maailmassa vuonna 2023</w:t>
      </w:r>
      <w:r w:rsidRPr="009029CA">
        <w:rPr>
          <w:rStyle w:val="FootnoteReference"/>
          <w:noProof/>
        </w:rPr>
        <w:footnoteReference w:id="233"/>
      </w:r>
      <w:r>
        <w:rPr>
          <w:noProof/>
        </w:rPr>
        <w:t xml:space="preserve"> mutta alle puolet EU:n politiikkaan perustuvasta kysynnästä. Soveltuviin biomassaraaka-aineisiin perustuvan tuotannon ennustetaan kasvavan EU:ssa 1,5 miljoonaan öljyekvivalenttitonniin vuodessa vuoteen 2030 mennessä. Meriliikenteen alalla EU tuottaa tällä hetkellä kestäviä polttoaineita 0,1 miljoonaa öljyekvivalenttitonnia vuodessa jäteperäisistä raaka-aineista. Tämän määrän ennustetaan kasvavan 2,1 miljoonaan öljyekvivalenttitonniin vuodessa vuoteen 2030 mennessä</w:t>
      </w:r>
      <w:bookmarkStart w:id="50" w:name="_Ref167703343"/>
      <w:r w:rsidRPr="009029CA">
        <w:rPr>
          <w:rStyle w:val="FootnoteReference"/>
          <w:noProof/>
        </w:rPr>
        <w:footnoteReference w:id="234"/>
      </w:r>
      <w:bookmarkEnd w:id="50"/>
      <w:r>
        <w:rPr>
          <w:noProof/>
        </w:rPr>
        <w:t>, mikä olisi noin puolet EU:n politiikkaan perustuvasta kysynnästä. Teollisuuden ilmoittamien suunnitelmien perusteella arvioidaan, että sähköstä tuotetun kerosiinin (e-kerosiini) tuotanto on 1 129 miljoonaa öljyekvivalenttitonnia vuodessa vuoteen 2030 mennessä, kun taas sähköstä tuotetun metanolin (e-metanoli) ja ammoniakin (e</w:t>
      </w:r>
      <w:r w:rsidR="000E18FF">
        <w:rPr>
          <w:noProof/>
        </w:rPr>
        <w:noBreakHyphen/>
      </w:r>
      <w:r>
        <w:rPr>
          <w:noProof/>
        </w:rPr>
        <w:t>ammoniakki) tuotannoksi arvioidaan 1 464 miljoonaa öljyekvivalenttitonnia vuodessa.</w:t>
      </w:r>
      <w:r w:rsidRPr="009029CA">
        <w:rPr>
          <w:rStyle w:val="FootnoteReference"/>
          <w:noProof/>
        </w:rPr>
        <w:footnoteReference w:id="235"/>
      </w:r>
      <w:r>
        <w:rPr>
          <w:noProof/>
        </w:rPr>
        <w:t xml:space="preserve"> Tämä on e-kerosiinin osalta noin 3 prosenttia ja e-metanolin ja e-ammoniakin osalta noin 4 prosenttia EU:n ennustetusta kysynnästä. </w:t>
      </w:r>
    </w:p>
    <w:p w14:paraId="2D203CCE" w14:textId="333110B1" w:rsidR="009029CA" w:rsidRPr="009029CA" w:rsidRDefault="009029CA" w:rsidP="009029CA">
      <w:pPr>
        <w:pStyle w:val="Point1"/>
        <w:spacing w:before="0" w:after="160" w:line="240" w:lineRule="auto"/>
        <w:ind w:left="0" w:firstLine="0"/>
        <w:jc w:val="both"/>
        <w:rPr>
          <w:noProof/>
          <w:szCs w:val="24"/>
        </w:rPr>
      </w:pPr>
      <w:r>
        <w:rPr>
          <w:noProof/>
        </w:rPr>
        <w:t>Maailmanlaajuisesti kestäviä lentopolttoaineita tuottaa 28 kaupallista laitosta (teknologisen kehityksen taso (TRL) 9), joista 15 sijaitsee EU:ssa (näistä 14 on HEFA-laitoksia) ja kuusi Yhdysvalloissa. EU:ssa on myös kuusi HEFAan ja kehittyneeseen teknologiaan keskittyvää esikaupallista laitosta (TRL 8), kun Yhdysvalloissa niitä on neljä. Meriliikenteen tarkoituksia varten toiminnassa on vain kolme innovatiivista biometaanilaitosta (TRL 8) (joista yksi EU:ssa).</w:t>
      </w:r>
      <w:r w:rsidRPr="49B261DD">
        <w:rPr>
          <w:rStyle w:val="FootnoteReference"/>
          <w:noProof/>
        </w:rPr>
        <w:footnoteReference w:id="236"/>
      </w:r>
      <w:r>
        <w:rPr>
          <w:noProof/>
        </w:rPr>
        <w:t xml:space="preserve"> Tämä kuvaa EU:n nykyistä kilpailukykyä tällä kehittyvällä alalla ja osoittaa, että kehittyneiden teknologioiden kaupallistamista on tarpeen vauhdittaa kilpailukyvyn ylläpitämiseksi.</w:t>
      </w:r>
    </w:p>
    <w:p w14:paraId="48C98067" w14:textId="7C5A226D" w:rsidR="009029CA" w:rsidRPr="009029CA" w:rsidRDefault="009029CA" w:rsidP="009029CA">
      <w:pPr>
        <w:pStyle w:val="Point1"/>
        <w:spacing w:before="0" w:after="160" w:line="240" w:lineRule="auto"/>
        <w:ind w:left="0" w:firstLine="0"/>
        <w:jc w:val="both"/>
        <w:rPr>
          <w:noProof/>
          <w:szCs w:val="24"/>
        </w:rPr>
      </w:pPr>
      <w:r>
        <w:rPr>
          <w:noProof/>
        </w:rPr>
        <w:t>Teknologioiden osalta ei ole kriittisiä riippuvuuksia, koska monet teknologian kehittäjät ja laitevalmistajat sijaitsevat EU:ssa ja koska kriittisiin materiaaleihin liittyvien riippuvuuksien riski on pieni</w:t>
      </w:r>
      <w:r w:rsidRPr="49B261DD">
        <w:rPr>
          <w:rStyle w:val="FootnoteReference"/>
          <w:noProof/>
        </w:rPr>
        <w:footnoteReference w:id="237"/>
      </w:r>
      <w:r>
        <w:rPr>
          <w:noProof/>
        </w:rPr>
        <w:t xml:space="preserve">. Lisäksi kehittyneiden biopolttoaineteknologioiden osalta ei ole merkittäviä riippuvuuksia raaka-aineiden tuonnista. Sen sijaan muuta kuin biologista alkuperää olevien uusiutuvien polttoaineiden tuotannossa on kriittisiä riippuvuuksia katalysaattorimateriaaleja (koboltti, kromi, vanadiini ja volframi) tuottavista kolmansista maista sekä uusiutuvan sähkön, uusiutuvan vedyn (ks. vetyteknologioita koskeva 3.8 kohta) ja raaka-aineena hyödynnettävän hiilidioksidin saatavuudesta. </w:t>
      </w:r>
    </w:p>
    <w:p w14:paraId="754FD9E3" w14:textId="4E6F5884" w:rsidR="009029CA" w:rsidRPr="009029CA" w:rsidRDefault="009029CA" w:rsidP="009029CA">
      <w:pPr>
        <w:pStyle w:val="Point1"/>
        <w:spacing w:before="0" w:after="160" w:line="240" w:lineRule="auto"/>
        <w:ind w:left="0" w:firstLine="0"/>
        <w:jc w:val="both"/>
        <w:rPr>
          <w:noProof/>
          <w:szCs w:val="24"/>
        </w:rPr>
      </w:pPr>
      <w:r>
        <w:rPr>
          <w:noProof/>
        </w:rPr>
        <w:t>Tuotantokustannukset vaihtelevat teknologian mukaan, ja ne muodostavat edelleen haasteen, koska nämä teknologiat on vielä skaalattava kaupalliselle tasolle. Kehittyneistä raaka-aineista tuotettujen HEFA-polttoaineiden kustannukset ovat 15–32 euroa megawattitunnilta, ja kaasuttamalla tuotetun biometanolin kustannukset ovat 89–112 euroa megawattitunnilta.</w:t>
      </w:r>
      <w:r w:rsidR="006406AA" w:rsidRPr="49B261DD">
        <w:rPr>
          <w:rStyle w:val="FootnoteReference"/>
          <w:noProof/>
        </w:rPr>
        <w:footnoteReference w:id="238"/>
      </w:r>
      <w:r>
        <w:rPr>
          <w:noProof/>
        </w:rPr>
        <w:t xml:space="preserve"> Muuta kuin biologista alkuperää olevien uusiutuvien polttoaineiden kustannukset riippuvat suurelta osin uusiutuvan vedyn, sähkön ja hiilidioksidin kustannuksista. Ne ovat meriliikenteessä käytettävien polttoaineiden osalta 90–180 euroa megawattitunnilta, mutta huomattavasti korkeammat e-metanolista tuotetun e-kerosiinin osalta.</w:t>
      </w:r>
      <w:r w:rsidR="00776FFF" w:rsidRPr="49B261DD">
        <w:rPr>
          <w:rStyle w:val="FootnoteReference"/>
          <w:noProof/>
        </w:rPr>
        <w:footnoteReference w:id="239"/>
      </w:r>
      <w:r>
        <w:rPr>
          <w:noProof/>
        </w:rPr>
        <w:t xml:space="preserve"> </w:t>
      </w:r>
    </w:p>
    <w:p w14:paraId="1366DDF1" w14:textId="69EC1175" w:rsidR="009029CA" w:rsidRPr="009029CA" w:rsidRDefault="00454D75" w:rsidP="009029CA">
      <w:pPr>
        <w:pStyle w:val="Point1"/>
        <w:spacing w:before="0" w:after="160" w:line="240" w:lineRule="auto"/>
        <w:ind w:left="0" w:firstLine="0"/>
        <w:jc w:val="both"/>
        <w:rPr>
          <w:noProof/>
          <w:szCs w:val="24"/>
        </w:rPr>
      </w:pPr>
      <w:r>
        <w:rPr>
          <w:noProof/>
        </w:rPr>
        <w:t xml:space="preserve">Kestävien lentopolttoaineiden hinnat ovat tällä hetkellä 3–10 kertaa korkeammat kuin tavanomaisten polttoaineiden hinnat, mutta niiden odotetaan laskevan huomattavasti tuotantoteknologioiden käyttöönoton laajentumisen myötä. Tutkimus ja </w:t>
      </w:r>
      <w:r>
        <w:rPr>
          <w:noProof/>
        </w:rPr>
        <w:noBreakHyphen/>
        <w:t>innovointitoiminnan lisääminen voisi alentaa kustannuksia merkittävästi. Kun tähän yhdistetään demonstraatiolaitosten ja varhaisen kaupallisen vaiheen laitosten käyttöönotto pääoma- ja toimintakustannusten vähentämiseksi, tuotannon kokonaiskustannuksia olisi mahdollista alentaa 5–27 prosenttia.</w:t>
      </w:r>
      <w:r w:rsidR="009029CA" w:rsidRPr="49B261DD">
        <w:rPr>
          <w:rStyle w:val="FootnoteReference"/>
          <w:noProof/>
        </w:rPr>
        <w:footnoteReference w:id="240"/>
      </w:r>
      <w:r>
        <w:rPr>
          <w:noProof/>
        </w:rPr>
        <w:t xml:space="preserve"> Lisäksi tie-, lento- ja meriliikenteessä käytettävien uusiutuvien polttoaineiden markkinoita ja tuotantolaitoksia voitaisiin kehittää rinnakkain synergioiden luomiseksi kaikilla liikenteen aloilla. Esimerkiksi lentopolttoaineiden tuotanto useiden kehittyneiden biopolttoainereittien avulla luo sivutuotemarkkinat kuorma-autoissa käytettävälle vihreälle dieselille ja laivoissa käytettävälle teollisuusbensiinille. Sivutuotteiden taloudellisen arvon hyödyntäminen voi alentaa primaaripolttoaineen kustannuksia. Kehittyneiden biopolttoaineiden ja muuta kuin biologista alkuperää olevien uusiutuvien polttoaineiden väliset synergiat ovat ratkaisevan tärkeitä myös vihreän vedyn, biogeenisen hiilidioksidin ja niihin liittyvien teknologioiden käytön kannalta. </w:t>
      </w:r>
    </w:p>
    <w:p w14:paraId="200FC665" w14:textId="77777777" w:rsidR="00542BBB" w:rsidRPr="00220722" w:rsidRDefault="00542BBB" w:rsidP="009029CA">
      <w:pPr>
        <w:pStyle w:val="Text2"/>
        <w:spacing w:after="160"/>
        <w:ind w:left="0"/>
        <w:rPr>
          <w:noProof/>
        </w:rPr>
      </w:pPr>
    </w:p>
    <w:p w14:paraId="2C536B31" w14:textId="43B6CA52" w:rsidR="00994548" w:rsidRPr="009029CA" w:rsidRDefault="00D35A8C" w:rsidP="009029CA">
      <w:pPr>
        <w:pStyle w:val="Heading2"/>
        <w:spacing w:after="160"/>
        <w:rPr>
          <w:noProof/>
        </w:rPr>
      </w:pPr>
      <w:bookmarkStart w:id="51" w:name="_Toc194657193"/>
      <w:r>
        <w:rPr>
          <w:noProof/>
        </w:rPr>
        <w:t>Teollisuuden ylijäämälämmön talteenottoteknologiat</w:t>
      </w:r>
      <w:bookmarkEnd w:id="51"/>
    </w:p>
    <w:p w14:paraId="39EA3426" w14:textId="443855C8" w:rsidR="00A54DEB" w:rsidRDefault="00A54DEB" w:rsidP="00A54DEB">
      <w:pPr>
        <w:rPr>
          <w:noProof/>
        </w:rPr>
      </w:pPr>
      <w:r>
        <w:rPr>
          <w:noProof/>
        </w:rPr>
        <w:t>Teollisuusprosesseissa syntyvän ylijäämälämmön talteenottoteknologia ovat ratkaisevan tärkeitä teollisuuden energiatehokkuuden lisäämiseksi.</w:t>
      </w:r>
      <w:r w:rsidRPr="007266ED">
        <w:rPr>
          <w:rStyle w:val="FootnoteReference"/>
          <w:noProof/>
          <w:lang w:eastAsia="en-US"/>
        </w:rPr>
        <w:footnoteReference w:id="241"/>
      </w:r>
      <w:r>
        <w:rPr>
          <w:noProof/>
        </w:rPr>
        <w:t xml:space="preserve"> Käytössä on useita tekniikoita. Yleensä lämpö otetaan ensin talteen (esimerkiksi pakokaasuista) lämmönvaihtimien avulla, minkä jälkeen se voidaan siirtää paikallisesti toiseen prosessiin (esimerkiksi raaka-aineiden esilämmitysprosessiin) joko suoraan tai nesteen välityksellä tai se voidaan syöttää kaukolämpöverkkoon. Talteen otettu lämpö voidaan myös ”jalostaa” (esimerkiksi lämpöpumppujen avulla, ks. 3.6 kohta), jotta sitä voidaan käyttää korkeammassa lämpötilassa tai jäähdytystä varten. Vaihtoehtoisesti se voidaan myös muuntaa mekaaniseksi tai sähköenergiaksi. </w:t>
      </w:r>
    </w:p>
    <w:p w14:paraId="68DF68D3" w14:textId="682631AD" w:rsidR="00A54DEB" w:rsidRPr="007266ED" w:rsidRDefault="00A54DEB" w:rsidP="00A54DEB">
      <w:pPr>
        <w:rPr>
          <w:noProof/>
        </w:rPr>
      </w:pPr>
      <w:r>
        <w:rPr>
          <w:noProof/>
        </w:rPr>
        <w:t>Tässä jaksossa keskitytään lämmön talteenottoon ja muuntamiseen sähköenergiaksi Rankine-prosessin avulla. Kyseisessä prosessissa käytetään lämpöä muuntamaan neste turbiinissa tai sähkögeneraattorissa käytettäväksi höyryksi. Sekä orgaaninen (ORC-prosessi) että perinteinen (SRC) Rankine-prosessi ovat kaupallisesti saatavilla, ja ORC-teknologiaa kehitetään edelleen tutkimus- ja innovointitoimilla. Ylikriittiseen hiilidioksidiin (sCO</w:t>
      </w:r>
      <w:r>
        <w:rPr>
          <w:noProof/>
          <w:vertAlign w:val="subscript"/>
        </w:rPr>
        <w:t>2</w:t>
      </w:r>
      <w:r>
        <w:rPr>
          <w:noProof/>
        </w:rPr>
        <w:t>) perustuva kierto voi olla tehokkaampi ja kompaktimpi ratkaisu, mutta se ei ole vielä kypsä teknologia.</w:t>
      </w:r>
    </w:p>
    <w:p w14:paraId="5DC54A61" w14:textId="5470608E" w:rsidR="00A54DEB" w:rsidRPr="007266ED" w:rsidRDefault="00A54DEB" w:rsidP="00A54DEB">
      <w:pPr>
        <w:rPr>
          <w:noProof/>
        </w:rPr>
      </w:pPr>
      <w:bookmarkStart w:id="52" w:name="_Toc180741972"/>
      <w:r>
        <w:rPr>
          <w:noProof/>
        </w:rPr>
        <w:t>EU:ssa teollisuuden ylijäämälämmön teoreettiseksi tuotantopotentiaaliksi on arvioitu 920 terawattituntia vuodessa, mikä vastaa 279 terawattitunnin Carnot-potentiaalia.</w:t>
      </w:r>
      <w:r w:rsidRPr="00CD03D3">
        <w:rPr>
          <w:rStyle w:val="FootnoteReference"/>
          <w:noProof/>
        </w:rPr>
        <w:footnoteReference w:id="242"/>
      </w:r>
      <w:r>
        <w:rPr>
          <w:noProof/>
        </w:rPr>
        <w:t xml:space="preserve"> Lisäksi on arvioitu, että unionin teollisuusprosesseista peräisin olevasta ylijäämäenergiasta voitaisiin tuottaa ORC-voimaloissa vuosittain 150 terawattituntia sähköä.</w:t>
      </w:r>
      <w:r w:rsidRPr="007266ED">
        <w:rPr>
          <w:rStyle w:val="FootnoteReference"/>
          <w:noProof/>
        </w:rPr>
        <w:footnoteReference w:id="243"/>
      </w:r>
    </w:p>
    <w:p w14:paraId="24AEE2C5" w14:textId="77777777" w:rsidR="0046683E" w:rsidRDefault="00A54DEB" w:rsidP="00A54DEB">
      <w:pPr>
        <w:rPr>
          <w:noProof/>
        </w:rPr>
      </w:pPr>
      <w:r>
        <w:rPr>
          <w:noProof/>
        </w:rPr>
        <w:t>Maailmanlaajuisten ORC-markkinoiden arvoksi arvioitiin 750 miljoonaa euroa vuonna 2023, ja markkinoiden ennustetaan kasvavan.</w:t>
      </w:r>
      <w:r w:rsidRPr="00D37303">
        <w:rPr>
          <w:rStyle w:val="FootnoteReference"/>
          <w:noProof/>
        </w:rPr>
        <w:footnoteReference w:id="244"/>
      </w:r>
      <w:r>
        <w:rPr>
          <w:noProof/>
        </w:rPr>
        <w:t xml:space="preserve"> ORC-teknologiaa sovelletaan pääasiassa geotermiseen energiaan (77 %), teollisuuden ylijäämälämmön talteenottoon (11 %) ja biomassaan (10 %).</w:t>
      </w:r>
      <w:r w:rsidR="00242ADA" w:rsidRPr="00D37303">
        <w:rPr>
          <w:rStyle w:val="FootnoteReference"/>
          <w:noProof/>
        </w:rPr>
        <w:footnoteReference w:id="245"/>
      </w:r>
      <w:r>
        <w:rPr>
          <w:noProof/>
        </w:rPr>
        <w:t xml:space="preserve"> </w:t>
      </w:r>
      <w:bookmarkEnd w:id="52"/>
      <w:r>
        <w:rPr>
          <w:noProof/>
        </w:rPr>
        <w:t xml:space="preserve">ORC- ja SRC-järjestelmien pääkomponentteja ovat lämmönvaihtimet, lauhduttimet, syöttöpumput ja turbiini-generaattori-yhdistelmät. Käytetyt materiaalit ovat teräs, alumiini ja (orgaaniset) nesteet, generaattorin kupari ja magneetit sekä muut ohjauselektroniikan komponentit. </w:t>
      </w:r>
    </w:p>
    <w:p w14:paraId="06A1CF60" w14:textId="6FDA4C52" w:rsidR="00A54DEB" w:rsidRPr="00D37303" w:rsidRDefault="00A54DEB" w:rsidP="00A54DEB">
      <w:pPr>
        <w:rPr>
          <w:noProof/>
        </w:rPr>
      </w:pPr>
      <w:r>
        <w:rPr>
          <w:noProof/>
        </w:rPr>
        <w:t>Euroopassa on suuri määrä ORC-järjestelmien valmistajia ja paljon alaan liittyvää innovointitoimintaa. Yksi yhdysvaltalaisyritys ja kaksi EU:n yritystä ovat vallanneet suurimman osuuden maailmanlaajuisista ORC-markkinoista (78 prosenttia vuosina 2016–2020).</w:t>
      </w:r>
      <w:r w:rsidRPr="00D37303">
        <w:rPr>
          <w:rStyle w:val="FootnoteReference"/>
          <w:noProof/>
        </w:rPr>
        <w:footnoteReference w:id="246"/>
      </w:r>
      <w:r>
        <w:rPr>
          <w:noProof/>
        </w:rPr>
        <w:t xml:space="preserve"> Euroopalla on johtoasema ORC-teknologiaa koskevassa T&amp;K-toiminnassa</w:t>
      </w:r>
      <w:r w:rsidRPr="00D37303">
        <w:rPr>
          <w:rStyle w:val="FootnoteReference"/>
          <w:noProof/>
        </w:rPr>
        <w:footnoteReference w:id="247"/>
      </w:r>
      <w:r>
        <w:rPr>
          <w:noProof/>
        </w:rPr>
        <w:t>, mutta kiinnostus aihetta kohtaan on lisääntynyt maailmanlaajuisesti: ORC:tä käsittelevien tieteellisten julkaisujen määrä on yli kaksinkertaistunut vuosiin 2014–2018 verrattuna, ja vuosina 2019–2023 julkaistiin 3 329 tutkimusta. Tästä määrästä 523 tutkimusta julkaistiin EU:ssa, joka sijoittui toiseksi Kiinan (860) jälkeen ja ennen Irania (368), Yhdistynyttä kuningaskuntaa (176) ja Yhdysvaltoja (165).</w:t>
      </w:r>
      <w:r w:rsidRPr="00D37303">
        <w:rPr>
          <w:rStyle w:val="FootnoteReference"/>
          <w:noProof/>
        </w:rPr>
        <w:footnoteReference w:id="248"/>
      </w:r>
      <w:r>
        <w:rPr>
          <w:noProof/>
        </w:rPr>
        <w:t xml:space="preserve"> </w:t>
      </w:r>
    </w:p>
    <w:p w14:paraId="089D48E8" w14:textId="725636FA" w:rsidR="00A54DEB" w:rsidRPr="007266ED" w:rsidRDefault="00A54DEB" w:rsidP="00A54DEB">
      <w:pPr>
        <w:rPr>
          <w:noProof/>
        </w:rPr>
      </w:pPr>
      <w:bookmarkStart w:id="53" w:name="_Toc180741977"/>
      <w:r>
        <w:rPr>
          <w:noProof/>
        </w:rPr>
        <w:t>Rankine-prosessin ja muiden lämmön talteenottoteknologioiden käyttöönoton tiellä on edelleen tiettyjä esteitä, jotka haittaavat alan jatkokehitystä.</w:t>
      </w:r>
      <w:bookmarkEnd w:id="53"/>
      <w:r>
        <w:rPr>
          <w:noProof/>
        </w:rPr>
        <w:t xml:space="preserve"> Lämmön talteenoton alku- ja ylläpitovaiheen kustannukset sekä tuotetun sähkön hinta voivat vaihdella, mikä johtaa erilaisiin takaisinmaksuaikoihin</w:t>
      </w:r>
      <w:r w:rsidR="00C268C0">
        <w:rPr>
          <w:rStyle w:val="FootnoteReference"/>
          <w:noProof/>
        </w:rPr>
        <w:footnoteReference w:id="249"/>
      </w:r>
      <w:r>
        <w:rPr>
          <w:noProof/>
        </w:rPr>
        <w:t xml:space="preserve">. Lisäksi lämmön saatavuus tulevaisuudessa voi olla epävarmaa, koska teollisuuden prosesseissa voi tapahtua muutoksia (esimerkiksi sähköistymisen vuoksi). </w:t>
      </w:r>
    </w:p>
    <w:p w14:paraId="19FAC748" w14:textId="28E79E6B" w:rsidR="00FD6788" w:rsidRPr="00A54DEB" w:rsidRDefault="00A54DEB" w:rsidP="00A54DEB">
      <w:pPr>
        <w:rPr>
          <w:noProof/>
        </w:rPr>
      </w:pPr>
      <w:r>
        <w:rPr>
          <w:noProof/>
        </w:rPr>
        <w:t>Prosessi- ja laitoskohtaiset ominaispiirteet lisäävät lämmön talteenottojärjestelmien suunnittelun ja asentamisen vaatimaa työmäärää. Ylijäämälämmön talteenoton käyttöönotto ja toimitusketju hyötyisivät standardoiduista komponenteista, jotka on suunniteltu täyttämään useimpien tietyllä teollisuuden alasektorilla toimivien laitosten tarpeet. EU:n tasolla tiedonvaihdon jatkaminen teknologian tuottajien ja loppukäyttäjien välillä, mahdollisesti strategisen energiateknologiasuunnitelman puitteissa, voisi auttaa vauhdittamaan käyttöönottoa ja vahvistamaan EU:n kilpailukykyä.</w:t>
      </w:r>
    </w:p>
    <w:p w14:paraId="04E42372" w14:textId="77777777" w:rsidR="00994548" w:rsidRPr="00220722" w:rsidRDefault="00994548" w:rsidP="00FD6788">
      <w:pPr>
        <w:pStyle w:val="Text2"/>
        <w:spacing w:after="160"/>
        <w:ind w:left="0"/>
        <w:rPr>
          <w:noProof/>
        </w:rPr>
      </w:pPr>
    </w:p>
    <w:p w14:paraId="63B37075" w14:textId="77777777" w:rsidR="00B41049" w:rsidRPr="009029CA" w:rsidRDefault="00B41049" w:rsidP="009029CA">
      <w:pPr>
        <w:pStyle w:val="Heading1"/>
        <w:spacing w:before="0" w:after="160"/>
        <w:rPr>
          <w:noProof/>
        </w:rPr>
      </w:pPr>
      <w:bookmarkStart w:id="54" w:name="_Toc194657194"/>
      <w:r>
        <w:rPr>
          <w:noProof/>
        </w:rPr>
        <w:t>Päätelmät</w:t>
      </w:r>
      <w:bookmarkEnd w:id="54"/>
    </w:p>
    <w:p w14:paraId="00F01BB4" w14:textId="68175C91" w:rsidR="008303BC" w:rsidRPr="005D02DC" w:rsidRDefault="008303BC" w:rsidP="005004EB">
      <w:pPr>
        <w:rPr>
          <w:rFonts w:eastAsia="Times New Roman"/>
          <w:noProof/>
          <w:kern w:val="0"/>
          <w14:ligatures w14:val="none"/>
        </w:rPr>
      </w:pPr>
      <w:r>
        <w:rPr>
          <w:b/>
          <w:noProof/>
        </w:rPr>
        <w:t>Nettonollateknologiat tarjoavat EU:lle merkittäviä taloudellisia mahdollisuuksia, ja ne ovat myös olennaisen tärkeitä energiasiirtymän kannalta</w:t>
      </w:r>
      <w:r>
        <w:rPr>
          <w:noProof/>
        </w:rPr>
        <w:t>. Keskeisten puhtaiden energiateknologioiden maailmanmarkkinat saattavat lähes kolminkertaistua noin 1,9 biljoonaan euroon vuoteen 2035 mennessä.</w:t>
      </w:r>
      <w:r w:rsidRPr="005D02DC">
        <w:rPr>
          <w:rStyle w:val="FootnoteReference"/>
          <w:rFonts w:eastAsia="Times New Roman"/>
          <w:noProof/>
          <w:kern w:val="0"/>
        </w:rPr>
        <w:footnoteReference w:id="250"/>
      </w:r>
      <w:r>
        <w:rPr>
          <w:noProof/>
        </w:rPr>
        <w:t xml:space="preserve"> Unionin teollisuudella voi olla keskeinen rooli näiden teknologioiden tuottamisessa unionin vahvan teollisen perustan ja tutkimus- ja innovointitoiminnan ansiosta. Mikään muu teknologia-ala, jolla EU:lla on yhtä hyvät mahdollisuudet, ei välttämättä kykene yhtä nopeaan kasvuun.</w:t>
      </w:r>
    </w:p>
    <w:p w14:paraId="1663701B" w14:textId="03D8E469" w:rsidR="008303BC" w:rsidRPr="005D02DC" w:rsidRDefault="6D8C93D3" w:rsidP="008303BC">
      <w:pPr>
        <w:rPr>
          <w:rFonts w:eastAsia="Times New Roman"/>
          <w:noProof/>
          <w:kern w:val="0"/>
          <w14:ligatures w14:val="none"/>
        </w:rPr>
      </w:pPr>
      <w:r>
        <w:rPr>
          <w:b/>
          <w:noProof/>
        </w:rPr>
        <w:t>EU on edelleen yksi suurimmista nettonollateknologioiden markkinoista maailmassa</w:t>
      </w:r>
      <w:r>
        <w:rPr>
          <w:noProof/>
        </w:rPr>
        <w:t>. EU:n uusiutuvat energialähteet ovat kustannuksiltaan erittäin kilpailukykyisiä, ja niiden osuus unionissa vuonna 2024 tuotetusta sähköstä oli 48 prosenttia. Samaan aikaan energian hinnat ovat EU:ssa edelleen huomattavasti korkeammat kuin monissa muissa suurissa talouksissa, erityisesti Yhdysvalloissa ja Kiinassa. Tämä on rakenteellinen haitta paitsi unionin teollisuudelle ja erityisesti energiavaltaiselle teollisuudelle myös monien EU:n nettonollateknologiavalmistajien kilpailukyvylle. Nettonollateknologioista tulee entistäkin tärkeämpiä, kun EU jatkaa energiasiirtymän edistämistä, lisää sähköistämistä ja vähentää riippuvuuttaan fossiilisista polttoaineista. Unionin valmistajien kilpailukyky ratkaisee, toteutetaanko tämä siirtymä olennaisin osin sisäisesti tuotettujen ratkaisujen vai tuontiratkaisujen pohjalta. Kyse ei ole ainoastaan toimitusvarmuudesta vaan myös vauraudesta ja työllisyydestä.</w:t>
      </w:r>
    </w:p>
    <w:p w14:paraId="7FD0799F" w14:textId="211EB509" w:rsidR="008303BC" w:rsidRDefault="6D8C93D3" w:rsidP="008303BC">
      <w:pPr>
        <w:rPr>
          <w:rFonts w:eastAsia="Times New Roman"/>
          <w:noProof/>
          <w:kern w:val="0"/>
          <w14:ligatures w14:val="none"/>
        </w:rPr>
      </w:pPr>
      <w:r>
        <w:rPr>
          <w:b/>
          <w:noProof/>
        </w:rPr>
        <w:t>EU:lla on edelleen hyvä asema puhtaiden energiateknologioiden tutkimuksessa, mutta se on yhä jäljessä yksityisissä T&amp;I-investoinneissa</w:t>
      </w:r>
      <w:r>
        <w:rPr>
          <w:noProof/>
        </w:rPr>
        <w:t xml:space="preserve">. Horisontti Eurooppa </w:t>
      </w:r>
      <w:r>
        <w:rPr>
          <w:noProof/>
        </w:rPr>
        <w:noBreakHyphen/>
        <w:t xml:space="preserve">puiteohjelmasta tuetaan edelleen puhtaita energiateknologioita ja niiden kilpailukykyä koskevaa tutkimusta ja innovointia, kuten toimia, joilla pyritään lisäämään yksityisiä investointeja eurooppalaisten kumppanuuksien kautta. Samaan aikaan yksityisiin T&amp;I-investointeihin ja yritystoiminnan laajentamiseen liittyvät pitkään tiedossa olleet haasteet jarruttavat unionin edistymistä edelleen. Vuonna 2023 EU suoriutui hieman paremmin riskipääoman houkuttelussa puhtaan energiateknologian alalle, mutta tämä perustui vain muutamaan merkittävään rahoitussopimukseen. Tämä on keskeinen tekijä, joka selittää vuoden 2024 alustavien tietojen osoittamaa riskipääoman määrän laskua alalla. Se korostaa myös tarvetta jatkaa EU:n toimia saada liikkeelle yksityistä rahoitusta, jotta yritykset voivat laajentaa toimintaansa. </w:t>
      </w:r>
    </w:p>
    <w:p w14:paraId="7BD6CED8" w14:textId="4E081B38" w:rsidR="008303BC" w:rsidRDefault="6D8C93D3" w:rsidP="008303BC">
      <w:pPr>
        <w:rPr>
          <w:rFonts w:eastAsia="Times New Roman"/>
          <w:noProof/>
          <w:kern w:val="0"/>
          <w14:ligatures w14:val="none"/>
        </w:rPr>
      </w:pPr>
      <w:r>
        <w:rPr>
          <w:b/>
          <w:noProof/>
        </w:rPr>
        <w:t>Kustannuskilpailun lisääntyessä EU:n kilpailukyky ja tuotanto ovat vaarassa heikentyä entisestään</w:t>
      </w:r>
      <w:r>
        <w:rPr>
          <w:noProof/>
        </w:rPr>
        <w:t>. Kiina hallitsee jo aurinkosähkö- ja akkualan maailmanlaajuista tuotantoa, ja sen odotetaan tulevina vuosina lisäävän merkittävästi valmistuskapasiteettiaan uusien puhtaiden energiateknologioiden alalla. EU:n kehittyvän akkuteollisuuden ongelmat lisätä tuotantoa osoittavat, millaisia valtavia haasteita liittyy sellaisten teknologioiden laajamittaisen valmistuskapasiteetin kehittämiseen, joiden tuotannon painopiste ja valmistusosaaminen ovat siirtyneet Euroopan ulkopuolelle huomattavista julkisista ja yksityisistä investoinneista huolimatta. Tulevina vuosina selviää, voiko unionin nykyinen aurinkoenergia- ja akkualan T&amp;I-asiantuntemus auttaa elvyttämään näitä aloja EU:ssa esimerkiksi tutkimalla vähemmän kriittisiä raaka-aineita vaativia ratkaisuja.</w:t>
      </w:r>
    </w:p>
    <w:p w14:paraId="7ACA2349" w14:textId="3871B0A0" w:rsidR="008303BC" w:rsidRDefault="008303BC" w:rsidP="008303BC">
      <w:pPr>
        <w:rPr>
          <w:rFonts w:eastAsia="Times New Roman"/>
          <w:noProof/>
          <w:kern w:val="0"/>
          <w14:ligatures w14:val="none"/>
        </w:rPr>
      </w:pPr>
      <w:r>
        <w:rPr>
          <w:b/>
          <w:noProof/>
        </w:rPr>
        <w:t>EU:lla on edelleen vahva asema useiden nettonollateknologioiden, kuten tuulienergian ja lämpöpumppujen, valmistuksessa</w:t>
      </w:r>
      <w:r>
        <w:rPr>
          <w:noProof/>
        </w:rPr>
        <w:t>. Molempien teknologioiden merkitys kasvaa edelleen maailmanlaajuisesti, ja arvioiden mukaan valmistuskapasiteetti saattaa olla riittämätön odotettuun maailmanlaajuiseen kysyntään verrattuna. Vaikka unionin tuulivoimateollisuudella on edelleen hyvä asema, kiinalaisia kilpailijoita on alkanut tulla maailmanmarkkinoille, ja EU:n yritykset ovat jo menettäneet markkinaosuuksia viime vuosina. Lämpöpumppuratkaisuilla on tulevaisuudessa keskeinen rooli sekä kotitalouksien että teollisuuden lämmitystarpeisiin vastaamisessa. EU:n asema on edelleen vahva, mutta ala tarvitsee uutta vauhtia. Näille strategisille teollisuudenaloille tarvitaan lisätukea unionin arvoketjujen vahvistamiseksi.</w:t>
      </w:r>
    </w:p>
    <w:p w14:paraId="37B89A3C" w14:textId="37D53074" w:rsidR="008303BC" w:rsidRPr="005D02DC" w:rsidRDefault="008303BC" w:rsidP="008303BC">
      <w:pPr>
        <w:rPr>
          <w:rFonts w:eastAsia="Times New Roman"/>
          <w:noProof/>
          <w:kern w:val="0"/>
          <w:szCs w:val="20"/>
          <w14:ligatures w14:val="none"/>
        </w:rPr>
      </w:pPr>
      <w:r>
        <w:rPr>
          <w:b/>
          <w:noProof/>
        </w:rPr>
        <w:t>On muitakin vakiintuneita teknologioita, joissa unionin teollisuudenalat ovat kilpailukykyisiä ja voivat edelleen kasvaa.</w:t>
      </w:r>
      <w:r>
        <w:rPr>
          <w:noProof/>
        </w:rPr>
        <w:t xml:space="preserve"> EU:ssa on esimerkiksi kehittynyt biokaasu- ja biometaaniteollisuus. Unioniin sijoittautuneilla yrityksillä on myös vahva asema sähköverkon komponenttien tuotannossa, ja näiden komponenttien kysyntä kasvaa maailmanlaajuisesti sähköistymisen lisääntyessä. Alaan kohdistuu kuitenkin todennäköisesti voimakkaampaa kilpailua tulevaisuudessa. Kuten monien muiden nettonollateknologioiden tapauksessa, verkkokomponenttien valmistus on vahvasti riippuvainen tietyistä materiaaleista, kuten kuparista ja erikoisteräksestä. EU:n teollisuudella on myös pitkät perinteet vesivoiman alalla, mutta se on menettänyt osuuttaan maailmanmarkkinoista viime vuosina. Vesivoima-alalla on hyödyntämättömiä mahdollisuuksia myös unionin sisällä. Pumppuvesivoiman laajentaminen, muun muassa suorittamalla jälkiasennuksia nykyisissä laitoksissa, voisi auttaa lisäämään verkon joustavuutta.</w:t>
      </w:r>
    </w:p>
    <w:p w14:paraId="4001CD3C" w14:textId="344C248B" w:rsidR="008303BC" w:rsidRPr="005D02DC" w:rsidRDefault="008303BC" w:rsidP="008303BC">
      <w:pPr>
        <w:rPr>
          <w:rFonts w:eastAsia="Times New Roman"/>
          <w:noProof/>
          <w:kern w:val="0"/>
          <w14:ligatures w14:val="none"/>
        </w:rPr>
      </w:pPr>
      <w:r>
        <w:rPr>
          <w:b/>
          <w:noProof/>
        </w:rPr>
        <w:t>Lisäksi kehitteillä on useita teknologioita, jotka tarvitsevat lisätukea kaupallisten mahdollisuuksien demonstroimiseksi</w:t>
      </w:r>
      <w:r>
        <w:rPr>
          <w:noProof/>
        </w:rPr>
        <w:t xml:space="preserve">. Tämä koskee esimerkiksi valtamerienergiateknologioita, pieniä modulaarisia reaktoreita, kestäviä vaihtoehtoisia polttoaineita sekä hiilidioksidin talteenottoa ja varastointia. Nämä teknologiat edellyttävät kohdennettua tukea, jotta niiden kaupallista kannattavuutta voidaan parantaa ja jotta niitä voidaan ottaa käyttöön laajemmassa mittakaavassa. </w:t>
      </w:r>
    </w:p>
    <w:p w14:paraId="202B3DAE" w14:textId="2B7166A1" w:rsidR="008303BC" w:rsidRPr="006929D1" w:rsidRDefault="008303BC" w:rsidP="008303BC">
      <w:pPr>
        <w:rPr>
          <w:rFonts w:eastAsia="Times New Roman"/>
          <w:noProof/>
          <w:kern w:val="0"/>
          <w14:ligatures w14:val="none"/>
        </w:rPr>
      </w:pPr>
      <w:r>
        <w:rPr>
          <w:b/>
          <w:noProof/>
        </w:rPr>
        <w:t>Innovoinnilla on keskeinen rooli EU:n kilpailukyvyn parantamisessa: se tuottaa markkinoille uusia teknologioita ja auttaa parantamaan olemassa olevia ratkaisuja</w:t>
      </w:r>
      <w:r>
        <w:rPr>
          <w:noProof/>
        </w:rPr>
        <w:t>. Tutkimusta ja innovointia tarvitaan myös tehokkuuden lisäämiseksi, ja se voi vähentää riippuvuutta kriittisistä raaka-aineista, kuten litiumista akkuteknologiassa. Myös kiertotalouden ja kestävyyden edistämiseksi tarvitaan lisätoimia, jotta esimerkiksi PFAS-kemikaalien käyttö elektrolyysilaitteissa voidaan lopettaa. Investoinnit nettonollateknologioihin kasvavat maailmanlaajuisesti, ja EU:n on lisättävä toimiaan, jotta se voi pysyä T&amp;I-kehityksessä mukana. Tämä on huomioitu äskettäisen kilpailukykykompassin painopisteessä, jossa keskitytään innovaatiokuilun umpeen kuromiseen. Hiljattain vahvistetulla strategisella energiateknologiasuunnitelmalla on keskeinen rooli tutkimuksen painopisteiden koordinoinnissa ja yhdenmukaistamisessa, koska se kokoaa yhteen julkisia ja yksityisiä sidosryhmiä ja lisää jäsenvaltioiden T&amp;I-menojen tehokkuutta muun muassa puhtaaseen energiaan siirtymistä koskevan kumppanuuden (CETP)</w:t>
      </w:r>
      <w:r w:rsidR="00223DE1">
        <w:rPr>
          <w:rStyle w:val="FootnoteReference"/>
          <w:rFonts w:eastAsia="Times New Roman"/>
          <w:noProof/>
          <w:kern w:val="0"/>
        </w:rPr>
        <w:footnoteReference w:id="251"/>
      </w:r>
      <w:r>
        <w:rPr>
          <w:noProof/>
        </w:rPr>
        <w:t xml:space="preserve"> avulla. </w:t>
      </w:r>
    </w:p>
    <w:p w14:paraId="35EA0F9B" w14:textId="0B844BFE" w:rsidR="008303BC" w:rsidRDefault="008303BC" w:rsidP="008303BC">
      <w:pPr>
        <w:rPr>
          <w:rFonts w:eastAsia="Times New Roman"/>
          <w:noProof/>
          <w:color w:val="000000" w:themeColor="text1"/>
          <w:kern w:val="0"/>
          <w:szCs w:val="20"/>
          <w14:ligatures w14:val="none"/>
        </w:rPr>
      </w:pPr>
      <w:r>
        <w:rPr>
          <w:b/>
          <w:noProof/>
          <w:color w:val="000000" w:themeColor="text1"/>
        </w:rPr>
        <w:t>Jotta EU voi saada parhaan mahdollisen taloudellisen hyödyn maailmanlaajuisesta energiasiirtymästä,</w:t>
      </w:r>
      <w:r>
        <w:rPr>
          <w:b/>
          <w:noProof/>
        </w:rPr>
        <w:t xml:space="preserve"> unionin valmistuskapasiteettia on lisättävä</w:t>
      </w:r>
      <w:r>
        <w:rPr>
          <w:noProof/>
          <w:color w:val="000000" w:themeColor="text1"/>
        </w:rPr>
        <w:t xml:space="preserve">. Arvoketjuihin perustuva lähestymistapa on edelleen ratkaisevan tärkeä, koska siinä otetaan huomioon koko ketju raaka-aineista ja energiavaltaisesta materiaalituotannosta valmistukseen ja lopulliseen asennukseen saakka. </w:t>
      </w:r>
      <w:r>
        <w:rPr>
          <w:noProof/>
        </w:rPr>
        <w:t xml:space="preserve">Osaamisvaje pysyy myös tulevina vuosina merkittävänä haasteena, joka on korjattava, jotta ala voi menestyä. </w:t>
      </w:r>
    </w:p>
    <w:p w14:paraId="6F658D84" w14:textId="1ABF7415" w:rsidR="008303BC" w:rsidRPr="005D02DC" w:rsidRDefault="008303BC" w:rsidP="008303BC">
      <w:pPr>
        <w:rPr>
          <w:rFonts w:eastAsia="Times New Roman"/>
          <w:noProof/>
          <w:kern w:val="0"/>
          <w14:ligatures w14:val="none"/>
        </w:rPr>
      </w:pPr>
      <w:r>
        <w:rPr>
          <w:b/>
          <w:noProof/>
          <w:color w:val="000000" w:themeColor="text1"/>
        </w:rPr>
        <w:t>Nettonollateollisuussäädöksen täytäntöönpano voi olla keskeisessä asemassa koordinoidun tuen tarjoamisessa EU:n nettonollateknologian valmistusalalle</w:t>
      </w:r>
      <w:r>
        <w:rPr>
          <w:noProof/>
          <w:color w:val="000000" w:themeColor="text1"/>
        </w:rPr>
        <w:t xml:space="preserve">. Tämä edellyttää kaikkien säädöksen tarjoamien välineiden hyödyntämistä, mukaan lukien lupamenettelyt ja muiden kuin hintaan perustuvien perusteiden käyttö julkisissa hankintamenettelyissä ja huutokaupoissa. Euroopan nettonollafoorumilla on tärkeä rooli EU:n politiikan koordinoinnissa ja teollisuuden kanssa tehtävässä yhteistyössä. </w:t>
      </w:r>
      <w:r>
        <w:rPr>
          <w:noProof/>
        </w:rPr>
        <w:t xml:space="preserve">Nettonollateollisuussäädöksen voimaantulon myötä tämä kilpailukyvyn edistymistä koskeva kertomus on nyt säädöksen tärkein seurantaväline. Tulevina vuosina kertomuksessa seurataan edelleen tiiviisti EU:n kilpailukyvyn kehitystä nettonollateknologioiden alalla, mutta siinä tarkastellaan myös nettonollateollisuussäädöksen täytäntöönpanoon liittyviä kysymyksiä. </w:t>
      </w:r>
    </w:p>
    <w:p w14:paraId="4327C106" w14:textId="15FE480D" w:rsidR="00651F94" w:rsidRDefault="00E46F9F" w:rsidP="009029CA">
      <w:pPr>
        <w:rPr>
          <w:rFonts w:eastAsia="Times New Roman"/>
          <w:noProof/>
          <w:kern w:val="0"/>
          <w:szCs w:val="20"/>
          <w14:ligatures w14:val="none"/>
        </w:rPr>
      </w:pPr>
      <w:r>
        <w:rPr>
          <w:b/>
          <w:noProof/>
        </w:rPr>
        <w:t>Kilpailukykykompassin, puhtaan teollisen kehityksen ohjelman ja kohtuuhintaista energiaa koskevan toimintasuunnitelman myötä komissio on asettanut EU:n kilpailukyvyn vahvistamisen tulevien vuosien suunnitelmiensa keskiöön</w:t>
      </w:r>
      <w:r>
        <w:rPr>
          <w:noProof/>
        </w:rPr>
        <w:t xml:space="preserve">. Näissä kolmessa asiakirjassa hahmotellaan keskeisiä toimia, jotka perustuvat nettonollateknologia-alan tuloksiin ja vahvistavat alaa. Niihin kuuluvat muun muassa Euroopan teollisuuden vähähiilistämiseen ja kilpailukykyyn tähtäävä yhteinen etenemissuunnitelma, josta säädetään puhtaan teollisen kehityksen ohjelmassa, sekä kohtuuhintaista energiaa koskevassa toimintasuunnitelmassa suunnitellut toimet, joiden tarkoituksena on parantaa kohtuuhintaisen energian saatavuutta. </w:t>
      </w:r>
    </w:p>
    <w:p w14:paraId="780D30D1" w14:textId="313F1DC4" w:rsidR="00E43825" w:rsidRPr="008303BC" w:rsidRDefault="008303BC" w:rsidP="009029CA">
      <w:pPr>
        <w:rPr>
          <w:rFonts w:eastAsia="Times New Roman"/>
          <w:noProof/>
          <w:kern w:val="0"/>
          <w:szCs w:val="20"/>
          <w14:ligatures w14:val="none"/>
        </w:rPr>
      </w:pPr>
      <w:r>
        <w:rPr>
          <w:b/>
          <w:noProof/>
        </w:rPr>
        <w:t>Tätä taustaa vasten komissio jatkaa nettonollateknologioiden tukemista</w:t>
      </w:r>
      <w:r>
        <w:rPr>
          <w:noProof/>
        </w:rPr>
        <w:t xml:space="preserve"> paitsi tärkeänä teollisuuden alana myös teknologioina, jotka mahdollistavat laajemman talouden hiilestä irtautumisen. Tämä edellyttää jatkuvia koordinoituja toimia sekä EU:n että kansallisella tasolla.</w:t>
      </w:r>
    </w:p>
    <w:sectPr w:rsidR="00E43825" w:rsidRPr="008303BC" w:rsidSect="00D13C0F">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B656E" w14:textId="77777777" w:rsidR="005115F6" w:rsidRDefault="005115F6" w:rsidP="00994548">
      <w:r>
        <w:separator/>
      </w:r>
    </w:p>
  </w:endnote>
  <w:endnote w:type="continuationSeparator" w:id="0">
    <w:p w14:paraId="60AD3265" w14:textId="77777777" w:rsidR="005115F6" w:rsidRDefault="005115F6" w:rsidP="00994548">
      <w:r>
        <w:continuationSeparator/>
      </w:r>
    </w:p>
  </w:endnote>
  <w:endnote w:type="continuationNotice" w:id="1">
    <w:p w14:paraId="342BEC72" w14:textId="77777777" w:rsidR="005115F6" w:rsidRDefault="005115F6" w:rsidP="009945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Montserrat">
    <w:altName w:val="Times New Roman"/>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F81D6" w14:textId="6773F9E8" w:rsidR="00174E45" w:rsidRPr="00174E45" w:rsidRDefault="00174E45" w:rsidP="00174E45">
    <w:pPr>
      <w:pStyle w:val="FooterCoverPage"/>
      <w:rPr>
        <w:rFonts w:ascii="Arial" w:hAnsi="Arial" w:cs="Arial"/>
        <w:b/>
        <w:sz w:val="48"/>
      </w:rPr>
    </w:pPr>
    <w:r w:rsidRPr="00174E45">
      <w:rPr>
        <w:rFonts w:ascii="Arial" w:hAnsi="Arial" w:cs="Arial"/>
        <w:b/>
        <w:sz w:val="48"/>
      </w:rPr>
      <w:t>FI</w:t>
    </w:r>
    <w:r w:rsidRPr="00174E45">
      <w:rPr>
        <w:rFonts w:ascii="Arial" w:hAnsi="Arial" w:cs="Arial"/>
        <w:b/>
        <w:sz w:val="48"/>
      </w:rPr>
      <w:tab/>
    </w:r>
    <w:r w:rsidRPr="00174E45">
      <w:rPr>
        <w:rFonts w:ascii="Arial" w:hAnsi="Arial" w:cs="Arial"/>
        <w:b/>
        <w:sz w:val="48"/>
      </w:rPr>
      <w:tab/>
    </w:r>
    <w:r w:rsidRPr="00174E45">
      <w:tab/>
    </w:r>
    <w:r w:rsidRPr="00174E45">
      <w:rPr>
        <w:rFonts w:ascii="Arial" w:hAnsi="Arial" w:cs="Arial"/>
        <w:b/>
        <w:sz w:val="48"/>
      </w:rP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0D2DC" w14:textId="760E5242" w:rsidR="00174E45" w:rsidRPr="00174E45" w:rsidRDefault="00174E45" w:rsidP="00174E45">
    <w:pPr>
      <w:pStyle w:val="FooterCoverPage"/>
      <w:rPr>
        <w:rFonts w:ascii="Arial" w:hAnsi="Arial" w:cs="Arial"/>
        <w:b/>
        <w:sz w:val="48"/>
      </w:rPr>
    </w:pPr>
    <w:r w:rsidRPr="00174E45">
      <w:rPr>
        <w:rFonts w:ascii="Arial" w:hAnsi="Arial" w:cs="Arial"/>
        <w:b/>
        <w:sz w:val="48"/>
      </w:rPr>
      <w:t>FI</w:t>
    </w:r>
    <w:r w:rsidRPr="00174E45">
      <w:rPr>
        <w:rFonts w:ascii="Arial" w:hAnsi="Arial" w:cs="Arial"/>
        <w:b/>
        <w:sz w:val="48"/>
      </w:rPr>
      <w:tab/>
    </w:r>
    <w:r w:rsidRPr="00174E45">
      <w:rPr>
        <w:rFonts w:ascii="Arial" w:hAnsi="Arial" w:cs="Arial"/>
        <w:b/>
        <w:sz w:val="48"/>
      </w:rPr>
      <w:tab/>
    </w:r>
    <w:r w:rsidRPr="00174E45">
      <w:tab/>
    </w:r>
    <w:r w:rsidRPr="00174E45">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3ECCC" w14:textId="77777777" w:rsidR="00174E45" w:rsidRPr="00174E45" w:rsidRDefault="00174E45" w:rsidP="00174E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8D20" w14:textId="77777777" w:rsidR="0089248B" w:rsidRDefault="008924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214176150"/>
      <w:docPartObj>
        <w:docPartGallery w:val="Page Numbers (Bottom of Page)"/>
        <w:docPartUnique/>
      </w:docPartObj>
    </w:sdtPr>
    <w:sdtEndPr>
      <w:rPr>
        <w:noProof/>
      </w:rPr>
    </w:sdtEndPr>
    <w:sdtContent>
      <w:p w14:paraId="7F4AAEE2" w14:textId="2791E634" w:rsidR="0089248B" w:rsidRPr="009D28A0" w:rsidRDefault="0089248B" w:rsidP="009D28A0">
        <w:pPr>
          <w:pStyle w:val="Footer"/>
          <w:jc w:val="center"/>
          <w:rPr>
            <w:sz w:val="22"/>
            <w:szCs w:val="22"/>
          </w:rPr>
        </w:pPr>
        <w:r w:rsidRPr="009D28A0">
          <w:rPr>
            <w:sz w:val="22"/>
          </w:rPr>
          <w:fldChar w:fldCharType="begin"/>
        </w:r>
        <w:r w:rsidRPr="009D28A0">
          <w:rPr>
            <w:sz w:val="22"/>
          </w:rPr>
          <w:instrText xml:space="preserve"> PAGE   \* MERGEFORMAT </w:instrText>
        </w:r>
        <w:r w:rsidRPr="009D28A0">
          <w:rPr>
            <w:sz w:val="22"/>
          </w:rPr>
          <w:fldChar w:fldCharType="separate"/>
        </w:r>
        <w:r w:rsidR="00174E45">
          <w:rPr>
            <w:noProof/>
            <w:sz w:val="22"/>
          </w:rPr>
          <w:t>10</w:t>
        </w:r>
        <w:r w:rsidRPr="009D28A0">
          <w:rPr>
            <w:sz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9CAD6" w14:textId="77777777" w:rsidR="0089248B" w:rsidRDefault="00892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F0D15" w14:textId="77777777" w:rsidR="005115F6" w:rsidRDefault="005115F6" w:rsidP="00994548">
      <w:r>
        <w:separator/>
      </w:r>
    </w:p>
  </w:footnote>
  <w:footnote w:type="continuationSeparator" w:id="0">
    <w:p w14:paraId="5053681C" w14:textId="77777777" w:rsidR="005115F6" w:rsidRDefault="005115F6" w:rsidP="00994548">
      <w:r>
        <w:continuationSeparator/>
      </w:r>
    </w:p>
  </w:footnote>
  <w:footnote w:type="continuationNotice" w:id="1">
    <w:p w14:paraId="3750BCF3" w14:textId="77777777" w:rsidR="005115F6" w:rsidRDefault="005115F6" w:rsidP="00994548"/>
  </w:footnote>
  <w:footnote w:id="2">
    <w:p w14:paraId="40A3F2DF" w14:textId="03599F1D" w:rsidR="0052635F" w:rsidRPr="008303BC" w:rsidRDefault="0052635F" w:rsidP="00167215">
      <w:pPr>
        <w:pStyle w:val="FootnoteText"/>
        <w:ind w:left="426" w:hanging="426"/>
        <w:rPr>
          <w:szCs w:val="18"/>
        </w:rPr>
      </w:pPr>
      <w:r>
        <w:rPr>
          <w:rStyle w:val="FootnoteReference"/>
          <w:szCs w:val="18"/>
          <w:lang w:val="en-IE"/>
        </w:rPr>
        <w:footnoteRef/>
      </w:r>
      <w:r>
        <w:t xml:space="preserve"> </w:t>
      </w:r>
      <w:r>
        <w:tab/>
        <w:t xml:space="preserve">Eurooppa-neuvosto (2024), Eurooppa-neuvoston ylimääräisen kokouksen (17. ja 18. huhtikuuta 2024) päätelmät; Eurooppa-neuvosto (2024), Budapestin julistus uudesta Euroopan kilpailukykyohjelmasta (7.–8. marraskuuta 2024). </w:t>
      </w:r>
    </w:p>
  </w:footnote>
  <w:footnote w:id="3">
    <w:p w14:paraId="7C3C7F46" w14:textId="3FD4A145" w:rsidR="00167215" w:rsidRPr="00220722" w:rsidRDefault="00167215"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COM(2025) 30 final ja COM(2025) 26 final.</w:t>
      </w:r>
    </w:p>
  </w:footnote>
  <w:footnote w:id="4">
    <w:p w14:paraId="7677B547" w14:textId="531C6A11" w:rsidR="0052635F" w:rsidRPr="00220722" w:rsidRDefault="0052635F" w:rsidP="00435E31">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Mario Draghi, </w:t>
      </w:r>
      <w:hyperlink r:id="rId1" w:history="1">
        <w:r w:rsidRPr="00220722">
          <w:rPr>
            <w:rStyle w:val="Hyperlink"/>
            <w:i/>
            <w:lang w:val="en-IE"/>
          </w:rPr>
          <w:t>The future of European competitiveness</w:t>
        </w:r>
      </w:hyperlink>
      <w:r w:rsidRPr="00220722">
        <w:rPr>
          <w:lang w:val="en-IE"/>
        </w:rPr>
        <w:t>, 2024.</w:t>
      </w:r>
    </w:p>
  </w:footnote>
  <w:footnote w:id="5">
    <w:p w14:paraId="0B61057E" w14:textId="673EB3A3" w:rsidR="0052635F" w:rsidRPr="00220722" w:rsidRDefault="0052635F" w:rsidP="00913358">
      <w:pPr>
        <w:pStyle w:val="FootnoteText"/>
        <w:tabs>
          <w:tab w:val="left" w:pos="720"/>
          <w:tab w:val="left" w:pos="1440"/>
          <w:tab w:val="left" w:pos="2160"/>
          <w:tab w:val="left" w:pos="2880"/>
          <w:tab w:val="left" w:pos="3600"/>
          <w:tab w:val="left" w:pos="5023"/>
          <w:tab w:val="left" w:pos="5126"/>
        </w:tabs>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Enrico Letta, </w:t>
      </w:r>
      <w:hyperlink r:id="rId2" w:history="1">
        <w:r w:rsidRPr="00220722">
          <w:rPr>
            <w:rStyle w:val="Hyperlink"/>
            <w:i/>
            <w:lang w:val="en-IE"/>
          </w:rPr>
          <w:t>Much more than a market</w:t>
        </w:r>
      </w:hyperlink>
      <w:r w:rsidRPr="00220722">
        <w:rPr>
          <w:lang w:val="en-IE"/>
        </w:rPr>
        <w:t>, 2024.</w:t>
      </w:r>
    </w:p>
  </w:footnote>
  <w:footnote w:id="6">
    <w:p w14:paraId="1A45A182" w14:textId="77777777" w:rsidR="0052635F" w:rsidRPr="001108FA" w:rsidRDefault="0052635F" w:rsidP="005C4C78">
      <w:pPr>
        <w:pStyle w:val="FootnoteText"/>
        <w:ind w:left="426" w:hanging="426"/>
        <w:rPr>
          <w:b/>
          <w:bCs/>
          <w:szCs w:val="18"/>
        </w:rPr>
      </w:pPr>
      <w:r>
        <w:rPr>
          <w:rStyle w:val="FootnoteReference"/>
          <w:szCs w:val="18"/>
          <w:lang w:val="en-IE"/>
        </w:rPr>
        <w:footnoteRef/>
      </w:r>
      <w:r>
        <w:t xml:space="preserve"> </w:t>
      </w:r>
      <w:r>
        <w:tab/>
      </w:r>
      <w:hyperlink r:id="rId3" w:history="1">
        <w:r>
          <w:rPr>
            <w:b/>
          </w:rPr>
          <w:t>[LISÄTÄÄN VIITTAUS PUHTAAN TEOLLISEN KEHITYKSEN OHJELMAAN]</w:t>
        </w:r>
      </w:hyperlink>
      <w:r>
        <w:rPr>
          <w:b/>
        </w:rPr>
        <w:t>.</w:t>
      </w:r>
    </w:p>
  </w:footnote>
  <w:footnote w:id="7">
    <w:p w14:paraId="21F1A22E" w14:textId="081A947E" w:rsidR="005C4C78" w:rsidRPr="005C4C78" w:rsidRDefault="005C4C78" w:rsidP="006D05CC">
      <w:pPr>
        <w:pStyle w:val="FootnoteText"/>
        <w:ind w:left="426" w:hanging="426"/>
      </w:pPr>
      <w:r>
        <w:rPr>
          <w:rStyle w:val="FootnoteReference"/>
        </w:rPr>
        <w:footnoteRef/>
      </w:r>
      <w:r>
        <w:t xml:space="preserve"> </w:t>
      </w:r>
      <w:r>
        <w:tab/>
      </w:r>
      <w:hyperlink r:id="rId4" w:history="1">
        <w:r>
          <w:rPr>
            <w:b/>
          </w:rPr>
          <w:t>[LISÄTÄÄN VIITTAUS KOHTUUHINTAISTA ENERGIAA KOSKEVAAN TOIMINTASUUNNITELMAAN]</w:t>
        </w:r>
      </w:hyperlink>
      <w:r>
        <w:rPr>
          <w:b/>
        </w:rPr>
        <w:t>.</w:t>
      </w:r>
    </w:p>
  </w:footnote>
  <w:footnote w:id="8">
    <w:p w14:paraId="7EFA2C54" w14:textId="5CB273BC" w:rsidR="0052635F" w:rsidRPr="008303BC" w:rsidRDefault="0052635F" w:rsidP="00AF2E83">
      <w:pPr>
        <w:pStyle w:val="FootnoteText"/>
        <w:ind w:left="426" w:hanging="426"/>
        <w:rPr>
          <w:szCs w:val="18"/>
        </w:rPr>
      </w:pPr>
      <w:r>
        <w:rPr>
          <w:rStyle w:val="FootnoteReference"/>
          <w:szCs w:val="18"/>
          <w:lang w:val="en-IE"/>
        </w:rPr>
        <w:footnoteRef/>
      </w:r>
      <w:r>
        <w:t xml:space="preserve"> </w:t>
      </w:r>
      <w:r>
        <w:tab/>
        <w:t>EUVL L, 2024/1735, 28.6.2024, 5 artikla.</w:t>
      </w:r>
    </w:p>
  </w:footnote>
  <w:footnote w:id="9">
    <w:p w14:paraId="2329753A" w14:textId="0BE0DB43" w:rsidR="0052635F" w:rsidRPr="008303BC" w:rsidRDefault="0052635F" w:rsidP="00B15713">
      <w:pPr>
        <w:pStyle w:val="FootnoteText"/>
        <w:ind w:left="426" w:hanging="426"/>
        <w:rPr>
          <w:szCs w:val="18"/>
        </w:rPr>
      </w:pPr>
      <w:r>
        <w:rPr>
          <w:rStyle w:val="FootnoteReference"/>
          <w:szCs w:val="18"/>
          <w:lang w:val="en-IE"/>
        </w:rPr>
        <w:footnoteRef/>
      </w:r>
      <w:r>
        <w:t xml:space="preserve"> </w:t>
      </w:r>
      <w:r>
        <w:tab/>
        <w:t xml:space="preserve">Lisätietoja ja CETO-raportteja: </w:t>
      </w:r>
      <w:hyperlink r:id="rId5" w:history="1">
        <w:r>
          <w:rPr>
            <w:rStyle w:val="Hyperlink"/>
          </w:rPr>
          <w:t>puhtaan energiateknologian seurantakeskus</w:t>
        </w:r>
      </w:hyperlink>
      <w:r>
        <w:t>.</w:t>
      </w:r>
    </w:p>
  </w:footnote>
  <w:footnote w:id="10">
    <w:p w14:paraId="1E72B2EA" w14:textId="6240DB84" w:rsidR="004A51D5" w:rsidRPr="006D05CC" w:rsidRDefault="004A51D5" w:rsidP="006D05CC">
      <w:pPr>
        <w:pStyle w:val="FootnoteText"/>
        <w:ind w:left="426" w:hanging="426"/>
      </w:pPr>
      <w:r>
        <w:rPr>
          <w:rStyle w:val="FootnoteReference"/>
        </w:rPr>
        <w:footnoteRef/>
      </w:r>
      <w:r>
        <w:t xml:space="preserve"> </w:t>
      </w:r>
      <w:r>
        <w:tab/>
        <w:t>Eurostat (</w:t>
      </w:r>
      <w:hyperlink r:id="rId6" w:history="1">
        <w:r>
          <w:rPr>
            <w:rStyle w:val="Hyperlink"/>
          </w:rPr>
          <w:t>nrg_pc_204</w:t>
        </w:r>
      </w:hyperlink>
      <w:r>
        <w:t>), sivustolla käyty 12.2.2025.</w:t>
      </w:r>
    </w:p>
  </w:footnote>
  <w:footnote w:id="11">
    <w:p w14:paraId="52287568" w14:textId="3B2A5A89" w:rsidR="00CC7686" w:rsidRPr="00602146" w:rsidRDefault="00CC7686" w:rsidP="006D05CC">
      <w:pPr>
        <w:pStyle w:val="FootnoteText"/>
        <w:ind w:left="426" w:hanging="426"/>
      </w:pPr>
      <w:r>
        <w:rPr>
          <w:rStyle w:val="FootnoteReference"/>
        </w:rPr>
        <w:footnoteRef/>
      </w:r>
      <w:r>
        <w:t xml:space="preserve"> </w:t>
      </w:r>
      <w:r>
        <w:tab/>
        <w:t>Eurostat (</w:t>
      </w:r>
      <w:hyperlink r:id="rId7" w:history="1">
        <w:r>
          <w:rPr>
            <w:rStyle w:val="Hyperlink"/>
          </w:rPr>
          <w:t>nrg_pc_205</w:t>
        </w:r>
      </w:hyperlink>
      <w:r>
        <w:t>), sivustolla käyty 12.2.2025.</w:t>
      </w:r>
    </w:p>
  </w:footnote>
  <w:footnote w:id="12">
    <w:p w14:paraId="0C97A5D5" w14:textId="62E01F4C" w:rsidR="00DA7C5E" w:rsidRPr="00101E21" w:rsidRDefault="00DA7C5E" w:rsidP="006D05CC">
      <w:pPr>
        <w:pStyle w:val="FootnoteText"/>
        <w:ind w:left="426" w:hanging="426"/>
      </w:pPr>
      <w:r>
        <w:rPr>
          <w:rStyle w:val="FootnoteReference"/>
        </w:rPr>
        <w:footnoteRef/>
      </w:r>
      <w:r>
        <w:t xml:space="preserve"> </w:t>
      </w:r>
      <w:r>
        <w:tab/>
        <w:t xml:space="preserve">Eurostatin </w:t>
      </w:r>
      <w:hyperlink r:id="rId8" w:history="1">
        <w:r>
          <w:rPr>
            <w:rStyle w:val="Hyperlink"/>
          </w:rPr>
          <w:t>sähkön hintatilastot</w:t>
        </w:r>
      </w:hyperlink>
      <w:r>
        <w:t>. Huomautus: Hinnat viittaavat ID-kulutusluokkaan, pois lukien palautettavat maksut.</w:t>
      </w:r>
    </w:p>
  </w:footnote>
  <w:footnote w:id="13">
    <w:p w14:paraId="0BB71E82" w14:textId="4131560E" w:rsidR="00D03249" w:rsidRPr="00895711" w:rsidRDefault="00D03249" w:rsidP="006D05CC">
      <w:pPr>
        <w:pStyle w:val="FootnoteText"/>
        <w:ind w:left="426" w:hanging="426"/>
        <w:jc w:val="left"/>
      </w:pPr>
      <w:r>
        <w:rPr>
          <w:rStyle w:val="FootnoteReference"/>
        </w:rPr>
        <w:footnoteRef/>
      </w:r>
      <w:r>
        <w:t xml:space="preserve"> </w:t>
      </w:r>
      <w:r>
        <w:tab/>
        <w:t xml:space="preserve">Vuoden 2022 tiedot perustuvat </w:t>
      </w:r>
      <w:hyperlink r:id="rId9" w:history="1">
        <w:r>
          <w:rPr>
            <w:rStyle w:val="Hyperlink"/>
          </w:rPr>
          <w:t>Eurostatin</w:t>
        </w:r>
      </w:hyperlink>
      <w:r>
        <w:t xml:space="preserve"> tietoihin.</w:t>
      </w:r>
    </w:p>
  </w:footnote>
  <w:footnote w:id="14">
    <w:p w14:paraId="33428490" w14:textId="4B1D852B" w:rsidR="00725921" w:rsidRPr="00B27A5E" w:rsidRDefault="00725921" w:rsidP="000F4779">
      <w:pPr>
        <w:pStyle w:val="FootnoteText"/>
        <w:ind w:left="425" w:hanging="425"/>
        <w:jc w:val="left"/>
      </w:pPr>
      <w:r>
        <w:rPr>
          <w:rStyle w:val="FootnoteReference"/>
        </w:rPr>
        <w:footnoteRef/>
      </w:r>
      <w:r>
        <w:t xml:space="preserve"> </w:t>
      </w:r>
      <w:r>
        <w:tab/>
        <w:t xml:space="preserve">Tässä kohdassa esitetyt vuosien 2023 ja 2024 tiedot perustuvat </w:t>
      </w:r>
      <w:hyperlink r:id="rId10" w:history="1">
        <w:r>
          <w:rPr>
            <w:rStyle w:val="Hyperlink"/>
          </w:rPr>
          <w:t>Sähkö-ENTSOn avoimuusfoorumin</w:t>
        </w:r>
      </w:hyperlink>
      <w:r>
        <w:t xml:space="preserve"> tietoihin.</w:t>
      </w:r>
    </w:p>
  </w:footnote>
  <w:footnote w:id="15">
    <w:p w14:paraId="705C08F2" w14:textId="26C60B87" w:rsidR="000F4779" w:rsidRPr="000F4779" w:rsidRDefault="000F4779" w:rsidP="006D05CC">
      <w:pPr>
        <w:pStyle w:val="FootnoteText"/>
        <w:ind w:left="425" w:hanging="425"/>
      </w:pPr>
      <w:r>
        <w:rPr>
          <w:rStyle w:val="FootnoteReference"/>
        </w:rPr>
        <w:footnoteRef/>
      </w:r>
      <w:r>
        <w:t xml:space="preserve"> </w:t>
      </w:r>
      <w:r>
        <w:tab/>
        <w:t>COM(2025) 26 final.</w:t>
      </w:r>
    </w:p>
  </w:footnote>
  <w:footnote w:id="16">
    <w:p w14:paraId="500B454A" w14:textId="4FF45D47" w:rsidR="00847F4D" w:rsidRPr="008303BC" w:rsidRDefault="00847F4D" w:rsidP="00F85074">
      <w:pPr>
        <w:pStyle w:val="FootnoteText"/>
        <w:ind w:left="426" w:hanging="426"/>
      </w:pPr>
      <w:r>
        <w:rPr>
          <w:rStyle w:val="FootnoteReference"/>
          <w:lang w:val="en-IE"/>
        </w:rPr>
        <w:footnoteRef/>
      </w:r>
      <w:r>
        <w:t xml:space="preserve"> </w:t>
      </w:r>
      <w:r>
        <w:tab/>
        <w:t>Energian tasoitetut kokonaistuotantokustannukset (LCOE) määritetään vertaamalla yhden sähköyksikön (yleensä megawattitunti) tuottamisen keskimääräisiä kustannuksia voimalaitoksen koko elinkaaren ajalta ottamalla huomioon kaikki voimalaitoksen rakentamiseen ja toimintaan liittyvät kustannukset (pääomamenot, toiminta- ja ylläpitokustannukset, polttoainekustannukset (tapauksen mukaan), rahoituskustannukset ja käytöstäpoistokustannukset (tapauksen mukaan)).</w:t>
      </w:r>
    </w:p>
  </w:footnote>
  <w:footnote w:id="17">
    <w:p w14:paraId="599E2EE9" w14:textId="6CAB529E" w:rsidR="00EF0750" w:rsidRPr="008303BC" w:rsidRDefault="00EF0750" w:rsidP="00AF2E83">
      <w:pPr>
        <w:pStyle w:val="FootnoteText"/>
        <w:ind w:left="426" w:hanging="426"/>
        <w:rPr>
          <w:rStyle w:val="FootnoteReference"/>
          <w:szCs w:val="18"/>
        </w:rPr>
      </w:pPr>
      <w:r>
        <w:rPr>
          <w:rStyle w:val="FootnoteReference"/>
          <w:szCs w:val="18"/>
          <w:lang w:val="en-IE"/>
        </w:rPr>
        <w:footnoteRef/>
      </w:r>
      <w:r>
        <w:rPr>
          <w:rStyle w:val="FootnoteReference"/>
        </w:rPr>
        <w:t xml:space="preserve"> </w:t>
      </w:r>
      <w:r>
        <w:rPr>
          <w:rStyle w:val="FootnoteReference"/>
        </w:rPr>
        <w:tab/>
      </w:r>
      <w:r>
        <w:rPr>
          <w:rStyle w:val="FootnoteReference"/>
          <w:vertAlign w:val="baseline"/>
        </w:rPr>
        <w:t>Lähde: Gasparella, A., Koolen, D. ja Zucker, A., ”The Merit Order and Price Setting Dynamics in European Electricity Markets”, Euroopan unionin julkaisutoimisto, 2023. Laskelma perustuu vuoden 2023 vuotuisiin kustannuksiin. Pääomamenot ja toimintamenot perustuvat vuoteen 2040 ulottuvan ilmastotavoitteen PRIMES-viiteskenaarioon, ja ne on muunnettu vuositasolle teknisten käyttöikien ja keskimääräisen pääomakustannuksen perusteella. Vuosittaiset kustannukset on tasoitettu käyttämällä METIS-mallista johdettuja käyttökertoimia. Muuttuvat kustannukset perustuvat vuoden 2023 hyödykkeiden hintoihin, toimintamenojen muuttujaan ja METIS-simulaatioon.</w:t>
      </w:r>
    </w:p>
  </w:footnote>
  <w:footnote w:id="18">
    <w:p w14:paraId="06AAFD8D" w14:textId="7B7ADC11" w:rsidR="006B13B3" w:rsidRPr="00220722" w:rsidRDefault="006B13B3" w:rsidP="00E5079B">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Mario Draghi, </w:t>
      </w:r>
      <w:hyperlink r:id="rId11" w:history="1">
        <w:r w:rsidRPr="00220722">
          <w:rPr>
            <w:rStyle w:val="Hyperlink"/>
            <w:i/>
            <w:lang w:val="en-IE"/>
          </w:rPr>
          <w:t>The future of European competitiveness</w:t>
        </w:r>
      </w:hyperlink>
      <w:r w:rsidRPr="00220722">
        <w:rPr>
          <w:lang w:val="en-IE"/>
        </w:rPr>
        <w:t>, 2024.</w:t>
      </w:r>
    </w:p>
  </w:footnote>
  <w:footnote w:id="19">
    <w:p w14:paraId="2D889131" w14:textId="0B4CB53E" w:rsidR="0052635F" w:rsidRPr="008303BC" w:rsidRDefault="0052635F" w:rsidP="006113E5">
      <w:pPr>
        <w:spacing w:after="0"/>
        <w:ind w:left="426" w:hanging="426"/>
        <w:rPr>
          <w:noProof/>
          <w:sz w:val="18"/>
          <w:szCs w:val="18"/>
        </w:rPr>
      </w:pPr>
      <w:r>
        <w:rPr>
          <w:sz w:val="18"/>
          <w:szCs w:val="18"/>
          <w:vertAlign w:val="superscript"/>
          <w:lang w:val="en-IE"/>
        </w:rPr>
        <w:footnoteRef/>
      </w:r>
      <w:r>
        <w:rPr>
          <w:sz w:val="18"/>
          <w:vertAlign w:val="superscript"/>
        </w:rPr>
        <w:t xml:space="preserve"> </w:t>
      </w:r>
      <w:r>
        <w:rPr>
          <w:sz w:val="18"/>
        </w:rPr>
        <w:tab/>
        <w:t xml:space="preserve">IEA, </w:t>
      </w:r>
      <w:r>
        <w:rPr>
          <w:i/>
          <w:sz w:val="18"/>
        </w:rPr>
        <w:t>Energy Technology Perspectives</w:t>
      </w:r>
      <w:r>
        <w:rPr>
          <w:sz w:val="18"/>
        </w:rPr>
        <w:t xml:space="preserve">, 2024. Aurinkosähkön, tuulivoiman, sähköajoneuvojen, akkujen, elektrolyysilaitteiden ja lämpöpumppujen maailmanmarkkinoita koskevat arviot. Raportissa viitataan 2 biljoonaan Yhdysvaltain dollariin. Tämä arvo muunnettiin euroiksi vuoden 2024 lopussa. </w:t>
      </w:r>
    </w:p>
  </w:footnote>
  <w:footnote w:id="20">
    <w:p w14:paraId="5DE88624" w14:textId="038D71D6" w:rsidR="00077452" w:rsidRPr="00EE3CE7" w:rsidRDefault="00077452" w:rsidP="006D05CC">
      <w:pPr>
        <w:pStyle w:val="FootnoteText"/>
        <w:ind w:left="426" w:hanging="426"/>
      </w:pPr>
      <w:r>
        <w:rPr>
          <w:rStyle w:val="FootnoteReference"/>
        </w:rPr>
        <w:footnoteRef/>
      </w:r>
      <w:r>
        <w:t xml:space="preserve"> </w:t>
      </w:r>
      <w:r>
        <w:tab/>
        <w:t xml:space="preserve">Euroopan komissio, </w:t>
      </w:r>
      <w:hyperlink r:id="rId12" w:anchor=":~:text=The%202025%20Annual%20Single%20Market%20and%20Competitiveness%20Report,plan%20that%20will%20reignite%20economic%20dynamism%20in%20Europe." w:history="1">
        <w:r>
          <w:rPr>
            <w:rStyle w:val="Hyperlink"/>
          </w:rPr>
          <w:t>sisämarkkinoita ja kilpailukykyä koskeva vuosikertomus 2025</w:t>
        </w:r>
      </w:hyperlink>
      <w:r>
        <w:t>, ks. sähköistymistä koskeva keskeinen tulosindikaattori 18.</w:t>
      </w:r>
    </w:p>
  </w:footnote>
  <w:footnote w:id="21">
    <w:p w14:paraId="25C57F1C" w14:textId="03A527B1" w:rsidR="0052635F" w:rsidRPr="008303BC" w:rsidRDefault="0052635F" w:rsidP="00AF2E83">
      <w:pPr>
        <w:pStyle w:val="FootnoteText"/>
        <w:ind w:left="426" w:hanging="426"/>
        <w:rPr>
          <w:szCs w:val="18"/>
        </w:rPr>
      </w:pPr>
      <w:r>
        <w:rPr>
          <w:szCs w:val="18"/>
          <w:vertAlign w:val="superscript"/>
          <w:lang w:val="en-IE"/>
        </w:rPr>
        <w:footnoteRef/>
      </w:r>
      <w:r>
        <w:t xml:space="preserve"> </w:t>
      </w:r>
      <w:r>
        <w:tab/>
        <w:t xml:space="preserve">Vuoden 2024 keskimääräisen vaihtokurssin mukaan (0,9239 euroa = 1 Yhdysvaltojen dollari), lähde: </w:t>
      </w:r>
      <w:hyperlink r:id="rId13" w:history="1">
        <w:r>
          <w:rPr>
            <w:rStyle w:val="Hyperlink"/>
          </w:rPr>
          <w:t>EKP</w:t>
        </w:r>
      </w:hyperlink>
      <w:r>
        <w:t>.</w:t>
      </w:r>
    </w:p>
  </w:footnote>
  <w:footnote w:id="22">
    <w:p w14:paraId="201D525D" w14:textId="56609E29" w:rsidR="0052635F" w:rsidRPr="00220722" w:rsidRDefault="0052635F" w:rsidP="00AF2E83">
      <w:pPr>
        <w:spacing w:after="0"/>
        <w:ind w:left="426" w:hanging="426"/>
        <w:rPr>
          <w:sz w:val="18"/>
          <w:szCs w:val="18"/>
          <w:lang w:val="en-IE"/>
        </w:rPr>
      </w:pPr>
      <w:r>
        <w:rPr>
          <w:sz w:val="18"/>
          <w:szCs w:val="18"/>
          <w:vertAlign w:val="superscript"/>
          <w:lang w:val="en-IE"/>
        </w:rPr>
        <w:footnoteRef/>
      </w:r>
      <w:r w:rsidRPr="00220722">
        <w:rPr>
          <w:sz w:val="18"/>
          <w:lang w:val="en-IE"/>
        </w:rPr>
        <w:tab/>
      </w:r>
      <w:hyperlink r:id="rId14" w:history="1">
        <w:r w:rsidRPr="00220722">
          <w:rPr>
            <w:rStyle w:val="Hyperlink"/>
            <w:color w:val="000000" w:themeColor="text1"/>
            <w:sz w:val="18"/>
            <w:u w:val="none"/>
            <w:lang w:val="en-IE"/>
          </w:rPr>
          <w:t xml:space="preserve">Strategic perspectives, </w:t>
        </w:r>
        <w:r w:rsidRPr="00220722">
          <w:rPr>
            <w:rStyle w:val="Hyperlink"/>
            <w:i/>
            <w:sz w:val="18"/>
            <w:lang w:val="en-IE"/>
          </w:rPr>
          <w:t>Competing in the new zero-carbon industrial era</w:t>
        </w:r>
      </w:hyperlink>
      <w:r w:rsidRPr="00220722">
        <w:rPr>
          <w:rStyle w:val="Hyperlink"/>
          <w:color w:val="000000" w:themeColor="text1"/>
          <w:sz w:val="18"/>
          <w:u w:val="none"/>
          <w:lang w:val="en-IE"/>
        </w:rPr>
        <w:t>, 2023.</w:t>
      </w:r>
    </w:p>
  </w:footnote>
  <w:footnote w:id="23">
    <w:p w14:paraId="799F286E" w14:textId="1D5E2A3A" w:rsidR="0052635F" w:rsidRPr="008303BC" w:rsidRDefault="0052635F" w:rsidP="00AF2E83">
      <w:pPr>
        <w:pStyle w:val="FootnoteText"/>
        <w:ind w:left="426" w:hanging="426"/>
        <w:rPr>
          <w:szCs w:val="18"/>
        </w:rPr>
      </w:pPr>
      <w:r>
        <w:rPr>
          <w:szCs w:val="18"/>
          <w:vertAlign w:val="superscript"/>
          <w:lang w:val="en-IE"/>
        </w:rPr>
        <w:footnoteRef/>
      </w:r>
      <w:r>
        <w:t xml:space="preserve"> </w:t>
      </w:r>
      <w:r>
        <w:tab/>
        <w:t>Lisätietoa on jäljempänä aurinkosähköä käsittelevässä jaksossa.</w:t>
      </w:r>
    </w:p>
  </w:footnote>
  <w:footnote w:id="24">
    <w:p w14:paraId="5CEA684A" w14:textId="2384616C" w:rsidR="00F64B6A" w:rsidRPr="00220722" w:rsidRDefault="00F64B6A"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BloombergNEF, </w:t>
      </w:r>
      <w:r w:rsidRPr="00220722">
        <w:rPr>
          <w:i/>
          <w:lang w:val="en-IE"/>
        </w:rPr>
        <w:t>Trade &amp; Supply Chains: 10 Things to Watch in 2025</w:t>
      </w:r>
      <w:r w:rsidRPr="00220722">
        <w:rPr>
          <w:lang w:val="en-IE"/>
        </w:rPr>
        <w:t>, 2025.</w:t>
      </w:r>
    </w:p>
  </w:footnote>
  <w:footnote w:id="25">
    <w:p w14:paraId="0BF90049" w14:textId="396F8F25" w:rsidR="0052635F" w:rsidRPr="00220722" w:rsidRDefault="0052635F" w:rsidP="00AF2E83">
      <w:pPr>
        <w:pStyle w:val="FootnoteText"/>
        <w:ind w:left="426" w:hanging="426"/>
        <w:rPr>
          <w:szCs w:val="18"/>
          <w:lang w:val="en-IE"/>
        </w:rPr>
      </w:pPr>
      <w:r>
        <w:rPr>
          <w:szCs w:val="18"/>
          <w:vertAlign w:val="superscript"/>
          <w:lang w:val="en-IE"/>
        </w:rPr>
        <w:footnoteRef/>
      </w:r>
      <w:r w:rsidRPr="00220722">
        <w:rPr>
          <w:lang w:val="en-IE"/>
        </w:rPr>
        <w:t xml:space="preserve"> </w:t>
      </w:r>
      <w:r w:rsidRPr="00220722">
        <w:rPr>
          <w:lang w:val="en-IE"/>
        </w:rPr>
        <w:tab/>
        <w:t xml:space="preserve">Kiel Institute for the World Economy, </w:t>
      </w:r>
      <w:r w:rsidRPr="00220722">
        <w:rPr>
          <w:i/>
          <w:lang w:val="en-IE"/>
        </w:rPr>
        <w:t xml:space="preserve">Foul Play? On the Scale and Scope of Industrial Subsidies in China, </w:t>
      </w:r>
      <w:r w:rsidRPr="00220722">
        <w:rPr>
          <w:lang w:val="en-IE"/>
        </w:rPr>
        <w:t>2024.</w:t>
      </w:r>
    </w:p>
  </w:footnote>
  <w:footnote w:id="26">
    <w:p w14:paraId="7FC94BF8" w14:textId="61AEBFB9" w:rsidR="0052635F" w:rsidRPr="008303BC" w:rsidRDefault="0052635F" w:rsidP="00AF2E83">
      <w:pPr>
        <w:pStyle w:val="FootnoteText"/>
        <w:ind w:left="426" w:hanging="426"/>
        <w:rPr>
          <w:szCs w:val="18"/>
        </w:rPr>
      </w:pPr>
      <w:r>
        <w:rPr>
          <w:szCs w:val="18"/>
          <w:vertAlign w:val="superscript"/>
          <w:lang w:val="en-IE"/>
        </w:rPr>
        <w:footnoteRef/>
      </w:r>
      <w:r>
        <w:t xml:space="preserve"> </w:t>
      </w:r>
      <w:r>
        <w:tab/>
        <w:t>EUVL L, 2024/2754, 29.10.2024.</w:t>
      </w:r>
    </w:p>
  </w:footnote>
  <w:footnote w:id="27">
    <w:p w14:paraId="3A6A4D8F" w14:textId="71F075DC" w:rsidR="0052635F" w:rsidRPr="008303BC" w:rsidRDefault="0052635F" w:rsidP="00AF2E83">
      <w:pPr>
        <w:spacing w:after="0"/>
        <w:ind w:left="426" w:hanging="426"/>
        <w:rPr>
          <w:sz w:val="18"/>
          <w:szCs w:val="18"/>
        </w:rPr>
      </w:pPr>
      <w:r>
        <w:rPr>
          <w:sz w:val="18"/>
          <w:szCs w:val="18"/>
          <w:vertAlign w:val="superscript"/>
          <w:lang w:val="en-IE"/>
        </w:rPr>
        <w:footnoteRef/>
      </w:r>
      <w:r>
        <w:rPr>
          <w:sz w:val="18"/>
          <w:vertAlign w:val="superscript"/>
        </w:rPr>
        <w:t xml:space="preserve"> </w:t>
      </w:r>
      <w:r>
        <w:rPr>
          <w:sz w:val="18"/>
          <w:vertAlign w:val="superscript"/>
        </w:rPr>
        <w:tab/>
      </w:r>
      <w:r>
        <w:rPr>
          <w:sz w:val="18"/>
        </w:rPr>
        <w:t xml:space="preserve">Lisätietoa: </w:t>
      </w:r>
      <w:hyperlink r:id="rId15" w:history="1">
        <w:r>
          <w:rPr>
            <w:rStyle w:val="Hyperlink"/>
            <w:sz w:val="18"/>
          </w:rPr>
          <w:t>https://international-partnerships.ec.europa.eu/policies/global-gateway_fi</w:t>
        </w:r>
      </w:hyperlink>
      <w:r>
        <w:rPr>
          <w:sz w:val="18"/>
        </w:rPr>
        <w:t>.</w:t>
      </w:r>
      <w:r>
        <w:rPr>
          <w:i/>
          <w:sz w:val="18"/>
        </w:rPr>
        <w:t xml:space="preserve"> </w:t>
      </w:r>
      <w:r>
        <w:rPr>
          <w:sz w:val="18"/>
        </w:rPr>
        <w:t xml:space="preserve"> </w:t>
      </w:r>
    </w:p>
  </w:footnote>
  <w:footnote w:id="28">
    <w:p w14:paraId="7B3298FD" w14:textId="4C111A91" w:rsidR="007F51C3" w:rsidRPr="00220722" w:rsidRDefault="007F51C3" w:rsidP="007275D0">
      <w:pPr>
        <w:pStyle w:val="FootnoteText"/>
        <w:ind w:left="426" w:hanging="426"/>
        <w:rPr>
          <w:szCs w:val="18"/>
          <w:lang w:val="en-IE"/>
        </w:rPr>
      </w:pPr>
      <w:r>
        <w:rPr>
          <w:szCs w:val="18"/>
          <w:vertAlign w:val="superscript"/>
          <w:lang w:val="en-IE"/>
        </w:rPr>
        <w:footnoteRef/>
      </w:r>
      <w:r w:rsidRPr="00220722">
        <w:rPr>
          <w:lang w:val="en-IE"/>
        </w:rPr>
        <w:t xml:space="preserve"> </w:t>
      </w:r>
      <w:r w:rsidRPr="00220722">
        <w:rPr>
          <w:lang w:val="en-IE"/>
        </w:rPr>
        <w:tab/>
        <w:t>COM(2025) 30 final.</w:t>
      </w:r>
    </w:p>
  </w:footnote>
  <w:footnote w:id="29">
    <w:p w14:paraId="05D31C00" w14:textId="0A4C53CE" w:rsidR="005948F9" w:rsidRPr="00220722" w:rsidRDefault="005948F9" w:rsidP="006D05CC">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Lisätietoa: </w:t>
      </w:r>
      <w:hyperlink r:id="rId16" w:history="1">
        <w:r w:rsidRPr="00220722">
          <w:rPr>
            <w:rStyle w:val="Hyperlink"/>
            <w:lang w:val="en-IE"/>
          </w:rPr>
          <w:t>”Exploring investments 2021-2027 – Cohesion policy support to climate action”</w:t>
        </w:r>
      </w:hyperlink>
      <w:r w:rsidRPr="00220722">
        <w:rPr>
          <w:lang w:val="en-IE"/>
        </w:rPr>
        <w:t>.</w:t>
      </w:r>
    </w:p>
  </w:footnote>
  <w:footnote w:id="30">
    <w:p w14:paraId="3AC14693" w14:textId="5C284A9E" w:rsidR="0052635F" w:rsidRPr="008303BC" w:rsidRDefault="0052635F" w:rsidP="007254C9">
      <w:pPr>
        <w:pStyle w:val="FootnoteText"/>
        <w:ind w:left="426" w:hanging="426"/>
        <w:rPr>
          <w:szCs w:val="18"/>
        </w:rPr>
      </w:pPr>
      <w:r>
        <w:rPr>
          <w:szCs w:val="18"/>
          <w:vertAlign w:val="superscript"/>
          <w:lang w:val="en-IE"/>
        </w:rPr>
        <w:footnoteRef/>
      </w:r>
      <w:r>
        <w:t xml:space="preserve"> </w:t>
      </w:r>
      <w:r>
        <w:tab/>
        <w:t xml:space="preserve">Ks. tämän kertomuksen jakso 3 (lämpöpumpputeknologiat). </w:t>
      </w:r>
    </w:p>
  </w:footnote>
  <w:footnote w:id="31">
    <w:p w14:paraId="67E5DCCF" w14:textId="30E65A7B" w:rsidR="007254C9" w:rsidRPr="007254C9" w:rsidRDefault="007254C9" w:rsidP="00B27A5E">
      <w:pPr>
        <w:pStyle w:val="FootnoteText"/>
        <w:ind w:left="426" w:hanging="426"/>
      </w:pPr>
      <w:r>
        <w:rPr>
          <w:rStyle w:val="FootnoteReference"/>
        </w:rPr>
        <w:footnoteRef/>
      </w:r>
      <w:r w:rsidRPr="00220722">
        <w:rPr>
          <w:lang w:val="en-IE"/>
        </w:rPr>
        <w:t xml:space="preserve"> </w:t>
      </w:r>
      <w:r w:rsidRPr="00220722">
        <w:rPr>
          <w:lang w:val="en-IE"/>
        </w:rPr>
        <w:tab/>
        <w:t xml:space="preserve">BloombergNEF, </w:t>
      </w:r>
      <w:r w:rsidRPr="00220722">
        <w:rPr>
          <w:i/>
          <w:lang w:val="en-IE"/>
        </w:rPr>
        <w:t>Energy Transition Investment Trends 2025</w:t>
      </w:r>
      <w:r w:rsidRPr="00220722">
        <w:rPr>
          <w:lang w:val="en-IE"/>
        </w:rPr>
        <w:t xml:space="preserve">, 2025. </w:t>
      </w:r>
      <w:r>
        <w:t xml:space="preserve">Tiedot kattavat akkujen keskeisten komponenttien valmistuksen (kaivokset ja jalostamot mukaan luettuina) sekä aurinkosähkön, tuulivoiman ja vedyn toimitusketjun. Vuoden 2024 keskimääräisen vaihtokurssin mukaan (0,9239 euroa = 1 Yhdysvaltojen dollari), lähde: </w:t>
      </w:r>
      <w:hyperlink r:id="rId17" w:history="1">
        <w:r>
          <w:rPr>
            <w:rStyle w:val="Hyperlink"/>
          </w:rPr>
          <w:t>EKP</w:t>
        </w:r>
      </w:hyperlink>
      <w:r>
        <w:t>.</w:t>
      </w:r>
    </w:p>
  </w:footnote>
  <w:footnote w:id="32">
    <w:p w14:paraId="081E976A" w14:textId="77777777" w:rsidR="00F739E9" w:rsidRPr="008303BC" w:rsidRDefault="00F739E9" w:rsidP="00666A4F">
      <w:pPr>
        <w:pStyle w:val="FootnoteText"/>
        <w:ind w:left="426" w:hanging="426"/>
        <w:rPr>
          <w:rFonts w:eastAsia="Segoe UI"/>
          <w:color w:val="0563C1" w:themeColor="hyperlink"/>
          <w:szCs w:val="18"/>
          <w:u w:val="single"/>
        </w:rPr>
      </w:pPr>
      <w:r>
        <w:rPr>
          <w:rStyle w:val="FootnoteReference"/>
          <w:szCs w:val="18"/>
          <w:lang w:val="en-IE"/>
        </w:rPr>
        <w:footnoteRef/>
      </w:r>
      <w:r>
        <w:t xml:space="preserve"> </w:t>
      </w:r>
      <w:r>
        <w:tab/>
        <w:t xml:space="preserve">IEA, </w:t>
      </w:r>
      <w:r>
        <w:rPr>
          <w:i/>
        </w:rPr>
        <w:t>Advancing Clean Technology Manufacturing,</w:t>
      </w:r>
      <w:r>
        <w:t xml:space="preserve"> 2024.</w:t>
      </w:r>
    </w:p>
  </w:footnote>
  <w:footnote w:id="33">
    <w:p w14:paraId="07A3993A" w14:textId="4A8BA033" w:rsidR="00666A4F" w:rsidRPr="00666A4F" w:rsidRDefault="00666A4F" w:rsidP="00B27A5E">
      <w:pPr>
        <w:pStyle w:val="FootnoteText"/>
        <w:ind w:left="426" w:hanging="426"/>
      </w:pPr>
      <w:r>
        <w:rPr>
          <w:rStyle w:val="FootnoteReference"/>
        </w:rPr>
        <w:footnoteRef/>
      </w:r>
      <w:r w:rsidRPr="00220722">
        <w:rPr>
          <w:lang w:val="en-IE"/>
        </w:rPr>
        <w:t xml:space="preserve"> </w:t>
      </w:r>
      <w:r w:rsidRPr="00220722">
        <w:rPr>
          <w:lang w:val="en-IE"/>
        </w:rPr>
        <w:tab/>
        <w:t xml:space="preserve">BloombergNEF, </w:t>
      </w:r>
      <w:r w:rsidRPr="00220722">
        <w:rPr>
          <w:i/>
          <w:lang w:val="en-IE"/>
        </w:rPr>
        <w:t>Energy Transition Investment Trends 2025</w:t>
      </w:r>
      <w:r w:rsidRPr="00220722">
        <w:rPr>
          <w:lang w:val="en-IE"/>
        </w:rPr>
        <w:t xml:space="preserve">, 2025. </w:t>
      </w:r>
      <w:r>
        <w:t>Tiedot kattavat akkujen keskeisten komponenttien valmistuksen (kaivokset ja jalostamot mukaan luettuina) sekä aurinkosähkön, tuulivoiman ja vedyn toimitusketjun.</w:t>
      </w:r>
    </w:p>
  </w:footnote>
  <w:footnote w:id="34">
    <w:p w14:paraId="0A570376" w14:textId="6DF40848" w:rsidR="00B37E2A" w:rsidRPr="00220722" w:rsidRDefault="00B37E2A" w:rsidP="00F85074">
      <w:pPr>
        <w:pStyle w:val="FootnoteText"/>
        <w:ind w:left="426" w:hanging="426"/>
        <w:rPr>
          <w:lang w:val="en-IE"/>
        </w:rPr>
      </w:pPr>
      <w:r>
        <w:rPr>
          <w:rStyle w:val="FootnoteReference"/>
          <w:lang w:val="en-IE"/>
        </w:rPr>
        <w:footnoteRef/>
      </w:r>
      <w:r w:rsidRPr="00220722">
        <w:rPr>
          <w:lang w:val="en-IE"/>
        </w:rPr>
        <w:t xml:space="preserve"> </w:t>
      </w:r>
      <w:r w:rsidRPr="00220722">
        <w:rPr>
          <w:lang w:val="en-IE"/>
        </w:rPr>
        <w:tab/>
        <w:t xml:space="preserve">IEA, </w:t>
      </w:r>
      <w:r w:rsidRPr="00220722">
        <w:rPr>
          <w:i/>
          <w:lang w:val="en-IE"/>
        </w:rPr>
        <w:t>Advancing Clean Technology Manufacturing</w:t>
      </w:r>
      <w:r w:rsidRPr="00220722">
        <w:rPr>
          <w:lang w:val="en-IE"/>
        </w:rPr>
        <w:t>, 2024.</w:t>
      </w:r>
    </w:p>
  </w:footnote>
  <w:footnote w:id="35">
    <w:p w14:paraId="25F284AA" w14:textId="7CCEE6A7" w:rsidR="0052635F" w:rsidRPr="008303BC" w:rsidRDefault="0052635F" w:rsidP="00AF2E83">
      <w:pPr>
        <w:pStyle w:val="FootnoteText"/>
        <w:ind w:left="426" w:hanging="426"/>
        <w:rPr>
          <w:szCs w:val="18"/>
        </w:rPr>
      </w:pPr>
      <w:r>
        <w:rPr>
          <w:rStyle w:val="FootnoteReference"/>
          <w:szCs w:val="18"/>
          <w:lang w:val="en-IE"/>
        </w:rPr>
        <w:footnoteRef/>
      </w:r>
      <w:r>
        <w:t xml:space="preserve"> </w:t>
      </w:r>
      <w:r>
        <w:tab/>
        <w:t xml:space="preserve">Vuoden 2024 keskimääräisen vaihtokurssin mukaan (0,9239 euroa = 1 Yhdysvaltojen dollari), lähde: </w:t>
      </w:r>
      <w:hyperlink r:id="rId18" w:history="1">
        <w:r>
          <w:rPr>
            <w:rStyle w:val="Hyperlink"/>
          </w:rPr>
          <w:t>EKP</w:t>
        </w:r>
      </w:hyperlink>
      <w:r>
        <w:t>.</w:t>
      </w:r>
    </w:p>
  </w:footnote>
  <w:footnote w:id="36">
    <w:p w14:paraId="1A0CFC4C" w14:textId="6E438783" w:rsidR="0052635F" w:rsidRPr="00220722" w:rsidRDefault="0052635F" w:rsidP="00AF2E83">
      <w:pPr>
        <w:pStyle w:val="FootnoteText"/>
        <w:ind w:left="426" w:hanging="426"/>
        <w:rPr>
          <w:rStyle w:val="Hyperlink"/>
          <w:rFonts w:eastAsia="Segoe UI"/>
          <w:szCs w:val="18"/>
          <w:lang w:val="en-IE"/>
        </w:rPr>
      </w:pPr>
      <w:r>
        <w:rPr>
          <w:szCs w:val="18"/>
          <w:vertAlign w:val="superscript"/>
          <w:lang w:val="en-IE"/>
        </w:rPr>
        <w:footnoteRef/>
      </w:r>
      <w:r w:rsidRPr="00220722">
        <w:rPr>
          <w:lang w:val="en-IE"/>
        </w:rPr>
        <w:t xml:space="preserve"> </w:t>
      </w:r>
      <w:r w:rsidRPr="00220722">
        <w:rPr>
          <w:lang w:val="en-IE"/>
        </w:rPr>
        <w:tab/>
        <w:t xml:space="preserve">IEA, </w:t>
      </w:r>
      <w:r w:rsidRPr="00220722">
        <w:rPr>
          <w:i/>
          <w:lang w:val="en-IE"/>
        </w:rPr>
        <w:t>Advancing Clean Technology Manufacturing</w:t>
      </w:r>
      <w:r w:rsidRPr="00220722">
        <w:rPr>
          <w:lang w:val="en-IE"/>
        </w:rPr>
        <w:t>, 2024.</w:t>
      </w:r>
    </w:p>
  </w:footnote>
  <w:footnote w:id="37">
    <w:p w14:paraId="56833E42" w14:textId="73906598" w:rsidR="0052635F" w:rsidRPr="00220722" w:rsidRDefault="0052635F"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IEA, </w:t>
      </w:r>
      <w:r w:rsidRPr="00220722">
        <w:rPr>
          <w:i/>
          <w:lang w:val="en-IE"/>
        </w:rPr>
        <w:t>Advancing Clean Technology Manufacturing</w:t>
      </w:r>
      <w:r w:rsidRPr="00220722">
        <w:rPr>
          <w:lang w:val="en-IE"/>
        </w:rPr>
        <w:t>, 2024.</w:t>
      </w:r>
    </w:p>
  </w:footnote>
  <w:footnote w:id="38">
    <w:p w14:paraId="031FF54B" w14:textId="2439B83D" w:rsidR="0088267E" w:rsidRPr="008303BC" w:rsidRDefault="0088267E" w:rsidP="00182909">
      <w:pPr>
        <w:pStyle w:val="FootnoteText"/>
        <w:ind w:left="426" w:hanging="426"/>
        <w:rPr>
          <w:szCs w:val="18"/>
        </w:rPr>
      </w:pPr>
      <w:r>
        <w:rPr>
          <w:rStyle w:val="FootnoteReference"/>
          <w:lang w:val="en-IE"/>
        </w:rPr>
        <w:footnoteRef/>
      </w:r>
      <w:r w:rsidRPr="00220722">
        <w:rPr>
          <w:lang w:val="en-IE"/>
        </w:rPr>
        <w:t xml:space="preserve"> </w:t>
      </w:r>
      <w:r w:rsidRPr="00220722">
        <w:rPr>
          <w:lang w:val="en-IE"/>
        </w:rPr>
        <w:tab/>
        <w:t xml:space="preserve">Ecorys, </w:t>
      </w:r>
      <w:r w:rsidRPr="00220722">
        <w:rPr>
          <w:i/>
          <w:lang w:val="en-IE"/>
        </w:rPr>
        <w:t>The Net-Zero manufacturing industry landscape across Member States - Final Report</w:t>
      </w:r>
      <w:r w:rsidRPr="00220722">
        <w:rPr>
          <w:lang w:val="en-IE"/>
        </w:rPr>
        <w:t xml:space="preserve">, 2025. </w:t>
      </w:r>
      <w:r>
        <w:t xml:space="preserve">Viitteellinen luettelo esimerkeistä. </w:t>
      </w:r>
    </w:p>
  </w:footnote>
  <w:footnote w:id="39">
    <w:p w14:paraId="2C1A871D" w14:textId="27E4A744" w:rsidR="0052635F" w:rsidRPr="008303BC" w:rsidRDefault="0052635F" w:rsidP="00AF2E83">
      <w:pPr>
        <w:pStyle w:val="FootnoteText"/>
        <w:ind w:left="426" w:hanging="426"/>
        <w:rPr>
          <w:szCs w:val="18"/>
        </w:rPr>
      </w:pPr>
      <w:r>
        <w:rPr>
          <w:szCs w:val="18"/>
          <w:vertAlign w:val="superscript"/>
          <w:lang w:val="en-IE"/>
        </w:rPr>
        <w:footnoteRef/>
      </w:r>
      <w:r>
        <w:t xml:space="preserve"> </w:t>
      </w:r>
      <w:r>
        <w:tab/>
        <w:t>Ks. edellinen alaviite.</w:t>
      </w:r>
    </w:p>
  </w:footnote>
  <w:footnote w:id="40">
    <w:p w14:paraId="2B4399FC" w14:textId="04EE93EE" w:rsidR="0052635F" w:rsidRPr="008303BC" w:rsidRDefault="0052635F" w:rsidP="00AF2E83">
      <w:pPr>
        <w:pStyle w:val="FootnoteText"/>
        <w:ind w:left="426" w:hanging="426"/>
        <w:rPr>
          <w:szCs w:val="18"/>
        </w:rPr>
      </w:pPr>
      <w:r>
        <w:rPr>
          <w:szCs w:val="18"/>
          <w:vertAlign w:val="superscript"/>
          <w:lang w:val="en-IE"/>
        </w:rPr>
        <w:footnoteRef/>
      </w:r>
      <w:r>
        <w:t xml:space="preserve"> </w:t>
      </w:r>
      <w:r>
        <w:tab/>
        <w:t>Ks. edellinen alaviite.</w:t>
      </w:r>
    </w:p>
  </w:footnote>
  <w:footnote w:id="41">
    <w:p w14:paraId="7BA9C641" w14:textId="05965F2D" w:rsidR="0052635F" w:rsidRPr="008303BC" w:rsidRDefault="0052635F" w:rsidP="00435E31">
      <w:pPr>
        <w:pStyle w:val="FootnoteText"/>
        <w:ind w:left="426" w:hanging="426"/>
        <w:rPr>
          <w:szCs w:val="18"/>
        </w:rPr>
      </w:pPr>
      <w:r>
        <w:rPr>
          <w:rStyle w:val="FootnoteReference"/>
          <w:szCs w:val="18"/>
          <w:lang w:val="en-IE"/>
        </w:rPr>
        <w:footnoteRef/>
      </w:r>
      <w:r>
        <w:t xml:space="preserve"> </w:t>
      </w:r>
      <w:r>
        <w:tab/>
        <w:t xml:space="preserve">Mario Draghi, </w:t>
      </w:r>
      <w:hyperlink r:id="rId19" w:history="1">
        <w:r>
          <w:rPr>
            <w:rStyle w:val="Hyperlink"/>
            <w:i/>
          </w:rPr>
          <w:t>The future of European competitiveness</w:t>
        </w:r>
      </w:hyperlink>
      <w:r>
        <w:t>, 2024.</w:t>
      </w:r>
    </w:p>
  </w:footnote>
  <w:footnote w:id="42">
    <w:p w14:paraId="36E15BF8" w14:textId="19C93043" w:rsidR="0052635F" w:rsidRPr="008303BC" w:rsidRDefault="0052635F" w:rsidP="00AF2E83">
      <w:pPr>
        <w:pStyle w:val="FootnoteText"/>
        <w:ind w:left="426" w:hanging="426"/>
        <w:rPr>
          <w:szCs w:val="18"/>
        </w:rPr>
      </w:pPr>
      <w:r>
        <w:rPr>
          <w:rStyle w:val="FootnoteReference"/>
          <w:szCs w:val="18"/>
          <w:lang w:val="en-IE"/>
        </w:rPr>
        <w:footnoteRef/>
      </w:r>
      <w:r>
        <w:t xml:space="preserve"> </w:t>
      </w:r>
      <w:r>
        <w:tab/>
      </w:r>
      <w:hyperlink r:id="rId20" w:history="1">
        <w:r>
          <w:rPr>
            <w:rStyle w:val="Hyperlink"/>
          </w:rPr>
          <w:t>Poliittiset suuntaviivat seuraavalle Euroopan komissiolle 2024–2029</w:t>
        </w:r>
      </w:hyperlink>
      <w:r>
        <w:t>.</w:t>
      </w:r>
    </w:p>
  </w:footnote>
  <w:footnote w:id="43">
    <w:p w14:paraId="29BD3ACB" w14:textId="3A145E61" w:rsidR="00124414" w:rsidRPr="00913358" w:rsidRDefault="00124414" w:rsidP="00AF2E83">
      <w:pPr>
        <w:pStyle w:val="FootnoteText"/>
        <w:ind w:left="426" w:hanging="426"/>
        <w:rPr>
          <w:szCs w:val="18"/>
        </w:rPr>
      </w:pPr>
      <w:r>
        <w:rPr>
          <w:rStyle w:val="FootnoteReference"/>
          <w:szCs w:val="18"/>
          <w:lang w:val="en-IE"/>
        </w:rPr>
        <w:footnoteRef/>
      </w:r>
      <w:r>
        <w:t xml:space="preserve"> </w:t>
      </w:r>
      <w:r>
        <w:tab/>
        <w:t xml:space="preserve">EUVL L, 2024/1735, 28.6.2024, 2 artiklan 3 kohta. </w:t>
      </w:r>
    </w:p>
  </w:footnote>
  <w:footnote w:id="44">
    <w:p w14:paraId="5B853B09" w14:textId="58B53B39" w:rsidR="00124414" w:rsidRPr="00DF412A" w:rsidRDefault="00124414" w:rsidP="00AF2E83">
      <w:pPr>
        <w:pStyle w:val="FootnoteText"/>
        <w:ind w:left="426" w:hanging="426"/>
        <w:rPr>
          <w:szCs w:val="18"/>
        </w:rPr>
      </w:pPr>
      <w:r>
        <w:rPr>
          <w:rStyle w:val="FootnoteReference"/>
          <w:szCs w:val="18"/>
          <w:lang w:val="en-IE"/>
        </w:rPr>
        <w:footnoteRef/>
      </w:r>
      <w:r>
        <w:t xml:space="preserve"> </w:t>
      </w:r>
      <w:r>
        <w:tab/>
        <w:t xml:space="preserve">Ks. </w:t>
      </w:r>
      <w:hyperlink r:id="rId21" w:history="1">
        <w:r>
          <w:rPr>
            <w:rStyle w:val="Hyperlink"/>
          </w:rPr>
          <w:t>https://single-market-economy.ec.europa.eu/industry/strategy/energy-intensive-industries_en?prefLang=fi</w:t>
        </w:r>
      </w:hyperlink>
      <w:r>
        <w:t xml:space="preserve">. </w:t>
      </w:r>
    </w:p>
  </w:footnote>
  <w:footnote w:id="45">
    <w:p w14:paraId="2136B870" w14:textId="564D354F" w:rsidR="00124414" w:rsidRPr="00220722" w:rsidRDefault="00124414" w:rsidP="00435E31">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Mario Draghi, </w:t>
      </w:r>
      <w:hyperlink r:id="rId22" w:history="1">
        <w:r w:rsidRPr="00220722">
          <w:rPr>
            <w:rStyle w:val="Hyperlink"/>
            <w:i/>
            <w:lang w:val="en-IE"/>
          </w:rPr>
          <w:t>The future of European competitiveness</w:t>
        </w:r>
      </w:hyperlink>
      <w:r w:rsidRPr="00220722">
        <w:rPr>
          <w:lang w:val="en-IE"/>
        </w:rPr>
        <w:t>, 2024.</w:t>
      </w:r>
    </w:p>
  </w:footnote>
  <w:footnote w:id="46">
    <w:p w14:paraId="4B4E774E" w14:textId="5AFC8171" w:rsidR="00124414" w:rsidRPr="00220722" w:rsidRDefault="00124414" w:rsidP="00EB5CBC">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Ks. edellinen alaviite.</w:t>
      </w:r>
    </w:p>
  </w:footnote>
  <w:footnote w:id="47">
    <w:p w14:paraId="31F36F33" w14:textId="77C6FE79" w:rsidR="004E0030" w:rsidRPr="00220722" w:rsidRDefault="004E0030"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IRENA ja ILO,</w:t>
      </w:r>
      <w:r w:rsidRPr="00220722">
        <w:rPr>
          <w:i/>
          <w:lang w:val="en-IE"/>
        </w:rPr>
        <w:t xml:space="preserve"> Renewable energy and jobs: Annual review 2024</w:t>
      </w:r>
      <w:r w:rsidRPr="00220722">
        <w:rPr>
          <w:lang w:val="en-IE"/>
        </w:rPr>
        <w:t>, 2024.</w:t>
      </w:r>
    </w:p>
  </w:footnote>
  <w:footnote w:id="48">
    <w:p w14:paraId="73BF474E" w14:textId="024E1AD7" w:rsidR="009D71EE" w:rsidRPr="00220722" w:rsidRDefault="009D71EE"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Solar Power Europe, </w:t>
      </w:r>
      <w:r w:rsidRPr="00220722">
        <w:rPr>
          <w:i/>
          <w:lang w:val="en-IE"/>
        </w:rPr>
        <w:t>EU Solar Jobs Report 2024 – a solar workforce ready for stronger growth</w:t>
      </w:r>
      <w:r w:rsidRPr="00220722">
        <w:rPr>
          <w:lang w:val="en-IE"/>
        </w:rPr>
        <w:t>, 2024.</w:t>
      </w:r>
    </w:p>
  </w:footnote>
  <w:footnote w:id="49">
    <w:p w14:paraId="53142813" w14:textId="5135C6B1" w:rsidR="004A7F0A" w:rsidRPr="00220722" w:rsidRDefault="004A7F0A"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European Heat Pump Association, </w:t>
      </w:r>
      <w:hyperlink r:id="rId23" w:history="1">
        <w:r w:rsidRPr="00220722">
          <w:rPr>
            <w:rStyle w:val="Hyperlink"/>
            <w:i/>
            <w:lang w:val="en-IE"/>
          </w:rPr>
          <w:t>European Heat Pump Market and Statistics Report 2024</w:t>
        </w:r>
      </w:hyperlink>
      <w:r w:rsidRPr="00220722">
        <w:rPr>
          <w:lang w:val="en-IE"/>
        </w:rPr>
        <w:t>, 2024.</w:t>
      </w:r>
    </w:p>
  </w:footnote>
  <w:footnote w:id="50">
    <w:p w14:paraId="24D33B6A" w14:textId="5494D255" w:rsidR="003E26AF" w:rsidRPr="006B6FEF" w:rsidRDefault="003E26AF" w:rsidP="00AF2E83">
      <w:pPr>
        <w:pStyle w:val="FootnoteText"/>
        <w:ind w:left="426" w:hanging="426"/>
        <w:rPr>
          <w:szCs w:val="18"/>
        </w:rPr>
      </w:pPr>
      <w:r>
        <w:rPr>
          <w:rStyle w:val="FootnoteReference"/>
          <w:szCs w:val="18"/>
          <w:lang w:val="en-IE"/>
        </w:rPr>
        <w:footnoteRef/>
      </w:r>
      <w:r>
        <w:t xml:space="preserve"> </w:t>
      </w:r>
      <w:r>
        <w:tab/>
        <w:t>Eurostat </w:t>
      </w:r>
      <w:hyperlink r:id="rId24" w:tgtFrame="_blank" w:history="1">
        <w:r>
          <w:rPr>
            <w:rStyle w:val="Hyperlink"/>
          </w:rPr>
          <w:t>(jvs_q_nace2)</w:t>
        </w:r>
      </w:hyperlink>
      <w:r>
        <w:rPr>
          <w:rStyle w:val="Hyperlink"/>
        </w:rPr>
        <w:t>, sivustolla käyty 13.2.2025.</w:t>
      </w:r>
    </w:p>
  </w:footnote>
  <w:footnote w:id="51">
    <w:p w14:paraId="15AA973F" w14:textId="5EF3DA8A" w:rsidR="003E26AF" w:rsidRPr="008303BC" w:rsidRDefault="003E26AF" w:rsidP="00F85074">
      <w:pPr>
        <w:pStyle w:val="FootnoteText"/>
        <w:ind w:left="426" w:hanging="426"/>
        <w:rPr>
          <w:szCs w:val="18"/>
        </w:rPr>
      </w:pPr>
      <w:r>
        <w:rPr>
          <w:rStyle w:val="FootnoteReference"/>
          <w:szCs w:val="18"/>
          <w:lang w:val="en-IE"/>
        </w:rPr>
        <w:footnoteRef/>
      </w:r>
      <w:r>
        <w:t xml:space="preserve"> </w:t>
      </w:r>
      <w:r>
        <w:tab/>
        <w:t xml:space="preserve">Euroopan komissio, talouden ja rahoituksen pääosasto, </w:t>
      </w:r>
      <w:hyperlink r:id="rId25" w:history="1">
        <w:r>
          <w:rPr>
            <w:rStyle w:val="Hyperlink"/>
          </w:rPr>
          <w:t>yritys- ja kuluttajakyselytietokanta, alasektorien tiedot</w:t>
        </w:r>
      </w:hyperlink>
      <w:r>
        <w:t xml:space="preserve">. NACE-koodia ”27 – Sähkölaitteiden valmistus” käytetään ilmaisemaan uusiutuvan energian valmistusteollisuutta, koska monet puhtaat energiateknologiat kuuluvat tähän luokkaan. </w:t>
      </w:r>
    </w:p>
  </w:footnote>
  <w:footnote w:id="52">
    <w:p w14:paraId="25C55467" w14:textId="0FC44E1F" w:rsidR="00BD4502" w:rsidRPr="00220722" w:rsidRDefault="00BD4502" w:rsidP="00F85074">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IEA, </w:t>
      </w:r>
      <w:r w:rsidRPr="00220722">
        <w:rPr>
          <w:i/>
          <w:lang w:val="en-IE"/>
        </w:rPr>
        <w:t>World Energy Employment, 2024;</w:t>
      </w:r>
      <w:r w:rsidRPr="00220722">
        <w:rPr>
          <w:lang w:val="en-IE"/>
        </w:rPr>
        <w:t xml:space="preserve"> Cedefop, </w:t>
      </w:r>
      <w:r w:rsidRPr="00220722">
        <w:rPr>
          <w:i/>
          <w:lang w:val="en-IE"/>
        </w:rPr>
        <w:t>Electroengineering workers: skills opportunities and challenges</w:t>
      </w:r>
      <w:r w:rsidRPr="00220722">
        <w:rPr>
          <w:lang w:val="en-IE"/>
        </w:rPr>
        <w:t>, 2023.</w:t>
      </w:r>
    </w:p>
  </w:footnote>
  <w:footnote w:id="53">
    <w:p w14:paraId="0AB9B4BA" w14:textId="63CB5584" w:rsidR="003E26AF" w:rsidRPr="008303BC" w:rsidRDefault="003E26AF" w:rsidP="00AF2E83">
      <w:pPr>
        <w:pStyle w:val="FootnoteText"/>
        <w:ind w:left="426" w:hanging="426"/>
        <w:rPr>
          <w:szCs w:val="18"/>
        </w:rPr>
      </w:pPr>
      <w:r>
        <w:rPr>
          <w:rStyle w:val="FootnoteReference"/>
          <w:szCs w:val="18"/>
          <w:lang w:val="en-IE"/>
        </w:rPr>
        <w:footnoteRef/>
      </w:r>
      <w:r>
        <w:t xml:space="preserve"> </w:t>
      </w:r>
      <w:r>
        <w:tab/>
        <w:t>Tieto perustuu jäsenvaltioiden kansallisiin energia- ja ilmastosuunnitelmiin.</w:t>
      </w:r>
    </w:p>
  </w:footnote>
  <w:footnote w:id="54">
    <w:p w14:paraId="0E1AFD34" w14:textId="79CAC151" w:rsidR="00933F48" w:rsidRPr="00FB1954" w:rsidRDefault="00933F48" w:rsidP="006D05CC">
      <w:pPr>
        <w:pStyle w:val="FootnoteText"/>
        <w:ind w:left="426" w:hanging="426"/>
        <w:rPr>
          <w:szCs w:val="18"/>
        </w:rPr>
      </w:pPr>
      <w:r>
        <w:rPr>
          <w:rStyle w:val="FootnoteReference"/>
        </w:rPr>
        <w:footnoteRef/>
      </w:r>
      <w:r w:rsidRPr="00FB1954">
        <w:t xml:space="preserve"> </w:t>
      </w:r>
      <w:r w:rsidRPr="00FB1954">
        <w:tab/>
        <w:t>COM(2024) 131 final.</w:t>
      </w:r>
    </w:p>
  </w:footnote>
  <w:footnote w:id="55">
    <w:p w14:paraId="04EA6188" w14:textId="14EE4892" w:rsidR="009B4B9D" w:rsidRPr="00FB1954" w:rsidRDefault="009B4B9D" w:rsidP="009B4B9D">
      <w:pPr>
        <w:pStyle w:val="FootnoteText"/>
        <w:ind w:left="426" w:hanging="426"/>
        <w:rPr>
          <w:szCs w:val="18"/>
        </w:rPr>
      </w:pPr>
      <w:r>
        <w:rPr>
          <w:rStyle w:val="FootnoteReference"/>
          <w:szCs w:val="18"/>
          <w:lang w:val="en-IE"/>
        </w:rPr>
        <w:footnoteRef/>
      </w:r>
      <w:r w:rsidRPr="00FB1954">
        <w:t xml:space="preserve"> </w:t>
      </w:r>
      <w:r w:rsidRPr="00FB1954">
        <w:tab/>
        <w:t xml:space="preserve">Euroopan komissio, tutkimuksen ja innovoinnin pääosasto, </w:t>
      </w:r>
      <w:hyperlink r:id="rId26" w:history="1">
        <w:r w:rsidRPr="00FB1954">
          <w:rPr>
            <w:rStyle w:val="Hyperlink"/>
            <w:i/>
          </w:rPr>
          <w:t>Science, research and innovation performance of the EU 2024</w:t>
        </w:r>
      </w:hyperlink>
      <w:r w:rsidRPr="00FB1954">
        <w:t xml:space="preserve">, 2024. </w:t>
      </w:r>
    </w:p>
  </w:footnote>
  <w:footnote w:id="56">
    <w:p w14:paraId="765A795C" w14:textId="4DBD0EFF" w:rsidR="00DC562F" w:rsidRDefault="00DC562F" w:rsidP="00DC562F">
      <w:pPr>
        <w:pStyle w:val="FootnoteText"/>
        <w:ind w:left="425" w:hanging="425"/>
      </w:pPr>
      <w:r>
        <w:rPr>
          <w:rStyle w:val="FootnoteReference"/>
        </w:rPr>
        <w:footnoteRef/>
      </w:r>
      <w:r>
        <w:t xml:space="preserve"> </w:t>
      </w:r>
      <w:r>
        <w:tab/>
        <w:t>Ajankohtaista, luotettavaa ja vertailukelpoista tietoa puhtaita energiateknologioita koskevan T&amp;I-toiminnan suuntauksista ei ole helposti saatavilla. Tämä johtuu osittain tiettyihin tilastoihin luonnostaan liittyvästä viiveestä mutta myös siitä, että kyseisiä teknologia-aloja ei aina ole määritelty selkeästi ja että tiedot ovat usein hajallaan laajempia aihealueita, kuten energiaa, liikennettä tai rakennettua ympäristöä, koskevissa tilastoissa. Raportoinnin hajanaisuus vaikeuttaa yhtenäisen kuvan muodostamista ja on yksi niistä asioista, joihin on kiinnitettävä huomiota T&amp;I-toiminnan seurannan ja koordinoinnin parantamiseksi. Ks. myös SWD(2023) 646 final.</w:t>
      </w:r>
    </w:p>
  </w:footnote>
  <w:footnote w:id="57">
    <w:p w14:paraId="48D32B7E" w14:textId="77777777" w:rsidR="009B4B9D" w:rsidRPr="008303BC" w:rsidRDefault="009B4B9D" w:rsidP="009B4B9D">
      <w:pPr>
        <w:pStyle w:val="FootnoteText"/>
        <w:ind w:left="425" w:hanging="425"/>
        <w:rPr>
          <w:szCs w:val="18"/>
        </w:rPr>
      </w:pPr>
      <w:r>
        <w:rPr>
          <w:rStyle w:val="FootnoteReference"/>
          <w:szCs w:val="18"/>
          <w:lang w:val="en-IE"/>
        </w:rPr>
        <w:footnoteRef/>
      </w:r>
      <w:r>
        <w:t xml:space="preserve"> </w:t>
      </w:r>
      <w:r>
        <w:tab/>
        <w:t xml:space="preserve">COM(2015) 80 final. </w:t>
      </w:r>
    </w:p>
  </w:footnote>
  <w:footnote w:id="58">
    <w:p w14:paraId="5532881F" w14:textId="31F0904E" w:rsidR="009B4B9D" w:rsidRPr="008303BC" w:rsidRDefault="009B4B9D" w:rsidP="009B4B9D">
      <w:pPr>
        <w:pStyle w:val="FootnoteText"/>
        <w:ind w:left="426" w:hanging="426"/>
        <w:jc w:val="left"/>
        <w:rPr>
          <w:szCs w:val="18"/>
        </w:rPr>
      </w:pPr>
      <w:r>
        <w:rPr>
          <w:rStyle w:val="FootnoteReference"/>
          <w:szCs w:val="18"/>
          <w:lang w:val="en-IE"/>
        </w:rPr>
        <w:footnoteRef/>
      </w:r>
      <w:r>
        <w:t xml:space="preserve"> </w:t>
      </w:r>
      <w:r>
        <w:tab/>
        <w:t xml:space="preserve">Merkittävä osa kasvusta vuosina 2021 ja 2022 johtui Espanjassa raportointiin tehdystä muutoksesta ja Ranskan tekemistä tarkistuksista. Nämä kaksi jäsenvaltiota lisäsivät T&amp;K-investointeja yhteensä miljardilla eurolla vuonna 2022. Myös merkittävä osa vuoden 2023 kasvusta johtuu Ranskasta. Lähde: IEA, </w:t>
      </w:r>
      <w:hyperlink r:id="rId27" w:history="1">
        <w:r>
          <w:rPr>
            <w:rStyle w:val="Hyperlink"/>
            <w:i/>
          </w:rPr>
          <w:t>Energy Technology RD&amp;D Budgets – Database documentation</w:t>
        </w:r>
      </w:hyperlink>
      <w:r>
        <w:t xml:space="preserve">, 2024. </w:t>
      </w:r>
    </w:p>
  </w:footnote>
  <w:footnote w:id="59">
    <w:p w14:paraId="0E9CE0F6" w14:textId="3768ECDD" w:rsidR="009B4B9D" w:rsidRPr="008303BC" w:rsidRDefault="009B4B9D" w:rsidP="009B4B9D">
      <w:pPr>
        <w:pStyle w:val="FootnoteText"/>
        <w:ind w:left="426" w:hanging="426"/>
        <w:rPr>
          <w:szCs w:val="18"/>
          <w:highlight w:val="yellow"/>
        </w:rPr>
      </w:pPr>
      <w:r>
        <w:rPr>
          <w:rStyle w:val="FootnoteReference"/>
          <w:szCs w:val="18"/>
          <w:lang w:val="en-IE"/>
        </w:rPr>
        <w:footnoteRef/>
      </w:r>
      <w:r>
        <w:t xml:space="preserve"> </w:t>
      </w:r>
      <w:r>
        <w:tab/>
        <w:t>Kaikkiaan 22 jäsenvaltiota on IEA:n jäseniä: AT, BE, CZ, DE, DK, EL, ES, FI, FR, HU, IE, IT, LT, LU, NL, PL, PT, SE, SK (Kreikka ja Luxemburg eivät raportoi ja Italian tiedot puuttuvat). Vuonna 2022 BE, DE, EE, ES, FR, LT, IE, PL, PT ja FI ilmoittivat IEA:lle lisäyksistä vuonna 2022. AT, BE, FR, LT, IE ja SK ilmoittivat lisäyksistä vuonna 2023.</w:t>
      </w:r>
    </w:p>
  </w:footnote>
  <w:footnote w:id="60">
    <w:p w14:paraId="336EECB9" w14:textId="68F531DD" w:rsidR="009B4B9D" w:rsidRPr="008303BC" w:rsidRDefault="009B4B9D">
      <w:pPr>
        <w:pStyle w:val="FootnoteText"/>
        <w:ind w:left="426" w:hanging="426"/>
        <w:rPr>
          <w:szCs w:val="18"/>
        </w:rPr>
      </w:pPr>
      <w:r>
        <w:rPr>
          <w:rStyle w:val="FootnoteReference"/>
          <w:szCs w:val="18"/>
          <w:lang w:val="en-IE"/>
        </w:rPr>
        <w:footnoteRef/>
      </w:r>
      <w:r>
        <w:t xml:space="preserve"> </w:t>
      </w:r>
      <w:r>
        <w:tab/>
        <w:t xml:space="preserve">Mukautettu julkaisusta IEA, </w:t>
      </w:r>
      <w:hyperlink r:id="rId28" w:history="1">
        <w:r>
          <w:rPr>
            <w:rStyle w:val="Hyperlink"/>
          </w:rPr>
          <w:t>”IEA energy technology RD&amp;D budgets database”</w:t>
        </w:r>
      </w:hyperlink>
      <w:r>
        <w:t xml:space="preserve">, 2024. Yhdysvaltojen julkisia T&amp;I-tietoja koskevat arviot perustuvat IEA:n tietoihin ja seuraavaan lähteeseen: Myslikova, Z., Gallagher, K. S., Zhang, F., Narassimhan, E., Oh S., &amp; Chi, K., </w:t>
      </w:r>
      <w:hyperlink r:id="rId29" w:history="1">
        <w:r>
          <w:rPr>
            <w:rStyle w:val="Hyperlink"/>
          </w:rPr>
          <w:t>”Global Public Energy RD&amp;D Expenditures Database”</w:t>
        </w:r>
      </w:hyperlink>
      <w:r>
        <w:t>, 2024.</w:t>
      </w:r>
    </w:p>
  </w:footnote>
  <w:footnote w:id="61">
    <w:p w14:paraId="1C347FB7" w14:textId="2186D456" w:rsidR="009B4B9D" w:rsidRPr="008303BC" w:rsidRDefault="009B4B9D" w:rsidP="009B4B9D">
      <w:pPr>
        <w:pStyle w:val="FootnoteText"/>
        <w:ind w:left="426" w:hanging="426"/>
        <w:rPr>
          <w:szCs w:val="18"/>
        </w:rPr>
      </w:pPr>
      <w:r>
        <w:rPr>
          <w:szCs w:val="18"/>
          <w:vertAlign w:val="superscript"/>
          <w:lang w:val="en-IE"/>
        </w:rPr>
        <w:footnoteRef/>
      </w:r>
      <w:r>
        <w:t xml:space="preserve"> </w:t>
      </w:r>
      <w:r>
        <w:tab/>
        <w:t xml:space="preserve">Mission Innovation, </w:t>
      </w:r>
      <w:hyperlink r:id="rId30" w:history="1">
        <w:r>
          <w:rPr>
            <w:rStyle w:val="Hyperlink"/>
            <w:i/>
          </w:rPr>
          <w:t>Country Highlights</w:t>
        </w:r>
      </w:hyperlink>
      <w:r>
        <w:t xml:space="preserve">, 2020. Kiinan julkisia T&amp;I-investointeja koskeva arvio perustuu aiempina vuosina toimitettuihin tietoihin ja muihin lähteisiin. </w:t>
      </w:r>
    </w:p>
  </w:footnote>
  <w:footnote w:id="62">
    <w:p w14:paraId="25145F6E" w14:textId="748C97F8" w:rsidR="009B4B9D" w:rsidRPr="008303BC" w:rsidRDefault="009B4B9D" w:rsidP="009B4B9D">
      <w:pPr>
        <w:pStyle w:val="FootnoteText"/>
        <w:ind w:left="426" w:hanging="426"/>
        <w:rPr>
          <w:szCs w:val="18"/>
        </w:rPr>
      </w:pPr>
      <w:r>
        <w:rPr>
          <w:rStyle w:val="FootnoteReference"/>
          <w:szCs w:val="18"/>
          <w:lang w:val="en-IE"/>
        </w:rPr>
        <w:footnoteRef/>
      </w:r>
      <w:r>
        <w:t xml:space="preserve"> </w:t>
      </w:r>
      <w:r>
        <w:tab/>
        <w:t xml:space="preserve">Euroopan komission yhteinen tutkimuskeskus, </w:t>
      </w:r>
      <w:hyperlink r:id="rId31" w:history="1">
        <w:r>
          <w:rPr>
            <w:rStyle w:val="Hyperlink"/>
          </w:rPr>
          <w:t>SET-suunnitelman tietojärjestelmän T&amp;I-tiedot</w:t>
        </w:r>
      </w:hyperlink>
      <w:r>
        <w:t xml:space="preserve">; yksityiset T&amp;I-tiedot ovat viiden vuoden suuntaukseen perustuvia arvioita. </w:t>
      </w:r>
    </w:p>
  </w:footnote>
  <w:footnote w:id="63">
    <w:p w14:paraId="3A62F1EB" w14:textId="77777777" w:rsidR="00D42E02" w:rsidRDefault="00D42E02" w:rsidP="00D42E02">
      <w:pPr>
        <w:pStyle w:val="FootnoteText"/>
        <w:ind w:left="425" w:hanging="425"/>
      </w:pPr>
      <w:r>
        <w:rPr>
          <w:rStyle w:val="FootnoteReference"/>
        </w:rPr>
        <w:footnoteRef/>
      </w:r>
      <w:r>
        <w:t xml:space="preserve"> </w:t>
      </w:r>
      <w:r>
        <w:tab/>
        <w:t xml:space="preserve">Euroopan komission yhteinen tutkimuskeskus, </w:t>
      </w:r>
      <w:hyperlink r:id="rId32" w:history="1">
        <w:r>
          <w:rPr>
            <w:rStyle w:val="Hyperlink"/>
          </w:rPr>
          <w:t>EU:n teollisuuden tutkimus- ja kehitysinvestointien tulostaulu 2024</w:t>
        </w:r>
      </w:hyperlink>
      <w:r>
        <w:t xml:space="preserve">, 2024.  </w:t>
      </w:r>
    </w:p>
  </w:footnote>
  <w:footnote w:id="64">
    <w:p w14:paraId="00E795D3" w14:textId="4C8CB40B" w:rsidR="00D42E02" w:rsidRDefault="00D42E02" w:rsidP="006D05CC">
      <w:pPr>
        <w:pStyle w:val="FootnoteText"/>
        <w:ind w:left="425" w:hanging="425"/>
      </w:pPr>
      <w:r>
        <w:rPr>
          <w:rStyle w:val="FootnoteReference"/>
        </w:rPr>
        <w:footnoteRef/>
      </w:r>
      <w:r>
        <w:t xml:space="preserve"> </w:t>
      </w:r>
      <w:r>
        <w:tab/>
        <w:t xml:space="preserve">Euroopan komission yhteinen tutkimuskeskus, </w:t>
      </w:r>
      <w:hyperlink r:id="rId33" w:history="1">
        <w:r>
          <w:rPr>
            <w:rStyle w:val="Hyperlink"/>
          </w:rPr>
          <w:t>EU:n teollisuuden tutkimus- ja kehitysinvestointien tulostaulu 2023</w:t>
        </w:r>
      </w:hyperlink>
      <w:r>
        <w:t xml:space="preserve">, 2023. </w:t>
      </w:r>
    </w:p>
  </w:footnote>
  <w:footnote w:id="65">
    <w:p w14:paraId="70C72D1E" w14:textId="77777777" w:rsidR="009B4B9D" w:rsidRPr="00220722" w:rsidRDefault="009B4B9D" w:rsidP="009B4B9D">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Mario Draghi, </w:t>
      </w:r>
      <w:hyperlink r:id="rId34" w:history="1">
        <w:r w:rsidRPr="00220722">
          <w:rPr>
            <w:rStyle w:val="Hyperlink"/>
            <w:i/>
            <w:lang w:val="en-IE"/>
          </w:rPr>
          <w:t>The future of European competitiveness</w:t>
        </w:r>
      </w:hyperlink>
      <w:r w:rsidRPr="00220722">
        <w:rPr>
          <w:lang w:val="en-IE"/>
        </w:rPr>
        <w:t>, 2024.</w:t>
      </w:r>
    </w:p>
  </w:footnote>
  <w:footnote w:id="66">
    <w:p w14:paraId="241AC4D9" w14:textId="0A535FCF" w:rsidR="009B4B9D" w:rsidRDefault="009B4B9D" w:rsidP="009B4B9D">
      <w:pPr>
        <w:pStyle w:val="FootnoteText"/>
        <w:ind w:left="425" w:hanging="425"/>
      </w:pPr>
      <w:r>
        <w:rPr>
          <w:rStyle w:val="FootnoteReference"/>
        </w:rPr>
        <w:footnoteRef/>
      </w:r>
      <w:r>
        <w:t xml:space="preserve"> </w:t>
      </w:r>
      <w:r>
        <w:tab/>
        <w:t xml:space="preserve">Euroopan komission yhteinen tutkimuskeskus, </w:t>
      </w:r>
      <w:hyperlink r:id="rId35" w:history="1">
        <w:r>
          <w:rPr>
            <w:rStyle w:val="Hyperlink"/>
          </w:rPr>
          <w:t>EU:n teollisuuden tutkimus- ja kehitysinvestointien tulostaulu 2024</w:t>
        </w:r>
      </w:hyperlink>
      <w:r>
        <w:t xml:space="preserve">, 2024.   </w:t>
      </w:r>
    </w:p>
  </w:footnote>
  <w:footnote w:id="67">
    <w:p w14:paraId="31FE7081" w14:textId="6B4DB90B" w:rsidR="009B4B9D" w:rsidRPr="00220722" w:rsidRDefault="009B4B9D" w:rsidP="009B4B9D">
      <w:pPr>
        <w:pStyle w:val="FootnoteText"/>
        <w:ind w:left="425" w:hanging="425"/>
        <w:rPr>
          <w:lang w:val="en-IE"/>
        </w:rPr>
      </w:pPr>
      <w:r>
        <w:rPr>
          <w:rStyle w:val="FootnoteReference"/>
        </w:rPr>
        <w:footnoteRef/>
      </w:r>
      <w:r w:rsidRPr="00220722">
        <w:rPr>
          <w:lang w:val="en-IE"/>
        </w:rPr>
        <w:t xml:space="preserve"> </w:t>
      </w:r>
      <w:r w:rsidRPr="00220722">
        <w:rPr>
          <w:lang w:val="en-IE"/>
        </w:rPr>
        <w:tab/>
        <w:t xml:space="preserve">Euroopan komissio, tutkimuksen ja innovoinnin pääosasto, </w:t>
      </w:r>
      <w:hyperlink r:id="rId36" w:history="1">
        <w:r w:rsidRPr="00220722">
          <w:rPr>
            <w:rStyle w:val="Hyperlink"/>
            <w:i/>
            <w:lang w:val="en-IE"/>
          </w:rPr>
          <w:t>Align, act, accelerate – Research, technology and innovation to boost European competitiveness</w:t>
        </w:r>
      </w:hyperlink>
      <w:r w:rsidRPr="00220722">
        <w:rPr>
          <w:lang w:val="en-IE"/>
        </w:rPr>
        <w:t xml:space="preserve">, 2024.   </w:t>
      </w:r>
    </w:p>
  </w:footnote>
  <w:footnote w:id="68">
    <w:p w14:paraId="092EDD22" w14:textId="2E35E5BB" w:rsidR="009B4B9D" w:rsidRPr="00220722" w:rsidRDefault="009B4B9D" w:rsidP="009B4B9D">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Ks. edellinen alaviite.</w:t>
      </w:r>
    </w:p>
  </w:footnote>
  <w:footnote w:id="69">
    <w:p w14:paraId="65E613C7" w14:textId="08DCFA37" w:rsidR="009B4B9D" w:rsidRPr="00220722" w:rsidRDefault="009B4B9D" w:rsidP="009B4B9D">
      <w:pPr>
        <w:pStyle w:val="FootnoteText"/>
        <w:ind w:left="426" w:hanging="426"/>
        <w:rPr>
          <w:szCs w:val="18"/>
          <w:vertAlign w:val="superscript"/>
          <w:lang w:val="en-IE"/>
        </w:rPr>
      </w:pPr>
      <w:r>
        <w:rPr>
          <w:rStyle w:val="FootnoteReference"/>
          <w:szCs w:val="18"/>
          <w:lang w:val="en-IE"/>
        </w:rPr>
        <w:footnoteRef/>
      </w:r>
      <w:r w:rsidRPr="00220722">
        <w:rPr>
          <w:lang w:val="en-IE"/>
        </w:rPr>
        <w:t xml:space="preserve"> </w:t>
      </w:r>
      <w:r w:rsidRPr="00220722">
        <w:rPr>
          <w:lang w:val="en-IE"/>
        </w:rPr>
        <w:tab/>
        <w:t xml:space="preserve">Cervantes, M. ym., </w:t>
      </w:r>
      <w:hyperlink r:id="rId37" w:history="1">
        <w:r w:rsidRPr="00220722">
          <w:rPr>
            <w:rStyle w:val="Hyperlink"/>
            <w:i/>
            <w:lang w:val="en-IE"/>
          </w:rPr>
          <w:t>Driving low-carbon innovations for climate neutrality, OECD Science, Technology and Industry Policy Papers</w:t>
        </w:r>
      </w:hyperlink>
      <w:r w:rsidRPr="00220722">
        <w:rPr>
          <w:lang w:val="en-IE"/>
        </w:rPr>
        <w:t>, nro 143, 2023.</w:t>
      </w:r>
    </w:p>
  </w:footnote>
  <w:footnote w:id="70">
    <w:p w14:paraId="46919C7F" w14:textId="64BB01A3" w:rsidR="009B4B9D" w:rsidRDefault="009B4B9D" w:rsidP="009B4B9D">
      <w:pPr>
        <w:pStyle w:val="FootnoteText"/>
        <w:ind w:left="425" w:hanging="425"/>
      </w:pPr>
      <w:r>
        <w:rPr>
          <w:rStyle w:val="FootnoteReference"/>
        </w:rPr>
        <w:footnoteRef/>
      </w:r>
      <w:r>
        <w:t xml:space="preserve"> </w:t>
      </w:r>
      <w:r>
        <w:tab/>
        <w:t xml:space="preserve">Yhteinen tutkimuskeskus Euroopan patenttiviraston kevään 2024 Patstat-julkaisuun sisältyvien tietojen perusteella. Tulokset perustuvat kolmeen viimeisimpään vuoteen, joista on saatavilla täydelliset tilastot (2018–2020). Näin vältetään tietojen viivästyksistä johtuva suuntausten vääristyminen. Lisätietoa: </w:t>
      </w:r>
      <w:hyperlink r:id="rId38" w:history="1">
        <w:r>
          <w:rPr>
            <w:rStyle w:val="Hyperlink"/>
          </w:rPr>
          <w:t>”Patent-Based Indicators:</w:t>
        </w:r>
      </w:hyperlink>
      <w:hyperlink r:id="rId39" w:history="1">
        <w:r>
          <w:rPr>
            <w:rStyle w:val="Hyperlink"/>
          </w:rPr>
          <w:t xml:space="preserve"> Main Concepts and Data Availability”</w:t>
        </w:r>
      </w:hyperlink>
      <w:r>
        <w:t>.</w:t>
      </w:r>
    </w:p>
  </w:footnote>
  <w:footnote w:id="71">
    <w:p w14:paraId="34AF3BF0" w14:textId="16424628" w:rsidR="009B4B9D" w:rsidRPr="008303BC" w:rsidRDefault="009B4B9D" w:rsidP="009B4B9D">
      <w:pPr>
        <w:pStyle w:val="FootnoteText"/>
        <w:ind w:left="426" w:hanging="426"/>
        <w:rPr>
          <w:szCs w:val="18"/>
        </w:rPr>
      </w:pPr>
      <w:r>
        <w:rPr>
          <w:szCs w:val="18"/>
          <w:vertAlign w:val="superscript"/>
          <w:lang w:val="en-IE"/>
        </w:rPr>
        <w:footnoteRef/>
      </w:r>
      <w:r>
        <w:t xml:space="preserve"> </w:t>
      </w:r>
      <w:r>
        <w:tab/>
        <w:t>COM(2023) 634 final.</w:t>
      </w:r>
    </w:p>
  </w:footnote>
  <w:footnote w:id="72">
    <w:p w14:paraId="419B2E58" w14:textId="078A178B" w:rsidR="009B4B9D" w:rsidRPr="008303BC" w:rsidRDefault="009B4B9D" w:rsidP="009B4B9D">
      <w:pPr>
        <w:pStyle w:val="FootnoteText"/>
        <w:ind w:left="426" w:hanging="426"/>
      </w:pPr>
      <w:r>
        <w:rPr>
          <w:rStyle w:val="FootnoteReference"/>
          <w:lang w:val="en-IE"/>
        </w:rPr>
        <w:footnoteRef/>
      </w:r>
      <w:r>
        <w:t xml:space="preserve"> </w:t>
      </w:r>
      <w:r>
        <w:tab/>
        <w:t>EUVL L, 2024/1735, 28.6.2024.</w:t>
      </w:r>
    </w:p>
  </w:footnote>
  <w:footnote w:id="73">
    <w:p w14:paraId="6B40D49C" w14:textId="62D6FDDD" w:rsidR="009B4B9D" w:rsidRPr="008303BC" w:rsidRDefault="009B4B9D" w:rsidP="009B4B9D">
      <w:pPr>
        <w:pStyle w:val="FootnoteText"/>
        <w:ind w:left="426" w:hanging="426"/>
      </w:pPr>
      <w:r>
        <w:rPr>
          <w:rStyle w:val="FootnoteReference"/>
          <w:lang w:val="en-IE"/>
        </w:rPr>
        <w:footnoteRef/>
      </w:r>
      <w:r>
        <w:t xml:space="preserve"> </w:t>
      </w:r>
      <w:r>
        <w:tab/>
        <w:t xml:space="preserve">Euroopan komission yhteinen tutkimuskeskus, Kuzov, T., Letout, S., Georgakaki, A., Volt, S., Tumara, D., Martinez Castilla, G., Lauritzen, A., Sobczak, A., Paunescu, G., Fromentin, M., Degiorgis, E., Volkanovski, A., Tzimas, E., </w:t>
      </w:r>
      <w:hyperlink r:id="rId40" w:history="1">
        <w:r>
          <w:rPr>
            <w:rStyle w:val="Hyperlink"/>
            <w:i/>
          </w:rPr>
          <w:t>SET Plan Progress Report</w:t>
        </w:r>
      </w:hyperlink>
      <w:r>
        <w:t>, 2024.</w:t>
      </w:r>
    </w:p>
  </w:footnote>
  <w:footnote w:id="74">
    <w:p w14:paraId="7B1C85F4" w14:textId="6CD604B6" w:rsidR="009B4B9D" w:rsidRPr="008303BC" w:rsidRDefault="009B4B9D" w:rsidP="009B4B9D">
      <w:pPr>
        <w:pStyle w:val="FootnoteText"/>
        <w:tabs>
          <w:tab w:val="left" w:pos="720"/>
          <w:tab w:val="left" w:pos="1440"/>
          <w:tab w:val="left" w:pos="2160"/>
          <w:tab w:val="left" w:pos="2880"/>
          <w:tab w:val="left" w:pos="3600"/>
          <w:tab w:val="left" w:pos="4320"/>
          <w:tab w:val="left" w:pos="5040"/>
          <w:tab w:val="left" w:pos="5670"/>
        </w:tabs>
        <w:ind w:left="426" w:hanging="426"/>
        <w:rPr>
          <w:szCs w:val="18"/>
        </w:rPr>
      </w:pPr>
      <w:r>
        <w:rPr>
          <w:rStyle w:val="FootnoteReference"/>
          <w:szCs w:val="18"/>
          <w:lang w:val="en-IE"/>
        </w:rPr>
        <w:footnoteRef/>
      </w:r>
      <w:r>
        <w:t xml:space="preserve"> </w:t>
      </w:r>
      <w:r>
        <w:tab/>
      </w:r>
      <w:hyperlink r:id="rId41" w:history="1">
        <w:r>
          <w:rPr>
            <w:rStyle w:val="Hyperlink"/>
          </w:rPr>
          <w:t>Poliittiset suuntaviivat seuraavalle Euroopan komissiolle 2024–2029</w:t>
        </w:r>
      </w:hyperlink>
      <w:r>
        <w:rPr>
          <w:rStyle w:val="Hyperlink"/>
          <w:color w:val="auto"/>
          <w:u w:val="none"/>
        </w:rPr>
        <w:t>; COM(2025) 30 final</w:t>
      </w:r>
      <w:r>
        <w:t>.</w:t>
      </w:r>
    </w:p>
  </w:footnote>
  <w:footnote w:id="75">
    <w:p w14:paraId="0E588201" w14:textId="09E682A8" w:rsidR="00086CF4" w:rsidRPr="00220722" w:rsidRDefault="00086CF4" w:rsidP="00086CF4">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Euroopan komissio, </w:t>
      </w:r>
      <w:hyperlink r:id="rId42" w:history="1">
        <w:r w:rsidRPr="00220722">
          <w:rPr>
            <w:rStyle w:val="Hyperlink"/>
            <w:i/>
            <w:lang w:val="en-IE"/>
          </w:rPr>
          <w:t>Science, research and innovation performance of the EU – A competitive Europe for a sustainable future</w:t>
        </w:r>
      </w:hyperlink>
      <w:r w:rsidRPr="00220722">
        <w:rPr>
          <w:lang w:val="en-IE"/>
        </w:rPr>
        <w:t xml:space="preserve">, 2024. </w:t>
      </w:r>
    </w:p>
  </w:footnote>
  <w:footnote w:id="76">
    <w:p w14:paraId="5C6B944B" w14:textId="753AA7B9" w:rsidR="00234180" w:rsidRPr="008303BC" w:rsidRDefault="00234180" w:rsidP="00234180">
      <w:pPr>
        <w:pStyle w:val="FootnoteText"/>
        <w:ind w:left="426" w:hanging="426"/>
        <w:rPr>
          <w:szCs w:val="18"/>
        </w:rPr>
      </w:pPr>
      <w:r>
        <w:rPr>
          <w:szCs w:val="18"/>
          <w:vertAlign w:val="superscript"/>
          <w:lang w:val="en-IE"/>
        </w:rPr>
        <w:footnoteRef/>
      </w:r>
      <w:r>
        <w:rPr>
          <w:vertAlign w:val="superscript"/>
        </w:rPr>
        <w:t xml:space="preserve"> </w:t>
      </w:r>
      <w:r>
        <w:tab/>
      </w:r>
      <w:r>
        <w:rPr>
          <w:rStyle w:val="FootnoteTextChar"/>
        </w:rPr>
        <w:t>Perustuu otokseen, jonka JRC on valinnut PitchBookin vertikaalien ja syväanalyysien perusteella CETOn</w:t>
      </w:r>
      <w:r>
        <w:t xml:space="preserve"> ja Euroopan ilmastoneutraalin teollisuuden kilpailukyvyn tulostaulun tarkoituksia varten.</w:t>
      </w:r>
      <w:r>
        <w:rPr>
          <w:rStyle w:val="FootnoteTextChar"/>
        </w:rPr>
        <w:t xml:space="preserve"> Lisätietoa: Euroopan komission yhteinen tutkimuskeskus, Georgakaki, A., Taylor, N., Ince, E., Koukoufikis, G., Kuokkanen, A., Kuzov, T., Letout, S., Mountraki, A., Murauskaite-Bull, I., Mancini, L., Miletic, M., Pennington, D., Ozdemir, E. ja Terça, G., CETO, </w:t>
      </w:r>
      <w:r>
        <w:rPr>
          <w:rStyle w:val="FootnoteTextChar"/>
          <w:i/>
        </w:rPr>
        <w:t>Overall Strategic Analysis of Clean Energy Technology in the European Union</w:t>
      </w:r>
      <w:r>
        <w:rPr>
          <w:rStyle w:val="FootnoteTextChar"/>
        </w:rPr>
        <w:t>, 2024.</w:t>
      </w:r>
    </w:p>
  </w:footnote>
  <w:footnote w:id="77">
    <w:p w14:paraId="3DDF22EA" w14:textId="6641586B" w:rsidR="00572DCA" w:rsidRPr="00572DCA" w:rsidRDefault="00572DCA" w:rsidP="00044185">
      <w:pPr>
        <w:pStyle w:val="FootnoteText"/>
        <w:ind w:left="426" w:hanging="426"/>
      </w:pPr>
      <w:r>
        <w:rPr>
          <w:rStyle w:val="FootnoteReference"/>
        </w:rPr>
        <w:footnoteRef/>
      </w:r>
      <w:r>
        <w:t xml:space="preserve"> </w:t>
      </w:r>
      <w:r>
        <w:tab/>
        <w:t xml:space="preserve">Perustuu vuotta 2024 koskeviin osittaisiin tietoihin, jotka on poimittu PitchBookin tietokannasta tammikuussa 2025 JRC:n CETOn tarkoituksia varten valitseman otoksen perusteella. </w:t>
      </w:r>
    </w:p>
  </w:footnote>
  <w:footnote w:id="78">
    <w:p w14:paraId="531F4519" w14:textId="77777777" w:rsidR="00250DCA" w:rsidRPr="008303BC" w:rsidRDefault="00250DCA" w:rsidP="00250DCA">
      <w:pPr>
        <w:pStyle w:val="FootnoteText"/>
        <w:ind w:left="426" w:hanging="426"/>
        <w:rPr>
          <w:szCs w:val="18"/>
        </w:rPr>
      </w:pPr>
      <w:r>
        <w:rPr>
          <w:rStyle w:val="FootnoteReference"/>
          <w:szCs w:val="18"/>
          <w:lang w:val="en-IE"/>
        </w:rPr>
        <w:footnoteRef/>
      </w:r>
      <w:r>
        <w:rPr>
          <w:rStyle w:val="FootnoteReference"/>
        </w:rPr>
        <w:t xml:space="preserve"> </w:t>
      </w:r>
      <w:r>
        <w:tab/>
      </w:r>
      <w:r>
        <w:rPr>
          <w:rStyle w:val="FootnoteTextChar"/>
        </w:rPr>
        <w:t xml:space="preserve">EUVL L, 2024/795, 29.2.2024. Lisätietoa: </w:t>
      </w:r>
      <w:hyperlink r:id="rId43" w:history="1">
        <w:r>
          <w:rPr>
            <w:rStyle w:val="Hyperlink"/>
          </w:rPr>
          <w:t>https://strategic-technologies.europa.eu</w:t>
        </w:r>
      </w:hyperlink>
      <w:r>
        <w:rPr>
          <w:rStyle w:val="FootnoteTextChar"/>
        </w:rPr>
        <w:t xml:space="preserve">. </w:t>
      </w:r>
    </w:p>
  </w:footnote>
  <w:footnote w:id="79">
    <w:p w14:paraId="748B5FFD" w14:textId="697FBCDD" w:rsidR="00086CF4" w:rsidRPr="00220722" w:rsidRDefault="00086CF4" w:rsidP="00086CF4">
      <w:pPr>
        <w:pStyle w:val="FootnoteText"/>
        <w:ind w:left="426" w:hanging="426"/>
        <w:rPr>
          <w:szCs w:val="18"/>
          <w:lang w:val="en-IE"/>
        </w:rPr>
      </w:pPr>
      <w:r>
        <w:rPr>
          <w:szCs w:val="18"/>
          <w:vertAlign w:val="superscript"/>
          <w:lang w:val="en-IE"/>
        </w:rPr>
        <w:footnoteRef/>
      </w:r>
      <w:r w:rsidRPr="00220722">
        <w:rPr>
          <w:lang w:val="en-IE"/>
        </w:rPr>
        <w:t xml:space="preserve"> </w:t>
      </w:r>
      <w:r w:rsidRPr="00220722">
        <w:rPr>
          <w:lang w:val="en-IE"/>
        </w:rPr>
        <w:tab/>
        <w:t xml:space="preserve">Euroopan investointipankki, </w:t>
      </w:r>
      <w:hyperlink r:id="rId44" w:history="1">
        <w:r w:rsidRPr="00220722">
          <w:rPr>
            <w:rStyle w:val="Hyperlink"/>
            <w:i/>
            <w:lang w:val="en-IE"/>
          </w:rPr>
          <w:t>The scale-up gap</w:t>
        </w:r>
      </w:hyperlink>
      <w:r w:rsidRPr="00220722">
        <w:rPr>
          <w:lang w:val="en-IE"/>
        </w:rPr>
        <w:t>, 2024.</w:t>
      </w:r>
    </w:p>
  </w:footnote>
  <w:footnote w:id="80">
    <w:p w14:paraId="15C79AEA" w14:textId="03233A1C" w:rsidR="00086CF4" w:rsidRPr="00220722" w:rsidRDefault="00086CF4" w:rsidP="00086CF4">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Mario Draghi, </w:t>
      </w:r>
      <w:hyperlink r:id="rId45" w:history="1">
        <w:r w:rsidRPr="00220722">
          <w:rPr>
            <w:rStyle w:val="Hyperlink"/>
            <w:i/>
            <w:lang w:val="en-IE"/>
          </w:rPr>
          <w:t>The future of European competitiveness</w:t>
        </w:r>
      </w:hyperlink>
      <w:r w:rsidRPr="00220722">
        <w:rPr>
          <w:lang w:val="en-IE"/>
        </w:rPr>
        <w:t>, 2024.</w:t>
      </w:r>
    </w:p>
  </w:footnote>
  <w:footnote w:id="81">
    <w:p w14:paraId="258ECBFD" w14:textId="31DF38B4" w:rsidR="00086CF4" w:rsidRPr="00220722" w:rsidRDefault="00086CF4" w:rsidP="00AD7BF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Enrico Letta, </w:t>
      </w:r>
      <w:hyperlink r:id="rId46" w:history="1">
        <w:r w:rsidRPr="00220722">
          <w:rPr>
            <w:rStyle w:val="Hyperlink"/>
            <w:i/>
            <w:lang w:val="en-IE"/>
          </w:rPr>
          <w:t>Much more than a market</w:t>
        </w:r>
      </w:hyperlink>
      <w:r w:rsidRPr="00220722">
        <w:rPr>
          <w:lang w:val="en-IE"/>
        </w:rPr>
        <w:t>, 2024.</w:t>
      </w:r>
    </w:p>
  </w:footnote>
  <w:footnote w:id="82">
    <w:p w14:paraId="5B906FEE" w14:textId="0AF44DAF" w:rsidR="003522A1" w:rsidRPr="004620A2" w:rsidRDefault="003522A1" w:rsidP="003522A1">
      <w:pPr>
        <w:pStyle w:val="FootnoteText"/>
        <w:ind w:left="426" w:hanging="426"/>
      </w:pPr>
      <w:r>
        <w:rPr>
          <w:rStyle w:val="FootnoteReference"/>
        </w:rPr>
        <w:footnoteRef/>
      </w:r>
      <w:r>
        <w:t xml:space="preserve"> </w:t>
      </w:r>
      <w:r>
        <w:tab/>
        <w:t xml:space="preserve">Lisätietoa: </w:t>
      </w:r>
      <w:hyperlink r:id="rId47" w:history="1">
        <w:r>
          <w:rPr>
            <w:rStyle w:val="Hyperlink"/>
          </w:rPr>
          <w:t>kannanottopyyntö Euroopan säästö- ja investointiunionista</w:t>
        </w:r>
      </w:hyperlink>
      <w:r>
        <w:t>.</w:t>
      </w:r>
    </w:p>
  </w:footnote>
  <w:footnote w:id="83">
    <w:p w14:paraId="72347F99" w14:textId="647D6923" w:rsidR="00086CF4" w:rsidRPr="00220722" w:rsidRDefault="00086CF4" w:rsidP="00086CF4">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COM(2025) 30 final.</w:t>
      </w:r>
    </w:p>
  </w:footnote>
  <w:footnote w:id="84">
    <w:p w14:paraId="7C15D970" w14:textId="309CE2E1" w:rsidR="005F7134" w:rsidRPr="00220722" w:rsidRDefault="005F7134"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rStyle w:val="normaltextrun"/>
          <w:color w:val="000000"/>
          <w:shd w:val="clear" w:color="auto" w:fill="FFFFFF"/>
          <w:lang w:val="en-IE"/>
        </w:rPr>
        <w:t>COM(2022) 221 final.</w:t>
      </w:r>
      <w:r w:rsidRPr="00220722">
        <w:rPr>
          <w:i/>
          <w:lang w:val="en-IE"/>
        </w:rPr>
        <w:t xml:space="preserve"> </w:t>
      </w:r>
    </w:p>
  </w:footnote>
  <w:footnote w:id="85">
    <w:p w14:paraId="6D439CEA" w14:textId="71A599AD" w:rsidR="005F7134" w:rsidRPr="00220722" w:rsidRDefault="005F7134" w:rsidP="00AF2E83">
      <w:pPr>
        <w:pStyle w:val="FootnoteText"/>
        <w:ind w:left="426" w:hanging="426"/>
        <w:rPr>
          <w:lang w:val="en-IE"/>
        </w:rPr>
      </w:pPr>
      <w:r>
        <w:rPr>
          <w:rStyle w:val="FootnoteReference"/>
          <w:lang w:val="en-IE"/>
        </w:rPr>
        <w:footnoteRef/>
      </w:r>
      <w:r w:rsidRPr="00220722">
        <w:rPr>
          <w:lang w:val="en-IE"/>
        </w:rPr>
        <w:t xml:space="preserve"> </w:t>
      </w:r>
      <w:r w:rsidRPr="00220722">
        <w:rPr>
          <w:lang w:val="en-IE"/>
        </w:rPr>
        <w:tab/>
        <w:t xml:space="preserve">Jaeger-Waldau, A., </w:t>
      </w:r>
      <w:r w:rsidRPr="00220722">
        <w:rPr>
          <w:i/>
          <w:lang w:val="en-IE"/>
        </w:rPr>
        <w:t>Snapshot of Photovoltaics</w:t>
      </w:r>
      <w:r w:rsidRPr="00220722">
        <w:rPr>
          <w:lang w:val="en-IE"/>
        </w:rPr>
        <w:t>, 2025 (julkaistaan myöhemmin).</w:t>
      </w:r>
    </w:p>
  </w:footnote>
  <w:footnote w:id="86">
    <w:p w14:paraId="55E7A754" w14:textId="341C89B9" w:rsidR="005F7134" w:rsidRPr="00220722" w:rsidRDefault="005F7134"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rStyle w:val="normaltextrun"/>
          <w:color w:val="000000"/>
          <w:shd w:val="clear" w:color="auto" w:fill="FFFFFF"/>
          <w:lang w:val="en-IE"/>
        </w:rPr>
        <w:t>IEA,</w:t>
      </w:r>
      <w:r w:rsidRPr="00220722">
        <w:rPr>
          <w:lang w:val="en-IE"/>
        </w:rPr>
        <w:t xml:space="preserve"> </w:t>
      </w:r>
      <w:r w:rsidRPr="00220722">
        <w:rPr>
          <w:i/>
          <w:lang w:val="en-IE"/>
        </w:rPr>
        <w:t>Advancing Clean Technology Manufacturing</w:t>
      </w:r>
      <w:r w:rsidRPr="00220722">
        <w:rPr>
          <w:lang w:val="en-IE"/>
        </w:rPr>
        <w:t>, 2024.</w:t>
      </w:r>
    </w:p>
  </w:footnote>
  <w:footnote w:id="87">
    <w:p w14:paraId="330B3821" w14:textId="7E97E7A5" w:rsidR="005F7134" w:rsidRPr="008303BC" w:rsidRDefault="005F7134" w:rsidP="00AF2E83">
      <w:pPr>
        <w:pStyle w:val="FootnoteText"/>
        <w:ind w:left="426" w:hanging="426"/>
        <w:rPr>
          <w:rStyle w:val="normaltextrun"/>
          <w:color w:val="000000"/>
          <w:szCs w:val="18"/>
          <w:shd w:val="clear" w:color="auto" w:fill="FFFFFF"/>
        </w:rPr>
      </w:pPr>
      <w:r>
        <w:rPr>
          <w:rStyle w:val="FootnoteReference"/>
          <w:szCs w:val="18"/>
          <w:lang w:val="en-IE"/>
        </w:rPr>
        <w:footnoteRef/>
      </w:r>
      <w:r>
        <w:rPr>
          <w:rStyle w:val="normaltextrun"/>
          <w:color w:val="000000"/>
          <w:shd w:val="clear" w:color="auto" w:fill="FFFFFF"/>
        </w:rPr>
        <w:t xml:space="preserve"> </w:t>
      </w:r>
      <w:r>
        <w:rPr>
          <w:rStyle w:val="normaltextrun"/>
          <w:color w:val="000000"/>
          <w:shd w:val="clear" w:color="auto" w:fill="FFFFFF"/>
        </w:rPr>
        <w:tab/>
        <w:t>EUVL L, 2024/1735, 28.6.2024, johdanto-osan 16 kappale.</w:t>
      </w:r>
    </w:p>
  </w:footnote>
  <w:footnote w:id="88">
    <w:p w14:paraId="50751212" w14:textId="2EE8D007" w:rsidR="005F7134" w:rsidRPr="00220722" w:rsidRDefault="005F7134"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Solar Power Europe, </w:t>
      </w:r>
      <w:hyperlink r:id="rId48" w:history="1">
        <w:r w:rsidRPr="00220722">
          <w:rPr>
            <w:rStyle w:val="Hyperlink"/>
            <w:i/>
            <w:lang w:val="en-IE"/>
          </w:rPr>
          <w:t>Inverter Explained 2.0</w:t>
        </w:r>
        <w:r w:rsidRPr="00220722">
          <w:rPr>
            <w:rStyle w:val="Hyperlink"/>
            <w:lang w:val="en-IE"/>
          </w:rPr>
          <w:t>,</w:t>
        </w:r>
      </w:hyperlink>
      <w:r w:rsidRPr="00220722">
        <w:rPr>
          <w:lang w:val="en-IE"/>
        </w:rPr>
        <w:t xml:space="preserve"> kesäkuu 2024.</w:t>
      </w:r>
    </w:p>
  </w:footnote>
  <w:footnote w:id="89">
    <w:p w14:paraId="7D7326B5" w14:textId="2190B8FC" w:rsidR="00A7143B" w:rsidRPr="00220722" w:rsidRDefault="00A7143B"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Euroopan komission yhteinen tutkimuskeskus, Chatzipanagi, A., Jaeger-Waldau, A., Letout, S., Mountraki, A., Gea Bermudez, J., Georgakaki, A., Ince, E. ja Schmitz, A., CETO, </w:t>
      </w:r>
      <w:hyperlink r:id="rId49" w:history="1">
        <w:r w:rsidRPr="00220722">
          <w:rPr>
            <w:rStyle w:val="Hyperlink"/>
            <w:i/>
            <w:lang w:val="en-IE"/>
          </w:rPr>
          <w:t>Photovoltaics in the European Union</w:t>
        </w:r>
      </w:hyperlink>
      <w:r w:rsidRPr="00220722">
        <w:rPr>
          <w:lang w:val="en-IE"/>
        </w:rPr>
        <w:t>, 2024.</w:t>
      </w:r>
    </w:p>
  </w:footnote>
  <w:footnote w:id="90">
    <w:p w14:paraId="42456041" w14:textId="382A1C01" w:rsidR="00B34262" w:rsidRPr="00B34262" w:rsidRDefault="00B34262" w:rsidP="00B27A5E">
      <w:pPr>
        <w:pStyle w:val="FootnoteText"/>
        <w:ind w:left="426" w:hanging="426"/>
      </w:pPr>
      <w:r>
        <w:rPr>
          <w:rStyle w:val="FootnoteReference"/>
        </w:rPr>
        <w:footnoteRef/>
      </w:r>
      <w:r>
        <w:t xml:space="preserve"> </w:t>
      </w:r>
      <w:r>
        <w:tab/>
        <w:t xml:space="preserve">ESMC:n </w:t>
      </w:r>
      <w:hyperlink r:id="rId50" w:history="1">
        <w:r>
          <w:rPr>
            <w:rStyle w:val="Hyperlink"/>
          </w:rPr>
          <w:t>kirje Euroopan komissiolle</w:t>
        </w:r>
      </w:hyperlink>
      <w:r>
        <w:t>, tammikuu 2024.</w:t>
      </w:r>
    </w:p>
  </w:footnote>
  <w:footnote w:id="91">
    <w:p w14:paraId="12F97854" w14:textId="70A83ADB" w:rsidR="005F7134" w:rsidRPr="00220722" w:rsidRDefault="005F7134"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51" w:history="1">
        <w:r w:rsidRPr="00220722">
          <w:rPr>
            <w:rStyle w:val="Hyperlink"/>
            <w:i/>
            <w:lang w:val="en-IE"/>
          </w:rPr>
          <w:t>Photovoltaics in the European Union</w:t>
        </w:r>
      </w:hyperlink>
      <w:r w:rsidRPr="00220722">
        <w:rPr>
          <w:lang w:val="en-IE"/>
        </w:rPr>
        <w:t>, 2024</w:t>
      </w:r>
      <w:r w:rsidRPr="00220722">
        <w:rPr>
          <w:rStyle w:val="normaltextrun"/>
          <w:color w:val="000000"/>
          <w:shd w:val="clear" w:color="auto" w:fill="FFFFFF"/>
          <w:lang w:val="en-IE"/>
        </w:rPr>
        <w:t xml:space="preserve">. </w:t>
      </w:r>
    </w:p>
  </w:footnote>
  <w:footnote w:id="92">
    <w:p w14:paraId="0789DF73" w14:textId="16E054D9" w:rsidR="005F7134" w:rsidRPr="00220722" w:rsidRDefault="005F7134"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IEA, </w:t>
      </w:r>
      <w:r w:rsidRPr="00220722">
        <w:rPr>
          <w:i/>
          <w:lang w:val="en-IE"/>
        </w:rPr>
        <w:t>Renewables 2023 - Analysis and forecast to 2028</w:t>
      </w:r>
      <w:r w:rsidRPr="00220722">
        <w:rPr>
          <w:lang w:val="en-IE"/>
        </w:rPr>
        <w:t>, 2024.</w:t>
      </w:r>
    </w:p>
  </w:footnote>
  <w:footnote w:id="93">
    <w:p w14:paraId="4F4DE357" w14:textId="7C2A7CA3" w:rsidR="005F7134" w:rsidRPr="00220722" w:rsidRDefault="005F7134"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PV Exchange, </w:t>
      </w:r>
      <w:hyperlink r:id="rId52" w:history="1">
        <w:r w:rsidRPr="00220722">
          <w:rPr>
            <w:rStyle w:val="Hyperlink"/>
            <w:lang w:val="en-IE"/>
          </w:rPr>
          <w:t>”Solar Market Analysis January 2025 - PV module prices at crossroads”</w:t>
        </w:r>
      </w:hyperlink>
      <w:r w:rsidRPr="00220722">
        <w:rPr>
          <w:lang w:val="en-IE"/>
        </w:rPr>
        <w:t>, 2025.</w:t>
      </w:r>
    </w:p>
  </w:footnote>
  <w:footnote w:id="94">
    <w:p w14:paraId="7A177305" w14:textId="1FF918E6" w:rsidR="005F7134" w:rsidRPr="00220722" w:rsidRDefault="005F7134"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rStyle w:val="normaltextrun"/>
          <w:color w:val="000000"/>
          <w:shd w:val="clear" w:color="auto" w:fill="FFFFFF"/>
          <w:lang w:val="en-IE"/>
        </w:rPr>
        <w:t>IEA,</w:t>
      </w:r>
      <w:r w:rsidRPr="00220722">
        <w:rPr>
          <w:lang w:val="en-IE"/>
        </w:rPr>
        <w:t xml:space="preserve"> </w:t>
      </w:r>
      <w:r w:rsidRPr="00220722">
        <w:rPr>
          <w:i/>
          <w:lang w:val="en-IE"/>
        </w:rPr>
        <w:t>Advancing Clean Technology Manufacturing</w:t>
      </w:r>
      <w:r w:rsidRPr="00220722">
        <w:rPr>
          <w:lang w:val="en-IE"/>
        </w:rPr>
        <w:t>, 2024.</w:t>
      </w:r>
    </w:p>
  </w:footnote>
  <w:footnote w:id="95">
    <w:p w14:paraId="70A46EAA" w14:textId="4733731E" w:rsidR="005F7134" w:rsidRPr="008303BC" w:rsidRDefault="005F7134" w:rsidP="00AF2E83">
      <w:pPr>
        <w:pStyle w:val="FootnoteText"/>
        <w:ind w:left="426" w:hanging="426"/>
        <w:rPr>
          <w:szCs w:val="18"/>
        </w:rPr>
      </w:pPr>
      <w:r>
        <w:rPr>
          <w:rStyle w:val="FootnoteReference"/>
          <w:szCs w:val="18"/>
          <w:lang w:val="en-IE"/>
        </w:rPr>
        <w:footnoteRef/>
      </w:r>
      <w:r>
        <w:t xml:space="preserve"> </w:t>
      </w:r>
      <w:r>
        <w:tab/>
      </w:r>
      <w:hyperlink r:id="rId53" w:history="1">
        <w:r>
          <w:rPr>
            <w:rStyle w:val="Hyperlink"/>
          </w:rPr>
          <w:t>Euroopan aurinkovoimaa koskeva peruskirja</w:t>
        </w:r>
      </w:hyperlink>
      <w:r>
        <w:t xml:space="preserve">, 2024. </w:t>
      </w:r>
    </w:p>
  </w:footnote>
  <w:footnote w:id="96">
    <w:p w14:paraId="6F3666AB" w14:textId="359B72C5" w:rsidR="005F7134" w:rsidRPr="008303BC" w:rsidRDefault="005F7134" w:rsidP="00AF2E83">
      <w:pPr>
        <w:pStyle w:val="FootnoteText"/>
        <w:ind w:left="426" w:hanging="426"/>
        <w:rPr>
          <w:szCs w:val="18"/>
        </w:rPr>
      </w:pPr>
      <w:r>
        <w:rPr>
          <w:rStyle w:val="FootnoteReference"/>
          <w:szCs w:val="18"/>
          <w:lang w:val="en-IE"/>
        </w:rPr>
        <w:footnoteRef/>
      </w:r>
      <w:r>
        <w:t xml:space="preserve"> </w:t>
      </w:r>
      <w:r>
        <w:tab/>
        <w:t xml:space="preserve">CETO, </w:t>
      </w:r>
      <w:hyperlink r:id="rId54" w:history="1">
        <w:r>
          <w:rPr>
            <w:rStyle w:val="Hyperlink"/>
            <w:i/>
          </w:rPr>
          <w:t>Photovoltaics in the European Union</w:t>
        </w:r>
      </w:hyperlink>
      <w:r>
        <w:t>, 2024</w:t>
      </w:r>
      <w:r>
        <w:rPr>
          <w:rStyle w:val="normaltextrun"/>
          <w:color w:val="000000"/>
          <w:shd w:val="clear" w:color="auto" w:fill="FFFFFF"/>
        </w:rPr>
        <w:t>.</w:t>
      </w:r>
    </w:p>
  </w:footnote>
  <w:footnote w:id="97">
    <w:p w14:paraId="150D9227" w14:textId="2B4A5288" w:rsidR="005F7134" w:rsidRPr="008303BC" w:rsidRDefault="005F7134" w:rsidP="00AF2E83">
      <w:pPr>
        <w:pStyle w:val="FootnoteText"/>
        <w:ind w:left="426" w:hanging="426"/>
        <w:rPr>
          <w:szCs w:val="18"/>
        </w:rPr>
      </w:pPr>
      <w:r>
        <w:rPr>
          <w:rStyle w:val="FootnoteReference"/>
          <w:szCs w:val="18"/>
          <w:lang w:val="en-IE"/>
        </w:rPr>
        <w:footnoteRef/>
      </w:r>
      <w:r>
        <w:t xml:space="preserve"> </w:t>
      </w:r>
      <w:r>
        <w:tab/>
      </w:r>
      <w:hyperlink r:id="rId55" w:history="1">
        <w:r>
          <w:rPr>
            <w:rStyle w:val="Hyperlink"/>
          </w:rPr>
          <w:t>Euroopan aurinkovoimaa koskeva peruskirja</w:t>
        </w:r>
      </w:hyperlink>
      <w:r>
        <w:t xml:space="preserve">, 2024.  </w:t>
      </w:r>
    </w:p>
  </w:footnote>
  <w:footnote w:id="98">
    <w:p w14:paraId="10A4ADAA" w14:textId="135CFCC4" w:rsidR="00542BBB" w:rsidRPr="008303BC" w:rsidRDefault="00542BBB" w:rsidP="00AF2E83">
      <w:pPr>
        <w:pStyle w:val="FootnoteText"/>
        <w:ind w:left="426" w:hanging="426"/>
        <w:rPr>
          <w:rFonts w:eastAsia="Times New Roman"/>
          <w:szCs w:val="18"/>
        </w:rPr>
      </w:pPr>
      <w:r>
        <w:rPr>
          <w:rStyle w:val="FootnoteReference"/>
          <w:szCs w:val="18"/>
          <w:lang w:val="en-IE"/>
        </w:rPr>
        <w:footnoteRef/>
      </w:r>
      <w:r>
        <w:t xml:space="preserve"> </w:t>
      </w:r>
      <w:r>
        <w:tab/>
        <w:t xml:space="preserve">COM(2022) 221 final. </w:t>
      </w:r>
    </w:p>
  </w:footnote>
  <w:footnote w:id="99">
    <w:p w14:paraId="18A70DBB" w14:textId="306792EE" w:rsidR="00542BBB" w:rsidRPr="00220722" w:rsidRDefault="00542BBB"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EurObserv’ER, ”Solar thermal and concentrated solar power barometer”, 2024.</w:t>
      </w:r>
    </w:p>
  </w:footnote>
  <w:footnote w:id="100">
    <w:p w14:paraId="5BC67089" w14:textId="78C222B1" w:rsidR="00542BBB" w:rsidRPr="00220722" w:rsidRDefault="00542BBB" w:rsidP="00AF2E83">
      <w:pPr>
        <w:spacing w:after="0"/>
        <w:ind w:left="426" w:hanging="426"/>
        <w:rPr>
          <w:sz w:val="18"/>
          <w:szCs w:val="18"/>
          <w:lang w:val="en-IE"/>
        </w:rPr>
      </w:pPr>
      <w:r>
        <w:rPr>
          <w:sz w:val="18"/>
          <w:szCs w:val="18"/>
          <w:vertAlign w:val="superscript"/>
          <w:lang w:val="en-IE"/>
        </w:rPr>
        <w:footnoteRef/>
      </w:r>
      <w:r w:rsidRPr="00220722">
        <w:rPr>
          <w:sz w:val="18"/>
          <w:lang w:val="en-IE"/>
        </w:rPr>
        <w:t xml:space="preserve"> </w:t>
      </w:r>
      <w:r w:rsidRPr="00220722">
        <w:rPr>
          <w:sz w:val="18"/>
          <w:lang w:val="en-IE"/>
        </w:rPr>
        <w:tab/>
        <w:t>Ks. edellinen alaviite.</w:t>
      </w:r>
    </w:p>
  </w:footnote>
  <w:footnote w:id="101">
    <w:p w14:paraId="66D81B0C" w14:textId="48680A43" w:rsidR="00542BBB" w:rsidRPr="00220722" w:rsidRDefault="00542BBB"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Weiss, W., Spörk-Dür, M., </w:t>
      </w:r>
      <w:hyperlink r:id="rId56" w:history="1">
        <w:r w:rsidRPr="00220722">
          <w:rPr>
            <w:rStyle w:val="Hyperlink"/>
            <w:i/>
            <w:lang w:val="en-IE"/>
          </w:rPr>
          <w:t>Solar Heat Worldwide</w:t>
        </w:r>
      </w:hyperlink>
      <w:r w:rsidRPr="00220722">
        <w:rPr>
          <w:lang w:val="en-IE"/>
        </w:rPr>
        <w:t xml:space="preserve">, 2024. </w:t>
      </w:r>
    </w:p>
  </w:footnote>
  <w:footnote w:id="102">
    <w:p w14:paraId="0B928F0D" w14:textId="15D7E658" w:rsidR="00542BBB" w:rsidRPr="00220722" w:rsidRDefault="00542BBB" w:rsidP="00925CD9">
      <w:pPr>
        <w:pStyle w:val="FootnoteText"/>
        <w:ind w:left="426" w:hanging="426"/>
        <w:rPr>
          <w:rFonts w:eastAsia="Times New Roman"/>
          <w:szCs w:val="18"/>
          <w:lang w:val="en-IE"/>
        </w:rPr>
      </w:pPr>
      <w:r>
        <w:rPr>
          <w:rStyle w:val="FootnoteReference"/>
          <w:szCs w:val="18"/>
          <w:lang w:val="en-IE"/>
        </w:rPr>
        <w:footnoteRef/>
      </w:r>
      <w:r w:rsidRPr="00220722">
        <w:rPr>
          <w:lang w:val="en-IE"/>
        </w:rPr>
        <w:t xml:space="preserve"> </w:t>
      </w:r>
      <w:r w:rsidRPr="00220722">
        <w:rPr>
          <w:lang w:val="en-IE"/>
        </w:rPr>
        <w:tab/>
        <w:t>Eurostat (</w:t>
      </w:r>
      <w:hyperlink r:id="rId57" w:history="1">
        <w:r w:rsidRPr="00220722">
          <w:rPr>
            <w:rStyle w:val="Hyperlink"/>
            <w:lang w:val="en-IE"/>
          </w:rPr>
          <w:t>nrg_inf_epcrw</w:t>
        </w:r>
      </w:hyperlink>
      <w:r w:rsidRPr="00220722">
        <w:rPr>
          <w:lang w:val="en-IE"/>
        </w:rPr>
        <w:t>), sivustolla käyty 12.2.2025, ja Euroopan komission yhteinen tutkimuskeskus, Carlsson, J., Taylor, N., Georgakaki, A., Letout, S., Mountraki, A., Ince, E., Schmitz, A. ja Gea Bermudez, J., CETO,</w:t>
      </w:r>
      <w:r w:rsidRPr="00220722">
        <w:rPr>
          <w:i/>
          <w:lang w:val="en-IE"/>
        </w:rPr>
        <w:t xml:space="preserve"> </w:t>
      </w:r>
      <w:hyperlink r:id="rId58" w:history="1">
        <w:r w:rsidRPr="00220722">
          <w:rPr>
            <w:rStyle w:val="Hyperlink"/>
            <w:i/>
            <w:lang w:val="en-IE"/>
          </w:rPr>
          <w:t>Solar Thermal Energy in the European Union</w:t>
        </w:r>
      </w:hyperlink>
      <w:r w:rsidRPr="00220722">
        <w:rPr>
          <w:lang w:val="en-IE"/>
        </w:rPr>
        <w:t xml:space="preserve">, 2024. </w:t>
      </w:r>
    </w:p>
  </w:footnote>
  <w:footnote w:id="103">
    <w:p w14:paraId="009D9B61" w14:textId="36BA5773" w:rsidR="00201F40" w:rsidRPr="00220722" w:rsidRDefault="00201F40"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REN21, </w:t>
      </w:r>
      <w:r w:rsidRPr="00220722">
        <w:rPr>
          <w:i/>
          <w:lang w:val="en-IE"/>
        </w:rPr>
        <w:t>Renewables 2024 Global Status Report Collection: Energy Supply</w:t>
      </w:r>
      <w:r w:rsidRPr="00220722">
        <w:rPr>
          <w:lang w:val="en-IE"/>
        </w:rPr>
        <w:t>, 2024.</w:t>
      </w:r>
    </w:p>
  </w:footnote>
  <w:footnote w:id="104">
    <w:p w14:paraId="1086AA96" w14:textId="6EBD55F1" w:rsidR="00542BBB" w:rsidRPr="00220722" w:rsidRDefault="00542BBB"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EurObserv’RE, ”Concentrated Solar Power and Solar Thermal Barometer”, 2023.</w:t>
      </w:r>
    </w:p>
  </w:footnote>
  <w:footnote w:id="105">
    <w:p w14:paraId="194AED33" w14:textId="0042B367" w:rsidR="00542BBB" w:rsidRPr="00220722" w:rsidRDefault="00542BBB" w:rsidP="00815682">
      <w:pPr>
        <w:keepNext/>
        <w:keepLines/>
        <w:shd w:val="clear" w:color="auto" w:fill="FFFFFF" w:themeFill="background1"/>
        <w:spacing w:after="0"/>
        <w:ind w:left="426" w:hanging="426"/>
        <w:rPr>
          <w:rFonts w:eastAsia="Times New Roman"/>
          <w:sz w:val="18"/>
          <w:szCs w:val="18"/>
          <w:lang w:val="en-IE"/>
        </w:rPr>
      </w:pPr>
      <w:r>
        <w:rPr>
          <w:rStyle w:val="FootnoteReference"/>
          <w:sz w:val="18"/>
          <w:szCs w:val="18"/>
          <w:lang w:val="en-IE"/>
        </w:rPr>
        <w:footnoteRef/>
      </w:r>
      <w:r w:rsidRPr="00220722">
        <w:rPr>
          <w:sz w:val="18"/>
          <w:lang w:val="en-IE"/>
        </w:rPr>
        <w:t xml:space="preserve"> </w:t>
      </w:r>
      <w:r w:rsidRPr="00220722">
        <w:rPr>
          <w:sz w:val="18"/>
          <w:lang w:val="en-IE"/>
        </w:rPr>
        <w:tab/>
        <w:t>CETO,</w:t>
      </w:r>
      <w:r w:rsidRPr="00220722">
        <w:rPr>
          <w:i/>
          <w:sz w:val="18"/>
          <w:lang w:val="en-IE"/>
        </w:rPr>
        <w:t xml:space="preserve"> </w:t>
      </w:r>
      <w:hyperlink r:id="rId59" w:history="1">
        <w:r w:rsidRPr="00220722">
          <w:rPr>
            <w:rStyle w:val="Hyperlink"/>
            <w:i/>
            <w:sz w:val="18"/>
            <w:lang w:val="en-IE"/>
          </w:rPr>
          <w:t>Solar Thermal Energy in the European Union</w:t>
        </w:r>
      </w:hyperlink>
      <w:r w:rsidRPr="00220722">
        <w:rPr>
          <w:sz w:val="18"/>
          <w:lang w:val="en-IE"/>
        </w:rPr>
        <w:t>, 2024</w:t>
      </w:r>
      <w:r w:rsidRPr="00220722">
        <w:rPr>
          <w:i/>
          <w:sz w:val="18"/>
          <w:lang w:val="en-IE"/>
        </w:rPr>
        <w:t>.</w:t>
      </w:r>
    </w:p>
  </w:footnote>
  <w:footnote w:id="106">
    <w:p w14:paraId="6DDB6DCC" w14:textId="7A81BAD1" w:rsidR="00FD54F1" w:rsidRPr="00B27A5E" w:rsidRDefault="00FD54F1" w:rsidP="00B27A5E">
      <w:pPr>
        <w:pStyle w:val="FootnoteText"/>
        <w:ind w:left="426" w:hanging="426"/>
      </w:pPr>
      <w:r>
        <w:rPr>
          <w:rStyle w:val="FootnoteReference"/>
        </w:rPr>
        <w:footnoteRef/>
      </w:r>
      <w:r>
        <w:t xml:space="preserve"> </w:t>
      </w:r>
      <w:r>
        <w:tab/>
        <w:t xml:space="preserve">IEA, </w:t>
      </w:r>
      <w:hyperlink r:id="rId60" w:history="1">
        <w:r>
          <w:rPr>
            <w:rStyle w:val="Hyperlink"/>
            <w:i/>
          </w:rPr>
          <w:t>Renewables 2023</w:t>
        </w:r>
      </w:hyperlink>
      <w:r>
        <w:t>, 2024.</w:t>
      </w:r>
    </w:p>
  </w:footnote>
  <w:footnote w:id="107">
    <w:p w14:paraId="76AFC0A3" w14:textId="516B18A1" w:rsidR="00542BBB" w:rsidRPr="008303BC" w:rsidRDefault="00542BBB" w:rsidP="00386D40">
      <w:pPr>
        <w:pStyle w:val="FootnoteText"/>
        <w:ind w:left="426" w:hanging="426"/>
        <w:rPr>
          <w:szCs w:val="18"/>
        </w:rPr>
      </w:pPr>
      <w:r>
        <w:rPr>
          <w:rStyle w:val="FootnoteReference"/>
          <w:szCs w:val="18"/>
          <w:lang w:val="en-IE"/>
        </w:rPr>
        <w:footnoteRef/>
      </w:r>
      <w:r>
        <w:t xml:space="preserve"> </w:t>
      </w:r>
      <w:r>
        <w:tab/>
        <w:t>Espanjan hallitus, yhdennetty kansallinen energia- ja ilmastosuunnitelma, vuosia 2023–2030 koskeva päivitys, 2024.</w:t>
      </w:r>
    </w:p>
  </w:footnote>
  <w:footnote w:id="108">
    <w:p w14:paraId="566A2CB4" w14:textId="16AC68C1" w:rsidR="00586B79" w:rsidRPr="00586B79" w:rsidRDefault="00586B79" w:rsidP="006D05CC">
      <w:pPr>
        <w:pStyle w:val="FootnoteText"/>
        <w:ind w:left="426" w:hanging="426"/>
      </w:pPr>
      <w:r>
        <w:rPr>
          <w:rStyle w:val="FootnoteReference"/>
        </w:rPr>
        <w:footnoteRef/>
      </w:r>
      <w:r>
        <w:t xml:space="preserve"> </w:t>
      </w:r>
      <w:r>
        <w:tab/>
        <w:t>Eurostat (</w:t>
      </w:r>
      <w:hyperlink r:id="rId61" w:history="1">
        <w:r>
          <w:rPr>
            <w:rStyle w:val="Hyperlink"/>
          </w:rPr>
          <w:t>nrg_inf_epcrw</w:t>
        </w:r>
      </w:hyperlink>
      <w:r>
        <w:t>), sivustolla käyty 12.2.2025.</w:t>
      </w:r>
    </w:p>
  </w:footnote>
  <w:footnote w:id="109">
    <w:p w14:paraId="7088D17E" w14:textId="1B2313D6" w:rsidR="0099132A" w:rsidRPr="008303BC" w:rsidRDefault="0099132A" w:rsidP="00DC3F23">
      <w:pPr>
        <w:pStyle w:val="FootnoteText"/>
        <w:ind w:left="426" w:hanging="426"/>
      </w:pPr>
      <w:r>
        <w:rPr>
          <w:rStyle w:val="FootnoteReference"/>
          <w:lang w:val="en-IE"/>
        </w:rPr>
        <w:footnoteRef/>
      </w:r>
      <w:r>
        <w:t xml:space="preserve"> </w:t>
      </w:r>
      <w:r>
        <w:tab/>
        <w:t>Eurostat (</w:t>
      </w:r>
      <w:hyperlink r:id="rId62" w:history="1">
        <w:r>
          <w:rPr>
            <w:rStyle w:val="Hyperlink"/>
          </w:rPr>
          <w:t>nrg_inf_epc</w:t>
        </w:r>
      </w:hyperlink>
      <w:r>
        <w:t>), sivustolla käyty 12.2.2025.</w:t>
      </w:r>
    </w:p>
  </w:footnote>
  <w:footnote w:id="110">
    <w:p w14:paraId="0E9AA1C9" w14:textId="544A8446" w:rsidR="00DC3F23" w:rsidRPr="00DC3F23" w:rsidRDefault="00DC3F23" w:rsidP="00B27A5E">
      <w:pPr>
        <w:pStyle w:val="FootnoteText"/>
        <w:ind w:left="426" w:hanging="426"/>
      </w:pPr>
      <w:r>
        <w:rPr>
          <w:rStyle w:val="FootnoteReference"/>
        </w:rPr>
        <w:footnoteRef/>
      </w:r>
      <w:r>
        <w:t xml:space="preserve"> </w:t>
      </w:r>
      <w:r>
        <w:tab/>
        <w:t>Yhteinen tutkimuskeskus GWEC:n ja Rystadin perusteella, 2025.</w:t>
      </w:r>
    </w:p>
  </w:footnote>
  <w:footnote w:id="111">
    <w:p w14:paraId="4BD9CC6E" w14:textId="442C2956" w:rsidR="0099132A" w:rsidRPr="008303BC" w:rsidRDefault="0099132A" w:rsidP="00AF2E83">
      <w:pPr>
        <w:pStyle w:val="FootnoteText"/>
        <w:ind w:left="426" w:hanging="426"/>
        <w:rPr>
          <w:szCs w:val="18"/>
        </w:rPr>
      </w:pPr>
      <w:r>
        <w:rPr>
          <w:rStyle w:val="FootnoteReference"/>
          <w:szCs w:val="18"/>
          <w:lang w:val="en-IE"/>
        </w:rPr>
        <w:footnoteRef/>
      </w:r>
      <w:r>
        <w:t xml:space="preserve"> </w:t>
      </w:r>
      <w:r>
        <w:tab/>
        <w:t>EUVL L, 2024/1735, 28.6.2024, johdanto-osan 16 kappale.</w:t>
      </w:r>
    </w:p>
  </w:footnote>
  <w:footnote w:id="112">
    <w:p w14:paraId="02510AF1" w14:textId="0D3EB5EE" w:rsidR="00EC1569" w:rsidRPr="008303BC" w:rsidRDefault="00EC1569" w:rsidP="00EC1569">
      <w:pPr>
        <w:pStyle w:val="FootnoteText"/>
        <w:ind w:left="426" w:hanging="426"/>
      </w:pPr>
      <w:r>
        <w:rPr>
          <w:rStyle w:val="FootnoteReference"/>
          <w:lang w:val="en-IE"/>
        </w:rPr>
        <w:footnoteRef/>
      </w:r>
      <w:r>
        <w:t xml:space="preserve"> </w:t>
      </w:r>
      <w:r>
        <w:tab/>
        <w:t>Yhteinen tutkimuskeskus BloombergNEF:n ja Rystadin perusteella.</w:t>
      </w:r>
    </w:p>
  </w:footnote>
  <w:footnote w:id="113">
    <w:p w14:paraId="7D8462F6" w14:textId="368F8259" w:rsidR="0099132A" w:rsidRPr="008303BC" w:rsidRDefault="0099132A" w:rsidP="00AF2E83">
      <w:pPr>
        <w:pStyle w:val="FootnoteText"/>
        <w:ind w:left="426" w:hanging="426"/>
        <w:rPr>
          <w:szCs w:val="18"/>
        </w:rPr>
      </w:pPr>
      <w:r>
        <w:rPr>
          <w:rStyle w:val="FootnoteReference"/>
          <w:szCs w:val="18"/>
          <w:lang w:val="en-IE"/>
        </w:rPr>
        <w:footnoteRef/>
      </w:r>
      <w:r>
        <w:t xml:space="preserve"> </w:t>
      </w:r>
      <w:r>
        <w:tab/>
      </w:r>
      <w:r>
        <w:rPr>
          <w:color w:val="000000" w:themeColor="text1"/>
        </w:rPr>
        <w:t xml:space="preserve">Euroopan komission yhteinen tutkimuskeskus, Mc Govern, L., Tapoglou, E., Georgakaki, A., Mountraki, A., Letout, S., Ince, E., Gea Bermudez, J., Schmitz, A. ja Grabowska, M., CETO, </w:t>
      </w:r>
      <w:hyperlink r:id="rId63" w:history="1">
        <w:r>
          <w:rPr>
            <w:rStyle w:val="Hyperlink"/>
            <w:i/>
          </w:rPr>
          <w:t>Wind Energy in the European Union</w:t>
        </w:r>
      </w:hyperlink>
      <w:r>
        <w:rPr>
          <w:color w:val="000000" w:themeColor="text1"/>
        </w:rPr>
        <w:t>, 2024.</w:t>
      </w:r>
    </w:p>
  </w:footnote>
  <w:footnote w:id="114">
    <w:p w14:paraId="59299CD9" w14:textId="131D8DD9" w:rsidR="00F11DB6" w:rsidRPr="00220722" w:rsidRDefault="00F11DB6" w:rsidP="00A56209">
      <w:pPr>
        <w:pStyle w:val="FootnoteText"/>
        <w:ind w:left="426" w:hanging="426"/>
        <w:rPr>
          <w:rFonts w:eastAsia="Times New Roman"/>
          <w:sz w:val="20"/>
          <w:lang w:val="en-IE"/>
        </w:rPr>
      </w:pPr>
      <w:r>
        <w:rPr>
          <w:rStyle w:val="FootnoteReference"/>
        </w:rPr>
        <w:footnoteRef/>
      </w:r>
      <w:r w:rsidRPr="00220722">
        <w:rPr>
          <w:lang w:val="en-IE"/>
        </w:rPr>
        <w:t xml:space="preserve"> </w:t>
      </w:r>
      <w:r w:rsidRPr="00220722">
        <w:rPr>
          <w:lang w:val="en-IE"/>
        </w:rPr>
        <w:tab/>
        <w:t xml:space="preserve">BloombergNEF, </w:t>
      </w:r>
      <w:r w:rsidRPr="00220722">
        <w:rPr>
          <w:i/>
          <w:lang w:val="en-IE"/>
        </w:rPr>
        <w:t>Wind Turbine Price Index 2H 2024</w:t>
      </w:r>
      <w:r w:rsidRPr="00220722">
        <w:rPr>
          <w:lang w:val="en-IE"/>
        </w:rPr>
        <w:t>, 27. joulukuuta 2024.</w:t>
      </w:r>
    </w:p>
  </w:footnote>
  <w:footnote w:id="115">
    <w:p w14:paraId="3BCA1C51" w14:textId="0EC87CDA" w:rsidR="0099132A" w:rsidRPr="00220722" w:rsidRDefault="0099132A"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B</w:t>
      </w:r>
      <w:r w:rsidRPr="00220722">
        <w:rPr>
          <w:lang w:val="en-IE"/>
        </w:rPr>
        <w:t>loomberg</w:t>
      </w:r>
      <w:r w:rsidRPr="00220722">
        <w:rPr>
          <w:color w:val="000000" w:themeColor="text1"/>
          <w:lang w:val="en-IE"/>
        </w:rPr>
        <w:t xml:space="preserve">NEF, </w:t>
      </w:r>
      <w:r w:rsidRPr="00220722">
        <w:rPr>
          <w:i/>
          <w:color w:val="000000" w:themeColor="text1"/>
          <w:lang w:val="en-IE"/>
        </w:rPr>
        <w:t>Rising costs dampen the outlook for offshore wind</w:t>
      </w:r>
      <w:r w:rsidRPr="00220722">
        <w:rPr>
          <w:color w:val="000000" w:themeColor="text1"/>
          <w:lang w:val="en-IE"/>
        </w:rPr>
        <w:t>, 3. heinäkuuta 2024.</w:t>
      </w:r>
    </w:p>
  </w:footnote>
  <w:footnote w:id="116">
    <w:p w14:paraId="324C0773" w14:textId="54F8CAB0" w:rsidR="0099132A" w:rsidRPr="00220722" w:rsidRDefault="0099132A" w:rsidP="00DC3F2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Rystadin ja WindEuropen raportti,</w:t>
      </w:r>
      <w:hyperlink r:id="rId64" w:history="1"/>
      <w:hyperlink r:id="rId65" w:history="1">
        <w:r w:rsidRPr="00220722">
          <w:rPr>
            <w:rStyle w:val="Hyperlink"/>
            <w:i/>
            <w:lang w:val="en-IE"/>
          </w:rPr>
          <w:t xml:space="preserve"> Rebound in wind energy financing in 2023 shows that the right policies attract investors</w:t>
        </w:r>
      </w:hyperlink>
      <w:r w:rsidRPr="00220722">
        <w:rPr>
          <w:lang w:val="en-IE"/>
        </w:rPr>
        <w:t xml:space="preserve">, 21. maaliskuuta 2024. </w:t>
      </w:r>
    </w:p>
  </w:footnote>
  <w:footnote w:id="117">
    <w:p w14:paraId="6487A384" w14:textId="564A96FD" w:rsidR="00BA61D2" w:rsidRPr="00BA61D2" w:rsidRDefault="00BA61D2" w:rsidP="00B27A5E">
      <w:pPr>
        <w:pStyle w:val="FootnoteText"/>
        <w:ind w:left="426" w:hanging="426"/>
      </w:pPr>
      <w:r>
        <w:rPr>
          <w:rStyle w:val="FootnoteReference"/>
        </w:rPr>
        <w:footnoteRef/>
      </w:r>
      <w:r>
        <w:t xml:space="preserve"> </w:t>
      </w:r>
      <w:r>
        <w:tab/>
        <w:t xml:space="preserve">Euroopan komissio, sisämarkkinoiden, teollisuuden, yrittäjyyden ja pk-yritystoiminnan pääosasto, </w:t>
      </w:r>
      <w:hyperlink r:id="rId66" w:history="1">
        <w:r>
          <w:rPr>
            <w:rStyle w:val="Hyperlink"/>
            <w:i/>
          </w:rPr>
          <w:t>Study on the Critical Raw Materials for the EU 2023:</w:t>
        </w:r>
      </w:hyperlink>
      <w:hyperlink r:id="rId67" w:history="1">
        <w:r>
          <w:rPr>
            <w:rStyle w:val="Hyperlink"/>
            <w:i/>
          </w:rPr>
          <w:t xml:space="preserve"> Final Report</w:t>
        </w:r>
      </w:hyperlink>
      <w:r>
        <w:t>, 2023.</w:t>
      </w:r>
    </w:p>
  </w:footnote>
  <w:footnote w:id="118">
    <w:p w14:paraId="2D32CC40" w14:textId="54934C47" w:rsidR="00E41F5A" w:rsidRPr="00A56209" w:rsidRDefault="00E41F5A" w:rsidP="00A56209">
      <w:pPr>
        <w:pStyle w:val="FootnoteText"/>
        <w:ind w:left="426" w:hanging="426"/>
      </w:pPr>
      <w:r>
        <w:rPr>
          <w:rStyle w:val="FootnoteReference"/>
          <w:lang w:val="en-IE"/>
        </w:rPr>
        <w:footnoteRef/>
      </w:r>
      <w:r>
        <w:t xml:space="preserve"> </w:t>
      </w:r>
      <w:r>
        <w:tab/>
        <w:t>COM(2023) 669 final.</w:t>
      </w:r>
    </w:p>
  </w:footnote>
  <w:footnote w:id="119">
    <w:p w14:paraId="29C69262" w14:textId="10187435" w:rsidR="0099132A" w:rsidRPr="008303BC" w:rsidRDefault="0099132A" w:rsidP="00AF2E83">
      <w:pPr>
        <w:pStyle w:val="FootnoteText"/>
        <w:ind w:left="426" w:hanging="426"/>
        <w:rPr>
          <w:szCs w:val="18"/>
        </w:rPr>
      </w:pPr>
      <w:r>
        <w:rPr>
          <w:rStyle w:val="FootnoteReference"/>
          <w:szCs w:val="18"/>
          <w:lang w:val="en-IE"/>
        </w:rPr>
        <w:footnoteRef/>
      </w:r>
      <w:r>
        <w:t xml:space="preserve"> </w:t>
      </w:r>
      <w:r>
        <w:tab/>
      </w:r>
      <w:hyperlink r:id="rId68" w:history="1">
        <w:r>
          <w:rPr>
            <w:rStyle w:val="Hyperlink"/>
          </w:rPr>
          <w:t>EU:n tuulivoimaa koskeva peruskirja</w:t>
        </w:r>
      </w:hyperlink>
      <w:r>
        <w:t>, 2023.</w:t>
      </w:r>
    </w:p>
  </w:footnote>
  <w:footnote w:id="120">
    <w:p w14:paraId="66F4EFB8" w14:textId="03CA851E" w:rsidR="001B1104" w:rsidRPr="006D05CC" w:rsidRDefault="001B1104" w:rsidP="006D05CC">
      <w:pPr>
        <w:pStyle w:val="FootnoteText"/>
        <w:ind w:left="426" w:hanging="426"/>
      </w:pPr>
      <w:r>
        <w:rPr>
          <w:rStyle w:val="FootnoteReference"/>
        </w:rPr>
        <w:footnoteRef/>
      </w:r>
      <w:r>
        <w:t xml:space="preserve"> </w:t>
      </w:r>
      <w:r>
        <w:tab/>
        <w:t xml:space="preserve">Vuoden 2024 keskimääräisen vaihtokurssin mukaan (0,9239 euroa = 1 Yhdysvaltojen dollari), lähde: </w:t>
      </w:r>
      <w:hyperlink r:id="rId69" w:history="1">
        <w:r>
          <w:rPr>
            <w:rStyle w:val="Hyperlink"/>
          </w:rPr>
          <w:t>EKP</w:t>
        </w:r>
      </w:hyperlink>
      <w:r>
        <w:t>.</w:t>
      </w:r>
    </w:p>
  </w:footnote>
  <w:footnote w:id="121">
    <w:p w14:paraId="10773619" w14:textId="3797E46F" w:rsidR="009144C9" w:rsidRPr="009144C9" w:rsidRDefault="009144C9" w:rsidP="006D05CC">
      <w:pPr>
        <w:pStyle w:val="FootnoteText"/>
        <w:ind w:left="426" w:hanging="426"/>
      </w:pPr>
      <w:r>
        <w:rPr>
          <w:rStyle w:val="FootnoteReference"/>
        </w:rPr>
        <w:footnoteRef/>
      </w:r>
      <w:r>
        <w:t xml:space="preserve"> </w:t>
      </w:r>
      <w:r>
        <w:tab/>
      </w:r>
      <w:r>
        <w:rPr>
          <w:rStyle w:val="FootnoteReference"/>
          <w:vertAlign w:val="baseline"/>
        </w:rPr>
        <w:t>O</w:t>
      </w:r>
      <w:r>
        <w:t>cean Energy Europen alustavat tiedot.</w:t>
      </w:r>
    </w:p>
  </w:footnote>
  <w:footnote w:id="122">
    <w:p w14:paraId="654C36F5" w14:textId="356C251E" w:rsidR="00061D49" w:rsidRPr="005D064B" w:rsidRDefault="00061D49" w:rsidP="00522F73">
      <w:pPr>
        <w:pStyle w:val="FootnoteText"/>
        <w:ind w:left="426" w:hanging="426"/>
      </w:pPr>
      <w:r>
        <w:rPr>
          <w:rStyle w:val="FootnoteReference"/>
          <w:lang w:val="en-IE"/>
        </w:rPr>
        <w:footnoteRef/>
      </w:r>
      <w:r>
        <w:t xml:space="preserve"> </w:t>
      </w:r>
      <w:r>
        <w:tab/>
        <w:t>Eurostat (</w:t>
      </w:r>
      <w:hyperlink r:id="rId70" w:history="1">
        <w:r>
          <w:rPr>
            <w:rStyle w:val="Hyperlink"/>
          </w:rPr>
          <w:t>nrg_inf_epc</w:t>
        </w:r>
      </w:hyperlink>
      <w:r>
        <w:t>), sivustolla käyty 12.2.2025.</w:t>
      </w:r>
    </w:p>
  </w:footnote>
  <w:footnote w:id="123">
    <w:p w14:paraId="37E531C4" w14:textId="74CFA998" w:rsidR="00061D49" w:rsidRPr="00220722" w:rsidRDefault="00061D49" w:rsidP="00F34186">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ETIP Ocean, </w:t>
      </w:r>
      <w:hyperlink r:id="rId71" w:history="1">
        <w:r w:rsidRPr="00220722">
          <w:rPr>
            <w:rStyle w:val="Hyperlink"/>
            <w:i/>
            <w:lang w:val="en-IE"/>
          </w:rPr>
          <w:t>Strategic Research and Innovation Agenda for Ocean Energy</w:t>
        </w:r>
      </w:hyperlink>
      <w:r w:rsidRPr="00220722">
        <w:rPr>
          <w:lang w:val="en-IE"/>
        </w:rPr>
        <w:t>, 2024.</w:t>
      </w:r>
    </w:p>
  </w:footnote>
  <w:footnote w:id="124">
    <w:p w14:paraId="6EB30118" w14:textId="7ED80726" w:rsidR="00061D49" w:rsidRPr="00220722" w:rsidRDefault="00061D49" w:rsidP="002601DC">
      <w:pPr>
        <w:pStyle w:val="FootnoteText"/>
        <w:ind w:left="426" w:hanging="426"/>
        <w:rPr>
          <w:lang w:val="en-IE"/>
        </w:rPr>
      </w:pPr>
      <w:r>
        <w:rPr>
          <w:szCs w:val="18"/>
          <w:vertAlign w:val="superscript"/>
          <w:lang w:val="en-IE"/>
        </w:rPr>
        <w:footnoteRef/>
      </w:r>
      <w:r w:rsidRPr="00220722">
        <w:rPr>
          <w:vertAlign w:val="superscript"/>
          <w:lang w:val="en-IE"/>
        </w:rPr>
        <w:t xml:space="preserve"> </w:t>
      </w:r>
      <w:r w:rsidRPr="00220722">
        <w:rPr>
          <w:vertAlign w:val="superscript"/>
          <w:lang w:val="en-IE"/>
        </w:rPr>
        <w:tab/>
      </w:r>
      <w:r w:rsidRPr="00220722">
        <w:rPr>
          <w:rStyle w:val="FootnoteReference"/>
          <w:vertAlign w:val="baseline"/>
          <w:lang w:val="en-IE"/>
        </w:rPr>
        <w:t>Euroopan komission yhteinen tutkimuskeskus, Tapoglou, E., Mc Govern, L., Georgakaki, A., Mountraki, A., Letout, S., Ince, E., Gea Bermudez, J., Schmitz, A. ja Grabowska, M., C</w:t>
      </w:r>
      <w:r w:rsidRPr="00220722">
        <w:rPr>
          <w:lang w:val="en-IE"/>
        </w:rPr>
        <w:t>ETO,</w:t>
      </w:r>
      <w:r w:rsidRPr="00220722">
        <w:rPr>
          <w:rStyle w:val="FootnoteReference"/>
          <w:vertAlign w:val="baseline"/>
          <w:lang w:val="en-IE"/>
        </w:rPr>
        <w:t xml:space="preserve"> </w:t>
      </w:r>
      <w:hyperlink r:id="rId72" w:history="1">
        <w:r w:rsidRPr="00220722">
          <w:rPr>
            <w:rStyle w:val="Hyperlink"/>
            <w:i/>
            <w:lang w:val="en-IE"/>
          </w:rPr>
          <w:t>Ocean Energy in the European Union</w:t>
        </w:r>
      </w:hyperlink>
      <w:r w:rsidRPr="00220722">
        <w:rPr>
          <w:rStyle w:val="FootnoteReference"/>
          <w:vertAlign w:val="baseline"/>
          <w:lang w:val="en-IE"/>
        </w:rPr>
        <w:t>, 2024</w:t>
      </w:r>
      <w:r w:rsidRPr="00220722">
        <w:rPr>
          <w:lang w:val="en-IE"/>
        </w:rPr>
        <w:t>.</w:t>
      </w:r>
    </w:p>
  </w:footnote>
  <w:footnote w:id="125">
    <w:p w14:paraId="643DEE34" w14:textId="014637E0" w:rsidR="00061D49" w:rsidRPr="00220722" w:rsidRDefault="00061D49"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rStyle w:val="FootnoteReference"/>
          <w:vertAlign w:val="baseline"/>
          <w:lang w:val="en-IE"/>
        </w:rPr>
        <w:t>C</w:t>
      </w:r>
      <w:r w:rsidRPr="00220722">
        <w:rPr>
          <w:lang w:val="en-IE"/>
        </w:rPr>
        <w:t>ETO,</w:t>
      </w:r>
      <w:r w:rsidRPr="00220722">
        <w:rPr>
          <w:rStyle w:val="FootnoteReference"/>
          <w:vertAlign w:val="baseline"/>
          <w:lang w:val="en-IE"/>
        </w:rPr>
        <w:t xml:space="preserve"> </w:t>
      </w:r>
      <w:hyperlink r:id="rId73" w:history="1">
        <w:r w:rsidRPr="00220722">
          <w:rPr>
            <w:rStyle w:val="Hyperlink"/>
            <w:i/>
            <w:lang w:val="en-IE"/>
          </w:rPr>
          <w:t>Ocean Energy in the European Union</w:t>
        </w:r>
      </w:hyperlink>
      <w:r w:rsidRPr="00220722">
        <w:rPr>
          <w:rStyle w:val="FootnoteReference"/>
          <w:vertAlign w:val="baseline"/>
          <w:lang w:val="en-IE"/>
        </w:rPr>
        <w:t>, 2024</w:t>
      </w:r>
      <w:r w:rsidRPr="00220722">
        <w:rPr>
          <w:lang w:val="en-IE"/>
        </w:rPr>
        <w:t>.</w:t>
      </w:r>
    </w:p>
  </w:footnote>
  <w:footnote w:id="126">
    <w:p w14:paraId="36E81DBA" w14:textId="30B9A193" w:rsidR="00061D49" w:rsidRPr="00220722" w:rsidRDefault="00061D49"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SET-suunnitelma, </w:t>
      </w:r>
      <w:hyperlink r:id="rId74" w:history="1">
        <w:r w:rsidRPr="00220722">
          <w:rPr>
            <w:rStyle w:val="Hyperlink"/>
            <w:i/>
            <w:lang w:val="en-IE"/>
          </w:rPr>
          <w:t>Ocean energy implementation plan</w:t>
        </w:r>
      </w:hyperlink>
      <w:r w:rsidRPr="00220722">
        <w:rPr>
          <w:lang w:val="en-IE"/>
        </w:rPr>
        <w:t xml:space="preserve">, 2021; </w:t>
      </w:r>
      <w:r w:rsidRPr="00220722">
        <w:rPr>
          <w:rStyle w:val="FootnoteReference"/>
          <w:vertAlign w:val="baseline"/>
          <w:lang w:val="en-IE"/>
        </w:rPr>
        <w:t>C</w:t>
      </w:r>
      <w:r w:rsidRPr="00220722">
        <w:rPr>
          <w:lang w:val="en-IE"/>
        </w:rPr>
        <w:t>ETO,</w:t>
      </w:r>
      <w:r w:rsidRPr="00220722">
        <w:rPr>
          <w:rStyle w:val="FootnoteReference"/>
          <w:vertAlign w:val="baseline"/>
          <w:lang w:val="en-IE"/>
        </w:rPr>
        <w:t xml:space="preserve"> </w:t>
      </w:r>
      <w:hyperlink r:id="rId75" w:history="1">
        <w:r w:rsidRPr="00220722">
          <w:rPr>
            <w:rStyle w:val="Hyperlink"/>
            <w:i/>
            <w:lang w:val="en-IE"/>
          </w:rPr>
          <w:t>Ocean Energy in the European Union</w:t>
        </w:r>
      </w:hyperlink>
      <w:r w:rsidRPr="00220722">
        <w:rPr>
          <w:rStyle w:val="FootnoteReference"/>
          <w:vertAlign w:val="baseline"/>
          <w:lang w:val="en-IE"/>
        </w:rPr>
        <w:t>, 2024</w:t>
      </w:r>
      <w:r w:rsidRPr="00220722">
        <w:rPr>
          <w:lang w:val="en-IE"/>
        </w:rPr>
        <w:t>.</w:t>
      </w:r>
    </w:p>
  </w:footnote>
  <w:footnote w:id="127">
    <w:p w14:paraId="388D452B" w14:textId="2AFBDA14" w:rsidR="009A3589" w:rsidRPr="00B27A5E" w:rsidRDefault="009A3589" w:rsidP="00B27A5E">
      <w:pPr>
        <w:pStyle w:val="FootnoteText"/>
        <w:ind w:left="426" w:hanging="426"/>
        <w:rPr>
          <w:color w:val="000000"/>
          <w:szCs w:val="18"/>
          <w:shd w:val="clear" w:color="auto" w:fill="FFFFFF"/>
        </w:rPr>
      </w:pPr>
      <w:r>
        <w:rPr>
          <w:rStyle w:val="FootnoteReference"/>
        </w:rPr>
        <w:footnoteRef/>
      </w:r>
      <w:r>
        <w:t xml:space="preserve"> </w:t>
      </w:r>
      <w:r>
        <w:tab/>
      </w:r>
      <w:r>
        <w:rPr>
          <w:rStyle w:val="normaltextrun"/>
          <w:color w:val="000000"/>
          <w:shd w:val="clear" w:color="auto" w:fill="FFFFFF"/>
        </w:rPr>
        <w:t>EUVL L, 2024/1735, 28.6.2024, johdanto-osan 16 kappale.</w:t>
      </w:r>
    </w:p>
  </w:footnote>
  <w:footnote w:id="128">
    <w:p w14:paraId="79AB4726" w14:textId="2F035345" w:rsidR="002C0662" w:rsidRPr="00220722" w:rsidRDefault="002C0662" w:rsidP="002C0662">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BloombergNEF, </w:t>
      </w:r>
      <w:r w:rsidRPr="00220722">
        <w:rPr>
          <w:i/>
          <w:lang w:val="en-IE"/>
        </w:rPr>
        <w:t>Northvolt Collapse Underscores Importance of Supply Chains</w:t>
      </w:r>
      <w:r w:rsidRPr="00220722">
        <w:rPr>
          <w:lang w:val="en-IE"/>
        </w:rPr>
        <w:t xml:space="preserve">, 2024. </w:t>
      </w:r>
    </w:p>
  </w:footnote>
  <w:footnote w:id="129">
    <w:p w14:paraId="3618177F" w14:textId="5EDCF151" w:rsidR="006E23C8" w:rsidRPr="002C4039" w:rsidRDefault="006E23C8" w:rsidP="006E23C8">
      <w:pPr>
        <w:pStyle w:val="FootnoteText"/>
        <w:ind w:left="426" w:hanging="426"/>
        <w:rPr>
          <w:szCs w:val="18"/>
        </w:rPr>
      </w:pPr>
      <w:r>
        <w:rPr>
          <w:rStyle w:val="FootnoteReference"/>
          <w:szCs w:val="18"/>
          <w:lang w:val="en-IE"/>
        </w:rPr>
        <w:footnoteRef/>
      </w:r>
      <w:r>
        <w:t xml:space="preserve"> </w:t>
      </w:r>
      <w:r>
        <w:tab/>
        <w:t xml:space="preserve">Vuonna 2024 EU:n tuotantokapasiteetti oli 237 gigawattituntia, kun taas maailmanlaajuinen kapasiteetti oli 3 347 gigawattituntia. EU:n tuotantokapasiteetin arvioidaan vuonna 2030 olevan 1 510 gigawattituntia, kun taas maailmanlaajuiseksi kapasiteetiksi on arvioitu 14 903 gigawattituntia (BloombergNEF:n perusteella, sivustolla käyty 20.2.2025). </w:t>
      </w:r>
    </w:p>
  </w:footnote>
  <w:footnote w:id="130">
    <w:p w14:paraId="27C48F81" w14:textId="77777777" w:rsidR="002C0662" w:rsidRPr="00220722" w:rsidRDefault="002C0662" w:rsidP="00997582">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IEA, </w:t>
      </w:r>
      <w:r w:rsidRPr="00220722">
        <w:rPr>
          <w:i/>
          <w:lang w:val="en-IE"/>
        </w:rPr>
        <w:t>Advancing Clean Technology Manufacturing Report</w:t>
      </w:r>
      <w:r w:rsidRPr="00220722">
        <w:rPr>
          <w:lang w:val="en-IE"/>
        </w:rPr>
        <w:t>, 2024.</w:t>
      </w:r>
    </w:p>
  </w:footnote>
  <w:footnote w:id="131">
    <w:p w14:paraId="3F5B2433" w14:textId="2B711D2B" w:rsidR="002C0662" w:rsidRPr="00220722" w:rsidRDefault="002C0662"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Reuters, </w:t>
      </w:r>
      <w:r w:rsidRPr="00220722">
        <w:rPr>
          <w:i/>
          <w:lang w:val="en-IE"/>
        </w:rPr>
        <w:t>Volkswagen's German battery plant to stay at half capacity amid cost pressures</w:t>
      </w:r>
      <w:r w:rsidRPr="00220722">
        <w:rPr>
          <w:lang w:val="en-IE"/>
        </w:rPr>
        <w:t>, 2024.</w:t>
      </w:r>
    </w:p>
  </w:footnote>
  <w:footnote w:id="132">
    <w:p w14:paraId="46298228" w14:textId="57604B50" w:rsidR="006F0D50" w:rsidRPr="00220722" w:rsidRDefault="006F0D50" w:rsidP="006D05CC">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BloombergNEF, </w:t>
      </w:r>
      <w:r w:rsidRPr="00220722">
        <w:rPr>
          <w:i/>
          <w:lang w:val="en-IE"/>
        </w:rPr>
        <w:t>Energy Storage:10 Things to Watch in 2025</w:t>
      </w:r>
      <w:r w:rsidRPr="00220722">
        <w:rPr>
          <w:lang w:val="en-IE"/>
        </w:rPr>
        <w:t>, 2025.</w:t>
      </w:r>
    </w:p>
  </w:footnote>
  <w:footnote w:id="133">
    <w:p w14:paraId="600AD5D4" w14:textId="77777777" w:rsidR="002C0662" w:rsidRPr="00220722" w:rsidRDefault="002C0662" w:rsidP="002C0662">
      <w:pPr>
        <w:pStyle w:val="FootnoteText"/>
        <w:ind w:left="426" w:hanging="426"/>
        <w:rPr>
          <w:lang w:val="en-IE"/>
        </w:rPr>
      </w:pPr>
      <w:r>
        <w:rPr>
          <w:rStyle w:val="FootnoteReference"/>
          <w:lang w:val="en-IE"/>
        </w:rPr>
        <w:footnoteRef/>
      </w:r>
      <w:r w:rsidRPr="00220722">
        <w:rPr>
          <w:lang w:val="en-IE"/>
        </w:rPr>
        <w:t xml:space="preserve"> </w:t>
      </w:r>
      <w:r w:rsidRPr="00220722">
        <w:rPr>
          <w:lang w:val="en-IE"/>
        </w:rPr>
        <w:tab/>
        <w:t>EUVL L, 2024/2754, 29.10.2024.</w:t>
      </w:r>
    </w:p>
  </w:footnote>
  <w:footnote w:id="134">
    <w:p w14:paraId="0D2CACD2" w14:textId="4D79A7FB" w:rsidR="00235C53" w:rsidRPr="00220722" w:rsidRDefault="00235C53" w:rsidP="006D05CC">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Energy Storage News, </w:t>
      </w:r>
      <w:hyperlink r:id="rId76" w:history="1">
        <w:r w:rsidRPr="00220722">
          <w:rPr>
            <w:rStyle w:val="Hyperlink"/>
            <w:i/>
            <w:lang w:val="en-IE"/>
          </w:rPr>
          <w:t>Global BESS deployments soared 53% in 2024</w:t>
        </w:r>
      </w:hyperlink>
      <w:r w:rsidRPr="00220722">
        <w:rPr>
          <w:lang w:val="en-IE"/>
        </w:rPr>
        <w:t>, 2025.</w:t>
      </w:r>
    </w:p>
  </w:footnote>
  <w:footnote w:id="135">
    <w:p w14:paraId="6E6DD126" w14:textId="4F2E2BEA" w:rsidR="002C0662" w:rsidRPr="00B27A5E" w:rsidRDefault="002C0662" w:rsidP="006D05CC">
      <w:pPr>
        <w:pStyle w:val="FootnoteText"/>
        <w:ind w:left="426" w:hanging="426"/>
      </w:pPr>
      <w:r>
        <w:rPr>
          <w:rStyle w:val="FootnoteReference"/>
        </w:rPr>
        <w:footnoteRef/>
      </w:r>
      <w:r>
        <w:t xml:space="preserve"> </w:t>
      </w:r>
      <w:r>
        <w:tab/>
        <w:t>BloombergNEF:n perusteella, tammikuu 2025.</w:t>
      </w:r>
    </w:p>
  </w:footnote>
  <w:footnote w:id="136">
    <w:p w14:paraId="53F75205" w14:textId="4774235E" w:rsidR="00FA731C" w:rsidRPr="008303BC" w:rsidRDefault="00FA731C" w:rsidP="00AF2E83">
      <w:pPr>
        <w:pStyle w:val="FootnoteText"/>
        <w:ind w:left="426" w:hanging="426"/>
        <w:rPr>
          <w:szCs w:val="18"/>
        </w:rPr>
      </w:pPr>
      <w:r>
        <w:rPr>
          <w:rStyle w:val="FootnoteReference"/>
          <w:szCs w:val="18"/>
          <w:lang w:val="en-IE"/>
        </w:rPr>
        <w:footnoteRef/>
      </w:r>
      <w:r>
        <w:t xml:space="preserve"> </w:t>
      </w:r>
      <w:r>
        <w:tab/>
        <w:t>COMEXT/COMTRADE-tietokantojen tiedot HS-koodille 841861 – lämpöpumput, ei kuitenkaan ilmastointilaitteet: EU:n vienti: 3 837 miljoonaa euroa, josta 603 miljoonaa euroa EU:n ulkopuolisiin maihin; Kiinan vienti: 971 miljoonaa euroa. COMEXT/COMTRADE-tietokantojen tiedot HS-koodille 841581 – ilmastointilaitteet: EU:n vienti: 782 miljoonaa euroa, josta 177 miljoonaa euroa EU:n ulkopuolisiin maihin; Kiinan vienti: 549 miljoonaa euroa.</w:t>
      </w:r>
    </w:p>
  </w:footnote>
  <w:footnote w:id="137">
    <w:p w14:paraId="52127EA1" w14:textId="3D4E99AE" w:rsidR="00FA731C" w:rsidRPr="008303BC" w:rsidRDefault="00FA731C" w:rsidP="00AF2E83">
      <w:pPr>
        <w:pStyle w:val="FootnoteText"/>
        <w:ind w:left="426" w:hanging="426"/>
        <w:rPr>
          <w:szCs w:val="18"/>
        </w:rPr>
      </w:pPr>
      <w:r>
        <w:rPr>
          <w:rStyle w:val="FootnoteReference"/>
          <w:szCs w:val="18"/>
          <w:lang w:val="en-IE"/>
        </w:rPr>
        <w:footnoteRef/>
      </w:r>
      <w:r w:rsidRPr="00220722">
        <w:rPr>
          <w:lang w:val="en-IE"/>
        </w:rPr>
        <w:t xml:space="preserve"> </w:t>
      </w:r>
      <w:r w:rsidRPr="00220722">
        <w:rPr>
          <w:lang w:val="en-IE"/>
        </w:rPr>
        <w:tab/>
        <w:t xml:space="preserve">IEA, </w:t>
      </w:r>
      <w:r w:rsidRPr="00220722">
        <w:rPr>
          <w:i/>
          <w:lang w:val="en-IE"/>
        </w:rPr>
        <w:t>Advancing Clean Technology Manufacturing</w:t>
      </w:r>
      <w:r w:rsidRPr="00220722">
        <w:rPr>
          <w:lang w:val="en-IE"/>
        </w:rPr>
        <w:t xml:space="preserve">, 2024. </w:t>
      </w:r>
      <w:r>
        <w:t>Vuoteen 2050 ulottuva nettonollapäästöskenaario; soveltamisala: asuin- ja liikerakennusten tilojen ja veden lämmitykseen tarkoitetut lämpöpumput, mukaan lukien ensisijaisena lämmityslaitteena käytettävät kaksitoimiset ilmastointilaitteet.</w:t>
      </w:r>
    </w:p>
  </w:footnote>
  <w:footnote w:id="138">
    <w:p w14:paraId="2A90C726" w14:textId="486191B9" w:rsidR="00FA731C" w:rsidRPr="008303BC" w:rsidRDefault="00FA731C" w:rsidP="006B67B6">
      <w:pPr>
        <w:pStyle w:val="FootnoteText"/>
        <w:ind w:left="426" w:hanging="426"/>
        <w:rPr>
          <w:szCs w:val="18"/>
        </w:rPr>
      </w:pPr>
      <w:r>
        <w:rPr>
          <w:rStyle w:val="FootnoteReference"/>
          <w:szCs w:val="18"/>
          <w:lang w:val="en-IE"/>
        </w:rPr>
        <w:footnoteRef/>
      </w:r>
      <w:r>
        <w:t xml:space="preserve"> </w:t>
      </w:r>
      <w:r>
        <w:tab/>
        <w:t xml:space="preserve">HS-koodi 841861– lämpöpumput (ei kuitenkaan ilmastointilaitteet). Lisätietoa: Euroopan komission yhteinen tutkimuskeskus, Toleikyte, A., Lecomte, E., Volt, J., Lyons, L., Roca Reina, J.C., Georgakaki, A., Letout, S., Mountraki, A., Wegener, M., Schmitz, A., CETO, </w:t>
      </w:r>
      <w:hyperlink r:id="rId77" w:history="1">
        <w:r>
          <w:rPr>
            <w:rStyle w:val="Hyperlink"/>
            <w:i/>
          </w:rPr>
          <w:t>Heat Pumps in the European Union</w:t>
        </w:r>
      </w:hyperlink>
      <w:r>
        <w:t>, 2024.</w:t>
      </w:r>
    </w:p>
  </w:footnote>
  <w:footnote w:id="139">
    <w:p w14:paraId="0F34BC6C" w14:textId="1329A8D9" w:rsidR="00FA731C" w:rsidRPr="008303BC" w:rsidRDefault="00FA731C" w:rsidP="00AF2E83">
      <w:pPr>
        <w:spacing w:after="0"/>
        <w:ind w:left="426" w:hanging="426"/>
        <w:rPr>
          <w:sz w:val="18"/>
          <w:szCs w:val="18"/>
        </w:rPr>
      </w:pPr>
      <w:r>
        <w:rPr>
          <w:rStyle w:val="FootnoteReference"/>
          <w:sz w:val="18"/>
          <w:szCs w:val="18"/>
          <w:lang w:val="en-IE"/>
        </w:rPr>
        <w:footnoteRef/>
      </w:r>
      <w:r w:rsidRPr="00220722">
        <w:rPr>
          <w:sz w:val="18"/>
          <w:lang w:val="en-IE"/>
        </w:rPr>
        <w:t xml:space="preserve"> </w:t>
      </w:r>
      <w:r w:rsidRPr="00220722">
        <w:rPr>
          <w:sz w:val="18"/>
          <w:lang w:val="en-IE"/>
        </w:rPr>
        <w:tab/>
        <w:t xml:space="preserve">European Heat Pump Association (EHPA), ”Market Report, 2024”. Raportti kattaa valtiot AT, BE, CZ, DE, DK, EE, ES, FI, FR, HU, IE, IT, LT, NL, PL, PT, SE, SK. </w:t>
      </w:r>
      <w:r>
        <w:rPr>
          <w:sz w:val="18"/>
        </w:rPr>
        <w:t xml:space="preserve">Raportti koskee pääasiassa sisätilojen lämmitykseen ja lämpimän talousveden tuottamiseen käytettäviä lämpöpumppuja.  </w:t>
      </w:r>
      <w:r>
        <w:rPr>
          <w:rStyle w:val="Hyperlink"/>
          <w:sz w:val="18"/>
        </w:rPr>
        <w:t xml:space="preserve"> </w:t>
      </w:r>
    </w:p>
  </w:footnote>
  <w:footnote w:id="140">
    <w:p w14:paraId="26788530" w14:textId="06DC5C4A" w:rsidR="00966609" w:rsidRPr="00220722" w:rsidRDefault="00966609" w:rsidP="00F26856">
      <w:pPr>
        <w:pStyle w:val="FootnoteText"/>
        <w:ind w:left="426" w:hanging="426"/>
        <w:rPr>
          <w:lang w:val="en-IE"/>
        </w:rPr>
      </w:pPr>
      <w:r>
        <w:rPr>
          <w:rStyle w:val="FootnoteReference"/>
        </w:rPr>
        <w:footnoteRef/>
      </w:r>
      <w:r w:rsidRPr="00220722">
        <w:rPr>
          <w:lang w:val="en-IE"/>
        </w:rPr>
        <w:t xml:space="preserve"> </w:t>
      </w:r>
      <w:r w:rsidRPr="00220722">
        <w:rPr>
          <w:lang w:val="en-IE"/>
        </w:rPr>
        <w:tab/>
        <w:t>BloombergNEF, ”Europe’s Heat Pump Market Collapse Triggers Spending Dip”, 2025.</w:t>
      </w:r>
    </w:p>
  </w:footnote>
  <w:footnote w:id="141">
    <w:p w14:paraId="752D36E0" w14:textId="4FAD512E" w:rsidR="00FA731C" w:rsidRPr="00220722" w:rsidRDefault="00FA731C"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IEA, </w:t>
      </w:r>
      <w:r w:rsidRPr="00220722">
        <w:rPr>
          <w:i/>
          <w:lang w:val="en-IE"/>
        </w:rPr>
        <w:t>Advancing Clean Technology Manufacturing</w:t>
      </w:r>
      <w:r w:rsidRPr="00220722">
        <w:rPr>
          <w:lang w:val="en-IE"/>
        </w:rPr>
        <w:t>, 2024.</w:t>
      </w:r>
    </w:p>
  </w:footnote>
  <w:footnote w:id="142">
    <w:p w14:paraId="629F1FB1" w14:textId="4A58981F" w:rsidR="00FA731C" w:rsidRPr="00220722" w:rsidRDefault="00FA731C" w:rsidP="00AF2E83">
      <w:pPr>
        <w:pStyle w:val="FootnoteText"/>
        <w:ind w:left="426" w:hanging="426"/>
        <w:rPr>
          <w:kern w:val="2"/>
          <w:szCs w:val="18"/>
          <w:lang w:val="en-IE"/>
          <w14:ligatures w14:val="standardContextual"/>
        </w:rPr>
      </w:pPr>
      <w:r>
        <w:rPr>
          <w:rStyle w:val="FootnoteReference"/>
          <w:szCs w:val="18"/>
          <w:lang w:val="en-IE"/>
        </w:rPr>
        <w:footnoteRef/>
      </w:r>
      <w:r w:rsidRPr="00220722">
        <w:rPr>
          <w:lang w:val="en-IE"/>
        </w:rPr>
        <w:t xml:space="preserve"> </w:t>
      </w:r>
      <w:r w:rsidRPr="00220722">
        <w:rPr>
          <w:lang w:val="en-IE"/>
        </w:rPr>
        <w:tab/>
        <w:t xml:space="preserve">EHPA, </w:t>
      </w:r>
      <w:hyperlink r:id="rId78" w:history="1">
        <w:r w:rsidRPr="00220722">
          <w:rPr>
            <w:i/>
            <w:lang w:val="en-IE"/>
          </w:rPr>
          <w:t>EU Heat Pump Accelerator</w:t>
        </w:r>
      </w:hyperlink>
      <w:r w:rsidRPr="00220722">
        <w:rPr>
          <w:lang w:val="en-IE"/>
        </w:rPr>
        <w:t>, 2023.</w:t>
      </w:r>
    </w:p>
  </w:footnote>
  <w:footnote w:id="143">
    <w:p w14:paraId="0D8FADEF" w14:textId="0144057D" w:rsidR="00FA731C" w:rsidRPr="008303BC" w:rsidRDefault="00FA731C" w:rsidP="00AF2E83">
      <w:pPr>
        <w:pStyle w:val="FootnoteText"/>
        <w:ind w:left="426" w:hanging="426"/>
        <w:rPr>
          <w:szCs w:val="18"/>
        </w:rPr>
      </w:pPr>
      <w:r>
        <w:rPr>
          <w:rStyle w:val="FootnoteReference"/>
          <w:szCs w:val="18"/>
          <w:lang w:val="en-IE"/>
        </w:rPr>
        <w:footnoteRef/>
      </w:r>
      <w:r>
        <w:t xml:space="preserve"> </w:t>
      </w:r>
      <w:r>
        <w:tab/>
        <w:t xml:space="preserve">Vuoden 2024 keskimääräisen vaihtokurssin mukaan (0,9239 euroa = 1 Yhdysvaltojen dollari), lähde: </w:t>
      </w:r>
      <w:hyperlink r:id="rId79" w:history="1">
        <w:r>
          <w:rPr>
            <w:rStyle w:val="Hyperlink"/>
          </w:rPr>
          <w:t>EKP</w:t>
        </w:r>
      </w:hyperlink>
      <w:r>
        <w:t>.</w:t>
      </w:r>
    </w:p>
  </w:footnote>
  <w:footnote w:id="144">
    <w:p w14:paraId="5C105B20" w14:textId="62554A0B" w:rsidR="00FA731C" w:rsidRPr="00220722" w:rsidRDefault="00FA731C"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IEA, </w:t>
      </w:r>
      <w:r w:rsidRPr="00220722">
        <w:rPr>
          <w:i/>
          <w:lang w:val="en-IE"/>
        </w:rPr>
        <w:t>Advancing Clean Technology Manufacturing</w:t>
      </w:r>
      <w:r w:rsidRPr="00220722">
        <w:rPr>
          <w:lang w:val="en-IE"/>
        </w:rPr>
        <w:t>, 2024.</w:t>
      </w:r>
    </w:p>
  </w:footnote>
  <w:footnote w:id="145">
    <w:p w14:paraId="7A84C864" w14:textId="045F3DE4" w:rsidR="00FA731C" w:rsidRPr="008303BC" w:rsidRDefault="00FA731C" w:rsidP="00864543">
      <w:pPr>
        <w:pStyle w:val="FootnoteText"/>
        <w:ind w:left="426" w:hanging="426"/>
        <w:rPr>
          <w:szCs w:val="18"/>
        </w:rPr>
      </w:pPr>
      <w:r>
        <w:rPr>
          <w:rStyle w:val="FootnoteReference"/>
          <w:szCs w:val="18"/>
          <w:lang w:val="en-IE"/>
        </w:rPr>
        <w:footnoteRef/>
      </w:r>
      <w:r w:rsidRPr="00220722">
        <w:rPr>
          <w:lang w:val="en-IE"/>
        </w:rPr>
        <w:t xml:space="preserve"> </w:t>
      </w:r>
      <w:r w:rsidRPr="00220722">
        <w:rPr>
          <w:lang w:val="en-IE"/>
        </w:rPr>
        <w:tab/>
        <w:t xml:space="preserve">IEA HPT TCP, </w:t>
      </w:r>
      <w:hyperlink r:id="rId80" w:history="1">
        <w:r w:rsidRPr="00220722">
          <w:rPr>
            <w:rStyle w:val="Hyperlink"/>
            <w:i/>
            <w:lang w:val="en-IE"/>
          </w:rPr>
          <w:t>Annex 58 High-Temperature Heat Pumps</w:t>
        </w:r>
      </w:hyperlink>
      <w:r w:rsidRPr="00220722">
        <w:rPr>
          <w:lang w:val="en-IE"/>
        </w:rPr>
        <w:t xml:space="preserve">, 2023. </w:t>
      </w:r>
      <w:r>
        <w:t>Valmistajia on EU:ssa 20 ja Norjassa seitsemän. Japanissa on 24 valmistajaa, joista yhdeksän on keskittynyt höyryn mekaaniseen komprimointiin</w:t>
      </w:r>
      <w:r w:rsidR="00A66B56">
        <w:t xml:space="preserve"> </w:t>
      </w:r>
      <w:r>
        <w:t>(MVR) perustuvaan teknologiaan. MVR-tuotantolaitoksia on myös Kiinassa.</w:t>
      </w:r>
    </w:p>
  </w:footnote>
  <w:footnote w:id="146">
    <w:p w14:paraId="5308A880" w14:textId="3D76CC31" w:rsidR="00FA731C" w:rsidRPr="008303BC" w:rsidRDefault="00FA731C" w:rsidP="00AF2E83">
      <w:pPr>
        <w:pStyle w:val="FootnoteText"/>
        <w:ind w:left="426" w:hanging="426"/>
        <w:rPr>
          <w:szCs w:val="18"/>
        </w:rPr>
      </w:pPr>
      <w:r>
        <w:rPr>
          <w:rStyle w:val="FootnoteReference"/>
          <w:szCs w:val="18"/>
          <w:lang w:val="en-IE"/>
        </w:rPr>
        <w:footnoteRef/>
      </w:r>
      <w:r>
        <w:t xml:space="preserve"> </w:t>
      </w:r>
      <w:r>
        <w:tab/>
        <w:t xml:space="preserve">IEA, </w:t>
      </w:r>
      <w:r>
        <w:rPr>
          <w:i/>
        </w:rPr>
        <w:t>Net Zero by 2050</w:t>
      </w:r>
      <w:r>
        <w:t>, 2021.</w:t>
      </w:r>
    </w:p>
  </w:footnote>
  <w:footnote w:id="147">
    <w:p w14:paraId="0E35203A" w14:textId="1B92EF2C" w:rsidR="00FA731C" w:rsidRPr="00414079" w:rsidRDefault="00FA731C" w:rsidP="00AF2E83">
      <w:pPr>
        <w:pStyle w:val="FootnoteText"/>
        <w:ind w:left="426" w:hanging="426"/>
        <w:rPr>
          <w:szCs w:val="18"/>
        </w:rPr>
      </w:pPr>
      <w:r>
        <w:rPr>
          <w:rStyle w:val="FootnoteReference"/>
          <w:szCs w:val="18"/>
          <w:lang w:val="en-IE"/>
        </w:rPr>
        <w:footnoteRef/>
      </w:r>
      <w:r>
        <w:t xml:space="preserve"> </w:t>
      </w:r>
      <w:r>
        <w:tab/>
        <w:t xml:space="preserve">TNO, </w:t>
      </w:r>
      <w:hyperlink r:id="rId81" w:history="1">
        <w:r>
          <w:rPr>
            <w:rStyle w:val="Hyperlink"/>
            <w:i/>
          </w:rPr>
          <w:t>Strengthening Industrial Heat Pump Innovation</w:t>
        </w:r>
      </w:hyperlink>
      <w:r>
        <w:t xml:space="preserve">, 2020. </w:t>
      </w:r>
    </w:p>
  </w:footnote>
  <w:footnote w:id="148">
    <w:p w14:paraId="27220FDD" w14:textId="4168A414" w:rsidR="00FA731C" w:rsidRPr="008303BC" w:rsidRDefault="00FA731C" w:rsidP="00AF2E83">
      <w:pPr>
        <w:pStyle w:val="FootnoteText"/>
        <w:ind w:left="426" w:hanging="426"/>
        <w:rPr>
          <w:szCs w:val="18"/>
        </w:rPr>
      </w:pPr>
      <w:r>
        <w:rPr>
          <w:rStyle w:val="FootnoteReference"/>
          <w:szCs w:val="18"/>
          <w:lang w:val="en-IE"/>
        </w:rPr>
        <w:footnoteRef/>
      </w:r>
      <w:r>
        <w:t xml:space="preserve"> </w:t>
      </w:r>
      <w:r>
        <w:tab/>
        <w:t xml:space="preserve">IEA:n lämpöpumpputeknologioita koskeva teknologisen yhteistyön ohjelma (HPT TCP), </w:t>
      </w:r>
      <w:hyperlink r:id="rId82" w:history="1">
        <w:r>
          <w:rPr>
            <w:rStyle w:val="Hyperlink"/>
            <w:i/>
          </w:rPr>
          <w:t>Annex 58 High-Temperature Heat Pumps</w:t>
        </w:r>
      </w:hyperlink>
      <w:r>
        <w:t>, 2023.</w:t>
      </w:r>
    </w:p>
  </w:footnote>
  <w:footnote w:id="149">
    <w:p w14:paraId="1472D52D" w14:textId="4C9E2FEE" w:rsidR="003D26A5" w:rsidRPr="00B27A5E" w:rsidRDefault="003D26A5" w:rsidP="00B27A5E">
      <w:pPr>
        <w:pStyle w:val="FootnoteText"/>
        <w:ind w:left="426" w:hanging="426"/>
      </w:pPr>
      <w:r>
        <w:rPr>
          <w:rStyle w:val="FootnoteReference"/>
        </w:rPr>
        <w:footnoteRef/>
      </w:r>
      <w:r>
        <w:t xml:space="preserve"> </w:t>
      </w:r>
      <w:r>
        <w:tab/>
        <w:t>Euroopan parlamentin päätöslauselma 18. tammikuuta 2024 geotermisestä energiasta (2023/2111(INI)).</w:t>
      </w:r>
    </w:p>
  </w:footnote>
  <w:footnote w:id="150">
    <w:p w14:paraId="5B24241C" w14:textId="388865CA" w:rsidR="000710CC" w:rsidRPr="00B27A5E" w:rsidRDefault="000710CC" w:rsidP="00B27A5E">
      <w:pPr>
        <w:pStyle w:val="FootnoteText"/>
        <w:ind w:left="426" w:hanging="426"/>
      </w:pPr>
      <w:r>
        <w:rPr>
          <w:rStyle w:val="FootnoteReference"/>
        </w:rPr>
        <w:footnoteRef/>
      </w:r>
      <w:r>
        <w:t xml:space="preserve"> </w:t>
      </w:r>
      <w:r>
        <w:tab/>
        <w:t>Euroopan unionin neuvoston päätelmät geotermisen energian edistämisestä, 16. joulukuuta 2024.</w:t>
      </w:r>
    </w:p>
  </w:footnote>
  <w:footnote w:id="151">
    <w:p w14:paraId="4367DAA8" w14:textId="6E61F4FC" w:rsidR="001A710E" w:rsidRPr="008303BC" w:rsidRDefault="001A710E" w:rsidP="008F4073">
      <w:pPr>
        <w:pStyle w:val="FootnoteText"/>
        <w:ind w:left="426" w:hanging="426"/>
        <w:rPr>
          <w:szCs w:val="18"/>
        </w:rPr>
      </w:pPr>
      <w:r>
        <w:rPr>
          <w:rStyle w:val="FootnoteReference"/>
          <w:szCs w:val="18"/>
          <w:lang w:val="en-IE"/>
        </w:rPr>
        <w:footnoteRef/>
      </w:r>
      <w:r>
        <w:t xml:space="preserve"> </w:t>
      </w:r>
      <w:r>
        <w:tab/>
        <w:t>Eurostat (</w:t>
      </w:r>
      <w:hyperlink r:id="rId83" w:history="1">
        <w:r>
          <w:rPr>
            <w:rStyle w:val="Hyperlink"/>
          </w:rPr>
          <w:t>nrg_inf_epcrw</w:t>
        </w:r>
      </w:hyperlink>
      <w:r>
        <w:t>), sivustolla käyty 12.2.2025.</w:t>
      </w:r>
    </w:p>
  </w:footnote>
  <w:footnote w:id="152">
    <w:p w14:paraId="023C362D" w14:textId="11845117" w:rsidR="001A710E" w:rsidRPr="00220722" w:rsidRDefault="001A710E" w:rsidP="00AF2E83">
      <w:pPr>
        <w:spacing w:after="0"/>
        <w:ind w:left="426" w:hanging="426"/>
        <w:rPr>
          <w:rFonts w:eastAsia="Calibri"/>
          <w:color w:val="1F497D"/>
          <w:sz w:val="18"/>
          <w:szCs w:val="18"/>
          <w:lang w:val="en-IE"/>
        </w:rPr>
      </w:pPr>
      <w:r>
        <w:rPr>
          <w:sz w:val="18"/>
          <w:szCs w:val="18"/>
          <w:vertAlign w:val="superscript"/>
          <w:lang w:val="en-IE"/>
        </w:rPr>
        <w:footnoteRef/>
      </w:r>
      <w:r w:rsidRPr="00220722">
        <w:rPr>
          <w:sz w:val="18"/>
          <w:lang w:val="en-IE"/>
        </w:rPr>
        <w:t xml:space="preserve"> </w:t>
      </w:r>
      <w:r w:rsidRPr="00220722">
        <w:rPr>
          <w:sz w:val="18"/>
          <w:lang w:val="en-IE"/>
        </w:rPr>
        <w:tab/>
        <w:t xml:space="preserve">Renewable Energy Policy Network for the 21st </w:t>
      </w:r>
      <w:r w:rsidRPr="00220722">
        <w:rPr>
          <w:color w:val="000000" w:themeColor="text1"/>
          <w:sz w:val="18"/>
          <w:lang w:val="en-IE"/>
        </w:rPr>
        <w:t xml:space="preserve">Century (REN21), </w:t>
      </w:r>
      <w:r w:rsidRPr="00220722">
        <w:rPr>
          <w:i/>
          <w:color w:val="000000" w:themeColor="text1"/>
          <w:sz w:val="18"/>
          <w:lang w:val="en-IE"/>
        </w:rPr>
        <w:t>Renewables Global Status Report</w:t>
      </w:r>
      <w:r w:rsidRPr="00220722">
        <w:rPr>
          <w:color w:val="000000" w:themeColor="text1"/>
          <w:sz w:val="18"/>
          <w:lang w:val="en-IE"/>
        </w:rPr>
        <w:t>, 2024.</w:t>
      </w:r>
    </w:p>
  </w:footnote>
  <w:footnote w:id="153">
    <w:p w14:paraId="5AF71957" w14:textId="504D4921" w:rsidR="001A710E" w:rsidRPr="00220722" w:rsidRDefault="001A710E" w:rsidP="00AF2E83">
      <w:pPr>
        <w:keepNext/>
        <w:keepLines/>
        <w:shd w:val="clear" w:color="auto" w:fill="FFFFFF" w:themeFill="background1"/>
        <w:spacing w:after="0"/>
        <w:ind w:left="426" w:hanging="426"/>
        <w:rPr>
          <w:i/>
          <w:iCs/>
          <w:sz w:val="18"/>
          <w:szCs w:val="18"/>
          <w:lang w:val="en-IE"/>
        </w:rPr>
      </w:pPr>
      <w:r>
        <w:rPr>
          <w:sz w:val="18"/>
          <w:szCs w:val="18"/>
          <w:vertAlign w:val="superscript"/>
          <w:lang w:val="en-IE"/>
        </w:rPr>
        <w:footnoteRef/>
      </w:r>
      <w:r w:rsidRPr="00220722">
        <w:rPr>
          <w:sz w:val="18"/>
          <w:lang w:val="en-IE"/>
        </w:rPr>
        <w:t xml:space="preserve"> </w:t>
      </w:r>
      <w:r w:rsidRPr="00220722">
        <w:rPr>
          <w:sz w:val="18"/>
          <w:lang w:val="en-IE"/>
        </w:rPr>
        <w:tab/>
        <w:t xml:space="preserve">European Geothermal Energy Council (EGEC), </w:t>
      </w:r>
      <w:r w:rsidRPr="00220722">
        <w:rPr>
          <w:i/>
          <w:sz w:val="18"/>
          <w:lang w:val="en-IE"/>
        </w:rPr>
        <w:t>Geothermal Market Report 2023</w:t>
      </w:r>
      <w:r w:rsidRPr="00220722">
        <w:rPr>
          <w:sz w:val="18"/>
          <w:lang w:val="en-IE"/>
        </w:rPr>
        <w:t>, 2024.</w:t>
      </w:r>
    </w:p>
  </w:footnote>
  <w:footnote w:id="154">
    <w:p w14:paraId="5493F2E7" w14:textId="4E774344" w:rsidR="001A710E" w:rsidRPr="00220722" w:rsidRDefault="001A710E"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EGEC, </w:t>
      </w:r>
      <w:r w:rsidRPr="00220722">
        <w:rPr>
          <w:i/>
          <w:lang w:val="en-IE"/>
        </w:rPr>
        <w:t>Geothermal Market Report 2023</w:t>
      </w:r>
      <w:r w:rsidRPr="00220722">
        <w:rPr>
          <w:lang w:val="en-IE"/>
        </w:rPr>
        <w:t>, 2024.</w:t>
      </w:r>
    </w:p>
  </w:footnote>
  <w:footnote w:id="155">
    <w:p w14:paraId="4ADA5FA9" w14:textId="09A2A994" w:rsidR="001A710E" w:rsidRPr="00220722" w:rsidRDefault="001A710E" w:rsidP="00AF2E83">
      <w:pPr>
        <w:keepNext/>
        <w:keepLines/>
        <w:shd w:val="clear" w:color="auto" w:fill="FFFFFF" w:themeFill="background1"/>
        <w:spacing w:after="0"/>
        <w:ind w:left="426" w:hanging="426"/>
        <w:rPr>
          <w:i/>
          <w:iCs/>
          <w:sz w:val="18"/>
          <w:szCs w:val="18"/>
          <w:lang w:val="en-IE"/>
        </w:rPr>
      </w:pPr>
      <w:r>
        <w:rPr>
          <w:sz w:val="18"/>
          <w:szCs w:val="18"/>
          <w:vertAlign w:val="superscript"/>
          <w:lang w:val="en-IE"/>
        </w:rPr>
        <w:footnoteRef/>
      </w:r>
      <w:r w:rsidRPr="00220722">
        <w:rPr>
          <w:sz w:val="18"/>
          <w:vertAlign w:val="superscript"/>
          <w:lang w:val="en-IE"/>
        </w:rPr>
        <w:t xml:space="preserve"> </w:t>
      </w:r>
      <w:r w:rsidRPr="00220722">
        <w:rPr>
          <w:sz w:val="18"/>
          <w:vertAlign w:val="superscript"/>
          <w:lang w:val="en-IE"/>
        </w:rPr>
        <w:tab/>
      </w:r>
      <w:r w:rsidRPr="00220722">
        <w:rPr>
          <w:sz w:val="18"/>
          <w:lang w:val="en-IE"/>
        </w:rPr>
        <w:t xml:space="preserve">Euroopan komission yhteinen tutkimuskeskus, Taylor, N., Georgakaki, A., Ince, E., Letout, S. Mountraki, Gea Bermudez, J. ja Schmitz, A., CETO, </w:t>
      </w:r>
      <w:hyperlink r:id="rId84" w:history="1">
        <w:r w:rsidRPr="00220722">
          <w:rPr>
            <w:rStyle w:val="Hyperlink"/>
            <w:i/>
            <w:sz w:val="18"/>
            <w:lang w:val="en-IE"/>
          </w:rPr>
          <w:t>Geothermal Energy in the European Union</w:t>
        </w:r>
      </w:hyperlink>
      <w:r w:rsidRPr="00220722">
        <w:rPr>
          <w:sz w:val="18"/>
          <w:lang w:val="en-IE"/>
        </w:rPr>
        <w:t>, 2024.</w:t>
      </w:r>
    </w:p>
  </w:footnote>
  <w:footnote w:id="156">
    <w:p w14:paraId="299B9DC0" w14:textId="2B67A01E" w:rsidR="001A710E" w:rsidRPr="00220722" w:rsidRDefault="001A710E" w:rsidP="00AF2E83">
      <w:pPr>
        <w:spacing w:after="0"/>
        <w:ind w:left="426" w:hanging="426"/>
        <w:rPr>
          <w:rFonts w:eastAsia="Aptos"/>
          <w:sz w:val="18"/>
          <w:szCs w:val="18"/>
          <w:lang w:val="en-IE"/>
        </w:rPr>
      </w:pPr>
      <w:r>
        <w:rPr>
          <w:sz w:val="18"/>
          <w:szCs w:val="18"/>
          <w:vertAlign w:val="superscript"/>
          <w:lang w:val="en-IE"/>
        </w:rPr>
        <w:footnoteRef/>
      </w:r>
      <w:r w:rsidRPr="00220722">
        <w:rPr>
          <w:sz w:val="18"/>
          <w:lang w:val="en-IE"/>
        </w:rPr>
        <w:t xml:space="preserve"> </w:t>
      </w:r>
      <w:r w:rsidRPr="00220722">
        <w:rPr>
          <w:sz w:val="18"/>
          <w:lang w:val="en-IE"/>
        </w:rPr>
        <w:tab/>
        <w:t xml:space="preserve">EGEC, </w:t>
      </w:r>
      <w:hyperlink r:id="rId85" w:history="1">
        <w:r w:rsidRPr="00220722">
          <w:rPr>
            <w:rStyle w:val="Hyperlink"/>
            <w:i/>
            <w:sz w:val="18"/>
            <w:lang w:val="en-IE"/>
          </w:rPr>
          <w:t>Geothermal Market Report 2023</w:t>
        </w:r>
      </w:hyperlink>
      <w:r w:rsidRPr="00220722">
        <w:rPr>
          <w:sz w:val="18"/>
          <w:lang w:val="en-IE"/>
        </w:rPr>
        <w:t>, 2024.</w:t>
      </w:r>
    </w:p>
  </w:footnote>
  <w:footnote w:id="157">
    <w:p w14:paraId="51FF9C3A" w14:textId="4C4EC6A3" w:rsidR="001A710E" w:rsidRPr="00220722" w:rsidRDefault="001A710E"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86" w:history="1">
        <w:r w:rsidRPr="00220722">
          <w:rPr>
            <w:rStyle w:val="Hyperlink"/>
            <w:i/>
            <w:lang w:val="en-IE"/>
          </w:rPr>
          <w:t>Geothermal Energy in the European Union</w:t>
        </w:r>
      </w:hyperlink>
      <w:r w:rsidRPr="00220722">
        <w:rPr>
          <w:lang w:val="en-IE"/>
        </w:rPr>
        <w:t>, 2024.</w:t>
      </w:r>
    </w:p>
  </w:footnote>
  <w:footnote w:id="158">
    <w:p w14:paraId="2A1CE1FF" w14:textId="5633044A" w:rsidR="003D1765" w:rsidRPr="00220722" w:rsidRDefault="003D1765" w:rsidP="003D1765">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EGEC, </w:t>
      </w:r>
      <w:hyperlink r:id="rId87" w:history="1">
        <w:r w:rsidRPr="00220722">
          <w:rPr>
            <w:rStyle w:val="Hyperlink"/>
            <w:i/>
            <w:lang w:val="en-IE"/>
          </w:rPr>
          <w:t>Geothermal Market Report 2023</w:t>
        </w:r>
      </w:hyperlink>
      <w:r w:rsidRPr="00220722">
        <w:rPr>
          <w:lang w:val="en-IE"/>
        </w:rPr>
        <w:t>, 2024.</w:t>
      </w:r>
    </w:p>
  </w:footnote>
  <w:footnote w:id="159">
    <w:p w14:paraId="3116B739" w14:textId="77777777" w:rsidR="003D1765" w:rsidRPr="00220722" w:rsidRDefault="003D1765" w:rsidP="003D1765">
      <w:pPr>
        <w:spacing w:after="0"/>
        <w:ind w:left="426" w:hanging="426"/>
        <w:rPr>
          <w:sz w:val="18"/>
          <w:szCs w:val="18"/>
          <w:vertAlign w:val="superscript"/>
          <w:lang w:val="en-IE"/>
        </w:rPr>
      </w:pPr>
      <w:r>
        <w:rPr>
          <w:sz w:val="18"/>
          <w:szCs w:val="18"/>
          <w:vertAlign w:val="superscript"/>
          <w:lang w:val="en-IE"/>
        </w:rPr>
        <w:footnoteRef/>
      </w:r>
      <w:r w:rsidRPr="00220722">
        <w:rPr>
          <w:sz w:val="18"/>
          <w:vertAlign w:val="superscript"/>
          <w:lang w:val="en-IE"/>
        </w:rPr>
        <w:t xml:space="preserve"> </w:t>
      </w:r>
      <w:r w:rsidRPr="00220722">
        <w:rPr>
          <w:sz w:val="18"/>
          <w:vertAlign w:val="superscript"/>
          <w:lang w:val="en-IE"/>
        </w:rPr>
        <w:tab/>
      </w:r>
      <w:r w:rsidRPr="00220722">
        <w:rPr>
          <w:sz w:val="18"/>
          <w:lang w:val="en-IE"/>
        </w:rPr>
        <w:t xml:space="preserve">Euroopan komissio, tutkimuksen ja innovoinnin pääosasto, Schleker, T., Hicks, M., Cressida Howard, I., Ohrvik-Stott, J. ym., </w:t>
      </w:r>
      <w:hyperlink r:id="rId88" w:history="1">
        <w:r w:rsidRPr="00220722">
          <w:rPr>
            <w:rStyle w:val="Hyperlink"/>
            <w:i/>
            <w:sz w:val="18"/>
            <w:lang w:val="en-IE"/>
          </w:rPr>
          <w:t>Study on clean energy R&amp;I opportunities to ensure European energy security by targeting challenges of distinct energy value chains for 2030 and beyond</w:t>
        </w:r>
      </w:hyperlink>
      <w:r w:rsidRPr="00220722">
        <w:rPr>
          <w:sz w:val="18"/>
          <w:lang w:val="en-IE"/>
        </w:rPr>
        <w:t>, 2024.</w:t>
      </w:r>
    </w:p>
  </w:footnote>
  <w:footnote w:id="160">
    <w:p w14:paraId="1CD07AFF" w14:textId="10469B0A" w:rsidR="002552F1" w:rsidRPr="008303BC" w:rsidRDefault="002552F1" w:rsidP="00AF2E83">
      <w:pPr>
        <w:pStyle w:val="FootnoteText"/>
        <w:ind w:left="426" w:hanging="426"/>
      </w:pPr>
      <w:r>
        <w:rPr>
          <w:rStyle w:val="FootnoteReference"/>
          <w:lang w:val="en-IE"/>
        </w:rPr>
        <w:footnoteRef/>
      </w:r>
      <w:r>
        <w:t xml:space="preserve"> </w:t>
      </w:r>
      <w:r>
        <w:tab/>
        <w:t>Euroopan parlamentin päätöslauselma 18. tammikuuta 2024 geotermisestä energiasta (2023/2111(INI)).</w:t>
      </w:r>
    </w:p>
  </w:footnote>
  <w:footnote w:id="161">
    <w:p w14:paraId="6BE93A37" w14:textId="7207E55F" w:rsidR="0024623B" w:rsidRPr="008303BC" w:rsidRDefault="0024623B" w:rsidP="00AF2E83">
      <w:pPr>
        <w:pStyle w:val="FootnoteText"/>
        <w:ind w:left="426" w:hanging="426"/>
      </w:pPr>
      <w:r>
        <w:rPr>
          <w:rStyle w:val="FootnoteReference"/>
          <w:lang w:val="en-IE"/>
        </w:rPr>
        <w:footnoteRef/>
      </w:r>
      <w:r>
        <w:t xml:space="preserve"> </w:t>
      </w:r>
      <w:r>
        <w:tab/>
        <w:t>Euroopan unionin neuvoston päätelmät geotermisen energian edistämisestä, 16. joulukuuta 2024.</w:t>
      </w:r>
    </w:p>
  </w:footnote>
  <w:footnote w:id="162">
    <w:p w14:paraId="1A59ED4F" w14:textId="5AAADFFC" w:rsidR="002C0E43" w:rsidRPr="008303BC" w:rsidRDefault="002C0E43" w:rsidP="00AF2E83">
      <w:pPr>
        <w:pStyle w:val="FootnoteText"/>
        <w:ind w:left="426" w:hanging="426"/>
        <w:rPr>
          <w:szCs w:val="18"/>
        </w:rPr>
      </w:pPr>
      <w:r>
        <w:rPr>
          <w:rStyle w:val="FootnoteReference"/>
          <w:szCs w:val="18"/>
          <w:lang w:val="en-IE"/>
        </w:rPr>
        <w:footnoteRef/>
      </w:r>
      <w:r>
        <w:t xml:space="preserve"> </w:t>
      </w:r>
      <w:r>
        <w:tab/>
        <w:t xml:space="preserve">Kuten uusiutuvan energian direktiiviin (EU) 2023/2413 sisältyvillä kulutustavoitteilla, elektrolyysikumppanuuden tavoitteella saavuttaa 25 GWe:n vuotuinen tuotanto vuoteen 2025 mennessä sekä neljällä vetyä ja polttokennoja koskevalla Euroopan yhteistä etua koskevalla tärkeällä hankkeella, ks. </w:t>
      </w:r>
      <w:hyperlink r:id="rId89" w:history="1">
        <w:r>
          <w:rPr>
            <w:rStyle w:val="Hyperlink"/>
          </w:rPr>
          <w:t>https://competition-policy.ec.europa.eu/state-aid/ipcei/approved-ipceis_en?prefLang=fi</w:t>
        </w:r>
      </w:hyperlink>
      <w:r>
        <w:t>.</w:t>
      </w:r>
    </w:p>
  </w:footnote>
  <w:footnote w:id="163">
    <w:p w14:paraId="3175F24B" w14:textId="1C3F2FEA" w:rsidR="00772235" w:rsidRPr="008303BC" w:rsidRDefault="00772235" w:rsidP="00772235">
      <w:pPr>
        <w:pStyle w:val="FootnoteText"/>
        <w:ind w:left="426" w:hanging="426"/>
        <w:rPr>
          <w:szCs w:val="18"/>
        </w:rPr>
      </w:pPr>
      <w:r>
        <w:rPr>
          <w:rStyle w:val="FootnoteReference"/>
          <w:szCs w:val="18"/>
          <w:lang w:val="en-IE"/>
        </w:rPr>
        <w:footnoteRef/>
      </w:r>
      <w:r>
        <w:t xml:space="preserve"> </w:t>
      </w:r>
      <w:r>
        <w:tab/>
        <w:t>Perustuu IEA:n vetyhankkeita koskevaan data-aineistoon (tammikuun 2025 tiedot EU:n, Norjan, Yhdistyneen kuningaskunnan ja Sveitsin osalta).</w:t>
      </w:r>
    </w:p>
  </w:footnote>
  <w:footnote w:id="164">
    <w:p w14:paraId="2F129D39" w14:textId="3F1DE8A5" w:rsidR="002C0E43" w:rsidRPr="008303BC" w:rsidRDefault="002C0E43" w:rsidP="004E5F88">
      <w:pPr>
        <w:pStyle w:val="FootnoteText"/>
        <w:ind w:left="426" w:hanging="426"/>
        <w:rPr>
          <w:szCs w:val="18"/>
        </w:rPr>
      </w:pPr>
      <w:r>
        <w:rPr>
          <w:rStyle w:val="FootnoteReference"/>
          <w:szCs w:val="18"/>
          <w:lang w:val="en-IE"/>
        </w:rPr>
        <w:footnoteRef/>
      </w:r>
      <w:r>
        <w:t xml:space="preserve"> </w:t>
      </w:r>
      <w:r>
        <w:tab/>
        <w:t xml:space="preserve">Euroopan komission yhteinen tutkimuskeskus, Bolard, J., Dolci, F., Gryc, K., Eynard, U., Georgakaki, A., Letout, S., Mountraki, A., Ince, E., Shtjefni, D., Rózsai, M. and Wegener, M., CETO, </w:t>
      </w:r>
      <w:hyperlink r:id="rId90" w:history="1">
        <w:r>
          <w:rPr>
            <w:rStyle w:val="Hyperlink"/>
            <w:i/>
          </w:rPr>
          <w:t>Water Electrolysis and Hydrogen in the European Union</w:t>
        </w:r>
      </w:hyperlink>
      <w:r>
        <w:t xml:space="preserve">, 2024; IEA, </w:t>
      </w:r>
      <w:r>
        <w:rPr>
          <w:i/>
        </w:rPr>
        <w:t>Global Hydrogen Review</w:t>
      </w:r>
      <w:r>
        <w:t>, 2024. IEA:n tietojen mukaan Yhdysvaltojen asennettu kapasiteetti oli vuonna 2024 huomattavasti pienempi kuin hanketietokannassa vuonna 2023 ilmoitettu 717 MWe.</w:t>
      </w:r>
    </w:p>
  </w:footnote>
  <w:footnote w:id="165">
    <w:p w14:paraId="56821C69" w14:textId="28FC1DFC" w:rsidR="005D6C2C" w:rsidRPr="00845AF0" w:rsidRDefault="005D6C2C" w:rsidP="004B723D">
      <w:pPr>
        <w:pStyle w:val="FootnoteText"/>
        <w:ind w:left="426" w:hanging="426"/>
        <w:rPr>
          <w:szCs w:val="18"/>
        </w:rPr>
      </w:pPr>
      <w:r>
        <w:rPr>
          <w:rStyle w:val="FootnoteReference"/>
          <w:szCs w:val="18"/>
        </w:rPr>
        <w:footnoteRef/>
      </w:r>
      <w:r w:rsidRPr="00220722">
        <w:rPr>
          <w:lang w:val="en-IE"/>
        </w:rPr>
        <w:t xml:space="preserve"> </w:t>
      </w:r>
      <w:r w:rsidRPr="00220722">
        <w:rPr>
          <w:lang w:val="en-IE"/>
        </w:rPr>
        <w:tab/>
        <w:t xml:space="preserve">IEA, </w:t>
      </w:r>
      <w:r w:rsidRPr="00220722">
        <w:rPr>
          <w:i/>
          <w:lang w:val="en-IE"/>
        </w:rPr>
        <w:t>Global Hydrogen Review</w:t>
      </w:r>
      <w:r w:rsidRPr="00220722">
        <w:rPr>
          <w:lang w:val="en-IE"/>
        </w:rPr>
        <w:t xml:space="preserve">, 2024; CETO, </w:t>
      </w:r>
      <w:hyperlink r:id="rId91" w:history="1">
        <w:r w:rsidRPr="00220722">
          <w:rPr>
            <w:rStyle w:val="Hyperlink"/>
            <w:i/>
            <w:lang w:val="en-IE"/>
          </w:rPr>
          <w:t>Water Electrolysis and Hydrogen in the European Union</w:t>
        </w:r>
      </w:hyperlink>
      <w:r w:rsidRPr="00220722">
        <w:rPr>
          <w:lang w:val="en-IE"/>
        </w:rPr>
        <w:t xml:space="preserve">, 2024. </w:t>
      </w:r>
      <w:r>
        <w:t>Vaihteluvälin yläraja perustuu Rystadt Energyn tietoihin, ja siinä huomioidaan myös rakenteilla oleva valmistuskapasiteetti (lokakuu 2024).</w:t>
      </w:r>
    </w:p>
  </w:footnote>
  <w:footnote w:id="166">
    <w:p w14:paraId="7456D209" w14:textId="61CF57E4" w:rsidR="004B723D" w:rsidRPr="00220722" w:rsidRDefault="004B723D" w:rsidP="004B723D">
      <w:pPr>
        <w:pStyle w:val="FootnoteText"/>
        <w:ind w:left="426" w:hanging="426"/>
        <w:rPr>
          <w:lang w:val="en-IE"/>
        </w:rPr>
      </w:pPr>
      <w:r>
        <w:rPr>
          <w:rStyle w:val="FootnoteReference"/>
        </w:rPr>
        <w:footnoteRef/>
      </w:r>
      <w:r>
        <w:t xml:space="preserve"> </w:t>
      </w:r>
      <w:r>
        <w:tab/>
        <w:t xml:space="preserve">IEA, </w:t>
      </w:r>
      <w:r>
        <w:rPr>
          <w:i/>
        </w:rPr>
        <w:t>Global Hydrogen Review</w:t>
      </w:r>
      <w:r>
        <w:t xml:space="preserve">, 2024. </w:t>
      </w:r>
      <w:bookmarkStart w:id="35" w:name="_Hlk171430290"/>
      <w:r>
        <w:t xml:space="preserve">Vaihteluvälin yläraja perustuu BloombergNEF:n ennusteeseen (ks. </w:t>
      </w:r>
      <w:r w:rsidRPr="00220722">
        <w:rPr>
          <w:i/>
          <w:lang w:val="en-IE"/>
        </w:rPr>
        <w:t>Electrolysers, too many fish in the Pond</w:t>
      </w:r>
      <w:bookmarkEnd w:id="35"/>
      <w:r w:rsidRPr="00220722">
        <w:rPr>
          <w:lang w:val="en-IE"/>
        </w:rPr>
        <w:t>, 2024).</w:t>
      </w:r>
    </w:p>
  </w:footnote>
  <w:footnote w:id="167">
    <w:p w14:paraId="2ABAA941" w14:textId="1D298708" w:rsidR="002C0E43" w:rsidRPr="008303BC" w:rsidRDefault="002C0E43" w:rsidP="00AF2E83">
      <w:pPr>
        <w:pStyle w:val="FootnoteText"/>
        <w:ind w:left="426" w:hanging="426"/>
        <w:rPr>
          <w:szCs w:val="18"/>
        </w:rPr>
      </w:pPr>
      <w:r>
        <w:rPr>
          <w:rStyle w:val="FootnoteReference"/>
          <w:szCs w:val="18"/>
          <w:lang w:val="en-IE"/>
        </w:rPr>
        <w:footnoteRef/>
      </w:r>
      <w:r w:rsidRPr="00220722">
        <w:rPr>
          <w:lang w:val="en-IE"/>
        </w:rPr>
        <w:t xml:space="preserve"> </w:t>
      </w:r>
      <w:r w:rsidRPr="00220722">
        <w:rPr>
          <w:lang w:val="en-IE"/>
        </w:rPr>
        <w:tab/>
        <w:t xml:space="preserve">IEA, </w:t>
      </w:r>
      <w:r w:rsidRPr="00220722">
        <w:rPr>
          <w:i/>
          <w:lang w:val="en-IE"/>
        </w:rPr>
        <w:t>Global Hydrogen Review</w:t>
      </w:r>
      <w:r w:rsidRPr="00220722">
        <w:rPr>
          <w:lang w:val="en-IE"/>
        </w:rPr>
        <w:t xml:space="preserve">, 2024. </w:t>
      </w:r>
      <w:r>
        <w:t>Vaihteluvälin yläraja perustuu alkuperäisten laitevalmistajien päätoimipaikkoihin Kiinassa.</w:t>
      </w:r>
    </w:p>
  </w:footnote>
  <w:footnote w:id="168">
    <w:p w14:paraId="74AE79F9" w14:textId="4341B5FF" w:rsidR="00D21A4F" w:rsidRPr="00220722" w:rsidRDefault="00D21A4F"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Perustuu seuraaviin: BloombergNEF, </w:t>
      </w:r>
      <w:r w:rsidRPr="00220722">
        <w:rPr>
          <w:i/>
          <w:lang w:val="en-IE"/>
        </w:rPr>
        <w:t>Electrolyser Price Survey</w:t>
      </w:r>
      <w:r w:rsidRPr="00220722">
        <w:rPr>
          <w:lang w:val="en-IE"/>
        </w:rPr>
        <w:t xml:space="preserve">, 2024; TNO, </w:t>
      </w:r>
      <w:r w:rsidRPr="00220722">
        <w:rPr>
          <w:i/>
          <w:lang w:val="en-IE"/>
        </w:rPr>
        <w:t>Evaluation of the levelised cost of hydrogen based on proposed electrolyser projects in the Netherlands</w:t>
      </w:r>
      <w:r w:rsidRPr="00220722">
        <w:rPr>
          <w:lang w:val="en-IE"/>
        </w:rPr>
        <w:t>, 2024.</w:t>
      </w:r>
    </w:p>
  </w:footnote>
  <w:footnote w:id="169">
    <w:p w14:paraId="3C47DFE3" w14:textId="5817255C" w:rsidR="002C0E43" w:rsidRPr="008303BC" w:rsidRDefault="002C0E43" w:rsidP="00AF2E83">
      <w:pPr>
        <w:pStyle w:val="FootnoteText"/>
        <w:ind w:left="426" w:hanging="426"/>
        <w:rPr>
          <w:szCs w:val="18"/>
        </w:rPr>
      </w:pPr>
      <w:r>
        <w:rPr>
          <w:rStyle w:val="FootnoteReference"/>
          <w:szCs w:val="18"/>
          <w:lang w:val="en-IE"/>
        </w:rPr>
        <w:footnoteRef/>
      </w:r>
      <w:r w:rsidRPr="00220722">
        <w:rPr>
          <w:lang w:val="en-IE"/>
        </w:rPr>
        <w:t xml:space="preserve"> </w:t>
      </w:r>
      <w:r w:rsidRPr="00220722">
        <w:rPr>
          <w:lang w:val="en-IE"/>
        </w:rPr>
        <w:tab/>
        <w:t xml:space="preserve">Perustuu JRC:n julkaisuun </w:t>
      </w:r>
      <w:hyperlink r:id="rId92" w:history="1">
        <w:r w:rsidRPr="00220722">
          <w:rPr>
            <w:rStyle w:val="Hyperlink"/>
            <w:lang w:val="en-IE"/>
          </w:rPr>
          <w:t>”Supply chain analysis and material demand forecast in strategic technologies and sectors in the EU”</w:t>
        </w:r>
      </w:hyperlink>
      <w:r w:rsidRPr="00220722">
        <w:rPr>
          <w:lang w:val="en-IE"/>
        </w:rPr>
        <w:t xml:space="preserve">, 2023. </w:t>
      </w:r>
      <w:r>
        <w:t>Noin 1–5 prosenttia elektrolyysilaitteiden kriittisistä raaka-aineista hankitaan Euroopasta.</w:t>
      </w:r>
    </w:p>
  </w:footnote>
  <w:footnote w:id="170">
    <w:p w14:paraId="2C64D312" w14:textId="6A2F734B" w:rsidR="002C0E43" w:rsidRPr="008303BC" w:rsidRDefault="002C0E43" w:rsidP="00AF2E83">
      <w:pPr>
        <w:pStyle w:val="FootnoteText"/>
        <w:ind w:left="426" w:hanging="426"/>
        <w:rPr>
          <w:szCs w:val="18"/>
        </w:rPr>
      </w:pPr>
      <w:r>
        <w:rPr>
          <w:rStyle w:val="FootnoteReference"/>
          <w:szCs w:val="18"/>
          <w:lang w:val="en-IE"/>
        </w:rPr>
        <w:footnoteRef/>
      </w:r>
      <w:r>
        <w:t xml:space="preserve"> </w:t>
      </w:r>
      <w:r>
        <w:tab/>
        <w:t xml:space="preserve">Perustuu julkaisuun BloombergNEF, </w:t>
      </w:r>
      <w:r>
        <w:rPr>
          <w:i/>
          <w:iCs/>
        </w:rPr>
        <w:t>Electrolyser Price Survey</w:t>
      </w:r>
      <w:r>
        <w:t>, 2024.</w:t>
      </w:r>
    </w:p>
  </w:footnote>
  <w:footnote w:id="171">
    <w:p w14:paraId="33021795" w14:textId="36BA2B8E" w:rsidR="002C0E43" w:rsidRPr="00A56209" w:rsidRDefault="002C0E43" w:rsidP="00AF2E83">
      <w:pPr>
        <w:pStyle w:val="FootnoteText"/>
        <w:ind w:left="426" w:hanging="426"/>
      </w:pPr>
      <w:r>
        <w:rPr>
          <w:rStyle w:val="FootnoteReference"/>
          <w:lang w:val="en-IE"/>
        </w:rPr>
        <w:footnoteRef/>
      </w:r>
      <w:r>
        <w:t xml:space="preserve"> </w:t>
      </w:r>
      <w:r>
        <w:tab/>
        <w:t>Neljä tärkeintä kaupallista teknologiaa ovat alkalielektrolyysi, polymeerielektrolyysi (PEM), kiinteäoksidielektrolyysi ja anioninvaihtomembraanielektrolyysi (AEM). Lisäksi kehitteillä on protoneja johtavaan keraamiseen elektrolyyttiin perustuva teknologia.</w:t>
      </w:r>
    </w:p>
  </w:footnote>
  <w:footnote w:id="172">
    <w:p w14:paraId="724F71E3" w14:textId="46E58187" w:rsidR="002C0E43" w:rsidRPr="00FB1954" w:rsidRDefault="002C0E43" w:rsidP="00AF2E83">
      <w:pPr>
        <w:pStyle w:val="FootnoteText"/>
        <w:ind w:left="426" w:hanging="426"/>
        <w:rPr>
          <w:szCs w:val="18"/>
        </w:rPr>
      </w:pPr>
      <w:r>
        <w:rPr>
          <w:rStyle w:val="FootnoteReference"/>
          <w:szCs w:val="18"/>
          <w:lang w:val="en-IE"/>
        </w:rPr>
        <w:footnoteRef/>
      </w:r>
      <w:r>
        <w:t xml:space="preserve"> </w:t>
      </w:r>
      <w:r>
        <w:tab/>
        <w:t xml:space="preserve">Euroopan ilmastoneutraalin teollisuuden kilpailukyvyn tulostaulu (CIndECS). </w:t>
      </w:r>
      <w:r w:rsidRPr="00FB1954">
        <w:t>EU:n osuus arvokkaista keksinnöistä on 31 prosenttia.</w:t>
      </w:r>
    </w:p>
  </w:footnote>
  <w:footnote w:id="173">
    <w:p w14:paraId="6CD10B98" w14:textId="368394D4" w:rsidR="002C0E43" w:rsidRPr="00FB1954" w:rsidRDefault="002C0E43" w:rsidP="00AF2E83">
      <w:pPr>
        <w:pStyle w:val="FootnoteText"/>
        <w:ind w:left="426" w:hanging="426"/>
        <w:rPr>
          <w:szCs w:val="18"/>
        </w:rPr>
      </w:pPr>
      <w:r>
        <w:rPr>
          <w:rStyle w:val="FootnoteReference"/>
          <w:szCs w:val="18"/>
          <w:lang w:val="en-IE"/>
        </w:rPr>
        <w:footnoteRef/>
      </w:r>
      <w:r w:rsidRPr="00FB1954">
        <w:t xml:space="preserve"> </w:t>
      </w:r>
      <w:r w:rsidRPr="00FB1954">
        <w:tab/>
        <w:t xml:space="preserve">CETO, </w:t>
      </w:r>
      <w:hyperlink r:id="rId93" w:history="1">
        <w:r w:rsidRPr="00FB1954">
          <w:rPr>
            <w:rStyle w:val="Hyperlink"/>
            <w:i/>
          </w:rPr>
          <w:t>Water Electrolysis and Hydrogen in the European Union</w:t>
        </w:r>
      </w:hyperlink>
      <w:r w:rsidRPr="00FB1954">
        <w:t xml:space="preserve">, 2024. </w:t>
      </w:r>
    </w:p>
  </w:footnote>
  <w:footnote w:id="174">
    <w:p w14:paraId="2AB6C96B" w14:textId="12C09C1B" w:rsidR="002C0E43" w:rsidRPr="00220722" w:rsidRDefault="002C0E43" w:rsidP="00AF2E83">
      <w:pPr>
        <w:pStyle w:val="FootnoteText"/>
        <w:ind w:left="426" w:hanging="426"/>
        <w:rPr>
          <w:szCs w:val="18"/>
          <w:lang w:val="en-IE"/>
        </w:rPr>
      </w:pPr>
      <w:r>
        <w:rPr>
          <w:rStyle w:val="FootnoteReference"/>
          <w:szCs w:val="18"/>
          <w:lang w:val="en-IE"/>
        </w:rPr>
        <w:footnoteRef/>
      </w:r>
      <w:r w:rsidRPr="00220722">
        <w:rPr>
          <w:lang w:val="en-IE"/>
        </w:rPr>
        <w:t xml:space="preserve"> </w:t>
      </w:r>
      <w:bookmarkStart w:id="37" w:name="_Hlk171430371"/>
      <w:r w:rsidRPr="00220722">
        <w:rPr>
          <w:lang w:val="en-IE"/>
        </w:rPr>
        <w:tab/>
        <w:t xml:space="preserve">TNO, </w:t>
      </w:r>
      <w:hyperlink r:id="rId94" w:history="1">
        <w:r w:rsidRPr="00220722">
          <w:rPr>
            <w:rStyle w:val="Hyperlink"/>
            <w:i/>
            <w:lang w:val="en-IE"/>
          </w:rPr>
          <w:t>Evaluation of the levelised cost of hydrogen based on proposed electrolyser projects in the Netherlands</w:t>
        </w:r>
      </w:hyperlink>
      <w:r w:rsidRPr="00220722">
        <w:rPr>
          <w:lang w:val="en-IE"/>
        </w:rPr>
        <w:t>, 2024.</w:t>
      </w:r>
      <w:bookmarkEnd w:id="37"/>
    </w:p>
  </w:footnote>
  <w:footnote w:id="175">
    <w:p w14:paraId="316B7F2B" w14:textId="77777777" w:rsidR="002C0E43" w:rsidRPr="00220722" w:rsidRDefault="002C0E43"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Perustuu julkaisuun Rystad Energy, ”Fuel Cell Installed Capacity Dataset”, 2024. </w:t>
      </w:r>
    </w:p>
  </w:footnote>
  <w:footnote w:id="176">
    <w:p w14:paraId="03FA6DB7" w14:textId="7972DB1A" w:rsidR="002C0E43" w:rsidRPr="00220722" w:rsidRDefault="002C0E43"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European Hydrogen Observatory, </w:t>
      </w:r>
      <w:hyperlink r:id="rId95" w:history="1">
        <w:r w:rsidRPr="00220722">
          <w:rPr>
            <w:rStyle w:val="Hyperlink"/>
            <w:i/>
            <w:lang w:val="en-IE"/>
          </w:rPr>
          <w:t>Fuel Cell Market Dataset</w:t>
        </w:r>
      </w:hyperlink>
      <w:r w:rsidRPr="00220722">
        <w:rPr>
          <w:lang w:val="en-IE"/>
        </w:rPr>
        <w:t xml:space="preserve">, 2021. </w:t>
      </w:r>
    </w:p>
  </w:footnote>
  <w:footnote w:id="177">
    <w:p w14:paraId="76C54A75" w14:textId="464C7A7E" w:rsidR="004F39A6" w:rsidRPr="00220722" w:rsidRDefault="004F39A6" w:rsidP="00AF2E83">
      <w:pPr>
        <w:pStyle w:val="FootnoteText"/>
        <w:ind w:left="426" w:hanging="426"/>
        <w:rPr>
          <w:szCs w:val="18"/>
          <w:lang w:val="en-IE"/>
        </w:rPr>
      </w:pPr>
      <w:r>
        <w:rPr>
          <w:rStyle w:val="FootnoteReference"/>
          <w:color w:val="000000" w:themeColor="text1"/>
          <w:szCs w:val="18"/>
          <w:lang w:val="en-IE"/>
        </w:rPr>
        <w:footnoteRef/>
      </w:r>
      <w:r w:rsidRPr="00220722">
        <w:rPr>
          <w:color w:val="000000" w:themeColor="text1"/>
          <w:lang w:val="en-IE"/>
        </w:rPr>
        <w:t xml:space="preserve"> </w:t>
      </w:r>
      <w:r w:rsidRPr="00220722">
        <w:rPr>
          <w:color w:val="000000" w:themeColor="text1"/>
          <w:lang w:val="en-IE"/>
        </w:rPr>
        <w:tab/>
        <w:t xml:space="preserve">IEA, </w:t>
      </w:r>
      <w:r w:rsidRPr="00220722">
        <w:rPr>
          <w:i/>
          <w:iCs/>
          <w:color w:val="000000" w:themeColor="text1"/>
          <w:lang w:val="en-IE"/>
        </w:rPr>
        <w:t>Renewables 2023,</w:t>
      </w:r>
      <w:r w:rsidRPr="00220722">
        <w:rPr>
          <w:color w:val="000000" w:themeColor="text1"/>
          <w:lang w:val="en-IE"/>
        </w:rPr>
        <w:t xml:space="preserve"> </w:t>
      </w:r>
      <w:hyperlink r:id="rId96" w:history="1">
        <w:r w:rsidRPr="00220722">
          <w:rPr>
            <w:rStyle w:val="Hyperlink"/>
            <w:i/>
            <w:lang w:val="en-IE"/>
          </w:rPr>
          <w:t>Special section:</w:t>
        </w:r>
      </w:hyperlink>
      <w:hyperlink r:id="rId97" w:history="1">
        <w:r w:rsidRPr="00220722">
          <w:rPr>
            <w:rStyle w:val="Hyperlink"/>
            <w:i/>
            <w:lang w:val="en-IE"/>
          </w:rPr>
          <w:t xml:space="preserve"> Biogas and biomethane</w:t>
        </w:r>
      </w:hyperlink>
      <w:r w:rsidRPr="00220722">
        <w:rPr>
          <w:rStyle w:val="cf01"/>
          <w:rFonts w:ascii="Times New Roman" w:hAnsi="Times New Roman"/>
          <w:color w:val="000000" w:themeColor="text1"/>
          <w:lang w:val="en-IE"/>
        </w:rPr>
        <w:t>, 2024.</w:t>
      </w:r>
      <w:r w:rsidRPr="00220722">
        <w:rPr>
          <w:rStyle w:val="cf01"/>
          <w:rFonts w:ascii="Times New Roman" w:hAnsi="Times New Roman"/>
          <w:color w:val="000000" w:themeColor="text1"/>
          <w:u w:val="single"/>
          <w:lang w:val="en-IE"/>
        </w:rPr>
        <w:t xml:space="preserve"> </w:t>
      </w:r>
    </w:p>
  </w:footnote>
  <w:footnote w:id="178">
    <w:p w14:paraId="09C65A60" w14:textId="11FB77A4" w:rsidR="004F39A6" w:rsidRPr="00FB1954" w:rsidRDefault="004F39A6" w:rsidP="00AF2E83">
      <w:pPr>
        <w:pStyle w:val="FootnoteText"/>
        <w:ind w:left="426" w:hanging="426"/>
        <w:rPr>
          <w:szCs w:val="18"/>
        </w:rPr>
      </w:pPr>
      <w:r>
        <w:rPr>
          <w:rStyle w:val="FootnoteReference"/>
          <w:szCs w:val="18"/>
          <w:lang w:val="en-IE"/>
        </w:rPr>
        <w:footnoteRef/>
      </w:r>
      <w:r w:rsidRPr="00FB1954">
        <w:t xml:space="preserve"> </w:t>
      </w:r>
      <w:r w:rsidRPr="00FB1954">
        <w:tab/>
        <w:t>Perustuu European Biogas Associationin (</w:t>
      </w:r>
      <w:r w:rsidRPr="00FB1954">
        <w:rPr>
          <w:rStyle w:val="cf01"/>
          <w:rFonts w:ascii="Times New Roman" w:hAnsi="Times New Roman"/>
        </w:rPr>
        <w:t>EBA</w:t>
      </w:r>
      <w:hyperlink r:id="rId98" w:history="1">
        <w:r w:rsidRPr="00FB1954">
          <w:rPr>
            <w:rStyle w:val="Hyperlink"/>
          </w:rPr>
          <w:t>) tilastoraporttiin</w:t>
        </w:r>
      </w:hyperlink>
      <w:r w:rsidRPr="00FB1954">
        <w:rPr>
          <w:rStyle w:val="cf01"/>
          <w:rFonts w:ascii="Times New Roman" w:hAnsi="Times New Roman"/>
        </w:rPr>
        <w:t xml:space="preserve"> 2024. </w:t>
      </w:r>
    </w:p>
  </w:footnote>
  <w:footnote w:id="179">
    <w:p w14:paraId="1985CFB2" w14:textId="7EDD4A46" w:rsidR="004F39A6" w:rsidRPr="00220722" w:rsidRDefault="004F39A6" w:rsidP="00AF2E83">
      <w:pPr>
        <w:pStyle w:val="FootnoteText"/>
        <w:ind w:left="426" w:hanging="426"/>
        <w:rPr>
          <w:szCs w:val="18"/>
          <w:lang w:val="en-IE"/>
        </w:rPr>
      </w:pPr>
      <w:r>
        <w:rPr>
          <w:rStyle w:val="FootnoteReference"/>
          <w:color w:val="000000" w:themeColor="text1"/>
          <w:szCs w:val="18"/>
          <w:lang w:val="en-IE"/>
        </w:rPr>
        <w:footnoteRef/>
      </w:r>
      <w:r w:rsidRPr="00220722">
        <w:rPr>
          <w:color w:val="000000" w:themeColor="text1"/>
          <w:lang w:val="en-IE"/>
        </w:rPr>
        <w:t xml:space="preserve"> </w:t>
      </w:r>
      <w:r w:rsidRPr="00220722">
        <w:rPr>
          <w:color w:val="000000" w:themeColor="text1"/>
          <w:lang w:val="en-IE"/>
        </w:rPr>
        <w:tab/>
        <w:t xml:space="preserve">Euroopan komissio, tutkimuksen ja innovoinnin pääosasto, </w:t>
      </w:r>
      <w:hyperlink r:id="rId99"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3)</w:t>
      </w:r>
      <w:r w:rsidRPr="00220722">
        <w:rPr>
          <w:rStyle w:val="cf01"/>
          <w:rFonts w:ascii="Times New Roman" w:hAnsi="Times New Roman"/>
          <w:color w:val="000000" w:themeColor="text1"/>
          <w:lang w:val="en-IE"/>
        </w:rPr>
        <w:t>, 2024.</w:t>
      </w:r>
      <w:r w:rsidRPr="00220722">
        <w:rPr>
          <w:color w:val="000000" w:themeColor="text1"/>
          <w:lang w:val="en-IE"/>
        </w:rPr>
        <w:t xml:space="preserve"> </w:t>
      </w:r>
    </w:p>
  </w:footnote>
  <w:footnote w:id="180">
    <w:p w14:paraId="3D7DA9B2" w14:textId="772979D0" w:rsidR="004F39A6" w:rsidRPr="008303BC" w:rsidRDefault="004F39A6" w:rsidP="00AF2E83">
      <w:pPr>
        <w:pStyle w:val="FootnoteText"/>
        <w:ind w:left="426" w:hanging="426"/>
        <w:rPr>
          <w:szCs w:val="18"/>
        </w:rPr>
      </w:pPr>
      <w:r>
        <w:rPr>
          <w:rStyle w:val="FootnoteReference"/>
          <w:szCs w:val="18"/>
          <w:lang w:val="en-IE"/>
        </w:rPr>
        <w:footnoteRef/>
      </w:r>
      <w:r>
        <w:t xml:space="preserve"> </w:t>
      </w:r>
      <w:r>
        <w:tab/>
      </w:r>
      <w:r>
        <w:rPr>
          <w:color w:val="000000" w:themeColor="text1"/>
        </w:rPr>
        <w:t xml:space="preserve">Euroopan komissio, tutkimuksen ja innovoinnin pääosasto, </w:t>
      </w:r>
      <w:hyperlink r:id="rId100" w:history="1">
        <w:r>
          <w:rPr>
            <w:rStyle w:val="Hyperlink"/>
            <w:i/>
          </w:rPr>
          <w:t>Study on energy technology dependence</w:t>
        </w:r>
      </w:hyperlink>
      <w:r>
        <w:rPr>
          <w:rStyle w:val="cf01"/>
          <w:rFonts w:ascii="Times New Roman" w:hAnsi="Times New Roman"/>
          <w:color w:val="000000" w:themeColor="text1"/>
        </w:rPr>
        <w:t>, 2020</w:t>
      </w:r>
      <w:r>
        <w:t xml:space="preserve">. </w:t>
      </w:r>
    </w:p>
  </w:footnote>
  <w:footnote w:id="181">
    <w:p w14:paraId="18E3D6D3" w14:textId="0ED117D8" w:rsidR="004F39A6" w:rsidRPr="008303BC" w:rsidRDefault="004F39A6" w:rsidP="00935CDC">
      <w:pPr>
        <w:pStyle w:val="FootnoteText"/>
        <w:ind w:left="426" w:hanging="426"/>
        <w:rPr>
          <w:szCs w:val="18"/>
        </w:rPr>
      </w:pPr>
      <w:r>
        <w:rPr>
          <w:rStyle w:val="FootnoteReference"/>
          <w:szCs w:val="18"/>
          <w:lang w:val="en-IE"/>
        </w:rPr>
        <w:footnoteRef/>
      </w:r>
      <w:r>
        <w:t xml:space="preserve"> </w:t>
      </w:r>
      <w:r>
        <w:tab/>
        <w:t xml:space="preserve">Euroopan komission yhteinen tutkimuskeskus, Motola, V., Scarlat, N, Buffi, M., Hurtig, O., Rejtharova, J., Georgakaki, A., Mountraki, A., Letout, S., Salvucci, R., Rózsai, M. ja Schade, B., CETO, </w:t>
      </w:r>
      <w:hyperlink r:id="rId101" w:history="1">
        <w:r>
          <w:rPr>
            <w:rStyle w:val="Hyperlink"/>
            <w:i/>
          </w:rPr>
          <w:t>Bioenergy in the European Union</w:t>
        </w:r>
      </w:hyperlink>
      <w:r>
        <w:t xml:space="preserve">, 2024.  </w:t>
      </w:r>
    </w:p>
  </w:footnote>
  <w:footnote w:id="182">
    <w:p w14:paraId="4CF61C1C" w14:textId="57D42833" w:rsidR="008C4FEA" w:rsidRPr="00220722" w:rsidRDefault="008C4FEA"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 xml:space="preserve">Euroopan komissio, tutkimuksen ja innovoinnin pääosasto, </w:t>
      </w:r>
      <w:hyperlink r:id="rId102"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3)</w:t>
      </w:r>
      <w:r w:rsidRPr="00220722">
        <w:rPr>
          <w:rStyle w:val="cf01"/>
          <w:rFonts w:ascii="Times New Roman" w:hAnsi="Times New Roman"/>
          <w:color w:val="000000" w:themeColor="text1"/>
          <w:lang w:val="en-IE"/>
        </w:rPr>
        <w:t>, 2024.</w:t>
      </w:r>
    </w:p>
  </w:footnote>
  <w:footnote w:id="183">
    <w:p w14:paraId="1DE585FC" w14:textId="3EF92BD4" w:rsidR="00411A4A" w:rsidRPr="00220722" w:rsidRDefault="00411A4A"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103" w:history="1">
        <w:r w:rsidRPr="00220722">
          <w:rPr>
            <w:rStyle w:val="Hyperlink"/>
            <w:i/>
            <w:lang w:val="en-IE"/>
          </w:rPr>
          <w:t>Bioenergy in the European Union</w:t>
        </w:r>
      </w:hyperlink>
      <w:r w:rsidRPr="00220722">
        <w:rPr>
          <w:lang w:val="en-IE"/>
        </w:rPr>
        <w:t>, 2024.</w:t>
      </w:r>
    </w:p>
  </w:footnote>
  <w:footnote w:id="184">
    <w:p w14:paraId="21796027" w14:textId="5D67352A" w:rsidR="00D20665" w:rsidRPr="00220722" w:rsidRDefault="00D20665"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104" w:history="1">
        <w:r w:rsidRPr="00220722">
          <w:rPr>
            <w:rStyle w:val="Hyperlink"/>
            <w:i/>
            <w:lang w:val="en-IE"/>
          </w:rPr>
          <w:t>Bioenergy in the European Union</w:t>
        </w:r>
      </w:hyperlink>
      <w:r w:rsidRPr="00220722">
        <w:rPr>
          <w:lang w:val="en-IE"/>
        </w:rPr>
        <w:t xml:space="preserve">, 2024. </w:t>
      </w:r>
    </w:p>
  </w:footnote>
  <w:footnote w:id="185">
    <w:p w14:paraId="7138919A" w14:textId="78133A7B" w:rsidR="009B60D9" w:rsidRPr="00A56209" w:rsidRDefault="009B60D9" w:rsidP="00AF2E83">
      <w:pPr>
        <w:pStyle w:val="FootnoteText"/>
        <w:ind w:left="426" w:hanging="426"/>
        <w:rPr>
          <w:szCs w:val="18"/>
        </w:rPr>
      </w:pPr>
      <w:r>
        <w:rPr>
          <w:rStyle w:val="FootnoteReference"/>
          <w:szCs w:val="18"/>
          <w:lang w:val="en-IE"/>
        </w:rPr>
        <w:footnoteRef/>
      </w:r>
      <w:r>
        <w:t xml:space="preserve"> </w:t>
      </w:r>
      <w:r>
        <w:tab/>
      </w:r>
      <w:r>
        <w:rPr>
          <w:color w:val="000000" w:themeColor="text1"/>
        </w:rPr>
        <w:t xml:space="preserve">Euroopan komissio, tutkimuksen ja innovoinnin pääosasto, </w:t>
      </w:r>
      <w:hyperlink r:id="rId105" w:history="1">
        <w:r>
          <w:rPr>
            <w:rStyle w:val="Hyperlink"/>
            <w:i/>
          </w:rPr>
          <w:t>Study on energy technology dependence</w:t>
        </w:r>
      </w:hyperlink>
      <w:r>
        <w:rPr>
          <w:rStyle w:val="cf01"/>
          <w:rFonts w:ascii="Times New Roman" w:hAnsi="Times New Roman"/>
          <w:color w:val="000000" w:themeColor="text1"/>
        </w:rPr>
        <w:t>, 2020</w:t>
      </w:r>
      <w:r>
        <w:t>.</w:t>
      </w:r>
    </w:p>
  </w:footnote>
  <w:footnote w:id="186">
    <w:p w14:paraId="32284F7D" w14:textId="3E379598" w:rsidR="00443332" w:rsidRPr="00220722" w:rsidRDefault="00443332"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106" w:history="1">
        <w:r w:rsidRPr="00220722">
          <w:rPr>
            <w:rStyle w:val="Hyperlink"/>
            <w:i/>
            <w:lang w:val="en-IE"/>
          </w:rPr>
          <w:t>Bioenergy in the European Union</w:t>
        </w:r>
      </w:hyperlink>
      <w:r w:rsidRPr="00220722">
        <w:rPr>
          <w:lang w:val="en-IE"/>
        </w:rPr>
        <w:t>, 2024.</w:t>
      </w:r>
    </w:p>
  </w:footnote>
  <w:footnote w:id="187">
    <w:p w14:paraId="7F1858E8" w14:textId="4CBF9FD0" w:rsidR="00845F0A" w:rsidRPr="00220722" w:rsidRDefault="00845F0A" w:rsidP="003B763C">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 xml:space="preserve">Euroopan komissio, tutkimuksen ja innovoinnin pääosasto, </w:t>
      </w:r>
      <w:hyperlink r:id="rId107"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2023.</w:t>
      </w:r>
    </w:p>
  </w:footnote>
  <w:footnote w:id="188">
    <w:p w14:paraId="77B5293A" w14:textId="24559585" w:rsidR="004F39A6" w:rsidRPr="00220722" w:rsidRDefault="004F39A6" w:rsidP="003B763C">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 xml:space="preserve">IEA, </w:t>
      </w:r>
      <w:r w:rsidRPr="00220722">
        <w:rPr>
          <w:i/>
          <w:color w:val="000000" w:themeColor="text1"/>
          <w:lang w:val="en-IE"/>
        </w:rPr>
        <w:t>Outlook for Biogas and Biomethane</w:t>
      </w:r>
      <w:r w:rsidRPr="00220722">
        <w:rPr>
          <w:color w:val="000000" w:themeColor="text1"/>
          <w:lang w:val="en-IE"/>
        </w:rPr>
        <w:t xml:space="preserve">, 2020; Euroopan komissio, tutkimuksen ja innovoinnin pääosasto, </w:t>
      </w:r>
      <w:hyperlink r:id="rId108"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3)</w:t>
      </w:r>
      <w:r w:rsidRPr="00220722">
        <w:rPr>
          <w:rStyle w:val="cf01"/>
          <w:rFonts w:ascii="Times New Roman" w:hAnsi="Times New Roman"/>
          <w:color w:val="000000" w:themeColor="text1"/>
          <w:lang w:val="en-IE"/>
        </w:rPr>
        <w:t>, 2024.</w:t>
      </w:r>
      <w:r w:rsidRPr="00220722">
        <w:rPr>
          <w:lang w:val="en-IE"/>
        </w:rPr>
        <w:t xml:space="preserve"> </w:t>
      </w:r>
    </w:p>
  </w:footnote>
  <w:footnote w:id="189">
    <w:p w14:paraId="3112A646" w14:textId="30860741" w:rsidR="00411A4A" w:rsidRPr="00220722" w:rsidRDefault="00411A4A" w:rsidP="003B763C">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 xml:space="preserve">Euroopan komissio, tutkimuksen ja innovoinnin pääosasto, </w:t>
      </w:r>
      <w:hyperlink r:id="rId109"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3)</w:t>
      </w:r>
      <w:r w:rsidRPr="00220722">
        <w:rPr>
          <w:rStyle w:val="cf01"/>
          <w:rFonts w:ascii="Times New Roman" w:hAnsi="Times New Roman"/>
          <w:color w:val="000000" w:themeColor="text1"/>
          <w:lang w:val="en-IE"/>
        </w:rPr>
        <w:t>, 2024.</w:t>
      </w:r>
    </w:p>
  </w:footnote>
  <w:footnote w:id="190">
    <w:p w14:paraId="0861E4AF" w14:textId="3D8AED9D" w:rsidR="004D15DA" w:rsidRPr="00E40169" w:rsidRDefault="004D15DA" w:rsidP="00AF2E83">
      <w:pPr>
        <w:pStyle w:val="FootnoteText"/>
        <w:ind w:left="426" w:hanging="426"/>
        <w:rPr>
          <w:rFonts w:eastAsia="Times New Roman"/>
          <w:szCs w:val="18"/>
        </w:rPr>
      </w:pPr>
      <w:r>
        <w:rPr>
          <w:rStyle w:val="FootnoteReference"/>
          <w:szCs w:val="18"/>
          <w:lang w:val="en-IE"/>
        </w:rPr>
        <w:footnoteRef/>
      </w:r>
      <w:r>
        <w:t xml:space="preserve"> </w:t>
      </w:r>
      <w:r>
        <w:tab/>
        <w:t>COM(2024) 62 final.</w:t>
      </w:r>
    </w:p>
  </w:footnote>
  <w:footnote w:id="191">
    <w:p w14:paraId="2E8EC77F" w14:textId="15CA76BB" w:rsidR="004D15DA" w:rsidRPr="00E40169" w:rsidRDefault="004D15DA" w:rsidP="00AF2E83">
      <w:pPr>
        <w:pStyle w:val="FootnoteText"/>
        <w:ind w:left="426" w:hanging="426"/>
        <w:rPr>
          <w:szCs w:val="18"/>
        </w:rPr>
      </w:pPr>
      <w:r>
        <w:rPr>
          <w:rStyle w:val="FootnoteReference"/>
          <w:szCs w:val="18"/>
          <w:lang w:val="en-IE"/>
        </w:rPr>
        <w:footnoteRef/>
      </w:r>
      <w:r>
        <w:t xml:space="preserve"> </w:t>
      </w:r>
      <w:r>
        <w:tab/>
        <w:t>EUVL L, 2024/1735, 28.6.2024, johdanto-osan 36 kappale.</w:t>
      </w:r>
    </w:p>
  </w:footnote>
  <w:footnote w:id="192">
    <w:p w14:paraId="36881646" w14:textId="20D11199" w:rsidR="004D15DA" w:rsidRPr="00FB1954" w:rsidRDefault="004D15DA" w:rsidP="00AC7AA6">
      <w:pPr>
        <w:pStyle w:val="FootnoteText"/>
        <w:ind w:left="426" w:hanging="426"/>
        <w:rPr>
          <w:szCs w:val="18"/>
          <w:highlight w:val="yellow"/>
        </w:rPr>
      </w:pPr>
      <w:r>
        <w:rPr>
          <w:rStyle w:val="FootnoteReference"/>
          <w:szCs w:val="18"/>
          <w:lang w:val="en-IE"/>
        </w:rPr>
        <w:footnoteRef/>
      </w:r>
      <w:r w:rsidRPr="00FB1954">
        <w:t xml:space="preserve"> </w:t>
      </w:r>
      <w:r w:rsidRPr="00FB1954">
        <w:tab/>
        <w:t xml:space="preserve">Euroopan komission yhteinen tutkimuskeskus, Martinez Castilla, G., Tumara, D., Mountraki, A., Letout, S., Jaxa-Rozen, M., Schmitz, A., Ince, E. and Georgakaki, A., CETO, </w:t>
      </w:r>
      <w:hyperlink r:id="rId110" w:history="1">
        <w:r w:rsidRPr="00FB1954">
          <w:rPr>
            <w:rStyle w:val="Hyperlink"/>
            <w:i/>
          </w:rPr>
          <w:t>Carbon Capture, Utilisation and Storage in the European Union</w:t>
        </w:r>
      </w:hyperlink>
      <w:r w:rsidRPr="00FB1954">
        <w:t>, 2024.</w:t>
      </w:r>
    </w:p>
  </w:footnote>
  <w:footnote w:id="193">
    <w:p w14:paraId="1DCB4BAE" w14:textId="1994FFA1" w:rsidR="004D15DA" w:rsidRPr="00220722" w:rsidRDefault="004D15DA" w:rsidP="00354D17">
      <w:pPr>
        <w:pStyle w:val="FootnoteText"/>
        <w:ind w:left="426" w:hanging="426"/>
        <w:rPr>
          <w:szCs w:val="18"/>
          <w:highlight w:val="yellow"/>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111" w:history="1">
        <w:r w:rsidRPr="00220722">
          <w:rPr>
            <w:rStyle w:val="Hyperlink"/>
            <w:i/>
            <w:lang w:val="en-IE"/>
          </w:rPr>
          <w:t>Carbon Capture, Utilisation and Storage in the European Union</w:t>
        </w:r>
      </w:hyperlink>
      <w:r w:rsidRPr="00220722">
        <w:rPr>
          <w:lang w:val="en-IE"/>
        </w:rPr>
        <w:t>, 2024.</w:t>
      </w:r>
    </w:p>
  </w:footnote>
  <w:footnote w:id="194">
    <w:p w14:paraId="1B231A4B" w14:textId="47BC4335" w:rsidR="004D15DA" w:rsidRPr="008303BC" w:rsidRDefault="004D15DA" w:rsidP="00AF2E83">
      <w:pPr>
        <w:pStyle w:val="FootnoteText"/>
        <w:ind w:left="426" w:hanging="426"/>
        <w:rPr>
          <w:szCs w:val="18"/>
          <w:highlight w:val="yellow"/>
        </w:rPr>
      </w:pPr>
      <w:r>
        <w:rPr>
          <w:rStyle w:val="FootnoteReference"/>
          <w:szCs w:val="18"/>
          <w:lang w:val="en-IE"/>
        </w:rPr>
        <w:footnoteRef/>
      </w:r>
      <w:r>
        <w:t xml:space="preserve"> </w:t>
      </w:r>
      <w:r>
        <w:tab/>
        <w:t>Ks. edellinen alaviite.</w:t>
      </w:r>
    </w:p>
  </w:footnote>
  <w:footnote w:id="195">
    <w:p w14:paraId="2CB47F0C" w14:textId="271DB643" w:rsidR="004D15DA" w:rsidRPr="008303BC" w:rsidRDefault="004D15DA" w:rsidP="00AF2E83">
      <w:pPr>
        <w:pStyle w:val="FootnoteText"/>
        <w:ind w:left="426" w:hanging="426"/>
        <w:rPr>
          <w:szCs w:val="18"/>
        </w:rPr>
      </w:pPr>
      <w:r>
        <w:rPr>
          <w:rStyle w:val="FootnoteReference"/>
          <w:szCs w:val="18"/>
          <w:lang w:val="en-IE"/>
        </w:rPr>
        <w:footnoteRef/>
      </w:r>
      <w:r>
        <w:t xml:space="preserve"> </w:t>
      </w:r>
      <w:r>
        <w:tab/>
        <w:t xml:space="preserve">Kehitteillä, rakenteilla ja toiminnassa olevat laitokset, lukuun ottamatta hiilidioksidin kuljetus- ja/tai varastointihankkeita (kaksinkertaisen laskennan välttämiseksi), paitsi kun on kyse hiilidioksidin kuljetus- ja/tai varastointilaitoksista, joilla ei ole omaa hiilidioksidin talteenottopistettä. </w:t>
      </w:r>
    </w:p>
  </w:footnote>
  <w:footnote w:id="196">
    <w:p w14:paraId="237AB3FF" w14:textId="68A62D7E" w:rsidR="004D15DA" w:rsidRPr="00220722" w:rsidRDefault="004D15DA" w:rsidP="00AF2E83">
      <w:pPr>
        <w:pStyle w:val="FootnoteText"/>
        <w:ind w:left="426" w:hanging="426"/>
        <w:rPr>
          <w:rFonts w:eastAsia="Times New Roman"/>
          <w:szCs w:val="18"/>
          <w:lang w:val="en-IE"/>
        </w:rPr>
      </w:pPr>
      <w:r>
        <w:rPr>
          <w:rStyle w:val="FootnoteReference"/>
          <w:szCs w:val="18"/>
          <w:lang w:val="en-IE"/>
        </w:rPr>
        <w:footnoteRef/>
      </w:r>
      <w:r w:rsidRPr="00220722">
        <w:rPr>
          <w:lang w:val="en-IE"/>
        </w:rPr>
        <w:t xml:space="preserve"> </w:t>
      </w:r>
      <w:r w:rsidRPr="00220722">
        <w:rPr>
          <w:lang w:val="en-IE"/>
        </w:rPr>
        <w:tab/>
        <w:t xml:space="preserve">Global CCS Institute, </w:t>
      </w:r>
      <w:r w:rsidRPr="00220722">
        <w:rPr>
          <w:i/>
          <w:lang w:val="en-IE"/>
        </w:rPr>
        <w:t xml:space="preserve">Global Status of CCS 2023, Scaling up through 2030. </w:t>
      </w:r>
    </w:p>
  </w:footnote>
  <w:footnote w:id="197">
    <w:p w14:paraId="3557FFCD" w14:textId="3F92A47E" w:rsidR="004D15DA" w:rsidRPr="008303BC" w:rsidRDefault="004D15DA" w:rsidP="00AF2E83">
      <w:pPr>
        <w:pStyle w:val="FootnoteText"/>
        <w:ind w:left="426" w:hanging="426"/>
        <w:rPr>
          <w:szCs w:val="18"/>
        </w:rPr>
      </w:pPr>
      <w:r>
        <w:rPr>
          <w:rStyle w:val="FootnoteReference"/>
          <w:szCs w:val="18"/>
          <w:lang w:val="en-IE"/>
        </w:rPr>
        <w:footnoteRef/>
      </w:r>
      <w:r>
        <w:t xml:space="preserve"> </w:t>
      </w:r>
      <w:r>
        <w:tab/>
        <w:t xml:space="preserve">Esimerkiksi Porthos- ja Aramis-hankkeet Alankomaissa ja Antwerp@C-hanke Belgiassa. </w:t>
      </w:r>
      <w:hyperlink r:id="rId112">
        <w:r>
          <w:rPr>
            <w:rStyle w:val="Hyperlink"/>
          </w:rPr>
          <w:t>Uusi luettelo yhteistä ja keskinäistä etua koskevista EU:n energiahankkeista (europa.eu)</w:t>
        </w:r>
      </w:hyperlink>
      <w:r>
        <w:t xml:space="preserve"> sisältää 14 hiilidioksidiverkkohanketta. </w:t>
      </w:r>
    </w:p>
  </w:footnote>
  <w:footnote w:id="198">
    <w:p w14:paraId="0BFD1DDD" w14:textId="712BA816" w:rsidR="004D15DA" w:rsidRPr="00220722" w:rsidRDefault="004D15DA" w:rsidP="005A1CDE">
      <w:pPr>
        <w:pStyle w:val="FootnoteText"/>
        <w:ind w:left="426" w:hanging="426"/>
        <w:rPr>
          <w:i/>
          <w:iCs/>
          <w:szCs w:val="18"/>
          <w:lang w:val="en-IE"/>
        </w:rPr>
      </w:pPr>
      <w:r>
        <w:rPr>
          <w:rStyle w:val="FootnoteReference"/>
          <w:szCs w:val="18"/>
          <w:lang w:val="en-IE"/>
        </w:rPr>
        <w:footnoteRef/>
      </w:r>
      <w:r w:rsidRPr="00220722">
        <w:rPr>
          <w:lang w:val="en-IE"/>
        </w:rPr>
        <w:t xml:space="preserve"> </w:t>
      </w:r>
      <w:r w:rsidRPr="00220722">
        <w:rPr>
          <w:lang w:val="en-IE"/>
        </w:rPr>
        <w:tab/>
        <w:t>Tanskan ilmasto-, energia- ja julkisten palvelujen ministeriö,</w:t>
      </w:r>
      <w:r w:rsidRPr="00220722">
        <w:rPr>
          <w:i/>
          <w:lang w:val="en-IE"/>
        </w:rPr>
        <w:t xml:space="preserve"> </w:t>
      </w:r>
      <w:hyperlink r:id="rId113">
        <w:r w:rsidRPr="00220722">
          <w:rPr>
            <w:rStyle w:val="Hyperlink"/>
            <w:i/>
            <w:lang w:val="en-IE"/>
          </w:rPr>
          <w:t>The first exploration licenses for land-based storage of CO2 in Denmark have been granted,</w:t>
        </w:r>
      </w:hyperlink>
      <w:r w:rsidRPr="00220722">
        <w:rPr>
          <w:i/>
          <w:lang w:val="en-IE"/>
        </w:rPr>
        <w:t xml:space="preserve"> </w:t>
      </w:r>
      <w:r w:rsidRPr="00220722">
        <w:rPr>
          <w:lang w:val="en-IE"/>
        </w:rPr>
        <w:t>20. kesäkuuta 2024.</w:t>
      </w:r>
    </w:p>
  </w:footnote>
  <w:footnote w:id="199">
    <w:p w14:paraId="3C5A6BAB" w14:textId="14B7720E" w:rsidR="49B261DD" w:rsidRPr="00220722" w:rsidRDefault="49B261DD" w:rsidP="00B27A5E">
      <w:pPr>
        <w:spacing w:after="0"/>
        <w:ind w:left="426" w:hanging="426"/>
        <w:rPr>
          <w:sz w:val="18"/>
          <w:szCs w:val="18"/>
          <w:lang w:val="en-IE"/>
        </w:rPr>
      </w:pPr>
      <w:r>
        <w:rPr>
          <w:sz w:val="18"/>
          <w:szCs w:val="18"/>
          <w:vertAlign w:val="superscript"/>
        </w:rPr>
        <w:footnoteRef/>
      </w:r>
      <w:r w:rsidRPr="00220722">
        <w:rPr>
          <w:sz w:val="18"/>
          <w:lang w:val="en-IE"/>
        </w:rPr>
        <w:t xml:space="preserve"> </w:t>
      </w:r>
      <w:r w:rsidRPr="00220722">
        <w:rPr>
          <w:sz w:val="18"/>
          <w:lang w:val="en-IE"/>
        </w:rPr>
        <w:tab/>
        <w:t xml:space="preserve">Ks. </w:t>
      </w:r>
      <w:hyperlink r:id="rId114" w:history="1">
        <w:r w:rsidRPr="00220722">
          <w:rPr>
            <w:rStyle w:val="Hyperlink"/>
            <w:sz w:val="18"/>
            <w:lang w:val="en-IE"/>
          </w:rPr>
          <w:t>https://ec.europa.eu/commission/presscorner/detail/en/ip_25_377</w:t>
        </w:r>
      </w:hyperlink>
      <w:r w:rsidRPr="00220722">
        <w:rPr>
          <w:sz w:val="18"/>
          <w:lang w:val="en-IE"/>
        </w:rPr>
        <w:t>.</w:t>
      </w:r>
    </w:p>
  </w:footnote>
  <w:footnote w:id="200">
    <w:p w14:paraId="329800E9" w14:textId="437383FC" w:rsidR="004D15DA" w:rsidRPr="00220722" w:rsidRDefault="004D15DA" w:rsidP="00FC631C">
      <w:pPr>
        <w:pStyle w:val="FootnoteText"/>
        <w:ind w:left="426" w:hanging="426"/>
        <w:rPr>
          <w:szCs w:val="18"/>
          <w:highlight w:val="yellow"/>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115" w:history="1">
        <w:r w:rsidRPr="00220722">
          <w:rPr>
            <w:rStyle w:val="Hyperlink"/>
            <w:i/>
            <w:lang w:val="en-IE"/>
          </w:rPr>
          <w:t>Carbon Capture, Utilisation and Storage in the European Union</w:t>
        </w:r>
      </w:hyperlink>
      <w:r w:rsidRPr="00220722">
        <w:rPr>
          <w:lang w:val="en-IE"/>
        </w:rPr>
        <w:t>, 2024.</w:t>
      </w:r>
    </w:p>
  </w:footnote>
  <w:footnote w:id="201">
    <w:p w14:paraId="0C67B6B3" w14:textId="53081B69" w:rsidR="004D15DA" w:rsidRPr="008303BC" w:rsidRDefault="004D15DA" w:rsidP="00AF2E83">
      <w:pPr>
        <w:pStyle w:val="FootnoteText"/>
        <w:ind w:left="426" w:hanging="426"/>
        <w:rPr>
          <w:szCs w:val="18"/>
        </w:rPr>
      </w:pPr>
      <w:r>
        <w:rPr>
          <w:rStyle w:val="FootnoteReference"/>
          <w:szCs w:val="18"/>
          <w:lang w:val="en-IE"/>
        </w:rPr>
        <w:footnoteRef/>
      </w:r>
      <w:r>
        <w:t xml:space="preserve"> </w:t>
      </w:r>
      <w:r>
        <w:tab/>
        <w:t>Toimeksiantokirje energia- ja asumisasioista vastaavalle komissaarille Dan Jørgensenille, 17. syyskuuta 2024.</w:t>
      </w:r>
    </w:p>
  </w:footnote>
  <w:footnote w:id="202">
    <w:p w14:paraId="17987E9C" w14:textId="299D211C" w:rsidR="00E93074" w:rsidRPr="008303BC" w:rsidRDefault="00E93074" w:rsidP="00AF2E83">
      <w:pPr>
        <w:pStyle w:val="FootnoteText"/>
        <w:ind w:left="426" w:hanging="426"/>
        <w:rPr>
          <w:color w:val="000000" w:themeColor="text1"/>
          <w:szCs w:val="18"/>
        </w:rPr>
      </w:pPr>
      <w:r>
        <w:rPr>
          <w:rStyle w:val="FootnoteReference"/>
          <w:color w:val="000000" w:themeColor="text1"/>
          <w:szCs w:val="18"/>
          <w:lang w:val="en-IE"/>
        </w:rPr>
        <w:footnoteRef/>
      </w:r>
      <w:r>
        <w:rPr>
          <w:color w:val="000000" w:themeColor="text1"/>
        </w:rPr>
        <w:t xml:space="preserve"> </w:t>
      </w:r>
      <w:r>
        <w:rPr>
          <w:color w:val="000000" w:themeColor="text1"/>
        </w:rPr>
        <w:tab/>
        <w:t>COM(2023) 757 final.</w:t>
      </w:r>
    </w:p>
  </w:footnote>
  <w:footnote w:id="203">
    <w:p w14:paraId="10D0EFBC" w14:textId="77777777" w:rsidR="00F84837" w:rsidRPr="00220722" w:rsidRDefault="00F84837" w:rsidP="00F84837">
      <w:pPr>
        <w:pStyle w:val="FootnoteText"/>
        <w:ind w:left="426" w:hanging="426"/>
        <w:rPr>
          <w:lang w:val="en-IE"/>
        </w:rPr>
      </w:pPr>
      <w:r>
        <w:rPr>
          <w:rStyle w:val="FootnoteReference"/>
        </w:rPr>
        <w:footnoteRef/>
      </w:r>
      <w:r>
        <w:t xml:space="preserve"> </w:t>
      </w:r>
      <w:r>
        <w:tab/>
        <w:t xml:space="preserve">Kertomuksen tässä painoksessa keskitytään voimalinjoihin ja muuntajiin, kun taas edellisessä painoksessa keskityttiin suurjännitteisiin tasasähköjärjestelmiin (HVDC-järjestelmiin) ja suuntaaja-asemiin, ks. </w:t>
      </w:r>
      <w:r w:rsidRPr="00220722">
        <w:rPr>
          <w:lang w:val="en-IE"/>
        </w:rPr>
        <w:t xml:space="preserve">COM(2023) 652 final.  </w:t>
      </w:r>
    </w:p>
  </w:footnote>
  <w:footnote w:id="204">
    <w:p w14:paraId="3261875C" w14:textId="0C0C08DD" w:rsidR="00081EFA" w:rsidRPr="00220722" w:rsidRDefault="00081EFA" w:rsidP="00AF2E83">
      <w:pPr>
        <w:pStyle w:val="FootnoteText"/>
        <w:ind w:left="426" w:hanging="426"/>
        <w:rPr>
          <w:color w:val="000000" w:themeColor="text1"/>
          <w:szCs w:val="18"/>
          <w:u w:val="single"/>
          <w:lang w:val="en-IE"/>
        </w:rPr>
      </w:pPr>
      <w:r>
        <w:rPr>
          <w:rStyle w:val="FootnoteReference"/>
          <w:color w:val="000000" w:themeColor="text1"/>
          <w:szCs w:val="18"/>
          <w:lang w:val="en-IE"/>
        </w:rPr>
        <w:footnoteRef/>
      </w:r>
      <w:bookmarkStart w:id="46" w:name="_Hlk170297760"/>
      <w:r w:rsidRPr="00220722">
        <w:rPr>
          <w:color w:val="000000" w:themeColor="text1"/>
          <w:lang w:val="en-IE"/>
        </w:rPr>
        <w:t xml:space="preserve"> </w:t>
      </w:r>
      <w:r w:rsidRPr="00220722">
        <w:rPr>
          <w:color w:val="000000" w:themeColor="text1"/>
          <w:lang w:val="en-IE"/>
        </w:rPr>
        <w:tab/>
        <w:t xml:space="preserve">Kaasu-ENTSO ja Sähkö-ENTSO, </w:t>
      </w:r>
      <w:hyperlink r:id="rId116" w:history="1">
        <w:r w:rsidRPr="00220722">
          <w:rPr>
            <w:rStyle w:val="Hyperlink"/>
            <w:i/>
            <w:color w:val="000000" w:themeColor="text1"/>
            <w:u w:val="none"/>
            <w:lang w:val="en-IE"/>
          </w:rPr>
          <w:t>Ten-Year Network Development Plans (TYNDP</w:t>
        </w:r>
        <w:bookmarkEnd w:id="46"/>
        <w:r w:rsidRPr="00220722">
          <w:rPr>
            <w:rStyle w:val="Hyperlink"/>
            <w:i/>
            <w:color w:val="000000" w:themeColor="text1"/>
            <w:u w:val="none"/>
            <w:lang w:val="en-IE"/>
          </w:rPr>
          <w:t>)</w:t>
        </w:r>
        <w:r w:rsidRPr="00220722">
          <w:rPr>
            <w:rStyle w:val="Hyperlink"/>
            <w:color w:val="000000" w:themeColor="text1"/>
            <w:u w:val="none"/>
            <w:lang w:val="en-IE"/>
          </w:rPr>
          <w:t>,</w:t>
        </w:r>
      </w:hyperlink>
      <w:r w:rsidRPr="00220722">
        <w:rPr>
          <w:i/>
          <w:color w:val="000000" w:themeColor="text1"/>
          <w:lang w:val="en-IE"/>
        </w:rPr>
        <w:t xml:space="preserve"> </w:t>
      </w:r>
      <w:r w:rsidRPr="00220722">
        <w:rPr>
          <w:color w:val="000000" w:themeColor="text1"/>
          <w:lang w:val="en-IE"/>
        </w:rPr>
        <w:t xml:space="preserve">toukokuu 2024. </w:t>
      </w:r>
    </w:p>
  </w:footnote>
  <w:footnote w:id="205">
    <w:p w14:paraId="6292B201" w14:textId="3E01EA44" w:rsidR="00081EFA" w:rsidRPr="008303BC" w:rsidRDefault="00081EFA" w:rsidP="00AF2E83">
      <w:pPr>
        <w:pStyle w:val="FootnoteText"/>
        <w:ind w:left="426" w:hanging="426"/>
        <w:rPr>
          <w:color w:val="000000" w:themeColor="text1"/>
          <w:szCs w:val="18"/>
        </w:rPr>
      </w:pPr>
      <w:r>
        <w:rPr>
          <w:rStyle w:val="FootnoteReference"/>
          <w:color w:val="000000" w:themeColor="text1"/>
          <w:szCs w:val="18"/>
          <w:lang w:val="en-IE"/>
        </w:rPr>
        <w:footnoteRef/>
      </w:r>
      <w:r>
        <w:rPr>
          <w:color w:val="000000" w:themeColor="text1"/>
        </w:rPr>
        <w:t xml:space="preserve"> </w:t>
      </w:r>
      <w:r>
        <w:rPr>
          <w:color w:val="000000" w:themeColor="text1"/>
        </w:rPr>
        <w:tab/>
        <w:t>Tämän seurauksena EU:n ja Norjan verkon odotetaan laajentuvan 10 miljoonasta kilometristä 16,8 miljoonaan kilometriin vuosina 2025–2050.</w:t>
      </w:r>
    </w:p>
  </w:footnote>
  <w:footnote w:id="206">
    <w:p w14:paraId="30C3CB8C" w14:textId="6A850400" w:rsidR="00081EFA" w:rsidRPr="00220722" w:rsidRDefault="00081EFA" w:rsidP="00704307">
      <w:pPr>
        <w:pStyle w:val="FootnoteText"/>
        <w:ind w:left="426" w:hanging="426"/>
        <w:rPr>
          <w:color w:val="000000" w:themeColor="text1"/>
          <w:szCs w:val="18"/>
          <w:lang w:val="en-IE"/>
        </w:rPr>
      </w:pPr>
      <w:r>
        <w:rPr>
          <w:rStyle w:val="FootnoteReference"/>
          <w:color w:val="000000" w:themeColor="text1"/>
          <w:szCs w:val="18"/>
          <w:lang w:val="en-IE"/>
        </w:rPr>
        <w:footnoteRef/>
      </w:r>
      <w:r w:rsidRPr="00220722">
        <w:rPr>
          <w:color w:val="000000" w:themeColor="text1"/>
          <w:lang w:val="en-IE"/>
        </w:rPr>
        <w:t xml:space="preserve"> </w:t>
      </w:r>
      <w:r w:rsidRPr="00220722">
        <w:rPr>
          <w:color w:val="000000" w:themeColor="text1"/>
          <w:lang w:val="en-IE"/>
        </w:rPr>
        <w:tab/>
        <w:t xml:space="preserve">Eurelectric, </w:t>
      </w:r>
      <w:hyperlink r:id="rId117" w:history="1">
        <w:r w:rsidRPr="00220722">
          <w:rPr>
            <w:rStyle w:val="Hyperlink"/>
            <w:i/>
            <w:color w:val="000000" w:themeColor="text1"/>
            <w:u w:val="none"/>
            <w:lang w:val="en-IE"/>
          </w:rPr>
          <w:t>Grids for speed</w:t>
        </w:r>
      </w:hyperlink>
      <w:r w:rsidRPr="00220722">
        <w:rPr>
          <w:color w:val="000000" w:themeColor="text1"/>
          <w:lang w:val="en-IE"/>
        </w:rPr>
        <w:t>, 2024.</w:t>
      </w:r>
    </w:p>
  </w:footnote>
  <w:footnote w:id="207">
    <w:p w14:paraId="209BF4A4" w14:textId="5D285FC8" w:rsidR="00704307" w:rsidRPr="00220722" w:rsidRDefault="00704307" w:rsidP="006D05CC">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Euroopan komissio, energian pääosasto, Finesso, A., Kralli, A., Bene, C., Goodall, F. ym., </w:t>
      </w:r>
      <w:hyperlink r:id="rId118" w:history="1">
        <w:r w:rsidRPr="00220722">
          <w:rPr>
            <w:rStyle w:val="Hyperlink"/>
            <w:i/>
            <w:lang w:val="en-IE"/>
          </w:rPr>
          <w:t>Investment needs of European energy infrastructure to enable a decarbonised economy</w:t>
        </w:r>
      </w:hyperlink>
      <w:r w:rsidRPr="00220722">
        <w:rPr>
          <w:lang w:val="en-IE"/>
        </w:rPr>
        <w:t>, 2025.</w:t>
      </w:r>
    </w:p>
  </w:footnote>
  <w:footnote w:id="208">
    <w:p w14:paraId="62648503" w14:textId="3F285B33" w:rsidR="00081EFA" w:rsidRPr="00220722" w:rsidRDefault="00081EFA" w:rsidP="00AF2E83">
      <w:pPr>
        <w:pStyle w:val="FootnoteText"/>
        <w:ind w:left="426" w:hanging="426"/>
        <w:rPr>
          <w:color w:val="000000" w:themeColor="text1"/>
          <w:szCs w:val="18"/>
          <w:lang w:val="en-IE"/>
        </w:rPr>
      </w:pPr>
      <w:r>
        <w:rPr>
          <w:rStyle w:val="FootnoteReference"/>
          <w:color w:val="000000" w:themeColor="text1"/>
          <w:szCs w:val="18"/>
          <w:lang w:val="en-IE"/>
        </w:rPr>
        <w:footnoteRef/>
      </w:r>
      <w:r w:rsidRPr="00220722">
        <w:rPr>
          <w:color w:val="000000" w:themeColor="text1"/>
          <w:lang w:val="en-IE"/>
        </w:rPr>
        <w:t xml:space="preserve"> </w:t>
      </w:r>
      <w:r w:rsidRPr="00220722">
        <w:rPr>
          <w:color w:val="000000" w:themeColor="text1"/>
          <w:lang w:val="en-IE"/>
        </w:rPr>
        <w:tab/>
        <w:t xml:space="preserve">IEA, </w:t>
      </w:r>
      <w:r w:rsidRPr="00220722">
        <w:rPr>
          <w:i/>
          <w:color w:val="000000" w:themeColor="text1"/>
          <w:lang w:val="en-IE"/>
        </w:rPr>
        <w:t>Critical Minerals Market Review</w:t>
      </w:r>
      <w:r w:rsidRPr="00220722">
        <w:rPr>
          <w:color w:val="000000" w:themeColor="text1"/>
          <w:lang w:val="en-IE"/>
        </w:rPr>
        <w:t>, 2023.</w:t>
      </w:r>
    </w:p>
  </w:footnote>
  <w:footnote w:id="209">
    <w:p w14:paraId="454FA50C" w14:textId="0A3F911E" w:rsidR="00081EFA" w:rsidRPr="00220722" w:rsidRDefault="00081EFA" w:rsidP="00B82278">
      <w:pPr>
        <w:pStyle w:val="FootnoteText"/>
        <w:ind w:left="426" w:hanging="426"/>
        <w:rPr>
          <w:color w:val="000000" w:themeColor="text1"/>
          <w:szCs w:val="18"/>
          <w:u w:val="single"/>
          <w:lang w:val="en-IE"/>
        </w:rPr>
      </w:pPr>
      <w:r>
        <w:rPr>
          <w:rStyle w:val="FootnoteReference"/>
          <w:color w:val="000000" w:themeColor="text1"/>
          <w:szCs w:val="18"/>
          <w:lang w:val="en-IE"/>
        </w:rPr>
        <w:footnoteRef/>
      </w:r>
      <w:r w:rsidRPr="00220722">
        <w:rPr>
          <w:color w:val="000000" w:themeColor="text1"/>
          <w:lang w:val="en-IE"/>
        </w:rPr>
        <w:t xml:space="preserve"> </w:t>
      </w:r>
      <w:r w:rsidRPr="00220722">
        <w:rPr>
          <w:color w:val="000000" w:themeColor="text1"/>
          <w:lang w:val="en-IE"/>
        </w:rPr>
        <w:tab/>
      </w:r>
      <w:r w:rsidRPr="00220722">
        <w:rPr>
          <w:lang w:val="en-IE"/>
        </w:rPr>
        <w:t>Fortune Business Insights</w:t>
      </w:r>
      <w:r w:rsidRPr="00220722">
        <w:rPr>
          <w:rStyle w:val="Hyperlink"/>
          <w:color w:val="000000" w:themeColor="text1"/>
          <w:u w:val="none"/>
          <w:lang w:val="en-IE"/>
        </w:rPr>
        <w:t xml:space="preserve">, </w:t>
      </w:r>
      <w:hyperlink r:id="rId119" w:history="1">
        <w:r w:rsidRPr="00220722">
          <w:rPr>
            <w:rStyle w:val="Hyperlink"/>
            <w:i/>
            <w:lang w:val="en-IE"/>
          </w:rPr>
          <w:t>Grain Oriented Electrical Steel Market Size, Share &amp; Industry Analysis</w:t>
        </w:r>
      </w:hyperlink>
      <w:r w:rsidRPr="00220722">
        <w:rPr>
          <w:rStyle w:val="Hyperlink"/>
          <w:color w:val="000000" w:themeColor="text1"/>
          <w:u w:val="none"/>
          <w:lang w:val="en-IE"/>
        </w:rPr>
        <w:t>, 2024</w:t>
      </w:r>
      <w:r w:rsidRPr="00220722">
        <w:rPr>
          <w:color w:val="000000" w:themeColor="text1"/>
          <w:lang w:val="en-IE"/>
        </w:rPr>
        <w:t xml:space="preserve">. </w:t>
      </w:r>
    </w:p>
  </w:footnote>
  <w:footnote w:id="210">
    <w:p w14:paraId="1B7B98D9" w14:textId="0EA2F989" w:rsidR="00081EFA" w:rsidRPr="00FB1954" w:rsidRDefault="00081EFA" w:rsidP="00AF2E83">
      <w:pPr>
        <w:pStyle w:val="FootnoteText"/>
        <w:ind w:left="426" w:hanging="426"/>
        <w:rPr>
          <w:szCs w:val="18"/>
          <w:lang w:val="fr-BE"/>
        </w:rPr>
      </w:pPr>
      <w:r>
        <w:rPr>
          <w:rStyle w:val="FootnoteReference"/>
          <w:color w:val="000000" w:themeColor="text1"/>
          <w:szCs w:val="18"/>
          <w:lang w:val="en-IE"/>
        </w:rPr>
        <w:footnoteRef/>
      </w:r>
      <w:r w:rsidRPr="00FB1954">
        <w:rPr>
          <w:color w:val="000000" w:themeColor="text1"/>
          <w:lang w:val="fr-BE"/>
        </w:rPr>
        <w:t xml:space="preserve"> </w:t>
      </w:r>
      <w:r w:rsidRPr="00FB1954">
        <w:rPr>
          <w:color w:val="000000" w:themeColor="text1"/>
          <w:lang w:val="fr-BE"/>
        </w:rPr>
        <w:tab/>
        <w:t>T</w:t>
      </w:r>
      <w:r w:rsidRPr="00FB1954">
        <w:rPr>
          <w:lang w:val="fr-BE"/>
        </w:rPr>
        <w:t xml:space="preserve">&amp;D Europe, </w:t>
      </w:r>
      <w:hyperlink r:id="rId120" w:history="1">
        <w:r w:rsidRPr="00FB1954">
          <w:rPr>
            <w:rStyle w:val="Hyperlink"/>
            <w:i/>
            <w:lang w:val="fr-BE"/>
          </w:rPr>
          <w:t>Transformer Commodities Indices</w:t>
        </w:r>
      </w:hyperlink>
      <w:r w:rsidRPr="00FB1954">
        <w:rPr>
          <w:lang w:val="fr-BE"/>
        </w:rPr>
        <w:t>, huhtikuu 2024.</w:t>
      </w:r>
    </w:p>
  </w:footnote>
  <w:footnote w:id="211">
    <w:p w14:paraId="6FA38E5A" w14:textId="25FBA037" w:rsidR="00081EFA" w:rsidRPr="008303BC" w:rsidRDefault="00081EFA" w:rsidP="00AF2E83">
      <w:pPr>
        <w:pStyle w:val="FootnoteText"/>
        <w:ind w:left="426" w:hanging="426"/>
        <w:rPr>
          <w:color w:val="000000" w:themeColor="text1"/>
          <w:szCs w:val="18"/>
        </w:rPr>
      </w:pPr>
      <w:r>
        <w:rPr>
          <w:rStyle w:val="FootnoteReference"/>
          <w:color w:val="000000" w:themeColor="text1"/>
          <w:szCs w:val="18"/>
          <w:lang w:val="en-IE"/>
        </w:rPr>
        <w:footnoteRef/>
      </w:r>
      <w:r>
        <w:rPr>
          <w:color w:val="000000" w:themeColor="text1"/>
        </w:rPr>
        <w:t xml:space="preserve"> </w:t>
      </w:r>
      <w:r>
        <w:rPr>
          <w:color w:val="000000" w:themeColor="text1"/>
        </w:rPr>
        <w:tab/>
      </w:r>
      <w:hyperlink r:id="rId121" w:history="1">
        <w:r>
          <w:rPr>
            <w:rStyle w:val="Hyperlink"/>
          </w:rPr>
          <w:t>Europacable, kirje Euroopan komission johtavalle varapuheenjohtajalle Maroš Šefčovičille</w:t>
        </w:r>
      </w:hyperlink>
      <w:r>
        <w:rPr>
          <w:color w:val="000000" w:themeColor="text1"/>
        </w:rPr>
        <w:t xml:space="preserve">, 5. maaliskuuta 2024.   </w:t>
      </w:r>
    </w:p>
  </w:footnote>
  <w:footnote w:id="212">
    <w:p w14:paraId="70990482" w14:textId="32C7BE26" w:rsidR="00081EFA" w:rsidRPr="00220722" w:rsidRDefault="00081EFA" w:rsidP="00A62E6C">
      <w:pPr>
        <w:pStyle w:val="FootnoteText"/>
        <w:ind w:left="426" w:hanging="426"/>
        <w:rPr>
          <w:szCs w:val="18"/>
          <w:lang w:val="en-IE"/>
        </w:rPr>
      </w:pPr>
      <w:r>
        <w:rPr>
          <w:rStyle w:val="FootnoteReference"/>
          <w:color w:val="000000" w:themeColor="text1"/>
          <w:szCs w:val="18"/>
          <w:lang w:val="en-IE"/>
        </w:rPr>
        <w:footnoteRef/>
      </w:r>
      <w:r w:rsidRPr="00220722">
        <w:rPr>
          <w:color w:val="000000" w:themeColor="text1"/>
          <w:lang w:val="en-IE"/>
        </w:rPr>
        <w:t xml:space="preserve"> </w:t>
      </w:r>
      <w:r w:rsidRPr="00220722">
        <w:rPr>
          <w:color w:val="000000" w:themeColor="text1"/>
          <w:lang w:val="en-IE"/>
        </w:rPr>
        <w:tab/>
        <w:t>Transformers Magazine’s Industry Navigator</w:t>
      </w:r>
      <w:r w:rsidRPr="00220722">
        <w:rPr>
          <w:i/>
          <w:color w:val="000000" w:themeColor="text1"/>
          <w:lang w:val="en-IE"/>
        </w:rPr>
        <w:t xml:space="preserve">, </w:t>
      </w:r>
      <w:hyperlink r:id="rId122" w:anchor="flipbook-df_manual_button/1/" w:history="1">
        <w:r w:rsidRPr="00220722">
          <w:rPr>
            <w:rStyle w:val="Hyperlink"/>
            <w:i/>
            <w:lang w:val="en-IE"/>
          </w:rPr>
          <w:t>Investments 2024 – Outlook to 2033</w:t>
        </w:r>
      </w:hyperlink>
      <w:r w:rsidRPr="00220722">
        <w:rPr>
          <w:color w:val="000000" w:themeColor="text1"/>
          <w:lang w:val="en-IE"/>
        </w:rPr>
        <w:t>, 2024.</w:t>
      </w:r>
    </w:p>
  </w:footnote>
  <w:footnote w:id="213">
    <w:p w14:paraId="56F0D337" w14:textId="1EE444F4" w:rsidR="00A62E6C" w:rsidRPr="006D05CC" w:rsidRDefault="00A62E6C" w:rsidP="006D05CC">
      <w:pPr>
        <w:pStyle w:val="FootnoteText"/>
        <w:ind w:left="426" w:hanging="426"/>
        <w:rPr>
          <w:szCs w:val="18"/>
        </w:rPr>
      </w:pPr>
      <w:r>
        <w:rPr>
          <w:rStyle w:val="FootnoteReference"/>
        </w:rPr>
        <w:footnoteRef/>
      </w:r>
      <w:r>
        <w:t xml:space="preserve"> </w:t>
      </w:r>
      <w:r>
        <w:tab/>
        <w:t>Ks. edellinen alaviite.</w:t>
      </w:r>
    </w:p>
  </w:footnote>
  <w:footnote w:id="214">
    <w:p w14:paraId="0310855D" w14:textId="6E8907A8" w:rsidR="001E4847" w:rsidRPr="00A56209" w:rsidRDefault="001E4847" w:rsidP="00A56209">
      <w:pPr>
        <w:pStyle w:val="FootnoteText"/>
        <w:ind w:left="426" w:hanging="426"/>
        <w:rPr>
          <w:color w:val="000000" w:themeColor="text1"/>
          <w:szCs w:val="18"/>
        </w:rPr>
      </w:pPr>
      <w:r>
        <w:rPr>
          <w:rStyle w:val="FootnoteReference"/>
          <w:lang w:val="en-IE"/>
        </w:rPr>
        <w:footnoteRef/>
      </w:r>
      <w:r>
        <w:t xml:space="preserve"> </w:t>
      </w:r>
      <w:r>
        <w:tab/>
      </w:r>
      <w:r>
        <w:rPr>
          <w:color w:val="000000" w:themeColor="text1"/>
        </w:rPr>
        <w:t>COM(2023) 757 final.</w:t>
      </w:r>
    </w:p>
  </w:footnote>
  <w:footnote w:id="215">
    <w:p w14:paraId="23C5A666" w14:textId="059FE1FB" w:rsidR="00081EFA" w:rsidRPr="008303BC" w:rsidRDefault="00081EFA" w:rsidP="0047229A">
      <w:pPr>
        <w:pStyle w:val="FootnoteText"/>
        <w:ind w:left="426" w:hanging="426"/>
        <w:rPr>
          <w:szCs w:val="18"/>
        </w:rPr>
      </w:pPr>
      <w:r>
        <w:rPr>
          <w:rStyle w:val="FootnoteReference"/>
          <w:szCs w:val="18"/>
          <w:lang w:val="en-IE"/>
        </w:rPr>
        <w:footnoteRef/>
      </w:r>
      <w:r>
        <w:t xml:space="preserve"> </w:t>
      </w:r>
      <w:r>
        <w:tab/>
        <w:t>Toimeksiantokirje energia- ja asumisasioista vastaavalle komissaarille Dan Jørgensenille, 17. syyskuuta 2024.</w:t>
      </w:r>
    </w:p>
  </w:footnote>
  <w:footnote w:id="216">
    <w:p w14:paraId="3196F801" w14:textId="5338A8DC" w:rsidR="0047229A" w:rsidRPr="0047229A" w:rsidRDefault="0047229A" w:rsidP="0047229A">
      <w:pPr>
        <w:pStyle w:val="FootnoteText"/>
        <w:ind w:left="426" w:hanging="426"/>
      </w:pPr>
      <w:r>
        <w:rPr>
          <w:rStyle w:val="FootnoteReference"/>
        </w:rPr>
        <w:footnoteRef/>
      </w:r>
      <w:r>
        <w:t xml:space="preserve"> </w:t>
      </w:r>
      <w:r>
        <w:tab/>
        <w:t>Jäsenvaltiot voivat vapaasti valita energialähteiden yhdistelmänsä perussopimusten mukaisesti.</w:t>
      </w:r>
    </w:p>
  </w:footnote>
  <w:footnote w:id="217">
    <w:p w14:paraId="3927AC57" w14:textId="61AD0CC2" w:rsidR="0052635F" w:rsidRPr="008303BC" w:rsidRDefault="0052635F" w:rsidP="3904F75E">
      <w:pPr>
        <w:pStyle w:val="FootnoteText"/>
        <w:ind w:left="426" w:hanging="426"/>
      </w:pPr>
      <w:r>
        <w:rPr>
          <w:rStyle w:val="FootnoteReference"/>
          <w:lang w:val="en-IE"/>
        </w:rPr>
        <w:footnoteRef/>
      </w:r>
      <w:r>
        <w:t xml:space="preserve"> </w:t>
      </w:r>
      <w:r>
        <w:tab/>
        <w:t xml:space="preserve">Komission analyysi perustuu seuraaviin julkaisuihin: Eurostatin kuukausittaiset tiedot sähkön nettotuotannosta polttoainetyypeittäin (verkkotietokoodi: </w:t>
      </w:r>
      <w:hyperlink r:id="rId123" w:history="1">
        <w:r>
          <w:rPr>
            <w:rStyle w:val="Hyperlink"/>
          </w:rPr>
          <w:t>nrg_cb_pem</w:t>
        </w:r>
      </w:hyperlink>
      <w:r>
        <w:t xml:space="preserve">, päivitetty viimeksi 28.1.2025); Sähkö-ENTSO, </w:t>
      </w:r>
      <w:r>
        <w:rPr>
          <w:i/>
        </w:rPr>
        <w:t>Statistical Factsheet 2023</w:t>
      </w:r>
      <w:r>
        <w:t xml:space="preserve">, 2024; Euroopan parlamentin tutkimuspalvelu, </w:t>
      </w:r>
      <w:r>
        <w:rPr>
          <w:i/>
        </w:rPr>
        <w:t>Strategic autonomy and the future of nuclear energy in the EU</w:t>
      </w:r>
      <w:r>
        <w:t>, 2024; SWD(2024) 63 final, osa 1/5.</w:t>
      </w:r>
    </w:p>
  </w:footnote>
  <w:footnote w:id="218">
    <w:p w14:paraId="02FCD501" w14:textId="6F569D78" w:rsidR="0052635F" w:rsidRPr="008303BC" w:rsidRDefault="0052635F" w:rsidP="00AF2E83">
      <w:pPr>
        <w:pStyle w:val="FootnoteText"/>
        <w:ind w:left="426" w:hanging="426"/>
        <w:rPr>
          <w:szCs w:val="18"/>
        </w:rPr>
      </w:pPr>
      <w:r>
        <w:rPr>
          <w:rStyle w:val="FootnoteReference"/>
          <w:szCs w:val="18"/>
          <w:lang w:val="en-IE"/>
        </w:rPr>
        <w:footnoteRef/>
      </w:r>
      <w:r>
        <w:t xml:space="preserve"> </w:t>
      </w:r>
      <w:r>
        <w:tab/>
        <w:t xml:space="preserve">1980-luvulla eurooppalaisia reaktorivalmistajia oli neljä: ABB (Ruotsi/Sveitsi), Framatome (Ranska), Kraftwerk Union / Siemens (Saksa) ja National Nuclear Corp. (Yhdistynyt kuningaskunta). Näistä enää Framatome toimii yhä alalla. Ydinenergiajärjestö NEA, </w:t>
      </w:r>
      <w:r>
        <w:rPr>
          <w:i/>
        </w:rPr>
        <w:t>Nuclear New build: Insights into Financing and Project Management</w:t>
      </w:r>
      <w:r>
        <w:t xml:space="preserve">, 2015.  </w:t>
      </w:r>
    </w:p>
  </w:footnote>
  <w:footnote w:id="219">
    <w:p w14:paraId="319BB0D9" w14:textId="70D8E4DA" w:rsidR="0052635F" w:rsidRPr="008303BC" w:rsidRDefault="0052635F" w:rsidP="00AF2E83">
      <w:pPr>
        <w:pStyle w:val="FootnoteText"/>
        <w:ind w:left="426" w:hanging="426"/>
        <w:rPr>
          <w:szCs w:val="18"/>
        </w:rPr>
      </w:pPr>
      <w:r>
        <w:rPr>
          <w:rStyle w:val="FootnoteReference"/>
          <w:szCs w:val="18"/>
          <w:lang w:val="en-IE"/>
        </w:rPr>
        <w:footnoteRef/>
      </w:r>
      <w:r>
        <w:t xml:space="preserve"> </w:t>
      </w:r>
      <w:r>
        <w:tab/>
        <w:t xml:space="preserve">Komission analyysi perustuu IAEA:n PRIS-tietoihin (tilanne 31. joulukuuta 2023). Framatome sai valmiiksi Olkiluoto 3:n (Suomi), joka aloitti kaupallisen toiminnan toukokuussa 2023. </w:t>
      </w:r>
    </w:p>
  </w:footnote>
  <w:footnote w:id="220">
    <w:p w14:paraId="35E49448" w14:textId="189DCCEB" w:rsidR="0052635F" w:rsidRPr="008303BC" w:rsidRDefault="0052635F" w:rsidP="00AF2E83">
      <w:pPr>
        <w:pStyle w:val="FootnoteText"/>
        <w:ind w:left="426" w:hanging="426"/>
        <w:rPr>
          <w:szCs w:val="18"/>
        </w:rPr>
      </w:pPr>
      <w:r>
        <w:rPr>
          <w:rStyle w:val="FootnoteReference"/>
          <w:szCs w:val="18"/>
          <w:lang w:val="en-IE"/>
        </w:rPr>
        <w:footnoteRef/>
      </w:r>
      <w:r>
        <w:t xml:space="preserve"> </w:t>
      </w:r>
      <w:r>
        <w:tab/>
      </w:r>
      <w:hyperlink r:id="rId124" w:history="1">
        <w:r>
          <w:rPr>
            <w:rStyle w:val="Hyperlink"/>
          </w:rPr>
          <w:t>Pieniä modulaarisia reaktoreita (SMR) koskeva eurooppalainen teollinen allianssi</w:t>
        </w:r>
      </w:hyperlink>
      <w:r>
        <w:t>, 2024.</w:t>
      </w:r>
    </w:p>
  </w:footnote>
  <w:footnote w:id="221">
    <w:p w14:paraId="1922CA92" w14:textId="00C19BB6" w:rsidR="001D1F9A" w:rsidRPr="006D05CC" w:rsidRDefault="001D1F9A" w:rsidP="006D05CC">
      <w:pPr>
        <w:pStyle w:val="FootnoteText"/>
        <w:ind w:left="425" w:hanging="425"/>
      </w:pPr>
      <w:r>
        <w:rPr>
          <w:rStyle w:val="FootnoteReference"/>
        </w:rPr>
        <w:footnoteRef/>
      </w:r>
      <w:r>
        <w:t xml:space="preserve"> </w:t>
      </w:r>
      <w:r>
        <w:tab/>
        <w:t xml:space="preserve">IAEA:n PRIS-tiedot (31. joulukuuta 2023). </w:t>
      </w:r>
    </w:p>
  </w:footnote>
  <w:footnote w:id="222">
    <w:p w14:paraId="35617B3C" w14:textId="46CF5F9E" w:rsidR="0052635F" w:rsidRPr="008303BC" w:rsidRDefault="0052635F" w:rsidP="00AF2E83">
      <w:pPr>
        <w:pStyle w:val="FootnoteText"/>
        <w:ind w:left="426" w:hanging="426"/>
        <w:rPr>
          <w:szCs w:val="18"/>
        </w:rPr>
      </w:pPr>
      <w:r>
        <w:rPr>
          <w:rStyle w:val="FootnoteReference"/>
          <w:szCs w:val="18"/>
          <w:lang w:val="en-IE"/>
        </w:rPr>
        <w:footnoteRef/>
      </w:r>
      <w:r>
        <w:t xml:space="preserve"> </w:t>
      </w:r>
      <w:r>
        <w:tab/>
        <w:t xml:space="preserve">Lisäksi Euratomin hankintakeskuksen (ESA) analyysien mukaan länsimaista puuttuu rikastuskapasiteettia jopa 2 500 tuhatta erotustyöyksikköä (tSWU) vuodeksi 2030 arvioidusta tarpeesta, ja länsimaisista reaktoreista puuttuu noin 6 000 tuhatta yksikköä (tU) konvertointikapasiteettia vuodessa vakaan kysynnän skenaariossa. ESA, Euratomin hankintakeskuksen vuosikertomus, 2022. </w:t>
      </w:r>
    </w:p>
  </w:footnote>
  <w:footnote w:id="223">
    <w:p w14:paraId="5CACECDE" w14:textId="1C9414E1" w:rsidR="0052635F" w:rsidRPr="008303BC" w:rsidRDefault="0052635F" w:rsidP="00AF2E83">
      <w:pPr>
        <w:pStyle w:val="FootnoteText"/>
        <w:ind w:left="426" w:hanging="426"/>
        <w:rPr>
          <w:szCs w:val="18"/>
        </w:rPr>
      </w:pPr>
      <w:r>
        <w:rPr>
          <w:rStyle w:val="FootnoteReference"/>
          <w:szCs w:val="18"/>
          <w:lang w:val="en-IE"/>
        </w:rPr>
        <w:footnoteRef/>
      </w:r>
      <w:r>
        <w:t xml:space="preserve"> </w:t>
      </w:r>
      <w:r>
        <w:tab/>
        <w:t>Viidessä jäsenvaltiossa on käytössä VVER-tyyppisiä painevesireaktoreita. Näitä reaktoreita on perinteisesti palvellut vain yksi venäläinen polttoainetoimittaja, mikä on riski toimitusvarmuuden kannalta. Komissio käynnisti vuonna 2022 kuulemiset VVER-reaktoreita käyttävien jäsenvaltioiden kanssa vauhdittaakseen polttoainetoimitusten monipuolistamista REPowerEU-tavoitteiden mukaisesti.</w:t>
      </w:r>
    </w:p>
  </w:footnote>
  <w:footnote w:id="224">
    <w:p w14:paraId="5BB6925A" w14:textId="16F0F22F" w:rsidR="0052635F" w:rsidRPr="008303BC" w:rsidRDefault="0052635F" w:rsidP="008801C7">
      <w:pPr>
        <w:pStyle w:val="FootnoteText"/>
        <w:ind w:left="426" w:hanging="426"/>
        <w:rPr>
          <w:szCs w:val="18"/>
        </w:rPr>
      </w:pPr>
      <w:r>
        <w:rPr>
          <w:rStyle w:val="FootnoteReference"/>
          <w:szCs w:val="18"/>
          <w:lang w:val="en-IE"/>
        </w:rPr>
        <w:footnoteRef/>
      </w:r>
      <w:r>
        <w:t xml:space="preserve"> </w:t>
      </w:r>
      <w:r>
        <w:tab/>
        <w:t>Toimeksiantokirje energia- ja asumisasioista vastaavalle komissaarille Dan Jørgensenille, 17. syyskuuta 2024.</w:t>
      </w:r>
    </w:p>
  </w:footnote>
  <w:footnote w:id="225">
    <w:p w14:paraId="12BCC89E" w14:textId="45D55AFB" w:rsidR="0024264C" w:rsidRPr="00FB1954" w:rsidRDefault="0024264C" w:rsidP="006D05CC">
      <w:pPr>
        <w:pStyle w:val="FootnoteText"/>
        <w:ind w:left="426" w:hanging="426"/>
      </w:pPr>
      <w:r>
        <w:rPr>
          <w:rStyle w:val="FootnoteReference"/>
        </w:rPr>
        <w:footnoteRef/>
      </w:r>
      <w:r w:rsidRPr="00FB1954">
        <w:t xml:space="preserve"> </w:t>
      </w:r>
      <w:r w:rsidRPr="00FB1954">
        <w:tab/>
        <w:t xml:space="preserve">Euroopan komissio yhteinen tutkimuskeskus, Quaranta, E., Georgakaki, A., Letout, S., Mountraki, A., Ince, E. ja Gea Bermudez, J., CETO, </w:t>
      </w:r>
      <w:hyperlink r:id="rId125" w:history="1">
        <w:r w:rsidRPr="00FB1954">
          <w:rPr>
            <w:rStyle w:val="Hyperlink"/>
            <w:i/>
          </w:rPr>
          <w:t>Hydropower and Pumped Storage Hydropower in the European Union</w:t>
        </w:r>
      </w:hyperlink>
      <w:r w:rsidRPr="00FB1954">
        <w:t>, 2024.</w:t>
      </w:r>
    </w:p>
  </w:footnote>
  <w:footnote w:id="226">
    <w:p w14:paraId="4A40A9A0" w14:textId="24E8109D" w:rsidR="00E021F3" w:rsidRPr="00220722" w:rsidRDefault="00E021F3" w:rsidP="00E021F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IRENA, </w:t>
      </w:r>
      <w:hyperlink r:id="rId126" w:history="1">
        <w:r w:rsidRPr="00220722">
          <w:rPr>
            <w:rStyle w:val="Hyperlink"/>
            <w:i/>
            <w:lang w:val="en-IE"/>
          </w:rPr>
          <w:t>The changing role of hydropower:</w:t>
        </w:r>
      </w:hyperlink>
      <w:hyperlink r:id="rId127" w:history="1">
        <w:r w:rsidRPr="00220722">
          <w:rPr>
            <w:rStyle w:val="Hyperlink"/>
            <w:i/>
            <w:lang w:val="en-IE"/>
          </w:rPr>
          <w:t xml:space="preserve"> Challenges and opportunities</w:t>
        </w:r>
      </w:hyperlink>
      <w:r w:rsidRPr="00220722">
        <w:rPr>
          <w:lang w:val="en-IE"/>
        </w:rPr>
        <w:t xml:space="preserve">, 2023; IEA, </w:t>
      </w:r>
      <w:r w:rsidRPr="00220722">
        <w:rPr>
          <w:i/>
          <w:lang w:val="en-IE"/>
        </w:rPr>
        <w:t>Hydropower Special Market Report Analysis and forecast to 2030</w:t>
      </w:r>
      <w:r w:rsidRPr="00220722">
        <w:rPr>
          <w:lang w:val="en-IE"/>
        </w:rPr>
        <w:t>, 2021.</w:t>
      </w:r>
    </w:p>
  </w:footnote>
  <w:footnote w:id="227">
    <w:p w14:paraId="2DB82961" w14:textId="0DEB6710" w:rsidR="00E021F3" w:rsidRPr="00220722" w:rsidRDefault="00E021F3" w:rsidP="002B5CAD">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128" w:history="1">
        <w:r w:rsidRPr="00220722">
          <w:rPr>
            <w:rStyle w:val="Hyperlink"/>
            <w:i/>
            <w:lang w:val="en-IE"/>
          </w:rPr>
          <w:t>Hydropower and Pumped Storage Hydropower in the European Union</w:t>
        </w:r>
      </w:hyperlink>
      <w:r w:rsidRPr="00220722">
        <w:rPr>
          <w:lang w:val="en-IE"/>
        </w:rPr>
        <w:t>, 2024.</w:t>
      </w:r>
    </w:p>
  </w:footnote>
  <w:footnote w:id="228">
    <w:p w14:paraId="25226045" w14:textId="66C93C3F" w:rsidR="00E021F3" w:rsidRPr="008303BC" w:rsidRDefault="00E021F3" w:rsidP="00E021F3">
      <w:pPr>
        <w:pStyle w:val="FootnoteText"/>
        <w:ind w:left="426" w:hanging="426"/>
        <w:rPr>
          <w:szCs w:val="18"/>
        </w:rPr>
      </w:pPr>
      <w:r>
        <w:rPr>
          <w:rStyle w:val="FootnoteReference"/>
          <w:szCs w:val="18"/>
          <w:lang w:val="en-IE"/>
        </w:rPr>
        <w:footnoteRef/>
      </w:r>
      <w:r>
        <w:t xml:space="preserve"> </w:t>
      </w:r>
      <w:r>
        <w:tab/>
        <w:t>Eurostat (</w:t>
      </w:r>
      <w:hyperlink r:id="rId129" w:history="1">
        <w:r>
          <w:rPr>
            <w:rStyle w:val="Hyperlink"/>
          </w:rPr>
          <w:t>nrg_inf_epc</w:t>
        </w:r>
      </w:hyperlink>
      <w:r>
        <w:t>), sivustolla käyty 12.2.2025.</w:t>
      </w:r>
    </w:p>
  </w:footnote>
  <w:footnote w:id="229">
    <w:p w14:paraId="32D406DE" w14:textId="77777777" w:rsidR="00E021F3" w:rsidRPr="00220722" w:rsidRDefault="00E021F3" w:rsidP="002F592F">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Euroopan komissio, tutkimuksen ja innovoinnin pääosasto, Schleker, T., Hicks, M., Cressida Howard, I., Ohrvik-Stott, J. ym., </w:t>
      </w:r>
      <w:hyperlink r:id="rId130" w:history="1">
        <w:r w:rsidRPr="00220722">
          <w:rPr>
            <w:rStyle w:val="Hyperlink"/>
            <w:i/>
            <w:lang w:val="en-IE"/>
          </w:rPr>
          <w:t>Study on clean energy R&amp;I opportunities to ensure European energy security by targeting challenges of distinct energy value chains for 2030 and beyond</w:t>
        </w:r>
      </w:hyperlink>
      <w:r w:rsidRPr="00220722">
        <w:rPr>
          <w:lang w:val="en-IE"/>
        </w:rPr>
        <w:t>, 2024. </w:t>
      </w:r>
    </w:p>
  </w:footnote>
  <w:footnote w:id="230">
    <w:p w14:paraId="779A988C" w14:textId="5FB4D92C" w:rsidR="00E021F3" w:rsidRPr="00220722" w:rsidRDefault="00E021F3" w:rsidP="00E021F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CETO, </w:t>
      </w:r>
      <w:hyperlink r:id="rId131" w:history="1">
        <w:r w:rsidRPr="00220722">
          <w:rPr>
            <w:rStyle w:val="Hyperlink"/>
            <w:i/>
            <w:lang w:val="en-IE"/>
          </w:rPr>
          <w:t>Hydropower and Pumped Storage Hydropower in the European Union</w:t>
        </w:r>
      </w:hyperlink>
      <w:r w:rsidRPr="00220722">
        <w:rPr>
          <w:lang w:val="en-IE"/>
        </w:rPr>
        <w:t>, 2024.</w:t>
      </w:r>
    </w:p>
  </w:footnote>
  <w:footnote w:id="231">
    <w:p w14:paraId="3B0DADAF" w14:textId="77777777" w:rsidR="00E021F3" w:rsidRPr="00220722" w:rsidRDefault="00E021F3" w:rsidP="00B27A5E">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IEA, </w:t>
      </w:r>
      <w:r w:rsidRPr="00220722">
        <w:rPr>
          <w:i/>
          <w:lang w:val="en-IE"/>
        </w:rPr>
        <w:t>Hydropower Special Market Report Analysis and forecast to 2030</w:t>
      </w:r>
      <w:r w:rsidRPr="00220722">
        <w:rPr>
          <w:lang w:val="en-IE"/>
        </w:rPr>
        <w:t>, 2021.</w:t>
      </w:r>
    </w:p>
  </w:footnote>
  <w:footnote w:id="232">
    <w:p w14:paraId="6C5D1F6B" w14:textId="68F42AB6" w:rsidR="009029CA" w:rsidRPr="008303BC" w:rsidRDefault="009029CA" w:rsidP="000B71AD">
      <w:pPr>
        <w:pStyle w:val="FootnoteText"/>
        <w:ind w:left="426" w:hanging="426"/>
        <w:rPr>
          <w:szCs w:val="18"/>
        </w:rPr>
      </w:pPr>
      <w:r>
        <w:rPr>
          <w:rStyle w:val="FootnoteReference"/>
          <w:szCs w:val="18"/>
          <w:lang w:val="en-IE"/>
        </w:rPr>
        <w:footnoteRef/>
      </w:r>
      <w:r>
        <w:t xml:space="preserve"> </w:t>
      </w:r>
      <w:r>
        <w:tab/>
        <w:t xml:space="preserve">EUVL L, 2024/1735, 28.6.2024, 3 artikla. Määritelmä perustuu ReFuelEU Aviation </w:t>
      </w:r>
      <w:r>
        <w:noBreakHyphen/>
        <w:t xml:space="preserve">asetuksen ja FuelEU Maritime </w:t>
      </w:r>
      <w:r>
        <w:noBreakHyphen/>
        <w:t>asetuksen määritelmiin. Tässä jaksossa käsitellään ainoastaan biopolttoaineita ja muuta kuin biologista alkuperää olevia uusiutuvia synteettisiä polttoaineita.</w:t>
      </w:r>
      <w:r>
        <w:rPr>
          <w:highlight w:val="yellow"/>
        </w:rPr>
        <w:t xml:space="preserve">  </w:t>
      </w:r>
    </w:p>
  </w:footnote>
  <w:footnote w:id="233">
    <w:p w14:paraId="4B8B46E7" w14:textId="21862EE0" w:rsidR="009029CA" w:rsidRPr="00220722" w:rsidRDefault="009029CA" w:rsidP="00AF2E83">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IATA:n </w:t>
      </w:r>
      <w:hyperlink r:id="rId132" w:history="1">
        <w:r w:rsidRPr="00220722">
          <w:rPr>
            <w:rStyle w:val="Hyperlink"/>
            <w:lang w:val="en-IE"/>
          </w:rPr>
          <w:t>vuosikatsaus</w:t>
        </w:r>
      </w:hyperlink>
      <w:r w:rsidRPr="00220722">
        <w:rPr>
          <w:lang w:val="en-IE"/>
        </w:rPr>
        <w:t xml:space="preserve">, 2024. </w:t>
      </w:r>
    </w:p>
  </w:footnote>
  <w:footnote w:id="234">
    <w:p w14:paraId="392BEFA6" w14:textId="7A178013" w:rsidR="009029CA" w:rsidRPr="00220722" w:rsidRDefault="009029CA" w:rsidP="00263CCB">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 xml:space="preserve">Euroopan komissio, tutkimuksen ja innovoinnin pääosasto, </w:t>
      </w:r>
      <w:hyperlink r:id="rId133"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3)</w:t>
      </w:r>
      <w:r w:rsidRPr="00220722">
        <w:rPr>
          <w:rStyle w:val="cf01"/>
          <w:rFonts w:ascii="Times New Roman" w:hAnsi="Times New Roman"/>
          <w:color w:val="000000" w:themeColor="text1"/>
          <w:lang w:val="en-IE"/>
        </w:rPr>
        <w:t>, 2024.</w:t>
      </w:r>
    </w:p>
  </w:footnote>
  <w:footnote w:id="235">
    <w:p w14:paraId="0F021420" w14:textId="77777777" w:rsidR="009029CA" w:rsidRPr="00220722" w:rsidRDefault="009029CA" w:rsidP="008A191A">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 xml:space="preserve">Euroopan komissio, tutkimuksen ja innovoinnin pääosasto, </w:t>
      </w:r>
      <w:hyperlink r:id="rId134"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4)</w:t>
      </w:r>
      <w:r w:rsidRPr="00220722">
        <w:rPr>
          <w:rStyle w:val="cf01"/>
          <w:rFonts w:ascii="Times New Roman" w:hAnsi="Times New Roman"/>
          <w:color w:val="000000" w:themeColor="text1"/>
          <w:lang w:val="en-IE"/>
        </w:rPr>
        <w:t>, 2024.</w:t>
      </w:r>
    </w:p>
  </w:footnote>
  <w:footnote w:id="236">
    <w:p w14:paraId="33F8C5C3" w14:textId="560BFE2C" w:rsidR="009029CA" w:rsidRPr="008303BC" w:rsidRDefault="009029CA" w:rsidP="00AF2E83">
      <w:pPr>
        <w:pStyle w:val="FootnoteText"/>
        <w:ind w:left="426" w:hanging="426"/>
        <w:rPr>
          <w:szCs w:val="18"/>
        </w:rPr>
      </w:pPr>
      <w:r>
        <w:rPr>
          <w:rStyle w:val="FootnoteReference"/>
          <w:szCs w:val="18"/>
          <w:lang w:val="en-IE"/>
        </w:rPr>
        <w:footnoteRef/>
      </w:r>
      <w:r>
        <w:t xml:space="preserve"> </w:t>
      </w:r>
      <w:r>
        <w:tab/>
        <w:t xml:space="preserve">Ks. </w:t>
      </w:r>
      <w:r>
        <w:rPr>
          <w:rStyle w:val="cf01"/>
          <w:rFonts w:ascii="Times New Roman" w:hAnsi="Times New Roman"/>
        </w:rPr>
        <w:t xml:space="preserve">Task 39 </w:t>
      </w:r>
      <w:r>
        <w:rPr>
          <w:rStyle w:val="cf01"/>
          <w:rFonts w:ascii="Times New Roman" w:hAnsi="Times New Roman"/>
        </w:rPr>
        <w:noBreakHyphen/>
        <w:t xml:space="preserve">tietokannan tiedot </w:t>
      </w:r>
      <w:hyperlink r:id="rId135" w:history="1">
        <w:r>
          <w:rPr>
            <w:rStyle w:val="Hyperlink"/>
          </w:rPr>
          <w:t>liikenteen hiilestä irtautumista edistävistä biopolttoainehankkeista</w:t>
        </w:r>
      </w:hyperlink>
      <w:r>
        <w:rPr>
          <w:rStyle w:val="cf01"/>
          <w:rFonts w:ascii="Times New Roman" w:hAnsi="Times New Roman"/>
        </w:rPr>
        <w:t xml:space="preserve">. </w:t>
      </w:r>
    </w:p>
  </w:footnote>
  <w:footnote w:id="237">
    <w:p w14:paraId="69C7A327" w14:textId="37FC56EF" w:rsidR="009029CA" w:rsidRPr="008303BC" w:rsidRDefault="009029CA" w:rsidP="004A6B07">
      <w:pPr>
        <w:pStyle w:val="FootnoteText"/>
        <w:ind w:left="426" w:hanging="426"/>
        <w:rPr>
          <w:szCs w:val="18"/>
        </w:rPr>
      </w:pPr>
      <w:r>
        <w:rPr>
          <w:rStyle w:val="FootnoteReference"/>
          <w:szCs w:val="18"/>
          <w:lang w:val="en-IE"/>
        </w:rPr>
        <w:footnoteRef/>
      </w:r>
      <w:r>
        <w:t xml:space="preserve"> </w:t>
      </w:r>
      <w:r>
        <w:tab/>
      </w:r>
      <w:r>
        <w:rPr>
          <w:color w:val="000000" w:themeColor="text1"/>
        </w:rPr>
        <w:t xml:space="preserve">Euroopan komissio, tutkimuksen ja innovoinnin pääosasto, </w:t>
      </w:r>
      <w:hyperlink r:id="rId136" w:history="1">
        <w:r>
          <w:rPr>
            <w:rStyle w:val="Hyperlink"/>
            <w:i/>
          </w:rPr>
          <w:t>Study on energy technology dependence</w:t>
        </w:r>
      </w:hyperlink>
      <w:r>
        <w:rPr>
          <w:rStyle w:val="cf01"/>
          <w:rFonts w:ascii="Times New Roman" w:hAnsi="Times New Roman"/>
          <w:color w:val="000000" w:themeColor="text1"/>
        </w:rPr>
        <w:t>, 2020</w:t>
      </w:r>
      <w:r>
        <w:t>.</w:t>
      </w:r>
    </w:p>
  </w:footnote>
  <w:footnote w:id="238">
    <w:p w14:paraId="0ECE1461" w14:textId="63EE7EF8" w:rsidR="006406AA" w:rsidRPr="00220722" w:rsidRDefault="006406AA" w:rsidP="00AF2E83">
      <w:pPr>
        <w:pStyle w:val="FootnoteText"/>
        <w:ind w:left="426" w:hanging="426"/>
        <w:rPr>
          <w:szCs w:val="18"/>
          <w:lang w:val="en-IE"/>
        </w:rPr>
      </w:pPr>
      <w:r>
        <w:rPr>
          <w:rStyle w:val="FootnoteReference"/>
          <w:szCs w:val="18"/>
          <w:lang w:val="en-IE"/>
        </w:rPr>
        <w:footnoteRef/>
      </w:r>
      <w:r w:rsidRPr="00220722">
        <w:rPr>
          <w:color w:val="000000" w:themeColor="text1"/>
          <w:lang w:val="en-IE"/>
        </w:rPr>
        <w:t xml:space="preserve"> </w:t>
      </w:r>
      <w:r w:rsidRPr="00220722">
        <w:rPr>
          <w:color w:val="000000" w:themeColor="text1"/>
          <w:lang w:val="en-IE"/>
        </w:rPr>
        <w:tab/>
        <w:t xml:space="preserve">Euroopan komissio, tutkimuksen ja innovoinnin pääosasto, </w:t>
      </w:r>
      <w:hyperlink r:id="rId137" w:history="1">
        <w:r w:rsidRPr="00220722">
          <w:rPr>
            <w:rStyle w:val="Hyperlink"/>
            <w:i/>
            <w:lang w:val="en-IE"/>
          </w:rPr>
          <w:t>Development of outlook for the necessary means to build industrial capacity for drop-in advanced biofuels</w:t>
        </w:r>
      </w:hyperlink>
      <w:hyperlink r:id="rId138" w:history="1">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3)</w:t>
        </w:r>
        <w:r w:rsidRPr="00220722">
          <w:rPr>
            <w:rStyle w:val="cf01"/>
            <w:rFonts w:ascii="Times New Roman" w:hAnsi="Times New Roman"/>
            <w:color w:val="000000" w:themeColor="text1"/>
            <w:lang w:val="en-IE"/>
          </w:rPr>
          <w:t>, 2024.</w:t>
        </w:r>
      </w:hyperlink>
    </w:p>
  </w:footnote>
  <w:footnote w:id="239">
    <w:p w14:paraId="297E806E" w14:textId="4F89ED00" w:rsidR="00776FFF" w:rsidRPr="00220722" w:rsidRDefault="00776FFF" w:rsidP="00E941F4">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r>
      <w:r w:rsidRPr="00220722">
        <w:rPr>
          <w:color w:val="000000" w:themeColor="text1"/>
          <w:lang w:val="en-IE"/>
        </w:rPr>
        <w:t xml:space="preserve">Euroopan komissio, tutkimuksen ja innovoinnin pääosasto, </w:t>
      </w:r>
      <w:hyperlink r:id="rId139" w:history="1">
        <w:r w:rsidRPr="00220722">
          <w:rPr>
            <w:rStyle w:val="Hyperlink"/>
            <w:i/>
            <w:lang w:val="en-IE"/>
          </w:rPr>
          <w:t>Development of outlook for the necessary means to build industrial capacity for drop-in advanced biofuels</w:t>
        </w:r>
      </w:hyperlink>
      <w:r w:rsidRPr="00220722">
        <w:rPr>
          <w:rStyle w:val="cf01"/>
          <w:rFonts w:ascii="Times New Roman" w:hAnsi="Times New Roman"/>
          <w:color w:val="000000" w:themeColor="text1"/>
          <w:lang w:val="en-IE"/>
        </w:rPr>
        <w:t xml:space="preserve"> </w:t>
      </w:r>
      <w:r w:rsidRPr="00220722">
        <w:rPr>
          <w:rStyle w:val="cf01"/>
          <w:rFonts w:ascii="Times New Roman" w:hAnsi="Times New Roman"/>
          <w:i/>
          <w:color w:val="000000" w:themeColor="text1"/>
          <w:lang w:val="en-IE"/>
        </w:rPr>
        <w:t>(liite 4)</w:t>
      </w:r>
      <w:r w:rsidRPr="00220722">
        <w:rPr>
          <w:rStyle w:val="cf01"/>
          <w:rFonts w:ascii="Times New Roman" w:hAnsi="Times New Roman"/>
          <w:color w:val="000000" w:themeColor="text1"/>
          <w:lang w:val="en-IE"/>
        </w:rPr>
        <w:t>, 2024.</w:t>
      </w:r>
    </w:p>
  </w:footnote>
  <w:footnote w:id="240">
    <w:p w14:paraId="2ACAFCCA" w14:textId="7955EAF8" w:rsidR="009029CA" w:rsidRPr="00220722" w:rsidRDefault="009029CA" w:rsidP="00FD3251">
      <w:pPr>
        <w:pStyle w:val="FootnoteText"/>
        <w:ind w:left="426" w:hanging="426"/>
        <w:rPr>
          <w:szCs w:val="18"/>
          <w:lang w:val="en-IE"/>
        </w:rPr>
      </w:pPr>
      <w:r>
        <w:rPr>
          <w:rStyle w:val="FootnoteReference"/>
          <w:szCs w:val="18"/>
          <w:lang w:val="en-IE"/>
        </w:rPr>
        <w:footnoteRef/>
      </w:r>
      <w:r w:rsidRPr="00220722">
        <w:rPr>
          <w:lang w:val="en-IE"/>
        </w:rPr>
        <w:t xml:space="preserve"> </w:t>
      </w:r>
      <w:r w:rsidRPr="00220722">
        <w:rPr>
          <w:lang w:val="en-IE"/>
        </w:rPr>
        <w:tab/>
        <w:t xml:space="preserve">IEA:n bioenergiateknologiaa koskeva yhteistyöohjelma, </w:t>
      </w:r>
      <w:hyperlink r:id="rId140" w:history="1">
        <w:r w:rsidRPr="00220722">
          <w:rPr>
            <w:rStyle w:val="Hyperlink"/>
            <w:i/>
            <w:lang w:val="en-IE"/>
          </w:rPr>
          <w:t>Advanced Biofuels - Potential for Cost Reduction</w:t>
        </w:r>
      </w:hyperlink>
      <w:r w:rsidRPr="00220722">
        <w:rPr>
          <w:lang w:val="en-IE"/>
        </w:rPr>
        <w:t xml:space="preserve">, 2020. </w:t>
      </w:r>
    </w:p>
  </w:footnote>
  <w:footnote w:id="241">
    <w:p w14:paraId="1EFA1B32" w14:textId="3E1C01FE" w:rsidR="00A54DEB" w:rsidRPr="0025226C" w:rsidRDefault="00A54DEB" w:rsidP="00AF2E83">
      <w:pPr>
        <w:pStyle w:val="FootnoteText"/>
        <w:ind w:left="426" w:hanging="426"/>
        <w:rPr>
          <w:szCs w:val="18"/>
        </w:rPr>
      </w:pPr>
      <w:r>
        <w:rPr>
          <w:rStyle w:val="FootnoteReference"/>
          <w:szCs w:val="18"/>
        </w:rPr>
        <w:footnoteRef/>
      </w:r>
      <w:r>
        <w:t xml:space="preserve"> </w:t>
      </w:r>
      <w:r>
        <w:tab/>
        <w:t>Vaikka kirjallisuudessa on perinteisesti viitattu teollisuuden ”hukkalämmön” talteenottoon, nykyään käytetään mieluummin termiä ’ylijäämälämpö’, koska kun lämpö otetaan talteen, se ei mene hukkaan.</w:t>
      </w:r>
    </w:p>
  </w:footnote>
  <w:footnote w:id="242">
    <w:p w14:paraId="7BF21923" w14:textId="26362C35" w:rsidR="00A54DEB" w:rsidRPr="00220722" w:rsidRDefault="00A54DEB" w:rsidP="00AF2E83">
      <w:pPr>
        <w:spacing w:after="0"/>
        <w:ind w:left="426" w:hanging="426"/>
        <w:rPr>
          <w:sz w:val="18"/>
          <w:szCs w:val="18"/>
          <w:lang w:val="en-IE"/>
        </w:rPr>
      </w:pPr>
      <w:r>
        <w:rPr>
          <w:rStyle w:val="FootnoteReference"/>
          <w:sz w:val="18"/>
          <w:szCs w:val="18"/>
        </w:rPr>
        <w:footnoteRef/>
      </w:r>
      <w:r w:rsidRPr="00220722">
        <w:rPr>
          <w:sz w:val="18"/>
          <w:lang w:val="en-IE"/>
        </w:rPr>
        <w:t xml:space="preserve"> </w:t>
      </w:r>
      <w:r w:rsidRPr="00220722">
        <w:rPr>
          <w:sz w:val="18"/>
          <w:lang w:val="en-IE"/>
        </w:rPr>
        <w:tab/>
        <w:t xml:space="preserve">Bianchi, G., Panayiotou, G.P., Aresti, L. ym., </w:t>
      </w:r>
      <w:hyperlink r:id="rId141" w:history="1">
        <w:r w:rsidRPr="00220722">
          <w:rPr>
            <w:rStyle w:val="Hyperlink"/>
            <w:i/>
            <w:sz w:val="18"/>
            <w:lang w:val="en-IE"/>
          </w:rPr>
          <w:t>Estimating the waste heat recovery in the European Union Industry</w:t>
        </w:r>
      </w:hyperlink>
      <w:r w:rsidRPr="00220722">
        <w:rPr>
          <w:sz w:val="18"/>
          <w:lang w:val="en-IE"/>
        </w:rPr>
        <w:t xml:space="preserve">. Energy, Ecology and Environment, 2019. </w:t>
      </w:r>
    </w:p>
  </w:footnote>
  <w:footnote w:id="243">
    <w:p w14:paraId="11BB5AF7" w14:textId="5F0987EC" w:rsidR="00A54DEB" w:rsidRPr="00220722" w:rsidRDefault="00A54DEB" w:rsidP="00AF2E83">
      <w:pPr>
        <w:pStyle w:val="FootnoteText"/>
        <w:ind w:left="426" w:hanging="426"/>
        <w:rPr>
          <w:szCs w:val="18"/>
          <w:lang w:val="en-IE"/>
        </w:rPr>
      </w:pPr>
      <w:r>
        <w:rPr>
          <w:rStyle w:val="FootnoteReference"/>
          <w:szCs w:val="18"/>
        </w:rPr>
        <w:footnoteRef/>
      </w:r>
      <w:r w:rsidRPr="00220722">
        <w:rPr>
          <w:lang w:val="en-IE"/>
        </w:rPr>
        <w:t xml:space="preserve"> </w:t>
      </w:r>
      <w:r w:rsidRPr="00220722">
        <w:rPr>
          <w:lang w:val="en-IE"/>
        </w:rPr>
        <w:tab/>
        <w:t xml:space="preserve">KCORC, </w:t>
      </w:r>
      <w:hyperlink r:id="rId142" w:history="1">
        <w:r w:rsidRPr="00220722">
          <w:rPr>
            <w:rStyle w:val="Hyperlink"/>
            <w:i/>
            <w:lang w:val="en-IE"/>
          </w:rPr>
          <w:t>Thermal Energy Harvesting</w:t>
        </w:r>
      </w:hyperlink>
      <w:r w:rsidRPr="00220722">
        <w:rPr>
          <w:lang w:val="en-IE"/>
        </w:rPr>
        <w:t>, 2025.</w:t>
      </w:r>
    </w:p>
  </w:footnote>
  <w:footnote w:id="244">
    <w:p w14:paraId="5B9D63F6" w14:textId="669FE284" w:rsidR="00A54DEB" w:rsidRPr="00220722" w:rsidRDefault="00A54DEB" w:rsidP="00AF2E83">
      <w:pPr>
        <w:pStyle w:val="FootnoteText"/>
        <w:ind w:left="426" w:hanging="426"/>
        <w:rPr>
          <w:szCs w:val="18"/>
          <w:lang w:val="en-IE"/>
        </w:rPr>
      </w:pPr>
      <w:r>
        <w:rPr>
          <w:rStyle w:val="FootnoteReference"/>
          <w:szCs w:val="18"/>
        </w:rPr>
        <w:footnoteRef/>
      </w:r>
      <w:r w:rsidRPr="00220722">
        <w:rPr>
          <w:lang w:val="en-IE"/>
        </w:rPr>
        <w:t xml:space="preserve"> </w:t>
      </w:r>
      <w:r w:rsidRPr="00220722">
        <w:rPr>
          <w:lang w:val="en-IE"/>
        </w:rPr>
        <w:tab/>
        <w:t xml:space="preserve">Grand View Research, </w:t>
      </w:r>
      <w:hyperlink r:id="rId143" w:history="1">
        <w:r w:rsidRPr="00220722">
          <w:rPr>
            <w:rStyle w:val="Hyperlink"/>
            <w:i/>
            <w:lang w:val="en-IE"/>
          </w:rPr>
          <w:t>Organic Rankine Cycle Market Size &amp; Trends</w:t>
        </w:r>
      </w:hyperlink>
      <w:r w:rsidRPr="00220722">
        <w:rPr>
          <w:lang w:val="en-IE"/>
        </w:rPr>
        <w:t xml:space="preserve">, 2024. Vuoden 2024 keskimääräisen vaihtokurssin mukaan (0,9239 euroa = 1 Yhdysvaltojen dollari), lähde: </w:t>
      </w:r>
      <w:hyperlink r:id="rId144" w:history="1">
        <w:r w:rsidRPr="00220722">
          <w:rPr>
            <w:rStyle w:val="Hyperlink"/>
            <w:lang w:val="en-IE"/>
          </w:rPr>
          <w:t>EKP</w:t>
        </w:r>
      </w:hyperlink>
      <w:r w:rsidRPr="00220722">
        <w:rPr>
          <w:lang w:val="en-IE"/>
        </w:rPr>
        <w:t>.</w:t>
      </w:r>
    </w:p>
  </w:footnote>
  <w:footnote w:id="245">
    <w:p w14:paraId="3AEC59E8" w14:textId="68BC4190" w:rsidR="00242ADA" w:rsidRPr="00220722" w:rsidRDefault="00242ADA" w:rsidP="00AF2E83">
      <w:pPr>
        <w:pStyle w:val="FootnoteText"/>
        <w:ind w:left="426" w:hanging="426"/>
        <w:rPr>
          <w:lang w:val="en-IE"/>
        </w:rPr>
      </w:pPr>
      <w:r>
        <w:rPr>
          <w:rStyle w:val="FootnoteReference"/>
        </w:rPr>
        <w:footnoteRef/>
      </w:r>
      <w:r w:rsidRPr="00220722">
        <w:rPr>
          <w:lang w:val="en-IE"/>
        </w:rPr>
        <w:t xml:space="preserve"> </w:t>
      </w:r>
      <w:r w:rsidRPr="00220722">
        <w:rPr>
          <w:lang w:val="en-IE"/>
        </w:rPr>
        <w:tab/>
        <w:t xml:space="preserve">Wieland, C., Schifflechner, C., Dawo, F., Astolfi, M., </w:t>
      </w:r>
      <w:hyperlink r:id="rId145" w:history="1">
        <w:r w:rsidRPr="00220722">
          <w:rPr>
            <w:rStyle w:val="Hyperlink"/>
            <w:i/>
            <w:lang w:val="en-IE"/>
          </w:rPr>
          <w:t>The organic Rankine cycle power systems market:</w:t>
        </w:r>
      </w:hyperlink>
      <w:hyperlink r:id="rId146" w:history="1">
        <w:r w:rsidRPr="00220722">
          <w:rPr>
            <w:rStyle w:val="Hyperlink"/>
            <w:i/>
            <w:lang w:val="en-IE"/>
          </w:rPr>
          <w:t xml:space="preserve"> Recent developments and future perspectives</w:t>
        </w:r>
      </w:hyperlink>
      <w:r w:rsidRPr="00220722">
        <w:rPr>
          <w:lang w:val="en-IE"/>
        </w:rPr>
        <w:t>, Applied Thermal Engineering, 2023.</w:t>
      </w:r>
    </w:p>
  </w:footnote>
  <w:footnote w:id="246">
    <w:p w14:paraId="4010B0FB" w14:textId="72BDE64A" w:rsidR="00A54DEB" w:rsidRPr="00A56209" w:rsidRDefault="00A54DEB" w:rsidP="00AF2E83">
      <w:pPr>
        <w:pStyle w:val="FootnoteText"/>
        <w:ind w:left="426" w:hanging="426"/>
        <w:rPr>
          <w:szCs w:val="18"/>
        </w:rPr>
      </w:pPr>
      <w:r>
        <w:rPr>
          <w:rStyle w:val="FootnoteReference"/>
          <w:szCs w:val="18"/>
        </w:rPr>
        <w:footnoteRef/>
      </w:r>
      <w:r>
        <w:t xml:space="preserve"> </w:t>
      </w:r>
      <w:r>
        <w:tab/>
        <w:t>Ks. edellinen alaviite.</w:t>
      </w:r>
    </w:p>
  </w:footnote>
  <w:footnote w:id="247">
    <w:p w14:paraId="5B625424" w14:textId="7A38AB3A" w:rsidR="00A54DEB" w:rsidRPr="0025226C" w:rsidRDefault="00A54DEB" w:rsidP="00AF2E83">
      <w:pPr>
        <w:pStyle w:val="FootnoteText"/>
        <w:ind w:left="426" w:hanging="426"/>
        <w:rPr>
          <w:szCs w:val="18"/>
        </w:rPr>
      </w:pPr>
      <w:r>
        <w:rPr>
          <w:rStyle w:val="FootnoteReference"/>
          <w:szCs w:val="18"/>
        </w:rPr>
        <w:footnoteRef/>
      </w:r>
      <w:r>
        <w:t xml:space="preserve"> </w:t>
      </w:r>
      <w:r>
        <w:tab/>
        <w:t xml:space="preserve">KCORC, </w:t>
      </w:r>
      <w:hyperlink r:id="rId147" w:history="1">
        <w:r>
          <w:rPr>
            <w:rStyle w:val="Hyperlink"/>
            <w:i/>
            <w:iCs/>
          </w:rPr>
          <w:t>Thermal Energy Harvesting</w:t>
        </w:r>
      </w:hyperlink>
      <w:r>
        <w:t>, 2025.</w:t>
      </w:r>
    </w:p>
  </w:footnote>
  <w:footnote w:id="248">
    <w:p w14:paraId="6642C371" w14:textId="3A838354" w:rsidR="00A54DEB" w:rsidRPr="00A56209" w:rsidRDefault="00A54DEB" w:rsidP="00AF2E83">
      <w:pPr>
        <w:pStyle w:val="FootnoteText"/>
        <w:ind w:left="426" w:hanging="426"/>
        <w:rPr>
          <w:szCs w:val="18"/>
        </w:rPr>
      </w:pPr>
      <w:r>
        <w:rPr>
          <w:rStyle w:val="FootnoteReference"/>
          <w:szCs w:val="18"/>
        </w:rPr>
        <w:footnoteRef/>
      </w:r>
      <w:r>
        <w:t xml:space="preserve"> </w:t>
      </w:r>
      <w:r>
        <w:tab/>
        <w:t>Tiedot haettiin Elsevierin Scopus-tietokannasta 31. tammikuuta 2025 haulla ”Organic AND Rankine AND Cycle AND Power”.</w:t>
      </w:r>
    </w:p>
  </w:footnote>
  <w:footnote w:id="249">
    <w:p w14:paraId="180C11B2" w14:textId="7B72D181" w:rsidR="00C268C0" w:rsidRPr="00FB1954" w:rsidRDefault="00C268C0" w:rsidP="0086524A">
      <w:pPr>
        <w:pStyle w:val="FootnoteText"/>
        <w:ind w:left="426" w:hanging="426"/>
        <w:rPr>
          <w:szCs w:val="18"/>
          <w:lang w:val="en-IE"/>
        </w:rPr>
      </w:pPr>
      <w:r>
        <w:rPr>
          <w:rStyle w:val="FootnoteReference"/>
        </w:rPr>
        <w:footnoteRef/>
      </w:r>
      <w:r w:rsidR="0086524A">
        <w:rPr>
          <w:lang w:val="en-IE"/>
        </w:rPr>
        <w:tab/>
      </w:r>
      <w:r w:rsidRPr="00220722">
        <w:rPr>
          <w:lang w:val="en-IE"/>
        </w:rPr>
        <w:t xml:space="preserve">CE-Delft, </w:t>
      </w:r>
      <w:hyperlink r:id="rId148" w:history="1">
        <w:r w:rsidRPr="00220722">
          <w:rPr>
            <w:rStyle w:val="Hyperlink"/>
            <w:lang w:val="en-IE"/>
          </w:rPr>
          <w:t>”ORC Plants for Thermal Energy Harvesting”</w:t>
        </w:r>
      </w:hyperlink>
      <w:r w:rsidRPr="00220722">
        <w:rPr>
          <w:lang w:val="en-IE"/>
        </w:rPr>
        <w:t>, 2023</w:t>
      </w:r>
      <w:r w:rsidRPr="00FB1954">
        <w:rPr>
          <w:szCs w:val="18"/>
          <w:lang w:val="en-IE"/>
        </w:rPr>
        <w:t xml:space="preserve">. </w:t>
      </w:r>
    </w:p>
  </w:footnote>
  <w:footnote w:id="250">
    <w:p w14:paraId="720DE07D" w14:textId="24F55285" w:rsidR="008303BC" w:rsidRPr="008303BC" w:rsidRDefault="008303BC" w:rsidP="0053302D">
      <w:pPr>
        <w:pStyle w:val="FootnoteText"/>
        <w:ind w:left="426" w:hanging="426"/>
        <w:rPr>
          <w:szCs w:val="18"/>
        </w:rPr>
      </w:pPr>
      <w:r>
        <w:rPr>
          <w:rStyle w:val="FootnoteReference"/>
          <w:szCs w:val="18"/>
          <w:lang w:val="en-IE"/>
        </w:rPr>
        <w:footnoteRef/>
      </w:r>
      <w:r>
        <w:t xml:space="preserve"> </w:t>
      </w:r>
      <w:r>
        <w:tab/>
        <w:t xml:space="preserve">IEA, </w:t>
      </w:r>
      <w:r>
        <w:rPr>
          <w:i/>
        </w:rPr>
        <w:t>Energy Technology Perspectives</w:t>
      </w:r>
      <w:r>
        <w:t>, 2024. Aurinkosähkön, tuulivoiman, sähköajoneuvojen, akkujen, elektrolyysilaitteiden ja lämpöpumppujen maailmanmarkkinoita koskevat arviot. Raportissa viitataan 2 biljoonaan Yhdysvaltain dollariin. Tämä arvo muunnettiin euroiksi vuoden 2024 lopussa.</w:t>
      </w:r>
    </w:p>
  </w:footnote>
  <w:footnote w:id="251">
    <w:p w14:paraId="48DE7E68" w14:textId="0A2A3422" w:rsidR="00223DE1" w:rsidRPr="006D05CC" w:rsidRDefault="00223DE1" w:rsidP="00223DE1">
      <w:pPr>
        <w:pStyle w:val="FootnoteText"/>
      </w:pPr>
      <w:r>
        <w:rPr>
          <w:rStyle w:val="FootnoteReference"/>
        </w:rPr>
        <w:footnoteRef/>
      </w:r>
      <w:r>
        <w:t xml:space="preserve"> Lisätietoa: </w:t>
      </w:r>
      <w:hyperlink r:id="rId149" w:history="1">
        <w:r>
          <w:rPr>
            <w:rStyle w:val="Hyperlink"/>
          </w:rPr>
          <w:t>puhtaaseen energiaan siirtymistä koskeva kumppanuus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62163" w14:textId="77777777" w:rsidR="00174E45" w:rsidRPr="00174E45" w:rsidRDefault="00174E45" w:rsidP="00174E4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A223A" w14:textId="77777777" w:rsidR="00174E45" w:rsidRPr="00174E45" w:rsidRDefault="00174E45" w:rsidP="00174E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424F" w14:textId="77777777" w:rsidR="00174E45" w:rsidRPr="00174E45" w:rsidRDefault="00174E45" w:rsidP="00174E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51C89" w14:textId="77777777" w:rsidR="0089248B" w:rsidRDefault="008924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FDC9" w14:textId="3BD6204B" w:rsidR="0089248B" w:rsidRDefault="0089248B" w:rsidP="009945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782AA" w14:textId="77777777" w:rsidR="0089248B" w:rsidRDefault="00892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37D8E"/>
    <w:multiLevelType w:val="hybridMultilevel"/>
    <w:tmpl w:val="63F4E2F8"/>
    <w:lvl w:ilvl="0" w:tplc="464C5FCC">
      <w:numFmt w:val="bullet"/>
      <w:lvlText w:val="-"/>
      <w:lvlJc w:val="left"/>
      <w:pPr>
        <w:ind w:left="1080" w:hanging="360"/>
      </w:pPr>
      <w:rPr>
        <w:rFonts w:ascii="Calibri" w:eastAsia="Calibri" w:hAnsi="Calibri" w:cs="Calibri"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 w15:restartNumberingAfterBreak="0">
    <w:nsid w:val="02D976C7"/>
    <w:multiLevelType w:val="hybridMultilevel"/>
    <w:tmpl w:val="3F249D28"/>
    <w:lvl w:ilvl="0" w:tplc="7AD6F78C">
      <w:start w:val="202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074D00"/>
    <w:multiLevelType w:val="hybridMultilevel"/>
    <w:tmpl w:val="77F67A3A"/>
    <w:lvl w:ilvl="0" w:tplc="036477D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E6F6F07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260D18"/>
    <w:multiLevelType w:val="multilevel"/>
    <w:tmpl w:val="FF7010DE"/>
    <w:lvl w:ilvl="0">
      <w:start w:val="1"/>
      <w:numFmt w:val="decimal"/>
      <w:pStyle w:val="RTDBullet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RTDSubtitle0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1488462"/>
    <w:multiLevelType w:val="hybridMultilevel"/>
    <w:tmpl w:val="D23E1738"/>
    <w:lvl w:ilvl="0" w:tplc="1A72F6D8">
      <w:start w:val="1"/>
      <w:numFmt w:val="bullet"/>
      <w:lvlText w:val=""/>
      <w:lvlJc w:val="left"/>
      <w:pPr>
        <w:ind w:left="720" w:hanging="360"/>
      </w:pPr>
      <w:rPr>
        <w:rFonts w:ascii="Symbol" w:hAnsi="Symbol" w:hint="default"/>
      </w:rPr>
    </w:lvl>
    <w:lvl w:ilvl="1" w:tplc="798A071C">
      <w:start w:val="1"/>
      <w:numFmt w:val="bullet"/>
      <w:lvlText w:val="o"/>
      <w:lvlJc w:val="left"/>
      <w:pPr>
        <w:ind w:left="1440" w:hanging="360"/>
      </w:pPr>
      <w:rPr>
        <w:rFonts w:ascii="Courier New" w:hAnsi="Courier New" w:hint="default"/>
      </w:rPr>
    </w:lvl>
    <w:lvl w:ilvl="2" w:tplc="2F94871C">
      <w:start w:val="1"/>
      <w:numFmt w:val="bullet"/>
      <w:lvlText w:val=""/>
      <w:lvlJc w:val="left"/>
      <w:pPr>
        <w:ind w:left="2160" w:hanging="360"/>
      </w:pPr>
      <w:rPr>
        <w:rFonts w:ascii="Wingdings" w:hAnsi="Wingdings" w:hint="default"/>
      </w:rPr>
    </w:lvl>
    <w:lvl w:ilvl="3" w:tplc="B96E558E">
      <w:start w:val="1"/>
      <w:numFmt w:val="bullet"/>
      <w:lvlText w:val=""/>
      <w:lvlJc w:val="left"/>
      <w:pPr>
        <w:ind w:left="2880" w:hanging="360"/>
      </w:pPr>
      <w:rPr>
        <w:rFonts w:ascii="Symbol" w:hAnsi="Symbol" w:hint="default"/>
      </w:rPr>
    </w:lvl>
    <w:lvl w:ilvl="4" w:tplc="B0543192">
      <w:start w:val="1"/>
      <w:numFmt w:val="bullet"/>
      <w:lvlText w:val="o"/>
      <w:lvlJc w:val="left"/>
      <w:pPr>
        <w:ind w:left="3600" w:hanging="360"/>
      </w:pPr>
      <w:rPr>
        <w:rFonts w:ascii="Courier New" w:hAnsi="Courier New" w:hint="default"/>
      </w:rPr>
    </w:lvl>
    <w:lvl w:ilvl="5" w:tplc="071C3A56">
      <w:start w:val="1"/>
      <w:numFmt w:val="bullet"/>
      <w:lvlText w:val=""/>
      <w:lvlJc w:val="left"/>
      <w:pPr>
        <w:ind w:left="4320" w:hanging="360"/>
      </w:pPr>
      <w:rPr>
        <w:rFonts w:ascii="Wingdings" w:hAnsi="Wingdings" w:hint="default"/>
      </w:rPr>
    </w:lvl>
    <w:lvl w:ilvl="6" w:tplc="44FCCB00">
      <w:start w:val="1"/>
      <w:numFmt w:val="bullet"/>
      <w:lvlText w:val=""/>
      <w:lvlJc w:val="left"/>
      <w:pPr>
        <w:ind w:left="5040" w:hanging="360"/>
      </w:pPr>
      <w:rPr>
        <w:rFonts w:ascii="Symbol" w:hAnsi="Symbol" w:hint="default"/>
      </w:rPr>
    </w:lvl>
    <w:lvl w:ilvl="7" w:tplc="3726FAE2">
      <w:start w:val="1"/>
      <w:numFmt w:val="bullet"/>
      <w:lvlText w:val="o"/>
      <w:lvlJc w:val="left"/>
      <w:pPr>
        <w:ind w:left="5760" w:hanging="360"/>
      </w:pPr>
      <w:rPr>
        <w:rFonts w:ascii="Courier New" w:hAnsi="Courier New" w:hint="default"/>
      </w:rPr>
    </w:lvl>
    <w:lvl w:ilvl="8" w:tplc="76BC7C60">
      <w:start w:val="1"/>
      <w:numFmt w:val="bullet"/>
      <w:lvlText w:val=""/>
      <w:lvlJc w:val="left"/>
      <w:pPr>
        <w:ind w:left="6480" w:hanging="360"/>
      </w:pPr>
      <w:rPr>
        <w:rFonts w:ascii="Wingdings" w:hAnsi="Wingdings" w:hint="default"/>
      </w:rPr>
    </w:lvl>
  </w:abstractNum>
  <w:abstractNum w:abstractNumId="6" w15:restartNumberingAfterBreak="0">
    <w:nsid w:val="20DD7B15"/>
    <w:multiLevelType w:val="hybridMultilevel"/>
    <w:tmpl w:val="0A467D7A"/>
    <w:lvl w:ilvl="0" w:tplc="581EECB8">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E67B12"/>
    <w:multiLevelType w:val="hybridMultilevel"/>
    <w:tmpl w:val="FFFFFFFF"/>
    <w:lvl w:ilvl="0" w:tplc="9B9E6800">
      <w:start w:val="1"/>
      <w:numFmt w:val="bullet"/>
      <w:lvlText w:val="-"/>
      <w:lvlJc w:val="left"/>
      <w:pPr>
        <w:ind w:left="720" w:hanging="360"/>
      </w:pPr>
      <w:rPr>
        <w:rFonts w:ascii="Aptos" w:hAnsi="Aptos" w:hint="default"/>
      </w:rPr>
    </w:lvl>
    <w:lvl w:ilvl="1" w:tplc="238CF3D0">
      <w:start w:val="1"/>
      <w:numFmt w:val="bullet"/>
      <w:lvlText w:val="o"/>
      <w:lvlJc w:val="left"/>
      <w:pPr>
        <w:ind w:left="1440" w:hanging="360"/>
      </w:pPr>
      <w:rPr>
        <w:rFonts w:ascii="Courier New" w:hAnsi="Courier New" w:hint="default"/>
      </w:rPr>
    </w:lvl>
    <w:lvl w:ilvl="2" w:tplc="0A862C30">
      <w:start w:val="1"/>
      <w:numFmt w:val="bullet"/>
      <w:lvlText w:val=""/>
      <w:lvlJc w:val="left"/>
      <w:pPr>
        <w:ind w:left="2160" w:hanging="360"/>
      </w:pPr>
      <w:rPr>
        <w:rFonts w:ascii="Wingdings" w:hAnsi="Wingdings" w:hint="default"/>
      </w:rPr>
    </w:lvl>
    <w:lvl w:ilvl="3" w:tplc="9CA00E24">
      <w:start w:val="1"/>
      <w:numFmt w:val="bullet"/>
      <w:lvlText w:val=""/>
      <w:lvlJc w:val="left"/>
      <w:pPr>
        <w:ind w:left="2880" w:hanging="360"/>
      </w:pPr>
      <w:rPr>
        <w:rFonts w:ascii="Symbol" w:hAnsi="Symbol" w:hint="default"/>
      </w:rPr>
    </w:lvl>
    <w:lvl w:ilvl="4" w:tplc="EC087D9A">
      <w:start w:val="1"/>
      <w:numFmt w:val="bullet"/>
      <w:lvlText w:val="o"/>
      <w:lvlJc w:val="left"/>
      <w:pPr>
        <w:ind w:left="3600" w:hanging="360"/>
      </w:pPr>
      <w:rPr>
        <w:rFonts w:ascii="Courier New" w:hAnsi="Courier New" w:hint="default"/>
      </w:rPr>
    </w:lvl>
    <w:lvl w:ilvl="5" w:tplc="DEEE13A4">
      <w:start w:val="1"/>
      <w:numFmt w:val="bullet"/>
      <w:lvlText w:val=""/>
      <w:lvlJc w:val="left"/>
      <w:pPr>
        <w:ind w:left="4320" w:hanging="360"/>
      </w:pPr>
      <w:rPr>
        <w:rFonts w:ascii="Wingdings" w:hAnsi="Wingdings" w:hint="default"/>
      </w:rPr>
    </w:lvl>
    <w:lvl w:ilvl="6" w:tplc="FF30A00C">
      <w:start w:val="1"/>
      <w:numFmt w:val="bullet"/>
      <w:lvlText w:val=""/>
      <w:lvlJc w:val="left"/>
      <w:pPr>
        <w:ind w:left="5040" w:hanging="360"/>
      </w:pPr>
      <w:rPr>
        <w:rFonts w:ascii="Symbol" w:hAnsi="Symbol" w:hint="default"/>
      </w:rPr>
    </w:lvl>
    <w:lvl w:ilvl="7" w:tplc="59E63224">
      <w:start w:val="1"/>
      <w:numFmt w:val="bullet"/>
      <w:lvlText w:val="o"/>
      <w:lvlJc w:val="left"/>
      <w:pPr>
        <w:ind w:left="5760" w:hanging="360"/>
      </w:pPr>
      <w:rPr>
        <w:rFonts w:ascii="Courier New" w:hAnsi="Courier New" w:hint="default"/>
      </w:rPr>
    </w:lvl>
    <w:lvl w:ilvl="8" w:tplc="E278BD2E">
      <w:start w:val="1"/>
      <w:numFmt w:val="bullet"/>
      <w:lvlText w:val=""/>
      <w:lvlJc w:val="left"/>
      <w:pPr>
        <w:ind w:left="6480" w:hanging="360"/>
      </w:pPr>
      <w:rPr>
        <w:rFonts w:ascii="Wingdings" w:hAnsi="Wingdings" w:hint="default"/>
      </w:rPr>
    </w:lvl>
  </w:abstractNum>
  <w:abstractNum w:abstractNumId="8" w15:restartNumberingAfterBreak="0">
    <w:nsid w:val="2AC04C3A"/>
    <w:multiLevelType w:val="hybridMultilevel"/>
    <w:tmpl w:val="7B4EF6B8"/>
    <w:lvl w:ilvl="0" w:tplc="FCB0A6B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1F66212"/>
    <w:multiLevelType w:val="hybridMultilevel"/>
    <w:tmpl w:val="3AD0AE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2F6100D"/>
    <w:multiLevelType w:val="hybridMultilevel"/>
    <w:tmpl w:val="0D2CA540"/>
    <w:lvl w:ilvl="0" w:tplc="94F8868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57A5EF6"/>
    <w:multiLevelType w:val="hybridMultilevel"/>
    <w:tmpl w:val="19C2A94A"/>
    <w:lvl w:ilvl="0" w:tplc="C276C50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8BBF9D1"/>
    <w:multiLevelType w:val="hybridMultilevel"/>
    <w:tmpl w:val="FFFFFFFF"/>
    <w:lvl w:ilvl="0" w:tplc="66BA55DA">
      <w:start w:val="1"/>
      <w:numFmt w:val="decimal"/>
      <w:lvlText w:val="%1."/>
      <w:lvlJc w:val="left"/>
      <w:pPr>
        <w:ind w:left="1080" w:hanging="360"/>
      </w:pPr>
    </w:lvl>
    <w:lvl w:ilvl="1" w:tplc="F8E4FAB4">
      <w:start w:val="1"/>
      <w:numFmt w:val="lowerLetter"/>
      <w:lvlText w:val="%2."/>
      <w:lvlJc w:val="left"/>
      <w:pPr>
        <w:ind w:left="1800" w:hanging="360"/>
      </w:pPr>
    </w:lvl>
    <w:lvl w:ilvl="2" w:tplc="962EDCBC">
      <w:start w:val="1"/>
      <w:numFmt w:val="lowerRoman"/>
      <w:lvlText w:val="%3."/>
      <w:lvlJc w:val="right"/>
      <w:pPr>
        <w:ind w:left="2520" w:hanging="180"/>
      </w:pPr>
    </w:lvl>
    <w:lvl w:ilvl="3" w:tplc="96B04876">
      <w:start w:val="1"/>
      <w:numFmt w:val="decimal"/>
      <w:lvlText w:val="%4."/>
      <w:lvlJc w:val="left"/>
      <w:pPr>
        <w:ind w:left="3240" w:hanging="360"/>
      </w:pPr>
    </w:lvl>
    <w:lvl w:ilvl="4" w:tplc="53E4B518">
      <w:start w:val="1"/>
      <w:numFmt w:val="lowerLetter"/>
      <w:lvlText w:val="%5."/>
      <w:lvlJc w:val="left"/>
      <w:pPr>
        <w:ind w:left="3960" w:hanging="360"/>
      </w:pPr>
    </w:lvl>
    <w:lvl w:ilvl="5" w:tplc="0D5A96C2">
      <w:start w:val="1"/>
      <w:numFmt w:val="lowerRoman"/>
      <w:lvlText w:val="%6."/>
      <w:lvlJc w:val="right"/>
      <w:pPr>
        <w:ind w:left="4680" w:hanging="180"/>
      </w:pPr>
    </w:lvl>
    <w:lvl w:ilvl="6" w:tplc="FE78F2FE">
      <w:start w:val="1"/>
      <w:numFmt w:val="decimal"/>
      <w:lvlText w:val="%7."/>
      <w:lvlJc w:val="left"/>
      <w:pPr>
        <w:ind w:left="5400" w:hanging="360"/>
      </w:pPr>
    </w:lvl>
    <w:lvl w:ilvl="7" w:tplc="8BF250DC">
      <w:start w:val="1"/>
      <w:numFmt w:val="lowerLetter"/>
      <w:lvlText w:val="%8."/>
      <w:lvlJc w:val="left"/>
      <w:pPr>
        <w:ind w:left="6120" w:hanging="360"/>
      </w:pPr>
    </w:lvl>
    <w:lvl w:ilvl="8" w:tplc="8A6CD81A">
      <w:start w:val="1"/>
      <w:numFmt w:val="lowerRoman"/>
      <w:lvlText w:val="%9."/>
      <w:lvlJc w:val="right"/>
      <w:pPr>
        <w:ind w:left="6840" w:hanging="180"/>
      </w:pPr>
    </w:lvl>
  </w:abstractNum>
  <w:abstractNum w:abstractNumId="13" w15:restartNumberingAfterBreak="0">
    <w:nsid w:val="5D3918F2"/>
    <w:multiLevelType w:val="hybridMultilevel"/>
    <w:tmpl w:val="5036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323B10"/>
    <w:multiLevelType w:val="hybridMultilevel"/>
    <w:tmpl w:val="4CAAA504"/>
    <w:lvl w:ilvl="0" w:tplc="3BEAFE7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3EF241F"/>
    <w:multiLevelType w:val="hybridMultilevel"/>
    <w:tmpl w:val="EEC6AD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AC4AB07"/>
    <w:multiLevelType w:val="hybridMultilevel"/>
    <w:tmpl w:val="FFFFFFFF"/>
    <w:lvl w:ilvl="0" w:tplc="80722B98">
      <w:start w:val="1"/>
      <w:numFmt w:val="bullet"/>
      <w:lvlText w:val=""/>
      <w:lvlJc w:val="left"/>
      <w:pPr>
        <w:ind w:left="720" w:hanging="360"/>
      </w:pPr>
      <w:rPr>
        <w:rFonts w:ascii="Symbol" w:hAnsi="Symbol" w:hint="default"/>
      </w:rPr>
    </w:lvl>
    <w:lvl w:ilvl="1" w:tplc="CE9AA1CA">
      <w:start w:val="1"/>
      <w:numFmt w:val="bullet"/>
      <w:lvlText w:val="o"/>
      <w:lvlJc w:val="left"/>
      <w:pPr>
        <w:ind w:left="1440" w:hanging="360"/>
      </w:pPr>
      <w:rPr>
        <w:rFonts w:ascii="Courier New" w:hAnsi="Courier New" w:hint="default"/>
      </w:rPr>
    </w:lvl>
    <w:lvl w:ilvl="2" w:tplc="5D3C4904">
      <w:start w:val="1"/>
      <w:numFmt w:val="bullet"/>
      <w:lvlText w:val=""/>
      <w:lvlJc w:val="left"/>
      <w:pPr>
        <w:ind w:left="2160" w:hanging="360"/>
      </w:pPr>
      <w:rPr>
        <w:rFonts w:ascii="Wingdings" w:hAnsi="Wingdings" w:hint="default"/>
      </w:rPr>
    </w:lvl>
    <w:lvl w:ilvl="3" w:tplc="6EA2A51C">
      <w:start w:val="1"/>
      <w:numFmt w:val="bullet"/>
      <w:lvlText w:val=""/>
      <w:lvlJc w:val="left"/>
      <w:pPr>
        <w:ind w:left="2880" w:hanging="360"/>
      </w:pPr>
      <w:rPr>
        <w:rFonts w:ascii="Symbol" w:hAnsi="Symbol" w:hint="default"/>
      </w:rPr>
    </w:lvl>
    <w:lvl w:ilvl="4" w:tplc="91D2B782">
      <w:start w:val="1"/>
      <w:numFmt w:val="bullet"/>
      <w:lvlText w:val="o"/>
      <w:lvlJc w:val="left"/>
      <w:pPr>
        <w:ind w:left="3600" w:hanging="360"/>
      </w:pPr>
      <w:rPr>
        <w:rFonts w:ascii="Courier New" w:hAnsi="Courier New" w:hint="default"/>
      </w:rPr>
    </w:lvl>
    <w:lvl w:ilvl="5" w:tplc="856E47EC">
      <w:start w:val="1"/>
      <w:numFmt w:val="bullet"/>
      <w:lvlText w:val=""/>
      <w:lvlJc w:val="left"/>
      <w:pPr>
        <w:ind w:left="4320" w:hanging="360"/>
      </w:pPr>
      <w:rPr>
        <w:rFonts w:ascii="Wingdings" w:hAnsi="Wingdings" w:hint="default"/>
      </w:rPr>
    </w:lvl>
    <w:lvl w:ilvl="6" w:tplc="BBD42B30">
      <w:start w:val="1"/>
      <w:numFmt w:val="bullet"/>
      <w:lvlText w:val=""/>
      <w:lvlJc w:val="left"/>
      <w:pPr>
        <w:ind w:left="5040" w:hanging="360"/>
      </w:pPr>
      <w:rPr>
        <w:rFonts w:ascii="Symbol" w:hAnsi="Symbol" w:hint="default"/>
      </w:rPr>
    </w:lvl>
    <w:lvl w:ilvl="7" w:tplc="2D080980">
      <w:start w:val="1"/>
      <w:numFmt w:val="bullet"/>
      <w:lvlText w:val="o"/>
      <w:lvlJc w:val="left"/>
      <w:pPr>
        <w:ind w:left="5760" w:hanging="360"/>
      </w:pPr>
      <w:rPr>
        <w:rFonts w:ascii="Courier New" w:hAnsi="Courier New" w:hint="default"/>
      </w:rPr>
    </w:lvl>
    <w:lvl w:ilvl="8" w:tplc="DB82BF70">
      <w:start w:val="1"/>
      <w:numFmt w:val="bullet"/>
      <w:lvlText w:val=""/>
      <w:lvlJc w:val="left"/>
      <w:pPr>
        <w:ind w:left="6480" w:hanging="360"/>
      </w:pPr>
      <w:rPr>
        <w:rFonts w:ascii="Wingdings" w:hAnsi="Wingdings" w:hint="default"/>
      </w:rPr>
    </w:lvl>
  </w:abstractNum>
  <w:abstractNum w:abstractNumId="17" w15:restartNumberingAfterBreak="0">
    <w:nsid w:val="6CFD7E02"/>
    <w:multiLevelType w:val="hybridMultilevel"/>
    <w:tmpl w:val="A8CE91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C65145E"/>
    <w:multiLevelType w:val="multilevel"/>
    <w:tmpl w:val="6A6293F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num w:numId="1">
    <w:abstractNumId w:val="5"/>
  </w:num>
  <w:num w:numId="2">
    <w:abstractNumId w:val="18"/>
  </w:num>
  <w:num w:numId="3">
    <w:abstractNumId w:val="3"/>
  </w:num>
  <w:num w:numId="4">
    <w:abstractNumId w:val="18"/>
  </w:num>
  <w:num w:numId="5">
    <w:abstractNumId w:val="11"/>
  </w:num>
  <w:num w:numId="6">
    <w:abstractNumId w:val="6"/>
  </w:num>
  <w:num w:numId="7">
    <w:abstractNumId w:val="2"/>
  </w:num>
  <w:num w:numId="8">
    <w:abstractNumId w:val="7"/>
  </w:num>
  <w:num w:numId="9">
    <w:abstractNumId w:val="16"/>
  </w:num>
  <w:num w:numId="10">
    <w:abstractNumId w:val="10"/>
  </w:num>
  <w:num w:numId="11">
    <w:abstractNumId w:val="8"/>
  </w:num>
  <w:num w:numId="12">
    <w:abstractNumId w:val="17"/>
  </w:num>
  <w:num w:numId="13">
    <w:abstractNumId w:val="12"/>
  </w:num>
  <w:num w:numId="14">
    <w:abstractNumId w:val="14"/>
  </w:num>
  <w:num w:numId="15">
    <w:abstractNumId w:val="18"/>
  </w:num>
  <w:num w:numId="16">
    <w:abstractNumId w:val="1"/>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3"/>
  </w:num>
  <w:num w:numId="21">
    <w:abstractNumId w:val="9"/>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activeWritingStyle w:appName="MSWord" w:lang="sv-SE" w:vendorID="64" w:dllVersion="0" w:nlCheck="1" w:checkStyle="0"/>
  <w:activeWritingStyle w:appName="MSWord" w:lang="fi-FI"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9D929F8-C0C5-4150-AC7F-5E1B601A25DF"/>
    <w:docVar w:name="LW_COVERPAGE_TYPE" w:val="1"/>
    <w:docVar w:name="LW_CROSSREFERENCE" w:val="&lt;UNUSED&gt;"/>
    <w:docVar w:name="LW_DocType" w:val="NORMAL"/>
    <w:docVar w:name="LW_EMISSION" w:val="26.2.2025"/>
    <w:docVar w:name="LW_EMISSION_ISODATE" w:val="2025-02-26"/>
    <w:docVar w:name="LW_EMISSION_LOCATION" w:val="BRX"/>
    <w:docVar w:name="LW_EMISSION_PREFIX" w:val="Bryssel "/>
    <w:docVar w:name="LW_EMISSION_SUFFIX" w:val=" "/>
    <w:docVar w:name="LW_ID_DOCTYPE_NONLW" w:val="CP-006"/>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25) 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uhtaan energian teknologioiden kilpailukyvyn edistymisestä&lt;/FMT&gt;"/>
    <w:docVar w:name="LW_TYPE.DOC.CP" w:val="KOMISSION KERTOMUS EUROOPAN PARLAMENTILLE JA NEUVOSTOLLE"/>
    <w:docVar w:name="LwApiVersions" w:val="LW4CoDe 1.24.5.0; LW 9.0, Build 20240221"/>
  </w:docVars>
  <w:rsids>
    <w:rsidRoot w:val="00126FE5"/>
    <w:rsid w:val="00000265"/>
    <w:rsid w:val="00000307"/>
    <w:rsid w:val="000003B8"/>
    <w:rsid w:val="00000416"/>
    <w:rsid w:val="00000534"/>
    <w:rsid w:val="0000097B"/>
    <w:rsid w:val="000009A7"/>
    <w:rsid w:val="00000B23"/>
    <w:rsid w:val="00000BB5"/>
    <w:rsid w:val="00000DEF"/>
    <w:rsid w:val="00000E3D"/>
    <w:rsid w:val="00000EAF"/>
    <w:rsid w:val="00000EE2"/>
    <w:rsid w:val="00001080"/>
    <w:rsid w:val="00001250"/>
    <w:rsid w:val="00001328"/>
    <w:rsid w:val="00001336"/>
    <w:rsid w:val="0000136A"/>
    <w:rsid w:val="000013B8"/>
    <w:rsid w:val="000013C5"/>
    <w:rsid w:val="0000159F"/>
    <w:rsid w:val="000016FB"/>
    <w:rsid w:val="0000173E"/>
    <w:rsid w:val="0000185B"/>
    <w:rsid w:val="000019E4"/>
    <w:rsid w:val="00001A88"/>
    <w:rsid w:val="00001CB7"/>
    <w:rsid w:val="00001CF2"/>
    <w:rsid w:val="00001D73"/>
    <w:rsid w:val="00001DDC"/>
    <w:rsid w:val="00001DFF"/>
    <w:rsid w:val="00001EA3"/>
    <w:rsid w:val="00001F3C"/>
    <w:rsid w:val="000020D2"/>
    <w:rsid w:val="000022EC"/>
    <w:rsid w:val="000023D7"/>
    <w:rsid w:val="000027AB"/>
    <w:rsid w:val="00002821"/>
    <w:rsid w:val="00002AC2"/>
    <w:rsid w:val="00002CB1"/>
    <w:rsid w:val="00002F1F"/>
    <w:rsid w:val="00002FBB"/>
    <w:rsid w:val="000030A1"/>
    <w:rsid w:val="000031B0"/>
    <w:rsid w:val="0000321D"/>
    <w:rsid w:val="00003250"/>
    <w:rsid w:val="00003278"/>
    <w:rsid w:val="000032A5"/>
    <w:rsid w:val="00003418"/>
    <w:rsid w:val="0000349F"/>
    <w:rsid w:val="0000353C"/>
    <w:rsid w:val="000035B4"/>
    <w:rsid w:val="0000361C"/>
    <w:rsid w:val="00003974"/>
    <w:rsid w:val="0000397B"/>
    <w:rsid w:val="00003998"/>
    <w:rsid w:val="00003A48"/>
    <w:rsid w:val="00003BF7"/>
    <w:rsid w:val="00003CC4"/>
    <w:rsid w:val="00003D68"/>
    <w:rsid w:val="00003F05"/>
    <w:rsid w:val="000040A9"/>
    <w:rsid w:val="00004141"/>
    <w:rsid w:val="0000418F"/>
    <w:rsid w:val="00004247"/>
    <w:rsid w:val="0000453F"/>
    <w:rsid w:val="00004679"/>
    <w:rsid w:val="0000474F"/>
    <w:rsid w:val="000047DB"/>
    <w:rsid w:val="000048C3"/>
    <w:rsid w:val="000048E9"/>
    <w:rsid w:val="000048FA"/>
    <w:rsid w:val="00004A63"/>
    <w:rsid w:val="00004BE2"/>
    <w:rsid w:val="00004C43"/>
    <w:rsid w:val="00004CDC"/>
    <w:rsid w:val="00004E02"/>
    <w:rsid w:val="00004EB1"/>
    <w:rsid w:val="000051F0"/>
    <w:rsid w:val="000052AE"/>
    <w:rsid w:val="00005477"/>
    <w:rsid w:val="00005624"/>
    <w:rsid w:val="0000562E"/>
    <w:rsid w:val="0000581D"/>
    <w:rsid w:val="000059B6"/>
    <w:rsid w:val="000059CB"/>
    <w:rsid w:val="000059E2"/>
    <w:rsid w:val="00005B3D"/>
    <w:rsid w:val="00005BDB"/>
    <w:rsid w:val="00005C8F"/>
    <w:rsid w:val="00005D89"/>
    <w:rsid w:val="0000614C"/>
    <w:rsid w:val="0000634F"/>
    <w:rsid w:val="00006558"/>
    <w:rsid w:val="000065D4"/>
    <w:rsid w:val="000067E1"/>
    <w:rsid w:val="00006833"/>
    <w:rsid w:val="000068EB"/>
    <w:rsid w:val="000069D5"/>
    <w:rsid w:val="00006A44"/>
    <w:rsid w:val="00006AA9"/>
    <w:rsid w:val="00006DBC"/>
    <w:rsid w:val="00006EFF"/>
    <w:rsid w:val="00006FC0"/>
    <w:rsid w:val="00006FD1"/>
    <w:rsid w:val="000071E9"/>
    <w:rsid w:val="0000746C"/>
    <w:rsid w:val="00007685"/>
    <w:rsid w:val="000077D9"/>
    <w:rsid w:val="00007864"/>
    <w:rsid w:val="000078F5"/>
    <w:rsid w:val="000079B4"/>
    <w:rsid w:val="000079DE"/>
    <w:rsid w:val="000079EC"/>
    <w:rsid w:val="00007B61"/>
    <w:rsid w:val="00007B97"/>
    <w:rsid w:val="00007D2F"/>
    <w:rsid w:val="00007DB1"/>
    <w:rsid w:val="00007DB5"/>
    <w:rsid w:val="00007DD9"/>
    <w:rsid w:val="00007F12"/>
    <w:rsid w:val="00010050"/>
    <w:rsid w:val="000100BE"/>
    <w:rsid w:val="000100F5"/>
    <w:rsid w:val="00010442"/>
    <w:rsid w:val="0001044E"/>
    <w:rsid w:val="000105AB"/>
    <w:rsid w:val="000106E3"/>
    <w:rsid w:val="00010880"/>
    <w:rsid w:val="0001094A"/>
    <w:rsid w:val="00010A41"/>
    <w:rsid w:val="00010A63"/>
    <w:rsid w:val="00010B05"/>
    <w:rsid w:val="00010B36"/>
    <w:rsid w:val="00010BF7"/>
    <w:rsid w:val="00010C74"/>
    <w:rsid w:val="00010DEA"/>
    <w:rsid w:val="00010E10"/>
    <w:rsid w:val="00010E23"/>
    <w:rsid w:val="00010F73"/>
    <w:rsid w:val="00010FCB"/>
    <w:rsid w:val="000112B1"/>
    <w:rsid w:val="00011432"/>
    <w:rsid w:val="000114BA"/>
    <w:rsid w:val="0001155E"/>
    <w:rsid w:val="00011587"/>
    <w:rsid w:val="00011611"/>
    <w:rsid w:val="000118B4"/>
    <w:rsid w:val="00011BAB"/>
    <w:rsid w:val="00011D13"/>
    <w:rsid w:val="00011EB0"/>
    <w:rsid w:val="00011EBD"/>
    <w:rsid w:val="0001202C"/>
    <w:rsid w:val="00012181"/>
    <w:rsid w:val="0001218B"/>
    <w:rsid w:val="00012207"/>
    <w:rsid w:val="00012218"/>
    <w:rsid w:val="000122D6"/>
    <w:rsid w:val="00012314"/>
    <w:rsid w:val="00012519"/>
    <w:rsid w:val="000129F5"/>
    <w:rsid w:val="00012AC1"/>
    <w:rsid w:val="00012D1E"/>
    <w:rsid w:val="00012DE0"/>
    <w:rsid w:val="00012F2D"/>
    <w:rsid w:val="00013086"/>
    <w:rsid w:val="000132D1"/>
    <w:rsid w:val="0001335B"/>
    <w:rsid w:val="00013409"/>
    <w:rsid w:val="000134DF"/>
    <w:rsid w:val="00013536"/>
    <w:rsid w:val="00013573"/>
    <w:rsid w:val="000138F4"/>
    <w:rsid w:val="00013967"/>
    <w:rsid w:val="000139A4"/>
    <w:rsid w:val="00013B97"/>
    <w:rsid w:val="00013BA6"/>
    <w:rsid w:val="00013CD4"/>
    <w:rsid w:val="00013CDE"/>
    <w:rsid w:val="00013F77"/>
    <w:rsid w:val="00014130"/>
    <w:rsid w:val="00014278"/>
    <w:rsid w:val="00014297"/>
    <w:rsid w:val="00014356"/>
    <w:rsid w:val="000143C1"/>
    <w:rsid w:val="00014499"/>
    <w:rsid w:val="00014539"/>
    <w:rsid w:val="00014591"/>
    <w:rsid w:val="000145CE"/>
    <w:rsid w:val="00014617"/>
    <w:rsid w:val="00014819"/>
    <w:rsid w:val="00014876"/>
    <w:rsid w:val="00014914"/>
    <w:rsid w:val="00014945"/>
    <w:rsid w:val="00014BC9"/>
    <w:rsid w:val="00014C61"/>
    <w:rsid w:val="00014CE0"/>
    <w:rsid w:val="00014ED6"/>
    <w:rsid w:val="00014FA1"/>
    <w:rsid w:val="00015096"/>
    <w:rsid w:val="000150B8"/>
    <w:rsid w:val="00015102"/>
    <w:rsid w:val="000151A1"/>
    <w:rsid w:val="0001522C"/>
    <w:rsid w:val="00015357"/>
    <w:rsid w:val="00015472"/>
    <w:rsid w:val="00015637"/>
    <w:rsid w:val="0001566B"/>
    <w:rsid w:val="00015769"/>
    <w:rsid w:val="0001579E"/>
    <w:rsid w:val="000157FB"/>
    <w:rsid w:val="0001586E"/>
    <w:rsid w:val="00015ACC"/>
    <w:rsid w:val="00015D09"/>
    <w:rsid w:val="00015EBA"/>
    <w:rsid w:val="00015F9B"/>
    <w:rsid w:val="000160BE"/>
    <w:rsid w:val="000160F0"/>
    <w:rsid w:val="0001613D"/>
    <w:rsid w:val="00016185"/>
    <w:rsid w:val="000162F8"/>
    <w:rsid w:val="0001638C"/>
    <w:rsid w:val="000163E2"/>
    <w:rsid w:val="00016435"/>
    <w:rsid w:val="00016493"/>
    <w:rsid w:val="000164FC"/>
    <w:rsid w:val="0001651B"/>
    <w:rsid w:val="0001657C"/>
    <w:rsid w:val="0001660D"/>
    <w:rsid w:val="000166AA"/>
    <w:rsid w:val="000166CE"/>
    <w:rsid w:val="00016846"/>
    <w:rsid w:val="00016884"/>
    <w:rsid w:val="00016945"/>
    <w:rsid w:val="000169FB"/>
    <w:rsid w:val="00016A01"/>
    <w:rsid w:val="00016A89"/>
    <w:rsid w:val="00016B16"/>
    <w:rsid w:val="00016BB0"/>
    <w:rsid w:val="00016C51"/>
    <w:rsid w:val="00016C5C"/>
    <w:rsid w:val="00016F2D"/>
    <w:rsid w:val="0001706A"/>
    <w:rsid w:val="000170D9"/>
    <w:rsid w:val="000170F3"/>
    <w:rsid w:val="000171A9"/>
    <w:rsid w:val="0001726D"/>
    <w:rsid w:val="000172FE"/>
    <w:rsid w:val="0001754D"/>
    <w:rsid w:val="000176F1"/>
    <w:rsid w:val="000177EF"/>
    <w:rsid w:val="00017943"/>
    <w:rsid w:val="00017C93"/>
    <w:rsid w:val="00017D23"/>
    <w:rsid w:val="00017D25"/>
    <w:rsid w:val="00017E1A"/>
    <w:rsid w:val="00017E59"/>
    <w:rsid w:val="00017E6E"/>
    <w:rsid w:val="00017F76"/>
    <w:rsid w:val="0002006E"/>
    <w:rsid w:val="00020079"/>
    <w:rsid w:val="000203F3"/>
    <w:rsid w:val="0002048E"/>
    <w:rsid w:val="000204AF"/>
    <w:rsid w:val="0002061C"/>
    <w:rsid w:val="000207DA"/>
    <w:rsid w:val="00020883"/>
    <w:rsid w:val="000208C8"/>
    <w:rsid w:val="000208F3"/>
    <w:rsid w:val="00020A49"/>
    <w:rsid w:val="00020BE5"/>
    <w:rsid w:val="00020C64"/>
    <w:rsid w:val="00020D2A"/>
    <w:rsid w:val="00020E8E"/>
    <w:rsid w:val="000210D1"/>
    <w:rsid w:val="0002116A"/>
    <w:rsid w:val="000211D1"/>
    <w:rsid w:val="0002122E"/>
    <w:rsid w:val="00021594"/>
    <w:rsid w:val="000215B2"/>
    <w:rsid w:val="0002160E"/>
    <w:rsid w:val="00021695"/>
    <w:rsid w:val="000216CD"/>
    <w:rsid w:val="000217B5"/>
    <w:rsid w:val="00021B04"/>
    <w:rsid w:val="00021B90"/>
    <w:rsid w:val="00021BA7"/>
    <w:rsid w:val="00021C0F"/>
    <w:rsid w:val="00021D38"/>
    <w:rsid w:val="00021DE0"/>
    <w:rsid w:val="00021EDC"/>
    <w:rsid w:val="00021F5F"/>
    <w:rsid w:val="00021FA6"/>
    <w:rsid w:val="0002207A"/>
    <w:rsid w:val="000220CA"/>
    <w:rsid w:val="00022180"/>
    <w:rsid w:val="00022333"/>
    <w:rsid w:val="00022344"/>
    <w:rsid w:val="0002259D"/>
    <w:rsid w:val="000227A6"/>
    <w:rsid w:val="000228D4"/>
    <w:rsid w:val="000228EB"/>
    <w:rsid w:val="0002299F"/>
    <w:rsid w:val="00022B1A"/>
    <w:rsid w:val="00022B2A"/>
    <w:rsid w:val="00022CD1"/>
    <w:rsid w:val="00023178"/>
    <w:rsid w:val="000231C3"/>
    <w:rsid w:val="000231D3"/>
    <w:rsid w:val="00023212"/>
    <w:rsid w:val="00023262"/>
    <w:rsid w:val="0002332C"/>
    <w:rsid w:val="000233A7"/>
    <w:rsid w:val="00023543"/>
    <w:rsid w:val="0002354E"/>
    <w:rsid w:val="0002358B"/>
    <w:rsid w:val="000235F2"/>
    <w:rsid w:val="00023680"/>
    <w:rsid w:val="000236F2"/>
    <w:rsid w:val="00023714"/>
    <w:rsid w:val="00023756"/>
    <w:rsid w:val="0002394D"/>
    <w:rsid w:val="00023DBD"/>
    <w:rsid w:val="00023E50"/>
    <w:rsid w:val="0002407D"/>
    <w:rsid w:val="0002428B"/>
    <w:rsid w:val="000242DC"/>
    <w:rsid w:val="00024350"/>
    <w:rsid w:val="000244AC"/>
    <w:rsid w:val="000244DF"/>
    <w:rsid w:val="00024551"/>
    <w:rsid w:val="000245FB"/>
    <w:rsid w:val="00024601"/>
    <w:rsid w:val="00024602"/>
    <w:rsid w:val="0002464B"/>
    <w:rsid w:val="000247E7"/>
    <w:rsid w:val="00024804"/>
    <w:rsid w:val="0002480A"/>
    <w:rsid w:val="00024A08"/>
    <w:rsid w:val="00024A49"/>
    <w:rsid w:val="00024B44"/>
    <w:rsid w:val="00024B52"/>
    <w:rsid w:val="00024BA4"/>
    <w:rsid w:val="00024BBC"/>
    <w:rsid w:val="00024C41"/>
    <w:rsid w:val="00024D97"/>
    <w:rsid w:val="00024EF3"/>
    <w:rsid w:val="00024F0B"/>
    <w:rsid w:val="00024F82"/>
    <w:rsid w:val="00025112"/>
    <w:rsid w:val="000255BF"/>
    <w:rsid w:val="00025680"/>
    <w:rsid w:val="00025770"/>
    <w:rsid w:val="00025969"/>
    <w:rsid w:val="00025CFC"/>
    <w:rsid w:val="00025EA1"/>
    <w:rsid w:val="00025F7E"/>
    <w:rsid w:val="0002610E"/>
    <w:rsid w:val="0002620E"/>
    <w:rsid w:val="0002621A"/>
    <w:rsid w:val="00026231"/>
    <w:rsid w:val="00026396"/>
    <w:rsid w:val="00026435"/>
    <w:rsid w:val="0002683F"/>
    <w:rsid w:val="0002684F"/>
    <w:rsid w:val="0002688D"/>
    <w:rsid w:val="00026985"/>
    <w:rsid w:val="000269B1"/>
    <w:rsid w:val="00026AF7"/>
    <w:rsid w:val="00026C74"/>
    <w:rsid w:val="00026D5D"/>
    <w:rsid w:val="00027018"/>
    <w:rsid w:val="000270C4"/>
    <w:rsid w:val="00027117"/>
    <w:rsid w:val="00027132"/>
    <w:rsid w:val="00027177"/>
    <w:rsid w:val="000272E2"/>
    <w:rsid w:val="000272F1"/>
    <w:rsid w:val="00027411"/>
    <w:rsid w:val="0002744E"/>
    <w:rsid w:val="00027463"/>
    <w:rsid w:val="000274AE"/>
    <w:rsid w:val="000274E5"/>
    <w:rsid w:val="00027504"/>
    <w:rsid w:val="0002757E"/>
    <w:rsid w:val="00027601"/>
    <w:rsid w:val="0002760B"/>
    <w:rsid w:val="00027727"/>
    <w:rsid w:val="00027881"/>
    <w:rsid w:val="00027965"/>
    <w:rsid w:val="00027C24"/>
    <w:rsid w:val="00027E17"/>
    <w:rsid w:val="00027E2D"/>
    <w:rsid w:val="00027E37"/>
    <w:rsid w:val="00027F16"/>
    <w:rsid w:val="00027F72"/>
    <w:rsid w:val="00030255"/>
    <w:rsid w:val="000302F2"/>
    <w:rsid w:val="00030367"/>
    <w:rsid w:val="00030394"/>
    <w:rsid w:val="000303E3"/>
    <w:rsid w:val="000304BC"/>
    <w:rsid w:val="000304C0"/>
    <w:rsid w:val="00030530"/>
    <w:rsid w:val="000305D0"/>
    <w:rsid w:val="000305E0"/>
    <w:rsid w:val="000307C1"/>
    <w:rsid w:val="000308A0"/>
    <w:rsid w:val="000308B3"/>
    <w:rsid w:val="000308F1"/>
    <w:rsid w:val="0003091E"/>
    <w:rsid w:val="00030A89"/>
    <w:rsid w:val="00030BE7"/>
    <w:rsid w:val="00030C89"/>
    <w:rsid w:val="00030C97"/>
    <w:rsid w:val="00030DB9"/>
    <w:rsid w:val="00030DCC"/>
    <w:rsid w:val="00030E02"/>
    <w:rsid w:val="00030EDD"/>
    <w:rsid w:val="00030FCD"/>
    <w:rsid w:val="000310E9"/>
    <w:rsid w:val="0003118B"/>
    <w:rsid w:val="0003120F"/>
    <w:rsid w:val="00031215"/>
    <w:rsid w:val="0003136C"/>
    <w:rsid w:val="00031666"/>
    <w:rsid w:val="00031843"/>
    <w:rsid w:val="00031BF3"/>
    <w:rsid w:val="00031C85"/>
    <w:rsid w:val="00031DBB"/>
    <w:rsid w:val="00031E85"/>
    <w:rsid w:val="00031E93"/>
    <w:rsid w:val="00031EFF"/>
    <w:rsid w:val="00031F80"/>
    <w:rsid w:val="00031FAC"/>
    <w:rsid w:val="000320E3"/>
    <w:rsid w:val="00032369"/>
    <w:rsid w:val="00032463"/>
    <w:rsid w:val="0003248A"/>
    <w:rsid w:val="000324BC"/>
    <w:rsid w:val="00032505"/>
    <w:rsid w:val="00032816"/>
    <w:rsid w:val="000328E7"/>
    <w:rsid w:val="00032D2E"/>
    <w:rsid w:val="00032E16"/>
    <w:rsid w:val="00033043"/>
    <w:rsid w:val="0003315B"/>
    <w:rsid w:val="000331B7"/>
    <w:rsid w:val="0003324F"/>
    <w:rsid w:val="000332C9"/>
    <w:rsid w:val="00033409"/>
    <w:rsid w:val="00033485"/>
    <w:rsid w:val="000335AA"/>
    <w:rsid w:val="0003378F"/>
    <w:rsid w:val="0003379C"/>
    <w:rsid w:val="0003385F"/>
    <w:rsid w:val="00033894"/>
    <w:rsid w:val="00033C07"/>
    <w:rsid w:val="00033C62"/>
    <w:rsid w:val="00033CE8"/>
    <w:rsid w:val="00033D48"/>
    <w:rsid w:val="00033DA4"/>
    <w:rsid w:val="00033F24"/>
    <w:rsid w:val="00033F75"/>
    <w:rsid w:val="000340BF"/>
    <w:rsid w:val="000340F3"/>
    <w:rsid w:val="00034196"/>
    <w:rsid w:val="00034252"/>
    <w:rsid w:val="00034312"/>
    <w:rsid w:val="00034317"/>
    <w:rsid w:val="0003434E"/>
    <w:rsid w:val="0003460D"/>
    <w:rsid w:val="00034747"/>
    <w:rsid w:val="00034836"/>
    <w:rsid w:val="000349F4"/>
    <w:rsid w:val="00034B0E"/>
    <w:rsid w:val="00034BDE"/>
    <w:rsid w:val="00034CCF"/>
    <w:rsid w:val="00034DE8"/>
    <w:rsid w:val="00034E06"/>
    <w:rsid w:val="00034E23"/>
    <w:rsid w:val="00034E60"/>
    <w:rsid w:val="00035038"/>
    <w:rsid w:val="00035099"/>
    <w:rsid w:val="00035173"/>
    <w:rsid w:val="0003520F"/>
    <w:rsid w:val="00035272"/>
    <w:rsid w:val="000352CB"/>
    <w:rsid w:val="000352E1"/>
    <w:rsid w:val="00035492"/>
    <w:rsid w:val="000354CA"/>
    <w:rsid w:val="00035575"/>
    <w:rsid w:val="000355C8"/>
    <w:rsid w:val="000356FD"/>
    <w:rsid w:val="0003579B"/>
    <w:rsid w:val="00035863"/>
    <w:rsid w:val="00035929"/>
    <w:rsid w:val="000359B3"/>
    <w:rsid w:val="00035A71"/>
    <w:rsid w:val="00035BC3"/>
    <w:rsid w:val="00035BCD"/>
    <w:rsid w:val="00035D1D"/>
    <w:rsid w:val="00035D77"/>
    <w:rsid w:val="00035EE2"/>
    <w:rsid w:val="00035F60"/>
    <w:rsid w:val="00036038"/>
    <w:rsid w:val="0003616C"/>
    <w:rsid w:val="0003619F"/>
    <w:rsid w:val="00036333"/>
    <w:rsid w:val="000364DC"/>
    <w:rsid w:val="000364F7"/>
    <w:rsid w:val="000365F3"/>
    <w:rsid w:val="0003660C"/>
    <w:rsid w:val="000366A6"/>
    <w:rsid w:val="000366E5"/>
    <w:rsid w:val="00036707"/>
    <w:rsid w:val="00036770"/>
    <w:rsid w:val="00036781"/>
    <w:rsid w:val="000369B8"/>
    <w:rsid w:val="00036A14"/>
    <w:rsid w:val="00036A70"/>
    <w:rsid w:val="00036C96"/>
    <w:rsid w:val="00036D12"/>
    <w:rsid w:val="00036D42"/>
    <w:rsid w:val="00036D9D"/>
    <w:rsid w:val="0003718B"/>
    <w:rsid w:val="000371F7"/>
    <w:rsid w:val="00037400"/>
    <w:rsid w:val="0003740C"/>
    <w:rsid w:val="00037535"/>
    <w:rsid w:val="00037736"/>
    <w:rsid w:val="00037754"/>
    <w:rsid w:val="00037857"/>
    <w:rsid w:val="00037A50"/>
    <w:rsid w:val="00037D7A"/>
    <w:rsid w:val="00040031"/>
    <w:rsid w:val="000400C9"/>
    <w:rsid w:val="000401E6"/>
    <w:rsid w:val="000402ED"/>
    <w:rsid w:val="00040319"/>
    <w:rsid w:val="0004054F"/>
    <w:rsid w:val="00040607"/>
    <w:rsid w:val="00040630"/>
    <w:rsid w:val="0004068E"/>
    <w:rsid w:val="00040793"/>
    <w:rsid w:val="00040A06"/>
    <w:rsid w:val="00040B0E"/>
    <w:rsid w:val="00040D5A"/>
    <w:rsid w:val="00040D9C"/>
    <w:rsid w:val="00040DEB"/>
    <w:rsid w:val="00040F32"/>
    <w:rsid w:val="00040F37"/>
    <w:rsid w:val="0004102A"/>
    <w:rsid w:val="000410D8"/>
    <w:rsid w:val="00041146"/>
    <w:rsid w:val="000412D4"/>
    <w:rsid w:val="00041303"/>
    <w:rsid w:val="00041311"/>
    <w:rsid w:val="000413FD"/>
    <w:rsid w:val="000415D3"/>
    <w:rsid w:val="0004177F"/>
    <w:rsid w:val="00041815"/>
    <w:rsid w:val="00041848"/>
    <w:rsid w:val="00041919"/>
    <w:rsid w:val="000419A6"/>
    <w:rsid w:val="00041B5B"/>
    <w:rsid w:val="00041C67"/>
    <w:rsid w:val="00041C83"/>
    <w:rsid w:val="00041CCF"/>
    <w:rsid w:val="00041D2C"/>
    <w:rsid w:val="00041D80"/>
    <w:rsid w:val="00041DDD"/>
    <w:rsid w:val="00041FEC"/>
    <w:rsid w:val="00042012"/>
    <w:rsid w:val="0004210D"/>
    <w:rsid w:val="0004246C"/>
    <w:rsid w:val="00042532"/>
    <w:rsid w:val="00042599"/>
    <w:rsid w:val="0004260B"/>
    <w:rsid w:val="0004262B"/>
    <w:rsid w:val="000426A1"/>
    <w:rsid w:val="000426D6"/>
    <w:rsid w:val="000426E7"/>
    <w:rsid w:val="00042780"/>
    <w:rsid w:val="0004294A"/>
    <w:rsid w:val="00042A39"/>
    <w:rsid w:val="00042AD3"/>
    <w:rsid w:val="00042B40"/>
    <w:rsid w:val="00042C99"/>
    <w:rsid w:val="00042ED3"/>
    <w:rsid w:val="00043116"/>
    <w:rsid w:val="00043254"/>
    <w:rsid w:val="0004325B"/>
    <w:rsid w:val="0004325F"/>
    <w:rsid w:val="000433CE"/>
    <w:rsid w:val="000434C3"/>
    <w:rsid w:val="0004368A"/>
    <w:rsid w:val="00043755"/>
    <w:rsid w:val="0004395F"/>
    <w:rsid w:val="00043980"/>
    <w:rsid w:val="00043ABA"/>
    <w:rsid w:val="00043BED"/>
    <w:rsid w:val="00043CC2"/>
    <w:rsid w:val="00043D21"/>
    <w:rsid w:val="00043E74"/>
    <w:rsid w:val="00043F57"/>
    <w:rsid w:val="00043FCC"/>
    <w:rsid w:val="00043FD4"/>
    <w:rsid w:val="00044060"/>
    <w:rsid w:val="000440D2"/>
    <w:rsid w:val="00044185"/>
    <w:rsid w:val="00044226"/>
    <w:rsid w:val="00044494"/>
    <w:rsid w:val="000444C9"/>
    <w:rsid w:val="0004460F"/>
    <w:rsid w:val="0004462E"/>
    <w:rsid w:val="000448EA"/>
    <w:rsid w:val="0004496C"/>
    <w:rsid w:val="000449CA"/>
    <w:rsid w:val="00044CE4"/>
    <w:rsid w:val="00044E37"/>
    <w:rsid w:val="00044E4A"/>
    <w:rsid w:val="00044EA6"/>
    <w:rsid w:val="00044ED5"/>
    <w:rsid w:val="00044F4B"/>
    <w:rsid w:val="00044FCF"/>
    <w:rsid w:val="00045006"/>
    <w:rsid w:val="0004510F"/>
    <w:rsid w:val="000451DB"/>
    <w:rsid w:val="000452C7"/>
    <w:rsid w:val="000452DB"/>
    <w:rsid w:val="0004531D"/>
    <w:rsid w:val="000453C5"/>
    <w:rsid w:val="00045463"/>
    <w:rsid w:val="00045480"/>
    <w:rsid w:val="00045530"/>
    <w:rsid w:val="0004558D"/>
    <w:rsid w:val="0004561E"/>
    <w:rsid w:val="000457B2"/>
    <w:rsid w:val="00045854"/>
    <w:rsid w:val="0004586C"/>
    <w:rsid w:val="00045954"/>
    <w:rsid w:val="00045971"/>
    <w:rsid w:val="000459B1"/>
    <w:rsid w:val="00045A50"/>
    <w:rsid w:val="00045B35"/>
    <w:rsid w:val="00045B89"/>
    <w:rsid w:val="00045B8F"/>
    <w:rsid w:val="00045E8B"/>
    <w:rsid w:val="00045ED9"/>
    <w:rsid w:val="00046139"/>
    <w:rsid w:val="00046141"/>
    <w:rsid w:val="0004616B"/>
    <w:rsid w:val="000462B3"/>
    <w:rsid w:val="00046550"/>
    <w:rsid w:val="00046618"/>
    <w:rsid w:val="0004671B"/>
    <w:rsid w:val="0004675A"/>
    <w:rsid w:val="00046828"/>
    <w:rsid w:val="0004682F"/>
    <w:rsid w:val="000468ED"/>
    <w:rsid w:val="00046977"/>
    <w:rsid w:val="00046A3D"/>
    <w:rsid w:val="00046B02"/>
    <w:rsid w:val="00046B51"/>
    <w:rsid w:val="00046C17"/>
    <w:rsid w:val="00046C21"/>
    <w:rsid w:val="00046F34"/>
    <w:rsid w:val="00046F76"/>
    <w:rsid w:val="00047051"/>
    <w:rsid w:val="00047093"/>
    <w:rsid w:val="000470AD"/>
    <w:rsid w:val="00047198"/>
    <w:rsid w:val="0004724C"/>
    <w:rsid w:val="000473EE"/>
    <w:rsid w:val="000478E5"/>
    <w:rsid w:val="00047A69"/>
    <w:rsid w:val="00047B30"/>
    <w:rsid w:val="00047BA2"/>
    <w:rsid w:val="00047C49"/>
    <w:rsid w:val="00047D41"/>
    <w:rsid w:val="00047E4E"/>
    <w:rsid w:val="00050096"/>
    <w:rsid w:val="000501D0"/>
    <w:rsid w:val="0005021B"/>
    <w:rsid w:val="00050350"/>
    <w:rsid w:val="0005051F"/>
    <w:rsid w:val="00050632"/>
    <w:rsid w:val="0005075F"/>
    <w:rsid w:val="0005082A"/>
    <w:rsid w:val="0005084B"/>
    <w:rsid w:val="000508DA"/>
    <w:rsid w:val="00050E02"/>
    <w:rsid w:val="00051328"/>
    <w:rsid w:val="00051429"/>
    <w:rsid w:val="000514F2"/>
    <w:rsid w:val="0005155F"/>
    <w:rsid w:val="0005156B"/>
    <w:rsid w:val="0005158A"/>
    <w:rsid w:val="000515DE"/>
    <w:rsid w:val="0005163B"/>
    <w:rsid w:val="0005165C"/>
    <w:rsid w:val="00051737"/>
    <w:rsid w:val="00051759"/>
    <w:rsid w:val="000518BD"/>
    <w:rsid w:val="00051AA8"/>
    <w:rsid w:val="00051BFB"/>
    <w:rsid w:val="00051C61"/>
    <w:rsid w:val="00051F00"/>
    <w:rsid w:val="00052093"/>
    <w:rsid w:val="00052102"/>
    <w:rsid w:val="000521A4"/>
    <w:rsid w:val="00052249"/>
    <w:rsid w:val="00052284"/>
    <w:rsid w:val="000522B0"/>
    <w:rsid w:val="00052343"/>
    <w:rsid w:val="0005237F"/>
    <w:rsid w:val="00052427"/>
    <w:rsid w:val="000524C9"/>
    <w:rsid w:val="00052514"/>
    <w:rsid w:val="0005257F"/>
    <w:rsid w:val="0005265B"/>
    <w:rsid w:val="000526AC"/>
    <w:rsid w:val="00052806"/>
    <w:rsid w:val="0005284D"/>
    <w:rsid w:val="0005285D"/>
    <w:rsid w:val="00052887"/>
    <w:rsid w:val="00052AAF"/>
    <w:rsid w:val="00052C47"/>
    <w:rsid w:val="00052C5C"/>
    <w:rsid w:val="00052D59"/>
    <w:rsid w:val="00053087"/>
    <w:rsid w:val="0005311D"/>
    <w:rsid w:val="0005348A"/>
    <w:rsid w:val="000534BE"/>
    <w:rsid w:val="0005350B"/>
    <w:rsid w:val="00053593"/>
    <w:rsid w:val="0005363B"/>
    <w:rsid w:val="00053779"/>
    <w:rsid w:val="00053801"/>
    <w:rsid w:val="00053905"/>
    <w:rsid w:val="0005394A"/>
    <w:rsid w:val="00053A14"/>
    <w:rsid w:val="00053AE0"/>
    <w:rsid w:val="00053B6C"/>
    <w:rsid w:val="00053D08"/>
    <w:rsid w:val="00053D36"/>
    <w:rsid w:val="00053EC9"/>
    <w:rsid w:val="000540E1"/>
    <w:rsid w:val="000541BD"/>
    <w:rsid w:val="00054371"/>
    <w:rsid w:val="000544ED"/>
    <w:rsid w:val="0005468A"/>
    <w:rsid w:val="0005472E"/>
    <w:rsid w:val="00054736"/>
    <w:rsid w:val="0005473A"/>
    <w:rsid w:val="0005483C"/>
    <w:rsid w:val="00054865"/>
    <w:rsid w:val="000548BF"/>
    <w:rsid w:val="00054ACE"/>
    <w:rsid w:val="00054B88"/>
    <w:rsid w:val="00054D3E"/>
    <w:rsid w:val="00054D9F"/>
    <w:rsid w:val="00054DFA"/>
    <w:rsid w:val="00054F3D"/>
    <w:rsid w:val="00054F89"/>
    <w:rsid w:val="00054FFD"/>
    <w:rsid w:val="000551BB"/>
    <w:rsid w:val="000551D5"/>
    <w:rsid w:val="00055229"/>
    <w:rsid w:val="00055271"/>
    <w:rsid w:val="00055386"/>
    <w:rsid w:val="0005538B"/>
    <w:rsid w:val="0005554B"/>
    <w:rsid w:val="0005555B"/>
    <w:rsid w:val="00055600"/>
    <w:rsid w:val="00055726"/>
    <w:rsid w:val="0005584D"/>
    <w:rsid w:val="00055B29"/>
    <w:rsid w:val="00055BF4"/>
    <w:rsid w:val="00055C67"/>
    <w:rsid w:val="00055DC1"/>
    <w:rsid w:val="00055DF6"/>
    <w:rsid w:val="00055F48"/>
    <w:rsid w:val="000560BD"/>
    <w:rsid w:val="00056155"/>
    <w:rsid w:val="000563F4"/>
    <w:rsid w:val="0005665E"/>
    <w:rsid w:val="0005669D"/>
    <w:rsid w:val="000566C0"/>
    <w:rsid w:val="000566E8"/>
    <w:rsid w:val="00056727"/>
    <w:rsid w:val="0005682A"/>
    <w:rsid w:val="000568A8"/>
    <w:rsid w:val="00056AAC"/>
    <w:rsid w:val="00056B67"/>
    <w:rsid w:val="00056D25"/>
    <w:rsid w:val="00056D33"/>
    <w:rsid w:val="00056F02"/>
    <w:rsid w:val="00056FBB"/>
    <w:rsid w:val="0005707F"/>
    <w:rsid w:val="0005713C"/>
    <w:rsid w:val="000571C7"/>
    <w:rsid w:val="00057503"/>
    <w:rsid w:val="00057784"/>
    <w:rsid w:val="00057828"/>
    <w:rsid w:val="000579CA"/>
    <w:rsid w:val="00057C03"/>
    <w:rsid w:val="00057C15"/>
    <w:rsid w:val="00057E7B"/>
    <w:rsid w:val="00057FB9"/>
    <w:rsid w:val="0006008C"/>
    <w:rsid w:val="000600C2"/>
    <w:rsid w:val="000601D7"/>
    <w:rsid w:val="000602BC"/>
    <w:rsid w:val="00060354"/>
    <w:rsid w:val="00060435"/>
    <w:rsid w:val="00060561"/>
    <w:rsid w:val="00060601"/>
    <w:rsid w:val="00060876"/>
    <w:rsid w:val="000609A1"/>
    <w:rsid w:val="00060A5C"/>
    <w:rsid w:val="00060B4A"/>
    <w:rsid w:val="00060B61"/>
    <w:rsid w:val="00060BBC"/>
    <w:rsid w:val="00060FD1"/>
    <w:rsid w:val="00061008"/>
    <w:rsid w:val="00061025"/>
    <w:rsid w:val="00061045"/>
    <w:rsid w:val="00061069"/>
    <w:rsid w:val="00061113"/>
    <w:rsid w:val="000611D3"/>
    <w:rsid w:val="000612DE"/>
    <w:rsid w:val="00061549"/>
    <w:rsid w:val="00061616"/>
    <w:rsid w:val="000617ED"/>
    <w:rsid w:val="0006189A"/>
    <w:rsid w:val="00061AE3"/>
    <w:rsid w:val="00061B2F"/>
    <w:rsid w:val="00061C25"/>
    <w:rsid w:val="00061D49"/>
    <w:rsid w:val="00061D5F"/>
    <w:rsid w:val="00061D89"/>
    <w:rsid w:val="00061DF1"/>
    <w:rsid w:val="00061E5A"/>
    <w:rsid w:val="00061EFC"/>
    <w:rsid w:val="00062126"/>
    <w:rsid w:val="00062171"/>
    <w:rsid w:val="000621D7"/>
    <w:rsid w:val="00062206"/>
    <w:rsid w:val="000622BE"/>
    <w:rsid w:val="000622C8"/>
    <w:rsid w:val="00062311"/>
    <w:rsid w:val="00062431"/>
    <w:rsid w:val="0006243A"/>
    <w:rsid w:val="0006243B"/>
    <w:rsid w:val="0006258B"/>
    <w:rsid w:val="000626C1"/>
    <w:rsid w:val="000626F3"/>
    <w:rsid w:val="00062727"/>
    <w:rsid w:val="000628F7"/>
    <w:rsid w:val="00062908"/>
    <w:rsid w:val="00062A7F"/>
    <w:rsid w:val="00062BCC"/>
    <w:rsid w:val="00062C34"/>
    <w:rsid w:val="00062E02"/>
    <w:rsid w:val="00062F99"/>
    <w:rsid w:val="0006323A"/>
    <w:rsid w:val="000632FC"/>
    <w:rsid w:val="00063483"/>
    <w:rsid w:val="000635EF"/>
    <w:rsid w:val="0006366B"/>
    <w:rsid w:val="000636E3"/>
    <w:rsid w:val="00063704"/>
    <w:rsid w:val="00063798"/>
    <w:rsid w:val="000637EE"/>
    <w:rsid w:val="0006392D"/>
    <w:rsid w:val="00063943"/>
    <w:rsid w:val="000639CF"/>
    <w:rsid w:val="00063A11"/>
    <w:rsid w:val="00063ADD"/>
    <w:rsid w:val="00063B4E"/>
    <w:rsid w:val="00063CF0"/>
    <w:rsid w:val="00063D92"/>
    <w:rsid w:val="00063F67"/>
    <w:rsid w:val="00063FCE"/>
    <w:rsid w:val="00063FFE"/>
    <w:rsid w:val="00064042"/>
    <w:rsid w:val="00064389"/>
    <w:rsid w:val="000643CE"/>
    <w:rsid w:val="000644FC"/>
    <w:rsid w:val="00064565"/>
    <w:rsid w:val="00064722"/>
    <w:rsid w:val="00064842"/>
    <w:rsid w:val="000649EE"/>
    <w:rsid w:val="00064ADA"/>
    <w:rsid w:val="00064B4E"/>
    <w:rsid w:val="00064BC3"/>
    <w:rsid w:val="00064BEB"/>
    <w:rsid w:val="00064C10"/>
    <w:rsid w:val="00064CE9"/>
    <w:rsid w:val="00064D61"/>
    <w:rsid w:val="00064E7E"/>
    <w:rsid w:val="00064FD5"/>
    <w:rsid w:val="00065023"/>
    <w:rsid w:val="00065094"/>
    <w:rsid w:val="000650E1"/>
    <w:rsid w:val="000651C0"/>
    <w:rsid w:val="000651CF"/>
    <w:rsid w:val="0006529B"/>
    <w:rsid w:val="000654A3"/>
    <w:rsid w:val="000655B1"/>
    <w:rsid w:val="00065626"/>
    <w:rsid w:val="0006569D"/>
    <w:rsid w:val="000656B3"/>
    <w:rsid w:val="00065809"/>
    <w:rsid w:val="00065986"/>
    <w:rsid w:val="00065B6F"/>
    <w:rsid w:val="00065B8F"/>
    <w:rsid w:val="00065C12"/>
    <w:rsid w:val="00065C25"/>
    <w:rsid w:val="00065D06"/>
    <w:rsid w:val="00065D20"/>
    <w:rsid w:val="00065D8E"/>
    <w:rsid w:val="00065DF6"/>
    <w:rsid w:val="00065E61"/>
    <w:rsid w:val="00065F5E"/>
    <w:rsid w:val="00065FC4"/>
    <w:rsid w:val="000661BC"/>
    <w:rsid w:val="00066789"/>
    <w:rsid w:val="00066A0E"/>
    <w:rsid w:val="00066BA3"/>
    <w:rsid w:val="00066C24"/>
    <w:rsid w:val="00066D27"/>
    <w:rsid w:val="00066D93"/>
    <w:rsid w:val="00066DE2"/>
    <w:rsid w:val="00066E74"/>
    <w:rsid w:val="00066FD9"/>
    <w:rsid w:val="0006716D"/>
    <w:rsid w:val="00067171"/>
    <w:rsid w:val="0006722E"/>
    <w:rsid w:val="0006730B"/>
    <w:rsid w:val="00067515"/>
    <w:rsid w:val="000676FA"/>
    <w:rsid w:val="000677B6"/>
    <w:rsid w:val="00067855"/>
    <w:rsid w:val="00067860"/>
    <w:rsid w:val="000679CF"/>
    <w:rsid w:val="00067A03"/>
    <w:rsid w:val="00067A98"/>
    <w:rsid w:val="00067D5C"/>
    <w:rsid w:val="00067D87"/>
    <w:rsid w:val="00067D92"/>
    <w:rsid w:val="00067DCD"/>
    <w:rsid w:val="00067E4D"/>
    <w:rsid w:val="00067E99"/>
    <w:rsid w:val="00070162"/>
    <w:rsid w:val="000701B9"/>
    <w:rsid w:val="00070381"/>
    <w:rsid w:val="000704A9"/>
    <w:rsid w:val="0007057D"/>
    <w:rsid w:val="000705F3"/>
    <w:rsid w:val="0007069C"/>
    <w:rsid w:val="000707C5"/>
    <w:rsid w:val="000707F8"/>
    <w:rsid w:val="00070857"/>
    <w:rsid w:val="000708C2"/>
    <w:rsid w:val="000708F4"/>
    <w:rsid w:val="000709E4"/>
    <w:rsid w:val="00070ADD"/>
    <w:rsid w:val="00070C4D"/>
    <w:rsid w:val="00070CD4"/>
    <w:rsid w:val="00070D51"/>
    <w:rsid w:val="00070DEA"/>
    <w:rsid w:val="000710CC"/>
    <w:rsid w:val="000710E0"/>
    <w:rsid w:val="00071144"/>
    <w:rsid w:val="00071302"/>
    <w:rsid w:val="00071367"/>
    <w:rsid w:val="000713EE"/>
    <w:rsid w:val="00071467"/>
    <w:rsid w:val="000716A4"/>
    <w:rsid w:val="0007189D"/>
    <w:rsid w:val="000718BE"/>
    <w:rsid w:val="0007195B"/>
    <w:rsid w:val="00071A0B"/>
    <w:rsid w:val="00071A49"/>
    <w:rsid w:val="00071E2F"/>
    <w:rsid w:val="00072188"/>
    <w:rsid w:val="0007220A"/>
    <w:rsid w:val="00072212"/>
    <w:rsid w:val="000724AA"/>
    <w:rsid w:val="0007253F"/>
    <w:rsid w:val="00072580"/>
    <w:rsid w:val="00072611"/>
    <w:rsid w:val="0007265B"/>
    <w:rsid w:val="0007288D"/>
    <w:rsid w:val="0007288E"/>
    <w:rsid w:val="000728B6"/>
    <w:rsid w:val="00072A2E"/>
    <w:rsid w:val="00072A74"/>
    <w:rsid w:val="00072B28"/>
    <w:rsid w:val="00072C2C"/>
    <w:rsid w:val="00072CED"/>
    <w:rsid w:val="00072D51"/>
    <w:rsid w:val="00072DDD"/>
    <w:rsid w:val="00072E00"/>
    <w:rsid w:val="00072E0E"/>
    <w:rsid w:val="00072E44"/>
    <w:rsid w:val="00073141"/>
    <w:rsid w:val="000731D1"/>
    <w:rsid w:val="000731EE"/>
    <w:rsid w:val="0007332D"/>
    <w:rsid w:val="00073676"/>
    <w:rsid w:val="00073748"/>
    <w:rsid w:val="0007387D"/>
    <w:rsid w:val="0007389D"/>
    <w:rsid w:val="0007392C"/>
    <w:rsid w:val="00073A0A"/>
    <w:rsid w:val="00073CC4"/>
    <w:rsid w:val="00073D4F"/>
    <w:rsid w:val="00073E4A"/>
    <w:rsid w:val="00073F14"/>
    <w:rsid w:val="0007408E"/>
    <w:rsid w:val="0007408F"/>
    <w:rsid w:val="000740F3"/>
    <w:rsid w:val="00074187"/>
    <w:rsid w:val="000742B1"/>
    <w:rsid w:val="00074333"/>
    <w:rsid w:val="00074404"/>
    <w:rsid w:val="00074610"/>
    <w:rsid w:val="00074793"/>
    <w:rsid w:val="00074A7E"/>
    <w:rsid w:val="00074B3C"/>
    <w:rsid w:val="00074E9A"/>
    <w:rsid w:val="00074F1F"/>
    <w:rsid w:val="000750C5"/>
    <w:rsid w:val="00075246"/>
    <w:rsid w:val="00075321"/>
    <w:rsid w:val="0007550E"/>
    <w:rsid w:val="0007574B"/>
    <w:rsid w:val="0007580A"/>
    <w:rsid w:val="000758B2"/>
    <w:rsid w:val="000759D9"/>
    <w:rsid w:val="00075AB2"/>
    <w:rsid w:val="00075B90"/>
    <w:rsid w:val="00075F5D"/>
    <w:rsid w:val="00076080"/>
    <w:rsid w:val="000760C0"/>
    <w:rsid w:val="00076178"/>
    <w:rsid w:val="0007621F"/>
    <w:rsid w:val="000762CF"/>
    <w:rsid w:val="00076346"/>
    <w:rsid w:val="00076833"/>
    <w:rsid w:val="00076A66"/>
    <w:rsid w:val="00076BB7"/>
    <w:rsid w:val="00076C52"/>
    <w:rsid w:val="00076C72"/>
    <w:rsid w:val="00076CFB"/>
    <w:rsid w:val="00076DB8"/>
    <w:rsid w:val="00076F11"/>
    <w:rsid w:val="00076F31"/>
    <w:rsid w:val="00076F81"/>
    <w:rsid w:val="0007702F"/>
    <w:rsid w:val="00077395"/>
    <w:rsid w:val="000773B5"/>
    <w:rsid w:val="00077452"/>
    <w:rsid w:val="00077486"/>
    <w:rsid w:val="000774DE"/>
    <w:rsid w:val="00077576"/>
    <w:rsid w:val="000775A0"/>
    <w:rsid w:val="000776F8"/>
    <w:rsid w:val="0007774F"/>
    <w:rsid w:val="00077798"/>
    <w:rsid w:val="000777FD"/>
    <w:rsid w:val="00077844"/>
    <w:rsid w:val="00077C51"/>
    <w:rsid w:val="00077C87"/>
    <w:rsid w:val="00077E17"/>
    <w:rsid w:val="00077ED3"/>
    <w:rsid w:val="00077EDB"/>
    <w:rsid w:val="000801AD"/>
    <w:rsid w:val="00080347"/>
    <w:rsid w:val="0008052A"/>
    <w:rsid w:val="0008054A"/>
    <w:rsid w:val="000805CB"/>
    <w:rsid w:val="000805FC"/>
    <w:rsid w:val="0008069E"/>
    <w:rsid w:val="000806AD"/>
    <w:rsid w:val="000806F5"/>
    <w:rsid w:val="000807B7"/>
    <w:rsid w:val="000808F3"/>
    <w:rsid w:val="0008093D"/>
    <w:rsid w:val="00080A24"/>
    <w:rsid w:val="00080AC7"/>
    <w:rsid w:val="00080ACB"/>
    <w:rsid w:val="00080B24"/>
    <w:rsid w:val="00080BB3"/>
    <w:rsid w:val="00080EB9"/>
    <w:rsid w:val="00081395"/>
    <w:rsid w:val="000814FF"/>
    <w:rsid w:val="000815DF"/>
    <w:rsid w:val="00081762"/>
    <w:rsid w:val="00081858"/>
    <w:rsid w:val="000818F2"/>
    <w:rsid w:val="00081A77"/>
    <w:rsid w:val="00081B28"/>
    <w:rsid w:val="00081B66"/>
    <w:rsid w:val="00081DDB"/>
    <w:rsid w:val="00081DF5"/>
    <w:rsid w:val="00081EC0"/>
    <w:rsid w:val="00081EFA"/>
    <w:rsid w:val="00081F91"/>
    <w:rsid w:val="00082166"/>
    <w:rsid w:val="00082195"/>
    <w:rsid w:val="00082226"/>
    <w:rsid w:val="00082241"/>
    <w:rsid w:val="000825A0"/>
    <w:rsid w:val="000828B2"/>
    <w:rsid w:val="00082956"/>
    <w:rsid w:val="000829AA"/>
    <w:rsid w:val="00082A6F"/>
    <w:rsid w:val="00082AB5"/>
    <w:rsid w:val="00082BEB"/>
    <w:rsid w:val="00083034"/>
    <w:rsid w:val="000831DC"/>
    <w:rsid w:val="000831E0"/>
    <w:rsid w:val="00083296"/>
    <w:rsid w:val="000832A8"/>
    <w:rsid w:val="000832D7"/>
    <w:rsid w:val="00083362"/>
    <w:rsid w:val="0008339E"/>
    <w:rsid w:val="000834F9"/>
    <w:rsid w:val="0008359B"/>
    <w:rsid w:val="000835A2"/>
    <w:rsid w:val="0008361D"/>
    <w:rsid w:val="0008372E"/>
    <w:rsid w:val="00083852"/>
    <w:rsid w:val="0008392F"/>
    <w:rsid w:val="000839A9"/>
    <w:rsid w:val="00083A14"/>
    <w:rsid w:val="00083B9E"/>
    <w:rsid w:val="00083DC3"/>
    <w:rsid w:val="00083E87"/>
    <w:rsid w:val="00083EB8"/>
    <w:rsid w:val="00083EDB"/>
    <w:rsid w:val="00083F7D"/>
    <w:rsid w:val="00083FB9"/>
    <w:rsid w:val="00084065"/>
    <w:rsid w:val="00084067"/>
    <w:rsid w:val="0008422D"/>
    <w:rsid w:val="000843C5"/>
    <w:rsid w:val="0008440C"/>
    <w:rsid w:val="00084436"/>
    <w:rsid w:val="00084481"/>
    <w:rsid w:val="000844ED"/>
    <w:rsid w:val="00084516"/>
    <w:rsid w:val="00084522"/>
    <w:rsid w:val="0008459F"/>
    <w:rsid w:val="000845A1"/>
    <w:rsid w:val="000846AA"/>
    <w:rsid w:val="000846AB"/>
    <w:rsid w:val="000846F9"/>
    <w:rsid w:val="0008486B"/>
    <w:rsid w:val="00084A93"/>
    <w:rsid w:val="00084AED"/>
    <w:rsid w:val="00084B2B"/>
    <w:rsid w:val="00084C07"/>
    <w:rsid w:val="00084CC0"/>
    <w:rsid w:val="00084D8B"/>
    <w:rsid w:val="00084EF1"/>
    <w:rsid w:val="0008515F"/>
    <w:rsid w:val="000852E4"/>
    <w:rsid w:val="00085389"/>
    <w:rsid w:val="000854C3"/>
    <w:rsid w:val="00085517"/>
    <w:rsid w:val="0008558F"/>
    <w:rsid w:val="000855C4"/>
    <w:rsid w:val="000855D8"/>
    <w:rsid w:val="00085805"/>
    <w:rsid w:val="00085B27"/>
    <w:rsid w:val="00085C27"/>
    <w:rsid w:val="00085E59"/>
    <w:rsid w:val="00085EA0"/>
    <w:rsid w:val="00086013"/>
    <w:rsid w:val="000860BF"/>
    <w:rsid w:val="0008622D"/>
    <w:rsid w:val="000862F0"/>
    <w:rsid w:val="00086348"/>
    <w:rsid w:val="00086553"/>
    <w:rsid w:val="000865FE"/>
    <w:rsid w:val="0008686F"/>
    <w:rsid w:val="0008695D"/>
    <w:rsid w:val="000869CE"/>
    <w:rsid w:val="00086A25"/>
    <w:rsid w:val="00086AF2"/>
    <w:rsid w:val="00086CD4"/>
    <w:rsid w:val="00086CF4"/>
    <w:rsid w:val="00086D77"/>
    <w:rsid w:val="00086D89"/>
    <w:rsid w:val="000871E6"/>
    <w:rsid w:val="00087253"/>
    <w:rsid w:val="00087337"/>
    <w:rsid w:val="0008746B"/>
    <w:rsid w:val="00087499"/>
    <w:rsid w:val="000875EB"/>
    <w:rsid w:val="0008769C"/>
    <w:rsid w:val="000877F6"/>
    <w:rsid w:val="00087A00"/>
    <w:rsid w:val="00087CA6"/>
    <w:rsid w:val="00087EB0"/>
    <w:rsid w:val="00087F91"/>
    <w:rsid w:val="00087FF8"/>
    <w:rsid w:val="0009009F"/>
    <w:rsid w:val="0009012B"/>
    <w:rsid w:val="0009016F"/>
    <w:rsid w:val="00090216"/>
    <w:rsid w:val="0009042C"/>
    <w:rsid w:val="000905E7"/>
    <w:rsid w:val="0009061B"/>
    <w:rsid w:val="00090754"/>
    <w:rsid w:val="000907B7"/>
    <w:rsid w:val="00090861"/>
    <w:rsid w:val="000908F3"/>
    <w:rsid w:val="0009092C"/>
    <w:rsid w:val="00090956"/>
    <w:rsid w:val="0009098E"/>
    <w:rsid w:val="00090A46"/>
    <w:rsid w:val="00090B1A"/>
    <w:rsid w:val="00090B61"/>
    <w:rsid w:val="00090BE1"/>
    <w:rsid w:val="00090CAC"/>
    <w:rsid w:val="00090CFD"/>
    <w:rsid w:val="00090DE4"/>
    <w:rsid w:val="00090DF8"/>
    <w:rsid w:val="00090F8B"/>
    <w:rsid w:val="00090FFC"/>
    <w:rsid w:val="000910EC"/>
    <w:rsid w:val="00091232"/>
    <w:rsid w:val="000912BE"/>
    <w:rsid w:val="0009143D"/>
    <w:rsid w:val="000914BB"/>
    <w:rsid w:val="000915DC"/>
    <w:rsid w:val="00091685"/>
    <w:rsid w:val="00091714"/>
    <w:rsid w:val="000919A5"/>
    <w:rsid w:val="000919E7"/>
    <w:rsid w:val="00091B29"/>
    <w:rsid w:val="00091EB4"/>
    <w:rsid w:val="00091F27"/>
    <w:rsid w:val="0009204A"/>
    <w:rsid w:val="000921A5"/>
    <w:rsid w:val="000921F8"/>
    <w:rsid w:val="000922C2"/>
    <w:rsid w:val="000923E2"/>
    <w:rsid w:val="00092401"/>
    <w:rsid w:val="00092429"/>
    <w:rsid w:val="00092535"/>
    <w:rsid w:val="00092669"/>
    <w:rsid w:val="000926A3"/>
    <w:rsid w:val="00092798"/>
    <w:rsid w:val="000927FE"/>
    <w:rsid w:val="0009291E"/>
    <w:rsid w:val="00092A08"/>
    <w:rsid w:val="00092A93"/>
    <w:rsid w:val="00092B2F"/>
    <w:rsid w:val="00092D35"/>
    <w:rsid w:val="00092E51"/>
    <w:rsid w:val="00092E52"/>
    <w:rsid w:val="00092F31"/>
    <w:rsid w:val="0009319D"/>
    <w:rsid w:val="00093237"/>
    <w:rsid w:val="000932F9"/>
    <w:rsid w:val="0009331B"/>
    <w:rsid w:val="00093338"/>
    <w:rsid w:val="00093729"/>
    <w:rsid w:val="00093732"/>
    <w:rsid w:val="00093975"/>
    <w:rsid w:val="00093A8F"/>
    <w:rsid w:val="00093BA1"/>
    <w:rsid w:val="00093BDF"/>
    <w:rsid w:val="00093C31"/>
    <w:rsid w:val="00093CD9"/>
    <w:rsid w:val="00093E8E"/>
    <w:rsid w:val="00093F3C"/>
    <w:rsid w:val="00093F53"/>
    <w:rsid w:val="000941B1"/>
    <w:rsid w:val="000942CD"/>
    <w:rsid w:val="0009436C"/>
    <w:rsid w:val="00094422"/>
    <w:rsid w:val="000944ED"/>
    <w:rsid w:val="0009452C"/>
    <w:rsid w:val="000945C3"/>
    <w:rsid w:val="00094605"/>
    <w:rsid w:val="000948B7"/>
    <w:rsid w:val="0009491F"/>
    <w:rsid w:val="00094A2F"/>
    <w:rsid w:val="00094A8A"/>
    <w:rsid w:val="00094CCD"/>
    <w:rsid w:val="00094DA2"/>
    <w:rsid w:val="00094E9C"/>
    <w:rsid w:val="00094F82"/>
    <w:rsid w:val="00095106"/>
    <w:rsid w:val="00095172"/>
    <w:rsid w:val="00095293"/>
    <w:rsid w:val="00095448"/>
    <w:rsid w:val="00095464"/>
    <w:rsid w:val="00095849"/>
    <w:rsid w:val="0009598C"/>
    <w:rsid w:val="00095ACF"/>
    <w:rsid w:val="00095B6B"/>
    <w:rsid w:val="00095B8E"/>
    <w:rsid w:val="00095FD0"/>
    <w:rsid w:val="0009614F"/>
    <w:rsid w:val="0009615F"/>
    <w:rsid w:val="0009620D"/>
    <w:rsid w:val="00096245"/>
    <w:rsid w:val="00096331"/>
    <w:rsid w:val="000965D7"/>
    <w:rsid w:val="00096741"/>
    <w:rsid w:val="00096920"/>
    <w:rsid w:val="00096999"/>
    <w:rsid w:val="00096A28"/>
    <w:rsid w:val="00096AF4"/>
    <w:rsid w:val="00096B67"/>
    <w:rsid w:val="00096C48"/>
    <w:rsid w:val="00096D41"/>
    <w:rsid w:val="00096EA6"/>
    <w:rsid w:val="00096EED"/>
    <w:rsid w:val="0009724D"/>
    <w:rsid w:val="0009727A"/>
    <w:rsid w:val="0009734D"/>
    <w:rsid w:val="000973F2"/>
    <w:rsid w:val="00097488"/>
    <w:rsid w:val="00097726"/>
    <w:rsid w:val="00097789"/>
    <w:rsid w:val="00097A68"/>
    <w:rsid w:val="00097B6A"/>
    <w:rsid w:val="00097C84"/>
    <w:rsid w:val="00097CFA"/>
    <w:rsid w:val="00097EF6"/>
    <w:rsid w:val="00097F14"/>
    <w:rsid w:val="00097F73"/>
    <w:rsid w:val="000A009B"/>
    <w:rsid w:val="000A01F2"/>
    <w:rsid w:val="000A021C"/>
    <w:rsid w:val="000A025D"/>
    <w:rsid w:val="000A0437"/>
    <w:rsid w:val="000A05E0"/>
    <w:rsid w:val="000A085F"/>
    <w:rsid w:val="000A08E3"/>
    <w:rsid w:val="000A0B41"/>
    <w:rsid w:val="000A0B68"/>
    <w:rsid w:val="000A0CE9"/>
    <w:rsid w:val="000A0D59"/>
    <w:rsid w:val="000A0E20"/>
    <w:rsid w:val="000A0EBB"/>
    <w:rsid w:val="000A0F0C"/>
    <w:rsid w:val="000A0F0E"/>
    <w:rsid w:val="000A0FDA"/>
    <w:rsid w:val="000A10E6"/>
    <w:rsid w:val="000A113F"/>
    <w:rsid w:val="000A116E"/>
    <w:rsid w:val="000A1221"/>
    <w:rsid w:val="000A1292"/>
    <w:rsid w:val="000A13F4"/>
    <w:rsid w:val="000A1449"/>
    <w:rsid w:val="000A1666"/>
    <w:rsid w:val="000A1748"/>
    <w:rsid w:val="000A1834"/>
    <w:rsid w:val="000A1884"/>
    <w:rsid w:val="000A1906"/>
    <w:rsid w:val="000A1BCD"/>
    <w:rsid w:val="000A1C5C"/>
    <w:rsid w:val="000A1CF3"/>
    <w:rsid w:val="000A1E17"/>
    <w:rsid w:val="000A1EFE"/>
    <w:rsid w:val="000A1FAF"/>
    <w:rsid w:val="000A1FE8"/>
    <w:rsid w:val="000A1FEF"/>
    <w:rsid w:val="000A1FF5"/>
    <w:rsid w:val="000A207B"/>
    <w:rsid w:val="000A20A6"/>
    <w:rsid w:val="000A2209"/>
    <w:rsid w:val="000A2293"/>
    <w:rsid w:val="000A2332"/>
    <w:rsid w:val="000A235E"/>
    <w:rsid w:val="000A248B"/>
    <w:rsid w:val="000A24C6"/>
    <w:rsid w:val="000A259D"/>
    <w:rsid w:val="000A26B9"/>
    <w:rsid w:val="000A2877"/>
    <w:rsid w:val="000A2A96"/>
    <w:rsid w:val="000A2AB5"/>
    <w:rsid w:val="000A2D35"/>
    <w:rsid w:val="000A2D5D"/>
    <w:rsid w:val="000A2FB2"/>
    <w:rsid w:val="000A30F9"/>
    <w:rsid w:val="000A31D7"/>
    <w:rsid w:val="000A31F9"/>
    <w:rsid w:val="000A3231"/>
    <w:rsid w:val="000A34DA"/>
    <w:rsid w:val="000A3746"/>
    <w:rsid w:val="000A383B"/>
    <w:rsid w:val="000A387C"/>
    <w:rsid w:val="000A39EE"/>
    <w:rsid w:val="000A39F0"/>
    <w:rsid w:val="000A3A3E"/>
    <w:rsid w:val="000A3A5C"/>
    <w:rsid w:val="000A3A8D"/>
    <w:rsid w:val="000A3AD8"/>
    <w:rsid w:val="000A3D5C"/>
    <w:rsid w:val="000A3D87"/>
    <w:rsid w:val="000A3E07"/>
    <w:rsid w:val="000A3E4F"/>
    <w:rsid w:val="000A3E68"/>
    <w:rsid w:val="000A3EBF"/>
    <w:rsid w:val="000A3F8B"/>
    <w:rsid w:val="000A4085"/>
    <w:rsid w:val="000A4247"/>
    <w:rsid w:val="000A4359"/>
    <w:rsid w:val="000A471F"/>
    <w:rsid w:val="000A475B"/>
    <w:rsid w:val="000A47D9"/>
    <w:rsid w:val="000A486C"/>
    <w:rsid w:val="000A4975"/>
    <w:rsid w:val="000A49A2"/>
    <w:rsid w:val="000A4CDB"/>
    <w:rsid w:val="000A4D8E"/>
    <w:rsid w:val="000A506F"/>
    <w:rsid w:val="000A51BA"/>
    <w:rsid w:val="000A538A"/>
    <w:rsid w:val="000A5508"/>
    <w:rsid w:val="000A5521"/>
    <w:rsid w:val="000A5554"/>
    <w:rsid w:val="000A558F"/>
    <w:rsid w:val="000A5704"/>
    <w:rsid w:val="000A5812"/>
    <w:rsid w:val="000A597F"/>
    <w:rsid w:val="000A5A25"/>
    <w:rsid w:val="000A5A3C"/>
    <w:rsid w:val="000A5C48"/>
    <w:rsid w:val="000A5E7C"/>
    <w:rsid w:val="000A5F48"/>
    <w:rsid w:val="000A6109"/>
    <w:rsid w:val="000A62F3"/>
    <w:rsid w:val="000A63E3"/>
    <w:rsid w:val="000A6607"/>
    <w:rsid w:val="000A686D"/>
    <w:rsid w:val="000A6943"/>
    <w:rsid w:val="000A6946"/>
    <w:rsid w:val="000A6A38"/>
    <w:rsid w:val="000A6A53"/>
    <w:rsid w:val="000A6A86"/>
    <w:rsid w:val="000A6B01"/>
    <w:rsid w:val="000A6B21"/>
    <w:rsid w:val="000A6B27"/>
    <w:rsid w:val="000A6C1A"/>
    <w:rsid w:val="000A6E30"/>
    <w:rsid w:val="000A6E52"/>
    <w:rsid w:val="000A6EE7"/>
    <w:rsid w:val="000A6F90"/>
    <w:rsid w:val="000A700F"/>
    <w:rsid w:val="000A7062"/>
    <w:rsid w:val="000A7091"/>
    <w:rsid w:val="000A712B"/>
    <w:rsid w:val="000A71FC"/>
    <w:rsid w:val="000A74D2"/>
    <w:rsid w:val="000A7547"/>
    <w:rsid w:val="000A75B3"/>
    <w:rsid w:val="000A760A"/>
    <w:rsid w:val="000A763A"/>
    <w:rsid w:val="000A769B"/>
    <w:rsid w:val="000A76E5"/>
    <w:rsid w:val="000A78DD"/>
    <w:rsid w:val="000A7E00"/>
    <w:rsid w:val="000A7E58"/>
    <w:rsid w:val="000A7E6D"/>
    <w:rsid w:val="000A7EEB"/>
    <w:rsid w:val="000A7F34"/>
    <w:rsid w:val="000B0055"/>
    <w:rsid w:val="000B0144"/>
    <w:rsid w:val="000B01FE"/>
    <w:rsid w:val="000B020F"/>
    <w:rsid w:val="000B0354"/>
    <w:rsid w:val="000B0388"/>
    <w:rsid w:val="000B03E4"/>
    <w:rsid w:val="000B0507"/>
    <w:rsid w:val="000B073A"/>
    <w:rsid w:val="000B0755"/>
    <w:rsid w:val="000B0795"/>
    <w:rsid w:val="000B07AB"/>
    <w:rsid w:val="000B0973"/>
    <w:rsid w:val="000B09A6"/>
    <w:rsid w:val="000B0A53"/>
    <w:rsid w:val="000B0AFB"/>
    <w:rsid w:val="000B0BFC"/>
    <w:rsid w:val="000B0C29"/>
    <w:rsid w:val="000B0E4A"/>
    <w:rsid w:val="000B0EEF"/>
    <w:rsid w:val="000B0F61"/>
    <w:rsid w:val="000B10D2"/>
    <w:rsid w:val="000B146D"/>
    <w:rsid w:val="000B14EE"/>
    <w:rsid w:val="000B1543"/>
    <w:rsid w:val="000B163E"/>
    <w:rsid w:val="000B16D8"/>
    <w:rsid w:val="000B1700"/>
    <w:rsid w:val="000B172E"/>
    <w:rsid w:val="000B1762"/>
    <w:rsid w:val="000B1769"/>
    <w:rsid w:val="000B17B0"/>
    <w:rsid w:val="000B182D"/>
    <w:rsid w:val="000B184B"/>
    <w:rsid w:val="000B1894"/>
    <w:rsid w:val="000B1A23"/>
    <w:rsid w:val="000B1ABC"/>
    <w:rsid w:val="000B1AD3"/>
    <w:rsid w:val="000B1C51"/>
    <w:rsid w:val="000B1CEA"/>
    <w:rsid w:val="000B1DC4"/>
    <w:rsid w:val="000B1FF4"/>
    <w:rsid w:val="000B20A6"/>
    <w:rsid w:val="000B22F3"/>
    <w:rsid w:val="000B238E"/>
    <w:rsid w:val="000B244B"/>
    <w:rsid w:val="000B254A"/>
    <w:rsid w:val="000B25BD"/>
    <w:rsid w:val="000B25DC"/>
    <w:rsid w:val="000B262D"/>
    <w:rsid w:val="000B27EA"/>
    <w:rsid w:val="000B28E3"/>
    <w:rsid w:val="000B28EE"/>
    <w:rsid w:val="000B2914"/>
    <w:rsid w:val="000B2CA6"/>
    <w:rsid w:val="000B2CE6"/>
    <w:rsid w:val="000B2D2E"/>
    <w:rsid w:val="000B2D60"/>
    <w:rsid w:val="000B2F87"/>
    <w:rsid w:val="000B2F92"/>
    <w:rsid w:val="000B30D2"/>
    <w:rsid w:val="000B30F6"/>
    <w:rsid w:val="000B31F8"/>
    <w:rsid w:val="000B3296"/>
    <w:rsid w:val="000B3302"/>
    <w:rsid w:val="000B3309"/>
    <w:rsid w:val="000B33D5"/>
    <w:rsid w:val="000B3599"/>
    <w:rsid w:val="000B364C"/>
    <w:rsid w:val="000B379D"/>
    <w:rsid w:val="000B37C9"/>
    <w:rsid w:val="000B38DB"/>
    <w:rsid w:val="000B38E8"/>
    <w:rsid w:val="000B38F9"/>
    <w:rsid w:val="000B3959"/>
    <w:rsid w:val="000B3AB9"/>
    <w:rsid w:val="000B3B46"/>
    <w:rsid w:val="000B3C01"/>
    <w:rsid w:val="000B3F2B"/>
    <w:rsid w:val="000B3F57"/>
    <w:rsid w:val="000B3F8F"/>
    <w:rsid w:val="000B406E"/>
    <w:rsid w:val="000B41E9"/>
    <w:rsid w:val="000B41F7"/>
    <w:rsid w:val="000B4203"/>
    <w:rsid w:val="000B4338"/>
    <w:rsid w:val="000B4630"/>
    <w:rsid w:val="000B476C"/>
    <w:rsid w:val="000B487E"/>
    <w:rsid w:val="000B4991"/>
    <w:rsid w:val="000B4AA1"/>
    <w:rsid w:val="000B4B03"/>
    <w:rsid w:val="000B4B30"/>
    <w:rsid w:val="000B4C15"/>
    <w:rsid w:val="000B4DE4"/>
    <w:rsid w:val="000B4E58"/>
    <w:rsid w:val="000B5061"/>
    <w:rsid w:val="000B50E6"/>
    <w:rsid w:val="000B51D6"/>
    <w:rsid w:val="000B522C"/>
    <w:rsid w:val="000B52A2"/>
    <w:rsid w:val="000B52D4"/>
    <w:rsid w:val="000B5453"/>
    <w:rsid w:val="000B5516"/>
    <w:rsid w:val="000B5756"/>
    <w:rsid w:val="000B587D"/>
    <w:rsid w:val="000B588E"/>
    <w:rsid w:val="000B5C88"/>
    <w:rsid w:val="000B5D37"/>
    <w:rsid w:val="000B5D6D"/>
    <w:rsid w:val="000B5DA6"/>
    <w:rsid w:val="000B5E61"/>
    <w:rsid w:val="000B610D"/>
    <w:rsid w:val="000B6118"/>
    <w:rsid w:val="000B6333"/>
    <w:rsid w:val="000B63D9"/>
    <w:rsid w:val="000B645C"/>
    <w:rsid w:val="000B6572"/>
    <w:rsid w:val="000B65AA"/>
    <w:rsid w:val="000B65C9"/>
    <w:rsid w:val="000B6623"/>
    <w:rsid w:val="000B69F3"/>
    <w:rsid w:val="000B6C30"/>
    <w:rsid w:val="000B6CCA"/>
    <w:rsid w:val="000B6D66"/>
    <w:rsid w:val="000B6EA5"/>
    <w:rsid w:val="000B6F07"/>
    <w:rsid w:val="000B6F7E"/>
    <w:rsid w:val="000B70E7"/>
    <w:rsid w:val="000B7111"/>
    <w:rsid w:val="000B7116"/>
    <w:rsid w:val="000B71AD"/>
    <w:rsid w:val="000B7228"/>
    <w:rsid w:val="000B7272"/>
    <w:rsid w:val="000B72BA"/>
    <w:rsid w:val="000B7489"/>
    <w:rsid w:val="000B753D"/>
    <w:rsid w:val="000B7542"/>
    <w:rsid w:val="000B7671"/>
    <w:rsid w:val="000B7691"/>
    <w:rsid w:val="000B79B9"/>
    <w:rsid w:val="000B7A47"/>
    <w:rsid w:val="000B7B3C"/>
    <w:rsid w:val="000B7BD8"/>
    <w:rsid w:val="000B7DF7"/>
    <w:rsid w:val="000C00B1"/>
    <w:rsid w:val="000C00C6"/>
    <w:rsid w:val="000C034E"/>
    <w:rsid w:val="000C048C"/>
    <w:rsid w:val="000C054F"/>
    <w:rsid w:val="000C070C"/>
    <w:rsid w:val="000C07BF"/>
    <w:rsid w:val="000C0851"/>
    <w:rsid w:val="000C085C"/>
    <w:rsid w:val="000C08C5"/>
    <w:rsid w:val="000C0986"/>
    <w:rsid w:val="000C0A3E"/>
    <w:rsid w:val="000C0AD2"/>
    <w:rsid w:val="000C0BA9"/>
    <w:rsid w:val="000C0BE1"/>
    <w:rsid w:val="000C0C2D"/>
    <w:rsid w:val="000C0D41"/>
    <w:rsid w:val="000C0E75"/>
    <w:rsid w:val="000C0E9A"/>
    <w:rsid w:val="000C0F3D"/>
    <w:rsid w:val="000C0F71"/>
    <w:rsid w:val="000C0FFC"/>
    <w:rsid w:val="000C1164"/>
    <w:rsid w:val="000C11A9"/>
    <w:rsid w:val="000C13ED"/>
    <w:rsid w:val="000C145B"/>
    <w:rsid w:val="000C148F"/>
    <w:rsid w:val="000C14F4"/>
    <w:rsid w:val="000C1557"/>
    <w:rsid w:val="000C1588"/>
    <w:rsid w:val="000C166B"/>
    <w:rsid w:val="000C16C6"/>
    <w:rsid w:val="000C16D0"/>
    <w:rsid w:val="000C17BE"/>
    <w:rsid w:val="000C18D2"/>
    <w:rsid w:val="000C19C5"/>
    <w:rsid w:val="000C19D2"/>
    <w:rsid w:val="000C19DC"/>
    <w:rsid w:val="000C1BCD"/>
    <w:rsid w:val="000C1D6A"/>
    <w:rsid w:val="000C1FE3"/>
    <w:rsid w:val="000C225E"/>
    <w:rsid w:val="000C22F2"/>
    <w:rsid w:val="000C2398"/>
    <w:rsid w:val="000C23AC"/>
    <w:rsid w:val="000C23C5"/>
    <w:rsid w:val="000C2792"/>
    <w:rsid w:val="000C27A2"/>
    <w:rsid w:val="000C2824"/>
    <w:rsid w:val="000C2851"/>
    <w:rsid w:val="000C2962"/>
    <w:rsid w:val="000C2975"/>
    <w:rsid w:val="000C2ABB"/>
    <w:rsid w:val="000C2ADB"/>
    <w:rsid w:val="000C2BE3"/>
    <w:rsid w:val="000C2D55"/>
    <w:rsid w:val="000C2FA9"/>
    <w:rsid w:val="000C2FAA"/>
    <w:rsid w:val="000C2FF3"/>
    <w:rsid w:val="000C3062"/>
    <w:rsid w:val="000C3562"/>
    <w:rsid w:val="000C35A5"/>
    <w:rsid w:val="000C35F4"/>
    <w:rsid w:val="000C363C"/>
    <w:rsid w:val="000C370D"/>
    <w:rsid w:val="000C3759"/>
    <w:rsid w:val="000C377B"/>
    <w:rsid w:val="000C3811"/>
    <w:rsid w:val="000C383D"/>
    <w:rsid w:val="000C3904"/>
    <w:rsid w:val="000C3A9D"/>
    <w:rsid w:val="000C3AA0"/>
    <w:rsid w:val="000C3BB6"/>
    <w:rsid w:val="000C3DB7"/>
    <w:rsid w:val="000C3DE1"/>
    <w:rsid w:val="000C3E6D"/>
    <w:rsid w:val="000C3E89"/>
    <w:rsid w:val="000C4067"/>
    <w:rsid w:val="000C40A6"/>
    <w:rsid w:val="000C4162"/>
    <w:rsid w:val="000C41DD"/>
    <w:rsid w:val="000C4226"/>
    <w:rsid w:val="000C428D"/>
    <w:rsid w:val="000C42D4"/>
    <w:rsid w:val="000C4520"/>
    <w:rsid w:val="000C4547"/>
    <w:rsid w:val="000C45FF"/>
    <w:rsid w:val="000C460E"/>
    <w:rsid w:val="000C466D"/>
    <w:rsid w:val="000C4728"/>
    <w:rsid w:val="000C4C10"/>
    <w:rsid w:val="000C4D95"/>
    <w:rsid w:val="000C4F71"/>
    <w:rsid w:val="000C4F75"/>
    <w:rsid w:val="000C5063"/>
    <w:rsid w:val="000C5238"/>
    <w:rsid w:val="000C52D8"/>
    <w:rsid w:val="000C5327"/>
    <w:rsid w:val="000C5370"/>
    <w:rsid w:val="000C5397"/>
    <w:rsid w:val="000C539C"/>
    <w:rsid w:val="000C5484"/>
    <w:rsid w:val="000C54AF"/>
    <w:rsid w:val="000C5636"/>
    <w:rsid w:val="000C5803"/>
    <w:rsid w:val="000C5878"/>
    <w:rsid w:val="000C58FC"/>
    <w:rsid w:val="000C5963"/>
    <w:rsid w:val="000C5BE7"/>
    <w:rsid w:val="000C5C69"/>
    <w:rsid w:val="000C5CA5"/>
    <w:rsid w:val="000C5CF9"/>
    <w:rsid w:val="000C5FF3"/>
    <w:rsid w:val="000C60D9"/>
    <w:rsid w:val="000C6187"/>
    <w:rsid w:val="000C6311"/>
    <w:rsid w:val="000C6389"/>
    <w:rsid w:val="000C6602"/>
    <w:rsid w:val="000C6644"/>
    <w:rsid w:val="000C665F"/>
    <w:rsid w:val="000C67AD"/>
    <w:rsid w:val="000C6811"/>
    <w:rsid w:val="000C6970"/>
    <w:rsid w:val="000C69E4"/>
    <w:rsid w:val="000C6B74"/>
    <w:rsid w:val="000C6C72"/>
    <w:rsid w:val="000C6C76"/>
    <w:rsid w:val="000C6DF8"/>
    <w:rsid w:val="000C6FC1"/>
    <w:rsid w:val="000C70A4"/>
    <w:rsid w:val="000C7175"/>
    <w:rsid w:val="000C717F"/>
    <w:rsid w:val="000C7182"/>
    <w:rsid w:val="000C7205"/>
    <w:rsid w:val="000C7285"/>
    <w:rsid w:val="000C72E3"/>
    <w:rsid w:val="000C734F"/>
    <w:rsid w:val="000C752A"/>
    <w:rsid w:val="000C757F"/>
    <w:rsid w:val="000C7617"/>
    <w:rsid w:val="000C766A"/>
    <w:rsid w:val="000C7737"/>
    <w:rsid w:val="000C7807"/>
    <w:rsid w:val="000C7895"/>
    <w:rsid w:val="000C7B65"/>
    <w:rsid w:val="000C7C32"/>
    <w:rsid w:val="000C7E88"/>
    <w:rsid w:val="000C7F15"/>
    <w:rsid w:val="000C7F1D"/>
    <w:rsid w:val="000C7F3B"/>
    <w:rsid w:val="000D000A"/>
    <w:rsid w:val="000D0063"/>
    <w:rsid w:val="000D006C"/>
    <w:rsid w:val="000D01A8"/>
    <w:rsid w:val="000D0223"/>
    <w:rsid w:val="000D0224"/>
    <w:rsid w:val="000D03C8"/>
    <w:rsid w:val="000D05FA"/>
    <w:rsid w:val="000D0660"/>
    <w:rsid w:val="000D066E"/>
    <w:rsid w:val="000D0679"/>
    <w:rsid w:val="000D06F1"/>
    <w:rsid w:val="000D0916"/>
    <w:rsid w:val="000D092D"/>
    <w:rsid w:val="000D0ACC"/>
    <w:rsid w:val="000D0B5F"/>
    <w:rsid w:val="000D0BAD"/>
    <w:rsid w:val="000D0C9F"/>
    <w:rsid w:val="000D0CDB"/>
    <w:rsid w:val="000D0D40"/>
    <w:rsid w:val="000D0D45"/>
    <w:rsid w:val="000D0D80"/>
    <w:rsid w:val="000D0F1C"/>
    <w:rsid w:val="000D0F58"/>
    <w:rsid w:val="000D0F95"/>
    <w:rsid w:val="000D109E"/>
    <w:rsid w:val="000D111D"/>
    <w:rsid w:val="000D114E"/>
    <w:rsid w:val="000D11A4"/>
    <w:rsid w:val="000D11A5"/>
    <w:rsid w:val="000D11F6"/>
    <w:rsid w:val="000D123D"/>
    <w:rsid w:val="000D12AD"/>
    <w:rsid w:val="000D12D1"/>
    <w:rsid w:val="000D12E4"/>
    <w:rsid w:val="000D12E7"/>
    <w:rsid w:val="000D13E4"/>
    <w:rsid w:val="000D14A1"/>
    <w:rsid w:val="000D14EC"/>
    <w:rsid w:val="000D14F4"/>
    <w:rsid w:val="000D15DC"/>
    <w:rsid w:val="000D166F"/>
    <w:rsid w:val="000D175F"/>
    <w:rsid w:val="000D198B"/>
    <w:rsid w:val="000D19DF"/>
    <w:rsid w:val="000D19E2"/>
    <w:rsid w:val="000D1A9C"/>
    <w:rsid w:val="000D1BCC"/>
    <w:rsid w:val="000D1C98"/>
    <w:rsid w:val="000D1D2A"/>
    <w:rsid w:val="000D1D5B"/>
    <w:rsid w:val="000D1F2D"/>
    <w:rsid w:val="000D1F69"/>
    <w:rsid w:val="000D20DE"/>
    <w:rsid w:val="000D2197"/>
    <w:rsid w:val="000D21AC"/>
    <w:rsid w:val="000D22A7"/>
    <w:rsid w:val="000D2311"/>
    <w:rsid w:val="000D23BC"/>
    <w:rsid w:val="000D23D2"/>
    <w:rsid w:val="000D24BF"/>
    <w:rsid w:val="000D25E5"/>
    <w:rsid w:val="000D26E5"/>
    <w:rsid w:val="000D280E"/>
    <w:rsid w:val="000D2831"/>
    <w:rsid w:val="000D29E2"/>
    <w:rsid w:val="000D2C36"/>
    <w:rsid w:val="000D2C69"/>
    <w:rsid w:val="000D2DBC"/>
    <w:rsid w:val="000D2DD4"/>
    <w:rsid w:val="000D2E30"/>
    <w:rsid w:val="000D30A4"/>
    <w:rsid w:val="000D30EB"/>
    <w:rsid w:val="000D3205"/>
    <w:rsid w:val="000D3506"/>
    <w:rsid w:val="000D3628"/>
    <w:rsid w:val="000D37B5"/>
    <w:rsid w:val="000D37CD"/>
    <w:rsid w:val="000D3B18"/>
    <w:rsid w:val="000D3B56"/>
    <w:rsid w:val="000D3B77"/>
    <w:rsid w:val="000D3BAA"/>
    <w:rsid w:val="000D3BCE"/>
    <w:rsid w:val="000D3C14"/>
    <w:rsid w:val="000D3D91"/>
    <w:rsid w:val="000D3F23"/>
    <w:rsid w:val="000D3F2C"/>
    <w:rsid w:val="000D3F54"/>
    <w:rsid w:val="000D4065"/>
    <w:rsid w:val="000D40ED"/>
    <w:rsid w:val="000D4348"/>
    <w:rsid w:val="000D4394"/>
    <w:rsid w:val="000D4418"/>
    <w:rsid w:val="000D44C0"/>
    <w:rsid w:val="000D454B"/>
    <w:rsid w:val="000D4850"/>
    <w:rsid w:val="000D496D"/>
    <w:rsid w:val="000D4A3C"/>
    <w:rsid w:val="000D4BBA"/>
    <w:rsid w:val="000D4BE6"/>
    <w:rsid w:val="000D4C11"/>
    <w:rsid w:val="000D4D5C"/>
    <w:rsid w:val="000D4DEF"/>
    <w:rsid w:val="000D500B"/>
    <w:rsid w:val="000D5095"/>
    <w:rsid w:val="000D51B3"/>
    <w:rsid w:val="000D51CD"/>
    <w:rsid w:val="000D52B0"/>
    <w:rsid w:val="000D5528"/>
    <w:rsid w:val="000D56DF"/>
    <w:rsid w:val="000D5911"/>
    <w:rsid w:val="000D5923"/>
    <w:rsid w:val="000D5C9C"/>
    <w:rsid w:val="000D5FFD"/>
    <w:rsid w:val="000D61D0"/>
    <w:rsid w:val="000D61F4"/>
    <w:rsid w:val="000D623A"/>
    <w:rsid w:val="000D6292"/>
    <w:rsid w:val="000D62C4"/>
    <w:rsid w:val="000D6309"/>
    <w:rsid w:val="000D6387"/>
    <w:rsid w:val="000D63CB"/>
    <w:rsid w:val="000D6413"/>
    <w:rsid w:val="000D64A9"/>
    <w:rsid w:val="000D68E3"/>
    <w:rsid w:val="000D69C2"/>
    <w:rsid w:val="000D6A53"/>
    <w:rsid w:val="000D6C3A"/>
    <w:rsid w:val="000D6E7A"/>
    <w:rsid w:val="000D702E"/>
    <w:rsid w:val="000D7050"/>
    <w:rsid w:val="000D7108"/>
    <w:rsid w:val="000D71B8"/>
    <w:rsid w:val="000D723D"/>
    <w:rsid w:val="000D72FA"/>
    <w:rsid w:val="000D751F"/>
    <w:rsid w:val="000D7861"/>
    <w:rsid w:val="000D79A1"/>
    <w:rsid w:val="000D79C6"/>
    <w:rsid w:val="000D7A42"/>
    <w:rsid w:val="000D7ACB"/>
    <w:rsid w:val="000D7AF1"/>
    <w:rsid w:val="000D7BDD"/>
    <w:rsid w:val="000D7D0E"/>
    <w:rsid w:val="000D7D5F"/>
    <w:rsid w:val="000D7E26"/>
    <w:rsid w:val="000D7EB4"/>
    <w:rsid w:val="000D7F39"/>
    <w:rsid w:val="000E02C4"/>
    <w:rsid w:val="000E05C4"/>
    <w:rsid w:val="000E05E2"/>
    <w:rsid w:val="000E05EE"/>
    <w:rsid w:val="000E0609"/>
    <w:rsid w:val="000E0645"/>
    <w:rsid w:val="000E0783"/>
    <w:rsid w:val="000E08D7"/>
    <w:rsid w:val="000E093F"/>
    <w:rsid w:val="000E09F9"/>
    <w:rsid w:val="000E0A2B"/>
    <w:rsid w:val="000E0A42"/>
    <w:rsid w:val="000E0BEA"/>
    <w:rsid w:val="000E0C29"/>
    <w:rsid w:val="000E0C2E"/>
    <w:rsid w:val="000E0CEB"/>
    <w:rsid w:val="000E100D"/>
    <w:rsid w:val="000E10B1"/>
    <w:rsid w:val="000E1133"/>
    <w:rsid w:val="000E1382"/>
    <w:rsid w:val="000E13CB"/>
    <w:rsid w:val="000E161D"/>
    <w:rsid w:val="000E163B"/>
    <w:rsid w:val="000E1717"/>
    <w:rsid w:val="000E17BF"/>
    <w:rsid w:val="000E181F"/>
    <w:rsid w:val="000E1858"/>
    <w:rsid w:val="000E18DF"/>
    <w:rsid w:val="000E18FF"/>
    <w:rsid w:val="000E1914"/>
    <w:rsid w:val="000E1C98"/>
    <w:rsid w:val="000E1CAC"/>
    <w:rsid w:val="000E1CAD"/>
    <w:rsid w:val="000E1D4C"/>
    <w:rsid w:val="000E1E33"/>
    <w:rsid w:val="000E1EBD"/>
    <w:rsid w:val="000E1FE7"/>
    <w:rsid w:val="000E2156"/>
    <w:rsid w:val="000E21E2"/>
    <w:rsid w:val="000E2296"/>
    <w:rsid w:val="000E22CC"/>
    <w:rsid w:val="000E24F7"/>
    <w:rsid w:val="000E2523"/>
    <w:rsid w:val="000E2645"/>
    <w:rsid w:val="000E2727"/>
    <w:rsid w:val="000E27D0"/>
    <w:rsid w:val="000E28EB"/>
    <w:rsid w:val="000E2932"/>
    <w:rsid w:val="000E2987"/>
    <w:rsid w:val="000E2A09"/>
    <w:rsid w:val="000E2A9E"/>
    <w:rsid w:val="000E2B0F"/>
    <w:rsid w:val="000E2B30"/>
    <w:rsid w:val="000E2C66"/>
    <w:rsid w:val="000E2DDA"/>
    <w:rsid w:val="000E3015"/>
    <w:rsid w:val="000E306C"/>
    <w:rsid w:val="000E320D"/>
    <w:rsid w:val="000E3249"/>
    <w:rsid w:val="000E3390"/>
    <w:rsid w:val="000E3416"/>
    <w:rsid w:val="000E347A"/>
    <w:rsid w:val="000E351A"/>
    <w:rsid w:val="000E35A1"/>
    <w:rsid w:val="000E35B0"/>
    <w:rsid w:val="000E376C"/>
    <w:rsid w:val="000E3972"/>
    <w:rsid w:val="000E3995"/>
    <w:rsid w:val="000E3A75"/>
    <w:rsid w:val="000E3AE7"/>
    <w:rsid w:val="000E3AED"/>
    <w:rsid w:val="000E3CC0"/>
    <w:rsid w:val="000E3DB4"/>
    <w:rsid w:val="000E3E40"/>
    <w:rsid w:val="000E4007"/>
    <w:rsid w:val="000E40AE"/>
    <w:rsid w:val="000E427A"/>
    <w:rsid w:val="000E42A9"/>
    <w:rsid w:val="000E434C"/>
    <w:rsid w:val="000E4403"/>
    <w:rsid w:val="000E446F"/>
    <w:rsid w:val="000E44A6"/>
    <w:rsid w:val="000E457B"/>
    <w:rsid w:val="000E4588"/>
    <w:rsid w:val="000E4704"/>
    <w:rsid w:val="000E482C"/>
    <w:rsid w:val="000E48FB"/>
    <w:rsid w:val="000E4A1C"/>
    <w:rsid w:val="000E4B94"/>
    <w:rsid w:val="000E4C1B"/>
    <w:rsid w:val="000E4D02"/>
    <w:rsid w:val="000E4DEB"/>
    <w:rsid w:val="000E505B"/>
    <w:rsid w:val="000E548B"/>
    <w:rsid w:val="000E54B2"/>
    <w:rsid w:val="000E570D"/>
    <w:rsid w:val="000E5759"/>
    <w:rsid w:val="000E58AF"/>
    <w:rsid w:val="000E59D3"/>
    <w:rsid w:val="000E59DD"/>
    <w:rsid w:val="000E5AE8"/>
    <w:rsid w:val="000E5C40"/>
    <w:rsid w:val="000E5CD9"/>
    <w:rsid w:val="000E5E99"/>
    <w:rsid w:val="000E602D"/>
    <w:rsid w:val="000E62B9"/>
    <w:rsid w:val="000E6342"/>
    <w:rsid w:val="000E64F5"/>
    <w:rsid w:val="000E6536"/>
    <w:rsid w:val="000E6662"/>
    <w:rsid w:val="000E666D"/>
    <w:rsid w:val="000E66F6"/>
    <w:rsid w:val="000E689A"/>
    <w:rsid w:val="000E6926"/>
    <w:rsid w:val="000E6B9C"/>
    <w:rsid w:val="000E6C23"/>
    <w:rsid w:val="000E6DD3"/>
    <w:rsid w:val="000E6E2F"/>
    <w:rsid w:val="000E707A"/>
    <w:rsid w:val="000E719C"/>
    <w:rsid w:val="000E7211"/>
    <w:rsid w:val="000E7281"/>
    <w:rsid w:val="000E72CF"/>
    <w:rsid w:val="000E73FE"/>
    <w:rsid w:val="000E7605"/>
    <w:rsid w:val="000E766D"/>
    <w:rsid w:val="000E7731"/>
    <w:rsid w:val="000E7882"/>
    <w:rsid w:val="000E7932"/>
    <w:rsid w:val="000E79A9"/>
    <w:rsid w:val="000E7A91"/>
    <w:rsid w:val="000E7D9B"/>
    <w:rsid w:val="000E7EC3"/>
    <w:rsid w:val="000E7F65"/>
    <w:rsid w:val="000E7F9B"/>
    <w:rsid w:val="000F0027"/>
    <w:rsid w:val="000F025B"/>
    <w:rsid w:val="000F02E4"/>
    <w:rsid w:val="000F047A"/>
    <w:rsid w:val="000F04A8"/>
    <w:rsid w:val="000F0516"/>
    <w:rsid w:val="000F0A01"/>
    <w:rsid w:val="000F0A11"/>
    <w:rsid w:val="000F0B57"/>
    <w:rsid w:val="000F0D10"/>
    <w:rsid w:val="000F0E3B"/>
    <w:rsid w:val="000F0E50"/>
    <w:rsid w:val="000F0E64"/>
    <w:rsid w:val="000F0F90"/>
    <w:rsid w:val="000F1157"/>
    <w:rsid w:val="000F120E"/>
    <w:rsid w:val="000F125E"/>
    <w:rsid w:val="000F127A"/>
    <w:rsid w:val="000F13BD"/>
    <w:rsid w:val="000F16A9"/>
    <w:rsid w:val="000F1751"/>
    <w:rsid w:val="000F17A7"/>
    <w:rsid w:val="000F17AF"/>
    <w:rsid w:val="000F1894"/>
    <w:rsid w:val="000F1A72"/>
    <w:rsid w:val="000F1BEB"/>
    <w:rsid w:val="000F1CF2"/>
    <w:rsid w:val="000F1E06"/>
    <w:rsid w:val="000F1E87"/>
    <w:rsid w:val="000F1EB1"/>
    <w:rsid w:val="000F1F5B"/>
    <w:rsid w:val="000F2144"/>
    <w:rsid w:val="000F217E"/>
    <w:rsid w:val="000F21CE"/>
    <w:rsid w:val="000F221F"/>
    <w:rsid w:val="000F22E9"/>
    <w:rsid w:val="000F23BB"/>
    <w:rsid w:val="000F25E2"/>
    <w:rsid w:val="000F26F1"/>
    <w:rsid w:val="000F2896"/>
    <w:rsid w:val="000F29D2"/>
    <w:rsid w:val="000F2AB3"/>
    <w:rsid w:val="000F2E05"/>
    <w:rsid w:val="000F2F1E"/>
    <w:rsid w:val="000F3205"/>
    <w:rsid w:val="000F32C2"/>
    <w:rsid w:val="000F334D"/>
    <w:rsid w:val="000F33B5"/>
    <w:rsid w:val="000F342B"/>
    <w:rsid w:val="000F3480"/>
    <w:rsid w:val="000F3507"/>
    <w:rsid w:val="000F3542"/>
    <w:rsid w:val="000F36C7"/>
    <w:rsid w:val="000F375D"/>
    <w:rsid w:val="000F379B"/>
    <w:rsid w:val="000F37A8"/>
    <w:rsid w:val="000F3883"/>
    <w:rsid w:val="000F3938"/>
    <w:rsid w:val="000F3ACA"/>
    <w:rsid w:val="000F3B50"/>
    <w:rsid w:val="000F3B6A"/>
    <w:rsid w:val="000F3B77"/>
    <w:rsid w:val="000F3C07"/>
    <w:rsid w:val="000F3E2F"/>
    <w:rsid w:val="000F3FDB"/>
    <w:rsid w:val="000F4094"/>
    <w:rsid w:val="000F415C"/>
    <w:rsid w:val="000F4173"/>
    <w:rsid w:val="000F42D9"/>
    <w:rsid w:val="000F4393"/>
    <w:rsid w:val="000F439B"/>
    <w:rsid w:val="000F43C5"/>
    <w:rsid w:val="000F44D9"/>
    <w:rsid w:val="000F44E7"/>
    <w:rsid w:val="000F453F"/>
    <w:rsid w:val="000F455D"/>
    <w:rsid w:val="000F4759"/>
    <w:rsid w:val="000F4770"/>
    <w:rsid w:val="000F4779"/>
    <w:rsid w:val="000F47FE"/>
    <w:rsid w:val="000F4979"/>
    <w:rsid w:val="000F49CB"/>
    <w:rsid w:val="000F4AE4"/>
    <w:rsid w:val="000F4B1F"/>
    <w:rsid w:val="000F4C3D"/>
    <w:rsid w:val="000F4D54"/>
    <w:rsid w:val="000F4D56"/>
    <w:rsid w:val="000F4E4D"/>
    <w:rsid w:val="000F5145"/>
    <w:rsid w:val="000F5171"/>
    <w:rsid w:val="000F517A"/>
    <w:rsid w:val="000F52B5"/>
    <w:rsid w:val="000F534F"/>
    <w:rsid w:val="000F5357"/>
    <w:rsid w:val="000F5505"/>
    <w:rsid w:val="000F55F2"/>
    <w:rsid w:val="000F569D"/>
    <w:rsid w:val="000F5737"/>
    <w:rsid w:val="000F58BC"/>
    <w:rsid w:val="000F5B81"/>
    <w:rsid w:val="000F5BA1"/>
    <w:rsid w:val="000F5C4F"/>
    <w:rsid w:val="000F5C59"/>
    <w:rsid w:val="000F5E68"/>
    <w:rsid w:val="000F5EAE"/>
    <w:rsid w:val="000F5FBD"/>
    <w:rsid w:val="000F609A"/>
    <w:rsid w:val="000F63C4"/>
    <w:rsid w:val="000F656E"/>
    <w:rsid w:val="000F65CA"/>
    <w:rsid w:val="000F66FF"/>
    <w:rsid w:val="000F6738"/>
    <w:rsid w:val="000F6772"/>
    <w:rsid w:val="000F67BE"/>
    <w:rsid w:val="000F67F4"/>
    <w:rsid w:val="000F6885"/>
    <w:rsid w:val="000F6933"/>
    <w:rsid w:val="000F6993"/>
    <w:rsid w:val="000F6BEA"/>
    <w:rsid w:val="000F6C72"/>
    <w:rsid w:val="000F6DB1"/>
    <w:rsid w:val="000F6F44"/>
    <w:rsid w:val="000F6F85"/>
    <w:rsid w:val="000F704A"/>
    <w:rsid w:val="000F704B"/>
    <w:rsid w:val="000F7050"/>
    <w:rsid w:val="000F7073"/>
    <w:rsid w:val="000F7162"/>
    <w:rsid w:val="000F719E"/>
    <w:rsid w:val="000F72FB"/>
    <w:rsid w:val="000F73A6"/>
    <w:rsid w:val="000F7457"/>
    <w:rsid w:val="000F74A1"/>
    <w:rsid w:val="000F74CE"/>
    <w:rsid w:val="000F74FD"/>
    <w:rsid w:val="000F7577"/>
    <w:rsid w:val="000F7888"/>
    <w:rsid w:val="000F7A37"/>
    <w:rsid w:val="000F7AF4"/>
    <w:rsid w:val="000F7BB2"/>
    <w:rsid w:val="000F7CBF"/>
    <w:rsid w:val="000F7F6E"/>
    <w:rsid w:val="0010003B"/>
    <w:rsid w:val="001000E0"/>
    <w:rsid w:val="0010016C"/>
    <w:rsid w:val="0010022C"/>
    <w:rsid w:val="00100359"/>
    <w:rsid w:val="001003CB"/>
    <w:rsid w:val="001003D5"/>
    <w:rsid w:val="0010051C"/>
    <w:rsid w:val="0010052F"/>
    <w:rsid w:val="001007C9"/>
    <w:rsid w:val="00100875"/>
    <w:rsid w:val="00100A16"/>
    <w:rsid w:val="00100D66"/>
    <w:rsid w:val="00100DBF"/>
    <w:rsid w:val="00100DD3"/>
    <w:rsid w:val="00100E25"/>
    <w:rsid w:val="00100FCD"/>
    <w:rsid w:val="00101098"/>
    <w:rsid w:val="001010EF"/>
    <w:rsid w:val="0010110D"/>
    <w:rsid w:val="0010111E"/>
    <w:rsid w:val="00101169"/>
    <w:rsid w:val="00101280"/>
    <w:rsid w:val="00101322"/>
    <w:rsid w:val="0010134C"/>
    <w:rsid w:val="00101369"/>
    <w:rsid w:val="001013AA"/>
    <w:rsid w:val="001013EB"/>
    <w:rsid w:val="001015CE"/>
    <w:rsid w:val="001015D4"/>
    <w:rsid w:val="001015E7"/>
    <w:rsid w:val="00101747"/>
    <w:rsid w:val="0010187E"/>
    <w:rsid w:val="00101899"/>
    <w:rsid w:val="00101A04"/>
    <w:rsid w:val="00101AE2"/>
    <w:rsid w:val="00101B60"/>
    <w:rsid w:val="00101CE4"/>
    <w:rsid w:val="00101E8F"/>
    <w:rsid w:val="00101ED3"/>
    <w:rsid w:val="00101F04"/>
    <w:rsid w:val="00101FEB"/>
    <w:rsid w:val="0010209E"/>
    <w:rsid w:val="00102377"/>
    <w:rsid w:val="0010262E"/>
    <w:rsid w:val="001026C7"/>
    <w:rsid w:val="00102841"/>
    <w:rsid w:val="00102887"/>
    <w:rsid w:val="00102A60"/>
    <w:rsid w:val="00102AB2"/>
    <w:rsid w:val="00102B01"/>
    <w:rsid w:val="00102B12"/>
    <w:rsid w:val="00102E30"/>
    <w:rsid w:val="0010315E"/>
    <w:rsid w:val="00103171"/>
    <w:rsid w:val="00103209"/>
    <w:rsid w:val="00103345"/>
    <w:rsid w:val="001033E7"/>
    <w:rsid w:val="001036CE"/>
    <w:rsid w:val="001037AA"/>
    <w:rsid w:val="00103842"/>
    <w:rsid w:val="001038C0"/>
    <w:rsid w:val="00103A18"/>
    <w:rsid w:val="00103BEF"/>
    <w:rsid w:val="00103BFB"/>
    <w:rsid w:val="00103E2C"/>
    <w:rsid w:val="00104011"/>
    <w:rsid w:val="001041E7"/>
    <w:rsid w:val="00104307"/>
    <w:rsid w:val="0010432D"/>
    <w:rsid w:val="0010444C"/>
    <w:rsid w:val="001044DF"/>
    <w:rsid w:val="001044E3"/>
    <w:rsid w:val="0010454A"/>
    <w:rsid w:val="001045FD"/>
    <w:rsid w:val="0010478C"/>
    <w:rsid w:val="0010489E"/>
    <w:rsid w:val="001048B7"/>
    <w:rsid w:val="00104964"/>
    <w:rsid w:val="00104983"/>
    <w:rsid w:val="001049A7"/>
    <w:rsid w:val="001049BA"/>
    <w:rsid w:val="00104A1D"/>
    <w:rsid w:val="00104A2A"/>
    <w:rsid w:val="0010530E"/>
    <w:rsid w:val="001056AA"/>
    <w:rsid w:val="001056D7"/>
    <w:rsid w:val="001057BE"/>
    <w:rsid w:val="001058E5"/>
    <w:rsid w:val="00105A39"/>
    <w:rsid w:val="00105AAC"/>
    <w:rsid w:val="00105B92"/>
    <w:rsid w:val="00105B94"/>
    <w:rsid w:val="00105C7A"/>
    <w:rsid w:val="00105D2F"/>
    <w:rsid w:val="00105D34"/>
    <w:rsid w:val="00105DAF"/>
    <w:rsid w:val="00105E07"/>
    <w:rsid w:val="00105F47"/>
    <w:rsid w:val="00105FF9"/>
    <w:rsid w:val="0010609D"/>
    <w:rsid w:val="001061C8"/>
    <w:rsid w:val="00106356"/>
    <w:rsid w:val="001066CE"/>
    <w:rsid w:val="001066EE"/>
    <w:rsid w:val="0010671D"/>
    <w:rsid w:val="0010680A"/>
    <w:rsid w:val="00106884"/>
    <w:rsid w:val="001068FB"/>
    <w:rsid w:val="001069EF"/>
    <w:rsid w:val="00106DE4"/>
    <w:rsid w:val="00106E06"/>
    <w:rsid w:val="00106F4D"/>
    <w:rsid w:val="001070C2"/>
    <w:rsid w:val="00107123"/>
    <w:rsid w:val="0010716A"/>
    <w:rsid w:val="001071C5"/>
    <w:rsid w:val="00107490"/>
    <w:rsid w:val="001075CD"/>
    <w:rsid w:val="00107671"/>
    <w:rsid w:val="00107E60"/>
    <w:rsid w:val="00107F8F"/>
    <w:rsid w:val="00107FAC"/>
    <w:rsid w:val="00110290"/>
    <w:rsid w:val="001103DC"/>
    <w:rsid w:val="001104F4"/>
    <w:rsid w:val="0011061D"/>
    <w:rsid w:val="00110667"/>
    <w:rsid w:val="00110682"/>
    <w:rsid w:val="00110766"/>
    <w:rsid w:val="001107D7"/>
    <w:rsid w:val="001108FA"/>
    <w:rsid w:val="001109AC"/>
    <w:rsid w:val="001109DF"/>
    <w:rsid w:val="00110A80"/>
    <w:rsid w:val="00110AB4"/>
    <w:rsid w:val="00110AB5"/>
    <w:rsid w:val="00110B0D"/>
    <w:rsid w:val="00110B33"/>
    <w:rsid w:val="00110D03"/>
    <w:rsid w:val="00110EEF"/>
    <w:rsid w:val="00111036"/>
    <w:rsid w:val="001110E0"/>
    <w:rsid w:val="00111129"/>
    <w:rsid w:val="00111169"/>
    <w:rsid w:val="001111DA"/>
    <w:rsid w:val="001112A6"/>
    <w:rsid w:val="00111302"/>
    <w:rsid w:val="00111361"/>
    <w:rsid w:val="001114BF"/>
    <w:rsid w:val="001114E3"/>
    <w:rsid w:val="00111582"/>
    <w:rsid w:val="001115EE"/>
    <w:rsid w:val="00111635"/>
    <w:rsid w:val="001116D2"/>
    <w:rsid w:val="001117B8"/>
    <w:rsid w:val="00111858"/>
    <w:rsid w:val="001118B0"/>
    <w:rsid w:val="001118D5"/>
    <w:rsid w:val="001119B7"/>
    <w:rsid w:val="00111AD3"/>
    <w:rsid w:val="00111AE5"/>
    <w:rsid w:val="00111B01"/>
    <w:rsid w:val="00111C0B"/>
    <w:rsid w:val="00111DD2"/>
    <w:rsid w:val="00111F77"/>
    <w:rsid w:val="00112061"/>
    <w:rsid w:val="0011210C"/>
    <w:rsid w:val="001121E2"/>
    <w:rsid w:val="00112273"/>
    <w:rsid w:val="001122AA"/>
    <w:rsid w:val="0011237B"/>
    <w:rsid w:val="001123EC"/>
    <w:rsid w:val="00112465"/>
    <w:rsid w:val="00112574"/>
    <w:rsid w:val="00112651"/>
    <w:rsid w:val="001126AC"/>
    <w:rsid w:val="001126B9"/>
    <w:rsid w:val="00112805"/>
    <w:rsid w:val="00112851"/>
    <w:rsid w:val="00112883"/>
    <w:rsid w:val="0011291C"/>
    <w:rsid w:val="00112A8B"/>
    <w:rsid w:val="00112B14"/>
    <w:rsid w:val="00112CBD"/>
    <w:rsid w:val="00112D11"/>
    <w:rsid w:val="00112E31"/>
    <w:rsid w:val="00112E86"/>
    <w:rsid w:val="00112F76"/>
    <w:rsid w:val="00112FDE"/>
    <w:rsid w:val="00113042"/>
    <w:rsid w:val="001130EC"/>
    <w:rsid w:val="00113103"/>
    <w:rsid w:val="001131CB"/>
    <w:rsid w:val="001131DD"/>
    <w:rsid w:val="001134A6"/>
    <w:rsid w:val="00113668"/>
    <w:rsid w:val="0011372F"/>
    <w:rsid w:val="00113753"/>
    <w:rsid w:val="00113874"/>
    <w:rsid w:val="001138F8"/>
    <w:rsid w:val="001139F8"/>
    <w:rsid w:val="00113A1F"/>
    <w:rsid w:val="00113C66"/>
    <w:rsid w:val="00113E1E"/>
    <w:rsid w:val="001140EE"/>
    <w:rsid w:val="0011411F"/>
    <w:rsid w:val="0011438F"/>
    <w:rsid w:val="0011468F"/>
    <w:rsid w:val="0011470D"/>
    <w:rsid w:val="0011472C"/>
    <w:rsid w:val="001147A9"/>
    <w:rsid w:val="001148CF"/>
    <w:rsid w:val="00114926"/>
    <w:rsid w:val="00114CE0"/>
    <w:rsid w:val="00114F73"/>
    <w:rsid w:val="00115098"/>
    <w:rsid w:val="001150EC"/>
    <w:rsid w:val="001150F5"/>
    <w:rsid w:val="00115159"/>
    <w:rsid w:val="0011515C"/>
    <w:rsid w:val="001151A6"/>
    <w:rsid w:val="00115214"/>
    <w:rsid w:val="00115359"/>
    <w:rsid w:val="0011537D"/>
    <w:rsid w:val="00115467"/>
    <w:rsid w:val="001154BF"/>
    <w:rsid w:val="0011557E"/>
    <w:rsid w:val="001155D8"/>
    <w:rsid w:val="00115924"/>
    <w:rsid w:val="0011593A"/>
    <w:rsid w:val="00115A70"/>
    <w:rsid w:val="00115B84"/>
    <w:rsid w:val="00115BC0"/>
    <w:rsid w:val="00115C6C"/>
    <w:rsid w:val="00115DEA"/>
    <w:rsid w:val="00115FC2"/>
    <w:rsid w:val="00116038"/>
    <w:rsid w:val="00116123"/>
    <w:rsid w:val="00116200"/>
    <w:rsid w:val="0011629A"/>
    <w:rsid w:val="001162F1"/>
    <w:rsid w:val="00116433"/>
    <w:rsid w:val="0011665C"/>
    <w:rsid w:val="0011669C"/>
    <w:rsid w:val="0011688F"/>
    <w:rsid w:val="00116951"/>
    <w:rsid w:val="00116A0F"/>
    <w:rsid w:val="00116A66"/>
    <w:rsid w:val="00116A6D"/>
    <w:rsid w:val="00116CE1"/>
    <w:rsid w:val="00116D9A"/>
    <w:rsid w:val="00116EF8"/>
    <w:rsid w:val="00117024"/>
    <w:rsid w:val="001170BF"/>
    <w:rsid w:val="0011710C"/>
    <w:rsid w:val="0011716F"/>
    <w:rsid w:val="00117182"/>
    <w:rsid w:val="0011718A"/>
    <w:rsid w:val="001171DA"/>
    <w:rsid w:val="001172A3"/>
    <w:rsid w:val="001173AA"/>
    <w:rsid w:val="00117472"/>
    <w:rsid w:val="0011747F"/>
    <w:rsid w:val="001175BD"/>
    <w:rsid w:val="00117643"/>
    <w:rsid w:val="001177BA"/>
    <w:rsid w:val="00117894"/>
    <w:rsid w:val="001178F1"/>
    <w:rsid w:val="00117AC7"/>
    <w:rsid w:val="00117B52"/>
    <w:rsid w:val="00117B8E"/>
    <w:rsid w:val="00117C3B"/>
    <w:rsid w:val="00117CEC"/>
    <w:rsid w:val="00117D33"/>
    <w:rsid w:val="00117D37"/>
    <w:rsid w:val="00117F23"/>
    <w:rsid w:val="00120151"/>
    <w:rsid w:val="001202CC"/>
    <w:rsid w:val="00120319"/>
    <w:rsid w:val="001203E7"/>
    <w:rsid w:val="00120554"/>
    <w:rsid w:val="001205CE"/>
    <w:rsid w:val="00120A41"/>
    <w:rsid w:val="00120B1E"/>
    <w:rsid w:val="00120BA4"/>
    <w:rsid w:val="00120BE5"/>
    <w:rsid w:val="00120C1E"/>
    <w:rsid w:val="00120C73"/>
    <w:rsid w:val="00120CEE"/>
    <w:rsid w:val="00120D9A"/>
    <w:rsid w:val="00120E0F"/>
    <w:rsid w:val="00120F4C"/>
    <w:rsid w:val="00120F62"/>
    <w:rsid w:val="00121021"/>
    <w:rsid w:val="001210B6"/>
    <w:rsid w:val="001210CC"/>
    <w:rsid w:val="0012124D"/>
    <w:rsid w:val="00121250"/>
    <w:rsid w:val="001212C2"/>
    <w:rsid w:val="00121341"/>
    <w:rsid w:val="0012145A"/>
    <w:rsid w:val="001214AC"/>
    <w:rsid w:val="001215A5"/>
    <w:rsid w:val="001216F0"/>
    <w:rsid w:val="001218AD"/>
    <w:rsid w:val="00121979"/>
    <w:rsid w:val="00121A65"/>
    <w:rsid w:val="00121BC8"/>
    <w:rsid w:val="00121D99"/>
    <w:rsid w:val="00121D9D"/>
    <w:rsid w:val="00121DCB"/>
    <w:rsid w:val="00121DF3"/>
    <w:rsid w:val="001220EC"/>
    <w:rsid w:val="001221E7"/>
    <w:rsid w:val="0012240F"/>
    <w:rsid w:val="001224D0"/>
    <w:rsid w:val="001225F5"/>
    <w:rsid w:val="001226DE"/>
    <w:rsid w:val="001227CB"/>
    <w:rsid w:val="00122863"/>
    <w:rsid w:val="001228B5"/>
    <w:rsid w:val="00122C0D"/>
    <w:rsid w:val="00122C35"/>
    <w:rsid w:val="00122C8F"/>
    <w:rsid w:val="00122C9C"/>
    <w:rsid w:val="00122E8F"/>
    <w:rsid w:val="00122F2E"/>
    <w:rsid w:val="00122F52"/>
    <w:rsid w:val="00122FD9"/>
    <w:rsid w:val="00122FF1"/>
    <w:rsid w:val="001233C8"/>
    <w:rsid w:val="0012347C"/>
    <w:rsid w:val="00123548"/>
    <w:rsid w:val="001235CF"/>
    <w:rsid w:val="00123684"/>
    <w:rsid w:val="001237E2"/>
    <w:rsid w:val="00123990"/>
    <w:rsid w:val="00123B37"/>
    <w:rsid w:val="00123B4B"/>
    <w:rsid w:val="00123D37"/>
    <w:rsid w:val="00123E99"/>
    <w:rsid w:val="00123EA7"/>
    <w:rsid w:val="00123FE1"/>
    <w:rsid w:val="00124190"/>
    <w:rsid w:val="00124373"/>
    <w:rsid w:val="001243BE"/>
    <w:rsid w:val="00124414"/>
    <w:rsid w:val="0012442C"/>
    <w:rsid w:val="00124436"/>
    <w:rsid w:val="0012467A"/>
    <w:rsid w:val="0012467B"/>
    <w:rsid w:val="001246CF"/>
    <w:rsid w:val="0012473C"/>
    <w:rsid w:val="0012489A"/>
    <w:rsid w:val="001248F2"/>
    <w:rsid w:val="0012495B"/>
    <w:rsid w:val="00124A13"/>
    <w:rsid w:val="00124A89"/>
    <w:rsid w:val="0012509F"/>
    <w:rsid w:val="00125104"/>
    <w:rsid w:val="00125173"/>
    <w:rsid w:val="00125455"/>
    <w:rsid w:val="001254F0"/>
    <w:rsid w:val="0012572B"/>
    <w:rsid w:val="0012583E"/>
    <w:rsid w:val="001258E4"/>
    <w:rsid w:val="00125A61"/>
    <w:rsid w:val="00125AFD"/>
    <w:rsid w:val="00125B37"/>
    <w:rsid w:val="00125D03"/>
    <w:rsid w:val="00125D23"/>
    <w:rsid w:val="00125DE1"/>
    <w:rsid w:val="00125E21"/>
    <w:rsid w:val="00126014"/>
    <w:rsid w:val="00126020"/>
    <w:rsid w:val="0012603E"/>
    <w:rsid w:val="00126228"/>
    <w:rsid w:val="00126301"/>
    <w:rsid w:val="00126325"/>
    <w:rsid w:val="00126384"/>
    <w:rsid w:val="00126558"/>
    <w:rsid w:val="00126588"/>
    <w:rsid w:val="00126660"/>
    <w:rsid w:val="00126662"/>
    <w:rsid w:val="00126717"/>
    <w:rsid w:val="00126886"/>
    <w:rsid w:val="0012691A"/>
    <w:rsid w:val="00126ABE"/>
    <w:rsid w:val="00126B41"/>
    <w:rsid w:val="00126FE5"/>
    <w:rsid w:val="00127005"/>
    <w:rsid w:val="00127119"/>
    <w:rsid w:val="00127253"/>
    <w:rsid w:val="001272E4"/>
    <w:rsid w:val="00127310"/>
    <w:rsid w:val="00127454"/>
    <w:rsid w:val="00127467"/>
    <w:rsid w:val="001277F5"/>
    <w:rsid w:val="00127807"/>
    <w:rsid w:val="001278C4"/>
    <w:rsid w:val="0012793C"/>
    <w:rsid w:val="00127A3D"/>
    <w:rsid w:val="00127BAF"/>
    <w:rsid w:val="00127BD9"/>
    <w:rsid w:val="00127BFC"/>
    <w:rsid w:val="00127E9D"/>
    <w:rsid w:val="00127F19"/>
    <w:rsid w:val="0013000B"/>
    <w:rsid w:val="0013008C"/>
    <w:rsid w:val="001301E5"/>
    <w:rsid w:val="0013030F"/>
    <w:rsid w:val="0013056D"/>
    <w:rsid w:val="001305E2"/>
    <w:rsid w:val="00130639"/>
    <w:rsid w:val="00130685"/>
    <w:rsid w:val="001306CF"/>
    <w:rsid w:val="00130785"/>
    <w:rsid w:val="001307A5"/>
    <w:rsid w:val="00130859"/>
    <w:rsid w:val="001308C9"/>
    <w:rsid w:val="001308F7"/>
    <w:rsid w:val="00130AA6"/>
    <w:rsid w:val="00130AB0"/>
    <w:rsid w:val="00130ABB"/>
    <w:rsid w:val="00130B59"/>
    <w:rsid w:val="00130E30"/>
    <w:rsid w:val="00130E73"/>
    <w:rsid w:val="00130EA5"/>
    <w:rsid w:val="001312EA"/>
    <w:rsid w:val="00131305"/>
    <w:rsid w:val="0013148F"/>
    <w:rsid w:val="00131534"/>
    <w:rsid w:val="00131547"/>
    <w:rsid w:val="00131616"/>
    <w:rsid w:val="00131691"/>
    <w:rsid w:val="00131698"/>
    <w:rsid w:val="0013174E"/>
    <w:rsid w:val="0013177D"/>
    <w:rsid w:val="0013179D"/>
    <w:rsid w:val="001317ED"/>
    <w:rsid w:val="001319DC"/>
    <w:rsid w:val="00131AE5"/>
    <w:rsid w:val="00131B0C"/>
    <w:rsid w:val="00131F31"/>
    <w:rsid w:val="001320F6"/>
    <w:rsid w:val="00132276"/>
    <w:rsid w:val="0013261C"/>
    <w:rsid w:val="00132696"/>
    <w:rsid w:val="001326EF"/>
    <w:rsid w:val="00132795"/>
    <w:rsid w:val="001328BD"/>
    <w:rsid w:val="001329F5"/>
    <w:rsid w:val="00132C7D"/>
    <w:rsid w:val="00132FDB"/>
    <w:rsid w:val="00132FEF"/>
    <w:rsid w:val="001330AB"/>
    <w:rsid w:val="0013311F"/>
    <w:rsid w:val="0013341A"/>
    <w:rsid w:val="00133473"/>
    <w:rsid w:val="0013351E"/>
    <w:rsid w:val="00133565"/>
    <w:rsid w:val="0013368E"/>
    <w:rsid w:val="001339DA"/>
    <w:rsid w:val="001339E1"/>
    <w:rsid w:val="00133A5C"/>
    <w:rsid w:val="00133BEB"/>
    <w:rsid w:val="00133D5B"/>
    <w:rsid w:val="00133D96"/>
    <w:rsid w:val="00133DAF"/>
    <w:rsid w:val="00133E0D"/>
    <w:rsid w:val="00133E4C"/>
    <w:rsid w:val="00133E70"/>
    <w:rsid w:val="00133ED0"/>
    <w:rsid w:val="00133FDA"/>
    <w:rsid w:val="001341E0"/>
    <w:rsid w:val="0013429B"/>
    <w:rsid w:val="001343BB"/>
    <w:rsid w:val="0013448B"/>
    <w:rsid w:val="00134590"/>
    <w:rsid w:val="00134626"/>
    <w:rsid w:val="00134737"/>
    <w:rsid w:val="001347BE"/>
    <w:rsid w:val="00134815"/>
    <w:rsid w:val="00134894"/>
    <w:rsid w:val="00134A44"/>
    <w:rsid w:val="00134ABB"/>
    <w:rsid w:val="00134B63"/>
    <w:rsid w:val="00134C47"/>
    <w:rsid w:val="00135131"/>
    <w:rsid w:val="00135214"/>
    <w:rsid w:val="00135271"/>
    <w:rsid w:val="001352A5"/>
    <w:rsid w:val="001354D8"/>
    <w:rsid w:val="001354DB"/>
    <w:rsid w:val="001354E3"/>
    <w:rsid w:val="00135506"/>
    <w:rsid w:val="00135649"/>
    <w:rsid w:val="00135694"/>
    <w:rsid w:val="001356A1"/>
    <w:rsid w:val="00135761"/>
    <w:rsid w:val="001359DB"/>
    <w:rsid w:val="00135C2F"/>
    <w:rsid w:val="00135DE2"/>
    <w:rsid w:val="00135F98"/>
    <w:rsid w:val="0013601F"/>
    <w:rsid w:val="00136090"/>
    <w:rsid w:val="001360E4"/>
    <w:rsid w:val="001363BE"/>
    <w:rsid w:val="00136564"/>
    <w:rsid w:val="00136677"/>
    <w:rsid w:val="00136841"/>
    <w:rsid w:val="001368C2"/>
    <w:rsid w:val="001368D2"/>
    <w:rsid w:val="00136910"/>
    <w:rsid w:val="001369C7"/>
    <w:rsid w:val="00136A29"/>
    <w:rsid w:val="00136A72"/>
    <w:rsid w:val="00136B62"/>
    <w:rsid w:val="00136C2F"/>
    <w:rsid w:val="00136D8E"/>
    <w:rsid w:val="00136DAA"/>
    <w:rsid w:val="00136EAA"/>
    <w:rsid w:val="001370E0"/>
    <w:rsid w:val="00137143"/>
    <w:rsid w:val="00137241"/>
    <w:rsid w:val="001372D0"/>
    <w:rsid w:val="00137400"/>
    <w:rsid w:val="00137513"/>
    <w:rsid w:val="00137572"/>
    <w:rsid w:val="001375A8"/>
    <w:rsid w:val="001375BD"/>
    <w:rsid w:val="0013763E"/>
    <w:rsid w:val="001376EC"/>
    <w:rsid w:val="001378A3"/>
    <w:rsid w:val="00137A46"/>
    <w:rsid w:val="00137B35"/>
    <w:rsid w:val="00137C61"/>
    <w:rsid w:val="00137C85"/>
    <w:rsid w:val="00137CBC"/>
    <w:rsid w:val="00137E8F"/>
    <w:rsid w:val="00137FCE"/>
    <w:rsid w:val="0014013D"/>
    <w:rsid w:val="0014025A"/>
    <w:rsid w:val="00140398"/>
    <w:rsid w:val="00140713"/>
    <w:rsid w:val="001408DB"/>
    <w:rsid w:val="00140AF1"/>
    <w:rsid w:val="00140AFF"/>
    <w:rsid w:val="00140CBA"/>
    <w:rsid w:val="00140D00"/>
    <w:rsid w:val="00140DAF"/>
    <w:rsid w:val="00140E10"/>
    <w:rsid w:val="00140EC0"/>
    <w:rsid w:val="00140F70"/>
    <w:rsid w:val="00140FAA"/>
    <w:rsid w:val="00141090"/>
    <w:rsid w:val="0014109E"/>
    <w:rsid w:val="00141167"/>
    <w:rsid w:val="00141295"/>
    <w:rsid w:val="00141353"/>
    <w:rsid w:val="00141410"/>
    <w:rsid w:val="0014142B"/>
    <w:rsid w:val="0014146B"/>
    <w:rsid w:val="001414F0"/>
    <w:rsid w:val="00141608"/>
    <w:rsid w:val="001416D5"/>
    <w:rsid w:val="001417F3"/>
    <w:rsid w:val="00141997"/>
    <w:rsid w:val="001419CF"/>
    <w:rsid w:val="00141A36"/>
    <w:rsid w:val="00141ABD"/>
    <w:rsid w:val="00141CCD"/>
    <w:rsid w:val="00141CF5"/>
    <w:rsid w:val="0014208A"/>
    <w:rsid w:val="0014291C"/>
    <w:rsid w:val="00142B73"/>
    <w:rsid w:val="00142E36"/>
    <w:rsid w:val="00142EA8"/>
    <w:rsid w:val="00142FE2"/>
    <w:rsid w:val="00143042"/>
    <w:rsid w:val="001430A9"/>
    <w:rsid w:val="00143169"/>
    <w:rsid w:val="001432F1"/>
    <w:rsid w:val="0014341E"/>
    <w:rsid w:val="001435A2"/>
    <w:rsid w:val="001436B6"/>
    <w:rsid w:val="001437D4"/>
    <w:rsid w:val="001437D5"/>
    <w:rsid w:val="00143880"/>
    <w:rsid w:val="0014397E"/>
    <w:rsid w:val="00143B2F"/>
    <w:rsid w:val="00143B80"/>
    <w:rsid w:val="00143BA6"/>
    <w:rsid w:val="00143BC3"/>
    <w:rsid w:val="00143DEB"/>
    <w:rsid w:val="00143EE4"/>
    <w:rsid w:val="00143F54"/>
    <w:rsid w:val="00144118"/>
    <w:rsid w:val="0014439A"/>
    <w:rsid w:val="001444A6"/>
    <w:rsid w:val="001444C9"/>
    <w:rsid w:val="00144565"/>
    <w:rsid w:val="001447F7"/>
    <w:rsid w:val="00144828"/>
    <w:rsid w:val="0014482A"/>
    <w:rsid w:val="001449EA"/>
    <w:rsid w:val="00144A4F"/>
    <w:rsid w:val="00144ABF"/>
    <w:rsid w:val="00144AE0"/>
    <w:rsid w:val="00144B2D"/>
    <w:rsid w:val="00144B5D"/>
    <w:rsid w:val="00144BDC"/>
    <w:rsid w:val="00144D70"/>
    <w:rsid w:val="00144DA4"/>
    <w:rsid w:val="00144F34"/>
    <w:rsid w:val="00144FF2"/>
    <w:rsid w:val="00145015"/>
    <w:rsid w:val="001450D0"/>
    <w:rsid w:val="0014510B"/>
    <w:rsid w:val="00145273"/>
    <w:rsid w:val="0014555A"/>
    <w:rsid w:val="0014558B"/>
    <w:rsid w:val="001455A8"/>
    <w:rsid w:val="00145799"/>
    <w:rsid w:val="00145B2A"/>
    <w:rsid w:val="00145CFE"/>
    <w:rsid w:val="00145E25"/>
    <w:rsid w:val="00145EED"/>
    <w:rsid w:val="00145F2C"/>
    <w:rsid w:val="00145F60"/>
    <w:rsid w:val="00146190"/>
    <w:rsid w:val="001461CD"/>
    <w:rsid w:val="00146287"/>
    <w:rsid w:val="001463C4"/>
    <w:rsid w:val="0014640F"/>
    <w:rsid w:val="001464F2"/>
    <w:rsid w:val="00146547"/>
    <w:rsid w:val="001468A8"/>
    <w:rsid w:val="00146997"/>
    <w:rsid w:val="00146CA5"/>
    <w:rsid w:val="00146CF0"/>
    <w:rsid w:val="00146CFE"/>
    <w:rsid w:val="00146D14"/>
    <w:rsid w:val="00146D4A"/>
    <w:rsid w:val="00146EDB"/>
    <w:rsid w:val="00146F55"/>
    <w:rsid w:val="00146FC3"/>
    <w:rsid w:val="00147165"/>
    <w:rsid w:val="00147252"/>
    <w:rsid w:val="0014731D"/>
    <w:rsid w:val="0014769F"/>
    <w:rsid w:val="0014772E"/>
    <w:rsid w:val="00147A07"/>
    <w:rsid w:val="00147A79"/>
    <w:rsid w:val="00147B5E"/>
    <w:rsid w:val="00147C58"/>
    <w:rsid w:val="00147D7E"/>
    <w:rsid w:val="00147FB8"/>
    <w:rsid w:val="0015019D"/>
    <w:rsid w:val="001503DF"/>
    <w:rsid w:val="001506C2"/>
    <w:rsid w:val="001506EF"/>
    <w:rsid w:val="0015072C"/>
    <w:rsid w:val="0015077D"/>
    <w:rsid w:val="00150B81"/>
    <w:rsid w:val="00150BF6"/>
    <w:rsid w:val="00150E24"/>
    <w:rsid w:val="00150EF5"/>
    <w:rsid w:val="00150F2E"/>
    <w:rsid w:val="00151282"/>
    <w:rsid w:val="0015141C"/>
    <w:rsid w:val="0015146B"/>
    <w:rsid w:val="00151491"/>
    <w:rsid w:val="00151525"/>
    <w:rsid w:val="00151544"/>
    <w:rsid w:val="001515F4"/>
    <w:rsid w:val="00151603"/>
    <w:rsid w:val="00151637"/>
    <w:rsid w:val="001516E5"/>
    <w:rsid w:val="00151860"/>
    <w:rsid w:val="001518A6"/>
    <w:rsid w:val="00151904"/>
    <w:rsid w:val="00151B07"/>
    <w:rsid w:val="00151B0E"/>
    <w:rsid w:val="00151B2A"/>
    <w:rsid w:val="00151BC5"/>
    <w:rsid w:val="00151C77"/>
    <w:rsid w:val="00151D7F"/>
    <w:rsid w:val="00151F98"/>
    <w:rsid w:val="00152165"/>
    <w:rsid w:val="00152258"/>
    <w:rsid w:val="001522AE"/>
    <w:rsid w:val="001523CF"/>
    <w:rsid w:val="001524EB"/>
    <w:rsid w:val="001526E2"/>
    <w:rsid w:val="0015271A"/>
    <w:rsid w:val="00152789"/>
    <w:rsid w:val="001527FF"/>
    <w:rsid w:val="00152878"/>
    <w:rsid w:val="00152BDC"/>
    <w:rsid w:val="00152CF9"/>
    <w:rsid w:val="00152D10"/>
    <w:rsid w:val="00152D3A"/>
    <w:rsid w:val="00152D5D"/>
    <w:rsid w:val="00152E74"/>
    <w:rsid w:val="0015316B"/>
    <w:rsid w:val="001532AC"/>
    <w:rsid w:val="001532E4"/>
    <w:rsid w:val="001533C8"/>
    <w:rsid w:val="00153592"/>
    <w:rsid w:val="001535CF"/>
    <w:rsid w:val="001535DD"/>
    <w:rsid w:val="00153731"/>
    <w:rsid w:val="001537C5"/>
    <w:rsid w:val="001537EF"/>
    <w:rsid w:val="001539E2"/>
    <w:rsid w:val="00153B37"/>
    <w:rsid w:val="00153E05"/>
    <w:rsid w:val="00153E33"/>
    <w:rsid w:val="00153E71"/>
    <w:rsid w:val="00153F34"/>
    <w:rsid w:val="001540E5"/>
    <w:rsid w:val="00154156"/>
    <w:rsid w:val="0015425D"/>
    <w:rsid w:val="001542E6"/>
    <w:rsid w:val="001543A1"/>
    <w:rsid w:val="00154511"/>
    <w:rsid w:val="00154525"/>
    <w:rsid w:val="0015455F"/>
    <w:rsid w:val="0015478D"/>
    <w:rsid w:val="0015479F"/>
    <w:rsid w:val="001547EE"/>
    <w:rsid w:val="0015492F"/>
    <w:rsid w:val="00154A10"/>
    <w:rsid w:val="00154A6B"/>
    <w:rsid w:val="00154BD4"/>
    <w:rsid w:val="00154CAE"/>
    <w:rsid w:val="00154CFD"/>
    <w:rsid w:val="00154EF5"/>
    <w:rsid w:val="00154F2F"/>
    <w:rsid w:val="0015526C"/>
    <w:rsid w:val="0015527D"/>
    <w:rsid w:val="00155283"/>
    <w:rsid w:val="0015532C"/>
    <w:rsid w:val="001554D6"/>
    <w:rsid w:val="001555AD"/>
    <w:rsid w:val="0015563E"/>
    <w:rsid w:val="0015568E"/>
    <w:rsid w:val="001556B4"/>
    <w:rsid w:val="00155706"/>
    <w:rsid w:val="00155828"/>
    <w:rsid w:val="00155886"/>
    <w:rsid w:val="001558AB"/>
    <w:rsid w:val="0015593C"/>
    <w:rsid w:val="00155A6B"/>
    <w:rsid w:val="00155B6B"/>
    <w:rsid w:val="00155C2D"/>
    <w:rsid w:val="00155CDF"/>
    <w:rsid w:val="00155D55"/>
    <w:rsid w:val="00155E2D"/>
    <w:rsid w:val="00155F2C"/>
    <w:rsid w:val="00155F5B"/>
    <w:rsid w:val="00156019"/>
    <w:rsid w:val="00156057"/>
    <w:rsid w:val="001560A0"/>
    <w:rsid w:val="001561BE"/>
    <w:rsid w:val="00156379"/>
    <w:rsid w:val="001564BC"/>
    <w:rsid w:val="001564D9"/>
    <w:rsid w:val="00156556"/>
    <w:rsid w:val="0015673C"/>
    <w:rsid w:val="001567CE"/>
    <w:rsid w:val="001567E1"/>
    <w:rsid w:val="0015685C"/>
    <w:rsid w:val="00156AF7"/>
    <w:rsid w:val="00156B1A"/>
    <w:rsid w:val="00156B5E"/>
    <w:rsid w:val="00156BAC"/>
    <w:rsid w:val="00156BE4"/>
    <w:rsid w:val="00156C39"/>
    <w:rsid w:val="00156C73"/>
    <w:rsid w:val="00156E65"/>
    <w:rsid w:val="00156F52"/>
    <w:rsid w:val="001570DF"/>
    <w:rsid w:val="001570F7"/>
    <w:rsid w:val="00157175"/>
    <w:rsid w:val="00157282"/>
    <w:rsid w:val="00157284"/>
    <w:rsid w:val="00157368"/>
    <w:rsid w:val="001574B7"/>
    <w:rsid w:val="001574D1"/>
    <w:rsid w:val="00157529"/>
    <w:rsid w:val="00157562"/>
    <w:rsid w:val="00157765"/>
    <w:rsid w:val="0015779E"/>
    <w:rsid w:val="0015798F"/>
    <w:rsid w:val="00157A2D"/>
    <w:rsid w:val="00157A5C"/>
    <w:rsid w:val="00157C0E"/>
    <w:rsid w:val="00157D8E"/>
    <w:rsid w:val="00157E1C"/>
    <w:rsid w:val="00157F0A"/>
    <w:rsid w:val="00157FDA"/>
    <w:rsid w:val="00160067"/>
    <w:rsid w:val="00160138"/>
    <w:rsid w:val="00160251"/>
    <w:rsid w:val="00160387"/>
    <w:rsid w:val="00160466"/>
    <w:rsid w:val="00160525"/>
    <w:rsid w:val="0016060C"/>
    <w:rsid w:val="0016066A"/>
    <w:rsid w:val="00160732"/>
    <w:rsid w:val="00160899"/>
    <w:rsid w:val="00160B39"/>
    <w:rsid w:val="00160BD1"/>
    <w:rsid w:val="00160C03"/>
    <w:rsid w:val="00160C1E"/>
    <w:rsid w:val="00160DBD"/>
    <w:rsid w:val="00160E53"/>
    <w:rsid w:val="00160ECB"/>
    <w:rsid w:val="00160ED2"/>
    <w:rsid w:val="00160FA8"/>
    <w:rsid w:val="00161006"/>
    <w:rsid w:val="001612BF"/>
    <w:rsid w:val="001612C4"/>
    <w:rsid w:val="0016131F"/>
    <w:rsid w:val="00161574"/>
    <w:rsid w:val="00161660"/>
    <w:rsid w:val="001618DA"/>
    <w:rsid w:val="00161BD1"/>
    <w:rsid w:val="00161D2C"/>
    <w:rsid w:val="00161DB4"/>
    <w:rsid w:val="00161F23"/>
    <w:rsid w:val="00162026"/>
    <w:rsid w:val="001620E4"/>
    <w:rsid w:val="0016227A"/>
    <w:rsid w:val="001622BA"/>
    <w:rsid w:val="0016234C"/>
    <w:rsid w:val="0016235A"/>
    <w:rsid w:val="0016236F"/>
    <w:rsid w:val="001623C1"/>
    <w:rsid w:val="001624C1"/>
    <w:rsid w:val="001624FE"/>
    <w:rsid w:val="00162560"/>
    <w:rsid w:val="001625E0"/>
    <w:rsid w:val="001625F2"/>
    <w:rsid w:val="0016260A"/>
    <w:rsid w:val="0016272F"/>
    <w:rsid w:val="0016278F"/>
    <w:rsid w:val="0016282F"/>
    <w:rsid w:val="00162838"/>
    <w:rsid w:val="001628DD"/>
    <w:rsid w:val="001629F8"/>
    <w:rsid w:val="00162AC7"/>
    <w:rsid w:val="00162C06"/>
    <w:rsid w:val="00162C4A"/>
    <w:rsid w:val="00162D24"/>
    <w:rsid w:val="00162E4E"/>
    <w:rsid w:val="00162EDA"/>
    <w:rsid w:val="00162F3D"/>
    <w:rsid w:val="0016328D"/>
    <w:rsid w:val="00163354"/>
    <w:rsid w:val="001633DC"/>
    <w:rsid w:val="00163621"/>
    <w:rsid w:val="00163B1B"/>
    <w:rsid w:val="00164036"/>
    <w:rsid w:val="00164052"/>
    <w:rsid w:val="00164192"/>
    <w:rsid w:val="00164196"/>
    <w:rsid w:val="001641BE"/>
    <w:rsid w:val="00164251"/>
    <w:rsid w:val="0016428D"/>
    <w:rsid w:val="001642DB"/>
    <w:rsid w:val="0016430F"/>
    <w:rsid w:val="001645B6"/>
    <w:rsid w:val="00164735"/>
    <w:rsid w:val="001647E8"/>
    <w:rsid w:val="0016485F"/>
    <w:rsid w:val="00164D89"/>
    <w:rsid w:val="00164E0F"/>
    <w:rsid w:val="00164E6F"/>
    <w:rsid w:val="00164ED6"/>
    <w:rsid w:val="00164EF2"/>
    <w:rsid w:val="00164FA1"/>
    <w:rsid w:val="00164FE2"/>
    <w:rsid w:val="0016506D"/>
    <w:rsid w:val="001651E1"/>
    <w:rsid w:val="00165202"/>
    <w:rsid w:val="00165303"/>
    <w:rsid w:val="00165388"/>
    <w:rsid w:val="0016545A"/>
    <w:rsid w:val="001655E7"/>
    <w:rsid w:val="001656F1"/>
    <w:rsid w:val="001657B9"/>
    <w:rsid w:val="00165A4B"/>
    <w:rsid w:val="00165A50"/>
    <w:rsid w:val="00165A91"/>
    <w:rsid w:val="00165A98"/>
    <w:rsid w:val="00165D0B"/>
    <w:rsid w:val="00165DC4"/>
    <w:rsid w:val="00165F3D"/>
    <w:rsid w:val="00165FAF"/>
    <w:rsid w:val="0016601A"/>
    <w:rsid w:val="0016607D"/>
    <w:rsid w:val="001660F8"/>
    <w:rsid w:val="00166188"/>
    <w:rsid w:val="001661AE"/>
    <w:rsid w:val="0016622F"/>
    <w:rsid w:val="00166337"/>
    <w:rsid w:val="00166357"/>
    <w:rsid w:val="001664CA"/>
    <w:rsid w:val="00166554"/>
    <w:rsid w:val="001666AD"/>
    <w:rsid w:val="001666F2"/>
    <w:rsid w:val="00166735"/>
    <w:rsid w:val="00166797"/>
    <w:rsid w:val="001668FA"/>
    <w:rsid w:val="00166B59"/>
    <w:rsid w:val="00166B67"/>
    <w:rsid w:val="00166CC0"/>
    <w:rsid w:val="00166D3F"/>
    <w:rsid w:val="00166DCC"/>
    <w:rsid w:val="00166E70"/>
    <w:rsid w:val="00166F77"/>
    <w:rsid w:val="001670E8"/>
    <w:rsid w:val="00167166"/>
    <w:rsid w:val="00167187"/>
    <w:rsid w:val="00167215"/>
    <w:rsid w:val="00167267"/>
    <w:rsid w:val="001677A3"/>
    <w:rsid w:val="00167910"/>
    <w:rsid w:val="00167B7B"/>
    <w:rsid w:val="00167BF6"/>
    <w:rsid w:val="00167CA7"/>
    <w:rsid w:val="00167CC8"/>
    <w:rsid w:val="00167CCD"/>
    <w:rsid w:val="00167DA9"/>
    <w:rsid w:val="0016D097"/>
    <w:rsid w:val="00170050"/>
    <w:rsid w:val="001700D3"/>
    <w:rsid w:val="001701DA"/>
    <w:rsid w:val="00170222"/>
    <w:rsid w:val="00170250"/>
    <w:rsid w:val="00170384"/>
    <w:rsid w:val="00170448"/>
    <w:rsid w:val="0017063D"/>
    <w:rsid w:val="00170710"/>
    <w:rsid w:val="00170885"/>
    <w:rsid w:val="001708EF"/>
    <w:rsid w:val="0017090C"/>
    <w:rsid w:val="0017093C"/>
    <w:rsid w:val="00170966"/>
    <w:rsid w:val="0017099E"/>
    <w:rsid w:val="001709BD"/>
    <w:rsid w:val="001709D3"/>
    <w:rsid w:val="00170B9F"/>
    <w:rsid w:val="00170E23"/>
    <w:rsid w:val="00170F37"/>
    <w:rsid w:val="00171114"/>
    <w:rsid w:val="00171130"/>
    <w:rsid w:val="001714F0"/>
    <w:rsid w:val="001715A5"/>
    <w:rsid w:val="001716E4"/>
    <w:rsid w:val="001717D2"/>
    <w:rsid w:val="0017187D"/>
    <w:rsid w:val="001719F1"/>
    <w:rsid w:val="00171A31"/>
    <w:rsid w:val="00171AB4"/>
    <w:rsid w:val="00171B5F"/>
    <w:rsid w:val="00171CB5"/>
    <w:rsid w:val="00171D0F"/>
    <w:rsid w:val="00171E98"/>
    <w:rsid w:val="00171EE3"/>
    <w:rsid w:val="00171F3D"/>
    <w:rsid w:val="00172006"/>
    <w:rsid w:val="00172011"/>
    <w:rsid w:val="00172083"/>
    <w:rsid w:val="0017212B"/>
    <w:rsid w:val="0017215E"/>
    <w:rsid w:val="001724AD"/>
    <w:rsid w:val="001727D9"/>
    <w:rsid w:val="001727F8"/>
    <w:rsid w:val="001728AD"/>
    <w:rsid w:val="00172BA2"/>
    <w:rsid w:val="00172CDD"/>
    <w:rsid w:val="00172D2E"/>
    <w:rsid w:val="00172D45"/>
    <w:rsid w:val="00172E45"/>
    <w:rsid w:val="00172F2C"/>
    <w:rsid w:val="0017303A"/>
    <w:rsid w:val="001730BB"/>
    <w:rsid w:val="001730D1"/>
    <w:rsid w:val="001731C7"/>
    <w:rsid w:val="001731CA"/>
    <w:rsid w:val="001731D8"/>
    <w:rsid w:val="00173213"/>
    <w:rsid w:val="001732EB"/>
    <w:rsid w:val="0017370D"/>
    <w:rsid w:val="001737DC"/>
    <w:rsid w:val="001738BB"/>
    <w:rsid w:val="001738EB"/>
    <w:rsid w:val="001739B8"/>
    <w:rsid w:val="001739D0"/>
    <w:rsid w:val="00173B64"/>
    <w:rsid w:val="00173BD8"/>
    <w:rsid w:val="00173CFB"/>
    <w:rsid w:val="00173D02"/>
    <w:rsid w:val="00173D09"/>
    <w:rsid w:val="00173D4A"/>
    <w:rsid w:val="00173F07"/>
    <w:rsid w:val="00173F97"/>
    <w:rsid w:val="00173FDE"/>
    <w:rsid w:val="00174067"/>
    <w:rsid w:val="00174074"/>
    <w:rsid w:val="00174111"/>
    <w:rsid w:val="001741F1"/>
    <w:rsid w:val="0017421F"/>
    <w:rsid w:val="001742B5"/>
    <w:rsid w:val="001742D1"/>
    <w:rsid w:val="0017444F"/>
    <w:rsid w:val="001745E9"/>
    <w:rsid w:val="00174712"/>
    <w:rsid w:val="00174777"/>
    <w:rsid w:val="00174876"/>
    <w:rsid w:val="00174994"/>
    <w:rsid w:val="001749A4"/>
    <w:rsid w:val="00174B0D"/>
    <w:rsid w:val="00174CC8"/>
    <w:rsid w:val="00174E45"/>
    <w:rsid w:val="00175070"/>
    <w:rsid w:val="0017516E"/>
    <w:rsid w:val="001751DD"/>
    <w:rsid w:val="001751E7"/>
    <w:rsid w:val="001752AA"/>
    <w:rsid w:val="00175511"/>
    <w:rsid w:val="00175626"/>
    <w:rsid w:val="00175627"/>
    <w:rsid w:val="0017579C"/>
    <w:rsid w:val="001758DA"/>
    <w:rsid w:val="001758F8"/>
    <w:rsid w:val="00175A99"/>
    <w:rsid w:val="00175B57"/>
    <w:rsid w:val="00175D53"/>
    <w:rsid w:val="00175DCC"/>
    <w:rsid w:val="00175E89"/>
    <w:rsid w:val="00175F7F"/>
    <w:rsid w:val="00175FF1"/>
    <w:rsid w:val="00176176"/>
    <w:rsid w:val="0017631C"/>
    <w:rsid w:val="001764A4"/>
    <w:rsid w:val="00176639"/>
    <w:rsid w:val="001767FA"/>
    <w:rsid w:val="0017687F"/>
    <w:rsid w:val="001768EB"/>
    <w:rsid w:val="00176920"/>
    <w:rsid w:val="0017698B"/>
    <w:rsid w:val="00176A06"/>
    <w:rsid w:val="00176A56"/>
    <w:rsid w:val="00176A9E"/>
    <w:rsid w:val="00176B17"/>
    <w:rsid w:val="00176BD6"/>
    <w:rsid w:val="00176D1F"/>
    <w:rsid w:val="00176D2D"/>
    <w:rsid w:val="00176E67"/>
    <w:rsid w:val="00176ED3"/>
    <w:rsid w:val="00176FC3"/>
    <w:rsid w:val="00177082"/>
    <w:rsid w:val="0017709F"/>
    <w:rsid w:val="0017728E"/>
    <w:rsid w:val="001772C0"/>
    <w:rsid w:val="001773F8"/>
    <w:rsid w:val="001775D6"/>
    <w:rsid w:val="00177716"/>
    <w:rsid w:val="0017785D"/>
    <w:rsid w:val="00177A10"/>
    <w:rsid w:val="00177E16"/>
    <w:rsid w:val="00177F62"/>
    <w:rsid w:val="00177F9F"/>
    <w:rsid w:val="00177FF2"/>
    <w:rsid w:val="0018006E"/>
    <w:rsid w:val="0018019B"/>
    <w:rsid w:val="0018031E"/>
    <w:rsid w:val="0018053E"/>
    <w:rsid w:val="0018060C"/>
    <w:rsid w:val="001806D7"/>
    <w:rsid w:val="00180734"/>
    <w:rsid w:val="00180A23"/>
    <w:rsid w:val="00180B10"/>
    <w:rsid w:val="00180D31"/>
    <w:rsid w:val="0018116C"/>
    <w:rsid w:val="00181219"/>
    <w:rsid w:val="001813F1"/>
    <w:rsid w:val="00181483"/>
    <w:rsid w:val="00181624"/>
    <w:rsid w:val="001816B1"/>
    <w:rsid w:val="00181707"/>
    <w:rsid w:val="00181833"/>
    <w:rsid w:val="001819CD"/>
    <w:rsid w:val="00181A0B"/>
    <w:rsid w:val="00181A59"/>
    <w:rsid w:val="00181CC4"/>
    <w:rsid w:val="00181DB5"/>
    <w:rsid w:val="00181DD0"/>
    <w:rsid w:val="00181DFF"/>
    <w:rsid w:val="00181E2D"/>
    <w:rsid w:val="00181FA9"/>
    <w:rsid w:val="00181FE4"/>
    <w:rsid w:val="00182194"/>
    <w:rsid w:val="001821B9"/>
    <w:rsid w:val="001822B0"/>
    <w:rsid w:val="0018245C"/>
    <w:rsid w:val="00182462"/>
    <w:rsid w:val="001824F7"/>
    <w:rsid w:val="00182659"/>
    <w:rsid w:val="00182909"/>
    <w:rsid w:val="0018292A"/>
    <w:rsid w:val="00182930"/>
    <w:rsid w:val="001829C2"/>
    <w:rsid w:val="001829C8"/>
    <w:rsid w:val="00182C0D"/>
    <w:rsid w:val="00182E2A"/>
    <w:rsid w:val="00182EDF"/>
    <w:rsid w:val="0018307D"/>
    <w:rsid w:val="00183152"/>
    <w:rsid w:val="0018315A"/>
    <w:rsid w:val="0018315D"/>
    <w:rsid w:val="001833B4"/>
    <w:rsid w:val="0018352A"/>
    <w:rsid w:val="001837AB"/>
    <w:rsid w:val="00183913"/>
    <w:rsid w:val="0018392C"/>
    <w:rsid w:val="00183978"/>
    <w:rsid w:val="00183A28"/>
    <w:rsid w:val="00183D34"/>
    <w:rsid w:val="00183FB4"/>
    <w:rsid w:val="0018400B"/>
    <w:rsid w:val="00184164"/>
    <w:rsid w:val="0018420B"/>
    <w:rsid w:val="00184340"/>
    <w:rsid w:val="00184372"/>
    <w:rsid w:val="00184547"/>
    <w:rsid w:val="001845A9"/>
    <w:rsid w:val="00184600"/>
    <w:rsid w:val="001846AB"/>
    <w:rsid w:val="00184838"/>
    <w:rsid w:val="001848E5"/>
    <w:rsid w:val="00184CFF"/>
    <w:rsid w:val="00184D21"/>
    <w:rsid w:val="00184D9E"/>
    <w:rsid w:val="00184E75"/>
    <w:rsid w:val="00184ED0"/>
    <w:rsid w:val="00185037"/>
    <w:rsid w:val="00185095"/>
    <w:rsid w:val="0018509D"/>
    <w:rsid w:val="001850DF"/>
    <w:rsid w:val="00185184"/>
    <w:rsid w:val="00185203"/>
    <w:rsid w:val="00185235"/>
    <w:rsid w:val="001852D0"/>
    <w:rsid w:val="001853ED"/>
    <w:rsid w:val="001853F6"/>
    <w:rsid w:val="001854C2"/>
    <w:rsid w:val="001854F3"/>
    <w:rsid w:val="00185540"/>
    <w:rsid w:val="001856B7"/>
    <w:rsid w:val="0018573A"/>
    <w:rsid w:val="001857D0"/>
    <w:rsid w:val="00185850"/>
    <w:rsid w:val="0018586D"/>
    <w:rsid w:val="00185922"/>
    <w:rsid w:val="00185A90"/>
    <w:rsid w:val="00185B27"/>
    <w:rsid w:val="00185B98"/>
    <w:rsid w:val="00185E14"/>
    <w:rsid w:val="00185EC7"/>
    <w:rsid w:val="00185FB0"/>
    <w:rsid w:val="001860D9"/>
    <w:rsid w:val="001861AF"/>
    <w:rsid w:val="00186380"/>
    <w:rsid w:val="001863A0"/>
    <w:rsid w:val="00186480"/>
    <w:rsid w:val="001864C1"/>
    <w:rsid w:val="0018669E"/>
    <w:rsid w:val="001866A3"/>
    <w:rsid w:val="001866BE"/>
    <w:rsid w:val="0018675E"/>
    <w:rsid w:val="001869E1"/>
    <w:rsid w:val="00186A55"/>
    <w:rsid w:val="00186AEC"/>
    <w:rsid w:val="00186B6D"/>
    <w:rsid w:val="00186C47"/>
    <w:rsid w:val="00186E80"/>
    <w:rsid w:val="0018704F"/>
    <w:rsid w:val="00187212"/>
    <w:rsid w:val="0018738D"/>
    <w:rsid w:val="00187505"/>
    <w:rsid w:val="0018762C"/>
    <w:rsid w:val="0018766D"/>
    <w:rsid w:val="001878A0"/>
    <w:rsid w:val="001878F5"/>
    <w:rsid w:val="00187AA8"/>
    <w:rsid w:val="00187BC7"/>
    <w:rsid w:val="00187D32"/>
    <w:rsid w:val="00187D77"/>
    <w:rsid w:val="00187E76"/>
    <w:rsid w:val="001901E0"/>
    <w:rsid w:val="00190327"/>
    <w:rsid w:val="00190572"/>
    <w:rsid w:val="00190824"/>
    <w:rsid w:val="00190850"/>
    <w:rsid w:val="001908DB"/>
    <w:rsid w:val="0019092F"/>
    <w:rsid w:val="001909CA"/>
    <w:rsid w:val="00190B6C"/>
    <w:rsid w:val="00190FD3"/>
    <w:rsid w:val="0019105D"/>
    <w:rsid w:val="00191188"/>
    <w:rsid w:val="001911C3"/>
    <w:rsid w:val="00191319"/>
    <w:rsid w:val="001914E3"/>
    <w:rsid w:val="00191595"/>
    <w:rsid w:val="001917DF"/>
    <w:rsid w:val="00191815"/>
    <w:rsid w:val="00191A36"/>
    <w:rsid w:val="00191F4B"/>
    <w:rsid w:val="00191FF7"/>
    <w:rsid w:val="001922A4"/>
    <w:rsid w:val="001922A9"/>
    <w:rsid w:val="001923A8"/>
    <w:rsid w:val="0019248F"/>
    <w:rsid w:val="001925C2"/>
    <w:rsid w:val="00192609"/>
    <w:rsid w:val="00192654"/>
    <w:rsid w:val="001927EF"/>
    <w:rsid w:val="001928AD"/>
    <w:rsid w:val="001929EE"/>
    <w:rsid w:val="00192B19"/>
    <w:rsid w:val="00192B83"/>
    <w:rsid w:val="00192CD1"/>
    <w:rsid w:val="00192DA7"/>
    <w:rsid w:val="00192E00"/>
    <w:rsid w:val="00192F17"/>
    <w:rsid w:val="00193086"/>
    <w:rsid w:val="0019308A"/>
    <w:rsid w:val="001930AD"/>
    <w:rsid w:val="001930CD"/>
    <w:rsid w:val="001930E0"/>
    <w:rsid w:val="001934F1"/>
    <w:rsid w:val="001935B0"/>
    <w:rsid w:val="00193695"/>
    <w:rsid w:val="001936CE"/>
    <w:rsid w:val="00193A0F"/>
    <w:rsid w:val="00193B21"/>
    <w:rsid w:val="00193BD3"/>
    <w:rsid w:val="00193CBB"/>
    <w:rsid w:val="00193CC8"/>
    <w:rsid w:val="00193E66"/>
    <w:rsid w:val="00193F21"/>
    <w:rsid w:val="00193F46"/>
    <w:rsid w:val="00193F49"/>
    <w:rsid w:val="001940DE"/>
    <w:rsid w:val="0019411C"/>
    <w:rsid w:val="00194186"/>
    <w:rsid w:val="0019438C"/>
    <w:rsid w:val="00194421"/>
    <w:rsid w:val="001944F9"/>
    <w:rsid w:val="001946AD"/>
    <w:rsid w:val="00194736"/>
    <w:rsid w:val="00194762"/>
    <w:rsid w:val="00194C25"/>
    <w:rsid w:val="00194C87"/>
    <w:rsid w:val="00194E43"/>
    <w:rsid w:val="00194E6D"/>
    <w:rsid w:val="00194EFF"/>
    <w:rsid w:val="00194F64"/>
    <w:rsid w:val="00194FB5"/>
    <w:rsid w:val="0019518D"/>
    <w:rsid w:val="00195349"/>
    <w:rsid w:val="001954C8"/>
    <w:rsid w:val="001954DE"/>
    <w:rsid w:val="0019581B"/>
    <w:rsid w:val="00195960"/>
    <w:rsid w:val="001959C3"/>
    <w:rsid w:val="00195AB5"/>
    <w:rsid w:val="00195B03"/>
    <w:rsid w:val="00195C0E"/>
    <w:rsid w:val="00195C49"/>
    <w:rsid w:val="00195DAB"/>
    <w:rsid w:val="00195ED2"/>
    <w:rsid w:val="0019606F"/>
    <w:rsid w:val="0019613A"/>
    <w:rsid w:val="001962B3"/>
    <w:rsid w:val="0019639C"/>
    <w:rsid w:val="00196473"/>
    <w:rsid w:val="001966D5"/>
    <w:rsid w:val="001968B5"/>
    <w:rsid w:val="00196975"/>
    <w:rsid w:val="00196AF5"/>
    <w:rsid w:val="00196BAA"/>
    <w:rsid w:val="00196E14"/>
    <w:rsid w:val="00196EC8"/>
    <w:rsid w:val="00197402"/>
    <w:rsid w:val="00197484"/>
    <w:rsid w:val="0019749E"/>
    <w:rsid w:val="0019761C"/>
    <w:rsid w:val="00197656"/>
    <w:rsid w:val="001977B6"/>
    <w:rsid w:val="001977F4"/>
    <w:rsid w:val="00197A0D"/>
    <w:rsid w:val="00197B1C"/>
    <w:rsid w:val="00197BC2"/>
    <w:rsid w:val="00197C4F"/>
    <w:rsid w:val="00197CB5"/>
    <w:rsid w:val="00197CD5"/>
    <w:rsid w:val="00197F72"/>
    <w:rsid w:val="0019E948"/>
    <w:rsid w:val="001A0049"/>
    <w:rsid w:val="001A005C"/>
    <w:rsid w:val="001A0108"/>
    <w:rsid w:val="001A01BD"/>
    <w:rsid w:val="001A02C3"/>
    <w:rsid w:val="001A03BD"/>
    <w:rsid w:val="001A051B"/>
    <w:rsid w:val="001A053E"/>
    <w:rsid w:val="001A057F"/>
    <w:rsid w:val="001A05AC"/>
    <w:rsid w:val="001A06EE"/>
    <w:rsid w:val="001A0702"/>
    <w:rsid w:val="001A0744"/>
    <w:rsid w:val="001A07CB"/>
    <w:rsid w:val="001A082D"/>
    <w:rsid w:val="001A09C0"/>
    <w:rsid w:val="001A0AB6"/>
    <w:rsid w:val="001A0CAB"/>
    <w:rsid w:val="001A0CB3"/>
    <w:rsid w:val="001A0DAC"/>
    <w:rsid w:val="001A0E91"/>
    <w:rsid w:val="001A10C4"/>
    <w:rsid w:val="001A115C"/>
    <w:rsid w:val="001A174E"/>
    <w:rsid w:val="001A1784"/>
    <w:rsid w:val="001A1799"/>
    <w:rsid w:val="001A1A5E"/>
    <w:rsid w:val="001A1BDC"/>
    <w:rsid w:val="001A1C5D"/>
    <w:rsid w:val="001A1C8D"/>
    <w:rsid w:val="001A1CFE"/>
    <w:rsid w:val="001A1DEB"/>
    <w:rsid w:val="001A1E5B"/>
    <w:rsid w:val="001A1E5E"/>
    <w:rsid w:val="001A228F"/>
    <w:rsid w:val="001A2314"/>
    <w:rsid w:val="001A233B"/>
    <w:rsid w:val="001A238D"/>
    <w:rsid w:val="001A2419"/>
    <w:rsid w:val="001A249A"/>
    <w:rsid w:val="001A24C2"/>
    <w:rsid w:val="001A2566"/>
    <w:rsid w:val="001A2662"/>
    <w:rsid w:val="001A2685"/>
    <w:rsid w:val="001A2750"/>
    <w:rsid w:val="001A292A"/>
    <w:rsid w:val="001A29C7"/>
    <w:rsid w:val="001A2A9D"/>
    <w:rsid w:val="001A2AD7"/>
    <w:rsid w:val="001A2B0A"/>
    <w:rsid w:val="001A2B5D"/>
    <w:rsid w:val="001A2D30"/>
    <w:rsid w:val="001A2EA2"/>
    <w:rsid w:val="001A2F47"/>
    <w:rsid w:val="001A2F4C"/>
    <w:rsid w:val="001A3142"/>
    <w:rsid w:val="001A32A2"/>
    <w:rsid w:val="001A3357"/>
    <w:rsid w:val="001A3376"/>
    <w:rsid w:val="001A339B"/>
    <w:rsid w:val="001A349D"/>
    <w:rsid w:val="001A34B0"/>
    <w:rsid w:val="001A34DD"/>
    <w:rsid w:val="001A353F"/>
    <w:rsid w:val="001A35BB"/>
    <w:rsid w:val="001A3623"/>
    <w:rsid w:val="001A376C"/>
    <w:rsid w:val="001A3A48"/>
    <w:rsid w:val="001A3B9D"/>
    <w:rsid w:val="001A3C83"/>
    <w:rsid w:val="001A3D01"/>
    <w:rsid w:val="001A3E7C"/>
    <w:rsid w:val="001A3E9A"/>
    <w:rsid w:val="001A3EE0"/>
    <w:rsid w:val="001A4103"/>
    <w:rsid w:val="001A43E6"/>
    <w:rsid w:val="001A450D"/>
    <w:rsid w:val="001A4577"/>
    <w:rsid w:val="001A46A3"/>
    <w:rsid w:val="001A476F"/>
    <w:rsid w:val="001A47C9"/>
    <w:rsid w:val="001A4939"/>
    <w:rsid w:val="001A4D2B"/>
    <w:rsid w:val="001A4D8C"/>
    <w:rsid w:val="001A4DAC"/>
    <w:rsid w:val="001A4DE0"/>
    <w:rsid w:val="001A4E1B"/>
    <w:rsid w:val="001A4E3F"/>
    <w:rsid w:val="001A4FFA"/>
    <w:rsid w:val="001A5210"/>
    <w:rsid w:val="001A529A"/>
    <w:rsid w:val="001A53CE"/>
    <w:rsid w:val="001A540C"/>
    <w:rsid w:val="001A54E9"/>
    <w:rsid w:val="001A5714"/>
    <w:rsid w:val="001A57FD"/>
    <w:rsid w:val="001A5A1E"/>
    <w:rsid w:val="001A5BE4"/>
    <w:rsid w:val="001A5C52"/>
    <w:rsid w:val="001A5DD0"/>
    <w:rsid w:val="001A5E68"/>
    <w:rsid w:val="001A604A"/>
    <w:rsid w:val="001A60BB"/>
    <w:rsid w:val="001A60D6"/>
    <w:rsid w:val="001A6239"/>
    <w:rsid w:val="001A62BA"/>
    <w:rsid w:val="001A6372"/>
    <w:rsid w:val="001A6459"/>
    <w:rsid w:val="001A6463"/>
    <w:rsid w:val="001A6552"/>
    <w:rsid w:val="001A6622"/>
    <w:rsid w:val="001A6631"/>
    <w:rsid w:val="001A6698"/>
    <w:rsid w:val="001A66A1"/>
    <w:rsid w:val="001A6714"/>
    <w:rsid w:val="001A6792"/>
    <w:rsid w:val="001A6B57"/>
    <w:rsid w:val="001A6C00"/>
    <w:rsid w:val="001A6ED4"/>
    <w:rsid w:val="001A6FA8"/>
    <w:rsid w:val="001A7042"/>
    <w:rsid w:val="001A70AD"/>
    <w:rsid w:val="001A710E"/>
    <w:rsid w:val="001A7123"/>
    <w:rsid w:val="001A7280"/>
    <w:rsid w:val="001A72A1"/>
    <w:rsid w:val="001A72BB"/>
    <w:rsid w:val="001A72C7"/>
    <w:rsid w:val="001A73AA"/>
    <w:rsid w:val="001A7424"/>
    <w:rsid w:val="001A7476"/>
    <w:rsid w:val="001A74DA"/>
    <w:rsid w:val="001A74EE"/>
    <w:rsid w:val="001A7520"/>
    <w:rsid w:val="001A76D1"/>
    <w:rsid w:val="001A77BE"/>
    <w:rsid w:val="001A7805"/>
    <w:rsid w:val="001A7865"/>
    <w:rsid w:val="001A78E2"/>
    <w:rsid w:val="001A79E8"/>
    <w:rsid w:val="001A7B57"/>
    <w:rsid w:val="001A7C76"/>
    <w:rsid w:val="001A7D95"/>
    <w:rsid w:val="001A7DF4"/>
    <w:rsid w:val="001B00C2"/>
    <w:rsid w:val="001B039E"/>
    <w:rsid w:val="001B03A6"/>
    <w:rsid w:val="001B048D"/>
    <w:rsid w:val="001B04C2"/>
    <w:rsid w:val="001B055E"/>
    <w:rsid w:val="001B062A"/>
    <w:rsid w:val="001B06C3"/>
    <w:rsid w:val="001B098A"/>
    <w:rsid w:val="001B0990"/>
    <w:rsid w:val="001B09D5"/>
    <w:rsid w:val="001B09DA"/>
    <w:rsid w:val="001B0A9F"/>
    <w:rsid w:val="001B0B27"/>
    <w:rsid w:val="001B0C5B"/>
    <w:rsid w:val="001B0C68"/>
    <w:rsid w:val="001B0E71"/>
    <w:rsid w:val="001B0E99"/>
    <w:rsid w:val="001B106A"/>
    <w:rsid w:val="001B1104"/>
    <w:rsid w:val="001B1260"/>
    <w:rsid w:val="001B131A"/>
    <w:rsid w:val="001B15F6"/>
    <w:rsid w:val="001B15FA"/>
    <w:rsid w:val="001B1731"/>
    <w:rsid w:val="001B17EB"/>
    <w:rsid w:val="001B1839"/>
    <w:rsid w:val="001B185C"/>
    <w:rsid w:val="001B1C0F"/>
    <w:rsid w:val="001B1C9D"/>
    <w:rsid w:val="001B1D3A"/>
    <w:rsid w:val="001B1D64"/>
    <w:rsid w:val="001B1EAB"/>
    <w:rsid w:val="001B20CD"/>
    <w:rsid w:val="001B22A3"/>
    <w:rsid w:val="001B22E8"/>
    <w:rsid w:val="001B2332"/>
    <w:rsid w:val="001B28DB"/>
    <w:rsid w:val="001B2B6B"/>
    <w:rsid w:val="001B2BE7"/>
    <w:rsid w:val="001B2E00"/>
    <w:rsid w:val="001B2E20"/>
    <w:rsid w:val="001B2E99"/>
    <w:rsid w:val="001B30DA"/>
    <w:rsid w:val="001B33B4"/>
    <w:rsid w:val="001B3630"/>
    <w:rsid w:val="001B36ED"/>
    <w:rsid w:val="001B387B"/>
    <w:rsid w:val="001B3984"/>
    <w:rsid w:val="001B3A42"/>
    <w:rsid w:val="001B3CE1"/>
    <w:rsid w:val="001B3E65"/>
    <w:rsid w:val="001B3ED2"/>
    <w:rsid w:val="001B4169"/>
    <w:rsid w:val="001B4231"/>
    <w:rsid w:val="001B4378"/>
    <w:rsid w:val="001B438E"/>
    <w:rsid w:val="001B446C"/>
    <w:rsid w:val="001B4534"/>
    <w:rsid w:val="001B454B"/>
    <w:rsid w:val="001B46ED"/>
    <w:rsid w:val="001B4883"/>
    <w:rsid w:val="001B490A"/>
    <w:rsid w:val="001B4A5A"/>
    <w:rsid w:val="001B4A63"/>
    <w:rsid w:val="001B4B0E"/>
    <w:rsid w:val="001B4B6D"/>
    <w:rsid w:val="001B4B73"/>
    <w:rsid w:val="001B4C90"/>
    <w:rsid w:val="001B4CB2"/>
    <w:rsid w:val="001B4DC6"/>
    <w:rsid w:val="001B4E20"/>
    <w:rsid w:val="001B5175"/>
    <w:rsid w:val="001B5179"/>
    <w:rsid w:val="001B51F5"/>
    <w:rsid w:val="001B52A3"/>
    <w:rsid w:val="001B534D"/>
    <w:rsid w:val="001B53BC"/>
    <w:rsid w:val="001B55AE"/>
    <w:rsid w:val="001B55D7"/>
    <w:rsid w:val="001B56EF"/>
    <w:rsid w:val="001B5884"/>
    <w:rsid w:val="001B5906"/>
    <w:rsid w:val="001B5913"/>
    <w:rsid w:val="001B5B53"/>
    <w:rsid w:val="001B5D1A"/>
    <w:rsid w:val="001B5DB8"/>
    <w:rsid w:val="001B5DCF"/>
    <w:rsid w:val="001B5E7B"/>
    <w:rsid w:val="001B5E7D"/>
    <w:rsid w:val="001B5EE8"/>
    <w:rsid w:val="001B5F43"/>
    <w:rsid w:val="001B62D9"/>
    <w:rsid w:val="001B647F"/>
    <w:rsid w:val="001B64B8"/>
    <w:rsid w:val="001B65AE"/>
    <w:rsid w:val="001B663F"/>
    <w:rsid w:val="001B6660"/>
    <w:rsid w:val="001B667E"/>
    <w:rsid w:val="001B672A"/>
    <w:rsid w:val="001B6792"/>
    <w:rsid w:val="001B67C2"/>
    <w:rsid w:val="001B6929"/>
    <w:rsid w:val="001B6A0D"/>
    <w:rsid w:val="001B6B1E"/>
    <w:rsid w:val="001B6B45"/>
    <w:rsid w:val="001B6B9E"/>
    <w:rsid w:val="001B6BD8"/>
    <w:rsid w:val="001B6E60"/>
    <w:rsid w:val="001B70FD"/>
    <w:rsid w:val="001B7371"/>
    <w:rsid w:val="001B7518"/>
    <w:rsid w:val="001B77F4"/>
    <w:rsid w:val="001B78C1"/>
    <w:rsid w:val="001B796B"/>
    <w:rsid w:val="001B7C61"/>
    <w:rsid w:val="001B7DEE"/>
    <w:rsid w:val="001B7DFA"/>
    <w:rsid w:val="001B7F6D"/>
    <w:rsid w:val="001B7FC1"/>
    <w:rsid w:val="001B7FDA"/>
    <w:rsid w:val="001C00E3"/>
    <w:rsid w:val="001C00F9"/>
    <w:rsid w:val="001C01C6"/>
    <w:rsid w:val="001C01FE"/>
    <w:rsid w:val="001C026F"/>
    <w:rsid w:val="001C02EE"/>
    <w:rsid w:val="001C0490"/>
    <w:rsid w:val="001C0554"/>
    <w:rsid w:val="001C05AE"/>
    <w:rsid w:val="001C07DB"/>
    <w:rsid w:val="001C0898"/>
    <w:rsid w:val="001C0A21"/>
    <w:rsid w:val="001C0A65"/>
    <w:rsid w:val="001C0A91"/>
    <w:rsid w:val="001C0AEE"/>
    <w:rsid w:val="001C0B40"/>
    <w:rsid w:val="001C0C47"/>
    <w:rsid w:val="001C0CD0"/>
    <w:rsid w:val="001C0D4E"/>
    <w:rsid w:val="001C1070"/>
    <w:rsid w:val="001C11AE"/>
    <w:rsid w:val="001C1240"/>
    <w:rsid w:val="001C12B4"/>
    <w:rsid w:val="001C12D9"/>
    <w:rsid w:val="001C1309"/>
    <w:rsid w:val="001C1406"/>
    <w:rsid w:val="001C148C"/>
    <w:rsid w:val="001C16D0"/>
    <w:rsid w:val="001C17CF"/>
    <w:rsid w:val="001C185A"/>
    <w:rsid w:val="001C1A6B"/>
    <w:rsid w:val="001C1B3C"/>
    <w:rsid w:val="001C1D1B"/>
    <w:rsid w:val="001C1DC9"/>
    <w:rsid w:val="001C1F97"/>
    <w:rsid w:val="001C1FE5"/>
    <w:rsid w:val="001C1FEB"/>
    <w:rsid w:val="001C20F1"/>
    <w:rsid w:val="001C218A"/>
    <w:rsid w:val="001C2210"/>
    <w:rsid w:val="001C22BD"/>
    <w:rsid w:val="001C259D"/>
    <w:rsid w:val="001C25D5"/>
    <w:rsid w:val="001C26FF"/>
    <w:rsid w:val="001C2768"/>
    <w:rsid w:val="001C2935"/>
    <w:rsid w:val="001C2996"/>
    <w:rsid w:val="001C299A"/>
    <w:rsid w:val="001C2A57"/>
    <w:rsid w:val="001C2B9F"/>
    <w:rsid w:val="001C2BB5"/>
    <w:rsid w:val="001C2DE6"/>
    <w:rsid w:val="001C2F4C"/>
    <w:rsid w:val="001C3014"/>
    <w:rsid w:val="001C3036"/>
    <w:rsid w:val="001C32DB"/>
    <w:rsid w:val="001C3328"/>
    <w:rsid w:val="001C3374"/>
    <w:rsid w:val="001C365A"/>
    <w:rsid w:val="001C3834"/>
    <w:rsid w:val="001C3930"/>
    <w:rsid w:val="001C3978"/>
    <w:rsid w:val="001C3A5C"/>
    <w:rsid w:val="001C3AE3"/>
    <w:rsid w:val="001C3B27"/>
    <w:rsid w:val="001C3B79"/>
    <w:rsid w:val="001C3BAB"/>
    <w:rsid w:val="001C3C2B"/>
    <w:rsid w:val="001C3D1B"/>
    <w:rsid w:val="001C3EC9"/>
    <w:rsid w:val="001C3F28"/>
    <w:rsid w:val="001C4192"/>
    <w:rsid w:val="001C4225"/>
    <w:rsid w:val="001C42FD"/>
    <w:rsid w:val="001C439E"/>
    <w:rsid w:val="001C4615"/>
    <w:rsid w:val="001C462B"/>
    <w:rsid w:val="001C4663"/>
    <w:rsid w:val="001C46E3"/>
    <w:rsid w:val="001C47B2"/>
    <w:rsid w:val="001C47CA"/>
    <w:rsid w:val="001C4855"/>
    <w:rsid w:val="001C4A07"/>
    <w:rsid w:val="001C4A35"/>
    <w:rsid w:val="001C4B9B"/>
    <w:rsid w:val="001C4CDF"/>
    <w:rsid w:val="001C4D5B"/>
    <w:rsid w:val="001C4DAE"/>
    <w:rsid w:val="001C4DD1"/>
    <w:rsid w:val="001C4EE5"/>
    <w:rsid w:val="001C4F1A"/>
    <w:rsid w:val="001C5008"/>
    <w:rsid w:val="001C5033"/>
    <w:rsid w:val="001C504A"/>
    <w:rsid w:val="001C5082"/>
    <w:rsid w:val="001C5098"/>
    <w:rsid w:val="001C50AD"/>
    <w:rsid w:val="001C5223"/>
    <w:rsid w:val="001C5242"/>
    <w:rsid w:val="001C5250"/>
    <w:rsid w:val="001C525D"/>
    <w:rsid w:val="001C52C3"/>
    <w:rsid w:val="001C535D"/>
    <w:rsid w:val="001C53A8"/>
    <w:rsid w:val="001C5476"/>
    <w:rsid w:val="001C563D"/>
    <w:rsid w:val="001C57BD"/>
    <w:rsid w:val="001C5801"/>
    <w:rsid w:val="001C587A"/>
    <w:rsid w:val="001C593D"/>
    <w:rsid w:val="001C5A4F"/>
    <w:rsid w:val="001C5B9D"/>
    <w:rsid w:val="001C5BAE"/>
    <w:rsid w:val="001C5C2E"/>
    <w:rsid w:val="001C5C3F"/>
    <w:rsid w:val="001C5C7A"/>
    <w:rsid w:val="001C5E07"/>
    <w:rsid w:val="001C5E2B"/>
    <w:rsid w:val="001C60A0"/>
    <w:rsid w:val="001C622C"/>
    <w:rsid w:val="001C63C3"/>
    <w:rsid w:val="001C640C"/>
    <w:rsid w:val="001C6506"/>
    <w:rsid w:val="001C655A"/>
    <w:rsid w:val="001C65EA"/>
    <w:rsid w:val="001C6605"/>
    <w:rsid w:val="001C6685"/>
    <w:rsid w:val="001C6727"/>
    <w:rsid w:val="001C674B"/>
    <w:rsid w:val="001C681E"/>
    <w:rsid w:val="001C6860"/>
    <w:rsid w:val="001C691B"/>
    <w:rsid w:val="001C6A8F"/>
    <w:rsid w:val="001C6D2F"/>
    <w:rsid w:val="001C6D9D"/>
    <w:rsid w:val="001C6FBE"/>
    <w:rsid w:val="001C7318"/>
    <w:rsid w:val="001C7469"/>
    <w:rsid w:val="001C752C"/>
    <w:rsid w:val="001C75CE"/>
    <w:rsid w:val="001C7619"/>
    <w:rsid w:val="001C7755"/>
    <w:rsid w:val="001C7949"/>
    <w:rsid w:val="001C7A12"/>
    <w:rsid w:val="001C7A3C"/>
    <w:rsid w:val="001C7B56"/>
    <w:rsid w:val="001C7C2E"/>
    <w:rsid w:val="001C7D1B"/>
    <w:rsid w:val="001C7D81"/>
    <w:rsid w:val="001C7F98"/>
    <w:rsid w:val="001D003E"/>
    <w:rsid w:val="001D0163"/>
    <w:rsid w:val="001D024A"/>
    <w:rsid w:val="001D0250"/>
    <w:rsid w:val="001D0256"/>
    <w:rsid w:val="001D035A"/>
    <w:rsid w:val="001D05C2"/>
    <w:rsid w:val="001D071B"/>
    <w:rsid w:val="001D0724"/>
    <w:rsid w:val="001D0868"/>
    <w:rsid w:val="001D0881"/>
    <w:rsid w:val="001D08A4"/>
    <w:rsid w:val="001D08C9"/>
    <w:rsid w:val="001D08F3"/>
    <w:rsid w:val="001D09E7"/>
    <w:rsid w:val="001D0A39"/>
    <w:rsid w:val="001D0BAF"/>
    <w:rsid w:val="001D0CAC"/>
    <w:rsid w:val="001D0D9E"/>
    <w:rsid w:val="001D0E01"/>
    <w:rsid w:val="001D0F12"/>
    <w:rsid w:val="001D0F13"/>
    <w:rsid w:val="001D0F91"/>
    <w:rsid w:val="001D10C3"/>
    <w:rsid w:val="001D11C3"/>
    <w:rsid w:val="001D11E0"/>
    <w:rsid w:val="001D1383"/>
    <w:rsid w:val="001D1579"/>
    <w:rsid w:val="001D16B3"/>
    <w:rsid w:val="001D188C"/>
    <w:rsid w:val="001D1891"/>
    <w:rsid w:val="001D18EF"/>
    <w:rsid w:val="001D1903"/>
    <w:rsid w:val="001D19A9"/>
    <w:rsid w:val="001D19CF"/>
    <w:rsid w:val="001D1D3B"/>
    <w:rsid w:val="001D1D3C"/>
    <w:rsid w:val="001D1D59"/>
    <w:rsid w:val="001D1DBA"/>
    <w:rsid w:val="001D1DEB"/>
    <w:rsid w:val="001D1E19"/>
    <w:rsid w:val="001D1F9A"/>
    <w:rsid w:val="001D2103"/>
    <w:rsid w:val="001D2174"/>
    <w:rsid w:val="001D2182"/>
    <w:rsid w:val="001D2245"/>
    <w:rsid w:val="001D23A4"/>
    <w:rsid w:val="001D2478"/>
    <w:rsid w:val="001D268F"/>
    <w:rsid w:val="001D2865"/>
    <w:rsid w:val="001D2A4E"/>
    <w:rsid w:val="001D2A6A"/>
    <w:rsid w:val="001D2C5C"/>
    <w:rsid w:val="001D2C7E"/>
    <w:rsid w:val="001D2D06"/>
    <w:rsid w:val="001D2D0D"/>
    <w:rsid w:val="001D2E8C"/>
    <w:rsid w:val="001D306C"/>
    <w:rsid w:val="001D366E"/>
    <w:rsid w:val="001D36B1"/>
    <w:rsid w:val="001D390C"/>
    <w:rsid w:val="001D3A60"/>
    <w:rsid w:val="001D3D24"/>
    <w:rsid w:val="001D3DE0"/>
    <w:rsid w:val="001D3F3F"/>
    <w:rsid w:val="001D3F70"/>
    <w:rsid w:val="001D3FA7"/>
    <w:rsid w:val="001D3FD9"/>
    <w:rsid w:val="001D40CD"/>
    <w:rsid w:val="001D424F"/>
    <w:rsid w:val="001D42E4"/>
    <w:rsid w:val="001D43D8"/>
    <w:rsid w:val="001D449E"/>
    <w:rsid w:val="001D45CA"/>
    <w:rsid w:val="001D470A"/>
    <w:rsid w:val="001D4793"/>
    <w:rsid w:val="001D47CC"/>
    <w:rsid w:val="001D48DC"/>
    <w:rsid w:val="001D4AED"/>
    <w:rsid w:val="001D4C03"/>
    <w:rsid w:val="001D4C7B"/>
    <w:rsid w:val="001D4D01"/>
    <w:rsid w:val="001D4EE9"/>
    <w:rsid w:val="001D4F42"/>
    <w:rsid w:val="001D4F9D"/>
    <w:rsid w:val="001D50C8"/>
    <w:rsid w:val="001D5261"/>
    <w:rsid w:val="001D527F"/>
    <w:rsid w:val="001D54E6"/>
    <w:rsid w:val="001D5566"/>
    <w:rsid w:val="001D5829"/>
    <w:rsid w:val="001D5B98"/>
    <w:rsid w:val="001D5BF7"/>
    <w:rsid w:val="001D5C43"/>
    <w:rsid w:val="001D5F6F"/>
    <w:rsid w:val="001D6105"/>
    <w:rsid w:val="001D615E"/>
    <w:rsid w:val="001D64D9"/>
    <w:rsid w:val="001D64DD"/>
    <w:rsid w:val="001D65AE"/>
    <w:rsid w:val="001D668D"/>
    <w:rsid w:val="001D66AD"/>
    <w:rsid w:val="001D6764"/>
    <w:rsid w:val="001D69A8"/>
    <w:rsid w:val="001D6A8B"/>
    <w:rsid w:val="001D6AFD"/>
    <w:rsid w:val="001D6B8E"/>
    <w:rsid w:val="001D6BD6"/>
    <w:rsid w:val="001D6C09"/>
    <w:rsid w:val="001D6CCE"/>
    <w:rsid w:val="001D6D6E"/>
    <w:rsid w:val="001D6E34"/>
    <w:rsid w:val="001D6E43"/>
    <w:rsid w:val="001D6E54"/>
    <w:rsid w:val="001D70B6"/>
    <w:rsid w:val="001D71DF"/>
    <w:rsid w:val="001D7388"/>
    <w:rsid w:val="001D740A"/>
    <w:rsid w:val="001D750F"/>
    <w:rsid w:val="001D7843"/>
    <w:rsid w:val="001D797D"/>
    <w:rsid w:val="001D7ABB"/>
    <w:rsid w:val="001D7F33"/>
    <w:rsid w:val="001D7F8C"/>
    <w:rsid w:val="001D7FF0"/>
    <w:rsid w:val="001E0015"/>
    <w:rsid w:val="001E00C0"/>
    <w:rsid w:val="001E0142"/>
    <w:rsid w:val="001E0152"/>
    <w:rsid w:val="001E02A3"/>
    <w:rsid w:val="001E039C"/>
    <w:rsid w:val="001E03B3"/>
    <w:rsid w:val="001E0614"/>
    <w:rsid w:val="001E08A1"/>
    <w:rsid w:val="001E09BB"/>
    <w:rsid w:val="001E0BC9"/>
    <w:rsid w:val="001E0C4E"/>
    <w:rsid w:val="001E0C86"/>
    <w:rsid w:val="001E0D9A"/>
    <w:rsid w:val="001E0DAA"/>
    <w:rsid w:val="001E0E58"/>
    <w:rsid w:val="001E0EC1"/>
    <w:rsid w:val="001E0ED4"/>
    <w:rsid w:val="001E0FF0"/>
    <w:rsid w:val="001E1093"/>
    <w:rsid w:val="001E1207"/>
    <w:rsid w:val="001E14FE"/>
    <w:rsid w:val="001E1591"/>
    <w:rsid w:val="001E15D1"/>
    <w:rsid w:val="001E1669"/>
    <w:rsid w:val="001E1709"/>
    <w:rsid w:val="001E1860"/>
    <w:rsid w:val="001E1889"/>
    <w:rsid w:val="001E1890"/>
    <w:rsid w:val="001E18B7"/>
    <w:rsid w:val="001E1B46"/>
    <w:rsid w:val="001E1B6B"/>
    <w:rsid w:val="001E1B7C"/>
    <w:rsid w:val="001E1BE0"/>
    <w:rsid w:val="001E1C10"/>
    <w:rsid w:val="001E1CAE"/>
    <w:rsid w:val="001E1D8F"/>
    <w:rsid w:val="001E1DD2"/>
    <w:rsid w:val="001E1E7D"/>
    <w:rsid w:val="001E1FA8"/>
    <w:rsid w:val="001E204F"/>
    <w:rsid w:val="001E2125"/>
    <w:rsid w:val="001E229C"/>
    <w:rsid w:val="001E231B"/>
    <w:rsid w:val="001E233A"/>
    <w:rsid w:val="001E23F2"/>
    <w:rsid w:val="001E240E"/>
    <w:rsid w:val="001E272D"/>
    <w:rsid w:val="001E2948"/>
    <w:rsid w:val="001E296B"/>
    <w:rsid w:val="001E29F6"/>
    <w:rsid w:val="001E2A92"/>
    <w:rsid w:val="001E2AC7"/>
    <w:rsid w:val="001E2B9B"/>
    <w:rsid w:val="001E2D30"/>
    <w:rsid w:val="001E2E01"/>
    <w:rsid w:val="001E2E23"/>
    <w:rsid w:val="001E2FD0"/>
    <w:rsid w:val="001E310B"/>
    <w:rsid w:val="001E31F6"/>
    <w:rsid w:val="001E321C"/>
    <w:rsid w:val="001E3235"/>
    <w:rsid w:val="001E3291"/>
    <w:rsid w:val="001E32D4"/>
    <w:rsid w:val="001E332C"/>
    <w:rsid w:val="001E3518"/>
    <w:rsid w:val="001E368E"/>
    <w:rsid w:val="001E36A9"/>
    <w:rsid w:val="001E3751"/>
    <w:rsid w:val="001E3839"/>
    <w:rsid w:val="001E3893"/>
    <w:rsid w:val="001E3A8C"/>
    <w:rsid w:val="001E3CA7"/>
    <w:rsid w:val="001E3D02"/>
    <w:rsid w:val="001E3E23"/>
    <w:rsid w:val="001E3E29"/>
    <w:rsid w:val="001E3F41"/>
    <w:rsid w:val="001E4037"/>
    <w:rsid w:val="001E405F"/>
    <w:rsid w:val="001E4066"/>
    <w:rsid w:val="001E413A"/>
    <w:rsid w:val="001E418E"/>
    <w:rsid w:val="001E43E5"/>
    <w:rsid w:val="001E4545"/>
    <w:rsid w:val="001E456C"/>
    <w:rsid w:val="001E4761"/>
    <w:rsid w:val="001E4847"/>
    <w:rsid w:val="001E49DF"/>
    <w:rsid w:val="001E4ACB"/>
    <w:rsid w:val="001E4D19"/>
    <w:rsid w:val="001E4D97"/>
    <w:rsid w:val="001E4E3A"/>
    <w:rsid w:val="001E4F81"/>
    <w:rsid w:val="001E51A6"/>
    <w:rsid w:val="001E53BC"/>
    <w:rsid w:val="001E54DD"/>
    <w:rsid w:val="001E551D"/>
    <w:rsid w:val="001E55C5"/>
    <w:rsid w:val="001E55F3"/>
    <w:rsid w:val="001E5836"/>
    <w:rsid w:val="001E58CD"/>
    <w:rsid w:val="001E591E"/>
    <w:rsid w:val="001E59A6"/>
    <w:rsid w:val="001E5AA8"/>
    <w:rsid w:val="001E5D85"/>
    <w:rsid w:val="001E602A"/>
    <w:rsid w:val="001E6138"/>
    <w:rsid w:val="001E6264"/>
    <w:rsid w:val="001E639E"/>
    <w:rsid w:val="001E6500"/>
    <w:rsid w:val="001E6593"/>
    <w:rsid w:val="001E678C"/>
    <w:rsid w:val="001E67BA"/>
    <w:rsid w:val="001E681E"/>
    <w:rsid w:val="001E6C13"/>
    <w:rsid w:val="001E6CF7"/>
    <w:rsid w:val="001E6DA8"/>
    <w:rsid w:val="001E6F0D"/>
    <w:rsid w:val="001E70A4"/>
    <w:rsid w:val="001E7245"/>
    <w:rsid w:val="001E7264"/>
    <w:rsid w:val="001E73FE"/>
    <w:rsid w:val="001E7417"/>
    <w:rsid w:val="001E7461"/>
    <w:rsid w:val="001E75A2"/>
    <w:rsid w:val="001E7722"/>
    <w:rsid w:val="001E7813"/>
    <w:rsid w:val="001E7A40"/>
    <w:rsid w:val="001E7A54"/>
    <w:rsid w:val="001E7B3B"/>
    <w:rsid w:val="001E7C9A"/>
    <w:rsid w:val="001E7DF5"/>
    <w:rsid w:val="001E7E9C"/>
    <w:rsid w:val="001E7EE6"/>
    <w:rsid w:val="001E7F3E"/>
    <w:rsid w:val="001F003D"/>
    <w:rsid w:val="001F00DF"/>
    <w:rsid w:val="001F0194"/>
    <w:rsid w:val="001F01CF"/>
    <w:rsid w:val="001F025A"/>
    <w:rsid w:val="001F0295"/>
    <w:rsid w:val="001F0381"/>
    <w:rsid w:val="001F068A"/>
    <w:rsid w:val="001F0878"/>
    <w:rsid w:val="001F08AF"/>
    <w:rsid w:val="001F09CD"/>
    <w:rsid w:val="001F09F9"/>
    <w:rsid w:val="001F0A07"/>
    <w:rsid w:val="001F0A68"/>
    <w:rsid w:val="001F0AD4"/>
    <w:rsid w:val="001F0CBC"/>
    <w:rsid w:val="001F0E2A"/>
    <w:rsid w:val="001F0E41"/>
    <w:rsid w:val="001F0F3C"/>
    <w:rsid w:val="001F11D5"/>
    <w:rsid w:val="001F11F7"/>
    <w:rsid w:val="001F139B"/>
    <w:rsid w:val="001F1752"/>
    <w:rsid w:val="001F17C2"/>
    <w:rsid w:val="001F18A7"/>
    <w:rsid w:val="001F18D2"/>
    <w:rsid w:val="001F192C"/>
    <w:rsid w:val="001F19A5"/>
    <w:rsid w:val="001F1A55"/>
    <w:rsid w:val="001F1A69"/>
    <w:rsid w:val="001F1A76"/>
    <w:rsid w:val="001F1AE6"/>
    <w:rsid w:val="001F1B76"/>
    <w:rsid w:val="001F1C1A"/>
    <w:rsid w:val="001F1C99"/>
    <w:rsid w:val="001F1E02"/>
    <w:rsid w:val="001F1E3D"/>
    <w:rsid w:val="001F1F84"/>
    <w:rsid w:val="001F20B6"/>
    <w:rsid w:val="001F22DE"/>
    <w:rsid w:val="001F22F9"/>
    <w:rsid w:val="001F2308"/>
    <w:rsid w:val="001F2312"/>
    <w:rsid w:val="001F239B"/>
    <w:rsid w:val="001F24C9"/>
    <w:rsid w:val="001F2620"/>
    <w:rsid w:val="001F2A1D"/>
    <w:rsid w:val="001F2A73"/>
    <w:rsid w:val="001F2D42"/>
    <w:rsid w:val="001F2E1A"/>
    <w:rsid w:val="001F2E8D"/>
    <w:rsid w:val="001F2F9C"/>
    <w:rsid w:val="001F30EE"/>
    <w:rsid w:val="001F3145"/>
    <w:rsid w:val="001F31FC"/>
    <w:rsid w:val="001F3268"/>
    <w:rsid w:val="001F34A8"/>
    <w:rsid w:val="001F3505"/>
    <w:rsid w:val="001F3519"/>
    <w:rsid w:val="001F3614"/>
    <w:rsid w:val="001F36E3"/>
    <w:rsid w:val="001F375E"/>
    <w:rsid w:val="001F377A"/>
    <w:rsid w:val="001F386C"/>
    <w:rsid w:val="001F3944"/>
    <w:rsid w:val="001F39C0"/>
    <w:rsid w:val="001F3C19"/>
    <w:rsid w:val="001F3CCE"/>
    <w:rsid w:val="001F40E8"/>
    <w:rsid w:val="001F4237"/>
    <w:rsid w:val="001F4238"/>
    <w:rsid w:val="001F433C"/>
    <w:rsid w:val="001F4404"/>
    <w:rsid w:val="001F445E"/>
    <w:rsid w:val="001F451E"/>
    <w:rsid w:val="001F455C"/>
    <w:rsid w:val="001F45E7"/>
    <w:rsid w:val="001F47A5"/>
    <w:rsid w:val="001F4827"/>
    <w:rsid w:val="001F4948"/>
    <w:rsid w:val="001F4B10"/>
    <w:rsid w:val="001F4B85"/>
    <w:rsid w:val="001F4B8F"/>
    <w:rsid w:val="001F4BD1"/>
    <w:rsid w:val="001F4C9A"/>
    <w:rsid w:val="001F4CA3"/>
    <w:rsid w:val="001F4DD5"/>
    <w:rsid w:val="001F4E22"/>
    <w:rsid w:val="001F4FC4"/>
    <w:rsid w:val="001F5100"/>
    <w:rsid w:val="001F5104"/>
    <w:rsid w:val="001F52BB"/>
    <w:rsid w:val="001F561B"/>
    <w:rsid w:val="001F567D"/>
    <w:rsid w:val="001F5684"/>
    <w:rsid w:val="001F584D"/>
    <w:rsid w:val="001F5904"/>
    <w:rsid w:val="001F594B"/>
    <w:rsid w:val="001F5A04"/>
    <w:rsid w:val="001F5CDD"/>
    <w:rsid w:val="001F5E61"/>
    <w:rsid w:val="001F61DC"/>
    <w:rsid w:val="001F625D"/>
    <w:rsid w:val="001F6315"/>
    <w:rsid w:val="001F63D7"/>
    <w:rsid w:val="001F65AD"/>
    <w:rsid w:val="001F65B2"/>
    <w:rsid w:val="001F6808"/>
    <w:rsid w:val="001F6959"/>
    <w:rsid w:val="001F6965"/>
    <w:rsid w:val="001F69B9"/>
    <w:rsid w:val="001F69CD"/>
    <w:rsid w:val="001F69D9"/>
    <w:rsid w:val="001F6A49"/>
    <w:rsid w:val="001F6ACF"/>
    <w:rsid w:val="001F6AE4"/>
    <w:rsid w:val="001F6B7E"/>
    <w:rsid w:val="001F6B80"/>
    <w:rsid w:val="001F6CF5"/>
    <w:rsid w:val="001F6D5B"/>
    <w:rsid w:val="001F6E44"/>
    <w:rsid w:val="001F6FE9"/>
    <w:rsid w:val="001F7039"/>
    <w:rsid w:val="001F7204"/>
    <w:rsid w:val="001F721E"/>
    <w:rsid w:val="001F73C0"/>
    <w:rsid w:val="001F74AC"/>
    <w:rsid w:val="001F7821"/>
    <w:rsid w:val="001F7863"/>
    <w:rsid w:val="001F7889"/>
    <w:rsid w:val="001F797C"/>
    <w:rsid w:val="001F7A5F"/>
    <w:rsid w:val="001F7ACB"/>
    <w:rsid w:val="001F7C82"/>
    <w:rsid w:val="001F7D21"/>
    <w:rsid w:val="001F7D34"/>
    <w:rsid w:val="001F7D62"/>
    <w:rsid w:val="001F7F61"/>
    <w:rsid w:val="001F7F8C"/>
    <w:rsid w:val="00200042"/>
    <w:rsid w:val="00200525"/>
    <w:rsid w:val="0020075C"/>
    <w:rsid w:val="002007E3"/>
    <w:rsid w:val="00200854"/>
    <w:rsid w:val="00200B52"/>
    <w:rsid w:val="00200C59"/>
    <w:rsid w:val="00200D2C"/>
    <w:rsid w:val="00200DD6"/>
    <w:rsid w:val="00200DF2"/>
    <w:rsid w:val="00200FEE"/>
    <w:rsid w:val="00201116"/>
    <w:rsid w:val="00201127"/>
    <w:rsid w:val="0020112A"/>
    <w:rsid w:val="00201169"/>
    <w:rsid w:val="0020118A"/>
    <w:rsid w:val="002011F1"/>
    <w:rsid w:val="0020142B"/>
    <w:rsid w:val="002014ED"/>
    <w:rsid w:val="00201742"/>
    <w:rsid w:val="0020177D"/>
    <w:rsid w:val="00201954"/>
    <w:rsid w:val="00201972"/>
    <w:rsid w:val="002019FB"/>
    <w:rsid w:val="00201B77"/>
    <w:rsid w:val="00201BCC"/>
    <w:rsid w:val="00201F40"/>
    <w:rsid w:val="00201F79"/>
    <w:rsid w:val="00201FFC"/>
    <w:rsid w:val="00202068"/>
    <w:rsid w:val="0020218C"/>
    <w:rsid w:val="002021D7"/>
    <w:rsid w:val="002022C1"/>
    <w:rsid w:val="002024BE"/>
    <w:rsid w:val="00202500"/>
    <w:rsid w:val="0020257A"/>
    <w:rsid w:val="0020259C"/>
    <w:rsid w:val="002025A9"/>
    <w:rsid w:val="002025D1"/>
    <w:rsid w:val="002025E8"/>
    <w:rsid w:val="00202A20"/>
    <w:rsid w:val="00202B45"/>
    <w:rsid w:val="00202D02"/>
    <w:rsid w:val="00202DB7"/>
    <w:rsid w:val="00202DCE"/>
    <w:rsid w:val="00202E90"/>
    <w:rsid w:val="00202EFF"/>
    <w:rsid w:val="00202F1A"/>
    <w:rsid w:val="00202FB8"/>
    <w:rsid w:val="00203196"/>
    <w:rsid w:val="002031F8"/>
    <w:rsid w:val="00203377"/>
    <w:rsid w:val="002034D4"/>
    <w:rsid w:val="0020360D"/>
    <w:rsid w:val="002038E9"/>
    <w:rsid w:val="002039B1"/>
    <w:rsid w:val="00203A2B"/>
    <w:rsid w:val="00203A33"/>
    <w:rsid w:val="00203A6A"/>
    <w:rsid w:val="00203B05"/>
    <w:rsid w:val="00203B67"/>
    <w:rsid w:val="00203C6D"/>
    <w:rsid w:val="00203E12"/>
    <w:rsid w:val="00203E62"/>
    <w:rsid w:val="002040B9"/>
    <w:rsid w:val="0020418D"/>
    <w:rsid w:val="002041CE"/>
    <w:rsid w:val="002042E2"/>
    <w:rsid w:val="002043B1"/>
    <w:rsid w:val="002043C1"/>
    <w:rsid w:val="00204516"/>
    <w:rsid w:val="00204680"/>
    <w:rsid w:val="002046DF"/>
    <w:rsid w:val="002047EC"/>
    <w:rsid w:val="0020483C"/>
    <w:rsid w:val="0020484E"/>
    <w:rsid w:val="0020499A"/>
    <w:rsid w:val="00204EE1"/>
    <w:rsid w:val="00205053"/>
    <w:rsid w:val="00205230"/>
    <w:rsid w:val="00205257"/>
    <w:rsid w:val="00205267"/>
    <w:rsid w:val="00205465"/>
    <w:rsid w:val="00205685"/>
    <w:rsid w:val="00205852"/>
    <w:rsid w:val="002058D6"/>
    <w:rsid w:val="002058DF"/>
    <w:rsid w:val="00205A5E"/>
    <w:rsid w:val="00205B2C"/>
    <w:rsid w:val="00205C41"/>
    <w:rsid w:val="00205E4B"/>
    <w:rsid w:val="00205E5E"/>
    <w:rsid w:val="00205EBA"/>
    <w:rsid w:val="00205ED7"/>
    <w:rsid w:val="00205FC9"/>
    <w:rsid w:val="00206091"/>
    <w:rsid w:val="002064D8"/>
    <w:rsid w:val="002066E1"/>
    <w:rsid w:val="00206773"/>
    <w:rsid w:val="00206801"/>
    <w:rsid w:val="00206893"/>
    <w:rsid w:val="00206C46"/>
    <w:rsid w:val="00206C53"/>
    <w:rsid w:val="00206C87"/>
    <w:rsid w:val="00206CCB"/>
    <w:rsid w:val="00206D98"/>
    <w:rsid w:val="00206E8E"/>
    <w:rsid w:val="002070D6"/>
    <w:rsid w:val="0020710B"/>
    <w:rsid w:val="002071BD"/>
    <w:rsid w:val="00207204"/>
    <w:rsid w:val="00207230"/>
    <w:rsid w:val="0020735F"/>
    <w:rsid w:val="00207503"/>
    <w:rsid w:val="0020768E"/>
    <w:rsid w:val="00207827"/>
    <w:rsid w:val="002078CB"/>
    <w:rsid w:val="002078D9"/>
    <w:rsid w:val="00207935"/>
    <w:rsid w:val="0020795A"/>
    <w:rsid w:val="0020795E"/>
    <w:rsid w:val="002079BF"/>
    <w:rsid w:val="00207AA6"/>
    <w:rsid w:val="00207C3F"/>
    <w:rsid w:val="00207DD4"/>
    <w:rsid w:val="00207E88"/>
    <w:rsid w:val="00207F69"/>
    <w:rsid w:val="00207F7D"/>
    <w:rsid w:val="00207F95"/>
    <w:rsid w:val="0021000B"/>
    <w:rsid w:val="00210042"/>
    <w:rsid w:val="002101DA"/>
    <w:rsid w:val="002102AE"/>
    <w:rsid w:val="00210319"/>
    <w:rsid w:val="002103A3"/>
    <w:rsid w:val="0021043E"/>
    <w:rsid w:val="00210498"/>
    <w:rsid w:val="002105B2"/>
    <w:rsid w:val="002105D0"/>
    <w:rsid w:val="0021064F"/>
    <w:rsid w:val="002106A9"/>
    <w:rsid w:val="0021074B"/>
    <w:rsid w:val="00210750"/>
    <w:rsid w:val="00210967"/>
    <w:rsid w:val="002109D9"/>
    <w:rsid w:val="00210AF4"/>
    <w:rsid w:val="00210BD8"/>
    <w:rsid w:val="00210C13"/>
    <w:rsid w:val="00210C61"/>
    <w:rsid w:val="00210D54"/>
    <w:rsid w:val="00210E1D"/>
    <w:rsid w:val="00210E81"/>
    <w:rsid w:val="002114BA"/>
    <w:rsid w:val="002115CF"/>
    <w:rsid w:val="002116B8"/>
    <w:rsid w:val="002117C1"/>
    <w:rsid w:val="00211827"/>
    <w:rsid w:val="0021192D"/>
    <w:rsid w:val="00211C33"/>
    <w:rsid w:val="00211C47"/>
    <w:rsid w:val="00211C48"/>
    <w:rsid w:val="00211CF3"/>
    <w:rsid w:val="00211DA6"/>
    <w:rsid w:val="00211F0C"/>
    <w:rsid w:val="00212055"/>
    <w:rsid w:val="00212083"/>
    <w:rsid w:val="002120BB"/>
    <w:rsid w:val="00212121"/>
    <w:rsid w:val="002121C4"/>
    <w:rsid w:val="00212232"/>
    <w:rsid w:val="00212256"/>
    <w:rsid w:val="00212435"/>
    <w:rsid w:val="002127E9"/>
    <w:rsid w:val="00212BEE"/>
    <w:rsid w:val="00212C53"/>
    <w:rsid w:val="00212C5C"/>
    <w:rsid w:val="00212C6F"/>
    <w:rsid w:val="00212CB1"/>
    <w:rsid w:val="00212CC1"/>
    <w:rsid w:val="00212D2E"/>
    <w:rsid w:val="00212D96"/>
    <w:rsid w:val="00212E36"/>
    <w:rsid w:val="00212EEF"/>
    <w:rsid w:val="00212F55"/>
    <w:rsid w:val="0021308D"/>
    <w:rsid w:val="00213136"/>
    <w:rsid w:val="00213142"/>
    <w:rsid w:val="0021317C"/>
    <w:rsid w:val="002131CC"/>
    <w:rsid w:val="0021323F"/>
    <w:rsid w:val="00213464"/>
    <w:rsid w:val="002136DA"/>
    <w:rsid w:val="0021380C"/>
    <w:rsid w:val="0021382F"/>
    <w:rsid w:val="00213859"/>
    <w:rsid w:val="002138BE"/>
    <w:rsid w:val="002138CB"/>
    <w:rsid w:val="0021394B"/>
    <w:rsid w:val="00213984"/>
    <w:rsid w:val="002139C9"/>
    <w:rsid w:val="002139F9"/>
    <w:rsid w:val="00213A7D"/>
    <w:rsid w:val="00213AB9"/>
    <w:rsid w:val="00213B4E"/>
    <w:rsid w:val="00213D03"/>
    <w:rsid w:val="00213D18"/>
    <w:rsid w:val="00213DEB"/>
    <w:rsid w:val="00213EEC"/>
    <w:rsid w:val="00213F08"/>
    <w:rsid w:val="00213FD2"/>
    <w:rsid w:val="00214105"/>
    <w:rsid w:val="002141C9"/>
    <w:rsid w:val="0021424A"/>
    <w:rsid w:val="00214408"/>
    <w:rsid w:val="002144E8"/>
    <w:rsid w:val="002145B6"/>
    <w:rsid w:val="002146B4"/>
    <w:rsid w:val="002147BB"/>
    <w:rsid w:val="0021491A"/>
    <w:rsid w:val="00214925"/>
    <w:rsid w:val="00214965"/>
    <w:rsid w:val="00214981"/>
    <w:rsid w:val="00214A14"/>
    <w:rsid w:val="00214AC1"/>
    <w:rsid w:val="00214ED3"/>
    <w:rsid w:val="00214EDA"/>
    <w:rsid w:val="00214F3D"/>
    <w:rsid w:val="00214FBC"/>
    <w:rsid w:val="00215212"/>
    <w:rsid w:val="0021527E"/>
    <w:rsid w:val="002152C2"/>
    <w:rsid w:val="00215384"/>
    <w:rsid w:val="002154C1"/>
    <w:rsid w:val="002154EB"/>
    <w:rsid w:val="00215560"/>
    <w:rsid w:val="002155BB"/>
    <w:rsid w:val="00215711"/>
    <w:rsid w:val="002157A7"/>
    <w:rsid w:val="002157AC"/>
    <w:rsid w:val="00215800"/>
    <w:rsid w:val="0021584E"/>
    <w:rsid w:val="0021589C"/>
    <w:rsid w:val="0021592B"/>
    <w:rsid w:val="00215B30"/>
    <w:rsid w:val="00215C21"/>
    <w:rsid w:val="00215E13"/>
    <w:rsid w:val="00215ECD"/>
    <w:rsid w:val="00215F23"/>
    <w:rsid w:val="00216231"/>
    <w:rsid w:val="0021632F"/>
    <w:rsid w:val="00216405"/>
    <w:rsid w:val="002164E4"/>
    <w:rsid w:val="00216548"/>
    <w:rsid w:val="002165BB"/>
    <w:rsid w:val="0021672D"/>
    <w:rsid w:val="002168EC"/>
    <w:rsid w:val="002169F8"/>
    <w:rsid w:val="00216A1C"/>
    <w:rsid w:val="00216C7E"/>
    <w:rsid w:val="00216FDD"/>
    <w:rsid w:val="002170A7"/>
    <w:rsid w:val="00217199"/>
    <w:rsid w:val="00217220"/>
    <w:rsid w:val="00217294"/>
    <w:rsid w:val="00217373"/>
    <w:rsid w:val="00217523"/>
    <w:rsid w:val="002176A9"/>
    <w:rsid w:val="0021777F"/>
    <w:rsid w:val="00217788"/>
    <w:rsid w:val="00217810"/>
    <w:rsid w:val="002178B7"/>
    <w:rsid w:val="00217B47"/>
    <w:rsid w:val="00217B7A"/>
    <w:rsid w:val="00217E34"/>
    <w:rsid w:val="00217E6D"/>
    <w:rsid w:val="00217EDE"/>
    <w:rsid w:val="0022002D"/>
    <w:rsid w:val="002202F4"/>
    <w:rsid w:val="00220355"/>
    <w:rsid w:val="0022037A"/>
    <w:rsid w:val="0022037D"/>
    <w:rsid w:val="0022070C"/>
    <w:rsid w:val="00220722"/>
    <w:rsid w:val="0022088E"/>
    <w:rsid w:val="00220CA5"/>
    <w:rsid w:val="00220EAE"/>
    <w:rsid w:val="00220EB0"/>
    <w:rsid w:val="00220F6A"/>
    <w:rsid w:val="0022104D"/>
    <w:rsid w:val="0022109C"/>
    <w:rsid w:val="002210B9"/>
    <w:rsid w:val="002210FD"/>
    <w:rsid w:val="0022118C"/>
    <w:rsid w:val="002211EA"/>
    <w:rsid w:val="00221283"/>
    <w:rsid w:val="0022138D"/>
    <w:rsid w:val="00221704"/>
    <w:rsid w:val="002218A3"/>
    <w:rsid w:val="00221907"/>
    <w:rsid w:val="00221997"/>
    <w:rsid w:val="00221BEB"/>
    <w:rsid w:val="00221D9B"/>
    <w:rsid w:val="00221DA8"/>
    <w:rsid w:val="00221E3F"/>
    <w:rsid w:val="002222E1"/>
    <w:rsid w:val="00222329"/>
    <w:rsid w:val="0022242C"/>
    <w:rsid w:val="00222521"/>
    <w:rsid w:val="00222565"/>
    <w:rsid w:val="00222AB5"/>
    <w:rsid w:val="00222AF2"/>
    <w:rsid w:val="00222CF5"/>
    <w:rsid w:val="00222D75"/>
    <w:rsid w:val="00222DD2"/>
    <w:rsid w:val="00222EAB"/>
    <w:rsid w:val="00222F62"/>
    <w:rsid w:val="00222F7A"/>
    <w:rsid w:val="00222F9E"/>
    <w:rsid w:val="00223477"/>
    <w:rsid w:val="00223715"/>
    <w:rsid w:val="0022388E"/>
    <w:rsid w:val="00223A93"/>
    <w:rsid w:val="00223DE1"/>
    <w:rsid w:val="00223E28"/>
    <w:rsid w:val="00223F9E"/>
    <w:rsid w:val="00223FE6"/>
    <w:rsid w:val="0022413D"/>
    <w:rsid w:val="00224254"/>
    <w:rsid w:val="0022428B"/>
    <w:rsid w:val="00224485"/>
    <w:rsid w:val="002244AF"/>
    <w:rsid w:val="00224733"/>
    <w:rsid w:val="00224775"/>
    <w:rsid w:val="002247FB"/>
    <w:rsid w:val="00224887"/>
    <w:rsid w:val="0022494A"/>
    <w:rsid w:val="00224AD1"/>
    <w:rsid w:val="00224B1E"/>
    <w:rsid w:val="00224B2B"/>
    <w:rsid w:val="00224B82"/>
    <w:rsid w:val="00224DE4"/>
    <w:rsid w:val="00224EEE"/>
    <w:rsid w:val="00224F4B"/>
    <w:rsid w:val="00225215"/>
    <w:rsid w:val="00225220"/>
    <w:rsid w:val="00225251"/>
    <w:rsid w:val="00225383"/>
    <w:rsid w:val="002255AA"/>
    <w:rsid w:val="002255B9"/>
    <w:rsid w:val="00225699"/>
    <w:rsid w:val="00225884"/>
    <w:rsid w:val="002259B3"/>
    <w:rsid w:val="002259F3"/>
    <w:rsid w:val="00225C6F"/>
    <w:rsid w:val="00225F23"/>
    <w:rsid w:val="00226047"/>
    <w:rsid w:val="002261CC"/>
    <w:rsid w:val="00226319"/>
    <w:rsid w:val="00226332"/>
    <w:rsid w:val="002263F0"/>
    <w:rsid w:val="00226415"/>
    <w:rsid w:val="0022643F"/>
    <w:rsid w:val="0022649F"/>
    <w:rsid w:val="00226580"/>
    <w:rsid w:val="002265FF"/>
    <w:rsid w:val="002266A3"/>
    <w:rsid w:val="002268B9"/>
    <w:rsid w:val="002268E7"/>
    <w:rsid w:val="0022693D"/>
    <w:rsid w:val="00226A16"/>
    <w:rsid w:val="00226A40"/>
    <w:rsid w:val="00226A61"/>
    <w:rsid w:val="00226C14"/>
    <w:rsid w:val="00226C52"/>
    <w:rsid w:val="00226E6E"/>
    <w:rsid w:val="00226F92"/>
    <w:rsid w:val="002272FD"/>
    <w:rsid w:val="00227398"/>
    <w:rsid w:val="00227493"/>
    <w:rsid w:val="00227558"/>
    <w:rsid w:val="002276BA"/>
    <w:rsid w:val="0022775C"/>
    <w:rsid w:val="0022780B"/>
    <w:rsid w:val="00227A7F"/>
    <w:rsid w:val="00227BD9"/>
    <w:rsid w:val="00227BEE"/>
    <w:rsid w:val="00227C7C"/>
    <w:rsid w:val="00227E63"/>
    <w:rsid w:val="00227E96"/>
    <w:rsid w:val="00227F22"/>
    <w:rsid w:val="00227F42"/>
    <w:rsid w:val="00227F6B"/>
    <w:rsid w:val="00227F95"/>
    <w:rsid w:val="0023008E"/>
    <w:rsid w:val="002300B6"/>
    <w:rsid w:val="00230155"/>
    <w:rsid w:val="00230352"/>
    <w:rsid w:val="00230478"/>
    <w:rsid w:val="0023051F"/>
    <w:rsid w:val="00230738"/>
    <w:rsid w:val="0023078F"/>
    <w:rsid w:val="0023086C"/>
    <w:rsid w:val="00230890"/>
    <w:rsid w:val="00230928"/>
    <w:rsid w:val="0023093B"/>
    <w:rsid w:val="002309E0"/>
    <w:rsid w:val="002309EB"/>
    <w:rsid w:val="00230E73"/>
    <w:rsid w:val="00230FE4"/>
    <w:rsid w:val="002311DC"/>
    <w:rsid w:val="00231312"/>
    <w:rsid w:val="002314DF"/>
    <w:rsid w:val="0023168C"/>
    <w:rsid w:val="00231762"/>
    <w:rsid w:val="0023177A"/>
    <w:rsid w:val="002318E3"/>
    <w:rsid w:val="00231969"/>
    <w:rsid w:val="00231991"/>
    <w:rsid w:val="00231ABE"/>
    <w:rsid w:val="00231B8E"/>
    <w:rsid w:val="00231BB1"/>
    <w:rsid w:val="00231C1B"/>
    <w:rsid w:val="00231C73"/>
    <w:rsid w:val="00231D17"/>
    <w:rsid w:val="00231D98"/>
    <w:rsid w:val="00231EC9"/>
    <w:rsid w:val="00231EEE"/>
    <w:rsid w:val="00231F4C"/>
    <w:rsid w:val="0023207F"/>
    <w:rsid w:val="002320E0"/>
    <w:rsid w:val="002321F0"/>
    <w:rsid w:val="002322BD"/>
    <w:rsid w:val="002322E8"/>
    <w:rsid w:val="00232334"/>
    <w:rsid w:val="0023234F"/>
    <w:rsid w:val="0023235C"/>
    <w:rsid w:val="002323DA"/>
    <w:rsid w:val="002324BC"/>
    <w:rsid w:val="00232580"/>
    <w:rsid w:val="002326E3"/>
    <w:rsid w:val="00232762"/>
    <w:rsid w:val="002327E6"/>
    <w:rsid w:val="0023282C"/>
    <w:rsid w:val="00232983"/>
    <w:rsid w:val="00232C08"/>
    <w:rsid w:val="00232D74"/>
    <w:rsid w:val="00232DA2"/>
    <w:rsid w:val="00232DEE"/>
    <w:rsid w:val="00232E73"/>
    <w:rsid w:val="00232EEA"/>
    <w:rsid w:val="00233397"/>
    <w:rsid w:val="002333A3"/>
    <w:rsid w:val="002333D0"/>
    <w:rsid w:val="0023345D"/>
    <w:rsid w:val="002334E9"/>
    <w:rsid w:val="00233553"/>
    <w:rsid w:val="00233607"/>
    <w:rsid w:val="00233680"/>
    <w:rsid w:val="0023380C"/>
    <w:rsid w:val="00233884"/>
    <w:rsid w:val="002338E4"/>
    <w:rsid w:val="00233A32"/>
    <w:rsid w:val="00233A9B"/>
    <w:rsid w:val="00233CEB"/>
    <w:rsid w:val="00233DF3"/>
    <w:rsid w:val="00233E4A"/>
    <w:rsid w:val="00233F06"/>
    <w:rsid w:val="00234170"/>
    <w:rsid w:val="00234180"/>
    <w:rsid w:val="002341BE"/>
    <w:rsid w:val="0023425E"/>
    <w:rsid w:val="0023430D"/>
    <w:rsid w:val="002344A4"/>
    <w:rsid w:val="0023474C"/>
    <w:rsid w:val="0023486D"/>
    <w:rsid w:val="00234874"/>
    <w:rsid w:val="002349F4"/>
    <w:rsid w:val="00234BF9"/>
    <w:rsid w:val="00234DBF"/>
    <w:rsid w:val="00234E21"/>
    <w:rsid w:val="00234F19"/>
    <w:rsid w:val="00234F4A"/>
    <w:rsid w:val="002350C0"/>
    <w:rsid w:val="0023514D"/>
    <w:rsid w:val="00235152"/>
    <w:rsid w:val="002352E9"/>
    <w:rsid w:val="002353AE"/>
    <w:rsid w:val="00235435"/>
    <w:rsid w:val="00235588"/>
    <w:rsid w:val="002355AD"/>
    <w:rsid w:val="002356E5"/>
    <w:rsid w:val="002357E7"/>
    <w:rsid w:val="0023599C"/>
    <w:rsid w:val="00235A48"/>
    <w:rsid w:val="00235B6B"/>
    <w:rsid w:val="00235C53"/>
    <w:rsid w:val="00235D25"/>
    <w:rsid w:val="00235DFB"/>
    <w:rsid w:val="00235E11"/>
    <w:rsid w:val="00235F71"/>
    <w:rsid w:val="00235FF4"/>
    <w:rsid w:val="002360AF"/>
    <w:rsid w:val="002360C4"/>
    <w:rsid w:val="002360E1"/>
    <w:rsid w:val="00236337"/>
    <w:rsid w:val="00236554"/>
    <w:rsid w:val="002367B9"/>
    <w:rsid w:val="00236C19"/>
    <w:rsid w:val="00236CF5"/>
    <w:rsid w:val="00236F34"/>
    <w:rsid w:val="00236F97"/>
    <w:rsid w:val="0023702F"/>
    <w:rsid w:val="00237138"/>
    <w:rsid w:val="002371ED"/>
    <w:rsid w:val="00237265"/>
    <w:rsid w:val="00237281"/>
    <w:rsid w:val="002372AF"/>
    <w:rsid w:val="00237306"/>
    <w:rsid w:val="00237551"/>
    <w:rsid w:val="00237605"/>
    <w:rsid w:val="00237629"/>
    <w:rsid w:val="002378C3"/>
    <w:rsid w:val="00237C81"/>
    <w:rsid w:val="00237CCF"/>
    <w:rsid w:val="00237CF3"/>
    <w:rsid w:val="00237D01"/>
    <w:rsid w:val="00237D8E"/>
    <w:rsid w:val="00237E61"/>
    <w:rsid w:val="00237EE3"/>
    <w:rsid w:val="00237F5D"/>
    <w:rsid w:val="002401BD"/>
    <w:rsid w:val="0024047F"/>
    <w:rsid w:val="0024060D"/>
    <w:rsid w:val="0024069E"/>
    <w:rsid w:val="0024073E"/>
    <w:rsid w:val="002407D4"/>
    <w:rsid w:val="00240A6B"/>
    <w:rsid w:val="00240B2F"/>
    <w:rsid w:val="00240C30"/>
    <w:rsid w:val="00240D9C"/>
    <w:rsid w:val="00240EB1"/>
    <w:rsid w:val="00240EF8"/>
    <w:rsid w:val="00240FB2"/>
    <w:rsid w:val="00241011"/>
    <w:rsid w:val="002410CF"/>
    <w:rsid w:val="002410D0"/>
    <w:rsid w:val="0024127C"/>
    <w:rsid w:val="002412AA"/>
    <w:rsid w:val="0024147F"/>
    <w:rsid w:val="002414C2"/>
    <w:rsid w:val="00241549"/>
    <w:rsid w:val="002415A3"/>
    <w:rsid w:val="00241719"/>
    <w:rsid w:val="0024173A"/>
    <w:rsid w:val="0024176D"/>
    <w:rsid w:val="00241989"/>
    <w:rsid w:val="002419FC"/>
    <w:rsid w:val="00241A6E"/>
    <w:rsid w:val="00241AFA"/>
    <w:rsid w:val="00241B10"/>
    <w:rsid w:val="00241B7D"/>
    <w:rsid w:val="00241B9A"/>
    <w:rsid w:val="00241BE7"/>
    <w:rsid w:val="00241BF4"/>
    <w:rsid w:val="00241D6B"/>
    <w:rsid w:val="00241DE1"/>
    <w:rsid w:val="00241DED"/>
    <w:rsid w:val="00241E18"/>
    <w:rsid w:val="00241F44"/>
    <w:rsid w:val="00242038"/>
    <w:rsid w:val="002420AF"/>
    <w:rsid w:val="00242195"/>
    <w:rsid w:val="0024228B"/>
    <w:rsid w:val="002422A2"/>
    <w:rsid w:val="002423F9"/>
    <w:rsid w:val="0024264C"/>
    <w:rsid w:val="00242662"/>
    <w:rsid w:val="002426FC"/>
    <w:rsid w:val="00242738"/>
    <w:rsid w:val="00242875"/>
    <w:rsid w:val="00242991"/>
    <w:rsid w:val="00242A06"/>
    <w:rsid w:val="00242ABB"/>
    <w:rsid w:val="00242ADA"/>
    <w:rsid w:val="00242B9C"/>
    <w:rsid w:val="00242BA2"/>
    <w:rsid w:val="00242BC2"/>
    <w:rsid w:val="00242C81"/>
    <w:rsid w:val="00242D72"/>
    <w:rsid w:val="00242DB9"/>
    <w:rsid w:val="00242DE8"/>
    <w:rsid w:val="00242EBE"/>
    <w:rsid w:val="00242EE4"/>
    <w:rsid w:val="00242F9C"/>
    <w:rsid w:val="002432E2"/>
    <w:rsid w:val="0024336E"/>
    <w:rsid w:val="0024353F"/>
    <w:rsid w:val="00243598"/>
    <w:rsid w:val="002435AE"/>
    <w:rsid w:val="0024369A"/>
    <w:rsid w:val="002436EE"/>
    <w:rsid w:val="002437B8"/>
    <w:rsid w:val="00243853"/>
    <w:rsid w:val="00243B7E"/>
    <w:rsid w:val="00243C5F"/>
    <w:rsid w:val="00243CED"/>
    <w:rsid w:val="00243D9D"/>
    <w:rsid w:val="00243E21"/>
    <w:rsid w:val="00243FB1"/>
    <w:rsid w:val="00243FDB"/>
    <w:rsid w:val="00244038"/>
    <w:rsid w:val="002441ED"/>
    <w:rsid w:val="00244348"/>
    <w:rsid w:val="002444B0"/>
    <w:rsid w:val="0024465F"/>
    <w:rsid w:val="002446F0"/>
    <w:rsid w:val="0024473E"/>
    <w:rsid w:val="002447D2"/>
    <w:rsid w:val="00244897"/>
    <w:rsid w:val="002448CB"/>
    <w:rsid w:val="002449AE"/>
    <w:rsid w:val="00244B9A"/>
    <w:rsid w:val="00244C7C"/>
    <w:rsid w:val="00244F79"/>
    <w:rsid w:val="00244FDD"/>
    <w:rsid w:val="002450F5"/>
    <w:rsid w:val="00245117"/>
    <w:rsid w:val="0024548E"/>
    <w:rsid w:val="00245490"/>
    <w:rsid w:val="002454B1"/>
    <w:rsid w:val="0024563E"/>
    <w:rsid w:val="0024579B"/>
    <w:rsid w:val="00245840"/>
    <w:rsid w:val="00245A67"/>
    <w:rsid w:val="00245B54"/>
    <w:rsid w:val="00245BDD"/>
    <w:rsid w:val="00245CB8"/>
    <w:rsid w:val="00245D10"/>
    <w:rsid w:val="00245DA7"/>
    <w:rsid w:val="00245ED6"/>
    <w:rsid w:val="00245ED7"/>
    <w:rsid w:val="00245F52"/>
    <w:rsid w:val="00245FCC"/>
    <w:rsid w:val="002460C3"/>
    <w:rsid w:val="002461E2"/>
    <w:rsid w:val="0024623B"/>
    <w:rsid w:val="00246376"/>
    <w:rsid w:val="002464A4"/>
    <w:rsid w:val="00246585"/>
    <w:rsid w:val="0024667A"/>
    <w:rsid w:val="002467B9"/>
    <w:rsid w:val="00246880"/>
    <w:rsid w:val="0024689D"/>
    <w:rsid w:val="002469E4"/>
    <w:rsid w:val="00246A67"/>
    <w:rsid w:val="00246A91"/>
    <w:rsid w:val="00246C51"/>
    <w:rsid w:val="00246D7E"/>
    <w:rsid w:val="00246F7C"/>
    <w:rsid w:val="0024752A"/>
    <w:rsid w:val="00247565"/>
    <w:rsid w:val="00247582"/>
    <w:rsid w:val="0024758E"/>
    <w:rsid w:val="00247782"/>
    <w:rsid w:val="00247803"/>
    <w:rsid w:val="0024787F"/>
    <w:rsid w:val="00247906"/>
    <w:rsid w:val="0024796D"/>
    <w:rsid w:val="00247A3A"/>
    <w:rsid w:val="00247A94"/>
    <w:rsid w:val="00247B5C"/>
    <w:rsid w:val="00247DC1"/>
    <w:rsid w:val="00247E12"/>
    <w:rsid w:val="00247F7E"/>
    <w:rsid w:val="00247F85"/>
    <w:rsid w:val="00247F9F"/>
    <w:rsid w:val="00250287"/>
    <w:rsid w:val="002502B5"/>
    <w:rsid w:val="00250333"/>
    <w:rsid w:val="0025060F"/>
    <w:rsid w:val="0025075B"/>
    <w:rsid w:val="00250BAA"/>
    <w:rsid w:val="00250BB4"/>
    <w:rsid w:val="00250DCA"/>
    <w:rsid w:val="00250DE6"/>
    <w:rsid w:val="00250F1A"/>
    <w:rsid w:val="002510C4"/>
    <w:rsid w:val="0025144A"/>
    <w:rsid w:val="0025148F"/>
    <w:rsid w:val="002514A1"/>
    <w:rsid w:val="00251570"/>
    <w:rsid w:val="00251678"/>
    <w:rsid w:val="00251681"/>
    <w:rsid w:val="00251716"/>
    <w:rsid w:val="00251887"/>
    <w:rsid w:val="00251963"/>
    <w:rsid w:val="00251AA1"/>
    <w:rsid w:val="00251ABE"/>
    <w:rsid w:val="00251B93"/>
    <w:rsid w:val="00251CF6"/>
    <w:rsid w:val="00251DB4"/>
    <w:rsid w:val="00251DC9"/>
    <w:rsid w:val="0025217E"/>
    <w:rsid w:val="00252311"/>
    <w:rsid w:val="002523DD"/>
    <w:rsid w:val="0025256C"/>
    <w:rsid w:val="002526F0"/>
    <w:rsid w:val="00252719"/>
    <w:rsid w:val="00252804"/>
    <w:rsid w:val="00252845"/>
    <w:rsid w:val="00252CFC"/>
    <w:rsid w:val="00252D24"/>
    <w:rsid w:val="00252EF7"/>
    <w:rsid w:val="00252F8C"/>
    <w:rsid w:val="00253076"/>
    <w:rsid w:val="002531BF"/>
    <w:rsid w:val="00253420"/>
    <w:rsid w:val="002534C9"/>
    <w:rsid w:val="0025362D"/>
    <w:rsid w:val="00253695"/>
    <w:rsid w:val="00253817"/>
    <w:rsid w:val="002539E6"/>
    <w:rsid w:val="00253A24"/>
    <w:rsid w:val="00253AD0"/>
    <w:rsid w:val="00253BD8"/>
    <w:rsid w:val="00253D25"/>
    <w:rsid w:val="00253DF7"/>
    <w:rsid w:val="00253E7C"/>
    <w:rsid w:val="00253F1E"/>
    <w:rsid w:val="00253F7B"/>
    <w:rsid w:val="00253FFD"/>
    <w:rsid w:val="002540A9"/>
    <w:rsid w:val="0025416E"/>
    <w:rsid w:val="00254210"/>
    <w:rsid w:val="002542B7"/>
    <w:rsid w:val="002542C7"/>
    <w:rsid w:val="002542D2"/>
    <w:rsid w:val="002542E5"/>
    <w:rsid w:val="0025433F"/>
    <w:rsid w:val="0025439E"/>
    <w:rsid w:val="0025466D"/>
    <w:rsid w:val="00254685"/>
    <w:rsid w:val="002547A8"/>
    <w:rsid w:val="00254829"/>
    <w:rsid w:val="00254889"/>
    <w:rsid w:val="002548A6"/>
    <w:rsid w:val="002548D6"/>
    <w:rsid w:val="00254943"/>
    <w:rsid w:val="002549B7"/>
    <w:rsid w:val="00254B4A"/>
    <w:rsid w:val="00254B67"/>
    <w:rsid w:val="00254C20"/>
    <w:rsid w:val="00254C59"/>
    <w:rsid w:val="00254CD3"/>
    <w:rsid w:val="00254CD6"/>
    <w:rsid w:val="00254D7D"/>
    <w:rsid w:val="00254DB9"/>
    <w:rsid w:val="00254E1E"/>
    <w:rsid w:val="00254EA6"/>
    <w:rsid w:val="00254EE0"/>
    <w:rsid w:val="0025514A"/>
    <w:rsid w:val="0025518E"/>
    <w:rsid w:val="00255217"/>
    <w:rsid w:val="002552B2"/>
    <w:rsid w:val="002552F1"/>
    <w:rsid w:val="002553C7"/>
    <w:rsid w:val="00255464"/>
    <w:rsid w:val="00255503"/>
    <w:rsid w:val="002556B3"/>
    <w:rsid w:val="00255839"/>
    <w:rsid w:val="002558C9"/>
    <w:rsid w:val="00255A0D"/>
    <w:rsid w:val="00255E03"/>
    <w:rsid w:val="0025608C"/>
    <w:rsid w:val="0025639E"/>
    <w:rsid w:val="0025644C"/>
    <w:rsid w:val="0025644F"/>
    <w:rsid w:val="00256613"/>
    <w:rsid w:val="00256719"/>
    <w:rsid w:val="00256791"/>
    <w:rsid w:val="002569CB"/>
    <w:rsid w:val="002569D9"/>
    <w:rsid w:val="00256B2A"/>
    <w:rsid w:val="00256C48"/>
    <w:rsid w:val="00256D5D"/>
    <w:rsid w:val="00256D8E"/>
    <w:rsid w:val="00256E08"/>
    <w:rsid w:val="00256EBB"/>
    <w:rsid w:val="00256F6F"/>
    <w:rsid w:val="00256F7C"/>
    <w:rsid w:val="00257046"/>
    <w:rsid w:val="002570CF"/>
    <w:rsid w:val="00257179"/>
    <w:rsid w:val="00257322"/>
    <w:rsid w:val="0025736F"/>
    <w:rsid w:val="00257384"/>
    <w:rsid w:val="00257457"/>
    <w:rsid w:val="002575B6"/>
    <w:rsid w:val="0025781B"/>
    <w:rsid w:val="00257B17"/>
    <w:rsid w:val="00257B45"/>
    <w:rsid w:val="00257D23"/>
    <w:rsid w:val="00257DD7"/>
    <w:rsid w:val="00257F04"/>
    <w:rsid w:val="002600CF"/>
    <w:rsid w:val="002601DC"/>
    <w:rsid w:val="002602CE"/>
    <w:rsid w:val="0026030C"/>
    <w:rsid w:val="0026036B"/>
    <w:rsid w:val="002607DB"/>
    <w:rsid w:val="00260846"/>
    <w:rsid w:val="002608DC"/>
    <w:rsid w:val="002608F6"/>
    <w:rsid w:val="00260A1C"/>
    <w:rsid w:val="00260DB1"/>
    <w:rsid w:val="00260E26"/>
    <w:rsid w:val="00260F99"/>
    <w:rsid w:val="00260FD7"/>
    <w:rsid w:val="0026108F"/>
    <w:rsid w:val="002611BC"/>
    <w:rsid w:val="0026124C"/>
    <w:rsid w:val="00261285"/>
    <w:rsid w:val="00261386"/>
    <w:rsid w:val="00261421"/>
    <w:rsid w:val="0026147B"/>
    <w:rsid w:val="002614AF"/>
    <w:rsid w:val="0026161D"/>
    <w:rsid w:val="00261623"/>
    <w:rsid w:val="00261626"/>
    <w:rsid w:val="002618CE"/>
    <w:rsid w:val="002618EC"/>
    <w:rsid w:val="00261928"/>
    <w:rsid w:val="0026199A"/>
    <w:rsid w:val="00261AB4"/>
    <w:rsid w:val="00261D94"/>
    <w:rsid w:val="00261E35"/>
    <w:rsid w:val="0026213F"/>
    <w:rsid w:val="00262144"/>
    <w:rsid w:val="002621E6"/>
    <w:rsid w:val="002621ED"/>
    <w:rsid w:val="00262595"/>
    <w:rsid w:val="002626DF"/>
    <w:rsid w:val="002626E3"/>
    <w:rsid w:val="00262720"/>
    <w:rsid w:val="002628BF"/>
    <w:rsid w:val="00262B5D"/>
    <w:rsid w:val="00262C0E"/>
    <w:rsid w:val="00262D66"/>
    <w:rsid w:val="00262D86"/>
    <w:rsid w:val="00262D97"/>
    <w:rsid w:val="00262DE0"/>
    <w:rsid w:val="00262EB6"/>
    <w:rsid w:val="00262FD9"/>
    <w:rsid w:val="00263214"/>
    <w:rsid w:val="0026321E"/>
    <w:rsid w:val="00263255"/>
    <w:rsid w:val="00263321"/>
    <w:rsid w:val="0026338A"/>
    <w:rsid w:val="002633FE"/>
    <w:rsid w:val="00263674"/>
    <w:rsid w:val="0026381F"/>
    <w:rsid w:val="0026398C"/>
    <w:rsid w:val="002639D5"/>
    <w:rsid w:val="00263AB7"/>
    <w:rsid w:val="00263B48"/>
    <w:rsid w:val="00263BA5"/>
    <w:rsid w:val="00263C12"/>
    <w:rsid w:val="00263C1B"/>
    <w:rsid w:val="00263CCB"/>
    <w:rsid w:val="00263D93"/>
    <w:rsid w:val="00263E39"/>
    <w:rsid w:val="00263EB7"/>
    <w:rsid w:val="00263F2D"/>
    <w:rsid w:val="00263F8A"/>
    <w:rsid w:val="00264092"/>
    <w:rsid w:val="00264126"/>
    <w:rsid w:val="0026415B"/>
    <w:rsid w:val="002641B7"/>
    <w:rsid w:val="002642A3"/>
    <w:rsid w:val="002644E9"/>
    <w:rsid w:val="00264506"/>
    <w:rsid w:val="00264586"/>
    <w:rsid w:val="002645F2"/>
    <w:rsid w:val="00264615"/>
    <w:rsid w:val="00264A56"/>
    <w:rsid w:val="00264AE8"/>
    <w:rsid w:val="00264B6E"/>
    <w:rsid w:val="00264BB3"/>
    <w:rsid w:val="00264D02"/>
    <w:rsid w:val="00264FE1"/>
    <w:rsid w:val="002650C4"/>
    <w:rsid w:val="002650D8"/>
    <w:rsid w:val="00265169"/>
    <w:rsid w:val="00265195"/>
    <w:rsid w:val="002651DA"/>
    <w:rsid w:val="00265215"/>
    <w:rsid w:val="00265375"/>
    <w:rsid w:val="0026538E"/>
    <w:rsid w:val="00265637"/>
    <w:rsid w:val="00265692"/>
    <w:rsid w:val="00265723"/>
    <w:rsid w:val="002657A6"/>
    <w:rsid w:val="002657E6"/>
    <w:rsid w:val="0026592F"/>
    <w:rsid w:val="00265B9F"/>
    <w:rsid w:val="00265C36"/>
    <w:rsid w:val="00265FE6"/>
    <w:rsid w:val="002662B7"/>
    <w:rsid w:val="00266366"/>
    <w:rsid w:val="0026664A"/>
    <w:rsid w:val="00266799"/>
    <w:rsid w:val="0026685D"/>
    <w:rsid w:val="00266862"/>
    <w:rsid w:val="00266A1F"/>
    <w:rsid w:val="00266C27"/>
    <w:rsid w:val="00266F88"/>
    <w:rsid w:val="00267084"/>
    <w:rsid w:val="002672E4"/>
    <w:rsid w:val="0026742F"/>
    <w:rsid w:val="002674CE"/>
    <w:rsid w:val="002675B7"/>
    <w:rsid w:val="0026778B"/>
    <w:rsid w:val="002677B5"/>
    <w:rsid w:val="0026787B"/>
    <w:rsid w:val="00267933"/>
    <w:rsid w:val="00267AD3"/>
    <w:rsid w:val="00267B13"/>
    <w:rsid w:val="00267B9D"/>
    <w:rsid w:val="00267EDA"/>
    <w:rsid w:val="00270192"/>
    <w:rsid w:val="002701B8"/>
    <w:rsid w:val="00270206"/>
    <w:rsid w:val="002702C6"/>
    <w:rsid w:val="002703B8"/>
    <w:rsid w:val="002707BA"/>
    <w:rsid w:val="002708BA"/>
    <w:rsid w:val="00270A79"/>
    <w:rsid w:val="00270B3B"/>
    <w:rsid w:val="00270C48"/>
    <w:rsid w:val="00270DD3"/>
    <w:rsid w:val="00270E67"/>
    <w:rsid w:val="00270EA0"/>
    <w:rsid w:val="00270ECA"/>
    <w:rsid w:val="0027103D"/>
    <w:rsid w:val="0027136F"/>
    <w:rsid w:val="002714EF"/>
    <w:rsid w:val="0027158C"/>
    <w:rsid w:val="002715E0"/>
    <w:rsid w:val="002716EA"/>
    <w:rsid w:val="002718A5"/>
    <w:rsid w:val="0027192A"/>
    <w:rsid w:val="002719F5"/>
    <w:rsid w:val="00271B17"/>
    <w:rsid w:val="00271C29"/>
    <w:rsid w:val="00271CD8"/>
    <w:rsid w:val="00271DF8"/>
    <w:rsid w:val="00271E36"/>
    <w:rsid w:val="00271E71"/>
    <w:rsid w:val="00271F81"/>
    <w:rsid w:val="002720DD"/>
    <w:rsid w:val="00272204"/>
    <w:rsid w:val="002724B3"/>
    <w:rsid w:val="0027260C"/>
    <w:rsid w:val="002726ED"/>
    <w:rsid w:val="002727AC"/>
    <w:rsid w:val="00272840"/>
    <w:rsid w:val="00272992"/>
    <w:rsid w:val="00272A38"/>
    <w:rsid w:val="00272A3C"/>
    <w:rsid w:val="00272A6B"/>
    <w:rsid w:val="00272B7D"/>
    <w:rsid w:val="00272C4B"/>
    <w:rsid w:val="00272DA6"/>
    <w:rsid w:val="00272F01"/>
    <w:rsid w:val="0027309C"/>
    <w:rsid w:val="00273178"/>
    <w:rsid w:val="00273228"/>
    <w:rsid w:val="00273241"/>
    <w:rsid w:val="0027366D"/>
    <w:rsid w:val="00273701"/>
    <w:rsid w:val="0027374E"/>
    <w:rsid w:val="00273994"/>
    <w:rsid w:val="002739C0"/>
    <w:rsid w:val="00273A4C"/>
    <w:rsid w:val="00273AE5"/>
    <w:rsid w:val="00273D54"/>
    <w:rsid w:val="00273F0C"/>
    <w:rsid w:val="00273F27"/>
    <w:rsid w:val="00273FE4"/>
    <w:rsid w:val="0027400B"/>
    <w:rsid w:val="0027410E"/>
    <w:rsid w:val="00274191"/>
    <w:rsid w:val="002741AF"/>
    <w:rsid w:val="002742F5"/>
    <w:rsid w:val="002744A4"/>
    <w:rsid w:val="00274511"/>
    <w:rsid w:val="00274576"/>
    <w:rsid w:val="00274623"/>
    <w:rsid w:val="00274729"/>
    <w:rsid w:val="00274790"/>
    <w:rsid w:val="00274796"/>
    <w:rsid w:val="0027487C"/>
    <w:rsid w:val="002748F0"/>
    <w:rsid w:val="00274A01"/>
    <w:rsid w:val="00274B1A"/>
    <w:rsid w:val="00274C49"/>
    <w:rsid w:val="00274F7C"/>
    <w:rsid w:val="00274FA9"/>
    <w:rsid w:val="0027511D"/>
    <w:rsid w:val="0027515E"/>
    <w:rsid w:val="00275450"/>
    <w:rsid w:val="0027545C"/>
    <w:rsid w:val="002755D6"/>
    <w:rsid w:val="002756C0"/>
    <w:rsid w:val="00275711"/>
    <w:rsid w:val="00275838"/>
    <w:rsid w:val="002758C0"/>
    <w:rsid w:val="002758E3"/>
    <w:rsid w:val="00275916"/>
    <w:rsid w:val="0027593E"/>
    <w:rsid w:val="00275C32"/>
    <w:rsid w:val="00275C78"/>
    <w:rsid w:val="00275C94"/>
    <w:rsid w:val="00275CB8"/>
    <w:rsid w:val="00275CED"/>
    <w:rsid w:val="0027605B"/>
    <w:rsid w:val="00276190"/>
    <w:rsid w:val="002762B7"/>
    <w:rsid w:val="002762EF"/>
    <w:rsid w:val="002766EF"/>
    <w:rsid w:val="00276744"/>
    <w:rsid w:val="00276781"/>
    <w:rsid w:val="002767A1"/>
    <w:rsid w:val="00276889"/>
    <w:rsid w:val="002769A1"/>
    <w:rsid w:val="002769C6"/>
    <w:rsid w:val="002769DD"/>
    <w:rsid w:val="00276C32"/>
    <w:rsid w:val="00276C8B"/>
    <w:rsid w:val="00276CBE"/>
    <w:rsid w:val="00276CEF"/>
    <w:rsid w:val="00276E39"/>
    <w:rsid w:val="00276E5A"/>
    <w:rsid w:val="00277010"/>
    <w:rsid w:val="0027718B"/>
    <w:rsid w:val="002772B0"/>
    <w:rsid w:val="0027730C"/>
    <w:rsid w:val="00277329"/>
    <w:rsid w:val="00277373"/>
    <w:rsid w:val="002774CD"/>
    <w:rsid w:val="00277552"/>
    <w:rsid w:val="00277555"/>
    <w:rsid w:val="002775EC"/>
    <w:rsid w:val="00277746"/>
    <w:rsid w:val="002777DF"/>
    <w:rsid w:val="00277810"/>
    <w:rsid w:val="0027791A"/>
    <w:rsid w:val="0027795E"/>
    <w:rsid w:val="00277A99"/>
    <w:rsid w:val="00277B0F"/>
    <w:rsid w:val="00277C80"/>
    <w:rsid w:val="00277CDE"/>
    <w:rsid w:val="00277D8F"/>
    <w:rsid w:val="00277E0A"/>
    <w:rsid w:val="0028000A"/>
    <w:rsid w:val="00280012"/>
    <w:rsid w:val="00280056"/>
    <w:rsid w:val="002801B2"/>
    <w:rsid w:val="00280239"/>
    <w:rsid w:val="00280261"/>
    <w:rsid w:val="002802AA"/>
    <w:rsid w:val="00280441"/>
    <w:rsid w:val="00280463"/>
    <w:rsid w:val="00280465"/>
    <w:rsid w:val="002804BA"/>
    <w:rsid w:val="002806B7"/>
    <w:rsid w:val="002807A4"/>
    <w:rsid w:val="002807BB"/>
    <w:rsid w:val="00280893"/>
    <w:rsid w:val="00280ABD"/>
    <w:rsid w:val="00280AF2"/>
    <w:rsid w:val="00280B08"/>
    <w:rsid w:val="00280B28"/>
    <w:rsid w:val="00280BB9"/>
    <w:rsid w:val="00280D59"/>
    <w:rsid w:val="00280DAB"/>
    <w:rsid w:val="00280DC4"/>
    <w:rsid w:val="00280EFC"/>
    <w:rsid w:val="00280F3B"/>
    <w:rsid w:val="002811EC"/>
    <w:rsid w:val="00281403"/>
    <w:rsid w:val="00281557"/>
    <w:rsid w:val="00281725"/>
    <w:rsid w:val="0028175C"/>
    <w:rsid w:val="00281761"/>
    <w:rsid w:val="00281777"/>
    <w:rsid w:val="00281885"/>
    <w:rsid w:val="0028188D"/>
    <w:rsid w:val="0028192A"/>
    <w:rsid w:val="00281A76"/>
    <w:rsid w:val="00281B55"/>
    <w:rsid w:val="00281DC8"/>
    <w:rsid w:val="00281DE0"/>
    <w:rsid w:val="00281DFF"/>
    <w:rsid w:val="00281E93"/>
    <w:rsid w:val="00281F8A"/>
    <w:rsid w:val="002820DF"/>
    <w:rsid w:val="002820E6"/>
    <w:rsid w:val="0028218F"/>
    <w:rsid w:val="002821C3"/>
    <w:rsid w:val="002821F6"/>
    <w:rsid w:val="002821F9"/>
    <w:rsid w:val="00282302"/>
    <w:rsid w:val="0028235B"/>
    <w:rsid w:val="002824AD"/>
    <w:rsid w:val="002824DB"/>
    <w:rsid w:val="002825D4"/>
    <w:rsid w:val="00282810"/>
    <w:rsid w:val="00282881"/>
    <w:rsid w:val="0028291C"/>
    <w:rsid w:val="00282922"/>
    <w:rsid w:val="00282999"/>
    <w:rsid w:val="00282D40"/>
    <w:rsid w:val="00282D4B"/>
    <w:rsid w:val="00282F83"/>
    <w:rsid w:val="002830C6"/>
    <w:rsid w:val="002830E3"/>
    <w:rsid w:val="00283204"/>
    <w:rsid w:val="00283225"/>
    <w:rsid w:val="00283369"/>
    <w:rsid w:val="002835B5"/>
    <w:rsid w:val="00283604"/>
    <w:rsid w:val="0028369A"/>
    <w:rsid w:val="002836CC"/>
    <w:rsid w:val="002837D4"/>
    <w:rsid w:val="002838DD"/>
    <w:rsid w:val="00283914"/>
    <w:rsid w:val="00283950"/>
    <w:rsid w:val="00283AD9"/>
    <w:rsid w:val="00283C61"/>
    <w:rsid w:val="00283D25"/>
    <w:rsid w:val="00283E6D"/>
    <w:rsid w:val="00283E95"/>
    <w:rsid w:val="00283FAE"/>
    <w:rsid w:val="00284114"/>
    <w:rsid w:val="002841C4"/>
    <w:rsid w:val="00284268"/>
    <w:rsid w:val="002842B2"/>
    <w:rsid w:val="002843EF"/>
    <w:rsid w:val="002844DC"/>
    <w:rsid w:val="002848EF"/>
    <w:rsid w:val="0028499D"/>
    <w:rsid w:val="00284AA1"/>
    <w:rsid w:val="00284B3A"/>
    <w:rsid w:val="00284B91"/>
    <w:rsid w:val="00284B9D"/>
    <w:rsid w:val="002850EC"/>
    <w:rsid w:val="0028522E"/>
    <w:rsid w:val="002853C7"/>
    <w:rsid w:val="00285413"/>
    <w:rsid w:val="00285420"/>
    <w:rsid w:val="002854C6"/>
    <w:rsid w:val="00285560"/>
    <w:rsid w:val="002855A6"/>
    <w:rsid w:val="002855AA"/>
    <w:rsid w:val="002857FD"/>
    <w:rsid w:val="00285A20"/>
    <w:rsid w:val="00285B1D"/>
    <w:rsid w:val="00285B52"/>
    <w:rsid w:val="00285E30"/>
    <w:rsid w:val="00285EFB"/>
    <w:rsid w:val="002861EF"/>
    <w:rsid w:val="00286215"/>
    <w:rsid w:val="0028621C"/>
    <w:rsid w:val="002863D2"/>
    <w:rsid w:val="002863FA"/>
    <w:rsid w:val="002864C6"/>
    <w:rsid w:val="002864FC"/>
    <w:rsid w:val="0028656D"/>
    <w:rsid w:val="00286589"/>
    <w:rsid w:val="002866B2"/>
    <w:rsid w:val="00286765"/>
    <w:rsid w:val="00286829"/>
    <w:rsid w:val="002868D6"/>
    <w:rsid w:val="0028691F"/>
    <w:rsid w:val="002869D2"/>
    <w:rsid w:val="00286F4C"/>
    <w:rsid w:val="0028704E"/>
    <w:rsid w:val="00287075"/>
    <w:rsid w:val="002870F0"/>
    <w:rsid w:val="00287162"/>
    <w:rsid w:val="0028729E"/>
    <w:rsid w:val="002872E2"/>
    <w:rsid w:val="002872E3"/>
    <w:rsid w:val="00287321"/>
    <w:rsid w:val="00287480"/>
    <w:rsid w:val="00287600"/>
    <w:rsid w:val="002876DA"/>
    <w:rsid w:val="00287793"/>
    <w:rsid w:val="00287811"/>
    <w:rsid w:val="002879F7"/>
    <w:rsid w:val="00287A33"/>
    <w:rsid w:val="00287AD4"/>
    <w:rsid w:val="00287B8D"/>
    <w:rsid w:val="00287B8F"/>
    <w:rsid w:val="00287B94"/>
    <w:rsid w:val="00287DDF"/>
    <w:rsid w:val="00287E47"/>
    <w:rsid w:val="00287E80"/>
    <w:rsid w:val="00287E9F"/>
    <w:rsid w:val="00287ED9"/>
    <w:rsid w:val="00287F93"/>
    <w:rsid w:val="0029005E"/>
    <w:rsid w:val="002900B2"/>
    <w:rsid w:val="002901D6"/>
    <w:rsid w:val="00290261"/>
    <w:rsid w:val="00290464"/>
    <w:rsid w:val="002904C4"/>
    <w:rsid w:val="00290569"/>
    <w:rsid w:val="002906B1"/>
    <w:rsid w:val="002906C5"/>
    <w:rsid w:val="002907F1"/>
    <w:rsid w:val="0029093E"/>
    <w:rsid w:val="00290975"/>
    <w:rsid w:val="00290CCD"/>
    <w:rsid w:val="00290CDA"/>
    <w:rsid w:val="00290D91"/>
    <w:rsid w:val="00290FED"/>
    <w:rsid w:val="0029106C"/>
    <w:rsid w:val="002912BE"/>
    <w:rsid w:val="002915C8"/>
    <w:rsid w:val="00291608"/>
    <w:rsid w:val="00291684"/>
    <w:rsid w:val="0029172D"/>
    <w:rsid w:val="00291963"/>
    <w:rsid w:val="00291985"/>
    <w:rsid w:val="00291A26"/>
    <w:rsid w:val="00291B11"/>
    <w:rsid w:val="00291CBC"/>
    <w:rsid w:val="00291D29"/>
    <w:rsid w:val="00291D72"/>
    <w:rsid w:val="00291DB8"/>
    <w:rsid w:val="00291E46"/>
    <w:rsid w:val="00291ECD"/>
    <w:rsid w:val="00292038"/>
    <w:rsid w:val="00292071"/>
    <w:rsid w:val="00292233"/>
    <w:rsid w:val="00292313"/>
    <w:rsid w:val="00292381"/>
    <w:rsid w:val="00292409"/>
    <w:rsid w:val="002924AE"/>
    <w:rsid w:val="002924CD"/>
    <w:rsid w:val="002924EB"/>
    <w:rsid w:val="00292522"/>
    <w:rsid w:val="00292686"/>
    <w:rsid w:val="0029271A"/>
    <w:rsid w:val="00292762"/>
    <w:rsid w:val="00292777"/>
    <w:rsid w:val="002927BC"/>
    <w:rsid w:val="002928EE"/>
    <w:rsid w:val="00292997"/>
    <w:rsid w:val="00292A62"/>
    <w:rsid w:val="00292DA7"/>
    <w:rsid w:val="00292EE7"/>
    <w:rsid w:val="00292F5D"/>
    <w:rsid w:val="002930C3"/>
    <w:rsid w:val="002931FF"/>
    <w:rsid w:val="00293340"/>
    <w:rsid w:val="00293428"/>
    <w:rsid w:val="00293627"/>
    <w:rsid w:val="002938CE"/>
    <w:rsid w:val="00293A6B"/>
    <w:rsid w:val="00293A78"/>
    <w:rsid w:val="00293AFA"/>
    <w:rsid w:val="00293B95"/>
    <w:rsid w:val="00293BD4"/>
    <w:rsid w:val="00293D6A"/>
    <w:rsid w:val="00293EF7"/>
    <w:rsid w:val="00293F11"/>
    <w:rsid w:val="00293F5E"/>
    <w:rsid w:val="00293FED"/>
    <w:rsid w:val="002940DD"/>
    <w:rsid w:val="0029411A"/>
    <w:rsid w:val="0029418C"/>
    <w:rsid w:val="00294204"/>
    <w:rsid w:val="0029426F"/>
    <w:rsid w:val="002945AC"/>
    <w:rsid w:val="00294662"/>
    <w:rsid w:val="002946C3"/>
    <w:rsid w:val="002949B2"/>
    <w:rsid w:val="00294D51"/>
    <w:rsid w:val="00294D94"/>
    <w:rsid w:val="00294DB7"/>
    <w:rsid w:val="00294E38"/>
    <w:rsid w:val="00294EA6"/>
    <w:rsid w:val="00294EEA"/>
    <w:rsid w:val="00294EF6"/>
    <w:rsid w:val="00294F26"/>
    <w:rsid w:val="00294F54"/>
    <w:rsid w:val="00294FB2"/>
    <w:rsid w:val="00294FFE"/>
    <w:rsid w:val="00295126"/>
    <w:rsid w:val="002951F2"/>
    <w:rsid w:val="0029533B"/>
    <w:rsid w:val="002953CE"/>
    <w:rsid w:val="00295819"/>
    <w:rsid w:val="0029598B"/>
    <w:rsid w:val="00295A0C"/>
    <w:rsid w:val="00295A4A"/>
    <w:rsid w:val="00295AD0"/>
    <w:rsid w:val="00295CE1"/>
    <w:rsid w:val="00295DA5"/>
    <w:rsid w:val="00295E46"/>
    <w:rsid w:val="00295FCD"/>
    <w:rsid w:val="002960D6"/>
    <w:rsid w:val="0029612D"/>
    <w:rsid w:val="0029614F"/>
    <w:rsid w:val="00296259"/>
    <w:rsid w:val="00296371"/>
    <w:rsid w:val="00296422"/>
    <w:rsid w:val="00296560"/>
    <w:rsid w:val="0029662F"/>
    <w:rsid w:val="00296825"/>
    <w:rsid w:val="00296831"/>
    <w:rsid w:val="00296918"/>
    <w:rsid w:val="0029692C"/>
    <w:rsid w:val="00296975"/>
    <w:rsid w:val="00296ACF"/>
    <w:rsid w:val="00296C65"/>
    <w:rsid w:val="00296C6C"/>
    <w:rsid w:val="00296D94"/>
    <w:rsid w:val="00296E5A"/>
    <w:rsid w:val="00296EE7"/>
    <w:rsid w:val="00296F1F"/>
    <w:rsid w:val="00296F8F"/>
    <w:rsid w:val="00296FA6"/>
    <w:rsid w:val="00296FF6"/>
    <w:rsid w:val="002972C4"/>
    <w:rsid w:val="002973B9"/>
    <w:rsid w:val="002973EF"/>
    <w:rsid w:val="00297450"/>
    <w:rsid w:val="002975B3"/>
    <w:rsid w:val="002975FC"/>
    <w:rsid w:val="00297706"/>
    <w:rsid w:val="00297821"/>
    <w:rsid w:val="0029790B"/>
    <w:rsid w:val="0029791B"/>
    <w:rsid w:val="002979DB"/>
    <w:rsid w:val="00297B9F"/>
    <w:rsid w:val="00297D0A"/>
    <w:rsid w:val="002A00EF"/>
    <w:rsid w:val="002A0165"/>
    <w:rsid w:val="002A019D"/>
    <w:rsid w:val="002A01BF"/>
    <w:rsid w:val="002A05AD"/>
    <w:rsid w:val="002A067A"/>
    <w:rsid w:val="002A06AA"/>
    <w:rsid w:val="002A06D7"/>
    <w:rsid w:val="002A0762"/>
    <w:rsid w:val="002A076F"/>
    <w:rsid w:val="002A07B7"/>
    <w:rsid w:val="002A07E8"/>
    <w:rsid w:val="002A08B8"/>
    <w:rsid w:val="002A0A78"/>
    <w:rsid w:val="002A0AD7"/>
    <w:rsid w:val="002A0B13"/>
    <w:rsid w:val="002A0B7A"/>
    <w:rsid w:val="002A0BE3"/>
    <w:rsid w:val="002A0C66"/>
    <w:rsid w:val="002A0CD6"/>
    <w:rsid w:val="002A0DDE"/>
    <w:rsid w:val="002A0EEA"/>
    <w:rsid w:val="002A0FEC"/>
    <w:rsid w:val="002A1031"/>
    <w:rsid w:val="002A11D8"/>
    <w:rsid w:val="002A11E9"/>
    <w:rsid w:val="002A11FC"/>
    <w:rsid w:val="002A1412"/>
    <w:rsid w:val="002A14A4"/>
    <w:rsid w:val="002A1A94"/>
    <w:rsid w:val="002A1F27"/>
    <w:rsid w:val="002A200F"/>
    <w:rsid w:val="002A207B"/>
    <w:rsid w:val="002A2090"/>
    <w:rsid w:val="002A2163"/>
    <w:rsid w:val="002A222D"/>
    <w:rsid w:val="002A229E"/>
    <w:rsid w:val="002A22F0"/>
    <w:rsid w:val="002A23AF"/>
    <w:rsid w:val="002A259A"/>
    <w:rsid w:val="002A2603"/>
    <w:rsid w:val="002A2621"/>
    <w:rsid w:val="002A2748"/>
    <w:rsid w:val="002A27C1"/>
    <w:rsid w:val="002A2909"/>
    <w:rsid w:val="002A29E2"/>
    <w:rsid w:val="002A2A44"/>
    <w:rsid w:val="002A2BBB"/>
    <w:rsid w:val="002A2CA4"/>
    <w:rsid w:val="002A2D5C"/>
    <w:rsid w:val="002A2DD0"/>
    <w:rsid w:val="002A2DF6"/>
    <w:rsid w:val="002A2E83"/>
    <w:rsid w:val="002A2EE5"/>
    <w:rsid w:val="002A2F20"/>
    <w:rsid w:val="002A2F4E"/>
    <w:rsid w:val="002A2FE2"/>
    <w:rsid w:val="002A300B"/>
    <w:rsid w:val="002A3047"/>
    <w:rsid w:val="002A32F8"/>
    <w:rsid w:val="002A349C"/>
    <w:rsid w:val="002A34F5"/>
    <w:rsid w:val="002A351B"/>
    <w:rsid w:val="002A35DB"/>
    <w:rsid w:val="002A384A"/>
    <w:rsid w:val="002A3865"/>
    <w:rsid w:val="002A3A46"/>
    <w:rsid w:val="002A3D68"/>
    <w:rsid w:val="002A3EB2"/>
    <w:rsid w:val="002A3EDE"/>
    <w:rsid w:val="002A3F2D"/>
    <w:rsid w:val="002A3F56"/>
    <w:rsid w:val="002A400B"/>
    <w:rsid w:val="002A403E"/>
    <w:rsid w:val="002A40F0"/>
    <w:rsid w:val="002A415A"/>
    <w:rsid w:val="002A421B"/>
    <w:rsid w:val="002A42A8"/>
    <w:rsid w:val="002A430C"/>
    <w:rsid w:val="002A4464"/>
    <w:rsid w:val="002A4781"/>
    <w:rsid w:val="002A4889"/>
    <w:rsid w:val="002A498E"/>
    <w:rsid w:val="002A49C9"/>
    <w:rsid w:val="002A4D5D"/>
    <w:rsid w:val="002A4E30"/>
    <w:rsid w:val="002A4E84"/>
    <w:rsid w:val="002A4EC4"/>
    <w:rsid w:val="002A4F56"/>
    <w:rsid w:val="002A5023"/>
    <w:rsid w:val="002A50B2"/>
    <w:rsid w:val="002A519A"/>
    <w:rsid w:val="002A51E3"/>
    <w:rsid w:val="002A52C0"/>
    <w:rsid w:val="002A5351"/>
    <w:rsid w:val="002A5359"/>
    <w:rsid w:val="002A53DD"/>
    <w:rsid w:val="002A5432"/>
    <w:rsid w:val="002A5633"/>
    <w:rsid w:val="002A5769"/>
    <w:rsid w:val="002A5778"/>
    <w:rsid w:val="002A5923"/>
    <w:rsid w:val="002A5A9C"/>
    <w:rsid w:val="002A5B24"/>
    <w:rsid w:val="002A5C22"/>
    <w:rsid w:val="002A5D08"/>
    <w:rsid w:val="002A5D5C"/>
    <w:rsid w:val="002A5F0E"/>
    <w:rsid w:val="002A5F68"/>
    <w:rsid w:val="002A61D6"/>
    <w:rsid w:val="002A62BE"/>
    <w:rsid w:val="002A637C"/>
    <w:rsid w:val="002A65D2"/>
    <w:rsid w:val="002A65F7"/>
    <w:rsid w:val="002A66AC"/>
    <w:rsid w:val="002A66BC"/>
    <w:rsid w:val="002A6792"/>
    <w:rsid w:val="002A684E"/>
    <w:rsid w:val="002A6873"/>
    <w:rsid w:val="002A69B1"/>
    <w:rsid w:val="002A6A77"/>
    <w:rsid w:val="002A6B3B"/>
    <w:rsid w:val="002A6C07"/>
    <w:rsid w:val="002A6D77"/>
    <w:rsid w:val="002A6F16"/>
    <w:rsid w:val="002A6F68"/>
    <w:rsid w:val="002A6F96"/>
    <w:rsid w:val="002A6FD3"/>
    <w:rsid w:val="002A6FD4"/>
    <w:rsid w:val="002A70D8"/>
    <w:rsid w:val="002A70F8"/>
    <w:rsid w:val="002A718A"/>
    <w:rsid w:val="002A71D1"/>
    <w:rsid w:val="002A73A6"/>
    <w:rsid w:val="002A74ED"/>
    <w:rsid w:val="002A7725"/>
    <w:rsid w:val="002A77AF"/>
    <w:rsid w:val="002A77B7"/>
    <w:rsid w:val="002A7886"/>
    <w:rsid w:val="002A7B52"/>
    <w:rsid w:val="002A7BDD"/>
    <w:rsid w:val="002A7BFD"/>
    <w:rsid w:val="002A7CCF"/>
    <w:rsid w:val="002A7D70"/>
    <w:rsid w:val="002A7E80"/>
    <w:rsid w:val="002A7F2A"/>
    <w:rsid w:val="002A7FD5"/>
    <w:rsid w:val="002B0023"/>
    <w:rsid w:val="002B0081"/>
    <w:rsid w:val="002B00A9"/>
    <w:rsid w:val="002B0558"/>
    <w:rsid w:val="002B0590"/>
    <w:rsid w:val="002B05A7"/>
    <w:rsid w:val="002B061D"/>
    <w:rsid w:val="002B069F"/>
    <w:rsid w:val="002B06DC"/>
    <w:rsid w:val="002B06DF"/>
    <w:rsid w:val="002B0796"/>
    <w:rsid w:val="002B079D"/>
    <w:rsid w:val="002B082F"/>
    <w:rsid w:val="002B0856"/>
    <w:rsid w:val="002B08C0"/>
    <w:rsid w:val="002B0948"/>
    <w:rsid w:val="002B0A35"/>
    <w:rsid w:val="002B0A6F"/>
    <w:rsid w:val="002B0AD9"/>
    <w:rsid w:val="002B0BE7"/>
    <w:rsid w:val="002B0C38"/>
    <w:rsid w:val="002B0E7B"/>
    <w:rsid w:val="002B0E80"/>
    <w:rsid w:val="002B0EAC"/>
    <w:rsid w:val="002B0EB8"/>
    <w:rsid w:val="002B1026"/>
    <w:rsid w:val="002B10BF"/>
    <w:rsid w:val="002B10C0"/>
    <w:rsid w:val="002B10F7"/>
    <w:rsid w:val="002B1155"/>
    <w:rsid w:val="002B1591"/>
    <w:rsid w:val="002B15B9"/>
    <w:rsid w:val="002B17F2"/>
    <w:rsid w:val="002B1814"/>
    <w:rsid w:val="002B1912"/>
    <w:rsid w:val="002B195D"/>
    <w:rsid w:val="002B198A"/>
    <w:rsid w:val="002B19F6"/>
    <w:rsid w:val="002B1AB0"/>
    <w:rsid w:val="002B1B26"/>
    <w:rsid w:val="002B1B98"/>
    <w:rsid w:val="002B1D38"/>
    <w:rsid w:val="002B1D3E"/>
    <w:rsid w:val="002B1E8A"/>
    <w:rsid w:val="002B2108"/>
    <w:rsid w:val="002B234A"/>
    <w:rsid w:val="002B260A"/>
    <w:rsid w:val="002B264F"/>
    <w:rsid w:val="002B26BE"/>
    <w:rsid w:val="002B26DC"/>
    <w:rsid w:val="002B2866"/>
    <w:rsid w:val="002B2971"/>
    <w:rsid w:val="002B2A6C"/>
    <w:rsid w:val="002B2CC1"/>
    <w:rsid w:val="002B2D66"/>
    <w:rsid w:val="002B2F5B"/>
    <w:rsid w:val="002B2F91"/>
    <w:rsid w:val="002B2FF7"/>
    <w:rsid w:val="002B30A3"/>
    <w:rsid w:val="002B32A6"/>
    <w:rsid w:val="002B32DE"/>
    <w:rsid w:val="002B32E0"/>
    <w:rsid w:val="002B32FF"/>
    <w:rsid w:val="002B330B"/>
    <w:rsid w:val="002B3492"/>
    <w:rsid w:val="002B3508"/>
    <w:rsid w:val="002B354B"/>
    <w:rsid w:val="002B359F"/>
    <w:rsid w:val="002B3615"/>
    <w:rsid w:val="002B3653"/>
    <w:rsid w:val="002B36C1"/>
    <w:rsid w:val="002B372F"/>
    <w:rsid w:val="002B3793"/>
    <w:rsid w:val="002B37E8"/>
    <w:rsid w:val="002B383A"/>
    <w:rsid w:val="002B3870"/>
    <w:rsid w:val="002B38C1"/>
    <w:rsid w:val="002B395F"/>
    <w:rsid w:val="002B3A83"/>
    <w:rsid w:val="002B3B27"/>
    <w:rsid w:val="002B3B53"/>
    <w:rsid w:val="002B3B86"/>
    <w:rsid w:val="002B3C8B"/>
    <w:rsid w:val="002B3CC5"/>
    <w:rsid w:val="002B3D21"/>
    <w:rsid w:val="002B3DC6"/>
    <w:rsid w:val="002B3EA5"/>
    <w:rsid w:val="002B3F3D"/>
    <w:rsid w:val="002B42C1"/>
    <w:rsid w:val="002B43D2"/>
    <w:rsid w:val="002B47D9"/>
    <w:rsid w:val="002B48D6"/>
    <w:rsid w:val="002B48E1"/>
    <w:rsid w:val="002B48F0"/>
    <w:rsid w:val="002B4B22"/>
    <w:rsid w:val="002B4B3C"/>
    <w:rsid w:val="002B4BA9"/>
    <w:rsid w:val="002B4CDE"/>
    <w:rsid w:val="002B4ECA"/>
    <w:rsid w:val="002B4F20"/>
    <w:rsid w:val="002B50C6"/>
    <w:rsid w:val="002B50F8"/>
    <w:rsid w:val="002B5218"/>
    <w:rsid w:val="002B5429"/>
    <w:rsid w:val="002B54DD"/>
    <w:rsid w:val="002B5642"/>
    <w:rsid w:val="002B58D7"/>
    <w:rsid w:val="002B597C"/>
    <w:rsid w:val="002B5A30"/>
    <w:rsid w:val="002B5CAD"/>
    <w:rsid w:val="002B6050"/>
    <w:rsid w:val="002B60D1"/>
    <w:rsid w:val="002B61F4"/>
    <w:rsid w:val="002B6592"/>
    <w:rsid w:val="002B6669"/>
    <w:rsid w:val="002B6771"/>
    <w:rsid w:val="002B67DF"/>
    <w:rsid w:val="002B67EA"/>
    <w:rsid w:val="002B6B57"/>
    <w:rsid w:val="002B6CAF"/>
    <w:rsid w:val="002B6D13"/>
    <w:rsid w:val="002B6EF1"/>
    <w:rsid w:val="002B6F0C"/>
    <w:rsid w:val="002B705F"/>
    <w:rsid w:val="002B730D"/>
    <w:rsid w:val="002B73D4"/>
    <w:rsid w:val="002B7502"/>
    <w:rsid w:val="002B7609"/>
    <w:rsid w:val="002B7625"/>
    <w:rsid w:val="002B7698"/>
    <w:rsid w:val="002B77B2"/>
    <w:rsid w:val="002B781A"/>
    <w:rsid w:val="002B7B78"/>
    <w:rsid w:val="002B7CCA"/>
    <w:rsid w:val="002B7D94"/>
    <w:rsid w:val="002B7ED6"/>
    <w:rsid w:val="002B9D38"/>
    <w:rsid w:val="002C0009"/>
    <w:rsid w:val="002C0014"/>
    <w:rsid w:val="002C00F0"/>
    <w:rsid w:val="002C0114"/>
    <w:rsid w:val="002C0230"/>
    <w:rsid w:val="002C0287"/>
    <w:rsid w:val="002C0486"/>
    <w:rsid w:val="002C0525"/>
    <w:rsid w:val="002C05B2"/>
    <w:rsid w:val="002C0662"/>
    <w:rsid w:val="002C07E5"/>
    <w:rsid w:val="002C098A"/>
    <w:rsid w:val="002C09B0"/>
    <w:rsid w:val="002C0A3C"/>
    <w:rsid w:val="002C0B2B"/>
    <w:rsid w:val="002C0B54"/>
    <w:rsid w:val="002C0E43"/>
    <w:rsid w:val="002C0E96"/>
    <w:rsid w:val="002C0ECC"/>
    <w:rsid w:val="002C0FB5"/>
    <w:rsid w:val="002C0FCC"/>
    <w:rsid w:val="002C1058"/>
    <w:rsid w:val="002C1067"/>
    <w:rsid w:val="002C1250"/>
    <w:rsid w:val="002C1372"/>
    <w:rsid w:val="002C1461"/>
    <w:rsid w:val="002C1479"/>
    <w:rsid w:val="002C147C"/>
    <w:rsid w:val="002C156F"/>
    <w:rsid w:val="002C159F"/>
    <w:rsid w:val="002C15D7"/>
    <w:rsid w:val="002C1709"/>
    <w:rsid w:val="002C1811"/>
    <w:rsid w:val="002C196C"/>
    <w:rsid w:val="002C1B1B"/>
    <w:rsid w:val="002C1B9B"/>
    <w:rsid w:val="002C1BE4"/>
    <w:rsid w:val="002C1CDE"/>
    <w:rsid w:val="002C1CEF"/>
    <w:rsid w:val="002C1DA5"/>
    <w:rsid w:val="002C1E8F"/>
    <w:rsid w:val="002C1EFE"/>
    <w:rsid w:val="002C1F6C"/>
    <w:rsid w:val="002C20FD"/>
    <w:rsid w:val="002C21F4"/>
    <w:rsid w:val="002C22C8"/>
    <w:rsid w:val="002C237F"/>
    <w:rsid w:val="002C254B"/>
    <w:rsid w:val="002C259C"/>
    <w:rsid w:val="002C266D"/>
    <w:rsid w:val="002C26DE"/>
    <w:rsid w:val="002C28E9"/>
    <w:rsid w:val="002C299F"/>
    <w:rsid w:val="002C29CE"/>
    <w:rsid w:val="002C2C3E"/>
    <w:rsid w:val="002C2F11"/>
    <w:rsid w:val="002C3165"/>
    <w:rsid w:val="002C317F"/>
    <w:rsid w:val="002C31A8"/>
    <w:rsid w:val="002C3387"/>
    <w:rsid w:val="002C3453"/>
    <w:rsid w:val="002C350E"/>
    <w:rsid w:val="002C3790"/>
    <w:rsid w:val="002C387F"/>
    <w:rsid w:val="002C38FD"/>
    <w:rsid w:val="002C3D01"/>
    <w:rsid w:val="002C3E94"/>
    <w:rsid w:val="002C3EDE"/>
    <w:rsid w:val="002C3F62"/>
    <w:rsid w:val="002C3FD5"/>
    <w:rsid w:val="002C4039"/>
    <w:rsid w:val="002C4047"/>
    <w:rsid w:val="002C406E"/>
    <w:rsid w:val="002C4072"/>
    <w:rsid w:val="002C4168"/>
    <w:rsid w:val="002C43CD"/>
    <w:rsid w:val="002C44B3"/>
    <w:rsid w:val="002C44DF"/>
    <w:rsid w:val="002C4623"/>
    <w:rsid w:val="002C4706"/>
    <w:rsid w:val="002C4719"/>
    <w:rsid w:val="002C47A4"/>
    <w:rsid w:val="002C47E5"/>
    <w:rsid w:val="002C47EE"/>
    <w:rsid w:val="002C4A17"/>
    <w:rsid w:val="002C4B0D"/>
    <w:rsid w:val="002C4B72"/>
    <w:rsid w:val="002C4C6E"/>
    <w:rsid w:val="002C4CDE"/>
    <w:rsid w:val="002C4FB3"/>
    <w:rsid w:val="002C5106"/>
    <w:rsid w:val="002C5121"/>
    <w:rsid w:val="002C51A9"/>
    <w:rsid w:val="002C530A"/>
    <w:rsid w:val="002C534B"/>
    <w:rsid w:val="002C5376"/>
    <w:rsid w:val="002C552E"/>
    <w:rsid w:val="002C555F"/>
    <w:rsid w:val="002C5595"/>
    <w:rsid w:val="002C5715"/>
    <w:rsid w:val="002C5742"/>
    <w:rsid w:val="002C574C"/>
    <w:rsid w:val="002C5888"/>
    <w:rsid w:val="002C591B"/>
    <w:rsid w:val="002C5A4F"/>
    <w:rsid w:val="002C5A8C"/>
    <w:rsid w:val="002C5B0D"/>
    <w:rsid w:val="002C5B48"/>
    <w:rsid w:val="002C5C61"/>
    <w:rsid w:val="002C5CD2"/>
    <w:rsid w:val="002C6569"/>
    <w:rsid w:val="002C6667"/>
    <w:rsid w:val="002C685E"/>
    <w:rsid w:val="002C69DA"/>
    <w:rsid w:val="002C6AD3"/>
    <w:rsid w:val="002C6B0D"/>
    <w:rsid w:val="002C6D94"/>
    <w:rsid w:val="002C6E23"/>
    <w:rsid w:val="002C6F47"/>
    <w:rsid w:val="002C7064"/>
    <w:rsid w:val="002C707F"/>
    <w:rsid w:val="002C7142"/>
    <w:rsid w:val="002C7173"/>
    <w:rsid w:val="002C71A8"/>
    <w:rsid w:val="002C73EC"/>
    <w:rsid w:val="002C7588"/>
    <w:rsid w:val="002C763F"/>
    <w:rsid w:val="002C774D"/>
    <w:rsid w:val="002C7790"/>
    <w:rsid w:val="002C78A3"/>
    <w:rsid w:val="002C7A26"/>
    <w:rsid w:val="002C7A88"/>
    <w:rsid w:val="002C7D0A"/>
    <w:rsid w:val="002C7D3C"/>
    <w:rsid w:val="002C7D5D"/>
    <w:rsid w:val="002C7D5E"/>
    <w:rsid w:val="002C7DCA"/>
    <w:rsid w:val="002C7EBB"/>
    <w:rsid w:val="002D0083"/>
    <w:rsid w:val="002D00A7"/>
    <w:rsid w:val="002D00B3"/>
    <w:rsid w:val="002D027F"/>
    <w:rsid w:val="002D042E"/>
    <w:rsid w:val="002D0630"/>
    <w:rsid w:val="002D0995"/>
    <w:rsid w:val="002D0B52"/>
    <w:rsid w:val="002D0B9A"/>
    <w:rsid w:val="002D0C3F"/>
    <w:rsid w:val="002D0C49"/>
    <w:rsid w:val="002D0CCB"/>
    <w:rsid w:val="002D0DFD"/>
    <w:rsid w:val="002D0FBE"/>
    <w:rsid w:val="002D109F"/>
    <w:rsid w:val="002D121F"/>
    <w:rsid w:val="002D1264"/>
    <w:rsid w:val="002D1380"/>
    <w:rsid w:val="002D1409"/>
    <w:rsid w:val="002D154B"/>
    <w:rsid w:val="002D175A"/>
    <w:rsid w:val="002D1941"/>
    <w:rsid w:val="002D198E"/>
    <w:rsid w:val="002D199C"/>
    <w:rsid w:val="002D1B13"/>
    <w:rsid w:val="002D1C31"/>
    <w:rsid w:val="002D1C69"/>
    <w:rsid w:val="002D1C6B"/>
    <w:rsid w:val="002D1D0D"/>
    <w:rsid w:val="002D1D29"/>
    <w:rsid w:val="002D1DCF"/>
    <w:rsid w:val="002D2188"/>
    <w:rsid w:val="002D22D0"/>
    <w:rsid w:val="002D23F6"/>
    <w:rsid w:val="002D2449"/>
    <w:rsid w:val="002D2580"/>
    <w:rsid w:val="002D2588"/>
    <w:rsid w:val="002D2626"/>
    <w:rsid w:val="002D26AA"/>
    <w:rsid w:val="002D285D"/>
    <w:rsid w:val="002D290A"/>
    <w:rsid w:val="002D295F"/>
    <w:rsid w:val="002D2A68"/>
    <w:rsid w:val="002D2C12"/>
    <w:rsid w:val="002D2C73"/>
    <w:rsid w:val="002D2D2B"/>
    <w:rsid w:val="002D314B"/>
    <w:rsid w:val="002D3151"/>
    <w:rsid w:val="002D380B"/>
    <w:rsid w:val="002D3BCA"/>
    <w:rsid w:val="002D3BCB"/>
    <w:rsid w:val="002D3DD7"/>
    <w:rsid w:val="002D40B7"/>
    <w:rsid w:val="002D4129"/>
    <w:rsid w:val="002D41EF"/>
    <w:rsid w:val="002D421E"/>
    <w:rsid w:val="002D42D6"/>
    <w:rsid w:val="002D4520"/>
    <w:rsid w:val="002D4560"/>
    <w:rsid w:val="002D460C"/>
    <w:rsid w:val="002D47BB"/>
    <w:rsid w:val="002D4836"/>
    <w:rsid w:val="002D4943"/>
    <w:rsid w:val="002D49FF"/>
    <w:rsid w:val="002D4B78"/>
    <w:rsid w:val="002D4BAC"/>
    <w:rsid w:val="002D4D3D"/>
    <w:rsid w:val="002D4F5D"/>
    <w:rsid w:val="002D5021"/>
    <w:rsid w:val="002D50BA"/>
    <w:rsid w:val="002D5138"/>
    <w:rsid w:val="002D51D8"/>
    <w:rsid w:val="002D5265"/>
    <w:rsid w:val="002D5358"/>
    <w:rsid w:val="002D541E"/>
    <w:rsid w:val="002D5454"/>
    <w:rsid w:val="002D554F"/>
    <w:rsid w:val="002D55DC"/>
    <w:rsid w:val="002D560A"/>
    <w:rsid w:val="002D5648"/>
    <w:rsid w:val="002D56E4"/>
    <w:rsid w:val="002D57DF"/>
    <w:rsid w:val="002D5831"/>
    <w:rsid w:val="002D5881"/>
    <w:rsid w:val="002D5A1D"/>
    <w:rsid w:val="002D5C09"/>
    <w:rsid w:val="002D5CFA"/>
    <w:rsid w:val="002D5DCB"/>
    <w:rsid w:val="002D5E95"/>
    <w:rsid w:val="002D5F78"/>
    <w:rsid w:val="002D6058"/>
    <w:rsid w:val="002D6263"/>
    <w:rsid w:val="002D6380"/>
    <w:rsid w:val="002D63A4"/>
    <w:rsid w:val="002D6464"/>
    <w:rsid w:val="002D646E"/>
    <w:rsid w:val="002D651E"/>
    <w:rsid w:val="002D65BC"/>
    <w:rsid w:val="002D679C"/>
    <w:rsid w:val="002D67C1"/>
    <w:rsid w:val="002D681E"/>
    <w:rsid w:val="002D6943"/>
    <w:rsid w:val="002D6953"/>
    <w:rsid w:val="002D697A"/>
    <w:rsid w:val="002D6ABA"/>
    <w:rsid w:val="002D6B08"/>
    <w:rsid w:val="002D6D67"/>
    <w:rsid w:val="002D6E2B"/>
    <w:rsid w:val="002D6E3E"/>
    <w:rsid w:val="002D6EA5"/>
    <w:rsid w:val="002D7418"/>
    <w:rsid w:val="002D7599"/>
    <w:rsid w:val="002D7668"/>
    <w:rsid w:val="002D7852"/>
    <w:rsid w:val="002D796F"/>
    <w:rsid w:val="002D7A89"/>
    <w:rsid w:val="002D7A9E"/>
    <w:rsid w:val="002D7B0F"/>
    <w:rsid w:val="002D7BDB"/>
    <w:rsid w:val="002D7DA1"/>
    <w:rsid w:val="002D7ECA"/>
    <w:rsid w:val="002E0154"/>
    <w:rsid w:val="002E01EC"/>
    <w:rsid w:val="002E0213"/>
    <w:rsid w:val="002E026C"/>
    <w:rsid w:val="002E039B"/>
    <w:rsid w:val="002E0544"/>
    <w:rsid w:val="002E079A"/>
    <w:rsid w:val="002E0853"/>
    <w:rsid w:val="002E095A"/>
    <w:rsid w:val="002E09E8"/>
    <w:rsid w:val="002E0A82"/>
    <w:rsid w:val="002E0D14"/>
    <w:rsid w:val="002E0D51"/>
    <w:rsid w:val="002E0D6A"/>
    <w:rsid w:val="002E0D78"/>
    <w:rsid w:val="002E0EDA"/>
    <w:rsid w:val="002E0F59"/>
    <w:rsid w:val="002E107E"/>
    <w:rsid w:val="002E1511"/>
    <w:rsid w:val="002E155C"/>
    <w:rsid w:val="002E156F"/>
    <w:rsid w:val="002E1917"/>
    <w:rsid w:val="002E1AC8"/>
    <w:rsid w:val="002E1BCC"/>
    <w:rsid w:val="002E1BE5"/>
    <w:rsid w:val="002E1C4F"/>
    <w:rsid w:val="002E1D74"/>
    <w:rsid w:val="002E1D79"/>
    <w:rsid w:val="002E1DFD"/>
    <w:rsid w:val="002E1F2E"/>
    <w:rsid w:val="002E1F7B"/>
    <w:rsid w:val="002E1F7C"/>
    <w:rsid w:val="002E1FC5"/>
    <w:rsid w:val="002E215C"/>
    <w:rsid w:val="002E2358"/>
    <w:rsid w:val="002E2401"/>
    <w:rsid w:val="002E26D6"/>
    <w:rsid w:val="002E2721"/>
    <w:rsid w:val="002E2A51"/>
    <w:rsid w:val="002E2B3A"/>
    <w:rsid w:val="002E2B60"/>
    <w:rsid w:val="002E2B8E"/>
    <w:rsid w:val="002E2CD5"/>
    <w:rsid w:val="002E2D8F"/>
    <w:rsid w:val="002E2DE5"/>
    <w:rsid w:val="002E2EAA"/>
    <w:rsid w:val="002E33F7"/>
    <w:rsid w:val="002E347D"/>
    <w:rsid w:val="002E358D"/>
    <w:rsid w:val="002E366A"/>
    <w:rsid w:val="002E366E"/>
    <w:rsid w:val="002E37B3"/>
    <w:rsid w:val="002E3B78"/>
    <w:rsid w:val="002E3B96"/>
    <w:rsid w:val="002E3C41"/>
    <w:rsid w:val="002E3CE5"/>
    <w:rsid w:val="002E3E95"/>
    <w:rsid w:val="002E3F28"/>
    <w:rsid w:val="002E4129"/>
    <w:rsid w:val="002E420F"/>
    <w:rsid w:val="002E430D"/>
    <w:rsid w:val="002E43BB"/>
    <w:rsid w:val="002E461D"/>
    <w:rsid w:val="002E4637"/>
    <w:rsid w:val="002E467A"/>
    <w:rsid w:val="002E470E"/>
    <w:rsid w:val="002E47A7"/>
    <w:rsid w:val="002E47D0"/>
    <w:rsid w:val="002E491F"/>
    <w:rsid w:val="002E497F"/>
    <w:rsid w:val="002E49E0"/>
    <w:rsid w:val="002E4A09"/>
    <w:rsid w:val="002E4A15"/>
    <w:rsid w:val="002E4A1E"/>
    <w:rsid w:val="002E4B2F"/>
    <w:rsid w:val="002E4C89"/>
    <w:rsid w:val="002E4CCB"/>
    <w:rsid w:val="002E4CDA"/>
    <w:rsid w:val="002E4E7B"/>
    <w:rsid w:val="002E4F4F"/>
    <w:rsid w:val="002E5040"/>
    <w:rsid w:val="002E518A"/>
    <w:rsid w:val="002E519E"/>
    <w:rsid w:val="002E51A2"/>
    <w:rsid w:val="002E530D"/>
    <w:rsid w:val="002E5336"/>
    <w:rsid w:val="002E5447"/>
    <w:rsid w:val="002E5506"/>
    <w:rsid w:val="002E5547"/>
    <w:rsid w:val="002E5668"/>
    <w:rsid w:val="002E56AC"/>
    <w:rsid w:val="002E5971"/>
    <w:rsid w:val="002E59ED"/>
    <w:rsid w:val="002E5B24"/>
    <w:rsid w:val="002E5C57"/>
    <w:rsid w:val="002E5CE4"/>
    <w:rsid w:val="002E5DD0"/>
    <w:rsid w:val="002E5F07"/>
    <w:rsid w:val="002E60FA"/>
    <w:rsid w:val="002E62F7"/>
    <w:rsid w:val="002E6307"/>
    <w:rsid w:val="002E6351"/>
    <w:rsid w:val="002E63C9"/>
    <w:rsid w:val="002E64CD"/>
    <w:rsid w:val="002E64D4"/>
    <w:rsid w:val="002E66B6"/>
    <w:rsid w:val="002E6897"/>
    <w:rsid w:val="002E6B44"/>
    <w:rsid w:val="002E6C50"/>
    <w:rsid w:val="002E6C5E"/>
    <w:rsid w:val="002E6EE8"/>
    <w:rsid w:val="002E6F1C"/>
    <w:rsid w:val="002E6FAD"/>
    <w:rsid w:val="002E728F"/>
    <w:rsid w:val="002E746C"/>
    <w:rsid w:val="002E78A1"/>
    <w:rsid w:val="002E78A7"/>
    <w:rsid w:val="002E78C3"/>
    <w:rsid w:val="002E7911"/>
    <w:rsid w:val="002E7B4A"/>
    <w:rsid w:val="002E7C3D"/>
    <w:rsid w:val="002E7CF5"/>
    <w:rsid w:val="002E7D2D"/>
    <w:rsid w:val="002E7E50"/>
    <w:rsid w:val="002E7F95"/>
    <w:rsid w:val="002F00FC"/>
    <w:rsid w:val="002F0132"/>
    <w:rsid w:val="002F01CE"/>
    <w:rsid w:val="002F021C"/>
    <w:rsid w:val="002F0302"/>
    <w:rsid w:val="002F0313"/>
    <w:rsid w:val="002F0385"/>
    <w:rsid w:val="002F0448"/>
    <w:rsid w:val="002F05A4"/>
    <w:rsid w:val="002F05B0"/>
    <w:rsid w:val="002F0839"/>
    <w:rsid w:val="002F08BF"/>
    <w:rsid w:val="002F09C3"/>
    <w:rsid w:val="002F0A49"/>
    <w:rsid w:val="002F0A71"/>
    <w:rsid w:val="002F0AC8"/>
    <w:rsid w:val="002F0C14"/>
    <w:rsid w:val="002F0CB1"/>
    <w:rsid w:val="002F0CC3"/>
    <w:rsid w:val="002F0D55"/>
    <w:rsid w:val="002F0E44"/>
    <w:rsid w:val="002F0E6D"/>
    <w:rsid w:val="002F0F6F"/>
    <w:rsid w:val="002F0F7C"/>
    <w:rsid w:val="002F10A3"/>
    <w:rsid w:val="002F1154"/>
    <w:rsid w:val="002F121F"/>
    <w:rsid w:val="002F1288"/>
    <w:rsid w:val="002F128B"/>
    <w:rsid w:val="002F12A8"/>
    <w:rsid w:val="002F148C"/>
    <w:rsid w:val="002F1760"/>
    <w:rsid w:val="002F1776"/>
    <w:rsid w:val="002F17F8"/>
    <w:rsid w:val="002F185B"/>
    <w:rsid w:val="002F1AD9"/>
    <w:rsid w:val="002F1BCF"/>
    <w:rsid w:val="002F1E24"/>
    <w:rsid w:val="002F1E9E"/>
    <w:rsid w:val="002F1F20"/>
    <w:rsid w:val="002F208A"/>
    <w:rsid w:val="002F20DA"/>
    <w:rsid w:val="002F20E2"/>
    <w:rsid w:val="002F227D"/>
    <w:rsid w:val="002F2358"/>
    <w:rsid w:val="002F23D1"/>
    <w:rsid w:val="002F25B9"/>
    <w:rsid w:val="002F282B"/>
    <w:rsid w:val="002F28EB"/>
    <w:rsid w:val="002F2963"/>
    <w:rsid w:val="002F29D4"/>
    <w:rsid w:val="002F2A96"/>
    <w:rsid w:val="002F2AE2"/>
    <w:rsid w:val="002F2AFD"/>
    <w:rsid w:val="002F2B4E"/>
    <w:rsid w:val="002F2BEF"/>
    <w:rsid w:val="002F2CB0"/>
    <w:rsid w:val="002F2E1B"/>
    <w:rsid w:val="002F2F13"/>
    <w:rsid w:val="002F3061"/>
    <w:rsid w:val="002F3211"/>
    <w:rsid w:val="002F325C"/>
    <w:rsid w:val="002F3327"/>
    <w:rsid w:val="002F33D5"/>
    <w:rsid w:val="002F33E9"/>
    <w:rsid w:val="002F341E"/>
    <w:rsid w:val="002F3454"/>
    <w:rsid w:val="002F370C"/>
    <w:rsid w:val="002F3765"/>
    <w:rsid w:val="002F3ABC"/>
    <w:rsid w:val="002F3B04"/>
    <w:rsid w:val="002F3C42"/>
    <w:rsid w:val="002F3DA3"/>
    <w:rsid w:val="002F3E40"/>
    <w:rsid w:val="002F3F3E"/>
    <w:rsid w:val="002F402D"/>
    <w:rsid w:val="002F40AF"/>
    <w:rsid w:val="002F4245"/>
    <w:rsid w:val="002F4379"/>
    <w:rsid w:val="002F4508"/>
    <w:rsid w:val="002F46BF"/>
    <w:rsid w:val="002F479B"/>
    <w:rsid w:val="002F4A55"/>
    <w:rsid w:val="002F4B51"/>
    <w:rsid w:val="002F4C26"/>
    <w:rsid w:val="002F4CDE"/>
    <w:rsid w:val="002F4DB8"/>
    <w:rsid w:val="002F50D9"/>
    <w:rsid w:val="002F51D0"/>
    <w:rsid w:val="002F545A"/>
    <w:rsid w:val="002F556F"/>
    <w:rsid w:val="002F5661"/>
    <w:rsid w:val="002F5673"/>
    <w:rsid w:val="002F592F"/>
    <w:rsid w:val="002F59E1"/>
    <w:rsid w:val="002F5A3C"/>
    <w:rsid w:val="002F5AA1"/>
    <w:rsid w:val="002F5B09"/>
    <w:rsid w:val="002F5C17"/>
    <w:rsid w:val="002F5C90"/>
    <w:rsid w:val="002F5C92"/>
    <w:rsid w:val="002F5CA7"/>
    <w:rsid w:val="002F5D60"/>
    <w:rsid w:val="002F5E85"/>
    <w:rsid w:val="002F5FDB"/>
    <w:rsid w:val="002F60BD"/>
    <w:rsid w:val="002F64A7"/>
    <w:rsid w:val="002F6949"/>
    <w:rsid w:val="002F69A6"/>
    <w:rsid w:val="002F69C7"/>
    <w:rsid w:val="002F6A0C"/>
    <w:rsid w:val="002F6AC5"/>
    <w:rsid w:val="002F6ACF"/>
    <w:rsid w:val="002F6C3B"/>
    <w:rsid w:val="002F6FC8"/>
    <w:rsid w:val="002F6FD7"/>
    <w:rsid w:val="002F70EA"/>
    <w:rsid w:val="002F71C6"/>
    <w:rsid w:val="002F7383"/>
    <w:rsid w:val="002F745E"/>
    <w:rsid w:val="002F7640"/>
    <w:rsid w:val="002F76B5"/>
    <w:rsid w:val="002F7714"/>
    <w:rsid w:val="002F77E6"/>
    <w:rsid w:val="002F7848"/>
    <w:rsid w:val="002F7873"/>
    <w:rsid w:val="002F79D7"/>
    <w:rsid w:val="002F79DD"/>
    <w:rsid w:val="002F79F3"/>
    <w:rsid w:val="002F7A7C"/>
    <w:rsid w:val="002F7AE6"/>
    <w:rsid w:val="00300155"/>
    <w:rsid w:val="003002A0"/>
    <w:rsid w:val="003003AD"/>
    <w:rsid w:val="003003CA"/>
    <w:rsid w:val="00300505"/>
    <w:rsid w:val="0030053C"/>
    <w:rsid w:val="003008D7"/>
    <w:rsid w:val="0030090A"/>
    <w:rsid w:val="00300CAF"/>
    <w:rsid w:val="00300CBC"/>
    <w:rsid w:val="00300E69"/>
    <w:rsid w:val="00300E72"/>
    <w:rsid w:val="00300ED6"/>
    <w:rsid w:val="00301057"/>
    <w:rsid w:val="003010D1"/>
    <w:rsid w:val="003011F3"/>
    <w:rsid w:val="0030125B"/>
    <w:rsid w:val="003012DE"/>
    <w:rsid w:val="00301357"/>
    <w:rsid w:val="0030164C"/>
    <w:rsid w:val="003018CE"/>
    <w:rsid w:val="003019A9"/>
    <w:rsid w:val="00301AB4"/>
    <w:rsid w:val="00301AD4"/>
    <w:rsid w:val="00301C79"/>
    <w:rsid w:val="00301D99"/>
    <w:rsid w:val="00301E35"/>
    <w:rsid w:val="00301EFA"/>
    <w:rsid w:val="00301F02"/>
    <w:rsid w:val="00301FFC"/>
    <w:rsid w:val="003020D0"/>
    <w:rsid w:val="00302330"/>
    <w:rsid w:val="003023AE"/>
    <w:rsid w:val="003024A7"/>
    <w:rsid w:val="00302509"/>
    <w:rsid w:val="003025AF"/>
    <w:rsid w:val="003025BD"/>
    <w:rsid w:val="003026A4"/>
    <w:rsid w:val="003026EE"/>
    <w:rsid w:val="00302772"/>
    <w:rsid w:val="00302780"/>
    <w:rsid w:val="00302979"/>
    <w:rsid w:val="00302AC1"/>
    <w:rsid w:val="00302BB4"/>
    <w:rsid w:val="00302D74"/>
    <w:rsid w:val="00302F23"/>
    <w:rsid w:val="00302FCF"/>
    <w:rsid w:val="003030B8"/>
    <w:rsid w:val="003030C0"/>
    <w:rsid w:val="0030317E"/>
    <w:rsid w:val="00303236"/>
    <w:rsid w:val="003032B0"/>
    <w:rsid w:val="00303301"/>
    <w:rsid w:val="00303437"/>
    <w:rsid w:val="003034A8"/>
    <w:rsid w:val="003036B9"/>
    <w:rsid w:val="003036C5"/>
    <w:rsid w:val="003037B3"/>
    <w:rsid w:val="003038E7"/>
    <w:rsid w:val="003039F3"/>
    <w:rsid w:val="003039FE"/>
    <w:rsid w:val="00303A02"/>
    <w:rsid w:val="00303A1E"/>
    <w:rsid w:val="00303B6F"/>
    <w:rsid w:val="00303CBE"/>
    <w:rsid w:val="00303E26"/>
    <w:rsid w:val="00303E33"/>
    <w:rsid w:val="00303FFD"/>
    <w:rsid w:val="00304193"/>
    <w:rsid w:val="003041AC"/>
    <w:rsid w:val="003041B1"/>
    <w:rsid w:val="003042F3"/>
    <w:rsid w:val="003044D3"/>
    <w:rsid w:val="00304511"/>
    <w:rsid w:val="003045D4"/>
    <w:rsid w:val="0030473E"/>
    <w:rsid w:val="003049C8"/>
    <w:rsid w:val="00304A9C"/>
    <w:rsid w:val="00304BEB"/>
    <w:rsid w:val="00304C32"/>
    <w:rsid w:val="00304C97"/>
    <w:rsid w:val="00304CAB"/>
    <w:rsid w:val="00304D6A"/>
    <w:rsid w:val="00304ED0"/>
    <w:rsid w:val="00304EFA"/>
    <w:rsid w:val="00304F86"/>
    <w:rsid w:val="00304FF7"/>
    <w:rsid w:val="003052A1"/>
    <w:rsid w:val="003052A5"/>
    <w:rsid w:val="00305418"/>
    <w:rsid w:val="0030549C"/>
    <w:rsid w:val="003055F6"/>
    <w:rsid w:val="0030565B"/>
    <w:rsid w:val="00305683"/>
    <w:rsid w:val="003056D5"/>
    <w:rsid w:val="00305871"/>
    <w:rsid w:val="0030590C"/>
    <w:rsid w:val="00305A4F"/>
    <w:rsid w:val="00305A83"/>
    <w:rsid w:val="00305AD9"/>
    <w:rsid w:val="00305B83"/>
    <w:rsid w:val="00305C01"/>
    <w:rsid w:val="00305D4A"/>
    <w:rsid w:val="00305E34"/>
    <w:rsid w:val="0030607D"/>
    <w:rsid w:val="0030615F"/>
    <w:rsid w:val="00306183"/>
    <w:rsid w:val="00306241"/>
    <w:rsid w:val="0030628D"/>
    <w:rsid w:val="0030629F"/>
    <w:rsid w:val="003062EC"/>
    <w:rsid w:val="0030638E"/>
    <w:rsid w:val="00306422"/>
    <w:rsid w:val="00306474"/>
    <w:rsid w:val="00306477"/>
    <w:rsid w:val="00306B8E"/>
    <w:rsid w:val="00306C5F"/>
    <w:rsid w:val="00306CB8"/>
    <w:rsid w:val="00306FBB"/>
    <w:rsid w:val="0030709C"/>
    <w:rsid w:val="003070D2"/>
    <w:rsid w:val="003070F2"/>
    <w:rsid w:val="003070FC"/>
    <w:rsid w:val="00307111"/>
    <w:rsid w:val="00307219"/>
    <w:rsid w:val="00307227"/>
    <w:rsid w:val="003074B9"/>
    <w:rsid w:val="00307572"/>
    <w:rsid w:val="003076AB"/>
    <w:rsid w:val="003078E5"/>
    <w:rsid w:val="0030792A"/>
    <w:rsid w:val="00307A6B"/>
    <w:rsid w:val="00307B08"/>
    <w:rsid w:val="00307CD1"/>
    <w:rsid w:val="00307F08"/>
    <w:rsid w:val="00307F8A"/>
    <w:rsid w:val="00307FC0"/>
    <w:rsid w:val="00307FC1"/>
    <w:rsid w:val="0030C4B2"/>
    <w:rsid w:val="00310256"/>
    <w:rsid w:val="003102A5"/>
    <w:rsid w:val="003102CE"/>
    <w:rsid w:val="00310368"/>
    <w:rsid w:val="00310376"/>
    <w:rsid w:val="003103D5"/>
    <w:rsid w:val="00310525"/>
    <w:rsid w:val="00310675"/>
    <w:rsid w:val="003108D3"/>
    <w:rsid w:val="003109CA"/>
    <w:rsid w:val="00310AEF"/>
    <w:rsid w:val="00310BC3"/>
    <w:rsid w:val="00310EE2"/>
    <w:rsid w:val="003110F8"/>
    <w:rsid w:val="003112E7"/>
    <w:rsid w:val="003112FA"/>
    <w:rsid w:val="00311393"/>
    <w:rsid w:val="003114C9"/>
    <w:rsid w:val="003114EF"/>
    <w:rsid w:val="00311580"/>
    <w:rsid w:val="00311601"/>
    <w:rsid w:val="00311671"/>
    <w:rsid w:val="00311673"/>
    <w:rsid w:val="0031178B"/>
    <w:rsid w:val="00311793"/>
    <w:rsid w:val="00311830"/>
    <w:rsid w:val="00311832"/>
    <w:rsid w:val="00311850"/>
    <w:rsid w:val="00311859"/>
    <w:rsid w:val="003118CC"/>
    <w:rsid w:val="003118E6"/>
    <w:rsid w:val="00311C83"/>
    <w:rsid w:val="00311D3E"/>
    <w:rsid w:val="00311EE8"/>
    <w:rsid w:val="00311FA8"/>
    <w:rsid w:val="003120AC"/>
    <w:rsid w:val="00312194"/>
    <w:rsid w:val="00312266"/>
    <w:rsid w:val="003122D8"/>
    <w:rsid w:val="00312517"/>
    <w:rsid w:val="00312630"/>
    <w:rsid w:val="0031272F"/>
    <w:rsid w:val="003127DA"/>
    <w:rsid w:val="003127E8"/>
    <w:rsid w:val="0031286C"/>
    <w:rsid w:val="003128A5"/>
    <w:rsid w:val="00312947"/>
    <w:rsid w:val="003129C7"/>
    <w:rsid w:val="00312FA0"/>
    <w:rsid w:val="003130FC"/>
    <w:rsid w:val="0031313C"/>
    <w:rsid w:val="00313152"/>
    <w:rsid w:val="0031329C"/>
    <w:rsid w:val="003132F1"/>
    <w:rsid w:val="003132FC"/>
    <w:rsid w:val="003133DF"/>
    <w:rsid w:val="003134EB"/>
    <w:rsid w:val="003135ED"/>
    <w:rsid w:val="0031362B"/>
    <w:rsid w:val="003136E8"/>
    <w:rsid w:val="00313712"/>
    <w:rsid w:val="00313803"/>
    <w:rsid w:val="00313868"/>
    <w:rsid w:val="003138B0"/>
    <w:rsid w:val="003139CA"/>
    <w:rsid w:val="003139CC"/>
    <w:rsid w:val="00313B7F"/>
    <w:rsid w:val="00313F07"/>
    <w:rsid w:val="00313FE8"/>
    <w:rsid w:val="00313FFA"/>
    <w:rsid w:val="00314082"/>
    <w:rsid w:val="003140C3"/>
    <w:rsid w:val="00314329"/>
    <w:rsid w:val="00314354"/>
    <w:rsid w:val="00314383"/>
    <w:rsid w:val="00314398"/>
    <w:rsid w:val="003143C0"/>
    <w:rsid w:val="00314453"/>
    <w:rsid w:val="003145B1"/>
    <w:rsid w:val="0031468B"/>
    <w:rsid w:val="00314717"/>
    <w:rsid w:val="0031472D"/>
    <w:rsid w:val="0031483C"/>
    <w:rsid w:val="0031490B"/>
    <w:rsid w:val="00314AC4"/>
    <w:rsid w:val="00314B45"/>
    <w:rsid w:val="00314C4A"/>
    <w:rsid w:val="00314CE0"/>
    <w:rsid w:val="00314D07"/>
    <w:rsid w:val="00314DBA"/>
    <w:rsid w:val="00314E09"/>
    <w:rsid w:val="00314E41"/>
    <w:rsid w:val="00314E6B"/>
    <w:rsid w:val="00314F30"/>
    <w:rsid w:val="0031505A"/>
    <w:rsid w:val="0031507C"/>
    <w:rsid w:val="0031511E"/>
    <w:rsid w:val="0031523F"/>
    <w:rsid w:val="003152D8"/>
    <w:rsid w:val="003154DF"/>
    <w:rsid w:val="003154F2"/>
    <w:rsid w:val="00315602"/>
    <w:rsid w:val="003156FA"/>
    <w:rsid w:val="0031574A"/>
    <w:rsid w:val="003157CA"/>
    <w:rsid w:val="00315903"/>
    <w:rsid w:val="0031594D"/>
    <w:rsid w:val="00315B09"/>
    <w:rsid w:val="00315B9A"/>
    <w:rsid w:val="00315BD8"/>
    <w:rsid w:val="00315D80"/>
    <w:rsid w:val="00315E0B"/>
    <w:rsid w:val="00315E42"/>
    <w:rsid w:val="00315E6A"/>
    <w:rsid w:val="00315F48"/>
    <w:rsid w:val="00315FF6"/>
    <w:rsid w:val="0031612C"/>
    <w:rsid w:val="003161C1"/>
    <w:rsid w:val="003161CB"/>
    <w:rsid w:val="00316360"/>
    <w:rsid w:val="00316366"/>
    <w:rsid w:val="00316412"/>
    <w:rsid w:val="00316478"/>
    <w:rsid w:val="003164A8"/>
    <w:rsid w:val="00316549"/>
    <w:rsid w:val="003165A0"/>
    <w:rsid w:val="00316615"/>
    <w:rsid w:val="0031699C"/>
    <w:rsid w:val="00316ABA"/>
    <w:rsid w:val="00316B8F"/>
    <w:rsid w:val="00316BB3"/>
    <w:rsid w:val="00316C87"/>
    <w:rsid w:val="00316D49"/>
    <w:rsid w:val="00316D96"/>
    <w:rsid w:val="00316E2A"/>
    <w:rsid w:val="00316FA6"/>
    <w:rsid w:val="00316FFD"/>
    <w:rsid w:val="003170C0"/>
    <w:rsid w:val="003170E4"/>
    <w:rsid w:val="003172F6"/>
    <w:rsid w:val="003176F0"/>
    <w:rsid w:val="003177D6"/>
    <w:rsid w:val="003178A3"/>
    <w:rsid w:val="0031790F"/>
    <w:rsid w:val="0031799B"/>
    <w:rsid w:val="003179AB"/>
    <w:rsid w:val="00317B3A"/>
    <w:rsid w:val="00317C7B"/>
    <w:rsid w:val="00317F67"/>
    <w:rsid w:val="0032005E"/>
    <w:rsid w:val="003200DF"/>
    <w:rsid w:val="0032012E"/>
    <w:rsid w:val="00320162"/>
    <w:rsid w:val="003201C0"/>
    <w:rsid w:val="0032037D"/>
    <w:rsid w:val="003204CB"/>
    <w:rsid w:val="003204CD"/>
    <w:rsid w:val="00320515"/>
    <w:rsid w:val="00320594"/>
    <w:rsid w:val="003207E6"/>
    <w:rsid w:val="00320B79"/>
    <w:rsid w:val="00320B9C"/>
    <w:rsid w:val="00320BAB"/>
    <w:rsid w:val="00320BEE"/>
    <w:rsid w:val="00320CBC"/>
    <w:rsid w:val="00320D30"/>
    <w:rsid w:val="00320DCD"/>
    <w:rsid w:val="00320F2A"/>
    <w:rsid w:val="00320FFC"/>
    <w:rsid w:val="003210C0"/>
    <w:rsid w:val="0032112D"/>
    <w:rsid w:val="00321222"/>
    <w:rsid w:val="00321315"/>
    <w:rsid w:val="0032134A"/>
    <w:rsid w:val="003213F1"/>
    <w:rsid w:val="0032142B"/>
    <w:rsid w:val="003215D7"/>
    <w:rsid w:val="0032173E"/>
    <w:rsid w:val="00321A06"/>
    <w:rsid w:val="00321C63"/>
    <w:rsid w:val="00321D10"/>
    <w:rsid w:val="00321D8F"/>
    <w:rsid w:val="00321E8E"/>
    <w:rsid w:val="00321EF7"/>
    <w:rsid w:val="00322139"/>
    <w:rsid w:val="0032216C"/>
    <w:rsid w:val="003222FA"/>
    <w:rsid w:val="00322620"/>
    <w:rsid w:val="00322648"/>
    <w:rsid w:val="003226AF"/>
    <w:rsid w:val="0032271F"/>
    <w:rsid w:val="00322943"/>
    <w:rsid w:val="00322993"/>
    <w:rsid w:val="00322B06"/>
    <w:rsid w:val="00322B8F"/>
    <w:rsid w:val="00322C32"/>
    <w:rsid w:val="00322EC5"/>
    <w:rsid w:val="00322FFD"/>
    <w:rsid w:val="0032300F"/>
    <w:rsid w:val="0032309E"/>
    <w:rsid w:val="003230BE"/>
    <w:rsid w:val="00323168"/>
    <w:rsid w:val="003231D8"/>
    <w:rsid w:val="00323632"/>
    <w:rsid w:val="0032374C"/>
    <w:rsid w:val="003238A0"/>
    <w:rsid w:val="00323912"/>
    <w:rsid w:val="0032397E"/>
    <w:rsid w:val="00323A6E"/>
    <w:rsid w:val="00323AA5"/>
    <w:rsid w:val="00323BA3"/>
    <w:rsid w:val="00323C94"/>
    <w:rsid w:val="00323CFA"/>
    <w:rsid w:val="00323E73"/>
    <w:rsid w:val="003240BA"/>
    <w:rsid w:val="0032420E"/>
    <w:rsid w:val="003242C1"/>
    <w:rsid w:val="00324306"/>
    <w:rsid w:val="00324405"/>
    <w:rsid w:val="003244E3"/>
    <w:rsid w:val="003244ED"/>
    <w:rsid w:val="0032451F"/>
    <w:rsid w:val="00324760"/>
    <w:rsid w:val="003247CB"/>
    <w:rsid w:val="00324A68"/>
    <w:rsid w:val="00324AD6"/>
    <w:rsid w:val="00324D48"/>
    <w:rsid w:val="00324EA1"/>
    <w:rsid w:val="00324F45"/>
    <w:rsid w:val="0032500C"/>
    <w:rsid w:val="00325131"/>
    <w:rsid w:val="0032531B"/>
    <w:rsid w:val="003256B5"/>
    <w:rsid w:val="0032576A"/>
    <w:rsid w:val="0032598F"/>
    <w:rsid w:val="00325A0C"/>
    <w:rsid w:val="00325AFF"/>
    <w:rsid w:val="00325B08"/>
    <w:rsid w:val="00325B6E"/>
    <w:rsid w:val="00325C12"/>
    <w:rsid w:val="00325C2F"/>
    <w:rsid w:val="00325D05"/>
    <w:rsid w:val="00325FBE"/>
    <w:rsid w:val="003260F4"/>
    <w:rsid w:val="0032615A"/>
    <w:rsid w:val="0032629D"/>
    <w:rsid w:val="003262C8"/>
    <w:rsid w:val="0032638B"/>
    <w:rsid w:val="00326421"/>
    <w:rsid w:val="00326591"/>
    <w:rsid w:val="00326631"/>
    <w:rsid w:val="003266A1"/>
    <w:rsid w:val="0032670B"/>
    <w:rsid w:val="0032695D"/>
    <w:rsid w:val="00326A1E"/>
    <w:rsid w:val="00326B70"/>
    <w:rsid w:val="00326BEB"/>
    <w:rsid w:val="00326CA3"/>
    <w:rsid w:val="00326D0A"/>
    <w:rsid w:val="00326D51"/>
    <w:rsid w:val="00326D86"/>
    <w:rsid w:val="00326EC7"/>
    <w:rsid w:val="00326EDB"/>
    <w:rsid w:val="00326EED"/>
    <w:rsid w:val="00326F9E"/>
    <w:rsid w:val="00326FA5"/>
    <w:rsid w:val="0032700D"/>
    <w:rsid w:val="003270C3"/>
    <w:rsid w:val="00327153"/>
    <w:rsid w:val="00327281"/>
    <w:rsid w:val="003272C6"/>
    <w:rsid w:val="00327336"/>
    <w:rsid w:val="003273D1"/>
    <w:rsid w:val="00327452"/>
    <w:rsid w:val="00327497"/>
    <w:rsid w:val="00327543"/>
    <w:rsid w:val="0032768E"/>
    <w:rsid w:val="003277B7"/>
    <w:rsid w:val="003279A6"/>
    <w:rsid w:val="00327A28"/>
    <w:rsid w:val="00327A98"/>
    <w:rsid w:val="00327D32"/>
    <w:rsid w:val="00327D8A"/>
    <w:rsid w:val="00327DB4"/>
    <w:rsid w:val="00327DED"/>
    <w:rsid w:val="00327E85"/>
    <w:rsid w:val="00327FEA"/>
    <w:rsid w:val="0033002C"/>
    <w:rsid w:val="00330363"/>
    <w:rsid w:val="00330371"/>
    <w:rsid w:val="0033063F"/>
    <w:rsid w:val="003307EE"/>
    <w:rsid w:val="00330828"/>
    <w:rsid w:val="00330836"/>
    <w:rsid w:val="00330C3A"/>
    <w:rsid w:val="00330C87"/>
    <w:rsid w:val="00330DE8"/>
    <w:rsid w:val="00330DF8"/>
    <w:rsid w:val="003311A5"/>
    <w:rsid w:val="003311CB"/>
    <w:rsid w:val="0033125F"/>
    <w:rsid w:val="003312F4"/>
    <w:rsid w:val="0033134B"/>
    <w:rsid w:val="00331359"/>
    <w:rsid w:val="003314C1"/>
    <w:rsid w:val="003314F4"/>
    <w:rsid w:val="00331504"/>
    <w:rsid w:val="0033156F"/>
    <w:rsid w:val="00331628"/>
    <w:rsid w:val="003316BC"/>
    <w:rsid w:val="0033175E"/>
    <w:rsid w:val="003318A5"/>
    <w:rsid w:val="00331948"/>
    <w:rsid w:val="00331B60"/>
    <w:rsid w:val="00331B6C"/>
    <w:rsid w:val="00331C32"/>
    <w:rsid w:val="00331C6C"/>
    <w:rsid w:val="00331C9E"/>
    <w:rsid w:val="00331D19"/>
    <w:rsid w:val="00331D6C"/>
    <w:rsid w:val="00331D9E"/>
    <w:rsid w:val="00331DE1"/>
    <w:rsid w:val="00331DEB"/>
    <w:rsid w:val="00332562"/>
    <w:rsid w:val="00332699"/>
    <w:rsid w:val="0033290F"/>
    <w:rsid w:val="00332978"/>
    <w:rsid w:val="00332AFA"/>
    <w:rsid w:val="00332BF0"/>
    <w:rsid w:val="00332D8F"/>
    <w:rsid w:val="00332E6D"/>
    <w:rsid w:val="00332EAE"/>
    <w:rsid w:val="00332F16"/>
    <w:rsid w:val="00333010"/>
    <w:rsid w:val="003331FE"/>
    <w:rsid w:val="00333498"/>
    <w:rsid w:val="00333630"/>
    <w:rsid w:val="003337AB"/>
    <w:rsid w:val="0033386B"/>
    <w:rsid w:val="0033386D"/>
    <w:rsid w:val="00333987"/>
    <w:rsid w:val="00333AC9"/>
    <w:rsid w:val="00333B34"/>
    <w:rsid w:val="00333C26"/>
    <w:rsid w:val="00333C45"/>
    <w:rsid w:val="00333C57"/>
    <w:rsid w:val="00333D96"/>
    <w:rsid w:val="00333DB3"/>
    <w:rsid w:val="00333E58"/>
    <w:rsid w:val="00333ED7"/>
    <w:rsid w:val="00333EE0"/>
    <w:rsid w:val="00333EF9"/>
    <w:rsid w:val="00333F45"/>
    <w:rsid w:val="00333FBD"/>
    <w:rsid w:val="003340CF"/>
    <w:rsid w:val="00334154"/>
    <w:rsid w:val="00334290"/>
    <w:rsid w:val="0033430D"/>
    <w:rsid w:val="0033435B"/>
    <w:rsid w:val="00334387"/>
    <w:rsid w:val="0033460E"/>
    <w:rsid w:val="00334616"/>
    <w:rsid w:val="00334622"/>
    <w:rsid w:val="003346C9"/>
    <w:rsid w:val="00334743"/>
    <w:rsid w:val="0033488C"/>
    <w:rsid w:val="00334963"/>
    <w:rsid w:val="00334AA0"/>
    <w:rsid w:val="00334B8D"/>
    <w:rsid w:val="00334C50"/>
    <w:rsid w:val="00334D19"/>
    <w:rsid w:val="00334D57"/>
    <w:rsid w:val="00334EF5"/>
    <w:rsid w:val="00334F04"/>
    <w:rsid w:val="00334FC4"/>
    <w:rsid w:val="003350FC"/>
    <w:rsid w:val="00335129"/>
    <w:rsid w:val="0033520C"/>
    <w:rsid w:val="003352B7"/>
    <w:rsid w:val="00335307"/>
    <w:rsid w:val="0033535B"/>
    <w:rsid w:val="0033540E"/>
    <w:rsid w:val="0033547C"/>
    <w:rsid w:val="003356FE"/>
    <w:rsid w:val="00335815"/>
    <w:rsid w:val="003358B2"/>
    <w:rsid w:val="003358C9"/>
    <w:rsid w:val="00335A48"/>
    <w:rsid w:val="00335A4D"/>
    <w:rsid w:val="00335A7A"/>
    <w:rsid w:val="00335BF4"/>
    <w:rsid w:val="00335DA1"/>
    <w:rsid w:val="00335EC7"/>
    <w:rsid w:val="003360C8"/>
    <w:rsid w:val="00336143"/>
    <w:rsid w:val="00336218"/>
    <w:rsid w:val="0033628E"/>
    <w:rsid w:val="003363B9"/>
    <w:rsid w:val="003363D8"/>
    <w:rsid w:val="00336454"/>
    <w:rsid w:val="00336458"/>
    <w:rsid w:val="0033652E"/>
    <w:rsid w:val="003365B8"/>
    <w:rsid w:val="00336697"/>
    <w:rsid w:val="003366B2"/>
    <w:rsid w:val="003369E5"/>
    <w:rsid w:val="00336A2E"/>
    <w:rsid w:val="00336A4C"/>
    <w:rsid w:val="00336B8E"/>
    <w:rsid w:val="00336C04"/>
    <w:rsid w:val="00336D1D"/>
    <w:rsid w:val="00336D87"/>
    <w:rsid w:val="00336DDD"/>
    <w:rsid w:val="003370DA"/>
    <w:rsid w:val="0033715C"/>
    <w:rsid w:val="0033723D"/>
    <w:rsid w:val="003372A8"/>
    <w:rsid w:val="00337347"/>
    <w:rsid w:val="00337440"/>
    <w:rsid w:val="0033753F"/>
    <w:rsid w:val="003375F0"/>
    <w:rsid w:val="00337660"/>
    <w:rsid w:val="003377FB"/>
    <w:rsid w:val="0033790F"/>
    <w:rsid w:val="00337945"/>
    <w:rsid w:val="0033795F"/>
    <w:rsid w:val="003379A9"/>
    <w:rsid w:val="00337A6E"/>
    <w:rsid w:val="00337AFD"/>
    <w:rsid w:val="00337C9D"/>
    <w:rsid w:val="00337E9A"/>
    <w:rsid w:val="003404E9"/>
    <w:rsid w:val="003407E0"/>
    <w:rsid w:val="00340845"/>
    <w:rsid w:val="003409DA"/>
    <w:rsid w:val="00340B08"/>
    <w:rsid w:val="00340BC4"/>
    <w:rsid w:val="00340CB5"/>
    <w:rsid w:val="00340F4C"/>
    <w:rsid w:val="00340FF3"/>
    <w:rsid w:val="00341410"/>
    <w:rsid w:val="00341450"/>
    <w:rsid w:val="00341489"/>
    <w:rsid w:val="003414F4"/>
    <w:rsid w:val="003415A3"/>
    <w:rsid w:val="0034167B"/>
    <w:rsid w:val="00341709"/>
    <w:rsid w:val="00341737"/>
    <w:rsid w:val="00341804"/>
    <w:rsid w:val="00341894"/>
    <w:rsid w:val="0034199E"/>
    <w:rsid w:val="00341A76"/>
    <w:rsid w:val="00341AD4"/>
    <w:rsid w:val="00341BCD"/>
    <w:rsid w:val="00341BF5"/>
    <w:rsid w:val="00341CDA"/>
    <w:rsid w:val="00341FB5"/>
    <w:rsid w:val="003421DF"/>
    <w:rsid w:val="0034221D"/>
    <w:rsid w:val="0034223F"/>
    <w:rsid w:val="003422E7"/>
    <w:rsid w:val="003424D8"/>
    <w:rsid w:val="0034263E"/>
    <w:rsid w:val="00342656"/>
    <w:rsid w:val="0034277B"/>
    <w:rsid w:val="0034277E"/>
    <w:rsid w:val="00342827"/>
    <w:rsid w:val="00342861"/>
    <w:rsid w:val="00342A23"/>
    <w:rsid w:val="00342C9F"/>
    <w:rsid w:val="00342E8E"/>
    <w:rsid w:val="00342F29"/>
    <w:rsid w:val="00343049"/>
    <w:rsid w:val="00343095"/>
    <w:rsid w:val="003430A9"/>
    <w:rsid w:val="0034318D"/>
    <w:rsid w:val="003431CA"/>
    <w:rsid w:val="003432CE"/>
    <w:rsid w:val="00343459"/>
    <w:rsid w:val="003434FC"/>
    <w:rsid w:val="00343528"/>
    <w:rsid w:val="00343653"/>
    <w:rsid w:val="00343706"/>
    <w:rsid w:val="00343850"/>
    <w:rsid w:val="00343852"/>
    <w:rsid w:val="00343947"/>
    <w:rsid w:val="003439EE"/>
    <w:rsid w:val="00343A46"/>
    <w:rsid w:val="00343B69"/>
    <w:rsid w:val="00343CF4"/>
    <w:rsid w:val="00343D76"/>
    <w:rsid w:val="00343F55"/>
    <w:rsid w:val="00343F7D"/>
    <w:rsid w:val="00344089"/>
    <w:rsid w:val="003440CE"/>
    <w:rsid w:val="003441AE"/>
    <w:rsid w:val="003443FE"/>
    <w:rsid w:val="00344447"/>
    <w:rsid w:val="00344453"/>
    <w:rsid w:val="003444E0"/>
    <w:rsid w:val="00344510"/>
    <w:rsid w:val="003445A2"/>
    <w:rsid w:val="003445DF"/>
    <w:rsid w:val="003446E4"/>
    <w:rsid w:val="0034470A"/>
    <w:rsid w:val="003447C7"/>
    <w:rsid w:val="00344A31"/>
    <w:rsid w:val="00344AEF"/>
    <w:rsid w:val="00344B5D"/>
    <w:rsid w:val="00344C0D"/>
    <w:rsid w:val="00344C8E"/>
    <w:rsid w:val="00344E87"/>
    <w:rsid w:val="00344ED3"/>
    <w:rsid w:val="00344FB0"/>
    <w:rsid w:val="00344FFF"/>
    <w:rsid w:val="0034518D"/>
    <w:rsid w:val="003451F8"/>
    <w:rsid w:val="00345260"/>
    <w:rsid w:val="00345316"/>
    <w:rsid w:val="0034538C"/>
    <w:rsid w:val="00345441"/>
    <w:rsid w:val="00345549"/>
    <w:rsid w:val="00345656"/>
    <w:rsid w:val="00345777"/>
    <w:rsid w:val="003457AF"/>
    <w:rsid w:val="0034598E"/>
    <w:rsid w:val="003459B1"/>
    <w:rsid w:val="003459B2"/>
    <w:rsid w:val="00345A3F"/>
    <w:rsid w:val="00345A95"/>
    <w:rsid w:val="00345ACE"/>
    <w:rsid w:val="00345B0A"/>
    <w:rsid w:val="00345B5B"/>
    <w:rsid w:val="00345BC8"/>
    <w:rsid w:val="00345BEE"/>
    <w:rsid w:val="00345DCF"/>
    <w:rsid w:val="00345E3B"/>
    <w:rsid w:val="00345E6C"/>
    <w:rsid w:val="00345E95"/>
    <w:rsid w:val="00345EFA"/>
    <w:rsid w:val="0034604D"/>
    <w:rsid w:val="003461C8"/>
    <w:rsid w:val="00346214"/>
    <w:rsid w:val="00346227"/>
    <w:rsid w:val="0034627B"/>
    <w:rsid w:val="003462EB"/>
    <w:rsid w:val="00346351"/>
    <w:rsid w:val="00346609"/>
    <w:rsid w:val="00346611"/>
    <w:rsid w:val="00346662"/>
    <w:rsid w:val="00346931"/>
    <w:rsid w:val="00346970"/>
    <w:rsid w:val="00346B6D"/>
    <w:rsid w:val="00346BFC"/>
    <w:rsid w:val="00346DDC"/>
    <w:rsid w:val="00346E33"/>
    <w:rsid w:val="00346F4B"/>
    <w:rsid w:val="003470A7"/>
    <w:rsid w:val="00347165"/>
    <w:rsid w:val="0034739C"/>
    <w:rsid w:val="003473A2"/>
    <w:rsid w:val="003475C4"/>
    <w:rsid w:val="003477D1"/>
    <w:rsid w:val="00347AF4"/>
    <w:rsid w:val="00347BB7"/>
    <w:rsid w:val="00347C6A"/>
    <w:rsid w:val="00347D8A"/>
    <w:rsid w:val="00347DAF"/>
    <w:rsid w:val="00347FC3"/>
    <w:rsid w:val="003500E2"/>
    <w:rsid w:val="003503AE"/>
    <w:rsid w:val="003503F8"/>
    <w:rsid w:val="0035046E"/>
    <w:rsid w:val="003504C0"/>
    <w:rsid w:val="003505C9"/>
    <w:rsid w:val="00350601"/>
    <w:rsid w:val="00350630"/>
    <w:rsid w:val="003506C0"/>
    <w:rsid w:val="0035082D"/>
    <w:rsid w:val="00350A35"/>
    <w:rsid w:val="00350B25"/>
    <w:rsid w:val="00350D38"/>
    <w:rsid w:val="00350EBE"/>
    <w:rsid w:val="00350F80"/>
    <w:rsid w:val="00351016"/>
    <w:rsid w:val="003512A6"/>
    <w:rsid w:val="003512DD"/>
    <w:rsid w:val="003513B7"/>
    <w:rsid w:val="003516A9"/>
    <w:rsid w:val="00351903"/>
    <w:rsid w:val="0035191E"/>
    <w:rsid w:val="00351B57"/>
    <w:rsid w:val="00351BE0"/>
    <w:rsid w:val="00351C31"/>
    <w:rsid w:val="00351C43"/>
    <w:rsid w:val="00351D1F"/>
    <w:rsid w:val="00351EC8"/>
    <w:rsid w:val="00352083"/>
    <w:rsid w:val="00352120"/>
    <w:rsid w:val="0035214C"/>
    <w:rsid w:val="003521C2"/>
    <w:rsid w:val="003522A1"/>
    <w:rsid w:val="003523BA"/>
    <w:rsid w:val="003523DB"/>
    <w:rsid w:val="00352654"/>
    <w:rsid w:val="00352674"/>
    <w:rsid w:val="0035267C"/>
    <w:rsid w:val="003527B6"/>
    <w:rsid w:val="003527CB"/>
    <w:rsid w:val="0035287D"/>
    <w:rsid w:val="00352A32"/>
    <w:rsid w:val="00352CAA"/>
    <w:rsid w:val="00352DF4"/>
    <w:rsid w:val="00353070"/>
    <w:rsid w:val="00353074"/>
    <w:rsid w:val="00353094"/>
    <w:rsid w:val="003530C5"/>
    <w:rsid w:val="0035329E"/>
    <w:rsid w:val="0035332F"/>
    <w:rsid w:val="003533A4"/>
    <w:rsid w:val="00353468"/>
    <w:rsid w:val="00353712"/>
    <w:rsid w:val="00353B2D"/>
    <w:rsid w:val="00353BE2"/>
    <w:rsid w:val="00353C3F"/>
    <w:rsid w:val="00353C52"/>
    <w:rsid w:val="00353C56"/>
    <w:rsid w:val="00353CC0"/>
    <w:rsid w:val="00353CF0"/>
    <w:rsid w:val="00353ECE"/>
    <w:rsid w:val="00353EEB"/>
    <w:rsid w:val="00353EF5"/>
    <w:rsid w:val="00353FB2"/>
    <w:rsid w:val="00353FDA"/>
    <w:rsid w:val="00354149"/>
    <w:rsid w:val="003541EC"/>
    <w:rsid w:val="00354228"/>
    <w:rsid w:val="00354354"/>
    <w:rsid w:val="0035440D"/>
    <w:rsid w:val="00354449"/>
    <w:rsid w:val="00354510"/>
    <w:rsid w:val="003545A3"/>
    <w:rsid w:val="0035482D"/>
    <w:rsid w:val="003548F1"/>
    <w:rsid w:val="0035497E"/>
    <w:rsid w:val="00354B1F"/>
    <w:rsid w:val="00354C69"/>
    <w:rsid w:val="00354CEC"/>
    <w:rsid w:val="00354D17"/>
    <w:rsid w:val="00354D18"/>
    <w:rsid w:val="00354E13"/>
    <w:rsid w:val="003551DF"/>
    <w:rsid w:val="003553A9"/>
    <w:rsid w:val="00355408"/>
    <w:rsid w:val="0035559C"/>
    <w:rsid w:val="0035568A"/>
    <w:rsid w:val="003556FD"/>
    <w:rsid w:val="003558C8"/>
    <w:rsid w:val="00355A03"/>
    <w:rsid w:val="00355A79"/>
    <w:rsid w:val="00355B27"/>
    <w:rsid w:val="00355B9B"/>
    <w:rsid w:val="00355BE3"/>
    <w:rsid w:val="00355CDA"/>
    <w:rsid w:val="00355E70"/>
    <w:rsid w:val="00355EEC"/>
    <w:rsid w:val="00355FC3"/>
    <w:rsid w:val="0035603F"/>
    <w:rsid w:val="0035605E"/>
    <w:rsid w:val="00356182"/>
    <w:rsid w:val="0035633C"/>
    <w:rsid w:val="00356401"/>
    <w:rsid w:val="00356452"/>
    <w:rsid w:val="00356508"/>
    <w:rsid w:val="0035651E"/>
    <w:rsid w:val="00356524"/>
    <w:rsid w:val="003565FB"/>
    <w:rsid w:val="00356686"/>
    <w:rsid w:val="003566DB"/>
    <w:rsid w:val="00356762"/>
    <w:rsid w:val="0035683F"/>
    <w:rsid w:val="00356F3B"/>
    <w:rsid w:val="0035707B"/>
    <w:rsid w:val="0035713A"/>
    <w:rsid w:val="003571DA"/>
    <w:rsid w:val="003571E8"/>
    <w:rsid w:val="003572B5"/>
    <w:rsid w:val="0035730A"/>
    <w:rsid w:val="003573BB"/>
    <w:rsid w:val="003573C3"/>
    <w:rsid w:val="00357455"/>
    <w:rsid w:val="00357458"/>
    <w:rsid w:val="003574B1"/>
    <w:rsid w:val="00357521"/>
    <w:rsid w:val="003575D2"/>
    <w:rsid w:val="003577F7"/>
    <w:rsid w:val="00357839"/>
    <w:rsid w:val="003578FA"/>
    <w:rsid w:val="00357A23"/>
    <w:rsid w:val="00357A61"/>
    <w:rsid w:val="00357AFE"/>
    <w:rsid w:val="00357B6C"/>
    <w:rsid w:val="00357C0F"/>
    <w:rsid w:val="00357C1D"/>
    <w:rsid w:val="00357C26"/>
    <w:rsid w:val="00357CC0"/>
    <w:rsid w:val="00357CFE"/>
    <w:rsid w:val="00357E84"/>
    <w:rsid w:val="00357EFD"/>
    <w:rsid w:val="0036002D"/>
    <w:rsid w:val="0036004B"/>
    <w:rsid w:val="00360237"/>
    <w:rsid w:val="003602B6"/>
    <w:rsid w:val="003602D2"/>
    <w:rsid w:val="0036036A"/>
    <w:rsid w:val="0036060E"/>
    <w:rsid w:val="00360726"/>
    <w:rsid w:val="00360819"/>
    <w:rsid w:val="00360860"/>
    <w:rsid w:val="0036096C"/>
    <w:rsid w:val="003609B8"/>
    <w:rsid w:val="00360BDA"/>
    <w:rsid w:val="00360CF2"/>
    <w:rsid w:val="00360D27"/>
    <w:rsid w:val="00360D54"/>
    <w:rsid w:val="00360DCD"/>
    <w:rsid w:val="00360E11"/>
    <w:rsid w:val="00360EAB"/>
    <w:rsid w:val="00360F3D"/>
    <w:rsid w:val="00360FC1"/>
    <w:rsid w:val="00361019"/>
    <w:rsid w:val="0036101E"/>
    <w:rsid w:val="0036102E"/>
    <w:rsid w:val="0036109B"/>
    <w:rsid w:val="00361129"/>
    <w:rsid w:val="003611B6"/>
    <w:rsid w:val="003611C1"/>
    <w:rsid w:val="00361263"/>
    <w:rsid w:val="003613CE"/>
    <w:rsid w:val="00361540"/>
    <w:rsid w:val="00361684"/>
    <w:rsid w:val="003617BD"/>
    <w:rsid w:val="003617DF"/>
    <w:rsid w:val="003618F8"/>
    <w:rsid w:val="00361943"/>
    <w:rsid w:val="00361968"/>
    <w:rsid w:val="00361A2B"/>
    <w:rsid w:val="00361A4B"/>
    <w:rsid w:val="00361BB7"/>
    <w:rsid w:val="00361ED0"/>
    <w:rsid w:val="003621B2"/>
    <w:rsid w:val="0036235E"/>
    <w:rsid w:val="00362617"/>
    <w:rsid w:val="0036265B"/>
    <w:rsid w:val="003627DC"/>
    <w:rsid w:val="00362954"/>
    <w:rsid w:val="0036296F"/>
    <w:rsid w:val="00362A3D"/>
    <w:rsid w:val="00362AD5"/>
    <w:rsid w:val="00362B06"/>
    <w:rsid w:val="00362B25"/>
    <w:rsid w:val="00362C42"/>
    <w:rsid w:val="00362CCF"/>
    <w:rsid w:val="00362DD5"/>
    <w:rsid w:val="00362E39"/>
    <w:rsid w:val="00362E3D"/>
    <w:rsid w:val="00362EBE"/>
    <w:rsid w:val="00362EC1"/>
    <w:rsid w:val="00362EE5"/>
    <w:rsid w:val="00362F06"/>
    <w:rsid w:val="00362F84"/>
    <w:rsid w:val="0036304B"/>
    <w:rsid w:val="0036311F"/>
    <w:rsid w:val="00363224"/>
    <w:rsid w:val="00363254"/>
    <w:rsid w:val="00363264"/>
    <w:rsid w:val="003632C9"/>
    <w:rsid w:val="00363436"/>
    <w:rsid w:val="00363546"/>
    <w:rsid w:val="003635C2"/>
    <w:rsid w:val="00363812"/>
    <w:rsid w:val="00363A5C"/>
    <w:rsid w:val="00363BEA"/>
    <w:rsid w:val="00363C63"/>
    <w:rsid w:val="00363E02"/>
    <w:rsid w:val="00363E39"/>
    <w:rsid w:val="00363E5B"/>
    <w:rsid w:val="00363F00"/>
    <w:rsid w:val="00364160"/>
    <w:rsid w:val="0036429C"/>
    <w:rsid w:val="00364340"/>
    <w:rsid w:val="00364344"/>
    <w:rsid w:val="00364389"/>
    <w:rsid w:val="003644D3"/>
    <w:rsid w:val="0036452A"/>
    <w:rsid w:val="00364627"/>
    <w:rsid w:val="00364656"/>
    <w:rsid w:val="0036470B"/>
    <w:rsid w:val="00364716"/>
    <w:rsid w:val="0036477D"/>
    <w:rsid w:val="00364814"/>
    <w:rsid w:val="0036481E"/>
    <w:rsid w:val="003649DF"/>
    <w:rsid w:val="00364A6F"/>
    <w:rsid w:val="00364BAB"/>
    <w:rsid w:val="00364CC3"/>
    <w:rsid w:val="00364D0F"/>
    <w:rsid w:val="00364DCE"/>
    <w:rsid w:val="00364E23"/>
    <w:rsid w:val="00365030"/>
    <w:rsid w:val="0036506E"/>
    <w:rsid w:val="003652A1"/>
    <w:rsid w:val="003652AD"/>
    <w:rsid w:val="0036561A"/>
    <w:rsid w:val="00365647"/>
    <w:rsid w:val="0036567F"/>
    <w:rsid w:val="003656BD"/>
    <w:rsid w:val="003656C8"/>
    <w:rsid w:val="0036583F"/>
    <w:rsid w:val="00365967"/>
    <w:rsid w:val="00365A2E"/>
    <w:rsid w:val="00365AE5"/>
    <w:rsid w:val="00365BE0"/>
    <w:rsid w:val="00365C7C"/>
    <w:rsid w:val="00365D81"/>
    <w:rsid w:val="00365F2C"/>
    <w:rsid w:val="00365FAF"/>
    <w:rsid w:val="003661B8"/>
    <w:rsid w:val="003662DC"/>
    <w:rsid w:val="003662FE"/>
    <w:rsid w:val="00366492"/>
    <w:rsid w:val="003664AF"/>
    <w:rsid w:val="0036651A"/>
    <w:rsid w:val="00366573"/>
    <w:rsid w:val="003665A7"/>
    <w:rsid w:val="0036660C"/>
    <w:rsid w:val="0036663A"/>
    <w:rsid w:val="00366804"/>
    <w:rsid w:val="003668EC"/>
    <w:rsid w:val="00366B66"/>
    <w:rsid w:val="00366CD0"/>
    <w:rsid w:val="00366CD5"/>
    <w:rsid w:val="00366D66"/>
    <w:rsid w:val="00366D8B"/>
    <w:rsid w:val="0036705E"/>
    <w:rsid w:val="0036708C"/>
    <w:rsid w:val="003670BC"/>
    <w:rsid w:val="0036722E"/>
    <w:rsid w:val="0036731A"/>
    <w:rsid w:val="0036744F"/>
    <w:rsid w:val="003674B1"/>
    <w:rsid w:val="00367574"/>
    <w:rsid w:val="0036761D"/>
    <w:rsid w:val="003676CE"/>
    <w:rsid w:val="003678A1"/>
    <w:rsid w:val="003678FE"/>
    <w:rsid w:val="003679D5"/>
    <w:rsid w:val="00367B7C"/>
    <w:rsid w:val="00367BBB"/>
    <w:rsid w:val="00367D46"/>
    <w:rsid w:val="00367E5A"/>
    <w:rsid w:val="00367E8B"/>
    <w:rsid w:val="00370460"/>
    <w:rsid w:val="003704E6"/>
    <w:rsid w:val="003706AE"/>
    <w:rsid w:val="003706D6"/>
    <w:rsid w:val="0037072A"/>
    <w:rsid w:val="00370797"/>
    <w:rsid w:val="003709A5"/>
    <w:rsid w:val="00370A3A"/>
    <w:rsid w:val="00370A7E"/>
    <w:rsid w:val="00370AD9"/>
    <w:rsid w:val="00370B1E"/>
    <w:rsid w:val="00370B2D"/>
    <w:rsid w:val="00370BB4"/>
    <w:rsid w:val="00370C2E"/>
    <w:rsid w:val="00370CD5"/>
    <w:rsid w:val="00370EA2"/>
    <w:rsid w:val="00370FBD"/>
    <w:rsid w:val="00371141"/>
    <w:rsid w:val="00371151"/>
    <w:rsid w:val="00371171"/>
    <w:rsid w:val="003714DB"/>
    <w:rsid w:val="00371513"/>
    <w:rsid w:val="00371525"/>
    <w:rsid w:val="00371527"/>
    <w:rsid w:val="003715D3"/>
    <w:rsid w:val="0037163D"/>
    <w:rsid w:val="003716E4"/>
    <w:rsid w:val="0037179E"/>
    <w:rsid w:val="00371AA0"/>
    <w:rsid w:val="00371BC8"/>
    <w:rsid w:val="00371C4F"/>
    <w:rsid w:val="00371F66"/>
    <w:rsid w:val="0037214C"/>
    <w:rsid w:val="00372181"/>
    <w:rsid w:val="003722BE"/>
    <w:rsid w:val="00372312"/>
    <w:rsid w:val="003723C6"/>
    <w:rsid w:val="0037268A"/>
    <w:rsid w:val="003726DE"/>
    <w:rsid w:val="003726E8"/>
    <w:rsid w:val="00372744"/>
    <w:rsid w:val="00372859"/>
    <w:rsid w:val="003728EB"/>
    <w:rsid w:val="00372950"/>
    <w:rsid w:val="00372A08"/>
    <w:rsid w:val="00372A2A"/>
    <w:rsid w:val="00372E41"/>
    <w:rsid w:val="00372E6C"/>
    <w:rsid w:val="00372E8C"/>
    <w:rsid w:val="00372F58"/>
    <w:rsid w:val="00373071"/>
    <w:rsid w:val="003730B7"/>
    <w:rsid w:val="00373160"/>
    <w:rsid w:val="00373195"/>
    <w:rsid w:val="003734E1"/>
    <w:rsid w:val="003736BE"/>
    <w:rsid w:val="003738B5"/>
    <w:rsid w:val="003738EA"/>
    <w:rsid w:val="003739B4"/>
    <w:rsid w:val="00373ABB"/>
    <w:rsid w:val="00373D44"/>
    <w:rsid w:val="00373E25"/>
    <w:rsid w:val="00373F5C"/>
    <w:rsid w:val="00373FA5"/>
    <w:rsid w:val="003744AF"/>
    <w:rsid w:val="00374526"/>
    <w:rsid w:val="00374530"/>
    <w:rsid w:val="0037456C"/>
    <w:rsid w:val="003745E1"/>
    <w:rsid w:val="003746D4"/>
    <w:rsid w:val="00374775"/>
    <w:rsid w:val="0037481C"/>
    <w:rsid w:val="00374825"/>
    <w:rsid w:val="003748F9"/>
    <w:rsid w:val="00374A5C"/>
    <w:rsid w:val="00374BB2"/>
    <w:rsid w:val="00374C88"/>
    <w:rsid w:val="00374CD9"/>
    <w:rsid w:val="00374D7B"/>
    <w:rsid w:val="00374DDE"/>
    <w:rsid w:val="00374DE5"/>
    <w:rsid w:val="00374E66"/>
    <w:rsid w:val="00375148"/>
    <w:rsid w:val="00375261"/>
    <w:rsid w:val="0037535D"/>
    <w:rsid w:val="00375375"/>
    <w:rsid w:val="003754E8"/>
    <w:rsid w:val="0037567B"/>
    <w:rsid w:val="003756E7"/>
    <w:rsid w:val="00375804"/>
    <w:rsid w:val="003758CA"/>
    <w:rsid w:val="00375BBA"/>
    <w:rsid w:val="00375DB3"/>
    <w:rsid w:val="0037624A"/>
    <w:rsid w:val="003762A6"/>
    <w:rsid w:val="003762C2"/>
    <w:rsid w:val="0037631D"/>
    <w:rsid w:val="003763B7"/>
    <w:rsid w:val="003763BE"/>
    <w:rsid w:val="003764F8"/>
    <w:rsid w:val="00376601"/>
    <w:rsid w:val="0037660D"/>
    <w:rsid w:val="00376716"/>
    <w:rsid w:val="00376866"/>
    <w:rsid w:val="00376876"/>
    <w:rsid w:val="00376884"/>
    <w:rsid w:val="00376A48"/>
    <w:rsid w:val="00376A82"/>
    <w:rsid w:val="00376CB9"/>
    <w:rsid w:val="00376FB0"/>
    <w:rsid w:val="00377063"/>
    <w:rsid w:val="0037707F"/>
    <w:rsid w:val="003771D6"/>
    <w:rsid w:val="00377355"/>
    <w:rsid w:val="0037745F"/>
    <w:rsid w:val="003776C1"/>
    <w:rsid w:val="00377778"/>
    <w:rsid w:val="003777D3"/>
    <w:rsid w:val="00377862"/>
    <w:rsid w:val="003778ED"/>
    <w:rsid w:val="0037794B"/>
    <w:rsid w:val="003779CC"/>
    <w:rsid w:val="00377AE7"/>
    <w:rsid w:val="00377C1F"/>
    <w:rsid w:val="00377C64"/>
    <w:rsid w:val="00377CB2"/>
    <w:rsid w:val="00377D63"/>
    <w:rsid w:val="00377FFA"/>
    <w:rsid w:val="0038002A"/>
    <w:rsid w:val="003800E1"/>
    <w:rsid w:val="00380135"/>
    <w:rsid w:val="00380239"/>
    <w:rsid w:val="00380285"/>
    <w:rsid w:val="00380356"/>
    <w:rsid w:val="00380621"/>
    <w:rsid w:val="0038068C"/>
    <w:rsid w:val="003807C3"/>
    <w:rsid w:val="003807DF"/>
    <w:rsid w:val="0038082C"/>
    <w:rsid w:val="003808B1"/>
    <w:rsid w:val="00380AC5"/>
    <w:rsid w:val="00380BF2"/>
    <w:rsid w:val="00380C41"/>
    <w:rsid w:val="00380C90"/>
    <w:rsid w:val="00380D02"/>
    <w:rsid w:val="00380DF1"/>
    <w:rsid w:val="00380E8A"/>
    <w:rsid w:val="00380E9F"/>
    <w:rsid w:val="00380EBE"/>
    <w:rsid w:val="00380FED"/>
    <w:rsid w:val="0038108E"/>
    <w:rsid w:val="00381300"/>
    <w:rsid w:val="003813C7"/>
    <w:rsid w:val="003813EB"/>
    <w:rsid w:val="003814BF"/>
    <w:rsid w:val="00381575"/>
    <w:rsid w:val="0038157C"/>
    <w:rsid w:val="003818A1"/>
    <w:rsid w:val="003819AD"/>
    <w:rsid w:val="003819C4"/>
    <w:rsid w:val="00381C58"/>
    <w:rsid w:val="00381D07"/>
    <w:rsid w:val="00382085"/>
    <w:rsid w:val="003820A3"/>
    <w:rsid w:val="003821CE"/>
    <w:rsid w:val="00382397"/>
    <w:rsid w:val="003825C8"/>
    <w:rsid w:val="0038267B"/>
    <w:rsid w:val="003827DA"/>
    <w:rsid w:val="003828F0"/>
    <w:rsid w:val="0038291C"/>
    <w:rsid w:val="00382934"/>
    <w:rsid w:val="0038294D"/>
    <w:rsid w:val="003829F2"/>
    <w:rsid w:val="00382A55"/>
    <w:rsid w:val="00382AFA"/>
    <w:rsid w:val="00382BA9"/>
    <w:rsid w:val="00382DED"/>
    <w:rsid w:val="00382E36"/>
    <w:rsid w:val="00382E71"/>
    <w:rsid w:val="00382E87"/>
    <w:rsid w:val="003830FA"/>
    <w:rsid w:val="00383143"/>
    <w:rsid w:val="0038332E"/>
    <w:rsid w:val="0038337A"/>
    <w:rsid w:val="003833DF"/>
    <w:rsid w:val="00383423"/>
    <w:rsid w:val="00383480"/>
    <w:rsid w:val="0038349A"/>
    <w:rsid w:val="003834A4"/>
    <w:rsid w:val="003834D0"/>
    <w:rsid w:val="003834ED"/>
    <w:rsid w:val="003835E4"/>
    <w:rsid w:val="0038360F"/>
    <w:rsid w:val="003836E4"/>
    <w:rsid w:val="0038393A"/>
    <w:rsid w:val="00383957"/>
    <w:rsid w:val="00383A03"/>
    <w:rsid w:val="00383A33"/>
    <w:rsid w:val="00383B16"/>
    <w:rsid w:val="00383C39"/>
    <w:rsid w:val="00383C78"/>
    <w:rsid w:val="00383C9C"/>
    <w:rsid w:val="00383CC8"/>
    <w:rsid w:val="00383DE1"/>
    <w:rsid w:val="00383FE5"/>
    <w:rsid w:val="00383FFB"/>
    <w:rsid w:val="0038427D"/>
    <w:rsid w:val="003842D5"/>
    <w:rsid w:val="003842DF"/>
    <w:rsid w:val="003842E1"/>
    <w:rsid w:val="00384410"/>
    <w:rsid w:val="0038450B"/>
    <w:rsid w:val="0038468F"/>
    <w:rsid w:val="00384751"/>
    <w:rsid w:val="00384807"/>
    <w:rsid w:val="0038489A"/>
    <w:rsid w:val="00384A22"/>
    <w:rsid w:val="00384A4C"/>
    <w:rsid w:val="00384A6B"/>
    <w:rsid w:val="00384B1C"/>
    <w:rsid w:val="00384BD4"/>
    <w:rsid w:val="00384C75"/>
    <w:rsid w:val="00384CCC"/>
    <w:rsid w:val="00384D50"/>
    <w:rsid w:val="00384D5D"/>
    <w:rsid w:val="00384E90"/>
    <w:rsid w:val="00384EDF"/>
    <w:rsid w:val="0038501E"/>
    <w:rsid w:val="00385089"/>
    <w:rsid w:val="00385187"/>
    <w:rsid w:val="0038528D"/>
    <w:rsid w:val="00385410"/>
    <w:rsid w:val="003854A0"/>
    <w:rsid w:val="003855BE"/>
    <w:rsid w:val="00385A5B"/>
    <w:rsid w:val="00385C92"/>
    <w:rsid w:val="00385C99"/>
    <w:rsid w:val="00385CD1"/>
    <w:rsid w:val="00385CD4"/>
    <w:rsid w:val="00385D25"/>
    <w:rsid w:val="00385F4A"/>
    <w:rsid w:val="00385FD5"/>
    <w:rsid w:val="0038607B"/>
    <w:rsid w:val="003860C4"/>
    <w:rsid w:val="003864FD"/>
    <w:rsid w:val="0038685A"/>
    <w:rsid w:val="003868A7"/>
    <w:rsid w:val="00386947"/>
    <w:rsid w:val="003869DF"/>
    <w:rsid w:val="00386A92"/>
    <w:rsid w:val="00386B7B"/>
    <w:rsid w:val="00386CEF"/>
    <w:rsid w:val="00386D40"/>
    <w:rsid w:val="00387020"/>
    <w:rsid w:val="003870B2"/>
    <w:rsid w:val="003870CB"/>
    <w:rsid w:val="003870E0"/>
    <w:rsid w:val="003870FA"/>
    <w:rsid w:val="003871B7"/>
    <w:rsid w:val="003871FD"/>
    <w:rsid w:val="00387206"/>
    <w:rsid w:val="003872AD"/>
    <w:rsid w:val="003872C9"/>
    <w:rsid w:val="00387361"/>
    <w:rsid w:val="0038769B"/>
    <w:rsid w:val="0038770B"/>
    <w:rsid w:val="003877E7"/>
    <w:rsid w:val="003877F4"/>
    <w:rsid w:val="0038786E"/>
    <w:rsid w:val="003879C0"/>
    <w:rsid w:val="00387A6B"/>
    <w:rsid w:val="00387AD4"/>
    <w:rsid w:val="00387D22"/>
    <w:rsid w:val="00387E45"/>
    <w:rsid w:val="00387FA9"/>
    <w:rsid w:val="0039035A"/>
    <w:rsid w:val="003903ED"/>
    <w:rsid w:val="0039042F"/>
    <w:rsid w:val="00390435"/>
    <w:rsid w:val="003904FB"/>
    <w:rsid w:val="00390578"/>
    <w:rsid w:val="003905B7"/>
    <w:rsid w:val="0039070F"/>
    <w:rsid w:val="00390794"/>
    <w:rsid w:val="003907E6"/>
    <w:rsid w:val="003908A5"/>
    <w:rsid w:val="00390992"/>
    <w:rsid w:val="00390A81"/>
    <w:rsid w:val="00390A8B"/>
    <w:rsid w:val="00390BDE"/>
    <w:rsid w:val="00390D4A"/>
    <w:rsid w:val="00390DBA"/>
    <w:rsid w:val="00390F0D"/>
    <w:rsid w:val="00390F2D"/>
    <w:rsid w:val="0039108A"/>
    <w:rsid w:val="0039125E"/>
    <w:rsid w:val="00391349"/>
    <w:rsid w:val="0039151C"/>
    <w:rsid w:val="003917EA"/>
    <w:rsid w:val="00391812"/>
    <w:rsid w:val="0039190D"/>
    <w:rsid w:val="0039197E"/>
    <w:rsid w:val="00391B5C"/>
    <w:rsid w:val="00391B63"/>
    <w:rsid w:val="00391B8C"/>
    <w:rsid w:val="00391C3A"/>
    <w:rsid w:val="00391CBF"/>
    <w:rsid w:val="00391CC2"/>
    <w:rsid w:val="00391D55"/>
    <w:rsid w:val="00391DB9"/>
    <w:rsid w:val="00391F7C"/>
    <w:rsid w:val="00391F9C"/>
    <w:rsid w:val="00391FAB"/>
    <w:rsid w:val="00392115"/>
    <w:rsid w:val="003921B3"/>
    <w:rsid w:val="0039235F"/>
    <w:rsid w:val="00392364"/>
    <w:rsid w:val="003923FD"/>
    <w:rsid w:val="0039246A"/>
    <w:rsid w:val="00392537"/>
    <w:rsid w:val="0039263C"/>
    <w:rsid w:val="00392961"/>
    <w:rsid w:val="003929BD"/>
    <w:rsid w:val="00392B2B"/>
    <w:rsid w:val="00392C9A"/>
    <w:rsid w:val="00392CC5"/>
    <w:rsid w:val="00392D03"/>
    <w:rsid w:val="00392E74"/>
    <w:rsid w:val="00392F62"/>
    <w:rsid w:val="00392FAC"/>
    <w:rsid w:val="00392FDF"/>
    <w:rsid w:val="00392FF2"/>
    <w:rsid w:val="0039311B"/>
    <w:rsid w:val="00393135"/>
    <w:rsid w:val="003932A9"/>
    <w:rsid w:val="00393320"/>
    <w:rsid w:val="003933CA"/>
    <w:rsid w:val="003933D1"/>
    <w:rsid w:val="003933F5"/>
    <w:rsid w:val="00393488"/>
    <w:rsid w:val="003935A5"/>
    <w:rsid w:val="0039360B"/>
    <w:rsid w:val="003936DA"/>
    <w:rsid w:val="00393730"/>
    <w:rsid w:val="003937BF"/>
    <w:rsid w:val="0039391A"/>
    <w:rsid w:val="00393C5D"/>
    <w:rsid w:val="00393E09"/>
    <w:rsid w:val="00393ED3"/>
    <w:rsid w:val="00393F50"/>
    <w:rsid w:val="00393F61"/>
    <w:rsid w:val="00393F6A"/>
    <w:rsid w:val="00394124"/>
    <w:rsid w:val="0039447E"/>
    <w:rsid w:val="003944E2"/>
    <w:rsid w:val="00394649"/>
    <w:rsid w:val="00394709"/>
    <w:rsid w:val="00394719"/>
    <w:rsid w:val="0039476A"/>
    <w:rsid w:val="0039487B"/>
    <w:rsid w:val="003948DA"/>
    <w:rsid w:val="00394935"/>
    <w:rsid w:val="0039499F"/>
    <w:rsid w:val="00394A36"/>
    <w:rsid w:val="00394A5C"/>
    <w:rsid w:val="00394B42"/>
    <w:rsid w:val="00394D3A"/>
    <w:rsid w:val="00394D76"/>
    <w:rsid w:val="00394DD5"/>
    <w:rsid w:val="0039505A"/>
    <w:rsid w:val="00395080"/>
    <w:rsid w:val="0039520C"/>
    <w:rsid w:val="00395337"/>
    <w:rsid w:val="00395426"/>
    <w:rsid w:val="00395443"/>
    <w:rsid w:val="003954E6"/>
    <w:rsid w:val="00395506"/>
    <w:rsid w:val="00395586"/>
    <w:rsid w:val="003955B3"/>
    <w:rsid w:val="003955D3"/>
    <w:rsid w:val="003956E4"/>
    <w:rsid w:val="0039573B"/>
    <w:rsid w:val="003957EE"/>
    <w:rsid w:val="003957F8"/>
    <w:rsid w:val="00395A8B"/>
    <w:rsid w:val="00395ACB"/>
    <w:rsid w:val="00395C23"/>
    <w:rsid w:val="00395CA3"/>
    <w:rsid w:val="00395E08"/>
    <w:rsid w:val="003960A5"/>
    <w:rsid w:val="00396113"/>
    <w:rsid w:val="003961EC"/>
    <w:rsid w:val="00396277"/>
    <w:rsid w:val="0039655E"/>
    <w:rsid w:val="00396C02"/>
    <w:rsid w:val="00396C1D"/>
    <w:rsid w:val="00396C51"/>
    <w:rsid w:val="00396CD0"/>
    <w:rsid w:val="00396D14"/>
    <w:rsid w:val="00396D3E"/>
    <w:rsid w:val="00396D4F"/>
    <w:rsid w:val="00396DF5"/>
    <w:rsid w:val="00396E61"/>
    <w:rsid w:val="00396F38"/>
    <w:rsid w:val="003970A5"/>
    <w:rsid w:val="00397252"/>
    <w:rsid w:val="003973D4"/>
    <w:rsid w:val="00397612"/>
    <w:rsid w:val="0039770F"/>
    <w:rsid w:val="0039775D"/>
    <w:rsid w:val="00397863"/>
    <w:rsid w:val="003978F9"/>
    <w:rsid w:val="00397951"/>
    <w:rsid w:val="003979D4"/>
    <w:rsid w:val="00397AB2"/>
    <w:rsid w:val="00397B1C"/>
    <w:rsid w:val="00397C13"/>
    <w:rsid w:val="00397D17"/>
    <w:rsid w:val="00397FDB"/>
    <w:rsid w:val="00397FEF"/>
    <w:rsid w:val="003A00ED"/>
    <w:rsid w:val="003A02A6"/>
    <w:rsid w:val="003A0673"/>
    <w:rsid w:val="003A069B"/>
    <w:rsid w:val="003A06B8"/>
    <w:rsid w:val="003A070E"/>
    <w:rsid w:val="003A087B"/>
    <w:rsid w:val="003A094A"/>
    <w:rsid w:val="003A0C40"/>
    <w:rsid w:val="003A0C5E"/>
    <w:rsid w:val="003A13E6"/>
    <w:rsid w:val="003A1507"/>
    <w:rsid w:val="003A1783"/>
    <w:rsid w:val="003A17D4"/>
    <w:rsid w:val="003A1824"/>
    <w:rsid w:val="003A18A8"/>
    <w:rsid w:val="003A18E4"/>
    <w:rsid w:val="003A198E"/>
    <w:rsid w:val="003A1B35"/>
    <w:rsid w:val="003A1BED"/>
    <w:rsid w:val="003A1FE3"/>
    <w:rsid w:val="003A2113"/>
    <w:rsid w:val="003A220E"/>
    <w:rsid w:val="003A2385"/>
    <w:rsid w:val="003A2407"/>
    <w:rsid w:val="003A2417"/>
    <w:rsid w:val="003A24E0"/>
    <w:rsid w:val="003A2582"/>
    <w:rsid w:val="003A2842"/>
    <w:rsid w:val="003A287C"/>
    <w:rsid w:val="003A28E1"/>
    <w:rsid w:val="003A2966"/>
    <w:rsid w:val="003A29CB"/>
    <w:rsid w:val="003A2A11"/>
    <w:rsid w:val="003A2B01"/>
    <w:rsid w:val="003A2B18"/>
    <w:rsid w:val="003A2CBF"/>
    <w:rsid w:val="003A2F16"/>
    <w:rsid w:val="003A30F7"/>
    <w:rsid w:val="003A31C5"/>
    <w:rsid w:val="003A31F7"/>
    <w:rsid w:val="003A320C"/>
    <w:rsid w:val="003A338F"/>
    <w:rsid w:val="003A3394"/>
    <w:rsid w:val="003A34D6"/>
    <w:rsid w:val="003A3576"/>
    <w:rsid w:val="003A35A7"/>
    <w:rsid w:val="003A3723"/>
    <w:rsid w:val="003A38F5"/>
    <w:rsid w:val="003A391E"/>
    <w:rsid w:val="003A3C01"/>
    <w:rsid w:val="003A3CD8"/>
    <w:rsid w:val="003A3CF3"/>
    <w:rsid w:val="003A3D96"/>
    <w:rsid w:val="003A3DE5"/>
    <w:rsid w:val="003A40D4"/>
    <w:rsid w:val="003A40D9"/>
    <w:rsid w:val="003A41F3"/>
    <w:rsid w:val="003A428A"/>
    <w:rsid w:val="003A42AD"/>
    <w:rsid w:val="003A446D"/>
    <w:rsid w:val="003A46A3"/>
    <w:rsid w:val="003A4709"/>
    <w:rsid w:val="003A4767"/>
    <w:rsid w:val="003A4A74"/>
    <w:rsid w:val="003A4B33"/>
    <w:rsid w:val="003A4B49"/>
    <w:rsid w:val="003A4BBB"/>
    <w:rsid w:val="003A4C10"/>
    <w:rsid w:val="003A4E82"/>
    <w:rsid w:val="003A5056"/>
    <w:rsid w:val="003A5081"/>
    <w:rsid w:val="003A518E"/>
    <w:rsid w:val="003A5393"/>
    <w:rsid w:val="003A53D2"/>
    <w:rsid w:val="003A5410"/>
    <w:rsid w:val="003A5641"/>
    <w:rsid w:val="003A56A2"/>
    <w:rsid w:val="003A58DA"/>
    <w:rsid w:val="003A5AE0"/>
    <w:rsid w:val="003A5B0C"/>
    <w:rsid w:val="003A5B3E"/>
    <w:rsid w:val="003A5BD2"/>
    <w:rsid w:val="003A5C6B"/>
    <w:rsid w:val="003A61A5"/>
    <w:rsid w:val="003A61C1"/>
    <w:rsid w:val="003A6282"/>
    <w:rsid w:val="003A634A"/>
    <w:rsid w:val="003A6502"/>
    <w:rsid w:val="003A66AA"/>
    <w:rsid w:val="003A6770"/>
    <w:rsid w:val="003A67B3"/>
    <w:rsid w:val="003A67C1"/>
    <w:rsid w:val="003A68B8"/>
    <w:rsid w:val="003A68BC"/>
    <w:rsid w:val="003A6927"/>
    <w:rsid w:val="003A695B"/>
    <w:rsid w:val="003A6A23"/>
    <w:rsid w:val="003A6AB0"/>
    <w:rsid w:val="003A6BB4"/>
    <w:rsid w:val="003A6C3A"/>
    <w:rsid w:val="003A6FE7"/>
    <w:rsid w:val="003A710A"/>
    <w:rsid w:val="003A72D4"/>
    <w:rsid w:val="003A7336"/>
    <w:rsid w:val="003A7405"/>
    <w:rsid w:val="003A7414"/>
    <w:rsid w:val="003A74F0"/>
    <w:rsid w:val="003A75A9"/>
    <w:rsid w:val="003A776E"/>
    <w:rsid w:val="003A78AF"/>
    <w:rsid w:val="003A796F"/>
    <w:rsid w:val="003A79CE"/>
    <w:rsid w:val="003A7A71"/>
    <w:rsid w:val="003A7B9E"/>
    <w:rsid w:val="003A7C20"/>
    <w:rsid w:val="003A7E72"/>
    <w:rsid w:val="003B000A"/>
    <w:rsid w:val="003B0021"/>
    <w:rsid w:val="003B02D1"/>
    <w:rsid w:val="003B02D2"/>
    <w:rsid w:val="003B047C"/>
    <w:rsid w:val="003B06FE"/>
    <w:rsid w:val="003B079F"/>
    <w:rsid w:val="003B07FE"/>
    <w:rsid w:val="003B0859"/>
    <w:rsid w:val="003B08D0"/>
    <w:rsid w:val="003B09FE"/>
    <w:rsid w:val="003B0A87"/>
    <w:rsid w:val="003B0C57"/>
    <w:rsid w:val="003B0C72"/>
    <w:rsid w:val="003B0C8C"/>
    <w:rsid w:val="003B0DF7"/>
    <w:rsid w:val="003B0FC6"/>
    <w:rsid w:val="003B115E"/>
    <w:rsid w:val="003B118E"/>
    <w:rsid w:val="003B1266"/>
    <w:rsid w:val="003B12EB"/>
    <w:rsid w:val="003B12F5"/>
    <w:rsid w:val="003B1324"/>
    <w:rsid w:val="003B13CA"/>
    <w:rsid w:val="003B14A6"/>
    <w:rsid w:val="003B14FB"/>
    <w:rsid w:val="003B1551"/>
    <w:rsid w:val="003B1572"/>
    <w:rsid w:val="003B15BD"/>
    <w:rsid w:val="003B1613"/>
    <w:rsid w:val="003B1754"/>
    <w:rsid w:val="003B17D8"/>
    <w:rsid w:val="003B1839"/>
    <w:rsid w:val="003B1844"/>
    <w:rsid w:val="003B18ED"/>
    <w:rsid w:val="003B1A54"/>
    <w:rsid w:val="003B1A58"/>
    <w:rsid w:val="003B1B00"/>
    <w:rsid w:val="003B1BF7"/>
    <w:rsid w:val="003B1D41"/>
    <w:rsid w:val="003B206D"/>
    <w:rsid w:val="003B20C1"/>
    <w:rsid w:val="003B20F5"/>
    <w:rsid w:val="003B216C"/>
    <w:rsid w:val="003B21EE"/>
    <w:rsid w:val="003B22D4"/>
    <w:rsid w:val="003B2717"/>
    <w:rsid w:val="003B2748"/>
    <w:rsid w:val="003B2753"/>
    <w:rsid w:val="003B2755"/>
    <w:rsid w:val="003B27A6"/>
    <w:rsid w:val="003B2937"/>
    <w:rsid w:val="003B2984"/>
    <w:rsid w:val="003B2B29"/>
    <w:rsid w:val="003B2B3B"/>
    <w:rsid w:val="003B2BE2"/>
    <w:rsid w:val="003B2EAB"/>
    <w:rsid w:val="003B2F37"/>
    <w:rsid w:val="003B2F42"/>
    <w:rsid w:val="003B3006"/>
    <w:rsid w:val="003B300B"/>
    <w:rsid w:val="003B304B"/>
    <w:rsid w:val="003B314D"/>
    <w:rsid w:val="003B3238"/>
    <w:rsid w:val="003B3272"/>
    <w:rsid w:val="003B32BF"/>
    <w:rsid w:val="003B3335"/>
    <w:rsid w:val="003B349B"/>
    <w:rsid w:val="003B3514"/>
    <w:rsid w:val="003B358A"/>
    <w:rsid w:val="003B35D5"/>
    <w:rsid w:val="003B3715"/>
    <w:rsid w:val="003B3746"/>
    <w:rsid w:val="003B377B"/>
    <w:rsid w:val="003B37CD"/>
    <w:rsid w:val="003B385F"/>
    <w:rsid w:val="003B38A4"/>
    <w:rsid w:val="003B3983"/>
    <w:rsid w:val="003B39D2"/>
    <w:rsid w:val="003B3B06"/>
    <w:rsid w:val="003B3B15"/>
    <w:rsid w:val="003B3B7B"/>
    <w:rsid w:val="003B3CD7"/>
    <w:rsid w:val="003B3EB9"/>
    <w:rsid w:val="003B3F7D"/>
    <w:rsid w:val="003B3FA0"/>
    <w:rsid w:val="003B406D"/>
    <w:rsid w:val="003B4326"/>
    <w:rsid w:val="003B43D1"/>
    <w:rsid w:val="003B44D4"/>
    <w:rsid w:val="003B4590"/>
    <w:rsid w:val="003B4592"/>
    <w:rsid w:val="003B47F3"/>
    <w:rsid w:val="003B48BF"/>
    <w:rsid w:val="003B496E"/>
    <w:rsid w:val="003B4A47"/>
    <w:rsid w:val="003B4C35"/>
    <w:rsid w:val="003B4CFE"/>
    <w:rsid w:val="003B4DDB"/>
    <w:rsid w:val="003B4FB5"/>
    <w:rsid w:val="003B4FBA"/>
    <w:rsid w:val="003B50DE"/>
    <w:rsid w:val="003B510D"/>
    <w:rsid w:val="003B5169"/>
    <w:rsid w:val="003B5290"/>
    <w:rsid w:val="003B550D"/>
    <w:rsid w:val="003B563D"/>
    <w:rsid w:val="003B56B1"/>
    <w:rsid w:val="003B58DD"/>
    <w:rsid w:val="003B5982"/>
    <w:rsid w:val="003B5AED"/>
    <w:rsid w:val="003B5B24"/>
    <w:rsid w:val="003B5B72"/>
    <w:rsid w:val="003B6022"/>
    <w:rsid w:val="003B602A"/>
    <w:rsid w:val="003B6113"/>
    <w:rsid w:val="003B6149"/>
    <w:rsid w:val="003B6243"/>
    <w:rsid w:val="003B630A"/>
    <w:rsid w:val="003B63F2"/>
    <w:rsid w:val="003B6414"/>
    <w:rsid w:val="003B6475"/>
    <w:rsid w:val="003B6500"/>
    <w:rsid w:val="003B65F4"/>
    <w:rsid w:val="003B6665"/>
    <w:rsid w:val="003B66C0"/>
    <w:rsid w:val="003B6878"/>
    <w:rsid w:val="003B68F8"/>
    <w:rsid w:val="003B6906"/>
    <w:rsid w:val="003B6940"/>
    <w:rsid w:val="003B6A78"/>
    <w:rsid w:val="003B6B22"/>
    <w:rsid w:val="003B6BA2"/>
    <w:rsid w:val="003B6BAB"/>
    <w:rsid w:val="003B6BF6"/>
    <w:rsid w:val="003B6C63"/>
    <w:rsid w:val="003B6CC6"/>
    <w:rsid w:val="003B6EE7"/>
    <w:rsid w:val="003B6F5B"/>
    <w:rsid w:val="003B70C1"/>
    <w:rsid w:val="003B70D0"/>
    <w:rsid w:val="003B725D"/>
    <w:rsid w:val="003B7293"/>
    <w:rsid w:val="003B72D8"/>
    <w:rsid w:val="003B7380"/>
    <w:rsid w:val="003B74FA"/>
    <w:rsid w:val="003B752E"/>
    <w:rsid w:val="003B763C"/>
    <w:rsid w:val="003B77A3"/>
    <w:rsid w:val="003B7892"/>
    <w:rsid w:val="003B7BED"/>
    <w:rsid w:val="003B7D40"/>
    <w:rsid w:val="003B7D92"/>
    <w:rsid w:val="003B7E16"/>
    <w:rsid w:val="003B7E95"/>
    <w:rsid w:val="003B7E9F"/>
    <w:rsid w:val="003B7EB7"/>
    <w:rsid w:val="003C003B"/>
    <w:rsid w:val="003C00B0"/>
    <w:rsid w:val="003C00B8"/>
    <w:rsid w:val="003C01B0"/>
    <w:rsid w:val="003C01B5"/>
    <w:rsid w:val="003C02FD"/>
    <w:rsid w:val="003C0584"/>
    <w:rsid w:val="003C06D9"/>
    <w:rsid w:val="003C0826"/>
    <w:rsid w:val="003C085C"/>
    <w:rsid w:val="003C0B00"/>
    <w:rsid w:val="003C0C41"/>
    <w:rsid w:val="003C0CB3"/>
    <w:rsid w:val="003C0DAE"/>
    <w:rsid w:val="003C0DC8"/>
    <w:rsid w:val="003C0E27"/>
    <w:rsid w:val="003C0E70"/>
    <w:rsid w:val="003C0E76"/>
    <w:rsid w:val="003C0F80"/>
    <w:rsid w:val="003C102D"/>
    <w:rsid w:val="003C1431"/>
    <w:rsid w:val="003C14BA"/>
    <w:rsid w:val="003C1651"/>
    <w:rsid w:val="003C176B"/>
    <w:rsid w:val="003C1797"/>
    <w:rsid w:val="003C1883"/>
    <w:rsid w:val="003C192A"/>
    <w:rsid w:val="003C1A6E"/>
    <w:rsid w:val="003C1BAC"/>
    <w:rsid w:val="003C1D87"/>
    <w:rsid w:val="003C1E74"/>
    <w:rsid w:val="003C2007"/>
    <w:rsid w:val="003C2146"/>
    <w:rsid w:val="003C2566"/>
    <w:rsid w:val="003C2705"/>
    <w:rsid w:val="003C28CF"/>
    <w:rsid w:val="003C293F"/>
    <w:rsid w:val="003C2A0A"/>
    <w:rsid w:val="003C2A82"/>
    <w:rsid w:val="003C2D4B"/>
    <w:rsid w:val="003C2DD7"/>
    <w:rsid w:val="003C30F5"/>
    <w:rsid w:val="003C310B"/>
    <w:rsid w:val="003C317A"/>
    <w:rsid w:val="003C330B"/>
    <w:rsid w:val="003C332B"/>
    <w:rsid w:val="003C33C1"/>
    <w:rsid w:val="003C33FA"/>
    <w:rsid w:val="003C350E"/>
    <w:rsid w:val="003C39AF"/>
    <w:rsid w:val="003C3AA1"/>
    <w:rsid w:val="003C3AEF"/>
    <w:rsid w:val="003C3BAB"/>
    <w:rsid w:val="003C3BEC"/>
    <w:rsid w:val="003C3EC0"/>
    <w:rsid w:val="003C3F39"/>
    <w:rsid w:val="003C3F66"/>
    <w:rsid w:val="003C4151"/>
    <w:rsid w:val="003C41B5"/>
    <w:rsid w:val="003C41D2"/>
    <w:rsid w:val="003C436B"/>
    <w:rsid w:val="003C4539"/>
    <w:rsid w:val="003C456F"/>
    <w:rsid w:val="003C45B5"/>
    <w:rsid w:val="003C4706"/>
    <w:rsid w:val="003C47F1"/>
    <w:rsid w:val="003C4800"/>
    <w:rsid w:val="003C4825"/>
    <w:rsid w:val="003C48B8"/>
    <w:rsid w:val="003C4A7B"/>
    <w:rsid w:val="003C4DE6"/>
    <w:rsid w:val="003C4EB6"/>
    <w:rsid w:val="003C4FAB"/>
    <w:rsid w:val="003C5113"/>
    <w:rsid w:val="003C52B3"/>
    <w:rsid w:val="003C5365"/>
    <w:rsid w:val="003C5678"/>
    <w:rsid w:val="003C5863"/>
    <w:rsid w:val="003C5A12"/>
    <w:rsid w:val="003C5A45"/>
    <w:rsid w:val="003C5A88"/>
    <w:rsid w:val="003C5BF4"/>
    <w:rsid w:val="003C5C75"/>
    <w:rsid w:val="003C5FFA"/>
    <w:rsid w:val="003C619A"/>
    <w:rsid w:val="003C623F"/>
    <w:rsid w:val="003C62FF"/>
    <w:rsid w:val="003C651C"/>
    <w:rsid w:val="003C6690"/>
    <w:rsid w:val="003C6847"/>
    <w:rsid w:val="003C686F"/>
    <w:rsid w:val="003C6B94"/>
    <w:rsid w:val="003C6CFD"/>
    <w:rsid w:val="003C6F62"/>
    <w:rsid w:val="003C6FAD"/>
    <w:rsid w:val="003C729A"/>
    <w:rsid w:val="003C72AA"/>
    <w:rsid w:val="003C73AE"/>
    <w:rsid w:val="003C73F8"/>
    <w:rsid w:val="003C7687"/>
    <w:rsid w:val="003C787A"/>
    <w:rsid w:val="003C78BA"/>
    <w:rsid w:val="003C7984"/>
    <w:rsid w:val="003C79C1"/>
    <w:rsid w:val="003C7C6B"/>
    <w:rsid w:val="003C7CC8"/>
    <w:rsid w:val="003C7CEF"/>
    <w:rsid w:val="003C7E77"/>
    <w:rsid w:val="003D00B9"/>
    <w:rsid w:val="003D0190"/>
    <w:rsid w:val="003D01F4"/>
    <w:rsid w:val="003D0224"/>
    <w:rsid w:val="003D0382"/>
    <w:rsid w:val="003D0548"/>
    <w:rsid w:val="003D0829"/>
    <w:rsid w:val="003D0A4A"/>
    <w:rsid w:val="003D0BD7"/>
    <w:rsid w:val="003D0E01"/>
    <w:rsid w:val="003D0EFC"/>
    <w:rsid w:val="003D0F71"/>
    <w:rsid w:val="003D1050"/>
    <w:rsid w:val="003D1121"/>
    <w:rsid w:val="003D132E"/>
    <w:rsid w:val="003D1474"/>
    <w:rsid w:val="003D149D"/>
    <w:rsid w:val="003D14CB"/>
    <w:rsid w:val="003D1765"/>
    <w:rsid w:val="003D1939"/>
    <w:rsid w:val="003D19E7"/>
    <w:rsid w:val="003D1B04"/>
    <w:rsid w:val="003D1BD4"/>
    <w:rsid w:val="003D1C16"/>
    <w:rsid w:val="003D1EE5"/>
    <w:rsid w:val="003D1FF9"/>
    <w:rsid w:val="003D20EE"/>
    <w:rsid w:val="003D2162"/>
    <w:rsid w:val="003D25CB"/>
    <w:rsid w:val="003D25E3"/>
    <w:rsid w:val="003D26A5"/>
    <w:rsid w:val="003D2710"/>
    <w:rsid w:val="003D2968"/>
    <w:rsid w:val="003D29AE"/>
    <w:rsid w:val="003D2A13"/>
    <w:rsid w:val="003D2B01"/>
    <w:rsid w:val="003D2F6F"/>
    <w:rsid w:val="003D2F80"/>
    <w:rsid w:val="003D2FAE"/>
    <w:rsid w:val="003D3011"/>
    <w:rsid w:val="003D31B3"/>
    <w:rsid w:val="003D31C5"/>
    <w:rsid w:val="003D324E"/>
    <w:rsid w:val="003D32BA"/>
    <w:rsid w:val="003D3437"/>
    <w:rsid w:val="003D3513"/>
    <w:rsid w:val="003D38C6"/>
    <w:rsid w:val="003D393D"/>
    <w:rsid w:val="003D3963"/>
    <w:rsid w:val="003D3D18"/>
    <w:rsid w:val="003D3DAC"/>
    <w:rsid w:val="003D3FCB"/>
    <w:rsid w:val="003D413D"/>
    <w:rsid w:val="003D41FA"/>
    <w:rsid w:val="003D428C"/>
    <w:rsid w:val="003D429C"/>
    <w:rsid w:val="003D429D"/>
    <w:rsid w:val="003D44BA"/>
    <w:rsid w:val="003D45BE"/>
    <w:rsid w:val="003D4641"/>
    <w:rsid w:val="003D48EE"/>
    <w:rsid w:val="003D491C"/>
    <w:rsid w:val="003D4964"/>
    <w:rsid w:val="003D4A60"/>
    <w:rsid w:val="003D4AE2"/>
    <w:rsid w:val="003D4BF4"/>
    <w:rsid w:val="003D4C4B"/>
    <w:rsid w:val="003D4D9B"/>
    <w:rsid w:val="003D4DEB"/>
    <w:rsid w:val="003D4E90"/>
    <w:rsid w:val="003D4EC9"/>
    <w:rsid w:val="003D4F5C"/>
    <w:rsid w:val="003D4F8F"/>
    <w:rsid w:val="003D5050"/>
    <w:rsid w:val="003D5064"/>
    <w:rsid w:val="003D5126"/>
    <w:rsid w:val="003D53E8"/>
    <w:rsid w:val="003D53F1"/>
    <w:rsid w:val="003D540A"/>
    <w:rsid w:val="003D55BB"/>
    <w:rsid w:val="003D55F6"/>
    <w:rsid w:val="003D566D"/>
    <w:rsid w:val="003D56C3"/>
    <w:rsid w:val="003D57E9"/>
    <w:rsid w:val="003D585F"/>
    <w:rsid w:val="003D5862"/>
    <w:rsid w:val="003D58AD"/>
    <w:rsid w:val="003D5A34"/>
    <w:rsid w:val="003D5AFB"/>
    <w:rsid w:val="003D5B6E"/>
    <w:rsid w:val="003D5B91"/>
    <w:rsid w:val="003D5C0D"/>
    <w:rsid w:val="003D5F0C"/>
    <w:rsid w:val="003D5F9B"/>
    <w:rsid w:val="003D6033"/>
    <w:rsid w:val="003D6072"/>
    <w:rsid w:val="003D60DA"/>
    <w:rsid w:val="003D614D"/>
    <w:rsid w:val="003D6201"/>
    <w:rsid w:val="003D6251"/>
    <w:rsid w:val="003D6324"/>
    <w:rsid w:val="003D640A"/>
    <w:rsid w:val="003D669F"/>
    <w:rsid w:val="003D66BF"/>
    <w:rsid w:val="003D66E0"/>
    <w:rsid w:val="003D6739"/>
    <w:rsid w:val="003D6842"/>
    <w:rsid w:val="003D68C4"/>
    <w:rsid w:val="003D6928"/>
    <w:rsid w:val="003D6A26"/>
    <w:rsid w:val="003D6A75"/>
    <w:rsid w:val="003D6B64"/>
    <w:rsid w:val="003D6C98"/>
    <w:rsid w:val="003D6DE6"/>
    <w:rsid w:val="003D6E2D"/>
    <w:rsid w:val="003D7036"/>
    <w:rsid w:val="003D70A6"/>
    <w:rsid w:val="003D7117"/>
    <w:rsid w:val="003D72F9"/>
    <w:rsid w:val="003D7322"/>
    <w:rsid w:val="003D7424"/>
    <w:rsid w:val="003D745B"/>
    <w:rsid w:val="003D7501"/>
    <w:rsid w:val="003D7506"/>
    <w:rsid w:val="003D7544"/>
    <w:rsid w:val="003D7632"/>
    <w:rsid w:val="003D7884"/>
    <w:rsid w:val="003D7A29"/>
    <w:rsid w:val="003D7E7C"/>
    <w:rsid w:val="003D7F28"/>
    <w:rsid w:val="003E0060"/>
    <w:rsid w:val="003E00CB"/>
    <w:rsid w:val="003E0101"/>
    <w:rsid w:val="003E014E"/>
    <w:rsid w:val="003E02D0"/>
    <w:rsid w:val="003E04B8"/>
    <w:rsid w:val="003E0638"/>
    <w:rsid w:val="003E0727"/>
    <w:rsid w:val="003E082B"/>
    <w:rsid w:val="003E08F3"/>
    <w:rsid w:val="003E0BE1"/>
    <w:rsid w:val="003E0CFF"/>
    <w:rsid w:val="003E0D08"/>
    <w:rsid w:val="003E0D5D"/>
    <w:rsid w:val="003E0F1E"/>
    <w:rsid w:val="003E10B2"/>
    <w:rsid w:val="003E1160"/>
    <w:rsid w:val="003E124D"/>
    <w:rsid w:val="003E135E"/>
    <w:rsid w:val="003E13B4"/>
    <w:rsid w:val="003E13F6"/>
    <w:rsid w:val="003E1438"/>
    <w:rsid w:val="003E1475"/>
    <w:rsid w:val="003E1677"/>
    <w:rsid w:val="003E17A5"/>
    <w:rsid w:val="003E17FF"/>
    <w:rsid w:val="003E19F2"/>
    <w:rsid w:val="003E1B1A"/>
    <w:rsid w:val="003E1B64"/>
    <w:rsid w:val="003E1B6F"/>
    <w:rsid w:val="003E1B76"/>
    <w:rsid w:val="003E1C9F"/>
    <w:rsid w:val="003E1CBA"/>
    <w:rsid w:val="003E1D1E"/>
    <w:rsid w:val="003E1DA4"/>
    <w:rsid w:val="003E1EBC"/>
    <w:rsid w:val="003E1F01"/>
    <w:rsid w:val="003E1FCB"/>
    <w:rsid w:val="003E21A6"/>
    <w:rsid w:val="003E21E1"/>
    <w:rsid w:val="003E22ED"/>
    <w:rsid w:val="003E231A"/>
    <w:rsid w:val="003E2681"/>
    <w:rsid w:val="003E26AF"/>
    <w:rsid w:val="003E27DF"/>
    <w:rsid w:val="003E2844"/>
    <w:rsid w:val="003E2902"/>
    <w:rsid w:val="003E29BF"/>
    <w:rsid w:val="003E2AE2"/>
    <w:rsid w:val="003E2B9C"/>
    <w:rsid w:val="003E2BA8"/>
    <w:rsid w:val="003E2E4C"/>
    <w:rsid w:val="003E2E7C"/>
    <w:rsid w:val="003E2F0C"/>
    <w:rsid w:val="003E300F"/>
    <w:rsid w:val="003E33E8"/>
    <w:rsid w:val="003E34B5"/>
    <w:rsid w:val="003E3564"/>
    <w:rsid w:val="003E358B"/>
    <w:rsid w:val="003E363D"/>
    <w:rsid w:val="003E37B5"/>
    <w:rsid w:val="003E38A3"/>
    <w:rsid w:val="003E394C"/>
    <w:rsid w:val="003E397D"/>
    <w:rsid w:val="003E3B02"/>
    <w:rsid w:val="003E3BD0"/>
    <w:rsid w:val="003E3CD7"/>
    <w:rsid w:val="003E3D0F"/>
    <w:rsid w:val="003E3D16"/>
    <w:rsid w:val="003E3D98"/>
    <w:rsid w:val="003E3F89"/>
    <w:rsid w:val="003E40CF"/>
    <w:rsid w:val="003E4177"/>
    <w:rsid w:val="003E44A4"/>
    <w:rsid w:val="003E44BA"/>
    <w:rsid w:val="003E4653"/>
    <w:rsid w:val="003E467E"/>
    <w:rsid w:val="003E46A5"/>
    <w:rsid w:val="003E496B"/>
    <w:rsid w:val="003E4A42"/>
    <w:rsid w:val="003E4B6C"/>
    <w:rsid w:val="003E4C34"/>
    <w:rsid w:val="003E4C36"/>
    <w:rsid w:val="003E4D49"/>
    <w:rsid w:val="003E4FBC"/>
    <w:rsid w:val="003E4FC4"/>
    <w:rsid w:val="003E501C"/>
    <w:rsid w:val="003E5121"/>
    <w:rsid w:val="003E5254"/>
    <w:rsid w:val="003E5336"/>
    <w:rsid w:val="003E551F"/>
    <w:rsid w:val="003E55A4"/>
    <w:rsid w:val="003E55F2"/>
    <w:rsid w:val="003E567E"/>
    <w:rsid w:val="003E5684"/>
    <w:rsid w:val="003E57FF"/>
    <w:rsid w:val="003E58F9"/>
    <w:rsid w:val="003E5915"/>
    <w:rsid w:val="003E59D0"/>
    <w:rsid w:val="003E5AF9"/>
    <w:rsid w:val="003E5BA4"/>
    <w:rsid w:val="003E5D91"/>
    <w:rsid w:val="003E5E11"/>
    <w:rsid w:val="003E5E31"/>
    <w:rsid w:val="003E5E73"/>
    <w:rsid w:val="003E5EB6"/>
    <w:rsid w:val="003E5F99"/>
    <w:rsid w:val="003E60A4"/>
    <w:rsid w:val="003E60F0"/>
    <w:rsid w:val="003E613C"/>
    <w:rsid w:val="003E614E"/>
    <w:rsid w:val="003E6153"/>
    <w:rsid w:val="003E61E8"/>
    <w:rsid w:val="003E628F"/>
    <w:rsid w:val="003E640E"/>
    <w:rsid w:val="003E642A"/>
    <w:rsid w:val="003E6559"/>
    <w:rsid w:val="003E6695"/>
    <w:rsid w:val="003E67B8"/>
    <w:rsid w:val="003E67CF"/>
    <w:rsid w:val="003E680B"/>
    <w:rsid w:val="003E6859"/>
    <w:rsid w:val="003E6973"/>
    <w:rsid w:val="003E69A2"/>
    <w:rsid w:val="003E6B62"/>
    <w:rsid w:val="003E6BB5"/>
    <w:rsid w:val="003E6C66"/>
    <w:rsid w:val="003E6DF2"/>
    <w:rsid w:val="003E6F78"/>
    <w:rsid w:val="003E7145"/>
    <w:rsid w:val="003E71B1"/>
    <w:rsid w:val="003E72A0"/>
    <w:rsid w:val="003E7445"/>
    <w:rsid w:val="003E749B"/>
    <w:rsid w:val="003E7593"/>
    <w:rsid w:val="003E7654"/>
    <w:rsid w:val="003E786B"/>
    <w:rsid w:val="003E7940"/>
    <w:rsid w:val="003E7A7C"/>
    <w:rsid w:val="003E7CDD"/>
    <w:rsid w:val="003E7E34"/>
    <w:rsid w:val="003E7E4D"/>
    <w:rsid w:val="003E7F9C"/>
    <w:rsid w:val="003E7FD6"/>
    <w:rsid w:val="003F0308"/>
    <w:rsid w:val="003F0477"/>
    <w:rsid w:val="003F05C7"/>
    <w:rsid w:val="003F0928"/>
    <w:rsid w:val="003F09DD"/>
    <w:rsid w:val="003F0D71"/>
    <w:rsid w:val="003F0D79"/>
    <w:rsid w:val="003F0DC2"/>
    <w:rsid w:val="003F0E29"/>
    <w:rsid w:val="003F0E51"/>
    <w:rsid w:val="003F102F"/>
    <w:rsid w:val="003F11FE"/>
    <w:rsid w:val="003F1271"/>
    <w:rsid w:val="003F13C7"/>
    <w:rsid w:val="003F1480"/>
    <w:rsid w:val="003F1635"/>
    <w:rsid w:val="003F1A72"/>
    <w:rsid w:val="003F1AFB"/>
    <w:rsid w:val="003F1C6A"/>
    <w:rsid w:val="003F1D1A"/>
    <w:rsid w:val="003F1F85"/>
    <w:rsid w:val="003F1FC7"/>
    <w:rsid w:val="003F1FEE"/>
    <w:rsid w:val="003F217B"/>
    <w:rsid w:val="003F2366"/>
    <w:rsid w:val="003F2500"/>
    <w:rsid w:val="003F2642"/>
    <w:rsid w:val="003F26DE"/>
    <w:rsid w:val="003F26F1"/>
    <w:rsid w:val="003F2724"/>
    <w:rsid w:val="003F272F"/>
    <w:rsid w:val="003F2766"/>
    <w:rsid w:val="003F27BF"/>
    <w:rsid w:val="003F2856"/>
    <w:rsid w:val="003F2874"/>
    <w:rsid w:val="003F2B05"/>
    <w:rsid w:val="003F2B12"/>
    <w:rsid w:val="003F2F2F"/>
    <w:rsid w:val="003F2F82"/>
    <w:rsid w:val="003F2F8B"/>
    <w:rsid w:val="003F3066"/>
    <w:rsid w:val="003F314F"/>
    <w:rsid w:val="003F3188"/>
    <w:rsid w:val="003F32D8"/>
    <w:rsid w:val="003F3371"/>
    <w:rsid w:val="003F3481"/>
    <w:rsid w:val="003F35E6"/>
    <w:rsid w:val="003F3639"/>
    <w:rsid w:val="003F3665"/>
    <w:rsid w:val="003F37FB"/>
    <w:rsid w:val="003F39EE"/>
    <w:rsid w:val="003F3ADB"/>
    <w:rsid w:val="003F3B85"/>
    <w:rsid w:val="003F3BA8"/>
    <w:rsid w:val="003F3C19"/>
    <w:rsid w:val="003F3C37"/>
    <w:rsid w:val="003F3E08"/>
    <w:rsid w:val="003F3E2C"/>
    <w:rsid w:val="003F3E68"/>
    <w:rsid w:val="003F3EF5"/>
    <w:rsid w:val="003F3F5C"/>
    <w:rsid w:val="003F42E8"/>
    <w:rsid w:val="003F435E"/>
    <w:rsid w:val="003F4411"/>
    <w:rsid w:val="003F445C"/>
    <w:rsid w:val="003F456C"/>
    <w:rsid w:val="003F45EF"/>
    <w:rsid w:val="003F4641"/>
    <w:rsid w:val="003F46A2"/>
    <w:rsid w:val="003F489A"/>
    <w:rsid w:val="003F4F35"/>
    <w:rsid w:val="003F5080"/>
    <w:rsid w:val="003F51DC"/>
    <w:rsid w:val="003F529C"/>
    <w:rsid w:val="003F52C5"/>
    <w:rsid w:val="003F53E9"/>
    <w:rsid w:val="003F5465"/>
    <w:rsid w:val="003F54D2"/>
    <w:rsid w:val="003F5570"/>
    <w:rsid w:val="003F5575"/>
    <w:rsid w:val="003F5582"/>
    <w:rsid w:val="003F5726"/>
    <w:rsid w:val="003F5823"/>
    <w:rsid w:val="003F5899"/>
    <w:rsid w:val="003F5925"/>
    <w:rsid w:val="003F5A1E"/>
    <w:rsid w:val="003F5A4F"/>
    <w:rsid w:val="003F5A81"/>
    <w:rsid w:val="003F5C55"/>
    <w:rsid w:val="003F5C5D"/>
    <w:rsid w:val="003F5CAD"/>
    <w:rsid w:val="003F5CAE"/>
    <w:rsid w:val="003F5D3B"/>
    <w:rsid w:val="003F5F74"/>
    <w:rsid w:val="003F5FA1"/>
    <w:rsid w:val="003F611D"/>
    <w:rsid w:val="003F6466"/>
    <w:rsid w:val="003F64A0"/>
    <w:rsid w:val="003F653B"/>
    <w:rsid w:val="003F6571"/>
    <w:rsid w:val="003F660D"/>
    <w:rsid w:val="003F6626"/>
    <w:rsid w:val="003F67F6"/>
    <w:rsid w:val="003F6939"/>
    <w:rsid w:val="003F6A22"/>
    <w:rsid w:val="003F6B9E"/>
    <w:rsid w:val="003F6F75"/>
    <w:rsid w:val="003F7084"/>
    <w:rsid w:val="003F70D3"/>
    <w:rsid w:val="003F70FF"/>
    <w:rsid w:val="003F715B"/>
    <w:rsid w:val="003F737A"/>
    <w:rsid w:val="003F7424"/>
    <w:rsid w:val="003F7430"/>
    <w:rsid w:val="003F7750"/>
    <w:rsid w:val="003F77FA"/>
    <w:rsid w:val="003F7AA1"/>
    <w:rsid w:val="003F7DD5"/>
    <w:rsid w:val="003F7E25"/>
    <w:rsid w:val="003F7E37"/>
    <w:rsid w:val="003F7E40"/>
    <w:rsid w:val="003F7F66"/>
    <w:rsid w:val="00400042"/>
    <w:rsid w:val="0040014A"/>
    <w:rsid w:val="004002BE"/>
    <w:rsid w:val="00400374"/>
    <w:rsid w:val="0040042C"/>
    <w:rsid w:val="00400498"/>
    <w:rsid w:val="004005B1"/>
    <w:rsid w:val="00400659"/>
    <w:rsid w:val="0040066C"/>
    <w:rsid w:val="00400736"/>
    <w:rsid w:val="004008AB"/>
    <w:rsid w:val="00400967"/>
    <w:rsid w:val="004009B4"/>
    <w:rsid w:val="00400A0D"/>
    <w:rsid w:val="00400A29"/>
    <w:rsid w:val="00400A44"/>
    <w:rsid w:val="00400ADA"/>
    <w:rsid w:val="00400AFE"/>
    <w:rsid w:val="00400B60"/>
    <w:rsid w:val="00400C42"/>
    <w:rsid w:val="00400CF7"/>
    <w:rsid w:val="00400F5B"/>
    <w:rsid w:val="00400FC6"/>
    <w:rsid w:val="00400FF8"/>
    <w:rsid w:val="00401032"/>
    <w:rsid w:val="004010FC"/>
    <w:rsid w:val="004011B4"/>
    <w:rsid w:val="00401219"/>
    <w:rsid w:val="004013FB"/>
    <w:rsid w:val="00401416"/>
    <w:rsid w:val="00401423"/>
    <w:rsid w:val="00401651"/>
    <w:rsid w:val="004016C2"/>
    <w:rsid w:val="00401751"/>
    <w:rsid w:val="0040190F"/>
    <w:rsid w:val="00401B67"/>
    <w:rsid w:val="00401B83"/>
    <w:rsid w:val="00401BCA"/>
    <w:rsid w:val="00401C49"/>
    <w:rsid w:val="00401DB3"/>
    <w:rsid w:val="00401E12"/>
    <w:rsid w:val="00401FB6"/>
    <w:rsid w:val="0040200A"/>
    <w:rsid w:val="004020DB"/>
    <w:rsid w:val="004021E4"/>
    <w:rsid w:val="0040220C"/>
    <w:rsid w:val="00402265"/>
    <w:rsid w:val="0040254F"/>
    <w:rsid w:val="00402564"/>
    <w:rsid w:val="00402749"/>
    <w:rsid w:val="0040283B"/>
    <w:rsid w:val="00402877"/>
    <w:rsid w:val="00402A4E"/>
    <w:rsid w:val="00402B1A"/>
    <w:rsid w:val="00402B47"/>
    <w:rsid w:val="00402BDF"/>
    <w:rsid w:val="00402CB2"/>
    <w:rsid w:val="00402DCB"/>
    <w:rsid w:val="00402F46"/>
    <w:rsid w:val="00402FCE"/>
    <w:rsid w:val="0040306E"/>
    <w:rsid w:val="004030F6"/>
    <w:rsid w:val="004031F8"/>
    <w:rsid w:val="00403385"/>
    <w:rsid w:val="004034ED"/>
    <w:rsid w:val="0040369C"/>
    <w:rsid w:val="00403725"/>
    <w:rsid w:val="00403746"/>
    <w:rsid w:val="00403831"/>
    <w:rsid w:val="004038A5"/>
    <w:rsid w:val="004039B3"/>
    <w:rsid w:val="00403DA2"/>
    <w:rsid w:val="00403E18"/>
    <w:rsid w:val="00403E44"/>
    <w:rsid w:val="00403ED5"/>
    <w:rsid w:val="00404012"/>
    <w:rsid w:val="0040412E"/>
    <w:rsid w:val="004041AC"/>
    <w:rsid w:val="004042D6"/>
    <w:rsid w:val="00404310"/>
    <w:rsid w:val="004044EF"/>
    <w:rsid w:val="0040457C"/>
    <w:rsid w:val="004047A9"/>
    <w:rsid w:val="00404809"/>
    <w:rsid w:val="00404813"/>
    <w:rsid w:val="004049CC"/>
    <w:rsid w:val="00404AAE"/>
    <w:rsid w:val="00404D72"/>
    <w:rsid w:val="00404DA4"/>
    <w:rsid w:val="00404E1E"/>
    <w:rsid w:val="00404E83"/>
    <w:rsid w:val="00404E8E"/>
    <w:rsid w:val="00404FA3"/>
    <w:rsid w:val="00405051"/>
    <w:rsid w:val="004050C8"/>
    <w:rsid w:val="004050FA"/>
    <w:rsid w:val="004052F6"/>
    <w:rsid w:val="004053F1"/>
    <w:rsid w:val="004054C7"/>
    <w:rsid w:val="004057D6"/>
    <w:rsid w:val="0040581C"/>
    <w:rsid w:val="004058BC"/>
    <w:rsid w:val="0040593D"/>
    <w:rsid w:val="00405956"/>
    <w:rsid w:val="00405E5E"/>
    <w:rsid w:val="00405FF7"/>
    <w:rsid w:val="00406199"/>
    <w:rsid w:val="0040619C"/>
    <w:rsid w:val="004061BF"/>
    <w:rsid w:val="00406308"/>
    <w:rsid w:val="0040631B"/>
    <w:rsid w:val="004063C6"/>
    <w:rsid w:val="004063CD"/>
    <w:rsid w:val="004063E1"/>
    <w:rsid w:val="004064D9"/>
    <w:rsid w:val="00406733"/>
    <w:rsid w:val="00406888"/>
    <w:rsid w:val="00406A48"/>
    <w:rsid w:val="00406B13"/>
    <w:rsid w:val="00406B38"/>
    <w:rsid w:val="00406B53"/>
    <w:rsid w:val="00406B96"/>
    <w:rsid w:val="00406C61"/>
    <w:rsid w:val="00406E4E"/>
    <w:rsid w:val="0040731B"/>
    <w:rsid w:val="00407853"/>
    <w:rsid w:val="004079AB"/>
    <w:rsid w:val="00407A00"/>
    <w:rsid w:val="00407A3E"/>
    <w:rsid w:val="00407B26"/>
    <w:rsid w:val="00407D64"/>
    <w:rsid w:val="00407E46"/>
    <w:rsid w:val="00407FA3"/>
    <w:rsid w:val="0041009A"/>
    <w:rsid w:val="0041032A"/>
    <w:rsid w:val="00410363"/>
    <w:rsid w:val="00410437"/>
    <w:rsid w:val="004104CB"/>
    <w:rsid w:val="0041069F"/>
    <w:rsid w:val="00410741"/>
    <w:rsid w:val="004107D1"/>
    <w:rsid w:val="00410838"/>
    <w:rsid w:val="004109BB"/>
    <w:rsid w:val="00410AF3"/>
    <w:rsid w:val="00410BAC"/>
    <w:rsid w:val="00410D0A"/>
    <w:rsid w:val="00410DE3"/>
    <w:rsid w:val="00410E5C"/>
    <w:rsid w:val="00410E8F"/>
    <w:rsid w:val="00410F01"/>
    <w:rsid w:val="00411044"/>
    <w:rsid w:val="004110C8"/>
    <w:rsid w:val="004111D6"/>
    <w:rsid w:val="00411204"/>
    <w:rsid w:val="0041123B"/>
    <w:rsid w:val="00411296"/>
    <w:rsid w:val="0041131A"/>
    <w:rsid w:val="00411378"/>
    <w:rsid w:val="004113A3"/>
    <w:rsid w:val="004113DB"/>
    <w:rsid w:val="004115F1"/>
    <w:rsid w:val="00411785"/>
    <w:rsid w:val="0041197C"/>
    <w:rsid w:val="00411A4A"/>
    <w:rsid w:val="00411A6F"/>
    <w:rsid w:val="00411B35"/>
    <w:rsid w:val="00411BAC"/>
    <w:rsid w:val="00411FAD"/>
    <w:rsid w:val="004120FA"/>
    <w:rsid w:val="004121F9"/>
    <w:rsid w:val="00412473"/>
    <w:rsid w:val="004124BE"/>
    <w:rsid w:val="00412533"/>
    <w:rsid w:val="00412593"/>
    <w:rsid w:val="004126F6"/>
    <w:rsid w:val="00412725"/>
    <w:rsid w:val="0041289B"/>
    <w:rsid w:val="00412902"/>
    <w:rsid w:val="004129FE"/>
    <w:rsid w:val="00412B79"/>
    <w:rsid w:val="00412C0C"/>
    <w:rsid w:val="00412E55"/>
    <w:rsid w:val="00412E91"/>
    <w:rsid w:val="00412F8E"/>
    <w:rsid w:val="00412FEB"/>
    <w:rsid w:val="0041305D"/>
    <w:rsid w:val="004130A1"/>
    <w:rsid w:val="004130DB"/>
    <w:rsid w:val="004131F0"/>
    <w:rsid w:val="00413372"/>
    <w:rsid w:val="004134B6"/>
    <w:rsid w:val="0041376D"/>
    <w:rsid w:val="00413794"/>
    <w:rsid w:val="004137FF"/>
    <w:rsid w:val="00413851"/>
    <w:rsid w:val="00413885"/>
    <w:rsid w:val="0041390E"/>
    <w:rsid w:val="00413B98"/>
    <w:rsid w:val="00413BAD"/>
    <w:rsid w:val="00413C3B"/>
    <w:rsid w:val="00413CCA"/>
    <w:rsid w:val="00413CFC"/>
    <w:rsid w:val="00413DC8"/>
    <w:rsid w:val="00413E61"/>
    <w:rsid w:val="00413F89"/>
    <w:rsid w:val="00414079"/>
    <w:rsid w:val="00414303"/>
    <w:rsid w:val="0041438F"/>
    <w:rsid w:val="004143E8"/>
    <w:rsid w:val="0041446F"/>
    <w:rsid w:val="004144CD"/>
    <w:rsid w:val="004144F6"/>
    <w:rsid w:val="0041453D"/>
    <w:rsid w:val="0041460A"/>
    <w:rsid w:val="0041470F"/>
    <w:rsid w:val="0041471E"/>
    <w:rsid w:val="0041482D"/>
    <w:rsid w:val="00414853"/>
    <w:rsid w:val="004148C4"/>
    <w:rsid w:val="004148F5"/>
    <w:rsid w:val="00414998"/>
    <w:rsid w:val="00414BD7"/>
    <w:rsid w:val="00414BE9"/>
    <w:rsid w:val="00414C19"/>
    <w:rsid w:val="00414C7D"/>
    <w:rsid w:val="00414EE5"/>
    <w:rsid w:val="00415145"/>
    <w:rsid w:val="004153C6"/>
    <w:rsid w:val="00415494"/>
    <w:rsid w:val="0041553D"/>
    <w:rsid w:val="00415556"/>
    <w:rsid w:val="004156B5"/>
    <w:rsid w:val="0041584E"/>
    <w:rsid w:val="0041588A"/>
    <w:rsid w:val="004159A9"/>
    <w:rsid w:val="00415B73"/>
    <w:rsid w:val="00415CCF"/>
    <w:rsid w:val="00415D4D"/>
    <w:rsid w:val="00415DEA"/>
    <w:rsid w:val="00415F1A"/>
    <w:rsid w:val="00415F8B"/>
    <w:rsid w:val="00415FC0"/>
    <w:rsid w:val="00415FFF"/>
    <w:rsid w:val="004160AF"/>
    <w:rsid w:val="00416180"/>
    <w:rsid w:val="00416227"/>
    <w:rsid w:val="0041629D"/>
    <w:rsid w:val="004165F6"/>
    <w:rsid w:val="004166DD"/>
    <w:rsid w:val="004166E5"/>
    <w:rsid w:val="0041672F"/>
    <w:rsid w:val="004167B5"/>
    <w:rsid w:val="0041680E"/>
    <w:rsid w:val="004169EE"/>
    <w:rsid w:val="00416A58"/>
    <w:rsid w:val="00416B31"/>
    <w:rsid w:val="00416E7B"/>
    <w:rsid w:val="00416F7B"/>
    <w:rsid w:val="004170F3"/>
    <w:rsid w:val="00417290"/>
    <w:rsid w:val="004172F9"/>
    <w:rsid w:val="0041732F"/>
    <w:rsid w:val="00417454"/>
    <w:rsid w:val="0041748C"/>
    <w:rsid w:val="004175A7"/>
    <w:rsid w:val="00417649"/>
    <w:rsid w:val="00417721"/>
    <w:rsid w:val="00417916"/>
    <w:rsid w:val="00417997"/>
    <w:rsid w:val="00417AFA"/>
    <w:rsid w:val="00417BC7"/>
    <w:rsid w:val="00417D75"/>
    <w:rsid w:val="00417D9D"/>
    <w:rsid w:val="00417DDC"/>
    <w:rsid w:val="00417E4D"/>
    <w:rsid w:val="00417E9B"/>
    <w:rsid w:val="00420119"/>
    <w:rsid w:val="00420272"/>
    <w:rsid w:val="004203C6"/>
    <w:rsid w:val="004203FF"/>
    <w:rsid w:val="0042051E"/>
    <w:rsid w:val="004206DD"/>
    <w:rsid w:val="00420950"/>
    <w:rsid w:val="00420A20"/>
    <w:rsid w:val="00420ACC"/>
    <w:rsid w:val="00420BEA"/>
    <w:rsid w:val="00420D78"/>
    <w:rsid w:val="00420E75"/>
    <w:rsid w:val="00420E9B"/>
    <w:rsid w:val="004210BB"/>
    <w:rsid w:val="004210BC"/>
    <w:rsid w:val="0042111B"/>
    <w:rsid w:val="00421183"/>
    <w:rsid w:val="004211D8"/>
    <w:rsid w:val="004213DA"/>
    <w:rsid w:val="0042141F"/>
    <w:rsid w:val="004214D6"/>
    <w:rsid w:val="00421530"/>
    <w:rsid w:val="004215D6"/>
    <w:rsid w:val="004216FA"/>
    <w:rsid w:val="00421754"/>
    <w:rsid w:val="00421873"/>
    <w:rsid w:val="004218FE"/>
    <w:rsid w:val="004219BE"/>
    <w:rsid w:val="00421A1C"/>
    <w:rsid w:val="00421D44"/>
    <w:rsid w:val="00421EA2"/>
    <w:rsid w:val="004221DB"/>
    <w:rsid w:val="004224B6"/>
    <w:rsid w:val="004224C8"/>
    <w:rsid w:val="004225E9"/>
    <w:rsid w:val="004226B0"/>
    <w:rsid w:val="00422983"/>
    <w:rsid w:val="00422B16"/>
    <w:rsid w:val="00422B73"/>
    <w:rsid w:val="00422C51"/>
    <w:rsid w:val="00422D63"/>
    <w:rsid w:val="00422DD8"/>
    <w:rsid w:val="00422DE2"/>
    <w:rsid w:val="00422EC5"/>
    <w:rsid w:val="00422F38"/>
    <w:rsid w:val="00422FF8"/>
    <w:rsid w:val="0042312B"/>
    <w:rsid w:val="0042318F"/>
    <w:rsid w:val="00423354"/>
    <w:rsid w:val="00423454"/>
    <w:rsid w:val="00423471"/>
    <w:rsid w:val="00423537"/>
    <w:rsid w:val="0042356B"/>
    <w:rsid w:val="004236E5"/>
    <w:rsid w:val="004237FF"/>
    <w:rsid w:val="00423995"/>
    <w:rsid w:val="004239AD"/>
    <w:rsid w:val="00423A21"/>
    <w:rsid w:val="00423A5D"/>
    <w:rsid w:val="00423BD3"/>
    <w:rsid w:val="00423C83"/>
    <w:rsid w:val="00423C9A"/>
    <w:rsid w:val="00423DE3"/>
    <w:rsid w:val="00423F4A"/>
    <w:rsid w:val="00424068"/>
    <w:rsid w:val="00424285"/>
    <w:rsid w:val="0042434C"/>
    <w:rsid w:val="00424376"/>
    <w:rsid w:val="004243D5"/>
    <w:rsid w:val="004244A8"/>
    <w:rsid w:val="004244AF"/>
    <w:rsid w:val="004244D8"/>
    <w:rsid w:val="004246E5"/>
    <w:rsid w:val="0042481A"/>
    <w:rsid w:val="0042496D"/>
    <w:rsid w:val="00424AA0"/>
    <w:rsid w:val="00424AD1"/>
    <w:rsid w:val="00424AEB"/>
    <w:rsid w:val="00424C7C"/>
    <w:rsid w:val="00424D94"/>
    <w:rsid w:val="0042500C"/>
    <w:rsid w:val="0042505D"/>
    <w:rsid w:val="004251D9"/>
    <w:rsid w:val="004252BB"/>
    <w:rsid w:val="004253C8"/>
    <w:rsid w:val="0042551F"/>
    <w:rsid w:val="00425568"/>
    <w:rsid w:val="004255C7"/>
    <w:rsid w:val="00425623"/>
    <w:rsid w:val="00425698"/>
    <w:rsid w:val="0042579E"/>
    <w:rsid w:val="004257EE"/>
    <w:rsid w:val="0042594D"/>
    <w:rsid w:val="00425EEC"/>
    <w:rsid w:val="004261D3"/>
    <w:rsid w:val="00426245"/>
    <w:rsid w:val="004262CD"/>
    <w:rsid w:val="0042638F"/>
    <w:rsid w:val="004264BA"/>
    <w:rsid w:val="004265B2"/>
    <w:rsid w:val="0042665C"/>
    <w:rsid w:val="00426777"/>
    <w:rsid w:val="004268CD"/>
    <w:rsid w:val="00426982"/>
    <w:rsid w:val="004269B2"/>
    <w:rsid w:val="00426A46"/>
    <w:rsid w:val="00426A55"/>
    <w:rsid w:val="00426B95"/>
    <w:rsid w:val="00426C6D"/>
    <w:rsid w:val="00426CD1"/>
    <w:rsid w:val="00426D23"/>
    <w:rsid w:val="00426E32"/>
    <w:rsid w:val="00426F26"/>
    <w:rsid w:val="00426FE6"/>
    <w:rsid w:val="0042705C"/>
    <w:rsid w:val="004271FA"/>
    <w:rsid w:val="00427456"/>
    <w:rsid w:val="004274F9"/>
    <w:rsid w:val="00427898"/>
    <w:rsid w:val="0042797E"/>
    <w:rsid w:val="00427A54"/>
    <w:rsid w:val="00427A88"/>
    <w:rsid w:val="00427ABF"/>
    <w:rsid w:val="00427BEB"/>
    <w:rsid w:val="00427D08"/>
    <w:rsid w:val="00427E63"/>
    <w:rsid w:val="00427EE2"/>
    <w:rsid w:val="00430030"/>
    <w:rsid w:val="0043014B"/>
    <w:rsid w:val="004301FC"/>
    <w:rsid w:val="0043047F"/>
    <w:rsid w:val="00430497"/>
    <w:rsid w:val="004304C3"/>
    <w:rsid w:val="004305A5"/>
    <w:rsid w:val="004306DF"/>
    <w:rsid w:val="0043072E"/>
    <w:rsid w:val="0043084D"/>
    <w:rsid w:val="00430969"/>
    <w:rsid w:val="004309F5"/>
    <w:rsid w:val="00430A44"/>
    <w:rsid w:val="00430B58"/>
    <w:rsid w:val="00430C7C"/>
    <w:rsid w:val="00430DF1"/>
    <w:rsid w:val="00430E4C"/>
    <w:rsid w:val="00430EFA"/>
    <w:rsid w:val="0043115D"/>
    <w:rsid w:val="0043138D"/>
    <w:rsid w:val="00431441"/>
    <w:rsid w:val="0043153E"/>
    <w:rsid w:val="00431614"/>
    <w:rsid w:val="00431622"/>
    <w:rsid w:val="0043162A"/>
    <w:rsid w:val="00431635"/>
    <w:rsid w:val="004316CC"/>
    <w:rsid w:val="00431743"/>
    <w:rsid w:val="004317A2"/>
    <w:rsid w:val="004317D3"/>
    <w:rsid w:val="00431891"/>
    <w:rsid w:val="004318E9"/>
    <w:rsid w:val="0043191D"/>
    <w:rsid w:val="004319DF"/>
    <w:rsid w:val="00431A16"/>
    <w:rsid w:val="00431E2E"/>
    <w:rsid w:val="00431F98"/>
    <w:rsid w:val="00431FB9"/>
    <w:rsid w:val="00432086"/>
    <w:rsid w:val="004322DE"/>
    <w:rsid w:val="004324D3"/>
    <w:rsid w:val="004324E3"/>
    <w:rsid w:val="004325C2"/>
    <w:rsid w:val="00432638"/>
    <w:rsid w:val="004326A3"/>
    <w:rsid w:val="0043299B"/>
    <w:rsid w:val="004329C9"/>
    <w:rsid w:val="00432C1A"/>
    <w:rsid w:val="00432C26"/>
    <w:rsid w:val="00432C6D"/>
    <w:rsid w:val="00432C74"/>
    <w:rsid w:val="00432E39"/>
    <w:rsid w:val="00432E46"/>
    <w:rsid w:val="00432FC3"/>
    <w:rsid w:val="0043309D"/>
    <w:rsid w:val="0043318D"/>
    <w:rsid w:val="004331C5"/>
    <w:rsid w:val="004331D3"/>
    <w:rsid w:val="004331E0"/>
    <w:rsid w:val="0043320B"/>
    <w:rsid w:val="00433408"/>
    <w:rsid w:val="00433560"/>
    <w:rsid w:val="0043364B"/>
    <w:rsid w:val="00433690"/>
    <w:rsid w:val="00433706"/>
    <w:rsid w:val="0043395A"/>
    <w:rsid w:val="00433977"/>
    <w:rsid w:val="00433B53"/>
    <w:rsid w:val="00433B6A"/>
    <w:rsid w:val="00433B70"/>
    <w:rsid w:val="00433BAF"/>
    <w:rsid w:val="00433CDE"/>
    <w:rsid w:val="00433D20"/>
    <w:rsid w:val="00433E81"/>
    <w:rsid w:val="00433E91"/>
    <w:rsid w:val="00433E98"/>
    <w:rsid w:val="004340AF"/>
    <w:rsid w:val="004341B1"/>
    <w:rsid w:val="004341E2"/>
    <w:rsid w:val="0043439D"/>
    <w:rsid w:val="004343F2"/>
    <w:rsid w:val="004344F8"/>
    <w:rsid w:val="004345C8"/>
    <w:rsid w:val="00434620"/>
    <w:rsid w:val="00434733"/>
    <w:rsid w:val="0043479D"/>
    <w:rsid w:val="004347EB"/>
    <w:rsid w:val="004349C5"/>
    <w:rsid w:val="00434A76"/>
    <w:rsid w:val="00434AE5"/>
    <w:rsid w:val="00434C33"/>
    <w:rsid w:val="00434C99"/>
    <w:rsid w:val="00434CFD"/>
    <w:rsid w:val="00434D7D"/>
    <w:rsid w:val="00435012"/>
    <w:rsid w:val="00435038"/>
    <w:rsid w:val="00435078"/>
    <w:rsid w:val="004351A8"/>
    <w:rsid w:val="004352AF"/>
    <w:rsid w:val="004352D8"/>
    <w:rsid w:val="004353FF"/>
    <w:rsid w:val="004355FB"/>
    <w:rsid w:val="0043566F"/>
    <w:rsid w:val="00435673"/>
    <w:rsid w:val="00435793"/>
    <w:rsid w:val="0043585E"/>
    <w:rsid w:val="00435866"/>
    <w:rsid w:val="00435889"/>
    <w:rsid w:val="004359ED"/>
    <w:rsid w:val="00435AD7"/>
    <w:rsid w:val="00435B7D"/>
    <w:rsid w:val="00435CCA"/>
    <w:rsid w:val="00435E31"/>
    <w:rsid w:val="00435F47"/>
    <w:rsid w:val="004360F6"/>
    <w:rsid w:val="00436194"/>
    <w:rsid w:val="004361C8"/>
    <w:rsid w:val="004362C7"/>
    <w:rsid w:val="00436309"/>
    <w:rsid w:val="00436367"/>
    <w:rsid w:val="0043639B"/>
    <w:rsid w:val="004364AC"/>
    <w:rsid w:val="004365CF"/>
    <w:rsid w:val="004366C4"/>
    <w:rsid w:val="00436779"/>
    <w:rsid w:val="004367F3"/>
    <w:rsid w:val="00436895"/>
    <w:rsid w:val="0043693C"/>
    <w:rsid w:val="004369AE"/>
    <w:rsid w:val="00436A78"/>
    <w:rsid w:val="00436ADC"/>
    <w:rsid w:val="00436B79"/>
    <w:rsid w:val="00436BD9"/>
    <w:rsid w:val="00436D2B"/>
    <w:rsid w:val="00436E05"/>
    <w:rsid w:val="00436EC4"/>
    <w:rsid w:val="00436F9E"/>
    <w:rsid w:val="00436FE7"/>
    <w:rsid w:val="00437060"/>
    <w:rsid w:val="004372E1"/>
    <w:rsid w:val="004374A8"/>
    <w:rsid w:val="004374C7"/>
    <w:rsid w:val="00437596"/>
    <w:rsid w:val="004375A1"/>
    <w:rsid w:val="004376D1"/>
    <w:rsid w:val="00437902"/>
    <w:rsid w:val="00437914"/>
    <w:rsid w:val="004379D4"/>
    <w:rsid w:val="00437AA6"/>
    <w:rsid w:val="00437B69"/>
    <w:rsid w:val="00437CED"/>
    <w:rsid w:val="00437D8E"/>
    <w:rsid w:val="00437EAD"/>
    <w:rsid w:val="00437ECE"/>
    <w:rsid w:val="00437EE2"/>
    <w:rsid w:val="00440119"/>
    <w:rsid w:val="0044015A"/>
    <w:rsid w:val="004402CA"/>
    <w:rsid w:val="00440384"/>
    <w:rsid w:val="00440526"/>
    <w:rsid w:val="004405A9"/>
    <w:rsid w:val="004405D7"/>
    <w:rsid w:val="004406B7"/>
    <w:rsid w:val="00440731"/>
    <w:rsid w:val="00440793"/>
    <w:rsid w:val="00440986"/>
    <w:rsid w:val="004409F8"/>
    <w:rsid w:val="00440A36"/>
    <w:rsid w:val="00440A45"/>
    <w:rsid w:val="00440ABB"/>
    <w:rsid w:val="00440BCD"/>
    <w:rsid w:val="00440C38"/>
    <w:rsid w:val="00440C6E"/>
    <w:rsid w:val="00440C97"/>
    <w:rsid w:val="00440D62"/>
    <w:rsid w:val="00440E97"/>
    <w:rsid w:val="004411F2"/>
    <w:rsid w:val="004412EE"/>
    <w:rsid w:val="004412F3"/>
    <w:rsid w:val="00441382"/>
    <w:rsid w:val="0044152B"/>
    <w:rsid w:val="00441677"/>
    <w:rsid w:val="0044172A"/>
    <w:rsid w:val="004417F9"/>
    <w:rsid w:val="00441981"/>
    <w:rsid w:val="004419CC"/>
    <w:rsid w:val="00441A52"/>
    <w:rsid w:val="00441CA7"/>
    <w:rsid w:val="00441D1F"/>
    <w:rsid w:val="00441E60"/>
    <w:rsid w:val="00441E7A"/>
    <w:rsid w:val="00441FE8"/>
    <w:rsid w:val="00442015"/>
    <w:rsid w:val="004420CB"/>
    <w:rsid w:val="004420D9"/>
    <w:rsid w:val="004422DC"/>
    <w:rsid w:val="0044233E"/>
    <w:rsid w:val="004423FB"/>
    <w:rsid w:val="0044258C"/>
    <w:rsid w:val="00442619"/>
    <w:rsid w:val="004428A7"/>
    <w:rsid w:val="00442A55"/>
    <w:rsid w:val="00442A8C"/>
    <w:rsid w:val="00442ACB"/>
    <w:rsid w:val="00442FA2"/>
    <w:rsid w:val="00443057"/>
    <w:rsid w:val="0044310A"/>
    <w:rsid w:val="0044311F"/>
    <w:rsid w:val="00443270"/>
    <w:rsid w:val="00443301"/>
    <w:rsid w:val="00443332"/>
    <w:rsid w:val="004433CB"/>
    <w:rsid w:val="00443460"/>
    <w:rsid w:val="004436AD"/>
    <w:rsid w:val="0044376C"/>
    <w:rsid w:val="004437C8"/>
    <w:rsid w:val="00443855"/>
    <w:rsid w:val="004438A1"/>
    <w:rsid w:val="004439FE"/>
    <w:rsid w:val="00443AF0"/>
    <w:rsid w:val="00443E45"/>
    <w:rsid w:val="00443E5E"/>
    <w:rsid w:val="00443E62"/>
    <w:rsid w:val="00443EAC"/>
    <w:rsid w:val="00443FC9"/>
    <w:rsid w:val="0044410C"/>
    <w:rsid w:val="0044411B"/>
    <w:rsid w:val="004441AB"/>
    <w:rsid w:val="00444249"/>
    <w:rsid w:val="0044446E"/>
    <w:rsid w:val="00444556"/>
    <w:rsid w:val="004445CA"/>
    <w:rsid w:val="004445D1"/>
    <w:rsid w:val="004445F1"/>
    <w:rsid w:val="0044463C"/>
    <w:rsid w:val="0044465B"/>
    <w:rsid w:val="00444A04"/>
    <w:rsid w:val="00444BEA"/>
    <w:rsid w:val="00444C1C"/>
    <w:rsid w:val="00444CC1"/>
    <w:rsid w:val="00444D6A"/>
    <w:rsid w:val="00444E2D"/>
    <w:rsid w:val="00445004"/>
    <w:rsid w:val="0044508E"/>
    <w:rsid w:val="00445098"/>
    <w:rsid w:val="004452BC"/>
    <w:rsid w:val="004452D4"/>
    <w:rsid w:val="004455CB"/>
    <w:rsid w:val="004456CC"/>
    <w:rsid w:val="00445731"/>
    <w:rsid w:val="00445984"/>
    <w:rsid w:val="004459F2"/>
    <w:rsid w:val="00445A02"/>
    <w:rsid w:val="00445A37"/>
    <w:rsid w:val="00445A9D"/>
    <w:rsid w:val="00445ABE"/>
    <w:rsid w:val="00445ACA"/>
    <w:rsid w:val="00445B0E"/>
    <w:rsid w:val="00445BA3"/>
    <w:rsid w:val="00445C76"/>
    <w:rsid w:val="00445F0B"/>
    <w:rsid w:val="00446092"/>
    <w:rsid w:val="004460FB"/>
    <w:rsid w:val="00446171"/>
    <w:rsid w:val="00446286"/>
    <w:rsid w:val="004462B4"/>
    <w:rsid w:val="004462C7"/>
    <w:rsid w:val="00446505"/>
    <w:rsid w:val="00446520"/>
    <w:rsid w:val="00446582"/>
    <w:rsid w:val="004465FE"/>
    <w:rsid w:val="00446743"/>
    <w:rsid w:val="0044686B"/>
    <w:rsid w:val="004469F4"/>
    <w:rsid w:val="00446A8E"/>
    <w:rsid w:val="00446AEF"/>
    <w:rsid w:val="00446B10"/>
    <w:rsid w:val="00446E29"/>
    <w:rsid w:val="00446E5D"/>
    <w:rsid w:val="00446E61"/>
    <w:rsid w:val="00446F8C"/>
    <w:rsid w:val="00447083"/>
    <w:rsid w:val="00447088"/>
    <w:rsid w:val="004470E5"/>
    <w:rsid w:val="0044745A"/>
    <w:rsid w:val="00447543"/>
    <w:rsid w:val="00447597"/>
    <w:rsid w:val="00447708"/>
    <w:rsid w:val="004477B1"/>
    <w:rsid w:val="004477C5"/>
    <w:rsid w:val="0044781C"/>
    <w:rsid w:val="00447AB8"/>
    <w:rsid w:val="00447D5C"/>
    <w:rsid w:val="004502BA"/>
    <w:rsid w:val="004503EB"/>
    <w:rsid w:val="00450684"/>
    <w:rsid w:val="0045068F"/>
    <w:rsid w:val="004506ED"/>
    <w:rsid w:val="004509C2"/>
    <w:rsid w:val="004509DF"/>
    <w:rsid w:val="00450AB4"/>
    <w:rsid w:val="00450B93"/>
    <w:rsid w:val="00450E40"/>
    <w:rsid w:val="00450E9E"/>
    <w:rsid w:val="00450F19"/>
    <w:rsid w:val="00451012"/>
    <w:rsid w:val="004510F7"/>
    <w:rsid w:val="0045118B"/>
    <w:rsid w:val="004511CA"/>
    <w:rsid w:val="00451224"/>
    <w:rsid w:val="0045129F"/>
    <w:rsid w:val="00451353"/>
    <w:rsid w:val="00451480"/>
    <w:rsid w:val="0045167C"/>
    <w:rsid w:val="0045168E"/>
    <w:rsid w:val="0045183A"/>
    <w:rsid w:val="004519A2"/>
    <w:rsid w:val="004519CF"/>
    <w:rsid w:val="004519F2"/>
    <w:rsid w:val="00451A40"/>
    <w:rsid w:val="00451BCD"/>
    <w:rsid w:val="00451C2A"/>
    <w:rsid w:val="00451D32"/>
    <w:rsid w:val="00451D37"/>
    <w:rsid w:val="00451FF0"/>
    <w:rsid w:val="004521DE"/>
    <w:rsid w:val="004521F1"/>
    <w:rsid w:val="0045223C"/>
    <w:rsid w:val="004525DA"/>
    <w:rsid w:val="0045268A"/>
    <w:rsid w:val="00452881"/>
    <w:rsid w:val="004528E2"/>
    <w:rsid w:val="00452934"/>
    <w:rsid w:val="00452938"/>
    <w:rsid w:val="00452B5E"/>
    <w:rsid w:val="00452BAC"/>
    <w:rsid w:val="00452CD9"/>
    <w:rsid w:val="00452DC9"/>
    <w:rsid w:val="00453292"/>
    <w:rsid w:val="00453294"/>
    <w:rsid w:val="00453330"/>
    <w:rsid w:val="0045333F"/>
    <w:rsid w:val="004535BD"/>
    <w:rsid w:val="00453661"/>
    <w:rsid w:val="004536AA"/>
    <w:rsid w:val="00453AA7"/>
    <w:rsid w:val="00453BA5"/>
    <w:rsid w:val="00453E32"/>
    <w:rsid w:val="00454066"/>
    <w:rsid w:val="004540D0"/>
    <w:rsid w:val="0045431E"/>
    <w:rsid w:val="00454329"/>
    <w:rsid w:val="0045437D"/>
    <w:rsid w:val="004544AB"/>
    <w:rsid w:val="00454775"/>
    <w:rsid w:val="004548C8"/>
    <w:rsid w:val="00454919"/>
    <w:rsid w:val="00454921"/>
    <w:rsid w:val="00454975"/>
    <w:rsid w:val="004549BD"/>
    <w:rsid w:val="00454A15"/>
    <w:rsid w:val="00454A8A"/>
    <w:rsid w:val="00454B7B"/>
    <w:rsid w:val="00454CA5"/>
    <w:rsid w:val="00454D2F"/>
    <w:rsid w:val="00454D3B"/>
    <w:rsid w:val="00454D75"/>
    <w:rsid w:val="00454F81"/>
    <w:rsid w:val="00454F9A"/>
    <w:rsid w:val="00455319"/>
    <w:rsid w:val="004556FD"/>
    <w:rsid w:val="00455993"/>
    <w:rsid w:val="00455ADF"/>
    <w:rsid w:val="00455C02"/>
    <w:rsid w:val="00455CE6"/>
    <w:rsid w:val="00455DE6"/>
    <w:rsid w:val="00455E17"/>
    <w:rsid w:val="00455EE8"/>
    <w:rsid w:val="00455EF5"/>
    <w:rsid w:val="00455FF1"/>
    <w:rsid w:val="0045605B"/>
    <w:rsid w:val="0045648D"/>
    <w:rsid w:val="00456794"/>
    <w:rsid w:val="004568FA"/>
    <w:rsid w:val="004568FC"/>
    <w:rsid w:val="00456932"/>
    <w:rsid w:val="0045694B"/>
    <w:rsid w:val="00456B00"/>
    <w:rsid w:val="00456BAA"/>
    <w:rsid w:val="00456C1B"/>
    <w:rsid w:val="00456C70"/>
    <w:rsid w:val="00456CBE"/>
    <w:rsid w:val="00456E1C"/>
    <w:rsid w:val="004572B5"/>
    <w:rsid w:val="004572BD"/>
    <w:rsid w:val="004572D7"/>
    <w:rsid w:val="00457363"/>
    <w:rsid w:val="004574C4"/>
    <w:rsid w:val="00457566"/>
    <w:rsid w:val="00457567"/>
    <w:rsid w:val="0045777E"/>
    <w:rsid w:val="00457800"/>
    <w:rsid w:val="00457887"/>
    <w:rsid w:val="00457B1C"/>
    <w:rsid w:val="00457CE0"/>
    <w:rsid w:val="00457FF3"/>
    <w:rsid w:val="00460151"/>
    <w:rsid w:val="0046020C"/>
    <w:rsid w:val="00460228"/>
    <w:rsid w:val="00460407"/>
    <w:rsid w:val="0046043B"/>
    <w:rsid w:val="004605D9"/>
    <w:rsid w:val="004605E0"/>
    <w:rsid w:val="00460624"/>
    <w:rsid w:val="00460643"/>
    <w:rsid w:val="00460679"/>
    <w:rsid w:val="00460746"/>
    <w:rsid w:val="004607F6"/>
    <w:rsid w:val="00460806"/>
    <w:rsid w:val="00460B05"/>
    <w:rsid w:val="00460BF6"/>
    <w:rsid w:val="00460D22"/>
    <w:rsid w:val="00460D7E"/>
    <w:rsid w:val="00461030"/>
    <w:rsid w:val="0046107B"/>
    <w:rsid w:val="00461118"/>
    <w:rsid w:val="004611FA"/>
    <w:rsid w:val="0046121B"/>
    <w:rsid w:val="0046123B"/>
    <w:rsid w:val="0046125F"/>
    <w:rsid w:val="00461270"/>
    <w:rsid w:val="004612A3"/>
    <w:rsid w:val="0046136A"/>
    <w:rsid w:val="0046137F"/>
    <w:rsid w:val="004613F9"/>
    <w:rsid w:val="00461596"/>
    <w:rsid w:val="00461700"/>
    <w:rsid w:val="004619AB"/>
    <w:rsid w:val="00461A20"/>
    <w:rsid w:val="00461AD4"/>
    <w:rsid w:val="00461BA0"/>
    <w:rsid w:val="00461C61"/>
    <w:rsid w:val="00461CA0"/>
    <w:rsid w:val="00461CBB"/>
    <w:rsid w:val="00461DB3"/>
    <w:rsid w:val="00461E1E"/>
    <w:rsid w:val="00461FFF"/>
    <w:rsid w:val="00462268"/>
    <w:rsid w:val="00462350"/>
    <w:rsid w:val="00462395"/>
    <w:rsid w:val="00462607"/>
    <w:rsid w:val="0046281F"/>
    <w:rsid w:val="004628CB"/>
    <w:rsid w:val="004629A4"/>
    <w:rsid w:val="00462A30"/>
    <w:rsid w:val="00462A89"/>
    <w:rsid w:val="00462C7F"/>
    <w:rsid w:val="00462C86"/>
    <w:rsid w:val="00462DB3"/>
    <w:rsid w:val="004632DE"/>
    <w:rsid w:val="004632E2"/>
    <w:rsid w:val="0046337D"/>
    <w:rsid w:val="00463380"/>
    <w:rsid w:val="004633AD"/>
    <w:rsid w:val="00463480"/>
    <w:rsid w:val="004634B6"/>
    <w:rsid w:val="004635B1"/>
    <w:rsid w:val="004635E9"/>
    <w:rsid w:val="00463648"/>
    <w:rsid w:val="00463661"/>
    <w:rsid w:val="0046378E"/>
    <w:rsid w:val="0046382D"/>
    <w:rsid w:val="0046396F"/>
    <w:rsid w:val="00463A04"/>
    <w:rsid w:val="00463A1F"/>
    <w:rsid w:val="00463A6B"/>
    <w:rsid w:val="00463AFC"/>
    <w:rsid w:val="00463C7B"/>
    <w:rsid w:val="00463D00"/>
    <w:rsid w:val="00463D70"/>
    <w:rsid w:val="00463DD7"/>
    <w:rsid w:val="00463E22"/>
    <w:rsid w:val="00463F68"/>
    <w:rsid w:val="00463FCB"/>
    <w:rsid w:val="004640FA"/>
    <w:rsid w:val="00464201"/>
    <w:rsid w:val="00464225"/>
    <w:rsid w:val="004642F3"/>
    <w:rsid w:val="0046443A"/>
    <w:rsid w:val="004647DA"/>
    <w:rsid w:val="00464897"/>
    <w:rsid w:val="00464A45"/>
    <w:rsid w:val="00464A88"/>
    <w:rsid w:val="00464A98"/>
    <w:rsid w:val="00464B8A"/>
    <w:rsid w:val="00464BA8"/>
    <w:rsid w:val="00464DD6"/>
    <w:rsid w:val="00465046"/>
    <w:rsid w:val="004650B5"/>
    <w:rsid w:val="00465144"/>
    <w:rsid w:val="0046514E"/>
    <w:rsid w:val="00465225"/>
    <w:rsid w:val="00465498"/>
    <w:rsid w:val="004655E2"/>
    <w:rsid w:val="00465622"/>
    <w:rsid w:val="00465655"/>
    <w:rsid w:val="004656D6"/>
    <w:rsid w:val="0046578A"/>
    <w:rsid w:val="004658A1"/>
    <w:rsid w:val="004658F8"/>
    <w:rsid w:val="00465D3F"/>
    <w:rsid w:val="00465F0D"/>
    <w:rsid w:val="004665E4"/>
    <w:rsid w:val="00466656"/>
    <w:rsid w:val="00466686"/>
    <w:rsid w:val="004666E4"/>
    <w:rsid w:val="0046683E"/>
    <w:rsid w:val="00466926"/>
    <w:rsid w:val="0046697D"/>
    <w:rsid w:val="00466D01"/>
    <w:rsid w:val="00466E87"/>
    <w:rsid w:val="00466EB1"/>
    <w:rsid w:val="00467192"/>
    <w:rsid w:val="004671D5"/>
    <w:rsid w:val="00467494"/>
    <w:rsid w:val="004675ED"/>
    <w:rsid w:val="00467674"/>
    <w:rsid w:val="004676C9"/>
    <w:rsid w:val="00467788"/>
    <w:rsid w:val="00467996"/>
    <w:rsid w:val="00467A83"/>
    <w:rsid w:val="00467D70"/>
    <w:rsid w:val="00467DF7"/>
    <w:rsid w:val="00467F79"/>
    <w:rsid w:val="004700EA"/>
    <w:rsid w:val="0047027B"/>
    <w:rsid w:val="00470307"/>
    <w:rsid w:val="0047060D"/>
    <w:rsid w:val="004707B3"/>
    <w:rsid w:val="004707C5"/>
    <w:rsid w:val="004708FE"/>
    <w:rsid w:val="00470924"/>
    <w:rsid w:val="004709D2"/>
    <w:rsid w:val="00470A07"/>
    <w:rsid w:val="00470A24"/>
    <w:rsid w:val="00470A33"/>
    <w:rsid w:val="00470AAF"/>
    <w:rsid w:val="00470C21"/>
    <w:rsid w:val="00470CDF"/>
    <w:rsid w:val="00470D86"/>
    <w:rsid w:val="00470F54"/>
    <w:rsid w:val="00471267"/>
    <w:rsid w:val="0047130D"/>
    <w:rsid w:val="00471363"/>
    <w:rsid w:val="004713F6"/>
    <w:rsid w:val="00471463"/>
    <w:rsid w:val="004714B4"/>
    <w:rsid w:val="004714E2"/>
    <w:rsid w:val="00471544"/>
    <w:rsid w:val="0047154A"/>
    <w:rsid w:val="0047164D"/>
    <w:rsid w:val="0047170A"/>
    <w:rsid w:val="004717F3"/>
    <w:rsid w:val="004717F6"/>
    <w:rsid w:val="0047182C"/>
    <w:rsid w:val="00471870"/>
    <w:rsid w:val="00471872"/>
    <w:rsid w:val="00471B7D"/>
    <w:rsid w:val="00471B84"/>
    <w:rsid w:val="00471BF1"/>
    <w:rsid w:val="00471D1E"/>
    <w:rsid w:val="00471F78"/>
    <w:rsid w:val="0047225B"/>
    <w:rsid w:val="0047229A"/>
    <w:rsid w:val="00472382"/>
    <w:rsid w:val="0047238A"/>
    <w:rsid w:val="004726F8"/>
    <w:rsid w:val="004726F9"/>
    <w:rsid w:val="0047284F"/>
    <w:rsid w:val="0047285A"/>
    <w:rsid w:val="00472C97"/>
    <w:rsid w:val="00472F82"/>
    <w:rsid w:val="00472F8E"/>
    <w:rsid w:val="004730C4"/>
    <w:rsid w:val="004731E3"/>
    <w:rsid w:val="00473249"/>
    <w:rsid w:val="004733D3"/>
    <w:rsid w:val="00473430"/>
    <w:rsid w:val="0047343C"/>
    <w:rsid w:val="0047354D"/>
    <w:rsid w:val="00473764"/>
    <w:rsid w:val="00473787"/>
    <w:rsid w:val="004737E7"/>
    <w:rsid w:val="004737EE"/>
    <w:rsid w:val="00473871"/>
    <w:rsid w:val="00473889"/>
    <w:rsid w:val="004738CA"/>
    <w:rsid w:val="004738DA"/>
    <w:rsid w:val="004739E6"/>
    <w:rsid w:val="00473BD6"/>
    <w:rsid w:val="00473C74"/>
    <w:rsid w:val="00473C8B"/>
    <w:rsid w:val="00473D4B"/>
    <w:rsid w:val="00473D75"/>
    <w:rsid w:val="00473E22"/>
    <w:rsid w:val="00474004"/>
    <w:rsid w:val="00474088"/>
    <w:rsid w:val="004740AA"/>
    <w:rsid w:val="004740E1"/>
    <w:rsid w:val="0047410D"/>
    <w:rsid w:val="004743C0"/>
    <w:rsid w:val="004743C8"/>
    <w:rsid w:val="004743FE"/>
    <w:rsid w:val="00474451"/>
    <w:rsid w:val="004744BF"/>
    <w:rsid w:val="00474545"/>
    <w:rsid w:val="0047459A"/>
    <w:rsid w:val="0047488E"/>
    <w:rsid w:val="00474890"/>
    <w:rsid w:val="00474A72"/>
    <w:rsid w:val="00474BEB"/>
    <w:rsid w:val="00474E20"/>
    <w:rsid w:val="00474E25"/>
    <w:rsid w:val="00474E49"/>
    <w:rsid w:val="00474F64"/>
    <w:rsid w:val="00474F92"/>
    <w:rsid w:val="004750F8"/>
    <w:rsid w:val="0047524B"/>
    <w:rsid w:val="00475398"/>
    <w:rsid w:val="00475458"/>
    <w:rsid w:val="0047549A"/>
    <w:rsid w:val="00475526"/>
    <w:rsid w:val="0047552C"/>
    <w:rsid w:val="0047558C"/>
    <w:rsid w:val="004755D5"/>
    <w:rsid w:val="004755F5"/>
    <w:rsid w:val="00475606"/>
    <w:rsid w:val="00475953"/>
    <w:rsid w:val="00475CDC"/>
    <w:rsid w:val="00475D1F"/>
    <w:rsid w:val="00475E3A"/>
    <w:rsid w:val="00475EE4"/>
    <w:rsid w:val="00475F7D"/>
    <w:rsid w:val="00476065"/>
    <w:rsid w:val="004760A0"/>
    <w:rsid w:val="00476146"/>
    <w:rsid w:val="00476163"/>
    <w:rsid w:val="00476224"/>
    <w:rsid w:val="004762D0"/>
    <w:rsid w:val="0047659F"/>
    <w:rsid w:val="004765AB"/>
    <w:rsid w:val="004765E7"/>
    <w:rsid w:val="0047686C"/>
    <w:rsid w:val="004769B8"/>
    <w:rsid w:val="00476A91"/>
    <w:rsid w:val="00476ACC"/>
    <w:rsid w:val="00476C00"/>
    <w:rsid w:val="00476C47"/>
    <w:rsid w:val="00476D03"/>
    <w:rsid w:val="00476E3E"/>
    <w:rsid w:val="00476F17"/>
    <w:rsid w:val="00477287"/>
    <w:rsid w:val="004772C7"/>
    <w:rsid w:val="00477307"/>
    <w:rsid w:val="00477368"/>
    <w:rsid w:val="004773A4"/>
    <w:rsid w:val="00477406"/>
    <w:rsid w:val="0047742B"/>
    <w:rsid w:val="00477571"/>
    <w:rsid w:val="004775E5"/>
    <w:rsid w:val="00477640"/>
    <w:rsid w:val="0047766C"/>
    <w:rsid w:val="00477AF2"/>
    <w:rsid w:val="00477C66"/>
    <w:rsid w:val="00477F50"/>
    <w:rsid w:val="00477F75"/>
    <w:rsid w:val="0048001C"/>
    <w:rsid w:val="00480136"/>
    <w:rsid w:val="00480226"/>
    <w:rsid w:val="004802CF"/>
    <w:rsid w:val="00480453"/>
    <w:rsid w:val="00480493"/>
    <w:rsid w:val="0048054C"/>
    <w:rsid w:val="004805AB"/>
    <w:rsid w:val="00480734"/>
    <w:rsid w:val="004807A6"/>
    <w:rsid w:val="004807DB"/>
    <w:rsid w:val="004809AC"/>
    <w:rsid w:val="004809DC"/>
    <w:rsid w:val="00480A68"/>
    <w:rsid w:val="00480B0E"/>
    <w:rsid w:val="00480B45"/>
    <w:rsid w:val="00480BC3"/>
    <w:rsid w:val="00480C74"/>
    <w:rsid w:val="00480F76"/>
    <w:rsid w:val="00481002"/>
    <w:rsid w:val="00481060"/>
    <w:rsid w:val="0048115F"/>
    <w:rsid w:val="004811CE"/>
    <w:rsid w:val="00481316"/>
    <w:rsid w:val="00481337"/>
    <w:rsid w:val="00481477"/>
    <w:rsid w:val="004816F4"/>
    <w:rsid w:val="00481862"/>
    <w:rsid w:val="004818BF"/>
    <w:rsid w:val="00481925"/>
    <w:rsid w:val="0048196E"/>
    <w:rsid w:val="004819A5"/>
    <w:rsid w:val="00481AD1"/>
    <w:rsid w:val="00481B53"/>
    <w:rsid w:val="00481C8E"/>
    <w:rsid w:val="00481DB0"/>
    <w:rsid w:val="00481E7F"/>
    <w:rsid w:val="00481EC1"/>
    <w:rsid w:val="00481F70"/>
    <w:rsid w:val="00481FA1"/>
    <w:rsid w:val="00482089"/>
    <w:rsid w:val="00482138"/>
    <w:rsid w:val="004821A0"/>
    <w:rsid w:val="00482477"/>
    <w:rsid w:val="004824D7"/>
    <w:rsid w:val="00482646"/>
    <w:rsid w:val="0048279B"/>
    <w:rsid w:val="004827FF"/>
    <w:rsid w:val="0048295E"/>
    <w:rsid w:val="00482A7D"/>
    <w:rsid w:val="00482DA2"/>
    <w:rsid w:val="00482E11"/>
    <w:rsid w:val="00482EB7"/>
    <w:rsid w:val="00482F38"/>
    <w:rsid w:val="004830C6"/>
    <w:rsid w:val="004831E8"/>
    <w:rsid w:val="004831FE"/>
    <w:rsid w:val="00483437"/>
    <w:rsid w:val="0048354B"/>
    <w:rsid w:val="0048367C"/>
    <w:rsid w:val="0048370A"/>
    <w:rsid w:val="00483767"/>
    <w:rsid w:val="00483892"/>
    <w:rsid w:val="004838AC"/>
    <w:rsid w:val="0048397D"/>
    <w:rsid w:val="00483981"/>
    <w:rsid w:val="00483991"/>
    <w:rsid w:val="00483AFF"/>
    <w:rsid w:val="00483E85"/>
    <w:rsid w:val="00483E89"/>
    <w:rsid w:val="00483FCE"/>
    <w:rsid w:val="00483FEB"/>
    <w:rsid w:val="00484295"/>
    <w:rsid w:val="0048446B"/>
    <w:rsid w:val="00484576"/>
    <w:rsid w:val="0048463C"/>
    <w:rsid w:val="004846C6"/>
    <w:rsid w:val="00484A07"/>
    <w:rsid w:val="00484A27"/>
    <w:rsid w:val="00484A5D"/>
    <w:rsid w:val="00484B53"/>
    <w:rsid w:val="00484D0E"/>
    <w:rsid w:val="00484DDC"/>
    <w:rsid w:val="00484E13"/>
    <w:rsid w:val="00484EFF"/>
    <w:rsid w:val="00484FEE"/>
    <w:rsid w:val="0048528F"/>
    <w:rsid w:val="00485438"/>
    <w:rsid w:val="00485582"/>
    <w:rsid w:val="004855DA"/>
    <w:rsid w:val="004856AC"/>
    <w:rsid w:val="004858E6"/>
    <w:rsid w:val="00485992"/>
    <w:rsid w:val="00485AFA"/>
    <w:rsid w:val="00485B0E"/>
    <w:rsid w:val="00485B26"/>
    <w:rsid w:val="00485BC2"/>
    <w:rsid w:val="00485C5A"/>
    <w:rsid w:val="00485C93"/>
    <w:rsid w:val="00485CA7"/>
    <w:rsid w:val="00486269"/>
    <w:rsid w:val="004862A0"/>
    <w:rsid w:val="0048651D"/>
    <w:rsid w:val="0048651F"/>
    <w:rsid w:val="0048666D"/>
    <w:rsid w:val="004867DE"/>
    <w:rsid w:val="004868A1"/>
    <w:rsid w:val="004868CD"/>
    <w:rsid w:val="0048696E"/>
    <w:rsid w:val="00486A2D"/>
    <w:rsid w:val="00486C04"/>
    <w:rsid w:val="00486F4D"/>
    <w:rsid w:val="0048713A"/>
    <w:rsid w:val="00487288"/>
    <w:rsid w:val="004873C9"/>
    <w:rsid w:val="004874C3"/>
    <w:rsid w:val="004874D0"/>
    <w:rsid w:val="00487537"/>
    <w:rsid w:val="0048768C"/>
    <w:rsid w:val="004876AF"/>
    <w:rsid w:val="004876D2"/>
    <w:rsid w:val="004877A5"/>
    <w:rsid w:val="004879A9"/>
    <w:rsid w:val="00487A1A"/>
    <w:rsid w:val="00487CAB"/>
    <w:rsid w:val="00487E4B"/>
    <w:rsid w:val="00487F22"/>
    <w:rsid w:val="00487F24"/>
    <w:rsid w:val="00490141"/>
    <w:rsid w:val="00490212"/>
    <w:rsid w:val="00490276"/>
    <w:rsid w:val="004902E7"/>
    <w:rsid w:val="00490600"/>
    <w:rsid w:val="00490682"/>
    <w:rsid w:val="00490691"/>
    <w:rsid w:val="00490697"/>
    <w:rsid w:val="004908D7"/>
    <w:rsid w:val="00490AB4"/>
    <w:rsid w:val="00490AC0"/>
    <w:rsid w:val="00490B06"/>
    <w:rsid w:val="00490B6B"/>
    <w:rsid w:val="00490BA4"/>
    <w:rsid w:val="004913AA"/>
    <w:rsid w:val="0049141E"/>
    <w:rsid w:val="0049143E"/>
    <w:rsid w:val="00491445"/>
    <w:rsid w:val="00491456"/>
    <w:rsid w:val="00491473"/>
    <w:rsid w:val="004914D6"/>
    <w:rsid w:val="004915FB"/>
    <w:rsid w:val="0049164E"/>
    <w:rsid w:val="00491664"/>
    <w:rsid w:val="004916C1"/>
    <w:rsid w:val="0049182B"/>
    <w:rsid w:val="004918DC"/>
    <w:rsid w:val="004918FF"/>
    <w:rsid w:val="0049195F"/>
    <w:rsid w:val="00491A2F"/>
    <w:rsid w:val="00491AB5"/>
    <w:rsid w:val="00491BCC"/>
    <w:rsid w:val="00491EBB"/>
    <w:rsid w:val="00491F19"/>
    <w:rsid w:val="004920C0"/>
    <w:rsid w:val="004921A3"/>
    <w:rsid w:val="004921FB"/>
    <w:rsid w:val="004922F3"/>
    <w:rsid w:val="004923A6"/>
    <w:rsid w:val="004923A7"/>
    <w:rsid w:val="0049242A"/>
    <w:rsid w:val="00492474"/>
    <w:rsid w:val="004924F0"/>
    <w:rsid w:val="00492567"/>
    <w:rsid w:val="004926CE"/>
    <w:rsid w:val="0049281F"/>
    <w:rsid w:val="004928D2"/>
    <w:rsid w:val="004928DB"/>
    <w:rsid w:val="004928F5"/>
    <w:rsid w:val="00492B28"/>
    <w:rsid w:val="00492E98"/>
    <w:rsid w:val="00492F8F"/>
    <w:rsid w:val="00492FD6"/>
    <w:rsid w:val="0049304A"/>
    <w:rsid w:val="0049321C"/>
    <w:rsid w:val="0049341D"/>
    <w:rsid w:val="0049344D"/>
    <w:rsid w:val="00493485"/>
    <w:rsid w:val="00493518"/>
    <w:rsid w:val="004935CE"/>
    <w:rsid w:val="00493A84"/>
    <w:rsid w:val="00493C43"/>
    <w:rsid w:val="00493CB4"/>
    <w:rsid w:val="00493CC9"/>
    <w:rsid w:val="00493E40"/>
    <w:rsid w:val="00493E86"/>
    <w:rsid w:val="00493F08"/>
    <w:rsid w:val="004940BF"/>
    <w:rsid w:val="004940CE"/>
    <w:rsid w:val="00494213"/>
    <w:rsid w:val="004943AA"/>
    <w:rsid w:val="004944D3"/>
    <w:rsid w:val="00494533"/>
    <w:rsid w:val="00494535"/>
    <w:rsid w:val="00494575"/>
    <w:rsid w:val="00494790"/>
    <w:rsid w:val="004947F5"/>
    <w:rsid w:val="0049498A"/>
    <w:rsid w:val="004949C2"/>
    <w:rsid w:val="004949D9"/>
    <w:rsid w:val="00494A39"/>
    <w:rsid w:val="00494A8C"/>
    <w:rsid w:val="00494C9B"/>
    <w:rsid w:val="00494CB4"/>
    <w:rsid w:val="00494DAA"/>
    <w:rsid w:val="00494E0F"/>
    <w:rsid w:val="00494E41"/>
    <w:rsid w:val="00494E9F"/>
    <w:rsid w:val="00494F5E"/>
    <w:rsid w:val="0049500A"/>
    <w:rsid w:val="004951EA"/>
    <w:rsid w:val="0049530C"/>
    <w:rsid w:val="004953FE"/>
    <w:rsid w:val="0049541B"/>
    <w:rsid w:val="00495531"/>
    <w:rsid w:val="00495928"/>
    <w:rsid w:val="004959CB"/>
    <w:rsid w:val="00495A29"/>
    <w:rsid w:val="00495B0B"/>
    <w:rsid w:val="00495B43"/>
    <w:rsid w:val="00495C09"/>
    <w:rsid w:val="00495F1F"/>
    <w:rsid w:val="00495F69"/>
    <w:rsid w:val="00496013"/>
    <w:rsid w:val="0049604C"/>
    <w:rsid w:val="00496087"/>
    <w:rsid w:val="0049629D"/>
    <w:rsid w:val="0049632E"/>
    <w:rsid w:val="00496450"/>
    <w:rsid w:val="00496548"/>
    <w:rsid w:val="0049661A"/>
    <w:rsid w:val="00496679"/>
    <w:rsid w:val="0049671A"/>
    <w:rsid w:val="004967C3"/>
    <w:rsid w:val="004968EA"/>
    <w:rsid w:val="0049690B"/>
    <w:rsid w:val="00496AF8"/>
    <w:rsid w:val="00496C0D"/>
    <w:rsid w:val="00496C7F"/>
    <w:rsid w:val="00496CB2"/>
    <w:rsid w:val="00496CEE"/>
    <w:rsid w:val="00496CF5"/>
    <w:rsid w:val="00496D05"/>
    <w:rsid w:val="00496D7E"/>
    <w:rsid w:val="00496DA4"/>
    <w:rsid w:val="00496E28"/>
    <w:rsid w:val="00496E59"/>
    <w:rsid w:val="00496F4A"/>
    <w:rsid w:val="00497267"/>
    <w:rsid w:val="00497272"/>
    <w:rsid w:val="0049732A"/>
    <w:rsid w:val="004973D9"/>
    <w:rsid w:val="00497408"/>
    <w:rsid w:val="004974C9"/>
    <w:rsid w:val="004975B9"/>
    <w:rsid w:val="004975E0"/>
    <w:rsid w:val="0049762F"/>
    <w:rsid w:val="004976AE"/>
    <w:rsid w:val="00497853"/>
    <w:rsid w:val="004978DC"/>
    <w:rsid w:val="0049793B"/>
    <w:rsid w:val="004979CA"/>
    <w:rsid w:val="00497A3B"/>
    <w:rsid w:val="00497A5E"/>
    <w:rsid w:val="00497A76"/>
    <w:rsid w:val="00497BDA"/>
    <w:rsid w:val="00497C2E"/>
    <w:rsid w:val="00497D57"/>
    <w:rsid w:val="00497DB2"/>
    <w:rsid w:val="00497EC7"/>
    <w:rsid w:val="00497F5F"/>
    <w:rsid w:val="004A0299"/>
    <w:rsid w:val="004A031E"/>
    <w:rsid w:val="004A033B"/>
    <w:rsid w:val="004A04E3"/>
    <w:rsid w:val="004A0562"/>
    <w:rsid w:val="004A05AB"/>
    <w:rsid w:val="004A05F3"/>
    <w:rsid w:val="004A0691"/>
    <w:rsid w:val="004A0710"/>
    <w:rsid w:val="004A0734"/>
    <w:rsid w:val="004A07DB"/>
    <w:rsid w:val="004A084F"/>
    <w:rsid w:val="004A0A45"/>
    <w:rsid w:val="004A0B76"/>
    <w:rsid w:val="004A0DA0"/>
    <w:rsid w:val="004A0ED6"/>
    <w:rsid w:val="004A10D7"/>
    <w:rsid w:val="004A1160"/>
    <w:rsid w:val="004A11BC"/>
    <w:rsid w:val="004A1200"/>
    <w:rsid w:val="004A13D8"/>
    <w:rsid w:val="004A16CD"/>
    <w:rsid w:val="004A16F9"/>
    <w:rsid w:val="004A18C3"/>
    <w:rsid w:val="004A194C"/>
    <w:rsid w:val="004A1955"/>
    <w:rsid w:val="004A198B"/>
    <w:rsid w:val="004A1A12"/>
    <w:rsid w:val="004A1A60"/>
    <w:rsid w:val="004A1C3E"/>
    <w:rsid w:val="004A1D01"/>
    <w:rsid w:val="004A1E17"/>
    <w:rsid w:val="004A1FBD"/>
    <w:rsid w:val="004A1FFB"/>
    <w:rsid w:val="004A1FFC"/>
    <w:rsid w:val="004A2003"/>
    <w:rsid w:val="004A21E1"/>
    <w:rsid w:val="004A2206"/>
    <w:rsid w:val="004A220F"/>
    <w:rsid w:val="004A2215"/>
    <w:rsid w:val="004A2229"/>
    <w:rsid w:val="004A224E"/>
    <w:rsid w:val="004A228E"/>
    <w:rsid w:val="004A22D5"/>
    <w:rsid w:val="004A2461"/>
    <w:rsid w:val="004A2489"/>
    <w:rsid w:val="004A24A1"/>
    <w:rsid w:val="004A24E1"/>
    <w:rsid w:val="004A25C4"/>
    <w:rsid w:val="004A2745"/>
    <w:rsid w:val="004A2780"/>
    <w:rsid w:val="004A27D2"/>
    <w:rsid w:val="004A2824"/>
    <w:rsid w:val="004A2825"/>
    <w:rsid w:val="004A2CE2"/>
    <w:rsid w:val="004A2E4A"/>
    <w:rsid w:val="004A2EC6"/>
    <w:rsid w:val="004A2F1E"/>
    <w:rsid w:val="004A304E"/>
    <w:rsid w:val="004A316F"/>
    <w:rsid w:val="004A324C"/>
    <w:rsid w:val="004A32B9"/>
    <w:rsid w:val="004A32C6"/>
    <w:rsid w:val="004A32E6"/>
    <w:rsid w:val="004A3326"/>
    <w:rsid w:val="004A3369"/>
    <w:rsid w:val="004A346E"/>
    <w:rsid w:val="004A361A"/>
    <w:rsid w:val="004A36F4"/>
    <w:rsid w:val="004A37B7"/>
    <w:rsid w:val="004A382A"/>
    <w:rsid w:val="004A3834"/>
    <w:rsid w:val="004A38B8"/>
    <w:rsid w:val="004A3A62"/>
    <w:rsid w:val="004A3B05"/>
    <w:rsid w:val="004A3DA2"/>
    <w:rsid w:val="004A3E90"/>
    <w:rsid w:val="004A3F00"/>
    <w:rsid w:val="004A3F13"/>
    <w:rsid w:val="004A4090"/>
    <w:rsid w:val="004A43AC"/>
    <w:rsid w:val="004A443E"/>
    <w:rsid w:val="004A4497"/>
    <w:rsid w:val="004A44DA"/>
    <w:rsid w:val="004A4507"/>
    <w:rsid w:val="004A451A"/>
    <w:rsid w:val="004A463A"/>
    <w:rsid w:val="004A47C5"/>
    <w:rsid w:val="004A47E6"/>
    <w:rsid w:val="004A4ABC"/>
    <w:rsid w:val="004A4AF3"/>
    <w:rsid w:val="004A4BA7"/>
    <w:rsid w:val="004A4BC7"/>
    <w:rsid w:val="004A4CBD"/>
    <w:rsid w:val="004A4CDE"/>
    <w:rsid w:val="004A4DDE"/>
    <w:rsid w:val="004A51D5"/>
    <w:rsid w:val="004A51F8"/>
    <w:rsid w:val="004A5383"/>
    <w:rsid w:val="004A5583"/>
    <w:rsid w:val="004A5617"/>
    <w:rsid w:val="004A56D0"/>
    <w:rsid w:val="004A580D"/>
    <w:rsid w:val="004A583A"/>
    <w:rsid w:val="004A5840"/>
    <w:rsid w:val="004A5910"/>
    <w:rsid w:val="004A5971"/>
    <w:rsid w:val="004A5A00"/>
    <w:rsid w:val="004A5A86"/>
    <w:rsid w:val="004A5ACB"/>
    <w:rsid w:val="004A5B0A"/>
    <w:rsid w:val="004A5DD7"/>
    <w:rsid w:val="004A5DF9"/>
    <w:rsid w:val="004A5EC0"/>
    <w:rsid w:val="004A5F0F"/>
    <w:rsid w:val="004A60F3"/>
    <w:rsid w:val="004A61CB"/>
    <w:rsid w:val="004A61E0"/>
    <w:rsid w:val="004A627D"/>
    <w:rsid w:val="004A64D8"/>
    <w:rsid w:val="004A657C"/>
    <w:rsid w:val="004A65A6"/>
    <w:rsid w:val="004A65F3"/>
    <w:rsid w:val="004A68A1"/>
    <w:rsid w:val="004A68B0"/>
    <w:rsid w:val="004A6AE8"/>
    <w:rsid w:val="004A6B07"/>
    <w:rsid w:val="004A6DF5"/>
    <w:rsid w:val="004A6E5A"/>
    <w:rsid w:val="004A711D"/>
    <w:rsid w:val="004A734D"/>
    <w:rsid w:val="004A737E"/>
    <w:rsid w:val="004A7457"/>
    <w:rsid w:val="004A748B"/>
    <w:rsid w:val="004A75BD"/>
    <w:rsid w:val="004A77A0"/>
    <w:rsid w:val="004A77F0"/>
    <w:rsid w:val="004A7A15"/>
    <w:rsid w:val="004A7A16"/>
    <w:rsid w:val="004A7CAE"/>
    <w:rsid w:val="004A7D87"/>
    <w:rsid w:val="004A7DDC"/>
    <w:rsid w:val="004A7F0A"/>
    <w:rsid w:val="004A7FCD"/>
    <w:rsid w:val="004B0196"/>
    <w:rsid w:val="004B027E"/>
    <w:rsid w:val="004B02DF"/>
    <w:rsid w:val="004B0475"/>
    <w:rsid w:val="004B04C6"/>
    <w:rsid w:val="004B0578"/>
    <w:rsid w:val="004B0599"/>
    <w:rsid w:val="004B062E"/>
    <w:rsid w:val="004B071B"/>
    <w:rsid w:val="004B0772"/>
    <w:rsid w:val="004B0834"/>
    <w:rsid w:val="004B08A7"/>
    <w:rsid w:val="004B0A21"/>
    <w:rsid w:val="004B0A3E"/>
    <w:rsid w:val="004B0C07"/>
    <w:rsid w:val="004B0C2D"/>
    <w:rsid w:val="004B0CF9"/>
    <w:rsid w:val="004B0D3F"/>
    <w:rsid w:val="004B0F89"/>
    <w:rsid w:val="004B1127"/>
    <w:rsid w:val="004B117E"/>
    <w:rsid w:val="004B1237"/>
    <w:rsid w:val="004B1397"/>
    <w:rsid w:val="004B15F7"/>
    <w:rsid w:val="004B1620"/>
    <w:rsid w:val="004B1691"/>
    <w:rsid w:val="004B17DA"/>
    <w:rsid w:val="004B1831"/>
    <w:rsid w:val="004B1917"/>
    <w:rsid w:val="004B1B51"/>
    <w:rsid w:val="004B1BB4"/>
    <w:rsid w:val="004B1BBF"/>
    <w:rsid w:val="004B1BE9"/>
    <w:rsid w:val="004B1CD6"/>
    <w:rsid w:val="004B1D43"/>
    <w:rsid w:val="004B1E06"/>
    <w:rsid w:val="004B1E42"/>
    <w:rsid w:val="004B1E78"/>
    <w:rsid w:val="004B21C8"/>
    <w:rsid w:val="004B2262"/>
    <w:rsid w:val="004B235F"/>
    <w:rsid w:val="004B253C"/>
    <w:rsid w:val="004B259A"/>
    <w:rsid w:val="004B2650"/>
    <w:rsid w:val="004B279F"/>
    <w:rsid w:val="004B2802"/>
    <w:rsid w:val="004B28C1"/>
    <w:rsid w:val="004B2A10"/>
    <w:rsid w:val="004B2A1F"/>
    <w:rsid w:val="004B2A65"/>
    <w:rsid w:val="004B2BEC"/>
    <w:rsid w:val="004B2C47"/>
    <w:rsid w:val="004B2C5D"/>
    <w:rsid w:val="004B2CD4"/>
    <w:rsid w:val="004B2CE9"/>
    <w:rsid w:val="004B2E26"/>
    <w:rsid w:val="004B2F81"/>
    <w:rsid w:val="004B31B2"/>
    <w:rsid w:val="004B31F5"/>
    <w:rsid w:val="004B32BB"/>
    <w:rsid w:val="004B3328"/>
    <w:rsid w:val="004B343A"/>
    <w:rsid w:val="004B3458"/>
    <w:rsid w:val="004B350E"/>
    <w:rsid w:val="004B3744"/>
    <w:rsid w:val="004B3764"/>
    <w:rsid w:val="004B3878"/>
    <w:rsid w:val="004B3926"/>
    <w:rsid w:val="004B39FE"/>
    <w:rsid w:val="004B3BED"/>
    <w:rsid w:val="004B3C12"/>
    <w:rsid w:val="004B3C18"/>
    <w:rsid w:val="004B3EA3"/>
    <w:rsid w:val="004B3F53"/>
    <w:rsid w:val="004B3F61"/>
    <w:rsid w:val="004B3F6C"/>
    <w:rsid w:val="004B4001"/>
    <w:rsid w:val="004B4032"/>
    <w:rsid w:val="004B4063"/>
    <w:rsid w:val="004B4096"/>
    <w:rsid w:val="004B40E4"/>
    <w:rsid w:val="004B40FC"/>
    <w:rsid w:val="004B4223"/>
    <w:rsid w:val="004B434D"/>
    <w:rsid w:val="004B4425"/>
    <w:rsid w:val="004B44F3"/>
    <w:rsid w:val="004B4618"/>
    <w:rsid w:val="004B46F2"/>
    <w:rsid w:val="004B47E5"/>
    <w:rsid w:val="004B4A56"/>
    <w:rsid w:val="004B4ACF"/>
    <w:rsid w:val="004B4B38"/>
    <w:rsid w:val="004B4C76"/>
    <w:rsid w:val="004B4EA5"/>
    <w:rsid w:val="004B4EA6"/>
    <w:rsid w:val="004B4FF1"/>
    <w:rsid w:val="004B5016"/>
    <w:rsid w:val="004B5394"/>
    <w:rsid w:val="004B544C"/>
    <w:rsid w:val="004B5627"/>
    <w:rsid w:val="004B5680"/>
    <w:rsid w:val="004B5798"/>
    <w:rsid w:val="004B588B"/>
    <w:rsid w:val="004B593C"/>
    <w:rsid w:val="004B59B3"/>
    <w:rsid w:val="004B5B7D"/>
    <w:rsid w:val="004B5D4B"/>
    <w:rsid w:val="004B5DA1"/>
    <w:rsid w:val="004B5E05"/>
    <w:rsid w:val="004B5E69"/>
    <w:rsid w:val="004B60EC"/>
    <w:rsid w:val="004B60ED"/>
    <w:rsid w:val="004B612D"/>
    <w:rsid w:val="004B61C3"/>
    <w:rsid w:val="004B6218"/>
    <w:rsid w:val="004B649E"/>
    <w:rsid w:val="004B6567"/>
    <w:rsid w:val="004B65A6"/>
    <w:rsid w:val="004B65FB"/>
    <w:rsid w:val="004B6726"/>
    <w:rsid w:val="004B6739"/>
    <w:rsid w:val="004B67BF"/>
    <w:rsid w:val="004B68F5"/>
    <w:rsid w:val="004B69E6"/>
    <w:rsid w:val="004B6A99"/>
    <w:rsid w:val="004B6C2A"/>
    <w:rsid w:val="004B6DA7"/>
    <w:rsid w:val="004B71B7"/>
    <w:rsid w:val="004B723D"/>
    <w:rsid w:val="004B72A1"/>
    <w:rsid w:val="004B74C3"/>
    <w:rsid w:val="004B7664"/>
    <w:rsid w:val="004B76E0"/>
    <w:rsid w:val="004B776F"/>
    <w:rsid w:val="004B77E8"/>
    <w:rsid w:val="004B78FF"/>
    <w:rsid w:val="004B7A28"/>
    <w:rsid w:val="004B7A65"/>
    <w:rsid w:val="004B7C5D"/>
    <w:rsid w:val="004B7C9F"/>
    <w:rsid w:val="004B7D37"/>
    <w:rsid w:val="004B7D4E"/>
    <w:rsid w:val="004B7D79"/>
    <w:rsid w:val="004B7DAA"/>
    <w:rsid w:val="004B7DE3"/>
    <w:rsid w:val="004B7F4B"/>
    <w:rsid w:val="004B7FA5"/>
    <w:rsid w:val="004C0197"/>
    <w:rsid w:val="004C0204"/>
    <w:rsid w:val="004C0288"/>
    <w:rsid w:val="004C02A8"/>
    <w:rsid w:val="004C039E"/>
    <w:rsid w:val="004C0498"/>
    <w:rsid w:val="004C04EE"/>
    <w:rsid w:val="004C0505"/>
    <w:rsid w:val="004C05B4"/>
    <w:rsid w:val="004C06E4"/>
    <w:rsid w:val="004C071A"/>
    <w:rsid w:val="004C0788"/>
    <w:rsid w:val="004C09A9"/>
    <w:rsid w:val="004C0B1B"/>
    <w:rsid w:val="004C0BC1"/>
    <w:rsid w:val="004C0D3A"/>
    <w:rsid w:val="004C0D42"/>
    <w:rsid w:val="004C0DBC"/>
    <w:rsid w:val="004C0E0B"/>
    <w:rsid w:val="004C0E2B"/>
    <w:rsid w:val="004C0E2E"/>
    <w:rsid w:val="004C0F61"/>
    <w:rsid w:val="004C1048"/>
    <w:rsid w:val="004C10C0"/>
    <w:rsid w:val="004C112C"/>
    <w:rsid w:val="004C121C"/>
    <w:rsid w:val="004C1631"/>
    <w:rsid w:val="004C16CA"/>
    <w:rsid w:val="004C18F0"/>
    <w:rsid w:val="004C1908"/>
    <w:rsid w:val="004C1977"/>
    <w:rsid w:val="004C1A76"/>
    <w:rsid w:val="004C1ABB"/>
    <w:rsid w:val="004C1C55"/>
    <w:rsid w:val="004C1C62"/>
    <w:rsid w:val="004C1C7B"/>
    <w:rsid w:val="004C1C80"/>
    <w:rsid w:val="004C1DD2"/>
    <w:rsid w:val="004C1E09"/>
    <w:rsid w:val="004C1E26"/>
    <w:rsid w:val="004C1E7C"/>
    <w:rsid w:val="004C2005"/>
    <w:rsid w:val="004C22DF"/>
    <w:rsid w:val="004C236F"/>
    <w:rsid w:val="004C2453"/>
    <w:rsid w:val="004C256E"/>
    <w:rsid w:val="004C2579"/>
    <w:rsid w:val="004C26A7"/>
    <w:rsid w:val="004C2899"/>
    <w:rsid w:val="004C2993"/>
    <w:rsid w:val="004C2AC5"/>
    <w:rsid w:val="004C2C32"/>
    <w:rsid w:val="004C2C34"/>
    <w:rsid w:val="004C2D07"/>
    <w:rsid w:val="004C2D61"/>
    <w:rsid w:val="004C2DDD"/>
    <w:rsid w:val="004C2F4E"/>
    <w:rsid w:val="004C30A8"/>
    <w:rsid w:val="004C31BC"/>
    <w:rsid w:val="004C31CA"/>
    <w:rsid w:val="004C3328"/>
    <w:rsid w:val="004C33B9"/>
    <w:rsid w:val="004C359D"/>
    <w:rsid w:val="004C36AA"/>
    <w:rsid w:val="004C3929"/>
    <w:rsid w:val="004C3968"/>
    <w:rsid w:val="004C3A8C"/>
    <w:rsid w:val="004C3B77"/>
    <w:rsid w:val="004C3C15"/>
    <w:rsid w:val="004C3D41"/>
    <w:rsid w:val="004C3FF9"/>
    <w:rsid w:val="004C40B9"/>
    <w:rsid w:val="004C419A"/>
    <w:rsid w:val="004C4272"/>
    <w:rsid w:val="004C4372"/>
    <w:rsid w:val="004C43AC"/>
    <w:rsid w:val="004C43BB"/>
    <w:rsid w:val="004C460E"/>
    <w:rsid w:val="004C4774"/>
    <w:rsid w:val="004C4A50"/>
    <w:rsid w:val="004C4B46"/>
    <w:rsid w:val="004C4D08"/>
    <w:rsid w:val="004C4D1B"/>
    <w:rsid w:val="004C4D60"/>
    <w:rsid w:val="004C4E15"/>
    <w:rsid w:val="004C4E42"/>
    <w:rsid w:val="004C4ED6"/>
    <w:rsid w:val="004C50AD"/>
    <w:rsid w:val="004C5187"/>
    <w:rsid w:val="004C525B"/>
    <w:rsid w:val="004C531C"/>
    <w:rsid w:val="004C53C2"/>
    <w:rsid w:val="004C54AE"/>
    <w:rsid w:val="004C5695"/>
    <w:rsid w:val="004C5702"/>
    <w:rsid w:val="004C5747"/>
    <w:rsid w:val="004C575A"/>
    <w:rsid w:val="004C5B84"/>
    <w:rsid w:val="004C5C47"/>
    <w:rsid w:val="004C5C89"/>
    <w:rsid w:val="004C5E6B"/>
    <w:rsid w:val="004C5E7F"/>
    <w:rsid w:val="004C60F6"/>
    <w:rsid w:val="004C619F"/>
    <w:rsid w:val="004C61F9"/>
    <w:rsid w:val="004C621C"/>
    <w:rsid w:val="004C625F"/>
    <w:rsid w:val="004C62A6"/>
    <w:rsid w:val="004C6313"/>
    <w:rsid w:val="004C6467"/>
    <w:rsid w:val="004C6549"/>
    <w:rsid w:val="004C65C8"/>
    <w:rsid w:val="004C663F"/>
    <w:rsid w:val="004C665F"/>
    <w:rsid w:val="004C68A3"/>
    <w:rsid w:val="004C6B20"/>
    <w:rsid w:val="004C6BA4"/>
    <w:rsid w:val="004C6D9B"/>
    <w:rsid w:val="004C6F59"/>
    <w:rsid w:val="004C719F"/>
    <w:rsid w:val="004C71A9"/>
    <w:rsid w:val="004C7283"/>
    <w:rsid w:val="004C72E5"/>
    <w:rsid w:val="004C743E"/>
    <w:rsid w:val="004C7573"/>
    <w:rsid w:val="004C768B"/>
    <w:rsid w:val="004C76E4"/>
    <w:rsid w:val="004C782E"/>
    <w:rsid w:val="004C787F"/>
    <w:rsid w:val="004C78BD"/>
    <w:rsid w:val="004C78CE"/>
    <w:rsid w:val="004C7BD9"/>
    <w:rsid w:val="004C7C42"/>
    <w:rsid w:val="004C7CA0"/>
    <w:rsid w:val="004C7D65"/>
    <w:rsid w:val="004C7EBE"/>
    <w:rsid w:val="004D0105"/>
    <w:rsid w:val="004D0154"/>
    <w:rsid w:val="004D017D"/>
    <w:rsid w:val="004D01AE"/>
    <w:rsid w:val="004D01F2"/>
    <w:rsid w:val="004D021C"/>
    <w:rsid w:val="004D02E8"/>
    <w:rsid w:val="004D0375"/>
    <w:rsid w:val="004D03BF"/>
    <w:rsid w:val="004D0507"/>
    <w:rsid w:val="004D05BE"/>
    <w:rsid w:val="004D0607"/>
    <w:rsid w:val="004D0675"/>
    <w:rsid w:val="004D067E"/>
    <w:rsid w:val="004D06C2"/>
    <w:rsid w:val="004D0AFE"/>
    <w:rsid w:val="004D0B0A"/>
    <w:rsid w:val="004D0B68"/>
    <w:rsid w:val="004D0DB9"/>
    <w:rsid w:val="004D0E64"/>
    <w:rsid w:val="004D0F79"/>
    <w:rsid w:val="004D0FB7"/>
    <w:rsid w:val="004D0FBB"/>
    <w:rsid w:val="004D1158"/>
    <w:rsid w:val="004D11CC"/>
    <w:rsid w:val="004D1264"/>
    <w:rsid w:val="004D12C3"/>
    <w:rsid w:val="004D14E4"/>
    <w:rsid w:val="004D15DA"/>
    <w:rsid w:val="004D15FE"/>
    <w:rsid w:val="004D181B"/>
    <w:rsid w:val="004D1BE5"/>
    <w:rsid w:val="004D1D89"/>
    <w:rsid w:val="004D1D8E"/>
    <w:rsid w:val="004D1EC7"/>
    <w:rsid w:val="004D2018"/>
    <w:rsid w:val="004D2089"/>
    <w:rsid w:val="004D2445"/>
    <w:rsid w:val="004D247A"/>
    <w:rsid w:val="004D247F"/>
    <w:rsid w:val="004D248F"/>
    <w:rsid w:val="004D26A8"/>
    <w:rsid w:val="004D2716"/>
    <w:rsid w:val="004D27CE"/>
    <w:rsid w:val="004D2D61"/>
    <w:rsid w:val="004D2F08"/>
    <w:rsid w:val="004D2F3E"/>
    <w:rsid w:val="004D2F8E"/>
    <w:rsid w:val="004D2FB1"/>
    <w:rsid w:val="004D3190"/>
    <w:rsid w:val="004D3226"/>
    <w:rsid w:val="004D35B9"/>
    <w:rsid w:val="004D35EC"/>
    <w:rsid w:val="004D36C3"/>
    <w:rsid w:val="004D3C80"/>
    <w:rsid w:val="004D3D20"/>
    <w:rsid w:val="004D3E8F"/>
    <w:rsid w:val="004D3FEA"/>
    <w:rsid w:val="004D406E"/>
    <w:rsid w:val="004D4144"/>
    <w:rsid w:val="004D4172"/>
    <w:rsid w:val="004D422A"/>
    <w:rsid w:val="004D443F"/>
    <w:rsid w:val="004D49BF"/>
    <w:rsid w:val="004D4A56"/>
    <w:rsid w:val="004D4ABA"/>
    <w:rsid w:val="004D4AEA"/>
    <w:rsid w:val="004D4DB0"/>
    <w:rsid w:val="004D4E55"/>
    <w:rsid w:val="004D4E9D"/>
    <w:rsid w:val="004D4EC0"/>
    <w:rsid w:val="004D4ED4"/>
    <w:rsid w:val="004D4EF6"/>
    <w:rsid w:val="004D4FA6"/>
    <w:rsid w:val="004D500F"/>
    <w:rsid w:val="004D508F"/>
    <w:rsid w:val="004D522D"/>
    <w:rsid w:val="004D525B"/>
    <w:rsid w:val="004D52FD"/>
    <w:rsid w:val="004D5488"/>
    <w:rsid w:val="004D5539"/>
    <w:rsid w:val="004D55AD"/>
    <w:rsid w:val="004D560E"/>
    <w:rsid w:val="004D5680"/>
    <w:rsid w:val="004D57EF"/>
    <w:rsid w:val="004D5944"/>
    <w:rsid w:val="004D5B5E"/>
    <w:rsid w:val="004D5BB0"/>
    <w:rsid w:val="004D5BF6"/>
    <w:rsid w:val="004D5C3C"/>
    <w:rsid w:val="004D5F37"/>
    <w:rsid w:val="004D5F49"/>
    <w:rsid w:val="004D60FE"/>
    <w:rsid w:val="004D61B6"/>
    <w:rsid w:val="004D6202"/>
    <w:rsid w:val="004D6213"/>
    <w:rsid w:val="004D62AF"/>
    <w:rsid w:val="004D63AA"/>
    <w:rsid w:val="004D63F4"/>
    <w:rsid w:val="004D6590"/>
    <w:rsid w:val="004D6775"/>
    <w:rsid w:val="004D67CE"/>
    <w:rsid w:val="004D6904"/>
    <w:rsid w:val="004D6B1A"/>
    <w:rsid w:val="004D6CBB"/>
    <w:rsid w:val="004D6CED"/>
    <w:rsid w:val="004D6D64"/>
    <w:rsid w:val="004D6DBB"/>
    <w:rsid w:val="004D6E50"/>
    <w:rsid w:val="004D7148"/>
    <w:rsid w:val="004D7237"/>
    <w:rsid w:val="004D7292"/>
    <w:rsid w:val="004D741A"/>
    <w:rsid w:val="004D74F1"/>
    <w:rsid w:val="004D7684"/>
    <w:rsid w:val="004D77A3"/>
    <w:rsid w:val="004D77CA"/>
    <w:rsid w:val="004D77CD"/>
    <w:rsid w:val="004D7926"/>
    <w:rsid w:val="004D7962"/>
    <w:rsid w:val="004D7993"/>
    <w:rsid w:val="004D79AB"/>
    <w:rsid w:val="004D7A53"/>
    <w:rsid w:val="004D7B30"/>
    <w:rsid w:val="004D7CC6"/>
    <w:rsid w:val="004D7D23"/>
    <w:rsid w:val="004D7D2A"/>
    <w:rsid w:val="004D7D7E"/>
    <w:rsid w:val="004D7DE3"/>
    <w:rsid w:val="004D7F33"/>
    <w:rsid w:val="004E000C"/>
    <w:rsid w:val="004E0030"/>
    <w:rsid w:val="004E009E"/>
    <w:rsid w:val="004E0173"/>
    <w:rsid w:val="004E01CF"/>
    <w:rsid w:val="004E04D9"/>
    <w:rsid w:val="004E0663"/>
    <w:rsid w:val="004E06EC"/>
    <w:rsid w:val="004E0796"/>
    <w:rsid w:val="004E0828"/>
    <w:rsid w:val="004E0887"/>
    <w:rsid w:val="004E093C"/>
    <w:rsid w:val="004E0A6E"/>
    <w:rsid w:val="004E0A99"/>
    <w:rsid w:val="004E0BAE"/>
    <w:rsid w:val="004E0CC1"/>
    <w:rsid w:val="004E0DC7"/>
    <w:rsid w:val="004E1020"/>
    <w:rsid w:val="004E1033"/>
    <w:rsid w:val="004E1148"/>
    <w:rsid w:val="004E129E"/>
    <w:rsid w:val="004E1334"/>
    <w:rsid w:val="004E1461"/>
    <w:rsid w:val="004E14B0"/>
    <w:rsid w:val="004E15BF"/>
    <w:rsid w:val="004E15E3"/>
    <w:rsid w:val="004E161A"/>
    <w:rsid w:val="004E164A"/>
    <w:rsid w:val="004E18AC"/>
    <w:rsid w:val="004E1AA6"/>
    <w:rsid w:val="004E1B6C"/>
    <w:rsid w:val="004E1BFA"/>
    <w:rsid w:val="004E1C3C"/>
    <w:rsid w:val="004E1C41"/>
    <w:rsid w:val="004E1D1E"/>
    <w:rsid w:val="004E1DD1"/>
    <w:rsid w:val="004E1F14"/>
    <w:rsid w:val="004E1F3B"/>
    <w:rsid w:val="004E1F41"/>
    <w:rsid w:val="004E2068"/>
    <w:rsid w:val="004E22A1"/>
    <w:rsid w:val="004E235F"/>
    <w:rsid w:val="004E2395"/>
    <w:rsid w:val="004E240C"/>
    <w:rsid w:val="004E2416"/>
    <w:rsid w:val="004E2429"/>
    <w:rsid w:val="004E2576"/>
    <w:rsid w:val="004E2597"/>
    <w:rsid w:val="004E25D2"/>
    <w:rsid w:val="004E25EC"/>
    <w:rsid w:val="004E27FE"/>
    <w:rsid w:val="004E28FA"/>
    <w:rsid w:val="004E29CC"/>
    <w:rsid w:val="004E29EA"/>
    <w:rsid w:val="004E2BE2"/>
    <w:rsid w:val="004E2D90"/>
    <w:rsid w:val="004E3080"/>
    <w:rsid w:val="004E3098"/>
    <w:rsid w:val="004E323F"/>
    <w:rsid w:val="004E329C"/>
    <w:rsid w:val="004E32D8"/>
    <w:rsid w:val="004E3347"/>
    <w:rsid w:val="004E336B"/>
    <w:rsid w:val="004E34F7"/>
    <w:rsid w:val="004E353E"/>
    <w:rsid w:val="004E354A"/>
    <w:rsid w:val="004E3574"/>
    <w:rsid w:val="004E35E3"/>
    <w:rsid w:val="004E3748"/>
    <w:rsid w:val="004E37FA"/>
    <w:rsid w:val="004E3810"/>
    <w:rsid w:val="004E3815"/>
    <w:rsid w:val="004E3A7E"/>
    <w:rsid w:val="004E3B5F"/>
    <w:rsid w:val="004E3B9D"/>
    <w:rsid w:val="004E3DA4"/>
    <w:rsid w:val="004E3DAD"/>
    <w:rsid w:val="004E3E6C"/>
    <w:rsid w:val="004E3F54"/>
    <w:rsid w:val="004E3FC1"/>
    <w:rsid w:val="004E4077"/>
    <w:rsid w:val="004E40DB"/>
    <w:rsid w:val="004E41B0"/>
    <w:rsid w:val="004E438D"/>
    <w:rsid w:val="004E43BD"/>
    <w:rsid w:val="004E43D3"/>
    <w:rsid w:val="004E446E"/>
    <w:rsid w:val="004E4577"/>
    <w:rsid w:val="004E45F7"/>
    <w:rsid w:val="004E4620"/>
    <w:rsid w:val="004E486C"/>
    <w:rsid w:val="004E487C"/>
    <w:rsid w:val="004E49FA"/>
    <w:rsid w:val="004E4A7E"/>
    <w:rsid w:val="004E4E97"/>
    <w:rsid w:val="004E4F66"/>
    <w:rsid w:val="004E4FAA"/>
    <w:rsid w:val="004E4FB3"/>
    <w:rsid w:val="004E4FCE"/>
    <w:rsid w:val="004E4FD1"/>
    <w:rsid w:val="004E5074"/>
    <w:rsid w:val="004E5290"/>
    <w:rsid w:val="004E5463"/>
    <w:rsid w:val="004E54D7"/>
    <w:rsid w:val="004E558D"/>
    <w:rsid w:val="004E55C2"/>
    <w:rsid w:val="004E563E"/>
    <w:rsid w:val="004E57C8"/>
    <w:rsid w:val="004E5ACD"/>
    <w:rsid w:val="004E5EEA"/>
    <w:rsid w:val="004E5F5D"/>
    <w:rsid w:val="004E5F88"/>
    <w:rsid w:val="004E62BB"/>
    <w:rsid w:val="004E63C6"/>
    <w:rsid w:val="004E65BD"/>
    <w:rsid w:val="004E6667"/>
    <w:rsid w:val="004E66EB"/>
    <w:rsid w:val="004E67C5"/>
    <w:rsid w:val="004E681B"/>
    <w:rsid w:val="004E69D8"/>
    <w:rsid w:val="004E6AF7"/>
    <w:rsid w:val="004E6D82"/>
    <w:rsid w:val="004E6F08"/>
    <w:rsid w:val="004E6F97"/>
    <w:rsid w:val="004E7050"/>
    <w:rsid w:val="004E7201"/>
    <w:rsid w:val="004E75A7"/>
    <w:rsid w:val="004E765E"/>
    <w:rsid w:val="004E772C"/>
    <w:rsid w:val="004E7879"/>
    <w:rsid w:val="004E790F"/>
    <w:rsid w:val="004E7996"/>
    <w:rsid w:val="004E79DA"/>
    <w:rsid w:val="004E7AEA"/>
    <w:rsid w:val="004E7DCF"/>
    <w:rsid w:val="004E7E76"/>
    <w:rsid w:val="004E7F1A"/>
    <w:rsid w:val="004E7F4B"/>
    <w:rsid w:val="004EC256"/>
    <w:rsid w:val="004F0038"/>
    <w:rsid w:val="004F00DD"/>
    <w:rsid w:val="004F0158"/>
    <w:rsid w:val="004F015A"/>
    <w:rsid w:val="004F016D"/>
    <w:rsid w:val="004F01DD"/>
    <w:rsid w:val="004F0628"/>
    <w:rsid w:val="004F067F"/>
    <w:rsid w:val="004F06C2"/>
    <w:rsid w:val="004F07B6"/>
    <w:rsid w:val="004F080D"/>
    <w:rsid w:val="004F0855"/>
    <w:rsid w:val="004F0A3D"/>
    <w:rsid w:val="004F0A54"/>
    <w:rsid w:val="004F0A79"/>
    <w:rsid w:val="004F0B01"/>
    <w:rsid w:val="004F0C4E"/>
    <w:rsid w:val="004F0D21"/>
    <w:rsid w:val="004F0D6E"/>
    <w:rsid w:val="004F0D89"/>
    <w:rsid w:val="004F0DCB"/>
    <w:rsid w:val="004F0FD1"/>
    <w:rsid w:val="004F1078"/>
    <w:rsid w:val="004F1094"/>
    <w:rsid w:val="004F1280"/>
    <w:rsid w:val="004F1394"/>
    <w:rsid w:val="004F148A"/>
    <w:rsid w:val="004F1607"/>
    <w:rsid w:val="004F1648"/>
    <w:rsid w:val="004F16B9"/>
    <w:rsid w:val="004F1708"/>
    <w:rsid w:val="004F1723"/>
    <w:rsid w:val="004F1769"/>
    <w:rsid w:val="004F177E"/>
    <w:rsid w:val="004F183B"/>
    <w:rsid w:val="004F185D"/>
    <w:rsid w:val="004F1A2E"/>
    <w:rsid w:val="004F1AA6"/>
    <w:rsid w:val="004F1AF4"/>
    <w:rsid w:val="004F1B32"/>
    <w:rsid w:val="004F1B99"/>
    <w:rsid w:val="004F1BA1"/>
    <w:rsid w:val="004F1BF2"/>
    <w:rsid w:val="004F1D7B"/>
    <w:rsid w:val="004F1E54"/>
    <w:rsid w:val="004F1E58"/>
    <w:rsid w:val="004F1E9B"/>
    <w:rsid w:val="004F1F09"/>
    <w:rsid w:val="004F1FA6"/>
    <w:rsid w:val="004F2020"/>
    <w:rsid w:val="004F2033"/>
    <w:rsid w:val="004F2198"/>
    <w:rsid w:val="004F21AD"/>
    <w:rsid w:val="004F21D6"/>
    <w:rsid w:val="004F228E"/>
    <w:rsid w:val="004F22D0"/>
    <w:rsid w:val="004F234C"/>
    <w:rsid w:val="004F2357"/>
    <w:rsid w:val="004F23D7"/>
    <w:rsid w:val="004F24BE"/>
    <w:rsid w:val="004F26D2"/>
    <w:rsid w:val="004F26E8"/>
    <w:rsid w:val="004F2880"/>
    <w:rsid w:val="004F2893"/>
    <w:rsid w:val="004F29D6"/>
    <w:rsid w:val="004F29DA"/>
    <w:rsid w:val="004F29DD"/>
    <w:rsid w:val="004F2D33"/>
    <w:rsid w:val="004F2E67"/>
    <w:rsid w:val="004F2F33"/>
    <w:rsid w:val="004F3078"/>
    <w:rsid w:val="004F3199"/>
    <w:rsid w:val="004F328F"/>
    <w:rsid w:val="004F3353"/>
    <w:rsid w:val="004F3365"/>
    <w:rsid w:val="004F3369"/>
    <w:rsid w:val="004F33CA"/>
    <w:rsid w:val="004F34DA"/>
    <w:rsid w:val="004F37DA"/>
    <w:rsid w:val="004F390B"/>
    <w:rsid w:val="004F398A"/>
    <w:rsid w:val="004F39A6"/>
    <w:rsid w:val="004F3AF3"/>
    <w:rsid w:val="004F3BC4"/>
    <w:rsid w:val="004F3CB8"/>
    <w:rsid w:val="004F3D1B"/>
    <w:rsid w:val="004F3E13"/>
    <w:rsid w:val="004F3E16"/>
    <w:rsid w:val="004F41BD"/>
    <w:rsid w:val="004F4379"/>
    <w:rsid w:val="004F449F"/>
    <w:rsid w:val="004F45F7"/>
    <w:rsid w:val="004F46A0"/>
    <w:rsid w:val="004F48AE"/>
    <w:rsid w:val="004F499A"/>
    <w:rsid w:val="004F49A9"/>
    <w:rsid w:val="004F4A15"/>
    <w:rsid w:val="004F4C07"/>
    <w:rsid w:val="004F4C20"/>
    <w:rsid w:val="004F4D67"/>
    <w:rsid w:val="004F4E95"/>
    <w:rsid w:val="004F50B8"/>
    <w:rsid w:val="004F515C"/>
    <w:rsid w:val="004F5A85"/>
    <w:rsid w:val="004F5C17"/>
    <w:rsid w:val="004F5F7C"/>
    <w:rsid w:val="004F5F90"/>
    <w:rsid w:val="004F6171"/>
    <w:rsid w:val="004F624C"/>
    <w:rsid w:val="004F62FA"/>
    <w:rsid w:val="004F6415"/>
    <w:rsid w:val="004F6448"/>
    <w:rsid w:val="004F6A0C"/>
    <w:rsid w:val="004F6A33"/>
    <w:rsid w:val="004F6A46"/>
    <w:rsid w:val="004F6A59"/>
    <w:rsid w:val="004F6ADE"/>
    <w:rsid w:val="004F6D73"/>
    <w:rsid w:val="004F6E08"/>
    <w:rsid w:val="004F6EA0"/>
    <w:rsid w:val="004F6EF7"/>
    <w:rsid w:val="004F7071"/>
    <w:rsid w:val="004F7074"/>
    <w:rsid w:val="004F7075"/>
    <w:rsid w:val="004F712C"/>
    <w:rsid w:val="004F71CA"/>
    <w:rsid w:val="004F71DB"/>
    <w:rsid w:val="004F71FC"/>
    <w:rsid w:val="004F7204"/>
    <w:rsid w:val="004F7301"/>
    <w:rsid w:val="004F73B0"/>
    <w:rsid w:val="004F73EC"/>
    <w:rsid w:val="004F74BA"/>
    <w:rsid w:val="004F76B5"/>
    <w:rsid w:val="004F781C"/>
    <w:rsid w:val="004F782F"/>
    <w:rsid w:val="004F7874"/>
    <w:rsid w:val="004F7929"/>
    <w:rsid w:val="004F79AA"/>
    <w:rsid w:val="004F7F03"/>
    <w:rsid w:val="004F7F2F"/>
    <w:rsid w:val="004F7F4C"/>
    <w:rsid w:val="004F7FF9"/>
    <w:rsid w:val="00500075"/>
    <w:rsid w:val="00500095"/>
    <w:rsid w:val="00500102"/>
    <w:rsid w:val="005001A4"/>
    <w:rsid w:val="005001AD"/>
    <w:rsid w:val="0050031B"/>
    <w:rsid w:val="005004EB"/>
    <w:rsid w:val="00500643"/>
    <w:rsid w:val="00500695"/>
    <w:rsid w:val="005006DB"/>
    <w:rsid w:val="00500744"/>
    <w:rsid w:val="00500829"/>
    <w:rsid w:val="005008AA"/>
    <w:rsid w:val="00500D45"/>
    <w:rsid w:val="00500DEA"/>
    <w:rsid w:val="00500E5D"/>
    <w:rsid w:val="00500FEC"/>
    <w:rsid w:val="0050101E"/>
    <w:rsid w:val="0050109B"/>
    <w:rsid w:val="0050116A"/>
    <w:rsid w:val="005011EE"/>
    <w:rsid w:val="0050147E"/>
    <w:rsid w:val="005014AA"/>
    <w:rsid w:val="005014D8"/>
    <w:rsid w:val="00501597"/>
    <w:rsid w:val="005015DE"/>
    <w:rsid w:val="00501779"/>
    <w:rsid w:val="00501799"/>
    <w:rsid w:val="005017BD"/>
    <w:rsid w:val="0050187A"/>
    <w:rsid w:val="005018A7"/>
    <w:rsid w:val="0050190E"/>
    <w:rsid w:val="0050191A"/>
    <w:rsid w:val="005019AD"/>
    <w:rsid w:val="005019D9"/>
    <w:rsid w:val="00501AED"/>
    <w:rsid w:val="00501B6F"/>
    <w:rsid w:val="00501C7A"/>
    <w:rsid w:val="00501D85"/>
    <w:rsid w:val="00501DC6"/>
    <w:rsid w:val="00501E2E"/>
    <w:rsid w:val="00501F97"/>
    <w:rsid w:val="00501FFD"/>
    <w:rsid w:val="00502038"/>
    <w:rsid w:val="00502118"/>
    <w:rsid w:val="005021AC"/>
    <w:rsid w:val="005021B9"/>
    <w:rsid w:val="005022E5"/>
    <w:rsid w:val="005026F3"/>
    <w:rsid w:val="0050284D"/>
    <w:rsid w:val="005028B6"/>
    <w:rsid w:val="00502959"/>
    <w:rsid w:val="00502961"/>
    <w:rsid w:val="00502968"/>
    <w:rsid w:val="005029BE"/>
    <w:rsid w:val="00502A8F"/>
    <w:rsid w:val="00502BC3"/>
    <w:rsid w:val="00502C21"/>
    <w:rsid w:val="00502C3C"/>
    <w:rsid w:val="00502D2E"/>
    <w:rsid w:val="00502E14"/>
    <w:rsid w:val="00502E87"/>
    <w:rsid w:val="00502E9F"/>
    <w:rsid w:val="00502ED7"/>
    <w:rsid w:val="00502EFB"/>
    <w:rsid w:val="00503181"/>
    <w:rsid w:val="00503190"/>
    <w:rsid w:val="00503318"/>
    <w:rsid w:val="00503355"/>
    <w:rsid w:val="0050351F"/>
    <w:rsid w:val="0050353A"/>
    <w:rsid w:val="0050360C"/>
    <w:rsid w:val="0050378B"/>
    <w:rsid w:val="00503A14"/>
    <w:rsid w:val="00503A2D"/>
    <w:rsid w:val="00503AC8"/>
    <w:rsid w:val="00503F3E"/>
    <w:rsid w:val="00504010"/>
    <w:rsid w:val="005040B9"/>
    <w:rsid w:val="005041E7"/>
    <w:rsid w:val="005041F7"/>
    <w:rsid w:val="005042B0"/>
    <w:rsid w:val="005042CF"/>
    <w:rsid w:val="005042D6"/>
    <w:rsid w:val="00504354"/>
    <w:rsid w:val="00504564"/>
    <w:rsid w:val="0050456F"/>
    <w:rsid w:val="00504621"/>
    <w:rsid w:val="005046A1"/>
    <w:rsid w:val="005047B4"/>
    <w:rsid w:val="0050480E"/>
    <w:rsid w:val="00504876"/>
    <w:rsid w:val="0050496C"/>
    <w:rsid w:val="00504978"/>
    <w:rsid w:val="005049D9"/>
    <w:rsid w:val="00504A5C"/>
    <w:rsid w:val="00504D25"/>
    <w:rsid w:val="00504FB8"/>
    <w:rsid w:val="00505002"/>
    <w:rsid w:val="0050546F"/>
    <w:rsid w:val="00505683"/>
    <w:rsid w:val="005056A5"/>
    <w:rsid w:val="0050579E"/>
    <w:rsid w:val="0050582E"/>
    <w:rsid w:val="005058FA"/>
    <w:rsid w:val="00505915"/>
    <w:rsid w:val="005059EC"/>
    <w:rsid w:val="00505A2E"/>
    <w:rsid w:val="00505B00"/>
    <w:rsid w:val="00505BC6"/>
    <w:rsid w:val="00505C00"/>
    <w:rsid w:val="00505C18"/>
    <w:rsid w:val="00505C81"/>
    <w:rsid w:val="00505C8C"/>
    <w:rsid w:val="00505CEC"/>
    <w:rsid w:val="00505D41"/>
    <w:rsid w:val="00505D47"/>
    <w:rsid w:val="00505D88"/>
    <w:rsid w:val="00505D9F"/>
    <w:rsid w:val="00505F59"/>
    <w:rsid w:val="00505F8F"/>
    <w:rsid w:val="00505FB9"/>
    <w:rsid w:val="00506077"/>
    <w:rsid w:val="00506110"/>
    <w:rsid w:val="00506160"/>
    <w:rsid w:val="00506170"/>
    <w:rsid w:val="005061E2"/>
    <w:rsid w:val="005061EC"/>
    <w:rsid w:val="00506208"/>
    <w:rsid w:val="0050625D"/>
    <w:rsid w:val="005063D8"/>
    <w:rsid w:val="005063DC"/>
    <w:rsid w:val="005063F1"/>
    <w:rsid w:val="005064E8"/>
    <w:rsid w:val="0050662B"/>
    <w:rsid w:val="005066B8"/>
    <w:rsid w:val="005066CE"/>
    <w:rsid w:val="00506809"/>
    <w:rsid w:val="00506875"/>
    <w:rsid w:val="005068A6"/>
    <w:rsid w:val="005068AA"/>
    <w:rsid w:val="005068EB"/>
    <w:rsid w:val="00506A30"/>
    <w:rsid w:val="00506B4A"/>
    <w:rsid w:val="00506C0B"/>
    <w:rsid w:val="00506DA4"/>
    <w:rsid w:val="00506DC4"/>
    <w:rsid w:val="00506DDD"/>
    <w:rsid w:val="00506DF8"/>
    <w:rsid w:val="00506E05"/>
    <w:rsid w:val="00506E45"/>
    <w:rsid w:val="00506EF6"/>
    <w:rsid w:val="0050717E"/>
    <w:rsid w:val="00507240"/>
    <w:rsid w:val="0050729C"/>
    <w:rsid w:val="00507379"/>
    <w:rsid w:val="005074DD"/>
    <w:rsid w:val="00507526"/>
    <w:rsid w:val="00507564"/>
    <w:rsid w:val="0050756C"/>
    <w:rsid w:val="00507712"/>
    <w:rsid w:val="00507735"/>
    <w:rsid w:val="0050774F"/>
    <w:rsid w:val="005077BC"/>
    <w:rsid w:val="005077F2"/>
    <w:rsid w:val="00507838"/>
    <w:rsid w:val="005078B5"/>
    <w:rsid w:val="00507C1A"/>
    <w:rsid w:val="00507D4E"/>
    <w:rsid w:val="00507E02"/>
    <w:rsid w:val="00507E3C"/>
    <w:rsid w:val="00507E3D"/>
    <w:rsid w:val="00507F86"/>
    <w:rsid w:val="005102A9"/>
    <w:rsid w:val="005105E5"/>
    <w:rsid w:val="00510661"/>
    <w:rsid w:val="005106D4"/>
    <w:rsid w:val="00510822"/>
    <w:rsid w:val="00510960"/>
    <w:rsid w:val="00510C7F"/>
    <w:rsid w:val="00510CDF"/>
    <w:rsid w:val="00510D0B"/>
    <w:rsid w:val="00510DF4"/>
    <w:rsid w:val="00511121"/>
    <w:rsid w:val="00511149"/>
    <w:rsid w:val="005111C9"/>
    <w:rsid w:val="005111F5"/>
    <w:rsid w:val="00511325"/>
    <w:rsid w:val="0051150A"/>
    <w:rsid w:val="005115F6"/>
    <w:rsid w:val="0051193C"/>
    <w:rsid w:val="005119F9"/>
    <w:rsid w:val="00511A5B"/>
    <w:rsid w:val="00511B3E"/>
    <w:rsid w:val="00512012"/>
    <w:rsid w:val="0051206B"/>
    <w:rsid w:val="005121C6"/>
    <w:rsid w:val="0051238D"/>
    <w:rsid w:val="005123B3"/>
    <w:rsid w:val="0051245B"/>
    <w:rsid w:val="00512A65"/>
    <w:rsid w:val="00512AF0"/>
    <w:rsid w:val="00512C87"/>
    <w:rsid w:val="00512CD0"/>
    <w:rsid w:val="00512D28"/>
    <w:rsid w:val="00512E4B"/>
    <w:rsid w:val="00513139"/>
    <w:rsid w:val="0051347F"/>
    <w:rsid w:val="0051375A"/>
    <w:rsid w:val="0051388B"/>
    <w:rsid w:val="005138DD"/>
    <w:rsid w:val="00513909"/>
    <w:rsid w:val="0051397C"/>
    <w:rsid w:val="005139E2"/>
    <w:rsid w:val="00513BCA"/>
    <w:rsid w:val="00513E1F"/>
    <w:rsid w:val="00513FC8"/>
    <w:rsid w:val="00513FE1"/>
    <w:rsid w:val="00514197"/>
    <w:rsid w:val="00514488"/>
    <w:rsid w:val="005145AD"/>
    <w:rsid w:val="005145F3"/>
    <w:rsid w:val="00514703"/>
    <w:rsid w:val="00514799"/>
    <w:rsid w:val="00514857"/>
    <w:rsid w:val="00514ACC"/>
    <w:rsid w:val="00514BF4"/>
    <w:rsid w:val="00514CD8"/>
    <w:rsid w:val="00514E95"/>
    <w:rsid w:val="005153A9"/>
    <w:rsid w:val="005154A3"/>
    <w:rsid w:val="0051573B"/>
    <w:rsid w:val="00515856"/>
    <w:rsid w:val="005159E8"/>
    <w:rsid w:val="00515A03"/>
    <w:rsid w:val="00515A43"/>
    <w:rsid w:val="00515B27"/>
    <w:rsid w:val="00515C05"/>
    <w:rsid w:val="00515C0E"/>
    <w:rsid w:val="00515C34"/>
    <w:rsid w:val="00515CC5"/>
    <w:rsid w:val="00515CDE"/>
    <w:rsid w:val="00515CEB"/>
    <w:rsid w:val="00515E90"/>
    <w:rsid w:val="005160D5"/>
    <w:rsid w:val="005160F7"/>
    <w:rsid w:val="0051620F"/>
    <w:rsid w:val="005163D3"/>
    <w:rsid w:val="005164BD"/>
    <w:rsid w:val="0051656E"/>
    <w:rsid w:val="0051657B"/>
    <w:rsid w:val="00516686"/>
    <w:rsid w:val="00516716"/>
    <w:rsid w:val="00516795"/>
    <w:rsid w:val="0051679A"/>
    <w:rsid w:val="005168EB"/>
    <w:rsid w:val="00516B0C"/>
    <w:rsid w:val="00516B1D"/>
    <w:rsid w:val="00516B31"/>
    <w:rsid w:val="00516C3D"/>
    <w:rsid w:val="00516CDE"/>
    <w:rsid w:val="00516D00"/>
    <w:rsid w:val="00516F64"/>
    <w:rsid w:val="00516F8C"/>
    <w:rsid w:val="00516F9D"/>
    <w:rsid w:val="0051703A"/>
    <w:rsid w:val="005170B7"/>
    <w:rsid w:val="005171DF"/>
    <w:rsid w:val="005172BD"/>
    <w:rsid w:val="005172DF"/>
    <w:rsid w:val="005172E5"/>
    <w:rsid w:val="00517366"/>
    <w:rsid w:val="00517418"/>
    <w:rsid w:val="0051745B"/>
    <w:rsid w:val="0051746A"/>
    <w:rsid w:val="00517958"/>
    <w:rsid w:val="00517979"/>
    <w:rsid w:val="00517A61"/>
    <w:rsid w:val="00517B22"/>
    <w:rsid w:val="00517C6B"/>
    <w:rsid w:val="00517DD0"/>
    <w:rsid w:val="005190E9"/>
    <w:rsid w:val="0052022E"/>
    <w:rsid w:val="00520265"/>
    <w:rsid w:val="00520325"/>
    <w:rsid w:val="005203ED"/>
    <w:rsid w:val="005203F0"/>
    <w:rsid w:val="005203F5"/>
    <w:rsid w:val="00520468"/>
    <w:rsid w:val="005206FC"/>
    <w:rsid w:val="0052080F"/>
    <w:rsid w:val="00520AB3"/>
    <w:rsid w:val="00520B3C"/>
    <w:rsid w:val="00520BC5"/>
    <w:rsid w:val="00520C30"/>
    <w:rsid w:val="00520C6B"/>
    <w:rsid w:val="00520DE5"/>
    <w:rsid w:val="00520F48"/>
    <w:rsid w:val="00520F69"/>
    <w:rsid w:val="00520F87"/>
    <w:rsid w:val="0052111D"/>
    <w:rsid w:val="005211CB"/>
    <w:rsid w:val="005211DC"/>
    <w:rsid w:val="005212B2"/>
    <w:rsid w:val="00521388"/>
    <w:rsid w:val="0052145B"/>
    <w:rsid w:val="005214B8"/>
    <w:rsid w:val="00521501"/>
    <w:rsid w:val="00521533"/>
    <w:rsid w:val="00521562"/>
    <w:rsid w:val="005216A1"/>
    <w:rsid w:val="005216C7"/>
    <w:rsid w:val="00521848"/>
    <w:rsid w:val="00521910"/>
    <w:rsid w:val="0052193F"/>
    <w:rsid w:val="00521959"/>
    <w:rsid w:val="00521967"/>
    <w:rsid w:val="00521A32"/>
    <w:rsid w:val="00521B42"/>
    <w:rsid w:val="00521CF7"/>
    <w:rsid w:val="00521E99"/>
    <w:rsid w:val="00521FAC"/>
    <w:rsid w:val="0052200F"/>
    <w:rsid w:val="0052219E"/>
    <w:rsid w:val="005221EC"/>
    <w:rsid w:val="00522251"/>
    <w:rsid w:val="005222EA"/>
    <w:rsid w:val="00522346"/>
    <w:rsid w:val="00522382"/>
    <w:rsid w:val="00522392"/>
    <w:rsid w:val="005224FB"/>
    <w:rsid w:val="00522513"/>
    <w:rsid w:val="00522536"/>
    <w:rsid w:val="005228F2"/>
    <w:rsid w:val="005229D2"/>
    <w:rsid w:val="00522A34"/>
    <w:rsid w:val="00522BFB"/>
    <w:rsid w:val="00522C10"/>
    <w:rsid w:val="00522C6E"/>
    <w:rsid w:val="00522D25"/>
    <w:rsid w:val="00522D45"/>
    <w:rsid w:val="00522E88"/>
    <w:rsid w:val="00522F73"/>
    <w:rsid w:val="005233DF"/>
    <w:rsid w:val="00523407"/>
    <w:rsid w:val="005235A9"/>
    <w:rsid w:val="0052377C"/>
    <w:rsid w:val="005237CC"/>
    <w:rsid w:val="005238C9"/>
    <w:rsid w:val="00523959"/>
    <w:rsid w:val="005239A1"/>
    <w:rsid w:val="00523A8F"/>
    <w:rsid w:val="00523EE1"/>
    <w:rsid w:val="00523F13"/>
    <w:rsid w:val="00523FC6"/>
    <w:rsid w:val="0052419A"/>
    <w:rsid w:val="005241FA"/>
    <w:rsid w:val="0052424C"/>
    <w:rsid w:val="0052429F"/>
    <w:rsid w:val="005242F6"/>
    <w:rsid w:val="00524360"/>
    <w:rsid w:val="005243C6"/>
    <w:rsid w:val="005244C0"/>
    <w:rsid w:val="005245BE"/>
    <w:rsid w:val="005245C8"/>
    <w:rsid w:val="005246AB"/>
    <w:rsid w:val="0052476A"/>
    <w:rsid w:val="0052478B"/>
    <w:rsid w:val="00524849"/>
    <w:rsid w:val="00524851"/>
    <w:rsid w:val="0052496B"/>
    <w:rsid w:val="005249E6"/>
    <w:rsid w:val="005251A9"/>
    <w:rsid w:val="005252D6"/>
    <w:rsid w:val="00525621"/>
    <w:rsid w:val="00525885"/>
    <w:rsid w:val="005259F9"/>
    <w:rsid w:val="00525A21"/>
    <w:rsid w:val="00525C03"/>
    <w:rsid w:val="00525DC6"/>
    <w:rsid w:val="00525DF4"/>
    <w:rsid w:val="00525E30"/>
    <w:rsid w:val="00525ED1"/>
    <w:rsid w:val="00525ED4"/>
    <w:rsid w:val="00526138"/>
    <w:rsid w:val="005261A3"/>
    <w:rsid w:val="00526317"/>
    <w:rsid w:val="0052635F"/>
    <w:rsid w:val="00526460"/>
    <w:rsid w:val="00526550"/>
    <w:rsid w:val="005265BB"/>
    <w:rsid w:val="0052692A"/>
    <w:rsid w:val="00526978"/>
    <w:rsid w:val="005269CD"/>
    <w:rsid w:val="00526A88"/>
    <w:rsid w:val="00526B32"/>
    <w:rsid w:val="00526B5F"/>
    <w:rsid w:val="00526BFA"/>
    <w:rsid w:val="00526C4E"/>
    <w:rsid w:val="00526E21"/>
    <w:rsid w:val="00527163"/>
    <w:rsid w:val="005271A5"/>
    <w:rsid w:val="005271D6"/>
    <w:rsid w:val="00527239"/>
    <w:rsid w:val="00527681"/>
    <w:rsid w:val="005276CE"/>
    <w:rsid w:val="0052772C"/>
    <w:rsid w:val="00527767"/>
    <w:rsid w:val="00527779"/>
    <w:rsid w:val="00527C05"/>
    <w:rsid w:val="00527C10"/>
    <w:rsid w:val="00527C72"/>
    <w:rsid w:val="00527CDE"/>
    <w:rsid w:val="00527DDF"/>
    <w:rsid w:val="00527E03"/>
    <w:rsid w:val="00527E60"/>
    <w:rsid w:val="00527EE4"/>
    <w:rsid w:val="00527F1F"/>
    <w:rsid w:val="00527F72"/>
    <w:rsid w:val="00527F7D"/>
    <w:rsid w:val="005301CC"/>
    <w:rsid w:val="0053023B"/>
    <w:rsid w:val="0053050C"/>
    <w:rsid w:val="00530634"/>
    <w:rsid w:val="005306DD"/>
    <w:rsid w:val="005307B6"/>
    <w:rsid w:val="00530B99"/>
    <w:rsid w:val="00530C08"/>
    <w:rsid w:val="00530CAC"/>
    <w:rsid w:val="00530CBF"/>
    <w:rsid w:val="00530CDA"/>
    <w:rsid w:val="00530D94"/>
    <w:rsid w:val="005310F4"/>
    <w:rsid w:val="005312A3"/>
    <w:rsid w:val="005314B8"/>
    <w:rsid w:val="00531645"/>
    <w:rsid w:val="00531791"/>
    <w:rsid w:val="005318ED"/>
    <w:rsid w:val="005319CA"/>
    <w:rsid w:val="00531E1B"/>
    <w:rsid w:val="00531E6F"/>
    <w:rsid w:val="00531F66"/>
    <w:rsid w:val="00532224"/>
    <w:rsid w:val="00532228"/>
    <w:rsid w:val="005323CC"/>
    <w:rsid w:val="005326FC"/>
    <w:rsid w:val="0053271F"/>
    <w:rsid w:val="00532825"/>
    <w:rsid w:val="00532A4F"/>
    <w:rsid w:val="00532AE4"/>
    <w:rsid w:val="00532B1A"/>
    <w:rsid w:val="00532BB3"/>
    <w:rsid w:val="0053302D"/>
    <w:rsid w:val="00533085"/>
    <w:rsid w:val="005332BC"/>
    <w:rsid w:val="005332DD"/>
    <w:rsid w:val="005333B6"/>
    <w:rsid w:val="005334DF"/>
    <w:rsid w:val="00533518"/>
    <w:rsid w:val="0053351E"/>
    <w:rsid w:val="0053354D"/>
    <w:rsid w:val="00533606"/>
    <w:rsid w:val="0053360D"/>
    <w:rsid w:val="005337D0"/>
    <w:rsid w:val="00533859"/>
    <w:rsid w:val="0053387A"/>
    <w:rsid w:val="00533AF1"/>
    <w:rsid w:val="00533C29"/>
    <w:rsid w:val="00533D4B"/>
    <w:rsid w:val="00533DA5"/>
    <w:rsid w:val="00533EBB"/>
    <w:rsid w:val="00533F50"/>
    <w:rsid w:val="0053418A"/>
    <w:rsid w:val="0053424D"/>
    <w:rsid w:val="00534399"/>
    <w:rsid w:val="005344BE"/>
    <w:rsid w:val="005345BB"/>
    <w:rsid w:val="00534699"/>
    <w:rsid w:val="005346A7"/>
    <w:rsid w:val="005348CF"/>
    <w:rsid w:val="00534941"/>
    <w:rsid w:val="00534958"/>
    <w:rsid w:val="00534A54"/>
    <w:rsid w:val="00534B7A"/>
    <w:rsid w:val="00534C62"/>
    <w:rsid w:val="00534E7D"/>
    <w:rsid w:val="00535091"/>
    <w:rsid w:val="005350AA"/>
    <w:rsid w:val="0053511A"/>
    <w:rsid w:val="005352CE"/>
    <w:rsid w:val="0053535D"/>
    <w:rsid w:val="005353B8"/>
    <w:rsid w:val="005353FB"/>
    <w:rsid w:val="00535643"/>
    <w:rsid w:val="005357AA"/>
    <w:rsid w:val="00535915"/>
    <w:rsid w:val="005359C2"/>
    <w:rsid w:val="00535B6F"/>
    <w:rsid w:val="00535B8B"/>
    <w:rsid w:val="00535C33"/>
    <w:rsid w:val="00535CD2"/>
    <w:rsid w:val="00535E1C"/>
    <w:rsid w:val="0053645B"/>
    <w:rsid w:val="005365FF"/>
    <w:rsid w:val="00536724"/>
    <w:rsid w:val="0053676B"/>
    <w:rsid w:val="00536797"/>
    <w:rsid w:val="00536806"/>
    <w:rsid w:val="005369C9"/>
    <w:rsid w:val="00536AD6"/>
    <w:rsid w:val="00536DFF"/>
    <w:rsid w:val="00536E0F"/>
    <w:rsid w:val="00536EF1"/>
    <w:rsid w:val="0053703D"/>
    <w:rsid w:val="00537062"/>
    <w:rsid w:val="00537063"/>
    <w:rsid w:val="0053722F"/>
    <w:rsid w:val="005372D1"/>
    <w:rsid w:val="00537326"/>
    <w:rsid w:val="00537633"/>
    <w:rsid w:val="0053764D"/>
    <w:rsid w:val="005376EA"/>
    <w:rsid w:val="00537952"/>
    <w:rsid w:val="00537B04"/>
    <w:rsid w:val="00537C78"/>
    <w:rsid w:val="00540146"/>
    <w:rsid w:val="005402F2"/>
    <w:rsid w:val="005403C0"/>
    <w:rsid w:val="00540530"/>
    <w:rsid w:val="005405EF"/>
    <w:rsid w:val="0054064F"/>
    <w:rsid w:val="0054065E"/>
    <w:rsid w:val="00540886"/>
    <w:rsid w:val="00540A79"/>
    <w:rsid w:val="00540B09"/>
    <w:rsid w:val="00540B1D"/>
    <w:rsid w:val="00540C1A"/>
    <w:rsid w:val="00540CAE"/>
    <w:rsid w:val="00540D05"/>
    <w:rsid w:val="00540DDA"/>
    <w:rsid w:val="00540E61"/>
    <w:rsid w:val="00540E69"/>
    <w:rsid w:val="00540F77"/>
    <w:rsid w:val="00541147"/>
    <w:rsid w:val="0054125A"/>
    <w:rsid w:val="00541463"/>
    <w:rsid w:val="00541542"/>
    <w:rsid w:val="005416F0"/>
    <w:rsid w:val="0054178C"/>
    <w:rsid w:val="005419ED"/>
    <w:rsid w:val="00541A2D"/>
    <w:rsid w:val="00541CD8"/>
    <w:rsid w:val="00541DB7"/>
    <w:rsid w:val="00541EE4"/>
    <w:rsid w:val="00542266"/>
    <w:rsid w:val="005424A2"/>
    <w:rsid w:val="005424CA"/>
    <w:rsid w:val="0054253A"/>
    <w:rsid w:val="00542552"/>
    <w:rsid w:val="00542619"/>
    <w:rsid w:val="005426DD"/>
    <w:rsid w:val="00542827"/>
    <w:rsid w:val="00542881"/>
    <w:rsid w:val="005428C5"/>
    <w:rsid w:val="0054292F"/>
    <w:rsid w:val="00542B1C"/>
    <w:rsid w:val="00542BBB"/>
    <w:rsid w:val="00542BEC"/>
    <w:rsid w:val="00542C20"/>
    <w:rsid w:val="00542C82"/>
    <w:rsid w:val="00542E8C"/>
    <w:rsid w:val="00543024"/>
    <w:rsid w:val="005430A0"/>
    <w:rsid w:val="00543800"/>
    <w:rsid w:val="00543929"/>
    <w:rsid w:val="00543A6C"/>
    <w:rsid w:val="00543AA6"/>
    <w:rsid w:val="00543B76"/>
    <w:rsid w:val="00543DA9"/>
    <w:rsid w:val="00543F11"/>
    <w:rsid w:val="00543F23"/>
    <w:rsid w:val="00543F5E"/>
    <w:rsid w:val="00544310"/>
    <w:rsid w:val="00544356"/>
    <w:rsid w:val="00544569"/>
    <w:rsid w:val="0054475A"/>
    <w:rsid w:val="005447F7"/>
    <w:rsid w:val="005448B2"/>
    <w:rsid w:val="005448B9"/>
    <w:rsid w:val="00544930"/>
    <w:rsid w:val="005449F4"/>
    <w:rsid w:val="00544B73"/>
    <w:rsid w:val="00544C60"/>
    <w:rsid w:val="00544E00"/>
    <w:rsid w:val="00544EEB"/>
    <w:rsid w:val="00544F2F"/>
    <w:rsid w:val="00544F8A"/>
    <w:rsid w:val="0054502B"/>
    <w:rsid w:val="00545131"/>
    <w:rsid w:val="00545290"/>
    <w:rsid w:val="0054534E"/>
    <w:rsid w:val="00545388"/>
    <w:rsid w:val="00545423"/>
    <w:rsid w:val="0054543A"/>
    <w:rsid w:val="0054544E"/>
    <w:rsid w:val="005454AB"/>
    <w:rsid w:val="00545661"/>
    <w:rsid w:val="00545738"/>
    <w:rsid w:val="0054575B"/>
    <w:rsid w:val="00545831"/>
    <w:rsid w:val="00545850"/>
    <w:rsid w:val="005458E6"/>
    <w:rsid w:val="00545C0C"/>
    <w:rsid w:val="00545C64"/>
    <w:rsid w:val="00545CB1"/>
    <w:rsid w:val="00545D8C"/>
    <w:rsid w:val="00545D99"/>
    <w:rsid w:val="00545DB7"/>
    <w:rsid w:val="00545E47"/>
    <w:rsid w:val="00545F6A"/>
    <w:rsid w:val="00545FFE"/>
    <w:rsid w:val="0054606D"/>
    <w:rsid w:val="00546097"/>
    <w:rsid w:val="005462E8"/>
    <w:rsid w:val="00546407"/>
    <w:rsid w:val="005465C3"/>
    <w:rsid w:val="005465D4"/>
    <w:rsid w:val="00546624"/>
    <w:rsid w:val="005467A5"/>
    <w:rsid w:val="005467A7"/>
    <w:rsid w:val="0054683F"/>
    <w:rsid w:val="005469DB"/>
    <w:rsid w:val="00546B6C"/>
    <w:rsid w:val="00546C60"/>
    <w:rsid w:val="00546D29"/>
    <w:rsid w:val="00546DDC"/>
    <w:rsid w:val="00546F5F"/>
    <w:rsid w:val="00546F63"/>
    <w:rsid w:val="00546F73"/>
    <w:rsid w:val="00547050"/>
    <w:rsid w:val="0054709F"/>
    <w:rsid w:val="00547183"/>
    <w:rsid w:val="005471A2"/>
    <w:rsid w:val="005471DE"/>
    <w:rsid w:val="0054748A"/>
    <w:rsid w:val="0054754F"/>
    <w:rsid w:val="00547589"/>
    <w:rsid w:val="005475A0"/>
    <w:rsid w:val="005475AA"/>
    <w:rsid w:val="005475B3"/>
    <w:rsid w:val="0054761F"/>
    <w:rsid w:val="00547844"/>
    <w:rsid w:val="0054790C"/>
    <w:rsid w:val="00547AE6"/>
    <w:rsid w:val="00547AF3"/>
    <w:rsid w:val="00547B7C"/>
    <w:rsid w:val="00547C0F"/>
    <w:rsid w:val="00547CE0"/>
    <w:rsid w:val="00547D5A"/>
    <w:rsid w:val="00547DBA"/>
    <w:rsid w:val="005502FE"/>
    <w:rsid w:val="00550358"/>
    <w:rsid w:val="005503FD"/>
    <w:rsid w:val="00550420"/>
    <w:rsid w:val="00550538"/>
    <w:rsid w:val="0055074D"/>
    <w:rsid w:val="0055078C"/>
    <w:rsid w:val="00550880"/>
    <w:rsid w:val="005509DB"/>
    <w:rsid w:val="00550AC1"/>
    <w:rsid w:val="00550B59"/>
    <w:rsid w:val="00550BE8"/>
    <w:rsid w:val="00550D02"/>
    <w:rsid w:val="00550E52"/>
    <w:rsid w:val="00550F56"/>
    <w:rsid w:val="00551091"/>
    <w:rsid w:val="0055121C"/>
    <w:rsid w:val="005512C9"/>
    <w:rsid w:val="005514AD"/>
    <w:rsid w:val="005514CF"/>
    <w:rsid w:val="005514EF"/>
    <w:rsid w:val="0055193E"/>
    <w:rsid w:val="005519D6"/>
    <w:rsid w:val="00551B30"/>
    <w:rsid w:val="00551B9F"/>
    <w:rsid w:val="00551D5B"/>
    <w:rsid w:val="00551DB7"/>
    <w:rsid w:val="00551DBE"/>
    <w:rsid w:val="00551FC4"/>
    <w:rsid w:val="0055211F"/>
    <w:rsid w:val="0055233B"/>
    <w:rsid w:val="0055245D"/>
    <w:rsid w:val="005525FA"/>
    <w:rsid w:val="005526D6"/>
    <w:rsid w:val="0055279B"/>
    <w:rsid w:val="0055290A"/>
    <w:rsid w:val="00552B7E"/>
    <w:rsid w:val="00552C50"/>
    <w:rsid w:val="00552CC2"/>
    <w:rsid w:val="00552DCA"/>
    <w:rsid w:val="00552E86"/>
    <w:rsid w:val="00552F4F"/>
    <w:rsid w:val="00553097"/>
    <w:rsid w:val="0055370D"/>
    <w:rsid w:val="0055385A"/>
    <w:rsid w:val="005538A1"/>
    <w:rsid w:val="00553CDB"/>
    <w:rsid w:val="00553DB0"/>
    <w:rsid w:val="00554169"/>
    <w:rsid w:val="005541D8"/>
    <w:rsid w:val="005541E6"/>
    <w:rsid w:val="005541F9"/>
    <w:rsid w:val="005542F9"/>
    <w:rsid w:val="0055437F"/>
    <w:rsid w:val="00554393"/>
    <w:rsid w:val="005543C4"/>
    <w:rsid w:val="005543DC"/>
    <w:rsid w:val="00554702"/>
    <w:rsid w:val="00554723"/>
    <w:rsid w:val="00554880"/>
    <w:rsid w:val="005548C9"/>
    <w:rsid w:val="005548F0"/>
    <w:rsid w:val="005549BD"/>
    <w:rsid w:val="005549E5"/>
    <w:rsid w:val="00554C3C"/>
    <w:rsid w:val="00554DA2"/>
    <w:rsid w:val="00554DB0"/>
    <w:rsid w:val="00554FEA"/>
    <w:rsid w:val="00554FF1"/>
    <w:rsid w:val="0055515C"/>
    <w:rsid w:val="005551E0"/>
    <w:rsid w:val="00555237"/>
    <w:rsid w:val="0055531D"/>
    <w:rsid w:val="005554C8"/>
    <w:rsid w:val="00555720"/>
    <w:rsid w:val="00555923"/>
    <w:rsid w:val="00555A89"/>
    <w:rsid w:val="00555BF5"/>
    <w:rsid w:val="00555CDE"/>
    <w:rsid w:val="00555F62"/>
    <w:rsid w:val="00555FD8"/>
    <w:rsid w:val="00556026"/>
    <w:rsid w:val="00556169"/>
    <w:rsid w:val="005561E7"/>
    <w:rsid w:val="00556252"/>
    <w:rsid w:val="005562E5"/>
    <w:rsid w:val="005563E4"/>
    <w:rsid w:val="005564CD"/>
    <w:rsid w:val="005566AF"/>
    <w:rsid w:val="005566EF"/>
    <w:rsid w:val="0055676D"/>
    <w:rsid w:val="00556876"/>
    <w:rsid w:val="00557076"/>
    <w:rsid w:val="005570A3"/>
    <w:rsid w:val="005570CC"/>
    <w:rsid w:val="00557105"/>
    <w:rsid w:val="005571E1"/>
    <w:rsid w:val="005571EC"/>
    <w:rsid w:val="00557220"/>
    <w:rsid w:val="0055737D"/>
    <w:rsid w:val="005574A5"/>
    <w:rsid w:val="005575AE"/>
    <w:rsid w:val="00557648"/>
    <w:rsid w:val="00557649"/>
    <w:rsid w:val="00557723"/>
    <w:rsid w:val="0055791C"/>
    <w:rsid w:val="00557A30"/>
    <w:rsid w:val="00557A53"/>
    <w:rsid w:val="00557C5E"/>
    <w:rsid w:val="00557DFB"/>
    <w:rsid w:val="00557F2E"/>
    <w:rsid w:val="0056026C"/>
    <w:rsid w:val="00560325"/>
    <w:rsid w:val="005604E2"/>
    <w:rsid w:val="00560551"/>
    <w:rsid w:val="00560555"/>
    <w:rsid w:val="0056064D"/>
    <w:rsid w:val="005606F1"/>
    <w:rsid w:val="005607B8"/>
    <w:rsid w:val="00560854"/>
    <w:rsid w:val="005608CF"/>
    <w:rsid w:val="00560A74"/>
    <w:rsid w:val="00560A7C"/>
    <w:rsid w:val="00560A91"/>
    <w:rsid w:val="00560ACF"/>
    <w:rsid w:val="00560AE1"/>
    <w:rsid w:val="00560B6F"/>
    <w:rsid w:val="00560DA0"/>
    <w:rsid w:val="00560DE3"/>
    <w:rsid w:val="00560F55"/>
    <w:rsid w:val="00560FA6"/>
    <w:rsid w:val="00561063"/>
    <w:rsid w:val="005610A3"/>
    <w:rsid w:val="005610B1"/>
    <w:rsid w:val="005610BC"/>
    <w:rsid w:val="00561113"/>
    <w:rsid w:val="00561204"/>
    <w:rsid w:val="00561620"/>
    <w:rsid w:val="0056164A"/>
    <w:rsid w:val="005617BA"/>
    <w:rsid w:val="00561890"/>
    <w:rsid w:val="00561986"/>
    <w:rsid w:val="00561991"/>
    <w:rsid w:val="00561A4E"/>
    <w:rsid w:val="00561D2C"/>
    <w:rsid w:val="00561D3F"/>
    <w:rsid w:val="00561D97"/>
    <w:rsid w:val="00562129"/>
    <w:rsid w:val="00562142"/>
    <w:rsid w:val="005621F8"/>
    <w:rsid w:val="00562255"/>
    <w:rsid w:val="00562361"/>
    <w:rsid w:val="0056240A"/>
    <w:rsid w:val="005626D1"/>
    <w:rsid w:val="005627C1"/>
    <w:rsid w:val="0056281D"/>
    <w:rsid w:val="005628F5"/>
    <w:rsid w:val="00562A63"/>
    <w:rsid w:val="00562A7A"/>
    <w:rsid w:val="00562B06"/>
    <w:rsid w:val="00562D12"/>
    <w:rsid w:val="00562D2F"/>
    <w:rsid w:val="00562D70"/>
    <w:rsid w:val="00562D8E"/>
    <w:rsid w:val="00562EBA"/>
    <w:rsid w:val="00562F51"/>
    <w:rsid w:val="00563029"/>
    <w:rsid w:val="00563050"/>
    <w:rsid w:val="00563127"/>
    <w:rsid w:val="00563290"/>
    <w:rsid w:val="005632C4"/>
    <w:rsid w:val="005633D9"/>
    <w:rsid w:val="005633F4"/>
    <w:rsid w:val="005634EC"/>
    <w:rsid w:val="00563594"/>
    <w:rsid w:val="005635F7"/>
    <w:rsid w:val="0056366E"/>
    <w:rsid w:val="005636C2"/>
    <w:rsid w:val="005637F4"/>
    <w:rsid w:val="0056396F"/>
    <w:rsid w:val="00563B1A"/>
    <w:rsid w:val="00563BB6"/>
    <w:rsid w:val="00563C5D"/>
    <w:rsid w:val="00563D52"/>
    <w:rsid w:val="00563DE4"/>
    <w:rsid w:val="00563FB8"/>
    <w:rsid w:val="0056401F"/>
    <w:rsid w:val="005640EE"/>
    <w:rsid w:val="00564296"/>
    <w:rsid w:val="00564303"/>
    <w:rsid w:val="00564310"/>
    <w:rsid w:val="0056435E"/>
    <w:rsid w:val="005643B4"/>
    <w:rsid w:val="005645F1"/>
    <w:rsid w:val="005647CE"/>
    <w:rsid w:val="0056486F"/>
    <w:rsid w:val="005648D6"/>
    <w:rsid w:val="005649AF"/>
    <w:rsid w:val="005649C6"/>
    <w:rsid w:val="00564A50"/>
    <w:rsid w:val="00564B1A"/>
    <w:rsid w:val="00564C0C"/>
    <w:rsid w:val="00564E4E"/>
    <w:rsid w:val="00564ED8"/>
    <w:rsid w:val="00564F0E"/>
    <w:rsid w:val="00564FB8"/>
    <w:rsid w:val="00565229"/>
    <w:rsid w:val="00565278"/>
    <w:rsid w:val="005652E0"/>
    <w:rsid w:val="005653C4"/>
    <w:rsid w:val="005654A9"/>
    <w:rsid w:val="0056550A"/>
    <w:rsid w:val="0056552B"/>
    <w:rsid w:val="00565614"/>
    <w:rsid w:val="0056573C"/>
    <w:rsid w:val="0056589D"/>
    <w:rsid w:val="0056592A"/>
    <w:rsid w:val="00565AF5"/>
    <w:rsid w:val="00565BA9"/>
    <w:rsid w:val="00565CBE"/>
    <w:rsid w:val="00565D28"/>
    <w:rsid w:val="00565D2A"/>
    <w:rsid w:val="00565D34"/>
    <w:rsid w:val="00565D43"/>
    <w:rsid w:val="00565E24"/>
    <w:rsid w:val="00565ED1"/>
    <w:rsid w:val="00565F18"/>
    <w:rsid w:val="00565F73"/>
    <w:rsid w:val="00565FAB"/>
    <w:rsid w:val="00566469"/>
    <w:rsid w:val="0056653F"/>
    <w:rsid w:val="0056664D"/>
    <w:rsid w:val="00566739"/>
    <w:rsid w:val="00566775"/>
    <w:rsid w:val="005667AF"/>
    <w:rsid w:val="00566A40"/>
    <w:rsid w:val="00566C2E"/>
    <w:rsid w:val="00566C53"/>
    <w:rsid w:val="00566CBF"/>
    <w:rsid w:val="00566CC5"/>
    <w:rsid w:val="00566DFD"/>
    <w:rsid w:val="005671E8"/>
    <w:rsid w:val="00567291"/>
    <w:rsid w:val="00567444"/>
    <w:rsid w:val="005675B6"/>
    <w:rsid w:val="00567644"/>
    <w:rsid w:val="0056775C"/>
    <w:rsid w:val="005677AC"/>
    <w:rsid w:val="00567B7D"/>
    <w:rsid w:val="00567B8E"/>
    <w:rsid w:val="00567C6E"/>
    <w:rsid w:val="00567C76"/>
    <w:rsid w:val="00567E15"/>
    <w:rsid w:val="00570029"/>
    <w:rsid w:val="00570048"/>
    <w:rsid w:val="005701DD"/>
    <w:rsid w:val="005701E5"/>
    <w:rsid w:val="0057025A"/>
    <w:rsid w:val="0057033B"/>
    <w:rsid w:val="005703E0"/>
    <w:rsid w:val="0057049C"/>
    <w:rsid w:val="00570536"/>
    <w:rsid w:val="0057067C"/>
    <w:rsid w:val="005706DE"/>
    <w:rsid w:val="005706F3"/>
    <w:rsid w:val="005707DD"/>
    <w:rsid w:val="00570C1A"/>
    <w:rsid w:val="00570F13"/>
    <w:rsid w:val="0057110A"/>
    <w:rsid w:val="00571241"/>
    <w:rsid w:val="005713D4"/>
    <w:rsid w:val="0057144B"/>
    <w:rsid w:val="00571463"/>
    <w:rsid w:val="00571553"/>
    <w:rsid w:val="00571615"/>
    <w:rsid w:val="0057168D"/>
    <w:rsid w:val="0057190E"/>
    <w:rsid w:val="0057198B"/>
    <w:rsid w:val="005719F3"/>
    <w:rsid w:val="00571ABD"/>
    <w:rsid w:val="00571B2D"/>
    <w:rsid w:val="00571B9E"/>
    <w:rsid w:val="00571D83"/>
    <w:rsid w:val="00571D8E"/>
    <w:rsid w:val="00571FC8"/>
    <w:rsid w:val="00572065"/>
    <w:rsid w:val="0057213D"/>
    <w:rsid w:val="00572229"/>
    <w:rsid w:val="00572232"/>
    <w:rsid w:val="00572294"/>
    <w:rsid w:val="00572296"/>
    <w:rsid w:val="005723BA"/>
    <w:rsid w:val="00572411"/>
    <w:rsid w:val="00572729"/>
    <w:rsid w:val="00572849"/>
    <w:rsid w:val="005728CD"/>
    <w:rsid w:val="005728DB"/>
    <w:rsid w:val="005728F4"/>
    <w:rsid w:val="00572908"/>
    <w:rsid w:val="0057295B"/>
    <w:rsid w:val="005729D7"/>
    <w:rsid w:val="00572A50"/>
    <w:rsid w:val="00572B40"/>
    <w:rsid w:val="00572C75"/>
    <w:rsid w:val="00572C95"/>
    <w:rsid w:val="00572DCA"/>
    <w:rsid w:val="00572DDD"/>
    <w:rsid w:val="00572F09"/>
    <w:rsid w:val="00572FF9"/>
    <w:rsid w:val="0057305A"/>
    <w:rsid w:val="0057322D"/>
    <w:rsid w:val="00573326"/>
    <w:rsid w:val="0057332E"/>
    <w:rsid w:val="00573352"/>
    <w:rsid w:val="00573506"/>
    <w:rsid w:val="005735D9"/>
    <w:rsid w:val="00573704"/>
    <w:rsid w:val="00573728"/>
    <w:rsid w:val="005737AB"/>
    <w:rsid w:val="005737FB"/>
    <w:rsid w:val="00573816"/>
    <w:rsid w:val="00573830"/>
    <w:rsid w:val="005738C0"/>
    <w:rsid w:val="005738F8"/>
    <w:rsid w:val="00573AC3"/>
    <w:rsid w:val="00573B45"/>
    <w:rsid w:val="00573BEB"/>
    <w:rsid w:val="00573C78"/>
    <w:rsid w:val="00573D67"/>
    <w:rsid w:val="00573E9B"/>
    <w:rsid w:val="00573EB1"/>
    <w:rsid w:val="00573F62"/>
    <w:rsid w:val="00573FD0"/>
    <w:rsid w:val="0057415A"/>
    <w:rsid w:val="00574206"/>
    <w:rsid w:val="00574222"/>
    <w:rsid w:val="00574303"/>
    <w:rsid w:val="005744C9"/>
    <w:rsid w:val="005748AC"/>
    <w:rsid w:val="00574AB6"/>
    <w:rsid w:val="00574BB8"/>
    <w:rsid w:val="00574C61"/>
    <w:rsid w:val="00574FCE"/>
    <w:rsid w:val="00575355"/>
    <w:rsid w:val="00575425"/>
    <w:rsid w:val="005754DF"/>
    <w:rsid w:val="005754EF"/>
    <w:rsid w:val="005756E1"/>
    <w:rsid w:val="005758B8"/>
    <w:rsid w:val="00575931"/>
    <w:rsid w:val="00575972"/>
    <w:rsid w:val="00575AB5"/>
    <w:rsid w:val="00575E36"/>
    <w:rsid w:val="00576044"/>
    <w:rsid w:val="005760FA"/>
    <w:rsid w:val="0057611E"/>
    <w:rsid w:val="00576139"/>
    <w:rsid w:val="00576336"/>
    <w:rsid w:val="00576599"/>
    <w:rsid w:val="0057659C"/>
    <w:rsid w:val="005765F0"/>
    <w:rsid w:val="0057676C"/>
    <w:rsid w:val="005769C2"/>
    <w:rsid w:val="00576A38"/>
    <w:rsid w:val="00576B67"/>
    <w:rsid w:val="00576FC9"/>
    <w:rsid w:val="00577002"/>
    <w:rsid w:val="005770BA"/>
    <w:rsid w:val="0057730B"/>
    <w:rsid w:val="00577474"/>
    <w:rsid w:val="0057755F"/>
    <w:rsid w:val="0057766D"/>
    <w:rsid w:val="0057769E"/>
    <w:rsid w:val="00577712"/>
    <w:rsid w:val="0057775C"/>
    <w:rsid w:val="00577871"/>
    <w:rsid w:val="00577919"/>
    <w:rsid w:val="0057797B"/>
    <w:rsid w:val="005779DB"/>
    <w:rsid w:val="005779E2"/>
    <w:rsid w:val="00577C6A"/>
    <w:rsid w:val="00577CA9"/>
    <w:rsid w:val="00577CE3"/>
    <w:rsid w:val="00577D8A"/>
    <w:rsid w:val="00577F82"/>
    <w:rsid w:val="005804A9"/>
    <w:rsid w:val="005804E8"/>
    <w:rsid w:val="0058057F"/>
    <w:rsid w:val="0058063D"/>
    <w:rsid w:val="005806E8"/>
    <w:rsid w:val="00580853"/>
    <w:rsid w:val="005808E2"/>
    <w:rsid w:val="005808ED"/>
    <w:rsid w:val="0058091B"/>
    <w:rsid w:val="0058094C"/>
    <w:rsid w:val="00580C5E"/>
    <w:rsid w:val="00580CA1"/>
    <w:rsid w:val="00580D0F"/>
    <w:rsid w:val="005810F2"/>
    <w:rsid w:val="005810FE"/>
    <w:rsid w:val="00581271"/>
    <w:rsid w:val="005812C6"/>
    <w:rsid w:val="0058131D"/>
    <w:rsid w:val="0058132B"/>
    <w:rsid w:val="0058132C"/>
    <w:rsid w:val="00581446"/>
    <w:rsid w:val="005816EF"/>
    <w:rsid w:val="005817AB"/>
    <w:rsid w:val="0058194F"/>
    <w:rsid w:val="00581974"/>
    <w:rsid w:val="0058199D"/>
    <w:rsid w:val="00581A44"/>
    <w:rsid w:val="00581A4A"/>
    <w:rsid w:val="00581B13"/>
    <w:rsid w:val="00581D22"/>
    <w:rsid w:val="00581DA7"/>
    <w:rsid w:val="00581EE3"/>
    <w:rsid w:val="00582048"/>
    <w:rsid w:val="005820DB"/>
    <w:rsid w:val="005821C2"/>
    <w:rsid w:val="005822ED"/>
    <w:rsid w:val="00582331"/>
    <w:rsid w:val="0058235C"/>
    <w:rsid w:val="00582478"/>
    <w:rsid w:val="00582585"/>
    <w:rsid w:val="005827FE"/>
    <w:rsid w:val="005828EF"/>
    <w:rsid w:val="00582922"/>
    <w:rsid w:val="00582969"/>
    <w:rsid w:val="00582BE0"/>
    <w:rsid w:val="00582C3E"/>
    <w:rsid w:val="00582DF1"/>
    <w:rsid w:val="00582E94"/>
    <w:rsid w:val="00582F75"/>
    <w:rsid w:val="00582FAF"/>
    <w:rsid w:val="0058301C"/>
    <w:rsid w:val="00583065"/>
    <w:rsid w:val="0058312A"/>
    <w:rsid w:val="00583485"/>
    <w:rsid w:val="005834D6"/>
    <w:rsid w:val="0058351C"/>
    <w:rsid w:val="0058352F"/>
    <w:rsid w:val="00583543"/>
    <w:rsid w:val="0058360B"/>
    <w:rsid w:val="00583671"/>
    <w:rsid w:val="00583792"/>
    <w:rsid w:val="00583835"/>
    <w:rsid w:val="00583965"/>
    <w:rsid w:val="00583987"/>
    <w:rsid w:val="00583A12"/>
    <w:rsid w:val="00583A35"/>
    <w:rsid w:val="00583B23"/>
    <w:rsid w:val="00583C20"/>
    <w:rsid w:val="00583D66"/>
    <w:rsid w:val="00583D79"/>
    <w:rsid w:val="0058404F"/>
    <w:rsid w:val="0058409A"/>
    <w:rsid w:val="0058418B"/>
    <w:rsid w:val="005841AC"/>
    <w:rsid w:val="0058422E"/>
    <w:rsid w:val="00584403"/>
    <w:rsid w:val="0058448C"/>
    <w:rsid w:val="00584497"/>
    <w:rsid w:val="005845C2"/>
    <w:rsid w:val="005846FE"/>
    <w:rsid w:val="00584714"/>
    <w:rsid w:val="00584730"/>
    <w:rsid w:val="005847AC"/>
    <w:rsid w:val="005847AD"/>
    <w:rsid w:val="005847AF"/>
    <w:rsid w:val="00584823"/>
    <w:rsid w:val="00584842"/>
    <w:rsid w:val="00584AC0"/>
    <w:rsid w:val="00584B4A"/>
    <w:rsid w:val="00584B86"/>
    <w:rsid w:val="00584BCA"/>
    <w:rsid w:val="00584C7E"/>
    <w:rsid w:val="00584D38"/>
    <w:rsid w:val="00584E02"/>
    <w:rsid w:val="00584F35"/>
    <w:rsid w:val="00584F44"/>
    <w:rsid w:val="00584FBE"/>
    <w:rsid w:val="00585252"/>
    <w:rsid w:val="0058543B"/>
    <w:rsid w:val="00585576"/>
    <w:rsid w:val="00585733"/>
    <w:rsid w:val="00585734"/>
    <w:rsid w:val="0058582E"/>
    <w:rsid w:val="00585838"/>
    <w:rsid w:val="00585865"/>
    <w:rsid w:val="00585A0E"/>
    <w:rsid w:val="00585A84"/>
    <w:rsid w:val="00585CA1"/>
    <w:rsid w:val="00585D14"/>
    <w:rsid w:val="00585F03"/>
    <w:rsid w:val="005864A6"/>
    <w:rsid w:val="00586501"/>
    <w:rsid w:val="00586549"/>
    <w:rsid w:val="00586729"/>
    <w:rsid w:val="005867C8"/>
    <w:rsid w:val="00586981"/>
    <w:rsid w:val="005869B7"/>
    <w:rsid w:val="00586B61"/>
    <w:rsid w:val="00586B79"/>
    <w:rsid w:val="00586C5C"/>
    <w:rsid w:val="00586F96"/>
    <w:rsid w:val="005871E9"/>
    <w:rsid w:val="005872C2"/>
    <w:rsid w:val="00587452"/>
    <w:rsid w:val="00587548"/>
    <w:rsid w:val="0058755E"/>
    <w:rsid w:val="00587564"/>
    <w:rsid w:val="00587577"/>
    <w:rsid w:val="005875E2"/>
    <w:rsid w:val="00587A67"/>
    <w:rsid w:val="00587D89"/>
    <w:rsid w:val="00587DF1"/>
    <w:rsid w:val="00590051"/>
    <w:rsid w:val="005900D8"/>
    <w:rsid w:val="005900EB"/>
    <w:rsid w:val="00590152"/>
    <w:rsid w:val="0059021B"/>
    <w:rsid w:val="00590275"/>
    <w:rsid w:val="0059041D"/>
    <w:rsid w:val="00590456"/>
    <w:rsid w:val="00590490"/>
    <w:rsid w:val="00590625"/>
    <w:rsid w:val="00590645"/>
    <w:rsid w:val="0059074D"/>
    <w:rsid w:val="005907F9"/>
    <w:rsid w:val="0059082F"/>
    <w:rsid w:val="00590913"/>
    <w:rsid w:val="00590A6B"/>
    <w:rsid w:val="00590A76"/>
    <w:rsid w:val="00590B4E"/>
    <w:rsid w:val="00590B77"/>
    <w:rsid w:val="00590BE0"/>
    <w:rsid w:val="00590BEF"/>
    <w:rsid w:val="00590DB6"/>
    <w:rsid w:val="00591013"/>
    <w:rsid w:val="005911C1"/>
    <w:rsid w:val="005912DA"/>
    <w:rsid w:val="005914C7"/>
    <w:rsid w:val="005914CE"/>
    <w:rsid w:val="005915EC"/>
    <w:rsid w:val="00591697"/>
    <w:rsid w:val="005916B3"/>
    <w:rsid w:val="00591749"/>
    <w:rsid w:val="0059176E"/>
    <w:rsid w:val="005917A3"/>
    <w:rsid w:val="005917AB"/>
    <w:rsid w:val="005918D4"/>
    <w:rsid w:val="00591924"/>
    <w:rsid w:val="00591A5A"/>
    <w:rsid w:val="00591BC7"/>
    <w:rsid w:val="00591C60"/>
    <w:rsid w:val="00591D54"/>
    <w:rsid w:val="00591D5D"/>
    <w:rsid w:val="00591E2B"/>
    <w:rsid w:val="00591E2D"/>
    <w:rsid w:val="00591E4B"/>
    <w:rsid w:val="00591ED0"/>
    <w:rsid w:val="00591F16"/>
    <w:rsid w:val="00591FEC"/>
    <w:rsid w:val="00592011"/>
    <w:rsid w:val="00592438"/>
    <w:rsid w:val="0059249B"/>
    <w:rsid w:val="005924F6"/>
    <w:rsid w:val="0059261F"/>
    <w:rsid w:val="00592635"/>
    <w:rsid w:val="00592673"/>
    <w:rsid w:val="00592802"/>
    <w:rsid w:val="00592848"/>
    <w:rsid w:val="00592892"/>
    <w:rsid w:val="005928F1"/>
    <w:rsid w:val="00592930"/>
    <w:rsid w:val="005929A0"/>
    <w:rsid w:val="00592ABA"/>
    <w:rsid w:val="00592B84"/>
    <w:rsid w:val="00592C08"/>
    <w:rsid w:val="00592C1E"/>
    <w:rsid w:val="00592C74"/>
    <w:rsid w:val="00592D29"/>
    <w:rsid w:val="00592EB6"/>
    <w:rsid w:val="00592F49"/>
    <w:rsid w:val="0059300C"/>
    <w:rsid w:val="005930ED"/>
    <w:rsid w:val="0059315F"/>
    <w:rsid w:val="00593360"/>
    <w:rsid w:val="0059344E"/>
    <w:rsid w:val="005934CE"/>
    <w:rsid w:val="0059362E"/>
    <w:rsid w:val="00593652"/>
    <w:rsid w:val="005936AE"/>
    <w:rsid w:val="005937AD"/>
    <w:rsid w:val="005937CB"/>
    <w:rsid w:val="00593BB5"/>
    <w:rsid w:val="00593D7A"/>
    <w:rsid w:val="00593DCF"/>
    <w:rsid w:val="00593F72"/>
    <w:rsid w:val="00594043"/>
    <w:rsid w:val="00594093"/>
    <w:rsid w:val="0059428E"/>
    <w:rsid w:val="0059439B"/>
    <w:rsid w:val="005943DB"/>
    <w:rsid w:val="00594400"/>
    <w:rsid w:val="00594543"/>
    <w:rsid w:val="005948F9"/>
    <w:rsid w:val="005949AD"/>
    <w:rsid w:val="00594A6F"/>
    <w:rsid w:val="00594EE4"/>
    <w:rsid w:val="00594F37"/>
    <w:rsid w:val="00594F68"/>
    <w:rsid w:val="00595045"/>
    <w:rsid w:val="00595121"/>
    <w:rsid w:val="00595175"/>
    <w:rsid w:val="005952AC"/>
    <w:rsid w:val="00595375"/>
    <w:rsid w:val="005953A0"/>
    <w:rsid w:val="00595498"/>
    <w:rsid w:val="00595520"/>
    <w:rsid w:val="00595556"/>
    <w:rsid w:val="005958D1"/>
    <w:rsid w:val="0059595D"/>
    <w:rsid w:val="00595A06"/>
    <w:rsid w:val="00595A8E"/>
    <w:rsid w:val="00595AA3"/>
    <w:rsid w:val="00595B2C"/>
    <w:rsid w:val="00595B6A"/>
    <w:rsid w:val="00595BD4"/>
    <w:rsid w:val="00595C44"/>
    <w:rsid w:val="00595D1E"/>
    <w:rsid w:val="00595EF9"/>
    <w:rsid w:val="00595F17"/>
    <w:rsid w:val="00595F63"/>
    <w:rsid w:val="00595FB5"/>
    <w:rsid w:val="0059604A"/>
    <w:rsid w:val="005961FA"/>
    <w:rsid w:val="0059659C"/>
    <w:rsid w:val="00596658"/>
    <w:rsid w:val="00596686"/>
    <w:rsid w:val="005968FE"/>
    <w:rsid w:val="0059696D"/>
    <w:rsid w:val="00596973"/>
    <w:rsid w:val="00596989"/>
    <w:rsid w:val="005969A3"/>
    <w:rsid w:val="005969C4"/>
    <w:rsid w:val="00596AE3"/>
    <w:rsid w:val="00596BEE"/>
    <w:rsid w:val="00596C34"/>
    <w:rsid w:val="00596D33"/>
    <w:rsid w:val="00596E05"/>
    <w:rsid w:val="00596E4A"/>
    <w:rsid w:val="00596ED2"/>
    <w:rsid w:val="00596F35"/>
    <w:rsid w:val="00596F84"/>
    <w:rsid w:val="0059719C"/>
    <w:rsid w:val="0059721E"/>
    <w:rsid w:val="00597293"/>
    <w:rsid w:val="005972A4"/>
    <w:rsid w:val="00597323"/>
    <w:rsid w:val="005973A5"/>
    <w:rsid w:val="005973F8"/>
    <w:rsid w:val="0059755D"/>
    <w:rsid w:val="00597676"/>
    <w:rsid w:val="0059771E"/>
    <w:rsid w:val="005977EE"/>
    <w:rsid w:val="00597815"/>
    <w:rsid w:val="00597BE6"/>
    <w:rsid w:val="00597C2C"/>
    <w:rsid w:val="00597CA9"/>
    <w:rsid w:val="00597D4F"/>
    <w:rsid w:val="00597EA3"/>
    <w:rsid w:val="00597F9B"/>
    <w:rsid w:val="005A0003"/>
    <w:rsid w:val="005A0060"/>
    <w:rsid w:val="005A00A1"/>
    <w:rsid w:val="005A01A8"/>
    <w:rsid w:val="005A0521"/>
    <w:rsid w:val="005A0744"/>
    <w:rsid w:val="005A08C4"/>
    <w:rsid w:val="005A0996"/>
    <w:rsid w:val="005A09D3"/>
    <w:rsid w:val="005A09D7"/>
    <w:rsid w:val="005A0A00"/>
    <w:rsid w:val="005A0AA3"/>
    <w:rsid w:val="005A0B2B"/>
    <w:rsid w:val="005A0B30"/>
    <w:rsid w:val="005A0C4C"/>
    <w:rsid w:val="005A0CC0"/>
    <w:rsid w:val="005A0D5C"/>
    <w:rsid w:val="005A0DDD"/>
    <w:rsid w:val="005A0E5B"/>
    <w:rsid w:val="005A0E7B"/>
    <w:rsid w:val="005A0FB7"/>
    <w:rsid w:val="005A1086"/>
    <w:rsid w:val="005A1132"/>
    <w:rsid w:val="005A1393"/>
    <w:rsid w:val="005A1399"/>
    <w:rsid w:val="005A13BA"/>
    <w:rsid w:val="005A1441"/>
    <w:rsid w:val="005A1504"/>
    <w:rsid w:val="005A1777"/>
    <w:rsid w:val="005A17A6"/>
    <w:rsid w:val="005A188E"/>
    <w:rsid w:val="005A19DA"/>
    <w:rsid w:val="005A1AA4"/>
    <w:rsid w:val="005A1ADE"/>
    <w:rsid w:val="005A1B5C"/>
    <w:rsid w:val="005A1C74"/>
    <w:rsid w:val="005A1CB7"/>
    <w:rsid w:val="005A1CDE"/>
    <w:rsid w:val="005A1E7C"/>
    <w:rsid w:val="005A1FEB"/>
    <w:rsid w:val="005A2046"/>
    <w:rsid w:val="005A218E"/>
    <w:rsid w:val="005A229E"/>
    <w:rsid w:val="005A22F5"/>
    <w:rsid w:val="005A237D"/>
    <w:rsid w:val="005A2490"/>
    <w:rsid w:val="005A24B6"/>
    <w:rsid w:val="005A26E1"/>
    <w:rsid w:val="005A29E6"/>
    <w:rsid w:val="005A2C1F"/>
    <w:rsid w:val="005A2C67"/>
    <w:rsid w:val="005A2C7F"/>
    <w:rsid w:val="005A2CAB"/>
    <w:rsid w:val="005A2CBB"/>
    <w:rsid w:val="005A2E9D"/>
    <w:rsid w:val="005A3184"/>
    <w:rsid w:val="005A3475"/>
    <w:rsid w:val="005A3658"/>
    <w:rsid w:val="005A369D"/>
    <w:rsid w:val="005A36A4"/>
    <w:rsid w:val="005A372D"/>
    <w:rsid w:val="005A38C4"/>
    <w:rsid w:val="005A3B05"/>
    <w:rsid w:val="005A3DF9"/>
    <w:rsid w:val="005A3F57"/>
    <w:rsid w:val="005A3FF8"/>
    <w:rsid w:val="005A4033"/>
    <w:rsid w:val="005A4070"/>
    <w:rsid w:val="005A4191"/>
    <w:rsid w:val="005A43F2"/>
    <w:rsid w:val="005A4563"/>
    <w:rsid w:val="005A47F2"/>
    <w:rsid w:val="005A4983"/>
    <w:rsid w:val="005A49EE"/>
    <w:rsid w:val="005A4A28"/>
    <w:rsid w:val="005A4BE3"/>
    <w:rsid w:val="005A4C20"/>
    <w:rsid w:val="005A4C5F"/>
    <w:rsid w:val="005A4D48"/>
    <w:rsid w:val="005A4E7A"/>
    <w:rsid w:val="005A4F7B"/>
    <w:rsid w:val="005A4FE1"/>
    <w:rsid w:val="005A517F"/>
    <w:rsid w:val="005A51A1"/>
    <w:rsid w:val="005A51A4"/>
    <w:rsid w:val="005A5255"/>
    <w:rsid w:val="005A5399"/>
    <w:rsid w:val="005A53B9"/>
    <w:rsid w:val="005A54E4"/>
    <w:rsid w:val="005A5508"/>
    <w:rsid w:val="005A5561"/>
    <w:rsid w:val="005A55AB"/>
    <w:rsid w:val="005A5643"/>
    <w:rsid w:val="005A574B"/>
    <w:rsid w:val="005A5A38"/>
    <w:rsid w:val="005A5AED"/>
    <w:rsid w:val="005A5B26"/>
    <w:rsid w:val="005A5BFD"/>
    <w:rsid w:val="005A5C73"/>
    <w:rsid w:val="005A5D3F"/>
    <w:rsid w:val="005A600F"/>
    <w:rsid w:val="005A608C"/>
    <w:rsid w:val="005A6191"/>
    <w:rsid w:val="005A62BD"/>
    <w:rsid w:val="005A64CF"/>
    <w:rsid w:val="005A6530"/>
    <w:rsid w:val="005A662F"/>
    <w:rsid w:val="005A6654"/>
    <w:rsid w:val="005A67D4"/>
    <w:rsid w:val="005A67E5"/>
    <w:rsid w:val="005A69DA"/>
    <w:rsid w:val="005A6BD8"/>
    <w:rsid w:val="005A6C6A"/>
    <w:rsid w:val="005A6E34"/>
    <w:rsid w:val="005A6E68"/>
    <w:rsid w:val="005A6E95"/>
    <w:rsid w:val="005A6F3C"/>
    <w:rsid w:val="005A6F80"/>
    <w:rsid w:val="005A6F9F"/>
    <w:rsid w:val="005A6FA0"/>
    <w:rsid w:val="005A70C1"/>
    <w:rsid w:val="005A70F8"/>
    <w:rsid w:val="005A714E"/>
    <w:rsid w:val="005A72A6"/>
    <w:rsid w:val="005A7336"/>
    <w:rsid w:val="005A73BA"/>
    <w:rsid w:val="005A74A5"/>
    <w:rsid w:val="005A75CF"/>
    <w:rsid w:val="005A7689"/>
    <w:rsid w:val="005A76BC"/>
    <w:rsid w:val="005A76DC"/>
    <w:rsid w:val="005A76F7"/>
    <w:rsid w:val="005A76FB"/>
    <w:rsid w:val="005A783B"/>
    <w:rsid w:val="005A790A"/>
    <w:rsid w:val="005A791B"/>
    <w:rsid w:val="005A796A"/>
    <w:rsid w:val="005A7A9F"/>
    <w:rsid w:val="005A7BAA"/>
    <w:rsid w:val="005A7CAB"/>
    <w:rsid w:val="005A7E5E"/>
    <w:rsid w:val="005A7EAE"/>
    <w:rsid w:val="005A7EFA"/>
    <w:rsid w:val="005A7FA5"/>
    <w:rsid w:val="005B0026"/>
    <w:rsid w:val="005B00B2"/>
    <w:rsid w:val="005B017D"/>
    <w:rsid w:val="005B01A4"/>
    <w:rsid w:val="005B024D"/>
    <w:rsid w:val="005B0288"/>
    <w:rsid w:val="005B031C"/>
    <w:rsid w:val="005B034C"/>
    <w:rsid w:val="005B037A"/>
    <w:rsid w:val="005B044E"/>
    <w:rsid w:val="005B0832"/>
    <w:rsid w:val="005B09AE"/>
    <w:rsid w:val="005B0ABD"/>
    <w:rsid w:val="005B0BB9"/>
    <w:rsid w:val="005B0C25"/>
    <w:rsid w:val="005B0EF4"/>
    <w:rsid w:val="005B104E"/>
    <w:rsid w:val="005B1188"/>
    <w:rsid w:val="005B11E5"/>
    <w:rsid w:val="005B152F"/>
    <w:rsid w:val="005B1565"/>
    <w:rsid w:val="005B163D"/>
    <w:rsid w:val="005B1770"/>
    <w:rsid w:val="005B187D"/>
    <w:rsid w:val="005B188C"/>
    <w:rsid w:val="005B1AAF"/>
    <w:rsid w:val="005B1BFB"/>
    <w:rsid w:val="005B1D84"/>
    <w:rsid w:val="005B1E0E"/>
    <w:rsid w:val="005B1E8C"/>
    <w:rsid w:val="005B1E90"/>
    <w:rsid w:val="005B2195"/>
    <w:rsid w:val="005B2226"/>
    <w:rsid w:val="005B22B3"/>
    <w:rsid w:val="005B2303"/>
    <w:rsid w:val="005B237E"/>
    <w:rsid w:val="005B2393"/>
    <w:rsid w:val="005B257E"/>
    <w:rsid w:val="005B25FA"/>
    <w:rsid w:val="005B270C"/>
    <w:rsid w:val="005B2752"/>
    <w:rsid w:val="005B279D"/>
    <w:rsid w:val="005B2830"/>
    <w:rsid w:val="005B2844"/>
    <w:rsid w:val="005B294E"/>
    <w:rsid w:val="005B2993"/>
    <w:rsid w:val="005B29AB"/>
    <w:rsid w:val="005B2A48"/>
    <w:rsid w:val="005B2AF1"/>
    <w:rsid w:val="005B2B3E"/>
    <w:rsid w:val="005B2B99"/>
    <w:rsid w:val="005B2CD1"/>
    <w:rsid w:val="005B2DFF"/>
    <w:rsid w:val="005B31DA"/>
    <w:rsid w:val="005B3203"/>
    <w:rsid w:val="005B32CF"/>
    <w:rsid w:val="005B3394"/>
    <w:rsid w:val="005B3426"/>
    <w:rsid w:val="005B3462"/>
    <w:rsid w:val="005B357E"/>
    <w:rsid w:val="005B3721"/>
    <w:rsid w:val="005B3867"/>
    <w:rsid w:val="005B38E0"/>
    <w:rsid w:val="005B3903"/>
    <w:rsid w:val="005B3923"/>
    <w:rsid w:val="005B3A96"/>
    <w:rsid w:val="005B3ABE"/>
    <w:rsid w:val="005B3CDA"/>
    <w:rsid w:val="005B3E3C"/>
    <w:rsid w:val="005B3EDE"/>
    <w:rsid w:val="005B3EFD"/>
    <w:rsid w:val="005B3FBD"/>
    <w:rsid w:val="005B3FD5"/>
    <w:rsid w:val="005B416B"/>
    <w:rsid w:val="005B4362"/>
    <w:rsid w:val="005B459C"/>
    <w:rsid w:val="005B47EF"/>
    <w:rsid w:val="005B4883"/>
    <w:rsid w:val="005B496A"/>
    <w:rsid w:val="005B49D1"/>
    <w:rsid w:val="005B4ABE"/>
    <w:rsid w:val="005B4C0A"/>
    <w:rsid w:val="005B4D8E"/>
    <w:rsid w:val="005B4E7E"/>
    <w:rsid w:val="005B4EF7"/>
    <w:rsid w:val="005B50F0"/>
    <w:rsid w:val="005B5218"/>
    <w:rsid w:val="005B543F"/>
    <w:rsid w:val="005B54F5"/>
    <w:rsid w:val="005B5636"/>
    <w:rsid w:val="005B56F3"/>
    <w:rsid w:val="005B5755"/>
    <w:rsid w:val="005B589B"/>
    <w:rsid w:val="005B589F"/>
    <w:rsid w:val="005B5A5E"/>
    <w:rsid w:val="005B5BC5"/>
    <w:rsid w:val="005B5BF9"/>
    <w:rsid w:val="005B5D06"/>
    <w:rsid w:val="005B5D70"/>
    <w:rsid w:val="005B5DA1"/>
    <w:rsid w:val="005B5F1D"/>
    <w:rsid w:val="005B5FA8"/>
    <w:rsid w:val="005B5FDC"/>
    <w:rsid w:val="005B614F"/>
    <w:rsid w:val="005B61E6"/>
    <w:rsid w:val="005B63B4"/>
    <w:rsid w:val="005B6407"/>
    <w:rsid w:val="005B656D"/>
    <w:rsid w:val="005B6658"/>
    <w:rsid w:val="005B66B2"/>
    <w:rsid w:val="005B6727"/>
    <w:rsid w:val="005B67C7"/>
    <w:rsid w:val="005B6862"/>
    <w:rsid w:val="005B696B"/>
    <w:rsid w:val="005B69BC"/>
    <w:rsid w:val="005B6A24"/>
    <w:rsid w:val="005B6B45"/>
    <w:rsid w:val="005B6B4F"/>
    <w:rsid w:val="005B6BD2"/>
    <w:rsid w:val="005B6CBC"/>
    <w:rsid w:val="005B6E2A"/>
    <w:rsid w:val="005B6E34"/>
    <w:rsid w:val="005B6E69"/>
    <w:rsid w:val="005B6F4A"/>
    <w:rsid w:val="005B7175"/>
    <w:rsid w:val="005B72D4"/>
    <w:rsid w:val="005B72EC"/>
    <w:rsid w:val="005B732A"/>
    <w:rsid w:val="005B7472"/>
    <w:rsid w:val="005B7480"/>
    <w:rsid w:val="005B75A2"/>
    <w:rsid w:val="005B75D0"/>
    <w:rsid w:val="005B75EA"/>
    <w:rsid w:val="005B75F7"/>
    <w:rsid w:val="005B7687"/>
    <w:rsid w:val="005B770D"/>
    <w:rsid w:val="005B7895"/>
    <w:rsid w:val="005B78C6"/>
    <w:rsid w:val="005B78D8"/>
    <w:rsid w:val="005B7A76"/>
    <w:rsid w:val="005B7A92"/>
    <w:rsid w:val="005B7C8C"/>
    <w:rsid w:val="005B7D6D"/>
    <w:rsid w:val="005B7E9A"/>
    <w:rsid w:val="005C00C6"/>
    <w:rsid w:val="005C0284"/>
    <w:rsid w:val="005C03B1"/>
    <w:rsid w:val="005C073A"/>
    <w:rsid w:val="005C08F4"/>
    <w:rsid w:val="005C097C"/>
    <w:rsid w:val="005C0983"/>
    <w:rsid w:val="005C0A5F"/>
    <w:rsid w:val="005C0A79"/>
    <w:rsid w:val="005C0A90"/>
    <w:rsid w:val="005C0D37"/>
    <w:rsid w:val="005C0DA8"/>
    <w:rsid w:val="005C0EB5"/>
    <w:rsid w:val="005C0FF6"/>
    <w:rsid w:val="005C1132"/>
    <w:rsid w:val="005C13C9"/>
    <w:rsid w:val="005C14CB"/>
    <w:rsid w:val="005C158B"/>
    <w:rsid w:val="005C15BF"/>
    <w:rsid w:val="005C16C1"/>
    <w:rsid w:val="005C16D4"/>
    <w:rsid w:val="005C170F"/>
    <w:rsid w:val="005C17A7"/>
    <w:rsid w:val="005C189E"/>
    <w:rsid w:val="005C18CB"/>
    <w:rsid w:val="005C1996"/>
    <w:rsid w:val="005C1A8E"/>
    <w:rsid w:val="005C1AD7"/>
    <w:rsid w:val="005C1B80"/>
    <w:rsid w:val="005C1CD4"/>
    <w:rsid w:val="005C1CFA"/>
    <w:rsid w:val="005C1E82"/>
    <w:rsid w:val="005C1F9A"/>
    <w:rsid w:val="005C2299"/>
    <w:rsid w:val="005C22E0"/>
    <w:rsid w:val="005C233E"/>
    <w:rsid w:val="005C23F9"/>
    <w:rsid w:val="005C2415"/>
    <w:rsid w:val="005C24C1"/>
    <w:rsid w:val="005C255C"/>
    <w:rsid w:val="005C2638"/>
    <w:rsid w:val="005C28B1"/>
    <w:rsid w:val="005C2955"/>
    <w:rsid w:val="005C2AC3"/>
    <w:rsid w:val="005C2AE6"/>
    <w:rsid w:val="005C2BCF"/>
    <w:rsid w:val="005C2D6F"/>
    <w:rsid w:val="005C2DDE"/>
    <w:rsid w:val="005C3006"/>
    <w:rsid w:val="005C3109"/>
    <w:rsid w:val="005C3111"/>
    <w:rsid w:val="005C31F3"/>
    <w:rsid w:val="005C320C"/>
    <w:rsid w:val="005C348D"/>
    <w:rsid w:val="005C36B0"/>
    <w:rsid w:val="005C390C"/>
    <w:rsid w:val="005C3A98"/>
    <w:rsid w:val="005C3AE6"/>
    <w:rsid w:val="005C3B1C"/>
    <w:rsid w:val="005C3C40"/>
    <w:rsid w:val="005C3D28"/>
    <w:rsid w:val="005C3E1C"/>
    <w:rsid w:val="005C3FE0"/>
    <w:rsid w:val="005C40BB"/>
    <w:rsid w:val="005C4271"/>
    <w:rsid w:val="005C43A0"/>
    <w:rsid w:val="005C43A5"/>
    <w:rsid w:val="005C43D5"/>
    <w:rsid w:val="005C4477"/>
    <w:rsid w:val="005C44E0"/>
    <w:rsid w:val="005C45CD"/>
    <w:rsid w:val="005C460F"/>
    <w:rsid w:val="005C4637"/>
    <w:rsid w:val="005C4655"/>
    <w:rsid w:val="005C47A8"/>
    <w:rsid w:val="005C47F9"/>
    <w:rsid w:val="005C4982"/>
    <w:rsid w:val="005C4B39"/>
    <w:rsid w:val="005C4C78"/>
    <w:rsid w:val="005C4DDC"/>
    <w:rsid w:val="005C4FB1"/>
    <w:rsid w:val="005C4FDE"/>
    <w:rsid w:val="005C516B"/>
    <w:rsid w:val="005C51AE"/>
    <w:rsid w:val="005C51D5"/>
    <w:rsid w:val="005C52EA"/>
    <w:rsid w:val="005C5328"/>
    <w:rsid w:val="005C53F6"/>
    <w:rsid w:val="005C545D"/>
    <w:rsid w:val="005C548D"/>
    <w:rsid w:val="005C54E5"/>
    <w:rsid w:val="005C5634"/>
    <w:rsid w:val="005C57A3"/>
    <w:rsid w:val="005C58C6"/>
    <w:rsid w:val="005C5932"/>
    <w:rsid w:val="005C593D"/>
    <w:rsid w:val="005C5A6C"/>
    <w:rsid w:val="005C5BB5"/>
    <w:rsid w:val="005C60C8"/>
    <w:rsid w:val="005C6117"/>
    <w:rsid w:val="005C6499"/>
    <w:rsid w:val="005C64B7"/>
    <w:rsid w:val="005C6518"/>
    <w:rsid w:val="005C663E"/>
    <w:rsid w:val="005C6697"/>
    <w:rsid w:val="005C698D"/>
    <w:rsid w:val="005C6A94"/>
    <w:rsid w:val="005C6C9C"/>
    <w:rsid w:val="005C6CA7"/>
    <w:rsid w:val="005C6D73"/>
    <w:rsid w:val="005C6E94"/>
    <w:rsid w:val="005C6F11"/>
    <w:rsid w:val="005C7040"/>
    <w:rsid w:val="005C7139"/>
    <w:rsid w:val="005C7153"/>
    <w:rsid w:val="005C724C"/>
    <w:rsid w:val="005C72F6"/>
    <w:rsid w:val="005C7374"/>
    <w:rsid w:val="005C739C"/>
    <w:rsid w:val="005C74A2"/>
    <w:rsid w:val="005C77FA"/>
    <w:rsid w:val="005C77FD"/>
    <w:rsid w:val="005C77FE"/>
    <w:rsid w:val="005C781B"/>
    <w:rsid w:val="005C7894"/>
    <w:rsid w:val="005C78EA"/>
    <w:rsid w:val="005C7922"/>
    <w:rsid w:val="005C7986"/>
    <w:rsid w:val="005C7AE3"/>
    <w:rsid w:val="005C7DFA"/>
    <w:rsid w:val="005C7E4D"/>
    <w:rsid w:val="005C7F04"/>
    <w:rsid w:val="005C7F46"/>
    <w:rsid w:val="005D0077"/>
    <w:rsid w:val="005D01E3"/>
    <w:rsid w:val="005D02C1"/>
    <w:rsid w:val="005D02F2"/>
    <w:rsid w:val="005D03EE"/>
    <w:rsid w:val="005D04D6"/>
    <w:rsid w:val="005D052E"/>
    <w:rsid w:val="005D0563"/>
    <w:rsid w:val="005D0564"/>
    <w:rsid w:val="005D064B"/>
    <w:rsid w:val="005D066E"/>
    <w:rsid w:val="005D0702"/>
    <w:rsid w:val="005D07FC"/>
    <w:rsid w:val="005D0B4C"/>
    <w:rsid w:val="005D0BD1"/>
    <w:rsid w:val="005D0CBE"/>
    <w:rsid w:val="005D0DBF"/>
    <w:rsid w:val="005D0E58"/>
    <w:rsid w:val="005D10DC"/>
    <w:rsid w:val="005D1140"/>
    <w:rsid w:val="005D11C7"/>
    <w:rsid w:val="005D1342"/>
    <w:rsid w:val="005D13A4"/>
    <w:rsid w:val="005D13BB"/>
    <w:rsid w:val="005D1427"/>
    <w:rsid w:val="005D14B8"/>
    <w:rsid w:val="005D15ED"/>
    <w:rsid w:val="005D1659"/>
    <w:rsid w:val="005D18A2"/>
    <w:rsid w:val="005D1A4B"/>
    <w:rsid w:val="005D1A56"/>
    <w:rsid w:val="005D1A6D"/>
    <w:rsid w:val="005D1B12"/>
    <w:rsid w:val="005D1C06"/>
    <w:rsid w:val="005D1CB4"/>
    <w:rsid w:val="005D1CF6"/>
    <w:rsid w:val="005D1E3D"/>
    <w:rsid w:val="005D1F0B"/>
    <w:rsid w:val="005D1F2A"/>
    <w:rsid w:val="005D2034"/>
    <w:rsid w:val="005D2056"/>
    <w:rsid w:val="005D20EE"/>
    <w:rsid w:val="005D2263"/>
    <w:rsid w:val="005D22D1"/>
    <w:rsid w:val="005D2471"/>
    <w:rsid w:val="005D24B3"/>
    <w:rsid w:val="005D251F"/>
    <w:rsid w:val="005D262F"/>
    <w:rsid w:val="005D2838"/>
    <w:rsid w:val="005D2950"/>
    <w:rsid w:val="005D2979"/>
    <w:rsid w:val="005D2A57"/>
    <w:rsid w:val="005D2B28"/>
    <w:rsid w:val="005D2B39"/>
    <w:rsid w:val="005D2B62"/>
    <w:rsid w:val="005D2CA5"/>
    <w:rsid w:val="005D2DA7"/>
    <w:rsid w:val="005D2EFB"/>
    <w:rsid w:val="005D2FA1"/>
    <w:rsid w:val="005D2FA9"/>
    <w:rsid w:val="005D3186"/>
    <w:rsid w:val="005D318B"/>
    <w:rsid w:val="005D32C3"/>
    <w:rsid w:val="005D34D9"/>
    <w:rsid w:val="005D3CDB"/>
    <w:rsid w:val="005D3EA1"/>
    <w:rsid w:val="005D3EA5"/>
    <w:rsid w:val="005D3F96"/>
    <w:rsid w:val="005D4104"/>
    <w:rsid w:val="005D41D1"/>
    <w:rsid w:val="005D422C"/>
    <w:rsid w:val="005D42B2"/>
    <w:rsid w:val="005D432C"/>
    <w:rsid w:val="005D43A9"/>
    <w:rsid w:val="005D44E4"/>
    <w:rsid w:val="005D45AD"/>
    <w:rsid w:val="005D45AF"/>
    <w:rsid w:val="005D4716"/>
    <w:rsid w:val="005D477B"/>
    <w:rsid w:val="005D47CE"/>
    <w:rsid w:val="005D4A08"/>
    <w:rsid w:val="005D4B4C"/>
    <w:rsid w:val="005D4B59"/>
    <w:rsid w:val="005D4CD8"/>
    <w:rsid w:val="005D4D3F"/>
    <w:rsid w:val="005D4DBA"/>
    <w:rsid w:val="005D4DC5"/>
    <w:rsid w:val="005D4EF6"/>
    <w:rsid w:val="005D4F19"/>
    <w:rsid w:val="005D5037"/>
    <w:rsid w:val="005D5106"/>
    <w:rsid w:val="005D5191"/>
    <w:rsid w:val="005D521A"/>
    <w:rsid w:val="005D52A3"/>
    <w:rsid w:val="005D52E1"/>
    <w:rsid w:val="005D54CA"/>
    <w:rsid w:val="005D54E9"/>
    <w:rsid w:val="005D5600"/>
    <w:rsid w:val="005D5681"/>
    <w:rsid w:val="005D56FE"/>
    <w:rsid w:val="005D584D"/>
    <w:rsid w:val="005D58BF"/>
    <w:rsid w:val="005D599F"/>
    <w:rsid w:val="005D5A1B"/>
    <w:rsid w:val="005D5B3C"/>
    <w:rsid w:val="005D5D4C"/>
    <w:rsid w:val="005D5E89"/>
    <w:rsid w:val="005D5F66"/>
    <w:rsid w:val="005D5FED"/>
    <w:rsid w:val="005D6205"/>
    <w:rsid w:val="005D63E6"/>
    <w:rsid w:val="005D640B"/>
    <w:rsid w:val="005D6454"/>
    <w:rsid w:val="005D6485"/>
    <w:rsid w:val="005D65F4"/>
    <w:rsid w:val="005D6602"/>
    <w:rsid w:val="005D66FE"/>
    <w:rsid w:val="005D6756"/>
    <w:rsid w:val="005D6840"/>
    <w:rsid w:val="005D688D"/>
    <w:rsid w:val="005D68B6"/>
    <w:rsid w:val="005D68D0"/>
    <w:rsid w:val="005D6935"/>
    <w:rsid w:val="005D69D0"/>
    <w:rsid w:val="005D6A8D"/>
    <w:rsid w:val="005D6ACB"/>
    <w:rsid w:val="005D6C2C"/>
    <w:rsid w:val="005D6C4C"/>
    <w:rsid w:val="005D6C78"/>
    <w:rsid w:val="005D6CC5"/>
    <w:rsid w:val="005D6CE3"/>
    <w:rsid w:val="005D6D31"/>
    <w:rsid w:val="005D6E2C"/>
    <w:rsid w:val="005D6F4E"/>
    <w:rsid w:val="005D6FBC"/>
    <w:rsid w:val="005D71B5"/>
    <w:rsid w:val="005D7257"/>
    <w:rsid w:val="005D7448"/>
    <w:rsid w:val="005D75D5"/>
    <w:rsid w:val="005D78DC"/>
    <w:rsid w:val="005D78F3"/>
    <w:rsid w:val="005D7971"/>
    <w:rsid w:val="005D7A57"/>
    <w:rsid w:val="005D7A8F"/>
    <w:rsid w:val="005D7DF6"/>
    <w:rsid w:val="005D7E9F"/>
    <w:rsid w:val="005D7F23"/>
    <w:rsid w:val="005E012E"/>
    <w:rsid w:val="005E0365"/>
    <w:rsid w:val="005E04D8"/>
    <w:rsid w:val="005E0662"/>
    <w:rsid w:val="005E0688"/>
    <w:rsid w:val="005E06D0"/>
    <w:rsid w:val="005E0724"/>
    <w:rsid w:val="005E0847"/>
    <w:rsid w:val="005E08C4"/>
    <w:rsid w:val="005E0AEB"/>
    <w:rsid w:val="005E0C5C"/>
    <w:rsid w:val="005E0C7F"/>
    <w:rsid w:val="005E0DAA"/>
    <w:rsid w:val="005E0DB7"/>
    <w:rsid w:val="005E0E68"/>
    <w:rsid w:val="005E0EBF"/>
    <w:rsid w:val="005E108B"/>
    <w:rsid w:val="005E1104"/>
    <w:rsid w:val="005E122B"/>
    <w:rsid w:val="005E1317"/>
    <w:rsid w:val="005E13FB"/>
    <w:rsid w:val="005E14D8"/>
    <w:rsid w:val="005E169F"/>
    <w:rsid w:val="005E1910"/>
    <w:rsid w:val="005E1B7D"/>
    <w:rsid w:val="005E1D65"/>
    <w:rsid w:val="005E1E82"/>
    <w:rsid w:val="005E2029"/>
    <w:rsid w:val="005E20DA"/>
    <w:rsid w:val="005E2165"/>
    <w:rsid w:val="005E2252"/>
    <w:rsid w:val="005E23D1"/>
    <w:rsid w:val="005E245C"/>
    <w:rsid w:val="005E2511"/>
    <w:rsid w:val="005E253D"/>
    <w:rsid w:val="005E26A0"/>
    <w:rsid w:val="005E26D6"/>
    <w:rsid w:val="005E2714"/>
    <w:rsid w:val="005E288C"/>
    <w:rsid w:val="005E28A4"/>
    <w:rsid w:val="005E28C9"/>
    <w:rsid w:val="005E28D2"/>
    <w:rsid w:val="005E2AB8"/>
    <w:rsid w:val="005E2D69"/>
    <w:rsid w:val="005E2D76"/>
    <w:rsid w:val="005E2DB4"/>
    <w:rsid w:val="005E2E6A"/>
    <w:rsid w:val="005E2EC8"/>
    <w:rsid w:val="005E3067"/>
    <w:rsid w:val="005E30A3"/>
    <w:rsid w:val="005E3138"/>
    <w:rsid w:val="005E320D"/>
    <w:rsid w:val="005E32F6"/>
    <w:rsid w:val="005E33CB"/>
    <w:rsid w:val="005E34B6"/>
    <w:rsid w:val="005E3575"/>
    <w:rsid w:val="005E35B0"/>
    <w:rsid w:val="005E3618"/>
    <w:rsid w:val="005E3664"/>
    <w:rsid w:val="005E3694"/>
    <w:rsid w:val="005E370C"/>
    <w:rsid w:val="005E370D"/>
    <w:rsid w:val="005E3B4F"/>
    <w:rsid w:val="005E3B5E"/>
    <w:rsid w:val="005E3B6C"/>
    <w:rsid w:val="005E3D42"/>
    <w:rsid w:val="005E3D69"/>
    <w:rsid w:val="005E3D6D"/>
    <w:rsid w:val="005E3F23"/>
    <w:rsid w:val="005E3F5C"/>
    <w:rsid w:val="005E4041"/>
    <w:rsid w:val="005E404F"/>
    <w:rsid w:val="005E43E1"/>
    <w:rsid w:val="005E4401"/>
    <w:rsid w:val="005E451E"/>
    <w:rsid w:val="005E4589"/>
    <w:rsid w:val="005E4623"/>
    <w:rsid w:val="005E4895"/>
    <w:rsid w:val="005E48DF"/>
    <w:rsid w:val="005E4A53"/>
    <w:rsid w:val="005E4ABA"/>
    <w:rsid w:val="005E4D35"/>
    <w:rsid w:val="005E4D7D"/>
    <w:rsid w:val="005E4DA3"/>
    <w:rsid w:val="005E51B2"/>
    <w:rsid w:val="005E5274"/>
    <w:rsid w:val="005E52B3"/>
    <w:rsid w:val="005E52C6"/>
    <w:rsid w:val="005E537B"/>
    <w:rsid w:val="005E5462"/>
    <w:rsid w:val="005E548C"/>
    <w:rsid w:val="005E5497"/>
    <w:rsid w:val="005E5501"/>
    <w:rsid w:val="005E55DD"/>
    <w:rsid w:val="005E56E0"/>
    <w:rsid w:val="005E578A"/>
    <w:rsid w:val="005E5884"/>
    <w:rsid w:val="005E5979"/>
    <w:rsid w:val="005E5A39"/>
    <w:rsid w:val="005E5CE9"/>
    <w:rsid w:val="005E5DBE"/>
    <w:rsid w:val="005E5FA8"/>
    <w:rsid w:val="005E603E"/>
    <w:rsid w:val="005E604E"/>
    <w:rsid w:val="005E60B9"/>
    <w:rsid w:val="005E6178"/>
    <w:rsid w:val="005E6235"/>
    <w:rsid w:val="005E6271"/>
    <w:rsid w:val="005E62D4"/>
    <w:rsid w:val="005E63F9"/>
    <w:rsid w:val="005E6500"/>
    <w:rsid w:val="005E6548"/>
    <w:rsid w:val="005E65A0"/>
    <w:rsid w:val="005E669E"/>
    <w:rsid w:val="005E677D"/>
    <w:rsid w:val="005E67F9"/>
    <w:rsid w:val="005E688D"/>
    <w:rsid w:val="005E68CF"/>
    <w:rsid w:val="005E69FE"/>
    <w:rsid w:val="005E6A9D"/>
    <w:rsid w:val="005E6BFF"/>
    <w:rsid w:val="005E6CBB"/>
    <w:rsid w:val="005E6D8A"/>
    <w:rsid w:val="005E6F29"/>
    <w:rsid w:val="005E6FE2"/>
    <w:rsid w:val="005E7146"/>
    <w:rsid w:val="005E72F3"/>
    <w:rsid w:val="005E73C3"/>
    <w:rsid w:val="005E73E9"/>
    <w:rsid w:val="005E747F"/>
    <w:rsid w:val="005E7532"/>
    <w:rsid w:val="005E76C4"/>
    <w:rsid w:val="005E76FB"/>
    <w:rsid w:val="005E770E"/>
    <w:rsid w:val="005E78A5"/>
    <w:rsid w:val="005E7945"/>
    <w:rsid w:val="005E7A0D"/>
    <w:rsid w:val="005E7B71"/>
    <w:rsid w:val="005E7BF4"/>
    <w:rsid w:val="005E7C24"/>
    <w:rsid w:val="005F003E"/>
    <w:rsid w:val="005F00EF"/>
    <w:rsid w:val="005F01B8"/>
    <w:rsid w:val="005F0278"/>
    <w:rsid w:val="005F028B"/>
    <w:rsid w:val="005F0342"/>
    <w:rsid w:val="005F06AA"/>
    <w:rsid w:val="005F06E6"/>
    <w:rsid w:val="005F072D"/>
    <w:rsid w:val="005F0A2D"/>
    <w:rsid w:val="005F0A57"/>
    <w:rsid w:val="005F0CA8"/>
    <w:rsid w:val="005F0D3C"/>
    <w:rsid w:val="005F0D8C"/>
    <w:rsid w:val="005F0E1D"/>
    <w:rsid w:val="005F0F9D"/>
    <w:rsid w:val="005F10F2"/>
    <w:rsid w:val="005F14CD"/>
    <w:rsid w:val="005F16DF"/>
    <w:rsid w:val="005F16ED"/>
    <w:rsid w:val="005F17B8"/>
    <w:rsid w:val="005F1831"/>
    <w:rsid w:val="005F1879"/>
    <w:rsid w:val="005F18D9"/>
    <w:rsid w:val="005F1B2F"/>
    <w:rsid w:val="005F1B4E"/>
    <w:rsid w:val="005F1BB2"/>
    <w:rsid w:val="005F1C74"/>
    <w:rsid w:val="005F1C75"/>
    <w:rsid w:val="005F1CE9"/>
    <w:rsid w:val="005F2138"/>
    <w:rsid w:val="005F2591"/>
    <w:rsid w:val="005F26FF"/>
    <w:rsid w:val="005F2894"/>
    <w:rsid w:val="005F2948"/>
    <w:rsid w:val="005F2A6C"/>
    <w:rsid w:val="005F2AB4"/>
    <w:rsid w:val="005F2CC2"/>
    <w:rsid w:val="005F2F64"/>
    <w:rsid w:val="005F302E"/>
    <w:rsid w:val="005F30A5"/>
    <w:rsid w:val="005F3135"/>
    <w:rsid w:val="005F3250"/>
    <w:rsid w:val="005F33C1"/>
    <w:rsid w:val="005F34C5"/>
    <w:rsid w:val="005F3640"/>
    <w:rsid w:val="005F373A"/>
    <w:rsid w:val="005F37FD"/>
    <w:rsid w:val="005F3873"/>
    <w:rsid w:val="005F3A86"/>
    <w:rsid w:val="005F3AFE"/>
    <w:rsid w:val="005F3B91"/>
    <w:rsid w:val="005F3E4C"/>
    <w:rsid w:val="005F3E67"/>
    <w:rsid w:val="005F3EF2"/>
    <w:rsid w:val="005F4089"/>
    <w:rsid w:val="005F40FB"/>
    <w:rsid w:val="005F41EA"/>
    <w:rsid w:val="005F4215"/>
    <w:rsid w:val="005F430D"/>
    <w:rsid w:val="005F4368"/>
    <w:rsid w:val="005F43B6"/>
    <w:rsid w:val="005F43CC"/>
    <w:rsid w:val="005F44EE"/>
    <w:rsid w:val="005F478B"/>
    <w:rsid w:val="005F47E5"/>
    <w:rsid w:val="005F483A"/>
    <w:rsid w:val="005F488E"/>
    <w:rsid w:val="005F4894"/>
    <w:rsid w:val="005F48EF"/>
    <w:rsid w:val="005F49C1"/>
    <w:rsid w:val="005F4C39"/>
    <w:rsid w:val="005F4DEE"/>
    <w:rsid w:val="005F4E2A"/>
    <w:rsid w:val="005F4E42"/>
    <w:rsid w:val="005F4FE0"/>
    <w:rsid w:val="005F4FE7"/>
    <w:rsid w:val="005F5055"/>
    <w:rsid w:val="005F51C1"/>
    <w:rsid w:val="005F51C7"/>
    <w:rsid w:val="005F5272"/>
    <w:rsid w:val="005F55EF"/>
    <w:rsid w:val="005F55F6"/>
    <w:rsid w:val="005F5657"/>
    <w:rsid w:val="005F56C4"/>
    <w:rsid w:val="005F5801"/>
    <w:rsid w:val="005F587D"/>
    <w:rsid w:val="005F58C3"/>
    <w:rsid w:val="005F594D"/>
    <w:rsid w:val="005F5A04"/>
    <w:rsid w:val="005F5A83"/>
    <w:rsid w:val="005F5B05"/>
    <w:rsid w:val="005F5EF7"/>
    <w:rsid w:val="005F5F06"/>
    <w:rsid w:val="005F5F34"/>
    <w:rsid w:val="005F6111"/>
    <w:rsid w:val="005F61CB"/>
    <w:rsid w:val="005F6288"/>
    <w:rsid w:val="005F6554"/>
    <w:rsid w:val="005F65AF"/>
    <w:rsid w:val="005F65D4"/>
    <w:rsid w:val="005F661F"/>
    <w:rsid w:val="005F6723"/>
    <w:rsid w:val="005F6755"/>
    <w:rsid w:val="005F676A"/>
    <w:rsid w:val="005F677F"/>
    <w:rsid w:val="005F682C"/>
    <w:rsid w:val="005F68BC"/>
    <w:rsid w:val="005F6954"/>
    <w:rsid w:val="005F69A1"/>
    <w:rsid w:val="005F6AD0"/>
    <w:rsid w:val="005F6D31"/>
    <w:rsid w:val="005F6D5A"/>
    <w:rsid w:val="005F6E8B"/>
    <w:rsid w:val="005F6EBA"/>
    <w:rsid w:val="005F6F23"/>
    <w:rsid w:val="005F7134"/>
    <w:rsid w:val="005F7179"/>
    <w:rsid w:val="005F71D1"/>
    <w:rsid w:val="005F72AA"/>
    <w:rsid w:val="005F72E8"/>
    <w:rsid w:val="005F7332"/>
    <w:rsid w:val="005F7358"/>
    <w:rsid w:val="005F7506"/>
    <w:rsid w:val="005F76A2"/>
    <w:rsid w:val="005F777E"/>
    <w:rsid w:val="005F7893"/>
    <w:rsid w:val="005F79E0"/>
    <w:rsid w:val="005F7A90"/>
    <w:rsid w:val="005F7B53"/>
    <w:rsid w:val="005F7C43"/>
    <w:rsid w:val="005F7D06"/>
    <w:rsid w:val="005F9E11"/>
    <w:rsid w:val="00600206"/>
    <w:rsid w:val="00600254"/>
    <w:rsid w:val="006002D9"/>
    <w:rsid w:val="00600371"/>
    <w:rsid w:val="006004E1"/>
    <w:rsid w:val="006005F0"/>
    <w:rsid w:val="00600639"/>
    <w:rsid w:val="0060067B"/>
    <w:rsid w:val="0060076B"/>
    <w:rsid w:val="006009B2"/>
    <w:rsid w:val="00600B9B"/>
    <w:rsid w:val="00600C99"/>
    <w:rsid w:val="00600CE1"/>
    <w:rsid w:val="00600E64"/>
    <w:rsid w:val="00600EE2"/>
    <w:rsid w:val="0060105C"/>
    <w:rsid w:val="0060108E"/>
    <w:rsid w:val="00601158"/>
    <w:rsid w:val="006013D7"/>
    <w:rsid w:val="0060142F"/>
    <w:rsid w:val="006014AF"/>
    <w:rsid w:val="0060164D"/>
    <w:rsid w:val="0060167A"/>
    <w:rsid w:val="006017C0"/>
    <w:rsid w:val="00601837"/>
    <w:rsid w:val="00601981"/>
    <w:rsid w:val="00601AF0"/>
    <w:rsid w:val="00601BD4"/>
    <w:rsid w:val="00601C52"/>
    <w:rsid w:val="00601C6F"/>
    <w:rsid w:val="00601E3D"/>
    <w:rsid w:val="00601E68"/>
    <w:rsid w:val="00601F19"/>
    <w:rsid w:val="00601F37"/>
    <w:rsid w:val="0060228E"/>
    <w:rsid w:val="00602371"/>
    <w:rsid w:val="00602704"/>
    <w:rsid w:val="0060273D"/>
    <w:rsid w:val="006028FF"/>
    <w:rsid w:val="00602A3D"/>
    <w:rsid w:val="00602A9C"/>
    <w:rsid w:val="00602AD3"/>
    <w:rsid w:val="00602B40"/>
    <w:rsid w:val="00602C07"/>
    <w:rsid w:val="00602E65"/>
    <w:rsid w:val="00602E72"/>
    <w:rsid w:val="0060314F"/>
    <w:rsid w:val="0060319E"/>
    <w:rsid w:val="006031A5"/>
    <w:rsid w:val="006031BB"/>
    <w:rsid w:val="0060338A"/>
    <w:rsid w:val="00603438"/>
    <w:rsid w:val="00603646"/>
    <w:rsid w:val="0060388D"/>
    <w:rsid w:val="0060399C"/>
    <w:rsid w:val="006039D2"/>
    <w:rsid w:val="00603A0E"/>
    <w:rsid w:val="00603A1F"/>
    <w:rsid w:val="00603AA2"/>
    <w:rsid w:val="00603B2F"/>
    <w:rsid w:val="00603C17"/>
    <w:rsid w:val="00603C24"/>
    <w:rsid w:val="00603D4B"/>
    <w:rsid w:val="00603D88"/>
    <w:rsid w:val="00603DA7"/>
    <w:rsid w:val="00603DFA"/>
    <w:rsid w:val="00603E3A"/>
    <w:rsid w:val="00603E6B"/>
    <w:rsid w:val="00603F85"/>
    <w:rsid w:val="00603FEB"/>
    <w:rsid w:val="00604096"/>
    <w:rsid w:val="0060410C"/>
    <w:rsid w:val="00604170"/>
    <w:rsid w:val="00604185"/>
    <w:rsid w:val="00604188"/>
    <w:rsid w:val="00604313"/>
    <w:rsid w:val="00604349"/>
    <w:rsid w:val="00604561"/>
    <w:rsid w:val="00604578"/>
    <w:rsid w:val="00604586"/>
    <w:rsid w:val="00604776"/>
    <w:rsid w:val="0060483B"/>
    <w:rsid w:val="00604866"/>
    <w:rsid w:val="0060486F"/>
    <w:rsid w:val="00604875"/>
    <w:rsid w:val="0060497B"/>
    <w:rsid w:val="00604AA7"/>
    <w:rsid w:val="00604CF5"/>
    <w:rsid w:val="00604D27"/>
    <w:rsid w:val="00604D28"/>
    <w:rsid w:val="00604F12"/>
    <w:rsid w:val="00604F98"/>
    <w:rsid w:val="006050CA"/>
    <w:rsid w:val="006050D7"/>
    <w:rsid w:val="00605211"/>
    <w:rsid w:val="00605355"/>
    <w:rsid w:val="00605396"/>
    <w:rsid w:val="00605606"/>
    <w:rsid w:val="00605617"/>
    <w:rsid w:val="0060574D"/>
    <w:rsid w:val="00605826"/>
    <w:rsid w:val="0060582B"/>
    <w:rsid w:val="006058F1"/>
    <w:rsid w:val="00605C17"/>
    <w:rsid w:val="00605C3D"/>
    <w:rsid w:val="00605E2B"/>
    <w:rsid w:val="00605ED7"/>
    <w:rsid w:val="00605F85"/>
    <w:rsid w:val="00606066"/>
    <w:rsid w:val="00606095"/>
    <w:rsid w:val="00606147"/>
    <w:rsid w:val="006061D5"/>
    <w:rsid w:val="00606297"/>
    <w:rsid w:val="0060634B"/>
    <w:rsid w:val="006064A6"/>
    <w:rsid w:val="006064D1"/>
    <w:rsid w:val="006064F0"/>
    <w:rsid w:val="006064F5"/>
    <w:rsid w:val="0060653F"/>
    <w:rsid w:val="0060657D"/>
    <w:rsid w:val="00606618"/>
    <w:rsid w:val="0060668F"/>
    <w:rsid w:val="006066B9"/>
    <w:rsid w:val="006067CD"/>
    <w:rsid w:val="00606812"/>
    <w:rsid w:val="0060684B"/>
    <w:rsid w:val="0060685B"/>
    <w:rsid w:val="0060691B"/>
    <w:rsid w:val="00606965"/>
    <w:rsid w:val="00606AFE"/>
    <w:rsid w:val="00606C4E"/>
    <w:rsid w:val="00606D7D"/>
    <w:rsid w:val="00606E4D"/>
    <w:rsid w:val="00607135"/>
    <w:rsid w:val="00607144"/>
    <w:rsid w:val="006071D7"/>
    <w:rsid w:val="006071F2"/>
    <w:rsid w:val="00607217"/>
    <w:rsid w:val="0060722C"/>
    <w:rsid w:val="006073ED"/>
    <w:rsid w:val="00607597"/>
    <w:rsid w:val="006076A2"/>
    <w:rsid w:val="006076AD"/>
    <w:rsid w:val="00607704"/>
    <w:rsid w:val="00607901"/>
    <w:rsid w:val="00607909"/>
    <w:rsid w:val="0060793A"/>
    <w:rsid w:val="006079DD"/>
    <w:rsid w:val="00607A25"/>
    <w:rsid w:val="00607AC0"/>
    <w:rsid w:val="00607B73"/>
    <w:rsid w:val="00607CAF"/>
    <w:rsid w:val="00607D4A"/>
    <w:rsid w:val="00607E6D"/>
    <w:rsid w:val="00607F56"/>
    <w:rsid w:val="00607F95"/>
    <w:rsid w:val="0061004D"/>
    <w:rsid w:val="00610097"/>
    <w:rsid w:val="00610100"/>
    <w:rsid w:val="0061026F"/>
    <w:rsid w:val="0061029A"/>
    <w:rsid w:val="00610303"/>
    <w:rsid w:val="006103C7"/>
    <w:rsid w:val="00610834"/>
    <w:rsid w:val="006108CA"/>
    <w:rsid w:val="0061091A"/>
    <w:rsid w:val="006109A8"/>
    <w:rsid w:val="00610A49"/>
    <w:rsid w:val="00610AE0"/>
    <w:rsid w:val="00610B97"/>
    <w:rsid w:val="00610BE2"/>
    <w:rsid w:val="00610BF2"/>
    <w:rsid w:val="00610C44"/>
    <w:rsid w:val="00610C58"/>
    <w:rsid w:val="00610C9E"/>
    <w:rsid w:val="00610CBA"/>
    <w:rsid w:val="00610DBB"/>
    <w:rsid w:val="006110B7"/>
    <w:rsid w:val="006110F6"/>
    <w:rsid w:val="006111BA"/>
    <w:rsid w:val="006111CE"/>
    <w:rsid w:val="00611306"/>
    <w:rsid w:val="00611311"/>
    <w:rsid w:val="006113E5"/>
    <w:rsid w:val="00611444"/>
    <w:rsid w:val="006114C7"/>
    <w:rsid w:val="00611856"/>
    <w:rsid w:val="0061192B"/>
    <w:rsid w:val="00611991"/>
    <w:rsid w:val="00611A4D"/>
    <w:rsid w:val="00611EBB"/>
    <w:rsid w:val="00611F2A"/>
    <w:rsid w:val="00611FE1"/>
    <w:rsid w:val="0061204D"/>
    <w:rsid w:val="006120E0"/>
    <w:rsid w:val="006120ED"/>
    <w:rsid w:val="006123D2"/>
    <w:rsid w:val="00612420"/>
    <w:rsid w:val="00612490"/>
    <w:rsid w:val="006124D8"/>
    <w:rsid w:val="00612540"/>
    <w:rsid w:val="006125B6"/>
    <w:rsid w:val="006126DE"/>
    <w:rsid w:val="00612769"/>
    <w:rsid w:val="00612D12"/>
    <w:rsid w:val="00612DB2"/>
    <w:rsid w:val="00612E28"/>
    <w:rsid w:val="00612E60"/>
    <w:rsid w:val="00612E61"/>
    <w:rsid w:val="00612EAC"/>
    <w:rsid w:val="00612FF7"/>
    <w:rsid w:val="006130FB"/>
    <w:rsid w:val="0061317F"/>
    <w:rsid w:val="006131AB"/>
    <w:rsid w:val="006132E3"/>
    <w:rsid w:val="006132F4"/>
    <w:rsid w:val="00613561"/>
    <w:rsid w:val="00613581"/>
    <w:rsid w:val="0061364B"/>
    <w:rsid w:val="00613692"/>
    <w:rsid w:val="006136BF"/>
    <w:rsid w:val="006136F1"/>
    <w:rsid w:val="006137E4"/>
    <w:rsid w:val="006139B7"/>
    <w:rsid w:val="00613A20"/>
    <w:rsid w:val="00613AE8"/>
    <w:rsid w:val="00613AF0"/>
    <w:rsid w:val="00613B65"/>
    <w:rsid w:val="00613D9D"/>
    <w:rsid w:val="00613F0A"/>
    <w:rsid w:val="00613F26"/>
    <w:rsid w:val="00613F89"/>
    <w:rsid w:val="00613F9F"/>
    <w:rsid w:val="00613FAE"/>
    <w:rsid w:val="00614061"/>
    <w:rsid w:val="0061406F"/>
    <w:rsid w:val="006140C2"/>
    <w:rsid w:val="006141A8"/>
    <w:rsid w:val="006143AE"/>
    <w:rsid w:val="00614401"/>
    <w:rsid w:val="006145AF"/>
    <w:rsid w:val="00614738"/>
    <w:rsid w:val="006147E0"/>
    <w:rsid w:val="00614A87"/>
    <w:rsid w:val="00614BDC"/>
    <w:rsid w:val="00614E75"/>
    <w:rsid w:val="00615080"/>
    <w:rsid w:val="006150E0"/>
    <w:rsid w:val="006150ED"/>
    <w:rsid w:val="006151BE"/>
    <w:rsid w:val="0061524E"/>
    <w:rsid w:val="006152E3"/>
    <w:rsid w:val="0061534E"/>
    <w:rsid w:val="006154E8"/>
    <w:rsid w:val="0061567D"/>
    <w:rsid w:val="00615741"/>
    <w:rsid w:val="00615777"/>
    <w:rsid w:val="00615987"/>
    <w:rsid w:val="0061598B"/>
    <w:rsid w:val="006159B7"/>
    <w:rsid w:val="00615C18"/>
    <w:rsid w:val="00615C39"/>
    <w:rsid w:val="00615C3A"/>
    <w:rsid w:val="00615C89"/>
    <w:rsid w:val="00615CB9"/>
    <w:rsid w:val="00615D97"/>
    <w:rsid w:val="00615EB9"/>
    <w:rsid w:val="00615F9D"/>
    <w:rsid w:val="00615FDE"/>
    <w:rsid w:val="006160C4"/>
    <w:rsid w:val="006161D8"/>
    <w:rsid w:val="0061627A"/>
    <w:rsid w:val="00616281"/>
    <w:rsid w:val="006162D7"/>
    <w:rsid w:val="00616400"/>
    <w:rsid w:val="00616461"/>
    <w:rsid w:val="0061658F"/>
    <w:rsid w:val="006165C7"/>
    <w:rsid w:val="006165EA"/>
    <w:rsid w:val="00616622"/>
    <w:rsid w:val="0061667B"/>
    <w:rsid w:val="0061673A"/>
    <w:rsid w:val="006167A6"/>
    <w:rsid w:val="00616912"/>
    <w:rsid w:val="0061699B"/>
    <w:rsid w:val="00616A44"/>
    <w:rsid w:val="00616BEC"/>
    <w:rsid w:val="00616EB8"/>
    <w:rsid w:val="00616FA1"/>
    <w:rsid w:val="00617100"/>
    <w:rsid w:val="00617114"/>
    <w:rsid w:val="0061711B"/>
    <w:rsid w:val="006171A6"/>
    <w:rsid w:val="006171F8"/>
    <w:rsid w:val="00617291"/>
    <w:rsid w:val="00617432"/>
    <w:rsid w:val="0061772B"/>
    <w:rsid w:val="0061795C"/>
    <w:rsid w:val="00617B16"/>
    <w:rsid w:val="00617C96"/>
    <w:rsid w:val="00617DCF"/>
    <w:rsid w:val="00617EFC"/>
    <w:rsid w:val="00620055"/>
    <w:rsid w:val="00620136"/>
    <w:rsid w:val="00620236"/>
    <w:rsid w:val="006202E6"/>
    <w:rsid w:val="00620414"/>
    <w:rsid w:val="006205A0"/>
    <w:rsid w:val="0062077F"/>
    <w:rsid w:val="00620860"/>
    <w:rsid w:val="00620C73"/>
    <w:rsid w:val="00620C9D"/>
    <w:rsid w:val="00620E70"/>
    <w:rsid w:val="00620F15"/>
    <w:rsid w:val="0062129F"/>
    <w:rsid w:val="00621424"/>
    <w:rsid w:val="00621603"/>
    <w:rsid w:val="0062165F"/>
    <w:rsid w:val="0062184D"/>
    <w:rsid w:val="00621861"/>
    <w:rsid w:val="00621863"/>
    <w:rsid w:val="0062188F"/>
    <w:rsid w:val="006218A8"/>
    <w:rsid w:val="006219F3"/>
    <w:rsid w:val="00621AE9"/>
    <w:rsid w:val="00621BC8"/>
    <w:rsid w:val="00621CC7"/>
    <w:rsid w:val="00621E6A"/>
    <w:rsid w:val="00622085"/>
    <w:rsid w:val="00622089"/>
    <w:rsid w:val="00622104"/>
    <w:rsid w:val="00622222"/>
    <w:rsid w:val="006223C8"/>
    <w:rsid w:val="00622514"/>
    <w:rsid w:val="00622588"/>
    <w:rsid w:val="006225F8"/>
    <w:rsid w:val="0062265B"/>
    <w:rsid w:val="006228AD"/>
    <w:rsid w:val="0062293A"/>
    <w:rsid w:val="0062298F"/>
    <w:rsid w:val="006229EC"/>
    <w:rsid w:val="00622A7D"/>
    <w:rsid w:val="00622B7A"/>
    <w:rsid w:val="00622B92"/>
    <w:rsid w:val="00622BB2"/>
    <w:rsid w:val="00622BD9"/>
    <w:rsid w:val="00622CFB"/>
    <w:rsid w:val="00622F45"/>
    <w:rsid w:val="00622F83"/>
    <w:rsid w:val="00623369"/>
    <w:rsid w:val="0062364E"/>
    <w:rsid w:val="006237E8"/>
    <w:rsid w:val="00623836"/>
    <w:rsid w:val="006238CB"/>
    <w:rsid w:val="006238D8"/>
    <w:rsid w:val="0062391A"/>
    <w:rsid w:val="00623ACF"/>
    <w:rsid w:val="00623AE2"/>
    <w:rsid w:val="00623B37"/>
    <w:rsid w:val="00623C26"/>
    <w:rsid w:val="00623D67"/>
    <w:rsid w:val="00623E3A"/>
    <w:rsid w:val="00623F80"/>
    <w:rsid w:val="006240D7"/>
    <w:rsid w:val="006241B9"/>
    <w:rsid w:val="006242E2"/>
    <w:rsid w:val="006242F1"/>
    <w:rsid w:val="006242F8"/>
    <w:rsid w:val="006243B0"/>
    <w:rsid w:val="006247BC"/>
    <w:rsid w:val="006247D0"/>
    <w:rsid w:val="00624956"/>
    <w:rsid w:val="00624B36"/>
    <w:rsid w:val="00624BE5"/>
    <w:rsid w:val="00624D05"/>
    <w:rsid w:val="00624DC6"/>
    <w:rsid w:val="00624DE3"/>
    <w:rsid w:val="00624E15"/>
    <w:rsid w:val="00624E18"/>
    <w:rsid w:val="00624ED1"/>
    <w:rsid w:val="00624FA3"/>
    <w:rsid w:val="00624FE9"/>
    <w:rsid w:val="00625000"/>
    <w:rsid w:val="00625106"/>
    <w:rsid w:val="0062515F"/>
    <w:rsid w:val="0062517C"/>
    <w:rsid w:val="0062528E"/>
    <w:rsid w:val="0062535E"/>
    <w:rsid w:val="006253D7"/>
    <w:rsid w:val="00625827"/>
    <w:rsid w:val="0062592E"/>
    <w:rsid w:val="006259D3"/>
    <w:rsid w:val="00625A20"/>
    <w:rsid w:val="00625AD6"/>
    <w:rsid w:val="00625BBC"/>
    <w:rsid w:val="00625E56"/>
    <w:rsid w:val="00625EE6"/>
    <w:rsid w:val="00625FE3"/>
    <w:rsid w:val="00626163"/>
    <w:rsid w:val="006261CD"/>
    <w:rsid w:val="006261E7"/>
    <w:rsid w:val="006263EE"/>
    <w:rsid w:val="0062647D"/>
    <w:rsid w:val="006264B8"/>
    <w:rsid w:val="006265CA"/>
    <w:rsid w:val="006266A8"/>
    <w:rsid w:val="006266B2"/>
    <w:rsid w:val="006266E1"/>
    <w:rsid w:val="0062673F"/>
    <w:rsid w:val="00626748"/>
    <w:rsid w:val="006267B9"/>
    <w:rsid w:val="006267F9"/>
    <w:rsid w:val="00626839"/>
    <w:rsid w:val="0062694C"/>
    <w:rsid w:val="006269A8"/>
    <w:rsid w:val="00626A84"/>
    <w:rsid w:val="00626CC9"/>
    <w:rsid w:val="00626DB0"/>
    <w:rsid w:val="00626DDC"/>
    <w:rsid w:val="00626E3F"/>
    <w:rsid w:val="00626E9A"/>
    <w:rsid w:val="00626EA3"/>
    <w:rsid w:val="00627088"/>
    <w:rsid w:val="006270B2"/>
    <w:rsid w:val="0062710D"/>
    <w:rsid w:val="0062711A"/>
    <w:rsid w:val="00627341"/>
    <w:rsid w:val="00627458"/>
    <w:rsid w:val="00627568"/>
    <w:rsid w:val="0062758D"/>
    <w:rsid w:val="0062763B"/>
    <w:rsid w:val="006276E6"/>
    <w:rsid w:val="0062771D"/>
    <w:rsid w:val="00627867"/>
    <w:rsid w:val="00627890"/>
    <w:rsid w:val="006279C1"/>
    <w:rsid w:val="00627B20"/>
    <w:rsid w:val="00627C14"/>
    <w:rsid w:val="00627D4B"/>
    <w:rsid w:val="00627DB7"/>
    <w:rsid w:val="00630162"/>
    <w:rsid w:val="006301D2"/>
    <w:rsid w:val="006301FF"/>
    <w:rsid w:val="00630300"/>
    <w:rsid w:val="00630388"/>
    <w:rsid w:val="00630696"/>
    <w:rsid w:val="00630743"/>
    <w:rsid w:val="006308F4"/>
    <w:rsid w:val="0063092A"/>
    <w:rsid w:val="00630AB5"/>
    <w:rsid w:val="00630B5C"/>
    <w:rsid w:val="00630C4F"/>
    <w:rsid w:val="00630C80"/>
    <w:rsid w:val="00630CB5"/>
    <w:rsid w:val="00630D9E"/>
    <w:rsid w:val="00630DA4"/>
    <w:rsid w:val="00630E17"/>
    <w:rsid w:val="00630EBC"/>
    <w:rsid w:val="00630FDF"/>
    <w:rsid w:val="0063101F"/>
    <w:rsid w:val="0063119A"/>
    <w:rsid w:val="0063131F"/>
    <w:rsid w:val="006313F5"/>
    <w:rsid w:val="006315D5"/>
    <w:rsid w:val="006317B9"/>
    <w:rsid w:val="00631811"/>
    <w:rsid w:val="00631870"/>
    <w:rsid w:val="00631890"/>
    <w:rsid w:val="00631918"/>
    <w:rsid w:val="006319E3"/>
    <w:rsid w:val="00631A4F"/>
    <w:rsid w:val="00631B6F"/>
    <w:rsid w:val="00631B73"/>
    <w:rsid w:val="00631BA4"/>
    <w:rsid w:val="00631C8A"/>
    <w:rsid w:val="00631CE9"/>
    <w:rsid w:val="00631E80"/>
    <w:rsid w:val="00631FD2"/>
    <w:rsid w:val="00632027"/>
    <w:rsid w:val="00632058"/>
    <w:rsid w:val="00632097"/>
    <w:rsid w:val="0063219F"/>
    <w:rsid w:val="00632290"/>
    <w:rsid w:val="006322F4"/>
    <w:rsid w:val="006323CA"/>
    <w:rsid w:val="006324B9"/>
    <w:rsid w:val="0063264F"/>
    <w:rsid w:val="0063270F"/>
    <w:rsid w:val="006327C2"/>
    <w:rsid w:val="00632874"/>
    <w:rsid w:val="00632CDD"/>
    <w:rsid w:val="00632CE1"/>
    <w:rsid w:val="00632CE4"/>
    <w:rsid w:val="00632D40"/>
    <w:rsid w:val="00632E7C"/>
    <w:rsid w:val="006330F1"/>
    <w:rsid w:val="00633155"/>
    <w:rsid w:val="006331E6"/>
    <w:rsid w:val="006331EC"/>
    <w:rsid w:val="006331ED"/>
    <w:rsid w:val="0063321A"/>
    <w:rsid w:val="006333C0"/>
    <w:rsid w:val="006334AD"/>
    <w:rsid w:val="00633539"/>
    <w:rsid w:val="006335DC"/>
    <w:rsid w:val="0063362D"/>
    <w:rsid w:val="00633819"/>
    <w:rsid w:val="00633850"/>
    <w:rsid w:val="006338D5"/>
    <w:rsid w:val="00633994"/>
    <w:rsid w:val="00633AB1"/>
    <w:rsid w:val="00633BBF"/>
    <w:rsid w:val="00633C9E"/>
    <w:rsid w:val="00633DA8"/>
    <w:rsid w:val="00633E19"/>
    <w:rsid w:val="00633E2A"/>
    <w:rsid w:val="00633E42"/>
    <w:rsid w:val="00633EF8"/>
    <w:rsid w:val="00634041"/>
    <w:rsid w:val="00634097"/>
    <w:rsid w:val="00634219"/>
    <w:rsid w:val="0063426B"/>
    <w:rsid w:val="006342F8"/>
    <w:rsid w:val="00634396"/>
    <w:rsid w:val="006343B9"/>
    <w:rsid w:val="006344AA"/>
    <w:rsid w:val="0063470A"/>
    <w:rsid w:val="0063486D"/>
    <w:rsid w:val="0063489D"/>
    <w:rsid w:val="006349F8"/>
    <w:rsid w:val="00634A0E"/>
    <w:rsid w:val="00634A9E"/>
    <w:rsid w:val="00634B04"/>
    <w:rsid w:val="00634B67"/>
    <w:rsid w:val="00634B97"/>
    <w:rsid w:val="00634BBC"/>
    <w:rsid w:val="00634D6A"/>
    <w:rsid w:val="00634D8D"/>
    <w:rsid w:val="00634DBA"/>
    <w:rsid w:val="00634EA1"/>
    <w:rsid w:val="00634EDE"/>
    <w:rsid w:val="006350BF"/>
    <w:rsid w:val="00635226"/>
    <w:rsid w:val="00635359"/>
    <w:rsid w:val="006355A5"/>
    <w:rsid w:val="00635670"/>
    <w:rsid w:val="006356A0"/>
    <w:rsid w:val="00635740"/>
    <w:rsid w:val="0063575C"/>
    <w:rsid w:val="006357D7"/>
    <w:rsid w:val="00635975"/>
    <w:rsid w:val="00635AD4"/>
    <w:rsid w:val="00635B33"/>
    <w:rsid w:val="00635C28"/>
    <w:rsid w:val="00635E64"/>
    <w:rsid w:val="00635F07"/>
    <w:rsid w:val="00635F41"/>
    <w:rsid w:val="00635F55"/>
    <w:rsid w:val="00635FD9"/>
    <w:rsid w:val="006360BE"/>
    <w:rsid w:val="00636108"/>
    <w:rsid w:val="006361BC"/>
    <w:rsid w:val="00636376"/>
    <w:rsid w:val="00636393"/>
    <w:rsid w:val="00636415"/>
    <w:rsid w:val="006364B8"/>
    <w:rsid w:val="0063654F"/>
    <w:rsid w:val="006366E6"/>
    <w:rsid w:val="00636738"/>
    <w:rsid w:val="00636816"/>
    <w:rsid w:val="006368F4"/>
    <w:rsid w:val="0063699B"/>
    <w:rsid w:val="00636BA8"/>
    <w:rsid w:val="00636BB2"/>
    <w:rsid w:val="00636BD0"/>
    <w:rsid w:val="00636D7A"/>
    <w:rsid w:val="00636DBD"/>
    <w:rsid w:val="00636E45"/>
    <w:rsid w:val="00636FAD"/>
    <w:rsid w:val="006370C0"/>
    <w:rsid w:val="0063710B"/>
    <w:rsid w:val="006371B2"/>
    <w:rsid w:val="0063727D"/>
    <w:rsid w:val="006372A7"/>
    <w:rsid w:val="006372E5"/>
    <w:rsid w:val="00637306"/>
    <w:rsid w:val="0063739D"/>
    <w:rsid w:val="00637415"/>
    <w:rsid w:val="00637451"/>
    <w:rsid w:val="006374CF"/>
    <w:rsid w:val="006374DE"/>
    <w:rsid w:val="006375D7"/>
    <w:rsid w:val="006377F1"/>
    <w:rsid w:val="00637815"/>
    <w:rsid w:val="006378D0"/>
    <w:rsid w:val="00637A5E"/>
    <w:rsid w:val="00637B10"/>
    <w:rsid w:val="00637B39"/>
    <w:rsid w:val="00637B9E"/>
    <w:rsid w:val="00637C52"/>
    <w:rsid w:val="00637C93"/>
    <w:rsid w:val="00637EDD"/>
    <w:rsid w:val="00637F85"/>
    <w:rsid w:val="00640021"/>
    <w:rsid w:val="00640166"/>
    <w:rsid w:val="006401F8"/>
    <w:rsid w:val="006402E0"/>
    <w:rsid w:val="00640349"/>
    <w:rsid w:val="00640384"/>
    <w:rsid w:val="006404DC"/>
    <w:rsid w:val="006406AA"/>
    <w:rsid w:val="006407AF"/>
    <w:rsid w:val="006407E1"/>
    <w:rsid w:val="006409F5"/>
    <w:rsid w:val="00640C74"/>
    <w:rsid w:val="00640E4F"/>
    <w:rsid w:val="00640EE7"/>
    <w:rsid w:val="00640FE8"/>
    <w:rsid w:val="00641074"/>
    <w:rsid w:val="00641118"/>
    <w:rsid w:val="006411C8"/>
    <w:rsid w:val="0064121E"/>
    <w:rsid w:val="006413B0"/>
    <w:rsid w:val="006414B6"/>
    <w:rsid w:val="0064153A"/>
    <w:rsid w:val="00641611"/>
    <w:rsid w:val="006416BA"/>
    <w:rsid w:val="006416F6"/>
    <w:rsid w:val="0064175D"/>
    <w:rsid w:val="0064182E"/>
    <w:rsid w:val="00641A5F"/>
    <w:rsid w:val="00641B7B"/>
    <w:rsid w:val="00641BFB"/>
    <w:rsid w:val="00641C7B"/>
    <w:rsid w:val="00641D48"/>
    <w:rsid w:val="00641D9D"/>
    <w:rsid w:val="00641E78"/>
    <w:rsid w:val="00641EB1"/>
    <w:rsid w:val="00641FE2"/>
    <w:rsid w:val="00642459"/>
    <w:rsid w:val="00642474"/>
    <w:rsid w:val="006424EB"/>
    <w:rsid w:val="00642563"/>
    <w:rsid w:val="006425B7"/>
    <w:rsid w:val="006425FB"/>
    <w:rsid w:val="00642608"/>
    <w:rsid w:val="0064272F"/>
    <w:rsid w:val="0064281A"/>
    <w:rsid w:val="0064285E"/>
    <w:rsid w:val="00642903"/>
    <w:rsid w:val="00642956"/>
    <w:rsid w:val="00642A65"/>
    <w:rsid w:val="00642AE2"/>
    <w:rsid w:val="00642B14"/>
    <w:rsid w:val="00642BFA"/>
    <w:rsid w:val="00642CF1"/>
    <w:rsid w:val="00642D17"/>
    <w:rsid w:val="00642DA6"/>
    <w:rsid w:val="00642E4C"/>
    <w:rsid w:val="00642EF4"/>
    <w:rsid w:val="00642F7B"/>
    <w:rsid w:val="00642FC4"/>
    <w:rsid w:val="00642FF0"/>
    <w:rsid w:val="006430A5"/>
    <w:rsid w:val="006430CB"/>
    <w:rsid w:val="00643125"/>
    <w:rsid w:val="00643267"/>
    <w:rsid w:val="00643354"/>
    <w:rsid w:val="006433D9"/>
    <w:rsid w:val="00643555"/>
    <w:rsid w:val="0064368F"/>
    <w:rsid w:val="0064370C"/>
    <w:rsid w:val="0064392A"/>
    <w:rsid w:val="00643C06"/>
    <w:rsid w:val="00643C4E"/>
    <w:rsid w:val="00643D8A"/>
    <w:rsid w:val="00643DC8"/>
    <w:rsid w:val="0064418C"/>
    <w:rsid w:val="00644312"/>
    <w:rsid w:val="00644480"/>
    <w:rsid w:val="00644822"/>
    <w:rsid w:val="006448A1"/>
    <w:rsid w:val="006448EE"/>
    <w:rsid w:val="00644967"/>
    <w:rsid w:val="00644BD0"/>
    <w:rsid w:val="00644BF8"/>
    <w:rsid w:val="00644C6C"/>
    <w:rsid w:val="00644C81"/>
    <w:rsid w:val="00644D1D"/>
    <w:rsid w:val="00644FB9"/>
    <w:rsid w:val="0064515B"/>
    <w:rsid w:val="00645381"/>
    <w:rsid w:val="006453F1"/>
    <w:rsid w:val="00645643"/>
    <w:rsid w:val="006456B1"/>
    <w:rsid w:val="00645749"/>
    <w:rsid w:val="00645845"/>
    <w:rsid w:val="00645865"/>
    <w:rsid w:val="0064593F"/>
    <w:rsid w:val="00645A2E"/>
    <w:rsid w:val="00645A82"/>
    <w:rsid w:val="00645AAA"/>
    <w:rsid w:val="00645AF8"/>
    <w:rsid w:val="00645C97"/>
    <w:rsid w:val="00645D06"/>
    <w:rsid w:val="00645D63"/>
    <w:rsid w:val="00645E57"/>
    <w:rsid w:val="00645FD3"/>
    <w:rsid w:val="0064615B"/>
    <w:rsid w:val="006462A2"/>
    <w:rsid w:val="0064640F"/>
    <w:rsid w:val="00646474"/>
    <w:rsid w:val="006464A2"/>
    <w:rsid w:val="0064679F"/>
    <w:rsid w:val="006467BA"/>
    <w:rsid w:val="00646B26"/>
    <w:rsid w:val="00646CCC"/>
    <w:rsid w:val="00646D13"/>
    <w:rsid w:val="00646D17"/>
    <w:rsid w:val="00646E9C"/>
    <w:rsid w:val="00646F92"/>
    <w:rsid w:val="00647025"/>
    <w:rsid w:val="00647027"/>
    <w:rsid w:val="006471A7"/>
    <w:rsid w:val="006472BA"/>
    <w:rsid w:val="00647319"/>
    <w:rsid w:val="00647490"/>
    <w:rsid w:val="006474AE"/>
    <w:rsid w:val="00647507"/>
    <w:rsid w:val="00647631"/>
    <w:rsid w:val="006476C2"/>
    <w:rsid w:val="006478C3"/>
    <w:rsid w:val="00647A5F"/>
    <w:rsid w:val="00647B0B"/>
    <w:rsid w:val="00647BE9"/>
    <w:rsid w:val="00647C23"/>
    <w:rsid w:val="00647E50"/>
    <w:rsid w:val="00647E95"/>
    <w:rsid w:val="00647EF6"/>
    <w:rsid w:val="00647F79"/>
    <w:rsid w:val="00650185"/>
    <w:rsid w:val="006503E8"/>
    <w:rsid w:val="0065051F"/>
    <w:rsid w:val="006505B4"/>
    <w:rsid w:val="00650619"/>
    <w:rsid w:val="00650879"/>
    <w:rsid w:val="006508B8"/>
    <w:rsid w:val="0065091A"/>
    <w:rsid w:val="00650991"/>
    <w:rsid w:val="00650CAD"/>
    <w:rsid w:val="00650DED"/>
    <w:rsid w:val="00650E54"/>
    <w:rsid w:val="00650EA5"/>
    <w:rsid w:val="00651039"/>
    <w:rsid w:val="006510A3"/>
    <w:rsid w:val="00651111"/>
    <w:rsid w:val="006512DB"/>
    <w:rsid w:val="0065131F"/>
    <w:rsid w:val="00651436"/>
    <w:rsid w:val="00651487"/>
    <w:rsid w:val="006517FF"/>
    <w:rsid w:val="0065181D"/>
    <w:rsid w:val="00651820"/>
    <w:rsid w:val="006518DE"/>
    <w:rsid w:val="00651921"/>
    <w:rsid w:val="00651AA9"/>
    <w:rsid w:val="00651AE4"/>
    <w:rsid w:val="00651BD3"/>
    <w:rsid w:val="00651C2F"/>
    <w:rsid w:val="00651E39"/>
    <w:rsid w:val="00651F94"/>
    <w:rsid w:val="006520A6"/>
    <w:rsid w:val="0065210F"/>
    <w:rsid w:val="00652324"/>
    <w:rsid w:val="0065264E"/>
    <w:rsid w:val="006528F4"/>
    <w:rsid w:val="006529B3"/>
    <w:rsid w:val="00652BC7"/>
    <w:rsid w:val="00652BFA"/>
    <w:rsid w:val="00652E9A"/>
    <w:rsid w:val="00652EB1"/>
    <w:rsid w:val="0065300C"/>
    <w:rsid w:val="00653045"/>
    <w:rsid w:val="0065309C"/>
    <w:rsid w:val="00653158"/>
    <w:rsid w:val="00653164"/>
    <w:rsid w:val="00653481"/>
    <w:rsid w:val="006535E1"/>
    <w:rsid w:val="006535E2"/>
    <w:rsid w:val="00653685"/>
    <w:rsid w:val="006538BC"/>
    <w:rsid w:val="00653AE3"/>
    <w:rsid w:val="00653AE7"/>
    <w:rsid w:val="00653BCD"/>
    <w:rsid w:val="00653D15"/>
    <w:rsid w:val="00653E86"/>
    <w:rsid w:val="00653EFC"/>
    <w:rsid w:val="0065401D"/>
    <w:rsid w:val="00654075"/>
    <w:rsid w:val="00654282"/>
    <w:rsid w:val="00654475"/>
    <w:rsid w:val="006544A1"/>
    <w:rsid w:val="006544BB"/>
    <w:rsid w:val="006545A9"/>
    <w:rsid w:val="006545DF"/>
    <w:rsid w:val="0065478D"/>
    <w:rsid w:val="00654AC0"/>
    <w:rsid w:val="00654B7E"/>
    <w:rsid w:val="00654DA8"/>
    <w:rsid w:val="00654DC4"/>
    <w:rsid w:val="00654E91"/>
    <w:rsid w:val="00654EB0"/>
    <w:rsid w:val="00654ECC"/>
    <w:rsid w:val="00654F6A"/>
    <w:rsid w:val="00654F85"/>
    <w:rsid w:val="00654FB1"/>
    <w:rsid w:val="00654FC8"/>
    <w:rsid w:val="0065516E"/>
    <w:rsid w:val="0065523B"/>
    <w:rsid w:val="006552D5"/>
    <w:rsid w:val="00655304"/>
    <w:rsid w:val="00655408"/>
    <w:rsid w:val="006554CF"/>
    <w:rsid w:val="00655527"/>
    <w:rsid w:val="00655758"/>
    <w:rsid w:val="00655C2C"/>
    <w:rsid w:val="00655DB2"/>
    <w:rsid w:val="00655E76"/>
    <w:rsid w:val="00655EF6"/>
    <w:rsid w:val="00655F8B"/>
    <w:rsid w:val="006560A9"/>
    <w:rsid w:val="0065625F"/>
    <w:rsid w:val="0065633D"/>
    <w:rsid w:val="00656597"/>
    <w:rsid w:val="006565BC"/>
    <w:rsid w:val="0065667D"/>
    <w:rsid w:val="0065689A"/>
    <w:rsid w:val="00656A09"/>
    <w:rsid w:val="00656A57"/>
    <w:rsid w:val="00656C60"/>
    <w:rsid w:val="00656CFB"/>
    <w:rsid w:val="00656D10"/>
    <w:rsid w:val="00656E68"/>
    <w:rsid w:val="006570E3"/>
    <w:rsid w:val="00657148"/>
    <w:rsid w:val="006571E1"/>
    <w:rsid w:val="00657253"/>
    <w:rsid w:val="00657399"/>
    <w:rsid w:val="00657927"/>
    <w:rsid w:val="006579CF"/>
    <w:rsid w:val="00657C0D"/>
    <w:rsid w:val="00657CCD"/>
    <w:rsid w:val="00657CF4"/>
    <w:rsid w:val="00657E0C"/>
    <w:rsid w:val="00657E47"/>
    <w:rsid w:val="00657E87"/>
    <w:rsid w:val="00657FAB"/>
    <w:rsid w:val="00657FB7"/>
    <w:rsid w:val="00660063"/>
    <w:rsid w:val="006600B9"/>
    <w:rsid w:val="00660152"/>
    <w:rsid w:val="0066018E"/>
    <w:rsid w:val="006602E0"/>
    <w:rsid w:val="00660437"/>
    <w:rsid w:val="00660496"/>
    <w:rsid w:val="006604ED"/>
    <w:rsid w:val="00660569"/>
    <w:rsid w:val="006605B9"/>
    <w:rsid w:val="00660611"/>
    <w:rsid w:val="00660653"/>
    <w:rsid w:val="00660679"/>
    <w:rsid w:val="0066089F"/>
    <w:rsid w:val="006608C4"/>
    <w:rsid w:val="00660906"/>
    <w:rsid w:val="00660960"/>
    <w:rsid w:val="00660A27"/>
    <w:rsid w:val="00660B46"/>
    <w:rsid w:val="00660C45"/>
    <w:rsid w:val="00660DE9"/>
    <w:rsid w:val="006612B9"/>
    <w:rsid w:val="00661450"/>
    <w:rsid w:val="00661488"/>
    <w:rsid w:val="006614F4"/>
    <w:rsid w:val="00661539"/>
    <w:rsid w:val="0066155C"/>
    <w:rsid w:val="006615F4"/>
    <w:rsid w:val="00661890"/>
    <w:rsid w:val="00661A72"/>
    <w:rsid w:val="00661B79"/>
    <w:rsid w:val="00661EA1"/>
    <w:rsid w:val="00661F1B"/>
    <w:rsid w:val="00662060"/>
    <w:rsid w:val="0066220B"/>
    <w:rsid w:val="00662396"/>
    <w:rsid w:val="00662398"/>
    <w:rsid w:val="006623B2"/>
    <w:rsid w:val="006623DA"/>
    <w:rsid w:val="0066256B"/>
    <w:rsid w:val="00662889"/>
    <w:rsid w:val="00662900"/>
    <w:rsid w:val="00662945"/>
    <w:rsid w:val="006629A9"/>
    <w:rsid w:val="006629F4"/>
    <w:rsid w:val="00662A1E"/>
    <w:rsid w:val="00662C1F"/>
    <w:rsid w:val="00662C21"/>
    <w:rsid w:val="00662C96"/>
    <w:rsid w:val="00662E07"/>
    <w:rsid w:val="00662E22"/>
    <w:rsid w:val="00662F9A"/>
    <w:rsid w:val="0066306E"/>
    <w:rsid w:val="0066310E"/>
    <w:rsid w:val="00663332"/>
    <w:rsid w:val="006634A6"/>
    <w:rsid w:val="006634BE"/>
    <w:rsid w:val="0066364B"/>
    <w:rsid w:val="006637A7"/>
    <w:rsid w:val="00663943"/>
    <w:rsid w:val="00663B76"/>
    <w:rsid w:val="00663C0A"/>
    <w:rsid w:val="00663D0A"/>
    <w:rsid w:val="00663D48"/>
    <w:rsid w:val="00663F36"/>
    <w:rsid w:val="00664170"/>
    <w:rsid w:val="006641BA"/>
    <w:rsid w:val="00664246"/>
    <w:rsid w:val="006643D6"/>
    <w:rsid w:val="006644C2"/>
    <w:rsid w:val="0066466C"/>
    <w:rsid w:val="006649DD"/>
    <w:rsid w:val="00664A27"/>
    <w:rsid w:val="00664AF9"/>
    <w:rsid w:val="00664C8E"/>
    <w:rsid w:val="00664CB2"/>
    <w:rsid w:val="00664CCB"/>
    <w:rsid w:val="00664E00"/>
    <w:rsid w:val="00664E46"/>
    <w:rsid w:val="00664E69"/>
    <w:rsid w:val="00664F91"/>
    <w:rsid w:val="0066528B"/>
    <w:rsid w:val="0066538D"/>
    <w:rsid w:val="00665414"/>
    <w:rsid w:val="0066546E"/>
    <w:rsid w:val="00665495"/>
    <w:rsid w:val="0066559B"/>
    <w:rsid w:val="00665604"/>
    <w:rsid w:val="0066561B"/>
    <w:rsid w:val="00665648"/>
    <w:rsid w:val="00665692"/>
    <w:rsid w:val="006656C7"/>
    <w:rsid w:val="00665740"/>
    <w:rsid w:val="006658B8"/>
    <w:rsid w:val="00665A01"/>
    <w:rsid w:val="00665B30"/>
    <w:rsid w:val="00665BCD"/>
    <w:rsid w:val="00665C02"/>
    <w:rsid w:val="00665D34"/>
    <w:rsid w:val="00665E2A"/>
    <w:rsid w:val="00665FDD"/>
    <w:rsid w:val="00666324"/>
    <w:rsid w:val="0066657E"/>
    <w:rsid w:val="006666C9"/>
    <w:rsid w:val="006667A2"/>
    <w:rsid w:val="00666907"/>
    <w:rsid w:val="006669F6"/>
    <w:rsid w:val="00666A4F"/>
    <w:rsid w:val="00666AF9"/>
    <w:rsid w:val="00666B76"/>
    <w:rsid w:val="00666BAA"/>
    <w:rsid w:val="00666C41"/>
    <w:rsid w:val="00666EEC"/>
    <w:rsid w:val="00666EF4"/>
    <w:rsid w:val="00667029"/>
    <w:rsid w:val="006673D2"/>
    <w:rsid w:val="006674C9"/>
    <w:rsid w:val="00667596"/>
    <w:rsid w:val="006675DA"/>
    <w:rsid w:val="006676C5"/>
    <w:rsid w:val="00667776"/>
    <w:rsid w:val="00667933"/>
    <w:rsid w:val="006679A7"/>
    <w:rsid w:val="006679B6"/>
    <w:rsid w:val="006679B8"/>
    <w:rsid w:val="006679BA"/>
    <w:rsid w:val="00667BA9"/>
    <w:rsid w:val="00667CA0"/>
    <w:rsid w:val="00667D66"/>
    <w:rsid w:val="00667E7F"/>
    <w:rsid w:val="00670040"/>
    <w:rsid w:val="0067007D"/>
    <w:rsid w:val="00670240"/>
    <w:rsid w:val="006702E8"/>
    <w:rsid w:val="0067033C"/>
    <w:rsid w:val="006704CB"/>
    <w:rsid w:val="00670556"/>
    <w:rsid w:val="0067065C"/>
    <w:rsid w:val="006707AC"/>
    <w:rsid w:val="006708FC"/>
    <w:rsid w:val="00670996"/>
    <w:rsid w:val="006709B7"/>
    <w:rsid w:val="00670D98"/>
    <w:rsid w:val="00670E90"/>
    <w:rsid w:val="00670FBF"/>
    <w:rsid w:val="00671023"/>
    <w:rsid w:val="0067109F"/>
    <w:rsid w:val="006710FA"/>
    <w:rsid w:val="006711F4"/>
    <w:rsid w:val="0067128C"/>
    <w:rsid w:val="006712F4"/>
    <w:rsid w:val="006713A6"/>
    <w:rsid w:val="006713CE"/>
    <w:rsid w:val="00671512"/>
    <w:rsid w:val="0067156A"/>
    <w:rsid w:val="006716A8"/>
    <w:rsid w:val="0067171C"/>
    <w:rsid w:val="00671822"/>
    <w:rsid w:val="00671901"/>
    <w:rsid w:val="006719B2"/>
    <w:rsid w:val="006719F8"/>
    <w:rsid w:val="00671A67"/>
    <w:rsid w:val="00671A78"/>
    <w:rsid w:val="00671BBD"/>
    <w:rsid w:val="00671C5C"/>
    <w:rsid w:val="00671E86"/>
    <w:rsid w:val="00671E97"/>
    <w:rsid w:val="00671EDE"/>
    <w:rsid w:val="00672152"/>
    <w:rsid w:val="006721F8"/>
    <w:rsid w:val="00672295"/>
    <w:rsid w:val="006722DF"/>
    <w:rsid w:val="006724F5"/>
    <w:rsid w:val="00672763"/>
    <w:rsid w:val="006728A8"/>
    <w:rsid w:val="006728E2"/>
    <w:rsid w:val="006729B4"/>
    <w:rsid w:val="00672BA8"/>
    <w:rsid w:val="00672C06"/>
    <w:rsid w:val="00672D3B"/>
    <w:rsid w:val="00672D8B"/>
    <w:rsid w:val="00672E27"/>
    <w:rsid w:val="00672EE7"/>
    <w:rsid w:val="0067300A"/>
    <w:rsid w:val="00673056"/>
    <w:rsid w:val="006733D8"/>
    <w:rsid w:val="00673428"/>
    <w:rsid w:val="00673522"/>
    <w:rsid w:val="00673731"/>
    <w:rsid w:val="0067385D"/>
    <w:rsid w:val="006738B9"/>
    <w:rsid w:val="0067392F"/>
    <w:rsid w:val="00673A9F"/>
    <w:rsid w:val="00673BCE"/>
    <w:rsid w:val="00673DBC"/>
    <w:rsid w:val="00673F0A"/>
    <w:rsid w:val="00673F3D"/>
    <w:rsid w:val="006741A2"/>
    <w:rsid w:val="00674378"/>
    <w:rsid w:val="0067444D"/>
    <w:rsid w:val="00674585"/>
    <w:rsid w:val="006745F7"/>
    <w:rsid w:val="006746A1"/>
    <w:rsid w:val="0067479B"/>
    <w:rsid w:val="006748F7"/>
    <w:rsid w:val="0067497A"/>
    <w:rsid w:val="00674AC2"/>
    <w:rsid w:val="00674AC7"/>
    <w:rsid w:val="00674CA3"/>
    <w:rsid w:val="00674D18"/>
    <w:rsid w:val="00675078"/>
    <w:rsid w:val="00675153"/>
    <w:rsid w:val="0067526D"/>
    <w:rsid w:val="00675286"/>
    <w:rsid w:val="006752AA"/>
    <w:rsid w:val="006752C9"/>
    <w:rsid w:val="0067541A"/>
    <w:rsid w:val="006755B0"/>
    <w:rsid w:val="00675694"/>
    <w:rsid w:val="0067572D"/>
    <w:rsid w:val="0067578C"/>
    <w:rsid w:val="00675920"/>
    <w:rsid w:val="00675D97"/>
    <w:rsid w:val="00675D99"/>
    <w:rsid w:val="00675D9B"/>
    <w:rsid w:val="00675DA9"/>
    <w:rsid w:val="00675F09"/>
    <w:rsid w:val="00675F8B"/>
    <w:rsid w:val="00675FAE"/>
    <w:rsid w:val="00675FDD"/>
    <w:rsid w:val="00676045"/>
    <w:rsid w:val="006760A7"/>
    <w:rsid w:val="00676268"/>
    <w:rsid w:val="006762DB"/>
    <w:rsid w:val="006763EB"/>
    <w:rsid w:val="0067655C"/>
    <w:rsid w:val="00676584"/>
    <w:rsid w:val="006766E5"/>
    <w:rsid w:val="00676707"/>
    <w:rsid w:val="00676725"/>
    <w:rsid w:val="00676792"/>
    <w:rsid w:val="0067685E"/>
    <w:rsid w:val="00676936"/>
    <w:rsid w:val="006769EA"/>
    <w:rsid w:val="00676A86"/>
    <w:rsid w:val="00676AA8"/>
    <w:rsid w:val="00676AEA"/>
    <w:rsid w:val="00676BC6"/>
    <w:rsid w:val="00676C9C"/>
    <w:rsid w:val="00676D4D"/>
    <w:rsid w:val="00676E7B"/>
    <w:rsid w:val="00676EEE"/>
    <w:rsid w:val="00676EF8"/>
    <w:rsid w:val="00676F67"/>
    <w:rsid w:val="006772FC"/>
    <w:rsid w:val="00677315"/>
    <w:rsid w:val="006773AC"/>
    <w:rsid w:val="006773EA"/>
    <w:rsid w:val="00677563"/>
    <w:rsid w:val="0067769B"/>
    <w:rsid w:val="006776FD"/>
    <w:rsid w:val="00677748"/>
    <w:rsid w:val="006777D6"/>
    <w:rsid w:val="0067799B"/>
    <w:rsid w:val="006779C5"/>
    <w:rsid w:val="00677BE3"/>
    <w:rsid w:val="00680090"/>
    <w:rsid w:val="00680198"/>
    <w:rsid w:val="0068049A"/>
    <w:rsid w:val="006806B7"/>
    <w:rsid w:val="006806BD"/>
    <w:rsid w:val="00680845"/>
    <w:rsid w:val="00680917"/>
    <w:rsid w:val="00680A7A"/>
    <w:rsid w:val="00680CA6"/>
    <w:rsid w:val="00680D78"/>
    <w:rsid w:val="00680DB5"/>
    <w:rsid w:val="00680EFD"/>
    <w:rsid w:val="0068106D"/>
    <w:rsid w:val="006810C1"/>
    <w:rsid w:val="006811A5"/>
    <w:rsid w:val="00681247"/>
    <w:rsid w:val="00681397"/>
    <w:rsid w:val="006814BF"/>
    <w:rsid w:val="006814DB"/>
    <w:rsid w:val="006814F7"/>
    <w:rsid w:val="00681532"/>
    <w:rsid w:val="00681579"/>
    <w:rsid w:val="00681A08"/>
    <w:rsid w:val="00681B2E"/>
    <w:rsid w:val="00681DCB"/>
    <w:rsid w:val="00681EB8"/>
    <w:rsid w:val="00681ED9"/>
    <w:rsid w:val="00681FC3"/>
    <w:rsid w:val="00682056"/>
    <w:rsid w:val="00682149"/>
    <w:rsid w:val="0068232A"/>
    <w:rsid w:val="00682552"/>
    <w:rsid w:val="006825CA"/>
    <w:rsid w:val="0068286E"/>
    <w:rsid w:val="006829F4"/>
    <w:rsid w:val="00682A17"/>
    <w:rsid w:val="00682A45"/>
    <w:rsid w:val="00682A60"/>
    <w:rsid w:val="00682AD9"/>
    <w:rsid w:val="00682B43"/>
    <w:rsid w:val="00682BBD"/>
    <w:rsid w:val="00682EEF"/>
    <w:rsid w:val="0068305E"/>
    <w:rsid w:val="006834C2"/>
    <w:rsid w:val="0068350B"/>
    <w:rsid w:val="006835F0"/>
    <w:rsid w:val="006836D7"/>
    <w:rsid w:val="0068374A"/>
    <w:rsid w:val="00683753"/>
    <w:rsid w:val="006837D4"/>
    <w:rsid w:val="006837E9"/>
    <w:rsid w:val="0068386B"/>
    <w:rsid w:val="006838AE"/>
    <w:rsid w:val="00683982"/>
    <w:rsid w:val="006839D0"/>
    <w:rsid w:val="00683B1D"/>
    <w:rsid w:val="00683C00"/>
    <w:rsid w:val="00683C28"/>
    <w:rsid w:val="00683C4F"/>
    <w:rsid w:val="00683C75"/>
    <w:rsid w:val="00683D92"/>
    <w:rsid w:val="00683E10"/>
    <w:rsid w:val="00684450"/>
    <w:rsid w:val="006845CF"/>
    <w:rsid w:val="00684602"/>
    <w:rsid w:val="006848C4"/>
    <w:rsid w:val="006848CE"/>
    <w:rsid w:val="0068490C"/>
    <w:rsid w:val="00684958"/>
    <w:rsid w:val="00684993"/>
    <w:rsid w:val="00684B0C"/>
    <w:rsid w:val="00684B2B"/>
    <w:rsid w:val="00684BCC"/>
    <w:rsid w:val="00684D4D"/>
    <w:rsid w:val="00684DC8"/>
    <w:rsid w:val="00684F8B"/>
    <w:rsid w:val="0068517B"/>
    <w:rsid w:val="0068539A"/>
    <w:rsid w:val="00685470"/>
    <w:rsid w:val="0068559D"/>
    <w:rsid w:val="0068561F"/>
    <w:rsid w:val="00685911"/>
    <w:rsid w:val="00685BC7"/>
    <w:rsid w:val="00685D38"/>
    <w:rsid w:val="00685E61"/>
    <w:rsid w:val="00685ED0"/>
    <w:rsid w:val="0068608C"/>
    <w:rsid w:val="006861AD"/>
    <w:rsid w:val="0068621D"/>
    <w:rsid w:val="006862B0"/>
    <w:rsid w:val="006868CD"/>
    <w:rsid w:val="00686A05"/>
    <w:rsid w:val="00686BE5"/>
    <w:rsid w:val="00687271"/>
    <w:rsid w:val="00687377"/>
    <w:rsid w:val="006873B1"/>
    <w:rsid w:val="0068767E"/>
    <w:rsid w:val="0068782F"/>
    <w:rsid w:val="00687977"/>
    <w:rsid w:val="00687B2A"/>
    <w:rsid w:val="00687C10"/>
    <w:rsid w:val="00687D49"/>
    <w:rsid w:val="00687D5D"/>
    <w:rsid w:val="00687ED0"/>
    <w:rsid w:val="00687FCE"/>
    <w:rsid w:val="00690031"/>
    <w:rsid w:val="00690102"/>
    <w:rsid w:val="0069016E"/>
    <w:rsid w:val="0069025F"/>
    <w:rsid w:val="006903A2"/>
    <w:rsid w:val="00690470"/>
    <w:rsid w:val="00690472"/>
    <w:rsid w:val="006904A0"/>
    <w:rsid w:val="0069087F"/>
    <w:rsid w:val="006908BA"/>
    <w:rsid w:val="0069092F"/>
    <w:rsid w:val="006909E0"/>
    <w:rsid w:val="006909FE"/>
    <w:rsid w:val="00690A2D"/>
    <w:rsid w:val="00690A4D"/>
    <w:rsid w:val="00690AAD"/>
    <w:rsid w:val="00690C92"/>
    <w:rsid w:val="00690FE3"/>
    <w:rsid w:val="00691211"/>
    <w:rsid w:val="0069122A"/>
    <w:rsid w:val="006913FA"/>
    <w:rsid w:val="00691582"/>
    <w:rsid w:val="0069158F"/>
    <w:rsid w:val="00691707"/>
    <w:rsid w:val="006918DC"/>
    <w:rsid w:val="006918FF"/>
    <w:rsid w:val="00691917"/>
    <w:rsid w:val="00691C45"/>
    <w:rsid w:val="00691EC5"/>
    <w:rsid w:val="006920DA"/>
    <w:rsid w:val="00692166"/>
    <w:rsid w:val="00692197"/>
    <w:rsid w:val="006921BC"/>
    <w:rsid w:val="006921EC"/>
    <w:rsid w:val="00692214"/>
    <w:rsid w:val="0069222E"/>
    <w:rsid w:val="00692263"/>
    <w:rsid w:val="006922D9"/>
    <w:rsid w:val="006925A5"/>
    <w:rsid w:val="00692642"/>
    <w:rsid w:val="006926D8"/>
    <w:rsid w:val="00692739"/>
    <w:rsid w:val="00692796"/>
    <w:rsid w:val="00692807"/>
    <w:rsid w:val="00692862"/>
    <w:rsid w:val="00692A27"/>
    <w:rsid w:val="00692B91"/>
    <w:rsid w:val="00692C82"/>
    <w:rsid w:val="00692F4A"/>
    <w:rsid w:val="0069303F"/>
    <w:rsid w:val="00693141"/>
    <w:rsid w:val="00693176"/>
    <w:rsid w:val="0069324E"/>
    <w:rsid w:val="00693435"/>
    <w:rsid w:val="00693586"/>
    <w:rsid w:val="006935B5"/>
    <w:rsid w:val="006935F5"/>
    <w:rsid w:val="00693874"/>
    <w:rsid w:val="006938EC"/>
    <w:rsid w:val="00693AC2"/>
    <w:rsid w:val="00693B90"/>
    <w:rsid w:val="00693BB0"/>
    <w:rsid w:val="00693BE8"/>
    <w:rsid w:val="00693D8E"/>
    <w:rsid w:val="00693F08"/>
    <w:rsid w:val="00693F11"/>
    <w:rsid w:val="00694105"/>
    <w:rsid w:val="006942F3"/>
    <w:rsid w:val="006943F7"/>
    <w:rsid w:val="006945E3"/>
    <w:rsid w:val="006946FF"/>
    <w:rsid w:val="0069483B"/>
    <w:rsid w:val="00694A34"/>
    <w:rsid w:val="00694A7F"/>
    <w:rsid w:val="00694B8E"/>
    <w:rsid w:val="00694C25"/>
    <w:rsid w:val="00694CB8"/>
    <w:rsid w:val="00694CC6"/>
    <w:rsid w:val="00694CD1"/>
    <w:rsid w:val="00694D11"/>
    <w:rsid w:val="00694DE3"/>
    <w:rsid w:val="00694F26"/>
    <w:rsid w:val="00695096"/>
    <w:rsid w:val="006950C8"/>
    <w:rsid w:val="0069511A"/>
    <w:rsid w:val="00695301"/>
    <w:rsid w:val="006953D4"/>
    <w:rsid w:val="006954EB"/>
    <w:rsid w:val="006956BC"/>
    <w:rsid w:val="0069575A"/>
    <w:rsid w:val="0069578F"/>
    <w:rsid w:val="0069579A"/>
    <w:rsid w:val="0069580F"/>
    <w:rsid w:val="00695909"/>
    <w:rsid w:val="0069596F"/>
    <w:rsid w:val="006959AC"/>
    <w:rsid w:val="006959B3"/>
    <w:rsid w:val="00695AA1"/>
    <w:rsid w:val="00695CD6"/>
    <w:rsid w:val="00695E2B"/>
    <w:rsid w:val="00695E82"/>
    <w:rsid w:val="006960F1"/>
    <w:rsid w:val="0069618A"/>
    <w:rsid w:val="006961A5"/>
    <w:rsid w:val="00696260"/>
    <w:rsid w:val="006962C0"/>
    <w:rsid w:val="006962C4"/>
    <w:rsid w:val="0069645D"/>
    <w:rsid w:val="006965EB"/>
    <w:rsid w:val="006967B5"/>
    <w:rsid w:val="006967BC"/>
    <w:rsid w:val="006967E1"/>
    <w:rsid w:val="0069689E"/>
    <w:rsid w:val="0069696B"/>
    <w:rsid w:val="006969DA"/>
    <w:rsid w:val="00696A29"/>
    <w:rsid w:val="00696A3E"/>
    <w:rsid w:val="00696A89"/>
    <w:rsid w:val="00696B9B"/>
    <w:rsid w:val="00696C8A"/>
    <w:rsid w:val="00696DBA"/>
    <w:rsid w:val="00697152"/>
    <w:rsid w:val="006971A8"/>
    <w:rsid w:val="006971F6"/>
    <w:rsid w:val="006971FF"/>
    <w:rsid w:val="006972C9"/>
    <w:rsid w:val="00697432"/>
    <w:rsid w:val="006974D7"/>
    <w:rsid w:val="0069751C"/>
    <w:rsid w:val="006975DB"/>
    <w:rsid w:val="0069781C"/>
    <w:rsid w:val="0069790E"/>
    <w:rsid w:val="00697B46"/>
    <w:rsid w:val="00697B73"/>
    <w:rsid w:val="00697BC7"/>
    <w:rsid w:val="00697BD7"/>
    <w:rsid w:val="00697BF7"/>
    <w:rsid w:val="00697C00"/>
    <w:rsid w:val="00697CBD"/>
    <w:rsid w:val="00697DED"/>
    <w:rsid w:val="00697E8A"/>
    <w:rsid w:val="00697E92"/>
    <w:rsid w:val="00697F16"/>
    <w:rsid w:val="00697F67"/>
    <w:rsid w:val="006A00EB"/>
    <w:rsid w:val="006A01FB"/>
    <w:rsid w:val="006A0295"/>
    <w:rsid w:val="006A03A3"/>
    <w:rsid w:val="006A03C0"/>
    <w:rsid w:val="006A04A4"/>
    <w:rsid w:val="006A04ED"/>
    <w:rsid w:val="006A0590"/>
    <w:rsid w:val="006A05FA"/>
    <w:rsid w:val="006A099C"/>
    <w:rsid w:val="006A0AD6"/>
    <w:rsid w:val="006A0BC1"/>
    <w:rsid w:val="006A0C4D"/>
    <w:rsid w:val="006A0D5D"/>
    <w:rsid w:val="006A0F6B"/>
    <w:rsid w:val="006A1097"/>
    <w:rsid w:val="006A11F2"/>
    <w:rsid w:val="006A1286"/>
    <w:rsid w:val="006A147C"/>
    <w:rsid w:val="006A14CA"/>
    <w:rsid w:val="006A15CB"/>
    <w:rsid w:val="006A16A5"/>
    <w:rsid w:val="006A1829"/>
    <w:rsid w:val="006A1855"/>
    <w:rsid w:val="006A18A8"/>
    <w:rsid w:val="006A19D7"/>
    <w:rsid w:val="006A1A58"/>
    <w:rsid w:val="006A1BDD"/>
    <w:rsid w:val="006A1D38"/>
    <w:rsid w:val="006A1E17"/>
    <w:rsid w:val="006A1E33"/>
    <w:rsid w:val="006A1ED1"/>
    <w:rsid w:val="006A1F96"/>
    <w:rsid w:val="006A1FDD"/>
    <w:rsid w:val="006A1FF0"/>
    <w:rsid w:val="006A1FFB"/>
    <w:rsid w:val="006A206C"/>
    <w:rsid w:val="006A2092"/>
    <w:rsid w:val="006A215A"/>
    <w:rsid w:val="006A2211"/>
    <w:rsid w:val="006A2247"/>
    <w:rsid w:val="006A24F6"/>
    <w:rsid w:val="006A269B"/>
    <w:rsid w:val="006A28B4"/>
    <w:rsid w:val="006A28D1"/>
    <w:rsid w:val="006A28FB"/>
    <w:rsid w:val="006A293A"/>
    <w:rsid w:val="006A29CF"/>
    <w:rsid w:val="006A2A4F"/>
    <w:rsid w:val="006A2AAD"/>
    <w:rsid w:val="006A2AD9"/>
    <w:rsid w:val="006A2CF9"/>
    <w:rsid w:val="006A2D78"/>
    <w:rsid w:val="006A2E61"/>
    <w:rsid w:val="006A2FEF"/>
    <w:rsid w:val="006A303A"/>
    <w:rsid w:val="006A30B4"/>
    <w:rsid w:val="006A3145"/>
    <w:rsid w:val="006A32E1"/>
    <w:rsid w:val="006A3367"/>
    <w:rsid w:val="006A33E0"/>
    <w:rsid w:val="006A34F5"/>
    <w:rsid w:val="006A373F"/>
    <w:rsid w:val="006A3765"/>
    <w:rsid w:val="006A389C"/>
    <w:rsid w:val="006A39CC"/>
    <w:rsid w:val="006A39F6"/>
    <w:rsid w:val="006A3ABC"/>
    <w:rsid w:val="006A3B8B"/>
    <w:rsid w:val="006A3DDF"/>
    <w:rsid w:val="006A3E4B"/>
    <w:rsid w:val="006A3F2D"/>
    <w:rsid w:val="006A408A"/>
    <w:rsid w:val="006A408B"/>
    <w:rsid w:val="006A408D"/>
    <w:rsid w:val="006A4366"/>
    <w:rsid w:val="006A4462"/>
    <w:rsid w:val="006A452A"/>
    <w:rsid w:val="006A4532"/>
    <w:rsid w:val="006A4595"/>
    <w:rsid w:val="006A46F2"/>
    <w:rsid w:val="006A4903"/>
    <w:rsid w:val="006A4A2A"/>
    <w:rsid w:val="006A4A75"/>
    <w:rsid w:val="006A4B92"/>
    <w:rsid w:val="006A4BBB"/>
    <w:rsid w:val="006A4CBC"/>
    <w:rsid w:val="006A4DEC"/>
    <w:rsid w:val="006A4FDC"/>
    <w:rsid w:val="006A50D7"/>
    <w:rsid w:val="006A526B"/>
    <w:rsid w:val="006A52D0"/>
    <w:rsid w:val="006A5345"/>
    <w:rsid w:val="006A5427"/>
    <w:rsid w:val="006A547D"/>
    <w:rsid w:val="006A5518"/>
    <w:rsid w:val="006A571D"/>
    <w:rsid w:val="006A59D5"/>
    <w:rsid w:val="006A5A7C"/>
    <w:rsid w:val="006A5A8D"/>
    <w:rsid w:val="006A5E10"/>
    <w:rsid w:val="006A5F18"/>
    <w:rsid w:val="006A5FA4"/>
    <w:rsid w:val="006A5FBD"/>
    <w:rsid w:val="006A6155"/>
    <w:rsid w:val="006A61A2"/>
    <w:rsid w:val="006A6248"/>
    <w:rsid w:val="006A63A7"/>
    <w:rsid w:val="006A63F2"/>
    <w:rsid w:val="006A64E5"/>
    <w:rsid w:val="006A652B"/>
    <w:rsid w:val="006A6608"/>
    <w:rsid w:val="006A69A6"/>
    <w:rsid w:val="006A6AFF"/>
    <w:rsid w:val="006A6B05"/>
    <w:rsid w:val="006A6C71"/>
    <w:rsid w:val="006A6CB6"/>
    <w:rsid w:val="006A6CD9"/>
    <w:rsid w:val="006A6CDF"/>
    <w:rsid w:val="006A6E19"/>
    <w:rsid w:val="006A6E3B"/>
    <w:rsid w:val="006A6E86"/>
    <w:rsid w:val="006A6F2A"/>
    <w:rsid w:val="006A6F36"/>
    <w:rsid w:val="006A6F81"/>
    <w:rsid w:val="006A705E"/>
    <w:rsid w:val="006A7135"/>
    <w:rsid w:val="006A7211"/>
    <w:rsid w:val="006A7226"/>
    <w:rsid w:val="006A7239"/>
    <w:rsid w:val="006A72E8"/>
    <w:rsid w:val="006A72ED"/>
    <w:rsid w:val="006A74F4"/>
    <w:rsid w:val="006A7651"/>
    <w:rsid w:val="006A76BB"/>
    <w:rsid w:val="006A790D"/>
    <w:rsid w:val="006A7D38"/>
    <w:rsid w:val="006A7DE1"/>
    <w:rsid w:val="006B001E"/>
    <w:rsid w:val="006B0116"/>
    <w:rsid w:val="006B01D0"/>
    <w:rsid w:val="006B03CC"/>
    <w:rsid w:val="006B0417"/>
    <w:rsid w:val="006B0436"/>
    <w:rsid w:val="006B046D"/>
    <w:rsid w:val="006B04D7"/>
    <w:rsid w:val="006B04DD"/>
    <w:rsid w:val="006B04E7"/>
    <w:rsid w:val="006B0538"/>
    <w:rsid w:val="006B054D"/>
    <w:rsid w:val="006B0555"/>
    <w:rsid w:val="006B077E"/>
    <w:rsid w:val="006B092F"/>
    <w:rsid w:val="006B0A02"/>
    <w:rsid w:val="006B0A45"/>
    <w:rsid w:val="006B0B33"/>
    <w:rsid w:val="006B0BBD"/>
    <w:rsid w:val="006B0DE6"/>
    <w:rsid w:val="006B11DB"/>
    <w:rsid w:val="006B1244"/>
    <w:rsid w:val="006B13B3"/>
    <w:rsid w:val="006B157C"/>
    <w:rsid w:val="006B15FF"/>
    <w:rsid w:val="006B167D"/>
    <w:rsid w:val="006B1693"/>
    <w:rsid w:val="006B1816"/>
    <w:rsid w:val="006B1904"/>
    <w:rsid w:val="006B1923"/>
    <w:rsid w:val="006B1941"/>
    <w:rsid w:val="006B1A18"/>
    <w:rsid w:val="006B1BC5"/>
    <w:rsid w:val="006B1BEC"/>
    <w:rsid w:val="006B1E73"/>
    <w:rsid w:val="006B1ED1"/>
    <w:rsid w:val="006B1EEE"/>
    <w:rsid w:val="006B1F15"/>
    <w:rsid w:val="006B1F18"/>
    <w:rsid w:val="006B1FDF"/>
    <w:rsid w:val="006B20AA"/>
    <w:rsid w:val="006B211B"/>
    <w:rsid w:val="006B2168"/>
    <w:rsid w:val="006B21D2"/>
    <w:rsid w:val="006B22AF"/>
    <w:rsid w:val="006B2314"/>
    <w:rsid w:val="006B239F"/>
    <w:rsid w:val="006B2560"/>
    <w:rsid w:val="006B2573"/>
    <w:rsid w:val="006B25C1"/>
    <w:rsid w:val="006B293F"/>
    <w:rsid w:val="006B2A5D"/>
    <w:rsid w:val="006B2C3A"/>
    <w:rsid w:val="006B2C94"/>
    <w:rsid w:val="006B2C96"/>
    <w:rsid w:val="006B2CA3"/>
    <w:rsid w:val="006B2EBA"/>
    <w:rsid w:val="006B2F5A"/>
    <w:rsid w:val="006B302F"/>
    <w:rsid w:val="006B315B"/>
    <w:rsid w:val="006B35B7"/>
    <w:rsid w:val="006B36DA"/>
    <w:rsid w:val="006B38EC"/>
    <w:rsid w:val="006B39E0"/>
    <w:rsid w:val="006B3A0D"/>
    <w:rsid w:val="006B3AF0"/>
    <w:rsid w:val="006B3F5F"/>
    <w:rsid w:val="006B3FB9"/>
    <w:rsid w:val="006B402F"/>
    <w:rsid w:val="006B4066"/>
    <w:rsid w:val="006B40DD"/>
    <w:rsid w:val="006B40F3"/>
    <w:rsid w:val="006B416C"/>
    <w:rsid w:val="006B4293"/>
    <w:rsid w:val="006B42CF"/>
    <w:rsid w:val="006B4302"/>
    <w:rsid w:val="006B43DD"/>
    <w:rsid w:val="006B460F"/>
    <w:rsid w:val="006B4786"/>
    <w:rsid w:val="006B4891"/>
    <w:rsid w:val="006B4941"/>
    <w:rsid w:val="006B4A62"/>
    <w:rsid w:val="006B4ADB"/>
    <w:rsid w:val="006B4D01"/>
    <w:rsid w:val="006B4DEF"/>
    <w:rsid w:val="006B507B"/>
    <w:rsid w:val="006B5149"/>
    <w:rsid w:val="006B51C7"/>
    <w:rsid w:val="006B52EA"/>
    <w:rsid w:val="006B52EE"/>
    <w:rsid w:val="006B5312"/>
    <w:rsid w:val="006B5516"/>
    <w:rsid w:val="006B554C"/>
    <w:rsid w:val="006B55D5"/>
    <w:rsid w:val="006B5723"/>
    <w:rsid w:val="006B5953"/>
    <w:rsid w:val="006B599D"/>
    <w:rsid w:val="006B59D6"/>
    <w:rsid w:val="006B59D9"/>
    <w:rsid w:val="006B5C94"/>
    <w:rsid w:val="006B5D31"/>
    <w:rsid w:val="006B5E27"/>
    <w:rsid w:val="006B5EC5"/>
    <w:rsid w:val="006B5F9D"/>
    <w:rsid w:val="006B5FEA"/>
    <w:rsid w:val="006B61F3"/>
    <w:rsid w:val="006B620E"/>
    <w:rsid w:val="006B622E"/>
    <w:rsid w:val="006B6424"/>
    <w:rsid w:val="006B64DA"/>
    <w:rsid w:val="006B6728"/>
    <w:rsid w:val="006B67B6"/>
    <w:rsid w:val="006B69D9"/>
    <w:rsid w:val="006B6CA6"/>
    <w:rsid w:val="006B6D28"/>
    <w:rsid w:val="006B6E22"/>
    <w:rsid w:val="006B6ED8"/>
    <w:rsid w:val="006B6F53"/>
    <w:rsid w:val="006B6FEF"/>
    <w:rsid w:val="006B7040"/>
    <w:rsid w:val="006B712D"/>
    <w:rsid w:val="006B74C8"/>
    <w:rsid w:val="006B754A"/>
    <w:rsid w:val="006B7735"/>
    <w:rsid w:val="006B77A9"/>
    <w:rsid w:val="006B77D7"/>
    <w:rsid w:val="006B792B"/>
    <w:rsid w:val="006B7A31"/>
    <w:rsid w:val="006B7B6E"/>
    <w:rsid w:val="006B7C0D"/>
    <w:rsid w:val="006B7D01"/>
    <w:rsid w:val="006B7D36"/>
    <w:rsid w:val="006B7E8B"/>
    <w:rsid w:val="006B7F58"/>
    <w:rsid w:val="006B7FB3"/>
    <w:rsid w:val="006C019F"/>
    <w:rsid w:val="006C01AD"/>
    <w:rsid w:val="006C026A"/>
    <w:rsid w:val="006C0285"/>
    <w:rsid w:val="006C02E0"/>
    <w:rsid w:val="006C0355"/>
    <w:rsid w:val="006C0392"/>
    <w:rsid w:val="006C0445"/>
    <w:rsid w:val="006C057A"/>
    <w:rsid w:val="006C061B"/>
    <w:rsid w:val="006C08CE"/>
    <w:rsid w:val="006C0AC5"/>
    <w:rsid w:val="006C0B24"/>
    <w:rsid w:val="006C0B2C"/>
    <w:rsid w:val="006C0B9C"/>
    <w:rsid w:val="006C0BF1"/>
    <w:rsid w:val="006C0BF2"/>
    <w:rsid w:val="006C0C21"/>
    <w:rsid w:val="006C0DD9"/>
    <w:rsid w:val="006C1066"/>
    <w:rsid w:val="006C1294"/>
    <w:rsid w:val="006C1473"/>
    <w:rsid w:val="006C149F"/>
    <w:rsid w:val="006C15A5"/>
    <w:rsid w:val="006C162D"/>
    <w:rsid w:val="006C186C"/>
    <w:rsid w:val="006C18B6"/>
    <w:rsid w:val="006C18F6"/>
    <w:rsid w:val="006C18FD"/>
    <w:rsid w:val="006C1923"/>
    <w:rsid w:val="006C19B0"/>
    <w:rsid w:val="006C19F1"/>
    <w:rsid w:val="006C1B99"/>
    <w:rsid w:val="006C1D8F"/>
    <w:rsid w:val="006C1E75"/>
    <w:rsid w:val="006C1F73"/>
    <w:rsid w:val="006C232D"/>
    <w:rsid w:val="006C2367"/>
    <w:rsid w:val="006C26BF"/>
    <w:rsid w:val="006C2857"/>
    <w:rsid w:val="006C2873"/>
    <w:rsid w:val="006C288B"/>
    <w:rsid w:val="006C2964"/>
    <w:rsid w:val="006C2A55"/>
    <w:rsid w:val="006C2AC6"/>
    <w:rsid w:val="006C2B7D"/>
    <w:rsid w:val="006C2D34"/>
    <w:rsid w:val="006C2D98"/>
    <w:rsid w:val="006C2E23"/>
    <w:rsid w:val="006C2FDF"/>
    <w:rsid w:val="006C32CE"/>
    <w:rsid w:val="006C3393"/>
    <w:rsid w:val="006C34D2"/>
    <w:rsid w:val="006C34D8"/>
    <w:rsid w:val="006C3579"/>
    <w:rsid w:val="006C3787"/>
    <w:rsid w:val="006C37AE"/>
    <w:rsid w:val="006C3827"/>
    <w:rsid w:val="006C3939"/>
    <w:rsid w:val="006C39F0"/>
    <w:rsid w:val="006C39F7"/>
    <w:rsid w:val="006C3A9D"/>
    <w:rsid w:val="006C3AA4"/>
    <w:rsid w:val="006C3C41"/>
    <w:rsid w:val="006C3C6D"/>
    <w:rsid w:val="006C3CF8"/>
    <w:rsid w:val="006C3CFE"/>
    <w:rsid w:val="006C3E3C"/>
    <w:rsid w:val="006C3EA6"/>
    <w:rsid w:val="006C3F9A"/>
    <w:rsid w:val="006C3FB5"/>
    <w:rsid w:val="006C3FBD"/>
    <w:rsid w:val="006C3FE4"/>
    <w:rsid w:val="006C4121"/>
    <w:rsid w:val="006C416A"/>
    <w:rsid w:val="006C446C"/>
    <w:rsid w:val="006C446F"/>
    <w:rsid w:val="006C44AE"/>
    <w:rsid w:val="006C4571"/>
    <w:rsid w:val="006C4686"/>
    <w:rsid w:val="006C4691"/>
    <w:rsid w:val="006C471A"/>
    <w:rsid w:val="006C47B4"/>
    <w:rsid w:val="006C47C4"/>
    <w:rsid w:val="006C4817"/>
    <w:rsid w:val="006C481A"/>
    <w:rsid w:val="006C493B"/>
    <w:rsid w:val="006C4B11"/>
    <w:rsid w:val="006C4B59"/>
    <w:rsid w:val="006C4C62"/>
    <w:rsid w:val="006C4C89"/>
    <w:rsid w:val="006C4D0A"/>
    <w:rsid w:val="006C4F21"/>
    <w:rsid w:val="006C5193"/>
    <w:rsid w:val="006C5236"/>
    <w:rsid w:val="006C526E"/>
    <w:rsid w:val="006C52A1"/>
    <w:rsid w:val="006C53F3"/>
    <w:rsid w:val="006C543B"/>
    <w:rsid w:val="006C551E"/>
    <w:rsid w:val="006C552B"/>
    <w:rsid w:val="006C58E4"/>
    <w:rsid w:val="006C58E8"/>
    <w:rsid w:val="006C5A34"/>
    <w:rsid w:val="006C6044"/>
    <w:rsid w:val="006C61FE"/>
    <w:rsid w:val="006C630A"/>
    <w:rsid w:val="006C6385"/>
    <w:rsid w:val="006C63F4"/>
    <w:rsid w:val="006C64D9"/>
    <w:rsid w:val="006C64E6"/>
    <w:rsid w:val="006C66CB"/>
    <w:rsid w:val="006C66E0"/>
    <w:rsid w:val="006C67CE"/>
    <w:rsid w:val="006C68CB"/>
    <w:rsid w:val="006C69A0"/>
    <w:rsid w:val="006C6A2E"/>
    <w:rsid w:val="006C6AD9"/>
    <w:rsid w:val="006C6B3C"/>
    <w:rsid w:val="006C6B8D"/>
    <w:rsid w:val="006C6CB2"/>
    <w:rsid w:val="006C6D93"/>
    <w:rsid w:val="006C6E8A"/>
    <w:rsid w:val="006C71D8"/>
    <w:rsid w:val="006C73FD"/>
    <w:rsid w:val="006C769B"/>
    <w:rsid w:val="006C78F4"/>
    <w:rsid w:val="006C7A56"/>
    <w:rsid w:val="006C7AC1"/>
    <w:rsid w:val="006C7BEE"/>
    <w:rsid w:val="006C7EC2"/>
    <w:rsid w:val="006C7F4D"/>
    <w:rsid w:val="006C7FD0"/>
    <w:rsid w:val="006D0001"/>
    <w:rsid w:val="006D0067"/>
    <w:rsid w:val="006D01A5"/>
    <w:rsid w:val="006D01F0"/>
    <w:rsid w:val="006D01F5"/>
    <w:rsid w:val="006D01F6"/>
    <w:rsid w:val="006D0261"/>
    <w:rsid w:val="006D03DB"/>
    <w:rsid w:val="006D04EB"/>
    <w:rsid w:val="006D0502"/>
    <w:rsid w:val="006D05CC"/>
    <w:rsid w:val="006D0641"/>
    <w:rsid w:val="006D07A6"/>
    <w:rsid w:val="006D07CA"/>
    <w:rsid w:val="006D0801"/>
    <w:rsid w:val="006D0809"/>
    <w:rsid w:val="006D08AA"/>
    <w:rsid w:val="006D0905"/>
    <w:rsid w:val="006D0994"/>
    <w:rsid w:val="006D09C7"/>
    <w:rsid w:val="006D0B35"/>
    <w:rsid w:val="006D0B74"/>
    <w:rsid w:val="006D0BFC"/>
    <w:rsid w:val="006D0D10"/>
    <w:rsid w:val="006D0DB5"/>
    <w:rsid w:val="006D0E34"/>
    <w:rsid w:val="006D0E83"/>
    <w:rsid w:val="006D0E86"/>
    <w:rsid w:val="006D0E96"/>
    <w:rsid w:val="006D1055"/>
    <w:rsid w:val="006D128A"/>
    <w:rsid w:val="006D12A5"/>
    <w:rsid w:val="006D15D4"/>
    <w:rsid w:val="006D19D4"/>
    <w:rsid w:val="006D19DA"/>
    <w:rsid w:val="006D19EF"/>
    <w:rsid w:val="006D1AA6"/>
    <w:rsid w:val="006D1ADC"/>
    <w:rsid w:val="006D1CC1"/>
    <w:rsid w:val="006D1E04"/>
    <w:rsid w:val="006D1EE0"/>
    <w:rsid w:val="006D1F21"/>
    <w:rsid w:val="006D1F6F"/>
    <w:rsid w:val="006D201D"/>
    <w:rsid w:val="006D2486"/>
    <w:rsid w:val="006D2488"/>
    <w:rsid w:val="006D249C"/>
    <w:rsid w:val="006D256C"/>
    <w:rsid w:val="006D27CD"/>
    <w:rsid w:val="006D288B"/>
    <w:rsid w:val="006D2897"/>
    <w:rsid w:val="006D29DA"/>
    <w:rsid w:val="006D2A2A"/>
    <w:rsid w:val="006D2B1E"/>
    <w:rsid w:val="006D2B48"/>
    <w:rsid w:val="006D2DDA"/>
    <w:rsid w:val="006D2DE2"/>
    <w:rsid w:val="006D2E6F"/>
    <w:rsid w:val="006D2EAD"/>
    <w:rsid w:val="006D3023"/>
    <w:rsid w:val="006D31AE"/>
    <w:rsid w:val="006D3268"/>
    <w:rsid w:val="006D3306"/>
    <w:rsid w:val="006D3488"/>
    <w:rsid w:val="006D362D"/>
    <w:rsid w:val="006D3642"/>
    <w:rsid w:val="006D36E7"/>
    <w:rsid w:val="006D3817"/>
    <w:rsid w:val="006D3882"/>
    <w:rsid w:val="006D388C"/>
    <w:rsid w:val="006D38AE"/>
    <w:rsid w:val="006D38C3"/>
    <w:rsid w:val="006D39F7"/>
    <w:rsid w:val="006D3DA7"/>
    <w:rsid w:val="006D3EC7"/>
    <w:rsid w:val="006D3EF4"/>
    <w:rsid w:val="006D3FE1"/>
    <w:rsid w:val="006D3FE5"/>
    <w:rsid w:val="006D40CD"/>
    <w:rsid w:val="006D43F9"/>
    <w:rsid w:val="006D4406"/>
    <w:rsid w:val="006D44CB"/>
    <w:rsid w:val="006D450E"/>
    <w:rsid w:val="006D4585"/>
    <w:rsid w:val="006D4B11"/>
    <w:rsid w:val="006D4D2A"/>
    <w:rsid w:val="006D4D93"/>
    <w:rsid w:val="006D4EF3"/>
    <w:rsid w:val="006D4F9B"/>
    <w:rsid w:val="006D4FF3"/>
    <w:rsid w:val="006D5231"/>
    <w:rsid w:val="006D5232"/>
    <w:rsid w:val="006D5250"/>
    <w:rsid w:val="006D52E0"/>
    <w:rsid w:val="006D530B"/>
    <w:rsid w:val="006D5379"/>
    <w:rsid w:val="006D561A"/>
    <w:rsid w:val="006D5648"/>
    <w:rsid w:val="006D5777"/>
    <w:rsid w:val="006D57DA"/>
    <w:rsid w:val="006D5803"/>
    <w:rsid w:val="006D588D"/>
    <w:rsid w:val="006D58BE"/>
    <w:rsid w:val="006D5907"/>
    <w:rsid w:val="006D5924"/>
    <w:rsid w:val="006D59A7"/>
    <w:rsid w:val="006D59AA"/>
    <w:rsid w:val="006D5AA5"/>
    <w:rsid w:val="006D5D0A"/>
    <w:rsid w:val="006D5E03"/>
    <w:rsid w:val="006D5E30"/>
    <w:rsid w:val="006D5F3E"/>
    <w:rsid w:val="006D60AC"/>
    <w:rsid w:val="006D62A9"/>
    <w:rsid w:val="006D65FE"/>
    <w:rsid w:val="006D66CF"/>
    <w:rsid w:val="006D6762"/>
    <w:rsid w:val="006D67B5"/>
    <w:rsid w:val="006D67DE"/>
    <w:rsid w:val="006D6835"/>
    <w:rsid w:val="006D6862"/>
    <w:rsid w:val="006D6909"/>
    <w:rsid w:val="006D6DCC"/>
    <w:rsid w:val="006D705E"/>
    <w:rsid w:val="006D7274"/>
    <w:rsid w:val="006D72EB"/>
    <w:rsid w:val="006D7476"/>
    <w:rsid w:val="006D748A"/>
    <w:rsid w:val="006D7685"/>
    <w:rsid w:val="006D7914"/>
    <w:rsid w:val="006D7964"/>
    <w:rsid w:val="006D7A04"/>
    <w:rsid w:val="006D7BE8"/>
    <w:rsid w:val="006D7CA4"/>
    <w:rsid w:val="006D7CB5"/>
    <w:rsid w:val="006D7D9C"/>
    <w:rsid w:val="006D7EA4"/>
    <w:rsid w:val="006E0352"/>
    <w:rsid w:val="006E03E1"/>
    <w:rsid w:val="006E0411"/>
    <w:rsid w:val="006E04FF"/>
    <w:rsid w:val="006E0527"/>
    <w:rsid w:val="006E0538"/>
    <w:rsid w:val="006E0567"/>
    <w:rsid w:val="006E0585"/>
    <w:rsid w:val="006E05CC"/>
    <w:rsid w:val="006E0628"/>
    <w:rsid w:val="006E06A0"/>
    <w:rsid w:val="006E07C2"/>
    <w:rsid w:val="006E09E3"/>
    <w:rsid w:val="006E0B76"/>
    <w:rsid w:val="006E0C1D"/>
    <w:rsid w:val="006E0CAE"/>
    <w:rsid w:val="006E0DDC"/>
    <w:rsid w:val="006E0F9D"/>
    <w:rsid w:val="006E101E"/>
    <w:rsid w:val="006E1127"/>
    <w:rsid w:val="006E1156"/>
    <w:rsid w:val="006E11CE"/>
    <w:rsid w:val="006E120E"/>
    <w:rsid w:val="006E1315"/>
    <w:rsid w:val="006E1524"/>
    <w:rsid w:val="006E15CB"/>
    <w:rsid w:val="006E1711"/>
    <w:rsid w:val="006E17AA"/>
    <w:rsid w:val="006E17BB"/>
    <w:rsid w:val="006E1808"/>
    <w:rsid w:val="006E184A"/>
    <w:rsid w:val="006E1885"/>
    <w:rsid w:val="006E1A9B"/>
    <w:rsid w:val="006E1AEA"/>
    <w:rsid w:val="006E1B4D"/>
    <w:rsid w:val="006E1B77"/>
    <w:rsid w:val="006E1B86"/>
    <w:rsid w:val="006E1BC5"/>
    <w:rsid w:val="006E1CA4"/>
    <w:rsid w:val="006E1CE9"/>
    <w:rsid w:val="006E1D2F"/>
    <w:rsid w:val="006E1E62"/>
    <w:rsid w:val="006E1F30"/>
    <w:rsid w:val="006E20CB"/>
    <w:rsid w:val="006E21C3"/>
    <w:rsid w:val="006E2217"/>
    <w:rsid w:val="006E229B"/>
    <w:rsid w:val="006E23AA"/>
    <w:rsid w:val="006E23C8"/>
    <w:rsid w:val="006E2510"/>
    <w:rsid w:val="006E266E"/>
    <w:rsid w:val="006E26D8"/>
    <w:rsid w:val="006E27AD"/>
    <w:rsid w:val="006E2B25"/>
    <w:rsid w:val="006E2C6B"/>
    <w:rsid w:val="006E2FE5"/>
    <w:rsid w:val="006E312D"/>
    <w:rsid w:val="006E316F"/>
    <w:rsid w:val="006E3285"/>
    <w:rsid w:val="006E33C6"/>
    <w:rsid w:val="006E35EC"/>
    <w:rsid w:val="006E3697"/>
    <w:rsid w:val="006E36A5"/>
    <w:rsid w:val="006E3721"/>
    <w:rsid w:val="006E37FE"/>
    <w:rsid w:val="006E38AF"/>
    <w:rsid w:val="006E3942"/>
    <w:rsid w:val="006E39CC"/>
    <w:rsid w:val="006E3A67"/>
    <w:rsid w:val="006E3CCB"/>
    <w:rsid w:val="006E3E06"/>
    <w:rsid w:val="006E3E25"/>
    <w:rsid w:val="006E3E4D"/>
    <w:rsid w:val="006E402C"/>
    <w:rsid w:val="006E40FE"/>
    <w:rsid w:val="006E417A"/>
    <w:rsid w:val="006E4201"/>
    <w:rsid w:val="006E42F7"/>
    <w:rsid w:val="006E4546"/>
    <w:rsid w:val="006E45F9"/>
    <w:rsid w:val="006E468E"/>
    <w:rsid w:val="006E47B1"/>
    <w:rsid w:val="006E47C9"/>
    <w:rsid w:val="006E47CB"/>
    <w:rsid w:val="006E4997"/>
    <w:rsid w:val="006E4AF7"/>
    <w:rsid w:val="006E4B6E"/>
    <w:rsid w:val="006E4D56"/>
    <w:rsid w:val="006E4DC2"/>
    <w:rsid w:val="006E4ECB"/>
    <w:rsid w:val="006E4ED2"/>
    <w:rsid w:val="006E4F06"/>
    <w:rsid w:val="006E4F0A"/>
    <w:rsid w:val="006E4F41"/>
    <w:rsid w:val="006E4FC8"/>
    <w:rsid w:val="006E506E"/>
    <w:rsid w:val="006E52E8"/>
    <w:rsid w:val="006E5434"/>
    <w:rsid w:val="006E547B"/>
    <w:rsid w:val="006E54C5"/>
    <w:rsid w:val="006E5651"/>
    <w:rsid w:val="006E5775"/>
    <w:rsid w:val="006E5CBE"/>
    <w:rsid w:val="006E5EAA"/>
    <w:rsid w:val="006E6033"/>
    <w:rsid w:val="006E60A5"/>
    <w:rsid w:val="006E61C3"/>
    <w:rsid w:val="006E6314"/>
    <w:rsid w:val="006E63AE"/>
    <w:rsid w:val="006E6426"/>
    <w:rsid w:val="006E6430"/>
    <w:rsid w:val="006E643E"/>
    <w:rsid w:val="006E646B"/>
    <w:rsid w:val="006E68A0"/>
    <w:rsid w:val="006E69E1"/>
    <w:rsid w:val="006E6ABB"/>
    <w:rsid w:val="006E6B2B"/>
    <w:rsid w:val="006E6DA7"/>
    <w:rsid w:val="006E6EC2"/>
    <w:rsid w:val="006E6FD9"/>
    <w:rsid w:val="006E704C"/>
    <w:rsid w:val="006E7054"/>
    <w:rsid w:val="006E7184"/>
    <w:rsid w:val="006E7261"/>
    <w:rsid w:val="006E746E"/>
    <w:rsid w:val="006E7580"/>
    <w:rsid w:val="006E7655"/>
    <w:rsid w:val="006E7785"/>
    <w:rsid w:val="006E7A11"/>
    <w:rsid w:val="006E7AEB"/>
    <w:rsid w:val="006E7C3C"/>
    <w:rsid w:val="006E7C7A"/>
    <w:rsid w:val="006E7ED5"/>
    <w:rsid w:val="006E7F96"/>
    <w:rsid w:val="006F0263"/>
    <w:rsid w:val="006F02BA"/>
    <w:rsid w:val="006F02DA"/>
    <w:rsid w:val="006F037F"/>
    <w:rsid w:val="006F06D3"/>
    <w:rsid w:val="006F0721"/>
    <w:rsid w:val="006F07BD"/>
    <w:rsid w:val="006F07C1"/>
    <w:rsid w:val="006F0890"/>
    <w:rsid w:val="006F08BF"/>
    <w:rsid w:val="006F0AAF"/>
    <w:rsid w:val="006F0B97"/>
    <w:rsid w:val="006F0BDD"/>
    <w:rsid w:val="006F0D50"/>
    <w:rsid w:val="006F0D77"/>
    <w:rsid w:val="006F0EF7"/>
    <w:rsid w:val="006F0FFB"/>
    <w:rsid w:val="006F10E0"/>
    <w:rsid w:val="006F1177"/>
    <w:rsid w:val="006F123F"/>
    <w:rsid w:val="006F12A4"/>
    <w:rsid w:val="006F1313"/>
    <w:rsid w:val="006F1379"/>
    <w:rsid w:val="006F1460"/>
    <w:rsid w:val="006F1469"/>
    <w:rsid w:val="006F1481"/>
    <w:rsid w:val="006F150E"/>
    <w:rsid w:val="006F156D"/>
    <w:rsid w:val="006F1590"/>
    <w:rsid w:val="006F15D7"/>
    <w:rsid w:val="006F15E3"/>
    <w:rsid w:val="006F166C"/>
    <w:rsid w:val="006F16C6"/>
    <w:rsid w:val="006F1768"/>
    <w:rsid w:val="006F1801"/>
    <w:rsid w:val="006F1808"/>
    <w:rsid w:val="006F187A"/>
    <w:rsid w:val="006F1940"/>
    <w:rsid w:val="006F19E4"/>
    <w:rsid w:val="006F1A01"/>
    <w:rsid w:val="006F1A76"/>
    <w:rsid w:val="006F1AD3"/>
    <w:rsid w:val="006F1B51"/>
    <w:rsid w:val="006F1C02"/>
    <w:rsid w:val="006F1F07"/>
    <w:rsid w:val="006F1F5C"/>
    <w:rsid w:val="006F1F8D"/>
    <w:rsid w:val="006F2018"/>
    <w:rsid w:val="006F2055"/>
    <w:rsid w:val="006F212A"/>
    <w:rsid w:val="006F2154"/>
    <w:rsid w:val="006F256B"/>
    <w:rsid w:val="006F25B0"/>
    <w:rsid w:val="006F27C9"/>
    <w:rsid w:val="006F292F"/>
    <w:rsid w:val="006F2A92"/>
    <w:rsid w:val="006F2B7F"/>
    <w:rsid w:val="006F2C46"/>
    <w:rsid w:val="006F2C90"/>
    <w:rsid w:val="006F2DF0"/>
    <w:rsid w:val="006F2E58"/>
    <w:rsid w:val="006F2E6E"/>
    <w:rsid w:val="006F2F08"/>
    <w:rsid w:val="006F2F51"/>
    <w:rsid w:val="006F2FC8"/>
    <w:rsid w:val="006F2FDC"/>
    <w:rsid w:val="006F300E"/>
    <w:rsid w:val="006F32DB"/>
    <w:rsid w:val="006F32DD"/>
    <w:rsid w:val="006F32ED"/>
    <w:rsid w:val="006F33AF"/>
    <w:rsid w:val="006F3477"/>
    <w:rsid w:val="006F3520"/>
    <w:rsid w:val="006F3534"/>
    <w:rsid w:val="006F353B"/>
    <w:rsid w:val="006F35D3"/>
    <w:rsid w:val="006F3801"/>
    <w:rsid w:val="006F3847"/>
    <w:rsid w:val="006F38E8"/>
    <w:rsid w:val="006F3A53"/>
    <w:rsid w:val="006F3A6B"/>
    <w:rsid w:val="006F3D07"/>
    <w:rsid w:val="006F3DE2"/>
    <w:rsid w:val="006F3E6C"/>
    <w:rsid w:val="006F3E94"/>
    <w:rsid w:val="006F3F12"/>
    <w:rsid w:val="006F4134"/>
    <w:rsid w:val="006F42F3"/>
    <w:rsid w:val="006F435C"/>
    <w:rsid w:val="006F442E"/>
    <w:rsid w:val="006F463A"/>
    <w:rsid w:val="006F4729"/>
    <w:rsid w:val="006F47AC"/>
    <w:rsid w:val="006F488A"/>
    <w:rsid w:val="006F489D"/>
    <w:rsid w:val="006F497D"/>
    <w:rsid w:val="006F4A5B"/>
    <w:rsid w:val="006F4FB5"/>
    <w:rsid w:val="006F4FDA"/>
    <w:rsid w:val="006F5027"/>
    <w:rsid w:val="006F5084"/>
    <w:rsid w:val="006F5524"/>
    <w:rsid w:val="006F556D"/>
    <w:rsid w:val="006F5B20"/>
    <w:rsid w:val="006F5B63"/>
    <w:rsid w:val="006F5BC3"/>
    <w:rsid w:val="006F5D07"/>
    <w:rsid w:val="006F5DC2"/>
    <w:rsid w:val="006F5DC9"/>
    <w:rsid w:val="006F5DEA"/>
    <w:rsid w:val="006F5DF4"/>
    <w:rsid w:val="006F6040"/>
    <w:rsid w:val="006F607C"/>
    <w:rsid w:val="006F61F6"/>
    <w:rsid w:val="006F628C"/>
    <w:rsid w:val="006F6423"/>
    <w:rsid w:val="006F644D"/>
    <w:rsid w:val="006F6510"/>
    <w:rsid w:val="006F665A"/>
    <w:rsid w:val="006F6664"/>
    <w:rsid w:val="006F69C1"/>
    <w:rsid w:val="006F6A4B"/>
    <w:rsid w:val="006F6A50"/>
    <w:rsid w:val="006F6A7B"/>
    <w:rsid w:val="006F6E6F"/>
    <w:rsid w:val="006F6F76"/>
    <w:rsid w:val="006F7175"/>
    <w:rsid w:val="006F7178"/>
    <w:rsid w:val="006F740F"/>
    <w:rsid w:val="006F7425"/>
    <w:rsid w:val="006F74C0"/>
    <w:rsid w:val="006F74C1"/>
    <w:rsid w:val="006F75B9"/>
    <w:rsid w:val="006F7922"/>
    <w:rsid w:val="006F7932"/>
    <w:rsid w:val="006F7972"/>
    <w:rsid w:val="006F799E"/>
    <w:rsid w:val="006F79FB"/>
    <w:rsid w:val="006F7A03"/>
    <w:rsid w:val="006F7A12"/>
    <w:rsid w:val="006F7A8E"/>
    <w:rsid w:val="006F7A9A"/>
    <w:rsid w:val="006F7C1F"/>
    <w:rsid w:val="006F7CF6"/>
    <w:rsid w:val="006F7E4C"/>
    <w:rsid w:val="00700152"/>
    <w:rsid w:val="007001AC"/>
    <w:rsid w:val="0070026C"/>
    <w:rsid w:val="0070031F"/>
    <w:rsid w:val="00700376"/>
    <w:rsid w:val="007004B9"/>
    <w:rsid w:val="00700511"/>
    <w:rsid w:val="007005BB"/>
    <w:rsid w:val="007005DB"/>
    <w:rsid w:val="00700709"/>
    <w:rsid w:val="0070073B"/>
    <w:rsid w:val="00700B0D"/>
    <w:rsid w:val="00700B36"/>
    <w:rsid w:val="00700BA3"/>
    <w:rsid w:val="00700CCC"/>
    <w:rsid w:val="00700DA6"/>
    <w:rsid w:val="00700E19"/>
    <w:rsid w:val="00700F22"/>
    <w:rsid w:val="007010CE"/>
    <w:rsid w:val="0070110A"/>
    <w:rsid w:val="0070134A"/>
    <w:rsid w:val="0070137D"/>
    <w:rsid w:val="00701468"/>
    <w:rsid w:val="007014B4"/>
    <w:rsid w:val="007015D5"/>
    <w:rsid w:val="007016FF"/>
    <w:rsid w:val="007017BC"/>
    <w:rsid w:val="00701818"/>
    <w:rsid w:val="00701857"/>
    <w:rsid w:val="00701934"/>
    <w:rsid w:val="007019F3"/>
    <w:rsid w:val="00701A9A"/>
    <w:rsid w:val="00701ABB"/>
    <w:rsid w:val="00701B3C"/>
    <w:rsid w:val="00701B70"/>
    <w:rsid w:val="00701BC9"/>
    <w:rsid w:val="00701BEE"/>
    <w:rsid w:val="00701CCD"/>
    <w:rsid w:val="007020F0"/>
    <w:rsid w:val="00702273"/>
    <w:rsid w:val="00702316"/>
    <w:rsid w:val="00702474"/>
    <w:rsid w:val="00702555"/>
    <w:rsid w:val="007027BE"/>
    <w:rsid w:val="0070281D"/>
    <w:rsid w:val="0070283D"/>
    <w:rsid w:val="00702912"/>
    <w:rsid w:val="00702933"/>
    <w:rsid w:val="00702948"/>
    <w:rsid w:val="00702A14"/>
    <w:rsid w:val="00702A8D"/>
    <w:rsid w:val="00702BBD"/>
    <w:rsid w:val="00702C48"/>
    <w:rsid w:val="00702C7B"/>
    <w:rsid w:val="00702CF8"/>
    <w:rsid w:val="00702D0C"/>
    <w:rsid w:val="00702E38"/>
    <w:rsid w:val="00702E43"/>
    <w:rsid w:val="0070303E"/>
    <w:rsid w:val="007030DF"/>
    <w:rsid w:val="007030EB"/>
    <w:rsid w:val="00703108"/>
    <w:rsid w:val="00703205"/>
    <w:rsid w:val="00703336"/>
    <w:rsid w:val="007033FD"/>
    <w:rsid w:val="007036F2"/>
    <w:rsid w:val="00703794"/>
    <w:rsid w:val="0070387F"/>
    <w:rsid w:val="007039C9"/>
    <w:rsid w:val="00703B9D"/>
    <w:rsid w:val="00703CC6"/>
    <w:rsid w:val="00703E6A"/>
    <w:rsid w:val="00703FAF"/>
    <w:rsid w:val="0070405F"/>
    <w:rsid w:val="00704174"/>
    <w:rsid w:val="00704307"/>
    <w:rsid w:val="007044B1"/>
    <w:rsid w:val="00704656"/>
    <w:rsid w:val="007047DF"/>
    <w:rsid w:val="0070483E"/>
    <w:rsid w:val="0070491A"/>
    <w:rsid w:val="00704B46"/>
    <w:rsid w:val="00704CA9"/>
    <w:rsid w:val="00704DA7"/>
    <w:rsid w:val="00704E03"/>
    <w:rsid w:val="00704E2C"/>
    <w:rsid w:val="00704E36"/>
    <w:rsid w:val="00704F17"/>
    <w:rsid w:val="00704F2D"/>
    <w:rsid w:val="00704F69"/>
    <w:rsid w:val="00705004"/>
    <w:rsid w:val="00705159"/>
    <w:rsid w:val="007051C6"/>
    <w:rsid w:val="007053E7"/>
    <w:rsid w:val="007056ED"/>
    <w:rsid w:val="0070580B"/>
    <w:rsid w:val="00705928"/>
    <w:rsid w:val="00705929"/>
    <w:rsid w:val="00705943"/>
    <w:rsid w:val="00705AD8"/>
    <w:rsid w:val="00705BF9"/>
    <w:rsid w:val="00705C47"/>
    <w:rsid w:val="00705CA5"/>
    <w:rsid w:val="00705D2A"/>
    <w:rsid w:val="00705EE6"/>
    <w:rsid w:val="00705F6C"/>
    <w:rsid w:val="00706057"/>
    <w:rsid w:val="007062AF"/>
    <w:rsid w:val="00706419"/>
    <w:rsid w:val="007064B1"/>
    <w:rsid w:val="0070658F"/>
    <w:rsid w:val="0070666A"/>
    <w:rsid w:val="0070672E"/>
    <w:rsid w:val="00706826"/>
    <w:rsid w:val="00706B03"/>
    <w:rsid w:val="00706B0A"/>
    <w:rsid w:val="00706B3B"/>
    <w:rsid w:val="00706BC4"/>
    <w:rsid w:val="00706CD1"/>
    <w:rsid w:val="00706D5C"/>
    <w:rsid w:val="00706E22"/>
    <w:rsid w:val="00706E40"/>
    <w:rsid w:val="00706E62"/>
    <w:rsid w:val="00706EB1"/>
    <w:rsid w:val="00706EC4"/>
    <w:rsid w:val="00706FCA"/>
    <w:rsid w:val="00707221"/>
    <w:rsid w:val="0070726E"/>
    <w:rsid w:val="0070727C"/>
    <w:rsid w:val="007072C9"/>
    <w:rsid w:val="007072F7"/>
    <w:rsid w:val="0070750F"/>
    <w:rsid w:val="0070752E"/>
    <w:rsid w:val="00707690"/>
    <w:rsid w:val="007077D4"/>
    <w:rsid w:val="00707812"/>
    <w:rsid w:val="00707948"/>
    <w:rsid w:val="007079A9"/>
    <w:rsid w:val="00707A22"/>
    <w:rsid w:val="00707A80"/>
    <w:rsid w:val="00707AB3"/>
    <w:rsid w:val="00707B42"/>
    <w:rsid w:val="00707BF1"/>
    <w:rsid w:val="00707CAC"/>
    <w:rsid w:val="0071000E"/>
    <w:rsid w:val="007100FD"/>
    <w:rsid w:val="00710112"/>
    <w:rsid w:val="0071012D"/>
    <w:rsid w:val="007101AD"/>
    <w:rsid w:val="0071042E"/>
    <w:rsid w:val="007104DB"/>
    <w:rsid w:val="007104E6"/>
    <w:rsid w:val="007105B4"/>
    <w:rsid w:val="007105B5"/>
    <w:rsid w:val="007107D7"/>
    <w:rsid w:val="00710810"/>
    <w:rsid w:val="0071085C"/>
    <w:rsid w:val="0071085E"/>
    <w:rsid w:val="007108DB"/>
    <w:rsid w:val="0071091A"/>
    <w:rsid w:val="00710960"/>
    <w:rsid w:val="00710970"/>
    <w:rsid w:val="00710ACB"/>
    <w:rsid w:val="00710B2A"/>
    <w:rsid w:val="00710B59"/>
    <w:rsid w:val="00710CB6"/>
    <w:rsid w:val="00710D25"/>
    <w:rsid w:val="00710F22"/>
    <w:rsid w:val="0071113B"/>
    <w:rsid w:val="007111C6"/>
    <w:rsid w:val="007112AC"/>
    <w:rsid w:val="007112BF"/>
    <w:rsid w:val="0071149F"/>
    <w:rsid w:val="0071154F"/>
    <w:rsid w:val="007119BF"/>
    <w:rsid w:val="00711A1E"/>
    <w:rsid w:val="00711B96"/>
    <w:rsid w:val="00711BEE"/>
    <w:rsid w:val="00711BFA"/>
    <w:rsid w:val="00711C78"/>
    <w:rsid w:val="00711EB9"/>
    <w:rsid w:val="00711F16"/>
    <w:rsid w:val="00711FAF"/>
    <w:rsid w:val="0071223F"/>
    <w:rsid w:val="00712249"/>
    <w:rsid w:val="00712290"/>
    <w:rsid w:val="0071229A"/>
    <w:rsid w:val="00712470"/>
    <w:rsid w:val="007124B7"/>
    <w:rsid w:val="00712512"/>
    <w:rsid w:val="007125CB"/>
    <w:rsid w:val="007125EE"/>
    <w:rsid w:val="007125F5"/>
    <w:rsid w:val="00712630"/>
    <w:rsid w:val="00712643"/>
    <w:rsid w:val="007127A8"/>
    <w:rsid w:val="007129F1"/>
    <w:rsid w:val="00712A0D"/>
    <w:rsid w:val="00712A25"/>
    <w:rsid w:val="00712B5C"/>
    <w:rsid w:val="00712D67"/>
    <w:rsid w:val="00712DEC"/>
    <w:rsid w:val="00712E05"/>
    <w:rsid w:val="00712EE7"/>
    <w:rsid w:val="00712EFC"/>
    <w:rsid w:val="007130A9"/>
    <w:rsid w:val="007130C6"/>
    <w:rsid w:val="0071327A"/>
    <w:rsid w:val="00713292"/>
    <w:rsid w:val="007132DD"/>
    <w:rsid w:val="0071337B"/>
    <w:rsid w:val="007133A1"/>
    <w:rsid w:val="007133C7"/>
    <w:rsid w:val="0071341E"/>
    <w:rsid w:val="00713682"/>
    <w:rsid w:val="00713997"/>
    <w:rsid w:val="00713A1E"/>
    <w:rsid w:val="00713A6F"/>
    <w:rsid w:val="00713A9B"/>
    <w:rsid w:val="00713B11"/>
    <w:rsid w:val="00713B76"/>
    <w:rsid w:val="00713B85"/>
    <w:rsid w:val="00713BF7"/>
    <w:rsid w:val="00713BFB"/>
    <w:rsid w:val="00713C52"/>
    <w:rsid w:val="00713D7A"/>
    <w:rsid w:val="00713ECB"/>
    <w:rsid w:val="00713F69"/>
    <w:rsid w:val="00713F8D"/>
    <w:rsid w:val="00713FFD"/>
    <w:rsid w:val="007143DB"/>
    <w:rsid w:val="00714535"/>
    <w:rsid w:val="0071475D"/>
    <w:rsid w:val="00714AE3"/>
    <w:rsid w:val="00714B7A"/>
    <w:rsid w:val="00714B9D"/>
    <w:rsid w:val="00714BC3"/>
    <w:rsid w:val="00714C1D"/>
    <w:rsid w:val="00714C40"/>
    <w:rsid w:val="00714D34"/>
    <w:rsid w:val="00715110"/>
    <w:rsid w:val="00715168"/>
    <w:rsid w:val="007152BC"/>
    <w:rsid w:val="0071531B"/>
    <w:rsid w:val="007155B0"/>
    <w:rsid w:val="00715749"/>
    <w:rsid w:val="007157C8"/>
    <w:rsid w:val="007159BB"/>
    <w:rsid w:val="00715A8A"/>
    <w:rsid w:val="00715C5B"/>
    <w:rsid w:val="00715C82"/>
    <w:rsid w:val="00715F2E"/>
    <w:rsid w:val="00715F4B"/>
    <w:rsid w:val="00716029"/>
    <w:rsid w:val="007160DE"/>
    <w:rsid w:val="00716174"/>
    <w:rsid w:val="007161FB"/>
    <w:rsid w:val="0071633C"/>
    <w:rsid w:val="007163DA"/>
    <w:rsid w:val="007165A5"/>
    <w:rsid w:val="0071660F"/>
    <w:rsid w:val="00716840"/>
    <w:rsid w:val="0071689F"/>
    <w:rsid w:val="0071693C"/>
    <w:rsid w:val="00716996"/>
    <w:rsid w:val="00716A4E"/>
    <w:rsid w:val="00716B3A"/>
    <w:rsid w:val="00716CA7"/>
    <w:rsid w:val="00716D49"/>
    <w:rsid w:val="00716D73"/>
    <w:rsid w:val="00716E99"/>
    <w:rsid w:val="00716EF9"/>
    <w:rsid w:val="00716F2C"/>
    <w:rsid w:val="00716FFB"/>
    <w:rsid w:val="00717202"/>
    <w:rsid w:val="00717348"/>
    <w:rsid w:val="00717455"/>
    <w:rsid w:val="00717482"/>
    <w:rsid w:val="00717493"/>
    <w:rsid w:val="0071749C"/>
    <w:rsid w:val="0071754D"/>
    <w:rsid w:val="0071770A"/>
    <w:rsid w:val="007177FF"/>
    <w:rsid w:val="007179A9"/>
    <w:rsid w:val="00717A19"/>
    <w:rsid w:val="00717BDC"/>
    <w:rsid w:val="00717CD2"/>
    <w:rsid w:val="0072009E"/>
    <w:rsid w:val="0072087C"/>
    <w:rsid w:val="007208C2"/>
    <w:rsid w:val="007208C5"/>
    <w:rsid w:val="00720A85"/>
    <w:rsid w:val="00720C03"/>
    <w:rsid w:val="00720D10"/>
    <w:rsid w:val="00720D1D"/>
    <w:rsid w:val="00720DB1"/>
    <w:rsid w:val="00720EF1"/>
    <w:rsid w:val="0072111B"/>
    <w:rsid w:val="007212EA"/>
    <w:rsid w:val="00721508"/>
    <w:rsid w:val="007215F3"/>
    <w:rsid w:val="00721986"/>
    <w:rsid w:val="00721A32"/>
    <w:rsid w:val="00721B07"/>
    <w:rsid w:val="00721C18"/>
    <w:rsid w:val="00721C39"/>
    <w:rsid w:val="00721E48"/>
    <w:rsid w:val="00721F01"/>
    <w:rsid w:val="00721F8F"/>
    <w:rsid w:val="00722093"/>
    <w:rsid w:val="00722239"/>
    <w:rsid w:val="0072228D"/>
    <w:rsid w:val="0072230F"/>
    <w:rsid w:val="00722485"/>
    <w:rsid w:val="00722646"/>
    <w:rsid w:val="007227EC"/>
    <w:rsid w:val="007228CC"/>
    <w:rsid w:val="00722988"/>
    <w:rsid w:val="007229A0"/>
    <w:rsid w:val="00722D16"/>
    <w:rsid w:val="00722E6F"/>
    <w:rsid w:val="00722E7B"/>
    <w:rsid w:val="00722F3F"/>
    <w:rsid w:val="00722FB1"/>
    <w:rsid w:val="0072308F"/>
    <w:rsid w:val="00723290"/>
    <w:rsid w:val="0072347F"/>
    <w:rsid w:val="007236BF"/>
    <w:rsid w:val="007236E1"/>
    <w:rsid w:val="00723832"/>
    <w:rsid w:val="00723927"/>
    <w:rsid w:val="00723932"/>
    <w:rsid w:val="00723C20"/>
    <w:rsid w:val="00723E63"/>
    <w:rsid w:val="00723EE6"/>
    <w:rsid w:val="00723F60"/>
    <w:rsid w:val="00723F61"/>
    <w:rsid w:val="007240C6"/>
    <w:rsid w:val="007241DF"/>
    <w:rsid w:val="007241F4"/>
    <w:rsid w:val="00724338"/>
    <w:rsid w:val="00724345"/>
    <w:rsid w:val="00724355"/>
    <w:rsid w:val="007243A0"/>
    <w:rsid w:val="00724472"/>
    <w:rsid w:val="00724767"/>
    <w:rsid w:val="007249DD"/>
    <w:rsid w:val="007249FF"/>
    <w:rsid w:val="00724A1E"/>
    <w:rsid w:val="00724BAA"/>
    <w:rsid w:val="00724C73"/>
    <w:rsid w:val="00724D45"/>
    <w:rsid w:val="00724DF1"/>
    <w:rsid w:val="00724E90"/>
    <w:rsid w:val="00724FAE"/>
    <w:rsid w:val="00725020"/>
    <w:rsid w:val="0072507A"/>
    <w:rsid w:val="0072508D"/>
    <w:rsid w:val="0072510F"/>
    <w:rsid w:val="0072520D"/>
    <w:rsid w:val="007254C9"/>
    <w:rsid w:val="007254D0"/>
    <w:rsid w:val="0072554F"/>
    <w:rsid w:val="007256D3"/>
    <w:rsid w:val="007258B1"/>
    <w:rsid w:val="00725900"/>
    <w:rsid w:val="00725921"/>
    <w:rsid w:val="00725984"/>
    <w:rsid w:val="00725A60"/>
    <w:rsid w:val="00725A93"/>
    <w:rsid w:val="00725B26"/>
    <w:rsid w:val="00725C7D"/>
    <w:rsid w:val="00725D60"/>
    <w:rsid w:val="00725F5C"/>
    <w:rsid w:val="0072618A"/>
    <w:rsid w:val="00726238"/>
    <w:rsid w:val="0072626E"/>
    <w:rsid w:val="0072633D"/>
    <w:rsid w:val="0072633E"/>
    <w:rsid w:val="00726504"/>
    <w:rsid w:val="007265C2"/>
    <w:rsid w:val="0072680F"/>
    <w:rsid w:val="00726959"/>
    <w:rsid w:val="0072697C"/>
    <w:rsid w:val="007269C7"/>
    <w:rsid w:val="00726A29"/>
    <w:rsid w:val="00726B34"/>
    <w:rsid w:val="00726BFD"/>
    <w:rsid w:val="00726C27"/>
    <w:rsid w:val="00726C5E"/>
    <w:rsid w:val="00726FBA"/>
    <w:rsid w:val="00727152"/>
    <w:rsid w:val="007271B2"/>
    <w:rsid w:val="007271FF"/>
    <w:rsid w:val="007272E3"/>
    <w:rsid w:val="0072753E"/>
    <w:rsid w:val="007275D0"/>
    <w:rsid w:val="00727600"/>
    <w:rsid w:val="007276DA"/>
    <w:rsid w:val="00727707"/>
    <w:rsid w:val="00727C71"/>
    <w:rsid w:val="0072E11B"/>
    <w:rsid w:val="00730073"/>
    <w:rsid w:val="007302EE"/>
    <w:rsid w:val="00730696"/>
    <w:rsid w:val="007306A4"/>
    <w:rsid w:val="00730794"/>
    <w:rsid w:val="007307DC"/>
    <w:rsid w:val="00730874"/>
    <w:rsid w:val="007308BA"/>
    <w:rsid w:val="00730997"/>
    <w:rsid w:val="007309AF"/>
    <w:rsid w:val="007309F9"/>
    <w:rsid w:val="00730A3B"/>
    <w:rsid w:val="00730A97"/>
    <w:rsid w:val="00730CE6"/>
    <w:rsid w:val="00730D82"/>
    <w:rsid w:val="00730DBB"/>
    <w:rsid w:val="00730EC5"/>
    <w:rsid w:val="00730F49"/>
    <w:rsid w:val="00731036"/>
    <w:rsid w:val="0073125D"/>
    <w:rsid w:val="0073131C"/>
    <w:rsid w:val="0073136F"/>
    <w:rsid w:val="00731514"/>
    <w:rsid w:val="0073162E"/>
    <w:rsid w:val="0073170E"/>
    <w:rsid w:val="007318BF"/>
    <w:rsid w:val="007319BF"/>
    <w:rsid w:val="00731AC5"/>
    <w:rsid w:val="00731ACC"/>
    <w:rsid w:val="00731B6E"/>
    <w:rsid w:val="00731B93"/>
    <w:rsid w:val="00731CB0"/>
    <w:rsid w:val="00731CE3"/>
    <w:rsid w:val="00731FD0"/>
    <w:rsid w:val="0073222F"/>
    <w:rsid w:val="007322D5"/>
    <w:rsid w:val="00732302"/>
    <w:rsid w:val="00732425"/>
    <w:rsid w:val="00732554"/>
    <w:rsid w:val="007325A1"/>
    <w:rsid w:val="007326EF"/>
    <w:rsid w:val="0073274D"/>
    <w:rsid w:val="00732792"/>
    <w:rsid w:val="00732795"/>
    <w:rsid w:val="007328E3"/>
    <w:rsid w:val="00732947"/>
    <w:rsid w:val="00732951"/>
    <w:rsid w:val="00732A9A"/>
    <w:rsid w:val="00732AF6"/>
    <w:rsid w:val="00732BD1"/>
    <w:rsid w:val="00732BF1"/>
    <w:rsid w:val="00732E32"/>
    <w:rsid w:val="00732F5E"/>
    <w:rsid w:val="00732FA2"/>
    <w:rsid w:val="00733015"/>
    <w:rsid w:val="0073303D"/>
    <w:rsid w:val="0073305E"/>
    <w:rsid w:val="00733257"/>
    <w:rsid w:val="00733313"/>
    <w:rsid w:val="007333D1"/>
    <w:rsid w:val="00733431"/>
    <w:rsid w:val="007334C8"/>
    <w:rsid w:val="007335D8"/>
    <w:rsid w:val="0073375C"/>
    <w:rsid w:val="007337C7"/>
    <w:rsid w:val="00733850"/>
    <w:rsid w:val="00733978"/>
    <w:rsid w:val="00733AB8"/>
    <w:rsid w:val="00733AD2"/>
    <w:rsid w:val="00733FB7"/>
    <w:rsid w:val="0073405E"/>
    <w:rsid w:val="0073408F"/>
    <w:rsid w:val="00734124"/>
    <w:rsid w:val="007342FF"/>
    <w:rsid w:val="007343F0"/>
    <w:rsid w:val="00734567"/>
    <w:rsid w:val="0073483B"/>
    <w:rsid w:val="007348A4"/>
    <w:rsid w:val="00734A59"/>
    <w:rsid w:val="00734B17"/>
    <w:rsid w:val="00734E0E"/>
    <w:rsid w:val="00734E6C"/>
    <w:rsid w:val="00735160"/>
    <w:rsid w:val="007351BE"/>
    <w:rsid w:val="007352E0"/>
    <w:rsid w:val="00735358"/>
    <w:rsid w:val="0073552E"/>
    <w:rsid w:val="00735BAC"/>
    <w:rsid w:val="00735C23"/>
    <w:rsid w:val="00735C58"/>
    <w:rsid w:val="00735D00"/>
    <w:rsid w:val="00735D38"/>
    <w:rsid w:val="00735E56"/>
    <w:rsid w:val="00735EB6"/>
    <w:rsid w:val="00736030"/>
    <w:rsid w:val="00736036"/>
    <w:rsid w:val="007360DF"/>
    <w:rsid w:val="00736116"/>
    <w:rsid w:val="00736172"/>
    <w:rsid w:val="0073626D"/>
    <w:rsid w:val="0073645D"/>
    <w:rsid w:val="0073657D"/>
    <w:rsid w:val="00736682"/>
    <w:rsid w:val="007366FC"/>
    <w:rsid w:val="00736B0B"/>
    <w:rsid w:val="00736C36"/>
    <w:rsid w:val="00736C40"/>
    <w:rsid w:val="00736C8A"/>
    <w:rsid w:val="007370BA"/>
    <w:rsid w:val="00737183"/>
    <w:rsid w:val="00737384"/>
    <w:rsid w:val="00737576"/>
    <w:rsid w:val="00737623"/>
    <w:rsid w:val="0073783D"/>
    <w:rsid w:val="007378A3"/>
    <w:rsid w:val="007379A5"/>
    <w:rsid w:val="007379F5"/>
    <w:rsid w:val="00737A7B"/>
    <w:rsid w:val="00737AF1"/>
    <w:rsid w:val="00737B33"/>
    <w:rsid w:val="00737B94"/>
    <w:rsid w:val="00737C06"/>
    <w:rsid w:val="00737DDC"/>
    <w:rsid w:val="00737F73"/>
    <w:rsid w:val="00737FAF"/>
    <w:rsid w:val="00740002"/>
    <w:rsid w:val="007401A0"/>
    <w:rsid w:val="007401A9"/>
    <w:rsid w:val="0074021A"/>
    <w:rsid w:val="0074021F"/>
    <w:rsid w:val="007402F7"/>
    <w:rsid w:val="00740390"/>
    <w:rsid w:val="00740494"/>
    <w:rsid w:val="00740594"/>
    <w:rsid w:val="007407B8"/>
    <w:rsid w:val="00740834"/>
    <w:rsid w:val="007408C7"/>
    <w:rsid w:val="00740902"/>
    <w:rsid w:val="007409B0"/>
    <w:rsid w:val="00740AB4"/>
    <w:rsid w:val="00740B64"/>
    <w:rsid w:val="00740BF9"/>
    <w:rsid w:val="00740C19"/>
    <w:rsid w:val="00740CA4"/>
    <w:rsid w:val="00740DBD"/>
    <w:rsid w:val="00740FC2"/>
    <w:rsid w:val="007410AA"/>
    <w:rsid w:val="007411D2"/>
    <w:rsid w:val="007411F3"/>
    <w:rsid w:val="007412E5"/>
    <w:rsid w:val="007414BE"/>
    <w:rsid w:val="007414F6"/>
    <w:rsid w:val="007415AB"/>
    <w:rsid w:val="007415C6"/>
    <w:rsid w:val="00741750"/>
    <w:rsid w:val="00741755"/>
    <w:rsid w:val="007417B8"/>
    <w:rsid w:val="007418B9"/>
    <w:rsid w:val="007419ED"/>
    <w:rsid w:val="00741AD6"/>
    <w:rsid w:val="00741BF2"/>
    <w:rsid w:val="00741F0A"/>
    <w:rsid w:val="00742083"/>
    <w:rsid w:val="00742358"/>
    <w:rsid w:val="0074237F"/>
    <w:rsid w:val="00742406"/>
    <w:rsid w:val="007424F6"/>
    <w:rsid w:val="0074269A"/>
    <w:rsid w:val="007427ED"/>
    <w:rsid w:val="0074296D"/>
    <w:rsid w:val="00742B12"/>
    <w:rsid w:val="00742B2F"/>
    <w:rsid w:val="00742C5E"/>
    <w:rsid w:val="00742C99"/>
    <w:rsid w:val="00742D73"/>
    <w:rsid w:val="00742E77"/>
    <w:rsid w:val="00742F8C"/>
    <w:rsid w:val="00743324"/>
    <w:rsid w:val="007437EF"/>
    <w:rsid w:val="0074398F"/>
    <w:rsid w:val="007439BF"/>
    <w:rsid w:val="00743ABB"/>
    <w:rsid w:val="00743AF8"/>
    <w:rsid w:val="00743D9D"/>
    <w:rsid w:val="00743DBD"/>
    <w:rsid w:val="00743F68"/>
    <w:rsid w:val="00744072"/>
    <w:rsid w:val="00744168"/>
    <w:rsid w:val="007442BD"/>
    <w:rsid w:val="007442E9"/>
    <w:rsid w:val="007445C5"/>
    <w:rsid w:val="007445D4"/>
    <w:rsid w:val="007446AD"/>
    <w:rsid w:val="0074481E"/>
    <w:rsid w:val="007448AF"/>
    <w:rsid w:val="00744922"/>
    <w:rsid w:val="0074495E"/>
    <w:rsid w:val="00744B9D"/>
    <w:rsid w:val="00744C8E"/>
    <w:rsid w:val="00744CBD"/>
    <w:rsid w:val="00744CD1"/>
    <w:rsid w:val="00744E07"/>
    <w:rsid w:val="00744E1F"/>
    <w:rsid w:val="00744F71"/>
    <w:rsid w:val="00745086"/>
    <w:rsid w:val="00745218"/>
    <w:rsid w:val="00745293"/>
    <w:rsid w:val="007452F9"/>
    <w:rsid w:val="00745390"/>
    <w:rsid w:val="00745467"/>
    <w:rsid w:val="00745475"/>
    <w:rsid w:val="00745542"/>
    <w:rsid w:val="00745593"/>
    <w:rsid w:val="00745810"/>
    <w:rsid w:val="0074590A"/>
    <w:rsid w:val="0074591A"/>
    <w:rsid w:val="007459D5"/>
    <w:rsid w:val="00745A02"/>
    <w:rsid w:val="00745C60"/>
    <w:rsid w:val="00745E23"/>
    <w:rsid w:val="00745E76"/>
    <w:rsid w:val="00745EEA"/>
    <w:rsid w:val="00745F63"/>
    <w:rsid w:val="00746164"/>
    <w:rsid w:val="00746285"/>
    <w:rsid w:val="007462C4"/>
    <w:rsid w:val="00746374"/>
    <w:rsid w:val="00746383"/>
    <w:rsid w:val="0074653C"/>
    <w:rsid w:val="0074668E"/>
    <w:rsid w:val="00746704"/>
    <w:rsid w:val="007468CA"/>
    <w:rsid w:val="00746A59"/>
    <w:rsid w:val="00746CE2"/>
    <w:rsid w:val="00746D0C"/>
    <w:rsid w:val="00746D15"/>
    <w:rsid w:val="00746E4E"/>
    <w:rsid w:val="00746F23"/>
    <w:rsid w:val="00746F55"/>
    <w:rsid w:val="00746F94"/>
    <w:rsid w:val="00746FD7"/>
    <w:rsid w:val="00747280"/>
    <w:rsid w:val="007476CE"/>
    <w:rsid w:val="00747880"/>
    <w:rsid w:val="007478BF"/>
    <w:rsid w:val="007478DC"/>
    <w:rsid w:val="007479EA"/>
    <w:rsid w:val="00747AD3"/>
    <w:rsid w:val="00747B1E"/>
    <w:rsid w:val="00747D13"/>
    <w:rsid w:val="00747D2E"/>
    <w:rsid w:val="00747D3E"/>
    <w:rsid w:val="00747DD1"/>
    <w:rsid w:val="00747EA7"/>
    <w:rsid w:val="00747EC0"/>
    <w:rsid w:val="00747F70"/>
    <w:rsid w:val="0074ABB8"/>
    <w:rsid w:val="0075007E"/>
    <w:rsid w:val="007500B9"/>
    <w:rsid w:val="007500F9"/>
    <w:rsid w:val="00750222"/>
    <w:rsid w:val="007502D3"/>
    <w:rsid w:val="00750404"/>
    <w:rsid w:val="00750428"/>
    <w:rsid w:val="0075043D"/>
    <w:rsid w:val="007504B5"/>
    <w:rsid w:val="007505A4"/>
    <w:rsid w:val="00750676"/>
    <w:rsid w:val="0075082A"/>
    <w:rsid w:val="00750851"/>
    <w:rsid w:val="007508B6"/>
    <w:rsid w:val="00750901"/>
    <w:rsid w:val="0075096F"/>
    <w:rsid w:val="00750A99"/>
    <w:rsid w:val="00750BFE"/>
    <w:rsid w:val="00750C1E"/>
    <w:rsid w:val="00750CEB"/>
    <w:rsid w:val="00750DF4"/>
    <w:rsid w:val="00750EC5"/>
    <w:rsid w:val="00751116"/>
    <w:rsid w:val="0075115D"/>
    <w:rsid w:val="007512BB"/>
    <w:rsid w:val="00751453"/>
    <w:rsid w:val="0075148F"/>
    <w:rsid w:val="00751504"/>
    <w:rsid w:val="00751549"/>
    <w:rsid w:val="00751558"/>
    <w:rsid w:val="0075161A"/>
    <w:rsid w:val="007516B7"/>
    <w:rsid w:val="007516C7"/>
    <w:rsid w:val="007516DB"/>
    <w:rsid w:val="00751735"/>
    <w:rsid w:val="0075175F"/>
    <w:rsid w:val="0075179A"/>
    <w:rsid w:val="007517AB"/>
    <w:rsid w:val="007517B8"/>
    <w:rsid w:val="007518B1"/>
    <w:rsid w:val="00751910"/>
    <w:rsid w:val="007519DC"/>
    <w:rsid w:val="00751B88"/>
    <w:rsid w:val="00751C7E"/>
    <w:rsid w:val="00751E39"/>
    <w:rsid w:val="00751E4F"/>
    <w:rsid w:val="007520F1"/>
    <w:rsid w:val="0075216F"/>
    <w:rsid w:val="007521CB"/>
    <w:rsid w:val="007521EB"/>
    <w:rsid w:val="00752370"/>
    <w:rsid w:val="00752432"/>
    <w:rsid w:val="00752527"/>
    <w:rsid w:val="00752532"/>
    <w:rsid w:val="0075258A"/>
    <w:rsid w:val="00752706"/>
    <w:rsid w:val="0075287E"/>
    <w:rsid w:val="00752A24"/>
    <w:rsid w:val="00752AC4"/>
    <w:rsid w:val="00752C94"/>
    <w:rsid w:val="00752DA2"/>
    <w:rsid w:val="007530E2"/>
    <w:rsid w:val="0075332C"/>
    <w:rsid w:val="007536FA"/>
    <w:rsid w:val="00753860"/>
    <w:rsid w:val="007538E6"/>
    <w:rsid w:val="00753945"/>
    <w:rsid w:val="00753A83"/>
    <w:rsid w:val="00753B2E"/>
    <w:rsid w:val="00753B44"/>
    <w:rsid w:val="00753BFE"/>
    <w:rsid w:val="00753D02"/>
    <w:rsid w:val="00753D3E"/>
    <w:rsid w:val="00753E45"/>
    <w:rsid w:val="00753E8E"/>
    <w:rsid w:val="00754072"/>
    <w:rsid w:val="007543BD"/>
    <w:rsid w:val="00754541"/>
    <w:rsid w:val="007545D8"/>
    <w:rsid w:val="0075472B"/>
    <w:rsid w:val="00754861"/>
    <w:rsid w:val="00754930"/>
    <w:rsid w:val="00754A31"/>
    <w:rsid w:val="00754CA3"/>
    <w:rsid w:val="00754CFB"/>
    <w:rsid w:val="00754E00"/>
    <w:rsid w:val="00754E4A"/>
    <w:rsid w:val="00754FA4"/>
    <w:rsid w:val="007550A6"/>
    <w:rsid w:val="00755325"/>
    <w:rsid w:val="00755335"/>
    <w:rsid w:val="00755359"/>
    <w:rsid w:val="007553C9"/>
    <w:rsid w:val="007553FA"/>
    <w:rsid w:val="00755674"/>
    <w:rsid w:val="007557E0"/>
    <w:rsid w:val="007557EB"/>
    <w:rsid w:val="00755830"/>
    <w:rsid w:val="007558BD"/>
    <w:rsid w:val="007558F4"/>
    <w:rsid w:val="00755946"/>
    <w:rsid w:val="00755A4F"/>
    <w:rsid w:val="00755B54"/>
    <w:rsid w:val="00755B94"/>
    <w:rsid w:val="00755BAC"/>
    <w:rsid w:val="00755C11"/>
    <w:rsid w:val="00755C1C"/>
    <w:rsid w:val="00755CD8"/>
    <w:rsid w:val="00755D06"/>
    <w:rsid w:val="00755E2F"/>
    <w:rsid w:val="00755F25"/>
    <w:rsid w:val="00755FB4"/>
    <w:rsid w:val="00756043"/>
    <w:rsid w:val="007560D9"/>
    <w:rsid w:val="00756230"/>
    <w:rsid w:val="00756315"/>
    <w:rsid w:val="0075635D"/>
    <w:rsid w:val="00756376"/>
    <w:rsid w:val="0075641B"/>
    <w:rsid w:val="00756649"/>
    <w:rsid w:val="007566FD"/>
    <w:rsid w:val="007569E2"/>
    <w:rsid w:val="00756A1F"/>
    <w:rsid w:val="00756A4C"/>
    <w:rsid w:val="00756BB6"/>
    <w:rsid w:val="00756DE3"/>
    <w:rsid w:val="00756F92"/>
    <w:rsid w:val="0075712E"/>
    <w:rsid w:val="0075728C"/>
    <w:rsid w:val="0075731D"/>
    <w:rsid w:val="007574F8"/>
    <w:rsid w:val="007575BF"/>
    <w:rsid w:val="007575D0"/>
    <w:rsid w:val="007575D8"/>
    <w:rsid w:val="007575E8"/>
    <w:rsid w:val="00757666"/>
    <w:rsid w:val="00757670"/>
    <w:rsid w:val="0075769F"/>
    <w:rsid w:val="0075797A"/>
    <w:rsid w:val="007579B2"/>
    <w:rsid w:val="00757A02"/>
    <w:rsid w:val="00757A19"/>
    <w:rsid w:val="00757B37"/>
    <w:rsid w:val="00757E15"/>
    <w:rsid w:val="00757FFD"/>
    <w:rsid w:val="0076003F"/>
    <w:rsid w:val="007600C6"/>
    <w:rsid w:val="00760146"/>
    <w:rsid w:val="00760255"/>
    <w:rsid w:val="00760390"/>
    <w:rsid w:val="0076046C"/>
    <w:rsid w:val="007604D0"/>
    <w:rsid w:val="00760556"/>
    <w:rsid w:val="0076064E"/>
    <w:rsid w:val="00760691"/>
    <w:rsid w:val="00760A21"/>
    <w:rsid w:val="00760AA8"/>
    <w:rsid w:val="00760AAC"/>
    <w:rsid w:val="00760C75"/>
    <w:rsid w:val="00760E35"/>
    <w:rsid w:val="00760E59"/>
    <w:rsid w:val="00760EF0"/>
    <w:rsid w:val="00760F1D"/>
    <w:rsid w:val="00760F73"/>
    <w:rsid w:val="00760F76"/>
    <w:rsid w:val="00760FE8"/>
    <w:rsid w:val="00761009"/>
    <w:rsid w:val="00761177"/>
    <w:rsid w:val="00761356"/>
    <w:rsid w:val="00761377"/>
    <w:rsid w:val="00761488"/>
    <w:rsid w:val="007615B3"/>
    <w:rsid w:val="00761763"/>
    <w:rsid w:val="007617E9"/>
    <w:rsid w:val="00761852"/>
    <w:rsid w:val="00761919"/>
    <w:rsid w:val="00761923"/>
    <w:rsid w:val="00761949"/>
    <w:rsid w:val="0076198F"/>
    <w:rsid w:val="007619C9"/>
    <w:rsid w:val="007619FF"/>
    <w:rsid w:val="00761C1A"/>
    <w:rsid w:val="00761CFD"/>
    <w:rsid w:val="00761D84"/>
    <w:rsid w:val="00761E1A"/>
    <w:rsid w:val="00762038"/>
    <w:rsid w:val="007620BB"/>
    <w:rsid w:val="007621A8"/>
    <w:rsid w:val="007621F2"/>
    <w:rsid w:val="00762226"/>
    <w:rsid w:val="00762241"/>
    <w:rsid w:val="007623F4"/>
    <w:rsid w:val="007624A1"/>
    <w:rsid w:val="00762693"/>
    <w:rsid w:val="0076281D"/>
    <w:rsid w:val="00762862"/>
    <w:rsid w:val="00762A20"/>
    <w:rsid w:val="00762A2C"/>
    <w:rsid w:val="00762B03"/>
    <w:rsid w:val="00762B12"/>
    <w:rsid w:val="00762B2E"/>
    <w:rsid w:val="00762B9E"/>
    <w:rsid w:val="00762D59"/>
    <w:rsid w:val="00762F6F"/>
    <w:rsid w:val="00762F8E"/>
    <w:rsid w:val="00763122"/>
    <w:rsid w:val="0076325A"/>
    <w:rsid w:val="0076338C"/>
    <w:rsid w:val="0076360E"/>
    <w:rsid w:val="00763697"/>
    <w:rsid w:val="007636DA"/>
    <w:rsid w:val="007637AC"/>
    <w:rsid w:val="007637D6"/>
    <w:rsid w:val="0076384C"/>
    <w:rsid w:val="007638EF"/>
    <w:rsid w:val="00763911"/>
    <w:rsid w:val="007639D5"/>
    <w:rsid w:val="00763B6E"/>
    <w:rsid w:val="00763BDF"/>
    <w:rsid w:val="00763FF3"/>
    <w:rsid w:val="00764116"/>
    <w:rsid w:val="00764119"/>
    <w:rsid w:val="00764155"/>
    <w:rsid w:val="007641C3"/>
    <w:rsid w:val="0076438A"/>
    <w:rsid w:val="00764429"/>
    <w:rsid w:val="00764493"/>
    <w:rsid w:val="007645EB"/>
    <w:rsid w:val="00764627"/>
    <w:rsid w:val="0076462E"/>
    <w:rsid w:val="00764634"/>
    <w:rsid w:val="007646D4"/>
    <w:rsid w:val="007647E0"/>
    <w:rsid w:val="0076480D"/>
    <w:rsid w:val="007649A7"/>
    <w:rsid w:val="00764B7F"/>
    <w:rsid w:val="00764C1E"/>
    <w:rsid w:val="00764F5E"/>
    <w:rsid w:val="00764FC0"/>
    <w:rsid w:val="00765059"/>
    <w:rsid w:val="00765501"/>
    <w:rsid w:val="0076559A"/>
    <w:rsid w:val="0076563B"/>
    <w:rsid w:val="0076567A"/>
    <w:rsid w:val="007658FC"/>
    <w:rsid w:val="007659F5"/>
    <w:rsid w:val="007659FB"/>
    <w:rsid w:val="00765A0F"/>
    <w:rsid w:val="00765AD9"/>
    <w:rsid w:val="00765D3D"/>
    <w:rsid w:val="00765DA4"/>
    <w:rsid w:val="00765E1C"/>
    <w:rsid w:val="00765E45"/>
    <w:rsid w:val="00765E9F"/>
    <w:rsid w:val="00765F02"/>
    <w:rsid w:val="00765F6B"/>
    <w:rsid w:val="00765FF8"/>
    <w:rsid w:val="0076610C"/>
    <w:rsid w:val="007661BF"/>
    <w:rsid w:val="00766255"/>
    <w:rsid w:val="00766311"/>
    <w:rsid w:val="007666A9"/>
    <w:rsid w:val="00766887"/>
    <w:rsid w:val="00766A02"/>
    <w:rsid w:val="00766AA0"/>
    <w:rsid w:val="00766AAF"/>
    <w:rsid w:val="00766AC0"/>
    <w:rsid w:val="00766AE9"/>
    <w:rsid w:val="00766CE4"/>
    <w:rsid w:val="00766D34"/>
    <w:rsid w:val="0076739F"/>
    <w:rsid w:val="0076743A"/>
    <w:rsid w:val="0076754A"/>
    <w:rsid w:val="00767673"/>
    <w:rsid w:val="00767A97"/>
    <w:rsid w:val="00767B12"/>
    <w:rsid w:val="00767D27"/>
    <w:rsid w:val="00767D4C"/>
    <w:rsid w:val="00770162"/>
    <w:rsid w:val="00770259"/>
    <w:rsid w:val="0077025D"/>
    <w:rsid w:val="007702CA"/>
    <w:rsid w:val="00770382"/>
    <w:rsid w:val="00770441"/>
    <w:rsid w:val="0077048E"/>
    <w:rsid w:val="0077050D"/>
    <w:rsid w:val="0077057F"/>
    <w:rsid w:val="007705EA"/>
    <w:rsid w:val="00770818"/>
    <w:rsid w:val="007708DD"/>
    <w:rsid w:val="00770AED"/>
    <w:rsid w:val="00770B2E"/>
    <w:rsid w:val="00770E4B"/>
    <w:rsid w:val="007710D2"/>
    <w:rsid w:val="00771121"/>
    <w:rsid w:val="007711E7"/>
    <w:rsid w:val="007713B7"/>
    <w:rsid w:val="00771579"/>
    <w:rsid w:val="007715CF"/>
    <w:rsid w:val="007716A7"/>
    <w:rsid w:val="0077182D"/>
    <w:rsid w:val="007719DF"/>
    <w:rsid w:val="007719F5"/>
    <w:rsid w:val="00771A6B"/>
    <w:rsid w:val="00771A6F"/>
    <w:rsid w:val="00771AFE"/>
    <w:rsid w:val="00771C8E"/>
    <w:rsid w:val="00771E94"/>
    <w:rsid w:val="00771F5B"/>
    <w:rsid w:val="00772235"/>
    <w:rsid w:val="00772275"/>
    <w:rsid w:val="007722C8"/>
    <w:rsid w:val="00772332"/>
    <w:rsid w:val="00772371"/>
    <w:rsid w:val="007724AC"/>
    <w:rsid w:val="007725E3"/>
    <w:rsid w:val="007726EA"/>
    <w:rsid w:val="00772709"/>
    <w:rsid w:val="0077274A"/>
    <w:rsid w:val="007727AA"/>
    <w:rsid w:val="007728DD"/>
    <w:rsid w:val="00772B46"/>
    <w:rsid w:val="00772B4D"/>
    <w:rsid w:val="00772B93"/>
    <w:rsid w:val="00772BE2"/>
    <w:rsid w:val="00772C24"/>
    <w:rsid w:val="00772C6D"/>
    <w:rsid w:val="00772DD8"/>
    <w:rsid w:val="00772E36"/>
    <w:rsid w:val="00772E3D"/>
    <w:rsid w:val="00772FF9"/>
    <w:rsid w:val="007730E0"/>
    <w:rsid w:val="00773321"/>
    <w:rsid w:val="00773380"/>
    <w:rsid w:val="007734B7"/>
    <w:rsid w:val="007735D3"/>
    <w:rsid w:val="0077370F"/>
    <w:rsid w:val="0077377A"/>
    <w:rsid w:val="00773887"/>
    <w:rsid w:val="007738B3"/>
    <w:rsid w:val="007739CE"/>
    <w:rsid w:val="00773AE7"/>
    <w:rsid w:val="00773B25"/>
    <w:rsid w:val="00773B2F"/>
    <w:rsid w:val="00773B31"/>
    <w:rsid w:val="00773B6F"/>
    <w:rsid w:val="00773C15"/>
    <w:rsid w:val="00773CF3"/>
    <w:rsid w:val="00773D83"/>
    <w:rsid w:val="00773DFB"/>
    <w:rsid w:val="00773F88"/>
    <w:rsid w:val="00773FB4"/>
    <w:rsid w:val="00774074"/>
    <w:rsid w:val="0077412B"/>
    <w:rsid w:val="00774408"/>
    <w:rsid w:val="007744BA"/>
    <w:rsid w:val="007745D3"/>
    <w:rsid w:val="007745F7"/>
    <w:rsid w:val="0077463C"/>
    <w:rsid w:val="00774649"/>
    <w:rsid w:val="0077465B"/>
    <w:rsid w:val="007746EB"/>
    <w:rsid w:val="00774779"/>
    <w:rsid w:val="0077478D"/>
    <w:rsid w:val="00774845"/>
    <w:rsid w:val="0077486D"/>
    <w:rsid w:val="00774958"/>
    <w:rsid w:val="00774AF6"/>
    <w:rsid w:val="00774B22"/>
    <w:rsid w:val="00774D17"/>
    <w:rsid w:val="00774DF6"/>
    <w:rsid w:val="00774E46"/>
    <w:rsid w:val="00774EBE"/>
    <w:rsid w:val="00774FB5"/>
    <w:rsid w:val="007751A2"/>
    <w:rsid w:val="00775414"/>
    <w:rsid w:val="00775421"/>
    <w:rsid w:val="00775613"/>
    <w:rsid w:val="00775671"/>
    <w:rsid w:val="007756EA"/>
    <w:rsid w:val="007757C9"/>
    <w:rsid w:val="007757F4"/>
    <w:rsid w:val="00775805"/>
    <w:rsid w:val="0077580F"/>
    <w:rsid w:val="00775A3A"/>
    <w:rsid w:val="00775B9F"/>
    <w:rsid w:val="00775C9D"/>
    <w:rsid w:val="00775D97"/>
    <w:rsid w:val="00775DC4"/>
    <w:rsid w:val="00775DD8"/>
    <w:rsid w:val="00775F5D"/>
    <w:rsid w:val="00775F80"/>
    <w:rsid w:val="00776216"/>
    <w:rsid w:val="007762DD"/>
    <w:rsid w:val="00776318"/>
    <w:rsid w:val="0077643A"/>
    <w:rsid w:val="00776602"/>
    <w:rsid w:val="007766B1"/>
    <w:rsid w:val="007766EE"/>
    <w:rsid w:val="007766FA"/>
    <w:rsid w:val="0077671C"/>
    <w:rsid w:val="0077683E"/>
    <w:rsid w:val="0077687D"/>
    <w:rsid w:val="00776ABD"/>
    <w:rsid w:val="00776ACD"/>
    <w:rsid w:val="00776AE4"/>
    <w:rsid w:val="00776BD3"/>
    <w:rsid w:val="00776BFF"/>
    <w:rsid w:val="00776CD2"/>
    <w:rsid w:val="00776CFE"/>
    <w:rsid w:val="00776DE6"/>
    <w:rsid w:val="00776E6D"/>
    <w:rsid w:val="00776FFF"/>
    <w:rsid w:val="00777033"/>
    <w:rsid w:val="0077708B"/>
    <w:rsid w:val="00777118"/>
    <w:rsid w:val="007772AD"/>
    <w:rsid w:val="0077734D"/>
    <w:rsid w:val="00777387"/>
    <w:rsid w:val="00777391"/>
    <w:rsid w:val="0077744D"/>
    <w:rsid w:val="007774E5"/>
    <w:rsid w:val="00777510"/>
    <w:rsid w:val="0077754E"/>
    <w:rsid w:val="00777888"/>
    <w:rsid w:val="007779C2"/>
    <w:rsid w:val="00777BE4"/>
    <w:rsid w:val="00777C23"/>
    <w:rsid w:val="00777C9D"/>
    <w:rsid w:val="00777CD5"/>
    <w:rsid w:val="00777DEC"/>
    <w:rsid w:val="00777F60"/>
    <w:rsid w:val="00777F71"/>
    <w:rsid w:val="00780123"/>
    <w:rsid w:val="007804C3"/>
    <w:rsid w:val="007804D1"/>
    <w:rsid w:val="007805DB"/>
    <w:rsid w:val="007806F5"/>
    <w:rsid w:val="00780855"/>
    <w:rsid w:val="0078089D"/>
    <w:rsid w:val="007808C0"/>
    <w:rsid w:val="00780910"/>
    <w:rsid w:val="00780AE9"/>
    <w:rsid w:val="00780B3F"/>
    <w:rsid w:val="00780D5C"/>
    <w:rsid w:val="00780DC5"/>
    <w:rsid w:val="00780E11"/>
    <w:rsid w:val="00780F0F"/>
    <w:rsid w:val="00780F22"/>
    <w:rsid w:val="00780F6A"/>
    <w:rsid w:val="00781426"/>
    <w:rsid w:val="007816FA"/>
    <w:rsid w:val="00781736"/>
    <w:rsid w:val="00781742"/>
    <w:rsid w:val="007817D2"/>
    <w:rsid w:val="00781847"/>
    <w:rsid w:val="00781890"/>
    <w:rsid w:val="00781936"/>
    <w:rsid w:val="00781A33"/>
    <w:rsid w:val="00781B1D"/>
    <w:rsid w:val="00781BE3"/>
    <w:rsid w:val="00781C0C"/>
    <w:rsid w:val="00781C31"/>
    <w:rsid w:val="00781C9E"/>
    <w:rsid w:val="00781DCA"/>
    <w:rsid w:val="00781E2F"/>
    <w:rsid w:val="00782044"/>
    <w:rsid w:val="007820B2"/>
    <w:rsid w:val="00782156"/>
    <w:rsid w:val="0078215A"/>
    <w:rsid w:val="007822A7"/>
    <w:rsid w:val="007824B9"/>
    <w:rsid w:val="007824C4"/>
    <w:rsid w:val="007824D8"/>
    <w:rsid w:val="00782631"/>
    <w:rsid w:val="00782857"/>
    <w:rsid w:val="00782889"/>
    <w:rsid w:val="0078288B"/>
    <w:rsid w:val="00782906"/>
    <w:rsid w:val="00782972"/>
    <w:rsid w:val="007829D2"/>
    <w:rsid w:val="00782A4D"/>
    <w:rsid w:val="00782BC3"/>
    <w:rsid w:val="00782C2A"/>
    <w:rsid w:val="00782CFA"/>
    <w:rsid w:val="00782E36"/>
    <w:rsid w:val="00782E74"/>
    <w:rsid w:val="00782EDA"/>
    <w:rsid w:val="00782FAE"/>
    <w:rsid w:val="00783039"/>
    <w:rsid w:val="0078303A"/>
    <w:rsid w:val="00783135"/>
    <w:rsid w:val="00783331"/>
    <w:rsid w:val="007833CD"/>
    <w:rsid w:val="007833E7"/>
    <w:rsid w:val="00783517"/>
    <w:rsid w:val="00783528"/>
    <w:rsid w:val="0078358D"/>
    <w:rsid w:val="007837B1"/>
    <w:rsid w:val="00783874"/>
    <w:rsid w:val="0078394E"/>
    <w:rsid w:val="00783A1F"/>
    <w:rsid w:val="00783A47"/>
    <w:rsid w:val="00783A5B"/>
    <w:rsid w:val="00783A8F"/>
    <w:rsid w:val="00783AA1"/>
    <w:rsid w:val="00783C1A"/>
    <w:rsid w:val="00783DB2"/>
    <w:rsid w:val="00783E58"/>
    <w:rsid w:val="00783F41"/>
    <w:rsid w:val="007840AE"/>
    <w:rsid w:val="0078417D"/>
    <w:rsid w:val="00784213"/>
    <w:rsid w:val="007842FA"/>
    <w:rsid w:val="00784401"/>
    <w:rsid w:val="007845D6"/>
    <w:rsid w:val="007845E8"/>
    <w:rsid w:val="007846B8"/>
    <w:rsid w:val="00784737"/>
    <w:rsid w:val="00784763"/>
    <w:rsid w:val="007847C2"/>
    <w:rsid w:val="007847FE"/>
    <w:rsid w:val="00784A1E"/>
    <w:rsid w:val="00784A7B"/>
    <w:rsid w:val="00784A84"/>
    <w:rsid w:val="00784B88"/>
    <w:rsid w:val="00784D77"/>
    <w:rsid w:val="00784D89"/>
    <w:rsid w:val="007850FC"/>
    <w:rsid w:val="00785209"/>
    <w:rsid w:val="007853CC"/>
    <w:rsid w:val="00785608"/>
    <w:rsid w:val="00785919"/>
    <w:rsid w:val="007859DF"/>
    <w:rsid w:val="00785AF4"/>
    <w:rsid w:val="00785B0D"/>
    <w:rsid w:val="00785BBC"/>
    <w:rsid w:val="00785DEF"/>
    <w:rsid w:val="00785F28"/>
    <w:rsid w:val="00786045"/>
    <w:rsid w:val="007860CF"/>
    <w:rsid w:val="007861D8"/>
    <w:rsid w:val="007862A3"/>
    <w:rsid w:val="00786309"/>
    <w:rsid w:val="0078634C"/>
    <w:rsid w:val="00786442"/>
    <w:rsid w:val="007868A2"/>
    <w:rsid w:val="007868F3"/>
    <w:rsid w:val="00786AD8"/>
    <w:rsid w:val="00786B5A"/>
    <w:rsid w:val="00786C39"/>
    <w:rsid w:val="00786C93"/>
    <w:rsid w:val="00786CB7"/>
    <w:rsid w:val="00786DA4"/>
    <w:rsid w:val="00786ED7"/>
    <w:rsid w:val="00786F19"/>
    <w:rsid w:val="00787110"/>
    <w:rsid w:val="00787131"/>
    <w:rsid w:val="007871C7"/>
    <w:rsid w:val="007872E1"/>
    <w:rsid w:val="007873A8"/>
    <w:rsid w:val="007875BD"/>
    <w:rsid w:val="00787685"/>
    <w:rsid w:val="00787763"/>
    <w:rsid w:val="0078796A"/>
    <w:rsid w:val="00787CEF"/>
    <w:rsid w:val="00787D27"/>
    <w:rsid w:val="00787D6D"/>
    <w:rsid w:val="00787D9C"/>
    <w:rsid w:val="00787EEC"/>
    <w:rsid w:val="00787F66"/>
    <w:rsid w:val="00787F89"/>
    <w:rsid w:val="00790179"/>
    <w:rsid w:val="007902D6"/>
    <w:rsid w:val="00790358"/>
    <w:rsid w:val="00790421"/>
    <w:rsid w:val="00790426"/>
    <w:rsid w:val="007906F0"/>
    <w:rsid w:val="0079074F"/>
    <w:rsid w:val="00790768"/>
    <w:rsid w:val="007907C8"/>
    <w:rsid w:val="007909CD"/>
    <w:rsid w:val="00790CC8"/>
    <w:rsid w:val="00790D63"/>
    <w:rsid w:val="00790D6B"/>
    <w:rsid w:val="00790F03"/>
    <w:rsid w:val="0079103C"/>
    <w:rsid w:val="007910FB"/>
    <w:rsid w:val="00791187"/>
    <w:rsid w:val="007911F7"/>
    <w:rsid w:val="00791222"/>
    <w:rsid w:val="00791337"/>
    <w:rsid w:val="0079184B"/>
    <w:rsid w:val="00791905"/>
    <w:rsid w:val="0079199F"/>
    <w:rsid w:val="00791AAE"/>
    <w:rsid w:val="00791BB8"/>
    <w:rsid w:val="00791CA4"/>
    <w:rsid w:val="00791D12"/>
    <w:rsid w:val="00791E9E"/>
    <w:rsid w:val="00791ED8"/>
    <w:rsid w:val="0079204B"/>
    <w:rsid w:val="007920F3"/>
    <w:rsid w:val="00792124"/>
    <w:rsid w:val="00792125"/>
    <w:rsid w:val="007924ED"/>
    <w:rsid w:val="007927DF"/>
    <w:rsid w:val="00792827"/>
    <w:rsid w:val="00792B64"/>
    <w:rsid w:val="00792E20"/>
    <w:rsid w:val="00792F28"/>
    <w:rsid w:val="007930F6"/>
    <w:rsid w:val="00793224"/>
    <w:rsid w:val="007935B3"/>
    <w:rsid w:val="00793676"/>
    <w:rsid w:val="007937AE"/>
    <w:rsid w:val="007937D1"/>
    <w:rsid w:val="00793881"/>
    <w:rsid w:val="007939D8"/>
    <w:rsid w:val="007939DB"/>
    <w:rsid w:val="00793A41"/>
    <w:rsid w:val="00793B18"/>
    <w:rsid w:val="00793B1C"/>
    <w:rsid w:val="00793B70"/>
    <w:rsid w:val="00793C17"/>
    <w:rsid w:val="00793E5D"/>
    <w:rsid w:val="00794355"/>
    <w:rsid w:val="00794362"/>
    <w:rsid w:val="00794400"/>
    <w:rsid w:val="007944AA"/>
    <w:rsid w:val="0079461D"/>
    <w:rsid w:val="00794647"/>
    <w:rsid w:val="00794675"/>
    <w:rsid w:val="00794698"/>
    <w:rsid w:val="007947B3"/>
    <w:rsid w:val="007947C1"/>
    <w:rsid w:val="0079499B"/>
    <w:rsid w:val="007949BC"/>
    <w:rsid w:val="00794A21"/>
    <w:rsid w:val="00794A2A"/>
    <w:rsid w:val="00794A2E"/>
    <w:rsid w:val="00794A79"/>
    <w:rsid w:val="00794BF4"/>
    <w:rsid w:val="00794C43"/>
    <w:rsid w:val="00794DBA"/>
    <w:rsid w:val="00794E97"/>
    <w:rsid w:val="00794F27"/>
    <w:rsid w:val="00794F35"/>
    <w:rsid w:val="00795050"/>
    <w:rsid w:val="007950A8"/>
    <w:rsid w:val="0079517B"/>
    <w:rsid w:val="00795303"/>
    <w:rsid w:val="0079532F"/>
    <w:rsid w:val="007955F4"/>
    <w:rsid w:val="0079564A"/>
    <w:rsid w:val="00795887"/>
    <w:rsid w:val="007958FE"/>
    <w:rsid w:val="007959F2"/>
    <w:rsid w:val="00795B85"/>
    <w:rsid w:val="00795EED"/>
    <w:rsid w:val="00795FEE"/>
    <w:rsid w:val="00796109"/>
    <w:rsid w:val="00796111"/>
    <w:rsid w:val="0079615B"/>
    <w:rsid w:val="0079623A"/>
    <w:rsid w:val="00796312"/>
    <w:rsid w:val="00796723"/>
    <w:rsid w:val="00796820"/>
    <w:rsid w:val="0079684A"/>
    <w:rsid w:val="00796921"/>
    <w:rsid w:val="0079694D"/>
    <w:rsid w:val="00796A02"/>
    <w:rsid w:val="00796A70"/>
    <w:rsid w:val="00796A8B"/>
    <w:rsid w:val="00796C4A"/>
    <w:rsid w:val="00796CEB"/>
    <w:rsid w:val="00796D9E"/>
    <w:rsid w:val="00796F15"/>
    <w:rsid w:val="00796F29"/>
    <w:rsid w:val="00796F36"/>
    <w:rsid w:val="00797005"/>
    <w:rsid w:val="007971EE"/>
    <w:rsid w:val="00797369"/>
    <w:rsid w:val="00797396"/>
    <w:rsid w:val="00797451"/>
    <w:rsid w:val="007974F5"/>
    <w:rsid w:val="0079751C"/>
    <w:rsid w:val="007978C1"/>
    <w:rsid w:val="0079799A"/>
    <w:rsid w:val="00797C8B"/>
    <w:rsid w:val="00797CB3"/>
    <w:rsid w:val="00797D55"/>
    <w:rsid w:val="00797E58"/>
    <w:rsid w:val="00797E5E"/>
    <w:rsid w:val="00797FA3"/>
    <w:rsid w:val="007A0061"/>
    <w:rsid w:val="007A00F2"/>
    <w:rsid w:val="007A01FA"/>
    <w:rsid w:val="007A03E3"/>
    <w:rsid w:val="007A044B"/>
    <w:rsid w:val="007A0562"/>
    <w:rsid w:val="007A06C4"/>
    <w:rsid w:val="007A0730"/>
    <w:rsid w:val="007A07F9"/>
    <w:rsid w:val="007A099D"/>
    <w:rsid w:val="007A0A4B"/>
    <w:rsid w:val="007A0A91"/>
    <w:rsid w:val="007A0B0C"/>
    <w:rsid w:val="007A0B9F"/>
    <w:rsid w:val="007A0C18"/>
    <w:rsid w:val="007A0C22"/>
    <w:rsid w:val="007A0CC2"/>
    <w:rsid w:val="007A0D93"/>
    <w:rsid w:val="007A0E39"/>
    <w:rsid w:val="007A1170"/>
    <w:rsid w:val="007A1261"/>
    <w:rsid w:val="007A1566"/>
    <w:rsid w:val="007A16C0"/>
    <w:rsid w:val="007A16D4"/>
    <w:rsid w:val="007A18EC"/>
    <w:rsid w:val="007A18F4"/>
    <w:rsid w:val="007A1B66"/>
    <w:rsid w:val="007A1E7C"/>
    <w:rsid w:val="007A1F1E"/>
    <w:rsid w:val="007A1FAF"/>
    <w:rsid w:val="007A1FE9"/>
    <w:rsid w:val="007A2083"/>
    <w:rsid w:val="007A20E8"/>
    <w:rsid w:val="007A215D"/>
    <w:rsid w:val="007A23F3"/>
    <w:rsid w:val="007A2442"/>
    <w:rsid w:val="007A248A"/>
    <w:rsid w:val="007A25AE"/>
    <w:rsid w:val="007A25B9"/>
    <w:rsid w:val="007A2745"/>
    <w:rsid w:val="007A2846"/>
    <w:rsid w:val="007A2974"/>
    <w:rsid w:val="007A314E"/>
    <w:rsid w:val="007A3159"/>
    <w:rsid w:val="007A3244"/>
    <w:rsid w:val="007A32E3"/>
    <w:rsid w:val="007A3596"/>
    <w:rsid w:val="007A365D"/>
    <w:rsid w:val="007A36D3"/>
    <w:rsid w:val="007A36F2"/>
    <w:rsid w:val="007A3768"/>
    <w:rsid w:val="007A381E"/>
    <w:rsid w:val="007A3966"/>
    <w:rsid w:val="007A39F8"/>
    <w:rsid w:val="007A3BDF"/>
    <w:rsid w:val="007A3CC5"/>
    <w:rsid w:val="007A3D86"/>
    <w:rsid w:val="007A3DAF"/>
    <w:rsid w:val="007A3DEB"/>
    <w:rsid w:val="007A3F40"/>
    <w:rsid w:val="007A42F5"/>
    <w:rsid w:val="007A42FB"/>
    <w:rsid w:val="007A435F"/>
    <w:rsid w:val="007A43AC"/>
    <w:rsid w:val="007A43C3"/>
    <w:rsid w:val="007A442D"/>
    <w:rsid w:val="007A453E"/>
    <w:rsid w:val="007A4542"/>
    <w:rsid w:val="007A4568"/>
    <w:rsid w:val="007A456F"/>
    <w:rsid w:val="007A46F0"/>
    <w:rsid w:val="007A477C"/>
    <w:rsid w:val="007A48B1"/>
    <w:rsid w:val="007A48DD"/>
    <w:rsid w:val="007A4948"/>
    <w:rsid w:val="007A4AA9"/>
    <w:rsid w:val="007A4ADA"/>
    <w:rsid w:val="007A4B00"/>
    <w:rsid w:val="007A4B03"/>
    <w:rsid w:val="007A4E1C"/>
    <w:rsid w:val="007A504A"/>
    <w:rsid w:val="007A50D5"/>
    <w:rsid w:val="007A5231"/>
    <w:rsid w:val="007A52E0"/>
    <w:rsid w:val="007A53CC"/>
    <w:rsid w:val="007A547D"/>
    <w:rsid w:val="007A551C"/>
    <w:rsid w:val="007A5612"/>
    <w:rsid w:val="007A56A9"/>
    <w:rsid w:val="007A5718"/>
    <w:rsid w:val="007A578C"/>
    <w:rsid w:val="007A5823"/>
    <w:rsid w:val="007A5882"/>
    <w:rsid w:val="007A58B8"/>
    <w:rsid w:val="007A5B37"/>
    <w:rsid w:val="007A5B4B"/>
    <w:rsid w:val="007A5D00"/>
    <w:rsid w:val="007A5D63"/>
    <w:rsid w:val="007A5E1F"/>
    <w:rsid w:val="007A5F20"/>
    <w:rsid w:val="007A5F65"/>
    <w:rsid w:val="007A609C"/>
    <w:rsid w:val="007A612A"/>
    <w:rsid w:val="007A6154"/>
    <w:rsid w:val="007A6179"/>
    <w:rsid w:val="007A61C3"/>
    <w:rsid w:val="007A6341"/>
    <w:rsid w:val="007A63F9"/>
    <w:rsid w:val="007A64B2"/>
    <w:rsid w:val="007A64E7"/>
    <w:rsid w:val="007A65A8"/>
    <w:rsid w:val="007A6619"/>
    <w:rsid w:val="007A66CD"/>
    <w:rsid w:val="007A66D0"/>
    <w:rsid w:val="007A6706"/>
    <w:rsid w:val="007A680C"/>
    <w:rsid w:val="007A6967"/>
    <w:rsid w:val="007A6B2C"/>
    <w:rsid w:val="007A6B75"/>
    <w:rsid w:val="007A6BC0"/>
    <w:rsid w:val="007A6BC6"/>
    <w:rsid w:val="007A6C4F"/>
    <w:rsid w:val="007A6D33"/>
    <w:rsid w:val="007A6D52"/>
    <w:rsid w:val="007A6DCA"/>
    <w:rsid w:val="007A7021"/>
    <w:rsid w:val="007A71CE"/>
    <w:rsid w:val="007A7415"/>
    <w:rsid w:val="007A7423"/>
    <w:rsid w:val="007A7481"/>
    <w:rsid w:val="007A74D4"/>
    <w:rsid w:val="007A7701"/>
    <w:rsid w:val="007A7845"/>
    <w:rsid w:val="007A7985"/>
    <w:rsid w:val="007A7A10"/>
    <w:rsid w:val="007A7DF5"/>
    <w:rsid w:val="007B00D2"/>
    <w:rsid w:val="007B02BF"/>
    <w:rsid w:val="007B03A1"/>
    <w:rsid w:val="007B07C6"/>
    <w:rsid w:val="007B0893"/>
    <w:rsid w:val="007B08E2"/>
    <w:rsid w:val="007B09A6"/>
    <w:rsid w:val="007B0A61"/>
    <w:rsid w:val="007B0A79"/>
    <w:rsid w:val="007B0C54"/>
    <w:rsid w:val="007B0C7E"/>
    <w:rsid w:val="007B0D76"/>
    <w:rsid w:val="007B0DDF"/>
    <w:rsid w:val="007B0FBB"/>
    <w:rsid w:val="007B1046"/>
    <w:rsid w:val="007B1069"/>
    <w:rsid w:val="007B1098"/>
    <w:rsid w:val="007B12D1"/>
    <w:rsid w:val="007B1393"/>
    <w:rsid w:val="007B144C"/>
    <w:rsid w:val="007B159E"/>
    <w:rsid w:val="007B1611"/>
    <w:rsid w:val="007B16A3"/>
    <w:rsid w:val="007B16E0"/>
    <w:rsid w:val="007B1759"/>
    <w:rsid w:val="007B1A54"/>
    <w:rsid w:val="007B1A9B"/>
    <w:rsid w:val="007B1ADE"/>
    <w:rsid w:val="007B1B5A"/>
    <w:rsid w:val="007B1BF5"/>
    <w:rsid w:val="007B1C9A"/>
    <w:rsid w:val="007B1D3E"/>
    <w:rsid w:val="007B1FE9"/>
    <w:rsid w:val="007B2068"/>
    <w:rsid w:val="007B2250"/>
    <w:rsid w:val="007B23CA"/>
    <w:rsid w:val="007B250B"/>
    <w:rsid w:val="007B264B"/>
    <w:rsid w:val="007B26AD"/>
    <w:rsid w:val="007B26B1"/>
    <w:rsid w:val="007B2789"/>
    <w:rsid w:val="007B2956"/>
    <w:rsid w:val="007B2AB8"/>
    <w:rsid w:val="007B2E0F"/>
    <w:rsid w:val="007B2E9F"/>
    <w:rsid w:val="007B2EC5"/>
    <w:rsid w:val="007B2F8B"/>
    <w:rsid w:val="007B2F9F"/>
    <w:rsid w:val="007B30FD"/>
    <w:rsid w:val="007B3214"/>
    <w:rsid w:val="007B32E1"/>
    <w:rsid w:val="007B34E3"/>
    <w:rsid w:val="007B3589"/>
    <w:rsid w:val="007B358C"/>
    <w:rsid w:val="007B3648"/>
    <w:rsid w:val="007B36A1"/>
    <w:rsid w:val="007B3B12"/>
    <w:rsid w:val="007B3B4A"/>
    <w:rsid w:val="007B3B6E"/>
    <w:rsid w:val="007B3D12"/>
    <w:rsid w:val="007B3D3D"/>
    <w:rsid w:val="007B3D9D"/>
    <w:rsid w:val="007B3DA7"/>
    <w:rsid w:val="007B3F1C"/>
    <w:rsid w:val="007B411B"/>
    <w:rsid w:val="007B42E7"/>
    <w:rsid w:val="007B436B"/>
    <w:rsid w:val="007B45EF"/>
    <w:rsid w:val="007B46BF"/>
    <w:rsid w:val="007B46DF"/>
    <w:rsid w:val="007B4850"/>
    <w:rsid w:val="007B49B3"/>
    <w:rsid w:val="007B4A43"/>
    <w:rsid w:val="007B4A57"/>
    <w:rsid w:val="007B4D56"/>
    <w:rsid w:val="007B4DE6"/>
    <w:rsid w:val="007B4FEE"/>
    <w:rsid w:val="007B5353"/>
    <w:rsid w:val="007B55B4"/>
    <w:rsid w:val="007B56E0"/>
    <w:rsid w:val="007B5714"/>
    <w:rsid w:val="007B57C1"/>
    <w:rsid w:val="007B586C"/>
    <w:rsid w:val="007B586D"/>
    <w:rsid w:val="007B5872"/>
    <w:rsid w:val="007B5897"/>
    <w:rsid w:val="007B590B"/>
    <w:rsid w:val="007B5A87"/>
    <w:rsid w:val="007B5A8C"/>
    <w:rsid w:val="007B5B2A"/>
    <w:rsid w:val="007B5BE5"/>
    <w:rsid w:val="007B5C10"/>
    <w:rsid w:val="007B5C66"/>
    <w:rsid w:val="007B5C7F"/>
    <w:rsid w:val="007B5F24"/>
    <w:rsid w:val="007B5F97"/>
    <w:rsid w:val="007B5FD0"/>
    <w:rsid w:val="007B6065"/>
    <w:rsid w:val="007B6111"/>
    <w:rsid w:val="007B6133"/>
    <w:rsid w:val="007B61B9"/>
    <w:rsid w:val="007B61FA"/>
    <w:rsid w:val="007B628F"/>
    <w:rsid w:val="007B62DC"/>
    <w:rsid w:val="007B635E"/>
    <w:rsid w:val="007B6382"/>
    <w:rsid w:val="007B639E"/>
    <w:rsid w:val="007B640C"/>
    <w:rsid w:val="007B6495"/>
    <w:rsid w:val="007B6536"/>
    <w:rsid w:val="007B6691"/>
    <w:rsid w:val="007B68C9"/>
    <w:rsid w:val="007B6973"/>
    <w:rsid w:val="007B6A3E"/>
    <w:rsid w:val="007B6A45"/>
    <w:rsid w:val="007B6BD6"/>
    <w:rsid w:val="007B6CC3"/>
    <w:rsid w:val="007B6CE4"/>
    <w:rsid w:val="007B6E67"/>
    <w:rsid w:val="007B6E96"/>
    <w:rsid w:val="007B703D"/>
    <w:rsid w:val="007B735C"/>
    <w:rsid w:val="007B73C6"/>
    <w:rsid w:val="007B73DC"/>
    <w:rsid w:val="007B7520"/>
    <w:rsid w:val="007B7585"/>
    <w:rsid w:val="007B7770"/>
    <w:rsid w:val="007B77F4"/>
    <w:rsid w:val="007B7825"/>
    <w:rsid w:val="007B7844"/>
    <w:rsid w:val="007B795D"/>
    <w:rsid w:val="007B796E"/>
    <w:rsid w:val="007B7AAE"/>
    <w:rsid w:val="007B7F28"/>
    <w:rsid w:val="007B7FF0"/>
    <w:rsid w:val="007C00CC"/>
    <w:rsid w:val="007C010D"/>
    <w:rsid w:val="007C0222"/>
    <w:rsid w:val="007C03E7"/>
    <w:rsid w:val="007C045E"/>
    <w:rsid w:val="007C04A4"/>
    <w:rsid w:val="007C0507"/>
    <w:rsid w:val="007C0626"/>
    <w:rsid w:val="007C0673"/>
    <w:rsid w:val="007C0713"/>
    <w:rsid w:val="007C07FE"/>
    <w:rsid w:val="007C082B"/>
    <w:rsid w:val="007C0891"/>
    <w:rsid w:val="007C0905"/>
    <w:rsid w:val="007C0BE2"/>
    <w:rsid w:val="007C0CE7"/>
    <w:rsid w:val="007C0CF5"/>
    <w:rsid w:val="007C0D57"/>
    <w:rsid w:val="007C0EFE"/>
    <w:rsid w:val="007C0F58"/>
    <w:rsid w:val="007C1040"/>
    <w:rsid w:val="007C14C0"/>
    <w:rsid w:val="007C14D7"/>
    <w:rsid w:val="007C14F0"/>
    <w:rsid w:val="007C15F4"/>
    <w:rsid w:val="007C16A5"/>
    <w:rsid w:val="007C16D6"/>
    <w:rsid w:val="007C175A"/>
    <w:rsid w:val="007C17C5"/>
    <w:rsid w:val="007C1A1F"/>
    <w:rsid w:val="007C1A5A"/>
    <w:rsid w:val="007C1B16"/>
    <w:rsid w:val="007C1B27"/>
    <w:rsid w:val="007C1C03"/>
    <w:rsid w:val="007C1D5F"/>
    <w:rsid w:val="007C1DD4"/>
    <w:rsid w:val="007C1F5F"/>
    <w:rsid w:val="007C209A"/>
    <w:rsid w:val="007C20FF"/>
    <w:rsid w:val="007C2110"/>
    <w:rsid w:val="007C2390"/>
    <w:rsid w:val="007C2461"/>
    <w:rsid w:val="007C24E6"/>
    <w:rsid w:val="007C24FB"/>
    <w:rsid w:val="007C2829"/>
    <w:rsid w:val="007C285B"/>
    <w:rsid w:val="007C297D"/>
    <w:rsid w:val="007C2A70"/>
    <w:rsid w:val="007C2CFD"/>
    <w:rsid w:val="007C2D04"/>
    <w:rsid w:val="007C2DEB"/>
    <w:rsid w:val="007C2ED8"/>
    <w:rsid w:val="007C2EEE"/>
    <w:rsid w:val="007C31F1"/>
    <w:rsid w:val="007C32A5"/>
    <w:rsid w:val="007C33ED"/>
    <w:rsid w:val="007C34A8"/>
    <w:rsid w:val="007C3562"/>
    <w:rsid w:val="007C367A"/>
    <w:rsid w:val="007C3893"/>
    <w:rsid w:val="007C3B6C"/>
    <w:rsid w:val="007C3CE5"/>
    <w:rsid w:val="007C4013"/>
    <w:rsid w:val="007C40FB"/>
    <w:rsid w:val="007C423C"/>
    <w:rsid w:val="007C427E"/>
    <w:rsid w:val="007C4304"/>
    <w:rsid w:val="007C4396"/>
    <w:rsid w:val="007C43E6"/>
    <w:rsid w:val="007C4510"/>
    <w:rsid w:val="007C46D3"/>
    <w:rsid w:val="007C47A8"/>
    <w:rsid w:val="007C48FD"/>
    <w:rsid w:val="007C4A04"/>
    <w:rsid w:val="007C4A10"/>
    <w:rsid w:val="007C4A9F"/>
    <w:rsid w:val="007C4B37"/>
    <w:rsid w:val="007C4D5B"/>
    <w:rsid w:val="007C4DD8"/>
    <w:rsid w:val="007C4DF9"/>
    <w:rsid w:val="007C4E1B"/>
    <w:rsid w:val="007C4EEA"/>
    <w:rsid w:val="007C4EFD"/>
    <w:rsid w:val="007C54CD"/>
    <w:rsid w:val="007C55D4"/>
    <w:rsid w:val="007C571F"/>
    <w:rsid w:val="007C576D"/>
    <w:rsid w:val="007C57BE"/>
    <w:rsid w:val="007C585B"/>
    <w:rsid w:val="007C5B3A"/>
    <w:rsid w:val="007C5B6C"/>
    <w:rsid w:val="007C5DAB"/>
    <w:rsid w:val="007C5E13"/>
    <w:rsid w:val="007C5EC4"/>
    <w:rsid w:val="007C5F24"/>
    <w:rsid w:val="007C5F94"/>
    <w:rsid w:val="007C5FB7"/>
    <w:rsid w:val="007C601B"/>
    <w:rsid w:val="007C6081"/>
    <w:rsid w:val="007C62AE"/>
    <w:rsid w:val="007C62CA"/>
    <w:rsid w:val="007C6371"/>
    <w:rsid w:val="007C637E"/>
    <w:rsid w:val="007C6404"/>
    <w:rsid w:val="007C6468"/>
    <w:rsid w:val="007C648A"/>
    <w:rsid w:val="007C6543"/>
    <w:rsid w:val="007C65D2"/>
    <w:rsid w:val="007C6806"/>
    <w:rsid w:val="007C6911"/>
    <w:rsid w:val="007C69DE"/>
    <w:rsid w:val="007C6A0D"/>
    <w:rsid w:val="007C6B82"/>
    <w:rsid w:val="007C6BAE"/>
    <w:rsid w:val="007C6C51"/>
    <w:rsid w:val="007C6CBF"/>
    <w:rsid w:val="007C6DD7"/>
    <w:rsid w:val="007C6FAF"/>
    <w:rsid w:val="007C70A1"/>
    <w:rsid w:val="007C726A"/>
    <w:rsid w:val="007C72D2"/>
    <w:rsid w:val="007C72FD"/>
    <w:rsid w:val="007C735E"/>
    <w:rsid w:val="007C7427"/>
    <w:rsid w:val="007C74F9"/>
    <w:rsid w:val="007C7502"/>
    <w:rsid w:val="007C76AE"/>
    <w:rsid w:val="007C76FB"/>
    <w:rsid w:val="007C79A2"/>
    <w:rsid w:val="007C79D1"/>
    <w:rsid w:val="007C7A36"/>
    <w:rsid w:val="007C7B17"/>
    <w:rsid w:val="007C7BDF"/>
    <w:rsid w:val="007C7C6B"/>
    <w:rsid w:val="007C7D2C"/>
    <w:rsid w:val="007C7DD1"/>
    <w:rsid w:val="007C7E24"/>
    <w:rsid w:val="007C7F1C"/>
    <w:rsid w:val="007C7FD9"/>
    <w:rsid w:val="007D0065"/>
    <w:rsid w:val="007D00EE"/>
    <w:rsid w:val="007D01A7"/>
    <w:rsid w:val="007D0285"/>
    <w:rsid w:val="007D03C6"/>
    <w:rsid w:val="007D03FF"/>
    <w:rsid w:val="007D0419"/>
    <w:rsid w:val="007D0577"/>
    <w:rsid w:val="007D05AE"/>
    <w:rsid w:val="007D05F6"/>
    <w:rsid w:val="007D067A"/>
    <w:rsid w:val="007D0816"/>
    <w:rsid w:val="007D0876"/>
    <w:rsid w:val="007D08DC"/>
    <w:rsid w:val="007D0B7D"/>
    <w:rsid w:val="007D0D06"/>
    <w:rsid w:val="007D11F0"/>
    <w:rsid w:val="007D12E0"/>
    <w:rsid w:val="007D133B"/>
    <w:rsid w:val="007D139D"/>
    <w:rsid w:val="007D1489"/>
    <w:rsid w:val="007D152D"/>
    <w:rsid w:val="007D158D"/>
    <w:rsid w:val="007D183B"/>
    <w:rsid w:val="007D1886"/>
    <w:rsid w:val="007D18DB"/>
    <w:rsid w:val="007D196E"/>
    <w:rsid w:val="007D1BF6"/>
    <w:rsid w:val="007D1CEC"/>
    <w:rsid w:val="007D1DDB"/>
    <w:rsid w:val="007D1E42"/>
    <w:rsid w:val="007D1E79"/>
    <w:rsid w:val="007D1E99"/>
    <w:rsid w:val="007D1F74"/>
    <w:rsid w:val="007D1FD7"/>
    <w:rsid w:val="007D203C"/>
    <w:rsid w:val="007D2069"/>
    <w:rsid w:val="007D20B0"/>
    <w:rsid w:val="007D278C"/>
    <w:rsid w:val="007D29B3"/>
    <w:rsid w:val="007D29E2"/>
    <w:rsid w:val="007D2B1F"/>
    <w:rsid w:val="007D2BE4"/>
    <w:rsid w:val="007D2D12"/>
    <w:rsid w:val="007D2E71"/>
    <w:rsid w:val="007D2F96"/>
    <w:rsid w:val="007D304E"/>
    <w:rsid w:val="007D310C"/>
    <w:rsid w:val="007D3166"/>
    <w:rsid w:val="007D31C4"/>
    <w:rsid w:val="007D31D7"/>
    <w:rsid w:val="007D31EE"/>
    <w:rsid w:val="007D3229"/>
    <w:rsid w:val="007D32CC"/>
    <w:rsid w:val="007D34A0"/>
    <w:rsid w:val="007D34AA"/>
    <w:rsid w:val="007D3573"/>
    <w:rsid w:val="007D371C"/>
    <w:rsid w:val="007D374B"/>
    <w:rsid w:val="007D389D"/>
    <w:rsid w:val="007D39DB"/>
    <w:rsid w:val="007D3B90"/>
    <w:rsid w:val="007D3C39"/>
    <w:rsid w:val="007D3C46"/>
    <w:rsid w:val="007D402B"/>
    <w:rsid w:val="007D4074"/>
    <w:rsid w:val="007D425C"/>
    <w:rsid w:val="007D429D"/>
    <w:rsid w:val="007D435C"/>
    <w:rsid w:val="007D4379"/>
    <w:rsid w:val="007D4464"/>
    <w:rsid w:val="007D48D6"/>
    <w:rsid w:val="007D4964"/>
    <w:rsid w:val="007D498B"/>
    <w:rsid w:val="007D4A2C"/>
    <w:rsid w:val="007D4A66"/>
    <w:rsid w:val="007D4ACE"/>
    <w:rsid w:val="007D4D63"/>
    <w:rsid w:val="007D4DAE"/>
    <w:rsid w:val="007D4E67"/>
    <w:rsid w:val="007D4FF6"/>
    <w:rsid w:val="007D5268"/>
    <w:rsid w:val="007D526D"/>
    <w:rsid w:val="007D527C"/>
    <w:rsid w:val="007D541E"/>
    <w:rsid w:val="007D54C6"/>
    <w:rsid w:val="007D5538"/>
    <w:rsid w:val="007D559B"/>
    <w:rsid w:val="007D5771"/>
    <w:rsid w:val="007D58DF"/>
    <w:rsid w:val="007D5997"/>
    <w:rsid w:val="007D5A08"/>
    <w:rsid w:val="007D5B28"/>
    <w:rsid w:val="007D5D6B"/>
    <w:rsid w:val="007D5DA5"/>
    <w:rsid w:val="007D5F8E"/>
    <w:rsid w:val="007D5FE0"/>
    <w:rsid w:val="007D61D8"/>
    <w:rsid w:val="007D641F"/>
    <w:rsid w:val="007D6446"/>
    <w:rsid w:val="007D67E1"/>
    <w:rsid w:val="007D6886"/>
    <w:rsid w:val="007D6922"/>
    <w:rsid w:val="007D6C34"/>
    <w:rsid w:val="007D6E26"/>
    <w:rsid w:val="007D6EBC"/>
    <w:rsid w:val="007D6F40"/>
    <w:rsid w:val="007D6FA5"/>
    <w:rsid w:val="007D7082"/>
    <w:rsid w:val="007D71A0"/>
    <w:rsid w:val="007D7329"/>
    <w:rsid w:val="007D743F"/>
    <w:rsid w:val="007D7517"/>
    <w:rsid w:val="007D78E6"/>
    <w:rsid w:val="007D7CBB"/>
    <w:rsid w:val="007D7CD8"/>
    <w:rsid w:val="007D7CF9"/>
    <w:rsid w:val="007D7DD1"/>
    <w:rsid w:val="007D7F83"/>
    <w:rsid w:val="007E0227"/>
    <w:rsid w:val="007E038C"/>
    <w:rsid w:val="007E05FA"/>
    <w:rsid w:val="007E07E2"/>
    <w:rsid w:val="007E08C5"/>
    <w:rsid w:val="007E0B80"/>
    <w:rsid w:val="007E0B85"/>
    <w:rsid w:val="007E0D9A"/>
    <w:rsid w:val="007E106D"/>
    <w:rsid w:val="007E10CE"/>
    <w:rsid w:val="007E1201"/>
    <w:rsid w:val="007E12B0"/>
    <w:rsid w:val="007E130E"/>
    <w:rsid w:val="007E13C9"/>
    <w:rsid w:val="007E1426"/>
    <w:rsid w:val="007E144B"/>
    <w:rsid w:val="007E1479"/>
    <w:rsid w:val="007E1504"/>
    <w:rsid w:val="007E1542"/>
    <w:rsid w:val="007E1581"/>
    <w:rsid w:val="007E16B1"/>
    <w:rsid w:val="007E1E1D"/>
    <w:rsid w:val="007E1EF7"/>
    <w:rsid w:val="007E1FDC"/>
    <w:rsid w:val="007E2017"/>
    <w:rsid w:val="007E2025"/>
    <w:rsid w:val="007E20E8"/>
    <w:rsid w:val="007E2104"/>
    <w:rsid w:val="007E21C3"/>
    <w:rsid w:val="007E223D"/>
    <w:rsid w:val="007E2303"/>
    <w:rsid w:val="007E23F0"/>
    <w:rsid w:val="007E2487"/>
    <w:rsid w:val="007E25C1"/>
    <w:rsid w:val="007E2617"/>
    <w:rsid w:val="007E268D"/>
    <w:rsid w:val="007E2707"/>
    <w:rsid w:val="007E2769"/>
    <w:rsid w:val="007E27AC"/>
    <w:rsid w:val="007E2A33"/>
    <w:rsid w:val="007E2C31"/>
    <w:rsid w:val="007E2C50"/>
    <w:rsid w:val="007E2C65"/>
    <w:rsid w:val="007E2D6B"/>
    <w:rsid w:val="007E2E32"/>
    <w:rsid w:val="007E2EAB"/>
    <w:rsid w:val="007E2F83"/>
    <w:rsid w:val="007E2FC8"/>
    <w:rsid w:val="007E2FD1"/>
    <w:rsid w:val="007E303F"/>
    <w:rsid w:val="007E3087"/>
    <w:rsid w:val="007E30A3"/>
    <w:rsid w:val="007E334E"/>
    <w:rsid w:val="007E33BB"/>
    <w:rsid w:val="007E33DC"/>
    <w:rsid w:val="007E34D7"/>
    <w:rsid w:val="007E3B16"/>
    <w:rsid w:val="007E3BC5"/>
    <w:rsid w:val="007E3C3A"/>
    <w:rsid w:val="007E3C68"/>
    <w:rsid w:val="007E3CDC"/>
    <w:rsid w:val="007E3D36"/>
    <w:rsid w:val="007E3D39"/>
    <w:rsid w:val="007E3FB1"/>
    <w:rsid w:val="007E3FBA"/>
    <w:rsid w:val="007E417C"/>
    <w:rsid w:val="007E42F3"/>
    <w:rsid w:val="007E43B7"/>
    <w:rsid w:val="007E47B3"/>
    <w:rsid w:val="007E4944"/>
    <w:rsid w:val="007E49C1"/>
    <w:rsid w:val="007E4A23"/>
    <w:rsid w:val="007E4AE2"/>
    <w:rsid w:val="007E4B26"/>
    <w:rsid w:val="007E4B31"/>
    <w:rsid w:val="007E4C08"/>
    <w:rsid w:val="007E4C1D"/>
    <w:rsid w:val="007E4D81"/>
    <w:rsid w:val="007E4D85"/>
    <w:rsid w:val="007E4DED"/>
    <w:rsid w:val="007E4F8A"/>
    <w:rsid w:val="007E503F"/>
    <w:rsid w:val="007E50D3"/>
    <w:rsid w:val="007E5103"/>
    <w:rsid w:val="007E5292"/>
    <w:rsid w:val="007E533E"/>
    <w:rsid w:val="007E541E"/>
    <w:rsid w:val="007E54A6"/>
    <w:rsid w:val="007E54D7"/>
    <w:rsid w:val="007E5511"/>
    <w:rsid w:val="007E5517"/>
    <w:rsid w:val="007E55B8"/>
    <w:rsid w:val="007E565D"/>
    <w:rsid w:val="007E56E5"/>
    <w:rsid w:val="007E5723"/>
    <w:rsid w:val="007E573D"/>
    <w:rsid w:val="007E5851"/>
    <w:rsid w:val="007E59FC"/>
    <w:rsid w:val="007E5C30"/>
    <w:rsid w:val="007E5C35"/>
    <w:rsid w:val="007E5C4C"/>
    <w:rsid w:val="007E5CB0"/>
    <w:rsid w:val="007E5F28"/>
    <w:rsid w:val="007E5F78"/>
    <w:rsid w:val="007E6038"/>
    <w:rsid w:val="007E603F"/>
    <w:rsid w:val="007E6060"/>
    <w:rsid w:val="007E6153"/>
    <w:rsid w:val="007E61BA"/>
    <w:rsid w:val="007E61D1"/>
    <w:rsid w:val="007E62BD"/>
    <w:rsid w:val="007E6458"/>
    <w:rsid w:val="007E646A"/>
    <w:rsid w:val="007E64DF"/>
    <w:rsid w:val="007E64FF"/>
    <w:rsid w:val="007E6765"/>
    <w:rsid w:val="007E676D"/>
    <w:rsid w:val="007E67EB"/>
    <w:rsid w:val="007E6913"/>
    <w:rsid w:val="007E6970"/>
    <w:rsid w:val="007E69CB"/>
    <w:rsid w:val="007E6CC0"/>
    <w:rsid w:val="007E7058"/>
    <w:rsid w:val="007E7198"/>
    <w:rsid w:val="007E7319"/>
    <w:rsid w:val="007E7496"/>
    <w:rsid w:val="007E74DF"/>
    <w:rsid w:val="007E758B"/>
    <w:rsid w:val="007E76CB"/>
    <w:rsid w:val="007E76FC"/>
    <w:rsid w:val="007E7897"/>
    <w:rsid w:val="007E78E1"/>
    <w:rsid w:val="007E7912"/>
    <w:rsid w:val="007E7996"/>
    <w:rsid w:val="007E7B9A"/>
    <w:rsid w:val="007E7C2E"/>
    <w:rsid w:val="007E7F51"/>
    <w:rsid w:val="007E7F5E"/>
    <w:rsid w:val="007E7F9F"/>
    <w:rsid w:val="007E7FF8"/>
    <w:rsid w:val="007F00A2"/>
    <w:rsid w:val="007F00DF"/>
    <w:rsid w:val="007F0136"/>
    <w:rsid w:val="007F0200"/>
    <w:rsid w:val="007F028D"/>
    <w:rsid w:val="007F02E8"/>
    <w:rsid w:val="007F0325"/>
    <w:rsid w:val="007F0333"/>
    <w:rsid w:val="007F0353"/>
    <w:rsid w:val="007F0367"/>
    <w:rsid w:val="007F0429"/>
    <w:rsid w:val="007F04FF"/>
    <w:rsid w:val="007F05BD"/>
    <w:rsid w:val="007F05ED"/>
    <w:rsid w:val="007F075D"/>
    <w:rsid w:val="007F07C3"/>
    <w:rsid w:val="007F08E4"/>
    <w:rsid w:val="007F0943"/>
    <w:rsid w:val="007F09AC"/>
    <w:rsid w:val="007F0A3A"/>
    <w:rsid w:val="007F0BF4"/>
    <w:rsid w:val="007F0C86"/>
    <w:rsid w:val="007F0D56"/>
    <w:rsid w:val="007F0DAF"/>
    <w:rsid w:val="007F0FE8"/>
    <w:rsid w:val="007F10CD"/>
    <w:rsid w:val="007F1287"/>
    <w:rsid w:val="007F136F"/>
    <w:rsid w:val="007F13EC"/>
    <w:rsid w:val="007F1648"/>
    <w:rsid w:val="007F1666"/>
    <w:rsid w:val="007F16BA"/>
    <w:rsid w:val="007F1719"/>
    <w:rsid w:val="007F1B04"/>
    <w:rsid w:val="007F1CBA"/>
    <w:rsid w:val="007F1E51"/>
    <w:rsid w:val="007F1F14"/>
    <w:rsid w:val="007F1F53"/>
    <w:rsid w:val="007F20F5"/>
    <w:rsid w:val="007F21CD"/>
    <w:rsid w:val="007F2234"/>
    <w:rsid w:val="007F225F"/>
    <w:rsid w:val="007F23BF"/>
    <w:rsid w:val="007F23EC"/>
    <w:rsid w:val="007F2478"/>
    <w:rsid w:val="007F26DE"/>
    <w:rsid w:val="007F2768"/>
    <w:rsid w:val="007F27D0"/>
    <w:rsid w:val="007F296E"/>
    <w:rsid w:val="007F2A75"/>
    <w:rsid w:val="007F2AD9"/>
    <w:rsid w:val="007F2D2F"/>
    <w:rsid w:val="007F2F3B"/>
    <w:rsid w:val="007F2FEF"/>
    <w:rsid w:val="007F3185"/>
    <w:rsid w:val="007F3235"/>
    <w:rsid w:val="007F3280"/>
    <w:rsid w:val="007F3444"/>
    <w:rsid w:val="007F349E"/>
    <w:rsid w:val="007F3593"/>
    <w:rsid w:val="007F36B6"/>
    <w:rsid w:val="007F39EC"/>
    <w:rsid w:val="007F3BC4"/>
    <w:rsid w:val="007F3C81"/>
    <w:rsid w:val="007F3DB3"/>
    <w:rsid w:val="007F3DCD"/>
    <w:rsid w:val="007F4010"/>
    <w:rsid w:val="007F4092"/>
    <w:rsid w:val="007F4108"/>
    <w:rsid w:val="007F429E"/>
    <w:rsid w:val="007F4308"/>
    <w:rsid w:val="007F438E"/>
    <w:rsid w:val="007F439D"/>
    <w:rsid w:val="007F44D3"/>
    <w:rsid w:val="007F4584"/>
    <w:rsid w:val="007F476C"/>
    <w:rsid w:val="007F484C"/>
    <w:rsid w:val="007F48E8"/>
    <w:rsid w:val="007F490C"/>
    <w:rsid w:val="007F4A71"/>
    <w:rsid w:val="007F4A7E"/>
    <w:rsid w:val="007F4AD8"/>
    <w:rsid w:val="007F4BF6"/>
    <w:rsid w:val="007F4C06"/>
    <w:rsid w:val="007F4C2D"/>
    <w:rsid w:val="007F4CB5"/>
    <w:rsid w:val="007F4CEA"/>
    <w:rsid w:val="007F4D05"/>
    <w:rsid w:val="007F4E4E"/>
    <w:rsid w:val="007F4E96"/>
    <w:rsid w:val="007F4F81"/>
    <w:rsid w:val="007F5111"/>
    <w:rsid w:val="007F51C3"/>
    <w:rsid w:val="007F51E4"/>
    <w:rsid w:val="007F51E9"/>
    <w:rsid w:val="007F5212"/>
    <w:rsid w:val="007F5266"/>
    <w:rsid w:val="007F5376"/>
    <w:rsid w:val="007F54A3"/>
    <w:rsid w:val="007F54D3"/>
    <w:rsid w:val="007F5500"/>
    <w:rsid w:val="007F575D"/>
    <w:rsid w:val="007F58A4"/>
    <w:rsid w:val="007F59CD"/>
    <w:rsid w:val="007F5A37"/>
    <w:rsid w:val="007F5A3C"/>
    <w:rsid w:val="007F5C32"/>
    <w:rsid w:val="007F5DDA"/>
    <w:rsid w:val="007F5E19"/>
    <w:rsid w:val="007F623F"/>
    <w:rsid w:val="007F624A"/>
    <w:rsid w:val="007F632F"/>
    <w:rsid w:val="007F6479"/>
    <w:rsid w:val="007F6562"/>
    <w:rsid w:val="007F6599"/>
    <w:rsid w:val="007F673E"/>
    <w:rsid w:val="007F68E3"/>
    <w:rsid w:val="007F6917"/>
    <w:rsid w:val="007F6A1F"/>
    <w:rsid w:val="007F6C21"/>
    <w:rsid w:val="007F6FA3"/>
    <w:rsid w:val="007F710D"/>
    <w:rsid w:val="007F712F"/>
    <w:rsid w:val="007F71B1"/>
    <w:rsid w:val="007F7292"/>
    <w:rsid w:val="007F735E"/>
    <w:rsid w:val="007F7394"/>
    <w:rsid w:val="007F7536"/>
    <w:rsid w:val="007F75C6"/>
    <w:rsid w:val="007F768D"/>
    <w:rsid w:val="007F76B5"/>
    <w:rsid w:val="007F7726"/>
    <w:rsid w:val="007F7727"/>
    <w:rsid w:val="007F779A"/>
    <w:rsid w:val="007F77E1"/>
    <w:rsid w:val="007F7A5F"/>
    <w:rsid w:val="007F7A88"/>
    <w:rsid w:val="007F7BC5"/>
    <w:rsid w:val="007F7ECF"/>
    <w:rsid w:val="007F7EDD"/>
    <w:rsid w:val="007F7F2D"/>
    <w:rsid w:val="007F7FBF"/>
    <w:rsid w:val="00800191"/>
    <w:rsid w:val="008001C7"/>
    <w:rsid w:val="008001EA"/>
    <w:rsid w:val="0080022D"/>
    <w:rsid w:val="00800455"/>
    <w:rsid w:val="00800458"/>
    <w:rsid w:val="0080053A"/>
    <w:rsid w:val="00800541"/>
    <w:rsid w:val="0080055A"/>
    <w:rsid w:val="00800695"/>
    <w:rsid w:val="0080083B"/>
    <w:rsid w:val="008008F2"/>
    <w:rsid w:val="00800980"/>
    <w:rsid w:val="00800B77"/>
    <w:rsid w:val="00800BD5"/>
    <w:rsid w:val="00800C57"/>
    <w:rsid w:val="00800CAF"/>
    <w:rsid w:val="00800D89"/>
    <w:rsid w:val="00801216"/>
    <w:rsid w:val="008016B6"/>
    <w:rsid w:val="00801744"/>
    <w:rsid w:val="00801843"/>
    <w:rsid w:val="008018B0"/>
    <w:rsid w:val="00801AD5"/>
    <w:rsid w:val="00801AEC"/>
    <w:rsid w:val="00801C01"/>
    <w:rsid w:val="00801C36"/>
    <w:rsid w:val="00801DB2"/>
    <w:rsid w:val="00801DD1"/>
    <w:rsid w:val="00801DD2"/>
    <w:rsid w:val="00801E59"/>
    <w:rsid w:val="00801E69"/>
    <w:rsid w:val="00801EE6"/>
    <w:rsid w:val="00802020"/>
    <w:rsid w:val="008020EF"/>
    <w:rsid w:val="008021A0"/>
    <w:rsid w:val="00802275"/>
    <w:rsid w:val="00802360"/>
    <w:rsid w:val="008023F3"/>
    <w:rsid w:val="008023FC"/>
    <w:rsid w:val="0080242E"/>
    <w:rsid w:val="008025DE"/>
    <w:rsid w:val="00802640"/>
    <w:rsid w:val="0080265A"/>
    <w:rsid w:val="008026C0"/>
    <w:rsid w:val="00802958"/>
    <w:rsid w:val="008029C9"/>
    <w:rsid w:val="00802B4E"/>
    <w:rsid w:val="00802BE6"/>
    <w:rsid w:val="00802CA8"/>
    <w:rsid w:val="00802D97"/>
    <w:rsid w:val="00802DC1"/>
    <w:rsid w:val="00802E93"/>
    <w:rsid w:val="00802F99"/>
    <w:rsid w:val="008030A9"/>
    <w:rsid w:val="00803255"/>
    <w:rsid w:val="0080325B"/>
    <w:rsid w:val="00803291"/>
    <w:rsid w:val="00803295"/>
    <w:rsid w:val="008032AB"/>
    <w:rsid w:val="0080330B"/>
    <w:rsid w:val="0080334B"/>
    <w:rsid w:val="00803391"/>
    <w:rsid w:val="00803429"/>
    <w:rsid w:val="0080344C"/>
    <w:rsid w:val="0080367B"/>
    <w:rsid w:val="00803789"/>
    <w:rsid w:val="0080378D"/>
    <w:rsid w:val="0080382E"/>
    <w:rsid w:val="00803ABD"/>
    <w:rsid w:val="00803BB1"/>
    <w:rsid w:val="00803BD9"/>
    <w:rsid w:val="00803D12"/>
    <w:rsid w:val="00803D23"/>
    <w:rsid w:val="00803D2B"/>
    <w:rsid w:val="0080409F"/>
    <w:rsid w:val="0080413C"/>
    <w:rsid w:val="00804293"/>
    <w:rsid w:val="0080439C"/>
    <w:rsid w:val="0080449A"/>
    <w:rsid w:val="00804715"/>
    <w:rsid w:val="00804768"/>
    <w:rsid w:val="00804951"/>
    <w:rsid w:val="0080496E"/>
    <w:rsid w:val="00804995"/>
    <w:rsid w:val="008049C8"/>
    <w:rsid w:val="00804AB4"/>
    <w:rsid w:val="00804B23"/>
    <w:rsid w:val="00804D9F"/>
    <w:rsid w:val="008051B8"/>
    <w:rsid w:val="0080525F"/>
    <w:rsid w:val="008052EA"/>
    <w:rsid w:val="008053B8"/>
    <w:rsid w:val="0080550F"/>
    <w:rsid w:val="008055A3"/>
    <w:rsid w:val="00805672"/>
    <w:rsid w:val="008056C2"/>
    <w:rsid w:val="00805797"/>
    <w:rsid w:val="00805A51"/>
    <w:rsid w:val="00805AA3"/>
    <w:rsid w:val="00805AC0"/>
    <w:rsid w:val="00805B43"/>
    <w:rsid w:val="00805B70"/>
    <w:rsid w:val="00805BF5"/>
    <w:rsid w:val="00805C54"/>
    <w:rsid w:val="00805C72"/>
    <w:rsid w:val="00805D5F"/>
    <w:rsid w:val="00805E21"/>
    <w:rsid w:val="00805F8C"/>
    <w:rsid w:val="0080607F"/>
    <w:rsid w:val="008062D3"/>
    <w:rsid w:val="0080634C"/>
    <w:rsid w:val="00806483"/>
    <w:rsid w:val="0080654F"/>
    <w:rsid w:val="00806811"/>
    <w:rsid w:val="0080685F"/>
    <w:rsid w:val="008068A5"/>
    <w:rsid w:val="008068CB"/>
    <w:rsid w:val="008068D5"/>
    <w:rsid w:val="00806981"/>
    <w:rsid w:val="00806A43"/>
    <w:rsid w:val="00806A64"/>
    <w:rsid w:val="00806B77"/>
    <w:rsid w:val="00806BCC"/>
    <w:rsid w:val="00806F99"/>
    <w:rsid w:val="00806FAC"/>
    <w:rsid w:val="00807018"/>
    <w:rsid w:val="00807019"/>
    <w:rsid w:val="0080710B"/>
    <w:rsid w:val="00807163"/>
    <w:rsid w:val="0080720C"/>
    <w:rsid w:val="0080728F"/>
    <w:rsid w:val="00807353"/>
    <w:rsid w:val="008074B8"/>
    <w:rsid w:val="008077E3"/>
    <w:rsid w:val="0080796B"/>
    <w:rsid w:val="00807A3A"/>
    <w:rsid w:val="00807A61"/>
    <w:rsid w:val="00807C6D"/>
    <w:rsid w:val="00807CF3"/>
    <w:rsid w:val="00807F72"/>
    <w:rsid w:val="00810018"/>
    <w:rsid w:val="0081023D"/>
    <w:rsid w:val="00810249"/>
    <w:rsid w:val="00810313"/>
    <w:rsid w:val="008104FB"/>
    <w:rsid w:val="008104FF"/>
    <w:rsid w:val="008106E1"/>
    <w:rsid w:val="008107D6"/>
    <w:rsid w:val="00810863"/>
    <w:rsid w:val="00810893"/>
    <w:rsid w:val="008108F5"/>
    <w:rsid w:val="00810953"/>
    <w:rsid w:val="00810981"/>
    <w:rsid w:val="008109D0"/>
    <w:rsid w:val="00810A3C"/>
    <w:rsid w:val="00810A3D"/>
    <w:rsid w:val="00810A86"/>
    <w:rsid w:val="00810AF6"/>
    <w:rsid w:val="00810BC4"/>
    <w:rsid w:val="00810C97"/>
    <w:rsid w:val="00810D62"/>
    <w:rsid w:val="00810DFB"/>
    <w:rsid w:val="00811030"/>
    <w:rsid w:val="008110BA"/>
    <w:rsid w:val="008112F4"/>
    <w:rsid w:val="0081132B"/>
    <w:rsid w:val="008113E5"/>
    <w:rsid w:val="008115FB"/>
    <w:rsid w:val="008116CC"/>
    <w:rsid w:val="008116E9"/>
    <w:rsid w:val="008118D5"/>
    <w:rsid w:val="008119AD"/>
    <w:rsid w:val="00811A3F"/>
    <w:rsid w:val="00811BF7"/>
    <w:rsid w:val="00811C3B"/>
    <w:rsid w:val="00811E94"/>
    <w:rsid w:val="008120E6"/>
    <w:rsid w:val="00812195"/>
    <w:rsid w:val="008121CA"/>
    <w:rsid w:val="008121D4"/>
    <w:rsid w:val="00812263"/>
    <w:rsid w:val="0081246C"/>
    <w:rsid w:val="008125EF"/>
    <w:rsid w:val="00812684"/>
    <w:rsid w:val="0081275F"/>
    <w:rsid w:val="00812AB5"/>
    <w:rsid w:val="00812D19"/>
    <w:rsid w:val="00812D5C"/>
    <w:rsid w:val="00812E54"/>
    <w:rsid w:val="00812E6A"/>
    <w:rsid w:val="00813045"/>
    <w:rsid w:val="00813174"/>
    <w:rsid w:val="0081317E"/>
    <w:rsid w:val="008131CB"/>
    <w:rsid w:val="0081320C"/>
    <w:rsid w:val="0081320D"/>
    <w:rsid w:val="008133E2"/>
    <w:rsid w:val="008133F6"/>
    <w:rsid w:val="008134FC"/>
    <w:rsid w:val="00813593"/>
    <w:rsid w:val="008135DE"/>
    <w:rsid w:val="00813680"/>
    <w:rsid w:val="008136F4"/>
    <w:rsid w:val="008136F6"/>
    <w:rsid w:val="00813709"/>
    <w:rsid w:val="00813832"/>
    <w:rsid w:val="0081390C"/>
    <w:rsid w:val="00813A5B"/>
    <w:rsid w:val="00813E49"/>
    <w:rsid w:val="00813F46"/>
    <w:rsid w:val="00813FF9"/>
    <w:rsid w:val="00814147"/>
    <w:rsid w:val="008142B0"/>
    <w:rsid w:val="0081441D"/>
    <w:rsid w:val="00814537"/>
    <w:rsid w:val="00814663"/>
    <w:rsid w:val="00814700"/>
    <w:rsid w:val="00814888"/>
    <w:rsid w:val="00814955"/>
    <w:rsid w:val="00814B83"/>
    <w:rsid w:val="00814BB2"/>
    <w:rsid w:val="00814D50"/>
    <w:rsid w:val="00815191"/>
    <w:rsid w:val="008152BB"/>
    <w:rsid w:val="0081547F"/>
    <w:rsid w:val="008154AE"/>
    <w:rsid w:val="00815570"/>
    <w:rsid w:val="00815682"/>
    <w:rsid w:val="00815734"/>
    <w:rsid w:val="008158A4"/>
    <w:rsid w:val="008158CD"/>
    <w:rsid w:val="008159B9"/>
    <w:rsid w:val="00815B12"/>
    <w:rsid w:val="00815C12"/>
    <w:rsid w:val="00815C97"/>
    <w:rsid w:val="00815CCC"/>
    <w:rsid w:val="00815D4A"/>
    <w:rsid w:val="00815D66"/>
    <w:rsid w:val="00815E51"/>
    <w:rsid w:val="00815F52"/>
    <w:rsid w:val="00816003"/>
    <w:rsid w:val="0081611C"/>
    <w:rsid w:val="008161FF"/>
    <w:rsid w:val="008163A3"/>
    <w:rsid w:val="00816577"/>
    <w:rsid w:val="008166E2"/>
    <w:rsid w:val="00816844"/>
    <w:rsid w:val="008168B2"/>
    <w:rsid w:val="00816912"/>
    <w:rsid w:val="00816B83"/>
    <w:rsid w:val="00816DF1"/>
    <w:rsid w:val="00816F3A"/>
    <w:rsid w:val="008172BC"/>
    <w:rsid w:val="008172EE"/>
    <w:rsid w:val="00817315"/>
    <w:rsid w:val="0081737D"/>
    <w:rsid w:val="008173F9"/>
    <w:rsid w:val="008174D7"/>
    <w:rsid w:val="008175D2"/>
    <w:rsid w:val="00817638"/>
    <w:rsid w:val="00817656"/>
    <w:rsid w:val="008176DE"/>
    <w:rsid w:val="00817731"/>
    <w:rsid w:val="008179E0"/>
    <w:rsid w:val="00817B8B"/>
    <w:rsid w:val="00817E69"/>
    <w:rsid w:val="00817ECE"/>
    <w:rsid w:val="0082005C"/>
    <w:rsid w:val="00820073"/>
    <w:rsid w:val="00820134"/>
    <w:rsid w:val="0082019C"/>
    <w:rsid w:val="0082029A"/>
    <w:rsid w:val="008203DB"/>
    <w:rsid w:val="008203F8"/>
    <w:rsid w:val="0082043D"/>
    <w:rsid w:val="008204F0"/>
    <w:rsid w:val="00820668"/>
    <w:rsid w:val="008207C7"/>
    <w:rsid w:val="00820836"/>
    <w:rsid w:val="0082087F"/>
    <w:rsid w:val="00820909"/>
    <w:rsid w:val="00820A7D"/>
    <w:rsid w:val="00820B3B"/>
    <w:rsid w:val="00820B68"/>
    <w:rsid w:val="00820B6F"/>
    <w:rsid w:val="00820CB0"/>
    <w:rsid w:val="00820DB9"/>
    <w:rsid w:val="00820DC7"/>
    <w:rsid w:val="00820EAA"/>
    <w:rsid w:val="00821050"/>
    <w:rsid w:val="008211F0"/>
    <w:rsid w:val="00821281"/>
    <w:rsid w:val="0082134A"/>
    <w:rsid w:val="008215D8"/>
    <w:rsid w:val="00821620"/>
    <w:rsid w:val="00821630"/>
    <w:rsid w:val="008217A4"/>
    <w:rsid w:val="00821839"/>
    <w:rsid w:val="00821915"/>
    <w:rsid w:val="00821936"/>
    <w:rsid w:val="0082196A"/>
    <w:rsid w:val="00821A01"/>
    <w:rsid w:val="00821A13"/>
    <w:rsid w:val="00821B57"/>
    <w:rsid w:val="00821B8F"/>
    <w:rsid w:val="00821BBF"/>
    <w:rsid w:val="00821BE2"/>
    <w:rsid w:val="00821D42"/>
    <w:rsid w:val="00821D9D"/>
    <w:rsid w:val="00821F72"/>
    <w:rsid w:val="0082200E"/>
    <w:rsid w:val="00822012"/>
    <w:rsid w:val="0082201E"/>
    <w:rsid w:val="0082204D"/>
    <w:rsid w:val="00822080"/>
    <w:rsid w:val="008220FB"/>
    <w:rsid w:val="00822142"/>
    <w:rsid w:val="00822256"/>
    <w:rsid w:val="00822319"/>
    <w:rsid w:val="008223C6"/>
    <w:rsid w:val="008224D0"/>
    <w:rsid w:val="008224E8"/>
    <w:rsid w:val="00822583"/>
    <w:rsid w:val="00822639"/>
    <w:rsid w:val="0082264C"/>
    <w:rsid w:val="00822660"/>
    <w:rsid w:val="00822689"/>
    <w:rsid w:val="0082268F"/>
    <w:rsid w:val="0082290F"/>
    <w:rsid w:val="00822A94"/>
    <w:rsid w:val="00822AD3"/>
    <w:rsid w:val="00822B38"/>
    <w:rsid w:val="00822B49"/>
    <w:rsid w:val="00822B54"/>
    <w:rsid w:val="00822BE0"/>
    <w:rsid w:val="00822D21"/>
    <w:rsid w:val="00822DC2"/>
    <w:rsid w:val="00822DD3"/>
    <w:rsid w:val="00822F89"/>
    <w:rsid w:val="0082305F"/>
    <w:rsid w:val="00823074"/>
    <w:rsid w:val="00823180"/>
    <w:rsid w:val="00823273"/>
    <w:rsid w:val="00823448"/>
    <w:rsid w:val="008235B4"/>
    <w:rsid w:val="0082360E"/>
    <w:rsid w:val="00823631"/>
    <w:rsid w:val="0082364D"/>
    <w:rsid w:val="008236AC"/>
    <w:rsid w:val="008236BC"/>
    <w:rsid w:val="00823970"/>
    <w:rsid w:val="00823A90"/>
    <w:rsid w:val="00823AD2"/>
    <w:rsid w:val="00823CBB"/>
    <w:rsid w:val="00823CDD"/>
    <w:rsid w:val="00823CFB"/>
    <w:rsid w:val="00823DB9"/>
    <w:rsid w:val="00823EFB"/>
    <w:rsid w:val="00824005"/>
    <w:rsid w:val="008241FD"/>
    <w:rsid w:val="0082442E"/>
    <w:rsid w:val="00824565"/>
    <w:rsid w:val="0082458D"/>
    <w:rsid w:val="008245B0"/>
    <w:rsid w:val="0082462D"/>
    <w:rsid w:val="00824673"/>
    <w:rsid w:val="008246A5"/>
    <w:rsid w:val="008246C9"/>
    <w:rsid w:val="00824706"/>
    <w:rsid w:val="00824783"/>
    <w:rsid w:val="00824B4D"/>
    <w:rsid w:val="00824BAA"/>
    <w:rsid w:val="00824C2F"/>
    <w:rsid w:val="00824CF5"/>
    <w:rsid w:val="00824D92"/>
    <w:rsid w:val="00824E26"/>
    <w:rsid w:val="00825192"/>
    <w:rsid w:val="008256F5"/>
    <w:rsid w:val="008258AF"/>
    <w:rsid w:val="00825954"/>
    <w:rsid w:val="00825A2C"/>
    <w:rsid w:val="00825D3C"/>
    <w:rsid w:val="00825F89"/>
    <w:rsid w:val="00825FC3"/>
    <w:rsid w:val="00826010"/>
    <w:rsid w:val="0082609C"/>
    <w:rsid w:val="00826349"/>
    <w:rsid w:val="00826518"/>
    <w:rsid w:val="0082670F"/>
    <w:rsid w:val="008267DA"/>
    <w:rsid w:val="00826948"/>
    <w:rsid w:val="00826957"/>
    <w:rsid w:val="008269F4"/>
    <w:rsid w:val="00826A1D"/>
    <w:rsid w:val="00826B92"/>
    <w:rsid w:val="00826C79"/>
    <w:rsid w:val="00826C7F"/>
    <w:rsid w:val="00826C91"/>
    <w:rsid w:val="00826EF9"/>
    <w:rsid w:val="00827072"/>
    <w:rsid w:val="008270A9"/>
    <w:rsid w:val="008270FA"/>
    <w:rsid w:val="008270FF"/>
    <w:rsid w:val="0082717A"/>
    <w:rsid w:val="0082717C"/>
    <w:rsid w:val="008271AC"/>
    <w:rsid w:val="0082731E"/>
    <w:rsid w:val="008273FA"/>
    <w:rsid w:val="00827423"/>
    <w:rsid w:val="008276B0"/>
    <w:rsid w:val="008276C0"/>
    <w:rsid w:val="00827737"/>
    <w:rsid w:val="00827865"/>
    <w:rsid w:val="00827A1A"/>
    <w:rsid w:val="00827D84"/>
    <w:rsid w:val="00827DA1"/>
    <w:rsid w:val="0083011D"/>
    <w:rsid w:val="008301FB"/>
    <w:rsid w:val="008303A4"/>
    <w:rsid w:val="008303BC"/>
    <w:rsid w:val="0083059E"/>
    <w:rsid w:val="008305E3"/>
    <w:rsid w:val="008305E5"/>
    <w:rsid w:val="0083060A"/>
    <w:rsid w:val="0083063C"/>
    <w:rsid w:val="008306CA"/>
    <w:rsid w:val="0083080A"/>
    <w:rsid w:val="008308AD"/>
    <w:rsid w:val="008309C5"/>
    <w:rsid w:val="00830A20"/>
    <w:rsid w:val="00830DD6"/>
    <w:rsid w:val="00830F0B"/>
    <w:rsid w:val="00830F38"/>
    <w:rsid w:val="0083101B"/>
    <w:rsid w:val="00831085"/>
    <w:rsid w:val="00831178"/>
    <w:rsid w:val="00831225"/>
    <w:rsid w:val="0083137F"/>
    <w:rsid w:val="008313F0"/>
    <w:rsid w:val="0083141D"/>
    <w:rsid w:val="0083146F"/>
    <w:rsid w:val="00831649"/>
    <w:rsid w:val="008317B6"/>
    <w:rsid w:val="0083194D"/>
    <w:rsid w:val="00831B80"/>
    <w:rsid w:val="00831CC8"/>
    <w:rsid w:val="00831D2A"/>
    <w:rsid w:val="00831DBE"/>
    <w:rsid w:val="00831FF3"/>
    <w:rsid w:val="00832047"/>
    <w:rsid w:val="00832072"/>
    <w:rsid w:val="0083226D"/>
    <w:rsid w:val="0083251D"/>
    <w:rsid w:val="008326AE"/>
    <w:rsid w:val="00832743"/>
    <w:rsid w:val="00832C6C"/>
    <w:rsid w:val="00832CB4"/>
    <w:rsid w:val="00832D1F"/>
    <w:rsid w:val="00832D4F"/>
    <w:rsid w:val="00833075"/>
    <w:rsid w:val="008330BB"/>
    <w:rsid w:val="00833281"/>
    <w:rsid w:val="008332C2"/>
    <w:rsid w:val="0083359D"/>
    <w:rsid w:val="008336B2"/>
    <w:rsid w:val="008336E4"/>
    <w:rsid w:val="00833880"/>
    <w:rsid w:val="00833903"/>
    <w:rsid w:val="00833981"/>
    <w:rsid w:val="00833987"/>
    <w:rsid w:val="00833AE9"/>
    <w:rsid w:val="00833C0A"/>
    <w:rsid w:val="00833C46"/>
    <w:rsid w:val="00833CED"/>
    <w:rsid w:val="00833D81"/>
    <w:rsid w:val="00833F41"/>
    <w:rsid w:val="00834268"/>
    <w:rsid w:val="00834730"/>
    <w:rsid w:val="0083477B"/>
    <w:rsid w:val="00834783"/>
    <w:rsid w:val="00834882"/>
    <w:rsid w:val="008349A0"/>
    <w:rsid w:val="00834B1A"/>
    <w:rsid w:val="00834E61"/>
    <w:rsid w:val="00834FD4"/>
    <w:rsid w:val="0083506C"/>
    <w:rsid w:val="008351CF"/>
    <w:rsid w:val="00835207"/>
    <w:rsid w:val="0083534E"/>
    <w:rsid w:val="00835424"/>
    <w:rsid w:val="00835453"/>
    <w:rsid w:val="00835591"/>
    <w:rsid w:val="00835659"/>
    <w:rsid w:val="008356A6"/>
    <w:rsid w:val="00835813"/>
    <w:rsid w:val="00835933"/>
    <w:rsid w:val="00835A8F"/>
    <w:rsid w:val="00835D91"/>
    <w:rsid w:val="00835DE2"/>
    <w:rsid w:val="00836024"/>
    <w:rsid w:val="00836098"/>
    <w:rsid w:val="0083611B"/>
    <w:rsid w:val="00836176"/>
    <w:rsid w:val="0083649D"/>
    <w:rsid w:val="008366B6"/>
    <w:rsid w:val="008366C0"/>
    <w:rsid w:val="008366C3"/>
    <w:rsid w:val="00836753"/>
    <w:rsid w:val="00836B28"/>
    <w:rsid w:val="00836C49"/>
    <w:rsid w:val="00836C7B"/>
    <w:rsid w:val="00837016"/>
    <w:rsid w:val="00837054"/>
    <w:rsid w:val="00837319"/>
    <w:rsid w:val="00837330"/>
    <w:rsid w:val="0083733D"/>
    <w:rsid w:val="0083736C"/>
    <w:rsid w:val="00837393"/>
    <w:rsid w:val="00837458"/>
    <w:rsid w:val="00837464"/>
    <w:rsid w:val="00837495"/>
    <w:rsid w:val="0083749B"/>
    <w:rsid w:val="00837567"/>
    <w:rsid w:val="0083778A"/>
    <w:rsid w:val="008378E6"/>
    <w:rsid w:val="00837A14"/>
    <w:rsid w:val="00837A50"/>
    <w:rsid w:val="00837A66"/>
    <w:rsid w:val="00837BFC"/>
    <w:rsid w:val="00837C0B"/>
    <w:rsid w:val="00837EB8"/>
    <w:rsid w:val="0084000C"/>
    <w:rsid w:val="00840072"/>
    <w:rsid w:val="00840345"/>
    <w:rsid w:val="00840582"/>
    <w:rsid w:val="008408F6"/>
    <w:rsid w:val="0084095C"/>
    <w:rsid w:val="00840A59"/>
    <w:rsid w:val="00840A5E"/>
    <w:rsid w:val="00840C67"/>
    <w:rsid w:val="00840D93"/>
    <w:rsid w:val="00840E12"/>
    <w:rsid w:val="00840E82"/>
    <w:rsid w:val="00840ED6"/>
    <w:rsid w:val="00841096"/>
    <w:rsid w:val="00841355"/>
    <w:rsid w:val="00841491"/>
    <w:rsid w:val="008414C5"/>
    <w:rsid w:val="00841550"/>
    <w:rsid w:val="00841673"/>
    <w:rsid w:val="0084173F"/>
    <w:rsid w:val="00841779"/>
    <w:rsid w:val="00841804"/>
    <w:rsid w:val="00841868"/>
    <w:rsid w:val="008418D5"/>
    <w:rsid w:val="008418F0"/>
    <w:rsid w:val="0084196E"/>
    <w:rsid w:val="00841A81"/>
    <w:rsid w:val="00841C25"/>
    <w:rsid w:val="00841C2A"/>
    <w:rsid w:val="00841DCC"/>
    <w:rsid w:val="00841F7D"/>
    <w:rsid w:val="00841FCB"/>
    <w:rsid w:val="00842039"/>
    <w:rsid w:val="008420EF"/>
    <w:rsid w:val="00842174"/>
    <w:rsid w:val="008421A4"/>
    <w:rsid w:val="0084220F"/>
    <w:rsid w:val="008422A6"/>
    <w:rsid w:val="008422F6"/>
    <w:rsid w:val="008425A9"/>
    <w:rsid w:val="008426E9"/>
    <w:rsid w:val="0084279F"/>
    <w:rsid w:val="00842957"/>
    <w:rsid w:val="00842B98"/>
    <w:rsid w:val="00842EEE"/>
    <w:rsid w:val="00842F89"/>
    <w:rsid w:val="00843168"/>
    <w:rsid w:val="0084317D"/>
    <w:rsid w:val="00843221"/>
    <w:rsid w:val="008432C9"/>
    <w:rsid w:val="00843362"/>
    <w:rsid w:val="008433FD"/>
    <w:rsid w:val="0084341A"/>
    <w:rsid w:val="00843434"/>
    <w:rsid w:val="0084355B"/>
    <w:rsid w:val="0084355D"/>
    <w:rsid w:val="00843747"/>
    <w:rsid w:val="0084383C"/>
    <w:rsid w:val="0084394A"/>
    <w:rsid w:val="00843A4D"/>
    <w:rsid w:val="00843B6C"/>
    <w:rsid w:val="00843CC5"/>
    <w:rsid w:val="00843F07"/>
    <w:rsid w:val="00843FA9"/>
    <w:rsid w:val="0084413C"/>
    <w:rsid w:val="00844149"/>
    <w:rsid w:val="008441D3"/>
    <w:rsid w:val="00844252"/>
    <w:rsid w:val="0084451C"/>
    <w:rsid w:val="00844827"/>
    <w:rsid w:val="008448FA"/>
    <w:rsid w:val="008449F1"/>
    <w:rsid w:val="00844B4D"/>
    <w:rsid w:val="00844B91"/>
    <w:rsid w:val="00844CC4"/>
    <w:rsid w:val="00844DB4"/>
    <w:rsid w:val="008450B3"/>
    <w:rsid w:val="00845240"/>
    <w:rsid w:val="00845244"/>
    <w:rsid w:val="00845253"/>
    <w:rsid w:val="00845387"/>
    <w:rsid w:val="008453AA"/>
    <w:rsid w:val="008453F1"/>
    <w:rsid w:val="0084554B"/>
    <w:rsid w:val="00845646"/>
    <w:rsid w:val="008457B8"/>
    <w:rsid w:val="0084580B"/>
    <w:rsid w:val="0084592A"/>
    <w:rsid w:val="00845AA7"/>
    <w:rsid w:val="00845AF0"/>
    <w:rsid w:val="00845B7C"/>
    <w:rsid w:val="00845CD0"/>
    <w:rsid w:val="00845F0A"/>
    <w:rsid w:val="00845F3F"/>
    <w:rsid w:val="0084607F"/>
    <w:rsid w:val="008463FB"/>
    <w:rsid w:val="0084641C"/>
    <w:rsid w:val="008464F8"/>
    <w:rsid w:val="0084651D"/>
    <w:rsid w:val="0084666A"/>
    <w:rsid w:val="00846AC7"/>
    <w:rsid w:val="00846AEC"/>
    <w:rsid w:val="00846BCD"/>
    <w:rsid w:val="00846CC7"/>
    <w:rsid w:val="00846CCD"/>
    <w:rsid w:val="00846F6B"/>
    <w:rsid w:val="00846FC8"/>
    <w:rsid w:val="00847036"/>
    <w:rsid w:val="0084707E"/>
    <w:rsid w:val="0084716D"/>
    <w:rsid w:val="008472C9"/>
    <w:rsid w:val="0084735E"/>
    <w:rsid w:val="008474E3"/>
    <w:rsid w:val="008475A3"/>
    <w:rsid w:val="008475FD"/>
    <w:rsid w:val="0084764E"/>
    <w:rsid w:val="008476D9"/>
    <w:rsid w:val="00847750"/>
    <w:rsid w:val="008477CA"/>
    <w:rsid w:val="00847861"/>
    <w:rsid w:val="008478A7"/>
    <w:rsid w:val="00847B01"/>
    <w:rsid w:val="00847B17"/>
    <w:rsid w:val="00847BC4"/>
    <w:rsid w:val="00847E1E"/>
    <w:rsid w:val="00847F4D"/>
    <w:rsid w:val="00847F81"/>
    <w:rsid w:val="00847F87"/>
    <w:rsid w:val="00847FE3"/>
    <w:rsid w:val="00850011"/>
    <w:rsid w:val="00850177"/>
    <w:rsid w:val="0085020D"/>
    <w:rsid w:val="0085022B"/>
    <w:rsid w:val="00850234"/>
    <w:rsid w:val="0085039F"/>
    <w:rsid w:val="00850592"/>
    <w:rsid w:val="0085068C"/>
    <w:rsid w:val="00850967"/>
    <w:rsid w:val="0085098D"/>
    <w:rsid w:val="00850D43"/>
    <w:rsid w:val="00850F72"/>
    <w:rsid w:val="008510E0"/>
    <w:rsid w:val="0085124B"/>
    <w:rsid w:val="00851294"/>
    <w:rsid w:val="00851303"/>
    <w:rsid w:val="0085146D"/>
    <w:rsid w:val="00851540"/>
    <w:rsid w:val="00851711"/>
    <w:rsid w:val="008517E2"/>
    <w:rsid w:val="00851884"/>
    <w:rsid w:val="008518D3"/>
    <w:rsid w:val="0085199E"/>
    <w:rsid w:val="008519A0"/>
    <w:rsid w:val="00851EF6"/>
    <w:rsid w:val="00851FD2"/>
    <w:rsid w:val="00852197"/>
    <w:rsid w:val="008521D1"/>
    <w:rsid w:val="00852274"/>
    <w:rsid w:val="0085234F"/>
    <w:rsid w:val="00852414"/>
    <w:rsid w:val="00852703"/>
    <w:rsid w:val="008527CB"/>
    <w:rsid w:val="00852804"/>
    <w:rsid w:val="00852844"/>
    <w:rsid w:val="00852A55"/>
    <w:rsid w:val="00852C36"/>
    <w:rsid w:val="00852D0A"/>
    <w:rsid w:val="00852D27"/>
    <w:rsid w:val="00852DFA"/>
    <w:rsid w:val="00852F99"/>
    <w:rsid w:val="008531E5"/>
    <w:rsid w:val="008532F6"/>
    <w:rsid w:val="008533B4"/>
    <w:rsid w:val="00853410"/>
    <w:rsid w:val="0085341F"/>
    <w:rsid w:val="00853581"/>
    <w:rsid w:val="008535EB"/>
    <w:rsid w:val="00853640"/>
    <w:rsid w:val="008537B6"/>
    <w:rsid w:val="008537D4"/>
    <w:rsid w:val="00853837"/>
    <w:rsid w:val="00853966"/>
    <w:rsid w:val="00853967"/>
    <w:rsid w:val="00853981"/>
    <w:rsid w:val="00853B3E"/>
    <w:rsid w:val="00853C7C"/>
    <w:rsid w:val="00853CF1"/>
    <w:rsid w:val="00853DB1"/>
    <w:rsid w:val="00853FB7"/>
    <w:rsid w:val="00854153"/>
    <w:rsid w:val="008541BD"/>
    <w:rsid w:val="008542E5"/>
    <w:rsid w:val="0085483C"/>
    <w:rsid w:val="008548B4"/>
    <w:rsid w:val="008548F4"/>
    <w:rsid w:val="00854945"/>
    <w:rsid w:val="008549B5"/>
    <w:rsid w:val="00854A51"/>
    <w:rsid w:val="00854A74"/>
    <w:rsid w:val="00854B5B"/>
    <w:rsid w:val="00854BA4"/>
    <w:rsid w:val="00854DEA"/>
    <w:rsid w:val="00854E6C"/>
    <w:rsid w:val="00854FFB"/>
    <w:rsid w:val="00855025"/>
    <w:rsid w:val="008550E3"/>
    <w:rsid w:val="0085517B"/>
    <w:rsid w:val="0085518A"/>
    <w:rsid w:val="008552EC"/>
    <w:rsid w:val="00855529"/>
    <w:rsid w:val="00855591"/>
    <w:rsid w:val="008555CE"/>
    <w:rsid w:val="00855680"/>
    <w:rsid w:val="00855717"/>
    <w:rsid w:val="00855719"/>
    <w:rsid w:val="00855789"/>
    <w:rsid w:val="008557BB"/>
    <w:rsid w:val="008558C1"/>
    <w:rsid w:val="00855998"/>
    <w:rsid w:val="00855B1D"/>
    <w:rsid w:val="00855C61"/>
    <w:rsid w:val="00855CBA"/>
    <w:rsid w:val="00855D44"/>
    <w:rsid w:val="00855E28"/>
    <w:rsid w:val="00855E48"/>
    <w:rsid w:val="008561B9"/>
    <w:rsid w:val="00856241"/>
    <w:rsid w:val="008562F0"/>
    <w:rsid w:val="0085630E"/>
    <w:rsid w:val="00856348"/>
    <w:rsid w:val="00856406"/>
    <w:rsid w:val="0085641D"/>
    <w:rsid w:val="008564B8"/>
    <w:rsid w:val="0085656A"/>
    <w:rsid w:val="008565FA"/>
    <w:rsid w:val="00856604"/>
    <w:rsid w:val="0085667F"/>
    <w:rsid w:val="008566DF"/>
    <w:rsid w:val="00856708"/>
    <w:rsid w:val="00856785"/>
    <w:rsid w:val="00856AB9"/>
    <w:rsid w:val="00856AE8"/>
    <w:rsid w:val="00856D7B"/>
    <w:rsid w:val="00856DE2"/>
    <w:rsid w:val="00856EB8"/>
    <w:rsid w:val="00856F42"/>
    <w:rsid w:val="00857018"/>
    <w:rsid w:val="0085706B"/>
    <w:rsid w:val="0085725C"/>
    <w:rsid w:val="0085729F"/>
    <w:rsid w:val="008572CF"/>
    <w:rsid w:val="00857484"/>
    <w:rsid w:val="008575B4"/>
    <w:rsid w:val="00857671"/>
    <w:rsid w:val="0085775C"/>
    <w:rsid w:val="0085783E"/>
    <w:rsid w:val="00857858"/>
    <w:rsid w:val="008578CF"/>
    <w:rsid w:val="00857927"/>
    <w:rsid w:val="00857BFB"/>
    <w:rsid w:val="00857E1F"/>
    <w:rsid w:val="00857EE2"/>
    <w:rsid w:val="0086018F"/>
    <w:rsid w:val="00860371"/>
    <w:rsid w:val="008603A9"/>
    <w:rsid w:val="0086043B"/>
    <w:rsid w:val="0086071C"/>
    <w:rsid w:val="008608E5"/>
    <w:rsid w:val="0086093A"/>
    <w:rsid w:val="00860A62"/>
    <w:rsid w:val="00860A87"/>
    <w:rsid w:val="00860B19"/>
    <w:rsid w:val="00860BC9"/>
    <w:rsid w:val="00860BE5"/>
    <w:rsid w:val="00860C94"/>
    <w:rsid w:val="00860C98"/>
    <w:rsid w:val="00860E7E"/>
    <w:rsid w:val="00861027"/>
    <w:rsid w:val="008610F1"/>
    <w:rsid w:val="008611E7"/>
    <w:rsid w:val="0086132F"/>
    <w:rsid w:val="0086133E"/>
    <w:rsid w:val="008613CB"/>
    <w:rsid w:val="00861446"/>
    <w:rsid w:val="008614F2"/>
    <w:rsid w:val="00861554"/>
    <w:rsid w:val="008615AF"/>
    <w:rsid w:val="0086172D"/>
    <w:rsid w:val="008617AA"/>
    <w:rsid w:val="008617DB"/>
    <w:rsid w:val="008619C4"/>
    <w:rsid w:val="00861A88"/>
    <w:rsid w:val="00861B3A"/>
    <w:rsid w:val="00861C7F"/>
    <w:rsid w:val="00861E7A"/>
    <w:rsid w:val="00862087"/>
    <w:rsid w:val="0086224A"/>
    <w:rsid w:val="00862443"/>
    <w:rsid w:val="008624A5"/>
    <w:rsid w:val="008624A9"/>
    <w:rsid w:val="0086269D"/>
    <w:rsid w:val="00862788"/>
    <w:rsid w:val="008628B7"/>
    <w:rsid w:val="008628D2"/>
    <w:rsid w:val="0086296C"/>
    <w:rsid w:val="0086297E"/>
    <w:rsid w:val="008629F7"/>
    <w:rsid w:val="00862C85"/>
    <w:rsid w:val="00862E64"/>
    <w:rsid w:val="0086315E"/>
    <w:rsid w:val="008631DB"/>
    <w:rsid w:val="008634A3"/>
    <w:rsid w:val="0086358D"/>
    <w:rsid w:val="0086359F"/>
    <w:rsid w:val="008635C3"/>
    <w:rsid w:val="0086377C"/>
    <w:rsid w:val="008637EF"/>
    <w:rsid w:val="0086389A"/>
    <w:rsid w:val="008638CD"/>
    <w:rsid w:val="008639D1"/>
    <w:rsid w:val="00863C27"/>
    <w:rsid w:val="00863D41"/>
    <w:rsid w:val="00863F2A"/>
    <w:rsid w:val="00863F4B"/>
    <w:rsid w:val="008640CB"/>
    <w:rsid w:val="00864128"/>
    <w:rsid w:val="0086414E"/>
    <w:rsid w:val="008641A4"/>
    <w:rsid w:val="008641B5"/>
    <w:rsid w:val="00864226"/>
    <w:rsid w:val="008642A0"/>
    <w:rsid w:val="008643D9"/>
    <w:rsid w:val="00864486"/>
    <w:rsid w:val="00864543"/>
    <w:rsid w:val="0086466F"/>
    <w:rsid w:val="0086470B"/>
    <w:rsid w:val="00864719"/>
    <w:rsid w:val="008647FC"/>
    <w:rsid w:val="008648D6"/>
    <w:rsid w:val="00864AAC"/>
    <w:rsid w:val="00864CB2"/>
    <w:rsid w:val="00864D72"/>
    <w:rsid w:val="00864F71"/>
    <w:rsid w:val="008650C5"/>
    <w:rsid w:val="008651AC"/>
    <w:rsid w:val="008651D0"/>
    <w:rsid w:val="0086524A"/>
    <w:rsid w:val="008653ED"/>
    <w:rsid w:val="008654A3"/>
    <w:rsid w:val="00865676"/>
    <w:rsid w:val="00865706"/>
    <w:rsid w:val="00865826"/>
    <w:rsid w:val="00865C87"/>
    <w:rsid w:val="00865E1E"/>
    <w:rsid w:val="00865FE0"/>
    <w:rsid w:val="0086617F"/>
    <w:rsid w:val="008661D1"/>
    <w:rsid w:val="008662A5"/>
    <w:rsid w:val="008664F3"/>
    <w:rsid w:val="00866552"/>
    <w:rsid w:val="00866591"/>
    <w:rsid w:val="008666CB"/>
    <w:rsid w:val="00866704"/>
    <w:rsid w:val="00866897"/>
    <w:rsid w:val="0086695C"/>
    <w:rsid w:val="0086698A"/>
    <w:rsid w:val="00866ABF"/>
    <w:rsid w:val="00866B08"/>
    <w:rsid w:val="00866DAC"/>
    <w:rsid w:val="0086716E"/>
    <w:rsid w:val="008671C0"/>
    <w:rsid w:val="00867320"/>
    <w:rsid w:val="00867338"/>
    <w:rsid w:val="008674B2"/>
    <w:rsid w:val="008675AC"/>
    <w:rsid w:val="00867873"/>
    <w:rsid w:val="0086788F"/>
    <w:rsid w:val="00867899"/>
    <w:rsid w:val="00867A13"/>
    <w:rsid w:val="00867A15"/>
    <w:rsid w:val="00867A77"/>
    <w:rsid w:val="00867AC0"/>
    <w:rsid w:val="00867ADA"/>
    <w:rsid w:val="00867B55"/>
    <w:rsid w:val="00867C8A"/>
    <w:rsid w:val="00867D09"/>
    <w:rsid w:val="00867F1A"/>
    <w:rsid w:val="00867FB1"/>
    <w:rsid w:val="00870183"/>
    <w:rsid w:val="008701F7"/>
    <w:rsid w:val="0087036D"/>
    <w:rsid w:val="008703C4"/>
    <w:rsid w:val="00870477"/>
    <w:rsid w:val="008704AE"/>
    <w:rsid w:val="008704D4"/>
    <w:rsid w:val="008706F6"/>
    <w:rsid w:val="008707CF"/>
    <w:rsid w:val="00870A80"/>
    <w:rsid w:val="00870ADF"/>
    <w:rsid w:val="00870C17"/>
    <w:rsid w:val="00870DFE"/>
    <w:rsid w:val="00870F1C"/>
    <w:rsid w:val="0087106B"/>
    <w:rsid w:val="0087126D"/>
    <w:rsid w:val="0087140C"/>
    <w:rsid w:val="008716F4"/>
    <w:rsid w:val="00871768"/>
    <w:rsid w:val="008717C1"/>
    <w:rsid w:val="00871910"/>
    <w:rsid w:val="00871913"/>
    <w:rsid w:val="00871933"/>
    <w:rsid w:val="00871949"/>
    <w:rsid w:val="00871A34"/>
    <w:rsid w:val="00871CA8"/>
    <w:rsid w:val="00871CE7"/>
    <w:rsid w:val="00871D10"/>
    <w:rsid w:val="00871DA9"/>
    <w:rsid w:val="00871E6F"/>
    <w:rsid w:val="00871EBF"/>
    <w:rsid w:val="00871EE8"/>
    <w:rsid w:val="008720AE"/>
    <w:rsid w:val="0087210D"/>
    <w:rsid w:val="00872136"/>
    <w:rsid w:val="00872195"/>
    <w:rsid w:val="008721E3"/>
    <w:rsid w:val="008722A7"/>
    <w:rsid w:val="00872322"/>
    <w:rsid w:val="0087239B"/>
    <w:rsid w:val="0087240A"/>
    <w:rsid w:val="00872429"/>
    <w:rsid w:val="00872435"/>
    <w:rsid w:val="00872834"/>
    <w:rsid w:val="008728CE"/>
    <w:rsid w:val="00872ACA"/>
    <w:rsid w:val="00872ACC"/>
    <w:rsid w:val="00872BED"/>
    <w:rsid w:val="00872D24"/>
    <w:rsid w:val="00872E9C"/>
    <w:rsid w:val="00872EF9"/>
    <w:rsid w:val="00872F97"/>
    <w:rsid w:val="00872FE1"/>
    <w:rsid w:val="008730D0"/>
    <w:rsid w:val="00873123"/>
    <w:rsid w:val="008731A7"/>
    <w:rsid w:val="0087333D"/>
    <w:rsid w:val="008733D6"/>
    <w:rsid w:val="008734CE"/>
    <w:rsid w:val="008734DB"/>
    <w:rsid w:val="00873552"/>
    <w:rsid w:val="008736C9"/>
    <w:rsid w:val="0087381A"/>
    <w:rsid w:val="008738AE"/>
    <w:rsid w:val="00873A3D"/>
    <w:rsid w:val="00873C17"/>
    <w:rsid w:val="00873D71"/>
    <w:rsid w:val="00873E39"/>
    <w:rsid w:val="00873FB2"/>
    <w:rsid w:val="00874025"/>
    <w:rsid w:val="008740E4"/>
    <w:rsid w:val="0087418F"/>
    <w:rsid w:val="008741D8"/>
    <w:rsid w:val="00874278"/>
    <w:rsid w:val="008744E6"/>
    <w:rsid w:val="00874857"/>
    <w:rsid w:val="008748A7"/>
    <w:rsid w:val="00874936"/>
    <w:rsid w:val="00874A1D"/>
    <w:rsid w:val="00874A31"/>
    <w:rsid w:val="00874D99"/>
    <w:rsid w:val="00874DBF"/>
    <w:rsid w:val="00874EE3"/>
    <w:rsid w:val="00875133"/>
    <w:rsid w:val="00875167"/>
    <w:rsid w:val="00875302"/>
    <w:rsid w:val="008753F0"/>
    <w:rsid w:val="008755C0"/>
    <w:rsid w:val="008757C4"/>
    <w:rsid w:val="008757CB"/>
    <w:rsid w:val="008757F1"/>
    <w:rsid w:val="008758F9"/>
    <w:rsid w:val="008759F3"/>
    <w:rsid w:val="00875CAF"/>
    <w:rsid w:val="00875F62"/>
    <w:rsid w:val="00875F6A"/>
    <w:rsid w:val="00875F97"/>
    <w:rsid w:val="0087601E"/>
    <w:rsid w:val="00876290"/>
    <w:rsid w:val="00876494"/>
    <w:rsid w:val="00876564"/>
    <w:rsid w:val="0087657D"/>
    <w:rsid w:val="008765F0"/>
    <w:rsid w:val="00876705"/>
    <w:rsid w:val="00876A4D"/>
    <w:rsid w:val="00876B66"/>
    <w:rsid w:val="00876B7E"/>
    <w:rsid w:val="00876C29"/>
    <w:rsid w:val="00876F7A"/>
    <w:rsid w:val="00876F8A"/>
    <w:rsid w:val="00876FBF"/>
    <w:rsid w:val="00877046"/>
    <w:rsid w:val="00877076"/>
    <w:rsid w:val="00877248"/>
    <w:rsid w:val="008773AE"/>
    <w:rsid w:val="0087751C"/>
    <w:rsid w:val="008776A2"/>
    <w:rsid w:val="008776B8"/>
    <w:rsid w:val="00877815"/>
    <w:rsid w:val="00877882"/>
    <w:rsid w:val="00877FD3"/>
    <w:rsid w:val="00877FD6"/>
    <w:rsid w:val="008800A0"/>
    <w:rsid w:val="008800C3"/>
    <w:rsid w:val="0088016B"/>
    <w:rsid w:val="008801C7"/>
    <w:rsid w:val="008803EE"/>
    <w:rsid w:val="008805F6"/>
    <w:rsid w:val="008805F7"/>
    <w:rsid w:val="00880610"/>
    <w:rsid w:val="0088076D"/>
    <w:rsid w:val="008807CA"/>
    <w:rsid w:val="00880940"/>
    <w:rsid w:val="00880A8A"/>
    <w:rsid w:val="00880BC9"/>
    <w:rsid w:val="00880D38"/>
    <w:rsid w:val="00880DE0"/>
    <w:rsid w:val="00880E56"/>
    <w:rsid w:val="00880F06"/>
    <w:rsid w:val="00880F3D"/>
    <w:rsid w:val="00880FA7"/>
    <w:rsid w:val="00880FAC"/>
    <w:rsid w:val="00881028"/>
    <w:rsid w:val="00881126"/>
    <w:rsid w:val="00881194"/>
    <w:rsid w:val="00881456"/>
    <w:rsid w:val="0088168B"/>
    <w:rsid w:val="00881837"/>
    <w:rsid w:val="0088189C"/>
    <w:rsid w:val="008818D9"/>
    <w:rsid w:val="0088196A"/>
    <w:rsid w:val="00881B22"/>
    <w:rsid w:val="00881B90"/>
    <w:rsid w:val="00881C73"/>
    <w:rsid w:val="00881D32"/>
    <w:rsid w:val="00881D7B"/>
    <w:rsid w:val="00881DB9"/>
    <w:rsid w:val="00881DFA"/>
    <w:rsid w:val="00881E3D"/>
    <w:rsid w:val="00881F40"/>
    <w:rsid w:val="00881F89"/>
    <w:rsid w:val="0088203A"/>
    <w:rsid w:val="0088206E"/>
    <w:rsid w:val="008822D3"/>
    <w:rsid w:val="008823DB"/>
    <w:rsid w:val="008823F6"/>
    <w:rsid w:val="008824E1"/>
    <w:rsid w:val="008825B5"/>
    <w:rsid w:val="0088267E"/>
    <w:rsid w:val="00882700"/>
    <w:rsid w:val="00882721"/>
    <w:rsid w:val="00882841"/>
    <w:rsid w:val="00882880"/>
    <w:rsid w:val="00882888"/>
    <w:rsid w:val="008829B7"/>
    <w:rsid w:val="00882A2E"/>
    <w:rsid w:val="00882AFB"/>
    <w:rsid w:val="00882D61"/>
    <w:rsid w:val="00882E38"/>
    <w:rsid w:val="00882FD9"/>
    <w:rsid w:val="0088305A"/>
    <w:rsid w:val="00883094"/>
    <w:rsid w:val="008830C7"/>
    <w:rsid w:val="00883285"/>
    <w:rsid w:val="00883361"/>
    <w:rsid w:val="00883442"/>
    <w:rsid w:val="00883900"/>
    <w:rsid w:val="0088390C"/>
    <w:rsid w:val="00883935"/>
    <w:rsid w:val="00883997"/>
    <w:rsid w:val="00883AF6"/>
    <w:rsid w:val="00883BE0"/>
    <w:rsid w:val="00883D34"/>
    <w:rsid w:val="00883E67"/>
    <w:rsid w:val="00883FC2"/>
    <w:rsid w:val="008840FE"/>
    <w:rsid w:val="00884133"/>
    <w:rsid w:val="00884207"/>
    <w:rsid w:val="00884295"/>
    <w:rsid w:val="008843A2"/>
    <w:rsid w:val="008843F6"/>
    <w:rsid w:val="008846AD"/>
    <w:rsid w:val="008846B6"/>
    <w:rsid w:val="008848CC"/>
    <w:rsid w:val="00884903"/>
    <w:rsid w:val="00884936"/>
    <w:rsid w:val="00884AB1"/>
    <w:rsid w:val="00884B03"/>
    <w:rsid w:val="00884B1B"/>
    <w:rsid w:val="00884D52"/>
    <w:rsid w:val="00884DE9"/>
    <w:rsid w:val="00884E45"/>
    <w:rsid w:val="00884E5C"/>
    <w:rsid w:val="00884E62"/>
    <w:rsid w:val="00884ECE"/>
    <w:rsid w:val="008850C0"/>
    <w:rsid w:val="008851B5"/>
    <w:rsid w:val="008851F5"/>
    <w:rsid w:val="0088531B"/>
    <w:rsid w:val="008853D7"/>
    <w:rsid w:val="00885623"/>
    <w:rsid w:val="00885841"/>
    <w:rsid w:val="00885B46"/>
    <w:rsid w:val="00885DC0"/>
    <w:rsid w:val="00885F0B"/>
    <w:rsid w:val="00885F98"/>
    <w:rsid w:val="008860D5"/>
    <w:rsid w:val="008861E7"/>
    <w:rsid w:val="008862B8"/>
    <w:rsid w:val="00886372"/>
    <w:rsid w:val="008863CD"/>
    <w:rsid w:val="00886431"/>
    <w:rsid w:val="00886432"/>
    <w:rsid w:val="00886669"/>
    <w:rsid w:val="008866C5"/>
    <w:rsid w:val="008866E1"/>
    <w:rsid w:val="00886786"/>
    <w:rsid w:val="0088678D"/>
    <w:rsid w:val="00886800"/>
    <w:rsid w:val="008869B7"/>
    <w:rsid w:val="008869C1"/>
    <w:rsid w:val="00886A00"/>
    <w:rsid w:val="00886A50"/>
    <w:rsid w:val="00886AC4"/>
    <w:rsid w:val="00886BB2"/>
    <w:rsid w:val="00886BBC"/>
    <w:rsid w:val="00886BF9"/>
    <w:rsid w:val="00886C63"/>
    <w:rsid w:val="00886CD4"/>
    <w:rsid w:val="00886CE5"/>
    <w:rsid w:val="00886E0A"/>
    <w:rsid w:val="00886EE1"/>
    <w:rsid w:val="00886F21"/>
    <w:rsid w:val="00887081"/>
    <w:rsid w:val="008871F8"/>
    <w:rsid w:val="008872C9"/>
    <w:rsid w:val="00887307"/>
    <w:rsid w:val="0088732E"/>
    <w:rsid w:val="008873DB"/>
    <w:rsid w:val="008874CD"/>
    <w:rsid w:val="0088757C"/>
    <w:rsid w:val="0088762E"/>
    <w:rsid w:val="008876BC"/>
    <w:rsid w:val="008876BF"/>
    <w:rsid w:val="00887753"/>
    <w:rsid w:val="00887767"/>
    <w:rsid w:val="00887787"/>
    <w:rsid w:val="008878E7"/>
    <w:rsid w:val="00887A17"/>
    <w:rsid w:val="00887A4A"/>
    <w:rsid w:val="00887AB4"/>
    <w:rsid w:val="00887B3E"/>
    <w:rsid w:val="00887C74"/>
    <w:rsid w:val="00887D19"/>
    <w:rsid w:val="00887D49"/>
    <w:rsid w:val="00887D99"/>
    <w:rsid w:val="00887EA7"/>
    <w:rsid w:val="00887F7A"/>
    <w:rsid w:val="008900D5"/>
    <w:rsid w:val="00890204"/>
    <w:rsid w:val="0089020F"/>
    <w:rsid w:val="0089021A"/>
    <w:rsid w:val="0089027D"/>
    <w:rsid w:val="00890327"/>
    <w:rsid w:val="00890343"/>
    <w:rsid w:val="00890385"/>
    <w:rsid w:val="00890501"/>
    <w:rsid w:val="008905FA"/>
    <w:rsid w:val="00890899"/>
    <w:rsid w:val="00890952"/>
    <w:rsid w:val="00890970"/>
    <w:rsid w:val="00890A1E"/>
    <w:rsid w:val="00890A43"/>
    <w:rsid w:val="00890C64"/>
    <w:rsid w:val="00890E32"/>
    <w:rsid w:val="00890F7E"/>
    <w:rsid w:val="0089106B"/>
    <w:rsid w:val="008910B6"/>
    <w:rsid w:val="008910CE"/>
    <w:rsid w:val="00891604"/>
    <w:rsid w:val="00891675"/>
    <w:rsid w:val="0089167F"/>
    <w:rsid w:val="0089169D"/>
    <w:rsid w:val="008916AB"/>
    <w:rsid w:val="00891760"/>
    <w:rsid w:val="0089189E"/>
    <w:rsid w:val="008919D6"/>
    <w:rsid w:val="00891A71"/>
    <w:rsid w:val="00891B4F"/>
    <w:rsid w:val="00891B82"/>
    <w:rsid w:val="00891E1F"/>
    <w:rsid w:val="00891E4C"/>
    <w:rsid w:val="00891EA0"/>
    <w:rsid w:val="00891EFB"/>
    <w:rsid w:val="00891F2C"/>
    <w:rsid w:val="00891F30"/>
    <w:rsid w:val="00891FDA"/>
    <w:rsid w:val="0089203D"/>
    <w:rsid w:val="008920FE"/>
    <w:rsid w:val="00892185"/>
    <w:rsid w:val="008922FD"/>
    <w:rsid w:val="0089234B"/>
    <w:rsid w:val="00892350"/>
    <w:rsid w:val="00892408"/>
    <w:rsid w:val="00892455"/>
    <w:rsid w:val="0089248B"/>
    <w:rsid w:val="00892670"/>
    <w:rsid w:val="0089275A"/>
    <w:rsid w:val="008927AC"/>
    <w:rsid w:val="00892838"/>
    <w:rsid w:val="0089292B"/>
    <w:rsid w:val="00892A71"/>
    <w:rsid w:val="00892B48"/>
    <w:rsid w:val="00892C3D"/>
    <w:rsid w:val="00892CF9"/>
    <w:rsid w:val="00892D54"/>
    <w:rsid w:val="00892E02"/>
    <w:rsid w:val="00892E1C"/>
    <w:rsid w:val="00892EAF"/>
    <w:rsid w:val="00892F76"/>
    <w:rsid w:val="00892F80"/>
    <w:rsid w:val="008930A6"/>
    <w:rsid w:val="008930F2"/>
    <w:rsid w:val="008932ED"/>
    <w:rsid w:val="008933A9"/>
    <w:rsid w:val="008933D1"/>
    <w:rsid w:val="00893409"/>
    <w:rsid w:val="00893490"/>
    <w:rsid w:val="0089357F"/>
    <w:rsid w:val="00893611"/>
    <w:rsid w:val="00893615"/>
    <w:rsid w:val="008936D7"/>
    <w:rsid w:val="00893918"/>
    <w:rsid w:val="00893BDB"/>
    <w:rsid w:val="00893E19"/>
    <w:rsid w:val="00893FDE"/>
    <w:rsid w:val="008940C7"/>
    <w:rsid w:val="008941D4"/>
    <w:rsid w:val="008942B9"/>
    <w:rsid w:val="008945A6"/>
    <w:rsid w:val="00894673"/>
    <w:rsid w:val="008946E1"/>
    <w:rsid w:val="0089472A"/>
    <w:rsid w:val="008947C1"/>
    <w:rsid w:val="008947D4"/>
    <w:rsid w:val="00894C1B"/>
    <w:rsid w:val="00894EF9"/>
    <w:rsid w:val="00894FCD"/>
    <w:rsid w:val="00895038"/>
    <w:rsid w:val="00895064"/>
    <w:rsid w:val="008950AB"/>
    <w:rsid w:val="008952BB"/>
    <w:rsid w:val="008953CC"/>
    <w:rsid w:val="008953DE"/>
    <w:rsid w:val="00895405"/>
    <w:rsid w:val="00895561"/>
    <w:rsid w:val="00895598"/>
    <w:rsid w:val="008955B0"/>
    <w:rsid w:val="008956EA"/>
    <w:rsid w:val="00895711"/>
    <w:rsid w:val="00895A06"/>
    <w:rsid w:val="00895D22"/>
    <w:rsid w:val="00895D2C"/>
    <w:rsid w:val="00895FF0"/>
    <w:rsid w:val="00896183"/>
    <w:rsid w:val="00896209"/>
    <w:rsid w:val="00896215"/>
    <w:rsid w:val="0089621A"/>
    <w:rsid w:val="0089625C"/>
    <w:rsid w:val="008962D8"/>
    <w:rsid w:val="008963EB"/>
    <w:rsid w:val="008963FF"/>
    <w:rsid w:val="00896475"/>
    <w:rsid w:val="008964AC"/>
    <w:rsid w:val="00896564"/>
    <w:rsid w:val="00896751"/>
    <w:rsid w:val="008967C6"/>
    <w:rsid w:val="00896916"/>
    <w:rsid w:val="0089698B"/>
    <w:rsid w:val="008969CA"/>
    <w:rsid w:val="00896A1E"/>
    <w:rsid w:val="00896B5F"/>
    <w:rsid w:val="00896B7D"/>
    <w:rsid w:val="00896C2C"/>
    <w:rsid w:val="00896CEC"/>
    <w:rsid w:val="00896DA2"/>
    <w:rsid w:val="00896E45"/>
    <w:rsid w:val="00896E48"/>
    <w:rsid w:val="00896F14"/>
    <w:rsid w:val="00896FD1"/>
    <w:rsid w:val="00897058"/>
    <w:rsid w:val="008970BF"/>
    <w:rsid w:val="008970E8"/>
    <w:rsid w:val="00897416"/>
    <w:rsid w:val="0089742F"/>
    <w:rsid w:val="0089752D"/>
    <w:rsid w:val="008975D2"/>
    <w:rsid w:val="00897662"/>
    <w:rsid w:val="008976A8"/>
    <w:rsid w:val="00897760"/>
    <w:rsid w:val="008977A2"/>
    <w:rsid w:val="008977C5"/>
    <w:rsid w:val="008977D6"/>
    <w:rsid w:val="00897821"/>
    <w:rsid w:val="008978B3"/>
    <w:rsid w:val="00897B96"/>
    <w:rsid w:val="00897D98"/>
    <w:rsid w:val="00897F17"/>
    <w:rsid w:val="00897F21"/>
    <w:rsid w:val="00897F36"/>
    <w:rsid w:val="00897FD7"/>
    <w:rsid w:val="00897FE3"/>
    <w:rsid w:val="00897FFA"/>
    <w:rsid w:val="008A0029"/>
    <w:rsid w:val="008A00E8"/>
    <w:rsid w:val="008A00F2"/>
    <w:rsid w:val="008A00FE"/>
    <w:rsid w:val="008A010E"/>
    <w:rsid w:val="008A0184"/>
    <w:rsid w:val="008A0282"/>
    <w:rsid w:val="008A0288"/>
    <w:rsid w:val="008A02F4"/>
    <w:rsid w:val="008A03C3"/>
    <w:rsid w:val="008A04A9"/>
    <w:rsid w:val="008A04B5"/>
    <w:rsid w:val="008A0640"/>
    <w:rsid w:val="008A06B5"/>
    <w:rsid w:val="008A06BA"/>
    <w:rsid w:val="008A0821"/>
    <w:rsid w:val="008A0CFD"/>
    <w:rsid w:val="008A0D82"/>
    <w:rsid w:val="008A0F0C"/>
    <w:rsid w:val="008A0F7C"/>
    <w:rsid w:val="008A110F"/>
    <w:rsid w:val="008A1145"/>
    <w:rsid w:val="008A1165"/>
    <w:rsid w:val="008A11FF"/>
    <w:rsid w:val="008A1367"/>
    <w:rsid w:val="008A13D6"/>
    <w:rsid w:val="008A146B"/>
    <w:rsid w:val="008A14BB"/>
    <w:rsid w:val="008A154E"/>
    <w:rsid w:val="008A15BF"/>
    <w:rsid w:val="008A191A"/>
    <w:rsid w:val="008A1A8A"/>
    <w:rsid w:val="008A1BDA"/>
    <w:rsid w:val="008A1DE7"/>
    <w:rsid w:val="008A1E24"/>
    <w:rsid w:val="008A1F2E"/>
    <w:rsid w:val="008A2296"/>
    <w:rsid w:val="008A2477"/>
    <w:rsid w:val="008A25AB"/>
    <w:rsid w:val="008A25E5"/>
    <w:rsid w:val="008A2972"/>
    <w:rsid w:val="008A29D0"/>
    <w:rsid w:val="008A2B39"/>
    <w:rsid w:val="008A2BA9"/>
    <w:rsid w:val="008A2CC1"/>
    <w:rsid w:val="008A2D05"/>
    <w:rsid w:val="008A2DBD"/>
    <w:rsid w:val="008A2F1D"/>
    <w:rsid w:val="008A2F27"/>
    <w:rsid w:val="008A2F7C"/>
    <w:rsid w:val="008A302A"/>
    <w:rsid w:val="008A30AF"/>
    <w:rsid w:val="008A3106"/>
    <w:rsid w:val="008A3130"/>
    <w:rsid w:val="008A3235"/>
    <w:rsid w:val="008A32B5"/>
    <w:rsid w:val="008A33A1"/>
    <w:rsid w:val="008A3621"/>
    <w:rsid w:val="008A368F"/>
    <w:rsid w:val="008A36B9"/>
    <w:rsid w:val="008A3705"/>
    <w:rsid w:val="008A38EE"/>
    <w:rsid w:val="008A392C"/>
    <w:rsid w:val="008A3A22"/>
    <w:rsid w:val="008A3ABB"/>
    <w:rsid w:val="008A3C12"/>
    <w:rsid w:val="008A3DB7"/>
    <w:rsid w:val="008A3E0B"/>
    <w:rsid w:val="008A3E9A"/>
    <w:rsid w:val="008A4006"/>
    <w:rsid w:val="008A422B"/>
    <w:rsid w:val="008A45E9"/>
    <w:rsid w:val="008A45FF"/>
    <w:rsid w:val="008A4794"/>
    <w:rsid w:val="008A48C4"/>
    <w:rsid w:val="008A48FB"/>
    <w:rsid w:val="008A49C1"/>
    <w:rsid w:val="008A4B86"/>
    <w:rsid w:val="008A4E3A"/>
    <w:rsid w:val="008A4F55"/>
    <w:rsid w:val="008A4F5D"/>
    <w:rsid w:val="008A5094"/>
    <w:rsid w:val="008A50ED"/>
    <w:rsid w:val="008A5178"/>
    <w:rsid w:val="008A5179"/>
    <w:rsid w:val="008A539B"/>
    <w:rsid w:val="008A53CF"/>
    <w:rsid w:val="008A5486"/>
    <w:rsid w:val="008A54BC"/>
    <w:rsid w:val="008A55C2"/>
    <w:rsid w:val="008A5655"/>
    <w:rsid w:val="008A56C0"/>
    <w:rsid w:val="008A570F"/>
    <w:rsid w:val="008A583C"/>
    <w:rsid w:val="008A5843"/>
    <w:rsid w:val="008A5857"/>
    <w:rsid w:val="008A5971"/>
    <w:rsid w:val="008A59A3"/>
    <w:rsid w:val="008A59CF"/>
    <w:rsid w:val="008A59D4"/>
    <w:rsid w:val="008A5A8D"/>
    <w:rsid w:val="008A5B37"/>
    <w:rsid w:val="008A5B66"/>
    <w:rsid w:val="008A5C45"/>
    <w:rsid w:val="008A5F52"/>
    <w:rsid w:val="008A60A2"/>
    <w:rsid w:val="008A60A7"/>
    <w:rsid w:val="008A60F6"/>
    <w:rsid w:val="008A616E"/>
    <w:rsid w:val="008A6173"/>
    <w:rsid w:val="008A61BF"/>
    <w:rsid w:val="008A624E"/>
    <w:rsid w:val="008A63CB"/>
    <w:rsid w:val="008A6449"/>
    <w:rsid w:val="008A65D8"/>
    <w:rsid w:val="008A6610"/>
    <w:rsid w:val="008A669C"/>
    <w:rsid w:val="008A66E8"/>
    <w:rsid w:val="008A6796"/>
    <w:rsid w:val="008A6844"/>
    <w:rsid w:val="008A68BE"/>
    <w:rsid w:val="008A6A9F"/>
    <w:rsid w:val="008A6AA6"/>
    <w:rsid w:val="008A6BCC"/>
    <w:rsid w:val="008A6BD6"/>
    <w:rsid w:val="008A6CFF"/>
    <w:rsid w:val="008A6D00"/>
    <w:rsid w:val="008A6D7C"/>
    <w:rsid w:val="008A7019"/>
    <w:rsid w:val="008A7052"/>
    <w:rsid w:val="008A7176"/>
    <w:rsid w:val="008A7195"/>
    <w:rsid w:val="008A71C9"/>
    <w:rsid w:val="008A7299"/>
    <w:rsid w:val="008A72DB"/>
    <w:rsid w:val="008A7361"/>
    <w:rsid w:val="008A740C"/>
    <w:rsid w:val="008A74E4"/>
    <w:rsid w:val="008A7553"/>
    <w:rsid w:val="008A76F4"/>
    <w:rsid w:val="008A7823"/>
    <w:rsid w:val="008A7830"/>
    <w:rsid w:val="008A791E"/>
    <w:rsid w:val="008A7964"/>
    <w:rsid w:val="008A7CAA"/>
    <w:rsid w:val="008A7F82"/>
    <w:rsid w:val="008B0572"/>
    <w:rsid w:val="008B0612"/>
    <w:rsid w:val="008B06BE"/>
    <w:rsid w:val="008B06D9"/>
    <w:rsid w:val="008B07A1"/>
    <w:rsid w:val="008B0ACA"/>
    <w:rsid w:val="008B0E5C"/>
    <w:rsid w:val="008B0F7C"/>
    <w:rsid w:val="008B1126"/>
    <w:rsid w:val="008B120A"/>
    <w:rsid w:val="008B12B7"/>
    <w:rsid w:val="008B152A"/>
    <w:rsid w:val="008B15F5"/>
    <w:rsid w:val="008B1A11"/>
    <w:rsid w:val="008B1A87"/>
    <w:rsid w:val="008B1B2C"/>
    <w:rsid w:val="008B1C00"/>
    <w:rsid w:val="008B1C55"/>
    <w:rsid w:val="008B1C57"/>
    <w:rsid w:val="008B1C7B"/>
    <w:rsid w:val="008B1CEA"/>
    <w:rsid w:val="008B2085"/>
    <w:rsid w:val="008B223E"/>
    <w:rsid w:val="008B22A9"/>
    <w:rsid w:val="008B25C9"/>
    <w:rsid w:val="008B2660"/>
    <w:rsid w:val="008B2753"/>
    <w:rsid w:val="008B2797"/>
    <w:rsid w:val="008B283B"/>
    <w:rsid w:val="008B283F"/>
    <w:rsid w:val="008B2854"/>
    <w:rsid w:val="008B286E"/>
    <w:rsid w:val="008B28F2"/>
    <w:rsid w:val="008B28FB"/>
    <w:rsid w:val="008B299E"/>
    <w:rsid w:val="008B2B44"/>
    <w:rsid w:val="008B2BB0"/>
    <w:rsid w:val="008B2C7E"/>
    <w:rsid w:val="008B2DC3"/>
    <w:rsid w:val="008B2E89"/>
    <w:rsid w:val="008B2FF5"/>
    <w:rsid w:val="008B3062"/>
    <w:rsid w:val="008B3212"/>
    <w:rsid w:val="008B33EE"/>
    <w:rsid w:val="008B3402"/>
    <w:rsid w:val="008B3478"/>
    <w:rsid w:val="008B365D"/>
    <w:rsid w:val="008B3720"/>
    <w:rsid w:val="008B376A"/>
    <w:rsid w:val="008B3813"/>
    <w:rsid w:val="008B3A21"/>
    <w:rsid w:val="008B3ACD"/>
    <w:rsid w:val="008B3B18"/>
    <w:rsid w:val="008B3B7D"/>
    <w:rsid w:val="008B3BCA"/>
    <w:rsid w:val="008B3F46"/>
    <w:rsid w:val="008B3FD9"/>
    <w:rsid w:val="008B3FE7"/>
    <w:rsid w:val="008B4185"/>
    <w:rsid w:val="008B42BD"/>
    <w:rsid w:val="008B440C"/>
    <w:rsid w:val="008B442B"/>
    <w:rsid w:val="008B450A"/>
    <w:rsid w:val="008B45AD"/>
    <w:rsid w:val="008B45F6"/>
    <w:rsid w:val="008B46A2"/>
    <w:rsid w:val="008B474A"/>
    <w:rsid w:val="008B474F"/>
    <w:rsid w:val="008B49A2"/>
    <w:rsid w:val="008B4BB1"/>
    <w:rsid w:val="008B4BB4"/>
    <w:rsid w:val="008B4E24"/>
    <w:rsid w:val="008B5150"/>
    <w:rsid w:val="008B518B"/>
    <w:rsid w:val="008B5190"/>
    <w:rsid w:val="008B51EB"/>
    <w:rsid w:val="008B52E0"/>
    <w:rsid w:val="008B54DF"/>
    <w:rsid w:val="008B5616"/>
    <w:rsid w:val="008B56D3"/>
    <w:rsid w:val="008B5714"/>
    <w:rsid w:val="008B5775"/>
    <w:rsid w:val="008B5844"/>
    <w:rsid w:val="008B594F"/>
    <w:rsid w:val="008B59FE"/>
    <w:rsid w:val="008B5AC3"/>
    <w:rsid w:val="008B5AC8"/>
    <w:rsid w:val="008B5ADD"/>
    <w:rsid w:val="008B5B48"/>
    <w:rsid w:val="008B5BC4"/>
    <w:rsid w:val="008B5BD4"/>
    <w:rsid w:val="008B5C5C"/>
    <w:rsid w:val="008B5C95"/>
    <w:rsid w:val="008B5E0B"/>
    <w:rsid w:val="008B5EDC"/>
    <w:rsid w:val="008B60A8"/>
    <w:rsid w:val="008B6118"/>
    <w:rsid w:val="008B614B"/>
    <w:rsid w:val="008B6169"/>
    <w:rsid w:val="008B617A"/>
    <w:rsid w:val="008B61AB"/>
    <w:rsid w:val="008B61E7"/>
    <w:rsid w:val="008B621D"/>
    <w:rsid w:val="008B6478"/>
    <w:rsid w:val="008B64E3"/>
    <w:rsid w:val="008B6558"/>
    <w:rsid w:val="008B6677"/>
    <w:rsid w:val="008B67A4"/>
    <w:rsid w:val="008B67FB"/>
    <w:rsid w:val="008B6881"/>
    <w:rsid w:val="008B6A22"/>
    <w:rsid w:val="008B6A98"/>
    <w:rsid w:val="008B6C4B"/>
    <w:rsid w:val="008B6F56"/>
    <w:rsid w:val="008B6F99"/>
    <w:rsid w:val="008B6FA6"/>
    <w:rsid w:val="008B70E4"/>
    <w:rsid w:val="008B71D8"/>
    <w:rsid w:val="008B72FA"/>
    <w:rsid w:val="008B738E"/>
    <w:rsid w:val="008B73F8"/>
    <w:rsid w:val="008B7418"/>
    <w:rsid w:val="008B7435"/>
    <w:rsid w:val="008B7506"/>
    <w:rsid w:val="008B766D"/>
    <w:rsid w:val="008B76C8"/>
    <w:rsid w:val="008B76D7"/>
    <w:rsid w:val="008B778B"/>
    <w:rsid w:val="008B7940"/>
    <w:rsid w:val="008B79A1"/>
    <w:rsid w:val="008B7A6D"/>
    <w:rsid w:val="008B7B37"/>
    <w:rsid w:val="008B7BEE"/>
    <w:rsid w:val="008B7D81"/>
    <w:rsid w:val="008B7F4A"/>
    <w:rsid w:val="008B7F53"/>
    <w:rsid w:val="008C01D4"/>
    <w:rsid w:val="008C0320"/>
    <w:rsid w:val="008C0591"/>
    <w:rsid w:val="008C08B6"/>
    <w:rsid w:val="008C0918"/>
    <w:rsid w:val="008C0A72"/>
    <w:rsid w:val="008C0DA1"/>
    <w:rsid w:val="008C0DC3"/>
    <w:rsid w:val="008C0F25"/>
    <w:rsid w:val="008C0F94"/>
    <w:rsid w:val="008C1053"/>
    <w:rsid w:val="008C1108"/>
    <w:rsid w:val="008C115F"/>
    <w:rsid w:val="008C1192"/>
    <w:rsid w:val="008C11E3"/>
    <w:rsid w:val="008C11EC"/>
    <w:rsid w:val="008C122E"/>
    <w:rsid w:val="008C1567"/>
    <w:rsid w:val="008C16FD"/>
    <w:rsid w:val="008C19EC"/>
    <w:rsid w:val="008C1C4B"/>
    <w:rsid w:val="008C1C6A"/>
    <w:rsid w:val="008C1C6D"/>
    <w:rsid w:val="008C1E51"/>
    <w:rsid w:val="008C1EAB"/>
    <w:rsid w:val="008C2019"/>
    <w:rsid w:val="008C2178"/>
    <w:rsid w:val="008C220C"/>
    <w:rsid w:val="008C2233"/>
    <w:rsid w:val="008C22BC"/>
    <w:rsid w:val="008C2372"/>
    <w:rsid w:val="008C238B"/>
    <w:rsid w:val="008C249B"/>
    <w:rsid w:val="008C24DB"/>
    <w:rsid w:val="008C2797"/>
    <w:rsid w:val="008C280C"/>
    <w:rsid w:val="008C28A0"/>
    <w:rsid w:val="008C29E0"/>
    <w:rsid w:val="008C2C10"/>
    <w:rsid w:val="008C2CDD"/>
    <w:rsid w:val="008C2D30"/>
    <w:rsid w:val="008C2D6D"/>
    <w:rsid w:val="008C2E9A"/>
    <w:rsid w:val="008C2FCC"/>
    <w:rsid w:val="008C3249"/>
    <w:rsid w:val="008C329E"/>
    <w:rsid w:val="008C32C4"/>
    <w:rsid w:val="008C3509"/>
    <w:rsid w:val="008C356E"/>
    <w:rsid w:val="008C365F"/>
    <w:rsid w:val="008C366A"/>
    <w:rsid w:val="008C3689"/>
    <w:rsid w:val="008C37B2"/>
    <w:rsid w:val="008C3865"/>
    <w:rsid w:val="008C38A1"/>
    <w:rsid w:val="008C3A15"/>
    <w:rsid w:val="008C3B74"/>
    <w:rsid w:val="008C3B95"/>
    <w:rsid w:val="008C3BD2"/>
    <w:rsid w:val="008C3CDA"/>
    <w:rsid w:val="008C3CF3"/>
    <w:rsid w:val="008C3D83"/>
    <w:rsid w:val="008C3E28"/>
    <w:rsid w:val="008C4054"/>
    <w:rsid w:val="008C40C6"/>
    <w:rsid w:val="008C4401"/>
    <w:rsid w:val="008C4524"/>
    <w:rsid w:val="008C4669"/>
    <w:rsid w:val="008C4670"/>
    <w:rsid w:val="008C4681"/>
    <w:rsid w:val="008C4716"/>
    <w:rsid w:val="008C4873"/>
    <w:rsid w:val="008C4890"/>
    <w:rsid w:val="008C4B66"/>
    <w:rsid w:val="008C4D25"/>
    <w:rsid w:val="008C4D53"/>
    <w:rsid w:val="008C4D63"/>
    <w:rsid w:val="008C4EA7"/>
    <w:rsid w:val="008C4EFE"/>
    <w:rsid w:val="008C4FEA"/>
    <w:rsid w:val="008C509B"/>
    <w:rsid w:val="008C50DF"/>
    <w:rsid w:val="008C5156"/>
    <w:rsid w:val="008C522A"/>
    <w:rsid w:val="008C52A7"/>
    <w:rsid w:val="008C5350"/>
    <w:rsid w:val="008C5471"/>
    <w:rsid w:val="008C5613"/>
    <w:rsid w:val="008C561C"/>
    <w:rsid w:val="008C5660"/>
    <w:rsid w:val="008C56C1"/>
    <w:rsid w:val="008C5712"/>
    <w:rsid w:val="008C5740"/>
    <w:rsid w:val="008C5820"/>
    <w:rsid w:val="008C582D"/>
    <w:rsid w:val="008C5BE3"/>
    <w:rsid w:val="008C5C61"/>
    <w:rsid w:val="008C5C9E"/>
    <w:rsid w:val="008C5CEF"/>
    <w:rsid w:val="008C5D43"/>
    <w:rsid w:val="008C5D8F"/>
    <w:rsid w:val="008C5F22"/>
    <w:rsid w:val="008C5F78"/>
    <w:rsid w:val="008C5F92"/>
    <w:rsid w:val="008C605F"/>
    <w:rsid w:val="008C6135"/>
    <w:rsid w:val="008C6590"/>
    <w:rsid w:val="008C664F"/>
    <w:rsid w:val="008C6689"/>
    <w:rsid w:val="008C67D0"/>
    <w:rsid w:val="008C6999"/>
    <w:rsid w:val="008C69A8"/>
    <w:rsid w:val="008C6ADA"/>
    <w:rsid w:val="008C6DD9"/>
    <w:rsid w:val="008C6F5A"/>
    <w:rsid w:val="008C6F6B"/>
    <w:rsid w:val="008C703C"/>
    <w:rsid w:val="008C7153"/>
    <w:rsid w:val="008C73AE"/>
    <w:rsid w:val="008C744D"/>
    <w:rsid w:val="008C759B"/>
    <w:rsid w:val="008C75B5"/>
    <w:rsid w:val="008C769E"/>
    <w:rsid w:val="008C76F9"/>
    <w:rsid w:val="008C7706"/>
    <w:rsid w:val="008C7733"/>
    <w:rsid w:val="008C7A32"/>
    <w:rsid w:val="008C7A70"/>
    <w:rsid w:val="008C7C6C"/>
    <w:rsid w:val="008C7CF3"/>
    <w:rsid w:val="008C7D54"/>
    <w:rsid w:val="008C7DF9"/>
    <w:rsid w:val="008C7E4F"/>
    <w:rsid w:val="008C7F64"/>
    <w:rsid w:val="008D00EC"/>
    <w:rsid w:val="008D0106"/>
    <w:rsid w:val="008D0388"/>
    <w:rsid w:val="008D0417"/>
    <w:rsid w:val="008D044D"/>
    <w:rsid w:val="008D06F9"/>
    <w:rsid w:val="008D0744"/>
    <w:rsid w:val="008D07D4"/>
    <w:rsid w:val="008D08CB"/>
    <w:rsid w:val="008D0933"/>
    <w:rsid w:val="008D0C91"/>
    <w:rsid w:val="008D0E42"/>
    <w:rsid w:val="008D0E61"/>
    <w:rsid w:val="008D0EE8"/>
    <w:rsid w:val="008D0F04"/>
    <w:rsid w:val="008D0F0E"/>
    <w:rsid w:val="008D0F4A"/>
    <w:rsid w:val="008D0F90"/>
    <w:rsid w:val="008D0FBC"/>
    <w:rsid w:val="008D1038"/>
    <w:rsid w:val="008D131C"/>
    <w:rsid w:val="008D138D"/>
    <w:rsid w:val="008D13A3"/>
    <w:rsid w:val="008D14C3"/>
    <w:rsid w:val="008D16FA"/>
    <w:rsid w:val="008D18CC"/>
    <w:rsid w:val="008D1A27"/>
    <w:rsid w:val="008D1A4C"/>
    <w:rsid w:val="008D1A9C"/>
    <w:rsid w:val="008D1ADD"/>
    <w:rsid w:val="008D1C61"/>
    <w:rsid w:val="008D1DCA"/>
    <w:rsid w:val="008D1E4A"/>
    <w:rsid w:val="008D1F19"/>
    <w:rsid w:val="008D20C0"/>
    <w:rsid w:val="008D2244"/>
    <w:rsid w:val="008D2321"/>
    <w:rsid w:val="008D2351"/>
    <w:rsid w:val="008D2486"/>
    <w:rsid w:val="008D2543"/>
    <w:rsid w:val="008D2571"/>
    <w:rsid w:val="008D25CD"/>
    <w:rsid w:val="008D2820"/>
    <w:rsid w:val="008D2898"/>
    <w:rsid w:val="008D29F1"/>
    <w:rsid w:val="008D2A06"/>
    <w:rsid w:val="008D2A44"/>
    <w:rsid w:val="008D2C17"/>
    <w:rsid w:val="008D2C3B"/>
    <w:rsid w:val="008D2CB6"/>
    <w:rsid w:val="008D2DDE"/>
    <w:rsid w:val="008D304A"/>
    <w:rsid w:val="008D30D4"/>
    <w:rsid w:val="008D322B"/>
    <w:rsid w:val="008D325C"/>
    <w:rsid w:val="008D3382"/>
    <w:rsid w:val="008D3388"/>
    <w:rsid w:val="008D3393"/>
    <w:rsid w:val="008D33D8"/>
    <w:rsid w:val="008D3453"/>
    <w:rsid w:val="008D3563"/>
    <w:rsid w:val="008D36EF"/>
    <w:rsid w:val="008D38E3"/>
    <w:rsid w:val="008D39FB"/>
    <w:rsid w:val="008D3A42"/>
    <w:rsid w:val="008D3A7C"/>
    <w:rsid w:val="008D3D69"/>
    <w:rsid w:val="008D3E12"/>
    <w:rsid w:val="008D3E2B"/>
    <w:rsid w:val="008D3E6C"/>
    <w:rsid w:val="008D3E9E"/>
    <w:rsid w:val="008D3E9F"/>
    <w:rsid w:val="008D4024"/>
    <w:rsid w:val="008D405E"/>
    <w:rsid w:val="008D40E7"/>
    <w:rsid w:val="008D4125"/>
    <w:rsid w:val="008D4137"/>
    <w:rsid w:val="008D42B6"/>
    <w:rsid w:val="008D445D"/>
    <w:rsid w:val="008D4643"/>
    <w:rsid w:val="008D467D"/>
    <w:rsid w:val="008D471B"/>
    <w:rsid w:val="008D4870"/>
    <w:rsid w:val="008D49AC"/>
    <w:rsid w:val="008D49F3"/>
    <w:rsid w:val="008D4A6D"/>
    <w:rsid w:val="008D4B47"/>
    <w:rsid w:val="008D4B7C"/>
    <w:rsid w:val="008D4CA3"/>
    <w:rsid w:val="008D4D24"/>
    <w:rsid w:val="008D4D86"/>
    <w:rsid w:val="008D4D8C"/>
    <w:rsid w:val="008D4EFF"/>
    <w:rsid w:val="008D4F1F"/>
    <w:rsid w:val="008D4F2B"/>
    <w:rsid w:val="008D506C"/>
    <w:rsid w:val="008D52CA"/>
    <w:rsid w:val="008D5424"/>
    <w:rsid w:val="008D54B7"/>
    <w:rsid w:val="008D5523"/>
    <w:rsid w:val="008D557B"/>
    <w:rsid w:val="008D5581"/>
    <w:rsid w:val="008D563C"/>
    <w:rsid w:val="008D56C7"/>
    <w:rsid w:val="008D5772"/>
    <w:rsid w:val="008D57AA"/>
    <w:rsid w:val="008D57E7"/>
    <w:rsid w:val="008D5A00"/>
    <w:rsid w:val="008D5A42"/>
    <w:rsid w:val="008D5BBA"/>
    <w:rsid w:val="008D5BD0"/>
    <w:rsid w:val="008D5BEB"/>
    <w:rsid w:val="008D5D09"/>
    <w:rsid w:val="008D5E46"/>
    <w:rsid w:val="008D611C"/>
    <w:rsid w:val="008D639D"/>
    <w:rsid w:val="008D64D1"/>
    <w:rsid w:val="008D64E2"/>
    <w:rsid w:val="008D64F3"/>
    <w:rsid w:val="008D654D"/>
    <w:rsid w:val="008D655E"/>
    <w:rsid w:val="008D65BD"/>
    <w:rsid w:val="008D66F3"/>
    <w:rsid w:val="008D67F3"/>
    <w:rsid w:val="008D6837"/>
    <w:rsid w:val="008D687C"/>
    <w:rsid w:val="008D69C8"/>
    <w:rsid w:val="008D6A0B"/>
    <w:rsid w:val="008D6A87"/>
    <w:rsid w:val="008D6F58"/>
    <w:rsid w:val="008D6F74"/>
    <w:rsid w:val="008D7082"/>
    <w:rsid w:val="008D7194"/>
    <w:rsid w:val="008D71F7"/>
    <w:rsid w:val="008D7219"/>
    <w:rsid w:val="008D73BD"/>
    <w:rsid w:val="008D73EB"/>
    <w:rsid w:val="008D755C"/>
    <w:rsid w:val="008D76D6"/>
    <w:rsid w:val="008D76DD"/>
    <w:rsid w:val="008D781C"/>
    <w:rsid w:val="008D78E2"/>
    <w:rsid w:val="008D7A6A"/>
    <w:rsid w:val="008D7B00"/>
    <w:rsid w:val="008D7C4A"/>
    <w:rsid w:val="008D7CA6"/>
    <w:rsid w:val="008D7D1A"/>
    <w:rsid w:val="008D7D3E"/>
    <w:rsid w:val="008D7DD5"/>
    <w:rsid w:val="008D7DE6"/>
    <w:rsid w:val="008D7EC5"/>
    <w:rsid w:val="008D7FE3"/>
    <w:rsid w:val="008E003E"/>
    <w:rsid w:val="008E0135"/>
    <w:rsid w:val="008E0396"/>
    <w:rsid w:val="008E044E"/>
    <w:rsid w:val="008E0465"/>
    <w:rsid w:val="008E0561"/>
    <w:rsid w:val="008E056D"/>
    <w:rsid w:val="008E0828"/>
    <w:rsid w:val="008E096D"/>
    <w:rsid w:val="008E0A12"/>
    <w:rsid w:val="008E0A2C"/>
    <w:rsid w:val="008E0A5C"/>
    <w:rsid w:val="008E0A77"/>
    <w:rsid w:val="008E0BC8"/>
    <w:rsid w:val="008E0F33"/>
    <w:rsid w:val="008E0FB1"/>
    <w:rsid w:val="008E1114"/>
    <w:rsid w:val="008E1131"/>
    <w:rsid w:val="008E1255"/>
    <w:rsid w:val="008E1352"/>
    <w:rsid w:val="008E13F8"/>
    <w:rsid w:val="008E14AD"/>
    <w:rsid w:val="008E1543"/>
    <w:rsid w:val="008E1548"/>
    <w:rsid w:val="008E15AE"/>
    <w:rsid w:val="008E1796"/>
    <w:rsid w:val="008E18EB"/>
    <w:rsid w:val="008E19F9"/>
    <w:rsid w:val="008E1AB8"/>
    <w:rsid w:val="008E1ADD"/>
    <w:rsid w:val="008E1E09"/>
    <w:rsid w:val="008E1E73"/>
    <w:rsid w:val="008E1F3D"/>
    <w:rsid w:val="008E1FD0"/>
    <w:rsid w:val="008E206B"/>
    <w:rsid w:val="008E212D"/>
    <w:rsid w:val="008E2198"/>
    <w:rsid w:val="008E2682"/>
    <w:rsid w:val="008E26D7"/>
    <w:rsid w:val="008E28E7"/>
    <w:rsid w:val="008E29B5"/>
    <w:rsid w:val="008E2B4D"/>
    <w:rsid w:val="008E2C03"/>
    <w:rsid w:val="008E2C29"/>
    <w:rsid w:val="008E2C38"/>
    <w:rsid w:val="008E2C58"/>
    <w:rsid w:val="008E2E92"/>
    <w:rsid w:val="008E2EE3"/>
    <w:rsid w:val="008E2FA9"/>
    <w:rsid w:val="008E3096"/>
    <w:rsid w:val="008E3206"/>
    <w:rsid w:val="008E33F3"/>
    <w:rsid w:val="008E35D6"/>
    <w:rsid w:val="008E369F"/>
    <w:rsid w:val="008E375D"/>
    <w:rsid w:val="008E3840"/>
    <w:rsid w:val="008E387C"/>
    <w:rsid w:val="008E394F"/>
    <w:rsid w:val="008E3977"/>
    <w:rsid w:val="008E3AA7"/>
    <w:rsid w:val="008E3B39"/>
    <w:rsid w:val="008E3BBC"/>
    <w:rsid w:val="008E3C05"/>
    <w:rsid w:val="008E40FC"/>
    <w:rsid w:val="008E421E"/>
    <w:rsid w:val="008E4221"/>
    <w:rsid w:val="008E42B2"/>
    <w:rsid w:val="008E42F1"/>
    <w:rsid w:val="008E4369"/>
    <w:rsid w:val="008E4431"/>
    <w:rsid w:val="008E44BD"/>
    <w:rsid w:val="008E473F"/>
    <w:rsid w:val="008E4777"/>
    <w:rsid w:val="008E4845"/>
    <w:rsid w:val="008E4968"/>
    <w:rsid w:val="008E4970"/>
    <w:rsid w:val="008E4C11"/>
    <w:rsid w:val="008E4C2B"/>
    <w:rsid w:val="008E4D4A"/>
    <w:rsid w:val="008E4D8D"/>
    <w:rsid w:val="008E4D90"/>
    <w:rsid w:val="008E4E0B"/>
    <w:rsid w:val="008E4F52"/>
    <w:rsid w:val="008E4F88"/>
    <w:rsid w:val="008E4F8F"/>
    <w:rsid w:val="008E5220"/>
    <w:rsid w:val="008E527A"/>
    <w:rsid w:val="008E5303"/>
    <w:rsid w:val="008E537E"/>
    <w:rsid w:val="008E54FA"/>
    <w:rsid w:val="008E55CF"/>
    <w:rsid w:val="008E57E4"/>
    <w:rsid w:val="008E5963"/>
    <w:rsid w:val="008E598C"/>
    <w:rsid w:val="008E599B"/>
    <w:rsid w:val="008E5A4B"/>
    <w:rsid w:val="008E5B62"/>
    <w:rsid w:val="008E5CF3"/>
    <w:rsid w:val="008E5D92"/>
    <w:rsid w:val="008E5DCE"/>
    <w:rsid w:val="008E5E63"/>
    <w:rsid w:val="008E6000"/>
    <w:rsid w:val="008E623D"/>
    <w:rsid w:val="008E62B4"/>
    <w:rsid w:val="008E62FD"/>
    <w:rsid w:val="008E6605"/>
    <w:rsid w:val="008E6A13"/>
    <w:rsid w:val="008E6B16"/>
    <w:rsid w:val="008E6C0E"/>
    <w:rsid w:val="008E6D87"/>
    <w:rsid w:val="008E6D94"/>
    <w:rsid w:val="008E6E76"/>
    <w:rsid w:val="008E6ECD"/>
    <w:rsid w:val="008E6F00"/>
    <w:rsid w:val="008E7038"/>
    <w:rsid w:val="008E7056"/>
    <w:rsid w:val="008E715B"/>
    <w:rsid w:val="008E7241"/>
    <w:rsid w:val="008E7256"/>
    <w:rsid w:val="008E7337"/>
    <w:rsid w:val="008E737B"/>
    <w:rsid w:val="008E7487"/>
    <w:rsid w:val="008E7534"/>
    <w:rsid w:val="008E7695"/>
    <w:rsid w:val="008E79DA"/>
    <w:rsid w:val="008E79EC"/>
    <w:rsid w:val="008E79F2"/>
    <w:rsid w:val="008E7BF2"/>
    <w:rsid w:val="008E7BF9"/>
    <w:rsid w:val="008E7C51"/>
    <w:rsid w:val="008E7DB2"/>
    <w:rsid w:val="008E7E82"/>
    <w:rsid w:val="008E7EB9"/>
    <w:rsid w:val="008E7EC7"/>
    <w:rsid w:val="008E7EF5"/>
    <w:rsid w:val="008F01D4"/>
    <w:rsid w:val="008F02DA"/>
    <w:rsid w:val="008F02E9"/>
    <w:rsid w:val="008F03E3"/>
    <w:rsid w:val="008F0436"/>
    <w:rsid w:val="008F0634"/>
    <w:rsid w:val="008F0664"/>
    <w:rsid w:val="008F06F8"/>
    <w:rsid w:val="008F0855"/>
    <w:rsid w:val="008F08E4"/>
    <w:rsid w:val="008F0976"/>
    <w:rsid w:val="008F0A61"/>
    <w:rsid w:val="008F0B0B"/>
    <w:rsid w:val="008F0B4F"/>
    <w:rsid w:val="008F0DB8"/>
    <w:rsid w:val="008F0DFC"/>
    <w:rsid w:val="008F0E88"/>
    <w:rsid w:val="008F1060"/>
    <w:rsid w:val="008F1061"/>
    <w:rsid w:val="008F1066"/>
    <w:rsid w:val="008F1076"/>
    <w:rsid w:val="008F10FE"/>
    <w:rsid w:val="008F1220"/>
    <w:rsid w:val="008F1262"/>
    <w:rsid w:val="008F131B"/>
    <w:rsid w:val="008F13F1"/>
    <w:rsid w:val="008F16E3"/>
    <w:rsid w:val="008F174E"/>
    <w:rsid w:val="008F189A"/>
    <w:rsid w:val="008F190B"/>
    <w:rsid w:val="008F1A23"/>
    <w:rsid w:val="008F1C82"/>
    <w:rsid w:val="008F1C90"/>
    <w:rsid w:val="008F1CD4"/>
    <w:rsid w:val="008F1D97"/>
    <w:rsid w:val="008F22AF"/>
    <w:rsid w:val="008F241E"/>
    <w:rsid w:val="008F2492"/>
    <w:rsid w:val="008F24D2"/>
    <w:rsid w:val="008F2615"/>
    <w:rsid w:val="008F261D"/>
    <w:rsid w:val="008F2822"/>
    <w:rsid w:val="008F2970"/>
    <w:rsid w:val="008F29AC"/>
    <w:rsid w:val="008F2A11"/>
    <w:rsid w:val="008F2A6B"/>
    <w:rsid w:val="008F2B2E"/>
    <w:rsid w:val="008F2C5E"/>
    <w:rsid w:val="008F2CE0"/>
    <w:rsid w:val="008F2D37"/>
    <w:rsid w:val="008F2D72"/>
    <w:rsid w:val="008F2D99"/>
    <w:rsid w:val="008F2DCF"/>
    <w:rsid w:val="008F2DE6"/>
    <w:rsid w:val="008F2E01"/>
    <w:rsid w:val="008F2F78"/>
    <w:rsid w:val="008F315C"/>
    <w:rsid w:val="008F31EA"/>
    <w:rsid w:val="008F3581"/>
    <w:rsid w:val="008F3703"/>
    <w:rsid w:val="008F3841"/>
    <w:rsid w:val="008F3962"/>
    <w:rsid w:val="008F3B0C"/>
    <w:rsid w:val="008F3B2D"/>
    <w:rsid w:val="008F3B94"/>
    <w:rsid w:val="008F3E09"/>
    <w:rsid w:val="008F3E18"/>
    <w:rsid w:val="008F3E71"/>
    <w:rsid w:val="008F3F4C"/>
    <w:rsid w:val="008F3FD1"/>
    <w:rsid w:val="008F4073"/>
    <w:rsid w:val="008F418D"/>
    <w:rsid w:val="008F4345"/>
    <w:rsid w:val="008F434A"/>
    <w:rsid w:val="008F49BF"/>
    <w:rsid w:val="008F4A09"/>
    <w:rsid w:val="008F4A67"/>
    <w:rsid w:val="008F4B49"/>
    <w:rsid w:val="008F4BCE"/>
    <w:rsid w:val="008F4C3B"/>
    <w:rsid w:val="008F4D59"/>
    <w:rsid w:val="008F4DAF"/>
    <w:rsid w:val="008F4E23"/>
    <w:rsid w:val="008F4ECF"/>
    <w:rsid w:val="008F5055"/>
    <w:rsid w:val="008F506C"/>
    <w:rsid w:val="008F5172"/>
    <w:rsid w:val="008F518D"/>
    <w:rsid w:val="008F523B"/>
    <w:rsid w:val="008F5445"/>
    <w:rsid w:val="008F565B"/>
    <w:rsid w:val="008F5678"/>
    <w:rsid w:val="008F57BF"/>
    <w:rsid w:val="008F599A"/>
    <w:rsid w:val="008F5CCD"/>
    <w:rsid w:val="008F5E21"/>
    <w:rsid w:val="008F5EA5"/>
    <w:rsid w:val="008F5F0D"/>
    <w:rsid w:val="008F6088"/>
    <w:rsid w:val="008F616E"/>
    <w:rsid w:val="008F62ED"/>
    <w:rsid w:val="008F6350"/>
    <w:rsid w:val="008F6360"/>
    <w:rsid w:val="008F63D2"/>
    <w:rsid w:val="008F6402"/>
    <w:rsid w:val="008F64A8"/>
    <w:rsid w:val="008F6641"/>
    <w:rsid w:val="008F6652"/>
    <w:rsid w:val="008F66CB"/>
    <w:rsid w:val="008F67A3"/>
    <w:rsid w:val="008F67AB"/>
    <w:rsid w:val="008F691A"/>
    <w:rsid w:val="008F6951"/>
    <w:rsid w:val="008F69DF"/>
    <w:rsid w:val="008F6AD4"/>
    <w:rsid w:val="008F6AD8"/>
    <w:rsid w:val="008F6AF0"/>
    <w:rsid w:val="008F6B14"/>
    <w:rsid w:val="008F6B75"/>
    <w:rsid w:val="008F6C30"/>
    <w:rsid w:val="008F6D74"/>
    <w:rsid w:val="008F6E8C"/>
    <w:rsid w:val="008F6FAF"/>
    <w:rsid w:val="008F705D"/>
    <w:rsid w:val="008F7406"/>
    <w:rsid w:val="008F7429"/>
    <w:rsid w:val="008F749D"/>
    <w:rsid w:val="008F7672"/>
    <w:rsid w:val="008F76F9"/>
    <w:rsid w:val="008F774D"/>
    <w:rsid w:val="008F7764"/>
    <w:rsid w:val="008F7897"/>
    <w:rsid w:val="008F78ED"/>
    <w:rsid w:val="008F7910"/>
    <w:rsid w:val="008F7A00"/>
    <w:rsid w:val="008F7B89"/>
    <w:rsid w:val="008F7BCD"/>
    <w:rsid w:val="008F7C01"/>
    <w:rsid w:val="008F7C1D"/>
    <w:rsid w:val="008F7CDE"/>
    <w:rsid w:val="008F7DE1"/>
    <w:rsid w:val="008F7E0D"/>
    <w:rsid w:val="008F7E81"/>
    <w:rsid w:val="008F7E89"/>
    <w:rsid w:val="008F7ECE"/>
    <w:rsid w:val="008F7FBA"/>
    <w:rsid w:val="008F7FD9"/>
    <w:rsid w:val="0090007C"/>
    <w:rsid w:val="009000EE"/>
    <w:rsid w:val="009002AD"/>
    <w:rsid w:val="009002BE"/>
    <w:rsid w:val="00900311"/>
    <w:rsid w:val="009007C7"/>
    <w:rsid w:val="009007E2"/>
    <w:rsid w:val="009007E4"/>
    <w:rsid w:val="009007EA"/>
    <w:rsid w:val="009008C1"/>
    <w:rsid w:val="00900959"/>
    <w:rsid w:val="009009BE"/>
    <w:rsid w:val="009009C9"/>
    <w:rsid w:val="00900B2F"/>
    <w:rsid w:val="00901061"/>
    <w:rsid w:val="00901328"/>
    <w:rsid w:val="0090160C"/>
    <w:rsid w:val="009017B2"/>
    <w:rsid w:val="009018E7"/>
    <w:rsid w:val="009018FA"/>
    <w:rsid w:val="00901933"/>
    <w:rsid w:val="009019CB"/>
    <w:rsid w:val="00901BB1"/>
    <w:rsid w:val="00901DB7"/>
    <w:rsid w:val="00901F3E"/>
    <w:rsid w:val="00901F4A"/>
    <w:rsid w:val="0090220F"/>
    <w:rsid w:val="00902365"/>
    <w:rsid w:val="009023E3"/>
    <w:rsid w:val="0090252A"/>
    <w:rsid w:val="00902539"/>
    <w:rsid w:val="009025FA"/>
    <w:rsid w:val="009026D6"/>
    <w:rsid w:val="00902756"/>
    <w:rsid w:val="00902765"/>
    <w:rsid w:val="009027AE"/>
    <w:rsid w:val="0090285A"/>
    <w:rsid w:val="0090285D"/>
    <w:rsid w:val="00902955"/>
    <w:rsid w:val="009029CA"/>
    <w:rsid w:val="00902CA1"/>
    <w:rsid w:val="00902E9A"/>
    <w:rsid w:val="00902EE8"/>
    <w:rsid w:val="00902F43"/>
    <w:rsid w:val="00903092"/>
    <w:rsid w:val="009032C2"/>
    <w:rsid w:val="00903336"/>
    <w:rsid w:val="00903386"/>
    <w:rsid w:val="00903411"/>
    <w:rsid w:val="00903552"/>
    <w:rsid w:val="00903555"/>
    <w:rsid w:val="0090355A"/>
    <w:rsid w:val="009035B5"/>
    <w:rsid w:val="00903678"/>
    <w:rsid w:val="00903679"/>
    <w:rsid w:val="00903686"/>
    <w:rsid w:val="009039B2"/>
    <w:rsid w:val="009039D4"/>
    <w:rsid w:val="009039F5"/>
    <w:rsid w:val="00903A2C"/>
    <w:rsid w:val="00903A3E"/>
    <w:rsid w:val="00903B18"/>
    <w:rsid w:val="00903B58"/>
    <w:rsid w:val="00903BFC"/>
    <w:rsid w:val="00903CC4"/>
    <w:rsid w:val="00903D22"/>
    <w:rsid w:val="00903E51"/>
    <w:rsid w:val="0090428D"/>
    <w:rsid w:val="009042EA"/>
    <w:rsid w:val="009043AD"/>
    <w:rsid w:val="0090446E"/>
    <w:rsid w:val="00904477"/>
    <w:rsid w:val="0090450F"/>
    <w:rsid w:val="0090454E"/>
    <w:rsid w:val="009045A8"/>
    <w:rsid w:val="009045C1"/>
    <w:rsid w:val="00904624"/>
    <w:rsid w:val="00904784"/>
    <w:rsid w:val="0090478D"/>
    <w:rsid w:val="00904958"/>
    <w:rsid w:val="009049A4"/>
    <w:rsid w:val="00904A21"/>
    <w:rsid w:val="00904B97"/>
    <w:rsid w:val="00904C24"/>
    <w:rsid w:val="00904CE0"/>
    <w:rsid w:val="00904ED2"/>
    <w:rsid w:val="0090521B"/>
    <w:rsid w:val="009053D9"/>
    <w:rsid w:val="009054C6"/>
    <w:rsid w:val="0090550E"/>
    <w:rsid w:val="00905510"/>
    <w:rsid w:val="009056F9"/>
    <w:rsid w:val="00905792"/>
    <w:rsid w:val="009057ED"/>
    <w:rsid w:val="009058E9"/>
    <w:rsid w:val="009058F4"/>
    <w:rsid w:val="00905A41"/>
    <w:rsid w:val="00905A7C"/>
    <w:rsid w:val="00905A85"/>
    <w:rsid w:val="00905B45"/>
    <w:rsid w:val="00905C0C"/>
    <w:rsid w:val="00905C2A"/>
    <w:rsid w:val="00905E8F"/>
    <w:rsid w:val="00905EFE"/>
    <w:rsid w:val="00905FF3"/>
    <w:rsid w:val="00906207"/>
    <w:rsid w:val="0090646F"/>
    <w:rsid w:val="0090670B"/>
    <w:rsid w:val="009067C3"/>
    <w:rsid w:val="00906A66"/>
    <w:rsid w:val="00906BB9"/>
    <w:rsid w:val="00906D82"/>
    <w:rsid w:val="00906E51"/>
    <w:rsid w:val="00906E8F"/>
    <w:rsid w:val="00907071"/>
    <w:rsid w:val="00907121"/>
    <w:rsid w:val="0090718A"/>
    <w:rsid w:val="009073BB"/>
    <w:rsid w:val="00907407"/>
    <w:rsid w:val="0090749A"/>
    <w:rsid w:val="0090762E"/>
    <w:rsid w:val="00907731"/>
    <w:rsid w:val="00907949"/>
    <w:rsid w:val="009079AD"/>
    <w:rsid w:val="00907A12"/>
    <w:rsid w:val="00907A21"/>
    <w:rsid w:val="00907BA0"/>
    <w:rsid w:val="00907DF0"/>
    <w:rsid w:val="00907E38"/>
    <w:rsid w:val="0091002C"/>
    <w:rsid w:val="00910109"/>
    <w:rsid w:val="00910126"/>
    <w:rsid w:val="00910157"/>
    <w:rsid w:val="00910219"/>
    <w:rsid w:val="00910232"/>
    <w:rsid w:val="0091027E"/>
    <w:rsid w:val="009102BB"/>
    <w:rsid w:val="00910322"/>
    <w:rsid w:val="00910447"/>
    <w:rsid w:val="0091044A"/>
    <w:rsid w:val="0091046F"/>
    <w:rsid w:val="009104D8"/>
    <w:rsid w:val="009104DE"/>
    <w:rsid w:val="00910561"/>
    <w:rsid w:val="009105AE"/>
    <w:rsid w:val="009107DA"/>
    <w:rsid w:val="0091098E"/>
    <w:rsid w:val="00910ABB"/>
    <w:rsid w:val="00910B1C"/>
    <w:rsid w:val="00910BDA"/>
    <w:rsid w:val="00910BFA"/>
    <w:rsid w:val="00910CCC"/>
    <w:rsid w:val="00910E38"/>
    <w:rsid w:val="00910EE6"/>
    <w:rsid w:val="00910FE0"/>
    <w:rsid w:val="00911051"/>
    <w:rsid w:val="0091107B"/>
    <w:rsid w:val="00911242"/>
    <w:rsid w:val="009112A8"/>
    <w:rsid w:val="00911396"/>
    <w:rsid w:val="009113E4"/>
    <w:rsid w:val="009113F5"/>
    <w:rsid w:val="00911673"/>
    <w:rsid w:val="009117DD"/>
    <w:rsid w:val="00911816"/>
    <w:rsid w:val="00911909"/>
    <w:rsid w:val="0091196A"/>
    <w:rsid w:val="00911BB2"/>
    <w:rsid w:val="00911D2F"/>
    <w:rsid w:val="00911E3A"/>
    <w:rsid w:val="00911F0A"/>
    <w:rsid w:val="009123D0"/>
    <w:rsid w:val="0091255E"/>
    <w:rsid w:val="0091255F"/>
    <w:rsid w:val="0091256C"/>
    <w:rsid w:val="00912671"/>
    <w:rsid w:val="00912816"/>
    <w:rsid w:val="0091282C"/>
    <w:rsid w:val="009128F5"/>
    <w:rsid w:val="00912979"/>
    <w:rsid w:val="00912AE7"/>
    <w:rsid w:val="00912B71"/>
    <w:rsid w:val="00912F52"/>
    <w:rsid w:val="00912F9E"/>
    <w:rsid w:val="00912FD2"/>
    <w:rsid w:val="0091305B"/>
    <w:rsid w:val="009130E7"/>
    <w:rsid w:val="009131A9"/>
    <w:rsid w:val="00913244"/>
    <w:rsid w:val="00913358"/>
    <w:rsid w:val="0091348E"/>
    <w:rsid w:val="009135F9"/>
    <w:rsid w:val="0091362A"/>
    <w:rsid w:val="00913764"/>
    <w:rsid w:val="009139D1"/>
    <w:rsid w:val="00913C6C"/>
    <w:rsid w:val="00913D3F"/>
    <w:rsid w:val="00913D9D"/>
    <w:rsid w:val="00913DDA"/>
    <w:rsid w:val="00913EBD"/>
    <w:rsid w:val="00913F68"/>
    <w:rsid w:val="00913FD2"/>
    <w:rsid w:val="00914047"/>
    <w:rsid w:val="009141AE"/>
    <w:rsid w:val="009141DB"/>
    <w:rsid w:val="009142DC"/>
    <w:rsid w:val="00914358"/>
    <w:rsid w:val="009143B9"/>
    <w:rsid w:val="00914439"/>
    <w:rsid w:val="009144C9"/>
    <w:rsid w:val="00914598"/>
    <w:rsid w:val="009145DA"/>
    <w:rsid w:val="00914698"/>
    <w:rsid w:val="00914709"/>
    <w:rsid w:val="00914823"/>
    <w:rsid w:val="0091487B"/>
    <w:rsid w:val="009148C6"/>
    <w:rsid w:val="00914A5D"/>
    <w:rsid w:val="00914B83"/>
    <w:rsid w:val="00914BF1"/>
    <w:rsid w:val="00914C63"/>
    <w:rsid w:val="00914D28"/>
    <w:rsid w:val="00914D2C"/>
    <w:rsid w:val="00914F4B"/>
    <w:rsid w:val="00914FB4"/>
    <w:rsid w:val="0091509B"/>
    <w:rsid w:val="00915254"/>
    <w:rsid w:val="00915262"/>
    <w:rsid w:val="0091529F"/>
    <w:rsid w:val="00915357"/>
    <w:rsid w:val="00915366"/>
    <w:rsid w:val="009153E6"/>
    <w:rsid w:val="0091540A"/>
    <w:rsid w:val="009155AF"/>
    <w:rsid w:val="009156E5"/>
    <w:rsid w:val="00915866"/>
    <w:rsid w:val="00915896"/>
    <w:rsid w:val="0091592B"/>
    <w:rsid w:val="0091592D"/>
    <w:rsid w:val="0091595E"/>
    <w:rsid w:val="00915975"/>
    <w:rsid w:val="00915A13"/>
    <w:rsid w:val="00915D3B"/>
    <w:rsid w:val="00915D8B"/>
    <w:rsid w:val="00915DFF"/>
    <w:rsid w:val="00915E9C"/>
    <w:rsid w:val="00915EAB"/>
    <w:rsid w:val="00915F80"/>
    <w:rsid w:val="0091604B"/>
    <w:rsid w:val="009160F9"/>
    <w:rsid w:val="0091619E"/>
    <w:rsid w:val="009163B8"/>
    <w:rsid w:val="00916435"/>
    <w:rsid w:val="00916690"/>
    <w:rsid w:val="009166F3"/>
    <w:rsid w:val="009167B7"/>
    <w:rsid w:val="009167CD"/>
    <w:rsid w:val="00916975"/>
    <w:rsid w:val="00916A6E"/>
    <w:rsid w:val="00916B0F"/>
    <w:rsid w:val="00916B85"/>
    <w:rsid w:val="00916D3F"/>
    <w:rsid w:val="00916DF0"/>
    <w:rsid w:val="00916ED6"/>
    <w:rsid w:val="00916EE4"/>
    <w:rsid w:val="00916F4C"/>
    <w:rsid w:val="0091700B"/>
    <w:rsid w:val="00917169"/>
    <w:rsid w:val="009172BC"/>
    <w:rsid w:val="009173A9"/>
    <w:rsid w:val="0091752A"/>
    <w:rsid w:val="009175BF"/>
    <w:rsid w:val="009175DA"/>
    <w:rsid w:val="009177C3"/>
    <w:rsid w:val="00917819"/>
    <w:rsid w:val="00917832"/>
    <w:rsid w:val="0091789F"/>
    <w:rsid w:val="009178A1"/>
    <w:rsid w:val="009178D2"/>
    <w:rsid w:val="009179DE"/>
    <w:rsid w:val="00917B6F"/>
    <w:rsid w:val="00917C67"/>
    <w:rsid w:val="00917CE0"/>
    <w:rsid w:val="00917D80"/>
    <w:rsid w:val="00917E48"/>
    <w:rsid w:val="00917EBD"/>
    <w:rsid w:val="009201D3"/>
    <w:rsid w:val="009201EA"/>
    <w:rsid w:val="009202C0"/>
    <w:rsid w:val="00920358"/>
    <w:rsid w:val="009203F2"/>
    <w:rsid w:val="009205ED"/>
    <w:rsid w:val="00920676"/>
    <w:rsid w:val="009206A1"/>
    <w:rsid w:val="0092077A"/>
    <w:rsid w:val="0092091E"/>
    <w:rsid w:val="00920A87"/>
    <w:rsid w:val="00920B2B"/>
    <w:rsid w:val="00920C05"/>
    <w:rsid w:val="00920D27"/>
    <w:rsid w:val="00920E6A"/>
    <w:rsid w:val="00920EDA"/>
    <w:rsid w:val="00920F2D"/>
    <w:rsid w:val="00920FEC"/>
    <w:rsid w:val="009210E0"/>
    <w:rsid w:val="00921259"/>
    <w:rsid w:val="009212A7"/>
    <w:rsid w:val="009212EB"/>
    <w:rsid w:val="0092134E"/>
    <w:rsid w:val="00921622"/>
    <w:rsid w:val="009216C5"/>
    <w:rsid w:val="0092183D"/>
    <w:rsid w:val="009218D8"/>
    <w:rsid w:val="00921A6E"/>
    <w:rsid w:val="00921B02"/>
    <w:rsid w:val="00921B0F"/>
    <w:rsid w:val="00921BB5"/>
    <w:rsid w:val="00921BC7"/>
    <w:rsid w:val="00921C08"/>
    <w:rsid w:val="00921EC1"/>
    <w:rsid w:val="00921EEA"/>
    <w:rsid w:val="00922132"/>
    <w:rsid w:val="00922236"/>
    <w:rsid w:val="00922679"/>
    <w:rsid w:val="009226D3"/>
    <w:rsid w:val="00922907"/>
    <w:rsid w:val="009229E1"/>
    <w:rsid w:val="00922BFD"/>
    <w:rsid w:val="00922D96"/>
    <w:rsid w:val="00922DDD"/>
    <w:rsid w:val="00922E07"/>
    <w:rsid w:val="00922E12"/>
    <w:rsid w:val="00923005"/>
    <w:rsid w:val="00923201"/>
    <w:rsid w:val="00923272"/>
    <w:rsid w:val="0092335A"/>
    <w:rsid w:val="009233C1"/>
    <w:rsid w:val="0092360E"/>
    <w:rsid w:val="00923666"/>
    <w:rsid w:val="009236A9"/>
    <w:rsid w:val="00923706"/>
    <w:rsid w:val="00923711"/>
    <w:rsid w:val="009239FF"/>
    <w:rsid w:val="00923A18"/>
    <w:rsid w:val="00923A70"/>
    <w:rsid w:val="00923B83"/>
    <w:rsid w:val="00923CAD"/>
    <w:rsid w:val="00923D4C"/>
    <w:rsid w:val="00923D5B"/>
    <w:rsid w:val="00923E50"/>
    <w:rsid w:val="00923E9D"/>
    <w:rsid w:val="0092403B"/>
    <w:rsid w:val="009240CD"/>
    <w:rsid w:val="00924155"/>
    <w:rsid w:val="0092419A"/>
    <w:rsid w:val="009242EC"/>
    <w:rsid w:val="0092438D"/>
    <w:rsid w:val="009245B2"/>
    <w:rsid w:val="009246AF"/>
    <w:rsid w:val="00924960"/>
    <w:rsid w:val="00924A05"/>
    <w:rsid w:val="00924A7D"/>
    <w:rsid w:val="00924AD4"/>
    <w:rsid w:val="00924AFA"/>
    <w:rsid w:val="00924DF3"/>
    <w:rsid w:val="00924E24"/>
    <w:rsid w:val="00924E52"/>
    <w:rsid w:val="00924F65"/>
    <w:rsid w:val="00924FCE"/>
    <w:rsid w:val="00925145"/>
    <w:rsid w:val="0092532D"/>
    <w:rsid w:val="00925624"/>
    <w:rsid w:val="009256F3"/>
    <w:rsid w:val="00925842"/>
    <w:rsid w:val="0092596F"/>
    <w:rsid w:val="00925B48"/>
    <w:rsid w:val="00925CD9"/>
    <w:rsid w:val="00925CEE"/>
    <w:rsid w:val="00925DA4"/>
    <w:rsid w:val="00925E6A"/>
    <w:rsid w:val="00925F59"/>
    <w:rsid w:val="00925F8E"/>
    <w:rsid w:val="009261A9"/>
    <w:rsid w:val="009262BD"/>
    <w:rsid w:val="00926362"/>
    <w:rsid w:val="00926410"/>
    <w:rsid w:val="00926468"/>
    <w:rsid w:val="0092648B"/>
    <w:rsid w:val="009264F8"/>
    <w:rsid w:val="00926573"/>
    <w:rsid w:val="009266E0"/>
    <w:rsid w:val="009266F8"/>
    <w:rsid w:val="00926818"/>
    <w:rsid w:val="00926972"/>
    <w:rsid w:val="0092698D"/>
    <w:rsid w:val="0092699B"/>
    <w:rsid w:val="009269BB"/>
    <w:rsid w:val="009269D7"/>
    <w:rsid w:val="00926C0E"/>
    <w:rsid w:val="00926C57"/>
    <w:rsid w:val="00926DC1"/>
    <w:rsid w:val="00926EA3"/>
    <w:rsid w:val="00926FC4"/>
    <w:rsid w:val="00927066"/>
    <w:rsid w:val="009270EF"/>
    <w:rsid w:val="00927236"/>
    <w:rsid w:val="00927482"/>
    <w:rsid w:val="0092753C"/>
    <w:rsid w:val="00927565"/>
    <w:rsid w:val="0092774A"/>
    <w:rsid w:val="00927764"/>
    <w:rsid w:val="009278B6"/>
    <w:rsid w:val="009278FD"/>
    <w:rsid w:val="00927B9A"/>
    <w:rsid w:val="00927C20"/>
    <w:rsid w:val="00927C8D"/>
    <w:rsid w:val="00927DC4"/>
    <w:rsid w:val="00927E8F"/>
    <w:rsid w:val="00927EF0"/>
    <w:rsid w:val="00927F78"/>
    <w:rsid w:val="00927FC4"/>
    <w:rsid w:val="00930201"/>
    <w:rsid w:val="009302BA"/>
    <w:rsid w:val="0093053A"/>
    <w:rsid w:val="00930542"/>
    <w:rsid w:val="009305E6"/>
    <w:rsid w:val="00930676"/>
    <w:rsid w:val="00930908"/>
    <w:rsid w:val="00930986"/>
    <w:rsid w:val="00930BE8"/>
    <w:rsid w:val="00930E81"/>
    <w:rsid w:val="00930F45"/>
    <w:rsid w:val="00930FB5"/>
    <w:rsid w:val="009311F9"/>
    <w:rsid w:val="00931289"/>
    <w:rsid w:val="009312B8"/>
    <w:rsid w:val="00931508"/>
    <w:rsid w:val="00931572"/>
    <w:rsid w:val="009316D1"/>
    <w:rsid w:val="00931891"/>
    <w:rsid w:val="00931B43"/>
    <w:rsid w:val="00931BF5"/>
    <w:rsid w:val="00931BFB"/>
    <w:rsid w:val="00931C20"/>
    <w:rsid w:val="00931C78"/>
    <w:rsid w:val="00931E88"/>
    <w:rsid w:val="00931E93"/>
    <w:rsid w:val="00931E9B"/>
    <w:rsid w:val="00931EFB"/>
    <w:rsid w:val="00931F64"/>
    <w:rsid w:val="00931F89"/>
    <w:rsid w:val="00931F90"/>
    <w:rsid w:val="00931F9F"/>
    <w:rsid w:val="00932038"/>
    <w:rsid w:val="00932077"/>
    <w:rsid w:val="0093210F"/>
    <w:rsid w:val="00932161"/>
    <w:rsid w:val="0093238C"/>
    <w:rsid w:val="009324C1"/>
    <w:rsid w:val="00932557"/>
    <w:rsid w:val="0093269B"/>
    <w:rsid w:val="009326E3"/>
    <w:rsid w:val="00932842"/>
    <w:rsid w:val="00932914"/>
    <w:rsid w:val="00932929"/>
    <w:rsid w:val="0093299F"/>
    <w:rsid w:val="009329D5"/>
    <w:rsid w:val="009329ED"/>
    <w:rsid w:val="00932A6D"/>
    <w:rsid w:val="00932AC4"/>
    <w:rsid w:val="00932B95"/>
    <w:rsid w:val="00932D93"/>
    <w:rsid w:val="00932DC5"/>
    <w:rsid w:val="00932EEB"/>
    <w:rsid w:val="00932F88"/>
    <w:rsid w:val="00932FEA"/>
    <w:rsid w:val="009330EF"/>
    <w:rsid w:val="00933117"/>
    <w:rsid w:val="009331B5"/>
    <w:rsid w:val="009331DE"/>
    <w:rsid w:val="009331FF"/>
    <w:rsid w:val="009332D6"/>
    <w:rsid w:val="00933366"/>
    <w:rsid w:val="00933540"/>
    <w:rsid w:val="009336BE"/>
    <w:rsid w:val="00933736"/>
    <w:rsid w:val="00933814"/>
    <w:rsid w:val="00933822"/>
    <w:rsid w:val="0093394C"/>
    <w:rsid w:val="00933A01"/>
    <w:rsid w:val="00933A69"/>
    <w:rsid w:val="00933C26"/>
    <w:rsid w:val="00933C44"/>
    <w:rsid w:val="00933C79"/>
    <w:rsid w:val="00933CAF"/>
    <w:rsid w:val="00933CD0"/>
    <w:rsid w:val="00933D97"/>
    <w:rsid w:val="00933DEF"/>
    <w:rsid w:val="00933F0A"/>
    <w:rsid w:val="00933F48"/>
    <w:rsid w:val="00933FCC"/>
    <w:rsid w:val="00933FEA"/>
    <w:rsid w:val="0093408A"/>
    <w:rsid w:val="009340F0"/>
    <w:rsid w:val="0093419A"/>
    <w:rsid w:val="00934299"/>
    <w:rsid w:val="00934379"/>
    <w:rsid w:val="009343A9"/>
    <w:rsid w:val="00934412"/>
    <w:rsid w:val="0093464E"/>
    <w:rsid w:val="0093475C"/>
    <w:rsid w:val="00934944"/>
    <w:rsid w:val="0093496C"/>
    <w:rsid w:val="009349AB"/>
    <w:rsid w:val="00934A76"/>
    <w:rsid w:val="00934BB2"/>
    <w:rsid w:val="00934BEF"/>
    <w:rsid w:val="00934BF8"/>
    <w:rsid w:val="00934C8E"/>
    <w:rsid w:val="00934F7F"/>
    <w:rsid w:val="00934FCF"/>
    <w:rsid w:val="00934FEA"/>
    <w:rsid w:val="00935033"/>
    <w:rsid w:val="009350CB"/>
    <w:rsid w:val="0093517C"/>
    <w:rsid w:val="009351FC"/>
    <w:rsid w:val="00935253"/>
    <w:rsid w:val="00935270"/>
    <w:rsid w:val="009352D0"/>
    <w:rsid w:val="009353AA"/>
    <w:rsid w:val="009353CE"/>
    <w:rsid w:val="0093562B"/>
    <w:rsid w:val="0093563F"/>
    <w:rsid w:val="00935706"/>
    <w:rsid w:val="00935826"/>
    <w:rsid w:val="00935849"/>
    <w:rsid w:val="00935908"/>
    <w:rsid w:val="0093596D"/>
    <w:rsid w:val="00935C0F"/>
    <w:rsid w:val="00935C3C"/>
    <w:rsid w:val="00935CDC"/>
    <w:rsid w:val="00935CE9"/>
    <w:rsid w:val="00935EC4"/>
    <w:rsid w:val="00935F3B"/>
    <w:rsid w:val="00935F74"/>
    <w:rsid w:val="00935FDC"/>
    <w:rsid w:val="00936050"/>
    <w:rsid w:val="00936147"/>
    <w:rsid w:val="009361BB"/>
    <w:rsid w:val="009362D9"/>
    <w:rsid w:val="0093639E"/>
    <w:rsid w:val="0093647E"/>
    <w:rsid w:val="0093647F"/>
    <w:rsid w:val="009365FF"/>
    <w:rsid w:val="009369C3"/>
    <w:rsid w:val="009369D4"/>
    <w:rsid w:val="00936A4D"/>
    <w:rsid w:val="00936BDD"/>
    <w:rsid w:val="00936BFD"/>
    <w:rsid w:val="00936CAA"/>
    <w:rsid w:val="00936D11"/>
    <w:rsid w:val="00936D14"/>
    <w:rsid w:val="00936EF4"/>
    <w:rsid w:val="00937230"/>
    <w:rsid w:val="009372A0"/>
    <w:rsid w:val="009372F6"/>
    <w:rsid w:val="009373A1"/>
    <w:rsid w:val="009373D6"/>
    <w:rsid w:val="009373F7"/>
    <w:rsid w:val="0093743E"/>
    <w:rsid w:val="009374A1"/>
    <w:rsid w:val="00937597"/>
    <w:rsid w:val="009375DC"/>
    <w:rsid w:val="009377D0"/>
    <w:rsid w:val="00937A0E"/>
    <w:rsid w:val="00937A43"/>
    <w:rsid w:val="00937BB3"/>
    <w:rsid w:val="00937DEB"/>
    <w:rsid w:val="00937F73"/>
    <w:rsid w:val="00940333"/>
    <w:rsid w:val="00940422"/>
    <w:rsid w:val="009404ED"/>
    <w:rsid w:val="0094053B"/>
    <w:rsid w:val="009406C1"/>
    <w:rsid w:val="009407A5"/>
    <w:rsid w:val="00940824"/>
    <w:rsid w:val="0094083B"/>
    <w:rsid w:val="00940842"/>
    <w:rsid w:val="0094085D"/>
    <w:rsid w:val="00940A76"/>
    <w:rsid w:val="00940B18"/>
    <w:rsid w:val="00940B6E"/>
    <w:rsid w:val="00940C1A"/>
    <w:rsid w:val="00940E35"/>
    <w:rsid w:val="00940E61"/>
    <w:rsid w:val="00940F49"/>
    <w:rsid w:val="00941195"/>
    <w:rsid w:val="0094121D"/>
    <w:rsid w:val="00941326"/>
    <w:rsid w:val="009413B4"/>
    <w:rsid w:val="0094157E"/>
    <w:rsid w:val="00941680"/>
    <w:rsid w:val="00941771"/>
    <w:rsid w:val="009418AD"/>
    <w:rsid w:val="00941919"/>
    <w:rsid w:val="00941AC0"/>
    <w:rsid w:val="00941BDC"/>
    <w:rsid w:val="00941C2E"/>
    <w:rsid w:val="00941D35"/>
    <w:rsid w:val="00941D83"/>
    <w:rsid w:val="00941EBB"/>
    <w:rsid w:val="00941F04"/>
    <w:rsid w:val="00941F4B"/>
    <w:rsid w:val="0094213D"/>
    <w:rsid w:val="00942251"/>
    <w:rsid w:val="00942329"/>
    <w:rsid w:val="00942491"/>
    <w:rsid w:val="009424AD"/>
    <w:rsid w:val="00942768"/>
    <w:rsid w:val="0094287A"/>
    <w:rsid w:val="0094292D"/>
    <w:rsid w:val="009429CC"/>
    <w:rsid w:val="00942C6A"/>
    <w:rsid w:val="00942CC3"/>
    <w:rsid w:val="00942D42"/>
    <w:rsid w:val="00942D97"/>
    <w:rsid w:val="00942E55"/>
    <w:rsid w:val="00942FD1"/>
    <w:rsid w:val="00942FE3"/>
    <w:rsid w:val="00942FF8"/>
    <w:rsid w:val="00943100"/>
    <w:rsid w:val="00943364"/>
    <w:rsid w:val="009433D7"/>
    <w:rsid w:val="00943446"/>
    <w:rsid w:val="009434F6"/>
    <w:rsid w:val="00943543"/>
    <w:rsid w:val="009438D8"/>
    <w:rsid w:val="00943A15"/>
    <w:rsid w:val="00943AAD"/>
    <w:rsid w:val="00943D08"/>
    <w:rsid w:val="00943D94"/>
    <w:rsid w:val="00943D9E"/>
    <w:rsid w:val="00943E87"/>
    <w:rsid w:val="00943F35"/>
    <w:rsid w:val="00943F7A"/>
    <w:rsid w:val="009440DF"/>
    <w:rsid w:val="00944177"/>
    <w:rsid w:val="009442B6"/>
    <w:rsid w:val="00944385"/>
    <w:rsid w:val="00944469"/>
    <w:rsid w:val="009444BC"/>
    <w:rsid w:val="009447D2"/>
    <w:rsid w:val="0094493B"/>
    <w:rsid w:val="00944941"/>
    <w:rsid w:val="00944946"/>
    <w:rsid w:val="00944B5C"/>
    <w:rsid w:val="00944B9C"/>
    <w:rsid w:val="00944BF8"/>
    <w:rsid w:val="00944DAD"/>
    <w:rsid w:val="00944DF8"/>
    <w:rsid w:val="00944E6E"/>
    <w:rsid w:val="00944EF1"/>
    <w:rsid w:val="00944F3C"/>
    <w:rsid w:val="00944F84"/>
    <w:rsid w:val="00944FE6"/>
    <w:rsid w:val="009451DA"/>
    <w:rsid w:val="0094529D"/>
    <w:rsid w:val="009452F8"/>
    <w:rsid w:val="009453B1"/>
    <w:rsid w:val="009453FA"/>
    <w:rsid w:val="009454BF"/>
    <w:rsid w:val="009454CD"/>
    <w:rsid w:val="0094557D"/>
    <w:rsid w:val="00945876"/>
    <w:rsid w:val="00945897"/>
    <w:rsid w:val="009458B4"/>
    <w:rsid w:val="00945940"/>
    <w:rsid w:val="009459CE"/>
    <w:rsid w:val="00945AA5"/>
    <w:rsid w:val="00945AE9"/>
    <w:rsid w:val="00945B8A"/>
    <w:rsid w:val="00945C54"/>
    <w:rsid w:val="00945D9A"/>
    <w:rsid w:val="00945E8A"/>
    <w:rsid w:val="00945EC1"/>
    <w:rsid w:val="00945FF8"/>
    <w:rsid w:val="00946120"/>
    <w:rsid w:val="00946195"/>
    <w:rsid w:val="00946235"/>
    <w:rsid w:val="009462B3"/>
    <w:rsid w:val="00946456"/>
    <w:rsid w:val="0094665B"/>
    <w:rsid w:val="00946961"/>
    <w:rsid w:val="009469F6"/>
    <w:rsid w:val="00946B41"/>
    <w:rsid w:val="00946BC8"/>
    <w:rsid w:val="00946C73"/>
    <w:rsid w:val="00946D53"/>
    <w:rsid w:val="00946DCE"/>
    <w:rsid w:val="00946E27"/>
    <w:rsid w:val="00946E95"/>
    <w:rsid w:val="00946FCE"/>
    <w:rsid w:val="0094706E"/>
    <w:rsid w:val="00947142"/>
    <w:rsid w:val="0094715C"/>
    <w:rsid w:val="00947252"/>
    <w:rsid w:val="0094730E"/>
    <w:rsid w:val="009473D3"/>
    <w:rsid w:val="00947490"/>
    <w:rsid w:val="0094749D"/>
    <w:rsid w:val="009474B8"/>
    <w:rsid w:val="00947524"/>
    <w:rsid w:val="009475F2"/>
    <w:rsid w:val="00947623"/>
    <w:rsid w:val="009477B3"/>
    <w:rsid w:val="009477CA"/>
    <w:rsid w:val="00947877"/>
    <w:rsid w:val="00947971"/>
    <w:rsid w:val="00947A4B"/>
    <w:rsid w:val="00947A81"/>
    <w:rsid w:val="00947C4B"/>
    <w:rsid w:val="00947D4F"/>
    <w:rsid w:val="00947D63"/>
    <w:rsid w:val="00947D6F"/>
    <w:rsid w:val="00947DC8"/>
    <w:rsid w:val="00947DEA"/>
    <w:rsid w:val="00947FAE"/>
    <w:rsid w:val="009500EE"/>
    <w:rsid w:val="00950179"/>
    <w:rsid w:val="009506CA"/>
    <w:rsid w:val="0095071E"/>
    <w:rsid w:val="00950762"/>
    <w:rsid w:val="009508DA"/>
    <w:rsid w:val="009508F6"/>
    <w:rsid w:val="009509AA"/>
    <w:rsid w:val="009509F6"/>
    <w:rsid w:val="00950A10"/>
    <w:rsid w:val="00950B27"/>
    <w:rsid w:val="00950B37"/>
    <w:rsid w:val="00950B5B"/>
    <w:rsid w:val="00950C92"/>
    <w:rsid w:val="00950CF9"/>
    <w:rsid w:val="00950E14"/>
    <w:rsid w:val="009511D0"/>
    <w:rsid w:val="00951239"/>
    <w:rsid w:val="009512F5"/>
    <w:rsid w:val="0095143F"/>
    <w:rsid w:val="0095148E"/>
    <w:rsid w:val="00951532"/>
    <w:rsid w:val="009516F6"/>
    <w:rsid w:val="0095185B"/>
    <w:rsid w:val="00951A0B"/>
    <w:rsid w:val="00951B3A"/>
    <w:rsid w:val="00951C41"/>
    <w:rsid w:val="00951C97"/>
    <w:rsid w:val="00951EBC"/>
    <w:rsid w:val="009520FF"/>
    <w:rsid w:val="00952212"/>
    <w:rsid w:val="00952441"/>
    <w:rsid w:val="00952481"/>
    <w:rsid w:val="00952485"/>
    <w:rsid w:val="00952900"/>
    <w:rsid w:val="00952973"/>
    <w:rsid w:val="00952A23"/>
    <w:rsid w:val="00952AFE"/>
    <w:rsid w:val="00952C98"/>
    <w:rsid w:val="00952CE9"/>
    <w:rsid w:val="00952CF3"/>
    <w:rsid w:val="00952EE2"/>
    <w:rsid w:val="00952F7E"/>
    <w:rsid w:val="00952FA9"/>
    <w:rsid w:val="00952FE0"/>
    <w:rsid w:val="0095320C"/>
    <w:rsid w:val="009534AF"/>
    <w:rsid w:val="00953603"/>
    <w:rsid w:val="009536F4"/>
    <w:rsid w:val="0095379A"/>
    <w:rsid w:val="009537C2"/>
    <w:rsid w:val="00953B78"/>
    <w:rsid w:val="00953BFA"/>
    <w:rsid w:val="00953C2A"/>
    <w:rsid w:val="00953DD6"/>
    <w:rsid w:val="00953FF1"/>
    <w:rsid w:val="00954095"/>
    <w:rsid w:val="009541B0"/>
    <w:rsid w:val="0095420B"/>
    <w:rsid w:val="0095424E"/>
    <w:rsid w:val="00954286"/>
    <w:rsid w:val="00954325"/>
    <w:rsid w:val="009544B5"/>
    <w:rsid w:val="009548EF"/>
    <w:rsid w:val="00954900"/>
    <w:rsid w:val="00954996"/>
    <w:rsid w:val="00954D5A"/>
    <w:rsid w:val="00954F0C"/>
    <w:rsid w:val="009550E4"/>
    <w:rsid w:val="0095515E"/>
    <w:rsid w:val="0095528D"/>
    <w:rsid w:val="0095543C"/>
    <w:rsid w:val="00955461"/>
    <w:rsid w:val="0095550A"/>
    <w:rsid w:val="00955579"/>
    <w:rsid w:val="009555A3"/>
    <w:rsid w:val="00955640"/>
    <w:rsid w:val="00955735"/>
    <w:rsid w:val="00955926"/>
    <w:rsid w:val="00955962"/>
    <w:rsid w:val="00955A66"/>
    <w:rsid w:val="00955B06"/>
    <w:rsid w:val="00955B3F"/>
    <w:rsid w:val="00955B4A"/>
    <w:rsid w:val="00955D65"/>
    <w:rsid w:val="00955D9F"/>
    <w:rsid w:val="00955FB6"/>
    <w:rsid w:val="009560D9"/>
    <w:rsid w:val="00956215"/>
    <w:rsid w:val="00956374"/>
    <w:rsid w:val="00956521"/>
    <w:rsid w:val="00956703"/>
    <w:rsid w:val="00956779"/>
    <w:rsid w:val="009567D6"/>
    <w:rsid w:val="009568E5"/>
    <w:rsid w:val="00956934"/>
    <w:rsid w:val="00956983"/>
    <w:rsid w:val="00956A93"/>
    <w:rsid w:val="00956B42"/>
    <w:rsid w:val="00956B7A"/>
    <w:rsid w:val="00956D2D"/>
    <w:rsid w:val="00956DBD"/>
    <w:rsid w:val="00956E2A"/>
    <w:rsid w:val="00956FD6"/>
    <w:rsid w:val="00957007"/>
    <w:rsid w:val="00957122"/>
    <w:rsid w:val="00957229"/>
    <w:rsid w:val="009572D0"/>
    <w:rsid w:val="00957311"/>
    <w:rsid w:val="009575CE"/>
    <w:rsid w:val="00957611"/>
    <w:rsid w:val="009578A4"/>
    <w:rsid w:val="00957910"/>
    <w:rsid w:val="00957AAB"/>
    <w:rsid w:val="00957B09"/>
    <w:rsid w:val="00957C8D"/>
    <w:rsid w:val="00957CDE"/>
    <w:rsid w:val="00957D91"/>
    <w:rsid w:val="00957DE9"/>
    <w:rsid w:val="00957FF5"/>
    <w:rsid w:val="009600D0"/>
    <w:rsid w:val="00960231"/>
    <w:rsid w:val="009602D5"/>
    <w:rsid w:val="009602EF"/>
    <w:rsid w:val="009602F9"/>
    <w:rsid w:val="00960382"/>
    <w:rsid w:val="0096087F"/>
    <w:rsid w:val="009608BC"/>
    <w:rsid w:val="00960A7E"/>
    <w:rsid w:val="00960EBA"/>
    <w:rsid w:val="00960F07"/>
    <w:rsid w:val="00960F45"/>
    <w:rsid w:val="0096101B"/>
    <w:rsid w:val="00961087"/>
    <w:rsid w:val="009610A4"/>
    <w:rsid w:val="0096131C"/>
    <w:rsid w:val="0096154F"/>
    <w:rsid w:val="0096178D"/>
    <w:rsid w:val="00961D13"/>
    <w:rsid w:val="00961DA6"/>
    <w:rsid w:val="00962143"/>
    <w:rsid w:val="0096243B"/>
    <w:rsid w:val="0096247E"/>
    <w:rsid w:val="00962515"/>
    <w:rsid w:val="009625BE"/>
    <w:rsid w:val="0096267D"/>
    <w:rsid w:val="009626DC"/>
    <w:rsid w:val="009626E8"/>
    <w:rsid w:val="00962781"/>
    <w:rsid w:val="00962A99"/>
    <w:rsid w:val="00962AC7"/>
    <w:rsid w:val="00962B28"/>
    <w:rsid w:val="00962C7E"/>
    <w:rsid w:val="00962C8D"/>
    <w:rsid w:val="00962D82"/>
    <w:rsid w:val="00962DB7"/>
    <w:rsid w:val="00962E1D"/>
    <w:rsid w:val="00962ED5"/>
    <w:rsid w:val="00962F92"/>
    <w:rsid w:val="00963112"/>
    <w:rsid w:val="009631C6"/>
    <w:rsid w:val="00963212"/>
    <w:rsid w:val="00963278"/>
    <w:rsid w:val="00963323"/>
    <w:rsid w:val="009635BB"/>
    <w:rsid w:val="009637DD"/>
    <w:rsid w:val="00963959"/>
    <w:rsid w:val="009639C2"/>
    <w:rsid w:val="00963A9D"/>
    <w:rsid w:val="00963B32"/>
    <w:rsid w:val="00963E96"/>
    <w:rsid w:val="00963F9E"/>
    <w:rsid w:val="00964006"/>
    <w:rsid w:val="00964128"/>
    <w:rsid w:val="0096420C"/>
    <w:rsid w:val="009642D1"/>
    <w:rsid w:val="009643FF"/>
    <w:rsid w:val="009644C5"/>
    <w:rsid w:val="00964599"/>
    <w:rsid w:val="0096463C"/>
    <w:rsid w:val="00964752"/>
    <w:rsid w:val="009647B4"/>
    <w:rsid w:val="009647BE"/>
    <w:rsid w:val="0096482D"/>
    <w:rsid w:val="009648FA"/>
    <w:rsid w:val="00964965"/>
    <w:rsid w:val="009649ED"/>
    <w:rsid w:val="00964A9A"/>
    <w:rsid w:val="00964AB7"/>
    <w:rsid w:val="00964B9F"/>
    <w:rsid w:val="00964F1F"/>
    <w:rsid w:val="00964F61"/>
    <w:rsid w:val="00965107"/>
    <w:rsid w:val="00965141"/>
    <w:rsid w:val="00965165"/>
    <w:rsid w:val="00965238"/>
    <w:rsid w:val="00965287"/>
    <w:rsid w:val="009652F7"/>
    <w:rsid w:val="0096531E"/>
    <w:rsid w:val="00965451"/>
    <w:rsid w:val="00965529"/>
    <w:rsid w:val="00965753"/>
    <w:rsid w:val="00965784"/>
    <w:rsid w:val="00965962"/>
    <w:rsid w:val="00965A62"/>
    <w:rsid w:val="00965BE5"/>
    <w:rsid w:val="00965C9F"/>
    <w:rsid w:val="00965CDC"/>
    <w:rsid w:val="00965FB8"/>
    <w:rsid w:val="009660A5"/>
    <w:rsid w:val="009660BC"/>
    <w:rsid w:val="0096615F"/>
    <w:rsid w:val="0096632F"/>
    <w:rsid w:val="0096642C"/>
    <w:rsid w:val="00966434"/>
    <w:rsid w:val="00966609"/>
    <w:rsid w:val="0096660C"/>
    <w:rsid w:val="00966611"/>
    <w:rsid w:val="0096671E"/>
    <w:rsid w:val="00966797"/>
    <w:rsid w:val="0096679B"/>
    <w:rsid w:val="009667C9"/>
    <w:rsid w:val="00966850"/>
    <w:rsid w:val="009668C5"/>
    <w:rsid w:val="009668CB"/>
    <w:rsid w:val="00966937"/>
    <w:rsid w:val="00966AA9"/>
    <w:rsid w:val="00966CBA"/>
    <w:rsid w:val="00966D00"/>
    <w:rsid w:val="00966D18"/>
    <w:rsid w:val="00966D25"/>
    <w:rsid w:val="00966E15"/>
    <w:rsid w:val="00966ECA"/>
    <w:rsid w:val="0096702E"/>
    <w:rsid w:val="009673AF"/>
    <w:rsid w:val="0096743C"/>
    <w:rsid w:val="00967543"/>
    <w:rsid w:val="00967604"/>
    <w:rsid w:val="0096767B"/>
    <w:rsid w:val="00967977"/>
    <w:rsid w:val="0096798D"/>
    <w:rsid w:val="00967A24"/>
    <w:rsid w:val="00967B2A"/>
    <w:rsid w:val="00967C32"/>
    <w:rsid w:val="00967C58"/>
    <w:rsid w:val="00967C82"/>
    <w:rsid w:val="00967CD9"/>
    <w:rsid w:val="00967E14"/>
    <w:rsid w:val="009700FB"/>
    <w:rsid w:val="00970153"/>
    <w:rsid w:val="00970397"/>
    <w:rsid w:val="009703A7"/>
    <w:rsid w:val="00970432"/>
    <w:rsid w:val="009705A6"/>
    <w:rsid w:val="0097078E"/>
    <w:rsid w:val="009707F1"/>
    <w:rsid w:val="00970842"/>
    <w:rsid w:val="0097087E"/>
    <w:rsid w:val="00970A9A"/>
    <w:rsid w:val="00970B2D"/>
    <w:rsid w:val="00970C9E"/>
    <w:rsid w:val="00970CF9"/>
    <w:rsid w:val="00970DF8"/>
    <w:rsid w:val="00970E59"/>
    <w:rsid w:val="00970EC0"/>
    <w:rsid w:val="00970F48"/>
    <w:rsid w:val="00970F78"/>
    <w:rsid w:val="00970FB9"/>
    <w:rsid w:val="00970FC3"/>
    <w:rsid w:val="0097103A"/>
    <w:rsid w:val="00971587"/>
    <w:rsid w:val="009715A2"/>
    <w:rsid w:val="00971646"/>
    <w:rsid w:val="00971797"/>
    <w:rsid w:val="00971852"/>
    <w:rsid w:val="009718F7"/>
    <w:rsid w:val="00971980"/>
    <w:rsid w:val="009719A2"/>
    <w:rsid w:val="00971A0E"/>
    <w:rsid w:val="00971A99"/>
    <w:rsid w:val="00971AA9"/>
    <w:rsid w:val="00971BE8"/>
    <w:rsid w:val="00971C93"/>
    <w:rsid w:val="00971D9C"/>
    <w:rsid w:val="00972045"/>
    <w:rsid w:val="0097222D"/>
    <w:rsid w:val="009723A0"/>
    <w:rsid w:val="009725A8"/>
    <w:rsid w:val="00972A45"/>
    <w:rsid w:val="00972ACE"/>
    <w:rsid w:val="00972BCE"/>
    <w:rsid w:val="00972EEB"/>
    <w:rsid w:val="00972F42"/>
    <w:rsid w:val="00973056"/>
    <w:rsid w:val="009731A5"/>
    <w:rsid w:val="009731BB"/>
    <w:rsid w:val="00973371"/>
    <w:rsid w:val="00973419"/>
    <w:rsid w:val="0097347E"/>
    <w:rsid w:val="009734C5"/>
    <w:rsid w:val="009736F1"/>
    <w:rsid w:val="00973722"/>
    <w:rsid w:val="0097388F"/>
    <w:rsid w:val="009738B0"/>
    <w:rsid w:val="009738C1"/>
    <w:rsid w:val="00973BE1"/>
    <w:rsid w:val="00973BE5"/>
    <w:rsid w:val="00973D5F"/>
    <w:rsid w:val="00973DE1"/>
    <w:rsid w:val="00973E54"/>
    <w:rsid w:val="00973ED6"/>
    <w:rsid w:val="00973EEE"/>
    <w:rsid w:val="00973F19"/>
    <w:rsid w:val="0097417D"/>
    <w:rsid w:val="00974624"/>
    <w:rsid w:val="00974665"/>
    <w:rsid w:val="00974757"/>
    <w:rsid w:val="00974777"/>
    <w:rsid w:val="00974843"/>
    <w:rsid w:val="00974993"/>
    <w:rsid w:val="00974A79"/>
    <w:rsid w:val="00974AFF"/>
    <w:rsid w:val="00974B56"/>
    <w:rsid w:val="00974C0F"/>
    <w:rsid w:val="00974C14"/>
    <w:rsid w:val="00974D0F"/>
    <w:rsid w:val="00974DDC"/>
    <w:rsid w:val="00974E09"/>
    <w:rsid w:val="00974F86"/>
    <w:rsid w:val="009750AF"/>
    <w:rsid w:val="00975234"/>
    <w:rsid w:val="00975456"/>
    <w:rsid w:val="00975567"/>
    <w:rsid w:val="009757B0"/>
    <w:rsid w:val="0097581E"/>
    <w:rsid w:val="009758EB"/>
    <w:rsid w:val="00975A6D"/>
    <w:rsid w:val="00975AA5"/>
    <w:rsid w:val="00975B7C"/>
    <w:rsid w:val="00975CC5"/>
    <w:rsid w:val="00975D1D"/>
    <w:rsid w:val="00975EA9"/>
    <w:rsid w:val="009760B0"/>
    <w:rsid w:val="009761D3"/>
    <w:rsid w:val="0097621A"/>
    <w:rsid w:val="009762A8"/>
    <w:rsid w:val="00976541"/>
    <w:rsid w:val="009765C9"/>
    <w:rsid w:val="0097679E"/>
    <w:rsid w:val="009768BE"/>
    <w:rsid w:val="009768E2"/>
    <w:rsid w:val="0097696C"/>
    <w:rsid w:val="009769D3"/>
    <w:rsid w:val="00976A8D"/>
    <w:rsid w:val="00976C5B"/>
    <w:rsid w:val="00976C68"/>
    <w:rsid w:val="00976CAF"/>
    <w:rsid w:val="00976CC1"/>
    <w:rsid w:val="00976CF6"/>
    <w:rsid w:val="00976D0C"/>
    <w:rsid w:val="00976D16"/>
    <w:rsid w:val="00976D1A"/>
    <w:rsid w:val="00976F47"/>
    <w:rsid w:val="00977066"/>
    <w:rsid w:val="0097716D"/>
    <w:rsid w:val="0097729E"/>
    <w:rsid w:val="00977359"/>
    <w:rsid w:val="009773B7"/>
    <w:rsid w:val="00977690"/>
    <w:rsid w:val="00977713"/>
    <w:rsid w:val="009778A9"/>
    <w:rsid w:val="00977925"/>
    <w:rsid w:val="00977996"/>
    <w:rsid w:val="00977ABB"/>
    <w:rsid w:val="00977C2D"/>
    <w:rsid w:val="00977DD0"/>
    <w:rsid w:val="00977EDC"/>
    <w:rsid w:val="00980040"/>
    <w:rsid w:val="0098016C"/>
    <w:rsid w:val="00980186"/>
    <w:rsid w:val="00980191"/>
    <w:rsid w:val="009801E0"/>
    <w:rsid w:val="009801F4"/>
    <w:rsid w:val="0098020A"/>
    <w:rsid w:val="009803A9"/>
    <w:rsid w:val="009804A8"/>
    <w:rsid w:val="00980846"/>
    <w:rsid w:val="00980892"/>
    <w:rsid w:val="0098091E"/>
    <w:rsid w:val="00980BD5"/>
    <w:rsid w:val="00980DEE"/>
    <w:rsid w:val="00980E21"/>
    <w:rsid w:val="00980E47"/>
    <w:rsid w:val="00981025"/>
    <w:rsid w:val="0098103A"/>
    <w:rsid w:val="0098105C"/>
    <w:rsid w:val="0098119F"/>
    <w:rsid w:val="00981470"/>
    <w:rsid w:val="00981508"/>
    <w:rsid w:val="00981620"/>
    <w:rsid w:val="009818DD"/>
    <w:rsid w:val="00981968"/>
    <w:rsid w:val="00981C09"/>
    <w:rsid w:val="00981C14"/>
    <w:rsid w:val="00981CD6"/>
    <w:rsid w:val="00981D69"/>
    <w:rsid w:val="00981DB7"/>
    <w:rsid w:val="00981E88"/>
    <w:rsid w:val="00981FF2"/>
    <w:rsid w:val="009820E6"/>
    <w:rsid w:val="0098214D"/>
    <w:rsid w:val="009821ED"/>
    <w:rsid w:val="00982265"/>
    <w:rsid w:val="009822AB"/>
    <w:rsid w:val="00982472"/>
    <w:rsid w:val="009826DD"/>
    <w:rsid w:val="00982708"/>
    <w:rsid w:val="009828E1"/>
    <w:rsid w:val="00982977"/>
    <w:rsid w:val="009829B0"/>
    <w:rsid w:val="00982A46"/>
    <w:rsid w:val="00982A5C"/>
    <w:rsid w:val="00982DCD"/>
    <w:rsid w:val="00982DE7"/>
    <w:rsid w:val="00982E20"/>
    <w:rsid w:val="00982E3E"/>
    <w:rsid w:val="00982ED6"/>
    <w:rsid w:val="0098300D"/>
    <w:rsid w:val="009831CB"/>
    <w:rsid w:val="00983247"/>
    <w:rsid w:val="009832E6"/>
    <w:rsid w:val="0098331D"/>
    <w:rsid w:val="0098351A"/>
    <w:rsid w:val="0098375F"/>
    <w:rsid w:val="009837B6"/>
    <w:rsid w:val="0098382A"/>
    <w:rsid w:val="00983855"/>
    <w:rsid w:val="00983896"/>
    <w:rsid w:val="009839FD"/>
    <w:rsid w:val="00983D42"/>
    <w:rsid w:val="00983D78"/>
    <w:rsid w:val="00983E74"/>
    <w:rsid w:val="00983EB9"/>
    <w:rsid w:val="00983F31"/>
    <w:rsid w:val="009840CA"/>
    <w:rsid w:val="0098415C"/>
    <w:rsid w:val="009843E6"/>
    <w:rsid w:val="00984470"/>
    <w:rsid w:val="009845DD"/>
    <w:rsid w:val="0098466E"/>
    <w:rsid w:val="009847A4"/>
    <w:rsid w:val="009847F5"/>
    <w:rsid w:val="0098487C"/>
    <w:rsid w:val="009849C4"/>
    <w:rsid w:val="00984B8F"/>
    <w:rsid w:val="00984BCB"/>
    <w:rsid w:val="00984D0A"/>
    <w:rsid w:val="009850E8"/>
    <w:rsid w:val="00985146"/>
    <w:rsid w:val="009851D8"/>
    <w:rsid w:val="009851E3"/>
    <w:rsid w:val="0098521A"/>
    <w:rsid w:val="0098521D"/>
    <w:rsid w:val="0098552E"/>
    <w:rsid w:val="00985545"/>
    <w:rsid w:val="0098568D"/>
    <w:rsid w:val="009856AB"/>
    <w:rsid w:val="0098570C"/>
    <w:rsid w:val="0098578E"/>
    <w:rsid w:val="00985818"/>
    <w:rsid w:val="00985874"/>
    <w:rsid w:val="009858CD"/>
    <w:rsid w:val="00985B4A"/>
    <w:rsid w:val="00985D44"/>
    <w:rsid w:val="00985E81"/>
    <w:rsid w:val="0098602E"/>
    <w:rsid w:val="00986168"/>
    <w:rsid w:val="00986254"/>
    <w:rsid w:val="009863D7"/>
    <w:rsid w:val="009865D2"/>
    <w:rsid w:val="009865D7"/>
    <w:rsid w:val="009865E0"/>
    <w:rsid w:val="009865E7"/>
    <w:rsid w:val="009865FA"/>
    <w:rsid w:val="00986719"/>
    <w:rsid w:val="009868C9"/>
    <w:rsid w:val="00986904"/>
    <w:rsid w:val="00986923"/>
    <w:rsid w:val="009869B5"/>
    <w:rsid w:val="00986A3E"/>
    <w:rsid w:val="00986C57"/>
    <w:rsid w:val="00986DAA"/>
    <w:rsid w:val="00986E71"/>
    <w:rsid w:val="00986E80"/>
    <w:rsid w:val="00986F30"/>
    <w:rsid w:val="00986F9D"/>
    <w:rsid w:val="009870A2"/>
    <w:rsid w:val="00987309"/>
    <w:rsid w:val="0098735C"/>
    <w:rsid w:val="009875E7"/>
    <w:rsid w:val="009875F2"/>
    <w:rsid w:val="0098779E"/>
    <w:rsid w:val="009877AE"/>
    <w:rsid w:val="009877B4"/>
    <w:rsid w:val="009877F3"/>
    <w:rsid w:val="00987831"/>
    <w:rsid w:val="00987978"/>
    <w:rsid w:val="00987A99"/>
    <w:rsid w:val="00987B76"/>
    <w:rsid w:val="00987BA5"/>
    <w:rsid w:val="00987C15"/>
    <w:rsid w:val="00987D11"/>
    <w:rsid w:val="00987D92"/>
    <w:rsid w:val="00987DCB"/>
    <w:rsid w:val="00987E88"/>
    <w:rsid w:val="00987EDC"/>
    <w:rsid w:val="00987FA0"/>
    <w:rsid w:val="00987FB4"/>
    <w:rsid w:val="00990285"/>
    <w:rsid w:val="00990367"/>
    <w:rsid w:val="00990383"/>
    <w:rsid w:val="009903B1"/>
    <w:rsid w:val="009903D1"/>
    <w:rsid w:val="009904C9"/>
    <w:rsid w:val="0099061E"/>
    <w:rsid w:val="00990630"/>
    <w:rsid w:val="0099068F"/>
    <w:rsid w:val="00990715"/>
    <w:rsid w:val="00990926"/>
    <w:rsid w:val="009909F0"/>
    <w:rsid w:val="00990B67"/>
    <w:rsid w:val="00990B70"/>
    <w:rsid w:val="00990CCF"/>
    <w:rsid w:val="00990D2F"/>
    <w:rsid w:val="00990D58"/>
    <w:rsid w:val="00990F24"/>
    <w:rsid w:val="00990FC8"/>
    <w:rsid w:val="009910C6"/>
    <w:rsid w:val="00991198"/>
    <w:rsid w:val="009912A3"/>
    <w:rsid w:val="0099132A"/>
    <w:rsid w:val="0099140C"/>
    <w:rsid w:val="00991461"/>
    <w:rsid w:val="00991860"/>
    <w:rsid w:val="0099192D"/>
    <w:rsid w:val="00991B07"/>
    <w:rsid w:val="00991B7F"/>
    <w:rsid w:val="00991BD3"/>
    <w:rsid w:val="00991BF1"/>
    <w:rsid w:val="00991F22"/>
    <w:rsid w:val="00991FE9"/>
    <w:rsid w:val="00991FFE"/>
    <w:rsid w:val="0099200C"/>
    <w:rsid w:val="00992082"/>
    <w:rsid w:val="00992113"/>
    <w:rsid w:val="00992170"/>
    <w:rsid w:val="0099236A"/>
    <w:rsid w:val="0099250B"/>
    <w:rsid w:val="0099287F"/>
    <w:rsid w:val="00992926"/>
    <w:rsid w:val="00992B68"/>
    <w:rsid w:val="00992BAC"/>
    <w:rsid w:val="00992D5A"/>
    <w:rsid w:val="00992DBB"/>
    <w:rsid w:val="00992F1F"/>
    <w:rsid w:val="0099302E"/>
    <w:rsid w:val="009933B7"/>
    <w:rsid w:val="009933CA"/>
    <w:rsid w:val="00993794"/>
    <w:rsid w:val="009937E1"/>
    <w:rsid w:val="009937FE"/>
    <w:rsid w:val="0099380F"/>
    <w:rsid w:val="0099395B"/>
    <w:rsid w:val="00993975"/>
    <w:rsid w:val="009939A2"/>
    <w:rsid w:val="009939D5"/>
    <w:rsid w:val="00993AE6"/>
    <w:rsid w:val="00993AF1"/>
    <w:rsid w:val="00993B51"/>
    <w:rsid w:val="00993CE7"/>
    <w:rsid w:val="00993D46"/>
    <w:rsid w:val="00993DCF"/>
    <w:rsid w:val="00993EA8"/>
    <w:rsid w:val="0099401A"/>
    <w:rsid w:val="009940E5"/>
    <w:rsid w:val="00994323"/>
    <w:rsid w:val="0099451F"/>
    <w:rsid w:val="00994548"/>
    <w:rsid w:val="0099457D"/>
    <w:rsid w:val="009945CA"/>
    <w:rsid w:val="009946A8"/>
    <w:rsid w:val="00994758"/>
    <w:rsid w:val="00994931"/>
    <w:rsid w:val="0099494E"/>
    <w:rsid w:val="00994B0B"/>
    <w:rsid w:val="00994B3B"/>
    <w:rsid w:val="00994B62"/>
    <w:rsid w:val="00994D17"/>
    <w:rsid w:val="00994F21"/>
    <w:rsid w:val="00994F63"/>
    <w:rsid w:val="00994F75"/>
    <w:rsid w:val="00994FCD"/>
    <w:rsid w:val="00995016"/>
    <w:rsid w:val="00995054"/>
    <w:rsid w:val="00995068"/>
    <w:rsid w:val="00995170"/>
    <w:rsid w:val="009951A3"/>
    <w:rsid w:val="009952CF"/>
    <w:rsid w:val="009953BA"/>
    <w:rsid w:val="009953BB"/>
    <w:rsid w:val="009953E9"/>
    <w:rsid w:val="009954A3"/>
    <w:rsid w:val="00995671"/>
    <w:rsid w:val="00995930"/>
    <w:rsid w:val="00995A39"/>
    <w:rsid w:val="00995A74"/>
    <w:rsid w:val="00995BD4"/>
    <w:rsid w:val="00995C1E"/>
    <w:rsid w:val="00995C5C"/>
    <w:rsid w:val="00995C6D"/>
    <w:rsid w:val="00995EFC"/>
    <w:rsid w:val="00995F98"/>
    <w:rsid w:val="00996160"/>
    <w:rsid w:val="009961B3"/>
    <w:rsid w:val="00996211"/>
    <w:rsid w:val="00996219"/>
    <w:rsid w:val="00996381"/>
    <w:rsid w:val="00996384"/>
    <w:rsid w:val="009963C8"/>
    <w:rsid w:val="009964DF"/>
    <w:rsid w:val="00996508"/>
    <w:rsid w:val="00996542"/>
    <w:rsid w:val="0099661E"/>
    <w:rsid w:val="009966CB"/>
    <w:rsid w:val="009967C0"/>
    <w:rsid w:val="009967EA"/>
    <w:rsid w:val="009967F8"/>
    <w:rsid w:val="0099695D"/>
    <w:rsid w:val="009969E6"/>
    <w:rsid w:val="00996A06"/>
    <w:rsid w:val="00996A5D"/>
    <w:rsid w:val="00996B03"/>
    <w:rsid w:val="00996BB1"/>
    <w:rsid w:val="00996C2C"/>
    <w:rsid w:val="00996D26"/>
    <w:rsid w:val="00996DFE"/>
    <w:rsid w:val="00996EAD"/>
    <w:rsid w:val="00996EE6"/>
    <w:rsid w:val="0099702E"/>
    <w:rsid w:val="00997042"/>
    <w:rsid w:val="00997079"/>
    <w:rsid w:val="00997241"/>
    <w:rsid w:val="009974E4"/>
    <w:rsid w:val="009974FE"/>
    <w:rsid w:val="00997582"/>
    <w:rsid w:val="009975DE"/>
    <w:rsid w:val="00997661"/>
    <w:rsid w:val="009976F4"/>
    <w:rsid w:val="0099779C"/>
    <w:rsid w:val="0099789D"/>
    <w:rsid w:val="00997A8B"/>
    <w:rsid w:val="00997A8D"/>
    <w:rsid w:val="00997B70"/>
    <w:rsid w:val="00997DCE"/>
    <w:rsid w:val="00997F1B"/>
    <w:rsid w:val="00997F25"/>
    <w:rsid w:val="00997F99"/>
    <w:rsid w:val="009A00A1"/>
    <w:rsid w:val="009A012B"/>
    <w:rsid w:val="009A0207"/>
    <w:rsid w:val="009A02B0"/>
    <w:rsid w:val="009A03D0"/>
    <w:rsid w:val="009A043E"/>
    <w:rsid w:val="009A08FF"/>
    <w:rsid w:val="009A0A2B"/>
    <w:rsid w:val="009A0B8C"/>
    <w:rsid w:val="009A0BF1"/>
    <w:rsid w:val="009A0F84"/>
    <w:rsid w:val="009A102D"/>
    <w:rsid w:val="009A105D"/>
    <w:rsid w:val="009A113F"/>
    <w:rsid w:val="009A1186"/>
    <w:rsid w:val="009A121B"/>
    <w:rsid w:val="009A1319"/>
    <w:rsid w:val="009A1370"/>
    <w:rsid w:val="009A13B6"/>
    <w:rsid w:val="009A14AD"/>
    <w:rsid w:val="009A165E"/>
    <w:rsid w:val="009A1716"/>
    <w:rsid w:val="009A172D"/>
    <w:rsid w:val="009A191A"/>
    <w:rsid w:val="009A19DB"/>
    <w:rsid w:val="009A1A77"/>
    <w:rsid w:val="009A1C1E"/>
    <w:rsid w:val="009A1C1F"/>
    <w:rsid w:val="009A1D6E"/>
    <w:rsid w:val="009A1D91"/>
    <w:rsid w:val="009A1DFE"/>
    <w:rsid w:val="009A1EB4"/>
    <w:rsid w:val="009A201D"/>
    <w:rsid w:val="009A227E"/>
    <w:rsid w:val="009A22A3"/>
    <w:rsid w:val="009A2394"/>
    <w:rsid w:val="009A23D7"/>
    <w:rsid w:val="009A2419"/>
    <w:rsid w:val="009A2462"/>
    <w:rsid w:val="009A25D5"/>
    <w:rsid w:val="009A2943"/>
    <w:rsid w:val="009A2A46"/>
    <w:rsid w:val="009A2E24"/>
    <w:rsid w:val="009A2FD5"/>
    <w:rsid w:val="009A3218"/>
    <w:rsid w:val="009A32ED"/>
    <w:rsid w:val="009A3562"/>
    <w:rsid w:val="009A3589"/>
    <w:rsid w:val="009A3649"/>
    <w:rsid w:val="009A36CC"/>
    <w:rsid w:val="009A373C"/>
    <w:rsid w:val="009A37BB"/>
    <w:rsid w:val="009A37EA"/>
    <w:rsid w:val="009A389D"/>
    <w:rsid w:val="009A38ED"/>
    <w:rsid w:val="009A3E19"/>
    <w:rsid w:val="009A3F6E"/>
    <w:rsid w:val="009A4086"/>
    <w:rsid w:val="009A4527"/>
    <w:rsid w:val="009A47C7"/>
    <w:rsid w:val="009A480A"/>
    <w:rsid w:val="009A48AE"/>
    <w:rsid w:val="009A4989"/>
    <w:rsid w:val="009A4A0B"/>
    <w:rsid w:val="009A4A57"/>
    <w:rsid w:val="009A4AE7"/>
    <w:rsid w:val="009A4AF3"/>
    <w:rsid w:val="009A4C9E"/>
    <w:rsid w:val="009A5062"/>
    <w:rsid w:val="009A5144"/>
    <w:rsid w:val="009A5164"/>
    <w:rsid w:val="009A5305"/>
    <w:rsid w:val="009A530E"/>
    <w:rsid w:val="009A5346"/>
    <w:rsid w:val="009A5431"/>
    <w:rsid w:val="009A5600"/>
    <w:rsid w:val="009A567A"/>
    <w:rsid w:val="009A56D9"/>
    <w:rsid w:val="009A56EF"/>
    <w:rsid w:val="009A57D2"/>
    <w:rsid w:val="009A57D9"/>
    <w:rsid w:val="009A5998"/>
    <w:rsid w:val="009A59A4"/>
    <w:rsid w:val="009A59E2"/>
    <w:rsid w:val="009A5A48"/>
    <w:rsid w:val="009A5A7A"/>
    <w:rsid w:val="009A5C0E"/>
    <w:rsid w:val="009A5C41"/>
    <w:rsid w:val="009A5D5A"/>
    <w:rsid w:val="009A5D89"/>
    <w:rsid w:val="009A5DAF"/>
    <w:rsid w:val="009A5DEA"/>
    <w:rsid w:val="009A5E5A"/>
    <w:rsid w:val="009A5F28"/>
    <w:rsid w:val="009A636D"/>
    <w:rsid w:val="009A6413"/>
    <w:rsid w:val="009A646C"/>
    <w:rsid w:val="009A6614"/>
    <w:rsid w:val="009A67E1"/>
    <w:rsid w:val="009A6841"/>
    <w:rsid w:val="009A6854"/>
    <w:rsid w:val="009A6939"/>
    <w:rsid w:val="009A6B09"/>
    <w:rsid w:val="009A6EC3"/>
    <w:rsid w:val="009A6F9D"/>
    <w:rsid w:val="009A7144"/>
    <w:rsid w:val="009A7256"/>
    <w:rsid w:val="009A725E"/>
    <w:rsid w:val="009A7342"/>
    <w:rsid w:val="009A741A"/>
    <w:rsid w:val="009A75ED"/>
    <w:rsid w:val="009A76B8"/>
    <w:rsid w:val="009A785D"/>
    <w:rsid w:val="009A78AF"/>
    <w:rsid w:val="009A797D"/>
    <w:rsid w:val="009A7ADD"/>
    <w:rsid w:val="009A7B27"/>
    <w:rsid w:val="009A7BAD"/>
    <w:rsid w:val="009A7C65"/>
    <w:rsid w:val="009A7CB2"/>
    <w:rsid w:val="009A7CB7"/>
    <w:rsid w:val="009A7EDB"/>
    <w:rsid w:val="009A7F55"/>
    <w:rsid w:val="009B0071"/>
    <w:rsid w:val="009B0159"/>
    <w:rsid w:val="009B016E"/>
    <w:rsid w:val="009B020B"/>
    <w:rsid w:val="009B0382"/>
    <w:rsid w:val="009B0503"/>
    <w:rsid w:val="009B05E8"/>
    <w:rsid w:val="009B0626"/>
    <w:rsid w:val="009B06BB"/>
    <w:rsid w:val="009B06E6"/>
    <w:rsid w:val="009B0799"/>
    <w:rsid w:val="009B07F0"/>
    <w:rsid w:val="009B08E2"/>
    <w:rsid w:val="009B0999"/>
    <w:rsid w:val="009B0ABF"/>
    <w:rsid w:val="009B0B00"/>
    <w:rsid w:val="009B0B8B"/>
    <w:rsid w:val="009B0BAC"/>
    <w:rsid w:val="009B0C1B"/>
    <w:rsid w:val="009B0D62"/>
    <w:rsid w:val="009B0E2E"/>
    <w:rsid w:val="009B0EAC"/>
    <w:rsid w:val="009B0FA4"/>
    <w:rsid w:val="009B105A"/>
    <w:rsid w:val="009B1149"/>
    <w:rsid w:val="009B142E"/>
    <w:rsid w:val="009B1438"/>
    <w:rsid w:val="009B14D8"/>
    <w:rsid w:val="009B15D1"/>
    <w:rsid w:val="009B1657"/>
    <w:rsid w:val="009B16FA"/>
    <w:rsid w:val="009B1702"/>
    <w:rsid w:val="009B17BB"/>
    <w:rsid w:val="009B18D7"/>
    <w:rsid w:val="009B1B2E"/>
    <w:rsid w:val="009B1B4E"/>
    <w:rsid w:val="009B1C0D"/>
    <w:rsid w:val="009B1CB5"/>
    <w:rsid w:val="009B1DAB"/>
    <w:rsid w:val="009B1E9D"/>
    <w:rsid w:val="009B1F81"/>
    <w:rsid w:val="009B20C9"/>
    <w:rsid w:val="009B20E7"/>
    <w:rsid w:val="009B229C"/>
    <w:rsid w:val="009B230C"/>
    <w:rsid w:val="009B239A"/>
    <w:rsid w:val="009B25DC"/>
    <w:rsid w:val="009B25DD"/>
    <w:rsid w:val="009B26F8"/>
    <w:rsid w:val="009B2913"/>
    <w:rsid w:val="009B2989"/>
    <w:rsid w:val="009B29A9"/>
    <w:rsid w:val="009B2C0A"/>
    <w:rsid w:val="009B2C9B"/>
    <w:rsid w:val="009B2CF4"/>
    <w:rsid w:val="009B3184"/>
    <w:rsid w:val="009B32EF"/>
    <w:rsid w:val="009B33D4"/>
    <w:rsid w:val="009B349A"/>
    <w:rsid w:val="009B34C0"/>
    <w:rsid w:val="009B3535"/>
    <w:rsid w:val="009B35AD"/>
    <w:rsid w:val="009B35C0"/>
    <w:rsid w:val="009B3606"/>
    <w:rsid w:val="009B3612"/>
    <w:rsid w:val="009B3749"/>
    <w:rsid w:val="009B386F"/>
    <w:rsid w:val="009B3975"/>
    <w:rsid w:val="009B39B4"/>
    <w:rsid w:val="009B3C54"/>
    <w:rsid w:val="009B3CA4"/>
    <w:rsid w:val="009B3DDA"/>
    <w:rsid w:val="009B3DF0"/>
    <w:rsid w:val="009B3ED8"/>
    <w:rsid w:val="009B3F2C"/>
    <w:rsid w:val="009B3F5B"/>
    <w:rsid w:val="009B3FFA"/>
    <w:rsid w:val="009B407B"/>
    <w:rsid w:val="009B4139"/>
    <w:rsid w:val="009B426F"/>
    <w:rsid w:val="009B42B9"/>
    <w:rsid w:val="009B42BD"/>
    <w:rsid w:val="009B459D"/>
    <w:rsid w:val="009B496D"/>
    <w:rsid w:val="009B4988"/>
    <w:rsid w:val="009B4A2A"/>
    <w:rsid w:val="009B4A3E"/>
    <w:rsid w:val="009B4B7D"/>
    <w:rsid w:val="009B4B9D"/>
    <w:rsid w:val="009B4D5F"/>
    <w:rsid w:val="009B4E4A"/>
    <w:rsid w:val="009B4EFF"/>
    <w:rsid w:val="009B4F70"/>
    <w:rsid w:val="009B506D"/>
    <w:rsid w:val="009B5083"/>
    <w:rsid w:val="009B50FC"/>
    <w:rsid w:val="009B5142"/>
    <w:rsid w:val="009B52E7"/>
    <w:rsid w:val="009B539E"/>
    <w:rsid w:val="009B5418"/>
    <w:rsid w:val="009B54D9"/>
    <w:rsid w:val="009B564C"/>
    <w:rsid w:val="009B5670"/>
    <w:rsid w:val="009B5708"/>
    <w:rsid w:val="009B576E"/>
    <w:rsid w:val="009B5925"/>
    <w:rsid w:val="009B5A21"/>
    <w:rsid w:val="009B5A32"/>
    <w:rsid w:val="009B5ADF"/>
    <w:rsid w:val="009B5E50"/>
    <w:rsid w:val="009B5E9F"/>
    <w:rsid w:val="009B60D9"/>
    <w:rsid w:val="009B64F1"/>
    <w:rsid w:val="009B66AF"/>
    <w:rsid w:val="009B6824"/>
    <w:rsid w:val="009B6F63"/>
    <w:rsid w:val="009B6FEF"/>
    <w:rsid w:val="009B7030"/>
    <w:rsid w:val="009B722A"/>
    <w:rsid w:val="009B73DA"/>
    <w:rsid w:val="009B7429"/>
    <w:rsid w:val="009B7601"/>
    <w:rsid w:val="009B76C8"/>
    <w:rsid w:val="009B7889"/>
    <w:rsid w:val="009B789C"/>
    <w:rsid w:val="009B7980"/>
    <w:rsid w:val="009B7B95"/>
    <w:rsid w:val="009B7C64"/>
    <w:rsid w:val="009B7ED0"/>
    <w:rsid w:val="009C00CA"/>
    <w:rsid w:val="009C0100"/>
    <w:rsid w:val="009C02C0"/>
    <w:rsid w:val="009C0313"/>
    <w:rsid w:val="009C0351"/>
    <w:rsid w:val="009C057C"/>
    <w:rsid w:val="009C0801"/>
    <w:rsid w:val="009C083E"/>
    <w:rsid w:val="009C08D5"/>
    <w:rsid w:val="009C0B2B"/>
    <w:rsid w:val="009C0B42"/>
    <w:rsid w:val="009C0B54"/>
    <w:rsid w:val="009C0BF2"/>
    <w:rsid w:val="009C0C27"/>
    <w:rsid w:val="009C0C44"/>
    <w:rsid w:val="009C0CE3"/>
    <w:rsid w:val="009C0D70"/>
    <w:rsid w:val="009C0D9D"/>
    <w:rsid w:val="009C0DA0"/>
    <w:rsid w:val="009C0E8C"/>
    <w:rsid w:val="009C0FB2"/>
    <w:rsid w:val="009C10DE"/>
    <w:rsid w:val="009C1187"/>
    <w:rsid w:val="009C1285"/>
    <w:rsid w:val="009C1483"/>
    <w:rsid w:val="009C14A3"/>
    <w:rsid w:val="009C1528"/>
    <w:rsid w:val="009C1623"/>
    <w:rsid w:val="009C164B"/>
    <w:rsid w:val="009C16E2"/>
    <w:rsid w:val="009C174C"/>
    <w:rsid w:val="009C1950"/>
    <w:rsid w:val="009C1ABD"/>
    <w:rsid w:val="009C1B6B"/>
    <w:rsid w:val="009C1B8D"/>
    <w:rsid w:val="009C1BAC"/>
    <w:rsid w:val="009C1D26"/>
    <w:rsid w:val="009C1D74"/>
    <w:rsid w:val="009C21B4"/>
    <w:rsid w:val="009C221B"/>
    <w:rsid w:val="009C2297"/>
    <w:rsid w:val="009C23ED"/>
    <w:rsid w:val="009C2473"/>
    <w:rsid w:val="009C2484"/>
    <w:rsid w:val="009C263C"/>
    <w:rsid w:val="009C266D"/>
    <w:rsid w:val="009C26B0"/>
    <w:rsid w:val="009C26C8"/>
    <w:rsid w:val="009C2A73"/>
    <w:rsid w:val="009C2AE5"/>
    <w:rsid w:val="009C2B27"/>
    <w:rsid w:val="009C2BDA"/>
    <w:rsid w:val="009C2C8A"/>
    <w:rsid w:val="009C2CAC"/>
    <w:rsid w:val="009C2D9A"/>
    <w:rsid w:val="009C2DDE"/>
    <w:rsid w:val="009C2EC1"/>
    <w:rsid w:val="009C2F8A"/>
    <w:rsid w:val="009C303A"/>
    <w:rsid w:val="009C30C9"/>
    <w:rsid w:val="009C30F5"/>
    <w:rsid w:val="009C3151"/>
    <w:rsid w:val="009C3225"/>
    <w:rsid w:val="009C331B"/>
    <w:rsid w:val="009C33F1"/>
    <w:rsid w:val="009C3407"/>
    <w:rsid w:val="009C349C"/>
    <w:rsid w:val="009C358B"/>
    <w:rsid w:val="009C36AA"/>
    <w:rsid w:val="009C38CA"/>
    <w:rsid w:val="009C3B96"/>
    <w:rsid w:val="009C3D37"/>
    <w:rsid w:val="009C3F04"/>
    <w:rsid w:val="009C41F9"/>
    <w:rsid w:val="009C4299"/>
    <w:rsid w:val="009C4430"/>
    <w:rsid w:val="009C4567"/>
    <w:rsid w:val="009C45DB"/>
    <w:rsid w:val="009C4673"/>
    <w:rsid w:val="009C46B4"/>
    <w:rsid w:val="009C4859"/>
    <w:rsid w:val="009C48F4"/>
    <w:rsid w:val="009C4956"/>
    <w:rsid w:val="009C498E"/>
    <w:rsid w:val="009C49F8"/>
    <w:rsid w:val="009C4A18"/>
    <w:rsid w:val="009C4BDC"/>
    <w:rsid w:val="009C4C67"/>
    <w:rsid w:val="009C4D1E"/>
    <w:rsid w:val="009C4F5E"/>
    <w:rsid w:val="009C500C"/>
    <w:rsid w:val="009C509D"/>
    <w:rsid w:val="009C5147"/>
    <w:rsid w:val="009C51A0"/>
    <w:rsid w:val="009C5237"/>
    <w:rsid w:val="009C536D"/>
    <w:rsid w:val="009C545A"/>
    <w:rsid w:val="009C5485"/>
    <w:rsid w:val="009C54C1"/>
    <w:rsid w:val="009C5556"/>
    <w:rsid w:val="009C55F8"/>
    <w:rsid w:val="009C56EE"/>
    <w:rsid w:val="009C56F2"/>
    <w:rsid w:val="009C5799"/>
    <w:rsid w:val="009C585C"/>
    <w:rsid w:val="009C59D0"/>
    <w:rsid w:val="009C59DA"/>
    <w:rsid w:val="009C5AA8"/>
    <w:rsid w:val="009C5DFB"/>
    <w:rsid w:val="009C5E61"/>
    <w:rsid w:val="009C6091"/>
    <w:rsid w:val="009C60E5"/>
    <w:rsid w:val="009C62E1"/>
    <w:rsid w:val="009C6356"/>
    <w:rsid w:val="009C6402"/>
    <w:rsid w:val="009C6448"/>
    <w:rsid w:val="009C6522"/>
    <w:rsid w:val="009C6523"/>
    <w:rsid w:val="009C6538"/>
    <w:rsid w:val="009C656B"/>
    <w:rsid w:val="009C65DD"/>
    <w:rsid w:val="009C66C7"/>
    <w:rsid w:val="009C67C7"/>
    <w:rsid w:val="009C6820"/>
    <w:rsid w:val="009C68E4"/>
    <w:rsid w:val="009C68EC"/>
    <w:rsid w:val="009C68F1"/>
    <w:rsid w:val="009C6958"/>
    <w:rsid w:val="009C6982"/>
    <w:rsid w:val="009C6A7E"/>
    <w:rsid w:val="009C6A84"/>
    <w:rsid w:val="009C6B8B"/>
    <w:rsid w:val="009C6C00"/>
    <w:rsid w:val="009C6CA0"/>
    <w:rsid w:val="009C6D21"/>
    <w:rsid w:val="009C6D50"/>
    <w:rsid w:val="009C6FA8"/>
    <w:rsid w:val="009C6FEB"/>
    <w:rsid w:val="009C6FFB"/>
    <w:rsid w:val="009C70A5"/>
    <w:rsid w:val="009C712E"/>
    <w:rsid w:val="009C722A"/>
    <w:rsid w:val="009C73F8"/>
    <w:rsid w:val="009C7437"/>
    <w:rsid w:val="009C758C"/>
    <w:rsid w:val="009C75AE"/>
    <w:rsid w:val="009C763C"/>
    <w:rsid w:val="009C764F"/>
    <w:rsid w:val="009C76BC"/>
    <w:rsid w:val="009C7DCD"/>
    <w:rsid w:val="009C7DD0"/>
    <w:rsid w:val="009C7DF1"/>
    <w:rsid w:val="009C7E7D"/>
    <w:rsid w:val="009C7EDE"/>
    <w:rsid w:val="009C7F51"/>
    <w:rsid w:val="009D0026"/>
    <w:rsid w:val="009D0061"/>
    <w:rsid w:val="009D0075"/>
    <w:rsid w:val="009D012C"/>
    <w:rsid w:val="009D0135"/>
    <w:rsid w:val="009D013D"/>
    <w:rsid w:val="009D02F2"/>
    <w:rsid w:val="009D042C"/>
    <w:rsid w:val="009D046F"/>
    <w:rsid w:val="009D04E7"/>
    <w:rsid w:val="009D0541"/>
    <w:rsid w:val="009D07D8"/>
    <w:rsid w:val="009D096F"/>
    <w:rsid w:val="009D0A43"/>
    <w:rsid w:val="009D0A67"/>
    <w:rsid w:val="009D0C45"/>
    <w:rsid w:val="009D0D21"/>
    <w:rsid w:val="009D0F16"/>
    <w:rsid w:val="009D0F23"/>
    <w:rsid w:val="009D0F2F"/>
    <w:rsid w:val="009D0FBF"/>
    <w:rsid w:val="009D0FEF"/>
    <w:rsid w:val="009D1430"/>
    <w:rsid w:val="009D146E"/>
    <w:rsid w:val="009D14E9"/>
    <w:rsid w:val="009D151F"/>
    <w:rsid w:val="009D1609"/>
    <w:rsid w:val="009D1689"/>
    <w:rsid w:val="009D16C2"/>
    <w:rsid w:val="009D183D"/>
    <w:rsid w:val="009D19F2"/>
    <w:rsid w:val="009D2073"/>
    <w:rsid w:val="009D2137"/>
    <w:rsid w:val="009D213F"/>
    <w:rsid w:val="009D2290"/>
    <w:rsid w:val="009D2361"/>
    <w:rsid w:val="009D24D3"/>
    <w:rsid w:val="009D24F3"/>
    <w:rsid w:val="009D25B9"/>
    <w:rsid w:val="009D2618"/>
    <w:rsid w:val="009D28A0"/>
    <w:rsid w:val="009D28D2"/>
    <w:rsid w:val="009D2934"/>
    <w:rsid w:val="009D2BFD"/>
    <w:rsid w:val="009D2CB2"/>
    <w:rsid w:val="009D2E27"/>
    <w:rsid w:val="009D33A7"/>
    <w:rsid w:val="009D3443"/>
    <w:rsid w:val="009D3462"/>
    <w:rsid w:val="009D34C2"/>
    <w:rsid w:val="009D3674"/>
    <w:rsid w:val="009D3707"/>
    <w:rsid w:val="009D3722"/>
    <w:rsid w:val="009D3781"/>
    <w:rsid w:val="009D38AD"/>
    <w:rsid w:val="009D398E"/>
    <w:rsid w:val="009D399D"/>
    <w:rsid w:val="009D39DA"/>
    <w:rsid w:val="009D3B51"/>
    <w:rsid w:val="009D3C0D"/>
    <w:rsid w:val="009D3CC9"/>
    <w:rsid w:val="009D3D02"/>
    <w:rsid w:val="009D3EDD"/>
    <w:rsid w:val="009D3FA1"/>
    <w:rsid w:val="009D3FF7"/>
    <w:rsid w:val="009D43C2"/>
    <w:rsid w:val="009D444C"/>
    <w:rsid w:val="009D45D2"/>
    <w:rsid w:val="009D45DA"/>
    <w:rsid w:val="009D4711"/>
    <w:rsid w:val="009D47C3"/>
    <w:rsid w:val="009D4814"/>
    <w:rsid w:val="009D498B"/>
    <w:rsid w:val="009D4AF8"/>
    <w:rsid w:val="009D4BB9"/>
    <w:rsid w:val="009D4C65"/>
    <w:rsid w:val="009D4D44"/>
    <w:rsid w:val="009D4DE0"/>
    <w:rsid w:val="009D4E4B"/>
    <w:rsid w:val="009D4E53"/>
    <w:rsid w:val="009D4EA4"/>
    <w:rsid w:val="009D4F35"/>
    <w:rsid w:val="009D503B"/>
    <w:rsid w:val="009D5095"/>
    <w:rsid w:val="009D511B"/>
    <w:rsid w:val="009D51A5"/>
    <w:rsid w:val="009D52E6"/>
    <w:rsid w:val="009D5335"/>
    <w:rsid w:val="009D5465"/>
    <w:rsid w:val="009D54EE"/>
    <w:rsid w:val="009D56FE"/>
    <w:rsid w:val="009D572F"/>
    <w:rsid w:val="009D57C2"/>
    <w:rsid w:val="009D581C"/>
    <w:rsid w:val="009D59EC"/>
    <w:rsid w:val="009D5A27"/>
    <w:rsid w:val="009D5B67"/>
    <w:rsid w:val="009D5BA2"/>
    <w:rsid w:val="009D5FDA"/>
    <w:rsid w:val="009D5FDD"/>
    <w:rsid w:val="009D602E"/>
    <w:rsid w:val="009D6032"/>
    <w:rsid w:val="009D60DE"/>
    <w:rsid w:val="009D60FF"/>
    <w:rsid w:val="009D63D9"/>
    <w:rsid w:val="009D656F"/>
    <w:rsid w:val="009D65E2"/>
    <w:rsid w:val="009D663B"/>
    <w:rsid w:val="009D6640"/>
    <w:rsid w:val="009D667B"/>
    <w:rsid w:val="009D6698"/>
    <w:rsid w:val="009D66CC"/>
    <w:rsid w:val="009D676A"/>
    <w:rsid w:val="009D6779"/>
    <w:rsid w:val="009D67CA"/>
    <w:rsid w:val="009D68A2"/>
    <w:rsid w:val="009D691E"/>
    <w:rsid w:val="009D6B26"/>
    <w:rsid w:val="009D6B47"/>
    <w:rsid w:val="009D6BAC"/>
    <w:rsid w:val="009D6C22"/>
    <w:rsid w:val="009D6C2C"/>
    <w:rsid w:val="009D6DD3"/>
    <w:rsid w:val="009D6E8F"/>
    <w:rsid w:val="009D6F1A"/>
    <w:rsid w:val="009D6FC2"/>
    <w:rsid w:val="009D6FF8"/>
    <w:rsid w:val="009D70E4"/>
    <w:rsid w:val="009D71EE"/>
    <w:rsid w:val="009D745C"/>
    <w:rsid w:val="009D7492"/>
    <w:rsid w:val="009D75E9"/>
    <w:rsid w:val="009D764D"/>
    <w:rsid w:val="009D7701"/>
    <w:rsid w:val="009D78BC"/>
    <w:rsid w:val="009D79D9"/>
    <w:rsid w:val="009D7A23"/>
    <w:rsid w:val="009D7B1C"/>
    <w:rsid w:val="009D7BD7"/>
    <w:rsid w:val="009D7C95"/>
    <w:rsid w:val="009E00EE"/>
    <w:rsid w:val="009E015E"/>
    <w:rsid w:val="009E02C5"/>
    <w:rsid w:val="009E030D"/>
    <w:rsid w:val="009E0384"/>
    <w:rsid w:val="009E03D1"/>
    <w:rsid w:val="009E0628"/>
    <w:rsid w:val="009E0664"/>
    <w:rsid w:val="009E0683"/>
    <w:rsid w:val="009E06A2"/>
    <w:rsid w:val="009E074B"/>
    <w:rsid w:val="009E07DE"/>
    <w:rsid w:val="009E07ED"/>
    <w:rsid w:val="009E08A7"/>
    <w:rsid w:val="009E08B0"/>
    <w:rsid w:val="009E0920"/>
    <w:rsid w:val="009E0A16"/>
    <w:rsid w:val="009E0A1F"/>
    <w:rsid w:val="009E0BDA"/>
    <w:rsid w:val="009E0C30"/>
    <w:rsid w:val="009E0FAA"/>
    <w:rsid w:val="009E1002"/>
    <w:rsid w:val="009E1180"/>
    <w:rsid w:val="009E1214"/>
    <w:rsid w:val="009E132A"/>
    <w:rsid w:val="009E14F7"/>
    <w:rsid w:val="009E15CB"/>
    <w:rsid w:val="009E15CD"/>
    <w:rsid w:val="009E16BF"/>
    <w:rsid w:val="009E16C0"/>
    <w:rsid w:val="009E17DB"/>
    <w:rsid w:val="009E1818"/>
    <w:rsid w:val="009E19DD"/>
    <w:rsid w:val="009E1A82"/>
    <w:rsid w:val="009E1C1D"/>
    <w:rsid w:val="009E1C68"/>
    <w:rsid w:val="009E1CC8"/>
    <w:rsid w:val="009E1CD2"/>
    <w:rsid w:val="009E1DDD"/>
    <w:rsid w:val="009E1E85"/>
    <w:rsid w:val="009E1EB8"/>
    <w:rsid w:val="009E204A"/>
    <w:rsid w:val="009E23CC"/>
    <w:rsid w:val="009E2566"/>
    <w:rsid w:val="009E2616"/>
    <w:rsid w:val="009E268C"/>
    <w:rsid w:val="009E26DA"/>
    <w:rsid w:val="009E2D06"/>
    <w:rsid w:val="009E2E59"/>
    <w:rsid w:val="009E2EE5"/>
    <w:rsid w:val="009E3183"/>
    <w:rsid w:val="009E32F9"/>
    <w:rsid w:val="009E3358"/>
    <w:rsid w:val="009E3460"/>
    <w:rsid w:val="009E35FB"/>
    <w:rsid w:val="009E397D"/>
    <w:rsid w:val="009E3A1E"/>
    <w:rsid w:val="009E3D05"/>
    <w:rsid w:val="009E3FE4"/>
    <w:rsid w:val="009E40C0"/>
    <w:rsid w:val="009E4172"/>
    <w:rsid w:val="009E41E7"/>
    <w:rsid w:val="009E421B"/>
    <w:rsid w:val="009E4221"/>
    <w:rsid w:val="009E4530"/>
    <w:rsid w:val="009E4768"/>
    <w:rsid w:val="009E4989"/>
    <w:rsid w:val="009E49D8"/>
    <w:rsid w:val="009E4AE8"/>
    <w:rsid w:val="009E4B0C"/>
    <w:rsid w:val="009E4D34"/>
    <w:rsid w:val="009E519E"/>
    <w:rsid w:val="009E522D"/>
    <w:rsid w:val="009E526F"/>
    <w:rsid w:val="009E528F"/>
    <w:rsid w:val="009E53F4"/>
    <w:rsid w:val="009E54A4"/>
    <w:rsid w:val="009E54B6"/>
    <w:rsid w:val="009E54FF"/>
    <w:rsid w:val="009E57CC"/>
    <w:rsid w:val="009E5842"/>
    <w:rsid w:val="009E593B"/>
    <w:rsid w:val="009E59CE"/>
    <w:rsid w:val="009E5A8A"/>
    <w:rsid w:val="009E5BA8"/>
    <w:rsid w:val="009E5CED"/>
    <w:rsid w:val="009E5D6C"/>
    <w:rsid w:val="009E5EE2"/>
    <w:rsid w:val="009E5EFD"/>
    <w:rsid w:val="009E60BA"/>
    <w:rsid w:val="009E6109"/>
    <w:rsid w:val="009E61F7"/>
    <w:rsid w:val="009E61FA"/>
    <w:rsid w:val="009E622D"/>
    <w:rsid w:val="009E62B8"/>
    <w:rsid w:val="009E6375"/>
    <w:rsid w:val="009E64DF"/>
    <w:rsid w:val="009E66F6"/>
    <w:rsid w:val="009E6777"/>
    <w:rsid w:val="009E68B6"/>
    <w:rsid w:val="009E698A"/>
    <w:rsid w:val="009E69E4"/>
    <w:rsid w:val="009E6A1C"/>
    <w:rsid w:val="009E6B42"/>
    <w:rsid w:val="009E6BEB"/>
    <w:rsid w:val="009E6CB7"/>
    <w:rsid w:val="009E6D46"/>
    <w:rsid w:val="009E7043"/>
    <w:rsid w:val="009E7082"/>
    <w:rsid w:val="009E71AA"/>
    <w:rsid w:val="009E724F"/>
    <w:rsid w:val="009E7288"/>
    <w:rsid w:val="009E7311"/>
    <w:rsid w:val="009E7363"/>
    <w:rsid w:val="009E749D"/>
    <w:rsid w:val="009E75C8"/>
    <w:rsid w:val="009E777F"/>
    <w:rsid w:val="009E786A"/>
    <w:rsid w:val="009E7AC3"/>
    <w:rsid w:val="009E7B39"/>
    <w:rsid w:val="009E7C6B"/>
    <w:rsid w:val="009E7CDF"/>
    <w:rsid w:val="009E7D35"/>
    <w:rsid w:val="009E7E0F"/>
    <w:rsid w:val="009E7EAF"/>
    <w:rsid w:val="009E7F57"/>
    <w:rsid w:val="009F0087"/>
    <w:rsid w:val="009F0164"/>
    <w:rsid w:val="009F0194"/>
    <w:rsid w:val="009F01A1"/>
    <w:rsid w:val="009F0494"/>
    <w:rsid w:val="009F04CD"/>
    <w:rsid w:val="009F04CE"/>
    <w:rsid w:val="009F05BF"/>
    <w:rsid w:val="009F064B"/>
    <w:rsid w:val="009F070C"/>
    <w:rsid w:val="009F08BE"/>
    <w:rsid w:val="009F08F3"/>
    <w:rsid w:val="009F0989"/>
    <w:rsid w:val="009F09BB"/>
    <w:rsid w:val="009F0AD7"/>
    <w:rsid w:val="009F0BDD"/>
    <w:rsid w:val="009F0DCC"/>
    <w:rsid w:val="009F0E3B"/>
    <w:rsid w:val="009F1159"/>
    <w:rsid w:val="009F14A9"/>
    <w:rsid w:val="009F1593"/>
    <w:rsid w:val="009F1647"/>
    <w:rsid w:val="009F16A1"/>
    <w:rsid w:val="009F17CA"/>
    <w:rsid w:val="009F185F"/>
    <w:rsid w:val="009F1887"/>
    <w:rsid w:val="009F19CB"/>
    <w:rsid w:val="009F19FB"/>
    <w:rsid w:val="009F1A34"/>
    <w:rsid w:val="009F1A7B"/>
    <w:rsid w:val="009F1B4E"/>
    <w:rsid w:val="009F1BE9"/>
    <w:rsid w:val="009F1C0B"/>
    <w:rsid w:val="009F1D88"/>
    <w:rsid w:val="009F1EB6"/>
    <w:rsid w:val="009F2116"/>
    <w:rsid w:val="009F2118"/>
    <w:rsid w:val="009F22DC"/>
    <w:rsid w:val="009F2546"/>
    <w:rsid w:val="009F25E3"/>
    <w:rsid w:val="009F267F"/>
    <w:rsid w:val="009F2A1F"/>
    <w:rsid w:val="009F2ACF"/>
    <w:rsid w:val="009F2B97"/>
    <w:rsid w:val="009F2BB5"/>
    <w:rsid w:val="009F2D7C"/>
    <w:rsid w:val="009F2DC5"/>
    <w:rsid w:val="009F2DCF"/>
    <w:rsid w:val="009F2E20"/>
    <w:rsid w:val="009F2E6A"/>
    <w:rsid w:val="009F2FB2"/>
    <w:rsid w:val="009F2FD8"/>
    <w:rsid w:val="009F30BC"/>
    <w:rsid w:val="009F32DD"/>
    <w:rsid w:val="009F33E8"/>
    <w:rsid w:val="009F358A"/>
    <w:rsid w:val="009F35ED"/>
    <w:rsid w:val="009F366D"/>
    <w:rsid w:val="009F39F2"/>
    <w:rsid w:val="009F3A2D"/>
    <w:rsid w:val="009F3A39"/>
    <w:rsid w:val="009F3A45"/>
    <w:rsid w:val="009F3AEE"/>
    <w:rsid w:val="009F3D05"/>
    <w:rsid w:val="009F3D17"/>
    <w:rsid w:val="009F3DB7"/>
    <w:rsid w:val="009F3DC1"/>
    <w:rsid w:val="009F3E0D"/>
    <w:rsid w:val="009F3EAB"/>
    <w:rsid w:val="009F3FA1"/>
    <w:rsid w:val="009F404F"/>
    <w:rsid w:val="009F40D5"/>
    <w:rsid w:val="009F42DE"/>
    <w:rsid w:val="009F432A"/>
    <w:rsid w:val="009F437F"/>
    <w:rsid w:val="009F4459"/>
    <w:rsid w:val="009F4569"/>
    <w:rsid w:val="009F456E"/>
    <w:rsid w:val="009F47B6"/>
    <w:rsid w:val="009F4833"/>
    <w:rsid w:val="009F485F"/>
    <w:rsid w:val="009F49C4"/>
    <w:rsid w:val="009F49E0"/>
    <w:rsid w:val="009F4AC4"/>
    <w:rsid w:val="009F4C46"/>
    <w:rsid w:val="009F4EF1"/>
    <w:rsid w:val="009F4F9B"/>
    <w:rsid w:val="009F4FC3"/>
    <w:rsid w:val="009F5026"/>
    <w:rsid w:val="009F517E"/>
    <w:rsid w:val="009F51E0"/>
    <w:rsid w:val="009F527F"/>
    <w:rsid w:val="009F5461"/>
    <w:rsid w:val="009F553B"/>
    <w:rsid w:val="009F55EB"/>
    <w:rsid w:val="009F5668"/>
    <w:rsid w:val="009F5730"/>
    <w:rsid w:val="009F5734"/>
    <w:rsid w:val="009F589E"/>
    <w:rsid w:val="009F58F7"/>
    <w:rsid w:val="009F5BA5"/>
    <w:rsid w:val="009F5C6B"/>
    <w:rsid w:val="009F5CBF"/>
    <w:rsid w:val="009F5D78"/>
    <w:rsid w:val="009F5E7D"/>
    <w:rsid w:val="009F60DF"/>
    <w:rsid w:val="009F631D"/>
    <w:rsid w:val="009F6348"/>
    <w:rsid w:val="009F6508"/>
    <w:rsid w:val="009F6623"/>
    <w:rsid w:val="009F6664"/>
    <w:rsid w:val="009F6701"/>
    <w:rsid w:val="009F6795"/>
    <w:rsid w:val="009F67CA"/>
    <w:rsid w:val="009F68DA"/>
    <w:rsid w:val="009F694E"/>
    <w:rsid w:val="009F6B8D"/>
    <w:rsid w:val="009F6D53"/>
    <w:rsid w:val="009F6DD1"/>
    <w:rsid w:val="009F6DD7"/>
    <w:rsid w:val="009F6E60"/>
    <w:rsid w:val="009F6E93"/>
    <w:rsid w:val="009F6F47"/>
    <w:rsid w:val="009F70C1"/>
    <w:rsid w:val="009F7310"/>
    <w:rsid w:val="009F73A9"/>
    <w:rsid w:val="009F73E5"/>
    <w:rsid w:val="009F73EB"/>
    <w:rsid w:val="009F7401"/>
    <w:rsid w:val="009F7846"/>
    <w:rsid w:val="009F786D"/>
    <w:rsid w:val="009F78D3"/>
    <w:rsid w:val="009F7976"/>
    <w:rsid w:val="009F7AA7"/>
    <w:rsid w:val="009F7AE4"/>
    <w:rsid w:val="009F7BBD"/>
    <w:rsid w:val="009F7C47"/>
    <w:rsid w:val="009F7D2B"/>
    <w:rsid w:val="009F7E42"/>
    <w:rsid w:val="009F7F22"/>
    <w:rsid w:val="009F7F8F"/>
    <w:rsid w:val="009F7FA4"/>
    <w:rsid w:val="009F7FA6"/>
    <w:rsid w:val="00A00041"/>
    <w:rsid w:val="00A00087"/>
    <w:rsid w:val="00A001D9"/>
    <w:rsid w:val="00A001DA"/>
    <w:rsid w:val="00A002C9"/>
    <w:rsid w:val="00A0074D"/>
    <w:rsid w:val="00A00772"/>
    <w:rsid w:val="00A00D0A"/>
    <w:rsid w:val="00A00D11"/>
    <w:rsid w:val="00A00D66"/>
    <w:rsid w:val="00A00E79"/>
    <w:rsid w:val="00A00E9D"/>
    <w:rsid w:val="00A00FA4"/>
    <w:rsid w:val="00A010A7"/>
    <w:rsid w:val="00A010FB"/>
    <w:rsid w:val="00A012FC"/>
    <w:rsid w:val="00A01520"/>
    <w:rsid w:val="00A01747"/>
    <w:rsid w:val="00A01826"/>
    <w:rsid w:val="00A01960"/>
    <w:rsid w:val="00A01A34"/>
    <w:rsid w:val="00A01A58"/>
    <w:rsid w:val="00A01B33"/>
    <w:rsid w:val="00A01F7B"/>
    <w:rsid w:val="00A01F8D"/>
    <w:rsid w:val="00A01FE2"/>
    <w:rsid w:val="00A02019"/>
    <w:rsid w:val="00A020D7"/>
    <w:rsid w:val="00A0245E"/>
    <w:rsid w:val="00A02471"/>
    <w:rsid w:val="00A0257C"/>
    <w:rsid w:val="00A0263D"/>
    <w:rsid w:val="00A02820"/>
    <w:rsid w:val="00A02AB1"/>
    <w:rsid w:val="00A02B19"/>
    <w:rsid w:val="00A02B74"/>
    <w:rsid w:val="00A02B95"/>
    <w:rsid w:val="00A02DE0"/>
    <w:rsid w:val="00A02DFE"/>
    <w:rsid w:val="00A02E7F"/>
    <w:rsid w:val="00A03040"/>
    <w:rsid w:val="00A0307E"/>
    <w:rsid w:val="00A030F5"/>
    <w:rsid w:val="00A034D5"/>
    <w:rsid w:val="00A0360D"/>
    <w:rsid w:val="00A03719"/>
    <w:rsid w:val="00A0376E"/>
    <w:rsid w:val="00A03844"/>
    <w:rsid w:val="00A038A6"/>
    <w:rsid w:val="00A03926"/>
    <w:rsid w:val="00A03A58"/>
    <w:rsid w:val="00A03C50"/>
    <w:rsid w:val="00A03CE1"/>
    <w:rsid w:val="00A03CFB"/>
    <w:rsid w:val="00A03D34"/>
    <w:rsid w:val="00A03F10"/>
    <w:rsid w:val="00A03F43"/>
    <w:rsid w:val="00A03FA1"/>
    <w:rsid w:val="00A03FD2"/>
    <w:rsid w:val="00A04022"/>
    <w:rsid w:val="00A0405E"/>
    <w:rsid w:val="00A041BC"/>
    <w:rsid w:val="00A0422C"/>
    <w:rsid w:val="00A042AA"/>
    <w:rsid w:val="00A0445C"/>
    <w:rsid w:val="00A0469E"/>
    <w:rsid w:val="00A046BD"/>
    <w:rsid w:val="00A04746"/>
    <w:rsid w:val="00A0498E"/>
    <w:rsid w:val="00A04A2E"/>
    <w:rsid w:val="00A04C6E"/>
    <w:rsid w:val="00A04C8C"/>
    <w:rsid w:val="00A04D4F"/>
    <w:rsid w:val="00A04D7C"/>
    <w:rsid w:val="00A04DAD"/>
    <w:rsid w:val="00A04DF2"/>
    <w:rsid w:val="00A04FE9"/>
    <w:rsid w:val="00A050F5"/>
    <w:rsid w:val="00A05240"/>
    <w:rsid w:val="00A05250"/>
    <w:rsid w:val="00A05251"/>
    <w:rsid w:val="00A05770"/>
    <w:rsid w:val="00A0593B"/>
    <w:rsid w:val="00A05A04"/>
    <w:rsid w:val="00A05B1B"/>
    <w:rsid w:val="00A05B44"/>
    <w:rsid w:val="00A05DD2"/>
    <w:rsid w:val="00A05F07"/>
    <w:rsid w:val="00A060EA"/>
    <w:rsid w:val="00A06329"/>
    <w:rsid w:val="00A063D4"/>
    <w:rsid w:val="00A06429"/>
    <w:rsid w:val="00A06637"/>
    <w:rsid w:val="00A06847"/>
    <w:rsid w:val="00A069B1"/>
    <w:rsid w:val="00A06BD6"/>
    <w:rsid w:val="00A06E29"/>
    <w:rsid w:val="00A06E81"/>
    <w:rsid w:val="00A06F51"/>
    <w:rsid w:val="00A07011"/>
    <w:rsid w:val="00A0711D"/>
    <w:rsid w:val="00A07179"/>
    <w:rsid w:val="00A071F5"/>
    <w:rsid w:val="00A072CA"/>
    <w:rsid w:val="00A072D3"/>
    <w:rsid w:val="00A072D8"/>
    <w:rsid w:val="00A07438"/>
    <w:rsid w:val="00A07478"/>
    <w:rsid w:val="00A0749B"/>
    <w:rsid w:val="00A074AB"/>
    <w:rsid w:val="00A074BD"/>
    <w:rsid w:val="00A074F3"/>
    <w:rsid w:val="00A0754B"/>
    <w:rsid w:val="00A07659"/>
    <w:rsid w:val="00A076DF"/>
    <w:rsid w:val="00A07786"/>
    <w:rsid w:val="00A07825"/>
    <w:rsid w:val="00A079E5"/>
    <w:rsid w:val="00A07E59"/>
    <w:rsid w:val="00A07E6E"/>
    <w:rsid w:val="00A07E7D"/>
    <w:rsid w:val="00A10023"/>
    <w:rsid w:val="00A1017C"/>
    <w:rsid w:val="00A102B6"/>
    <w:rsid w:val="00A10309"/>
    <w:rsid w:val="00A1036C"/>
    <w:rsid w:val="00A105FA"/>
    <w:rsid w:val="00A106BB"/>
    <w:rsid w:val="00A106FA"/>
    <w:rsid w:val="00A10786"/>
    <w:rsid w:val="00A10880"/>
    <w:rsid w:val="00A10B66"/>
    <w:rsid w:val="00A10B9E"/>
    <w:rsid w:val="00A10D15"/>
    <w:rsid w:val="00A10E45"/>
    <w:rsid w:val="00A10E51"/>
    <w:rsid w:val="00A10FC8"/>
    <w:rsid w:val="00A110B1"/>
    <w:rsid w:val="00A111C2"/>
    <w:rsid w:val="00A111E8"/>
    <w:rsid w:val="00A1124E"/>
    <w:rsid w:val="00A112C7"/>
    <w:rsid w:val="00A1144A"/>
    <w:rsid w:val="00A114AE"/>
    <w:rsid w:val="00A115A3"/>
    <w:rsid w:val="00A116BC"/>
    <w:rsid w:val="00A117C7"/>
    <w:rsid w:val="00A1187F"/>
    <w:rsid w:val="00A119F0"/>
    <w:rsid w:val="00A11B6C"/>
    <w:rsid w:val="00A11BE4"/>
    <w:rsid w:val="00A11CA5"/>
    <w:rsid w:val="00A11CB6"/>
    <w:rsid w:val="00A11D91"/>
    <w:rsid w:val="00A11E43"/>
    <w:rsid w:val="00A11FB2"/>
    <w:rsid w:val="00A12044"/>
    <w:rsid w:val="00A122A4"/>
    <w:rsid w:val="00A12312"/>
    <w:rsid w:val="00A125AD"/>
    <w:rsid w:val="00A125C6"/>
    <w:rsid w:val="00A125DF"/>
    <w:rsid w:val="00A127DA"/>
    <w:rsid w:val="00A128D0"/>
    <w:rsid w:val="00A12A07"/>
    <w:rsid w:val="00A12B64"/>
    <w:rsid w:val="00A12B8A"/>
    <w:rsid w:val="00A12CA1"/>
    <w:rsid w:val="00A12CDE"/>
    <w:rsid w:val="00A13297"/>
    <w:rsid w:val="00A132F7"/>
    <w:rsid w:val="00A1363F"/>
    <w:rsid w:val="00A136BF"/>
    <w:rsid w:val="00A136F9"/>
    <w:rsid w:val="00A1376B"/>
    <w:rsid w:val="00A1377A"/>
    <w:rsid w:val="00A1386B"/>
    <w:rsid w:val="00A1397A"/>
    <w:rsid w:val="00A1397F"/>
    <w:rsid w:val="00A13AD5"/>
    <w:rsid w:val="00A13C17"/>
    <w:rsid w:val="00A13D42"/>
    <w:rsid w:val="00A13D81"/>
    <w:rsid w:val="00A13D83"/>
    <w:rsid w:val="00A13F03"/>
    <w:rsid w:val="00A13FD9"/>
    <w:rsid w:val="00A14029"/>
    <w:rsid w:val="00A14149"/>
    <w:rsid w:val="00A1421C"/>
    <w:rsid w:val="00A144B1"/>
    <w:rsid w:val="00A14776"/>
    <w:rsid w:val="00A14789"/>
    <w:rsid w:val="00A14B14"/>
    <w:rsid w:val="00A14C18"/>
    <w:rsid w:val="00A14D94"/>
    <w:rsid w:val="00A14DEE"/>
    <w:rsid w:val="00A14FC6"/>
    <w:rsid w:val="00A1511E"/>
    <w:rsid w:val="00A15258"/>
    <w:rsid w:val="00A15528"/>
    <w:rsid w:val="00A1553E"/>
    <w:rsid w:val="00A1568A"/>
    <w:rsid w:val="00A156A5"/>
    <w:rsid w:val="00A156A7"/>
    <w:rsid w:val="00A1593F"/>
    <w:rsid w:val="00A15B12"/>
    <w:rsid w:val="00A15BE9"/>
    <w:rsid w:val="00A15C20"/>
    <w:rsid w:val="00A15C80"/>
    <w:rsid w:val="00A15D6E"/>
    <w:rsid w:val="00A15DE3"/>
    <w:rsid w:val="00A15E3D"/>
    <w:rsid w:val="00A1605F"/>
    <w:rsid w:val="00A16073"/>
    <w:rsid w:val="00A160E3"/>
    <w:rsid w:val="00A161C3"/>
    <w:rsid w:val="00A16246"/>
    <w:rsid w:val="00A1639C"/>
    <w:rsid w:val="00A166D8"/>
    <w:rsid w:val="00A1698A"/>
    <w:rsid w:val="00A16B89"/>
    <w:rsid w:val="00A16BDA"/>
    <w:rsid w:val="00A16C3E"/>
    <w:rsid w:val="00A16CCB"/>
    <w:rsid w:val="00A16D1B"/>
    <w:rsid w:val="00A16D2B"/>
    <w:rsid w:val="00A16D9E"/>
    <w:rsid w:val="00A16DF5"/>
    <w:rsid w:val="00A16F3F"/>
    <w:rsid w:val="00A16FC3"/>
    <w:rsid w:val="00A17298"/>
    <w:rsid w:val="00A172FD"/>
    <w:rsid w:val="00A175AB"/>
    <w:rsid w:val="00A17885"/>
    <w:rsid w:val="00A179F4"/>
    <w:rsid w:val="00A17A04"/>
    <w:rsid w:val="00A17C42"/>
    <w:rsid w:val="00A17F06"/>
    <w:rsid w:val="00A20082"/>
    <w:rsid w:val="00A201D4"/>
    <w:rsid w:val="00A2021F"/>
    <w:rsid w:val="00A20230"/>
    <w:rsid w:val="00A20416"/>
    <w:rsid w:val="00A20607"/>
    <w:rsid w:val="00A207DD"/>
    <w:rsid w:val="00A207EB"/>
    <w:rsid w:val="00A20834"/>
    <w:rsid w:val="00A20837"/>
    <w:rsid w:val="00A20891"/>
    <w:rsid w:val="00A208AB"/>
    <w:rsid w:val="00A208CC"/>
    <w:rsid w:val="00A209B9"/>
    <w:rsid w:val="00A20A4F"/>
    <w:rsid w:val="00A20ADB"/>
    <w:rsid w:val="00A20C06"/>
    <w:rsid w:val="00A20C3A"/>
    <w:rsid w:val="00A20DDF"/>
    <w:rsid w:val="00A210D9"/>
    <w:rsid w:val="00A210E1"/>
    <w:rsid w:val="00A2114E"/>
    <w:rsid w:val="00A213F1"/>
    <w:rsid w:val="00A21535"/>
    <w:rsid w:val="00A215D5"/>
    <w:rsid w:val="00A215F8"/>
    <w:rsid w:val="00A216A9"/>
    <w:rsid w:val="00A21798"/>
    <w:rsid w:val="00A218C9"/>
    <w:rsid w:val="00A21988"/>
    <w:rsid w:val="00A2198A"/>
    <w:rsid w:val="00A219E7"/>
    <w:rsid w:val="00A21A82"/>
    <w:rsid w:val="00A21CF1"/>
    <w:rsid w:val="00A21E19"/>
    <w:rsid w:val="00A21E89"/>
    <w:rsid w:val="00A21F46"/>
    <w:rsid w:val="00A220E2"/>
    <w:rsid w:val="00A222D0"/>
    <w:rsid w:val="00A223BA"/>
    <w:rsid w:val="00A2246B"/>
    <w:rsid w:val="00A22803"/>
    <w:rsid w:val="00A2283E"/>
    <w:rsid w:val="00A22977"/>
    <w:rsid w:val="00A22BDD"/>
    <w:rsid w:val="00A22BE6"/>
    <w:rsid w:val="00A22CB8"/>
    <w:rsid w:val="00A22E8C"/>
    <w:rsid w:val="00A22ED9"/>
    <w:rsid w:val="00A22FC8"/>
    <w:rsid w:val="00A2312C"/>
    <w:rsid w:val="00A232C8"/>
    <w:rsid w:val="00A2348C"/>
    <w:rsid w:val="00A234A9"/>
    <w:rsid w:val="00A234F8"/>
    <w:rsid w:val="00A235A0"/>
    <w:rsid w:val="00A235F1"/>
    <w:rsid w:val="00A236B1"/>
    <w:rsid w:val="00A2385D"/>
    <w:rsid w:val="00A238B8"/>
    <w:rsid w:val="00A239A6"/>
    <w:rsid w:val="00A239CF"/>
    <w:rsid w:val="00A239ED"/>
    <w:rsid w:val="00A23B82"/>
    <w:rsid w:val="00A23BAF"/>
    <w:rsid w:val="00A24074"/>
    <w:rsid w:val="00A24177"/>
    <w:rsid w:val="00A2427C"/>
    <w:rsid w:val="00A243AF"/>
    <w:rsid w:val="00A24555"/>
    <w:rsid w:val="00A246A0"/>
    <w:rsid w:val="00A24770"/>
    <w:rsid w:val="00A24782"/>
    <w:rsid w:val="00A24A70"/>
    <w:rsid w:val="00A24C74"/>
    <w:rsid w:val="00A24C82"/>
    <w:rsid w:val="00A24E58"/>
    <w:rsid w:val="00A24F07"/>
    <w:rsid w:val="00A24FEA"/>
    <w:rsid w:val="00A2508C"/>
    <w:rsid w:val="00A25190"/>
    <w:rsid w:val="00A25310"/>
    <w:rsid w:val="00A25316"/>
    <w:rsid w:val="00A253B9"/>
    <w:rsid w:val="00A25416"/>
    <w:rsid w:val="00A2556A"/>
    <w:rsid w:val="00A255EB"/>
    <w:rsid w:val="00A2575D"/>
    <w:rsid w:val="00A25929"/>
    <w:rsid w:val="00A25A41"/>
    <w:rsid w:val="00A25A4E"/>
    <w:rsid w:val="00A25B28"/>
    <w:rsid w:val="00A25B59"/>
    <w:rsid w:val="00A25DE1"/>
    <w:rsid w:val="00A25E80"/>
    <w:rsid w:val="00A26110"/>
    <w:rsid w:val="00A2617A"/>
    <w:rsid w:val="00A261E8"/>
    <w:rsid w:val="00A262C3"/>
    <w:rsid w:val="00A26435"/>
    <w:rsid w:val="00A264C2"/>
    <w:rsid w:val="00A2655D"/>
    <w:rsid w:val="00A265A4"/>
    <w:rsid w:val="00A26653"/>
    <w:rsid w:val="00A266A3"/>
    <w:rsid w:val="00A26790"/>
    <w:rsid w:val="00A267D2"/>
    <w:rsid w:val="00A26805"/>
    <w:rsid w:val="00A2688A"/>
    <w:rsid w:val="00A26A5E"/>
    <w:rsid w:val="00A26A93"/>
    <w:rsid w:val="00A26BE0"/>
    <w:rsid w:val="00A26D6D"/>
    <w:rsid w:val="00A26D6F"/>
    <w:rsid w:val="00A26E0D"/>
    <w:rsid w:val="00A26E38"/>
    <w:rsid w:val="00A26F8B"/>
    <w:rsid w:val="00A272CC"/>
    <w:rsid w:val="00A2734B"/>
    <w:rsid w:val="00A274CC"/>
    <w:rsid w:val="00A275F5"/>
    <w:rsid w:val="00A27888"/>
    <w:rsid w:val="00A2794F"/>
    <w:rsid w:val="00A27A25"/>
    <w:rsid w:val="00A27D3F"/>
    <w:rsid w:val="00A27F4A"/>
    <w:rsid w:val="00A27F90"/>
    <w:rsid w:val="00A30015"/>
    <w:rsid w:val="00A30219"/>
    <w:rsid w:val="00A3024B"/>
    <w:rsid w:val="00A30414"/>
    <w:rsid w:val="00A30551"/>
    <w:rsid w:val="00A30591"/>
    <w:rsid w:val="00A3064C"/>
    <w:rsid w:val="00A3070F"/>
    <w:rsid w:val="00A3085E"/>
    <w:rsid w:val="00A3098E"/>
    <w:rsid w:val="00A30B4D"/>
    <w:rsid w:val="00A30B9B"/>
    <w:rsid w:val="00A30CDC"/>
    <w:rsid w:val="00A30F17"/>
    <w:rsid w:val="00A30FCD"/>
    <w:rsid w:val="00A31034"/>
    <w:rsid w:val="00A31157"/>
    <w:rsid w:val="00A31173"/>
    <w:rsid w:val="00A312D6"/>
    <w:rsid w:val="00A31357"/>
    <w:rsid w:val="00A3146A"/>
    <w:rsid w:val="00A314C3"/>
    <w:rsid w:val="00A315A7"/>
    <w:rsid w:val="00A315D6"/>
    <w:rsid w:val="00A315E6"/>
    <w:rsid w:val="00A31657"/>
    <w:rsid w:val="00A3169A"/>
    <w:rsid w:val="00A316D7"/>
    <w:rsid w:val="00A31738"/>
    <w:rsid w:val="00A31883"/>
    <w:rsid w:val="00A318CE"/>
    <w:rsid w:val="00A318D8"/>
    <w:rsid w:val="00A3194D"/>
    <w:rsid w:val="00A31A7E"/>
    <w:rsid w:val="00A31C85"/>
    <w:rsid w:val="00A31D04"/>
    <w:rsid w:val="00A31D94"/>
    <w:rsid w:val="00A31DA2"/>
    <w:rsid w:val="00A31DD2"/>
    <w:rsid w:val="00A320D3"/>
    <w:rsid w:val="00A322C0"/>
    <w:rsid w:val="00A3231F"/>
    <w:rsid w:val="00A323CB"/>
    <w:rsid w:val="00A3245D"/>
    <w:rsid w:val="00A32686"/>
    <w:rsid w:val="00A3291B"/>
    <w:rsid w:val="00A32CAD"/>
    <w:rsid w:val="00A32CFD"/>
    <w:rsid w:val="00A32EC0"/>
    <w:rsid w:val="00A330BF"/>
    <w:rsid w:val="00A330D3"/>
    <w:rsid w:val="00A33175"/>
    <w:rsid w:val="00A33A26"/>
    <w:rsid w:val="00A33AE2"/>
    <w:rsid w:val="00A33C2F"/>
    <w:rsid w:val="00A33C34"/>
    <w:rsid w:val="00A33C43"/>
    <w:rsid w:val="00A33C90"/>
    <w:rsid w:val="00A33C95"/>
    <w:rsid w:val="00A33D81"/>
    <w:rsid w:val="00A33DA9"/>
    <w:rsid w:val="00A33F11"/>
    <w:rsid w:val="00A33F22"/>
    <w:rsid w:val="00A33FD8"/>
    <w:rsid w:val="00A3405E"/>
    <w:rsid w:val="00A3413F"/>
    <w:rsid w:val="00A34162"/>
    <w:rsid w:val="00A34314"/>
    <w:rsid w:val="00A343EE"/>
    <w:rsid w:val="00A34421"/>
    <w:rsid w:val="00A344FC"/>
    <w:rsid w:val="00A347C7"/>
    <w:rsid w:val="00A3482E"/>
    <w:rsid w:val="00A34877"/>
    <w:rsid w:val="00A34A5E"/>
    <w:rsid w:val="00A34A99"/>
    <w:rsid w:val="00A34B02"/>
    <w:rsid w:val="00A34F9C"/>
    <w:rsid w:val="00A34FAF"/>
    <w:rsid w:val="00A35066"/>
    <w:rsid w:val="00A35087"/>
    <w:rsid w:val="00A350EE"/>
    <w:rsid w:val="00A35191"/>
    <w:rsid w:val="00A35391"/>
    <w:rsid w:val="00A35822"/>
    <w:rsid w:val="00A35876"/>
    <w:rsid w:val="00A3594A"/>
    <w:rsid w:val="00A35981"/>
    <w:rsid w:val="00A359C2"/>
    <w:rsid w:val="00A35B5B"/>
    <w:rsid w:val="00A35CAF"/>
    <w:rsid w:val="00A35D9E"/>
    <w:rsid w:val="00A35DC2"/>
    <w:rsid w:val="00A35E38"/>
    <w:rsid w:val="00A3610B"/>
    <w:rsid w:val="00A362DB"/>
    <w:rsid w:val="00A364A8"/>
    <w:rsid w:val="00A364C7"/>
    <w:rsid w:val="00A36612"/>
    <w:rsid w:val="00A36658"/>
    <w:rsid w:val="00A367A8"/>
    <w:rsid w:val="00A369C4"/>
    <w:rsid w:val="00A36A8B"/>
    <w:rsid w:val="00A36C42"/>
    <w:rsid w:val="00A36C91"/>
    <w:rsid w:val="00A36E32"/>
    <w:rsid w:val="00A36E49"/>
    <w:rsid w:val="00A36F6F"/>
    <w:rsid w:val="00A371CE"/>
    <w:rsid w:val="00A3726C"/>
    <w:rsid w:val="00A372FB"/>
    <w:rsid w:val="00A3745F"/>
    <w:rsid w:val="00A37543"/>
    <w:rsid w:val="00A375A4"/>
    <w:rsid w:val="00A375FE"/>
    <w:rsid w:val="00A376E4"/>
    <w:rsid w:val="00A377A4"/>
    <w:rsid w:val="00A377E8"/>
    <w:rsid w:val="00A37806"/>
    <w:rsid w:val="00A37827"/>
    <w:rsid w:val="00A379D1"/>
    <w:rsid w:val="00A37A11"/>
    <w:rsid w:val="00A37A4D"/>
    <w:rsid w:val="00A37D14"/>
    <w:rsid w:val="00A37D28"/>
    <w:rsid w:val="00A37F27"/>
    <w:rsid w:val="00A40022"/>
    <w:rsid w:val="00A40123"/>
    <w:rsid w:val="00A4020A"/>
    <w:rsid w:val="00A4028A"/>
    <w:rsid w:val="00A402D0"/>
    <w:rsid w:val="00A40329"/>
    <w:rsid w:val="00A4035B"/>
    <w:rsid w:val="00A403C7"/>
    <w:rsid w:val="00A40422"/>
    <w:rsid w:val="00A404A2"/>
    <w:rsid w:val="00A40586"/>
    <w:rsid w:val="00A4058E"/>
    <w:rsid w:val="00A405C6"/>
    <w:rsid w:val="00A40834"/>
    <w:rsid w:val="00A40885"/>
    <w:rsid w:val="00A40973"/>
    <w:rsid w:val="00A409E5"/>
    <w:rsid w:val="00A409F0"/>
    <w:rsid w:val="00A40AEB"/>
    <w:rsid w:val="00A40B8B"/>
    <w:rsid w:val="00A40C3F"/>
    <w:rsid w:val="00A40D10"/>
    <w:rsid w:val="00A40D8E"/>
    <w:rsid w:val="00A40ED1"/>
    <w:rsid w:val="00A40FC0"/>
    <w:rsid w:val="00A4105F"/>
    <w:rsid w:val="00A4112E"/>
    <w:rsid w:val="00A4115B"/>
    <w:rsid w:val="00A4132F"/>
    <w:rsid w:val="00A413C5"/>
    <w:rsid w:val="00A41440"/>
    <w:rsid w:val="00A41495"/>
    <w:rsid w:val="00A4161E"/>
    <w:rsid w:val="00A41668"/>
    <w:rsid w:val="00A41802"/>
    <w:rsid w:val="00A418EF"/>
    <w:rsid w:val="00A4192D"/>
    <w:rsid w:val="00A41B42"/>
    <w:rsid w:val="00A41BDA"/>
    <w:rsid w:val="00A41D00"/>
    <w:rsid w:val="00A41D3F"/>
    <w:rsid w:val="00A41F4A"/>
    <w:rsid w:val="00A41F52"/>
    <w:rsid w:val="00A42102"/>
    <w:rsid w:val="00A4212E"/>
    <w:rsid w:val="00A421B2"/>
    <w:rsid w:val="00A4236A"/>
    <w:rsid w:val="00A42472"/>
    <w:rsid w:val="00A42520"/>
    <w:rsid w:val="00A4259E"/>
    <w:rsid w:val="00A42663"/>
    <w:rsid w:val="00A42768"/>
    <w:rsid w:val="00A427EF"/>
    <w:rsid w:val="00A429E5"/>
    <w:rsid w:val="00A429FB"/>
    <w:rsid w:val="00A42A35"/>
    <w:rsid w:val="00A42A7D"/>
    <w:rsid w:val="00A42AC9"/>
    <w:rsid w:val="00A42C12"/>
    <w:rsid w:val="00A42C82"/>
    <w:rsid w:val="00A42DAC"/>
    <w:rsid w:val="00A42FBF"/>
    <w:rsid w:val="00A430CE"/>
    <w:rsid w:val="00A4310E"/>
    <w:rsid w:val="00A4314F"/>
    <w:rsid w:val="00A4369E"/>
    <w:rsid w:val="00A436A9"/>
    <w:rsid w:val="00A436AC"/>
    <w:rsid w:val="00A4386E"/>
    <w:rsid w:val="00A43A74"/>
    <w:rsid w:val="00A43AB6"/>
    <w:rsid w:val="00A43AC4"/>
    <w:rsid w:val="00A43B5E"/>
    <w:rsid w:val="00A43C67"/>
    <w:rsid w:val="00A43D47"/>
    <w:rsid w:val="00A43F01"/>
    <w:rsid w:val="00A44331"/>
    <w:rsid w:val="00A44373"/>
    <w:rsid w:val="00A443CA"/>
    <w:rsid w:val="00A443CF"/>
    <w:rsid w:val="00A44427"/>
    <w:rsid w:val="00A444E6"/>
    <w:rsid w:val="00A4463B"/>
    <w:rsid w:val="00A44699"/>
    <w:rsid w:val="00A447B6"/>
    <w:rsid w:val="00A44811"/>
    <w:rsid w:val="00A44A41"/>
    <w:rsid w:val="00A44A48"/>
    <w:rsid w:val="00A44A98"/>
    <w:rsid w:val="00A44B69"/>
    <w:rsid w:val="00A44B76"/>
    <w:rsid w:val="00A44C1C"/>
    <w:rsid w:val="00A44C70"/>
    <w:rsid w:val="00A44D06"/>
    <w:rsid w:val="00A44D57"/>
    <w:rsid w:val="00A44E38"/>
    <w:rsid w:val="00A44E7B"/>
    <w:rsid w:val="00A44F57"/>
    <w:rsid w:val="00A44FE8"/>
    <w:rsid w:val="00A4511E"/>
    <w:rsid w:val="00A451EE"/>
    <w:rsid w:val="00A452A1"/>
    <w:rsid w:val="00A452E3"/>
    <w:rsid w:val="00A4542C"/>
    <w:rsid w:val="00A456EB"/>
    <w:rsid w:val="00A45738"/>
    <w:rsid w:val="00A4588B"/>
    <w:rsid w:val="00A459A1"/>
    <w:rsid w:val="00A45A14"/>
    <w:rsid w:val="00A45A55"/>
    <w:rsid w:val="00A45BB8"/>
    <w:rsid w:val="00A45BD4"/>
    <w:rsid w:val="00A45CCF"/>
    <w:rsid w:val="00A45DD3"/>
    <w:rsid w:val="00A45E18"/>
    <w:rsid w:val="00A46147"/>
    <w:rsid w:val="00A46167"/>
    <w:rsid w:val="00A46189"/>
    <w:rsid w:val="00A461EC"/>
    <w:rsid w:val="00A462D4"/>
    <w:rsid w:val="00A462EB"/>
    <w:rsid w:val="00A46316"/>
    <w:rsid w:val="00A46344"/>
    <w:rsid w:val="00A4638F"/>
    <w:rsid w:val="00A4655B"/>
    <w:rsid w:val="00A46699"/>
    <w:rsid w:val="00A466E2"/>
    <w:rsid w:val="00A466E3"/>
    <w:rsid w:val="00A46A07"/>
    <w:rsid w:val="00A46BA5"/>
    <w:rsid w:val="00A4704C"/>
    <w:rsid w:val="00A470B7"/>
    <w:rsid w:val="00A470E5"/>
    <w:rsid w:val="00A470F2"/>
    <w:rsid w:val="00A47106"/>
    <w:rsid w:val="00A4713F"/>
    <w:rsid w:val="00A471AE"/>
    <w:rsid w:val="00A47236"/>
    <w:rsid w:val="00A47343"/>
    <w:rsid w:val="00A473AE"/>
    <w:rsid w:val="00A4744C"/>
    <w:rsid w:val="00A47630"/>
    <w:rsid w:val="00A4777B"/>
    <w:rsid w:val="00A47A28"/>
    <w:rsid w:val="00A47A5E"/>
    <w:rsid w:val="00A47ACE"/>
    <w:rsid w:val="00A47AE8"/>
    <w:rsid w:val="00A47BA2"/>
    <w:rsid w:val="00A47BEC"/>
    <w:rsid w:val="00A47BF0"/>
    <w:rsid w:val="00A47C25"/>
    <w:rsid w:val="00A47CC0"/>
    <w:rsid w:val="00A47EAB"/>
    <w:rsid w:val="00A47EEA"/>
    <w:rsid w:val="00A50008"/>
    <w:rsid w:val="00A50054"/>
    <w:rsid w:val="00A500CB"/>
    <w:rsid w:val="00A5014C"/>
    <w:rsid w:val="00A50440"/>
    <w:rsid w:val="00A50584"/>
    <w:rsid w:val="00A506B4"/>
    <w:rsid w:val="00A50862"/>
    <w:rsid w:val="00A50A06"/>
    <w:rsid w:val="00A50A4C"/>
    <w:rsid w:val="00A50A79"/>
    <w:rsid w:val="00A50B40"/>
    <w:rsid w:val="00A50B7E"/>
    <w:rsid w:val="00A50CDF"/>
    <w:rsid w:val="00A50CF5"/>
    <w:rsid w:val="00A50D38"/>
    <w:rsid w:val="00A50D3F"/>
    <w:rsid w:val="00A50E29"/>
    <w:rsid w:val="00A5101D"/>
    <w:rsid w:val="00A5106E"/>
    <w:rsid w:val="00A5118B"/>
    <w:rsid w:val="00A5124A"/>
    <w:rsid w:val="00A5130B"/>
    <w:rsid w:val="00A51383"/>
    <w:rsid w:val="00A5141B"/>
    <w:rsid w:val="00A5144F"/>
    <w:rsid w:val="00A51588"/>
    <w:rsid w:val="00A51591"/>
    <w:rsid w:val="00A51610"/>
    <w:rsid w:val="00A516BC"/>
    <w:rsid w:val="00A5174F"/>
    <w:rsid w:val="00A51795"/>
    <w:rsid w:val="00A517AA"/>
    <w:rsid w:val="00A517F6"/>
    <w:rsid w:val="00A51AAF"/>
    <w:rsid w:val="00A51BFE"/>
    <w:rsid w:val="00A51CEF"/>
    <w:rsid w:val="00A51D14"/>
    <w:rsid w:val="00A51E13"/>
    <w:rsid w:val="00A51EF1"/>
    <w:rsid w:val="00A52018"/>
    <w:rsid w:val="00A5205E"/>
    <w:rsid w:val="00A520EB"/>
    <w:rsid w:val="00A52115"/>
    <w:rsid w:val="00A52166"/>
    <w:rsid w:val="00A521C5"/>
    <w:rsid w:val="00A521D0"/>
    <w:rsid w:val="00A52288"/>
    <w:rsid w:val="00A52316"/>
    <w:rsid w:val="00A524B1"/>
    <w:rsid w:val="00A5269B"/>
    <w:rsid w:val="00A5287D"/>
    <w:rsid w:val="00A52903"/>
    <w:rsid w:val="00A529FA"/>
    <w:rsid w:val="00A52A6E"/>
    <w:rsid w:val="00A52C09"/>
    <w:rsid w:val="00A53023"/>
    <w:rsid w:val="00A532DE"/>
    <w:rsid w:val="00A5330A"/>
    <w:rsid w:val="00A5359E"/>
    <w:rsid w:val="00A53613"/>
    <w:rsid w:val="00A53734"/>
    <w:rsid w:val="00A538AC"/>
    <w:rsid w:val="00A538CE"/>
    <w:rsid w:val="00A53990"/>
    <w:rsid w:val="00A539F8"/>
    <w:rsid w:val="00A53B26"/>
    <w:rsid w:val="00A53B4B"/>
    <w:rsid w:val="00A53BFF"/>
    <w:rsid w:val="00A53DD3"/>
    <w:rsid w:val="00A53E79"/>
    <w:rsid w:val="00A53E80"/>
    <w:rsid w:val="00A53EB9"/>
    <w:rsid w:val="00A5409D"/>
    <w:rsid w:val="00A54115"/>
    <w:rsid w:val="00A542DA"/>
    <w:rsid w:val="00A543E2"/>
    <w:rsid w:val="00A54571"/>
    <w:rsid w:val="00A545E6"/>
    <w:rsid w:val="00A54747"/>
    <w:rsid w:val="00A5476D"/>
    <w:rsid w:val="00A548B0"/>
    <w:rsid w:val="00A549B2"/>
    <w:rsid w:val="00A54C4D"/>
    <w:rsid w:val="00A54CC2"/>
    <w:rsid w:val="00A54DEB"/>
    <w:rsid w:val="00A54E4D"/>
    <w:rsid w:val="00A54F09"/>
    <w:rsid w:val="00A54FFD"/>
    <w:rsid w:val="00A5529A"/>
    <w:rsid w:val="00A55382"/>
    <w:rsid w:val="00A55532"/>
    <w:rsid w:val="00A55544"/>
    <w:rsid w:val="00A5573F"/>
    <w:rsid w:val="00A5577D"/>
    <w:rsid w:val="00A557B7"/>
    <w:rsid w:val="00A55AEF"/>
    <w:rsid w:val="00A55BF8"/>
    <w:rsid w:val="00A55E6C"/>
    <w:rsid w:val="00A5607E"/>
    <w:rsid w:val="00A561A7"/>
    <w:rsid w:val="00A561E8"/>
    <w:rsid w:val="00A56209"/>
    <w:rsid w:val="00A56278"/>
    <w:rsid w:val="00A5635A"/>
    <w:rsid w:val="00A56387"/>
    <w:rsid w:val="00A56460"/>
    <w:rsid w:val="00A564C9"/>
    <w:rsid w:val="00A5685A"/>
    <w:rsid w:val="00A568A7"/>
    <w:rsid w:val="00A568E8"/>
    <w:rsid w:val="00A56954"/>
    <w:rsid w:val="00A56A18"/>
    <w:rsid w:val="00A56A1E"/>
    <w:rsid w:val="00A56ACB"/>
    <w:rsid w:val="00A56B7A"/>
    <w:rsid w:val="00A56BAC"/>
    <w:rsid w:val="00A56CC7"/>
    <w:rsid w:val="00A56CD6"/>
    <w:rsid w:val="00A56CE3"/>
    <w:rsid w:val="00A56CEB"/>
    <w:rsid w:val="00A56D7C"/>
    <w:rsid w:val="00A56DA8"/>
    <w:rsid w:val="00A56DAC"/>
    <w:rsid w:val="00A56DEB"/>
    <w:rsid w:val="00A56F1D"/>
    <w:rsid w:val="00A56F87"/>
    <w:rsid w:val="00A5703F"/>
    <w:rsid w:val="00A5719A"/>
    <w:rsid w:val="00A571BD"/>
    <w:rsid w:val="00A5727C"/>
    <w:rsid w:val="00A575A6"/>
    <w:rsid w:val="00A577CB"/>
    <w:rsid w:val="00A5790B"/>
    <w:rsid w:val="00A57A01"/>
    <w:rsid w:val="00A57AB9"/>
    <w:rsid w:val="00A57B5F"/>
    <w:rsid w:val="00A57BFB"/>
    <w:rsid w:val="00A57ECA"/>
    <w:rsid w:val="00A57F2A"/>
    <w:rsid w:val="00A57F8C"/>
    <w:rsid w:val="00A600C4"/>
    <w:rsid w:val="00A60264"/>
    <w:rsid w:val="00A604D2"/>
    <w:rsid w:val="00A60661"/>
    <w:rsid w:val="00A6066F"/>
    <w:rsid w:val="00A60749"/>
    <w:rsid w:val="00A60832"/>
    <w:rsid w:val="00A6087C"/>
    <w:rsid w:val="00A60A19"/>
    <w:rsid w:val="00A60A3B"/>
    <w:rsid w:val="00A60B51"/>
    <w:rsid w:val="00A60C17"/>
    <w:rsid w:val="00A60C2D"/>
    <w:rsid w:val="00A60C5F"/>
    <w:rsid w:val="00A60E86"/>
    <w:rsid w:val="00A60EC0"/>
    <w:rsid w:val="00A6122C"/>
    <w:rsid w:val="00A61265"/>
    <w:rsid w:val="00A6128F"/>
    <w:rsid w:val="00A61314"/>
    <w:rsid w:val="00A613A5"/>
    <w:rsid w:val="00A614E4"/>
    <w:rsid w:val="00A6159D"/>
    <w:rsid w:val="00A617E6"/>
    <w:rsid w:val="00A61B65"/>
    <w:rsid w:val="00A61C00"/>
    <w:rsid w:val="00A61DFC"/>
    <w:rsid w:val="00A61EA0"/>
    <w:rsid w:val="00A62265"/>
    <w:rsid w:val="00A624A6"/>
    <w:rsid w:val="00A62523"/>
    <w:rsid w:val="00A625ED"/>
    <w:rsid w:val="00A62639"/>
    <w:rsid w:val="00A6277B"/>
    <w:rsid w:val="00A62790"/>
    <w:rsid w:val="00A62803"/>
    <w:rsid w:val="00A628A6"/>
    <w:rsid w:val="00A628C8"/>
    <w:rsid w:val="00A62A38"/>
    <w:rsid w:val="00A62A76"/>
    <w:rsid w:val="00A62ADC"/>
    <w:rsid w:val="00A62AF6"/>
    <w:rsid w:val="00A62B62"/>
    <w:rsid w:val="00A62C28"/>
    <w:rsid w:val="00A62C6B"/>
    <w:rsid w:val="00A62E6C"/>
    <w:rsid w:val="00A62EB9"/>
    <w:rsid w:val="00A62F14"/>
    <w:rsid w:val="00A62F96"/>
    <w:rsid w:val="00A63023"/>
    <w:rsid w:val="00A6315C"/>
    <w:rsid w:val="00A631D1"/>
    <w:rsid w:val="00A631FC"/>
    <w:rsid w:val="00A63231"/>
    <w:rsid w:val="00A635E9"/>
    <w:rsid w:val="00A63601"/>
    <w:rsid w:val="00A63612"/>
    <w:rsid w:val="00A63725"/>
    <w:rsid w:val="00A638A2"/>
    <w:rsid w:val="00A63918"/>
    <w:rsid w:val="00A639A0"/>
    <w:rsid w:val="00A63A3A"/>
    <w:rsid w:val="00A63AEE"/>
    <w:rsid w:val="00A63BDB"/>
    <w:rsid w:val="00A63C79"/>
    <w:rsid w:val="00A63D4B"/>
    <w:rsid w:val="00A63E29"/>
    <w:rsid w:val="00A63E60"/>
    <w:rsid w:val="00A63E76"/>
    <w:rsid w:val="00A63EDE"/>
    <w:rsid w:val="00A63FDE"/>
    <w:rsid w:val="00A6421E"/>
    <w:rsid w:val="00A64308"/>
    <w:rsid w:val="00A6465A"/>
    <w:rsid w:val="00A6489D"/>
    <w:rsid w:val="00A648B5"/>
    <w:rsid w:val="00A6494F"/>
    <w:rsid w:val="00A649A9"/>
    <w:rsid w:val="00A64C0B"/>
    <w:rsid w:val="00A64C2B"/>
    <w:rsid w:val="00A65097"/>
    <w:rsid w:val="00A651DC"/>
    <w:rsid w:val="00A6527E"/>
    <w:rsid w:val="00A652EC"/>
    <w:rsid w:val="00A653F3"/>
    <w:rsid w:val="00A65440"/>
    <w:rsid w:val="00A65568"/>
    <w:rsid w:val="00A6559A"/>
    <w:rsid w:val="00A65655"/>
    <w:rsid w:val="00A657A3"/>
    <w:rsid w:val="00A6584C"/>
    <w:rsid w:val="00A6599B"/>
    <w:rsid w:val="00A659B6"/>
    <w:rsid w:val="00A65A91"/>
    <w:rsid w:val="00A65AA7"/>
    <w:rsid w:val="00A65B54"/>
    <w:rsid w:val="00A65BB1"/>
    <w:rsid w:val="00A65C1F"/>
    <w:rsid w:val="00A65C71"/>
    <w:rsid w:val="00A65D75"/>
    <w:rsid w:val="00A65DCC"/>
    <w:rsid w:val="00A65E96"/>
    <w:rsid w:val="00A65EC1"/>
    <w:rsid w:val="00A660F3"/>
    <w:rsid w:val="00A6631E"/>
    <w:rsid w:val="00A66447"/>
    <w:rsid w:val="00A6659E"/>
    <w:rsid w:val="00A66652"/>
    <w:rsid w:val="00A666F2"/>
    <w:rsid w:val="00A6671B"/>
    <w:rsid w:val="00A66826"/>
    <w:rsid w:val="00A669A9"/>
    <w:rsid w:val="00A66B18"/>
    <w:rsid w:val="00A66B56"/>
    <w:rsid w:val="00A66BD2"/>
    <w:rsid w:val="00A66DBB"/>
    <w:rsid w:val="00A66DCD"/>
    <w:rsid w:val="00A66EA4"/>
    <w:rsid w:val="00A66EE5"/>
    <w:rsid w:val="00A66FDF"/>
    <w:rsid w:val="00A66FF7"/>
    <w:rsid w:val="00A6700F"/>
    <w:rsid w:val="00A6713C"/>
    <w:rsid w:val="00A6715B"/>
    <w:rsid w:val="00A671DD"/>
    <w:rsid w:val="00A67272"/>
    <w:rsid w:val="00A6774D"/>
    <w:rsid w:val="00A677ED"/>
    <w:rsid w:val="00A6785C"/>
    <w:rsid w:val="00A679B7"/>
    <w:rsid w:val="00A679DE"/>
    <w:rsid w:val="00A67BA1"/>
    <w:rsid w:val="00A67CFC"/>
    <w:rsid w:val="00A67E2C"/>
    <w:rsid w:val="00A67EDE"/>
    <w:rsid w:val="00A67EF2"/>
    <w:rsid w:val="00A67F44"/>
    <w:rsid w:val="00A67FF4"/>
    <w:rsid w:val="00A7002D"/>
    <w:rsid w:val="00A7007D"/>
    <w:rsid w:val="00A7011B"/>
    <w:rsid w:val="00A7030D"/>
    <w:rsid w:val="00A70352"/>
    <w:rsid w:val="00A703CF"/>
    <w:rsid w:val="00A703DB"/>
    <w:rsid w:val="00A7044B"/>
    <w:rsid w:val="00A704C1"/>
    <w:rsid w:val="00A704F0"/>
    <w:rsid w:val="00A70543"/>
    <w:rsid w:val="00A7066F"/>
    <w:rsid w:val="00A706E6"/>
    <w:rsid w:val="00A70923"/>
    <w:rsid w:val="00A70989"/>
    <w:rsid w:val="00A709D5"/>
    <w:rsid w:val="00A70BF8"/>
    <w:rsid w:val="00A70DC7"/>
    <w:rsid w:val="00A70E67"/>
    <w:rsid w:val="00A71089"/>
    <w:rsid w:val="00A71266"/>
    <w:rsid w:val="00A713A8"/>
    <w:rsid w:val="00A713F5"/>
    <w:rsid w:val="00A7143B"/>
    <w:rsid w:val="00A714CA"/>
    <w:rsid w:val="00A7154C"/>
    <w:rsid w:val="00A71587"/>
    <w:rsid w:val="00A716BA"/>
    <w:rsid w:val="00A71784"/>
    <w:rsid w:val="00A719BD"/>
    <w:rsid w:val="00A71B1B"/>
    <w:rsid w:val="00A71BEC"/>
    <w:rsid w:val="00A71C5A"/>
    <w:rsid w:val="00A71E99"/>
    <w:rsid w:val="00A71EC3"/>
    <w:rsid w:val="00A71F08"/>
    <w:rsid w:val="00A71FFB"/>
    <w:rsid w:val="00A7203E"/>
    <w:rsid w:val="00A722FA"/>
    <w:rsid w:val="00A72397"/>
    <w:rsid w:val="00A7240D"/>
    <w:rsid w:val="00A72488"/>
    <w:rsid w:val="00A7250F"/>
    <w:rsid w:val="00A7252C"/>
    <w:rsid w:val="00A7270E"/>
    <w:rsid w:val="00A727F7"/>
    <w:rsid w:val="00A72847"/>
    <w:rsid w:val="00A728CB"/>
    <w:rsid w:val="00A7293A"/>
    <w:rsid w:val="00A72A08"/>
    <w:rsid w:val="00A72A96"/>
    <w:rsid w:val="00A72B78"/>
    <w:rsid w:val="00A72BBB"/>
    <w:rsid w:val="00A72C22"/>
    <w:rsid w:val="00A72E3E"/>
    <w:rsid w:val="00A72F62"/>
    <w:rsid w:val="00A72F6E"/>
    <w:rsid w:val="00A72FFF"/>
    <w:rsid w:val="00A730B0"/>
    <w:rsid w:val="00A7317F"/>
    <w:rsid w:val="00A73210"/>
    <w:rsid w:val="00A7325D"/>
    <w:rsid w:val="00A733EF"/>
    <w:rsid w:val="00A73436"/>
    <w:rsid w:val="00A7354A"/>
    <w:rsid w:val="00A73622"/>
    <w:rsid w:val="00A736C5"/>
    <w:rsid w:val="00A736D9"/>
    <w:rsid w:val="00A737C8"/>
    <w:rsid w:val="00A73845"/>
    <w:rsid w:val="00A73862"/>
    <w:rsid w:val="00A73877"/>
    <w:rsid w:val="00A7388D"/>
    <w:rsid w:val="00A738D7"/>
    <w:rsid w:val="00A73983"/>
    <w:rsid w:val="00A73A1F"/>
    <w:rsid w:val="00A73A48"/>
    <w:rsid w:val="00A73B7B"/>
    <w:rsid w:val="00A73D3B"/>
    <w:rsid w:val="00A73E15"/>
    <w:rsid w:val="00A73F2B"/>
    <w:rsid w:val="00A7401A"/>
    <w:rsid w:val="00A7405E"/>
    <w:rsid w:val="00A742B2"/>
    <w:rsid w:val="00A74369"/>
    <w:rsid w:val="00A743C1"/>
    <w:rsid w:val="00A745FB"/>
    <w:rsid w:val="00A746D9"/>
    <w:rsid w:val="00A746DD"/>
    <w:rsid w:val="00A746E7"/>
    <w:rsid w:val="00A74743"/>
    <w:rsid w:val="00A74A71"/>
    <w:rsid w:val="00A74B63"/>
    <w:rsid w:val="00A74C7C"/>
    <w:rsid w:val="00A74D6F"/>
    <w:rsid w:val="00A74D8A"/>
    <w:rsid w:val="00A74DBE"/>
    <w:rsid w:val="00A74E83"/>
    <w:rsid w:val="00A74F0D"/>
    <w:rsid w:val="00A74F45"/>
    <w:rsid w:val="00A74F5B"/>
    <w:rsid w:val="00A75205"/>
    <w:rsid w:val="00A7529D"/>
    <w:rsid w:val="00A7530E"/>
    <w:rsid w:val="00A75332"/>
    <w:rsid w:val="00A754E9"/>
    <w:rsid w:val="00A756B1"/>
    <w:rsid w:val="00A757F9"/>
    <w:rsid w:val="00A7597E"/>
    <w:rsid w:val="00A759BE"/>
    <w:rsid w:val="00A75AEA"/>
    <w:rsid w:val="00A75B4E"/>
    <w:rsid w:val="00A75C8A"/>
    <w:rsid w:val="00A75CFF"/>
    <w:rsid w:val="00A75D5A"/>
    <w:rsid w:val="00A76213"/>
    <w:rsid w:val="00A762AD"/>
    <w:rsid w:val="00A762CF"/>
    <w:rsid w:val="00A763D2"/>
    <w:rsid w:val="00A7650A"/>
    <w:rsid w:val="00A765A9"/>
    <w:rsid w:val="00A76959"/>
    <w:rsid w:val="00A769B1"/>
    <w:rsid w:val="00A76A96"/>
    <w:rsid w:val="00A76B50"/>
    <w:rsid w:val="00A76C03"/>
    <w:rsid w:val="00A76CE5"/>
    <w:rsid w:val="00A76D2D"/>
    <w:rsid w:val="00A76DD3"/>
    <w:rsid w:val="00A77091"/>
    <w:rsid w:val="00A77367"/>
    <w:rsid w:val="00A773C7"/>
    <w:rsid w:val="00A77507"/>
    <w:rsid w:val="00A7757B"/>
    <w:rsid w:val="00A7758C"/>
    <w:rsid w:val="00A77617"/>
    <w:rsid w:val="00A7764B"/>
    <w:rsid w:val="00A7774B"/>
    <w:rsid w:val="00A778C5"/>
    <w:rsid w:val="00A7794A"/>
    <w:rsid w:val="00A77994"/>
    <w:rsid w:val="00A77B6F"/>
    <w:rsid w:val="00A77C4D"/>
    <w:rsid w:val="00A77CF0"/>
    <w:rsid w:val="00A77D5B"/>
    <w:rsid w:val="00A77DC3"/>
    <w:rsid w:val="00A77EB2"/>
    <w:rsid w:val="00A77ED8"/>
    <w:rsid w:val="00A8017C"/>
    <w:rsid w:val="00A80660"/>
    <w:rsid w:val="00A8099F"/>
    <w:rsid w:val="00A80B61"/>
    <w:rsid w:val="00A80D39"/>
    <w:rsid w:val="00A80E1E"/>
    <w:rsid w:val="00A80F32"/>
    <w:rsid w:val="00A81256"/>
    <w:rsid w:val="00A81428"/>
    <w:rsid w:val="00A8156A"/>
    <w:rsid w:val="00A815CC"/>
    <w:rsid w:val="00A8176E"/>
    <w:rsid w:val="00A81908"/>
    <w:rsid w:val="00A81A61"/>
    <w:rsid w:val="00A81A85"/>
    <w:rsid w:val="00A81A8E"/>
    <w:rsid w:val="00A81B3D"/>
    <w:rsid w:val="00A81B4C"/>
    <w:rsid w:val="00A81B55"/>
    <w:rsid w:val="00A81C48"/>
    <w:rsid w:val="00A81D75"/>
    <w:rsid w:val="00A81DBC"/>
    <w:rsid w:val="00A81DD4"/>
    <w:rsid w:val="00A8200E"/>
    <w:rsid w:val="00A821B6"/>
    <w:rsid w:val="00A82280"/>
    <w:rsid w:val="00A822DD"/>
    <w:rsid w:val="00A82312"/>
    <w:rsid w:val="00A825E4"/>
    <w:rsid w:val="00A82740"/>
    <w:rsid w:val="00A82999"/>
    <w:rsid w:val="00A82BA1"/>
    <w:rsid w:val="00A82BBF"/>
    <w:rsid w:val="00A82BD2"/>
    <w:rsid w:val="00A82C37"/>
    <w:rsid w:val="00A82CAB"/>
    <w:rsid w:val="00A82E84"/>
    <w:rsid w:val="00A82EB8"/>
    <w:rsid w:val="00A83140"/>
    <w:rsid w:val="00A831A2"/>
    <w:rsid w:val="00A832AD"/>
    <w:rsid w:val="00A832D4"/>
    <w:rsid w:val="00A83312"/>
    <w:rsid w:val="00A83363"/>
    <w:rsid w:val="00A83370"/>
    <w:rsid w:val="00A833B0"/>
    <w:rsid w:val="00A8350A"/>
    <w:rsid w:val="00A8357F"/>
    <w:rsid w:val="00A835BB"/>
    <w:rsid w:val="00A8363F"/>
    <w:rsid w:val="00A83686"/>
    <w:rsid w:val="00A83B1F"/>
    <w:rsid w:val="00A83BEA"/>
    <w:rsid w:val="00A83C13"/>
    <w:rsid w:val="00A83F55"/>
    <w:rsid w:val="00A84073"/>
    <w:rsid w:val="00A84171"/>
    <w:rsid w:val="00A8440E"/>
    <w:rsid w:val="00A8441B"/>
    <w:rsid w:val="00A84466"/>
    <w:rsid w:val="00A84487"/>
    <w:rsid w:val="00A844BF"/>
    <w:rsid w:val="00A84542"/>
    <w:rsid w:val="00A845BB"/>
    <w:rsid w:val="00A8467B"/>
    <w:rsid w:val="00A84819"/>
    <w:rsid w:val="00A8483C"/>
    <w:rsid w:val="00A84860"/>
    <w:rsid w:val="00A8498E"/>
    <w:rsid w:val="00A849A4"/>
    <w:rsid w:val="00A849D6"/>
    <w:rsid w:val="00A84AE7"/>
    <w:rsid w:val="00A84B60"/>
    <w:rsid w:val="00A84B9A"/>
    <w:rsid w:val="00A84BC0"/>
    <w:rsid w:val="00A84C5C"/>
    <w:rsid w:val="00A84E03"/>
    <w:rsid w:val="00A84E5A"/>
    <w:rsid w:val="00A84ED2"/>
    <w:rsid w:val="00A85060"/>
    <w:rsid w:val="00A85103"/>
    <w:rsid w:val="00A8513E"/>
    <w:rsid w:val="00A8521E"/>
    <w:rsid w:val="00A852A7"/>
    <w:rsid w:val="00A858C9"/>
    <w:rsid w:val="00A85A73"/>
    <w:rsid w:val="00A85AB3"/>
    <w:rsid w:val="00A85AB7"/>
    <w:rsid w:val="00A85ABA"/>
    <w:rsid w:val="00A85B7A"/>
    <w:rsid w:val="00A85BA4"/>
    <w:rsid w:val="00A85D80"/>
    <w:rsid w:val="00A85DE7"/>
    <w:rsid w:val="00A85E5D"/>
    <w:rsid w:val="00A85E84"/>
    <w:rsid w:val="00A85F77"/>
    <w:rsid w:val="00A86020"/>
    <w:rsid w:val="00A860D4"/>
    <w:rsid w:val="00A86152"/>
    <w:rsid w:val="00A8615F"/>
    <w:rsid w:val="00A86536"/>
    <w:rsid w:val="00A86639"/>
    <w:rsid w:val="00A86737"/>
    <w:rsid w:val="00A86741"/>
    <w:rsid w:val="00A86846"/>
    <w:rsid w:val="00A86949"/>
    <w:rsid w:val="00A86BE3"/>
    <w:rsid w:val="00A86DB9"/>
    <w:rsid w:val="00A86DE3"/>
    <w:rsid w:val="00A86DFE"/>
    <w:rsid w:val="00A86E2F"/>
    <w:rsid w:val="00A86EDB"/>
    <w:rsid w:val="00A8704A"/>
    <w:rsid w:val="00A872B9"/>
    <w:rsid w:val="00A872DB"/>
    <w:rsid w:val="00A872E2"/>
    <w:rsid w:val="00A873C5"/>
    <w:rsid w:val="00A8749B"/>
    <w:rsid w:val="00A874DE"/>
    <w:rsid w:val="00A87500"/>
    <w:rsid w:val="00A87669"/>
    <w:rsid w:val="00A8770C"/>
    <w:rsid w:val="00A87726"/>
    <w:rsid w:val="00A87933"/>
    <w:rsid w:val="00A87961"/>
    <w:rsid w:val="00A87AC0"/>
    <w:rsid w:val="00A87B08"/>
    <w:rsid w:val="00A87CFD"/>
    <w:rsid w:val="00A87D11"/>
    <w:rsid w:val="00A87EB2"/>
    <w:rsid w:val="00A901B8"/>
    <w:rsid w:val="00A903E2"/>
    <w:rsid w:val="00A90434"/>
    <w:rsid w:val="00A9043A"/>
    <w:rsid w:val="00A90466"/>
    <w:rsid w:val="00A904C0"/>
    <w:rsid w:val="00A905BE"/>
    <w:rsid w:val="00A906E9"/>
    <w:rsid w:val="00A90818"/>
    <w:rsid w:val="00A908FE"/>
    <w:rsid w:val="00A90907"/>
    <w:rsid w:val="00A90A96"/>
    <w:rsid w:val="00A90F66"/>
    <w:rsid w:val="00A90F83"/>
    <w:rsid w:val="00A910A8"/>
    <w:rsid w:val="00A9110D"/>
    <w:rsid w:val="00A9121F"/>
    <w:rsid w:val="00A91294"/>
    <w:rsid w:val="00A912EE"/>
    <w:rsid w:val="00A913E5"/>
    <w:rsid w:val="00A91604"/>
    <w:rsid w:val="00A916E8"/>
    <w:rsid w:val="00A91712"/>
    <w:rsid w:val="00A91786"/>
    <w:rsid w:val="00A917A8"/>
    <w:rsid w:val="00A919F9"/>
    <w:rsid w:val="00A91AC4"/>
    <w:rsid w:val="00A91B76"/>
    <w:rsid w:val="00A91CAD"/>
    <w:rsid w:val="00A91CF4"/>
    <w:rsid w:val="00A91EA8"/>
    <w:rsid w:val="00A92011"/>
    <w:rsid w:val="00A920C6"/>
    <w:rsid w:val="00A92387"/>
    <w:rsid w:val="00A924D9"/>
    <w:rsid w:val="00A924F4"/>
    <w:rsid w:val="00A925C0"/>
    <w:rsid w:val="00A9262C"/>
    <w:rsid w:val="00A92641"/>
    <w:rsid w:val="00A9265B"/>
    <w:rsid w:val="00A9279F"/>
    <w:rsid w:val="00A92810"/>
    <w:rsid w:val="00A929D1"/>
    <w:rsid w:val="00A92A04"/>
    <w:rsid w:val="00A92A95"/>
    <w:rsid w:val="00A92AFB"/>
    <w:rsid w:val="00A92B17"/>
    <w:rsid w:val="00A92CA4"/>
    <w:rsid w:val="00A92E5A"/>
    <w:rsid w:val="00A9312B"/>
    <w:rsid w:val="00A93184"/>
    <w:rsid w:val="00A9321B"/>
    <w:rsid w:val="00A9324F"/>
    <w:rsid w:val="00A9338C"/>
    <w:rsid w:val="00A933A4"/>
    <w:rsid w:val="00A93666"/>
    <w:rsid w:val="00A93686"/>
    <w:rsid w:val="00A9384F"/>
    <w:rsid w:val="00A9386F"/>
    <w:rsid w:val="00A93878"/>
    <w:rsid w:val="00A93916"/>
    <w:rsid w:val="00A93B4F"/>
    <w:rsid w:val="00A93B8C"/>
    <w:rsid w:val="00A93C99"/>
    <w:rsid w:val="00A93E4E"/>
    <w:rsid w:val="00A93EBE"/>
    <w:rsid w:val="00A93F7F"/>
    <w:rsid w:val="00A93F99"/>
    <w:rsid w:val="00A93FC2"/>
    <w:rsid w:val="00A940CD"/>
    <w:rsid w:val="00A9431D"/>
    <w:rsid w:val="00A94367"/>
    <w:rsid w:val="00A943BF"/>
    <w:rsid w:val="00A94400"/>
    <w:rsid w:val="00A9444B"/>
    <w:rsid w:val="00A9445F"/>
    <w:rsid w:val="00A94498"/>
    <w:rsid w:val="00A9474C"/>
    <w:rsid w:val="00A94943"/>
    <w:rsid w:val="00A949E2"/>
    <w:rsid w:val="00A94B14"/>
    <w:rsid w:val="00A94B43"/>
    <w:rsid w:val="00A94C6D"/>
    <w:rsid w:val="00A94CB2"/>
    <w:rsid w:val="00A94EF6"/>
    <w:rsid w:val="00A94F2A"/>
    <w:rsid w:val="00A94F8B"/>
    <w:rsid w:val="00A95022"/>
    <w:rsid w:val="00A9538B"/>
    <w:rsid w:val="00A95439"/>
    <w:rsid w:val="00A955D9"/>
    <w:rsid w:val="00A9562D"/>
    <w:rsid w:val="00A9586A"/>
    <w:rsid w:val="00A95904"/>
    <w:rsid w:val="00A959FD"/>
    <w:rsid w:val="00A95A55"/>
    <w:rsid w:val="00A95B2D"/>
    <w:rsid w:val="00A95BEB"/>
    <w:rsid w:val="00A95C18"/>
    <w:rsid w:val="00A95C7E"/>
    <w:rsid w:val="00A95C8C"/>
    <w:rsid w:val="00A95CDF"/>
    <w:rsid w:val="00A95ECD"/>
    <w:rsid w:val="00A961A6"/>
    <w:rsid w:val="00A9639E"/>
    <w:rsid w:val="00A9647B"/>
    <w:rsid w:val="00A96708"/>
    <w:rsid w:val="00A9674D"/>
    <w:rsid w:val="00A9681C"/>
    <w:rsid w:val="00A96854"/>
    <w:rsid w:val="00A968B6"/>
    <w:rsid w:val="00A96A98"/>
    <w:rsid w:val="00A96BDA"/>
    <w:rsid w:val="00A96C33"/>
    <w:rsid w:val="00A96D51"/>
    <w:rsid w:val="00A96D80"/>
    <w:rsid w:val="00A96DF3"/>
    <w:rsid w:val="00A96E14"/>
    <w:rsid w:val="00A96E55"/>
    <w:rsid w:val="00A96E8A"/>
    <w:rsid w:val="00A96E9B"/>
    <w:rsid w:val="00A96F1A"/>
    <w:rsid w:val="00A96F23"/>
    <w:rsid w:val="00A970BF"/>
    <w:rsid w:val="00A97187"/>
    <w:rsid w:val="00A971A1"/>
    <w:rsid w:val="00A9731A"/>
    <w:rsid w:val="00A9737C"/>
    <w:rsid w:val="00A9746F"/>
    <w:rsid w:val="00A974CF"/>
    <w:rsid w:val="00A9758A"/>
    <w:rsid w:val="00A9763B"/>
    <w:rsid w:val="00A97695"/>
    <w:rsid w:val="00A97774"/>
    <w:rsid w:val="00A97950"/>
    <w:rsid w:val="00A979FD"/>
    <w:rsid w:val="00A97A23"/>
    <w:rsid w:val="00A97A3A"/>
    <w:rsid w:val="00A97AD9"/>
    <w:rsid w:val="00A97B5C"/>
    <w:rsid w:val="00A97BB3"/>
    <w:rsid w:val="00A97BEA"/>
    <w:rsid w:val="00A97C2C"/>
    <w:rsid w:val="00A97CAB"/>
    <w:rsid w:val="00A97D0C"/>
    <w:rsid w:val="00A97F25"/>
    <w:rsid w:val="00A97FC4"/>
    <w:rsid w:val="00AA01A4"/>
    <w:rsid w:val="00AA024B"/>
    <w:rsid w:val="00AA040D"/>
    <w:rsid w:val="00AA0487"/>
    <w:rsid w:val="00AA04EE"/>
    <w:rsid w:val="00AA0533"/>
    <w:rsid w:val="00AA0665"/>
    <w:rsid w:val="00AA0668"/>
    <w:rsid w:val="00AA069E"/>
    <w:rsid w:val="00AA06A6"/>
    <w:rsid w:val="00AA06C4"/>
    <w:rsid w:val="00AA0708"/>
    <w:rsid w:val="00AA0730"/>
    <w:rsid w:val="00AA0752"/>
    <w:rsid w:val="00AA08DB"/>
    <w:rsid w:val="00AA08EA"/>
    <w:rsid w:val="00AA0909"/>
    <w:rsid w:val="00AA09FA"/>
    <w:rsid w:val="00AA0A50"/>
    <w:rsid w:val="00AA0B1F"/>
    <w:rsid w:val="00AA0B3A"/>
    <w:rsid w:val="00AA0C23"/>
    <w:rsid w:val="00AA0C40"/>
    <w:rsid w:val="00AA0C6A"/>
    <w:rsid w:val="00AA0DF8"/>
    <w:rsid w:val="00AA0EAC"/>
    <w:rsid w:val="00AA0EB6"/>
    <w:rsid w:val="00AA0FD1"/>
    <w:rsid w:val="00AA10B4"/>
    <w:rsid w:val="00AA136A"/>
    <w:rsid w:val="00AA1382"/>
    <w:rsid w:val="00AA14F8"/>
    <w:rsid w:val="00AA1505"/>
    <w:rsid w:val="00AA16C6"/>
    <w:rsid w:val="00AA1744"/>
    <w:rsid w:val="00AA17C7"/>
    <w:rsid w:val="00AA1854"/>
    <w:rsid w:val="00AA1921"/>
    <w:rsid w:val="00AA1932"/>
    <w:rsid w:val="00AA1C36"/>
    <w:rsid w:val="00AA1D9D"/>
    <w:rsid w:val="00AA1F5C"/>
    <w:rsid w:val="00AA2019"/>
    <w:rsid w:val="00AA20A9"/>
    <w:rsid w:val="00AA20AA"/>
    <w:rsid w:val="00AA20FC"/>
    <w:rsid w:val="00AA2283"/>
    <w:rsid w:val="00AA22DF"/>
    <w:rsid w:val="00AA235A"/>
    <w:rsid w:val="00AA237B"/>
    <w:rsid w:val="00AA23C4"/>
    <w:rsid w:val="00AA25DA"/>
    <w:rsid w:val="00AA25E7"/>
    <w:rsid w:val="00AA2751"/>
    <w:rsid w:val="00AA2781"/>
    <w:rsid w:val="00AA2785"/>
    <w:rsid w:val="00AA2790"/>
    <w:rsid w:val="00AA27B8"/>
    <w:rsid w:val="00AA2825"/>
    <w:rsid w:val="00AA2904"/>
    <w:rsid w:val="00AA2A39"/>
    <w:rsid w:val="00AA2AFC"/>
    <w:rsid w:val="00AA2CE5"/>
    <w:rsid w:val="00AA2DF2"/>
    <w:rsid w:val="00AA2E3F"/>
    <w:rsid w:val="00AA2FFE"/>
    <w:rsid w:val="00AA30AD"/>
    <w:rsid w:val="00AA3107"/>
    <w:rsid w:val="00AA34C8"/>
    <w:rsid w:val="00AA3648"/>
    <w:rsid w:val="00AA3856"/>
    <w:rsid w:val="00AA38E3"/>
    <w:rsid w:val="00AA3B35"/>
    <w:rsid w:val="00AA3BED"/>
    <w:rsid w:val="00AA3CAF"/>
    <w:rsid w:val="00AA3D27"/>
    <w:rsid w:val="00AA3DB4"/>
    <w:rsid w:val="00AA3F98"/>
    <w:rsid w:val="00AA3FCE"/>
    <w:rsid w:val="00AA401E"/>
    <w:rsid w:val="00AA4108"/>
    <w:rsid w:val="00AA414F"/>
    <w:rsid w:val="00AA42C6"/>
    <w:rsid w:val="00AA43B0"/>
    <w:rsid w:val="00AA43FE"/>
    <w:rsid w:val="00AA4757"/>
    <w:rsid w:val="00AA477A"/>
    <w:rsid w:val="00AA48E7"/>
    <w:rsid w:val="00AA49CD"/>
    <w:rsid w:val="00AA4A9E"/>
    <w:rsid w:val="00AA4AEC"/>
    <w:rsid w:val="00AA4CBD"/>
    <w:rsid w:val="00AA4DFD"/>
    <w:rsid w:val="00AA4EDF"/>
    <w:rsid w:val="00AA4F1F"/>
    <w:rsid w:val="00AA504F"/>
    <w:rsid w:val="00AA53B5"/>
    <w:rsid w:val="00AA546C"/>
    <w:rsid w:val="00AA54CF"/>
    <w:rsid w:val="00AA5866"/>
    <w:rsid w:val="00AA5881"/>
    <w:rsid w:val="00AA589C"/>
    <w:rsid w:val="00AA59D7"/>
    <w:rsid w:val="00AA5AFA"/>
    <w:rsid w:val="00AA5B42"/>
    <w:rsid w:val="00AA5BAF"/>
    <w:rsid w:val="00AA5BC7"/>
    <w:rsid w:val="00AA5D7E"/>
    <w:rsid w:val="00AA5DD5"/>
    <w:rsid w:val="00AA5EA2"/>
    <w:rsid w:val="00AA5ECD"/>
    <w:rsid w:val="00AA5F5C"/>
    <w:rsid w:val="00AA5FD3"/>
    <w:rsid w:val="00AA601D"/>
    <w:rsid w:val="00AA605A"/>
    <w:rsid w:val="00AA60F7"/>
    <w:rsid w:val="00AA61B9"/>
    <w:rsid w:val="00AA6202"/>
    <w:rsid w:val="00AA622A"/>
    <w:rsid w:val="00AA654A"/>
    <w:rsid w:val="00AA6799"/>
    <w:rsid w:val="00AA6834"/>
    <w:rsid w:val="00AA6A94"/>
    <w:rsid w:val="00AA6B13"/>
    <w:rsid w:val="00AA6B84"/>
    <w:rsid w:val="00AA6DD5"/>
    <w:rsid w:val="00AA6F97"/>
    <w:rsid w:val="00AA70B2"/>
    <w:rsid w:val="00AA725A"/>
    <w:rsid w:val="00AA73AD"/>
    <w:rsid w:val="00AA73DB"/>
    <w:rsid w:val="00AA747F"/>
    <w:rsid w:val="00AA75BF"/>
    <w:rsid w:val="00AA7615"/>
    <w:rsid w:val="00AA7824"/>
    <w:rsid w:val="00AA7852"/>
    <w:rsid w:val="00AA7861"/>
    <w:rsid w:val="00AA78E0"/>
    <w:rsid w:val="00AA7A0A"/>
    <w:rsid w:val="00AA7A9A"/>
    <w:rsid w:val="00AA7AFC"/>
    <w:rsid w:val="00AA7B06"/>
    <w:rsid w:val="00AA7E3F"/>
    <w:rsid w:val="00AA7E56"/>
    <w:rsid w:val="00AA7F04"/>
    <w:rsid w:val="00AA7F89"/>
    <w:rsid w:val="00AB00BE"/>
    <w:rsid w:val="00AB04BA"/>
    <w:rsid w:val="00AB04F3"/>
    <w:rsid w:val="00AB05D9"/>
    <w:rsid w:val="00AB06E0"/>
    <w:rsid w:val="00AB08B2"/>
    <w:rsid w:val="00AB092D"/>
    <w:rsid w:val="00AB0936"/>
    <w:rsid w:val="00AB0948"/>
    <w:rsid w:val="00AB0B31"/>
    <w:rsid w:val="00AB0B3E"/>
    <w:rsid w:val="00AB0DBA"/>
    <w:rsid w:val="00AB0E96"/>
    <w:rsid w:val="00AB112A"/>
    <w:rsid w:val="00AB12BC"/>
    <w:rsid w:val="00AB1303"/>
    <w:rsid w:val="00AB13B6"/>
    <w:rsid w:val="00AB1459"/>
    <w:rsid w:val="00AB146F"/>
    <w:rsid w:val="00AB14FE"/>
    <w:rsid w:val="00AB1568"/>
    <w:rsid w:val="00AB1582"/>
    <w:rsid w:val="00AB1631"/>
    <w:rsid w:val="00AB1822"/>
    <w:rsid w:val="00AB1980"/>
    <w:rsid w:val="00AB19E0"/>
    <w:rsid w:val="00AB1A09"/>
    <w:rsid w:val="00AB1ACC"/>
    <w:rsid w:val="00AB1B44"/>
    <w:rsid w:val="00AB1C12"/>
    <w:rsid w:val="00AB1FC1"/>
    <w:rsid w:val="00AB1FF3"/>
    <w:rsid w:val="00AB2066"/>
    <w:rsid w:val="00AB24EE"/>
    <w:rsid w:val="00AB25B6"/>
    <w:rsid w:val="00AB26EA"/>
    <w:rsid w:val="00AB27CD"/>
    <w:rsid w:val="00AB2991"/>
    <w:rsid w:val="00AB2A1A"/>
    <w:rsid w:val="00AB2B07"/>
    <w:rsid w:val="00AB2BAE"/>
    <w:rsid w:val="00AB2C71"/>
    <w:rsid w:val="00AB2C7D"/>
    <w:rsid w:val="00AB2F54"/>
    <w:rsid w:val="00AB306A"/>
    <w:rsid w:val="00AB3249"/>
    <w:rsid w:val="00AB3251"/>
    <w:rsid w:val="00AB3369"/>
    <w:rsid w:val="00AB33FB"/>
    <w:rsid w:val="00AB347C"/>
    <w:rsid w:val="00AB34B3"/>
    <w:rsid w:val="00AB34B5"/>
    <w:rsid w:val="00AB34DC"/>
    <w:rsid w:val="00AB351F"/>
    <w:rsid w:val="00AB35BE"/>
    <w:rsid w:val="00AB35D6"/>
    <w:rsid w:val="00AB367E"/>
    <w:rsid w:val="00AB381B"/>
    <w:rsid w:val="00AB39ED"/>
    <w:rsid w:val="00AB3A06"/>
    <w:rsid w:val="00AB3A61"/>
    <w:rsid w:val="00AB3B3D"/>
    <w:rsid w:val="00AB3BA1"/>
    <w:rsid w:val="00AB3C35"/>
    <w:rsid w:val="00AB3C8D"/>
    <w:rsid w:val="00AB3ED4"/>
    <w:rsid w:val="00AB4009"/>
    <w:rsid w:val="00AB4026"/>
    <w:rsid w:val="00AB4197"/>
    <w:rsid w:val="00AB41D8"/>
    <w:rsid w:val="00AB4294"/>
    <w:rsid w:val="00AB43A0"/>
    <w:rsid w:val="00AB4594"/>
    <w:rsid w:val="00AB4649"/>
    <w:rsid w:val="00AB464B"/>
    <w:rsid w:val="00AB482B"/>
    <w:rsid w:val="00AB4843"/>
    <w:rsid w:val="00AB4B41"/>
    <w:rsid w:val="00AB4BCA"/>
    <w:rsid w:val="00AB4EA7"/>
    <w:rsid w:val="00AB522B"/>
    <w:rsid w:val="00AB5334"/>
    <w:rsid w:val="00AB548B"/>
    <w:rsid w:val="00AB565B"/>
    <w:rsid w:val="00AB593C"/>
    <w:rsid w:val="00AB5B38"/>
    <w:rsid w:val="00AB5C8E"/>
    <w:rsid w:val="00AB5DE7"/>
    <w:rsid w:val="00AB5F12"/>
    <w:rsid w:val="00AB5FC4"/>
    <w:rsid w:val="00AB6221"/>
    <w:rsid w:val="00AB6302"/>
    <w:rsid w:val="00AB6363"/>
    <w:rsid w:val="00AB63A0"/>
    <w:rsid w:val="00AB654C"/>
    <w:rsid w:val="00AB6677"/>
    <w:rsid w:val="00AB66F4"/>
    <w:rsid w:val="00AB67D4"/>
    <w:rsid w:val="00AB685F"/>
    <w:rsid w:val="00AB6A04"/>
    <w:rsid w:val="00AB6A1D"/>
    <w:rsid w:val="00AB6C72"/>
    <w:rsid w:val="00AB70BD"/>
    <w:rsid w:val="00AB731F"/>
    <w:rsid w:val="00AB7326"/>
    <w:rsid w:val="00AB7350"/>
    <w:rsid w:val="00AB747D"/>
    <w:rsid w:val="00AB7602"/>
    <w:rsid w:val="00AB76A6"/>
    <w:rsid w:val="00AB7830"/>
    <w:rsid w:val="00AB78C6"/>
    <w:rsid w:val="00AB7958"/>
    <w:rsid w:val="00AB7B46"/>
    <w:rsid w:val="00AB7BF4"/>
    <w:rsid w:val="00AB7CBE"/>
    <w:rsid w:val="00AB7CE0"/>
    <w:rsid w:val="00AB7EBA"/>
    <w:rsid w:val="00AB7F71"/>
    <w:rsid w:val="00AB7FC2"/>
    <w:rsid w:val="00AC000C"/>
    <w:rsid w:val="00AC00EF"/>
    <w:rsid w:val="00AC0427"/>
    <w:rsid w:val="00AC06BC"/>
    <w:rsid w:val="00AC0769"/>
    <w:rsid w:val="00AC09F1"/>
    <w:rsid w:val="00AC0A5A"/>
    <w:rsid w:val="00AC0A6E"/>
    <w:rsid w:val="00AC0A72"/>
    <w:rsid w:val="00AC0C1D"/>
    <w:rsid w:val="00AC0D14"/>
    <w:rsid w:val="00AC0DDE"/>
    <w:rsid w:val="00AC0E13"/>
    <w:rsid w:val="00AC130B"/>
    <w:rsid w:val="00AC130C"/>
    <w:rsid w:val="00AC145E"/>
    <w:rsid w:val="00AC14B5"/>
    <w:rsid w:val="00AC155B"/>
    <w:rsid w:val="00AC1596"/>
    <w:rsid w:val="00AC18EB"/>
    <w:rsid w:val="00AC1902"/>
    <w:rsid w:val="00AC1B19"/>
    <w:rsid w:val="00AC1C24"/>
    <w:rsid w:val="00AC1EAA"/>
    <w:rsid w:val="00AC1FF0"/>
    <w:rsid w:val="00AC212B"/>
    <w:rsid w:val="00AC24E6"/>
    <w:rsid w:val="00AC2541"/>
    <w:rsid w:val="00AC28B3"/>
    <w:rsid w:val="00AC2A25"/>
    <w:rsid w:val="00AC2AB5"/>
    <w:rsid w:val="00AC2C1C"/>
    <w:rsid w:val="00AC2C90"/>
    <w:rsid w:val="00AC2CFB"/>
    <w:rsid w:val="00AC2DC7"/>
    <w:rsid w:val="00AC2E6D"/>
    <w:rsid w:val="00AC2F07"/>
    <w:rsid w:val="00AC3079"/>
    <w:rsid w:val="00AC30B0"/>
    <w:rsid w:val="00AC3369"/>
    <w:rsid w:val="00AC35ED"/>
    <w:rsid w:val="00AC3656"/>
    <w:rsid w:val="00AC3741"/>
    <w:rsid w:val="00AC3826"/>
    <w:rsid w:val="00AC3904"/>
    <w:rsid w:val="00AC3A11"/>
    <w:rsid w:val="00AC3A7F"/>
    <w:rsid w:val="00AC3B99"/>
    <w:rsid w:val="00AC3C3C"/>
    <w:rsid w:val="00AC3C3E"/>
    <w:rsid w:val="00AC3D30"/>
    <w:rsid w:val="00AC3D3F"/>
    <w:rsid w:val="00AC3E2B"/>
    <w:rsid w:val="00AC3F7C"/>
    <w:rsid w:val="00AC401E"/>
    <w:rsid w:val="00AC4050"/>
    <w:rsid w:val="00AC4431"/>
    <w:rsid w:val="00AC456F"/>
    <w:rsid w:val="00AC4674"/>
    <w:rsid w:val="00AC467E"/>
    <w:rsid w:val="00AC4779"/>
    <w:rsid w:val="00AC47B4"/>
    <w:rsid w:val="00AC49EC"/>
    <w:rsid w:val="00AC4A13"/>
    <w:rsid w:val="00AC4C3D"/>
    <w:rsid w:val="00AC4E17"/>
    <w:rsid w:val="00AC4FA5"/>
    <w:rsid w:val="00AC500F"/>
    <w:rsid w:val="00AC5200"/>
    <w:rsid w:val="00AC5367"/>
    <w:rsid w:val="00AC541C"/>
    <w:rsid w:val="00AC5427"/>
    <w:rsid w:val="00AC5429"/>
    <w:rsid w:val="00AC544C"/>
    <w:rsid w:val="00AC54C2"/>
    <w:rsid w:val="00AC553B"/>
    <w:rsid w:val="00AC57C3"/>
    <w:rsid w:val="00AC5ADA"/>
    <w:rsid w:val="00AC5DF2"/>
    <w:rsid w:val="00AC5E32"/>
    <w:rsid w:val="00AC5E39"/>
    <w:rsid w:val="00AC5EE0"/>
    <w:rsid w:val="00AC5FB9"/>
    <w:rsid w:val="00AC5FF5"/>
    <w:rsid w:val="00AC60B5"/>
    <w:rsid w:val="00AC6200"/>
    <w:rsid w:val="00AC620C"/>
    <w:rsid w:val="00AC6263"/>
    <w:rsid w:val="00AC6303"/>
    <w:rsid w:val="00AC6445"/>
    <w:rsid w:val="00AC650D"/>
    <w:rsid w:val="00AC65BA"/>
    <w:rsid w:val="00AC6668"/>
    <w:rsid w:val="00AC681C"/>
    <w:rsid w:val="00AC6839"/>
    <w:rsid w:val="00AC6A22"/>
    <w:rsid w:val="00AC6AEE"/>
    <w:rsid w:val="00AC6B58"/>
    <w:rsid w:val="00AC6D56"/>
    <w:rsid w:val="00AC6EFF"/>
    <w:rsid w:val="00AC6F6F"/>
    <w:rsid w:val="00AC703C"/>
    <w:rsid w:val="00AC716F"/>
    <w:rsid w:val="00AC726E"/>
    <w:rsid w:val="00AC738D"/>
    <w:rsid w:val="00AC739D"/>
    <w:rsid w:val="00AC7453"/>
    <w:rsid w:val="00AC74A0"/>
    <w:rsid w:val="00AC7724"/>
    <w:rsid w:val="00AC77E3"/>
    <w:rsid w:val="00AC7805"/>
    <w:rsid w:val="00AC7993"/>
    <w:rsid w:val="00AC7AA6"/>
    <w:rsid w:val="00AC7C39"/>
    <w:rsid w:val="00AC7CB7"/>
    <w:rsid w:val="00AC7E60"/>
    <w:rsid w:val="00AC7E81"/>
    <w:rsid w:val="00AD0243"/>
    <w:rsid w:val="00AD039E"/>
    <w:rsid w:val="00AD04B3"/>
    <w:rsid w:val="00AD04DC"/>
    <w:rsid w:val="00AD05C4"/>
    <w:rsid w:val="00AD0667"/>
    <w:rsid w:val="00AD0687"/>
    <w:rsid w:val="00AD0710"/>
    <w:rsid w:val="00AD07FD"/>
    <w:rsid w:val="00AD0849"/>
    <w:rsid w:val="00AD08C7"/>
    <w:rsid w:val="00AD0B0C"/>
    <w:rsid w:val="00AD0B10"/>
    <w:rsid w:val="00AD0CB2"/>
    <w:rsid w:val="00AD0D24"/>
    <w:rsid w:val="00AD0DF8"/>
    <w:rsid w:val="00AD1030"/>
    <w:rsid w:val="00AD10B6"/>
    <w:rsid w:val="00AD11E2"/>
    <w:rsid w:val="00AD121C"/>
    <w:rsid w:val="00AD1238"/>
    <w:rsid w:val="00AD12E6"/>
    <w:rsid w:val="00AD138A"/>
    <w:rsid w:val="00AD1487"/>
    <w:rsid w:val="00AD14CD"/>
    <w:rsid w:val="00AD154E"/>
    <w:rsid w:val="00AD1632"/>
    <w:rsid w:val="00AD172A"/>
    <w:rsid w:val="00AD1748"/>
    <w:rsid w:val="00AD18EE"/>
    <w:rsid w:val="00AD1937"/>
    <w:rsid w:val="00AD1ADE"/>
    <w:rsid w:val="00AD1B24"/>
    <w:rsid w:val="00AD1B48"/>
    <w:rsid w:val="00AD1BBC"/>
    <w:rsid w:val="00AD1C38"/>
    <w:rsid w:val="00AD1D3B"/>
    <w:rsid w:val="00AD21B0"/>
    <w:rsid w:val="00AD230A"/>
    <w:rsid w:val="00AD24F3"/>
    <w:rsid w:val="00AD2505"/>
    <w:rsid w:val="00AD2B97"/>
    <w:rsid w:val="00AD2C0A"/>
    <w:rsid w:val="00AD2CDD"/>
    <w:rsid w:val="00AD2E20"/>
    <w:rsid w:val="00AD2E27"/>
    <w:rsid w:val="00AD2E90"/>
    <w:rsid w:val="00AD2EEC"/>
    <w:rsid w:val="00AD2F92"/>
    <w:rsid w:val="00AD320D"/>
    <w:rsid w:val="00AD330F"/>
    <w:rsid w:val="00AD331A"/>
    <w:rsid w:val="00AD33A8"/>
    <w:rsid w:val="00AD340D"/>
    <w:rsid w:val="00AD37E8"/>
    <w:rsid w:val="00AD3889"/>
    <w:rsid w:val="00AD3A19"/>
    <w:rsid w:val="00AD3B27"/>
    <w:rsid w:val="00AD3BC4"/>
    <w:rsid w:val="00AD3C9D"/>
    <w:rsid w:val="00AD3D52"/>
    <w:rsid w:val="00AD3E35"/>
    <w:rsid w:val="00AD3E46"/>
    <w:rsid w:val="00AD3E80"/>
    <w:rsid w:val="00AD3F68"/>
    <w:rsid w:val="00AD3F85"/>
    <w:rsid w:val="00AD406E"/>
    <w:rsid w:val="00AD40D1"/>
    <w:rsid w:val="00AD42FB"/>
    <w:rsid w:val="00AD4311"/>
    <w:rsid w:val="00AD4509"/>
    <w:rsid w:val="00AD4697"/>
    <w:rsid w:val="00AD46CC"/>
    <w:rsid w:val="00AD4761"/>
    <w:rsid w:val="00AD4D0F"/>
    <w:rsid w:val="00AD4E94"/>
    <w:rsid w:val="00AD4ED1"/>
    <w:rsid w:val="00AD5131"/>
    <w:rsid w:val="00AD519B"/>
    <w:rsid w:val="00AD51FA"/>
    <w:rsid w:val="00AD5283"/>
    <w:rsid w:val="00AD53D9"/>
    <w:rsid w:val="00AD5584"/>
    <w:rsid w:val="00AD55C6"/>
    <w:rsid w:val="00AD55E2"/>
    <w:rsid w:val="00AD561F"/>
    <w:rsid w:val="00AD5761"/>
    <w:rsid w:val="00AD583D"/>
    <w:rsid w:val="00AD584C"/>
    <w:rsid w:val="00AD58AC"/>
    <w:rsid w:val="00AD58CC"/>
    <w:rsid w:val="00AD58F0"/>
    <w:rsid w:val="00AD5966"/>
    <w:rsid w:val="00AD5972"/>
    <w:rsid w:val="00AD5A0C"/>
    <w:rsid w:val="00AD5AE0"/>
    <w:rsid w:val="00AD5BCB"/>
    <w:rsid w:val="00AD5BD7"/>
    <w:rsid w:val="00AD5C21"/>
    <w:rsid w:val="00AD5DF5"/>
    <w:rsid w:val="00AD60D0"/>
    <w:rsid w:val="00AD6442"/>
    <w:rsid w:val="00AD64D1"/>
    <w:rsid w:val="00AD6599"/>
    <w:rsid w:val="00AD65FB"/>
    <w:rsid w:val="00AD6756"/>
    <w:rsid w:val="00AD6842"/>
    <w:rsid w:val="00AD6887"/>
    <w:rsid w:val="00AD68A5"/>
    <w:rsid w:val="00AD6B74"/>
    <w:rsid w:val="00AD6C5F"/>
    <w:rsid w:val="00AD6C69"/>
    <w:rsid w:val="00AD6C95"/>
    <w:rsid w:val="00AD6D19"/>
    <w:rsid w:val="00AD6F7D"/>
    <w:rsid w:val="00AD7215"/>
    <w:rsid w:val="00AD726F"/>
    <w:rsid w:val="00AD72A0"/>
    <w:rsid w:val="00AD7433"/>
    <w:rsid w:val="00AD7526"/>
    <w:rsid w:val="00AD76B0"/>
    <w:rsid w:val="00AD7916"/>
    <w:rsid w:val="00AD7A0B"/>
    <w:rsid w:val="00AD7A8C"/>
    <w:rsid w:val="00AD7B29"/>
    <w:rsid w:val="00AD7B72"/>
    <w:rsid w:val="00AD7BAA"/>
    <w:rsid w:val="00AD7BBE"/>
    <w:rsid w:val="00AD7BF3"/>
    <w:rsid w:val="00AD7C45"/>
    <w:rsid w:val="00AD7D57"/>
    <w:rsid w:val="00AD7DE3"/>
    <w:rsid w:val="00AD7E0D"/>
    <w:rsid w:val="00AD7FF6"/>
    <w:rsid w:val="00AE004E"/>
    <w:rsid w:val="00AE0114"/>
    <w:rsid w:val="00AE0125"/>
    <w:rsid w:val="00AE0299"/>
    <w:rsid w:val="00AE030A"/>
    <w:rsid w:val="00AE031C"/>
    <w:rsid w:val="00AE03D7"/>
    <w:rsid w:val="00AE0464"/>
    <w:rsid w:val="00AE05FD"/>
    <w:rsid w:val="00AE0602"/>
    <w:rsid w:val="00AE06EA"/>
    <w:rsid w:val="00AE06F7"/>
    <w:rsid w:val="00AE0709"/>
    <w:rsid w:val="00AE0741"/>
    <w:rsid w:val="00AE07F3"/>
    <w:rsid w:val="00AE0820"/>
    <w:rsid w:val="00AE0896"/>
    <w:rsid w:val="00AE096A"/>
    <w:rsid w:val="00AE0D50"/>
    <w:rsid w:val="00AE0E1A"/>
    <w:rsid w:val="00AE0E41"/>
    <w:rsid w:val="00AE0FB5"/>
    <w:rsid w:val="00AE1118"/>
    <w:rsid w:val="00AE1162"/>
    <w:rsid w:val="00AE1171"/>
    <w:rsid w:val="00AE118D"/>
    <w:rsid w:val="00AE1347"/>
    <w:rsid w:val="00AE140C"/>
    <w:rsid w:val="00AE141E"/>
    <w:rsid w:val="00AE1467"/>
    <w:rsid w:val="00AE1503"/>
    <w:rsid w:val="00AE1684"/>
    <w:rsid w:val="00AE173C"/>
    <w:rsid w:val="00AE1A85"/>
    <w:rsid w:val="00AE1B74"/>
    <w:rsid w:val="00AE1E7E"/>
    <w:rsid w:val="00AE1FD9"/>
    <w:rsid w:val="00AE1FE4"/>
    <w:rsid w:val="00AE1FF5"/>
    <w:rsid w:val="00AE2059"/>
    <w:rsid w:val="00AE209D"/>
    <w:rsid w:val="00AE2216"/>
    <w:rsid w:val="00AE221D"/>
    <w:rsid w:val="00AE2238"/>
    <w:rsid w:val="00AE2258"/>
    <w:rsid w:val="00AE22C9"/>
    <w:rsid w:val="00AE22CA"/>
    <w:rsid w:val="00AE22E9"/>
    <w:rsid w:val="00AE22F7"/>
    <w:rsid w:val="00AE26C4"/>
    <w:rsid w:val="00AE274A"/>
    <w:rsid w:val="00AE27B4"/>
    <w:rsid w:val="00AE2856"/>
    <w:rsid w:val="00AE2885"/>
    <w:rsid w:val="00AE2929"/>
    <w:rsid w:val="00AE29BF"/>
    <w:rsid w:val="00AE2A55"/>
    <w:rsid w:val="00AE2B4F"/>
    <w:rsid w:val="00AE2D7D"/>
    <w:rsid w:val="00AE2E91"/>
    <w:rsid w:val="00AE2EBA"/>
    <w:rsid w:val="00AE2EDD"/>
    <w:rsid w:val="00AE2F06"/>
    <w:rsid w:val="00AE2FD0"/>
    <w:rsid w:val="00AE321F"/>
    <w:rsid w:val="00AE343A"/>
    <w:rsid w:val="00AE34BF"/>
    <w:rsid w:val="00AE354D"/>
    <w:rsid w:val="00AE3654"/>
    <w:rsid w:val="00AE375C"/>
    <w:rsid w:val="00AE37A6"/>
    <w:rsid w:val="00AE391F"/>
    <w:rsid w:val="00AE3939"/>
    <w:rsid w:val="00AE395F"/>
    <w:rsid w:val="00AE3D54"/>
    <w:rsid w:val="00AE40D1"/>
    <w:rsid w:val="00AE41A9"/>
    <w:rsid w:val="00AE41AE"/>
    <w:rsid w:val="00AE4334"/>
    <w:rsid w:val="00AE4487"/>
    <w:rsid w:val="00AE44D3"/>
    <w:rsid w:val="00AE46A4"/>
    <w:rsid w:val="00AE477E"/>
    <w:rsid w:val="00AE478E"/>
    <w:rsid w:val="00AE487A"/>
    <w:rsid w:val="00AE489F"/>
    <w:rsid w:val="00AE4AD8"/>
    <w:rsid w:val="00AE4B7C"/>
    <w:rsid w:val="00AE4C33"/>
    <w:rsid w:val="00AE4CA6"/>
    <w:rsid w:val="00AE4CD2"/>
    <w:rsid w:val="00AE4E0D"/>
    <w:rsid w:val="00AE4E83"/>
    <w:rsid w:val="00AE4EF8"/>
    <w:rsid w:val="00AE4F61"/>
    <w:rsid w:val="00AE5280"/>
    <w:rsid w:val="00AE53CE"/>
    <w:rsid w:val="00AE5413"/>
    <w:rsid w:val="00AE5544"/>
    <w:rsid w:val="00AE55EA"/>
    <w:rsid w:val="00AE56FE"/>
    <w:rsid w:val="00AE5768"/>
    <w:rsid w:val="00AE5846"/>
    <w:rsid w:val="00AE5943"/>
    <w:rsid w:val="00AE5B63"/>
    <w:rsid w:val="00AE5BC6"/>
    <w:rsid w:val="00AE5C13"/>
    <w:rsid w:val="00AE5C2F"/>
    <w:rsid w:val="00AE5C3C"/>
    <w:rsid w:val="00AE5C47"/>
    <w:rsid w:val="00AE5DE7"/>
    <w:rsid w:val="00AE5F41"/>
    <w:rsid w:val="00AE615C"/>
    <w:rsid w:val="00AE61A1"/>
    <w:rsid w:val="00AE62BD"/>
    <w:rsid w:val="00AE62F8"/>
    <w:rsid w:val="00AE6538"/>
    <w:rsid w:val="00AE6681"/>
    <w:rsid w:val="00AE67B6"/>
    <w:rsid w:val="00AE67F5"/>
    <w:rsid w:val="00AE6876"/>
    <w:rsid w:val="00AE68FC"/>
    <w:rsid w:val="00AE6A3A"/>
    <w:rsid w:val="00AE6BFB"/>
    <w:rsid w:val="00AE6C0E"/>
    <w:rsid w:val="00AE6C6B"/>
    <w:rsid w:val="00AE6D1B"/>
    <w:rsid w:val="00AE6D58"/>
    <w:rsid w:val="00AE6D68"/>
    <w:rsid w:val="00AE6D99"/>
    <w:rsid w:val="00AE6F24"/>
    <w:rsid w:val="00AE7061"/>
    <w:rsid w:val="00AE70EA"/>
    <w:rsid w:val="00AE7158"/>
    <w:rsid w:val="00AE71B3"/>
    <w:rsid w:val="00AE7280"/>
    <w:rsid w:val="00AE732D"/>
    <w:rsid w:val="00AE7337"/>
    <w:rsid w:val="00AE73A3"/>
    <w:rsid w:val="00AE7464"/>
    <w:rsid w:val="00AE74FA"/>
    <w:rsid w:val="00AE75C6"/>
    <w:rsid w:val="00AE76AB"/>
    <w:rsid w:val="00AE77D8"/>
    <w:rsid w:val="00AE7844"/>
    <w:rsid w:val="00AE7A83"/>
    <w:rsid w:val="00AE7BA7"/>
    <w:rsid w:val="00AE7BFD"/>
    <w:rsid w:val="00AE7C0F"/>
    <w:rsid w:val="00AE7C8C"/>
    <w:rsid w:val="00AE7D57"/>
    <w:rsid w:val="00AE7D5E"/>
    <w:rsid w:val="00AF00ED"/>
    <w:rsid w:val="00AF015F"/>
    <w:rsid w:val="00AF0171"/>
    <w:rsid w:val="00AF01C9"/>
    <w:rsid w:val="00AF0247"/>
    <w:rsid w:val="00AF02E1"/>
    <w:rsid w:val="00AF0480"/>
    <w:rsid w:val="00AF0502"/>
    <w:rsid w:val="00AF0530"/>
    <w:rsid w:val="00AF063A"/>
    <w:rsid w:val="00AF0689"/>
    <w:rsid w:val="00AF09A2"/>
    <w:rsid w:val="00AF09B4"/>
    <w:rsid w:val="00AF0B9E"/>
    <w:rsid w:val="00AF0D1D"/>
    <w:rsid w:val="00AF0E0D"/>
    <w:rsid w:val="00AF0F32"/>
    <w:rsid w:val="00AF0F7A"/>
    <w:rsid w:val="00AF0F93"/>
    <w:rsid w:val="00AF11CA"/>
    <w:rsid w:val="00AF121E"/>
    <w:rsid w:val="00AF126D"/>
    <w:rsid w:val="00AF127A"/>
    <w:rsid w:val="00AF13A0"/>
    <w:rsid w:val="00AF145B"/>
    <w:rsid w:val="00AF1581"/>
    <w:rsid w:val="00AF15A4"/>
    <w:rsid w:val="00AF15C1"/>
    <w:rsid w:val="00AF166A"/>
    <w:rsid w:val="00AF16DC"/>
    <w:rsid w:val="00AF1764"/>
    <w:rsid w:val="00AF1785"/>
    <w:rsid w:val="00AF18D7"/>
    <w:rsid w:val="00AF194E"/>
    <w:rsid w:val="00AF197F"/>
    <w:rsid w:val="00AF1E4D"/>
    <w:rsid w:val="00AF1E94"/>
    <w:rsid w:val="00AF1ED3"/>
    <w:rsid w:val="00AF201F"/>
    <w:rsid w:val="00AF204E"/>
    <w:rsid w:val="00AF20BA"/>
    <w:rsid w:val="00AF2469"/>
    <w:rsid w:val="00AF24DA"/>
    <w:rsid w:val="00AF25C6"/>
    <w:rsid w:val="00AF2640"/>
    <w:rsid w:val="00AF26E3"/>
    <w:rsid w:val="00AF26F7"/>
    <w:rsid w:val="00AF2774"/>
    <w:rsid w:val="00AF2969"/>
    <w:rsid w:val="00AF298F"/>
    <w:rsid w:val="00AF2CFB"/>
    <w:rsid w:val="00AF2D40"/>
    <w:rsid w:val="00AF2E83"/>
    <w:rsid w:val="00AF2F7A"/>
    <w:rsid w:val="00AF3154"/>
    <w:rsid w:val="00AF31A8"/>
    <w:rsid w:val="00AF31C2"/>
    <w:rsid w:val="00AF3250"/>
    <w:rsid w:val="00AF34C1"/>
    <w:rsid w:val="00AF34D0"/>
    <w:rsid w:val="00AF39A0"/>
    <w:rsid w:val="00AF39C0"/>
    <w:rsid w:val="00AF3A8C"/>
    <w:rsid w:val="00AF3D6F"/>
    <w:rsid w:val="00AF3D99"/>
    <w:rsid w:val="00AF4117"/>
    <w:rsid w:val="00AF41C0"/>
    <w:rsid w:val="00AF433B"/>
    <w:rsid w:val="00AF4353"/>
    <w:rsid w:val="00AF481B"/>
    <w:rsid w:val="00AF48E1"/>
    <w:rsid w:val="00AF4979"/>
    <w:rsid w:val="00AF4B51"/>
    <w:rsid w:val="00AF4B90"/>
    <w:rsid w:val="00AF4DF2"/>
    <w:rsid w:val="00AF4E29"/>
    <w:rsid w:val="00AF4F38"/>
    <w:rsid w:val="00AF511A"/>
    <w:rsid w:val="00AF5206"/>
    <w:rsid w:val="00AF55E3"/>
    <w:rsid w:val="00AF565B"/>
    <w:rsid w:val="00AF56B1"/>
    <w:rsid w:val="00AF570E"/>
    <w:rsid w:val="00AF5761"/>
    <w:rsid w:val="00AF5891"/>
    <w:rsid w:val="00AF59B0"/>
    <w:rsid w:val="00AF59FF"/>
    <w:rsid w:val="00AF5A49"/>
    <w:rsid w:val="00AF5B2D"/>
    <w:rsid w:val="00AF5BFF"/>
    <w:rsid w:val="00AF5D5E"/>
    <w:rsid w:val="00AF5D91"/>
    <w:rsid w:val="00AF5E47"/>
    <w:rsid w:val="00AF624F"/>
    <w:rsid w:val="00AF6278"/>
    <w:rsid w:val="00AF62B9"/>
    <w:rsid w:val="00AF62F6"/>
    <w:rsid w:val="00AF6365"/>
    <w:rsid w:val="00AF64A2"/>
    <w:rsid w:val="00AF66F8"/>
    <w:rsid w:val="00AF671D"/>
    <w:rsid w:val="00AF686A"/>
    <w:rsid w:val="00AF6965"/>
    <w:rsid w:val="00AF6A0D"/>
    <w:rsid w:val="00AF6A51"/>
    <w:rsid w:val="00AF6A89"/>
    <w:rsid w:val="00AF6C29"/>
    <w:rsid w:val="00AF6C80"/>
    <w:rsid w:val="00AF6D1E"/>
    <w:rsid w:val="00AF6D69"/>
    <w:rsid w:val="00AF6E9F"/>
    <w:rsid w:val="00AF6F2D"/>
    <w:rsid w:val="00AF724D"/>
    <w:rsid w:val="00AF7332"/>
    <w:rsid w:val="00AF73AB"/>
    <w:rsid w:val="00AF73FC"/>
    <w:rsid w:val="00AF7506"/>
    <w:rsid w:val="00AF752F"/>
    <w:rsid w:val="00AF76AD"/>
    <w:rsid w:val="00AF7794"/>
    <w:rsid w:val="00AF78E1"/>
    <w:rsid w:val="00AF7994"/>
    <w:rsid w:val="00AF79AC"/>
    <w:rsid w:val="00AF79B3"/>
    <w:rsid w:val="00AF7A1A"/>
    <w:rsid w:val="00AF7B51"/>
    <w:rsid w:val="00AF7B77"/>
    <w:rsid w:val="00AF7DDE"/>
    <w:rsid w:val="00AF7F35"/>
    <w:rsid w:val="00B00047"/>
    <w:rsid w:val="00B001C0"/>
    <w:rsid w:val="00B001E2"/>
    <w:rsid w:val="00B0027F"/>
    <w:rsid w:val="00B00529"/>
    <w:rsid w:val="00B0057C"/>
    <w:rsid w:val="00B005C8"/>
    <w:rsid w:val="00B0071A"/>
    <w:rsid w:val="00B007A5"/>
    <w:rsid w:val="00B007B7"/>
    <w:rsid w:val="00B007BB"/>
    <w:rsid w:val="00B00829"/>
    <w:rsid w:val="00B00ABA"/>
    <w:rsid w:val="00B00D58"/>
    <w:rsid w:val="00B00DCC"/>
    <w:rsid w:val="00B00E00"/>
    <w:rsid w:val="00B00FF0"/>
    <w:rsid w:val="00B011C2"/>
    <w:rsid w:val="00B0124C"/>
    <w:rsid w:val="00B01307"/>
    <w:rsid w:val="00B01320"/>
    <w:rsid w:val="00B01400"/>
    <w:rsid w:val="00B01614"/>
    <w:rsid w:val="00B016A6"/>
    <w:rsid w:val="00B01815"/>
    <w:rsid w:val="00B0188D"/>
    <w:rsid w:val="00B01BBD"/>
    <w:rsid w:val="00B01BD5"/>
    <w:rsid w:val="00B01D81"/>
    <w:rsid w:val="00B01EA4"/>
    <w:rsid w:val="00B01EFA"/>
    <w:rsid w:val="00B01F73"/>
    <w:rsid w:val="00B0216F"/>
    <w:rsid w:val="00B021CD"/>
    <w:rsid w:val="00B0225B"/>
    <w:rsid w:val="00B022EF"/>
    <w:rsid w:val="00B022FB"/>
    <w:rsid w:val="00B0231B"/>
    <w:rsid w:val="00B0240E"/>
    <w:rsid w:val="00B024C2"/>
    <w:rsid w:val="00B024EF"/>
    <w:rsid w:val="00B025CB"/>
    <w:rsid w:val="00B0260C"/>
    <w:rsid w:val="00B02727"/>
    <w:rsid w:val="00B02829"/>
    <w:rsid w:val="00B0290B"/>
    <w:rsid w:val="00B02971"/>
    <w:rsid w:val="00B029AC"/>
    <w:rsid w:val="00B029E5"/>
    <w:rsid w:val="00B02A76"/>
    <w:rsid w:val="00B02AB5"/>
    <w:rsid w:val="00B02C03"/>
    <w:rsid w:val="00B02C7E"/>
    <w:rsid w:val="00B02D4E"/>
    <w:rsid w:val="00B02E67"/>
    <w:rsid w:val="00B02F13"/>
    <w:rsid w:val="00B02F52"/>
    <w:rsid w:val="00B02FB1"/>
    <w:rsid w:val="00B03071"/>
    <w:rsid w:val="00B03116"/>
    <w:rsid w:val="00B0329C"/>
    <w:rsid w:val="00B034E5"/>
    <w:rsid w:val="00B035CE"/>
    <w:rsid w:val="00B037C2"/>
    <w:rsid w:val="00B03A51"/>
    <w:rsid w:val="00B03B60"/>
    <w:rsid w:val="00B03BB0"/>
    <w:rsid w:val="00B03CC8"/>
    <w:rsid w:val="00B03D62"/>
    <w:rsid w:val="00B03D91"/>
    <w:rsid w:val="00B03DE2"/>
    <w:rsid w:val="00B03E9A"/>
    <w:rsid w:val="00B03EA9"/>
    <w:rsid w:val="00B03F28"/>
    <w:rsid w:val="00B03F6F"/>
    <w:rsid w:val="00B04013"/>
    <w:rsid w:val="00B040AF"/>
    <w:rsid w:val="00B041BB"/>
    <w:rsid w:val="00B041FB"/>
    <w:rsid w:val="00B04215"/>
    <w:rsid w:val="00B04448"/>
    <w:rsid w:val="00B0447F"/>
    <w:rsid w:val="00B0464A"/>
    <w:rsid w:val="00B0481D"/>
    <w:rsid w:val="00B048B2"/>
    <w:rsid w:val="00B048F6"/>
    <w:rsid w:val="00B049E1"/>
    <w:rsid w:val="00B04A4A"/>
    <w:rsid w:val="00B04BDC"/>
    <w:rsid w:val="00B050AA"/>
    <w:rsid w:val="00B0516D"/>
    <w:rsid w:val="00B05171"/>
    <w:rsid w:val="00B052A6"/>
    <w:rsid w:val="00B0539E"/>
    <w:rsid w:val="00B054BC"/>
    <w:rsid w:val="00B054D7"/>
    <w:rsid w:val="00B055D6"/>
    <w:rsid w:val="00B0561E"/>
    <w:rsid w:val="00B05848"/>
    <w:rsid w:val="00B0593E"/>
    <w:rsid w:val="00B0594B"/>
    <w:rsid w:val="00B059A6"/>
    <w:rsid w:val="00B05A04"/>
    <w:rsid w:val="00B05A4D"/>
    <w:rsid w:val="00B05AB5"/>
    <w:rsid w:val="00B05B05"/>
    <w:rsid w:val="00B05B13"/>
    <w:rsid w:val="00B05B9D"/>
    <w:rsid w:val="00B05C6C"/>
    <w:rsid w:val="00B05C7B"/>
    <w:rsid w:val="00B05D93"/>
    <w:rsid w:val="00B05DBF"/>
    <w:rsid w:val="00B05E6C"/>
    <w:rsid w:val="00B05E81"/>
    <w:rsid w:val="00B06085"/>
    <w:rsid w:val="00B060EA"/>
    <w:rsid w:val="00B06206"/>
    <w:rsid w:val="00B06347"/>
    <w:rsid w:val="00B06430"/>
    <w:rsid w:val="00B0655D"/>
    <w:rsid w:val="00B065DE"/>
    <w:rsid w:val="00B06810"/>
    <w:rsid w:val="00B06870"/>
    <w:rsid w:val="00B06895"/>
    <w:rsid w:val="00B068AB"/>
    <w:rsid w:val="00B06B5E"/>
    <w:rsid w:val="00B06C97"/>
    <w:rsid w:val="00B06DEA"/>
    <w:rsid w:val="00B06E5B"/>
    <w:rsid w:val="00B06EF4"/>
    <w:rsid w:val="00B06F61"/>
    <w:rsid w:val="00B0718A"/>
    <w:rsid w:val="00B07289"/>
    <w:rsid w:val="00B072E2"/>
    <w:rsid w:val="00B076D0"/>
    <w:rsid w:val="00B077C8"/>
    <w:rsid w:val="00B07954"/>
    <w:rsid w:val="00B0797E"/>
    <w:rsid w:val="00B079F4"/>
    <w:rsid w:val="00B07A00"/>
    <w:rsid w:val="00B07A97"/>
    <w:rsid w:val="00B07D60"/>
    <w:rsid w:val="00B07E86"/>
    <w:rsid w:val="00B07F8C"/>
    <w:rsid w:val="00B100F8"/>
    <w:rsid w:val="00B1019B"/>
    <w:rsid w:val="00B101D9"/>
    <w:rsid w:val="00B10284"/>
    <w:rsid w:val="00B10377"/>
    <w:rsid w:val="00B1055E"/>
    <w:rsid w:val="00B107FC"/>
    <w:rsid w:val="00B10808"/>
    <w:rsid w:val="00B10927"/>
    <w:rsid w:val="00B10B90"/>
    <w:rsid w:val="00B10C19"/>
    <w:rsid w:val="00B10D4B"/>
    <w:rsid w:val="00B10DF8"/>
    <w:rsid w:val="00B10E19"/>
    <w:rsid w:val="00B10E3E"/>
    <w:rsid w:val="00B11043"/>
    <w:rsid w:val="00B110B3"/>
    <w:rsid w:val="00B11155"/>
    <w:rsid w:val="00B111EF"/>
    <w:rsid w:val="00B1126C"/>
    <w:rsid w:val="00B11353"/>
    <w:rsid w:val="00B1141E"/>
    <w:rsid w:val="00B11424"/>
    <w:rsid w:val="00B115B3"/>
    <w:rsid w:val="00B118AE"/>
    <w:rsid w:val="00B11A57"/>
    <w:rsid w:val="00B11AEE"/>
    <w:rsid w:val="00B11B24"/>
    <w:rsid w:val="00B11C41"/>
    <w:rsid w:val="00B11DF6"/>
    <w:rsid w:val="00B11F37"/>
    <w:rsid w:val="00B1202F"/>
    <w:rsid w:val="00B120ED"/>
    <w:rsid w:val="00B120EE"/>
    <w:rsid w:val="00B121BB"/>
    <w:rsid w:val="00B121D3"/>
    <w:rsid w:val="00B121FC"/>
    <w:rsid w:val="00B1224C"/>
    <w:rsid w:val="00B122C3"/>
    <w:rsid w:val="00B122F2"/>
    <w:rsid w:val="00B12361"/>
    <w:rsid w:val="00B123A1"/>
    <w:rsid w:val="00B12531"/>
    <w:rsid w:val="00B12770"/>
    <w:rsid w:val="00B1285A"/>
    <w:rsid w:val="00B12894"/>
    <w:rsid w:val="00B12A7B"/>
    <w:rsid w:val="00B12B70"/>
    <w:rsid w:val="00B12B9E"/>
    <w:rsid w:val="00B12C2F"/>
    <w:rsid w:val="00B12C36"/>
    <w:rsid w:val="00B12D89"/>
    <w:rsid w:val="00B12D8A"/>
    <w:rsid w:val="00B13008"/>
    <w:rsid w:val="00B132B1"/>
    <w:rsid w:val="00B1330E"/>
    <w:rsid w:val="00B13402"/>
    <w:rsid w:val="00B13410"/>
    <w:rsid w:val="00B13531"/>
    <w:rsid w:val="00B135EE"/>
    <w:rsid w:val="00B1373E"/>
    <w:rsid w:val="00B1399E"/>
    <w:rsid w:val="00B13EF3"/>
    <w:rsid w:val="00B13F0D"/>
    <w:rsid w:val="00B140DB"/>
    <w:rsid w:val="00B1428D"/>
    <w:rsid w:val="00B142D4"/>
    <w:rsid w:val="00B14339"/>
    <w:rsid w:val="00B1435D"/>
    <w:rsid w:val="00B14514"/>
    <w:rsid w:val="00B1455B"/>
    <w:rsid w:val="00B1458E"/>
    <w:rsid w:val="00B146EA"/>
    <w:rsid w:val="00B146FE"/>
    <w:rsid w:val="00B1478B"/>
    <w:rsid w:val="00B1498A"/>
    <w:rsid w:val="00B14999"/>
    <w:rsid w:val="00B14A3D"/>
    <w:rsid w:val="00B14A4C"/>
    <w:rsid w:val="00B14A90"/>
    <w:rsid w:val="00B14B4D"/>
    <w:rsid w:val="00B14E20"/>
    <w:rsid w:val="00B15019"/>
    <w:rsid w:val="00B1504D"/>
    <w:rsid w:val="00B15163"/>
    <w:rsid w:val="00B15472"/>
    <w:rsid w:val="00B155F5"/>
    <w:rsid w:val="00B15713"/>
    <w:rsid w:val="00B15801"/>
    <w:rsid w:val="00B15887"/>
    <w:rsid w:val="00B1592B"/>
    <w:rsid w:val="00B159B0"/>
    <w:rsid w:val="00B15A88"/>
    <w:rsid w:val="00B15D2B"/>
    <w:rsid w:val="00B15FB4"/>
    <w:rsid w:val="00B16268"/>
    <w:rsid w:val="00B164C9"/>
    <w:rsid w:val="00B16591"/>
    <w:rsid w:val="00B166E4"/>
    <w:rsid w:val="00B16747"/>
    <w:rsid w:val="00B167FE"/>
    <w:rsid w:val="00B16831"/>
    <w:rsid w:val="00B16874"/>
    <w:rsid w:val="00B16927"/>
    <w:rsid w:val="00B16956"/>
    <w:rsid w:val="00B16A1E"/>
    <w:rsid w:val="00B16AFE"/>
    <w:rsid w:val="00B16B08"/>
    <w:rsid w:val="00B16C7D"/>
    <w:rsid w:val="00B16D29"/>
    <w:rsid w:val="00B16D69"/>
    <w:rsid w:val="00B16DFE"/>
    <w:rsid w:val="00B16E5F"/>
    <w:rsid w:val="00B16FE9"/>
    <w:rsid w:val="00B16FEF"/>
    <w:rsid w:val="00B17178"/>
    <w:rsid w:val="00B171C6"/>
    <w:rsid w:val="00B17341"/>
    <w:rsid w:val="00B1734C"/>
    <w:rsid w:val="00B17495"/>
    <w:rsid w:val="00B17830"/>
    <w:rsid w:val="00B17943"/>
    <w:rsid w:val="00B17B31"/>
    <w:rsid w:val="00B200E5"/>
    <w:rsid w:val="00B201D4"/>
    <w:rsid w:val="00B20201"/>
    <w:rsid w:val="00B20223"/>
    <w:rsid w:val="00B202B1"/>
    <w:rsid w:val="00B20300"/>
    <w:rsid w:val="00B204D3"/>
    <w:rsid w:val="00B204D9"/>
    <w:rsid w:val="00B2062E"/>
    <w:rsid w:val="00B207B2"/>
    <w:rsid w:val="00B207B7"/>
    <w:rsid w:val="00B209A4"/>
    <w:rsid w:val="00B209F6"/>
    <w:rsid w:val="00B20BFF"/>
    <w:rsid w:val="00B20DF9"/>
    <w:rsid w:val="00B21130"/>
    <w:rsid w:val="00B21181"/>
    <w:rsid w:val="00B215C7"/>
    <w:rsid w:val="00B215C9"/>
    <w:rsid w:val="00B2167F"/>
    <w:rsid w:val="00B21752"/>
    <w:rsid w:val="00B2177C"/>
    <w:rsid w:val="00B217F7"/>
    <w:rsid w:val="00B219CB"/>
    <w:rsid w:val="00B21A4F"/>
    <w:rsid w:val="00B21A5A"/>
    <w:rsid w:val="00B21AE0"/>
    <w:rsid w:val="00B21C63"/>
    <w:rsid w:val="00B21CEE"/>
    <w:rsid w:val="00B21D6C"/>
    <w:rsid w:val="00B21DC5"/>
    <w:rsid w:val="00B21E4C"/>
    <w:rsid w:val="00B21EE7"/>
    <w:rsid w:val="00B21F76"/>
    <w:rsid w:val="00B221AA"/>
    <w:rsid w:val="00B22213"/>
    <w:rsid w:val="00B22263"/>
    <w:rsid w:val="00B222B8"/>
    <w:rsid w:val="00B222EE"/>
    <w:rsid w:val="00B22303"/>
    <w:rsid w:val="00B2236E"/>
    <w:rsid w:val="00B223F4"/>
    <w:rsid w:val="00B2249F"/>
    <w:rsid w:val="00B2269B"/>
    <w:rsid w:val="00B228F0"/>
    <w:rsid w:val="00B2293C"/>
    <w:rsid w:val="00B2295F"/>
    <w:rsid w:val="00B22AA7"/>
    <w:rsid w:val="00B22D01"/>
    <w:rsid w:val="00B22DC1"/>
    <w:rsid w:val="00B22DDA"/>
    <w:rsid w:val="00B22E10"/>
    <w:rsid w:val="00B22EAD"/>
    <w:rsid w:val="00B22EE4"/>
    <w:rsid w:val="00B23401"/>
    <w:rsid w:val="00B23558"/>
    <w:rsid w:val="00B235E9"/>
    <w:rsid w:val="00B2363C"/>
    <w:rsid w:val="00B23686"/>
    <w:rsid w:val="00B2370F"/>
    <w:rsid w:val="00B237C9"/>
    <w:rsid w:val="00B23830"/>
    <w:rsid w:val="00B2386C"/>
    <w:rsid w:val="00B23B9F"/>
    <w:rsid w:val="00B23BA4"/>
    <w:rsid w:val="00B23EB4"/>
    <w:rsid w:val="00B24074"/>
    <w:rsid w:val="00B240F0"/>
    <w:rsid w:val="00B240FF"/>
    <w:rsid w:val="00B2413F"/>
    <w:rsid w:val="00B2416C"/>
    <w:rsid w:val="00B24207"/>
    <w:rsid w:val="00B242B6"/>
    <w:rsid w:val="00B243A9"/>
    <w:rsid w:val="00B2456C"/>
    <w:rsid w:val="00B245D5"/>
    <w:rsid w:val="00B247CC"/>
    <w:rsid w:val="00B24911"/>
    <w:rsid w:val="00B24974"/>
    <w:rsid w:val="00B24A3A"/>
    <w:rsid w:val="00B24A60"/>
    <w:rsid w:val="00B24BDA"/>
    <w:rsid w:val="00B24D91"/>
    <w:rsid w:val="00B24E09"/>
    <w:rsid w:val="00B24F29"/>
    <w:rsid w:val="00B24F57"/>
    <w:rsid w:val="00B24F62"/>
    <w:rsid w:val="00B2515E"/>
    <w:rsid w:val="00B251AD"/>
    <w:rsid w:val="00B2520E"/>
    <w:rsid w:val="00B252C2"/>
    <w:rsid w:val="00B25365"/>
    <w:rsid w:val="00B254E1"/>
    <w:rsid w:val="00B25618"/>
    <w:rsid w:val="00B2573A"/>
    <w:rsid w:val="00B257B0"/>
    <w:rsid w:val="00B257B6"/>
    <w:rsid w:val="00B25865"/>
    <w:rsid w:val="00B25BD1"/>
    <w:rsid w:val="00B25D0F"/>
    <w:rsid w:val="00B25EF3"/>
    <w:rsid w:val="00B25FB3"/>
    <w:rsid w:val="00B25FE0"/>
    <w:rsid w:val="00B2605E"/>
    <w:rsid w:val="00B2613A"/>
    <w:rsid w:val="00B26234"/>
    <w:rsid w:val="00B262C8"/>
    <w:rsid w:val="00B264C2"/>
    <w:rsid w:val="00B2664A"/>
    <w:rsid w:val="00B26657"/>
    <w:rsid w:val="00B26917"/>
    <w:rsid w:val="00B26ACF"/>
    <w:rsid w:val="00B26B6F"/>
    <w:rsid w:val="00B26BA5"/>
    <w:rsid w:val="00B26C68"/>
    <w:rsid w:val="00B26E20"/>
    <w:rsid w:val="00B26EEB"/>
    <w:rsid w:val="00B27341"/>
    <w:rsid w:val="00B27602"/>
    <w:rsid w:val="00B277D0"/>
    <w:rsid w:val="00B27A5E"/>
    <w:rsid w:val="00B27A62"/>
    <w:rsid w:val="00B27A66"/>
    <w:rsid w:val="00B27A77"/>
    <w:rsid w:val="00B27B0C"/>
    <w:rsid w:val="00B27BAE"/>
    <w:rsid w:val="00B27D6C"/>
    <w:rsid w:val="00B27F21"/>
    <w:rsid w:val="00B30057"/>
    <w:rsid w:val="00B30068"/>
    <w:rsid w:val="00B3019E"/>
    <w:rsid w:val="00B30302"/>
    <w:rsid w:val="00B30311"/>
    <w:rsid w:val="00B3037F"/>
    <w:rsid w:val="00B305B9"/>
    <w:rsid w:val="00B305C5"/>
    <w:rsid w:val="00B30666"/>
    <w:rsid w:val="00B30688"/>
    <w:rsid w:val="00B307AF"/>
    <w:rsid w:val="00B30855"/>
    <w:rsid w:val="00B30862"/>
    <w:rsid w:val="00B30894"/>
    <w:rsid w:val="00B3095F"/>
    <w:rsid w:val="00B30D4E"/>
    <w:rsid w:val="00B30ED7"/>
    <w:rsid w:val="00B30FDE"/>
    <w:rsid w:val="00B31018"/>
    <w:rsid w:val="00B3102A"/>
    <w:rsid w:val="00B310A8"/>
    <w:rsid w:val="00B31116"/>
    <w:rsid w:val="00B31215"/>
    <w:rsid w:val="00B31268"/>
    <w:rsid w:val="00B312C0"/>
    <w:rsid w:val="00B3130A"/>
    <w:rsid w:val="00B3156F"/>
    <w:rsid w:val="00B3161B"/>
    <w:rsid w:val="00B316A2"/>
    <w:rsid w:val="00B319C4"/>
    <w:rsid w:val="00B319EE"/>
    <w:rsid w:val="00B31B22"/>
    <w:rsid w:val="00B31B4E"/>
    <w:rsid w:val="00B31CEE"/>
    <w:rsid w:val="00B31CFB"/>
    <w:rsid w:val="00B31ED4"/>
    <w:rsid w:val="00B323C4"/>
    <w:rsid w:val="00B3246B"/>
    <w:rsid w:val="00B325B9"/>
    <w:rsid w:val="00B328BA"/>
    <w:rsid w:val="00B32947"/>
    <w:rsid w:val="00B32A3B"/>
    <w:rsid w:val="00B32A4B"/>
    <w:rsid w:val="00B32B38"/>
    <w:rsid w:val="00B32B8C"/>
    <w:rsid w:val="00B32B9A"/>
    <w:rsid w:val="00B32C26"/>
    <w:rsid w:val="00B32DC9"/>
    <w:rsid w:val="00B32E89"/>
    <w:rsid w:val="00B32EA9"/>
    <w:rsid w:val="00B330FD"/>
    <w:rsid w:val="00B33252"/>
    <w:rsid w:val="00B33271"/>
    <w:rsid w:val="00B33281"/>
    <w:rsid w:val="00B33363"/>
    <w:rsid w:val="00B334A4"/>
    <w:rsid w:val="00B3355A"/>
    <w:rsid w:val="00B33561"/>
    <w:rsid w:val="00B33943"/>
    <w:rsid w:val="00B3397B"/>
    <w:rsid w:val="00B33B8E"/>
    <w:rsid w:val="00B33C52"/>
    <w:rsid w:val="00B34014"/>
    <w:rsid w:val="00B340AA"/>
    <w:rsid w:val="00B34262"/>
    <w:rsid w:val="00B34312"/>
    <w:rsid w:val="00B34315"/>
    <w:rsid w:val="00B343BD"/>
    <w:rsid w:val="00B34429"/>
    <w:rsid w:val="00B345E9"/>
    <w:rsid w:val="00B346B6"/>
    <w:rsid w:val="00B3473C"/>
    <w:rsid w:val="00B348E1"/>
    <w:rsid w:val="00B34931"/>
    <w:rsid w:val="00B34935"/>
    <w:rsid w:val="00B34A6F"/>
    <w:rsid w:val="00B34C76"/>
    <w:rsid w:val="00B34C97"/>
    <w:rsid w:val="00B34CE7"/>
    <w:rsid w:val="00B34E1B"/>
    <w:rsid w:val="00B34EA2"/>
    <w:rsid w:val="00B34EB2"/>
    <w:rsid w:val="00B34ECD"/>
    <w:rsid w:val="00B350BA"/>
    <w:rsid w:val="00B3511C"/>
    <w:rsid w:val="00B35301"/>
    <w:rsid w:val="00B3537B"/>
    <w:rsid w:val="00B35397"/>
    <w:rsid w:val="00B353DD"/>
    <w:rsid w:val="00B354F5"/>
    <w:rsid w:val="00B357BD"/>
    <w:rsid w:val="00B357EB"/>
    <w:rsid w:val="00B35827"/>
    <w:rsid w:val="00B35960"/>
    <w:rsid w:val="00B359EF"/>
    <w:rsid w:val="00B35BF9"/>
    <w:rsid w:val="00B35D62"/>
    <w:rsid w:val="00B35DDC"/>
    <w:rsid w:val="00B35EFE"/>
    <w:rsid w:val="00B36165"/>
    <w:rsid w:val="00B36197"/>
    <w:rsid w:val="00B361C5"/>
    <w:rsid w:val="00B3660C"/>
    <w:rsid w:val="00B36845"/>
    <w:rsid w:val="00B36894"/>
    <w:rsid w:val="00B36966"/>
    <w:rsid w:val="00B36A3B"/>
    <w:rsid w:val="00B36AC1"/>
    <w:rsid w:val="00B36BEB"/>
    <w:rsid w:val="00B36C55"/>
    <w:rsid w:val="00B36CBC"/>
    <w:rsid w:val="00B36CFE"/>
    <w:rsid w:val="00B36D4A"/>
    <w:rsid w:val="00B36D5D"/>
    <w:rsid w:val="00B36F7E"/>
    <w:rsid w:val="00B370C2"/>
    <w:rsid w:val="00B3712A"/>
    <w:rsid w:val="00B37169"/>
    <w:rsid w:val="00B373DA"/>
    <w:rsid w:val="00B37518"/>
    <w:rsid w:val="00B37728"/>
    <w:rsid w:val="00B37756"/>
    <w:rsid w:val="00B378EF"/>
    <w:rsid w:val="00B37B16"/>
    <w:rsid w:val="00B37C64"/>
    <w:rsid w:val="00B37D41"/>
    <w:rsid w:val="00B37E2A"/>
    <w:rsid w:val="00B37E32"/>
    <w:rsid w:val="00B37E4D"/>
    <w:rsid w:val="00B37FF0"/>
    <w:rsid w:val="00B40119"/>
    <w:rsid w:val="00B4016A"/>
    <w:rsid w:val="00B40390"/>
    <w:rsid w:val="00B403CF"/>
    <w:rsid w:val="00B403FC"/>
    <w:rsid w:val="00B4042A"/>
    <w:rsid w:val="00B40491"/>
    <w:rsid w:val="00B405A1"/>
    <w:rsid w:val="00B4060C"/>
    <w:rsid w:val="00B40901"/>
    <w:rsid w:val="00B40D57"/>
    <w:rsid w:val="00B40DAF"/>
    <w:rsid w:val="00B40DD0"/>
    <w:rsid w:val="00B40E25"/>
    <w:rsid w:val="00B40E73"/>
    <w:rsid w:val="00B40FF3"/>
    <w:rsid w:val="00B4100F"/>
    <w:rsid w:val="00B41033"/>
    <w:rsid w:val="00B41049"/>
    <w:rsid w:val="00B410D9"/>
    <w:rsid w:val="00B411D1"/>
    <w:rsid w:val="00B411F1"/>
    <w:rsid w:val="00B4121F"/>
    <w:rsid w:val="00B41258"/>
    <w:rsid w:val="00B41320"/>
    <w:rsid w:val="00B41366"/>
    <w:rsid w:val="00B41500"/>
    <w:rsid w:val="00B41607"/>
    <w:rsid w:val="00B41736"/>
    <w:rsid w:val="00B41A1F"/>
    <w:rsid w:val="00B41A3F"/>
    <w:rsid w:val="00B41C06"/>
    <w:rsid w:val="00B41D9D"/>
    <w:rsid w:val="00B41E6C"/>
    <w:rsid w:val="00B42034"/>
    <w:rsid w:val="00B4211E"/>
    <w:rsid w:val="00B42133"/>
    <w:rsid w:val="00B422CF"/>
    <w:rsid w:val="00B422ED"/>
    <w:rsid w:val="00B42349"/>
    <w:rsid w:val="00B4246E"/>
    <w:rsid w:val="00B42631"/>
    <w:rsid w:val="00B427FB"/>
    <w:rsid w:val="00B4296B"/>
    <w:rsid w:val="00B42988"/>
    <w:rsid w:val="00B429E5"/>
    <w:rsid w:val="00B42A05"/>
    <w:rsid w:val="00B42A47"/>
    <w:rsid w:val="00B42B3D"/>
    <w:rsid w:val="00B42CD1"/>
    <w:rsid w:val="00B42EB4"/>
    <w:rsid w:val="00B43009"/>
    <w:rsid w:val="00B4306D"/>
    <w:rsid w:val="00B43160"/>
    <w:rsid w:val="00B4367F"/>
    <w:rsid w:val="00B438BB"/>
    <w:rsid w:val="00B43903"/>
    <w:rsid w:val="00B4399B"/>
    <w:rsid w:val="00B43A0F"/>
    <w:rsid w:val="00B43A70"/>
    <w:rsid w:val="00B43B82"/>
    <w:rsid w:val="00B43C38"/>
    <w:rsid w:val="00B43C53"/>
    <w:rsid w:val="00B43F14"/>
    <w:rsid w:val="00B43F7D"/>
    <w:rsid w:val="00B440E0"/>
    <w:rsid w:val="00B44192"/>
    <w:rsid w:val="00B441DB"/>
    <w:rsid w:val="00B4435D"/>
    <w:rsid w:val="00B4436C"/>
    <w:rsid w:val="00B4439F"/>
    <w:rsid w:val="00B449B0"/>
    <w:rsid w:val="00B44AF1"/>
    <w:rsid w:val="00B44D50"/>
    <w:rsid w:val="00B44F41"/>
    <w:rsid w:val="00B45613"/>
    <w:rsid w:val="00B4576E"/>
    <w:rsid w:val="00B45ABF"/>
    <w:rsid w:val="00B45ACC"/>
    <w:rsid w:val="00B45B54"/>
    <w:rsid w:val="00B45BF0"/>
    <w:rsid w:val="00B45D8B"/>
    <w:rsid w:val="00B45EFD"/>
    <w:rsid w:val="00B45F23"/>
    <w:rsid w:val="00B4608D"/>
    <w:rsid w:val="00B46169"/>
    <w:rsid w:val="00B46305"/>
    <w:rsid w:val="00B46325"/>
    <w:rsid w:val="00B46358"/>
    <w:rsid w:val="00B46413"/>
    <w:rsid w:val="00B466C6"/>
    <w:rsid w:val="00B466DE"/>
    <w:rsid w:val="00B467AD"/>
    <w:rsid w:val="00B467C8"/>
    <w:rsid w:val="00B4687D"/>
    <w:rsid w:val="00B468E4"/>
    <w:rsid w:val="00B468EF"/>
    <w:rsid w:val="00B46902"/>
    <w:rsid w:val="00B469E3"/>
    <w:rsid w:val="00B46C76"/>
    <w:rsid w:val="00B46CB6"/>
    <w:rsid w:val="00B46D58"/>
    <w:rsid w:val="00B46F6B"/>
    <w:rsid w:val="00B47005"/>
    <w:rsid w:val="00B47180"/>
    <w:rsid w:val="00B47214"/>
    <w:rsid w:val="00B4722B"/>
    <w:rsid w:val="00B472D3"/>
    <w:rsid w:val="00B473F7"/>
    <w:rsid w:val="00B47497"/>
    <w:rsid w:val="00B47506"/>
    <w:rsid w:val="00B47570"/>
    <w:rsid w:val="00B476A5"/>
    <w:rsid w:val="00B47B2F"/>
    <w:rsid w:val="00B47BC3"/>
    <w:rsid w:val="00B47D48"/>
    <w:rsid w:val="00B47DAC"/>
    <w:rsid w:val="00B47E20"/>
    <w:rsid w:val="00B47E8E"/>
    <w:rsid w:val="00B47EAB"/>
    <w:rsid w:val="00B47F01"/>
    <w:rsid w:val="00B47FBA"/>
    <w:rsid w:val="00B47FE6"/>
    <w:rsid w:val="00B5011F"/>
    <w:rsid w:val="00B50182"/>
    <w:rsid w:val="00B50306"/>
    <w:rsid w:val="00B503C2"/>
    <w:rsid w:val="00B50407"/>
    <w:rsid w:val="00B50661"/>
    <w:rsid w:val="00B50842"/>
    <w:rsid w:val="00B508C1"/>
    <w:rsid w:val="00B50C43"/>
    <w:rsid w:val="00B50D79"/>
    <w:rsid w:val="00B50EE3"/>
    <w:rsid w:val="00B50F01"/>
    <w:rsid w:val="00B50FD2"/>
    <w:rsid w:val="00B51079"/>
    <w:rsid w:val="00B513A8"/>
    <w:rsid w:val="00B51632"/>
    <w:rsid w:val="00B516E8"/>
    <w:rsid w:val="00B516EC"/>
    <w:rsid w:val="00B516FB"/>
    <w:rsid w:val="00B51847"/>
    <w:rsid w:val="00B518F4"/>
    <w:rsid w:val="00B51935"/>
    <w:rsid w:val="00B5194A"/>
    <w:rsid w:val="00B519AE"/>
    <w:rsid w:val="00B519C2"/>
    <w:rsid w:val="00B51AAB"/>
    <w:rsid w:val="00B51B7B"/>
    <w:rsid w:val="00B51C72"/>
    <w:rsid w:val="00B51CC1"/>
    <w:rsid w:val="00B51D04"/>
    <w:rsid w:val="00B51E5F"/>
    <w:rsid w:val="00B51F6F"/>
    <w:rsid w:val="00B52129"/>
    <w:rsid w:val="00B52210"/>
    <w:rsid w:val="00B5223E"/>
    <w:rsid w:val="00B52242"/>
    <w:rsid w:val="00B522BA"/>
    <w:rsid w:val="00B522D4"/>
    <w:rsid w:val="00B523E1"/>
    <w:rsid w:val="00B524DC"/>
    <w:rsid w:val="00B52569"/>
    <w:rsid w:val="00B52604"/>
    <w:rsid w:val="00B52657"/>
    <w:rsid w:val="00B52786"/>
    <w:rsid w:val="00B527FD"/>
    <w:rsid w:val="00B5280B"/>
    <w:rsid w:val="00B52864"/>
    <w:rsid w:val="00B528A1"/>
    <w:rsid w:val="00B528E5"/>
    <w:rsid w:val="00B5294F"/>
    <w:rsid w:val="00B52B81"/>
    <w:rsid w:val="00B52CC2"/>
    <w:rsid w:val="00B52D25"/>
    <w:rsid w:val="00B52EEB"/>
    <w:rsid w:val="00B52F46"/>
    <w:rsid w:val="00B52FB9"/>
    <w:rsid w:val="00B53130"/>
    <w:rsid w:val="00B531A1"/>
    <w:rsid w:val="00B531FD"/>
    <w:rsid w:val="00B5321D"/>
    <w:rsid w:val="00B532A5"/>
    <w:rsid w:val="00B532DE"/>
    <w:rsid w:val="00B532E5"/>
    <w:rsid w:val="00B534DD"/>
    <w:rsid w:val="00B536A3"/>
    <w:rsid w:val="00B5374D"/>
    <w:rsid w:val="00B53A0A"/>
    <w:rsid w:val="00B53A88"/>
    <w:rsid w:val="00B53A9F"/>
    <w:rsid w:val="00B53B32"/>
    <w:rsid w:val="00B53BB7"/>
    <w:rsid w:val="00B53CFD"/>
    <w:rsid w:val="00B53DB1"/>
    <w:rsid w:val="00B53E8B"/>
    <w:rsid w:val="00B53F0B"/>
    <w:rsid w:val="00B54118"/>
    <w:rsid w:val="00B54128"/>
    <w:rsid w:val="00B542B9"/>
    <w:rsid w:val="00B542DF"/>
    <w:rsid w:val="00B54345"/>
    <w:rsid w:val="00B54491"/>
    <w:rsid w:val="00B54567"/>
    <w:rsid w:val="00B545F4"/>
    <w:rsid w:val="00B5473C"/>
    <w:rsid w:val="00B54858"/>
    <w:rsid w:val="00B54967"/>
    <w:rsid w:val="00B54AB4"/>
    <w:rsid w:val="00B54B78"/>
    <w:rsid w:val="00B54DE4"/>
    <w:rsid w:val="00B54E0B"/>
    <w:rsid w:val="00B54FDE"/>
    <w:rsid w:val="00B550F9"/>
    <w:rsid w:val="00B55149"/>
    <w:rsid w:val="00B55199"/>
    <w:rsid w:val="00B5537D"/>
    <w:rsid w:val="00B5538A"/>
    <w:rsid w:val="00B553EF"/>
    <w:rsid w:val="00B55437"/>
    <w:rsid w:val="00B55590"/>
    <w:rsid w:val="00B5567B"/>
    <w:rsid w:val="00B558D3"/>
    <w:rsid w:val="00B55A58"/>
    <w:rsid w:val="00B55BAF"/>
    <w:rsid w:val="00B55BD4"/>
    <w:rsid w:val="00B55D5E"/>
    <w:rsid w:val="00B55E01"/>
    <w:rsid w:val="00B55EC5"/>
    <w:rsid w:val="00B5611F"/>
    <w:rsid w:val="00B561E1"/>
    <w:rsid w:val="00B56575"/>
    <w:rsid w:val="00B566F3"/>
    <w:rsid w:val="00B56867"/>
    <w:rsid w:val="00B56996"/>
    <w:rsid w:val="00B569EF"/>
    <w:rsid w:val="00B56B64"/>
    <w:rsid w:val="00B56B6B"/>
    <w:rsid w:val="00B56B7E"/>
    <w:rsid w:val="00B56D49"/>
    <w:rsid w:val="00B56EBB"/>
    <w:rsid w:val="00B57023"/>
    <w:rsid w:val="00B57343"/>
    <w:rsid w:val="00B577C7"/>
    <w:rsid w:val="00B577EE"/>
    <w:rsid w:val="00B578F2"/>
    <w:rsid w:val="00B57957"/>
    <w:rsid w:val="00B57A6E"/>
    <w:rsid w:val="00B57B3B"/>
    <w:rsid w:val="00B57B5A"/>
    <w:rsid w:val="00B57DDA"/>
    <w:rsid w:val="00B602D8"/>
    <w:rsid w:val="00B604D7"/>
    <w:rsid w:val="00B6051E"/>
    <w:rsid w:val="00B605B4"/>
    <w:rsid w:val="00B605C8"/>
    <w:rsid w:val="00B6063E"/>
    <w:rsid w:val="00B606D6"/>
    <w:rsid w:val="00B6087D"/>
    <w:rsid w:val="00B608C7"/>
    <w:rsid w:val="00B60912"/>
    <w:rsid w:val="00B609B0"/>
    <w:rsid w:val="00B60ABC"/>
    <w:rsid w:val="00B60AC6"/>
    <w:rsid w:val="00B60C89"/>
    <w:rsid w:val="00B60D34"/>
    <w:rsid w:val="00B610DF"/>
    <w:rsid w:val="00B611EB"/>
    <w:rsid w:val="00B611F0"/>
    <w:rsid w:val="00B6144E"/>
    <w:rsid w:val="00B614B5"/>
    <w:rsid w:val="00B615AD"/>
    <w:rsid w:val="00B6171A"/>
    <w:rsid w:val="00B618F7"/>
    <w:rsid w:val="00B61A6B"/>
    <w:rsid w:val="00B61B0C"/>
    <w:rsid w:val="00B61BEF"/>
    <w:rsid w:val="00B61C0A"/>
    <w:rsid w:val="00B61C12"/>
    <w:rsid w:val="00B61E02"/>
    <w:rsid w:val="00B61FA5"/>
    <w:rsid w:val="00B62102"/>
    <w:rsid w:val="00B6230E"/>
    <w:rsid w:val="00B6232C"/>
    <w:rsid w:val="00B6235C"/>
    <w:rsid w:val="00B6250C"/>
    <w:rsid w:val="00B62587"/>
    <w:rsid w:val="00B62667"/>
    <w:rsid w:val="00B626E7"/>
    <w:rsid w:val="00B62739"/>
    <w:rsid w:val="00B62887"/>
    <w:rsid w:val="00B628BB"/>
    <w:rsid w:val="00B628D4"/>
    <w:rsid w:val="00B62E3E"/>
    <w:rsid w:val="00B62ECA"/>
    <w:rsid w:val="00B62F22"/>
    <w:rsid w:val="00B62F49"/>
    <w:rsid w:val="00B62F62"/>
    <w:rsid w:val="00B630E6"/>
    <w:rsid w:val="00B631B6"/>
    <w:rsid w:val="00B63269"/>
    <w:rsid w:val="00B6338F"/>
    <w:rsid w:val="00B633A0"/>
    <w:rsid w:val="00B63449"/>
    <w:rsid w:val="00B634E7"/>
    <w:rsid w:val="00B635E5"/>
    <w:rsid w:val="00B63687"/>
    <w:rsid w:val="00B638A9"/>
    <w:rsid w:val="00B639A3"/>
    <w:rsid w:val="00B63A13"/>
    <w:rsid w:val="00B63B4B"/>
    <w:rsid w:val="00B63D4D"/>
    <w:rsid w:val="00B63D58"/>
    <w:rsid w:val="00B63E47"/>
    <w:rsid w:val="00B63FB7"/>
    <w:rsid w:val="00B640A9"/>
    <w:rsid w:val="00B6418E"/>
    <w:rsid w:val="00B6442F"/>
    <w:rsid w:val="00B645D7"/>
    <w:rsid w:val="00B645DA"/>
    <w:rsid w:val="00B6462B"/>
    <w:rsid w:val="00B646A1"/>
    <w:rsid w:val="00B649B8"/>
    <w:rsid w:val="00B649FE"/>
    <w:rsid w:val="00B64A3C"/>
    <w:rsid w:val="00B64A67"/>
    <w:rsid w:val="00B64ACF"/>
    <w:rsid w:val="00B64B27"/>
    <w:rsid w:val="00B64B78"/>
    <w:rsid w:val="00B64BB8"/>
    <w:rsid w:val="00B64C1C"/>
    <w:rsid w:val="00B64C21"/>
    <w:rsid w:val="00B64C3A"/>
    <w:rsid w:val="00B64CB3"/>
    <w:rsid w:val="00B64DA0"/>
    <w:rsid w:val="00B64DB5"/>
    <w:rsid w:val="00B64E84"/>
    <w:rsid w:val="00B6538A"/>
    <w:rsid w:val="00B654E5"/>
    <w:rsid w:val="00B65508"/>
    <w:rsid w:val="00B65792"/>
    <w:rsid w:val="00B657D7"/>
    <w:rsid w:val="00B65854"/>
    <w:rsid w:val="00B65934"/>
    <w:rsid w:val="00B65ABF"/>
    <w:rsid w:val="00B65D07"/>
    <w:rsid w:val="00B65D33"/>
    <w:rsid w:val="00B65D72"/>
    <w:rsid w:val="00B66209"/>
    <w:rsid w:val="00B66224"/>
    <w:rsid w:val="00B66270"/>
    <w:rsid w:val="00B66284"/>
    <w:rsid w:val="00B662D5"/>
    <w:rsid w:val="00B66401"/>
    <w:rsid w:val="00B664DB"/>
    <w:rsid w:val="00B66590"/>
    <w:rsid w:val="00B66594"/>
    <w:rsid w:val="00B66628"/>
    <w:rsid w:val="00B666FD"/>
    <w:rsid w:val="00B66782"/>
    <w:rsid w:val="00B6699F"/>
    <w:rsid w:val="00B66D80"/>
    <w:rsid w:val="00B66EE4"/>
    <w:rsid w:val="00B66FB1"/>
    <w:rsid w:val="00B66FC7"/>
    <w:rsid w:val="00B674EE"/>
    <w:rsid w:val="00B6788B"/>
    <w:rsid w:val="00B679CB"/>
    <w:rsid w:val="00B67A92"/>
    <w:rsid w:val="00B67B68"/>
    <w:rsid w:val="00B67BE8"/>
    <w:rsid w:val="00B67C35"/>
    <w:rsid w:val="00B67CBC"/>
    <w:rsid w:val="00B67CC7"/>
    <w:rsid w:val="00B67DB3"/>
    <w:rsid w:val="00B67ECF"/>
    <w:rsid w:val="00B67FCE"/>
    <w:rsid w:val="00B700E6"/>
    <w:rsid w:val="00B70126"/>
    <w:rsid w:val="00B7028E"/>
    <w:rsid w:val="00B702BD"/>
    <w:rsid w:val="00B703C0"/>
    <w:rsid w:val="00B703F5"/>
    <w:rsid w:val="00B70643"/>
    <w:rsid w:val="00B7071E"/>
    <w:rsid w:val="00B70821"/>
    <w:rsid w:val="00B709C3"/>
    <w:rsid w:val="00B70A85"/>
    <w:rsid w:val="00B70B4F"/>
    <w:rsid w:val="00B70C76"/>
    <w:rsid w:val="00B70E36"/>
    <w:rsid w:val="00B70E3C"/>
    <w:rsid w:val="00B70E64"/>
    <w:rsid w:val="00B70EFD"/>
    <w:rsid w:val="00B710CC"/>
    <w:rsid w:val="00B71207"/>
    <w:rsid w:val="00B712DD"/>
    <w:rsid w:val="00B7143F"/>
    <w:rsid w:val="00B71489"/>
    <w:rsid w:val="00B7149A"/>
    <w:rsid w:val="00B7152B"/>
    <w:rsid w:val="00B7158E"/>
    <w:rsid w:val="00B716CB"/>
    <w:rsid w:val="00B7180B"/>
    <w:rsid w:val="00B71892"/>
    <w:rsid w:val="00B719CC"/>
    <w:rsid w:val="00B71B5E"/>
    <w:rsid w:val="00B71BC1"/>
    <w:rsid w:val="00B71D17"/>
    <w:rsid w:val="00B71E0E"/>
    <w:rsid w:val="00B71EE5"/>
    <w:rsid w:val="00B71F31"/>
    <w:rsid w:val="00B72038"/>
    <w:rsid w:val="00B720B0"/>
    <w:rsid w:val="00B721C1"/>
    <w:rsid w:val="00B721F1"/>
    <w:rsid w:val="00B72288"/>
    <w:rsid w:val="00B72609"/>
    <w:rsid w:val="00B726C0"/>
    <w:rsid w:val="00B727B9"/>
    <w:rsid w:val="00B729CD"/>
    <w:rsid w:val="00B72AF0"/>
    <w:rsid w:val="00B72BC8"/>
    <w:rsid w:val="00B72C06"/>
    <w:rsid w:val="00B72D49"/>
    <w:rsid w:val="00B72DF7"/>
    <w:rsid w:val="00B72E35"/>
    <w:rsid w:val="00B733D9"/>
    <w:rsid w:val="00B73432"/>
    <w:rsid w:val="00B7352A"/>
    <w:rsid w:val="00B738EF"/>
    <w:rsid w:val="00B739ED"/>
    <w:rsid w:val="00B73A09"/>
    <w:rsid w:val="00B73BCF"/>
    <w:rsid w:val="00B73BFB"/>
    <w:rsid w:val="00B73D3A"/>
    <w:rsid w:val="00B73DCC"/>
    <w:rsid w:val="00B73E41"/>
    <w:rsid w:val="00B73FD2"/>
    <w:rsid w:val="00B740E0"/>
    <w:rsid w:val="00B7423F"/>
    <w:rsid w:val="00B742FA"/>
    <w:rsid w:val="00B743A4"/>
    <w:rsid w:val="00B74405"/>
    <w:rsid w:val="00B74483"/>
    <w:rsid w:val="00B747C6"/>
    <w:rsid w:val="00B74898"/>
    <w:rsid w:val="00B749E6"/>
    <w:rsid w:val="00B749E8"/>
    <w:rsid w:val="00B74A65"/>
    <w:rsid w:val="00B74E6E"/>
    <w:rsid w:val="00B74E87"/>
    <w:rsid w:val="00B74F0C"/>
    <w:rsid w:val="00B7515A"/>
    <w:rsid w:val="00B7534C"/>
    <w:rsid w:val="00B753B2"/>
    <w:rsid w:val="00B7540D"/>
    <w:rsid w:val="00B754C7"/>
    <w:rsid w:val="00B7557C"/>
    <w:rsid w:val="00B755BF"/>
    <w:rsid w:val="00B7563C"/>
    <w:rsid w:val="00B756A6"/>
    <w:rsid w:val="00B75752"/>
    <w:rsid w:val="00B75A95"/>
    <w:rsid w:val="00B75C3C"/>
    <w:rsid w:val="00B75E09"/>
    <w:rsid w:val="00B75FA1"/>
    <w:rsid w:val="00B75FF6"/>
    <w:rsid w:val="00B761FE"/>
    <w:rsid w:val="00B7621D"/>
    <w:rsid w:val="00B763B2"/>
    <w:rsid w:val="00B7657F"/>
    <w:rsid w:val="00B765D3"/>
    <w:rsid w:val="00B765E4"/>
    <w:rsid w:val="00B7666B"/>
    <w:rsid w:val="00B76901"/>
    <w:rsid w:val="00B76AB2"/>
    <w:rsid w:val="00B76CD7"/>
    <w:rsid w:val="00B76DBE"/>
    <w:rsid w:val="00B76FDB"/>
    <w:rsid w:val="00B770AA"/>
    <w:rsid w:val="00B770F6"/>
    <w:rsid w:val="00B77450"/>
    <w:rsid w:val="00B77461"/>
    <w:rsid w:val="00B774D1"/>
    <w:rsid w:val="00B774F7"/>
    <w:rsid w:val="00B77641"/>
    <w:rsid w:val="00B77675"/>
    <w:rsid w:val="00B77817"/>
    <w:rsid w:val="00B77CE5"/>
    <w:rsid w:val="00B77E17"/>
    <w:rsid w:val="00B77E63"/>
    <w:rsid w:val="00B802FA"/>
    <w:rsid w:val="00B803A0"/>
    <w:rsid w:val="00B803E8"/>
    <w:rsid w:val="00B804B7"/>
    <w:rsid w:val="00B8058F"/>
    <w:rsid w:val="00B80767"/>
    <w:rsid w:val="00B807C6"/>
    <w:rsid w:val="00B80881"/>
    <w:rsid w:val="00B808C8"/>
    <w:rsid w:val="00B8095C"/>
    <w:rsid w:val="00B80A3E"/>
    <w:rsid w:val="00B80D50"/>
    <w:rsid w:val="00B80E1F"/>
    <w:rsid w:val="00B80E62"/>
    <w:rsid w:val="00B80F28"/>
    <w:rsid w:val="00B80F63"/>
    <w:rsid w:val="00B80F80"/>
    <w:rsid w:val="00B811DC"/>
    <w:rsid w:val="00B81242"/>
    <w:rsid w:val="00B8128C"/>
    <w:rsid w:val="00B81390"/>
    <w:rsid w:val="00B814A8"/>
    <w:rsid w:val="00B81648"/>
    <w:rsid w:val="00B81825"/>
    <w:rsid w:val="00B81877"/>
    <w:rsid w:val="00B818D8"/>
    <w:rsid w:val="00B81928"/>
    <w:rsid w:val="00B81A44"/>
    <w:rsid w:val="00B81A8E"/>
    <w:rsid w:val="00B81ACB"/>
    <w:rsid w:val="00B81E33"/>
    <w:rsid w:val="00B81F85"/>
    <w:rsid w:val="00B82002"/>
    <w:rsid w:val="00B82054"/>
    <w:rsid w:val="00B8208A"/>
    <w:rsid w:val="00B821B5"/>
    <w:rsid w:val="00B82278"/>
    <w:rsid w:val="00B822B6"/>
    <w:rsid w:val="00B82530"/>
    <w:rsid w:val="00B8278D"/>
    <w:rsid w:val="00B82891"/>
    <w:rsid w:val="00B82893"/>
    <w:rsid w:val="00B828FA"/>
    <w:rsid w:val="00B82947"/>
    <w:rsid w:val="00B82951"/>
    <w:rsid w:val="00B829F9"/>
    <w:rsid w:val="00B82A88"/>
    <w:rsid w:val="00B82B11"/>
    <w:rsid w:val="00B82E9C"/>
    <w:rsid w:val="00B82EB2"/>
    <w:rsid w:val="00B82EFB"/>
    <w:rsid w:val="00B82F85"/>
    <w:rsid w:val="00B83016"/>
    <w:rsid w:val="00B8305E"/>
    <w:rsid w:val="00B83151"/>
    <w:rsid w:val="00B832E7"/>
    <w:rsid w:val="00B8339D"/>
    <w:rsid w:val="00B83483"/>
    <w:rsid w:val="00B834D3"/>
    <w:rsid w:val="00B83879"/>
    <w:rsid w:val="00B83955"/>
    <w:rsid w:val="00B839CE"/>
    <w:rsid w:val="00B839E2"/>
    <w:rsid w:val="00B83A3D"/>
    <w:rsid w:val="00B83AAA"/>
    <w:rsid w:val="00B83B15"/>
    <w:rsid w:val="00B83D61"/>
    <w:rsid w:val="00B83E9A"/>
    <w:rsid w:val="00B83EA0"/>
    <w:rsid w:val="00B83EB9"/>
    <w:rsid w:val="00B840EA"/>
    <w:rsid w:val="00B8417B"/>
    <w:rsid w:val="00B8442F"/>
    <w:rsid w:val="00B84451"/>
    <w:rsid w:val="00B847EE"/>
    <w:rsid w:val="00B8494B"/>
    <w:rsid w:val="00B849B4"/>
    <w:rsid w:val="00B84D43"/>
    <w:rsid w:val="00B84D5A"/>
    <w:rsid w:val="00B84E12"/>
    <w:rsid w:val="00B84E29"/>
    <w:rsid w:val="00B85259"/>
    <w:rsid w:val="00B85279"/>
    <w:rsid w:val="00B852CF"/>
    <w:rsid w:val="00B853FB"/>
    <w:rsid w:val="00B854C9"/>
    <w:rsid w:val="00B854EB"/>
    <w:rsid w:val="00B8550A"/>
    <w:rsid w:val="00B8553B"/>
    <w:rsid w:val="00B855CE"/>
    <w:rsid w:val="00B85A67"/>
    <w:rsid w:val="00B85ABE"/>
    <w:rsid w:val="00B85B67"/>
    <w:rsid w:val="00B85BF8"/>
    <w:rsid w:val="00B85C81"/>
    <w:rsid w:val="00B85DE7"/>
    <w:rsid w:val="00B85F14"/>
    <w:rsid w:val="00B85FD6"/>
    <w:rsid w:val="00B8600B"/>
    <w:rsid w:val="00B8604C"/>
    <w:rsid w:val="00B86213"/>
    <w:rsid w:val="00B86350"/>
    <w:rsid w:val="00B86360"/>
    <w:rsid w:val="00B86379"/>
    <w:rsid w:val="00B8644C"/>
    <w:rsid w:val="00B8647E"/>
    <w:rsid w:val="00B86671"/>
    <w:rsid w:val="00B86675"/>
    <w:rsid w:val="00B86718"/>
    <w:rsid w:val="00B86740"/>
    <w:rsid w:val="00B86857"/>
    <w:rsid w:val="00B86A51"/>
    <w:rsid w:val="00B86B5B"/>
    <w:rsid w:val="00B86BA2"/>
    <w:rsid w:val="00B86C19"/>
    <w:rsid w:val="00B86C8F"/>
    <w:rsid w:val="00B86D30"/>
    <w:rsid w:val="00B86E01"/>
    <w:rsid w:val="00B86E0E"/>
    <w:rsid w:val="00B86E35"/>
    <w:rsid w:val="00B86F3C"/>
    <w:rsid w:val="00B86F79"/>
    <w:rsid w:val="00B86F97"/>
    <w:rsid w:val="00B87013"/>
    <w:rsid w:val="00B870BB"/>
    <w:rsid w:val="00B87171"/>
    <w:rsid w:val="00B872CA"/>
    <w:rsid w:val="00B8736C"/>
    <w:rsid w:val="00B873C3"/>
    <w:rsid w:val="00B875BC"/>
    <w:rsid w:val="00B875E7"/>
    <w:rsid w:val="00B87812"/>
    <w:rsid w:val="00B87836"/>
    <w:rsid w:val="00B8783C"/>
    <w:rsid w:val="00B87864"/>
    <w:rsid w:val="00B87936"/>
    <w:rsid w:val="00B8797F"/>
    <w:rsid w:val="00B879CB"/>
    <w:rsid w:val="00B87A06"/>
    <w:rsid w:val="00B87B18"/>
    <w:rsid w:val="00B87BE8"/>
    <w:rsid w:val="00B87BEE"/>
    <w:rsid w:val="00B87DF5"/>
    <w:rsid w:val="00B87E5D"/>
    <w:rsid w:val="00B87FD8"/>
    <w:rsid w:val="00B90087"/>
    <w:rsid w:val="00B90278"/>
    <w:rsid w:val="00B90382"/>
    <w:rsid w:val="00B903D9"/>
    <w:rsid w:val="00B903ED"/>
    <w:rsid w:val="00B90481"/>
    <w:rsid w:val="00B90517"/>
    <w:rsid w:val="00B905FB"/>
    <w:rsid w:val="00B906CB"/>
    <w:rsid w:val="00B906EA"/>
    <w:rsid w:val="00B906ED"/>
    <w:rsid w:val="00B909BE"/>
    <w:rsid w:val="00B90A23"/>
    <w:rsid w:val="00B90AD9"/>
    <w:rsid w:val="00B90BA1"/>
    <w:rsid w:val="00B90D60"/>
    <w:rsid w:val="00B90E78"/>
    <w:rsid w:val="00B90F5F"/>
    <w:rsid w:val="00B9104C"/>
    <w:rsid w:val="00B911B1"/>
    <w:rsid w:val="00B911EC"/>
    <w:rsid w:val="00B91229"/>
    <w:rsid w:val="00B91536"/>
    <w:rsid w:val="00B9165F"/>
    <w:rsid w:val="00B91799"/>
    <w:rsid w:val="00B917BA"/>
    <w:rsid w:val="00B917C2"/>
    <w:rsid w:val="00B91891"/>
    <w:rsid w:val="00B9189B"/>
    <w:rsid w:val="00B918EE"/>
    <w:rsid w:val="00B91998"/>
    <w:rsid w:val="00B91AAE"/>
    <w:rsid w:val="00B91BCB"/>
    <w:rsid w:val="00B91C50"/>
    <w:rsid w:val="00B920EA"/>
    <w:rsid w:val="00B9212B"/>
    <w:rsid w:val="00B92278"/>
    <w:rsid w:val="00B92370"/>
    <w:rsid w:val="00B924B8"/>
    <w:rsid w:val="00B924C2"/>
    <w:rsid w:val="00B924E6"/>
    <w:rsid w:val="00B925C2"/>
    <w:rsid w:val="00B928F1"/>
    <w:rsid w:val="00B92913"/>
    <w:rsid w:val="00B92AA3"/>
    <w:rsid w:val="00B92B1F"/>
    <w:rsid w:val="00B92BDC"/>
    <w:rsid w:val="00B92C57"/>
    <w:rsid w:val="00B92C86"/>
    <w:rsid w:val="00B92D74"/>
    <w:rsid w:val="00B92DAF"/>
    <w:rsid w:val="00B92E93"/>
    <w:rsid w:val="00B93052"/>
    <w:rsid w:val="00B930FF"/>
    <w:rsid w:val="00B93209"/>
    <w:rsid w:val="00B933FB"/>
    <w:rsid w:val="00B9360F"/>
    <w:rsid w:val="00B9364C"/>
    <w:rsid w:val="00B9384D"/>
    <w:rsid w:val="00B93888"/>
    <w:rsid w:val="00B93899"/>
    <w:rsid w:val="00B93A5B"/>
    <w:rsid w:val="00B93B9C"/>
    <w:rsid w:val="00B93C94"/>
    <w:rsid w:val="00B93D12"/>
    <w:rsid w:val="00B93D48"/>
    <w:rsid w:val="00B93D87"/>
    <w:rsid w:val="00B93DBA"/>
    <w:rsid w:val="00B93E67"/>
    <w:rsid w:val="00B93F9D"/>
    <w:rsid w:val="00B94241"/>
    <w:rsid w:val="00B94864"/>
    <w:rsid w:val="00B948C3"/>
    <w:rsid w:val="00B9490D"/>
    <w:rsid w:val="00B949C4"/>
    <w:rsid w:val="00B94D90"/>
    <w:rsid w:val="00B94DF0"/>
    <w:rsid w:val="00B94E60"/>
    <w:rsid w:val="00B95049"/>
    <w:rsid w:val="00B95560"/>
    <w:rsid w:val="00B955F2"/>
    <w:rsid w:val="00B9565D"/>
    <w:rsid w:val="00B9567B"/>
    <w:rsid w:val="00B956F7"/>
    <w:rsid w:val="00B9577E"/>
    <w:rsid w:val="00B95780"/>
    <w:rsid w:val="00B95817"/>
    <w:rsid w:val="00B95889"/>
    <w:rsid w:val="00B959CE"/>
    <w:rsid w:val="00B95A75"/>
    <w:rsid w:val="00B95BEC"/>
    <w:rsid w:val="00B95C3D"/>
    <w:rsid w:val="00B95D44"/>
    <w:rsid w:val="00B96160"/>
    <w:rsid w:val="00B96482"/>
    <w:rsid w:val="00B96595"/>
    <w:rsid w:val="00B965B3"/>
    <w:rsid w:val="00B9680D"/>
    <w:rsid w:val="00B96A2A"/>
    <w:rsid w:val="00B96A55"/>
    <w:rsid w:val="00B96AA6"/>
    <w:rsid w:val="00B96B23"/>
    <w:rsid w:val="00B96BA1"/>
    <w:rsid w:val="00B96C1F"/>
    <w:rsid w:val="00B96CAA"/>
    <w:rsid w:val="00B96DA3"/>
    <w:rsid w:val="00B96F83"/>
    <w:rsid w:val="00B96FD6"/>
    <w:rsid w:val="00B9715C"/>
    <w:rsid w:val="00B97322"/>
    <w:rsid w:val="00B973C2"/>
    <w:rsid w:val="00B97416"/>
    <w:rsid w:val="00B9763D"/>
    <w:rsid w:val="00B9774E"/>
    <w:rsid w:val="00B97774"/>
    <w:rsid w:val="00B97795"/>
    <w:rsid w:val="00B97805"/>
    <w:rsid w:val="00B979B3"/>
    <w:rsid w:val="00B97AFC"/>
    <w:rsid w:val="00B97B41"/>
    <w:rsid w:val="00B97BBA"/>
    <w:rsid w:val="00BA0075"/>
    <w:rsid w:val="00BA035D"/>
    <w:rsid w:val="00BA05AC"/>
    <w:rsid w:val="00BA070B"/>
    <w:rsid w:val="00BA0760"/>
    <w:rsid w:val="00BA0792"/>
    <w:rsid w:val="00BA08EC"/>
    <w:rsid w:val="00BA0C76"/>
    <w:rsid w:val="00BA0D5E"/>
    <w:rsid w:val="00BA0E1F"/>
    <w:rsid w:val="00BA0E76"/>
    <w:rsid w:val="00BA1055"/>
    <w:rsid w:val="00BA10D1"/>
    <w:rsid w:val="00BA116A"/>
    <w:rsid w:val="00BA12B8"/>
    <w:rsid w:val="00BA12C1"/>
    <w:rsid w:val="00BA13DA"/>
    <w:rsid w:val="00BA1403"/>
    <w:rsid w:val="00BA1475"/>
    <w:rsid w:val="00BA147B"/>
    <w:rsid w:val="00BA14E9"/>
    <w:rsid w:val="00BA16B2"/>
    <w:rsid w:val="00BA16E0"/>
    <w:rsid w:val="00BA1813"/>
    <w:rsid w:val="00BA1823"/>
    <w:rsid w:val="00BA1B84"/>
    <w:rsid w:val="00BA1B98"/>
    <w:rsid w:val="00BA1DE5"/>
    <w:rsid w:val="00BA1EB4"/>
    <w:rsid w:val="00BA1F3D"/>
    <w:rsid w:val="00BA1F81"/>
    <w:rsid w:val="00BA2131"/>
    <w:rsid w:val="00BA2137"/>
    <w:rsid w:val="00BA22D7"/>
    <w:rsid w:val="00BA234F"/>
    <w:rsid w:val="00BA23DD"/>
    <w:rsid w:val="00BA257D"/>
    <w:rsid w:val="00BA2660"/>
    <w:rsid w:val="00BA26C9"/>
    <w:rsid w:val="00BA2720"/>
    <w:rsid w:val="00BA280D"/>
    <w:rsid w:val="00BA2897"/>
    <w:rsid w:val="00BA29AD"/>
    <w:rsid w:val="00BA2E21"/>
    <w:rsid w:val="00BA2F17"/>
    <w:rsid w:val="00BA2FFB"/>
    <w:rsid w:val="00BA319F"/>
    <w:rsid w:val="00BA331D"/>
    <w:rsid w:val="00BA3591"/>
    <w:rsid w:val="00BA377A"/>
    <w:rsid w:val="00BA3834"/>
    <w:rsid w:val="00BA3844"/>
    <w:rsid w:val="00BA3A86"/>
    <w:rsid w:val="00BA3BEF"/>
    <w:rsid w:val="00BA3C41"/>
    <w:rsid w:val="00BA3C63"/>
    <w:rsid w:val="00BA3CC7"/>
    <w:rsid w:val="00BA3D7E"/>
    <w:rsid w:val="00BA3DA5"/>
    <w:rsid w:val="00BA3DC8"/>
    <w:rsid w:val="00BA3EA4"/>
    <w:rsid w:val="00BA3F34"/>
    <w:rsid w:val="00BA3F73"/>
    <w:rsid w:val="00BA4034"/>
    <w:rsid w:val="00BA4211"/>
    <w:rsid w:val="00BA4267"/>
    <w:rsid w:val="00BA4279"/>
    <w:rsid w:val="00BA434C"/>
    <w:rsid w:val="00BA435B"/>
    <w:rsid w:val="00BA4502"/>
    <w:rsid w:val="00BA45CA"/>
    <w:rsid w:val="00BA46B2"/>
    <w:rsid w:val="00BA4789"/>
    <w:rsid w:val="00BA4791"/>
    <w:rsid w:val="00BA4A26"/>
    <w:rsid w:val="00BA4E07"/>
    <w:rsid w:val="00BA4F1D"/>
    <w:rsid w:val="00BA5090"/>
    <w:rsid w:val="00BA50C3"/>
    <w:rsid w:val="00BA5138"/>
    <w:rsid w:val="00BA51F0"/>
    <w:rsid w:val="00BA51FB"/>
    <w:rsid w:val="00BA526F"/>
    <w:rsid w:val="00BA527B"/>
    <w:rsid w:val="00BA53F8"/>
    <w:rsid w:val="00BA54E4"/>
    <w:rsid w:val="00BA54EE"/>
    <w:rsid w:val="00BA5503"/>
    <w:rsid w:val="00BA5504"/>
    <w:rsid w:val="00BA5599"/>
    <w:rsid w:val="00BA5616"/>
    <w:rsid w:val="00BA5626"/>
    <w:rsid w:val="00BA5768"/>
    <w:rsid w:val="00BA5857"/>
    <w:rsid w:val="00BA59E2"/>
    <w:rsid w:val="00BA5AAF"/>
    <w:rsid w:val="00BA5AF3"/>
    <w:rsid w:val="00BA5B00"/>
    <w:rsid w:val="00BA5DC5"/>
    <w:rsid w:val="00BA5E84"/>
    <w:rsid w:val="00BA5ECE"/>
    <w:rsid w:val="00BA5F0D"/>
    <w:rsid w:val="00BA5F20"/>
    <w:rsid w:val="00BA60E1"/>
    <w:rsid w:val="00BA612A"/>
    <w:rsid w:val="00BA61D2"/>
    <w:rsid w:val="00BA61E9"/>
    <w:rsid w:val="00BA61F1"/>
    <w:rsid w:val="00BA622B"/>
    <w:rsid w:val="00BA62C6"/>
    <w:rsid w:val="00BA645D"/>
    <w:rsid w:val="00BA64DC"/>
    <w:rsid w:val="00BA65FA"/>
    <w:rsid w:val="00BA68E5"/>
    <w:rsid w:val="00BA6916"/>
    <w:rsid w:val="00BA69B6"/>
    <w:rsid w:val="00BA6A5D"/>
    <w:rsid w:val="00BA6B46"/>
    <w:rsid w:val="00BA6D43"/>
    <w:rsid w:val="00BA6E4C"/>
    <w:rsid w:val="00BA6E9E"/>
    <w:rsid w:val="00BA6ED1"/>
    <w:rsid w:val="00BA6FBD"/>
    <w:rsid w:val="00BA723B"/>
    <w:rsid w:val="00BA7396"/>
    <w:rsid w:val="00BA74DB"/>
    <w:rsid w:val="00BA7704"/>
    <w:rsid w:val="00BA7811"/>
    <w:rsid w:val="00BA7983"/>
    <w:rsid w:val="00BA7B25"/>
    <w:rsid w:val="00BA7F45"/>
    <w:rsid w:val="00BB018C"/>
    <w:rsid w:val="00BB037E"/>
    <w:rsid w:val="00BB03BA"/>
    <w:rsid w:val="00BB07D0"/>
    <w:rsid w:val="00BB0DEC"/>
    <w:rsid w:val="00BB0F52"/>
    <w:rsid w:val="00BB1051"/>
    <w:rsid w:val="00BB12B0"/>
    <w:rsid w:val="00BB1467"/>
    <w:rsid w:val="00BB14DC"/>
    <w:rsid w:val="00BB151A"/>
    <w:rsid w:val="00BB178D"/>
    <w:rsid w:val="00BB17BE"/>
    <w:rsid w:val="00BB187C"/>
    <w:rsid w:val="00BB187E"/>
    <w:rsid w:val="00BB1B76"/>
    <w:rsid w:val="00BB1E1C"/>
    <w:rsid w:val="00BB1E41"/>
    <w:rsid w:val="00BB1E7C"/>
    <w:rsid w:val="00BB1F78"/>
    <w:rsid w:val="00BB1F88"/>
    <w:rsid w:val="00BB2032"/>
    <w:rsid w:val="00BB2086"/>
    <w:rsid w:val="00BB2118"/>
    <w:rsid w:val="00BB21D5"/>
    <w:rsid w:val="00BB232E"/>
    <w:rsid w:val="00BB2384"/>
    <w:rsid w:val="00BB23A9"/>
    <w:rsid w:val="00BB248D"/>
    <w:rsid w:val="00BB2504"/>
    <w:rsid w:val="00BB256F"/>
    <w:rsid w:val="00BB257D"/>
    <w:rsid w:val="00BB27CC"/>
    <w:rsid w:val="00BB2841"/>
    <w:rsid w:val="00BB29B7"/>
    <w:rsid w:val="00BB2B34"/>
    <w:rsid w:val="00BB2BA6"/>
    <w:rsid w:val="00BB2C86"/>
    <w:rsid w:val="00BB2D5A"/>
    <w:rsid w:val="00BB2D80"/>
    <w:rsid w:val="00BB2EC9"/>
    <w:rsid w:val="00BB2FEA"/>
    <w:rsid w:val="00BB3006"/>
    <w:rsid w:val="00BB301F"/>
    <w:rsid w:val="00BB304E"/>
    <w:rsid w:val="00BB3054"/>
    <w:rsid w:val="00BB3274"/>
    <w:rsid w:val="00BB328C"/>
    <w:rsid w:val="00BB337D"/>
    <w:rsid w:val="00BB3420"/>
    <w:rsid w:val="00BB34F4"/>
    <w:rsid w:val="00BB35A7"/>
    <w:rsid w:val="00BB35CF"/>
    <w:rsid w:val="00BB361A"/>
    <w:rsid w:val="00BB364C"/>
    <w:rsid w:val="00BB36ED"/>
    <w:rsid w:val="00BB3A1D"/>
    <w:rsid w:val="00BB3BA7"/>
    <w:rsid w:val="00BB3BEA"/>
    <w:rsid w:val="00BB3C41"/>
    <w:rsid w:val="00BB3D19"/>
    <w:rsid w:val="00BB3EC4"/>
    <w:rsid w:val="00BB4069"/>
    <w:rsid w:val="00BB412A"/>
    <w:rsid w:val="00BB425C"/>
    <w:rsid w:val="00BB42DF"/>
    <w:rsid w:val="00BB4678"/>
    <w:rsid w:val="00BB490C"/>
    <w:rsid w:val="00BB49B5"/>
    <w:rsid w:val="00BB4AA3"/>
    <w:rsid w:val="00BB4AE9"/>
    <w:rsid w:val="00BB4BB5"/>
    <w:rsid w:val="00BB4BF6"/>
    <w:rsid w:val="00BB4C38"/>
    <w:rsid w:val="00BB4D8B"/>
    <w:rsid w:val="00BB4E0F"/>
    <w:rsid w:val="00BB4EEB"/>
    <w:rsid w:val="00BB501D"/>
    <w:rsid w:val="00BB50CC"/>
    <w:rsid w:val="00BB511F"/>
    <w:rsid w:val="00BB52EE"/>
    <w:rsid w:val="00BB548F"/>
    <w:rsid w:val="00BB5490"/>
    <w:rsid w:val="00BB56B0"/>
    <w:rsid w:val="00BB588A"/>
    <w:rsid w:val="00BB58ED"/>
    <w:rsid w:val="00BB5A40"/>
    <w:rsid w:val="00BB5BC4"/>
    <w:rsid w:val="00BB5C97"/>
    <w:rsid w:val="00BB5CE7"/>
    <w:rsid w:val="00BB5DA5"/>
    <w:rsid w:val="00BB5FF6"/>
    <w:rsid w:val="00BB6102"/>
    <w:rsid w:val="00BB6160"/>
    <w:rsid w:val="00BB61D4"/>
    <w:rsid w:val="00BB6559"/>
    <w:rsid w:val="00BB658A"/>
    <w:rsid w:val="00BB65F7"/>
    <w:rsid w:val="00BB6705"/>
    <w:rsid w:val="00BB670A"/>
    <w:rsid w:val="00BB670C"/>
    <w:rsid w:val="00BB6862"/>
    <w:rsid w:val="00BB6909"/>
    <w:rsid w:val="00BB6A99"/>
    <w:rsid w:val="00BB6B49"/>
    <w:rsid w:val="00BB6E39"/>
    <w:rsid w:val="00BB6EFC"/>
    <w:rsid w:val="00BB6F69"/>
    <w:rsid w:val="00BB6FA2"/>
    <w:rsid w:val="00BB723B"/>
    <w:rsid w:val="00BB7287"/>
    <w:rsid w:val="00BB72F0"/>
    <w:rsid w:val="00BB7513"/>
    <w:rsid w:val="00BB7537"/>
    <w:rsid w:val="00BB7615"/>
    <w:rsid w:val="00BB7665"/>
    <w:rsid w:val="00BB766A"/>
    <w:rsid w:val="00BB76B3"/>
    <w:rsid w:val="00BB7751"/>
    <w:rsid w:val="00BB77B7"/>
    <w:rsid w:val="00BB77E3"/>
    <w:rsid w:val="00BB7912"/>
    <w:rsid w:val="00BB7A37"/>
    <w:rsid w:val="00BB7A73"/>
    <w:rsid w:val="00BB7B0B"/>
    <w:rsid w:val="00BB7B52"/>
    <w:rsid w:val="00BB7BAD"/>
    <w:rsid w:val="00BB7D15"/>
    <w:rsid w:val="00BB7D9F"/>
    <w:rsid w:val="00BB7DA0"/>
    <w:rsid w:val="00BB7DA5"/>
    <w:rsid w:val="00BB7E9D"/>
    <w:rsid w:val="00BB7F6D"/>
    <w:rsid w:val="00BC0051"/>
    <w:rsid w:val="00BC00CB"/>
    <w:rsid w:val="00BC01E6"/>
    <w:rsid w:val="00BC0262"/>
    <w:rsid w:val="00BC045A"/>
    <w:rsid w:val="00BC05A8"/>
    <w:rsid w:val="00BC05D7"/>
    <w:rsid w:val="00BC0728"/>
    <w:rsid w:val="00BC0848"/>
    <w:rsid w:val="00BC09AA"/>
    <w:rsid w:val="00BC0A13"/>
    <w:rsid w:val="00BC0A28"/>
    <w:rsid w:val="00BC0B51"/>
    <w:rsid w:val="00BC0C27"/>
    <w:rsid w:val="00BC0E63"/>
    <w:rsid w:val="00BC1157"/>
    <w:rsid w:val="00BC1358"/>
    <w:rsid w:val="00BC13D3"/>
    <w:rsid w:val="00BC149F"/>
    <w:rsid w:val="00BC16D1"/>
    <w:rsid w:val="00BC1743"/>
    <w:rsid w:val="00BC18C3"/>
    <w:rsid w:val="00BC1902"/>
    <w:rsid w:val="00BC1E68"/>
    <w:rsid w:val="00BC1F45"/>
    <w:rsid w:val="00BC20B5"/>
    <w:rsid w:val="00BC20B8"/>
    <w:rsid w:val="00BC21A9"/>
    <w:rsid w:val="00BC21C9"/>
    <w:rsid w:val="00BC21F3"/>
    <w:rsid w:val="00BC248E"/>
    <w:rsid w:val="00BC26CC"/>
    <w:rsid w:val="00BC2716"/>
    <w:rsid w:val="00BC2754"/>
    <w:rsid w:val="00BC27A1"/>
    <w:rsid w:val="00BC27EE"/>
    <w:rsid w:val="00BC2843"/>
    <w:rsid w:val="00BC28B7"/>
    <w:rsid w:val="00BC2922"/>
    <w:rsid w:val="00BC2986"/>
    <w:rsid w:val="00BC2B9A"/>
    <w:rsid w:val="00BC2BB8"/>
    <w:rsid w:val="00BC2C44"/>
    <w:rsid w:val="00BC2C9C"/>
    <w:rsid w:val="00BC2D6B"/>
    <w:rsid w:val="00BC2DB5"/>
    <w:rsid w:val="00BC2E33"/>
    <w:rsid w:val="00BC2EEA"/>
    <w:rsid w:val="00BC2FC3"/>
    <w:rsid w:val="00BC3095"/>
    <w:rsid w:val="00BC3109"/>
    <w:rsid w:val="00BC32A4"/>
    <w:rsid w:val="00BC3302"/>
    <w:rsid w:val="00BC3474"/>
    <w:rsid w:val="00BC3583"/>
    <w:rsid w:val="00BC3639"/>
    <w:rsid w:val="00BC3680"/>
    <w:rsid w:val="00BC3AE7"/>
    <w:rsid w:val="00BC3BA3"/>
    <w:rsid w:val="00BC3C48"/>
    <w:rsid w:val="00BC3C9F"/>
    <w:rsid w:val="00BC3CA6"/>
    <w:rsid w:val="00BC3DB0"/>
    <w:rsid w:val="00BC3E4F"/>
    <w:rsid w:val="00BC3F64"/>
    <w:rsid w:val="00BC3FC5"/>
    <w:rsid w:val="00BC3FDA"/>
    <w:rsid w:val="00BC4069"/>
    <w:rsid w:val="00BC4087"/>
    <w:rsid w:val="00BC4157"/>
    <w:rsid w:val="00BC4162"/>
    <w:rsid w:val="00BC419A"/>
    <w:rsid w:val="00BC41E6"/>
    <w:rsid w:val="00BC42A1"/>
    <w:rsid w:val="00BC452D"/>
    <w:rsid w:val="00BC4579"/>
    <w:rsid w:val="00BC466B"/>
    <w:rsid w:val="00BC4823"/>
    <w:rsid w:val="00BC4A60"/>
    <w:rsid w:val="00BC4AE9"/>
    <w:rsid w:val="00BC4B2E"/>
    <w:rsid w:val="00BC4B31"/>
    <w:rsid w:val="00BC4DC1"/>
    <w:rsid w:val="00BC5145"/>
    <w:rsid w:val="00BC51D7"/>
    <w:rsid w:val="00BC5251"/>
    <w:rsid w:val="00BC527F"/>
    <w:rsid w:val="00BC5357"/>
    <w:rsid w:val="00BC53BF"/>
    <w:rsid w:val="00BC53F9"/>
    <w:rsid w:val="00BC5464"/>
    <w:rsid w:val="00BC54D7"/>
    <w:rsid w:val="00BC55E5"/>
    <w:rsid w:val="00BC569B"/>
    <w:rsid w:val="00BC56FF"/>
    <w:rsid w:val="00BC58D2"/>
    <w:rsid w:val="00BC5A93"/>
    <w:rsid w:val="00BC5A99"/>
    <w:rsid w:val="00BC5AF3"/>
    <w:rsid w:val="00BC5B73"/>
    <w:rsid w:val="00BC5C98"/>
    <w:rsid w:val="00BC5DB3"/>
    <w:rsid w:val="00BC5E57"/>
    <w:rsid w:val="00BC5F68"/>
    <w:rsid w:val="00BC5FB4"/>
    <w:rsid w:val="00BC5FDD"/>
    <w:rsid w:val="00BC602B"/>
    <w:rsid w:val="00BC60E9"/>
    <w:rsid w:val="00BC62A3"/>
    <w:rsid w:val="00BC636E"/>
    <w:rsid w:val="00BC63B4"/>
    <w:rsid w:val="00BC641D"/>
    <w:rsid w:val="00BC6588"/>
    <w:rsid w:val="00BC65D2"/>
    <w:rsid w:val="00BC664F"/>
    <w:rsid w:val="00BC6718"/>
    <w:rsid w:val="00BC6756"/>
    <w:rsid w:val="00BC6902"/>
    <w:rsid w:val="00BC696F"/>
    <w:rsid w:val="00BC6AD4"/>
    <w:rsid w:val="00BC6B75"/>
    <w:rsid w:val="00BC6BE9"/>
    <w:rsid w:val="00BC6BF1"/>
    <w:rsid w:val="00BC6C06"/>
    <w:rsid w:val="00BC6D3D"/>
    <w:rsid w:val="00BC6DFB"/>
    <w:rsid w:val="00BC6F44"/>
    <w:rsid w:val="00BC7156"/>
    <w:rsid w:val="00BC715D"/>
    <w:rsid w:val="00BC720D"/>
    <w:rsid w:val="00BC7254"/>
    <w:rsid w:val="00BC73EA"/>
    <w:rsid w:val="00BC741A"/>
    <w:rsid w:val="00BC74DC"/>
    <w:rsid w:val="00BC77AB"/>
    <w:rsid w:val="00BC78EF"/>
    <w:rsid w:val="00BC7922"/>
    <w:rsid w:val="00BC79BE"/>
    <w:rsid w:val="00BC7BD8"/>
    <w:rsid w:val="00BC7C34"/>
    <w:rsid w:val="00BC7C64"/>
    <w:rsid w:val="00BCB99C"/>
    <w:rsid w:val="00BD00E4"/>
    <w:rsid w:val="00BD0267"/>
    <w:rsid w:val="00BD0278"/>
    <w:rsid w:val="00BD032E"/>
    <w:rsid w:val="00BD0394"/>
    <w:rsid w:val="00BD04E2"/>
    <w:rsid w:val="00BD0575"/>
    <w:rsid w:val="00BD077F"/>
    <w:rsid w:val="00BD07FD"/>
    <w:rsid w:val="00BD092E"/>
    <w:rsid w:val="00BD0953"/>
    <w:rsid w:val="00BD0A1E"/>
    <w:rsid w:val="00BD0AE9"/>
    <w:rsid w:val="00BD0AF8"/>
    <w:rsid w:val="00BD0BC2"/>
    <w:rsid w:val="00BD0FC5"/>
    <w:rsid w:val="00BD1298"/>
    <w:rsid w:val="00BD12E1"/>
    <w:rsid w:val="00BD14DA"/>
    <w:rsid w:val="00BD1641"/>
    <w:rsid w:val="00BD19D0"/>
    <w:rsid w:val="00BD1A32"/>
    <w:rsid w:val="00BD1BB5"/>
    <w:rsid w:val="00BD1C17"/>
    <w:rsid w:val="00BD1D0E"/>
    <w:rsid w:val="00BD1E89"/>
    <w:rsid w:val="00BD1EEB"/>
    <w:rsid w:val="00BD20B3"/>
    <w:rsid w:val="00BD2103"/>
    <w:rsid w:val="00BD2160"/>
    <w:rsid w:val="00BD219D"/>
    <w:rsid w:val="00BD2235"/>
    <w:rsid w:val="00BD22DB"/>
    <w:rsid w:val="00BD23F2"/>
    <w:rsid w:val="00BD23FC"/>
    <w:rsid w:val="00BD2730"/>
    <w:rsid w:val="00BD2792"/>
    <w:rsid w:val="00BD2841"/>
    <w:rsid w:val="00BD28A7"/>
    <w:rsid w:val="00BD2C69"/>
    <w:rsid w:val="00BD2C96"/>
    <w:rsid w:val="00BD2DB7"/>
    <w:rsid w:val="00BD2E17"/>
    <w:rsid w:val="00BD2E48"/>
    <w:rsid w:val="00BD32D6"/>
    <w:rsid w:val="00BD32EA"/>
    <w:rsid w:val="00BD330A"/>
    <w:rsid w:val="00BD35E0"/>
    <w:rsid w:val="00BD38C2"/>
    <w:rsid w:val="00BD3901"/>
    <w:rsid w:val="00BD391E"/>
    <w:rsid w:val="00BD3929"/>
    <w:rsid w:val="00BD3934"/>
    <w:rsid w:val="00BD3BCB"/>
    <w:rsid w:val="00BD3BEF"/>
    <w:rsid w:val="00BD3BF9"/>
    <w:rsid w:val="00BD3BFA"/>
    <w:rsid w:val="00BD3CBC"/>
    <w:rsid w:val="00BD3D55"/>
    <w:rsid w:val="00BD3E86"/>
    <w:rsid w:val="00BD3F0A"/>
    <w:rsid w:val="00BD3F0B"/>
    <w:rsid w:val="00BD3FA4"/>
    <w:rsid w:val="00BD3FDC"/>
    <w:rsid w:val="00BD4003"/>
    <w:rsid w:val="00BD40C5"/>
    <w:rsid w:val="00BD428C"/>
    <w:rsid w:val="00BD42D1"/>
    <w:rsid w:val="00BD4471"/>
    <w:rsid w:val="00BD44BA"/>
    <w:rsid w:val="00BD4502"/>
    <w:rsid w:val="00BD4514"/>
    <w:rsid w:val="00BD4558"/>
    <w:rsid w:val="00BD45E5"/>
    <w:rsid w:val="00BD45FA"/>
    <w:rsid w:val="00BD47D8"/>
    <w:rsid w:val="00BD47E0"/>
    <w:rsid w:val="00BD4886"/>
    <w:rsid w:val="00BD4904"/>
    <w:rsid w:val="00BD4AD8"/>
    <w:rsid w:val="00BD4C95"/>
    <w:rsid w:val="00BD4CC6"/>
    <w:rsid w:val="00BD4CF8"/>
    <w:rsid w:val="00BD4D44"/>
    <w:rsid w:val="00BD4E2C"/>
    <w:rsid w:val="00BD4E92"/>
    <w:rsid w:val="00BD4ED8"/>
    <w:rsid w:val="00BD529D"/>
    <w:rsid w:val="00BD5539"/>
    <w:rsid w:val="00BD55DE"/>
    <w:rsid w:val="00BD564A"/>
    <w:rsid w:val="00BD5696"/>
    <w:rsid w:val="00BD5779"/>
    <w:rsid w:val="00BD57A0"/>
    <w:rsid w:val="00BD5970"/>
    <w:rsid w:val="00BD5AAE"/>
    <w:rsid w:val="00BD5ABD"/>
    <w:rsid w:val="00BD5B1B"/>
    <w:rsid w:val="00BD5C4E"/>
    <w:rsid w:val="00BD5EBC"/>
    <w:rsid w:val="00BD5F32"/>
    <w:rsid w:val="00BD61EC"/>
    <w:rsid w:val="00BD6501"/>
    <w:rsid w:val="00BD6809"/>
    <w:rsid w:val="00BD697D"/>
    <w:rsid w:val="00BD6D11"/>
    <w:rsid w:val="00BD6D87"/>
    <w:rsid w:val="00BD6E5A"/>
    <w:rsid w:val="00BD703A"/>
    <w:rsid w:val="00BD70EA"/>
    <w:rsid w:val="00BD710A"/>
    <w:rsid w:val="00BD722A"/>
    <w:rsid w:val="00BD724E"/>
    <w:rsid w:val="00BD7407"/>
    <w:rsid w:val="00BD7408"/>
    <w:rsid w:val="00BD7568"/>
    <w:rsid w:val="00BD7694"/>
    <w:rsid w:val="00BD7743"/>
    <w:rsid w:val="00BD7985"/>
    <w:rsid w:val="00BD7998"/>
    <w:rsid w:val="00BD7A06"/>
    <w:rsid w:val="00BD7AB2"/>
    <w:rsid w:val="00BD7C50"/>
    <w:rsid w:val="00BD7D74"/>
    <w:rsid w:val="00BD7DEB"/>
    <w:rsid w:val="00BD7F06"/>
    <w:rsid w:val="00BD7FF4"/>
    <w:rsid w:val="00BE0067"/>
    <w:rsid w:val="00BE010A"/>
    <w:rsid w:val="00BE0126"/>
    <w:rsid w:val="00BE01E8"/>
    <w:rsid w:val="00BE0391"/>
    <w:rsid w:val="00BE04CE"/>
    <w:rsid w:val="00BE0722"/>
    <w:rsid w:val="00BE078E"/>
    <w:rsid w:val="00BE084C"/>
    <w:rsid w:val="00BE09DA"/>
    <w:rsid w:val="00BE0A5B"/>
    <w:rsid w:val="00BE0A65"/>
    <w:rsid w:val="00BE0AB7"/>
    <w:rsid w:val="00BE0B7A"/>
    <w:rsid w:val="00BE0C26"/>
    <w:rsid w:val="00BE0C59"/>
    <w:rsid w:val="00BE0D10"/>
    <w:rsid w:val="00BE0DD9"/>
    <w:rsid w:val="00BE0E21"/>
    <w:rsid w:val="00BE1019"/>
    <w:rsid w:val="00BE10FA"/>
    <w:rsid w:val="00BE1151"/>
    <w:rsid w:val="00BE1249"/>
    <w:rsid w:val="00BE132B"/>
    <w:rsid w:val="00BE149A"/>
    <w:rsid w:val="00BE14E8"/>
    <w:rsid w:val="00BE151E"/>
    <w:rsid w:val="00BE1653"/>
    <w:rsid w:val="00BE191F"/>
    <w:rsid w:val="00BE1979"/>
    <w:rsid w:val="00BE1A3A"/>
    <w:rsid w:val="00BE1CAB"/>
    <w:rsid w:val="00BE1CB0"/>
    <w:rsid w:val="00BE1F01"/>
    <w:rsid w:val="00BE1F3F"/>
    <w:rsid w:val="00BE2190"/>
    <w:rsid w:val="00BE21B1"/>
    <w:rsid w:val="00BE21DF"/>
    <w:rsid w:val="00BE225A"/>
    <w:rsid w:val="00BE230B"/>
    <w:rsid w:val="00BE2399"/>
    <w:rsid w:val="00BE246F"/>
    <w:rsid w:val="00BE24C5"/>
    <w:rsid w:val="00BE2611"/>
    <w:rsid w:val="00BE2739"/>
    <w:rsid w:val="00BE27D7"/>
    <w:rsid w:val="00BE27EB"/>
    <w:rsid w:val="00BE2891"/>
    <w:rsid w:val="00BE2917"/>
    <w:rsid w:val="00BE292F"/>
    <w:rsid w:val="00BE29CC"/>
    <w:rsid w:val="00BE29FD"/>
    <w:rsid w:val="00BE2CF5"/>
    <w:rsid w:val="00BE2E27"/>
    <w:rsid w:val="00BE3143"/>
    <w:rsid w:val="00BE330F"/>
    <w:rsid w:val="00BE3376"/>
    <w:rsid w:val="00BE38A4"/>
    <w:rsid w:val="00BE39A8"/>
    <w:rsid w:val="00BE3A92"/>
    <w:rsid w:val="00BE3C62"/>
    <w:rsid w:val="00BE3CF7"/>
    <w:rsid w:val="00BE3DC6"/>
    <w:rsid w:val="00BE3DE8"/>
    <w:rsid w:val="00BE3ECE"/>
    <w:rsid w:val="00BE3FDB"/>
    <w:rsid w:val="00BE4169"/>
    <w:rsid w:val="00BE41B9"/>
    <w:rsid w:val="00BE41C5"/>
    <w:rsid w:val="00BE426B"/>
    <w:rsid w:val="00BE434B"/>
    <w:rsid w:val="00BE457B"/>
    <w:rsid w:val="00BE45C2"/>
    <w:rsid w:val="00BE4645"/>
    <w:rsid w:val="00BE46F2"/>
    <w:rsid w:val="00BE4750"/>
    <w:rsid w:val="00BE475E"/>
    <w:rsid w:val="00BE47D0"/>
    <w:rsid w:val="00BE4AE1"/>
    <w:rsid w:val="00BE4D31"/>
    <w:rsid w:val="00BE4DE6"/>
    <w:rsid w:val="00BE4F7D"/>
    <w:rsid w:val="00BE5377"/>
    <w:rsid w:val="00BE5463"/>
    <w:rsid w:val="00BE54C6"/>
    <w:rsid w:val="00BE5664"/>
    <w:rsid w:val="00BE572E"/>
    <w:rsid w:val="00BE584B"/>
    <w:rsid w:val="00BE58D1"/>
    <w:rsid w:val="00BE5CE7"/>
    <w:rsid w:val="00BE5CF7"/>
    <w:rsid w:val="00BE5D9D"/>
    <w:rsid w:val="00BE5DD8"/>
    <w:rsid w:val="00BE5E27"/>
    <w:rsid w:val="00BE5E35"/>
    <w:rsid w:val="00BE5F1B"/>
    <w:rsid w:val="00BE602E"/>
    <w:rsid w:val="00BE61FB"/>
    <w:rsid w:val="00BE6208"/>
    <w:rsid w:val="00BE666D"/>
    <w:rsid w:val="00BE6734"/>
    <w:rsid w:val="00BE67AA"/>
    <w:rsid w:val="00BE67AC"/>
    <w:rsid w:val="00BE68E3"/>
    <w:rsid w:val="00BE6928"/>
    <w:rsid w:val="00BE6977"/>
    <w:rsid w:val="00BE69DF"/>
    <w:rsid w:val="00BE69F2"/>
    <w:rsid w:val="00BE6AB1"/>
    <w:rsid w:val="00BE6B97"/>
    <w:rsid w:val="00BE6BF3"/>
    <w:rsid w:val="00BE6CDB"/>
    <w:rsid w:val="00BE6D7A"/>
    <w:rsid w:val="00BE6EB5"/>
    <w:rsid w:val="00BE6ECE"/>
    <w:rsid w:val="00BE6F5E"/>
    <w:rsid w:val="00BE6FE1"/>
    <w:rsid w:val="00BE71EA"/>
    <w:rsid w:val="00BE71FF"/>
    <w:rsid w:val="00BE72D1"/>
    <w:rsid w:val="00BE72D8"/>
    <w:rsid w:val="00BE72DF"/>
    <w:rsid w:val="00BE732C"/>
    <w:rsid w:val="00BE73F1"/>
    <w:rsid w:val="00BE78DF"/>
    <w:rsid w:val="00BE792B"/>
    <w:rsid w:val="00BE7993"/>
    <w:rsid w:val="00BE79B0"/>
    <w:rsid w:val="00BE7B2F"/>
    <w:rsid w:val="00BE7D03"/>
    <w:rsid w:val="00BE7F1B"/>
    <w:rsid w:val="00BE7F62"/>
    <w:rsid w:val="00BE7FF2"/>
    <w:rsid w:val="00BF0055"/>
    <w:rsid w:val="00BF00C6"/>
    <w:rsid w:val="00BF0403"/>
    <w:rsid w:val="00BF0465"/>
    <w:rsid w:val="00BF048B"/>
    <w:rsid w:val="00BF0523"/>
    <w:rsid w:val="00BF0646"/>
    <w:rsid w:val="00BF072C"/>
    <w:rsid w:val="00BF0AEA"/>
    <w:rsid w:val="00BF0D22"/>
    <w:rsid w:val="00BF0D4E"/>
    <w:rsid w:val="00BF0DBE"/>
    <w:rsid w:val="00BF0F15"/>
    <w:rsid w:val="00BF0F79"/>
    <w:rsid w:val="00BF1198"/>
    <w:rsid w:val="00BF13C0"/>
    <w:rsid w:val="00BF14D8"/>
    <w:rsid w:val="00BF152D"/>
    <w:rsid w:val="00BF1618"/>
    <w:rsid w:val="00BF17B5"/>
    <w:rsid w:val="00BF19E3"/>
    <w:rsid w:val="00BF1D4B"/>
    <w:rsid w:val="00BF1E60"/>
    <w:rsid w:val="00BF1F75"/>
    <w:rsid w:val="00BF1FA8"/>
    <w:rsid w:val="00BF2108"/>
    <w:rsid w:val="00BF2134"/>
    <w:rsid w:val="00BF25A9"/>
    <w:rsid w:val="00BF25B9"/>
    <w:rsid w:val="00BF2625"/>
    <w:rsid w:val="00BF266B"/>
    <w:rsid w:val="00BF2951"/>
    <w:rsid w:val="00BF2B28"/>
    <w:rsid w:val="00BF2B86"/>
    <w:rsid w:val="00BF2D7B"/>
    <w:rsid w:val="00BF2EB9"/>
    <w:rsid w:val="00BF2FBA"/>
    <w:rsid w:val="00BF309C"/>
    <w:rsid w:val="00BF30AD"/>
    <w:rsid w:val="00BF313F"/>
    <w:rsid w:val="00BF318B"/>
    <w:rsid w:val="00BF31A5"/>
    <w:rsid w:val="00BF3398"/>
    <w:rsid w:val="00BF346B"/>
    <w:rsid w:val="00BF349A"/>
    <w:rsid w:val="00BF34AD"/>
    <w:rsid w:val="00BF352A"/>
    <w:rsid w:val="00BF3597"/>
    <w:rsid w:val="00BF3833"/>
    <w:rsid w:val="00BF38F9"/>
    <w:rsid w:val="00BF3962"/>
    <w:rsid w:val="00BF398B"/>
    <w:rsid w:val="00BF3B20"/>
    <w:rsid w:val="00BF3B43"/>
    <w:rsid w:val="00BF3C48"/>
    <w:rsid w:val="00BF3EB4"/>
    <w:rsid w:val="00BF3FD0"/>
    <w:rsid w:val="00BF3FEC"/>
    <w:rsid w:val="00BF410F"/>
    <w:rsid w:val="00BF418F"/>
    <w:rsid w:val="00BF41A5"/>
    <w:rsid w:val="00BF4280"/>
    <w:rsid w:val="00BF42BC"/>
    <w:rsid w:val="00BF438C"/>
    <w:rsid w:val="00BF4405"/>
    <w:rsid w:val="00BF4429"/>
    <w:rsid w:val="00BF44A7"/>
    <w:rsid w:val="00BF47B8"/>
    <w:rsid w:val="00BF47E9"/>
    <w:rsid w:val="00BF47FA"/>
    <w:rsid w:val="00BF4865"/>
    <w:rsid w:val="00BF4881"/>
    <w:rsid w:val="00BF4926"/>
    <w:rsid w:val="00BF4970"/>
    <w:rsid w:val="00BF4C0A"/>
    <w:rsid w:val="00BF4CA7"/>
    <w:rsid w:val="00BF4D40"/>
    <w:rsid w:val="00BF4D76"/>
    <w:rsid w:val="00BF4EB2"/>
    <w:rsid w:val="00BF4FD4"/>
    <w:rsid w:val="00BF5066"/>
    <w:rsid w:val="00BF5184"/>
    <w:rsid w:val="00BF525D"/>
    <w:rsid w:val="00BF5448"/>
    <w:rsid w:val="00BF5466"/>
    <w:rsid w:val="00BF5B32"/>
    <w:rsid w:val="00BF5B6E"/>
    <w:rsid w:val="00BF5DAE"/>
    <w:rsid w:val="00BF5ED6"/>
    <w:rsid w:val="00BF614E"/>
    <w:rsid w:val="00BF6240"/>
    <w:rsid w:val="00BF6259"/>
    <w:rsid w:val="00BF64FD"/>
    <w:rsid w:val="00BF6572"/>
    <w:rsid w:val="00BF6577"/>
    <w:rsid w:val="00BF66D1"/>
    <w:rsid w:val="00BF672A"/>
    <w:rsid w:val="00BF6817"/>
    <w:rsid w:val="00BF682A"/>
    <w:rsid w:val="00BF690F"/>
    <w:rsid w:val="00BF699D"/>
    <w:rsid w:val="00BF69C0"/>
    <w:rsid w:val="00BF6B5F"/>
    <w:rsid w:val="00BF6C6B"/>
    <w:rsid w:val="00BF6DB6"/>
    <w:rsid w:val="00BF6EC2"/>
    <w:rsid w:val="00BF6F8E"/>
    <w:rsid w:val="00BF6FC1"/>
    <w:rsid w:val="00BF71CF"/>
    <w:rsid w:val="00BF72EE"/>
    <w:rsid w:val="00BF7421"/>
    <w:rsid w:val="00BF744C"/>
    <w:rsid w:val="00BF7753"/>
    <w:rsid w:val="00BF7817"/>
    <w:rsid w:val="00BF7900"/>
    <w:rsid w:val="00BF7919"/>
    <w:rsid w:val="00BF7A43"/>
    <w:rsid w:val="00BF7B5D"/>
    <w:rsid w:val="00BF7BEB"/>
    <w:rsid w:val="00BF7BF2"/>
    <w:rsid w:val="00BF7C07"/>
    <w:rsid w:val="00BF7CD7"/>
    <w:rsid w:val="00BF7D5C"/>
    <w:rsid w:val="00BF7DDC"/>
    <w:rsid w:val="00BF7E3F"/>
    <w:rsid w:val="00BF7EF0"/>
    <w:rsid w:val="00BF7FC5"/>
    <w:rsid w:val="00C00075"/>
    <w:rsid w:val="00C000A7"/>
    <w:rsid w:val="00C001D7"/>
    <w:rsid w:val="00C0025E"/>
    <w:rsid w:val="00C003A7"/>
    <w:rsid w:val="00C004EA"/>
    <w:rsid w:val="00C00547"/>
    <w:rsid w:val="00C00562"/>
    <w:rsid w:val="00C00645"/>
    <w:rsid w:val="00C00824"/>
    <w:rsid w:val="00C008FB"/>
    <w:rsid w:val="00C00A5E"/>
    <w:rsid w:val="00C00A7D"/>
    <w:rsid w:val="00C00AE1"/>
    <w:rsid w:val="00C00C70"/>
    <w:rsid w:val="00C00C75"/>
    <w:rsid w:val="00C00D26"/>
    <w:rsid w:val="00C00D63"/>
    <w:rsid w:val="00C0109D"/>
    <w:rsid w:val="00C0128C"/>
    <w:rsid w:val="00C01301"/>
    <w:rsid w:val="00C013CF"/>
    <w:rsid w:val="00C0140A"/>
    <w:rsid w:val="00C01500"/>
    <w:rsid w:val="00C0155C"/>
    <w:rsid w:val="00C01612"/>
    <w:rsid w:val="00C016CD"/>
    <w:rsid w:val="00C018A5"/>
    <w:rsid w:val="00C01A86"/>
    <w:rsid w:val="00C01AED"/>
    <w:rsid w:val="00C01B22"/>
    <w:rsid w:val="00C01B31"/>
    <w:rsid w:val="00C01B7D"/>
    <w:rsid w:val="00C01C3A"/>
    <w:rsid w:val="00C01DCE"/>
    <w:rsid w:val="00C01EB8"/>
    <w:rsid w:val="00C01EBE"/>
    <w:rsid w:val="00C01F4B"/>
    <w:rsid w:val="00C01F55"/>
    <w:rsid w:val="00C02026"/>
    <w:rsid w:val="00C02031"/>
    <w:rsid w:val="00C02072"/>
    <w:rsid w:val="00C021CB"/>
    <w:rsid w:val="00C02592"/>
    <w:rsid w:val="00C02595"/>
    <w:rsid w:val="00C02A40"/>
    <w:rsid w:val="00C02B3C"/>
    <w:rsid w:val="00C02C7B"/>
    <w:rsid w:val="00C02D54"/>
    <w:rsid w:val="00C02DE3"/>
    <w:rsid w:val="00C02DF9"/>
    <w:rsid w:val="00C0303B"/>
    <w:rsid w:val="00C0311A"/>
    <w:rsid w:val="00C031D6"/>
    <w:rsid w:val="00C0328D"/>
    <w:rsid w:val="00C034FD"/>
    <w:rsid w:val="00C035E2"/>
    <w:rsid w:val="00C03625"/>
    <w:rsid w:val="00C03768"/>
    <w:rsid w:val="00C037D2"/>
    <w:rsid w:val="00C03948"/>
    <w:rsid w:val="00C03B1B"/>
    <w:rsid w:val="00C03B53"/>
    <w:rsid w:val="00C03D2D"/>
    <w:rsid w:val="00C03D84"/>
    <w:rsid w:val="00C03E60"/>
    <w:rsid w:val="00C04023"/>
    <w:rsid w:val="00C04055"/>
    <w:rsid w:val="00C04077"/>
    <w:rsid w:val="00C041A4"/>
    <w:rsid w:val="00C04202"/>
    <w:rsid w:val="00C043DE"/>
    <w:rsid w:val="00C0443B"/>
    <w:rsid w:val="00C04510"/>
    <w:rsid w:val="00C046EB"/>
    <w:rsid w:val="00C046F2"/>
    <w:rsid w:val="00C04711"/>
    <w:rsid w:val="00C0473A"/>
    <w:rsid w:val="00C0481D"/>
    <w:rsid w:val="00C04977"/>
    <w:rsid w:val="00C049A3"/>
    <w:rsid w:val="00C04BB8"/>
    <w:rsid w:val="00C04C25"/>
    <w:rsid w:val="00C04D32"/>
    <w:rsid w:val="00C04D35"/>
    <w:rsid w:val="00C04D3D"/>
    <w:rsid w:val="00C04D97"/>
    <w:rsid w:val="00C04EBE"/>
    <w:rsid w:val="00C04F37"/>
    <w:rsid w:val="00C05508"/>
    <w:rsid w:val="00C0583E"/>
    <w:rsid w:val="00C059BA"/>
    <w:rsid w:val="00C05A53"/>
    <w:rsid w:val="00C05AF5"/>
    <w:rsid w:val="00C05B23"/>
    <w:rsid w:val="00C05B78"/>
    <w:rsid w:val="00C05D99"/>
    <w:rsid w:val="00C05EF9"/>
    <w:rsid w:val="00C05FFE"/>
    <w:rsid w:val="00C06032"/>
    <w:rsid w:val="00C06056"/>
    <w:rsid w:val="00C060DB"/>
    <w:rsid w:val="00C06195"/>
    <w:rsid w:val="00C062C9"/>
    <w:rsid w:val="00C06599"/>
    <w:rsid w:val="00C0668E"/>
    <w:rsid w:val="00C06959"/>
    <w:rsid w:val="00C06A76"/>
    <w:rsid w:val="00C06AAA"/>
    <w:rsid w:val="00C06B5E"/>
    <w:rsid w:val="00C06C07"/>
    <w:rsid w:val="00C06EAD"/>
    <w:rsid w:val="00C06F74"/>
    <w:rsid w:val="00C07033"/>
    <w:rsid w:val="00C0717E"/>
    <w:rsid w:val="00C0731A"/>
    <w:rsid w:val="00C07393"/>
    <w:rsid w:val="00C073F5"/>
    <w:rsid w:val="00C076F7"/>
    <w:rsid w:val="00C077E2"/>
    <w:rsid w:val="00C07804"/>
    <w:rsid w:val="00C07821"/>
    <w:rsid w:val="00C07A19"/>
    <w:rsid w:val="00C07B17"/>
    <w:rsid w:val="00C07C3F"/>
    <w:rsid w:val="00C07CDD"/>
    <w:rsid w:val="00C07E0F"/>
    <w:rsid w:val="00C07F09"/>
    <w:rsid w:val="00C100E2"/>
    <w:rsid w:val="00C10279"/>
    <w:rsid w:val="00C1037C"/>
    <w:rsid w:val="00C1041F"/>
    <w:rsid w:val="00C10454"/>
    <w:rsid w:val="00C10464"/>
    <w:rsid w:val="00C10529"/>
    <w:rsid w:val="00C105AB"/>
    <w:rsid w:val="00C10713"/>
    <w:rsid w:val="00C1083F"/>
    <w:rsid w:val="00C109E9"/>
    <w:rsid w:val="00C10C40"/>
    <w:rsid w:val="00C10CCD"/>
    <w:rsid w:val="00C10DF9"/>
    <w:rsid w:val="00C10F0C"/>
    <w:rsid w:val="00C11034"/>
    <w:rsid w:val="00C1112F"/>
    <w:rsid w:val="00C11158"/>
    <w:rsid w:val="00C111A7"/>
    <w:rsid w:val="00C11208"/>
    <w:rsid w:val="00C1126C"/>
    <w:rsid w:val="00C11394"/>
    <w:rsid w:val="00C11455"/>
    <w:rsid w:val="00C1145C"/>
    <w:rsid w:val="00C1160F"/>
    <w:rsid w:val="00C11623"/>
    <w:rsid w:val="00C11640"/>
    <w:rsid w:val="00C1165D"/>
    <w:rsid w:val="00C117F6"/>
    <w:rsid w:val="00C11C84"/>
    <w:rsid w:val="00C11DC7"/>
    <w:rsid w:val="00C11E77"/>
    <w:rsid w:val="00C12059"/>
    <w:rsid w:val="00C12519"/>
    <w:rsid w:val="00C12631"/>
    <w:rsid w:val="00C12882"/>
    <w:rsid w:val="00C129BB"/>
    <w:rsid w:val="00C12B76"/>
    <w:rsid w:val="00C12B8D"/>
    <w:rsid w:val="00C12BAA"/>
    <w:rsid w:val="00C12BED"/>
    <w:rsid w:val="00C12C0B"/>
    <w:rsid w:val="00C12C65"/>
    <w:rsid w:val="00C12D77"/>
    <w:rsid w:val="00C12E13"/>
    <w:rsid w:val="00C12E8D"/>
    <w:rsid w:val="00C12F0E"/>
    <w:rsid w:val="00C12FC3"/>
    <w:rsid w:val="00C12FCC"/>
    <w:rsid w:val="00C13051"/>
    <w:rsid w:val="00C13114"/>
    <w:rsid w:val="00C13695"/>
    <w:rsid w:val="00C139B3"/>
    <w:rsid w:val="00C139C0"/>
    <w:rsid w:val="00C13B14"/>
    <w:rsid w:val="00C13BD4"/>
    <w:rsid w:val="00C13BF6"/>
    <w:rsid w:val="00C13C03"/>
    <w:rsid w:val="00C13CA5"/>
    <w:rsid w:val="00C13CC2"/>
    <w:rsid w:val="00C13F23"/>
    <w:rsid w:val="00C13F3E"/>
    <w:rsid w:val="00C13F7B"/>
    <w:rsid w:val="00C1404B"/>
    <w:rsid w:val="00C1412E"/>
    <w:rsid w:val="00C1418B"/>
    <w:rsid w:val="00C141EC"/>
    <w:rsid w:val="00C1427F"/>
    <w:rsid w:val="00C14288"/>
    <w:rsid w:val="00C1433A"/>
    <w:rsid w:val="00C14413"/>
    <w:rsid w:val="00C14540"/>
    <w:rsid w:val="00C1455E"/>
    <w:rsid w:val="00C145CE"/>
    <w:rsid w:val="00C145E1"/>
    <w:rsid w:val="00C145F2"/>
    <w:rsid w:val="00C147D0"/>
    <w:rsid w:val="00C147EC"/>
    <w:rsid w:val="00C1484D"/>
    <w:rsid w:val="00C14968"/>
    <w:rsid w:val="00C14AFE"/>
    <w:rsid w:val="00C14D5F"/>
    <w:rsid w:val="00C14DB2"/>
    <w:rsid w:val="00C14E3E"/>
    <w:rsid w:val="00C14ED2"/>
    <w:rsid w:val="00C14F24"/>
    <w:rsid w:val="00C14F6B"/>
    <w:rsid w:val="00C1501B"/>
    <w:rsid w:val="00C1507E"/>
    <w:rsid w:val="00C15310"/>
    <w:rsid w:val="00C1535C"/>
    <w:rsid w:val="00C15394"/>
    <w:rsid w:val="00C15686"/>
    <w:rsid w:val="00C15A1C"/>
    <w:rsid w:val="00C15BF2"/>
    <w:rsid w:val="00C15C81"/>
    <w:rsid w:val="00C15E5B"/>
    <w:rsid w:val="00C15E79"/>
    <w:rsid w:val="00C15ED0"/>
    <w:rsid w:val="00C15F6F"/>
    <w:rsid w:val="00C15F98"/>
    <w:rsid w:val="00C16170"/>
    <w:rsid w:val="00C161F2"/>
    <w:rsid w:val="00C16458"/>
    <w:rsid w:val="00C164D4"/>
    <w:rsid w:val="00C164D7"/>
    <w:rsid w:val="00C164DA"/>
    <w:rsid w:val="00C16577"/>
    <w:rsid w:val="00C165B6"/>
    <w:rsid w:val="00C1683E"/>
    <w:rsid w:val="00C16878"/>
    <w:rsid w:val="00C16881"/>
    <w:rsid w:val="00C169C4"/>
    <w:rsid w:val="00C16A5A"/>
    <w:rsid w:val="00C16AAA"/>
    <w:rsid w:val="00C16B74"/>
    <w:rsid w:val="00C16D46"/>
    <w:rsid w:val="00C16E20"/>
    <w:rsid w:val="00C16EEA"/>
    <w:rsid w:val="00C170B5"/>
    <w:rsid w:val="00C17160"/>
    <w:rsid w:val="00C17297"/>
    <w:rsid w:val="00C17502"/>
    <w:rsid w:val="00C1754D"/>
    <w:rsid w:val="00C17594"/>
    <w:rsid w:val="00C176B3"/>
    <w:rsid w:val="00C177DA"/>
    <w:rsid w:val="00C17A6F"/>
    <w:rsid w:val="00C17AB3"/>
    <w:rsid w:val="00C17C80"/>
    <w:rsid w:val="00C17E4F"/>
    <w:rsid w:val="00C17EB3"/>
    <w:rsid w:val="00C17FAB"/>
    <w:rsid w:val="00C17FFA"/>
    <w:rsid w:val="00C20203"/>
    <w:rsid w:val="00C20235"/>
    <w:rsid w:val="00C202EF"/>
    <w:rsid w:val="00C20421"/>
    <w:rsid w:val="00C20482"/>
    <w:rsid w:val="00C20546"/>
    <w:rsid w:val="00C2060A"/>
    <w:rsid w:val="00C206FF"/>
    <w:rsid w:val="00C20749"/>
    <w:rsid w:val="00C2078F"/>
    <w:rsid w:val="00C207DB"/>
    <w:rsid w:val="00C2082F"/>
    <w:rsid w:val="00C2086C"/>
    <w:rsid w:val="00C20A7A"/>
    <w:rsid w:val="00C20A97"/>
    <w:rsid w:val="00C20D23"/>
    <w:rsid w:val="00C20D72"/>
    <w:rsid w:val="00C20F47"/>
    <w:rsid w:val="00C21098"/>
    <w:rsid w:val="00C21109"/>
    <w:rsid w:val="00C21198"/>
    <w:rsid w:val="00C2130D"/>
    <w:rsid w:val="00C21310"/>
    <w:rsid w:val="00C21549"/>
    <w:rsid w:val="00C2156B"/>
    <w:rsid w:val="00C215F4"/>
    <w:rsid w:val="00C21681"/>
    <w:rsid w:val="00C216A1"/>
    <w:rsid w:val="00C21918"/>
    <w:rsid w:val="00C219B9"/>
    <w:rsid w:val="00C21A49"/>
    <w:rsid w:val="00C21A58"/>
    <w:rsid w:val="00C21A76"/>
    <w:rsid w:val="00C21B0D"/>
    <w:rsid w:val="00C21B0E"/>
    <w:rsid w:val="00C21B82"/>
    <w:rsid w:val="00C21F1E"/>
    <w:rsid w:val="00C21F9B"/>
    <w:rsid w:val="00C21FB2"/>
    <w:rsid w:val="00C22019"/>
    <w:rsid w:val="00C22145"/>
    <w:rsid w:val="00C221B7"/>
    <w:rsid w:val="00C22270"/>
    <w:rsid w:val="00C222B7"/>
    <w:rsid w:val="00C222CF"/>
    <w:rsid w:val="00C222F2"/>
    <w:rsid w:val="00C22384"/>
    <w:rsid w:val="00C2242A"/>
    <w:rsid w:val="00C227B0"/>
    <w:rsid w:val="00C228A0"/>
    <w:rsid w:val="00C22A2D"/>
    <w:rsid w:val="00C22B72"/>
    <w:rsid w:val="00C22C33"/>
    <w:rsid w:val="00C22C3E"/>
    <w:rsid w:val="00C22C90"/>
    <w:rsid w:val="00C22D32"/>
    <w:rsid w:val="00C22DEA"/>
    <w:rsid w:val="00C2322D"/>
    <w:rsid w:val="00C23280"/>
    <w:rsid w:val="00C232D0"/>
    <w:rsid w:val="00C233CD"/>
    <w:rsid w:val="00C23501"/>
    <w:rsid w:val="00C23854"/>
    <w:rsid w:val="00C23A6E"/>
    <w:rsid w:val="00C23C8C"/>
    <w:rsid w:val="00C23CAE"/>
    <w:rsid w:val="00C23CF8"/>
    <w:rsid w:val="00C23E28"/>
    <w:rsid w:val="00C23E29"/>
    <w:rsid w:val="00C23E7D"/>
    <w:rsid w:val="00C23F89"/>
    <w:rsid w:val="00C240BD"/>
    <w:rsid w:val="00C240D2"/>
    <w:rsid w:val="00C24168"/>
    <w:rsid w:val="00C24374"/>
    <w:rsid w:val="00C2437D"/>
    <w:rsid w:val="00C24426"/>
    <w:rsid w:val="00C2452B"/>
    <w:rsid w:val="00C245A1"/>
    <w:rsid w:val="00C24638"/>
    <w:rsid w:val="00C24753"/>
    <w:rsid w:val="00C247C4"/>
    <w:rsid w:val="00C248DB"/>
    <w:rsid w:val="00C249D1"/>
    <w:rsid w:val="00C24A05"/>
    <w:rsid w:val="00C24AF1"/>
    <w:rsid w:val="00C24C53"/>
    <w:rsid w:val="00C24C80"/>
    <w:rsid w:val="00C24CC3"/>
    <w:rsid w:val="00C24D6A"/>
    <w:rsid w:val="00C24E15"/>
    <w:rsid w:val="00C24E4F"/>
    <w:rsid w:val="00C2500C"/>
    <w:rsid w:val="00C250E4"/>
    <w:rsid w:val="00C2513D"/>
    <w:rsid w:val="00C2516A"/>
    <w:rsid w:val="00C2520D"/>
    <w:rsid w:val="00C252D1"/>
    <w:rsid w:val="00C25565"/>
    <w:rsid w:val="00C25639"/>
    <w:rsid w:val="00C256AF"/>
    <w:rsid w:val="00C256CF"/>
    <w:rsid w:val="00C25704"/>
    <w:rsid w:val="00C2575E"/>
    <w:rsid w:val="00C2587A"/>
    <w:rsid w:val="00C25891"/>
    <w:rsid w:val="00C2595D"/>
    <w:rsid w:val="00C259D3"/>
    <w:rsid w:val="00C25A15"/>
    <w:rsid w:val="00C25A1D"/>
    <w:rsid w:val="00C25A85"/>
    <w:rsid w:val="00C25AD3"/>
    <w:rsid w:val="00C25BC7"/>
    <w:rsid w:val="00C25D32"/>
    <w:rsid w:val="00C25DCB"/>
    <w:rsid w:val="00C25F69"/>
    <w:rsid w:val="00C2625E"/>
    <w:rsid w:val="00C262D5"/>
    <w:rsid w:val="00C2638B"/>
    <w:rsid w:val="00C2643F"/>
    <w:rsid w:val="00C26509"/>
    <w:rsid w:val="00C26677"/>
    <w:rsid w:val="00C266BB"/>
    <w:rsid w:val="00C266E3"/>
    <w:rsid w:val="00C266E6"/>
    <w:rsid w:val="00C267BF"/>
    <w:rsid w:val="00C26857"/>
    <w:rsid w:val="00C2685C"/>
    <w:rsid w:val="00C268C0"/>
    <w:rsid w:val="00C26960"/>
    <w:rsid w:val="00C269E5"/>
    <w:rsid w:val="00C26A7E"/>
    <w:rsid w:val="00C26C92"/>
    <w:rsid w:val="00C26CE9"/>
    <w:rsid w:val="00C26DC1"/>
    <w:rsid w:val="00C26E25"/>
    <w:rsid w:val="00C26E77"/>
    <w:rsid w:val="00C26E9F"/>
    <w:rsid w:val="00C26FCE"/>
    <w:rsid w:val="00C272E5"/>
    <w:rsid w:val="00C2737D"/>
    <w:rsid w:val="00C274D6"/>
    <w:rsid w:val="00C27680"/>
    <w:rsid w:val="00C27683"/>
    <w:rsid w:val="00C27750"/>
    <w:rsid w:val="00C27AEC"/>
    <w:rsid w:val="00C27BDF"/>
    <w:rsid w:val="00C27E81"/>
    <w:rsid w:val="00C27E9D"/>
    <w:rsid w:val="00C306FB"/>
    <w:rsid w:val="00C3075D"/>
    <w:rsid w:val="00C30889"/>
    <w:rsid w:val="00C30A30"/>
    <w:rsid w:val="00C30A31"/>
    <w:rsid w:val="00C30AB4"/>
    <w:rsid w:val="00C30BBF"/>
    <w:rsid w:val="00C30BF0"/>
    <w:rsid w:val="00C30E96"/>
    <w:rsid w:val="00C30F64"/>
    <w:rsid w:val="00C3100F"/>
    <w:rsid w:val="00C31088"/>
    <w:rsid w:val="00C31097"/>
    <w:rsid w:val="00C310A5"/>
    <w:rsid w:val="00C31268"/>
    <w:rsid w:val="00C312EC"/>
    <w:rsid w:val="00C3133F"/>
    <w:rsid w:val="00C31476"/>
    <w:rsid w:val="00C315D0"/>
    <w:rsid w:val="00C31709"/>
    <w:rsid w:val="00C317C0"/>
    <w:rsid w:val="00C31978"/>
    <w:rsid w:val="00C3199C"/>
    <w:rsid w:val="00C31A85"/>
    <w:rsid w:val="00C31ACE"/>
    <w:rsid w:val="00C31B02"/>
    <w:rsid w:val="00C31B8A"/>
    <w:rsid w:val="00C31FB5"/>
    <w:rsid w:val="00C32068"/>
    <w:rsid w:val="00C320A7"/>
    <w:rsid w:val="00C321A7"/>
    <w:rsid w:val="00C321AF"/>
    <w:rsid w:val="00C321CF"/>
    <w:rsid w:val="00C322A1"/>
    <w:rsid w:val="00C32325"/>
    <w:rsid w:val="00C3238D"/>
    <w:rsid w:val="00C324D9"/>
    <w:rsid w:val="00C32527"/>
    <w:rsid w:val="00C32538"/>
    <w:rsid w:val="00C3269E"/>
    <w:rsid w:val="00C32724"/>
    <w:rsid w:val="00C327EA"/>
    <w:rsid w:val="00C3288D"/>
    <w:rsid w:val="00C32AE9"/>
    <w:rsid w:val="00C32AFB"/>
    <w:rsid w:val="00C32B0C"/>
    <w:rsid w:val="00C32B2F"/>
    <w:rsid w:val="00C32B79"/>
    <w:rsid w:val="00C32C97"/>
    <w:rsid w:val="00C32F56"/>
    <w:rsid w:val="00C33043"/>
    <w:rsid w:val="00C33124"/>
    <w:rsid w:val="00C331B6"/>
    <w:rsid w:val="00C332E1"/>
    <w:rsid w:val="00C3330D"/>
    <w:rsid w:val="00C3337B"/>
    <w:rsid w:val="00C3343C"/>
    <w:rsid w:val="00C334EB"/>
    <w:rsid w:val="00C335C7"/>
    <w:rsid w:val="00C33668"/>
    <w:rsid w:val="00C33820"/>
    <w:rsid w:val="00C33925"/>
    <w:rsid w:val="00C33964"/>
    <w:rsid w:val="00C3398C"/>
    <w:rsid w:val="00C3398F"/>
    <w:rsid w:val="00C33A51"/>
    <w:rsid w:val="00C33C22"/>
    <w:rsid w:val="00C33C8B"/>
    <w:rsid w:val="00C33D14"/>
    <w:rsid w:val="00C33D16"/>
    <w:rsid w:val="00C33D36"/>
    <w:rsid w:val="00C33D77"/>
    <w:rsid w:val="00C33DD1"/>
    <w:rsid w:val="00C33DFA"/>
    <w:rsid w:val="00C33EF2"/>
    <w:rsid w:val="00C341A6"/>
    <w:rsid w:val="00C34338"/>
    <w:rsid w:val="00C3438D"/>
    <w:rsid w:val="00C3463F"/>
    <w:rsid w:val="00C34643"/>
    <w:rsid w:val="00C34647"/>
    <w:rsid w:val="00C346BD"/>
    <w:rsid w:val="00C3471C"/>
    <w:rsid w:val="00C348A5"/>
    <w:rsid w:val="00C348D4"/>
    <w:rsid w:val="00C348EB"/>
    <w:rsid w:val="00C34BE3"/>
    <w:rsid w:val="00C34C17"/>
    <w:rsid w:val="00C34C51"/>
    <w:rsid w:val="00C34C95"/>
    <w:rsid w:val="00C34CB7"/>
    <w:rsid w:val="00C34DD1"/>
    <w:rsid w:val="00C35199"/>
    <w:rsid w:val="00C35211"/>
    <w:rsid w:val="00C352B8"/>
    <w:rsid w:val="00C353B2"/>
    <w:rsid w:val="00C35515"/>
    <w:rsid w:val="00C35519"/>
    <w:rsid w:val="00C3570C"/>
    <w:rsid w:val="00C35901"/>
    <w:rsid w:val="00C35916"/>
    <w:rsid w:val="00C35A6E"/>
    <w:rsid w:val="00C35B29"/>
    <w:rsid w:val="00C35B7B"/>
    <w:rsid w:val="00C35BFE"/>
    <w:rsid w:val="00C35C7B"/>
    <w:rsid w:val="00C35D3F"/>
    <w:rsid w:val="00C35DFC"/>
    <w:rsid w:val="00C35EE7"/>
    <w:rsid w:val="00C36029"/>
    <w:rsid w:val="00C36120"/>
    <w:rsid w:val="00C361F1"/>
    <w:rsid w:val="00C3624E"/>
    <w:rsid w:val="00C36257"/>
    <w:rsid w:val="00C362D7"/>
    <w:rsid w:val="00C36398"/>
    <w:rsid w:val="00C363B7"/>
    <w:rsid w:val="00C36446"/>
    <w:rsid w:val="00C36464"/>
    <w:rsid w:val="00C364F3"/>
    <w:rsid w:val="00C36552"/>
    <w:rsid w:val="00C3661D"/>
    <w:rsid w:val="00C36663"/>
    <w:rsid w:val="00C3676D"/>
    <w:rsid w:val="00C367E9"/>
    <w:rsid w:val="00C36999"/>
    <w:rsid w:val="00C369DB"/>
    <w:rsid w:val="00C36A8B"/>
    <w:rsid w:val="00C36A91"/>
    <w:rsid w:val="00C36A93"/>
    <w:rsid w:val="00C36A98"/>
    <w:rsid w:val="00C36B71"/>
    <w:rsid w:val="00C36C00"/>
    <w:rsid w:val="00C3700C"/>
    <w:rsid w:val="00C371F0"/>
    <w:rsid w:val="00C3721E"/>
    <w:rsid w:val="00C37292"/>
    <w:rsid w:val="00C3758D"/>
    <w:rsid w:val="00C3763D"/>
    <w:rsid w:val="00C37709"/>
    <w:rsid w:val="00C3786B"/>
    <w:rsid w:val="00C378CB"/>
    <w:rsid w:val="00C37935"/>
    <w:rsid w:val="00C379D6"/>
    <w:rsid w:val="00C37A7B"/>
    <w:rsid w:val="00C37B97"/>
    <w:rsid w:val="00C37E4D"/>
    <w:rsid w:val="00C37EE6"/>
    <w:rsid w:val="00C40031"/>
    <w:rsid w:val="00C4009C"/>
    <w:rsid w:val="00C4010F"/>
    <w:rsid w:val="00C401B1"/>
    <w:rsid w:val="00C4024C"/>
    <w:rsid w:val="00C403B1"/>
    <w:rsid w:val="00C403FB"/>
    <w:rsid w:val="00C40475"/>
    <w:rsid w:val="00C40548"/>
    <w:rsid w:val="00C40715"/>
    <w:rsid w:val="00C40786"/>
    <w:rsid w:val="00C40970"/>
    <w:rsid w:val="00C40AD9"/>
    <w:rsid w:val="00C40AE1"/>
    <w:rsid w:val="00C40BE0"/>
    <w:rsid w:val="00C40DF2"/>
    <w:rsid w:val="00C40E9B"/>
    <w:rsid w:val="00C40EE8"/>
    <w:rsid w:val="00C41002"/>
    <w:rsid w:val="00C410E9"/>
    <w:rsid w:val="00C412B6"/>
    <w:rsid w:val="00C41395"/>
    <w:rsid w:val="00C413D0"/>
    <w:rsid w:val="00C4147A"/>
    <w:rsid w:val="00C41542"/>
    <w:rsid w:val="00C41789"/>
    <w:rsid w:val="00C4182E"/>
    <w:rsid w:val="00C41AC7"/>
    <w:rsid w:val="00C41B25"/>
    <w:rsid w:val="00C41E2B"/>
    <w:rsid w:val="00C41F35"/>
    <w:rsid w:val="00C41FCC"/>
    <w:rsid w:val="00C4213D"/>
    <w:rsid w:val="00C422D3"/>
    <w:rsid w:val="00C42382"/>
    <w:rsid w:val="00C4260F"/>
    <w:rsid w:val="00C4273E"/>
    <w:rsid w:val="00C427A1"/>
    <w:rsid w:val="00C427A3"/>
    <w:rsid w:val="00C427AD"/>
    <w:rsid w:val="00C42949"/>
    <w:rsid w:val="00C429F4"/>
    <w:rsid w:val="00C42A11"/>
    <w:rsid w:val="00C42A2D"/>
    <w:rsid w:val="00C42AA2"/>
    <w:rsid w:val="00C42B2C"/>
    <w:rsid w:val="00C42B69"/>
    <w:rsid w:val="00C42BD7"/>
    <w:rsid w:val="00C42D19"/>
    <w:rsid w:val="00C42D7D"/>
    <w:rsid w:val="00C42D88"/>
    <w:rsid w:val="00C42DC8"/>
    <w:rsid w:val="00C42FD6"/>
    <w:rsid w:val="00C43021"/>
    <w:rsid w:val="00C43061"/>
    <w:rsid w:val="00C43142"/>
    <w:rsid w:val="00C43165"/>
    <w:rsid w:val="00C431D1"/>
    <w:rsid w:val="00C4333B"/>
    <w:rsid w:val="00C4343F"/>
    <w:rsid w:val="00C435A6"/>
    <w:rsid w:val="00C4367E"/>
    <w:rsid w:val="00C437DB"/>
    <w:rsid w:val="00C43A9B"/>
    <w:rsid w:val="00C43C1D"/>
    <w:rsid w:val="00C43C60"/>
    <w:rsid w:val="00C43E6E"/>
    <w:rsid w:val="00C43E83"/>
    <w:rsid w:val="00C43F70"/>
    <w:rsid w:val="00C44000"/>
    <w:rsid w:val="00C44314"/>
    <w:rsid w:val="00C4434A"/>
    <w:rsid w:val="00C44374"/>
    <w:rsid w:val="00C444CC"/>
    <w:rsid w:val="00C445A2"/>
    <w:rsid w:val="00C44650"/>
    <w:rsid w:val="00C44680"/>
    <w:rsid w:val="00C446EF"/>
    <w:rsid w:val="00C44735"/>
    <w:rsid w:val="00C44778"/>
    <w:rsid w:val="00C44846"/>
    <w:rsid w:val="00C44928"/>
    <w:rsid w:val="00C44AC1"/>
    <w:rsid w:val="00C44B12"/>
    <w:rsid w:val="00C44C3C"/>
    <w:rsid w:val="00C44DDE"/>
    <w:rsid w:val="00C44F13"/>
    <w:rsid w:val="00C44F5E"/>
    <w:rsid w:val="00C45022"/>
    <w:rsid w:val="00C450A1"/>
    <w:rsid w:val="00C4512B"/>
    <w:rsid w:val="00C4515D"/>
    <w:rsid w:val="00C451E9"/>
    <w:rsid w:val="00C4520A"/>
    <w:rsid w:val="00C45289"/>
    <w:rsid w:val="00C452EF"/>
    <w:rsid w:val="00C453D8"/>
    <w:rsid w:val="00C454A5"/>
    <w:rsid w:val="00C45550"/>
    <w:rsid w:val="00C45733"/>
    <w:rsid w:val="00C45776"/>
    <w:rsid w:val="00C457DD"/>
    <w:rsid w:val="00C45827"/>
    <w:rsid w:val="00C4590F"/>
    <w:rsid w:val="00C45970"/>
    <w:rsid w:val="00C459FB"/>
    <w:rsid w:val="00C45B04"/>
    <w:rsid w:val="00C45B78"/>
    <w:rsid w:val="00C45CFA"/>
    <w:rsid w:val="00C45D4D"/>
    <w:rsid w:val="00C45DD1"/>
    <w:rsid w:val="00C45F3A"/>
    <w:rsid w:val="00C45F83"/>
    <w:rsid w:val="00C46269"/>
    <w:rsid w:val="00C4628D"/>
    <w:rsid w:val="00C463C6"/>
    <w:rsid w:val="00C46432"/>
    <w:rsid w:val="00C4649C"/>
    <w:rsid w:val="00C46575"/>
    <w:rsid w:val="00C465DD"/>
    <w:rsid w:val="00C4669C"/>
    <w:rsid w:val="00C4678B"/>
    <w:rsid w:val="00C467B7"/>
    <w:rsid w:val="00C46871"/>
    <w:rsid w:val="00C46944"/>
    <w:rsid w:val="00C469A6"/>
    <w:rsid w:val="00C46AE2"/>
    <w:rsid w:val="00C46C6A"/>
    <w:rsid w:val="00C46C8F"/>
    <w:rsid w:val="00C46CDC"/>
    <w:rsid w:val="00C46D78"/>
    <w:rsid w:val="00C46EBA"/>
    <w:rsid w:val="00C46ECB"/>
    <w:rsid w:val="00C471D1"/>
    <w:rsid w:val="00C472EC"/>
    <w:rsid w:val="00C473B3"/>
    <w:rsid w:val="00C474C9"/>
    <w:rsid w:val="00C474DE"/>
    <w:rsid w:val="00C4752F"/>
    <w:rsid w:val="00C4790D"/>
    <w:rsid w:val="00C479B6"/>
    <w:rsid w:val="00C47A06"/>
    <w:rsid w:val="00C47A30"/>
    <w:rsid w:val="00C47BDB"/>
    <w:rsid w:val="00C47D58"/>
    <w:rsid w:val="00C47E61"/>
    <w:rsid w:val="00C47FC3"/>
    <w:rsid w:val="00C5008E"/>
    <w:rsid w:val="00C500A6"/>
    <w:rsid w:val="00C500C4"/>
    <w:rsid w:val="00C50169"/>
    <w:rsid w:val="00C501D8"/>
    <w:rsid w:val="00C50250"/>
    <w:rsid w:val="00C50295"/>
    <w:rsid w:val="00C503C3"/>
    <w:rsid w:val="00C504E8"/>
    <w:rsid w:val="00C5065F"/>
    <w:rsid w:val="00C50702"/>
    <w:rsid w:val="00C50AB2"/>
    <w:rsid w:val="00C50B95"/>
    <w:rsid w:val="00C50B98"/>
    <w:rsid w:val="00C50DD6"/>
    <w:rsid w:val="00C50FE7"/>
    <w:rsid w:val="00C511CE"/>
    <w:rsid w:val="00C51218"/>
    <w:rsid w:val="00C51239"/>
    <w:rsid w:val="00C5126B"/>
    <w:rsid w:val="00C51277"/>
    <w:rsid w:val="00C513ED"/>
    <w:rsid w:val="00C514AA"/>
    <w:rsid w:val="00C515AB"/>
    <w:rsid w:val="00C517B1"/>
    <w:rsid w:val="00C517BE"/>
    <w:rsid w:val="00C51864"/>
    <w:rsid w:val="00C518F6"/>
    <w:rsid w:val="00C5197C"/>
    <w:rsid w:val="00C519E2"/>
    <w:rsid w:val="00C51A82"/>
    <w:rsid w:val="00C51C5E"/>
    <w:rsid w:val="00C51CEE"/>
    <w:rsid w:val="00C51D7A"/>
    <w:rsid w:val="00C51DAB"/>
    <w:rsid w:val="00C5208D"/>
    <w:rsid w:val="00C5214C"/>
    <w:rsid w:val="00C52237"/>
    <w:rsid w:val="00C5225B"/>
    <w:rsid w:val="00C5249A"/>
    <w:rsid w:val="00C52525"/>
    <w:rsid w:val="00C5260F"/>
    <w:rsid w:val="00C52A81"/>
    <w:rsid w:val="00C52BEE"/>
    <w:rsid w:val="00C52C9B"/>
    <w:rsid w:val="00C52DB6"/>
    <w:rsid w:val="00C52FE7"/>
    <w:rsid w:val="00C53057"/>
    <w:rsid w:val="00C53239"/>
    <w:rsid w:val="00C533E0"/>
    <w:rsid w:val="00C534C1"/>
    <w:rsid w:val="00C53530"/>
    <w:rsid w:val="00C53586"/>
    <w:rsid w:val="00C53622"/>
    <w:rsid w:val="00C53680"/>
    <w:rsid w:val="00C5376B"/>
    <w:rsid w:val="00C53851"/>
    <w:rsid w:val="00C538CE"/>
    <w:rsid w:val="00C538F8"/>
    <w:rsid w:val="00C53A2A"/>
    <w:rsid w:val="00C53ACB"/>
    <w:rsid w:val="00C53AF7"/>
    <w:rsid w:val="00C53CB9"/>
    <w:rsid w:val="00C53CC5"/>
    <w:rsid w:val="00C53D73"/>
    <w:rsid w:val="00C53E66"/>
    <w:rsid w:val="00C54013"/>
    <w:rsid w:val="00C540F0"/>
    <w:rsid w:val="00C54379"/>
    <w:rsid w:val="00C543FB"/>
    <w:rsid w:val="00C5449A"/>
    <w:rsid w:val="00C54518"/>
    <w:rsid w:val="00C54574"/>
    <w:rsid w:val="00C546D5"/>
    <w:rsid w:val="00C546FF"/>
    <w:rsid w:val="00C547CB"/>
    <w:rsid w:val="00C54CA4"/>
    <w:rsid w:val="00C54F6E"/>
    <w:rsid w:val="00C55101"/>
    <w:rsid w:val="00C55170"/>
    <w:rsid w:val="00C55209"/>
    <w:rsid w:val="00C552C7"/>
    <w:rsid w:val="00C55313"/>
    <w:rsid w:val="00C55380"/>
    <w:rsid w:val="00C555A6"/>
    <w:rsid w:val="00C55730"/>
    <w:rsid w:val="00C55792"/>
    <w:rsid w:val="00C557FE"/>
    <w:rsid w:val="00C558F1"/>
    <w:rsid w:val="00C55918"/>
    <w:rsid w:val="00C559D7"/>
    <w:rsid w:val="00C55B11"/>
    <w:rsid w:val="00C55B5C"/>
    <w:rsid w:val="00C55DEB"/>
    <w:rsid w:val="00C55E10"/>
    <w:rsid w:val="00C55E14"/>
    <w:rsid w:val="00C55EA4"/>
    <w:rsid w:val="00C55F35"/>
    <w:rsid w:val="00C55F5A"/>
    <w:rsid w:val="00C56050"/>
    <w:rsid w:val="00C56076"/>
    <w:rsid w:val="00C560D8"/>
    <w:rsid w:val="00C56241"/>
    <w:rsid w:val="00C564D4"/>
    <w:rsid w:val="00C56534"/>
    <w:rsid w:val="00C56571"/>
    <w:rsid w:val="00C56615"/>
    <w:rsid w:val="00C5668B"/>
    <w:rsid w:val="00C56766"/>
    <w:rsid w:val="00C56814"/>
    <w:rsid w:val="00C568B4"/>
    <w:rsid w:val="00C56AE0"/>
    <w:rsid w:val="00C56D51"/>
    <w:rsid w:val="00C56E27"/>
    <w:rsid w:val="00C56E56"/>
    <w:rsid w:val="00C56EC7"/>
    <w:rsid w:val="00C56EDC"/>
    <w:rsid w:val="00C570A9"/>
    <w:rsid w:val="00C5726E"/>
    <w:rsid w:val="00C57508"/>
    <w:rsid w:val="00C5757D"/>
    <w:rsid w:val="00C57733"/>
    <w:rsid w:val="00C57737"/>
    <w:rsid w:val="00C577C6"/>
    <w:rsid w:val="00C577D0"/>
    <w:rsid w:val="00C579B8"/>
    <w:rsid w:val="00C579E2"/>
    <w:rsid w:val="00C57A96"/>
    <w:rsid w:val="00C57ADA"/>
    <w:rsid w:val="00C57BA9"/>
    <w:rsid w:val="00C57C17"/>
    <w:rsid w:val="00C57DDC"/>
    <w:rsid w:val="00C57EAA"/>
    <w:rsid w:val="00C57F15"/>
    <w:rsid w:val="00C57F96"/>
    <w:rsid w:val="00C57FDE"/>
    <w:rsid w:val="00C57FEB"/>
    <w:rsid w:val="00C60155"/>
    <w:rsid w:val="00C601DD"/>
    <w:rsid w:val="00C602FF"/>
    <w:rsid w:val="00C60302"/>
    <w:rsid w:val="00C60384"/>
    <w:rsid w:val="00C603A1"/>
    <w:rsid w:val="00C60455"/>
    <w:rsid w:val="00C60469"/>
    <w:rsid w:val="00C60492"/>
    <w:rsid w:val="00C60538"/>
    <w:rsid w:val="00C6069A"/>
    <w:rsid w:val="00C60704"/>
    <w:rsid w:val="00C607A3"/>
    <w:rsid w:val="00C60A68"/>
    <w:rsid w:val="00C60B7F"/>
    <w:rsid w:val="00C60BDC"/>
    <w:rsid w:val="00C60CC5"/>
    <w:rsid w:val="00C60E03"/>
    <w:rsid w:val="00C60FA9"/>
    <w:rsid w:val="00C60FED"/>
    <w:rsid w:val="00C6111F"/>
    <w:rsid w:val="00C6124C"/>
    <w:rsid w:val="00C6128C"/>
    <w:rsid w:val="00C6141F"/>
    <w:rsid w:val="00C614E3"/>
    <w:rsid w:val="00C616B9"/>
    <w:rsid w:val="00C616F3"/>
    <w:rsid w:val="00C61785"/>
    <w:rsid w:val="00C6185B"/>
    <w:rsid w:val="00C61877"/>
    <w:rsid w:val="00C61881"/>
    <w:rsid w:val="00C618DE"/>
    <w:rsid w:val="00C618F3"/>
    <w:rsid w:val="00C6193B"/>
    <w:rsid w:val="00C6196A"/>
    <w:rsid w:val="00C61A3F"/>
    <w:rsid w:val="00C61A60"/>
    <w:rsid w:val="00C61C91"/>
    <w:rsid w:val="00C61CA3"/>
    <w:rsid w:val="00C61D2E"/>
    <w:rsid w:val="00C61EB9"/>
    <w:rsid w:val="00C62109"/>
    <w:rsid w:val="00C623B6"/>
    <w:rsid w:val="00C624AC"/>
    <w:rsid w:val="00C6255E"/>
    <w:rsid w:val="00C6258E"/>
    <w:rsid w:val="00C62631"/>
    <w:rsid w:val="00C627C4"/>
    <w:rsid w:val="00C627F6"/>
    <w:rsid w:val="00C629D1"/>
    <w:rsid w:val="00C62AE2"/>
    <w:rsid w:val="00C62B09"/>
    <w:rsid w:val="00C62BD9"/>
    <w:rsid w:val="00C62C93"/>
    <w:rsid w:val="00C62CDA"/>
    <w:rsid w:val="00C62DAD"/>
    <w:rsid w:val="00C62EFA"/>
    <w:rsid w:val="00C62F67"/>
    <w:rsid w:val="00C63043"/>
    <w:rsid w:val="00C6304C"/>
    <w:rsid w:val="00C63066"/>
    <w:rsid w:val="00C63258"/>
    <w:rsid w:val="00C6328A"/>
    <w:rsid w:val="00C63476"/>
    <w:rsid w:val="00C635CE"/>
    <w:rsid w:val="00C638CA"/>
    <w:rsid w:val="00C63905"/>
    <w:rsid w:val="00C63A41"/>
    <w:rsid w:val="00C63AB5"/>
    <w:rsid w:val="00C63C37"/>
    <w:rsid w:val="00C63DF9"/>
    <w:rsid w:val="00C63EE6"/>
    <w:rsid w:val="00C63F7C"/>
    <w:rsid w:val="00C63FA3"/>
    <w:rsid w:val="00C64175"/>
    <w:rsid w:val="00C64306"/>
    <w:rsid w:val="00C643A8"/>
    <w:rsid w:val="00C6440D"/>
    <w:rsid w:val="00C64574"/>
    <w:rsid w:val="00C6465C"/>
    <w:rsid w:val="00C64663"/>
    <w:rsid w:val="00C64670"/>
    <w:rsid w:val="00C648CA"/>
    <w:rsid w:val="00C64A8F"/>
    <w:rsid w:val="00C64A99"/>
    <w:rsid w:val="00C64BB6"/>
    <w:rsid w:val="00C64E44"/>
    <w:rsid w:val="00C64F4B"/>
    <w:rsid w:val="00C65100"/>
    <w:rsid w:val="00C6525D"/>
    <w:rsid w:val="00C65330"/>
    <w:rsid w:val="00C6534B"/>
    <w:rsid w:val="00C6534C"/>
    <w:rsid w:val="00C655D6"/>
    <w:rsid w:val="00C6560F"/>
    <w:rsid w:val="00C656D5"/>
    <w:rsid w:val="00C65901"/>
    <w:rsid w:val="00C65A30"/>
    <w:rsid w:val="00C65AB3"/>
    <w:rsid w:val="00C65C05"/>
    <w:rsid w:val="00C65C8A"/>
    <w:rsid w:val="00C65E9E"/>
    <w:rsid w:val="00C65EC0"/>
    <w:rsid w:val="00C65F39"/>
    <w:rsid w:val="00C660AE"/>
    <w:rsid w:val="00C66197"/>
    <w:rsid w:val="00C6626B"/>
    <w:rsid w:val="00C66305"/>
    <w:rsid w:val="00C6635E"/>
    <w:rsid w:val="00C6642E"/>
    <w:rsid w:val="00C664AD"/>
    <w:rsid w:val="00C665C3"/>
    <w:rsid w:val="00C666C8"/>
    <w:rsid w:val="00C6673B"/>
    <w:rsid w:val="00C667C1"/>
    <w:rsid w:val="00C6686B"/>
    <w:rsid w:val="00C66A88"/>
    <w:rsid w:val="00C66B5F"/>
    <w:rsid w:val="00C66BA5"/>
    <w:rsid w:val="00C66C13"/>
    <w:rsid w:val="00C66C99"/>
    <w:rsid w:val="00C66D70"/>
    <w:rsid w:val="00C66E3E"/>
    <w:rsid w:val="00C66E5F"/>
    <w:rsid w:val="00C66ED8"/>
    <w:rsid w:val="00C66F72"/>
    <w:rsid w:val="00C670AD"/>
    <w:rsid w:val="00C670B5"/>
    <w:rsid w:val="00C670D5"/>
    <w:rsid w:val="00C672B7"/>
    <w:rsid w:val="00C67327"/>
    <w:rsid w:val="00C67388"/>
    <w:rsid w:val="00C673A4"/>
    <w:rsid w:val="00C67450"/>
    <w:rsid w:val="00C6745B"/>
    <w:rsid w:val="00C676BA"/>
    <w:rsid w:val="00C67752"/>
    <w:rsid w:val="00C677B8"/>
    <w:rsid w:val="00C678C1"/>
    <w:rsid w:val="00C67911"/>
    <w:rsid w:val="00C67A12"/>
    <w:rsid w:val="00C67A78"/>
    <w:rsid w:val="00C67A8B"/>
    <w:rsid w:val="00C67C93"/>
    <w:rsid w:val="00C67EFD"/>
    <w:rsid w:val="00C67F46"/>
    <w:rsid w:val="00C67FA2"/>
    <w:rsid w:val="00C69A01"/>
    <w:rsid w:val="00C7012C"/>
    <w:rsid w:val="00C701CE"/>
    <w:rsid w:val="00C701E2"/>
    <w:rsid w:val="00C702F6"/>
    <w:rsid w:val="00C70301"/>
    <w:rsid w:val="00C70384"/>
    <w:rsid w:val="00C70398"/>
    <w:rsid w:val="00C7044B"/>
    <w:rsid w:val="00C70485"/>
    <w:rsid w:val="00C7058A"/>
    <w:rsid w:val="00C705FB"/>
    <w:rsid w:val="00C70610"/>
    <w:rsid w:val="00C7063F"/>
    <w:rsid w:val="00C706F3"/>
    <w:rsid w:val="00C70B08"/>
    <w:rsid w:val="00C70B25"/>
    <w:rsid w:val="00C70B74"/>
    <w:rsid w:val="00C70BB4"/>
    <w:rsid w:val="00C70BF2"/>
    <w:rsid w:val="00C70C7F"/>
    <w:rsid w:val="00C70C8B"/>
    <w:rsid w:val="00C70D83"/>
    <w:rsid w:val="00C70E0C"/>
    <w:rsid w:val="00C70E34"/>
    <w:rsid w:val="00C70EC2"/>
    <w:rsid w:val="00C70F6A"/>
    <w:rsid w:val="00C713C7"/>
    <w:rsid w:val="00C7141F"/>
    <w:rsid w:val="00C71499"/>
    <w:rsid w:val="00C714C3"/>
    <w:rsid w:val="00C715DF"/>
    <w:rsid w:val="00C7163A"/>
    <w:rsid w:val="00C716DB"/>
    <w:rsid w:val="00C71848"/>
    <w:rsid w:val="00C7185B"/>
    <w:rsid w:val="00C71886"/>
    <w:rsid w:val="00C71964"/>
    <w:rsid w:val="00C71A2E"/>
    <w:rsid w:val="00C71A8B"/>
    <w:rsid w:val="00C71BC6"/>
    <w:rsid w:val="00C71CA7"/>
    <w:rsid w:val="00C71DFB"/>
    <w:rsid w:val="00C71E2F"/>
    <w:rsid w:val="00C71E60"/>
    <w:rsid w:val="00C71F94"/>
    <w:rsid w:val="00C71FAE"/>
    <w:rsid w:val="00C71FFB"/>
    <w:rsid w:val="00C7211A"/>
    <w:rsid w:val="00C72127"/>
    <w:rsid w:val="00C721C1"/>
    <w:rsid w:val="00C7220C"/>
    <w:rsid w:val="00C7228C"/>
    <w:rsid w:val="00C72357"/>
    <w:rsid w:val="00C7235C"/>
    <w:rsid w:val="00C72363"/>
    <w:rsid w:val="00C72409"/>
    <w:rsid w:val="00C72520"/>
    <w:rsid w:val="00C72565"/>
    <w:rsid w:val="00C7258A"/>
    <w:rsid w:val="00C725F7"/>
    <w:rsid w:val="00C7286B"/>
    <w:rsid w:val="00C7296F"/>
    <w:rsid w:val="00C729B4"/>
    <w:rsid w:val="00C72A0E"/>
    <w:rsid w:val="00C72BFB"/>
    <w:rsid w:val="00C72CC4"/>
    <w:rsid w:val="00C72DBA"/>
    <w:rsid w:val="00C72FD4"/>
    <w:rsid w:val="00C730CB"/>
    <w:rsid w:val="00C732B1"/>
    <w:rsid w:val="00C7338C"/>
    <w:rsid w:val="00C7357C"/>
    <w:rsid w:val="00C737A7"/>
    <w:rsid w:val="00C738AE"/>
    <w:rsid w:val="00C73929"/>
    <w:rsid w:val="00C73AA6"/>
    <w:rsid w:val="00C73B26"/>
    <w:rsid w:val="00C73B55"/>
    <w:rsid w:val="00C73BE2"/>
    <w:rsid w:val="00C73C09"/>
    <w:rsid w:val="00C73C34"/>
    <w:rsid w:val="00C73D16"/>
    <w:rsid w:val="00C73D2A"/>
    <w:rsid w:val="00C73F7D"/>
    <w:rsid w:val="00C74210"/>
    <w:rsid w:val="00C7428F"/>
    <w:rsid w:val="00C74327"/>
    <w:rsid w:val="00C74506"/>
    <w:rsid w:val="00C7456C"/>
    <w:rsid w:val="00C7461E"/>
    <w:rsid w:val="00C746DC"/>
    <w:rsid w:val="00C7474F"/>
    <w:rsid w:val="00C7486B"/>
    <w:rsid w:val="00C7488D"/>
    <w:rsid w:val="00C74A9B"/>
    <w:rsid w:val="00C74B43"/>
    <w:rsid w:val="00C74B5A"/>
    <w:rsid w:val="00C74B91"/>
    <w:rsid w:val="00C74D90"/>
    <w:rsid w:val="00C74E31"/>
    <w:rsid w:val="00C74F6B"/>
    <w:rsid w:val="00C74FA4"/>
    <w:rsid w:val="00C7512D"/>
    <w:rsid w:val="00C75173"/>
    <w:rsid w:val="00C7525D"/>
    <w:rsid w:val="00C752DB"/>
    <w:rsid w:val="00C75510"/>
    <w:rsid w:val="00C755A0"/>
    <w:rsid w:val="00C755C2"/>
    <w:rsid w:val="00C7564E"/>
    <w:rsid w:val="00C75687"/>
    <w:rsid w:val="00C75781"/>
    <w:rsid w:val="00C75821"/>
    <w:rsid w:val="00C75852"/>
    <w:rsid w:val="00C7595A"/>
    <w:rsid w:val="00C75A39"/>
    <w:rsid w:val="00C75A5D"/>
    <w:rsid w:val="00C75AC6"/>
    <w:rsid w:val="00C75B11"/>
    <w:rsid w:val="00C75BBF"/>
    <w:rsid w:val="00C75CF8"/>
    <w:rsid w:val="00C75F28"/>
    <w:rsid w:val="00C75F95"/>
    <w:rsid w:val="00C7601E"/>
    <w:rsid w:val="00C76071"/>
    <w:rsid w:val="00C761AF"/>
    <w:rsid w:val="00C763BC"/>
    <w:rsid w:val="00C76453"/>
    <w:rsid w:val="00C764F0"/>
    <w:rsid w:val="00C766FA"/>
    <w:rsid w:val="00C7675C"/>
    <w:rsid w:val="00C767FC"/>
    <w:rsid w:val="00C7691C"/>
    <w:rsid w:val="00C76983"/>
    <w:rsid w:val="00C76A2F"/>
    <w:rsid w:val="00C76A32"/>
    <w:rsid w:val="00C76A59"/>
    <w:rsid w:val="00C76A94"/>
    <w:rsid w:val="00C76E27"/>
    <w:rsid w:val="00C76E66"/>
    <w:rsid w:val="00C76F68"/>
    <w:rsid w:val="00C77045"/>
    <w:rsid w:val="00C77064"/>
    <w:rsid w:val="00C77072"/>
    <w:rsid w:val="00C77262"/>
    <w:rsid w:val="00C77271"/>
    <w:rsid w:val="00C773FC"/>
    <w:rsid w:val="00C7742B"/>
    <w:rsid w:val="00C77508"/>
    <w:rsid w:val="00C7759A"/>
    <w:rsid w:val="00C77650"/>
    <w:rsid w:val="00C77770"/>
    <w:rsid w:val="00C77902"/>
    <w:rsid w:val="00C77935"/>
    <w:rsid w:val="00C7794D"/>
    <w:rsid w:val="00C7796B"/>
    <w:rsid w:val="00C77AD3"/>
    <w:rsid w:val="00C77BDB"/>
    <w:rsid w:val="00C77C02"/>
    <w:rsid w:val="00C77C62"/>
    <w:rsid w:val="00C77C74"/>
    <w:rsid w:val="00C77CB0"/>
    <w:rsid w:val="00C77D07"/>
    <w:rsid w:val="00C77EF2"/>
    <w:rsid w:val="00C77F8E"/>
    <w:rsid w:val="00C80014"/>
    <w:rsid w:val="00C8007E"/>
    <w:rsid w:val="00C800F0"/>
    <w:rsid w:val="00C801C0"/>
    <w:rsid w:val="00C80243"/>
    <w:rsid w:val="00C802E8"/>
    <w:rsid w:val="00C802FD"/>
    <w:rsid w:val="00C8039E"/>
    <w:rsid w:val="00C807F1"/>
    <w:rsid w:val="00C80A05"/>
    <w:rsid w:val="00C80B44"/>
    <w:rsid w:val="00C80D96"/>
    <w:rsid w:val="00C80EAF"/>
    <w:rsid w:val="00C80F2C"/>
    <w:rsid w:val="00C81009"/>
    <w:rsid w:val="00C8110A"/>
    <w:rsid w:val="00C811C4"/>
    <w:rsid w:val="00C8125E"/>
    <w:rsid w:val="00C813AE"/>
    <w:rsid w:val="00C8142A"/>
    <w:rsid w:val="00C8162C"/>
    <w:rsid w:val="00C81683"/>
    <w:rsid w:val="00C816C2"/>
    <w:rsid w:val="00C81712"/>
    <w:rsid w:val="00C81723"/>
    <w:rsid w:val="00C8174C"/>
    <w:rsid w:val="00C817A3"/>
    <w:rsid w:val="00C817EE"/>
    <w:rsid w:val="00C81845"/>
    <w:rsid w:val="00C81A2F"/>
    <w:rsid w:val="00C81AE6"/>
    <w:rsid w:val="00C81BF5"/>
    <w:rsid w:val="00C81C2D"/>
    <w:rsid w:val="00C81DA9"/>
    <w:rsid w:val="00C81E2A"/>
    <w:rsid w:val="00C81F25"/>
    <w:rsid w:val="00C81F5B"/>
    <w:rsid w:val="00C81FB6"/>
    <w:rsid w:val="00C82044"/>
    <w:rsid w:val="00C82059"/>
    <w:rsid w:val="00C82072"/>
    <w:rsid w:val="00C82104"/>
    <w:rsid w:val="00C8225C"/>
    <w:rsid w:val="00C822ED"/>
    <w:rsid w:val="00C82305"/>
    <w:rsid w:val="00C82360"/>
    <w:rsid w:val="00C82392"/>
    <w:rsid w:val="00C82404"/>
    <w:rsid w:val="00C82421"/>
    <w:rsid w:val="00C82451"/>
    <w:rsid w:val="00C8253A"/>
    <w:rsid w:val="00C82542"/>
    <w:rsid w:val="00C8278F"/>
    <w:rsid w:val="00C827A7"/>
    <w:rsid w:val="00C82A24"/>
    <w:rsid w:val="00C82B24"/>
    <w:rsid w:val="00C82BB7"/>
    <w:rsid w:val="00C82C33"/>
    <w:rsid w:val="00C82CBA"/>
    <w:rsid w:val="00C82F95"/>
    <w:rsid w:val="00C82FC0"/>
    <w:rsid w:val="00C8302E"/>
    <w:rsid w:val="00C830A4"/>
    <w:rsid w:val="00C831B5"/>
    <w:rsid w:val="00C8338B"/>
    <w:rsid w:val="00C833E8"/>
    <w:rsid w:val="00C834E6"/>
    <w:rsid w:val="00C835E0"/>
    <w:rsid w:val="00C83620"/>
    <w:rsid w:val="00C8371E"/>
    <w:rsid w:val="00C838A6"/>
    <w:rsid w:val="00C838EC"/>
    <w:rsid w:val="00C839CA"/>
    <w:rsid w:val="00C83A1A"/>
    <w:rsid w:val="00C83AFA"/>
    <w:rsid w:val="00C83B46"/>
    <w:rsid w:val="00C83B4A"/>
    <w:rsid w:val="00C83B76"/>
    <w:rsid w:val="00C83CA7"/>
    <w:rsid w:val="00C83F81"/>
    <w:rsid w:val="00C8403B"/>
    <w:rsid w:val="00C8404E"/>
    <w:rsid w:val="00C8419E"/>
    <w:rsid w:val="00C841CD"/>
    <w:rsid w:val="00C843C0"/>
    <w:rsid w:val="00C843D9"/>
    <w:rsid w:val="00C84423"/>
    <w:rsid w:val="00C84499"/>
    <w:rsid w:val="00C844A5"/>
    <w:rsid w:val="00C846DD"/>
    <w:rsid w:val="00C84797"/>
    <w:rsid w:val="00C847A8"/>
    <w:rsid w:val="00C84938"/>
    <w:rsid w:val="00C84949"/>
    <w:rsid w:val="00C84AB8"/>
    <w:rsid w:val="00C84BA8"/>
    <w:rsid w:val="00C84C4B"/>
    <w:rsid w:val="00C84DEA"/>
    <w:rsid w:val="00C84EC3"/>
    <w:rsid w:val="00C84EE5"/>
    <w:rsid w:val="00C85030"/>
    <w:rsid w:val="00C850C5"/>
    <w:rsid w:val="00C8515A"/>
    <w:rsid w:val="00C851BC"/>
    <w:rsid w:val="00C8553E"/>
    <w:rsid w:val="00C85745"/>
    <w:rsid w:val="00C85878"/>
    <w:rsid w:val="00C85A48"/>
    <w:rsid w:val="00C85A83"/>
    <w:rsid w:val="00C85B1F"/>
    <w:rsid w:val="00C85B71"/>
    <w:rsid w:val="00C85C2A"/>
    <w:rsid w:val="00C85C88"/>
    <w:rsid w:val="00C85DDE"/>
    <w:rsid w:val="00C85E73"/>
    <w:rsid w:val="00C85F1D"/>
    <w:rsid w:val="00C86158"/>
    <w:rsid w:val="00C86265"/>
    <w:rsid w:val="00C8637F"/>
    <w:rsid w:val="00C8641F"/>
    <w:rsid w:val="00C86541"/>
    <w:rsid w:val="00C865A6"/>
    <w:rsid w:val="00C865CA"/>
    <w:rsid w:val="00C8692F"/>
    <w:rsid w:val="00C8695D"/>
    <w:rsid w:val="00C869B2"/>
    <w:rsid w:val="00C869C3"/>
    <w:rsid w:val="00C86AAE"/>
    <w:rsid w:val="00C86AD1"/>
    <w:rsid w:val="00C86B38"/>
    <w:rsid w:val="00C86B68"/>
    <w:rsid w:val="00C86CF9"/>
    <w:rsid w:val="00C86DA9"/>
    <w:rsid w:val="00C86E50"/>
    <w:rsid w:val="00C86FAA"/>
    <w:rsid w:val="00C8701E"/>
    <w:rsid w:val="00C870F2"/>
    <w:rsid w:val="00C871FD"/>
    <w:rsid w:val="00C8741D"/>
    <w:rsid w:val="00C874D5"/>
    <w:rsid w:val="00C8752E"/>
    <w:rsid w:val="00C87819"/>
    <w:rsid w:val="00C87847"/>
    <w:rsid w:val="00C87869"/>
    <w:rsid w:val="00C87E5C"/>
    <w:rsid w:val="00C87FA4"/>
    <w:rsid w:val="00C87FD2"/>
    <w:rsid w:val="00C90148"/>
    <w:rsid w:val="00C90149"/>
    <w:rsid w:val="00C90171"/>
    <w:rsid w:val="00C9018A"/>
    <w:rsid w:val="00C9033D"/>
    <w:rsid w:val="00C90355"/>
    <w:rsid w:val="00C90479"/>
    <w:rsid w:val="00C9050B"/>
    <w:rsid w:val="00C905F4"/>
    <w:rsid w:val="00C9068A"/>
    <w:rsid w:val="00C906BB"/>
    <w:rsid w:val="00C906F7"/>
    <w:rsid w:val="00C9079A"/>
    <w:rsid w:val="00C907FB"/>
    <w:rsid w:val="00C909DC"/>
    <w:rsid w:val="00C90A16"/>
    <w:rsid w:val="00C90BFB"/>
    <w:rsid w:val="00C90D24"/>
    <w:rsid w:val="00C90D27"/>
    <w:rsid w:val="00C90E87"/>
    <w:rsid w:val="00C91004"/>
    <w:rsid w:val="00C9117D"/>
    <w:rsid w:val="00C91325"/>
    <w:rsid w:val="00C913D5"/>
    <w:rsid w:val="00C91453"/>
    <w:rsid w:val="00C9145C"/>
    <w:rsid w:val="00C915FD"/>
    <w:rsid w:val="00C9160B"/>
    <w:rsid w:val="00C91784"/>
    <w:rsid w:val="00C918BA"/>
    <w:rsid w:val="00C91A24"/>
    <w:rsid w:val="00C91A46"/>
    <w:rsid w:val="00C91BF4"/>
    <w:rsid w:val="00C91C27"/>
    <w:rsid w:val="00C91DAF"/>
    <w:rsid w:val="00C91EF3"/>
    <w:rsid w:val="00C92298"/>
    <w:rsid w:val="00C922DF"/>
    <w:rsid w:val="00C9239A"/>
    <w:rsid w:val="00C925A4"/>
    <w:rsid w:val="00C925AC"/>
    <w:rsid w:val="00C925E5"/>
    <w:rsid w:val="00C9260D"/>
    <w:rsid w:val="00C9261E"/>
    <w:rsid w:val="00C9262F"/>
    <w:rsid w:val="00C92640"/>
    <w:rsid w:val="00C9289B"/>
    <w:rsid w:val="00C929FC"/>
    <w:rsid w:val="00C92ABB"/>
    <w:rsid w:val="00C92B00"/>
    <w:rsid w:val="00C92BB1"/>
    <w:rsid w:val="00C92D44"/>
    <w:rsid w:val="00C92DE1"/>
    <w:rsid w:val="00C92DE9"/>
    <w:rsid w:val="00C92F3D"/>
    <w:rsid w:val="00C92F74"/>
    <w:rsid w:val="00C92FF9"/>
    <w:rsid w:val="00C930AB"/>
    <w:rsid w:val="00C930B2"/>
    <w:rsid w:val="00C9325E"/>
    <w:rsid w:val="00C93312"/>
    <w:rsid w:val="00C933E6"/>
    <w:rsid w:val="00C93650"/>
    <w:rsid w:val="00C936B9"/>
    <w:rsid w:val="00C93881"/>
    <w:rsid w:val="00C94017"/>
    <w:rsid w:val="00C9409C"/>
    <w:rsid w:val="00C941AC"/>
    <w:rsid w:val="00C941E7"/>
    <w:rsid w:val="00C941F2"/>
    <w:rsid w:val="00C942DA"/>
    <w:rsid w:val="00C942E9"/>
    <w:rsid w:val="00C94360"/>
    <w:rsid w:val="00C94520"/>
    <w:rsid w:val="00C94550"/>
    <w:rsid w:val="00C9482B"/>
    <w:rsid w:val="00C94868"/>
    <w:rsid w:val="00C94880"/>
    <w:rsid w:val="00C949AC"/>
    <w:rsid w:val="00C94A60"/>
    <w:rsid w:val="00C94B17"/>
    <w:rsid w:val="00C94CCB"/>
    <w:rsid w:val="00C94F25"/>
    <w:rsid w:val="00C94FE5"/>
    <w:rsid w:val="00C9501A"/>
    <w:rsid w:val="00C95442"/>
    <w:rsid w:val="00C95492"/>
    <w:rsid w:val="00C95811"/>
    <w:rsid w:val="00C95B50"/>
    <w:rsid w:val="00C95C0C"/>
    <w:rsid w:val="00C95CE2"/>
    <w:rsid w:val="00C95D2A"/>
    <w:rsid w:val="00C95DAB"/>
    <w:rsid w:val="00C95EEF"/>
    <w:rsid w:val="00C95FDF"/>
    <w:rsid w:val="00C96068"/>
    <w:rsid w:val="00C960A2"/>
    <w:rsid w:val="00C96353"/>
    <w:rsid w:val="00C9653E"/>
    <w:rsid w:val="00C9657A"/>
    <w:rsid w:val="00C966CA"/>
    <w:rsid w:val="00C968D3"/>
    <w:rsid w:val="00C969E9"/>
    <w:rsid w:val="00C96C40"/>
    <w:rsid w:val="00C96D94"/>
    <w:rsid w:val="00C96DB9"/>
    <w:rsid w:val="00C96DDD"/>
    <w:rsid w:val="00C96E3B"/>
    <w:rsid w:val="00C96E95"/>
    <w:rsid w:val="00C96EE1"/>
    <w:rsid w:val="00C96F03"/>
    <w:rsid w:val="00C96F84"/>
    <w:rsid w:val="00C96FD9"/>
    <w:rsid w:val="00C96FEA"/>
    <w:rsid w:val="00C97361"/>
    <w:rsid w:val="00C973B5"/>
    <w:rsid w:val="00C973FC"/>
    <w:rsid w:val="00C97578"/>
    <w:rsid w:val="00C9766B"/>
    <w:rsid w:val="00C976EF"/>
    <w:rsid w:val="00C9772F"/>
    <w:rsid w:val="00C97745"/>
    <w:rsid w:val="00C97A84"/>
    <w:rsid w:val="00C97BEA"/>
    <w:rsid w:val="00C97C2A"/>
    <w:rsid w:val="00C97CF5"/>
    <w:rsid w:val="00C97E45"/>
    <w:rsid w:val="00C97F22"/>
    <w:rsid w:val="00C97F61"/>
    <w:rsid w:val="00CA01F1"/>
    <w:rsid w:val="00CA0212"/>
    <w:rsid w:val="00CA031D"/>
    <w:rsid w:val="00CA03D0"/>
    <w:rsid w:val="00CA06C7"/>
    <w:rsid w:val="00CA06F2"/>
    <w:rsid w:val="00CA0763"/>
    <w:rsid w:val="00CA0AD6"/>
    <w:rsid w:val="00CA0EE1"/>
    <w:rsid w:val="00CA0F17"/>
    <w:rsid w:val="00CA0F85"/>
    <w:rsid w:val="00CA10AC"/>
    <w:rsid w:val="00CA11BD"/>
    <w:rsid w:val="00CA12F1"/>
    <w:rsid w:val="00CA138A"/>
    <w:rsid w:val="00CA13CB"/>
    <w:rsid w:val="00CA15D2"/>
    <w:rsid w:val="00CA168A"/>
    <w:rsid w:val="00CA16F8"/>
    <w:rsid w:val="00CA1794"/>
    <w:rsid w:val="00CA17B1"/>
    <w:rsid w:val="00CA1A92"/>
    <w:rsid w:val="00CA1ABB"/>
    <w:rsid w:val="00CA1AEA"/>
    <w:rsid w:val="00CA1B07"/>
    <w:rsid w:val="00CA1B4B"/>
    <w:rsid w:val="00CA1BBD"/>
    <w:rsid w:val="00CA1BC1"/>
    <w:rsid w:val="00CA1C4A"/>
    <w:rsid w:val="00CA1D6E"/>
    <w:rsid w:val="00CA1E5E"/>
    <w:rsid w:val="00CA1EA0"/>
    <w:rsid w:val="00CA1FB1"/>
    <w:rsid w:val="00CA201B"/>
    <w:rsid w:val="00CA205F"/>
    <w:rsid w:val="00CA22E4"/>
    <w:rsid w:val="00CA2464"/>
    <w:rsid w:val="00CA2578"/>
    <w:rsid w:val="00CA2882"/>
    <w:rsid w:val="00CA2965"/>
    <w:rsid w:val="00CA2AF2"/>
    <w:rsid w:val="00CA2B9B"/>
    <w:rsid w:val="00CA2C85"/>
    <w:rsid w:val="00CA2CF3"/>
    <w:rsid w:val="00CA2D64"/>
    <w:rsid w:val="00CA2D84"/>
    <w:rsid w:val="00CA2E20"/>
    <w:rsid w:val="00CA2ECD"/>
    <w:rsid w:val="00CA2F85"/>
    <w:rsid w:val="00CA3156"/>
    <w:rsid w:val="00CA324E"/>
    <w:rsid w:val="00CA3282"/>
    <w:rsid w:val="00CA332F"/>
    <w:rsid w:val="00CA33D3"/>
    <w:rsid w:val="00CA34BF"/>
    <w:rsid w:val="00CA3603"/>
    <w:rsid w:val="00CA3678"/>
    <w:rsid w:val="00CA370F"/>
    <w:rsid w:val="00CA377C"/>
    <w:rsid w:val="00CA379B"/>
    <w:rsid w:val="00CA37EC"/>
    <w:rsid w:val="00CA3839"/>
    <w:rsid w:val="00CA38C6"/>
    <w:rsid w:val="00CA398F"/>
    <w:rsid w:val="00CA39B2"/>
    <w:rsid w:val="00CA39FF"/>
    <w:rsid w:val="00CA3A5A"/>
    <w:rsid w:val="00CA3B2E"/>
    <w:rsid w:val="00CA3C9C"/>
    <w:rsid w:val="00CA3D74"/>
    <w:rsid w:val="00CA3DAC"/>
    <w:rsid w:val="00CA3E79"/>
    <w:rsid w:val="00CA3F6D"/>
    <w:rsid w:val="00CA3FAD"/>
    <w:rsid w:val="00CA4085"/>
    <w:rsid w:val="00CA40D3"/>
    <w:rsid w:val="00CA413A"/>
    <w:rsid w:val="00CA42A6"/>
    <w:rsid w:val="00CA43A6"/>
    <w:rsid w:val="00CA43E0"/>
    <w:rsid w:val="00CA43F6"/>
    <w:rsid w:val="00CA4479"/>
    <w:rsid w:val="00CA45C6"/>
    <w:rsid w:val="00CA4709"/>
    <w:rsid w:val="00CA476F"/>
    <w:rsid w:val="00CA4987"/>
    <w:rsid w:val="00CA4B77"/>
    <w:rsid w:val="00CA4C98"/>
    <w:rsid w:val="00CA4D8E"/>
    <w:rsid w:val="00CA4E1E"/>
    <w:rsid w:val="00CA4EB1"/>
    <w:rsid w:val="00CA4F8C"/>
    <w:rsid w:val="00CA4FE7"/>
    <w:rsid w:val="00CA4FFE"/>
    <w:rsid w:val="00CA51B4"/>
    <w:rsid w:val="00CA51E0"/>
    <w:rsid w:val="00CA5211"/>
    <w:rsid w:val="00CA52D5"/>
    <w:rsid w:val="00CA555D"/>
    <w:rsid w:val="00CA574E"/>
    <w:rsid w:val="00CA591E"/>
    <w:rsid w:val="00CA5B78"/>
    <w:rsid w:val="00CA5CEA"/>
    <w:rsid w:val="00CA5D09"/>
    <w:rsid w:val="00CA5EC3"/>
    <w:rsid w:val="00CA5FBB"/>
    <w:rsid w:val="00CA6071"/>
    <w:rsid w:val="00CA6373"/>
    <w:rsid w:val="00CA63C2"/>
    <w:rsid w:val="00CA63C9"/>
    <w:rsid w:val="00CA63CE"/>
    <w:rsid w:val="00CA6560"/>
    <w:rsid w:val="00CA6613"/>
    <w:rsid w:val="00CA66A2"/>
    <w:rsid w:val="00CA6710"/>
    <w:rsid w:val="00CA6787"/>
    <w:rsid w:val="00CA6821"/>
    <w:rsid w:val="00CA68C5"/>
    <w:rsid w:val="00CA68E0"/>
    <w:rsid w:val="00CA699D"/>
    <w:rsid w:val="00CA6AD5"/>
    <w:rsid w:val="00CA6BD9"/>
    <w:rsid w:val="00CA6DFF"/>
    <w:rsid w:val="00CA6E2F"/>
    <w:rsid w:val="00CA6FCD"/>
    <w:rsid w:val="00CA71F5"/>
    <w:rsid w:val="00CA7255"/>
    <w:rsid w:val="00CA7256"/>
    <w:rsid w:val="00CA7274"/>
    <w:rsid w:val="00CA74F5"/>
    <w:rsid w:val="00CA7501"/>
    <w:rsid w:val="00CA754E"/>
    <w:rsid w:val="00CA755F"/>
    <w:rsid w:val="00CA76CE"/>
    <w:rsid w:val="00CA788E"/>
    <w:rsid w:val="00CA78C9"/>
    <w:rsid w:val="00CA7987"/>
    <w:rsid w:val="00CA7A4D"/>
    <w:rsid w:val="00CA7E54"/>
    <w:rsid w:val="00CA7F58"/>
    <w:rsid w:val="00CA7FB9"/>
    <w:rsid w:val="00CB00E5"/>
    <w:rsid w:val="00CB019D"/>
    <w:rsid w:val="00CB0355"/>
    <w:rsid w:val="00CB0361"/>
    <w:rsid w:val="00CB0690"/>
    <w:rsid w:val="00CB06DC"/>
    <w:rsid w:val="00CB08CB"/>
    <w:rsid w:val="00CB092E"/>
    <w:rsid w:val="00CB0967"/>
    <w:rsid w:val="00CB0A91"/>
    <w:rsid w:val="00CB0BC9"/>
    <w:rsid w:val="00CB0BEF"/>
    <w:rsid w:val="00CB0CF6"/>
    <w:rsid w:val="00CB0D43"/>
    <w:rsid w:val="00CB0D63"/>
    <w:rsid w:val="00CB0EDD"/>
    <w:rsid w:val="00CB0FCF"/>
    <w:rsid w:val="00CB1006"/>
    <w:rsid w:val="00CB107C"/>
    <w:rsid w:val="00CB1095"/>
    <w:rsid w:val="00CB113C"/>
    <w:rsid w:val="00CB1306"/>
    <w:rsid w:val="00CB1322"/>
    <w:rsid w:val="00CB1372"/>
    <w:rsid w:val="00CB13E6"/>
    <w:rsid w:val="00CB1430"/>
    <w:rsid w:val="00CB15BB"/>
    <w:rsid w:val="00CB1626"/>
    <w:rsid w:val="00CB18BE"/>
    <w:rsid w:val="00CB1940"/>
    <w:rsid w:val="00CB19C9"/>
    <w:rsid w:val="00CB1A2A"/>
    <w:rsid w:val="00CB1A80"/>
    <w:rsid w:val="00CB1A9C"/>
    <w:rsid w:val="00CB1BD1"/>
    <w:rsid w:val="00CB1C59"/>
    <w:rsid w:val="00CB1DCB"/>
    <w:rsid w:val="00CB1E82"/>
    <w:rsid w:val="00CB1F6A"/>
    <w:rsid w:val="00CB1FEC"/>
    <w:rsid w:val="00CB208D"/>
    <w:rsid w:val="00CB21AA"/>
    <w:rsid w:val="00CB2259"/>
    <w:rsid w:val="00CB22F7"/>
    <w:rsid w:val="00CB2398"/>
    <w:rsid w:val="00CB23EC"/>
    <w:rsid w:val="00CB2549"/>
    <w:rsid w:val="00CB254F"/>
    <w:rsid w:val="00CB2671"/>
    <w:rsid w:val="00CB279D"/>
    <w:rsid w:val="00CB2996"/>
    <w:rsid w:val="00CB29F9"/>
    <w:rsid w:val="00CB2B84"/>
    <w:rsid w:val="00CB2CD8"/>
    <w:rsid w:val="00CB2E5F"/>
    <w:rsid w:val="00CB2FED"/>
    <w:rsid w:val="00CB2FF5"/>
    <w:rsid w:val="00CB3044"/>
    <w:rsid w:val="00CB3060"/>
    <w:rsid w:val="00CB314D"/>
    <w:rsid w:val="00CB31C5"/>
    <w:rsid w:val="00CB32C3"/>
    <w:rsid w:val="00CB3317"/>
    <w:rsid w:val="00CB3744"/>
    <w:rsid w:val="00CB38A0"/>
    <w:rsid w:val="00CB39F8"/>
    <w:rsid w:val="00CB3CD6"/>
    <w:rsid w:val="00CB3D4F"/>
    <w:rsid w:val="00CB3DDE"/>
    <w:rsid w:val="00CB3E25"/>
    <w:rsid w:val="00CB3EC7"/>
    <w:rsid w:val="00CB3EE5"/>
    <w:rsid w:val="00CB3F76"/>
    <w:rsid w:val="00CB3FE1"/>
    <w:rsid w:val="00CB401A"/>
    <w:rsid w:val="00CB40B0"/>
    <w:rsid w:val="00CB40B1"/>
    <w:rsid w:val="00CB40E1"/>
    <w:rsid w:val="00CB41FC"/>
    <w:rsid w:val="00CB4244"/>
    <w:rsid w:val="00CB424A"/>
    <w:rsid w:val="00CB436C"/>
    <w:rsid w:val="00CB437C"/>
    <w:rsid w:val="00CB4403"/>
    <w:rsid w:val="00CB4434"/>
    <w:rsid w:val="00CB4480"/>
    <w:rsid w:val="00CB4713"/>
    <w:rsid w:val="00CB471B"/>
    <w:rsid w:val="00CB487A"/>
    <w:rsid w:val="00CB49AD"/>
    <w:rsid w:val="00CB4A37"/>
    <w:rsid w:val="00CB4A68"/>
    <w:rsid w:val="00CB4AA2"/>
    <w:rsid w:val="00CB4BCB"/>
    <w:rsid w:val="00CB4C87"/>
    <w:rsid w:val="00CB4CE7"/>
    <w:rsid w:val="00CB4CE8"/>
    <w:rsid w:val="00CB4CFD"/>
    <w:rsid w:val="00CB4EBD"/>
    <w:rsid w:val="00CB4FFC"/>
    <w:rsid w:val="00CB504A"/>
    <w:rsid w:val="00CB50CE"/>
    <w:rsid w:val="00CB5286"/>
    <w:rsid w:val="00CB5301"/>
    <w:rsid w:val="00CB536A"/>
    <w:rsid w:val="00CB53B9"/>
    <w:rsid w:val="00CB53C0"/>
    <w:rsid w:val="00CB53F0"/>
    <w:rsid w:val="00CB5635"/>
    <w:rsid w:val="00CB56AF"/>
    <w:rsid w:val="00CB56EE"/>
    <w:rsid w:val="00CB57CC"/>
    <w:rsid w:val="00CB57D9"/>
    <w:rsid w:val="00CB581D"/>
    <w:rsid w:val="00CB59E6"/>
    <w:rsid w:val="00CB5A57"/>
    <w:rsid w:val="00CB5B62"/>
    <w:rsid w:val="00CB5C74"/>
    <w:rsid w:val="00CB5D18"/>
    <w:rsid w:val="00CB5DB6"/>
    <w:rsid w:val="00CB5E7F"/>
    <w:rsid w:val="00CB6031"/>
    <w:rsid w:val="00CB60D6"/>
    <w:rsid w:val="00CB6120"/>
    <w:rsid w:val="00CB6400"/>
    <w:rsid w:val="00CB6410"/>
    <w:rsid w:val="00CB6454"/>
    <w:rsid w:val="00CB6476"/>
    <w:rsid w:val="00CB65FA"/>
    <w:rsid w:val="00CB663D"/>
    <w:rsid w:val="00CB66A7"/>
    <w:rsid w:val="00CB66FD"/>
    <w:rsid w:val="00CB671B"/>
    <w:rsid w:val="00CB6753"/>
    <w:rsid w:val="00CB6769"/>
    <w:rsid w:val="00CB67F2"/>
    <w:rsid w:val="00CB6858"/>
    <w:rsid w:val="00CB68FF"/>
    <w:rsid w:val="00CB6A37"/>
    <w:rsid w:val="00CB6AF8"/>
    <w:rsid w:val="00CB6C38"/>
    <w:rsid w:val="00CB6C40"/>
    <w:rsid w:val="00CB6DD0"/>
    <w:rsid w:val="00CB6EE8"/>
    <w:rsid w:val="00CB6FA3"/>
    <w:rsid w:val="00CB707B"/>
    <w:rsid w:val="00CB7129"/>
    <w:rsid w:val="00CB714B"/>
    <w:rsid w:val="00CB723F"/>
    <w:rsid w:val="00CB734F"/>
    <w:rsid w:val="00CB73D3"/>
    <w:rsid w:val="00CB752D"/>
    <w:rsid w:val="00CB7716"/>
    <w:rsid w:val="00CB78F7"/>
    <w:rsid w:val="00CB7965"/>
    <w:rsid w:val="00CB7B03"/>
    <w:rsid w:val="00CB7BB7"/>
    <w:rsid w:val="00CB7C4F"/>
    <w:rsid w:val="00CB7DF4"/>
    <w:rsid w:val="00CB7E48"/>
    <w:rsid w:val="00CB7EF9"/>
    <w:rsid w:val="00CB7FE4"/>
    <w:rsid w:val="00CC0011"/>
    <w:rsid w:val="00CC0271"/>
    <w:rsid w:val="00CC03BF"/>
    <w:rsid w:val="00CC0484"/>
    <w:rsid w:val="00CC0598"/>
    <w:rsid w:val="00CC061C"/>
    <w:rsid w:val="00CC06F9"/>
    <w:rsid w:val="00CC07FF"/>
    <w:rsid w:val="00CC0822"/>
    <w:rsid w:val="00CC097D"/>
    <w:rsid w:val="00CC0A30"/>
    <w:rsid w:val="00CC0A44"/>
    <w:rsid w:val="00CC0ACA"/>
    <w:rsid w:val="00CC0B27"/>
    <w:rsid w:val="00CC0C0D"/>
    <w:rsid w:val="00CC0C7B"/>
    <w:rsid w:val="00CC0D67"/>
    <w:rsid w:val="00CC10C9"/>
    <w:rsid w:val="00CC1148"/>
    <w:rsid w:val="00CC1224"/>
    <w:rsid w:val="00CC13D9"/>
    <w:rsid w:val="00CC144C"/>
    <w:rsid w:val="00CC147D"/>
    <w:rsid w:val="00CC1492"/>
    <w:rsid w:val="00CC1549"/>
    <w:rsid w:val="00CC168D"/>
    <w:rsid w:val="00CC16BE"/>
    <w:rsid w:val="00CC16CF"/>
    <w:rsid w:val="00CC1808"/>
    <w:rsid w:val="00CC1A9C"/>
    <w:rsid w:val="00CC1B36"/>
    <w:rsid w:val="00CC1B3E"/>
    <w:rsid w:val="00CC1B62"/>
    <w:rsid w:val="00CC1BAD"/>
    <w:rsid w:val="00CC1C2F"/>
    <w:rsid w:val="00CC1CDC"/>
    <w:rsid w:val="00CC1CE2"/>
    <w:rsid w:val="00CC1DBD"/>
    <w:rsid w:val="00CC20D9"/>
    <w:rsid w:val="00CC2119"/>
    <w:rsid w:val="00CC22E4"/>
    <w:rsid w:val="00CC2303"/>
    <w:rsid w:val="00CC24D8"/>
    <w:rsid w:val="00CC24F9"/>
    <w:rsid w:val="00CC2526"/>
    <w:rsid w:val="00CC27B9"/>
    <w:rsid w:val="00CC28A3"/>
    <w:rsid w:val="00CC2A2F"/>
    <w:rsid w:val="00CC2AE5"/>
    <w:rsid w:val="00CC2D3F"/>
    <w:rsid w:val="00CC2D58"/>
    <w:rsid w:val="00CC2E3F"/>
    <w:rsid w:val="00CC308E"/>
    <w:rsid w:val="00CC31BA"/>
    <w:rsid w:val="00CC3255"/>
    <w:rsid w:val="00CC3467"/>
    <w:rsid w:val="00CC34D7"/>
    <w:rsid w:val="00CC3754"/>
    <w:rsid w:val="00CC37C5"/>
    <w:rsid w:val="00CC383B"/>
    <w:rsid w:val="00CC392D"/>
    <w:rsid w:val="00CC3955"/>
    <w:rsid w:val="00CC3969"/>
    <w:rsid w:val="00CC3ABA"/>
    <w:rsid w:val="00CC3BDD"/>
    <w:rsid w:val="00CC3E28"/>
    <w:rsid w:val="00CC3ED4"/>
    <w:rsid w:val="00CC40AB"/>
    <w:rsid w:val="00CC40BF"/>
    <w:rsid w:val="00CC40DF"/>
    <w:rsid w:val="00CC4200"/>
    <w:rsid w:val="00CC4409"/>
    <w:rsid w:val="00CC44B7"/>
    <w:rsid w:val="00CC452C"/>
    <w:rsid w:val="00CC4739"/>
    <w:rsid w:val="00CC4984"/>
    <w:rsid w:val="00CC4A15"/>
    <w:rsid w:val="00CC4A3B"/>
    <w:rsid w:val="00CC4A3D"/>
    <w:rsid w:val="00CC4CAA"/>
    <w:rsid w:val="00CC4D34"/>
    <w:rsid w:val="00CC4DDE"/>
    <w:rsid w:val="00CC4DEE"/>
    <w:rsid w:val="00CC4E62"/>
    <w:rsid w:val="00CC4F62"/>
    <w:rsid w:val="00CC4FCE"/>
    <w:rsid w:val="00CC5089"/>
    <w:rsid w:val="00CC5465"/>
    <w:rsid w:val="00CC550D"/>
    <w:rsid w:val="00CC5873"/>
    <w:rsid w:val="00CC5B37"/>
    <w:rsid w:val="00CC5B69"/>
    <w:rsid w:val="00CC5CE9"/>
    <w:rsid w:val="00CC60F9"/>
    <w:rsid w:val="00CC6230"/>
    <w:rsid w:val="00CC6371"/>
    <w:rsid w:val="00CC639E"/>
    <w:rsid w:val="00CC65B9"/>
    <w:rsid w:val="00CC65C8"/>
    <w:rsid w:val="00CC65E3"/>
    <w:rsid w:val="00CC6656"/>
    <w:rsid w:val="00CC672B"/>
    <w:rsid w:val="00CC6993"/>
    <w:rsid w:val="00CC6B2F"/>
    <w:rsid w:val="00CC6D7D"/>
    <w:rsid w:val="00CC6E10"/>
    <w:rsid w:val="00CC6E32"/>
    <w:rsid w:val="00CC6F41"/>
    <w:rsid w:val="00CC7012"/>
    <w:rsid w:val="00CC706B"/>
    <w:rsid w:val="00CC707D"/>
    <w:rsid w:val="00CC7092"/>
    <w:rsid w:val="00CC70D7"/>
    <w:rsid w:val="00CC714C"/>
    <w:rsid w:val="00CC7160"/>
    <w:rsid w:val="00CC74E0"/>
    <w:rsid w:val="00CC7686"/>
    <w:rsid w:val="00CC7732"/>
    <w:rsid w:val="00CC7851"/>
    <w:rsid w:val="00CC794D"/>
    <w:rsid w:val="00CC7C4D"/>
    <w:rsid w:val="00CC7C86"/>
    <w:rsid w:val="00CD008D"/>
    <w:rsid w:val="00CD00C2"/>
    <w:rsid w:val="00CD010C"/>
    <w:rsid w:val="00CD0117"/>
    <w:rsid w:val="00CD01B0"/>
    <w:rsid w:val="00CD02B3"/>
    <w:rsid w:val="00CD045C"/>
    <w:rsid w:val="00CD053F"/>
    <w:rsid w:val="00CD0602"/>
    <w:rsid w:val="00CD063C"/>
    <w:rsid w:val="00CD071D"/>
    <w:rsid w:val="00CD0978"/>
    <w:rsid w:val="00CD09B6"/>
    <w:rsid w:val="00CD0A75"/>
    <w:rsid w:val="00CD0AAF"/>
    <w:rsid w:val="00CD0B67"/>
    <w:rsid w:val="00CD0BC3"/>
    <w:rsid w:val="00CD0D10"/>
    <w:rsid w:val="00CD0D6B"/>
    <w:rsid w:val="00CD0F93"/>
    <w:rsid w:val="00CD1010"/>
    <w:rsid w:val="00CD10EB"/>
    <w:rsid w:val="00CD113E"/>
    <w:rsid w:val="00CD1168"/>
    <w:rsid w:val="00CD1669"/>
    <w:rsid w:val="00CD17ED"/>
    <w:rsid w:val="00CD1881"/>
    <w:rsid w:val="00CD18C8"/>
    <w:rsid w:val="00CD18CE"/>
    <w:rsid w:val="00CD197D"/>
    <w:rsid w:val="00CD1BED"/>
    <w:rsid w:val="00CD1D19"/>
    <w:rsid w:val="00CD1E40"/>
    <w:rsid w:val="00CD1EAB"/>
    <w:rsid w:val="00CD1F60"/>
    <w:rsid w:val="00CD2190"/>
    <w:rsid w:val="00CD21B3"/>
    <w:rsid w:val="00CD21CB"/>
    <w:rsid w:val="00CD21D5"/>
    <w:rsid w:val="00CD222E"/>
    <w:rsid w:val="00CD22E3"/>
    <w:rsid w:val="00CD23B0"/>
    <w:rsid w:val="00CD23ED"/>
    <w:rsid w:val="00CD24D2"/>
    <w:rsid w:val="00CD24EB"/>
    <w:rsid w:val="00CD26BC"/>
    <w:rsid w:val="00CD2702"/>
    <w:rsid w:val="00CD282C"/>
    <w:rsid w:val="00CD2862"/>
    <w:rsid w:val="00CD29AF"/>
    <w:rsid w:val="00CD29E3"/>
    <w:rsid w:val="00CD2A3F"/>
    <w:rsid w:val="00CD2A7B"/>
    <w:rsid w:val="00CD2B97"/>
    <w:rsid w:val="00CD2CFD"/>
    <w:rsid w:val="00CD2D1C"/>
    <w:rsid w:val="00CD2E14"/>
    <w:rsid w:val="00CD3072"/>
    <w:rsid w:val="00CD316B"/>
    <w:rsid w:val="00CD317B"/>
    <w:rsid w:val="00CD3194"/>
    <w:rsid w:val="00CD31F9"/>
    <w:rsid w:val="00CD3214"/>
    <w:rsid w:val="00CD3231"/>
    <w:rsid w:val="00CD33A1"/>
    <w:rsid w:val="00CD33B2"/>
    <w:rsid w:val="00CD35C3"/>
    <w:rsid w:val="00CD35F1"/>
    <w:rsid w:val="00CD3610"/>
    <w:rsid w:val="00CD3624"/>
    <w:rsid w:val="00CD367D"/>
    <w:rsid w:val="00CD3763"/>
    <w:rsid w:val="00CD39D6"/>
    <w:rsid w:val="00CD39F3"/>
    <w:rsid w:val="00CD3A63"/>
    <w:rsid w:val="00CD3AE7"/>
    <w:rsid w:val="00CD3B98"/>
    <w:rsid w:val="00CD3BE3"/>
    <w:rsid w:val="00CD3C9A"/>
    <w:rsid w:val="00CD3D58"/>
    <w:rsid w:val="00CD3F4C"/>
    <w:rsid w:val="00CD3FA2"/>
    <w:rsid w:val="00CD3FF8"/>
    <w:rsid w:val="00CD4147"/>
    <w:rsid w:val="00CD43E9"/>
    <w:rsid w:val="00CD4408"/>
    <w:rsid w:val="00CD446A"/>
    <w:rsid w:val="00CD460E"/>
    <w:rsid w:val="00CD4634"/>
    <w:rsid w:val="00CD464C"/>
    <w:rsid w:val="00CD4718"/>
    <w:rsid w:val="00CD472D"/>
    <w:rsid w:val="00CD482A"/>
    <w:rsid w:val="00CD4A0A"/>
    <w:rsid w:val="00CD4A12"/>
    <w:rsid w:val="00CD4C6D"/>
    <w:rsid w:val="00CD4D01"/>
    <w:rsid w:val="00CD4D28"/>
    <w:rsid w:val="00CD4DAD"/>
    <w:rsid w:val="00CD5282"/>
    <w:rsid w:val="00CD5335"/>
    <w:rsid w:val="00CD5351"/>
    <w:rsid w:val="00CD5365"/>
    <w:rsid w:val="00CD55F2"/>
    <w:rsid w:val="00CD57FD"/>
    <w:rsid w:val="00CD581D"/>
    <w:rsid w:val="00CD58AA"/>
    <w:rsid w:val="00CD5A0D"/>
    <w:rsid w:val="00CD5A15"/>
    <w:rsid w:val="00CD5A6F"/>
    <w:rsid w:val="00CD5B4B"/>
    <w:rsid w:val="00CD5C9D"/>
    <w:rsid w:val="00CD5D6F"/>
    <w:rsid w:val="00CD5D91"/>
    <w:rsid w:val="00CD5F18"/>
    <w:rsid w:val="00CD5F73"/>
    <w:rsid w:val="00CD621F"/>
    <w:rsid w:val="00CD6319"/>
    <w:rsid w:val="00CD6456"/>
    <w:rsid w:val="00CD648C"/>
    <w:rsid w:val="00CD64BD"/>
    <w:rsid w:val="00CD6538"/>
    <w:rsid w:val="00CD673D"/>
    <w:rsid w:val="00CD688A"/>
    <w:rsid w:val="00CD6ACB"/>
    <w:rsid w:val="00CD6C36"/>
    <w:rsid w:val="00CD6C49"/>
    <w:rsid w:val="00CD6CAC"/>
    <w:rsid w:val="00CD6E20"/>
    <w:rsid w:val="00CD6EC7"/>
    <w:rsid w:val="00CD705F"/>
    <w:rsid w:val="00CD7136"/>
    <w:rsid w:val="00CD71D3"/>
    <w:rsid w:val="00CD734E"/>
    <w:rsid w:val="00CD73F7"/>
    <w:rsid w:val="00CD7407"/>
    <w:rsid w:val="00CD7438"/>
    <w:rsid w:val="00CD74E0"/>
    <w:rsid w:val="00CD76A1"/>
    <w:rsid w:val="00CD76AE"/>
    <w:rsid w:val="00CD776B"/>
    <w:rsid w:val="00CD7B0C"/>
    <w:rsid w:val="00CD7C34"/>
    <w:rsid w:val="00CD7C76"/>
    <w:rsid w:val="00CD7CC1"/>
    <w:rsid w:val="00CD7D4E"/>
    <w:rsid w:val="00CD7D4F"/>
    <w:rsid w:val="00CD7F2D"/>
    <w:rsid w:val="00CD7F31"/>
    <w:rsid w:val="00CD7FD3"/>
    <w:rsid w:val="00CE026A"/>
    <w:rsid w:val="00CE0468"/>
    <w:rsid w:val="00CE056F"/>
    <w:rsid w:val="00CE06F9"/>
    <w:rsid w:val="00CE08E2"/>
    <w:rsid w:val="00CE09BB"/>
    <w:rsid w:val="00CE09BF"/>
    <w:rsid w:val="00CE0A30"/>
    <w:rsid w:val="00CE0C01"/>
    <w:rsid w:val="00CE0C10"/>
    <w:rsid w:val="00CE0C28"/>
    <w:rsid w:val="00CE0CD4"/>
    <w:rsid w:val="00CE0D88"/>
    <w:rsid w:val="00CE0E05"/>
    <w:rsid w:val="00CE0E2A"/>
    <w:rsid w:val="00CE0E8F"/>
    <w:rsid w:val="00CE1088"/>
    <w:rsid w:val="00CE111A"/>
    <w:rsid w:val="00CE1176"/>
    <w:rsid w:val="00CE119F"/>
    <w:rsid w:val="00CE124D"/>
    <w:rsid w:val="00CE1320"/>
    <w:rsid w:val="00CE1339"/>
    <w:rsid w:val="00CE140E"/>
    <w:rsid w:val="00CE14E6"/>
    <w:rsid w:val="00CE15C6"/>
    <w:rsid w:val="00CE16EE"/>
    <w:rsid w:val="00CE17A1"/>
    <w:rsid w:val="00CE18E8"/>
    <w:rsid w:val="00CE18FD"/>
    <w:rsid w:val="00CE1C27"/>
    <w:rsid w:val="00CE1D4F"/>
    <w:rsid w:val="00CE1DD9"/>
    <w:rsid w:val="00CE1DEC"/>
    <w:rsid w:val="00CE1E90"/>
    <w:rsid w:val="00CE1F36"/>
    <w:rsid w:val="00CE1FE9"/>
    <w:rsid w:val="00CE208B"/>
    <w:rsid w:val="00CE2204"/>
    <w:rsid w:val="00CE2366"/>
    <w:rsid w:val="00CE23BE"/>
    <w:rsid w:val="00CE246D"/>
    <w:rsid w:val="00CE25E3"/>
    <w:rsid w:val="00CE2784"/>
    <w:rsid w:val="00CE279E"/>
    <w:rsid w:val="00CE2824"/>
    <w:rsid w:val="00CE28EB"/>
    <w:rsid w:val="00CE2983"/>
    <w:rsid w:val="00CE298A"/>
    <w:rsid w:val="00CE29B8"/>
    <w:rsid w:val="00CE2BC1"/>
    <w:rsid w:val="00CE2CF2"/>
    <w:rsid w:val="00CE2D1C"/>
    <w:rsid w:val="00CE2DEC"/>
    <w:rsid w:val="00CE2F3A"/>
    <w:rsid w:val="00CE2F45"/>
    <w:rsid w:val="00CE2F7F"/>
    <w:rsid w:val="00CE2F9B"/>
    <w:rsid w:val="00CE30B9"/>
    <w:rsid w:val="00CE30F0"/>
    <w:rsid w:val="00CE323D"/>
    <w:rsid w:val="00CE325E"/>
    <w:rsid w:val="00CE325F"/>
    <w:rsid w:val="00CE32A7"/>
    <w:rsid w:val="00CE32C9"/>
    <w:rsid w:val="00CE3493"/>
    <w:rsid w:val="00CE34C3"/>
    <w:rsid w:val="00CE34CD"/>
    <w:rsid w:val="00CE3623"/>
    <w:rsid w:val="00CE3740"/>
    <w:rsid w:val="00CE393F"/>
    <w:rsid w:val="00CE3B38"/>
    <w:rsid w:val="00CE3B4E"/>
    <w:rsid w:val="00CE3D9A"/>
    <w:rsid w:val="00CE3DAC"/>
    <w:rsid w:val="00CE3E60"/>
    <w:rsid w:val="00CE3E98"/>
    <w:rsid w:val="00CE3EBE"/>
    <w:rsid w:val="00CE3F80"/>
    <w:rsid w:val="00CE3FF2"/>
    <w:rsid w:val="00CE4013"/>
    <w:rsid w:val="00CE4241"/>
    <w:rsid w:val="00CE4247"/>
    <w:rsid w:val="00CE42E8"/>
    <w:rsid w:val="00CE435E"/>
    <w:rsid w:val="00CE438C"/>
    <w:rsid w:val="00CE4483"/>
    <w:rsid w:val="00CE44A1"/>
    <w:rsid w:val="00CE4670"/>
    <w:rsid w:val="00CE4673"/>
    <w:rsid w:val="00CE4674"/>
    <w:rsid w:val="00CE48A6"/>
    <w:rsid w:val="00CE493F"/>
    <w:rsid w:val="00CE4959"/>
    <w:rsid w:val="00CE4AA3"/>
    <w:rsid w:val="00CE4B93"/>
    <w:rsid w:val="00CE4C22"/>
    <w:rsid w:val="00CE4C4E"/>
    <w:rsid w:val="00CE4C54"/>
    <w:rsid w:val="00CE4D0B"/>
    <w:rsid w:val="00CE4E2F"/>
    <w:rsid w:val="00CE4FB6"/>
    <w:rsid w:val="00CE50F1"/>
    <w:rsid w:val="00CE515E"/>
    <w:rsid w:val="00CE52A8"/>
    <w:rsid w:val="00CE52E2"/>
    <w:rsid w:val="00CE535F"/>
    <w:rsid w:val="00CE554D"/>
    <w:rsid w:val="00CE5581"/>
    <w:rsid w:val="00CE55E8"/>
    <w:rsid w:val="00CE5697"/>
    <w:rsid w:val="00CE57E9"/>
    <w:rsid w:val="00CE582A"/>
    <w:rsid w:val="00CE5944"/>
    <w:rsid w:val="00CE5954"/>
    <w:rsid w:val="00CE5A95"/>
    <w:rsid w:val="00CE5AB4"/>
    <w:rsid w:val="00CE5ACE"/>
    <w:rsid w:val="00CE5B2B"/>
    <w:rsid w:val="00CE5CF1"/>
    <w:rsid w:val="00CE5E7F"/>
    <w:rsid w:val="00CE5F08"/>
    <w:rsid w:val="00CE5F30"/>
    <w:rsid w:val="00CE60C3"/>
    <w:rsid w:val="00CE6215"/>
    <w:rsid w:val="00CE64A1"/>
    <w:rsid w:val="00CE64E4"/>
    <w:rsid w:val="00CE6505"/>
    <w:rsid w:val="00CE6564"/>
    <w:rsid w:val="00CE664C"/>
    <w:rsid w:val="00CE6897"/>
    <w:rsid w:val="00CE6935"/>
    <w:rsid w:val="00CE69FC"/>
    <w:rsid w:val="00CE6A47"/>
    <w:rsid w:val="00CE6C6D"/>
    <w:rsid w:val="00CE6D72"/>
    <w:rsid w:val="00CE6F32"/>
    <w:rsid w:val="00CE7267"/>
    <w:rsid w:val="00CE7291"/>
    <w:rsid w:val="00CE76DF"/>
    <w:rsid w:val="00CE76EF"/>
    <w:rsid w:val="00CE7731"/>
    <w:rsid w:val="00CE78E1"/>
    <w:rsid w:val="00CE7956"/>
    <w:rsid w:val="00CE7BB3"/>
    <w:rsid w:val="00CE7D2C"/>
    <w:rsid w:val="00CE7EEB"/>
    <w:rsid w:val="00CF0018"/>
    <w:rsid w:val="00CF01CD"/>
    <w:rsid w:val="00CF0206"/>
    <w:rsid w:val="00CF0513"/>
    <w:rsid w:val="00CF0556"/>
    <w:rsid w:val="00CF0585"/>
    <w:rsid w:val="00CF05C8"/>
    <w:rsid w:val="00CF06FD"/>
    <w:rsid w:val="00CF0950"/>
    <w:rsid w:val="00CF09AE"/>
    <w:rsid w:val="00CF09D0"/>
    <w:rsid w:val="00CF0A4C"/>
    <w:rsid w:val="00CF0A51"/>
    <w:rsid w:val="00CF0A5A"/>
    <w:rsid w:val="00CF0AFE"/>
    <w:rsid w:val="00CF0B86"/>
    <w:rsid w:val="00CF0BA5"/>
    <w:rsid w:val="00CF0E0D"/>
    <w:rsid w:val="00CF0E7C"/>
    <w:rsid w:val="00CF0FAD"/>
    <w:rsid w:val="00CF1047"/>
    <w:rsid w:val="00CF10E1"/>
    <w:rsid w:val="00CF13CF"/>
    <w:rsid w:val="00CF1417"/>
    <w:rsid w:val="00CF1429"/>
    <w:rsid w:val="00CF15DB"/>
    <w:rsid w:val="00CF1643"/>
    <w:rsid w:val="00CF181D"/>
    <w:rsid w:val="00CF18CB"/>
    <w:rsid w:val="00CF19FC"/>
    <w:rsid w:val="00CF1AB8"/>
    <w:rsid w:val="00CF1B07"/>
    <w:rsid w:val="00CF1CF3"/>
    <w:rsid w:val="00CF1EAA"/>
    <w:rsid w:val="00CF20D3"/>
    <w:rsid w:val="00CF23CA"/>
    <w:rsid w:val="00CF24F8"/>
    <w:rsid w:val="00CF25DD"/>
    <w:rsid w:val="00CF2623"/>
    <w:rsid w:val="00CF27E5"/>
    <w:rsid w:val="00CF285E"/>
    <w:rsid w:val="00CF2B35"/>
    <w:rsid w:val="00CF2BD5"/>
    <w:rsid w:val="00CF2D7E"/>
    <w:rsid w:val="00CF2DEA"/>
    <w:rsid w:val="00CF2F73"/>
    <w:rsid w:val="00CF2FFB"/>
    <w:rsid w:val="00CF30BB"/>
    <w:rsid w:val="00CF30CB"/>
    <w:rsid w:val="00CF30D6"/>
    <w:rsid w:val="00CF30D8"/>
    <w:rsid w:val="00CF31BF"/>
    <w:rsid w:val="00CF31F3"/>
    <w:rsid w:val="00CF3243"/>
    <w:rsid w:val="00CF3269"/>
    <w:rsid w:val="00CF32B2"/>
    <w:rsid w:val="00CF32B4"/>
    <w:rsid w:val="00CF330A"/>
    <w:rsid w:val="00CF3343"/>
    <w:rsid w:val="00CF33CC"/>
    <w:rsid w:val="00CF3460"/>
    <w:rsid w:val="00CF3514"/>
    <w:rsid w:val="00CF362A"/>
    <w:rsid w:val="00CF365A"/>
    <w:rsid w:val="00CF3703"/>
    <w:rsid w:val="00CF3718"/>
    <w:rsid w:val="00CF3823"/>
    <w:rsid w:val="00CF3896"/>
    <w:rsid w:val="00CF3A8A"/>
    <w:rsid w:val="00CF3AA3"/>
    <w:rsid w:val="00CF3BCA"/>
    <w:rsid w:val="00CF3C00"/>
    <w:rsid w:val="00CF3CC0"/>
    <w:rsid w:val="00CF3D2D"/>
    <w:rsid w:val="00CF3D92"/>
    <w:rsid w:val="00CF3DD6"/>
    <w:rsid w:val="00CF3E58"/>
    <w:rsid w:val="00CF408A"/>
    <w:rsid w:val="00CF41A8"/>
    <w:rsid w:val="00CF41D0"/>
    <w:rsid w:val="00CF4200"/>
    <w:rsid w:val="00CF4535"/>
    <w:rsid w:val="00CF45D0"/>
    <w:rsid w:val="00CF4693"/>
    <w:rsid w:val="00CF47BC"/>
    <w:rsid w:val="00CF48EE"/>
    <w:rsid w:val="00CF4902"/>
    <w:rsid w:val="00CF4A62"/>
    <w:rsid w:val="00CF4A79"/>
    <w:rsid w:val="00CF4EA6"/>
    <w:rsid w:val="00CF4EEE"/>
    <w:rsid w:val="00CF50D9"/>
    <w:rsid w:val="00CF50FA"/>
    <w:rsid w:val="00CF52D6"/>
    <w:rsid w:val="00CF53BF"/>
    <w:rsid w:val="00CF5417"/>
    <w:rsid w:val="00CF5430"/>
    <w:rsid w:val="00CF5576"/>
    <w:rsid w:val="00CF55A6"/>
    <w:rsid w:val="00CF55D2"/>
    <w:rsid w:val="00CF55FF"/>
    <w:rsid w:val="00CF5662"/>
    <w:rsid w:val="00CF56A6"/>
    <w:rsid w:val="00CF5784"/>
    <w:rsid w:val="00CF5930"/>
    <w:rsid w:val="00CF5999"/>
    <w:rsid w:val="00CF5B06"/>
    <w:rsid w:val="00CF5D78"/>
    <w:rsid w:val="00CF5E0D"/>
    <w:rsid w:val="00CF5EAA"/>
    <w:rsid w:val="00CF5F59"/>
    <w:rsid w:val="00CF5FC5"/>
    <w:rsid w:val="00CF5FED"/>
    <w:rsid w:val="00CF6160"/>
    <w:rsid w:val="00CF6304"/>
    <w:rsid w:val="00CF6370"/>
    <w:rsid w:val="00CF643B"/>
    <w:rsid w:val="00CF6472"/>
    <w:rsid w:val="00CF64B4"/>
    <w:rsid w:val="00CF65BD"/>
    <w:rsid w:val="00CF65E9"/>
    <w:rsid w:val="00CF6610"/>
    <w:rsid w:val="00CF671B"/>
    <w:rsid w:val="00CF672D"/>
    <w:rsid w:val="00CF6733"/>
    <w:rsid w:val="00CF67DC"/>
    <w:rsid w:val="00CF6879"/>
    <w:rsid w:val="00CF690C"/>
    <w:rsid w:val="00CF6924"/>
    <w:rsid w:val="00CF69B1"/>
    <w:rsid w:val="00CF6A29"/>
    <w:rsid w:val="00CF6F6C"/>
    <w:rsid w:val="00CF6F74"/>
    <w:rsid w:val="00CF6FC1"/>
    <w:rsid w:val="00CF7072"/>
    <w:rsid w:val="00CF70A5"/>
    <w:rsid w:val="00CF71D5"/>
    <w:rsid w:val="00CF73CB"/>
    <w:rsid w:val="00CF75AE"/>
    <w:rsid w:val="00CF75F5"/>
    <w:rsid w:val="00CF7634"/>
    <w:rsid w:val="00CF766A"/>
    <w:rsid w:val="00CF7672"/>
    <w:rsid w:val="00CF76BA"/>
    <w:rsid w:val="00CF7791"/>
    <w:rsid w:val="00CF7B44"/>
    <w:rsid w:val="00CF7B4B"/>
    <w:rsid w:val="00CF7B64"/>
    <w:rsid w:val="00CF7D11"/>
    <w:rsid w:val="00CF7FDD"/>
    <w:rsid w:val="00CF7FF6"/>
    <w:rsid w:val="00D00108"/>
    <w:rsid w:val="00D0017F"/>
    <w:rsid w:val="00D0029B"/>
    <w:rsid w:val="00D00366"/>
    <w:rsid w:val="00D0041F"/>
    <w:rsid w:val="00D00428"/>
    <w:rsid w:val="00D0043C"/>
    <w:rsid w:val="00D006A5"/>
    <w:rsid w:val="00D00770"/>
    <w:rsid w:val="00D00939"/>
    <w:rsid w:val="00D009D4"/>
    <w:rsid w:val="00D00AC8"/>
    <w:rsid w:val="00D00AEC"/>
    <w:rsid w:val="00D00BAE"/>
    <w:rsid w:val="00D00C27"/>
    <w:rsid w:val="00D00D09"/>
    <w:rsid w:val="00D00E1E"/>
    <w:rsid w:val="00D00E8D"/>
    <w:rsid w:val="00D00F58"/>
    <w:rsid w:val="00D00FF3"/>
    <w:rsid w:val="00D01047"/>
    <w:rsid w:val="00D011B7"/>
    <w:rsid w:val="00D012CD"/>
    <w:rsid w:val="00D0130C"/>
    <w:rsid w:val="00D013FC"/>
    <w:rsid w:val="00D013FD"/>
    <w:rsid w:val="00D01462"/>
    <w:rsid w:val="00D014CE"/>
    <w:rsid w:val="00D01698"/>
    <w:rsid w:val="00D016B6"/>
    <w:rsid w:val="00D01810"/>
    <w:rsid w:val="00D0188E"/>
    <w:rsid w:val="00D019D8"/>
    <w:rsid w:val="00D01BEB"/>
    <w:rsid w:val="00D01C4D"/>
    <w:rsid w:val="00D01E6A"/>
    <w:rsid w:val="00D02046"/>
    <w:rsid w:val="00D020A6"/>
    <w:rsid w:val="00D020EB"/>
    <w:rsid w:val="00D020F8"/>
    <w:rsid w:val="00D0217B"/>
    <w:rsid w:val="00D0233D"/>
    <w:rsid w:val="00D02370"/>
    <w:rsid w:val="00D02374"/>
    <w:rsid w:val="00D0239E"/>
    <w:rsid w:val="00D023EF"/>
    <w:rsid w:val="00D02402"/>
    <w:rsid w:val="00D0250B"/>
    <w:rsid w:val="00D02572"/>
    <w:rsid w:val="00D02A54"/>
    <w:rsid w:val="00D02AA6"/>
    <w:rsid w:val="00D02ACF"/>
    <w:rsid w:val="00D02D32"/>
    <w:rsid w:val="00D02DA3"/>
    <w:rsid w:val="00D02F9A"/>
    <w:rsid w:val="00D02FF8"/>
    <w:rsid w:val="00D03236"/>
    <w:rsid w:val="00D03249"/>
    <w:rsid w:val="00D032DB"/>
    <w:rsid w:val="00D03334"/>
    <w:rsid w:val="00D03492"/>
    <w:rsid w:val="00D034E5"/>
    <w:rsid w:val="00D03504"/>
    <w:rsid w:val="00D037F0"/>
    <w:rsid w:val="00D037F5"/>
    <w:rsid w:val="00D038F8"/>
    <w:rsid w:val="00D038FF"/>
    <w:rsid w:val="00D03ABB"/>
    <w:rsid w:val="00D03B8A"/>
    <w:rsid w:val="00D03C79"/>
    <w:rsid w:val="00D03D85"/>
    <w:rsid w:val="00D03DC8"/>
    <w:rsid w:val="00D040FC"/>
    <w:rsid w:val="00D0412F"/>
    <w:rsid w:val="00D04240"/>
    <w:rsid w:val="00D042FF"/>
    <w:rsid w:val="00D04302"/>
    <w:rsid w:val="00D043E4"/>
    <w:rsid w:val="00D0447B"/>
    <w:rsid w:val="00D044AE"/>
    <w:rsid w:val="00D0468F"/>
    <w:rsid w:val="00D04896"/>
    <w:rsid w:val="00D04A2C"/>
    <w:rsid w:val="00D04A57"/>
    <w:rsid w:val="00D04D09"/>
    <w:rsid w:val="00D04D39"/>
    <w:rsid w:val="00D04D3E"/>
    <w:rsid w:val="00D04E9A"/>
    <w:rsid w:val="00D05114"/>
    <w:rsid w:val="00D0518D"/>
    <w:rsid w:val="00D051B2"/>
    <w:rsid w:val="00D0548E"/>
    <w:rsid w:val="00D05493"/>
    <w:rsid w:val="00D05563"/>
    <w:rsid w:val="00D05585"/>
    <w:rsid w:val="00D055F6"/>
    <w:rsid w:val="00D05750"/>
    <w:rsid w:val="00D05835"/>
    <w:rsid w:val="00D05BE0"/>
    <w:rsid w:val="00D05C33"/>
    <w:rsid w:val="00D05F25"/>
    <w:rsid w:val="00D0606C"/>
    <w:rsid w:val="00D0623E"/>
    <w:rsid w:val="00D06353"/>
    <w:rsid w:val="00D063BB"/>
    <w:rsid w:val="00D0643D"/>
    <w:rsid w:val="00D06604"/>
    <w:rsid w:val="00D0661D"/>
    <w:rsid w:val="00D0671D"/>
    <w:rsid w:val="00D06735"/>
    <w:rsid w:val="00D06866"/>
    <w:rsid w:val="00D068BC"/>
    <w:rsid w:val="00D068C2"/>
    <w:rsid w:val="00D068DD"/>
    <w:rsid w:val="00D06922"/>
    <w:rsid w:val="00D06AA8"/>
    <w:rsid w:val="00D06B46"/>
    <w:rsid w:val="00D06C41"/>
    <w:rsid w:val="00D06C43"/>
    <w:rsid w:val="00D07050"/>
    <w:rsid w:val="00D07095"/>
    <w:rsid w:val="00D070B9"/>
    <w:rsid w:val="00D07217"/>
    <w:rsid w:val="00D07384"/>
    <w:rsid w:val="00D0739F"/>
    <w:rsid w:val="00D075C9"/>
    <w:rsid w:val="00D07684"/>
    <w:rsid w:val="00D079D4"/>
    <w:rsid w:val="00D07A89"/>
    <w:rsid w:val="00D07AD3"/>
    <w:rsid w:val="00D07AF0"/>
    <w:rsid w:val="00D07CA8"/>
    <w:rsid w:val="00D07CE8"/>
    <w:rsid w:val="00D07F1D"/>
    <w:rsid w:val="00D1010B"/>
    <w:rsid w:val="00D1018D"/>
    <w:rsid w:val="00D101F0"/>
    <w:rsid w:val="00D102CA"/>
    <w:rsid w:val="00D103CB"/>
    <w:rsid w:val="00D105DC"/>
    <w:rsid w:val="00D10E57"/>
    <w:rsid w:val="00D11023"/>
    <w:rsid w:val="00D110F4"/>
    <w:rsid w:val="00D1145A"/>
    <w:rsid w:val="00D11592"/>
    <w:rsid w:val="00D115BA"/>
    <w:rsid w:val="00D11894"/>
    <w:rsid w:val="00D118EA"/>
    <w:rsid w:val="00D11CA4"/>
    <w:rsid w:val="00D11D2B"/>
    <w:rsid w:val="00D11D7B"/>
    <w:rsid w:val="00D11ED1"/>
    <w:rsid w:val="00D11F3C"/>
    <w:rsid w:val="00D120D1"/>
    <w:rsid w:val="00D120EE"/>
    <w:rsid w:val="00D12127"/>
    <w:rsid w:val="00D12290"/>
    <w:rsid w:val="00D1261A"/>
    <w:rsid w:val="00D1266E"/>
    <w:rsid w:val="00D12865"/>
    <w:rsid w:val="00D12901"/>
    <w:rsid w:val="00D1295A"/>
    <w:rsid w:val="00D1295C"/>
    <w:rsid w:val="00D12A8A"/>
    <w:rsid w:val="00D12CE0"/>
    <w:rsid w:val="00D12D2A"/>
    <w:rsid w:val="00D12E54"/>
    <w:rsid w:val="00D12F73"/>
    <w:rsid w:val="00D13034"/>
    <w:rsid w:val="00D13061"/>
    <w:rsid w:val="00D13146"/>
    <w:rsid w:val="00D13409"/>
    <w:rsid w:val="00D1343D"/>
    <w:rsid w:val="00D1344A"/>
    <w:rsid w:val="00D13524"/>
    <w:rsid w:val="00D1353C"/>
    <w:rsid w:val="00D13598"/>
    <w:rsid w:val="00D135BC"/>
    <w:rsid w:val="00D138D0"/>
    <w:rsid w:val="00D13934"/>
    <w:rsid w:val="00D139AA"/>
    <w:rsid w:val="00D13A3C"/>
    <w:rsid w:val="00D13BCE"/>
    <w:rsid w:val="00D13BD3"/>
    <w:rsid w:val="00D13BF8"/>
    <w:rsid w:val="00D13C0F"/>
    <w:rsid w:val="00D13D94"/>
    <w:rsid w:val="00D13DA0"/>
    <w:rsid w:val="00D14048"/>
    <w:rsid w:val="00D141C6"/>
    <w:rsid w:val="00D1423E"/>
    <w:rsid w:val="00D1426F"/>
    <w:rsid w:val="00D1441E"/>
    <w:rsid w:val="00D146AF"/>
    <w:rsid w:val="00D147A6"/>
    <w:rsid w:val="00D1480E"/>
    <w:rsid w:val="00D14866"/>
    <w:rsid w:val="00D148A9"/>
    <w:rsid w:val="00D14BCB"/>
    <w:rsid w:val="00D14C03"/>
    <w:rsid w:val="00D14C3F"/>
    <w:rsid w:val="00D14C4D"/>
    <w:rsid w:val="00D14D11"/>
    <w:rsid w:val="00D14E09"/>
    <w:rsid w:val="00D14E11"/>
    <w:rsid w:val="00D15077"/>
    <w:rsid w:val="00D150AD"/>
    <w:rsid w:val="00D1517D"/>
    <w:rsid w:val="00D151C1"/>
    <w:rsid w:val="00D151EB"/>
    <w:rsid w:val="00D15263"/>
    <w:rsid w:val="00D153CD"/>
    <w:rsid w:val="00D15401"/>
    <w:rsid w:val="00D1549A"/>
    <w:rsid w:val="00D1558B"/>
    <w:rsid w:val="00D15847"/>
    <w:rsid w:val="00D15944"/>
    <w:rsid w:val="00D15A39"/>
    <w:rsid w:val="00D15AE6"/>
    <w:rsid w:val="00D15C63"/>
    <w:rsid w:val="00D15DEA"/>
    <w:rsid w:val="00D15E41"/>
    <w:rsid w:val="00D1604C"/>
    <w:rsid w:val="00D160F5"/>
    <w:rsid w:val="00D16136"/>
    <w:rsid w:val="00D16418"/>
    <w:rsid w:val="00D1647C"/>
    <w:rsid w:val="00D16499"/>
    <w:rsid w:val="00D164D3"/>
    <w:rsid w:val="00D16619"/>
    <w:rsid w:val="00D166EE"/>
    <w:rsid w:val="00D16936"/>
    <w:rsid w:val="00D169E8"/>
    <w:rsid w:val="00D16B2A"/>
    <w:rsid w:val="00D16C22"/>
    <w:rsid w:val="00D16C8F"/>
    <w:rsid w:val="00D16C9F"/>
    <w:rsid w:val="00D16D13"/>
    <w:rsid w:val="00D16DA3"/>
    <w:rsid w:val="00D16F7A"/>
    <w:rsid w:val="00D1705D"/>
    <w:rsid w:val="00D171A2"/>
    <w:rsid w:val="00D1721C"/>
    <w:rsid w:val="00D17247"/>
    <w:rsid w:val="00D172B2"/>
    <w:rsid w:val="00D17315"/>
    <w:rsid w:val="00D173BA"/>
    <w:rsid w:val="00D174EA"/>
    <w:rsid w:val="00D17566"/>
    <w:rsid w:val="00D175AE"/>
    <w:rsid w:val="00D17807"/>
    <w:rsid w:val="00D17A02"/>
    <w:rsid w:val="00D17A75"/>
    <w:rsid w:val="00D17B7C"/>
    <w:rsid w:val="00D17BDB"/>
    <w:rsid w:val="00D17CD0"/>
    <w:rsid w:val="00D17E07"/>
    <w:rsid w:val="00D17E0F"/>
    <w:rsid w:val="00D17EBE"/>
    <w:rsid w:val="00D20064"/>
    <w:rsid w:val="00D20256"/>
    <w:rsid w:val="00D20665"/>
    <w:rsid w:val="00D20678"/>
    <w:rsid w:val="00D2072B"/>
    <w:rsid w:val="00D207E7"/>
    <w:rsid w:val="00D208B0"/>
    <w:rsid w:val="00D209A3"/>
    <w:rsid w:val="00D20D51"/>
    <w:rsid w:val="00D20E55"/>
    <w:rsid w:val="00D20F95"/>
    <w:rsid w:val="00D21070"/>
    <w:rsid w:val="00D21297"/>
    <w:rsid w:val="00D213DD"/>
    <w:rsid w:val="00D2144E"/>
    <w:rsid w:val="00D2150F"/>
    <w:rsid w:val="00D215B1"/>
    <w:rsid w:val="00D217B5"/>
    <w:rsid w:val="00D21941"/>
    <w:rsid w:val="00D219F5"/>
    <w:rsid w:val="00D21A21"/>
    <w:rsid w:val="00D21A4F"/>
    <w:rsid w:val="00D21ACB"/>
    <w:rsid w:val="00D21C87"/>
    <w:rsid w:val="00D21D0A"/>
    <w:rsid w:val="00D2203D"/>
    <w:rsid w:val="00D22139"/>
    <w:rsid w:val="00D221D6"/>
    <w:rsid w:val="00D2225D"/>
    <w:rsid w:val="00D223BA"/>
    <w:rsid w:val="00D22456"/>
    <w:rsid w:val="00D22515"/>
    <w:rsid w:val="00D225C6"/>
    <w:rsid w:val="00D22855"/>
    <w:rsid w:val="00D22860"/>
    <w:rsid w:val="00D2286A"/>
    <w:rsid w:val="00D22976"/>
    <w:rsid w:val="00D229A7"/>
    <w:rsid w:val="00D229CF"/>
    <w:rsid w:val="00D22C49"/>
    <w:rsid w:val="00D22CA4"/>
    <w:rsid w:val="00D22D0C"/>
    <w:rsid w:val="00D22E10"/>
    <w:rsid w:val="00D2302C"/>
    <w:rsid w:val="00D231F2"/>
    <w:rsid w:val="00D232B5"/>
    <w:rsid w:val="00D23308"/>
    <w:rsid w:val="00D23373"/>
    <w:rsid w:val="00D233CE"/>
    <w:rsid w:val="00D23414"/>
    <w:rsid w:val="00D23431"/>
    <w:rsid w:val="00D23570"/>
    <w:rsid w:val="00D23663"/>
    <w:rsid w:val="00D23745"/>
    <w:rsid w:val="00D2381E"/>
    <w:rsid w:val="00D238CE"/>
    <w:rsid w:val="00D239CE"/>
    <w:rsid w:val="00D23B10"/>
    <w:rsid w:val="00D2413B"/>
    <w:rsid w:val="00D24233"/>
    <w:rsid w:val="00D243C0"/>
    <w:rsid w:val="00D243CB"/>
    <w:rsid w:val="00D244C0"/>
    <w:rsid w:val="00D245C4"/>
    <w:rsid w:val="00D247B1"/>
    <w:rsid w:val="00D247EB"/>
    <w:rsid w:val="00D24857"/>
    <w:rsid w:val="00D2492E"/>
    <w:rsid w:val="00D24933"/>
    <w:rsid w:val="00D24A83"/>
    <w:rsid w:val="00D24AD1"/>
    <w:rsid w:val="00D24B96"/>
    <w:rsid w:val="00D24EA4"/>
    <w:rsid w:val="00D24FF0"/>
    <w:rsid w:val="00D25003"/>
    <w:rsid w:val="00D2512F"/>
    <w:rsid w:val="00D251C0"/>
    <w:rsid w:val="00D252E3"/>
    <w:rsid w:val="00D25350"/>
    <w:rsid w:val="00D253D3"/>
    <w:rsid w:val="00D253F6"/>
    <w:rsid w:val="00D25426"/>
    <w:rsid w:val="00D25459"/>
    <w:rsid w:val="00D25502"/>
    <w:rsid w:val="00D255C4"/>
    <w:rsid w:val="00D25934"/>
    <w:rsid w:val="00D259F0"/>
    <w:rsid w:val="00D25AFA"/>
    <w:rsid w:val="00D25B8B"/>
    <w:rsid w:val="00D25BA4"/>
    <w:rsid w:val="00D25BF0"/>
    <w:rsid w:val="00D25CE2"/>
    <w:rsid w:val="00D25CE7"/>
    <w:rsid w:val="00D25F7C"/>
    <w:rsid w:val="00D26179"/>
    <w:rsid w:val="00D26215"/>
    <w:rsid w:val="00D26292"/>
    <w:rsid w:val="00D2630F"/>
    <w:rsid w:val="00D263AB"/>
    <w:rsid w:val="00D263E5"/>
    <w:rsid w:val="00D2653D"/>
    <w:rsid w:val="00D265CF"/>
    <w:rsid w:val="00D2665A"/>
    <w:rsid w:val="00D2665F"/>
    <w:rsid w:val="00D267A2"/>
    <w:rsid w:val="00D267E0"/>
    <w:rsid w:val="00D26823"/>
    <w:rsid w:val="00D26A08"/>
    <w:rsid w:val="00D26A2A"/>
    <w:rsid w:val="00D26ABA"/>
    <w:rsid w:val="00D26B3B"/>
    <w:rsid w:val="00D26C72"/>
    <w:rsid w:val="00D26DDA"/>
    <w:rsid w:val="00D26DF9"/>
    <w:rsid w:val="00D26E7F"/>
    <w:rsid w:val="00D26EED"/>
    <w:rsid w:val="00D26F4E"/>
    <w:rsid w:val="00D26FBB"/>
    <w:rsid w:val="00D2702D"/>
    <w:rsid w:val="00D27153"/>
    <w:rsid w:val="00D27241"/>
    <w:rsid w:val="00D27249"/>
    <w:rsid w:val="00D272D7"/>
    <w:rsid w:val="00D272FA"/>
    <w:rsid w:val="00D27325"/>
    <w:rsid w:val="00D2738C"/>
    <w:rsid w:val="00D273DC"/>
    <w:rsid w:val="00D27661"/>
    <w:rsid w:val="00D279E3"/>
    <w:rsid w:val="00D27AD0"/>
    <w:rsid w:val="00D27B09"/>
    <w:rsid w:val="00D27BA6"/>
    <w:rsid w:val="00D27C32"/>
    <w:rsid w:val="00D27E92"/>
    <w:rsid w:val="00D27F05"/>
    <w:rsid w:val="00D30381"/>
    <w:rsid w:val="00D303F6"/>
    <w:rsid w:val="00D303FC"/>
    <w:rsid w:val="00D30474"/>
    <w:rsid w:val="00D3054D"/>
    <w:rsid w:val="00D305F2"/>
    <w:rsid w:val="00D306FB"/>
    <w:rsid w:val="00D306FD"/>
    <w:rsid w:val="00D30722"/>
    <w:rsid w:val="00D3077D"/>
    <w:rsid w:val="00D3088C"/>
    <w:rsid w:val="00D30930"/>
    <w:rsid w:val="00D30945"/>
    <w:rsid w:val="00D309AD"/>
    <w:rsid w:val="00D309CE"/>
    <w:rsid w:val="00D30BD3"/>
    <w:rsid w:val="00D30CE4"/>
    <w:rsid w:val="00D30F18"/>
    <w:rsid w:val="00D30F58"/>
    <w:rsid w:val="00D30F96"/>
    <w:rsid w:val="00D310EF"/>
    <w:rsid w:val="00D312AC"/>
    <w:rsid w:val="00D313FA"/>
    <w:rsid w:val="00D31618"/>
    <w:rsid w:val="00D316E1"/>
    <w:rsid w:val="00D31708"/>
    <w:rsid w:val="00D31786"/>
    <w:rsid w:val="00D317AB"/>
    <w:rsid w:val="00D317F3"/>
    <w:rsid w:val="00D31B99"/>
    <w:rsid w:val="00D31BA4"/>
    <w:rsid w:val="00D31D03"/>
    <w:rsid w:val="00D31E2E"/>
    <w:rsid w:val="00D31FB2"/>
    <w:rsid w:val="00D32317"/>
    <w:rsid w:val="00D3233E"/>
    <w:rsid w:val="00D325AC"/>
    <w:rsid w:val="00D325E0"/>
    <w:rsid w:val="00D32856"/>
    <w:rsid w:val="00D32B47"/>
    <w:rsid w:val="00D32C03"/>
    <w:rsid w:val="00D32C4F"/>
    <w:rsid w:val="00D32C6F"/>
    <w:rsid w:val="00D32C97"/>
    <w:rsid w:val="00D32CD3"/>
    <w:rsid w:val="00D32E75"/>
    <w:rsid w:val="00D32E87"/>
    <w:rsid w:val="00D33206"/>
    <w:rsid w:val="00D33208"/>
    <w:rsid w:val="00D33237"/>
    <w:rsid w:val="00D33275"/>
    <w:rsid w:val="00D3342A"/>
    <w:rsid w:val="00D3350D"/>
    <w:rsid w:val="00D338D6"/>
    <w:rsid w:val="00D3391F"/>
    <w:rsid w:val="00D33A39"/>
    <w:rsid w:val="00D33AB3"/>
    <w:rsid w:val="00D33ADC"/>
    <w:rsid w:val="00D33C3B"/>
    <w:rsid w:val="00D33CE6"/>
    <w:rsid w:val="00D33D91"/>
    <w:rsid w:val="00D33DC0"/>
    <w:rsid w:val="00D33FB9"/>
    <w:rsid w:val="00D34113"/>
    <w:rsid w:val="00D341CA"/>
    <w:rsid w:val="00D34202"/>
    <w:rsid w:val="00D34487"/>
    <w:rsid w:val="00D34500"/>
    <w:rsid w:val="00D346E6"/>
    <w:rsid w:val="00D347BE"/>
    <w:rsid w:val="00D348B7"/>
    <w:rsid w:val="00D34B66"/>
    <w:rsid w:val="00D34B99"/>
    <w:rsid w:val="00D34C4A"/>
    <w:rsid w:val="00D34CB4"/>
    <w:rsid w:val="00D34E71"/>
    <w:rsid w:val="00D34E97"/>
    <w:rsid w:val="00D34ED0"/>
    <w:rsid w:val="00D34EEC"/>
    <w:rsid w:val="00D351E6"/>
    <w:rsid w:val="00D352AE"/>
    <w:rsid w:val="00D352B7"/>
    <w:rsid w:val="00D3534C"/>
    <w:rsid w:val="00D355C6"/>
    <w:rsid w:val="00D35621"/>
    <w:rsid w:val="00D357C2"/>
    <w:rsid w:val="00D35803"/>
    <w:rsid w:val="00D35844"/>
    <w:rsid w:val="00D35862"/>
    <w:rsid w:val="00D35915"/>
    <w:rsid w:val="00D3595D"/>
    <w:rsid w:val="00D359DD"/>
    <w:rsid w:val="00D35A8C"/>
    <w:rsid w:val="00D35E47"/>
    <w:rsid w:val="00D36077"/>
    <w:rsid w:val="00D36394"/>
    <w:rsid w:val="00D363E1"/>
    <w:rsid w:val="00D363EA"/>
    <w:rsid w:val="00D36446"/>
    <w:rsid w:val="00D36633"/>
    <w:rsid w:val="00D36747"/>
    <w:rsid w:val="00D367DC"/>
    <w:rsid w:val="00D36A11"/>
    <w:rsid w:val="00D36B23"/>
    <w:rsid w:val="00D36B2B"/>
    <w:rsid w:val="00D36B39"/>
    <w:rsid w:val="00D36B9C"/>
    <w:rsid w:val="00D36C3F"/>
    <w:rsid w:val="00D36CC8"/>
    <w:rsid w:val="00D36D2B"/>
    <w:rsid w:val="00D36E0B"/>
    <w:rsid w:val="00D36E29"/>
    <w:rsid w:val="00D36EB2"/>
    <w:rsid w:val="00D36FB7"/>
    <w:rsid w:val="00D371F8"/>
    <w:rsid w:val="00D372BA"/>
    <w:rsid w:val="00D37303"/>
    <w:rsid w:val="00D3735F"/>
    <w:rsid w:val="00D37401"/>
    <w:rsid w:val="00D374B8"/>
    <w:rsid w:val="00D375EB"/>
    <w:rsid w:val="00D37621"/>
    <w:rsid w:val="00D3767E"/>
    <w:rsid w:val="00D376CE"/>
    <w:rsid w:val="00D37754"/>
    <w:rsid w:val="00D3785A"/>
    <w:rsid w:val="00D37880"/>
    <w:rsid w:val="00D379E6"/>
    <w:rsid w:val="00D37A63"/>
    <w:rsid w:val="00D37B90"/>
    <w:rsid w:val="00D37BDF"/>
    <w:rsid w:val="00D37D34"/>
    <w:rsid w:val="00D37D73"/>
    <w:rsid w:val="00D37E9E"/>
    <w:rsid w:val="00D400A9"/>
    <w:rsid w:val="00D4023E"/>
    <w:rsid w:val="00D402BA"/>
    <w:rsid w:val="00D4033C"/>
    <w:rsid w:val="00D40355"/>
    <w:rsid w:val="00D4068F"/>
    <w:rsid w:val="00D407C7"/>
    <w:rsid w:val="00D407E1"/>
    <w:rsid w:val="00D4088B"/>
    <w:rsid w:val="00D40AA6"/>
    <w:rsid w:val="00D40CE6"/>
    <w:rsid w:val="00D40CE9"/>
    <w:rsid w:val="00D40D3B"/>
    <w:rsid w:val="00D40D58"/>
    <w:rsid w:val="00D40D86"/>
    <w:rsid w:val="00D40DAE"/>
    <w:rsid w:val="00D40DEF"/>
    <w:rsid w:val="00D40F1E"/>
    <w:rsid w:val="00D40F50"/>
    <w:rsid w:val="00D40FFF"/>
    <w:rsid w:val="00D4102F"/>
    <w:rsid w:val="00D41155"/>
    <w:rsid w:val="00D4131C"/>
    <w:rsid w:val="00D414B4"/>
    <w:rsid w:val="00D414C3"/>
    <w:rsid w:val="00D415B6"/>
    <w:rsid w:val="00D41730"/>
    <w:rsid w:val="00D41A77"/>
    <w:rsid w:val="00D41AB7"/>
    <w:rsid w:val="00D41B38"/>
    <w:rsid w:val="00D41CA9"/>
    <w:rsid w:val="00D41DFB"/>
    <w:rsid w:val="00D41EE0"/>
    <w:rsid w:val="00D420B7"/>
    <w:rsid w:val="00D42142"/>
    <w:rsid w:val="00D42190"/>
    <w:rsid w:val="00D42434"/>
    <w:rsid w:val="00D427CE"/>
    <w:rsid w:val="00D4282F"/>
    <w:rsid w:val="00D42957"/>
    <w:rsid w:val="00D429AE"/>
    <w:rsid w:val="00D42AC7"/>
    <w:rsid w:val="00D42B16"/>
    <w:rsid w:val="00D42B5E"/>
    <w:rsid w:val="00D42BD1"/>
    <w:rsid w:val="00D42C65"/>
    <w:rsid w:val="00D42E02"/>
    <w:rsid w:val="00D42E35"/>
    <w:rsid w:val="00D42E80"/>
    <w:rsid w:val="00D42EAB"/>
    <w:rsid w:val="00D42ECC"/>
    <w:rsid w:val="00D4311A"/>
    <w:rsid w:val="00D431E6"/>
    <w:rsid w:val="00D43219"/>
    <w:rsid w:val="00D4325D"/>
    <w:rsid w:val="00D43328"/>
    <w:rsid w:val="00D4358B"/>
    <w:rsid w:val="00D436E8"/>
    <w:rsid w:val="00D43825"/>
    <w:rsid w:val="00D438AE"/>
    <w:rsid w:val="00D439B9"/>
    <w:rsid w:val="00D43A14"/>
    <w:rsid w:val="00D43A75"/>
    <w:rsid w:val="00D43AB2"/>
    <w:rsid w:val="00D43AD3"/>
    <w:rsid w:val="00D43B7A"/>
    <w:rsid w:val="00D43CB1"/>
    <w:rsid w:val="00D43CC1"/>
    <w:rsid w:val="00D43CCE"/>
    <w:rsid w:val="00D43EC0"/>
    <w:rsid w:val="00D44073"/>
    <w:rsid w:val="00D44284"/>
    <w:rsid w:val="00D442F3"/>
    <w:rsid w:val="00D44397"/>
    <w:rsid w:val="00D44409"/>
    <w:rsid w:val="00D447B2"/>
    <w:rsid w:val="00D447CB"/>
    <w:rsid w:val="00D447F2"/>
    <w:rsid w:val="00D44834"/>
    <w:rsid w:val="00D44839"/>
    <w:rsid w:val="00D4489A"/>
    <w:rsid w:val="00D44938"/>
    <w:rsid w:val="00D44BE2"/>
    <w:rsid w:val="00D44D47"/>
    <w:rsid w:val="00D44D99"/>
    <w:rsid w:val="00D44DF9"/>
    <w:rsid w:val="00D44EC5"/>
    <w:rsid w:val="00D44F39"/>
    <w:rsid w:val="00D44FA7"/>
    <w:rsid w:val="00D44FEF"/>
    <w:rsid w:val="00D450DF"/>
    <w:rsid w:val="00D4512A"/>
    <w:rsid w:val="00D4514D"/>
    <w:rsid w:val="00D45208"/>
    <w:rsid w:val="00D45689"/>
    <w:rsid w:val="00D45797"/>
    <w:rsid w:val="00D457E4"/>
    <w:rsid w:val="00D45A9C"/>
    <w:rsid w:val="00D45B63"/>
    <w:rsid w:val="00D45BEC"/>
    <w:rsid w:val="00D45C8B"/>
    <w:rsid w:val="00D45D35"/>
    <w:rsid w:val="00D45D56"/>
    <w:rsid w:val="00D45DD0"/>
    <w:rsid w:val="00D45E3F"/>
    <w:rsid w:val="00D4601E"/>
    <w:rsid w:val="00D46192"/>
    <w:rsid w:val="00D461A4"/>
    <w:rsid w:val="00D46346"/>
    <w:rsid w:val="00D46428"/>
    <w:rsid w:val="00D4649E"/>
    <w:rsid w:val="00D46562"/>
    <w:rsid w:val="00D4657A"/>
    <w:rsid w:val="00D465A9"/>
    <w:rsid w:val="00D466EC"/>
    <w:rsid w:val="00D4674B"/>
    <w:rsid w:val="00D46762"/>
    <w:rsid w:val="00D468DC"/>
    <w:rsid w:val="00D46A05"/>
    <w:rsid w:val="00D46E1C"/>
    <w:rsid w:val="00D46E2B"/>
    <w:rsid w:val="00D46EB4"/>
    <w:rsid w:val="00D46EEC"/>
    <w:rsid w:val="00D47028"/>
    <w:rsid w:val="00D47223"/>
    <w:rsid w:val="00D47255"/>
    <w:rsid w:val="00D47346"/>
    <w:rsid w:val="00D47364"/>
    <w:rsid w:val="00D4743F"/>
    <w:rsid w:val="00D4744F"/>
    <w:rsid w:val="00D4747B"/>
    <w:rsid w:val="00D474A3"/>
    <w:rsid w:val="00D475F7"/>
    <w:rsid w:val="00D476A1"/>
    <w:rsid w:val="00D476BA"/>
    <w:rsid w:val="00D47751"/>
    <w:rsid w:val="00D4775F"/>
    <w:rsid w:val="00D478D2"/>
    <w:rsid w:val="00D4797E"/>
    <w:rsid w:val="00D47A31"/>
    <w:rsid w:val="00D47A90"/>
    <w:rsid w:val="00D47AD3"/>
    <w:rsid w:val="00D47B1B"/>
    <w:rsid w:val="00D47E56"/>
    <w:rsid w:val="00D47F36"/>
    <w:rsid w:val="00D47F4E"/>
    <w:rsid w:val="00D47FF9"/>
    <w:rsid w:val="00D500B4"/>
    <w:rsid w:val="00D500E5"/>
    <w:rsid w:val="00D50304"/>
    <w:rsid w:val="00D50312"/>
    <w:rsid w:val="00D5031A"/>
    <w:rsid w:val="00D50387"/>
    <w:rsid w:val="00D503A6"/>
    <w:rsid w:val="00D505B1"/>
    <w:rsid w:val="00D50739"/>
    <w:rsid w:val="00D50799"/>
    <w:rsid w:val="00D507A5"/>
    <w:rsid w:val="00D507C7"/>
    <w:rsid w:val="00D50856"/>
    <w:rsid w:val="00D5098E"/>
    <w:rsid w:val="00D509CD"/>
    <w:rsid w:val="00D50BA5"/>
    <w:rsid w:val="00D50C4C"/>
    <w:rsid w:val="00D50D07"/>
    <w:rsid w:val="00D50E75"/>
    <w:rsid w:val="00D50EC6"/>
    <w:rsid w:val="00D50F21"/>
    <w:rsid w:val="00D50FE8"/>
    <w:rsid w:val="00D5101C"/>
    <w:rsid w:val="00D511C3"/>
    <w:rsid w:val="00D511C5"/>
    <w:rsid w:val="00D51288"/>
    <w:rsid w:val="00D5147F"/>
    <w:rsid w:val="00D5152B"/>
    <w:rsid w:val="00D51552"/>
    <w:rsid w:val="00D51714"/>
    <w:rsid w:val="00D5176B"/>
    <w:rsid w:val="00D517A8"/>
    <w:rsid w:val="00D518CB"/>
    <w:rsid w:val="00D519AD"/>
    <w:rsid w:val="00D51B4E"/>
    <w:rsid w:val="00D51BD0"/>
    <w:rsid w:val="00D51C8B"/>
    <w:rsid w:val="00D51D78"/>
    <w:rsid w:val="00D51EA0"/>
    <w:rsid w:val="00D51F7D"/>
    <w:rsid w:val="00D52207"/>
    <w:rsid w:val="00D52756"/>
    <w:rsid w:val="00D52781"/>
    <w:rsid w:val="00D527AF"/>
    <w:rsid w:val="00D527EE"/>
    <w:rsid w:val="00D52865"/>
    <w:rsid w:val="00D52ABA"/>
    <w:rsid w:val="00D52B4C"/>
    <w:rsid w:val="00D52CDE"/>
    <w:rsid w:val="00D52F74"/>
    <w:rsid w:val="00D52F79"/>
    <w:rsid w:val="00D53190"/>
    <w:rsid w:val="00D53192"/>
    <w:rsid w:val="00D53356"/>
    <w:rsid w:val="00D5348A"/>
    <w:rsid w:val="00D53547"/>
    <w:rsid w:val="00D535CF"/>
    <w:rsid w:val="00D53658"/>
    <w:rsid w:val="00D53771"/>
    <w:rsid w:val="00D537B5"/>
    <w:rsid w:val="00D53873"/>
    <w:rsid w:val="00D5397D"/>
    <w:rsid w:val="00D53B50"/>
    <w:rsid w:val="00D53C60"/>
    <w:rsid w:val="00D53D20"/>
    <w:rsid w:val="00D53D62"/>
    <w:rsid w:val="00D53DB8"/>
    <w:rsid w:val="00D53F0C"/>
    <w:rsid w:val="00D53F41"/>
    <w:rsid w:val="00D5401C"/>
    <w:rsid w:val="00D541AF"/>
    <w:rsid w:val="00D542DB"/>
    <w:rsid w:val="00D543AF"/>
    <w:rsid w:val="00D54404"/>
    <w:rsid w:val="00D54422"/>
    <w:rsid w:val="00D54430"/>
    <w:rsid w:val="00D544F5"/>
    <w:rsid w:val="00D54570"/>
    <w:rsid w:val="00D54637"/>
    <w:rsid w:val="00D5475E"/>
    <w:rsid w:val="00D549A7"/>
    <w:rsid w:val="00D54B35"/>
    <w:rsid w:val="00D54D98"/>
    <w:rsid w:val="00D54E03"/>
    <w:rsid w:val="00D54E78"/>
    <w:rsid w:val="00D551B9"/>
    <w:rsid w:val="00D553AB"/>
    <w:rsid w:val="00D55446"/>
    <w:rsid w:val="00D5574E"/>
    <w:rsid w:val="00D557A4"/>
    <w:rsid w:val="00D55859"/>
    <w:rsid w:val="00D5586F"/>
    <w:rsid w:val="00D558D9"/>
    <w:rsid w:val="00D55980"/>
    <w:rsid w:val="00D55D00"/>
    <w:rsid w:val="00D55D0E"/>
    <w:rsid w:val="00D55D3A"/>
    <w:rsid w:val="00D560FC"/>
    <w:rsid w:val="00D56106"/>
    <w:rsid w:val="00D56167"/>
    <w:rsid w:val="00D56203"/>
    <w:rsid w:val="00D5622A"/>
    <w:rsid w:val="00D5623F"/>
    <w:rsid w:val="00D56575"/>
    <w:rsid w:val="00D56646"/>
    <w:rsid w:val="00D56659"/>
    <w:rsid w:val="00D56738"/>
    <w:rsid w:val="00D56A39"/>
    <w:rsid w:val="00D56A51"/>
    <w:rsid w:val="00D56BC7"/>
    <w:rsid w:val="00D56C09"/>
    <w:rsid w:val="00D56CC1"/>
    <w:rsid w:val="00D56F40"/>
    <w:rsid w:val="00D57053"/>
    <w:rsid w:val="00D57084"/>
    <w:rsid w:val="00D57088"/>
    <w:rsid w:val="00D570DD"/>
    <w:rsid w:val="00D57304"/>
    <w:rsid w:val="00D57363"/>
    <w:rsid w:val="00D5736E"/>
    <w:rsid w:val="00D57409"/>
    <w:rsid w:val="00D57438"/>
    <w:rsid w:val="00D5760D"/>
    <w:rsid w:val="00D578B0"/>
    <w:rsid w:val="00D57930"/>
    <w:rsid w:val="00D5793D"/>
    <w:rsid w:val="00D57A5C"/>
    <w:rsid w:val="00D57A5D"/>
    <w:rsid w:val="00D57AA3"/>
    <w:rsid w:val="00D57AEE"/>
    <w:rsid w:val="00D57B0A"/>
    <w:rsid w:val="00D57B1C"/>
    <w:rsid w:val="00D57B5D"/>
    <w:rsid w:val="00D57D27"/>
    <w:rsid w:val="00D57DAF"/>
    <w:rsid w:val="00D57E1E"/>
    <w:rsid w:val="00D57E38"/>
    <w:rsid w:val="00D57EC2"/>
    <w:rsid w:val="00D57F64"/>
    <w:rsid w:val="00D57FDB"/>
    <w:rsid w:val="00D604A6"/>
    <w:rsid w:val="00D605DA"/>
    <w:rsid w:val="00D6077A"/>
    <w:rsid w:val="00D6077C"/>
    <w:rsid w:val="00D60931"/>
    <w:rsid w:val="00D60A11"/>
    <w:rsid w:val="00D60ADB"/>
    <w:rsid w:val="00D60B39"/>
    <w:rsid w:val="00D60B56"/>
    <w:rsid w:val="00D60CA3"/>
    <w:rsid w:val="00D60D95"/>
    <w:rsid w:val="00D60ED6"/>
    <w:rsid w:val="00D610C1"/>
    <w:rsid w:val="00D61213"/>
    <w:rsid w:val="00D613D7"/>
    <w:rsid w:val="00D61420"/>
    <w:rsid w:val="00D61446"/>
    <w:rsid w:val="00D616F4"/>
    <w:rsid w:val="00D61CCB"/>
    <w:rsid w:val="00D61DB6"/>
    <w:rsid w:val="00D61F9A"/>
    <w:rsid w:val="00D61FDE"/>
    <w:rsid w:val="00D61FE5"/>
    <w:rsid w:val="00D62089"/>
    <w:rsid w:val="00D621CD"/>
    <w:rsid w:val="00D622AF"/>
    <w:rsid w:val="00D622E3"/>
    <w:rsid w:val="00D62503"/>
    <w:rsid w:val="00D62534"/>
    <w:rsid w:val="00D62556"/>
    <w:rsid w:val="00D62568"/>
    <w:rsid w:val="00D625B2"/>
    <w:rsid w:val="00D62634"/>
    <w:rsid w:val="00D626B6"/>
    <w:rsid w:val="00D6273D"/>
    <w:rsid w:val="00D62896"/>
    <w:rsid w:val="00D628BA"/>
    <w:rsid w:val="00D628E2"/>
    <w:rsid w:val="00D62A08"/>
    <w:rsid w:val="00D62A3A"/>
    <w:rsid w:val="00D62A76"/>
    <w:rsid w:val="00D62AA4"/>
    <w:rsid w:val="00D62ACF"/>
    <w:rsid w:val="00D62E07"/>
    <w:rsid w:val="00D62E40"/>
    <w:rsid w:val="00D62E9A"/>
    <w:rsid w:val="00D63062"/>
    <w:rsid w:val="00D631C4"/>
    <w:rsid w:val="00D632AB"/>
    <w:rsid w:val="00D632B4"/>
    <w:rsid w:val="00D63356"/>
    <w:rsid w:val="00D634FD"/>
    <w:rsid w:val="00D637BA"/>
    <w:rsid w:val="00D638E8"/>
    <w:rsid w:val="00D639AF"/>
    <w:rsid w:val="00D63A86"/>
    <w:rsid w:val="00D63A8C"/>
    <w:rsid w:val="00D63AF6"/>
    <w:rsid w:val="00D63BBE"/>
    <w:rsid w:val="00D63C9E"/>
    <w:rsid w:val="00D63D2F"/>
    <w:rsid w:val="00D63EA7"/>
    <w:rsid w:val="00D63EC6"/>
    <w:rsid w:val="00D63ECE"/>
    <w:rsid w:val="00D63FF6"/>
    <w:rsid w:val="00D640E0"/>
    <w:rsid w:val="00D640E1"/>
    <w:rsid w:val="00D64221"/>
    <w:rsid w:val="00D6429E"/>
    <w:rsid w:val="00D64306"/>
    <w:rsid w:val="00D64370"/>
    <w:rsid w:val="00D64424"/>
    <w:rsid w:val="00D64432"/>
    <w:rsid w:val="00D64554"/>
    <w:rsid w:val="00D64579"/>
    <w:rsid w:val="00D64587"/>
    <w:rsid w:val="00D645BE"/>
    <w:rsid w:val="00D645F0"/>
    <w:rsid w:val="00D64654"/>
    <w:rsid w:val="00D64671"/>
    <w:rsid w:val="00D646C8"/>
    <w:rsid w:val="00D64710"/>
    <w:rsid w:val="00D647C4"/>
    <w:rsid w:val="00D648C9"/>
    <w:rsid w:val="00D64904"/>
    <w:rsid w:val="00D6493B"/>
    <w:rsid w:val="00D649C8"/>
    <w:rsid w:val="00D64A76"/>
    <w:rsid w:val="00D64A82"/>
    <w:rsid w:val="00D64B90"/>
    <w:rsid w:val="00D64B96"/>
    <w:rsid w:val="00D64C0E"/>
    <w:rsid w:val="00D64D4A"/>
    <w:rsid w:val="00D64FB9"/>
    <w:rsid w:val="00D65084"/>
    <w:rsid w:val="00D650B7"/>
    <w:rsid w:val="00D650CA"/>
    <w:rsid w:val="00D65104"/>
    <w:rsid w:val="00D651BF"/>
    <w:rsid w:val="00D6524D"/>
    <w:rsid w:val="00D655E5"/>
    <w:rsid w:val="00D657F4"/>
    <w:rsid w:val="00D65ABB"/>
    <w:rsid w:val="00D65B3D"/>
    <w:rsid w:val="00D65C74"/>
    <w:rsid w:val="00D65C7C"/>
    <w:rsid w:val="00D65CA1"/>
    <w:rsid w:val="00D65CD9"/>
    <w:rsid w:val="00D65D50"/>
    <w:rsid w:val="00D65D52"/>
    <w:rsid w:val="00D65F2B"/>
    <w:rsid w:val="00D65F83"/>
    <w:rsid w:val="00D65F9D"/>
    <w:rsid w:val="00D65F9E"/>
    <w:rsid w:val="00D65FD3"/>
    <w:rsid w:val="00D6600D"/>
    <w:rsid w:val="00D661B9"/>
    <w:rsid w:val="00D66212"/>
    <w:rsid w:val="00D66226"/>
    <w:rsid w:val="00D66364"/>
    <w:rsid w:val="00D6640B"/>
    <w:rsid w:val="00D66454"/>
    <w:rsid w:val="00D66462"/>
    <w:rsid w:val="00D6653D"/>
    <w:rsid w:val="00D66587"/>
    <w:rsid w:val="00D66656"/>
    <w:rsid w:val="00D66699"/>
    <w:rsid w:val="00D66716"/>
    <w:rsid w:val="00D6677B"/>
    <w:rsid w:val="00D6684C"/>
    <w:rsid w:val="00D66905"/>
    <w:rsid w:val="00D66A56"/>
    <w:rsid w:val="00D66B30"/>
    <w:rsid w:val="00D66B53"/>
    <w:rsid w:val="00D66DA9"/>
    <w:rsid w:val="00D66EFC"/>
    <w:rsid w:val="00D67030"/>
    <w:rsid w:val="00D67178"/>
    <w:rsid w:val="00D672DC"/>
    <w:rsid w:val="00D673AD"/>
    <w:rsid w:val="00D673C8"/>
    <w:rsid w:val="00D67455"/>
    <w:rsid w:val="00D675EE"/>
    <w:rsid w:val="00D67A0E"/>
    <w:rsid w:val="00D67A98"/>
    <w:rsid w:val="00D67C37"/>
    <w:rsid w:val="00D67E42"/>
    <w:rsid w:val="00D67E99"/>
    <w:rsid w:val="00D67FB1"/>
    <w:rsid w:val="00D70058"/>
    <w:rsid w:val="00D70145"/>
    <w:rsid w:val="00D7019F"/>
    <w:rsid w:val="00D7035C"/>
    <w:rsid w:val="00D704DC"/>
    <w:rsid w:val="00D705B7"/>
    <w:rsid w:val="00D705F7"/>
    <w:rsid w:val="00D70648"/>
    <w:rsid w:val="00D70657"/>
    <w:rsid w:val="00D7070C"/>
    <w:rsid w:val="00D7076E"/>
    <w:rsid w:val="00D70842"/>
    <w:rsid w:val="00D708FC"/>
    <w:rsid w:val="00D70BDE"/>
    <w:rsid w:val="00D70BFF"/>
    <w:rsid w:val="00D70C1F"/>
    <w:rsid w:val="00D70CDD"/>
    <w:rsid w:val="00D70D4A"/>
    <w:rsid w:val="00D70E31"/>
    <w:rsid w:val="00D71003"/>
    <w:rsid w:val="00D7104D"/>
    <w:rsid w:val="00D71155"/>
    <w:rsid w:val="00D713F9"/>
    <w:rsid w:val="00D717D0"/>
    <w:rsid w:val="00D717DA"/>
    <w:rsid w:val="00D71890"/>
    <w:rsid w:val="00D7195F"/>
    <w:rsid w:val="00D719A4"/>
    <w:rsid w:val="00D719B7"/>
    <w:rsid w:val="00D719E0"/>
    <w:rsid w:val="00D71B52"/>
    <w:rsid w:val="00D71BCC"/>
    <w:rsid w:val="00D71C12"/>
    <w:rsid w:val="00D72007"/>
    <w:rsid w:val="00D72650"/>
    <w:rsid w:val="00D726D7"/>
    <w:rsid w:val="00D7274A"/>
    <w:rsid w:val="00D72A24"/>
    <w:rsid w:val="00D72AF1"/>
    <w:rsid w:val="00D72B19"/>
    <w:rsid w:val="00D72C61"/>
    <w:rsid w:val="00D72C9C"/>
    <w:rsid w:val="00D72D07"/>
    <w:rsid w:val="00D72F8E"/>
    <w:rsid w:val="00D73056"/>
    <w:rsid w:val="00D73121"/>
    <w:rsid w:val="00D73135"/>
    <w:rsid w:val="00D732C0"/>
    <w:rsid w:val="00D7331F"/>
    <w:rsid w:val="00D73477"/>
    <w:rsid w:val="00D734A8"/>
    <w:rsid w:val="00D735EE"/>
    <w:rsid w:val="00D73861"/>
    <w:rsid w:val="00D73876"/>
    <w:rsid w:val="00D738E5"/>
    <w:rsid w:val="00D738F3"/>
    <w:rsid w:val="00D73926"/>
    <w:rsid w:val="00D739DF"/>
    <w:rsid w:val="00D73A5C"/>
    <w:rsid w:val="00D73AAF"/>
    <w:rsid w:val="00D73BD7"/>
    <w:rsid w:val="00D73D82"/>
    <w:rsid w:val="00D73E08"/>
    <w:rsid w:val="00D73E28"/>
    <w:rsid w:val="00D73EBA"/>
    <w:rsid w:val="00D74002"/>
    <w:rsid w:val="00D74082"/>
    <w:rsid w:val="00D740A1"/>
    <w:rsid w:val="00D742AD"/>
    <w:rsid w:val="00D74423"/>
    <w:rsid w:val="00D74462"/>
    <w:rsid w:val="00D74563"/>
    <w:rsid w:val="00D745EE"/>
    <w:rsid w:val="00D74606"/>
    <w:rsid w:val="00D74737"/>
    <w:rsid w:val="00D74759"/>
    <w:rsid w:val="00D748F9"/>
    <w:rsid w:val="00D7495D"/>
    <w:rsid w:val="00D74A59"/>
    <w:rsid w:val="00D74BD9"/>
    <w:rsid w:val="00D74C9A"/>
    <w:rsid w:val="00D74E92"/>
    <w:rsid w:val="00D74F38"/>
    <w:rsid w:val="00D74F73"/>
    <w:rsid w:val="00D74FD1"/>
    <w:rsid w:val="00D74FF7"/>
    <w:rsid w:val="00D751AF"/>
    <w:rsid w:val="00D753B4"/>
    <w:rsid w:val="00D754A2"/>
    <w:rsid w:val="00D7556A"/>
    <w:rsid w:val="00D75572"/>
    <w:rsid w:val="00D7558A"/>
    <w:rsid w:val="00D75637"/>
    <w:rsid w:val="00D75692"/>
    <w:rsid w:val="00D756A6"/>
    <w:rsid w:val="00D756D0"/>
    <w:rsid w:val="00D7582B"/>
    <w:rsid w:val="00D7582D"/>
    <w:rsid w:val="00D75985"/>
    <w:rsid w:val="00D759A9"/>
    <w:rsid w:val="00D759D1"/>
    <w:rsid w:val="00D75C20"/>
    <w:rsid w:val="00D75C34"/>
    <w:rsid w:val="00D75E10"/>
    <w:rsid w:val="00D75E5B"/>
    <w:rsid w:val="00D75E7F"/>
    <w:rsid w:val="00D75ED9"/>
    <w:rsid w:val="00D7605F"/>
    <w:rsid w:val="00D76068"/>
    <w:rsid w:val="00D760CD"/>
    <w:rsid w:val="00D76120"/>
    <w:rsid w:val="00D7614D"/>
    <w:rsid w:val="00D7615B"/>
    <w:rsid w:val="00D7619E"/>
    <w:rsid w:val="00D761A9"/>
    <w:rsid w:val="00D7636E"/>
    <w:rsid w:val="00D76497"/>
    <w:rsid w:val="00D765DB"/>
    <w:rsid w:val="00D76620"/>
    <w:rsid w:val="00D76894"/>
    <w:rsid w:val="00D76A17"/>
    <w:rsid w:val="00D76AD9"/>
    <w:rsid w:val="00D76C7D"/>
    <w:rsid w:val="00D76CC3"/>
    <w:rsid w:val="00D76DD0"/>
    <w:rsid w:val="00D76E28"/>
    <w:rsid w:val="00D76E9D"/>
    <w:rsid w:val="00D7706A"/>
    <w:rsid w:val="00D770F1"/>
    <w:rsid w:val="00D7716E"/>
    <w:rsid w:val="00D7733C"/>
    <w:rsid w:val="00D77343"/>
    <w:rsid w:val="00D7749A"/>
    <w:rsid w:val="00D774CC"/>
    <w:rsid w:val="00D77918"/>
    <w:rsid w:val="00D77B48"/>
    <w:rsid w:val="00D77D37"/>
    <w:rsid w:val="00D77ECD"/>
    <w:rsid w:val="00D77EE1"/>
    <w:rsid w:val="00D77F47"/>
    <w:rsid w:val="00D80066"/>
    <w:rsid w:val="00D800C8"/>
    <w:rsid w:val="00D800F8"/>
    <w:rsid w:val="00D80203"/>
    <w:rsid w:val="00D8038C"/>
    <w:rsid w:val="00D804B3"/>
    <w:rsid w:val="00D8054E"/>
    <w:rsid w:val="00D80584"/>
    <w:rsid w:val="00D80686"/>
    <w:rsid w:val="00D80695"/>
    <w:rsid w:val="00D806FB"/>
    <w:rsid w:val="00D80704"/>
    <w:rsid w:val="00D80A5B"/>
    <w:rsid w:val="00D80A8E"/>
    <w:rsid w:val="00D80A9A"/>
    <w:rsid w:val="00D80CC3"/>
    <w:rsid w:val="00D80D41"/>
    <w:rsid w:val="00D80F85"/>
    <w:rsid w:val="00D80FA1"/>
    <w:rsid w:val="00D810FB"/>
    <w:rsid w:val="00D81222"/>
    <w:rsid w:val="00D81246"/>
    <w:rsid w:val="00D8124C"/>
    <w:rsid w:val="00D81258"/>
    <w:rsid w:val="00D812BA"/>
    <w:rsid w:val="00D8142E"/>
    <w:rsid w:val="00D8151E"/>
    <w:rsid w:val="00D81571"/>
    <w:rsid w:val="00D815D0"/>
    <w:rsid w:val="00D81626"/>
    <w:rsid w:val="00D81640"/>
    <w:rsid w:val="00D81644"/>
    <w:rsid w:val="00D81716"/>
    <w:rsid w:val="00D8184F"/>
    <w:rsid w:val="00D81863"/>
    <w:rsid w:val="00D8189C"/>
    <w:rsid w:val="00D81912"/>
    <w:rsid w:val="00D819DF"/>
    <w:rsid w:val="00D81AAF"/>
    <w:rsid w:val="00D81B60"/>
    <w:rsid w:val="00D81C58"/>
    <w:rsid w:val="00D81CCC"/>
    <w:rsid w:val="00D81D1B"/>
    <w:rsid w:val="00D81E20"/>
    <w:rsid w:val="00D820D6"/>
    <w:rsid w:val="00D82106"/>
    <w:rsid w:val="00D82192"/>
    <w:rsid w:val="00D8221C"/>
    <w:rsid w:val="00D8223B"/>
    <w:rsid w:val="00D823C5"/>
    <w:rsid w:val="00D82696"/>
    <w:rsid w:val="00D827A3"/>
    <w:rsid w:val="00D82899"/>
    <w:rsid w:val="00D828AD"/>
    <w:rsid w:val="00D829C0"/>
    <w:rsid w:val="00D82A67"/>
    <w:rsid w:val="00D82C4B"/>
    <w:rsid w:val="00D82C65"/>
    <w:rsid w:val="00D82CD1"/>
    <w:rsid w:val="00D82CE7"/>
    <w:rsid w:val="00D83182"/>
    <w:rsid w:val="00D83306"/>
    <w:rsid w:val="00D83505"/>
    <w:rsid w:val="00D83734"/>
    <w:rsid w:val="00D8391F"/>
    <w:rsid w:val="00D83C7F"/>
    <w:rsid w:val="00D83D59"/>
    <w:rsid w:val="00D83E1E"/>
    <w:rsid w:val="00D83E7B"/>
    <w:rsid w:val="00D84019"/>
    <w:rsid w:val="00D841FD"/>
    <w:rsid w:val="00D841FF"/>
    <w:rsid w:val="00D84261"/>
    <w:rsid w:val="00D843A7"/>
    <w:rsid w:val="00D84473"/>
    <w:rsid w:val="00D844D3"/>
    <w:rsid w:val="00D84516"/>
    <w:rsid w:val="00D84653"/>
    <w:rsid w:val="00D8468A"/>
    <w:rsid w:val="00D847CF"/>
    <w:rsid w:val="00D84908"/>
    <w:rsid w:val="00D849EC"/>
    <w:rsid w:val="00D84C56"/>
    <w:rsid w:val="00D84D67"/>
    <w:rsid w:val="00D850E7"/>
    <w:rsid w:val="00D85146"/>
    <w:rsid w:val="00D851B0"/>
    <w:rsid w:val="00D85305"/>
    <w:rsid w:val="00D85381"/>
    <w:rsid w:val="00D8546E"/>
    <w:rsid w:val="00D854DA"/>
    <w:rsid w:val="00D85587"/>
    <w:rsid w:val="00D85612"/>
    <w:rsid w:val="00D85617"/>
    <w:rsid w:val="00D85627"/>
    <w:rsid w:val="00D85644"/>
    <w:rsid w:val="00D857EC"/>
    <w:rsid w:val="00D8588A"/>
    <w:rsid w:val="00D85AE7"/>
    <w:rsid w:val="00D85BE8"/>
    <w:rsid w:val="00D85D00"/>
    <w:rsid w:val="00D85F12"/>
    <w:rsid w:val="00D85F82"/>
    <w:rsid w:val="00D85F99"/>
    <w:rsid w:val="00D8605F"/>
    <w:rsid w:val="00D86117"/>
    <w:rsid w:val="00D861AE"/>
    <w:rsid w:val="00D86268"/>
    <w:rsid w:val="00D862E8"/>
    <w:rsid w:val="00D86453"/>
    <w:rsid w:val="00D86634"/>
    <w:rsid w:val="00D866DB"/>
    <w:rsid w:val="00D867D0"/>
    <w:rsid w:val="00D869C3"/>
    <w:rsid w:val="00D86AC8"/>
    <w:rsid w:val="00D86B68"/>
    <w:rsid w:val="00D86B95"/>
    <w:rsid w:val="00D86C09"/>
    <w:rsid w:val="00D86D19"/>
    <w:rsid w:val="00D87129"/>
    <w:rsid w:val="00D8720E"/>
    <w:rsid w:val="00D87455"/>
    <w:rsid w:val="00D87494"/>
    <w:rsid w:val="00D8758C"/>
    <w:rsid w:val="00D8770F"/>
    <w:rsid w:val="00D8780E"/>
    <w:rsid w:val="00D878CB"/>
    <w:rsid w:val="00D878D0"/>
    <w:rsid w:val="00D879AF"/>
    <w:rsid w:val="00D87A74"/>
    <w:rsid w:val="00D87BC9"/>
    <w:rsid w:val="00D87C27"/>
    <w:rsid w:val="00D87C51"/>
    <w:rsid w:val="00D87C5C"/>
    <w:rsid w:val="00D87CE1"/>
    <w:rsid w:val="00D87D31"/>
    <w:rsid w:val="00D87D7A"/>
    <w:rsid w:val="00D87DE1"/>
    <w:rsid w:val="00D87EAF"/>
    <w:rsid w:val="00D87FF4"/>
    <w:rsid w:val="00D90110"/>
    <w:rsid w:val="00D90239"/>
    <w:rsid w:val="00D902E7"/>
    <w:rsid w:val="00D903C4"/>
    <w:rsid w:val="00D90474"/>
    <w:rsid w:val="00D90556"/>
    <w:rsid w:val="00D90565"/>
    <w:rsid w:val="00D90670"/>
    <w:rsid w:val="00D90695"/>
    <w:rsid w:val="00D9070B"/>
    <w:rsid w:val="00D90740"/>
    <w:rsid w:val="00D90767"/>
    <w:rsid w:val="00D9076B"/>
    <w:rsid w:val="00D90772"/>
    <w:rsid w:val="00D907D8"/>
    <w:rsid w:val="00D9087E"/>
    <w:rsid w:val="00D908C1"/>
    <w:rsid w:val="00D909B4"/>
    <w:rsid w:val="00D90A8B"/>
    <w:rsid w:val="00D90B02"/>
    <w:rsid w:val="00D90D44"/>
    <w:rsid w:val="00D90DB4"/>
    <w:rsid w:val="00D90E8A"/>
    <w:rsid w:val="00D9106A"/>
    <w:rsid w:val="00D910E0"/>
    <w:rsid w:val="00D91352"/>
    <w:rsid w:val="00D91588"/>
    <w:rsid w:val="00D917DF"/>
    <w:rsid w:val="00D9182C"/>
    <w:rsid w:val="00D9193E"/>
    <w:rsid w:val="00D91B96"/>
    <w:rsid w:val="00D91EB9"/>
    <w:rsid w:val="00D91EDD"/>
    <w:rsid w:val="00D92170"/>
    <w:rsid w:val="00D921F8"/>
    <w:rsid w:val="00D92325"/>
    <w:rsid w:val="00D92328"/>
    <w:rsid w:val="00D9232A"/>
    <w:rsid w:val="00D9232C"/>
    <w:rsid w:val="00D92350"/>
    <w:rsid w:val="00D9236C"/>
    <w:rsid w:val="00D92371"/>
    <w:rsid w:val="00D923E1"/>
    <w:rsid w:val="00D9240C"/>
    <w:rsid w:val="00D92416"/>
    <w:rsid w:val="00D92595"/>
    <w:rsid w:val="00D92896"/>
    <w:rsid w:val="00D929A7"/>
    <w:rsid w:val="00D92B0E"/>
    <w:rsid w:val="00D92BD3"/>
    <w:rsid w:val="00D92CE0"/>
    <w:rsid w:val="00D92DA2"/>
    <w:rsid w:val="00D92FC8"/>
    <w:rsid w:val="00D93043"/>
    <w:rsid w:val="00D9311D"/>
    <w:rsid w:val="00D931FE"/>
    <w:rsid w:val="00D93258"/>
    <w:rsid w:val="00D93321"/>
    <w:rsid w:val="00D93333"/>
    <w:rsid w:val="00D93403"/>
    <w:rsid w:val="00D9343F"/>
    <w:rsid w:val="00D93670"/>
    <w:rsid w:val="00D93858"/>
    <w:rsid w:val="00D9398D"/>
    <w:rsid w:val="00D9399B"/>
    <w:rsid w:val="00D9399C"/>
    <w:rsid w:val="00D93C22"/>
    <w:rsid w:val="00D93CDE"/>
    <w:rsid w:val="00D93E3A"/>
    <w:rsid w:val="00D93E3F"/>
    <w:rsid w:val="00D93EDE"/>
    <w:rsid w:val="00D9408C"/>
    <w:rsid w:val="00D9421E"/>
    <w:rsid w:val="00D942DF"/>
    <w:rsid w:val="00D94536"/>
    <w:rsid w:val="00D945C5"/>
    <w:rsid w:val="00D94646"/>
    <w:rsid w:val="00D946BC"/>
    <w:rsid w:val="00D948BF"/>
    <w:rsid w:val="00D94927"/>
    <w:rsid w:val="00D949C3"/>
    <w:rsid w:val="00D949FE"/>
    <w:rsid w:val="00D94A36"/>
    <w:rsid w:val="00D94A40"/>
    <w:rsid w:val="00D94A62"/>
    <w:rsid w:val="00D94BB8"/>
    <w:rsid w:val="00D94C1D"/>
    <w:rsid w:val="00D94E79"/>
    <w:rsid w:val="00D9513E"/>
    <w:rsid w:val="00D952A0"/>
    <w:rsid w:val="00D952C6"/>
    <w:rsid w:val="00D95490"/>
    <w:rsid w:val="00D955F7"/>
    <w:rsid w:val="00D95671"/>
    <w:rsid w:val="00D956C3"/>
    <w:rsid w:val="00D95965"/>
    <w:rsid w:val="00D959A5"/>
    <w:rsid w:val="00D95E47"/>
    <w:rsid w:val="00D95FF4"/>
    <w:rsid w:val="00D96183"/>
    <w:rsid w:val="00D9657B"/>
    <w:rsid w:val="00D966A3"/>
    <w:rsid w:val="00D966A8"/>
    <w:rsid w:val="00D9675E"/>
    <w:rsid w:val="00D96A03"/>
    <w:rsid w:val="00D96A35"/>
    <w:rsid w:val="00D96EB0"/>
    <w:rsid w:val="00D97054"/>
    <w:rsid w:val="00D9718F"/>
    <w:rsid w:val="00D9728A"/>
    <w:rsid w:val="00D97318"/>
    <w:rsid w:val="00D973AA"/>
    <w:rsid w:val="00D9740B"/>
    <w:rsid w:val="00D97497"/>
    <w:rsid w:val="00D974D2"/>
    <w:rsid w:val="00D9750C"/>
    <w:rsid w:val="00D9757F"/>
    <w:rsid w:val="00D976BE"/>
    <w:rsid w:val="00D9776B"/>
    <w:rsid w:val="00D97861"/>
    <w:rsid w:val="00D97A7D"/>
    <w:rsid w:val="00D97C6C"/>
    <w:rsid w:val="00D97D87"/>
    <w:rsid w:val="00D97DB2"/>
    <w:rsid w:val="00D97E98"/>
    <w:rsid w:val="00D97ED8"/>
    <w:rsid w:val="00D97F5F"/>
    <w:rsid w:val="00DA0074"/>
    <w:rsid w:val="00DA017F"/>
    <w:rsid w:val="00DA0208"/>
    <w:rsid w:val="00DA0218"/>
    <w:rsid w:val="00DA0383"/>
    <w:rsid w:val="00DA0438"/>
    <w:rsid w:val="00DA04DC"/>
    <w:rsid w:val="00DA056B"/>
    <w:rsid w:val="00DA075E"/>
    <w:rsid w:val="00DA0770"/>
    <w:rsid w:val="00DA07E9"/>
    <w:rsid w:val="00DA0876"/>
    <w:rsid w:val="00DA08BF"/>
    <w:rsid w:val="00DA0987"/>
    <w:rsid w:val="00DA0AD9"/>
    <w:rsid w:val="00DA0B99"/>
    <w:rsid w:val="00DA0BDF"/>
    <w:rsid w:val="00DA0EB5"/>
    <w:rsid w:val="00DA0ED1"/>
    <w:rsid w:val="00DA0FB8"/>
    <w:rsid w:val="00DA1108"/>
    <w:rsid w:val="00DA11C8"/>
    <w:rsid w:val="00DA1231"/>
    <w:rsid w:val="00DA1290"/>
    <w:rsid w:val="00DA1298"/>
    <w:rsid w:val="00DA14F5"/>
    <w:rsid w:val="00DA150B"/>
    <w:rsid w:val="00DA1519"/>
    <w:rsid w:val="00DA1641"/>
    <w:rsid w:val="00DA171B"/>
    <w:rsid w:val="00DA189C"/>
    <w:rsid w:val="00DA19A6"/>
    <w:rsid w:val="00DA19CD"/>
    <w:rsid w:val="00DA1C58"/>
    <w:rsid w:val="00DA1D11"/>
    <w:rsid w:val="00DA1D7C"/>
    <w:rsid w:val="00DA1E89"/>
    <w:rsid w:val="00DA1F6F"/>
    <w:rsid w:val="00DA210F"/>
    <w:rsid w:val="00DA21D7"/>
    <w:rsid w:val="00DA2215"/>
    <w:rsid w:val="00DA2269"/>
    <w:rsid w:val="00DA2317"/>
    <w:rsid w:val="00DA2383"/>
    <w:rsid w:val="00DA245B"/>
    <w:rsid w:val="00DA2490"/>
    <w:rsid w:val="00DA25AA"/>
    <w:rsid w:val="00DA2733"/>
    <w:rsid w:val="00DA27CE"/>
    <w:rsid w:val="00DA27D4"/>
    <w:rsid w:val="00DA27E9"/>
    <w:rsid w:val="00DA28C1"/>
    <w:rsid w:val="00DA2923"/>
    <w:rsid w:val="00DA2979"/>
    <w:rsid w:val="00DA29E0"/>
    <w:rsid w:val="00DA2A5B"/>
    <w:rsid w:val="00DA2A6B"/>
    <w:rsid w:val="00DA2AF1"/>
    <w:rsid w:val="00DA2AF2"/>
    <w:rsid w:val="00DA2C4E"/>
    <w:rsid w:val="00DA2E0E"/>
    <w:rsid w:val="00DA2E36"/>
    <w:rsid w:val="00DA2E82"/>
    <w:rsid w:val="00DA2F8F"/>
    <w:rsid w:val="00DA3016"/>
    <w:rsid w:val="00DA3033"/>
    <w:rsid w:val="00DA304E"/>
    <w:rsid w:val="00DA3150"/>
    <w:rsid w:val="00DA3156"/>
    <w:rsid w:val="00DA31B2"/>
    <w:rsid w:val="00DA330E"/>
    <w:rsid w:val="00DA3325"/>
    <w:rsid w:val="00DA34AE"/>
    <w:rsid w:val="00DA34F4"/>
    <w:rsid w:val="00DA35E4"/>
    <w:rsid w:val="00DA36A5"/>
    <w:rsid w:val="00DA36F2"/>
    <w:rsid w:val="00DA37CB"/>
    <w:rsid w:val="00DA38F5"/>
    <w:rsid w:val="00DA3A84"/>
    <w:rsid w:val="00DA3B98"/>
    <w:rsid w:val="00DA3C7A"/>
    <w:rsid w:val="00DA3CBF"/>
    <w:rsid w:val="00DA3D53"/>
    <w:rsid w:val="00DA3D96"/>
    <w:rsid w:val="00DA3E71"/>
    <w:rsid w:val="00DA3E9F"/>
    <w:rsid w:val="00DA40C4"/>
    <w:rsid w:val="00DA41A6"/>
    <w:rsid w:val="00DA41D7"/>
    <w:rsid w:val="00DA41DF"/>
    <w:rsid w:val="00DA420A"/>
    <w:rsid w:val="00DA42AA"/>
    <w:rsid w:val="00DA4490"/>
    <w:rsid w:val="00DA4773"/>
    <w:rsid w:val="00DA498F"/>
    <w:rsid w:val="00DA49B3"/>
    <w:rsid w:val="00DA4ADE"/>
    <w:rsid w:val="00DA4BE6"/>
    <w:rsid w:val="00DA4C75"/>
    <w:rsid w:val="00DA4D0D"/>
    <w:rsid w:val="00DA52C5"/>
    <w:rsid w:val="00DA5598"/>
    <w:rsid w:val="00DA563C"/>
    <w:rsid w:val="00DA57C6"/>
    <w:rsid w:val="00DA584B"/>
    <w:rsid w:val="00DA592E"/>
    <w:rsid w:val="00DA59C1"/>
    <w:rsid w:val="00DA59FC"/>
    <w:rsid w:val="00DA5AE8"/>
    <w:rsid w:val="00DA5B37"/>
    <w:rsid w:val="00DA5C62"/>
    <w:rsid w:val="00DA5C71"/>
    <w:rsid w:val="00DA5DE7"/>
    <w:rsid w:val="00DA5E68"/>
    <w:rsid w:val="00DA5F39"/>
    <w:rsid w:val="00DA5F5D"/>
    <w:rsid w:val="00DA5FEF"/>
    <w:rsid w:val="00DA5FFF"/>
    <w:rsid w:val="00DA6305"/>
    <w:rsid w:val="00DA6323"/>
    <w:rsid w:val="00DA639D"/>
    <w:rsid w:val="00DA6417"/>
    <w:rsid w:val="00DA64C5"/>
    <w:rsid w:val="00DA66EE"/>
    <w:rsid w:val="00DA6B0E"/>
    <w:rsid w:val="00DA6B71"/>
    <w:rsid w:val="00DA6BDB"/>
    <w:rsid w:val="00DA6CCD"/>
    <w:rsid w:val="00DA6D62"/>
    <w:rsid w:val="00DA703C"/>
    <w:rsid w:val="00DA7141"/>
    <w:rsid w:val="00DA73AA"/>
    <w:rsid w:val="00DA73C3"/>
    <w:rsid w:val="00DA7400"/>
    <w:rsid w:val="00DA7458"/>
    <w:rsid w:val="00DA757B"/>
    <w:rsid w:val="00DA758B"/>
    <w:rsid w:val="00DA75B2"/>
    <w:rsid w:val="00DA7719"/>
    <w:rsid w:val="00DA7731"/>
    <w:rsid w:val="00DA77C4"/>
    <w:rsid w:val="00DA7870"/>
    <w:rsid w:val="00DA78A4"/>
    <w:rsid w:val="00DA7963"/>
    <w:rsid w:val="00DA798B"/>
    <w:rsid w:val="00DA7C09"/>
    <w:rsid w:val="00DA7C5E"/>
    <w:rsid w:val="00DA7E80"/>
    <w:rsid w:val="00DA7E96"/>
    <w:rsid w:val="00DB000B"/>
    <w:rsid w:val="00DB0056"/>
    <w:rsid w:val="00DB00A1"/>
    <w:rsid w:val="00DB0191"/>
    <w:rsid w:val="00DB0394"/>
    <w:rsid w:val="00DB04DE"/>
    <w:rsid w:val="00DB073A"/>
    <w:rsid w:val="00DB0991"/>
    <w:rsid w:val="00DB0999"/>
    <w:rsid w:val="00DB0BBF"/>
    <w:rsid w:val="00DB0C36"/>
    <w:rsid w:val="00DB0C6E"/>
    <w:rsid w:val="00DB0DDA"/>
    <w:rsid w:val="00DB0DEF"/>
    <w:rsid w:val="00DB0E0E"/>
    <w:rsid w:val="00DB10BC"/>
    <w:rsid w:val="00DB1182"/>
    <w:rsid w:val="00DB118F"/>
    <w:rsid w:val="00DB1212"/>
    <w:rsid w:val="00DB1287"/>
    <w:rsid w:val="00DB1315"/>
    <w:rsid w:val="00DB1474"/>
    <w:rsid w:val="00DB14DC"/>
    <w:rsid w:val="00DB1554"/>
    <w:rsid w:val="00DB15CA"/>
    <w:rsid w:val="00DB1817"/>
    <w:rsid w:val="00DB18AE"/>
    <w:rsid w:val="00DB18B1"/>
    <w:rsid w:val="00DB1970"/>
    <w:rsid w:val="00DB1A5A"/>
    <w:rsid w:val="00DB1BA2"/>
    <w:rsid w:val="00DB1D70"/>
    <w:rsid w:val="00DB2278"/>
    <w:rsid w:val="00DB22B8"/>
    <w:rsid w:val="00DB22DE"/>
    <w:rsid w:val="00DB23E4"/>
    <w:rsid w:val="00DB26E1"/>
    <w:rsid w:val="00DB2739"/>
    <w:rsid w:val="00DB286F"/>
    <w:rsid w:val="00DB287D"/>
    <w:rsid w:val="00DB2C96"/>
    <w:rsid w:val="00DB3055"/>
    <w:rsid w:val="00DB317F"/>
    <w:rsid w:val="00DB35A9"/>
    <w:rsid w:val="00DB39E3"/>
    <w:rsid w:val="00DB39EB"/>
    <w:rsid w:val="00DB39FE"/>
    <w:rsid w:val="00DB3A6F"/>
    <w:rsid w:val="00DB3ABE"/>
    <w:rsid w:val="00DB3B9F"/>
    <w:rsid w:val="00DB3D3E"/>
    <w:rsid w:val="00DB3D90"/>
    <w:rsid w:val="00DB3E91"/>
    <w:rsid w:val="00DB3FB8"/>
    <w:rsid w:val="00DB3FC1"/>
    <w:rsid w:val="00DB3FEB"/>
    <w:rsid w:val="00DB406D"/>
    <w:rsid w:val="00DB4086"/>
    <w:rsid w:val="00DB42AB"/>
    <w:rsid w:val="00DB43DA"/>
    <w:rsid w:val="00DB43FE"/>
    <w:rsid w:val="00DB444D"/>
    <w:rsid w:val="00DB45FE"/>
    <w:rsid w:val="00DB4626"/>
    <w:rsid w:val="00DB462D"/>
    <w:rsid w:val="00DB463A"/>
    <w:rsid w:val="00DB47D1"/>
    <w:rsid w:val="00DB48FB"/>
    <w:rsid w:val="00DB4D7F"/>
    <w:rsid w:val="00DB4DF1"/>
    <w:rsid w:val="00DB4E23"/>
    <w:rsid w:val="00DB4E57"/>
    <w:rsid w:val="00DB4E58"/>
    <w:rsid w:val="00DB4FEC"/>
    <w:rsid w:val="00DB5068"/>
    <w:rsid w:val="00DB523F"/>
    <w:rsid w:val="00DB55A5"/>
    <w:rsid w:val="00DB560F"/>
    <w:rsid w:val="00DB5769"/>
    <w:rsid w:val="00DB5D61"/>
    <w:rsid w:val="00DB5D98"/>
    <w:rsid w:val="00DB5E94"/>
    <w:rsid w:val="00DB5F3E"/>
    <w:rsid w:val="00DB5F4C"/>
    <w:rsid w:val="00DB6199"/>
    <w:rsid w:val="00DB6216"/>
    <w:rsid w:val="00DB62DB"/>
    <w:rsid w:val="00DB632B"/>
    <w:rsid w:val="00DB6345"/>
    <w:rsid w:val="00DB6471"/>
    <w:rsid w:val="00DB6493"/>
    <w:rsid w:val="00DB6503"/>
    <w:rsid w:val="00DB657F"/>
    <w:rsid w:val="00DB66CB"/>
    <w:rsid w:val="00DB6733"/>
    <w:rsid w:val="00DB67C7"/>
    <w:rsid w:val="00DB6851"/>
    <w:rsid w:val="00DB691C"/>
    <w:rsid w:val="00DB6974"/>
    <w:rsid w:val="00DB6D6A"/>
    <w:rsid w:val="00DB6DA0"/>
    <w:rsid w:val="00DB6F10"/>
    <w:rsid w:val="00DB6FB2"/>
    <w:rsid w:val="00DB6FB8"/>
    <w:rsid w:val="00DB6FFF"/>
    <w:rsid w:val="00DB7032"/>
    <w:rsid w:val="00DB710E"/>
    <w:rsid w:val="00DB71A1"/>
    <w:rsid w:val="00DB71BB"/>
    <w:rsid w:val="00DB7434"/>
    <w:rsid w:val="00DB75D0"/>
    <w:rsid w:val="00DB77ED"/>
    <w:rsid w:val="00DB7A38"/>
    <w:rsid w:val="00DB7AE0"/>
    <w:rsid w:val="00DB7B40"/>
    <w:rsid w:val="00DB7B5C"/>
    <w:rsid w:val="00DB7C82"/>
    <w:rsid w:val="00DB7D92"/>
    <w:rsid w:val="00DB7DE5"/>
    <w:rsid w:val="00DB7DFD"/>
    <w:rsid w:val="00DB7ED0"/>
    <w:rsid w:val="00DB7EEB"/>
    <w:rsid w:val="00DB7F5D"/>
    <w:rsid w:val="00DC001E"/>
    <w:rsid w:val="00DC00A3"/>
    <w:rsid w:val="00DC00AC"/>
    <w:rsid w:val="00DC00C1"/>
    <w:rsid w:val="00DC0292"/>
    <w:rsid w:val="00DC02A8"/>
    <w:rsid w:val="00DC0423"/>
    <w:rsid w:val="00DC055A"/>
    <w:rsid w:val="00DC0563"/>
    <w:rsid w:val="00DC093D"/>
    <w:rsid w:val="00DC098F"/>
    <w:rsid w:val="00DC099E"/>
    <w:rsid w:val="00DC09A3"/>
    <w:rsid w:val="00DC0B03"/>
    <w:rsid w:val="00DC0C8E"/>
    <w:rsid w:val="00DC0D76"/>
    <w:rsid w:val="00DC0EA9"/>
    <w:rsid w:val="00DC0F12"/>
    <w:rsid w:val="00DC1069"/>
    <w:rsid w:val="00DC1167"/>
    <w:rsid w:val="00DC1260"/>
    <w:rsid w:val="00DC1607"/>
    <w:rsid w:val="00DC16F2"/>
    <w:rsid w:val="00DC1702"/>
    <w:rsid w:val="00DC1707"/>
    <w:rsid w:val="00DC17F8"/>
    <w:rsid w:val="00DC1A65"/>
    <w:rsid w:val="00DC1B11"/>
    <w:rsid w:val="00DC1E1A"/>
    <w:rsid w:val="00DC1F95"/>
    <w:rsid w:val="00DC1FEE"/>
    <w:rsid w:val="00DC20C8"/>
    <w:rsid w:val="00DC21F0"/>
    <w:rsid w:val="00DC24B7"/>
    <w:rsid w:val="00DC25C0"/>
    <w:rsid w:val="00DC2608"/>
    <w:rsid w:val="00DC2667"/>
    <w:rsid w:val="00DC2706"/>
    <w:rsid w:val="00DC271C"/>
    <w:rsid w:val="00DC2816"/>
    <w:rsid w:val="00DC28CD"/>
    <w:rsid w:val="00DC2903"/>
    <w:rsid w:val="00DC2C08"/>
    <w:rsid w:val="00DC2C6C"/>
    <w:rsid w:val="00DC2D1A"/>
    <w:rsid w:val="00DC2E21"/>
    <w:rsid w:val="00DC2E5B"/>
    <w:rsid w:val="00DC2E79"/>
    <w:rsid w:val="00DC2E7C"/>
    <w:rsid w:val="00DC2FCD"/>
    <w:rsid w:val="00DC310E"/>
    <w:rsid w:val="00DC3129"/>
    <w:rsid w:val="00DC326D"/>
    <w:rsid w:val="00DC33AF"/>
    <w:rsid w:val="00DC345A"/>
    <w:rsid w:val="00DC3464"/>
    <w:rsid w:val="00DC34B6"/>
    <w:rsid w:val="00DC3600"/>
    <w:rsid w:val="00DC364F"/>
    <w:rsid w:val="00DC366D"/>
    <w:rsid w:val="00DC36BD"/>
    <w:rsid w:val="00DC3930"/>
    <w:rsid w:val="00DC3949"/>
    <w:rsid w:val="00DC3969"/>
    <w:rsid w:val="00DC39F6"/>
    <w:rsid w:val="00DC3B0C"/>
    <w:rsid w:val="00DC3C46"/>
    <w:rsid w:val="00DC3E5E"/>
    <w:rsid w:val="00DC3EA4"/>
    <w:rsid w:val="00DC3F23"/>
    <w:rsid w:val="00DC3F27"/>
    <w:rsid w:val="00DC3FAA"/>
    <w:rsid w:val="00DC40A6"/>
    <w:rsid w:val="00DC422C"/>
    <w:rsid w:val="00DC42F9"/>
    <w:rsid w:val="00DC43E7"/>
    <w:rsid w:val="00DC4530"/>
    <w:rsid w:val="00DC45C8"/>
    <w:rsid w:val="00DC466C"/>
    <w:rsid w:val="00DC46A2"/>
    <w:rsid w:val="00DC47EC"/>
    <w:rsid w:val="00DC4AE0"/>
    <w:rsid w:val="00DC4D55"/>
    <w:rsid w:val="00DC4D59"/>
    <w:rsid w:val="00DC4E58"/>
    <w:rsid w:val="00DC4E68"/>
    <w:rsid w:val="00DC4ECF"/>
    <w:rsid w:val="00DC4F6D"/>
    <w:rsid w:val="00DC5073"/>
    <w:rsid w:val="00DC51C2"/>
    <w:rsid w:val="00DC5208"/>
    <w:rsid w:val="00DC5246"/>
    <w:rsid w:val="00DC52C0"/>
    <w:rsid w:val="00DC52CC"/>
    <w:rsid w:val="00DC53B0"/>
    <w:rsid w:val="00DC53EA"/>
    <w:rsid w:val="00DC53F6"/>
    <w:rsid w:val="00DC54EA"/>
    <w:rsid w:val="00DC562F"/>
    <w:rsid w:val="00DC5651"/>
    <w:rsid w:val="00DC5661"/>
    <w:rsid w:val="00DC56B4"/>
    <w:rsid w:val="00DC570A"/>
    <w:rsid w:val="00DC577F"/>
    <w:rsid w:val="00DC5812"/>
    <w:rsid w:val="00DC5BD9"/>
    <w:rsid w:val="00DC5C4C"/>
    <w:rsid w:val="00DC5C4E"/>
    <w:rsid w:val="00DC5D72"/>
    <w:rsid w:val="00DC5D87"/>
    <w:rsid w:val="00DC5E7F"/>
    <w:rsid w:val="00DC5ED2"/>
    <w:rsid w:val="00DC5FEB"/>
    <w:rsid w:val="00DC5FF2"/>
    <w:rsid w:val="00DC6054"/>
    <w:rsid w:val="00DC60A4"/>
    <w:rsid w:val="00DC60ED"/>
    <w:rsid w:val="00DC6197"/>
    <w:rsid w:val="00DC61E0"/>
    <w:rsid w:val="00DC621A"/>
    <w:rsid w:val="00DC62F4"/>
    <w:rsid w:val="00DC6405"/>
    <w:rsid w:val="00DC641C"/>
    <w:rsid w:val="00DC652B"/>
    <w:rsid w:val="00DC66C6"/>
    <w:rsid w:val="00DC672B"/>
    <w:rsid w:val="00DC67E9"/>
    <w:rsid w:val="00DC68E9"/>
    <w:rsid w:val="00DC6A2D"/>
    <w:rsid w:val="00DC6F21"/>
    <w:rsid w:val="00DC6F3D"/>
    <w:rsid w:val="00DC7042"/>
    <w:rsid w:val="00DC7046"/>
    <w:rsid w:val="00DC70FF"/>
    <w:rsid w:val="00DC7110"/>
    <w:rsid w:val="00DC71A8"/>
    <w:rsid w:val="00DC721E"/>
    <w:rsid w:val="00DC72CD"/>
    <w:rsid w:val="00DC74A0"/>
    <w:rsid w:val="00DC74A1"/>
    <w:rsid w:val="00DC74E9"/>
    <w:rsid w:val="00DC75D1"/>
    <w:rsid w:val="00DC7716"/>
    <w:rsid w:val="00DC774F"/>
    <w:rsid w:val="00DC77DF"/>
    <w:rsid w:val="00DC7889"/>
    <w:rsid w:val="00DC7934"/>
    <w:rsid w:val="00DC7BAD"/>
    <w:rsid w:val="00DC7C1B"/>
    <w:rsid w:val="00DC7D5E"/>
    <w:rsid w:val="00DC7D62"/>
    <w:rsid w:val="00DC7D87"/>
    <w:rsid w:val="00DC7E79"/>
    <w:rsid w:val="00DC7F2B"/>
    <w:rsid w:val="00DC7F3F"/>
    <w:rsid w:val="00DC7F8F"/>
    <w:rsid w:val="00DD0041"/>
    <w:rsid w:val="00DD0654"/>
    <w:rsid w:val="00DD06BE"/>
    <w:rsid w:val="00DD0737"/>
    <w:rsid w:val="00DD07BA"/>
    <w:rsid w:val="00DD0971"/>
    <w:rsid w:val="00DD0972"/>
    <w:rsid w:val="00DD0BC2"/>
    <w:rsid w:val="00DD0D15"/>
    <w:rsid w:val="00DD0D92"/>
    <w:rsid w:val="00DD0E35"/>
    <w:rsid w:val="00DD0EBA"/>
    <w:rsid w:val="00DD0EEC"/>
    <w:rsid w:val="00DD11FB"/>
    <w:rsid w:val="00DD13AF"/>
    <w:rsid w:val="00DD141E"/>
    <w:rsid w:val="00DD156F"/>
    <w:rsid w:val="00DD15DB"/>
    <w:rsid w:val="00DD1869"/>
    <w:rsid w:val="00DD1B46"/>
    <w:rsid w:val="00DD1BDE"/>
    <w:rsid w:val="00DD1EA5"/>
    <w:rsid w:val="00DD1EE9"/>
    <w:rsid w:val="00DD1F1A"/>
    <w:rsid w:val="00DD207C"/>
    <w:rsid w:val="00DD20C6"/>
    <w:rsid w:val="00DD2213"/>
    <w:rsid w:val="00DD225D"/>
    <w:rsid w:val="00DD231E"/>
    <w:rsid w:val="00DD2488"/>
    <w:rsid w:val="00DD2566"/>
    <w:rsid w:val="00DD2639"/>
    <w:rsid w:val="00DD26F6"/>
    <w:rsid w:val="00DD270F"/>
    <w:rsid w:val="00DD2752"/>
    <w:rsid w:val="00DD27C4"/>
    <w:rsid w:val="00DD2804"/>
    <w:rsid w:val="00DD2815"/>
    <w:rsid w:val="00DD2861"/>
    <w:rsid w:val="00DD2978"/>
    <w:rsid w:val="00DD2989"/>
    <w:rsid w:val="00DD2BA4"/>
    <w:rsid w:val="00DD2C11"/>
    <w:rsid w:val="00DD2CEA"/>
    <w:rsid w:val="00DD2DEE"/>
    <w:rsid w:val="00DD2E8C"/>
    <w:rsid w:val="00DD3170"/>
    <w:rsid w:val="00DD32AE"/>
    <w:rsid w:val="00DD356F"/>
    <w:rsid w:val="00DD35B6"/>
    <w:rsid w:val="00DD36D6"/>
    <w:rsid w:val="00DD398C"/>
    <w:rsid w:val="00DD3BA7"/>
    <w:rsid w:val="00DD3BCF"/>
    <w:rsid w:val="00DD3D0E"/>
    <w:rsid w:val="00DD3F30"/>
    <w:rsid w:val="00DD3F54"/>
    <w:rsid w:val="00DD3F84"/>
    <w:rsid w:val="00DD3FEE"/>
    <w:rsid w:val="00DD417A"/>
    <w:rsid w:val="00DD4356"/>
    <w:rsid w:val="00DD455B"/>
    <w:rsid w:val="00DD45AE"/>
    <w:rsid w:val="00DD4739"/>
    <w:rsid w:val="00DD4847"/>
    <w:rsid w:val="00DD487C"/>
    <w:rsid w:val="00DD4919"/>
    <w:rsid w:val="00DD4A66"/>
    <w:rsid w:val="00DD4AC6"/>
    <w:rsid w:val="00DD4BFE"/>
    <w:rsid w:val="00DD4CC8"/>
    <w:rsid w:val="00DD4DF3"/>
    <w:rsid w:val="00DD4E9F"/>
    <w:rsid w:val="00DD4F48"/>
    <w:rsid w:val="00DD5039"/>
    <w:rsid w:val="00DD5109"/>
    <w:rsid w:val="00DD51FD"/>
    <w:rsid w:val="00DD5245"/>
    <w:rsid w:val="00DD52FE"/>
    <w:rsid w:val="00DD540A"/>
    <w:rsid w:val="00DD54CC"/>
    <w:rsid w:val="00DD559F"/>
    <w:rsid w:val="00DD55DD"/>
    <w:rsid w:val="00DD5695"/>
    <w:rsid w:val="00DD58CF"/>
    <w:rsid w:val="00DD5B52"/>
    <w:rsid w:val="00DD5C44"/>
    <w:rsid w:val="00DD5C90"/>
    <w:rsid w:val="00DD619D"/>
    <w:rsid w:val="00DD62AC"/>
    <w:rsid w:val="00DD64BE"/>
    <w:rsid w:val="00DD6670"/>
    <w:rsid w:val="00DD6690"/>
    <w:rsid w:val="00DD6692"/>
    <w:rsid w:val="00DD6867"/>
    <w:rsid w:val="00DD6977"/>
    <w:rsid w:val="00DD6982"/>
    <w:rsid w:val="00DD6B74"/>
    <w:rsid w:val="00DD6CEF"/>
    <w:rsid w:val="00DD6D3E"/>
    <w:rsid w:val="00DD6EA0"/>
    <w:rsid w:val="00DD6F69"/>
    <w:rsid w:val="00DD6F74"/>
    <w:rsid w:val="00DD7087"/>
    <w:rsid w:val="00DD7132"/>
    <w:rsid w:val="00DD71FC"/>
    <w:rsid w:val="00DD72D9"/>
    <w:rsid w:val="00DD72F8"/>
    <w:rsid w:val="00DD7398"/>
    <w:rsid w:val="00DD73E7"/>
    <w:rsid w:val="00DD74C4"/>
    <w:rsid w:val="00DD7502"/>
    <w:rsid w:val="00DD7565"/>
    <w:rsid w:val="00DD7601"/>
    <w:rsid w:val="00DD76CD"/>
    <w:rsid w:val="00DD76F7"/>
    <w:rsid w:val="00DD779C"/>
    <w:rsid w:val="00DD794F"/>
    <w:rsid w:val="00DD7985"/>
    <w:rsid w:val="00DD79CC"/>
    <w:rsid w:val="00DD7AD9"/>
    <w:rsid w:val="00DD7CFF"/>
    <w:rsid w:val="00DD7D0E"/>
    <w:rsid w:val="00DD7D70"/>
    <w:rsid w:val="00DD7E8D"/>
    <w:rsid w:val="00DE01A9"/>
    <w:rsid w:val="00DE01DF"/>
    <w:rsid w:val="00DE02E0"/>
    <w:rsid w:val="00DE057F"/>
    <w:rsid w:val="00DE06D8"/>
    <w:rsid w:val="00DE0707"/>
    <w:rsid w:val="00DE093E"/>
    <w:rsid w:val="00DE09AD"/>
    <w:rsid w:val="00DE0BAE"/>
    <w:rsid w:val="00DE0C28"/>
    <w:rsid w:val="00DE0C66"/>
    <w:rsid w:val="00DE0DDF"/>
    <w:rsid w:val="00DE0E04"/>
    <w:rsid w:val="00DE0EA2"/>
    <w:rsid w:val="00DE0F0F"/>
    <w:rsid w:val="00DE0F38"/>
    <w:rsid w:val="00DE11CF"/>
    <w:rsid w:val="00DE1202"/>
    <w:rsid w:val="00DE166F"/>
    <w:rsid w:val="00DE1710"/>
    <w:rsid w:val="00DE17E3"/>
    <w:rsid w:val="00DE1904"/>
    <w:rsid w:val="00DE197C"/>
    <w:rsid w:val="00DE19A3"/>
    <w:rsid w:val="00DE1CB6"/>
    <w:rsid w:val="00DE1D69"/>
    <w:rsid w:val="00DE1E28"/>
    <w:rsid w:val="00DE1E45"/>
    <w:rsid w:val="00DE1F00"/>
    <w:rsid w:val="00DE2186"/>
    <w:rsid w:val="00DE22F5"/>
    <w:rsid w:val="00DE22FB"/>
    <w:rsid w:val="00DE2300"/>
    <w:rsid w:val="00DE23DC"/>
    <w:rsid w:val="00DE23E1"/>
    <w:rsid w:val="00DE2429"/>
    <w:rsid w:val="00DE246B"/>
    <w:rsid w:val="00DE2484"/>
    <w:rsid w:val="00DE24B7"/>
    <w:rsid w:val="00DE264C"/>
    <w:rsid w:val="00DE26AA"/>
    <w:rsid w:val="00DE26C8"/>
    <w:rsid w:val="00DE26D1"/>
    <w:rsid w:val="00DE287D"/>
    <w:rsid w:val="00DE2A70"/>
    <w:rsid w:val="00DE2A73"/>
    <w:rsid w:val="00DE2ADD"/>
    <w:rsid w:val="00DE2B89"/>
    <w:rsid w:val="00DE2CA2"/>
    <w:rsid w:val="00DE2F13"/>
    <w:rsid w:val="00DE2F6E"/>
    <w:rsid w:val="00DE3019"/>
    <w:rsid w:val="00DE3269"/>
    <w:rsid w:val="00DE33A7"/>
    <w:rsid w:val="00DE3591"/>
    <w:rsid w:val="00DE3674"/>
    <w:rsid w:val="00DE371B"/>
    <w:rsid w:val="00DE374B"/>
    <w:rsid w:val="00DE37E6"/>
    <w:rsid w:val="00DE381A"/>
    <w:rsid w:val="00DE384F"/>
    <w:rsid w:val="00DE3888"/>
    <w:rsid w:val="00DE3B80"/>
    <w:rsid w:val="00DE3C09"/>
    <w:rsid w:val="00DE3D6A"/>
    <w:rsid w:val="00DE3E2F"/>
    <w:rsid w:val="00DE3EBB"/>
    <w:rsid w:val="00DE3ECE"/>
    <w:rsid w:val="00DE3F2D"/>
    <w:rsid w:val="00DE4311"/>
    <w:rsid w:val="00DE44B6"/>
    <w:rsid w:val="00DE4668"/>
    <w:rsid w:val="00DE4703"/>
    <w:rsid w:val="00DE4868"/>
    <w:rsid w:val="00DE4A68"/>
    <w:rsid w:val="00DE4C04"/>
    <w:rsid w:val="00DE4C09"/>
    <w:rsid w:val="00DE4D6C"/>
    <w:rsid w:val="00DE50B4"/>
    <w:rsid w:val="00DE524E"/>
    <w:rsid w:val="00DE527F"/>
    <w:rsid w:val="00DE5609"/>
    <w:rsid w:val="00DE5623"/>
    <w:rsid w:val="00DE5627"/>
    <w:rsid w:val="00DE5658"/>
    <w:rsid w:val="00DE58CF"/>
    <w:rsid w:val="00DE5921"/>
    <w:rsid w:val="00DE5A72"/>
    <w:rsid w:val="00DE5AC6"/>
    <w:rsid w:val="00DE5B66"/>
    <w:rsid w:val="00DE5BAB"/>
    <w:rsid w:val="00DE5E1B"/>
    <w:rsid w:val="00DE5E99"/>
    <w:rsid w:val="00DE5F4A"/>
    <w:rsid w:val="00DE602E"/>
    <w:rsid w:val="00DE6126"/>
    <w:rsid w:val="00DE6323"/>
    <w:rsid w:val="00DE634D"/>
    <w:rsid w:val="00DE64DB"/>
    <w:rsid w:val="00DE64EF"/>
    <w:rsid w:val="00DE65E0"/>
    <w:rsid w:val="00DE6637"/>
    <w:rsid w:val="00DE666C"/>
    <w:rsid w:val="00DE666E"/>
    <w:rsid w:val="00DE680F"/>
    <w:rsid w:val="00DE687A"/>
    <w:rsid w:val="00DE6E17"/>
    <w:rsid w:val="00DE6E92"/>
    <w:rsid w:val="00DE6E98"/>
    <w:rsid w:val="00DE6F0A"/>
    <w:rsid w:val="00DE6F80"/>
    <w:rsid w:val="00DE6F97"/>
    <w:rsid w:val="00DE7165"/>
    <w:rsid w:val="00DE716F"/>
    <w:rsid w:val="00DE71A6"/>
    <w:rsid w:val="00DE725D"/>
    <w:rsid w:val="00DE7278"/>
    <w:rsid w:val="00DE72D8"/>
    <w:rsid w:val="00DE7314"/>
    <w:rsid w:val="00DE75A7"/>
    <w:rsid w:val="00DE775A"/>
    <w:rsid w:val="00DE77C2"/>
    <w:rsid w:val="00DE7801"/>
    <w:rsid w:val="00DE7831"/>
    <w:rsid w:val="00DE793E"/>
    <w:rsid w:val="00DE7BE6"/>
    <w:rsid w:val="00DF000C"/>
    <w:rsid w:val="00DF004C"/>
    <w:rsid w:val="00DF011F"/>
    <w:rsid w:val="00DF0142"/>
    <w:rsid w:val="00DF03AE"/>
    <w:rsid w:val="00DF05B4"/>
    <w:rsid w:val="00DF0673"/>
    <w:rsid w:val="00DF07D2"/>
    <w:rsid w:val="00DF0835"/>
    <w:rsid w:val="00DF0A50"/>
    <w:rsid w:val="00DF0EED"/>
    <w:rsid w:val="00DF0FED"/>
    <w:rsid w:val="00DF1011"/>
    <w:rsid w:val="00DF10C0"/>
    <w:rsid w:val="00DF1266"/>
    <w:rsid w:val="00DF1306"/>
    <w:rsid w:val="00DF148C"/>
    <w:rsid w:val="00DF1787"/>
    <w:rsid w:val="00DF189E"/>
    <w:rsid w:val="00DF18C9"/>
    <w:rsid w:val="00DF18D8"/>
    <w:rsid w:val="00DF1A4E"/>
    <w:rsid w:val="00DF1B4A"/>
    <w:rsid w:val="00DF1CE5"/>
    <w:rsid w:val="00DF1D01"/>
    <w:rsid w:val="00DF1D19"/>
    <w:rsid w:val="00DF1DBC"/>
    <w:rsid w:val="00DF1E69"/>
    <w:rsid w:val="00DF1E7F"/>
    <w:rsid w:val="00DF1EB6"/>
    <w:rsid w:val="00DF2053"/>
    <w:rsid w:val="00DF206A"/>
    <w:rsid w:val="00DF2157"/>
    <w:rsid w:val="00DF22A8"/>
    <w:rsid w:val="00DF22DB"/>
    <w:rsid w:val="00DF23B7"/>
    <w:rsid w:val="00DF23FB"/>
    <w:rsid w:val="00DF2467"/>
    <w:rsid w:val="00DF2482"/>
    <w:rsid w:val="00DF250C"/>
    <w:rsid w:val="00DF2529"/>
    <w:rsid w:val="00DF2632"/>
    <w:rsid w:val="00DF279A"/>
    <w:rsid w:val="00DF27E1"/>
    <w:rsid w:val="00DF2A1E"/>
    <w:rsid w:val="00DF2B8A"/>
    <w:rsid w:val="00DF2B95"/>
    <w:rsid w:val="00DF2BE5"/>
    <w:rsid w:val="00DF2D4B"/>
    <w:rsid w:val="00DF2F40"/>
    <w:rsid w:val="00DF2F46"/>
    <w:rsid w:val="00DF2F8D"/>
    <w:rsid w:val="00DF3017"/>
    <w:rsid w:val="00DF3135"/>
    <w:rsid w:val="00DF321F"/>
    <w:rsid w:val="00DF324F"/>
    <w:rsid w:val="00DF32E5"/>
    <w:rsid w:val="00DF3452"/>
    <w:rsid w:val="00DF350C"/>
    <w:rsid w:val="00DF3670"/>
    <w:rsid w:val="00DF368D"/>
    <w:rsid w:val="00DF36A6"/>
    <w:rsid w:val="00DF3775"/>
    <w:rsid w:val="00DF37BA"/>
    <w:rsid w:val="00DF38E3"/>
    <w:rsid w:val="00DF39BF"/>
    <w:rsid w:val="00DF3C59"/>
    <w:rsid w:val="00DF3CBF"/>
    <w:rsid w:val="00DF3D7E"/>
    <w:rsid w:val="00DF3E98"/>
    <w:rsid w:val="00DF3EF2"/>
    <w:rsid w:val="00DF3F6A"/>
    <w:rsid w:val="00DF3FA6"/>
    <w:rsid w:val="00DF4089"/>
    <w:rsid w:val="00DF412A"/>
    <w:rsid w:val="00DF4261"/>
    <w:rsid w:val="00DF4485"/>
    <w:rsid w:val="00DF453A"/>
    <w:rsid w:val="00DF46D1"/>
    <w:rsid w:val="00DF46F6"/>
    <w:rsid w:val="00DF478E"/>
    <w:rsid w:val="00DF4869"/>
    <w:rsid w:val="00DF4931"/>
    <w:rsid w:val="00DF4B72"/>
    <w:rsid w:val="00DF4BB8"/>
    <w:rsid w:val="00DF4BF8"/>
    <w:rsid w:val="00DF4CA7"/>
    <w:rsid w:val="00DF5123"/>
    <w:rsid w:val="00DF52EA"/>
    <w:rsid w:val="00DF52F6"/>
    <w:rsid w:val="00DF5540"/>
    <w:rsid w:val="00DF5578"/>
    <w:rsid w:val="00DF5682"/>
    <w:rsid w:val="00DF57C4"/>
    <w:rsid w:val="00DF58B0"/>
    <w:rsid w:val="00DF5964"/>
    <w:rsid w:val="00DF59B1"/>
    <w:rsid w:val="00DF5B29"/>
    <w:rsid w:val="00DF5E4B"/>
    <w:rsid w:val="00DF5ED9"/>
    <w:rsid w:val="00DF5F54"/>
    <w:rsid w:val="00DF5F82"/>
    <w:rsid w:val="00DF5FBF"/>
    <w:rsid w:val="00DF6026"/>
    <w:rsid w:val="00DF6043"/>
    <w:rsid w:val="00DF607F"/>
    <w:rsid w:val="00DF61A9"/>
    <w:rsid w:val="00DF6560"/>
    <w:rsid w:val="00DF6568"/>
    <w:rsid w:val="00DF6668"/>
    <w:rsid w:val="00DF672D"/>
    <w:rsid w:val="00DF6734"/>
    <w:rsid w:val="00DF6738"/>
    <w:rsid w:val="00DF6895"/>
    <w:rsid w:val="00DF693E"/>
    <w:rsid w:val="00DF697F"/>
    <w:rsid w:val="00DF69F4"/>
    <w:rsid w:val="00DF69FE"/>
    <w:rsid w:val="00DF701E"/>
    <w:rsid w:val="00DF718D"/>
    <w:rsid w:val="00DF72E1"/>
    <w:rsid w:val="00DF731D"/>
    <w:rsid w:val="00DF7697"/>
    <w:rsid w:val="00DF7699"/>
    <w:rsid w:val="00DF76B3"/>
    <w:rsid w:val="00DF775B"/>
    <w:rsid w:val="00DF78D0"/>
    <w:rsid w:val="00DF7BE9"/>
    <w:rsid w:val="00DF7C93"/>
    <w:rsid w:val="00DF7D1C"/>
    <w:rsid w:val="00DF7E72"/>
    <w:rsid w:val="00DF7F74"/>
    <w:rsid w:val="00E00156"/>
    <w:rsid w:val="00E00382"/>
    <w:rsid w:val="00E0041F"/>
    <w:rsid w:val="00E00543"/>
    <w:rsid w:val="00E00562"/>
    <w:rsid w:val="00E0061F"/>
    <w:rsid w:val="00E007A6"/>
    <w:rsid w:val="00E009BE"/>
    <w:rsid w:val="00E00A4C"/>
    <w:rsid w:val="00E00BD8"/>
    <w:rsid w:val="00E00C00"/>
    <w:rsid w:val="00E00CBA"/>
    <w:rsid w:val="00E00D97"/>
    <w:rsid w:val="00E00EDF"/>
    <w:rsid w:val="00E00F4A"/>
    <w:rsid w:val="00E00FC8"/>
    <w:rsid w:val="00E00FE1"/>
    <w:rsid w:val="00E0103F"/>
    <w:rsid w:val="00E010AD"/>
    <w:rsid w:val="00E0122C"/>
    <w:rsid w:val="00E01248"/>
    <w:rsid w:val="00E012CE"/>
    <w:rsid w:val="00E012E7"/>
    <w:rsid w:val="00E01321"/>
    <w:rsid w:val="00E0155B"/>
    <w:rsid w:val="00E01563"/>
    <w:rsid w:val="00E015D2"/>
    <w:rsid w:val="00E017F2"/>
    <w:rsid w:val="00E018A4"/>
    <w:rsid w:val="00E01AC7"/>
    <w:rsid w:val="00E01BD6"/>
    <w:rsid w:val="00E01BE3"/>
    <w:rsid w:val="00E01DA7"/>
    <w:rsid w:val="00E01E36"/>
    <w:rsid w:val="00E01F17"/>
    <w:rsid w:val="00E01F7B"/>
    <w:rsid w:val="00E02124"/>
    <w:rsid w:val="00E021F3"/>
    <w:rsid w:val="00E0223A"/>
    <w:rsid w:val="00E0223B"/>
    <w:rsid w:val="00E02462"/>
    <w:rsid w:val="00E02505"/>
    <w:rsid w:val="00E02617"/>
    <w:rsid w:val="00E027B7"/>
    <w:rsid w:val="00E0288F"/>
    <w:rsid w:val="00E02A3C"/>
    <w:rsid w:val="00E02A47"/>
    <w:rsid w:val="00E02A6C"/>
    <w:rsid w:val="00E02C60"/>
    <w:rsid w:val="00E02C6D"/>
    <w:rsid w:val="00E02E70"/>
    <w:rsid w:val="00E03020"/>
    <w:rsid w:val="00E0314B"/>
    <w:rsid w:val="00E033A4"/>
    <w:rsid w:val="00E033B1"/>
    <w:rsid w:val="00E03439"/>
    <w:rsid w:val="00E0357A"/>
    <w:rsid w:val="00E036A6"/>
    <w:rsid w:val="00E036BD"/>
    <w:rsid w:val="00E037C8"/>
    <w:rsid w:val="00E03826"/>
    <w:rsid w:val="00E03836"/>
    <w:rsid w:val="00E0396D"/>
    <w:rsid w:val="00E039B8"/>
    <w:rsid w:val="00E03A44"/>
    <w:rsid w:val="00E03BBC"/>
    <w:rsid w:val="00E03D09"/>
    <w:rsid w:val="00E03F17"/>
    <w:rsid w:val="00E041D1"/>
    <w:rsid w:val="00E04200"/>
    <w:rsid w:val="00E04370"/>
    <w:rsid w:val="00E04489"/>
    <w:rsid w:val="00E04565"/>
    <w:rsid w:val="00E04864"/>
    <w:rsid w:val="00E04A13"/>
    <w:rsid w:val="00E04A54"/>
    <w:rsid w:val="00E04B17"/>
    <w:rsid w:val="00E04BD0"/>
    <w:rsid w:val="00E04BF3"/>
    <w:rsid w:val="00E04D6A"/>
    <w:rsid w:val="00E04EB6"/>
    <w:rsid w:val="00E04F4F"/>
    <w:rsid w:val="00E04FAA"/>
    <w:rsid w:val="00E04FD4"/>
    <w:rsid w:val="00E05187"/>
    <w:rsid w:val="00E051CA"/>
    <w:rsid w:val="00E05284"/>
    <w:rsid w:val="00E05323"/>
    <w:rsid w:val="00E05679"/>
    <w:rsid w:val="00E05680"/>
    <w:rsid w:val="00E056E5"/>
    <w:rsid w:val="00E05721"/>
    <w:rsid w:val="00E05778"/>
    <w:rsid w:val="00E05795"/>
    <w:rsid w:val="00E05891"/>
    <w:rsid w:val="00E058BF"/>
    <w:rsid w:val="00E05916"/>
    <w:rsid w:val="00E05965"/>
    <w:rsid w:val="00E05B25"/>
    <w:rsid w:val="00E05DFA"/>
    <w:rsid w:val="00E05E68"/>
    <w:rsid w:val="00E05EEC"/>
    <w:rsid w:val="00E05EF3"/>
    <w:rsid w:val="00E05F42"/>
    <w:rsid w:val="00E05F73"/>
    <w:rsid w:val="00E06008"/>
    <w:rsid w:val="00E0608F"/>
    <w:rsid w:val="00E06236"/>
    <w:rsid w:val="00E0624F"/>
    <w:rsid w:val="00E06491"/>
    <w:rsid w:val="00E064E0"/>
    <w:rsid w:val="00E06594"/>
    <w:rsid w:val="00E06A18"/>
    <w:rsid w:val="00E06A4A"/>
    <w:rsid w:val="00E06BA6"/>
    <w:rsid w:val="00E06D65"/>
    <w:rsid w:val="00E06E59"/>
    <w:rsid w:val="00E06E9A"/>
    <w:rsid w:val="00E071A3"/>
    <w:rsid w:val="00E07398"/>
    <w:rsid w:val="00E0746A"/>
    <w:rsid w:val="00E07706"/>
    <w:rsid w:val="00E07708"/>
    <w:rsid w:val="00E077CA"/>
    <w:rsid w:val="00E07953"/>
    <w:rsid w:val="00E07B4E"/>
    <w:rsid w:val="00E07B54"/>
    <w:rsid w:val="00E07B5B"/>
    <w:rsid w:val="00E07B6A"/>
    <w:rsid w:val="00E07BB3"/>
    <w:rsid w:val="00E07C3A"/>
    <w:rsid w:val="00E07F03"/>
    <w:rsid w:val="00E07F0C"/>
    <w:rsid w:val="00E1002C"/>
    <w:rsid w:val="00E100D4"/>
    <w:rsid w:val="00E10124"/>
    <w:rsid w:val="00E1040A"/>
    <w:rsid w:val="00E10432"/>
    <w:rsid w:val="00E104A7"/>
    <w:rsid w:val="00E104C6"/>
    <w:rsid w:val="00E104FC"/>
    <w:rsid w:val="00E105E7"/>
    <w:rsid w:val="00E107C3"/>
    <w:rsid w:val="00E10859"/>
    <w:rsid w:val="00E10B5D"/>
    <w:rsid w:val="00E10B6F"/>
    <w:rsid w:val="00E10C62"/>
    <w:rsid w:val="00E10CDC"/>
    <w:rsid w:val="00E10D26"/>
    <w:rsid w:val="00E10D45"/>
    <w:rsid w:val="00E10E0E"/>
    <w:rsid w:val="00E10FBD"/>
    <w:rsid w:val="00E11109"/>
    <w:rsid w:val="00E11120"/>
    <w:rsid w:val="00E1120F"/>
    <w:rsid w:val="00E1123D"/>
    <w:rsid w:val="00E112AF"/>
    <w:rsid w:val="00E112DB"/>
    <w:rsid w:val="00E112F6"/>
    <w:rsid w:val="00E1134F"/>
    <w:rsid w:val="00E11370"/>
    <w:rsid w:val="00E113C7"/>
    <w:rsid w:val="00E11516"/>
    <w:rsid w:val="00E1154C"/>
    <w:rsid w:val="00E115CE"/>
    <w:rsid w:val="00E1180F"/>
    <w:rsid w:val="00E11861"/>
    <w:rsid w:val="00E11922"/>
    <w:rsid w:val="00E11A96"/>
    <w:rsid w:val="00E11B01"/>
    <w:rsid w:val="00E11C1F"/>
    <w:rsid w:val="00E11DB4"/>
    <w:rsid w:val="00E11DD8"/>
    <w:rsid w:val="00E11DE4"/>
    <w:rsid w:val="00E11EA4"/>
    <w:rsid w:val="00E122C4"/>
    <w:rsid w:val="00E123B8"/>
    <w:rsid w:val="00E1243D"/>
    <w:rsid w:val="00E12501"/>
    <w:rsid w:val="00E1262C"/>
    <w:rsid w:val="00E128DC"/>
    <w:rsid w:val="00E128F0"/>
    <w:rsid w:val="00E12967"/>
    <w:rsid w:val="00E129E4"/>
    <w:rsid w:val="00E12A7D"/>
    <w:rsid w:val="00E12BFC"/>
    <w:rsid w:val="00E12C20"/>
    <w:rsid w:val="00E12C72"/>
    <w:rsid w:val="00E12CA7"/>
    <w:rsid w:val="00E12CE7"/>
    <w:rsid w:val="00E12D16"/>
    <w:rsid w:val="00E12F48"/>
    <w:rsid w:val="00E12F9C"/>
    <w:rsid w:val="00E13155"/>
    <w:rsid w:val="00E131B4"/>
    <w:rsid w:val="00E13284"/>
    <w:rsid w:val="00E132B6"/>
    <w:rsid w:val="00E1334D"/>
    <w:rsid w:val="00E133BB"/>
    <w:rsid w:val="00E133EA"/>
    <w:rsid w:val="00E1352F"/>
    <w:rsid w:val="00E1358D"/>
    <w:rsid w:val="00E135D1"/>
    <w:rsid w:val="00E13674"/>
    <w:rsid w:val="00E13685"/>
    <w:rsid w:val="00E136D6"/>
    <w:rsid w:val="00E13870"/>
    <w:rsid w:val="00E138B8"/>
    <w:rsid w:val="00E13A05"/>
    <w:rsid w:val="00E13AD9"/>
    <w:rsid w:val="00E13B18"/>
    <w:rsid w:val="00E13C1E"/>
    <w:rsid w:val="00E13C71"/>
    <w:rsid w:val="00E13CD6"/>
    <w:rsid w:val="00E14115"/>
    <w:rsid w:val="00E141AC"/>
    <w:rsid w:val="00E14451"/>
    <w:rsid w:val="00E144AC"/>
    <w:rsid w:val="00E147DF"/>
    <w:rsid w:val="00E148BD"/>
    <w:rsid w:val="00E14951"/>
    <w:rsid w:val="00E14963"/>
    <w:rsid w:val="00E14BB2"/>
    <w:rsid w:val="00E14CB5"/>
    <w:rsid w:val="00E14E03"/>
    <w:rsid w:val="00E14E33"/>
    <w:rsid w:val="00E14EA7"/>
    <w:rsid w:val="00E14FD4"/>
    <w:rsid w:val="00E1538F"/>
    <w:rsid w:val="00E1543C"/>
    <w:rsid w:val="00E154D5"/>
    <w:rsid w:val="00E1551C"/>
    <w:rsid w:val="00E1561A"/>
    <w:rsid w:val="00E156FB"/>
    <w:rsid w:val="00E15817"/>
    <w:rsid w:val="00E1587D"/>
    <w:rsid w:val="00E158A3"/>
    <w:rsid w:val="00E159DA"/>
    <w:rsid w:val="00E15A3B"/>
    <w:rsid w:val="00E15B06"/>
    <w:rsid w:val="00E15B29"/>
    <w:rsid w:val="00E15C15"/>
    <w:rsid w:val="00E15F84"/>
    <w:rsid w:val="00E1604D"/>
    <w:rsid w:val="00E16190"/>
    <w:rsid w:val="00E1627C"/>
    <w:rsid w:val="00E16285"/>
    <w:rsid w:val="00E16318"/>
    <w:rsid w:val="00E1634D"/>
    <w:rsid w:val="00E163F9"/>
    <w:rsid w:val="00E1640C"/>
    <w:rsid w:val="00E164B2"/>
    <w:rsid w:val="00E167DF"/>
    <w:rsid w:val="00E16800"/>
    <w:rsid w:val="00E16860"/>
    <w:rsid w:val="00E16900"/>
    <w:rsid w:val="00E16952"/>
    <w:rsid w:val="00E16C11"/>
    <w:rsid w:val="00E16D50"/>
    <w:rsid w:val="00E16DC2"/>
    <w:rsid w:val="00E16FFB"/>
    <w:rsid w:val="00E1703A"/>
    <w:rsid w:val="00E1703B"/>
    <w:rsid w:val="00E171E8"/>
    <w:rsid w:val="00E172DA"/>
    <w:rsid w:val="00E1731E"/>
    <w:rsid w:val="00E17325"/>
    <w:rsid w:val="00E173C3"/>
    <w:rsid w:val="00E17523"/>
    <w:rsid w:val="00E17535"/>
    <w:rsid w:val="00E17626"/>
    <w:rsid w:val="00E17632"/>
    <w:rsid w:val="00E17706"/>
    <w:rsid w:val="00E1784B"/>
    <w:rsid w:val="00E179DC"/>
    <w:rsid w:val="00E17A72"/>
    <w:rsid w:val="00E17BA6"/>
    <w:rsid w:val="00E17C9D"/>
    <w:rsid w:val="00E17F37"/>
    <w:rsid w:val="00E17F38"/>
    <w:rsid w:val="00E20243"/>
    <w:rsid w:val="00E20273"/>
    <w:rsid w:val="00E2031D"/>
    <w:rsid w:val="00E2034E"/>
    <w:rsid w:val="00E2043E"/>
    <w:rsid w:val="00E20468"/>
    <w:rsid w:val="00E20534"/>
    <w:rsid w:val="00E206DE"/>
    <w:rsid w:val="00E20722"/>
    <w:rsid w:val="00E20898"/>
    <w:rsid w:val="00E20C16"/>
    <w:rsid w:val="00E20DBF"/>
    <w:rsid w:val="00E20DE5"/>
    <w:rsid w:val="00E20F43"/>
    <w:rsid w:val="00E2104B"/>
    <w:rsid w:val="00E2104D"/>
    <w:rsid w:val="00E2108C"/>
    <w:rsid w:val="00E21236"/>
    <w:rsid w:val="00E21282"/>
    <w:rsid w:val="00E21349"/>
    <w:rsid w:val="00E21401"/>
    <w:rsid w:val="00E214DA"/>
    <w:rsid w:val="00E2158D"/>
    <w:rsid w:val="00E215C0"/>
    <w:rsid w:val="00E21601"/>
    <w:rsid w:val="00E21A1A"/>
    <w:rsid w:val="00E21B47"/>
    <w:rsid w:val="00E21BAB"/>
    <w:rsid w:val="00E21D0C"/>
    <w:rsid w:val="00E21E3F"/>
    <w:rsid w:val="00E21E7F"/>
    <w:rsid w:val="00E22025"/>
    <w:rsid w:val="00E2202D"/>
    <w:rsid w:val="00E2205C"/>
    <w:rsid w:val="00E22138"/>
    <w:rsid w:val="00E221D5"/>
    <w:rsid w:val="00E22264"/>
    <w:rsid w:val="00E2229C"/>
    <w:rsid w:val="00E226F0"/>
    <w:rsid w:val="00E2277E"/>
    <w:rsid w:val="00E2286E"/>
    <w:rsid w:val="00E2287A"/>
    <w:rsid w:val="00E2294E"/>
    <w:rsid w:val="00E2298E"/>
    <w:rsid w:val="00E22A00"/>
    <w:rsid w:val="00E22A08"/>
    <w:rsid w:val="00E22AD6"/>
    <w:rsid w:val="00E22ADE"/>
    <w:rsid w:val="00E22C4F"/>
    <w:rsid w:val="00E22C79"/>
    <w:rsid w:val="00E22E71"/>
    <w:rsid w:val="00E22E8C"/>
    <w:rsid w:val="00E22EFC"/>
    <w:rsid w:val="00E2302F"/>
    <w:rsid w:val="00E23145"/>
    <w:rsid w:val="00E231E2"/>
    <w:rsid w:val="00E2323B"/>
    <w:rsid w:val="00E232CF"/>
    <w:rsid w:val="00E2341D"/>
    <w:rsid w:val="00E234F4"/>
    <w:rsid w:val="00E235AC"/>
    <w:rsid w:val="00E239B7"/>
    <w:rsid w:val="00E239FC"/>
    <w:rsid w:val="00E23A15"/>
    <w:rsid w:val="00E23A5C"/>
    <w:rsid w:val="00E23D9C"/>
    <w:rsid w:val="00E23EF5"/>
    <w:rsid w:val="00E24030"/>
    <w:rsid w:val="00E240FA"/>
    <w:rsid w:val="00E24147"/>
    <w:rsid w:val="00E244B3"/>
    <w:rsid w:val="00E24538"/>
    <w:rsid w:val="00E245EA"/>
    <w:rsid w:val="00E24717"/>
    <w:rsid w:val="00E2472F"/>
    <w:rsid w:val="00E2478A"/>
    <w:rsid w:val="00E2478F"/>
    <w:rsid w:val="00E24797"/>
    <w:rsid w:val="00E247F3"/>
    <w:rsid w:val="00E24834"/>
    <w:rsid w:val="00E24870"/>
    <w:rsid w:val="00E24AF4"/>
    <w:rsid w:val="00E24CBB"/>
    <w:rsid w:val="00E24EC5"/>
    <w:rsid w:val="00E2508B"/>
    <w:rsid w:val="00E2561E"/>
    <w:rsid w:val="00E25704"/>
    <w:rsid w:val="00E25732"/>
    <w:rsid w:val="00E2573A"/>
    <w:rsid w:val="00E25786"/>
    <w:rsid w:val="00E257BA"/>
    <w:rsid w:val="00E257C5"/>
    <w:rsid w:val="00E25832"/>
    <w:rsid w:val="00E25838"/>
    <w:rsid w:val="00E25905"/>
    <w:rsid w:val="00E25973"/>
    <w:rsid w:val="00E259A6"/>
    <w:rsid w:val="00E25A19"/>
    <w:rsid w:val="00E25B83"/>
    <w:rsid w:val="00E25C13"/>
    <w:rsid w:val="00E25C7A"/>
    <w:rsid w:val="00E25CA5"/>
    <w:rsid w:val="00E25EA5"/>
    <w:rsid w:val="00E25FFF"/>
    <w:rsid w:val="00E261B5"/>
    <w:rsid w:val="00E261FD"/>
    <w:rsid w:val="00E2620A"/>
    <w:rsid w:val="00E262AF"/>
    <w:rsid w:val="00E26402"/>
    <w:rsid w:val="00E26512"/>
    <w:rsid w:val="00E26591"/>
    <w:rsid w:val="00E265D7"/>
    <w:rsid w:val="00E265E6"/>
    <w:rsid w:val="00E26645"/>
    <w:rsid w:val="00E266EE"/>
    <w:rsid w:val="00E26750"/>
    <w:rsid w:val="00E267CA"/>
    <w:rsid w:val="00E26946"/>
    <w:rsid w:val="00E269EC"/>
    <w:rsid w:val="00E26A2B"/>
    <w:rsid w:val="00E26A87"/>
    <w:rsid w:val="00E26AB4"/>
    <w:rsid w:val="00E26ADC"/>
    <w:rsid w:val="00E26CCA"/>
    <w:rsid w:val="00E26CDE"/>
    <w:rsid w:val="00E26CE2"/>
    <w:rsid w:val="00E26DD7"/>
    <w:rsid w:val="00E26E3F"/>
    <w:rsid w:val="00E26F46"/>
    <w:rsid w:val="00E27134"/>
    <w:rsid w:val="00E271C7"/>
    <w:rsid w:val="00E271D8"/>
    <w:rsid w:val="00E271E2"/>
    <w:rsid w:val="00E2730C"/>
    <w:rsid w:val="00E27375"/>
    <w:rsid w:val="00E2754E"/>
    <w:rsid w:val="00E275FA"/>
    <w:rsid w:val="00E2762B"/>
    <w:rsid w:val="00E276D6"/>
    <w:rsid w:val="00E27A26"/>
    <w:rsid w:val="00E27AB0"/>
    <w:rsid w:val="00E27BB8"/>
    <w:rsid w:val="00E27CE2"/>
    <w:rsid w:val="00E27EB1"/>
    <w:rsid w:val="00E300BC"/>
    <w:rsid w:val="00E300E7"/>
    <w:rsid w:val="00E30192"/>
    <w:rsid w:val="00E30228"/>
    <w:rsid w:val="00E302BD"/>
    <w:rsid w:val="00E304F9"/>
    <w:rsid w:val="00E3051A"/>
    <w:rsid w:val="00E305C7"/>
    <w:rsid w:val="00E305D0"/>
    <w:rsid w:val="00E305DE"/>
    <w:rsid w:val="00E30683"/>
    <w:rsid w:val="00E30ADE"/>
    <w:rsid w:val="00E30B57"/>
    <w:rsid w:val="00E30CBB"/>
    <w:rsid w:val="00E30DF7"/>
    <w:rsid w:val="00E30E5B"/>
    <w:rsid w:val="00E30F34"/>
    <w:rsid w:val="00E3118B"/>
    <w:rsid w:val="00E3133A"/>
    <w:rsid w:val="00E3134E"/>
    <w:rsid w:val="00E3142A"/>
    <w:rsid w:val="00E31495"/>
    <w:rsid w:val="00E3157F"/>
    <w:rsid w:val="00E3160D"/>
    <w:rsid w:val="00E31797"/>
    <w:rsid w:val="00E317C3"/>
    <w:rsid w:val="00E3183A"/>
    <w:rsid w:val="00E31881"/>
    <w:rsid w:val="00E31972"/>
    <w:rsid w:val="00E31984"/>
    <w:rsid w:val="00E31A2E"/>
    <w:rsid w:val="00E31A3E"/>
    <w:rsid w:val="00E31B9E"/>
    <w:rsid w:val="00E31CEA"/>
    <w:rsid w:val="00E31D49"/>
    <w:rsid w:val="00E31E53"/>
    <w:rsid w:val="00E31FC4"/>
    <w:rsid w:val="00E31FEE"/>
    <w:rsid w:val="00E32009"/>
    <w:rsid w:val="00E321EC"/>
    <w:rsid w:val="00E3235B"/>
    <w:rsid w:val="00E3273A"/>
    <w:rsid w:val="00E32743"/>
    <w:rsid w:val="00E327AB"/>
    <w:rsid w:val="00E32930"/>
    <w:rsid w:val="00E3293A"/>
    <w:rsid w:val="00E3293C"/>
    <w:rsid w:val="00E3297A"/>
    <w:rsid w:val="00E3297C"/>
    <w:rsid w:val="00E32A42"/>
    <w:rsid w:val="00E32DC8"/>
    <w:rsid w:val="00E32F12"/>
    <w:rsid w:val="00E32F6C"/>
    <w:rsid w:val="00E33086"/>
    <w:rsid w:val="00E332F0"/>
    <w:rsid w:val="00E336DF"/>
    <w:rsid w:val="00E33A7D"/>
    <w:rsid w:val="00E33AA7"/>
    <w:rsid w:val="00E33ACA"/>
    <w:rsid w:val="00E33B84"/>
    <w:rsid w:val="00E33BAB"/>
    <w:rsid w:val="00E33C2B"/>
    <w:rsid w:val="00E33D5E"/>
    <w:rsid w:val="00E33DAD"/>
    <w:rsid w:val="00E33EEE"/>
    <w:rsid w:val="00E33F56"/>
    <w:rsid w:val="00E33FC5"/>
    <w:rsid w:val="00E34076"/>
    <w:rsid w:val="00E340CF"/>
    <w:rsid w:val="00E34148"/>
    <w:rsid w:val="00E34293"/>
    <w:rsid w:val="00E342BF"/>
    <w:rsid w:val="00E34336"/>
    <w:rsid w:val="00E34344"/>
    <w:rsid w:val="00E3434E"/>
    <w:rsid w:val="00E344E6"/>
    <w:rsid w:val="00E3454D"/>
    <w:rsid w:val="00E346DF"/>
    <w:rsid w:val="00E347EA"/>
    <w:rsid w:val="00E348A4"/>
    <w:rsid w:val="00E348CD"/>
    <w:rsid w:val="00E348DF"/>
    <w:rsid w:val="00E34937"/>
    <w:rsid w:val="00E34957"/>
    <w:rsid w:val="00E349C4"/>
    <w:rsid w:val="00E34A71"/>
    <w:rsid w:val="00E34C08"/>
    <w:rsid w:val="00E34C40"/>
    <w:rsid w:val="00E34C9D"/>
    <w:rsid w:val="00E34CAA"/>
    <w:rsid w:val="00E34EA6"/>
    <w:rsid w:val="00E34EF9"/>
    <w:rsid w:val="00E34F10"/>
    <w:rsid w:val="00E35487"/>
    <w:rsid w:val="00E35525"/>
    <w:rsid w:val="00E3558A"/>
    <w:rsid w:val="00E356AD"/>
    <w:rsid w:val="00E35713"/>
    <w:rsid w:val="00E35809"/>
    <w:rsid w:val="00E35812"/>
    <w:rsid w:val="00E35829"/>
    <w:rsid w:val="00E35944"/>
    <w:rsid w:val="00E3599E"/>
    <w:rsid w:val="00E35A48"/>
    <w:rsid w:val="00E35AC0"/>
    <w:rsid w:val="00E35ACA"/>
    <w:rsid w:val="00E35B4A"/>
    <w:rsid w:val="00E35BBC"/>
    <w:rsid w:val="00E35BD8"/>
    <w:rsid w:val="00E35C7D"/>
    <w:rsid w:val="00E35CE5"/>
    <w:rsid w:val="00E3605C"/>
    <w:rsid w:val="00E360D1"/>
    <w:rsid w:val="00E36370"/>
    <w:rsid w:val="00E36408"/>
    <w:rsid w:val="00E364B3"/>
    <w:rsid w:val="00E3655C"/>
    <w:rsid w:val="00E365D3"/>
    <w:rsid w:val="00E3662F"/>
    <w:rsid w:val="00E366AC"/>
    <w:rsid w:val="00E3672C"/>
    <w:rsid w:val="00E36872"/>
    <w:rsid w:val="00E369A3"/>
    <w:rsid w:val="00E36AA7"/>
    <w:rsid w:val="00E36B51"/>
    <w:rsid w:val="00E36F2E"/>
    <w:rsid w:val="00E36FD8"/>
    <w:rsid w:val="00E37150"/>
    <w:rsid w:val="00E371A4"/>
    <w:rsid w:val="00E371AB"/>
    <w:rsid w:val="00E371B9"/>
    <w:rsid w:val="00E37330"/>
    <w:rsid w:val="00E37513"/>
    <w:rsid w:val="00E37638"/>
    <w:rsid w:val="00E37707"/>
    <w:rsid w:val="00E377DA"/>
    <w:rsid w:val="00E377F2"/>
    <w:rsid w:val="00E378E0"/>
    <w:rsid w:val="00E3798F"/>
    <w:rsid w:val="00E379C7"/>
    <w:rsid w:val="00E37B1D"/>
    <w:rsid w:val="00E37B77"/>
    <w:rsid w:val="00E37C45"/>
    <w:rsid w:val="00E37E19"/>
    <w:rsid w:val="00E37F92"/>
    <w:rsid w:val="00E4013C"/>
    <w:rsid w:val="00E40169"/>
    <w:rsid w:val="00E40217"/>
    <w:rsid w:val="00E403EA"/>
    <w:rsid w:val="00E4043D"/>
    <w:rsid w:val="00E406AF"/>
    <w:rsid w:val="00E407C0"/>
    <w:rsid w:val="00E40852"/>
    <w:rsid w:val="00E4085D"/>
    <w:rsid w:val="00E40889"/>
    <w:rsid w:val="00E40AC0"/>
    <w:rsid w:val="00E40ADD"/>
    <w:rsid w:val="00E40B70"/>
    <w:rsid w:val="00E40BA2"/>
    <w:rsid w:val="00E41102"/>
    <w:rsid w:val="00E4119A"/>
    <w:rsid w:val="00E41203"/>
    <w:rsid w:val="00E4120A"/>
    <w:rsid w:val="00E4127E"/>
    <w:rsid w:val="00E41301"/>
    <w:rsid w:val="00E413EC"/>
    <w:rsid w:val="00E41473"/>
    <w:rsid w:val="00E415B1"/>
    <w:rsid w:val="00E41603"/>
    <w:rsid w:val="00E4161B"/>
    <w:rsid w:val="00E417ED"/>
    <w:rsid w:val="00E419DE"/>
    <w:rsid w:val="00E41C32"/>
    <w:rsid w:val="00E41C55"/>
    <w:rsid w:val="00E41D84"/>
    <w:rsid w:val="00E41EB7"/>
    <w:rsid w:val="00E41EEB"/>
    <w:rsid w:val="00E41F5A"/>
    <w:rsid w:val="00E42169"/>
    <w:rsid w:val="00E421B5"/>
    <w:rsid w:val="00E422DA"/>
    <w:rsid w:val="00E42534"/>
    <w:rsid w:val="00E42580"/>
    <w:rsid w:val="00E42804"/>
    <w:rsid w:val="00E428F9"/>
    <w:rsid w:val="00E42A33"/>
    <w:rsid w:val="00E42AE9"/>
    <w:rsid w:val="00E42B7B"/>
    <w:rsid w:val="00E42BBD"/>
    <w:rsid w:val="00E42C12"/>
    <w:rsid w:val="00E42DED"/>
    <w:rsid w:val="00E42E32"/>
    <w:rsid w:val="00E42EA6"/>
    <w:rsid w:val="00E42EFB"/>
    <w:rsid w:val="00E43113"/>
    <w:rsid w:val="00E43209"/>
    <w:rsid w:val="00E43377"/>
    <w:rsid w:val="00E433A9"/>
    <w:rsid w:val="00E43456"/>
    <w:rsid w:val="00E434BD"/>
    <w:rsid w:val="00E434C5"/>
    <w:rsid w:val="00E434F8"/>
    <w:rsid w:val="00E43503"/>
    <w:rsid w:val="00E43576"/>
    <w:rsid w:val="00E435B6"/>
    <w:rsid w:val="00E437D6"/>
    <w:rsid w:val="00E43825"/>
    <w:rsid w:val="00E4385C"/>
    <w:rsid w:val="00E438A3"/>
    <w:rsid w:val="00E4393E"/>
    <w:rsid w:val="00E43BA5"/>
    <w:rsid w:val="00E43BDE"/>
    <w:rsid w:val="00E43D74"/>
    <w:rsid w:val="00E44149"/>
    <w:rsid w:val="00E441D0"/>
    <w:rsid w:val="00E44311"/>
    <w:rsid w:val="00E445B9"/>
    <w:rsid w:val="00E445D0"/>
    <w:rsid w:val="00E44627"/>
    <w:rsid w:val="00E4465D"/>
    <w:rsid w:val="00E446A3"/>
    <w:rsid w:val="00E44717"/>
    <w:rsid w:val="00E4477A"/>
    <w:rsid w:val="00E449E4"/>
    <w:rsid w:val="00E449E9"/>
    <w:rsid w:val="00E44A4F"/>
    <w:rsid w:val="00E44A79"/>
    <w:rsid w:val="00E44AB9"/>
    <w:rsid w:val="00E44B44"/>
    <w:rsid w:val="00E44D89"/>
    <w:rsid w:val="00E44F84"/>
    <w:rsid w:val="00E44FD3"/>
    <w:rsid w:val="00E44FEC"/>
    <w:rsid w:val="00E4521B"/>
    <w:rsid w:val="00E45258"/>
    <w:rsid w:val="00E454E9"/>
    <w:rsid w:val="00E45538"/>
    <w:rsid w:val="00E455AE"/>
    <w:rsid w:val="00E4563A"/>
    <w:rsid w:val="00E4583E"/>
    <w:rsid w:val="00E45855"/>
    <w:rsid w:val="00E4596E"/>
    <w:rsid w:val="00E459A4"/>
    <w:rsid w:val="00E45A36"/>
    <w:rsid w:val="00E45A7B"/>
    <w:rsid w:val="00E45BD5"/>
    <w:rsid w:val="00E45C33"/>
    <w:rsid w:val="00E45DBC"/>
    <w:rsid w:val="00E45F59"/>
    <w:rsid w:val="00E45F74"/>
    <w:rsid w:val="00E46134"/>
    <w:rsid w:val="00E4648B"/>
    <w:rsid w:val="00E464AC"/>
    <w:rsid w:val="00E46564"/>
    <w:rsid w:val="00E465D3"/>
    <w:rsid w:val="00E46672"/>
    <w:rsid w:val="00E4691E"/>
    <w:rsid w:val="00E469EA"/>
    <w:rsid w:val="00E46A35"/>
    <w:rsid w:val="00E46A5A"/>
    <w:rsid w:val="00E46C16"/>
    <w:rsid w:val="00E46CCF"/>
    <w:rsid w:val="00E46D2F"/>
    <w:rsid w:val="00E46E64"/>
    <w:rsid w:val="00E46F9F"/>
    <w:rsid w:val="00E4702C"/>
    <w:rsid w:val="00E47031"/>
    <w:rsid w:val="00E47129"/>
    <w:rsid w:val="00E471E0"/>
    <w:rsid w:val="00E47226"/>
    <w:rsid w:val="00E47303"/>
    <w:rsid w:val="00E47413"/>
    <w:rsid w:val="00E4743B"/>
    <w:rsid w:val="00E47520"/>
    <w:rsid w:val="00E475B6"/>
    <w:rsid w:val="00E475C5"/>
    <w:rsid w:val="00E475D3"/>
    <w:rsid w:val="00E47985"/>
    <w:rsid w:val="00E47B85"/>
    <w:rsid w:val="00E47BB1"/>
    <w:rsid w:val="00E47C62"/>
    <w:rsid w:val="00E47D18"/>
    <w:rsid w:val="00E500F7"/>
    <w:rsid w:val="00E50186"/>
    <w:rsid w:val="00E5018A"/>
    <w:rsid w:val="00E50407"/>
    <w:rsid w:val="00E5042F"/>
    <w:rsid w:val="00E50479"/>
    <w:rsid w:val="00E50494"/>
    <w:rsid w:val="00E50547"/>
    <w:rsid w:val="00E50688"/>
    <w:rsid w:val="00E5079B"/>
    <w:rsid w:val="00E507F1"/>
    <w:rsid w:val="00E508B5"/>
    <w:rsid w:val="00E509C9"/>
    <w:rsid w:val="00E50A4F"/>
    <w:rsid w:val="00E50E3B"/>
    <w:rsid w:val="00E50EBE"/>
    <w:rsid w:val="00E50FCD"/>
    <w:rsid w:val="00E5150C"/>
    <w:rsid w:val="00E51562"/>
    <w:rsid w:val="00E515AE"/>
    <w:rsid w:val="00E517BD"/>
    <w:rsid w:val="00E519B6"/>
    <w:rsid w:val="00E51B42"/>
    <w:rsid w:val="00E51B66"/>
    <w:rsid w:val="00E51C4F"/>
    <w:rsid w:val="00E51E7C"/>
    <w:rsid w:val="00E52049"/>
    <w:rsid w:val="00E52144"/>
    <w:rsid w:val="00E52191"/>
    <w:rsid w:val="00E521A5"/>
    <w:rsid w:val="00E521AA"/>
    <w:rsid w:val="00E52299"/>
    <w:rsid w:val="00E5231A"/>
    <w:rsid w:val="00E5269C"/>
    <w:rsid w:val="00E5273B"/>
    <w:rsid w:val="00E529BA"/>
    <w:rsid w:val="00E52A84"/>
    <w:rsid w:val="00E52D86"/>
    <w:rsid w:val="00E52DE1"/>
    <w:rsid w:val="00E52EA8"/>
    <w:rsid w:val="00E52EE8"/>
    <w:rsid w:val="00E52F17"/>
    <w:rsid w:val="00E52FFD"/>
    <w:rsid w:val="00E5319F"/>
    <w:rsid w:val="00E531C4"/>
    <w:rsid w:val="00E53235"/>
    <w:rsid w:val="00E53275"/>
    <w:rsid w:val="00E5328E"/>
    <w:rsid w:val="00E53384"/>
    <w:rsid w:val="00E5341A"/>
    <w:rsid w:val="00E5346F"/>
    <w:rsid w:val="00E53574"/>
    <w:rsid w:val="00E53814"/>
    <w:rsid w:val="00E53996"/>
    <w:rsid w:val="00E539F8"/>
    <w:rsid w:val="00E53AEF"/>
    <w:rsid w:val="00E53C20"/>
    <w:rsid w:val="00E53CE8"/>
    <w:rsid w:val="00E53D1D"/>
    <w:rsid w:val="00E5403A"/>
    <w:rsid w:val="00E541B3"/>
    <w:rsid w:val="00E542D4"/>
    <w:rsid w:val="00E543CC"/>
    <w:rsid w:val="00E54534"/>
    <w:rsid w:val="00E54592"/>
    <w:rsid w:val="00E545C6"/>
    <w:rsid w:val="00E547FB"/>
    <w:rsid w:val="00E54984"/>
    <w:rsid w:val="00E549C2"/>
    <w:rsid w:val="00E549F4"/>
    <w:rsid w:val="00E54BB1"/>
    <w:rsid w:val="00E54BDE"/>
    <w:rsid w:val="00E54CBD"/>
    <w:rsid w:val="00E54CD5"/>
    <w:rsid w:val="00E54CFD"/>
    <w:rsid w:val="00E54F24"/>
    <w:rsid w:val="00E54FBB"/>
    <w:rsid w:val="00E5505F"/>
    <w:rsid w:val="00E550C2"/>
    <w:rsid w:val="00E552C5"/>
    <w:rsid w:val="00E5542F"/>
    <w:rsid w:val="00E55692"/>
    <w:rsid w:val="00E556C2"/>
    <w:rsid w:val="00E556DA"/>
    <w:rsid w:val="00E55716"/>
    <w:rsid w:val="00E5579B"/>
    <w:rsid w:val="00E557CE"/>
    <w:rsid w:val="00E558E3"/>
    <w:rsid w:val="00E55B22"/>
    <w:rsid w:val="00E55C07"/>
    <w:rsid w:val="00E55C24"/>
    <w:rsid w:val="00E55ECE"/>
    <w:rsid w:val="00E55FBD"/>
    <w:rsid w:val="00E55FD6"/>
    <w:rsid w:val="00E55FF1"/>
    <w:rsid w:val="00E56077"/>
    <w:rsid w:val="00E5621E"/>
    <w:rsid w:val="00E562E7"/>
    <w:rsid w:val="00E56446"/>
    <w:rsid w:val="00E56449"/>
    <w:rsid w:val="00E56542"/>
    <w:rsid w:val="00E56669"/>
    <w:rsid w:val="00E56682"/>
    <w:rsid w:val="00E56687"/>
    <w:rsid w:val="00E568A7"/>
    <w:rsid w:val="00E568B1"/>
    <w:rsid w:val="00E5699C"/>
    <w:rsid w:val="00E569E1"/>
    <w:rsid w:val="00E56B4B"/>
    <w:rsid w:val="00E56BA1"/>
    <w:rsid w:val="00E56C6C"/>
    <w:rsid w:val="00E5703C"/>
    <w:rsid w:val="00E57132"/>
    <w:rsid w:val="00E571FC"/>
    <w:rsid w:val="00E57402"/>
    <w:rsid w:val="00E57484"/>
    <w:rsid w:val="00E57568"/>
    <w:rsid w:val="00E57AFB"/>
    <w:rsid w:val="00E57B51"/>
    <w:rsid w:val="00E57B7A"/>
    <w:rsid w:val="00E57C83"/>
    <w:rsid w:val="00E57C93"/>
    <w:rsid w:val="00E57CD3"/>
    <w:rsid w:val="00E57DC1"/>
    <w:rsid w:val="00E57DD2"/>
    <w:rsid w:val="00E57EA6"/>
    <w:rsid w:val="00E600E3"/>
    <w:rsid w:val="00E60168"/>
    <w:rsid w:val="00E601F0"/>
    <w:rsid w:val="00E601FF"/>
    <w:rsid w:val="00E60208"/>
    <w:rsid w:val="00E602A8"/>
    <w:rsid w:val="00E60327"/>
    <w:rsid w:val="00E60707"/>
    <w:rsid w:val="00E6072B"/>
    <w:rsid w:val="00E60796"/>
    <w:rsid w:val="00E6093B"/>
    <w:rsid w:val="00E6095C"/>
    <w:rsid w:val="00E60981"/>
    <w:rsid w:val="00E60A3F"/>
    <w:rsid w:val="00E60B30"/>
    <w:rsid w:val="00E60DA6"/>
    <w:rsid w:val="00E60FC4"/>
    <w:rsid w:val="00E6100A"/>
    <w:rsid w:val="00E61032"/>
    <w:rsid w:val="00E61322"/>
    <w:rsid w:val="00E6157B"/>
    <w:rsid w:val="00E61641"/>
    <w:rsid w:val="00E61732"/>
    <w:rsid w:val="00E6175F"/>
    <w:rsid w:val="00E618C1"/>
    <w:rsid w:val="00E61958"/>
    <w:rsid w:val="00E61B27"/>
    <w:rsid w:val="00E61B36"/>
    <w:rsid w:val="00E61D0A"/>
    <w:rsid w:val="00E61D72"/>
    <w:rsid w:val="00E61D84"/>
    <w:rsid w:val="00E61F8A"/>
    <w:rsid w:val="00E621B8"/>
    <w:rsid w:val="00E621DD"/>
    <w:rsid w:val="00E621F8"/>
    <w:rsid w:val="00E62456"/>
    <w:rsid w:val="00E62464"/>
    <w:rsid w:val="00E62752"/>
    <w:rsid w:val="00E62865"/>
    <w:rsid w:val="00E62981"/>
    <w:rsid w:val="00E62A65"/>
    <w:rsid w:val="00E62C96"/>
    <w:rsid w:val="00E62D05"/>
    <w:rsid w:val="00E62DDF"/>
    <w:rsid w:val="00E62F02"/>
    <w:rsid w:val="00E62F6E"/>
    <w:rsid w:val="00E63085"/>
    <w:rsid w:val="00E6318A"/>
    <w:rsid w:val="00E631E2"/>
    <w:rsid w:val="00E6322F"/>
    <w:rsid w:val="00E632AA"/>
    <w:rsid w:val="00E63321"/>
    <w:rsid w:val="00E636CA"/>
    <w:rsid w:val="00E636E9"/>
    <w:rsid w:val="00E637C0"/>
    <w:rsid w:val="00E638C7"/>
    <w:rsid w:val="00E63CD0"/>
    <w:rsid w:val="00E63D5F"/>
    <w:rsid w:val="00E63DFD"/>
    <w:rsid w:val="00E6400A"/>
    <w:rsid w:val="00E64156"/>
    <w:rsid w:val="00E64256"/>
    <w:rsid w:val="00E644CB"/>
    <w:rsid w:val="00E64560"/>
    <w:rsid w:val="00E6467E"/>
    <w:rsid w:val="00E64772"/>
    <w:rsid w:val="00E6486F"/>
    <w:rsid w:val="00E648C3"/>
    <w:rsid w:val="00E64A9E"/>
    <w:rsid w:val="00E64C90"/>
    <w:rsid w:val="00E64DF8"/>
    <w:rsid w:val="00E64FE3"/>
    <w:rsid w:val="00E6500A"/>
    <w:rsid w:val="00E65042"/>
    <w:rsid w:val="00E65361"/>
    <w:rsid w:val="00E653D2"/>
    <w:rsid w:val="00E6540D"/>
    <w:rsid w:val="00E657BF"/>
    <w:rsid w:val="00E6591A"/>
    <w:rsid w:val="00E65999"/>
    <w:rsid w:val="00E659B2"/>
    <w:rsid w:val="00E65A43"/>
    <w:rsid w:val="00E65BB4"/>
    <w:rsid w:val="00E65BF5"/>
    <w:rsid w:val="00E65C9C"/>
    <w:rsid w:val="00E65CEC"/>
    <w:rsid w:val="00E65D33"/>
    <w:rsid w:val="00E65DBA"/>
    <w:rsid w:val="00E65DCF"/>
    <w:rsid w:val="00E65FC6"/>
    <w:rsid w:val="00E660DC"/>
    <w:rsid w:val="00E66191"/>
    <w:rsid w:val="00E66222"/>
    <w:rsid w:val="00E664E1"/>
    <w:rsid w:val="00E66611"/>
    <w:rsid w:val="00E6673A"/>
    <w:rsid w:val="00E6683A"/>
    <w:rsid w:val="00E66883"/>
    <w:rsid w:val="00E66A2D"/>
    <w:rsid w:val="00E66ADC"/>
    <w:rsid w:val="00E66B3D"/>
    <w:rsid w:val="00E66B75"/>
    <w:rsid w:val="00E66C0D"/>
    <w:rsid w:val="00E66D8C"/>
    <w:rsid w:val="00E66E60"/>
    <w:rsid w:val="00E66F35"/>
    <w:rsid w:val="00E66F6C"/>
    <w:rsid w:val="00E66F78"/>
    <w:rsid w:val="00E66FF5"/>
    <w:rsid w:val="00E67009"/>
    <w:rsid w:val="00E6704B"/>
    <w:rsid w:val="00E670E5"/>
    <w:rsid w:val="00E6724D"/>
    <w:rsid w:val="00E67278"/>
    <w:rsid w:val="00E67395"/>
    <w:rsid w:val="00E67442"/>
    <w:rsid w:val="00E676E1"/>
    <w:rsid w:val="00E6778E"/>
    <w:rsid w:val="00E6791C"/>
    <w:rsid w:val="00E67955"/>
    <w:rsid w:val="00E67977"/>
    <w:rsid w:val="00E67A7A"/>
    <w:rsid w:val="00E67A88"/>
    <w:rsid w:val="00E67D78"/>
    <w:rsid w:val="00E67E5C"/>
    <w:rsid w:val="00E700C6"/>
    <w:rsid w:val="00E701A8"/>
    <w:rsid w:val="00E70380"/>
    <w:rsid w:val="00E703FF"/>
    <w:rsid w:val="00E7051E"/>
    <w:rsid w:val="00E70739"/>
    <w:rsid w:val="00E707BF"/>
    <w:rsid w:val="00E708BD"/>
    <w:rsid w:val="00E70905"/>
    <w:rsid w:val="00E70C17"/>
    <w:rsid w:val="00E70D2F"/>
    <w:rsid w:val="00E70D82"/>
    <w:rsid w:val="00E70F27"/>
    <w:rsid w:val="00E70FB4"/>
    <w:rsid w:val="00E710E6"/>
    <w:rsid w:val="00E7116F"/>
    <w:rsid w:val="00E711CF"/>
    <w:rsid w:val="00E71224"/>
    <w:rsid w:val="00E71309"/>
    <w:rsid w:val="00E71370"/>
    <w:rsid w:val="00E71447"/>
    <w:rsid w:val="00E7144D"/>
    <w:rsid w:val="00E714E2"/>
    <w:rsid w:val="00E71611"/>
    <w:rsid w:val="00E71663"/>
    <w:rsid w:val="00E716B9"/>
    <w:rsid w:val="00E71807"/>
    <w:rsid w:val="00E71853"/>
    <w:rsid w:val="00E7186A"/>
    <w:rsid w:val="00E718E9"/>
    <w:rsid w:val="00E7198C"/>
    <w:rsid w:val="00E719ED"/>
    <w:rsid w:val="00E71A5A"/>
    <w:rsid w:val="00E71A9B"/>
    <w:rsid w:val="00E71AAA"/>
    <w:rsid w:val="00E71B55"/>
    <w:rsid w:val="00E71CE0"/>
    <w:rsid w:val="00E71ED5"/>
    <w:rsid w:val="00E71F3B"/>
    <w:rsid w:val="00E71F8E"/>
    <w:rsid w:val="00E72281"/>
    <w:rsid w:val="00E7235D"/>
    <w:rsid w:val="00E723CE"/>
    <w:rsid w:val="00E7249B"/>
    <w:rsid w:val="00E72593"/>
    <w:rsid w:val="00E72659"/>
    <w:rsid w:val="00E72663"/>
    <w:rsid w:val="00E726DC"/>
    <w:rsid w:val="00E7273E"/>
    <w:rsid w:val="00E7295A"/>
    <w:rsid w:val="00E7298C"/>
    <w:rsid w:val="00E72994"/>
    <w:rsid w:val="00E72B63"/>
    <w:rsid w:val="00E72D50"/>
    <w:rsid w:val="00E72E3B"/>
    <w:rsid w:val="00E72E44"/>
    <w:rsid w:val="00E72ED7"/>
    <w:rsid w:val="00E72F8A"/>
    <w:rsid w:val="00E7304B"/>
    <w:rsid w:val="00E73136"/>
    <w:rsid w:val="00E73173"/>
    <w:rsid w:val="00E731ED"/>
    <w:rsid w:val="00E7321E"/>
    <w:rsid w:val="00E7326B"/>
    <w:rsid w:val="00E73349"/>
    <w:rsid w:val="00E73388"/>
    <w:rsid w:val="00E73390"/>
    <w:rsid w:val="00E733B1"/>
    <w:rsid w:val="00E733CA"/>
    <w:rsid w:val="00E73432"/>
    <w:rsid w:val="00E7349B"/>
    <w:rsid w:val="00E7361A"/>
    <w:rsid w:val="00E7363D"/>
    <w:rsid w:val="00E73681"/>
    <w:rsid w:val="00E73700"/>
    <w:rsid w:val="00E73965"/>
    <w:rsid w:val="00E73987"/>
    <w:rsid w:val="00E73A4D"/>
    <w:rsid w:val="00E73B9C"/>
    <w:rsid w:val="00E73CB0"/>
    <w:rsid w:val="00E73DEE"/>
    <w:rsid w:val="00E73F26"/>
    <w:rsid w:val="00E73FCE"/>
    <w:rsid w:val="00E740EF"/>
    <w:rsid w:val="00E74248"/>
    <w:rsid w:val="00E743C6"/>
    <w:rsid w:val="00E7441C"/>
    <w:rsid w:val="00E74517"/>
    <w:rsid w:val="00E74581"/>
    <w:rsid w:val="00E745B4"/>
    <w:rsid w:val="00E745FB"/>
    <w:rsid w:val="00E74815"/>
    <w:rsid w:val="00E7494A"/>
    <w:rsid w:val="00E749F5"/>
    <w:rsid w:val="00E74AC1"/>
    <w:rsid w:val="00E74AC2"/>
    <w:rsid w:val="00E74AD5"/>
    <w:rsid w:val="00E74AEC"/>
    <w:rsid w:val="00E74B04"/>
    <w:rsid w:val="00E74B2F"/>
    <w:rsid w:val="00E74B33"/>
    <w:rsid w:val="00E74B72"/>
    <w:rsid w:val="00E74CF0"/>
    <w:rsid w:val="00E74CFD"/>
    <w:rsid w:val="00E74D9A"/>
    <w:rsid w:val="00E74DCD"/>
    <w:rsid w:val="00E74E74"/>
    <w:rsid w:val="00E75266"/>
    <w:rsid w:val="00E75289"/>
    <w:rsid w:val="00E7558F"/>
    <w:rsid w:val="00E755FF"/>
    <w:rsid w:val="00E75678"/>
    <w:rsid w:val="00E7570C"/>
    <w:rsid w:val="00E758C8"/>
    <w:rsid w:val="00E759E5"/>
    <w:rsid w:val="00E75A99"/>
    <w:rsid w:val="00E75BB3"/>
    <w:rsid w:val="00E75C07"/>
    <w:rsid w:val="00E75C64"/>
    <w:rsid w:val="00E75F18"/>
    <w:rsid w:val="00E75FE3"/>
    <w:rsid w:val="00E75FE5"/>
    <w:rsid w:val="00E760BA"/>
    <w:rsid w:val="00E760E5"/>
    <w:rsid w:val="00E7610A"/>
    <w:rsid w:val="00E761CD"/>
    <w:rsid w:val="00E76231"/>
    <w:rsid w:val="00E7632E"/>
    <w:rsid w:val="00E76533"/>
    <w:rsid w:val="00E76721"/>
    <w:rsid w:val="00E76726"/>
    <w:rsid w:val="00E76A13"/>
    <w:rsid w:val="00E76A6A"/>
    <w:rsid w:val="00E76A88"/>
    <w:rsid w:val="00E76AB2"/>
    <w:rsid w:val="00E76BE9"/>
    <w:rsid w:val="00E76D07"/>
    <w:rsid w:val="00E76D7E"/>
    <w:rsid w:val="00E76E00"/>
    <w:rsid w:val="00E76E38"/>
    <w:rsid w:val="00E76F34"/>
    <w:rsid w:val="00E76F8D"/>
    <w:rsid w:val="00E76FAE"/>
    <w:rsid w:val="00E76FDB"/>
    <w:rsid w:val="00E77057"/>
    <w:rsid w:val="00E77240"/>
    <w:rsid w:val="00E7735F"/>
    <w:rsid w:val="00E77510"/>
    <w:rsid w:val="00E77530"/>
    <w:rsid w:val="00E77828"/>
    <w:rsid w:val="00E778D7"/>
    <w:rsid w:val="00E778E2"/>
    <w:rsid w:val="00E77910"/>
    <w:rsid w:val="00E77B38"/>
    <w:rsid w:val="00E77B44"/>
    <w:rsid w:val="00E77C62"/>
    <w:rsid w:val="00E77C8E"/>
    <w:rsid w:val="00E77D4B"/>
    <w:rsid w:val="00E77D82"/>
    <w:rsid w:val="00E77D9F"/>
    <w:rsid w:val="00E77EB5"/>
    <w:rsid w:val="00E77F9D"/>
    <w:rsid w:val="00E80020"/>
    <w:rsid w:val="00E80093"/>
    <w:rsid w:val="00E8019B"/>
    <w:rsid w:val="00E801FD"/>
    <w:rsid w:val="00E80248"/>
    <w:rsid w:val="00E802F1"/>
    <w:rsid w:val="00E8036F"/>
    <w:rsid w:val="00E8041B"/>
    <w:rsid w:val="00E804C1"/>
    <w:rsid w:val="00E80689"/>
    <w:rsid w:val="00E806CA"/>
    <w:rsid w:val="00E80761"/>
    <w:rsid w:val="00E80823"/>
    <w:rsid w:val="00E8093C"/>
    <w:rsid w:val="00E809F7"/>
    <w:rsid w:val="00E809F8"/>
    <w:rsid w:val="00E809F9"/>
    <w:rsid w:val="00E80B6D"/>
    <w:rsid w:val="00E80CCC"/>
    <w:rsid w:val="00E80D50"/>
    <w:rsid w:val="00E80E27"/>
    <w:rsid w:val="00E80F47"/>
    <w:rsid w:val="00E80F50"/>
    <w:rsid w:val="00E80FA6"/>
    <w:rsid w:val="00E80FF3"/>
    <w:rsid w:val="00E81058"/>
    <w:rsid w:val="00E810DF"/>
    <w:rsid w:val="00E8137B"/>
    <w:rsid w:val="00E813ED"/>
    <w:rsid w:val="00E817CD"/>
    <w:rsid w:val="00E8183C"/>
    <w:rsid w:val="00E81866"/>
    <w:rsid w:val="00E819A2"/>
    <w:rsid w:val="00E81B9F"/>
    <w:rsid w:val="00E81C23"/>
    <w:rsid w:val="00E81CEF"/>
    <w:rsid w:val="00E81E65"/>
    <w:rsid w:val="00E81F22"/>
    <w:rsid w:val="00E81FE4"/>
    <w:rsid w:val="00E82089"/>
    <w:rsid w:val="00E820B0"/>
    <w:rsid w:val="00E820CB"/>
    <w:rsid w:val="00E82150"/>
    <w:rsid w:val="00E821BC"/>
    <w:rsid w:val="00E8224F"/>
    <w:rsid w:val="00E8226B"/>
    <w:rsid w:val="00E82270"/>
    <w:rsid w:val="00E82339"/>
    <w:rsid w:val="00E82390"/>
    <w:rsid w:val="00E82392"/>
    <w:rsid w:val="00E823AA"/>
    <w:rsid w:val="00E82433"/>
    <w:rsid w:val="00E8252F"/>
    <w:rsid w:val="00E8265E"/>
    <w:rsid w:val="00E8266A"/>
    <w:rsid w:val="00E826F8"/>
    <w:rsid w:val="00E829BD"/>
    <w:rsid w:val="00E82B51"/>
    <w:rsid w:val="00E82BCF"/>
    <w:rsid w:val="00E82D34"/>
    <w:rsid w:val="00E82DCC"/>
    <w:rsid w:val="00E82E16"/>
    <w:rsid w:val="00E82E3E"/>
    <w:rsid w:val="00E830D4"/>
    <w:rsid w:val="00E83137"/>
    <w:rsid w:val="00E83166"/>
    <w:rsid w:val="00E83322"/>
    <w:rsid w:val="00E83515"/>
    <w:rsid w:val="00E8355D"/>
    <w:rsid w:val="00E8362F"/>
    <w:rsid w:val="00E83733"/>
    <w:rsid w:val="00E83745"/>
    <w:rsid w:val="00E839F5"/>
    <w:rsid w:val="00E83D76"/>
    <w:rsid w:val="00E83FEB"/>
    <w:rsid w:val="00E8425D"/>
    <w:rsid w:val="00E8428A"/>
    <w:rsid w:val="00E842E5"/>
    <w:rsid w:val="00E8447F"/>
    <w:rsid w:val="00E845D8"/>
    <w:rsid w:val="00E84751"/>
    <w:rsid w:val="00E847EC"/>
    <w:rsid w:val="00E847ED"/>
    <w:rsid w:val="00E84B7A"/>
    <w:rsid w:val="00E84D0D"/>
    <w:rsid w:val="00E85055"/>
    <w:rsid w:val="00E8558F"/>
    <w:rsid w:val="00E856BE"/>
    <w:rsid w:val="00E85738"/>
    <w:rsid w:val="00E85860"/>
    <w:rsid w:val="00E85B1C"/>
    <w:rsid w:val="00E85B68"/>
    <w:rsid w:val="00E85C96"/>
    <w:rsid w:val="00E85CD7"/>
    <w:rsid w:val="00E85CED"/>
    <w:rsid w:val="00E85D96"/>
    <w:rsid w:val="00E85DC5"/>
    <w:rsid w:val="00E8609B"/>
    <w:rsid w:val="00E8631C"/>
    <w:rsid w:val="00E864E6"/>
    <w:rsid w:val="00E86535"/>
    <w:rsid w:val="00E86585"/>
    <w:rsid w:val="00E86690"/>
    <w:rsid w:val="00E8678A"/>
    <w:rsid w:val="00E8698B"/>
    <w:rsid w:val="00E86996"/>
    <w:rsid w:val="00E869BF"/>
    <w:rsid w:val="00E86A7A"/>
    <w:rsid w:val="00E86A9F"/>
    <w:rsid w:val="00E86B31"/>
    <w:rsid w:val="00E86C6C"/>
    <w:rsid w:val="00E86D55"/>
    <w:rsid w:val="00E86E00"/>
    <w:rsid w:val="00E86EEE"/>
    <w:rsid w:val="00E86FAD"/>
    <w:rsid w:val="00E8706B"/>
    <w:rsid w:val="00E87166"/>
    <w:rsid w:val="00E87178"/>
    <w:rsid w:val="00E87234"/>
    <w:rsid w:val="00E8736F"/>
    <w:rsid w:val="00E873B8"/>
    <w:rsid w:val="00E8746A"/>
    <w:rsid w:val="00E87477"/>
    <w:rsid w:val="00E87585"/>
    <w:rsid w:val="00E875C7"/>
    <w:rsid w:val="00E87711"/>
    <w:rsid w:val="00E877EC"/>
    <w:rsid w:val="00E87B3D"/>
    <w:rsid w:val="00E87B97"/>
    <w:rsid w:val="00E87F83"/>
    <w:rsid w:val="00E9011E"/>
    <w:rsid w:val="00E90163"/>
    <w:rsid w:val="00E901A6"/>
    <w:rsid w:val="00E9030A"/>
    <w:rsid w:val="00E90362"/>
    <w:rsid w:val="00E90390"/>
    <w:rsid w:val="00E90410"/>
    <w:rsid w:val="00E905BA"/>
    <w:rsid w:val="00E906DC"/>
    <w:rsid w:val="00E90702"/>
    <w:rsid w:val="00E90964"/>
    <w:rsid w:val="00E90989"/>
    <w:rsid w:val="00E90ADB"/>
    <w:rsid w:val="00E90BE6"/>
    <w:rsid w:val="00E90CFA"/>
    <w:rsid w:val="00E91031"/>
    <w:rsid w:val="00E910A9"/>
    <w:rsid w:val="00E91157"/>
    <w:rsid w:val="00E9136D"/>
    <w:rsid w:val="00E9146A"/>
    <w:rsid w:val="00E91515"/>
    <w:rsid w:val="00E91550"/>
    <w:rsid w:val="00E915D1"/>
    <w:rsid w:val="00E9161D"/>
    <w:rsid w:val="00E91687"/>
    <w:rsid w:val="00E916CE"/>
    <w:rsid w:val="00E91766"/>
    <w:rsid w:val="00E917CB"/>
    <w:rsid w:val="00E918C1"/>
    <w:rsid w:val="00E91989"/>
    <w:rsid w:val="00E919CE"/>
    <w:rsid w:val="00E919D7"/>
    <w:rsid w:val="00E919F8"/>
    <w:rsid w:val="00E91A91"/>
    <w:rsid w:val="00E91B09"/>
    <w:rsid w:val="00E91BBA"/>
    <w:rsid w:val="00E91C15"/>
    <w:rsid w:val="00E91C3D"/>
    <w:rsid w:val="00E91D8E"/>
    <w:rsid w:val="00E91E51"/>
    <w:rsid w:val="00E91FC2"/>
    <w:rsid w:val="00E920E6"/>
    <w:rsid w:val="00E9210C"/>
    <w:rsid w:val="00E9225D"/>
    <w:rsid w:val="00E924B0"/>
    <w:rsid w:val="00E924EC"/>
    <w:rsid w:val="00E92533"/>
    <w:rsid w:val="00E92559"/>
    <w:rsid w:val="00E92582"/>
    <w:rsid w:val="00E92629"/>
    <w:rsid w:val="00E92797"/>
    <w:rsid w:val="00E92A8E"/>
    <w:rsid w:val="00E92DB3"/>
    <w:rsid w:val="00E92FA6"/>
    <w:rsid w:val="00E9300A"/>
    <w:rsid w:val="00E93074"/>
    <w:rsid w:val="00E93082"/>
    <w:rsid w:val="00E93171"/>
    <w:rsid w:val="00E934A4"/>
    <w:rsid w:val="00E935E7"/>
    <w:rsid w:val="00E935FE"/>
    <w:rsid w:val="00E93642"/>
    <w:rsid w:val="00E939B1"/>
    <w:rsid w:val="00E93A7E"/>
    <w:rsid w:val="00E93A83"/>
    <w:rsid w:val="00E93AC5"/>
    <w:rsid w:val="00E93CC8"/>
    <w:rsid w:val="00E93DAE"/>
    <w:rsid w:val="00E93DB6"/>
    <w:rsid w:val="00E93DBE"/>
    <w:rsid w:val="00E93E89"/>
    <w:rsid w:val="00E93F64"/>
    <w:rsid w:val="00E9414A"/>
    <w:rsid w:val="00E941F4"/>
    <w:rsid w:val="00E94223"/>
    <w:rsid w:val="00E94328"/>
    <w:rsid w:val="00E94381"/>
    <w:rsid w:val="00E9446D"/>
    <w:rsid w:val="00E94510"/>
    <w:rsid w:val="00E94558"/>
    <w:rsid w:val="00E94597"/>
    <w:rsid w:val="00E9472C"/>
    <w:rsid w:val="00E9472E"/>
    <w:rsid w:val="00E948A8"/>
    <w:rsid w:val="00E94A4B"/>
    <w:rsid w:val="00E94B55"/>
    <w:rsid w:val="00E94CBA"/>
    <w:rsid w:val="00E94FD9"/>
    <w:rsid w:val="00E95042"/>
    <w:rsid w:val="00E95073"/>
    <w:rsid w:val="00E95079"/>
    <w:rsid w:val="00E950D1"/>
    <w:rsid w:val="00E95214"/>
    <w:rsid w:val="00E95312"/>
    <w:rsid w:val="00E9550A"/>
    <w:rsid w:val="00E957A2"/>
    <w:rsid w:val="00E957F0"/>
    <w:rsid w:val="00E957FB"/>
    <w:rsid w:val="00E958D5"/>
    <w:rsid w:val="00E958E3"/>
    <w:rsid w:val="00E958FC"/>
    <w:rsid w:val="00E9591F"/>
    <w:rsid w:val="00E95943"/>
    <w:rsid w:val="00E959D2"/>
    <w:rsid w:val="00E95A15"/>
    <w:rsid w:val="00E95A8B"/>
    <w:rsid w:val="00E95B21"/>
    <w:rsid w:val="00E95D7D"/>
    <w:rsid w:val="00E95EA6"/>
    <w:rsid w:val="00E95EAA"/>
    <w:rsid w:val="00E96009"/>
    <w:rsid w:val="00E96067"/>
    <w:rsid w:val="00E961BD"/>
    <w:rsid w:val="00E962C4"/>
    <w:rsid w:val="00E963C8"/>
    <w:rsid w:val="00E963CA"/>
    <w:rsid w:val="00E96662"/>
    <w:rsid w:val="00E968DA"/>
    <w:rsid w:val="00E9699B"/>
    <w:rsid w:val="00E969AE"/>
    <w:rsid w:val="00E96B0C"/>
    <w:rsid w:val="00E96CC2"/>
    <w:rsid w:val="00E96F88"/>
    <w:rsid w:val="00E97044"/>
    <w:rsid w:val="00E970AE"/>
    <w:rsid w:val="00E97152"/>
    <w:rsid w:val="00E97214"/>
    <w:rsid w:val="00E97287"/>
    <w:rsid w:val="00E97315"/>
    <w:rsid w:val="00E97408"/>
    <w:rsid w:val="00E9747C"/>
    <w:rsid w:val="00E975DD"/>
    <w:rsid w:val="00E9773F"/>
    <w:rsid w:val="00E9775D"/>
    <w:rsid w:val="00E97764"/>
    <w:rsid w:val="00E977F6"/>
    <w:rsid w:val="00E9785C"/>
    <w:rsid w:val="00E978A1"/>
    <w:rsid w:val="00E9790C"/>
    <w:rsid w:val="00E97A7A"/>
    <w:rsid w:val="00E97B38"/>
    <w:rsid w:val="00E97B4B"/>
    <w:rsid w:val="00E97DE7"/>
    <w:rsid w:val="00E97F09"/>
    <w:rsid w:val="00E97F78"/>
    <w:rsid w:val="00E97FC6"/>
    <w:rsid w:val="00EA010A"/>
    <w:rsid w:val="00EA016B"/>
    <w:rsid w:val="00EA0212"/>
    <w:rsid w:val="00EA026A"/>
    <w:rsid w:val="00EA0325"/>
    <w:rsid w:val="00EA033E"/>
    <w:rsid w:val="00EA0423"/>
    <w:rsid w:val="00EA04D4"/>
    <w:rsid w:val="00EA0574"/>
    <w:rsid w:val="00EA058A"/>
    <w:rsid w:val="00EA0759"/>
    <w:rsid w:val="00EA0769"/>
    <w:rsid w:val="00EA0784"/>
    <w:rsid w:val="00EA080C"/>
    <w:rsid w:val="00EA0979"/>
    <w:rsid w:val="00EA0B4F"/>
    <w:rsid w:val="00EA0B5A"/>
    <w:rsid w:val="00EA0BC3"/>
    <w:rsid w:val="00EA0C99"/>
    <w:rsid w:val="00EA0CE4"/>
    <w:rsid w:val="00EA0D60"/>
    <w:rsid w:val="00EA0DD5"/>
    <w:rsid w:val="00EA0E13"/>
    <w:rsid w:val="00EA0FB5"/>
    <w:rsid w:val="00EA0FB7"/>
    <w:rsid w:val="00EA1172"/>
    <w:rsid w:val="00EA144E"/>
    <w:rsid w:val="00EA1452"/>
    <w:rsid w:val="00EA172C"/>
    <w:rsid w:val="00EA174A"/>
    <w:rsid w:val="00EA17B9"/>
    <w:rsid w:val="00EA17C7"/>
    <w:rsid w:val="00EA186D"/>
    <w:rsid w:val="00EA18A4"/>
    <w:rsid w:val="00EA18AD"/>
    <w:rsid w:val="00EA19D7"/>
    <w:rsid w:val="00EA1A3B"/>
    <w:rsid w:val="00EA1AB9"/>
    <w:rsid w:val="00EA1B86"/>
    <w:rsid w:val="00EA1D5D"/>
    <w:rsid w:val="00EA1DA1"/>
    <w:rsid w:val="00EA1DD8"/>
    <w:rsid w:val="00EA1DFF"/>
    <w:rsid w:val="00EA1F9D"/>
    <w:rsid w:val="00EA2074"/>
    <w:rsid w:val="00EA207B"/>
    <w:rsid w:val="00EA2172"/>
    <w:rsid w:val="00EA2258"/>
    <w:rsid w:val="00EA2273"/>
    <w:rsid w:val="00EA22C7"/>
    <w:rsid w:val="00EA2335"/>
    <w:rsid w:val="00EA240E"/>
    <w:rsid w:val="00EA2441"/>
    <w:rsid w:val="00EA2467"/>
    <w:rsid w:val="00EA24EC"/>
    <w:rsid w:val="00EA251E"/>
    <w:rsid w:val="00EA2565"/>
    <w:rsid w:val="00EA2590"/>
    <w:rsid w:val="00EA2607"/>
    <w:rsid w:val="00EA2A58"/>
    <w:rsid w:val="00EA2C0C"/>
    <w:rsid w:val="00EA2CC5"/>
    <w:rsid w:val="00EA2D10"/>
    <w:rsid w:val="00EA2E23"/>
    <w:rsid w:val="00EA2EE8"/>
    <w:rsid w:val="00EA2F7C"/>
    <w:rsid w:val="00EA3040"/>
    <w:rsid w:val="00EA320F"/>
    <w:rsid w:val="00EA323E"/>
    <w:rsid w:val="00EA336A"/>
    <w:rsid w:val="00EA3385"/>
    <w:rsid w:val="00EA33CF"/>
    <w:rsid w:val="00EA3446"/>
    <w:rsid w:val="00EA350C"/>
    <w:rsid w:val="00EA36CF"/>
    <w:rsid w:val="00EA3744"/>
    <w:rsid w:val="00EA377A"/>
    <w:rsid w:val="00EA3796"/>
    <w:rsid w:val="00EA38BA"/>
    <w:rsid w:val="00EA38CE"/>
    <w:rsid w:val="00EA39C7"/>
    <w:rsid w:val="00EA3B18"/>
    <w:rsid w:val="00EA3F03"/>
    <w:rsid w:val="00EA4067"/>
    <w:rsid w:val="00EA408D"/>
    <w:rsid w:val="00EA4195"/>
    <w:rsid w:val="00EA4220"/>
    <w:rsid w:val="00EA4258"/>
    <w:rsid w:val="00EA4295"/>
    <w:rsid w:val="00EA42E3"/>
    <w:rsid w:val="00EA439A"/>
    <w:rsid w:val="00EA449D"/>
    <w:rsid w:val="00EA44BE"/>
    <w:rsid w:val="00EA4640"/>
    <w:rsid w:val="00EA46F7"/>
    <w:rsid w:val="00EA471F"/>
    <w:rsid w:val="00EA4857"/>
    <w:rsid w:val="00EA4947"/>
    <w:rsid w:val="00EA4965"/>
    <w:rsid w:val="00EA49AA"/>
    <w:rsid w:val="00EA4AD5"/>
    <w:rsid w:val="00EA4BF0"/>
    <w:rsid w:val="00EA4D54"/>
    <w:rsid w:val="00EA4D68"/>
    <w:rsid w:val="00EA4D6B"/>
    <w:rsid w:val="00EA4D77"/>
    <w:rsid w:val="00EA4E98"/>
    <w:rsid w:val="00EA4F0A"/>
    <w:rsid w:val="00EA4F14"/>
    <w:rsid w:val="00EA4FC3"/>
    <w:rsid w:val="00EA51CD"/>
    <w:rsid w:val="00EA52F9"/>
    <w:rsid w:val="00EA5491"/>
    <w:rsid w:val="00EA554C"/>
    <w:rsid w:val="00EA55D1"/>
    <w:rsid w:val="00EA562E"/>
    <w:rsid w:val="00EA5773"/>
    <w:rsid w:val="00EA57F2"/>
    <w:rsid w:val="00EA5912"/>
    <w:rsid w:val="00EA5A34"/>
    <w:rsid w:val="00EA5A56"/>
    <w:rsid w:val="00EA5E86"/>
    <w:rsid w:val="00EA60A4"/>
    <w:rsid w:val="00EA6114"/>
    <w:rsid w:val="00EA6149"/>
    <w:rsid w:val="00EA61DE"/>
    <w:rsid w:val="00EA61EF"/>
    <w:rsid w:val="00EA6249"/>
    <w:rsid w:val="00EA63DF"/>
    <w:rsid w:val="00EA63EA"/>
    <w:rsid w:val="00EA6432"/>
    <w:rsid w:val="00EA6440"/>
    <w:rsid w:val="00EA648A"/>
    <w:rsid w:val="00EA652F"/>
    <w:rsid w:val="00EA6751"/>
    <w:rsid w:val="00EA67CB"/>
    <w:rsid w:val="00EA68D2"/>
    <w:rsid w:val="00EA6AAD"/>
    <w:rsid w:val="00EA6B3D"/>
    <w:rsid w:val="00EA6BC1"/>
    <w:rsid w:val="00EA6BE4"/>
    <w:rsid w:val="00EA6C37"/>
    <w:rsid w:val="00EA6D08"/>
    <w:rsid w:val="00EA6E4B"/>
    <w:rsid w:val="00EA6EF4"/>
    <w:rsid w:val="00EA71AE"/>
    <w:rsid w:val="00EA7233"/>
    <w:rsid w:val="00EA7322"/>
    <w:rsid w:val="00EA734E"/>
    <w:rsid w:val="00EA7401"/>
    <w:rsid w:val="00EA7524"/>
    <w:rsid w:val="00EA7752"/>
    <w:rsid w:val="00EA7971"/>
    <w:rsid w:val="00EA7A36"/>
    <w:rsid w:val="00EA7A9D"/>
    <w:rsid w:val="00EA7B39"/>
    <w:rsid w:val="00EA7BD8"/>
    <w:rsid w:val="00EA7C6F"/>
    <w:rsid w:val="00EA7DFD"/>
    <w:rsid w:val="00EA7E18"/>
    <w:rsid w:val="00EA7E1E"/>
    <w:rsid w:val="00EA7E5F"/>
    <w:rsid w:val="00EA7E64"/>
    <w:rsid w:val="00EA7F37"/>
    <w:rsid w:val="00EA7FF8"/>
    <w:rsid w:val="00EB0250"/>
    <w:rsid w:val="00EB026D"/>
    <w:rsid w:val="00EB036D"/>
    <w:rsid w:val="00EB04CC"/>
    <w:rsid w:val="00EB0605"/>
    <w:rsid w:val="00EB0689"/>
    <w:rsid w:val="00EB083E"/>
    <w:rsid w:val="00EB084E"/>
    <w:rsid w:val="00EB09BA"/>
    <w:rsid w:val="00EB0AD0"/>
    <w:rsid w:val="00EB0AD6"/>
    <w:rsid w:val="00EB0ADB"/>
    <w:rsid w:val="00EB0BD4"/>
    <w:rsid w:val="00EB0E0F"/>
    <w:rsid w:val="00EB0E8C"/>
    <w:rsid w:val="00EB0EF7"/>
    <w:rsid w:val="00EB127F"/>
    <w:rsid w:val="00EB12E0"/>
    <w:rsid w:val="00EB147F"/>
    <w:rsid w:val="00EB14D0"/>
    <w:rsid w:val="00EB165E"/>
    <w:rsid w:val="00EB1740"/>
    <w:rsid w:val="00EB1754"/>
    <w:rsid w:val="00EB1804"/>
    <w:rsid w:val="00EB1828"/>
    <w:rsid w:val="00EB18FD"/>
    <w:rsid w:val="00EB1949"/>
    <w:rsid w:val="00EB1CD2"/>
    <w:rsid w:val="00EB1D6E"/>
    <w:rsid w:val="00EB1E68"/>
    <w:rsid w:val="00EB1ED9"/>
    <w:rsid w:val="00EB1FC7"/>
    <w:rsid w:val="00EB20A8"/>
    <w:rsid w:val="00EB20AE"/>
    <w:rsid w:val="00EB217B"/>
    <w:rsid w:val="00EB220A"/>
    <w:rsid w:val="00EB223C"/>
    <w:rsid w:val="00EB2516"/>
    <w:rsid w:val="00EB2734"/>
    <w:rsid w:val="00EB28A1"/>
    <w:rsid w:val="00EB2976"/>
    <w:rsid w:val="00EB2DFB"/>
    <w:rsid w:val="00EB2EAC"/>
    <w:rsid w:val="00EB2EB8"/>
    <w:rsid w:val="00EB2F0B"/>
    <w:rsid w:val="00EB3068"/>
    <w:rsid w:val="00EB315A"/>
    <w:rsid w:val="00EB31B7"/>
    <w:rsid w:val="00EB31D1"/>
    <w:rsid w:val="00EB3272"/>
    <w:rsid w:val="00EB3479"/>
    <w:rsid w:val="00EB35B7"/>
    <w:rsid w:val="00EB3617"/>
    <w:rsid w:val="00EB371F"/>
    <w:rsid w:val="00EB37AE"/>
    <w:rsid w:val="00EB3868"/>
    <w:rsid w:val="00EB3953"/>
    <w:rsid w:val="00EB3969"/>
    <w:rsid w:val="00EB3AA9"/>
    <w:rsid w:val="00EB3B8A"/>
    <w:rsid w:val="00EB3C30"/>
    <w:rsid w:val="00EB3DD6"/>
    <w:rsid w:val="00EB3F7C"/>
    <w:rsid w:val="00EB406B"/>
    <w:rsid w:val="00EB412F"/>
    <w:rsid w:val="00EB42D1"/>
    <w:rsid w:val="00EB4377"/>
    <w:rsid w:val="00EB4392"/>
    <w:rsid w:val="00EB439D"/>
    <w:rsid w:val="00EB4476"/>
    <w:rsid w:val="00EB477D"/>
    <w:rsid w:val="00EB48F2"/>
    <w:rsid w:val="00EB48FC"/>
    <w:rsid w:val="00EB496B"/>
    <w:rsid w:val="00EB4984"/>
    <w:rsid w:val="00EB4A60"/>
    <w:rsid w:val="00EB4A6B"/>
    <w:rsid w:val="00EB4B30"/>
    <w:rsid w:val="00EB4B7C"/>
    <w:rsid w:val="00EB4C9B"/>
    <w:rsid w:val="00EB4D17"/>
    <w:rsid w:val="00EB4E8D"/>
    <w:rsid w:val="00EB4FD8"/>
    <w:rsid w:val="00EB4FF4"/>
    <w:rsid w:val="00EB5186"/>
    <w:rsid w:val="00EB53ED"/>
    <w:rsid w:val="00EB547F"/>
    <w:rsid w:val="00EB5547"/>
    <w:rsid w:val="00EB5789"/>
    <w:rsid w:val="00EB581A"/>
    <w:rsid w:val="00EB5AF5"/>
    <w:rsid w:val="00EB5C6A"/>
    <w:rsid w:val="00EB5CBC"/>
    <w:rsid w:val="00EB5CDE"/>
    <w:rsid w:val="00EB5F85"/>
    <w:rsid w:val="00EB5FE9"/>
    <w:rsid w:val="00EB606D"/>
    <w:rsid w:val="00EB6126"/>
    <w:rsid w:val="00EB6213"/>
    <w:rsid w:val="00EB6214"/>
    <w:rsid w:val="00EB62B4"/>
    <w:rsid w:val="00EB62CC"/>
    <w:rsid w:val="00EB6334"/>
    <w:rsid w:val="00EB6359"/>
    <w:rsid w:val="00EB640F"/>
    <w:rsid w:val="00EB646A"/>
    <w:rsid w:val="00EB648B"/>
    <w:rsid w:val="00EB6594"/>
    <w:rsid w:val="00EB6597"/>
    <w:rsid w:val="00EB67E9"/>
    <w:rsid w:val="00EB68C0"/>
    <w:rsid w:val="00EB68D9"/>
    <w:rsid w:val="00EB6A43"/>
    <w:rsid w:val="00EB6ADE"/>
    <w:rsid w:val="00EB6AF4"/>
    <w:rsid w:val="00EB6C2D"/>
    <w:rsid w:val="00EB6CDB"/>
    <w:rsid w:val="00EB6D9D"/>
    <w:rsid w:val="00EB6DE0"/>
    <w:rsid w:val="00EB6F6A"/>
    <w:rsid w:val="00EB6F82"/>
    <w:rsid w:val="00EB70CF"/>
    <w:rsid w:val="00EB7100"/>
    <w:rsid w:val="00EB7134"/>
    <w:rsid w:val="00EB71B3"/>
    <w:rsid w:val="00EB7223"/>
    <w:rsid w:val="00EB73A1"/>
    <w:rsid w:val="00EB7478"/>
    <w:rsid w:val="00EB7664"/>
    <w:rsid w:val="00EB7749"/>
    <w:rsid w:val="00EB7928"/>
    <w:rsid w:val="00EB7B6A"/>
    <w:rsid w:val="00EB7BCB"/>
    <w:rsid w:val="00EB7DCD"/>
    <w:rsid w:val="00EC001E"/>
    <w:rsid w:val="00EC0103"/>
    <w:rsid w:val="00EC018B"/>
    <w:rsid w:val="00EC01DD"/>
    <w:rsid w:val="00EC02A6"/>
    <w:rsid w:val="00EC02E2"/>
    <w:rsid w:val="00EC0315"/>
    <w:rsid w:val="00EC03AB"/>
    <w:rsid w:val="00EC03BB"/>
    <w:rsid w:val="00EC06EC"/>
    <w:rsid w:val="00EC0879"/>
    <w:rsid w:val="00EC0A8F"/>
    <w:rsid w:val="00EC0C29"/>
    <w:rsid w:val="00EC0D9D"/>
    <w:rsid w:val="00EC0E6A"/>
    <w:rsid w:val="00EC13CA"/>
    <w:rsid w:val="00EC142C"/>
    <w:rsid w:val="00EC1569"/>
    <w:rsid w:val="00EC15B6"/>
    <w:rsid w:val="00EC1725"/>
    <w:rsid w:val="00EC1829"/>
    <w:rsid w:val="00EC184F"/>
    <w:rsid w:val="00EC19D5"/>
    <w:rsid w:val="00EC1A22"/>
    <w:rsid w:val="00EC1C15"/>
    <w:rsid w:val="00EC1C90"/>
    <w:rsid w:val="00EC1CA7"/>
    <w:rsid w:val="00EC1D2E"/>
    <w:rsid w:val="00EC1EE3"/>
    <w:rsid w:val="00EC2233"/>
    <w:rsid w:val="00EC22F3"/>
    <w:rsid w:val="00EC2392"/>
    <w:rsid w:val="00EC24F0"/>
    <w:rsid w:val="00EC25E1"/>
    <w:rsid w:val="00EC265F"/>
    <w:rsid w:val="00EC27FB"/>
    <w:rsid w:val="00EC282D"/>
    <w:rsid w:val="00EC2A95"/>
    <w:rsid w:val="00EC2D6E"/>
    <w:rsid w:val="00EC2DF3"/>
    <w:rsid w:val="00EC2E0C"/>
    <w:rsid w:val="00EC2EAC"/>
    <w:rsid w:val="00EC2F7E"/>
    <w:rsid w:val="00EC306F"/>
    <w:rsid w:val="00EC309B"/>
    <w:rsid w:val="00EC32F5"/>
    <w:rsid w:val="00EC3321"/>
    <w:rsid w:val="00EC3384"/>
    <w:rsid w:val="00EC339D"/>
    <w:rsid w:val="00EC33A7"/>
    <w:rsid w:val="00EC33E4"/>
    <w:rsid w:val="00EC3505"/>
    <w:rsid w:val="00EC3594"/>
    <w:rsid w:val="00EC3660"/>
    <w:rsid w:val="00EC39B0"/>
    <w:rsid w:val="00EC3B28"/>
    <w:rsid w:val="00EC3D04"/>
    <w:rsid w:val="00EC3D44"/>
    <w:rsid w:val="00EC3EC8"/>
    <w:rsid w:val="00EC3F07"/>
    <w:rsid w:val="00EC3F5A"/>
    <w:rsid w:val="00EC4081"/>
    <w:rsid w:val="00EC41D9"/>
    <w:rsid w:val="00EC420F"/>
    <w:rsid w:val="00EC4296"/>
    <w:rsid w:val="00EC42C8"/>
    <w:rsid w:val="00EC43BF"/>
    <w:rsid w:val="00EC44EF"/>
    <w:rsid w:val="00EC4645"/>
    <w:rsid w:val="00EC46CA"/>
    <w:rsid w:val="00EC47F6"/>
    <w:rsid w:val="00EC48C9"/>
    <w:rsid w:val="00EC4904"/>
    <w:rsid w:val="00EC49EE"/>
    <w:rsid w:val="00EC4AAB"/>
    <w:rsid w:val="00EC4AD8"/>
    <w:rsid w:val="00EC4AFB"/>
    <w:rsid w:val="00EC4B70"/>
    <w:rsid w:val="00EC4BD5"/>
    <w:rsid w:val="00EC4C6F"/>
    <w:rsid w:val="00EC4E1A"/>
    <w:rsid w:val="00EC4F48"/>
    <w:rsid w:val="00EC50A4"/>
    <w:rsid w:val="00EC52F6"/>
    <w:rsid w:val="00EC5399"/>
    <w:rsid w:val="00EC53C8"/>
    <w:rsid w:val="00EC5464"/>
    <w:rsid w:val="00EC5506"/>
    <w:rsid w:val="00EC5571"/>
    <w:rsid w:val="00EC55B8"/>
    <w:rsid w:val="00EC55BC"/>
    <w:rsid w:val="00EC5601"/>
    <w:rsid w:val="00EC56C7"/>
    <w:rsid w:val="00EC56E4"/>
    <w:rsid w:val="00EC56FC"/>
    <w:rsid w:val="00EC58EE"/>
    <w:rsid w:val="00EC5951"/>
    <w:rsid w:val="00EC598C"/>
    <w:rsid w:val="00EC59B9"/>
    <w:rsid w:val="00EC5A76"/>
    <w:rsid w:val="00EC5B05"/>
    <w:rsid w:val="00EC5B5D"/>
    <w:rsid w:val="00EC5D6E"/>
    <w:rsid w:val="00EC5D91"/>
    <w:rsid w:val="00EC5E57"/>
    <w:rsid w:val="00EC601F"/>
    <w:rsid w:val="00EC61AC"/>
    <w:rsid w:val="00EC6332"/>
    <w:rsid w:val="00EC63A3"/>
    <w:rsid w:val="00EC63E0"/>
    <w:rsid w:val="00EC6427"/>
    <w:rsid w:val="00EC6475"/>
    <w:rsid w:val="00EC657D"/>
    <w:rsid w:val="00EC67B2"/>
    <w:rsid w:val="00EC67C4"/>
    <w:rsid w:val="00EC6977"/>
    <w:rsid w:val="00EC698F"/>
    <w:rsid w:val="00EC6A5C"/>
    <w:rsid w:val="00EC6A68"/>
    <w:rsid w:val="00EC6B2F"/>
    <w:rsid w:val="00EC6B99"/>
    <w:rsid w:val="00EC6BFA"/>
    <w:rsid w:val="00EC6C86"/>
    <w:rsid w:val="00EC6D56"/>
    <w:rsid w:val="00EC6DA2"/>
    <w:rsid w:val="00EC6E1E"/>
    <w:rsid w:val="00EC70F9"/>
    <w:rsid w:val="00EC719E"/>
    <w:rsid w:val="00EC71BB"/>
    <w:rsid w:val="00EC72B9"/>
    <w:rsid w:val="00EC7300"/>
    <w:rsid w:val="00EC7330"/>
    <w:rsid w:val="00EC7369"/>
    <w:rsid w:val="00EC7477"/>
    <w:rsid w:val="00EC750E"/>
    <w:rsid w:val="00EC761E"/>
    <w:rsid w:val="00EC775D"/>
    <w:rsid w:val="00EC77B6"/>
    <w:rsid w:val="00EC77E6"/>
    <w:rsid w:val="00EC78B0"/>
    <w:rsid w:val="00EC78C2"/>
    <w:rsid w:val="00EC7932"/>
    <w:rsid w:val="00EC79DE"/>
    <w:rsid w:val="00EC7A0C"/>
    <w:rsid w:val="00EC7C61"/>
    <w:rsid w:val="00EC7D94"/>
    <w:rsid w:val="00EC7E16"/>
    <w:rsid w:val="00EC7F11"/>
    <w:rsid w:val="00ED01FC"/>
    <w:rsid w:val="00ED02FB"/>
    <w:rsid w:val="00ED0313"/>
    <w:rsid w:val="00ED035F"/>
    <w:rsid w:val="00ED04E8"/>
    <w:rsid w:val="00ED0583"/>
    <w:rsid w:val="00ED0651"/>
    <w:rsid w:val="00ED070C"/>
    <w:rsid w:val="00ED0826"/>
    <w:rsid w:val="00ED0874"/>
    <w:rsid w:val="00ED08B6"/>
    <w:rsid w:val="00ED094E"/>
    <w:rsid w:val="00ED0A9B"/>
    <w:rsid w:val="00ED0AD2"/>
    <w:rsid w:val="00ED0BBE"/>
    <w:rsid w:val="00ED0BBF"/>
    <w:rsid w:val="00ED0BEA"/>
    <w:rsid w:val="00ED0C71"/>
    <w:rsid w:val="00ED0DAE"/>
    <w:rsid w:val="00ED0FFB"/>
    <w:rsid w:val="00ED11AD"/>
    <w:rsid w:val="00ED12AC"/>
    <w:rsid w:val="00ED12D3"/>
    <w:rsid w:val="00ED1447"/>
    <w:rsid w:val="00ED1479"/>
    <w:rsid w:val="00ED15AB"/>
    <w:rsid w:val="00ED1674"/>
    <w:rsid w:val="00ED1675"/>
    <w:rsid w:val="00ED1694"/>
    <w:rsid w:val="00ED16C6"/>
    <w:rsid w:val="00ED16FD"/>
    <w:rsid w:val="00ED18B1"/>
    <w:rsid w:val="00ED18B2"/>
    <w:rsid w:val="00ED1DF6"/>
    <w:rsid w:val="00ED1FA7"/>
    <w:rsid w:val="00ED1FE0"/>
    <w:rsid w:val="00ED20C1"/>
    <w:rsid w:val="00ED2328"/>
    <w:rsid w:val="00ED23D3"/>
    <w:rsid w:val="00ED23EA"/>
    <w:rsid w:val="00ED24CB"/>
    <w:rsid w:val="00ED25E3"/>
    <w:rsid w:val="00ED2622"/>
    <w:rsid w:val="00ED2666"/>
    <w:rsid w:val="00ED2748"/>
    <w:rsid w:val="00ED2A04"/>
    <w:rsid w:val="00ED2A4B"/>
    <w:rsid w:val="00ED2A7E"/>
    <w:rsid w:val="00ED2B92"/>
    <w:rsid w:val="00ED2C8B"/>
    <w:rsid w:val="00ED2CAC"/>
    <w:rsid w:val="00ED2CB0"/>
    <w:rsid w:val="00ED2DD4"/>
    <w:rsid w:val="00ED2F22"/>
    <w:rsid w:val="00ED2FBE"/>
    <w:rsid w:val="00ED31A8"/>
    <w:rsid w:val="00ED3280"/>
    <w:rsid w:val="00ED33DD"/>
    <w:rsid w:val="00ED344F"/>
    <w:rsid w:val="00ED3499"/>
    <w:rsid w:val="00ED356F"/>
    <w:rsid w:val="00ED35D2"/>
    <w:rsid w:val="00ED3635"/>
    <w:rsid w:val="00ED368E"/>
    <w:rsid w:val="00ED368F"/>
    <w:rsid w:val="00ED3811"/>
    <w:rsid w:val="00ED3844"/>
    <w:rsid w:val="00ED39F1"/>
    <w:rsid w:val="00ED3AE6"/>
    <w:rsid w:val="00ED3C10"/>
    <w:rsid w:val="00ED3C78"/>
    <w:rsid w:val="00ED3C8E"/>
    <w:rsid w:val="00ED3C96"/>
    <w:rsid w:val="00ED3DF7"/>
    <w:rsid w:val="00ED3E02"/>
    <w:rsid w:val="00ED3E71"/>
    <w:rsid w:val="00ED3F1E"/>
    <w:rsid w:val="00ED3F84"/>
    <w:rsid w:val="00ED3FAF"/>
    <w:rsid w:val="00ED402B"/>
    <w:rsid w:val="00ED413F"/>
    <w:rsid w:val="00ED420D"/>
    <w:rsid w:val="00ED428B"/>
    <w:rsid w:val="00ED4334"/>
    <w:rsid w:val="00ED4360"/>
    <w:rsid w:val="00ED4B05"/>
    <w:rsid w:val="00ED4BEC"/>
    <w:rsid w:val="00ED4CD4"/>
    <w:rsid w:val="00ED4DB5"/>
    <w:rsid w:val="00ED4EC8"/>
    <w:rsid w:val="00ED4F5B"/>
    <w:rsid w:val="00ED4F5E"/>
    <w:rsid w:val="00ED4F89"/>
    <w:rsid w:val="00ED51E6"/>
    <w:rsid w:val="00ED5280"/>
    <w:rsid w:val="00ED53C4"/>
    <w:rsid w:val="00ED541D"/>
    <w:rsid w:val="00ED56AD"/>
    <w:rsid w:val="00ED56E7"/>
    <w:rsid w:val="00ED56EF"/>
    <w:rsid w:val="00ED57FB"/>
    <w:rsid w:val="00ED5863"/>
    <w:rsid w:val="00ED58D1"/>
    <w:rsid w:val="00ED5961"/>
    <w:rsid w:val="00ED59AB"/>
    <w:rsid w:val="00ED59AD"/>
    <w:rsid w:val="00ED59D6"/>
    <w:rsid w:val="00ED5AE0"/>
    <w:rsid w:val="00ED5B7D"/>
    <w:rsid w:val="00ED5C57"/>
    <w:rsid w:val="00ED5CDE"/>
    <w:rsid w:val="00ED5EC5"/>
    <w:rsid w:val="00ED5F8F"/>
    <w:rsid w:val="00ED5FE6"/>
    <w:rsid w:val="00ED611A"/>
    <w:rsid w:val="00ED6176"/>
    <w:rsid w:val="00ED61F8"/>
    <w:rsid w:val="00ED62F4"/>
    <w:rsid w:val="00ED63B8"/>
    <w:rsid w:val="00ED63D5"/>
    <w:rsid w:val="00ED654F"/>
    <w:rsid w:val="00ED65EA"/>
    <w:rsid w:val="00ED6771"/>
    <w:rsid w:val="00ED68A8"/>
    <w:rsid w:val="00ED69A2"/>
    <w:rsid w:val="00ED6FFE"/>
    <w:rsid w:val="00ED7071"/>
    <w:rsid w:val="00ED7091"/>
    <w:rsid w:val="00ED70A9"/>
    <w:rsid w:val="00ED71E4"/>
    <w:rsid w:val="00ED722E"/>
    <w:rsid w:val="00ED7297"/>
    <w:rsid w:val="00ED737E"/>
    <w:rsid w:val="00ED7396"/>
    <w:rsid w:val="00ED74C4"/>
    <w:rsid w:val="00ED75D8"/>
    <w:rsid w:val="00ED769A"/>
    <w:rsid w:val="00ED7787"/>
    <w:rsid w:val="00ED78DE"/>
    <w:rsid w:val="00ED78F7"/>
    <w:rsid w:val="00ED793D"/>
    <w:rsid w:val="00ED796C"/>
    <w:rsid w:val="00ED79FE"/>
    <w:rsid w:val="00ED7A4D"/>
    <w:rsid w:val="00ED7AA9"/>
    <w:rsid w:val="00ED7B05"/>
    <w:rsid w:val="00ED7B50"/>
    <w:rsid w:val="00ED7F10"/>
    <w:rsid w:val="00ED7FA4"/>
    <w:rsid w:val="00EE0239"/>
    <w:rsid w:val="00EE029C"/>
    <w:rsid w:val="00EE03A1"/>
    <w:rsid w:val="00EE05A6"/>
    <w:rsid w:val="00EE06D6"/>
    <w:rsid w:val="00EE06F3"/>
    <w:rsid w:val="00EE07C6"/>
    <w:rsid w:val="00EE084C"/>
    <w:rsid w:val="00EE08C6"/>
    <w:rsid w:val="00EE08FB"/>
    <w:rsid w:val="00EE09DB"/>
    <w:rsid w:val="00EE0A5C"/>
    <w:rsid w:val="00EE0AD2"/>
    <w:rsid w:val="00EE0CB3"/>
    <w:rsid w:val="00EE0D2C"/>
    <w:rsid w:val="00EE0E6C"/>
    <w:rsid w:val="00EE0EC6"/>
    <w:rsid w:val="00EE0F04"/>
    <w:rsid w:val="00EE0F2B"/>
    <w:rsid w:val="00EE0F60"/>
    <w:rsid w:val="00EE0FD9"/>
    <w:rsid w:val="00EE10BD"/>
    <w:rsid w:val="00EE10D9"/>
    <w:rsid w:val="00EE10DE"/>
    <w:rsid w:val="00EE121D"/>
    <w:rsid w:val="00EE1333"/>
    <w:rsid w:val="00EE1370"/>
    <w:rsid w:val="00EE16DD"/>
    <w:rsid w:val="00EE170A"/>
    <w:rsid w:val="00EE173D"/>
    <w:rsid w:val="00EE1757"/>
    <w:rsid w:val="00EE184A"/>
    <w:rsid w:val="00EE1874"/>
    <w:rsid w:val="00EE1B4A"/>
    <w:rsid w:val="00EE1BE5"/>
    <w:rsid w:val="00EE1BE6"/>
    <w:rsid w:val="00EE1C44"/>
    <w:rsid w:val="00EE1CD6"/>
    <w:rsid w:val="00EE1CF9"/>
    <w:rsid w:val="00EE1E0F"/>
    <w:rsid w:val="00EE1ECA"/>
    <w:rsid w:val="00EE1F9E"/>
    <w:rsid w:val="00EE1FE6"/>
    <w:rsid w:val="00EE22B5"/>
    <w:rsid w:val="00EE22CB"/>
    <w:rsid w:val="00EE25CC"/>
    <w:rsid w:val="00EE276B"/>
    <w:rsid w:val="00EE27ED"/>
    <w:rsid w:val="00EE2990"/>
    <w:rsid w:val="00EE2BA6"/>
    <w:rsid w:val="00EE2DAD"/>
    <w:rsid w:val="00EE2E9C"/>
    <w:rsid w:val="00EE3007"/>
    <w:rsid w:val="00EE30C5"/>
    <w:rsid w:val="00EE30D2"/>
    <w:rsid w:val="00EE31C2"/>
    <w:rsid w:val="00EE329B"/>
    <w:rsid w:val="00EE3458"/>
    <w:rsid w:val="00EE354D"/>
    <w:rsid w:val="00EE3619"/>
    <w:rsid w:val="00EE3630"/>
    <w:rsid w:val="00EE3768"/>
    <w:rsid w:val="00EE37F5"/>
    <w:rsid w:val="00EE3896"/>
    <w:rsid w:val="00EE395C"/>
    <w:rsid w:val="00EE3964"/>
    <w:rsid w:val="00EE3977"/>
    <w:rsid w:val="00EE39CB"/>
    <w:rsid w:val="00EE3B15"/>
    <w:rsid w:val="00EE3C5C"/>
    <w:rsid w:val="00EE3D47"/>
    <w:rsid w:val="00EE3D7D"/>
    <w:rsid w:val="00EE3DD0"/>
    <w:rsid w:val="00EE3E07"/>
    <w:rsid w:val="00EE3E3B"/>
    <w:rsid w:val="00EE3E47"/>
    <w:rsid w:val="00EE3E8A"/>
    <w:rsid w:val="00EE3F41"/>
    <w:rsid w:val="00EE404B"/>
    <w:rsid w:val="00EE41B5"/>
    <w:rsid w:val="00EE41CD"/>
    <w:rsid w:val="00EE425C"/>
    <w:rsid w:val="00EE4392"/>
    <w:rsid w:val="00EE46B6"/>
    <w:rsid w:val="00EE4721"/>
    <w:rsid w:val="00EE47CD"/>
    <w:rsid w:val="00EE47E6"/>
    <w:rsid w:val="00EE485B"/>
    <w:rsid w:val="00EE48CB"/>
    <w:rsid w:val="00EE48CC"/>
    <w:rsid w:val="00EE49C2"/>
    <w:rsid w:val="00EE4A09"/>
    <w:rsid w:val="00EE4A75"/>
    <w:rsid w:val="00EE4C39"/>
    <w:rsid w:val="00EE4DE4"/>
    <w:rsid w:val="00EE4E57"/>
    <w:rsid w:val="00EE520B"/>
    <w:rsid w:val="00EE5253"/>
    <w:rsid w:val="00EE526D"/>
    <w:rsid w:val="00EE52B7"/>
    <w:rsid w:val="00EE53F9"/>
    <w:rsid w:val="00EE54B9"/>
    <w:rsid w:val="00EE55A4"/>
    <w:rsid w:val="00EE5621"/>
    <w:rsid w:val="00EE56C8"/>
    <w:rsid w:val="00EE58C1"/>
    <w:rsid w:val="00EE5995"/>
    <w:rsid w:val="00EE5A49"/>
    <w:rsid w:val="00EE5BE3"/>
    <w:rsid w:val="00EE5E54"/>
    <w:rsid w:val="00EE5E89"/>
    <w:rsid w:val="00EE5EB3"/>
    <w:rsid w:val="00EE5EED"/>
    <w:rsid w:val="00EE5FBB"/>
    <w:rsid w:val="00EE5FC9"/>
    <w:rsid w:val="00EE6006"/>
    <w:rsid w:val="00EE610F"/>
    <w:rsid w:val="00EE630D"/>
    <w:rsid w:val="00EE632E"/>
    <w:rsid w:val="00EE647B"/>
    <w:rsid w:val="00EE6511"/>
    <w:rsid w:val="00EE6572"/>
    <w:rsid w:val="00EE6638"/>
    <w:rsid w:val="00EE66EB"/>
    <w:rsid w:val="00EE6994"/>
    <w:rsid w:val="00EE69FA"/>
    <w:rsid w:val="00EE6A08"/>
    <w:rsid w:val="00EE6D30"/>
    <w:rsid w:val="00EE6D43"/>
    <w:rsid w:val="00EE6D95"/>
    <w:rsid w:val="00EE7079"/>
    <w:rsid w:val="00EE70DE"/>
    <w:rsid w:val="00EE7243"/>
    <w:rsid w:val="00EE7255"/>
    <w:rsid w:val="00EE74A2"/>
    <w:rsid w:val="00EE757C"/>
    <w:rsid w:val="00EE7633"/>
    <w:rsid w:val="00EE76F0"/>
    <w:rsid w:val="00EE7770"/>
    <w:rsid w:val="00EE77A6"/>
    <w:rsid w:val="00EE77AF"/>
    <w:rsid w:val="00EE77DE"/>
    <w:rsid w:val="00EE7849"/>
    <w:rsid w:val="00EE7A69"/>
    <w:rsid w:val="00EE7ACC"/>
    <w:rsid w:val="00EE7B61"/>
    <w:rsid w:val="00EE7C97"/>
    <w:rsid w:val="00EE7EE1"/>
    <w:rsid w:val="00EE7F9F"/>
    <w:rsid w:val="00EE7FFA"/>
    <w:rsid w:val="00EF0003"/>
    <w:rsid w:val="00EF0036"/>
    <w:rsid w:val="00EF003F"/>
    <w:rsid w:val="00EF0194"/>
    <w:rsid w:val="00EF02B1"/>
    <w:rsid w:val="00EF02CE"/>
    <w:rsid w:val="00EF03AB"/>
    <w:rsid w:val="00EF04D2"/>
    <w:rsid w:val="00EF04F6"/>
    <w:rsid w:val="00EF053A"/>
    <w:rsid w:val="00EF0552"/>
    <w:rsid w:val="00EF05F8"/>
    <w:rsid w:val="00EF0750"/>
    <w:rsid w:val="00EF08C6"/>
    <w:rsid w:val="00EF0A05"/>
    <w:rsid w:val="00EF0ACF"/>
    <w:rsid w:val="00EF0C3B"/>
    <w:rsid w:val="00EF0C77"/>
    <w:rsid w:val="00EF0E1A"/>
    <w:rsid w:val="00EF0E59"/>
    <w:rsid w:val="00EF0EC2"/>
    <w:rsid w:val="00EF0ECC"/>
    <w:rsid w:val="00EF0F6B"/>
    <w:rsid w:val="00EF0F84"/>
    <w:rsid w:val="00EF1059"/>
    <w:rsid w:val="00EF1084"/>
    <w:rsid w:val="00EF117B"/>
    <w:rsid w:val="00EF134E"/>
    <w:rsid w:val="00EF1389"/>
    <w:rsid w:val="00EF15CA"/>
    <w:rsid w:val="00EF1603"/>
    <w:rsid w:val="00EF161D"/>
    <w:rsid w:val="00EF1693"/>
    <w:rsid w:val="00EF1755"/>
    <w:rsid w:val="00EF18E2"/>
    <w:rsid w:val="00EF198B"/>
    <w:rsid w:val="00EF19B5"/>
    <w:rsid w:val="00EF1A28"/>
    <w:rsid w:val="00EF1D4D"/>
    <w:rsid w:val="00EF1E2F"/>
    <w:rsid w:val="00EF1FB4"/>
    <w:rsid w:val="00EF2072"/>
    <w:rsid w:val="00EF2076"/>
    <w:rsid w:val="00EF20BC"/>
    <w:rsid w:val="00EF2167"/>
    <w:rsid w:val="00EF221C"/>
    <w:rsid w:val="00EF22B7"/>
    <w:rsid w:val="00EF237E"/>
    <w:rsid w:val="00EF24A8"/>
    <w:rsid w:val="00EF2563"/>
    <w:rsid w:val="00EF2568"/>
    <w:rsid w:val="00EF279C"/>
    <w:rsid w:val="00EF288A"/>
    <w:rsid w:val="00EF28B8"/>
    <w:rsid w:val="00EF28E9"/>
    <w:rsid w:val="00EF2966"/>
    <w:rsid w:val="00EF2DB3"/>
    <w:rsid w:val="00EF2DB7"/>
    <w:rsid w:val="00EF2F2E"/>
    <w:rsid w:val="00EF3105"/>
    <w:rsid w:val="00EF32C8"/>
    <w:rsid w:val="00EF330E"/>
    <w:rsid w:val="00EF3310"/>
    <w:rsid w:val="00EF339B"/>
    <w:rsid w:val="00EF3687"/>
    <w:rsid w:val="00EF368D"/>
    <w:rsid w:val="00EF37AB"/>
    <w:rsid w:val="00EF37B8"/>
    <w:rsid w:val="00EF3868"/>
    <w:rsid w:val="00EF3A86"/>
    <w:rsid w:val="00EF3C63"/>
    <w:rsid w:val="00EF3D12"/>
    <w:rsid w:val="00EF3E29"/>
    <w:rsid w:val="00EF3F07"/>
    <w:rsid w:val="00EF4044"/>
    <w:rsid w:val="00EF412E"/>
    <w:rsid w:val="00EF41DC"/>
    <w:rsid w:val="00EF424E"/>
    <w:rsid w:val="00EF439F"/>
    <w:rsid w:val="00EF43C3"/>
    <w:rsid w:val="00EF4401"/>
    <w:rsid w:val="00EF461D"/>
    <w:rsid w:val="00EF475C"/>
    <w:rsid w:val="00EF4780"/>
    <w:rsid w:val="00EF4850"/>
    <w:rsid w:val="00EF4912"/>
    <w:rsid w:val="00EF49BB"/>
    <w:rsid w:val="00EF49EE"/>
    <w:rsid w:val="00EF4AC0"/>
    <w:rsid w:val="00EF4B12"/>
    <w:rsid w:val="00EF4B88"/>
    <w:rsid w:val="00EF4CBD"/>
    <w:rsid w:val="00EF4CE1"/>
    <w:rsid w:val="00EF4D77"/>
    <w:rsid w:val="00EF4D91"/>
    <w:rsid w:val="00EF4E23"/>
    <w:rsid w:val="00EF4E74"/>
    <w:rsid w:val="00EF4F3F"/>
    <w:rsid w:val="00EF505B"/>
    <w:rsid w:val="00EF513D"/>
    <w:rsid w:val="00EF5309"/>
    <w:rsid w:val="00EF55F4"/>
    <w:rsid w:val="00EF56B0"/>
    <w:rsid w:val="00EF56B8"/>
    <w:rsid w:val="00EF56DE"/>
    <w:rsid w:val="00EF5726"/>
    <w:rsid w:val="00EF589E"/>
    <w:rsid w:val="00EF58D0"/>
    <w:rsid w:val="00EF58FD"/>
    <w:rsid w:val="00EF5A07"/>
    <w:rsid w:val="00EF5A9C"/>
    <w:rsid w:val="00EF5BF9"/>
    <w:rsid w:val="00EF5D81"/>
    <w:rsid w:val="00EF5FC2"/>
    <w:rsid w:val="00EF6015"/>
    <w:rsid w:val="00EF6251"/>
    <w:rsid w:val="00EF629F"/>
    <w:rsid w:val="00EF67BC"/>
    <w:rsid w:val="00EF695F"/>
    <w:rsid w:val="00EF697E"/>
    <w:rsid w:val="00EF6A43"/>
    <w:rsid w:val="00EF6C8B"/>
    <w:rsid w:val="00EF6DA3"/>
    <w:rsid w:val="00EF7141"/>
    <w:rsid w:val="00EF71AC"/>
    <w:rsid w:val="00EF726C"/>
    <w:rsid w:val="00EF72F8"/>
    <w:rsid w:val="00EF73CF"/>
    <w:rsid w:val="00EF73E9"/>
    <w:rsid w:val="00EF747C"/>
    <w:rsid w:val="00EF76A5"/>
    <w:rsid w:val="00EF7731"/>
    <w:rsid w:val="00EF7799"/>
    <w:rsid w:val="00EF7B7E"/>
    <w:rsid w:val="00EF7DDF"/>
    <w:rsid w:val="00EF7E71"/>
    <w:rsid w:val="00EF7E9B"/>
    <w:rsid w:val="00F000F0"/>
    <w:rsid w:val="00F0011B"/>
    <w:rsid w:val="00F001E2"/>
    <w:rsid w:val="00F001F5"/>
    <w:rsid w:val="00F002D3"/>
    <w:rsid w:val="00F002F1"/>
    <w:rsid w:val="00F004B4"/>
    <w:rsid w:val="00F0071A"/>
    <w:rsid w:val="00F0093A"/>
    <w:rsid w:val="00F00975"/>
    <w:rsid w:val="00F00A2C"/>
    <w:rsid w:val="00F00B25"/>
    <w:rsid w:val="00F00C82"/>
    <w:rsid w:val="00F00DC9"/>
    <w:rsid w:val="00F00E95"/>
    <w:rsid w:val="00F00F46"/>
    <w:rsid w:val="00F0107D"/>
    <w:rsid w:val="00F01155"/>
    <w:rsid w:val="00F0119D"/>
    <w:rsid w:val="00F01395"/>
    <w:rsid w:val="00F016AA"/>
    <w:rsid w:val="00F01783"/>
    <w:rsid w:val="00F0185B"/>
    <w:rsid w:val="00F018B6"/>
    <w:rsid w:val="00F018BF"/>
    <w:rsid w:val="00F018D9"/>
    <w:rsid w:val="00F019B0"/>
    <w:rsid w:val="00F01A64"/>
    <w:rsid w:val="00F01AFB"/>
    <w:rsid w:val="00F01B99"/>
    <w:rsid w:val="00F01BB7"/>
    <w:rsid w:val="00F01BDD"/>
    <w:rsid w:val="00F01C68"/>
    <w:rsid w:val="00F01D83"/>
    <w:rsid w:val="00F01E06"/>
    <w:rsid w:val="00F01E1A"/>
    <w:rsid w:val="00F01EFB"/>
    <w:rsid w:val="00F02303"/>
    <w:rsid w:val="00F0239C"/>
    <w:rsid w:val="00F02451"/>
    <w:rsid w:val="00F0253B"/>
    <w:rsid w:val="00F025CB"/>
    <w:rsid w:val="00F0267F"/>
    <w:rsid w:val="00F02771"/>
    <w:rsid w:val="00F028F5"/>
    <w:rsid w:val="00F029FB"/>
    <w:rsid w:val="00F02B6F"/>
    <w:rsid w:val="00F02C0E"/>
    <w:rsid w:val="00F02C33"/>
    <w:rsid w:val="00F02C34"/>
    <w:rsid w:val="00F02D06"/>
    <w:rsid w:val="00F02D63"/>
    <w:rsid w:val="00F02E91"/>
    <w:rsid w:val="00F02F16"/>
    <w:rsid w:val="00F02F68"/>
    <w:rsid w:val="00F03088"/>
    <w:rsid w:val="00F030AD"/>
    <w:rsid w:val="00F030C7"/>
    <w:rsid w:val="00F0310E"/>
    <w:rsid w:val="00F031C7"/>
    <w:rsid w:val="00F032CF"/>
    <w:rsid w:val="00F03344"/>
    <w:rsid w:val="00F0351C"/>
    <w:rsid w:val="00F03532"/>
    <w:rsid w:val="00F03550"/>
    <w:rsid w:val="00F035DA"/>
    <w:rsid w:val="00F036C7"/>
    <w:rsid w:val="00F037E7"/>
    <w:rsid w:val="00F03839"/>
    <w:rsid w:val="00F0386D"/>
    <w:rsid w:val="00F038BC"/>
    <w:rsid w:val="00F03952"/>
    <w:rsid w:val="00F03A30"/>
    <w:rsid w:val="00F03C4B"/>
    <w:rsid w:val="00F03CD6"/>
    <w:rsid w:val="00F03DDA"/>
    <w:rsid w:val="00F03DDC"/>
    <w:rsid w:val="00F03E33"/>
    <w:rsid w:val="00F03E67"/>
    <w:rsid w:val="00F03ED3"/>
    <w:rsid w:val="00F03ED9"/>
    <w:rsid w:val="00F03EF3"/>
    <w:rsid w:val="00F0401D"/>
    <w:rsid w:val="00F040CC"/>
    <w:rsid w:val="00F0416B"/>
    <w:rsid w:val="00F041B9"/>
    <w:rsid w:val="00F042C0"/>
    <w:rsid w:val="00F0457C"/>
    <w:rsid w:val="00F04661"/>
    <w:rsid w:val="00F046A9"/>
    <w:rsid w:val="00F047F4"/>
    <w:rsid w:val="00F04813"/>
    <w:rsid w:val="00F049A5"/>
    <w:rsid w:val="00F04A9A"/>
    <w:rsid w:val="00F04BFC"/>
    <w:rsid w:val="00F04C8B"/>
    <w:rsid w:val="00F04D61"/>
    <w:rsid w:val="00F04E0A"/>
    <w:rsid w:val="00F04E43"/>
    <w:rsid w:val="00F04FB8"/>
    <w:rsid w:val="00F05084"/>
    <w:rsid w:val="00F050D2"/>
    <w:rsid w:val="00F051C6"/>
    <w:rsid w:val="00F05382"/>
    <w:rsid w:val="00F05388"/>
    <w:rsid w:val="00F05445"/>
    <w:rsid w:val="00F0550E"/>
    <w:rsid w:val="00F05793"/>
    <w:rsid w:val="00F05980"/>
    <w:rsid w:val="00F05AB8"/>
    <w:rsid w:val="00F06016"/>
    <w:rsid w:val="00F061BF"/>
    <w:rsid w:val="00F0629D"/>
    <w:rsid w:val="00F0632E"/>
    <w:rsid w:val="00F06389"/>
    <w:rsid w:val="00F06401"/>
    <w:rsid w:val="00F06409"/>
    <w:rsid w:val="00F06462"/>
    <w:rsid w:val="00F064AF"/>
    <w:rsid w:val="00F065EE"/>
    <w:rsid w:val="00F06675"/>
    <w:rsid w:val="00F06838"/>
    <w:rsid w:val="00F068EC"/>
    <w:rsid w:val="00F0698E"/>
    <w:rsid w:val="00F069B8"/>
    <w:rsid w:val="00F06B0B"/>
    <w:rsid w:val="00F06B51"/>
    <w:rsid w:val="00F06B89"/>
    <w:rsid w:val="00F06BEF"/>
    <w:rsid w:val="00F06C34"/>
    <w:rsid w:val="00F06CFD"/>
    <w:rsid w:val="00F06DC6"/>
    <w:rsid w:val="00F06E6F"/>
    <w:rsid w:val="00F06F4E"/>
    <w:rsid w:val="00F071A5"/>
    <w:rsid w:val="00F072A7"/>
    <w:rsid w:val="00F073A6"/>
    <w:rsid w:val="00F073E7"/>
    <w:rsid w:val="00F07408"/>
    <w:rsid w:val="00F0742E"/>
    <w:rsid w:val="00F07462"/>
    <w:rsid w:val="00F076D0"/>
    <w:rsid w:val="00F077A8"/>
    <w:rsid w:val="00F07A2B"/>
    <w:rsid w:val="00F07C0D"/>
    <w:rsid w:val="00F07C46"/>
    <w:rsid w:val="00F07C96"/>
    <w:rsid w:val="00F07ED4"/>
    <w:rsid w:val="00F07F03"/>
    <w:rsid w:val="00F07F50"/>
    <w:rsid w:val="00F10107"/>
    <w:rsid w:val="00F103A8"/>
    <w:rsid w:val="00F103C4"/>
    <w:rsid w:val="00F1042E"/>
    <w:rsid w:val="00F1043C"/>
    <w:rsid w:val="00F10821"/>
    <w:rsid w:val="00F10829"/>
    <w:rsid w:val="00F10B75"/>
    <w:rsid w:val="00F10D51"/>
    <w:rsid w:val="00F10DD4"/>
    <w:rsid w:val="00F10EA1"/>
    <w:rsid w:val="00F10FE1"/>
    <w:rsid w:val="00F110FB"/>
    <w:rsid w:val="00F11135"/>
    <w:rsid w:val="00F11219"/>
    <w:rsid w:val="00F11442"/>
    <w:rsid w:val="00F114D4"/>
    <w:rsid w:val="00F1154B"/>
    <w:rsid w:val="00F115B7"/>
    <w:rsid w:val="00F115EC"/>
    <w:rsid w:val="00F11771"/>
    <w:rsid w:val="00F11884"/>
    <w:rsid w:val="00F11AE9"/>
    <w:rsid w:val="00F11BA7"/>
    <w:rsid w:val="00F11C6B"/>
    <w:rsid w:val="00F11CAE"/>
    <w:rsid w:val="00F11DB6"/>
    <w:rsid w:val="00F11F19"/>
    <w:rsid w:val="00F1200D"/>
    <w:rsid w:val="00F12074"/>
    <w:rsid w:val="00F122A2"/>
    <w:rsid w:val="00F122BD"/>
    <w:rsid w:val="00F1238F"/>
    <w:rsid w:val="00F1249B"/>
    <w:rsid w:val="00F1254B"/>
    <w:rsid w:val="00F12574"/>
    <w:rsid w:val="00F125CA"/>
    <w:rsid w:val="00F12669"/>
    <w:rsid w:val="00F126A9"/>
    <w:rsid w:val="00F12706"/>
    <w:rsid w:val="00F12962"/>
    <w:rsid w:val="00F1299D"/>
    <w:rsid w:val="00F12BDE"/>
    <w:rsid w:val="00F12C59"/>
    <w:rsid w:val="00F12E5F"/>
    <w:rsid w:val="00F130D7"/>
    <w:rsid w:val="00F13152"/>
    <w:rsid w:val="00F132F4"/>
    <w:rsid w:val="00F13472"/>
    <w:rsid w:val="00F134B9"/>
    <w:rsid w:val="00F134DD"/>
    <w:rsid w:val="00F135D0"/>
    <w:rsid w:val="00F13877"/>
    <w:rsid w:val="00F1392A"/>
    <w:rsid w:val="00F13978"/>
    <w:rsid w:val="00F13C51"/>
    <w:rsid w:val="00F13C7F"/>
    <w:rsid w:val="00F13C8F"/>
    <w:rsid w:val="00F13D28"/>
    <w:rsid w:val="00F13DDF"/>
    <w:rsid w:val="00F13E90"/>
    <w:rsid w:val="00F13FBF"/>
    <w:rsid w:val="00F14396"/>
    <w:rsid w:val="00F14497"/>
    <w:rsid w:val="00F144CB"/>
    <w:rsid w:val="00F145BB"/>
    <w:rsid w:val="00F14630"/>
    <w:rsid w:val="00F1464F"/>
    <w:rsid w:val="00F14650"/>
    <w:rsid w:val="00F147AD"/>
    <w:rsid w:val="00F14941"/>
    <w:rsid w:val="00F14A5F"/>
    <w:rsid w:val="00F14B33"/>
    <w:rsid w:val="00F14B8F"/>
    <w:rsid w:val="00F14D4A"/>
    <w:rsid w:val="00F14ED2"/>
    <w:rsid w:val="00F14FE0"/>
    <w:rsid w:val="00F1501C"/>
    <w:rsid w:val="00F150AF"/>
    <w:rsid w:val="00F1521F"/>
    <w:rsid w:val="00F15275"/>
    <w:rsid w:val="00F152FE"/>
    <w:rsid w:val="00F15492"/>
    <w:rsid w:val="00F154DE"/>
    <w:rsid w:val="00F15602"/>
    <w:rsid w:val="00F15810"/>
    <w:rsid w:val="00F1581E"/>
    <w:rsid w:val="00F15916"/>
    <w:rsid w:val="00F15A3D"/>
    <w:rsid w:val="00F15A3F"/>
    <w:rsid w:val="00F15A4D"/>
    <w:rsid w:val="00F15BF7"/>
    <w:rsid w:val="00F15C35"/>
    <w:rsid w:val="00F15C51"/>
    <w:rsid w:val="00F15C5D"/>
    <w:rsid w:val="00F15CA2"/>
    <w:rsid w:val="00F15D50"/>
    <w:rsid w:val="00F15E05"/>
    <w:rsid w:val="00F15E3D"/>
    <w:rsid w:val="00F1618F"/>
    <w:rsid w:val="00F1659D"/>
    <w:rsid w:val="00F1684A"/>
    <w:rsid w:val="00F1694A"/>
    <w:rsid w:val="00F1699E"/>
    <w:rsid w:val="00F169F5"/>
    <w:rsid w:val="00F16A0A"/>
    <w:rsid w:val="00F16A1B"/>
    <w:rsid w:val="00F16BD9"/>
    <w:rsid w:val="00F16D8E"/>
    <w:rsid w:val="00F17009"/>
    <w:rsid w:val="00F1700E"/>
    <w:rsid w:val="00F172D4"/>
    <w:rsid w:val="00F173DA"/>
    <w:rsid w:val="00F173DC"/>
    <w:rsid w:val="00F174B9"/>
    <w:rsid w:val="00F1760F"/>
    <w:rsid w:val="00F1774A"/>
    <w:rsid w:val="00F178DB"/>
    <w:rsid w:val="00F179B8"/>
    <w:rsid w:val="00F179C3"/>
    <w:rsid w:val="00F17A58"/>
    <w:rsid w:val="00F17A92"/>
    <w:rsid w:val="00F17A9D"/>
    <w:rsid w:val="00F17B8A"/>
    <w:rsid w:val="00F17BF3"/>
    <w:rsid w:val="00F17E17"/>
    <w:rsid w:val="00F17FEC"/>
    <w:rsid w:val="00F20041"/>
    <w:rsid w:val="00F20138"/>
    <w:rsid w:val="00F20550"/>
    <w:rsid w:val="00F205E8"/>
    <w:rsid w:val="00F2065C"/>
    <w:rsid w:val="00F20756"/>
    <w:rsid w:val="00F2076F"/>
    <w:rsid w:val="00F207D5"/>
    <w:rsid w:val="00F2091A"/>
    <w:rsid w:val="00F20931"/>
    <w:rsid w:val="00F20A58"/>
    <w:rsid w:val="00F20B8A"/>
    <w:rsid w:val="00F20BB4"/>
    <w:rsid w:val="00F20D51"/>
    <w:rsid w:val="00F20F12"/>
    <w:rsid w:val="00F21104"/>
    <w:rsid w:val="00F2117F"/>
    <w:rsid w:val="00F212CE"/>
    <w:rsid w:val="00F21308"/>
    <w:rsid w:val="00F21338"/>
    <w:rsid w:val="00F2147A"/>
    <w:rsid w:val="00F215D3"/>
    <w:rsid w:val="00F215DF"/>
    <w:rsid w:val="00F216E4"/>
    <w:rsid w:val="00F21753"/>
    <w:rsid w:val="00F217CA"/>
    <w:rsid w:val="00F21A68"/>
    <w:rsid w:val="00F21B37"/>
    <w:rsid w:val="00F21C5E"/>
    <w:rsid w:val="00F21C92"/>
    <w:rsid w:val="00F21CCE"/>
    <w:rsid w:val="00F21D07"/>
    <w:rsid w:val="00F21D09"/>
    <w:rsid w:val="00F21E2D"/>
    <w:rsid w:val="00F21EEB"/>
    <w:rsid w:val="00F22012"/>
    <w:rsid w:val="00F220A5"/>
    <w:rsid w:val="00F22191"/>
    <w:rsid w:val="00F2231A"/>
    <w:rsid w:val="00F223B3"/>
    <w:rsid w:val="00F223CC"/>
    <w:rsid w:val="00F223FB"/>
    <w:rsid w:val="00F22451"/>
    <w:rsid w:val="00F2248F"/>
    <w:rsid w:val="00F224C1"/>
    <w:rsid w:val="00F2254A"/>
    <w:rsid w:val="00F22551"/>
    <w:rsid w:val="00F2265F"/>
    <w:rsid w:val="00F22A45"/>
    <w:rsid w:val="00F22AA5"/>
    <w:rsid w:val="00F22B3C"/>
    <w:rsid w:val="00F22B54"/>
    <w:rsid w:val="00F22C5B"/>
    <w:rsid w:val="00F22C9D"/>
    <w:rsid w:val="00F22DEF"/>
    <w:rsid w:val="00F22EA0"/>
    <w:rsid w:val="00F22EA9"/>
    <w:rsid w:val="00F23021"/>
    <w:rsid w:val="00F2310D"/>
    <w:rsid w:val="00F232F9"/>
    <w:rsid w:val="00F234BC"/>
    <w:rsid w:val="00F236C3"/>
    <w:rsid w:val="00F2377A"/>
    <w:rsid w:val="00F237EF"/>
    <w:rsid w:val="00F23967"/>
    <w:rsid w:val="00F23978"/>
    <w:rsid w:val="00F23AA1"/>
    <w:rsid w:val="00F23B7B"/>
    <w:rsid w:val="00F23BAE"/>
    <w:rsid w:val="00F23BF8"/>
    <w:rsid w:val="00F23C70"/>
    <w:rsid w:val="00F23C80"/>
    <w:rsid w:val="00F23CB3"/>
    <w:rsid w:val="00F23CD8"/>
    <w:rsid w:val="00F23DC9"/>
    <w:rsid w:val="00F23E2E"/>
    <w:rsid w:val="00F23E54"/>
    <w:rsid w:val="00F23F38"/>
    <w:rsid w:val="00F24087"/>
    <w:rsid w:val="00F240F3"/>
    <w:rsid w:val="00F240FC"/>
    <w:rsid w:val="00F2419B"/>
    <w:rsid w:val="00F241EA"/>
    <w:rsid w:val="00F24215"/>
    <w:rsid w:val="00F2430D"/>
    <w:rsid w:val="00F2433E"/>
    <w:rsid w:val="00F24480"/>
    <w:rsid w:val="00F2464E"/>
    <w:rsid w:val="00F24687"/>
    <w:rsid w:val="00F246A0"/>
    <w:rsid w:val="00F249AB"/>
    <w:rsid w:val="00F24BD4"/>
    <w:rsid w:val="00F24C08"/>
    <w:rsid w:val="00F24C5D"/>
    <w:rsid w:val="00F24CF7"/>
    <w:rsid w:val="00F24FD3"/>
    <w:rsid w:val="00F2507D"/>
    <w:rsid w:val="00F2508E"/>
    <w:rsid w:val="00F250F4"/>
    <w:rsid w:val="00F25130"/>
    <w:rsid w:val="00F2533D"/>
    <w:rsid w:val="00F254C7"/>
    <w:rsid w:val="00F255A0"/>
    <w:rsid w:val="00F255D5"/>
    <w:rsid w:val="00F25641"/>
    <w:rsid w:val="00F2571A"/>
    <w:rsid w:val="00F258DF"/>
    <w:rsid w:val="00F25ABB"/>
    <w:rsid w:val="00F25C51"/>
    <w:rsid w:val="00F25D37"/>
    <w:rsid w:val="00F25D9C"/>
    <w:rsid w:val="00F25E54"/>
    <w:rsid w:val="00F26027"/>
    <w:rsid w:val="00F260DA"/>
    <w:rsid w:val="00F262E5"/>
    <w:rsid w:val="00F26356"/>
    <w:rsid w:val="00F26381"/>
    <w:rsid w:val="00F263C3"/>
    <w:rsid w:val="00F26456"/>
    <w:rsid w:val="00F26468"/>
    <w:rsid w:val="00F2651E"/>
    <w:rsid w:val="00F267E7"/>
    <w:rsid w:val="00F26835"/>
    <w:rsid w:val="00F26856"/>
    <w:rsid w:val="00F268C6"/>
    <w:rsid w:val="00F26BA9"/>
    <w:rsid w:val="00F26DF5"/>
    <w:rsid w:val="00F26E0A"/>
    <w:rsid w:val="00F26E1F"/>
    <w:rsid w:val="00F26E27"/>
    <w:rsid w:val="00F26E4C"/>
    <w:rsid w:val="00F270A2"/>
    <w:rsid w:val="00F27133"/>
    <w:rsid w:val="00F27145"/>
    <w:rsid w:val="00F2714A"/>
    <w:rsid w:val="00F271CF"/>
    <w:rsid w:val="00F27372"/>
    <w:rsid w:val="00F274B6"/>
    <w:rsid w:val="00F27580"/>
    <w:rsid w:val="00F27730"/>
    <w:rsid w:val="00F277D8"/>
    <w:rsid w:val="00F27C54"/>
    <w:rsid w:val="00F27CD2"/>
    <w:rsid w:val="00F27D00"/>
    <w:rsid w:val="00F27F7A"/>
    <w:rsid w:val="00F30058"/>
    <w:rsid w:val="00F30076"/>
    <w:rsid w:val="00F30166"/>
    <w:rsid w:val="00F3025E"/>
    <w:rsid w:val="00F302BD"/>
    <w:rsid w:val="00F30339"/>
    <w:rsid w:val="00F303A3"/>
    <w:rsid w:val="00F3062F"/>
    <w:rsid w:val="00F3067C"/>
    <w:rsid w:val="00F30809"/>
    <w:rsid w:val="00F30816"/>
    <w:rsid w:val="00F3086F"/>
    <w:rsid w:val="00F30893"/>
    <w:rsid w:val="00F30912"/>
    <w:rsid w:val="00F30920"/>
    <w:rsid w:val="00F3099A"/>
    <w:rsid w:val="00F30A85"/>
    <w:rsid w:val="00F30AB4"/>
    <w:rsid w:val="00F30B34"/>
    <w:rsid w:val="00F30BC8"/>
    <w:rsid w:val="00F30D66"/>
    <w:rsid w:val="00F3105C"/>
    <w:rsid w:val="00F312A3"/>
    <w:rsid w:val="00F312AB"/>
    <w:rsid w:val="00F312EE"/>
    <w:rsid w:val="00F31360"/>
    <w:rsid w:val="00F3138B"/>
    <w:rsid w:val="00F3143F"/>
    <w:rsid w:val="00F31617"/>
    <w:rsid w:val="00F31700"/>
    <w:rsid w:val="00F31710"/>
    <w:rsid w:val="00F31761"/>
    <w:rsid w:val="00F31855"/>
    <w:rsid w:val="00F31C16"/>
    <w:rsid w:val="00F31C1C"/>
    <w:rsid w:val="00F31C2E"/>
    <w:rsid w:val="00F31D73"/>
    <w:rsid w:val="00F31D90"/>
    <w:rsid w:val="00F31DD1"/>
    <w:rsid w:val="00F31F83"/>
    <w:rsid w:val="00F320D2"/>
    <w:rsid w:val="00F3224A"/>
    <w:rsid w:val="00F322B1"/>
    <w:rsid w:val="00F3262E"/>
    <w:rsid w:val="00F3271A"/>
    <w:rsid w:val="00F328DB"/>
    <w:rsid w:val="00F328FC"/>
    <w:rsid w:val="00F3293C"/>
    <w:rsid w:val="00F32961"/>
    <w:rsid w:val="00F32C91"/>
    <w:rsid w:val="00F32EC3"/>
    <w:rsid w:val="00F32EC6"/>
    <w:rsid w:val="00F32ED6"/>
    <w:rsid w:val="00F330E3"/>
    <w:rsid w:val="00F331F1"/>
    <w:rsid w:val="00F334D2"/>
    <w:rsid w:val="00F33562"/>
    <w:rsid w:val="00F33704"/>
    <w:rsid w:val="00F33713"/>
    <w:rsid w:val="00F33796"/>
    <w:rsid w:val="00F338E1"/>
    <w:rsid w:val="00F3391A"/>
    <w:rsid w:val="00F33E0C"/>
    <w:rsid w:val="00F33E10"/>
    <w:rsid w:val="00F340BC"/>
    <w:rsid w:val="00F340D5"/>
    <w:rsid w:val="00F34186"/>
    <w:rsid w:val="00F342FA"/>
    <w:rsid w:val="00F343A7"/>
    <w:rsid w:val="00F34433"/>
    <w:rsid w:val="00F346DA"/>
    <w:rsid w:val="00F3476B"/>
    <w:rsid w:val="00F34926"/>
    <w:rsid w:val="00F3499D"/>
    <w:rsid w:val="00F34A39"/>
    <w:rsid w:val="00F34A70"/>
    <w:rsid w:val="00F34B2E"/>
    <w:rsid w:val="00F34D48"/>
    <w:rsid w:val="00F34E26"/>
    <w:rsid w:val="00F34FFF"/>
    <w:rsid w:val="00F3536F"/>
    <w:rsid w:val="00F3537F"/>
    <w:rsid w:val="00F35565"/>
    <w:rsid w:val="00F3566E"/>
    <w:rsid w:val="00F35765"/>
    <w:rsid w:val="00F359AB"/>
    <w:rsid w:val="00F35A80"/>
    <w:rsid w:val="00F35B86"/>
    <w:rsid w:val="00F35C58"/>
    <w:rsid w:val="00F35D40"/>
    <w:rsid w:val="00F35F31"/>
    <w:rsid w:val="00F3603E"/>
    <w:rsid w:val="00F360E9"/>
    <w:rsid w:val="00F36116"/>
    <w:rsid w:val="00F3611E"/>
    <w:rsid w:val="00F361C5"/>
    <w:rsid w:val="00F36254"/>
    <w:rsid w:val="00F362BE"/>
    <w:rsid w:val="00F3640A"/>
    <w:rsid w:val="00F364BE"/>
    <w:rsid w:val="00F3655A"/>
    <w:rsid w:val="00F3668E"/>
    <w:rsid w:val="00F366BF"/>
    <w:rsid w:val="00F36AF9"/>
    <w:rsid w:val="00F36B54"/>
    <w:rsid w:val="00F36CC1"/>
    <w:rsid w:val="00F36CCC"/>
    <w:rsid w:val="00F36D18"/>
    <w:rsid w:val="00F36E87"/>
    <w:rsid w:val="00F36EA4"/>
    <w:rsid w:val="00F36F27"/>
    <w:rsid w:val="00F370BA"/>
    <w:rsid w:val="00F3728E"/>
    <w:rsid w:val="00F372D8"/>
    <w:rsid w:val="00F3734F"/>
    <w:rsid w:val="00F374C0"/>
    <w:rsid w:val="00F3763B"/>
    <w:rsid w:val="00F37750"/>
    <w:rsid w:val="00F37796"/>
    <w:rsid w:val="00F377AC"/>
    <w:rsid w:val="00F377C9"/>
    <w:rsid w:val="00F3789B"/>
    <w:rsid w:val="00F37921"/>
    <w:rsid w:val="00F37937"/>
    <w:rsid w:val="00F379B4"/>
    <w:rsid w:val="00F37A66"/>
    <w:rsid w:val="00F37EAD"/>
    <w:rsid w:val="00F40013"/>
    <w:rsid w:val="00F40027"/>
    <w:rsid w:val="00F4005F"/>
    <w:rsid w:val="00F404A3"/>
    <w:rsid w:val="00F40517"/>
    <w:rsid w:val="00F4057B"/>
    <w:rsid w:val="00F40619"/>
    <w:rsid w:val="00F40635"/>
    <w:rsid w:val="00F4067A"/>
    <w:rsid w:val="00F406A7"/>
    <w:rsid w:val="00F408AF"/>
    <w:rsid w:val="00F409C4"/>
    <w:rsid w:val="00F409DA"/>
    <w:rsid w:val="00F40A61"/>
    <w:rsid w:val="00F40AD7"/>
    <w:rsid w:val="00F40D1E"/>
    <w:rsid w:val="00F40EAE"/>
    <w:rsid w:val="00F40F53"/>
    <w:rsid w:val="00F40F96"/>
    <w:rsid w:val="00F40FEE"/>
    <w:rsid w:val="00F41028"/>
    <w:rsid w:val="00F410F2"/>
    <w:rsid w:val="00F41293"/>
    <w:rsid w:val="00F41371"/>
    <w:rsid w:val="00F41737"/>
    <w:rsid w:val="00F4179D"/>
    <w:rsid w:val="00F41894"/>
    <w:rsid w:val="00F418C1"/>
    <w:rsid w:val="00F418EC"/>
    <w:rsid w:val="00F418F3"/>
    <w:rsid w:val="00F41AC7"/>
    <w:rsid w:val="00F41ACD"/>
    <w:rsid w:val="00F41BC7"/>
    <w:rsid w:val="00F41C13"/>
    <w:rsid w:val="00F41C34"/>
    <w:rsid w:val="00F41CB2"/>
    <w:rsid w:val="00F41DE9"/>
    <w:rsid w:val="00F41DEA"/>
    <w:rsid w:val="00F41E94"/>
    <w:rsid w:val="00F41EDE"/>
    <w:rsid w:val="00F41FB6"/>
    <w:rsid w:val="00F42180"/>
    <w:rsid w:val="00F421AF"/>
    <w:rsid w:val="00F421B1"/>
    <w:rsid w:val="00F421F3"/>
    <w:rsid w:val="00F42214"/>
    <w:rsid w:val="00F42256"/>
    <w:rsid w:val="00F423BB"/>
    <w:rsid w:val="00F4251A"/>
    <w:rsid w:val="00F425CC"/>
    <w:rsid w:val="00F4297B"/>
    <w:rsid w:val="00F42AF3"/>
    <w:rsid w:val="00F42B54"/>
    <w:rsid w:val="00F42B62"/>
    <w:rsid w:val="00F42CD0"/>
    <w:rsid w:val="00F42F29"/>
    <w:rsid w:val="00F4304C"/>
    <w:rsid w:val="00F4309F"/>
    <w:rsid w:val="00F430FD"/>
    <w:rsid w:val="00F4311B"/>
    <w:rsid w:val="00F43491"/>
    <w:rsid w:val="00F43568"/>
    <w:rsid w:val="00F435D0"/>
    <w:rsid w:val="00F43839"/>
    <w:rsid w:val="00F4395E"/>
    <w:rsid w:val="00F43B08"/>
    <w:rsid w:val="00F43B88"/>
    <w:rsid w:val="00F43BCA"/>
    <w:rsid w:val="00F43C06"/>
    <w:rsid w:val="00F43C31"/>
    <w:rsid w:val="00F43C7C"/>
    <w:rsid w:val="00F43DD5"/>
    <w:rsid w:val="00F43FBE"/>
    <w:rsid w:val="00F43FE0"/>
    <w:rsid w:val="00F4418A"/>
    <w:rsid w:val="00F4421C"/>
    <w:rsid w:val="00F4435B"/>
    <w:rsid w:val="00F443A7"/>
    <w:rsid w:val="00F44474"/>
    <w:rsid w:val="00F4451E"/>
    <w:rsid w:val="00F44542"/>
    <w:rsid w:val="00F44635"/>
    <w:rsid w:val="00F44768"/>
    <w:rsid w:val="00F4481E"/>
    <w:rsid w:val="00F44978"/>
    <w:rsid w:val="00F44BA3"/>
    <w:rsid w:val="00F44C71"/>
    <w:rsid w:val="00F44D92"/>
    <w:rsid w:val="00F44E28"/>
    <w:rsid w:val="00F44EC0"/>
    <w:rsid w:val="00F44EE8"/>
    <w:rsid w:val="00F45186"/>
    <w:rsid w:val="00F451A1"/>
    <w:rsid w:val="00F452CB"/>
    <w:rsid w:val="00F4530E"/>
    <w:rsid w:val="00F4546E"/>
    <w:rsid w:val="00F45478"/>
    <w:rsid w:val="00F454A9"/>
    <w:rsid w:val="00F454B9"/>
    <w:rsid w:val="00F454E8"/>
    <w:rsid w:val="00F45598"/>
    <w:rsid w:val="00F457A4"/>
    <w:rsid w:val="00F45B34"/>
    <w:rsid w:val="00F45C86"/>
    <w:rsid w:val="00F45D6B"/>
    <w:rsid w:val="00F45EEB"/>
    <w:rsid w:val="00F46040"/>
    <w:rsid w:val="00F462B4"/>
    <w:rsid w:val="00F462DE"/>
    <w:rsid w:val="00F4633C"/>
    <w:rsid w:val="00F463D3"/>
    <w:rsid w:val="00F464A2"/>
    <w:rsid w:val="00F46567"/>
    <w:rsid w:val="00F46570"/>
    <w:rsid w:val="00F46B4C"/>
    <w:rsid w:val="00F46B6C"/>
    <w:rsid w:val="00F46DF1"/>
    <w:rsid w:val="00F46E17"/>
    <w:rsid w:val="00F46E88"/>
    <w:rsid w:val="00F46FF5"/>
    <w:rsid w:val="00F4714A"/>
    <w:rsid w:val="00F47362"/>
    <w:rsid w:val="00F4740E"/>
    <w:rsid w:val="00F474DB"/>
    <w:rsid w:val="00F47779"/>
    <w:rsid w:val="00F47835"/>
    <w:rsid w:val="00F478D6"/>
    <w:rsid w:val="00F478DD"/>
    <w:rsid w:val="00F47939"/>
    <w:rsid w:val="00F4798D"/>
    <w:rsid w:val="00F479A5"/>
    <w:rsid w:val="00F47A33"/>
    <w:rsid w:val="00F47A66"/>
    <w:rsid w:val="00F47A98"/>
    <w:rsid w:val="00F47AD9"/>
    <w:rsid w:val="00F47B89"/>
    <w:rsid w:val="00F47CB0"/>
    <w:rsid w:val="00F47E65"/>
    <w:rsid w:val="00F500FF"/>
    <w:rsid w:val="00F50280"/>
    <w:rsid w:val="00F50314"/>
    <w:rsid w:val="00F50344"/>
    <w:rsid w:val="00F50372"/>
    <w:rsid w:val="00F50399"/>
    <w:rsid w:val="00F50489"/>
    <w:rsid w:val="00F50490"/>
    <w:rsid w:val="00F50493"/>
    <w:rsid w:val="00F504E6"/>
    <w:rsid w:val="00F50544"/>
    <w:rsid w:val="00F505A3"/>
    <w:rsid w:val="00F50651"/>
    <w:rsid w:val="00F5067D"/>
    <w:rsid w:val="00F50775"/>
    <w:rsid w:val="00F507E8"/>
    <w:rsid w:val="00F5088D"/>
    <w:rsid w:val="00F50A37"/>
    <w:rsid w:val="00F50B8A"/>
    <w:rsid w:val="00F50BAA"/>
    <w:rsid w:val="00F50BBB"/>
    <w:rsid w:val="00F50C19"/>
    <w:rsid w:val="00F50CF7"/>
    <w:rsid w:val="00F50E99"/>
    <w:rsid w:val="00F50EE1"/>
    <w:rsid w:val="00F50F11"/>
    <w:rsid w:val="00F50F44"/>
    <w:rsid w:val="00F5107E"/>
    <w:rsid w:val="00F51093"/>
    <w:rsid w:val="00F512DC"/>
    <w:rsid w:val="00F515B4"/>
    <w:rsid w:val="00F51854"/>
    <w:rsid w:val="00F51AF7"/>
    <w:rsid w:val="00F51B63"/>
    <w:rsid w:val="00F51E30"/>
    <w:rsid w:val="00F51EB8"/>
    <w:rsid w:val="00F52123"/>
    <w:rsid w:val="00F521A4"/>
    <w:rsid w:val="00F5220A"/>
    <w:rsid w:val="00F5239A"/>
    <w:rsid w:val="00F523B2"/>
    <w:rsid w:val="00F525E6"/>
    <w:rsid w:val="00F5264C"/>
    <w:rsid w:val="00F52665"/>
    <w:rsid w:val="00F52695"/>
    <w:rsid w:val="00F527B9"/>
    <w:rsid w:val="00F52BCE"/>
    <w:rsid w:val="00F52C1D"/>
    <w:rsid w:val="00F52C21"/>
    <w:rsid w:val="00F52F4C"/>
    <w:rsid w:val="00F52F97"/>
    <w:rsid w:val="00F5303A"/>
    <w:rsid w:val="00F53062"/>
    <w:rsid w:val="00F53102"/>
    <w:rsid w:val="00F5313B"/>
    <w:rsid w:val="00F531FE"/>
    <w:rsid w:val="00F532EA"/>
    <w:rsid w:val="00F53306"/>
    <w:rsid w:val="00F5335E"/>
    <w:rsid w:val="00F53459"/>
    <w:rsid w:val="00F5362F"/>
    <w:rsid w:val="00F53676"/>
    <w:rsid w:val="00F536E2"/>
    <w:rsid w:val="00F5375F"/>
    <w:rsid w:val="00F53786"/>
    <w:rsid w:val="00F539EC"/>
    <w:rsid w:val="00F53A47"/>
    <w:rsid w:val="00F53B8A"/>
    <w:rsid w:val="00F53D2E"/>
    <w:rsid w:val="00F53DED"/>
    <w:rsid w:val="00F53E22"/>
    <w:rsid w:val="00F53F9D"/>
    <w:rsid w:val="00F54306"/>
    <w:rsid w:val="00F5434A"/>
    <w:rsid w:val="00F547E7"/>
    <w:rsid w:val="00F54924"/>
    <w:rsid w:val="00F549D3"/>
    <w:rsid w:val="00F549E4"/>
    <w:rsid w:val="00F54A54"/>
    <w:rsid w:val="00F54CEA"/>
    <w:rsid w:val="00F54CF3"/>
    <w:rsid w:val="00F54DB8"/>
    <w:rsid w:val="00F54DBF"/>
    <w:rsid w:val="00F54DDC"/>
    <w:rsid w:val="00F54F49"/>
    <w:rsid w:val="00F5526E"/>
    <w:rsid w:val="00F55383"/>
    <w:rsid w:val="00F55429"/>
    <w:rsid w:val="00F55538"/>
    <w:rsid w:val="00F555A4"/>
    <w:rsid w:val="00F555B2"/>
    <w:rsid w:val="00F559F4"/>
    <w:rsid w:val="00F559FD"/>
    <w:rsid w:val="00F55B8C"/>
    <w:rsid w:val="00F55EA6"/>
    <w:rsid w:val="00F55EBF"/>
    <w:rsid w:val="00F55EEF"/>
    <w:rsid w:val="00F56077"/>
    <w:rsid w:val="00F560F1"/>
    <w:rsid w:val="00F56220"/>
    <w:rsid w:val="00F56349"/>
    <w:rsid w:val="00F5646A"/>
    <w:rsid w:val="00F565D1"/>
    <w:rsid w:val="00F56608"/>
    <w:rsid w:val="00F56677"/>
    <w:rsid w:val="00F56732"/>
    <w:rsid w:val="00F56946"/>
    <w:rsid w:val="00F569C9"/>
    <w:rsid w:val="00F56A37"/>
    <w:rsid w:val="00F56AD8"/>
    <w:rsid w:val="00F56B21"/>
    <w:rsid w:val="00F56BC3"/>
    <w:rsid w:val="00F56DBB"/>
    <w:rsid w:val="00F56E2B"/>
    <w:rsid w:val="00F56F6D"/>
    <w:rsid w:val="00F572A5"/>
    <w:rsid w:val="00F57409"/>
    <w:rsid w:val="00F5765B"/>
    <w:rsid w:val="00F577F5"/>
    <w:rsid w:val="00F57B5E"/>
    <w:rsid w:val="00F57B88"/>
    <w:rsid w:val="00F57CBE"/>
    <w:rsid w:val="00F6009C"/>
    <w:rsid w:val="00F601CD"/>
    <w:rsid w:val="00F602D7"/>
    <w:rsid w:val="00F603E9"/>
    <w:rsid w:val="00F6045D"/>
    <w:rsid w:val="00F6047B"/>
    <w:rsid w:val="00F6050F"/>
    <w:rsid w:val="00F60665"/>
    <w:rsid w:val="00F607DD"/>
    <w:rsid w:val="00F607EE"/>
    <w:rsid w:val="00F609CB"/>
    <w:rsid w:val="00F60A52"/>
    <w:rsid w:val="00F60A68"/>
    <w:rsid w:val="00F60ACB"/>
    <w:rsid w:val="00F60AF2"/>
    <w:rsid w:val="00F60B83"/>
    <w:rsid w:val="00F60CEE"/>
    <w:rsid w:val="00F60CFB"/>
    <w:rsid w:val="00F60E1D"/>
    <w:rsid w:val="00F60E57"/>
    <w:rsid w:val="00F60FB1"/>
    <w:rsid w:val="00F610AD"/>
    <w:rsid w:val="00F6125C"/>
    <w:rsid w:val="00F61387"/>
    <w:rsid w:val="00F6165D"/>
    <w:rsid w:val="00F616E8"/>
    <w:rsid w:val="00F61750"/>
    <w:rsid w:val="00F6181A"/>
    <w:rsid w:val="00F61899"/>
    <w:rsid w:val="00F61A18"/>
    <w:rsid w:val="00F61A98"/>
    <w:rsid w:val="00F61B9F"/>
    <w:rsid w:val="00F61DAA"/>
    <w:rsid w:val="00F61EC0"/>
    <w:rsid w:val="00F61FF5"/>
    <w:rsid w:val="00F6207D"/>
    <w:rsid w:val="00F62125"/>
    <w:rsid w:val="00F6214E"/>
    <w:rsid w:val="00F62152"/>
    <w:rsid w:val="00F62171"/>
    <w:rsid w:val="00F622AF"/>
    <w:rsid w:val="00F62338"/>
    <w:rsid w:val="00F6238C"/>
    <w:rsid w:val="00F625A4"/>
    <w:rsid w:val="00F627E2"/>
    <w:rsid w:val="00F629B9"/>
    <w:rsid w:val="00F62B41"/>
    <w:rsid w:val="00F62D0A"/>
    <w:rsid w:val="00F62DC1"/>
    <w:rsid w:val="00F62EEF"/>
    <w:rsid w:val="00F62F57"/>
    <w:rsid w:val="00F62F59"/>
    <w:rsid w:val="00F63003"/>
    <w:rsid w:val="00F63028"/>
    <w:rsid w:val="00F63146"/>
    <w:rsid w:val="00F632F8"/>
    <w:rsid w:val="00F63336"/>
    <w:rsid w:val="00F63371"/>
    <w:rsid w:val="00F634B3"/>
    <w:rsid w:val="00F63517"/>
    <w:rsid w:val="00F6359E"/>
    <w:rsid w:val="00F6367D"/>
    <w:rsid w:val="00F6373C"/>
    <w:rsid w:val="00F6373D"/>
    <w:rsid w:val="00F638C2"/>
    <w:rsid w:val="00F6393B"/>
    <w:rsid w:val="00F63A6C"/>
    <w:rsid w:val="00F63B37"/>
    <w:rsid w:val="00F63B59"/>
    <w:rsid w:val="00F63B5C"/>
    <w:rsid w:val="00F63BC0"/>
    <w:rsid w:val="00F63BE2"/>
    <w:rsid w:val="00F63C34"/>
    <w:rsid w:val="00F63E85"/>
    <w:rsid w:val="00F63FF8"/>
    <w:rsid w:val="00F640AA"/>
    <w:rsid w:val="00F6410F"/>
    <w:rsid w:val="00F6415B"/>
    <w:rsid w:val="00F64251"/>
    <w:rsid w:val="00F644A7"/>
    <w:rsid w:val="00F64526"/>
    <w:rsid w:val="00F64571"/>
    <w:rsid w:val="00F64663"/>
    <w:rsid w:val="00F64782"/>
    <w:rsid w:val="00F647F0"/>
    <w:rsid w:val="00F6482E"/>
    <w:rsid w:val="00F64994"/>
    <w:rsid w:val="00F649A5"/>
    <w:rsid w:val="00F64AC5"/>
    <w:rsid w:val="00F64B1C"/>
    <w:rsid w:val="00F64B6A"/>
    <w:rsid w:val="00F64D14"/>
    <w:rsid w:val="00F64D5D"/>
    <w:rsid w:val="00F64EE9"/>
    <w:rsid w:val="00F64FF2"/>
    <w:rsid w:val="00F650A7"/>
    <w:rsid w:val="00F6516C"/>
    <w:rsid w:val="00F65362"/>
    <w:rsid w:val="00F65408"/>
    <w:rsid w:val="00F65496"/>
    <w:rsid w:val="00F655B9"/>
    <w:rsid w:val="00F65699"/>
    <w:rsid w:val="00F65756"/>
    <w:rsid w:val="00F6588E"/>
    <w:rsid w:val="00F6589E"/>
    <w:rsid w:val="00F65910"/>
    <w:rsid w:val="00F65B36"/>
    <w:rsid w:val="00F65DA7"/>
    <w:rsid w:val="00F66021"/>
    <w:rsid w:val="00F66081"/>
    <w:rsid w:val="00F662AD"/>
    <w:rsid w:val="00F66322"/>
    <w:rsid w:val="00F663C0"/>
    <w:rsid w:val="00F664E3"/>
    <w:rsid w:val="00F665EB"/>
    <w:rsid w:val="00F66A18"/>
    <w:rsid w:val="00F66AFB"/>
    <w:rsid w:val="00F66CC0"/>
    <w:rsid w:val="00F66D41"/>
    <w:rsid w:val="00F66D9C"/>
    <w:rsid w:val="00F67060"/>
    <w:rsid w:val="00F67135"/>
    <w:rsid w:val="00F67155"/>
    <w:rsid w:val="00F6733E"/>
    <w:rsid w:val="00F6747E"/>
    <w:rsid w:val="00F6761C"/>
    <w:rsid w:val="00F67749"/>
    <w:rsid w:val="00F67755"/>
    <w:rsid w:val="00F679F7"/>
    <w:rsid w:val="00F67AE5"/>
    <w:rsid w:val="00F67CD1"/>
    <w:rsid w:val="00F67ECC"/>
    <w:rsid w:val="00F7007D"/>
    <w:rsid w:val="00F700AB"/>
    <w:rsid w:val="00F7017D"/>
    <w:rsid w:val="00F702D4"/>
    <w:rsid w:val="00F70333"/>
    <w:rsid w:val="00F7039C"/>
    <w:rsid w:val="00F703B9"/>
    <w:rsid w:val="00F703D5"/>
    <w:rsid w:val="00F7042A"/>
    <w:rsid w:val="00F704B8"/>
    <w:rsid w:val="00F70564"/>
    <w:rsid w:val="00F70635"/>
    <w:rsid w:val="00F7074E"/>
    <w:rsid w:val="00F70788"/>
    <w:rsid w:val="00F708B1"/>
    <w:rsid w:val="00F708C2"/>
    <w:rsid w:val="00F7090E"/>
    <w:rsid w:val="00F70B6D"/>
    <w:rsid w:val="00F70CB2"/>
    <w:rsid w:val="00F70DE9"/>
    <w:rsid w:val="00F70ED5"/>
    <w:rsid w:val="00F70F39"/>
    <w:rsid w:val="00F71019"/>
    <w:rsid w:val="00F71051"/>
    <w:rsid w:val="00F710E9"/>
    <w:rsid w:val="00F71102"/>
    <w:rsid w:val="00F71358"/>
    <w:rsid w:val="00F71473"/>
    <w:rsid w:val="00F7161B"/>
    <w:rsid w:val="00F716A9"/>
    <w:rsid w:val="00F71708"/>
    <w:rsid w:val="00F717FD"/>
    <w:rsid w:val="00F71A92"/>
    <w:rsid w:val="00F71C3E"/>
    <w:rsid w:val="00F71C5F"/>
    <w:rsid w:val="00F71D11"/>
    <w:rsid w:val="00F71D56"/>
    <w:rsid w:val="00F71DA1"/>
    <w:rsid w:val="00F72206"/>
    <w:rsid w:val="00F7223B"/>
    <w:rsid w:val="00F72413"/>
    <w:rsid w:val="00F72465"/>
    <w:rsid w:val="00F725B1"/>
    <w:rsid w:val="00F726F6"/>
    <w:rsid w:val="00F728A3"/>
    <w:rsid w:val="00F728A7"/>
    <w:rsid w:val="00F72AF9"/>
    <w:rsid w:val="00F72C2C"/>
    <w:rsid w:val="00F72D51"/>
    <w:rsid w:val="00F72DA4"/>
    <w:rsid w:val="00F730FD"/>
    <w:rsid w:val="00F731BF"/>
    <w:rsid w:val="00F73696"/>
    <w:rsid w:val="00F73799"/>
    <w:rsid w:val="00F737E4"/>
    <w:rsid w:val="00F738A8"/>
    <w:rsid w:val="00F739E9"/>
    <w:rsid w:val="00F73A7F"/>
    <w:rsid w:val="00F73ABB"/>
    <w:rsid w:val="00F73AF4"/>
    <w:rsid w:val="00F73DA3"/>
    <w:rsid w:val="00F73DF6"/>
    <w:rsid w:val="00F73E5D"/>
    <w:rsid w:val="00F73EC9"/>
    <w:rsid w:val="00F73F01"/>
    <w:rsid w:val="00F73F3B"/>
    <w:rsid w:val="00F73F6F"/>
    <w:rsid w:val="00F74078"/>
    <w:rsid w:val="00F740B1"/>
    <w:rsid w:val="00F740BA"/>
    <w:rsid w:val="00F742CF"/>
    <w:rsid w:val="00F7431B"/>
    <w:rsid w:val="00F743BF"/>
    <w:rsid w:val="00F7452E"/>
    <w:rsid w:val="00F7452F"/>
    <w:rsid w:val="00F7463B"/>
    <w:rsid w:val="00F7465D"/>
    <w:rsid w:val="00F74689"/>
    <w:rsid w:val="00F747CA"/>
    <w:rsid w:val="00F74882"/>
    <w:rsid w:val="00F749F1"/>
    <w:rsid w:val="00F74AC0"/>
    <w:rsid w:val="00F74B01"/>
    <w:rsid w:val="00F74B32"/>
    <w:rsid w:val="00F74B96"/>
    <w:rsid w:val="00F7501E"/>
    <w:rsid w:val="00F75129"/>
    <w:rsid w:val="00F751AD"/>
    <w:rsid w:val="00F75423"/>
    <w:rsid w:val="00F75428"/>
    <w:rsid w:val="00F754A7"/>
    <w:rsid w:val="00F754A9"/>
    <w:rsid w:val="00F75542"/>
    <w:rsid w:val="00F75607"/>
    <w:rsid w:val="00F759F5"/>
    <w:rsid w:val="00F75C08"/>
    <w:rsid w:val="00F75E49"/>
    <w:rsid w:val="00F75EE8"/>
    <w:rsid w:val="00F76073"/>
    <w:rsid w:val="00F76094"/>
    <w:rsid w:val="00F760BC"/>
    <w:rsid w:val="00F76188"/>
    <w:rsid w:val="00F761D9"/>
    <w:rsid w:val="00F761E1"/>
    <w:rsid w:val="00F762B4"/>
    <w:rsid w:val="00F762B5"/>
    <w:rsid w:val="00F7636D"/>
    <w:rsid w:val="00F76459"/>
    <w:rsid w:val="00F7659B"/>
    <w:rsid w:val="00F76688"/>
    <w:rsid w:val="00F7680E"/>
    <w:rsid w:val="00F7697D"/>
    <w:rsid w:val="00F76A1C"/>
    <w:rsid w:val="00F76AEA"/>
    <w:rsid w:val="00F76C61"/>
    <w:rsid w:val="00F76C82"/>
    <w:rsid w:val="00F76DA7"/>
    <w:rsid w:val="00F76F2F"/>
    <w:rsid w:val="00F77015"/>
    <w:rsid w:val="00F77083"/>
    <w:rsid w:val="00F77232"/>
    <w:rsid w:val="00F7733A"/>
    <w:rsid w:val="00F77435"/>
    <w:rsid w:val="00F7787F"/>
    <w:rsid w:val="00F778F3"/>
    <w:rsid w:val="00F77900"/>
    <w:rsid w:val="00F77920"/>
    <w:rsid w:val="00F77960"/>
    <w:rsid w:val="00F77AC1"/>
    <w:rsid w:val="00F77AD9"/>
    <w:rsid w:val="00F77B28"/>
    <w:rsid w:val="00F77BC9"/>
    <w:rsid w:val="00F77CA7"/>
    <w:rsid w:val="00F77DBD"/>
    <w:rsid w:val="00F77F17"/>
    <w:rsid w:val="00F77FAF"/>
    <w:rsid w:val="00F80048"/>
    <w:rsid w:val="00F801C8"/>
    <w:rsid w:val="00F80237"/>
    <w:rsid w:val="00F80323"/>
    <w:rsid w:val="00F80404"/>
    <w:rsid w:val="00F804BE"/>
    <w:rsid w:val="00F804D1"/>
    <w:rsid w:val="00F807F9"/>
    <w:rsid w:val="00F80944"/>
    <w:rsid w:val="00F80A3C"/>
    <w:rsid w:val="00F80B6D"/>
    <w:rsid w:val="00F80C3A"/>
    <w:rsid w:val="00F80CDF"/>
    <w:rsid w:val="00F80DD2"/>
    <w:rsid w:val="00F80EBC"/>
    <w:rsid w:val="00F80F4B"/>
    <w:rsid w:val="00F810AB"/>
    <w:rsid w:val="00F810F6"/>
    <w:rsid w:val="00F81148"/>
    <w:rsid w:val="00F81163"/>
    <w:rsid w:val="00F811C7"/>
    <w:rsid w:val="00F8128C"/>
    <w:rsid w:val="00F8134A"/>
    <w:rsid w:val="00F813C4"/>
    <w:rsid w:val="00F813FE"/>
    <w:rsid w:val="00F814AA"/>
    <w:rsid w:val="00F815A8"/>
    <w:rsid w:val="00F815DA"/>
    <w:rsid w:val="00F815EC"/>
    <w:rsid w:val="00F8168D"/>
    <w:rsid w:val="00F816D5"/>
    <w:rsid w:val="00F8178B"/>
    <w:rsid w:val="00F8179F"/>
    <w:rsid w:val="00F817A7"/>
    <w:rsid w:val="00F81838"/>
    <w:rsid w:val="00F81910"/>
    <w:rsid w:val="00F81981"/>
    <w:rsid w:val="00F819AA"/>
    <w:rsid w:val="00F81C40"/>
    <w:rsid w:val="00F81C89"/>
    <w:rsid w:val="00F81CC7"/>
    <w:rsid w:val="00F81CC9"/>
    <w:rsid w:val="00F81CD2"/>
    <w:rsid w:val="00F81DA5"/>
    <w:rsid w:val="00F81DD4"/>
    <w:rsid w:val="00F81E35"/>
    <w:rsid w:val="00F81EAE"/>
    <w:rsid w:val="00F81F77"/>
    <w:rsid w:val="00F82037"/>
    <w:rsid w:val="00F8204A"/>
    <w:rsid w:val="00F82206"/>
    <w:rsid w:val="00F82353"/>
    <w:rsid w:val="00F823E4"/>
    <w:rsid w:val="00F82903"/>
    <w:rsid w:val="00F82B31"/>
    <w:rsid w:val="00F82FA1"/>
    <w:rsid w:val="00F82FEE"/>
    <w:rsid w:val="00F8306D"/>
    <w:rsid w:val="00F83159"/>
    <w:rsid w:val="00F83231"/>
    <w:rsid w:val="00F83311"/>
    <w:rsid w:val="00F8339D"/>
    <w:rsid w:val="00F833EC"/>
    <w:rsid w:val="00F83637"/>
    <w:rsid w:val="00F839FE"/>
    <w:rsid w:val="00F83AA0"/>
    <w:rsid w:val="00F83AF4"/>
    <w:rsid w:val="00F83BD7"/>
    <w:rsid w:val="00F83CD8"/>
    <w:rsid w:val="00F83CEE"/>
    <w:rsid w:val="00F83D0E"/>
    <w:rsid w:val="00F83D2C"/>
    <w:rsid w:val="00F83DF4"/>
    <w:rsid w:val="00F83E30"/>
    <w:rsid w:val="00F83E75"/>
    <w:rsid w:val="00F83F2B"/>
    <w:rsid w:val="00F84041"/>
    <w:rsid w:val="00F841D9"/>
    <w:rsid w:val="00F84452"/>
    <w:rsid w:val="00F84455"/>
    <w:rsid w:val="00F84461"/>
    <w:rsid w:val="00F8447A"/>
    <w:rsid w:val="00F844B3"/>
    <w:rsid w:val="00F844B5"/>
    <w:rsid w:val="00F84559"/>
    <w:rsid w:val="00F84837"/>
    <w:rsid w:val="00F849A3"/>
    <w:rsid w:val="00F84B16"/>
    <w:rsid w:val="00F84B78"/>
    <w:rsid w:val="00F84D2F"/>
    <w:rsid w:val="00F84E7D"/>
    <w:rsid w:val="00F84F25"/>
    <w:rsid w:val="00F84F3E"/>
    <w:rsid w:val="00F8504E"/>
    <w:rsid w:val="00F85074"/>
    <w:rsid w:val="00F850F1"/>
    <w:rsid w:val="00F85328"/>
    <w:rsid w:val="00F8541B"/>
    <w:rsid w:val="00F8552C"/>
    <w:rsid w:val="00F85540"/>
    <w:rsid w:val="00F855EE"/>
    <w:rsid w:val="00F85619"/>
    <w:rsid w:val="00F85666"/>
    <w:rsid w:val="00F856D5"/>
    <w:rsid w:val="00F85882"/>
    <w:rsid w:val="00F858F7"/>
    <w:rsid w:val="00F859C7"/>
    <w:rsid w:val="00F85A2B"/>
    <w:rsid w:val="00F85C0A"/>
    <w:rsid w:val="00F85C23"/>
    <w:rsid w:val="00F85C51"/>
    <w:rsid w:val="00F85D0F"/>
    <w:rsid w:val="00F85D52"/>
    <w:rsid w:val="00F85DDF"/>
    <w:rsid w:val="00F85E0B"/>
    <w:rsid w:val="00F85F7A"/>
    <w:rsid w:val="00F85FFA"/>
    <w:rsid w:val="00F860FD"/>
    <w:rsid w:val="00F86115"/>
    <w:rsid w:val="00F862FC"/>
    <w:rsid w:val="00F8637C"/>
    <w:rsid w:val="00F8637E"/>
    <w:rsid w:val="00F86483"/>
    <w:rsid w:val="00F864DC"/>
    <w:rsid w:val="00F86A9A"/>
    <w:rsid w:val="00F86B0A"/>
    <w:rsid w:val="00F86B46"/>
    <w:rsid w:val="00F86B81"/>
    <w:rsid w:val="00F86E00"/>
    <w:rsid w:val="00F86E65"/>
    <w:rsid w:val="00F86ED8"/>
    <w:rsid w:val="00F86EF4"/>
    <w:rsid w:val="00F86F07"/>
    <w:rsid w:val="00F86FE1"/>
    <w:rsid w:val="00F8714C"/>
    <w:rsid w:val="00F87238"/>
    <w:rsid w:val="00F872AA"/>
    <w:rsid w:val="00F87490"/>
    <w:rsid w:val="00F87594"/>
    <w:rsid w:val="00F875BE"/>
    <w:rsid w:val="00F875D4"/>
    <w:rsid w:val="00F87680"/>
    <w:rsid w:val="00F877F7"/>
    <w:rsid w:val="00F87938"/>
    <w:rsid w:val="00F87973"/>
    <w:rsid w:val="00F87AB5"/>
    <w:rsid w:val="00F87BAF"/>
    <w:rsid w:val="00F87D7B"/>
    <w:rsid w:val="00F87DA5"/>
    <w:rsid w:val="00F87FA9"/>
    <w:rsid w:val="00F87FCB"/>
    <w:rsid w:val="00F90140"/>
    <w:rsid w:val="00F90181"/>
    <w:rsid w:val="00F90511"/>
    <w:rsid w:val="00F90692"/>
    <w:rsid w:val="00F906FF"/>
    <w:rsid w:val="00F908D3"/>
    <w:rsid w:val="00F90914"/>
    <w:rsid w:val="00F90AC2"/>
    <w:rsid w:val="00F90B00"/>
    <w:rsid w:val="00F90BFC"/>
    <w:rsid w:val="00F90C2D"/>
    <w:rsid w:val="00F90C8A"/>
    <w:rsid w:val="00F90CCE"/>
    <w:rsid w:val="00F90D73"/>
    <w:rsid w:val="00F90DE8"/>
    <w:rsid w:val="00F90F82"/>
    <w:rsid w:val="00F91149"/>
    <w:rsid w:val="00F912C9"/>
    <w:rsid w:val="00F913C0"/>
    <w:rsid w:val="00F9142A"/>
    <w:rsid w:val="00F9149A"/>
    <w:rsid w:val="00F91655"/>
    <w:rsid w:val="00F91694"/>
    <w:rsid w:val="00F91840"/>
    <w:rsid w:val="00F918EA"/>
    <w:rsid w:val="00F919B6"/>
    <w:rsid w:val="00F91B55"/>
    <w:rsid w:val="00F91BB0"/>
    <w:rsid w:val="00F91C3F"/>
    <w:rsid w:val="00F91C4F"/>
    <w:rsid w:val="00F91D06"/>
    <w:rsid w:val="00F91D43"/>
    <w:rsid w:val="00F91D7F"/>
    <w:rsid w:val="00F91F8B"/>
    <w:rsid w:val="00F92092"/>
    <w:rsid w:val="00F922A6"/>
    <w:rsid w:val="00F92343"/>
    <w:rsid w:val="00F9242D"/>
    <w:rsid w:val="00F925B0"/>
    <w:rsid w:val="00F92652"/>
    <w:rsid w:val="00F927FA"/>
    <w:rsid w:val="00F928BF"/>
    <w:rsid w:val="00F92A5A"/>
    <w:rsid w:val="00F92ADA"/>
    <w:rsid w:val="00F92AF5"/>
    <w:rsid w:val="00F92D77"/>
    <w:rsid w:val="00F92D9C"/>
    <w:rsid w:val="00F92DBF"/>
    <w:rsid w:val="00F92DED"/>
    <w:rsid w:val="00F92F5C"/>
    <w:rsid w:val="00F92F6F"/>
    <w:rsid w:val="00F92FEE"/>
    <w:rsid w:val="00F93139"/>
    <w:rsid w:val="00F93192"/>
    <w:rsid w:val="00F932A4"/>
    <w:rsid w:val="00F9334C"/>
    <w:rsid w:val="00F93456"/>
    <w:rsid w:val="00F93643"/>
    <w:rsid w:val="00F936B9"/>
    <w:rsid w:val="00F93881"/>
    <w:rsid w:val="00F939F5"/>
    <w:rsid w:val="00F93A2D"/>
    <w:rsid w:val="00F93A3E"/>
    <w:rsid w:val="00F93A53"/>
    <w:rsid w:val="00F93AD4"/>
    <w:rsid w:val="00F93D32"/>
    <w:rsid w:val="00F93FA0"/>
    <w:rsid w:val="00F93FC0"/>
    <w:rsid w:val="00F94031"/>
    <w:rsid w:val="00F94250"/>
    <w:rsid w:val="00F94310"/>
    <w:rsid w:val="00F94493"/>
    <w:rsid w:val="00F944DD"/>
    <w:rsid w:val="00F94515"/>
    <w:rsid w:val="00F94546"/>
    <w:rsid w:val="00F945E2"/>
    <w:rsid w:val="00F94915"/>
    <w:rsid w:val="00F94940"/>
    <w:rsid w:val="00F94A77"/>
    <w:rsid w:val="00F94B1E"/>
    <w:rsid w:val="00F94B23"/>
    <w:rsid w:val="00F94C44"/>
    <w:rsid w:val="00F94C8B"/>
    <w:rsid w:val="00F94FAC"/>
    <w:rsid w:val="00F94FD7"/>
    <w:rsid w:val="00F95011"/>
    <w:rsid w:val="00F95019"/>
    <w:rsid w:val="00F9558C"/>
    <w:rsid w:val="00F9558D"/>
    <w:rsid w:val="00F955D3"/>
    <w:rsid w:val="00F95726"/>
    <w:rsid w:val="00F95759"/>
    <w:rsid w:val="00F9578E"/>
    <w:rsid w:val="00F95A0D"/>
    <w:rsid w:val="00F95A62"/>
    <w:rsid w:val="00F95ACE"/>
    <w:rsid w:val="00F95B42"/>
    <w:rsid w:val="00F95B44"/>
    <w:rsid w:val="00F95BC4"/>
    <w:rsid w:val="00F95F23"/>
    <w:rsid w:val="00F95FE9"/>
    <w:rsid w:val="00F960FE"/>
    <w:rsid w:val="00F96188"/>
    <w:rsid w:val="00F961C6"/>
    <w:rsid w:val="00F96245"/>
    <w:rsid w:val="00F962BC"/>
    <w:rsid w:val="00F9634E"/>
    <w:rsid w:val="00F96471"/>
    <w:rsid w:val="00F964A3"/>
    <w:rsid w:val="00F9658D"/>
    <w:rsid w:val="00F96596"/>
    <w:rsid w:val="00F966FA"/>
    <w:rsid w:val="00F967B1"/>
    <w:rsid w:val="00F96911"/>
    <w:rsid w:val="00F96923"/>
    <w:rsid w:val="00F9696D"/>
    <w:rsid w:val="00F969B7"/>
    <w:rsid w:val="00F96C7D"/>
    <w:rsid w:val="00F96CDB"/>
    <w:rsid w:val="00F96CE5"/>
    <w:rsid w:val="00F96DB9"/>
    <w:rsid w:val="00F96DE8"/>
    <w:rsid w:val="00F96EC2"/>
    <w:rsid w:val="00F96F34"/>
    <w:rsid w:val="00F96F59"/>
    <w:rsid w:val="00F96F6E"/>
    <w:rsid w:val="00F96FE4"/>
    <w:rsid w:val="00F97182"/>
    <w:rsid w:val="00F971D2"/>
    <w:rsid w:val="00F9749A"/>
    <w:rsid w:val="00F974B7"/>
    <w:rsid w:val="00F977DA"/>
    <w:rsid w:val="00F9781B"/>
    <w:rsid w:val="00F97894"/>
    <w:rsid w:val="00F979AA"/>
    <w:rsid w:val="00F97A9F"/>
    <w:rsid w:val="00F97B6B"/>
    <w:rsid w:val="00F97C1F"/>
    <w:rsid w:val="00F97C66"/>
    <w:rsid w:val="00F97D4A"/>
    <w:rsid w:val="00FA0044"/>
    <w:rsid w:val="00FA01A7"/>
    <w:rsid w:val="00FA01FD"/>
    <w:rsid w:val="00FA02C8"/>
    <w:rsid w:val="00FA02F1"/>
    <w:rsid w:val="00FA02FC"/>
    <w:rsid w:val="00FA0314"/>
    <w:rsid w:val="00FA0453"/>
    <w:rsid w:val="00FA0550"/>
    <w:rsid w:val="00FA058C"/>
    <w:rsid w:val="00FA080D"/>
    <w:rsid w:val="00FA086D"/>
    <w:rsid w:val="00FA09A8"/>
    <w:rsid w:val="00FA0A93"/>
    <w:rsid w:val="00FA0B2D"/>
    <w:rsid w:val="00FA0B9F"/>
    <w:rsid w:val="00FA0BF9"/>
    <w:rsid w:val="00FA0EFE"/>
    <w:rsid w:val="00FA1204"/>
    <w:rsid w:val="00FA121C"/>
    <w:rsid w:val="00FA12D1"/>
    <w:rsid w:val="00FA1308"/>
    <w:rsid w:val="00FA134C"/>
    <w:rsid w:val="00FA1627"/>
    <w:rsid w:val="00FA169D"/>
    <w:rsid w:val="00FA1829"/>
    <w:rsid w:val="00FA1A32"/>
    <w:rsid w:val="00FA1B23"/>
    <w:rsid w:val="00FA1BE5"/>
    <w:rsid w:val="00FA1C04"/>
    <w:rsid w:val="00FA1C3F"/>
    <w:rsid w:val="00FA1C74"/>
    <w:rsid w:val="00FA1E6D"/>
    <w:rsid w:val="00FA1EE5"/>
    <w:rsid w:val="00FA1F8E"/>
    <w:rsid w:val="00FA20B4"/>
    <w:rsid w:val="00FA20C5"/>
    <w:rsid w:val="00FA2111"/>
    <w:rsid w:val="00FA2126"/>
    <w:rsid w:val="00FA2147"/>
    <w:rsid w:val="00FA21C2"/>
    <w:rsid w:val="00FA21FC"/>
    <w:rsid w:val="00FA223A"/>
    <w:rsid w:val="00FA24A7"/>
    <w:rsid w:val="00FA2600"/>
    <w:rsid w:val="00FA2794"/>
    <w:rsid w:val="00FA28CA"/>
    <w:rsid w:val="00FA2A49"/>
    <w:rsid w:val="00FA2ADD"/>
    <w:rsid w:val="00FA2B4A"/>
    <w:rsid w:val="00FA2B77"/>
    <w:rsid w:val="00FA2C2A"/>
    <w:rsid w:val="00FA2C9F"/>
    <w:rsid w:val="00FA2CFB"/>
    <w:rsid w:val="00FA2D85"/>
    <w:rsid w:val="00FA2DFD"/>
    <w:rsid w:val="00FA2F04"/>
    <w:rsid w:val="00FA2FC7"/>
    <w:rsid w:val="00FA3281"/>
    <w:rsid w:val="00FA32E6"/>
    <w:rsid w:val="00FA355A"/>
    <w:rsid w:val="00FA3622"/>
    <w:rsid w:val="00FA3798"/>
    <w:rsid w:val="00FA39A1"/>
    <w:rsid w:val="00FA39D1"/>
    <w:rsid w:val="00FA3A7D"/>
    <w:rsid w:val="00FA3B1A"/>
    <w:rsid w:val="00FA3B8D"/>
    <w:rsid w:val="00FA3C2D"/>
    <w:rsid w:val="00FA3C4B"/>
    <w:rsid w:val="00FA3DBD"/>
    <w:rsid w:val="00FA3DF9"/>
    <w:rsid w:val="00FA41B1"/>
    <w:rsid w:val="00FA4220"/>
    <w:rsid w:val="00FA427C"/>
    <w:rsid w:val="00FA430C"/>
    <w:rsid w:val="00FA43AE"/>
    <w:rsid w:val="00FA4402"/>
    <w:rsid w:val="00FA4516"/>
    <w:rsid w:val="00FA45F5"/>
    <w:rsid w:val="00FA468A"/>
    <w:rsid w:val="00FA4A80"/>
    <w:rsid w:val="00FA4B75"/>
    <w:rsid w:val="00FA4CD4"/>
    <w:rsid w:val="00FA4DF6"/>
    <w:rsid w:val="00FA4E7B"/>
    <w:rsid w:val="00FA4EC3"/>
    <w:rsid w:val="00FA53DC"/>
    <w:rsid w:val="00FA54A9"/>
    <w:rsid w:val="00FA57B3"/>
    <w:rsid w:val="00FA57B9"/>
    <w:rsid w:val="00FA58BC"/>
    <w:rsid w:val="00FA5AB6"/>
    <w:rsid w:val="00FA5B53"/>
    <w:rsid w:val="00FA5B94"/>
    <w:rsid w:val="00FA5BA4"/>
    <w:rsid w:val="00FA5CA1"/>
    <w:rsid w:val="00FA5DBA"/>
    <w:rsid w:val="00FA5E04"/>
    <w:rsid w:val="00FA5F27"/>
    <w:rsid w:val="00FA5FBB"/>
    <w:rsid w:val="00FA62B9"/>
    <w:rsid w:val="00FA6465"/>
    <w:rsid w:val="00FA6505"/>
    <w:rsid w:val="00FA65CD"/>
    <w:rsid w:val="00FA65E2"/>
    <w:rsid w:val="00FA67DA"/>
    <w:rsid w:val="00FA6912"/>
    <w:rsid w:val="00FA695B"/>
    <w:rsid w:val="00FA6962"/>
    <w:rsid w:val="00FA6971"/>
    <w:rsid w:val="00FA6A85"/>
    <w:rsid w:val="00FA6AEB"/>
    <w:rsid w:val="00FA6B0F"/>
    <w:rsid w:val="00FA6C34"/>
    <w:rsid w:val="00FA6C39"/>
    <w:rsid w:val="00FA6C3C"/>
    <w:rsid w:val="00FA6D5D"/>
    <w:rsid w:val="00FA6E82"/>
    <w:rsid w:val="00FA6ED2"/>
    <w:rsid w:val="00FA6F47"/>
    <w:rsid w:val="00FA6FB1"/>
    <w:rsid w:val="00FA7125"/>
    <w:rsid w:val="00FA7249"/>
    <w:rsid w:val="00FA724F"/>
    <w:rsid w:val="00FA72C6"/>
    <w:rsid w:val="00FA731C"/>
    <w:rsid w:val="00FA7469"/>
    <w:rsid w:val="00FA74E5"/>
    <w:rsid w:val="00FA7641"/>
    <w:rsid w:val="00FA76A1"/>
    <w:rsid w:val="00FA770A"/>
    <w:rsid w:val="00FA78B4"/>
    <w:rsid w:val="00FA7918"/>
    <w:rsid w:val="00FA79AD"/>
    <w:rsid w:val="00FA79F4"/>
    <w:rsid w:val="00FA7A88"/>
    <w:rsid w:val="00FA7B33"/>
    <w:rsid w:val="00FA7F8D"/>
    <w:rsid w:val="00FA7FAC"/>
    <w:rsid w:val="00FB004B"/>
    <w:rsid w:val="00FB0418"/>
    <w:rsid w:val="00FB05C6"/>
    <w:rsid w:val="00FB074F"/>
    <w:rsid w:val="00FB083D"/>
    <w:rsid w:val="00FB08A5"/>
    <w:rsid w:val="00FB08D9"/>
    <w:rsid w:val="00FB09EE"/>
    <w:rsid w:val="00FB0B6C"/>
    <w:rsid w:val="00FB0CE4"/>
    <w:rsid w:val="00FB0D00"/>
    <w:rsid w:val="00FB0D4E"/>
    <w:rsid w:val="00FB0D89"/>
    <w:rsid w:val="00FB0D8D"/>
    <w:rsid w:val="00FB0E04"/>
    <w:rsid w:val="00FB0E4B"/>
    <w:rsid w:val="00FB0E9D"/>
    <w:rsid w:val="00FB1293"/>
    <w:rsid w:val="00FB1383"/>
    <w:rsid w:val="00FB1459"/>
    <w:rsid w:val="00FB148D"/>
    <w:rsid w:val="00FB14A0"/>
    <w:rsid w:val="00FB14E4"/>
    <w:rsid w:val="00FB15FC"/>
    <w:rsid w:val="00FB160D"/>
    <w:rsid w:val="00FB1673"/>
    <w:rsid w:val="00FB16A4"/>
    <w:rsid w:val="00FB18CD"/>
    <w:rsid w:val="00FB1954"/>
    <w:rsid w:val="00FB195F"/>
    <w:rsid w:val="00FB1A2A"/>
    <w:rsid w:val="00FB1A54"/>
    <w:rsid w:val="00FB1A92"/>
    <w:rsid w:val="00FB1DA4"/>
    <w:rsid w:val="00FB1EE8"/>
    <w:rsid w:val="00FB1F6B"/>
    <w:rsid w:val="00FB203E"/>
    <w:rsid w:val="00FB20C9"/>
    <w:rsid w:val="00FB2175"/>
    <w:rsid w:val="00FB2290"/>
    <w:rsid w:val="00FB2355"/>
    <w:rsid w:val="00FB24E4"/>
    <w:rsid w:val="00FB25A0"/>
    <w:rsid w:val="00FB25F9"/>
    <w:rsid w:val="00FB2642"/>
    <w:rsid w:val="00FB275B"/>
    <w:rsid w:val="00FB288A"/>
    <w:rsid w:val="00FB2914"/>
    <w:rsid w:val="00FB298F"/>
    <w:rsid w:val="00FB2ADB"/>
    <w:rsid w:val="00FB2D80"/>
    <w:rsid w:val="00FB2DE2"/>
    <w:rsid w:val="00FB2E11"/>
    <w:rsid w:val="00FB2ED3"/>
    <w:rsid w:val="00FB2FF2"/>
    <w:rsid w:val="00FB3056"/>
    <w:rsid w:val="00FB3072"/>
    <w:rsid w:val="00FB30F3"/>
    <w:rsid w:val="00FB319F"/>
    <w:rsid w:val="00FB31D3"/>
    <w:rsid w:val="00FB3391"/>
    <w:rsid w:val="00FB33EA"/>
    <w:rsid w:val="00FB3488"/>
    <w:rsid w:val="00FB351F"/>
    <w:rsid w:val="00FB352D"/>
    <w:rsid w:val="00FB3691"/>
    <w:rsid w:val="00FB3697"/>
    <w:rsid w:val="00FB37F0"/>
    <w:rsid w:val="00FB3891"/>
    <w:rsid w:val="00FB389E"/>
    <w:rsid w:val="00FB38B7"/>
    <w:rsid w:val="00FB3972"/>
    <w:rsid w:val="00FB39FB"/>
    <w:rsid w:val="00FB3A18"/>
    <w:rsid w:val="00FB3AC7"/>
    <w:rsid w:val="00FB3B7D"/>
    <w:rsid w:val="00FB3CC6"/>
    <w:rsid w:val="00FB3CCF"/>
    <w:rsid w:val="00FB3CEF"/>
    <w:rsid w:val="00FB3D11"/>
    <w:rsid w:val="00FB3D46"/>
    <w:rsid w:val="00FB411E"/>
    <w:rsid w:val="00FB4264"/>
    <w:rsid w:val="00FB4369"/>
    <w:rsid w:val="00FB447B"/>
    <w:rsid w:val="00FB453B"/>
    <w:rsid w:val="00FB4548"/>
    <w:rsid w:val="00FB4555"/>
    <w:rsid w:val="00FB4586"/>
    <w:rsid w:val="00FB462F"/>
    <w:rsid w:val="00FB47C8"/>
    <w:rsid w:val="00FB489C"/>
    <w:rsid w:val="00FB48EE"/>
    <w:rsid w:val="00FB4918"/>
    <w:rsid w:val="00FB4933"/>
    <w:rsid w:val="00FB4B07"/>
    <w:rsid w:val="00FB4CCA"/>
    <w:rsid w:val="00FB4E49"/>
    <w:rsid w:val="00FB4E7F"/>
    <w:rsid w:val="00FB505B"/>
    <w:rsid w:val="00FB533A"/>
    <w:rsid w:val="00FB5389"/>
    <w:rsid w:val="00FB5572"/>
    <w:rsid w:val="00FB561F"/>
    <w:rsid w:val="00FB57DA"/>
    <w:rsid w:val="00FB57EC"/>
    <w:rsid w:val="00FB5802"/>
    <w:rsid w:val="00FB58A1"/>
    <w:rsid w:val="00FB5995"/>
    <w:rsid w:val="00FB5A73"/>
    <w:rsid w:val="00FB5B3C"/>
    <w:rsid w:val="00FB5B87"/>
    <w:rsid w:val="00FB5CC1"/>
    <w:rsid w:val="00FB5D39"/>
    <w:rsid w:val="00FB5F1E"/>
    <w:rsid w:val="00FB5F6E"/>
    <w:rsid w:val="00FB5F80"/>
    <w:rsid w:val="00FB6291"/>
    <w:rsid w:val="00FB62D6"/>
    <w:rsid w:val="00FB652D"/>
    <w:rsid w:val="00FB66B4"/>
    <w:rsid w:val="00FB681E"/>
    <w:rsid w:val="00FB69C0"/>
    <w:rsid w:val="00FB6A0D"/>
    <w:rsid w:val="00FB6A21"/>
    <w:rsid w:val="00FB6A2D"/>
    <w:rsid w:val="00FB6D95"/>
    <w:rsid w:val="00FB6DE3"/>
    <w:rsid w:val="00FB6E5B"/>
    <w:rsid w:val="00FB6F1F"/>
    <w:rsid w:val="00FB70B2"/>
    <w:rsid w:val="00FB71D4"/>
    <w:rsid w:val="00FB7250"/>
    <w:rsid w:val="00FB72B5"/>
    <w:rsid w:val="00FB7591"/>
    <w:rsid w:val="00FB7623"/>
    <w:rsid w:val="00FB7841"/>
    <w:rsid w:val="00FB7844"/>
    <w:rsid w:val="00FB78C5"/>
    <w:rsid w:val="00FB7A78"/>
    <w:rsid w:val="00FB7ADF"/>
    <w:rsid w:val="00FB7CD0"/>
    <w:rsid w:val="00FB7CEA"/>
    <w:rsid w:val="00FB7D70"/>
    <w:rsid w:val="00FB7D88"/>
    <w:rsid w:val="00FB7DC1"/>
    <w:rsid w:val="00FB7E2E"/>
    <w:rsid w:val="00FB7F43"/>
    <w:rsid w:val="00FC0390"/>
    <w:rsid w:val="00FC04B9"/>
    <w:rsid w:val="00FC04C6"/>
    <w:rsid w:val="00FC07B3"/>
    <w:rsid w:val="00FC07F4"/>
    <w:rsid w:val="00FC07F5"/>
    <w:rsid w:val="00FC08D7"/>
    <w:rsid w:val="00FC08EE"/>
    <w:rsid w:val="00FC09B8"/>
    <w:rsid w:val="00FC0D65"/>
    <w:rsid w:val="00FC0DD3"/>
    <w:rsid w:val="00FC0EE5"/>
    <w:rsid w:val="00FC0FC2"/>
    <w:rsid w:val="00FC0FD8"/>
    <w:rsid w:val="00FC1043"/>
    <w:rsid w:val="00FC1159"/>
    <w:rsid w:val="00FC1297"/>
    <w:rsid w:val="00FC1360"/>
    <w:rsid w:val="00FC1439"/>
    <w:rsid w:val="00FC1516"/>
    <w:rsid w:val="00FC1563"/>
    <w:rsid w:val="00FC17EA"/>
    <w:rsid w:val="00FC195C"/>
    <w:rsid w:val="00FC19B0"/>
    <w:rsid w:val="00FC1C25"/>
    <w:rsid w:val="00FC1C41"/>
    <w:rsid w:val="00FC1EA7"/>
    <w:rsid w:val="00FC1EB7"/>
    <w:rsid w:val="00FC2198"/>
    <w:rsid w:val="00FC22F5"/>
    <w:rsid w:val="00FC25BC"/>
    <w:rsid w:val="00FC269F"/>
    <w:rsid w:val="00FC2790"/>
    <w:rsid w:val="00FC285F"/>
    <w:rsid w:val="00FC2911"/>
    <w:rsid w:val="00FC2AD9"/>
    <w:rsid w:val="00FC2C96"/>
    <w:rsid w:val="00FC2CD3"/>
    <w:rsid w:val="00FC2D7B"/>
    <w:rsid w:val="00FC2D9A"/>
    <w:rsid w:val="00FC2D9C"/>
    <w:rsid w:val="00FC2E77"/>
    <w:rsid w:val="00FC2ECE"/>
    <w:rsid w:val="00FC3068"/>
    <w:rsid w:val="00FC3160"/>
    <w:rsid w:val="00FC320E"/>
    <w:rsid w:val="00FC3230"/>
    <w:rsid w:val="00FC3396"/>
    <w:rsid w:val="00FC3453"/>
    <w:rsid w:val="00FC346A"/>
    <w:rsid w:val="00FC3605"/>
    <w:rsid w:val="00FC362F"/>
    <w:rsid w:val="00FC380C"/>
    <w:rsid w:val="00FC38F8"/>
    <w:rsid w:val="00FC396C"/>
    <w:rsid w:val="00FC3AA7"/>
    <w:rsid w:val="00FC3B78"/>
    <w:rsid w:val="00FC3E3E"/>
    <w:rsid w:val="00FC3F0C"/>
    <w:rsid w:val="00FC400C"/>
    <w:rsid w:val="00FC402D"/>
    <w:rsid w:val="00FC4080"/>
    <w:rsid w:val="00FC4184"/>
    <w:rsid w:val="00FC42C5"/>
    <w:rsid w:val="00FC42F3"/>
    <w:rsid w:val="00FC433C"/>
    <w:rsid w:val="00FC440F"/>
    <w:rsid w:val="00FC449D"/>
    <w:rsid w:val="00FC44B7"/>
    <w:rsid w:val="00FC461F"/>
    <w:rsid w:val="00FC473C"/>
    <w:rsid w:val="00FC4789"/>
    <w:rsid w:val="00FC4866"/>
    <w:rsid w:val="00FC4A9F"/>
    <w:rsid w:val="00FC4ACC"/>
    <w:rsid w:val="00FC4ADC"/>
    <w:rsid w:val="00FC4CDC"/>
    <w:rsid w:val="00FC4DB5"/>
    <w:rsid w:val="00FC4F05"/>
    <w:rsid w:val="00FC4F13"/>
    <w:rsid w:val="00FC4F39"/>
    <w:rsid w:val="00FC513E"/>
    <w:rsid w:val="00FC515D"/>
    <w:rsid w:val="00FC51F1"/>
    <w:rsid w:val="00FC53D6"/>
    <w:rsid w:val="00FC5479"/>
    <w:rsid w:val="00FC551A"/>
    <w:rsid w:val="00FC55B2"/>
    <w:rsid w:val="00FC57C1"/>
    <w:rsid w:val="00FC5909"/>
    <w:rsid w:val="00FC597F"/>
    <w:rsid w:val="00FC59FB"/>
    <w:rsid w:val="00FC5B8B"/>
    <w:rsid w:val="00FC5BC3"/>
    <w:rsid w:val="00FC5CE8"/>
    <w:rsid w:val="00FC5CF8"/>
    <w:rsid w:val="00FC5D91"/>
    <w:rsid w:val="00FC5E11"/>
    <w:rsid w:val="00FC5EEF"/>
    <w:rsid w:val="00FC61D1"/>
    <w:rsid w:val="00FC61D2"/>
    <w:rsid w:val="00FC631C"/>
    <w:rsid w:val="00FC63CF"/>
    <w:rsid w:val="00FC64E4"/>
    <w:rsid w:val="00FC6662"/>
    <w:rsid w:val="00FC66A8"/>
    <w:rsid w:val="00FC67D4"/>
    <w:rsid w:val="00FC682B"/>
    <w:rsid w:val="00FC6857"/>
    <w:rsid w:val="00FC68E7"/>
    <w:rsid w:val="00FC697D"/>
    <w:rsid w:val="00FC6A31"/>
    <w:rsid w:val="00FC6BAD"/>
    <w:rsid w:val="00FC6D4A"/>
    <w:rsid w:val="00FC6DF8"/>
    <w:rsid w:val="00FC6E71"/>
    <w:rsid w:val="00FC6F67"/>
    <w:rsid w:val="00FC7088"/>
    <w:rsid w:val="00FC71D3"/>
    <w:rsid w:val="00FC7281"/>
    <w:rsid w:val="00FC72F8"/>
    <w:rsid w:val="00FC762B"/>
    <w:rsid w:val="00FC76EA"/>
    <w:rsid w:val="00FC784D"/>
    <w:rsid w:val="00FC793D"/>
    <w:rsid w:val="00FC799A"/>
    <w:rsid w:val="00FC7A03"/>
    <w:rsid w:val="00FC7A40"/>
    <w:rsid w:val="00FC7B3F"/>
    <w:rsid w:val="00FC7BC0"/>
    <w:rsid w:val="00FC7CE8"/>
    <w:rsid w:val="00FC7E1D"/>
    <w:rsid w:val="00FC7E52"/>
    <w:rsid w:val="00FD0029"/>
    <w:rsid w:val="00FD0055"/>
    <w:rsid w:val="00FD0081"/>
    <w:rsid w:val="00FD00EB"/>
    <w:rsid w:val="00FD0122"/>
    <w:rsid w:val="00FD01B0"/>
    <w:rsid w:val="00FD0286"/>
    <w:rsid w:val="00FD029A"/>
    <w:rsid w:val="00FD02DD"/>
    <w:rsid w:val="00FD02EC"/>
    <w:rsid w:val="00FD0354"/>
    <w:rsid w:val="00FD0399"/>
    <w:rsid w:val="00FD0417"/>
    <w:rsid w:val="00FD0460"/>
    <w:rsid w:val="00FD050D"/>
    <w:rsid w:val="00FD0548"/>
    <w:rsid w:val="00FD05B5"/>
    <w:rsid w:val="00FD05C9"/>
    <w:rsid w:val="00FD05DB"/>
    <w:rsid w:val="00FD0630"/>
    <w:rsid w:val="00FD064E"/>
    <w:rsid w:val="00FD077D"/>
    <w:rsid w:val="00FD07D3"/>
    <w:rsid w:val="00FD0901"/>
    <w:rsid w:val="00FD0982"/>
    <w:rsid w:val="00FD09FE"/>
    <w:rsid w:val="00FD0BC0"/>
    <w:rsid w:val="00FD0C9F"/>
    <w:rsid w:val="00FD0CE4"/>
    <w:rsid w:val="00FD0CFC"/>
    <w:rsid w:val="00FD0D8B"/>
    <w:rsid w:val="00FD0E5F"/>
    <w:rsid w:val="00FD0E72"/>
    <w:rsid w:val="00FD0F76"/>
    <w:rsid w:val="00FD107F"/>
    <w:rsid w:val="00FD1127"/>
    <w:rsid w:val="00FD120D"/>
    <w:rsid w:val="00FD1269"/>
    <w:rsid w:val="00FD132C"/>
    <w:rsid w:val="00FD1439"/>
    <w:rsid w:val="00FD15B0"/>
    <w:rsid w:val="00FD15C4"/>
    <w:rsid w:val="00FD1636"/>
    <w:rsid w:val="00FD172E"/>
    <w:rsid w:val="00FD189B"/>
    <w:rsid w:val="00FD194A"/>
    <w:rsid w:val="00FD198F"/>
    <w:rsid w:val="00FD1BC3"/>
    <w:rsid w:val="00FD1BF0"/>
    <w:rsid w:val="00FD1C4B"/>
    <w:rsid w:val="00FD1E2D"/>
    <w:rsid w:val="00FD1F50"/>
    <w:rsid w:val="00FD1F99"/>
    <w:rsid w:val="00FD1FCC"/>
    <w:rsid w:val="00FD2140"/>
    <w:rsid w:val="00FD21B8"/>
    <w:rsid w:val="00FD21FF"/>
    <w:rsid w:val="00FD22AC"/>
    <w:rsid w:val="00FD22B6"/>
    <w:rsid w:val="00FD22C3"/>
    <w:rsid w:val="00FD22EB"/>
    <w:rsid w:val="00FD2303"/>
    <w:rsid w:val="00FD2565"/>
    <w:rsid w:val="00FD25A1"/>
    <w:rsid w:val="00FD2715"/>
    <w:rsid w:val="00FD27E9"/>
    <w:rsid w:val="00FD283C"/>
    <w:rsid w:val="00FD285E"/>
    <w:rsid w:val="00FD28D3"/>
    <w:rsid w:val="00FD296F"/>
    <w:rsid w:val="00FD29CF"/>
    <w:rsid w:val="00FD2A55"/>
    <w:rsid w:val="00FD2B09"/>
    <w:rsid w:val="00FD2B8E"/>
    <w:rsid w:val="00FD2E37"/>
    <w:rsid w:val="00FD2F9D"/>
    <w:rsid w:val="00FD3071"/>
    <w:rsid w:val="00FD3251"/>
    <w:rsid w:val="00FD3350"/>
    <w:rsid w:val="00FD33E2"/>
    <w:rsid w:val="00FD343C"/>
    <w:rsid w:val="00FD3454"/>
    <w:rsid w:val="00FD346C"/>
    <w:rsid w:val="00FD3483"/>
    <w:rsid w:val="00FD3510"/>
    <w:rsid w:val="00FD354A"/>
    <w:rsid w:val="00FD3853"/>
    <w:rsid w:val="00FD395C"/>
    <w:rsid w:val="00FD39D5"/>
    <w:rsid w:val="00FD3C4D"/>
    <w:rsid w:val="00FD4316"/>
    <w:rsid w:val="00FD43E2"/>
    <w:rsid w:val="00FD452F"/>
    <w:rsid w:val="00FD4555"/>
    <w:rsid w:val="00FD4651"/>
    <w:rsid w:val="00FD4668"/>
    <w:rsid w:val="00FD46F3"/>
    <w:rsid w:val="00FD4873"/>
    <w:rsid w:val="00FD4AE9"/>
    <w:rsid w:val="00FD4BC5"/>
    <w:rsid w:val="00FD4C24"/>
    <w:rsid w:val="00FD4D7F"/>
    <w:rsid w:val="00FD4DAD"/>
    <w:rsid w:val="00FD4E6B"/>
    <w:rsid w:val="00FD4E9E"/>
    <w:rsid w:val="00FD4EA7"/>
    <w:rsid w:val="00FD4ED9"/>
    <w:rsid w:val="00FD4F8B"/>
    <w:rsid w:val="00FD4FCF"/>
    <w:rsid w:val="00FD5002"/>
    <w:rsid w:val="00FD5077"/>
    <w:rsid w:val="00FD530E"/>
    <w:rsid w:val="00FD539E"/>
    <w:rsid w:val="00FD54F1"/>
    <w:rsid w:val="00FD561C"/>
    <w:rsid w:val="00FD565B"/>
    <w:rsid w:val="00FD5736"/>
    <w:rsid w:val="00FD57CF"/>
    <w:rsid w:val="00FD59B6"/>
    <w:rsid w:val="00FD5A12"/>
    <w:rsid w:val="00FD5A20"/>
    <w:rsid w:val="00FD5A46"/>
    <w:rsid w:val="00FD5CB8"/>
    <w:rsid w:val="00FD5E91"/>
    <w:rsid w:val="00FD5EBB"/>
    <w:rsid w:val="00FD5F8E"/>
    <w:rsid w:val="00FD60A1"/>
    <w:rsid w:val="00FD62BC"/>
    <w:rsid w:val="00FD6413"/>
    <w:rsid w:val="00FD64BC"/>
    <w:rsid w:val="00FD657A"/>
    <w:rsid w:val="00FD6788"/>
    <w:rsid w:val="00FD67FA"/>
    <w:rsid w:val="00FD6823"/>
    <w:rsid w:val="00FD68BD"/>
    <w:rsid w:val="00FD68CE"/>
    <w:rsid w:val="00FD69B0"/>
    <w:rsid w:val="00FD6A6B"/>
    <w:rsid w:val="00FD6AC7"/>
    <w:rsid w:val="00FD6F3A"/>
    <w:rsid w:val="00FD6F56"/>
    <w:rsid w:val="00FD6F6A"/>
    <w:rsid w:val="00FD70D3"/>
    <w:rsid w:val="00FD70F4"/>
    <w:rsid w:val="00FD7135"/>
    <w:rsid w:val="00FD716E"/>
    <w:rsid w:val="00FD7494"/>
    <w:rsid w:val="00FD7603"/>
    <w:rsid w:val="00FD769E"/>
    <w:rsid w:val="00FD7739"/>
    <w:rsid w:val="00FD7861"/>
    <w:rsid w:val="00FD79D7"/>
    <w:rsid w:val="00FD7A12"/>
    <w:rsid w:val="00FD7ABC"/>
    <w:rsid w:val="00FD7AE0"/>
    <w:rsid w:val="00FD7B13"/>
    <w:rsid w:val="00FD7ECD"/>
    <w:rsid w:val="00FD7F2D"/>
    <w:rsid w:val="00FE0104"/>
    <w:rsid w:val="00FE017E"/>
    <w:rsid w:val="00FE0185"/>
    <w:rsid w:val="00FE01A3"/>
    <w:rsid w:val="00FE01AA"/>
    <w:rsid w:val="00FE0220"/>
    <w:rsid w:val="00FE0262"/>
    <w:rsid w:val="00FE0318"/>
    <w:rsid w:val="00FE040C"/>
    <w:rsid w:val="00FE0483"/>
    <w:rsid w:val="00FE0703"/>
    <w:rsid w:val="00FE071D"/>
    <w:rsid w:val="00FE07E5"/>
    <w:rsid w:val="00FE099F"/>
    <w:rsid w:val="00FE0A1E"/>
    <w:rsid w:val="00FE0BC7"/>
    <w:rsid w:val="00FE0BFE"/>
    <w:rsid w:val="00FE0C85"/>
    <w:rsid w:val="00FE0D26"/>
    <w:rsid w:val="00FE0DEC"/>
    <w:rsid w:val="00FE0E0C"/>
    <w:rsid w:val="00FE0ECA"/>
    <w:rsid w:val="00FE104F"/>
    <w:rsid w:val="00FE12BE"/>
    <w:rsid w:val="00FE12CE"/>
    <w:rsid w:val="00FE1345"/>
    <w:rsid w:val="00FE1382"/>
    <w:rsid w:val="00FE13B3"/>
    <w:rsid w:val="00FE13DB"/>
    <w:rsid w:val="00FE1420"/>
    <w:rsid w:val="00FE1474"/>
    <w:rsid w:val="00FE152A"/>
    <w:rsid w:val="00FE16EA"/>
    <w:rsid w:val="00FE17E5"/>
    <w:rsid w:val="00FE1850"/>
    <w:rsid w:val="00FE1A15"/>
    <w:rsid w:val="00FE1BB6"/>
    <w:rsid w:val="00FE1BE2"/>
    <w:rsid w:val="00FE1CC7"/>
    <w:rsid w:val="00FE1D62"/>
    <w:rsid w:val="00FE1DFC"/>
    <w:rsid w:val="00FE1E10"/>
    <w:rsid w:val="00FE1EEE"/>
    <w:rsid w:val="00FE2039"/>
    <w:rsid w:val="00FE213C"/>
    <w:rsid w:val="00FE225D"/>
    <w:rsid w:val="00FE27EB"/>
    <w:rsid w:val="00FE280F"/>
    <w:rsid w:val="00FE295A"/>
    <w:rsid w:val="00FE2AC9"/>
    <w:rsid w:val="00FE2B6B"/>
    <w:rsid w:val="00FE2C18"/>
    <w:rsid w:val="00FE2C2D"/>
    <w:rsid w:val="00FE2CDD"/>
    <w:rsid w:val="00FE2D9C"/>
    <w:rsid w:val="00FE2DD1"/>
    <w:rsid w:val="00FE2DF9"/>
    <w:rsid w:val="00FE2E32"/>
    <w:rsid w:val="00FE2E3B"/>
    <w:rsid w:val="00FE2F01"/>
    <w:rsid w:val="00FE2F0E"/>
    <w:rsid w:val="00FE2FA0"/>
    <w:rsid w:val="00FE2FAF"/>
    <w:rsid w:val="00FE2FFA"/>
    <w:rsid w:val="00FE30C0"/>
    <w:rsid w:val="00FE332F"/>
    <w:rsid w:val="00FE362B"/>
    <w:rsid w:val="00FE3847"/>
    <w:rsid w:val="00FE39A6"/>
    <w:rsid w:val="00FE3ACF"/>
    <w:rsid w:val="00FE3B42"/>
    <w:rsid w:val="00FE3B58"/>
    <w:rsid w:val="00FE3BCB"/>
    <w:rsid w:val="00FE3D66"/>
    <w:rsid w:val="00FE3DF3"/>
    <w:rsid w:val="00FE3E81"/>
    <w:rsid w:val="00FE3E97"/>
    <w:rsid w:val="00FE3EDC"/>
    <w:rsid w:val="00FE408D"/>
    <w:rsid w:val="00FE42F2"/>
    <w:rsid w:val="00FE432B"/>
    <w:rsid w:val="00FE4357"/>
    <w:rsid w:val="00FE44CF"/>
    <w:rsid w:val="00FE4657"/>
    <w:rsid w:val="00FE4736"/>
    <w:rsid w:val="00FE4766"/>
    <w:rsid w:val="00FE47EA"/>
    <w:rsid w:val="00FE48EC"/>
    <w:rsid w:val="00FE4AF9"/>
    <w:rsid w:val="00FE4C1B"/>
    <w:rsid w:val="00FE4C50"/>
    <w:rsid w:val="00FE4CCE"/>
    <w:rsid w:val="00FE4D30"/>
    <w:rsid w:val="00FE4FB2"/>
    <w:rsid w:val="00FE50EF"/>
    <w:rsid w:val="00FE521F"/>
    <w:rsid w:val="00FE5260"/>
    <w:rsid w:val="00FE5261"/>
    <w:rsid w:val="00FE52AF"/>
    <w:rsid w:val="00FE551A"/>
    <w:rsid w:val="00FE5770"/>
    <w:rsid w:val="00FE5781"/>
    <w:rsid w:val="00FE5A07"/>
    <w:rsid w:val="00FE5A56"/>
    <w:rsid w:val="00FE5AEA"/>
    <w:rsid w:val="00FE5BDA"/>
    <w:rsid w:val="00FE5BE7"/>
    <w:rsid w:val="00FE5C25"/>
    <w:rsid w:val="00FE5C85"/>
    <w:rsid w:val="00FE5D17"/>
    <w:rsid w:val="00FE5D99"/>
    <w:rsid w:val="00FE5EE3"/>
    <w:rsid w:val="00FE5F6F"/>
    <w:rsid w:val="00FE5FD7"/>
    <w:rsid w:val="00FE6101"/>
    <w:rsid w:val="00FE6182"/>
    <w:rsid w:val="00FE6495"/>
    <w:rsid w:val="00FE65BF"/>
    <w:rsid w:val="00FE66BB"/>
    <w:rsid w:val="00FE6764"/>
    <w:rsid w:val="00FE6801"/>
    <w:rsid w:val="00FE681D"/>
    <w:rsid w:val="00FE6960"/>
    <w:rsid w:val="00FE6976"/>
    <w:rsid w:val="00FE69DD"/>
    <w:rsid w:val="00FE6A52"/>
    <w:rsid w:val="00FE6AE3"/>
    <w:rsid w:val="00FE6CA1"/>
    <w:rsid w:val="00FE6E72"/>
    <w:rsid w:val="00FE6F44"/>
    <w:rsid w:val="00FE7089"/>
    <w:rsid w:val="00FE719E"/>
    <w:rsid w:val="00FE71BC"/>
    <w:rsid w:val="00FE7243"/>
    <w:rsid w:val="00FE7247"/>
    <w:rsid w:val="00FE7335"/>
    <w:rsid w:val="00FE7372"/>
    <w:rsid w:val="00FE749D"/>
    <w:rsid w:val="00FE75EE"/>
    <w:rsid w:val="00FE787C"/>
    <w:rsid w:val="00FE7917"/>
    <w:rsid w:val="00FE7942"/>
    <w:rsid w:val="00FE7979"/>
    <w:rsid w:val="00FE79E0"/>
    <w:rsid w:val="00FE7B0C"/>
    <w:rsid w:val="00FE7C58"/>
    <w:rsid w:val="00FE7C95"/>
    <w:rsid w:val="00FE7CA4"/>
    <w:rsid w:val="00FE7CC3"/>
    <w:rsid w:val="00FE7FE1"/>
    <w:rsid w:val="00FF0067"/>
    <w:rsid w:val="00FF0148"/>
    <w:rsid w:val="00FF0152"/>
    <w:rsid w:val="00FF017C"/>
    <w:rsid w:val="00FF01A0"/>
    <w:rsid w:val="00FF0246"/>
    <w:rsid w:val="00FF02CD"/>
    <w:rsid w:val="00FF040E"/>
    <w:rsid w:val="00FF05A2"/>
    <w:rsid w:val="00FF0626"/>
    <w:rsid w:val="00FF064A"/>
    <w:rsid w:val="00FF0A7B"/>
    <w:rsid w:val="00FF0B0D"/>
    <w:rsid w:val="00FF0B6C"/>
    <w:rsid w:val="00FF0D09"/>
    <w:rsid w:val="00FF0DE3"/>
    <w:rsid w:val="00FF0E11"/>
    <w:rsid w:val="00FF0E45"/>
    <w:rsid w:val="00FF0ED5"/>
    <w:rsid w:val="00FF0EFC"/>
    <w:rsid w:val="00FF0F13"/>
    <w:rsid w:val="00FF0FB3"/>
    <w:rsid w:val="00FF1091"/>
    <w:rsid w:val="00FF10CF"/>
    <w:rsid w:val="00FF128A"/>
    <w:rsid w:val="00FF16C6"/>
    <w:rsid w:val="00FF17CC"/>
    <w:rsid w:val="00FF1946"/>
    <w:rsid w:val="00FF1948"/>
    <w:rsid w:val="00FF1B5F"/>
    <w:rsid w:val="00FF1BCC"/>
    <w:rsid w:val="00FF1BDE"/>
    <w:rsid w:val="00FF1DEB"/>
    <w:rsid w:val="00FF1FD8"/>
    <w:rsid w:val="00FF2149"/>
    <w:rsid w:val="00FF2229"/>
    <w:rsid w:val="00FF2651"/>
    <w:rsid w:val="00FF265E"/>
    <w:rsid w:val="00FF27BF"/>
    <w:rsid w:val="00FF28D3"/>
    <w:rsid w:val="00FF2940"/>
    <w:rsid w:val="00FF29F6"/>
    <w:rsid w:val="00FF2A20"/>
    <w:rsid w:val="00FF2ABE"/>
    <w:rsid w:val="00FF2B3F"/>
    <w:rsid w:val="00FF2D27"/>
    <w:rsid w:val="00FF2DF7"/>
    <w:rsid w:val="00FF30BB"/>
    <w:rsid w:val="00FF30D6"/>
    <w:rsid w:val="00FF314F"/>
    <w:rsid w:val="00FF331B"/>
    <w:rsid w:val="00FF35DE"/>
    <w:rsid w:val="00FF35F8"/>
    <w:rsid w:val="00FF3720"/>
    <w:rsid w:val="00FF3A56"/>
    <w:rsid w:val="00FF3D10"/>
    <w:rsid w:val="00FF3D38"/>
    <w:rsid w:val="00FF3E8C"/>
    <w:rsid w:val="00FF3EE8"/>
    <w:rsid w:val="00FF3F42"/>
    <w:rsid w:val="00FF408F"/>
    <w:rsid w:val="00FF41C2"/>
    <w:rsid w:val="00FF41CD"/>
    <w:rsid w:val="00FF4245"/>
    <w:rsid w:val="00FF42F0"/>
    <w:rsid w:val="00FF43DD"/>
    <w:rsid w:val="00FF4511"/>
    <w:rsid w:val="00FF45BF"/>
    <w:rsid w:val="00FF464E"/>
    <w:rsid w:val="00FF46D3"/>
    <w:rsid w:val="00FF47BB"/>
    <w:rsid w:val="00FF4806"/>
    <w:rsid w:val="00FF4812"/>
    <w:rsid w:val="00FF4986"/>
    <w:rsid w:val="00FF4A2D"/>
    <w:rsid w:val="00FF4AF0"/>
    <w:rsid w:val="00FF4CFF"/>
    <w:rsid w:val="00FF4D58"/>
    <w:rsid w:val="00FF4E32"/>
    <w:rsid w:val="00FF4E41"/>
    <w:rsid w:val="00FF4E5D"/>
    <w:rsid w:val="00FF529B"/>
    <w:rsid w:val="00FF52D5"/>
    <w:rsid w:val="00FF52DA"/>
    <w:rsid w:val="00FF5350"/>
    <w:rsid w:val="00FF54FD"/>
    <w:rsid w:val="00FF550B"/>
    <w:rsid w:val="00FF56AA"/>
    <w:rsid w:val="00FF578F"/>
    <w:rsid w:val="00FF590B"/>
    <w:rsid w:val="00FF59B4"/>
    <w:rsid w:val="00FF5B26"/>
    <w:rsid w:val="00FF5C6B"/>
    <w:rsid w:val="00FF5D63"/>
    <w:rsid w:val="00FF5E88"/>
    <w:rsid w:val="00FF60C8"/>
    <w:rsid w:val="00FF6253"/>
    <w:rsid w:val="00FF6293"/>
    <w:rsid w:val="00FF63B7"/>
    <w:rsid w:val="00FF64D5"/>
    <w:rsid w:val="00FF64EA"/>
    <w:rsid w:val="00FF6701"/>
    <w:rsid w:val="00FF6704"/>
    <w:rsid w:val="00FF6ACA"/>
    <w:rsid w:val="00FF6B45"/>
    <w:rsid w:val="00FF6B9B"/>
    <w:rsid w:val="00FF6D7E"/>
    <w:rsid w:val="00FF6E64"/>
    <w:rsid w:val="00FF6F81"/>
    <w:rsid w:val="00FF6FE0"/>
    <w:rsid w:val="00FF7191"/>
    <w:rsid w:val="00FF719B"/>
    <w:rsid w:val="00FF719C"/>
    <w:rsid w:val="00FF7205"/>
    <w:rsid w:val="00FF73E8"/>
    <w:rsid w:val="00FF74B6"/>
    <w:rsid w:val="00FF757D"/>
    <w:rsid w:val="00FF7673"/>
    <w:rsid w:val="00FF7841"/>
    <w:rsid w:val="00FF788D"/>
    <w:rsid w:val="00FF7A86"/>
    <w:rsid w:val="00FF7AD7"/>
    <w:rsid w:val="00FF7B98"/>
    <w:rsid w:val="00FF7DA2"/>
    <w:rsid w:val="00FF7EBD"/>
    <w:rsid w:val="00FF7F90"/>
    <w:rsid w:val="00FF7FBC"/>
    <w:rsid w:val="0105B022"/>
    <w:rsid w:val="010A107A"/>
    <w:rsid w:val="010DBC3D"/>
    <w:rsid w:val="010F91F6"/>
    <w:rsid w:val="012C88DE"/>
    <w:rsid w:val="012DD174"/>
    <w:rsid w:val="0137677C"/>
    <w:rsid w:val="014F9F4C"/>
    <w:rsid w:val="015C61E9"/>
    <w:rsid w:val="01974F47"/>
    <w:rsid w:val="01D6444A"/>
    <w:rsid w:val="01D73799"/>
    <w:rsid w:val="01E7174F"/>
    <w:rsid w:val="01F2D35C"/>
    <w:rsid w:val="01FCAFEB"/>
    <w:rsid w:val="01FF838B"/>
    <w:rsid w:val="01FFD40E"/>
    <w:rsid w:val="0208B760"/>
    <w:rsid w:val="0209E5E4"/>
    <w:rsid w:val="020FE263"/>
    <w:rsid w:val="028658A7"/>
    <w:rsid w:val="02CE694B"/>
    <w:rsid w:val="02DC1A16"/>
    <w:rsid w:val="02DD79B4"/>
    <w:rsid w:val="02E03D1F"/>
    <w:rsid w:val="02E5F4E8"/>
    <w:rsid w:val="02FCB82E"/>
    <w:rsid w:val="02FE00C0"/>
    <w:rsid w:val="03101158"/>
    <w:rsid w:val="03113981"/>
    <w:rsid w:val="031CE13C"/>
    <w:rsid w:val="03205E62"/>
    <w:rsid w:val="032711E1"/>
    <w:rsid w:val="033DC11B"/>
    <w:rsid w:val="034B17E7"/>
    <w:rsid w:val="035A227B"/>
    <w:rsid w:val="035E647E"/>
    <w:rsid w:val="038D23AD"/>
    <w:rsid w:val="03B76F16"/>
    <w:rsid w:val="03BF73D0"/>
    <w:rsid w:val="03C7D853"/>
    <w:rsid w:val="03CC892A"/>
    <w:rsid w:val="03CD5E77"/>
    <w:rsid w:val="03D5EE66"/>
    <w:rsid w:val="03D7C7C6"/>
    <w:rsid w:val="044739AC"/>
    <w:rsid w:val="04488F2D"/>
    <w:rsid w:val="04692CD0"/>
    <w:rsid w:val="04858D67"/>
    <w:rsid w:val="048CEA6D"/>
    <w:rsid w:val="048FC8A2"/>
    <w:rsid w:val="04BFB34F"/>
    <w:rsid w:val="04C3CB94"/>
    <w:rsid w:val="04C9F816"/>
    <w:rsid w:val="04D2B523"/>
    <w:rsid w:val="04D4B97D"/>
    <w:rsid w:val="04D5F452"/>
    <w:rsid w:val="04DDDEEE"/>
    <w:rsid w:val="051E96A0"/>
    <w:rsid w:val="05240253"/>
    <w:rsid w:val="052B3932"/>
    <w:rsid w:val="0575DF71"/>
    <w:rsid w:val="057F9C0C"/>
    <w:rsid w:val="058282F1"/>
    <w:rsid w:val="0582DBB1"/>
    <w:rsid w:val="05854B29"/>
    <w:rsid w:val="05883E50"/>
    <w:rsid w:val="05AAC1B5"/>
    <w:rsid w:val="05AC674F"/>
    <w:rsid w:val="05CD1BA5"/>
    <w:rsid w:val="05D2C6FD"/>
    <w:rsid w:val="05F1F639"/>
    <w:rsid w:val="05F9970B"/>
    <w:rsid w:val="06308EBC"/>
    <w:rsid w:val="06409057"/>
    <w:rsid w:val="064DE66E"/>
    <w:rsid w:val="065611AD"/>
    <w:rsid w:val="066DA6A0"/>
    <w:rsid w:val="0671F5F3"/>
    <w:rsid w:val="0686F1C6"/>
    <w:rsid w:val="069A10F0"/>
    <w:rsid w:val="069D196B"/>
    <w:rsid w:val="06A0CE23"/>
    <w:rsid w:val="06DF038D"/>
    <w:rsid w:val="06F46507"/>
    <w:rsid w:val="0707C0F5"/>
    <w:rsid w:val="070DD6AE"/>
    <w:rsid w:val="0727B8A0"/>
    <w:rsid w:val="072C91AA"/>
    <w:rsid w:val="074FEC3F"/>
    <w:rsid w:val="0762004D"/>
    <w:rsid w:val="0781E5F6"/>
    <w:rsid w:val="0785E894"/>
    <w:rsid w:val="07A1A6D8"/>
    <w:rsid w:val="07AC2C00"/>
    <w:rsid w:val="07B357CA"/>
    <w:rsid w:val="07B8D0E2"/>
    <w:rsid w:val="07C710C1"/>
    <w:rsid w:val="07C7B5D8"/>
    <w:rsid w:val="07EBA6C5"/>
    <w:rsid w:val="0805D4F9"/>
    <w:rsid w:val="0806AEC1"/>
    <w:rsid w:val="082C5B2A"/>
    <w:rsid w:val="08392905"/>
    <w:rsid w:val="084D10B7"/>
    <w:rsid w:val="084D8683"/>
    <w:rsid w:val="0863F727"/>
    <w:rsid w:val="0867FECD"/>
    <w:rsid w:val="0868A6AE"/>
    <w:rsid w:val="08798CC6"/>
    <w:rsid w:val="087EA79C"/>
    <w:rsid w:val="088CD5AE"/>
    <w:rsid w:val="08EC7B1D"/>
    <w:rsid w:val="08FCF409"/>
    <w:rsid w:val="09112557"/>
    <w:rsid w:val="09132039"/>
    <w:rsid w:val="091F9CEE"/>
    <w:rsid w:val="0952A3D7"/>
    <w:rsid w:val="0957B6A1"/>
    <w:rsid w:val="0967A8D0"/>
    <w:rsid w:val="097827ED"/>
    <w:rsid w:val="097D2FEE"/>
    <w:rsid w:val="09CC050C"/>
    <w:rsid w:val="09D2EDFA"/>
    <w:rsid w:val="09D72216"/>
    <w:rsid w:val="09D857CC"/>
    <w:rsid w:val="09DE1368"/>
    <w:rsid w:val="09EA0273"/>
    <w:rsid w:val="09EE4274"/>
    <w:rsid w:val="09F09091"/>
    <w:rsid w:val="0A028AA5"/>
    <w:rsid w:val="0A08E839"/>
    <w:rsid w:val="0A162CF3"/>
    <w:rsid w:val="0A1D5BF6"/>
    <w:rsid w:val="0A26CDE8"/>
    <w:rsid w:val="0A2B19CA"/>
    <w:rsid w:val="0A5E0742"/>
    <w:rsid w:val="0A642A61"/>
    <w:rsid w:val="0A6DCFF8"/>
    <w:rsid w:val="0A87BB42"/>
    <w:rsid w:val="0AB1E7D0"/>
    <w:rsid w:val="0AB5052D"/>
    <w:rsid w:val="0AC68A48"/>
    <w:rsid w:val="0ACA3930"/>
    <w:rsid w:val="0AD3FD6A"/>
    <w:rsid w:val="0AE17E76"/>
    <w:rsid w:val="0B0FC738"/>
    <w:rsid w:val="0B105792"/>
    <w:rsid w:val="0B1B2757"/>
    <w:rsid w:val="0B43F991"/>
    <w:rsid w:val="0B52F615"/>
    <w:rsid w:val="0B5F62EC"/>
    <w:rsid w:val="0B61FCCA"/>
    <w:rsid w:val="0B6C8ACF"/>
    <w:rsid w:val="0B72DB6F"/>
    <w:rsid w:val="0B88B8C7"/>
    <w:rsid w:val="0B8B73DD"/>
    <w:rsid w:val="0B8E3B1D"/>
    <w:rsid w:val="0BA5DAA1"/>
    <w:rsid w:val="0BB68FBF"/>
    <w:rsid w:val="0BD99D48"/>
    <w:rsid w:val="0BE2D38A"/>
    <w:rsid w:val="0BE9F926"/>
    <w:rsid w:val="0C1EE3A5"/>
    <w:rsid w:val="0C2BE662"/>
    <w:rsid w:val="0C378AB0"/>
    <w:rsid w:val="0C4F6B70"/>
    <w:rsid w:val="0C64BF8E"/>
    <w:rsid w:val="0C6CF24D"/>
    <w:rsid w:val="0C6FB67B"/>
    <w:rsid w:val="0C7CE2B8"/>
    <w:rsid w:val="0C835F8A"/>
    <w:rsid w:val="0C969FBC"/>
    <w:rsid w:val="0CA27A19"/>
    <w:rsid w:val="0CB6F00C"/>
    <w:rsid w:val="0CB915C5"/>
    <w:rsid w:val="0CDDEDF7"/>
    <w:rsid w:val="0CE38A08"/>
    <w:rsid w:val="0D115F30"/>
    <w:rsid w:val="0D18AC87"/>
    <w:rsid w:val="0D1B0551"/>
    <w:rsid w:val="0D217A6B"/>
    <w:rsid w:val="0D33E639"/>
    <w:rsid w:val="0D353F05"/>
    <w:rsid w:val="0D4926BF"/>
    <w:rsid w:val="0D509A05"/>
    <w:rsid w:val="0D5AC447"/>
    <w:rsid w:val="0D834398"/>
    <w:rsid w:val="0DB01FEF"/>
    <w:rsid w:val="0DB64888"/>
    <w:rsid w:val="0DBDF0CA"/>
    <w:rsid w:val="0DCCE456"/>
    <w:rsid w:val="0DCE0B47"/>
    <w:rsid w:val="0DDD13FC"/>
    <w:rsid w:val="0DF376A8"/>
    <w:rsid w:val="0E04E5EF"/>
    <w:rsid w:val="0E124345"/>
    <w:rsid w:val="0E157805"/>
    <w:rsid w:val="0E2FA662"/>
    <w:rsid w:val="0E3F23BA"/>
    <w:rsid w:val="0E5ED394"/>
    <w:rsid w:val="0E694B47"/>
    <w:rsid w:val="0E750526"/>
    <w:rsid w:val="0E791781"/>
    <w:rsid w:val="0E8DA0B0"/>
    <w:rsid w:val="0E8F917E"/>
    <w:rsid w:val="0E9188CC"/>
    <w:rsid w:val="0EA35F6D"/>
    <w:rsid w:val="0EB4FB5A"/>
    <w:rsid w:val="0EBB3915"/>
    <w:rsid w:val="0EBEB43B"/>
    <w:rsid w:val="0EC5900E"/>
    <w:rsid w:val="0EE1B8ED"/>
    <w:rsid w:val="0EF74A6B"/>
    <w:rsid w:val="0EF8658D"/>
    <w:rsid w:val="0F12883D"/>
    <w:rsid w:val="0F1B58B9"/>
    <w:rsid w:val="0F28A2E6"/>
    <w:rsid w:val="0F29D99F"/>
    <w:rsid w:val="0F2DBB6D"/>
    <w:rsid w:val="0F368CC0"/>
    <w:rsid w:val="0F3AD1B4"/>
    <w:rsid w:val="0F418D59"/>
    <w:rsid w:val="0F442217"/>
    <w:rsid w:val="0F46E414"/>
    <w:rsid w:val="0F495D82"/>
    <w:rsid w:val="0F603A5F"/>
    <w:rsid w:val="0F748E54"/>
    <w:rsid w:val="0F79E03C"/>
    <w:rsid w:val="0F88151D"/>
    <w:rsid w:val="0F958899"/>
    <w:rsid w:val="0F97E47A"/>
    <w:rsid w:val="0FBB5591"/>
    <w:rsid w:val="0FCA839E"/>
    <w:rsid w:val="0FCBFE4B"/>
    <w:rsid w:val="0FCE2A0B"/>
    <w:rsid w:val="0FD1D856"/>
    <w:rsid w:val="0FDAF3A9"/>
    <w:rsid w:val="0FDDE639"/>
    <w:rsid w:val="0FE6F1FC"/>
    <w:rsid w:val="0FFB7B28"/>
    <w:rsid w:val="0FFD50BE"/>
    <w:rsid w:val="1006B573"/>
    <w:rsid w:val="1011A1CB"/>
    <w:rsid w:val="1016D59F"/>
    <w:rsid w:val="102EA830"/>
    <w:rsid w:val="10334287"/>
    <w:rsid w:val="10341935"/>
    <w:rsid w:val="10355303"/>
    <w:rsid w:val="1037AF62"/>
    <w:rsid w:val="103B0991"/>
    <w:rsid w:val="1041A049"/>
    <w:rsid w:val="105BA1DD"/>
    <w:rsid w:val="105DFE9C"/>
    <w:rsid w:val="10842724"/>
    <w:rsid w:val="10A3AB4B"/>
    <w:rsid w:val="10D7CD6E"/>
    <w:rsid w:val="10DF2CB9"/>
    <w:rsid w:val="10E501EB"/>
    <w:rsid w:val="1115E01D"/>
    <w:rsid w:val="1119FDB2"/>
    <w:rsid w:val="112168E9"/>
    <w:rsid w:val="112879A2"/>
    <w:rsid w:val="113EDFAB"/>
    <w:rsid w:val="11493716"/>
    <w:rsid w:val="114BCC04"/>
    <w:rsid w:val="115B75C4"/>
    <w:rsid w:val="115E7336"/>
    <w:rsid w:val="1161C519"/>
    <w:rsid w:val="116B6A94"/>
    <w:rsid w:val="1178C253"/>
    <w:rsid w:val="1182D3CC"/>
    <w:rsid w:val="119C3BFF"/>
    <w:rsid w:val="119EC6A7"/>
    <w:rsid w:val="11B37C23"/>
    <w:rsid w:val="11C222CC"/>
    <w:rsid w:val="11EFBF55"/>
    <w:rsid w:val="11F972F3"/>
    <w:rsid w:val="11FF32B6"/>
    <w:rsid w:val="1209760F"/>
    <w:rsid w:val="12105E48"/>
    <w:rsid w:val="121705E4"/>
    <w:rsid w:val="12205D8B"/>
    <w:rsid w:val="12216D2B"/>
    <w:rsid w:val="1235B581"/>
    <w:rsid w:val="12511F3C"/>
    <w:rsid w:val="12591657"/>
    <w:rsid w:val="12613AE7"/>
    <w:rsid w:val="1269EC2F"/>
    <w:rsid w:val="129A613D"/>
    <w:rsid w:val="129C9105"/>
    <w:rsid w:val="12A35FA3"/>
    <w:rsid w:val="12B9BE87"/>
    <w:rsid w:val="12CE31A4"/>
    <w:rsid w:val="12D06216"/>
    <w:rsid w:val="12E02ECE"/>
    <w:rsid w:val="12E608BC"/>
    <w:rsid w:val="12EF5528"/>
    <w:rsid w:val="12F34098"/>
    <w:rsid w:val="12F65276"/>
    <w:rsid w:val="12FF6C8D"/>
    <w:rsid w:val="12FFF300"/>
    <w:rsid w:val="1328732A"/>
    <w:rsid w:val="1344BCD2"/>
    <w:rsid w:val="1356D0F0"/>
    <w:rsid w:val="135D0847"/>
    <w:rsid w:val="1367EF72"/>
    <w:rsid w:val="136EBFEB"/>
    <w:rsid w:val="137B038F"/>
    <w:rsid w:val="13A23B06"/>
    <w:rsid w:val="13A3F641"/>
    <w:rsid w:val="13B0B9F6"/>
    <w:rsid w:val="13BAA45B"/>
    <w:rsid w:val="13C3F4B6"/>
    <w:rsid w:val="13C49590"/>
    <w:rsid w:val="13D6A2BD"/>
    <w:rsid w:val="13DE9601"/>
    <w:rsid w:val="13F106CF"/>
    <w:rsid w:val="13FBC5BD"/>
    <w:rsid w:val="140859B3"/>
    <w:rsid w:val="14302BCE"/>
    <w:rsid w:val="14390698"/>
    <w:rsid w:val="1439AA44"/>
    <w:rsid w:val="143D52BB"/>
    <w:rsid w:val="143DB5D3"/>
    <w:rsid w:val="145871D8"/>
    <w:rsid w:val="14844E13"/>
    <w:rsid w:val="149D69D9"/>
    <w:rsid w:val="14A512D1"/>
    <w:rsid w:val="14B885F7"/>
    <w:rsid w:val="14C64B32"/>
    <w:rsid w:val="14CC083E"/>
    <w:rsid w:val="14DB1380"/>
    <w:rsid w:val="14F7E27E"/>
    <w:rsid w:val="14FD12BD"/>
    <w:rsid w:val="150EC673"/>
    <w:rsid w:val="151DFE13"/>
    <w:rsid w:val="1535C349"/>
    <w:rsid w:val="15522B92"/>
    <w:rsid w:val="15619FDB"/>
    <w:rsid w:val="156C477D"/>
    <w:rsid w:val="15734EFC"/>
    <w:rsid w:val="157D12B9"/>
    <w:rsid w:val="15AB3BA6"/>
    <w:rsid w:val="15B897AC"/>
    <w:rsid w:val="15F162BE"/>
    <w:rsid w:val="15F2FA93"/>
    <w:rsid w:val="15F9970E"/>
    <w:rsid w:val="15FA2336"/>
    <w:rsid w:val="160A544B"/>
    <w:rsid w:val="160CE2F7"/>
    <w:rsid w:val="161F12AE"/>
    <w:rsid w:val="16219B8E"/>
    <w:rsid w:val="1629A064"/>
    <w:rsid w:val="163398C3"/>
    <w:rsid w:val="164DE761"/>
    <w:rsid w:val="1667B21D"/>
    <w:rsid w:val="167C30E0"/>
    <w:rsid w:val="168E44F2"/>
    <w:rsid w:val="1693044D"/>
    <w:rsid w:val="16A83857"/>
    <w:rsid w:val="16A9B5EF"/>
    <w:rsid w:val="16D5C79F"/>
    <w:rsid w:val="16ED3573"/>
    <w:rsid w:val="16F2F842"/>
    <w:rsid w:val="16F4E2EB"/>
    <w:rsid w:val="16FB374C"/>
    <w:rsid w:val="1701C0B3"/>
    <w:rsid w:val="1708D0B3"/>
    <w:rsid w:val="171EEB9A"/>
    <w:rsid w:val="1721653E"/>
    <w:rsid w:val="17273134"/>
    <w:rsid w:val="1763D732"/>
    <w:rsid w:val="17713FD0"/>
    <w:rsid w:val="1785E66F"/>
    <w:rsid w:val="17951BC1"/>
    <w:rsid w:val="17BB7097"/>
    <w:rsid w:val="17BE18D6"/>
    <w:rsid w:val="17C40F35"/>
    <w:rsid w:val="17C7039F"/>
    <w:rsid w:val="17CB456C"/>
    <w:rsid w:val="17CE4810"/>
    <w:rsid w:val="17CFE00B"/>
    <w:rsid w:val="17D233A6"/>
    <w:rsid w:val="17EB4D20"/>
    <w:rsid w:val="17F2B812"/>
    <w:rsid w:val="1801F0C1"/>
    <w:rsid w:val="180CC925"/>
    <w:rsid w:val="1816A3C7"/>
    <w:rsid w:val="181DE539"/>
    <w:rsid w:val="181E442C"/>
    <w:rsid w:val="1826DEA1"/>
    <w:rsid w:val="182964B7"/>
    <w:rsid w:val="1834A136"/>
    <w:rsid w:val="1843F2F7"/>
    <w:rsid w:val="184DB533"/>
    <w:rsid w:val="184F456E"/>
    <w:rsid w:val="1859D4BE"/>
    <w:rsid w:val="185EFF3B"/>
    <w:rsid w:val="1897B559"/>
    <w:rsid w:val="189C61FF"/>
    <w:rsid w:val="189E34F8"/>
    <w:rsid w:val="189E830E"/>
    <w:rsid w:val="18B6F23C"/>
    <w:rsid w:val="18C3062D"/>
    <w:rsid w:val="18C71ED8"/>
    <w:rsid w:val="18D21A88"/>
    <w:rsid w:val="18E9440F"/>
    <w:rsid w:val="18EC2409"/>
    <w:rsid w:val="1903C5CA"/>
    <w:rsid w:val="1915080C"/>
    <w:rsid w:val="191BE088"/>
    <w:rsid w:val="1920FDFE"/>
    <w:rsid w:val="19214F7E"/>
    <w:rsid w:val="1935956B"/>
    <w:rsid w:val="193684A1"/>
    <w:rsid w:val="1938F5A3"/>
    <w:rsid w:val="194BE5BB"/>
    <w:rsid w:val="195FA8F1"/>
    <w:rsid w:val="197A143E"/>
    <w:rsid w:val="19851706"/>
    <w:rsid w:val="1986A625"/>
    <w:rsid w:val="19A96EFB"/>
    <w:rsid w:val="19B644E0"/>
    <w:rsid w:val="19C46D5C"/>
    <w:rsid w:val="19CD4034"/>
    <w:rsid w:val="19E51C82"/>
    <w:rsid w:val="19E83820"/>
    <w:rsid w:val="19ED108F"/>
    <w:rsid w:val="19ED82D0"/>
    <w:rsid w:val="1A15D98C"/>
    <w:rsid w:val="1A1FFB09"/>
    <w:rsid w:val="1A36E0DD"/>
    <w:rsid w:val="1A4092DD"/>
    <w:rsid w:val="1A435434"/>
    <w:rsid w:val="1A593025"/>
    <w:rsid w:val="1A664C8C"/>
    <w:rsid w:val="1A69819C"/>
    <w:rsid w:val="1A780E5A"/>
    <w:rsid w:val="1A7F76B2"/>
    <w:rsid w:val="1A964569"/>
    <w:rsid w:val="1AA1F47B"/>
    <w:rsid w:val="1AA42DD6"/>
    <w:rsid w:val="1AB5FF99"/>
    <w:rsid w:val="1ABD13BC"/>
    <w:rsid w:val="1ABF8F64"/>
    <w:rsid w:val="1AC10B32"/>
    <w:rsid w:val="1AD088F8"/>
    <w:rsid w:val="1AD90603"/>
    <w:rsid w:val="1AE83F87"/>
    <w:rsid w:val="1AF2C3E9"/>
    <w:rsid w:val="1B1E001A"/>
    <w:rsid w:val="1B293B79"/>
    <w:rsid w:val="1B32CED3"/>
    <w:rsid w:val="1B37A621"/>
    <w:rsid w:val="1B38308D"/>
    <w:rsid w:val="1B55A146"/>
    <w:rsid w:val="1B5CE1F2"/>
    <w:rsid w:val="1B5EFB77"/>
    <w:rsid w:val="1B6609BB"/>
    <w:rsid w:val="1B6F925C"/>
    <w:rsid w:val="1B7032EA"/>
    <w:rsid w:val="1B81AAFD"/>
    <w:rsid w:val="1B81B3DB"/>
    <w:rsid w:val="1B91B475"/>
    <w:rsid w:val="1B99F9BC"/>
    <w:rsid w:val="1BB32792"/>
    <w:rsid w:val="1BDC0F77"/>
    <w:rsid w:val="1BE1109C"/>
    <w:rsid w:val="1BE5646A"/>
    <w:rsid w:val="1BE81622"/>
    <w:rsid w:val="1BE8474C"/>
    <w:rsid w:val="1BEDD8FA"/>
    <w:rsid w:val="1BF20A62"/>
    <w:rsid w:val="1C09CF1F"/>
    <w:rsid w:val="1C2060B8"/>
    <w:rsid w:val="1C2D6E90"/>
    <w:rsid w:val="1C423997"/>
    <w:rsid w:val="1C4827A5"/>
    <w:rsid w:val="1C725604"/>
    <w:rsid w:val="1C7A98FE"/>
    <w:rsid w:val="1C7AE394"/>
    <w:rsid w:val="1C7C18D0"/>
    <w:rsid w:val="1C7FBFF7"/>
    <w:rsid w:val="1C865267"/>
    <w:rsid w:val="1C8CCC0F"/>
    <w:rsid w:val="1C90BE60"/>
    <w:rsid w:val="1C97F08D"/>
    <w:rsid w:val="1CB8F0B6"/>
    <w:rsid w:val="1CBB13E5"/>
    <w:rsid w:val="1CC41333"/>
    <w:rsid w:val="1CE9E1AF"/>
    <w:rsid w:val="1CF99FAF"/>
    <w:rsid w:val="1D1A506C"/>
    <w:rsid w:val="1D1E3FA1"/>
    <w:rsid w:val="1D1F2DC4"/>
    <w:rsid w:val="1D2E5673"/>
    <w:rsid w:val="1D30216E"/>
    <w:rsid w:val="1D3439F7"/>
    <w:rsid w:val="1D4364AC"/>
    <w:rsid w:val="1D4AC1C7"/>
    <w:rsid w:val="1D4D40B4"/>
    <w:rsid w:val="1D5398C8"/>
    <w:rsid w:val="1D660253"/>
    <w:rsid w:val="1D6E9804"/>
    <w:rsid w:val="1D726262"/>
    <w:rsid w:val="1D7FFD16"/>
    <w:rsid w:val="1D9CD79D"/>
    <w:rsid w:val="1DA417B7"/>
    <w:rsid w:val="1DA6527F"/>
    <w:rsid w:val="1DB6245F"/>
    <w:rsid w:val="1DCACC56"/>
    <w:rsid w:val="1DD4D1A1"/>
    <w:rsid w:val="1DD5C048"/>
    <w:rsid w:val="1DE62B17"/>
    <w:rsid w:val="1DEB4C99"/>
    <w:rsid w:val="1DF4655E"/>
    <w:rsid w:val="1DF7AA60"/>
    <w:rsid w:val="1DF7E044"/>
    <w:rsid w:val="1DFD461D"/>
    <w:rsid w:val="1DFF3D77"/>
    <w:rsid w:val="1E26BDF5"/>
    <w:rsid w:val="1E3F3B49"/>
    <w:rsid w:val="1E4FD64F"/>
    <w:rsid w:val="1E5073BE"/>
    <w:rsid w:val="1E6C6CA6"/>
    <w:rsid w:val="1E91D2EA"/>
    <w:rsid w:val="1EB858E7"/>
    <w:rsid w:val="1EC2B4B0"/>
    <w:rsid w:val="1EDAD04E"/>
    <w:rsid w:val="1EEA49B7"/>
    <w:rsid w:val="1EEA90EC"/>
    <w:rsid w:val="1EF74C54"/>
    <w:rsid w:val="1EF7BB34"/>
    <w:rsid w:val="1F239A82"/>
    <w:rsid w:val="1F25D615"/>
    <w:rsid w:val="1F303A5D"/>
    <w:rsid w:val="1F356525"/>
    <w:rsid w:val="1F443105"/>
    <w:rsid w:val="1F4991E4"/>
    <w:rsid w:val="1F4A442B"/>
    <w:rsid w:val="1F66AC29"/>
    <w:rsid w:val="1F872A5D"/>
    <w:rsid w:val="1F88A1AA"/>
    <w:rsid w:val="1F90716A"/>
    <w:rsid w:val="1F93C4D2"/>
    <w:rsid w:val="1F97A7D0"/>
    <w:rsid w:val="1FA25F38"/>
    <w:rsid w:val="1FB60411"/>
    <w:rsid w:val="1FBC7756"/>
    <w:rsid w:val="1FC36639"/>
    <w:rsid w:val="1FC8AE00"/>
    <w:rsid w:val="1FCBEAC7"/>
    <w:rsid w:val="1FDD8E0D"/>
    <w:rsid w:val="1FDF3A39"/>
    <w:rsid w:val="1FE6CAC3"/>
    <w:rsid w:val="1FF1BD16"/>
    <w:rsid w:val="2001DB3D"/>
    <w:rsid w:val="200CEBC2"/>
    <w:rsid w:val="201AA858"/>
    <w:rsid w:val="201DC783"/>
    <w:rsid w:val="2033184C"/>
    <w:rsid w:val="204EDEFA"/>
    <w:rsid w:val="2053F70F"/>
    <w:rsid w:val="205758F9"/>
    <w:rsid w:val="206FE16F"/>
    <w:rsid w:val="2070AC7A"/>
    <w:rsid w:val="208930F5"/>
    <w:rsid w:val="209485B3"/>
    <w:rsid w:val="20952D3B"/>
    <w:rsid w:val="209937AD"/>
    <w:rsid w:val="20B2F659"/>
    <w:rsid w:val="20BD7EE5"/>
    <w:rsid w:val="20C7D61A"/>
    <w:rsid w:val="20CD8573"/>
    <w:rsid w:val="20F2F941"/>
    <w:rsid w:val="20F3E596"/>
    <w:rsid w:val="20F58CBA"/>
    <w:rsid w:val="211ED1AE"/>
    <w:rsid w:val="212DE17F"/>
    <w:rsid w:val="2168ECE1"/>
    <w:rsid w:val="2179A783"/>
    <w:rsid w:val="217C812F"/>
    <w:rsid w:val="218973A0"/>
    <w:rsid w:val="21AB4B24"/>
    <w:rsid w:val="21B0BD84"/>
    <w:rsid w:val="21B4E0A8"/>
    <w:rsid w:val="21BFB70D"/>
    <w:rsid w:val="21CE692B"/>
    <w:rsid w:val="21D3E93B"/>
    <w:rsid w:val="21E63173"/>
    <w:rsid w:val="21F2E9CC"/>
    <w:rsid w:val="21F5C755"/>
    <w:rsid w:val="21FDE225"/>
    <w:rsid w:val="21FF6B42"/>
    <w:rsid w:val="220B313D"/>
    <w:rsid w:val="2210C03C"/>
    <w:rsid w:val="2217B991"/>
    <w:rsid w:val="2226D293"/>
    <w:rsid w:val="22274B25"/>
    <w:rsid w:val="2231A388"/>
    <w:rsid w:val="22395BE9"/>
    <w:rsid w:val="22443122"/>
    <w:rsid w:val="224F9A26"/>
    <w:rsid w:val="22680EB1"/>
    <w:rsid w:val="22689514"/>
    <w:rsid w:val="227645E4"/>
    <w:rsid w:val="228B9891"/>
    <w:rsid w:val="22A1C0FF"/>
    <w:rsid w:val="22B1C2D3"/>
    <w:rsid w:val="22B3708F"/>
    <w:rsid w:val="22B394B1"/>
    <w:rsid w:val="22BA2B60"/>
    <w:rsid w:val="22E44FAE"/>
    <w:rsid w:val="22F3AA54"/>
    <w:rsid w:val="23085746"/>
    <w:rsid w:val="2309C7F6"/>
    <w:rsid w:val="2320BD4D"/>
    <w:rsid w:val="23325A9A"/>
    <w:rsid w:val="23370141"/>
    <w:rsid w:val="23388594"/>
    <w:rsid w:val="2354D6E5"/>
    <w:rsid w:val="2355A99F"/>
    <w:rsid w:val="2357C61B"/>
    <w:rsid w:val="2364FAA4"/>
    <w:rsid w:val="2382287B"/>
    <w:rsid w:val="23836E10"/>
    <w:rsid w:val="239C7E47"/>
    <w:rsid w:val="23B1C233"/>
    <w:rsid w:val="23B9D644"/>
    <w:rsid w:val="23C07B06"/>
    <w:rsid w:val="23CC7CF9"/>
    <w:rsid w:val="23D73D3B"/>
    <w:rsid w:val="23DEEF4B"/>
    <w:rsid w:val="23E306E9"/>
    <w:rsid w:val="23E30FA0"/>
    <w:rsid w:val="23E33D1A"/>
    <w:rsid w:val="23E8BD92"/>
    <w:rsid w:val="23EE74EF"/>
    <w:rsid w:val="24087E8B"/>
    <w:rsid w:val="240C7BF3"/>
    <w:rsid w:val="2437E384"/>
    <w:rsid w:val="243F48F2"/>
    <w:rsid w:val="2450D917"/>
    <w:rsid w:val="24547E9F"/>
    <w:rsid w:val="24554454"/>
    <w:rsid w:val="246F4991"/>
    <w:rsid w:val="246F5271"/>
    <w:rsid w:val="24764CBA"/>
    <w:rsid w:val="247E3A23"/>
    <w:rsid w:val="2483ACC8"/>
    <w:rsid w:val="248E45D0"/>
    <w:rsid w:val="248F8A41"/>
    <w:rsid w:val="24A30793"/>
    <w:rsid w:val="24A8ADE8"/>
    <w:rsid w:val="24B1F450"/>
    <w:rsid w:val="24BDF05A"/>
    <w:rsid w:val="24C6515D"/>
    <w:rsid w:val="24CE24F0"/>
    <w:rsid w:val="24D2CB03"/>
    <w:rsid w:val="24DCF6BF"/>
    <w:rsid w:val="24EA4EB1"/>
    <w:rsid w:val="24FAA8B9"/>
    <w:rsid w:val="250D954B"/>
    <w:rsid w:val="2537CE32"/>
    <w:rsid w:val="25501806"/>
    <w:rsid w:val="256B2823"/>
    <w:rsid w:val="256BCEFA"/>
    <w:rsid w:val="2577BB8B"/>
    <w:rsid w:val="25801152"/>
    <w:rsid w:val="258B83B2"/>
    <w:rsid w:val="25AEF526"/>
    <w:rsid w:val="25B39710"/>
    <w:rsid w:val="25D62AA5"/>
    <w:rsid w:val="25DCE0A4"/>
    <w:rsid w:val="25E2BEB9"/>
    <w:rsid w:val="25E36B64"/>
    <w:rsid w:val="25E75566"/>
    <w:rsid w:val="25F37A6B"/>
    <w:rsid w:val="25F9BC4E"/>
    <w:rsid w:val="26183812"/>
    <w:rsid w:val="26390073"/>
    <w:rsid w:val="26585603"/>
    <w:rsid w:val="266EE38C"/>
    <w:rsid w:val="2671583B"/>
    <w:rsid w:val="26784C53"/>
    <w:rsid w:val="26A31BE0"/>
    <w:rsid w:val="26BDF0E8"/>
    <w:rsid w:val="26C219C3"/>
    <w:rsid w:val="26D6D681"/>
    <w:rsid w:val="26E04335"/>
    <w:rsid w:val="26E5C52E"/>
    <w:rsid w:val="26E64194"/>
    <w:rsid w:val="26F64B9D"/>
    <w:rsid w:val="2724AC40"/>
    <w:rsid w:val="27398642"/>
    <w:rsid w:val="2742492D"/>
    <w:rsid w:val="27437A3E"/>
    <w:rsid w:val="274F0E39"/>
    <w:rsid w:val="274F409F"/>
    <w:rsid w:val="275279CF"/>
    <w:rsid w:val="27658C0A"/>
    <w:rsid w:val="2769BEB3"/>
    <w:rsid w:val="27880298"/>
    <w:rsid w:val="2788B115"/>
    <w:rsid w:val="278E1094"/>
    <w:rsid w:val="279E7DC4"/>
    <w:rsid w:val="27A304FF"/>
    <w:rsid w:val="27B6114A"/>
    <w:rsid w:val="27D0BE5B"/>
    <w:rsid w:val="27D87579"/>
    <w:rsid w:val="27FB0165"/>
    <w:rsid w:val="28177CCE"/>
    <w:rsid w:val="284228C1"/>
    <w:rsid w:val="2844DFC3"/>
    <w:rsid w:val="286BD250"/>
    <w:rsid w:val="286EB235"/>
    <w:rsid w:val="2880CA80"/>
    <w:rsid w:val="2884BA78"/>
    <w:rsid w:val="28913DE4"/>
    <w:rsid w:val="289754F9"/>
    <w:rsid w:val="289D46DE"/>
    <w:rsid w:val="28B5201E"/>
    <w:rsid w:val="28BA5DD9"/>
    <w:rsid w:val="28DFC6F2"/>
    <w:rsid w:val="28FCB98B"/>
    <w:rsid w:val="290E1258"/>
    <w:rsid w:val="291D4C1B"/>
    <w:rsid w:val="29267CB8"/>
    <w:rsid w:val="294C22E3"/>
    <w:rsid w:val="294C9BCE"/>
    <w:rsid w:val="294F73E5"/>
    <w:rsid w:val="296BD49A"/>
    <w:rsid w:val="296CD08E"/>
    <w:rsid w:val="297D4C1B"/>
    <w:rsid w:val="298031BB"/>
    <w:rsid w:val="298606A3"/>
    <w:rsid w:val="2987F26A"/>
    <w:rsid w:val="2997F750"/>
    <w:rsid w:val="29AAF44B"/>
    <w:rsid w:val="29B53427"/>
    <w:rsid w:val="29D45ADA"/>
    <w:rsid w:val="29D6217A"/>
    <w:rsid w:val="29FDCA24"/>
    <w:rsid w:val="29FF2BEA"/>
    <w:rsid w:val="2A0E9530"/>
    <w:rsid w:val="2A197BD6"/>
    <w:rsid w:val="2A1FAA28"/>
    <w:rsid w:val="2A3237F6"/>
    <w:rsid w:val="2A352614"/>
    <w:rsid w:val="2A4622F9"/>
    <w:rsid w:val="2A5A6A42"/>
    <w:rsid w:val="2A670957"/>
    <w:rsid w:val="2A6E5DB8"/>
    <w:rsid w:val="2A7DE665"/>
    <w:rsid w:val="2A9B8915"/>
    <w:rsid w:val="2AACC976"/>
    <w:rsid w:val="2AB6BAB5"/>
    <w:rsid w:val="2AC79EB4"/>
    <w:rsid w:val="2AD584E0"/>
    <w:rsid w:val="2B2BEBFF"/>
    <w:rsid w:val="2B2F91B2"/>
    <w:rsid w:val="2B358A76"/>
    <w:rsid w:val="2B3EA327"/>
    <w:rsid w:val="2B4BD14C"/>
    <w:rsid w:val="2B7D7977"/>
    <w:rsid w:val="2B7D87E2"/>
    <w:rsid w:val="2B808B43"/>
    <w:rsid w:val="2B85F5BD"/>
    <w:rsid w:val="2B904F98"/>
    <w:rsid w:val="2BA177FB"/>
    <w:rsid w:val="2BB8E7BA"/>
    <w:rsid w:val="2BBEF0F0"/>
    <w:rsid w:val="2BD55604"/>
    <w:rsid w:val="2BE0F160"/>
    <w:rsid w:val="2BE8AC35"/>
    <w:rsid w:val="2BE9636A"/>
    <w:rsid w:val="2C2FC490"/>
    <w:rsid w:val="2C324DF4"/>
    <w:rsid w:val="2C611B9C"/>
    <w:rsid w:val="2C6A9EAB"/>
    <w:rsid w:val="2C7869CE"/>
    <w:rsid w:val="2C7BC9F5"/>
    <w:rsid w:val="2C7C3B43"/>
    <w:rsid w:val="2CA3DB17"/>
    <w:rsid w:val="2CA6A071"/>
    <w:rsid w:val="2CA937BD"/>
    <w:rsid w:val="2CC3283F"/>
    <w:rsid w:val="2CCB0402"/>
    <w:rsid w:val="2CD8044F"/>
    <w:rsid w:val="2CD957E4"/>
    <w:rsid w:val="2D22A6FF"/>
    <w:rsid w:val="2D3A3187"/>
    <w:rsid w:val="2D408523"/>
    <w:rsid w:val="2D457463"/>
    <w:rsid w:val="2D49A130"/>
    <w:rsid w:val="2D6820B3"/>
    <w:rsid w:val="2D8B485D"/>
    <w:rsid w:val="2D8FB1D4"/>
    <w:rsid w:val="2D96F2FC"/>
    <w:rsid w:val="2D9C43E5"/>
    <w:rsid w:val="2DADF805"/>
    <w:rsid w:val="2DB3E414"/>
    <w:rsid w:val="2DB6AF72"/>
    <w:rsid w:val="2DBF0850"/>
    <w:rsid w:val="2DCABE03"/>
    <w:rsid w:val="2DD2C2BB"/>
    <w:rsid w:val="2DD59FB1"/>
    <w:rsid w:val="2DE86280"/>
    <w:rsid w:val="2DF4DC86"/>
    <w:rsid w:val="2DFF06CD"/>
    <w:rsid w:val="2E08897B"/>
    <w:rsid w:val="2E0F02B2"/>
    <w:rsid w:val="2E2DB634"/>
    <w:rsid w:val="2E32E0E2"/>
    <w:rsid w:val="2E56A8E2"/>
    <w:rsid w:val="2E5C8152"/>
    <w:rsid w:val="2E8EFD58"/>
    <w:rsid w:val="2E91234C"/>
    <w:rsid w:val="2E9BD680"/>
    <w:rsid w:val="2EB55138"/>
    <w:rsid w:val="2EBF1463"/>
    <w:rsid w:val="2EC74AA1"/>
    <w:rsid w:val="2EC8D6C0"/>
    <w:rsid w:val="2ED261AF"/>
    <w:rsid w:val="2EF3ABEE"/>
    <w:rsid w:val="2F01FB3E"/>
    <w:rsid w:val="2F31A869"/>
    <w:rsid w:val="2F31B8CE"/>
    <w:rsid w:val="2F5DC240"/>
    <w:rsid w:val="2F631DD0"/>
    <w:rsid w:val="2F68104D"/>
    <w:rsid w:val="2F71DEB0"/>
    <w:rsid w:val="2F76BB25"/>
    <w:rsid w:val="2F9C0ECD"/>
    <w:rsid w:val="2FB04E01"/>
    <w:rsid w:val="2FB0FEA6"/>
    <w:rsid w:val="2FC403EC"/>
    <w:rsid w:val="2FD9117A"/>
    <w:rsid w:val="2FD987A9"/>
    <w:rsid w:val="2FDE2949"/>
    <w:rsid w:val="2FE06683"/>
    <w:rsid w:val="2FFAA4FB"/>
    <w:rsid w:val="2FFEFCD3"/>
    <w:rsid w:val="30086041"/>
    <w:rsid w:val="3036AEC7"/>
    <w:rsid w:val="3045BE2B"/>
    <w:rsid w:val="304D42CC"/>
    <w:rsid w:val="30508051"/>
    <w:rsid w:val="305A24BA"/>
    <w:rsid w:val="305D2185"/>
    <w:rsid w:val="306265DC"/>
    <w:rsid w:val="308B90E0"/>
    <w:rsid w:val="309F93A6"/>
    <w:rsid w:val="30AC65BC"/>
    <w:rsid w:val="30BC7285"/>
    <w:rsid w:val="30BDAF84"/>
    <w:rsid w:val="30CCDE65"/>
    <w:rsid w:val="30E2ABAC"/>
    <w:rsid w:val="30F22DA0"/>
    <w:rsid w:val="3102CB87"/>
    <w:rsid w:val="312E586A"/>
    <w:rsid w:val="3135CB1C"/>
    <w:rsid w:val="31426530"/>
    <w:rsid w:val="3146B96F"/>
    <w:rsid w:val="31560D60"/>
    <w:rsid w:val="317F723E"/>
    <w:rsid w:val="3181B472"/>
    <w:rsid w:val="31B8A39C"/>
    <w:rsid w:val="31C47EF4"/>
    <w:rsid w:val="31C67AAB"/>
    <w:rsid w:val="3200678A"/>
    <w:rsid w:val="3228BEAF"/>
    <w:rsid w:val="323F385E"/>
    <w:rsid w:val="327CE5C8"/>
    <w:rsid w:val="32839B3C"/>
    <w:rsid w:val="3288D752"/>
    <w:rsid w:val="3289A834"/>
    <w:rsid w:val="329775C4"/>
    <w:rsid w:val="329E37FE"/>
    <w:rsid w:val="32A50825"/>
    <w:rsid w:val="32B11609"/>
    <w:rsid w:val="32B8540B"/>
    <w:rsid w:val="32B8C3A9"/>
    <w:rsid w:val="32BE6D46"/>
    <w:rsid w:val="32C4AC7B"/>
    <w:rsid w:val="32CC25C6"/>
    <w:rsid w:val="32E93001"/>
    <w:rsid w:val="32ED1A46"/>
    <w:rsid w:val="32EE5CA7"/>
    <w:rsid w:val="32FD797D"/>
    <w:rsid w:val="33149F7A"/>
    <w:rsid w:val="33187F5B"/>
    <w:rsid w:val="331BE36B"/>
    <w:rsid w:val="331C904D"/>
    <w:rsid w:val="332ABC2F"/>
    <w:rsid w:val="334005A4"/>
    <w:rsid w:val="33460C8F"/>
    <w:rsid w:val="3346D66F"/>
    <w:rsid w:val="334A1367"/>
    <w:rsid w:val="335A1D34"/>
    <w:rsid w:val="3361F6C2"/>
    <w:rsid w:val="3377A8B6"/>
    <w:rsid w:val="337DAE57"/>
    <w:rsid w:val="3382299E"/>
    <w:rsid w:val="33F12EA0"/>
    <w:rsid w:val="340ACCFC"/>
    <w:rsid w:val="34125F8E"/>
    <w:rsid w:val="341C19C6"/>
    <w:rsid w:val="3423B1FB"/>
    <w:rsid w:val="34593F14"/>
    <w:rsid w:val="345CCD18"/>
    <w:rsid w:val="3464B799"/>
    <w:rsid w:val="3465C219"/>
    <w:rsid w:val="34826BE1"/>
    <w:rsid w:val="3484E1BD"/>
    <w:rsid w:val="34911C17"/>
    <w:rsid w:val="34A7FFCB"/>
    <w:rsid w:val="34A99026"/>
    <w:rsid w:val="34AE7E74"/>
    <w:rsid w:val="34B0F963"/>
    <w:rsid w:val="34BC50A1"/>
    <w:rsid w:val="34C4CA02"/>
    <w:rsid w:val="34F2D6BC"/>
    <w:rsid w:val="3504FE4E"/>
    <w:rsid w:val="352B3817"/>
    <w:rsid w:val="352FAF1F"/>
    <w:rsid w:val="3531FBA0"/>
    <w:rsid w:val="3537FB4A"/>
    <w:rsid w:val="3572324F"/>
    <w:rsid w:val="357D2C1D"/>
    <w:rsid w:val="35917FC2"/>
    <w:rsid w:val="35996DAB"/>
    <w:rsid w:val="35A138EF"/>
    <w:rsid w:val="35A6232B"/>
    <w:rsid w:val="35D29BF1"/>
    <w:rsid w:val="35D63AC0"/>
    <w:rsid w:val="35D94EFC"/>
    <w:rsid w:val="35E442DD"/>
    <w:rsid w:val="3601772A"/>
    <w:rsid w:val="360344E3"/>
    <w:rsid w:val="362DD53C"/>
    <w:rsid w:val="363C7F84"/>
    <w:rsid w:val="3646104B"/>
    <w:rsid w:val="365CE99F"/>
    <w:rsid w:val="3679B01B"/>
    <w:rsid w:val="3679CB80"/>
    <w:rsid w:val="3685D902"/>
    <w:rsid w:val="3687DBF0"/>
    <w:rsid w:val="368BEA0E"/>
    <w:rsid w:val="369433CE"/>
    <w:rsid w:val="36B44641"/>
    <w:rsid w:val="36CA54E9"/>
    <w:rsid w:val="36D52A00"/>
    <w:rsid w:val="36DF6C38"/>
    <w:rsid w:val="36DFE748"/>
    <w:rsid w:val="36E0467B"/>
    <w:rsid w:val="36E6879F"/>
    <w:rsid w:val="36EE75B1"/>
    <w:rsid w:val="371B12B7"/>
    <w:rsid w:val="371CFBE7"/>
    <w:rsid w:val="372721D0"/>
    <w:rsid w:val="372D0274"/>
    <w:rsid w:val="3735B039"/>
    <w:rsid w:val="37488D1E"/>
    <w:rsid w:val="374B3F60"/>
    <w:rsid w:val="374EB65E"/>
    <w:rsid w:val="3755CCD2"/>
    <w:rsid w:val="375BAF2A"/>
    <w:rsid w:val="3766717D"/>
    <w:rsid w:val="37AE61D8"/>
    <w:rsid w:val="37C9FE1B"/>
    <w:rsid w:val="380E5D1A"/>
    <w:rsid w:val="38160251"/>
    <w:rsid w:val="38324192"/>
    <w:rsid w:val="38466B7A"/>
    <w:rsid w:val="384AD9E4"/>
    <w:rsid w:val="3861D2B1"/>
    <w:rsid w:val="38676D17"/>
    <w:rsid w:val="3872140B"/>
    <w:rsid w:val="388E507E"/>
    <w:rsid w:val="3893784C"/>
    <w:rsid w:val="38959F75"/>
    <w:rsid w:val="38A14120"/>
    <w:rsid w:val="38AD2692"/>
    <w:rsid w:val="38B31B94"/>
    <w:rsid w:val="38BE756A"/>
    <w:rsid w:val="38BE83A0"/>
    <w:rsid w:val="38D33AA1"/>
    <w:rsid w:val="38E46BB5"/>
    <w:rsid w:val="38FF46F7"/>
    <w:rsid w:val="3904F75E"/>
    <w:rsid w:val="39061DAE"/>
    <w:rsid w:val="390B070A"/>
    <w:rsid w:val="39119354"/>
    <w:rsid w:val="39133240"/>
    <w:rsid w:val="39190D75"/>
    <w:rsid w:val="3924002C"/>
    <w:rsid w:val="3925E8E4"/>
    <w:rsid w:val="3930C12C"/>
    <w:rsid w:val="395A46AE"/>
    <w:rsid w:val="39650A55"/>
    <w:rsid w:val="396C755F"/>
    <w:rsid w:val="3970F53E"/>
    <w:rsid w:val="397D8056"/>
    <w:rsid w:val="398BB5C7"/>
    <w:rsid w:val="399E92EA"/>
    <w:rsid w:val="39CD630F"/>
    <w:rsid w:val="39DF8872"/>
    <w:rsid w:val="39F14EE7"/>
    <w:rsid w:val="39F49656"/>
    <w:rsid w:val="39FBC706"/>
    <w:rsid w:val="39FBCE0E"/>
    <w:rsid w:val="3A04138A"/>
    <w:rsid w:val="3A1A31B2"/>
    <w:rsid w:val="3A309E44"/>
    <w:rsid w:val="3A3746D2"/>
    <w:rsid w:val="3A375C69"/>
    <w:rsid w:val="3A39F563"/>
    <w:rsid w:val="3A4EDBB0"/>
    <w:rsid w:val="3A71B93B"/>
    <w:rsid w:val="3A7E4B70"/>
    <w:rsid w:val="3A839E66"/>
    <w:rsid w:val="3A86D795"/>
    <w:rsid w:val="3A9942EB"/>
    <w:rsid w:val="3AA2586B"/>
    <w:rsid w:val="3AB4A4B1"/>
    <w:rsid w:val="3ABBBBE3"/>
    <w:rsid w:val="3AD02E33"/>
    <w:rsid w:val="3AD33670"/>
    <w:rsid w:val="3AE3C2D2"/>
    <w:rsid w:val="3AE98AC7"/>
    <w:rsid w:val="3AF66613"/>
    <w:rsid w:val="3B33E676"/>
    <w:rsid w:val="3B3E89D7"/>
    <w:rsid w:val="3B4D4FE9"/>
    <w:rsid w:val="3B50756A"/>
    <w:rsid w:val="3B59C9C0"/>
    <w:rsid w:val="3B6246AB"/>
    <w:rsid w:val="3B6BA267"/>
    <w:rsid w:val="3B7F4175"/>
    <w:rsid w:val="3B889469"/>
    <w:rsid w:val="3B897CC2"/>
    <w:rsid w:val="3B98435A"/>
    <w:rsid w:val="3BA294C2"/>
    <w:rsid w:val="3BACF945"/>
    <w:rsid w:val="3BB5A4B9"/>
    <w:rsid w:val="3BB7D3A6"/>
    <w:rsid w:val="3BBB64DF"/>
    <w:rsid w:val="3BC966D5"/>
    <w:rsid w:val="3BD1E16A"/>
    <w:rsid w:val="3BE13270"/>
    <w:rsid w:val="3BF359FC"/>
    <w:rsid w:val="3C120B47"/>
    <w:rsid w:val="3C1E5DFC"/>
    <w:rsid w:val="3C292D16"/>
    <w:rsid w:val="3C2983D9"/>
    <w:rsid w:val="3C497F9C"/>
    <w:rsid w:val="3C6B6AD3"/>
    <w:rsid w:val="3C84E043"/>
    <w:rsid w:val="3C872ABC"/>
    <w:rsid w:val="3C90FE9C"/>
    <w:rsid w:val="3CB5F218"/>
    <w:rsid w:val="3CCADA94"/>
    <w:rsid w:val="3CE223B4"/>
    <w:rsid w:val="3CE8B771"/>
    <w:rsid w:val="3CEF093F"/>
    <w:rsid w:val="3D0BC8F7"/>
    <w:rsid w:val="3D0C5B05"/>
    <w:rsid w:val="3D10BF09"/>
    <w:rsid w:val="3D160C5B"/>
    <w:rsid w:val="3D47D771"/>
    <w:rsid w:val="3D508051"/>
    <w:rsid w:val="3D6904D8"/>
    <w:rsid w:val="3D70170D"/>
    <w:rsid w:val="3D7F59B9"/>
    <w:rsid w:val="3D891AFB"/>
    <w:rsid w:val="3D8AED4A"/>
    <w:rsid w:val="3D8BE588"/>
    <w:rsid w:val="3D95CA6B"/>
    <w:rsid w:val="3D9F5716"/>
    <w:rsid w:val="3DA19CEB"/>
    <w:rsid w:val="3DA3A6FD"/>
    <w:rsid w:val="3DAC163A"/>
    <w:rsid w:val="3DC444AE"/>
    <w:rsid w:val="3DCCD131"/>
    <w:rsid w:val="3DCE48CC"/>
    <w:rsid w:val="3DCEFF99"/>
    <w:rsid w:val="3DCF996E"/>
    <w:rsid w:val="3DF567CB"/>
    <w:rsid w:val="3E169EED"/>
    <w:rsid w:val="3E20BE99"/>
    <w:rsid w:val="3E217B9A"/>
    <w:rsid w:val="3E48A391"/>
    <w:rsid w:val="3E56ABA8"/>
    <w:rsid w:val="3E5C24E7"/>
    <w:rsid w:val="3E5FF917"/>
    <w:rsid w:val="3E790A88"/>
    <w:rsid w:val="3E86230B"/>
    <w:rsid w:val="3E8FDA3B"/>
    <w:rsid w:val="3E9A6434"/>
    <w:rsid w:val="3EA2E0B2"/>
    <w:rsid w:val="3EA3F59A"/>
    <w:rsid w:val="3EADDC8E"/>
    <w:rsid w:val="3ED7ECB3"/>
    <w:rsid w:val="3ED85BCB"/>
    <w:rsid w:val="3EE16393"/>
    <w:rsid w:val="3EE74A85"/>
    <w:rsid w:val="3EEA82C9"/>
    <w:rsid w:val="3F05042D"/>
    <w:rsid w:val="3F13E14C"/>
    <w:rsid w:val="3F1A1D10"/>
    <w:rsid w:val="3F437803"/>
    <w:rsid w:val="3F454FC4"/>
    <w:rsid w:val="3F45DCD8"/>
    <w:rsid w:val="3F532B39"/>
    <w:rsid w:val="3F5D8FE5"/>
    <w:rsid w:val="3F6DB700"/>
    <w:rsid w:val="3F7FDDA5"/>
    <w:rsid w:val="3F893496"/>
    <w:rsid w:val="3F9C764D"/>
    <w:rsid w:val="3F9E9CF5"/>
    <w:rsid w:val="3FB66FC6"/>
    <w:rsid w:val="3FD63346"/>
    <w:rsid w:val="3FDB973A"/>
    <w:rsid w:val="3FE40F0A"/>
    <w:rsid w:val="3FF26B4A"/>
    <w:rsid w:val="3FF48F31"/>
    <w:rsid w:val="3FF93777"/>
    <w:rsid w:val="3FFF0023"/>
    <w:rsid w:val="400F065D"/>
    <w:rsid w:val="4013DA83"/>
    <w:rsid w:val="40626400"/>
    <w:rsid w:val="4067C0D0"/>
    <w:rsid w:val="4074E810"/>
    <w:rsid w:val="407F24B6"/>
    <w:rsid w:val="407F74B8"/>
    <w:rsid w:val="4083A279"/>
    <w:rsid w:val="4085656F"/>
    <w:rsid w:val="408B69EF"/>
    <w:rsid w:val="4095B8B2"/>
    <w:rsid w:val="40A32745"/>
    <w:rsid w:val="40A4F795"/>
    <w:rsid w:val="40A9C761"/>
    <w:rsid w:val="40ABD1FB"/>
    <w:rsid w:val="40AE247B"/>
    <w:rsid w:val="40B6AFE7"/>
    <w:rsid w:val="40D1855B"/>
    <w:rsid w:val="40D34FFD"/>
    <w:rsid w:val="40D82311"/>
    <w:rsid w:val="40EDDEDC"/>
    <w:rsid w:val="410AF52F"/>
    <w:rsid w:val="410BB03D"/>
    <w:rsid w:val="411218A8"/>
    <w:rsid w:val="4113F65E"/>
    <w:rsid w:val="4116721A"/>
    <w:rsid w:val="41259367"/>
    <w:rsid w:val="415DB20A"/>
    <w:rsid w:val="41635C39"/>
    <w:rsid w:val="416A184B"/>
    <w:rsid w:val="419DB8BA"/>
    <w:rsid w:val="41A733B4"/>
    <w:rsid w:val="41A984A4"/>
    <w:rsid w:val="41B65554"/>
    <w:rsid w:val="41B75AC0"/>
    <w:rsid w:val="41BBB0C9"/>
    <w:rsid w:val="41BCF39E"/>
    <w:rsid w:val="41BD6CC8"/>
    <w:rsid w:val="41BEFA0C"/>
    <w:rsid w:val="41DA64DD"/>
    <w:rsid w:val="41E86DD1"/>
    <w:rsid w:val="41EDF246"/>
    <w:rsid w:val="4218BF6A"/>
    <w:rsid w:val="421A69FE"/>
    <w:rsid w:val="421E9191"/>
    <w:rsid w:val="4230DE07"/>
    <w:rsid w:val="423487B0"/>
    <w:rsid w:val="42384049"/>
    <w:rsid w:val="4251DC4D"/>
    <w:rsid w:val="4254F8D5"/>
    <w:rsid w:val="4257ADE0"/>
    <w:rsid w:val="4295803E"/>
    <w:rsid w:val="42A73069"/>
    <w:rsid w:val="42A776B7"/>
    <w:rsid w:val="42CE7955"/>
    <w:rsid w:val="42DBF3EE"/>
    <w:rsid w:val="42DD606D"/>
    <w:rsid w:val="42EDCE29"/>
    <w:rsid w:val="42F457C5"/>
    <w:rsid w:val="42F74743"/>
    <w:rsid w:val="4301BFC3"/>
    <w:rsid w:val="4302A847"/>
    <w:rsid w:val="4313925B"/>
    <w:rsid w:val="4315930B"/>
    <w:rsid w:val="43292A2E"/>
    <w:rsid w:val="43340AD0"/>
    <w:rsid w:val="4335EE12"/>
    <w:rsid w:val="433B9D19"/>
    <w:rsid w:val="43510E99"/>
    <w:rsid w:val="4389C427"/>
    <w:rsid w:val="4391A2EB"/>
    <w:rsid w:val="43938C03"/>
    <w:rsid w:val="43B3C75F"/>
    <w:rsid w:val="43C85C3D"/>
    <w:rsid w:val="43D21CE1"/>
    <w:rsid w:val="43D93F05"/>
    <w:rsid w:val="43DB6ACE"/>
    <w:rsid w:val="43E1F8DA"/>
    <w:rsid w:val="43ECE22E"/>
    <w:rsid w:val="43FCD579"/>
    <w:rsid w:val="442F1955"/>
    <w:rsid w:val="443C546E"/>
    <w:rsid w:val="444B933D"/>
    <w:rsid w:val="44532392"/>
    <w:rsid w:val="445F14D7"/>
    <w:rsid w:val="44708829"/>
    <w:rsid w:val="44721DAB"/>
    <w:rsid w:val="449426C5"/>
    <w:rsid w:val="44B6B025"/>
    <w:rsid w:val="44C3A27E"/>
    <w:rsid w:val="44C54658"/>
    <w:rsid w:val="44C5DF0F"/>
    <w:rsid w:val="44C938A6"/>
    <w:rsid w:val="44C978C2"/>
    <w:rsid w:val="44CC68E6"/>
    <w:rsid w:val="44F74D89"/>
    <w:rsid w:val="45002182"/>
    <w:rsid w:val="450BFF33"/>
    <w:rsid w:val="45106489"/>
    <w:rsid w:val="45216869"/>
    <w:rsid w:val="4524807D"/>
    <w:rsid w:val="4535880E"/>
    <w:rsid w:val="4539D9FE"/>
    <w:rsid w:val="453A7CD3"/>
    <w:rsid w:val="45470D65"/>
    <w:rsid w:val="4569F6CA"/>
    <w:rsid w:val="45710F4E"/>
    <w:rsid w:val="459CA335"/>
    <w:rsid w:val="45B28B20"/>
    <w:rsid w:val="45CE3D45"/>
    <w:rsid w:val="45D196F6"/>
    <w:rsid w:val="45DF11A8"/>
    <w:rsid w:val="45E324F6"/>
    <w:rsid w:val="45F2B744"/>
    <w:rsid w:val="45F71A75"/>
    <w:rsid w:val="45FAA026"/>
    <w:rsid w:val="4607C693"/>
    <w:rsid w:val="460AE95B"/>
    <w:rsid w:val="462FB97A"/>
    <w:rsid w:val="4638E12E"/>
    <w:rsid w:val="463A0A6F"/>
    <w:rsid w:val="463FEEFE"/>
    <w:rsid w:val="46521AD9"/>
    <w:rsid w:val="4662CA1F"/>
    <w:rsid w:val="468311D6"/>
    <w:rsid w:val="46A03972"/>
    <w:rsid w:val="46A8987D"/>
    <w:rsid w:val="46AA9FE6"/>
    <w:rsid w:val="46BC844D"/>
    <w:rsid w:val="46BF52CB"/>
    <w:rsid w:val="46C40593"/>
    <w:rsid w:val="46CB9F5C"/>
    <w:rsid w:val="46D1F950"/>
    <w:rsid w:val="46D97AA1"/>
    <w:rsid w:val="46F409F6"/>
    <w:rsid w:val="472044E7"/>
    <w:rsid w:val="4728BB6C"/>
    <w:rsid w:val="4733FAA1"/>
    <w:rsid w:val="47428884"/>
    <w:rsid w:val="47832A6B"/>
    <w:rsid w:val="47874C73"/>
    <w:rsid w:val="47A0453D"/>
    <w:rsid w:val="47A35FFC"/>
    <w:rsid w:val="47A8C14C"/>
    <w:rsid w:val="47ADC84B"/>
    <w:rsid w:val="47B7FC2A"/>
    <w:rsid w:val="47DA5DE8"/>
    <w:rsid w:val="47F1A8E1"/>
    <w:rsid w:val="48076F28"/>
    <w:rsid w:val="4813D61E"/>
    <w:rsid w:val="4824EF24"/>
    <w:rsid w:val="48297DE8"/>
    <w:rsid w:val="4838CB9A"/>
    <w:rsid w:val="483F066D"/>
    <w:rsid w:val="484D8EA0"/>
    <w:rsid w:val="48517628"/>
    <w:rsid w:val="48594E69"/>
    <w:rsid w:val="485DAB27"/>
    <w:rsid w:val="486D3F23"/>
    <w:rsid w:val="48779389"/>
    <w:rsid w:val="48834241"/>
    <w:rsid w:val="488C9162"/>
    <w:rsid w:val="48A61D48"/>
    <w:rsid w:val="48D325BE"/>
    <w:rsid w:val="48FCE933"/>
    <w:rsid w:val="4911392E"/>
    <w:rsid w:val="49210A1D"/>
    <w:rsid w:val="49261E61"/>
    <w:rsid w:val="492E90B2"/>
    <w:rsid w:val="4933AC04"/>
    <w:rsid w:val="4960CB45"/>
    <w:rsid w:val="496FFA37"/>
    <w:rsid w:val="4971A5BC"/>
    <w:rsid w:val="49897E1B"/>
    <w:rsid w:val="49B261DD"/>
    <w:rsid w:val="49CA06C7"/>
    <w:rsid w:val="49D35816"/>
    <w:rsid w:val="49E6B296"/>
    <w:rsid w:val="49EF929C"/>
    <w:rsid w:val="49F14B5D"/>
    <w:rsid w:val="4A1B129F"/>
    <w:rsid w:val="4A1E9119"/>
    <w:rsid w:val="4A2C6218"/>
    <w:rsid w:val="4A36DFEC"/>
    <w:rsid w:val="4A4888B1"/>
    <w:rsid w:val="4A53DA47"/>
    <w:rsid w:val="4A54232B"/>
    <w:rsid w:val="4A5782C0"/>
    <w:rsid w:val="4A5AF1E5"/>
    <w:rsid w:val="4A67E59E"/>
    <w:rsid w:val="4A6FB39D"/>
    <w:rsid w:val="4A70E0A8"/>
    <w:rsid w:val="4A812644"/>
    <w:rsid w:val="4AB80171"/>
    <w:rsid w:val="4ABAA260"/>
    <w:rsid w:val="4ABBA22B"/>
    <w:rsid w:val="4ACB9AA8"/>
    <w:rsid w:val="4ACED84B"/>
    <w:rsid w:val="4AD84F77"/>
    <w:rsid w:val="4AE93508"/>
    <w:rsid w:val="4B0FD85A"/>
    <w:rsid w:val="4B1BD8D8"/>
    <w:rsid w:val="4B2C8E56"/>
    <w:rsid w:val="4B31E657"/>
    <w:rsid w:val="4B5DA187"/>
    <w:rsid w:val="4B5F8108"/>
    <w:rsid w:val="4B78D434"/>
    <w:rsid w:val="4BA762E4"/>
    <w:rsid w:val="4BC36BB9"/>
    <w:rsid w:val="4BC55EC5"/>
    <w:rsid w:val="4BD67AB2"/>
    <w:rsid w:val="4BED0C62"/>
    <w:rsid w:val="4C0A817D"/>
    <w:rsid w:val="4C0BC0D4"/>
    <w:rsid w:val="4C0DB019"/>
    <w:rsid w:val="4C1ED64D"/>
    <w:rsid w:val="4C29A52F"/>
    <w:rsid w:val="4C2F18F0"/>
    <w:rsid w:val="4C48DC81"/>
    <w:rsid w:val="4C4E7928"/>
    <w:rsid w:val="4C5B6339"/>
    <w:rsid w:val="4C61CCBF"/>
    <w:rsid w:val="4C6B1804"/>
    <w:rsid w:val="4C729B2D"/>
    <w:rsid w:val="4C7D4C2C"/>
    <w:rsid w:val="4CC56683"/>
    <w:rsid w:val="4CE7D274"/>
    <w:rsid w:val="4CEE7D96"/>
    <w:rsid w:val="4D049F53"/>
    <w:rsid w:val="4D0C8B4A"/>
    <w:rsid w:val="4D18600D"/>
    <w:rsid w:val="4D24D8B6"/>
    <w:rsid w:val="4D3908BB"/>
    <w:rsid w:val="4D3AFE9E"/>
    <w:rsid w:val="4D55EDC1"/>
    <w:rsid w:val="4D6FF39C"/>
    <w:rsid w:val="4D73C84F"/>
    <w:rsid w:val="4D7E42AB"/>
    <w:rsid w:val="4D81063F"/>
    <w:rsid w:val="4D925C2D"/>
    <w:rsid w:val="4D996967"/>
    <w:rsid w:val="4DA57628"/>
    <w:rsid w:val="4DAB8875"/>
    <w:rsid w:val="4DBE77CB"/>
    <w:rsid w:val="4DDCE5B4"/>
    <w:rsid w:val="4E037C86"/>
    <w:rsid w:val="4E049757"/>
    <w:rsid w:val="4E0DA1EA"/>
    <w:rsid w:val="4E36C2BF"/>
    <w:rsid w:val="4E3C48B4"/>
    <w:rsid w:val="4E3D3351"/>
    <w:rsid w:val="4E454C57"/>
    <w:rsid w:val="4E47626D"/>
    <w:rsid w:val="4E48CBCE"/>
    <w:rsid w:val="4E56B093"/>
    <w:rsid w:val="4E5B4056"/>
    <w:rsid w:val="4E741ED3"/>
    <w:rsid w:val="4E7C280F"/>
    <w:rsid w:val="4E811D34"/>
    <w:rsid w:val="4E874F29"/>
    <w:rsid w:val="4E8E8598"/>
    <w:rsid w:val="4E921BAD"/>
    <w:rsid w:val="4E98C7FE"/>
    <w:rsid w:val="4EB27DD2"/>
    <w:rsid w:val="4EBDB130"/>
    <w:rsid w:val="4ECBBFBE"/>
    <w:rsid w:val="4F03D812"/>
    <w:rsid w:val="4F0FAEA0"/>
    <w:rsid w:val="4F1CCF32"/>
    <w:rsid w:val="4F205099"/>
    <w:rsid w:val="4F274611"/>
    <w:rsid w:val="4F288180"/>
    <w:rsid w:val="4F488A5C"/>
    <w:rsid w:val="4F48FAEB"/>
    <w:rsid w:val="4F593FC7"/>
    <w:rsid w:val="4F626FC8"/>
    <w:rsid w:val="4F793069"/>
    <w:rsid w:val="4F93D1C3"/>
    <w:rsid w:val="4F999A40"/>
    <w:rsid w:val="4FA715DE"/>
    <w:rsid w:val="4FCF4BCB"/>
    <w:rsid w:val="4FE44074"/>
    <w:rsid w:val="4FECB5A6"/>
    <w:rsid w:val="4FF2497B"/>
    <w:rsid w:val="502326A1"/>
    <w:rsid w:val="50546AC4"/>
    <w:rsid w:val="5055E38A"/>
    <w:rsid w:val="5062BC99"/>
    <w:rsid w:val="50797920"/>
    <w:rsid w:val="5089EA1E"/>
    <w:rsid w:val="50901989"/>
    <w:rsid w:val="50CA6771"/>
    <w:rsid w:val="50D1F52A"/>
    <w:rsid w:val="50D3EF6D"/>
    <w:rsid w:val="50D71142"/>
    <w:rsid w:val="50DF9C67"/>
    <w:rsid w:val="50E9EBC8"/>
    <w:rsid w:val="50F65079"/>
    <w:rsid w:val="510DBFD0"/>
    <w:rsid w:val="51142CA5"/>
    <w:rsid w:val="5125B236"/>
    <w:rsid w:val="51287B7B"/>
    <w:rsid w:val="5129E0DA"/>
    <w:rsid w:val="512D2723"/>
    <w:rsid w:val="51414302"/>
    <w:rsid w:val="514540BE"/>
    <w:rsid w:val="51558915"/>
    <w:rsid w:val="51563192"/>
    <w:rsid w:val="51653AF6"/>
    <w:rsid w:val="5166E6E2"/>
    <w:rsid w:val="51671CC0"/>
    <w:rsid w:val="516EDCE1"/>
    <w:rsid w:val="51779D7F"/>
    <w:rsid w:val="517CAAC3"/>
    <w:rsid w:val="5196B3C4"/>
    <w:rsid w:val="51A2020F"/>
    <w:rsid w:val="51B3A7EA"/>
    <w:rsid w:val="51C8D9BC"/>
    <w:rsid w:val="51D0DEAE"/>
    <w:rsid w:val="51D39202"/>
    <w:rsid w:val="51DD6D23"/>
    <w:rsid w:val="51F1C0DE"/>
    <w:rsid w:val="51FBAAC7"/>
    <w:rsid w:val="51FD40CC"/>
    <w:rsid w:val="52028FD2"/>
    <w:rsid w:val="5207F235"/>
    <w:rsid w:val="520D3BEB"/>
    <w:rsid w:val="522FC773"/>
    <w:rsid w:val="522FD60C"/>
    <w:rsid w:val="5231AE05"/>
    <w:rsid w:val="523CCBC3"/>
    <w:rsid w:val="52405CD9"/>
    <w:rsid w:val="5246624C"/>
    <w:rsid w:val="525C65C7"/>
    <w:rsid w:val="526D4475"/>
    <w:rsid w:val="52760311"/>
    <w:rsid w:val="5277B18B"/>
    <w:rsid w:val="527CF177"/>
    <w:rsid w:val="52981B94"/>
    <w:rsid w:val="529A5D52"/>
    <w:rsid w:val="52B11A6B"/>
    <w:rsid w:val="52D5001D"/>
    <w:rsid w:val="52DB4517"/>
    <w:rsid w:val="52E1A3B3"/>
    <w:rsid w:val="52E48036"/>
    <w:rsid w:val="52E5B02F"/>
    <w:rsid w:val="52F13BE8"/>
    <w:rsid w:val="52FDEF60"/>
    <w:rsid w:val="53125903"/>
    <w:rsid w:val="531619DA"/>
    <w:rsid w:val="53226EE7"/>
    <w:rsid w:val="5322C238"/>
    <w:rsid w:val="53725233"/>
    <w:rsid w:val="53733809"/>
    <w:rsid w:val="53876741"/>
    <w:rsid w:val="53992B86"/>
    <w:rsid w:val="53C940D3"/>
    <w:rsid w:val="53C9B6F2"/>
    <w:rsid w:val="53CCDB52"/>
    <w:rsid w:val="54111EA8"/>
    <w:rsid w:val="54182436"/>
    <w:rsid w:val="54520B0E"/>
    <w:rsid w:val="546C806F"/>
    <w:rsid w:val="5471B700"/>
    <w:rsid w:val="54766ED3"/>
    <w:rsid w:val="5496086A"/>
    <w:rsid w:val="54B107FA"/>
    <w:rsid w:val="54B261A4"/>
    <w:rsid w:val="54CFD478"/>
    <w:rsid w:val="54DFC931"/>
    <w:rsid w:val="54FA5BD8"/>
    <w:rsid w:val="55476478"/>
    <w:rsid w:val="55CDDF7E"/>
    <w:rsid w:val="55D8F4AC"/>
    <w:rsid w:val="55F71495"/>
    <w:rsid w:val="55FB10DC"/>
    <w:rsid w:val="5603AD00"/>
    <w:rsid w:val="5607A342"/>
    <w:rsid w:val="5610BB31"/>
    <w:rsid w:val="5612CD3D"/>
    <w:rsid w:val="562CB58F"/>
    <w:rsid w:val="5648D141"/>
    <w:rsid w:val="5650947D"/>
    <w:rsid w:val="56644905"/>
    <w:rsid w:val="5670CAE5"/>
    <w:rsid w:val="567BD591"/>
    <w:rsid w:val="5681E5A9"/>
    <w:rsid w:val="56956BF6"/>
    <w:rsid w:val="5697AEAD"/>
    <w:rsid w:val="56C3B49C"/>
    <w:rsid w:val="56CD0CB2"/>
    <w:rsid w:val="56E18FD8"/>
    <w:rsid w:val="56E5545F"/>
    <w:rsid w:val="56E7B4A8"/>
    <w:rsid w:val="56EBF779"/>
    <w:rsid w:val="570390FF"/>
    <w:rsid w:val="5710AE6A"/>
    <w:rsid w:val="5712B8BC"/>
    <w:rsid w:val="5736DAF3"/>
    <w:rsid w:val="57591BE5"/>
    <w:rsid w:val="5777557F"/>
    <w:rsid w:val="577A6BCB"/>
    <w:rsid w:val="577A894C"/>
    <w:rsid w:val="57886E65"/>
    <w:rsid w:val="578F27E4"/>
    <w:rsid w:val="5797B277"/>
    <w:rsid w:val="57A2407F"/>
    <w:rsid w:val="57AEA356"/>
    <w:rsid w:val="57B292BC"/>
    <w:rsid w:val="57BB8492"/>
    <w:rsid w:val="57D5B4CE"/>
    <w:rsid w:val="57D95FE6"/>
    <w:rsid w:val="58012EFB"/>
    <w:rsid w:val="581EB2C5"/>
    <w:rsid w:val="58346059"/>
    <w:rsid w:val="583EA117"/>
    <w:rsid w:val="58430A28"/>
    <w:rsid w:val="585C48A0"/>
    <w:rsid w:val="586DDBA6"/>
    <w:rsid w:val="587B27FD"/>
    <w:rsid w:val="5882DF9D"/>
    <w:rsid w:val="5888C6FC"/>
    <w:rsid w:val="589D59A0"/>
    <w:rsid w:val="58C15C50"/>
    <w:rsid w:val="58CBDCEF"/>
    <w:rsid w:val="58D46772"/>
    <w:rsid w:val="58EF6107"/>
    <w:rsid w:val="58F113E0"/>
    <w:rsid w:val="58F92EF2"/>
    <w:rsid w:val="591A6C1B"/>
    <w:rsid w:val="591D2C21"/>
    <w:rsid w:val="59353FD2"/>
    <w:rsid w:val="594C2A13"/>
    <w:rsid w:val="594C6AB3"/>
    <w:rsid w:val="595F0923"/>
    <w:rsid w:val="5994B848"/>
    <w:rsid w:val="59962C68"/>
    <w:rsid w:val="5998985B"/>
    <w:rsid w:val="59A4397A"/>
    <w:rsid w:val="59B6533D"/>
    <w:rsid w:val="59FED453"/>
    <w:rsid w:val="5A2D469B"/>
    <w:rsid w:val="5A343FDA"/>
    <w:rsid w:val="5A36B523"/>
    <w:rsid w:val="5A4E9715"/>
    <w:rsid w:val="5A4EF699"/>
    <w:rsid w:val="5A541038"/>
    <w:rsid w:val="5A650343"/>
    <w:rsid w:val="5A7E9026"/>
    <w:rsid w:val="5A7F619C"/>
    <w:rsid w:val="5A9A814E"/>
    <w:rsid w:val="5A9E3AE0"/>
    <w:rsid w:val="5AB764AC"/>
    <w:rsid w:val="5AB95831"/>
    <w:rsid w:val="5ABC8E79"/>
    <w:rsid w:val="5AC822D1"/>
    <w:rsid w:val="5AD1E2C3"/>
    <w:rsid w:val="5AE11B0A"/>
    <w:rsid w:val="5AECE962"/>
    <w:rsid w:val="5B16FDE7"/>
    <w:rsid w:val="5B195750"/>
    <w:rsid w:val="5B3908DF"/>
    <w:rsid w:val="5B3E6C1E"/>
    <w:rsid w:val="5B3F40DA"/>
    <w:rsid w:val="5B400E2C"/>
    <w:rsid w:val="5B4140F3"/>
    <w:rsid w:val="5B41B0A6"/>
    <w:rsid w:val="5B536484"/>
    <w:rsid w:val="5B53818E"/>
    <w:rsid w:val="5B5AA5DB"/>
    <w:rsid w:val="5B66A746"/>
    <w:rsid w:val="5B6E13DD"/>
    <w:rsid w:val="5B9C3756"/>
    <w:rsid w:val="5B9F018F"/>
    <w:rsid w:val="5BA5D0F5"/>
    <w:rsid w:val="5BA73CDD"/>
    <w:rsid w:val="5BB52DE5"/>
    <w:rsid w:val="5BCBB63D"/>
    <w:rsid w:val="5BD8153A"/>
    <w:rsid w:val="5BE310C5"/>
    <w:rsid w:val="5BF04CD8"/>
    <w:rsid w:val="5C1623C6"/>
    <w:rsid w:val="5C2627A9"/>
    <w:rsid w:val="5C6BC683"/>
    <w:rsid w:val="5C8111EE"/>
    <w:rsid w:val="5C85046F"/>
    <w:rsid w:val="5C8FEDAF"/>
    <w:rsid w:val="5C920B46"/>
    <w:rsid w:val="5CA070B2"/>
    <w:rsid w:val="5CC712C2"/>
    <w:rsid w:val="5CCB0532"/>
    <w:rsid w:val="5CD139D0"/>
    <w:rsid w:val="5CD3F23E"/>
    <w:rsid w:val="5CD8695B"/>
    <w:rsid w:val="5CDCB072"/>
    <w:rsid w:val="5D031F8B"/>
    <w:rsid w:val="5D07DA43"/>
    <w:rsid w:val="5D09A6D2"/>
    <w:rsid w:val="5D1E5FCA"/>
    <w:rsid w:val="5D2DE472"/>
    <w:rsid w:val="5D3944CC"/>
    <w:rsid w:val="5D4BCF04"/>
    <w:rsid w:val="5D595203"/>
    <w:rsid w:val="5D5D01FB"/>
    <w:rsid w:val="5D62A24F"/>
    <w:rsid w:val="5D658B53"/>
    <w:rsid w:val="5D6A42D5"/>
    <w:rsid w:val="5D6DF2FC"/>
    <w:rsid w:val="5D93ADCE"/>
    <w:rsid w:val="5D94CDCA"/>
    <w:rsid w:val="5D97F419"/>
    <w:rsid w:val="5DA2F050"/>
    <w:rsid w:val="5DA84AC9"/>
    <w:rsid w:val="5DA87BC5"/>
    <w:rsid w:val="5DAD69AE"/>
    <w:rsid w:val="5DB5391C"/>
    <w:rsid w:val="5DCFF35F"/>
    <w:rsid w:val="5DE88042"/>
    <w:rsid w:val="5DF0FF7D"/>
    <w:rsid w:val="5DF476BE"/>
    <w:rsid w:val="5DFCEDA3"/>
    <w:rsid w:val="5E07DE0E"/>
    <w:rsid w:val="5E163B6D"/>
    <w:rsid w:val="5E20D9B7"/>
    <w:rsid w:val="5E21BAC1"/>
    <w:rsid w:val="5E2CFD58"/>
    <w:rsid w:val="5E321689"/>
    <w:rsid w:val="5E46B308"/>
    <w:rsid w:val="5E46D812"/>
    <w:rsid w:val="5E75EE90"/>
    <w:rsid w:val="5E895343"/>
    <w:rsid w:val="5E996B41"/>
    <w:rsid w:val="5E9DF2EA"/>
    <w:rsid w:val="5EA981E5"/>
    <w:rsid w:val="5EACB894"/>
    <w:rsid w:val="5EB9AE33"/>
    <w:rsid w:val="5EC4BDCA"/>
    <w:rsid w:val="5ED55977"/>
    <w:rsid w:val="5EEA4099"/>
    <w:rsid w:val="5F11DA80"/>
    <w:rsid w:val="5F1201E6"/>
    <w:rsid w:val="5F19CC52"/>
    <w:rsid w:val="5F1C65D8"/>
    <w:rsid w:val="5F378EEF"/>
    <w:rsid w:val="5F401C3A"/>
    <w:rsid w:val="5F55621F"/>
    <w:rsid w:val="5F5E0E99"/>
    <w:rsid w:val="5F863E42"/>
    <w:rsid w:val="5F8C18B9"/>
    <w:rsid w:val="5FBA7E9E"/>
    <w:rsid w:val="5FCB5443"/>
    <w:rsid w:val="5FD90962"/>
    <w:rsid w:val="5FF24F43"/>
    <w:rsid w:val="5FF5FFF1"/>
    <w:rsid w:val="6007729A"/>
    <w:rsid w:val="601FF6A4"/>
    <w:rsid w:val="60364CBC"/>
    <w:rsid w:val="603E7B93"/>
    <w:rsid w:val="6057AEE9"/>
    <w:rsid w:val="605C85A8"/>
    <w:rsid w:val="606DFCCF"/>
    <w:rsid w:val="607CF648"/>
    <w:rsid w:val="6083315F"/>
    <w:rsid w:val="60847013"/>
    <w:rsid w:val="6091B31D"/>
    <w:rsid w:val="60943897"/>
    <w:rsid w:val="60A388AB"/>
    <w:rsid w:val="60D797E9"/>
    <w:rsid w:val="60FA0F06"/>
    <w:rsid w:val="60FB036A"/>
    <w:rsid w:val="611E212A"/>
    <w:rsid w:val="611F19DF"/>
    <w:rsid w:val="614C20CF"/>
    <w:rsid w:val="6152525C"/>
    <w:rsid w:val="6153245A"/>
    <w:rsid w:val="616E0084"/>
    <w:rsid w:val="61769B48"/>
    <w:rsid w:val="6176CC8E"/>
    <w:rsid w:val="617B6CEF"/>
    <w:rsid w:val="61814F11"/>
    <w:rsid w:val="618717AE"/>
    <w:rsid w:val="619F18B9"/>
    <w:rsid w:val="61AB18D6"/>
    <w:rsid w:val="61AC31FC"/>
    <w:rsid w:val="61BA5DF9"/>
    <w:rsid w:val="61CF604F"/>
    <w:rsid w:val="61D94DC6"/>
    <w:rsid w:val="61E1D56C"/>
    <w:rsid w:val="61FC62E3"/>
    <w:rsid w:val="622D0CF9"/>
    <w:rsid w:val="622F20A0"/>
    <w:rsid w:val="6240B161"/>
    <w:rsid w:val="6248C0BE"/>
    <w:rsid w:val="62492CA2"/>
    <w:rsid w:val="626414F2"/>
    <w:rsid w:val="62699D7A"/>
    <w:rsid w:val="626B0FF8"/>
    <w:rsid w:val="6273FA4F"/>
    <w:rsid w:val="6290A246"/>
    <w:rsid w:val="62A63A0A"/>
    <w:rsid w:val="62A82A74"/>
    <w:rsid w:val="62EC440A"/>
    <w:rsid w:val="62F14B6A"/>
    <w:rsid w:val="62FB92F9"/>
    <w:rsid w:val="6303A814"/>
    <w:rsid w:val="631078D4"/>
    <w:rsid w:val="6315D832"/>
    <w:rsid w:val="63213D0D"/>
    <w:rsid w:val="6335402A"/>
    <w:rsid w:val="6336DAD1"/>
    <w:rsid w:val="63479174"/>
    <w:rsid w:val="6355AE8B"/>
    <w:rsid w:val="63583959"/>
    <w:rsid w:val="63598DAF"/>
    <w:rsid w:val="6367338D"/>
    <w:rsid w:val="638C137D"/>
    <w:rsid w:val="638F8121"/>
    <w:rsid w:val="6390A2DB"/>
    <w:rsid w:val="639386E6"/>
    <w:rsid w:val="63A87B04"/>
    <w:rsid w:val="63BC60C5"/>
    <w:rsid w:val="63C33CC8"/>
    <w:rsid w:val="63C5EA8E"/>
    <w:rsid w:val="63CCB7D8"/>
    <w:rsid w:val="63CF4A3C"/>
    <w:rsid w:val="63CF7BFD"/>
    <w:rsid w:val="63DED411"/>
    <w:rsid w:val="63F7C4AC"/>
    <w:rsid w:val="641AED70"/>
    <w:rsid w:val="64321602"/>
    <w:rsid w:val="6447F8D1"/>
    <w:rsid w:val="644CB452"/>
    <w:rsid w:val="6470D310"/>
    <w:rsid w:val="647CB8BD"/>
    <w:rsid w:val="647F106A"/>
    <w:rsid w:val="648F69FA"/>
    <w:rsid w:val="64B5146C"/>
    <w:rsid w:val="64BF562D"/>
    <w:rsid w:val="64D7E013"/>
    <w:rsid w:val="64D9D37B"/>
    <w:rsid w:val="64E6D63A"/>
    <w:rsid w:val="64F40A2C"/>
    <w:rsid w:val="64F454BF"/>
    <w:rsid w:val="65015EA3"/>
    <w:rsid w:val="65032868"/>
    <w:rsid w:val="6504F556"/>
    <w:rsid w:val="65105A79"/>
    <w:rsid w:val="651708FE"/>
    <w:rsid w:val="6525D668"/>
    <w:rsid w:val="652BE94C"/>
    <w:rsid w:val="652E6ED3"/>
    <w:rsid w:val="654EA6D4"/>
    <w:rsid w:val="6564B8B3"/>
    <w:rsid w:val="657ABF15"/>
    <w:rsid w:val="65814827"/>
    <w:rsid w:val="658B5D26"/>
    <w:rsid w:val="65D1469F"/>
    <w:rsid w:val="65D63177"/>
    <w:rsid w:val="65DD6C2B"/>
    <w:rsid w:val="65EEA4EB"/>
    <w:rsid w:val="66001206"/>
    <w:rsid w:val="6608DECC"/>
    <w:rsid w:val="66180C4D"/>
    <w:rsid w:val="66192669"/>
    <w:rsid w:val="662A9A6F"/>
    <w:rsid w:val="66541E86"/>
    <w:rsid w:val="66556638"/>
    <w:rsid w:val="666E39A9"/>
    <w:rsid w:val="666F8610"/>
    <w:rsid w:val="666FE587"/>
    <w:rsid w:val="66828AE9"/>
    <w:rsid w:val="66980375"/>
    <w:rsid w:val="669B2F95"/>
    <w:rsid w:val="66A93BAB"/>
    <w:rsid w:val="66B0163F"/>
    <w:rsid w:val="66B943FB"/>
    <w:rsid w:val="66BF8CF9"/>
    <w:rsid w:val="66C1AFB0"/>
    <w:rsid w:val="66CAF50B"/>
    <w:rsid w:val="66DA4099"/>
    <w:rsid w:val="66DD5249"/>
    <w:rsid w:val="66F2CB82"/>
    <w:rsid w:val="67135B4A"/>
    <w:rsid w:val="6715AA10"/>
    <w:rsid w:val="672ADE0D"/>
    <w:rsid w:val="6733B648"/>
    <w:rsid w:val="673BFC4D"/>
    <w:rsid w:val="6755FE04"/>
    <w:rsid w:val="675C84D4"/>
    <w:rsid w:val="675D0927"/>
    <w:rsid w:val="67652E7D"/>
    <w:rsid w:val="6781BD8C"/>
    <w:rsid w:val="67833C23"/>
    <w:rsid w:val="6798F9E4"/>
    <w:rsid w:val="679E6CFD"/>
    <w:rsid w:val="67AFE087"/>
    <w:rsid w:val="67B176F8"/>
    <w:rsid w:val="67CF2543"/>
    <w:rsid w:val="67D17026"/>
    <w:rsid w:val="67E0AC69"/>
    <w:rsid w:val="67EAC91A"/>
    <w:rsid w:val="680DB84E"/>
    <w:rsid w:val="680E4EF5"/>
    <w:rsid w:val="682A1C22"/>
    <w:rsid w:val="682EF117"/>
    <w:rsid w:val="68332C4A"/>
    <w:rsid w:val="683F49DA"/>
    <w:rsid w:val="68556832"/>
    <w:rsid w:val="685E932B"/>
    <w:rsid w:val="686B8DED"/>
    <w:rsid w:val="68726E30"/>
    <w:rsid w:val="687B3E22"/>
    <w:rsid w:val="6882C339"/>
    <w:rsid w:val="6883345C"/>
    <w:rsid w:val="68953C42"/>
    <w:rsid w:val="689D49E2"/>
    <w:rsid w:val="68BF30D6"/>
    <w:rsid w:val="68C88A62"/>
    <w:rsid w:val="68DA081C"/>
    <w:rsid w:val="68DDE030"/>
    <w:rsid w:val="68E33C9F"/>
    <w:rsid w:val="68ED3DA0"/>
    <w:rsid w:val="68EF7842"/>
    <w:rsid w:val="692252DB"/>
    <w:rsid w:val="69407EA5"/>
    <w:rsid w:val="6946D693"/>
    <w:rsid w:val="695BF1B6"/>
    <w:rsid w:val="69630D5B"/>
    <w:rsid w:val="696E8996"/>
    <w:rsid w:val="69802891"/>
    <w:rsid w:val="698C7FF0"/>
    <w:rsid w:val="69932688"/>
    <w:rsid w:val="69984480"/>
    <w:rsid w:val="69A5DCA3"/>
    <w:rsid w:val="69A9DBE7"/>
    <w:rsid w:val="69F1ABE3"/>
    <w:rsid w:val="69FF8F39"/>
    <w:rsid w:val="6A083F82"/>
    <w:rsid w:val="6A0E61FA"/>
    <w:rsid w:val="6A115991"/>
    <w:rsid w:val="6A1F8557"/>
    <w:rsid w:val="6A20E1B0"/>
    <w:rsid w:val="6A2ED83F"/>
    <w:rsid w:val="6A364353"/>
    <w:rsid w:val="6A4E5826"/>
    <w:rsid w:val="6A509A9D"/>
    <w:rsid w:val="6A5BF58E"/>
    <w:rsid w:val="6A60EBFE"/>
    <w:rsid w:val="6A647FFA"/>
    <w:rsid w:val="6A8B75E5"/>
    <w:rsid w:val="6A9EFF5D"/>
    <w:rsid w:val="6AAFD68F"/>
    <w:rsid w:val="6ABE1051"/>
    <w:rsid w:val="6ACEE00A"/>
    <w:rsid w:val="6AD607A3"/>
    <w:rsid w:val="6AD7C142"/>
    <w:rsid w:val="6AD9E1DF"/>
    <w:rsid w:val="6AF336BA"/>
    <w:rsid w:val="6AF9A5C7"/>
    <w:rsid w:val="6B0E6945"/>
    <w:rsid w:val="6B101ACB"/>
    <w:rsid w:val="6B12C664"/>
    <w:rsid w:val="6B335283"/>
    <w:rsid w:val="6B39CC82"/>
    <w:rsid w:val="6B42D9C5"/>
    <w:rsid w:val="6B483DF2"/>
    <w:rsid w:val="6B50F975"/>
    <w:rsid w:val="6B580D4B"/>
    <w:rsid w:val="6B5D1725"/>
    <w:rsid w:val="6B5F4BE5"/>
    <w:rsid w:val="6B8CEE23"/>
    <w:rsid w:val="6B9CE6A4"/>
    <w:rsid w:val="6BAA33E0"/>
    <w:rsid w:val="6BB2BC98"/>
    <w:rsid w:val="6BCF48F8"/>
    <w:rsid w:val="6BEE1152"/>
    <w:rsid w:val="6C079651"/>
    <w:rsid w:val="6C227CC6"/>
    <w:rsid w:val="6C2CE3DC"/>
    <w:rsid w:val="6C2CF861"/>
    <w:rsid w:val="6C3101B9"/>
    <w:rsid w:val="6C332A44"/>
    <w:rsid w:val="6C362D22"/>
    <w:rsid w:val="6C37DEC2"/>
    <w:rsid w:val="6C519684"/>
    <w:rsid w:val="6C56B5B9"/>
    <w:rsid w:val="6C619876"/>
    <w:rsid w:val="6C71176B"/>
    <w:rsid w:val="6C9392FF"/>
    <w:rsid w:val="6CA08F5C"/>
    <w:rsid w:val="6CA2E6C3"/>
    <w:rsid w:val="6CBCDF4B"/>
    <w:rsid w:val="6CC01231"/>
    <w:rsid w:val="6CD3F895"/>
    <w:rsid w:val="6CD413A1"/>
    <w:rsid w:val="6CE3D37F"/>
    <w:rsid w:val="6CF887E4"/>
    <w:rsid w:val="6CFBE93C"/>
    <w:rsid w:val="6D028E46"/>
    <w:rsid w:val="6D0F4BA5"/>
    <w:rsid w:val="6D17ACF4"/>
    <w:rsid w:val="6D31FEF8"/>
    <w:rsid w:val="6D35CF0D"/>
    <w:rsid w:val="6D4C0741"/>
    <w:rsid w:val="6D568B17"/>
    <w:rsid w:val="6D5F5DBB"/>
    <w:rsid w:val="6D7CE9C6"/>
    <w:rsid w:val="6D8B4BE3"/>
    <w:rsid w:val="6D8C93D3"/>
    <w:rsid w:val="6DA8FCAA"/>
    <w:rsid w:val="6DAA51C6"/>
    <w:rsid w:val="6DAE851F"/>
    <w:rsid w:val="6DB08810"/>
    <w:rsid w:val="6DC10606"/>
    <w:rsid w:val="6DCF83E5"/>
    <w:rsid w:val="6DF07E37"/>
    <w:rsid w:val="6DF4299B"/>
    <w:rsid w:val="6DF8D593"/>
    <w:rsid w:val="6E01FCE9"/>
    <w:rsid w:val="6E092D6D"/>
    <w:rsid w:val="6E208497"/>
    <w:rsid w:val="6E34550A"/>
    <w:rsid w:val="6E368428"/>
    <w:rsid w:val="6E469433"/>
    <w:rsid w:val="6E5252D4"/>
    <w:rsid w:val="6E8064F1"/>
    <w:rsid w:val="6E9FABF7"/>
    <w:rsid w:val="6EA5DA08"/>
    <w:rsid w:val="6EC896B1"/>
    <w:rsid w:val="6ECF664E"/>
    <w:rsid w:val="6EE4EFFD"/>
    <w:rsid w:val="6EFCD43C"/>
    <w:rsid w:val="6F0226C1"/>
    <w:rsid w:val="6F04A11D"/>
    <w:rsid w:val="6F112764"/>
    <w:rsid w:val="6F19810C"/>
    <w:rsid w:val="6F1EBCFD"/>
    <w:rsid w:val="6F1F5C8B"/>
    <w:rsid w:val="6F20EA69"/>
    <w:rsid w:val="6F231ABD"/>
    <w:rsid w:val="6F4651FD"/>
    <w:rsid w:val="6F4B6C68"/>
    <w:rsid w:val="6F4D2A2A"/>
    <w:rsid w:val="6F62719C"/>
    <w:rsid w:val="6F6D6B06"/>
    <w:rsid w:val="6F762D75"/>
    <w:rsid w:val="6F8D9113"/>
    <w:rsid w:val="6F95DD00"/>
    <w:rsid w:val="6F98717B"/>
    <w:rsid w:val="6FA134CA"/>
    <w:rsid w:val="6FA7D01E"/>
    <w:rsid w:val="6FA98622"/>
    <w:rsid w:val="6FB43E11"/>
    <w:rsid w:val="6FCB73E7"/>
    <w:rsid w:val="6FD13933"/>
    <w:rsid w:val="6FD1ECE6"/>
    <w:rsid w:val="6FE92271"/>
    <w:rsid w:val="6FEC946C"/>
    <w:rsid w:val="7013A6D6"/>
    <w:rsid w:val="7020BDD4"/>
    <w:rsid w:val="70266B1F"/>
    <w:rsid w:val="702DBCD7"/>
    <w:rsid w:val="7038F605"/>
    <w:rsid w:val="703B097D"/>
    <w:rsid w:val="7048027A"/>
    <w:rsid w:val="7049230E"/>
    <w:rsid w:val="70609FF3"/>
    <w:rsid w:val="7062CDA8"/>
    <w:rsid w:val="706C0FFD"/>
    <w:rsid w:val="707AE437"/>
    <w:rsid w:val="707C064B"/>
    <w:rsid w:val="70AC96F5"/>
    <w:rsid w:val="70DBE364"/>
    <w:rsid w:val="70EFD7EB"/>
    <w:rsid w:val="70F5D01D"/>
    <w:rsid w:val="7104F022"/>
    <w:rsid w:val="711EBC28"/>
    <w:rsid w:val="7129C551"/>
    <w:rsid w:val="71653E75"/>
    <w:rsid w:val="7166057D"/>
    <w:rsid w:val="71685347"/>
    <w:rsid w:val="716927D0"/>
    <w:rsid w:val="716C2243"/>
    <w:rsid w:val="717C8E8B"/>
    <w:rsid w:val="71A844D2"/>
    <w:rsid w:val="71BA149B"/>
    <w:rsid w:val="71C0B5B9"/>
    <w:rsid w:val="71C68514"/>
    <w:rsid w:val="71C6CA12"/>
    <w:rsid w:val="71D9BD16"/>
    <w:rsid w:val="7200FECC"/>
    <w:rsid w:val="7231A41A"/>
    <w:rsid w:val="723A6F95"/>
    <w:rsid w:val="7249DA3F"/>
    <w:rsid w:val="724AA935"/>
    <w:rsid w:val="72501DCC"/>
    <w:rsid w:val="725A7E6F"/>
    <w:rsid w:val="725C8159"/>
    <w:rsid w:val="725DB834"/>
    <w:rsid w:val="7265F8E1"/>
    <w:rsid w:val="727A75B9"/>
    <w:rsid w:val="729AB9EB"/>
    <w:rsid w:val="72AB46BE"/>
    <w:rsid w:val="72B818FF"/>
    <w:rsid w:val="72BF6A7C"/>
    <w:rsid w:val="72CDA449"/>
    <w:rsid w:val="72DADBBD"/>
    <w:rsid w:val="72E0EC8E"/>
    <w:rsid w:val="72F294C7"/>
    <w:rsid w:val="72F6D5C8"/>
    <w:rsid w:val="72F6F83D"/>
    <w:rsid w:val="7302CB59"/>
    <w:rsid w:val="732272D2"/>
    <w:rsid w:val="7339A99F"/>
    <w:rsid w:val="733DD5C6"/>
    <w:rsid w:val="7340B075"/>
    <w:rsid w:val="734692A5"/>
    <w:rsid w:val="7346DE18"/>
    <w:rsid w:val="7347F252"/>
    <w:rsid w:val="73595853"/>
    <w:rsid w:val="736A6DCE"/>
    <w:rsid w:val="736D70F8"/>
    <w:rsid w:val="7386BA94"/>
    <w:rsid w:val="7389C9AA"/>
    <w:rsid w:val="738C4E0A"/>
    <w:rsid w:val="738FA286"/>
    <w:rsid w:val="73B31335"/>
    <w:rsid w:val="73D161E8"/>
    <w:rsid w:val="73FA8CD4"/>
    <w:rsid w:val="74133E6C"/>
    <w:rsid w:val="742BA72C"/>
    <w:rsid w:val="742F4DFB"/>
    <w:rsid w:val="743014DA"/>
    <w:rsid w:val="74321CDC"/>
    <w:rsid w:val="744663C8"/>
    <w:rsid w:val="74519489"/>
    <w:rsid w:val="747C3104"/>
    <w:rsid w:val="74873340"/>
    <w:rsid w:val="74917D13"/>
    <w:rsid w:val="74A4A737"/>
    <w:rsid w:val="74C04838"/>
    <w:rsid w:val="74C63FAD"/>
    <w:rsid w:val="74CE7F95"/>
    <w:rsid w:val="74DAD0EB"/>
    <w:rsid w:val="74EBAEFA"/>
    <w:rsid w:val="7514D6BD"/>
    <w:rsid w:val="7519A7F4"/>
    <w:rsid w:val="751D6615"/>
    <w:rsid w:val="751F067D"/>
    <w:rsid w:val="75248DAC"/>
    <w:rsid w:val="7532C452"/>
    <w:rsid w:val="7537E3AF"/>
    <w:rsid w:val="75431983"/>
    <w:rsid w:val="75750D27"/>
    <w:rsid w:val="7578A933"/>
    <w:rsid w:val="75810646"/>
    <w:rsid w:val="759CCDA5"/>
    <w:rsid w:val="75A8135D"/>
    <w:rsid w:val="75BE4169"/>
    <w:rsid w:val="75CA34A9"/>
    <w:rsid w:val="75DFF370"/>
    <w:rsid w:val="75EAD024"/>
    <w:rsid w:val="75F23B40"/>
    <w:rsid w:val="76017511"/>
    <w:rsid w:val="761A0EB3"/>
    <w:rsid w:val="762A3435"/>
    <w:rsid w:val="76323406"/>
    <w:rsid w:val="765FBE6F"/>
    <w:rsid w:val="767166E7"/>
    <w:rsid w:val="7678752D"/>
    <w:rsid w:val="767D6DBC"/>
    <w:rsid w:val="76848ED9"/>
    <w:rsid w:val="768D73D4"/>
    <w:rsid w:val="76924FE7"/>
    <w:rsid w:val="76957D5B"/>
    <w:rsid w:val="769969AA"/>
    <w:rsid w:val="76A6A367"/>
    <w:rsid w:val="76B10F99"/>
    <w:rsid w:val="76B482AE"/>
    <w:rsid w:val="76C753C3"/>
    <w:rsid w:val="76DCB86B"/>
    <w:rsid w:val="76DE7997"/>
    <w:rsid w:val="770BEA7C"/>
    <w:rsid w:val="77296FE4"/>
    <w:rsid w:val="772EF81B"/>
    <w:rsid w:val="77334A5F"/>
    <w:rsid w:val="773EBCB2"/>
    <w:rsid w:val="77534C93"/>
    <w:rsid w:val="775675B5"/>
    <w:rsid w:val="776A2DAD"/>
    <w:rsid w:val="77BECF32"/>
    <w:rsid w:val="77CA8E7F"/>
    <w:rsid w:val="77D0CAB9"/>
    <w:rsid w:val="77E6956C"/>
    <w:rsid w:val="780E68FA"/>
    <w:rsid w:val="78244886"/>
    <w:rsid w:val="7848A29F"/>
    <w:rsid w:val="784FD09F"/>
    <w:rsid w:val="7855AA2A"/>
    <w:rsid w:val="7858CE00"/>
    <w:rsid w:val="786225C4"/>
    <w:rsid w:val="7864B0F0"/>
    <w:rsid w:val="786A79C6"/>
    <w:rsid w:val="786BE8B2"/>
    <w:rsid w:val="78872934"/>
    <w:rsid w:val="788C9FA8"/>
    <w:rsid w:val="788CA29B"/>
    <w:rsid w:val="788F3742"/>
    <w:rsid w:val="7898F40B"/>
    <w:rsid w:val="789DFF63"/>
    <w:rsid w:val="78AEAEEF"/>
    <w:rsid w:val="78B313AF"/>
    <w:rsid w:val="78B9A9B4"/>
    <w:rsid w:val="78C6CE5D"/>
    <w:rsid w:val="78CF23FC"/>
    <w:rsid w:val="78D452AC"/>
    <w:rsid w:val="78E8D427"/>
    <w:rsid w:val="78F17914"/>
    <w:rsid w:val="78F189BE"/>
    <w:rsid w:val="79031B45"/>
    <w:rsid w:val="7909ABDB"/>
    <w:rsid w:val="790FA580"/>
    <w:rsid w:val="793C39CF"/>
    <w:rsid w:val="7945941C"/>
    <w:rsid w:val="794C97E5"/>
    <w:rsid w:val="7959817D"/>
    <w:rsid w:val="7962972F"/>
    <w:rsid w:val="7969297F"/>
    <w:rsid w:val="79714622"/>
    <w:rsid w:val="797FA700"/>
    <w:rsid w:val="7983DA28"/>
    <w:rsid w:val="799888BB"/>
    <w:rsid w:val="79CD2A62"/>
    <w:rsid w:val="79E17292"/>
    <w:rsid w:val="7A0B5A62"/>
    <w:rsid w:val="7A0C46C3"/>
    <w:rsid w:val="7A0C60DB"/>
    <w:rsid w:val="7A1F7BC8"/>
    <w:rsid w:val="7A261F2A"/>
    <w:rsid w:val="7A31FA77"/>
    <w:rsid w:val="7A382700"/>
    <w:rsid w:val="7A6AFA12"/>
    <w:rsid w:val="7A789044"/>
    <w:rsid w:val="7A848A33"/>
    <w:rsid w:val="7A8E12B3"/>
    <w:rsid w:val="7A98CA52"/>
    <w:rsid w:val="7AA119FD"/>
    <w:rsid w:val="7AA52852"/>
    <w:rsid w:val="7AA820CE"/>
    <w:rsid w:val="7ABA89CC"/>
    <w:rsid w:val="7AC91FD5"/>
    <w:rsid w:val="7ACC6C8A"/>
    <w:rsid w:val="7ACEB8FC"/>
    <w:rsid w:val="7AD4D3C2"/>
    <w:rsid w:val="7AE71381"/>
    <w:rsid w:val="7AF15E2F"/>
    <w:rsid w:val="7AF37A19"/>
    <w:rsid w:val="7AFC6479"/>
    <w:rsid w:val="7B0039AC"/>
    <w:rsid w:val="7B02E1F7"/>
    <w:rsid w:val="7B27A964"/>
    <w:rsid w:val="7B3F9718"/>
    <w:rsid w:val="7B40E4F1"/>
    <w:rsid w:val="7B4D4EB6"/>
    <w:rsid w:val="7B51033C"/>
    <w:rsid w:val="7B688F40"/>
    <w:rsid w:val="7B6CE04D"/>
    <w:rsid w:val="7B711FC0"/>
    <w:rsid w:val="7B827B9A"/>
    <w:rsid w:val="7B85D23E"/>
    <w:rsid w:val="7BA1589C"/>
    <w:rsid w:val="7BB2EB37"/>
    <w:rsid w:val="7BB467FF"/>
    <w:rsid w:val="7BBF92E3"/>
    <w:rsid w:val="7BC8C8FD"/>
    <w:rsid w:val="7C019720"/>
    <w:rsid w:val="7C049880"/>
    <w:rsid w:val="7C065121"/>
    <w:rsid w:val="7C1B52BB"/>
    <w:rsid w:val="7C1D824F"/>
    <w:rsid w:val="7C2B37EE"/>
    <w:rsid w:val="7C418E24"/>
    <w:rsid w:val="7C4A0B1C"/>
    <w:rsid w:val="7C51514F"/>
    <w:rsid w:val="7C54B8A0"/>
    <w:rsid w:val="7C55D3BE"/>
    <w:rsid w:val="7C6807A8"/>
    <w:rsid w:val="7C73DDBD"/>
    <w:rsid w:val="7C88E9BA"/>
    <w:rsid w:val="7C8A3C22"/>
    <w:rsid w:val="7CAD1C5F"/>
    <w:rsid w:val="7CAD9407"/>
    <w:rsid w:val="7CAF8453"/>
    <w:rsid w:val="7CD8ECDA"/>
    <w:rsid w:val="7CE8F7F1"/>
    <w:rsid w:val="7CEB1869"/>
    <w:rsid w:val="7CEC9282"/>
    <w:rsid w:val="7CFA574F"/>
    <w:rsid w:val="7CFCC203"/>
    <w:rsid w:val="7D062657"/>
    <w:rsid w:val="7D0AB1B4"/>
    <w:rsid w:val="7D0E4F85"/>
    <w:rsid w:val="7D1B0EBA"/>
    <w:rsid w:val="7D4A2A9C"/>
    <w:rsid w:val="7D4B2928"/>
    <w:rsid w:val="7D521026"/>
    <w:rsid w:val="7D773D28"/>
    <w:rsid w:val="7D8436C0"/>
    <w:rsid w:val="7D847C58"/>
    <w:rsid w:val="7D956BE6"/>
    <w:rsid w:val="7DAB532E"/>
    <w:rsid w:val="7DAE2C09"/>
    <w:rsid w:val="7DC0AE3F"/>
    <w:rsid w:val="7DC1B6ED"/>
    <w:rsid w:val="7DE0FE2D"/>
    <w:rsid w:val="7DE84ED6"/>
    <w:rsid w:val="7DEFB7B9"/>
    <w:rsid w:val="7DF2B96A"/>
    <w:rsid w:val="7DFAE0CE"/>
    <w:rsid w:val="7E0B4A4F"/>
    <w:rsid w:val="7E130287"/>
    <w:rsid w:val="7E190A30"/>
    <w:rsid w:val="7E1BE70F"/>
    <w:rsid w:val="7E295242"/>
    <w:rsid w:val="7E2E4C95"/>
    <w:rsid w:val="7E45CE68"/>
    <w:rsid w:val="7E4F7B3A"/>
    <w:rsid w:val="7E59FF92"/>
    <w:rsid w:val="7E5C1593"/>
    <w:rsid w:val="7E6AE71B"/>
    <w:rsid w:val="7E6D19C1"/>
    <w:rsid w:val="7E8263AE"/>
    <w:rsid w:val="7E9B8EE3"/>
    <w:rsid w:val="7EA590EE"/>
    <w:rsid w:val="7EB598BE"/>
    <w:rsid w:val="7EC953C7"/>
    <w:rsid w:val="7ECE3ACE"/>
    <w:rsid w:val="7EE23DFC"/>
    <w:rsid w:val="7EFC113A"/>
    <w:rsid w:val="7EFDCF0A"/>
    <w:rsid w:val="7F005DAB"/>
    <w:rsid w:val="7F06088C"/>
    <w:rsid w:val="7F09B877"/>
    <w:rsid w:val="7F0D00EB"/>
    <w:rsid w:val="7F143CAE"/>
    <w:rsid w:val="7F14E0E9"/>
    <w:rsid w:val="7F1E5817"/>
    <w:rsid w:val="7F2315E2"/>
    <w:rsid w:val="7F319414"/>
    <w:rsid w:val="7F3C1D99"/>
    <w:rsid w:val="7F497C4D"/>
    <w:rsid w:val="7F526F72"/>
    <w:rsid w:val="7F57E25E"/>
    <w:rsid w:val="7F6A5F95"/>
    <w:rsid w:val="7F87E35B"/>
    <w:rsid w:val="7F88EA7B"/>
    <w:rsid w:val="7F913128"/>
    <w:rsid w:val="7FB8A1BE"/>
    <w:rsid w:val="7FC6DE42"/>
    <w:rsid w:val="7FD1AC04"/>
    <w:rsid w:val="7FD995EE"/>
    <w:rsid w:val="7FDA75B2"/>
    <w:rsid w:val="7FE2C80C"/>
    <w:rsid w:val="7FE724F5"/>
    <w:rsid w:val="7FE877F5"/>
    <w:rsid w:val="7FF48239"/>
    <w:rsid w:val="7FF7981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541E66"/>
  <w15:chartTrackingRefBased/>
  <w15:docId w15:val="{DA9C4F61-B655-4CD7-9FB7-7A978464A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548"/>
    <w:pPr>
      <w:spacing w:line="240" w:lineRule="auto"/>
      <w:jc w:val="both"/>
    </w:pPr>
    <w:rPr>
      <w:rFonts w:ascii="Times New Roman" w:hAnsi="Times New Roman" w:cs="Times New Roman"/>
      <w:sz w:val="24"/>
      <w:szCs w:val="24"/>
      <w:lang w:eastAsia="en-IE"/>
    </w:rPr>
  </w:style>
  <w:style w:type="paragraph" w:styleId="Heading1">
    <w:name w:val="heading 1"/>
    <w:basedOn w:val="Normal"/>
    <w:next w:val="Normal"/>
    <w:link w:val="Heading1Char"/>
    <w:uiPriority w:val="1"/>
    <w:qFormat/>
    <w:rsid w:val="004E765E"/>
    <w:pPr>
      <w:keepNext/>
      <w:numPr>
        <w:numId w:val="2"/>
      </w:numPr>
      <w:spacing w:before="240" w:after="240"/>
      <w:outlineLvl w:val="0"/>
    </w:pPr>
    <w:rPr>
      <w:rFonts w:eastAsia="Times New Roman"/>
      <w:b/>
      <w:smallCaps/>
      <w:kern w:val="0"/>
      <w:szCs w:val="20"/>
      <w14:ligatures w14:val="none"/>
    </w:rPr>
  </w:style>
  <w:style w:type="paragraph" w:styleId="Heading2">
    <w:name w:val="heading 2"/>
    <w:basedOn w:val="Normal"/>
    <w:next w:val="Text2"/>
    <w:link w:val="Heading2Char"/>
    <w:uiPriority w:val="1"/>
    <w:qFormat/>
    <w:rsid w:val="004E765E"/>
    <w:pPr>
      <w:keepNext/>
      <w:numPr>
        <w:ilvl w:val="1"/>
        <w:numId w:val="2"/>
      </w:numPr>
      <w:spacing w:after="240"/>
      <w:outlineLvl w:val="1"/>
    </w:pPr>
    <w:rPr>
      <w:rFonts w:eastAsia="Times New Roman"/>
      <w:b/>
      <w:kern w:val="0"/>
      <w:szCs w:val="20"/>
      <w14:ligatures w14:val="none"/>
    </w:rPr>
  </w:style>
  <w:style w:type="paragraph" w:styleId="Heading3">
    <w:name w:val="heading 3"/>
    <w:basedOn w:val="Normal"/>
    <w:next w:val="Text3"/>
    <w:link w:val="Heading3Char"/>
    <w:uiPriority w:val="9"/>
    <w:qFormat/>
    <w:rsid w:val="004E765E"/>
    <w:pPr>
      <w:keepNext/>
      <w:numPr>
        <w:ilvl w:val="2"/>
        <w:numId w:val="2"/>
      </w:numPr>
      <w:spacing w:after="240"/>
      <w:outlineLvl w:val="2"/>
    </w:pPr>
    <w:rPr>
      <w:rFonts w:eastAsia="Times New Roman"/>
      <w:i/>
      <w:kern w:val="0"/>
      <w:szCs w:val="20"/>
      <w14:ligatures w14:val="none"/>
    </w:rPr>
  </w:style>
  <w:style w:type="paragraph" w:styleId="Heading4">
    <w:name w:val="heading 4"/>
    <w:basedOn w:val="Normal"/>
    <w:next w:val="Normal"/>
    <w:link w:val="Heading4Char"/>
    <w:uiPriority w:val="1"/>
    <w:qFormat/>
    <w:rsid w:val="004E765E"/>
    <w:pPr>
      <w:keepNext/>
      <w:numPr>
        <w:ilvl w:val="3"/>
        <w:numId w:val="2"/>
      </w:numPr>
      <w:spacing w:after="240"/>
      <w:outlineLvl w:val="3"/>
    </w:pPr>
    <w:rPr>
      <w:rFonts w:eastAsia="Times New Roman"/>
      <w:kern w:val="0"/>
      <w:szCs w:val="20"/>
      <w14:ligatures w14:val="none"/>
    </w:rPr>
  </w:style>
  <w:style w:type="paragraph" w:styleId="Heading5">
    <w:name w:val="heading 5"/>
    <w:basedOn w:val="Normal"/>
    <w:next w:val="Normal"/>
    <w:link w:val="Heading5Char"/>
    <w:semiHidden/>
    <w:rsid w:val="004E765E"/>
    <w:pPr>
      <w:keepNext/>
      <w:numPr>
        <w:ilvl w:val="4"/>
        <w:numId w:val="2"/>
      </w:numPr>
      <w:spacing w:after="240"/>
      <w:outlineLvl w:val="4"/>
    </w:pPr>
    <w:rPr>
      <w:rFonts w:eastAsia="Times New Roman"/>
      <w:kern w:val="0"/>
      <w:szCs w:val="20"/>
      <w14:ligatures w14:val="none"/>
    </w:rPr>
  </w:style>
  <w:style w:type="paragraph" w:styleId="Heading6">
    <w:name w:val="heading 6"/>
    <w:basedOn w:val="Normal"/>
    <w:next w:val="Normal"/>
    <w:link w:val="Heading6Char"/>
    <w:semiHidden/>
    <w:rsid w:val="004E765E"/>
    <w:pPr>
      <w:keepNext/>
      <w:numPr>
        <w:ilvl w:val="5"/>
        <w:numId w:val="2"/>
      </w:numPr>
      <w:spacing w:after="240"/>
      <w:outlineLvl w:val="5"/>
    </w:pPr>
    <w:rPr>
      <w:rFonts w:eastAsia="Times New Roman"/>
      <w:kern w:val="0"/>
      <w:szCs w:val="20"/>
      <w14:ligatures w14:val="none"/>
    </w:rPr>
  </w:style>
  <w:style w:type="paragraph" w:styleId="Heading7">
    <w:name w:val="heading 7"/>
    <w:basedOn w:val="Normal"/>
    <w:next w:val="Normal"/>
    <w:link w:val="Heading7Char"/>
    <w:semiHidden/>
    <w:rsid w:val="004E765E"/>
    <w:pPr>
      <w:keepNext/>
      <w:numPr>
        <w:ilvl w:val="6"/>
        <w:numId w:val="2"/>
      </w:numPr>
      <w:spacing w:after="240"/>
      <w:outlineLvl w:val="6"/>
    </w:pPr>
    <w:rPr>
      <w:rFonts w:eastAsia="Times New Roman"/>
      <w:kern w:val="0"/>
      <w:szCs w:val="20"/>
      <w14:ligatures w14:val="none"/>
    </w:rPr>
  </w:style>
  <w:style w:type="paragraph" w:styleId="Heading8">
    <w:name w:val="heading 8"/>
    <w:basedOn w:val="Normal"/>
    <w:next w:val="Normal"/>
    <w:link w:val="Heading8Char"/>
    <w:semiHidden/>
    <w:rsid w:val="004E765E"/>
    <w:pPr>
      <w:keepNext/>
      <w:numPr>
        <w:ilvl w:val="7"/>
        <w:numId w:val="2"/>
      </w:numPr>
      <w:spacing w:after="240"/>
      <w:outlineLvl w:val="7"/>
    </w:pPr>
    <w:rPr>
      <w:rFonts w:eastAsia="Times New Roman"/>
      <w:kern w:val="0"/>
      <w:szCs w:val="20"/>
      <w14:ligatures w14:val="none"/>
    </w:rPr>
  </w:style>
  <w:style w:type="paragraph" w:styleId="Heading9">
    <w:name w:val="heading 9"/>
    <w:basedOn w:val="Normal"/>
    <w:next w:val="Normal"/>
    <w:link w:val="Heading9Char"/>
    <w:semiHidden/>
    <w:rsid w:val="004E765E"/>
    <w:pPr>
      <w:keepNext/>
      <w:numPr>
        <w:ilvl w:val="8"/>
        <w:numId w:val="2"/>
      </w:numPr>
      <w:spacing w:after="240"/>
      <w:outlineLvl w:val="8"/>
    </w:pPr>
    <w:rPr>
      <w:rFonts w:eastAsia="Times New Roman"/>
      <w:kern w:val="0"/>
      <w:szCs w:val="2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E765E"/>
    <w:rPr>
      <w:rFonts w:ascii="Times New Roman" w:eastAsia="Times New Roman" w:hAnsi="Times New Roman" w:cs="Times New Roman"/>
      <w:b/>
      <w:smallCaps/>
      <w:kern w:val="0"/>
      <w:sz w:val="24"/>
      <w:szCs w:val="20"/>
      <w:lang w:val="fi-FI" w:eastAsia="en-IE"/>
      <w14:ligatures w14:val="none"/>
    </w:rPr>
  </w:style>
  <w:style w:type="character" w:customStyle="1" w:styleId="Heading2Char">
    <w:name w:val="Heading 2 Char"/>
    <w:basedOn w:val="DefaultParagraphFont"/>
    <w:link w:val="Heading2"/>
    <w:uiPriority w:val="1"/>
    <w:rsid w:val="004E765E"/>
    <w:rPr>
      <w:rFonts w:ascii="Times New Roman" w:eastAsia="Times New Roman" w:hAnsi="Times New Roman" w:cs="Times New Roman"/>
      <w:b/>
      <w:kern w:val="0"/>
      <w:sz w:val="24"/>
      <w:szCs w:val="20"/>
      <w:lang w:val="fi-FI" w:eastAsia="en-IE"/>
      <w14:ligatures w14:val="none"/>
    </w:rPr>
  </w:style>
  <w:style w:type="character" w:customStyle="1" w:styleId="Heading3Char">
    <w:name w:val="Heading 3 Char"/>
    <w:basedOn w:val="DefaultParagraphFont"/>
    <w:link w:val="Heading3"/>
    <w:uiPriority w:val="1"/>
    <w:rsid w:val="004E765E"/>
    <w:rPr>
      <w:rFonts w:ascii="Times New Roman" w:eastAsia="Times New Roman" w:hAnsi="Times New Roman" w:cs="Times New Roman"/>
      <w:i/>
      <w:kern w:val="0"/>
      <w:sz w:val="24"/>
      <w:szCs w:val="20"/>
      <w:lang w:val="fi-FI" w:eastAsia="en-IE"/>
      <w14:ligatures w14:val="none"/>
    </w:rPr>
  </w:style>
  <w:style w:type="character" w:customStyle="1" w:styleId="Heading4Char">
    <w:name w:val="Heading 4 Char"/>
    <w:basedOn w:val="DefaultParagraphFont"/>
    <w:link w:val="Heading4"/>
    <w:uiPriority w:val="1"/>
    <w:rsid w:val="004E765E"/>
    <w:rPr>
      <w:rFonts w:ascii="Times New Roman" w:eastAsia="Times New Roman" w:hAnsi="Times New Roman" w:cs="Times New Roman"/>
      <w:kern w:val="0"/>
      <w:sz w:val="24"/>
      <w:szCs w:val="20"/>
      <w:lang w:val="fi-FI" w:eastAsia="en-IE"/>
      <w14:ligatures w14:val="none"/>
    </w:rPr>
  </w:style>
  <w:style w:type="character" w:customStyle="1" w:styleId="Heading5Char">
    <w:name w:val="Heading 5 Char"/>
    <w:basedOn w:val="DefaultParagraphFont"/>
    <w:link w:val="Heading5"/>
    <w:semiHidden/>
    <w:rsid w:val="004E765E"/>
    <w:rPr>
      <w:rFonts w:ascii="Times New Roman" w:eastAsia="Times New Roman" w:hAnsi="Times New Roman" w:cs="Times New Roman"/>
      <w:kern w:val="0"/>
      <w:sz w:val="24"/>
      <w:szCs w:val="20"/>
      <w:lang w:val="fi-FI" w:eastAsia="en-IE"/>
      <w14:ligatures w14:val="none"/>
    </w:rPr>
  </w:style>
  <w:style w:type="character" w:customStyle="1" w:styleId="Heading6Char">
    <w:name w:val="Heading 6 Char"/>
    <w:basedOn w:val="DefaultParagraphFont"/>
    <w:link w:val="Heading6"/>
    <w:semiHidden/>
    <w:rsid w:val="004E765E"/>
    <w:rPr>
      <w:rFonts w:ascii="Times New Roman" w:eastAsia="Times New Roman" w:hAnsi="Times New Roman" w:cs="Times New Roman"/>
      <w:kern w:val="0"/>
      <w:sz w:val="24"/>
      <w:szCs w:val="20"/>
      <w:lang w:val="fi-FI" w:eastAsia="en-IE"/>
      <w14:ligatures w14:val="none"/>
    </w:rPr>
  </w:style>
  <w:style w:type="character" w:customStyle="1" w:styleId="Heading7Char">
    <w:name w:val="Heading 7 Char"/>
    <w:basedOn w:val="DefaultParagraphFont"/>
    <w:link w:val="Heading7"/>
    <w:semiHidden/>
    <w:rsid w:val="004E765E"/>
    <w:rPr>
      <w:rFonts w:ascii="Times New Roman" w:eastAsia="Times New Roman" w:hAnsi="Times New Roman" w:cs="Times New Roman"/>
      <w:kern w:val="0"/>
      <w:sz w:val="24"/>
      <w:szCs w:val="20"/>
      <w:lang w:val="fi-FI" w:eastAsia="en-IE"/>
      <w14:ligatures w14:val="none"/>
    </w:rPr>
  </w:style>
  <w:style w:type="character" w:customStyle="1" w:styleId="Heading8Char">
    <w:name w:val="Heading 8 Char"/>
    <w:basedOn w:val="DefaultParagraphFont"/>
    <w:link w:val="Heading8"/>
    <w:semiHidden/>
    <w:rsid w:val="004E765E"/>
    <w:rPr>
      <w:rFonts w:ascii="Times New Roman" w:eastAsia="Times New Roman" w:hAnsi="Times New Roman" w:cs="Times New Roman"/>
      <w:kern w:val="0"/>
      <w:sz w:val="24"/>
      <w:szCs w:val="20"/>
      <w:lang w:val="fi-FI" w:eastAsia="en-IE"/>
      <w14:ligatures w14:val="none"/>
    </w:rPr>
  </w:style>
  <w:style w:type="character" w:customStyle="1" w:styleId="Heading9Char">
    <w:name w:val="Heading 9 Char"/>
    <w:basedOn w:val="DefaultParagraphFont"/>
    <w:link w:val="Heading9"/>
    <w:semiHidden/>
    <w:rsid w:val="004E765E"/>
    <w:rPr>
      <w:rFonts w:ascii="Times New Roman" w:eastAsia="Times New Roman" w:hAnsi="Times New Roman" w:cs="Times New Roman"/>
      <w:kern w:val="0"/>
      <w:sz w:val="24"/>
      <w:szCs w:val="20"/>
      <w:lang w:val="fi-FI" w:eastAsia="en-IE"/>
      <w14:ligatures w14:val="none"/>
    </w:rPr>
  </w:style>
  <w:style w:type="paragraph" w:customStyle="1" w:styleId="Text2">
    <w:name w:val="Text 2"/>
    <w:basedOn w:val="Normal"/>
    <w:uiPriority w:val="1"/>
    <w:qFormat/>
    <w:rsid w:val="004E765E"/>
    <w:pPr>
      <w:spacing w:after="240"/>
      <w:ind w:left="1202"/>
    </w:pPr>
    <w:rPr>
      <w:rFonts w:eastAsia="Times New Roman"/>
      <w:kern w:val="0"/>
      <w:szCs w:val="20"/>
      <w14:ligatures w14:val="none"/>
    </w:rPr>
  </w:style>
  <w:style w:type="paragraph" w:customStyle="1" w:styleId="Text3">
    <w:name w:val="Text 3"/>
    <w:basedOn w:val="Normal"/>
    <w:uiPriority w:val="1"/>
    <w:qFormat/>
    <w:rsid w:val="004E765E"/>
    <w:pPr>
      <w:spacing w:after="240"/>
      <w:ind w:left="1202"/>
    </w:pPr>
    <w:rPr>
      <w:rFonts w:eastAsia="Times New Roman"/>
      <w:kern w:val="0"/>
      <w:szCs w:val="20"/>
      <w14:ligatures w14:val="none"/>
    </w:rPr>
  </w:style>
  <w:style w:type="paragraph" w:customStyle="1" w:styleId="ListDash4">
    <w:name w:val="List Dash 4"/>
    <w:basedOn w:val="Normal"/>
    <w:uiPriority w:val="1"/>
    <w:rsid w:val="00B41049"/>
    <w:pPr>
      <w:numPr>
        <w:numId w:val="3"/>
      </w:numPr>
      <w:spacing w:after="240"/>
    </w:pPr>
    <w:rPr>
      <w:rFonts w:eastAsia="Times New Roman"/>
      <w:kern w:val="0"/>
      <w:szCs w:val="20"/>
      <w14:ligatures w14:val="none"/>
    </w:rPr>
  </w:style>
  <w:style w:type="paragraph" w:customStyle="1" w:styleId="ListDash4Level2">
    <w:name w:val="List Dash 4 (Level 2)"/>
    <w:basedOn w:val="Normal"/>
    <w:uiPriority w:val="1"/>
    <w:rsid w:val="00B41049"/>
    <w:pPr>
      <w:numPr>
        <w:ilvl w:val="1"/>
        <w:numId w:val="3"/>
      </w:numPr>
      <w:spacing w:after="240"/>
    </w:pPr>
    <w:rPr>
      <w:rFonts w:eastAsia="Times New Roman"/>
      <w:kern w:val="0"/>
      <w:szCs w:val="20"/>
      <w14:ligatures w14:val="none"/>
    </w:rPr>
  </w:style>
  <w:style w:type="paragraph" w:customStyle="1" w:styleId="ListDash4Level3">
    <w:name w:val="List Dash 4 (Level 3)"/>
    <w:basedOn w:val="Normal"/>
    <w:uiPriority w:val="1"/>
    <w:semiHidden/>
    <w:unhideWhenUsed/>
    <w:rsid w:val="00B41049"/>
    <w:pPr>
      <w:numPr>
        <w:ilvl w:val="2"/>
        <w:numId w:val="3"/>
      </w:numPr>
      <w:spacing w:after="240"/>
    </w:pPr>
    <w:rPr>
      <w:rFonts w:eastAsia="Times New Roman"/>
      <w:kern w:val="0"/>
      <w:szCs w:val="20"/>
      <w14:ligatures w14:val="none"/>
    </w:rPr>
  </w:style>
  <w:style w:type="paragraph" w:customStyle="1" w:styleId="ListDash4Level4">
    <w:name w:val="List Dash 4 (Level 4)"/>
    <w:basedOn w:val="Normal"/>
    <w:uiPriority w:val="1"/>
    <w:semiHidden/>
    <w:unhideWhenUsed/>
    <w:rsid w:val="00B41049"/>
    <w:pPr>
      <w:numPr>
        <w:ilvl w:val="3"/>
        <w:numId w:val="3"/>
      </w:numPr>
      <w:spacing w:after="240"/>
    </w:pPr>
    <w:rPr>
      <w:rFonts w:eastAsia="Times New Roman"/>
      <w:kern w:val="0"/>
      <w:szCs w:val="20"/>
      <w14:ligatures w14:val="non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iPriority w:val="99"/>
    <w:unhideWhenUsed/>
    <w:qFormat/>
    <w:rsid w:val="00456BAA"/>
    <w:pPr>
      <w:spacing w:after="0"/>
    </w:pPr>
    <w:rPr>
      <w:kern w:val="0"/>
      <w:sz w:val="18"/>
      <w:szCs w:val="20"/>
      <w14:ligatures w14:val="non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456BAA"/>
    <w:rPr>
      <w:rFonts w:ascii="Times New Roman" w:hAnsi="Times New Roman" w:cs="Times New Roman"/>
      <w:kern w:val="0"/>
      <w:sz w:val="18"/>
      <w:szCs w:val="20"/>
      <w:lang w:val="fi-FI" w:eastAsia="en-IE"/>
      <w14:ligatures w14:val="none"/>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Nota"/>
    <w:uiPriority w:val="99"/>
    <w:unhideWhenUsed/>
    <w:qFormat/>
    <w:rsid w:val="00957C8D"/>
    <w:rPr>
      <w:vertAlign w:val="superscript"/>
    </w:rPr>
  </w:style>
  <w:style w:type="character" w:styleId="CommentReference">
    <w:name w:val="annotation reference"/>
    <w:basedOn w:val="DefaultParagraphFont"/>
    <w:uiPriority w:val="99"/>
    <w:unhideWhenUsed/>
    <w:rsid w:val="00957C8D"/>
    <w:rPr>
      <w:sz w:val="16"/>
      <w:szCs w:val="16"/>
    </w:rPr>
  </w:style>
  <w:style w:type="paragraph" w:styleId="CommentText">
    <w:name w:val="annotation text"/>
    <w:basedOn w:val="Normal"/>
    <w:link w:val="CommentTextChar"/>
    <w:uiPriority w:val="99"/>
    <w:unhideWhenUsed/>
    <w:rsid w:val="00957C8D"/>
    <w:pPr>
      <w:spacing w:after="200"/>
    </w:pPr>
    <w:rPr>
      <w:kern w:val="0"/>
      <w:sz w:val="20"/>
      <w:szCs w:val="20"/>
      <w14:ligatures w14:val="none"/>
    </w:rPr>
  </w:style>
  <w:style w:type="character" w:customStyle="1" w:styleId="CommentTextChar">
    <w:name w:val="Comment Text Char"/>
    <w:basedOn w:val="DefaultParagraphFont"/>
    <w:link w:val="CommentText"/>
    <w:uiPriority w:val="99"/>
    <w:rsid w:val="00957C8D"/>
    <w:rPr>
      <w:kern w:val="0"/>
      <w:sz w:val="20"/>
      <w:szCs w:val="20"/>
      <w:lang w:val="fi-FI"/>
      <w14:ligatures w14:val="none"/>
    </w:rPr>
  </w:style>
  <w:style w:type="character" w:styleId="Hyperlink">
    <w:name w:val="Hyperlink"/>
    <w:basedOn w:val="DefaultParagraphFont"/>
    <w:uiPriority w:val="99"/>
    <w:unhideWhenUsed/>
    <w:rsid w:val="005B1770"/>
    <w:rPr>
      <w:color w:val="0563C1" w:themeColor="hyperlink"/>
      <w:u w:val="single"/>
    </w:rPr>
  </w:style>
  <w:style w:type="paragraph" w:styleId="Header">
    <w:name w:val="header"/>
    <w:basedOn w:val="Normal"/>
    <w:link w:val="HeaderChar"/>
    <w:uiPriority w:val="99"/>
    <w:unhideWhenUsed/>
    <w:rsid w:val="00AB6302"/>
    <w:pPr>
      <w:tabs>
        <w:tab w:val="center" w:pos="4513"/>
        <w:tab w:val="right" w:pos="9026"/>
      </w:tabs>
      <w:spacing w:after="0"/>
    </w:pPr>
  </w:style>
  <w:style w:type="character" w:customStyle="1" w:styleId="HeaderChar">
    <w:name w:val="Header Char"/>
    <w:basedOn w:val="DefaultParagraphFont"/>
    <w:link w:val="Header"/>
    <w:uiPriority w:val="99"/>
    <w:rsid w:val="00AB6302"/>
  </w:style>
  <w:style w:type="paragraph" w:styleId="Footer">
    <w:name w:val="footer"/>
    <w:basedOn w:val="Normal"/>
    <w:link w:val="FooterChar"/>
    <w:uiPriority w:val="99"/>
    <w:unhideWhenUsed/>
    <w:rsid w:val="00AB6302"/>
    <w:pPr>
      <w:tabs>
        <w:tab w:val="center" w:pos="4513"/>
        <w:tab w:val="right" w:pos="9026"/>
      </w:tabs>
      <w:spacing w:after="0"/>
    </w:pPr>
  </w:style>
  <w:style w:type="character" w:customStyle="1" w:styleId="FooterChar">
    <w:name w:val="Footer Char"/>
    <w:basedOn w:val="DefaultParagraphFont"/>
    <w:link w:val="Footer"/>
    <w:uiPriority w:val="99"/>
    <w:rsid w:val="00AB6302"/>
  </w:style>
  <w:style w:type="paragraph" w:styleId="Revision">
    <w:name w:val="Revision"/>
    <w:hidden/>
    <w:uiPriority w:val="99"/>
    <w:semiHidden/>
    <w:rsid w:val="0015492F"/>
    <w:pPr>
      <w:spacing w:after="0" w:line="240" w:lineRule="auto"/>
    </w:p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Ha,L,lp"/>
    <w:basedOn w:val="Normal"/>
    <w:link w:val="ListParagraphChar"/>
    <w:uiPriority w:val="34"/>
    <w:qFormat/>
    <w:rsid w:val="00725921"/>
    <w:pPr>
      <w:ind w:left="720"/>
      <w:contextualSpacing/>
    </w:p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6C3FBD"/>
  </w:style>
  <w:style w:type="paragraph" w:customStyle="1" w:styleId="Nota">
    <w:name w:val="Nota"/>
    <w:aliases w:val="Char1,(NECG) Footnote Reference,fr,Appel note de bas de p,o,Style 6,Signature Ch, Char1"/>
    <w:basedOn w:val="Normal"/>
    <w:link w:val="FootnoteReference"/>
    <w:uiPriority w:val="99"/>
    <w:rsid w:val="006C3FBD"/>
    <w:pPr>
      <w:spacing w:line="240" w:lineRule="exact"/>
    </w:pPr>
    <w:rPr>
      <w:vertAlign w:val="superscript"/>
    </w:rPr>
  </w:style>
  <w:style w:type="paragraph" w:styleId="CommentSubject">
    <w:name w:val="annotation subject"/>
    <w:basedOn w:val="CommentText"/>
    <w:next w:val="CommentText"/>
    <w:link w:val="CommentSubjectChar"/>
    <w:uiPriority w:val="99"/>
    <w:semiHidden/>
    <w:unhideWhenUsed/>
    <w:rsid w:val="005846FE"/>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5846FE"/>
    <w:rPr>
      <w:b/>
      <w:bCs/>
      <w:kern w:val="0"/>
      <w:sz w:val="20"/>
      <w:szCs w:val="20"/>
      <w:lang w:val="fi-FI"/>
      <w14:ligatures w14:val="none"/>
    </w:rPr>
  </w:style>
  <w:style w:type="character" w:customStyle="1" w:styleId="superscript">
    <w:name w:val="superscript"/>
    <w:basedOn w:val="DefaultParagraphFont"/>
    <w:rsid w:val="00B7534C"/>
  </w:style>
  <w:style w:type="character" w:customStyle="1" w:styleId="eop">
    <w:name w:val="eop"/>
    <w:basedOn w:val="DefaultParagraphFont"/>
    <w:rsid w:val="00B7534C"/>
  </w:style>
  <w:style w:type="paragraph" w:customStyle="1" w:styleId="JRCFigurecaption">
    <w:name w:val="JRC_Figure_caption"/>
    <w:basedOn w:val="Normal"/>
    <w:next w:val="Normal"/>
    <w:qFormat/>
    <w:rsid w:val="001C7B56"/>
    <w:pPr>
      <w:keepNext/>
      <w:keepLines/>
      <w:suppressAutoHyphens/>
      <w:spacing w:before="360" w:line="264" w:lineRule="auto"/>
      <w:jc w:val="center"/>
    </w:pPr>
    <w:rPr>
      <w:rFonts w:asciiTheme="minorHAnsi" w:eastAsia="Calibri" w:hAnsiTheme="minorHAnsi"/>
      <w:kern w:val="0"/>
      <w:sz w:val="20"/>
      <w:szCs w:val="22"/>
      <w:lang w:eastAsia="en-US"/>
      <w14:ligatures w14:val="none"/>
    </w:rPr>
  </w:style>
  <w:style w:type="paragraph" w:customStyle="1" w:styleId="JRCFiguresource">
    <w:name w:val="JRC_Figure_source"/>
    <w:basedOn w:val="Normal"/>
    <w:next w:val="Normal"/>
    <w:qFormat/>
    <w:rsid w:val="001C7B56"/>
    <w:pPr>
      <w:keepLines/>
      <w:suppressAutoHyphens/>
      <w:spacing w:before="40" w:after="360" w:line="264" w:lineRule="auto"/>
      <w:jc w:val="center"/>
    </w:pPr>
    <w:rPr>
      <w:rFonts w:asciiTheme="minorHAnsi" w:eastAsia="Times New Roman" w:hAnsiTheme="minorHAnsi"/>
      <w:i/>
      <w:kern w:val="0"/>
      <w:sz w:val="18"/>
      <w:szCs w:val="22"/>
      <w:lang w:eastAsia="en-GB"/>
      <w14:ligatures w14:val="none"/>
    </w:rPr>
  </w:style>
  <w:style w:type="paragraph" w:customStyle="1" w:styleId="JRCFigureplaceholder">
    <w:name w:val="JRC_Figure_placeholder"/>
    <w:basedOn w:val="Normal"/>
    <w:qFormat/>
    <w:rsid w:val="001C7B56"/>
    <w:pPr>
      <w:keepNext/>
      <w:keepLines/>
      <w:suppressAutoHyphens/>
      <w:spacing w:before="160" w:line="264" w:lineRule="auto"/>
      <w:jc w:val="center"/>
    </w:pPr>
    <w:rPr>
      <w:rFonts w:asciiTheme="minorHAnsi" w:hAnsiTheme="minorHAnsi" w:cstheme="minorBidi"/>
      <w:kern w:val="0"/>
      <w:sz w:val="22"/>
      <w:szCs w:val="22"/>
      <w:lang w:eastAsia="en-US"/>
      <w14:ligatures w14:val="none"/>
    </w:rPr>
  </w:style>
  <w:style w:type="paragraph" w:customStyle="1" w:styleId="JRCText">
    <w:name w:val="JRC_Text"/>
    <w:basedOn w:val="Normal"/>
    <w:qFormat/>
    <w:rsid w:val="00B4306D"/>
    <w:pPr>
      <w:spacing w:before="120" w:after="120"/>
    </w:pPr>
    <w:rPr>
      <w:rFonts w:ascii="EC Square Sans Pro" w:eastAsia="Calibri" w:hAnsi="EC Square Sans Pro"/>
      <w:kern w:val="0"/>
      <w:sz w:val="20"/>
      <w:szCs w:val="22"/>
      <w:lang w:eastAsia="en-US"/>
      <w14:ligatures w14:val="none"/>
    </w:rPr>
  </w:style>
  <w:style w:type="paragraph" w:customStyle="1" w:styleId="paragraph">
    <w:name w:val="paragraph"/>
    <w:basedOn w:val="Normal"/>
    <w:rsid w:val="00061D49"/>
    <w:pPr>
      <w:spacing w:before="100" w:beforeAutospacing="1" w:after="100" w:afterAutospacing="1"/>
      <w:jc w:val="left"/>
    </w:pPr>
    <w:rPr>
      <w:rFonts w:eastAsia="Times New Roman"/>
      <w:kern w:val="0"/>
      <w14:ligatures w14:val="none"/>
    </w:rPr>
  </w:style>
  <w:style w:type="paragraph" w:customStyle="1" w:styleId="Default">
    <w:name w:val="Default"/>
    <w:rsid w:val="00061D49"/>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cf01">
    <w:name w:val="cf01"/>
    <w:basedOn w:val="DefaultParagraphFont"/>
    <w:rsid w:val="004F39A6"/>
    <w:rPr>
      <w:rFonts w:ascii="Segoe UI" w:hAnsi="Segoe UI" w:cs="Segoe UI" w:hint="default"/>
      <w:sz w:val="18"/>
      <w:szCs w:val="18"/>
    </w:rPr>
  </w:style>
  <w:style w:type="paragraph" w:styleId="NormalWeb">
    <w:name w:val="Normal (Web)"/>
    <w:basedOn w:val="Normal"/>
    <w:uiPriority w:val="99"/>
    <w:unhideWhenUsed/>
    <w:rsid w:val="00081EFA"/>
    <w:pPr>
      <w:spacing w:before="100" w:beforeAutospacing="1" w:after="100" w:afterAutospacing="1"/>
      <w:jc w:val="left"/>
    </w:pPr>
    <w:rPr>
      <w:rFonts w:eastAsia="Times New Roman"/>
      <w:kern w:val="0"/>
      <w:lang w:eastAsia="en-GB"/>
      <w14:ligatures w14:val="none"/>
    </w:rPr>
  </w:style>
  <w:style w:type="paragraph" w:customStyle="1" w:styleId="Point1">
    <w:name w:val="Point 1"/>
    <w:basedOn w:val="Normal"/>
    <w:rsid w:val="009029CA"/>
    <w:pPr>
      <w:spacing w:before="120" w:after="120" w:line="360" w:lineRule="auto"/>
      <w:ind w:left="1417" w:hanging="567"/>
      <w:jc w:val="left"/>
    </w:pPr>
    <w:rPr>
      <w:kern w:val="0"/>
      <w:szCs w:val="22"/>
      <w:lang w:eastAsia="en-US"/>
      <w14:ligatures w14:val="none"/>
    </w:rPr>
  </w:style>
  <w:style w:type="paragraph" w:styleId="TOCHeading">
    <w:name w:val="TOC Heading"/>
    <w:basedOn w:val="Heading1"/>
    <w:next w:val="Normal"/>
    <w:uiPriority w:val="39"/>
    <w:unhideWhenUsed/>
    <w:qFormat/>
    <w:rsid w:val="00E41301"/>
    <w:pPr>
      <w:keepLines/>
      <w:numPr>
        <w:numId w:val="0"/>
      </w:numPr>
      <w:spacing w:after="0" w:line="259" w:lineRule="auto"/>
      <w:jc w:val="left"/>
      <w:outlineLvl w:val="9"/>
    </w:pPr>
    <w:rPr>
      <w:rFonts w:asciiTheme="majorHAnsi" w:eastAsiaTheme="majorEastAsia" w:hAnsiTheme="majorHAnsi" w:cstheme="majorBidi"/>
      <w:b w:val="0"/>
      <w:smallCaps w:val="0"/>
      <w:color w:val="2F5496" w:themeColor="accent1" w:themeShade="BF"/>
      <w:sz w:val="32"/>
      <w:szCs w:val="32"/>
      <w:lang w:eastAsia="en-US"/>
    </w:rPr>
  </w:style>
  <w:style w:type="paragraph" w:styleId="TOC1">
    <w:name w:val="toc 1"/>
    <w:basedOn w:val="Normal"/>
    <w:next w:val="Normal"/>
    <w:autoRedefine/>
    <w:uiPriority w:val="39"/>
    <w:unhideWhenUsed/>
    <w:rsid w:val="00B64ACF"/>
    <w:pPr>
      <w:tabs>
        <w:tab w:val="right" w:leader="dot" w:pos="9016"/>
      </w:tabs>
      <w:spacing w:after="60"/>
    </w:pPr>
    <w:rPr>
      <w:b/>
      <w:sz w:val="22"/>
    </w:rPr>
  </w:style>
  <w:style w:type="paragraph" w:styleId="TOC2">
    <w:name w:val="toc 2"/>
    <w:basedOn w:val="Normal"/>
    <w:next w:val="Normal"/>
    <w:autoRedefine/>
    <w:uiPriority w:val="39"/>
    <w:unhideWhenUsed/>
    <w:rsid w:val="00B64ACF"/>
    <w:pPr>
      <w:spacing w:after="40"/>
      <w:ind w:left="238"/>
    </w:pPr>
    <w:rPr>
      <w:sz w:val="20"/>
    </w:rPr>
  </w:style>
  <w:style w:type="paragraph" w:styleId="TOC3">
    <w:name w:val="toc 3"/>
    <w:basedOn w:val="Normal"/>
    <w:next w:val="Normal"/>
    <w:autoRedefine/>
    <w:uiPriority w:val="39"/>
    <w:unhideWhenUsed/>
    <w:rsid w:val="00B64ACF"/>
    <w:pPr>
      <w:spacing w:after="20"/>
      <w:ind w:left="482"/>
    </w:pPr>
    <w:rPr>
      <w:sz w:val="20"/>
    </w:rPr>
  </w:style>
  <w:style w:type="character" w:customStyle="1" w:styleId="UnresolvedMention1">
    <w:name w:val="Unresolved Mention1"/>
    <w:basedOn w:val="DefaultParagraphFont"/>
    <w:uiPriority w:val="99"/>
    <w:semiHidden/>
    <w:unhideWhenUsed/>
    <w:rsid w:val="00ED3F84"/>
    <w:rPr>
      <w:color w:val="605E5C"/>
      <w:shd w:val="clear" w:color="auto" w:fill="E1DFDD"/>
    </w:rPr>
  </w:style>
  <w:style w:type="paragraph" w:styleId="BalloonText">
    <w:name w:val="Balloon Text"/>
    <w:basedOn w:val="Normal"/>
    <w:link w:val="BalloonTextChar"/>
    <w:uiPriority w:val="99"/>
    <w:semiHidden/>
    <w:unhideWhenUsed/>
    <w:rsid w:val="003B58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8DD"/>
    <w:rPr>
      <w:rFonts w:ascii="Segoe UI" w:hAnsi="Segoe UI" w:cs="Segoe UI"/>
      <w:sz w:val="18"/>
      <w:szCs w:val="18"/>
      <w:lang w:val="fi-FI" w:eastAsia="en-IE"/>
    </w:rPr>
  </w:style>
  <w:style w:type="character" w:customStyle="1" w:styleId="UnresolvedMention">
    <w:name w:val="Unresolved Mention"/>
    <w:basedOn w:val="DefaultParagraphFont"/>
    <w:uiPriority w:val="99"/>
    <w:semiHidden/>
    <w:unhideWhenUsed/>
    <w:rsid w:val="00CA1C4A"/>
    <w:rPr>
      <w:color w:val="605E5C"/>
      <w:shd w:val="clear" w:color="auto" w:fill="E1DFDD"/>
    </w:rPr>
  </w:style>
  <w:style w:type="character" w:customStyle="1" w:styleId="Mention2">
    <w:name w:val="Mention2"/>
    <w:basedOn w:val="DefaultParagraphFont"/>
    <w:uiPriority w:val="99"/>
    <w:unhideWhenUsed/>
    <w:rsid w:val="008D044D"/>
    <w:rPr>
      <w:color w:val="2B579A"/>
      <w:shd w:val="clear" w:color="auto" w:fill="E1DFDD"/>
    </w:rPr>
  </w:style>
  <w:style w:type="character" w:styleId="FollowedHyperlink">
    <w:name w:val="FollowedHyperlink"/>
    <w:basedOn w:val="DefaultParagraphFont"/>
    <w:uiPriority w:val="99"/>
    <w:semiHidden/>
    <w:unhideWhenUsed/>
    <w:rsid w:val="00D12865"/>
    <w:rPr>
      <w:color w:val="954F72" w:themeColor="followedHyperlink"/>
      <w:u w:val="single"/>
    </w:rPr>
  </w:style>
  <w:style w:type="character" w:customStyle="1" w:styleId="Mention">
    <w:name w:val="Mention"/>
    <w:basedOn w:val="DefaultParagraphFont"/>
    <w:uiPriority w:val="99"/>
    <w:unhideWhenUsed/>
    <w:rsid w:val="001F00DF"/>
    <w:rPr>
      <w:color w:val="2B579A"/>
      <w:shd w:val="clear" w:color="auto" w:fill="E1DFDD"/>
    </w:rPr>
  </w:style>
  <w:style w:type="paragraph" w:customStyle="1" w:styleId="RTDBulletlevel1">
    <w:name w:val="RTD Bullet level 1"/>
    <w:basedOn w:val="NormalIndent"/>
    <w:autoRedefine/>
    <w:qFormat/>
    <w:rsid w:val="00A54DEB"/>
    <w:pPr>
      <w:numPr>
        <w:numId w:val="17"/>
      </w:numPr>
      <w:tabs>
        <w:tab w:val="clear" w:pos="720"/>
        <w:tab w:val="num" w:pos="1485"/>
      </w:tabs>
      <w:spacing w:after="240"/>
      <w:ind w:left="360" w:hanging="360"/>
    </w:pPr>
    <w:rPr>
      <w:rFonts w:ascii="Arial" w:hAnsi="Arial" w:cstheme="minorBidi"/>
      <w:kern w:val="0"/>
      <w:sz w:val="20"/>
      <w:szCs w:val="19"/>
      <w:lang w:eastAsia="en-US"/>
    </w:rPr>
  </w:style>
  <w:style w:type="paragraph" w:customStyle="1" w:styleId="RTDSubtitle03">
    <w:name w:val="RTD Subtitle 03"/>
    <w:basedOn w:val="Heading3"/>
    <w:next w:val="Normal"/>
    <w:autoRedefine/>
    <w:qFormat/>
    <w:rsid w:val="00A54DEB"/>
    <w:pPr>
      <w:numPr>
        <w:numId w:val="17"/>
      </w:numPr>
      <w:tabs>
        <w:tab w:val="num" w:pos="1920"/>
      </w:tabs>
      <w:spacing w:after="200"/>
      <w:ind w:left="737" w:hanging="737"/>
      <w:jc w:val="left"/>
    </w:pPr>
    <w:rPr>
      <w:rFonts w:ascii="Arial" w:eastAsiaTheme="minorHAnsi" w:hAnsi="Arial" w:cstheme="minorBidi"/>
      <w:i w:val="0"/>
      <w:sz w:val="20"/>
      <w:szCs w:val="22"/>
      <w:lang w:eastAsia="en-US"/>
      <w14:ligatures w14:val="standardContextual"/>
    </w:rPr>
  </w:style>
  <w:style w:type="paragraph" w:styleId="NormalIndent">
    <w:name w:val="Normal Indent"/>
    <w:basedOn w:val="Normal"/>
    <w:uiPriority w:val="99"/>
    <w:semiHidden/>
    <w:unhideWhenUsed/>
    <w:rsid w:val="00A54DEB"/>
    <w:pPr>
      <w:ind w:left="720"/>
    </w:pPr>
  </w:style>
  <w:style w:type="character" w:customStyle="1" w:styleId="Marker">
    <w:name w:val="Marker"/>
    <w:basedOn w:val="DefaultParagraphFont"/>
    <w:rsid w:val="0089248B"/>
    <w:rPr>
      <w:color w:val="0000FF"/>
      <w:shd w:val="clear" w:color="auto" w:fill="auto"/>
    </w:rPr>
  </w:style>
  <w:style w:type="paragraph" w:customStyle="1" w:styleId="Pagedecouverture">
    <w:name w:val="Page de couverture"/>
    <w:basedOn w:val="Normal"/>
    <w:next w:val="Normal"/>
    <w:link w:val="PagedecouvertureChar"/>
    <w:rsid w:val="0089248B"/>
    <w:pPr>
      <w:spacing w:after="0"/>
    </w:pPr>
    <w:rPr>
      <w:kern w:val="0"/>
      <w:szCs w:val="22"/>
      <w:lang w:eastAsia="en-US"/>
      <w14:ligatures w14:val="none"/>
    </w:rPr>
  </w:style>
  <w:style w:type="paragraph" w:customStyle="1" w:styleId="Typedudocument">
    <w:name w:val="Type du document"/>
    <w:basedOn w:val="Normal"/>
    <w:next w:val="Normal"/>
    <w:rsid w:val="0089248B"/>
    <w:pPr>
      <w:spacing w:before="360" w:after="0"/>
      <w:jc w:val="center"/>
    </w:pPr>
    <w:rPr>
      <w:b/>
      <w:kern w:val="0"/>
      <w:szCs w:val="22"/>
      <w:lang w:eastAsia="en-US"/>
      <w14:ligatures w14:val="none"/>
    </w:rPr>
  </w:style>
  <w:style w:type="paragraph" w:customStyle="1" w:styleId="Titreobjet">
    <w:name w:val="Titre objet"/>
    <w:basedOn w:val="Normal"/>
    <w:next w:val="Normal"/>
    <w:rsid w:val="0089248B"/>
    <w:pPr>
      <w:spacing w:before="360" w:after="360"/>
      <w:jc w:val="center"/>
    </w:pPr>
    <w:rPr>
      <w:b/>
      <w:kern w:val="0"/>
      <w:szCs w:val="22"/>
      <w:lang w:eastAsia="en-US"/>
      <w14:ligatures w14:val="none"/>
    </w:rPr>
  </w:style>
  <w:style w:type="paragraph" w:customStyle="1" w:styleId="FooterCoverPage">
    <w:name w:val="Footer Cover Page"/>
    <w:basedOn w:val="Normal"/>
    <w:link w:val="FooterCoverPageChar"/>
    <w:rsid w:val="0089248B"/>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9248B"/>
    <w:rPr>
      <w:rFonts w:ascii="Times New Roman" w:hAnsi="Times New Roman" w:cs="Times New Roman"/>
      <w:kern w:val="0"/>
      <w:sz w:val="24"/>
      <w:lang w:val="fi-FI"/>
      <w14:ligatures w14:val="none"/>
    </w:rPr>
  </w:style>
  <w:style w:type="character" w:customStyle="1" w:styleId="FooterCoverPageChar">
    <w:name w:val="Footer Cover Page Char"/>
    <w:basedOn w:val="PagedecouvertureChar"/>
    <w:link w:val="FooterCoverPage"/>
    <w:rsid w:val="0089248B"/>
    <w:rPr>
      <w:rFonts w:ascii="Times New Roman" w:hAnsi="Times New Roman" w:cs="Times New Roman"/>
      <w:kern w:val="0"/>
      <w:sz w:val="24"/>
      <w:szCs w:val="24"/>
      <w:lang w:val="fi-FI" w:eastAsia="en-IE"/>
      <w14:ligatures w14:val="none"/>
    </w:rPr>
  </w:style>
  <w:style w:type="paragraph" w:customStyle="1" w:styleId="FooterSensitivity">
    <w:name w:val="Footer Sensitivity"/>
    <w:basedOn w:val="Normal"/>
    <w:link w:val="FooterSensitivityChar"/>
    <w:rsid w:val="0089248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9248B"/>
    <w:rPr>
      <w:rFonts w:ascii="Times New Roman" w:hAnsi="Times New Roman" w:cs="Times New Roman"/>
      <w:b/>
      <w:kern w:val="0"/>
      <w:sz w:val="32"/>
      <w:szCs w:val="24"/>
      <w:lang w:val="fi-FI" w:eastAsia="en-IE"/>
      <w14:ligatures w14:val="none"/>
    </w:rPr>
  </w:style>
  <w:style w:type="paragraph" w:customStyle="1" w:styleId="HeaderCoverPage">
    <w:name w:val="Header Cover Page"/>
    <w:basedOn w:val="Normal"/>
    <w:link w:val="HeaderCoverPageChar"/>
    <w:rsid w:val="0089248B"/>
    <w:pPr>
      <w:tabs>
        <w:tab w:val="center" w:pos="4535"/>
        <w:tab w:val="right" w:pos="9071"/>
      </w:tabs>
      <w:spacing w:after="120"/>
    </w:pPr>
  </w:style>
  <w:style w:type="character" w:customStyle="1" w:styleId="HeaderCoverPageChar">
    <w:name w:val="Header Cover Page Char"/>
    <w:basedOn w:val="PagedecouvertureChar"/>
    <w:link w:val="HeaderCoverPage"/>
    <w:rsid w:val="0089248B"/>
    <w:rPr>
      <w:rFonts w:ascii="Times New Roman" w:hAnsi="Times New Roman" w:cs="Times New Roman"/>
      <w:kern w:val="0"/>
      <w:sz w:val="24"/>
      <w:szCs w:val="24"/>
      <w:lang w:val="fi-FI" w:eastAsia="en-IE"/>
      <w14:ligatures w14:val="none"/>
    </w:rPr>
  </w:style>
  <w:style w:type="paragraph" w:customStyle="1" w:styleId="HeaderSensitivity">
    <w:name w:val="Header Sensitivity"/>
    <w:basedOn w:val="Normal"/>
    <w:link w:val="HeaderSensitivityChar"/>
    <w:rsid w:val="0089248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89248B"/>
    <w:rPr>
      <w:rFonts w:ascii="Times New Roman" w:hAnsi="Times New Roman" w:cs="Times New Roman"/>
      <w:b/>
      <w:kern w:val="0"/>
      <w:sz w:val="32"/>
      <w:szCs w:val="24"/>
      <w:lang w:val="fi-FI" w:eastAsia="en-IE"/>
      <w14:ligatures w14:val="none"/>
    </w:rPr>
  </w:style>
  <w:style w:type="paragraph" w:customStyle="1" w:styleId="HeaderSensitivityRight">
    <w:name w:val="Header Sensitivity Right"/>
    <w:basedOn w:val="Normal"/>
    <w:link w:val="HeaderSensitivityRightChar"/>
    <w:rsid w:val="0089248B"/>
    <w:pPr>
      <w:spacing w:after="120"/>
      <w:jc w:val="right"/>
    </w:pPr>
    <w:rPr>
      <w:sz w:val="28"/>
    </w:rPr>
  </w:style>
  <w:style w:type="character" w:customStyle="1" w:styleId="HeaderSensitivityRightChar">
    <w:name w:val="Header Sensitivity Right Char"/>
    <w:basedOn w:val="PagedecouvertureChar"/>
    <w:link w:val="HeaderSensitivityRight"/>
    <w:rsid w:val="0089248B"/>
    <w:rPr>
      <w:rFonts w:ascii="Times New Roman" w:hAnsi="Times New Roman" w:cs="Times New Roman"/>
      <w:kern w:val="0"/>
      <w:sz w:val="28"/>
      <w:szCs w:val="24"/>
      <w:lang w:val="fi-FI" w:eastAsia="en-IE"/>
      <w14:ligatures w14:val="none"/>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link w:val="ListParagraph"/>
    <w:uiPriority w:val="34"/>
    <w:qFormat/>
    <w:rsid w:val="00725921"/>
    <w:rPr>
      <w:rFonts w:ascii="Times New Roman" w:hAnsi="Times New Roman" w:cs="Times New Roman"/>
      <w:sz w:val="24"/>
      <w:szCs w:val="24"/>
      <w:lang w:val="fi-FI" w:eastAsia="en-IE"/>
    </w:rPr>
  </w:style>
  <w:style w:type="character" w:customStyle="1" w:styleId="UnresolvedMention2">
    <w:name w:val="Unresolved Mention2"/>
    <w:basedOn w:val="DefaultParagraphFont"/>
    <w:uiPriority w:val="99"/>
    <w:semiHidden/>
    <w:unhideWhenUsed/>
    <w:rsid w:val="007A52E0"/>
    <w:rPr>
      <w:color w:val="605E5C"/>
      <w:shd w:val="clear" w:color="auto" w:fill="E1DFDD"/>
    </w:rPr>
  </w:style>
  <w:style w:type="paragraph" w:styleId="EndnoteText">
    <w:name w:val="endnote text"/>
    <w:basedOn w:val="Normal"/>
    <w:link w:val="EndnoteTextChar"/>
    <w:uiPriority w:val="99"/>
    <w:semiHidden/>
    <w:unhideWhenUsed/>
    <w:rsid w:val="0075161A"/>
    <w:pPr>
      <w:spacing w:after="0"/>
    </w:pPr>
    <w:rPr>
      <w:sz w:val="20"/>
      <w:szCs w:val="20"/>
    </w:rPr>
  </w:style>
  <w:style w:type="character" w:customStyle="1" w:styleId="EndnoteTextChar">
    <w:name w:val="Endnote Text Char"/>
    <w:basedOn w:val="DefaultParagraphFont"/>
    <w:link w:val="EndnoteText"/>
    <w:uiPriority w:val="99"/>
    <w:semiHidden/>
    <w:rsid w:val="0075161A"/>
    <w:rPr>
      <w:rFonts w:ascii="Times New Roman" w:hAnsi="Times New Roman" w:cs="Times New Roman"/>
      <w:sz w:val="20"/>
      <w:szCs w:val="20"/>
      <w:lang w:val="fi-FI" w:eastAsia="en-IE"/>
    </w:rPr>
  </w:style>
  <w:style w:type="character" w:styleId="EndnoteReference">
    <w:name w:val="endnote reference"/>
    <w:basedOn w:val="DefaultParagraphFont"/>
    <w:uiPriority w:val="99"/>
    <w:semiHidden/>
    <w:unhideWhenUsed/>
    <w:rsid w:val="007516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1274">
      <w:bodyDiv w:val="1"/>
      <w:marLeft w:val="0"/>
      <w:marRight w:val="0"/>
      <w:marTop w:val="0"/>
      <w:marBottom w:val="0"/>
      <w:divBdr>
        <w:top w:val="none" w:sz="0" w:space="0" w:color="auto"/>
        <w:left w:val="none" w:sz="0" w:space="0" w:color="auto"/>
        <w:bottom w:val="none" w:sz="0" w:space="0" w:color="auto"/>
        <w:right w:val="none" w:sz="0" w:space="0" w:color="auto"/>
      </w:divBdr>
    </w:div>
    <w:div w:id="25375008">
      <w:bodyDiv w:val="1"/>
      <w:marLeft w:val="0"/>
      <w:marRight w:val="0"/>
      <w:marTop w:val="0"/>
      <w:marBottom w:val="0"/>
      <w:divBdr>
        <w:top w:val="none" w:sz="0" w:space="0" w:color="auto"/>
        <w:left w:val="none" w:sz="0" w:space="0" w:color="auto"/>
        <w:bottom w:val="none" w:sz="0" w:space="0" w:color="auto"/>
        <w:right w:val="none" w:sz="0" w:space="0" w:color="auto"/>
      </w:divBdr>
    </w:div>
    <w:div w:id="123158311">
      <w:bodyDiv w:val="1"/>
      <w:marLeft w:val="0"/>
      <w:marRight w:val="0"/>
      <w:marTop w:val="0"/>
      <w:marBottom w:val="0"/>
      <w:divBdr>
        <w:top w:val="none" w:sz="0" w:space="0" w:color="auto"/>
        <w:left w:val="none" w:sz="0" w:space="0" w:color="auto"/>
        <w:bottom w:val="none" w:sz="0" w:space="0" w:color="auto"/>
        <w:right w:val="none" w:sz="0" w:space="0" w:color="auto"/>
      </w:divBdr>
    </w:div>
    <w:div w:id="308871383">
      <w:bodyDiv w:val="1"/>
      <w:marLeft w:val="0"/>
      <w:marRight w:val="0"/>
      <w:marTop w:val="0"/>
      <w:marBottom w:val="0"/>
      <w:divBdr>
        <w:top w:val="none" w:sz="0" w:space="0" w:color="auto"/>
        <w:left w:val="none" w:sz="0" w:space="0" w:color="auto"/>
        <w:bottom w:val="none" w:sz="0" w:space="0" w:color="auto"/>
        <w:right w:val="none" w:sz="0" w:space="0" w:color="auto"/>
      </w:divBdr>
    </w:div>
    <w:div w:id="413278906">
      <w:bodyDiv w:val="1"/>
      <w:marLeft w:val="0"/>
      <w:marRight w:val="0"/>
      <w:marTop w:val="0"/>
      <w:marBottom w:val="0"/>
      <w:divBdr>
        <w:top w:val="none" w:sz="0" w:space="0" w:color="auto"/>
        <w:left w:val="none" w:sz="0" w:space="0" w:color="auto"/>
        <w:bottom w:val="none" w:sz="0" w:space="0" w:color="auto"/>
        <w:right w:val="none" w:sz="0" w:space="0" w:color="auto"/>
      </w:divBdr>
    </w:div>
    <w:div w:id="460880200">
      <w:bodyDiv w:val="1"/>
      <w:marLeft w:val="0"/>
      <w:marRight w:val="0"/>
      <w:marTop w:val="0"/>
      <w:marBottom w:val="0"/>
      <w:divBdr>
        <w:top w:val="none" w:sz="0" w:space="0" w:color="auto"/>
        <w:left w:val="none" w:sz="0" w:space="0" w:color="auto"/>
        <w:bottom w:val="none" w:sz="0" w:space="0" w:color="auto"/>
        <w:right w:val="none" w:sz="0" w:space="0" w:color="auto"/>
      </w:divBdr>
    </w:div>
    <w:div w:id="772627721">
      <w:bodyDiv w:val="1"/>
      <w:marLeft w:val="0"/>
      <w:marRight w:val="0"/>
      <w:marTop w:val="0"/>
      <w:marBottom w:val="0"/>
      <w:divBdr>
        <w:top w:val="none" w:sz="0" w:space="0" w:color="auto"/>
        <w:left w:val="none" w:sz="0" w:space="0" w:color="auto"/>
        <w:bottom w:val="none" w:sz="0" w:space="0" w:color="auto"/>
        <w:right w:val="none" w:sz="0" w:space="0" w:color="auto"/>
      </w:divBdr>
    </w:div>
    <w:div w:id="881019086">
      <w:bodyDiv w:val="1"/>
      <w:marLeft w:val="0"/>
      <w:marRight w:val="0"/>
      <w:marTop w:val="0"/>
      <w:marBottom w:val="0"/>
      <w:divBdr>
        <w:top w:val="none" w:sz="0" w:space="0" w:color="auto"/>
        <w:left w:val="none" w:sz="0" w:space="0" w:color="auto"/>
        <w:bottom w:val="none" w:sz="0" w:space="0" w:color="auto"/>
        <w:right w:val="none" w:sz="0" w:space="0" w:color="auto"/>
      </w:divBdr>
    </w:div>
    <w:div w:id="954289070">
      <w:bodyDiv w:val="1"/>
      <w:marLeft w:val="0"/>
      <w:marRight w:val="0"/>
      <w:marTop w:val="0"/>
      <w:marBottom w:val="0"/>
      <w:divBdr>
        <w:top w:val="none" w:sz="0" w:space="0" w:color="auto"/>
        <w:left w:val="none" w:sz="0" w:space="0" w:color="auto"/>
        <w:bottom w:val="none" w:sz="0" w:space="0" w:color="auto"/>
        <w:right w:val="none" w:sz="0" w:space="0" w:color="auto"/>
      </w:divBdr>
    </w:div>
    <w:div w:id="1102146385">
      <w:bodyDiv w:val="1"/>
      <w:marLeft w:val="0"/>
      <w:marRight w:val="0"/>
      <w:marTop w:val="0"/>
      <w:marBottom w:val="0"/>
      <w:divBdr>
        <w:top w:val="none" w:sz="0" w:space="0" w:color="auto"/>
        <w:left w:val="none" w:sz="0" w:space="0" w:color="auto"/>
        <w:bottom w:val="none" w:sz="0" w:space="0" w:color="auto"/>
        <w:right w:val="none" w:sz="0" w:space="0" w:color="auto"/>
      </w:divBdr>
    </w:div>
    <w:div w:id="1432820612">
      <w:bodyDiv w:val="1"/>
      <w:marLeft w:val="0"/>
      <w:marRight w:val="0"/>
      <w:marTop w:val="0"/>
      <w:marBottom w:val="0"/>
      <w:divBdr>
        <w:top w:val="none" w:sz="0" w:space="0" w:color="auto"/>
        <w:left w:val="none" w:sz="0" w:space="0" w:color="auto"/>
        <w:bottom w:val="none" w:sz="0" w:space="0" w:color="auto"/>
        <w:right w:val="none" w:sz="0" w:space="0" w:color="auto"/>
      </w:divBdr>
    </w:div>
    <w:div w:id="1442798702">
      <w:bodyDiv w:val="1"/>
      <w:marLeft w:val="0"/>
      <w:marRight w:val="0"/>
      <w:marTop w:val="0"/>
      <w:marBottom w:val="0"/>
      <w:divBdr>
        <w:top w:val="none" w:sz="0" w:space="0" w:color="auto"/>
        <w:left w:val="none" w:sz="0" w:space="0" w:color="auto"/>
        <w:bottom w:val="none" w:sz="0" w:space="0" w:color="auto"/>
        <w:right w:val="none" w:sz="0" w:space="0" w:color="auto"/>
      </w:divBdr>
    </w:div>
    <w:div w:id="1446997276">
      <w:bodyDiv w:val="1"/>
      <w:marLeft w:val="0"/>
      <w:marRight w:val="0"/>
      <w:marTop w:val="0"/>
      <w:marBottom w:val="0"/>
      <w:divBdr>
        <w:top w:val="none" w:sz="0" w:space="0" w:color="auto"/>
        <w:left w:val="none" w:sz="0" w:space="0" w:color="auto"/>
        <w:bottom w:val="none" w:sz="0" w:space="0" w:color="auto"/>
        <w:right w:val="none" w:sz="0" w:space="0" w:color="auto"/>
      </w:divBdr>
    </w:div>
    <w:div w:id="1482891473">
      <w:bodyDiv w:val="1"/>
      <w:marLeft w:val="0"/>
      <w:marRight w:val="0"/>
      <w:marTop w:val="0"/>
      <w:marBottom w:val="0"/>
      <w:divBdr>
        <w:top w:val="none" w:sz="0" w:space="0" w:color="auto"/>
        <w:left w:val="none" w:sz="0" w:space="0" w:color="auto"/>
        <w:bottom w:val="none" w:sz="0" w:space="0" w:color="auto"/>
        <w:right w:val="none" w:sz="0" w:space="0" w:color="auto"/>
      </w:divBdr>
    </w:div>
    <w:div w:id="1504854746">
      <w:bodyDiv w:val="1"/>
      <w:marLeft w:val="0"/>
      <w:marRight w:val="0"/>
      <w:marTop w:val="0"/>
      <w:marBottom w:val="0"/>
      <w:divBdr>
        <w:top w:val="none" w:sz="0" w:space="0" w:color="auto"/>
        <w:left w:val="none" w:sz="0" w:space="0" w:color="auto"/>
        <w:bottom w:val="none" w:sz="0" w:space="0" w:color="auto"/>
        <w:right w:val="none" w:sz="0" w:space="0" w:color="auto"/>
      </w:divBdr>
    </w:div>
    <w:div w:id="1590237530">
      <w:bodyDiv w:val="1"/>
      <w:marLeft w:val="0"/>
      <w:marRight w:val="0"/>
      <w:marTop w:val="0"/>
      <w:marBottom w:val="0"/>
      <w:divBdr>
        <w:top w:val="none" w:sz="0" w:space="0" w:color="auto"/>
        <w:left w:val="none" w:sz="0" w:space="0" w:color="auto"/>
        <w:bottom w:val="none" w:sz="0" w:space="0" w:color="auto"/>
        <w:right w:val="none" w:sz="0" w:space="0" w:color="auto"/>
      </w:divBdr>
    </w:div>
    <w:div w:id="1614241604">
      <w:bodyDiv w:val="1"/>
      <w:marLeft w:val="0"/>
      <w:marRight w:val="0"/>
      <w:marTop w:val="0"/>
      <w:marBottom w:val="0"/>
      <w:divBdr>
        <w:top w:val="none" w:sz="0" w:space="0" w:color="auto"/>
        <w:left w:val="none" w:sz="0" w:space="0" w:color="auto"/>
        <w:bottom w:val="none" w:sz="0" w:space="0" w:color="auto"/>
        <w:right w:val="none" w:sz="0" w:space="0" w:color="auto"/>
      </w:divBdr>
    </w:div>
    <w:div w:id="1629050074">
      <w:bodyDiv w:val="1"/>
      <w:marLeft w:val="0"/>
      <w:marRight w:val="0"/>
      <w:marTop w:val="0"/>
      <w:marBottom w:val="0"/>
      <w:divBdr>
        <w:top w:val="none" w:sz="0" w:space="0" w:color="auto"/>
        <w:left w:val="none" w:sz="0" w:space="0" w:color="auto"/>
        <w:bottom w:val="none" w:sz="0" w:space="0" w:color="auto"/>
        <w:right w:val="none" w:sz="0" w:space="0" w:color="auto"/>
      </w:divBdr>
    </w:div>
    <w:div w:id="1884176407">
      <w:bodyDiv w:val="1"/>
      <w:marLeft w:val="0"/>
      <w:marRight w:val="0"/>
      <w:marTop w:val="0"/>
      <w:marBottom w:val="0"/>
      <w:divBdr>
        <w:top w:val="none" w:sz="0" w:space="0" w:color="auto"/>
        <w:left w:val="none" w:sz="0" w:space="0" w:color="auto"/>
        <w:bottom w:val="none" w:sz="0" w:space="0" w:color="auto"/>
        <w:right w:val="none" w:sz="0" w:space="0" w:color="auto"/>
      </w:divBdr>
    </w:div>
    <w:div w:id="1908417145">
      <w:bodyDiv w:val="1"/>
      <w:marLeft w:val="0"/>
      <w:marRight w:val="0"/>
      <w:marTop w:val="0"/>
      <w:marBottom w:val="0"/>
      <w:divBdr>
        <w:top w:val="none" w:sz="0" w:space="0" w:color="auto"/>
        <w:left w:val="none" w:sz="0" w:space="0" w:color="auto"/>
        <w:bottom w:val="none" w:sz="0" w:space="0" w:color="auto"/>
        <w:right w:val="none" w:sz="0" w:space="0" w:color="auto"/>
      </w:divBdr>
    </w:div>
    <w:div w:id="209200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data.europa.eu/doi/10.2777/965670" TargetMode="External"/><Relationship Id="rId117" Type="http://schemas.openxmlformats.org/officeDocument/2006/relationships/hyperlink" Target="https://powersummit2024.eurelectric.org/wp-content/uploads/2024/05/Grids-for-Speed_Report.pdf" TargetMode="External"/><Relationship Id="rId21" Type="http://schemas.openxmlformats.org/officeDocument/2006/relationships/hyperlink" Target="https://single-market-economy.ec.europa.eu/industry/strategy/energy-intensive-industries_en?prefLang=fi" TargetMode="External"/><Relationship Id="rId42" Type="http://schemas.openxmlformats.org/officeDocument/2006/relationships/hyperlink" Target="https://op.europa.eu/fi/publication-detail/-/publication/c683268c-3cdc-11ef-ab8f-01aa75ed71a1" TargetMode="External"/><Relationship Id="rId47" Type="http://schemas.openxmlformats.org/officeDocument/2006/relationships/hyperlink" Target="https://ec.europa.eu/info/law/better-regulation/have-your-say/initiatives/14488-Savings-and-Investments-Union_fi" TargetMode="External"/><Relationship Id="rId63" Type="http://schemas.openxmlformats.org/officeDocument/2006/relationships/hyperlink" Target="https://setis.ec.europa.eu/document/download/187de87e-87cc-47f2-85ac-dd630643280b_en" TargetMode="External"/><Relationship Id="rId68" Type="http://schemas.openxmlformats.org/officeDocument/2006/relationships/hyperlink" Target="https://energy.ec.europa.eu/system/files/2023-12/Charter_logos_final_02.pdf" TargetMode="External"/><Relationship Id="rId84" Type="http://schemas.openxmlformats.org/officeDocument/2006/relationships/hyperlink" Target="https://setis.ec.europa.eu/document/download/0a47ba9a-12b6-4e39-9f6f-b89e10ae0131_en" TargetMode="External"/><Relationship Id="rId89" Type="http://schemas.openxmlformats.org/officeDocument/2006/relationships/hyperlink" Target="https://competition-policy.ec.europa.eu/state-aid/ipcei/approved-ipceis_en?prefLang=fi" TargetMode="External"/><Relationship Id="rId112" Type="http://schemas.openxmlformats.org/officeDocument/2006/relationships/hyperlink" Target="https://ec.europa.eu/commission/presscorner/detail/en/qanda_23_6048" TargetMode="External"/><Relationship Id="rId133" Type="http://schemas.openxmlformats.org/officeDocument/2006/relationships/hyperlink" Target="https://op.europa.eu/fi/publication-detail/-/publication/23d054d0-c4e3-11ee-95d9-01aa75ed71a1" TargetMode="External"/><Relationship Id="rId138" Type="http://schemas.openxmlformats.org/officeDocument/2006/relationships/hyperlink" Target="https://op.europa.eu/en/publication-detail/-/publication/23d054d0-c4e3-11ee-95d9-01aa75ed71a1/language-en" TargetMode="External"/><Relationship Id="rId16" Type="http://schemas.openxmlformats.org/officeDocument/2006/relationships/hyperlink" Target="https://cohesiondata.ec.europa.eu/stories/s/21-27-Cohesion-policy-tracking-climate-action-and-/mdt2-qvkd" TargetMode="External"/><Relationship Id="rId107" Type="http://schemas.openxmlformats.org/officeDocument/2006/relationships/hyperlink" Target="https://op.europa.eu/fi/publication-detail/-/publication/23d054d0-c4e3-11ee-95d9-01aa75ed71a1" TargetMode="External"/><Relationship Id="rId11" Type="http://schemas.openxmlformats.org/officeDocument/2006/relationships/hyperlink" Target="https://commission.europa.eu/topics/strengthening-european-competitiveness/eu-competitiveness-looking-ahead_en" TargetMode="External"/><Relationship Id="rId32" Type="http://schemas.openxmlformats.org/officeDocument/2006/relationships/hyperlink" Target="https://data.europa.eu/doi/10.2760/0775231" TargetMode="External"/><Relationship Id="rId37" Type="http://schemas.openxmlformats.org/officeDocument/2006/relationships/hyperlink" Target="https://doi.org/10.1787/8e6ae16b-en" TargetMode="External"/><Relationship Id="rId53" Type="http://schemas.openxmlformats.org/officeDocument/2006/relationships/hyperlink" Target="https://energy.ec.europa.eu/topics/renewable-energy/solar-energy/european-solar-charter_en?prefLang=fi" TargetMode="External"/><Relationship Id="rId58" Type="http://schemas.openxmlformats.org/officeDocument/2006/relationships/hyperlink" Target="https://setis.ec.europa.eu/document/download/153aab34-9876-4a53-8cf5-929ba2870feb_en" TargetMode="External"/><Relationship Id="rId74" Type="http://schemas.openxmlformats.org/officeDocument/2006/relationships/hyperlink" Target="https://setis.ec.europa.eu/document/download/8d2ad133-13ee-441f-9776-46c7aef98714_en?filename=SET%20Plan%20OCEAN%20ENERGY%20Implementation%20plan.pdf" TargetMode="External"/><Relationship Id="rId79" Type="http://schemas.openxmlformats.org/officeDocument/2006/relationships/hyperlink" Target="https://www.ecb.europa.eu/stats/policy_and_exchange_rates/euro_reference_exchange_rates/html/eurofxref-graph-usd.fi.html" TargetMode="External"/><Relationship Id="rId102" Type="http://schemas.openxmlformats.org/officeDocument/2006/relationships/hyperlink" Target="https://op.europa.eu/fi/publication-detail/-/publication/23d054d0-c4e3-11ee-95d9-01aa75ed71a1" TargetMode="External"/><Relationship Id="rId123" Type="http://schemas.openxmlformats.org/officeDocument/2006/relationships/hyperlink" Target="https://ec.europa.eu/eurostat/databrowser/view/nrg_cb_pem__custom_15337562/default/table?lang=en" TargetMode="External"/><Relationship Id="rId128" Type="http://schemas.openxmlformats.org/officeDocument/2006/relationships/hyperlink" Target="https://setis.ec.europa.eu/document/download/67632c8c-a010-4e74-a8c1-8659b2246707_en" TargetMode="External"/><Relationship Id="rId144" Type="http://schemas.openxmlformats.org/officeDocument/2006/relationships/hyperlink" Target="https://www.ecb.europa.eu/stats/policy_and_exchange_rates/euro_reference_exchange_rates/html/eurofxref-graph-usd.fi.html" TargetMode="External"/><Relationship Id="rId149" Type="http://schemas.openxmlformats.org/officeDocument/2006/relationships/hyperlink" Target="https://cetpartnership.eu/about" TargetMode="External"/><Relationship Id="rId5" Type="http://schemas.openxmlformats.org/officeDocument/2006/relationships/hyperlink" Target="https://setis.ec.europa.eu/publications-and-documents/clean-energy-technology-observatory_en?prefLang=fi" TargetMode="External"/><Relationship Id="rId90" Type="http://schemas.openxmlformats.org/officeDocument/2006/relationships/hyperlink" Target="https://setis.ec.europa.eu/document/download/c267596b-d32d-4446-ae47-cb97ec44c8cc_en" TargetMode="External"/><Relationship Id="rId95" Type="http://schemas.openxmlformats.org/officeDocument/2006/relationships/hyperlink" Target="https://observatory.clean-hydrogen.europa.eu/tools-reports/datasets" TargetMode="External"/><Relationship Id="rId22" Type="http://schemas.openxmlformats.org/officeDocument/2006/relationships/hyperlink" Target="https://commission.europa.eu/topics/strengthening-european-competitiveness/eu-competitiveness-looking-ahead_en" TargetMode="External"/><Relationship Id="rId27" Type="http://schemas.openxmlformats.org/officeDocument/2006/relationships/hyperlink" Target="https://iea.blob.core.windows.net/assets/53533e19-2f21-4dca-ab9a-c251bc0f9e33/RDD_Documentation.pdf" TargetMode="External"/><Relationship Id="rId43" Type="http://schemas.openxmlformats.org/officeDocument/2006/relationships/hyperlink" Target="https://strategic-technologies.europa.eu/" TargetMode="External"/><Relationship Id="rId48" Type="http://schemas.openxmlformats.org/officeDocument/2006/relationships/hyperlink" Target="https://api.solarpowereurope.org/uploads/SPE_Inverters_Explained_2_0_2024_V01_656a82d39e.pdf?updated_at=2024-06-19T14:17:45.349Z" TargetMode="External"/><Relationship Id="rId64" Type="http://schemas.openxmlformats.org/officeDocument/2006/relationships/hyperlink" Target="https://windeurope.org/newsroom/press-releases/rebound-in-wind-energy-financing-in-2023-shows-that-the-right-policies-attract-investors/" TargetMode="External"/><Relationship Id="rId69" Type="http://schemas.openxmlformats.org/officeDocument/2006/relationships/hyperlink" Target="https://www.ecb.europa.eu/stats/policy_and_exchange_rates/euro_reference_exchange_rates/html/eurofxref-graph-usd.fi.html" TargetMode="External"/><Relationship Id="rId113" Type="http://schemas.openxmlformats.org/officeDocument/2006/relationships/hyperlink" Target="https://www.en.kefm.dk/news/news-archive/2024/jun/the-first-exploration-licenses-for-land-based-storage-of-co2-in-denmark-have-been-granted-" TargetMode="External"/><Relationship Id="rId118" Type="http://schemas.openxmlformats.org/officeDocument/2006/relationships/hyperlink" Target="https://data.europa.eu/doi/10.2833/8232521" TargetMode="External"/><Relationship Id="rId134" Type="http://schemas.openxmlformats.org/officeDocument/2006/relationships/hyperlink" Target="https://op.europa.eu/fi/publication-detail/-/publication/5f15eae6-c4c4-11ee-95d9-01aa75ed71a1" TargetMode="External"/><Relationship Id="rId139" Type="http://schemas.openxmlformats.org/officeDocument/2006/relationships/hyperlink" Target="https://op.europa.eu/fi/publication-detail/-/publication/5f15eae6-c4c4-11ee-95d9-01aa75ed71a1" TargetMode="External"/><Relationship Id="rId80" Type="http://schemas.openxmlformats.org/officeDocument/2006/relationships/hyperlink" Target="https://heatpumpingtechnologies.org/annex58/wp-content/uploads/sites/70/2023/09/annex-58-task-1-technologies-task-report.pdf" TargetMode="External"/><Relationship Id="rId85" Type="http://schemas.openxmlformats.org/officeDocument/2006/relationships/hyperlink" Target="https://www.egec.org/media-publications/egec-releases-the-2023-geothermal-market-report/" TargetMode="External"/><Relationship Id="rId3" Type="http://schemas.openxmlformats.org/officeDocument/2006/relationships/hyperlink" Target="https://commission.europa.eu/document/download/e6cd4328-673c-4e7a-8683-f63ffb2cf648_fi?filename=Political%20Guidelines%202024-2029_FI.pdf" TargetMode="External"/><Relationship Id="rId12" Type="http://schemas.openxmlformats.org/officeDocument/2006/relationships/hyperlink" Target="https://single-market-economy.ec.europa.eu/publications/2025-annual-single-market-and-competitiveness-report_en?prefLang=fi" TargetMode="External"/><Relationship Id="rId17" Type="http://schemas.openxmlformats.org/officeDocument/2006/relationships/hyperlink" Target="https://www.ecb.europa.eu/stats/policy_and_exchange_rates/euro_reference_exchange_rates/html/eurofxref-graph-usd.fi.html" TargetMode="External"/><Relationship Id="rId25" Type="http://schemas.openxmlformats.org/officeDocument/2006/relationships/hyperlink" Target="https://economy-finance.ec.europa.eu/economic-forecast-and-surveys/business-and-consumer-surveys/download-business-and-consumer-survey-data/subsector-data_en?prefLang=fi" TargetMode="External"/><Relationship Id="rId33" Type="http://schemas.openxmlformats.org/officeDocument/2006/relationships/hyperlink" Target="https://publications.jrc.ec.europa.eu/repository/handle/JRC135576" TargetMode="External"/><Relationship Id="rId38" Type="http://schemas.openxmlformats.org/officeDocument/2006/relationships/hyperlink" Target="https://setis.ec.europa.eu/patent-based-indicators-main-concepts-and-data-availability_en?prefLang=fi" TargetMode="External"/><Relationship Id="rId46" Type="http://schemas.openxmlformats.org/officeDocument/2006/relationships/hyperlink" Target="https://european-research-area.ec.europa.eu/sites/default/files/documents/2024-05/LETTA%20Report%20-%20Much%20more%20than%20a%20market_April%202024.pdf" TargetMode="External"/><Relationship Id="rId59" Type="http://schemas.openxmlformats.org/officeDocument/2006/relationships/hyperlink" Target="https://setis.ec.europa.eu/document/download/153aab34-9876-4a53-8cf5-929ba2870feb_en" TargetMode="External"/><Relationship Id="rId67" Type="http://schemas.openxmlformats.org/officeDocument/2006/relationships/hyperlink" Target="https://op.europa.eu/en/publication-detail/-/publication/57318397-fdd4-11ed-a05c-01aa75ed71a1" TargetMode="External"/><Relationship Id="rId103" Type="http://schemas.openxmlformats.org/officeDocument/2006/relationships/hyperlink" Target="https://setis.ec.europa.eu/document/download/42ca43eb-02f5-40a1-a29d-44d7f6ff4a79_en" TargetMode="External"/><Relationship Id="rId108" Type="http://schemas.openxmlformats.org/officeDocument/2006/relationships/hyperlink" Target="https://op.europa.eu/fi/publication-detail/-/publication/23d054d0-c4e3-11ee-95d9-01aa75ed71a1" TargetMode="External"/><Relationship Id="rId116" Type="http://schemas.openxmlformats.org/officeDocument/2006/relationships/hyperlink" Target="https://2024.entsos-tyndp-scenarios.eu/" TargetMode="External"/><Relationship Id="rId124" Type="http://schemas.openxmlformats.org/officeDocument/2006/relationships/hyperlink" Target="https://single-market-economy.ec.europa.eu/industry/industrial-alliances/european-industrial-alliance-small-modular-reactors_en?prefLang=fi" TargetMode="External"/><Relationship Id="rId129" Type="http://schemas.openxmlformats.org/officeDocument/2006/relationships/hyperlink" Target="https://ec.europa.eu/eurostat/databrowser/view/nrg_inf_epc__custom_15337886/default/table?lang=en" TargetMode="External"/><Relationship Id="rId137" Type="http://schemas.openxmlformats.org/officeDocument/2006/relationships/hyperlink" Target="https://op.europa.eu/fi/publication-detail/-/publication/23d054d0-c4e3-11ee-95d9-01aa75ed71a1" TargetMode="External"/><Relationship Id="rId20" Type="http://schemas.openxmlformats.org/officeDocument/2006/relationships/hyperlink" Target="https://commission.europa.eu/document/download/e6cd4328-673c-4e7a-8683-f63ffb2cf648_fi?filename=Political%20Guidelines%202024-2029_FI.pdf" TargetMode="External"/><Relationship Id="rId41" Type="http://schemas.openxmlformats.org/officeDocument/2006/relationships/hyperlink" Target="https://commission.europa.eu/document/download/e6cd4328-673c-4e7a-8683-f63ffb2cf648_fi?filename=Political%20Guidelines%202024-2029_FI.pdf" TargetMode="External"/><Relationship Id="rId54" Type="http://schemas.openxmlformats.org/officeDocument/2006/relationships/hyperlink" Target="https://setis.ec.europa.eu/document/download/61cbc4bf-3978-494a-9841-c739d5493409_en" TargetMode="External"/><Relationship Id="rId62" Type="http://schemas.openxmlformats.org/officeDocument/2006/relationships/hyperlink" Target="https://ec.europa.eu/eurostat/databrowser/view/nrg_inf_epc__custom_15336388/default/table?lang=en" TargetMode="External"/><Relationship Id="rId70" Type="http://schemas.openxmlformats.org/officeDocument/2006/relationships/hyperlink" Target="https://ec.europa.eu/eurostat/databrowser/view/nrg_inf_epc__custom_15336765/default/table?lang=en" TargetMode="External"/><Relationship Id="rId75" Type="http://schemas.openxmlformats.org/officeDocument/2006/relationships/hyperlink" Target="https://setis.ec.europa.eu/document/download/ecb97c18-3d07-4789-8ceb-f97b34463895_en" TargetMode="External"/><Relationship Id="rId83" Type="http://schemas.openxmlformats.org/officeDocument/2006/relationships/hyperlink" Target="https://ec.europa.eu/eurostat/databrowser/view/nrg_inf_epcrw__custom_15336912/default/table?lang=en" TargetMode="External"/><Relationship Id="rId88" Type="http://schemas.openxmlformats.org/officeDocument/2006/relationships/hyperlink" Target="https://data.europa.eu/doi/10.2777/906828" TargetMode="External"/><Relationship Id="rId91" Type="http://schemas.openxmlformats.org/officeDocument/2006/relationships/hyperlink" Target="https://setis.ec.europa.eu/document/download/c267596b-d32d-4446-ae47-cb97ec44c8cc_en" TargetMode="External"/><Relationship Id="rId96" Type="http://schemas.openxmlformats.org/officeDocument/2006/relationships/hyperlink" Target="https://www.iea.org/reports/renewables-2023/special-section-biogas-and-biomethane" TargetMode="External"/><Relationship Id="rId111" Type="http://schemas.openxmlformats.org/officeDocument/2006/relationships/hyperlink" Target="https://setis.ec.europa.eu/document/download/f3ece8a5-c395-4163-b498-b72c8de70f7c_en" TargetMode="External"/><Relationship Id="rId132" Type="http://schemas.openxmlformats.org/officeDocument/2006/relationships/hyperlink" Target="https://www.iata.org/contentassets/c81222d96c9a4e0bb4ff6ced0126f0bb/iata-annual-review-2024.pdf" TargetMode="External"/><Relationship Id="rId140" Type="http://schemas.openxmlformats.org/officeDocument/2006/relationships/hyperlink" Target="https://www.ieabioenergy.com/wp-content/uploads/2020/02/T41_CostReductionBiofuels-11_02_19-final.pdf" TargetMode="External"/><Relationship Id="rId145" Type="http://schemas.openxmlformats.org/officeDocument/2006/relationships/hyperlink" Target="https://doi.org/10.1016/j.applthermaleng.2023.119980" TargetMode="External"/><Relationship Id="rId1" Type="http://schemas.openxmlformats.org/officeDocument/2006/relationships/hyperlink" Target="https://commission.europa.eu/topics/strengthening-european-competitiveness/eu-competitiveness-looking-ahead_en" TargetMode="External"/><Relationship Id="rId6" Type="http://schemas.openxmlformats.org/officeDocument/2006/relationships/hyperlink" Target="https://ec.europa.eu/eurostat/databrowser/view/nrg_pc_204/default/table?lang=en&amp;category=nrg.nrg_price.nrg_pc" TargetMode="External"/><Relationship Id="rId15" Type="http://schemas.openxmlformats.org/officeDocument/2006/relationships/hyperlink" Target="https://international-partnerships.ec.europa.eu/policies/global-gateway_fi" TargetMode="External"/><Relationship Id="rId23" Type="http://schemas.openxmlformats.org/officeDocument/2006/relationships/hyperlink" Target="https://www.ehpa.org/wp-content/uploads/2024/08/Executive-summary_EHPA-heat-pump-market-and-statistic-report-2024-2.pdf" TargetMode="External"/><Relationship Id="rId28" Type="http://schemas.openxmlformats.org/officeDocument/2006/relationships/hyperlink" Target="https://www.iea.org/data-and-statistics/data-product/energy-technology-rd-and-d-budget-database-2" TargetMode="External"/><Relationship Id="rId36" Type="http://schemas.openxmlformats.org/officeDocument/2006/relationships/hyperlink" Target="https://data.europa.eu/doi/10.2777/9106236" TargetMode="External"/><Relationship Id="rId49" Type="http://schemas.openxmlformats.org/officeDocument/2006/relationships/hyperlink" Target="https://setis.ec.europa.eu/document/download/61cbc4bf-3978-494a-9841-c739d5493409_en" TargetMode="External"/><Relationship Id="rId57" Type="http://schemas.openxmlformats.org/officeDocument/2006/relationships/hyperlink" Target="https://ec.europa.eu/eurostat/databrowser/view/nrg_inf_epcrw__custom_15335368/default/table?lang=en" TargetMode="External"/><Relationship Id="rId106" Type="http://schemas.openxmlformats.org/officeDocument/2006/relationships/hyperlink" Target="https://setis.ec.europa.eu/document/download/42ca43eb-02f5-40a1-a29d-44d7f6ff4a79_en" TargetMode="External"/><Relationship Id="rId114" Type="http://schemas.openxmlformats.org/officeDocument/2006/relationships/hyperlink" Target="https://ec.europa.eu/commission/presscorner/detail/en/ip_25_377" TargetMode="External"/><Relationship Id="rId119" Type="http://schemas.openxmlformats.org/officeDocument/2006/relationships/hyperlink" Target="https://www.fortunebusinessinsights.com/grain-oriented-electrical-steel-market-104116" TargetMode="External"/><Relationship Id="rId127" Type="http://schemas.openxmlformats.org/officeDocument/2006/relationships/hyperlink" Target="https://www.irena.org/Publications/2023/Feb/The-changing-role-of-hydropower-Challenges-and-opportunities" TargetMode="External"/><Relationship Id="rId10" Type="http://schemas.openxmlformats.org/officeDocument/2006/relationships/hyperlink" Target="https://transparency.entsoe.eu" TargetMode="External"/><Relationship Id="rId31" Type="http://schemas.openxmlformats.org/officeDocument/2006/relationships/hyperlink" Target="https://setis.ec.europa.eu/publications-and-documents/setis-research-and-innovation-data_en?prefLang=fi" TargetMode="External"/><Relationship Id="rId44" Type="http://schemas.openxmlformats.org/officeDocument/2006/relationships/hyperlink" Target="https://www.eib.org/en/publications/20240130-the-scale-up-gap" TargetMode="External"/><Relationship Id="rId52" Type="http://schemas.openxmlformats.org/officeDocument/2006/relationships/hyperlink" Target="https://www.pvxchange.com/Market-Analysis-January-2025-PV-module-prices-at-crossroads" TargetMode="External"/><Relationship Id="rId60" Type="http://schemas.openxmlformats.org/officeDocument/2006/relationships/hyperlink" Target="https://www.iea.org/reports/renewables-2023" TargetMode="External"/><Relationship Id="rId65" Type="http://schemas.openxmlformats.org/officeDocument/2006/relationships/hyperlink" Target="https://windeurope.org/newsroom/press-releases/rebound-in-wind-energy-financing-in-2023-shows-that-the-right-policies-attract-investors/" TargetMode="External"/><Relationship Id="rId73" Type="http://schemas.openxmlformats.org/officeDocument/2006/relationships/hyperlink" Target="https://setis.ec.europa.eu/document/download/ecb97c18-3d07-4789-8ceb-f97b34463895_en" TargetMode="External"/><Relationship Id="rId78" Type="http://schemas.openxmlformats.org/officeDocument/2006/relationships/hyperlink" Target="https://www.ehpa.org/news-and-resources/publications/eu-heat-pump-accelerator/" TargetMode="External"/><Relationship Id="rId81" Type="http://schemas.openxmlformats.org/officeDocument/2006/relationships/hyperlink" Target="https://repository.tno.nl/SingleDoc?find=UID%206094902d-a680-4861-82d9-3bf6e31a4548" TargetMode="External"/><Relationship Id="rId86" Type="http://schemas.openxmlformats.org/officeDocument/2006/relationships/hyperlink" Target="https://setis.ec.europa.eu/document/download/0a47ba9a-12b6-4e39-9f6f-b89e10ae0131_en" TargetMode="External"/><Relationship Id="rId94" Type="http://schemas.openxmlformats.org/officeDocument/2006/relationships/hyperlink" Target="https://open.overheid.nl/documenten/aedd5d61-1212-431b-92d6-89b93c5dbf73/file" TargetMode="External"/><Relationship Id="rId99" Type="http://schemas.openxmlformats.org/officeDocument/2006/relationships/hyperlink" Target="https://op.europa.eu/fi/publication-detail/-/publication/23d054d0-c4e3-11ee-95d9-01aa75ed71a1" TargetMode="External"/><Relationship Id="rId101" Type="http://schemas.openxmlformats.org/officeDocument/2006/relationships/hyperlink" Target="https://setis.ec.europa.eu/document/download/42ca43eb-02f5-40a1-a29d-44d7f6ff4a79_en" TargetMode="External"/><Relationship Id="rId122" Type="http://schemas.openxmlformats.org/officeDocument/2006/relationships/hyperlink" Target="https://transformers-magazine.com/books/investments-2024-outlook-to-2033/" TargetMode="External"/><Relationship Id="rId130" Type="http://schemas.openxmlformats.org/officeDocument/2006/relationships/hyperlink" Target="https://data.europa.eu/doi/10.2777/906828" TargetMode="External"/><Relationship Id="rId135" Type="http://schemas.openxmlformats.org/officeDocument/2006/relationships/hyperlink" Target="https://demoplants.best-research.eu/index.html" TargetMode="External"/><Relationship Id="rId143" Type="http://schemas.openxmlformats.org/officeDocument/2006/relationships/hyperlink" Target="https://www.grandviewresearch.com/industry-analysis/organic-rankine-cycle-market" TargetMode="External"/><Relationship Id="rId148" Type="http://schemas.openxmlformats.org/officeDocument/2006/relationships/hyperlink" Target="https://cedelft.eu/wp-content/uploads/sites/2/2024/02/CE_Delft_230206_ORC_Plants_for_Thermal_Energy_Harvesting_Def.pdf" TargetMode="External"/><Relationship Id="rId4" Type="http://schemas.openxmlformats.org/officeDocument/2006/relationships/hyperlink" Target="https://commission.europa.eu/document/download/e6cd4328-673c-4e7a-8683-f63ffb2cf648_fi?filename=Political%20Guidelines%202024-2029_FI.pdf" TargetMode="External"/><Relationship Id="rId9" Type="http://schemas.openxmlformats.org/officeDocument/2006/relationships/hyperlink" Target="https://ec.europa.eu/eurostat/databrowser/view/nrg_ind_ren__custom_15292935/bookmark/table?lang=en&amp;bookmarkId=88a7a3cc-22be-4371-8d41-3824e3bf8c58" TargetMode="External"/><Relationship Id="rId13" Type="http://schemas.openxmlformats.org/officeDocument/2006/relationships/hyperlink" Target="https://www.ecb.europa.eu/stats/policy_and_exchange_rates/euro_reference_exchange_rates/html/eurofxref-graph-usd.fi.html" TargetMode="External"/><Relationship Id="rId18" Type="http://schemas.openxmlformats.org/officeDocument/2006/relationships/hyperlink" Target="https://www.ecb.europa.eu/stats/policy_and_exchange_rates/euro_reference_exchange_rates/html/eurofxref-graph-usd.fi.html" TargetMode="External"/><Relationship Id="rId39" Type="http://schemas.openxmlformats.org/officeDocument/2006/relationships/hyperlink" Target="https://setis.ec.europa.eu/patent-based-indicators-main-concepts-and-data-availability_en?prefLang=fi" TargetMode="External"/><Relationship Id="rId109" Type="http://schemas.openxmlformats.org/officeDocument/2006/relationships/hyperlink" Target="https://op.europa.eu/fi/publication-detail/-/publication/23d054d0-c4e3-11ee-95d9-01aa75ed71a1" TargetMode="External"/><Relationship Id="rId34" Type="http://schemas.openxmlformats.org/officeDocument/2006/relationships/hyperlink" Target="https://commission.europa.eu/topics/strengthening-european-competitiveness/eu-competitiveness-looking-ahead_en" TargetMode="External"/><Relationship Id="rId50" Type="http://schemas.openxmlformats.org/officeDocument/2006/relationships/hyperlink" Target="https://esmc.solar/wp-content/uploads/2024/02/Letter-to-the-European-Commission-Request-for-emergency-measures-for-EU-PV-module-producers.pdf" TargetMode="External"/><Relationship Id="rId55" Type="http://schemas.openxmlformats.org/officeDocument/2006/relationships/hyperlink" Target="https://energy.ec.europa.eu/topics/renewable-energy/solar-energy/european-solar-charter_en?prefLang=fi" TargetMode="External"/><Relationship Id="rId76" Type="http://schemas.openxmlformats.org/officeDocument/2006/relationships/hyperlink" Target="https://www.energy-storage.news/global-bess-deployments-soared-53-in-2024/" TargetMode="External"/><Relationship Id="rId97" Type="http://schemas.openxmlformats.org/officeDocument/2006/relationships/hyperlink" Target="https://www.iea.org/reports/renewables-2023/special-section-biogas-and-biomethane" TargetMode="External"/><Relationship Id="rId104" Type="http://schemas.openxmlformats.org/officeDocument/2006/relationships/hyperlink" Target="https://setis.ec.europa.eu/document/download/42ca43eb-02f5-40a1-a29d-44d7f6ff4a79_en" TargetMode="External"/><Relationship Id="rId120" Type="http://schemas.openxmlformats.org/officeDocument/2006/relationships/hyperlink" Target="https://tdeurope.eu/en/commodity-indices/" TargetMode="External"/><Relationship Id="rId125" Type="http://schemas.openxmlformats.org/officeDocument/2006/relationships/hyperlink" Target="https://setis.ec.europa.eu/document/download/67632c8c-a010-4e74-a8c1-8659b2246707_en" TargetMode="External"/><Relationship Id="rId141" Type="http://schemas.openxmlformats.org/officeDocument/2006/relationships/hyperlink" Target="https://doi.org/10.1007/s40974-019-00132-7" TargetMode="External"/><Relationship Id="rId146" Type="http://schemas.openxmlformats.org/officeDocument/2006/relationships/hyperlink" Target="https://doi.org/10.1016/j.applthermaleng.2023.119980" TargetMode="External"/><Relationship Id="rId7" Type="http://schemas.openxmlformats.org/officeDocument/2006/relationships/hyperlink" Target="https://ec.europa.eu/eurostat/databrowser/view/nrg_pc_205/default/table?lang=en&amp;category=nrg.nrg_price.nrg_pc" TargetMode="External"/><Relationship Id="rId71" Type="http://schemas.openxmlformats.org/officeDocument/2006/relationships/hyperlink" Target="https://www.etipocean.eu/wp-content/uploads/2024/10/ETIP-Ocean-2024-SRIA.pdf" TargetMode="External"/><Relationship Id="rId92" Type="http://schemas.openxmlformats.org/officeDocument/2006/relationships/hyperlink" Target="https://op.europa.eu/en/publication-detail/-/publication/9e17a3c2-c48f-11ed-a05c-01aa75ed71a1/language-en" TargetMode="External"/><Relationship Id="rId2" Type="http://schemas.openxmlformats.org/officeDocument/2006/relationships/hyperlink" Target="https://european-research-area.ec.europa.eu/sites/default/files/documents/2024-05/LETTA%20Report%20-%20Much%20more%20than%20a%20market_April%202024.pdf" TargetMode="External"/><Relationship Id="rId29" Type="http://schemas.openxmlformats.org/officeDocument/2006/relationships/hyperlink" Target="https://www.climatepolicylab.org/rddmap" TargetMode="External"/><Relationship Id="rId24" Type="http://schemas.openxmlformats.org/officeDocument/2006/relationships/hyperlink" Target="https://ec.europa.eu/eurostat/databrowser/view/jvs_q_nace2/default/table?lang=en" TargetMode="External"/><Relationship Id="rId40" Type="http://schemas.openxmlformats.org/officeDocument/2006/relationships/hyperlink" Target="https://data.europa.eu/doi/10.2760/2195963" TargetMode="External"/><Relationship Id="rId45" Type="http://schemas.openxmlformats.org/officeDocument/2006/relationships/hyperlink" Target="https://commission.europa.eu/topics/strengthening-european-competitiveness/eu-competitiveness-looking-ahead_en" TargetMode="External"/><Relationship Id="rId66" Type="http://schemas.openxmlformats.org/officeDocument/2006/relationships/hyperlink" Target="https://op.europa.eu/en/publication-detail/-/publication/57318397-fdd4-11ed-a05c-01aa75ed71a1" TargetMode="External"/><Relationship Id="rId87" Type="http://schemas.openxmlformats.org/officeDocument/2006/relationships/hyperlink" Target="https://www.egec.org/media-publications/egec-releases-the-2023-geothermal-market-report/" TargetMode="External"/><Relationship Id="rId110" Type="http://schemas.openxmlformats.org/officeDocument/2006/relationships/hyperlink" Target="https://setis.ec.europa.eu/document/download/f3ece8a5-c395-4163-b498-b72c8de70f7c_en" TargetMode="External"/><Relationship Id="rId115" Type="http://schemas.openxmlformats.org/officeDocument/2006/relationships/hyperlink" Target="https://setis.ec.europa.eu/document/download/f3ece8a5-c395-4163-b498-b72c8de70f7c_en" TargetMode="External"/><Relationship Id="rId131" Type="http://schemas.openxmlformats.org/officeDocument/2006/relationships/hyperlink" Target="https://setis.ec.europa.eu/document/download/67632c8c-a010-4e74-a8c1-8659b2246707_en" TargetMode="External"/><Relationship Id="rId136" Type="http://schemas.openxmlformats.org/officeDocument/2006/relationships/hyperlink" Target="https://op.europa.eu/fi/publication-detail/-/publication/c2f5d20c-538f-11ea-aece-01aa75ed71a1" TargetMode="External"/><Relationship Id="rId61" Type="http://schemas.openxmlformats.org/officeDocument/2006/relationships/hyperlink" Target="https://ec.europa.eu/eurostat/databrowser/view/nrg_inf_epcrw__custom_15335454/default/table?lang=en" TargetMode="External"/><Relationship Id="rId82" Type="http://schemas.openxmlformats.org/officeDocument/2006/relationships/hyperlink" Target="https://heatpumpingtechnologies.org/annex58/wp-content/uploads/sites/70/2023/09/annex-58-task-1-technologies-task-report.pdf" TargetMode="External"/><Relationship Id="rId19" Type="http://schemas.openxmlformats.org/officeDocument/2006/relationships/hyperlink" Target="https://commission.europa.eu/topics/strengthening-european-competitiveness/eu-competitiveness-looking-ahead_en" TargetMode="External"/><Relationship Id="rId14" Type="http://schemas.openxmlformats.org/officeDocument/2006/relationships/hyperlink" Target="https://strategicperspectives.eu/a-new-zero-carbon-industrial-era/" TargetMode="External"/><Relationship Id="rId30" Type="http://schemas.openxmlformats.org/officeDocument/2006/relationships/hyperlink" Target="https://mission-innovation.net/wp-content/uploads/2020/09/3.-MI-Country-Highlights-2020.pdf" TargetMode="External"/><Relationship Id="rId35" Type="http://schemas.openxmlformats.org/officeDocument/2006/relationships/hyperlink" Target="https://data.europa.eu/doi/10.2760/0775231" TargetMode="External"/><Relationship Id="rId56" Type="http://schemas.openxmlformats.org/officeDocument/2006/relationships/hyperlink" Target="https://www.iea-shc.org/Data/Sites/1/publications/Solar-Heat-Worldwide-2024.pdf" TargetMode="External"/><Relationship Id="rId77" Type="http://schemas.openxmlformats.org/officeDocument/2006/relationships/hyperlink" Target="https://setis.ec.europa.eu/document/download/bdf7489c-ef72-4acc-8be6-75cbb21fb250_en" TargetMode="External"/><Relationship Id="rId100" Type="http://schemas.openxmlformats.org/officeDocument/2006/relationships/hyperlink" Target="https://op.europa.eu/fi/publication-detail/-/publication/c2f5d20c-538f-11ea-aece-01aa75ed71a1" TargetMode="External"/><Relationship Id="rId105" Type="http://schemas.openxmlformats.org/officeDocument/2006/relationships/hyperlink" Target="https://op.europa.eu/fi/publication-detail/-/publication/c2f5d20c-538f-11ea-aece-01aa75ed71a1" TargetMode="External"/><Relationship Id="rId126" Type="http://schemas.openxmlformats.org/officeDocument/2006/relationships/hyperlink" Target="https://www.irena.org/Publications/2023/Feb/The-changing-role-of-hydropower-Challenges-and-opportunities" TargetMode="External"/><Relationship Id="rId147" Type="http://schemas.openxmlformats.org/officeDocument/2006/relationships/hyperlink" Target="https://duepublico2.uni-due.de/servlets/MCRFileNodeServlet/duepublico_derivate_00082465/KCORC__TEHAG_white_paper_v2.pdf" TargetMode="External"/><Relationship Id="rId8" Type="http://schemas.openxmlformats.org/officeDocument/2006/relationships/hyperlink" Target="https://ec.europa.eu/eurostat/statistics-explained/index.php?title=Electricity_price_statistics" TargetMode="External"/><Relationship Id="rId51" Type="http://schemas.openxmlformats.org/officeDocument/2006/relationships/hyperlink" Target="https://setis.ec.europa.eu/document/download/61cbc4bf-3978-494a-9841-c739d5493409_en" TargetMode="External"/><Relationship Id="rId72" Type="http://schemas.openxmlformats.org/officeDocument/2006/relationships/hyperlink" Target="https://setis.ec.europa.eu/document/download/ecb97c18-3d07-4789-8ceb-f97b34463895_en" TargetMode="External"/><Relationship Id="rId93" Type="http://schemas.openxmlformats.org/officeDocument/2006/relationships/hyperlink" Target="https://setis.ec.europa.eu/document/download/c267596b-d32d-4446-ae47-cb97ec44c8cc_en" TargetMode="External"/><Relationship Id="rId98" Type="http://schemas.openxmlformats.org/officeDocument/2006/relationships/hyperlink" Target="https://www.europeanbiogas.eu/eba-statistical-report-2024/" TargetMode="External"/><Relationship Id="rId121" Type="http://schemas.openxmlformats.org/officeDocument/2006/relationships/hyperlink" Target="https://europacable.eu/wp-content/uploads/2024/07/Europacable-for-EC-EVP-Sefcovic-on-EU-Strategic-Agenda-24-29-March-2024.pdf" TargetMode="External"/><Relationship Id="rId142" Type="http://schemas.openxmlformats.org/officeDocument/2006/relationships/hyperlink" Target="https://duepublico2.uni-due.de/servlets/MCRFileNodeServlet/duepublico_derivate_00082465/KCORC__TEHAG_white_paper_v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B076C7868F6147A3EE1FFF98B9A21F" ma:contentTypeVersion="13" ma:contentTypeDescription="Create a new document." ma:contentTypeScope="" ma:versionID="a67dba209725d79b50487a082d4c4114">
  <xsd:schema xmlns:xsd="http://www.w3.org/2001/XMLSchema" xmlns:xs="http://www.w3.org/2001/XMLSchema" xmlns:p="http://schemas.microsoft.com/office/2006/metadata/properties" xmlns:ns2="cdcee3e7-6e76-4ff7-b330-e48d0411d6e8" xmlns:ns3="d520effe-eced-43ce-a531-9dfaf2b26543" targetNamespace="http://schemas.microsoft.com/office/2006/metadata/properties" ma:root="true" ma:fieldsID="fb891dbc12f33f6820e9b4d390b07077" ns2:_="" ns3:_="">
    <xsd:import namespace="cdcee3e7-6e76-4ff7-b330-e48d0411d6e8"/>
    <xsd:import namespace="d520effe-eced-43ce-a531-9dfaf2b265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ee3e7-6e76-4ff7-b330-e48d0411d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0effe-eced-43ce-a531-9dfaf2b265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cee3e7-6e76-4ff7-b330-e48d0411d6e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AAEBD-73F7-4697-B621-FF47B276CB59}">
  <ds:schemaRefs>
    <ds:schemaRef ds:uri="http://schemas.microsoft.com/sharepoint/v3/contenttype/forms"/>
  </ds:schemaRefs>
</ds:datastoreItem>
</file>

<file path=customXml/itemProps2.xml><?xml version="1.0" encoding="utf-8"?>
<ds:datastoreItem xmlns:ds="http://schemas.openxmlformats.org/officeDocument/2006/customXml" ds:itemID="{2D448773-4CCF-4D10-8C73-78BD3C221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ee3e7-6e76-4ff7-b330-e48d0411d6e8"/>
    <ds:schemaRef ds:uri="d520effe-eced-43ce-a531-9dfaf2b26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F07276-E193-455C-B199-BBBB6B256630}">
  <ds:schemaRefs>
    <ds:schemaRef ds:uri="http://schemas.microsoft.com/office/2006/metadata/properties"/>
    <ds:schemaRef ds:uri="http://schemas.microsoft.com/office/infopath/2007/PartnerControls"/>
    <ds:schemaRef ds:uri="cdcee3e7-6e76-4ff7-b330-e48d0411d6e8"/>
  </ds:schemaRefs>
</ds:datastoreItem>
</file>

<file path=customXml/itemProps4.xml><?xml version="1.0" encoding="utf-8"?>
<ds:datastoreItem xmlns:ds="http://schemas.openxmlformats.org/officeDocument/2006/customXml" ds:itemID="{BB06792A-8892-41DC-951B-976B153BC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21</Pages>
  <Words>20871</Words>
  <Characters>118968</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25</cp:revision>
  <dcterms:created xsi:type="dcterms:W3CDTF">2025-02-24T15:57:00Z</dcterms:created>
  <dcterms:modified xsi:type="dcterms:W3CDTF">2025-04-09T09:02:00Z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2024-06-26T14:31:36Z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b3b06f83-8cfe-4296-aa13-0d87bd3ff17e</vt:lpwstr>
  </property>
  <property fmtid="{D5CDD505-2E9C-101B-9397-08002B2CF9AE}" pid="8" name="MSIP_Label_6bd9ddd1-4d20-43f6-abfa-fc3c07406f94_ContentBits">
    <vt:lpwstr>0</vt:lpwstr>
  </property>
  <property fmtid="{D5CDD505-2E9C-101B-9397-08002B2CF9AE}" pid="9" name="ContentTypeId">
    <vt:lpwstr>0x0101005DB076C7868F6147A3EE1FFF98B9A21F</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9.1, Build 20240808</vt:lpwstr>
  </property>
  <property fmtid="{D5CDD505-2E9C-101B-9397-08002B2CF9AE}" pid="17" name="Created using">
    <vt:lpwstr>LW 9.0, Build 20230317</vt:lpwstr>
  </property>
  <property name="OP_sanitized" fmtid="{D5CDD505-2E9C-101B-9397-08002B2CF9AE}" pid="18">
    <vt:lpwstr>True</vt:lpwstr>
  </property>
</Properties>
</file>