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2F9C4BAF" w:rsidR="008B6253" w:rsidRPr="00D3648A" w:rsidRDefault="000A0DB0" w:rsidP="000A0DB0">
      <w:pPr>
        <w:pStyle w:val="Pagedecouverture"/>
        <w:rPr>
          <w:noProof/>
        </w:rPr>
      </w:pPr>
      <w:bookmarkStart w:id="0" w:name="LW_BM_COVERPAGE"/>
      <w:r>
        <w:rPr>
          <w:noProof/>
        </w:rPr>
        <w:pict w14:anchorId="45477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1C84C9B-684B-4382-A012-D4E69B2264DA" style="width:455.25pt;height:405.75pt">
            <v:imagedata r:id="rId11" o:title=""/>
          </v:shape>
        </w:pict>
      </w:r>
    </w:p>
    <w:bookmarkEnd w:id="0"/>
    <w:p w14:paraId="01AEB2FF" w14:textId="77777777" w:rsidR="008B6253" w:rsidRPr="00D3648A" w:rsidRDefault="008B6253" w:rsidP="008B6253">
      <w:pPr>
        <w:rPr>
          <w:noProof/>
        </w:rPr>
        <w:sectPr w:rsidR="008B6253" w:rsidRPr="00D3648A" w:rsidSect="000A0DB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D3648A" w:rsidRDefault="008B6253" w:rsidP="008B6253">
      <w:pPr>
        <w:pStyle w:val="TOCHeading"/>
        <w:rPr>
          <w:rFonts w:eastAsiaTheme="minorHAnsi"/>
          <w:b w:val="0"/>
          <w:noProof/>
          <w:sz w:val="24"/>
          <w:lang w:val="en-IE"/>
        </w:rPr>
      </w:pPr>
      <w:bookmarkStart w:id="1" w:name="_GoBack"/>
      <w:bookmarkEnd w:id="1"/>
    </w:p>
    <w:sdt>
      <w:sdtPr>
        <w:rPr>
          <w:rFonts w:eastAsiaTheme="minorEastAsia"/>
          <w:b w:val="0"/>
          <w:noProof/>
          <w:sz w:val="24"/>
        </w:rPr>
        <w:id w:val="-874687748"/>
        <w:docPartObj>
          <w:docPartGallery w:val="Table of Contents"/>
          <w:docPartUnique/>
        </w:docPartObj>
      </w:sdtPr>
      <w:sdtEndPr>
        <w:rPr>
          <w:sz w:val="22"/>
          <w:szCs w:val="22"/>
        </w:rPr>
      </w:sdtEndPr>
      <w:sdtContent>
        <w:p w14:paraId="24E88DD3" w14:textId="77777777" w:rsidR="008B6253" w:rsidRPr="004E4B5D" w:rsidRDefault="008B6253" w:rsidP="008B6253">
          <w:pPr>
            <w:pStyle w:val="TOCHeading"/>
            <w:rPr>
              <w:noProof/>
              <w:color w:val="034EA2" w:themeColor="accent1"/>
            </w:rPr>
          </w:pPr>
          <w:r>
            <w:rPr>
              <w:noProof/>
              <w:color w:val="034EA2" w:themeColor="accent1"/>
            </w:rPr>
            <w:t>Sisällysluettelo</w:t>
          </w:r>
        </w:p>
        <w:p w14:paraId="7601F70E" w14:textId="408FA18C" w:rsidR="00615754" w:rsidRDefault="008B6253">
          <w:pPr>
            <w:pStyle w:val="TOC1"/>
            <w:rPr>
              <w:rFonts w:asciiTheme="minorHAnsi" w:eastAsiaTheme="minorEastAsia" w:hAnsiTheme="minorHAnsi" w:cstheme="minorBidi"/>
              <w:noProof/>
              <w:kern w:val="2"/>
              <w:sz w:val="24"/>
              <w:lang w:val="en-IE" w:eastAsia="en-IE"/>
              <w14:ligatures w14:val="standardContextual"/>
            </w:rPr>
          </w:pPr>
          <w:r w:rsidRPr="00D3648A">
            <w:rPr>
              <w:noProof/>
            </w:rPr>
            <w:fldChar w:fldCharType="begin"/>
          </w:r>
          <w:r w:rsidRPr="00D3648A">
            <w:rPr>
              <w:noProof/>
            </w:rPr>
            <w:instrText xml:space="preserve"> TOC \o "1-3" \h \z \u </w:instrText>
          </w:r>
          <w:r w:rsidRPr="00D3648A">
            <w:rPr>
              <w:noProof/>
            </w:rPr>
            <w:fldChar w:fldCharType="separate"/>
          </w:r>
          <w:hyperlink w:anchor="_Toc193205963" w:history="1">
            <w:r w:rsidR="00615754" w:rsidRPr="00BC4C76">
              <w:rPr>
                <w:rStyle w:val="Hyperlink"/>
                <w:noProof/>
              </w:rPr>
              <w:t>1.</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Yhteenveto</w:t>
            </w:r>
            <w:r w:rsidR="00615754">
              <w:rPr>
                <w:noProof/>
                <w:webHidden/>
              </w:rPr>
              <w:tab/>
            </w:r>
            <w:r w:rsidR="00615754">
              <w:rPr>
                <w:noProof/>
                <w:webHidden/>
              </w:rPr>
              <w:fldChar w:fldCharType="begin"/>
            </w:r>
            <w:r w:rsidR="00615754">
              <w:rPr>
                <w:noProof/>
                <w:webHidden/>
              </w:rPr>
              <w:instrText xml:space="preserve"> PAGEREF _Toc193205963 \h </w:instrText>
            </w:r>
            <w:r w:rsidR="00615754">
              <w:rPr>
                <w:noProof/>
                <w:webHidden/>
              </w:rPr>
            </w:r>
            <w:r w:rsidR="00615754">
              <w:rPr>
                <w:noProof/>
                <w:webHidden/>
              </w:rPr>
              <w:fldChar w:fldCharType="separate"/>
            </w:r>
            <w:r w:rsidR="004A14DC">
              <w:rPr>
                <w:noProof/>
                <w:webHidden/>
              </w:rPr>
              <w:t>4</w:t>
            </w:r>
            <w:r w:rsidR="00615754">
              <w:rPr>
                <w:noProof/>
                <w:webHidden/>
              </w:rPr>
              <w:fldChar w:fldCharType="end"/>
            </w:r>
          </w:hyperlink>
        </w:p>
        <w:p w14:paraId="446FCE72" w14:textId="54A33C2C" w:rsidR="00615754" w:rsidRDefault="000A0DB0">
          <w:pPr>
            <w:pStyle w:val="TOC1"/>
            <w:rPr>
              <w:rFonts w:asciiTheme="minorHAnsi" w:eastAsiaTheme="minorEastAsia" w:hAnsiTheme="minorHAnsi" w:cstheme="minorBidi"/>
              <w:noProof/>
              <w:kern w:val="2"/>
              <w:sz w:val="24"/>
              <w:lang w:val="en-IE" w:eastAsia="en-IE"/>
              <w14:ligatures w14:val="standardContextual"/>
            </w:rPr>
          </w:pPr>
          <w:hyperlink w:anchor="_Toc193205964" w:history="1">
            <w:r w:rsidR="00615754" w:rsidRPr="00BC4C76">
              <w:rPr>
                <w:rStyle w:val="Hyperlink"/>
                <w:noProof/>
              </w:rPr>
              <w:t>2.</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Johdanto</w:t>
            </w:r>
            <w:r w:rsidR="00615754">
              <w:rPr>
                <w:noProof/>
                <w:webHidden/>
              </w:rPr>
              <w:tab/>
            </w:r>
            <w:r w:rsidR="00615754">
              <w:rPr>
                <w:noProof/>
                <w:webHidden/>
              </w:rPr>
              <w:fldChar w:fldCharType="begin"/>
            </w:r>
            <w:r w:rsidR="00615754">
              <w:rPr>
                <w:noProof/>
                <w:webHidden/>
              </w:rPr>
              <w:instrText xml:space="preserve"> PAGEREF _Toc193205964 \h </w:instrText>
            </w:r>
            <w:r w:rsidR="00615754">
              <w:rPr>
                <w:noProof/>
                <w:webHidden/>
              </w:rPr>
            </w:r>
            <w:r w:rsidR="00615754">
              <w:rPr>
                <w:noProof/>
                <w:webHidden/>
              </w:rPr>
              <w:fldChar w:fldCharType="separate"/>
            </w:r>
            <w:r w:rsidR="004A14DC">
              <w:rPr>
                <w:noProof/>
                <w:webHidden/>
              </w:rPr>
              <w:t>5</w:t>
            </w:r>
            <w:r w:rsidR="00615754">
              <w:rPr>
                <w:noProof/>
                <w:webHidden/>
              </w:rPr>
              <w:fldChar w:fldCharType="end"/>
            </w:r>
          </w:hyperlink>
        </w:p>
        <w:p w14:paraId="104FB6B8" w14:textId="136F4BAD" w:rsidR="00615754" w:rsidRDefault="000A0DB0">
          <w:pPr>
            <w:pStyle w:val="TOC1"/>
            <w:rPr>
              <w:rFonts w:asciiTheme="minorHAnsi" w:eastAsiaTheme="minorEastAsia" w:hAnsiTheme="minorHAnsi" w:cstheme="minorBidi"/>
              <w:noProof/>
              <w:kern w:val="2"/>
              <w:sz w:val="24"/>
              <w:lang w:val="en-IE" w:eastAsia="en-IE"/>
              <w14:ligatures w14:val="standardContextual"/>
            </w:rPr>
          </w:pPr>
          <w:hyperlink w:anchor="_Toc193205965" w:history="1">
            <w:r w:rsidR="00615754" w:rsidRPr="00BC4C76">
              <w:rPr>
                <w:rStyle w:val="Hyperlink"/>
                <w:noProof/>
              </w:rPr>
              <w:t>3.</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Lainanottotoimien toteuttaminen vuoden 2024 jälkipuoliskolla</w:t>
            </w:r>
            <w:r w:rsidR="00615754">
              <w:rPr>
                <w:noProof/>
                <w:webHidden/>
              </w:rPr>
              <w:tab/>
            </w:r>
            <w:r w:rsidR="00615754">
              <w:rPr>
                <w:noProof/>
                <w:webHidden/>
              </w:rPr>
              <w:fldChar w:fldCharType="begin"/>
            </w:r>
            <w:r w:rsidR="00615754">
              <w:rPr>
                <w:noProof/>
                <w:webHidden/>
              </w:rPr>
              <w:instrText xml:space="preserve"> PAGEREF _Toc193205965 \h </w:instrText>
            </w:r>
            <w:r w:rsidR="00615754">
              <w:rPr>
                <w:noProof/>
                <w:webHidden/>
              </w:rPr>
            </w:r>
            <w:r w:rsidR="00615754">
              <w:rPr>
                <w:noProof/>
                <w:webHidden/>
              </w:rPr>
              <w:fldChar w:fldCharType="separate"/>
            </w:r>
            <w:r w:rsidR="004A14DC">
              <w:rPr>
                <w:noProof/>
                <w:webHidden/>
              </w:rPr>
              <w:t>5</w:t>
            </w:r>
            <w:r w:rsidR="00615754">
              <w:rPr>
                <w:noProof/>
                <w:webHidden/>
              </w:rPr>
              <w:fldChar w:fldCharType="end"/>
            </w:r>
          </w:hyperlink>
        </w:p>
        <w:p w14:paraId="648E4A2D" w14:textId="1606E04D" w:rsidR="00615754" w:rsidRDefault="000A0DB0">
          <w:pPr>
            <w:pStyle w:val="TOC1"/>
            <w:rPr>
              <w:rFonts w:asciiTheme="minorHAnsi" w:eastAsiaTheme="minorEastAsia" w:hAnsiTheme="minorHAnsi" w:cstheme="minorBidi"/>
              <w:noProof/>
              <w:kern w:val="2"/>
              <w:sz w:val="24"/>
              <w:lang w:val="en-IE" w:eastAsia="en-IE"/>
              <w14:ligatures w14:val="standardContextual"/>
            </w:rPr>
          </w:pPr>
          <w:hyperlink w:anchor="_Toc193205969" w:history="1">
            <w:r w:rsidR="00615754" w:rsidRPr="00BC4C76">
              <w:rPr>
                <w:rStyle w:val="Hyperlink"/>
                <w:noProof/>
              </w:rPr>
              <w:t>4.</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Varainhankintakustannukset ja likviditeettisaldot</w:t>
            </w:r>
            <w:r w:rsidR="00615754">
              <w:rPr>
                <w:noProof/>
                <w:webHidden/>
              </w:rPr>
              <w:tab/>
            </w:r>
            <w:r w:rsidR="00615754">
              <w:rPr>
                <w:noProof/>
                <w:webHidden/>
              </w:rPr>
              <w:fldChar w:fldCharType="begin"/>
            </w:r>
            <w:r w:rsidR="00615754">
              <w:rPr>
                <w:noProof/>
                <w:webHidden/>
              </w:rPr>
              <w:instrText xml:space="preserve"> PAGEREF _Toc193205969 \h </w:instrText>
            </w:r>
            <w:r w:rsidR="00615754">
              <w:rPr>
                <w:noProof/>
                <w:webHidden/>
              </w:rPr>
            </w:r>
            <w:r w:rsidR="00615754">
              <w:rPr>
                <w:noProof/>
                <w:webHidden/>
              </w:rPr>
              <w:fldChar w:fldCharType="separate"/>
            </w:r>
            <w:r w:rsidR="004A14DC">
              <w:rPr>
                <w:noProof/>
                <w:webHidden/>
              </w:rPr>
              <w:t>9</w:t>
            </w:r>
            <w:r w:rsidR="00615754">
              <w:rPr>
                <w:noProof/>
                <w:webHidden/>
              </w:rPr>
              <w:fldChar w:fldCharType="end"/>
            </w:r>
          </w:hyperlink>
        </w:p>
        <w:p w14:paraId="75F95FA7" w14:textId="0C106752" w:rsidR="00615754" w:rsidRDefault="000A0DB0">
          <w:pPr>
            <w:pStyle w:val="TOC1"/>
            <w:rPr>
              <w:rFonts w:asciiTheme="minorHAnsi" w:eastAsiaTheme="minorEastAsia" w:hAnsiTheme="minorHAnsi" w:cstheme="minorBidi"/>
              <w:noProof/>
              <w:kern w:val="2"/>
              <w:sz w:val="24"/>
              <w:lang w:val="en-IE" w:eastAsia="en-IE"/>
              <w14:ligatures w14:val="standardContextual"/>
            </w:rPr>
          </w:pPr>
          <w:hyperlink w:anchor="_Toc193205972" w:history="1">
            <w:r w:rsidR="00615754" w:rsidRPr="00BC4C76">
              <w:rPr>
                <w:rStyle w:val="Hyperlink"/>
                <w:noProof/>
              </w:rPr>
              <w:t>5.</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Toimet EU:n joukkolainojen ekosysteemin kehittämiseksi edelleen</w:t>
            </w:r>
            <w:r w:rsidR="00615754">
              <w:rPr>
                <w:noProof/>
                <w:webHidden/>
              </w:rPr>
              <w:tab/>
            </w:r>
            <w:r w:rsidR="00615754">
              <w:rPr>
                <w:noProof/>
                <w:webHidden/>
              </w:rPr>
              <w:fldChar w:fldCharType="begin"/>
            </w:r>
            <w:r w:rsidR="00615754">
              <w:rPr>
                <w:noProof/>
                <w:webHidden/>
              </w:rPr>
              <w:instrText xml:space="preserve"> PAGEREF _Toc193205972 \h </w:instrText>
            </w:r>
            <w:r w:rsidR="00615754">
              <w:rPr>
                <w:noProof/>
                <w:webHidden/>
              </w:rPr>
            </w:r>
            <w:r w:rsidR="00615754">
              <w:rPr>
                <w:noProof/>
                <w:webHidden/>
              </w:rPr>
              <w:fldChar w:fldCharType="separate"/>
            </w:r>
            <w:r w:rsidR="004A14DC">
              <w:rPr>
                <w:noProof/>
                <w:webHidden/>
              </w:rPr>
              <w:t>12</w:t>
            </w:r>
            <w:r w:rsidR="00615754">
              <w:rPr>
                <w:noProof/>
                <w:webHidden/>
              </w:rPr>
              <w:fldChar w:fldCharType="end"/>
            </w:r>
          </w:hyperlink>
        </w:p>
        <w:p w14:paraId="7AD78585" w14:textId="190ECE93" w:rsidR="00615754" w:rsidRDefault="000A0DB0">
          <w:pPr>
            <w:pStyle w:val="TOC1"/>
            <w:rPr>
              <w:rFonts w:asciiTheme="minorHAnsi" w:eastAsiaTheme="minorEastAsia" w:hAnsiTheme="minorHAnsi" w:cstheme="minorBidi"/>
              <w:noProof/>
              <w:kern w:val="2"/>
              <w:sz w:val="24"/>
              <w:lang w:val="en-IE" w:eastAsia="en-IE"/>
              <w14:ligatures w14:val="standardContextual"/>
            </w:rPr>
          </w:pPr>
          <w:hyperlink w:anchor="_Toc193205973" w:history="1">
            <w:r w:rsidR="00615754" w:rsidRPr="00BC4C76">
              <w:rPr>
                <w:rStyle w:val="Hyperlink"/>
                <w:noProof/>
              </w:rPr>
              <w:t>6.</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Muut vuoden 2024 jälkipuoliskolla saavutetut välitavoitteet</w:t>
            </w:r>
            <w:r w:rsidR="00615754">
              <w:rPr>
                <w:noProof/>
                <w:webHidden/>
              </w:rPr>
              <w:tab/>
            </w:r>
            <w:r w:rsidR="00615754">
              <w:rPr>
                <w:noProof/>
                <w:webHidden/>
              </w:rPr>
              <w:fldChar w:fldCharType="begin"/>
            </w:r>
            <w:r w:rsidR="00615754">
              <w:rPr>
                <w:noProof/>
                <w:webHidden/>
              </w:rPr>
              <w:instrText xml:space="preserve"> PAGEREF _Toc193205973 \h </w:instrText>
            </w:r>
            <w:r w:rsidR="00615754">
              <w:rPr>
                <w:noProof/>
                <w:webHidden/>
              </w:rPr>
            </w:r>
            <w:r w:rsidR="00615754">
              <w:rPr>
                <w:noProof/>
                <w:webHidden/>
              </w:rPr>
              <w:fldChar w:fldCharType="separate"/>
            </w:r>
            <w:r w:rsidR="004A14DC">
              <w:rPr>
                <w:noProof/>
                <w:webHidden/>
              </w:rPr>
              <w:t>13</w:t>
            </w:r>
            <w:r w:rsidR="00615754">
              <w:rPr>
                <w:noProof/>
                <w:webHidden/>
              </w:rPr>
              <w:fldChar w:fldCharType="end"/>
            </w:r>
          </w:hyperlink>
        </w:p>
        <w:p w14:paraId="26495241" w14:textId="6A82A064" w:rsidR="00615754" w:rsidRDefault="000A0DB0">
          <w:pPr>
            <w:pStyle w:val="TOC1"/>
            <w:rPr>
              <w:rFonts w:asciiTheme="minorHAnsi" w:eastAsiaTheme="minorEastAsia" w:hAnsiTheme="minorHAnsi" w:cstheme="minorBidi"/>
              <w:noProof/>
              <w:kern w:val="2"/>
              <w:sz w:val="24"/>
              <w:lang w:val="en-IE" w:eastAsia="en-IE"/>
              <w14:ligatures w14:val="standardContextual"/>
            </w:rPr>
          </w:pPr>
          <w:hyperlink w:anchor="_Toc193205975" w:history="1">
            <w:r w:rsidR="00615754" w:rsidRPr="00BC4C76">
              <w:rPr>
                <w:rStyle w:val="Hyperlink"/>
                <w:noProof/>
              </w:rPr>
              <w:t>7.</w:t>
            </w:r>
            <w:r w:rsidR="00615754">
              <w:rPr>
                <w:rFonts w:asciiTheme="minorHAnsi" w:eastAsiaTheme="minorEastAsia" w:hAnsiTheme="minorHAnsi" w:cstheme="minorBidi"/>
                <w:noProof/>
                <w:kern w:val="2"/>
                <w:sz w:val="24"/>
                <w:lang w:val="en-IE" w:eastAsia="en-IE"/>
                <w14:ligatures w14:val="standardContextual"/>
              </w:rPr>
              <w:tab/>
            </w:r>
            <w:r w:rsidR="00615754" w:rsidRPr="00BC4C76">
              <w:rPr>
                <w:rStyle w:val="Hyperlink"/>
                <w:noProof/>
              </w:rPr>
              <w:t>Liikkeeseenlaskunäkymät vuoden 2025 alkupuoliskolla</w:t>
            </w:r>
            <w:r w:rsidR="00615754">
              <w:rPr>
                <w:noProof/>
                <w:webHidden/>
              </w:rPr>
              <w:tab/>
            </w:r>
            <w:r w:rsidR="00615754">
              <w:rPr>
                <w:noProof/>
                <w:webHidden/>
              </w:rPr>
              <w:fldChar w:fldCharType="begin"/>
            </w:r>
            <w:r w:rsidR="00615754">
              <w:rPr>
                <w:noProof/>
                <w:webHidden/>
              </w:rPr>
              <w:instrText xml:space="preserve"> PAGEREF _Toc193205975 \h </w:instrText>
            </w:r>
            <w:r w:rsidR="00615754">
              <w:rPr>
                <w:noProof/>
                <w:webHidden/>
              </w:rPr>
            </w:r>
            <w:r w:rsidR="00615754">
              <w:rPr>
                <w:noProof/>
                <w:webHidden/>
              </w:rPr>
              <w:fldChar w:fldCharType="separate"/>
            </w:r>
            <w:r w:rsidR="004A14DC">
              <w:rPr>
                <w:noProof/>
                <w:webHidden/>
              </w:rPr>
              <w:t>14</w:t>
            </w:r>
            <w:r w:rsidR="00615754">
              <w:rPr>
                <w:noProof/>
                <w:webHidden/>
              </w:rPr>
              <w:fldChar w:fldCharType="end"/>
            </w:r>
          </w:hyperlink>
        </w:p>
        <w:p w14:paraId="33097789" w14:textId="65E542F4" w:rsidR="008B6253" w:rsidRPr="00D3648A" w:rsidRDefault="008B6253" w:rsidP="008B6253">
          <w:pPr>
            <w:rPr>
              <w:noProof/>
            </w:rPr>
          </w:pPr>
          <w:r w:rsidRPr="00D3648A">
            <w:rPr>
              <w:b/>
              <w:noProof/>
            </w:rPr>
            <w:fldChar w:fldCharType="end"/>
          </w:r>
        </w:p>
      </w:sdtContent>
    </w:sdt>
    <w:p w14:paraId="0D3B81B7" w14:textId="77777777" w:rsidR="008B6253" w:rsidRPr="00D3648A" w:rsidRDefault="008B6253" w:rsidP="008B6253">
      <w:pPr>
        <w:rPr>
          <w:noProof/>
        </w:rPr>
      </w:pPr>
    </w:p>
    <w:p w14:paraId="3EEBF846" w14:textId="77777777" w:rsidR="008B6253" w:rsidRPr="00D3648A" w:rsidRDefault="008B6253" w:rsidP="008B6253">
      <w:pPr>
        <w:rPr>
          <w:noProof/>
          <w:u w:val="single"/>
        </w:rPr>
        <w:sectPr w:rsidR="008B6253" w:rsidRPr="00D3648A"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588F7376" w14:textId="20730A21" w:rsidR="003F3D5E" w:rsidRDefault="000A0DB0" w:rsidP="63F8525A">
      <w:pPr>
        <w:spacing w:line="259" w:lineRule="auto"/>
        <w:jc w:val="center"/>
        <w:rPr>
          <w:rFonts w:cstheme="minorBidi"/>
          <w:b/>
          <w:bCs/>
          <w:noProof/>
          <w:color w:val="44546A" w:themeColor="text2"/>
          <w:sz w:val="28"/>
          <w:szCs w:val="28"/>
        </w:rPr>
      </w:pPr>
      <w:r>
        <w:rPr>
          <w:noProof/>
        </w:rPr>
        <w:pict w14:anchorId="70181A18">
          <v:rect id="Rectangle 26" o:spid="_x0000_s2053" style="position:absolute;left:0;text-align:left;margin-left:0;margin-top:23.35pt;width:451.3pt;height:135.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" fillcolor="#f5f5f5" stroked="f" strokeweight="1pt"/>
        </w:pict>
      </w:r>
      <w:r w:rsidR="000E5618">
        <w:rPr>
          <w:b/>
          <w:noProof/>
          <w:color w:val="44546A" w:themeColor="text2"/>
          <w:sz w:val="28"/>
        </w:rPr>
        <w:t>VARAINHANKINTA VUODEN 2024 JÄLKIPUOLISKOLLA</w:t>
      </w:r>
    </w:p>
    <w:p w14:paraId="79CE8971" w14:textId="411EFCCD" w:rsidR="001A2134" w:rsidRPr="00CF5DC4" w:rsidRDefault="003E2435" w:rsidP="0065151B">
      <w:pPr>
        <w:spacing w:after="0" w:line="259" w:lineRule="auto"/>
        <w:rPr>
          <w:rFonts w:asciiTheme="minorHAnsi" w:hAnsiTheme="minorHAnsi" w:cstheme="minorBidi"/>
          <w:noProof/>
          <w:szCs w:val="22"/>
        </w:rPr>
      </w:pPr>
      <w:r w:rsidRPr="003E2435">
        <w:rPr>
          <w:noProof/>
          <w:lang w:val="en-GB" w:eastAsia="en-GB"/>
        </w:rPr>
        <w:drawing>
          <wp:inline distT="0" distB="0" distL="0" distR="0" wp14:anchorId="511913F8" wp14:editId="1510B0B7">
            <wp:extent cx="2962275" cy="1666875"/>
            <wp:effectExtent l="0" t="0" r="0" b="0"/>
            <wp:docPr id="1973721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2275" cy="1666875"/>
                    </a:xfrm>
                    <a:prstGeom prst="rect">
                      <a:avLst/>
                    </a:prstGeom>
                    <a:noFill/>
                    <a:ln>
                      <a:noFill/>
                    </a:ln>
                  </pic:spPr>
                </pic:pic>
              </a:graphicData>
            </a:graphic>
          </wp:inline>
        </w:drawing>
      </w:r>
      <w:r w:rsidR="00CF5DC4">
        <w:rPr>
          <w:rFonts w:asciiTheme="minorHAnsi" w:hAnsiTheme="minorHAnsi"/>
          <w:noProof/>
        </w:rPr>
        <w:t xml:space="preserve"> </w:t>
      </w:r>
      <w:r w:rsidRPr="003E2435">
        <w:rPr>
          <w:noProof/>
          <w:lang w:val="en-GB" w:eastAsia="en-GB"/>
        </w:rPr>
        <w:drawing>
          <wp:inline distT="0" distB="0" distL="0" distR="0" wp14:anchorId="561804DF" wp14:editId="17ADA165">
            <wp:extent cx="2362200" cy="1707415"/>
            <wp:effectExtent l="0" t="0" r="0" b="0"/>
            <wp:docPr id="1085536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7629" cy="1718567"/>
                    </a:xfrm>
                    <a:prstGeom prst="rect">
                      <a:avLst/>
                    </a:prstGeom>
                    <a:noFill/>
                    <a:ln>
                      <a:noFill/>
                    </a:ln>
                  </pic:spPr>
                </pic:pic>
              </a:graphicData>
            </a:graphic>
          </wp:inline>
        </w:drawing>
      </w:r>
    </w:p>
    <w:p w14:paraId="0E09A041" w14:textId="3FEA49D1" w:rsidR="00F97153" w:rsidRDefault="00AF3092" w:rsidP="00E14B07">
      <w:pPr>
        <w:spacing w:before="360" w:after="0"/>
        <w:jc w:val="center"/>
        <w:rPr>
          <w:b/>
          <w:noProof/>
          <w:color w:val="44546A" w:themeColor="text2"/>
          <w:sz w:val="28"/>
        </w:rPr>
      </w:pPr>
      <w:r>
        <w:rPr>
          <w:b/>
          <w:noProof/>
          <w:color w:val="44546A" w:themeColor="text2"/>
          <w:sz w:val="28"/>
        </w:rPr>
        <w:t>TUOTTOJEN KÄYTTÖ</w:t>
      </w:r>
    </w:p>
    <w:p w14:paraId="545D5E85" w14:textId="2157BF0D" w:rsidR="00423685" w:rsidRPr="00F97153" w:rsidRDefault="000A0DB0" w:rsidP="00E14B07">
      <w:pPr>
        <w:spacing w:before="360" w:after="0"/>
        <w:jc w:val="center"/>
        <w:rPr>
          <w:b/>
          <w:bCs/>
          <w:noProof/>
          <w:color w:val="44546A" w:themeColor="text2"/>
          <w:sz w:val="28"/>
          <w:szCs w:val="28"/>
        </w:rPr>
      </w:pPr>
      <w:r>
        <w:rPr>
          <w:noProof/>
        </w:rPr>
        <w:pict w14:anchorId="45E2C28F">
          <v:shapetype id="_x0000_t202" coordsize="21600,21600" o:spt="202" path="m,l,21600r21600,l21600,xe">
            <v:stroke joinstyle="miter"/>
            <v:path gradientshapeok="t" o:connecttype="rect"/>
          </v:shapetype>
          <v:shape id="Text Box 29" o:spid="_x0000_s2073" type="#_x0000_t202" style="position:absolute;left:0;text-align:left;margin-left:319.75pt;margin-top:44.05pt;width:116.4pt;height:35.5pt;z-index:25165824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hoGwIAADI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" filled="f" stroked="f" strokeweight=".5pt">
            <v:textbox style="mso-next-textbox:#Text Box 29">
              <w:txbxContent>
                <w:p w14:paraId="4C6E9CB0" w14:textId="16373591" w:rsidR="0060139C" w:rsidRPr="00F169EB" w:rsidRDefault="0060139C" w:rsidP="0060139C">
                  <w:pPr>
                    <w:jc w:val="center"/>
                    <w:rPr>
                      <w:color w:val="034EA2" w:themeColor="accent1"/>
                      <w:sz w:val="24"/>
                    </w:rPr>
                  </w:pPr>
                  <w:r>
                    <w:rPr>
                      <w:color w:val="034EA2" w:themeColor="accent1"/>
                      <w:sz w:val="24"/>
                    </w:rPr>
                    <w:t>Vuoden 2024 jälkipuolisko</w:t>
                  </w:r>
                </w:p>
              </w:txbxContent>
            </v:textbox>
          </v:shape>
        </w:pict>
      </w:r>
      <w:r>
        <w:rPr>
          <w:noProof/>
        </w:rPr>
        <w:pict w14:anchorId="3B1A3AE8">
          <v:group id="_x0000_s2087" style="position:absolute;left:0;text-align:left;margin-left:29.8pt;margin-top:18.3pt;width:180.6pt;height:32pt;z-index:251658243" coordorigin="2124,5264" coordsize="3612,6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71" type="#_x0000_t86" style="position:absolute;left:3824;top:3993;width:211;height:3612;rotation:-90" adj="1016" strokecolor="#44546a [3215]" strokeweight="1pt"/>
            <v:shape id="_x0000_s2064" type="#_x0000_t202" style="position:absolute;left:2628;top:5264;width:2551;height:640" fillcolor="#f5f5f5" stroked="f">
              <v:textbox style="mso-next-textbox:#_x0000_s2064" inset="0,,0">
                <w:txbxContent>
                  <w:p w14:paraId="454374DB" w14:textId="1348C10C" w:rsidR="00BD7489" w:rsidRPr="00544DEE" w:rsidRDefault="00BD7489" w:rsidP="00BD7489">
                    <w:pPr>
                      <w:jc w:val="center"/>
                      <w:rPr>
                        <w:b/>
                        <w:bCs/>
                        <w:color w:val="44546A" w:themeColor="text2"/>
                        <w:sz w:val="20"/>
                        <w:szCs w:val="20"/>
                      </w:rPr>
                    </w:pPr>
                    <w:r>
                      <w:rPr>
                        <w:b/>
                        <w:color w:val="44546A" w:themeColor="text2"/>
                        <w:sz w:val="20"/>
                      </w:rPr>
                      <w:t>NextGenerationEU yht. 72,2 mrd. euroa</w:t>
                    </w:r>
                  </w:p>
                  <w:p w14:paraId="5F150A92" w14:textId="77777777" w:rsidR="00BD7489" w:rsidRDefault="00BD7489"/>
                </w:txbxContent>
              </v:textbox>
            </v:shape>
          </v:group>
        </w:pict>
      </w:r>
      <w:r w:rsidR="00181218" w:rsidRPr="00181218">
        <w:rPr>
          <w:noProof/>
          <w:lang w:val="en-GB" w:eastAsia="en-GB"/>
        </w:rPr>
        <w:drawing>
          <wp:inline distT="0" distB="0" distL="0" distR="0" wp14:anchorId="029CB1D7" wp14:editId="6A797370">
            <wp:extent cx="5731510" cy="3295015"/>
            <wp:effectExtent l="0" t="0" r="0" b="0"/>
            <wp:docPr id="2037113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295015"/>
                    </a:xfrm>
                    <a:prstGeom prst="rect">
                      <a:avLst/>
                    </a:prstGeom>
                    <a:noFill/>
                    <a:ln>
                      <a:noFill/>
                    </a:ln>
                  </pic:spPr>
                </pic:pic>
              </a:graphicData>
            </a:graphic>
          </wp:inline>
        </w:drawing>
      </w:r>
      <w:r w:rsidR="00423685" w:rsidRPr="00423685">
        <w:rPr>
          <w:noProof/>
          <w:lang w:val="en-GB" w:eastAsia="en-GB"/>
        </w:rPr>
        <w:drawing>
          <wp:inline distT="0" distB="0" distL="0" distR="0" wp14:anchorId="60D93B6D" wp14:editId="30DBA5AC">
            <wp:extent cx="647700" cy="190500"/>
            <wp:effectExtent l="0" t="0" r="0" b="0"/>
            <wp:docPr id="4991125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p>
    <w:p w14:paraId="6EAAFF33" w14:textId="1A458AE8" w:rsidR="009E132D" w:rsidRDefault="000A0DB0" w:rsidP="00E06416">
      <w:pPr>
        <w:rPr>
          <w:noProof/>
        </w:rPr>
      </w:pPr>
      <w:r>
        <w:rPr>
          <w:noProof/>
        </w:rPr>
        <w:pict w14:anchorId="60EE82D1">
          <v:shape id="Text Box 35" o:spid="_x0000_s2074" type="#_x0000_t202" style="position:absolute;left:0;text-align:left;margin-left:264pt;margin-top:24.1pt;width:185.3pt;height:20.4pt;z-index:25165824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NNGwIAADM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" filled="f" stroked="f" strokeweight=".5pt">
            <v:textbox style="mso-next-textbox:#Text Box 35">
              <w:txbxContent>
                <w:p w14:paraId="70C922DE" w14:textId="77777777" w:rsidR="00AB4083" w:rsidRPr="00F169EB" w:rsidRDefault="00AB4083" w:rsidP="00AB4083">
                  <w:pPr>
                    <w:jc w:val="right"/>
                    <w:rPr>
                      <w:color w:val="034EA2" w:themeColor="accent1"/>
                      <w:sz w:val="24"/>
                    </w:rPr>
                  </w:pPr>
                  <w:r>
                    <w:rPr>
                      <w:color w:val="034EA2" w:themeColor="accent1"/>
                      <w:sz w:val="24"/>
                    </w:rPr>
                    <w:t>Ohjelman alusta lähtien</w:t>
                  </w:r>
                </w:p>
              </w:txbxContent>
            </v:textbox>
            <w10:wrap anchorx="margin"/>
          </v:shape>
        </w:pict>
      </w:r>
      <w:r>
        <w:rPr>
          <w:noProof/>
        </w:rPr>
        <w:pict w14:anchorId="09B90781">
          <v:group id="_x0000_s2088" style="position:absolute;left:0;text-align:left;margin-left:75pt;margin-top:23.35pt;width:180.6pt;height:31.2pt;z-index:251658244" coordorigin="2916,10815" coordsize="3612,624">
            <v:shape id="_x0000_s2072" type="#_x0000_t86" style="position:absolute;left:4616;top:9460;width:211;height:3612;rotation:-90" adj="1016" strokecolor="#44546a [3215]" strokeweight="1pt"/>
            <v:rect id="_x0000_s2067" style="position:absolute;left:3454;top:10815;width:2551;height:624" fillcolor="#f5f5f5" stroked="f">
              <v:textbox style="mso-next-textbox:#_x0000_s2067">
                <w:txbxContent>
                  <w:p w14:paraId="759D2301" w14:textId="5FED7DF4" w:rsidR="00A86EB0" w:rsidRPr="00A86EB0" w:rsidRDefault="00A86EB0" w:rsidP="00A86EB0">
                    <w:pPr>
                      <w:spacing w:after="0"/>
                      <w:jc w:val="center"/>
                      <w:rPr>
                        <w:b/>
                        <w:bCs/>
                        <w:color w:val="44546A" w:themeColor="text2"/>
                        <w:sz w:val="20"/>
                        <w:szCs w:val="20"/>
                      </w:rPr>
                    </w:pPr>
                    <w:r>
                      <w:rPr>
                        <w:b/>
                        <w:color w:val="44546A" w:themeColor="text2"/>
                        <w:sz w:val="20"/>
                      </w:rPr>
                      <w:t>NextGenerationEU yht. 365,8 mrd. euroa</w:t>
                    </w:r>
                  </w:p>
                </w:txbxContent>
              </v:textbox>
            </v:rect>
          </v:group>
        </w:pict>
      </w:r>
      <w:r w:rsidR="003E20AD" w:rsidRPr="003E20AD">
        <w:rPr>
          <w:noProof/>
          <w:lang w:val="en-GB" w:eastAsia="en-GB"/>
        </w:rPr>
        <w:drawing>
          <wp:inline distT="0" distB="0" distL="0" distR="0" wp14:anchorId="75FE1BAB" wp14:editId="48D7F7DC">
            <wp:extent cx="5731510" cy="3939540"/>
            <wp:effectExtent l="0" t="0" r="0" b="0"/>
            <wp:docPr id="12076865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3939540"/>
                    </a:xfrm>
                    <a:prstGeom prst="rect">
                      <a:avLst/>
                    </a:prstGeom>
                    <a:noFill/>
                    <a:ln>
                      <a:noFill/>
                    </a:ln>
                  </pic:spPr>
                </pic:pic>
              </a:graphicData>
            </a:graphic>
          </wp:inline>
        </w:drawing>
      </w:r>
    </w:p>
    <w:p w14:paraId="02D365E7" w14:textId="3EF315EF" w:rsidR="00E06416" w:rsidRPr="009E155D" w:rsidRDefault="00E06416" w:rsidP="00E06416">
      <w:pPr>
        <w:rPr>
          <w:noProof/>
        </w:rPr>
      </w:pPr>
    </w:p>
    <w:p w14:paraId="0ACBC32F" w14:textId="16A370FE" w:rsidR="002B627C" w:rsidRDefault="002B627C" w:rsidP="00E06416">
      <w:pPr>
        <w:rPr>
          <w:noProof/>
        </w:rPr>
      </w:pPr>
    </w:p>
    <w:p w14:paraId="23FAC418" w14:textId="27315400" w:rsidR="00E06416" w:rsidRPr="00E06416" w:rsidRDefault="000A0DB0" w:rsidP="00E06416">
      <w:pPr>
        <w:rPr>
          <w:noProof/>
        </w:rPr>
      </w:pPr>
      <w:r>
        <w:rPr>
          <w:b/>
          <w:noProof/>
          <w:color w:val="44546A" w:themeColor="text2"/>
          <w:sz w:val="28"/>
        </w:rPr>
        <w:pict w14:anchorId="6E37AB4C">
          <v:rect id="_x0000_s2070" style="position:absolute;left:0;text-align:left;margin-left:-.9pt;margin-top:7.15pt;width:451.3pt;height:248.3pt;z-index:-251658239" fillcolor="#f5f5f5" stroked="f"/>
        </w:pict>
      </w:r>
    </w:p>
    <w:p w14:paraId="611BEB9A" w14:textId="4D0B39F8" w:rsidR="00E06416" w:rsidRPr="0068501F" w:rsidRDefault="00E06416" w:rsidP="0068501F">
      <w:pPr>
        <w:rPr>
          <w:noProof/>
        </w:rPr>
      </w:pPr>
    </w:p>
    <w:p w14:paraId="48B59401" w14:textId="67B6509D" w:rsidR="00992168" w:rsidRDefault="000A0DB0" w:rsidP="00992168">
      <w:pPr>
        <w:rPr>
          <w:noProof/>
        </w:rPr>
      </w:pPr>
      <w:r>
        <w:rPr>
          <w:noProof/>
        </w:rPr>
        <w:pict w14:anchorId="274F9848">
          <v:shape id="_x0000_s2089" type="#_x0000_t202" style="position:absolute;left:0;text-align:left;margin-left:338.8pt;margin-top:761.4pt;width:111.6pt;height:18pt;z-index:251658249;mso-position-horizontal-relative:text;mso-position-vertical-relative:page" filled="f" stroked="f">
            <v:textbox style="mso-next-textbox:#_x0000_s2089">
              <w:txbxContent>
                <w:p w14:paraId="2E386E6E" w14:textId="77777777" w:rsidR="00BB07E3" w:rsidRPr="00BB07E3" w:rsidRDefault="00BB07E3" w:rsidP="00BB07E3">
                  <w:pPr>
                    <w:rPr>
                      <w:color w:val="595959" w:themeColor="text1" w:themeTint="A6"/>
                    </w:rPr>
                  </w:pPr>
                  <w:r>
                    <w:rPr>
                      <w:i/>
                      <w:color w:val="595959" w:themeColor="text1" w:themeTint="A6"/>
                      <w:sz w:val="18"/>
                    </w:rPr>
                    <w:t>Kaikki määrät miljardeina euroina</w:t>
                  </w:r>
                </w:p>
                <w:p w14:paraId="792E0B4B" w14:textId="77777777" w:rsidR="00BB07E3" w:rsidRPr="00BB07E3" w:rsidRDefault="00BB07E3">
                  <w:pPr>
                    <w:rPr>
                      <w:color w:val="595959" w:themeColor="text1" w:themeTint="A6"/>
                    </w:rPr>
                  </w:pPr>
                </w:p>
              </w:txbxContent>
            </v:textbox>
            <w10:wrap anchory="page"/>
          </v:shape>
        </w:pict>
      </w:r>
    </w:p>
    <w:p w14:paraId="429A8B76" w14:textId="4911845D" w:rsidR="00AA6602" w:rsidRDefault="00A11F51" w:rsidP="00A11F51">
      <w:pPr>
        <w:spacing w:line="259" w:lineRule="auto"/>
        <w:jc w:val="left"/>
        <w:rPr>
          <w:rFonts w:cstheme="minorBidi"/>
          <w:b/>
          <w:bCs/>
          <w:noProof/>
          <w:color w:val="44546A" w:themeColor="text2"/>
          <w:szCs w:val="22"/>
        </w:rPr>
      </w:pPr>
      <w:r>
        <w:rPr>
          <w:b/>
          <w:noProof/>
          <w:color w:val="44546A" w:themeColor="text2"/>
          <w:sz w:val="28"/>
        </w:rPr>
        <w:t xml:space="preserve">LIIKKEESSÄ OLEVAT EU:N JOUKKOLAINAT </w:t>
      </w:r>
      <w:r>
        <w:rPr>
          <w:noProof/>
          <w:color w:val="44546A" w:themeColor="text2"/>
        </w:rPr>
        <w:t>tilanne 31. joulukuuta 2024</w:t>
      </w:r>
      <w:r>
        <w:rPr>
          <w:b/>
          <w:noProof/>
          <w:color w:val="44546A" w:themeColor="text2"/>
        </w:rPr>
        <w:t xml:space="preserve"> </w:t>
      </w:r>
    </w:p>
    <w:p w14:paraId="18FC3C27" w14:textId="14C61108" w:rsidR="00E01E9C" w:rsidRDefault="00E01E9C" w:rsidP="00A11F51">
      <w:pPr>
        <w:spacing w:line="259" w:lineRule="auto"/>
        <w:jc w:val="left"/>
        <w:rPr>
          <w:rFonts w:cstheme="minorBidi"/>
          <w:b/>
          <w:bCs/>
          <w:noProof/>
          <w:color w:val="44546A" w:themeColor="text2"/>
          <w:szCs w:val="22"/>
        </w:rPr>
      </w:pPr>
      <w:r>
        <w:rPr>
          <w:noProof/>
          <w:lang w:val="en-GB" w:eastAsia="en-GB"/>
        </w:rPr>
        <w:drawing>
          <wp:inline distT="0" distB="0" distL="0" distR="0" wp14:anchorId="0D881BED" wp14:editId="2D22F16F">
            <wp:extent cx="5731510" cy="972151"/>
            <wp:effectExtent l="0" t="0" r="0" b="0"/>
            <wp:docPr id="205467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7959" name="Picture 1"/>
                    <pic:cNvPicPr/>
                  </pic:nvPicPr>
                  <pic:blipFill rotWithShape="1">
                    <a:blip r:embed="rId29">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http://schemas.openxmlformats.org/drawingml/2006/chart" xmlns:a16="http://schemas.microsoft.com/office/drawing/2014/main" xmlns:a14="http://schemas.microsoft.com/office/drawing/2010/main" xmlns="" r:embed="rId30"/>
                        </a:ext>
                      </a:extLst>
                    </a:blip>
                    <a:srcRect t="7953" b="14950"/>
                    <a:stretch/>
                  </pic:blipFill>
                  <pic:spPr bwMode="auto">
                    <a:xfrm>
                      <a:off x="0" y="0"/>
                      <a:ext cx="5731510" cy="972151"/>
                    </a:xfrm>
                    <a:prstGeom prst="rect">
                      <a:avLst/>
                    </a:prstGeom>
                    <a:ln>
                      <a:noFill/>
                    </a:ln>
                    <a:extLst>
                      <a:ext uri="{53640926-AAD7-44D8-BBD7-CCE9431645EC}">
                        <a14:shadowObscured xmlns:a14="http://schemas.microsoft.com/office/drawing/2010/main"/>
                      </a:ext>
                    </a:extLst>
                  </pic:spPr>
                </pic:pic>
              </a:graphicData>
            </a:graphic>
          </wp:inline>
        </w:drawing>
      </w:r>
    </w:p>
    <w:p w14:paraId="1B97669D" w14:textId="2F3AABF1" w:rsidR="00C9543F" w:rsidRPr="00DC4A1B" w:rsidRDefault="000A0DB0" w:rsidP="00A11F51">
      <w:pPr>
        <w:spacing w:line="259" w:lineRule="auto"/>
        <w:jc w:val="left"/>
        <w:rPr>
          <w:rFonts w:asciiTheme="minorHAnsi" w:hAnsiTheme="minorHAnsi" w:cstheme="minorBidi"/>
          <w:noProof/>
          <w:szCs w:val="22"/>
        </w:rPr>
      </w:pPr>
      <w:r>
        <w:rPr>
          <w:rFonts w:asciiTheme="minorHAnsi" w:hAnsiTheme="minorHAnsi"/>
          <w:noProof/>
        </w:rPr>
      </w:r>
      <w:r>
        <w:rPr>
          <w:rFonts w:asciiTheme="minorHAnsi" w:hAnsiTheme="minorHAnsi"/>
          <w:noProof/>
        </w:rPr>
        <w:pict w14:anchorId="6C98F9D9">
          <v:group id="_x0000_s2117" style="width:424.5pt;height:99.65pt;mso-position-horizontal-relative:char;mso-position-vertical-relative:line" coordorigin="1440,4543" coordsize="8748,1378">
            <v:group id="Group 46" o:spid="_x0000_s2104" style="position:absolute;left:1440;top:4555;width:2734;height:672" coordorigin=",74" coordsize="14722,4272">
              <v:shape id="TextBox 25" o:spid="_x0000_s2105" type="#_x0000_t202" style="position:absolute;left:538;top:74;width:14184;height:4272;visibility:visible" filled="f" stroked="f">
                <v:textbox style="mso-next-textbox:#TextBox 25">
                  <w:txbxContent>
                    <w:p w14:paraId="5B1FFE4B" w14:textId="26C551F1" w:rsidR="00C25F02" w:rsidRPr="00C9543F" w:rsidRDefault="00C25F02" w:rsidP="00C25F02">
                      <w:pPr>
                        <w:spacing w:after="40"/>
                        <w:textAlignment w:val="baseline"/>
                        <w:rPr>
                          <w:rFonts w:eastAsia="Arial" w:cs="Arial"/>
                          <w:b/>
                          <w:bCs/>
                          <w:color w:val="034EA2"/>
                          <w:sz w:val="20"/>
                          <w:szCs w:val="20"/>
                        </w:rPr>
                      </w:pPr>
                      <w:r>
                        <w:rPr>
                          <w:b/>
                          <w:color w:val="034EA2"/>
                          <w:sz w:val="20"/>
                        </w:rPr>
                        <w:t xml:space="preserve">147,8 miljardia euroa </w:t>
                      </w:r>
                      <w:r>
                        <w:rPr>
                          <w:color w:val="000000" w:themeColor="text1"/>
                          <w:sz w:val="20"/>
                        </w:rPr>
                        <w:t>back-to-back-rahoituksella</w:t>
                      </w:r>
                    </w:p>
                  </w:txbxContent>
                </v:textbox>
              </v:shape>
              <v:rect id="Rectangle 48" o:spid="_x0000_s2106" style="position:absolute;top:633;width:1080;height:1080;visibility:visible;v-text-anchor:middle" fillcolor="#034ea2" stroked="f" strokeweight="2pt">
                <o:lock v:ext="edit" aspectratio="t"/>
              </v:rect>
            </v:group>
            <v:group id="Group 49" o:spid="_x0000_s2107" style="position:absolute;left:4264;top:4543;width:5924;height:1378" coordorigin="15205" coordsize="31894,8756">
              <v:group id="Group 50" o:spid="_x0000_s2108" style="position:absolute;left:15205;top:2082;width:28506;height:4426" coordorigin="15205,2082" coordsize="28506,4426">
                <v:shape id="TextBox 23" o:spid="_x0000_s2109" type="#_x0000_t202" style="position:absolute;left:16287;top:2082;width:27424;height:4426;visibility:visible" filled="f" stroked="f">
                  <v:textbox style="mso-next-textbox:#TextBox 23">
                    <w:txbxContent>
                      <w:p w14:paraId="756B71C3" w14:textId="349A6A90" w:rsidR="00C25F02" w:rsidRPr="00C9543F" w:rsidRDefault="00C25F02" w:rsidP="00C25F02">
                        <w:pPr>
                          <w:spacing w:after="80"/>
                          <w:rPr>
                            <w:rFonts w:eastAsia="Arial" w:cs="Arial"/>
                            <w:color w:val="000000" w:themeColor="text1"/>
                            <w:sz w:val="20"/>
                            <w:szCs w:val="20"/>
                          </w:rPr>
                        </w:pPr>
                        <w:r>
                          <w:rPr>
                            <w:color w:val="000000" w:themeColor="text1"/>
                            <w:sz w:val="20"/>
                          </w:rPr>
                          <w:t>josta 362,2 miljardia euroa tavanomaisilla EU:n joukkolainoilla</w:t>
                        </w:r>
                      </w:p>
                    </w:txbxContent>
                  </v:textbox>
                </v:shape>
                <v:rect id="Rectangle 52" o:spid="_x0000_s2110" style="position:absolute;left:15205;top:2739;width:1080;height:1080;visibility:visible;v-text-anchor:middle" fillcolor="#70ad47" stroked="f" strokeweight="2pt">
                  <o:lock v:ext="edit" aspectratio="t"/>
                </v:rect>
              </v:group>
              <v:group id="Group 53" o:spid="_x0000_s2111" style="position:absolute;left:15205;top:4330;width:31894;height:4426" coordorigin="15205,4330" coordsize="31894,4426">
                <v:rect id="Rectangle 54" o:spid="_x0000_s2112" style="position:absolute;left:15205;top:4846;width:1080;height:1080;visibility:visible;v-text-anchor:middle" fillcolor="#70ad47" stroked="f" strokeweight="2pt">
                  <v:fill r:id="rId31" o:title="" color2="window" type="pattern"/>
                  <o:lock v:ext="edit" aspectratio="t"/>
                </v:rect>
                <v:shape id="TextBox 22" o:spid="_x0000_s2113" type="#_x0000_t202" style="position:absolute;left:16287;top:4330;width:30812;height:4426;visibility:visible" filled="f" stroked="f">
                  <v:textbox style="mso-next-textbox:#TextBox 22">
                    <w:txbxContent>
                      <w:p w14:paraId="35F842F9" w14:textId="130937D7" w:rsidR="00C25F02" w:rsidRPr="00C9543F" w:rsidRDefault="00C25F02" w:rsidP="00C25F02">
                        <w:pPr>
                          <w:spacing w:after="80"/>
                          <w:textAlignment w:val="baseline"/>
                          <w:rPr>
                            <w:rFonts w:cs="Arial"/>
                            <w:color w:val="000000" w:themeColor="text1"/>
                            <w:sz w:val="20"/>
                            <w:szCs w:val="20"/>
                          </w:rPr>
                        </w:pPr>
                        <w:r>
                          <w:rPr>
                            <w:color w:val="000000" w:themeColor="text1"/>
                            <w:sz w:val="20"/>
                          </w:rPr>
                          <w:t>josta 68,2 miljardia euroa NextGenerationEU-välineen vihreillä joukkolainoilla</w:t>
                        </w:r>
                      </w:p>
                    </w:txbxContent>
                  </v:textbox>
                </v:shape>
              </v:group>
              <v:group id="Group 56" o:spid="_x0000_s2114" style="position:absolute;left:15205;width:31059;height:8481" coordorigin="15205" coordsize="31058,8481">
                <v:shape id="TextBox 19" o:spid="_x0000_s2115" type="#_x0000_t202" style="position:absolute;left:16287;width:29976;height:8481;visibility:visible" filled="f" stroked="f">
                  <v:textbox style="mso-next-textbox:#TextBox 19">
                    <w:txbxContent>
                      <w:p w14:paraId="102E0B20" w14:textId="3ECFC776" w:rsidR="00C25F02" w:rsidRDefault="00C25F02" w:rsidP="0089479A">
                        <w:pPr>
                          <w:spacing w:after="80"/>
                          <w:jc w:val="left"/>
                          <w:textAlignment w:val="baseline"/>
                          <w:rPr>
                            <w:color w:val="000000" w:themeColor="text1"/>
                            <w:sz w:val="20"/>
                          </w:rPr>
                        </w:pPr>
                        <w:r>
                          <w:rPr>
                            <w:b/>
                            <w:color w:val="70AD47"/>
                            <w:sz w:val="20"/>
                          </w:rPr>
                          <w:t>430,4 miljardia euroa</w:t>
                        </w:r>
                        <w:r>
                          <w:rPr>
                            <w:sz w:val="20"/>
                          </w:rPr>
                          <w:t xml:space="preserve"> </w:t>
                        </w:r>
                        <w:r>
                          <w:rPr>
                            <w:color w:val="000000" w:themeColor="text1"/>
                            <w:sz w:val="20"/>
                          </w:rPr>
                          <w:t xml:space="preserve">yhdistetyllä </w:t>
                        </w:r>
                        <w:r w:rsidR="0089479A">
                          <w:rPr>
                            <w:color w:val="000000" w:themeColor="text1"/>
                            <w:sz w:val="20"/>
                          </w:rPr>
                          <w:t>v</w:t>
                        </w:r>
                        <w:r>
                          <w:rPr>
                            <w:color w:val="000000" w:themeColor="text1"/>
                            <w:sz w:val="20"/>
                          </w:rPr>
                          <w:t>arainhankinta</w:t>
                        </w:r>
                        <w:r w:rsidR="0062250A" w:rsidRPr="0062250A">
                          <w:rPr>
                            <w:color w:val="000000" w:themeColor="text1"/>
                            <w:sz w:val="20"/>
                          </w:rPr>
                          <w:t>-</w:t>
                        </w:r>
                        <w:r>
                          <w:rPr>
                            <w:color w:val="000000" w:themeColor="text1"/>
                            <w:sz w:val="20"/>
                          </w:rPr>
                          <w:t>menetelmällä</w:t>
                        </w:r>
                      </w:p>
                      <w:p w14:paraId="2D18FCF4" w14:textId="77777777" w:rsidR="0062250A" w:rsidRDefault="0062250A" w:rsidP="0089479A">
                        <w:pPr>
                          <w:spacing w:after="80"/>
                          <w:jc w:val="left"/>
                          <w:textAlignment w:val="baseline"/>
                          <w:rPr>
                            <w:color w:val="000000" w:themeColor="text1"/>
                            <w:sz w:val="20"/>
                          </w:rPr>
                        </w:pPr>
                      </w:p>
                      <w:p w14:paraId="2F05CF0A" w14:textId="77777777" w:rsidR="0062250A" w:rsidRDefault="0062250A" w:rsidP="0089479A">
                        <w:pPr>
                          <w:spacing w:after="80"/>
                          <w:jc w:val="left"/>
                          <w:textAlignment w:val="baseline"/>
                          <w:rPr>
                            <w:color w:val="000000" w:themeColor="text1"/>
                            <w:sz w:val="20"/>
                          </w:rPr>
                        </w:pPr>
                      </w:p>
                      <w:p w14:paraId="443C8911" w14:textId="77777777" w:rsidR="0062250A" w:rsidRDefault="0062250A" w:rsidP="0089479A">
                        <w:pPr>
                          <w:spacing w:after="80"/>
                          <w:jc w:val="left"/>
                          <w:textAlignment w:val="baseline"/>
                          <w:rPr>
                            <w:color w:val="000000" w:themeColor="text1"/>
                            <w:sz w:val="20"/>
                          </w:rPr>
                        </w:pPr>
                      </w:p>
                      <w:p w14:paraId="360AB9D9" w14:textId="77777777" w:rsidR="0062250A" w:rsidRDefault="0062250A" w:rsidP="0089479A">
                        <w:pPr>
                          <w:spacing w:after="80"/>
                          <w:jc w:val="left"/>
                          <w:textAlignment w:val="baseline"/>
                          <w:rPr>
                            <w:color w:val="000000" w:themeColor="text1"/>
                            <w:sz w:val="20"/>
                          </w:rPr>
                        </w:pPr>
                      </w:p>
                      <w:p w14:paraId="008211B2" w14:textId="77777777" w:rsidR="0062250A" w:rsidRDefault="0062250A" w:rsidP="0089479A">
                        <w:pPr>
                          <w:spacing w:after="80"/>
                          <w:jc w:val="left"/>
                          <w:textAlignment w:val="baseline"/>
                          <w:rPr>
                            <w:color w:val="000000" w:themeColor="text1"/>
                            <w:sz w:val="20"/>
                          </w:rPr>
                        </w:pPr>
                      </w:p>
                      <w:p w14:paraId="6ADF602C" w14:textId="77777777" w:rsidR="0062250A" w:rsidRDefault="0062250A" w:rsidP="0089479A">
                        <w:pPr>
                          <w:spacing w:after="80"/>
                          <w:jc w:val="left"/>
                          <w:textAlignment w:val="baseline"/>
                          <w:rPr>
                            <w:color w:val="000000" w:themeColor="text1"/>
                            <w:sz w:val="20"/>
                          </w:rPr>
                        </w:pPr>
                      </w:p>
                      <w:p w14:paraId="4C9E8FBD" w14:textId="77777777" w:rsidR="0062250A" w:rsidRDefault="0062250A" w:rsidP="0089479A">
                        <w:pPr>
                          <w:spacing w:after="80"/>
                          <w:jc w:val="left"/>
                          <w:textAlignment w:val="baseline"/>
                          <w:rPr>
                            <w:color w:val="000000" w:themeColor="text1"/>
                            <w:sz w:val="20"/>
                          </w:rPr>
                        </w:pPr>
                      </w:p>
                      <w:p w14:paraId="2D62A708" w14:textId="77777777" w:rsidR="00DF3513" w:rsidRDefault="00DF3513" w:rsidP="0089479A">
                        <w:pPr>
                          <w:spacing w:after="80"/>
                          <w:jc w:val="left"/>
                          <w:textAlignment w:val="baseline"/>
                          <w:rPr>
                            <w:color w:val="000000" w:themeColor="text1"/>
                            <w:sz w:val="20"/>
                          </w:rPr>
                        </w:pPr>
                      </w:p>
                      <w:p w14:paraId="11879D35" w14:textId="77777777" w:rsidR="00DF3513" w:rsidRPr="00C25F02" w:rsidRDefault="00DF3513" w:rsidP="0089479A">
                        <w:pPr>
                          <w:spacing w:after="80"/>
                          <w:jc w:val="left"/>
                          <w:textAlignment w:val="baseline"/>
                          <w:rPr>
                            <w:rFonts w:eastAsia="Arial" w:cs="Arial"/>
                            <w:b/>
                            <w:bCs/>
                            <w:color w:val="70AD47"/>
                            <w:sz w:val="18"/>
                            <w:szCs w:val="18"/>
                          </w:rPr>
                        </w:pPr>
                      </w:p>
                    </w:txbxContent>
                  </v:textbox>
                </v:shape>
                <v:rect id="Rectangle 58" o:spid="_x0000_s2116" style="position:absolute;left:15205;top:635;width:915;height:914;visibility:visible;v-text-anchor:middle" filled="f" strokecolor="#70ad47" strokeweight="1.5pt">
                  <v:path arrowok="t"/>
                  <o:lock v:ext="edit" aspectratio="t"/>
                </v:rect>
              </v:group>
            </v:group>
            <w10:anchorlock/>
          </v:group>
        </w:pict>
      </w:r>
    </w:p>
    <w:p w14:paraId="66038DDE" w14:textId="77777777" w:rsidR="00C9543F" w:rsidRPr="00A11F51" w:rsidRDefault="00C9543F" w:rsidP="00A11F51">
      <w:pPr>
        <w:spacing w:line="259" w:lineRule="auto"/>
        <w:jc w:val="left"/>
        <w:rPr>
          <w:rFonts w:asciiTheme="minorHAnsi" w:hAnsiTheme="minorHAnsi" w:cstheme="minorBidi"/>
          <w:noProof/>
          <w:sz w:val="6"/>
          <w:szCs w:val="6"/>
          <w:lang w:val="en-GB"/>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CellMar>
          <w:top w:w="113" w:type="dxa"/>
          <w:bottom w:w="113" w:type="dxa"/>
        </w:tblCellMar>
        <w:tblLook w:val="04A0" w:firstRow="1" w:lastRow="0" w:firstColumn="1" w:lastColumn="0" w:noHBand="0" w:noVBand="1"/>
      </w:tblPr>
      <w:tblGrid>
        <w:gridCol w:w="9076"/>
      </w:tblGrid>
      <w:tr w:rsidR="00A11F51" w:rsidRPr="00A11F51" w14:paraId="0FE367EE" w14:textId="77777777" w:rsidTr="0E388B1A">
        <w:trPr>
          <w:trHeight w:val="1943"/>
        </w:trPr>
        <w:tc>
          <w:tcPr>
            <w:tcW w:w="9076" w:type="dxa"/>
            <w:shd w:val="clear" w:color="auto" w:fill="F5F5F5"/>
          </w:tcPr>
          <w:p w14:paraId="31D6E2E9" w14:textId="4A796A5B" w:rsidR="00A11F51" w:rsidRPr="00A11F51" w:rsidRDefault="00A11F51" w:rsidP="00A11F51">
            <w:pPr>
              <w:spacing w:after="120"/>
              <w:jc w:val="left"/>
              <w:rPr>
                <w:rFonts w:cstheme="minorBidi"/>
                <w:b/>
                <w:bCs/>
                <w:noProof/>
                <w:color w:val="034EA2"/>
              </w:rPr>
            </w:pPr>
            <w:r>
              <w:rPr>
                <w:b/>
                <w:noProof/>
                <w:color w:val="034EA2"/>
              </w:rPr>
              <w:t>KESKEISET TIEDOT vuoden 2024 jälkipuoliskosta</w:t>
            </w:r>
          </w:p>
          <w:p w14:paraId="0A12EF6E" w14:textId="04913DF1" w:rsidR="00A961B6" w:rsidRPr="002148BF" w:rsidRDefault="002F4F1A" w:rsidP="00A11F51">
            <w:pPr>
              <w:numPr>
                <w:ilvl w:val="0"/>
                <w:numId w:val="29"/>
              </w:numPr>
              <w:spacing w:after="60"/>
              <w:ind w:left="340" w:hanging="170"/>
              <w:contextualSpacing/>
              <w:jc w:val="left"/>
              <w:rPr>
                <w:rFonts w:cstheme="minorBidi"/>
                <w:noProof/>
                <w:color w:val="034EA2"/>
              </w:rPr>
            </w:pPr>
            <w:r>
              <w:rPr>
                <w:noProof/>
                <w:color w:val="034EA2"/>
              </w:rPr>
              <w:t>Neljällä syndikoidulla liikkeeseenlaskulla ja kuudella huutokaupalla kerätyt varat 64,3 miljardia euroa, keskimääräinen maturiteetti noin 12 vuotta. Vuonna 2024 kerätyn pitkäaikaisen rahoituksen kokonaismäärä 138,1 miljardia euroa.</w:t>
            </w:r>
          </w:p>
          <w:p w14:paraId="16496AE5" w14:textId="16DF6B83" w:rsidR="001B75AB" w:rsidRPr="004A14DC" w:rsidRDefault="00C261E0" w:rsidP="006710FA">
            <w:pPr>
              <w:numPr>
                <w:ilvl w:val="0"/>
                <w:numId w:val="29"/>
              </w:numPr>
              <w:spacing w:after="60"/>
              <w:ind w:left="340" w:hanging="170"/>
              <w:contextualSpacing/>
              <w:jc w:val="left"/>
              <w:rPr>
                <w:rFonts w:cstheme="minorBidi"/>
                <w:noProof/>
                <w:color w:val="023A79" w:themeColor="accent1" w:themeShade="BF"/>
              </w:rPr>
            </w:pPr>
            <w:r w:rsidRPr="004A14DC">
              <w:rPr>
                <w:noProof/>
                <w:color w:val="023A79" w:themeColor="accent1" w:themeShade="BF"/>
              </w:rPr>
              <w:t xml:space="preserve">Suurin osa varoista käytettiin NextGenerationEU-välineeseen (72,2 miljardia euroa). Lisäksi </w:t>
            </w:r>
            <w:r w:rsidRPr="004A14DC">
              <w:rPr>
                <w:i/>
                <w:iCs/>
                <w:noProof/>
                <w:color w:val="023A79" w:themeColor="accent1" w:themeShade="BF"/>
              </w:rPr>
              <w:t>maksuja suoritettiin Ukrainan tukivälineestä (5,2 miljardia euroa) ja makrotaloudellisen rahoitusavun lainaohjelmista Egyptille (miljardi euroa) ja Moldovalle (95 miljoonaa euroa).</w:t>
            </w:r>
          </w:p>
          <w:p w14:paraId="3E81AD55" w14:textId="59CFB663" w:rsidR="004908A7" w:rsidRPr="004908A7" w:rsidRDefault="006F7AAA" w:rsidP="004908A7">
            <w:pPr>
              <w:numPr>
                <w:ilvl w:val="0"/>
                <w:numId w:val="29"/>
              </w:numPr>
              <w:spacing w:after="60"/>
              <w:ind w:left="340" w:hanging="170"/>
              <w:contextualSpacing/>
              <w:jc w:val="left"/>
              <w:rPr>
                <w:rFonts w:cstheme="minorBidi"/>
                <w:noProof/>
                <w:color w:val="034EA2"/>
              </w:rPr>
            </w:pPr>
            <w:r>
              <w:rPr>
                <w:noProof/>
                <w:color w:val="034EA2"/>
              </w:rPr>
              <w:t>NextGenerationEU-välineen varainhankintakustannukset olivat 2,97 prosenttia (vuoden 2024 alkupuoliskolla 3,19 %), kun taas Ukrainan tukivälineen ja Egyptin makrotaloudellisen rahoitusavun kustannukset olivat 2,68 prosenttia.</w:t>
            </w:r>
          </w:p>
        </w:tc>
      </w:tr>
    </w:tbl>
    <w:p w14:paraId="155CDCD6" w14:textId="77777777" w:rsidR="00252C49" w:rsidRPr="00BB5195" w:rsidRDefault="00252C49">
      <w:pPr>
        <w:spacing w:line="259" w:lineRule="auto"/>
        <w:rPr>
          <w:noProof/>
        </w:rPr>
      </w:pPr>
    </w:p>
    <w:p w14:paraId="34E6C602" w14:textId="10BBF2C3" w:rsidR="00BA3133" w:rsidRDefault="00BA3133">
      <w:pPr>
        <w:spacing w:line="259" w:lineRule="auto"/>
        <w:rPr>
          <w:rFonts w:eastAsiaTheme="majorEastAsia"/>
          <w:b/>
          <w:noProof/>
        </w:rPr>
      </w:pPr>
      <w:r>
        <w:rPr>
          <w:noProof/>
        </w:rPr>
        <w:br w:type="page"/>
      </w:r>
    </w:p>
    <w:p w14:paraId="263DA02E" w14:textId="03E4299B" w:rsidR="00F13D4C" w:rsidRPr="00BE145B" w:rsidRDefault="00F13D4C" w:rsidP="00BE145B">
      <w:pPr>
        <w:pStyle w:val="Heading1"/>
        <w:rPr>
          <w:noProof/>
        </w:rPr>
      </w:pPr>
      <w:bookmarkStart w:id="2" w:name="_Toc193205963"/>
      <w:r>
        <w:rPr>
          <w:noProof/>
        </w:rPr>
        <w:t>Yhteenveto</w:t>
      </w:r>
      <w:bookmarkEnd w:id="2"/>
    </w:p>
    <w:p w14:paraId="7B2B037A" w14:textId="6A7AED55" w:rsidR="009D32AB" w:rsidRPr="00C764BB" w:rsidRDefault="00ED7D0E" w:rsidP="00ED7D0E">
      <w:pPr>
        <w:rPr>
          <w:iCs/>
          <w:noProof/>
        </w:rPr>
      </w:pPr>
      <w:bookmarkStart w:id="3" w:name="_Hlk187319594"/>
      <w:bookmarkStart w:id="4" w:name="_Hlk156385433"/>
      <w:r>
        <w:rPr>
          <w:noProof/>
        </w:rPr>
        <w:t xml:space="preserve">EU keräsi vuoden 2024 jälkipuoliskolla 64,3 miljardia euroa pitkäaikaista rahoitusta toteuttamalla kesäkuussa 2024 julkaistuun varainhankintasuunnitelmaan sisältyvän tavoitteen mukaisesti neljä syndikoitua liikkeeseenlaskua ja kuusi huutokauppaa. Tästä 64,3 miljardin euron pitkäaikaisesta rahoituksesta 8 miljardia euroa kerättiin NextGenerationEU-välineen vihreillä joukkolainoilla. Nämä liikkeeseenlaskut yhdessä vuoden 2024 alkupuoliskolla kerätyn 73,8 miljardin euron kanssa kasvattivat vuonna 2024 kerätyn pitkäaikaisen rahoituksen määrän 138,1 miljardiin euroon. Kyseessä on suurin EU:n yhtenä vuonna liikkeeseen laskemien joukkolainojen määrä. </w:t>
      </w:r>
      <w:r>
        <w:rPr>
          <w:noProof/>
          <w:color w:val="000000" w:themeColor="text1"/>
        </w:rPr>
        <w:t xml:space="preserve">Vuoden 2024 loppuun mennessä EU:lla oli liikkeessä olevia EU:n joukkolainoja 578,2 miljardia euroa (keskimääräinen jäljellä oleva maturiteetti noin 12 vuotta). Tästä määrästä 68,2 miljardia euroa oli NextGenerationEU-välineen vihreitä joukkolainoja. </w:t>
      </w:r>
    </w:p>
    <w:p w14:paraId="1C0F023F" w14:textId="755B8D35" w:rsidR="00ED7D0E" w:rsidRPr="00D95188" w:rsidRDefault="00527BF7" w:rsidP="00ED7D0E">
      <w:pPr>
        <w:rPr>
          <w:rFonts w:ascii="Arial" w:eastAsia="Times New Roman" w:hAnsi="Arial" w:cs="Arial"/>
          <w:noProof/>
          <w:sz w:val="27"/>
          <w:szCs w:val="27"/>
        </w:rPr>
      </w:pPr>
      <w:r>
        <w:rPr>
          <w:noProof/>
          <w:color w:val="000000" w:themeColor="text1"/>
        </w:rPr>
        <w:t xml:space="preserve">EU:n joukkolainojen liikkeeseenlaskuista saatujen tuottojen ansiosta komissio pystyi edelleen vastaamaan toimintapolitiikan painopisteisiin EU:ssa ja sen lähialueilla. </w:t>
      </w:r>
      <w:r>
        <w:rPr>
          <w:noProof/>
        </w:rPr>
        <w:t>Vuoden 2024 jälkipuoliskolla näistä tuotoista 72,2 miljardia euroa maksettiin NextGenerationEU-välineestä rahoitettavien investointien ja uudistusten toteuttamiseen. Ukraina sai 5,2 miljardia euroa Ukrainan tukivälineestä</w:t>
      </w:r>
      <w:bookmarkStart w:id="5" w:name="_Hlk156380977"/>
      <w:r>
        <w:rPr>
          <w:noProof/>
        </w:rPr>
        <w:t xml:space="preserve">, ja lisäksi 1,1 miljardin euron tuotoilla rahoitettiin miljardin euron makrotaloudellinen rahoitusapu </w:t>
      </w:r>
      <w:bookmarkEnd w:id="3"/>
      <w:r>
        <w:rPr>
          <w:noProof/>
        </w:rPr>
        <w:t>Egyptille ja 95 miljoonan euron makrotaloudellinen rahoitusapu Moldovalle.</w:t>
      </w:r>
    </w:p>
    <w:bookmarkEnd w:id="5"/>
    <w:p w14:paraId="06D5DF1E" w14:textId="5E7AD5DA" w:rsidR="00ED7D0E" w:rsidRPr="00E7253C" w:rsidRDefault="00585EB8" w:rsidP="00ED7D0E">
      <w:pPr>
        <w:rPr>
          <w:noProof/>
        </w:rPr>
      </w:pPr>
      <w:r>
        <w:rPr>
          <w:noProof/>
        </w:rPr>
        <w:t>EU:n varainhankintakustannukset</w:t>
      </w:r>
      <w:r w:rsidR="00072047" w:rsidRPr="00820BC1">
        <w:rPr>
          <w:rStyle w:val="FootnoteReference"/>
          <w:noProof/>
          <w:lang w:val="en-GB"/>
        </w:rPr>
        <w:footnoteReference w:id="2"/>
      </w:r>
      <w:r>
        <w:rPr>
          <w:noProof/>
        </w:rPr>
        <w:t xml:space="preserve"> pienenivät edelleen 2,97 prosenttiin, kun ne edellisellä rahoituskaudella olivat 3,19 prosenttia. EU:n varainhankinnan kokonaiskustannusten pieneneminen selittyy suotuisammilla markkinaolosuhteilla ja EU:n maksamien korkojen eron supistumisella keskeisiin Euroopan valtioiden joukkolainoihin nähden puolivuotiskauden aikana. EU:n joukkolainojen ja puoliksi Saksan ja puoliksi Ranskan valtion joukkolainoista muodostuvan korin välinen korkoero kymmenen vuoden ajanjaksolla pieneni vuoden 2024 jälkipuoliskon alun 25 peruspisteestä 12 peruspisteeseen joulukuuhun 2024 mennessä. </w:t>
      </w:r>
    </w:p>
    <w:p w14:paraId="5A78647B" w14:textId="59BDEFFD" w:rsidR="0081666A" w:rsidRDefault="00ED7D0E" w:rsidP="00260CFD">
      <w:pPr>
        <w:rPr>
          <w:noProof/>
        </w:rPr>
      </w:pPr>
      <w:r>
        <w:rPr>
          <w:noProof/>
        </w:rPr>
        <w:t>Komissio toteutti myös lisätoimia tukeakseen EU:n joukkolainamarkkinoiden toimintaa ja likviditeettiä. Se käynnisti lokakuussa 2024 EU:n joukkolainojen takaisinostojärjestelyn, jonka tarkoituksena on tukea EU:n päämarkkinatakaajia niiden tehdessä EU:n joukkolainoja koskevia hintatarjouksia sähköisillä kaupankäyntialustoilla.</w:t>
      </w:r>
    </w:p>
    <w:p w14:paraId="7430E6D6" w14:textId="519AD4EC" w:rsidR="00113B9E" w:rsidRDefault="00526244" w:rsidP="00526244">
      <w:pPr>
        <w:rPr>
          <w:noProof/>
        </w:rPr>
      </w:pPr>
      <w:r>
        <w:rPr>
          <w:noProof/>
        </w:rPr>
        <w:t>Nämä merkittävät kehityssuuntaukset EU:n puolella sekä yhdistetyn varainhankintamenetelmän soveltaminen kaikkiin EU:n liikkeeseenlaskuihin ovat antaneet markkinatoimijoille mahdollisuuden esittää riippumattomia aloitteita, joilla voitaisiin tukea edelleen EU:n joukkolainamarkkinoiden toimintaa. Vuoden 2024 jälkipuoliskolla tähän sisältyi EU:n joukkolainoja koskevan indeksipohjaisen futuurisopimuksen käynnistäminen joulukuussa sekä ilmoitus siitä, että johtava eurooppalainen pörssi haluaa vuonna 2025 jälleen tehdä perinteisen futuurisopimuksen (joka selvitetään luovuttamalla kohde-etuus).</w:t>
      </w:r>
    </w:p>
    <w:p w14:paraId="15FC060E" w14:textId="6D2F1EA6" w:rsidR="00CC0D21" w:rsidRPr="00313B5F" w:rsidRDefault="002D5366" w:rsidP="007930D6">
      <w:pPr>
        <w:rPr>
          <w:noProof/>
        </w:rPr>
      </w:pPr>
      <w:r>
        <w:rPr>
          <w:noProof/>
        </w:rPr>
        <w:t xml:space="preserve">Merkittävä tapahtuma vuoden 2024 jälkipuoliskolla oli myös vuoden 2024 </w:t>
      </w:r>
      <w:hyperlink r:id="rId32">
        <w:r>
          <w:rPr>
            <w:rStyle w:val="Hyperlink"/>
            <w:noProof/>
          </w:rPr>
          <w:t>NextGenerationEU-välineen vihreiden joukkolainojen kohdentamista ja vaikutuksia koskevan raportin</w:t>
        </w:r>
      </w:hyperlink>
      <w:r>
        <w:rPr>
          <w:noProof/>
        </w:rPr>
        <w:t xml:space="preserve"> julkaiseminen.</w:t>
      </w:r>
      <w:r>
        <w:rPr>
          <w:noProof/>
          <w:color w:val="000000" w:themeColor="text1"/>
        </w:rPr>
        <w:t xml:space="preserve"> </w:t>
      </w:r>
      <w:r>
        <w:rPr>
          <w:noProof/>
        </w:rPr>
        <w:t>Siinä esitetään päivitettyjä tietoja NextGenerationEU-välineen vihreiden joukkolainojen liikkeeseenlaskusta saatujen varojen kohdentamisesta sekä niiden arvioiduista toteutuneista ja odotettavissa olevista ilmastovaikutuksista. Raportissa esitetään i) NextGenerationEU-välineen vihreiden joukkolainojen lisääntynyt liikkeeseenlasku (liikkeessä olevien NextGenerationEU-välineen vihreiden joukkolainojen kasvu 68,2 miljardiin euroon), ii) edistyminen NextGenerationEU-välineen vihreillä joukkolainoilla rahoitettavien ilmaston kannalta merkityksellisten menojen toteuttamisessa ja iii) NextGenerationEU-välineen vihreiden joukkolainojen tukikelpoisten menojen kasvu REPowerEU-ohjelman käyttöönoton jälkeen (REPowerEU-ohjelman suuruus on nyt 264 miljardia euroa).</w:t>
      </w:r>
    </w:p>
    <w:p w14:paraId="6458497B" w14:textId="35AD3CC2" w:rsidR="001B6374" w:rsidRPr="0076678F" w:rsidRDefault="005C0779" w:rsidP="001B6374">
      <w:pPr>
        <w:rPr>
          <w:noProof/>
        </w:rPr>
      </w:pPr>
      <w:r>
        <w:rPr>
          <w:noProof/>
        </w:rPr>
        <w:t>Lisäksi komissio ilmoitti 10. joulukuuta 2024 vuoden 2025 alkupuoliskoa koskevasta varainhankintasuunnitelmastaan, jonka tavoitteena on muun muassa laskea tammi-kesäkuussa joukkolainoja liikkeeseen jopa 90 miljardin euron arvosta. EU:n joukkolainoilla on alustavasti tarkoitus kerätä rahoitusta 160 miljardia euroa vuonna 2025. Pitkäaikaisten joukkolainojen liikkeeseenlaskun helpottamiseksi on heti vuoden 2025 alkupuoliskolla tarkoitus ottaa käyttöön huutokauppoja, joissa on tarjolla kolmenlaisia joukkolainoja. EU:n varainhankintatarpeiden täydentämiseksi on lisäksi tarkoitus laskea liikkeeseen lyhytaikaista velkaa muun muassa ottamalla käyttöön uusi EU:n 12 kuukauden velkasitoumus tammikuussa 2025.</w:t>
      </w:r>
    </w:p>
    <w:p w14:paraId="6054F437" w14:textId="13C27636" w:rsidR="001401DA" w:rsidRDefault="008B6253" w:rsidP="00BE145B">
      <w:pPr>
        <w:pStyle w:val="Heading1"/>
        <w:rPr>
          <w:noProof/>
        </w:rPr>
      </w:pPr>
      <w:bookmarkStart w:id="6" w:name="_Toc193205964"/>
      <w:bookmarkEnd w:id="4"/>
      <w:r>
        <w:rPr>
          <w:noProof/>
        </w:rPr>
        <w:t>Johdanto</w:t>
      </w:r>
      <w:bookmarkEnd w:id="6"/>
    </w:p>
    <w:p w14:paraId="1AD97532" w14:textId="2DDBDF68" w:rsidR="00F333BA" w:rsidRPr="00877CA0" w:rsidRDefault="00F333BA" w:rsidP="00F333BA">
      <w:pPr>
        <w:rPr>
          <w:noProof/>
        </w:rPr>
      </w:pPr>
      <w:r>
        <w:rPr>
          <w:noProof/>
        </w:rPr>
        <w:t>Komissio on ottanut lainaa Euroopan unionin puolesta yli 40 vuoden ajan. Viimeisten viiden vuoden aikana EU:n joukkolainojen liikkeeseenlasku on lisääntynyt huomattavasti, sillä EU turvautuu pääomamarkkinoihin rahoittaessaan suuria ohjelmia, kuten SURE-välinettä</w:t>
      </w:r>
      <w:r w:rsidRPr="001C6C43">
        <w:rPr>
          <w:rStyle w:val="FootnoteReference"/>
          <w:noProof/>
          <w:lang w:val="en-GB"/>
        </w:rPr>
        <w:footnoteReference w:id="3"/>
      </w:r>
      <w:r>
        <w:rPr>
          <w:noProof/>
        </w:rPr>
        <w:t>, NextGenerationEU-välinettä ja tukea Ukrainalle (makrotaloudellinen rahoitusapu plus -väline vuonna 2023, Ukrainan tukiväline vuonna 2024 ja makrotaloudellisen rahoitusavun laina vuonna 2025 käyttöön otettavasta Ukrainan lainayhteistyömekanismista). EU:n kokonaisvelkakanta oli 31. joulukuuta 2024 hieman yli 600 miljardia euroa, josta 23,1 miljardia euroa oli EU:n velkasitoumusten muodossa.</w:t>
      </w:r>
    </w:p>
    <w:p w14:paraId="2371BB69" w14:textId="64C6F98E" w:rsidR="00F333BA" w:rsidRPr="00820BC1" w:rsidRDefault="00F333BA" w:rsidP="00F333BA">
      <w:pPr>
        <w:rPr>
          <w:noProof/>
        </w:rPr>
      </w:pPr>
      <w:r>
        <w:rPr>
          <w:noProof/>
        </w:rPr>
        <w:t>Tässä puolivuotiskertomuksessa</w:t>
      </w:r>
      <w:r w:rsidRPr="00820BC1">
        <w:rPr>
          <w:rStyle w:val="FootnoteReference"/>
          <w:noProof/>
          <w:lang w:val="en-GB"/>
        </w:rPr>
        <w:footnoteReference w:id="4"/>
      </w:r>
      <w:r>
        <w:rPr>
          <w:noProof/>
        </w:rPr>
        <w:t xml:space="preserve"> tarkastellaan 1.</w:t>
      </w:r>
      <w:r w:rsidR="0088722D">
        <w:rPr>
          <w:rFonts w:ascii="Calibri" w:hAnsi="Calibri" w:cs="Calibri"/>
          <w:noProof/>
        </w:rPr>
        <w:t> </w:t>
      </w:r>
      <w:r>
        <w:rPr>
          <w:noProof/>
        </w:rPr>
        <w:t>heinäkuuta 2024 – 31. joulukuuta 2024 suoritettujen lainanottotoimien toteuttamista. Kertomuksessa tarkastellaan myös EU:n joukkolainojen liikkeeseenlaskunäkymiä vuoden 2025 alkupuoliskolla. Tässä kertomuksessa ei arvioida, miten EU:n joukkolainojen liikkeeseenlaskuista saadut tuotot on käytetty (tämä koskee myös vihreitä menoja), koska tätä käsitellään kutakin välinettä koskevien asetusten mukaisissa erillisissä kertomuksissa</w:t>
      </w:r>
      <w:r w:rsidRPr="00820BC1">
        <w:rPr>
          <w:rStyle w:val="FootnoteReference"/>
          <w:noProof/>
          <w:lang w:val="en-GB"/>
        </w:rPr>
        <w:footnoteReference w:id="5"/>
      </w:r>
      <w:r>
        <w:rPr>
          <w:noProof/>
        </w:rPr>
        <w:t>.</w:t>
      </w:r>
    </w:p>
    <w:p w14:paraId="5D2F601E" w14:textId="7F249F7C" w:rsidR="00F333BA" w:rsidRPr="00820BC1" w:rsidRDefault="00F333BA" w:rsidP="00F333BA">
      <w:pPr>
        <w:rPr>
          <w:noProof/>
        </w:rPr>
      </w:pPr>
      <w:r>
        <w:rPr>
          <w:noProof/>
        </w:rPr>
        <w:t>Euroopan tilintarkastustuomioistuimen (ETT) kesäkuussa 2023 antaman suosituksen</w:t>
      </w:r>
      <w:r w:rsidRPr="00820BC1">
        <w:rPr>
          <w:rStyle w:val="FootnoteReference"/>
          <w:noProof/>
          <w:lang w:val="en-GB"/>
        </w:rPr>
        <w:footnoteReference w:id="6"/>
      </w:r>
      <w:r>
        <w:rPr>
          <w:noProof/>
        </w:rPr>
        <w:t xml:space="preserve"> mukaisesti tämän kertomuksen liitteessä esitetään indikaattoreita, joiden avulla voidaan seurata komission yhdistettyä varainhankintamenetelmää ohjaavan yleisen velanhoitostrategian</w:t>
      </w:r>
      <w:r w:rsidRPr="00820BC1">
        <w:rPr>
          <w:rStyle w:val="FootnoteReference"/>
          <w:noProof/>
          <w:spacing w:val="-6"/>
        </w:rPr>
        <w:footnoteReference w:id="7"/>
      </w:r>
      <w:r>
        <w:rPr>
          <w:noProof/>
        </w:rPr>
        <w:t xml:space="preserve"> täytäntöönpanoa.  </w:t>
      </w:r>
    </w:p>
    <w:p w14:paraId="4FD8F240" w14:textId="643AFC9B" w:rsidR="008B6253" w:rsidRPr="00BE145B" w:rsidRDefault="00BD5F9F" w:rsidP="00BE145B">
      <w:pPr>
        <w:pStyle w:val="Heading1"/>
        <w:rPr>
          <w:noProof/>
        </w:rPr>
      </w:pPr>
      <w:bookmarkStart w:id="7" w:name="_Ref155883558"/>
      <w:bookmarkStart w:id="8" w:name="_Ref169097162"/>
      <w:bookmarkStart w:id="9" w:name="_Toc193205965"/>
      <w:r>
        <w:rPr>
          <w:noProof/>
        </w:rPr>
        <w:t xml:space="preserve">Lainanottotoimien toteuttaminen vuoden </w:t>
      </w:r>
      <w:bookmarkEnd w:id="7"/>
      <w:r>
        <w:rPr>
          <w:noProof/>
        </w:rPr>
        <w:t>202</w:t>
      </w:r>
      <w:bookmarkEnd w:id="8"/>
      <w:r>
        <w:rPr>
          <w:noProof/>
        </w:rPr>
        <w:t>4 jälkipuoliskolla</w:t>
      </w:r>
      <w:bookmarkEnd w:id="9"/>
    </w:p>
    <w:p w14:paraId="15368E26" w14:textId="655EA9E9" w:rsidR="00A02D98" w:rsidRPr="000123E4" w:rsidRDefault="00A02D98" w:rsidP="00A02D98">
      <w:pPr>
        <w:rPr>
          <w:noProof/>
        </w:rPr>
      </w:pPr>
      <w:bookmarkStart w:id="10" w:name="_Toc169303166"/>
      <w:r>
        <w:rPr>
          <w:noProof/>
        </w:rPr>
        <w:t>Vuoden 2024 jälkipuoliskolla komissio jatkoi varainhankintaa markkinoilta käyttämällä yhdistettyä varainhankintamenetelmäänsä. Sen lisäksi, että kaikki maksusitoumukset täytettiin ajallaan, liikkeeseen laskettujen joukkolainojen määrät ja maturiteetit pysyivät ennalta asetettujen parametrien rajoissa ja rahoitusehdot olivat linjassa EU:n kokoon ja luottoluokitukseen nähden. Seuraavissa jaksoissa esitellään joitakin komission vuoden 2024 jälkipuoliskolla toteuttamien lainanotto- ja lainanantotoimien keskeisiä osatekijöitä. Muita komission varainhankintastrategian täytäntöönpanon seurantaan käytettäviä indikaattoreita käsitellään tämän kertomuksen liitteessä.</w:t>
      </w:r>
    </w:p>
    <w:p w14:paraId="0C7AA257" w14:textId="105F20BE" w:rsidR="005D6F11" w:rsidRPr="000123E4" w:rsidRDefault="003926DF" w:rsidP="002703F1">
      <w:pPr>
        <w:pStyle w:val="Heading2"/>
        <w:rPr>
          <w:noProof/>
        </w:rPr>
      </w:pPr>
      <w:bookmarkStart w:id="11" w:name="_Toc170294782"/>
      <w:bookmarkStart w:id="12" w:name="_Toc187347924"/>
      <w:bookmarkStart w:id="13" w:name="_Toc187701953"/>
      <w:bookmarkStart w:id="14" w:name="_Toc187702008"/>
      <w:bookmarkStart w:id="15" w:name="_Toc190904644"/>
      <w:bookmarkStart w:id="16" w:name="_Toc193205966"/>
      <w:r>
        <w:rPr>
          <w:noProof/>
        </w:rPr>
        <w:t>Varainhankintatoimien toteuttaminen vuoden 2024 jälkipuoliskolla</w:t>
      </w:r>
      <w:bookmarkEnd w:id="10"/>
      <w:bookmarkEnd w:id="11"/>
      <w:bookmarkEnd w:id="12"/>
      <w:bookmarkEnd w:id="13"/>
      <w:bookmarkEnd w:id="14"/>
      <w:bookmarkEnd w:id="15"/>
      <w:bookmarkEnd w:id="16"/>
    </w:p>
    <w:p w14:paraId="671F7083" w14:textId="21C99234" w:rsidR="0049203F" w:rsidRPr="005C4C97" w:rsidRDefault="00C95DD4" w:rsidP="0049203F">
      <w:pPr>
        <w:rPr>
          <w:noProof/>
        </w:rPr>
      </w:pPr>
      <w:bookmarkStart w:id="17" w:name="_Hlk138161421"/>
      <w:r>
        <w:rPr>
          <w:noProof/>
        </w:rPr>
        <w:t>Komissio keräsi ajanjaksoa 1. heinäkuuta</w:t>
      </w:r>
      <w:r w:rsidR="0088722D">
        <w:rPr>
          <w:rFonts w:ascii="Calibri" w:hAnsi="Calibri" w:cs="Calibri"/>
          <w:noProof/>
        </w:rPr>
        <w:t> </w:t>
      </w:r>
      <w:r>
        <w:rPr>
          <w:noProof/>
        </w:rPr>
        <w:t>–</w:t>
      </w:r>
      <w:r w:rsidR="0088722D">
        <w:rPr>
          <w:rFonts w:ascii="Calibri" w:hAnsi="Calibri" w:cs="Calibri"/>
          <w:noProof/>
        </w:rPr>
        <w:t> </w:t>
      </w:r>
      <w:r>
        <w:rPr>
          <w:noProof/>
        </w:rPr>
        <w:t xml:space="preserve">31. joulukuuta 2024 koskevan varainhankintasuunnitelman mukaisesti yhteensä 64,3 miljardia euroa EU:n joukkolainoilla, joiden keskimääräinen maturiteetti oli noin 12 vuotta (vuoden 2024 alkupuoliskolla kerättyjen varojen maturiteetti oli noin 14 vuotta). </w:t>
      </w:r>
      <w:r>
        <w:rPr>
          <w:noProof/>
          <w:color w:val="000000" w:themeColor="text1"/>
        </w:rPr>
        <w:t>Vuoden 2024 jälkipuoliskolla NextGenerationEU-välineen vihreiden joukkolainojen liikkeeseenlaskulla kerättiin 8 miljardia euroa, ja liikkeessä olevien vihreiden joukkolainojen kokonaisarvo kasvoi 68,2 miljardiin euroon. Näin ollen EU on maailman viidenneksi suurin vihreiden joukkolainojen liikkeeseenlaskija.</w:t>
      </w:r>
    </w:p>
    <w:p w14:paraId="3C2C3758" w14:textId="11EC2F1C" w:rsidR="0049203F" w:rsidRDefault="0049203F" w:rsidP="0049203F">
      <w:pPr>
        <w:rPr>
          <w:noProof/>
        </w:rPr>
      </w:pPr>
      <w:r>
        <w:rPr>
          <w:noProof/>
        </w:rPr>
        <w:t xml:space="preserve">Komissio käytti neljän syndikoidun liikkeeseenlaskun (58 % kerätystä määrästä) ja kahdeksan huutokaupan (42 % kerätystä määrästä) yhdistelmää ilmoitetun tavoitteen mukaisesti. EU:n joukkolainoja laskettiin puolivuotiskauden aikana liikkeeseen säännöllisin väliajoin siten, että markkinoiden likviditeettitilanne otettiin huomioon ja samalla varmistettiin säännöllinen läsnäolo markkinoilla. </w:t>
      </w:r>
    </w:p>
    <w:p w14:paraId="5C7794E5" w14:textId="77777777" w:rsidR="00EB47DD" w:rsidRDefault="00EB47DD" w:rsidP="0049203F">
      <w:pPr>
        <w:rPr>
          <w:noProof/>
        </w:rPr>
      </w:pPr>
    </w:p>
    <w:p w14:paraId="5C86CE36" w14:textId="6C2FF610" w:rsidR="00BA3133" w:rsidRPr="009428DB" w:rsidRDefault="00BA3133" w:rsidP="00810A51">
      <w:pPr>
        <w:rPr>
          <w:b/>
          <w:bCs/>
          <w:noProof/>
          <w:color w:val="034EA2" w:themeColor="accent1"/>
        </w:rPr>
      </w:pPr>
      <w:bookmarkStart w:id="18" w:name="_Hlk169095317"/>
      <w:r>
        <w:rPr>
          <w:b/>
          <w:noProof/>
          <w:color w:val="034EA2" w:themeColor="accent1"/>
        </w:rPr>
        <w:t>Kaavio 2: Yhdistetyllä varainhankintamenetelmällä kerätty rahoitus</w:t>
      </w:r>
    </w:p>
    <w:p w14:paraId="0796846D" w14:textId="5B521122" w:rsidR="00EB47DD" w:rsidRDefault="00702BA4" w:rsidP="009428DB">
      <w:pPr>
        <w:rPr>
          <w:noProof/>
          <w:color w:val="3B3838" w:themeColor="background2" w:themeShade="40"/>
          <w:sz w:val="18"/>
          <w:szCs w:val="18"/>
        </w:rPr>
      </w:pPr>
      <w:r w:rsidRPr="00702BA4">
        <w:rPr>
          <w:noProof/>
          <w:lang w:val="en-GB" w:eastAsia="en-GB"/>
        </w:rPr>
        <w:drawing>
          <wp:inline distT="0" distB="0" distL="0" distR="0" wp14:anchorId="45AA7232" wp14:editId="19ED5281">
            <wp:extent cx="5638800" cy="2853055"/>
            <wp:effectExtent l="0" t="0" r="0" b="0"/>
            <wp:docPr id="548580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43526" cy="2855446"/>
                    </a:xfrm>
                    <a:prstGeom prst="rect">
                      <a:avLst/>
                    </a:prstGeom>
                    <a:noFill/>
                    <a:ln>
                      <a:noFill/>
                    </a:ln>
                  </pic:spPr>
                </pic:pic>
              </a:graphicData>
            </a:graphic>
          </wp:inline>
        </w:drawing>
      </w:r>
    </w:p>
    <w:p w14:paraId="480514B6" w14:textId="06E16302" w:rsidR="009428DB" w:rsidRPr="009428DB" w:rsidRDefault="009428DB" w:rsidP="009428DB">
      <w:pPr>
        <w:rPr>
          <w:noProof/>
          <w:color w:val="3B3838" w:themeColor="background2" w:themeShade="40"/>
          <w:sz w:val="18"/>
          <w:szCs w:val="18"/>
        </w:rPr>
      </w:pPr>
      <w:r>
        <w:rPr>
          <w:noProof/>
          <w:color w:val="3B3838" w:themeColor="background2" w:themeShade="40"/>
          <w:sz w:val="18"/>
        </w:rPr>
        <w:t>* Kaksi ensimmäistä NextGenerationEU-transaktiota toteutettiin kesäkuussa 2021. Nämä on sisällytetty vuoden 2021 jälkipuoliskon lukuun, sillä ne kuuluivat samaan varainhankintasuunnitelmaan kuin vuoden 2021 jälkipuoliskolla toteutetut transaktiot.</w:t>
      </w:r>
    </w:p>
    <w:bookmarkEnd w:id="18"/>
    <w:p w14:paraId="05F85E31" w14:textId="77777777" w:rsidR="009428DB" w:rsidRPr="005C4C97" w:rsidRDefault="009428DB" w:rsidP="009428DB">
      <w:pPr>
        <w:jc w:val="right"/>
        <w:rPr>
          <w:noProof/>
          <w:color w:val="595959" w:themeColor="text1" w:themeTint="A6"/>
          <w:sz w:val="18"/>
          <w:szCs w:val="18"/>
        </w:rPr>
      </w:pPr>
      <w:r>
        <w:rPr>
          <w:i/>
          <w:noProof/>
          <w:color w:val="595959" w:themeColor="text1" w:themeTint="A6"/>
          <w:sz w:val="18"/>
        </w:rPr>
        <w:t>Kaikki määrät miljardeina euroina</w:t>
      </w:r>
    </w:p>
    <w:p w14:paraId="5938BA3D" w14:textId="5F3565CE" w:rsidR="002469E9" w:rsidRPr="00B40F65" w:rsidRDefault="002469E9" w:rsidP="002469E9">
      <w:pPr>
        <w:rPr>
          <w:noProof/>
        </w:rPr>
      </w:pPr>
      <w:bookmarkStart w:id="19" w:name="_Hlk156564741"/>
      <w:bookmarkStart w:id="20" w:name="_Hlk155181535"/>
      <w:bookmarkStart w:id="21" w:name="_Hlk169518262"/>
      <w:bookmarkStart w:id="22" w:name="_Hlk139454398"/>
      <w:r>
        <w:rPr>
          <w:noProof/>
        </w:rPr>
        <w:t xml:space="preserve">Vuoden 2024 jälkipuoliskolla toteutettujen transaktioiden seurauksena liikkeessä olevien EU:n joukkolainojen kokonaismäärä kasvoi 578,2 miljardiin euroon. Määrästä 430,4 miljardia euroa laskettiin liikkeeseen kesäkuussa 2021 käynnistetyn EU:n yhtenäisen varainhankintastrategian mukaisesti. Viimeksi mainitusta määrästä </w:t>
      </w:r>
      <w:bookmarkStart w:id="23" w:name="_Hlk158104850"/>
      <w:bookmarkEnd w:id="19"/>
      <w:r>
        <w:rPr>
          <w:noProof/>
        </w:rPr>
        <w:t>68,2 miljardia euroa laskettiin liikkeeseen NextGenerationEU-välineen vihreinä joukkolainoina.</w:t>
      </w:r>
      <w:bookmarkEnd w:id="20"/>
      <w:r>
        <w:rPr>
          <w:noProof/>
        </w:rPr>
        <w:t xml:space="preserve"> </w:t>
      </w:r>
    </w:p>
    <w:bookmarkEnd w:id="21"/>
    <w:bookmarkEnd w:id="23"/>
    <w:p w14:paraId="737E3432" w14:textId="5D3202AB" w:rsidR="00542EFD" w:rsidRDefault="002469E9" w:rsidP="005D6F11">
      <w:pPr>
        <w:rPr>
          <w:noProof/>
        </w:rPr>
      </w:pPr>
      <w:r>
        <w:rPr>
          <w:noProof/>
        </w:rPr>
        <w:t>Vuoden 2024 jälkipuoliskolla komissio laski liikkeeseen myös EU:n kolmen ja kuuden kuukauden velkasitoumuksia kaksi kertaa kuukaudessa järjestettävissä huutokaupoissa lyhyen aikavälin varainhankintatarpeiden täyttämiseksi. EU:lla oli joulukuun 2024 lopussa liikkeessä 23,1 miljardia euroa velkaa EU:n velkasitoumusten kautta.</w:t>
      </w:r>
      <w:bookmarkEnd w:id="22"/>
    </w:p>
    <w:p w14:paraId="6E7825A0" w14:textId="77777777" w:rsidR="001C6C43" w:rsidRPr="0089479A" w:rsidRDefault="001C6C43" w:rsidP="005D6F11">
      <w:pPr>
        <w:rPr>
          <w:noProof/>
        </w:rPr>
      </w:pPr>
    </w:p>
    <w:p w14:paraId="1BBD1ABF" w14:textId="66D9714C" w:rsidR="003926DF" w:rsidRPr="000123E4" w:rsidRDefault="003926DF" w:rsidP="005971A7">
      <w:pPr>
        <w:pStyle w:val="Heading2"/>
        <w:rPr>
          <w:noProof/>
        </w:rPr>
      </w:pPr>
      <w:bookmarkStart w:id="24" w:name="_Toc169303167"/>
      <w:bookmarkStart w:id="25" w:name="_Toc170294783"/>
      <w:bookmarkStart w:id="26" w:name="_Toc187347925"/>
      <w:bookmarkStart w:id="27" w:name="_Toc187701954"/>
      <w:bookmarkStart w:id="28" w:name="_Toc187702009"/>
      <w:bookmarkStart w:id="29" w:name="_Toc190904645"/>
      <w:bookmarkStart w:id="30" w:name="_Toc193205967"/>
      <w:bookmarkStart w:id="31" w:name="_Hlk169127536"/>
      <w:bookmarkEnd w:id="17"/>
      <w:r>
        <w:rPr>
          <w:noProof/>
        </w:rPr>
        <w:t>Suoritetut maksut</w:t>
      </w:r>
      <w:bookmarkEnd w:id="24"/>
      <w:bookmarkEnd w:id="25"/>
      <w:bookmarkEnd w:id="26"/>
      <w:bookmarkEnd w:id="27"/>
      <w:bookmarkEnd w:id="28"/>
      <w:bookmarkEnd w:id="29"/>
      <w:bookmarkEnd w:id="30"/>
    </w:p>
    <w:p w14:paraId="57EC12A0" w14:textId="643FD7DD" w:rsidR="00083C92" w:rsidRDefault="00DC2305" w:rsidP="009536A9">
      <w:pPr>
        <w:rPr>
          <w:noProof/>
        </w:rPr>
      </w:pPr>
      <w:bookmarkStart w:id="32" w:name="_Hlk187329427"/>
      <w:r>
        <w:rPr>
          <w:noProof/>
        </w:rPr>
        <w:t>Näiden toimien ansiosta komissio jatkoi jäsenvaltioiden elpymis- ja palautumissuunnitelmien rahoittamista maksamalla varat ajallaan (kuuden työpäivän kuluessa).</w:t>
      </w:r>
      <w:bookmarkEnd w:id="32"/>
    </w:p>
    <w:p w14:paraId="6FF8005B" w14:textId="651FAA6E" w:rsidR="005C414E" w:rsidRPr="00715042" w:rsidRDefault="002C0915" w:rsidP="005C414E">
      <w:pPr>
        <w:rPr>
          <w:noProof/>
        </w:rPr>
      </w:pPr>
      <w:r>
        <w:rPr>
          <w:noProof/>
        </w:rPr>
        <w:t>Komissio maksoi vuoden 2024 jälkipuoliskolla yhteensä noin 78,5 miljardia euroa kaikkiin toimintapolitiikkoihin. Se rahoitti maksut osittain jo vuoden 2024 alkupuoliskolla kerätyillä varoilla. Tänä aikana kerätyistä varoista 72,2 miljardia euroa käytettiin NextGenerationEU-välineen rahoittamiseen. Määrästä 61,7 miljardia euroa käytettiin rahoittamaan jäsenvaltioiden elpymis- ja palautumissuunnitelmia elpymis- ja palautumistukivälineestä. Tästä summasta puolestaan maksettiin 37,2 miljardia euroa avustuksina 15 jäsenvaltiolle ja myönnettiin 24,5 miljardia euroa lainoina yhdeksälle jäsenvaltiolle. Loput 10,5 miljardia euroa käytettiin NextGenerationEU-välineestä tuettavien, EU:n hallinnoimien ohjelmien rahoittamiseen.</w:t>
      </w:r>
      <w:r w:rsidR="005C414E" w:rsidRPr="00A1028E">
        <w:rPr>
          <w:noProof/>
          <w:vertAlign w:val="superscript"/>
          <w:lang w:val="en-GB"/>
        </w:rPr>
        <w:footnoteReference w:id="8"/>
      </w:r>
    </w:p>
    <w:p w14:paraId="1832A5BC" w14:textId="56217C6B" w:rsidR="005C414E" w:rsidRPr="00877CA0" w:rsidRDefault="005C414E" w:rsidP="005C414E">
      <w:pPr>
        <w:rPr>
          <w:noProof/>
        </w:rPr>
      </w:pPr>
      <w:r>
        <w:rPr>
          <w:noProof/>
        </w:rPr>
        <w:t>Komissio on kesästä 2021 lähtien maksanut kaikkiaan 375,4 miljardia euroa NextGenerationEU-välineen tukemiseksi. Tämä sisältää 197,4 miljardia euroa avustuksina ja 108,7 miljardia euroa lainoina jäsenvaltioille elpymis- ja palautumistukivälineen puitteissa ja 69,3 miljardia euroa EU:n hallinnoimille NextGenerationEU-ohjelmille. NextGenerationEU-välineen 375,4 miljardin euron kokonaistuesta 365,8 miljardia euroa on rahoitettu laskemalla liikkeeseen velkaa.</w:t>
      </w:r>
      <w:r w:rsidRPr="000123E4">
        <w:rPr>
          <w:noProof/>
          <w:vertAlign w:val="superscript"/>
          <w:lang w:val="en-GB"/>
        </w:rPr>
        <w:footnoteReference w:id="9"/>
      </w:r>
    </w:p>
    <w:p w14:paraId="1FF529FF" w14:textId="4A5B5233" w:rsidR="00542EFD" w:rsidRDefault="005C414E" w:rsidP="00DC2305">
      <w:pPr>
        <w:rPr>
          <w:noProof/>
        </w:rPr>
      </w:pPr>
      <w:r>
        <w:rPr>
          <w:noProof/>
        </w:rPr>
        <w:t xml:space="preserve">NextGenerationEU-välineen maksujen lisäksi komissio maksoi Ukrainalle vuoden 2024 jälkipuoliskolla Ukrainan tukivälineestä 5,2 miljardia euroa, joten Ukrainan tukivälineestä maksettiin vuonna 2024 yhteensä 13,1 miljardia euroa. Vuoden 2024 jälkipuoliskolla EU:n joukkolainojen liikkeeseenlaskusta rahoitettiin myös makrotaloudellisen rahoitusavun lainoja 1 miljardi euroa Egyptille ja 95 miljoonaa euroa Moldovalle. </w:t>
      </w:r>
    </w:p>
    <w:p w14:paraId="6FEE8558" w14:textId="77777777" w:rsidR="003E4BE8" w:rsidRPr="0089479A" w:rsidRDefault="003E4BE8" w:rsidP="00DC2305">
      <w:pPr>
        <w:rPr>
          <w:noProof/>
        </w:rPr>
      </w:pPr>
    </w:p>
    <w:p w14:paraId="53F3E1A0" w14:textId="3EDC669F" w:rsidR="003926DF" w:rsidRPr="000123E4" w:rsidRDefault="00352DCC" w:rsidP="00A87F59">
      <w:pPr>
        <w:pStyle w:val="Heading2"/>
        <w:rPr>
          <w:noProof/>
        </w:rPr>
      </w:pPr>
      <w:bookmarkStart w:id="33" w:name="_Toc169303168"/>
      <w:bookmarkStart w:id="34" w:name="_Toc170294784"/>
      <w:bookmarkStart w:id="35" w:name="_Toc187347926"/>
      <w:bookmarkStart w:id="36" w:name="_Toc187701955"/>
      <w:bookmarkStart w:id="37" w:name="_Toc187702010"/>
      <w:bookmarkStart w:id="38" w:name="_Toc190904646"/>
      <w:bookmarkStart w:id="39" w:name="_Toc193205968"/>
      <w:bookmarkEnd w:id="31"/>
      <w:r>
        <w:rPr>
          <w:noProof/>
        </w:rPr>
        <w:t>Sijoittajakysyntä ja jälkimarkkinoiden likviditeetti</w:t>
      </w:r>
      <w:bookmarkEnd w:id="33"/>
      <w:bookmarkEnd w:id="34"/>
      <w:bookmarkEnd w:id="35"/>
      <w:bookmarkEnd w:id="36"/>
      <w:bookmarkEnd w:id="37"/>
      <w:bookmarkEnd w:id="38"/>
      <w:bookmarkEnd w:id="39"/>
    </w:p>
    <w:p w14:paraId="15738A70" w14:textId="3DFB2EC6" w:rsidR="00216746" w:rsidRDefault="00556A0B" w:rsidP="00216746">
      <w:pPr>
        <w:rPr>
          <w:noProof/>
        </w:rPr>
      </w:pPr>
      <w:bookmarkStart w:id="40" w:name="_Hlk139454867"/>
      <w:r>
        <w:rPr>
          <w:noProof/>
        </w:rPr>
        <w:t>EU:n joukkolainojen liikkeeseenlaskuihin kohdistui edelleen tasapainoisen ja monipuolisen maailmanlaajuisen sijoittajapohjan</w:t>
      </w:r>
      <w:r w:rsidR="00216746" w:rsidRPr="000123E4">
        <w:rPr>
          <w:noProof/>
          <w:vertAlign w:val="superscript"/>
          <w:lang w:val="en-GB"/>
        </w:rPr>
        <w:footnoteReference w:id="10"/>
      </w:r>
      <w:r>
        <w:rPr>
          <w:noProof/>
        </w:rPr>
        <w:t xml:space="preserve"> kysyntää.</w:t>
      </w:r>
    </w:p>
    <w:p w14:paraId="340E80F0" w14:textId="1F6352D4" w:rsidR="00387E02" w:rsidRPr="0089479A" w:rsidRDefault="00387E02">
      <w:pPr>
        <w:spacing w:line="259" w:lineRule="auto"/>
        <w:jc w:val="left"/>
        <w:rPr>
          <w:b/>
          <w:bCs/>
          <w:noProof/>
          <w:color w:val="034EA2" w:themeColor="accent1"/>
        </w:rPr>
      </w:pPr>
    </w:p>
    <w:p w14:paraId="41A81828" w14:textId="7371C4F1" w:rsidR="00EF6F31" w:rsidRDefault="00EF6F31" w:rsidP="00216746">
      <w:pPr>
        <w:rPr>
          <w:b/>
          <w:bCs/>
          <w:noProof/>
          <w:color w:val="034EA2" w:themeColor="accent1"/>
        </w:rPr>
      </w:pPr>
      <w:r>
        <w:rPr>
          <w:b/>
          <w:noProof/>
          <w:color w:val="034EA2" w:themeColor="accent1"/>
        </w:rPr>
        <w:t>Kaavio 3: Sijoittajien jakautuminen vuoden 2024 jälkipuoliskolla toteutetuissa syndikoiduissa transaktioissa</w:t>
      </w:r>
    </w:p>
    <w:p w14:paraId="718C1DF1" w14:textId="3CC16C21" w:rsidR="00D52047" w:rsidRPr="00D52047" w:rsidRDefault="00702BA4" w:rsidP="00D52047">
      <w:pPr>
        <w:spacing w:after="0"/>
        <w:jc w:val="left"/>
        <w:rPr>
          <w:rFonts w:ascii="Times New Roman" w:eastAsia="Times New Roman" w:hAnsi="Times New Roman"/>
          <w:noProof/>
          <w:sz w:val="24"/>
        </w:rPr>
      </w:pPr>
      <w:r w:rsidRPr="00702BA4">
        <w:rPr>
          <w:noProof/>
          <w:lang w:val="en-GB" w:eastAsia="en-GB"/>
        </w:rPr>
        <w:drawing>
          <wp:inline distT="0" distB="0" distL="0" distR="0" wp14:anchorId="787C9635" wp14:editId="214059CA">
            <wp:extent cx="5384800" cy="3505200"/>
            <wp:effectExtent l="0" t="0" r="0" b="0"/>
            <wp:docPr id="597043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84800" cy="3505200"/>
                    </a:xfrm>
                    <a:prstGeom prst="rect">
                      <a:avLst/>
                    </a:prstGeom>
                    <a:noFill/>
                    <a:ln>
                      <a:noFill/>
                    </a:ln>
                  </pic:spPr>
                </pic:pic>
              </a:graphicData>
            </a:graphic>
          </wp:inline>
        </w:drawing>
      </w:r>
    </w:p>
    <w:p w14:paraId="1884B3F8" w14:textId="2013A6B3" w:rsidR="00965EC1" w:rsidRPr="00FE2382" w:rsidRDefault="00EC7AB7" w:rsidP="00FE2382">
      <w:pPr>
        <w:spacing w:after="0"/>
        <w:jc w:val="left"/>
        <w:rPr>
          <w:rFonts w:ascii="Times New Roman" w:eastAsia="Times New Roman" w:hAnsi="Times New Roman"/>
          <w:noProof/>
          <w:sz w:val="24"/>
        </w:rPr>
      </w:pPr>
      <w:r w:rsidRPr="00EC7AB7">
        <w:rPr>
          <w:noProof/>
          <w:lang w:val="en-GB" w:eastAsia="en-GB"/>
        </w:rPr>
        <w:drawing>
          <wp:inline distT="0" distB="0" distL="0" distR="0" wp14:anchorId="7836D826" wp14:editId="1299A7BD">
            <wp:extent cx="5731510" cy="2708275"/>
            <wp:effectExtent l="0" t="0" r="0" b="0"/>
            <wp:docPr id="1199803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1510" cy="2708275"/>
                    </a:xfrm>
                    <a:prstGeom prst="rect">
                      <a:avLst/>
                    </a:prstGeom>
                    <a:noFill/>
                    <a:ln>
                      <a:noFill/>
                    </a:ln>
                  </pic:spPr>
                </pic:pic>
              </a:graphicData>
            </a:graphic>
          </wp:inline>
        </w:drawing>
      </w:r>
    </w:p>
    <w:p w14:paraId="534A4C4D" w14:textId="77777777" w:rsidR="00FE2382" w:rsidRPr="000123E4" w:rsidRDefault="00FE2382" w:rsidP="00216746">
      <w:pPr>
        <w:rPr>
          <w:noProof/>
          <w:lang w:val="en-GB"/>
        </w:rPr>
      </w:pPr>
    </w:p>
    <w:p w14:paraId="5AEE9404" w14:textId="3D909477" w:rsidR="00F81553" w:rsidRPr="00B2444A" w:rsidRDefault="008979B0" w:rsidP="00B2444A">
      <w:pPr>
        <w:rPr>
          <w:noProof/>
        </w:rPr>
      </w:pPr>
      <w:bookmarkStart w:id="42" w:name="_Hlk169094028"/>
      <w:bookmarkEnd w:id="40"/>
      <w:r>
        <w:rPr>
          <w:noProof/>
        </w:rPr>
        <w:t>Sijoittajien huojennuksena vaatima uusi liikkeeseenlaskupreemio (NIP)</w:t>
      </w:r>
      <w:r w:rsidR="002835C6" w:rsidRPr="00F81553">
        <w:rPr>
          <w:noProof/>
          <w:vertAlign w:val="superscript"/>
          <w:lang w:val="en-GB"/>
        </w:rPr>
        <w:footnoteReference w:id="11"/>
      </w:r>
      <w:r>
        <w:rPr>
          <w:noProof/>
        </w:rPr>
        <w:t xml:space="preserve"> </w:t>
      </w:r>
      <w:bookmarkStart w:id="43" w:name="_Hlk170294116"/>
      <w:bookmarkEnd w:id="42"/>
      <w:r>
        <w:rPr>
          <w:noProof/>
        </w:rPr>
        <w:t>EU:n syndikoidusti liikkeeseen laskemissa joukkolainoissa oli vuoden 2024 jälkipuoliskolla noin 2,1 peruspistettä. Se oli enemmän kuin vuoden 2024 alkupuoliskolla (jolloin keskimääräinen NIP oli noin 1,2 peruspistettä), mutta vuoden 2024 jälkipuoliskon tasot olivat edelleen samaa luokkaa kuin muiden liikkeeseenlaskijoiden preemiot vertailukelpoisissa transaktioissa (koolla ja maturiteetilla mitattuna). Tämä kuvasti vuoden 2024 kolmannen neljänneksen suurempaa volatiliteettia.</w:t>
      </w:r>
    </w:p>
    <w:bookmarkEnd w:id="43"/>
    <w:p w14:paraId="10C2D56C" w14:textId="5AC148BA" w:rsidR="00733125" w:rsidRDefault="00733125" w:rsidP="00733125">
      <w:pPr>
        <w:rPr>
          <w:noProof/>
        </w:rPr>
      </w:pPr>
      <w:r>
        <w:rPr>
          <w:noProof/>
        </w:rPr>
        <w:t xml:space="preserve">Samaan aikaan EU:n joukkolainojen jälkimarkkinalikviditeetti oli vuoden 2024 jälkipuoliskolla hieman suurempi kuin vuoden 2024 alkupuoliskolla. Marraskuusta 2023 lähtien käytössä olleet hintatarjousjärjestelyt (joissa EU:n päämarkkinatakaajia kannustetaan julkaisemaan luotettavia EU:n joukkolainojen hintoja johtavilla sähköisillä joukkolainojen kaupankäyntialustoilla) tukivat edelleen EU:n joukkolainojen likviditeettiä. Näiden noteerausjärjestelyjen käyttöönoton jälkeen EU:n joukkolainojen päivittäiset kaupankäyntimäärät tärkeimmässä sähköisessä kaupankäyntijärjestelmässä olivat keskimäärin selvästi yli 800 miljoonaa euroa, ja huippupäivien volyymit olivat yli 2 miljardia euroa. </w:t>
      </w:r>
    </w:p>
    <w:p w14:paraId="6E25AEA9" w14:textId="03709D5A" w:rsidR="001077F9" w:rsidRPr="00036A47" w:rsidRDefault="00733125" w:rsidP="00CE068C">
      <w:pPr>
        <w:rPr>
          <w:noProof/>
          <w:highlight w:val="yellow"/>
        </w:rPr>
      </w:pPr>
      <w:r>
        <w:rPr>
          <w:noProof/>
        </w:rPr>
        <w:t>Komissio tuki myös EU:n joukkolainojen käyrän likviditeettiä hyödyntämällä olemassa olevia varainhankintajärjestelyjä ja luomalla uusia varainhankintajärjestelyjä ohjelmien tarpeiden ja sijoittajien kysynnän tyydyttämiseksi. Keskimääräinen liikkeessä oleva määrä EU:n joukkolainaa kohti kasvoi siten noin 14,8 miljardiin euroon vuoden 2024 lopussa, kun se vuoden 2024 alkupuoliskon lopulla oli 13 miljardia euroa. Vuoden 2024 jälkipuoliskolla otettiin myös käyttöön uusia viisi- ja seitsemänvuotisia varainhankintajärjestelyjä.</w:t>
      </w:r>
    </w:p>
    <w:p w14:paraId="7A46A9E6" w14:textId="77777777" w:rsidR="001077F9" w:rsidRPr="0077171F" w:rsidRDefault="001077F9" w:rsidP="00CE068C">
      <w:pPr>
        <w:rPr>
          <w:noProof/>
        </w:rPr>
      </w:pPr>
    </w:p>
    <w:p w14:paraId="03C83E44" w14:textId="1ACAB312" w:rsidR="009A0198" w:rsidRDefault="00EF6F31" w:rsidP="009A0198">
      <w:pPr>
        <w:rPr>
          <w:b/>
          <w:bCs/>
          <w:noProof/>
          <w:color w:val="034EA2" w:themeColor="accent1"/>
        </w:rPr>
      </w:pPr>
      <w:bookmarkStart w:id="44" w:name="_Hlk187333874"/>
      <w:r>
        <w:rPr>
          <w:b/>
          <w:noProof/>
          <w:color w:val="034EA2" w:themeColor="accent1"/>
        </w:rPr>
        <w:t>Kaavio 4: EU:n joukkolainojen ja Euroopan valtioiden joukkolainojen neljännesvuosittainen vaihto jälkimarkkinoilla (% liikkeessä olevasta määrästä)</w:t>
      </w:r>
    </w:p>
    <w:p w14:paraId="2D2CAD4A" w14:textId="1EC08243" w:rsidR="00F02986" w:rsidRPr="00A87F59" w:rsidRDefault="00036A47" w:rsidP="009A0198">
      <w:pPr>
        <w:rPr>
          <w:b/>
          <w:bCs/>
          <w:noProof/>
          <w:color w:val="034EA2" w:themeColor="accent1"/>
        </w:rPr>
      </w:pPr>
      <w:r w:rsidRPr="00036A47">
        <w:rPr>
          <w:noProof/>
          <w:lang w:val="en-GB" w:eastAsia="en-GB"/>
        </w:rPr>
        <w:drawing>
          <wp:inline distT="0" distB="0" distL="0" distR="0" wp14:anchorId="20802E17" wp14:editId="6CB2B75B">
            <wp:extent cx="5731510" cy="3275965"/>
            <wp:effectExtent l="0" t="0" r="0" b="0"/>
            <wp:docPr id="1194222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1510" cy="3275965"/>
                    </a:xfrm>
                    <a:prstGeom prst="rect">
                      <a:avLst/>
                    </a:prstGeom>
                    <a:noFill/>
                    <a:ln>
                      <a:noFill/>
                    </a:ln>
                  </pic:spPr>
                </pic:pic>
              </a:graphicData>
            </a:graphic>
          </wp:inline>
        </w:drawing>
      </w:r>
    </w:p>
    <w:bookmarkEnd w:id="44"/>
    <w:p w14:paraId="66E247E6" w14:textId="0F5B713D" w:rsidR="009A0198" w:rsidRPr="00840773" w:rsidRDefault="009A0198" w:rsidP="009A0198">
      <w:pPr>
        <w:contextualSpacing/>
        <w:rPr>
          <w:noProof/>
          <w:sz w:val="20"/>
          <w:szCs w:val="20"/>
        </w:rPr>
      </w:pPr>
      <w:r>
        <w:rPr>
          <w:i/>
          <w:noProof/>
          <w:sz w:val="20"/>
        </w:rPr>
        <w:t>Lähde:</w:t>
      </w:r>
      <w:r>
        <w:rPr>
          <w:noProof/>
          <w:sz w:val="20"/>
        </w:rPr>
        <w:t xml:space="preserve"> Euroopan komissio, talous- ja rahoituskomitean EU:n valtionvelkamarkkinoita käsittelevän alakomitean (ESDM) tietojen pohjalta. </w:t>
      </w:r>
    </w:p>
    <w:p w14:paraId="3A754BF0" w14:textId="023C5879" w:rsidR="00B60214" w:rsidRDefault="009A0198" w:rsidP="009A0198">
      <w:pPr>
        <w:contextualSpacing/>
        <w:rPr>
          <w:noProof/>
          <w:sz w:val="20"/>
          <w:szCs w:val="20"/>
        </w:rPr>
      </w:pPr>
      <w:r>
        <w:rPr>
          <w:noProof/>
          <w:sz w:val="20"/>
        </w:rPr>
        <w:t>Huomautus: Euroopan valtioiden joukkolainojen markkinat käsittävät tässä yhteydessä euroalueen valtioiden, Euroopan rahoitusvakausrahaston ja Euroopan vakausmekanismin liikkeeseen laskemat joukkolainat. Vuoden 2024 kolmannen ja viimeisen neljänneksen tietoja ei ole vielä saatavilla.</w:t>
      </w:r>
    </w:p>
    <w:p w14:paraId="74E89C11" w14:textId="77777777" w:rsidR="00B60214" w:rsidRDefault="00B60214" w:rsidP="009A0198">
      <w:pPr>
        <w:contextualSpacing/>
        <w:rPr>
          <w:noProof/>
          <w:sz w:val="20"/>
          <w:szCs w:val="20"/>
        </w:rPr>
      </w:pPr>
    </w:p>
    <w:p w14:paraId="0260D5D1" w14:textId="1D8DEE60" w:rsidR="00E81087" w:rsidRPr="00A87F59" w:rsidRDefault="00DB3549" w:rsidP="00A87F59">
      <w:pPr>
        <w:pStyle w:val="Heading1"/>
        <w:rPr>
          <w:noProof/>
        </w:rPr>
      </w:pPr>
      <w:bookmarkStart w:id="45" w:name="_Toc193205969"/>
      <w:r>
        <w:rPr>
          <w:noProof/>
        </w:rPr>
        <w:t>Varainhankintakustannukset ja likviditeettisaldot</w:t>
      </w:r>
      <w:bookmarkEnd w:id="45"/>
    </w:p>
    <w:p w14:paraId="6EB8EACA" w14:textId="2859BED3" w:rsidR="001D0900" w:rsidRPr="007B6993" w:rsidRDefault="001D0900" w:rsidP="00A87F59">
      <w:pPr>
        <w:pStyle w:val="Heading2"/>
        <w:rPr>
          <w:noProof/>
        </w:rPr>
      </w:pPr>
      <w:bookmarkStart w:id="46" w:name="_Toc187701957"/>
      <w:bookmarkStart w:id="47" w:name="_Toc187702012"/>
      <w:bookmarkStart w:id="48" w:name="_Toc190904648"/>
      <w:bookmarkStart w:id="49" w:name="_Toc193205970"/>
      <w:r>
        <w:rPr>
          <w:noProof/>
        </w:rPr>
        <w:t>Varainhankintakustannukset</w:t>
      </w:r>
      <w:bookmarkEnd w:id="46"/>
      <w:bookmarkEnd w:id="47"/>
      <w:bookmarkEnd w:id="48"/>
      <w:bookmarkEnd w:id="49"/>
    </w:p>
    <w:p w14:paraId="5D65988D" w14:textId="2BB43FAA" w:rsidR="00943313" w:rsidRDefault="00943313" w:rsidP="00035235">
      <w:pPr>
        <w:rPr>
          <w:noProof/>
        </w:rPr>
      </w:pPr>
      <w:r>
        <w:rPr>
          <w:noProof/>
        </w:rPr>
        <w:t>Monipuolisen varainhankintastrategian mukaisen kustannustenjakomenetelmän avulla komissio voi yhdistää edunsaajilta (EU:n talousarvio tai lainansaajat) veloitettavat rahoituskustannukset ehtoihin, jotka markkinoilla olivat voimassa maksujen rahoitushetkellä.</w:t>
      </w:r>
      <w:r w:rsidR="009E499F" w:rsidRPr="007653FA">
        <w:rPr>
          <w:noProof/>
          <w:vertAlign w:val="superscript"/>
          <w:lang w:val="en-GB"/>
        </w:rPr>
        <w:footnoteReference w:id="12"/>
      </w:r>
      <w:r>
        <w:rPr>
          <w:noProof/>
        </w:rPr>
        <w:t xml:space="preserve"> Lisäksi tämä menetelmä mahdollistaa 30. syyskuuta 2024 alkaen lainanottokustannusten kohdentamisen ohjelmakohtaisin perustein. Tämä kuvastaa monipuolista varainhankintastrategiaa noudattaen ja yhdistetyn varainhankintamenetelmän mukaisesti rahoitettavien toimintapoliittisten ohjelmien määrän kasvua.  </w:t>
      </w:r>
    </w:p>
    <w:p w14:paraId="101583C3" w14:textId="6AD2041A" w:rsidR="006E1A53" w:rsidRPr="007653FA" w:rsidRDefault="000214CF" w:rsidP="000214CF">
      <w:pPr>
        <w:rPr>
          <w:noProof/>
        </w:rPr>
      </w:pPr>
      <w:r>
        <w:rPr>
          <w:noProof/>
        </w:rPr>
        <w:t>Tämän menetelmän mukaisesti NextGenerationEU-välineen maksujen varainhankintakustannuksiksi arvioidaan heinäkuusta joulukuuhun 2024 ulottuvassa aikaosiossa (jäljempänä olevassa taulukossa TC7) 2,97 prosenttia, kun ne edellisessä kuuden kuukauden aikaosiossa olivat 3,19 prosenttia. Ukrainan tukivälineen ja Egyptin makrotaloudellisen rahoitusavun ohjelman mukaisten maksujen varainhankintakustannukset olivat joulukuun 2024 lopussa 2,68 prosenttia. Näiden politiikkatoimien alhaisemmat varainhankintakustannukset NextGenerationEU-välineeseen verrattuna johtuvat siitä, että niitä voidaan rahoittaa joukkolainoilla, joiden keskimääräinen maturiteetti on lyhyempi kuin NextGenerationEU-välineen rahoittamiseen käytettyjen joukkolainojen, koska NextGenerationEU-välineen takaisinmaksuprofiilissa (ja siten keskimääräisissä maturiteeteissa) on noudatettava kohdennettua omien varojen väliaikaista enimmäismäärää.</w:t>
      </w:r>
    </w:p>
    <w:p w14:paraId="2A2B87A2" w14:textId="77777777" w:rsidR="0094369E" w:rsidRPr="0089479A" w:rsidRDefault="0094369E" w:rsidP="007B6993">
      <w:pPr>
        <w:rPr>
          <w:noProof/>
        </w:rPr>
      </w:pPr>
    </w:p>
    <w:p w14:paraId="769BE625" w14:textId="4080E997" w:rsidR="00EF6F31" w:rsidRDefault="00EF6F31" w:rsidP="007B6993">
      <w:pPr>
        <w:rPr>
          <w:b/>
          <w:bCs/>
          <w:noProof/>
          <w:color w:val="034EA2" w:themeColor="accent1"/>
        </w:rPr>
      </w:pPr>
      <w:r>
        <w:rPr>
          <w:b/>
          <w:noProof/>
          <w:color w:val="034EA2" w:themeColor="accent1"/>
        </w:rPr>
        <w:t>Kaavio 5: Varainhankintakustannukset</w:t>
      </w:r>
    </w:p>
    <w:tbl>
      <w:tblPr>
        <w:tblStyle w:val="TableGrid"/>
        <w:tblW w:w="9242"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5"/>
        <w:gridCol w:w="1013"/>
        <w:gridCol w:w="1014"/>
        <w:gridCol w:w="1014"/>
        <w:gridCol w:w="1014"/>
        <w:gridCol w:w="1014"/>
        <w:gridCol w:w="1014"/>
        <w:gridCol w:w="1014"/>
      </w:tblGrid>
      <w:tr w:rsidR="0094369E" w:rsidRPr="00B74A66" w14:paraId="34967047" w14:textId="5B58EB9C" w:rsidTr="00515408">
        <w:trPr>
          <w:trHeight w:val="415"/>
        </w:trPr>
        <w:tc>
          <w:tcPr>
            <w:tcW w:w="2145" w:type="dxa"/>
            <w:vMerge w:val="restart"/>
            <w:shd w:val="clear" w:color="auto" w:fill="034EA2" w:themeFill="accent1"/>
            <w:vAlign w:val="center"/>
          </w:tcPr>
          <w:p w14:paraId="4EFAAE64" w14:textId="52D2C32D" w:rsidR="0094369E" w:rsidRDefault="0094369E" w:rsidP="0094369E">
            <w:pPr>
              <w:jc w:val="center"/>
              <w:rPr>
                <w:b/>
                <w:bCs/>
                <w:noProof/>
                <w:color w:val="FFFFFF" w:themeColor="background1"/>
              </w:rPr>
            </w:pPr>
            <w:r>
              <w:rPr>
                <w:b/>
                <w:noProof/>
                <w:color w:val="FFFFFF" w:themeColor="background1"/>
              </w:rPr>
              <w:t>NextGenerationEU</w:t>
            </w:r>
          </w:p>
        </w:tc>
        <w:tc>
          <w:tcPr>
            <w:tcW w:w="1013" w:type="dxa"/>
            <w:shd w:val="clear" w:color="auto" w:fill="034EA2" w:themeFill="accent1"/>
            <w:vAlign w:val="center"/>
            <w:hideMark/>
          </w:tcPr>
          <w:p w14:paraId="5C0F100C" w14:textId="219E3F9A" w:rsidR="0094369E" w:rsidRPr="00B74A66" w:rsidRDefault="0094369E">
            <w:pPr>
              <w:jc w:val="center"/>
              <w:rPr>
                <w:b/>
                <w:bCs/>
                <w:noProof/>
                <w:color w:val="FFFFFF" w:themeColor="background1"/>
              </w:rPr>
            </w:pPr>
            <w:r>
              <w:rPr>
                <w:b/>
                <w:noProof/>
                <w:color w:val="FFFFFF" w:themeColor="background1"/>
              </w:rPr>
              <w:t>TC1</w:t>
            </w:r>
          </w:p>
        </w:tc>
        <w:tc>
          <w:tcPr>
            <w:tcW w:w="1014" w:type="dxa"/>
            <w:shd w:val="clear" w:color="auto" w:fill="034EA2" w:themeFill="accent1"/>
            <w:vAlign w:val="center"/>
            <w:hideMark/>
          </w:tcPr>
          <w:p w14:paraId="48E77872" w14:textId="271C6655" w:rsidR="0094369E" w:rsidRPr="00B74A66" w:rsidRDefault="0094369E">
            <w:pPr>
              <w:jc w:val="center"/>
              <w:rPr>
                <w:b/>
                <w:bCs/>
                <w:noProof/>
                <w:color w:val="FFFFFF" w:themeColor="background1"/>
              </w:rPr>
            </w:pPr>
            <w:r>
              <w:rPr>
                <w:b/>
                <w:noProof/>
                <w:color w:val="FFFFFF" w:themeColor="background1"/>
              </w:rPr>
              <w:t>TC2</w:t>
            </w:r>
          </w:p>
        </w:tc>
        <w:tc>
          <w:tcPr>
            <w:tcW w:w="1014" w:type="dxa"/>
            <w:shd w:val="clear" w:color="auto" w:fill="034EA2" w:themeFill="accent1"/>
            <w:vAlign w:val="center"/>
            <w:hideMark/>
          </w:tcPr>
          <w:p w14:paraId="73049051" w14:textId="34F47E55" w:rsidR="0094369E" w:rsidRPr="00B74A66" w:rsidRDefault="0094369E">
            <w:pPr>
              <w:jc w:val="center"/>
              <w:rPr>
                <w:b/>
                <w:bCs/>
                <w:noProof/>
                <w:color w:val="FFFFFF" w:themeColor="background1"/>
              </w:rPr>
            </w:pPr>
            <w:r>
              <w:rPr>
                <w:b/>
                <w:noProof/>
                <w:color w:val="FFFFFF" w:themeColor="background1"/>
              </w:rPr>
              <w:t>TC3</w:t>
            </w:r>
          </w:p>
        </w:tc>
        <w:tc>
          <w:tcPr>
            <w:tcW w:w="1014" w:type="dxa"/>
            <w:shd w:val="clear" w:color="auto" w:fill="034EA2" w:themeFill="accent1"/>
            <w:vAlign w:val="center"/>
            <w:hideMark/>
          </w:tcPr>
          <w:p w14:paraId="11216AA4" w14:textId="64D1D479" w:rsidR="0094369E" w:rsidRPr="00B74A66" w:rsidRDefault="0094369E">
            <w:pPr>
              <w:jc w:val="center"/>
              <w:rPr>
                <w:b/>
                <w:bCs/>
                <w:noProof/>
                <w:color w:val="FFFFFF" w:themeColor="background1"/>
              </w:rPr>
            </w:pPr>
            <w:r>
              <w:rPr>
                <w:b/>
                <w:noProof/>
                <w:color w:val="FFFFFF" w:themeColor="background1"/>
              </w:rPr>
              <w:t>TC4</w:t>
            </w:r>
          </w:p>
        </w:tc>
        <w:tc>
          <w:tcPr>
            <w:tcW w:w="1014" w:type="dxa"/>
            <w:shd w:val="clear" w:color="auto" w:fill="034EA2" w:themeFill="accent1"/>
            <w:vAlign w:val="center"/>
            <w:hideMark/>
          </w:tcPr>
          <w:p w14:paraId="4A04C8C1" w14:textId="573508D0" w:rsidR="0094369E" w:rsidRPr="00B74A66" w:rsidRDefault="0094369E">
            <w:pPr>
              <w:jc w:val="center"/>
              <w:rPr>
                <w:b/>
                <w:bCs/>
                <w:noProof/>
                <w:color w:val="FFFFFF" w:themeColor="background1"/>
              </w:rPr>
            </w:pPr>
            <w:r>
              <w:rPr>
                <w:b/>
                <w:noProof/>
                <w:color w:val="FFFFFF" w:themeColor="background1"/>
              </w:rPr>
              <w:t>TC5</w:t>
            </w:r>
          </w:p>
        </w:tc>
        <w:tc>
          <w:tcPr>
            <w:tcW w:w="1014" w:type="dxa"/>
            <w:shd w:val="clear" w:color="auto" w:fill="034EA2" w:themeFill="accent1"/>
            <w:vAlign w:val="center"/>
          </w:tcPr>
          <w:p w14:paraId="1B6452C8" w14:textId="35FB1F9C" w:rsidR="0094369E" w:rsidRPr="00B74A66" w:rsidRDefault="0094369E" w:rsidP="00071659">
            <w:pPr>
              <w:jc w:val="center"/>
              <w:rPr>
                <w:b/>
                <w:bCs/>
                <w:noProof/>
                <w:color w:val="FFFFFF" w:themeColor="background1"/>
              </w:rPr>
            </w:pPr>
            <w:r>
              <w:rPr>
                <w:b/>
                <w:noProof/>
                <w:color w:val="FFFFFF" w:themeColor="background1"/>
              </w:rPr>
              <w:t>TC6</w:t>
            </w:r>
          </w:p>
        </w:tc>
        <w:tc>
          <w:tcPr>
            <w:tcW w:w="1014" w:type="dxa"/>
            <w:shd w:val="clear" w:color="auto" w:fill="034EA2" w:themeFill="accent1"/>
            <w:vAlign w:val="center"/>
          </w:tcPr>
          <w:p w14:paraId="7D53A173" w14:textId="5CDEFB5D" w:rsidR="0094369E" w:rsidRDefault="0094369E" w:rsidP="008229A6">
            <w:pPr>
              <w:jc w:val="center"/>
              <w:rPr>
                <w:b/>
                <w:bCs/>
                <w:noProof/>
                <w:color w:val="FFFFFF" w:themeColor="background1"/>
              </w:rPr>
            </w:pPr>
            <w:r>
              <w:rPr>
                <w:b/>
                <w:noProof/>
                <w:color w:val="FFFFFF" w:themeColor="background1"/>
              </w:rPr>
              <w:t>TC7</w:t>
            </w:r>
          </w:p>
        </w:tc>
      </w:tr>
      <w:tr w:rsidR="0094369E" w:rsidRPr="00B74A66" w14:paraId="7F2149EF" w14:textId="0C65BA8E" w:rsidTr="00515408">
        <w:trPr>
          <w:trHeight w:val="415"/>
        </w:trPr>
        <w:tc>
          <w:tcPr>
            <w:tcW w:w="2145" w:type="dxa"/>
            <w:vMerge/>
          </w:tcPr>
          <w:p w14:paraId="7F9E03DF" w14:textId="77777777" w:rsidR="0094369E" w:rsidRPr="00B74A66" w:rsidRDefault="0094369E">
            <w:pPr>
              <w:jc w:val="center"/>
              <w:rPr>
                <w:noProof/>
                <w:color w:val="3B3838" w:themeColor="background2" w:themeShade="40"/>
              </w:rPr>
            </w:pPr>
          </w:p>
        </w:tc>
        <w:tc>
          <w:tcPr>
            <w:tcW w:w="1013" w:type="dxa"/>
            <w:vAlign w:val="center"/>
            <w:hideMark/>
          </w:tcPr>
          <w:p w14:paraId="0A5E174F" w14:textId="02011C0E" w:rsidR="0094369E" w:rsidRPr="00B74A66" w:rsidRDefault="0094369E">
            <w:pPr>
              <w:jc w:val="center"/>
              <w:rPr>
                <w:noProof/>
                <w:color w:val="3B3838" w:themeColor="background2" w:themeShade="40"/>
              </w:rPr>
            </w:pPr>
            <w:r>
              <w:rPr>
                <w:noProof/>
                <w:color w:val="3B3838" w:themeColor="background2" w:themeShade="40"/>
              </w:rPr>
              <w:t>0,15 %</w:t>
            </w:r>
          </w:p>
        </w:tc>
        <w:tc>
          <w:tcPr>
            <w:tcW w:w="1014" w:type="dxa"/>
            <w:vAlign w:val="center"/>
            <w:hideMark/>
          </w:tcPr>
          <w:p w14:paraId="56B0D810" w14:textId="2215903E" w:rsidR="0094369E" w:rsidRPr="00B74A66" w:rsidRDefault="0094369E">
            <w:pPr>
              <w:jc w:val="center"/>
              <w:rPr>
                <w:noProof/>
                <w:color w:val="3B3838" w:themeColor="background2" w:themeShade="40"/>
              </w:rPr>
            </w:pPr>
            <w:r>
              <w:rPr>
                <w:noProof/>
                <w:color w:val="3B3838" w:themeColor="background2" w:themeShade="40"/>
              </w:rPr>
              <w:t>1,38 %</w:t>
            </w:r>
          </w:p>
        </w:tc>
        <w:tc>
          <w:tcPr>
            <w:tcW w:w="1014" w:type="dxa"/>
            <w:vAlign w:val="center"/>
            <w:hideMark/>
          </w:tcPr>
          <w:p w14:paraId="595DB7A6" w14:textId="56F8C545" w:rsidR="0094369E" w:rsidRPr="00B74A66" w:rsidRDefault="0094369E">
            <w:pPr>
              <w:jc w:val="center"/>
              <w:rPr>
                <w:noProof/>
                <w:color w:val="3B3838" w:themeColor="background2" w:themeShade="40"/>
              </w:rPr>
            </w:pPr>
            <w:r>
              <w:rPr>
                <w:noProof/>
                <w:color w:val="3B3838" w:themeColor="background2" w:themeShade="40"/>
              </w:rPr>
              <w:t>2,61 %</w:t>
            </w:r>
          </w:p>
        </w:tc>
        <w:tc>
          <w:tcPr>
            <w:tcW w:w="1014" w:type="dxa"/>
            <w:vAlign w:val="center"/>
            <w:hideMark/>
          </w:tcPr>
          <w:p w14:paraId="7B5B5356" w14:textId="53E11789" w:rsidR="0094369E" w:rsidRPr="00B74A66" w:rsidRDefault="0094369E">
            <w:pPr>
              <w:jc w:val="center"/>
              <w:rPr>
                <w:noProof/>
                <w:color w:val="3B3838" w:themeColor="background2" w:themeShade="40"/>
              </w:rPr>
            </w:pPr>
            <w:r>
              <w:rPr>
                <w:noProof/>
                <w:color w:val="3B3838" w:themeColor="background2" w:themeShade="40"/>
              </w:rPr>
              <w:t>3,27 %</w:t>
            </w:r>
          </w:p>
        </w:tc>
        <w:tc>
          <w:tcPr>
            <w:tcW w:w="1014" w:type="dxa"/>
            <w:vAlign w:val="center"/>
            <w:hideMark/>
          </w:tcPr>
          <w:p w14:paraId="799909FE" w14:textId="0B7940F4" w:rsidR="0094369E" w:rsidRPr="0010771D" w:rsidRDefault="0094369E">
            <w:pPr>
              <w:jc w:val="center"/>
              <w:rPr>
                <w:noProof/>
                <w:color w:val="3B3838" w:themeColor="background2" w:themeShade="40"/>
              </w:rPr>
            </w:pPr>
            <w:r>
              <w:rPr>
                <w:noProof/>
                <w:color w:val="3B3838" w:themeColor="background2" w:themeShade="40"/>
              </w:rPr>
              <w:t>3,63 %</w:t>
            </w:r>
          </w:p>
        </w:tc>
        <w:tc>
          <w:tcPr>
            <w:tcW w:w="1014" w:type="dxa"/>
            <w:vAlign w:val="center"/>
          </w:tcPr>
          <w:p w14:paraId="0F492973" w14:textId="2405E175" w:rsidR="0094369E" w:rsidRPr="0010771D" w:rsidRDefault="0094369E" w:rsidP="00071659">
            <w:pPr>
              <w:jc w:val="center"/>
              <w:rPr>
                <w:noProof/>
                <w:color w:val="3B3838" w:themeColor="background2" w:themeShade="40"/>
              </w:rPr>
            </w:pPr>
            <w:r>
              <w:rPr>
                <w:noProof/>
                <w:color w:val="3B3838" w:themeColor="background2" w:themeShade="40"/>
              </w:rPr>
              <w:t>3,19 %</w:t>
            </w:r>
          </w:p>
        </w:tc>
        <w:tc>
          <w:tcPr>
            <w:tcW w:w="1014" w:type="dxa"/>
            <w:vAlign w:val="center"/>
          </w:tcPr>
          <w:p w14:paraId="35B2A424" w14:textId="40AC4AD0" w:rsidR="0094369E" w:rsidRPr="0010771D" w:rsidRDefault="0004632F" w:rsidP="008229A6">
            <w:pPr>
              <w:jc w:val="center"/>
              <w:rPr>
                <w:noProof/>
                <w:color w:val="3B3838" w:themeColor="background2" w:themeShade="40"/>
              </w:rPr>
            </w:pPr>
            <w:r>
              <w:rPr>
                <w:noProof/>
                <w:color w:val="3B3838" w:themeColor="background2" w:themeShade="40"/>
              </w:rPr>
              <w:t>2,97 %</w:t>
            </w:r>
          </w:p>
        </w:tc>
      </w:tr>
    </w:tbl>
    <w:p w14:paraId="7FF44516" w14:textId="77777777" w:rsidR="00D62573" w:rsidRDefault="00D62573" w:rsidP="007B6993">
      <w:pPr>
        <w:rPr>
          <w:b/>
          <w:bCs/>
          <w:noProof/>
          <w:color w:val="034EA2" w:themeColor="accent1"/>
          <w:lang w:val="en-GB"/>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74A66" w14:paraId="2BCF427E" w14:textId="77777777" w:rsidTr="00901B92">
        <w:trPr>
          <w:trHeight w:val="415"/>
        </w:trPr>
        <w:tc>
          <w:tcPr>
            <w:tcW w:w="2093" w:type="dxa"/>
            <w:shd w:val="clear" w:color="auto" w:fill="034EA2" w:themeFill="accent1"/>
            <w:vAlign w:val="center"/>
          </w:tcPr>
          <w:p w14:paraId="6BBC2473" w14:textId="3994960E" w:rsidR="00901B92" w:rsidRDefault="00901B92" w:rsidP="001E1429">
            <w:pPr>
              <w:jc w:val="center"/>
              <w:rPr>
                <w:b/>
                <w:bCs/>
                <w:noProof/>
                <w:color w:val="FFFFFF" w:themeColor="background1"/>
              </w:rPr>
            </w:pPr>
            <w:r>
              <w:rPr>
                <w:b/>
                <w:noProof/>
                <w:color w:val="FFFFFF" w:themeColor="background1"/>
              </w:rPr>
              <w:t>Ukrainan tukiväline</w:t>
            </w:r>
          </w:p>
        </w:tc>
      </w:tr>
      <w:tr w:rsidR="00901B92" w:rsidRPr="00B74A66" w14:paraId="5AAF8A75" w14:textId="77777777" w:rsidTr="00901B92">
        <w:trPr>
          <w:trHeight w:val="415"/>
        </w:trPr>
        <w:tc>
          <w:tcPr>
            <w:tcW w:w="2093" w:type="dxa"/>
            <w:vAlign w:val="center"/>
          </w:tcPr>
          <w:p w14:paraId="43E8F298" w14:textId="5148135F" w:rsidR="00901B92" w:rsidRPr="0010771D" w:rsidRDefault="00016108" w:rsidP="001E1429">
            <w:pPr>
              <w:jc w:val="center"/>
              <w:rPr>
                <w:noProof/>
                <w:color w:val="3B3838" w:themeColor="background2" w:themeShade="40"/>
              </w:rPr>
            </w:pPr>
            <w:r>
              <w:rPr>
                <w:noProof/>
                <w:color w:val="3B3838" w:themeColor="background2" w:themeShade="40"/>
              </w:rPr>
              <w:t>2,68 %</w:t>
            </w:r>
          </w:p>
        </w:tc>
      </w:tr>
    </w:tbl>
    <w:p w14:paraId="353FF887" w14:textId="77777777" w:rsidR="00901B92" w:rsidRDefault="00901B92" w:rsidP="007B6993">
      <w:pPr>
        <w:rPr>
          <w:b/>
          <w:bCs/>
          <w:noProof/>
          <w:color w:val="034EA2" w:themeColor="accent1"/>
          <w:lang w:val="en-GB"/>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15"/>
      </w:tblGrid>
      <w:tr w:rsidR="00901B92" w:rsidRPr="00B74A66" w14:paraId="162C3904" w14:textId="77777777" w:rsidTr="00901B92">
        <w:trPr>
          <w:trHeight w:val="415"/>
        </w:trPr>
        <w:tc>
          <w:tcPr>
            <w:tcW w:w="2093" w:type="dxa"/>
            <w:shd w:val="clear" w:color="auto" w:fill="034EA2" w:themeFill="accent1"/>
            <w:vAlign w:val="center"/>
          </w:tcPr>
          <w:p w14:paraId="564AFF2D" w14:textId="67F6DA39" w:rsidR="00901B92" w:rsidRDefault="00901B92" w:rsidP="001E1429">
            <w:pPr>
              <w:jc w:val="center"/>
              <w:rPr>
                <w:b/>
                <w:bCs/>
                <w:noProof/>
                <w:color w:val="FFFFFF" w:themeColor="background1"/>
              </w:rPr>
            </w:pPr>
            <w:r>
              <w:rPr>
                <w:b/>
                <w:noProof/>
                <w:color w:val="FFFFFF" w:themeColor="background1"/>
              </w:rPr>
              <w:t>Makrotaloudellinen rahoitusapu Egyptille</w:t>
            </w:r>
          </w:p>
        </w:tc>
      </w:tr>
      <w:tr w:rsidR="00901B92" w:rsidRPr="00B74A66" w14:paraId="50C72027" w14:textId="77777777" w:rsidTr="00901B92">
        <w:trPr>
          <w:trHeight w:val="415"/>
        </w:trPr>
        <w:tc>
          <w:tcPr>
            <w:tcW w:w="2093" w:type="dxa"/>
            <w:vAlign w:val="center"/>
          </w:tcPr>
          <w:p w14:paraId="4EDEB4B3" w14:textId="30121D81" w:rsidR="00901B92" w:rsidRPr="0010771D" w:rsidRDefault="00016108" w:rsidP="001E1429">
            <w:pPr>
              <w:jc w:val="center"/>
              <w:rPr>
                <w:noProof/>
                <w:color w:val="3B3838" w:themeColor="background2" w:themeShade="40"/>
              </w:rPr>
            </w:pPr>
            <w:r>
              <w:rPr>
                <w:noProof/>
                <w:color w:val="3B3838" w:themeColor="background2" w:themeShade="40"/>
              </w:rPr>
              <w:t>2,68 %</w:t>
            </w:r>
          </w:p>
        </w:tc>
      </w:tr>
    </w:tbl>
    <w:p w14:paraId="506374B3" w14:textId="77777777" w:rsidR="00266B45" w:rsidRDefault="00266B45" w:rsidP="00266B45">
      <w:pPr>
        <w:rPr>
          <w:noProof/>
        </w:rPr>
      </w:pPr>
    </w:p>
    <w:p w14:paraId="14B36A49" w14:textId="3D46E4DD" w:rsidR="00882B2E" w:rsidRPr="008229A6" w:rsidRDefault="00266B45" w:rsidP="00882B2E">
      <w:pPr>
        <w:rPr>
          <w:noProof/>
        </w:rPr>
      </w:pPr>
      <w:r>
        <w:rPr>
          <w:noProof/>
        </w:rPr>
        <w:t>Varainhankintakustannusten supistuminen edelleen vuoden 2024 jälkipuoliskolla johtui laajemmista markkinaolosuhteista ja EU:n joukkolainojen tuottoeron pienentymisestä Euroopan valtioiden joukkolainojen tuottoihin nähden kuuden kuukauden jaksolla. EU:n joukkolainojen korot laskivat noin 33 peruspistettä vuoden 2024 jälkipuoliskolla. Kymmenvuotisen joukkolainan korko oli 3,23 prosenttia 1. heinäkuuta 2024, ja 31. joulukuuta 2024 se oli laskenut 2,90 prosenttiin. Kehitystä tukivat Euroopan keskuspankin kolme 25 peruspisteen koronlaskua vuoden 2024 jälkipuoliskolla. EU:n ja useimpien Euroopan valtioiden joukkolainojen liikkeeseenlaskijoiden väliset tuottoerot supistuivat vuoden 2024 jälkipuoliskolla. Esimerkiksi EU:n joukkolainojen ja puoliksi Saksan ja puoliksi Ranskan valtion joukkolainoista muodostuvan korin välinen korkoero kymmenen vuoden ajanjaksolla pieneni puolivuotiskauden alun noin 25 peruspisteestä kauden lopun 12 peruspisteeseen</w:t>
      </w:r>
      <w:bookmarkStart w:id="50" w:name="_Hlk169710857"/>
      <w:r>
        <w:rPr>
          <w:noProof/>
        </w:rPr>
        <w:t xml:space="preserve">. </w:t>
      </w:r>
    </w:p>
    <w:p w14:paraId="004D47C4" w14:textId="77777777" w:rsidR="008229A6" w:rsidRDefault="008229A6" w:rsidP="00D42605">
      <w:pPr>
        <w:rPr>
          <w:noProof/>
        </w:rPr>
      </w:pPr>
    </w:p>
    <w:p w14:paraId="4FDD3DC4" w14:textId="77777777" w:rsidR="00387E02" w:rsidRDefault="00387E02">
      <w:pPr>
        <w:spacing w:line="259" w:lineRule="auto"/>
        <w:jc w:val="left"/>
        <w:rPr>
          <w:b/>
          <w:bCs/>
          <w:noProof/>
          <w:color w:val="034EA2" w:themeColor="accent1"/>
        </w:rPr>
      </w:pPr>
      <w:r>
        <w:rPr>
          <w:noProof/>
        </w:rPr>
        <w:br w:type="page"/>
      </w:r>
    </w:p>
    <w:p w14:paraId="15E82C08" w14:textId="2B7558D2" w:rsidR="008229A6" w:rsidRDefault="008229A6" w:rsidP="008229A6">
      <w:pPr>
        <w:rPr>
          <w:b/>
          <w:bCs/>
          <w:noProof/>
          <w:color w:val="034EA2" w:themeColor="accent1"/>
        </w:rPr>
      </w:pPr>
      <w:r>
        <w:rPr>
          <w:b/>
          <w:noProof/>
          <w:color w:val="034EA2" w:themeColor="accent1"/>
        </w:rPr>
        <w:t>Kaavio 6: Kymmenvuotisten EU:n joukkolainojen tuotot</w:t>
      </w:r>
    </w:p>
    <w:p w14:paraId="5CA94D4A" w14:textId="6BD53E57" w:rsidR="008229A6" w:rsidRPr="008229A6" w:rsidRDefault="005B1BB2" w:rsidP="00D42605">
      <w:pPr>
        <w:rPr>
          <w:noProof/>
        </w:rPr>
      </w:pPr>
      <w:r>
        <w:rPr>
          <w:noProof/>
          <w:lang w:val="en-GB" w:eastAsia="en-GB"/>
        </w:rPr>
        <w:drawing>
          <wp:inline distT="0" distB="0" distL="0" distR="0" wp14:anchorId="6EC57DD3" wp14:editId="16146B06">
            <wp:extent cx="5731510" cy="3078480"/>
            <wp:effectExtent l="0" t="0" r="0" b="0"/>
            <wp:docPr id="96984286" name="Chart 1">
              <a:extLst xmlns:a="http://schemas.openxmlformats.org/drawingml/2006/main">
                <a:ext uri="{FF2B5EF4-FFF2-40B4-BE49-F238E27FC236}">
                  <a16:creationId xmlns:a16="http://schemas.microsoft.com/office/drawing/2014/main" id="{A959B213-9179-499A-9000-EC1899CB5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0178AF5" w14:textId="77777777" w:rsidR="008229A6" w:rsidRDefault="008229A6" w:rsidP="00D42605">
      <w:pPr>
        <w:rPr>
          <w:strike/>
          <w:noProof/>
        </w:rPr>
      </w:pPr>
    </w:p>
    <w:p w14:paraId="578660E7" w14:textId="24AC3BA7" w:rsidR="00D73D12" w:rsidRPr="00C853A3" w:rsidRDefault="001D0900" w:rsidP="00A87F59">
      <w:pPr>
        <w:pStyle w:val="Heading2"/>
        <w:rPr>
          <w:noProof/>
        </w:rPr>
      </w:pPr>
      <w:bookmarkStart w:id="51" w:name="_Toc169303171"/>
      <w:bookmarkStart w:id="52" w:name="_Toc170294787"/>
      <w:bookmarkStart w:id="53" w:name="_Toc187347929"/>
      <w:bookmarkStart w:id="54" w:name="_Toc187701958"/>
      <w:bookmarkStart w:id="55" w:name="_Toc187702013"/>
      <w:bookmarkStart w:id="56" w:name="_Toc190904649"/>
      <w:bookmarkStart w:id="57" w:name="_Toc193205971"/>
      <w:bookmarkStart w:id="58" w:name="_Hlk187336294"/>
      <w:bookmarkEnd w:id="50"/>
      <w:r>
        <w:rPr>
          <w:noProof/>
        </w:rPr>
        <w:t>Likviditeetin hallinta</w:t>
      </w:r>
      <w:bookmarkEnd w:id="51"/>
      <w:bookmarkEnd w:id="52"/>
      <w:bookmarkEnd w:id="53"/>
      <w:bookmarkEnd w:id="54"/>
      <w:bookmarkEnd w:id="55"/>
      <w:bookmarkEnd w:id="56"/>
      <w:bookmarkEnd w:id="57"/>
    </w:p>
    <w:p w14:paraId="19DD8801" w14:textId="3E2640F6" w:rsidR="00046F24" w:rsidRPr="00E61124" w:rsidRDefault="00046F24" w:rsidP="00046F24">
      <w:pPr>
        <w:rPr>
          <w:noProof/>
        </w:rPr>
      </w:pPr>
      <w:bookmarkStart w:id="59" w:name="_Ref155257759"/>
      <w:r>
        <w:rPr>
          <w:noProof/>
        </w:rPr>
        <w:t>Komissio säilytti säännöllisen ja ennakoitavan läsnäolon rahoitusmarkkinoilla kesäkuussa 2024 ilmoitetun varainhankintasuunnitelman mukaisesti. Vuoden 2024 jälkipuoliskolla keskimääräiset likviditeettivarat kasvoivat vuoden 2024 alkupuoliskoon verrattuna lähinnä siksi, että maksut painottuivat vuoden 2024 loppuun ja vuoden 2025 alkuun. Käteisvarat olivat siten vuoden jälkipuoliskolla keskimäärin 50,7 miljardia euroa, kun vuoden 2024 alkupuoliskolla ne olivat 28,2 miljardia euroa. Käteisvarat vähenivät 33,8 miljardiin euroon vuoden 2025 alussa oltuaan suurimmillaan 76,9 miljardia euroa joulukuun 2024 alussa (minkä jälkeen maksuja suoritettiin lähes 43 miljardin euron arvosta seuraavien kolmen viikon aikana). Jäljellä olevat vuoden lopun käteisvarat käytetään vuoden 2025 alussa suunniteltujen maksutarpeiden täyttämiseen.</w:t>
      </w:r>
    </w:p>
    <w:p w14:paraId="661F336D" w14:textId="58005575" w:rsidR="00996115" w:rsidRPr="00102ABC" w:rsidRDefault="00475680" w:rsidP="00440BC5">
      <w:pPr>
        <w:rPr>
          <w:noProof/>
        </w:rPr>
      </w:pPr>
      <w:r>
        <w:rPr>
          <w:noProof/>
        </w:rPr>
        <w:t xml:space="preserve">Käteisvaroista ei aiheutunut kustannuksia tuetuille ohjelmille. Ylimääräisiin käteisvaroihin sovellettiin päinvastoin aktiivista likviditeetinhallintaa koko vuoden 2024 jälkipuoliskon ajan käteisvarojen tuoton optimoimiseksi ilman vastapuoliriskiä. Aktiivisen likviditeetinhallinnan ansiosta käteisvaroista saatiin 58,1 miljoonan euron nettotulot heinäkuun ja joulukuun 2024 välisenä aikana. Kun mukaan lasketaan vuoden 2024 alkupuoliskon tuotot, likviditeettivarojen vuotuiset tuotot olivat vuoden lopussa 139,9 miljoonaa euroa. Nämä tulot jaetaan suhteessa EU:n talousarvion ja lainansaajien, erityisesti elpymis- ja palautumistukivälineen lainaohjelman piiriin kuuluvien jäsenvaltioiden, kesken. </w:t>
      </w:r>
    </w:p>
    <w:p w14:paraId="795EF447" w14:textId="341E071D" w:rsidR="00DF5658" w:rsidRDefault="001401DA" w:rsidP="00DF5658">
      <w:pPr>
        <w:pStyle w:val="Heading1"/>
        <w:rPr>
          <w:noProof/>
        </w:rPr>
      </w:pPr>
      <w:bookmarkStart w:id="60" w:name="_Toc193205972"/>
      <w:bookmarkStart w:id="61" w:name="_Hlk187423718"/>
      <w:bookmarkEnd w:id="58"/>
      <w:r>
        <w:rPr>
          <w:noProof/>
        </w:rPr>
        <w:t>Toimet EU:n joukkolainojen ekosysteemin kehittämiseksi edelleen</w:t>
      </w:r>
      <w:bookmarkEnd w:id="59"/>
      <w:bookmarkEnd w:id="60"/>
    </w:p>
    <w:p w14:paraId="1AEA051A" w14:textId="2AE87235" w:rsidR="00847A54" w:rsidRDefault="00847A54" w:rsidP="00847A54">
      <w:pPr>
        <w:rPr>
          <w:noProof/>
        </w:rPr>
      </w:pPr>
      <w:r>
        <w:rPr>
          <w:noProof/>
        </w:rPr>
        <w:t>Komissio otti lokakuussa 2024 käyttöön EU:n joukkolainoja koskevan takaisinostojärjestelyn, jonka avulla EU voi tarjota päämarkkinatakaajilleen mahdollisuuden hankkia väliaikaisesti tiettyjä EU:n joukkolainoja. Järjestelyn tarkoituksena on auttaa EU:n päämarkkinatakaajia julkaisemaan EU:n joukkolainoja koskevia sitovia ja julkisia hintatarjouksia, jotta sijoittajat voivat luottaa siihen, millä ehdoilla ne voivat käydä kauppaa EU:n joukkolainoilla jälkimarkkinoilla. Tämä parantaa EU:n joukkolainamarkkinoiden tehokkuutta ja likviditeettiä.</w:t>
      </w:r>
    </w:p>
    <w:p w14:paraId="1ED269A0" w14:textId="640A7C41" w:rsidR="00847A54" w:rsidRDefault="00847A54" w:rsidP="00847A54">
      <w:pPr>
        <w:rPr>
          <w:noProof/>
        </w:rPr>
      </w:pPr>
      <w:r>
        <w:rPr>
          <w:noProof/>
        </w:rPr>
        <w:t>Takaisinostojärjestelyn perustaminen noudattelee monien suurten liikkeeseenlaskijoiden käytäntöä, sillä ne tarjoavat tätä palvelua päämarkkinatakaajilleen. Se on näin ollen luonnollinen seuraava askel EU:n joukkolainojen markkinaekosysteemin syventämisessä. Järjestelyn käynnistämisen myötä EU on täyttänyt viimeisen joulukuussa 2022 tehdyistä sitoumuksista, jotka koskevat toimia valmiuksien kehittämiseksi EU:n joukkolainojen markkinoiden tukemiseksi.</w:t>
      </w:r>
    </w:p>
    <w:p w14:paraId="092AD4ED" w14:textId="61FC9A52" w:rsidR="00847A54" w:rsidRDefault="00847A54" w:rsidP="00847A54">
      <w:pPr>
        <w:rPr>
          <w:noProof/>
        </w:rPr>
      </w:pPr>
      <w:r>
        <w:rPr>
          <w:noProof/>
        </w:rPr>
        <w:t xml:space="preserve">EU:n joukkolainojen ekosysteemin jatkuva kehittäminen ja rahoituksen määrien vahvistaminen (tammikuusta 2023 alkaen käytössä olleen) yhdistetyn varainhankintamenetelmän mukaisesti ovat myös mahdollistaneet sen, että markkinaosapuolet ovat voineet tehdä riippumattomia aloitteita. Näin voidaan tukea entisestään EU:n joukkolainamarkkinoiden toimintaa. </w:t>
      </w:r>
    </w:p>
    <w:p w14:paraId="0C481F75" w14:textId="5AFC0C1F" w:rsidR="00DF5658" w:rsidRDefault="004C7FC5" w:rsidP="001B0E99">
      <w:pPr>
        <w:rPr>
          <w:noProof/>
        </w:rPr>
      </w:pPr>
      <w:r>
        <w:rPr>
          <w:noProof/>
        </w:rPr>
        <w:t xml:space="preserve">Näihin riippumattomiin aloitteisiin kuului EU:n joukkolainojen indeksiin perustuvan futuurisopimuksen käyttöönotto joulukuussa 2024. Johtava eurooppalainen pörssi ilmoitti jälleen olevansa kiinnostunut tekemään vuoden 2025 aikana EU:n joukkolainoihin perustuvan perinteisen futuurisopimuksen (joka selvitetään luovuttamalla kohde-etuus). Näiden futuurisopimusten saatavuus tukee edelleen sijoittamista EU:n joukkolainoihin, sillä markkinatoimijat voivat niiden avulla suojata EU:n joukkolainojen avoimet positiot ja arvioida markkinoiden odotuksia EU:n joukkolainojen hinnoittelusta. Indeksin tarjoajat pohtivat edelleen, miten EU:n joukkolainat voitaisiin parhaiten luokitella eri indekseihin. Toinen indeksinhoitaja ilmoitti, että indeksin käyttäjien kuulemisen jälkeen se ei ollut vielä valmis sisällyttämään EU:n joukkolainoja asianomaisiin valtionlainojen indekseihinsä mutta että se arvioisi tilannetta uudelleen myöhemmin. </w:t>
      </w:r>
    </w:p>
    <w:p w14:paraId="6B3B3AB6" w14:textId="5C4F77D7" w:rsidR="00456072" w:rsidRPr="00A87F59" w:rsidRDefault="00456072" w:rsidP="00A87F59">
      <w:pPr>
        <w:pStyle w:val="Heading1"/>
        <w:rPr>
          <w:noProof/>
        </w:rPr>
      </w:pPr>
      <w:bookmarkStart w:id="62" w:name="_Ref169300365"/>
      <w:bookmarkStart w:id="63" w:name="_Ref169300367"/>
      <w:bookmarkStart w:id="64" w:name="_Toc193205973"/>
      <w:r>
        <w:rPr>
          <w:noProof/>
        </w:rPr>
        <w:t>Muut vuoden 2024 jälkipuoliskolla saavutetut välitavoitteet</w:t>
      </w:r>
      <w:bookmarkEnd w:id="62"/>
      <w:bookmarkEnd w:id="63"/>
      <w:bookmarkEnd w:id="64"/>
    </w:p>
    <w:p w14:paraId="5A4859E4" w14:textId="6FACD352" w:rsidR="00456072" w:rsidRPr="00F60F12" w:rsidRDefault="00DF5658" w:rsidP="00A87F59">
      <w:pPr>
        <w:pStyle w:val="Heading2"/>
        <w:rPr>
          <w:noProof/>
        </w:rPr>
      </w:pPr>
      <w:bookmarkStart w:id="65" w:name="_Toc187347932"/>
      <w:bookmarkStart w:id="66" w:name="_Toc187702016"/>
      <w:bookmarkStart w:id="67" w:name="_Toc190904652"/>
      <w:bookmarkStart w:id="68" w:name="_Toc193205974"/>
      <w:r>
        <w:rPr>
          <w:noProof/>
        </w:rPr>
        <w:t>NextGenerationEU-välineen vihreiden joukkolainojen kohdentamista ja vaikutuksia vuonna 2024 koskeva raportti</w:t>
      </w:r>
      <w:bookmarkEnd w:id="65"/>
      <w:bookmarkEnd w:id="66"/>
      <w:bookmarkEnd w:id="67"/>
      <w:bookmarkEnd w:id="68"/>
    </w:p>
    <w:p w14:paraId="5DBC0FB7" w14:textId="4259CC2F" w:rsidR="001A57FF" w:rsidRPr="00A94EFC" w:rsidRDefault="001A57FF" w:rsidP="001A57FF">
      <w:pPr>
        <w:rPr>
          <w:noProof/>
        </w:rPr>
      </w:pPr>
      <w:bookmarkStart w:id="69" w:name="_Toc187702017"/>
      <w:bookmarkStart w:id="70" w:name="_Toc169303180"/>
      <w:r>
        <w:rPr>
          <w:noProof/>
        </w:rPr>
        <w:t>Kolme vuotta sen jälkeen, kun ensimmäiset vihreät joukkolainat laskettiin liikkeeseen lokakuussa 2021, liikkeeseen laskettujen NextGenerationEU-välineen vihreiden joukkolainojen määrä oli vuoden 2024 lopussa yli 68 miljardia euroa. Näiden joukkolainojen liikkeeseenlaskun perusteena olivat jo raportoidut ja vahvistetut ilmastoon liittyvät 53 miljardin euron menot sekä jäsenvaltioiden suunnitelmiin sisältyvien elpymis- ja palautumistukivälineestä rahoitettavien ilmastoon liittyvien menojen 264 miljardin euron kokonaismäärä.</w:t>
      </w:r>
    </w:p>
    <w:p w14:paraId="12B3C829" w14:textId="58B35ADA" w:rsidR="001A57FF" w:rsidRDefault="001A57FF" w:rsidP="001A57FF">
      <w:pPr>
        <w:rPr>
          <w:noProof/>
        </w:rPr>
      </w:pPr>
      <w:r>
        <w:rPr>
          <w:noProof/>
        </w:rPr>
        <w:t xml:space="preserve">NextGenerationEU-välineen vihreitä joukkovelkakirjoja koskevan kehyksen raportointivaatimusten mukaisesti komissio julkaisi marraskuussa vuoden 2024 vuotuisen </w:t>
      </w:r>
      <w:hyperlink r:id="rId38" w:history="1">
        <w:r>
          <w:rPr>
            <w:rStyle w:val="Hyperlink"/>
            <w:noProof/>
          </w:rPr>
          <w:t>NextGenerationEU-välineen vihreiden joukkolainojen kohdentamista ja vaikutuksia koskevan raportin</w:t>
        </w:r>
      </w:hyperlink>
      <w:r>
        <w:rPr>
          <w:noProof/>
        </w:rPr>
        <w:t xml:space="preserve">. </w:t>
      </w:r>
    </w:p>
    <w:p w14:paraId="161276DB" w14:textId="140E4416" w:rsidR="001A57FF" w:rsidRPr="009704A7" w:rsidRDefault="001A57FF" w:rsidP="001A57FF">
      <w:pPr>
        <w:rPr>
          <w:noProof/>
        </w:rPr>
      </w:pPr>
      <w:r>
        <w:rPr>
          <w:noProof/>
        </w:rPr>
        <w:t xml:space="preserve">Raportista käy ilmi (koontipäivän 1. elokuuta 2024 perusteella), että </w:t>
      </w:r>
    </w:p>
    <w:p w14:paraId="6D26210C" w14:textId="70E669C0" w:rsidR="00DB4A9B" w:rsidRPr="00C97E32" w:rsidRDefault="001A57FF" w:rsidP="001A57FF">
      <w:pPr>
        <w:pStyle w:val="ListParagraph"/>
        <w:numPr>
          <w:ilvl w:val="0"/>
          <w:numId w:val="37"/>
        </w:numPr>
        <w:rPr>
          <w:rFonts w:ascii="EC Square Sans Pro" w:hAnsi="EC Square Sans Pro"/>
          <w:noProof/>
        </w:rPr>
      </w:pPr>
      <w:r>
        <w:rPr>
          <w:rFonts w:ascii="EC Square Sans Pro" w:hAnsi="EC Square Sans Pro"/>
          <w:noProof/>
        </w:rPr>
        <w:t>NextGenerationEU-välineen vihreiden joukkolainojen tukikelpoisten menojen määrä kasvoi 264,6 miljardiin euroon vuonna 2024, mikä on lähes 40 prosenttia enemmän kuin vuonna 2023. Kasvu johtui pääasiassa ilmastosiirtymään liittyvien menojen kasvusta sen jälkeen, kun jäsenvaltioiden elpymis- ja palautumissuunnitelmia tarkistettiin REPowerEU-suunnitelman huomioon ottamiseksi.</w:t>
      </w:r>
    </w:p>
    <w:p w14:paraId="6CD2A7E9" w14:textId="53228DB0" w:rsidR="00C97E32" w:rsidRPr="00C97E32" w:rsidRDefault="00555E15" w:rsidP="001A57FF">
      <w:pPr>
        <w:pStyle w:val="ListParagraph"/>
        <w:numPr>
          <w:ilvl w:val="0"/>
          <w:numId w:val="37"/>
        </w:numPr>
        <w:rPr>
          <w:rFonts w:ascii="EC Square Sans Pro" w:hAnsi="EC Square Sans Pro"/>
          <w:noProof/>
        </w:rPr>
      </w:pPr>
      <w:r>
        <w:rPr>
          <w:rFonts w:ascii="EC Square Sans Pro" w:hAnsi="EC Square Sans Pro"/>
          <w:noProof/>
        </w:rPr>
        <w:t xml:space="preserve">NextGenerationEU-välineen vihreiden joukkolainojen poolilla on edelleen vahva yhteys EU:n luokitusjärjestelmään. NextGenerationEU-välineen vihreiden joukkolainojen tukikelpoisten menojen kokonaismäärästä 63,4 prosenttia arvioitiin täysin tai olennaisilta osin EU:n luokitusjärjestelmän mittareiden mukaisiksi (57,5 % vuonna 2023). </w:t>
      </w:r>
    </w:p>
    <w:p w14:paraId="58452BB4" w14:textId="585EF85C" w:rsidR="001A57FF" w:rsidRPr="00C97E32" w:rsidRDefault="001A57FF" w:rsidP="001A57FF">
      <w:pPr>
        <w:pStyle w:val="ListParagraph"/>
        <w:numPr>
          <w:ilvl w:val="0"/>
          <w:numId w:val="37"/>
        </w:numPr>
        <w:rPr>
          <w:noProof/>
        </w:rPr>
      </w:pPr>
      <w:r>
        <w:rPr>
          <w:rFonts w:ascii="EC Square Sans Pro" w:hAnsi="EC Square Sans Pro"/>
          <w:noProof/>
        </w:rPr>
        <w:t>NextGenerationEU-välineen vihreillä joukkolainoilla rahoitettavien investointien täysimääräisen toteutumisen odotetaan vähentävän EU:n kasvihuonekaasupäästöjä 55 miljoonalla tonnilla vuodessa, mikä vastaa 1,5:tä prosenttia kaikista EU:n kasvihuonekaasupäästöistä.</w:t>
      </w:r>
      <w:r>
        <w:rPr>
          <w:noProof/>
        </w:rPr>
        <w:t xml:space="preserve"> </w:t>
      </w:r>
    </w:p>
    <w:p w14:paraId="66FAD1BA" w14:textId="19469A09" w:rsidR="00D9063C" w:rsidRDefault="001A57FF" w:rsidP="0026697C">
      <w:pPr>
        <w:rPr>
          <w:noProof/>
        </w:rPr>
      </w:pPr>
      <w:r>
        <w:rPr>
          <w:noProof/>
        </w:rPr>
        <w:t>Tulevaisuudessa NextGenerationEU-välineen vihreitä joukkolainoja lasketaan yhä useammin liikkeeseen samaan aikaan kuin jäsenvaltiot raportoivat ja vahvistavat tukikelpoisia menoja. Vuoden 2026 jälkeen vahvistettavien menojen osalta komissio voi laskea liikkeeseen NextGenerationEU-välineen vihreitä joukkolainoja korvaamaan erääntyviä tavanomaisia joukkolainoja jälleenrahoitusvaiheen aikana. Tällä lähestymistavalla varmistetaan, että kaikki tukikelpoiset menot todennetaan täysimääräisesti ennen joukkolainojen liikkeeseenlaskua.</w:t>
      </w:r>
      <w:bookmarkEnd w:id="69"/>
    </w:p>
    <w:p w14:paraId="15D20713" w14:textId="2CD23F29" w:rsidR="001401DA" w:rsidRPr="009C1A13" w:rsidRDefault="007D6C82" w:rsidP="009C1A13">
      <w:pPr>
        <w:pStyle w:val="Heading1"/>
        <w:rPr>
          <w:noProof/>
        </w:rPr>
      </w:pPr>
      <w:bookmarkStart w:id="71" w:name="_Toc193205975"/>
      <w:bookmarkStart w:id="72" w:name="_Hlk155276042"/>
      <w:bookmarkStart w:id="73" w:name="_Hlk158303590"/>
      <w:bookmarkStart w:id="74" w:name="_Hlk158382887"/>
      <w:bookmarkEnd w:id="61"/>
      <w:bookmarkEnd w:id="70"/>
      <w:r>
        <w:rPr>
          <w:noProof/>
        </w:rPr>
        <w:t>Liikkeeseenlaskunäkymät vuoden 2025 alkupuoliskolla</w:t>
      </w:r>
      <w:bookmarkEnd w:id="71"/>
    </w:p>
    <w:bookmarkEnd w:id="72"/>
    <w:bookmarkEnd w:id="73"/>
    <w:bookmarkEnd w:id="74"/>
    <w:p w14:paraId="6C59CE6F" w14:textId="0802000C" w:rsidR="003874C8" w:rsidRPr="00A55ED6" w:rsidRDefault="003874C8" w:rsidP="003874C8">
      <w:pPr>
        <w:rPr>
          <w:noProof/>
        </w:rPr>
      </w:pPr>
      <w:r>
        <w:rPr>
          <w:noProof/>
        </w:rPr>
        <w:t xml:space="preserve">Komissio ilmoitti 10. joulukuuta 2024 aikovansa laskea liikkeeseen jopa 90 miljardin euron arvosta EU:n joukkolainoja vuoden 2025 alkupuoliskolla. Kyseessä on suurin puolivuotiskauden varainhankintatavoite sen jälkeen, kun monipuolinen varainhankintastrategia otettiin käyttöön vuonna 2021. Maksuennusteiden perusteella EU odottaa vuonna 2025 saavansa käyttöön 160 miljardia euroa rahoitusta laskemalla liikkeeseen EU:n joukkolainoja. Nämä rahoitustarpeet vastaavat EU:n moninaisia nykyisiä ja uusia politiikkaohjelmia, jotka rahoitetaan EU:n joukkolainojen tuotoilla ja joita laajennettiin vuoden 2024 jälkipuoliskolla kattamaan Ukrainalle G7-sopimuksen mukaisesti myönnettävä uusi 18,1 miljardin euron poikkeuksellinen makrotaloudellisen rahoitusavun laina, Länsi-Balkanin investointivälineestä maksettava uusi tuki ehdokasmaille sekä naapuruusmaille (kuten Egyptille ja Jordanialle) myönnettävä uusi tuki. </w:t>
      </w:r>
    </w:p>
    <w:p w14:paraId="4C5176A7" w14:textId="46430963" w:rsidR="003874C8" w:rsidRDefault="003874C8" w:rsidP="003874C8">
      <w:pPr>
        <w:rPr>
          <w:noProof/>
        </w:rPr>
      </w:pPr>
      <w:r>
        <w:rPr>
          <w:noProof/>
        </w:rPr>
        <w:t>EU:n joukkolainojen liikkeeseenlaskun yhteydessä kerättyjä määriä täydennetään lyhytaikaisella varainhankinnalla EU:n velkasitoumusten ja muiden lyhytaikaisen varainhankinnan välineiden avulla. EU:n velkasitoumusten määrän kasvua helpotetaan ottamalla käyttöön huutokaupat, joissa on tarjolla kolmenlaisia velkasitoumuksia, ja avaamalla tammikuussa 2025 uusi 12 kuukauden EU:n velkasitoumus nykyisten kolmen ja kuuden kuukauden velkasitoumusten lisäksi.</w:t>
      </w:r>
    </w:p>
    <w:p w14:paraId="43AF04B0" w14:textId="0BBAFACD" w:rsidR="00063474" w:rsidRPr="00D3353D" w:rsidRDefault="0088395D" w:rsidP="00E7763D">
      <w:pPr>
        <w:rPr>
          <w:noProof/>
        </w:rPr>
      </w:pPr>
      <w:r>
        <w:rPr>
          <w:noProof/>
        </w:rPr>
        <w:t>Suuremman varainhankintatavoitteen mukaisesti vuoden 2025 alkupuoliskolla on tarkoitus myös laskea liikkeeseen lisää joukkolainoja huutokaupoissa, jolloin huutokauppojen osuus pysyy vakaana. Kasvua helpotetaan ottamalla käyttöön vuoden 2025 alkupuoliskolla huutokaupat, joissa on tarjolla kolmenlaisia joukkolainoja. Samaan tapaan komissio pyrkii ottamaan käyttöön kilpailuun perustumattoman huutokauppajaon (ns. lisäosakeoptio), jonka avulla jo huutokaupattujen määrien ohella voidaan jakaa lisämääriä kyseisiä velkapapereita välittömästi huutokaupan jälkeen. Tätä lisäominaisuutta käytetään myös monissa valtioiden huutokauppaohjelmissa. Sillä kannustetaan päämarkkinatakaajia tukemaan huutokauppoja antamalla niille mahdollisuus hankkia lisää joukkolainoja edullisin ehdoin, jos huutokaupan jälkeinen markkinahinta kehittyy niille edulliseen suuntaan. Komissio pyrkii ottamaan kilpailuun perustumattoman huutokauppajaon käyttöön osana vuoden 2025 jälkipuoliskon varainhankintasuunnitelmaa.</w:t>
      </w:r>
    </w:p>
    <w:p w14:paraId="7DBF6AC6" w14:textId="0ED63147" w:rsidR="003F3424" w:rsidRPr="0089479A" w:rsidRDefault="003F3424" w:rsidP="00F13D4C">
      <w:pPr>
        <w:rPr>
          <w:noProof/>
        </w:rPr>
        <w:sectPr w:rsidR="003F3424" w:rsidRPr="0089479A" w:rsidSect="00CA43D7">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08" w:footer="708" w:gutter="0"/>
          <w:cols w:space="708"/>
          <w:docGrid w:linePitch="360"/>
        </w:sectPr>
      </w:pPr>
    </w:p>
    <w:p w14:paraId="1A69248E" w14:textId="72CEED08" w:rsidR="00D73D12" w:rsidRDefault="00325F9E" w:rsidP="00F9742E">
      <w:pPr>
        <w:rPr>
          <w:b/>
          <w:bCs/>
          <w:noProof/>
          <w:color w:val="034EA2" w:themeColor="accent1"/>
        </w:rPr>
      </w:pPr>
      <w:r>
        <w:rPr>
          <w:b/>
          <w:noProof/>
          <w:color w:val="034EA2" w:themeColor="accent1"/>
        </w:rPr>
        <w:t>Liite: Täytäntöönpanoindikaattorit, jotka koskevat komission yleisen velanhoitostrategian tehokkuus- ja tuloksellisuustavoitteiden saavuttamiseen tarkoitettujen keinojen käyttöä</w:t>
      </w:r>
    </w:p>
    <w:tbl>
      <w:tblPr>
        <w:tblStyle w:val="GridTable4-Accent5"/>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137"/>
        <w:gridCol w:w="3138"/>
        <w:gridCol w:w="2806"/>
        <w:gridCol w:w="2503"/>
        <w:gridCol w:w="4203"/>
      </w:tblGrid>
      <w:tr w:rsidR="00515675" w:rsidRPr="008562DF" w14:paraId="49380785" w14:textId="77777777" w:rsidTr="04A2D39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28" w:type="dxa"/>
            <w:gridSpan w:val="2"/>
            <w:shd w:val="clear" w:color="auto" w:fill="034EA2" w:themeFill="accent1"/>
            <w:vAlign w:val="center"/>
          </w:tcPr>
          <w:p w14:paraId="43AA69EA" w14:textId="77777777" w:rsidR="00515675" w:rsidRPr="008562DF" w:rsidRDefault="00515675" w:rsidP="001E1429">
            <w:pPr>
              <w:jc w:val="center"/>
              <w:rPr>
                <w:noProof/>
                <w:sz w:val="18"/>
                <w:szCs w:val="18"/>
              </w:rPr>
            </w:pPr>
            <w:r>
              <w:rPr>
                <w:noProof/>
                <w:sz w:val="18"/>
              </w:rPr>
              <w:t>Keino</w:t>
            </w:r>
          </w:p>
        </w:tc>
        <w:tc>
          <w:tcPr>
            <w:tcW w:w="2268" w:type="dxa"/>
            <w:shd w:val="clear" w:color="auto" w:fill="034EA2" w:themeFill="accent1"/>
            <w:vAlign w:val="center"/>
          </w:tcPr>
          <w:p w14:paraId="7BAE177C" w14:textId="77777777" w:rsidR="00515675" w:rsidRPr="008562DF" w:rsidRDefault="00515675" w:rsidP="001E1429">
            <w:pPr>
              <w:ind w:left="113" w:hanging="113"/>
              <w:jc w:val="center"/>
              <w:cnfStyle w:val="100000000000" w:firstRow="1" w:lastRow="0" w:firstColumn="0" w:lastColumn="0" w:oddVBand="0" w:evenVBand="0" w:oddHBand="0" w:evenHBand="0" w:firstRowFirstColumn="0" w:firstRowLastColumn="0" w:lastRowFirstColumn="0" w:lastRowLastColumn="0"/>
              <w:rPr>
                <w:noProof/>
                <w:sz w:val="18"/>
                <w:szCs w:val="18"/>
              </w:rPr>
            </w:pPr>
            <w:r>
              <w:rPr>
                <w:noProof/>
                <w:sz w:val="18"/>
              </w:rPr>
              <w:t>Indikaattori</w:t>
            </w:r>
          </w:p>
        </w:tc>
        <w:tc>
          <w:tcPr>
            <w:tcW w:w="2551" w:type="dxa"/>
            <w:shd w:val="clear" w:color="auto" w:fill="034EA2" w:themeFill="accent1"/>
            <w:vAlign w:val="center"/>
          </w:tcPr>
          <w:p w14:paraId="60C7FC50" w14:textId="77777777" w:rsidR="00515675" w:rsidRPr="008562DF"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Pr>
                <w:noProof/>
                <w:sz w:val="18"/>
              </w:rPr>
              <w:t>Arvo vuoden 2024 jälkipuoliskolla (jollei toisin ilmoiteta)</w:t>
            </w:r>
          </w:p>
        </w:tc>
        <w:tc>
          <w:tcPr>
            <w:tcW w:w="4678" w:type="dxa"/>
            <w:shd w:val="clear" w:color="auto" w:fill="034EA2" w:themeFill="accent1"/>
            <w:vAlign w:val="center"/>
          </w:tcPr>
          <w:p w14:paraId="73276419" w14:textId="77777777" w:rsidR="00515675" w:rsidRPr="008562DF"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Pr>
                <w:noProof/>
                <w:sz w:val="18"/>
              </w:rPr>
              <w:t>Täytäntöönpanoa koskevat huomautukset vuoden 2024 jälkipuoliskolla</w:t>
            </w:r>
          </w:p>
        </w:tc>
      </w:tr>
      <w:tr w:rsidR="00515675" w:rsidRPr="008562DF" w14:paraId="4B9315AC"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05855DA6" w14:textId="77777777" w:rsidR="00515675" w:rsidRPr="008562DF" w:rsidRDefault="00515675" w:rsidP="001E1429">
            <w:pPr>
              <w:jc w:val="left"/>
              <w:rPr>
                <w:noProof/>
                <w:color w:val="034EA2" w:themeColor="accent1"/>
                <w:sz w:val="18"/>
                <w:szCs w:val="18"/>
              </w:rPr>
            </w:pPr>
            <w:r>
              <w:rPr>
                <w:noProof/>
                <w:color w:val="034EA2" w:themeColor="accent1"/>
                <w:sz w:val="18"/>
              </w:rPr>
              <w:t>EU:n joukkolainaohjelman täytäntöönpano</w:t>
            </w:r>
          </w:p>
          <w:p w14:paraId="68666518" w14:textId="77777777" w:rsidR="00515675" w:rsidRPr="008562DF" w:rsidRDefault="00515675" w:rsidP="001E1429">
            <w:pPr>
              <w:rPr>
                <w:noProof/>
                <w:sz w:val="18"/>
                <w:szCs w:val="18"/>
              </w:rPr>
            </w:pPr>
          </w:p>
        </w:tc>
        <w:tc>
          <w:tcPr>
            <w:tcW w:w="3264" w:type="dxa"/>
            <w:vMerge w:val="restart"/>
            <w:shd w:val="clear" w:color="auto" w:fill="auto"/>
          </w:tcPr>
          <w:p w14:paraId="3B4147F9" w14:textId="77777777" w:rsidR="00515675" w:rsidRPr="008562DF" w:rsidRDefault="00515675" w:rsidP="001E1429">
            <w:pPr>
              <w:pStyle w:val="ListParagraph"/>
              <w:numPr>
                <w:ilvl w:val="0"/>
                <w:numId w:val="27"/>
              </w:numPr>
              <w:spacing w:after="60" w:line="240" w:lineRule="auto"/>
              <w:ind w:left="170" w:hanging="170"/>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Säännölliset liikkeeseenlaskut koko käyrällä</w:t>
            </w:r>
          </w:p>
          <w:p w14:paraId="5272F7C5"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Säännölliset EU:n joukkolainojen (ja NextGenerationEU-välineen vihreiden joukkolainojen) liikkeeseenlaskut koko käyrän kaikissa maturiteeteissa (30 vuoteen saakka), jotta erityyppisille sijoittajille voidaan tarjota sijoitusmahdollisuuksia ja siten säilyttää sijoittajien vahva kysyntä ja näin ollen joustavuus määrittää liikkeeseenlaskun määrät ja maturiteetit yksittäisten transaktioiden osalta markkinaolosuhteiden perusteella.</w:t>
            </w:r>
          </w:p>
        </w:tc>
        <w:tc>
          <w:tcPr>
            <w:tcW w:w="2268" w:type="dxa"/>
            <w:shd w:val="clear" w:color="auto" w:fill="auto"/>
          </w:tcPr>
          <w:p w14:paraId="1F981204" w14:textId="77777777" w:rsidR="00515675" w:rsidRPr="008562DF"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Liikkeeseenlaskuohjelman maturiteettijakauma</w:t>
            </w:r>
          </w:p>
        </w:tc>
        <w:tc>
          <w:tcPr>
            <w:tcW w:w="2551" w:type="dxa"/>
            <w:shd w:val="clear" w:color="auto" w:fill="auto"/>
          </w:tcPr>
          <w:p w14:paraId="27F7E7F0"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1–4 vuotta: 15 %</w:t>
            </w:r>
          </w:p>
          <w:p w14:paraId="6C89BCC6"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 xml:space="preserve">4–8 vuotta: 37 % </w:t>
            </w:r>
          </w:p>
          <w:p w14:paraId="7B1BE8EB"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8–12 vuotta: 10 %</w:t>
            </w:r>
          </w:p>
          <w:p w14:paraId="78C37C46"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12–17 vuotta: 12 %</w:t>
            </w:r>
          </w:p>
          <w:p w14:paraId="7E8381D6"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17–23 vuotta: 8 %</w:t>
            </w:r>
          </w:p>
          <w:p w14:paraId="1618EB0D"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23–31 vuotta: 17 %</w:t>
            </w:r>
          </w:p>
        </w:tc>
        <w:tc>
          <w:tcPr>
            <w:tcW w:w="4678" w:type="dxa"/>
            <w:vMerge w:val="restart"/>
            <w:shd w:val="clear" w:color="auto" w:fill="auto"/>
          </w:tcPr>
          <w:p w14:paraId="54FE1263" w14:textId="232CFE2E" w:rsidR="00515675" w:rsidRPr="00B3107D"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Vuoden 2024 jälkipuoliskolla komissio pyrki tavoitteeseensa laskemalla säännöllisesti liikkeeseen joukkolainoja eri maturiteeteilla tarjotakseen likviditeettiä EU:n tuottokäyrän kaikkiin segmentteihin. Rahoitustoimet jaettiin koko kuuden kuukauden jaksolle, jotta voitiin varmistaa säännöllinen läsnäolo markkinoilla. Transaktioita oli vähemmän kuin vuoden 2024 alkupuoliskolla, sillä vuoden 2024 jälkipuoliskon varainhankintatavoite, enintään 65 miljardia euroa, oli pienempi kuin vuoden 2024 alkupuoliskon rahoitustavoite (75 mrd. euroa).</w:t>
            </w:r>
          </w:p>
          <w:p w14:paraId="32143070" w14:textId="55389551" w:rsidR="00515675" w:rsidRPr="008562DF"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 xml:space="preserve">Vihreiden joukkolainojen liikkeeseenlasku oli hieman vähäisempää kuin vuoden 2024 alkupuoliskolla, mikä johtuu varainhankinnan pienemmästä kokonaistavoitteesta, jäsenvaltioiden ilmoittamista kumulatiivisista vihreistä menoista ja vihreiden joukkolainojen liikkeeseenlaskujen asianmukaisesta mitoituksesta näihin menoihin nähden. </w:t>
            </w:r>
          </w:p>
        </w:tc>
      </w:tr>
      <w:tr w:rsidR="00515675" w:rsidRPr="008562DF" w14:paraId="22CABA41"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4B35148" w14:textId="77777777" w:rsidR="00515675" w:rsidRPr="008562DF" w:rsidRDefault="00515675" w:rsidP="001E1429">
            <w:pPr>
              <w:jc w:val="left"/>
              <w:rPr>
                <w:noProof/>
                <w:color w:val="034EA2" w:themeColor="accent1"/>
                <w:sz w:val="18"/>
                <w:szCs w:val="18"/>
              </w:rPr>
            </w:pPr>
          </w:p>
        </w:tc>
        <w:tc>
          <w:tcPr>
            <w:tcW w:w="3264" w:type="dxa"/>
            <w:vMerge/>
          </w:tcPr>
          <w:p w14:paraId="4E422347" w14:textId="77777777" w:rsidR="00515675" w:rsidRPr="008562DF"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A5038C0" w14:textId="77777777" w:rsidR="00515675" w:rsidRPr="008562DF" w:rsidRDefault="00515675" w:rsidP="001E1429">
            <w:pPr>
              <w:pStyle w:val="ListParagraph"/>
              <w:numPr>
                <w:ilvl w:val="0"/>
                <w:numId w:val="20"/>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Liikkeeseenlaskujen ajallinen jakautuminen</w:t>
            </w:r>
          </w:p>
          <w:p w14:paraId="529E1569" w14:textId="77777777" w:rsidR="00515675" w:rsidRPr="008562DF" w:rsidRDefault="00515675" w:rsidP="001E1429">
            <w:pPr>
              <w:spacing w:after="40"/>
              <w:ind w:left="226" w:hanging="113"/>
              <w:jc w:val="left"/>
              <w:cnfStyle w:val="000000000000" w:firstRow="0" w:lastRow="0" w:firstColumn="0" w:lastColumn="0" w:oddVBand="0" w:evenVBand="0" w:oddHBand="0" w:evenHBand="0" w:firstRowFirstColumn="0" w:firstRowLastColumn="0" w:lastRowFirstColumn="0" w:lastRowLastColumn="0"/>
              <w:rPr>
                <w:i/>
                <w:iCs/>
                <w:noProof/>
                <w:sz w:val="18"/>
                <w:szCs w:val="18"/>
              </w:rPr>
            </w:pPr>
          </w:p>
        </w:tc>
        <w:tc>
          <w:tcPr>
            <w:tcW w:w="2551" w:type="dxa"/>
            <w:shd w:val="clear" w:color="auto" w:fill="auto"/>
          </w:tcPr>
          <w:p w14:paraId="15A83A0F" w14:textId="08A00629" w:rsidR="00515675" w:rsidRPr="008562DF" w:rsidRDefault="006D00D3"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Neljä syndikoitua liikkeeseenlaskua ja kuusi joukkolainahuutokauppaa, joiden myötä liikkeeseenlaskuja oli yhdestä kahteen kuukaudessa.</w:t>
            </w:r>
          </w:p>
        </w:tc>
        <w:tc>
          <w:tcPr>
            <w:tcW w:w="4678" w:type="dxa"/>
            <w:vMerge/>
          </w:tcPr>
          <w:p w14:paraId="71C80DEA"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8562DF" w14:paraId="14834C6F"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65806FC" w14:textId="77777777" w:rsidR="00515675" w:rsidRPr="008562DF" w:rsidRDefault="00515675" w:rsidP="001E1429">
            <w:pPr>
              <w:jc w:val="left"/>
              <w:rPr>
                <w:noProof/>
                <w:color w:val="034EA2" w:themeColor="accent1"/>
                <w:sz w:val="18"/>
                <w:szCs w:val="18"/>
              </w:rPr>
            </w:pPr>
          </w:p>
        </w:tc>
        <w:tc>
          <w:tcPr>
            <w:tcW w:w="3264" w:type="dxa"/>
            <w:vMerge/>
          </w:tcPr>
          <w:p w14:paraId="0A10D44E" w14:textId="77777777" w:rsidR="00515675" w:rsidRPr="008562DF"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2AD773F" w14:textId="77777777" w:rsidR="00515675" w:rsidRPr="008562DF"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Vihreät liikkeeseenlaskut</w:t>
            </w:r>
            <w:r w:rsidRPr="04A2D39D">
              <w:rPr>
                <w:rStyle w:val="FootnoteReference"/>
                <w:rFonts w:ascii="EC Square Sans Pro" w:hAnsi="EC Square Sans Pro" w:cs="Times New Roman"/>
                <w:i/>
                <w:iCs/>
                <w:noProof/>
                <w:sz w:val="18"/>
                <w:szCs w:val="18"/>
              </w:rPr>
              <w:footnoteReference w:id="13"/>
            </w:r>
          </w:p>
        </w:tc>
        <w:tc>
          <w:tcPr>
            <w:tcW w:w="2551" w:type="dxa"/>
            <w:shd w:val="clear" w:color="auto" w:fill="auto"/>
          </w:tcPr>
          <w:p w14:paraId="13C48D99" w14:textId="2FBE06BF"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8 miljardia euroa hyödyntämällä vuosina 2043 ja 2050 erääntyviä EU:n joukkolainoja.</w:t>
            </w:r>
          </w:p>
        </w:tc>
        <w:tc>
          <w:tcPr>
            <w:tcW w:w="4678" w:type="dxa"/>
            <w:vMerge/>
          </w:tcPr>
          <w:p w14:paraId="7678D4A9" w14:textId="77777777" w:rsidR="00515675" w:rsidRPr="008562DF"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8562DF" w14:paraId="244B4E9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0C180DAD" w14:textId="77777777" w:rsidR="00515675" w:rsidRPr="008562DF" w:rsidRDefault="00515675" w:rsidP="001E1429">
            <w:pPr>
              <w:rPr>
                <w:noProof/>
                <w:sz w:val="18"/>
                <w:szCs w:val="18"/>
              </w:rPr>
            </w:pPr>
          </w:p>
        </w:tc>
        <w:tc>
          <w:tcPr>
            <w:tcW w:w="3264" w:type="dxa"/>
            <w:shd w:val="clear" w:color="auto" w:fill="auto"/>
          </w:tcPr>
          <w:p w14:paraId="11D1670A" w14:textId="77777777" w:rsidR="00515675" w:rsidRPr="008562DF" w:rsidRDefault="00515675" w:rsidP="001E1429">
            <w:pPr>
              <w:pStyle w:val="ListParagraph"/>
              <w:numPr>
                <w:ilvl w:val="0"/>
                <w:numId w:val="27"/>
              </w:numPr>
              <w:spacing w:after="60" w:line="240" w:lineRule="auto"/>
              <w:ind w:left="17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Huutokauppojen ja syndikoitujen liikkeeseenlaskujen asianmukaisen tasapainon saavuttaminen</w:t>
            </w:r>
          </w:p>
          <w:p w14:paraId="296A9F29" w14:textId="77777777" w:rsidR="00515675" w:rsidRPr="008562DF"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Käytetään erilaisia rahoitustekniikoita, joissa on asianmukainen tasapaino liikkeeseenlaskun kokonaismäärän ja markkinaolosuhteiden mukaan, jotta voidaan hallita toteuttamisriskejä, parantaa jälkimarkkinoiden likviditeettiä ja alentaa vieraan pääoman kustannuksia.</w:t>
            </w:r>
          </w:p>
        </w:tc>
        <w:tc>
          <w:tcPr>
            <w:tcW w:w="2268" w:type="dxa"/>
            <w:shd w:val="clear" w:color="auto" w:fill="auto"/>
          </w:tcPr>
          <w:p w14:paraId="7A68A808" w14:textId="77777777" w:rsidR="00515675" w:rsidRPr="008562DF" w:rsidRDefault="00515675" w:rsidP="001E1429">
            <w:pPr>
              <w:pStyle w:val="ListParagraph"/>
              <w:numPr>
                <w:ilvl w:val="0"/>
                <w:numId w:val="23"/>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Huutokauppojen / syndikoitujen liikkeeseenlaskujen prosenttiosuudet </w:t>
            </w:r>
          </w:p>
        </w:tc>
        <w:tc>
          <w:tcPr>
            <w:tcW w:w="2551" w:type="dxa"/>
            <w:shd w:val="clear" w:color="auto" w:fill="auto"/>
          </w:tcPr>
          <w:p w14:paraId="1C032754" w14:textId="77777777" w:rsidR="00515675" w:rsidRPr="008562DF"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42 prosenttia joukkolainojen liikkeeseenlaskuista huutokaupalla. </w:t>
            </w:r>
          </w:p>
        </w:tc>
        <w:tc>
          <w:tcPr>
            <w:tcW w:w="4678" w:type="dxa"/>
            <w:shd w:val="clear" w:color="auto" w:fill="auto"/>
          </w:tcPr>
          <w:p w14:paraId="40089510" w14:textId="377A460E"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Vuoden 2024 jälkipuoliskolla komissio laski 42 prosenttia EU:n joukkolainoista liikkeeseen huutokaupalla. Osuus oli samaa luokkaa kuin vuoden 2024 alkupuoliskolla.</w:t>
            </w:r>
          </w:p>
        </w:tc>
      </w:tr>
      <w:tr w:rsidR="00515675" w:rsidRPr="008562DF" w14:paraId="0955BDD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812F781" w14:textId="77777777" w:rsidR="00515675" w:rsidRPr="008562DF" w:rsidRDefault="00515675" w:rsidP="001E1429">
            <w:pPr>
              <w:rPr>
                <w:noProof/>
                <w:sz w:val="18"/>
                <w:szCs w:val="18"/>
              </w:rPr>
            </w:pPr>
          </w:p>
        </w:tc>
        <w:tc>
          <w:tcPr>
            <w:tcW w:w="3264" w:type="dxa"/>
            <w:vMerge w:val="restart"/>
            <w:shd w:val="clear" w:color="auto" w:fill="auto"/>
          </w:tcPr>
          <w:p w14:paraId="0AAE0B59" w14:textId="77777777" w:rsidR="00515675" w:rsidRPr="008562DF" w:rsidRDefault="00515675" w:rsidP="001E1429">
            <w:pPr>
              <w:pStyle w:val="ListParagraph"/>
              <w:numPr>
                <w:ilvl w:val="0"/>
                <w:numId w:val="27"/>
              </w:numPr>
              <w:spacing w:after="60" w:line="240" w:lineRule="auto"/>
              <w:ind w:left="170" w:hanging="17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Suurten ja likvidien viitejoukkolainojen perustaminen</w:t>
            </w:r>
          </w:p>
          <w:p w14:paraId="51F615FF" w14:textId="77777777" w:rsidR="00515675" w:rsidRPr="008562DF"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EU:n joukkolainojen hyödyntäminen, jotta eri varainhankintajärjestelyjen liikkeessä oleva määrä saadaan suuria ja likvidejä viitevarainhankintajärjestelyjä vastaavalle tasolle.</w:t>
            </w:r>
          </w:p>
        </w:tc>
        <w:tc>
          <w:tcPr>
            <w:tcW w:w="2268" w:type="dxa"/>
            <w:shd w:val="clear" w:color="auto" w:fill="auto"/>
          </w:tcPr>
          <w:p w14:paraId="68B6A81C" w14:textId="77777777" w:rsidR="00515675" w:rsidRPr="008562DF"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Uusien joukkolainojen liikkeeseenlasku verrattuna volyymin kasvattamiseen liikkeessä olevia lainoja hyödyntämällä</w:t>
            </w:r>
          </w:p>
        </w:tc>
        <w:tc>
          <w:tcPr>
            <w:tcW w:w="2551" w:type="dxa"/>
            <w:shd w:val="clear" w:color="auto" w:fill="auto"/>
          </w:tcPr>
          <w:p w14:paraId="425C1728" w14:textId="77777777" w:rsidR="00515675"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 xml:space="preserve">10 miljardia euroa uusilla joukkolainoilla </w:t>
            </w:r>
          </w:p>
          <w:p w14:paraId="61F14354" w14:textId="77777777" w:rsidR="00515675" w:rsidRPr="000500DD"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54,2 miljardia euroa hyödyntämällä liikkeessä olevia lainoja</w:t>
            </w:r>
          </w:p>
        </w:tc>
        <w:tc>
          <w:tcPr>
            <w:tcW w:w="4678" w:type="dxa"/>
            <w:vMerge w:val="restart"/>
            <w:shd w:val="clear" w:color="auto" w:fill="auto"/>
          </w:tcPr>
          <w:p w14:paraId="7FB0D9A2" w14:textId="7777777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pacing w:val="-4"/>
                <w:sz w:val="18"/>
                <w:szCs w:val="18"/>
              </w:rPr>
            </w:pPr>
            <w:r>
              <w:rPr>
                <w:noProof/>
                <w:sz w:val="18"/>
              </w:rPr>
              <w:t>Komissio pyrki tukemaan EU:n arvopaperien likviditeettiä siten, että se käytti transaktioitaan hyödyntääkseen olemassa olevia varainhankintajärjestelyjä; noin 84 prosenttia varoista saatiin käyttöön tällä tavoin.</w:t>
            </w:r>
          </w:p>
          <w:p w14:paraId="3E9A202D" w14:textId="7777777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39D12FCC" w14:textId="29ABCD2C"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 xml:space="preserve">Uusia varainhankintajärjestelyjä otettiin käyttöön, jotta markkinoille saataisiin uusia viitejärjestelyjä sen mukaan kuin niitä tarvittiin käyrän eri kohdissa, sekä EU:n päämarkkinatakaajien suositusten perusteella. Vuoden 2024 jälkipuoliskolla markkinoille tuotiin uusia viisi- ja seitsemänvuotisia joukkolainoja. </w:t>
            </w:r>
          </w:p>
          <w:p w14:paraId="29236998" w14:textId="7777777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4E96C6CE" w14:textId="6AAE23C7" w:rsidR="00515675" w:rsidRPr="00F32988"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Tämän vuoksi keskimääräinen liikkeessä oleva määrä joukkolainaa kohti kasvoi hieman eli noin 15 miljardiin euroon joulukuun 2024 loppuun mennessä, mikä varmisti joukkolainojen tasaisen likviditeetin.</w:t>
            </w:r>
          </w:p>
        </w:tc>
      </w:tr>
      <w:tr w:rsidR="00515675" w:rsidRPr="008562DF" w14:paraId="3089CED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960448F" w14:textId="77777777" w:rsidR="00515675" w:rsidRPr="008562DF" w:rsidRDefault="00515675" w:rsidP="001E1429">
            <w:pPr>
              <w:rPr>
                <w:noProof/>
                <w:sz w:val="18"/>
                <w:szCs w:val="18"/>
              </w:rPr>
            </w:pPr>
          </w:p>
        </w:tc>
        <w:tc>
          <w:tcPr>
            <w:tcW w:w="3264" w:type="dxa"/>
            <w:vMerge/>
          </w:tcPr>
          <w:p w14:paraId="3D32F3EC" w14:textId="77777777" w:rsidR="00515675" w:rsidRPr="008562DF"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66C473A2" w14:textId="77777777" w:rsidR="00515675" w:rsidRPr="008562DF" w:rsidRDefault="00515675" w:rsidP="001E1429">
            <w:pPr>
              <w:pStyle w:val="ListParagraph"/>
              <w:numPr>
                <w:ilvl w:val="0"/>
                <w:numId w:val="22"/>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Uusien joukkolainojen hyödyntämisen nopeus</w:t>
            </w:r>
            <w:r w:rsidRPr="04A2D39D">
              <w:rPr>
                <w:rStyle w:val="FootnoteReference"/>
                <w:rFonts w:ascii="EC Square Sans Pro" w:hAnsi="EC Square Sans Pro" w:cs="Times New Roman"/>
                <w:i/>
                <w:iCs/>
                <w:noProof/>
                <w:sz w:val="18"/>
                <w:szCs w:val="18"/>
              </w:rPr>
              <w:footnoteReference w:id="14"/>
            </w:r>
          </w:p>
        </w:tc>
        <w:tc>
          <w:tcPr>
            <w:tcW w:w="2551" w:type="dxa"/>
            <w:shd w:val="clear" w:color="auto" w:fill="auto"/>
          </w:tcPr>
          <w:p w14:paraId="1994F1F5"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Kaksi kuukautta</w:t>
            </w:r>
          </w:p>
        </w:tc>
        <w:tc>
          <w:tcPr>
            <w:tcW w:w="4678" w:type="dxa"/>
            <w:vMerge/>
          </w:tcPr>
          <w:p w14:paraId="02131142"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8562DF" w14:paraId="2050135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1D1F5D7" w14:textId="77777777" w:rsidR="00515675" w:rsidRPr="008562DF" w:rsidRDefault="00515675" w:rsidP="001E1429">
            <w:pPr>
              <w:rPr>
                <w:noProof/>
                <w:sz w:val="18"/>
                <w:szCs w:val="18"/>
              </w:rPr>
            </w:pPr>
          </w:p>
        </w:tc>
        <w:tc>
          <w:tcPr>
            <w:tcW w:w="3264" w:type="dxa"/>
            <w:vMerge/>
          </w:tcPr>
          <w:p w14:paraId="5ED105C1" w14:textId="77777777" w:rsidR="00515675" w:rsidRPr="008562DF"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13D6B65A" w14:textId="77777777" w:rsidR="00515675" w:rsidRPr="008562DF"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Liikkeessä olevien joukkolainojen keskimääräinen koko</w:t>
            </w:r>
            <w:r w:rsidRPr="04A2D39D">
              <w:rPr>
                <w:rStyle w:val="FootnoteReference"/>
                <w:rFonts w:ascii="EC Square Sans Pro" w:hAnsi="EC Square Sans Pro" w:cs="Times New Roman"/>
                <w:i/>
                <w:iCs/>
                <w:noProof/>
                <w:sz w:val="18"/>
                <w:szCs w:val="18"/>
              </w:rPr>
              <w:footnoteReference w:id="15"/>
            </w:r>
          </w:p>
        </w:tc>
        <w:tc>
          <w:tcPr>
            <w:tcW w:w="2551" w:type="dxa"/>
            <w:shd w:val="clear" w:color="auto" w:fill="auto"/>
          </w:tcPr>
          <w:p w14:paraId="2F1E4A20" w14:textId="77777777" w:rsidR="00515675" w:rsidRPr="008562DF"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Noin 15 miljardia</w:t>
            </w:r>
          </w:p>
        </w:tc>
        <w:tc>
          <w:tcPr>
            <w:tcW w:w="4678" w:type="dxa"/>
            <w:vMerge/>
          </w:tcPr>
          <w:p w14:paraId="380E86A4" w14:textId="77777777" w:rsidR="00515675" w:rsidRPr="008562DF"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8562DF" w14:paraId="7FC2950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B023783" w14:textId="77777777" w:rsidR="00515675" w:rsidRPr="008562DF" w:rsidRDefault="00515675" w:rsidP="001E1429">
            <w:pPr>
              <w:rPr>
                <w:noProof/>
                <w:sz w:val="18"/>
                <w:szCs w:val="18"/>
              </w:rPr>
            </w:pPr>
          </w:p>
        </w:tc>
        <w:tc>
          <w:tcPr>
            <w:tcW w:w="3264" w:type="dxa"/>
            <w:vMerge/>
          </w:tcPr>
          <w:p w14:paraId="5F1866B1" w14:textId="77777777" w:rsidR="00515675" w:rsidRPr="008562DF"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62886CB" w14:textId="77777777" w:rsidR="00515675" w:rsidRPr="008562DF" w:rsidRDefault="00515675" w:rsidP="001E1429">
            <w:pPr>
              <w:pStyle w:val="ListParagraph"/>
              <w:numPr>
                <w:ilvl w:val="0"/>
                <w:numId w:val="22"/>
              </w:numPr>
              <w:spacing w:after="40" w:line="240" w:lineRule="auto"/>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Vaihto suhteessa liikkeeseenlaskun määrään</w:t>
            </w:r>
          </w:p>
        </w:tc>
        <w:tc>
          <w:tcPr>
            <w:tcW w:w="2551" w:type="dxa"/>
            <w:shd w:val="clear" w:color="auto" w:fill="auto"/>
          </w:tcPr>
          <w:p w14:paraId="1BC7E234" w14:textId="6E835ADE" w:rsidR="00515675" w:rsidRPr="00B14C49" w:rsidRDefault="004A0E52" w:rsidP="001E1429">
            <w:pPr>
              <w:jc w:val="left"/>
              <w:cnfStyle w:val="000000000000" w:firstRow="0" w:lastRow="0" w:firstColumn="0" w:lastColumn="0" w:oddVBand="0" w:evenVBand="0" w:oddHBand="0" w:evenHBand="0" w:firstRowFirstColumn="0" w:firstRowLastColumn="0" w:lastRowFirstColumn="0" w:lastRowLastColumn="0"/>
              <w:rPr>
                <w:noProof/>
                <w:sz w:val="18"/>
                <w:szCs w:val="18"/>
                <w:highlight w:val="yellow"/>
              </w:rPr>
            </w:pPr>
            <w:r>
              <w:rPr>
                <w:noProof/>
                <w:sz w:val="18"/>
              </w:rPr>
              <w:t>Noin 155 % vuoden 2024 jälkipuoliskolla ja 139 % vuoden 2024 alkupuoliskolla</w:t>
            </w:r>
          </w:p>
        </w:tc>
        <w:tc>
          <w:tcPr>
            <w:tcW w:w="4678" w:type="dxa"/>
            <w:vMerge/>
          </w:tcPr>
          <w:p w14:paraId="5E3DB12B" w14:textId="77777777" w:rsidR="00515675" w:rsidRPr="008562DF"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965EC1" w14:paraId="614A2488"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6DB7E7C" w14:textId="77777777" w:rsidR="00855155" w:rsidRPr="008562DF" w:rsidRDefault="00855155" w:rsidP="00855155">
            <w:pPr>
              <w:rPr>
                <w:noProof/>
                <w:sz w:val="18"/>
                <w:szCs w:val="18"/>
              </w:rPr>
            </w:pPr>
          </w:p>
        </w:tc>
        <w:tc>
          <w:tcPr>
            <w:tcW w:w="3264" w:type="dxa"/>
            <w:vMerge/>
          </w:tcPr>
          <w:p w14:paraId="0D90588E" w14:textId="77777777" w:rsidR="00855155" w:rsidRPr="008562DF" w:rsidRDefault="00855155" w:rsidP="0085515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5A1FC93" w14:textId="77777777" w:rsidR="00855155" w:rsidRPr="008562DF" w:rsidRDefault="00855155" w:rsidP="00855155">
            <w:pPr>
              <w:pStyle w:val="ListParagraph"/>
              <w:numPr>
                <w:ilvl w:val="0"/>
                <w:numId w:val="22"/>
              </w:numPr>
              <w:spacing w:after="40" w:line="240" w:lineRule="auto"/>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Absoluuttinen vaihto</w:t>
            </w:r>
          </w:p>
        </w:tc>
        <w:tc>
          <w:tcPr>
            <w:tcW w:w="2551" w:type="dxa"/>
            <w:shd w:val="clear" w:color="auto" w:fill="auto"/>
          </w:tcPr>
          <w:p w14:paraId="62638E0F" w14:textId="58BE0A6C" w:rsidR="00855155" w:rsidRPr="00811C3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894 miljardia euroa vuoden 2024 jälkipuoliskolla (714 miljardia euroa vuoden 2024 alkupuoliskolla)</w:t>
            </w:r>
          </w:p>
        </w:tc>
        <w:tc>
          <w:tcPr>
            <w:tcW w:w="4678" w:type="dxa"/>
            <w:vMerge/>
          </w:tcPr>
          <w:p w14:paraId="204DBCA1" w14:textId="77777777" w:rsidR="00855155" w:rsidRPr="00811C3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lang w:val="de-DE"/>
              </w:rPr>
            </w:pPr>
          </w:p>
        </w:tc>
      </w:tr>
      <w:tr w:rsidR="00855155" w:rsidRPr="008562DF" w14:paraId="6CDFCE1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74687083" w14:textId="77777777" w:rsidR="00855155" w:rsidRPr="00811C3B" w:rsidRDefault="00855155" w:rsidP="00855155">
            <w:pPr>
              <w:rPr>
                <w:noProof/>
                <w:sz w:val="18"/>
                <w:szCs w:val="18"/>
                <w:lang w:val="de-DE"/>
              </w:rPr>
            </w:pPr>
          </w:p>
        </w:tc>
        <w:tc>
          <w:tcPr>
            <w:tcW w:w="3264" w:type="dxa"/>
            <w:vMerge w:val="restart"/>
            <w:shd w:val="clear" w:color="auto" w:fill="auto"/>
          </w:tcPr>
          <w:p w14:paraId="65B13C23" w14:textId="77777777" w:rsidR="00855155" w:rsidRPr="008562DF" w:rsidRDefault="00855155" w:rsidP="00855155">
            <w:pPr>
              <w:pStyle w:val="ListParagraph"/>
              <w:numPr>
                <w:ilvl w:val="0"/>
                <w:numId w:val="28"/>
              </w:numPr>
              <w:spacing w:after="60" w:line="240" w:lineRule="auto"/>
              <w:ind w:left="170" w:hanging="170"/>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Pr>
                <w:rFonts w:ascii="EC Square Sans Pro" w:hAnsi="EC Square Sans Pro"/>
                <w:noProof/>
                <w:color w:val="034EA2" w:themeColor="accent1"/>
                <w:sz w:val="18"/>
              </w:rPr>
              <w:t xml:space="preserve"> EU:n joukkolainojen liikkeeseenlaskujen maturiteettiprofiilin hallinta ottaen asianmukaisesti huomioon seuraavat seikat:</w:t>
            </w:r>
          </w:p>
          <w:p w14:paraId="5B5CEFF1"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väliaikainen lisäliikkumavara (NextGenerationEU-välineeseen liittyvä lainanotto) ja pysyvä liikkumavara (makrotaloudellinen rahoitusapu plus -väline) EU:n talousarviossa</w:t>
            </w:r>
          </w:p>
          <w:p w14:paraId="176DD99A"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 xml:space="preserve">tulevien maksujen lunastus kunakin vuonna </w:t>
            </w:r>
          </w:p>
          <w:p w14:paraId="6C41B5BF"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vakaat tulevat jälleenrahoitustarpeet</w:t>
            </w:r>
          </w:p>
          <w:p w14:paraId="2FE64132" w14:textId="77777777" w:rsidR="00855155" w:rsidRPr="008562DF"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Pr>
                <w:rFonts w:ascii="EC Square Sans Pro" w:hAnsi="EC Square Sans Pro"/>
                <w:noProof/>
                <w:sz w:val="18"/>
              </w:rPr>
              <w:t>tarve suojata EU:n luottoluokitusta, jotta voidaan varmistaa alhaiset lainakustannukset pitkällä aikavälillä ja vahva kysyntä sijoittajien ydinjoukossa.</w:t>
            </w:r>
          </w:p>
        </w:tc>
        <w:tc>
          <w:tcPr>
            <w:tcW w:w="2268" w:type="dxa"/>
            <w:shd w:val="clear" w:color="auto" w:fill="auto"/>
          </w:tcPr>
          <w:p w14:paraId="2F5FE8B7" w14:textId="77777777" w:rsidR="00855155" w:rsidRPr="008562DF"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Liikkeeseenlaskun keskimääräinen maturiteetti </w:t>
            </w:r>
          </w:p>
        </w:tc>
        <w:tc>
          <w:tcPr>
            <w:tcW w:w="2551" w:type="dxa"/>
            <w:shd w:val="clear" w:color="auto" w:fill="auto"/>
          </w:tcPr>
          <w:p w14:paraId="0D6F8E3F"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Noin 12 vuotta </w:t>
            </w:r>
          </w:p>
        </w:tc>
        <w:tc>
          <w:tcPr>
            <w:tcW w:w="4678" w:type="dxa"/>
            <w:vMerge w:val="restart"/>
            <w:shd w:val="clear" w:color="auto" w:fill="auto"/>
          </w:tcPr>
          <w:p w14:paraId="0BB0D198" w14:textId="77777777" w:rsidR="00855155" w:rsidRPr="00F32988"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Vuoden 2024 jälkipuoliskolla EU:n joukkolainojen liikkeeseenlaskujen keskimääräinen maturiteetti oli 12 vuotta. Tämä kuvastaa tarvetta jakaa lunastusprofiili ajallisesti ja samalla houkutella sijoittajia EU:n ensimarkkinoilla toteutettaviin transaktioihin. Keskimääräinen maturiteetti oli lyhyempi kuin vuotta 2024 koskevassa vuotuisessa lainanottopäätöksessä vahvistettu 17 vuoden keskimääräinen enimmäismaturiteetti.</w:t>
            </w:r>
          </w:p>
          <w:p w14:paraId="19656B5E" w14:textId="77777777" w:rsidR="00855155" w:rsidRPr="00F32988"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62D4C2FF"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Liikkeessä olevan velan keskimääräinen erääntymisaika pysyi vakaana (noin 12 vuodessa).</w:t>
            </w:r>
          </w:p>
          <w:p w14:paraId="1749A647" w14:textId="77777777" w:rsidR="00855155"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7F7CAC02" w14:textId="265DCB7C"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Myös jälleenrahoitus pysyi aiempien liikkeeseenlaskujen myötä vakaana ja suhteutettuna lunastusprofiiliin.</w:t>
            </w:r>
          </w:p>
        </w:tc>
      </w:tr>
      <w:tr w:rsidR="00855155" w:rsidRPr="008562DF" w14:paraId="5FD08962"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0F27B35" w14:textId="77777777" w:rsidR="00855155" w:rsidRPr="008562DF" w:rsidRDefault="00855155" w:rsidP="00855155">
            <w:pPr>
              <w:rPr>
                <w:noProof/>
                <w:sz w:val="18"/>
                <w:szCs w:val="18"/>
              </w:rPr>
            </w:pPr>
          </w:p>
        </w:tc>
        <w:tc>
          <w:tcPr>
            <w:tcW w:w="3264" w:type="dxa"/>
            <w:vMerge/>
          </w:tcPr>
          <w:p w14:paraId="516D9045" w14:textId="77777777" w:rsidR="00855155" w:rsidRPr="008562DF"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344961B" w14:textId="77777777" w:rsidR="00855155" w:rsidRPr="008562DF"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Liikkeessä olevan velan keskimääräinen erääntymisaika</w:t>
            </w:r>
          </w:p>
        </w:tc>
        <w:tc>
          <w:tcPr>
            <w:tcW w:w="2551" w:type="dxa"/>
            <w:shd w:val="clear" w:color="auto" w:fill="auto"/>
          </w:tcPr>
          <w:p w14:paraId="293F915B"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Noin 12 vuotta</w:t>
            </w:r>
          </w:p>
        </w:tc>
        <w:tc>
          <w:tcPr>
            <w:tcW w:w="4678" w:type="dxa"/>
            <w:vMerge/>
          </w:tcPr>
          <w:p w14:paraId="06B81A2B"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6064274F"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E33636B" w14:textId="77777777" w:rsidR="00855155" w:rsidRPr="008562DF" w:rsidRDefault="00855155" w:rsidP="00855155">
            <w:pPr>
              <w:rPr>
                <w:noProof/>
                <w:sz w:val="18"/>
                <w:szCs w:val="18"/>
              </w:rPr>
            </w:pPr>
          </w:p>
        </w:tc>
        <w:tc>
          <w:tcPr>
            <w:tcW w:w="3264" w:type="dxa"/>
            <w:vMerge/>
          </w:tcPr>
          <w:p w14:paraId="7479F282" w14:textId="77777777" w:rsidR="00855155" w:rsidRPr="008562DF" w:rsidRDefault="00855155" w:rsidP="00855155">
            <w:pPr>
              <w:pStyle w:val="ListParagraph"/>
              <w:numPr>
                <w:ilvl w:val="0"/>
                <w:numId w:val="28"/>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055961FC" w14:textId="77777777" w:rsidR="00855155" w:rsidRPr="008562DF"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Lyhytaikainen jälleenrahoitus eli seuraavien 12 kuukauden aikana erääntyvien joukkolainojen ja velkasitoumusten prosenttiosuus</w:t>
            </w:r>
          </w:p>
        </w:tc>
        <w:tc>
          <w:tcPr>
            <w:tcW w:w="2551" w:type="dxa"/>
            <w:shd w:val="clear" w:color="auto" w:fill="auto"/>
          </w:tcPr>
          <w:p w14:paraId="5110C4A8" w14:textId="38BBEB78"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Alle 10 prosenttia</w:t>
            </w:r>
          </w:p>
        </w:tc>
        <w:tc>
          <w:tcPr>
            <w:tcW w:w="4678" w:type="dxa"/>
            <w:vMerge/>
          </w:tcPr>
          <w:p w14:paraId="0B553F25"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8562DF" w14:paraId="7562A38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D44FCBA" w14:textId="77777777" w:rsidR="00855155" w:rsidRPr="008562DF" w:rsidRDefault="00855155" w:rsidP="00855155">
            <w:pPr>
              <w:rPr>
                <w:noProof/>
                <w:sz w:val="18"/>
                <w:szCs w:val="18"/>
              </w:rPr>
            </w:pPr>
          </w:p>
        </w:tc>
        <w:tc>
          <w:tcPr>
            <w:tcW w:w="3264" w:type="dxa"/>
            <w:vMerge/>
          </w:tcPr>
          <w:p w14:paraId="5AA07583" w14:textId="77777777" w:rsidR="00855155" w:rsidRPr="008562DF"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8C90BDD" w14:textId="77777777" w:rsidR="00855155" w:rsidRPr="00A5711F"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pacing w:val="-6"/>
                <w:sz w:val="18"/>
                <w:szCs w:val="18"/>
              </w:rPr>
            </w:pPr>
            <w:r>
              <w:rPr>
                <w:rFonts w:ascii="EC Square Sans Pro" w:hAnsi="EC Square Sans Pro"/>
                <w:i/>
                <w:noProof/>
                <w:sz w:val="18"/>
              </w:rPr>
              <w:t>Keskipitkän aikavälin jälleenrahoitus eli seuraavien viiden vuoden aikana erääntyvien joukkolainojen ja velkasitoumusten prosenttiosuus</w:t>
            </w:r>
          </w:p>
        </w:tc>
        <w:tc>
          <w:tcPr>
            <w:tcW w:w="2551" w:type="dxa"/>
            <w:shd w:val="clear" w:color="auto" w:fill="auto"/>
          </w:tcPr>
          <w:p w14:paraId="33D8FEFE" w14:textId="160C4F46"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Alle 37 %</w:t>
            </w:r>
          </w:p>
        </w:tc>
        <w:tc>
          <w:tcPr>
            <w:tcW w:w="4678" w:type="dxa"/>
            <w:vMerge/>
          </w:tcPr>
          <w:p w14:paraId="26BB2AB8"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53FD8A04"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6427F484" w14:textId="77777777" w:rsidR="00855155" w:rsidRPr="008562DF" w:rsidRDefault="00855155" w:rsidP="00855155">
            <w:pPr>
              <w:jc w:val="left"/>
              <w:rPr>
                <w:noProof/>
                <w:color w:val="034EA2" w:themeColor="accent1"/>
                <w:sz w:val="18"/>
                <w:szCs w:val="18"/>
              </w:rPr>
            </w:pPr>
            <w:r>
              <w:rPr>
                <w:noProof/>
                <w:color w:val="034EA2" w:themeColor="accent1"/>
                <w:sz w:val="18"/>
              </w:rPr>
              <w:t>EU:n velkasitoumusohjelman täytäntöönpano</w:t>
            </w:r>
          </w:p>
          <w:p w14:paraId="6BDC45A4" w14:textId="77777777" w:rsidR="00855155" w:rsidRPr="008562DF" w:rsidRDefault="00855155" w:rsidP="00855155">
            <w:pPr>
              <w:rPr>
                <w:noProof/>
                <w:sz w:val="18"/>
                <w:szCs w:val="18"/>
              </w:rPr>
            </w:pPr>
          </w:p>
        </w:tc>
        <w:tc>
          <w:tcPr>
            <w:tcW w:w="3264" w:type="dxa"/>
            <w:vMerge w:val="restart"/>
            <w:shd w:val="clear" w:color="auto" w:fill="auto"/>
          </w:tcPr>
          <w:p w14:paraId="7C688EAC" w14:textId="77777777" w:rsidR="00855155" w:rsidRPr="002F10C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EU:n maturiteetiltaan enintään vuoden velkasitoumusten säännöllinen liikkeeseenlasku huutokaupalla uusien sijoittajien houkuttelemiseksi (tai nykyisten sijoittajien sijoitussalkkujen kasvattamiseksi) ja maksuvalmiuden hallinnan tukemiseksi.</w:t>
            </w:r>
          </w:p>
        </w:tc>
        <w:tc>
          <w:tcPr>
            <w:tcW w:w="2268" w:type="dxa"/>
            <w:shd w:val="clear" w:color="auto" w:fill="auto"/>
          </w:tcPr>
          <w:p w14:paraId="5236647A" w14:textId="77777777" w:rsidR="00855155" w:rsidRPr="002F10CB" w:rsidRDefault="00855155" w:rsidP="00855155">
            <w:pPr>
              <w:pStyle w:val="ListParagraph"/>
              <w:numPr>
                <w:ilvl w:val="0"/>
                <w:numId w:val="24"/>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Pr>
                <w:rFonts w:ascii="EC Square Sans Pro" w:hAnsi="EC Square Sans Pro"/>
                <w:i/>
                <w:noProof/>
                <w:sz w:val="18"/>
              </w:rPr>
              <w:t>EU:n velkasitoumusten liikkeessä oleva määrä</w:t>
            </w:r>
          </w:p>
        </w:tc>
        <w:tc>
          <w:tcPr>
            <w:tcW w:w="2551" w:type="dxa"/>
            <w:shd w:val="clear" w:color="auto" w:fill="auto"/>
          </w:tcPr>
          <w:p w14:paraId="0BB9903D" w14:textId="77777777" w:rsidR="00855155" w:rsidRPr="002F10C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20–25 miljardia euroa</w:t>
            </w:r>
          </w:p>
        </w:tc>
        <w:tc>
          <w:tcPr>
            <w:tcW w:w="4678" w:type="dxa"/>
            <w:vMerge w:val="restart"/>
            <w:shd w:val="clear" w:color="auto" w:fill="auto"/>
          </w:tcPr>
          <w:p w14:paraId="68DF278F" w14:textId="77777777" w:rsidR="00855155" w:rsidRPr="002F10C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EU:n velkasitoumuksia koskevan ohjelman mukainen liikkeessä oleva velka kasvoi jakson aikana noin 20 miljardista eurosta noin 25 miljardiin euroon osana ohjelman kehittämistä likviditeetin lisäämiseksi tarvittaessa.</w:t>
            </w:r>
          </w:p>
        </w:tc>
      </w:tr>
      <w:tr w:rsidR="00855155" w:rsidRPr="008562DF" w14:paraId="72EA0DDA"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40A498F7" w14:textId="77777777" w:rsidR="00855155" w:rsidRPr="008562DF" w:rsidRDefault="00855155" w:rsidP="00855155">
            <w:pPr>
              <w:jc w:val="left"/>
              <w:rPr>
                <w:noProof/>
                <w:color w:val="034EA2" w:themeColor="accent1"/>
                <w:sz w:val="18"/>
                <w:szCs w:val="18"/>
              </w:rPr>
            </w:pPr>
          </w:p>
        </w:tc>
        <w:tc>
          <w:tcPr>
            <w:tcW w:w="3264" w:type="dxa"/>
            <w:vMerge/>
          </w:tcPr>
          <w:p w14:paraId="058D0996" w14:textId="77777777"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0EB56868" w14:textId="77777777" w:rsidR="00855155" w:rsidRPr="008562DF" w:rsidRDefault="00855155" w:rsidP="00855155">
            <w:pPr>
              <w:pStyle w:val="ListParagraph"/>
              <w:numPr>
                <w:ilvl w:val="0"/>
                <w:numId w:val="24"/>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EU:n velkasitoumushuutokauppojen lukumäärä</w:t>
            </w:r>
          </w:p>
        </w:tc>
        <w:tc>
          <w:tcPr>
            <w:tcW w:w="2551" w:type="dxa"/>
            <w:shd w:val="clear" w:color="auto" w:fill="auto"/>
          </w:tcPr>
          <w:p w14:paraId="60731800"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10</w:t>
            </w:r>
          </w:p>
        </w:tc>
        <w:tc>
          <w:tcPr>
            <w:tcW w:w="4678" w:type="dxa"/>
            <w:vMerge/>
          </w:tcPr>
          <w:p w14:paraId="3A6C9702"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25619B42"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18225424" w14:textId="77777777" w:rsidR="00855155" w:rsidRPr="008562DF" w:rsidRDefault="00855155" w:rsidP="00855155">
            <w:pPr>
              <w:rPr>
                <w:noProof/>
                <w:sz w:val="18"/>
                <w:szCs w:val="18"/>
              </w:rPr>
            </w:pPr>
            <w:r>
              <w:rPr>
                <w:noProof/>
                <w:color w:val="034EA2" w:themeColor="accent1"/>
                <w:sz w:val="18"/>
              </w:rPr>
              <w:t>Likviditeetin hallinta</w:t>
            </w:r>
          </w:p>
        </w:tc>
        <w:tc>
          <w:tcPr>
            <w:tcW w:w="3264" w:type="dxa"/>
            <w:shd w:val="clear" w:color="auto" w:fill="auto"/>
          </w:tcPr>
          <w:p w14:paraId="7802AAF0" w14:textId="78E36A0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Likviditeettipoolin hallinta maksuvelvoitteiden, maksutarpeiden ja käteisvarojen hallussapidon kustannusten pohjalta sekä ottaen asianmukaisesti huomioon vallitsevat markkinaolosuhteet.</w:t>
            </w:r>
          </w:p>
        </w:tc>
        <w:tc>
          <w:tcPr>
            <w:tcW w:w="2268" w:type="dxa"/>
            <w:shd w:val="clear" w:color="auto" w:fill="auto"/>
          </w:tcPr>
          <w:p w14:paraId="1964AC6E" w14:textId="77777777" w:rsidR="00855155" w:rsidRPr="008562DF" w:rsidRDefault="00855155" w:rsidP="00855155">
            <w:pPr>
              <w:pStyle w:val="ListParagraph"/>
              <w:numPr>
                <w:ilvl w:val="0"/>
                <w:numId w:val="25"/>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Likviditeetin puutteesta johtuvien maksuhäiriöiden lukumäärä</w:t>
            </w:r>
          </w:p>
        </w:tc>
        <w:tc>
          <w:tcPr>
            <w:tcW w:w="2551" w:type="dxa"/>
            <w:shd w:val="clear" w:color="auto" w:fill="auto"/>
          </w:tcPr>
          <w:p w14:paraId="4637B986" w14:textId="7777777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Ei ole</w:t>
            </w:r>
          </w:p>
        </w:tc>
        <w:tc>
          <w:tcPr>
            <w:tcW w:w="4678" w:type="dxa"/>
            <w:shd w:val="clear" w:color="auto" w:fill="auto"/>
          </w:tcPr>
          <w:p w14:paraId="62D5210B" w14:textId="188CFE01"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Komissio täytti kaikki maksutarpeet, eikä vuoden 2024 jälkipuoliskolla ollut maksuhäiriöitä.</w:t>
            </w:r>
          </w:p>
        </w:tc>
      </w:tr>
      <w:tr w:rsidR="00855155" w:rsidRPr="008562DF" w14:paraId="1DDCD7DB"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2C8DFAE9" w14:textId="77777777" w:rsidR="00855155" w:rsidRPr="008562DF" w:rsidRDefault="00855155" w:rsidP="00855155">
            <w:pPr>
              <w:jc w:val="left"/>
              <w:rPr>
                <w:noProof/>
                <w:sz w:val="18"/>
                <w:szCs w:val="18"/>
              </w:rPr>
            </w:pPr>
            <w:r>
              <w:rPr>
                <w:noProof/>
                <w:color w:val="034EA2" w:themeColor="accent1"/>
                <w:sz w:val="18"/>
              </w:rPr>
              <w:t>Päämarkkinatakaajien verkosto</w:t>
            </w:r>
          </w:p>
        </w:tc>
        <w:tc>
          <w:tcPr>
            <w:tcW w:w="3264" w:type="dxa"/>
            <w:shd w:val="clear" w:color="auto" w:fill="auto"/>
          </w:tcPr>
          <w:p w14:paraId="5DDF7E81" w14:textId="3BDD073C"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Houkutellaan monenlaisia rahoituslaitoksia, jotka osoittavat olevansa vahvasti sitoutuneita tukemaan EU:n liikkeeseenlaskuja.</w:t>
            </w:r>
          </w:p>
        </w:tc>
        <w:tc>
          <w:tcPr>
            <w:tcW w:w="2268" w:type="dxa"/>
            <w:shd w:val="clear" w:color="auto" w:fill="auto"/>
          </w:tcPr>
          <w:p w14:paraId="62050E1A" w14:textId="7039DD80" w:rsidR="00855155" w:rsidRPr="008562DF" w:rsidRDefault="00855155" w:rsidP="00855155">
            <w:pPr>
              <w:pStyle w:val="ListParagraph"/>
              <w:numPr>
                <w:ilvl w:val="0"/>
                <w:numId w:val="13"/>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bookmarkStart w:id="75" w:name="_Hlk187078956"/>
            <w:r>
              <w:rPr>
                <w:rFonts w:ascii="EC Square Sans Pro" w:hAnsi="EC Square Sans Pro"/>
                <w:i/>
                <w:noProof/>
                <w:sz w:val="18"/>
              </w:rPr>
              <w:t>Niiden laitosten lukumäärä, jotka ovat allekirjoittaneet transaktioita koskevia merkintäsitoumuksia viimeksi kuluneiden kuuden kuukauden aikana</w:t>
            </w:r>
            <w:bookmarkEnd w:id="75"/>
          </w:p>
        </w:tc>
        <w:tc>
          <w:tcPr>
            <w:tcW w:w="2551" w:type="dxa"/>
            <w:shd w:val="clear" w:color="auto" w:fill="auto"/>
          </w:tcPr>
          <w:p w14:paraId="76FAE338" w14:textId="14B1E47F"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15 (vuoden 2024 alkupuoliskolla 19)</w:t>
            </w:r>
          </w:p>
        </w:tc>
        <w:tc>
          <w:tcPr>
            <w:tcW w:w="4678" w:type="dxa"/>
            <w:shd w:val="clear" w:color="auto" w:fill="auto"/>
          </w:tcPr>
          <w:p w14:paraId="11EBCB24" w14:textId="60E17C19"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bCs/>
                <w:noProof/>
                <w:sz w:val="18"/>
                <w:szCs w:val="18"/>
              </w:rPr>
            </w:pPr>
            <w:r>
              <w:rPr>
                <w:noProof/>
                <w:sz w:val="18"/>
              </w:rPr>
              <w:t>EU:n päämarkkinatakaajat tukivat edelleen komissiota, ja syndikaatioiden rotaation ansiosta komissio pystyi hyödyntämään parhaalla mahdollisella tavalla kaikkia syndikaattiin soveltuvia pankkeja.</w:t>
            </w:r>
          </w:p>
        </w:tc>
      </w:tr>
      <w:tr w:rsidR="00855155" w:rsidRPr="008562DF" w14:paraId="0491B75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3C51B3BE" w14:textId="77777777" w:rsidR="00855155" w:rsidRPr="008562DF" w:rsidRDefault="00855155" w:rsidP="00855155">
            <w:pPr>
              <w:jc w:val="left"/>
              <w:rPr>
                <w:noProof/>
                <w:sz w:val="18"/>
                <w:szCs w:val="18"/>
              </w:rPr>
            </w:pPr>
            <w:r>
              <w:rPr>
                <w:noProof/>
                <w:color w:val="034EA2" w:themeColor="accent1"/>
                <w:sz w:val="18"/>
              </w:rPr>
              <w:t xml:space="preserve">Viestintä eri markkinasidosryhmien ja vastaavien liikkeeseenlaskijoiden kanssa </w:t>
            </w:r>
          </w:p>
        </w:tc>
        <w:tc>
          <w:tcPr>
            <w:tcW w:w="3264" w:type="dxa"/>
            <w:vMerge w:val="restart"/>
            <w:shd w:val="clear" w:color="auto" w:fill="auto"/>
          </w:tcPr>
          <w:p w14:paraId="256948EE" w14:textId="2A730EEC"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Ylläpidetään ja rakennetaan sijoittajapohjan, markkinaosapuolten ja vastaavien liikkeeseenlaskijoiden luottamusta, jotta voidaan tukea EU:n velan kysyntää ja parantaa EU:n ymmärrystä markkinadynamiikasta ja sijoittajien tarpeista.</w:t>
            </w:r>
          </w:p>
        </w:tc>
        <w:tc>
          <w:tcPr>
            <w:tcW w:w="2268" w:type="dxa"/>
            <w:shd w:val="clear" w:color="auto" w:fill="auto"/>
          </w:tcPr>
          <w:p w14:paraId="531FA22F" w14:textId="77777777" w:rsidR="00855155" w:rsidRPr="008562DF"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Poikkeamat ennalta ilmoitetuista varainhankintasuunnitelmien julkaisuajoista </w:t>
            </w:r>
          </w:p>
        </w:tc>
        <w:tc>
          <w:tcPr>
            <w:tcW w:w="2551" w:type="dxa"/>
            <w:shd w:val="clear" w:color="auto" w:fill="auto"/>
          </w:tcPr>
          <w:p w14:paraId="7F9DC91A" w14:textId="7777777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Ei ole</w:t>
            </w:r>
          </w:p>
        </w:tc>
        <w:tc>
          <w:tcPr>
            <w:tcW w:w="4678" w:type="dxa"/>
            <w:vMerge w:val="restart"/>
            <w:shd w:val="clear" w:color="auto" w:fill="auto"/>
          </w:tcPr>
          <w:p w14:paraId="6338D717" w14:textId="77777777" w:rsidR="00855155" w:rsidRPr="00F32988"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Komissio jatkoi säännöllistä ja ennakoitavaa viestintää markkinoihin nähden aiempien ilmoitusten mukaisesti. </w:t>
            </w:r>
          </w:p>
          <w:p w14:paraId="16A075E2" w14:textId="74F314A6" w:rsidR="00855155" w:rsidRPr="008562DF" w:rsidRDefault="00F71DFB"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Vuoden 2024 jälkipuoliskon aikana joukkolainojen huutokaupoissa määrää vähennettiin miljardilla eurolla houkuttelevien rahoitusehtojen turvaamiseksi.</w:t>
            </w:r>
          </w:p>
          <w:p w14:paraId="24D7217D" w14:textId="1FAC08E4" w:rsidR="00855155" w:rsidRPr="008562DF"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Komissio julkaisi säännöllisesti sijoittajatilastoja, jotka pysyivät vakaina, ja sen monipuolinen sijoittajapohja kasvoi edelleen.</w:t>
            </w:r>
          </w:p>
          <w:p w14:paraId="6C2C8FB3"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8562DF" w14:paraId="62A4F54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53290D7" w14:textId="77777777" w:rsidR="00855155" w:rsidRPr="008562DF" w:rsidRDefault="00855155" w:rsidP="00855155">
            <w:pPr>
              <w:rPr>
                <w:noProof/>
                <w:color w:val="034EA2" w:themeColor="accent1"/>
                <w:sz w:val="18"/>
                <w:szCs w:val="18"/>
              </w:rPr>
            </w:pPr>
          </w:p>
        </w:tc>
        <w:tc>
          <w:tcPr>
            <w:tcW w:w="3264" w:type="dxa"/>
            <w:vMerge/>
          </w:tcPr>
          <w:p w14:paraId="5FEB6FF4" w14:textId="77777777"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6632DA66" w14:textId="77777777" w:rsidR="00855155" w:rsidRPr="008562DF" w:rsidRDefault="00855155" w:rsidP="00855155">
            <w:pPr>
              <w:pStyle w:val="ListParagraph"/>
              <w:numPr>
                <w:ilvl w:val="0"/>
                <w:numId w:val="26"/>
              </w:numPr>
              <w:spacing w:after="40"/>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 xml:space="preserve">Poikkeaminen varainhankintasuunnitelmassa ilmoitetuista määristä </w:t>
            </w:r>
          </w:p>
        </w:tc>
        <w:tc>
          <w:tcPr>
            <w:tcW w:w="2551" w:type="dxa"/>
            <w:shd w:val="clear" w:color="auto" w:fill="auto"/>
          </w:tcPr>
          <w:p w14:paraId="47F1776F" w14:textId="77777777" w:rsidR="00855155" w:rsidRPr="008562DF"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Pr>
                <w:noProof/>
                <w:sz w:val="18"/>
              </w:rPr>
              <w:t>Alle miljardi euroa eli alle 2 prosenttia (alle 2 % vuoden 2024 alkupuoliskolla).</w:t>
            </w:r>
          </w:p>
        </w:tc>
        <w:tc>
          <w:tcPr>
            <w:tcW w:w="4678" w:type="dxa"/>
            <w:vMerge/>
          </w:tcPr>
          <w:p w14:paraId="157FCB3F" w14:textId="77777777" w:rsidR="00855155" w:rsidRPr="008562DF"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8562DF" w14:paraId="6C55C8B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D62398C" w14:textId="77777777" w:rsidR="00855155" w:rsidRPr="008562DF" w:rsidRDefault="00855155" w:rsidP="00855155">
            <w:pPr>
              <w:rPr>
                <w:noProof/>
                <w:color w:val="034EA2" w:themeColor="accent1"/>
                <w:sz w:val="18"/>
                <w:szCs w:val="18"/>
              </w:rPr>
            </w:pPr>
          </w:p>
        </w:tc>
        <w:tc>
          <w:tcPr>
            <w:tcW w:w="3264" w:type="dxa"/>
            <w:vMerge/>
          </w:tcPr>
          <w:p w14:paraId="6C4695C2" w14:textId="77777777"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p>
        </w:tc>
        <w:tc>
          <w:tcPr>
            <w:tcW w:w="2268" w:type="dxa"/>
            <w:shd w:val="clear" w:color="auto" w:fill="auto"/>
          </w:tcPr>
          <w:p w14:paraId="6AEC34E0" w14:textId="77777777" w:rsidR="00855155" w:rsidRPr="008562DF"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Pr>
                <w:rFonts w:ascii="EC Square Sans Pro" w:hAnsi="EC Square Sans Pro"/>
                <w:i/>
                <w:noProof/>
                <w:sz w:val="18"/>
              </w:rPr>
              <w:t>Sijoittajien jakaumatilastot</w:t>
            </w:r>
          </w:p>
        </w:tc>
        <w:tc>
          <w:tcPr>
            <w:tcW w:w="2551" w:type="dxa"/>
            <w:shd w:val="clear" w:color="auto" w:fill="auto"/>
          </w:tcPr>
          <w:p w14:paraId="43E73872" w14:textId="77777777" w:rsidR="00855155" w:rsidRPr="00B54E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Tyypeittäin: </w:t>
            </w:r>
          </w:p>
          <w:p w14:paraId="186D47DB" w14:textId="1FA18E5F" w:rsidR="00855155" w:rsidRPr="00B54E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 xml:space="preserve">keskuspankit / julkiset laitokset 25,1 %, rahastonhoitajat 22,5 %, pankkien maksuvalmius- ja rahoitusosastot 21,9 %, vakuutus- ja eläkerahastot 20,5 %, pankit 7,3 %, hedgerahastot 2,6 %. </w:t>
            </w:r>
          </w:p>
          <w:p w14:paraId="04AC14B1" w14:textId="630E0D44" w:rsidR="00855155" w:rsidRPr="008562DF"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Pr>
                <w:noProof/>
                <w:sz w:val="18"/>
              </w:rPr>
              <w:t>Maittain/alueittain: Yhdistynyt kuningaskunta 19,4 %, Pohjoismaat 12,4 %, Ranska 11,7 %, Benelux-maat 9,2 %, Italia 8,8 %, Aasian ja Tyynenmeren alue 8,2 %, Saksa 8,1 %, Espanja ja Portugali 7,9 %, muut EU-maat 7,4 %, EU:n ulkopuoliset Euroopan maat 2,6 %, Amerikka 2,2 %, Lähi-itä ja Afrikka 2,0 %</w:t>
            </w:r>
          </w:p>
        </w:tc>
        <w:tc>
          <w:tcPr>
            <w:tcW w:w="4678" w:type="dxa"/>
            <w:vMerge/>
          </w:tcPr>
          <w:p w14:paraId="58A27B01" w14:textId="77777777" w:rsidR="00855155" w:rsidRPr="008562DF"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bl>
    <w:p w14:paraId="07037DC9" w14:textId="77777777" w:rsidR="00515675" w:rsidRPr="003F16EC" w:rsidRDefault="00515675" w:rsidP="00515675">
      <w:pPr>
        <w:rPr>
          <w:b/>
          <w:bCs/>
          <w:noProof/>
          <w:color w:val="034EA2" w:themeColor="accent1"/>
        </w:rPr>
      </w:pPr>
    </w:p>
    <w:sectPr w:rsidR="00515675" w:rsidRPr="003F16EC" w:rsidSect="00A046A3">
      <w:headerReference w:type="even" r:id="rId45"/>
      <w:headerReference w:type="default" r:id="rId46"/>
      <w:footerReference w:type="even" r:id="rId47"/>
      <w:footerReference w:type="default" r:id="rId48"/>
      <w:headerReference w:type="first" r:id="rId49"/>
      <w:footerReference w:type="first" r:id="rId50"/>
      <w:pgSz w:w="16839" w:h="11907"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A1D2" w14:textId="77777777" w:rsidR="0064354F" w:rsidRDefault="0064354F" w:rsidP="008B6253">
      <w:pPr>
        <w:spacing w:after="0"/>
      </w:pPr>
      <w:r>
        <w:separator/>
      </w:r>
    </w:p>
  </w:endnote>
  <w:endnote w:type="continuationSeparator" w:id="0">
    <w:p w14:paraId="47AE044C" w14:textId="77777777" w:rsidR="0064354F" w:rsidRDefault="0064354F" w:rsidP="008B6253">
      <w:pPr>
        <w:spacing w:after="0"/>
      </w:pPr>
      <w:r>
        <w:continuationSeparator/>
      </w:r>
    </w:p>
  </w:endnote>
  <w:endnote w:type="continuationNotice" w:id="1">
    <w:p w14:paraId="4A278816" w14:textId="77777777" w:rsidR="0064354F" w:rsidRDefault="00643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Bahnschrift Light"/>
    <w:charset w:val="00"/>
    <w:family w:val="swiss"/>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DE72" w14:textId="58B05FAB" w:rsidR="000A0DB0" w:rsidRPr="000A0DB0" w:rsidRDefault="000A0DB0" w:rsidP="000A0DB0">
    <w:pPr>
      <w:pStyle w:val="FooterCoverPage"/>
      <w:rPr>
        <w:rFonts w:ascii="Arial" w:hAnsi="Arial" w:cs="Arial"/>
        <w:b/>
        <w:sz w:val="48"/>
      </w:rPr>
    </w:pPr>
    <w:r w:rsidRPr="000A0DB0">
      <w:rPr>
        <w:rFonts w:ascii="Arial" w:hAnsi="Arial" w:cs="Arial"/>
        <w:b/>
        <w:sz w:val="48"/>
      </w:rPr>
      <w:t>FI</w:t>
    </w:r>
    <w:r w:rsidRPr="000A0DB0">
      <w:rPr>
        <w:rFonts w:ascii="Arial" w:hAnsi="Arial" w:cs="Arial"/>
        <w:b/>
        <w:sz w:val="48"/>
      </w:rPr>
      <w:tab/>
    </w:r>
    <w:r w:rsidRPr="000A0DB0">
      <w:rPr>
        <w:rFonts w:ascii="Arial" w:hAnsi="Arial" w:cs="Arial"/>
        <w:b/>
        <w:sz w:val="48"/>
      </w:rPr>
      <w:tab/>
    </w:r>
    <w:r w:rsidRPr="000A0DB0">
      <w:tab/>
    </w:r>
    <w:r w:rsidRPr="000A0DB0">
      <w:rPr>
        <w:rFonts w:ascii="Arial" w:hAnsi="Arial" w:cs="Arial"/>
        <w:b/>
        <w:sz w:val="48"/>
      </w:rPr>
      <w:t>FI</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1C2621" w:rsidRDefault="001C26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1BC0727F" w:rsidR="001C2621" w:rsidRDefault="001C2621">
    <w:pPr>
      <w:pStyle w:val="Footer"/>
      <w:jc w:val="center"/>
      <w:rPr>
        <w:noProof/>
      </w:rPr>
    </w:pPr>
    <w:r>
      <w:fldChar w:fldCharType="begin"/>
    </w:r>
    <w:r>
      <w:instrText xml:space="preserve"> PAGE   \* MERGEFORMAT </w:instrText>
    </w:r>
    <w:r>
      <w:fldChar w:fldCharType="separate"/>
    </w:r>
    <w:r w:rsidR="00170560">
      <w:rPr>
        <w:noProof/>
      </w:rPr>
      <w:t>18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1C2621" w:rsidRDefault="001C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17EA" w14:textId="3022B236" w:rsidR="000A0DB0" w:rsidRPr="000A0DB0" w:rsidRDefault="000A0DB0" w:rsidP="000A0DB0">
    <w:pPr>
      <w:pStyle w:val="FooterCoverPage"/>
      <w:rPr>
        <w:rFonts w:ascii="Arial" w:hAnsi="Arial" w:cs="Arial"/>
        <w:b/>
        <w:sz w:val="48"/>
      </w:rPr>
    </w:pPr>
    <w:r w:rsidRPr="000A0DB0">
      <w:rPr>
        <w:rFonts w:ascii="Arial" w:hAnsi="Arial" w:cs="Arial"/>
        <w:b/>
        <w:sz w:val="48"/>
      </w:rPr>
      <w:t>FI</w:t>
    </w:r>
    <w:r w:rsidRPr="000A0DB0">
      <w:rPr>
        <w:rFonts w:ascii="Arial" w:hAnsi="Arial" w:cs="Arial"/>
        <w:b/>
        <w:sz w:val="48"/>
      </w:rPr>
      <w:tab/>
    </w:r>
    <w:r w:rsidRPr="000A0DB0">
      <w:rPr>
        <w:rFonts w:ascii="Arial" w:hAnsi="Arial" w:cs="Arial"/>
        <w:b/>
        <w:sz w:val="48"/>
      </w:rPr>
      <w:tab/>
    </w:r>
    <w:r w:rsidRPr="000A0DB0">
      <w:tab/>
    </w:r>
    <w:r w:rsidRPr="000A0DB0">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72B3" w14:textId="77777777" w:rsidR="000A0DB0" w:rsidRPr="000A0DB0" w:rsidRDefault="000A0DB0" w:rsidP="000A0DB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1C2621" w:rsidRDefault="001C26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1C2621" w:rsidRPr="007352EE" w:rsidRDefault="001C2621" w:rsidP="00BD68A5">
    <w:pPr>
      <w:pStyle w:val="FooterCoverPage"/>
      <w:rPr>
        <w:rFonts w:ascii="Arial" w:hAnsi="Arial" w:cs="Arial"/>
        <w:b/>
        <w:sz w:val="48"/>
      </w:rPr>
    </w:pPr>
    <w:r>
      <w:rPr>
        <w:rFonts w:ascii="Arial" w:hAnsi="Arial"/>
        <w:b/>
        <w:sz w:val="48"/>
      </w:rPr>
      <w:t>FI</w:t>
    </w:r>
    <w:r>
      <w:rPr>
        <w:rFonts w:ascii="Arial" w:hAnsi="Arial"/>
        <w:b/>
        <w:sz w:val="48"/>
      </w:rPr>
      <w:tab/>
    </w:r>
    <w:r>
      <w:rPr>
        <w:rFonts w:ascii="Arial" w:hAnsi="Arial"/>
        <w:b/>
        <w:sz w:val="48"/>
      </w:rPr>
      <w:tab/>
    </w:r>
    <w:r>
      <w:tab/>
    </w:r>
    <w:r>
      <w:rPr>
        <w:rFonts w:ascii="Arial" w:hAnsi="Arial"/>
        <w:b/>
        <w:sz w:val="48"/>
      </w:rPr>
      <w:t>FI</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1C2621" w:rsidRDefault="001C26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1C2621" w:rsidRDefault="001C26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48415C4F" w:rsidR="001C2621" w:rsidRDefault="001C2621">
        <w:pPr>
          <w:pStyle w:val="Footer"/>
          <w:jc w:val="right"/>
        </w:pPr>
        <w:r>
          <w:fldChar w:fldCharType="begin"/>
        </w:r>
        <w:r>
          <w:instrText xml:space="preserve"> PAGE   \* MERGEFORMAT </w:instrText>
        </w:r>
        <w:r>
          <w:fldChar w:fldCharType="separate"/>
        </w:r>
        <w:r w:rsidR="000A0DB0">
          <w:rPr>
            <w:noProof/>
          </w:rPr>
          <w:t>10</w:t>
        </w:r>
        <w:r>
          <w:fldChar w:fldCharType="end"/>
        </w:r>
      </w:p>
    </w:sdtContent>
  </w:sdt>
  <w:p w14:paraId="0CB50D4F" w14:textId="77777777" w:rsidR="001C2621" w:rsidRDefault="001C26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1C2621" w:rsidRDefault="001C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8878E" w14:textId="77777777" w:rsidR="0064354F" w:rsidRDefault="0064354F" w:rsidP="008B6253">
      <w:pPr>
        <w:spacing w:after="0"/>
      </w:pPr>
      <w:r>
        <w:separator/>
      </w:r>
    </w:p>
  </w:footnote>
  <w:footnote w:type="continuationSeparator" w:id="0">
    <w:p w14:paraId="02904CD4" w14:textId="77777777" w:rsidR="0064354F" w:rsidRDefault="0064354F" w:rsidP="008B6253">
      <w:pPr>
        <w:spacing w:after="0"/>
      </w:pPr>
      <w:r>
        <w:continuationSeparator/>
      </w:r>
    </w:p>
  </w:footnote>
  <w:footnote w:type="continuationNotice" w:id="1">
    <w:p w14:paraId="52232718" w14:textId="77777777" w:rsidR="0064354F" w:rsidRDefault="0064354F">
      <w:pPr>
        <w:spacing w:after="0"/>
      </w:pPr>
    </w:p>
  </w:footnote>
  <w:footnote w:id="2">
    <w:p w14:paraId="36A6D2BF" w14:textId="0FDCEEA8" w:rsidR="00072047" w:rsidRPr="000659B4" w:rsidRDefault="00072047" w:rsidP="00072047">
      <w:pPr>
        <w:pStyle w:val="FootnoteText"/>
        <w:ind w:left="0" w:firstLine="0"/>
      </w:pPr>
      <w:r>
        <w:rPr>
          <w:rStyle w:val="FootnoteReference"/>
        </w:rPr>
        <w:footnoteRef/>
      </w:r>
      <w:r>
        <w:t xml:space="preserve"> Komission täytäntöönpanopäätöksessä (EU) 2024/1974 vahvistetun kustannustenjakomenetelmän mukaisesti.</w:t>
      </w:r>
    </w:p>
  </w:footnote>
  <w:footnote w:id="3">
    <w:p w14:paraId="7D8748D8" w14:textId="77777777" w:rsidR="00F333BA" w:rsidRPr="001A5608" w:rsidRDefault="00F333BA" w:rsidP="00F333BA">
      <w:pPr>
        <w:pStyle w:val="FootnoteText"/>
      </w:pPr>
      <w:r>
        <w:rPr>
          <w:rStyle w:val="FootnoteReference"/>
        </w:rPr>
        <w:footnoteRef/>
      </w:r>
      <w:r>
        <w:rPr>
          <w:rStyle w:val="FootnoteReference"/>
        </w:rPr>
        <w:t xml:space="preserve"> </w:t>
      </w:r>
      <w:r>
        <w:t>Eurooppalainen hätätilasta aiheutuvien työttömyysriskien lieventämisen tilapäinen tukiväline (SURE).</w:t>
      </w:r>
    </w:p>
  </w:footnote>
  <w:footnote w:id="4">
    <w:p w14:paraId="4A028087" w14:textId="2CBB7C47" w:rsidR="00F333BA" w:rsidRPr="000659B4" w:rsidRDefault="00F333BA" w:rsidP="00F333BA">
      <w:pPr>
        <w:pStyle w:val="FootnoteText"/>
        <w:ind w:left="0" w:firstLine="0"/>
      </w:pPr>
      <w:r>
        <w:rPr>
          <w:rStyle w:val="FootnoteReference"/>
        </w:rPr>
        <w:footnoteRef/>
      </w:r>
      <w:r>
        <w:t xml:space="preserve"> Laadittu komission täytäntöönpanopäätöksen C(2023)8010 13 artiklan mukaisesti. Täytäntöönpanopäätöksessä vahvistetaan järjestelyt lainanotto- ja velanhallintatoimia koskevan yhdistetyn varainhankintamenetelmän täytäntöönpanemiseksi.</w:t>
      </w:r>
    </w:p>
  </w:footnote>
  <w:footnote w:id="5">
    <w:p w14:paraId="5D0990D6" w14:textId="4A9D86F3" w:rsidR="00F333BA" w:rsidRPr="000659B4" w:rsidRDefault="00F333BA" w:rsidP="00F333BA">
      <w:pPr>
        <w:pStyle w:val="FootnoteText"/>
        <w:ind w:left="0" w:firstLine="0"/>
      </w:pPr>
      <w:r>
        <w:rPr>
          <w:rStyle w:val="FootnoteReference"/>
        </w:rPr>
        <w:footnoteRef/>
      </w:r>
      <w:r>
        <w:t xml:space="preserve"> Ks. esimerkiksi </w:t>
      </w:r>
      <w:hyperlink r:id="rId1" w:history="1">
        <w:r>
          <w:rPr>
            <w:rStyle w:val="Hyperlink"/>
          </w:rPr>
          <w:t>elpymis- ja palautumisvälinettä</w:t>
        </w:r>
      </w:hyperlink>
      <w:r>
        <w:t xml:space="preserve"> ja </w:t>
      </w:r>
      <w:hyperlink r:id="rId2" w:history="1">
        <w:r>
          <w:rPr>
            <w:rStyle w:val="Hyperlink"/>
          </w:rPr>
          <w:t>makrotaloudellista rahoitusapua</w:t>
        </w:r>
      </w:hyperlink>
      <w:r>
        <w:t xml:space="preserve"> koskevat vuosikertomukset sekä </w:t>
      </w:r>
      <w:hyperlink r:id="rId3" w:history="1">
        <w:r>
          <w:rPr>
            <w:rStyle w:val="Hyperlink"/>
          </w:rPr>
          <w:t>NextGenerationEU-välineen vihreiden joukkolainojen kohdentamista ja vaikutuksia koskeva raportti</w:t>
        </w:r>
      </w:hyperlink>
      <w:r>
        <w:t xml:space="preserve">.  </w:t>
      </w:r>
    </w:p>
  </w:footnote>
  <w:footnote w:id="6">
    <w:p w14:paraId="53063AC2" w14:textId="77777777" w:rsidR="00F333BA" w:rsidRPr="000659B4" w:rsidRDefault="00F333BA" w:rsidP="00F333BA">
      <w:pPr>
        <w:pStyle w:val="FootnoteText"/>
      </w:pPr>
      <w:r>
        <w:rPr>
          <w:rStyle w:val="FootnoteReference"/>
        </w:rPr>
        <w:footnoteRef/>
      </w:r>
      <w:r>
        <w:t xml:space="preserve"> </w:t>
      </w:r>
      <w:hyperlink r:id="rId4" w:history="1">
        <w:r>
          <w:rPr>
            <w:rStyle w:val="Hyperlink"/>
          </w:rPr>
          <w:t>Erityiskertomus 16/2023: NGEU-välineeseen liittyvä velanhoito komissiossa</w:t>
        </w:r>
      </w:hyperlink>
      <w:r>
        <w:t xml:space="preserve"> ja </w:t>
      </w:r>
      <w:hyperlink r:id="rId5" w:history="1">
        <w:r>
          <w:rPr>
            <w:rStyle w:val="Hyperlink"/>
          </w:rPr>
          <w:t>komission vastaukset</w:t>
        </w:r>
      </w:hyperlink>
      <w:r>
        <w:t>.</w:t>
      </w:r>
    </w:p>
  </w:footnote>
  <w:footnote w:id="7">
    <w:p w14:paraId="3108F639" w14:textId="5E67AEF8" w:rsidR="00F333BA" w:rsidRPr="00B551F9" w:rsidRDefault="00F333BA" w:rsidP="00F333BA">
      <w:pPr>
        <w:pStyle w:val="FootnoteText"/>
        <w:ind w:left="0" w:firstLine="0"/>
      </w:pPr>
      <w:r>
        <w:rPr>
          <w:rStyle w:val="FootnoteReference"/>
        </w:rPr>
        <w:footnoteRef/>
      </w:r>
      <w:r>
        <w:t xml:space="preserve"> Kuvaus yleisestä velanhoitostrategiasta on puolivuotiskertomuksessa EU:n lainanotto- ja lainanantotoimien toteuttamisesta 1. tammikuuta 2023 – 30. kesäkuuta 2023, ks. neljäs </w:t>
      </w:r>
      <w:hyperlink r:id="rId6" w:history="1">
        <w:r>
          <w:rPr>
            <w:rStyle w:val="Hyperlink"/>
          </w:rPr>
          <w:t>puolivuotiskertomus EU:n lainanotto- ja lainanantotoimien toteuttamisesta</w:t>
        </w:r>
      </w:hyperlink>
      <w:r>
        <w:t>.</w:t>
      </w:r>
    </w:p>
  </w:footnote>
  <w:footnote w:id="8">
    <w:p w14:paraId="0D2FD9E0" w14:textId="1193A835" w:rsidR="005C414E" w:rsidRPr="00877CA0" w:rsidRDefault="005C414E" w:rsidP="005C414E">
      <w:pPr>
        <w:pStyle w:val="FootnoteText"/>
        <w:ind w:left="113" w:hanging="113"/>
      </w:pPr>
      <w:r>
        <w:rPr>
          <w:rStyle w:val="FootnoteReference"/>
        </w:rPr>
        <w:footnoteRef/>
      </w:r>
      <w:r>
        <w:t xml:space="preserve"> Tämä sisältää seuraavien välineiden käytettävissä olevat määrärahat: Euroopan strategisten teknologioiden kehysväline (STEP), Horisontti Eurooppa, InvestEU-rahasto, ReactEU, EU:n pelastuspalvelumekanismi (rescEU), Euroopan maaseudun kehittämisen maatalousrahasto (maaseuturahasto) ja oikeudenmukaisen siirtymän rahasto.</w:t>
      </w:r>
    </w:p>
  </w:footnote>
  <w:footnote w:id="9">
    <w:p w14:paraId="7FC61A99" w14:textId="7292D153" w:rsidR="005C414E" w:rsidRPr="00C44E47" w:rsidRDefault="005C414E" w:rsidP="005C414E">
      <w:pPr>
        <w:pStyle w:val="FootnoteText"/>
        <w:ind w:left="113" w:hanging="113"/>
      </w:pPr>
      <w:r>
        <w:rPr>
          <w:rStyle w:val="FootnoteReference"/>
        </w:rPr>
        <w:footnoteRef/>
      </w:r>
      <w:r>
        <w:t xml:space="preserve"> Lisäksi 9,6 miljardia euroa NextGenerationEU-välineestä suoritetuista maksuista rahoitettiin muista lähteistä (eli päästökauppajärjestelmästä ja brexit-mukautusvarauksesta).</w:t>
      </w:r>
    </w:p>
  </w:footnote>
  <w:footnote w:id="10">
    <w:p w14:paraId="0AF853BC" w14:textId="2DC1F04B" w:rsidR="001C2621" w:rsidRPr="00C44E47" w:rsidRDefault="001C2621" w:rsidP="00456D3B">
      <w:pPr>
        <w:pStyle w:val="FootnoteText"/>
        <w:ind w:left="113" w:hanging="113"/>
      </w:pPr>
      <w:r>
        <w:rPr>
          <w:rStyle w:val="FootnoteReference"/>
        </w:rPr>
        <w:footnoteRef/>
      </w:r>
      <w:r>
        <w:t xml:space="preserve"> </w:t>
      </w:r>
      <w:bookmarkStart w:id="41" w:name="_Hlk187333391"/>
      <w:r>
        <w:t>Tähän mennessä EU:n syndikoidusti liikkeeseen laskettuihin joukkolainoihin on sijoittanut yhteensä yli 1 900 sijoittajaa yli 70 maasta. Yli 65 prosenttia EU:n joukkolainojen syndikoituihin liikkeeseenlaskuihin tehdyistä sijoituksista on tullut EU:ssa sijaitsevilta sijoittajilta, ja lähes 20 prosenttia on tullut Yhdistyneestä kuningaskunnasta käsin toimivilta kansainvälisiltä sijoittajilta. Loput ovat tulleet kansainvälisiltä sijoittajilta Aasiasta tai muista EU:n ulkopuolisista Euroopan maista, kuten Norjasta ja Sveitsistä. Yli 65 prosenttia liikkeeseen lasketuista EU:n joukkolainoista on mennyt osta ja pidä -strategiaa noudattaville sijoittajille (eli rahastonhoitajille, vakuutusyhtiöille, eläkerahastoille ja keskuspankeille / julkisille laitoksille). Hyvin edustettuina ovat myös erilaisia maturiteetteja haluavat sijoittajat. Keskuspankkien / julkisten laitosten sekä pankkien maksuvalmius- ja rahoitusosastojen (jotka yleensä sijoittavat mieluiten maturiteetiltaan enintään 10 vuoden joukkolainoihin) osuus EU:n joukkolainoista ensimarkkinoilla syndikoiduissa liikkeeseenlaskuissa on noin 47 prosenttia, kun taas eläkerahastojen ja vakuutusyhtiöiden (jotka suosivat yli 10 vuoden maturiteetteja) osuus on yli 20 prosenttia.</w:t>
      </w:r>
      <w:bookmarkEnd w:id="41"/>
    </w:p>
  </w:footnote>
  <w:footnote w:id="11">
    <w:p w14:paraId="24050A48" w14:textId="3C0AF7D2" w:rsidR="001C2621" w:rsidRPr="006839E6" w:rsidRDefault="001C2621" w:rsidP="006839E6">
      <w:pPr>
        <w:pStyle w:val="FootnoteText"/>
        <w:ind w:left="113" w:hanging="113"/>
      </w:pPr>
      <w:r>
        <w:rPr>
          <w:rStyle w:val="FootnoteReference"/>
        </w:rPr>
        <w:footnoteRef/>
      </w:r>
      <w:r>
        <w:t xml:space="preserve"> Liikkeeseenlaskupreemio (NIP) on preemio, jonka liikkeeseenlaskija maksaa saadakseen sijoittajat ostamaan joukkolainansa ensimarkkinoilta jälkimarkkinoiden sijaan. </w:t>
      </w:r>
    </w:p>
  </w:footnote>
  <w:footnote w:id="12">
    <w:p w14:paraId="734BE8F3" w14:textId="1AA043BC" w:rsidR="009E499F" w:rsidRPr="00C83356" w:rsidRDefault="009E499F" w:rsidP="009E499F">
      <w:pPr>
        <w:pStyle w:val="FootnoteText"/>
        <w:ind w:left="113" w:hanging="113"/>
      </w:pPr>
      <w:r>
        <w:rPr>
          <w:rStyle w:val="FootnoteReference"/>
        </w:rPr>
        <w:footnoteRef/>
      </w:r>
      <w:r>
        <w:rPr>
          <w:rStyle w:val="FootnoteReference"/>
        </w:rPr>
        <w:t xml:space="preserve"> </w:t>
      </w:r>
      <w:r>
        <w:t>NextGenerationEU-välineen osalta aiheutuneet korkokustannukset kohdennetaan EU:n talousarvioon ja lainoja saaville jäsenvaltioille komission täytäntöönpanopäätöksessä (EU) 2021/1095 ja sitä seuranneissa komission täytäntöönpanopäätöksessä (EU) 2022/9701 ja komission täytäntöönpanopäätöksessä (EU) 2024/1974 vahvistetun menetelmän mukaisesti. Menetelmässä erotetaan kolme kustannusluokkaa: i) puolivuosittaisten aikaosioiden osalta lasketut varainhankintakustannukset tuesta, jota ei makseta takaisin, ja lainojen maksuista, ii) likviditeetin hallussapito- ja hallintakustannukset ja iii) hallintokustannukset. Ohjelmakohtainen osiointi on ollut mahdollista sen jälkeen, kun komission täytäntöönpanopäätös (EU, Euratom) 2024/1974 tuli voimaan vuoden 2024 jälkipuoliskolla. Ennen tämän menetelmän täytäntöönpanoa rahoitetut ja maksetut ohjelmat (kuten Ukrainalle myönnetyt makrotaloudellinen rahoitusapu plus -välineen lainat ja Ukrainan tukivälineestä myönnetty poikkeuksellinen väliaikaisrahoitus) yhdistetään takautuvan vaikutuksen välttämiseksi NextGenerationEU-välineen lainanotto- ja lainanantotoimiin yhdistetyn varainhankintamenetelmän mukaisesti.</w:t>
      </w:r>
    </w:p>
  </w:footnote>
  <w:footnote w:id="13">
    <w:p w14:paraId="32030774" w14:textId="5148F7FD" w:rsidR="00515675" w:rsidRPr="00FA1F7E" w:rsidRDefault="00515675" w:rsidP="00515675">
      <w:pPr>
        <w:pStyle w:val="FootnoteText"/>
        <w:rPr>
          <w:sz w:val="18"/>
          <w:szCs w:val="18"/>
        </w:rPr>
      </w:pPr>
      <w:r>
        <w:rPr>
          <w:rStyle w:val="FootnoteReference"/>
          <w:sz w:val="18"/>
          <w:szCs w:val="18"/>
        </w:rPr>
        <w:footnoteRef/>
      </w:r>
      <w:r>
        <w:rPr>
          <w:sz w:val="18"/>
        </w:rPr>
        <w:t xml:space="preserve"> </w:t>
      </w:r>
      <w:r>
        <w:t>Lisätietoja NextGenerationEU-välineen vihreistä joukkolainoista on NextGenerationEU-välineen vihreiden joukkolainojen tulostaulussa sivustolla</w:t>
      </w:r>
      <w:r>
        <w:rPr>
          <w:sz w:val="18"/>
        </w:rPr>
        <w:t xml:space="preserve"> </w:t>
      </w:r>
      <w:hyperlink r:id="rId7" w:history="1">
        <w:r>
          <w:rPr>
            <w:rStyle w:val="Hyperlink"/>
            <w:sz w:val="18"/>
          </w:rPr>
          <w:t>Dashboard (europa.eu)</w:t>
        </w:r>
      </w:hyperlink>
      <w:r>
        <w:t>.</w:t>
      </w:r>
    </w:p>
  </w:footnote>
  <w:footnote w:id="14">
    <w:p w14:paraId="3941AC4E" w14:textId="27029CD1" w:rsidR="00515675" w:rsidRPr="00FA1F7E" w:rsidRDefault="00515675" w:rsidP="00515675">
      <w:pPr>
        <w:spacing w:after="0"/>
        <w:rPr>
          <w:sz w:val="18"/>
          <w:szCs w:val="18"/>
        </w:rPr>
      </w:pPr>
      <w:r>
        <w:rPr>
          <w:rStyle w:val="FootnoteReference"/>
          <w:sz w:val="18"/>
          <w:szCs w:val="18"/>
        </w:rPr>
        <w:footnoteRef/>
      </w:r>
      <w:r>
        <w:rPr>
          <w:sz w:val="18"/>
        </w:rPr>
        <w:t xml:space="preserve"> Perustuu uuden liikkeeseenlaskun ja ensimmäisen sen jälkeisen hyödyntämisen väliseen keskimääräiseen kuukausimäärään, kun otetaan huomioon vuoden 2024 jälkipuoliskon aikana hyödynnetyt uudet järjestelyt.</w:t>
      </w:r>
    </w:p>
    <w:p w14:paraId="277C0AE6" w14:textId="77777777" w:rsidR="00515675" w:rsidRPr="00391716" w:rsidRDefault="00515675" w:rsidP="00515675">
      <w:pPr>
        <w:pStyle w:val="FootnoteText"/>
        <w:ind w:left="0" w:firstLine="0"/>
        <w:rPr>
          <w:sz w:val="18"/>
          <w:szCs w:val="18"/>
        </w:rPr>
      </w:pPr>
    </w:p>
  </w:footnote>
  <w:footnote w:id="15">
    <w:p w14:paraId="5CBAD5DF" w14:textId="6D9322A9" w:rsidR="00515675" w:rsidRPr="0002172B" w:rsidRDefault="00515675" w:rsidP="00515675">
      <w:pPr>
        <w:pStyle w:val="FootnoteText"/>
      </w:pPr>
      <w:r>
        <w:rPr>
          <w:rStyle w:val="FootnoteReference"/>
          <w:sz w:val="18"/>
          <w:szCs w:val="18"/>
        </w:rPr>
        <w:footnoteRef/>
      </w:r>
      <w:r>
        <w:rPr>
          <w:sz w:val="18"/>
        </w:rPr>
        <w:t xml:space="preserve"> Liikkeessä olevat joukkovelkakirjalainat jaettuna joukkolainojen määrällä vuoden 2024 jälkipuoliskon lopussa. Perustuu monipuolisen varainhankintastrategian mukaisesti liikkeeseen laskettuihin joukkolainoihin.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E1AB" w14:textId="77777777" w:rsidR="000A0DB0" w:rsidRPr="000A0DB0" w:rsidRDefault="000A0DB0" w:rsidP="000A0DB0">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1C2621" w:rsidRDefault="001C26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1C2621" w:rsidRDefault="001C26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1C2621" w:rsidRDefault="001C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3259" w14:textId="77777777" w:rsidR="000A0DB0" w:rsidRPr="000A0DB0" w:rsidRDefault="000A0DB0" w:rsidP="000A0DB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71E8" w14:textId="77777777" w:rsidR="000A0DB0" w:rsidRPr="000A0DB0" w:rsidRDefault="000A0DB0" w:rsidP="000A0DB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1C2621" w:rsidRDefault="001C2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1C2621" w:rsidRDefault="001C26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1C2621" w:rsidRDefault="001C2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1C2621" w:rsidRDefault="001C26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1C2621" w:rsidRPr="00657B16" w:rsidRDefault="001C2621"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1C2621" w:rsidRDefault="001C2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285"/>
    <w:multiLevelType w:val="hybridMultilevel"/>
    <w:tmpl w:val="03C045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161A4A"/>
    <w:multiLevelType w:val="hybridMultilevel"/>
    <w:tmpl w:val="9D847452"/>
    <w:lvl w:ilvl="0" w:tplc="0D9A2F4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BB670D"/>
    <w:multiLevelType w:val="hybridMultilevel"/>
    <w:tmpl w:val="7C3C86A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F15449"/>
    <w:multiLevelType w:val="hybridMultilevel"/>
    <w:tmpl w:val="680CEC7A"/>
    <w:lvl w:ilvl="0" w:tplc="4DC4E9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66335"/>
    <w:multiLevelType w:val="hybridMultilevel"/>
    <w:tmpl w:val="505C6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7E7CA7"/>
    <w:multiLevelType w:val="hybridMultilevel"/>
    <w:tmpl w:val="DC8443FA"/>
    <w:lvl w:ilvl="0" w:tplc="36305444">
      <w:start w:val="1"/>
      <w:numFmt w:val="bullet"/>
      <w:lvlText w:val="-"/>
      <w:lvlJc w:val="left"/>
      <w:pPr>
        <w:ind w:left="720" w:hanging="360"/>
      </w:pPr>
      <w:rPr>
        <w:rFonts w:ascii="EC Square Sans Pro" w:eastAsia="Times New Roman" w:hAnsi="EC Square Sans Pro" w:cs="Times New Roman" w:hint="default"/>
        <w:b/>
        <w:bCs/>
        <w:color w:val="70AD47" w:themeColor="accent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D43C7C"/>
    <w:multiLevelType w:val="hybridMultilevel"/>
    <w:tmpl w:val="58C04AA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A71202"/>
    <w:multiLevelType w:val="hybridMultilevel"/>
    <w:tmpl w:val="28CCA644"/>
    <w:lvl w:ilvl="0" w:tplc="111E0DF2">
      <w:start w:val="1"/>
      <w:numFmt w:val="bullet"/>
      <w:lvlText w:val=""/>
      <w:lvlJc w:val="left"/>
      <w:pPr>
        <w:ind w:left="720" w:hanging="360"/>
      </w:pPr>
      <w:rPr>
        <w:rFonts w:ascii="Symbol" w:hAnsi="Symbol" w:hint="default"/>
        <w:color w:val="034EA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751D3"/>
    <w:multiLevelType w:val="hybridMultilevel"/>
    <w:tmpl w:val="2CA2CE64"/>
    <w:lvl w:ilvl="0" w:tplc="6ECAA736">
      <w:start w:val="1"/>
      <w:numFmt w:val="low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27F54"/>
    <w:multiLevelType w:val="hybridMultilevel"/>
    <w:tmpl w:val="010A5B40"/>
    <w:lvl w:ilvl="0" w:tplc="42947A9C">
      <w:start w:val="1"/>
      <w:numFmt w:val="bullet"/>
      <w:lvlText w:val="•"/>
      <w:lvlJc w:val="left"/>
      <w:pPr>
        <w:tabs>
          <w:tab w:val="num" w:pos="720"/>
        </w:tabs>
        <w:ind w:left="720" w:hanging="360"/>
      </w:pPr>
      <w:rPr>
        <w:rFonts w:ascii="Arial" w:hAnsi="Arial" w:hint="default"/>
      </w:rPr>
    </w:lvl>
    <w:lvl w:ilvl="1" w:tplc="215AC05A" w:tentative="1">
      <w:start w:val="1"/>
      <w:numFmt w:val="bullet"/>
      <w:lvlText w:val="•"/>
      <w:lvlJc w:val="left"/>
      <w:pPr>
        <w:tabs>
          <w:tab w:val="num" w:pos="1440"/>
        </w:tabs>
        <w:ind w:left="1440" w:hanging="360"/>
      </w:pPr>
      <w:rPr>
        <w:rFonts w:ascii="Arial" w:hAnsi="Arial" w:hint="default"/>
      </w:rPr>
    </w:lvl>
    <w:lvl w:ilvl="2" w:tplc="ADD695E0" w:tentative="1">
      <w:start w:val="1"/>
      <w:numFmt w:val="bullet"/>
      <w:lvlText w:val="•"/>
      <w:lvlJc w:val="left"/>
      <w:pPr>
        <w:tabs>
          <w:tab w:val="num" w:pos="2160"/>
        </w:tabs>
        <w:ind w:left="2160" w:hanging="360"/>
      </w:pPr>
      <w:rPr>
        <w:rFonts w:ascii="Arial" w:hAnsi="Arial" w:hint="default"/>
      </w:rPr>
    </w:lvl>
    <w:lvl w:ilvl="3" w:tplc="529CBC18" w:tentative="1">
      <w:start w:val="1"/>
      <w:numFmt w:val="bullet"/>
      <w:lvlText w:val="•"/>
      <w:lvlJc w:val="left"/>
      <w:pPr>
        <w:tabs>
          <w:tab w:val="num" w:pos="2880"/>
        </w:tabs>
        <w:ind w:left="2880" w:hanging="360"/>
      </w:pPr>
      <w:rPr>
        <w:rFonts w:ascii="Arial" w:hAnsi="Arial" w:hint="default"/>
      </w:rPr>
    </w:lvl>
    <w:lvl w:ilvl="4" w:tplc="87264A7C" w:tentative="1">
      <w:start w:val="1"/>
      <w:numFmt w:val="bullet"/>
      <w:lvlText w:val="•"/>
      <w:lvlJc w:val="left"/>
      <w:pPr>
        <w:tabs>
          <w:tab w:val="num" w:pos="3600"/>
        </w:tabs>
        <w:ind w:left="3600" w:hanging="360"/>
      </w:pPr>
      <w:rPr>
        <w:rFonts w:ascii="Arial" w:hAnsi="Arial" w:hint="default"/>
      </w:rPr>
    </w:lvl>
    <w:lvl w:ilvl="5" w:tplc="0C662316" w:tentative="1">
      <w:start w:val="1"/>
      <w:numFmt w:val="bullet"/>
      <w:lvlText w:val="•"/>
      <w:lvlJc w:val="left"/>
      <w:pPr>
        <w:tabs>
          <w:tab w:val="num" w:pos="4320"/>
        </w:tabs>
        <w:ind w:left="4320" w:hanging="360"/>
      </w:pPr>
      <w:rPr>
        <w:rFonts w:ascii="Arial" w:hAnsi="Arial" w:hint="default"/>
      </w:rPr>
    </w:lvl>
    <w:lvl w:ilvl="6" w:tplc="6BB69D36" w:tentative="1">
      <w:start w:val="1"/>
      <w:numFmt w:val="bullet"/>
      <w:lvlText w:val="•"/>
      <w:lvlJc w:val="left"/>
      <w:pPr>
        <w:tabs>
          <w:tab w:val="num" w:pos="5040"/>
        </w:tabs>
        <w:ind w:left="5040" w:hanging="360"/>
      </w:pPr>
      <w:rPr>
        <w:rFonts w:ascii="Arial" w:hAnsi="Arial" w:hint="default"/>
      </w:rPr>
    </w:lvl>
    <w:lvl w:ilvl="7" w:tplc="AF4A540C" w:tentative="1">
      <w:start w:val="1"/>
      <w:numFmt w:val="bullet"/>
      <w:lvlText w:val="•"/>
      <w:lvlJc w:val="left"/>
      <w:pPr>
        <w:tabs>
          <w:tab w:val="num" w:pos="5760"/>
        </w:tabs>
        <w:ind w:left="5760" w:hanging="360"/>
      </w:pPr>
      <w:rPr>
        <w:rFonts w:ascii="Arial" w:hAnsi="Arial" w:hint="default"/>
      </w:rPr>
    </w:lvl>
    <w:lvl w:ilvl="8" w:tplc="CAF800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120080"/>
    <w:multiLevelType w:val="hybridMultilevel"/>
    <w:tmpl w:val="9D4E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473A4"/>
    <w:multiLevelType w:val="hybridMultilevel"/>
    <w:tmpl w:val="6D3E5978"/>
    <w:lvl w:ilvl="0" w:tplc="CDBC193C">
      <w:start w:val="1"/>
      <w:numFmt w:val="bullet"/>
      <w:lvlText w:val=""/>
      <w:lvlJc w:val="left"/>
      <w:pPr>
        <w:ind w:left="360" w:hanging="360"/>
      </w:pPr>
      <w:rPr>
        <w:rFonts w:ascii="Symbol" w:hAnsi="Symbol" w:hint="default"/>
        <w:color w:val="034EA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C62327"/>
    <w:multiLevelType w:val="hybridMultilevel"/>
    <w:tmpl w:val="7E726144"/>
    <w:lvl w:ilvl="0" w:tplc="F1D08040">
      <w:start w:val="1"/>
      <w:numFmt w:val="bullet"/>
      <w:lvlText w:val="•"/>
      <w:lvlJc w:val="left"/>
      <w:pPr>
        <w:tabs>
          <w:tab w:val="num" w:pos="720"/>
        </w:tabs>
        <w:ind w:left="720" w:hanging="360"/>
      </w:pPr>
      <w:rPr>
        <w:rFonts w:ascii="Arial" w:hAnsi="Arial" w:hint="default"/>
      </w:rPr>
    </w:lvl>
    <w:lvl w:ilvl="1" w:tplc="925C4DA6" w:tentative="1">
      <w:start w:val="1"/>
      <w:numFmt w:val="bullet"/>
      <w:lvlText w:val="•"/>
      <w:lvlJc w:val="left"/>
      <w:pPr>
        <w:tabs>
          <w:tab w:val="num" w:pos="1440"/>
        </w:tabs>
        <w:ind w:left="1440" w:hanging="360"/>
      </w:pPr>
      <w:rPr>
        <w:rFonts w:ascii="Arial" w:hAnsi="Arial" w:hint="default"/>
      </w:rPr>
    </w:lvl>
    <w:lvl w:ilvl="2" w:tplc="3E7C8AA6" w:tentative="1">
      <w:start w:val="1"/>
      <w:numFmt w:val="bullet"/>
      <w:lvlText w:val="•"/>
      <w:lvlJc w:val="left"/>
      <w:pPr>
        <w:tabs>
          <w:tab w:val="num" w:pos="2160"/>
        </w:tabs>
        <w:ind w:left="2160" w:hanging="360"/>
      </w:pPr>
      <w:rPr>
        <w:rFonts w:ascii="Arial" w:hAnsi="Arial" w:hint="default"/>
      </w:rPr>
    </w:lvl>
    <w:lvl w:ilvl="3" w:tplc="A94A1B4E" w:tentative="1">
      <w:start w:val="1"/>
      <w:numFmt w:val="bullet"/>
      <w:lvlText w:val="•"/>
      <w:lvlJc w:val="left"/>
      <w:pPr>
        <w:tabs>
          <w:tab w:val="num" w:pos="2880"/>
        </w:tabs>
        <w:ind w:left="2880" w:hanging="360"/>
      </w:pPr>
      <w:rPr>
        <w:rFonts w:ascii="Arial" w:hAnsi="Arial" w:hint="default"/>
      </w:rPr>
    </w:lvl>
    <w:lvl w:ilvl="4" w:tplc="08D8C6E0" w:tentative="1">
      <w:start w:val="1"/>
      <w:numFmt w:val="bullet"/>
      <w:lvlText w:val="•"/>
      <w:lvlJc w:val="left"/>
      <w:pPr>
        <w:tabs>
          <w:tab w:val="num" w:pos="3600"/>
        </w:tabs>
        <w:ind w:left="3600" w:hanging="360"/>
      </w:pPr>
      <w:rPr>
        <w:rFonts w:ascii="Arial" w:hAnsi="Arial" w:hint="default"/>
      </w:rPr>
    </w:lvl>
    <w:lvl w:ilvl="5" w:tplc="39109110" w:tentative="1">
      <w:start w:val="1"/>
      <w:numFmt w:val="bullet"/>
      <w:lvlText w:val="•"/>
      <w:lvlJc w:val="left"/>
      <w:pPr>
        <w:tabs>
          <w:tab w:val="num" w:pos="4320"/>
        </w:tabs>
        <w:ind w:left="4320" w:hanging="360"/>
      </w:pPr>
      <w:rPr>
        <w:rFonts w:ascii="Arial" w:hAnsi="Arial" w:hint="default"/>
      </w:rPr>
    </w:lvl>
    <w:lvl w:ilvl="6" w:tplc="BA8032D4" w:tentative="1">
      <w:start w:val="1"/>
      <w:numFmt w:val="bullet"/>
      <w:lvlText w:val="•"/>
      <w:lvlJc w:val="left"/>
      <w:pPr>
        <w:tabs>
          <w:tab w:val="num" w:pos="5040"/>
        </w:tabs>
        <w:ind w:left="5040" w:hanging="360"/>
      </w:pPr>
      <w:rPr>
        <w:rFonts w:ascii="Arial" w:hAnsi="Arial" w:hint="default"/>
      </w:rPr>
    </w:lvl>
    <w:lvl w:ilvl="7" w:tplc="72C2EF70" w:tentative="1">
      <w:start w:val="1"/>
      <w:numFmt w:val="bullet"/>
      <w:lvlText w:val="•"/>
      <w:lvlJc w:val="left"/>
      <w:pPr>
        <w:tabs>
          <w:tab w:val="num" w:pos="5760"/>
        </w:tabs>
        <w:ind w:left="5760" w:hanging="360"/>
      </w:pPr>
      <w:rPr>
        <w:rFonts w:ascii="Arial" w:hAnsi="Arial" w:hint="default"/>
      </w:rPr>
    </w:lvl>
    <w:lvl w:ilvl="8" w:tplc="22848B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12BB0"/>
    <w:multiLevelType w:val="hybridMultilevel"/>
    <w:tmpl w:val="E9527C90"/>
    <w:lvl w:ilvl="0" w:tplc="0F465D34">
      <w:start w:val="12"/>
      <w:numFmt w:val="bullet"/>
      <w:lvlText w:val="-"/>
      <w:lvlJc w:val="left"/>
      <w:pPr>
        <w:ind w:left="720" w:hanging="360"/>
      </w:pPr>
      <w:rPr>
        <w:rFonts w:ascii="Verdana" w:eastAsia="Times New Roman"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A63F3E"/>
    <w:multiLevelType w:val="hybridMultilevel"/>
    <w:tmpl w:val="15F6BF5C"/>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E926F6"/>
    <w:multiLevelType w:val="hybridMultilevel"/>
    <w:tmpl w:val="9282F37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24"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2166D"/>
    <w:multiLevelType w:val="hybridMultilevel"/>
    <w:tmpl w:val="135AE8A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140E52"/>
    <w:multiLevelType w:val="hybridMultilevel"/>
    <w:tmpl w:val="3188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829CE"/>
    <w:multiLevelType w:val="hybridMultilevel"/>
    <w:tmpl w:val="0D56E2F8"/>
    <w:lvl w:ilvl="0" w:tplc="D67042A2">
      <w:start w:val="1"/>
      <w:numFmt w:val="bullet"/>
      <w:lvlText w:val="•"/>
      <w:lvlJc w:val="left"/>
      <w:pPr>
        <w:tabs>
          <w:tab w:val="num" w:pos="720"/>
        </w:tabs>
        <w:ind w:left="720" w:hanging="360"/>
      </w:pPr>
      <w:rPr>
        <w:rFonts w:ascii="Arial" w:hAnsi="Arial" w:hint="default"/>
      </w:rPr>
    </w:lvl>
    <w:lvl w:ilvl="1" w:tplc="C5A001CA" w:tentative="1">
      <w:start w:val="1"/>
      <w:numFmt w:val="bullet"/>
      <w:lvlText w:val="•"/>
      <w:lvlJc w:val="left"/>
      <w:pPr>
        <w:tabs>
          <w:tab w:val="num" w:pos="1440"/>
        </w:tabs>
        <w:ind w:left="1440" w:hanging="360"/>
      </w:pPr>
      <w:rPr>
        <w:rFonts w:ascii="Arial" w:hAnsi="Arial" w:hint="default"/>
      </w:rPr>
    </w:lvl>
    <w:lvl w:ilvl="2" w:tplc="0966FE9E" w:tentative="1">
      <w:start w:val="1"/>
      <w:numFmt w:val="bullet"/>
      <w:lvlText w:val="•"/>
      <w:lvlJc w:val="left"/>
      <w:pPr>
        <w:tabs>
          <w:tab w:val="num" w:pos="2160"/>
        </w:tabs>
        <w:ind w:left="2160" w:hanging="360"/>
      </w:pPr>
      <w:rPr>
        <w:rFonts w:ascii="Arial" w:hAnsi="Arial" w:hint="default"/>
      </w:rPr>
    </w:lvl>
    <w:lvl w:ilvl="3" w:tplc="B6BAA56C" w:tentative="1">
      <w:start w:val="1"/>
      <w:numFmt w:val="bullet"/>
      <w:lvlText w:val="•"/>
      <w:lvlJc w:val="left"/>
      <w:pPr>
        <w:tabs>
          <w:tab w:val="num" w:pos="2880"/>
        </w:tabs>
        <w:ind w:left="2880" w:hanging="360"/>
      </w:pPr>
      <w:rPr>
        <w:rFonts w:ascii="Arial" w:hAnsi="Arial" w:hint="default"/>
      </w:rPr>
    </w:lvl>
    <w:lvl w:ilvl="4" w:tplc="AC3E3172" w:tentative="1">
      <w:start w:val="1"/>
      <w:numFmt w:val="bullet"/>
      <w:lvlText w:val="•"/>
      <w:lvlJc w:val="left"/>
      <w:pPr>
        <w:tabs>
          <w:tab w:val="num" w:pos="3600"/>
        </w:tabs>
        <w:ind w:left="3600" w:hanging="360"/>
      </w:pPr>
      <w:rPr>
        <w:rFonts w:ascii="Arial" w:hAnsi="Arial" w:hint="default"/>
      </w:rPr>
    </w:lvl>
    <w:lvl w:ilvl="5" w:tplc="3F4472FC" w:tentative="1">
      <w:start w:val="1"/>
      <w:numFmt w:val="bullet"/>
      <w:lvlText w:val="•"/>
      <w:lvlJc w:val="left"/>
      <w:pPr>
        <w:tabs>
          <w:tab w:val="num" w:pos="4320"/>
        </w:tabs>
        <w:ind w:left="4320" w:hanging="360"/>
      </w:pPr>
      <w:rPr>
        <w:rFonts w:ascii="Arial" w:hAnsi="Arial" w:hint="default"/>
      </w:rPr>
    </w:lvl>
    <w:lvl w:ilvl="6" w:tplc="9392BC8A" w:tentative="1">
      <w:start w:val="1"/>
      <w:numFmt w:val="bullet"/>
      <w:lvlText w:val="•"/>
      <w:lvlJc w:val="left"/>
      <w:pPr>
        <w:tabs>
          <w:tab w:val="num" w:pos="5040"/>
        </w:tabs>
        <w:ind w:left="5040" w:hanging="360"/>
      </w:pPr>
      <w:rPr>
        <w:rFonts w:ascii="Arial" w:hAnsi="Arial" w:hint="default"/>
      </w:rPr>
    </w:lvl>
    <w:lvl w:ilvl="7" w:tplc="A95A6D3A" w:tentative="1">
      <w:start w:val="1"/>
      <w:numFmt w:val="bullet"/>
      <w:lvlText w:val="•"/>
      <w:lvlJc w:val="left"/>
      <w:pPr>
        <w:tabs>
          <w:tab w:val="num" w:pos="5760"/>
        </w:tabs>
        <w:ind w:left="5760" w:hanging="360"/>
      </w:pPr>
      <w:rPr>
        <w:rFonts w:ascii="Arial" w:hAnsi="Arial" w:hint="default"/>
      </w:rPr>
    </w:lvl>
    <w:lvl w:ilvl="8" w:tplc="C9DCB5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F34744"/>
    <w:multiLevelType w:val="hybridMultilevel"/>
    <w:tmpl w:val="88DCC72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7B3804"/>
    <w:multiLevelType w:val="hybridMultilevel"/>
    <w:tmpl w:val="9282F37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8"/>
  </w:num>
  <w:num w:numId="3">
    <w:abstractNumId w:val="1"/>
  </w:num>
  <w:num w:numId="4">
    <w:abstractNumId w:val="20"/>
  </w:num>
  <w:num w:numId="5">
    <w:abstractNumId w:val="8"/>
  </w:num>
  <w:num w:numId="6">
    <w:abstractNumId w:val="10"/>
  </w:num>
  <w:num w:numId="7">
    <w:abstractNumId w:val="13"/>
  </w:num>
  <w:num w:numId="8">
    <w:abstractNumId w:val="15"/>
  </w:num>
  <w:num w:numId="9">
    <w:abstractNumId w:val="4"/>
  </w:num>
  <w:num w:numId="10">
    <w:abstractNumId w:val="11"/>
  </w:num>
  <w:num w:numId="11">
    <w:abstractNumId w:val="25"/>
  </w:num>
  <w:num w:numId="12">
    <w:abstractNumId w:val="24"/>
  </w:num>
  <w:num w:numId="13">
    <w:abstractNumId w:val="26"/>
  </w:num>
  <w:num w:numId="14">
    <w:abstractNumId w:val="32"/>
  </w:num>
  <w:num w:numId="15">
    <w:abstractNumId w:val="18"/>
  </w:num>
  <w:num w:numId="16">
    <w:abstractNumId w:val="5"/>
  </w:num>
  <w:num w:numId="17">
    <w:abstractNumId w:val="17"/>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9"/>
  </w:num>
  <w:num w:numId="22">
    <w:abstractNumId w:val="30"/>
  </w:num>
  <w:num w:numId="23">
    <w:abstractNumId w:val="31"/>
  </w:num>
  <w:num w:numId="24">
    <w:abstractNumId w:val="0"/>
  </w:num>
  <w:num w:numId="25">
    <w:abstractNumId w:val="14"/>
  </w:num>
  <w:num w:numId="26">
    <w:abstractNumId w:val="27"/>
  </w:num>
  <w:num w:numId="27">
    <w:abstractNumId w:val="2"/>
  </w:num>
  <w:num w:numId="28">
    <w:abstractNumId w:val="21"/>
  </w:num>
  <w:num w:numId="29">
    <w:abstractNumId w:val="7"/>
  </w:num>
  <w:num w:numId="30">
    <w:abstractNumId w:val="3"/>
  </w:num>
  <w:num w:numId="31">
    <w:abstractNumId w:val="12"/>
  </w:num>
  <w:num w:numId="32">
    <w:abstractNumId w:val="12"/>
  </w:num>
  <w:num w:numId="33">
    <w:abstractNumId w:val="12"/>
  </w:num>
  <w:num w:numId="34">
    <w:abstractNumId w:val="29"/>
  </w:num>
  <w:num w:numId="35">
    <w:abstractNumId w:val="19"/>
  </w:num>
  <w:num w:numId="36">
    <w:abstractNumId w:val="16"/>
  </w:num>
  <w:num w:numId="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120"/>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D1C84C9B-684B-4382-A012-D4E69B2264DA"/>
    <w:docVar w:name="LW_COVERPAGE_TYPE" w:val="1"/>
    <w:docVar w:name="LW_CROSSREFERENCE" w:val="&lt;UNUSED&gt;"/>
    <w:docVar w:name="LW_DocType" w:val="NORMAL"/>
    <w:docVar w:name="LW_EMISSION" w:val="12.3.2025"/>
    <w:docVar w:name="LW_EMISSION_ISODATE" w:val="2025-03-12"/>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5) 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Komission täytäntöönpanopäätöksen C(2023)8010 13 artiklan mukainen puolivuotiskertomus lainanotto- ja velanhallintatoimien ja niihin liittyvien lainanantotoimien toteuttamisesta&lt;/FMT&gt;_x000d__x000d__x000d__x000d__x000d__x000d__x000b__x000d__x000d__x000d__x000d__x000d__x000d__x000d__x000d__x000d__x000d__x000d__x000d__x000d__x000d__x000b_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b__x000d_1. heinäkuuta 2024 &lt;FMT:Bold&gt;\u8211?&lt;/FMT&gt; 31. joulukuuta 2024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b__x000d_"/>
    <w:docVar w:name="LW_TYPE.DOC.CP" w:val="KOMISSION KERTOMUS EUROOPAN PARLAMENTILLE JA NEUVOSTOLLE"/>
    <w:docVar w:name="LwApiVersions" w:val="LW4CoDe 1.24.5.0; LW 9.0, Build 20240221"/>
  </w:docVars>
  <w:rsids>
    <w:rsidRoot w:val="008B6253"/>
    <w:rsid w:val="000006A3"/>
    <w:rsid w:val="000016AC"/>
    <w:rsid w:val="0000198B"/>
    <w:rsid w:val="00001C79"/>
    <w:rsid w:val="00002581"/>
    <w:rsid w:val="000025FB"/>
    <w:rsid w:val="000027C3"/>
    <w:rsid w:val="00003760"/>
    <w:rsid w:val="00003B2C"/>
    <w:rsid w:val="00004513"/>
    <w:rsid w:val="00004853"/>
    <w:rsid w:val="00004EFF"/>
    <w:rsid w:val="00005E65"/>
    <w:rsid w:val="000065CB"/>
    <w:rsid w:val="00006945"/>
    <w:rsid w:val="00007866"/>
    <w:rsid w:val="00007DB0"/>
    <w:rsid w:val="000113D6"/>
    <w:rsid w:val="000123E4"/>
    <w:rsid w:val="00012D54"/>
    <w:rsid w:val="00012F88"/>
    <w:rsid w:val="00013124"/>
    <w:rsid w:val="00013AFC"/>
    <w:rsid w:val="00015055"/>
    <w:rsid w:val="00016108"/>
    <w:rsid w:val="00016BBF"/>
    <w:rsid w:val="0001773F"/>
    <w:rsid w:val="00017BCF"/>
    <w:rsid w:val="00017F73"/>
    <w:rsid w:val="0002126B"/>
    <w:rsid w:val="00021271"/>
    <w:rsid w:val="000214CF"/>
    <w:rsid w:val="00021B91"/>
    <w:rsid w:val="00022392"/>
    <w:rsid w:val="0002402F"/>
    <w:rsid w:val="00024157"/>
    <w:rsid w:val="000248CD"/>
    <w:rsid w:val="00025D1D"/>
    <w:rsid w:val="000264A7"/>
    <w:rsid w:val="00026571"/>
    <w:rsid w:val="000275EB"/>
    <w:rsid w:val="000304D4"/>
    <w:rsid w:val="00030B16"/>
    <w:rsid w:val="00031566"/>
    <w:rsid w:val="000339B4"/>
    <w:rsid w:val="00034162"/>
    <w:rsid w:val="00034C0A"/>
    <w:rsid w:val="00035235"/>
    <w:rsid w:val="00036A07"/>
    <w:rsid w:val="00036A47"/>
    <w:rsid w:val="00036DE3"/>
    <w:rsid w:val="00040E1F"/>
    <w:rsid w:val="0004137B"/>
    <w:rsid w:val="0004154A"/>
    <w:rsid w:val="00042B53"/>
    <w:rsid w:val="0004460D"/>
    <w:rsid w:val="00044BC7"/>
    <w:rsid w:val="0004607D"/>
    <w:rsid w:val="00046267"/>
    <w:rsid w:val="0004632F"/>
    <w:rsid w:val="000466B2"/>
    <w:rsid w:val="00046807"/>
    <w:rsid w:val="00046F24"/>
    <w:rsid w:val="000500DD"/>
    <w:rsid w:val="00052C99"/>
    <w:rsid w:val="00052FDD"/>
    <w:rsid w:val="000545EE"/>
    <w:rsid w:val="000558F6"/>
    <w:rsid w:val="000559C6"/>
    <w:rsid w:val="00055E40"/>
    <w:rsid w:val="00056D87"/>
    <w:rsid w:val="00056EE5"/>
    <w:rsid w:val="000571C9"/>
    <w:rsid w:val="00057D8E"/>
    <w:rsid w:val="00060405"/>
    <w:rsid w:val="000623CD"/>
    <w:rsid w:val="00063474"/>
    <w:rsid w:val="00063876"/>
    <w:rsid w:val="0006518B"/>
    <w:rsid w:val="0006573D"/>
    <w:rsid w:val="000659B4"/>
    <w:rsid w:val="00065C93"/>
    <w:rsid w:val="0006645C"/>
    <w:rsid w:val="00067AC8"/>
    <w:rsid w:val="0007120F"/>
    <w:rsid w:val="00071659"/>
    <w:rsid w:val="00072047"/>
    <w:rsid w:val="000744F6"/>
    <w:rsid w:val="00074966"/>
    <w:rsid w:val="00075B6A"/>
    <w:rsid w:val="00075F80"/>
    <w:rsid w:val="0007609D"/>
    <w:rsid w:val="000761ED"/>
    <w:rsid w:val="00076F7B"/>
    <w:rsid w:val="000770E1"/>
    <w:rsid w:val="000777AF"/>
    <w:rsid w:val="00077F71"/>
    <w:rsid w:val="000804D7"/>
    <w:rsid w:val="00080B80"/>
    <w:rsid w:val="00081182"/>
    <w:rsid w:val="000811DA"/>
    <w:rsid w:val="00081EB2"/>
    <w:rsid w:val="000830C3"/>
    <w:rsid w:val="000831BF"/>
    <w:rsid w:val="00083C92"/>
    <w:rsid w:val="00084648"/>
    <w:rsid w:val="00085FEE"/>
    <w:rsid w:val="0008748B"/>
    <w:rsid w:val="0009189C"/>
    <w:rsid w:val="0009299B"/>
    <w:rsid w:val="0009414B"/>
    <w:rsid w:val="00094607"/>
    <w:rsid w:val="00094B94"/>
    <w:rsid w:val="00095BFD"/>
    <w:rsid w:val="00095DF7"/>
    <w:rsid w:val="00096802"/>
    <w:rsid w:val="00096D86"/>
    <w:rsid w:val="000973CE"/>
    <w:rsid w:val="00097D72"/>
    <w:rsid w:val="000A0545"/>
    <w:rsid w:val="000A0885"/>
    <w:rsid w:val="000A0AA1"/>
    <w:rsid w:val="000A0DB0"/>
    <w:rsid w:val="000A1136"/>
    <w:rsid w:val="000A6EC7"/>
    <w:rsid w:val="000B0652"/>
    <w:rsid w:val="000B3537"/>
    <w:rsid w:val="000B4EF5"/>
    <w:rsid w:val="000B5255"/>
    <w:rsid w:val="000B6398"/>
    <w:rsid w:val="000C00E3"/>
    <w:rsid w:val="000C09D9"/>
    <w:rsid w:val="000C1517"/>
    <w:rsid w:val="000C168A"/>
    <w:rsid w:val="000C26FE"/>
    <w:rsid w:val="000C3020"/>
    <w:rsid w:val="000C3CD5"/>
    <w:rsid w:val="000C41A5"/>
    <w:rsid w:val="000C5D88"/>
    <w:rsid w:val="000C7051"/>
    <w:rsid w:val="000D008A"/>
    <w:rsid w:val="000D213D"/>
    <w:rsid w:val="000D2596"/>
    <w:rsid w:val="000D2B51"/>
    <w:rsid w:val="000D2FDD"/>
    <w:rsid w:val="000D5BA5"/>
    <w:rsid w:val="000D647C"/>
    <w:rsid w:val="000D7879"/>
    <w:rsid w:val="000D79AE"/>
    <w:rsid w:val="000E2B98"/>
    <w:rsid w:val="000E2CCD"/>
    <w:rsid w:val="000E4BFB"/>
    <w:rsid w:val="000E5618"/>
    <w:rsid w:val="000E5D4B"/>
    <w:rsid w:val="000E5EF5"/>
    <w:rsid w:val="000E6508"/>
    <w:rsid w:val="000E6611"/>
    <w:rsid w:val="000E6912"/>
    <w:rsid w:val="000E6982"/>
    <w:rsid w:val="000F037D"/>
    <w:rsid w:val="000F165A"/>
    <w:rsid w:val="000F1753"/>
    <w:rsid w:val="000F2ACA"/>
    <w:rsid w:val="000F3C9A"/>
    <w:rsid w:val="000F462D"/>
    <w:rsid w:val="000F5D63"/>
    <w:rsid w:val="000F6E3B"/>
    <w:rsid w:val="000F7CB6"/>
    <w:rsid w:val="001004B8"/>
    <w:rsid w:val="001019EB"/>
    <w:rsid w:val="00102155"/>
    <w:rsid w:val="00102ABC"/>
    <w:rsid w:val="00102D9B"/>
    <w:rsid w:val="0010394A"/>
    <w:rsid w:val="00103A63"/>
    <w:rsid w:val="0010410E"/>
    <w:rsid w:val="00104E19"/>
    <w:rsid w:val="0010771D"/>
    <w:rsid w:val="001077F9"/>
    <w:rsid w:val="00110D36"/>
    <w:rsid w:val="00113042"/>
    <w:rsid w:val="0011323F"/>
    <w:rsid w:val="001137FB"/>
    <w:rsid w:val="00113B9E"/>
    <w:rsid w:val="00114207"/>
    <w:rsid w:val="00114B84"/>
    <w:rsid w:val="00117185"/>
    <w:rsid w:val="0012011D"/>
    <w:rsid w:val="00120241"/>
    <w:rsid w:val="001208C2"/>
    <w:rsid w:val="00120B20"/>
    <w:rsid w:val="00121CE9"/>
    <w:rsid w:val="00122DAA"/>
    <w:rsid w:val="00127DB2"/>
    <w:rsid w:val="00127FC7"/>
    <w:rsid w:val="00131111"/>
    <w:rsid w:val="0013129F"/>
    <w:rsid w:val="0013341B"/>
    <w:rsid w:val="001337A8"/>
    <w:rsid w:val="00134308"/>
    <w:rsid w:val="00135190"/>
    <w:rsid w:val="001358C9"/>
    <w:rsid w:val="001359B6"/>
    <w:rsid w:val="00135B3B"/>
    <w:rsid w:val="0013697B"/>
    <w:rsid w:val="00137822"/>
    <w:rsid w:val="00137CF7"/>
    <w:rsid w:val="001401DA"/>
    <w:rsid w:val="00140C8A"/>
    <w:rsid w:val="00141100"/>
    <w:rsid w:val="00142200"/>
    <w:rsid w:val="0014295B"/>
    <w:rsid w:val="00142F64"/>
    <w:rsid w:val="00143006"/>
    <w:rsid w:val="001431B8"/>
    <w:rsid w:val="00143B58"/>
    <w:rsid w:val="00143B8D"/>
    <w:rsid w:val="00146211"/>
    <w:rsid w:val="00146FCA"/>
    <w:rsid w:val="0014728B"/>
    <w:rsid w:val="00147839"/>
    <w:rsid w:val="001505D1"/>
    <w:rsid w:val="00150F73"/>
    <w:rsid w:val="0015107E"/>
    <w:rsid w:val="0015130B"/>
    <w:rsid w:val="001524C7"/>
    <w:rsid w:val="00154274"/>
    <w:rsid w:val="00154875"/>
    <w:rsid w:val="00154A51"/>
    <w:rsid w:val="001555A6"/>
    <w:rsid w:val="001574CF"/>
    <w:rsid w:val="0016009E"/>
    <w:rsid w:val="00160344"/>
    <w:rsid w:val="00160A0F"/>
    <w:rsid w:val="00160C1F"/>
    <w:rsid w:val="00161936"/>
    <w:rsid w:val="00162300"/>
    <w:rsid w:val="0016311F"/>
    <w:rsid w:val="00163BF4"/>
    <w:rsid w:val="00164FBD"/>
    <w:rsid w:val="00164FD6"/>
    <w:rsid w:val="0016530F"/>
    <w:rsid w:val="00165420"/>
    <w:rsid w:val="00166CA0"/>
    <w:rsid w:val="001672C7"/>
    <w:rsid w:val="00170560"/>
    <w:rsid w:val="00171240"/>
    <w:rsid w:val="001717F0"/>
    <w:rsid w:val="00171F26"/>
    <w:rsid w:val="00175474"/>
    <w:rsid w:val="00176299"/>
    <w:rsid w:val="001767DC"/>
    <w:rsid w:val="00177222"/>
    <w:rsid w:val="00177D92"/>
    <w:rsid w:val="001800B8"/>
    <w:rsid w:val="00180CE3"/>
    <w:rsid w:val="00181102"/>
    <w:rsid w:val="00181218"/>
    <w:rsid w:val="00181A94"/>
    <w:rsid w:val="00181E20"/>
    <w:rsid w:val="0018247B"/>
    <w:rsid w:val="0018389B"/>
    <w:rsid w:val="0018490F"/>
    <w:rsid w:val="00185E6B"/>
    <w:rsid w:val="00187563"/>
    <w:rsid w:val="00190160"/>
    <w:rsid w:val="00192332"/>
    <w:rsid w:val="001936B3"/>
    <w:rsid w:val="00194F65"/>
    <w:rsid w:val="00195E47"/>
    <w:rsid w:val="001977FA"/>
    <w:rsid w:val="001A2134"/>
    <w:rsid w:val="001A3541"/>
    <w:rsid w:val="001A445F"/>
    <w:rsid w:val="001A4733"/>
    <w:rsid w:val="001A5022"/>
    <w:rsid w:val="001A5608"/>
    <w:rsid w:val="001A57FF"/>
    <w:rsid w:val="001A59C4"/>
    <w:rsid w:val="001A66D1"/>
    <w:rsid w:val="001A675E"/>
    <w:rsid w:val="001B033B"/>
    <w:rsid w:val="001B0E99"/>
    <w:rsid w:val="001B31F3"/>
    <w:rsid w:val="001B4862"/>
    <w:rsid w:val="001B6374"/>
    <w:rsid w:val="001B6617"/>
    <w:rsid w:val="001B6959"/>
    <w:rsid w:val="001B6FE8"/>
    <w:rsid w:val="001B75AB"/>
    <w:rsid w:val="001B79B9"/>
    <w:rsid w:val="001C0880"/>
    <w:rsid w:val="001C11F1"/>
    <w:rsid w:val="001C1350"/>
    <w:rsid w:val="001C13F0"/>
    <w:rsid w:val="001C2621"/>
    <w:rsid w:val="001C28B3"/>
    <w:rsid w:val="001C33B2"/>
    <w:rsid w:val="001C3C2E"/>
    <w:rsid w:val="001C445C"/>
    <w:rsid w:val="001C542F"/>
    <w:rsid w:val="001C5859"/>
    <w:rsid w:val="001C6C43"/>
    <w:rsid w:val="001D0900"/>
    <w:rsid w:val="001D1371"/>
    <w:rsid w:val="001D15D9"/>
    <w:rsid w:val="001D2A9E"/>
    <w:rsid w:val="001D2AB4"/>
    <w:rsid w:val="001D2E91"/>
    <w:rsid w:val="001D30CA"/>
    <w:rsid w:val="001D446D"/>
    <w:rsid w:val="001D478A"/>
    <w:rsid w:val="001D47EB"/>
    <w:rsid w:val="001D5B74"/>
    <w:rsid w:val="001D69E8"/>
    <w:rsid w:val="001D72F9"/>
    <w:rsid w:val="001E0283"/>
    <w:rsid w:val="001E0480"/>
    <w:rsid w:val="001E1251"/>
    <w:rsid w:val="001E1429"/>
    <w:rsid w:val="001E1475"/>
    <w:rsid w:val="001E2E34"/>
    <w:rsid w:val="001E6FE8"/>
    <w:rsid w:val="001E7B69"/>
    <w:rsid w:val="001E7C4B"/>
    <w:rsid w:val="001F33BD"/>
    <w:rsid w:val="001F36F8"/>
    <w:rsid w:val="001F3746"/>
    <w:rsid w:val="001F43CE"/>
    <w:rsid w:val="001F5B65"/>
    <w:rsid w:val="001F6191"/>
    <w:rsid w:val="001F66FD"/>
    <w:rsid w:val="001F6E5E"/>
    <w:rsid w:val="00202BDB"/>
    <w:rsid w:val="002039FF"/>
    <w:rsid w:val="00203B8E"/>
    <w:rsid w:val="002040AE"/>
    <w:rsid w:val="00204834"/>
    <w:rsid w:val="002055AD"/>
    <w:rsid w:val="00207920"/>
    <w:rsid w:val="002101E7"/>
    <w:rsid w:val="0021075C"/>
    <w:rsid w:val="002107DC"/>
    <w:rsid w:val="00210CCA"/>
    <w:rsid w:val="00211FA8"/>
    <w:rsid w:val="00212A39"/>
    <w:rsid w:val="0021450B"/>
    <w:rsid w:val="002148BF"/>
    <w:rsid w:val="002151F6"/>
    <w:rsid w:val="00216746"/>
    <w:rsid w:val="0021776C"/>
    <w:rsid w:val="00217ED6"/>
    <w:rsid w:val="00221E97"/>
    <w:rsid w:val="00222DEE"/>
    <w:rsid w:val="002255AC"/>
    <w:rsid w:val="0022595F"/>
    <w:rsid w:val="00231768"/>
    <w:rsid w:val="00231D56"/>
    <w:rsid w:val="00232130"/>
    <w:rsid w:val="00232636"/>
    <w:rsid w:val="002334C2"/>
    <w:rsid w:val="002338DB"/>
    <w:rsid w:val="00234ADF"/>
    <w:rsid w:val="00237A80"/>
    <w:rsid w:val="00240156"/>
    <w:rsid w:val="0024146E"/>
    <w:rsid w:val="0024343F"/>
    <w:rsid w:val="00243E6C"/>
    <w:rsid w:val="00243FE5"/>
    <w:rsid w:val="002469E9"/>
    <w:rsid w:val="0024722E"/>
    <w:rsid w:val="00252C49"/>
    <w:rsid w:val="00253A22"/>
    <w:rsid w:val="002547A5"/>
    <w:rsid w:val="00254D4D"/>
    <w:rsid w:val="0026079A"/>
    <w:rsid w:val="00260BF1"/>
    <w:rsid w:val="00260CFD"/>
    <w:rsid w:val="00261126"/>
    <w:rsid w:val="002619C8"/>
    <w:rsid w:val="00261F4B"/>
    <w:rsid w:val="00262915"/>
    <w:rsid w:val="00262A23"/>
    <w:rsid w:val="00262AC8"/>
    <w:rsid w:val="00264614"/>
    <w:rsid w:val="002667A6"/>
    <w:rsid w:val="0026697C"/>
    <w:rsid w:val="00266B45"/>
    <w:rsid w:val="00266C5C"/>
    <w:rsid w:val="00267604"/>
    <w:rsid w:val="002703F1"/>
    <w:rsid w:val="00270C15"/>
    <w:rsid w:val="00274144"/>
    <w:rsid w:val="00275FE6"/>
    <w:rsid w:val="00276737"/>
    <w:rsid w:val="00276FC8"/>
    <w:rsid w:val="00280E09"/>
    <w:rsid w:val="002815FA"/>
    <w:rsid w:val="00282E65"/>
    <w:rsid w:val="002835C6"/>
    <w:rsid w:val="00284F80"/>
    <w:rsid w:val="002855E5"/>
    <w:rsid w:val="002858D3"/>
    <w:rsid w:val="00285D29"/>
    <w:rsid w:val="00286E0A"/>
    <w:rsid w:val="00287A0F"/>
    <w:rsid w:val="002913C3"/>
    <w:rsid w:val="002918A6"/>
    <w:rsid w:val="002936F3"/>
    <w:rsid w:val="00293811"/>
    <w:rsid w:val="00295066"/>
    <w:rsid w:val="002955CD"/>
    <w:rsid w:val="002958AA"/>
    <w:rsid w:val="00296908"/>
    <w:rsid w:val="002A1200"/>
    <w:rsid w:val="002A3273"/>
    <w:rsid w:val="002A3A30"/>
    <w:rsid w:val="002A6325"/>
    <w:rsid w:val="002A67DD"/>
    <w:rsid w:val="002A798E"/>
    <w:rsid w:val="002B0728"/>
    <w:rsid w:val="002B107F"/>
    <w:rsid w:val="002B1A1A"/>
    <w:rsid w:val="002B278C"/>
    <w:rsid w:val="002B2A5F"/>
    <w:rsid w:val="002B3935"/>
    <w:rsid w:val="002B4027"/>
    <w:rsid w:val="002B4117"/>
    <w:rsid w:val="002B535A"/>
    <w:rsid w:val="002B5B25"/>
    <w:rsid w:val="002B627C"/>
    <w:rsid w:val="002B7257"/>
    <w:rsid w:val="002C0014"/>
    <w:rsid w:val="002C0915"/>
    <w:rsid w:val="002C0B94"/>
    <w:rsid w:val="002C0C35"/>
    <w:rsid w:val="002C134A"/>
    <w:rsid w:val="002C1BE5"/>
    <w:rsid w:val="002C29AA"/>
    <w:rsid w:val="002C2D32"/>
    <w:rsid w:val="002C3985"/>
    <w:rsid w:val="002C4890"/>
    <w:rsid w:val="002C59A6"/>
    <w:rsid w:val="002C69E8"/>
    <w:rsid w:val="002C6D51"/>
    <w:rsid w:val="002C6DC8"/>
    <w:rsid w:val="002C7AD0"/>
    <w:rsid w:val="002D1554"/>
    <w:rsid w:val="002D32CA"/>
    <w:rsid w:val="002D5366"/>
    <w:rsid w:val="002D54AC"/>
    <w:rsid w:val="002D71E2"/>
    <w:rsid w:val="002D769E"/>
    <w:rsid w:val="002E086B"/>
    <w:rsid w:val="002E0AC8"/>
    <w:rsid w:val="002E2F3C"/>
    <w:rsid w:val="002E39D3"/>
    <w:rsid w:val="002E4FA7"/>
    <w:rsid w:val="002E56EE"/>
    <w:rsid w:val="002E570D"/>
    <w:rsid w:val="002E757F"/>
    <w:rsid w:val="002F10E6"/>
    <w:rsid w:val="002F24D1"/>
    <w:rsid w:val="002F28D6"/>
    <w:rsid w:val="002F4F1A"/>
    <w:rsid w:val="002F58AB"/>
    <w:rsid w:val="002F58B5"/>
    <w:rsid w:val="002F6BF4"/>
    <w:rsid w:val="002F6E61"/>
    <w:rsid w:val="002F7560"/>
    <w:rsid w:val="002F7768"/>
    <w:rsid w:val="002F7DBD"/>
    <w:rsid w:val="0030157E"/>
    <w:rsid w:val="00303189"/>
    <w:rsid w:val="0030390C"/>
    <w:rsid w:val="00303954"/>
    <w:rsid w:val="0030418A"/>
    <w:rsid w:val="0030467E"/>
    <w:rsid w:val="0030557B"/>
    <w:rsid w:val="00306786"/>
    <w:rsid w:val="00310433"/>
    <w:rsid w:val="00311FEB"/>
    <w:rsid w:val="00312A3E"/>
    <w:rsid w:val="003130F2"/>
    <w:rsid w:val="00313841"/>
    <w:rsid w:val="00313B5F"/>
    <w:rsid w:val="00313D8B"/>
    <w:rsid w:val="00314041"/>
    <w:rsid w:val="003160E0"/>
    <w:rsid w:val="00316BEE"/>
    <w:rsid w:val="003173C5"/>
    <w:rsid w:val="00320534"/>
    <w:rsid w:val="0032072E"/>
    <w:rsid w:val="00322997"/>
    <w:rsid w:val="003244E6"/>
    <w:rsid w:val="003247A7"/>
    <w:rsid w:val="003257E5"/>
    <w:rsid w:val="00325F9E"/>
    <w:rsid w:val="00326FD4"/>
    <w:rsid w:val="003277B5"/>
    <w:rsid w:val="00327FDF"/>
    <w:rsid w:val="00330D09"/>
    <w:rsid w:val="00330EEA"/>
    <w:rsid w:val="00331131"/>
    <w:rsid w:val="00333383"/>
    <w:rsid w:val="00334EED"/>
    <w:rsid w:val="003352BC"/>
    <w:rsid w:val="0033618F"/>
    <w:rsid w:val="00337165"/>
    <w:rsid w:val="003377B6"/>
    <w:rsid w:val="003409E9"/>
    <w:rsid w:val="00340F05"/>
    <w:rsid w:val="00342348"/>
    <w:rsid w:val="00343040"/>
    <w:rsid w:val="003437C9"/>
    <w:rsid w:val="00343D6C"/>
    <w:rsid w:val="003468B4"/>
    <w:rsid w:val="00350522"/>
    <w:rsid w:val="00350B76"/>
    <w:rsid w:val="00350EEC"/>
    <w:rsid w:val="0035219A"/>
    <w:rsid w:val="00352458"/>
    <w:rsid w:val="00352BF1"/>
    <w:rsid w:val="00352DCC"/>
    <w:rsid w:val="00353839"/>
    <w:rsid w:val="003547C7"/>
    <w:rsid w:val="00356700"/>
    <w:rsid w:val="00361B1E"/>
    <w:rsid w:val="00363BC3"/>
    <w:rsid w:val="00364E2A"/>
    <w:rsid w:val="00365323"/>
    <w:rsid w:val="003668D8"/>
    <w:rsid w:val="00366E07"/>
    <w:rsid w:val="00367924"/>
    <w:rsid w:val="00370204"/>
    <w:rsid w:val="00370471"/>
    <w:rsid w:val="003707F5"/>
    <w:rsid w:val="003707FA"/>
    <w:rsid w:val="003722FA"/>
    <w:rsid w:val="00372518"/>
    <w:rsid w:val="0037406F"/>
    <w:rsid w:val="00374646"/>
    <w:rsid w:val="00374A49"/>
    <w:rsid w:val="00375246"/>
    <w:rsid w:val="0037681F"/>
    <w:rsid w:val="00380223"/>
    <w:rsid w:val="00381941"/>
    <w:rsid w:val="003824EB"/>
    <w:rsid w:val="003835FD"/>
    <w:rsid w:val="003843F4"/>
    <w:rsid w:val="00384A09"/>
    <w:rsid w:val="00384CCF"/>
    <w:rsid w:val="003874C8"/>
    <w:rsid w:val="00387E02"/>
    <w:rsid w:val="00391716"/>
    <w:rsid w:val="003925C4"/>
    <w:rsid w:val="003926DF"/>
    <w:rsid w:val="0039294E"/>
    <w:rsid w:val="00394AA7"/>
    <w:rsid w:val="00395373"/>
    <w:rsid w:val="00395DF8"/>
    <w:rsid w:val="00396252"/>
    <w:rsid w:val="00396CA2"/>
    <w:rsid w:val="003974D6"/>
    <w:rsid w:val="003976C1"/>
    <w:rsid w:val="003A2408"/>
    <w:rsid w:val="003A39EA"/>
    <w:rsid w:val="003A42A4"/>
    <w:rsid w:val="003A47A7"/>
    <w:rsid w:val="003A4BBC"/>
    <w:rsid w:val="003A63C0"/>
    <w:rsid w:val="003A6B34"/>
    <w:rsid w:val="003A70A1"/>
    <w:rsid w:val="003A77A2"/>
    <w:rsid w:val="003A7DA8"/>
    <w:rsid w:val="003B0BAD"/>
    <w:rsid w:val="003B1D98"/>
    <w:rsid w:val="003B2793"/>
    <w:rsid w:val="003B52C9"/>
    <w:rsid w:val="003B5F66"/>
    <w:rsid w:val="003B6C79"/>
    <w:rsid w:val="003C0307"/>
    <w:rsid w:val="003C0956"/>
    <w:rsid w:val="003C42DA"/>
    <w:rsid w:val="003C4469"/>
    <w:rsid w:val="003C4943"/>
    <w:rsid w:val="003C524B"/>
    <w:rsid w:val="003C52F3"/>
    <w:rsid w:val="003C657A"/>
    <w:rsid w:val="003D0FED"/>
    <w:rsid w:val="003D31CE"/>
    <w:rsid w:val="003D357F"/>
    <w:rsid w:val="003D5F52"/>
    <w:rsid w:val="003D7150"/>
    <w:rsid w:val="003D7999"/>
    <w:rsid w:val="003D7DB4"/>
    <w:rsid w:val="003D7F22"/>
    <w:rsid w:val="003E1782"/>
    <w:rsid w:val="003E20AD"/>
    <w:rsid w:val="003E2435"/>
    <w:rsid w:val="003E27DC"/>
    <w:rsid w:val="003E2F5B"/>
    <w:rsid w:val="003E3635"/>
    <w:rsid w:val="003E3C67"/>
    <w:rsid w:val="003E3DF4"/>
    <w:rsid w:val="003E4A9D"/>
    <w:rsid w:val="003E4BE8"/>
    <w:rsid w:val="003E4E21"/>
    <w:rsid w:val="003E6F22"/>
    <w:rsid w:val="003F16EC"/>
    <w:rsid w:val="003F19E5"/>
    <w:rsid w:val="003F3424"/>
    <w:rsid w:val="003F3D5E"/>
    <w:rsid w:val="003F3F62"/>
    <w:rsid w:val="003F53BF"/>
    <w:rsid w:val="003F55A3"/>
    <w:rsid w:val="003F6229"/>
    <w:rsid w:val="003F654D"/>
    <w:rsid w:val="003F775B"/>
    <w:rsid w:val="0040010E"/>
    <w:rsid w:val="00402C7D"/>
    <w:rsid w:val="0040365E"/>
    <w:rsid w:val="0040566D"/>
    <w:rsid w:val="00406798"/>
    <w:rsid w:val="00406FC4"/>
    <w:rsid w:val="00407ED3"/>
    <w:rsid w:val="00410705"/>
    <w:rsid w:val="004109ED"/>
    <w:rsid w:val="004110DC"/>
    <w:rsid w:val="00411F86"/>
    <w:rsid w:val="00412F6D"/>
    <w:rsid w:val="00417698"/>
    <w:rsid w:val="00420A36"/>
    <w:rsid w:val="00420A92"/>
    <w:rsid w:val="0042179B"/>
    <w:rsid w:val="00422A17"/>
    <w:rsid w:val="00423091"/>
    <w:rsid w:val="00423685"/>
    <w:rsid w:val="00423F17"/>
    <w:rsid w:val="0042440C"/>
    <w:rsid w:val="0042478D"/>
    <w:rsid w:val="00424D8E"/>
    <w:rsid w:val="004258ED"/>
    <w:rsid w:val="00425E4F"/>
    <w:rsid w:val="004261C9"/>
    <w:rsid w:val="00426ED0"/>
    <w:rsid w:val="00427760"/>
    <w:rsid w:val="00430382"/>
    <w:rsid w:val="00432655"/>
    <w:rsid w:val="00432A72"/>
    <w:rsid w:val="00432EF9"/>
    <w:rsid w:val="00434763"/>
    <w:rsid w:val="00434E9A"/>
    <w:rsid w:val="004354A2"/>
    <w:rsid w:val="004366D5"/>
    <w:rsid w:val="0043697C"/>
    <w:rsid w:val="00440BC5"/>
    <w:rsid w:val="00441C73"/>
    <w:rsid w:val="00441CDD"/>
    <w:rsid w:val="00442A22"/>
    <w:rsid w:val="004432DE"/>
    <w:rsid w:val="00443911"/>
    <w:rsid w:val="004446BA"/>
    <w:rsid w:val="00444C81"/>
    <w:rsid w:val="00446140"/>
    <w:rsid w:val="0045252A"/>
    <w:rsid w:val="00452999"/>
    <w:rsid w:val="00452D19"/>
    <w:rsid w:val="00453ADD"/>
    <w:rsid w:val="0045555D"/>
    <w:rsid w:val="00456072"/>
    <w:rsid w:val="00456822"/>
    <w:rsid w:val="00456C7D"/>
    <w:rsid w:val="00456D3B"/>
    <w:rsid w:val="00460382"/>
    <w:rsid w:val="00462A26"/>
    <w:rsid w:val="00462ECF"/>
    <w:rsid w:val="0046302A"/>
    <w:rsid w:val="004650A2"/>
    <w:rsid w:val="00466FA8"/>
    <w:rsid w:val="004675E6"/>
    <w:rsid w:val="00470A50"/>
    <w:rsid w:val="00471184"/>
    <w:rsid w:val="00471D64"/>
    <w:rsid w:val="00472563"/>
    <w:rsid w:val="0047269B"/>
    <w:rsid w:val="004745F2"/>
    <w:rsid w:val="004751DA"/>
    <w:rsid w:val="00475680"/>
    <w:rsid w:val="00475E00"/>
    <w:rsid w:val="00476FFD"/>
    <w:rsid w:val="00477911"/>
    <w:rsid w:val="00477D1E"/>
    <w:rsid w:val="00480A1F"/>
    <w:rsid w:val="00482E48"/>
    <w:rsid w:val="00483303"/>
    <w:rsid w:val="0048379F"/>
    <w:rsid w:val="0048674A"/>
    <w:rsid w:val="0048700A"/>
    <w:rsid w:val="00487DA6"/>
    <w:rsid w:val="004904E7"/>
    <w:rsid w:val="004908A7"/>
    <w:rsid w:val="0049101C"/>
    <w:rsid w:val="00491026"/>
    <w:rsid w:val="00491B57"/>
    <w:rsid w:val="0049203F"/>
    <w:rsid w:val="00493041"/>
    <w:rsid w:val="004930B6"/>
    <w:rsid w:val="0049506B"/>
    <w:rsid w:val="00495ADD"/>
    <w:rsid w:val="004977A4"/>
    <w:rsid w:val="0049785D"/>
    <w:rsid w:val="004A00F6"/>
    <w:rsid w:val="004A0271"/>
    <w:rsid w:val="004A0BA9"/>
    <w:rsid w:val="004A0E52"/>
    <w:rsid w:val="004A127E"/>
    <w:rsid w:val="004A14DC"/>
    <w:rsid w:val="004A2C87"/>
    <w:rsid w:val="004A4C37"/>
    <w:rsid w:val="004A561F"/>
    <w:rsid w:val="004A61C9"/>
    <w:rsid w:val="004A73B2"/>
    <w:rsid w:val="004A7891"/>
    <w:rsid w:val="004B06F0"/>
    <w:rsid w:val="004B07BD"/>
    <w:rsid w:val="004B097C"/>
    <w:rsid w:val="004B11E1"/>
    <w:rsid w:val="004B1671"/>
    <w:rsid w:val="004B29D1"/>
    <w:rsid w:val="004B3199"/>
    <w:rsid w:val="004B58D1"/>
    <w:rsid w:val="004B75BB"/>
    <w:rsid w:val="004B780F"/>
    <w:rsid w:val="004C17DE"/>
    <w:rsid w:val="004C1A08"/>
    <w:rsid w:val="004C23E6"/>
    <w:rsid w:val="004C2DA5"/>
    <w:rsid w:val="004C32F5"/>
    <w:rsid w:val="004C351A"/>
    <w:rsid w:val="004C49A2"/>
    <w:rsid w:val="004C4BA9"/>
    <w:rsid w:val="004C562D"/>
    <w:rsid w:val="004C5BE8"/>
    <w:rsid w:val="004C68F8"/>
    <w:rsid w:val="004C69CA"/>
    <w:rsid w:val="004C7FC5"/>
    <w:rsid w:val="004D086E"/>
    <w:rsid w:val="004D0899"/>
    <w:rsid w:val="004D0EB0"/>
    <w:rsid w:val="004D1861"/>
    <w:rsid w:val="004D39C2"/>
    <w:rsid w:val="004D4588"/>
    <w:rsid w:val="004D4B99"/>
    <w:rsid w:val="004D59F2"/>
    <w:rsid w:val="004E1833"/>
    <w:rsid w:val="004E1A9B"/>
    <w:rsid w:val="004E287C"/>
    <w:rsid w:val="004E380B"/>
    <w:rsid w:val="004E3F51"/>
    <w:rsid w:val="004E49E1"/>
    <w:rsid w:val="004E4B5D"/>
    <w:rsid w:val="004E5242"/>
    <w:rsid w:val="004E7244"/>
    <w:rsid w:val="004E7BA3"/>
    <w:rsid w:val="004F0A38"/>
    <w:rsid w:val="004F2370"/>
    <w:rsid w:val="004F3029"/>
    <w:rsid w:val="004F4654"/>
    <w:rsid w:val="004F575E"/>
    <w:rsid w:val="004F5D0C"/>
    <w:rsid w:val="004F6168"/>
    <w:rsid w:val="004F72E5"/>
    <w:rsid w:val="004F775B"/>
    <w:rsid w:val="004F7DB0"/>
    <w:rsid w:val="0050054D"/>
    <w:rsid w:val="00500C37"/>
    <w:rsid w:val="00500DC7"/>
    <w:rsid w:val="005018C6"/>
    <w:rsid w:val="00501B59"/>
    <w:rsid w:val="00501CA3"/>
    <w:rsid w:val="005021EA"/>
    <w:rsid w:val="0050453A"/>
    <w:rsid w:val="00504C75"/>
    <w:rsid w:val="005058F7"/>
    <w:rsid w:val="005072AE"/>
    <w:rsid w:val="00510A78"/>
    <w:rsid w:val="00511341"/>
    <w:rsid w:val="00511532"/>
    <w:rsid w:val="00512207"/>
    <w:rsid w:val="00512726"/>
    <w:rsid w:val="00512C51"/>
    <w:rsid w:val="0051310D"/>
    <w:rsid w:val="0051368B"/>
    <w:rsid w:val="0051433A"/>
    <w:rsid w:val="00514EF3"/>
    <w:rsid w:val="00515408"/>
    <w:rsid w:val="00515675"/>
    <w:rsid w:val="00520896"/>
    <w:rsid w:val="00524128"/>
    <w:rsid w:val="0052432C"/>
    <w:rsid w:val="00525A42"/>
    <w:rsid w:val="00525DD6"/>
    <w:rsid w:val="0052611C"/>
    <w:rsid w:val="00526244"/>
    <w:rsid w:val="005265EE"/>
    <w:rsid w:val="00526640"/>
    <w:rsid w:val="005269EF"/>
    <w:rsid w:val="0052705F"/>
    <w:rsid w:val="00527BF7"/>
    <w:rsid w:val="00527BFE"/>
    <w:rsid w:val="00531685"/>
    <w:rsid w:val="00532874"/>
    <w:rsid w:val="00532E05"/>
    <w:rsid w:val="00533E04"/>
    <w:rsid w:val="0053408A"/>
    <w:rsid w:val="005341C2"/>
    <w:rsid w:val="0053490A"/>
    <w:rsid w:val="005371A6"/>
    <w:rsid w:val="00537A70"/>
    <w:rsid w:val="0054119B"/>
    <w:rsid w:val="005428DB"/>
    <w:rsid w:val="00542A6E"/>
    <w:rsid w:val="00542EFD"/>
    <w:rsid w:val="00543FD9"/>
    <w:rsid w:val="00545761"/>
    <w:rsid w:val="00545864"/>
    <w:rsid w:val="00545F6E"/>
    <w:rsid w:val="00546180"/>
    <w:rsid w:val="00547173"/>
    <w:rsid w:val="00547755"/>
    <w:rsid w:val="00547DE9"/>
    <w:rsid w:val="00547E7D"/>
    <w:rsid w:val="00550CD9"/>
    <w:rsid w:val="005515C3"/>
    <w:rsid w:val="00551B89"/>
    <w:rsid w:val="00552430"/>
    <w:rsid w:val="00552F6F"/>
    <w:rsid w:val="00553237"/>
    <w:rsid w:val="005533A7"/>
    <w:rsid w:val="005543D6"/>
    <w:rsid w:val="00554456"/>
    <w:rsid w:val="005547C4"/>
    <w:rsid w:val="0055580C"/>
    <w:rsid w:val="00555E15"/>
    <w:rsid w:val="00556A0B"/>
    <w:rsid w:val="005601D1"/>
    <w:rsid w:val="0056086D"/>
    <w:rsid w:val="00560991"/>
    <w:rsid w:val="00561F48"/>
    <w:rsid w:val="00562772"/>
    <w:rsid w:val="00562CEC"/>
    <w:rsid w:val="005630F9"/>
    <w:rsid w:val="0056358A"/>
    <w:rsid w:val="00563BBD"/>
    <w:rsid w:val="00564724"/>
    <w:rsid w:val="00564896"/>
    <w:rsid w:val="00564D50"/>
    <w:rsid w:val="00565805"/>
    <w:rsid w:val="00566DBD"/>
    <w:rsid w:val="00567602"/>
    <w:rsid w:val="00570D76"/>
    <w:rsid w:val="00570D82"/>
    <w:rsid w:val="00570F8D"/>
    <w:rsid w:val="00571587"/>
    <w:rsid w:val="00571A9E"/>
    <w:rsid w:val="0057337E"/>
    <w:rsid w:val="00574761"/>
    <w:rsid w:val="0057694A"/>
    <w:rsid w:val="00580C86"/>
    <w:rsid w:val="00581289"/>
    <w:rsid w:val="00582DDA"/>
    <w:rsid w:val="00583183"/>
    <w:rsid w:val="005837D1"/>
    <w:rsid w:val="0058487B"/>
    <w:rsid w:val="00585379"/>
    <w:rsid w:val="00585EB8"/>
    <w:rsid w:val="005866B3"/>
    <w:rsid w:val="00587543"/>
    <w:rsid w:val="0059049F"/>
    <w:rsid w:val="005909A6"/>
    <w:rsid w:val="00590CE0"/>
    <w:rsid w:val="00591ED7"/>
    <w:rsid w:val="00592E38"/>
    <w:rsid w:val="00593541"/>
    <w:rsid w:val="005939F1"/>
    <w:rsid w:val="00595034"/>
    <w:rsid w:val="005956F3"/>
    <w:rsid w:val="005971A7"/>
    <w:rsid w:val="00597FCD"/>
    <w:rsid w:val="005A01CF"/>
    <w:rsid w:val="005A055B"/>
    <w:rsid w:val="005A0BF8"/>
    <w:rsid w:val="005A169C"/>
    <w:rsid w:val="005A214F"/>
    <w:rsid w:val="005A2447"/>
    <w:rsid w:val="005A2C6D"/>
    <w:rsid w:val="005A374D"/>
    <w:rsid w:val="005A484A"/>
    <w:rsid w:val="005A4EE1"/>
    <w:rsid w:val="005A522E"/>
    <w:rsid w:val="005A544A"/>
    <w:rsid w:val="005A76CE"/>
    <w:rsid w:val="005B02C7"/>
    <w:rsid w:val="005B0CDE"/>
    <w:rsid w:val="005B1BB2"/>
    <w:rsid w:val="005B1F67"/>
    <w:rsid w:val="005B2E28"/>
    <w:rsid w:val="005B2E50"/>
    <w:rsid w:val="005B2EFB"/>
    <w:rsid w:val="005B4C56"/>
    <w:rsid w:val="005C0779"/>
    <w:rsid w:val="005C0B64"/>
    <w:rsid w:val="005C0CD1"/>
    <w:rsid w:val="005C37A0"/>
    <w:rsid w:val="005C37F5"/>
    <w:rsid w:val="005C3F78"/>
    <w:rsid w:val="005C414E"/>
    <w:rsid w:val="005C41D9"/>
    <w:rsid w:val="005C4C97"/>
    <w:rsid w:val="005C5AB7"/>
    <w:rsid w:val="005C63E3"/>
    <w:rsid w:val="005C6A1E"/>
    <w:rsid w:val="005C70C7"/>
    <w:rsid w:val="005C75F9"/>
    <w:rsid w:val="005D04B7"/>
    <w:rsid w:val="005D297C"/>
    <w:rsid w:val="005D46F7"/>
    <w:rsid w:val="005D515D"/>
    <w:rsid w:val="005D59EF"/>
    <w:rsid w:val="005D5D3C"/>
    <w:rsid w:val="005D6F11"/>
    <w:rsid w:val="005D71B6"/>
    <w:rsid w:val="005E2CD1"/>
    <w:rsid w:val="005E4653"/>
    <w:rsid w:val="005E4AD8"/>
    <w:rsid w:val="005E4E8C"/>
    <w:rsid w:val="005E54EC"/>
    <w:rsid w:val="005E7022"/>
    <w:rsid w:val="005E77E4"/>
    <w:rsid w:val="005F0AA4"/>
    <w:rsid w:val="005F37FD"/>
    <w:rsid w:val="005F4F81"/>
    <w:rsid w:val="005F5F02"/>
    <w:rsid w:val="005F7189"/>
    <w:rsid w:val="005F7A04"/>
    <w:rsid w:val="005F7E9D"/>
    <w:rsid w:val="00600674"/>
    <w:rsid w:val="006008AF"/>
    <w:rsid w:val="00600CB1"/>
    <w:rsid w:val="006012E4"/>
    <w:rsid w:val="0060139C"/>
    <w:rsid w:val="00601905"/>
    <w:rsid w:val="00601A09"/>
    <w:rsid w:val="006063F4"/>
    <w:rsid w:val="006073D6"/>
    <w:rsid w:val="00607408"/>
    <w:rsid w:val="00607C1D"/>
    <w:rsid w:val="00610D53"/>
    <w:rsid w:val="006115E1"/>
    <w:rsid w:val="006142DC"/>
    <w:rsid w:val="00614787"/>
    <w:rsid w:val="006148CC"/>
    <w:rsid w:val="00615754"/>
    <w:rsid w:val="00615A56"/>
    <w:rsid w:val="00620EEA"/>
    <w:rsid w:val="00621274"/>
    <w:rsid w:val="0062182B"/>
    <w:rsid w:val="00621889"/>
    <w:rsid w:val="0062250A"/>
    <w:rsid w:val="006237D6"/>
    <w:rsid w:val="00625C66"/>
    <w:rsid w:val="006263DE"/>
    <w:rsid w:val="00626AC1"/>
    <w:rsid w:val="00630397"/>
    <w:rsid w:val="00630A1F"/>
    <w:rsid w:val="00632AD6"/>
    <w:rsid w:val="0063369B"/>
    <w:rsid w:val="006336D6"/>
    <w:rsid w:val="006352E7"/>
    <w:rsid w:val="00637D21"/>
    <w:rsid w:val="00640611"/>
    <w:rsid w:val="006409AF"/>
    <w:rsid w:val="00642983"/>
    <w:rsid w:val="006429A5"/>
    <w:rsid w:val="00642A38"/>
    <w:rsid w:val="006430EA"/>
    <w:rsid w:val="0064354F"/>
    <w:rsid w:val="006441EE"/>
    <w:rsid w:val="00645FB5"/>
    <w:rsid w:val="006469DE"/>
    <w:rsid w:val="00647E00"/>
    <w:rsid w:val="00647EE7"/>
    <w:rsid w:val="006502DB"/>
    <w:rsid w:val="006507A6"/>
    <w:rsid w:val="0065151B"/>
    <w:rsid w:val="00651ECE"/>
    <w:rsid w:val="0065253B"/>
    <w:rsid w:val="006526C6"/>
    <w:rsid w:val="00652D66"/>
    <w:rsid w:val="00654088"/>
    <w:rsid w:val="00655CA2"/>
    <w:rsid w:val="006565E0"/>
    <w:rsid w:val="006601F5"/>
    <w:rsid w:val="00661018"/>
    <w:rsid w:val="00661D36"/>
    <w:rsid w:val="006638BA"/>
    <w:rsid w:val="00663A40"/>
    <w:rsid w:val="0066452E"/>
    <w:rsid w:val="00665AFE"/>
    <w:rsid w:val="006661B7"/>
    <w:rsid w:val="0066722F"/>
    <w:rsid w:val="00667E38"/>
    <w:rsid w:val="006710FA"/>
    <w:rsid w:val="006728B2"/>
    <w:rsid w:val="006754A8"/>
    <w:rsid w:val="0067556E"/>
    <w:rsid w:val="00676EA2"/>
    <w:rsid w:val="00677192"/>
    <w:rsid w:val="006776C3"/>
    <w:rsid w:val="00680782"/>
    <w:rsid w:val="00680C46"/>
    <w:rsid w:val="00681753"/>
    <w:rsid w:val="00681F32"/>
    <w:rsid w:val="0068361C"/>
    <w:rsid w:val="00683814"/>
    <w:rsid w:val="006839E6"/>
    <w:rsid w:val="0068450A"/>
    <w:rsid w:val="0068501F"/>
    <w:rsid w:val="0068622C"/>
    <w:rsid w:val="00690E88"/>
    <w:rsid w:val="006913DC"/>
    <w:rsid w:val="006914EA"/>
    <w:rsid w:val="00693973"/>
    <w:rsid w:val="00694E2D"/>
    <w:rsid w:val="00695370"/>
    <w:rsid w:val="0069582D"/>
    <w:rsid w:val="0069603F"/>
    <w:rsid w:val="006963ED"/>
    <w:rsid w:val="0069675F"/>
    <w:rsid w:val="006A0214"/>
    <w:rsid w:val="006A07E7"/>
    <w:rsid w:val="006A578A"/>
    <w:rsid w:val="006A72DE"/>
    <w:rsid w:val="006A74F1"/>
    <w:rsid w:val="006B0540"/>
    <w:rsid w:val="006B12D9"/>
    <w:rsid w:val="006B2FB3"/>
    <w:rsid w:val="006B472A"/>
    <w:rsid w:val="006B726B"/>
    <w:rsid w:val="006C015E"/>
    <w:rsid w:val="006C0EC4"/>
    <w:rsid w:val="006C1195"/>
    <w:rsid w:val="006C22A4"/>
    <w:rsid w:val="006C29D5"/>
    <w:rsid w:val="006C5F19"/>
    <w:rsid w:val="006C6378"/>
    <w:rsid w:val="006C6606"/>
    <w:rsid w:val="006C66D8"/>
    <w:rsid w:val="006C67C1"/>
    <w:rsid w:val="006C76F6"/>
    <w:rsid w:val="006D00D3"/>
    <w:rsid w:val="006D00F8"/>
    <w:rsid w:val="006D0545"/>
    <w:rsid w:val="006D139D"/>
    <w:rsid w:val="006D23F1"/>
    <w:rsid w:val="006D3171"/>
    <w:rsid w:val="006D541E"/>
    <w:rsid w:val="006D5A2A"/>
    <w:rsid w:val="006D6314"/>
    <w:rsid w:val="006D6C0E"/>
    <w:rsid w:val="006E10F7"/>
    <w:rsid w:val="006E1A53"/>
    <w:rsid w:val="006E2250"/>
    <w:rsid w:val="006E2644"/>
    <w:rsid w:val="006E2A5C"/>
    <w:rsid w:val="006E3BF2"/>
    <w:rsid w:val="006E6023"/>
    <w:rsid w:val="006E680B"/>
    <w:rsid w:val="006E7742"/>
    <w:rsid w:val="006F11E7"/>
    <w:rsid w:val="006F1EFC"/>
    <w:rsid w:val="006F2571"/>
    <w:rsid w:val="006F3037"/>
    <w:rsid w:val="006F3103"/>
    <w:rsid w:val="006F4E45"/>
    <w:rsid w:val="006F55DB"/>
    <w:rsid w:val="006F5904"/>
    <w:rsid w:val="006F65FE"/>
    <w:rsid w:val="006F6702"/>
    <w:rsid w:val="006F6FD4"/>
    <w:rsid w:val="006F7559"/>
    <w:rsid w:val="006F7AAA"/>
    <w:rsid w:val="0070205F"/>
    <w:rsid w:val="00702571"/>
    <w:rsid w:val="00702AD4"/>
    <w:rsid w:val="00702AE0"/>
    <w:rsid w:val="00702BA4"/>
    <w:rsid w:val="00702D9F"/>
    <w:rsid w:val="0070358A"/>
    <w:rsid w:val="0070410F"/>
    <w:rsid w:val="007057CC"/>
    <w:rsid w:val="007070F9"/>
    <w:rsid w:val="00707B56"/>
    <w:rsid w:val="00710028"/>
    <w:rsid w:val="0071009D"/>
    <w:rsid w:val="0071167C"/>
    <w:rsid w:val="007118E2"/>
    <w:rsid w:val="00711B9E"/>
    <w:rsid w:val="007120FC"/>
    <w:rsid w:val="00713A80"/>
    <w:rsid w:val="00713B9A"/>
    <w:rsid w:val="00714BD1"/>
    <w:rsid w:val="00715042"/>
    <w:rsid w:val="007164DA"/>
    <w:rsid w:val="0072000B"/>
    <w:rsid w:val="0072040A"/>
    <w:rsid w:val="00720B1A"/>
    <w:rsid w:val="00723236"/>
    <w:rsid w:val="00723A8F"/>
    <w:rsid w:val="00724759"/>
    <w:rsid w:val="007249C2"/>
    <w:rsid w:val="007253FD"/>
    <w:rsid w:val="0073033C"/>
    <w:rsid w:val="00730738"/>
    <w:rsid w:val="00731D10"/>
    <w:rsid w:val="00732337"/>
    <w:rsid w:val="00733125"/>
    <w:rsid w:val="00733174"/>
    <w:rsid w:val="007332A0"/>
    <w:rsid w:val="00733BD7"/>
    <w:rsid w:val="007352C3"/>
    <w:rsid w:val="00735865"/>
    <w:rsid w:val="00735D8C"/>
    <w:rsid w:val="00736030"/>
    <w:rsid w:val="00737114"/>
    <w:rsid w:val="0074065A"/>
    <w:rsid w:val="007436A5"/>
    <w:rsid w:val="00745105"/>
    <w:rsid w:val="00745414"/>
    <w:rsid w:val="0074596B"/>
    <w:rsid w:val="00745AF5"/>
    <w:rsid w:val="00746CFD"/>
    <w:rsid w:val="00750734"/>
    <w:rsid w:val="0075167C"/>
    <w:rsid w:val="00751AE1"/>
    <w:rsid w:val="00751D64"/>
    <w:rsid w:val="00752CE1"/>
    <w:rsid w:val="0075403C"/>
    <w:rsid w:val="00755B19"/>
    <w:rsid w:val="007560BD"/>
    <w:rsid w:val="00760221"/>
    <w:rsid w:val="00760A2E"/>
    <w:rsid w:val="00761E44"/>
    <w:rsid w:val="00762833"/>
    <w:rsid w:val="00762CEF"/>
    <w:rsid w:val="007633EC"/>
    <w:rsid w:val="00763711"/>
    <w:rsid w:val="00763ACD"/>
    <w:rsid w:val="0076452C"/>
    <w:rsid w:val="007653FA"/>
    <w:rsid w:val="007662F6"/>
    <w:rsid w:val="0076678F"/>
    <w:rsid w:val="00767241"/>
    <w:rsid w:val="00767800"/>
    <w:rsid w:val="00767987"/>
    <w:rsid w:val="0077082E"/>
    <w:rsid w:val="007712C5"/>
    <w:rsid w:val="0077171F"/>
    <w:rsid w:val="00772A8D"/>
    <w:rsid w:val="00772D70"/>
    <w:rsid w:val="00773531"/>
    <w:rsid w:val="00773F0E"/>
    <w:rsid w:val="00774C7F"/>
    <w:rsid w:val="00775B43"/>
    <w:rsid w:val="00775D9C"/>
    <w:rsid w:val="00775EC1"/>
    <w:rsid w:val="00776436"/>
    <w:rsid w:val="007764AF"/>
    <w:rsid w:val="00777D12"/>
    <w:rsid w:val="00780B69"/>
    <w:rsid w:val="00780DE7"/>
    <w:rsid w:val="00781659"/>
    <w:rsid w:val="00782D0A"/>
    <w:rsid w:val="00782EAB"/>
    <w:rsid w:val="00784312"/>
    <w:rsid w:val="0078579B"/>
    <w:rsid w:val="00785CBA"/>
    <w:rsid w:val="00786210"/>
    <w:rsid w:val="00786E34"/>
    <w:rsid w:val="00786F26"/>
    <w:rsid w:val="00787AB4"/>
    <w:rsid w:val="00790A35"/>
    <w:rsid w:val="0079106F"/>
    <w:rsid w:val="007911DD"/>
    <w:rsid w:val="007916CB"/>
    <w:rsid w:val="007917AA"/>
    <w:rsid w:val="00792B58"/>
    <w:rsid w:val="00792D94"/>
    <w:rsid w:val="007930D6"/>
    <w:rsid w:val="007943CC"/>
    <w:rsid w:val="00794B42"/>
    <w:rsid w:val="00795578"/>
    <w:rsid w:val="00795699"/>
    <w:rsid w:val="00796810"/>
    <w:rsid w:val="00796DA8"/>
    <w:rsid w:val="007A0D9A"/>
    <w:rsid w:val="007A197C"/>
    <w:rsid w:val="007A1FE8"/>
    <w:rsid w:val="007A2190"/>
    <w:rsid w:val="007A373F"/>
    <w:rsid w:val="007A660C"/>
    <w:rsid w:val="007A74E8"/>
    <w:rsid w:val="007B0523"/>
    <w:rsid w:val="007B08DA"/>
    <w:rsid w:val="007B2A55"/>
    <w:rsid w:val="007B3621"/>
    <w:rsid w:val="007B3B54"/>
    <w:rsid w:val="007B66F0"/>
    <w:rsid w:val="007B6993"/>
    <w:rsid w:val="007B7F4E"/>
    <w:rsid w:val="007C0D23"/>
    <w:rsid w:val="007C36D5"/>
    <w:rsid w:val="007C4284"/>
    <w:rsid w:val="007C4BA8"/>
    <w:rsid w:val="007C6091"/>
    <w:rsid w:val="007C76AC"/>
    <w:rsid w:val="007C7A34"/>
    <w:rsid w:val="007D00A6"/>
    <w:rsid w:val="007D0CE6"/>
    <w:rsid w:val="007D191B"/>
    <w:rsid w:val="007D3332"/>
    <w:rsid w:val="007D380E"/>
    <w:rsid w:val="007D4E4A"/>
    <w:rsid w:val="007D607F"/>
    <w:rsid w:val="007D6AD6"/>
    <w:rsid w:val="007D6C82"/>
    <w:rsid w:val="007D6E3C"/>
    <w:rsid w:val="007D7C6D"/>
    <w:rsid w:val="007E251D"/>
    <w:rsid w:val="007E4A8A"/>
    <w:rsid w:val="007E5972"/>
    <w:rsid w:val="007E5AB1"/>
    <w:rsid w:val="007E5C6F"/>
    <w:rsid w:val="007E6C81"/>
    <w:rsid w:val="007E77E8"/>
    <w:rsid w:val="007F07C3"/>
    <w:rsid w:val="007F0ECC"/>
    <w:rsid w:val="007F10A6"/>
    <w:rsid w:val="007F2DED"/>
    <w:rsid w:val="007F3F70"/>
    <w:rsid w:val="007F5F6F"/>
    <w:rsid w:val="007F6BD3"/>
    <w:rsid w:val="007F7B35"/>
    <w:rsid w:val="00800146"/>
    <w:rsid w:val="008002D3"/>
    <w:rsid w:val="008004E8"/>
    <w:rsid w:val="00800C56"/>
    <w:rsid w:val="00800EF0"/>
    <w:rsid w:val="00804B18"/>
    <w:rsid w:val="00804D94"/>
    <w:rsid w:val="00804E4F"/>
    <w:rsid w:val="008056EF"/>
    <w:rsid w:val="00805883"/>
    <w:rsid w:val="0080768A"/>
    <w:rsid w:val="00810743"/>
    <w:rsid w:val="00810A51"/>
    <w:rsid w:val="00810A53"/>
    <w:rsid w:val="00810E0F"/>
    <w:rsid w:val="00811C3B"/>
    <w:rsid w:val="00812772"/>
    <w:rsid w:val="008129E9"/>
    <w:rsid w:val="00813C69"/>
    <w:rsid w:val="0081661C"/>
    <w:rsid w:val="0081666A"/>
    <w:rsid w:val="008204F3"/>
    <w:rsid w:val="00820BC1"/>
    <w:rsid w:val="008210AC"/>
    <w:rsid w:val="008211C8"/>
    <w:rsid w:val="00821699"/>
    <w:rsid w:val="00821A0B"/>
    <w:rsid w:val="008229A6"/>
    <w:rsid w:val="00822BCC"/>
    <w:rsid w:val="00822FCC"/>
    <w:rsid w:val="008262CA"/>
    <w:rsid w:val="0082698E"/>
    <w:rsid w:val="00827F4B"/>
    <w:rsid w:val="0083106C"/>
    <w:rsid w:val="00831921"/>
    <w:rsid w:val="0083273D"/>
    <w:rsid w:val="00832D8D"/>
    <w:rsid w:val="00832ED7"/>
    <w:rsid w:val="008349E8"/>
    <w:rsid w:val="00836C79"/>
    <w:rsid w:val="0083737E"/>
    <w:rsid w:val="00837AF0"/>
    <w:rsid w:val="00840773"/>
    <w:rsid w:val="0084414B"/>
    <w:rsid w:val="00844CB3"/>
    <w:rsid w:val="00844DD8"/>
    <w:rsid w:val="0084544F"/>
    <w:rsid w:val="00845ED1"/>
    <w:rsid w:val="00846CB6"/>
    <w:rsid w:val="00847561"/>
    <w:rsid w:val="00847A54"/>
    <w:rsid w:val="0085119E"/>
    <w:rsid w:val="00851DE2"/>
    <w:rsid w:val="00851FBB"/>
    <w:rsid w:val="008532B9"/>
    <w:rsid w:val="008533E8"/>
    <w:rsid w:val="00855155"/>
    <w:rsid w:val="00855953"/>
    <w:rsid w:val="00855CCF"/>
    <w:rsid w:val="008562DF"/>
    <w:rsid w:val="00856D8B"/>
    <w:rsid w:val="008606D0"/>
    <w:rsid w:val="008611B0"/>
    <w:rsid w:val="008619D4"/>
    <w:rsid w:val="00864262"/>
    <w:rsid w:val="00864E2C"/>
    <w:rsid w:val="00865195"/>
    <w:rsid w:val="00865480"/>
    <w:rsid w:val="008718CB"/>
    <w:rsid w:val="00872418"/>
    <w:rsid w:val="00872E1F"/>
    <w:rsid w:val="0087342A"/>
    <w:rsid w:val="00873D64"/>
    <w:rsid w:val="00874092"/>
    <w:rsid w:val="008759B5"/>
    <w:rsid w:val="00877B96"/>
    <w:rsid w:val="00877CA0"/>
    <w:rsid w:val="008803BD"/>
    <w:rsid w:val="008805AC"/>
    <w:rsid w:val="00880AA2"/>
    <w:rsid w:val="00881F53"/>
    <w:rsid w:val="0088253F"/>
    <w:rsid w:val="00882B2E"/>
    <w:rsid w:val="0088395D"/>
    <w:rsid w:val="00883EE5"/>
    <w:rsid w:val="00885279"/>
    <w:rsid w:val="008855E7"/>
    <w:rsid w:val="00886DAC"/>
    <w:rsid w:val="0088722D"/>
    <w:rsid w:val="0089037E"/>
    <w:rsid w:val="008907E7"/>
    <w:rsid w:val="00890FB6"/>
    <w:rsid w:val="008927F4"/>
    <w:rsid w:val="00893E3B"/>
    <w:rsid w:val="0089415E"/>
    <w:rsid w:val="008943E5"/>
    <w:rsid w:val="008946CA"/>
    <w:rsid w:val="0089479A"/>
    <w:rsid w:val="00895D25"/>
    <w:rsid w:val="00896F9A"/>
    <w:rsid w:val="008979B0"/>
    <w:rsid w:val="008A02D6"/>
    <w:rsid w:val="008A0C66"/>
    <w:rsid w:val="008A17A6"/>
    <w:rsid w:val="008A2F85"/>
    <w:rsid w:val="008A3E6A"/>
    <w:rsid w:val="008A4A43"/>
    <w:rsid w:val="008A4D9E"/>
    <w:rsid w:val="008A6A46"/>
    <w:rsid w:val="008A6B5E"/>
    <w:rsid w:val="008A6BA6"/>
    <w:rsid w:val="008A6DA6"/>
    <w:rsid w:val="008A7DDB"/>
    <w:rsid w:val="008B0474"/>
    <w:rsid w:val="008B0587"/>
    <w:rsid w:val="008B0676"/>
    <w:rsid w:val="008B23B9"/>
    <w:rsid w:val="008B287B"/>
    <w:rsid w:val="008B466E"/>
    <w:rsid w:val="008B5224"/>
    <w:rsid w:val="008B5335"/>
    <w:rsid w:val="008B5BDC"/>
    <w:rsid w:val="008B6206"/>
    <w:rsid w:val="008B6253"/>
    <w:rsid w:val="008C0B34"/>
    <w:rsid w:val="008C0F4B"/>
    <w:rsid w:val="008C2215"/>
    <w:rsid w:val="008C383B"/>
    <w:rsid w:val="008C3C0C"/>
    <w:rsid w:val="008C40C7"/>
    <w:rsid w:val="008C4F58"/>
    <w:rsid w:val="008C533A"/>
    <w:rsid w:val="008C60C2"/>
    <w:rsid w:val="008C63E1"/>
    <w:rsid w:val="008C687B"/>
    <w:rsid w:val="008C79A4"/>
    <w:rsid w:val="008D3098"/>
    <w:rsid w:val="008D388C"/>
    <w:rsid w:val="008D4780"/>
    <w:rsid w:val="008D4B79"/>
    <w:rsid w:val="008D4CA4"/>
    <w:rsid w:val="008D536D"/>
    <w:rsid w:val="008D788C"/>
    <w:rsid w:val="008D7E8A"/>
    <w:rsid w:val="008E0BCE"/>
    <w:rsid w:val="008E17D3"/>
    <w:rsid w:val="008E1C79"/>
    <w:rsid w:val="008E1D15"/>
    <w:rsid w:val="008E2651"/>
    <w:rsid w:val="008E43C3"/>
    <w:rsid w:val="008E4F81"/>
    <w:rsid w:val="008E562E"/>
    <w:rsid w:val="008E5B42"/>
    <w:rsid w:val="008E6065"/>
    <w:rsid w:val="008F079D"/>
    <w:rsid w:val="008F12BB"/>
    <w:rsid w:val="008F23DD"/>
    <w:rsid w:val="008F2F2E"/>
    <w:rsid w:val="008F3C04"/>
    <w:rsid w:val="008F7517"/>
    <w:rsid w:val="00900DE2"/>
    <w:rsid w:val="009019C0"/>
    <w:rsid w:val="00901B92"/>
    <w:rsid w:val="00901F98"/>
    <w:rsid w:val="00902938"/>
    <w:rsid w:val="00902AFF"/>
    <w:rsid w:val="0090305E"/>
    <w:rsid w:val="00903DF1"/>
    <w:rsid w:val="00906359"/>
    <w:rsid w:val="00910BA2"/>
    <w:rsid w:val="00910C6C"/>
    <w:rsid w:val="00910E8F"/>
    <w:rsid w:val="00911008"/>
    <w:rsid w:val="0091353C"/>
    <w:rsid w:val="009139D9"/>
    <w:rsid w:val="00913EC8"/>
    <w:rsid w:val="00915315"/>
    <w:rsid w:val="0091594F"/>
    <w:rsid w:val="00915CBF"/>
    <w:rsid w:val="009166BC"/>
    <w:rsid w:val="009175A9"/>
    <w:rsid w:val="00920161"/>
    <w:rsid w:val="00920B4C"/>
    <w:rsid w:val="00921221"/>
    <w:rsid w:val="009216BF"/>
    <w:rsid w:val="00921C31"/>
    <w:rsid w:val="00921D3F"/>
    <w:rsid w:val="00922D50"/>
    <w:rsid w:val="00923220"/>
    <w:rsid w:val="009236B2"/>
    <w:rsid w:val="00924D26"/>
    <w:rsid w:val="009265A0"/>
    <w:rsid w:val="009266EF"/>
    <w:rsid w:val="0092689E"/>
    <w:rsid w:val="00927020"/>
    <w:rsid w:val="0092755B"/>
    <w:rsid w:val="00930594"/>
    <w:rsid w:val="00931193"/>
    <w:rsid w:val="00931685"/>
    <w:rsid w:val="00931877"/>
    <w:rsid w:val="00931C51"/>
    <w:rsid w:val="009331D5"/>
    <w:rsid w:val="00933578"/>
    <w:rsid w:val="00933FF5"/>
    <w:rsid w:val="00934248"/>
    <w:rsid w:val="0093486C"/>
    <w:rsid w:val="009363AD"/>
    <w:rsid w:val="009363CC"/>
    <w:rsid w:val="00936D60"/>
    <w:rsid w:val="00937123"/>
    <w:rsid w:val="0094078E"/>
    <w:rsid w:val="009413B6"/>
    <w:rsid w:val="0094151F"/>
    <w:rsid w:val="00941A51"/>
    <w:rsid w:val="0094267A"/>
    <w:rsid w:val="009428DB"/>
    <w:rsid w:val="0094290B"/>
    <w:rsid w:val="00943313"/>
    <w:rsid w:val="0094369E"/>
    <w:rsid w:val="009438D2"/>
    <w:rsid w:val="00945A9D"/>
    <w:rsid w:val="00945D79"/>
    <w:rsid w:val="00947B55"/>
    <w:rsid w:val="009507F5"/>
    <w:rsid w:val="00950D10"/>
    <w:rsid w:val="0095117B"/>
    <w:rsid w:val="009516E6"/>
    <w:rsid w:val="009536A9"/>
    <w:rsid w:val="00953920"/>
    <w:rsid w:val="0095572E"/>
    <w:rsid w:val="00956424"/>
    <w:rsid w:val="009571DF"/>
    <w:rsid w:val="0096065D"/>
    <w:rsid w:val="0096105C"/>
    <w:rsid w:val="0096195B"/>
    <w:rsid w:val="00963A1F"/>
    <w:rsid w:val="0096526A"/>
    <w:rsid w:val="00965E9A"/>
    <w:rsid w:val="00965EC1"/>
    <w:rsid w:val="00966166"/>
    <w:rsid w:val="00966269"/>
    <w:rsid w:val="00966CF2"/>
    <w:rsid w:val="009678F3"/>
    <w:rsid w:val="00970261"/>
    <w:rsid w:val="009704A7"/>
    <w:rsid w:val="0097076C"/>
    <w:rsid w:val="009714A1"/>
    <w:rsid w:val="00971672"/>
    <w:rsid w:val="00971B2B"/>
    <w:rsid w:val="00972C84"/>
    <w:rsid w:val="00973A8D"/>
    <w:rsid w:val="0097414C"/>
    <w:rsid w:val="00974665"/>
    <w:rsid w:val="00974EB4"/>
    <w:rsid w:val="009758E3"/>
    <w:rsid w:val="0097648B"/>
    <w:rsid w:val="00977E2D"/>
    <w:rsid w:val="009805C3"/>
    <w:rsid w:val="009808D5"/>
    <w:rsid w:val="00980D74"/>
    <w:rsid w:val="00982FDF"/>
    <w:rsid w:val="00983454"/>
    <w:rsid w:val="00983819"/>
    <w:rsid w:val="0098518A"/>
    <w:rsid w:val="00985B09"/>
    <w:rsid w:val="00987D13"/>
    <w:rsid w:val="00992168"/>
    <w:rsid w:val="00992D76"/>
    <w:rsid w:val="009938CC"/>
    <w:rsid w:val="009944DB"/>
    <w:rsid w:val="0099453B"/>
    <w:rsid w:val="009946A3"/>
    <w:rsid w:val="009948BC"/>
    <w:rsid w:val="00994EDF"/>
    <w:rsid w:val="00995D0F"/>
    <w:rsid w:val="00996115"/>
    <w:rsid w:val="00996E1E"/>
    <w:rsid w:val="0099784E"/>
    <w:rsid w:val="009A0198"/>
    <w:rsid w:val="009A01E1"/>
    <w:rsid w:val="009A0CBD"/>
    <w:rsid w:val="009A16A3"/>
    <w:rsid w:val="009A1935"/>
    <w:rsid w:val="009A2C42"/>
    <w:rsid w:val="009A3010"/>
    <w:rsid w:val="009A3C57"/>
    <w:rsid w:val="009A6B07"/>
    <w:rsid w:val="009A6C61"/>
    <w:rsid w:val="009A73C3"/>
    <w:rsid w:val="009A7D29"/>
    <w:rsid w:val="009B2063"/>
    <w:rsid w:val="009B2A88"/>
    <w:rsid w:val="009B2C99"/>
    <w:rsid w:val="009B3417"/>
    <w:rsid w:val="009B3A74"/>
    <w:rsid w:val="009B4285"/>
    <w:rsid w:val="009B4E2A"/>
    <w:rsid w:val="009B507C"/>
    <w:rsid w:val="009B56EB"/>
    <w:rsid w:val="009B5DE2"/>
    <w:rsid w:val="009B647F"/>
    <w:rsid w:val="009B678B"/>
    <w:rsid w:val="009B705D"/>
    <w:rsid w:val="009B74B3"/>
    <w:rsid w:val="009C1073"/>
    <w:rsid w:val="009C1A13"/>
    <w:rsid w:val="009C2C1E"/>
    <w:rsid w:val="009C4827"/>
    <w:rsid w:val="009C4CA0"/>
    <w:rsid w:val="009C5F8F"/>
    <w:rsid w:val="009C65F9"/>
    <w:rsid w:val="009C7E88"/>
    <w:rsid w:val="009D0549"/>
    <w:rsid w:val="009D07EE"/>
    <w:rsid w:val="009D0F28"/>
    <w:rsid w:val="009D10D6"/>
    <w:rsid w:val="009D1126"/>
    <w:rsid w:val="009D18F6"/>
    <w:rsid w:val="009D2E41"/>
    <w:rsid w:val="009D31AF"/>
    <w:rsid w:val="009D32AB"/>
    <w:rsid w:val="009D3405"/>
    <w:rsid w:val="009D5D10"/>
    <w:rsid w:val="009D60A9"/>
    <w:rsid w:val="009D6831"/>
    <w:rsid w:val="009D7B64"/>
    <w:rsid w:val="009E0388"/>
    <w:rsid w:val="009E0845"/>
    <w:rsid w:val="009E132D"/>
    <w:rsid w:val="009E1442"/>
    <w:rsid w:val="009E155D"/>
    <w:rsid w:val="009E1A95"/>
    <w:rsid w:val="009E2B64"/>
    <w:rsid w:val="009E330D"/>
    <w:rsid w:val="009E499F"/>
    <w:rsid w:val="009E5066"/>
    <w:rsid w:val="009E58BB"/>
    <w:rsid w:val="009E62F9"/>
    <w:rsid w:val="009E6999"/>
    <w:rsid w:val="009E7F85"/>
    <w:rsid w:val="009F0B2D"/>
    <w:rsid w:val="009F0C8A"/>
    <w:rsid w:val="009F196E"/>
    <w:rsid w:val="009F1D3A"/>
    <w:rsid w:val="009F2CBE"/>
    <w:rsid w:val="009F3413"/>
    <w:rsid w:val="009F56C7"/>
    <w:rsid w:val="009F7677"/>
    <w:rsid w:val="009F790C"/>
    <w:rsid w:val="00A00080"/>
    <w:rsid w:val="00A00FE6"/>
    <w:rsid w:val="00A0158F"/>
    <w:rsid w:val="00A02D98"/>
    <w:rsid w:val="00A0375B"/>
    <w:rsid w:val="00A041D0"/>
    <w:rsid w:val="00A046A3"/>
    <w:rsid w:val="00A067D6"/>
    <w:rsid w:val="00A074EA"/>
    <w:rsid w:val="00A0763B"/>
    <w:rsid w:val="00A07697"/>
    <w:rsid w:val="00A078D3"/>
    <w:rsid w:val="00A07ACF"/>
    <w:rsid w:val="00A07E76"/>
    <w:rsid w:val="00A1028E"/>
    <w:rsid w:val="00A1084A"/>
    <w:rsid w:val="00A1134F"/>
    <w:rsid w:val="00A11F51"/>
    <w:rsid w:val="00A12163"/>
    <w:rsid w:val="00A1301D"/>
    <w:rsid w:val="00A1362A"/>
    <w:rsid w:val="00A1427B"/>
    <w:rsid w:val="00A15D5F"/>
    <w:rsid w:val="00A1683B"/>
    <w:rsid w:val="00A171AD"/>
    <w:rsid w:val="00A21296"/>
    <w:rsid w:val="00A22F27"/>
    <w:rsid w:val="00A25E8B"/>
    <w:rsid w:val="00A270AE"/>
    <w:rsid w:val="00A273F7"/>
    <w:rsid w:val="00A27A43"/>
    <w:rsid w:val="00A31923"/>
    <w:rsid w:val="00A31C96"/>
    <w:rsid w:val="00A36B12"/>
    <w:rsid w:val="00A37440"/>
    <w:rsid w:val="00A41F10"/>
    <w:rsid w:val="00A41FD0"/>
    <w:rsid w:val="00A4309F"/>
    <w:rsid w:val="00A43C10"/>
    <w:rsid w:val="00A450A6"/>
    <w:rsid w:val="00A4558E"/>
    <w:rsid w:val="00A462A7"/>
    <w:rsid w:val="00A46D38"/>
    <w:rsid w:val="00A46F12"/>
    <w:rsid w:val="00A50306"/>
    <w:rsid w:val="00A5040B"/>
    <w:rsid w:val="00A50927"/>
    <w:rsid w:val="00A5095C"/>
    <w:rsid w:val="00A50B02"/>
    <w:rsid w:val="00A50D24"/>
    <w:rsid w:val="00A512A6"/>
    <w:rsid w:val="00A521CC"/>
    <w:rsid w:val="00A534AD"/>
    <w:rsid w:val="00A53651"/>
    <w:rsid w:val="00A53CD2"/>
    <w:rsid w:val="00A543D6"/>
    <w:rsid w:val="00A547D6"/>
    <w:rsid w:val="00A55ED6"/>
    <w:rsid w:val="00A568F0"/>
    <w:rsid w:val="00A5711F"/>
    <w:rsid w:val="00A5781C"/>
    <w:rsid w:val="00A62854"/>
    <w:rsid w:val="00A62B4B"/>
    <w:rsid w:val="00A632F3"/>
    <w:rsid w:val="00A64F9B"/>
    <w:rsid w:val="00A65380"/>
    <w:rsid w:val="00A65782"/>
    <w:rsid w:val="00A65BCF"/>
    <w:rsid w:val="00A66DA5"/>
    <w:rsid w:val="00A6763F"/>
    <w:rsid w:val="00A70679"/>
    <w:rsid w:val="00A70DF7"/>
    <w:rsid w:val="00A71C78"/>
    <w:rsid w:val="00A72D25"/>
    <w:rsid w:val="00A73181"/>
    <w:rsid w:val="00A73791"/>
    <w:rsid w:val="00A73AF9"/>
    <w:rsid w:val="00A7460A"/>
    <w:rsid w:val="00A74A03"/>
    <w:rsid w:val="00A75719"/>
    <w:rsid w:val="00A759AD"/>
    <w:rsid w:val="00A80F43"/>
    <w:rsid w:val="00A8112D"/>
    <w:rsid w:val="00A81372"/>
    <w:rsid w:val="00A824B4"/>
    <w:rsid w:val="00A84C8E"/>
    <w:rsid w:val="00A84D69"/>
    <w:rsid w:val="00A855A6"/>
    <w:rsid w:val="00A85A2C"/>
    <w:rsid w:val="00A85C89"/>
    <w:rsid w:val="00A85DAB"/>
    <w:rsid w:val="00A86BD9"/>
    <w:rsid w:val="00A86EB0"/>
    <w:rsid w:val="00A87C39"/>
    <w:rsid w:val="00A87F59"/>
    <w:rsid w:val="00A9046C"/>
    <w:rsid w:val="00A9084E"/>
    <w:rsid w:val="00A92957"/>
    <w:rsid w:val="00A95AE0"/>
    <w:rsid w:val="00A95BD7"/>
    <w:rsid w:val="00A961B6"/>
    <w:rsid w:val="00A96239"/>
    <w:rsid w:val="00AA1F50"/>
    <w:rsid w:val="00AA24D5"/>
    <w:rsid w:val="00AA3373"/>
    <w:rsid w:val="00AA3546"/>
    <w:rsid w:val="00AA4417"/>
    <w:rsid w:val="00AA6490"/>
    <w:rsid w:val="00AA6602"/>
    <w:rsid w:val="00AB0F9A"/>
    <w:rsid w:val="00AB1D7B"/>
    <w:rsid w:val="00AB20AA"/>
    <w:rsid w:val="00AB29A2"/>
    <w:rsid w:val="00AB2E9C"/>
    <w:rsid w:val="00AB311E"/>
    <w:rsid w:val="00AB39BC"/>
    <w:rsid w:val="00AB4083"/>
    <w:rsid w:val="00AB4AF4"/>
    <w:rsid w:val="00AB5D50"/>
    <w:rsid w:val="00AB673C"/>
    <w:rsid w:val="00AC02DD"/>
    <w:rsid w:val="00AC1040"/>
    <w:rsid w:val="00AC1A37"/>
    <w:rsid w:val="00AC2C4C"/>
    <w:rsid w:val="00AC53AE"/>
    <w:rsid w:val="00AC5DAB"/>
    <w:rsid w:val="00AD0495"/>
    <w:rsid w:val="00AD0771"/>
    <w:rsid w:val="00AD08A6"/>
    <w:rsid w:val="00AD3417"/>
    <w:rsid w:val="00AD3476"/>
    <w:rsid w:val="00AD3976"/>
    <w:rsid w:val="00AD5145"/>
    <w:rsid w:val="00AD5911"/>
    <w:rsid w:val="00AD734F"/>
    <w:rsid w:val="00AE21A6"/>
    <w:rsid w:val="00AE2783"/>
    <w:rsid w:val="00AE6C69"/>
    <w:rsid w:val="00AF09CF"/>
    <w:rsid w:val="00AF12BE"/>
    <w:rsid w:val="00AF175B"/>
    <w:rsid w:val="00AF3092"/>
    <w:rsid w:val="00AF3D43"/>
    <w:rsid w:val="00AF6546"/>
    <w:rsid w:val="00AF66B9"/>
    <w:rsid w:val="00AF709D"/>
    <w:rsid w:val="00B005B6"/>
    <w:rsid w:val="00B0090A"/>
    <w:rsid w:val="00B01AC2"/>
    <w:rsid w:val="00B02618"/>
    <w:rsid w:val="00B02B81"/>
    <w:rsid w:val="00B0605A"/>
    <w:rsid w:val="00B07AE0"/>
    <w:rsid w:val="00B103BF"/>
    <w:rsid w:val="00B10792"/>
    <w:rsid w:val="00B11EE8"/>
    <w:rsid w:val="00B11FAD"/>
    <w:rsid w:val="00B12D15"/>
    <w:rsid w:val="00B14D27"/>
    <w:rsid w:val="00B14D36"/>
    <w:rsid w:val="00B16275"/>
    <w:rsid w:val="00B163C5"/>
    <w:rsid w:val="00B168E6"/>
    <w:rsid w:val="00B17556"/>
    <w:rsid w:val="00B217C5"/>
    <w:rsid w:val="00B219C7"/>
    <w:rsid w:val="00B22230"/>
    <w:rsid w:val="00B2444A"/>
    <w:rsid w:val="00B24D55"/>
    <w:rsid w:val="00B27871"/>
    <w:rsid w:val="00B27CA6"/>
    <w:rsid w:val="00B27FE1"/>
    <w:rsid w:val="00B306B7"/>
    <w:rsid w:val="00B3107D"/>
    <w:rsid w:val="00B311E9"/>
    <w:rsid w:val="00B312C7"/>
    <w:rsid w:val="00B31CC1"/>
    <w:rsid w:val="00B32B8F"/>
    <w:rsid w:val="00B33560"/>
    <w:rsid w:val="00B33BCF"/>
    <w:rsid w:val="00B345B6"/>
    <w:rsid w:val="00B35E31"/>
    <w:rsid w:val="00B36115"/>
    <w:rsid w:val="00B36598"/>
    <w:rsid w:val="00B368C3"/>
    <w:rsid w:val="00B37171"/>
    <w:rsid w:val="00B37814"/>
    <w:rsid w:val="00B40F65"/>
    <w:rsid w:val="00B4100C"/>
    <w:rsid w:val="00B41195"/>
    <w:rsid w:val="00B42064"/>
    <w:rsid w:val="00B42A25"/>
    <w:rsid w:val="00B45D04"/>
    <w:rsid w:val="00B45F6E"/>
    <w:rsid w:val="00B4643F"/>
    <w:rsid w:val="00B46D14"/>
    <w:rsid w:val="00B47C0D"/>
    <w:rsid w:val="00B47F53"/>
    <w:rsid w:val="00B50B36"/>
    <w:rsid w:val="00B512D0"/>
    <w:rsid w:val="00B537CD"/>
    <w:rsid w:val="00B54EDF"/>
    <w:rsid w:val="00B551F9"/>
    <w:rsid w:val="00B568F1"/>
    <w:rsid w:val="00B57748"/>
    <w:rsid w:val="00B57AB1"/>
    <w:rsid w:val="00B60214"/>
    <w:rsid w:val="00B60611"/>
    <w:rsid w:val="00B636F0"/>
    <w:rsid w:val="00B648A0"/>
    <w:rsid w:val="00B64CC1"/>
    <w:rsid w:val="00B668E1"/>
    <w:rsid w:val="00B67790"/>
    <w:rsid w:val="00B70348"/>
    <w:rsid w:val="00B70F4E"/>
    <w:rsid w:val="00B71EEE"/>
    <w:rsid w:val="00B72277"/>
    <w:rsid w:val="00B7261C"/>
    <w:rsid w:val="00B72E66"/>
    <w:rsid w:val="00B73527"/>
    <w:rsid w:val="00B73E75"/>
    <w:rsid w:val="00B74CA8"/>
    <w:rsid w:val="00B7513E"/>
    <w:rsid w:val="00B75886"/>
    <w:rsid w:val="00B759EB"/>
    <w:rsid w:val="00B75C5C"/>
    <w:rsid w:val="00B75D15"/>
    <w:rsid w:val="00B76A38"/>
    <w:rsid w:val="00B77E6E"/>
    <w:rsid w:val="00B80050"/>
    <w:rsid w:val="00B804EB"/>
    <w:rsid w:val="00B8055A"/>
    <w:rsid w:val="00B83DDA"/>
    <w:rsid w:val="00B861F6"/>
    <w:rsid w:val="00B86D39"/>
    <w:rsid w:val="00B87456"/>
    <w:rsid w:val="00B87BE3"/>
    <w:rsid w:val="00B908B8"/>
    <w:rsid w:val="00B909E3"/>
    <w:rsid w:val="00B90C0F"/>
    <w:rsid w:val="00B90DE3"/>
    <w:rsid w:val="00B921BB"/>
    <w:rsid w:val="00B93571"/>
    <w:rsid w:val="00B935E8"/>
    <w:rsid w:val="00B93895"/>
    <w:rsid w:val="00B96418"/>
    <w:rsid w:val="00B966AD"/>
    <w:rsid w:val="00B96FC3"/>
    <w:rsid w:val="00BA025A"/>
    <w:rsid w:val="00BA0B58"/>
    <w:rsid w:val="00BA2500"/>
    <w:rsid w:val="00BA2ADF"/>
    <w:rsid w:val="00BA2ED4"/>
    <w:rsid w:val="00BA3133"/>
    <w:rsid w:val="00BA3247"/>
    <w:rsid w:val="00BA394E"/>
    <w:rsid w:val="00BA4BF0"/>
    <w:rsid w:val="00BA4F5A"/>
    <w:rsid w:val="00BA7BA6"/>
    <w:rsid w:val="00BB005C"/>
    <w:rsid w:val="00BB0445"/>
    <w:rsid w:val="00BB05DC"/>
    <w:rsid w:val="00BB07E3"/>
    <w:rsid w:val="00BB0B4E"/>
    <w:rsid w:val="00BB1BCA"/>
    <w:rsid w:val="00BB308F"/>
    <w:rsid w:val="00BB40A8"/>
    <w:rsid w:val="00BB5195"/>
    <w:rsid w:val="00BB5286"/>
    <w:rsid w:val="00BB59C0"/>
    <w:rsid w:val="00BB6D5E"/>
    <w:rsid w:val="00BB6EAD"/>
    <w:rsid w:val="00BB6F0B"/>
    <w:rsid w:val="00BC051C"/>
    <w:rsid w:val="00BC09CA"/>
    <w:rsid w:val="00BC0CE6"/>
    <w:rsid w:val="00BC2B00"/>
    <w:rsid w:val="00BC3CA9"/>
    <w:rsid w:val="00BC3F44"/>
    <w:rsid w:val="00BC4EBB"/>
    <w:rsid w:val="00BC5BE0"/>
    <w:rsid w:val="00BC5D06"/>
    <w:rsid w:val="00BC6B7E"/>
    <w:rsid w:val="00BD12EA"/>
    <w:rsid w:val="00BD142C"/>
    <w:rsid w:val="00BD1A7E"/>
    <w:rsid w:val="00BD21E3"/>
    <w:rsid w:val="00BD275C"/>
    <w:rsid w:val="00BD2C72"/>
    <w:rsid w:val="00BD3D19"/>
    <w:rsid w:val="00BD3E56"/>
    <w:rsid w:val="00BD4221"/>
    <w:rsid w:val="00BD45AF"/>
    <w:rsid w:val="00BD50FB"/>
    <w:rsid w:val="00BD527A"/>
    <w:rsid w:val="00BD5CC8"/>
    <w:rsid w:val="00BD5EEB"/>
    <w:rsid w:val="00BD5F9F"/>
    <w:rsid w:val="00BD68A5"/>
    <w:rsid w:val="00BD6917"/>
    <w:rsid w:val="00BD6E49"/>
    <w:rsid w:val="00BD7489"/>
    <w:rsid w:val="00BD74EC"/>
    <w:rsid w:val="00BD7AB1"/>
    <w:rsid w:val="00BD7D77"/>
    <w:rsid w:val="00BE069B"/>
    <w:rsid w:val="00BE07B2"/>
    <w:rsid w:val="00BE0B4D"/>
    <w:rsid w:val="00BE145B"/>
    <w:rsid w:val="00BE1D7D"/>
    <w:rsid w:val="00BE2922"/>
    <w:rsid w:val="00BE2956"/>
    <w:rsid w:val="00BE318B"/>
    <w:rsid w:val="00BE40D6"/>
    <w:rsid w:val="00BE4521"/>
    <w:rsid w:val="00BE470E"/>
    <w:rsid w:val="00BE7053"/>
    <w:rsid w:val="00BE70A5"/>
    <w:rsid w:val="00BE77A7"/>
    <w:rsid w:val="00BF064E"/>
    <w:rsid w:val="00BF0898"/>
    <w:rsid w:val="00BF56CF"/>
    <w:rsid w:val="00BF5876"/>
    <w:rsid w:val="00BF7ABF"/>
    <w:rsid w:val="00BF7E10"/>
    <w:rsid w:val="00C00C65"/>
    <w:rsid w:val="00C02227"/>
    <w:rsid w:val="00C0366E"/>
    <w:rsid w:val="00C03848"/>
    <w:rsid w:val="00C04940"/>
    <w:rsid w:val="00C04C34"/>
    <w:rsid w:val="00C0505E"/>
    <w:rsid w:val="00C05724"/>
    <w:rsid w:val="00C061CA"/>
    <w:rsid w:val="00C07DEC"/>
    <w:rsid w:val="00C07F6B"/>
    <w:rsid w:val="00C10D28"/>
    <w:rsid w:val="00C12C05"/>
    <w:rsid w:val="00C13350"/>
    <w:rsid w:val="00C13877"/>
    <w:rsid w:val="00C14137"/>
    <w:rsid w:val="00C151CC"/>
    <w:rsid w:val="00C15F2E"/>
    <w:rsid w:val="00C16A4F"/>
    <w:rsid w:val="00C17523"/>
    <w:rsid w:val="00C1764C"/>
    <w:rsid w:val="00C17C84"/>
    <w:rsid w:val="00C17F9A"/>
    <w:rsid w:val="00C20C72"/>
    <w:rsid w:val="00C20E0D"/>
    <w:rsid w:val="00C2124D"/>
    <w:rsid w:val="00C21AA9"/>
    <w:rsid w:val="00C23D3C"/>
    <w:rsid w:val="00C23FB6"/>
    <w:rsid w:val="00C240AB"/>
    <w:rsid w:val="00C249BB"/>
    <w:rsid w:val="00C25F02"/>
    <w:rsid w:val="00C261E0"/>
    <w:rsid w:val="00C30399"/>
    <w:rsid w:val="00C30E3F"/>
    <w:rsid w:val="00C30FD5"/>
    <w:rsid w:val="00C3131E"/>
    <w:rsid w:val="00C31E5F"/>
    <w:rsid w:val="00C3298E"/>
    <w:rsid w:val="00C342E4"/>
    <w:rsid w:val="00C35CD9"/>
    <w:rsid w:val="00C37856"/>
    <w:rsid w:val="00C40D5E"/>
    <w:rsid w:val="00C426CB"/>
    <w:rsid w:val="00C43354"/>
    <w:rsid w:val="00C4405A"/>
    <w:rsid w:val="00C44890"/>
    <w:rsid w:val="00C44912"/>
    <w:rsid w:val="00C44E47"/>
    <w:rsid w:val="00C45C1A"/>
    <w:rsid w:val="00C46220"/>
    <w:rsid w:val="00C466E9"/>
    <w:rsid w:val="00C47826"/>
    <w:rsid w:val="00C47A89"/>
    <w:rsid w:val="00C50368"/>
    <w:rsid w:val="00C50605"/>
    <w:rsid w:val="00C51AB6"/>
    <w:rsid w:val="00C51B45"/>
    <w:rsid w:val="00C52551"/>
    <w:rsid w:val="00C531FB"/>
    <w:rsid w:val="00C54A27"/>
    <w:rsid w:val="00C559AE"/>
    <w:rsid w:val="00C60216"/>
    <w:rsid w:val="00C602C6"/>
    <w:rsid w:val="00C60558"/>
    <w:rsid w:val="00C633C5"/>
    <w:rsid w:val="00C633CA"/>
    <w:rsid w:val="00C6453D"/>
    <w:rsid w:val="00C64675"/>
    <w:rsid w:val="00C64AB8"/>
    <w:rsid w:val="00C71004"/>
    <w:rsid w:val="00C715AD"/>
    <w:rsid w:val="00C71B42"/>
    <w:rsid w:val="00C71E5C"/>
    <w:rsid w:val="00C7276C"/>
    <w:rsid w:val="00C74AA7"/>
    <w:rsid w:val="00C75817"/>
    <w:rsid w:val="00C75E4E"/>
    <w:rsid w:val="00C764BB"/>
    <w:rsid w:val="00C77085"/>
    <w:rsid w:val="00C8066F"/>
    <w:rsid w:val="00C809F9"/>
    <w:rsid w:val="00C80D0B"/>
    <w:rsid w:val="00C81B23"/>
    <w:rsid w:val="00C8231F"/>
    <w:rsid w:val="00C82446"/>
    <w:rsid w:val="00C8297A"/>
    <w:rsid w:val="00C83356"/>
    <w:rsid w:val="00C853A3"/>
    <w:rsid w:val="00C863A5"/>
    <w:rsid w:val="00C86667"/>
    <w:rsid w:val="00C87A9F"/>
    <w:rsid w:val="00C92A3B"/>
    <w:rsid w:val="00C92EBC"/>
    <w:rsid w:val="00C94584"/>
    <w:rsid w:val="00C94FC6"/>
    <w:rsid w:val="00C9543F"/>
    <w:rsid w:val="00C95DD4"/>
    <w:rsid w:val="00C9641E"/>
    <w:rsid w:val="00C96CA0"/>
    <w:rsid w:val="00C9792D"/>
    <w:rsid w:val="00C97E32"/>
    <w:rsid w:val="00CA098D"/>
    <w:rsid w:val="00CA0EA4"/>
    <w:rsid w:val="00CA1596"/>
    <w:rsid w:val="00CA19BF"/>
    <w:rsid w:val="00CA211C"/>
    <w:rsid w:val="00CA2256"/>
    <w:rsid w:val="00CA43D7"/>
    <w:rsid w:val="00CA77EA"/>
    <w:rsid w:val="00CB02F4"/>
    <w:rsid w:val="00CB24A3"/>
    <w:rsid w:val="00CB277A"/>
    <w:rsid w:val="00CB27C7"/>
    <w:rsid w:val="00CB2828"/>
    <w:rsid w:val="00CB36BC"/>
    <w:rsid w:val="00CB3AA0"/>
    <w:rsid w:val="00CB5904"/>
    <w:rsid w:val="00CB6185"/>
    <w:rsid w:val="00CB64B7"/>
    <w:rsid w:val="00CB72AD"/>
    <w:rsid w:val="00CC01CC"/>
    <w:rsid w:val="00CC045D"/>
    <w:rsid w:val="00CC0D21"/>
    <w:rsid w:val="00CC15C9"/>
    <w:rsid w:val="00CC4073"/>
    <w:rsid w:val="00CC43A8"/>
    <w:rsid w:val="00CC44E4"/>
    <w:rsid w:val="00CC5489"/>
    <w:rsid w:val="00CC5C7F"/>
    <w:rsid w:val="00CC5EB3"/>
    <w:rsid w:val="00CC6BA9"/>
    <w:rsid w:val="00CC6FD6"/>
    <w:rsid w:val="00CC7334"/>
    <w:rsid w:val="00CC743B"/>
    <w:rsid w:val="00CC7E05"/>
    <w:rsid w:val="00CD11F0"/>
    <w:rsid w:val="00CD2C5C"/>
    <w:rsid w:val="00CD3F0A"/>
    <w:rsid w:val="00CD484C"/>
    <w:rsid w:val="00CD50EA"/>
    <w:rsid w:val="00CD66CA"/>
    <w:rsid w:val="00CD6862"/>
    <w:rsid w:val="00CD6EC6"/>
    <w:rsid w:val="00CD79C4"/>
    <w:rsid w:val="00CD7C4D"/>
    <w:rsid w:val="00CE068C"/>
    <w:rsid w:val="00CE2886"/>
    <w:rsid w:val="00CE311A"/>
    <w:rsid w:val="00CE34A2"/>
    <w:rsid w:val="00CE3769"/>
    <w:rsid w:val="00CE3862"/>
    <w:rsid w:val="00CE3D95"/>
    <w:rsid w:val="00CE62E0"/>
    <w:rsid w:val="00CF0060"/>
    <w:rsid w:val="00CF040B"/>
    <w:rsid w:val="00CF06D5"/>
    <w:rsid w:val="00CF1114"/>
    <w:rsid w:val="00CF29A0"/>
    <w:rsid w:val="00CF2C74"/>
    <w:rsid w:val="00CF3BA0"/>
    <w:rsid w:val="00CF4AC4"/>
    <w:rsid w:val="00CF5DC4"/>
    <w:rsid w:val="00CF6027"/>
    <w:rsid w:val="00CF616B"/>
    <w:rsid w:val="00CF61A0"/>
    <w:rsid w:val="00CF62CF"/>
    <w:rsid w:val="00CF79E0"/>
    <w:rsid w:val="00D00282"/>
    <w:rsid w:val="00D00934"/>
    <w:rsid w:val="00D02D0C"/>
    <w:rsid w:val="00D05443"/>
    <w:rsid w:val="00D060A0"/>
    <w:rsid w:val="00D11099"/>
    <w:rsid w:val="00D110B2"/>
    <w:rsid w:val="00D12565"/>
    <w:rsid w:val="00D129D9"/>
    <w:rsid w:val="00D15076"/>
    <w:rsid w:val="00D171FA"/>
    <w:rsid w:val="00D2043C"/>
    <w:rsid w:val="00D22AE6"/>
    <w:rsid w:val="00D23533"/>
    <w:rsid w:val="00D260C5"/>
    <w:rsid w:val="00D26CB0"/>
    <w:rsid w:val="00D2793E"/>
    <w:rsid w:val="00D306F4"/>
    <w:rsid w:val="00D31252"/>
    <w:rsid w:val="00D312CC"/>
    <w:rsid w:val="00D31B75"/>
    <w:rsid w:val="00D325E9"/>
    <w:rsid w:val="00D33216"/>
    <w:rsid w:val="00D3353D"/>
    <w:rsid w:val="00D34F43"/>
    <w:rsid w:val="00D3563A"/>
    <w:rsid w:val="00D36031"/>
    <w:rsid w:val="00D3648A"/>
    <w:rsid w:val="00D3721F"/>
    <w:rsid w:val="00D40955"/>
    <w:rsid w:val="00D40C2D"/>
    <w:rsid w:val="00D418D6"/>
    <w:rsid w:val="00D42605"/>
    <w:rsid w:val="00D43379"/>
    <w:rsid w:val="00D4505C"/>
    <w:rsid w:val="00D47568"/>
    <w:rsid w:val="00D5002D"/>
    <w:rsid w:val="00D50941"/>
    <w:rsid w:val="00D50F7F"/>
    <w:rsid w:val="00D52047"/>
    <w:rsid w:val="00D52069"/>
    <w:rsid w:val="00D5396A"/>
    <w:rsid w:val="00D54782"/>
    <w:rsid w:val="00D554AF"/>
    <w:rsid w:val="00D56CFA"/>
    <w:rsid w:val="00D56EF0"/>
    <w:rsid w:val="00D57348"/>
    <w:rsid w:val="00D5787B"/>
    <w:rsid w:val="00D57DD8"/>
    <w:rsid w:val="00D6067D"/>
    <w:rsid w:val="00D614D2"/>
    <w:rsid w:val="00D6235C"/>
    <w:rsid w:val="00D624F8"/>
    <w:rsid w:val="00D62573"/>
    <w:rsid w:val="00D64DD7"/>
    <w:rsid w:val="00D6659D"/>
    <w:rsid w:val="00D66763"/>
    <w:rsid w:val="00D66AE3"/>
    <w:rsid w:val="00D676BA"/>
    <w:rsid w:val="00D7056F"/>
    <w:rsid w:val="00D707B9"/>
    <w:rsid w:val="00D70884"/>
    <w:rsid w:val="00D70967"/>
    <w:rsid w:val="00D73D12"/>
    <w:rsid w:val="00D73DFC"/>
    <w:rsid w:val="00D742B5"/>
    <w:rsid w:val="00D757BF"/>
    <w:rsid w:val="00D7623A"/>
    <w:rsid w:val="00D7652A"/>
    <w:rsid w:val="00D769F2"/>
    <w:rsid w:val="00D7754F"/>
    <w:rsid w:val="00D77C83"/>
    <w:rsid w:val="00D815F0"/>
    <w:rsid w:val="00D82844"/>
    <w:rsid w:val="00D82F29"/>
    <w:rsid w:val="00D83EF4"/>
    <w:rsid w:val="00D84897"/>
    <w:rsid w:val="00D848D3"/>
    <w:rsid w:val="00D8633C"/>
    <w:rsid w:val="00D86514"/>
    <w:rsid w:val="00D9063C"/>
    <w:rsid w:val="00D93936"/>
    <w:rsid w:val="00D940BF"/>
    <w:rsid w:val="00D95129"/>
    <w:rsid w:val="00D95188"/>
    <w:rsid w:val="00D96367"/>
    <w:rsid w:val="00D9747A"/>
    <w:rsid w:val="00D975B1"/>
    <w:rsid w:val="00D97EF4"/>
    <w:rsid w:val="00DA0DD1"/>
    <w:rsid w:val="00DA1B82"/>
    <w:rsid w:val="00DA1CEA"/>
    <w:rsid w:val="00DA2349"/>
    <w:rsid w:val="00DA2B2F"/>
    <w:rsid w:val="00DA3889"/>
    <w:rsid w:val="00DA39A5"/>
    <w:rsid w:val="00DA789B"/>
    <w:rsid w:val="00DB1071"/>
    <w:rsid w:val="00DB2233"/>
    <w:rsid w:val="00DB3549"/>
    <w:rsid w:val="00DB3B1D"/>
    <w:rsid w:val="00DB3F1A"/>
    <w:rsid w:val="00DB4822"/>
    <w:rsid w:val="00DB4A9B"/>
    <w:rsid w:val="00DB4AB6"/>
    <w:rsid w:val="00DB52FF"/>
    <w:rsid w:val="00DB57CF"/>
    <w:rsid w:val="00DB5919"/>
    <w:rsid w:val="00DB6542"/>
    <w:rsid w:val="00DB761C"/>
    <w:rsid w:val="00DB7DA5"/>
    <w:rsid w:val="00DC1E69"/>
    <w:rsid w:val="00DC2305"/>
    <w:rsid w:val="00DC38EE"/>
    <w:rsid w:val="00DC3E3D"/>
    <w:rsid w:val="00DC416D"/>
    <w:rsid w:val="00DC4494"/>
    <w:rsid w:val="00DC48DF"/>
    <w:rsid w:val="00DC4A1B"/>
    <w:rsid w:val="00DC5EEF"/>
    <w:rsid w:val="00DD0D1A"/>
    <w:rsid w:val="00DD0DB2"/>
    <w:rsid w:val="00DD2044"/>
    <w:rsid w:val="00DD2A57"/>
    <w:rsid w:val="00DD2DE8"/>
    <w:rsid w:val="00DD324A"/>
    <w:rsid w:val="00DD3361"/>
    <w:rsid w:val="00DD514E"/>
    <w:rsid w:val="00DD57BA"/>
    <w:rsid w:val="00DE076E"/>
    <w:rsid w:val="00DE2986"/>
    <w:rsid w:val="00DE29C3"/>
    <w:rsid w:val="00DE34DA"/>
    <w:rsid w:val="00DE4377"/>
    <w:rsid w:val="00DE563C"/>
    <w:rsid w:val="00DF0BCB"/>
    <w:rsid w:val="00DF0F6A"/>
    <w:rsid w:val="00DF131F"/>
    <w:rsid w:val="00DF187D"/>
    <w:rsid w:val="00DF21D3"/>
    <w:rsid w:val="00DF2C1A"/>
    <w:rsid w:val="00DF3513"/>
    <w:rsid w:val="00DF4731"/>
    <w:rsid w:val="00DF4B32"/>
    <w:rsid w:val="00DF52DE"/>
    <w:rsid w:val="00DF5658"/>
    <w:rsid w:val="00DF5FAE"/>
    <w:rsid w:val="00E01996"/>
    <w:rsid w:val="00E01E9C"/>
    <w:rsid w:val="00E0210B"/>
    <w:rsid w:val="00E02208"/>
    <w:rsid w:val="00E0230B"/>
    <w:rsid w:val="00E0244F"/>
    <w:rsid w:val="00E03481"/>
    <w:rsid w:val="00E03A59"/>
    <w:rsid w:val="00E041E0"/>
    <w:rsid w:val="00E06416"/>
    <w:rsid w:val="00E12F6A"/>
    <w:rsid w:val="00E130D8"/>
    <w:rsid w:val="00E14B07"/>
    <w:rsid w:val="00E1511F"/>
    <w:rsid w:val="00E153F4"/>
    <w:rsid w:val="00E16EEC"/>
    <w:rsid w:val="00E209DB"/>
    <w:rsid w:val="00E20AFC"/>
    <w:rsid w:val="00E2120A"/>
    <w:rsid w:val="00E21C09"/>
    <w:rsid w:val="00E21E50"/>
    <w:rsid w:val="00E22DDC"/>
    <w:rsid w:val="00E2353B"/>
    <w:rsid w:val="00E24082"/>
    <w:rsid w:val="00E2426F"/>
    <w:rsid w:val="00E268AD"/>
    <w:rsid w:val="00E278BD"/>
    <w:rsid w:val="00E306EB"/>
    <w:rsid w:val="00E308DA"/>
    <w:rsid w:val="00E31443"/>
    <w:rsid w:val="00E336D2"/>
    <w:rsid w:val="00E34811"/>
    <w:rsid w:val="00E34D04"/>
    <w:rsid w:val="00E35D2F"/>
    <w:rsid w:val="00E3602F"/>
    <w:rsid w:val="00E36866"/>
    <w:rsid w:val="00E40C65"/>
    <w:rsid w:val="00E4144D"/>
    <w:rsid w:val="00E445DE"/>
    <w:rsid w:val="00E4536F"/>
    <w:rsid w:val="00E45FD7"/>
    <w:rsid w:val="00E460ED"/>
    <w:rsid w:val="00E462F0"/>
    <w:rsid w:val="00E46BB5"/>
    <w:rsid w:val="00E470E5"/>
    <w:rsid w:val="00E47E3E"/>
    <w:rsid w:val="00E51452"/>
    <w:rsid w:val="00E52306"/>
    <w:rsid w:val="00E52C73"/>
    <w:rsid w:val="00E53A75"/>
    <w:rsid w:val="00E54105"/>
    <w:rsid w:val="00E544C5"/>
    <w:rsid w:val="00E55541"/>
    <w:rsid w:val="00E561A9"/>
    <w:rsid w:val="00E56567"/>
    <w:rsid w:val="00E5667C"/>
    <w:rsid w:val="00E57621"/>
    <w:rsid w:val="00E5779C"/>
    <w:rsid w:val="00E631E9"/>
    <w:rsid w:val="00E63502"/>
    <w:rsid w:val="00E6355E"/>
    <w:rsid w:val="00E6358D"/>
    <w:rsid w:val="00E63612"/>
    <w:rsid w:val="00E6380D"/>
    <w:rsid w:val="00E63E54"/>
    <w:rsid w:val="00E63F2F"/>
    <w:rsid w:val="00E63FAB"/>
    <w:rsid w:val="00E646CE"/>
    <w:rsid w:val="00E65FEC"/>
    <w:rsid w:val="00E67408"/>
    <w:rsid w:val="00E675C0"/>
    <w:rsid w:val="00E67B25"/>
    <w:rsid w:val="00E71805"/>
    <w:rsid w:val="00E723D1"/>
    <w:rsid w:val="00E7253C"/>
    <w:rsid w:val="00E727FE"/>
    <w:rsid w:val="00E742AE"/>
    <w:rsid w:val="00E7593D"/>
    <w:rsid w:val="00E7690E"/>
    <w:rsid w:val="00E76992"/>
    <w:rsid w:val="00E7763D"/>
    <w:rsid w:val="00E8024C"/>
    <w:rsid w:val="00E81087"/>
    <w:rsid w:val="00E811A6"/>
    <w:rsid w:val="00E823CD"/>
    <w:rsid w:val="00E834C5"/>
    <w:rsid w:val="00E83992"/>
    <w:rsid w:val="00E85E78"/>
    <w:rsid w:val="00E85E9C"/>
    <w:rsid w:val="00E85EE5"/>
    <w:rsid w:val="00E864BD"/>
    <w:rsid w:val="00E87235"/>
    <w:rsid w:val="00E87AAF"/>
    <w:rsid w:val="00E9001B"/>
    <w:rsid w:val="00E9023F"/>
    <w:rsid w:val="00E91029"/>
    <w:rsid w:val="00E922DF"/>
    <w:rsid w:val="00E9236A"/>
    <w:rsid w:val="00E92C01"/>
    <w:rsid w:val="00E9547B"/>
    <w:rsid w:val="00E96000"/>
    <w:rsid w:val="00E979F7"/>
    <w:rsid w:val="00EA0740"/>
    <w:rsid w:val="00EA11EB"/>
    <w:rsid w:val="00EA1520"/>
    <w:rsid w:val="00EA2AA3"/>
    <w:rsid w:val="00EA3115"/>
    <w:rsid w:val="00EA6F46"/>
    <w:rsid w:val="00EA71C2"/>
    <w:rsid w:val="00EA7361"/>
    <w:rsid w:val="00EA79DE"/>
    <w:rsid w:val="00EA7A4D"/>
    <w:rsid w:val="00EB1AB6"/>
    <w:rsid w:val="00EB218C"/>
    <w:rsid w:val="00EB3372"/>
    <w:rsid w:val="00EB393C"/>
    <w:rsid w:val="00EB39F9"/>
    <w:rsid w:val="00EB47DD"/>
    <w:rsid w:val="00EB49F7"/>
    <w:rsid w:val="00EB6034"/>
    <w:rsid w:val="00EC0718"/>
    <w:rsid w:val="00EC0818"/>
    <w:rsid w:val="00EC08A0"/>
    <w:rsid w:val="00EC0942"/>
    <w:rsid w:val="00EC0C18"/>
    <w:rsid w:val="00EC0DDB"/>
    <w:rsid w:val="00EC0F07"/>
    <w:rsid w:val="00EC43E1"/>
    <w:rsid w:val="00EC442D"/>
    <w:rsid w:val="00EC66B0"/>
    <w:rsid w:val="00EC7667"/>
    <w:rsid w:val="00EC7AB7"/>
    <w:rsid w:val="00EC7F27"/>
    <w:rsid w:val="00ED0806"/>
    <w:rsid w:val="00ED0F8F"/>
    <w:rsid w:val="00ED1389"/>
    <w:rsid w:val="00ED2171"/>
    <w:rsid w:val="00ED2294"/>
    <w:rsid w:val="00ED38DC"/>
    <w:rsid w:val="00ED3942"/>
    <w:rsid w:val="00ED5650"/>
    <w:rsid w:val="00ED6804"/>
    <w:rsid w:val="00ED6DAF"/>
    <w:rsid w:val="00ED75D7"/>
    <w:rsid w:val="00ED76CE"/>
    <w:rsid w:val="00ED7D0E"/>
    <w:rsid w:val="00EE01EE"/>
    <w:rsid w:val="00EE104F"/>
    <w:rsid w:val="00EE2607"/>
    <w:rsid w:val="00EE2830"/>
    <w:rsid w:val="00EE2B30"/>
    <w:rsid w:val="00EE2C0C"/>
    <w:rsid w:val="00EE3051"/>
    <w:rsid w:val="00EE43CE"/>
    <w:rsid w:val="00EE47C9"/>
    <w:rsid w:val="00EE4D2C"/>
    <w:rsid w:val="00EE5577"/>
    <w:rsid w:val="00EE631F"/>
    <w:rsid w:val="00EE675E"/>
    <w:rsid w:val="00EF016E"/>
    <w:rsid w:val="00EF0994"/>
    <w:rsid w:val="00EF106A"/>
    <w:rsid w:val="00EF3810"/>
    <w:rsid w:val="00EF38A4"/>
    <w:rsid w:val="00EF4D17"/>
    <w:rsid w:val="00EF5CD7"/>
    <w:rsid w:val="00EF68C7"/>
    <w:rsid w:val="00EF6991"/>
    <w:rsid w:val="00EF6CCC"/>
    <w:rsid w:val="00EF6F31"/>
    <w:rsid w:val="00EF73A3"/>
    <w:rsid w:val="00F004A0"/>
    <w:rsid w:val="00F006D1"/>
    <w:rsid w:val="00F01C78"/>
    <w:rsid w:val="00F02405"/>
    <w:rsid w:val="00F02986"/>
    <w:rsid w:val="00F033DB"/>
    <w:rsid w:val="00F03AF2"/>
    <w:rsid w:val="00F06087"/>
    <w:rsid w:val="00F1027B"/>
    <w:rsid w:val="00F11836"/>
    <w:rsid w:val="00F12E70"/>
    <w:rsid w:val="00F130B8"/>
    <w:rsid w:val="00F131F1"/>
    <w:rsid w:val="00F13D4C"/>
    <w:rsid w:val="00F14661"/>
    <w:rsid w:val="00F154AA"/>
    <w:rsid w:val="00F159B2"/>
    <w:rsid w:val="00F162A8"/>
    <w:rsid w:val="00F17EFF"/>
    <w:rsid w:val="00F20813"/>
    <w:rsid w:val="00F21CD3"/>
    <w:rsid w:val="00F2283B"/>
    <w:rsid w:val="00F23458"/>
    <w:rsid w:val="00F25332"/>
    <w:rsid w:val="00F255CC"/>
    <w:rsid w:val="00F26048"/>
    <w:rsid w:val="00F26AE1"/>
    <w:rsid w:val="00F301E6"/>
    <w:rsid w:val="00F32988"/>
    <w:rsid w:val="00F33393"/>
    <w:rsid w:val="00F333BA"/>
    <w:rsid w:val="00F33DEF"/>
    <w:rsid w:val="00F3661F"/>
    <w:rsid w:val="00F36BA9"/>
    <w:rsid w:val="00F377B8"/>
    <w:rsid w:val="00F37831"/>
    <w:rsid w:val="00F402B2"/>
    <w:rsid w:val="00F40D30"/>
    <w:rsid w:val="00F41C25"/>
    <w:rsid w:val="00F431F3"/>
    <w:rsid w:val="00F43A18"/>
    <w:rsid w:val="00F4410F"/>
    <w:rsid w:val="00F4441B"/>
    <w:rsid w:val="00F46018"/>
    <w:rsid w:val="00F464A6"/>
    <w:rsid w:val="00F46B6D"/>
    <w:rsid w:val="00F47063"/>
    <w:rsid w:val="00F47376"/>
    <w:rsid w:val="00F47DD5"/>
    <w:rsid w:val="00F50489"/>
    <w:rsid w:val="00F50AA9"/>
    <w:rsid w:val="00F50F23"/>
    <w:rsid w:val="00F50FBB"/>
    <w:rsid w:val="00F5171E"/>
    <w:rsid w:val="00F517C8"/>
    <w:rsid w:val="00F52CE6"/>
    <w:rsid w:val="00F5307F"/>
    <w:rsid w:val="00F54024"/>
    <w:rsid w:val="00F55A79"/>
    <w:rsid w:val="00F55C9E"/>
    <w:rsid w:val="00F561B0"/>
    <w:rsid w:val="00F56A08"/>
    <w:rsid w:val="00F57E1D"/>
    <w:rsid w:val="00F60EB5"/>
    <w:rsid w:val="00F60F12"/>
    <w:rsid w:val="00F6157C"/>
    <w:rsid w:val="00F62977"/>
    <w:rsid w:val="00F62E14"/>
    <w:rsid w:val="00F62ED5"/>
    <w:rsid w:val="00F639CE"/>
    <w:rsid w:val="00F64146"/>
    <w:rsid w:val="00F64E24"/>
    <w:rsid w:val="00F64EE3"/>
    <w:rsid w:val="00F652FE"/>
    <w:rsid w:val="00F66676"/>
    <w:rsid w:val="00F700F4"/>
    <w:rsid w:val="00F70324"/>
    <w:rsid w:val="00F705FB"/>
    <w:rsid w:val="00F71904"/>
    <w:rsid w:val="00F71DFB"/>
    <w:rsid w:val="00F71E43"/>
    <w:rsid w:val="00F726BB"/>
    <w:rsid w:val="00F72C08"/>
    <w:rsid w:val="00F73068"/>
    <w:rsid w:val="00F75723"/>
    <w:rsid w:val="00F75F06"/>
    <w:rsid w:val="00F774AD"/>
    <w:rsid w:val="00F777EE"/>
    <w:rsid w:val="00F8148E"/>
    <w:rsid w:val="00F81553"/>
    <w:rsid w:val="00F82BBF"/>
    <w:rsid w:val="00F836DC"/>
    <w:rsid w:val="00F844A0"/>
    <w:rsid w:val="00F84747"/>
    <w:rsid w:val="00F8491E"/>
    <w:rsid w:val="00F84BBD"/>
    <w:rsid w:val="00F84EBB"/>
    <w:rsid w:val="00F85764"/>
    <w:rsid w:val="00F85CBB"/>
    <w:rsid w:val="00F867FC"/>
    <w:rsid w:val="00F87AB3"/>
    <w:rsid w:val="00F87E8E"/>
    <w:rsid w:val="00F91FB0"/>
    <w:rsid w:val="00F923A5"/>
    <w:rsid w:val="00F93C79"/>
    <w:rsid w:val="00F943B2"/>
    <w:rsid w:val="00F946A9"/>
    <w:rsid w:val="00F953AC"/>
    <w:rsid w:val="00F959C7"/>
    <w:rsid w:val="00F95FD7"/>
    <w:rsid w:val="00F96BE2"/>
    <w:rsid w:val="00F96DDE"/>
    <w:rsid w:val="00F97153"/>
    <w:rsid w:val="00F9742E"/>
    <w:rsid w:val="00FA03FE"/>
    <w:rsid w:val="00FA1F7E"/>
    <w:rsid w:val="00FA256C"/>
    <w:rsid w:val="00FA3815"/>
    <w:rsid w:val="00FA3C9C"/>
    <w:rsid w:val="00FA4DE8"/>
    <w:rsid w:val="00FA6020"/>
    <w:rsid w:val="00FA612D"/>
    <w:rsid w:val="00FA68C2"/>
    <w:rsid w:val="00FA68E8"/>
    <w:rsid w:val="00FA6ECC"/>
    <w:rsid w:val="00FA7E39"/>
    <w:rsid w:val="00FB2051"/>
    <w:rsid w:val="00FB27C3"/>
    <w:rsid w:val="00FB284B"/>
    <w:rsid w:val="00FB2867"/>
    <w:rsid w:val="00FB46A7"/>
    <w:rsid w:val="00FB4B11"/>
    <w:rsid w:val="00FB5A91"/>
    <w:rsid w:val="00FB6E71"/>
    <w:rsid w:val="00FB6E8D"/>
    <w:rsid w:val="00FB72E6"/>
    <w:rsid w:val="00FB76FD"/>
    <w:rsid w:val="00FC1879"/>
    <w:rsid w:val="00FC3CCC"/>
    <w:rsid w:val="00FC59BC"/>
    <w:rsid w:val="00FC5CFE"/>
    <w:rsid w:val="00FC5FF8"/>
    <w:rsid w:val="00FC62A3"/>
    <w:rsid w:val="00FC69D5"/>
    <w:rsid w:val="00FD0501"/>
    <w:rsid w:val="00FD0EE1"/>
    <w:rsid w:val="00FD1044"/>
    <w:rsid w:val="00FD190D"/>
    <w:rsid w:val="00FD4208"/>
    <w:rsid w:val="00FD741E"/>
    <w:rsid w:val="00FE0F8D"/>
    <w:rsid w:val="00FE1536"/>
    <w:rsid w:val="00FE2382"/>
    <w:rsid w:val="00FE29DC"/>
    <w:rsid w:val="00FE2E17"/>
    <w:rsid w:val="00FE3E7E"/>
    <w:rsid w:val="00FE5106"/>
    <w:rsid w:val="00FE587A"/>
    <w:rsid w:val="00FE5D3A"/>
    <w:rsid w:val="00FE6858"/>
    <w:rsid w:val="00FE6E28"/>
    <w:rsid w:val="00FE7980"/>
    <w:rsid w:val="00FF080E"/>
    <w:rsid w:val="00FF125E"/>
    <w:rsid w:val="00FF1436"/>
    <w:rsid w:val="00FF2ABC"/>
    <w:rsid w:val="00FF5171"/>
    <w:rsid w:val="00FF57E2"/>
    <w:rsid w:val="00FF6691"/>
    <w:rsid w:val="00FF6728"/>
    <w:rsid w:val="00FF6B6B"/>
    <w:rsid w:val="00FF7356"/>
    <w:rsid w:val="00FF757F"/>
    <w:rsid w:val="00FF7703"/>
    <w:rsid w:val="00FF78D9"/>
    <w:rsid w:val="00FF7D13"/>
    <w:rsid w:val="00FF7E6B"/>
    <w:rsid w:val="023D4326"/>
    <w:rsid w:val="04A2D39D"/>
    <w:rsid w:val="0D353577"/>
    <w:rsid w:val="0E388B1A"/>
    <w:rsid w:val="18EA121D"/>
    <w:rsid w:val="1ACBD1D2"/>
    <w:rsid w:val="1BEB6044"/>
    <w:rsid w:val="29DAD07D"/>
    <w:rsid w:val="2F76101F"/>
    <w:rsid w:val="3134600D"/>
    <w:rsid w:val="4203F3B2"/>
    <w:rsid w:val="4292D8C3"/>
    <w:rsid w:val="4439011F"/>
    <w:rsid w:val="4802C35B"/>
    <w:rsid w:val="4E7C6B93"/>
    <w:rsid w:val="5C990295"/>
    <w:rsid w:val="5D4B8F4C"/>
    <w:rsid w:val="6016FD19"/>
    <w:rsid w:val="63F8525A"/>
    <w:rsid w:val="689FB946"/>
    <w:rsid w:val="6A3B62FE"/>
    <w:rsid w:val="6BB2DFDB"/>
    <w:rsid w:val="712E3AAC"/>
    <w:rsid w:val="79CAB406"/>
    <w:rsid w:val="7D842421"/>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2996028F"/>
  <w15:docId w15:val="{B0F25B92-0DE4-4A6D-BACF-25067B1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B8"/>
    <w:pPr>
      <w:spacing w:line="240" w:lineRule="auto"/>
      <w:jc w:val="both"/>
    </w:pPr>
    <w:rPr>
      <w:rFonts w:ascii="EC Square Sans Pro" w:hAnsi="EC Square Sans Pro" w:cs="Times New Roman"/>
      <w:szCs w:val="24"/>
    </w:rPr>
  </w:style>
  <w:style w:type="paragraph" w:styleId="Heading1">
    <w:name w:val="heading 1"/>
    <w:basedOn w:val="Normal"/>
    <w:next w:val="Normal"/>
    <w:link w:val="Heading1Char"/>
    <w:uiPriority w:val="9"/>
    <w:qFormat/>
    <w:rsid w:val="00BE145B"/>
    <w:pPr>
      <w:keepNext/>
      <w:keepLines/>
      <w:numPr>
        <w:numId w:val="1"/>
      </w:numPr>
      <w:spacing w:before="360" w:after="240"/>
      <w:ind w:left="340" w:hanging="340"/>
      <w:outlineLvl w:val="0"/>
    </w:pPr>
    <w:rPr>
      <w:rFonts w:eastAsiaTheme="majorEastAsia" w:cstheme="majorBidi"/>
      <w:b/>
      <w:color w:val="034EA2" w:themeColor="accent1"/>
      <w:sz w:val="32"/>
      <w:szCs w:val="32"/>
    </w:rPr>
  </w:style>
  <w:style w:type="paragraph" w:styleId="Heading2">
    <w:name w:val="heading 2"/>
    <w:basedOn w:val="Normal"/>
    <w:next w:val="Normal"/>
    <w:link w:val="Heading2Char"/>
    <w:uiPriority w:val="9"/>
    <w:unhideWhenUsed/>
    <w:qFormat/>
    <w:rsid w:val="002703F1"/>
    <w:pPr>
      <w:keepNext/>
      <w:keepLines/>
      <w:spacing w:before="240"/>
      <w:outlineLvl w:val="1"/>
    </w:pPr>
    <w:rPr>
      <w:rFonts w:eastAsiaTheme="majorEastAsia" w:cstheme="majorBidi"/>
      <w:caps/>
      <w:color w:val="70AD47" w:themeColor="accent2"/>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5B"/>
    <w:rPr>
      <w:rFonts w:ascii="EC Square Sans Pro" w:eastAsiaTheme="majorEastAsia" w:hAnsi="EC Square Sans Pro" w:cstheme="majorBidi"/>
      <w:b/>
      <w:color w:val="034EA2" w:themeColor="accent1"/>
      <w:sz w:val="32"/>
      <w:szCs w:val="32"/>
      <w:lang w:val="fi-FI"/>
    </w:rPr>
  </w:style>
  <w:style w:type="paragraph" w:styleId="Header">
    <w:name w:val="header"/>
    <w:basedOn w:val="Normal"/>
    <w:link w:val="HeaderChar"/>
    <w:uiPriority w:val="99"/>
    <w:unhideWhenUsed/>
    <w:rsid w:val="008B6253"/>
    <w:pPr>
      <w:tabs>
        <w:tab w:val="center" w:pos="4513"/>
        <w:tab w:val="right" w:pos="9026"/>
      </w:tabs>
      <w:spacing w:after="0"/>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fi-FI"/>
    </w:rPr>
  </w:style>
  <w:style w:type="paragraph" w:styleId="Footer">
    <w:name w:val="footer"/>
    <w:basedOn w:val="Normal"/>
    <w:link w:val="FooterChar"/>
    <w:uiPriority w:val="99"/>
    <w:unhideWhenUsed/>
    <w:rsid w:val="008B6253"/>
    <w:pPr>
      <w:tabs>
        <w:tab w:val="center" w:pos="4513"/>
        <w:tab w:val="right" w:pos="9026"/>
      </w:tabs>
      <w:spacing w:after="0"/>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fi-FI"/>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rPr>
  </w:style>
  <w:style w:type="paragraph" w:customStyle="1" w:styleId="HeaderCoverPage">
    <w:name w:val="Header Cover Page"/>
    <w:basedOn w:val="Normal"/>
    <w:link w:val="HeaderCoverPageChar"/>
    <w:rsid w:val="008B6253"/>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ind w:left="720" w:hanging="720"/>
    </w:pPr>
    <w:rPr>
      <w:rFonts w:eastAsia="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fi-FI"/>
    </w:rPr>
  </w:style>
  <w:style w:type="paragraph" w:styleId="TOC1">
    <w:name w:val="toc 1"/>
    <w:basedOn w:val="Normal"/>
    <w:next w:val="Normal"/>
    <w:uiPriority w:val="39"/>
    <w:qFormat/>
    <w:rsid w:val="008B6253"/>
    <w:pPr>
      <w:tabs>
        <w:tab w:val="right" w:leader="dot" w:pos="9071"/>
      </w:tabs>
      <w:spacing w:before="60" w:after="120"/>
      <w:ind w:left="850" w:hanging="850"/>
    </w:pPr>
    <w:rPr>
      <w:rFonts w:eastAsia="Times New Roman"/>
    </w:rPr>
  </w:style>
  <w:style w:type="paragraph" w:styleId="TOCHeading">
    <w:name w:val="TOC Heading"/>
    <w:basedOn w:val="Normal"/>
    <w:next w:val="Normal"/>
    <w:link w:val="TOCHeadingChar"/>
    <w:uiPriority w:val="39"/>
    <w:qFormat/>
    <w:rsid w:val="008B6253"/>
    <w:pPr>
      <w:spacing w:before="120" w:after="240"/>
      <w:jc w:val="center"/>
    </w:pPr>
    <w:rPr>
      <w:rFonts w:eastAsia="Times New Roman"/>
      <w:b/>
      <w:sz w:val="28"/>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fi-FI"/>
    </w:rPr>
  </w:style>
  <w:style w:type="paragraph" w:styleId="Subtitle">
    <w:name w:val="Subtitle"/>
    <w:basedOn w:val="Normal"/>
    <w:next w:val="Normal"/>
    <w:link w:val="SubtitleChar"/>
    <w:qFormat/>
    <w:rsid w:val="008B6253"/>
    <w:pPr>
      <w:spacing w:before="120" w:after="60"/>
      <w:jc w:val="center"/>
      <w:outlineLvl w:val="1"/>
    </w:pPr>
    <w:rPr>
      <w:rFonts w:ascii="Cambria" w:eastAsia="Times New Roman" w:hAnsi="Cambria"/>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fi-FI"/>
    </w:rPr>
  </w:style>
  <w:style w:type="paragraph" w:styleId="NormalWeb">
    <w:name w:val="Normal (Web)"/>
    <w:basedOn w:val="Normal"/>
    <w:uiPriority w:val="99"/>
    <w:unhideWhenUsed/>
    <w:rsid w:val="008B6253"/>
    <w:pPr>
      <w:spacing w:before="100" w:beforeAutospacing="1" w:after="100" w:afterAutospacing="1"/>
    </w:pPr>
    <w:rPr>
      <w:rFonts w:eastAsia="Times New Roman"/>
      <w:lang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line="240" w:lineRule="exact"/>
    </w:pPr>
    <w:rPr>
      <w:rFonts w:asciiTheme="minorHAnsi" w:hAnsiTheme="minorHAnsi" w:cstheme="minorBidi"/>
      <w:szCs w:val="22"/>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Bullet 1"/>
    <w:basedOn w:val="Normal"/>
    <w:link w:val="ListParagraphChar"/>
    <w:uiPriority w:val="34"/>
    <w:qFormat/>
    <w:rsid w:val="008B6253"/>
    <w:pPr>
      <w:spacing w:line="259" w:lineRule="auto"/>
      <w:ind w:left="720"/>
      <w:contextualSpacing/>
    </w:pPr>
    <w:rPr>
      <w:rFonts w:asciiTheme="minorHAnsi" w:hAnsiTheme="minorHAnsi" w:cstheme="minorBidi"/>
      <w:szCs w:val="22"/>
    </w:rPr>
  </w:style>
  <w:style w:type="character" w:styleId="IntenseReference">
    <w:name w:val="Intense Reference"/>
    <w:basedOn w:val="DefaultParagraphFont"/>
    <w:uiPriority w:val="32"/>
    <w:qFormat/>
    <w:rsid w:val="008B6253"/>
    <w:rPr>
      <w:b/>
      <w:bCs/>
      <w:smallCaps/>
      <w:color w:val="034EA2"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7B6FC" w:themeColor="accent1" w:themeTint="66"/>
        <w:left w:val="single" w:sz="4" w:space="0" w:color="77B6FC" w:themeColor="accent1" w:themeTint="66"/>
        <w:bottom w:val="single" w:sz="4" w:space="0" w:color="77B6FC" w:themeColor="accent1" w:themeTint="66"/>
        <w:right w:val="single" w:sz="4" w:space="0" w:color="77B6FC" w:themeColor="accent1" w:themeTint="66"/>
        <w:insideH w:val="single" w:sz="4" w:space="0" w:color="77B6FC" w:themeColor="accent1" w:themeTint="66"/>
        <w:insideV w:val="single" w:sz="4" w:space="0" w:color="77B6FC" w:themeColor="accent1" w:themeTint="66"/>
      </w:tblBorders>
    </w:tblPr>
    <w:tblStylePr w:type="firstRow">
      <w:rPr>
        <w:b/>
        <w:bCs/>
      </w:rPr>
      <w:tblPr/>
      <w:tcPr>
        <w:tcBorders>
          <w:bottom w:val="single" w:sz="12" w:space="0" w:color="3391FB" w:themeColor="accent1" w:themeTint="99"/>
        </w:tcBorders>
      </w:tcPr>
    </w:tblStylePr>
    <w:tblStylePr w:type="lastRow">
      <w:rPr>
        <w:b/>
        <w:bCs/>
      </w:rPr>
      <w:tblPr/>
      <w:tcPr>
        <w:tcBorders>
          <w:top w:val="double" w:sz="2" w:space="0" w:color="3391F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8B6253"/>
    <w:rPr>
      <w:lang w:val="fi-FI"/>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fi-FI"/>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fi-FI"/>
    </w:rPr>
  </w:style>
  <w:style w:type="paragraph" w:customStyle="1" w:styleId="HeaderSensitivityRight">
    <w:name w:val="Header Sensitivity Right"/>
    <w:basedOn w:val="Normal"/>
    <w:link w:val="HeaderSensitivityRightChar"/>
    <w:rsid w:val="008B6253"/>
    <w:pPr>
      <w:spacing w:after="120"/>
      <w:jc w:val="right"/>
    </w:pPr>
    <w:rPr>
      <w:rFonts w:ascii="Times New Roman" w:hAnsi="Times New Roman"/>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fi-FI"/>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fi-FI"/>
    </w:rPr>
  </w:style>
  <w:style w:type="paragraph" w:styleId="BalloonText">
    <w:name w:val="Balloon Text"/>
    <w:basedOn w:val="Normal"/>
    <w:link w:val="BalloonTextChar"/>
    <w:uiPriority w:val="99"/>
    <w:semiHidden/>
    <w:unhideWhenUsed/>
    <w:rsid w:val="00D56E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fi-FI"/>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fi-FI"/>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rsid w:val="002703F1"/>
    <w:rPr>
      <w:rFonts w:ascii="EC Square Sans Pro" w:eastAsiaTheme="majorEastAsia" w:hAnsi="EC Square Sans Pro" w:cstheme="majorBidi"/>
      <w:caps/>
      <w:color w:val="70AD47" w:themeColor="accent2"/>
      <w:sz w:val="24"/>
      <w:szCs w:val="26"/>
      <w:lang w:val="fi-FI"/>
    </w:rPr>
  </w:style>
  <w:style w:type="character" w:styleId="FollowedHyperlink">
    <w:name w:val="FollowedHyperlink"/>
    <w:basedOn w:val="DefaultParagraphFont"/>
    <w:uiPriority w:val="99"/>
    <w:semiHidden/>
    <w:unhideWhenUsed/>
    <w:rsid w:val="001C3C2E"/>
    <w:rPr>
      <w:color w:val="954F72" w:themeColor="followedHyperlink"/>
      <w:u w:val="single"/>
    </w:rPr>
  </w:style>
  <w:style w:type="paragraph" w:styleId="PlainText">
    <w:name w:val="Plain Text"/>
    <w:basedOn w:val="Normal"/>
    <w:link w:val="PlainTextChar"/>
    <w:uiPriority w:val="99"/>
    <w:unhideWhenUsed/>
    <w:rsid w:val="00547755"/>
    <w:pPr>
      <w:spacing w:after="0"/>
    </w:pPr>
    <w:rPr>
      <w:rFonts w:ascii="Calibri" w:hAnsi="Calibri" w:cstheme="minorBidi"/>
      <w:szCs w:val="21"/>
    </w:rPr>
  </w:style>
  <w:style w:type="character" w:customStyle="1" w:styleId="PlainTextChar">
    <w:name w:val="Plain Text Char"/>
    <w:basedOn w:val="DefaultParagraphFont"/>
    <w:link w:val="PlainText"/>
    <w:uiPriority w:val="99"/>
    <w:rsid w:val="00547755"/>
    <w:rPr>
      <w:rFonts w:ascii="Calibri" w:hAnsi="Calibri"/>
      <w:szCs w:val="21"/>
      <w:lang w:val="fi-FI"/>
    </w:rPr>
  </w:style>
  <w:style w:type="paragraph" w:customStyle="1" w:styleId="ecl-page-header-standardiseddescription">
    <w:name w:val="ecl-page-header-standardised__description"/>
    <w:basedOn w:val="Normal"/>
    <w:uiPriority w:val="99"/>
    <w:rsid w:val="007A1FE8"/>
    <w:pPr>
      <w:spacing w:before="100" w:beforeAutospacing="1" w:after="100" w:afterAutospacing="1"/>
    </w:pPr>
    <w:rPr>
      <w:rFonts w:eastAsia="Times New Roman"/>
      <w:lang w:eastAsia="en-GB"/>
    </w:rPr>
  </w:style>
  <w:style w:type="character" w:customStyle="1" w:styleId="UnresolvedMention1">
    <w:name w:val="Unresolved Mention1"/>
    <w:basedOn w:val="DefaultParagraphFont"/>
    <w:uiPriority w:val="99"/>
    <w:semiHidden/>
    <w:unhideWhenUsed/>
    <w:rsid w:val="00580C86"/>
    <w:rPr>
      <w:color w:val="605E5C"/>
      <w:shd w:val="clear" w:color="auto" w:fill="E1DFDD"/>
    </w:rPr>
  </w:style>
  <w:style w:type="character" w:customStyle="1" w:styleId="UnresolvedMention">
    <w:name w:val="Unresolved Mention"/>
    <w:basedOn w:val="DefaultParagraphFont"/>
    <w:uiPriority w:val="99"/>
    <w:semiHidden/>
    <w:unhideWhenUsed/>
    <w:rsid w:val="00B7513E"/>
    <w:rPr>
      <w:color w:val="605E5C"/>
      <w:shd w:val="clear" w:color="auto" w:fill="E1DFDD"/>
    </w:rPr>
  </w:style>
  <w:style w:type="table" w:styleId="GridTable4-Accent5">
    <w:name w:val="Grid Table 4 Accent 5"/>
    <w:basedOn w:val="TableNormal"/>
    <w:uiPriority w:val="49"/>
    <w:rsid w:val="00FA60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2">
    <w:name w:val="Text 2"/>
    <w:basedOn w:val="Normal"/>
    <w:uiPriority w:val="1"/>
    <w:qFormat/>
    <w:rsid w:val="00471184"/>
    <w:pPr>
      <w:spacing w:after="240"/>
      <w:ind w:left="1077"/>
    </w:pPr>
    <w:rPr>
      <w:rFonts w:ascii="Times New Roman" w:eastAsia="Times New Roman" w:hAnsi="Times New Roman"/>
      <w:sz w:val="24"/>
      <w:szCs w:val="20"/>
      <w:lang w:eastAsia="en-GB"/>
    </w:rPr>
  </w:style>
  <w:style w:type="character" w:customStyle="1" w:styleId="Mention">
    <w:name w:val="Mention"/>
    <w:basedOn w:val="DefaultParagraphFont"/>
    <w:uiPriority w:val="99"/>
    <w:unhideWhenUsed/>
    <w:rsid w:val="005B0CDE"/>
    <w:rPr>
      <w:color w:val="2B579A"/>
      <w:shd w:val="clear" w:color="auto" w:fill="E1DFDD"/>
    </w:rPr>
  </w:style>
  <w:style w:type="paragraph" w:customStyle="1" w:styleId="LegalNumPar">
    <w:name w:val="LegalNumPar"/>
    <w:basedOn w:val="Normal"/>
    <w:rsid w:val="00607C1D"/>
    <w:pPr>
      <w:numPr>
        <w:numId w:val="33"/>
      </w:numPr>
      <w:spacing w:line="360" w:lineRule="auto"/>
    </w:pPr>
    <w:rPr>
      <w:sz w:val="24"/>
    </w:rPr>
  </w:style>
  <w:style w:type="paragraph" w:customStyle="1" w:styleId="LegalNumPar2">
    <w:name w:val="LegalNumPar2"/>
    <w:basedOn w:val="Normal"/>
    <w:rsid w:val="00607C1D"/>
    <w:pPr>
      <w:numPr>
        <w:ilvl w:val="1"/>
        <w:numId w:val="33"/>
      </w:numPr>
      <w:spacing w:line="360" w:lineRule="auto"/>
    </w:pPr>
    <w:rPr>
      <w:sz w:val="24"/>
    </w:rPr>
  </w:style>
  <w:style w:type="paragraph" w:customStyle="1" w:styleId="LegalNumPar3">
    <w:name w:val="LegalNumPar3"/>
    <w:basedOn w:val="Normal"/>
    <w:rsid w:val="00607C1D"/>
    <w:pPr>
      <w:numPr>
        <w:ilvl w:val="2"/>
        <w:numId w:val="33"/>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2507214">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1609872">
      <w:bodyDiv w:val="1"/>
      <w:marLeft w:val="0"/>
      <w:marRight w:val="0"/>
      <w:marTop w:val="0"/>
      <w:marBottom w:val="0"/>
      <w:divBdr>
        <w:top w:val="none" w:sz="0" w:space="0" w:color="auto"/>
        <w:left w:val="none" w:sz="0" w:space="0" w:color="auto"/>
        <w:bottom w:val="none" w:sz="0" w:space="0" w:color="auto"/>
        <w:right w:val="none" w:sz="0" w:space="0" w:color="auto"/>
      </w:divBdr>
      <w:divsChild>
        <w:div w:id="1276669232">
          <w:marLeft w:val="0"/>
          <w:marRight w:val="0"/>
          <w:marTop w:val="0"/>
          <w:marBottom w:val="0"/>
          <w:divBdr>
            <w:top w:val="none" w:sz="0" w:space="0" w:color="auto"/>
            <w:left w:val="none" w:sz="0" w:space="0" w:color="auto"/>
            <w:bottom w:val="none" w:sz="0" w:space="0" w:color="auto"/>
            <w:right w:val="none" w:sz="0" w:space="0" w:color="auto"/>
          </w:divBdr>
        </w:div>
      </w:divsChild>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66022188">
      <w:bodyDiv w:val="1"/>
      <w:marLeft w:val="0"/>
      <w:marRight w:val="0"/>
      <w:marTop w:val="0"/>
      <w:marBottom w:val="0"/>
      <w:divBdr>
        <w:top w:val="none" w:sz="0" w:space="0" w:color="auto"/>
        <w:left w:val="none" w:sz="0" w:space="0" w:color="auto"/>
        <w:bottom w:val="none" w:sz="0" w:space="0" w:color="auto"/>
        <w:right w:val="none" w:sz="0" w:space="0" w:color="auto"/>
      </w:divBdr>
    </w:div>
    <w:div w:id="168252948">
      <w:bodyDiv w:val="1"/>
      <w:marLeft w:val="0"/>
      <w:marRight w:val="0"/>
      <w:marTop w:val="0"/>
      <w:marBottom w:val="0"/>
      <w:divBdr>
        <w:top w:val="none" w:sz="0" w:space="0" w:color="auto"/>
        <w:left w:val="none" w:sz="0" w:space="0" w:color="auto"/>
        <w:bottom w:val="none" w:sz="0" w:space="0" w:color="auto"/>
        <w:right w:val="none" w:sz="0" w:space="0" w:color="auto"/>
      </w:divBdr>
      <w:divsChild>
        <w:div w:id="182017978">
          <w:marLeft w:val="360"/>
          <w:marRight w:val="0"/>
          <w:marTop w:val="0"/>
          <w:marBottom w:val="60"/>
          <w:divBdr>
            <w:top w:val="none" w:sz="0" w:space="0" w:color="auto"/>
            <w:left w:val="none" w:sz="0" w:space="0" w:color="auto"/>
            <w:bottom w:val="none" w:sz="0" w:space="0" w:color="auto"/>
            <w:right w:val="none" w:sz="0" w:space="0" w:color="auto"/>
          </w:divBdr>
        </w:div>
      </w:divsChild>
    </w:div>
    <w:div w:id="169830019">
      <w:bodyDiv w:val="1"/>
      <w:marLeft w:val="0"/>
      <w:marRight w:val="0"/>
      <w:marTop w:val="0"/>
      <w:marBottom w:val="0"/>
      <w:divBdr>
        <w:top w:val="none" w:sz="0" w:space="0" w:color="auto"/>
        <w:left w:val="none" w:sz="0" w:space="0" w:color="auto"/>
        <w:bottom w:val="none" w:sz="0" w:space="0" w:color="auto"/>
        <w:right w:val="none" w:sz="0" w:space="0" w:color="auto"/>
      </w:divBdr>
      <w:divsChild>
        <w:div w:id="1590652496">
          <w:marLeft w:val="360"/>
          <w:marRight w:val="0"/>
          <w:marTop w:val="0"/>
          <w:marBottom w:val="60"/>
          <w:divBdr>
            <w:top w:val="none" w:sz="0" w:space="0" w:color="auto"/>
            <w:left w:val="none" w:sz="0" w:space="0" w:color="auto"/>
            <w:bottom w:val="none" w:sz="0" w:space="0" w:color="auto"/>
            <w:right w:val="none" w:sz="0" w:space="0" w:color="auto"/>
          </w:divBdr>
        </w:div>
      </w:divsChild>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87590709">
      <w:bodyDiv w:val="1"/>
      <w:marLeft w:val="0"/>
      <w:marRight w:val="0"/>
      <w:marTop w:val="0"/>
      <w:marBottom w:val="0"/>
      <w:divBdr>
        <w:top w:val="none" w:sz="0" w:space="0" w:color="auto"/>
        <w:left w:val="none" w:sz="0" w:space="0" w:color="auto"/>
        <w:bottom w:val="none" w:sz="0" w:space="0" w:color="auto"/>
        <w:right w:val="none" w:sz="0" w:space="0" w:color="auto"/>
      </w:divBdr>
      <w:divsChild>
        <w:div w:id="57674530">
          <w:marLeft w:val="360"/>
          <w:marRight w:val="0"/>
          <w:marTop w:val="0"/>
          <w:marBottom w:val="60"/>
          <w:divBdr>
            <w:top w:val="none" w:sz="0" w:space="0" w:color="auto"/>
            <w:left w:val="none" w:sz="0" w:space="0" w:color="auto"/>
            <w:bottom w:val="none" w:sz="0" w:space="0" w:color="auto"/>
            <w:right w:val="none" w:sz="0" w:space="0" w:color="auto"/>
          </w:divBdr>
        </w:div>
        <w:div w:id="521548672">
          <w:marLeft w:val="360"/>
          <w:marRight w:val="0"/>
          <w:marTop w:val="0"/>
          <w:marBottom w:val="60"/>
          <w:divBdr>
            <w:top w:val="none" w:sz="0" w:space="0" w:color="auto"/>
            <w:left w:val="none" w:sz="0" w:space="0" w:color="auto"/>
            <w:bottom w:val="none" w:sz="0" w:space="0" w:color="auto"/>
            <w:right w:val="none" w:sz="0" w:space="0" w:color="auto"/>
          </w:divBdr>
        </w:div>
      </w:divsChild>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51611388">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74737370">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10080985">
      <w:bodyDiv w:val="1"/>
      <w:marLeft w:val="0"/>
      <w:marRight w:val="0"/>
      <w:marTop w:val="0"/>
      <w:marBottom w:val="0"/>
      <w:divBdr>
        <w:top w:val="none" w:sz="0" w:space="0" w:color="auto"/>
        <w:left w:val="none" w:sz="0" w:space="0" w:color="auto"/>
        <w:bottom w:val="none" w:sz="0" w:space="0" w:color="auto"/>
        <w:right w:val="none" w:sz="0" w:space="0" w:color="auto"/>
      </w:divBdr>
      <w:divsChild>
        <w:div w:id="1007635415">
          <w:marLeft w:val="0"/>
          <w:marRight w:val="0"/>
          <w:marTop w:val="0"/>
          <w:marBottom w:val="0"/>
          <w:divBdr>
            <w:top w:val="none" w:sz="0" w:space="0" w:color="auto"/>
            <w:left w:val="none" w:sz="0" w:space="0" w:color="auto"/>
            <w:bottom w:val="none" w:sz="0" w:space="0" w:color="auto"/>
            <w:right w:val="none" w:sz="0" w:space="0" w:color="auto"/>
          </w:divBdr>
        </w:div>
      </w:divsChild>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70239873">
      <w:bodyDiv w:val="1"/>
      <w:marLeft w:val="0"/>
      <w:marRight w:val="0"/>
      <w:marTop w:val="0"/>
      <w:marBottom w:val="0"/>
      <w:divBdr>
        <w:top w:val="none" w:sz="0" w:space="0" w:color="auto"/>
        <w:left w:val="none" w:sz="0" w:space="0" w:color="auto"/>
        <w:bottom w:val="none" w:sz="0" w:space="0" w:color="auto"/>
        <w:right w:val="none" w:sz="0" w:space="0" w:color="auto"/>
      </w:divBdr>
    </w:div>
    <w:div w:id="573970309">
      <w:bodyDiv w:val="1"/>
      <w:marLeft w:val="0"/>
      <w:marRight w:val="0"/>
      <w:marTop w:val="0"/>
      <w:marBottom w:val="0"/>
      <w:divBdr>
        <w:top w:val="none" w:sz="0" w:space="0" w:color="auto"/>
        <w:left w:val="none" w:sz="0" w:space="0" w:color="auto"/>
        <w:bottom w:val="none" w:sz="0" w:space="0" w:color="auto"/>
        <w:right w:val="none" w:sz="0" w:space="0" w:color="auto"/>
      </w:divBdr>
    </w:div>
    <w:div w:id="581838311">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0377750">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32965235">
      <w:bodyDiv w:val="1"/>
      <w:marLeft w:val="0"/>
      <w:marRight w:val="0"/>
      <w:marTop w:val="0"/>
      <w:marBottom w:val="0"/>
      <w:divBdr>
        <w:top w:val="none" w:sz="0" w:space="0" w:color="auto"/>
        <w:left w:val="none" w:sz="0" w:space="0" w:color="auto"/>
        <w:bottom w:val="none" w:sz="0" w:space="0" w:color="auto"/>
        <w:right w:val="none" w:sz="0" w:space="0" w:color="auto"/>
      </w:divBdr>
      <w:divsChild>
        <w:div w:id="2105297646">
          <w:marLeft w:val="0"/>
          <w:marRight w:val="0"/>
          <w:marTop w:val="0"/>
          <w:marBottom w:val="0"/>
          <w:divBdr>
            <w:top w:val="none" w:sz="0" w:space="0" w:color="auto"/>
            <w:left w:val="none" w:sz="0" w:space="0" w:color="auto"/>
            <w:bottom w:val="none" w:sz="0" w:space="0" w:color="auto"/>
            <w:right w:val="none" w:sz="0" w:space="0" w:color="auto"/>
          </w:divBdr>
        </w:div>
      </w:divsChild>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27554824">
      <w:bodyDiv w:val="1"/>
      <w:marLeft w:val="0"/>
      <w:marRight w:val="0"/>
      <w:marTop w:val="0"/>
      <w:marBottom w:val="0"/>
      <w:divBdr>
        <w:top w:val="none" w:sz="0" w:space="0" w:color="auto"/>
        <w:left w:val="none" w:sz="0" w:space="0" w:color="auto"/>
        <w:bottom w:val="none" w:sz="0" w:space="0" w:color="auto"/>
        <w:right w:val="none" w:sz="0" w:space="0" w:color="auto"/>
      </w:divBdr>
      <w:divsChild>
        <w:div w:id="171920167">
          <w:marLeft w:val="0"/>
          <w:marRight w:val="0"/>
          <w:marTop w:val="0"/>
          <w:marBottom w:val="0"/>
          <w:divBdr>
            <w:top w:val="none" w:sz="0" w:space="0" w:color="auto"/>
            <w:left w:val="none" w:sz="0" w:space="0" w:color="auto"/>
            <w:bottom w:val="none" w:sz="0" w:space="0" w:color="auto"/>
            <w:right w:val="none" w:sz="0" w:space="0" w:color="auto"/>
          </w:divBdr>
        </w:div>
      </w:divsChild>
    </w:div>
    <w:div w:id="850220207">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70861799">
      <w:bodyDiv w:val="1"/>
      <w:marLeft w:val="0"/>
      <w:marRight w:val="0"/>
      <w:marTop w:val="0"/>
      <w:marBottom w:val="0"/>
      <w:divBdr>
        <w:top w:val="none" w:sz="0" w:space="0" w:color="auto"/>
        <w:left w:val="none" w:sz="0" w:space="0" w:color="auto"/>
        <w:bottom w:val="none" w:sz="0" w:space="0" w:color="auto"/>
        <w:right w:val="none" w:sz="0" w:space="0" w:color="auto"/>
      </w:divBdr>
      <w:divsChild>
        <w:div w:id="1946419365">
          <w:marLeft w:val="0"/>
          <w:marRight w:val="0"/>
          <w:marTop w:val="0"/>
          <w:marBottom w:val="0"/>
          <w:divBdr>
            <w:top w:val="none" w:sz="0" w:space="0" w:color="auto"/>
            <w:left w:val="none" w:sz="0" w:space="0" w:color="auto"/>
            <w:bottom w:val="none" w:sz="0" w:space="0" w:color="auto"/>
            <w:right w:val="none" w:sz="0" w:space="0" w:color="auto"/>
          </w:divBdr>
        </w:div>
      </w:divsChild>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11502105">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62833838">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047237">
      <w:bodyDiv w:val="1"/>
      <w:marLeft w:val="0"/>
      <w:marRight w:val="0"/>
      <w:marTop w:val="0"/>
      <w:marBottom w:val="0"/>
      <w:divBdr>
        <w:top w:val="none" w:sz="0" w:space="0" w:color="auto"/>
        <w:left w:val="none" w:sz="0" w:space="0" w:color="auto"/>
        <w:bottom w:val="none" w:sz="0" w:space="0" w:color="auto"/>
        <w:right w:val="none" w:sz="0" w:space="0" w:color="auto"/>
      </w:divBdr>
      <w:divsChild>
        <w:div w:id="111679979">
          <w:marLeft w:val="0"/>
          <w:marRight w:val="0"/>
          <w:marTop w:val="0"/>
          <w:marBottom w:val="0"/>
          <w:divBdr>
            <w:top w:val="none" w:sz="0" w:space="0" w:color="auto"/>
            <w:left w:val="none" w:sz="0" w:space="0" w:color="auto"/>
            <w:bottom w:val="none" w:sz="0" w:space="0" w:color="auto"/>
            <w:right w:val="none" w:sz="0" w:space="0" w:color="auto"/>
          </w:divBdr>
        </w:div>
      </w:divsChild>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290404034">
      <w:bodyDiv w:val="1"/>
      <w:marLeft w:val="0"/>
      <w:marRight w:val="0"/>
      <w:marTop w:val="0"/>
      <w:marBottom w:val="0"/>
      <w:divBdr>
        <w:top w:val="none" w:sz="0" w:space="0" w:color="auto"/>
        <w:left w:val="none" w:sz="0" w:space="0" w:color="auto"/>
        <w:bottom w:val="none" w:sz="0" w:space="0" w:color="auto"/>
        <w:right w:val="none" w:sz="0" w:space="0" w:color="auto"/>
      </w:divBdr>
    </w:div>
    <w:div w:id="1315720598">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55961662">
      <w:bodyDiv w:val="1"/>
      <w:marLeft w:val="0"/>
      <w:marRight w:val="0"/>
      <w:marTop w:val="0"/>
      <w:marBottom w:val="0"/>
      <w:divBdr>
        <w:top w:val="none" w:sz="0" w:space="0" w:color="auto"/>
        <w:left w:val="none" w:sz="0" w:space="0" w:color="auto"/>
        <w:bottom w:val="none" w:sz="0" w:space="0" w:color="auto"/>
        <w:right w:val="none" w:sz="0" w:space="0" w:color="auto"/>
      </w:divBdr>
    </w:div>
    <w:div w:id="1388214577">
      <w:bodyDiv w:val="1"/>
      <w:marLeft w:val="0"/>
      <w:marRight w:val="0"/>
      <w:marTop w:val="0"/>
      <w:marBottom w:val="0"/>
      <w:divBdr>
        <w:top w:val="none" w:sz="0" w:space="0" w:color="auto"/>
        <w:left w:val="none" w:sz="0" w:space="0" w:color="auto"/>
        <w:bottom w:val="none" w:sz="0" w:space="0" w:color="auto"/>
        <w:right w:val="none" w:sz="0" w:space="0" w:color="auto"/>
      </w:divBdr>
      <w:divsChild>
        <w:div w:id="859125399">
          <w:marLeft w:val="0"/>
          <w:marRight w:val="0"/>
          <w:marTop w:val="0"/>
          <w:marBottom w:val="0"/>
          <w:divBdr>
            <w:top w:val="none" w:sz="0" w:space="0" w:color="auto"/>
            <w:left w:val="none" w:sz="0" w:space="0" w:color="auto"/>
            <w:bottom w:val="none" w:sz="0" w:space="0" w:color="auto"/>
            <w:right w:val="none" w:sz="0" w:space="0" w:color="auto"/>
          </w:divBdr>
        </w:div>
      </w:divsChild>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474709656">
      <w:bodyDiv w:val="1"/>
      <w:marLeft w:val="0"/>
      <w:marRight w:val="0"/>
      <w:marTop w:val="0"/>
      <w:marBottom w:val="0"/>
      <w:divBdr>
        <w:top w:val="none" w:sz="0" w:space="0" w:color="auto"/>
        <w:left w:val="none" w:sz="0" w:space="0" w:color="auto"/>
        <w:bottom w:val="none" w:sz="0" w:space="0" w:color="auto"/>
        <w:right w:val="none" w:sz="0" w:space="0" w:color="auto"/>
      </w:divBdr>
    </w:div>
    <w:div w:id="150019687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48700522">
      <w:bodyDiv w:val="1"/>
      <w:marLeft w:val="0"/>
      <w:marRight w:val="0"/>
      <w:marTop w:val="0"/>
      <w:marBottom w:val="0"/>
      <w:divBdr>
        <w:top w:val="none" w:sz="0" w:space="0" w:color="auto"/>
        <w:left w:val="none" w:sz="0" w:space="0" w:color="auto"/>
        <w:bottom w:val="none" w:sz="0" w:space="0" w:color="auto"/>
        <w:right w:val="none" w:sz="0" w:space="0" w:color="auto"/>
      </w:divBdr>
      <w:divsChild>
        <w:div w:id="1124738870">
          <w:marLeft w:val="0"/>
          <w:marRight w:val="0"/>
          <w:marTop w:val="0"/>
          <w:marBottom w:val="0"/>
          <w:divBdr>
            <w:top w:val="none" w:sz="0" w:space="0" w:color="auto"/>
            <w:left w:val="none" w:sz="0" w:space="0" w:color="auto"/>
            <w:bottom w:val="none" w:sz="0" w:space="0" w:color="auto"/>
            <w:right w:val="none" w:sz="0" w:space="0" w:color="auto"/>
          </w:divBdr>
        </w:div>
      </w:divsChild>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69216219">
      <w:bodyDiv w:val="1"/>
      <w:marLeft w:val="0"/>
      <w:marRight w:val="0"/>
      <w:marTop w:val="0"/>
      <w:marBottom w:val="0"/>
      <w:divBdr>
        <w:top w:val="none" w:sz="0" w:space="0" w:color="auto"/>
        <w:left w:val="none" w:sz="0" w:space="0" w:color="auto"/>
        <w:bottom w:val="none" w:sz="0" w:space="0" w:color="auto"/>
        <w:right w:val="none" w:sz="0" w:space="0" w:color="auto"/>
      </w:divBdr>
    </w:div>
    <w:div w:id="1672757176">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118258">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85075376">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6649100">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83394417">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16931386">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19233640">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emf"/><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10.emf"/><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image" Target="media/image9.emf"/><Relationship Id="rId38" Type="http://schemas.openxmlformats.org/officeDocument/2006/relationships/hyperlink" Target="https://commission.europa.eu/document/download/abdee617-a078-4ee3-a3ec-20c7d32725b5_en?filename=NextGenerationEU%20Green%20Bonds%20Allocation%20and%20Impact%20Report%202024.pdf"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png"/><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hyperlink" Target="https://commission.europa.eu/document/download/abdee617-a078-4ee3-a3ec-20c7d32725b5_en?filename=NextGenerationEU%20Green%20Bonds%20Allocation%20and%20Impact%20Report%202024.pdf" TargetMode="External"/><Relationship Id="rId37" Type="http://schemas.openxmlformats.org/officeDocument/2006/relationships/chart" Target="charts/chart1.xml"/><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emf"/><Relationship Id="rId36" Type="http://schemas.openxmlformats.org/officeDocument/2006/relationships/image" Target="media/image12.emf"/><Relationship Id="rId49"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8.gif"/><Relationship Id="rId44" Type="http://schemas.openxmlformats.org/officeDocument/2006/relationships/footer" Target="footer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emf"/><Relationship Id="rId30" Type="http://schemas.openxmlformats.org/officeDocument/2006/relationships/image" Target="media/image8.svg"/><Relationship Id="rId35" Type="http://schemas.openxmlformats.org/officeDocument/2006/relationships/image" Target="media/image11.emf"/><Relationship Id="rId43" Type="http://schemas.openxmlformats.org/officeDocument/2006/relationships/header" Target="header9.xml"/><Relationship Id="rId48"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abdee617-a078-4ee3-a3ec-20c7d32725b5_en?filename=NextGenerationEU%20Green%20Bonds%20Allocation%20and%20Impact%20Report%202024.pdf" TargetMode="External"/><Relationship Id="rId7" Type="http://schemas.openxmlformats.org/officeDocument/2006/relationships/hyperlink" Target="https://commission.europa.eu/strategy-and-policy/eu-budget/eu-borrower-investor-relations/nextgenerationeu-green-bonds/dashboard_fi" TargetMode="External"/><Relationship Id="rId2" Type="http://schemas.openxmlformats.org/officeDocument/2006/relationships/hyperlink" Target="https://eur-lex.europa.eu/legal-content/FI/TXT/PDF/?uri=CELEX:52024DC0240" TargetMode="External"/><Relationship Id="rId1" Type="http://schemas.openxmlformats.org/officeDocument/2006/relationships/hyperlink" Target="https://eur-lex.europa.eu/resource.html?uri=cellar:fa513a0c-86e3-11ef-a67d-01aa75ed71a1.0004.02/DOC_1&amp;format=PDF" TargetMode="External"/><Relationship Id="rId6" Type="http://schemas.openxmlformats.org/officeDocument/2006/relationships/hyperlink" Target="https://eur-lex.europa.eu/legal-content/FI/TXT/PDF/?uri=CELEX:52023DC0461" TargetMode="External"/><Relationship Id="rId5" Type="http://schemas.openxmlformats.org/officeDocument/2006/relationships/hyperlink" Target="https://www.eca.europa.eu/Lists/ECAReplies/COM-Replies-SR-2023-16/COM-Replies-SR-2023-16_FI.pdf" TargetMode="External"/><Relationship Id="rId4" Type="http://schemas.openxmlformats.org/officeDocument/2006/relationships/hyperlink" Target="https://www.eca.europa.eu/ECAPublications/SR-2023-16/SR-2023-16_FI.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ohelee\AppData\Local\Microsoft\Windows\INetCache\Content.Outlook\DEERG5ZQ\Quarterly%20and%20semi-annual%20repor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69531763880728E-2"/>
          <c:y val="4.5379537953795381E-2"/>
          <c:w val="0.89284028118244585"/>
          <c:h val="0.74970180088875027"/>
        </c:manualLayout>
      </c:layout>
      <c:lineChart>
        <c:grouping val="standard"/>
        <c:varyColors val="0"/>
        <c:ser>
          <c:idx val="0"/>
          <c:order val="0"/>
          <c:tx>
            <c:strRef>
              <c:f>Data!$B$1</c:f>
              <c:strCache>
                <c:ptCount val="1"/>
                <c:pt idx="0">
                  <c:v>EU 10y yield</c:v>
                </c:pt>
              </c:strCache>
            </c:strRef>
          </c:tx>
          <c:spPr>
            <a:ln w="28575" cap="rnd">
              <a:solidFill>
                <a:schemeClr val="accent1"/>
              </a:solidFill>
              <a:round/>
            </a:ln>
            <a:effectLst/>
          </c:spPr>
          <c:marker>
            <c:symbol val="none"/>
          </c:marker>
          <c:cat>
            <c:numRef>
              <c:f>Data!$A$2:$A$249</c:f>
              <c:numCache>
                <c:formatCode>m/d/yyyy</c:formatCode>
                <c:ptCount val="248"/>
                <c:pt idx="0">
                  <c:v>45657</c:v>
                </c:pt>
                <c:pt idx="1">
                  <c:v>45656</c:v>
                </c:pt>
                <c:pt idx="2">
                  <c:v>45653</c:v>
                </c:pt>
                <c:pt idx="3">
                  <c:v>45650</c:v>
                </c:pt>
                <c:pt idx="4">
                  <c:v>45649</c:v>
                </c:pt>
                <c:pt idx="5">
                  <c:v>45646</c:v>
                </c:pt>
                <c:pt idx="6">
                  <c:v>45645</c:v>
                </c:pt>
                <c:pt idx="7">
                  <c:v>45644</c:v>
                </c:pt>
                <c:pt idx="8">
                  <c:v>45643</c:v>
                </c:pt>
                <c:pt idx="9">
                  <c:v>45642</c:v>
                </c:pt>
                <c:pt idx="10">
                  <c:v>45639</c:v>
                </c:pt>
                <c:pt idx="11">
                  <c:v>45638</c:v>
                </c:pt>
                <c:pt idx="12">
                  <c:v>45637</c:v>
                </c:pt>
                <c:pt idx="13">
                  <c:v>45636</c:v>
                </c:pt>
                <c:pt idx="14">
                  <c:v>45635</c:v>
                </c:pt>
                <c:pt idx="15">
                  <c:v>45632</c:v>
                </c:pt>
                <c:pt idx="16">
                  <c:v>45631</c:v>
                </c:pt>
                <c:pt idx="17">
                  <c:v>45630</c:v>
                </c:pt>
                <c:pt idx="18">
                  <c:v>45629</c:v>
                </c:pt>
                <c:pt idx="19">
                  <c:v>45628</c:v>
                </c:pt>
                <c:pt idx="20">
                  <c:v>45625</c:v>
                </c:pt>
                <c:pt idx="21">
                  <c:v>45624</c:v>
                </c:pt>
                <c:pt idx="22">
                  <c:v>45623</c:v>
                </c:pt>
                <c:pt idx="23">
                  <c:v>45622</c:v>
                </c:pt>
                <c:pt idx="24">
                  <c:v>45621</c:v>
                </c:pt>
                <c:pt idx="25">
                  <c:v>45618</c:v>
                </c:pt>
                <c:pt idx="26">
                  <c:v>45617</c:v>
                </c:pt>
                <c:pt idx="27">
                  <c:v>45616</c:v>
                </c:pt>
                <c:pt idx="28">
                  <c:v>45615</c:v>
                </c:pt>
                <c:pt idx="29">
                  <c:v>45614</c:v>
                </c:pt>
                <c:pt idx="30">
                  <c:v>45611</c:v>
                </c:pt>
                <c:pt idx="31">
                  <c:v>45610</c:v>
                </c:pt>
                <c:pt idx="32">
                  <c:v>45609</c:v>
                </c:pt>
                <c:pt idx="33">
                  <c:v>45608</c:v>
                </c:pt>
                <c:pt idx="34">
                  <c:v>45607</c:v>
                </c:pt>
                <c:pt idx="35">
                  <c:v>45604</c:v>
                </c:pt>
                <c:pt idx="36">
                  <c:v>45603</c:v>
                </c:pt>
                <c:pt idx="37">
                  <c:v>45602</c:v>
                </c:pt>
                <c:pt idx="38">
                  <c:v>45601</c:v>
                </c:pt>
                <c:pt idx="39">
                  <c:v>45600</c:v>
                </c:pt>
                <c:pt idx="40">
                  <c:v>45597</c:v>
                </c:pt>
                <c:pt idx="41">
                  <c:v>45596</c:v>
                </c:pt>
                <c:pt idx="42">
                  <c:v>45595</c:v>
                </c:pt>
                <c:pt idx="43">
                  <c:v>45594</c:v>
                </c:pt>
                <c:pt idx="44">
                  <c:v>45593</c:v>
                </c:pt>
                <c:pt idx="45">
                  <c:v>45590</c:v>
                </c:pt>
                <c:pt idx="46">
                  <c:v>45589</c:v>
                </c:pt>
                <c:pt idx="47">
                  <c:v>45588</c:v>
                </c:pt>
                <c:pt idx="48">
                  <c:v>45587</c:v>
                </c:pt>
                <c:pt idx="49">
                  <c:v>45586</c:v>
                </c:pt>
                <c:pt idx="50">
                  <c:v>45583</c:v>
                </c:pt>
                <c:pt idx="51">
                  <c:v>45582</c:v>
                </c:pt>
                <c:pt idx="52">
                  <c:v>45581</c:v>
                </c:pt>
                <c:pt idx="53">
                  <c:v>45580</c:v>
                </c:pt>
                <c:pt idx="54">
                  <c:v>45579</c:v>
                </c:pt>
                <c:pt idx="55">
                  <c:v>45576</c:v>
                </c:pt>
                <c:pt idx="56">
                  <c:v>45575</c:v>
                </c:pt>
                <c:pt idx="57">
                  <c:v>45574</c:v>
                </c:pt>
                <c:pt idx="58">
                  <c:v>45573</c:v>
                </c:pt>
                <c:pt idx="59">
                  <c:v>45572</c:v>
                </c:pt>
                <c:pt idx="60">
                  <c:v>45569</c:v>
                </c:pt>
                <c:pt idx="61">
                  <c:v>45568</c:v>
                </c:pt>
                <c:pt idx="62">
                  <c:v>45567</c:v>
                </c:pt>
                <c:pt idx="63">
                  <c:v>45566</c:v>
                </c:pt>
                <c:pt idx="64">
                  <c:v>45565</c:v>
                </c:pt>
                <c:pt idx="65">
                  <c:v>45562</c:v>
                </c:pt>
                <c:pt idx="66">
                  <c:v>45561</c:v>
                </c:pt>
                <c:pt idx="67">
                  <c:v>45560</c:v>
                </c:pt>
                <c:pt idx="68">
                  <c:v>45559</c:v>
                </c:pt>
                <c:pt idx="69">
                  <c:v>45558</c:v>
                </c:pt>
                <c:pt idx="70">
                  <c:v>45555</c:v>
                </c:pt>
                <c:pt idx="71">
                  <c:v>45554</c:v>
                </c:pt>
                <c:pt idx="72">
                  <c:v>45553</c:v>
                </c:pt>
                <c:pt idx="73">
                  <c:v>45552</c:v>
                </c:pt>
                <c:pt idx="74">
                  <c:v>45551</c:v>
                </c:pt>
                <c:pt idx="75">
                  <c:v>45548</c:v>
                </c:pt>
                <c:pt idx="76">
                  <c:v>45547</c:v>
                </c:pt>
                <c:pt idx="77">
                  <c:v>45546</c:v>
                </c:pt>
                <c:pt idx="78">
                  <c:v>45545</c:v>
                </c:pt>
                <c:pt idx="79">
                  <c:v>45544</c:v>
                </c:pt>
                <c:pt idx="80">
                  <c:v>45541</c:v>
                </c:pt>
                <c:pt idx="81">
                  <c:v>45540</c:v>
                </c:pt>
                <c:pt idx="82">
                  <c:v>45539</c:v>
                </c:pt>
                <c:pt idx="83">
                  <c:v>45538</c:v>
                </c:pt>
                <c:pt idx="84">
                  <c:v>45537</c:v>
                </c:pt>
                <c:pt idx="85">
                  <c:v>45534</c:v>
                </c:pt>
                <c:pt idx="86">
                  <c:v>45533</c:v>
                </c:pt>
                <c:pt idx="87">
                  <c:v>45532</c:v>
                </c:pt>
                <c:pt idx="88">
                  <c:v>45531</c:v>
                </c:pt>
                <c:pt idx="89">
                  <c:v>45530</c:v>
                </c:pt>
                <c:pt idx="90">
                  <c:v>45527</c:v>
                </c:pt>
                <c:pt idx="91">
                  <c:v>45526</c:v>
                </c:pt>
                <c:pt idx="92">
                  <c:v>45525</c:v>
                </c:pt>
                <c:pt idx="93">
                  <c:v>45524</c:v>
                </c:pt>
                <c:pt idx="94">
                  <c:v>45523</c:v>
                </c:pt>
                <c:pt idx="95">
                  <c:v>45520</c:v>
                </c:pt>
                <c:pt idx="96">
                  <c:v>45519</c:v>
                </c:pt>
                <c:pt idx="97">
                  <c:v>45518</c:v>
                </c:pt>
                <c:pt idx="98">
                  <c:v>45517</c:v>
                </c:pt>
                <c:pt idx="99">
                  <c:v>45516</c:v>
                </c:pt>
                <c:pt idx="100">
                  <c:v>45513</c:v>
                </c:pt>
                <c:pt idx="101">
                  <c:v>45512</c:v>
                </c:pt>
                <c:pt idx="102">
                  <c:v>45511</c:v>
                </c:pt>
                <c:pt idx="103">
                  <c:v>45510</c:v>
                </c:pt>
                <c:pt idx="104">
                  <c:v>45509</c:v>
                </c:pt>
                <c:pt idx="105">
                  <c:v>45506</c:v>
                </c:pt>
                <c:pt idx="106">
                  <c:v>45505</c:v>
                </c:pt>
                <c:pt idx="107">
                  <c:v>45504</c:v>
                </c:pt>
                <c:pt idx="108">
                  <c:v>45503</c:v>
                </c:pt>
                <c:pt idx="109">
                  <c:v>45502</c:v>
                </c:pt>
                <c:pt idx="110">
                  <c:v>45499</c:v>
                </c:pt>
                <c:pt idx="111">
                  <c:v>45498</c:v>
                </c:pt>
                <c:pt idx="112">
                  <c:v>45497</c:v>
                </c:pt>
                <c:pt idx="113">
                  <c:v>45496</c:v>
                </c:pt>
                <c:pt idx="114">
                  <c:v>45495</c:v>
                </c:pt>
                <c:pt idx="115">
                  <c:v>45492</c:v>
                </c:pt>
                <c:pt idx="116">
                  <c:v>45491</c:v>
                </c:pt>
                <c:pt idx="117">
                  <c:v>45490</c:v>
                </c:pt>
                <c:pt idx="118">
                  <c:v>45489</c:v>
                </c:pt>
                <c:pt idx="119">
                  <c:v>45488</c:v>
                </c:pt>
                <c:pt idx="120">
                  <c:v>45485</c:v>
                </c:pt>
                <c:pt idx="121">
                  <c:v>45484</c:v>
                </c:pt>
                <c:pt idx="122">
                  <c:v>45483</c:v>
                </c:pt>
                <c:pt idx="123">
                  <c:v>45482</c:v>
                </c:pt>
                <c:pt idx="124">
                  <c:v>45481</c:v>
                </c:pt>
                <c:pt idx="125">
                  <c:v>45478</c:v>
                </c:pt>
                <c:pt idx="126">
                  <c:v>45477</c:v>
                </c:pt>
                <c:pt idx="127">
                  <c:v>45476</c:v>
                </c:pt>
                <c:pt idx="128">
                  <c:v>45475</c:v>
                </c:pt>
                <c:pt idx="129">
                  <c:v>45474</c:v>
                </c:pt>
                <c:pt idx="130">
                  <c:v>45471</c:v>
                </c:pt>
                <c:pt idx="131">
                  <c:v>45470</c:v>
                </c:pt>
                <c:pt idx="132">
                  <c:v>45469</c:v>
                </c:pt>
                <c:pt idx="133">
                  <c:v>45468</c:v>
                </c:pt>
                <c:pt idx="134">
                  <c:v>45467</c:v>
                </c:pt>
                <c:pt idx="135">
                  <c:v>45464</c:v>
                </c:pt>
                <c:pt idx="136">
                  <c:v>45463</c:v>
                </c:pt>
                <c:pt idx="137">
                  <c:v>45462</c:v>
                </c:pt>
                <c:pt idx="138">
                  <c:v>45461</c:v>
                </c:pt>
                <c:pt idx="139">
                  <c:v>45460</c:v>
                </c:pt>
                <c:pt idx="140">
                  <c:v>45457</c:v>
                </c:pt>
                <c:pt idx="141">
                  <c:v>45456</c:v>
                </c:pt>
                <c:pt idx="142">
                  <c:v>45455</c:v>
                </c:pt>
                <c:pt idx="143">
                  <c:v>45454</c:v>
                </c:pt>
                <c:pt idx="144">
                  <c:v>45453</c:v>
                </c:pt>
                <c:pt idx="145">
                  <c:v>45450</c:v>
                </c:pt>
                <c:pt idx="146">
                  <c:v>45449</c:v>
                </c:pt>
                <c:pt idx="147">
                  <c:v>45448</c:v>
                </c:pt>
                <c:pt idx="148">
                  <c:v>45447</c:v>
                </c:pt>
                <c:pt idx="149">
                  <c:v>45446</c:v>
                </c:pt>
                <c:pt idx="150">
                  <c:v>45443</c:v>
                </c:pt>
                <c:pt idx="151">
                  <c:v>45442</c:v>
                </c:pt>
                <c:pt idx="152">
                  <c:v>45441</c:v>
                </c:pt>
                <c:pt idx="153">
                  <c:v>45440</c:v>
                </c:pt>
                <c:pt idx="154">
                  <c:v>45439</c:v>
                </c:pt>
                <c:pt idx="155">
                  <c:v>45436</c:v>
                </c:pt>
                <c:pt idx="156">
                  <c:v>45435</c:v>
                </c:pt>
                <c:pt idx="157">
                  <c:v>45434</c:v>
                </c:pt>
                <c:pt idx="158">
                  <c:v>45433</c:v>
                </c:pt>
                <c:pt idx="159">
                  <c:v>45432</c:v>
                </c:pt>
                <c:pt idx="160">
                  <c:v>45429</c:v>
                </c:pt>
                <c:pt idx="161">
                  <c:v>45428</c:v>
                </c:pt>
                <c:pt idx="162">
                  <c:v>45427</c:v>
                </c:pt>
                <c:pt idx="163">
                  <c:v>45426</c:v>
                </c:pt>
                <c:pt idx="164">
                  <c:v>45425</c:v>
                </c:pt>
                <c:pt idx="165">
                  <c:v>45422</c:v>
                </c:pt>
                <c:pt idx="166">
                  <c:v>45421</c:v>
                </c:pt>
                <c:pt idx="167">
                  <c:v>45420</c:v>
                </c:pt>
                <c:pt idx="168">
                  <c:v>45419</c:v>
                </c:pt>
                <c:pt idx="169">
                  <c:v>45418</c:v>
                </c:pt>
                <c:pt idx="170">
                  <c:v>45415</c:v>
                </c:pt>
                <c:pt idx="171">
                  <c:v>45414</c:v>
                </c:pt>
                <c:pt idx="172">
                  <c:v>45412</c:v>
                </c:pt>
                <c:pt idx="173">
                  <c:v>45411</c:v>
                </c:pt>
                <c:pt idx="174">
                  <c:v>45408</c:v>
                </c:pt>
                <c:pt idx="175">
                  <c:v>45407</c:v>
                </c:pt>
                <c:pt idx="176">
                  <c:v>45406</c:v>
                </c:pt>
                <c:pt idx="177">
                  <c:v>45405</c:v>
                </c:pt>
                <c:pt idx="178">
                  <c:v>45404</c:v>
                </c:pt>
                <c:pt idx="179">
                  <c:v>45401</c:v>
                </c:pt>
                <c:pt idx="180">
                  <c:v>45400</c:v>
                </c:pt>
                <c:pt idx="181">
                  <c:v>45399</c:v>
                </c:pt>
                <c:pt idx="182">
                  <c:v>45398</c:v>
                </c:pt>
                <c:pt idx="183">
                  <c:v>45397</c:v>
                </c:pt>
                <c:pt idx="184">
                  <c:v>45394</c:v>
                </c:pt>
                <c:pt idx="185">
                  <c:v>45393</c:v>
                </c:pt>
                <c:pt idx="186">
                  <c:v>45392</c:v>
                </c:pt>
                <c:pt idx="187">
                  <c:v>45391</c:v>
                </c:pt>
                <c:pt idx="188">
                  <c:v>45390</c:v>
                </c:pt>
                <c:pt idx="189">
                  <c:v>45387</c:v>
                </c:pt>
                <c:pt idx="190">
                  <c:v>45386</c:v>
                </c:pt>
                <c:pt idx="191">
                  <c:v>45385</c:v>
                </c:pt>
                <c:pt idx="192">
                  <c:v>45384</c:v>
                </c:pt>
                <c:pt idx="193">
                  <c:v>45379</c:v>
                </c:pt>
                <c:pt idx="194">
                  <c:v>45378</c:v>
                </c:pt>
                <c:pt idx="195">
                  <c:v>45377</c:v>
                </c:pt>
                <c:pt idx="196">
                  <c:v>45376</c:v>
                </c:pt>
                <c:pt idx="197">
                  <c:v>45373</c:v>
                </c:pt>
                <c:pt idx="198">
                  <c:v>45372</c:v>
                </c:pt>
                <c:pt idx="199">
                  <c:v>45371</c:v>
                </c:pt>
                <c:pt idx="200">
                  <c:v>45370</c:v>
                </c:pt>
                <c:pt idx="201">
                  <c:v>45369</c:v>
                </c:pt>
                <c:pt idx="202">
                  <c:v>45366</c:v>
                </c:pt>
                <c:pt idx="203">
                  <c:v>45365</c:v>
                </c:pt>
                <c:pt idx="204">
                  <c:v>45364</c:v>
                </c:pt>
                <c:pt idx="205">
                  <c:v>45363</c:v>
                </c:pt>
                <c:pt idx="206">
                  <c:v>45362</c:v>
                </c:pt>
                <c:pt idx="207">
                  <c:v>45359</c:v>
                </c:pt>
                <c:pt idx="208">
                  <c:v>45358</c:v>
                </c:pt>
                <c:pt idx="209">
                  <c:v>45357</c:v>
                </c:pt>
                <c:pt idx="210">
                  <c:v>45356</c:v>
                </c:pt>
                <c:pt idx="211">
                  <c:v>45355</c:v>
                </c:pt>
                <c:pt idx="212">
                  <c:v>45352</c:v>
                </c:pt>
                <c:pt idx="213">
                  <c:v>45351</c:v>
                </c:pt>
                <c:pt idx="214">
                  <c:v>45350</c:v>
                </c:pt>
                <c:pt idx="215">
                  <c:v>45349</c:v>
                </c:pt>
                <c:pt idx="216">
                  <c:v>45348</c:v>
                </c:pt>
                <c:pt idx="217">
                  <c:v>45345</c:v>
                </c:pt>
                <c:pt idx="218">
                  <c:v>45344</c:v>
                </c:pt>
                <c:pt idx="219">
                  <c:v>45343</c:v>
                </c:pt>
                <c:pt idx="220">
                  <c:v>45342</c:v>
                </c:pt>
                <c:pt idx="221">
                  <c:v>45341</c:v>
                </c:pt>
                <c:pt idx="222">
                  <c:v>45338</c:v>
                </c:pt>
                <c:pt idx="223">
                  <c:v>45337</c:v>
                </c:pt>
                <c:pt idx="224">
                  <c:v>45336</c:v>
                </c:pt>
                <c:pt idx="225">
                  <c:v>45335</c:v>
                </c:pt>
                <c:pt idx="226">
                  <c:v>45334</c:v>
                </c:pt>
                <c:pt idx="227">
                  <c:v>45331</c:v>
                </c:pt>
                <c:pt idx="228">
                  <c:v>45330</c:v>
                </c:pt>
                <c:pt idx="229">
                  <c:v>45329</c:v>
                </c:pt>
                <c:pt idx="230">
                  <c:v>45328</c:v>
                </c:pt>
                <c:pt idx="231">
                  <c:v>45327</c:v>
                </c:pt>
                <c:pt idx="232">
                  <c:v>45324</c:v>
                </c:pt>
                <c:pt idx="233">
                  <c:v>45323</c:v>
                </c:pt>
                <c:pt idx="234">
                  <c:v>45322</c:v>
                </c:pt>
                <c:pt idx="235">
                  <c:v>45321</c:v>
                </c:pt>
                <c:pt idx="236">
                  <c:v>45320</c:v>
                </c:pt>
                <c:pt idx="237">
                  <c:v>45317</c:v>
                </c:pt>
                <c:pt idx="238">
                  <c:v>45316</c:v>
                </c:pt>
                <c:pt idx="239">
                  <c:v>45315</c:v>
                </c:pt>
                <c:pt idx="240">
                  <c:v>45314</c:v>
                </c:pt>
                <c:pt idx="241">
                  <c:v>45313</c:v>
                </c:pt>
                <c:pt idx="242">
                  <c:v>45310</c:v>
                </c:pt>
                <c:pt idx="243">
                  <c:v>45309</c:v>
                </c:pt>
                <c:pt idx="244">
                  <c:v>45308</c:v>
                </c:pt>
                <c:pt idx="245">
                  <c:v>45307</c:v>
                </c:pt>
                <c:pt idx="246">
                  <c:v>45306</c:v>
                </c:pt>
                <c:pt idx="247">
                  <c:v>45303</c:v>
                </c:pt>
              </c:numCache>
            </c:numRef>
          </c:cat>
          <c:val>
            <c:numRef>
              <c:f>Data!$B$2:$B$249</c:f>
              <c:numCache>
                <c:formatCode>General</c:formatCode>
                <c:ptCount val="248"/>
                <c:pt idx="0">
                  <c:v>2.9020000000000001</c:v>
                </c:pt>
                <c:pt idx="1">
                  <c:v>2.9020000000000001</c:v>
                </c:pt>
                <c:pt idx="2">
                  <c:v>2.9289999999999998</c:v>
                </c:pt>
                <c:pt idx="3">
                  <c:v>2.863</c:v>
                </c:pt>
                <c:pt idx="4">
                  <c:v>2.863</c:v>
                </c:pt>
                <c:pt idx="5">
                  <c:v>2.823</c:v>
                </c:pt>
                <c:pt idx="6">
                  <c:v>2.8359999999999999</c:v>
                </c:pt>
                <c:pt idx="7">
                  <c:v>2.7709999999999999</c:v>
                </c:pt>
                <c:pt idx="8">
                  <c:v>2.7440000000000002</c:v>
                </c:pt>
                <c:pt idx="9">
                  <c:v>2.76</c:v>
                </c:pt>
                <c:pt idx="10">
                  <c:v>2.77</c:v>
                </c:pt>
                <c:pt idx="11">
                  <c:v>2.718</c:v>
                </c:pt>
                <c:pt idx="12">
                  <c:v>2.641</c:v>
                </c:pt>
                <c:pt idx="13">
                  <c:v>2.6240000000000001</c:v>
                </c:pt>
                <c:pt idx="14">
                  <c:v>2.625</c:v>
                </c:pt>
                <c:pt idx="15">
                  <c:v>2.605</c:v>
                </c:pt>
                <c:pt idx="16">
                  <c:v>2.6309999999999998</c:v>
                </c:pt>
                <c:pt idx="17">
                  <c:v>2.6190000000000002</c:v>
                </c:pt>
                <c:pt idx="18">
                  <c:v>2.6139999999999999</c:v>
                </c:pt>
                <c:pt idx="19">
                  <c:v>2.609</c:v>
                </c:pt>
                <c:pt idx="20">
                  <c:v>2.6539999999999999</c:v>
                </c:pt>
                <c:pt idx="21">
                  <c:v>2.7</c:v>
                </c:pt>
                <c:pt idx="22">
                  <c:v>2.734</c:v>
                </c:pt>
                <c:pt idx="23">
                  <c:v>2.7669999999999999</c:v>
                </c:pt>
                <c:pt idx="24">
                  <c:v>2.778</c:v>
                </c:pt>
                <c:pt idx="25">
                  <c:v>2.8050000000000002</c:v>
                </c:pt>
                <c:pt idx="26">
                  <c:v>2.9009999999999998</c:v>
                </c:pt>
                <c:pt idx="27">
                  <c:v>2.9159999999999999</c:v>
                </c:pt>
                <c:pt idx="28">
                  <c:v>2.8889999999999998</c:v>
                </c:pt>
                <c:pt idx="29">
                  <c:v>2.9020000000000001</c:v>
                </c:pt>
                <c:pt idx="30">
                  <c:v>2.8730000000000002</c:v>
                </c:pt>
                <c:pt idx="31">
                  <c:v>2.8730000000000002</c:v>
                </c:pt>
                <c:pt idx="32">
                  <c:v>2.9340000000000002</c:v>
                </c:pt>
                <c:pt idx="33">
                  <c:v>2.919</c:v>
                </c:pt>
                <c:pt idx="34">
                  <c:v>2.89</c:v>
                </c:pt>
                <c:pt idx="35">
                  <c:v>2.9540000000000002</c:v>
                </c:pt>
                <c:pt idx="36">
                  <c:v>3.0430000000000001</c:v>
                </c:pt>
                <c:pt idx="37">
                  <c:v>3.008</c:v>
                </c:pt>
                <c:pt idx="38">
                  <c:v>3.024</c:v>
                </c:pt>
                <c:pt idx="39">
                  <c:v>2.9990000000000001</c:v>
                </c:pt>
                <c:pt idx="40">
                  <c:v>2.992</c:v>
                </c:pt>
                <c:pt idx="41">
                  <c:v>2.988</c:v>
                </c:pt>
                <c:pt idx="42">
                  <c:v>2.9780000000000002</c:v>
                </c:pt>
                <c:pt idx="43">
                  <c:v>2.9209999999999998</c:v>
                </c:pt>
                <c:pt idx="44">
                  <c:v>2.89</c:v>
                </c:pt>
                <c:pt idx="45">
                  <c:v>2.89</c:v>
                </c:pt>
                <c:pt idx="46">
                  <c:v>2.8570000000000002</c:v>
                </c:pt>
                <c:pt idx="47">
                  <c:v>2.9</c:v>
                </c:pt>
                <c:pt idx="48">
                  <c:v>2.9239999999999999</c:v>
                </c:pt>
                <c:pt idx="49">
                  <c:v>2.8940000000000001</c:v>
                </c:pt>
                <c:pt idx="50">
                  <c:v>2.7959999999999998</c:v>
                </c:pt>
                <c:pt idx="51">
                  <c:v>2.8250000000000002</c:v>
                </c:pt>
                <c:pt idx="52">
                  <c:v>2.8010000000000002</c:v>
                </c:pt>
                <c:pt idx="53">
                  <c:v>2.835</c:v>
                </c:pt>
                <c:pt idx="54">
                  <c:v>2.9</c:v>
                </c:pt>
                <c:pt idx="55">
                  <c:v>2.8980000000000001</c:v>
                </c:pt>
                <c:pt idx="56">
                  <c:v>2.8940000000000001</c:v>
                </c:pt>
                <c:pt idx="57">
                  <c:v>2.8969999999999998</c:v>
                </c:pt>
                <c:pt idx="58">
                  <c:v>2.87</c:v>
                </c:pt>
                <c:pt idx="59">
                  <c:v>2.8820000000000001</c:v>
                </c:pt>
                <c:pt idx="60">
                  <c:v>2.8290000000000002</c:v>
                </c:pt>
                <c:pt idx="61">
                  <c:v>2.7829999999999999</c:v>
                </c:pt>
                <c:pt idx="62">
                  <c:v>2.7269999999999999</c:v>
                </c:pt>
                <c:pt idx="63">
                  <c:v>2.665</c:v>
                </c:pt>
                <c:pt idx="64">
                  <c:v>2.7639999999999998</c:v>
                </c:pt>
                <c:pt idx="65">
                  <c:v>2.7749999999999999</c:v>
                </c:pt>
                <c:pt idx="66">
                  <c:v>2.8370000000000002</c:v>
                </c:pt>
                <c:pt idx="67">
                  <c:v>2.8210000000000002</c:v>
                </c:pt>
                <c:pt idx="68">
                  <c:v>2.7959999999999998</c:v>
                </c:pt>
                <c:pt idx="69">
                  <c:v>2.798</c:v>
                </c:pt>
                <c:pt idx="70">
                  <c:v>2.8250000000000002</c:v>
                </c:pt>
                <c:pt idx="71">
                  <c:v>2.8159999999999998</c:v>
                </c:pt>
                <c:pt idx="72">
                  <c:v>2.8</c:v>
                </c:pt>
                <c:pt idx="73">
                  <c:v>2.7519999999999998</c:v>
                </c:pt>
                <c:pt idx="74">
                  <c:v>2.7290000000000001</c:v>
                </c:pt>
                <c:pt idx="75">
                  <c:v>2.758</c:v>
                </c:pt>
                <c:pt idx="76">
                  <c:v>2.7519999999999998</c:v>
                </c:pt>
                <c:pt idx="77">
                  <c:v>2.7170000000000001</c:v>
                </c:pt>
                <c:pt idx="78">
                  <c:v>2.7290000000000001</c:v>
                </c:pt>
                <c:pt idx="79">
                  <c:v>2.7570000000000001</c:v>
                </c:pt>
                <c:pt idx="80">
                  <c:v>2.7530000000000001</c:v>
                </c:pt>
                <c:pt idx="81">
                  <c:v>2.7919999999999998</c:v>
                </c:pt>
                <c:pt idx="82">
                  <c:v>2.823</c:v>
                </c:pt>
                <c:pt idx="83">
                  <c:v>2.87</c:v>
                </c:pt>
                <c:pt idx="84">
                  <c:v>2.92</c:v>
                </c:pt>
                <c:pt idx="85">
                  <c:v>2.8839999999999999</c:v>
                </c:pt>
                <c:pt idx="86">
                  <c:v>2.8559999999999999</c:v>
                </c:pt>
                <c:pt idx="87">
                  <c:v>2.8490000000000002</c:v>
                </c:pt>
                <c:pt idx="88">
                  <c:v>2.879</c:v>
                </c:pt>
                <c:pt idx="89">
                  <c:v>2.84</c:v>
                </c:pt>
                <c:pt idx="90">
                  <c:v>2.823</c:v>
                </c:pt>
                <c:pt idx="91">
                  <c:v>2.8420000000000001</c:v>
                </c:pt>
                <c:pt idx="92">
                  <c:v>2.7930000000000001</c:v>
                </c:pt>
                <c:pt idx="93">
                  <c:v>2.806</c:v>
                </c:pt>
                <c:pt idx="94">
                  <c:v>2.8370000000000002</c:v>
                </c:pt>
                <c:pt idx="95">
                  <c:v>2.8340000000000001</c:v>
                </c:pt>
                <c:pt idx="96">
                  <c:v>2.8319999999999999</c:v>
                </c:pt>
                <c:pt idx="97">
                  <c:v>2.7610000000000001</c:v>
                </c:pt>
                <c:pt idx="98">
                  <c:v>2.778</c:v>
                </c:pt>
                <c:pt idx="99">
                  <c:v>2.8220000000000001</c:v>
                </c:pt>
                <c:pt idx="100">
                  <c:v>2.8279999999999998</c:v>
                </c:pt>
                <c:pt idx="101">
                  <c:v>2.8679999999999999</c:v>
                </c:pt>
                <c:pt idx="102">
                  <c:v>2.8660000000000001</c:v>
                </c:pt>
                <c:pt idx="103">
                  <c:v>2.8210000000000002</c:v>
                </c:pt>
                <c:pt idx="104">
                  <c:v>2.8359999999999999</c:v>
                </c:pt>
                <c:pt idx="105">
                  <c:v>2.8029999999999999</c:v>
                </c:pt>
                <c:pt idx="106">
                  <c:v>2.847</c:v>
                </c:pt>
                <c:pt idx="107">
                  <c:v>2.8820000000000001</c:v>
                </c:pt>
                <c:pt idx="108">
                  <c:v>2.9169999999999998</c:v>
                </c:pt>
                <c:pt idx="109">
                  <c:v>2.9390000000000001</c:v>
                </c:pt>
                <c:pt idx="110">
                  <c:v>2.9849999999999999</c:v>
                </c:pt>
                <c:pt idx="111">
                  <c:v>2.9969999999999999</c:v>
                </c:pt>
                <c:pt idx="112">
                  <c:v>3.0190000000000001</c:v>
                </c:pt>
                <c:pt idx="113">
                  <c:v>3.004</c:v>
                </c:pt>
                <c:pt idx="114">
                  <c:v>3.0379999999999998</c:v>
                </c:pt>
                <c:pt idx="115">
                  <c:v>3.0139999999999998</c:v>
                </c:pt>
                <c:pt idx="116">
                  <c:v>2.99</c:v>
                </c:pt>
                <c:pt idx="117">
                  <c:v>2.988</c:v>
                </c:pt>
                <c:pt idx="118">
                  <c:v>2.9950000000000001</c:v>
                </c:pt>
                <c:pt idx="119">
                  <c:v>3.0430000000000001</c:v>
                </c:pt>
                <c:pt idx="120">
                  <c:v>3.0609999999999999</c:v>
                </c:pt>
                <c:pt idx="121">
                  <c:v>3.03</c:v>
                </c:pt>
                <c:pt idx="122">
                  <c:v>3.09</c:v>
                </c:pt>
                <c:pt idx="123">
                  <c:v>3.14</c:v>
                </c:pt>
                <c:pt idx="124">
                  <c:v>3.101</c:v>
                </c:pt>
                <c:pt idx="125">
                  <c:v>3.1179999999999999</c:v>
                </c:pt>
                <c:pt idx="126">
                  <c:v>3.169</c:v>
                </c:pt>
                <c:pt idx="127">
                  <c:v>3.1539999999999999</c:v>
                </c:pt>
                <c:pt idx="128">
                  <c:v>3.1989999999999998</c:v>
                </c:pt>
                <c:pt idx="129">
                  <c:v>3.2269999999999999</c:v>
                </c:pt>
                <c:pt idx="130">
                  <c:v>3.173</c:v>
                </c:pt>
                <c:pt idx="131">
                  <c:v>3.129</c:v>
                </c:pt>
                <c:pt idx="132">
                  <c:v>3.11</c:v>
                </c:pt>
                <c:pt idx="133">
                  <c:v>3.0649999999999999</c:v>
                </c:pt>
                <c:pt idx="134">
                  <c:v>3.073</c:v>
                </c:pt>
                <c:pt idx="135">
                  <c:v>3.0659999999999998</c:v>
                </c:pt>
                <c:pt idx="136">
                  <c:v>3.0659999999999998</c:v>
                </c:pt>
                <c:pt idx="137">
                  <c:v>3.0569999999999999</c:v>
                </c:pt>
                <c:pt idx="138">
                  <c:v>3.03</c:v>
                </c:pt>
                <c:pt idx="139">
                  <c:v>3.07</c:v>
                </c:pt>
                <c:pt idx="140">
                  <c:v>3.0489999999999999</c:v>
                </c:pt>
                <c:pt idx="141">
                  <c:v>3.0859999999999999</c:v>
                </c:pt>
                <c:pt idx="142">
                  <c:v>3.085</c:v>
                </c:pt>
                <c:pt idx="143">
                  <c:v>3.1629999999999998</c:v>
                </c:pt>
                <c:pt idx="144">
                  <c:v>3.1779999999999999</c:v>
                </c:pt>
                <c:pt idx="145">
                  <c:v>3.09</c:v>
                </c:pt>
                <c:pt idx="146">
                  <c:v>3.0329999999999999</c:v>
                </c:pt>
                <c:pt idx="147">
                  <c:v>3.0169999999999999</c:v>
                </c:pt>
                <c:pt idx="148">
                  <c:v>3.0430000000000001</c:v>
                </c:pt>
                <c:pt idx="149">
                  <c:v>3.069</c:v>
                </c:pt>
                <c:pt idx="150">
                  <c:v>3.1429999999999998</c:v>
                </c:pt>
                <c:pt idx="151">
                  <c:v>3.1309999999999998</c:v>
                </c:pt>
                <c:pt idx="152">
                  <c:v>3.1709999999999998</c:v>
                </c:pt>
                <c:pt idx="153">
                  <c:v>3.0870000000000002</c:v>
                </c:pt>
                <c:pt idx="154">
                  <c:v>3.0470000000000002</c:v>
                </c:pt>
                <c:pt idx="155">
                  <c:v>3.0640000000000001</c:v>
                </c:pt>
                <c:pt idx="156">
                  <c:v>3.0590000000000002</c:v>
                </c:pt>
                <c:pt idx="157">
                  <c:v>3.012</c:v>
                </c:pt>
                <c:pt idx="158">
                  <c:v>2.984</c:v>
                </c:pt>
                <c:pt idx="159">
                  <c:v>3.0129999999999999</c:v>
                </c:pt>
                <c:pt idx="160">
                  <c:v>3.0049999999999999</c:v>
                </c:pt>
                <c:pt idx="161">
                  <c:v>2.9729999999999999</c:v>
                </c:pt>
                <c:pt idx="162">
                  <c:v>2.9430000000000001</c:v>
                </c:pt>
                <c:pt idx="163">
                  <c:v>3.052</c:v>
                </c:pt>
                <c:pt idx="164">
                  <c:v>2.9969999999999999</c:v>
                </c:pt>
                <c:pt idx="165">
                  <c:v>2.9969999999999999</c:v>
                </c:pt>
                <c:pt idx="166">
                  <c:v>2.9889999999999999</c:v>
                </c:pt>
                <c:pt idx="167">
                  <c:v>2.9550000000000001</c:v>
                </c:pt>
                <c:pt idx="168">
                  <c:v>2.9510000000000001</c:v>
                </c:pt>
                <c:pt idx="169">
                  <c:v>3.0179999999999998</c:v>
                </c:pt>
                <c:pt idx="170">
                  <c:v>3.0369999999999999</c:v>
                </c:pt>
                <c:pt idx="171">
                  <c:v>3.0760000000000001</c:v>
                </c:pt>
                <c:pt idx="172">
                  <c:v>3.1059999999999999</c:v>
                </c:pt>
                <c:pt idx="173">
                  <c:v>3.0550000000000002</c:v>
                </c:pt>
                <c:pt idx="174">
                  <c:v>3.101</c:v>
                </c:pt>
                <c:pt idx="175">
                  <c:v>3.1579999999999999</c:v>
                </c:pt>
                <c:pt idx="176">
                  <c:v>3.161</c:v>
                </c:pt>
                <c:pt idx="177">
                  <c:v>3.089</c:v>
                </c:pt>
                <c:pt idx="178">
                  <c:v>3.0760000000000001</c:v>
                </c:pt>
                <c:pt idx="179">
                  <c:v>3.0830000000000002</c:v>
                </c:pt>
                <c:pt idx="180">
                  <c:v>3.0920000000000001</c:v>
                </c:pt>
                <c:pt idx="181">
                  <c:v>3.052</c:v>
                </c:pt>
                <c:pt idx="182">
                  <c:v>3.0939999999999999</c:v>
                </c:pt>
                <c:pt idx="183">
                  <c:v>3.05</c:v>
                </c:pt>
                <c:pt idx="184">
                  <c:v>2.9790000000000001</c:v>
                </c:pt>
                <c:pt idx="185">
                  <c:v>3.0710000000000002</c:v>
                </c:pt>
                <c:pt idx="186">
                  <c:v>3.04</c:v>
                </c:pt>
                <c:pt idx="187">
                  <c:v>2.9790000000000001</c:v>
                </c:pt>
                <c:pt idx="188">
                  <c:v>3.0030000000000001</c:v>
                </c:pt>
                <c:pt idx="189">
                  <c:v>2.9790000000000001</c:v>
                </c:pt>
                <c:pt idx="190">
                  <c:v>2.9369999999999998</c:v>
                </c:pt>
                <c:pt idx="191">
                  <c:v>2.9830000000000001</c:v>
                </c:pt>
                <c:pt idx="192">
                  <c:v>2.984</c:v>
                </c:pt>
                <c:pt idx="193">
                  <c:v>2.8719999999999999</c:v>
                </c:pt>
                <c:pt idx="194">
                  <c:v>2.8660000000000001</c:v>
                </c:pt>
                <c:pt idx="195">
                  <c:v>2.9049999999999998</c:v>
                </c:pt>
                <c:pt idx="196">
                  <c:v>2.931</c:v>
                </c:pt>
                <c:pt idx="197">
                  <c:v>2.8860000000000001</c:v>
                </c:pt>
                <c:pt idx="198">
                  <c:v>2.9420000000000002</c:v>
                </c:pt>
                <c:pt idx="199">
                  <c:v>2.964</c:v>
                </c:pt>
                <c:pt idx="200">
                  <c:v>2.98</c:v>
                </c:pt>
                <c:pt idx="201">
                  <c:v>2.99</c:v>
                </c:pt>
                <c:pt idx="202">
                  <c:v>2.9809999999999999</c:v>
                </c:pt>
                <c:pt idx="203">
                  <c:v>2.9649999999999999</c:v>
                </c:pt>
                <c:pt idx="204">
                  <c:v>2.9060000000000001</c:v>
                </c:pt>
                <c:pt idx="205">
                  <c:v>2.871</c:v>
                </c:pt>
                <c:pt idx="206">
                  <c:v>2.855</c:v>
                </c:pt>
                <c:pt idx="207">
                  <c:v>2.819</c:v>
                </c:pt>
                <c:pt idx="208">
                  <c:v>2.8650000000000002</c:v>
                </c:pt>
                <c:pt idx="209">
                  <c:v>2.8940000000000001</c:v>
                </c:pt>
                <c:pt idx="210">
                  <c:v>2.9060000000000001</c:v>
                </c:pt>
                <c:pt idx="211">
                  <c:v>2.9769999999999999</c:v>
                </c:pt>
                <c:pt idx="212">
                  <c:v>3.0030000000000001</c:v>
                </c:pt>
                <c:pt idx="213">
                  <c:v>2.9830000000000001</c:v>
                </c:pt>
                <c:pt idx="214">
                  <c:v>3.0379999999999998</c:v>
                </c:pt>
                <c:pt idx="215">
                  <c:v>3.05</c:v>
                </c:pt>
                <c:pt idx="216">
                  <c:v>3.0329999999999999</c:v>
                </c:pt>
                <c:pt idx="217">
                  <c:v>2.9540000000000002</c:v>
                </c:pt>
                <c:pt idx="218">
                  <c:v>3.03</c:v>
                </c:pt>
                <c:pt idx="219">
                  <c:v>3.0379999999999998</c:v>
                </c:pt>
                <c:pt idx="220">
                  <c:v>2.976</c:v>
                </c:pt>
                <c:pt idx="221">
                  <c:v>3.016</c:v>
                </c:pt>
                <c:pt idx="222">
                  <c:v>3.0089999999999999</c:v>
                </c:pt>
                <c:pt idx="223">
                  <c:v>2.9769999999999999</c:v>
                </c:pt>
                <c:pt idx="224">
                  <c:v>2.9580000000000002</c:v>
                </c:pt>
                <c:pt idx="225">
                  <c:v>3.0259999999999998</c:v>
                </c:pt>
                <c:pt idx="226">
                  <c:v>2.9969999999999999</c:v>
                </c:pt>
                <c:pt idx="227">
                  <c:v>3.0369999999999999</c:v>
                </c:pt>
                <c:pt idx="228">
                  <c:v>3.012</c:v>
                </c:pt>
                <c:pt idx="229">
                  <c:v>2.9769999999999999</c:v>
                </c:pt>
                <c:pt idx="230">
                  <c:v>2.9510000000000001</c:v>
                </c:pt>
                <c:pt idx="231">
                  <c:v>2.9670000000000001</c:v>
                </c:pt>
                <c:pt idx="232">
                  <c:v>2.883</c:v>
                </c:pt>
                <c:pt idx="233">
                  <c:v>2.802</c:v>
                </c:pt>
                <c:pt idx="234">
                  <c:v>2.8170000000000002</c:v>
                </c:pt>
                <c:pt idx="235">
                  <c:v>2.8959999999999999</c:v>
                </c:pt>
                <c:pt idx="236">
                  <c:v>2.86</c:v>
                </c:pt>
                <c:pt idx="237">
                  <c:v>2.919</c:v>
                </c:pt>
                <c:pt idx="238">
                  <c:v>2.9129999999999998</c:v>
                </c:pt>
                <c:pt idx="239">
                  <c:v>2.9689999999999999</c:v>
                </c:pt>
                <c:pt idx="240">
                  <c:v>2.9830000000000001</c:v>
                </c:pt>
                <c:pt idx="241">
                  <c:v>2.9220000000000002</c:v>
                </c:pt>
                <c:pt idx="242">
                  <c:v>2.9740000000000002</c:v>
                </c:pt>
                <c:pt idx="243">
                  <c:v>2.9870000000000001</c:v>
                </c:pt>
                <c:pt idx="244">
                  <c:v>2.931</c:v>
                </c:pt>
                <c:pt idx="245">
                  <c:v>2.8889999999999998</c:v>
                </c:pt>
                <c:pt idx="246">
                  <c:v>2.86</c:v>
                </c:pt>
                <c:pt idx="247">
                  <c:v>2.8260000000000001</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06E-46D1-A927-45AB9DAB9828}"/>
            </c:ext>
          </c:extLst>
        </c:ser>
        <c:dLbls>
          <c:showLegendKey val="0"/>
          <c:showVal val="0"/>
          <c:showCatName val="0"/>
          <c:showSerName val="0"/>
          <c:showPercent val="0"/>
          <c:showBubbleSize val="0"/>
        </c:dLbls>
        <c:smooth val="0"/>
        <c:axId val="1189277823"/>
        <c:axId val="1189280703"/>
      </c:lineChart>
      <c:dateAx>
        <c:axId val="1189277823"/>
        <c:scaling>
          <c:orientation val="minMax"/>
          <c:max val="45658"/>
          <c:min val="45292"/>
        </c:scaling>
        <c:delete val="0"/>
        <c:axPos val="b"/>
        <c:numFmt formatCode="m/d/yy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80703"/>
        <c:crosses val="autoZero"/>
        <c:auto val="1"/>
        <c:lblOffset val="100"/>
        <c:baseTimeUnit val="days"/>
      </c:dateAx>
      <c:valAx>
        <c:axId val="1189280703"/>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77823"/>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emi Annual">
      <a:dk1>
        <a:sysClr val="windowText" lastClr="000000"/>
      </a:dk1>
      <a:lt1>
        <a:sysClr val="window" lastClr="FFFFFF"/>
      </a:lt1>
      <a:dk2>
        <a:srgbClr val="44546A"/>
      </a:dk2>
      <a:lt2>
        <a:srgbClr val="E7E6E6"/>
      </a:lt2>
      <a:accent1>
        <a:srgbClr val="034EA2"/>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b9e4e-9a17-43c4-891a-079bfb0a02b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68ce457-625d-4aa4-9b00-ade22038be2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11" ma:contentTypeDescription="Create a new document." ma:contentTypeScope="" ma:versionID="cbdbc34adac4f579b59f992811bf0ebd">
  <xsd:schema xmlns:xsd="http://www.w3.org/2001/XMLSchema" xmlns:xs="http://www.w3.org/2001/XMLSchema" xmlns:p="http://schemas.microsoft.com/office/2006/metadata/properties" xmlns:ns2="e0fb9e4e-9a17-43c4-891a-079bfb0a02bd" xmlns:ns3="a68ce457-625d-4aa4-9b00-ade22038be21" targetNamespace="http://schemas.microsoft.com/office/2006/metadata/properties" ma:root="true" ma:fieldsID="b3d5e4c1fe961ddb3630e8deecf6f510" ns2:_="" ns3:_="">
    <xsd:import namespace="e0fb9e4e-9a17-43c4-891a-079bfb0a02bd"/>
    <xsd:import namespace="a68ce457-625d-4aa4-9b00-ade22038b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ce457-625d-4aa4-9b00-ade22038b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b7ec0b-d50f-4274-96ed-1d4aa9483822}" ma:internalName="TaxCatchAll" ma:showField="CatchAllData" ma:web="a68ce457-625d-4aa4-9b00-ade22038b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84AA-26DF-44BD-B729-4DCED448F13E}">
  <ds:schemaRefs>
    <ds:schemaRef ds:uri="http://purl.org/dc/elements/1.1/"/>
    <ds:schemaRef ds:uri="http://schemas.microsoft.com/office/2006/documentManagement/types"/>
    <ds:schemaRef ds:uri="http://purl.org/dc/dcmitype/"/>
    <ds:schemaRef ds:uri="http://www.w3.org/XML/1998/namespace"/>
    <ds:schemaRef ds:uri="e0fb9e4e-9a17-43c4-891a-079bfb0a02bd"/>
    <ds:schemaRef ds:uri="http://schemas.openxmlformats.org/package/2006/metadata/core-properties"/>
    <ds:schemaRef ds:uri="a68ce457-625d-4aa4-9b00-ade22038be2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3.xml><?xml version="1.0" encoding="utf-8"?>
<ds:datastoreItem xmlns:ds="http://schemas.openxmlformats.org/officeDocument/2006/customXml" ds:itemID="{07BC009B-79F2-40F4-9DBF-EC4DC2A6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a68ce457-625d-4aa4-9b00-ade22038b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F6EB5-1BA3-43F2-BF8D-147E876C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20</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36121</CharactersWithSpaces>
  <SharedDoc>false</SharedDoc>
  <HLinks>
    <vt:vector size="96" baseType="variant">
      <vt:variant>
        <vt:i4>7667806</vt:i4>
      </vt:variant>
      <vt:variant>
        <vt:i4>51</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7667806</vt:i4>
      </vt:variant>
      <vt:variant>
        <vt:i4>48</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1441847</vt:i4>
      </vt:variant>
      <vt:variant>
        <vt:i4>38</vt:i4>
      </vt:variant>
      <vt:variant>
        <vt:i4>0</vt:i4>
      </vt:variant>
      <vt:variant>
        <vt:i4>5</vt:i4>
      </vt:variant>
      <vt:variant>
        <vt:lpwstr/>
      </vt:variant>
      <vt:variant>
        <vt:lpwstr>_Toc190904653</vt:lpwstr>
      </vt:variant>
      <vt:variant>
        <vt:i4>1441847</vt:i4>
      </vt:variant>
      <vt:variant>
        <vt:i4>32</vt:i4>
      </vt:variant>
      <vt:variant>
        <vt:i4>0</vt:i4>
      </vt:variant>
      <vt:variant>
        <vt:i4>5</vt:i4>
      </vt:variant>
      <vt:variant>
        <vt:lpwstr/>
      </vt:variant>
      <vt:variant>
        <vt:lpwstr>_Toc190904651</vt:lpwstr>
      </vt:variant>
      <vt:variant>
        <vt:i4>1441847</vt:i4>
      </vt:variant>
      <vt:variant>
        <vt:i4>26</vt:i4>
      </vt:variant>
      <vt:variant>
        <vt:i4>0</vt:i4>
      </vt:variant>
      <vt:variant>
        <vt:i4>5</vt:i4>
      </vt:variant>
      <vt:variant>
        <vt:lpwstr/>
      </vt:variant>
      <vt:variant>
        <vt:lpwstr>_Toc190904650</vt:lpwstr>
      </vt:variant>
      <vt:variant>
        <vt:i4>1507383</vt:i4>
      </vt:variant>
      <vt:variant>
        <vt:i4>20</vt:i4>
      </vt:variant>
      <vt:variant>
        <vt:i4>0</vt:i4>
      </vt:variant>
      <vt:variant>
        <vt:i4>5</vt:i4>
      </vt:variant>
      <vt:variant>
        <vt:lpwstr/>
      </vt:variant>
      <vt:variant>
        <vt:lpwstr>_Toc190904647</vt:lpwstr>
      </vt:variant>
      <vt:variant>
        <vt:i4>1507383</vt:i4>
      </vt:variant>
      <vt:variant>
        <vt:i4>14</vt:i4>
      </vt:variant>
      <vt:variant>
        <vt:i4>0</vt:i4>
      </vt:variant>
      <vt:variant>
        <vt:i4>5</vt:i4>
      </vt:variant>
      <vt:variant>
        <vt:lpwstr/>
      </vt:variant>
      <vt:variant>
        <vt:lpwstr>_Toc190904643</vt:lpwstr>
      </vt:variant>
      <vt:variant>
        <vt:i4>1507383</vt:i4>
      </vt:variant>
      <vt:variant>
        <vt:i4>8</vt:i4>
      </vt:variant>
      <vt:variant>
        <vt:i4>0</vt:i4>
      </vt:variant>
      <vt:variant>
        <vt:i4>5</vt:i4>
      </vt:variant>
      <vt:variant>
        <vt:lpwstr/>
      </vt:variant>
      <vt:variant>
        <vt:lpwstr>_Toc190904642</vt:lpwstr>
      </vt:variant>
      <vt:variant>
        <vt:i4>1507383</vt:i4>
      </vt:variant>
      <vt:variant>
        <vt:i4>2</vt:i4>
      </vt:variant>
      <vt:variant>
        <vt:i4>0</vt:i4>
      </vt:variant>
      <vt:variant>
        <vt:i4>5</vt:i4>
      </vt:variant>
      <vt:variant>
        <vt:lpwstr/>
      </vt:variant>
      <vt:variant>
        <vt:lpwstr>_Toc190904641</vt:lpwstr>
      </vt:variant>
      <vt:variant>
        <vt:i4>2097171</vt:i4>
      </vt:variant>
      <vt:variant>
        <vt:i4>18</vt:i4>
      </vt:variant>
      <vt:variant>
        <vt:i4>0</vt:i4>
      </vt:variant>
      <vt:variant>
        <vt:i4>5</vt:i4>
      </vt:variant>
      <vt:variant>
        <vt:lpwstr>https://commission.europa.eu/strategy-and-policy/eu-budget/eu-borrower-investor-relations/nextgenerationeu-green-bonds/dashboard_en</vt:lpwstr>
      </vt:variant>
      <vt:variant>
        <vt:lpwstr/>
      </vt:variant>
      <vt:variant>
        <vt:i4>7143527</vt:i4>
      </vt:variant>
      <vt:variant>
        <vt:i4>15</vt:i4>
      </vt:variant>
      <vt:variant>
        <vt:i4>0</vt:i4>
      </vt:variant>
      <vt:variant>
        <vt:i4>5</vt:i4>
      </vt:variant>
      <vt:variant>
        <vt:lpwstr>https://commission.europa.eu/system/files/2023-07/Fourth half-yearly report on the execution of the EU borrowing and lending operations.PDF</vt:lpwstr>
      </vt:variant>
      <vt:variant>
        <vt:lpwstr/>
      </vt:variant>
      <vt:variant>
        <vt:i4>7143426</vt:i4>
      </vt:variant>
      <vt:variant>
        <vt:i4>12</vt:i4>
      </vt:variant>
      <vt:variant>
        <vt:i4>0</vt:i4>
      </vt:variant>
      <vt:variant>
        <vt:i4>5</vt:i4>
      </vt:variant>
      <vt:variant>
        <vt:lpwstr>https://www.eca.europa.eu/Lists/ECAReplies/COM-Replies-SR-2023-16/COM-Replies-SR-2023-16_EN.pdf</vt:lpwstr>
      </vt:variant>
      <vt:variant>
        <vt:lpwstr/>
      </vt:variant>
      <vt:variant>
        <vt:i4>4653163</vt:i4>
      </vt:variant>
      <vt:variant>
        <vt:i4>9</vt:i4>
      </vt:variant>
      <vt:variant>
        <vt:i4>0</vt:i4>
      </vt:variant>
      <vt:variant>
        <vt:i4>5</vt:i4>
      </vt:variant>
      <vt:variant>
        <vt:lpwstr>https://www.eca.europa.eu/ECAPublications/SR-2023-16/SR-2023-16_EN.pdf</vt:lpwstr>
      </vt:variant>
      <vt:variant>
        <vt:lpwstr/>
      </vt:variant>
      <vt:variant>
        <vt:i4>7667806</vt:i4>
      </vt:variant>
      <vt:variant>
        <vt:i4>6</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1179737</vt:i4>
      </vt:variant>
      <vt:variant>
        <vt:i4>3</vt:i4>
      </vt:variant>
      <vt:variant>
        <vt:i4>0</vt:i4>
      </vt:variant>
      <vt:variant>
        <vt:i4>5</vt:i4>
      </vt:variant>
      <vt:variant>
        <vt:lpwstr>https://eur-lex.europa.eu/legal-content/EN/TXT/PDF/?uri=CELEX:52024DC0240</vt:lpwstr>
      </vt:variant>
      <vt:variant>
        <vt:lpwstr/>
      </vt:variant>
      <vt:variant>
        <vt:i4>4653150</vt:i4>
      </vt:variant>
      <vt:variant>
        <vt:i4>0</vt:i4>
      </vt:variant>
      <vt:variant>
        <vt:i4>0</vt:i4>
      </vt:variant>
      <vt:variant>
        <vt:i4>5</vt:i4>
      </vt:variant>
      <vt:variant>
        <vt:lpwstr>https://commission.europa.eu/document/download/187852c2-07e0-4bef-af3f-5719b9077f2e_en?filename=COM_2024_474_1_EN_ACT_part1_v2.pdf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cp:lastPrinted>2024-01-25T06:41:00Z</cp:lastPrinted>
  <dcterms:created xsi:type="dcterms:W3CDTF">2025-02-26T08:21:00Z</dcterms:created>
  <dcterms:modified xsi:type="dcterms:W3CDTF">2025-03-19T06:58:00Z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0x01010042F58E2EF54E454EA52B55214ED8DE92</vt:lpwstr>
  </property>
  <property fmtid="{D5CDD505-2E9C-101B-9397-08002B2CF9AE}" pid="17" name="_dlc_DocIdItemGuid">
    <vt:lpwstr>db1e2f6f-95af-4d44-836c-7358ec0b13c1</vt:lpwstr>
  </property>
  <property fmtid="{D5CDD505-2E9C-101B-9397-08002B2CF9AE}" pid="18" name="MediaServiceImageTags">
    <vt:lpwstr/>
  </property>
  <property name="OP_sanitized" fmtid="{D5CDD505-2E9C-101B-9397-08002B2CF9AE}" pid="19">
    <vt:lpwstr>True</vt:lpwstr>
  </property>
</Properties>
</file>