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5A4E" w14:textId="05EECFAB" w:rsidR="00772EC3" w:rsidRDefault="000354AD" w:rsidP="000354AD">
      <w:pPr>
        <w:pStyle w:val="Pagedecouverture"/>
        <w:rPr>
          <w:noProof/>
        </w:rPr>
      </w:pPr>
      <w:bookmarkStart w:id="0" w:name="LW_BM_COVERPAGE"/>
      <w:r>
        <w:rPr>
          <w:noProof/>
        </w:rPr>
        <w:pict w14:anchorId="606B5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89852DC-66FB-4B37-BFD3-0C4C57EC8FF2" style="width:455.25pt;height:324pt">
            <v:imagedata r:id="rId10" o:title=""/>
          </v:shape>
        </w:pict>
      </w:r>
    </w:p>
    <w:bookmarkEnd w:id="0"/>
    <w:p w14:paraId="20A2312A" w14:textId="77777777" w:rsidR="00772EC3" w:rsidRDefault="00772EC3" w:rsidP="00245D7E">
      <w:pPr>
        <w:rPr>
          <w:noProof/>
        </w:rPr>
        <w:sectPr w:rsidR="00772EC3" w:rsidSect="000354AD">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6" w:h="16838"/>
          <w:pgMar w:top="1134" w:right="1417" w:bottom="1134" w:left="1417" w:header="709" w:footer="709" w:gutter="0"/>
          <w:pgNumType w:start="0"/>
          <w:cols w:space="720"/>
          <w:docGrid w:linePitch="326"/>
        </w:sectPr>
      </w:pPr>
    </w:p>
    <w:p w14:paraId="0944CF09" w14:textId="02C3C91E" w:rsidR="00772EC3" w:rsidRPr="00FF453A" w:rsidRDefault="00772EC3" w:rsidP="00933599">
      <w:pPr>
        <w:pStyle w:val="Heading1"/>
        <w:rPr>
          <w:noProof/>
        </w:rPr>
      </w:pPr>
      <w:bookmarkStart w:id="1" w:name="_GoBack"/>
      <w:bookmarkEnd w:id="1"/>
      <w:r>
        <w:rPr>
          <w:noProof/>
        </w:rPr>
        <w:lastRenderedPageBreak/>
        <w:t>Oikeudellinen tausta</w:t>
      </w:r>
    </w:p>
    <w:p w14:paraId="2FC73748" w14:textId="77777777" w:rsidR="00772EC3" w:rsidRPr="006F1EAF" w:rsidRDefault="00772EC3" w:rsidP="00933599">
      <w:pPr>
        <w:rPr>
          <w:noProof/>
        </w:rPr>
      </w:pPr>
      <w:r>
        <w:rPr>
          <w:noProof/>
        </w:rPr>
        <w:t>Viisumisäännöstön</w:t>
      </w:r>
      <w:r w:rsidRPr="006F1EAF">
        <w:rPr>
          <w:rStyle w:val="FootnoteReference"/>
          <w:noProof/>
          <w:szCs w:val="24"/>
        </w:rPr>
        <w:footnoteReference w:id="1"/>
      </w:r>
      <w:r>
        <w:rPr>
          <w:noProof/>
        </w:rPr>
        <w:t xml:space="preserve"> 51 a artiklassa komissiolle siirretään 1. päivästä elokuuta 2019 viiden vuoden ajaksi valta antaa delegoituja säädöksiä viisumimaksujen määrän tarkistamiseksi. Komission on laadittava siirrettyä säädösvaltaa koskeva kertomus yhdeksän kuukautta ennen tämän viiden vuoden kauden päättymistä. </w:t>
      </w:r>
    </w:p>
    <w:p w14:paraId="08A082AD" w14:textId="77777777" w:rsidR="00772EC3" w:rsidRPr="00933599" w:rsidRDefault="00772EC3" w:rsidP="00933599">
      <w:pPr>
        <w:rPr>
          <w:b/>
          <w:bCs/>
          <w:noProof/>
        </w:rPr>
      </w:pPr>
      <w:r>
        <w:rPr>
          <w:b/>
          <w:noProof/>
        </w:rPr>
        <w:t>Arviointi tarpeesta tarkistaa viisumimaksuja</w:t>
      </w:r>
    </w:p>
    <w:p w14:paraId="10C1DF32" w14:textId="36E9B77A" w:rsidR="00772EC3" w:rsidRPr="006F1EAF" w:rsidRDefault="00772EC3" w:rsidP="00933599">
      <w:pPr>
        <w:rPr>
          <w:noProof/>
        </w:rPr>
      </w:pPr>
      <w:r>
        <w:rPr>
          <w:noProof/>
        </w:rPr>
        <w:t xml:space="preserve">Komission on viisumisäännöstön 16 artiklan 9 kohdan mukaan arvioitava tarvetta tarkistaa viisumimaksujen määrää objektiivisten perusteiden, kuten unionin laajuisen inflaation ja jäsenvaltioiden virkamiesten palkkojen, pohjalta. Tämä kertomus sisältää myös kyseisen arvion. Viisumisäännöstön 51 a artiklan mukaisesti arviointiin on tarvittaessa liitettävä delegoitu säädös viisumimaksujen mukauttamisesta. </w:t>
      </w:r>
    </w:p>
    <w:p w14:paraId="789C4B6A" w14:textId="77777777" w:rsidR="00772EC3" w:rsidRDefault="00772EC3" w:rsidP="00933599">
      <w:pPr>
        <w:rPr>
          <w:noProof/>
        </w:rPr>
      </w:pPr>
      <w:r>
        <w:rPr>
          <w:noProof/>
        </w:rPr>
        <w:t>Koska komission tehtävänä on suorittaa tämä arviointi kolmen vuoden välein ja säännöstä alettiin soveltaa 2. helmikuuta 2020, arviointi on nyt tehty ensimmäistä kertaa. Sen pohjana on käytetty vuoden 2023 tietoja.</w:t>
      </w:r>
    </w:p>
    <w:p w14:paraId="1F0621F0" w14:textId="77777777" w:rsidR="00772EC3" w:rsidRPr="00933599" w:rsidRDefault="00772EC3" w:rsidP="00933599">
      <w:pPr>
        <w:rPr>
          <w:b/>
          <w:bCs/>
          <w:noProof/>
        </w:rPr>
      </w:pPr>
      <w:r>
        <w:rPr>
          <w:b/>
          <w:noProof/>
        </w:rPr>
        <w:t>Nykyiset maksut ja viisumihelpotussopimukset</w:t>
      </w:r>
    </w:p>
    <w:p w14:paraId="4950B48D" w14:textId="77777777" w:rsidR="00772EC3" w:rsidRDefault="00772EC3" w:rsidP="00933599">
      <w:pPr>
        <w:rPr>
          <w:noProof/>
        </w:rPr>
      </w:pPr>
      <w:r>
        <w:rPr>
          <w:noProof/>
        </w:rPr>
        <w:t>Tällä hetkellä lyhytaikaista viisumia koskevasta hakemuksesta perittävä maksu on aikuisilta (yli 12-vuotiailta) 80 euroa</w:t>
      </w:r>
      <w:r>
        <w:rPr>
          <w:rStyle w:val="FootnoteReference"/>
          <w:noProof/>
          <w:szCs w:val="24"/>
        </w:rPr>
        <w:footnoteReference w:id="2"/>
      </w:r>
      <w:r>
        <w:rPr>
          <w:noProof/>
        </w:rPr>
        <w:t xml:space="preserve"> ja 6–11-vuotiailta 40 euroa. Tätä nuoremmilta hakijoilta ei peritä viisumimaksuja. Lisäksi viisuminhakumenettely voidaan ulkoistaa ulkoisille palveluntarjoajille, jotka voivat periä palvelumaksun. Palvelumaksu on enintään puolet tavanomaisesta viisumimaksusta (tällä hetkellä 40 euroa).</w:t>
      </w:r>
    </w:p>
    <w:p w14:paraId="382B6030" w14:textId="77777777" w:rsidR="00772EC3" w:rsidRPr="002B53CC" w:rsidRDefault="00772EC3" w:rsidP="00245D7E">
      <w:pPr>
        <w:rPr>
          <w:noProof/>
          <w:szCs w:val="24"/>
        </w:rPr>
      </w:pPr>
      <w:r>
        <w:rPr>
          <w:noProof/>
        </w:rPr>
        <w:t>Jos neuvosto hyväksyy 25 a artiklan 5 kohdan b alakohdan nojalla täytäntöönpanopäätöksen sen vuoksi, että jokin kolmas maa ei tee riittävästi takaisinottoa koskevaa yhteistyötä, 12-vuotiailta ja sitä vanhemmilta hakijoilta peritään 120 tai 160 euron suuruinen viisumimaksu.</w:t>
      </w:r>
    </w:p>
    <w:p w14:paraId="7315D88B" w14:textId="77777777" w:rsidR="00772EC3" w:rsidRPr="002B53CC" w:rsidRDefault="00772EC3" w:rsidP="00245D7E">
      <w:pPr>
        <w:rPr>
          <w:noProof/>
          <w:szCs w:val="24"/>
        </w:rPr>
      </w:pPr>
      <w:r>
        <w:rPr>
          <w:noProof/>
        </w:rPr>
        <w:t>Lisäksi EU on allekirjoittanut useiden kolmansien maiden kanssa viisumihelpotussopimuksia, joista neljä on tällä hetkellä edelleen voimassa:</w:t>
      </w:r>
    </w:p>
    <w:p w14:paraId="282134CC" w14:textId="77777777" w:rsidR="00772EC3" w:rsidRPr="001B322F" w:rsidRDefault="00772EC3" w:rsidP="00933599">
      <w:pPr>
        <w:pStyle w:val="ListDash1"/>
        <w:rPr>
          <w:noProof/>
        </w:rPr>
      </w:pPr>
      <w:r>
        <w:rPr>
          <w:noProof/>
        </w:rPr>
        <w:t>Armenia</w:t>
      </w:r>
      <w:r>
        <w:rPr>
          <w:rStyle w:val="FootnoteReference"/>
          <w:noProof/>
          <w:szCs w:val="24"/>
        </w:rPr>
        <w:footnoteReference w:id="3"/>
      </w:r>
      <w:r>
        <w:rPr>
          <w:noProof/>
        </w:rPr>
        <w:t>: aikuisilta perittävä viisumimaksu on alennettu 35 euroon, eikä alle 12-vuotiailta hakijoilta peritä maksua.</w:t>
      </w:r>
    </w:p>
    <w:p w14:paraId="1CF349F5" w14:textId="77777777" w:rsidR="00772EC3" w:rsidRPr="001B322F" w:rsidRDefault="00772EC3" w:rsidP="00933599">
      <w:pPr>
        <w:pStyle w:val="ListDash1"/>
        <w:rPr>
          <w:noProof/>
        </w:rPr>
      </w:pPr>
      <w:r>
        <w:rPr>
          <w:noProof/>
        </w:rPr>
        <w:t>Azerbaidžan</w:t>
      </w:r>
      <w:r>
        <w:rPr>
          <w:rStyle w:val="FootnoteReference"/>
          <w:noProof/>
          <w:szCs w:val="24"/>
        </w:rPr>
        <w:footnoteReference w:id="4"/>
      </w:r>
      <w:r>
        <w:rPr>
          <w:noProof/>
        </w:rPr>
        <w:t>: aikuisilta perittävä viisumimaksu on alennettu 35 euroon, eikä alle 12-vuotiailta hakijoilta peritä maksua.</w:t>
      </w:r>
    </w:p>
    <w:p w14:paraId="3C68F94C" w14:textId="71EC7628" w:rsidR="00772EC3" w:rsidRPr="001B322F" w:rsidRDefault="00772EC3" w:rsidP="003D0F28">
      <w:pPr>
        <w:pStyle w:val="ListDash1"/>
        <w:widowControl w:val="0"/>
        <w:ind w:left="766" w:hanging="284"/>
        <w:rPr>
          <w:noProof/>
        </w:rPr>
      </w:pPr>
      <w:r>
        <w:rPr>
          <w:noProof/>
        </w:rPr>
        <w:t>Valko-Venäjä</w:t>
      </w:r>
      <w:r>
        <w:rPr>
          <w:rStyle w:val="FootnoteReference"/>
          <w:noProof/>
          <w:szCs w:val="24"/>
        </w:rPr>
        <w:footnoteReference w:id="5"/>
      </w:r>
      <w:r>
        <w:rPr>
          <w:noProof/>
        </w:rPr>
        <w:t xml:space="preserve">: aikuisilta perittävä viisumimaksu on alennettu 35 euroon, eikä alle 12-vuotiailta hakijoilta peritä maksua. </w:t>
      </w:r>
      <w:r>
        <w:rPr>
          <w:i/>
          <w:noProof/>
        </w:rPr>
        <w:t>(Sopimuksen soveltaminen on osittain keskeytetty Valko-Venäjän hallituksen ja virallisten valtuuskuntien jäsenten osalta).</w:t>
      </w:r>
      <w:r>
        <w:rPr>
          <w:rStyle w:val="FootnoteReference"/>
          <w:i/>
          <w:iCs/>
          <w:noProof/>
          <w:szCs w:val="24"/>
        </w:rPr>
        <w:footnoteReference w:id="6"/>
      </w:r>
    </w:p>
    <w:p w14:paraId="2230A26A" w14:textId="77777777" w:rsidR="00772EC3" w:rsidRPr="001B322F" w:rsidRDefault="00772EC3" w:rsidP="002A45DA">
      <w:pPr>
        <w:pStyle w:val="ListDash1"/>
        <w:rPr>
          <w:noProof/>
        </w:rPr>
      </w:pPr>
      <w:r>
        <w:rPr>
          <w:noProof/>
        </w:rPr>
        <w:t>Kap Verde</w:t>
      </w:r>
      <w:r>
        <w:rPr>
          <w:rStyle w:val="FootnoteReference"/>
          <w:noProof/>
          <w:szCs w:val="24"/>
        </w:rPr>
        <w:footnoteReference w:id="7"/>
      </w:r>
      <w:r>
        <w:rPr>
          <w:noProof/>
        </w:rPr>
        <w:t>: viisumimaksu on alennettu 75 prosenttiin tavanomaisesta maksusta, joka peritään sellaisten maiden kansalaisilta, joiden kanssa ei ole tehty viisumihelpotussopimusta (eli se on tällä hetkellä 60 euroa). Alle 12-vuotiailta hakijoilta ei peritä maksua.</w:t>
      </w:r>
    </w:p>
    <w:p w14:paraId="3ED39320" w14:textId="77777777" w:rsidR="00772EC3" w:rsidRPr="002B53CC" w:rsidRDefault="00772EC3" w:rsidP="00245D7E">
      <w:pPr>
        <w:rPr>
          <w:noProof/>
          <w:szCs w:val="24"/>
        </w:rPr>
      </w:pPr>
      <w:r>
        <w:rPr>
          <w:noProof/>
        </w:rPr>
        <w:t>Mahdolliset delegoiduilla säädöksillä tehtävät viisumimaksujen korotukset eivät koske Armeniasta, Azerbaidžanista tai Valko-Venäjältä tulevia hakijoita, sillä viisumimaksut määritetään näiden maiden kanssa tehdyissä viisumihelpotussopimuksissa eivätkä delegoidut säädökset vaikuta niihin. Koska Kap Verden kanssa tehdyssä sopimuksessa kuitenkin määrätään tavanomaisen viisumimaksun tietystä prosenttiosuudesta eikä kiinteämääräisestä summasta, maksu muuttuisi Kap Verden kansalaisten osalta.</w:t>
      </w:r>
    </w:p>
    <w:p w14:paraId="55C00B90" w14:textId="77777777" w:rsidR="00772EC3" w:rsidRPr="002B53CC" w:rsidRDefault="00772EC3" w:rsidP="00245D7E">
      <w:pPr>
        <w:rPr>
          <w:noProof/>
          <w:szCs w:val="24"/>
        </w:rPr>
      </w:pPr>
      <w:r>
        <w:rPr>
          <w:noProof/>
        </w:rPr>
        <w:t>Viisumihelpotussopimuksia on allekirjoitettu myös Albanian, Bosnia ja Hertsegovinan, Georgian, Moldovan, Montenegron, Pohjois-Makedonian, Serbian ja Ukrainan kanssa. Koska nämä maat on kuitenkin siirretty viisumiasetuksen 2018/1806</w:t>
      </w:r>
      <w:r>
        <w:rPr>
          <w:rStyle w:val="FootnoteReference"/>
          <w:noProof/>
          <w:szCs w:val="24"/>
        </w:rPr>
        <w:footnoteReference w:id="8"/>
      </w:r>
      <w:r>
        <w:rPr>
          <w:noProof/>
        </w:rPr>
        <w:t xml:space="preserve"> liitteeseen II, niiden kansalaisten ei enää tarvitse hakea viisumia eikä viisumihelpotussopimuksilla ole enää juurikaan käytännön merkitystä.</w:t>
      </w:r>
      <w:r>
        <w:rPr>
          <w:rStyle w:val="FootnoteReference"/>
          <w:noProof/>
          <w:szCs w:val="24"/>
        </w:rPr>
        <w:footnoteReference w:id="9"/>
      </w:r>
    </w:p>
    <w:p w14:paraId="43888474" w14:textId="77777777" w:rsidR="00772EC3" w:rsidRPr="002B53CC" w:rsidRDefault="00772EC3" w:rsidP="00245D7E">
      <w:pPr>
        <w:rPr>
          <w:noProof/>
          <w:szCs w:val="24"/>
        </w:rPr>
      </w:pPr>
      <w:r>
        <w:rPr>
          <w:noProof/>
        </w:rPr>
        <w:t>Venäjän federaation kanssa allekirjoitettu viisumihelpotussopimus on keskeytetty Venäjän Ukrainaa vastaan käymän hyökkäyssodan vuoksi.</w:t>
      </w:r>
      <w:r>
        <w:rPr>
          <w:rStyle w:val="FootnoteReference"/>
          <w:noProof/>
          <w:szCs w:val="24"/>
        </w:rPr>
        <w:footnoteReference w:id="10"/>
      </w:r>
    </w:p>
    <w:p w14:paraId="674E3A9E" w14:textId="03A9CF5B" w:rsidR="00772EC3" w:rsidRPr="00FF453A" w:rsidRDefault="00772EC3" w:rsidP="00DC5B3E">
      <w:pPr>
        <w:pStyle w:val="Heading1"/>
        <w:rPr>
          <w:noProof/>
        </w:rPr>
      </w:pPr>
      <w:r>
        <w:rPr>
          <w:noProof/>
        </w:rPr>
        <w:t>Tarkistetun viisumimaksun laskeminen</w:t>
      </w:r>
    </w:p>
    <w:p w14:paraId="3F2BAF7E" w14:textId="68B21282" w:rsidR="00772EC3" w:rsidRDefault="00772EC3" w:rsidP="00245D7E">
      <w:pPr>
        <w:rPr>
          <w:noProof/>
          <w:szCs w:val="24"/>
        </w:rPr>
      </w:pPr>
      <w:r>
        <w:rPr>
          <w:noProof/>
        </w:rPr>
        <w:t xml:space="preserve">Euroopan komissio arvioi viisumisäännöstön 16 artiklan 9 kohdan mukaisesti viisumimaksuja kolmen vuoden välein ottaen huomioon objektiiviset perusteet, kuten unionin laajuisen inflaation ja EU:n jäsenvaltioiden virkamiesten palkat. </w:t>
      </w:r>
    </w:p>
    <w:p w14:paraId="09F8446D" w14:textId="77777777" w:rsidR="00772EC3" w:rsidRDefault="00772EC3" w:rsidP="00245D7E">
      <w:pPr>
        <w:rPr>
          <w:noProof/>
          <w:szCs w:val="24"/>
        </w:rPr>
      </w:pPr>
      <w:r>
        <w:rPr>
          <w:noProof/>
        </w:rPr>
        <w:t>Maksujen tarkistusmekanismin tarkoituksena on kattaa niiden kustannusten kasvu, joita jäsenvaltioille aiheutuu viisumihakemusten käsittelystä eri puolilla maailmaa. Henkilöstökustannusten ohella tärkeimpiä kustannustekijöitä ovat kiinteistöt, laitteet ja palvelut, erityisesti tietotekniikan alalla. Kansallisten virkamiesten palkat kuvastavat henkilöstökulujen kasvua, kun taas unionin laajuinen inflaatio osoittaa muihin osatekijöihin liittyvien kustannusten nousua.</w:t>
      </w:r>
    </w:p>
    <w:p w14:paraId="1465C04C" w14:textId="77777777" w:rsidR="00772EC3" w:rsidRDefault="00772EC3" w:rsidP="00245D7E">
      <w:pPr>
        <w:rPr>
          <w:noProof/>
          <w:szCs w:val="24"/>
        </w:rPr>
      </w:pPr>
      <w:r>
        <w:rPr>
          <w:noProof/>
        </w:rPr>
        <w:t>Komissio voisi käyttää maksujen tarkistusta laskiessaan myös muita indikaattoreita, mutta tämä vaihtoehto hylättiin jo varhaisessa vaiheessa. Esimerkiksi harkittiin, olisiko laskelmassa otettava huomioon paikkakohtainen inflaatio, sillä viisumihakemusten käsittely tapahtuu suurimmaksi osaksi Euroopan unionin ulkopuolella. Näin ollen jäsenvaltioiden kustannuksiin vaikuttaa paitsi inflaatio EU:ssa, myös erilainen inflaatio kussakin niistä paikoista, joissa jäsenvaltioiden konsulaatit sijaitsevat. Paikkakohtaisen inflaation käyttäminen olisi kuitenkin edellyttänyt tietoja sadoista kaupungeista eri puolilla maailmaa ja herättänyt kysymyksen asianmukaisten paikkakohtaisten painotusten määrittämisestä. Lisäksi se olisi voinut johtaa jäsenvaltioiden epätasapainoiseen kohteluun, koska jäsenvaltioiden konsuliverkostojen koko ja maantieteellinen sijainti vaihtelevat suuresti.</w:t>
      </w:r>
    </w:p>
    <w:p w14:paraId="1E8EEE04" w14:textId="77777777" w:rsidR="00772EC3" w:rsidRPr="002B53CC" w:rsidRDefault="00772EC3" w:rsidP="00245D7E">
      <w:pPr>
        <w:rPr>
          <w:noProof/>
          <w:szCs w:val="24"/>
        </w:rPr>
      </w:pPr>
      <w:r>
        <w:rPr>
          <w:noProof/>
        </w:rPr>
        <w:t>Tämän vuoksi komissio päätti rajoittaa laskennan kahteen viisumisäännöstössä mainittuun indikaattoriin eli unionin laajuiseen inflaatioon ja jäsenvaltioiden virkamiesten palkkojen painotettuun keskiarvoon.</w:t>
      </w:r>
    </w:p>
    <w:p w14:paraId="6C4DD117" w14:textId="14DEEF3E" w:rsidR="00772EC3" w:rsidRDefault="00772EC3" w:rsidP="00DC5B3E">
      <w:pPr>
        <w:pStyle w:val="Heading2"/>
        <w:rPr>
          <w:noProof/>
        </w:rPr>
      </w:pPr>
      <w:r>
        <w:rPr>
          <w:noProof/>
        </w:rPr>
        <w:t>Inflaatio</w:t>
      </w:r>
    </w:p>
    <w:p w14:paraId="005B3DB2" w14:textId="77777777" w:rsidR="00772EC3" w:rsidRPr="002B53CC" w:rsidRDefault="00772EC3" w:rsidP="00245D7E">
      <w:pPr>
        <w:rPr>
          <w:noProof/>
          <w:szCs w:val="24"/>
        </w:rPr>
      </w:pPr>
      <w:r>
        <w:rPr>
          <w:noProof/>
        </w:rPr>
        <w:t>Viisumisäännöstön mukaisesti käytetään Eurostatin julkaisemaa unionin laajuista inflaatioastetta eli yhdenmukaistettua kuluttajahintaindeksiä (YKHI)</w:t>
      </w:r>
      <w:r>
        <w:rPr>
          <w:rStyle w:val="FootnoteReference"/>
          <w:noProof/>
          <w:szCs w:val="24"/>
        </w:rPr>
        <w:footnoteReference w:id="11"/>
      </w:r>
      <w:r>
        <w:rPr>
          <w:noProof/>
        </w:rPr>
        <w:t>. Vuotuinen inflaatioaste lasketaan seuraavasti:</w:t>
      </w:r>
    </w:p>
    <w:p w14:paraId="475A7D27" w14:textId="0C219089" w:rsidR="00772EC3" w:rsidRPr="006B68FC" w:rsidRDefault="006B68FC" w:rsidP="009349F0">
      <w:pPr>
        <w:spacing w:after="120"/>
        <w:rPr>
          <w:noProof/>
          <w:szCs w:val="24"/>
        </w:rPr>
      </w:pPr>
      <m:oMathPara>
        <m:oMathParaPr>
          <m:jc m:val="left"/>
        </m:oMathParaPr>
        <m:oMath>
          <m:r>
            <w:rPr>
              <w:rFonts w:ascii="Cambria Math" w:hAnsi="Cambria Math"/>
              <w:noProof/>
              <w:szCs w:val="24"/>
            </w:rPr>
            <m:t>Inflaatioaste</m:t>
          </m:r>
          <m:r>
            <m:rPr>
              <m:sty m:val="p"/>
            </m:rPr>
            <w:rPr>
              <w:rFonts w:ascii="Cambria Math" w:hAnsi="Cambria Math"/>
              <w:noProof/>
              <w:szCs w:val="24"/>
            </w:rPr>
            <m:t xml:space="preserve">= </m:t>
          </m:r>
          <m:f>
            <m:fPr>
              <m:ctrlPr>
                <w:rPr>
                  <w:rFonts w:ascii="Cambria Math" w:hAnsi="Cambria Math"/>
                  <w:noProof/>
                  <w:szCs w:val="24"/>
                </w:rPr>
              </m:ctrlPr>
            </m:fPr>
            <m:num>
              <m:d>
                <m:dPr>
                  <m:ctrlPr>
                    <w:rPr>
                      <w:rFonts w:ascii="Cambria Math" w:hAnsi="Cambria Math"/>
                      <w:noProof/>
                      <w:szCs w:val="24"/>
                    </w:rPr>
                  </m:ctrlPr>
                </m:dPr>
                <m:e>
                  <m:r>
                    <w:rPr>
                      <w:rFonts w:ascii="Cambria Math" w:hAnsi="Cambria Math"/>
                      <w:noProof/>
                      <w:szCs w:val="24"/>
                    </w:rPr>
                    <m:t>indeksi</m:t>
                  </m:r>
                  <m:r>
                    <m:rPr>
                      <m:sty m:val="p"/>
                    </m:rPr>
                    <w:rPr>
                      <w:rFonts w:ascii="Cambria Math" w:hAnsi="Cambria Math"/>
                      <w:noProof/>
                      <w:szCs w:val="24"/>
                    </w:rPr>
                    <m:t xml:space="preserve"> </m:t>
                  </m:r>
                  <m:r>
                    <w:rPr>
                      <w:rFonts w:ascii="Cambria Math" w:hAnsi="Cambria Math"/>
                      <w:noProof/>
                      <w:szCs w:val="24"/>
                    </w:rPr>
                    <m:t>vuosi</m:t>
                  </m:r>
                  <m:r>
                    <m:rPr>
                      <m:sty m:val="p"/>
                    </m:rPr>
                    <w:rPr>
                      <w:rFonts w:ascii="Cambria Math" w:hAnsi="Cambria Math"/>
                      <w:noProof/>
                      <w:szCs w:val="24"/>
                    </w:rPr>
                    <m:t xml:space="preserve"> </m:t>
                  </m:r>
                  <m:r>
                    <w:rPr>
                      <w:rFonts w:ascii="Cambria Math" w:hAnsi="Cambria Math"/>
                      <w:noProof/>
                      <w:szCs w:val="24"/>
                    </w:rPr>
                    <m:t>N</m:t>
                  </m:r>
                  <m:r>
                    <m:rPr>
                      <m:sty m:val="p"/>
                    </m:rPr>
                    <w:rPr>
                      <w:rFonts w:ascii="Cambria Math" w:hAnsi="Cambria Math"/>
                      <w:noProof/>
                      <w:szCs w:val="24"/>
                    </w:rPr>
                    <m:t>+1</m:t>
                  </m:r>
                </m:e>
              </m:d>
              <m:r>
                <m:rPr>
                  <m:sty m:val="p"/>
                </m:rPr>
                <w:rPr>
                  <w:rFonts w:ascii="Cambria Math" w:hAnsi="Cambria Math"/>
                  <w:noProof/>
                  <w:szCs w:val="24"/>
                </w:rPr>
                <m:t>-(</m:t>
              </m:r>
              <m:r>
                <w:rPr>
                  <w:rFonts w:ascii="Cambria Math" w:hAnsi="Cambria Math"/>
                  <w:noProof/>
                  <w:szCs w:val="24"/>
                </w:rPr>
                <m:t>indeksi</m:t>
              </m:r>
              <m:r>
                <m:rPr>
                  <m:sty m:val="p"/>
                </m:rPr>
                <w:rPr>
                  <w:rFonts w:ascii="Cambria Math" w:hAnsi="Cambria Math"/>
                  <w:noProof/>
                  <w:szCs w:val="24"/>
                </w:rPr>
                <m:t xml:space="preserve"> </m:t>
              </m:r>
              <m:r>
                <w:rPr>
                  <w:rFonts w:ascii="Cambria Math" w:hAnsi="Cambria Math"/>
                  <w:noProof/>
                  <w:szCs w:val="24"/>
                </w:rPr>
                <m:t>vuosi</m:t>
              </m:r>
              <m:r>
                <m:rPr>
                  <m:sty m:val="p"/>
                </m:rPr>
                <w:rPr>
                  <w:rFonts w:ascii="Cambria Math" w:hAnsi="Cambria Math"/>
                  <w:noProof/>
                  <w:szCs w:val="24"/>
                </w:rPr>
                <m:t xml:space="preserve"> </m:t>
              </m:r>
              <m:r>
                <w:rPr>
                  <w:rFonts w:ascii="Cambria Math" w:hAnsi="Cambria Math"/>
                  <w:noProof/>
                  <w:szCs w:val="24"/>
                </w:rPr>
                <m:t>N</m:t>
              </m:r>
              <m:r>
                <m:rPr>
                  <m:sty m:val="p"/>
                </m:rPr>
                <w:rPr>
                  <w:rFonts w:ascii="Cambria Math" w:hAnsi="Cambria Math"/>
                  <w:noProof/>
                  <w:szCs w:val="24"/>
                </w:rPr>
                <m:t>)</m:t>
              </m:r>
            </m:num>
            <m:den>
              <m:r>
                <w:rPr>
                  <w:rFonts w:ascii="Cambria Math" w:hAnsi="Cambria Math"/>
                  <w:noProof/>
                  <w:szCs w:val="24"/>
                </w:rPr>
                <m:t>indeksi vuosi</m:t>
              </m:r>
              <m:r>
                <m:rPr>
                  <m:sty m:val="p"/>
                </m:rPr>
                <w:rPr>
                  <w:rFonts w:ascii="Cambria Math" w:hAnsi="Cambria Math"/>
                  <w:noProof/>
                  <w:szCs w:val="24"/>
                </w:rPr>
                <m:t xml:space="preserve"> </m:t>
              </m:r>
              <m:r>
                <w:rPr>
                  <w:rFonts w:ascii="Cambria Math" w:hAnsi="Cambria Math"/>
                  <w:noProof/>
                  <w:szCs w:val="24"/>
                </w:rPr>
                <m:t>N</m:t>
              </m:r>
            </m:den>
          </m:f>
        </m:oMath>
      </m:oMathPara>
    </w:p>
    <w:p w14:paraId="75801071" w14:textId="77777777" w:rsidR="00772EC3" w:rsidRDefault="00772EC3" w:rsidP="00245D7E">
      <w:pPr>
        <w:rPr>
          <w:noProof/>
          <w:szCs w:val="24"/>
        </w:rPr>
      </w:pPr>
      <w:r>
        <w:rPr>
          <w:noProof/>
        </w:rPr>
        <w:t>Edellä esitetyn laskelman perusteella saadaan seuraavat tiedot: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15"/>
        <w:gridCol w:w="2115"/>
        <w:gridCol w:w="2115"/>
      </w:tblGrid>
      <w:tr w:rsidR="00772EC3" w:rsidRPr="004C6A35" w14:paraId="64395B03" w14:textId="77777777" w:rsidTr="00DC5B3E">
        <w:tc>
          <w:tcPr>
            <w:tcW w:w="2263" w:type="dxa"/>
            <w:shd w:val="clear" w:color="auto" w:fill="auto"/>
          </w:tcPr>
          <w:p w14:paraId="2137D01B" w14:textId="3346A955" w:rsidR="00772EC3" w:rsidRPr="004C6A35" w:rsidRDefault="00772EC3" w:rsidP="004C6A35">
            <w:pPr>
              <w:spacing w:after="0"/>
              <w:rPr>
                <w:b/>
                <w:bCs/>
                <w:noProof/>
                <w:szCs w:val="24"/>
              </w:rPr>
            </w:pPr>
          </w:p>
        </w:tc>
        <w:tc>
          <w:tcPr>
            <w:tcW w:w="2115" w:type="dxa"/>
            <w:shd w:val="clear" w:color="auto" w:fill="auto"/>
          </w:tcPr>
          <w:p w14:paraId="753770ED" w14:textId="77777777" w:rsidR="00772EC3" w:rsidRPr="004C6A35" w:rsidRDefault="00772EC3" w:rsidP="00DC5B3E">
            <w:pPr>
              <w:spacing w:after="0"/>
              <w:jc w:val="center"/>
              <w:rPr>
                <w:b/>
                <w:bCs/>
                <w:noProof/>
                <w:szCs w:val="24"/>
              </w:rPr>
            </w:pPr>
            <w:r>
              <w:rPr>
                <w:b/>
                <w:noProof/>
              </w:rPr>
              <w:t>2020–2021</w:t>
            </w:r>
          </w:p>
        </w:tc>
        <w:tc>
          <w:tcPr>
            <w:tcW w:w="2115" w:type="dxa"/>
            <w:shd w:val="clear" w:color="auto" w:fill="auto"/>
          </w:tcPr>
          <w:p w14:paraId="6AF41B1F" w14:textId="77777777" w:rsidR="00772EC3" w:rsidRPr="004C6A35" w:rsidRDefault="00772EC3" w:rsidP="00DC5B3E">
            <w:pPr>
              <w:spacing w:after="0"/>
              <w:jc w:val="center"/>
              <w:rPr>
                <w:b/>
                <w:bCs/>
                <w:noProof/>
                <w:szCs w:val="24"/>
              </w:rPr>
            </w:pPr>
            <w:r>
              <w:rPr>
                <w:b/>
                <w:noProof/>
              </w:rPr>
              <w:t>2021–2022</w:t>
            </w:r>
          </w:p>
        </w:tc>
        <w:tc>
          <w:tcPr>
            <w:tcW w:w="2115" w:type="dxa"/>
            <w:shd w:val="clear" w:color="auto" w:fill="auto"/>
          </w:tcPr>
          <w:p w14:paraId="31C16B2D" w14:textId="77777777" w:rsidR="00772EC3" w:rsidRPr="004C6A35" w:rsidRDefault="00772EC3" w:rsidP="00DC5B3E">
            <w:pPr>
              <w:spacing w:after="0"/>
              <w:jc w:val="center"/>
              <w:rPr>
                <w:b/>
                <w:bCs/>
                <w:noProof/>
                <w:szCs w:val="24"/>
              </w:rPr>
            </w:pPr>
            <w:r>
              <w:rPr>
                <w:b/>
                <w:noProof/>
              </w:rPr>
              <w:t>2022–2023</w:t>
            </w:r>
          </w:p>
        </w:tc>
      </w:tr>
      <w:tr w:rsidR="00772EC3" w:rsidRPr="004C6A35" w14:paraId="3684479F" w14:textId="77777777" w:rsidTr="00DC5B3E">
        <w:tc>
          <w:tcPr>
            <w:tcW w:w="2263" w:type="dxa"/>
            <w:shd w:val="clear" w:color="auto" w:fill="auto"/>
          </w:tcPr>
          <w:p w14:paraId="07656EBD" w14:textId="77777777" w:rsidR="00772EC3" w:rsidRPr="004C6A35" w:rsidRDefault="00772EC3" w:rsidP="004C6A35">
            <w:pPr>
              <w:spacing w:after="0"/>
              <w:rPr>
                <w:noProof/>
                <w:szCs w:val="24"/>
              </w:rPr>
            </w:pPr>
            <w:r>
              <w:rPr>
                <w:noProof/>
              </w:rPr>
              <w:t>Kesäkuu vuosi N</w:t>
            </w:r>
          </w:p>
        </w:tc>
        <w:tc>
          <w:tcPr>
            <w:tcW w:w="2115" w:type="dxa"/>
            <w:shd w:val="clear" w:color="auto" w:fill="auto"/>
          </w:tcPr>
          <w:p w14:paraId="59560AAC" w14:textId="77777777" w:rsidR="00772EC3" w:rsidRPr="004C6A35" w:rsidRDefault="00772EC3" w:rsidP="00DC5B3E">
            <w:pPr>
              <w:spacing w:after="0"/>
              <w:jc w:val="center"/>
              <w:rPr>
                <w:noProof/>
                <w:szCs w:val="24"/>
              </w:rPr>
            </w:pPr>
            <w:r>
              <w:rPr>
                <w:noProof/>
              </w:rPr>
              <w:t>106,31</w:t>
            </w:r>
          </w:p>
        </w:tc>
        <w:tc>
          <w:tcPr>
            <w:tcW w:w="2115" w:type="dxa"/>
            <w:shd w:val="clear" w:color="auto" w:fill="auto"/>
          </w:tcPr>
          <w:p w14:paraId="54E4434C" w14:textId="77777777" w:rsidR="00772EC3" w:rsidRPr="004C6A35" w:rsidRDefault="00772EC3" w:rsidP="00DC5B3E">
            <w:pPr>
              <w:spacing w:after="0"/>
              <w:jc w:val="center"/>
              <w:rPr>
                <w:noProof/>
                <w:szCs w:val="24"/>
              </w:rPr>
            </w:pPr>
            <w:r>
              <w:rPr>
                <w:noProof/>
              </w:rPr>
              <w:t>108,65</w:t>
            </w:r>
          </w:p>
        </w:tc>
        <w:tc>
          <w:tcPr>
            <w:tcW w:w="2115" w:type="dxa"/>
            <w:shd w:val="clear" w:color="auto" w:fill="auto"/>
          </w:tcPr>
          <w:p w14:paraId="53F69A24" w14:textId="77777777" w:rsidR="00772EC3" w:rsidRPr="004C6A35" w:rsidRDefault="00772EC3" w:rsidP="00DC5B3E">
            <w:pPr>
              <w:spacing w:after="0"/>
              <w:jc w:val="center"/>
              <w:rPr>
                <w:noProof/>
                <w:szCs w:val="24"/>
              </w:rPr>
            </w:pPr>
            <w:r>
              <w:rPr>
                <w:noProof/>
              </w:rPr>
              <w:t>119,03</w:t>
            </w:r>
          </w:p>
        </w:tc>
      </w:tr>
      <w:tr w:rsidR="00772EC3" w:rsidRPr="004C6A35" w14:paraId="056D0338" w14:textId="77777777" w:rsidTr="00DC5B3E">
        <w:tc>
          <w:tcPr>
            <w:tcW w:w="2263" w:type="dxa"/>
            <w:shd w:val="clear" w:color="auto" w:fill="auto"/>
          </w:tcPr>
          <w:p w14:paraId="0BBC71DC" w14:textId="77777777" w:rsidR="00772EC3" w:rsidRPr="004C6A35" w:rsidRDefault="00772EC3" w:rsidP="004C6A35">
            <w:pPr>
              <w:spacing w:after="0"/>
              <w:rPr>
                <w:noProof/>
                <w:szCs w:val="24"/>
              </w:rPr>
            </w:pPr>
            <w:r>
              <w:rPr>
                <w:noProof/>
              </w:rPr>
              <w:t>Kesäkuu vuosi N+1</w:t>
            </w:r>
          </w:p>
        </w:tc>
        <w:tc>
          <w:tcPr>
            <w:tcW w:w="2115" w:type="dxa"/>
            <w:shd w:val="clear" w:color="auto" w:fill="auto"/>
          </w:tcPr>
          <w:p w14:paraId="5768C941" w14:textId="77777777" w:rsidR="00772EC3" w:rsidRPr="004C6A35" w:rsidRDefault="00772EC3" w:rsidP="00DC5B3E">
            <w:pPr>
              <w:spacing w:after="0"/>
              <w:jc w:val="center"/>
              <w:rPr>
                <w:noProof/>
                <w:szCs w:val="24"/>
              </w:rPr>
            </w:pPr>
            <w:r>
              <w:rPr>
                <w:noProof/>
              </w:rPr>
              <w:t>108,65</w:t>
            </w:r>
          </w:p>
        </w:tc>
        <w:tc>
          <w:tcPr>
            <w:tcW w:w="2115" w:type="dxa"/>
            <w:shd w:val="clear" w:color="auto" w:fill="auto"/>
          </w:tcPr>
          <w:p w14:paraId="69FDB5A0" w14:textId="77777777" w:rsidR="00772EC3" w:rsidRPr="004C6A35" w:rsidRDefault="00772EC3" w:rsidP="00DC5B3E">
            <w:pPr>
              <w:spacing w:after="0"/>
              <w:jc w:val="center"/>
              <w:rPr>
                <w:noProof/>
                <w:szCs w:val="24"/>
              </w:rPr>
            </w:pPr>
            <w:r>
              <w:rPr>
                <w:noProof/>
              </w:rPr>
              <w:t>119,03</w:t>
            </w:r>
          </w:p>
        </w:tc>
        <w:tc>
          <w:tcPr>
            <w:tcW w:w="2115" w:type="dxa"/>
            <w:shd w:val="clear" w:color="auto" w:fill="auto"/>
          </w:tcPr>
          <w:p w14:paraId="452DB45C" w14:textId="77777777" w:rsidR="00772EC3" w:rsidRPr="004C6A35" w:rsidRDefault="00772EC3" w:rsidP="00DC5B3E">
            <w:pPr>
              <w:spacing w:after="0"/>
              <w:jc w:val="center"/>
              <w:rPr>
                <w:noProof/>
                <w:szCs w:val="24"/>
              </w:rPr>
            </w:pPr>
            <w:r>
              <w:rPr>
                <w:noProof/>
              </w:rPr>
              <w:t>126,69</w:t>
            </w:r>
          </w:p>
        </w:tc>
      </w:tr>
      <w:tr w:rsidR="00772EC3" w:rsidRPr="004C6A35" w14:paraId="2198C516" w14:textId="77777777" w:rsidTr="00DC5B3E">
        <w:tc>
          <w:tcPr>
            <w:tcW w:w="2263" w:type="dxa"/>
            <w:shd w:val="clear" w:color="auto" w:fill="auto"/>
          </w:tcPr>
          <w:p w14:paraId="42212DFF" w14:textId="77777777" w:rsidR="00772EC3" w:rsidRPr="004C6A35" w:rsidRDefault="00772EC3" w:rsidP="004C6A35">
            <w:pPr>
              <w:spacing w:after="0"/>
              <w:rPr>
                <w:noProof/>
                <w:szCs w:val="24"/>
              </w:rPr>
            </w:pPr>
            <w:r>
              <w:rPr>
                <w:noProof/>
              </w:rPr>
              <w:t>Vuotuinen inflaatioaste</w:t>
            </w:r>
          </w:p>
        </w:tc>
        <w:tc>
          <w:tcPr>
            <w:tcW w:w="2115" w:type="dxa"/>
            <w:shd w:val="clear" w:color="auto" w:fill="auto"/>
          </w:tcPr>
          <w:p w14:paraId="0DEE6163" w14:textId="77777777" w:rsidR="00772EC3" w:rsidRPr="004C6A35" w:rsidRDefault="00772EC3" w:rsidP="00DC5B3E">
            <w:pPr>
              <w:spacing w:after="0"/>
              <w:jc w:val="center"/>
              <w:rPr>
                <w:noProof/>
                <w:szCs w:val="24"/>
              </w:rPr>
            </w:pPr>
            <w:r>
              <w:rPr>
                <w:noProof/>
              </w:rPr>
              <w:t>2,2 %</w:t>
            </w:r>
          </w:p>
        </w:tc>
        <w:tc>
          <w:tcPr>
            <w:tcW w:w="2115" w:type="dxa"/>
            <w:shd w:val="clear" w:color="auto" w:fill="auto"/>
          </w:tcPr>
          <w:p w14:paraId="0D1ACCF6" w14:textId="77777777" w:rsidR="00772EC3" w:rsidRPr="004C6A35" w:rsidRDefault="00772EC3" w:rsidP="00DC5B3E">
            <w:pPr>
              <w:spacing w:after="0"/>
              <w:jc w:val="center"/>
              <w:rPr>
                <w:noProof/>
                <w:szCs w:val="24"/>
              </w:rPr>
            </w:pPr>
            <w:r>
              <w:rPr>
                <w:noProof/>
              </w:rPr>
              <w:t>9,6 %</w:t>
            </w:r>
          </w:p>
        </w:tc>
        <w:tc>
          <w:tcPr>
            <w:tcW w:w="2115" w:type="dxa"/>
            <w:shd w:val="clear" w:color="auto" w:fill="auto"/>
          </w:tcPr>
          <w:p w14:paraId="5835C378" w14:textId="77777777" w:rsidR="00772EC3" w:rsidRPr="004C6A35" w:rsidRDefault="00772EC3" w:rsidP="00DC5B3E">
            <w:pPr>
              <w:spacing w:after="0"/>
              <w:jc w:val="center"/>
              <w:rPr>
                <w:noProof/>
                <w:szCs w:val="24"/>
              </w:rPr>
            </w:pPr>
            <w:r>
              <w:rPr>
                <w:noProof/>
              </w:rPr>
              <w:t>6,4 %</w:t>
            </w:r>
          </w:p>
        </w:tc>
      </w:tr>
    </w:tbl>
    <w:p w14:paraId="7CCDA572" w14:textId="77777777" w:rsidR="00772EC3" w:rsidRDefault="00772EC3" w:rsidP="00245D7E">
      <w:pPr>
        <w:rPr>
          <w:b/>
          <w:bCs/>
          <w:noProof/>
          <w:szCs w:val="24"/>
        </w:rPr>
      </w:pPr>
    </w:p>
    <w:p w14:paraId="7850F90D" w14:textId="136DFD71" w:rsidR="00772EC3" w:rsidRDefault="00772EC3" w:rsidP="00DC5B3E">
      <w:pPr>
        <w:pStyle w:val="Heading2"/>
        <w:rPr>
          <w:noProof/>
        </w:rPr>
      </w:pPr>
      <w:r>
        <w:rPr>
          <w:noProof/>
        </w:rPr>
        <w:t>Jäsenvaltioiden virkamiesten ostovoiman indikaattori</w:t>
      </w:r>
    </w:p>
    <w:p w14:paraId="556F64A1" w14:textId="77777777" w:rsidR="00772EC3" w:rsidRPr="002B53CC" w:rsidRDefault="00772EC3" w:rsidP="00245D7E">
      <w:pPr>
        <w:rPr>
          <w:b/>
          <w:bCs/>
          <w:noProof/>
          <w:sz w:val="28"/>
          <w:szCs w:val="28"/>
        </w:rPr>
      </w:pPr>
      <w:r>
        <w:rPr>
          <w:noProof/>
        </w:rPr>
        <w:t>Jäsenvaltioiden virkamiesten palkkojen ostovoiman painotettu keskiarvo on laskettu seuraavasti (yksityiskohtainen laskelma liitteessä):</w:t>
      </w:r>
    </w:p>
    <w:p w14:paraId="2D744689" w14:textId="77777777" w:rsidR="00772EC3" w:rsidRDefault="00772EC3" w:rsidP="00772EC3">
      <w:pPr>
        <w:pStyle w:val="ListParagraph"/>
        <w:numPr>
          <w:ilvl w:val="0"/>
          <w:numId w:val="23"/>
        </w:numPr>
        <w:spacing w:line="240" w:lineRule="auto"/>
        <w:jc w:val="both"/>
        <w:rPr>
          <w:rFonts w:ascii="Times New Roman" w:hAnsi="Times New Roman"/>
          <w:noProof/>
          <w:sz w:val="24"/>
          <w:szCs w:val="24"/>
        </w:rPr>
      </w:pPr>
      <w:r>
        <w:rPr>
          <w:rFonts w:ascii="Times New Roman" w:hAnsi="Times New Roman"/>
          <w:noProof/>
          <w:sz w:val="24"/>
        </w:rPr>
        <w:t>Reaalisten nettopalkkojen kehitys kussakin jäsenvaltiossa vuosien N ja N+1 välillä (=ostovoiman kehitys) on kerrottu kyseisen jäsenvaltion osuudella EU:n koko BKT:stä. Painotuskertoimena käytetään ostovoimapariteettina ilmaistun BKT:n osuutta EU:n koko BKT:stä. Eurostat julkaisee jäsenvaltiokohtaiset reaalisten nettopalkkojen indikaattorit ja vastaavat BKT-painotukset vuosittain lokakuussa, ja ne kattavat edeltävän vuoden heinäkuuhun asti.</w:t>
      </w:r>
      <w:r>
        <w:rPr>
          <w:rStyle w:val="FootnoteReference"/>
          <w:rFonts w:ascii="Times New Roman" w:hAnsi="Times New Roman"/>
          <w:noProof/>
          <w:sz w:val="24"/>
          <w:szCs w:val="24"/>
        </w:rPr>
        <w:footnoteReference w:id="12"/>
      </w:r>
    </w:p>
    <w:p w14:paraId="60C2CBA3" w14:textId="77777777" w:rsidR="00772EC3" w:rsidRPr="002B53CC" w:rsidRDefault="00772EC3" w:rsidP="00245D7E">
      <w:pPr>
        <w:pStyle w:val="ListParagraph"/>
        <w:spacing w:line="240" w:lineRule="auto"/>
        <w:jc w:val="both"/>
        <w:rPr>
          <w:rFonts w:ascii="Times New Roman" w:hAnsi="Times New Roman"/>
          <w:noProof/>
          <w:sz w:val="24"/>
          <w:szCs w:val="24"/>
        </w:rPr>
      </w:pPr>
    </w:p>
    <w:p w14:paraId="2C0B0C33" w14:textId="77777777" w:rsidR="00772EC3" w:rsidRDefault="00772EC3" w:rsidP="00772EC3">
      <w:pPr>
        <w:pStyle w:val="ListParagraph"/>
        <w:numPr>
          <w:ilvl w:val="0"/>
          <w:numId w:val="23"/>
        </w:numPr>
        <w:spacing w:line="240" w:lineRule="auto"/>
        <w:jc w:val="both"/>
        <w:rPr>
          <w:rFonts w:ascii="Times New Roman" w:hAnsi="Times New Roman"/>
          <w:noProof/>
          <w:sz w:val="24"/>
          <w:szCs w:val="24"/>
        </w:rPr>
      </w:pPr>
      <w:r>
        <w:rPr>
          <w:rFonts w:ascii="Times New Roman" w:hAnsi="Times New Roman"/>
          <w:noProof/>
          <w:sz w:val="24"/>
        </w:rPr>
        <w:t>EU:n laajuinen kokonaispalkan indikaattori on kunkin jäsenvaltion BKT-painotetun indikaattorin summa.</w:t>
      </w:r>
    </w:p>
    <w:p w14:paraId="2AF48EE7" w14:textId="2150CFA8" w:rsidR="00772EC3" w:rsidRDefault="00772EC3" w:rsidP="00DC5B3E">
      <w:pPr>
        <w:pStyle w:val="Heading2"/>
        <w:rPr>
          <w:noProof/>
        </w:rPr>
      </w:pPr>
      <w:r>
        <w:rPr>
          <w:noProof/>
        </w:rPr>
        <w:t>Viisumimaksun mukauttamisindikaattori</w:t>
      </w:r>
    </w:p>
    <w:p w14:paraId="031AFA81" w14:textId="562EDD9C" w:rsidR="00772EC3" w:rsidRDefault="00772EC3" w:rsidP="00DC5B3E">
      <w:pPr>
        <w:rPr>
          <w:noProof/>
        </w:rPr>
      </w:pPr>
      <w:r>
        <w:rPr>
          <w:noProof/>
        </w:rPr>
        <w:t xml:space="preserve">Kullekin vuosijaksolle on laskettu kyseisten kahden tekijän kehitystä kuvaava </w:t>
      </w:r>
      <w:r>
        <w:rPr>
          <w:b/>
          <w:noProof/>
        </w:rPr>
        <w:t>kokonaisindikaattori</w:t>
      </w:r>
      <w:r>
        <w:rPr>
          <w:noProof/>
        </w:rPr>
        <w:t>. Kyseinen indikaattori lasketaan samalla tavalla kuin EU:n virkamiesten palkkojen vuotuinen päivitys, jonka yhteydessä inflaatioindikaattori yhdistetään kansallisten virkamiesten ostovoiman kehitystä kuvaavaan indikaattoriin seuraavasti:</w:t>
      </w:r>
      <w:r w:rsidRPr="00294283">
        <w:rPr>
          <w:noProof/>
          <w:vertAlign w:val="superscript"/>
          <w:lang w:eastAsia="en-IE"/>
        </w:rPr>
        <w:footnoteReference w:id="13"/>
      </w:r>
    </w:p>
    <w:p w14:paraId="27BDA348" w14:textId="6F5C1121" w:rsidR="00772EC3" w:rsidRPr="004F20F4" w:rsidRDefault="006B68FC" w:rsidP="00245D7E">
      <w:pPr>
        <w:rPr>
          <w:noProof/>
          <w:sz w:val="18"/>
          <w:szCs w:val="18"/>
        </w:rPr>
      </w:pPr>
      <m:oMathPara>
        <m:oMath>
          <m:r>
            <w:rPr>
              <w:rFonts w:ascii="Cambria Math" w:hAnsi="Cambria Math"/>
              <w:noProof/>
              <w:sz w:val="18"/>
              <w:szCs w:val="18"/>
            </w:rPr>
            <m:t xml:space="preserve">Viisumimaksun mukauttamisindikaattori= </m:t>
          </m:r>
          <m:f>
            <m:fPr>
              <m:ctrlPr>
                <w:rPr>
                  <w:rFonts w:ascii="Cambria Math" w:hAnsi="Cambria Math"/>
                  <w:i/>
                  <w:noProof/>
                  <w:sz w:val="18"/>
                  <w:szCs w:val="18"/>
                </w:rPr>
              </m:ctrlPr>
            </m:fPr>
            <m:num>
              <m:d>
                <m:dPr>
                  <m:ctrlPr>
                    <w:rPr>
                      <w:rFonts w:ascii="Cambria Math" w:hAnsi="Cambria Math"/>
                      <w:i/>
                      <w:noProof/>
                      <w:sz w:val="18"/>
                      <w:szCs w:val="18"/>
                    </w:rPr>
                  </m:ctrlPr>
                </m:dPr>
                <m:e>
                  <m:r>
                    <w:rPr>
                      <w:rFonts w:ascii="Cambria Math" w:hAnsi="Cambria Math"/>
                      <w:noProof/>
                      <w:sz w:val="18"/>
                      <w:szCs w:val="18"/>
                    </w:rPr>
                    <m:t>100+inflaatioaste</m:t>
                  </m:r>
                </m:e>
              </m:d>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100+ostovoimaindikaattori</m:t>
                  </m:r>
                </m:e>
              </m:d>
            </m:num>
            <m:den>
              <m:r>
                <w:rPr>
                  <w:rFonts w:ascii="Cambria Math" w:hAnsi="Cambria Math"/>
                  <w:noProof/>
                  <w:sz w:val="18"/>
                  <w:szCs w:val="18"/>
                </w:rPr>
                <m:t>100</m:t>
              </m:r>
            </m:den>
          </m:f>
          <m:r>
            <w:rPr>
              <w:rFonts w:ascii="Cambria Math" w:hAnsi="Cambria Math"/>
              <w:noProof/>
              <w:sz w:val="18"/>
              <w:szCs w:val="18"/>
            </w:rPr>
            <m:t>-100</m:t>
          </m:r>
        </m:oMath>
      </m:oMathPara>
    </w:p>
    <w:p w14:paraId="4725FB16" w14:textId="77777777" w:rsidR="00772EC3" w:rsidRPr="004C6A35" w:rsidRDefault="00772EC3" w:rsidP="00245D7E">
      <w:pPr>
        <w:rPr>
          <w:noProof/>
          <w:szCs w:val="24"/>
        </w:rPr>
      </w:pPr>
      <w:r>
        <w:rPr>
          <w:noProof/>
        </w:rPr>
        <w:t>Tämän perusteella voidaan laskea seuraava viisumimaksujen mukautus:</w:t>
      </w:r>
    </w:p>
    <w:tbl>
      <w:tblPr>
        <w:tblStyle w:val="TableGrid"/>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496"/>
        <w:gridCol w:w="1895"/>
        <w:gridCol w:w="2804"/>
        <w:gridCol w:w="1732"/>
      </w:tblGrid>
      <w:tr w:rsidR="00772EC3" w:rsidRPr="004C6A35" w14:paraId="0BB031AE" w14:textId="77777777" w:rsidTr="00DC5B3E">
        <w:tc>
          <w:tcPr>
            <w:tcW w:w="1271" w:type="dxa"/>
            <w:shd w:val="clear" w:color="auto" w:fill="auto"/>
          </w:tcPr>
          <w:p w14:paraId="171E46BF" w14:textId="3BCB12DB" w:rsidR="00772EC3" w:rsidRPr="004C6A35" w:rsidRDefault="00772EC3" w:rsidP="004C6A35">
            <w:pPr>
              <w:spacing w:after="0"/>
              <w:rPr>
                <w:b/>
                <w:bCs/>
                <w:noProof/>
                <w:szCs w:val="24"/>
              </w:rPr>
            </w:pPr>
          </w:p>
        </w:tc>
        <w:tc>
          <w:tcPr>
            <w:tcW w:w="1418" w:type="dxa"/>
            <w:shd w:val="clear" w:color="auto" w:fill="auto"/>
          </w:tcPr>
          <w:p w14:paraId="7F8CD95C" w14:textId="77777777" w:rsidR="00772EC3" w:rsidRPr="004C6A35" w:rsidRDefault="00772EC3" w:rsidP="00DC5B3E">
            <w:pPr>
              <w:spacing w:after="0"/>
              <w:jc w:val="center"/>
              <w:rPr>
                <w:b/>
                <w:bCs/>
                <w:noProof/>
                <w:szCs w:val="24"/>
              </w:rPr>
            </w:pPr>
            <w:r>
              <w:rPr>
                <w:b/>
                <w:noProof/>
              </w:rPr>
              <w:t>Inflaatioaste</w:t>
            </w:r>
          </w:p>
        </w:tc>
        <w:tc>
          <w:tcPr>
            <w:tcW w:w="2268" w:type="dxa"/>
            <w:shd w:val="clear" w:color="auto" w:fill="auto"/>
          </w:tcPr>
          <w:p w14:paraId="597BA5AB" w14:textId="77777777" w:rsidR="00772EC3" w:rsidRPr="004C6A35" w:rsidRDefault="00772EC3" w:rsidP="00DC5B3E">
            <w:pPr>
              <w:spacing w:after="0"/>
              <w:jc w:val="center"/>
              <w:rPr>
                <w:b/>
                <w:bCs/>
                <w:noProof/>
                <w:szCs w:val="24"/>
              </w:rPr>
            </w:pPr>
            <w:r>
              <w:rPr>
                <w:b/>
                <w:noProof/>
              </w:rPr>
              <w:t>Palkkojen ostovoiman indikaattori</w:t>
            </w:r>
          </w:p>
        </w:tc>
        <w:tc>
          <w:tcPr>
            <w:tcW w:w="2255" w:type="dxa"/>
            <w:shd w:val="clear" w:color="auto" w:fill="auto"/>
          </w:tcPr>
          <w:p w14:paraId="778F65B6" w14:textId="77777777" w:rsidR="00772EC3" w:rsidRPr="004C6A35" w:rsidRDefault="00772EC3" w:rsidP="00DC5B3E">
            <w:pPr>
              <w:spacing w:after="0"/>
              <w:jc w:val="center"/>
              <w:rPr>
                <w:b/>
                <w:bCs/>
                <w:noProof/>
                <w:szCs w:val="24"/>
              </w:rPr>
            </w:pPr>
            <w:r>
              <w:rPr>
                <w:b/>
                <w:noProof/>
              </w:rPr>
              <w:t>Viisumimaksun mukauttamisindikaattori</w:t>
            </w:r>
          </w:p>
        </w:tc>
        <w:tc>
          <w:tcPr>
            <w:tcW w:w="1804" w:type="dxa"/>
            <w:shd w:val="clear" w:color="auto" w:fill="auto"/>
          </w:tcPr>
          <w:p w14:paraId="533DFA17" w14:textId="77777777" w:rsidR="00772EC3" w:rsidRPr="004C6A35" w:rsidRDefault="00772EC3" w:rsidP="00DC5B3E">
            <w:pPr>
              <w:spacing w:after="0"/>
              <w:jc w:val="center"/>
              <w:rPr>
                <w:b/>
                <w:bCs/>
                <w:noProof/>
                <w:szCs w:val="24"/>
              </w:rPr>
            </w:pPr>
            <w:r>
              <w:rPr>
                <w:b/>
                <w:noProof/>
              </w:rPr>
              <w:t>Mukautettu viisumimaksu (euroa)</w:t>
            </w:r>
          </w:p>
        </w:tc>
      </w:tr>
      <w:tr w:rsidR="00772EC3" w:rsidRPr="004C6A35" w14:paraId="10D5B171" w14:textId="77777777" w:rsidTr="00DC5B3E">
        <w:tc>
          <w:tcPr>
            <w:tcW w:w="1271" w:type="dxa"/>
            <w:shd w:val="clear" w:color="auto" w:fill="auto"/>
          </w:tcPr>
          <w:p w14:paraId="016E9437" w14:textId="77777777" w:rsidR="00772EC3" w:rsidRPr="004C6A35" w:rsidRDefault="00772EC3" w:rsidP="004C6A35">
            <w:pPr>
              <w:spacing w:after="0"/>
              <w:rPr>
                <w:noProof/>
                <w:szCs w:val="24"/>
              </w:rPr>
            </w:pPr>
            <w:r>
              <w:rPr>
                <w:noProof/>
              </w:rPr>
              <w:t>Alussa</w:t>
            </w:r>
          </w:p>
        </w:tc>
        <w:tc>
          <w:tcPr>
            <w:tcW w:w="1418" w:type="dxa"/>
            <w:shd w:val="clear" w:color="auto" w:fill="auto"/>
          </w:tcPr>
          <w:p w14:paraId="0A38B7B5" w14:textId="77777777" w:rsidR="00772EC3" w:rsidRPr="004C6A35" w:rsidRDefault="00772EC3" w:rsidP="00DC5B3E">
            <w:pPr>
              <w:spacing w:after="0"/>
              <w:jc w:val="center"/>
              <w:rPr>
                <w:noProof/>
                <w:szCs w:val="24"/>
              </w:rPr>
            </w:pPr>
          </w:p>
        </w:tc>
        <w:tc>
          <w:tcPr>
            <w:tcW w:w="2268" w:type="dxa"/>
            <w:shd w:val="clear" w:color="auto" w:fill="auto"/>
          </w:tcPr>
          <w:p w14:paraId="3CEC574C" w14:textId="77777777" w:rsidR="00772EC3" w:rsidRPr="004C6A35" w:rsidRDefault="00772EC3" w:rsidP="00DC5B3E">
            <w:pPr>
              <w:spacing w:after="0"/>
              <w:jc w:val="center"/>
              <w:rPr>
                <w:noProof/>
                <w:szCs w:val="24"/>
              </w:rPr>
            </w:pPr>
          </w:p>
        </w:tc>
        <w:tc>
          <w:tcPr>
            <w:tcW w:w="2255" w:type="dxa"/>
            <w:shd w:val="clear" w:color="auto" w:fill="auto"/>
          </w:tcPr>
          <w:p w14:paraId="51DDDAF5" w14:textId="77777777" w:rsidR="00772EC3" w:rsidRPr="004C6A35" w:rsidRDefault="00772EC3" w:rsidP="00DC5B3E">
            <w:pPr>
              <w:spacing w:after="0"/>
              <w:jc w:val="center"/>
              <w:rPr>
                <w:noProof/>
                <w:szCs w:val="24"/>
              </w:rPr>
            </w:pPr>
          </w:p>
        </w:tc>
        <w:tc>
          <w:tcPr>
            <w:tcW w:w="1804" w:type="dxa"/>
            <w:shd w:val="clear" w:color="auto" w:fill="auto"/>
          </w:tcPr>
          <w:p w14:paraId="4725D127" w14:textId="77777777" w:rsidR="00772EC3" w:rsidRPr="004C6A35" w:rsidRDefault="00772EC3" w:rsidP="00DC5B3E">
            <w:pPr>
              <w:spacing w:after="0"/>
              <w:jc w:val="center"/>
              <w:rPr>
                <w:noProof/>
                <w:szCs w:val="24"/>
              </w:rPr>
            </w:pPr>
            <w:r>
              <w:rPr>
                <w:noProof/>
              </w:rPr>
              <w:t>80,00</w:t>
            </w:r>
          </w:p>
        </w:tc>
      </w:tr>
      <w:tr w:rsidR="00772EC3" w:rsidRPr="004C6A35" w14:paraId="5F2825A3" w14:textId="77777777" w:rsidTr="00DC5B3E">
        <w:tc>
          <w:tcPr>
            <w:tcW w:w="1271" w:type="dxa"/>
            <w:shd w:val="clear" w:color="auto" w:fill="auto"/>
          </w:tcPr>
          <w:p w14:paraId="71050195" w14:textId="77777777" w:rsidR="00772EC3" w:rsidRPr="004C6A35" w:rsidRDefault="00772EC3" w:rsidP="004C6A35">
            <w:pPr>
              <w:spacing w:after="0"/>
              <w:rPr>
                <w:noProof/>
                <w:szCs w:val="24"/>
              </w:rPr>
            </w:pPr>
            <w:r>
              <w:rPr>
                <w:noProof/>
              </w:rPr>
              <w:t>2020–2021</w:t>
            </w:r>
          </w:p>
        </w:tc>
        <w:tc>
          <w:tcPr>
            <w:tcW w:w="1418" w:type="dxa"/>
            <w:shd w:val="clear" w:color="auto" w:fill="auto"/>
          </w:tcPr>
          <w:p w14:paraId="681AA08C" w14:textId="77777777" w:rsidR="00772EC3" w:rsidRPr="004C6A35" w:rsidRDefault="00772EC3" w:rsidP="00DC5B3E">
            <w:pPr>
              <w:spacing w:after="0"/>
              <w:jc w:val="center"/>
              <w:rPr>
                <w:noProof/>
                <w:szCs w:val="24"/>
              </w:rPr>
            </w:pPr>
            <w:r>
              <w:rPr>
                <w:noProof/>
              </w:rPr>
              <w:t>2,2 %</w:t>
            </w:r>
          </w:p>
        </w:tc>
        <w:tc>
          <w:tcPr>
            <w:tcW w:w="2268" w:type="dxa"/>
            <w:shd w:val="clear" w:color="auto" w:fill="auto"/>
          </w:tcPr>
          <w:p w14:paraId="608DF898" w14:textId="77777777" w:rsidR="00772EC3" w:rsidRPr="004C6A35" w:rsidRDefault="00772EC3" w:rsidP="00DC5B3E">
            <w:pPr>
              <w:spacing w:after="0"/>
              <w:jc w:val="center"/>
              <w:rPr>
                <w:noProof/>
                <w:szCs w:val="24"/>
              </w:rPr>
            </w:pPr>
            <w:r>
              <w:rPr>
                <w:noProof/>
              </w:rPr>
              <w:t>0,2 %</w:t>
            </w:r>
          </w:p>
        </w:tc>
        <w:tc>
          <w:tcPr>
            <w:tcW w:w="2255" w:type="dxa"/>
            <w:shd w:val="clear" w:color="auto" w:fill="auto"/>
          </w:tcPr>
          <w:p w14:paraId="4186C1F9" w14:textId="77777777" w:rsidR="00772EC3" w:rsidRPr="004C6A35" w:rsidRDefault="00772EC3" w:rsidP="00DC5B3E">
            <w:pPr>
              <w:spacing w:after="0"/>
              <w:jc w:val="center"/>
              <w:rPr>
                <w:noProof/>
                <w:szCs w:val="24"/>
              </w:rPr>
            </w:pPr>
            <w:r>
              <w:rPr>
                <w:noProof/>
              </w:rPr>
              <w:t>2,4 %</w:t>
            </w:r>
          </w:p>
        </w:tc>
        <w:tc>
          <w:tcPr>
            <w:tcW w:w="1804" w:type="dxa"/>
            <w:shd w:val="clear" w:color="auto" w:fill="auto"/>
          </w:tcPr>
          <w:p w14:paraId="69CC56BB" w14:textId="77777777" w:rsidR="00772EC3" w:rsidRPr="004C6A35" w:rsidRDefault="00772EC3" w:rsidP="00DC5B3E">
            <w:pPr>
              <w:spacing w:after="0"/>
              <w:jc w:val="center"/>
              <w:rPr>
                <w:noProof/>
                <w:szCs w:val="24"/>
              </w:rPr>
            </w:pPr>
            <w:r>
              <w:rPr>
                <w:noProof/>
              </w:rPr>
              <w:t>81,92</w:t>
            </w:r>
          </w:p>
        </w:tc>
      </w:tr>
      <w:tr w:rsidR="00772EC3" w:rsidRPr="004C6A35" w14:paraId="38960AB1" w14:textId="77777777" w:rsidTr="00DC5B3E">
        <w:tc>
          <w:tcPr>
            <w:tcW w:w="1271" w:type="dxa"/>
            <w:shd w:val="clear" w:color="auto" w:fill="auto"/>
          </w:tcPr>
          <w:p w14:paraId="2238D906" w14:textId="77777777" w:rsidR="00772EC3" w:rsidRPr="004C6A35" w:rsidRDefault="00772EC3" w:rsidP="004C6A35">
            <w:pPr>
              <w:spacing w:after="0"/>
              <w:rPr>
                <w:noProof/>
                <w:szCs w:val="24"/>
              </w:rPr>
            </w:pPr>
            <w:r>
              <w:rPr>
                <w:noProof/>
              </w:rPr>
              <w:t>2021–2022</w:t>
            </w:r>
          </w:p>
        </w:tc>
        <w:tc>
          <w:tcPr>
            <w:tcW w:w="1418" w:type="dxa"/>
            <w:shd w:val="clear" w:color="auto" w:fill="auto"/>
          </w:tcPr>
          <w:p w14:paraId="79EA89DA" w14:textId="77777777" w:rsidR="00772EC3" w:rsidRPr="004C6A35" w:rsidRDefault="00772EC3" w:rsidP="00DC5B3E">
            <w:pPr>
              <w:spacing w:after="0"/>
              <w:jc w:val="center"/>
              <w:rPr>
                <w:noProof/>
                <w:szCs w:val="24"/>
              </w:rPr>
            </w:pPr>
            <w:r>
              <w:rPr>
                <w:noProof/>
              </w:rPr>
              <w:t>9,6 %</w:t>
            </w:r>
          </w:p>
        </w:tc>
        <w:tc>
          <w:tcPr>
            <w:tcW w:w="2268" w:type="dxa"/>
            <w:shd w:val="clear" w:color="auto" w:fill="auto"/>
          </w:tcPr>
          <w:p w14:paraId="35B765C2" w14:textId="77777777" w:rsidR="00772EC3" w:rsidRPr="004C6A35" w:rsidRDefault="00772EC3" w:rsidP="00DC5B3E">
            <w:pPr>
              <w:spacing w:after="0"/>
              <w:jc w:val="center"/>
              <w:rPr>
                <w:noProof/>
                <w:szCs w:val="24"/>
              </w:rPr>
            </w:pPr>
            <w:r>
              <w:rPr>
                <w:noProof/>
              </w:rPr>
              <w:t>–4,6 %</w:t>
            </w:r>
          </w:p>
        </w:tc>
        <w:tc>
          <w:tcPr>
            <w:tcW w:w="2255" w:type="dxa"/>
            <w:shd w:val="clear" w:color="auto" w:fill="auto"/>
          </w:tcPr>
          <w:p w14:paraId="57C79D2A" w14:textId="77777777" w:rsidR="00772EC3" w:rsidRPr="004C6A35" w:rsidRDefault="00772EC3" w:rsidP="00DC5B3E">
            <w:pPr>
              <w:spacing w:after="0"/>
              <w:jc w:val="center"/>
              <w:rPr>
                <w:noProof/>
                <w:szCs w:val="24"/>
              </w:rPr>
            </w:pPr>
            <w:r>
              <w:rPr>
                <w:noProof/>
              </w:rPr>
              <w:t>4,6 %</w:t>
            </w:r>
          </w:p>
        </w:tc>
        <w:tc>
          <w:tcPr>
            <w:tcW w:w="1804" w:type="dxa"/>
            <w:shd w:val="clear" w:color="auto" w:fill="auto"/>
          </w:tcPr>
          <w:p w14:paraId="1FE53E5C" w14:textId="77777777" w:rsidR="00772EC3" w:rsidRPr="004C6A35" w:rsidRDefault="00772EC3" w:rsidP="00DC5B3E">
            <w:pPr>
              <w:spacing w:after="0"/>
              <w:jc w:val="center"/>
              <w:rPr>
                <w:noProof/>
                <w:szCs w:val="24"/>
              </w:rPr>
            </w:pPr>
            <w:r>
              <w:rPr>
                <w:noProof/>
              </w:rPr>
              <w:t>85,69</w:t>
            </w:r>
          </w:p>
        </w:tc>
      </w:tr>
      <w:tr w:rsidR="00772EC3" w:rsidRPr="004C6A35" w14:paraId="5052FADD" w14:textId="77777777" w:rsidTr="00DC5B3E">
        <w:tc>
          <w:tcPr>
            <w:tcW w:w="1271" w:type="dxa"/>
            <w:shd w:val="clear" w:color="auto" w:fill="auto"/>
          </w:tcPr>
          <w:p w14:paraId="6F24F5C6" w14:textId="77777777" w:rsidR="00772EC3" w:rsidRPr="004C6A35" w:rsidRDefault="00772EC3" w:rsidP="004C6A35">
            <w:pPr>
              <w:spacing w:after="0"/>
              <w:rPr>
                <w:noProof/>
                <w:szCs w:val="24"/>
              </w:rPr>
            </w:pPr>
            <w:r>
              <w:rPr>
                <w:noProof/>
              </w:rPr>
              <w:t>2022–2023</w:t>
            </w:r>
          </w:p>
        </w:tc>
        <w:tc>
          <w:tcPr>
            <w:tcW w:w="1418" w:type="dxa"/>
            <w:shd w:val="clear" w:color="auto" w:fill="auto"/>
          </w:tcPr>
          <w:p w14:paraId="77F5A616" w14:textId="77777777" w:rsidR="00772EC3" w:rsidRPr="004C6A35" w:rsidRDefault="00772EC3" w:rsidP="00DC5B3E">
            <w:pPr>
              <w:spacing w:after="0"/>
              <w:jc w:val="center"/>
              <w:rPr>
                <w:noProof/>
                <w:szCs w:val="24"/>
              </w:rPr>
            </w:pPr>
            <w:r>
              <w:rPr>
                <w:noProof/>
              </w:rPr>
              <w:t>6,4 %</w:t>
            </w:r>
          </w:p>
        </w:tc>
        <w:tc>
          <w:tcPr>
            <w:tcW w:w="2268" w:type="dxa"/>
            <w:shd w:val="clear" w:color="auto" w:fill="auto"/>
          </w:tcPr>
          <w:p w14:paraId="25F18F42" w14:textId="77777777" w:rsidR="00772EC3" w:rsidRPr="004C6A35" w:rsidRDefault="00772EC3" w:rsidP="00DC5B3E">
            <w:pPr>
              <w:spacing w:after="0"/>
              <w:jc w:val="center"/>
              <w:rPr>
                <w:noProof/>
                <w:szCs w:val="24"/>
              </w:rPr>
            </w:pPr>
            <w:r>
              <w:rPr>
                <w:noProof/>
              </w:rPr>
              <w:t>–1,7 %</w:t>
            </w:r>
          </w:p>
        </w:tc>
        <w:tc>
          <w:tcPr>
            <w:tcW w:w="2255" w:type="dxa"/>
            <w:shd w:val="clear" w:color="auto" w:fill="auto"/>
          </w:tcPr>
          <w:p w14:paraId="3F1194CB" w14:textId="77777777" w:rsidR="00772EC3" w:rsidRPr="004C6A35" w:rsidRDefault="00772EC3" w:rsidP="00DC5B3E">
            <w:pPr>
              <w:spacing w:after="0"/>
              <w:jc w:val="center"/>
              <w:rPr>
                <w:noProof/>
                <w:szCs w:val="24"/>
              </w:rPr>
            </w:pPr>
            <w:r>
              <w:rPr>
                <w:noProof/>
              </w:rPr>
              <w:t>4,6 %</w:t>
            </w:r>
          </w:p>
        </w:tc>
        <w:tc>
          <w:tcPr>
            <w:tcW w:w="1804" w:type="dxa"/>
            <w:shd w:val="clear" w:color="auto" w:fill="auto"/>
          </w:tcPr>
          <w:p w14:paraId="208603F8" w14:textId="77777777" w:rsidR="00772EC3" w:rsidRPr="004C6A35" w:rsidRDefault="00772EC3" w:rsidP="00DC5B3E">
            <w:pPr>
              <w:spacing w:after="0"/>
              <w:jc w:val="center"/>
              <w:rPr>
                <w:noProof/>
                <w:szCs w:val="24"/>
              </w:rPr>
            </w:pPr>
            <w:r>
              <w:rPr>
                <w:noProof/>
              </w:rPr>
              <w:t>89,63</w:t>
            </w:r>
          </w:p>
        </w:tc>
      </w:tr>
    </w:tbl>
    <w:p w14:paraId="1A6ECBDA" w14:textId="77777777" w:rsidR="00772EC3" w:rsidRDefault="00772EC3" w:rsidP="00245D7E">
      <w:pPr>
        <w:rPr>
          <w:noProof/>
          <w:szCs w:val="24"/>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2552"/>
        <w:gridCol w:w="1843"/>
        <w:gridCol w:w="1842"/>
      </w:tblGrid>
      <w:tr w:rsidR="00E76F4B" w:rsidRPr="004C6A35" w14:paraId="565C08EC" w14:textId="77777777" w:rsidTr="00970578">
        <w:trPr>
          <w:trHeight w:val="994"/>
        </w:trPr>
        <w:tc>
          <w:tcPr>
            <w:tcW w:w="1134" w:type="dxa"/>
            <w:shd w:val="clear" w:color="auto" w:fill="auto"/>
          </w:tcPr>
          <w:p w14:paraId="1DBC96E4" w14:textId="77777777" w:rsidR="00772EC3" w:rsidRDefault="00772EC3" w:rsidP="004C6A35">
            <w:pPr>
              <w:spacing w:after="0"/>
              <w:rPr>
                <w:noProof/>
                <w:szCs w:val="24"/>
              </w:rPr>
            </w:pPr>
          </w:p>
          <w:p w14:paraId="278F1C53" w14:textId="59F0D12E" w:rsidR="00756462" w:rsidRPr="004C6A35" w:rsidRDefault="00756462" w:rsidP="00756462">
            <w:pPr>
              <w:spacing w:after="0"/>
              <w:jc w:val="center"/>
              <w:rPr>
                <w:noProof/>
                <w:szCs w:val="24"/>
              </w:rPr>
            </w:pPr>
            <w:r>
              <w:rPr>
                <w:noProof/>
              </w:rPr>
              <w:t>(Maksut euroina)</w:t>
            </w:r>
          </w:p>
        </w:tc>
        <w:tc>
          <w:tcPr>
            <w:tcW w:w="1701" w:type="dxa"/>
            <w:shd w:val="clear" w:color="auto" w:fill="auto"/>
          </w:tcPr>
          <w:p w14:paraId="383E637C" w14:textId="79CB7CDA" w:rsidR="00772EC3" w:rsidRPr="00756462" w:rsidRDefault="00772EC3" w:rsidP="003D0F28">
            <w:pPr>
              <w:spacing w:after="0"/>
              <w:jc w:val="center"/>
              <w:rPr>
                <w:b/>
                <w:bCs/>
                <w:noProof/>
                <w:szCs w:val="24"/>
              </w:rPr>
            </w:pPr>
            <w:r>
              <w:rPr>
                <w:b/>
                <w:noProof/>
              </w:rPr>
              <w:t>Lasten alennettu viisumimaksu</w:t>
            </w:r>
          </w:p>
        </w:tc>
        <w:tc>
          <w:tcPr>
            <w:tcW w:w="2552" w:type="dxa"/>
            <w:shd w:val="clear" w:color="auto" w:fill="auto"/>
          </w:tcPr>
          <w:p w14:paraId="4C7B62E3" w14:textId="4F5528CD" w:rsidR="00772EC3" w:rsidRPr="00756462" w:rsidRDefault="00772EC3" w:rsidP="003D0F28">
            <w:pPr>
              <w:spacing w:after="0"/>
              <w:jc w:val="center"/>
              <w:rPr>
                <w:b/>
                <w:bCs/>
                <w:noProof/>
                <w:szCs w:val="24"/>
              </w:rPr>
            </w:pPr>
            <w:r>
              <w:rPr>
                <w:b/>
                <w:noProof/>
              </w:rPr>
              <w:t>Viisumihelpotussopimuksen mukainen viisumimaksu Kap Verden kansalaisilta</w:t>
            </w:r>
          </w:p>
        </w:tc>
        <w:tc>
          <w:tcPr>
            <w:tcW w:w="1843" w:type="dxa"/>
            <w:shd w:val="clear" w:color="auto" w:fill="auto"/>
          </w:tcPr>
          <w:p w14:paraId="348D8C50" w14:textId="2B1166B0" w:rsidR="00772EC3" w:rsidRPr="00756462" w:rsidRDefault="00772EC3" w:rsidP="003D0F28">
            <w:pPr>
              <w:spacing w:after="0"/>
              <w:jc w:val="center"/>
              <w:rPr>
                <w:b/>
                <w:bCs/>
                <w:noProof/>
                <w:szCs w:val="24"/>
              </w:rPr>
            </w:pPr>
            <w:r>
              <w:rPr>
                <w:b/>
                <w:noProof/>
              </w:rPr>
              <w:t>Neuvoston täytäntöönpanopäätöksellä korotettu viisumimaksu (1)</w:t>
            </w:r>
          </w:p>
        </w:tc>
        <w:tc>
          <w:tcPr>
            <w:tcW w:w="1842" w:type="dxa"/>
            <w:shd w:val="clear" w:color="auto" w:fill="auto"/>
          </w:tcPr>
          <w:p w14:paraId="354C977B" w14:textId="2DBD74FC" w:rsidR="00772EC3" w:rsidRPr="00756462" w:rsidRDefault="00772EC3" w:rsidP="003D0F28">
            <w:pPr>
              <w:spacing w:after="0"/>
              <w:jc w:val="center"/>
              <w:rPr>
                <w:b/>
                <w:bCs/>
                <w:noProof/>
                <w:szCs w:val="24"/>
              </w:rPr>
            </w:pPr>
            <w:r>
              <w:rPr>
                <w:b/>
                <w:noProof/>
              </w:rPr>
              <w:t>Neuvoston täytäntöönpanopäätöksellä korotettu viisumimaksu (2)</w:t>
            </w:r>
          </w:p>
        </w:tc>
      </w:tr>
      <w:tr w:rsidR="00E76F4B" w:rsidRPr="004C6A35" w14:paraId="0686E981" w14:textId="77777777" w:rsidTr="00970578">
        <w:trPr>
          <w:trHeight w:val="239"/>
        </w:trPr>
        <w:tc>
          <w:tcPr>
            <w:tcW w:w="1134" w:type="dxa"/>
            <w:shd w:val="clear" w:color="auto" w:fill="auto"/>
          </w:tcPr>
          <w:p w14:paraId="23CF2B44" w14:textId="77777777" w:rsidR="00772EC3" w:rsidRPr="004C6A35" w:rsidRDefault="00772EC3" w:rsidP="004C6A35">
            <w:pPr>
              <w:spacing w:after="0"/>
              <w:rPr>
                <w:noProof/>
                <w:szCs w:val="24"/>
              </w:rPr>
            </w:pPr>
            <w:r>
              <w:rPr>
                <w:noProof/>
              </w:rPr>
              <w:t>Alussa</w:t>
            </w:r>
          </w:p>
        </w:tc>
        <w:tc>
          <w:tcPr>
            <w:tcW w:w="1701" w:type="dxa"/>
            <w:shd w:val="clear" w:color="auto" w:fill="auto"/>
          </w:tcPr>
          <w:p w14:paraId="5DBB87E6" w14:textId="77777777" w:rsidR="00772EC3" w:rsidRPr="004C6A35" w:rsidRDefault="00772EC3" w:rsidP="003D0F28">
            <w:pPr>
              <w:spacing w:after="0"/>
              <w:jc w:val="center"/>
              <w:rPr>
                <w:noProof/>
                <w:szCs w:val="24"/>
              </w:rPr>
            </w:pPr>
            <w:r>
              <w:rPr>
                <w:noProof/>
              </w:rPr>
              <w:t>40,00</w:t>
            </w:r>
          </w:p>
        </w:tc>
        <w:tc>
          <w:tcPr>
            <w:tcW w:w="2552" w:type="dxa"/>
            <w:shd w:val="clear" w:color="auto" w:fill="auto"/>
          </w:tcPr>
          <w:p w14:paraId="7E59653B" w14:textId="77777777" w:rsidR="00772EC3" w:rsidRPr="004C6A35" w:rsidRDefault="00772EC3" w:rsidP="003D0F28">
            <w:pPr>
              <w:spacing w:after="0"/>
              <w:jc w:val="center"/>
              <w:rPr>
                <w:noProof/>
                <w:szCs w:val="24"/>
              </w:rPr>
            </w:pPr>
            <w:r>
              <w:rPr>
                <w:noProof/>
              </w:rPr>
              <w:t>60,00</w:t>
            </w:r>
          </w:p>
        </w:tc>
        <w:tc>
          <w:tcPr>
            <w:tcW w:w="1843" w:type="dxa"/>
            <w:shd w:val="clear" w:color="auto" w:fill="auto"/>
          </w:tcPr>
          <w:p w14:paraId="468D911A" w14:textId="77777777" w:rsidR="00772EC3" w:rsidRPr="004C6A35" w:rsidRDefault="00772EC3" w:rsidP="003D0F28">
            <w:pPr>
              <w:spacing w:after="0"/>
              <w:jc w:val="center"/>
              <w:rPr>
                <w:noProof/>
                <w:szCs w:val="24"/>
              </w:rPr>
            </w:pPr>
            <w:r>
              <w:rPr>
                <w:noProof/>
              </w:rPr>
              <w:t>120,00</w:t>
            </w:r>
          </w:p>
        </w:tc>
        <w:tc>
          <w:tcPr>
            <w:tcW w:w="1842" w:type="dxa"/>
            <w:shd w:val="clear" w:color="auto" w:fill="auto"/>
          </w:tcPr>
          <w:p w14:paraId="40047846" w14:textId="77777777" w:rsidR="00772EC3" w:rsidRPr="004C6A35" w:rsidRDefault="00772EC3" w:rsidP="003D0F28">
            <w:pPr>
              <w:spacing w:after="0"/>
              <w:jc w:val="center"/>
              <w:rPr>
                <w:noProof/>
                <w:szCs w:val="24"/>
              </w:rPr>
            </w:pPr>
            <w:r>
              <w:rPr>
                <w:noProof/>
              </w:rPr>
              <w:t>160,00</w:t>
            </w:r>
          </w:p>
        </w:tc>
      </w:tr>
      <w:tr w:rsidR="00E76F4B" w:rsidRPr="004C6A35" w14:paraId="1F18F35D" w14:textId="77777777" w:rsidTr="00970578">
        <w:trPr>
          <w:trHeight w:val="490"/>
        </w:trPr>
        <w:tc>
          <w:tcPr>
            <w:tcW w:w="1134" w:type="dxa"/>
            <w:shd w:val="clear" w:color="auto" w:fill="auto"/>
          </w:tcPr>
          <w:p w14:paraId="00B8A5B3" w14:textId="77777777" w:rsidR="00772EC3" w:rsidRPr="004C6A35" w:rsidRDefault="00772EC3" w:rsidP="004C6A35">
            <w:pPr>
              <w:spacing w:after="0"/>
              <w:rPr>
                <w:noProof/>
                <w:szCs w:val="24"/>
              </w:rPr>
            </w:pPr>
            <w:r>
              <w:rPr>
                <w:noProof/>
              </w:rPr>
              <w:t>2020–2021</w:t>
            </w:r>
          </w:p>
        </w:tc>
        <w:tc>
          <w:tcPr>
            <w:tcW w:w="1701" w:type="dxa"/>
            <w:shd w:val="clear" w:color="auto" w:fill="auto"/>
          </w:tcPr>
          <w:p w14:paraId="46B98178" w14:textId="77777777" w:rsidR="00772EC3" w:rsidRPr="004C6A35" w:rsidRDefault="00772EC3" w:rsidP="003D0F28">
            <w:pPr>
              <w:spacing w:after="0"/>
              <w:jc w:val="center"/>
              <w:rPr>
                <w:noProof/>
                <w:szCs w:val="24"/>
              </w:rPr>
            </w:pPr>
            <w:r>
              <w:rPr>
                <w:noProof/>
              </w:rPr>
              <w:t>40,96</w:t>
            </w:r>
          </w:p>
        </w:tc>
        <w:tc>
          <w:tcPr>
            <w:tcW w:w="2552" w:type="dxa"/>
            <w:shd w:val="clear" w:color="auto" w:fill="auto"/>
          </w:tcPr>
          <w:p w14:paraId="55A8B056" w14:textId="77777777" w:rsidR="00772EC3" w:rsidRPr="004C6A35" w:rsidRDefault="00772EC3" w:rsidP="003D0F28">
            <w:pPr>
              <w:spacing w:after="0"/>
              <w:jc w:val="center"/>
              <w:rPr>
                <w:noProof/>
                <w:szCs w:val="24"/>
              </w:rPr>
            </w:pPr>
            <w:r>
              <w:rPr>
                <w:noProof/>
              </w:rPr>
              <w:t>61,44</w:t>
            </w:r>
          </w:p>
        </w:tc>
        <w:tc>
          <w:tcPr>
            <w:tcW w:w="1843" w:type="dxa"/>
            <w:shd w:val="clear" w:color="auto" w:fill="auto"/>
          </w:tcPr>
          <w:p w14:paraId="4381AD15" w14:textId="77777777" w:rsidR="00772EC3" w:rsidRPr="004C6A35" w:rsidRDefault="00772EC3" w:rsidP="003D0F28">
            <w:pPr>
              <w:spacing w:after="0"/>
              <w:jc w:val="center"/>
              <w:rPr>
                <w:noProof/>
                <w:szCs w:val="24"/>
              </w:rPr>
            </w:pPr>
            <w:r>
              <w:rPr>
                <w:noProof/>
              </w:rPr>
              <w:t>122,88</w:t>
            </w:r>
          </w:p>
        </w:tc>
        <w:tc>
          <w:tcPr>
            <w:tcW w:w="1842" w:type="dxa"/>
            <w:shd w:val="clear" w:color="auto" w:fill="auto"/>
          </w:tcPr>
          <w:p w14:paraId="60D9D04D" w14:textId="77777777" w:rsidR="00772EC3" w:rsidRPr="004C6A35" w:rsidRDefault="00772EC3" w:rsidP="003D0F28">
            <w:pPr>
              <w:spacing w:after="0"/>
              <w:jc w:val="center"/>
              <w:rPr>
                <w:noProof/>
                <w:szCs w:val="24"/>
              </w:rPr>
            </w:pPr>
            <w:r>
              <w:rPr>
                <w:noProof/>
              </w:rPr>
              <w:t>163,84</w:t>
            </w:r>
          </w:p>
        </w:tc>
      </w:tr>
      <w:tr w:rsidR="00E76F4B" w:rsidRPr="004C6A35" w14:paraId="03EF56A3" w14:textId="77777777" w:rsidTr="00970578">
        <w:trPr>
          <w:trHeight w:val="490"/>
        </w:trPr>
        <w:tc>
          <w:tcPr>
            <w:tcW w:w="1134" w:type="dxa"/>
            <w:shd w:val="clear" w:color="auto" w:fill="auto"/>
          </w:tcPr>
          <w:p w14:paraId="1B3D0503" w14:textId="77777777" w:rsidR="00772EC3" w:rsidRPr="004C6A35" w:rsidRDefault="00772EC3" w:rsidP="004C6A35">
            <w:pPr>
              <w:spacing w:after="0"/>
              <w:rPr>
                <w:noProof/>
                <w:szCs w:val="24"/>
              </w:rPr>
            </w:pPr>
            <w:r>
              <w:rPr>
                <w:noProof/>
              </w:rPr>
              <w:t>2021–2022</w:t>
            </w:r>
          </w:p>
        </w:tc>
        <w:tc>
          <w:tcPr>
            <w:tcW w:w="1701" w:type="dxa"/>
            <w:shd w:val="clear" w:color="auto" w:fill="auto"/>
          </w:tcPr>
          <w:p w14:paraId="0EF60FD8" w14:textId="77777777" w:rsidR="00772EC3" w:rsidRPr="004C6A35" w:rsidRDefault="00772EC3" w:rsidP="003D0F28">
            <w:pPr>
              <w:spacing w:after="0"/>
              <w:jc w:val="center"/>
              <w:rPr>
                <w:noProof/>
                <w:szCs w:val="24"/>
              </w:rPr>
            </w:pPr>
            <w:r>
              <w:rPr>
                <w:noProof/>
              </w:rPr>
              <w:t>42,84</w:t>
            </w:r>
          </w:p>
        </w:tc>
        <w:tc>
          <w:tcPr>
            <w:tcW w:w="2552" w:type="dxa"/>
            <w:shd w:val="clear" w:color="auto" w:fill="auto"/>
          </w:tcPr>
          <w:p w14:paraId="10CA9D73" w14:textId="77777777" w:rsidR="00772EC3" w:rsidRPr="004C6A35" w:rsidRDefault="00772EC3" w:rsidP="003D0F28">
            <w:pPr>
              <w:spacing w:after="0"/>
              <w:jc w:val="center"/>
              <w:rPr>
                <w:noProof/>
                <w:szCs w:val="24"/>
              </w:rPr>
            </w:pPr>
            <w:r>
              <w:rPr>
                <w:noProof/>
              </w:rPr>
              <w:t>64,26</w:t>
            </w:r>
          </w:p>
        </w:tc>
        <w:tc>
          <w:tcPr>
            <w:tcW w:w="1843" w:type="dxa"/>
            <w:shd w:val="clear" w:color="auto" w:fill="auto"/>
          </w:tcPr>
          <w:p w14:paraId="4806FF4C" w14:textId="77777777" w:rsidR="00772EC3" w:rsidRPr="004C6A35" w:rsidRDefault="00772EC3" w:rsidP="003D0F28">
            <w:pPr>
              <w:spacing w:after="0"/>
              <w:jc w:val="center"/>
              <w:rPr>
                <w:noProof/>
                <w:szCs w:val="24"/>
              </w:rPr>
            </w:pPr>
            <w:r>
              <w:rPr>
                <w:noProof/>
              </w:rPr>
              <w:t>128,53</w:t>
            </w:r>
          </w:p>
        </w:tc>
        <w:tc>
          <w:tcPr>
            <w:tcW w:w="1842" w:type="dxa"/>
            <w:shd w:val="clear" w:color="auto" w:fill="auto"/>
          </w:tcPr>
          <w:p w14:paraId="4F7CDB21" w14:textId="77777777" w:rsidR="00772EC3" w:rsidRPr="004C6A35" w:rsidRDefault="00772EC3" w:rsidP="003D0F28">
            <w:pPr>
              <w:spacing w:after="0"/>
              <w:jc w:val="center"/>
              <w:rPr>
                <w:noProof/>
                <w:szCs w:val="24"/>
              </w:rPr>
            </w:pPr>
            <w:r>
              <w:rPr>
                <w:noProof/>
              </w:rPr>
              <w:t>171,38</w:t>
            </w:r>
          </w:p>
        </w:tc>
      </w:tr>
      <w:tr w:rsidR="00E76F4B" w:rsidRPr="004C6A35" w14:paraId="3B9BFE2C" w14:textId="77777777" w:rsidTr="00970578">
        <w:trPr>
          <w:trHeight w:val="490"/>
        </w:trPr>
        <w:tc>
          <w:tcPr>
            <w:tcW w:w="1134" w:type="dxa"/>
            <w:shd w:val="clear" w:color="auto" w:fill="auto"/>
          </w:tcPr>
          <w:p w14:paraId="0FDB4FEF" w14:textId="77777777" w:rsidR="00772EC3" w:rsidRPr="004C6A35" w:rsidRDefault="00772EC3" w:rsidP="004C6A35">
            <w:pPr>
              <w:spacing w:after="0"/>
              <w:rPr>
                <w:noProof/>
                <w:szCs w:val="24"/>
              </w:rPr>
            </w:pPr>
            <w:r>
              <w:rPr>
                <w:noProof/>
              </w:rPr>
              <w:t>2022–2023</w:t>
            </w:r>
          </w:p>
        </w:tc>
        <w:tc>
          <w:tcPr>
            <w:tcW w:w="1701" w:type="dxa"/>
            <w:shd w:val="clear" w:color="auto" w:fill="auto"/>
          </w:tcPr>
          <w:p w14:paraId="6B963773" w14:textId="77777777" w:rsidR="00772EC3" w:rsidRPr="004C6A35" w:rsidRDefault="00772EC3" w:rsidP="003D0F28">
            <w:pPr>
              <w:spacing w:after="0"/>
              <w:jc w:val="center"/>
              <w:rPr>
                <w:noProof/>
                <w:szCs w:val="24"/>
              </w:rPr>
            </w:pPr>
            <w:r>
              <w:rPr>
                <w:noProof/>
              </w:rPr>
              <w:t>44,81</w:t>
            </w:r>
          </w:p>
        </w:tc>
        <w:tc>
          <w:tcPr>
            <w:tcW w:w="2552" w:type="dxa"/>
            <w:shd w:val="clear" w:color="auto" w:fill="auto"/>
          </w:tcPr>
          <w:p w14:paraId="7CDA1662" w14:textId="77777777" w:rsidR="00772EC3" w:rsidRPr="004C6A35" w:rsidRDefault="00772EC3" w:rsidP="003D0F28">
            <w:pPr>
              <w:spacing w:after="0"/>
              <w:jc w:val="center"/>
              <w:rPr>
                <w:noProof/>
                <w:szCs w:val="24"/>
              </w:rPr>
            </w:pPr>
            <w:r>
              <w:rPr>
                <w:noProof/>
              </w:rPr>
              <w:t>67,22</w:t>
            </w:r>
          </w:p>
        </w:tc>
        <w:tc>
          <w:tcPr>
            <w:tcW w:w="1843" w:type="dxa"/>
            <w:shd w:val="clear" w:color="auto" w:fill="auto"/>
          </w:tcPr>
          <w:p w14:paraId="5599A51C" w14:textId="77777777" w:rsidR="00772EC3" w:rsidRPr="004C6A35" w:rsidRDefault="00772EC3" w:rsidP="003D0F28">
            <w:pPr>
              <w:spacing w:after="0"/>
              <w:jc w:val="center"/>
              <w:rPr>
                <w:noProof/>
                <w:szCs w:val="24"/>
              </w:rPr>
            </w:pPr>
            <w:r>
              <w:rPr>
                <w:noProof/>
              </w:rPr>
              <w:t>134,44</w:t>
            </w:r>
          </w:p>
        </w:tc>
        <w:tc>
          <w:tcPr>
            <w:tcW w:w="1842" w:type="dxa"/>
            <w:shd w:val="clear" w:color="auto" w:fill="auto"/>
          </w:tcPr>
          <w:p w14:paraId="02601897" w14:textId="77777777" w:rsidR="00772EC3" w:rsidRPr="004C6A35" w:rsidRDefault="00772EC3" w:rsidP="003D0F28">
            <w:pPr>
              <w:spacing w:after="0"/>
              <w:jc w:val="center"/>
              <w:rPr>
                <w:noProof/>
                <w:szCs w:val="24"/>
              </w:rPr>
            </w:pPr>
            <w:r>
              <w:rPr>
                <w:noProof/>
              </w:rPr>
              <w:t>179,26</w:t>
            </w:r>
          </w:p>
        </w:tc>
      </w:tr>
    </w:tbl>
    <w:p w14:paraId="462A8A3D" w14:textId="77777777" w:rsidR="003D0F28" w:rsidRDefault="003D0F28" w:rsidP="00245D7E">
      <w:pPr>
        <w:rPr>
          <w:noProof/>
          <w:szCs w:val="24"/>
        </w:rPr>
      </w:pPr>
    </w:p>
    <w:p w14:paraId="4AE3E648" w14:textId="359592B9" w:rsidR="00772EC3" w:rsidRPr="002B53CC" w:rsidRDefault="00772EC3" w:rsidP="00245D7E">
      <w:pPr>
        <w:rPr>
          <w:noProof/>
          <w:szCs w:val="24"/>
        </w:rPr>
      </w:pPr>
      <w:r>
        <w:rPr>
          <w:noProof/>
        </w:rPr>
        <w:t>Alkamisvuodeksi on määritetty vuosi 2020, sillä se on vuosi, jona nykyistä viisumimaksun tarkistamismekanismia alettiin soveltaa.</w:t>
      </w:r>
    </w:p>
    <w:p w14:paraId="1A828ECA" w14:textId="026620D6" w:rsidR="00772EC3" w:rsidRDefault="00772EC3" w:rsidP="003D0F28">
      <w:pPr>
        <w:pStyle w:val="Heading1"/>
        <w:rPr>
          <w:noProof/>
        </w:rPr>
      </w:pPr>
      <w:r>
        <w:rPr>
          <w:noProof/>
        </w:rPr>
        <w:t>Arviointi ja vaikutukset</w:t>
      </w:r>
    </w:p>
    <w:p w14:paraId="1DAC94A1" w14:textId="77777777" w:rsidR="00772EC3" w:rsidRDefault="00772EC3" w:rsidP="00245D7E">
      <w:pPr>
        <w:rPr>
          <w:noProof/>
          <w:szCs w:val="24"/>
        </w:rPr>
      </w:pPr>
      <w:r>
        <w:rPr>
          <w:noProof/>
        </w:rPr>
        <w:t>Maksujen tarkistuslaskelman seurauksena maksu nousee 80 eurosta 90 euroon aikuisten osalta, 40 eurosta 45 euroon lasten osalta sekä 120 eurosta 135 euroon tai 160 eurosta 180 euroon, jos neuvosto on hyväksynyt 25 a artiklan 5 kohdan b alakohdan nojalla täytäntöönpanopäätöksen riittämättömän takaisinottoa koskevan yhteistyön vuoksi. Viisumihelpotussopimuksen mukainen Kap Verden kansalaisilta perittävä maksu nousisi 60 eurosta 67,50 euroon. Ulkoisten palveluntarjoajien veloittama enimmäispalvelumaksu nousisi 40 eurosta 45 euroon. Tämä vastaa 12,5 prosentin yleiskorotusta kolmessa vuodessa.</w:t>
      </w:r>
    </w:p>
    <w:p w14:paraId="00CEB5A4" w14:textId="77777777" w:rsidR="00772EC3" w:rsidRDefault="00772EC3" w:rsidP="00245D7E">
      <w:pPr>
        <w:rPr>
          <w:noProof/>
          <w:szCs w:val="24"/>
        </w:rPr>
      </w:pPr>
      <w:r>
        <w:rPr>
          <w:noProof/>
        </w:rPr>
        <w:t>Sisäisten laskelmien perusteella voidaan ennustaa, että 12,5 prosentin korotus viisumimaksuihin toisi kaikille jäsenvaltioille noin 71 miljoonan euron lisätulot</w:t>
      </w:r>
      <w:r>
        <w:rPr>
          <w:rStyle w:val="FootnoteReference"/>
          <w:noProof/>
          <w:szCs w:val="24"/>
        </w:rPr>
        <w:footnoteReference w:id="14"/>
      </w:r>
      <w:r>
        <w:rPr>
          <w:noProof/>
        </w:rPr>
        <w:t xml:space="preserve">. </w:t>
      </w:r>
    </w:p>
    <w:p w14:paraId="151AFD31" w14:textId="77777777" w:rsidR="00772EC3" w:rsidRDefault="00772EC3" w:rsidP="00245D7E">
      <w:pPr>
        <w:rPr>
          <w:noProof/>
          <w:szCs w:val="24"/>
        </w:rPr>
      </w:pPr>
      <w:r>
        <w:rPr>
          <w:noProof/>
        </w:rPr>
        <w:t>Komissio harkitsi, olisiko aiheellista antaa delegoitu säädös viisumimaksujen muuttamisesta tarkastelemalla sitä, millaisia maksuja EU:n ulkopuoliset lainkäyttöalueet perivät viisumipalveluista. Schengen-viisumin hinta on edelleen suhteellisen alhainen verrattuna useimpiin muihin suuriin maihin. Esimerkiksi Yhdysvallat on hiljattain korottanut viisumimaksujaan 160 Yhdysvaltain dollarista 185 dollariin, mikä merkitsee 15 prosentin korotusta.</w:t>
      </w:r>
      <w:r>
        <w:rPr>
          <w:rStyle w:val="FootnoteReference"/>
          <w:noProof/>
          <w:szCs w:val="24"/>
        </w:rPr>
        <w:footnoteReference w:id="15"/>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78"/>
        <w:gridCol w:w="2892"/>
      </w:tblGrid>
      <w:tr w:rsidR="00772EC3" w:rsidRPr="004C6A35" w14:paraId="4A03AEB6" w14:textId="77777777" w:rsidTr="003D0F28">
        <w:tc>
          <w:tcPr>
            <w:tcW w:w="1838" w:type="dxa"/>
            <w:shd w:val="clear" w:color="auto" w:fill="auto"/>
          </w:tcPr>
          <w:p w14:paraId="2F904739" w14:textId="77777777" w:rsidR="00772EC3" w:rsidRPr="004C6A35" w:rsidRDefault="00772EC3" w:rsidP="004C6A35">
            <w:pPr>
              <w:spacing w:after="0"/>
              <w:rPr>
                <w:b/>
                <w:bCs/>
                <w:noProof/>
                <w:szCs w:val="24"/>
              </w:rPr>
            </w:pPr>
            <w:r>
              <w:rPr>
                <w:b/>
                <w:noProof/>
              </w:rPr>
              <w:t>Maa</w:t>
            </w:r>
          </w:p>
        </w:tc>
        <w:tc>
          <w:tcPr>
            <w:tcW w:w="3878" w:type="dxa"/>
            <w:shd w:val="clear" w:color="auto" w:fill="auto"/>
          </w:tcPr>
          <w:p w14:paraId="4D092295" w14:textId="77777777" w:rsidR="00772EC3" w:rsidRPr="004C6A35" w:rsidRDefault="00772EC3" w:rsidP="003D0F28">
            <w:pPr>
              <w:spacing w:after="0"/>
              <w:jc w:val="left"/>
              <w:rPr>
                <w:b/>
                <w:bCs/>
                <w:noProof/>
                <w:szCs w:val="24"/>
              </w:rPr>
            </w:pPr>
            <w:r>
              <w:rPr>
                <w:b/>
                <w:noProof/>
              </w:rPr>
              <w:t>Maksu kansallisessa valuutassa</w:t>
            </w:r>
          </w:p>
        </w:tc>
        <w:tc>
          <w:tcPr>
            <w:tcW w:w="2892" w:type="dxa"/>
            <w:shd w:val="clear" w:color="auto" w:fill="auto"/>
          </w:tcPr>
          <w:p w14:paraId="728095E7" w14:textId="77777777" w:rsidR="00772EC3" w:rsidRPr="004C6A35" w:rsidRDefault="00772EC3" w:rsidP="003D0F28">
            <w:pPr>
              <w:spacing w:after="0"/>
              <w:jc w:val="left"/>
              <w:rPr>
                <w:b/>
                <w:bCs/>
                <w:noProof/>
                <w:szCs w:val="24"/>
              </w:rPr>
            </w:pPr>
            <w:r>
              <w:rPr>
                <w:b/>
                <w:noProof/>
              </w:rPr>
              <w:t>Likimääräiset maksut euroina</w:t>
            </w:r>
          </w:p>
        </w:tc>
      </w:tr>
      <w:tr w:rsidR="00772EC3" w:rsidRPr="004C6A35" w14:paraId="3F109232" w14:textId="77777777" w:rsidTr="003D0F28">
        <w:tc>
          <w:tcPr>
            <w:tcW w:w="1838" w:type="dxa"/>
            <w:shd w:val="clear" w:color="auto" w:fill="auto"/>
          </w:tcPr>
          <w:p w14:paraId="0A525642" w14:textId="77777777" w:rsidR="00772EC3" w:rsidRPr="004C6A35" w:rsidRDefault="00772EC3" w:rsidP="004C6A35">
            <w:pPr>
              <w:spacing w:after="0"/>
              <w:rPr>
                <w:noProof/>
                <w:szCs w:val="24"/>
              </w:rPr>
            </w:pPr>
            <w:r>
              <w:rPr>
                <w:noProof/>
              </w:rPr>
              <w:t>Yhdysvallat</w:t>
            </w:r>
          </w:p>
        </w:tc>
        <w:tc>
          <w:tcPr>
            <w:tcW w:w="3878" w:type="dxa"/>
            <w:shd w:val="clear" w:color="auto" w:fill="auto"/>
          </w:tcPr>
          <w:p w14:paraId="13C3E929" w14:textId="77777777" w:rsidR="00772EC3" w:rsidRPr="004C6A35" w:rsidRDefault="00772EC3" w:rsidP="003D0F28">
            <w:pPr>
              <w:spacing w:after="0"/>
              <w:jc w:val="left"/>
              <w:rPr>
                <w:noProof/>
                <w:szCs w:val="24"/>
              </w:rPr>
            </w:pPr>
            <w:r>
              <w:rPr>
                <w:noProof/>
              </w:rPr>
              <w:t>185 (USD)</w:t>
            </w:r>
          </w:p>
        </w:tc>
        <w:tc>
          <w:tcPr>
            <w:tcW w:w="2892" w:type="dxa"/>
            <w:shd w:val="clear" w:color="auto" w:fill="auto"/>
          </w:tcPr>
          <w:p w14:paraId="5DD492CC" w14:textId="77777777" w:rsidR="00772EC3" w:rsidRPr="004C6A35" w:rsidRDefault="00772EC3" w:rsidP="003D0F28">
            <w:pPr>
              <w:spacing w:after="0"/>
              <w:jc w:val="left"/>
              <w:rPr>
                <w:noProof/>
                <w:szCs w:val="24"/>
              </w:rPr>
            </w:pPr>
            <w:r>
              <w:rPr>
                <w:noProof/>
              </w:rPr>
              <w:t>172</w:t>
            </w:r>
          </w:p>
        </w:tc>
      </w:tr>
      <w:tr w:rsidR="00772EC3" w:rsidRPr="004C6A35" w14:paraId="7EFC48EF" w14:textId="77777777" w:rsidTr="003D0F28">
        <w:tc>
          <w:tcPr>
            <w:tcW w:w="1838" w:type="dxa"/>
            <w:shd w:val="clear" w:color="auto" w:fill="auto"/>
          </w:tcPr>
          <w:p w14:paraId="79C56C31" w14:textId="77777777" w:rsidR="00772EC3" w:rsidRPr="004C6A35" w:rsidRDefault="00772EC3" w:rsidP="004C6A35">
            <w:pPr>
              <w:spacing w:after="0"/>
              <w:rPr>
                <w:noProof/>
                <w:szCs w:val="24"/>
              </w:rPr>
            </w:pPr>
            <w:r>
              <w:rPr>
                <w:noProof/>
              </w:rPr>
              <w:t>Yhdistynyt kuningaskunta</w:t>
            </w:r>
          </w:p>
        </w:tc>
        <w:tc>
          <w:tcPr>
            <w:tcW w:w="3878" w:type="dxa"/>
            <w:shd w:val="clear" w:color="auto" w:fill="auto"/>
          </w:tcPr>
          <w:p w14:paraId="25D48073" w14:textId="77777777" w:rsidR="00772EC3" w:rsidRPr="004C6A35" w:rsidRDefault="00772EC3" w:rsidP="003D0F28">
            <w:pPr>
              <w:spacing w:after="0"/>
              <w:jc w:val="left"/>
              <w:rPr>
                <w:noProof/>
                <w:szCs w:val="24"/>
              </w:rPr>
            </w:pPr>
            <w:r>
              <w:rPr>
                <w:noProof/>
              </w:rPr>
              <w:t>115–771 (GBP) voimassaolosta riippuen</w:t>
            </w:r>
          </w:p>
        </w:tc>
        <w:tc>
          <w:tcPr>
            <w:tcW w:w="2892" w:type="dxa"/>
            <w:shd w:val="clear" w:color="auto" w:fill="auto"/>
          </w:tcPr>
          <w:p w14:paraId="64507DF0" w14:textId="77777777" w:rsidR="00772EC3" w:rsidRPr="004C6A35" w:rsidRDefault="00772EC3" w:rsidP="003D0F28">
            <w:pPr>
              <w:spacing w:after="0"/>
              <w:jc w:val="left"/>
              <w:rPr>
                <w:noProof/>
                <w:szCs w:val="24"/>
              </w:rPr>
            </w:pPr>
            <w:r>
              <w:rPr>
                <w:noProof/>
              </w:rPr>
              <w:t>135–900</w:t>
            </w:r>
          </w:p>
        </w:tc>
      </w:tr>
      <w:tr w:rsidR="00772EC3" w:rsidRPr="004C6A35" w14:paraId="494653BC" w14:textId="77777777" w:rsidTr="003D0F28">
        <w:tc>
          <w:tcPr>
            <w:tcW w:w="1838" w:type="dxa"/>
            <w:shd w:val="clear" w:color="auto" w:fill="auto"/>
          </w:tcPr>
          <w:p w14:paraId="2F86F67B" w14:textId="77777777" w:rsidR="00772EC3" w:rsidRPr="004C6A35" w:rsidRDefault="00772EC3" w:rsidP="004C6A35">
            <w:pPr>
              <w:spacing w:after="0"/>
              <w:rPr>
                <w:noProof/>
                <w:szCs w:val="24"/>
              </w:rPr>
            </w:pPr>
            <w:r>
              <w:rPr>
                <w:noProof/>
              </w:rPr>
              <w:t>Kanada</w:t>
            </w:r>
          </w:p>
        </w:tc>
        <w:tc>
          <w:tcPr>
            <w:tcW w:w="3878" w:type="dxa"/>
            <w:shd w:val="clear" w:color="auto" w:fill="auto"/>
          </w:tcPr>
          <w:p w14:paraId="67AA97AF" w14:textId="77777777" w:rsidR="00772EC3" w:rsidRPr="004C6A35" w:rsidRDefault="00772EC3" w:rsidP="003D0F28">
            <w:pPr>
              <w:spacing w:after="0"/>
              <w:jc w:val="left"/>
              <w:rPr>
                <w:noProof/>
                <w:szCs w:val="24"/>
              </w:rPr>
            </w:pPr>
            <w:r>
              <w:rPr>
                <w:noProof/>
              </w:rPr>
              <w:t>100 + 85 biometriamaksu (CAD)</w:t>
            </w:r>
          </w:p>
        </w:tc>
        <w:tc>
          <w:tcPr>
            <w:tcW w:w="2892" w:type="dxa"/>
            <w:shd w:val="clear" w:color="auto" w:fill="auto"/>
          </w:tcPr>
          <w:p w14:paraId="168A0DF6" w14:textId="77777777" w:rsidR="00772EC3" w:rsidRPr="004C6A35" w:rsidRDefault="00772EC3" w:rsidP="003D0F28">
            <w:pPr>
              <w:spacing w:after="0"/>
              <w:jc w:val="left"/>
              <w:rPr>
                <w:noProof/>
                <w:szCs w:val="24"/>
              </w:rPr>
            </w:pPr>
            <w:r>
              <w:rPr>
                <w:noProof/>
              </w:rPr>
              <w:t>130</w:t>
            </w:r>
          </w:p>
        </w:tc>
      </w:tr>
      <w:tr w:rsidR="00772EC3" w:rsidRPr="004C6A35" w14:paraId="0C5B8CC1" w14:textId="77777777" w:rsidTr="003D0F28">
        <w:tc>
          <w:tcPr>
            <w:tcW w:w="1838" w:type="dxa"/>
            <w:shd w:val="clear" w:color="auto" w:fill="auto"/>
          </w:tcPr>
          <w:p w14:paraId="2A072412" w14:textId="77777777" w:rsidR="00772EC3" w:rsidRPr="004C6A35" w:rsidRDefault="00772EC3" w:rsidP="004C6A35">
            <w:pPr>
              <w:spacing w:after="0"/>
              <w:rPr>
                <w:noProof/>
                <w:szCs w:val="24"/>
              </w:rPr>
            </w:pPr>
            <w:r>
              <w:rPr>
                <w:noProof/>
              </w:rPr>
              <w:t>Australia</w:t>
            </w:r>
          </w:p>
        </w:tc>
        <w:tc>
          <w:tcPr>
            <w:tcW w:w="3878" w:type="dxa"/>
            <w:shd w:val="clear" w:color="auto" w:fill="auto"/>
          </w:tcPr>
          <w:p w14:paraId="6EFF9908" w14:textId="77777777" w:rsidR="00772EC3" w:rsidRPr="004C6A35" w:rsidRDefault="00772EC3" w:rsidP="003D0F28">
            <w:pPr>
              <w:spacing w:after="0"/>
              <w:jc w:val="left"/>
              <w:rPr>
                <w:noProof/>
                <w:szCs w:val="24"/>
              </w:rPr>
            </w:pPr>
            <w:r>
              <w:rPr>
                <w:noProof/>
              </w:rPr>
              <w:t>190 (AUD)</w:t>
            </w:r>
          </w:p>
        </w:tc>
        <w:tc>
          <w:tcPr>
            <w:tcW w:w="2892" w:type="dxa"/>
            <w:shd w:val="clear" w:color="auto" w:fill="auto"/>
          </w:tcPr>
          <w:p w14:paraId="5E9EC795" w14:textId="77777777" w:rsidR="00772EC3" w:rsidRPr="004C6A35" w:rsidRDefault="00772EC3" w:rsidP="003D0F28">
            <w:pPr>
              <w:spacing w:after="0"/>
              <w:jc w:val="left"/>
              <w:rPr>
                <w:noProof/>
                <w:szCs w:val="24"/>
              </w:rPr>
            </w:pPr>
            <w:r>
              <w:rPr>
                <w:noProof/>
              </w:rPr>
              <w:t>117</w:t>
            </w:r>
          </w:p>
        </w:tc>
      </w:tr>
      <w:tr w:rsidR="00772EC3" w:rsidRPr="004C6A35" w14:paraId="358BF295" w14:textId="77777777" w:rsidTr="003D0F28">
        <w:tc>
          <w:tcPr>
            <w:tcW w:w="1838" w:type="dxa"/>
            <w:shd w:val="clear" w:color="auto" w:fill="auto"/>
          </w:tcPr>
          <w:p w14:paraId="2F3371A0" w14:textId="77777777" w:rsidR="00772EC3" w:rsidRPr="004C6A35" w:rsidRDefault="00772EC3" w:rsidP="004C6A35">
            <w:pPr>
              <w:spacing w:after="0"/>
              <w:rPr>
                <w:noProof/>
                <w:szCs w:val="24"/>
              </w:rPr>
            </w:pPr>
            <w:r>
              <w:rPr>
                <w:noProof/>
              </w:rPr>
              <w:t>Uusi-Seelanti</w:t>
            </w:r>
          </w:p>
        </w:tc>
        <w:tc>
          <w:tcPr>
            <w:tcW w:w="3878" w:type="dxa"/>
            <w:shd w:val="clear" w:color="auto" w:fill="auto"/>
          </w:tcPr>
          <w:p w14:paraId="639AD2BA" w14:textId="77777777" w:rsidR="00772EC3" w:rsidRPr="004C6A35" w:rsidRDefault="00772EC3" w:rsidP="003D0F28">
            <w:pPr>
              <w:spacing w:after="0"/>
              <w:jc w:val="left"/>
              <w:rPr>
                <w:noProof/>
                <w:szCs w:val="24"/>
              </w:rPr>
            </w:pPr>
            <w:r>
              <w:rPr>
                <w:noProof/>
              </w:rPr>
              <w:t>211, jossa ei ole huomioitu turistiveroa (NZD)</w:t>
            </w:r>
          </w:p>
        </w:tc>
        <w:tc>
          <w:tcPr>
            <w:tcW w:w="2892" w:type="dxa"/>
            <w:shd w:val="clear" w:color="auto" w:fill="auto"/>
          </w:tcPr>
          <w:p w14:paraId="45930DF9" w14:textId="77777777" w:rsidR="00772EC3" w:rsidRPr="004C6A35" w:rsidRDefault="00772EC3" w:rsidP="003D0F28">
            <w:pPr>
              <w:spacing w:after="0"/>
              <w:jc w:val="left"/>
              <w:rPr>
                <w:noProof/>
                <w:szCs w:val="24"/>
              </w:rPr>
            </w:pPr>
            <w:r>
              <w:rPr>
                <w:noProof/>
              </w:rPr>
              <w:t>120</w:t>
            </w:r>
          </w:p>
        </w:tc>
      </w:tr>
      <w:tr w:rsidR="00772EC3" w:rsidRPr="004C6A35" w14:paraId="17A81306" w14:textId="77777777" w:rsidTr="003D0F28">
        <w:tc>
          <w:tcPr>
            <w:tcW w:w="1838" w:type="dxa"/>
            <w:shd w:val="clear" w:color="auto" w:fill="auto"/>
          </w:tcPr>
          <w:p w14:paraId="54E611E6" w14:textId="77777777" w:rsidR="00772EC3" w:rsidRPr="004C6A35" w:rsidRDefault="00772EC3" w:rsidP="004C6A35">
            <w:pPr>
              <w:spacing w:after="0"/>
              <w:rPr>
                <w:noProof/>
                <w:szCs w:val="24"/>
              </w:rPr>
            </w:pPr>
            <w:r>
              <w:rPr>
                <w:noProof/>
              </w:rPr>
              <w:t>Japani</w:t>
            </w:r>
          </w:p>
        </w:tc>
        <w:tc>
          <w:tcPr>
            <w:tcW w:w="3878" w:type="dxa"/>
            <w:shd w:val="clear" w:color="auto" w:fill="auto"/>
          </w:tcPr>
          <w:p w14:paraId="1949813E" w14:textId="77777777" w:rsidR="00772EC3" w:rsidRPr="004C6A35" w:rsidRDefault="00772EC3" w:rsidP="003D0F28">
            <w:pPr>
              <w:spacing w:after="0"/>
              <w:jc w:val="left"/>
              <w:rPr>
                <w:noProof/>
                <w:szCs w:val="24"/>
              </w:rPr>
            </w:pPr>
            <w:r>
              <w:rPr>
                <w:noProof/>
              </w:rPr>
              <w:t>3000, yksittäinen maahantulo</w:t>
            </w:r>
            <w:r>
              <w:rPr>
                <w:noProof/>
              </w:rPr>
              <w:br/>
              <w:t>6000, toistuva maahantulo (JPY)</w:t>
            </w:r>
          </w:p>
        </w:tc>
        <w:tc>
          <w:tcPr>
            <w:tcW w:w="2892" w:type="dxa"/>
            <w:shd w:val="clear" w:color="auto" w:fill="auto"/>
          </w:tcPr>
          <w:p w14:paraId="33EFF573" w14:textId="77777777" w:rsidR="00772EC3" w:rsidRPr="004C6A35" w:rsidRDefault="00772EC3" w:rsidP="003D0F28">
            <w:pPr>
              <w:spacing w:after="0"/>
              <w:jc w:val="left"/>
              <w:rPr>
                <w:noProof/>
                <w:szCs w:val="24"/>
              </w:rPr>
            </w:pPr>
            <w:r>
              <w:rPr>
                <w:noProof/>
              </w:rPr>
              <w:t>19</w:t>
            </w:r>
            <w:r>
              <w:rPr>
                <w:noProof/>
              </w:rPr>
              <w:br/>
              <w:t>38</w:t>
            </w:r>
          </w:p>
        </w:tc>
      </w:tr>
    </w:tbl>
    <w:p w14:paraId="25EE8348" w14:textId="77777777" w:rsidR="00772EC3" w:rsidRDefault="00772EC3" w:rsidP="00245D7E">
      <w:pPr>
        <w:rPr>
          <w:noProof/>
          <w:szCs w:val="24"/>
        </w:rPr>
      </w:pPr>
    </w:p>
    <w:p w14:paraId="4A2F1A2D" w14:textId="77777777" w:rsidR="00772EC3" w:rsidRDefault="00772EC3" w:rsidP="00245D7E">
      <w:pPr>
        <w:rPr>
          <w:noProof/>
          <w:szCs w:val="24"/>
        </w:rPr>
      </w:pPr>
      <w:r>
        <w:rPr>
          <w:noProof/>
        </w:rPr>
        <w:t>Komissio katsoo, että lasketut maksujen korotukset olisi siirrettävä viisuminhakijoiden maksettaviksi, kun otetaan huomioon useiden viime vuosien inflaatiotilanne ja kustannusten nousu, jonka jäsenvaltiot ovat joutuneet kattamaan. Tämän vuoksi se on antanut samanaikaisesti tämän kertomuksen kanssa delegoidun säädöksen, jolla pannaan täytäntöön uudet viisumimaksut.</w:t>
      </w:r>
    </w:p>
    <w:p w14:paraId="0C0C12F5" w14:textId="77777777" w:rsidR="00772EC3" w:rsidRDefault="00772EC3" w:rsidP="00245D7E">
      <w:pPr>
        <w:rPr>
          <w:noProof/>
          <w:szCs w:val="24"/>
        </w:rPr>
      </w:pPr>
      <w:r>
        <w:rPr>
          <w:noProof/>
        </w:rPr>
        <w:t xml:space="preserve">Viisumimaksun 12,5 prosentin korotuksen myötä jäsenvaltioiden viisumitulojen ennustetaan kasvavan lähes 12,5 prosenttia. </w:t>
      </w:r>
    </w:p>
    <w:p w14:paraId="463FF5FA" w14:textId="1EEDB2AD" w:rsidR="00772EC3" w:rsidRPr="002B53CC" w:rsidRDefault="00772EC3" w:rsidP="00245D7E">
      <w:pPr>
        <w:rPr>
          <w:b/>
          <w:bCs/>
          <w:noProof/>
          <w:sz w:val="32"/>
          <w:szCs w:val="32"/>
        </w:rPr>
      </w:pPr>
      <w:r>
        <w:rPr>
          <w:noProof/>
        </w:rPr>
        <w:t>Asetuksen 2019/1155</w:t>
      </w:r>
      <w:r>
        <w:rPr>
          <w:rStyle w:val="FootnoteReference"/>
          <w:noProof/>
          <w:szCs w:val="24"/>
        </w:rPr>
        <w:footnoteReference w:id="16"/>
      </w:r>
      <w:r>
        <w:rPr>
          <w:noProof/>
        </w:rPr>
        <w:t xml:space="preserve"> johdanto-osan 7 kappaleen mukaan nämä lisätulot olisi käytettävä riittävien resurssien, myös henkilöstön, asettamiseen saataville, jotta viisumihakemukset voidaan käsitellä noudattaen viisumisäännöstön 23 artiklassa asetettua 15 päivän määräaikaa ja EU:n kansalaisten perheenjäsenten osalta direktiivissä 2004/38/EY</w:t>
      </w:r>
      <w:r>
        <w:rPr>
          <w:rStyle w:val="FootnoteReference"/>
          <w:noProof/>
          <w:szCs w:val="24"/>
        </w:rPr>
        <w:footnoteReference w:id="17"/>
      </w:r>
      <w:r>
        <w:rPr>
          <w:noProof/>
        </w:rPr>
        <w:t xml:space="preserve"> säädettyä nopeutettua menettelyä. Lisätulojen avulla olisi myös varmistettava, että tapaamisajat viisumihakemuksen jättämistä varten voidaan järjestää kahden viikon kuluessa, kuten viisumisäännöstön 9 artiklassa edellytetään. </w:t>
      </w:r>
    </w:p>
    <w:p w14:paraId="1ECC61C5" w14:textId="77777777" w:rsidR="00772EC3" w:rsidRDefault="00772EC3" w:rsidP="00245D7E">
      <w:pPr>
        <w:rPr>
          <w:noProof/>
          <w:szCs w:val="24"/>
        </w:rPr>
      </w:pPr>
      <w:r>
        <w:rPr>
          <w:noProof/>
        </w:rPr>
        <w:t>Ajan varaaminen Schengen-viisumin hakemista varten on monissa kolmansissa maissa vaikeaa, koska hakijat voivat usein varata tapaamisen vasta sellaiselle päivälle, joka ylittää viisumisäännöstössä säädetyn kahden viikon määräajan</w:t>
      </w:r>
      <w:r>
        <w:rPr>
          <w:rStyle w:val="FootnoteReference"/>
          <w:noProof/>
          <w:szCs w:val="24"/>
        </w:rPr>
        <w:footnoteReference w:id="18"/>
      </w:r>
      <w:r>
        <w:rPr>
          <w:noProof/>
        </w:rPr>
        <w:t xml:space="preserve">. Tämä voi myös estää EU:n kansalaisten perheenjäseniä hyötymästä direktiivissä 2004/38/EY säädetystä nopeutetusta menettelystä. Nykytilanne vaikuttaa kielteisesti käsityksiin EU:sta ulkomailla ja sen suhteisiin joidenkin sen kumppaneiden kanssa, minkä vuoksi tilanteeseen on puututtava. </w:t>
      </w:r>
    </w:p>
    <w:p w14:paraId="21CF9643" w14:textId="77777777" w:rsidR="00772EC3" w:rsidRDefault="00772EC3" w:rsidP="00245D7E">
      <w:pPr>
        <w:rPr>
          <w:noProof/>
          <w:szCs w:val="24"/>
        </w:rPr>
      </w:pPr>
      <w:r>
        <w:rPr>
          <w:noProof/>
        </w:rPr>
        <w:t>Viisumimaksun muutoksen taloudellisia vaikutuksia on tarkasteltu, sillä kansalaiset, joille myönnetään viisumi ja jotka matkustavat Schengen-alueelle missä tahansa tarkoituksessa, tuovat mukanaan taloudellista pääomaa ja edistävät paikallisia talouksia. Pieni 12,5 prosentin tai 10 euron korotus ei todennäköisesti karkottaisi viisuminhakijoita, sillä Schengen-alueelle matkustamisen tai matkan aikana majoittumisen kustannukset ovat suhteellisesti korkeammat. Sama päätelmä tehtiin vuonna 2018 ennen viimeisintä viisumimaksujen korotusta.</w:t>
      </w:r>
      <w:r>
        <w:rPr>
          <w:rStyle w:val="FootnoteReference"/>
          <w:noProof/>
          <w:szCs w:val="24"/>
        </w:rPr>
        <w:footnoteReference w:id="19"/>
      </w:r>
      <w:r>
        <w:rPr>
          <w:noProof/>
        </w:rPr>
        <w:t xml:space="preserve"> Näin ollen muutoksella ei odoteta olevan kielteisiä taloudellisia vaikutuksia, eikä komissio odota merkittäviä muutoksia viisuminhakijoiden määrään etenkään turismin tai liikematkojen osalta.</w:t>
      </w:r>
    </w:p>
    <w:p w14:paraId="0F593780" w14:textId="5D16E4A0" w:rsidR="00772EC3" w:rsidRDefault="00772EC3" w:rsidP="003D0F28">
      <w:pPr>
        <w:pStyle w:val="Heading1"/>
        <w:rPr>
          <w:noProof/>
        </w:rPr>
      </w:pPr>
      <w:r>
        <w:rPr>
          <w:noProof/>
        </w:rPr>
        <w:t>Siirrettyä säädösvaltaa koskeva kertomus</w:t>
      </w:r>
    </w:p>
    <w:p w14:paraId="400A224F" w14:textId="1E4D47BC" w:rsidR="003D0F28" w:rsidRDefault="00772EC3" w:rsidP="00245D7E">
      <w:pPr>
        <w:rPr>
          <w:noProof/>
          <w:szCs w:val="24"/>
        </w:rPr>
      </w:pPr>
      <w:r>
        <w:rPr>
          <w:noProof/>
        </w:rPr>
        <w:t>Säädösvalta siirrettiin komissiolle vuonna 2019, ja tämä on ensimmäinen kerta, kun komissio käyttää sitä ja hyväksyy delegoidun säädöksen viisumimaksujen tarkistamisesta. Komissio pystyi käyttämään siirrettyä säädösvaltaa ongelmitta lainsäätäjien tarkoittamalla tavalla ja pitäytyi viisumisäännöstössä nimenomaisesti mainituissa objektiivisissa indikaattoreissa (unionin laajuinen inflaatio ja jäsenvaltioiden virkamiesten palkkojen painotettu keskiarvo). Tarvittavat tiedot Eurostatilta olivat saatavilla riittävän ajoissa, ja komissio pystyi niiden avulla arvioimaan viisumimaksun tarkistamisen asianmukaisuutta. Komissio käytti siirrettyä valtaa vahvistaakseen uudet viisumimaksut laskelmien tulosten mukaisesti.</w:t>
      </w:r>
    </w:p>
    <w:p w14:paraId="6CB2D901" w14:textId="0CC36BC5" w:rsidR="00772EC3" w:rsidRPr="006F1EAF" w:rsidRDefault="00772EC3" w:rsidP="00245D7E">
      <w:pPr>
        <w:rPr>
          <w:noProof/>
          <w:szCs w:val="24"/>
        </w:rPr>
      </w:pPr>
      <w:r>
        <w:rPr>
          <w:noProof/>
        </w:rPr>
        <w:t>Komissio ei näe esteitä säädösvallan siirron jatkamiselle ilman eri toimenpiteitä viisumisäännöstön 51 a artiklan 2 kohdan mukaisesti, mikä tarkoittaisi sitä, että komissio arvioi jälleen tarvetta tarkistaa viisumimaksujen määrää vuosina 2026–2027.</w:t>
      </w:r>
    </w:p>
    <w:p w14:paraId="243BDB59" w14:textId="12103799" w:rsidR="00772EC3" w:rsidRDefault="00772EC3" w:rsidP="003D0F28">
      <w:pPr>
        <w:pStyle w:val="Heading1"/>
        <w:rPr>
          <w:noProof/>
        </w:rPr>
      </w:pPr>
      <w:r>
        <w:rPr>
          <w:noProof/>
        </w:rPr>
        <w:t>Päätelmät</w:t>
      </w:r>
    </w:p>
    <w:p w14:paraId="275AB309" w14:textId="77777777" w:rsidR="00772EC3" w:rsidRDefault="00772EC3" w:rsidP="00245D7E">
      <w:pPr>
        <w:rPr>
          <w:noProof/>
          <w:szCs w:val="24"/>
        </w:rPr>
      </w:pPr>
      <w:r>
        <w:rPr>
          <w:noProof/>
        </w:rPr>
        <w:t>Edellä esitetyn menetelmän ja arvioinnin perusteella komissio hyväksyy yhdessä tämän kertomuksen kanssa delegoidun säädöksen, jolla viisumimaksuja korotetaan 12,5 prosenttia. Tämä tarkoittaa, että aikuiset maksavat vastedes 90 euron suuruisen maksun.</w:t>
      </w:r>
    </w:p>
    <w:p w14:paraId="5D93219B" w14:textId="77777777" w:rsidR="00772EC3" w:rsidRDefault="00772EC3" w:rsidP="00245D7E">
      <w:pPr>
        <w:rPr>
          <w:noProof/>
          <w:szCs w:val="24"/>
        </w:rPr>
      </w:pPr>
      <w:r>
        <w:rPr>
          <w:noProof/>
        </w:rPr>
        <w:t>Lisäksi komissio käyttää tilaisuutta hyväkseen muistuttaakseen jäsenvaltioita asetuksen 2019/1155 johdanto-osan 7 kappaleesta ja viisumisäännöstön 9 artiklasta, sellaisena kuin se on muutettuna, ja kehottaa jäsenvaltioita käyttämään näitä uusia tuloja resurssien – myös henkilöstön – lisäämiseen, jotta voidaan lisätä valmiuksia käsitellä viisumihakemuksia konsulaateissa ja lyhentää hakijoiden odotusaikoja. Näin poistetaan tilanteet, joissa viisumisäännöstössä vahvistettuja määräaikoja ja kansalaisten perheenjäsenten osalta direktiivissä 2004/38/EY EU:n säädettyä nopeutettua menettelyä ei noudateta.</w:t>
      </w:r>
    </w:p>
    <w:p w14:paraId="707D2021" w14:textId="77777777" w:rsidR="00772EC3" w:rsidRPr="002B53CC" w:rsidRDefault="00772EC3" w:rsidP="00245D7E">
      <w:pPr>
        <w:rPr>
          <w:noProof/>
          <w:szCs w:val="24"/>
        </w:rPr>
      </w:pPr>
      <w:r>
        <w:rPr>
          <w:noProof/>
        </w:rPr>
        <w:t>Tämä kertomus täyttää myös viisumisäännöstön 51 a artiklan 2 kohdan mukaisen raportointivaatimuksen. Komissio pyytää Euroopan parlamenttia ja neuvostoa ottamaan huomioon tämän kertomuksen.</w:t>
      </w:r>
    </w:p>
    <w:p w14:paraId="0B46969D" w14:textId="77777777" w:rsidR="00772EC3" w:rsidRPr="00FF453A" w:rsidRDefault="00772EC3" w:rsidP="00245D7E">
      <w:pPr>
        <w:rPr>
          <w:noProof/>
        </w:rPr>
      </w:pPr>
    </w:p>
    <w:p w14:paraId="2E0CCBFE" w14:textId="77777777" w:rsidR="00772EC3" w:rsidRDefault="00772EC3" w:rsidP="00245D7E">
      <w:pPr>
        <w:rPr>
          <w:noProof/>
          <w:szCs w:val="24"/>
        </w:rPr>
      </w:pPr>
      <w:r>
        <w:rPr>
          <w:noProof/>
        </w:rPr>
        <w:br w:type="page"/>
      </w:r>
    </w:p>
    <w:p w14:paraId="3BFAA9A3" w14:textId="77777777" w:rsidR="00772EC3" w:rsidRPr="00702148" w:rsidRDefault="00772EC3" w:rsidP="003D0F28">
      <w:pPr>
        <w:pStyle w:val="AnnexTitle"/>
        <w:numPr>
          <w:ilvl w:val="0"/>
          <w:numId w:val="0"/>
        </w:numPr>
        <w:jc w:val="center"/>
        <w:rPr>
          <w:noProof/>
        </w:rPr>
      </w:pPr>
      <w:r>
        <w:rPr>
          <w:noProof/>
        </w:rPr>
        <w:t>Liite – Palkan (ostovoima) indikaattorin laskeminen</w:t>
      </w:r>
    </w:p>
    <w:p w14:paraId="1A4AAE4E" w14:textId="77777777" w:rsidR="00772EC3" w:rsidRPr="00702148" w:rsidRDefault="00772EC3" w:rsidP="00245D7E">
      <w:pPr>
        <w:spacing w:after="200" w:line="276" w:lineRule="auto"/>
        <w:rPr>
          <w:b/>
          <w:bCs/>
          <w:i/>
          <w:iCs/>
          <w:noProof/>
          <w:szCs w:val="24"/>
        </w:rPr>
      </w:pPr>
      <w:r>
        <w:rPr>
          <w:b/>
          <w:i/>
          <w:noProof/>
        </w:rPr>
        <w:t>2020–2021</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77"/>
        <w:gridCol w:w="2342"/>
        <w:gridCol w:w="2719"/>
        <w:gridCol w:w="2435"/>
      </w:tblGrid>
      <w:tr w:rsidR="00772EC3" w:rsidRPr="004C6A35" w14:paraId="06575D2A" w14:textId="77777777" w:rsidTr="00186607">
        <w:trPr>
          <w:trHeight w:val="300"/>
        </w:trPr>
        <w:tc>
          <w:tcPr>
            <w:tcW w:w="776" w:type="pct"/>
            <w:shd w:val="clear" w:color="auto" w:fill="auto"/>
            <w:noWrap/>
            <w:vAlign w:val="bottom"/>
          </w:tcPr>
          <w:p w14:paraId="3E0DA2E1" w14:textId="77777777" w:rsidR="00772EC3" w:rsidRPr="00702148" w:rsidRDefault="00772EC3" w:rsidP="003C405A">
            <w:pPr>
              <w:spacing w:after="0"/>
              <w:rPr>
                <w:noProof/>
                <w:color w:val="000000"/>
              </w:rPr>
            </w:pPr>
            <w:r>
              <w:rPr>
                <w:noProof/>
                <w:color w:val="000000"/>
              </w:rPr>
              <w:t>Jäsenvaltio</w:t>
            </w:r>
          </w:p>
        </w:tc>
        <w:tc>
          <w:tcPr>
            <w:tcW w:w="1320" w:type="pct"/>
            <w:shd w:val="clear" w:color="auto" w:fill="auto"/>
            <w:noWrap/>
            <w:vAlign w:val="bottom"/>
          </w:tcPr>
          <w:p w14:paraId="2C2E6296" w14:textId="77777777" w:rsidR="00772EC3" w:rsidRPr="00702148" w:rsidRDefault="00772EC3" w:rsidP="003C405A">
            <w:pPr>
              <w:spacing w:after="0"/>
              <w:rPr>
                <w:noProof/>
                <w:color w:val="000000"/>
              </w:rPr>
            </w:pPr>
            <w:r>
              <w:rPr>
                <w:noProof/>
                <w:color w:val="000000"/>
              </w:rPr>
              <w:t>Reaalisen nettopalkan indikaattori</w:t>
            </w:r>
          </w:p>
        </w:tc>
        <w:tc>
          <w:tcPr>
            <w:tcW w:w="1532" w:type="pct"/>
            <w:shd w:val="clear" w:color="auto" w:fill="auto"/>
            <w:noWrap/>
            <w:vAlign w:val="bottom"/>
          </w:tcPr>
          <w:p w14:paraId="0A88EDF6" w14:textId="77777777" w:rsidR="00772EC3" w:rsidRPr="00933599" w:rsidRDefault="00772EC3" w:rsidP="003C405A">
            <w:pPr>
              <w:spacing w:after="0"/>
              <w:rPr>
                <w:noProof/>
                <w:color w:val="000000"/>
              </w:rPr>
            </w:pPr>
            <w:r>
              <w:rPr>
                <w:noProof/>
                <w:color w:val="000000"/>
              </w:rPr>
              <w:t>BKT-painotus OVS:nä (EU27=100)</w:t>
            </w:r>
          </w:p>
        </w:tc>
        <w:tc>
          <w:tcPr>
            <w:tcW w:w="1372" w:type="pct"/>
            <w:shd w:val="clear" w:color="auto" w:fill="auto"/>
            <w:noWrap/>
            <w:vAlign w:val="bottom"/>
          </w:tcPr>
          <w:p w14:paraId="421DA533" w14:textId="77777777" w:rsidR="00772EC3" w:rsidRPr="00702148" w:rsidRDefault="00772EC3" w:rsidP="003C405A">
            <w:pPr>
              <w:spacing w:after="0"/>
              <w:rPr>
                <w:noProof/>
                <w:color w:val="000000"/>
              </w:rPr>
            </w:pPr>
            <w:r>
              <w:rPr>
                <w:noProof/>
                <w:color w:val="000000"/>
              </w:rPr>
              <w:t>Vaikutus kokonaisindikaattoriin</w:t>
            </w:r>
          </w:p>
        </w:tc>
      </w:tr>
      <w:tr w:rsidR="00772EC3" w:rsidRPr="004C6A35" w14:paraId="48E994C3" w14:textId="77777777" w:rsidTr="00186607">
        <w:trPr>
          <w:trHeight w:val="300"/>
        </w:trPr>
        <w:tc>
          <w:tcPr>
            <w:tcW w:w="776" w:type="pct"/>
            <w:shd w:val="clear" w:color="auto" w:fill="auto"/>
            <w:noWrap/>
            <w:vAlign w:val="bottom"/>
          </w:tcPr>
          <w:p w14:paraId="609DBA3F" w14:textId="77777777" w:rsidR="00772EC3" w:rsidRPr="00702148" w:rsidRDefault="00772EC3" w:rsidP="003C405A">
            <w:pPr>
              <w:spacing w:after="0"/>
              <w:rPr>
                <w:noProof/>
                <w:color w:val="000000"/>
                <w:lang w:eastAsia="en-IE"/>
              </w:rPr>
            </w:pPr>
          </w:p>
        </w:tc>
        <w:tc>
          <w:tcPr>
            <w:tcW w:w="1320" w:type="pct"/>
            <w:shd w:val="clear" w:color="auto" w:fill="auto"/>
            <w:noWrap/>
            <w:vAlign w:val="bottom"/>
          </w:tcPr>
          <w:p w14:paraId="1DFEE040" w14:textId="77777777" w:rsidR="00772EC3" w:rsidRPr="00702148" w:rsidRDefault="00772EC3" w:rsidP="003C405A">
            <w:pPr>
              <w:spacing w:after="0"/>
              <w:rPr>
                <w:noProof/>
                <w:sz w:val="20"/>
                <w:lang w:eastAsia="en-IE"/>
              </w:rPr>
            </w:pPr>
          </w:p>
        </w:tc>
        <w:tc>
          <w:tcPr>
            <w:tcW w:w="1532" w:type="pct"/>
            <w:shd w:val="clear" w:color="auto" w:fill="auto"/>
            <w:noWrap/>
            <w:vAlign w:val="bottom"/>
          </w:tcPr>
          <w:p w14:paraId="55EDB72A" w14:textId="77777777" w:rsidR="00772EC3" w:rsidRPr="00702148" w:rsidRDefault="00772EC3" w:rsidP="003C405A">
            <w:pPr>
              <w:spacing w:after="0"/>
              <w:rPr>
                <w:noProof/>
                <w:sz w:val="20"/>
                <w:lang w:eastAsia="en-IE"/>
              </w:rPr>
            </w:pPr>
          </w:p>
        </w:tc>
        <w:tc>
          <w:tcPr>
            <w:tcW w:w="1372" w:type="pct"/>
            <w:shd w:val="clear" w:color="auto" w:fill="auto"/>
            <w:noWrap/>
            <w:vAlign w:val="bottom"/>
          </w:tcPr>
          <w:p w14:paraId="1B989DC7" w14:textId="77777777" w:rsidR="00772EC3" w:rsidRPr="00702148" w:rsidRDefault="00772EC3" w:rsidP="003C405A">
            <w:pPr>
              <w:spacing w:after="0"/>
              <w:rPr>
                <w:noProof/>
                <w:sz w:val="20"/>
                <w:lang w:eastAsia="en-IE"/>
              </w:rPr>
            </w:pPr>
          </w:p>
        </w:tc>
      </w:tr>
      <w:tr w:rsidR="00772EC3" w:rsidRPr="004C6A35" w14:paraId="1148B5E7" w14:textId="77777777" w:rsidTr="00186607">
        <w:trPr>
          <w:trHeight w:val="300"/>
        </w:trPr>
        <w:tc>
          <w:tcPr>
            <w:tcW w:w="776" w:type="pct"/>
            <w:shd w:val="clear" w:color="auto" w:fill="auto"/>
            <w:noWrap/>
            <w:vAlign w:val="bottom"/>
          </w:tcPr>
          <w:p w14:paraId="43FCE2E4" w14:textId="77777777" w:rsidR="00772EC3" w:rsidRPr="00702148" w:rsidRDefault="00772EC3" w:rsidP="003C405A">
            <w:pPr>
              <w:spacing w:after="0"/>
              <w:rPr>
                <w:noProof/>
                <w:color w:val="000000"/>
              </w:rPr>
            </w:pPr>
            <w:r>
              <w:rPr>
                <w:noProof/>
                <w:color w:val="000000"/>
              </w:rPr>
              <w:t>BE</w:t>
            </w:r>
          </w:p>
        </w:tc>
        <w:tc>
          <w:tcPr>
            <w:tcW w:w="1320" w:type="pct"/>
            <w:shd w:val="clear" w:color="auto" w:fill="auto"/>
            <w:noWrap/>
            <w:vAlign w:val="bottom"/>
          </w:tcPr>
          <w:p w14:paraId="57992DCD" w14:textId="77777777" w:rsidR="00772EC3" w:rsidRPr="00702148" w:rsidRDefault="00772EC3" w:rsidP="003C405A">
            <w:pPr>
              <w:spacing w:after="0"/>
              <w:jc w:val="right"/>
              <w:rPr>
                <w:noProof/>
                <w:color w:val="000000"/>
              </w:rPr>
            </w:pPr>
            <w:r>
              <w:rPr>
                <w:noProof/>
                <w:color w:val="000000"/>
              </w:rPr>
              <w:t>–2,3 %</w:t>
            </w:r>
          </w:p>
        </w:tc>
        <w:tc>
          <w:tcPr>
            <w:tcW w:w="1532" w:type="pct"/>
            <w:shd w:val="clear" w:color="auto" w:fill="auto"/>
            <w:noWrap/>
            <w:vAlign w:val="bottom"/>
          </w:tcPr>
          <w:p w14:paraId="2A7EFDAC" w14:textId="77777777" w:rsidR="00772EC3" w:rsidRPr="00702148" w:rsidRDefault="00772EC3" w:rsidP="003C405A">
            <w:pPr>
              <w:spacing w:after="0"/>
              <w:jc w:val="right"/>
              <w:rPr>
                <w:noProof/>
                <w:color w:val="000000"/>
              </w:rPr>
            </w:pPr>
            <w:r>
              <w:rPr>
                <w:noProof/>
                <w:color w:val="000000"/>
              </w:rPr>
              <w:t>3,0 %</w:t>
            </w:r>
          </w:p>
        </w:tc>
        <w:tc>
          <w:tcPr>
            <w:tcW w:w="1372" w:type="pct"/>
            <w:shd w:val="clear" w:color="auto" w:fill="auto"/>
            <w:noWrap/>
            <w:vAlign w:val="bottom"/>
          </w:tcPr>
          <w:p w14:paraId="64D66E0C" w14:textId="77777777" w:rsidR="00772EC3" w:rsidRPr="00702148" w:rsidRDefault="00772EC3" w:rsidP="003C405A">
            <w:pPr>
              <w:spacing w:after="0"/>
              <w:jc w:val="right"/>
              <w:rPr>
                <w:noProof/>
                <w:color w:val="000000"/>
              </w:rPr>
            </w:pPr>
            <w:r>
              <w:rPr>
                <w:noProof/>
                <w:color w:val="000000"/>
              </w:rPr>
              <w:t>–0,1 %</w:t>
            </w:r>
          </w:p>
        </w:tc>
      </w:tr>
      <w:tr w:rsidR="00772EC3" w:rsidRPr="004C6A35" w14:paraId="4EF7A947" w14:textId="77777777" w:rsidTr="00186607">
        <w:trPr>
          <w:trHeight w:val="300"/>
        </w:trPr>
        <w:tc>
          <w:tcPr>
            <w:tcW w:w="776" w:type="pct"/>
            <w:shd w:val="clear" w:color="auto" w:fill="auto"/>
            <w:noWrap/>
            <w:vAlign w:val="bottom"/>
          </w:tcPr>
          <w:p w14:paraId="2D7715D8" w14:textId="77777777" w:rsidR="00772EC3" w:rsidRPr="00702148" w:rsidRDefault="00772EC3" w:rsidP="00186607">
            <w:pPr>
              <w:spacing w:after="0"/>
              <w:ind w:right="-222"/>
              <w:rPr>
                <w:noProof/>
                <w:color w:val="000000"/>
              </w:rPr>
            </w:pPr>
            <w:r>
              <w:rPr>
                <w:noProof/>
                <w:color w:val="000000"/>
              </w:rPr>
              <w:t>BG</w:t>
            </w:r>
          </w:p>
        </w:tc>
        <w:tc>
          <w:tcPr>
            <w:tcW w:w="1320" w:type="pct"/>
            <w:shd w:val="clear" w:color="auto" w:fill="auto"/>
            <w:noWrap/>
            <w:vAlign w:val="bottom"/>
          </w:tcPr>
          <w:p w14:paraId="4C8DB86A" w14:textId="77777777" w:rsidR="00772EC3" w:rsidRPr="00702148" w:rsidRDefault="00772EC3" w:rsidP="003C405A">
            <w:pPr>
              <w:spacing w:after="0"/>
              <w:jc w:val="right"/>
              <w:rPr>
                <w:noProof/>
                <w:color w:val="000000"/>
              </w:rPr>
            </w:pPr>
            <w:r>
              <w:rPr>
                <w:noProof/>
                <w:color w:val="000000"/>
              </w:rPr>
              <w:t>10,4 %</w:t>
            </w:r>
          </w:p>
        </w:tc>
        <w:tc>
          <w:tcPr>
            <w:tcW w:w="1532" w:type="pct"/>
            <w:shd w:val="clear" w:color="auto" w:fill="auto"/>
            <w:noWrap/>
            <w:vAlign w:val="bottom"/>
          </w:tcPr>
          <w:p w14:paraId="73E89624" w14:textId="77777777" w:rsidR="00772EC3" w:rsidRPr="00702148" w:rsidRDefault="00772EC3" w:rsidP="003C405A">
            <w:pPr>
              <w:spacing w:after="0"/>
              <w:jc w:val="right"/>
              <w:rPr>
                <w:noProof/>
                <w:color w:val="000000"/>
              </w:rPr>
            </w:pPr>
            <w:r>
              <w:rPr>
                <w:noProof/>
                <w:color w:val="000000"/>
              </w:rPr>
              <w:t>0,8 %</w:t>
            </w:r>
          </w:p>
        </w:tc>
        <w:tc>
          <w:tcPr>
            <w:tcW w:w="1372" w:type="pct"/>
            <w:shd w:val="clear" w:color="auto" w:fill="auto"/>
            <w:noWrap/>
            <w:vAlign w:val="bottom"/>
          </w:tcPr>
          <w:p w14:paraId="3CD4E8E7" w14:textId="77777777" w:rsidR="00772EC3" w:rsidRPr="00702148" w:rsidRDefault="00772EC3" w:rsidP="003C405A">
            <w:pPr>
              <w:spacing w:after="0"/>
              <w:jc w:val="right"/>
              <w:rPr>
                <w:noProof/>
                <w:color w:val="000000"/>
              </w:rPr>
            </w:pPr>
            <w:r>
              <w:rPr>
                <w:noProof/>
                <w:color w:val="000000"/>
              </w:rPr>
              <w:t>0,1 %</w:t>
            </w:r>
          </w:p>
        </w:tc>
      </w:tr>
      <w:tr w:rsidR="00772EC3" w:rsidRPr="004C6A35" w14:paraId="29908BAD" w14:textId="77777777" w:rsidTr="00186607">
        <w:trPr>
          <w:trHeight w:val="300"/>
        </w:trPr>
        <w:tc>
          <w:tcPr>
            <w:tcW w:w="776" w:type="pct"/>
            <w:shd w:val="clear" w:color="auto" w:fill="auto"/>
            <w:noWrap/>
            <w:vAlign w:val="bottom"/>
          </w:tcPr>
          <w:p w14:paraId="0E25EDF3" w14:textId="77777777" w:rsidR="00772EC3" w:rsidRPr="00702148" w:rsidRDefault="00772EC3" w:rsidP="003C405A">
            <w:pPr>
              <w:spacing w:after="0"/>
              <w:rPr>
                <w:noProof/>
                <w:color w:val="000000"/>
              </w:rPr>
            </w:pPr>
            <w:r>
              <w:rPr>
                <w:noProof/>
                <w:color w:val="000000"/>
              </w:rPr>
              <w:t>CZ</w:t>
            </w:r>
          </w:p>
        </w:tc>
        <w:tc>
          <w:tcPr>
            <w:tcW w:w="1320" w:type="pct"/>
            <w:shd w:val="clear" w:color="auto" w:fill="auto"/>
            <w:noWrap/>
            <w:vAlign w:val="bottom"/>
          </w:tcPr>
          <w:p w14:paraId="60263EFE" w14:textId="77777777" w:rsidR="00772EC3" w:rsidRPr="00702148" w:rsidRDefault="00772EC3" w:rsidP="003C405A">
            <w:pPr>
              <w:spacing w:after="0"/>
              <w:jc w:val="right"/>
              <w:rPr>
                <w:noProof/>
                <w:color w:val="000000"/>
              </w:rPr>
            </w:pPr>
            <w:r>
              <w:rPr>
                <w:noProof/>
                <w:color w:val="000000"/>
              </w:rPr>
              <w:t>6,2 %</w:t>
            </w:r>
          </w:p>
        </w:tc>
        <w:tc>
          <w:tcPr>
            <w:tcW w:w="1532" w:type="pct"/>
            <w:shd w:val="clear" w:color="auto" w:fill="auto"/>
            <w:noWrap/>
            <w:vAlign w:val="bottom"/>
          </w:tcPr>
          <w:p w14:paraId="364B8D8F" w14:textId="77777777" w:rsidR="00772EC3" w:rsidRPr="00702148" w:rsidRDefault="00772EC3" w:rsidP="003C405A">
            <w:pPr>
              <w:spacing w:after="0"/>
              <w:jc w:val="right"/>
              <w:rPr>
                <w:noProof/>
                <w:color w:val="000000"/>
              </w:rPr>
            </w:pPr>
            <w:r>
              <w:rPr>
                <w:noProof/>
                <w:color w:val="000000"/>
              </w:rPr>
              <w:t>2,2 %</w:t>
            </w:r>
          </w:p>
        </w:tc>
        <w:tc>
          <w:tcPr>
            <w:tcW w:w="1372" w:type="pct"/>
            <w:shd w:val="clear" w:color="auto" w:fill="auto"/>
            <w:noWrap/>
            <w:vAlign w:val="bottom"/>
          </w:tcPr>
          <w:p w14:paraId="0B828763" w14:textId="77777777" w:rsidR="00772EC3" w:rsidRPr="00702148" w:rsidRDefault="00772EC3" w:rsidP="003C405A">
            <w:pPr>
              <w:spacing w:after="0"/>
              <w:jc w:val="right"/>
              <w:rPr>
                <w:noProof/>
                <w:color w:val="000000"/>
              </w:rPr>
            </w:pPr>
            <w:r>
              <w:rPr>
                <w:noProof/>
                <w:color w:val="000000"/>
              </w:rPr>
              <w:t>0,1 %</w:t>
            </w:r>
          </w:p>
        </w:tc>
      </w:tr>
      <w:tr w:rsidR="00772EC3" w:rsidRPr="004C6A35" w14:paraId="0449C991" w14:textId="77777777" w:rsidTr="00186607">
        <w:trPr>
          <w:trHeight w:val="300"/>
        </w:trPr>
        <w:tc>
          <w:tcPr>
            <w:tcW w:w="776" w:type="pct"/>
            <w:shd w:val="clear" w:color="auto" w:fill="auto"/>
            <w:noWrap/>
            <w:vAlign w:val="bottom"/>
          </w:tcPr>
          <w:p w14:paraId="294B33DB" w14:textId="77777777" w:rsidR="00772EC3" w:rsidRPr="00702148" w:rsidRDefault="00772EC3" w:rsidP="003C405A">
            <w:pPr>
              <w:spacing w:after="0"/>
              <w:rPr>
                <w:noProof/>
                <w:color w:val="000000"/>
              </w:rPr>
            </w:pPr>
            <w:r>
              <w:rPr>
                <w:noProof/>
                <w:color w:val="000000"/>
              </w:rPr>
              <w:t>DK</w:t>
            </w:r>
          </w:p>
        </w:tc>
        <w:tc>
          <w:tcPr>
            <w:tcW w:w="1320" w:type="pct"/>
            <w:shd w:val="clear" w:color="auto" w:fill="auto"/>
            <w:noWrap/>
            <w:vAlign w:val="bottom"/>
          </w:tcPr>
          <w:p w14:paraId="45112164" w14:textId="77777777" w:rsidR="00772EC3" w:rsidRPr="00702148" w:rsidRDefault="00772EC3" w:rsidP="003C405A">
            <w:pPr>
              <w:spacing w:after="0"/>
              <w:jc w:val="right"/>
              <w:rPr>
                <w:noProof/>
                <w:color w:val="000000"/>
              </w:rPr>
            </w:pPr>
            <w:r>
              <w:rPr>
                <w:noProof/>
                <w:color w:val="000000"/>
              </w:rPr>
              <w:t>–0,4 %</w:t>
            </w:r>
          </w:p>
        </w:tc>
        <w:tc>
          <w:tcPr>
            <w:tcW w:w="1532" w:type="pct"/>
            <w:shd w:val="clear" w:color="auto" w:fill="auto"/>
            <w:noWrap/>
            <w:vAlign w:val="bottom"/>
          </w:tcPr>
          <w:p w14:paraId="3D3AC216" w14:textId="77777777" w:rsidR="00772EC3" w:rsidRPr="00702148" w:rsidRDefault="00772EC3" w:rsidP="003C405A">
            <w:pPr>
              <w:spacing w:after="0"/>
              <w:jc w:val="right"/>
              <w:rPr>
                <w:noProof/>
                <w:color w:val="000000"/>
              </w:rPr>
            </w:pPr>
            <w:r>
              <w:rPr>
                <w:noProof/>
                <w:color w:val="000000"/>
              </w:rPr>
              <w:t>1,8 %</w:t>
            </w:r>
          </w:p>
        </w:tc>
        <w:tc>
          <w:tcPr>
            <w:tcW w:w="1372" w:type="pct"/>
            <w:shd w:val="clear" w:color="auto" w:fill="auto"/>
            <w:noWrap/>
            <w:vAlign w:val="bottom"/>
          </w:tcPr>
          <w:p w14:paraId="123487C8" w14:textId="77777777" w:rsidR="00772EC3" w:rsidRPr="00702148" w:rsidRDefault="00772EC3" w:rsidP="003C405A">
            <w:pPr>
              <w:spacing w:after="0"/>
              <w:jc w:val="right"/>
              <w:rPr>
                <w:noProof/>
                <w:color w:val="000000"/>
              </w:rPr>
            </w:pPr>
            <w:r>
              <w:rPr>
                <w:noProof/>
                <w:color w:val="000000"/>
              </w:rPr>
              <w:t>0,0 %</w:t>
            </w:r>
          </w:p>
        </w:tc>
      </w:tr>
      <w:tr w:rsidR="00772EC3" w:rsidRPr="004C6A35" w14:paraId="2577C278" w14:textId="77777777" w:rsidTr="00186607">
        <w:trPr>
          <w:trHeight w:val="300"/>
        </w:trPr>
        <w:tc>
          <w:tcPr>
            <w:tcW w:w="776" w:type="pct"/>
            <w:shd w:val="clear" w:color="auto" w:fill="auto"/>
            <w:noWrap/>
            <w:vAlign w:val="bottom"/>
          </w:tcPr>
          <w:p w14:paraId="1DC68536" w14:textId="77777777" w:rsidR="00772EC3" w:rsidRPr="00702148" w:rsidRDefault="00772EC3" w:rsidP="003C405A">
            <w:pPr>
              <w:spacing w:after="0"/>
              <w:rPr>
                <w:noProof/>
                <w:color w:val="000000"/>
              </w:rPr>
            </w:pPr>
            <w:r>
              <w:rPr>
                <w:noProof/>
                <w:color w:val="000000"/>
              </w:rPr>
              <w:t>DE</w:t>
            </w:r>
          </w:p>
        </w:tc>
        <w:tc>
          <w:tcPr>
            <w:tcW w:w="1320" w:type="pct"/>
            <w:shd w:val="clear" w:color="auto" w:fill="auto"/>
            <w:noWrap/>
            <w:vAlign w:val="bottom"/>
          </w:tcPr>
          <w:p w14:paraId="63F131AC" w14:textId="77777777" w:rsidR="00772EC3" w:rsidRPr="00702148" w:rsidRDefault="00772EC3" w:rsidP="003C405A">
            <w:pPr>
              <w:spacing w:after="0"/>
              <w:jc w:val="right"/>
              <w:rPr>
                <w:noProof/>
                <w:color w:val="000000"/>
              </w:rPr>
            </w:pPr>
            <w:r>
              <w:rPr>
                <w:noProof/>
                <w:color w:val="000000"/>
              </w:rPr>
              <w:t>0,1 %</w:t>
            </w:r>
          </w:p>
        </w:tc>
        <w:tc>
          <w:tcPr>
            <w:tcW w:w="1532" w:type="pct"/>
            <w:shd w:val="clear" w:color="auto" w:fill="auto"/>
            <w:noWrap/>
            <w:vAlign w:val="bottom"/>
          </w:tcPr>
          <w:p w14:paraId="370B7125" w14:textId="77777777" w:rsidR="00772EC3" w:rsidRPr="00702148" w:rsidRDefault="00772EC3" w:rsidP="003C405A">
            <w:pPr>
              <w:spacing w:after="0"/>
              <w:jc w:val="right"/>
              <w:rPr>
                <w:noProof/>
                <w:color w:val="000000"/>
              </w:rPr>
            </w:pPr>
            <w:r>
              <w:rPr>
                <w:noProof/>
                <w:color w:val="000000"/>
              </w:rPr>
              <w:t>22,6 %</w:t>
            </w:r>
          </w:p>
        </w:tc>
        <w:tc>
          <w:tcPr>
            <w:tcW w:w="1372" w:type="pct"/>
            <w:shd w:val="clear" w:color="auto" w:fill="auto"/>
            <w:noWrap/>
            <w:vAlign w:val="bottom"/>
          </w:tcPr>
          <w:p w14:paraId="4D00743A" w14:textId="77777777" w:rsidR="00772EC3" w:rsidRPr="00702148" w:rsidRDefault="00772EC3" w:rsidP="003C405A">
            <w:pPr>
              <w:spacing w:after="0"/>
              <w:jc w:val="right"/>
              <w:rPr>
                <w:noProof/>
                <w:color w:val="000000"/>
              </w:rPr>
            </w:pPr>
            <w:r>
              <w:rPr>
                <w:noProof/>
                <w:color w:val="000000"/>
              </w:rPr>
              <w:t>0,0 %</w:t>
            </w:r>
          </w:p>
        </w:tc>
      </w:tr>
      <w:tr w:rsidR="00772EC3" w:rsidRPr="004C6A35" w14:paraId="29C90913" w14:textId="77777777" w:rsidTr="00186607">
        <w:trPr>
          <w:trHeight w:val="300"/>
        </w:trPr>
        <w:tc>
          <w:tcPr>
            <w:tcW w:w="776" w:type="pct"/>
            <w:shd w:val="clear" w:color="auto" w:fill="auto"/>
            <w:noWrap/>
            <w:vAlign w:val="bottom"/>
          </w:tcPr>
          <w:p w14:paraId="7E6C308F" w14:textId="77777777" w:rsidR="00772EC3" w:rsidRPr="00702148" w:rsidRDefault="00772EC3" w:rsidP="003C405A">
            <w:pPr>
              <w:spacing w:after="0"/>
              <w:rPr>
                <w:noProof/>
                <w:color w:val="000000"/>
              </w:rPr>
            </w:pPr>
            <w:r>
              <w:rPr>
                <w:noProof/>
                <w:color w:val="000000"/>
              </w:rPr>
              <w:t>EE</w:t>
            </w:r>
          </w:p>
        </w:tc>
        <w:tc>
          <w:tcPr>
            <w:tcW w:w="1320" w:type="pct"/>
            <w:shd w:val="clear" w:color="auto" w:fill="auto"/>
            <w:noWrap/>
            <w:vAlign w:val="bottom"/>
          </w:tcPr>
          <w:p w14:paraId="178FDC48" w14:textId="77777777" w:rsidR="00772EC3" w:rsidRPr="00702148" w:rsidRDefault="00772EC3" w:rsidP="003C405A">
            <w:pPr>
              <w:spacing w:after="0"/>
              <w:jc w:val="right"/>
              <w:rPr>
                <w:noProof/>
                <w:color w:val="000000"/>
              </w:rPr>
            </w:pPr>
            <w:r>
              <w:rPr>
                <w:noProof/>
                <w:color w:val="000000"/>
              </w:rPr>
              <w:t>12,5 %</w:t>
            </w:r>
          </w:p>
        </w:tc>
        <w:tc>
          <w:tcPr>
            <w:tcW w:w="1532" w:type="pct"/>
            <w:shd w:val="clear" w:color="auto" w:fill="auto"/>
            <w:noWrap/>
            <w:vAlign w:val="bottom"/>
          </w:tcPr>
          <w:p w14:paraId="0502733A" w14:textId="77777777" w:rsidR="00772EC3" w:rsidRPr="00702148" w:rsidRDefault="00772EC3" w:rsidP="003C405A">
            <w:pPr>
              <w:spacing w:after="0"/>
              <w:jc w:val="right"/>
              <w:rPr>
                <w:noProof/>
                <w:color w:val="000000"/>
              </w:rPr>
            </w:pPr>
            <w:r>
              <w:rPr>
                <w:noProof/>
                <w:color w:val="000000"/>
              </w:rPr>
              <w:t>0,3 %</w:t>
            </w:r>
          </w:p>
        </w:tc>
        <w:tc>
          <w:tcPr>
            <w:tcW w:w="1372" w:type="pct"/>
            <w:shd w:val="clear" w:color="auto" w:fill="auto"/>
            <w:noWrap/>
            <w:vAlign w:val="bottom"/>
          </w:tcPr>
          <w:p w14:paraId="4A0B2CF8" w14:textId="77777777" w:rsidR="00772EC3" w:rsidRPr="00702148" w:rsidRDefault="00772EC3" w:rsidP="003C405A">
            <w:pPr>
              <w:spacing w:after="0"/>
              <w:jc w:val="right"/>
              <w:rPr>
                <w:noProof/>
                <w:color w:val="000000"/>
              </w:rPr>
            </w:pPr>
            <w:r>
              <w:rPr>
                <w:noProof/>
                <w:color w:val="000000"/>
              </w:rPr>
              <w:t>0,0 %</w:t>
            </w:r>
          </w:p>
        </w:tc>
      </w:tr>
      <w:tr w:rsidR="00772EC3" w:rsidRPr="004C6A35" w14:paraId="4C924BDA" w14:textId="77777777" w:rsidTr="00186607">
        <w:trPr>
          <w:trHeight w:val="300"/>
        </w:trPr>
        <w:tc>
          <w:tcPr>
            <w:tcW w:w="776" w:type="pct"/>
            <w:shd w:val="clear" w:color="auto" w:fill="auto"/>
            <w:noWrap/>
            <w:vAlign w:val="bottom"/>
          </w:tcPr>
          <w:p w14:paraId="206DF5B8" w14:textId="77777777" w:rsidR="00772EC3" w:rsidRPr="00702148" w:rsidRDefault="00772EC3" w:rsidP="003C405A">
            <w:pPr>
              <w:spacing w:after="0"/>
              <w:rPr>
                <w:noProof/>
                <w:color w:val="000000"/>
              </w:rPr>
            </w:pPr>
            <w:r>
              <w:rPr>
                <w:noProof/>
                <w:color w:val="000000"/>
              </w:rPr>
              <w:t>IE</w:t>
            </w:r>
          </w:p>
        </w:tc>
        <w:tc>
          <w:tcPr>
            <w:tcW w:w="1320" w:type="pct"/>
            <w:shd w:val="clear" w:color="auto" w:fill="auto"/>
            <w:noWrap/>
            <w:vAlign w:val="bottom"/>
          </w:tcPr>
          <w:p w14:paraId="35786930" w14:textId="77777777" w:rsidR="00772EC3" w:rsidRPr="00702148" w:rsidRDefault="00772EC3" w:rsidP="003C405A">
            <w:pPr>
              <w:spacing w:after="0"/>
              <w:jc w:val="right"/>
              <w:rPr>
                <w:noProof/>
                <w:color w:val="000000"/>
              </w:rPr>
            </w:pPr>
            <w:r>
              <w:rPr>
                <w:noProof/>
                <w:color w:val="000000"/>
              </w:rPr>
              <w:t>0,3 %</w:t>
            </w:r>
          </w:p>
        </w:tc>
        <w:tc>
          <w:tcPr>
            <w:tcW w:w="1532" w:type="pct"/>
            <w:shd w:val="clear" w:color="auto" w:fill="auto"/>
            <w:noWrap/>
            <w:vAlign w:val="bottom"/>
          </w:tcPr>
          <w:p w14:paraId="67682C01" w14:textId="77777777" w:rsidR="00772EC3" w:rsidRPr="00702148" w:rsidRDefault="00772EC3" w:rsidP="003C405A">
            <w:pPr>
              <w:spacing w:after="0"/>
              <w:jc w:val="right"/>
              <w:rPr>
                <w:noProof/>
                <w:color w:val="000000"/>
              </w:rPr>
            </w:pPr>
            <w:r>
              <w:rPr>
                <w:noProof/>
                <w:color w:val="000000"/>
              </w:rPr>
              <w:t>2,4 %</w:t>
            </w:r>
          </w:p>
        </w:tc>
        <w:tc>
          <w:tcPr>
            <w:tcW w:w="1372" w:type="pct"/>
            <w:shd w:val="clear" w:color="auto" w:fill="auto"/>
            <w:noWrap/>
            <w:vAlign w:val="bottom"/>
          </w:tcPr>
          <w:p w14:paraId="226D0CD7" w14:textId="77777777" w:rsidR="00772EC3" w:rsidRPr="00702148" w:rsidRDefault="00772EC3" w:rsidP="003C405A">
            <w:pPr>
              <w:spacing w:after="0"/>
              <w:jc w:val="right"/>
              <w:rPr>
                <w:noProof/>
                <w:color w:val="000000"/>
              </w:rPr>
            </w:pPr>
            <w:r>
              <w:rPr>
                <w:noProof/>
                <w:color w:val="000000"/>
              </w:rPr>
              <w:t>0,0 %</w:t>
            </w:r>
          </w:p>
        </w:tc>
      </w:tr>
      <w:tr w:rsidR="00772EC3" w:rsidRPr="004C6A35" w14:paraId="48648B9D" w14:textId="77777777" w:rsidTr="00186607">
        <w:trPr>
          <w:trHeight w:val="300"/>
        </w:trPr>
        <w:tc>
          <w:tcPr>
            <w:tcW w:w="776" w:type="pct"/>
            <w:shd w:val="clear" w:color="auto" w:fill="auto"/>
            <w:noWrap/>
            <w:vAlign w:val="bottom"/>
          </w:tcPr>
          <w:p w14:paraId="2374C96E" w14:textId="77777777" w:rsidR="00772EC3" w:rsidRPr="00702148" w:rsidRDefault="00772EC3" w:rsidP="003C405A">
            <w:pPr>
              <w:spacing w:after="0"/>
              <w:rPr>
                <w:noProof/>
                <w:color w:val="000000"/>
              </w:rPr>
            </w:pPr>
            <w:r>
              <w:rPr>
                <w:noProof/>
                <w:color w:val="000000"/>
              </w:rPr>
              <w:t>EL</w:t>
            </w:r>
          </w:p>
        </w:tc>
        <w:tc>
          <w:tcPr>
            <w:tcW w:w="1320" w:type="pct"/>
            <w:shd w:val="clear" w:color="auto" w:fill="auto"/>
            <w:noWrap/>
            <w:vAlign w:val="bottom"/>
          </w:tcPr>
          <w:p w14:paraId="526055A1" w14:textId="77777777" w:rsidR="00772EC3" w:rsidRPr="00702148" w:rsidRDefault="00772EC3" w:rsidP="003C405A">
            <w:pPr>
              <w:spacing w:after="0"/>
              <w:jc w:val="right"/>
              <w:rPr>
                <w:noProof/>
                <w:color w:val="000000"/>
              </w:rPr>
            </w:pPr>
            <w:r>
              <w:rPr>
                <w:noProof/>
                <w:color w:val="000000"/>
              </w:rPr>
              <w:t>–0,6 %</w:t>
            </w:r>
          </w:p>
        </w:tc>
        <w:tc>
          <w:tcPr>
            <w:tcW w:w="1532" w:type="pct"/>
            <w:shd w:val="clear" w:color="auto" w:fill="auto"/>
            <w:noWrap/>
            <w:vAlign w:val="bottom"/>
          </w:tcPr>
          <w:p w14:paraId="54C1E511" w14:textId="77777777" w:rsidR="00772EC3" w:rsidRPr="00702148" w:rsidRDefault="00772EC3" w:rsidP="003C405A">
            <w:pPr>
              <w:spacing w:after="0"/>
              <w:jc w:val="right"/>
              <w:rPr>
                <w:noProof/>
                <w:color w:val="000000"/>
              </w:rPr>
            </w:pPr>
            <w:r>
              <w:rPr>
                <w:noProof/>
                <w:color w:val="000000"/>
              </w:rPr>
              <w:t>1,5 %</w:t>
            </w:r>
          </w:p>
        </w:tc>
        <w:tc>
          <w:tcPr>
            <w:tcW w:w="1372" w:type="pct"/>
            <w:shd w:val="clear" w:color="auto" w:fill="auto"/>
            <w:noWrap/>
            <w:vAlign w:val="bottom"/>
          </w:tcPr>
          <w:p w14:paraId="2D7DA660" w14:textId="77777777" w:rsidR="00772EC3" w:rsidRPr="00702148" w:rsidRDefault="00772EC3" w:rsidP="003C405A">
            <w:pPr>
              <w:spacing w:after="0"/>
              <w:jc w:val="right"/>
              <w:rPr>
                <w:noProof/>
                <w:color w:val="000000"/>
              </w:rPr>
            </w:pPr>
            <w:r>
              <w:rPr>
                <w:noProof/>
                <w:color w:val="000000"/>
              </w:rPr>
              <w:t>0,0 %</w:t>
            </w:r>
          </w:p>
        </w:tc>
      </w:tr>
      <w:tr w:rsidR="00772EC3" w:rsidRPr="004C6A35" w14:paraId="5C7BE74C" w14:textId="77777777" w:rsidTr="00186607">
        <w:trPr>
          <w:trHeight w:val="300"/>
        </w:trPr>
        <w:tc>
          <w:tcPr>
            <w:tcW w:w="776" w:type="pct"/>
            <w:shd w:val="clear" w:color="auto" w:fill="auto"/>
            <w:noWrap/>
            <w:vAlign w:val="bottom"/>
          </w:tcPr>
          <w:p w14:paraId="544CDE99" w14:textId="77777777" w:rsidR="00772EC3" w:rsidRPr="00702148" w:rsidRDefault="00772EC3" w:rsidP="003C405A">
            <w:pPr>
              <w:spacing w:after="0"/>
              <w:rPr>
                <w:noProof/>
                <w:color w:val="000000"/>
              </w:rPr>
            </w:pPr>
            <w:r>
              <w:rPr>
                <w:noProof/>
                <w:color w:val="000000"/>
              </w:rPr>
              <w:t>ES</w:t>
            </w:r>
          </w:p>
        </w:tc>
        <w:tc>
          <w:tcPr>
            <w:tcW w:w="1320" w:type="pct"/>
            <w:shd w:val="clear" w:color="auto" w:fill="auto"/>
            <w:noWrap/>
            <w:vAlign w:val="bottom"/>
          </w:tcPr>
          <w:p w14:paraId="2404883F" w14:textId="77777777" w:rsidR="00772EC3" w:rsidRPr="00702148" w:rsidRDefault="00772EC3" w:rsidP="003C405A">
            <w:pPr>
              <w:spacing w:after="0"/>
              <w:jc w:val="right"/>
              <w:rPr>
                <w:noProof/>
                <w:color w:val="000000"/>
              </w:rPr>
            </w:pPr>
            <w:r>
              <w:rPr>
                <w:noProof/>
                <w:color w:val="000000"/>
              </w:rPr>
              <w:t>–0,5 %</w:t>
            </w:r>
          </w:p>
        </w:tc>
        <w:tc>
          <w:tcPr>
            <w:tcW w:w="1532" w:type="pct"/>
            <w:shd w:val="clear" w:color="auto" w:fill="auto"/>
            <w:noWrap/>
            <w:vAlign w:val="bottom"/>
          </w:tcPr>
          <w:p w14:paraId="5CEBAB9B" w14:textId="77777777" w:rsidR="00772EC3" w:rsidRPr="00702148" w:rsidRDefault="00772EC3" w:rsidP="003C405A">
            <w:pPr>
              <w:spacing w:after="0"/>
              <w:jc w:val="right"/>
              <w:rPr>
                <w:noProof/>
                <w:color w:val="000000"/>
              </w:rPr>
            </w:pPr>
            <w:r>
              <w:rPr>
                <w:noProof/>
                <w:color w:val="000000"/>
              </w:rPr>
              <w:t>9,1 %</w:t>
            </w:r>
          </w:p>
        </w:tc>
        <w:tc>
          <w:tcPr>
            <w:tcW w:w="1372" w:type="pct"/>
            <w:shd w:val="clear" w:color="auto" w:fill="auto"/>
            <w:noWrap/>
            <w:vAlign w:val="bottom"/>
          </w:tcPr>
          <w:p w14:paraId="58234787" w14:textId="77777777" w:rsidR="00772EC3" w:rsidRPr="00702148" w:rsidRDefault="00772EC3" w:rsidP="003C405A">
            <w:pPr>
              <w:spacing w:after="0"/>
              <w:jc w:val="right"/>
              <w:rPr>
                <w:noProof/>
                <w:color w:val="000000"/>
              </w:rPr>
            </w:pPr>
            <w:r>
              <w:rPr>
                <w:noProof/>
                <w:color w:val="000000"/>
              </w:rPr>
              <w:t>0,0 %</w:t>
            </w:r>
          </w:p>
        </w:tc>
      </w:tr>
      <w:tr w:rsidR="00772EC3" w:rsidRPr="004C6A35" w14:paraId="019C1F5C" w14:textId="77777777" w:rsidTr="00186607">
        <w:trPr>
          <w:trHeight w:val="300"/>
        </w:trPr>
        <w:tc>
          <w:tcPr>
            <w:tcW w:w="776" w:type="pct"/>
            <w:shd w:val="clear" w:color="auto" w:fill="auto"/>
            <w:noWrap/>
            <w:vAlign w:val="bottom"/>
          </w:tcPr>
          <w:p w14:paraId="186545F9" w14:textId="77777777" w:rsidR="00772EC3" w:rsidRPr="00702148" w:rsidRDefault="00772EC3" w:rsidP="003C405A">
            <w:pPr>
              <w:spacing w:after="0"/>
              <w:rPr>
                <w:noProof/>
                <w:color w:val="000000"/>
              </w:rPr>
            </w:pPr>
            <w:r>
              <w:rPr>
                <w:noProof/>
                <w:color w:val="000000"/>
              </w:rPr>
              <w:t>FR</w:t>
            </w:r>
          </w:p>
        </w:tc>
        <w:tc>
          <w:tcPr>
            <w:tcW w:w="1320" w:type="pct"/>
            <w:shd w:val="clear" w:color="auto" w:fill="auto"/>
            <w:noWrap/>
            <w:vAlign w:val="bottom"/>
          </w:tcPr>
          <w:p w14:paraId="003A2280" w14:textId="77777777" w:rsidR="00772EC3" w:rsidRPr="00702148" w:rsidRDefault="00772EC3" w:rsidP="003C405A">
            <w:pPr>
              <w:spacing w:after="0"/>
              <w:jc w:val="right"/>
              <w:rPr>
                <w:noProof/>
                <w:color w:val="000000"/>
              </w:rPr>
            </w:pPr>
            <w:r>
              <w:rPr>
                <w:noProof/>
                <w:color w:val="000000"/>
              </w:rPr>
              <w:t>–0,8 %</w:t>
            </w:r>
          </w:p>
        </w:tc>
        <w:tc>
          <w:tcPr>
            <w:tcW w:w="1532" w:type="pct"/>
            <w:shd w:val="clear" w:color="auto" w:fill="auto"/>
            <w:noWrap/>
            <w:vAlign w:val="bottom"/>
          </w:tcPr>
          <w:p w14:paraId="514A2F16" w14:textId="77777777" w:rsidR="00772EC3" w:rsidRPr="00702148" w:rsidRDefault="00772EC3" w:rsidP="003C405A">
            <w:pPr>
              <w:spacing w:after="0"/>
              <w:jc w:val="right"/>
              <w:rPr>
                <w:noProof/>
                <w:color w:val="000000"/>
              </w:rPr>
            </w:pPr>
            <w:r>
              <w:rPr>
                <w:noProof/>
                <w:color w:val="000000"/>
              </w:rPr>
              <w:t>15,7 %</w:t>
            </w:r>
          </w:p>
        </w:tc>
        <w:tc>
          <w:tcPr>
            <w:tcW w:w="1372" w:type="pct"/>
            <w:shd w:val="clear" w:color="auto" w:fill="auto"/>
            <w:noWrap/>
            <w:vAlign w:val="bottom"/>
          </w:tcPr>
          <w:p w14:paraId="25FD4DBD" w14:textId="77777777" w:rsidR="00772EC3" w:rsidRPr="00702148" w:rsidRDefault="00772EC3" w:rsidP="003C405A">
            <w:pPr>
              <w:spacing w:after="0"/>
              <w:jc w:val="right"/>
              <w:rPr>
                <w:noProof/>
                <w:color w:val="000000"/>
              </w:rPr>
            </w:pPr>
            <w:r>
              <w:rPr>
                <w:noProof/>
                <w:color w:val="000000"/>
              </w:rPr>
              <w:t>–0,1 %</w:t>
            </w:r>
          </w:p>
        </w:tc>
      </w:tr>
      <w:tr w:rsidR="00772EC3" w:rsidRPr="004C6A35" w14:paraId="3AC88773" w14:textId="77777777" w:rsidTr="00186607">
        <w:trPr>
          <w:trHeight w:val="300"/>
        </w:trPr>
        <w:tc>
          <w:tcPr>
            <w:tcW w:w="776" w:type="pct"/>
            <w:shd w:val="clear" w:color="auto" w:fill="auto"/>
            <w:noWrap/>
            <w:vAlign w:val="bottom"/>
          </w:tcPr>
          <w:p w14:paraId="5D6BBBC6" w14:textId="77777777" w:rsidR="00772EC3" w:rsidRPr="00702148" w:rsidRDefault="00772EC3" w:rsidP="003C405A">
            <w:pPr>
              <w:spacing w:after="0"/>
              <w:rPr>
                <w:noProof/>
                <w:color w:val="000000"/>
              </w:rPr>
            </w:pPr>
            <w:r>
              <w:rPr>
                <w:noProof/>
                <w:color w:val="000000"/>
              </w:rPr>
              <w:t>HR</w:t>
            </w:r>
          </w:p>
        </w:tc>
        <w:tc>
          <w:tcPr>
            <w:tcW w:w="1320" w:type="pct"/>
            <w:shd w:val="clear" w:color="auto" w:fill="auto"/>
            <w:noWrap/>
            <w:vAlign w:val="bottom"/>
          </w:tcPr>
          <w:p w14:paraId="090F9358" w14:textId="77777777" w:rsidR="00772EC3" w:rsidRPr="00702148" w:rsidRDefault="00772EC3" w:rsidP="003C405A">
            <w:pPr>
              <w:spacing w:after="0"/>
              <w:jc w:val="right"/>
              <w:rPr>
                <w:noProof/>
                <w:color w:val="000000"/>
              </w:rPr>
            </w:pPr>
            <w:r>
              <w:rPr>
                <w:noProof/>
                <w:color w:val="000000"/>
              </w:rPr>
              <w:t>2,3 %</w:t>
            </w:r>
          </w:p>
        </w:tc>
        <w:tc>
          <w:tcPr>
            <w:tcW w:w="1532" w:type="pct"/>
            <w:shd w:val="clear" w:color="auto" w:fill="auto"/>
            <w:noWrap/>
            <w:vAlign w:val="bottom"/>
          </w:tcPr>
          <w:p w14:paraId="359451F0" w14:textId="77777777" w:rsidR="00772EC3" w:rsidRPr="00702148" w:rsidRDefault="00772EC3" w:rsidP="003C405A">
            <w:pPr>
              <w:spacing w:after="0"/>
              <w:jc w:val="right"/>
              <w:rPr>
                <w:noProof/>
                <w:color w:val="000000"/>
              </w:rPr>
            </w:pPr>
            <w:r>
              <w:rPr>
                <w:noProof/>
                <w:color w:val="000000"/>
              </w:rPr>
              <w:t>0,6 %</w:t>
            </w:r>
          </w:p>
        </w:tc>
        <w:tc>
          <w:tcPr>
            <w:tcW w:w="1372" w:type="pct"/>
            <w:shd w:val="clear" w:color="auto" w:fill="auto"/>
            <w:noWrap/>
            <w:vAlign w:val="bottom"/>
          </w:tcPr>
          <w:p w14:paraId="16183C28" w14:textId="77777777" w:rsidR="00772EC3" w:rsidRPr="00702148" w:rsidRDefault="00772EC3" w:rsidP="003C405A">
            <w:pPr>
              <w:spacing w:after="0"/>
              <w:jc w:val="right"/>
              <w:rPr>
                <w:noProof/>
                <w:color w:val="000000"/>
              </w:rPr>
            </w:pPr>
            <w:r>
              <w:rPr>
                <w:noProof/>
                <w:color w:val="000000"/>
              </w:rPr>
              <w:t>0,0 %</w:t>
            </w:r>
          </w:p>
        </w:tc>
      </w:tr>
      <w:tr w:rsidR="00772EC3" w:rsidRPr="004C6A35" w14:paraId="4F330311" w14:textId="77777777" w:rsidTr="00186607">
        <w:trPr>
          <w:trHeight w:val="300"/>
        </w:trPr>
        <w:tc>
          <w:tcPr>
            <w:tcW w:w="776" w:type="pct"/>
            <w:shd w:val="clear" w:color="auto" w:fill="auto"/>
            <w:noWrap/>
            <w:vAlign w:val="bottom"/>
          </w:tcPr>
          <w:p w14:paraId="3A01141B" w14:textId="77777777" w:rsidR="00772EC3" w:rsidRPr="00702148" w:rsidRDefault="00772EC3" w:rsidP="003C405A">
            <w:pPr>
              <w:spacing w:after="0"/>
              <w:rPr>
                <w:noProof/>
                <w:color w:val="000000"/>
              </w:rPr>
            </w:pPr>
            <w:r>
              <w:rPr>
                <w:noProof/>
                <w:color w:val="000000"/>
              </w:rPr>
              <w:t>IT</w:t>
            </w:r>
          </w:p>
        </w:tc>
        <w:tc>
          <w:tcPr>
            <w:tcW w:w="1320" w:type="pct"/>
            <w:shd w:val="clear" w:color="auto" w:fill="auto"/>
            <w:noWrap/>
            <w:vAlign w:val="bottom"/>
          </w:tcPr>
          <w:p w14:paraId="566D14AB" w14:textId="77777777" w:rsidR="00772EC3" w:rsidRPr="00702148" w:rsidRDefault="00772EC3" w:rsidP="003C405A">
            <w:pPr>
              <w:spacing w:after="0"/>
              <w:jc w:val="right"/>
              <w:rPr>
                <w:noProof/>
                <w:color w:val="000000"/>
              </w:rPr>
            </w:pPr>
            <w:r>
              <w:rPr>
                <w:noProof/>
                <w:color w:val="000000"/>
              </w:rPr>
              <w:t>–1,3 %</w:t>
            </w:r>
          </w:p>
        </w:tc>
        <w:tc>
          <w:tcPr>
            <w:tcW w:w="1532" w:type="pct"/>
            <w:shd w:val="clear" w:color="auto" w:fill="auto"/>
            <w:noWrap/>
            <w:vAlign w:val="bottom"/>
          </w:tcPr>
          <w:p w14:paraId="31BEBB30" w14:textId="77777777" w:rsidR="00772EC3" w:rsidRPr="00702148" w:rsidRDefault="00772EC3" w:rsidP="003C405A">
            <w:pPr>
              <w:spacing w:after="0"/>
              <w:jc w:val="right"/>
              <w:rPr>
                <w:noProof/>
                <w:color w:val="000000"/>
              </w:rPr>
            </w:pPr>
            <w:r>
              <w:rPr>
                <w:noProof/>
                <w:color w:val="000000"/>
              </w:rPr>
              <w:t>12,5 %</w:t>
            </w:r>
          </w:p>
        </w:tc>
        <w:tc>
          <w:tcPr>
            <w:tcW w:w="1372" w:type="pct"/>
            <w:shd w:val="clear" w:color="auto" w:fill="auto"/>
            <w:noWrap/>
            <w:vAlign w:val="bottom"/>
          </w:tcPr>
          <w:p w14:paraId="7D1FFCD2" w14:textId="77777777" w:rsidR="00772EC3" w:rsidRPr="00702148" w:rsidRDefault="00772EC3" w:rsidP="003C405A">
            <w:pPr>
              <w:spacing w:after="0"/>
              <w:jc w:val="right"/>
              <w:rPr>
                <w:noProof/>
                <w:color w:val="000000"/>
              </w:rPr>
            </w:pPr>
            <w:r>
              <w:rPr>
                <w:noProof/>
                <w:color w:val="000000"/>
              </w:rPr>
              <w:t>–0,2 %</w:t>
            </w:r>
          </w:p>
        </w:tc>
      </w:tr>
      <w:tr w:rsidR="00772EC3" w:rsidRPr="004C6A35" w14:paraId="2F7D8237" w14:textId="77777777" w:rsidTr="00186607">
        <w:trPr>
          <w:trHeight w:val="300"/>
        </w:trPr>
        <w:tc>
          <w:tcPr>
            <w:tcW w:w="776" w:type="pct"/>
            <w:shd w:val="clear" w:color="auto" w:fill="auto"/>
            <w:noWrap/>
            <w:vAlign w:val="bottom"/>
          </w:tcPr>
          <w:p w14:paraId="730989E6" w14:textId="77777777" w:rsidR="00772EC3" w:rsidRPr="00702148" w:rsidRDefault="00772EC3" w:rsidP="003C405A">
            <w:pPr>
              <w:spacing w:after="0"/>
              <w:rPr>
                <w:noProof/>
                <w:color w:val="000000"/>
              </w:rPr>
            </w:pPr>
            <w:r>
              <w:rPr>
                <w:noProof/>
                <w:color w:val="000000"/>
              </w:rPr>
              <w:t>CY</w:t>
            </w:r>
          </w:p>
        </w:tc>
        <w:tc>
          <w:tcPr>
            <w:tcW w:w="1320" w:type="pct"/>
            <w:shd w:val="clear" w:color="auto" w:fill="auto"/>
            <w:noWrap/>
            <w:vAlign w:val="bottom"/>
          </w:tcPr>
          <w:p w14:paraId="4FFC3DE1" w14:textId="77777777" w:rsidR="00772EC3" w:rsidRPr="00702148" w:rsidRDefault="00772EC3" w:rsidP="003C405A">
            <w:pPr>
              <w:spacing w:after="0"/>
              <w:jc w:val="right"/>
              <w:rPr>
                <w:noProof/>
                <w:color w:val="000000"/>
              </w:rPr>
            </w:pPr>
            <w:r>
              <w:rPr>
                <w:noProof/>
                <w:color w:val="000000"/>
              </w:rPr>
              <w:t>–0,7 %</w:t>
            </w:r>
          </w:p>
        </w:tc>
        <w:tc>
          <w:tcPr>
            <w:tcW w:w="1532" w:type="pct"/>
            <w:shd w:val="clear" w:color="auto" w:fill="auto"/>
            <w:noWrap/>
            <w:vAlign w:val="bottom"/>
          </w:tcPr>
          <w:p w14:paraId="1ADECE5C" w14:textId="77777777" w:rsidR="00772EC3" w:rsidRPr="00702148" w:rsidRDefault="00772EC3" w:rsidP="003C405A">
            <w:pPr>
              <w:spacing w:after="0"/>
              <w:jc w:val="right"/>
              <w:rPr>
                <w:noProof/>
                <w:color w:val="000000"/>
              </w:rPr>
            </w:pPr>
            <w:r>
              <w:rPr>
                <w:noProof/>
                <w:color w:val="000000"/>
              </w:rPr>
              <w:t>0,2 %</w:t>
            </w:r>
          </w:p>
        </w:tc>
        <w:tc>
          <w:tcPr>
            <w:tcW w:w="1372" w:type="pct"/>
            <w:shd w:val="clear" w:color="auto" w:fill="auto"/>
            <w:noWrap/>
            <w:vAlign w:val="bottom"/>
          </w:tcPr>
          <w:p w14:paraId="709F6F4B" w14:textId="77777777" w:rsidR="00772EC3" w:rsidRPr="00702148" w:rsidRDefault="00772EC3" w:rsidP="003C405A">
            <w:pPr>
              <w:spacing w:after="0"/>
              <w:jc w:val="right"/>
              <w:rPr>
                <w:noProof/>
                <w:color w:val="000000"/>
              </w:rPr>
            </w:pPr>
            <w:r>
              <w:rPr>
                <w:noProof/>
                <w:color w:val="000000"/>
              </w:rPr>
              <w:t>0,0 %</w:t>
            </w:r>
          </w:p>
        </w:tc>
      </w:tr>
      <w:tr w:rsidR="00772EC3" w:rsidRPr="004C6A35" w14:paraId="3697327C" w14:textId="77777777" w:rsidTr="00186607">
        <w:trPr>
          <w:trHeight w:val="300"/>
        </w:trPr>
        <w:tc>
          <w:tcPr>
            <w:tcW w:w="776" w:type="pct"/>
            <w:shd w:val="clear" w:color="auto" w:fill="auto"/>
            <w:noWrap/>
            <w:vAlign w:val="bottom"/>
          </w:tcPr>
          <w:p w14:paraId="7CF93618" w14:textId="77777777" w:rsidR="00772EC3" w:rsidRPr="00702148" w:rsidRDefault="00772EC3" w:rsidP="003C405A">
            <w:pPr>
              <w:spacing w:after="0"/>
              <w:rPr>
                <w:noProof/>
                <w:color w:val="000000"/>
              </w:rPr>
            </w:pPr>
            <w:r>
              <w:rPr>
                <w:noProof/>
                <w:color w:val="000000"/>
              </w:rPr>
              <w:t>LV</w:t>
            </w:r>
          </w:p>
        </w:tc>
        <w:tc>
          <w:tcPr>
            <w:tcW w:w="1320" w:type="pct"/>
            <w:shd w:val="clear" w:color="auto" w:fill="auto"/>
            <w:noWrap/>
            <w:vAlign w:val="bottom"/>
          </w:tcPr>
          <w:p w14:paraId="7F9D26CF" w14:textId="77777777" w:rsidR="00772EC3" w:rsidRPr="00702148" w:rsidRDefault="00772EC3" w:rsidP="003C405A">
            <w:pPr>
              <w:spacing w:after="0"/>
              <w:jc w:val="right"/>
              <w:rPr>
                <w:noProof/>
                <w:color w:val="000000"/>
              </w:rPr>
            </w:pPr>
            <w:r>
              <w:rPr>
                <w:noProof/>
                <w:color w:val="000000"/>
              </w:rPr>
              <w:t>0,8 %</w:t>
            </w:r>
          </w:p>
        </w:tc>
        <w:tc>
          <w:tcPr>
            <w:tcW w:w="1532" w:type="pct"/>
            <w:shd w:val="clear" w:color="auto" w:fill="auto"/>
            <w:noWrap/>
            <w:vAlign w:val="bottom"/>
          </w:tcPr>
          <w:p w14:paraId="4AE6C936" w14:textId="77777777" w:rsidR="00772EC3" w:rsidRPr="00702148" w:rsidRDefault="00772EC3" w:rsidP="003C405A">
            <w:pPr>
              <w:spacing w:after="0"/>
              <w:jc w:val="right"/>
              <w:rPr>
                <w:noProof/>
                <w:color w:val="000000"/>
              </w:rPr>
            </w:pPr>
            <w:r>
              <w:rPr>
                <w:noProof/>
                <w:color w:val="000000"/>
              </w:rPr>
              <w:t>0,3 %</w:t>
            </w:r>
          </w:p>
        </w:tc>
        <w:tc>
          <w:tcPr>
            <w:tcW w:w="1372" w:type="pct"/>
            <w:shd w:val="clear" w:color="auto" w:fill="auto"/>
            <w:noWrap/>
            <w:vAlign w:val="bottom"/>
          </w:tcPr>
          <w:p w14:paraId="12C1F9C2" w14:textId="77777777" w:rsidR="00772EC3" w:rsidRPr="00702148" w:rsidRDefault="00772EC3" w:rsidP="003C405A">
            <w:pPr>
              <w:spacing w:after="0"/>
              <w:jc w:val="right"/>
              <w:rPr>
                <w:noProof/>
                <w:color w:val="000000"/>
              </w:rPr>
            </w:pPr>
            <w:r>
              <w:rPr>
                <w:noProof/>
                <w:color w:val="000000"/>
              </w:rPr>
              <w:t>0,0 %</w:t>
            </w:r>
          </w:p>
        </w:tc>
      </w:tr>
      <w:tr w:rsidR="00772EC3" w:rsidRPr="004C6A35" w14:paraId="07601058" w14:textId="77777777" w:rsidTr="00186607">
        <w:trPr>
          <w:trHeight w:val="300"/>
        </w:trPr>
        <w:tc>
          <w:tcPr>
            <w:tcW w:w="776" w:type="pct"/>
            <w:shd w:val="clear" w:color="auto" w:fill="auto"/>
            <w:noWrap/>
            <w:vAlign w:val="bottom"/>
          </w:tcPr>
          <w:p w14:paraId="6178A2ED" w14:textId="77777777" w:rsidR="00772EC3" w:rsidRPr="00702148" w:rsidRDefault="00772EC3" w:rsidP="003C405A">
            <w:pPr>
              <w:spacing w:after="0"/>
              <w:rPr>
                <w:noProof/>
                <w:color w:val="000000"/>
              </w:rPr>
            </w:pPr>
            <w:r>
              <w:rPr>
                <w:noProof/>
                <w:color w:val="000000"/>
              </w:rPr>
              <w:t>LT</w:t>
            </w:r>
          </w:p>
        </w:tc>
        <w:tc>
          <w:tcPr>
            <w:tcW w:w="1320" w:type="pct"/>
            <w:shd w:val="clear" w:color="auto" w:fill="auto"/>
            <w:noWrap/>
            <w:vAlign w:val="bottom"/>
          </w:tcPr>
          <w:p w14:paraId="6C0F3CCE" w14:textId="77777777" w:rsidR="00772EC3" w:rsidRPr="00702148" w:rsidRDefault="00772EC3" w:rsidP="003C405A">
            <w:pPr>
              <w:spacing w:after="0"/>
              <w:jc w:val="right"/>
              <w:rPr>
                <w:noProof/>
                <w:color w:val="000000"/>
              </w:rPr>
            </w:pPr>
            <w:r>
              <w:rPr>
                <w:noProof/>
                <w:color w:val="000000"/>
              </w:rPr>
              <w:t>0,7 %</w:t>
            </w:r>
          </w:p>
        </w:tc>
        <w:tc>
          <w:tcPr>
            <w:tcW w:w="1532" w:type="pct"/>
            <w:shd w:val="clear" w:color="auto" w:fill="auto"/>
            <w:noWrap/>
            <w:vAlign w:val="bottom"/>
          </w:tcPr>
          <w:p w14:paraId="1F9C9B75" w14:textId="77777777" w:rsidR="00772EC3" w:rsidRPr="00702148" w:rsidRDefault="00772EC3" w:rsidP="003C405A">
            <w:pPr>
              <w:spacing w:after="0"/>
              <w:jc w:val="right"/>
              <w:rPr>
                <w:noProof/>
                <w:color w:val="000000"/>
              </w:rPr>
            </w:pPr>
            <w:r>
              <w:rPr>
                <w:noProof/>
                <w:color w:val="000000"/>
              </w:rPr>
              <w:t>0,5 %</w:t>
            </w:r>
          </w:p>
        </w:tc>
        <w:tc>
          <w:tcPr>
            <w:tcW w:w="1372" w:type="pct"/>
            <w:shd w:val="clear" w:color="auto" w:fill="auto"/>
            <w:noWrap/>
            <w:vAlign w:val="bottom"/>
          </w:tcPr>
          <w:p w14:paraId="56048B47" w14:textId="77777777" w:rsidR="00772EC3" w:rsidRPr="00702148" w:rsidRDefault="00772EC3" w:rsidP="003C405A">
            <w:pPr>
              <w:spacing w:after="0"/>
              <w:jc w:val="right"/>
              <w:rPr>
                <w:noProof/>
                <w:color w:val="000000"/>
              </w:rPr>
            </w:pPr>
            <w:r>
              <w:rPr>
                <w:noProof/>
                <w:color w:val="000000"/>
              </w:rPr>
              <w:t>0,0 %</w:t>
            </w:r>
          </w:p>
        </w:tc>
      </w:tr>
      <w:tr w:rsidR="00772EC3" w:rsidRPr="004C6A35" w14:paraId="67ED6B3E" w14:textId="77777777" w:rsidTr="00186607">
        <w:trPr>
          <w:trHeight w:val="300"/>
        </w:trPr>
        <w:tc>
          <w:tcPr>
            <w:tcW w:w="776" w:type="pct"/>
            <w:shd w:val="clear" w:color="auto" w:fill="auto"/>
            <w:noWrap/>
            <w:vAlign w:val="bottom"/>
          </w:tcPr>
          <w:p w14:paraId="0B5FA284" w14:textId="77777777" w:rsidR="00772EC3" w:rsidRPr="00702148" w:rsidRDefault="00772EC3" w:rsidP="003C405A">
            <w:pPr>
              <w:spacing w:after="0"/>
              <w:rPr>
                <w:noProof/>
                <w:color w:val="000000"/>
              </w:rPr>
            </w:pPr>
            <w:r>
              <w:rPr>
                <w:noProof/>
                <w:color w:val="000000"/>
              </w:rPr>
              <w:t>LU</w:t>
            </w:r>
          </w:p>
        </w:tc>
        <w:tc>
          <w:tcPr>
            <w:tcW w:w="1320" w:type="pct"/>
            <w:shd w:val="clear" w:color="auto" w:fill="auto"/>
            <w:noWrap/>
            <w:vAlign w:val="bottom"/>
          </w:tcPr>
          <w:p w14:paraId="6EEA4B50" w14:textId="77777777" w:rsidR="00772EC3" w:rsidRPr="00702148" w:rsidRDefault="00772EC3" w:rsidP="003C405A">
            <w:pPr>
              <w:spacing w:after="0"/>
              <w:jc w:val="right"/>
              <w:rPr>
                <w:noProof/>
                <w:color w:val="000000"/>
              </w:rPr>
            </w:pPr>
            <w:r>
              <w:rPr>
                <w:noProof/>
                <w:color w:val="000000"/>
              </w:rPr>
              <w:t>–3,3 %</w:t>
            </w:r>
          </w:p>
        </w:tc>
        <w:tc>
          <w:tcPr>
            <w:tcW w:w="1532" w:type="pct"/>
            <w:shd w:val="clear" w:color="auto" w:fill="auto"/>
            <w:noWrap/>
            <w:vAlign w:val="bottom"/>
          </w:tcPr>
          <w:p w14:paraId="2D582018" w14:textId="77777777" w:rsidR="00772EC3" w:rsidRPr="00702148" w:rsidRDefault="00772EC3" w:rsidP="003C405A">
            <w:pPr>
              <w:spacing w:after="0"/>
              <w:jc w:val="right"/>
              <w:rPr>
                <w:noProof/>
                <w:color w:val="000000"/>
              </w:rPr>
            </w:pPr>
            <w:r>
              <w:rPr>
                <w:noProof/>
                <w:color w:val="000000"/>
              </w:rPr>
              <w:t>0,4 %</w:t>
            </w:r>
          </w:p>
        </w:tc>
        <w:tc>
          <w:tcPr>
            <w:tcW w:w="1372" w:type="pct"/>
            <w:shd w:val="clear" w:color="auto" w:fill="auto"/>
            <w:noWrap/>
            <w:vAlign w:val="bottom"/>
          </w:tcPr>
          <w:p w14:paraId="28D3FF14" w14:textId="77777777" w:rsidR="00772EC3" w:rsidRPr="00702148" w:rsidRDefault="00772EC3" w:rsidP="003C405A">
            <w:pPr>
              <w:spacing w:after="0"/>
              <w:jc w:val="right"/>
              <w:rPr>
                <w:noProof/>
                <w:color w:val="000000"/>
              </w:rPr>
            </w:pPr>
            <w:r>
              <w:rPr>
                <w:noProof/>
                <w:color w:val="000000"/>
              </w:rPr>
              <w:t>0,0 %</w:t>
            </w:r>
          </w:p>
        </w:tc>
      </w:tr>
      <w:tr w:rsidR="00772EC3" w:rsidRPr="004C6A35" w14:paraId="0ED7BFED" w14:textId="77777777" w:rsidTr="00186607">
        <w:trPr>
          <w:trHeight w:val="300"/>
        </w:trPr>
        <w:tc>
          <w:tcPr>
            <w:tcW w:w="776" w:type="pct"/>
            <w:shd w:val="clear" w:color="auto" w:fill="auto"/>
            <w:noWrap/>
            <w:vAlign w:val="bottom"/>
          </w:tcPr>
          <w:p w14:paraId="1A382695" w14:textId="77777777" w:rsidR="00772EC3" w:rsidRPr="00702148" w:rsidRDefault="00772EC3" w:rsidP="003C405A">
            <w:pPr>
              <w:spacing w:after="0"/>
              <w:rPr>
                <w:noProof/>
                <w:color w:val="000000"/>
              </w:rPr>
            </w:pPr>
            <w:r>
              <w:rPr>
                <w:noProof/>
                <w:color w:val="000000"/>
              </w:rPr>
              <w:t>HU</w:t>
            </w:r>
          </w:p>
        </w:tc>
        <w:tc>
          <w:tcPr>
            <w:tcW w:w="1320" w:type="pct"/>
            <w:shd w:val="clear" w:color="auto" w:fill="auto"/>
            <w:noWrap/>
            <w:vAlign w:val="bottom"/>
          </w:tcPr>
          <w:p w14:paraId="772CDBAC" w14:textId="77777777" w:rsidR="00772EC3" w:rsidRPr="00702148" w:rsidRDefault="00772EC3" w:rsidP="003C405A">
            <w:pPr>
              <w:spacing w:after="0"/>
              <w:jc w:val="right"/>
              <w:rPr>
                <w:noProof/>
                <w:color w:val="000000"/>
              </w:rPr>
            </w:pPr>
            <w:r>
              <w:rPr>
                <w:noProof/>
                <w:color w:val="000000"/>
              </w:rPr>
              <w:t>1,7 %</w:t>
            </w:r>
          </w:p>
        </w:tc>
        <w:tc>
          <w:tcPr>
            <w:tcW w:w="1532" w:type="pct"/>
            <w:shd w:val="clear" w:color="auto" w:fill="auto"/>
            <w:noWrap/>
            <w:vAlign w:val="bottom"/>
          </w:tcPr>
          <w:p w14:paraId="0EF44282" w14:textId="77777777" w:rsidR="00772EC3" w:rsidRPr="00702148" w:rsidRDefault="00772EC3" w:rsidP="003C405A">
            <w:pPr>
              <w:spacing w:after="0"/>
              <w:jc w:val="right"/>
              <w:rPr>
                <w:noProof/>
                <w:color w:val="000000"/>
              </w:rPr>
            </w:pPr>
            <w:r>
              <w:rPr>
                <w:noProof/>
                <w:color w:val="000000"/>
              </w:rPr>
              <w:t>1,6 %</w:t>
            </w:r>
          </w:p>
        </w:tc>
        <w:tc>
          <w:tcPr>
            <w:tcW w:w="1372" w:type="pct"/>
            <w:shd w:val="clear" w:color="auto" w:fill="auto"/>
            <w:noWrap/>
            <w:vAlign w:val="bottom"/>
          </w:tcPr>
          <w:p w14:paraId="4BA833CB" w14:textId="77777777" w:rsidR="00772EC3" w:rsidRPr="00702148" w:rsidRDefault="00772EC3" w:rsidP="003C405A">
            <w:pPr>
              <w:spacing w:after="0"/>
              <w:jc w:val="right"/>
              <w:rPr>
                <w:noProof/>
                <w:color w:val="000000"/>
              </w:rPr>
            </w:pPr>
            <w:r>
              <w:rPr>
                <w:noProof/>
                <w:color w:val="000000"/>
              </w:rPr>
              <w:t>0,0 %</w:t>
            </w:r>
          </w:p>
        </w:tc>
      </w:tr>
      <w:tr w:rsidR="00772EC3" w:rsidRPr="004C6A35" w14:paraId="6DD458AE" w14:textId="77777777" w:rsidTr="00186607">
        <w:trPr>
          <w:trHeight w:val="300"/>
        </w:trPr>
        <w:tc>
          <w:tcPr>
            <w:tcW w:w="776" w:type="pct"/>
            <w:shd w:val="clear" w:color="auto" w:fill="auto"/>
            <w:noWrap/>
            <w:vAlign w:val="bottom"/>
          </w:tcPr>
          <w:p w14:paraId="05EA9E06" w14:textId="77777777" w:rsidR="00772EC3" w:rsidRPr="00702148" w:rsidRDefault="00772EC3" w:rsidP="003C405A">
            <w:pPr>
              <w:spacing w:after="0"/>
              <w:rPr>
                <w:noProof/>
                <w:color w:val="000000"/>
              </w:rPr>
            </w:pPr>
            <w:r>
              <w:rPr>
                <w:noProof/>
                <w:color w:val="000000"/>
              </w:rPr>
              <w:t>MT</w:t>
            </w:r>
          </w:p>
        </w:tc>
        <w:tc>
          <w:tcPr>
            <w:tcW w:w="1320" w:type="pct"/>
            <w:shd w:val="clear" w:color="auto" w:fill="auto"/>
            <w:noWrap/>
            <w:vAlign w:val="bottom"/>
          </w:tcPr>
          <w:p w14:paraId="14BD0521" w14:textId="77777777" w:rsidR="00772EC3" w:rsidRPr="00702148" w:rsidRDefault="00772EC3" w:rsidP="003C405A">
            <w:pPr>
              <w:spacing w:after="0"/>
              <w:jc w:val="right"/>
              <w:rPr>
                <w:noProof/>
                <w:color w:val="000000"/>
              </w:rPr>
            </w:pPr>
            <w:r>
              <w:rPr>
                <w:noProof/>
                <w:color w:val="000000"/>
              </w:rPr>
              <w:t>5,0 %</w:t>
            </w:r>
          </w:p>
        </w:tc>
        <w:tc>
          <w:tcPr>
            <w:tcW w:w="1532" w:type="pct"/>
            <w:shd w:val="clear" w:color="auto" w:fill="auto"/>
            <w:noWrap/>
            <w:vAlign w:val="bottom"/>
          </w:tcPr>
          <w:p w14:paraId="327A7843" w14:textId="77777777" w:rsidR="00772EC3" w:rsidRPr="00702148" w:rsidRDefault="00772EC3" w:rsidP="003C405A">
            <w:pPr>
              <w:spacing w:after="0"/>
              <w:jc w:val="right"/>
              <w:rPr>
                <w:noProof/>
                <w:color w:val="000000"/>
              </w:rPr>
            </w:pPr>
            <w:r>
              <w:rPr>
                <w:noProof/>
                <w:color w:val="000000"/>
              </w:rPr>
              <w:t>0,1 %</w:t>
            </w:r>
          </w:p>
        </w:tc>
        <w:tc>
          <w:tcPr>
            <w:tcW w:w="1372" w:type="pct"/>
            <w:shd w:val="clear" w:color="auto" w:fill="auto"/>
            <w:noWrap/>
            <w:vAlign w:val="bottom"/>
          </w:tcPr>
          <w:p w14:paraId="1F6481CD" w14:textId="77777777" w:rsidR="00772EC3" w:rsidRPr="00702148" w:rsidRDefault="00772EC3" w:rsidP="003C405A">
            <w:pPr>
              <w:spacing w:after="0"/>
              <w:jc w:val="right"/>
              <w:rPr>
                <w:noProof/>
                <w:color w:val="000000"/>
              </w:rPr>
            </w:pPr>
            <w:r>
              <w:rPr>
                <w:noProof/>
                <w:color w:val="000000"/>
              </w:rPr>
              <w:t>0,0 %</w:t>
            </w:r>
          </w:p>
        </w:tc>
      </w:tr>
      <w:tr w:rsidR="00772EC3" w:rsidRPr="004C6A35" w14:paraId="1C889411" w14:textId="77777777" w:rsidTr="00186607">
        <w:trPr>
          <w:trHeight w:val="300"/>
        </w:trPr>
        <w:tc>
          <w:tcPr>
            <w:tcW w:w="776" w:type="pct"/>
            <w:shd w:val="clear" w:color="auto" w:fill="auto"/>
            <w:noWrap/>
            <w:vAlign w:val="bottom"/>
          </w:tcPr>
          <w:p w14:paraId="065B08CB" w14:textId="77777777" w:rsidR="00772EC3" w:rsidRPr="00702148" w:rsidRDefault="00772EC3" w:rsidP="003C405A">
            <w:pPr>
              <w:spacing w:after="0"/>
              <w:rPr>
                <w:noProof/>
                <w:color w:val="000000"/>
              </w:rPr>
            </w:pPr>
            <w:r>
              <w:rPr>
                <w:noProof/>
                <w:color w:val="000000"/>
              </w:rPr>
              <w:t>NL</w:t>
            </w:r>
          </w:p>
        </w:tc>
        <w:tc>
          <w:tcPr>
            <w:tcW w:w="1320" w:type="pct"/>
            <w:shd w:val="clear" w:color="auto" w:fill="auto"/>
            <w:noWrap/>
            <w:vAlign w:val="bottom"/>
          </w:tcPr>
          <w:p w14:paraId="6D6D17B4" w14:textId="77777777" w:rsidR="00772EC3" w:rsidRPr="00702148" w:rsidRDefault="00772EC3" w:rsidP="003C405A">
            <w:pPr>
              <w:spacing w:after="0"/>
              <w:jc w:val="right"/>
              <w:rPr>
                <w:noProof/>
                <w:color w:val="000000"/>
              </w:rPr>
            </w:pPr>
            <w:r>
              <w:rPr>
                <w:noProof/>
                <w:color w:val="000000"/>
              </w:rPr>
              <w:t>0,2 %</w:t>
            </w:r>
          </w:p>
        </w:tc>
        <w:tc>
          <w:tcPr>
            <w:tcW w:w="1532" w:type="pct"/>
            <w:shd w:val="clear" w:color="auto" w:fill="auto"/>
            <w:noWrap/>
            <w:vAlign w:val="bottom"/>
          </w:tcPr>
          <w:p w14:paraId="0D334AEE" w14:textId="77777777" w:rsidR="00772EC3" w:rsidRPr="00702148" w:rsidRDefault="00772EC3" w:rsidP="003C405A">
            <w:pPr>
              <w:spacing w:after="0"/>
              <w:jc w:val="right"/>
              <w:rPr>
                <w:noProof/>
                <w:color w:val="000000"/>
              </w:rPr>
            </w:pPr>
            <w:r>
              <w:rPr>
                <w:noProof/>
                <w:color w:val="000000"/>
              </w:rPr>
              <w:t>5,2 %</w:t>
            </w:r>
          </w:p>
        </w:tc>
        <w:tc>
          <w:tcPr>
            <w:tcW w:w="1372" w:type="pct"/>
            <w:shd w:val="clear" w:color="auto" w:fill="auto"/>
            <w:noWrap/>
            <w:vAlign w:val="bottom"/>
          </w:tcPr>
          <w:p w14:paraId="03CE4DBA" w14:textId="77777777" w:rsidR="00772EC3" w:rsidRPr="00702148" w:rsidRDefault="00772EC3" w:rsidP="003C405A">
            <w:pPr>
              <w:spacing w:after="0"/>
              <w:jc w:val="right"/>
              <w:rPr>
                <w:noProof/>
                <w:color w:val="000000"/>
              </w:rPr>
            </w:pPr>
            <w:r>
              <w:rPr>
                <w:noProof/>
                <w:color w:val="000000"/>
              </w:rPr>
              <w:t>0,0 %</w:t>
            </w:r>
          </w:p>
        </w:tc>
      </w:tr>
      <w:tr w:rsidR="00772EC3" w:rsidRPr="004C6A35" w14:paraId="0D846342" w14:textId="77777777" w:rsidTr="00186607">
        <w:trPr>
          <w:trHeight w:val="300"/>
        </w:trPr>
        <w:tc>
          <w:tcPr>
            <w:tcW w:w="776" w:type="pct"/>
            <w:shd w:val="clear" w:color="auto" w:fill="auto"/>
            <w:noWrap/>
            <w:vAlign w:val="bottom"/>
          </w:tcPr>
          <w:p w14:paraId="3EA50C32" w14:textId="77777777" w:rsidR="00772EC3" w:rsidRPr="00702148" w:rsidRDefault="00772EC3" w:rsidP="003C405A">
            <w:pPr>
              <w:spacing w:after="0"/>
              <w:rPr>
                <w:noProof/>
                <w:color w:val="000000"/>
              </w:rPr>
            </w:pPr>
            <w:r>
              <w:rPr>
                <w:noProof/>
                <w:color w:val="000000"/>
              </w:rPr>
              <w:t>AT</w:t>
            </w:r>
          </w:p>
        </w:tc>
        <w:tc>
          <w:tcPr>
            <w:tcW w:w="1320" w:type="pct"/>
            <w:shd w:val="clear" w:color="auto" w:fill="auto"/>
            <w:noWrap/>
            <w:vAlign w:val="bottom"/>
          </w:tcPr>
          <w:p w14:paraId="5CD1A098" w14:textId="77777777" w:rsidR="00772EC3" w:rsidRPr="00702148" w:rsidRDefault="00772EC3" w:rsidP="003C405A">
            <w:pPr>
              <w:spacing w:after="0"/>
              <w:jc w:val="right"/>
              <w:rPr>
                <w:noProof/>
                <w:color w:val="000000"/>
              </w:rPr>
            </w:pPr>
            <w:r>
              <w:rPr>
                <w:noProof/>
                <w:color w:val="000000"/>
              </w:rPr>
              <w:t>–0,9 %</w:t>
            </w:r>
          </w:p>
        </w:tc>
        <w:tc>
          <w:tcPr>
            <w:tcW w:w="1532" w:type="pct"/>
            <w:shd w:val="clear" w:color="auto" w:fill="auto"/>
            <w:noWrap/>
            <w:vAlign w:val="bottom"/>
          </w:tcPr>
          <w:p w14:paraId="710ADD87" w14:textId="77777777" w:rsidR="00772EC3" w:rsidRPr="00702148" w:rsidRDefault="00772EC3" w:rsidP="003C405A">
            <w:pPr>
              <w:spacing w:after="0"/>
              <w:jc w:val="right"/>
              <w:rPr>
                <w:noProof/>
                <w:color w:val="000000"/>
              </w:rPr>
            </w:pPr>
            <w:r>
              <w:rPr>
                <w:noProof/>
                <w:color w:val="000000"/>
              </w:rPr>
              <w:t>2,5 %</w:t>
            </w:r>
          </w:p>
        </w:tc>
        <w:tc>
          <w:tcPr>
            <w:tcW w:w="1372" w:type="pct"/>
            <w:shd w:val="clear" w:color="auto" w:fill="auto"/>
            <w:noWrap/>
            <w:vAlign w:val="bottom"/>
          </w:tcPr>
          <w:p w14:paraId="48E17CFA" w14:textId="77777777" w:rsidR="00772EC3" w:rsidRPr="00702148" w:rsidRDefault="00772EC3" w:rsidP="003C405A">
            <w:pPr>
              <w:spacing w:after="0"/>
              <w:jc w:val="right"/>
              <w:rPr>
                <w:noProof/>
                <w:color w:val="000000"/>
              </w:rPr>
            </w:pPr>
            <w:r>
              <w:rPr>
                <w:noProof/>
                <w:color w:val="000000"/>
              </w:rPr>
              <w:t>0,0 %</w:t>
            </w:r>
          </w:p>
        </w:tc>
      </w:tr>
      <w:tr w:rsidR="00772EC3" w:rsidRPr="004C6A35" w14:paraId="5BF6F03B" w14:textId="77777777" w:rsidTr="00186607">
        <w:trPr>
          <w:trHeight w:val="300"/>
        </w:trPr>
        <w:tc>
          <w:tcPr>
            <w:tcW w:w="776" w:type="pct"/>
            <w:shd w:val="clear" w:color="auto" w:fill="auto"/>
            <w:noWrap/>
            <w:vAlign w:val="bottom"/>
          </w:tcPr>
          <w:p w14:paraId="2AE085B0" w14:textId="77777777" w:rsidR="00772EC3" w:rsidRPr="00702148" w:rsidRDefault="00772EC3" w:rsidP="003C405A">
            <w:pPr>
              <w:spacing w:after="0"/>
              <w:rPr>
                <w:noProof/>
                <w:color w:val="000000"/>
              </w:rPr>
            </w:pPr>
            <w:r>
              <w:rPr>
                <w:noProof/>
                <w:color w:val="000000"/>
              </w:rPr>
              <w:t>PL</w:t>
            </w:r>
          </w:p>
        </w:tc>
        <w:tc>
          <w:tcPr>
            <w:tcW w:w="1320" w:type="pct"/>
            <w:shd w:val="clear" w:color="auto" w:fill="auto"/>
            <w:noWrap/>
            <w:vAlign w:val="bottom"/>
          </w:tcPr>
          <w:p w14:paraId="027578F3" w14:textId="77777777" w:rsidR="00772EC3" w:rsidRPr="00702148" w:rsidRDefault="00772EC3" w:rsidP="003C405A">
            <w:pPr>
              <w:spacing w:after="0"/>
              <w:jc w:val="right"/>
              <w:rPr>
                <w:noProof/>
                <w:color w:val="000000"/>
              </w:rPr>
            </w:pPr>
            <w:r>
              <w:rPr>
                <w:noProof/>
                <w:color w:val="000000"/>
              </w:rPr>
              <w:t>3,8 %</w:t>
            </w:r>
          </w:p>
        </w:tc>
        <w:tc>
          <w:tcPr>
            <w:tcW w:w="1532" w:type="pct"/>
            <w:shd w:val="clear" w:color="auto" w:fill="auto"/>
            <w:noWrap/>
            <w:vAlign w:val="bottom"/>
          </w:tcPr>
          <w:p w14:paraId="6FADA4BE" w14:textId="77777777" w:rsidR="00772EC3" w:rsidRPr="00702148" w:rsidRDefault="00772EC3" w:rsidP="003C405A">
            <w:pPr>
              <w:spacing w:after="0"/>
              <w:jc w:val="right"/>
              <w:rPr>
                <w:noProof/>
                <w:color w:val="000000"/>
              </w:rPr>
            </w:pPr>
            <w:r>
              <w:rPr>
                <w:noProof/>
                <w:color w:val="000000"/>
              </w:rPr>
              <w:t>6,5 %</w:t>
            </w:r>
          </w:p>
        </w:tc>
        <w:tc>
          <w:tcPr>
            <w:tcW w:w="1372" w:type="pct"/>
            <w:shd w:val="clear" w:color="auto" w:fill="auto"/>
            <w:noWrap/>
            <w:vAlign w:val="bottom"/>
          </w:tcPr>
          <w:p w14:paraId="7395FC24" w14:textId="77777777" w:rsidR="00772EC3" w:rsidRPr="00702148" w:rsidRDefault="00772EC3" w:rsidP="003C405A">
            <w:pPr>
              <w:spacing w:after="0"/>
              <w:jc w:val="right"/>
              <w:rPr>
                <w:noProof/>
                <w:color w:val="000000"/>
              </w:rPr>
            </w:pPr>
            <w:r>
              <w:rPr>
                <w:noProof/>
                <w:color w:val="000000"/>
              </w:rPr>
              <w:t>0,2 %</w:t>
            </w:r>
          </w:p>
        </w:tc>
      </w:tr>
      <w:tr w:rsidR="00772EC3" w:rsidRPr="004C6A35" w14:paraId="32236357" w14:textId="77777777" w:rsidTr="00186607">
        <w:trPr>
          <w:trHeight w:val="300"/>
        </w:trPr>
        <w:tc>
          <w:tcPr>
            <w:tcW w:w="776" w:type="pct"/>
            <w:shd w:val="clear" w:color="auto" w:fill="auto"/>
            <w:noWrap/>
            <w:vAlign w:val="bottom"/>
          </w:tcPr>
          <w:p w14:paraId="2B6AEAB7" w14:textId="77777777" w:rsidR="00772EC3" w:rsidRPr="00702148" w:rsidRDefault="00772EC3" w:rsidP="003C405A">
            <w:pPr>
              <w:spacing w:after="0"/>
              <w:rPr>
                <w:noProof/>
                <w:color w:val="000000"/>
              </w:rPr>
            </w:pPr>
            <w:r>
              <w:rPr>
                <w:noProof/>
                <w:color w:val="000000"/>
              </w:rPr>
              <w:t>PT</w:t>
            </w:r>
          </w:p>
        </w:tc>
        <w:tc>
          <w:tcPr>
            <w:tcW w:w="1320" w:type="pct"/>
            <w:shd w:val="clear" w:color="auto" w:fill="auto"/>
            <w:noWrap/>
            <w:vAlign w:val="bottom"/>
          </w:tcPr>
          <w:p w14:paraId="3FBB3BCF" w14:textId="77777777" w:rsidR="00772EC3" w:rsidRPr="00702148" w:rsidRDefault="00772EC3" w:rsidP="003C405A">
            <w:pPr>
              <w:spacing w:after="0"/>
              <w:jc w:val="right"/>
              <w:rPr>
                <w:noProof/>
                <w:color w:val="000000"/>
              </w:rPr>
            </w:pPr>
            <w:r>
              <w:rPr>
                <w:noProof/>
                <w:color w:val="000000"/>
              </w:rPr>
              <w:t>1,2 %</w:t>
            </w:r>
          </w:p>
        </w:tc>
        <w:tc>
          <w:tcPr>
            <w:tcW w:w="1532" w:type="pct"/>
            <w:shd w:val="clear" w:color="auto" w:fill="auto"/>
            <w:noWrap/>
            <w:vAlign w:val="bottom"/>
          </w:tcPr>
          <w:p w14:paraId="0CF23910" w14:textId="77777777" w:rsidR="00772EC3" w:rsidRPr="00702148" w:rsidRDefault="00772EC3" w:rsidP="003C405A">
            <w:pPr>
              <w:spacing w:after="0"/>
              <w:jc w:val="right"/>
              <w:rPr>
                <w:noProof/>
                <w:color w:val="000000"/>
              </w:rPr>
            </w:pPr>
            <w:r>
              <w:rPr>
                <w:noProof/>
                <w:color w:val="000000"/>
              </w:rPr>
              <w:t>1,8 %</w:t>
            </w:r>
          </w:p>
        </w:tc>
        <w:tc>
          <w:tcPr>
            <w:tcW w:w="1372" w:type="pct"/>
            <w:shd w:val="clear" w:color="auto" w:fill="auto"/>
            <w:noWrap/>
            <w:vAlign w:val="bottom"/>
          </w:tcPr>
          <w:p w14:paraId="4383CB84" w14:textId="77777777" w:rsidR="00772EC3" w:rsidRPr="00702148" w:rsidRDefault="00772EC3" w:rsidP="003C405A">
            <w:pPr>
              <w:spacing w:after="0"/>
              <w:jc w:val="right"/>
              <w:rPr>
                <w:noProof/>
                <w:color w:val="000000"/>
              </w:rPr>
            </w:pPr>
            <w:r>
              <w:rPr>
                <w:noProof/>
                <w:color w:val="000000"/>
              </w:rPr>
              <w:t>0,0 %</w:t>
            </w:r>
          </w:p>
        </w:tc>
      </w:tr>
      <w:tr w:rsidR="00772EC3" w:rsidRPr="004C6A35" w14:paraId="35C087C2" w14:textId="77777777" w:rsidTr="00186607">
        <w:trPr>
          <w:trHeight w:val="300"/>
        </w:trPr>
        <w:tc>
          <w:tcPr>
            <w:tcW w:w="776" w:type="pct"/>
            <w:shd w:val="clear" w:color="auto" w:fill="auto"/>
            <w:noWrap/>
            <w:vAlign w:val="bottom"/>
          </w:tcPr>
          <w:p w14:paraId="12A6D906" w14:textId="77777777" w:rsidR="00772EC3" w:rsidRPr="00702148" w:rsidRDefault="00772EC3" w:rsidP="003C405A">
            <w:pPr>
              <w:spacing w:after="0"/>
              <w:rPr>
                <w:noProof/>
                <w:color w:val="000000"/>
              </w:rPr>
            </w:pPr>
            <w:r>
              <w:rPr>
                <w:noProof/>
                <w:color w:val="000000"/>
              </w:rPr>
              <w:t>RO</w:t>
            </w:r>
          </w:p>
        </w:tc>
        <w:tc>
          <w:tcPr>
            <w:tcW w:w="1320" w:type="pct"/>
            <w:shd w:val="clear" w:color="auto" w:fill="auto"/>
            <w:noWrap/>
            <w:vAlign w:val="bottom"/>
          </w:tcPr>
          <w:p w14:paraId="25E07B8C" w14:textId="77777777" w:rsidR="00772EC3" w:rsidRPr="00702148" w:rsidRDefault="00772EC3" w:rsidP="003C405A">
            <w:pPr>
              <w:spacing w:after="0"/>
              <w:jc w:val="right"/>
              <w:rPr>
                <w:noProof/>
                <w:color w:val="000000"/>
              </w:rPr>
            </w:pPr>
            <w:r>
              <w:rPr>
                <w:noProof/>
                <w:color w:val="000000"/>
              </w:rPr>
              <w:t>–1,9 %</w:t>
            </w:r>
          </w:p>
        </w:tc>
        <w:tc>
          <w:tcPr>
            <w:tcW w:w="1532" w:type="pct"/>
            <w:shd w:val="clear" w:color="auto" w:fill="auto"/>
            <w:noWrap/>
            <w:vAlign w:val="bottom"/>
          </w:tcPr>
          <w:p w14:paraId="2FF05E76" w14:textId="77777777" w:rsidR="00772EC3" w:rsidRPr="00702148" w:rsidRDefault="00772EC3" w:rsidP="003C405A">
            <w:pPr>
              <w:spacing w:after="0"/>
              <w:jc w:val="right"/>
              <w:rPr>
                <w:noProof/>
                <w:color w:val="000000"/>
              </w:rPr>
            </w:pPr>
            <w:r>
              <w:rPr>
                <w:noProof/>
                <w:color w:val="000000"/>
              </w:rPr>
              <w:t>3,1 %</w:t>
            </w:r>
          </w:p>
        </w:tc>
        <w:tc>
          <w:tcPr>
            <w:tcW w:w="1372" w:type="pct"/>
            <w:shd w:val="clear" w:color="auto" w:fill="auto"/>
            <w:noWrap/>
            <w:vAlign w:val="bottom"/>
          </w:tcPr>
          <w:p w14:paraId="33649BFA" w14:textId="77777777" w:rsidR="00772EC3" w:rsidRPr="00702148" w:rsidRDefault="00772EC3" w:rsidP="003C405A">
            <w:pPr>
              <w:spacing w:after="0"/>
              <w:jc w:val="right"/>
              <w:rPr>
                <w:noProof/>
                <w:color w:val="000000"/>
              </w:rPr>
            </w:pPr>
            <w:r>
              <w:rPr>
                <w:noProof/>
                <w:color w:val="000000"/>
              </w:rPr>
              <w:t>–0,1 %</w:t>
            </w:r>
          </w:p>
        </w:tc>
      </w:tr>
      <w:tr w:rsidR="00772EC3" w:rsidRPr="004C6A35" w14:paraId="4C60814E" w14:textId="77777777" w:rsidTr="00186607">
        <w:trPr>
          <w:trHeight w:val="300"/>
        </w:trPr>
        <w:tc>
          <w:tcPr>
            <w:tcW w:w="776" w:type="pct"/>
            <w:shd w:val="clear" w:color="auto" w:fill="auto"/>
            <w:noWrap/>
            <w:vAlign w:val="bottom"/>
          </w:tcPr>
          <w:p w14:paraId="3624F152" w14:textId="77777777" w:rsidR="00772EC3" w:rsidRPr="00702148" w:rsidRDefault="00772EC3" w:rsidP="003C405A">
            <w:pPr>
              <w:spacing w:after="0"/>
              <w:rPr>
                <w:noProof/>
                <w:color w:val="000000"/>
              </w:rPr>
            </w:pPr>
            <w:r>
              <w:rPr>
                <w:noProof/>
                <w:color w:val="000000"/>
              </w:rPr>
              <w:t>SI</w:t>
            </w:r>
          </w:p>
        </w:tc>
        <w:tc>
          <w:tcPr>
            <w:tcW w:w="1320" w:type="pct"/>
            <w:shd w:val="clear" w:color="auto" w:fill="auto"/>
            <w:noWrap/>
            <w:vAlign w:val="bottom"/>
          </w:tcPr>
          <w:p w14:paraId="424ABA72" w14:textId="77777777" w:rsidR="00772EC3" w:rsidRPr="00702148" w:rsidRDefault="00772EC3" w:rsidP="003C405A">
            <w:pPr>
              <w:spacing w:after="0"/>
              <w:jc w:val="right"/>
              <w:rPr>
                <w:noProof/>
                <w:color w:val="000000"/>
              </w:rPr>
            </w:pPr>
            <w:r>
              <w:rPr>
                <w:noProof/>
                <w:color w:val="000000"/>
              </w:rPr>
              <w:t>–1,1 %</w:t>
            </w:r>
          </w:p>
        </w:tc>
        <w:tc>
          <w:tcPr>
            <w:tcW w:w="1532" w:type="pct"/>
            <w:shd w:val="clear" w:color="auto" w:fill="auto"/>
            <w:noWrap/>
            <w:vAlign w:val="bottom"/>
          </w:tcPr>
          <w:p w14:paraId="47DF7138" w14:textId="77777777" w:rsidR="00772EC3" w:rsidRPr="00702148" w:rsidRDefault="00772EC3" w:rsidP="003C405A">
            <w:pPr>
              <w:spacing w:after="0"/>
              <w:jc w:val="right"/>
              <w:rPr>
                <w:noProof/>
                <w:color w:val="000000"/>
              </w:rPr>
            </w:pPr>
            <w:r>
              <w:rPr>
                <w:noProof/>
                <w:color w:val="000000"/>
              </w:rPr>
              <w:t>0,4 %</w:t>
            </w:r>
          </w:p>
        </w:tc>
        <w:tc>
          <w:tcPr>
            <w:tcW w:w="1372" w:type="pct"/>
            <w:shd w:val="clear" w:color="auto" w:fill="auto"/>
            <w:noWrap/>
            <w:vAlign w:val="bottom"/>
          </w:tcPr>
          <w:p w14:paraId="620747F6" w14:textId="77777777" w:rsidR="00772EC3" w:rsidRPr="00702148" w:rsidRDefault="00772EC3" w:rsidP="003C405A">
            <w:pPr>
              <w:spacing w:after="0"/>
              <w:jc w:val="right"/>
              <w:rPr>
                <w:noProof/>
                <w:color w:val="000000"/>
              </w:rPr>
            </w:pPr>
            <w:r>
              <w:rPr>
                <w:noProof/>
                <w:color w:val="000000"/>
              </w:rPr>
              <w:t>0,0 %</w:t>
            </w:r>
          </w:p>
        </w:tc>
      </w:tr>
      <w:tr w:rsidR="00772EC3" w:rsidRPr="004C6A35" w14:paraId="028E4933" w14:textId="77777777" w:rsidTr="00186607">
        <w:trPr>
          <w:trHeight w:val="300"/>
        </w:trPr>
        <w:tc>
          <w:tcPr>
            <w:tcW w:w="776" w:type="pct"/>
            <w:shd w:val="clear" w:color="auto" w:fill="auto"/>
            <w:noWrap/>
            <w:vAlign w:val="bottom"/>
          </w:tcPr>
          <w:p w14:paraId="2D4D7E7B" w14:textId="77777777" w:rsidR="00772EC3" w:rsidRPr="00702148" w:rsidRDefault="00772EC3" w:rsidP="003C405A">
            <w:pPr>
              <w:spacing w:after="0"/>
              <w:rPr>
                <w:noProof/>
                <w:color w:val="000000"/>
              </w:rPr>
            </w:pPr>
            <w:r>
              <w:rPr>
                <w:noProof/>
                <w:color w:val="000000"/>
              </w:rPr>
              <w:t>SK</w:t>
            </w:r>
          </w:p>
        </w:tc>
        <w:tc>
          <w:tcPr>
            <w:tcW w:w="1320" w:type="pct"/>
            <w:shd w:val="clear" w:color="auto" w:fill="auto"/>
            <w:noWrap/>
            <w:vAlign w:val="bottom"/>
          </w:tcPr>
          <w:p w14:paraId="10F9F2CD" w14:textId="77777777" w:rsidR="00772EC3" w:rsidRPr="00702148" w:rsidRDefault="00772EC3" w:rsidP="003C405A">
            <w:pPr>
              <w:spacing w:after="0"/>
              <w:jc w:val="right"/>
              <w:rPr>
                <w:noProof/>
                <w:color w:val="000000"/>
              </w:rPr>
            </w:pPr>
            <w:r>
              <w:rPr>
                <w:noProof/>
                <w:color w:val="000000"/>
              </w:rPr>
              <w:t>6,2 %</w:t>
            </w:r>
          </w:p>
        </w:tc>
        <w:tc>
          <w:tcPr>
            <w:tcW w:w="1532" w:type="pct"/>
            <w:shd w:val="clear" w:color="auto" w:fill="auto"/>
            <w:noWrap/>
            <w:vAlign w:val="bottom"/>
          </w:tcPr>
          <w:p w14:paraId="5FE46C33" w14:textId="77777777" w:rsidR="00772EC3" w:rsidRPr="00702148" w:rsidRDefault="00772EC3" w:rsidP="003C405A">
            <w:pPr>
              <w:spacing w:after="0"/>
              <w:jc w:val="right"/>
              <w:rPr>
                <w:noProof/>
                <w:color w:val="000000"/>
              </w:rPr>
            </w:pPr>
            <w:r>
              <w:rPr>
                <w:noProof/>
                <w:color w:val="000000"/>
              </w:rPr>
              <w:t>0,9 %</w:t>
            </w:r>
          </w:p>
        </w:tc>
        <w:tc>
          <w:tcPr>
            <w:tcW w:w="1372" w:type="pct"/>
            <w:shd w:val="clear" w:color="auto" w:fill="auto"/>
            <w:noWrap/>
            <w:vAlign w:val="bottom"/>
          </w:tcPr>
          <w:p w14:paraId="5917D68A" w14:textId="77777777" w:rsidR="00772EC3" w:rsidRPr="00702148" w:rsidRDefault="00772EC3" w:rsidP="003C405A">
            <w:pPr>
              <w:spacing w:after="0"/>
              <w:jc w:val="right"/>
              <w:rPr>
                <w:noProof/>
                <w:color w:val="000000"/>
              </w:rPr>
            </w:pPr>
            <w:r>
              <w:rPr>
                <w:noProof/>
                <w:color w:val="000000"/>
              </w:rPr>
              <w:t>0,1 %</w:t>
            </w:r>
          </w:p>
        </w:tc>
      </w:tr>
      <w:tr w:rsidR="00772EC3" w:rsidRPr="004C6A35" w14:paraId="665791C0" w14:textId="77777777" w:rsidTr="00186607">
        <w:trPr>
          <w:trHeight w:val="300"/>
        </w:trPr>
        <w:tc>
          <w:tcPr>
            <w:tcW w:w="776" w:type="pct"/>
            <w:shd w:val="clear" w:color="auto" w:fill="auto"/>
            <w:noWrap/>
            <w:vAlign w:val="bottom"/>
          </w:tcPr>
          <w:p w14:paraId="279ACD92" w14:textId="77777777" w:rsidR="00772EC3" w:rsidRPr="00702148" w:rsidRDefault="00772EC3" w:rsidP="003C405A">
            <w:pPr>
              <w:spacing w:after="0"/>
              <w:rPr>
                <w:noProof/>
                <w:color w:val="000000"/>
              </w:rPr>
            </w:pPr>
            <w:r>
              <w:rPr>
                <w:noProof/>
                <w:color w:val="000000"/>
              </w:rPr>
              <w:t>FI</w:t>
            </w:r>
          </w:p>
        </w:tc>
        <w:tc>
          <w:tcPr>
            <w:tcW w:w="1320" w:type="pct"/>
            <w:shd w:val="clear" w:color="auto" w:fill="auto"/>
            <w:noWrap/>
            <w:vAlign w:val="bottom"/>
          </w:tcPr>
          <w:p w14:paraId="78CD1BAD" w14:textId="77777777" w:rsidR="00772EC3" w:rsidRPr="00702148" w:rsidRDefault="00772EC3" w:rsidP="003C405A">
            <w:pPr>
              <w:spacing w:after="0"/>
              <w:jc w:val="right"/>
              <w:rPr>
                <w:noProof/>
                <w:color w:val="000000"/>
              </w:rPr>
            </w:pPr>
            <w:r>
              <w:rPr>
                <w:noProof/>
                <w:color w:val="000000"/>
              </w:rPr>
              <w:t>0,6 %</w:t>
            </w:r>
          </w:p>
        </w:tc>
        <w:tc>
          <w:tcPr>
            <w:tcW w:w="1532" w:type="pct"/>
            <w:shd w:val="clear" w:color="auto" w:fill="auto"/>
            <w:noWrap/>
            <w:vAlign w:val="bottom"/>
          </w:tcPr>
          <w:p w14:paraId="6FABB12F" w14:textId="77777777" w:rsidR="00772EC3" w:rsidRPr="00702148" w:rsidRDefault="00772EC3" w:rsidP="003C405A">
            <w:pPr>
              <w:spacing w:after="0"/>
              <w:jc w:val="right"/>
              <w:rPr>
                <w:noProof/>
                <w:color w:val="000000"/>
              </w:rPr>
            </w:pPr>
            <w:r>
              <w:rPr>
                <w:noProof/>
                <w:color w:val="000000"/>
              </w:rPr>
              <w:t>1,4 %</w:t>
            </w:r>
          </w:p>
        </w:tc>
        <w:tc>
          <w:tcPr>
            <w:tcW w:w="1372" w:type="pct"/>
            <w:shd w:val="clear" w:color="auto" w:fill="auto"/>
            <w:noWrap/>
            <w:vAlign w:val="bottom"/>
          </w:tcPr>
          <w:p w14:paraId="28B9434C" w14:textId="77777777" w:rsidR="00772EC3" w:rsidRPr="00702148" w:rsidRDefault="00772EC3" w:rsidP="003C405A">
            <w:pPr>
              <w:spacing w:after="0"/>
              <w:jc w:val="right"/>
              <w:rPr>
                <w:noProof/>
                <w:color w:val="000000"/>
              </w:rPr>
            </w:pPr>
            <w:r>
              <w:rPr>
                <w:noProof/>
                <w:color w:val="000000"/>
              </w:rPr>
              <w:t>0,0 %</w:t>
            </w:r>
          </w:p>
        </w:tc>
      </w:tr>
      <w:tr w:rsidR="00772EC3" w:rsidRPr="004C6A35" w14:paraId="583D6ED6" w14:textId="77777777" w:rsidTr="00186607">
        <w:trPr>
          <w:trHeight w:val="300"/>
        </w:trPr>
        <w:tc>
          <w:tcPr>
            <w:tcW w:w="776" w:type="pct"/>
            <w:shd w:val="clear" w:color="auto" w:fill="auto"/>
            <w:noWrap/>
            <w:vAlign w:val="bottom"/>
          </w:tcPr>
          <w:p w14:paraId="487F561B" w14:textId="77777777" w:rsidR="00772EC3" w:rsidRPr="00702148" w:rsidRDefault="00772EC3" w:rsidP="003C405A">
            <w:pPr>
              <w:spacing w:after="0"/>
              <w:rPr>
                <w:noProof/>
                <w:color w:val="000000"/>
              </w:rPr>
            </w:pPr>
            <w:r>
              <w:rPr>
                <w:noProof/>
                <w:color w:val="000000"/>
              </w:rPr>
              <w:t>SE</w:t>
            </w:r>
          </w:p>
        </w:tc>
        <w:tc>
          <w:tcPr>
            <w:tcW w:w="1320" w:type="pct"/>
            <w:shd w:val="clear" w:color="auto" w:fill="auto"/>
            <w:noWrap/>
            <w:vAlign w:val="bottom"/>
          </w:tcPr>
          <w:p w14:paraId="58171E1A" w14:textId="77777777" w:rsidR="00772EC3" w:rsidRPr="00702148" w:rsidRDefault="00772EC3" w:rsidP="003C405A">
            <w:pPr>
              <w:spacing w:after="0"/>
              <w:jc w:val="right"/>
              <w:rPr>
                <w:noProof/>
                <w:color w:val="000000"/>
              </w:rPr>
            </w:pPr>
            <w:r>
              <w:rPr>
                <w:noProof/>
                <w:color w:val="000000"/>
              </w:rPr>
              <w:t>0,0 %</w:t>
            </w:r>
          </w:p>
        </w:tc>
        <w:tc>
          <w:tcPr>
            <w:tcW w:w="1532" w:type="pct"/>
            <w:shd w:val="clear" w:color="auto" w:fill="auto"/>
            <w:noWrap/>
            <w:vAlign w:val="bottom"/>
          </w:tcPr>
          <w:p w14:paraId="09EAB28D" w14:textId="77777777" w:rsidR="00772EC3" w:rsidRPr="00702148" w:rsidRDefault="00772EC3" w:rsidP="003C405A">
            <w:pPr>
              <w:spacing w:after="0"/>
              <w:jc w:val="right"/>
              <w:rPr>
                <w:noProof/>
                <w:color w:val="000000"/>
              </w:rPr>
            </w:pPr>
            <w:r>
              <w:rPr>
                <w:noProof/>
                <w:color w:val="000000"/>
              </w:rPr>
              <w:t>2,8 %</w:t>
            </w:r>
          </w:p>
        </w:tc>
        <w:tc>
          <w:tcPr>
            <w:tcW w:w="1372" w:type="pct"/>
            <w:shd w:val="clear" w:color="auto" w:fill="auto"/>
            <w:noWrap/>
            <w:vAlign w:val="bottom"/>
          </w:tcPr>
          <w:p w14:paraId="0BD07C4E" w14:textId="77777777" w:rsidR="00772EC3" w:rsidRPr="00702148" w:rsidRDefault="00772EC3" w:rsidP="003C405A">
            <w:pPr>
              <w:spacing w:after="0"/>
              <w:jc w:val="right"/>
              <w:rPr>
                <w:noProof/>
                <w:color w:val="000000"/>
              </w:rPr>
            </w:pPr>
            <w:r>
              <w:rPr>
                <w:noProof/>
                <w:color w:val="000000"/>
              </w:rPr>
              <w:t>0,0 %</w:t>
            </w:r>
          </w:p>
        </w:tc>
      </w:tr>
    </w:tbl>
    <w:p w14:paraId="47D1F1EA" w14:textId="77777777" w:rsidR="00772EC3" w:rsidRPr="00702148" w:rsidRDefault="00772EC3" w:rsidP="00245D7E">
      <w:pPr>
        <w:tabs>
          <w:tab w:val="right" w:pos="8647"/>
        </w:tabs>
        <w:spacing w:after="200" w:line="276" w:lineRule="auto"/>
        <w:rPr>
          <w:b/>
          <w:bCs/>
          <w:i/>
          <w:iCs/>
          <w:noProof/>
          <w:szCs w:val="24"/>
        </w:rPr>
      </w:pPr>
      <w:r>
        <w:rPr>
          <w:b/>
          <w:i/>
          <w:noProof/>
        </w:rPr>
        <w:tab/>
        <w:t>Kokonaisindikaattori vuosina 2020–2021: 0,2 %</w:t>
      </w:r>
    </w:p>
    <w:p w14:paraId="5C3A869B" w14:textId="77777777" w:rsidR="00772EC3" w:rsidRPr="00702148" w:rsidRDefault="00772EC3" w:rsidP="00245D7E">
      <w:pPr>
        <w:spacing w:after="200" w:line="276" w:lineRule="auto"/>
        <w:rPr>
          <w:b/>
          <w:bCs/>
          <w:i/>
          <w:iCs/>
          <w:noProof/>
          <w:szCs w:val="24"/>
        </w:rPr>
      </w:pPr>
      <w:r>
        <w:rPr>
          <w:noProof/>
        </w:rPr>
        <w:br w:type="page"/>
      </w:r>
    </w:p>
    <w:p w14:paraId="4C4AD807" w14:textId="77777777" w:rsidR="00772EC3" w:rsidRPr="00702148" w:rsidRDefault="00772EC3" w:rsidP="00245D7E">
      <w:pPr>
        <w:tabs>
          <w:tab w:val="right" w:pos="8647"/>
        </w:tabs>
        <w:spacing w:after="200" w:line="276" w:lineRule="auto"/>
        <w:rPr>
          <w:b/>
          <w:bCs/>
          <w:i/>
          <w:iCs/>
          <w:noProof/>
          <w:szCs w:val="24"/>
        </w:rPr>
      </w:pPr>
      <w:r>
        <w:rPr>
          <w:b/>
          <w:i/>
          <w:noProof/>
        </w:rPr>
        <w:t>2021–2022</w:t>
      </w:r>
    </w:p>
    <w:tbl>
      <w:tblPr>
        <w:tblStyle w:val="TableGrid"/>
        <w:tblW w:w="888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
        <w:gridCol w:w="2563"/>
        <w:gridCol w:w="2510"/>
        <w:gridCol w:w="2376"/>
      </w:tblGrid>
      <w:tr w:rsidR="00772EC3" w:rsidRPr="004C6A35" w14:paraId="03E454C2" w14:textId="77777777" w:rsidTr="0014353A">
        <w:trPr>
          <w:trHeight w:val="300"/>
        </w:trPr>
        <w:tc>
          <w:tcPr>
            <w:tcW w:w="1437" w:type="dxa"/>
            <w:shd w:val="clear" w:color="auto" w:fill="auto"/>
            <w:noWrap/>
            <w:vAlign w:val="bottom"/>
          </w:tcPr>
          <w:p w14:paraId="6E4E57B6" w14:textId="77777777" w:rsidR="00772EC3" w:rsidRPr="00702148" w:rsidRDefault="00772EC3" w:rsidP="003C405A">
            <w:pPr>
              <w:spacing w:after="0"/>
              <w:rPr>
                <w:noProof/>
                <w:color w:val="000000"/>
              </w:rPr>
            </w:pPr>
            <w:r>
              <w:rPr>
                <w:noProof/>
                <w:color w:val="000000"/>
              </w:rPr>
              <w:t>Jäsenvaltio</w:t>
            </w:r>
          </w:p>
        </w:tc>
        <w:tc>
          <w:tcPr>
            <w:tcW w:w="2563" w:type="dxa"/>
            <w:shd w:val="clear" w:color="auto" w:fill="auto"/>
            <w:noWrap/>
            <w:vAlign w:val="bottom"/>
          </w:tcPr>
          <w:p w14:paraId="4E87D2C8" w14:textId="77777777" w:rsidR="00772EC3" w:rsidRPr="00702148" w:rsidRDefault="00772EC3" w:rsidP="003C405A">
            <w:pPr>
              <w:spacing w:after="0"/>
              <w:rPr>
                <w:noProof/>
                <w:color w:val="000000"/>
              </w:rPr>
            </w:pPr>
            <w:r>
              <w:rPr>
                <w:noProof/>
                <w:color w:val="000000"/>
              </w:rPr>
              <w:t>Reaalisen nettopalkan indikaattori</w:t>
            </w:r>
          </w:p>
        </w:tc>
        <w:tc>
          <w:tcPr>
            <w:tcW w:w="2510" w:type="dxa"/>
            <w:shd w:val="clear" w:color="auto" w:fill="auto"/>
            <w:noWrap/>
            <w:vAlign w:val="bottom"/>
          </w:tcPr>
          <w:p w14:paraId="4BAE31A0" w14:textId="77777777" w:rsidR="00772EC3" w:rsidRPr="00933599" w:rsidRDefault="00772EC3" w:rsidP="003C405A">
            <w:pPr>
              <w:spacing w:after="0"/>
              <w:rPr>
                <w:noProof/>
                <w:color w:val="000000"/>
              </w:rPr>
            </w:pPr>
            <w:r>
              <w:rPr>
                <w:noProof/>
                <w:color w:val="000000"/>
              </w:rPr>
              <w:t>BKT-painotus OVS:nä (EU27=100)</w:t>
            </w:r>
          </w:p>
        </w:tc>
        <w:tc>
          <w:tcPr>
            <w:tcW w:w="2376" w:type="dxa"/>
            <w:shd w:val="clear" w:color="auto" w:fill="auto"/>
            <w:noWrap/>
            <w:vAlign w:val="bottom"/>
          </w:tcPr>
          <w:p w14:paraId="74B2A156" w14:textId="77777777" w:rsidR="00772EC3" w:rsidRPr="00702148" w:rsidRDefault="00772EC3" w:rsidP="003C405A">
            <w:pPr>
              <w:spacing w:after="0"/>
              <w:rPr>
                <w:noProof/>
                <w:color w:val="000000"/>
              </w:rPr>
            </w:pPr>
            <w:r>
              <w:rPr>
                <w:noProof/>
                <w:color w:val="000000"/>
              </w:rPr>
              <w:t>Vaikutus kokonaisindikaattoriin</w:t>
            </w:r>
          </w:p>
        </w:tc>
      </w:tr>
      <w:tr w:rsidR="00772EC3" w:rsidRPr="004C6A35" w14:paraId="166BE862" w14:textId="77777777" w:rsidTr="0014353A">
        <w:trPr>
          <w:trHeight w:val="300"/>
        </w:trPr>
        <w:tc>
          <w:tcPr>
            <w:tcW w:w="1437" w:type="dxa"/>
            <w:shd w:val="clear" w:color="auto" w:fill="auto"/>
            <w:noWrap/>
            <w:vAlign w:val="bottom"/>
          </w:tcPr>
          <w:p w14:paraId="69945B55" w14:textId="77777777" w:rsidR="00772EC3" w:rsidRPr="00702148" w:rsidRDefault="00772EC3" w:rsidP="003C405A">
            <w:pPr>
              <w:spacing w:after="0"/>
              <w:rPr>
                <w:noProof/>
                <w:color w:val="000000"/>
                <w:lang w:eastAsia="en-IE"/>
              </w:rPr>
            </w:pPr>
          </w:p>
        </w:tc>
        <w:tc>
          <w:tcPr>
            <w:tcW w:w="2563" w:type="dxa"/>
            <w:shd w:val="clear" w:color="auto" w:fill="auto"/>
            <w:noWrap/>
            <w:vAlign w:val="bottom"/>
          </w:tcPr>
          <w:p w14:paraId="7B80C94E" w14:textId="77777777" w:rsidR="00772EC3" w:rsidRPr="00702148" w:rsidRDefault="00772EC3" w:rsidP="003C405A">
            <w:pPr>
              <w:spacing w:after="0"/>
              <w:rPr>
                <w:noProof/>
                <w:sz w:val="20"/>
                <w:lang w:eastAsia="en-IE"/>
              </w:rPr>
            </w:pPr>
          </w:p>
        </w:tc>
        <w:tc>
          <w:tcPr>
            <w:tcW w:w="2510" w:type="dxa"/>
            <w:shd w:val="clear" w:color="auto" w:fill="auto"/>
            <w:noWrap/>
            <w:vAlign w:val="bottom"/>
          </w:tcPr>
          <w:p w14:paraId="16B7B817" w14:textId="77777777" w:rsidR="00772EC3" w:rsidRPr="00702148" w:rsidRDefault="00772EC3" w:rsidP="003C405A">
            <w:pPr>
              <w:spacing w:after="0"/>
              <w:rPr>
                <w:noProof/>
                <w:sz w:val="20"/>
                <w:lang w:eastAsia="en-IE"/>
              </w:rPr>
            </w:pPr>
          </w:p>
        </w:tc>
        <w:tc>
          <w:tcPr>
            <w:tcW w:w="2376" w:type="dxa"/>
            <w:shd w:val="clear" w:color="auto" w:fill="auto"/>
            <w:noWrap/>
            <w:vAlign w:val="bottom"/>
          </w:tcPr>
          <w:p w14:paraId="211DFC7C" w14:textId="77777777" w:rsidR="00772EC3" w:rsidRPr="00702148" w:rsidRDefault="00772EC3" w:rsidP="003C405A">
            <w:pPr>
              <w:spacing w:after="0"/>
              <w:rPr>
                <w:noProof/>
                <w:sz w:val="20"/>
                <w:lang w:eastAsia="en-IE"/>
              </w:rPr>
            </w:pPr>
          </w:p>
        </w:tc>
      </w:tr>
      <w:tr w:rsidR="00772EC3" w:rsidRPr="004C6A35" w14:paraId="3A315F44" w14:textId="77777777" w:rsidTr="0014353A">
        <w:trPr>
          <w:trHeight w:val="300"/>
        </w:trPr>
        <w:tc>
          <w:tcPr>
            <w:tcW w:w="1437" w:type="dxa"/>
            <w:shd w:val="clear" w:color="auto" w:fill="auto"/>
            <w:noWrap/>
            <w:vAlign w:val="bottom"/>
          </w:tcPr>
          <w:p w14:paraId="44BEA815" w14:textId="77777777" w:rsidR="00772EC3" w:rsidRPr="00702148" w:rsidRDefault="00772EC3" w:rsidP="003C405A">
            <w:pPr>
              <w:spacing w:after="0"/>
              <w:rPr>
                <w:noProof/>
                <w:color w:val="000000"/>
              </w:rPr>
            </w:pPr>
            <w:r>
              <w:rPr>
                <w:noProof/>
                <w:color w:val="000000"/>
              </w:rPr>
              <w:t>BE</w:t>
            </w:r>
          </w:p>
        </w:tc>
        <w:tc>
          <w:tcPr>
            <w:tcW w:w="2563" w:type="dxa"/>
            <w:shd w:val="clear" w:color="auto" w:fill="auto"/>
            <w:noWrap/>
            <w:vAlign w:val="bottom"/>
          </w:tcPr>
          <w:p w14:paraId="6142F51C" w14:textId="77777777" w:rsidR="00772EC3" w:rsidRPr="00702148" w:rsidRDefault="00772EC3" w:rsidP="003C405A">
            <w:pPr>
              <w:spacing w:after="0"/>
              <w:jc w:val="right"/>
              <w:rPr>
                <w:noProof/>
                <w:color w:val="000000"/>
              </w:rPr>
            </w:pPr>
            <w:r>
              <w:rPr>
                <w:noProof/>
                <w:color w:val="000000"/>
              </w:rPr>
              <w:t>–3,3 %</w:t>
            </w:r>
          </w:p>
        </w:tc>
        <w:tc>
          <w:tcPr>
            <w:tcW w:w="2510" w:type="dxa"/>
            <w:shd w:val="clear" w:color="auto" w:fill="auto"/>
            <w:noWrap/>
            <w:vAlign w:val="bottom"/>
          </w:tcPr>
          <w:p w14:paraId="60C217F3" w14:textId="77777777" w:rsidR="00772EC3" w:rsidRPr="00702148" w:rsidRDefault="00772EC3" w:rsidP="003C405A">
            <w:pPr>
              <w:spacing w:after="0"/>
              <w:jc w:val="right"/>
              <w:rPr>
                <w:noProof/>
                <w:color w:val="000000"/>
              </w:rPr>
            </w:pPr>
            <w:r>
              <w:rPr>
                <w:noProof/>
                <w:color w:val="000000"/>
              </w:rPr>
              <w:t>3,2 %</w:t>
            </w:r>
          </w:p>
        </w:tc>
        <w:tc>
          <w:tcPr>
            <w:tcW w:w="2376" w:type="dxa"/>
            <w:shd w:val="clear" w:color="auto" w:fill="auto"/>
            <w:noWrap/>
            <w:vAlign w:val="bottom"/>
          </w:tcPr>
          <w:p w14:paraId="111DAAE2" w14:textId="77777777" w:rsidR="00772EC3" w:rsidRPr="00702148" w:rsidRDefault="00772EC3" w:rsidP="003C405A">
            <w:pPr>
              <w:spacing w:after="0"/>
              <w:jc w:val="right"/>
              <w:rPr>
                <w:noProof/>
                <w:color w:val="000000"/>
              </w:rPr>
            </w:pPr>
            <w:r>
              <w:rPr>
                <w:noProof/>
                <w:color w:val="000000"/>
              </w:rPr>
              <w:t>–0,1 %</w:t>
            </w:r>
          </w:p>
        </w:tc>
      </w:tr>
      <w:tr w:rsidR="00772EC3" w:rsidRPr="004C6A35" w14:paraId="774FCA6C" w14:textId="77777777" w:rsidTr="0014353A">
        <w:trPr>
          <w:trHeight w:val="300"/>
        </w:trPr>
        <w:tc>
          <w:tcPr>
            <w:tcW w:w="1437" w:type="dxa"/>
            <w:shd w:val="clear" w:color="auto" w:fill="auto"/>
            <w:noWrap/>
            <w:vAlign w:val="bottom"/>
          </w:tcPr>
          <w:p w14:paraId="13209244" w14:textId="77777777" w:rsidR="00772EC3" w:rsidRPr="00702148" w:rsidRDefault="00772EC3" w:rsidP="003C405A">
            <w:pPr>
              <w:spacing w:after="0"/>
              <w:rPr>
                <w:noProof/>
                <w:color w:val="000000"/>
              </w:rPr>
            </w:pPr>
            <w:r>
              <w:rPr>
                <w:noProof/>
                <w:color w:val="000000"/>
              </w:rPr>
              <w:t>BG</w:t>
            </w:r>
          </w:p>
        </w:tc>
        <w:tc>
          <w:tcPr>
            <w:tcW w:w="2563" w:type="dxa"/>
            <w:shd w:val="clear" w:color="auto" w:fill="auto"/>
            <w:noWrap/>
            <w:vAlign w:val="bottom"/>
          </w:tcPr>
          <w:p w14:paraId="6397F705" w14:textId="77777777" w:rsidR="00772EC3" w:rsidRPr="00702148" w:rsidRDefault="00772EC3" w:rsidP="003C405A">
            <w:pPr>
              <w:spacing w:after="0"/>
              <w:jc w:val="right"/>
              <w:rPr>
                <w:noProof/>
                <w:color w:val="000000"/>
              </w:rPr>
            </w:pPr>
            <w:r>
              <w:rPr>
                <w:noProof/>
                <w:color w:val="000000"/>
              </w:rPr>
              <w:t>–9,6 %</w:t>
            </w:r>
          </w:p>
        </w:tc>
        <w:tc>
          <w:tcPr>
            <w:tcW w:w="2510" w:type="dxa"/>
            <w:shd w:val="clear" w:color="auto" w:fill="auto"/>
            <w:noWrap/>
            <w:vAlign w:val="bottom"/>
          </w:tcPr>
          <w:p w14:paraId="57EC5D1F" w14:textId="77777777" w:rsidR="00772EC3" w:rsidRPr="00702148" w:rsidRDefault="00772EC3" w:rsidP="003C405A">
            <w:pPr>
              <w:spacing w:after="0"/>
              <w:jc w:val="right"/>
              <w:rPr>
                <w:noProof/>
                <w:color w:val="000000"/>
              </w:rPr>
            </w:pPr>
            <w:r>
              <w:rPr>
                <w:noProof/>
                <w:color w:val="000000"/>
              </w:rPr>
              <w:t>0,8 %</w:t>
            </w:r>
          </w:p>
        </w:tc>
        <w:tc>
          <w:tcPr>
            <w:tcW w:w="2376" w:type="dxa"/>
            <w:shd w:val="clear" w:color="auto" w:fill="auto"/>
            <w:noWrap/>
            <w:vAlign w:val="bottom"/>
          </w:tcPr>
          <w:p w14:paraId="21BD5417" w14:textId="77777777" w:rsidR="00772EC3" w:rsidRPr="00702148" w:rsidRDefault="00772EC3" w:rsidP="003C405A">
            <w:pPr>
              <w:spacing w:after="0"/>
              <w:jc w:val="right"/>
              <w:rPr>
                <w:noProof/>
                <w:color w:val="000000"/>
              </w:rPr>
            </w:pPr>
            <w:r>
              <w:rPr>
                <w:noProof/>
                <w:color w:val="000000"/>
              </w:rPr>
              <w:t>–0,1 %</w:t>
            </w:r>
          </w:p>
        </w:tc>
      </w:tr>
      <w:tr w:rsidR="00772EC3" w:rsidRPr="004C6A35" w14:paraId="5FAA9BC6" w14:textId="77777777" w:rsidTr="0014353A">
        <w:trPr>
          <w:trHeight w:val="300"/>
        </w:trPr>
        <w:tc>
          <w:tcPr>
            <w:tcW w:w="1437" w:type="dxa"/>
            <w:shd w:val="clear" w:color="auto" w:fill="auto"/>
            <w:noWrap/>
            <w:vAlign w:val="bottom"/>
          </w:tcPr>
          <w:p w14:paraId="4B1589CB" w14:textId="77777777" w:rsidR="00772EC3" w:rsidRPr="00702148" w:rsidRDefault="00772EC3" w:rsidP="003C405A">
            <w:pPr>
              <w:spacing w:after="0"/>
              <w:rPr>
                <w:noProof/>
                <w:color w:val="000000"/>
              </w:rPr>
            </w:pPr>
            <w:r>
              <w:rPr>
                <w:noProof/>
                <w:color w:val="000000"/>
              </w:rPr>
              <w:t>CZ</w:t>
            </w:r>
          </w:p>
        </w:tc>
        <w:tc>
          <w:tcPr>
            <w:tcW w:w="2563" w:type="dxa"/>
            <w:shd w:val="clear" w:color="auto" w:fill="auto"/>
            <w:noWrap/>
            <w:vAlign w:val="bottom"/>
          </w:tcPr>
          <w:p w14:paraId="145414A1" w14:textId="77777777" w:rsidR="00772EC3" w:rsidRPr="00702148" w:rsidRDefault="00772EC3" w:rsidP="003C405A">
            <w:pPr>
              <w:spacing w:after="0"/>
              <w:jc w:val="right"/>
              <w:rPr>
                <w:noProof/>
                <w:color w:val="000000"/>
              </w:rPr>
            </w:pPr>
            <w:r>
              <w:rPr>
                <w:noProof/>
                <w:color w:val="000000"/>
              </w:rPr>
              <w:t>–11,3 %</w:t>
            </w:r>
          </w:p>
        </w:tc>
        <w:tc>
          <w:tcPr>
            <w:tcW w:w="2510" w:type="dxa"/>
            <w:shd w:val="clear" w:color="auto" w:fill="auto"/>
            <w:noWrap/>
            <w:vAlign w:val="bottom"/>
          </w:tcPr>
          <w:p w14:paraId="78A81CD5" w14:textId="77777777" w:rsidR="00772EC3" w:rsidRPr="00702148" w:rsidRDefault="00772EC3" w:rsidP="003C405A">
            <w:pPr>
              <w:spacing w:after="0"/>
              <w:jc w:val="right"/>
              <w:rPr>
                <w:noProof/>
                <w:color w:val="000000"/>
              </w:rPr>
            </w:pPr>
            <w:r>
              <w:rPr>
                <w:noProof/>
                <w:color w:val="000000"/>
              </w:rPr>
              <w:t>2,2 %</w:t>
            </w:r>
          </w:p>
        </w:tc>
        <w:tc>
          <w:tcPr>
            <w:tcW w:w="2376" w:type="dxa"/>
            <w:shd w:val="clear" w:color="auto" w:fill="auto"/>
            <w:noWrap/>
            <w:vAlign w:val="bottom"/>
          </w:tcPr>
          <w:p w14:paraId="646707FF" w14:textId="77777777" w:rsidR="00772EC3" w:rsidRPr="00702148" w:rsidRDefault="00772EC3" w:rsidP="003C405A">
            <w:pPr>
              <w:spacing w:after="0"/>
              <w:jc w:val="right"/>
              <w:rPr>
                <w:noProof/>
                <w:color w:val="000000"/>
              </w:rPr>
            </w:pPr>
            <w:r>
              <w:rPr>
                <w:noProof/>
                <w:color w:val="000000"/>
              </w:rPr>
              <w:t>–0,2 %</w:t>
            </w:r>
          </w:p>
        </w:tc>
      </w:tr>
      <w:tr w:rsidR="00772EC3" w:rsidRPr="004C6A35" w14:paraId="01009F95" w14:textId="77777777" w:rsidTr="0014353A">
        <w:trPr>
          <w:trHeight w:val="300"/>
        </w:trPr>
        <w:tc>
          <w:tcPr>
            <w:tcW w:w="1437" w:type="dxa"/>
            <w:shd w:val="clear" w:color="auto" w:fill="auto"/>
            <w:noWrap/>
            <w:vAlign w:val="bottom"/>
          </w:tcPr>
          <w:p w14:paraId="2F26E87A" w14:textId="77777777" w:rsidR="00772EC3" w:rsidRPr="00702148" w:rsidRDefault="00772EC3" w:rsidP="003C405A">
            <w:pPr>
              <w:spacing w:after="0"/>
              <w:rPr>
                <w:noProof/>
                <w:color w:val="000000"/>
              </w:rPr>
            </w:pPr>
            <w:r>
              <w:rPr>
                <w:noProof/>
                <w:color w:val="000000"/>
              </w:rPr>
              <w:t>DK</w:t>
            </w:r>
          </w:p>
        </w:tc>
        <w:tc>
          <w:tcPr>
            <w:tcW w:w="2563" w:type="dxa"/>
            <w:shd w:val="clear" w:color="auto" w:fill="auto"/>
            <w:noWrap/>
            <w:vAlign w:val="bottom"/>
          </w:tcPr>
          <w:p w14:paraId="02B1593B" w14:textId="77777777" w:rsidR="00772EC3" w:rsidRPr="00702148" w:rsidRDefault="00772EC3" w:rsidP="003C405A">
            <w:pPr>
              <w:spacing w:after="0"/>
              <w:jc w:val="right"/>
              <w:rPr>
                <w:noProof/>
                <w:color w:val="000000"/>
              </w:rPr>
            </w:pPr>
            <w:r>
              <w:rPr>
                <w:noProof/>
                <w:color w:val="000000"/>
              </w:rPr>
              <w:t>–6,6 %</w:t>
            </w:r>
          </w:p>
        </w:tc>
        <w:tc>
          <w:tcPr>
            <w:tcW w:w="2510" w:type="dxa"/>
            <w:shd w:val="clear" w:color="auto" w:fill="auto"/>
            <w:noWrap/>
            <w:vAlign w:val="bottom"/>
          </w:tcPr>
          <w:p w14:paraId="68B8D5CB" w14:textId="77777777" w:rsidR="00772EC3" w:rsidRPr="00702148" w:rsidRDefault="00772EC3" w:rsidP="003C405A">
            <w:pPr>
              <w:spacing w:after="0"/>
              <w:jc w:val="right"/>
              <w:rPr>
                <w:noProof/>
                <w:color w:val="000000"/>
              </w:rPr>
            </w:pPr>
            <w:r>
              <w:rPr>
                <w:noProof/>
                <w:color w:val="000000"/>
              </w:rPr>
              <w:t>1,7 %</w:t>
            </w:r>
          </w:p>
        </w:tc>
        <w:tc>
          <w:tcPr>
            <w:tcW w:w="2376" w:type="dxa"/>
            <w:shd w:val="clear" w:color="auto" w:fill="auto"/>
            <w:noWrap/>
            <w:vAlign w:val="bottom"/>
          </w:tcPr>
          <w:p w14:paraId="15EEB0C8" w14:textId="77777777" w:rsidR="00772EC3" w:rsidRPr="00702148" w:rsidRDefault="00772EC3" w:rsidP="003C405A">
            <w:pPr>
              <w:spacing w:after="0"/>
              <w:jc w:val="right"/>
              <w:rPr>
                <w:noProof/>
                <w:color w:val="000000"/>
              </w:rPr>
            </w:pPr>
            <w:r>
              <w:rPr>
                <w:noProof/>
                <w:color w:val="000000"/>
              </w:rPr>
              <w:t>–0,1 %</w:t>
            </w:r>
          </w:p>
        </w:tc>
      </w:tr>
      <w:tr w:rsidR="00772EC3" w:rsidRPr="004C6A35" w14:paraId="2049FC66" w14:textId="77777777" w:rsidTr="0014353A">
        <w:trPr>
          <w:trHeight w:val="300"/>
        </w:trPr>
        <w:tc>
          <w:tcPr>
            <w:tcW w:w="1437" w:type="dxa"/>
            <w:shd w:val="clear" w:color="auto" w:fill="auto"/>
            <w:noWrap/>
            <w:vAlign w:val="bottom"/>
          </w:tcPr>
          <w:p w14:paraId="0FF6D014" w14:textId="77777777" w:rsidR="00772EC3" w:rsidRPr="00702148" w:rsidRDefault="00772EC3" w:rsidP="003C405A">
            <w:pPr>
              <w:spacing w:after="0"/>
              <w:rPr>
                <w:noProof/>
                <w:color w:val="000000"/>
              </w:rPr>
            </w:pPr>
            <w:r>
              <w:rPr>
                <w:noProof/>
                <w:color w:val="000000"/>
              </w:rPr>
              <w:t>DE</w:t>
            </w:r>
          </w:p>
        </w:tc>
        <w:tc>
          <w:tcPr>
            <w:tcW w:w="2563" w:type="dxa"/>
            <w:shd w:val="clear" w:color="auto" w:fill="auto"/>
            <w:noWrap/>
            <w:vAlign w:val="bottom"/>
          </w:tcPr>
          <w:p w14:paraId="0A99448B" w14:textId="77777777" w:rsidR="00772EC3" w:rsidRPr="00702148" w:rsidRDefault="00772EC3" w:rsidP="003C405A">
            <w:pPr>
              <w:spacing w:after="0"/>
              <w:jc w:val="right"/>
              <w:rPr>
                <w:noProof/>
                <w:color w:val="000000"/>
              </w:rPr>
            </w:pPr>
            <w:r>
              <w:rPr>
                <w:noProof/>
                <w:color w:val="000000"/>
              </w:rPr>
              <w:t>–5,5 %</w:t>
            </w:r>
          </w:p>
        </w:tc>
        <w:tc>
          <w:tcPr>
            <w:tcW w:w="2510" w:type="dxa"/>
            <w:shd w:val="clear" w:color="auto" w:fill="auto"/>
            <w:noWrap/>
            <w:vAlign w:val="bottom"/>
          </w:tcPr>
          <w:p w14:paraId="34E74D18" w14:textId="77777777" w:rsidR="00772EC3" w:rsidRPr="00702148" w:rsidRDefault="00772EC3" w:rsidP="003C405A">
            <w:pPr>
              <w:spacing w:after="0"/>
              <w:jc w:val="right"/>
              <w:rPr>
                <w:noProof/>
                <w:color w:val="000000"/>
              </w:rPr>
            </w:pPr>
            <w:r>
              <w:rPr>
                <w:noProof/>
                <w:color w:val="000000"/>
              </w:rPr>
              <w:t>22,2 %</w:t>
            </w:r>
          </w:p>
        </w:tc>
        <w:tc>
          <w:tcPr>
            <w:tcW w:w="2376" w:type="dxa"/>
            <w:shd w:val="clear" w:color="auto" w:fill="auto"/>
            <w:noWrap/>
            <w:vAlign w:val="bottom"/>
          </w:tcPr>
          <w:p w14:paraId="28856394" w14:textId="77777777" w:rsidR="00772EC3" w:rsidRPr="00702148" w:rsidRDefault="00772EC3" w:rsidP="003C405A">
            <w:pPr>
              <w:spacing w:after="0"/>
              <w:jc w:val="right"/>
              <w:rPr>
                <w:noProof/>
                <w:color w:val="000000"/>
              </w:rPr>
            </w:pPr>
            <w:r>
              <w:rPr>
                <w:noProof/>
                <w:color w:val="000000"/>
              </w:rPr>
              <w:t>–1,2 %</w:t>
            </w:r>
          </w:p>
        </w:tc>
      </w:tr>
      <w:tr w:rsidR="00772EC3" w:rsidRPr="004C6A35" w14:paraId="724493D0" w14:textId="77777777" w:rsidTr="0014353A">
        <w:trPr>
          <w:trHeight w:val="300"/>
        </w:trPr>
        <w:tc>
          <w:tcPr>
            <w:tcW w:w="1437" w:type="dxa"/>
            <w:shd w:val="clear" w:color="auto" w:fill="auto"/>
            <w:noWrap/>
            <w:vAlign w:val="bottom"/>
          </w:tcPr>
          <w:p w14:paraId="516485CB" w14:textId="77777777" w:rsidR="00772EC3" w:rsidRPr="00702148" w:rsidRDefault="00772EC3" w:rsidP="003C405A">
            <w:pPr>
              <w:spacing w:after="0"/>
              <w:rPr>
                <w:noProof/>
                <w:color w:val="000000"/>
              </w:rPr>
            </w:pPr>
            <w:r>
              <w:rPr>
                <w:noProof/>
                <w:color w:val="000000"/>
              </w:rPr>
              <w:t>EE</w:t>
            </w:r>
          </w:p>
        </w:tc>
        <w:tc>
          <w:tcPr>
            <w:tcW w:w="2563" w:type="dxa"/>
            <w:shd w:val="clear" w:color="auto" w:fill="auto"/>
            <w:noWrap/>
            <w:vAlign w:val="bottom"/>
          </w:tcPr>
          <w:p w14:paraId="186DAFCD" w14:textId="77777777" w:rsidR="00772EC3" w:rsidRPr="00702148" w:rsidRDefault="00772EC3" w:rsidP="003C405A">
            <w:pPr>
              <w:spacing w:after="0"/>
              <w:jc w:val="right"/>
              <w:rPr>
                <w:noProof/>
                <w:color w:val="000000"/>
              </w:rPr>
            </w:pPr>
            <w:r>
              <w:rPr>
                <w:noProof/>
                <w:color w:val="000000"/>
              </w:rPr>
              <w:t>–18,4 %</w:t>
            </w:r>
          </w:p>
        </w:tc>
        <w:tc>
          <w:tcPr>
            <w:tcW w:w="2510" w:type="dxa"/>
            <w:shd w:val="clear" w:color="auto" w:fill="auto"/>
            <w:noWrap/>
            <w:vAlign w:val="bottom"/>
          </w:tcPr>
          <w:p w14:paraId="42FE0E9C" w14:textId="77777777" w:rsidR="00772EC3" w:rsidRPr="00702148" w:rsidRDefault="00772EC3" w:rsidP="003C405A">
            <w:pPr>
              <w:spacing w:after="0"/>
              <w:jc w:val="right"/>
              <w:rPr>
                <w:noProof/>
                <w:color w:val="000000"/>
              </w:rPr>
            </w:pPr>
            <w:r>
              <w:rPr>
                <w:noProof/>
                <w:color w:val="000000"/>
              </w:rPr>
              <w:t>0,3 %</w:t>
            </w:r>
          </w:p>
        </w:tc>
        <w:tc>
          <w:tcPr>
            <w:tcW w:w="2376" w:type="dxa"/>
            <w:shd w:val="clear" w:color="auto" w:fill="auto"/>
            <w:noWrap/>
            <w:vAlign w:val="bottom"/>
          </w:tcPr>
          <w:p w14:paraId="278346EC" w14:textId="77777777" w:rsidR="00772EC3" w:rsidRPr="00702148" w:rsidRDefault="00772EC3" w:rsidP="003C405A">
            <w:pPr>
              <w:spacing w:after="0"/>
              <w:jc w:val="right"/>
              <w:rPr>
                <w:noProof/>
                <w:color w:val="000000"/>
              </w:rPr>
            </w:pPr>
            <w:r>
              <w:rPr>
                <w:noProof/>
                <w:color w:val="000000"/>
              </w:rPr>
              <w:t>–0,1 %</w:t>
            </w:r>
          </w:p>
        </w:tc>
      </w:tr>
      <w:tr w:rsidR="00772EC3" w:rsidRPr="004C6A35" w14:paraId="6A0B9178" w14:textId="77777777" w:rsidTr="0014353A">
        <w:trPr>
          <w:trHeight w:val="300"/>
        </w:trPr>
        <w:tc>
          <w:tcPr>
            <w:tcW w:w="1437" w:type="dxa"/>
            <w:shd w:val="clear" w:color="auto" w:fill="auto"/>
            <w:noWrap/>
            <w:vAlign w:val="bottom"/>
          </w:tcPr>
          <w:p w14:paraId="4BE788B9" w14:textId="77777777" w:rsidR="00772EC3" w:rsidRPr="00702148" w:rsidRDefault="00772EC3" w:rsidP="003C405A">
            <w:pPr>
              <w:spacing w:after="0"/>
              <w:rPr>
                <w:noProof/>
                <w:color w:val="000000"/>
              </w:rPr>
            </w:pPr>
            <w:r>
              <w:rPr>
                <w:noProof/>
                <w:color w:val="000000"/>
              </w:rPr>
              <w:t>IE</w:t>
            </w:r>
          </w:p>
        </w:tc>
        <w:tc>
          <w:tcPr>
            <w:tcW w:w="2563" w:type="dxa"/>
            <w:shd w:val="clear" w:color="auto" w:fill="auto"/>
            <w:noWrap/>
            <w:vAlign w:val="bottom"/>
          </w:tcPr>
          <w:p w14:paraId="0C750C48" w14:textId="77777777" w:rsidR="00772EC3" w:rsidRPr="00702148" w:rsidRDefault="00772EC3" w:rsidP="003C405A">
            <w:pPr>
              <w:spacing w:after="0"/>
              <w:jc w:val="right"/>
              <w:rPr>
                <w:noProof/>
                <w:color w:val="000000"/>
              </w:rPr>
            </w:pPr>
            <w:r>
              <w:rPr>
                <w:noProof/>
                <w:color w:val="000000"/>
              </w:rPr>
              <w:t>–0,9 %</w:t>
            </w:r>
          </w:p>
        </w:tc>
        <w:tc>
          <w:tcPr>
            <w:tcW w:w="2510" w:type="dxa"/>
            <w:shd w:val="clear" w:color="auto" w:fill="auto"/>
            <w:noWrap/>
            <w:vAlign w:val="bottom"/>
          </w:tcPr>
          <w:p w14:paraId="0164EF4A" w14:textId="77777777" w:rsidR="00772EC3" w:rsidRPr="00702148" w:rsidRDefault="00772EC3" w:rsidP="003C405A">
            <w:pPr>
              <w:spacing w:after="0"/>
              <w:jc w:val="right"/>
              <w:rPr>
                <w:noProof/>
                <w:color w:val="000000"/>
              </w:rPr>
            </w:pPr>
            <w:r>
              <w:rPr>
                <w:noProof/>
                <w:color w:val="000000"/>
              </w:rPr>
              <w:t>2,5 %</w:t>
            </w:r>
          </w:p>
        </w:tc>
        <w:tc>
          <w:tcPr>
            <w:tcW w:w="2376" w:type="dxa"/>
            <w:shd w:val="clear" w:color="auto" w:fill="auto"/>
            <w:noWrap/>
            <w:vAlign w:val="bottom"/>
          </w:tcPr>
          <w:p w14:paraId="183CA827" w14:textId="77777777" w:rsidR="00772EC3" w:rsidRPr="00702148" w:rsidRDefault="00772EC3" w:rsidP="003C405A">
            <w:pPr>
              <w:spacing w:after="0"/>
              <w:jc w:val="right"/>
              <w:rPr>
                <w:noProof/>
                <w:color w:val="000000"/>
              </w:rPr>
            </w:pPr>
            <w:r>
              <w:rPr>
                <w:noProof/>
                <w:color w:val="000000"/>
              </w:rPr>
              <w:t>0,0 %</w:t>
            </w:r>
          </w:p>
        </w:tc>
      </w:tr>
      <w:tr w:rsidR="00772EC3" w:rsidRPr="004C6A35" w14:paraId="512887B7" w14:textId="77777777" w:rsidTr="0014353A">
        <w:trPr>
          <w:trHeight w:val="300"/>
        </w:trPr>
        <w:tc>
          <w:tcPr>
            <w:tcW w:w="1437" w:type="dxa"/>
            <w:shd w:val="clear" w:color="auto" w:fill="auto"/>
            <w:noWrap/>
            <w:vAlign w:val="bottom"/>
          </w:tcPr>
          <w:p w14:paraId="58D8A1DD" w14:textId="77777777" w:rsidR="00772EC3" w:rsidRPr="00702148" w:rsidRDefault="00772EC3" w:rsidP="003C405A">
            <w:pPr>
              <w:spacing w:after="0"/>
              <w:rPr>
                <w:noProof/>
                <w:color w:val="000000"/>
              </w:rPr>
            </w:pPr>
            <w:r>
              <w:rPr>
                <w:noProof/>
                <w:color w:val="000000"/>
              </w:rPr>
              <w:t>EL</w:t>
            </w:r>
          </w:p>
        </w:tc>
        <w:tc>
          <w:tcPr>
            <w:tcW w:w="2563" w:type="dxa"/>
            <w:shd w:val="clear" w:color="auto" w:fill="auto"/>
            <w:noWrap/>
            <w:vAlign w:val="bottom"/>
          </w:tcPr>
          <w:p w14:paraId="09C687C9" w14:textId="77777777" w:rsidR="00772EC3" w:rsidRPr="00702148" w:rsidRDefault="00772EC3" w:rsidP="003C405A">
            <w:pPr>
              <w:spacing w:after="0"/>
              <w:jc w:val="right"/>
              <w:rPr>
                <w:noProof/>
                <w:color w:val="000000"/>
              </w:rPr>
            </w:pPr>
            <w:r>
              <w:rPr>
                <w:noProof/>
                <w:color w:val="000000"/>
              </w:rPr>
              <w:t>–10,4 %</w:t>
            </w:r>
          </w:p>
        </w:tc>
        <w:tc>
          <w:tcPr>
            <w:tcW w:w="2510" w:type="dxa"/>
            <w:shd w:val="clear" w:color="auto" w:fill="auto"/>
            <w:noWrap/>
            <w:vAlign w:val="bottom"/>
          </w:tcPr>
          <w:p w14:paraId="2053DE19" w14:textId="77777777" w:rsidR="00772EC3" w:rsidRPr="00702148" w:rsidRDefault="00772EC3" w:rsidP="003C405A">
            <w:pPr>
              <w:spacing w:after="0"/>
              <w:jc w:val="right"/>
              <w:rPr>
                <w:noProof/>
                <w:color w:val="000000"/>
              </w:rPr>
            </w:pPr>
            <w:r>
              <w:rPr>
                <w:noProof/>
                <w:color w:val="000000"/>
              </w:rPr>
              <w:t>1,5 %</w:t>
            </w:r>
          </w:p>
        </w:tc>
        <w:tc>
          <w:tcPr>
            <w:tcW w:w="2376" w:type="dxa"/>
            <w:shd w:val="clear" w:color="auto" w:fill="auto"/>
            <w:noWrap/>
            <w:vAlign w:val="bottom"/>
          </w:tcPr>
          <w:p w14:paraId="4C7C21C6" w14:textId="77777777" w:rsidR="00772EC3" w:rsidRPr="00702148" w:rsidRDefault="00772EC3" w:rsidP="003C405A">
            <w:pPr>
              <w:spacing w:after="0"/>
              <w:jc w:val="right"/>
              <w:rPr>
                <w:noProof/>
                <w:color w:val="000000"/>
              </w:rPr>
            </w:pPr>
            <w:r>
              <w:rPr>
                <w:noProof/>
                <w:color w:val="000000"/>
              </w:rPr>
              <w:t>–0,2 %</w:t>
            </w:r>
          </w:p>
        </w:tc>
      </w:tr>
      <w:tr w:rsidR="00772EC3" w:rsidRPr="004C6A35" w14:paraId="5128F148" w14:textId="77777777" w:rsidTr="0014353A">
        <w:trPr>
          <w:trHeight w:val="300"/>
        </w:trPr>
        <w:tc>
          <w:tcPr>
            <w:tcW w:w="1437" w:type="dxa"/>
            <w:shd w:val="clear" w:color="auto" w:fill="auto"/>
            <w:noWrap/>
            <w:vAlign w:val="bottom"/>
          </w:tcPr>
          <w:p w14:paraId="1AEB48B5" w14:textId="77777777" w:rsidR="00772EC3" w:rsidRPr="00702148" w:rsidRDefault="00772EC3" w:rsidP="003C405A">
            <w:pPr>
              <w:spacing w:after="0"/>
              <w:rPr>
                <w:noProof/>
                <w:color w:val="000000"/>
              </w:rPr>
            </w:pPr>
            <w:r>
              <w:rPr>
                <w:noProof/>
                <w:color w:val="000000"/>
              </w:rPr>
              <w:t>ES</w:t>
            </w:r>
          </w:p>
        </w:tc>
        <w:tc>
          <w:tcPr>
            <w:tcW w:w="2563" w:type="dxa"/>
            <w:shd w:val="clear" w:color="auto" w:fill="auto"/>
            <w:noWrap/>
            <w:vAlign w:val="bottom"/>
          </w:tcPr>
          <w:p w14:paraId="4F50F755" w14:textId="77777777" w:rsidR="00772EC3" w:rsidRPr="00702148" w:rsidRDefault="00772EC3" w:rsidP="003C405A">
            <w:pPr>
              <w:spacing w:after="0"/>
              <w:jc w:val="right"/>
              <w:rPr>
                <w:noProof/>
                <w:color w:val="000000"/>
              </w:rPr>
            </w:pPr>
            <w:r>
              <w:rPr>
                <w:noProof/>
                <w:color w:val="000000"/>
              </w:rPr>
              <w:t>–8,1 %</w:t>
            </w:r>
          </w:p>
        </w:tc>
        <w:tc>
          <w:tcPr>
            <w:tcW w:w="2510" w:type="dxa"/>
            <w:shd w:val="clear" w:color="auto" w:fill="auto"/>
            <w:noWrap/>
            <w:vAlign w:val="bottom"/>
          </w:tcPr>
          <w:p w14:paraId="702D5ED4" w14:textId="77777777" w:rsidR="00772EC3" w:rsidRPr="00702148" w:rsidRDefault="00772EC3" w:rsidP="003C405A">
            <w:pPr>
              <w:spacing w:after="0"/>
              <w:jc w:val="right"/>
              <w:rPr>
                <w:noProof/>
                <w:color w:val="000000"/>
              </w:rPr>
            </w:pPr>
            <w:r>
              <w:rPr>
                <w:noProof/>
                <w:color w:val="000000"/>
              </w:rPr>
              <w:t>8,9 %</w:t>
            </w:r>
          </w:p>
        </w:tc>
        <w:tc>
          <w:tcPr>
            <w:tcW w:w="2376" w:type="dxa"/>
            <w:shd w:val="clear" w:color="auto" w:fill="auto"/>
            <w:noWrap/>
            <w:vAlign w:val="bottom"/>
          </w:tcPr>
          <w:p w14:paraId="179BDAE3" w14:textId="77777777" w:rsidR="00772EC3" w:rsidRPr="00702148" w:rsidRDefault="00772EC3" w:rsidP="003C405A">
            <w:pPr>
              <w:spacing w:after="0"/>
              <w:jc w:val="right"/>
              <w:rPr>
                <w:noProof/>
                <w:color w:val="000000"/>
              </w:rPr>
            </w:pPr>
            <w:r>
              <w:rPr>
                <w:noProof/>
                <w:color w:val="000000"/>
              </w:rPr>
              <w:t>–0,7 %</w:t>
            </w:r>
          </w:p>
        </w:tc>
      </w:tr>
      <w:tr w:rsidR="00772EC3" w:rsidRPr="004C6A35" w14:paraId="75FD21F2" w14:textId="77777777" w:rsidTr="0014353A">
        <w:trPr>
          <w:trHeight w:val="300"/>
        </w:trPr>
        <w:tc>
          <w:tcPr>
            <w:tcW w:w="1437" w:type="dxa"/>
            <w:shd w:val="clear" w:color="auto" w:fill="auto"/>
            <w:noWrap/>
            <w:vAlign w:val="bottom"/>
          </w:tcPr>
          <w:p w14:paraId="2ABD478D" w14:textId="77777777" w:rsidR="00772EC3" w:rsidRPr="00702148" w:rsidRDefault="00772EC3" w:rsidP="003C405A">
            <w:pPr>
              <w:spacing w:after="0"/>
              <w:rPr>
                <w:noProof/>
                <w:color w:val="000000"/>
              </w:rPr>
            </w:pPr>
            <w:r>
              <w:rPr>
                <w:noProof/>
                <w:color w:val="000000"/>
              </w:rPr>
              <w:t>FR</w:t>
            </w:r>
          </w:p>
        </w:tc>
        <w:tc>
          <w:tcPr>
            <w:tcW w:w="2563" w:type="dxa"/>
            <w:shd w:val="clear" w:color="auto" w:fill="auto"/>
            <w:noWrap/>
            <w:vAlign w:val="bottom"/>
          </w:tcPr>
          <w:p w14:paraId="3A6EB162" w14:textId="77777777" w:rsidR="00772EC3" w:rsidRPr="00702148" w:rsidRDefault="00772EC3" w:rsidP="003C405A">
            <w:pPr>
              <w:spacing w:after="0"/>
              <w:jc w:val="right"/>
              <w:rPr>
                <w:noProof/>
                <w:color w:val="000000"/>
              </w:rPr>
            </w:pPr>
            <w:r>
              <w:rPr>
                <w:noProof/>
                <w:color w:val="000000"/>
              </w:rPr>
              <w:t>0,2 %</w:t>
            </w:r>
          </w:p>
        </w:tc>
        <w:tc>
          <w:tcPr>
            <w:tcW w:w="2510" w:type="dxa"/>
            <w:shd w:val="clear" w:color="auto" w:fill="auto"/>
            <w:noWrap/>
            <w:vAlign w:val="bottom"/>
          </w:tcPr>
          <w:p w14:paraId="4397C92E" w14:textId="77777777" w:rsidR="00772EC3" w:rsidRPr="00702148" w:rsidRDefault="00772EC3" w:rsidP="003C405A">
            <w:pPr>
              <w:spacing w:after="0"/>
              <w:jc w:val="right"/>
              <w:rPr>
                <w:noProof/>
                <w:color w:val="000000"/>
              </w:rPr>
            </w:pPr>
            <w:r>
              <w:rPr>
                <w:noProof/>
                <w:color w:val="000000"/>
              </w:rPr>
              <w:t>15,8 %</w:t>
            </w:r>
          </w:p>
        </w:tc>
        <w:tc>
          <w:tcPr>
            <w:tcW w:w="2376" w:type="dxa"/>
            <w:shd w:val="clear" w:color="auto" w:fill="auto"/>
            <w:noWrap/>
            <w:vAlign w:val="bottom"/>
          </w:tcPr>
          <w:p w14:paraId="310DB59D" w14:textId="77777777" w:rsidR="00772EC3" w:rsidRPr="00702148" w:rsidRDefault="00772EC3" w:rsidP="003C405A">
            <w:pPr>
              <w:spacing w:after="0"/>
              <w:jc w:val="right"/>
              <w:rPr>
                <w:noProof/>
                <w:color w:val="000000"/>
              </w:rPr>
            </w:pPr>
            <w:r>
              <w:rPr>
                <w:noProof/>
                <w:color w:val="000000"/>
              </w:rPr>
              <w:t>0,0 %</w:t>
            </w:r>
          </w:p>
        </w:tc>
      </w:tr>
      <w:tr w:rsidR="00772EC3" w:rsidRPr="004C6A35" w14:paraId="2F8D243B" w14:textId="77777777" w:rsidTr="0014353A">
        <w:trPr>
          <w:trHeight w:val="300"/>
        </w:trPr>
        <w:tc>
          <w:tcPr>
            <w:tcW w:w="1437" w:type="dxa"/>
            <w:shd w:val="clear" w:color="auto" w:fill="auto"/>
            <w:noWrap/>
            <w:vAlign w:val="bottom"/>
          </w:tcPr>
          <w:p w14:paraId="0B0C3FEC" w14:textId="77777777" w:rsidR="00772EC3" w:rsidRPr="00702148" w:rsidRDefault="00772EC3" w:rsidP="003C405A">
            <w:pPr>
              <w:spacing w:after="0"/>
              <w:rPr>
                <w:noProof/>
                <w:color w:val="000000"/>
              </w:rPr>
            </w:pPr>
            <w:r>
              <w:rPr>
                <w:noProof/>
                <w:color w:val="000000"/>
              </w:rPr>
              <w:t>HR</w:t>
            </w:r>
          </w:p>
        </w:tc>
        <w:tc>
          <w:tcPr>
            <w:tcW w:w="2563" w:type="dxa"/>
            <w:shd w:val="clear" w:color="auto" w:fill="auto"/>
            <w:noWrap/>
            <w:vAlign w:val="bottom"/>
          </w:tcPr>
          <w:p w14:paraId="6FFCEFB6" w14:textId="77777777" w:rsidR="00772EC3" w:rsidRPr="00702148" w:rsidRDefault="00772EC3" w:rsidP="003C405A">
            <w:pPr>
              <w:spacing w:after="0"/>
              <w:jc w:val="right"/>
              <w:rPr>
                <w:noProof/>
                <w:color w:val="000000"/>
              </w:rPr>
            </w:pPr>
            <w:r>
              <w:rPr>
                <w:noProof/>
                <w:color w:val="000000"/>
              </w:rPr>
              <w:t>–8,1 %</w:t>
            </w:r>
          </w:p>
        </w:tc>
        <w:tc>
          <w:tcPr>
            <w:tcW w:w="2510" w:type="dxa"/>
            <w:shd w:val="clear" w:color="auto" w:fill="auto"/>
            <w:noWrap/>
            <w:vAlign w:val="bottom"/>
          </w:tcPr>
          <w:p w14:paraId="5585150C" w14:textId="77777777" w:rsidR="00772EC3" w:rsidRPr="00702148" w:rsidRDefault="00772EC3" w:rsidP="003C405A">
            <w:pPr>
              <w:spacing w:after="0"/>
              <w:jc w:val="right"/>
              <w:rPr>
                <w:noProof/>
                <w:color w:val="000000"/>
              </w:rPr>
            </w:pPr>
            <w:r>
              <w:rPr>
                <w:noProof/>
                <w:color w:val="000000"/>
              </w:rPr>
              <w:t>0,6 %</w:t>
            </w:r>
          </w:p>
        </w:tc>
        <w:tc>
          <w:tcPr>
            <w:tcW w:w="2376" w:type="dxa"/>
            <w:shd w:val="clear" w:color="auto" w:fill="auto"/>
            <w:noWrap/>
            <w:vAlign w:val="bottom"/>
          </w:tcPr>
          <w:p w14:paraId="6D8557FB" w14:textId="77777777" w:rsidR="00772EC3" w:rsidRPr="00702148" w:rsidRDefault="00772EC3" w:rsidP="003C405A">
            <w:pPr>
              <w:spacing w:after="0"/>
              <w:jc w:val="right"/>
              <w:rPr>
                <w:noProof/>
                <w:color w:val="000000"/>
              </w:rPr>
            </w:pPr>
            <w:r>
              <w:rPr>
                <w:noProof/>
                <w:color w:val="000000"/>
              </w:rPr>
              <w:t>0,0 %</w:t>
            </w:r>
          </w:p>
        </w:tc>
      </w:tr>
      <w:tr w:rsidR="00772EC3" w:rsidRPr="004C6A35" w14:paraId="08993D91" w14:textId="77777777" w:rsidTr="0014353A">
        <w:trPr>
          <w:trHeight w:val="300"/>
        </w:trPr>
        <w:tc>
          <w:tcPr>
            <w:tcW w:w="1437" w:type="dxa"/>
            <w:shd w:val="clear" w:color="auto" w:fill="auto"/>
            <w:noWrap/>
            <w:vAlign w:val="bottom"/>
          </w:tcPr>
          <w:p w14:paraId="54B3C293" w14:textId="77777777" w:rsidR="00772EC3" w:rsidRPr="00702148" w:rsidRDefault="00772EC3" w:rsidP="003C405A">
            <w:pPr>
              <w:spacing w:after="0"/>
              <w:rPr>
                <w:noProof/>
                <w:color w:val="000000"/>
              </w:rPr>
            </w:pPr>
            <w:r>
              <w:rPr>
                <w:noProof/>
                <w:color w:val="000000"/>
              </w:rPr>
              <w:t>IT</w:t>
            </w:r>
          </w:p>
        </w:tc>
        <w:tc>
          <w:tcPr>
            <w:tcW w:w="2563" w:type="dxa"/>
            <w:shd w:val="clear" w:color="auto" w:fill="auto"/>
            <w:noWrap/>
            <w:vAlign w:val="bottom"/>
          </w:tcPr>
          <w:p w14:paraId="0F3C64C3" w14:textId="77777777" w:rsidR="00772EC3" w:rsidRPr="00702148" w:rsidRDefault="00772EC3" w:rsidP="003C405A">
            <w:pPr>
              <w:spacing w:after="0"/>
              <w:jc w:val="right"/>
              <w:rPr>
                <w:noProof/>
                <w:color w:val="000000"/>
              </w:rPr>
            </w:pPr>
            <w:r>
              <w:rPr>
                <w:noProof/>
                <w:color w:val="000000"/>
              </w:rPr>
              <w:t>1,0 %</w:t>
            </w:r>
          </w:p>
        </w:tc>
        <w:tc>
          <w:tcPr>
            <w:tcW w:w="2510" w:type="dxa"/>
            <w:shd w:val="clear" w:color="auto" w:fill="auto"/>
            <w:noWrap/>
            <w:vAlign w:val="bottom"/>
          </w:tcPr>
          <w:p w14:paraId="1AF23AC6" w14:textId="77777777" w:rsidR="00772EC3" w:rsidRPr="00702148" w:rsidRDefault="00772EC3" w:rsidP="003C405A">
            <w:pPr>
              <w:spacing w:after="0"/>
              <w:jc w:val="right"/>
              <w:rPr>
                <w:noProof/>
                <w:color w:val="000000"/>
              </w:rPr>
            </w:pPr>
            <w:r>
              <w:rPr>
                <w:noProof/>
                <w:color w:val="000000"/>
              </w:rPr>
              <w:t>12,6 %</w:t>
            </w:r>
          </w:p>
        </w:tc>
        <w:tc>
          <w:tcPr>
            <w:tcW w:w="2376" w:type="dxa"/>
            <w:shd w:val="clear" w:color="auto" w:fill="auto"/>
            <w:noWrap/>
            <w:vAlign w:val="bottom"/>
          </w:tcPr>
          <w:p w14:paraId="59C57EAB" w14:textId="77777777" w:rsidR="00772EC3" w:rsidRPr="00702148" w:rsidRDefault="00772EC3" w:rsidP="003C405A">
            <w:pPr>
              <w:spacing w:after="0"/>
              <w:jc w:val="right"/>
              <w:rPr>
                <w:noProof/>
                <w:color w:val="000000"/>
              </w:rPr>
            </w:pPr>
            <w:r>
              <w:rPr>
                <w:noProof/>
                <w:color w:val="000000"/>
              </w:rPr>
              <w:t>0,1 %</w:t>
            </w:r>
          </w:p>
        </w:tc>
      </w:tr>
      <w:tr w:rsidR="00772EC3" w:rsidRPr="004C6A35" w14:paraId="2EE9C081" w14:textId="77777777" w:rsidTr="0014353A">
        <w:trPr>
          <w:trHeight w:val="300"/>
        </w:trPr>
        <w:tc>
          <w:tcPr>
            <w:tcW w:w="1437" w:type="dxa"/>
            <w:shd w:val="clear" w:color="auto" w:fill="auto"/>
            <w:noWrap/>
            <w:vAlign w:val="bottom"/>
          </w:tcPr>
          <w:p w14:paraId="79DB962D" w14:textId="77777777" w:rsidR="00772EC3" w:rsidRPr="00702148" w:rsidRDefault="00772EC3" w:rsidP="003C405A">
            <w:pPr>
              <w:spacing w:after="0"/>
              <w:rPr>
                <w:noProof/>
                <w:color w:val="000000"/>
              </w:rPr>
            </w:pPr>
            <w:r>
              <w:rPr>
                <w:noProof/>
                <w:color w:val="000000"/>
              </w:rPr>
              <w:t>CY</w:t>
            </w:r>
          </w:p>
        </w:tc>
        <w:tc>
          <w:tcPr>
            <w:tcW w:w="2563" w:type="dxa"/>
            <w:shd w:val="clear" w:color="auto" w:fill="auto"/>
            <w:noWrap/>
            <w:vAlign w:val="bottom"/>
          </w:tcPr>
          <w:p w14:paraId="781D2685" w14:textId="77777777" w:rsidR="00772EC3" w:rsidRPr="00702148" w:rsidRDefault="00772EC3" w:rsidP="003C405A">
            <w:pPr>
              <w:spacing w:after="0"/>
              <w:jc w:val="right"/>
              <w:rPr>
                <w:noProof/>
                <w:color w:val="000000"/>
              </w:rPr>
            </w:pPr>
            <w:r>
              <w:rPr>
                <w:noProof/>
                <w:color w:val="000000"/>
              </w:rPr>
              <w:t>–5,9 %</w:t>
            </w:r>
          </w:p>
        </w:tc>
        <w:tc>
          <w:tcPr>
            <w:tcW w:w="2510" w:type="dxa"/>
            <w:shd w:val="clear" w:color="auto" w:fill="auto"/>
            <w:noWrap/>
            <w:vAlign w:val="bottom"/>
          </w:tcPr>
          <w:p w14:paraId="115BA4FF" w14:textId="77777777" w:rsidR="00772EC3" w:rsidRPr="00702148" w:rsidRDefault="00772EC3" w:rsidP="003C405A">
            <w:pPr>
              <w:spacing w:after="0"/>
              <w:jc w:val="right"/>
              <w:rPr>
                <w:noProof/>
                <w:color w:val="000000"/>
              </w:rPr>
            </w:pPr>
            <w:r>
              <w:rPr>
                <w:noProof/>
                <w:color w:val="000000"/>
              </w:rPr>
              <w:t>0,2 %</w:t>
            </w:r>
          </w:p>
        </w:tc>
        <w:tc>
          <w:tcPr>
            <w:tcW w:w="2376" w:type="dxa"/>
            <w:shd w:val="clear" w:color="auto" w:fill="auto"/>
            <w:noWrap/>
            <w:vAlign w:val="bottom"/>
          </w:tcPr>
          <w:p w14:paraId="03D574AD" w14:textId="77777777" w:rsidR="00772EC3" w:rsidRPr="00702148" w:rsidRDefault="00772EC3" w:rsidP="003C405A">
            <w:pPr>
              <w:spacing w:after="0"/>
              <w:jc w:val="right"/>
              <w:rPr>
                <w:noProof/>
                <w:color w:val="000000"/>
              </w:rPr>
            </w:pPr>
            <w:r>
              <w:rPr>
                <w:noProof/>
                <w:color w:val="000000"/>
              </w:rPr>
              <w:t>0,0 %</w:t>
            </w:r>
          </w:p>
        </w:tc>
      </w:tr>
      <w:tr w:rsidR="00772EC3" w:rsidRPr="004C6A35" w14:paraId="0EFE559F" w14:textId="77777777" w:rsidTr="0014353A">
        <w:trPr>
          <w:trHeight w:val="300"/>
        </w:trPr>
        <w:tc>
          <w:tcPr>
            <w:tcW w:w="1437" w:type="dxa"/>
            <w:shd w:val="clear" w:color="auto" w:fill="auto"/>
            <w:noWrap/>
            <w:vAlign w:val="bottom"/>
          </w:tcPr>
          <w:p w14:paraId="588ADC6B" w14:textId="77777777" w:rsidR="00772EC3" w:rsidRPr="00702148" w:rsidRDefault="00772EC3" w:rsidP="003C405A">
            <w:pPr>
              <w:spacing w:after="0"/>
              <w:rPr>
                <w:noProof/>
                <w:color w:val="000000"/>
              </w:rPr>
            </w:pPr>
            <w:r>
              <w:rPr>
                <w:noProof/>
                <w:color w:val="000000"/>
              </w:rPr>
              <w:t>LV</w:t>
            </w:r>
          </w:p>
        </w:tc>
        <w:tc>
          <w:tcPr>
            <w:tcW w:w="2563" w:type="dxa"/>
            <w:shd w:val="clear" w:color="auto" w:fill="auto"/>
            <w:noWrap/>
            <w:vAlign w:val="bottom"/>
          </w:tcPr>
          <w:p w14:paraId="6236E09E" w14:textId="77777777" w:rsidR="00772EC3" w:rsidRPr="00702148" w:rsidRDefault="00772EC3" w:rsidP="003C405A">
            <w:pPr>
              <w:spacing w:after="0"/>
              <w:jc w:val="right"/>
              <w:rPr>
                <w:noProof/>
                <w:color w:val="000000"/>
              </w:rPr>
            </w:pPr>
            <w:r>
              <w:rPr>
                <w:noProof/>
                <w:color w:val="000000"/>
              </w:rPr>
              <w:t>–9,8 %</w:t>
            </w:r>
          </w:p>
        </w:tc>
        <w:tc>
          <w:tcPr>
            <w:tcW w:w="2510" w:type="dxa"/>
            <w:shd w:val="clear" w:color="auto" w:fill="auto"/>
            <w:noWrap/>
            <w:vAlign w:val="bottom"/>
          </w:tcPr>
          <w:p w14:paraId="6E53EEE1" w14:textId="77777777" w:rsidR="00772EC3" w:rsidRPr="00702148" w:rsidRDefault="00772EC3" w:rsidP="003C405A">
            <w:pPr>
              <w:spacing w:after="0"/>
              <w:jc w:val="right"/>
              <w:rPr>
                <w:noProof/>
                <w:color w:val="000000"/>
              </w:rPr>
            </w:pPr>
            <w:r>
              <w:rPr>
                <w:noProof/>
                <w:color w:val="000000"/>
              </w:rPr>
              <w:t>0,3 %</w:t>
            </w:r>
          </w:p>
        </w:tc>
        <w:tc>
          <w:tcPr>
            <w:tcW w:w="2376" w:type="dxa"/>
            <w:shd w:val="clear" w:color="auto" w:fill="auto"/>
            <w:noWrap/>
            <w:vAlign w:val="bottom"/>
          </w:tcPr>
          <w:p w14:paraId="250013A5" w14:textId="77777777" w:rsidR="00772EC3" w:rsidRPr="00702148" w:rsidRDefault="00772EC3" w:rsidP="003C405A">
            <w:pPr>
              <w:spacing w:after="0"/>
              <w:jc w:val="right"/>
              <w:rPr>
                <w:noProof/>
                <w:color w:val="000000"/>
              </w:rPr>
            </w:pPr>
            <w:r>
              <w:rPr>
                <w:noProof/>
                <w:color w:val="000000"/>
              </w:rPr>
              <w:t>0,0 %</w:t>
            </w:r>
          </w:p>
        </w:tc>
      </w:tr>
      <w:tr w:rsidR="00772EC3" w:rsidRPr="004C6A35" w14:paraId="16ECDE92" w14:textId="77777777" w:rsidTr="0014353A">
        <w:trPr>
          <w:trHeight w:val="300"/>
        </w:trPr>
        <w:tc>
          <w:tcPr>
            <w:tcW w:w="1437" w:type="dxa"/>
            <w:shd w:val="clear" w:color="auto" w:fill="auto"/>
            <w:noWrap/>
            <w:vAlign w:val="bottom"/>
          </w:tcPr>
          <w:p w14:paraId="4E275C79" w14:textId="77777777" w:rsidR="00772EC3" w:rsidRPr="00702148" w:rsidRDefault="00772EC3" w:rsidP="003C405A">
            <w:pPr>
              <w:spacing w:after="0"/>
              <w:rPr>
                <w:noProof/>
                <w:color w:val="000000"/>
              </w:rPr>
            </w:pPr>
            <w:r>
              <w:rPr>
                <w:noProof/>
                <w:color w:val="000000"/>
              </w:rPr>
              <w:t>LT</w:t>
            </w:r>
          </w:p>
        </w:tc>
        <w:tc>
          <w:tcPr>
            <w:tcW w:w="2563" w:type="dxa"/>
            <w:shd w:val="clear" w:color="auto" w:fill="auto"/>
            <w:noWrap/>
            <w:vAlign w:val="bottom"/>
          </w:tcPr>
          <w:p w14:paraId="57137223" w14:textId="77777777" w:rsidR="00772EC3" w:rsidRPr="00702148" w:rsidRDefault="00772EC3" w:rsidP="003C405A">
            <w:pPr>
              <w:spacing w:after="0"/>
              <w:jc w:val="right"/>
              <w:rPr>
                <w:noProof/>
                <w:color w:val="000000"/>
              </w:rPr>
            </w:pPr>
            <w:r>
              <w:rPr>
                <w:noProof/>
                <w:color w:val="000000"/>
              </w:rPr>
              <w:t>–10,7 %</w:t>
            </w:r>
          </w:p>
        </w:tc>
        <w:tc>
          <w:tcPr>
            <w:tcW w:w="2510" w:type="dxa"/>
            <w:shd w:val="clear" w:color="auto" w:fill="auto"/>
            <w:noWrap/>
            <w:vAlign w:val="bottom"/>
          </w:tcPr>
          <w:p w14:paraId="200E7CF0" w14:textId="77777777" w:rsidR="00772EC3" w:rsidRPr="00702148" w:rsidRDefault="00772EC3" w:rsidP="003C405A">
            <w:pPr>
              <w:spacing w:after="0"/>
              <w:jc w:val="right"/>
              <w:rPr>
                <w:noProof/>
                <w:color w:val="000000"/>
              </w:rPr>
            </w:pPr>
            <w:r>
              <w:rPr>
                <w:noProof/>
                <w:color w:val="000000"/>
              </w:rPr>
              <w:t>0,6 %</w:t>
            </w:r>
          </w:p>
        </w:tc>
        <w:tc>
          <w:tcPr>
            <w:tcW w:w="2376" w:type="dxa"/>
            <w:shd w:val="clear" w:color="auto" w:fill="auto"/>
            <w:noWrap/>
            <w:vAlign w:val="bottom"/>
          </w:tcPr>
          <w:p w14:paraId="66DBBCF5" w14:textId="77777777" w:rsidR="00772EC3" w:rsidRPr="00702148" w:rsidRDefault="00772EC3" w:rsidP="003C405A">
            <w:pPr>
              <w:spacing w:after="0"/>
              <w:jc w:val="right"/>
              <w:rPr>
                <w:noProof/>
                <w:color w:val="000000"/>
              </w:rPr>
            </w:pPr>
            <w:r>
              <w:rPr>
                <w:noProof/>
                <w:color w:val="000000"/>
              </w:rPr>
              <w:t>–0,1 %</w:t>
            </w:r>
          </w:p>
        </w:tc>
      </w:tr>
      <w:tr w:rsidR="00772EC3" w:rsidRPr="004C6A35" w14:paraId="7CD30BD1" w14:textId="77777777" w:rsidTr="0014353A">
        <w:trPr>
          <w:trHeight w:val="300"/>
        </w:trPr>
        <w:tc>
          <w:tcPr>
            <w:tcW w:w="1437" w:type="dxa"/>
            <w:shd w:val="clear" w:color="auto" w:fill="auto"/>
            <w:noWrap/>
            <w:vAlign w:val="bottom"/>
          </w:tcPr>
          <w:p w14:paraId="1823392B" w14:textId="77777777" w:rsidR="00772EC3" w:rsidRPr="00702148" w:rsidRDefault="00772EC3" w:rsidP="003C405A">
            <w:pPr>
              <w:spacing w:after="0"/>
              <w:rPr>
                <w:noProof/>
                <w:color w:val="000000"/>
              </w:rPr>
            </w:pPr>
            <w:r>
              <w:rPr>
                <w:noProof/>
                <w:color w:val="000000"/>
              </w:rPr>
              <w:t>LU</w:t>
            </w:r>
          </w:p>
        </w:tc>
        <w:tc>
          <w:tcPr>
            <w:tcW w:w="2563" w:type="dxa"/>
            <w:shd w:val="clear" w:color="auto" w:fill="auto"/>
            <w:noWrap/>
            <w:vAlign w:val="bottom"/>
          </w:tcPr>
          <w:p w14:paraId="1A54EDF5" w14:textId="77777777" w:rsidR="00772EC3" w:rsidRPr="00702148" w:rsidRDefault="00772EC3" w:rsidP="003C405A">
            <w:pPr>
              <w:spacing w:after="0"/>
              <w:jc w:val="right"/>
              <w:rPr>
                <w:noProof/>
                <w:color w:val="000000"/>
              </w:rPr>
            </w:pPr>
            <w:r>
              <w:rPr>
                <w:noProof/>
                <w:color w:val="000000"/>
              </w:rPr>
              <w:t>–5,3 %</w:t>
            </w:r>
          </w:p>
        </w:tc>
        <w:tc>
          <w:tcPr>
            <w:tcW w:w="2510" w:type="dxa"/>
            <w:shd w:val="clear" w:color="auto" w:fill="auto"/>
            <w:noWrap/>
            <w:vAlign w:val="bottom"/>
          </w:tcPr>
          <w:p w14:paraId="4739807B" w14:textId="77777777" w:rsidR="00772EC3" w:rsidRPr="00702148" w:rsidRDefault="00772EC3" w:rsidP="003C405A">
            <w:pPr>
              <w:spacing w:after="0"/>
              <w:jc w:val="right"/>
              <w:rPr>
                <w:noProof/>
                <w:color w:val="000000"/>
              </w:rPr>
            </w:pPr>
            <w:r>
              <w:rPr>
                <w:noProof/>
                <w:color w:val="000000"/>
              </w:rPr>
              <w:t>0,4 %</w:t>
            </w:r>
          </w:p>
        </w:tc>
        <w:tc>
          <w:tcPr>
            <w:tcW w:w="2376" w:type="dxa"/>
            <w:shd w:val="clear" w:color="auto" w:fill="auto"/>
            <w:noWrap/>
            <w:vAlign w:val="bottom"/>
          </w:tcPr>
          <w:p w14:paraId="0402DC88" w14:textId="77777777" w:rsidR="00772EC3" w:rsidRPr="00702148" w:rsidRDefault="00772EC3" w:rsidP="003C405A">
            <w:pPr>
              <w:spacing w:after="0"/>
              <w:jc w:val="right"/>
              <w:rPr>
                <w:noProof/>
                <w:color w:val="000000"/>
              </w:rPr>
            </w:pPr>
            <w:r>
              <w:rPr>
                <w:noProof/>
                <w:color w:val="000000"/>
              </w:rPr>
              <w:t>0,0 %</w:t>
            </w:r>
          </w:p>
        </w:tc>
      </w:tr>
      <w:tr w:rsidR="00772EC3" w:rsidRPr="004C6A35" w14:paraId="2747E693" w14:textId="77777777" w:rsidTr="0014353A">
        <w:trPr>
          <w:trHeight w:val="300"/>
        </w:trPr>
        <w:tc>
          <w:tcPr>
            <w:tcW w:w="1437" w:type="dxa"/>
            <w:shd w:val="clear" w:color="auto" w:fill="auto"/>
            <w:noWrap/>
            <w:vAlign w:val="bottom"/>
          </w:tcPr>
          <w:p w14:paraId="47795CE4" w14:textId="77777777" w:rsidR="00772EC3" w:rsidRPr="00702148" w:rsidRDefault="00772EC3" w:rsidP="003C405A">
            <w:pPr>
              <w:spacing w:after="0"/>
              <w:rPr>
                <w:noProof/>
                <w:color w:val="000000"/>
              </w:rPr>
            </w:pPr>
            <w:r>
              <w:rPr>
                <w:noProof/>
                <w:color w:val="000000"/>
              </w:rPr>
              <w:t>HU</w:t>
            </w:r>
          </w:p>
        </w:tc>
        <w:tc>
          <w:tcPr>
            <w:tcW w:w="2563" w:type="dxa"/>
            <w:shd w:val="clear" w:color="auto" w:fill="auto"/>
            <w:noWrap/>
            <w:vAlign w:val="bottom"/>
          </w:tcPr>
          <w:p w14:paraId="15ED7C5C" w14:textId="77777777" w:rsidR="00772EC3" w:rsidRPr="00702148" w:rsidRDefault="00772EC3" w:rsidP="003C405A">
            <w:pPr>
              <w:spacing w:after="0"/>
              <w:jc w:val="right"/>
              <w:rPr>
                <w:noProof/>
                <w:color w:val="000000"/>
              </w:rPr>
            </w:pPr>
            <w:r>
              <w:rPr>
                <w:noProof/>
                <w:color w:val="000000"/>
              </w:rPr>
              <w:t>–9,5 %</w:t>
            </w:r>
          </w:p>
        </w:tc>
        <w:tc>
          <w:tcPr>
            <w:tcW w:w="2510" w:type="dxa"/>
            <w:shd w:val="clear" w:color="auto" w:fill="auto"/>
            <w:noWrap/>
            <w:vAlign w:val="bottom"/>
          </w:tcPr>
          <w:p w14:paraId="52C88D9E" w14:textId="77777777" w:rsidR="00772EC3" w:rsidRPr="00702148" w:rsidRDefault="00772EC3" w:rsidP="003C405A">
            <w:pPr>
              <w:spacing w:after="0"/>
              <w:jc w:val="right"/>
              <w:rPr>
                <w:noProof/>
                <w:color w:val="000000"/>
              </w:rPr>
            </w:pPr>
            <w:r>
              <w:rPr>
                <w:noProof/>
                <w:color w:val="000000"/>
              </w:rPr>
              <w:t>1,6 %</w:t>
            </w:r>
          </w:p>
        </w:tc>
        <w:tc>
          <w:tcPr>
            <w:tcW w:w="2376" w:type="dxa"/>
            <w:shd w:val="clear" w:color="auto" w:fill="auto"/>
            <w:noWrap/>
            <w:vAlign w:val="bottom"/>
          </w:tcPr>
          <w:p w14:paraId="72EDC914" w14:textId="77777777" w:rsidR="00772EC3" w:rsidRPr="00702148" w:rsidRDefault="00772EC3" w:rsidP="003C405A">
            <w:pPr>
              <w:spacing w:after="0"/>
              <w:jc w:val="right"/>
              <w:rPr>
                <w:noProof/>
                <w:color w:val="000000"/>
              </w:rPr>
            </w:pPr>
            <w:r>
              <w:rPr>
                <w:noProof/>
                <w:color w:val="000000"/>
              </w:rPr>
              <w:t>–0,2 %</w:t>
            </w:r>
          </w:p>
        </w:tc>
      </w:tr>
      <w:tr w:rsidR="00772EC3" w:rsidRPr="004C6A35" w14:paraId="487DF06E" w14:textId="77777777" w:rsidTr="0014353A">
        <w:trPr>
          <w:trHeight w:val="300"/>
        </w:trPr>
        <w:tc>
          <w:tcPr>
            <w:tcW w:w="1437" w:type="dxa"/>
            <w:shd w:val="clear" w:color="auto" w:fill="auto"/>
            <w:noWrap/>
            <w:vAlign w:val="bottom"/>
          </w:tcPr>
          <w:p w14:paraId="0C6554DF" w14:textId="77777777" w:rsidR="00772EC3" w:rsidRPr="00702148" w:rsidRDefault="00772EC3" w:rsidP="003C405A">
            <w:pPr>
              <w:spacing w:after="0"/>
              <w:rPr>
                <w:noProof/>
                <w:color w:val="000000"/>
              </w:rPr>
            </w:pPr>
            <w:r>
              <w:rPr>
                <w:noProof/>
                <w:color w:val="000000"/>
              </w:rPr>
              <w:t>MT</w:t>
            </w:r>
          </w:p>
        </w:tc>
        <w:tc>
          <w:tcPr>
            <w:tcW w:w="2563" w:type="dxa"/>
            <w:shd w:val="clear" w:color="auto" w:fill="auto"/>
            <w:noWrap/>
            <w:vAlign w:val="bottom"/>
          </w:tcPr>
          <w:p w14:paraId="26759CB8" w14:textId="77777777" w:rsidR="00772EC3" w:rsidRPr="00702148" w:rsidRDefault="00772EC3" w:rsidP="003C405A">
            <w:pPr>
              <w:spacing w:after="0"/>
              <w:jc w:val="right"/>
              <w:rPr>
                <w:noProof/>
                <w:color w:val="000000"/>
              </w:rPr>
            </w:pPr>
            <w:r>
              <w:rPr>
                <w:noProof/>
                <w:color w:val="000000"/>
              </w:rPr>
              <w:t>–3,3 %</w:t>
            </w:r>
          </w:p>
        </w:tc>
        <w:tc>
          <w:tcPr>
            <w:tcW w:w="2510" w:type="dxa"/>
            <w:shd w:val="clear" w:color="auto" w:fill="auto"/>
            <w:noWrap/>
            <w:vAlign w:val="bottom"/>
          </w:tcPr>
          <w:p w14:paraId="090A110B" w14:textId="77777777" w:rsidR="00772EC3" w:rsidRPr="00702148" w:rsidRDefault="00772EC3" w:rsidP="003C405A">
            <w:pPr>
              <w:spacing w:after="0"/>
              <w:jc w:val="right"/>
              <w:rPr>
                <w:noProof/>
                <w:color w:val="000000"/>
              </w:rPr>
            </w:pPr>
            <w:r>
              <w:rPr>
                <w:noProof/>
                <w:color w:val="000000"/>
              </w:rPr>
              <w:t>0,1 %</w:t>
            </w:r>
          </w:p>
        </w:tc>
        <w:tc>
          <w:tcPr>
            <w:tcW w:w="2376" w:type="dxa"/>
            <w:shd w:val="clear" w:color="auto" w:fill="auto"/>
            <w:noWrap/>
            <w:vAlign w:val="bottom"/>
          </w:tcPr>
          <w:p w14:paraId="623C906F" w14:textId="77777777" w:rsidR="00772EC3" w:rsidRPr="00702148" w:rsidRDefault="00772EC3" w:rsidP="003C405A">
            <w:pPr>
              <w:spacing w:after="0"/>
              <w:jc w:val="right"/>
              <w:rPr>
                <w:noProof/>
                <w:color w:val="000000"/>
              </w:rPr>
            </w:pPr>
            <w:r>
              <w:rPr>
                <w:noProof/>
                <w:color w:val="000000"/>
              </w:rPr>
              <w:t>0,0 %</w:t>
            </w:r>
          </w:p>
        </w:tc>
      </w:tr>
      <w:tr w:rsidR="00772EC3" w:rsidRPr="004C6A35" w14:paraId="2BA34E9C" w14:textId="77777777" w:rsidTr="0014353A">
        <w:trPr>
          <w:trHeight w:val="300"/>
        </w:trPr>
        <w:tc>
          <w:tcPr>
            <w:tcW w:w="1437" w:type="dxa"/>
            <w:shd w:val="clear" w:color="auto" w:fill="auto"/>
            <w:noWrap/>
            <w:vAlign w:val="bottom"/>
          </w:tcPr>
          <w:p w14:paraId="227D7A57" w14:textId="77777777" w:rsidR="00772EC3" w:rsidRPr="00702148" w:rsidRDefault="00772EC3" w:rsidP="003C405A">
            <w:pPr>
              <w:spacing w:after="0"/>
              <w:rPr>
                <w:noProof/>
                <w:color w:val="000000"/>
              </w:rPr>
            </w:pPr>
            <w:r>
              <w:rPr>
                <w:noProof/>
                <w:color w:val="000000"/>
              </w:rPr>
              <w:t>NL</w:t>
            </w:r>
          </w:p>
        </w:tc>
        <w:tc>
          <w:tcPr>
            <w:tcW w:w="2563" w:type="dxa"/>
            <w:shd w:val="clear" w:color="auto" w:fill="auto"/>
            <w:noWrap/>
            <w:vAlign w:val="bottom"/>
          </w:tcPr>
          <w:p w14:paraId="42CB0EEE" w14:textId="77777777" w:rsidR="00772EC3" w:rsidRPr="00702148" w:rsidRDefault="00772EC3" w:rsidP="003C405A">
            <w:pPr>
              <w:spacing w:after="0"/>
              <w:jc w:val="right"/>
              <w:rPr>
                <w:noProof/>
                <w:color w:val="000000"/>
              </w:rPr>
            </w:pPr>
            <w:r>
              <w:rPr>
                <w:noProof/>
                <w:color w:val="000000"/>
              </w:rPr>
              <w:t>–4,3 %</w:t>
            </w:r>
          </w:p>
        </w:tc>
        <w:tc>
          <w:tcPr>
            <w:tcW w:w="2510" w:type="dxa"/>
            <w:shd w:val="clear" w:color="auto" w:fill="auto"/>
            <w:noWrap/>
            <w:vAlign w:val="bottom"/>
          </w:tcPr>
          <w:p w14:paraId="0308AA90" w14:textId="77777777" w:rsidR="00772EC3" w:rsidRPr="00702148" w:rsidRDefault="00772EC3" w:rsidP="003C405A">
            <w:pPr>
              <w:spacing w:after="0"/>
              <w:jc w:val="right"/>
              <w:rPr>
                <w:noProof/>
                <w:color w:val="000000"/>
              </w:rPr>
            </w:pPr>
            <w:r>
              <w:rPr>
                <w:noProof/>
                <w:color w:val="000000"/>
              </w:rPr>
              <w:t>5,2 %</w:t>
            </w:r>
          </w:p>
        </w:tc>
        <w:tc>
          <w:tcPr>
            <w:tcW w:w="2376" w:type="dxa"/>
            <w:shd w:val="clear" w:color="auto" w:fill="auto"/>
            <w:noWrap/>
            <w:vAlign w:val="bottom"/>
          </w:tcPr>
          <w:p w14:paraId="7E841194" w14:textId="77777777" w:rsidR="00772EC3" w:rsidRPr="00702148" w:rsidRDefault="00772EC3" w:rsidP="003C405A">
            <w:pPr>
              <w:spacing w:after="0"/>
              <w:jc w:val="right"/>
              <w:rPr>
                <w:noProof/>
                <w:color w:val="000000"/>
              </w:rPr>
            </w:pPr>
            <w:r>
              <w:rPr>
                <w:noProof/>
                <w:color w:val="000000"/>
              </w:rPr>
              <w:t>–0,2 %</w:t>
            </w:r>
          </w:p>
        </w:tc>
      </w:tr>
      <w:tr w:rsidR="00772EC3" w:rsidRPr="004C6A35" w14:paraId="568F4AD6" w14:textId="77777777" w:rsidTr="0014353A">
        <w:trPr>
          <w:trHeight w:val="300"/>
        </w:trPr>
        <w:tc>
          <w:tcPr>
            <w:tcW w:w="1437" w:type="dxa"/>
            <w:shd w:val="clear" w:color="auto" w:fill="auto"/>
            <w:noWrap/>
            <w:vAlign w:val="bottom"/>
          </w:tcPr>
          <w:p w14:paraId="330B7A2F" w14:textId="77777777" w:rsidR="00772EC3" w:rsidRPr="00702148" w:rsidRDefault="00772EC3" w:rsidP="003C405A">
            <w:pPr>
              <w:spacing w:after="0"/>
              <w:rPr>
                <w:noProof/>
                <w:color w:val="000000"/>
              </w:rPr>
            </w:pPr>
            <w:r>
              <w:rPr>
                <w:noProof/>
                <w:color w:val="000000"/>
              </w:rPr>
              <w:t>AT</w:t>
            </w:r>
          </w:p>
        </w:tc>
        <w:tc>
          <w:tcPr>
            <w:tcW w:w="2563" w:type="dxa"/>
            <w:shd w:val="clear" w:color="auto" w:fill="auto"/>
            <w:noWrap/>
            <w:vAlign w:val="bottom"/>
          </w:tcPr>
          <w:p w14:paraId="5A5B29CD" w14:textId="77777777" w:rsidR="00772EC3" w:rsidRPr="00702148" w:rsidRDefault="00772EC3" w:rsidP="003C405A">
            <w:pPr>
              <w:spacing w:after="0"/>
              <w:jc w:val="right"/>
              <w:rPr>
                <w:noProof/>
                <w:color w:val="000000"/>
              </w:rPr>
            </w:pPr>
            <w:r>
              <w:rPr>
                <w:noProof/>
                <w:color w:val="000000"/>
              </w:rPr>
              <w:t>–5,9 %</w:t>
            </w:r>
          </w:p>
        </w:tc>
        <w:tc>
          <w:tcPr>
            <w:tcW w:w="2510" w:type="dxa"/>
            <w:shd w:val="clear" w:color="auto" w:fill="auto"/>
            <w:noWrap/>
            <w:vAlign w:val="bottom"/>
          </w:tcPr>
          <w:p w14:paraId="765F774F" w14:textId="77777777" w:rsidR="00772EC3" w:rsidRPr="00702148" w:rsidRDefault="00772EC3" w:rsidP="003C405A">
            <w:pPr>
              <w:spacing w:after="0"/>
              <w:jc w:val="right"/>
              <w:rPr>
                <w:noProof/>
                <w:color w:val="000000"/>
              </w:rPr>
            </w:pPr>
            <w:r>
              <w:rPr>
                <w:noProof/>
                <w:color w:val="000000"/>
              </w:rPr>
              <w:t>2,4 %</w:t>
            </w:r>
          </w:p>
        </w:tc>
        <w:tc>
          <w:tcPr>
            <w:tcW w:w="2376" w:type="dxa"/>
            <w:shd w:val="clear" w:color="auto" w:fill="auto"/>
            <w:noWrap/>
            <w:vAlign w:val="bottom"/>
          </w:tcPr>
          <w:p w14:paraId="477109BC" w14:textId="77777777" w:rsidR="00772EC3" w:rsidRPr="00702148" w:rsidRDefault="00772EC3" w:rsidP="003C405A">
            <w:pPr>
              <w:spacing w:after="0"/>
              <w:jc w:val="right"/>
              <w:rPr>
                <w:noProof/>
                <w:color w:val="000000"/>
              </w:rPr>
            </w:pPr>
            <w:r>
              <w:rPr>
                <w:noProof/>
                <w:color w:val="000000"/>
              </w:rPr>
              <w:t>–0,1 %</w:t>
            </w:r>
          </w:p>
        </w:tc>
      </w:tr>
      <w:tr w:rsidR="00772EC3" w:rsidRPr="004C6A35" w14:paraId="0E632CDC" w14:textId="77777777" w:rsidTr="0014353A">
        <w:trPr>
          <w:trHeight w:val="300"/>
        </w:trPr>
        <w:tc>
          <w:tcPr>
            <w:tcW w:w="1437" w:type="dxa"/>
            <w:shd w:val="clear" w:color="auto" w:fill="auto"/>
            <w:noWrap/>
            <w:vAlign w:val="bottom"/>
          </w:tcPr>
          <w:p w14:paraId="5236CFE7" w14:textId="77777777" w:rsidR="00772EC3" w:rsidRPr="00702148" w:rsidRDefault="00772EC3" w:rsidP="003C405A">
            <w:pPr>
              <w:spacing w:after="0"/>
              <w:rPr>
                <w:noProof/>
                <w:color w:val="000000"/>
              </w:rPr>
            </w:pPr>
            <w:r>
              <w:rPr>
                <w:noProof/>
                <w:color w:val="000000"/>
              </w:rPr>
              <w:t>PL</w:t>
            </w:r>
          </w:p>
        </w:tc>
        <w:tc>
          <w:tcPr>
            <w:tcW w:w="2563" w:type="dxa"/>
            <w:shd w:val="clear" w:color="auto" w:fill="auto"/>
            <w:noWrap/>
            <w:vAlign w:val="bottom"/>
          </w:tcPr>
          <w:p w14:paraId="1BD2BACB" w14:textId="77777777" w:rsidR="00772EC3" w:rsidRPr="00702148" w:rsidRDefault="00772EC3" w:rsidP="003C405A">
            <w:pPr>
              <w:spacing w:after="0"/>
              <w:jc w:val="right"/>
              <w:rPr>
                <w:noProof/>
                <w:color w:val="000000"/>
              </w:rPr>
            </w:pPr>
            <w:r>
              <w:rPr>
                <w:noProof/>
                <w:color w:val="000000"/>
              </w:rPr>
              <w:t>–10,9 %</w:t>
            </w:r>
          </w:p>
        </w:tc>
        <w:tc>
          <w:tcPr>
            <w:tcW w:w="2510" w:type="dxa"/>
            <w:shd w:val="clear" w:color="auto" w:fill="auto"/>
            <w:noWrap/>
            <w:vAlign w:val="bottom"/>
          </w:tcPr>
          <w:p w14:paraId="7E54CA78" w14:textId="77777777" w:rsidR="00772EC3" w:rsidRPr="00702148" w:rsidRDefault="00772EC3" w:rsidP="003C405A">
            <w:pPr>
              <w:spacing w:after="0"/>
              <w:jc w:val="right"/>
              <w:rPr>
                <w:noProof/>
                <w:color w:val="000000"/>
              </w:rPr>
            </w:pPr>
            <w:r>
              <w:rPr>
                <w:noProof/>
                <w:color w:val="000000"/>
              </w:rPr>
              <w:t>6,6 %</w:t>
            </w:r>
          </w:p>
        </w:tc>
        <w:tc>
          <w:tcPr>
            <w:tcW w:w="2376" w:type="dxa"/>
            <w:shd w:val="clear" w:color="auto" w:fill="auto"/>
            <w:noWrap/>
            <w:vAlign w:val="bottom"/>
          </w:tcPr>
          <w:p w14:paraId="15E85DCD" w14:textId="77777777" w:rsidR="00772EC3" w:rsidRPr="00702148" w:rsidRDefault="00772EC3" w:rsidP="003C405A">
            <w:pPr>
              <w:spacing w:after="0"/>
              <w:jc w:val="right"/>
              <w:rPr>
                <w:noProof/>
                <w:color w:val="000000"/>
              </w:rPr>
            </w:pPr>
            <w:r>
              <w:rPr>
                <w:noProof/>
                <w:color w:val="000000"/>
              </w:rPr>
              <w:t>–0,7 %</w:t>
            </w:r>
          </w:p>
        </w:tc>
      </w:tr>
      <w:tr w:rsidR="00772EC3" w:rsidRPr="004C6A35" w14:paraId="2F1C3413" w14:textId="77777777" w:rsidTr="0014353A">
        <w:trPr>
          <w:trHeight w:val="300"/>
        </w:trPr>
        <w:tc>
          <w:tcPr>
            <w:tcW w:w="1437" w:type="dxa"/>
            <w:shd w:val="clear" w:color="auto" w:fill="auto"/>
            <w:noWrap/>
            <w:vAlign w:val="bottom"/>
          </w:tcPr>
          <w:p w14:paraId="0DBCADEB" w14:textId="77777777" w:rsidR="00772EC3" w:rsidRPr="00702148" w:rsidRDefault="00772EC3" w:rsidP="003C405A">
            <w:pPr>
              <w:spacing w:after="0"/>
              <w:rPr>
                <w:noProof/>
                <w:color w:val="000000"/>
              </w:rPr>
            </w:pPr>
            <w:r>
              <w:rPr>
                <w:noProof/>
                <w:color w:val="000000"/>
              </w:rPr>
              <w:t>PT</w:t>
            </w:r>
          </w:p>
        </w:tc>
        <w:tc>
          <w:tcPr>
            <w:tcW w:w="2563" w:type="dxa"/>
            <w:shd w:val="clear" w:color="auto" w:fill="auto"/>
            <w:noWrap/>
            <w:vAlign w:val="bottom"/>
          </w:tcPr>
          <w:p w14:paraId="1A68DA7A" w14:textId="77777777" w:rsidR="00772EC3" w:rsidRPr="00702148" w:rsidRDefault="00772EC3" w:rsidP="003C405A">
            <w:pPr>
              <w:spacing w:after="0"/>
              <w:jc w:val="right"/>
              <w:rPr>
                <w:noProof/>
                <w:color w:val="000000"/>
              </w:rPr>
            </w:pPr>
            <w:r>
              <w:rPr>
                <w:noProof/>
                <w:color w:val="000000"/>
              </w:rPr>
              <w:t>–6,1 %</w:t>
            </w:r>
          </w:p>
        </w:tc>
        <w:tc>
          <w:tcPr>
            <w:tcW w:w="2510" w:type="dxa"/>
            <w:shd w:val="clear" w:color="auto" w:fill="auto"/>
            <w:noWrap/>
            <w:vAlign w:val="bottom"/>
          </w:tcPr>
          <w:p w14:paraId="43924673" w14:textId="77777777" w:rsidR="00772EC3" w:rsidRPr="00702148" w:rsidRDefault="00772EC3" w:rsidP="003C405A">
            <w:pPr>
              <w:spacing w:after="0"/>
              <w:jc w:val="right"/>
              <w:rPr>
                <w:noProof/>
                <w:color w:val="000000"/>
              </w:rPr>
            </w:pPr>
            <w:r>
              <w:rPr>
                <w:noProof/>
                <w:color w:val="000000"/>
              </w:rPr>
              <w:t>1,7 %</w:t>
            </w:r>
          </w:p>
        </w:tc>
        <w:tc>
          <w:tcPr>
            <w:tcW w:w="2376" w:type="dxa"/>
            <w:shd w:val="clear" w:color="auto" w:fill="auto"/>
            <w:noWrap/>
            <w:vAlign w:val="bottom"/>
          </w:tcPr>
          <w:p w14:paraId="5DA5723B" w14:textId="77777777" w:rsidR="00772EC3" w:rsidRPr="00702148" w:rsidRDefault="00772EC3" w:rsidP="003C405A">
            <w:pPr>
              <w:spacing w:after="0"/>
              <w:jc w:val="right"/>
              <w:rPr>
                <w:noProof/>
                <w:color w:val="000000"/>
              </w:rPr>
            </w:pPr>
            <w:r>
              <w:rPr>
                <w:noProof/>
                <w:color w:val="000000"/>
              </w:rPr>
              <w:t>–0,1 %</w:t>
            </w:r>
          </w:p>
        </w:tc>
      </w:tr>
      <w:tr w:rsidR="00772EC3" w:rsidRPr="004C6A35" w14:paraId="0A351ED8" w14:textId="77777777" w:rsidTr="0014353A">
        <w:trPr>
          <w:trHeight w:val="300"/>
        </w:trPr>
        <w:tc>
          <w:tcPr>
            <w:tcW w:w="1437" w:type="dxa"/>
            <w:shd w:val="clear" w:color="auto" w:fill="auto"/>
            <w:noWrap/>
            <w:vAlign w:val="bottom"/>
          </w:tcPr>
          <w:p w14:paraId="6806934B" w14:textId="77777777" w:rsidR="00772EC3" w:rsidRPr="00702148" w:rsidRDefault="00772EC3" w:rsidP="003C405A">
            <w:pPr>
              <w:spacing w:after="0"/>
              <w:rPr>
                <w:noProof/>
                <w:color w:val="000000"/>
              </w:rPr>
            </w:pPr>
            <w:r>
              <w:rPr>
                <w:noProof/>
                <w:color w:val="000000"/>
              </w:rPr>
              <w:t>RO</w:t>
            </w:r>
          </w:p>
        </w:tc>
        <w:tc>
          <w:tcPr>
            <w:tcW w:w="2563" w:type="dxa"/>
            <w:shd w:val="clear" w:color="auto" w:fill="auto"/>
            <w:noWrap/>
            <w:vAlign w:val="bottom"/>
          </w:tcPr>
          <w:p w14:paraId="5F4D8EA5" w14:textId="77777777" w:rsidR="00772EC3" w:rsidRPr="00702148" w:rsidRDefault="00772EC3" w:rsidP="003C405A">
            <w:pPr>
              <w:spacing w:after="0"/>
              <w:jc w:val="right"/>
              <w:rPr>
                <w:noProof/>
                <w:color w:val="000000"/>
              </w:rPr>
            </w:pPr>
            <w:r>
              <w:rPr>
                <w:noProof/>
                <w:color w:val="000000"/>
              </w:rPr>
              <w:t>–8,1 %</w:t>
            </w:r>
          </w:p>
        </w:tc>
        <w:tc>
          <w:tcPr>
            <w:tcW w:w="2510" w:type="dxa"/>
            <w:shd w:val="clear" w:color="auto" w:fill="auto"/>
            <w:noWrap/>
            <w:vAlign w:val="bottom"/>
          </w:tcPr>
          <w:p w14:paraId="3D662715" w14:textId="77777777" w:rsidR="00772EC3" w:rsidRPr="00702148" w:rsidRDefault="00772EC3" w:rsidP="003C405A">
            <w:pPr>
              <w:spacing w:after="0"/>
              <w:jc w:val="right"/>
              <w:rPr>
                <w:noProof/>
                <w:color w:val="000000"/>
              </w:rPr>
            </w:pPr>
            <w:r>
              <w:rPr>
                <w:noProof/>
                <w:color w:val="000000"/>
              </w:rPr>
              <w:t>3,1 %</w:t>
            </w:r>
          </w:p>
        </w:tc>
        <w:tc>
          <w:tcPr>
            <w:tcW w:w="2376" w:type="dxa"/>
            <w:shd w:val="clear" w:color="auto" w:fill="auto"/>
            <w:noWrap/>
            <w:vAlign w:val="bottom"/>
          </w:tcPr>
          <w:p w14:paraId="12F633FD" w14:textId="77777777" w:rsidR="00772EC3" w:rsidRPr="00702148" w:rsidRDefault="00772EC3" w:rsidP="003C405A">
            <w:pPr>
              <w:spacing w:after="0"/>
              <w:jc w:val="right"/>
              <w:rPr>
                <w:noProof/>
                <w:color w:val="000000"/>
              </w:rPr>
            </w:pPr>
            <w:r>
              <w:rPr>
                <w:noProof/>
                <w:color w:val="000000"/>
              </w:rPr>
              <w:t>–0,3 %</w:t>
            </w:r>
          </w:p>
        </w:tc>
      </w:tr>
      <w:tr w:rsidR="00772EC3" w:rsidRPr="004C6A35" w14:paraId="48020195" w14:textId="77777777" w:rsidTr="0014353A">
        <w:trPr>
          <w:trHeight w:val="300"/>
        </w:trPr>
        <w:tc>
          <w:tcPr>
            <w:tcW w:w="1437" w:type="dxa"/>
            <w:shd w:val="clear" w:color="auto" w:fill="auto"/>
            <w:noWrap/>
            <w:vAlign w:val="bottom"/>
          </w:tcPr>
          <w:p w14:paraId="32ED0535" w14:textId="77777777" w:rsidR="00772EC3" w:rsidRPr="00702148" w:rsidRDefault="00772EC3" w:rsidP="003C405A">
            <w:pPr>
              <w:spacing w:after="0"/>
              <w:rPr>
                <w:noProof/>
                <w:color w:val="000000"/>
              </w:rPr>
            </w:pPr>
            <w:r>
              <w:rPr>
                <w:noProof/>
                <w:color w:val="000000"/>
              </w:rPr>
              <w:t>SI</w:t>
            </w:r>
          </w:p>
        </w:tc>
        <w:tc>
          <w:tcPr>
            <w:tcW w:w="2563" w:type="dxa"/>
            <w:shd w:val="clear" w:color="auto" w:fill="auto"/>
            <w:noWrap/>
            <w:vAlign w:val="bottom"/>
          </w:tcPr>
          <w:p w14:paraId="49ED99B2" w14:textId="77777777" w:rsidR="00772EC3" w:rsidRPr="00702148" w:rsidRDefault="00772EC3" w:rsidP="003C405A">
            <w:pPr>
              <w:spacing w:after="0"/>
              <w:jc w:val="right"/>
              <w:rPr>
                <w:noProof/>
                <w:color w:val="000000"/>
              </w:rPr>
            </w:pPr>
            <w:r>
              <w:rPr>
                <w:noProof/>
                <w:color w:val="000000"/>
              </w:rPr>
              <w:t>–7,4 %</w:t>
            </w:r>
          </w:p>
        </w:tc>
        <w:tc>
          <w:tcPr>
            <w:tcW w:w="2510" w:type="dxa"/>
            <w:shd w:val="clear" w:color="auto" w:fill="auto"/>
            <w:noWrap/>
            <w:vAlign w:val="bottom"/>
          </w:tcPr>
          <w:p w14:paraId="3B2E1A88" w14:textId="77777777" w:rsidR="00772EC3" w:rsidRPr="00702148" w:rsidRDefault="00772EC3" w:rsidP="003C405A">
            <w:pPr>
              <w:spacing w:after="0"/>
              <w:jc w:val="right"/>
              <w:rPr>
                <w:noProof/>
                <w:color w:val="000000"/>
              </w:rPr>
            </w:pPr>
            <w:r>
              <w:rPr>
                <w:noProof/>
                <w:color w:val="000000"/>
              </w:rPr>
              <w:t>0,4 %</w:t>
            </w:r>
          </w:p>
        </w:tc>
        <w:tc>
          <w:tcPr>
            <w:tcW w:w="2376" w:type="dxa"/>
            <w:shd w:val="clear" w:color="auto" w:fill="auto"/>
            <w:noWrap/>
            <w:vAlign w:val="bottom"/>
          </w:tcPr>
          <w:p w14:paraId="72BC9737" w14:textId="77777777" w:rsidR="00772EC3" w:rsidRPr="00702148" w:rsidRDefault="00772EC3" w:rsidP="003C405A">
            <w:pPr>
              <w:spacing w:after="0"/>
              <w:jc w:val="right"/>
              <w:rPr>
                <w:noProof/>
                <w:color w:val="000000"/>
              </w:rPr>
            </w:pPr>
            <w:r>
              <w:rPr>
                <w:noProof/>
                <w:color w:val="000000"/>
              </w:rPr>
              <w:t>0,0 %</w:t>
            </w:r>
          </w:p>
        </w:tc>
      </w:tr>
      <w:tr w:rsidR="00772EC3" w:rsidRPr="004C6A35" w14:paraId="08EC55DD" w14:textId="77777777" w:rsidTr="0014353A">
        <w:trPr>
          <w:trHeight w:val="300"/>
        </w:trPr>
        <w:tc>
          <w:tcPr>
            <w:tcW w:w="1437" w:type="dxa"/>
            <w:shd w:val="clear" w:color="auto" w:fill="auto"/>
            <w:noWrap/>
            <w:vAlign w:val="bottom"/>
          </w:tcPr>
          <w:p w14:paraId="10037A7D" w14:textId="77777777" w:rsidR="00772EC3" w:rsidRPr="00702148" w:rsidRDefault="00772EC3" w:rsidP="003C405A">
            <w:pPr>
              <w:spacing w:after="0"/>
              <w:rPr>
                <w:noProof/>
                <w:color w:val="000000"/>
              </w:rPr>
            </w:pPr>
            <w:r>
              <w:rPr>
                <w:noProof/>
                <w:color w:val="000000"/>
              </w:rPr>
              <w:t>SK</w:t>
            </w:r>
          </w:p>
        </w:tc>
        <w:tc>
          <w:tcPr>
            <w:tcW w:w="2563" w:type="dxa"/>
            <w:shd w:val="clear" w:color="auto" w:fill="auto"/>
            <w:noWrap/>
            <w:vAlign w:val="bottom"/>
          </w:tcPr>
          <w:p w14:paraId="707EBA37" w14:textId="77777777" w:rsidR="00772EC3" w:rsidRPr="00702148" w:rsidRDefault="00772EC3" w:rsidP="003C405A">
            <w:pPr>
              <w:spacing w:after="0"/>
              <w:jc w:val="right"/>
              <w:rPr>
                <w:noProof/>
                <w:color w:val="000000"/>
              </w:rPr>
            </w:pPr>
            <w:r>
              <w:rPr>
                <w:noProof/>
                <w:color w:val="000000"/>
              </w:rPr>
              <w:t>–6,5 %</w:t>
            </w:r>
          </w:p>
        </w:tc>
        <w:tc>
          <w:tcPr>
            <w:tcW w:w="2510" w:type="dxa"/>
            <w:shd w:val="clear" w:color="auto" w:fill="auto"/>
            <w:noWrap/>
            <w:vAlign w:val="bottom"/>
          </w:tcPr>
          <w:p w14:paraId="48BAC1A6" w14:textId="77777777" w:rsidR="00772EC3" w:rsidRPr="00702148" w:rsidRDefault="00772EC3" w:rsidP="003C405A">
            <w:pPr>
              <w:spacing w:after="0"/>
              <w:jc w:val="right"/>
              <w:rPr>
                <w:noProof/>
                <w:color w:val="000000"/>
              </w:rPr>
            </w:pPr>
            <w:r>
              <w:rPr>
                <w:noProof/>
                <w:color w:val="000000"/>
              </w:rPr>
              <w:t>0,8 %</w:t>
            </w:r>
          </w:p>
        </w:tc>
        <w:tc>
          <w:tcPr>
            <w:tcW w:w="2376" w:type="dxa"/>
            <w:shd w:val="clear" w:color="auto" w:fill="auto"/>
            <w:noWrap/>
            <w:vAlign w:val="bottom"/>
          </w:tcPr>
          <w:p w14:paraId="3FA3C5E9" w14:textId="77777777" w:rsidR="00772EC3" w:rsidRPr="00702148" w:rsidRDefault="00772EC3" w:rsidP="003C405A">
            <w:pPr>
              <w:spacing w:after="0"/>
              <w:jc w:val="right"/>
              <w:rPr>
                <w:noProof/>
                <w:color w:val="000000"/>
              </w:rPr>
            </w:pPr>
            <w:r>
              <w:rPr>
                <w:noProof/>
                <w:color w:val="000000"/>
              </w:rPr>
              <w:t>–0,1 %</w:t>
            </w:r>
          </w:p>
        </w:tc>
      </w:tr>
      <w:tr w:rsidR="00772EC3" w:rsidRPr="004C6A35" w14:paraId="0BC24B45" w14:textId="77777777" w:rsidTr="0014353A">
        <w:trPr>
          <w:trHeight w:val="300"/>
        </w:trPr>
        <w:tc>
          <w:tcPr>
            <w:tcW w:w="1437" w:type="dxa"/>
            <w:shd w:val="clear" w:color="auto" w:fill="auto"/>
            <w:noWrap/>
            <w:vAlign w:val="bottom"/>
          </w:tcPr>
          <w:p w14:paraId="6DA6A712" w14:textId="77777777" w:rsidR="00772EC3" w:rsidRPr="00702148" w:rsidRDefault="00772EC3" w:rsidP="003C405A">
            <w:pPr>
              <w:spacing w:after="0"/>
              <w:rPr>
                <w:noProof/>
                <w:color w:val="000000"/>
              </w:rPr>
            </w:pPr>
            <w:r>
              <w:rPr>
                <w:noProof/>
                <w:color w:val="000000"/>
              </w:rPr>
              <w:t>FI</w:t>
            </w:r>
          </w:p>
        </w:tc>
        <w:tc>
          <w:tcPr>
            <w:tcW w:w="2563" w:type="dxa"/>
            <w:shd w:val="clear" w:color="auto" w:fill="auto"/>
            <w:noWrap/>
            <w:vAlign w:val="bottom"/>
          </w:tcPr>
          <w:p w14:paraId="2D6448B0" w14:textId="77777777" w:rsidR="00772EC3" w:rsidRPr="00702148" w:rsidRDefault="00772EC3" w:rsidP="003C405A">
            <w:pPr>
              <w:spacing w:after="0"/>
              <w:jc w:val="right"/>
              <w:rPr>
                <w:noProof/>
                <w:color w:val="000000"/>
              </w:rPr>
            </w:pPr>
            <w:r>
              <w:rPr>
                <w:noProof/>
                <w:color w:val="000000"/>
              </w:rPr>
              <w:t>–5,5 %</w:t>
            </w:r>
          </w:p>
        </w:tc>
        <w:tc>
          <w:tcPr>
            <w:tcW w:w="2510" w:type="dxa"/>
            <w:shd w:val="clear" w:color="auto" w:fill="auto"/>
            <w:noWrap/>
            <w:vAlign w:val="bottom"/>
          </w:tcPr>
          <w:p w14:paraId="7B45582F" w14:textId="77777777" w:rsidR="00772EC3" w:rsidRPr="00702148" w:rsidRDefault="00772EC3" w:rsidP="003C405A">
            <w:pPr>
              <w:spacing w:after="0"/>
              <w:jc w:val="right"/>
              <w:rPr>
                <w:noProof/>
                <w:color w:val="000000"/>
              </w:rPr>
            </w:pPr>
            <w:r>
              <w:rPr>
                <w:noProof/>
                <w:color w:val="000000"/>
              </w:rPr>
              <w:t>1,4 %</w:t>
            </w:r>
          </w:p>
        </w:tc>
        <w:tc>
          <w:tcPr>
            <w:tcW w:w="2376" w:type="dxa"/>
            <w:shd w:val="clear" w:color="auto" w:fill="auto"/>
            <w:noWrap/>
            <w:vAlign w:val="bottom"/>
          </w:tcPr>
          <w:p w14:paraId="2E54F185" w14:textId="77777777" w:rsidR="00772EC3" w:rsidRPr="00702148" w:rsidRDefault="00772EC3" w:rsidP="003C405A">
            <w:pPr>
              <w:spacing w:after="0"/>
              <w:jc w:val="right"/>
              <w:rPr>
                <w:noProof/>
                <w:color w:val="000000"/>
              </w:rPr>
            </w:pPr>
            <w:r>
              <w:rPr>
                <w:noProof/>
                <w:color w:val="000000"/>
              </w:rPr>
              <w:t>–0,1 %</w:t>
            </w:r>
          </w:p>
        </w:tc>
      </w:tr>
      <w:tr w:rsidR="00772EC3" w:rsidRPr="004C6A35" w14:paraId="2B43AB63" w14:textId="77777777" w:rsidTr="0014353A">
        <w:trPr>
          <w:trHeight w:val="300"/>
        </w:trPr>
        <w:tc>
          <w:tcPr>
            <w:tcW w:w="1437" w:type="dxa"/>
            <w:shd w:val="clear" w:color="auto" w:fill="auto"/>
            <w:noWrap/>
            <w:vAlign w:val="bottom"/>
          </w:tcPr>
          <w:p w14:paraId="37CE4246" w14:textId="77777777" w:rsidR="00772EC3" w:rsidRPr="00702148" w:rsidRDefault="00772EC3" w:rsidP="003C405A">
            <w:pPr>
              <w:spacing w:after="0"/>
              <w:rPr>
                <w:noProof/>
                <w:color w:val="000000"/>
              </w:rPr>
            </w:pPr>
            <w:r>
              <w:rPr>
                <w:noProof/>
                <w:color w:val="000000"/>
              </w:rPr>
              <w:t>SE</w:t>
            </w:r>
          </w:p>
        </w:tc>
        <w:tc>
          <w:tcPr>
            <w:tcW w:w="2563" w:type="dxa"/>
            <w:shd w:val="clear" w:color="auto" w:fill="auto"/>
            <w:noWrap/>
            <w:vAlign w:val="bottom"/>
          </w:tcPr>
          <w:p w14:paraId="7ED157B6" w14:textId="77777777" w:rsidR="00772EC3" w:rsidRPr="00702148" w:rsidRDefault="00772EC3" w:rsidP="003C405A">
            <w:pPr>
              <w:spacing w:after="0"/>
              <w:jc w:val="right"/>
              <w:rPr>
                <w:noProof/>
                <w:color w:val="000000"/>
              </w:rPr>
            </w:pPr>
            <w:r>
              <w:rPr>
                <w:noProof/>
                <w:color w:val="000000"/>
              </w:rPr>
              <w:t>–4,3 %</w:t>
            </w:r>
          </w:p>
        </w:tc>
        <w:tc>
          <w:tcPr>
            <w:tcW w:w="2510" w:type="dxa"/>
            <w:shd w:val="clear" w:color="auto" w:fill="auto"/>
            <w:noWrap/>
            <w:vAlign w:val="bottom"/>
          </w:tcPr>
          <w:p w14:paraId="401ECA9E" w14:textId="77777777" w:rsidR="00772EC3" w:rsidRPr="00702148" w:rsidRDefault="00772EC3" w:rsidP="003C405A">
            <w:pPr>
              <w:spacing w:after="0"/>
              <w:jc w:val="right"/>
              <w:rPr>
                <w:noProof/>
                <w:color w:val="000000"/>
              </w:rPr>
            </w:pPr>
            <w:r>
              <w:rPr>
                <w:noProof/>
                <w:color w:val="000000"/>
              </w:rPr>
              <w:t>2,9 %</w:t>
            </w:r>
          </w:p>
        </w:tc>
        <w:tc>
          <w:tcPr>
            <w:tcW w:w="2376" w:type="dxa"/>
            <w:shd w:val="clear" w:color="auto" w:fill="auto"/>
            <w:noWrap/>
            <w:vAlign w:val="bottom"/>
          </w:tcPr>
          <w:p w14:paraId="784FDFA5" w14:textId="77777777" w:rsidR="00772EC3" w:rsidRPr="00702148" w:rsidRDefault="00772EC3" w:rsidP="003C405A">
            <w:pPr>
              <w:spacing w:after="0"/>
              <w:jc w:val="right"/>
              <w:rPr>
                <w:noProof/>
                <w:color w:val="000000"/>
              </w:rPr>
            </w:pPr>
            <w:r>
              <w:rPr>
                <w:noProof/>
                <w:color w:val="000000"/>
              </w:rPr>
              <w:t>–0,1 %</w:t>
            </w:r>
          </w:p>
        </w:tc>
      </w:tr>
    </w:tbl>
    <w:p w14:paraId="5E12C4E9" w14:textId="77777777" w:rsidR="00772EC3" w:rsidRPr="00702148" w:rsidRDefault="00772EC3" w:rsidP="00245D7E">
      <w:pPr>
        <w:tabs>
          <w:tab w:val="right" w:pos="8647"/>
        </w:tabs>
        <w:spacing w:after="200" w:line="276" w:lineRule="auto"/>
        <w:rPr>
          <w:b/>
          <w:bCs/>
          <w:i/>
          <w:iCs/>
          <w:noProof/>
          <w:szCs w:val="24"/>
        </w:rPr>
      </w:pPr>
      <w:r>
        <w:rPr>
          <w:b/>
          <w:i/>
          <w:noProof/>
        </w:rPr>
        <w:tab/>
        <w:t>Kokonaisindikaattori vuosina 2021–2022: –4,6 %</w:t>
      </w:r>
    </w:p>
    <w:p w14:paraId="11191795" w14:textId="77777777" w:rsidR="00772EC3" w:rsidRPr="00702148" w:rsidRDefault="00772EC3" w:rsidP="00245D7E">
      <w:pPr>
        <w:spacing w:after="200" w:line="276" w:lineRule="auto"/>
        <w:rPr>
          <w:b/>
          <w:bCs/>
          <w:i/>
          <w:iCs/>
          <w:noProof/>
          <w:szCs w:val="24"/>
        </w:rPr>
      </w:pPr>
      <w:r>
        <w:rPr>
          <w:noProof/>
        </w:rPr>
        <w:br w:type="page"/>
      </w:r>
    </w:p>
    <w:p w14:paraId="0AAA690D" w14:textId="77777777" w:rsidR="00772EC3" w:rsidRPr="00702148" w:rsidRDefault="00772EC3" w:rsidP="00245D7E">
      <w:pPr>
        <w:tabs>
          <w:tab w:val="right" w:pos="8647"/>
        </w:tabs>
        <w:spacing w:after="200" w:line="276" w:lineRule="auto"/>
        <w:rPr>
          <w:b/>
          <w:bCs/>
          <w:i/>
          <w:iCs/>
          <w:noProof/>
          <w:szCs w:val="24"/>
        </w:rPr>
      </w:pPr>
      <w:r>
        <w:rPr>
          <w:b/>
          <w:i/>
          <w:noProof/>
        </w:rPr>
        <w:t>2022–2023</w:t>
      </w:r>
    </w:p>
    <w:tbl>
      <w:tblPr>
        <w:tblStyle w:val="TableGrid"/>
        <w:tblW w:w="87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26"/>
        <w:gridCol w:w="2362"/>
        <w:gridCol w:w="2468"/>
        <w:gridCol w:w="2509"/>
      </w:tblGrid>
      <w:tr w:rsidR="00772EC3" w:rsidRPr="004C6A35" w14:paraId="10378C75" w14:textId="77777777" w:rsidTr="000D3D8F">
        <w:trPr>
          <w:trHeight w:val="300"/>
        </w:trPr>
        <w:tc>
          <w:tcPr>
            <w:tcW w:w="1426" w:type="dxa"/>
            <w:shd w:val="clear" w:color="auto" w:fill="auto"/>
            <w:noWrap/>
            <w:vAlign w:val="bottom"/>
          </w:tcPr>
          <w:p w14:paraId="468CDADC" w14:textId="77777777" w:rsidR="00772EC3" w:rsidRPr="00702148" w:rsidRDefault="00772EC3" w:rsidP="003C405A">
            <w:pPr>
              <w:spacing w:after="0"/>
              <w:rPr>
                <w:noProof/>
                <w:color w:val="000000"/>
              </w:rPr>
            </w:pPr>
            <w:r>
              <w:rPr>
                <w:noProof/>
                <w:color w:val="000000"/>
              </w:rPr>
              <w:t>Jäsenvaltio</w:t>
            </w:r>
          </w:p>
        </w:tc>
        <w:tc>
          <w:tcPr>
            <w:tcW w:w="2362" w:type="dxa"/>
            <w:shd w:val="clear" w:color="auto" w:fill="auto"/>
            <w:noWrap/>
            <w:vAlign w:val="bottom"/>
          </w:tcPr>
          <w:p w14:paraId="24B4FA2C" w14:textId="77777777" w:rsidR="00772EC3" w:rsidRPr="00702148" w:rsidRDefault="00772EC3" w:rsidP="003C405A">
            <w:pPr>
              <w:spacing w:after="0"/>
              <w:rPr>
                <w:noProof/>
                <w:color w:val="000000"/>
              </w:rPr>
            </w:pPr>
            <w:r>
              <w:rPr>
                <w:noProof/>
                <w:color w:val="000000"/>
              </w:rPr>
              <w:t>Reaalisen nettopalkan indikaattori</w:t>
            </w:r>
          </w:p>
        </w:tc>
        <w:tc>
          <w:tcPr>
            <w:tcW w:w="2468" w:type="dxa"/>
            <w:shd w:val="clear" w:color="auto" w:fill="auto"/>
            <w:noWrap/>
            <w:vAlign w:val="bottom"/>
          </w:tcPr>
          <w:p w14:paraId="4DEE3211" w14:textId="77777777" w:rsidR="00772EC3" w:rsidRPr="00933599" w:rsidRDefault="00772EC3" w:rsidP="003C405A">
            <w:pPr>
              <w:spacing w:after="0"/>
              <w:rPr>
                <w:noProof/>
                <w:color w:val="000000"/>
              </w:rPr>
            </w:pPr>
            <w:r>
              <w:rPr>
                <w:noProof/>
                <w:color w:val="000000"/>
              </w:rPr>
              <w:t>BKT-painotus OVS:nä (EU27=100)</w:t>
            </w:r>
          </w:p>
        </w:tc>
        <w:tc>
          <w:tcPr>
            <w:tcW w:w="2509" w:type="dxa"/>
            <w:shd w:val="clear" w:color="auto" w:fill="auto"/>
            <w:noWrap/>
            <w:vAlign w:val="bottom"/>
          </w:tcPr>
          <w:p w14:paraId="460385F9" w14:textId="77777777" w:rsidR="00772EC3" w:rsidRPr="00702148" w:rsidRDefault="00772EC3" w:rsidP="003C405A">
            <w:pPr>
              <w:spacing w:after="0"/>
              <w:rPr>
                <w:noProof/>
                <w:color w:val="000000"/>
              </w:rPr>
            </w:pPr>
            <w:r>
              <w:rPr>
                <w:noProof/>
                <w:color w:val="000000"/>
              </w:rPr>
              <w:t>Vaikutus kokonaisindikaattoriin</w:t>
            </w:r>
          </w:p>
        </w:tc>
      </w:tr>
      <w:tr w:rsidR="00772EC3" w:rsidRPr="004C6A35" w14:paraId="7C66C3F0" w14:textId="77777777" w:rsidTr="000D3D8F">
        <w:trPr>
          <w:trHeight w:val="300"/>
        </w:trPr>
        <w:tc>
          <w:tcPr>
            <w:tcW w:w="1426" w:type="dxa"/>
            <w:shd w:val="clear" w:color="auto" w:fill="auto"/>
            <w:noWrap/>
            <w:vAlign w:val="bottom"/>
          </w:tcPr>
          <w:p w14:paraId="3E1426AB" w14:textId="77777777" w:rsidR="00772EC3" w:rsidRPr="00702148" w:rsidRDefault="00772EC3" w:rsidP="003C405A">
            <w:pPr>
              <w:spacing w:after="0"/>
              <w:rPr>
                <w:noProof/>
                <w:color w:val="000000"/>
                <w:lang w:eastAsia="en-IE"/>
              </w:rPr>
            </w:pPr>
          </w:p>
        </w:tc>
        <w:tc>
          <w:tcPr>
            <w:tcW w:w="2362" w:type="dxa"/>
            <w:shd w:val="clear" w:color="auto" w:fill="auto"/>
            <w:noWrap/>
            <w:vAlign w:val="bottom"/>
          </w:tcPr>
          <w:p w14:paraId="261C3082" w14:textId="77777777" w:rsidR="00772EC3" w:rsidRPr="00702148" w:rsidRDefault="00772EC3" w:rsidP="003C405A">
            <w:pPr>
              <w:spacing w:after="0"/>
              <w:rPr>
                <w:noProof/>
                <w:sz w:val="20"/>
                <w:lang w:eastAsia="en-IE"/>
              </w:rPr>
            </w:pPr>
          </w:p>
        </w:tc>
        <w:tc>
          <w:tcPr>
            <w:tcW w:w="2468" w:type="dxa"/>
            <w:shd w:val="clear" w:color="auto" w:fill="auto"/>
            <w:noWrap/>
            <w:vAlign w:val="bottom"/>
          </w:tcPr>
          <w:p w14:paraId="227DC285" w14:textId="77777777" w:rsidR="00772EC3" w:rsidRPr="00702148" w:rsidRDefault="00772EC3" w:rsidP="003C405A">
            <w:pPr>
              <w:spacing w:after="0"/>
              <w:rPr>
                <w:noProof/>
                <w:sz w:val="20"/>
                <w:lang w:eastAsia="en-IE"/>
              </w:rPr>
            </w:pPr>
          </w:p>
        </w:tc>
        <w:tc>
          <w:tcPr>
            <w:tcW w:w="2509" w:type="dxa"/>
            <w:shd w:val="clear" w:color="auto" w:fill="auto"/>
            <w:noWrap/>
            <w:vAlign w:val="bottom"/>
          </w:tcPr>
          <w:p w14:paraId="4D9C333F" w14:textId="77777777" w:rsidR="00772EC3" w:rsidRPr="00702148" w:rsidRDefault="00772EC3" w:rsidP="003C405A">
            <w:pPr>
              <w:spacing w:after="0"/>
              <w:rPr>
                <w:noProof/>
                <w:sz w:val="20"/>
                <w:lang w:eastAsia="en-IE"/>
              </w:rPr>
            </w:pPr>
          </w:p>
        </w:tc>
      </w:tr>
      <w:tr w:rsidR="00772EC3" w:rsidRPr="004C6A35" w14:paraId="4E153FD2" w14:textId="77777777" w:rsidTr="000D3D8F">
        <w:trPr>
          <w:trHeight w:val="300"/>
        </w:trPr>
        <w:tc>
          <w:tcPr>
            <w:tcW w:w="1426" w:type="dxa"/>
            <w:shd w:val="clear" w:color="auto" w:fill="auto"/>
            <w:noWrap/>
            <w:vAlign w:val="bottom"/>
          </w:tcPr>
          <w:p w14:paraId="0D77B60B" w14:textId="77777777" w:rsidR="00772EC3" w:rsidRPr="00702148" w:rsidRDefault="00772EC3" w:rsidP="003C405A">
            <w:pPr>
              <w:spacing w:after="0"/>
              <w:rPr>
                <w:noProof/>
                <w:color w:val="000000"/>
              </w:rPr>
            </w:pPr>
            <w:r>
              <w:rPr>
                <w:noProof/>
                <w:color w:val="000000"/>
              </w:rPr>
              <w:t>BE</w:t>
            </w:r>
          </w:p>
        </w:tc>
        <w:tc>
          <w:tcPr>
            <w:tcW w:w="2362" w:type="dxa"/>
            <w:shd w:val="clear" w:color="auto" w:fill="auto"/>
            <w:noWrap/>
            <w:vAlign w:val="bottom"/>
          </w:tcPr>
          <w:p w14:paraId="448F6E2E" w14:textId="77777777" w:rsidR="00772EC3" w:rsidRPr="00702148" w:rsidRDefault="00772EC3" w:rsidP="003C405A">
            <w:pPr>
              <w:spacing w:after="0"/>
              <w:jc w:val="right"/>
              <w:rPr>
                <w:noProof/>
                <w:color w:val="000000"/>
              </w:rPr>
            </w:pPr>
            <w:r>
              <w:rPr>
                <w:noProof/>
                <w:color w:val="000000"/>
              </w:rPr>
              <w:t>6,1 %</w:t>
            </w:r>
          </w:p>
        </w:tc>
        <w:tc>
          <w:tcPr>
            <w:tcW w:w="2468" w:type="dxa"/>
            <w:shd w:val="clear" w:color="auto" w:fill="auto"/>
            <w:noWrap/>
            <w:vAlign w:val="bottom"/>
          </w:tcPr>
          <w:p w14:paraId="4D82BEAA" w14:textId="77777777" w:rsidR="00772EC3" w:rsidRPr="00702148" w:rsidRDefault="00772EC3" w:rsidP="003C405A">
            <w:pPr>
              <w:spacing w:after="0"/>
              <w:jc w:val="right"/>
              <w:rPr>
                <w:noProof/>
                <w:color w:val="000000"/>
              </w:rPr>
            </w:pPr>
            <w:r>
              <w:rPr>
                <w:noProof/>
                <w:color w:val="000000"/>
              </w:rPr>
              <w:t>3,1 %</w:t>
            </w:r>
          </w:p>
        </w:tc>
        <w:tc>
          <w:tcPr>
            <w:tcW w:w="2509" w:type="dxa"/>
            <w:shd w:val="clear" w:color="auto" w:fill="auto"/>
            <w:noWrap/>
            <w:vAlign w:val="bottom"/>
          </w:tcPr>
          <w:p w14:paraId="2BD96570" w14:textId="77777777" w:rsidR="00772EC3" w:rsidRPr="00702148" w:rsidRDefault="00772EC3" w:rsidP="003C405A">
            <w:pPr>
              <w:spacing w:after="0"/>
              <w:jc w:val="right"/>
              <w:rPr>
                <w:noProof/>
                <w:color w:val="000000"/>
              </w:rPr>
            </w:pPr>
            <w:r>
              <w:rPr>
                <w:noProof/>
                <w:color w:val="000000"/>
              </w:rPr>
              <w:t>0,0 %</w:t>
            </w:r>
          </w:p>
        </w:tc>
      </w:tr>
      <w:tr w:rsidR="00772EC3" w:rsidRPr="004C6A35" w14:paraId="7C24B096" w14:textId="77777777" w:rsidTr="000D3D8F">
        <w:trPr>
          <w:trHeight w:val="300"/>
        </w:trPr>
        <w:tc>
          <w:tcPr>
            <w:tcW w:w="1426" w:type="dxa"/>
            <w:shd w:val="clear" w:color="auto" w:fill="auto"/>
            <w:noWrap/>
            <w:vAlign w:val="bottom"/>
          </w:tcPr>
          <w:p w14:paraId="203E35BB" w14:textId="77777777" w:rsidR="00772EC3" w:rsidRPr="00702148" w:rsidRDefault="00772EC3" w:rsidP="003C405A">
            <w:pPr>
              <w:spacing w:after="0"/>
              <w:rPr>
                <w:noProof/>
                <w:color w:val="000000"/>
              </w:rPr>
            </w:pPr>
            <w:r>
              <w:rPr>
                <w:noProof/>
                <w:color w:val="000000"/>
              </w:rPr>
              <w:t>BG</w:t>
            </w:r>
          </w:p>
        </w:tc>
        <w:tc>
          <w:tcPr>
            <w:tcW w:w="2362" w:type="dxa"/>
            <w:shd w:val="clear" w:color="auto" w:fill="auto"/>
            <w:noWrap/>
            <w:vAlign w:val="bottom"/>
          </w:tcPr>
          <w:p w14:paraId="0DA003A1" w14:textId="77777777" w:rsidR="00772EC3" w:rsidRPr="00702148" w:rsidRDefault="00772EC3" w:rsidP="003C405A">
            <w:pPr>
              <w:spacing w:after="0"/>
              <w:jc w:val="right"/>
              <w:rPr>
                <w:noProof/>
                <w:color w:val="000000"/>
              </w:rPr>
            </w:pPr>
            <w:r>
              <w:rPr>
                <w:noProof/>
                <w:color w:val="000000"/>
              </w:rPr>
              <w:t>0,1 %</w:t>
            </w:r>
          </w:p>
        </w:tc>
        <w:tc>
          <w:tcPr>
            <w:tcW w:w="2468" w:type="dxa"/>
            <w:shd w:val="clear" w:color="auto" w:fill="auto"/>
            <w:noWrap/>
            <w:vAlign w:val="bottom"/>
          </w:tcPr>
          <w:p w14:paraId="4EB7EFE9" w14:textId="77777777" w:rsidR="00772EC3" w:rsidRPr="00702148" w:rsidRDefault="00772EC3" w:rsidP="003C405A">
            <w:pPr>
              <w:spacing w:after="0"/>
              <w:jc w:val="right"/>
              <w:rPr>
                <w:noProof/>
                <w:color w:val="000000"/>
              </w:rPr>
            </w:pPr>
            <w:r>
              <w:rPr>
                <w:noProof/>
                <w:color w:val="000000"/>
              </w:rPr>
              <w:t>0,9 %</w:t>
            </w:r>
          </w:p>
        </w:tc>
        <w:tc>
          <w:tcPr>
            <w:tcW w:w="2509" w:type="dxa"/>
            <w:shd w:val="clear" w:color="auto" w:fill="auto"/>
            <w:noWrap/>
            <w:vAlign w:val="bottom"/>
          </w:tcPr>
          <w:p w14:paraId="017B8EDF" w14:textId="77777777" w:rsidR="00772EC3" w:rsidRPr="00702148" w:rsidRDefault="00772EC3" w:rsidP="003C405A">
            <w:pPr>
              <w:spacing w:after="0"/>
              <w:jc w:val="right"/>
              <w:rPr>
                <w:noProof/>
                <w:color w:val="000000"/>
              </w:rPr>
            </w:pPr>
            <w:r>
              <w:rPr>
                <w:noProof/>
                <w:color w:val="000000"/>
              </w:rPr>
              <w:t>0,0 %</w:t>
            </w:r>
          </w:p>
        </w:tc>
      </w:tr>
      <w:tr w:rsidR="00772EC3" w:rsidRPr="004C6A35" w14:paraId="70FB80D1" w14:textId="77777777" w:rsidTr="000D3D8F">
        <w:trPr>
          <w:trHeight w:val="300"/>
        </w:trPr>
        <w:tc>
          <w:tcPr>
            <w:tcW w:w="1426" w:type="dxa"/>
            <w:shd w:val="clear" w:color="auto" w:fill="auto"/>
            <w:noWrap/>
            <w:vAlign w:val="bottom"/>
          </w:tcPr>
          <w:p w14:paraId="269777CF" w14:textId="77777777" w:rsidR="00772EC3" w:rsidRPr="00702148" w:rsidRDefault="00772EC3" w:rsidP="003C405A">
            <w:pPr>
              <w:spacing w:after="0"/>
              <w:rPr>
                <w:noProof/>
                <w:color w:val="000000"/>
              </w:rPr>
            </w:pPr>
            <w:r>
              <w:rPr>
                <w:noProof/>
                <w:color w:val="000000"/>
              </w:rPr>
              <w:t>CZ</w:t>
            </w:r>
          </w:p>
        </w:tc>
        <w:tc>
          <w:tcPr>
            <w:tcW w:w="2362" w:type="dxa"/>
            <w:shd w:val="clear" w:color="auto" w:fill="auto"/>
            <w:noWrap/>
            <w:vAlign w:val="bottom"/>
          </w:tcPr>
          <w:p w14:paraId="1BDC153F" w14:textId="77777777" w:rsidR="00772EC3" w:rsidRPr="00702148" w:rsidRDefault="00772EC3" w:rsidP="003C405A">
            <w:pPr>
              <w:spacing w:after="0"/>
              <w:jc w:val="right"/>
              <w:rPr>
                <w:noProof/>
                <w:color w:val="000000"/>
              </w:rPr>
            </w:pPr>
            <w:r>
              <w:rPr>
                <w:noProof/>
                <w:color w:val="000000"/>
              </w:rPr>
              <w:t>–8,5 %</w:t>
            </w:r>
          </w:p>
        </w:tc>
        <w:tc>
          <w:tcPr>
            <w:tcW w:w="2468" w:type="dxa"/>
            <w:shd w:val="clear" w:color="auto" w:fill="auto"/>
            <w:noWrap/>
            <w:vAlign w:val="bottom"/>
          </w:tcPr>
          <w:p w14:paraId="6527CB94" w14:textId="77777777" w:rsidR="00772EC3" w:rsidRPr="00702148" w:rsidRDefault="00772EC3" w:rsidP="003C405A">
            <w:pPr>
              <w:spacing w:after="0"/>
              <w:jc w:val="right"/>
              <w:rPr>
                <w:noProof/>
                <w:color w:val="000000"/>
              </w:rPr>
            </w:pPr>
            <w:r>
              <w:rPr>
                <w:noProof/>
                <w:color w:val="000000"/>
              </w:rPr>
              <w:t>2,2 %</w:t>
            </w:r>
          </w:p>
        </w:tc>
        <w:tc>
          <w:tcPr>
            <w:tcW w:w="2509" w:type="dxa"/>
            <w:shd w:val="clear" w:color="auto" w:fill="auto"/>
            <w:noWrap/>
            <w:vAlign w:val="bottom"/>
          </w:tcPr>
          <w:p w14:paraId="42B9E7B9" w14:textId="77777777" w:rsidR="00772EC3" w:rsidRPr="00702148" w:rsidRDefault="00772EC3" w:rsidP="003C405A">
            <w:pPr>
              <w:spacing w:after="0"/>
              <w:jc w:val="right"/>
              <w:rPr>
                <w:noProof/>
                <w:color w:val="000000"/>
              </w:rPr>
            </w:pPr>
            <w:r>
              <w:rPr>
                <w:noProof/>
                <w:color w:val="000000"/>
              </w:rPr>
              <w:t>–0,2 %</w:t>
            </w:r>
          </w:p>
        </w:tc>
      </w:tr>
      <w:tr w:rsidR="00772EC3" w:rsidRPr="004C6A35" w14:paraId="4745BBB1" w14:textId="77777777" w:rsidTr="000D3D8F">
        <w:trPr>
          <w:trHeight w:val="300"/>
        </w:trPr>
        <w:tc>
          <w:tcPr>
            <w:tcW w:w="1426" w:type="dxa"/>
            <w:shd w:val="clear" w:color="auto" w:fill="auto"/>
            <w:noWrap/>
            <w:vAlign w:val="bottom"/>
          </w:tcPr>
          <w:p w14:paraId="7B89BF3E" w14:textId="77777777" w:rsidR="00772EC3" w:rsidRPr="00702148" w:rsidRDefault="00772EC3" w:rsidP="003C405A">
            <w:pPr>
              <w:spacing w:after="0"/>
              <w:rPr>
                <w:noProof/>
                <w:color w:val="000000"/>
              </w:rPr>
            </w:pPr>
            <w:r>
              <w:rPr>
                <w:noProof/>
                <w:color w:val="000000"/>
              </w:rPr>
              <w:t>DK</w:t>
            </w:r>
          </w:p>
        </w:tc>
        <w:tc>
          <w:tcPr>
            <w:tcW w:w="2362" w:type="dxa"/>
            <w:shd w:val="clear" w:color="auto" w:fill="auto"/>
            <w:noWrap/>
            <w:vAlign w:val="bottom"/>
          </w:tcPr>
          <w:p w14:paraId="6E7AAE53" w14:textId="77777777" w:rsidR="00772EC3" w:rsidRPr="00702148" w:rsidRDefault="00772EC3" w:rsidP="003C405A">
            <w:pPr>
              <w:spacing w:after="0"/>
              <w:jc w:val="right"/>
              <w:rPr>
                <w:noProof/>
                <w:color w:val="000000"/>
              </w:rPr>
            </w:pPr>
            <w:r>
              <w:rPr>
                <w:noProof/>
                <w:color w:val="000000"/>
              </w:rPr>
              <w:t>–0,1 %</w:t>
            </w:r>
          </w:p>
        </w:tc>
        <w:tc>
          <w:tcPr>
            <w:tcW w:w="2468" w:type="dxa"/>
            <w:shd w:val="clear" w:color="auto" w:fill="auto"/>
            <w:noWrap/>
            <w:vAlign w:val="bottom"/>
          </w:tcPr>
          <w:p w14:paraId="737E8948" w14:textId="77777777" w:rsidR="00772EC3" w:rsidRPr="00702148" w:rsidRDefault="00772EC3" w:rsidP="003C405A">
            <w:pPr>
              <w:spacing w:after="0"/>
              <w:jc w:val="right"/>
              <w:rPr>
                <w:noProof/>
                <w:color w:val="000000"/>
              </w:rPr>
            </w:pPr>
            <w:r>
              <w:rPr>
                <w:noProof/>
                <w:color w:val="000000"/>
              </w:rPr>
              <w:t>1,8 %</w:t>
            </w:r>
          </w:p>
        </w:tc>
        <w:tc>
          <w:tcPr>
            <w:tcW w:w="2509" w:type="dxa"/>
            <w:shd w:val="clear" w:color="auto" w:fill="auto"/>
            <w:noWrap/>
            <w:vAlign w:val="bottom"/>
          </w:tcPr>
          <w:p w14:paraId="586574FC" w14:textId="77777777" w:rsidR="00772EC3" w:rsidRPr="00702148" w:rsidRDefault="00772EC3" w:rsidP="003C405A">
            <w:pPr>
              <w:spacing w:after="0"/>
              <w:jc w:val="right"/>
              <w:rPr>
                <w:noProof/>
                <w:color w:val="000000"/>
              </w:rPr>
            </w:pPr>
            <w:r>
              <w:rPr>
                <w:noProof/>
                <w:color w:val="000000"/>
              </w:rPr>
              <w:t>0,0 %</w:t>
            </w:r>
          </w:p>
        </w:tc>
      </w:tr>
      <w:tr w:rsidR="00772EC3" w:rsidRPr="004C6A35" w14:paraId="28E2D4C5" w14:textId="77777777" w:rsidTr="000D3D8F">
        <w:trPr>
          <w:trHeight w:val="300"/>
        </w:trPr>
        <w:tc>
          <w:tcPr>
            <w:tcW w:w="1426" w:type="dxa"/>
            <w:shd w:val="clear" w:color="auto" w:fill="auto"/>
            <w:noWrap/>
            <w:vAlign w:val="bottom"/>
          </w:tcPr>
          <w:p w14:paraId="593E4E77" w14:textId="77777777" w:rsidR="00772EC3" w:rsidRPr="00702148" w:rsidRDefault="00772EC3" w:rsidP="003C405A">
            <w:pPr>
              <w:spacing w:after="0"/>
              <w:rPr>
                <w:noProof/>
                <w:color w:val="000000"/>
              </w:rPr>
            </w:pPr>
            <w:r>
              <w:rPr>
                <w:noProof/>
                <w:color w:val="000000"/>
              </w:rPr>
              <w:t>DE</w:t>
            </w:r>
          </w:p>
        </w:tc>
        <w:tc>
          <w:tcPr>
            <w:tcW w:w="2362" w:type="dxa"/>
            <w:shd w:val="clear" w:color="auto" w:fill="auto"/>
            <w:noWrap/>
            <w:vAlign w:val="bottom"/>
          </w:tcPr>
          <w:p w14:paraId="46550AEA" w14:textId="77777777" w:rsidR="00772EC3" w:rsidRPr="00702148" w:rsidRDefault="00772EC3" w:rsidP="003C405A">
            <w:pPr>
              <w:spacing w:after="0"/>
              <w:jc w:val="right"/>
              <w:rPr>
                <w:noProof/>
                <w:color w:val="000000"/>
              </w:rPr>
            </w:pPr>
            <w:r>
              <w:rPr>
                <w:noProof/>
                <w:color w:val="000000"/>
              </w:rPr>
              <w:t>–3,0 %</w:t>
            </w:r>
          </w:p>
        </w:tc>
        <w:tc>
          <w:tcPr>
            <w:tcW w:w="2468" w:type="dxa"/>
            <w:shd w:val="clear" w:color="auto" w:fill="auto"/>
            <w:noWrap/>
            <w:vAlign w:val="bottom"/>
          </w:tcPr>
          <w:p w14:paraId="47908B20" w14:textId="77777777" w:rsidR="00772EC3" w:rsidRPr="00702148" w:rsidRDefault="00772EC3" w:rsidP="003C405A">
            <w:pPr>
              <w:spacing w:after="0"/>
              <w:jc w:val="right"/>
              <w:rPr>
                <w:noProof/>
                <w:color w:val="000000"/>
              </w:rPr>
            </w:pPr>
            <w:r>
              <w:rPr>
                <w:noProof/>
                <w:color w:val="000000"/>
              </w:rPr>
              <w:t>21,9 %</w:t>
            </w:r>
          </w:p>
        </w:tc>
        <w:tc>
          <w:tcPr>
            <w:tcW w:w="2509" w:type="dxa"/>
            <w:shd w:val="clear" w:color="auto" w:fill="auto"/>
            <w:noWrap/>
            <w:vAlign w:val="bottom"/>
          </w:tcPr>
          <w:p w14:paraId="0F36157B" w14:textId="77777777" w:rsidR="00772EC3" w:rsidRPr="00702148" w:rsidRDefault="00772EC3" w:rsidP="003C405A">
            <w:pPr>
              <w:spacing w:after="0"/>
              <w:jc w:val="right"/>
              <w:rPr>
                <w:noProof/>
                <w:color w:val="000000"/>
              </w:rPr>
            </w:pPr>
            <w:r>
              <w:rPr>
                <w:noProof/>
                <w:color w:val="000000"/>
              </w:rPr>
              <w:t>–0,7 %</w:t>
            </w:r>
          </w:p>
        </w:tc>
      </w:tr>
      <w:tr w:rsidR="00772EC3" w:rsidRPr="004C6A35" w14:paraId="435D08D9" w14:textId="77777777" w:rsidTr="000D3D8F">
        <w:trPr>
          <w:trHeight w:val="300"/>
        </w:trPr>
        <w:tc>
          <w:tcPr>
            <w:tcW w:w="1426" w:type="dxa"/>
            <w:shd w:val="clear" w:color="auto" w:fill="auto"/>
            <w:noWrap/>
            <w:vAlign w:val="bottom"/>
          </w:tcPr>
          <w:p w14:paraId="21094F2D" w14:textId="77777777" w:rsidR="00772EC3" w:rsidRPr="00702148" w:rsidRDefault="00772EC3" w:rsidP="003C405A">
            <w:pPr>
              <w:spacing w:after="0"/>
              <w:rPr>
                <w:noProof/>
                <w:color w:val="000000"/>
              </w:rPr>
            </w:pPr>
            <w:r>
              <w:rPr>
                <w:noProof/>
                <w:color w:val="000000"/>
              </w:rPr>
              <w:t>EE</w:t>
            </w:r>
          </w:p>
        </w:tc>
        <w:tc>
          <w:tcPr>
            <w:tcW w:w="2362" w:type="dxa"/>
            <w:shd w:val="clear" w:color="auto" w:fill="auto"/>
            <w:noWrap/>
            <w:vAlign w:val="bottom"/>
          </w:tcPr>
          <w:p w14:paraId="7D2F415E" w14:textId="77777777" w:rsidR="00772EC3" w:rsidRPr="00702148" w:rsidRDefault="00772EC3" w:rsidP="003C405A">
            <w:pPr>
              <w:spacing w:after="0"/>
              <w:jc w:val="right"/>
              <w:rPr>
                <w:noProof/>
                <w:color w:val="000000"/>
              </w:rPr>
            </w:pPr>
            <w:r>
              <w:rPr>
                <w:noProof/>
                <w:color w:val="000000"/>
              </w:rPr>
              <w:t>–2,6 %</w:t>
            </w:r>
          </w:p>
        </w:tc>
        <w:tc>
          <w:tcPr>
            <w:tcW w:w="2468" w:type="dxa"/>
            <w:shd w:val="clear" w:color="auto" w:fill="auto"/>
            <w:noWrap/>
            <w:vAlign w:val="bottom"/>
          </w:tcPr>
          <w:p w14:paraId="18EBB30E" w14:textId="77777777" w:rsidR="00772EC3" w:rsidRPr="00702148" w:rsidRDefault="00772EC3" w:rsidP="003C405A">
            <w:pPr>
              <w:spacing w:after="0"/>
              <w:jc w:val="right"/>
              <w:rPr>
                <w:noProof/>
                <w:color w:val="000000"/>
              </w:rPr>
            </w:pPr>
            <w:r>
              <w:rPr>
                <w:noProof/>
                <w:color w:val="000000"/>
              </w:rPr>
              <w:t>0,3 %</w:t>
            </w:r>
          </w:p>
        </w:tc>
        <w:tc>
          <w:tcPr>
            <w:tcW w:w="2509" w:type="dxa"/>
            <w:shd w:val="clear" w:color="auto" w:fill="auto"/>
            <w:noWrap/>
            <w:vAlign w:val="bottom"/>
          </w:tcPr>
          <w:p w14:paraId="2540D5F6" w14:textId="77777777" w:rsidR="00772EC3" w:rsidRPr="00702148" w:rsidRDefault="00772EC3" w:rsidP="003C405A">
            <w:pPr>
              <w:spacing w:after="0"/>
              <w:jc w:val="right"/>
              <w:rPr>
                <w:noProof/>
                <w:color w:val="000000"/>
              </w:rPr>
            </w:pPr>
            <w:r>
              <w:rPr>
                <w:noProof/>
                <w:color w:val="000000"/>
              </w:rPr>
              <w:t>0,0 %</w:t>
            </w:r>
          </w:p>
        </w:tc>
      </w:tr>
      <w:tr w:rsidR="00772EC3" w:rsidRPr="004C6A35" w14:paraId="0774B641" w14:textId="77777777" w:rsidTr="000D3D8F">
        <w:trPr>
          <w:trHeight w:val="300"/>
        </w:trPr>
        <w:tc>
          <w:tcPr>
            <w:tcW w:w="1426" w:type="dxa"/>
            <w:shd w:val="clear" w:color="auto" w:fill="auto"/>
            <w:noWrap/>
            <w:vAlign w:val="bottom"/>
          </w:tcPr>
          <w:p w14:paraId="63293570" w14:textId="77777777" w:rsidR="00772EC3" w:rsidRPr="00702148" w:rsidRDefault="00772EC3" w:rsidP="003C405A">
            <w:pPr>
              <w:spacing w:after="0"/>
              <w:rPr>
                <w:noProof/>
                <w:color w:val="000000"/>
              </w:rPr>
            </w:pPr>
            <w:r>
              <w:rPr>
                <w:noProof/>
                <w:color w:val="000000"/>
              </w:rPr>
              <w:t>IE</w:t>
            </w:r>
          </w:p>
        </w:tc>
        <w:tc>
          <w:tcPr>
            <w:tcW w:w="2362" w:type="dxa"/>
            <w:shd w:val="clear" w:color="auto" w:fill="auto"/>
            <w:noWrap/>
            <w:vAlign w:val="bottom"/>
          </w:tcPr>
          <w:p w14:paraId="3EF3E3E7" w14:textId="77777777" w:rsidR="00772EC3" w:rsidRPr="00702148" w:rsidRDefault="00772EC3" w:rsidP="003C405A">
            <w:pPr>
              <w:spacing w:after="0"/>
              <w:jc w:val="right"/>
              <w:rPr>
                <w:noProof/>
                <w:color w:val="000000"/>
              </w:rPr>
            </w:pPr>
            <w:r>
              <w:rPr>
                <w:noProof/>
                <w:color w:val="000000"/>
              </w:rPr>
              <w:t>2,8 %</w:t>
            </w:r>
          </w:p>
        </w:tc>
        <w:tc>
          <w:tcPr>
            <w:tcW w:w="2468" w:type="dxa"/>
            <w:shd w:val="clear" w:color="auto" w:fill="auto"/>
            <w:noWrap/>
            <w:vAlign w:val="bottom"/>
          </w:tcPr>
          <w:p w14:paraId="2D7AE312" w14:textId="77777777" w:rsidR="00772EC3" w:rsidRPr="00702148" w:rsidRDefault="00772EC3" w:rsidP="003C405A">
            <w:pPr>
              <w:spacing w:after="0"/>
              <w:jc w:val="right"/>
              <w:rPr>
                <w:noProof/>
                <w:color w:val="000000"/>
              </w:rPr>
            </w:pPr>
            <w:r>
              <w:rPr>
                <w:noProof/>
                <w:color w:val="000000"/>
              </w:rPr>
              <w:t>2,7 %</w:t>
            </w:r>
          </w:p>
        </w:tc>
        <w:tc>
          <w:tcPr>
            <w:tcW w:w="2509" w:type="dxa"/>
            <w:shd w:val="clear" w:color="auto" w:fill="auto"/>
            <w:noWrap/>
            <w:vAlign w:val="bottom"/>
          </w:tcPr>
          <w:p w14:paraId="5E65EE52" w14:textId="77777777" w:rsidR="00772EC3" w:rsidRPr="00702148" w:rsidRDefault="00772EC3" w:rsidP="003C405A">
            <w:pPr>
              <w:spacing w:after="0"/>
              <w:jc w:val="right"/>
              <w:rPr>
                <w:noProof/>
                <w:color w:val="000000"/>
              </w:rPr>
            </w:pPr>
            <w:r>
              <w:rPr>
                <w:noProof/>
                <w:color w:val="000000"/>
              </w:rPr>
              <w:t>0,1 %</w:t>
            </w:r>
          </w:p>
        </w:tc>
      </w:tr>
      <w:tr w:rsidR="00772EC3" w:rsidRPr="004C6A35" w14:paraId="3A264151" w14:textId="77777777" w:rsidTr="000D3D8F">
        <w:trPr>
          <w:trHeight w:val="300"/>
        </w:trPr>
        <w:tc>
          <w:tcPr>
            <w:tcW w:w="1426" w:type="dxa"/>
            <w:shd w:val="clear" w:color="auto" w:fill="auto"/>
            <w:noWrap/>
            <w:vAlign w:val="bottom"/>
          </w:tcPr>
          <w:p w14:paraId="238095C2" w14:textId="77777777" w:rsidR="00772EC3" w:rsidRPr="00702148" w:rsidRDefault="00772EC3" w:rsidP="003C405A">
            <w:pPr>
              <w:spacing w:after="0"/>
              <w:rPr>
                <w:noProof/>
                <w:color w:val="000000"/>
              </w:rPr>
            </w:pPr>
            <w:r>
              <w:rPr>
                <w:noProof/>
                <w:color w:val="000000"/>
              </w:rPr>
              <w:t>EL</w:t>
            </w:r>
          </w:p>
        </w:tc>
        <w:tc>
          <w:tcPr>
            <w:tcW w:w="2362" w:type="dxa"/>
            <w:shd w:val="clear" w:color="auto" w:fill="auto"/>
            <w:noWrap/>
            <w:vAlign w:val="bottom"/>
          </w:tcPr>
          <w:p w14:paraId="16FE0B85" w14:textId="77777777" w:rsidR="00772EC3" w:rsidRPr="00702148" w:rsidRDefault="00772EC3" w:rsidP="003C405A">
            <w:pPr>
              <w:spacing w:after="0"/>
              <w:jc w:val="right"/>
              <w:rPr>
                <w:noProof/>
                <w:color w:val="000000"/>
              </w:rPr>
            </w:pPr>
            <w:r>
              <w:rPr>
                <w:noProof/>
                <w:color w:val="000000"/>
              </w:rPr>
              <w:t>–1,3 %</w:t>
            </w:r>
          </w:p>
        </w:tc>
        <w:tc>
          <w:tcPr>
            <w:tcW w:w="2468" w:type="dxa"/>
            <w:shd w:val="clear" w:color="auto" w:fill="auto"/>
            <w:noWrap/>
            <w:vAlign w:val="bottom"/>
          </w:tcPr>
          <w:p w14:paraId="2B0CB134" w14:textId="77777777" w:rsidR="00772EC3" w:rsidRPr="00702148" w:rsidRDefault="00772EC3" w:rsidP="003C405A">
            <w:pPr>
              <w:spacing w:after="0"/>
              <w:jc w:val="right"/>
              <w:rPr>
                <w:noProof/>
                <w:color w:val="000000"/>
              </w:rPr>
            </w:pPr>
            <w:r>
              <w:rPr>
                <w:noProof/>
                <w:color w:val="000000"/>
              </w:rPr>
              <w:t>1,6 %</w:t>
            </w:r>
          </w:p>
        </w:tc>
        <w:tc>
          <w:tcPr>
            <w:tcW w:w="2509" w:type="dxa"/>
            <w:shd w:val="clear" w:color="auto" w:fill="auto"/>
            <w:noWrap/>
            <w:vAlign w:val="bottom"/>
          </w:tcPr>
          <w:p w14:paraId="20F6E119" w14:textId="77777777" w:rsidR="00772EC3" w:rsidRPr="00702148" w:rsidRDefault="00772EC3" w:rsidP="003C405A">
            <w:pPr>
              <w:spacing w:after="0"/>
              <w:jc w:val="right"/>
              <w:rPr>
                <w:noProof/>
                <w:color w:val="000000"/>
              </w:rPr>
            </w:pPr>
            <w:r>
              <w:rPr>
                <w:noProof/>
                <w:color w:val="000000"/>
              </w:rPr>
              <w:t>0,0 %</w:t>
            </w:r>
          </w:p>
        </w:tc>
      </w:tr>
      <w:tr w:rsidR="00772EC3" w:rsidRPr="004C6A35" w14:paraId="6680F137" w14:textId="77777777" w:rsidTr="000D3D8F">
        <w:trPr>
          <w:trHeight w:val="300"/>
        </w:trPr>
        <w:tc>
          <w:tcPr>
            <w:tcW w:w="1426" w:type="dxa"/>
            <w:shd w:val="clear" w:color="auto" w:fill="auto"/>
            <w:noWrap/>
            <w:vAlign w:val="bottom"/>
          </w:tcPr>
          <w:p w14:paraId="68A493F8" w14:textId="77777777" w:rsidR="00772EC3" w:rsidRPr="00702148" w:rsidRDefault="00772EC3" w:rsidP="003C405A">
            <w:pPr>
              <w:spacing w:after="0"/>
              <w:rPr>
                <w:noProof/>
                <w:color w:val="000000"/>
              </w:rPr>
            </w:pPr>
            <w:r>
              <w:rPr>
                <w:noProof/>
                <w:color w:val="000000"/>
              </w:rPr>
              <w:t>ES</w:t>
            </w:r>
          </w:p>
        </w:tc>
        <w:tc>
          <w:tcPr>
            <w:tcW w:w="2362" w:type="dxa"/>
            <w:shd w:val="clear" w:color="auto" w:fill="auto"/>
            <w:noWrap/>
            <w:vAlign w:val="bottom"/>
          </w:tcPr>
          <w:p w14:paraId="0CCD7F3E" w14:textId="77777777" w:rsidR="00772EC3" w:rsidRPr="00702148" w:rsidRDefault="00772EC3" w:rsidP="003C405A">
            <w:pPr>
              <w:spacing w:after="0"/>
              <w:jc w:val="right"/>
              <w:rPr>
                <w:noProof/>
                <w:color w:val="000000"/>
              </w:rPr>
            </w:pPr>
            <w:r>
              <w:rPr>
                <w:noProof/>
                <w:color w:val="000000"/>
              </w:rPr>
              <w:t>2,2 %</w:t>
            </w:r>
          </w:p>
        </w:tc>
        <w:tc>
          <w:tcPr>
            <w:tcW w:w="2468" w:type="dxa"/>
            <w:shd w:val="clear" w:color="auto" w:fill="auto"/>
            <w:noWrap/>
            <w:vAlign w:val="bottom"/>
          </w:tcPr>
          <w:p w14:paraId="42972173" w14:textId="77777777" w:rsidR="00772EC3" w:rsidRPr="00702148" w:rsidRDefault="00772EC3" w:rsidP="003C405A">
            <w:pPr>
              <w:spacing w:after="0"/>
              <w:jc w:val="right"/>
              <w:rPr>
                <w:noProof/>
                <w:color w:val="000000"/>
              </w:rPr>
            </w:pPr>
            <w:r>
              <w:rPr>
                <w:noProof/>
                <w:color w:val="000000"/>
              </w:rPr>
              <w:t>9,1 %</w:t>
            </w:r>
          </w:p>
        </w:tc>
        <w:tc>
          <w:tcPr>
            <w:tcW w:w="2509" w:type="dxa"/>
            <w:shd w:val="clear" w:color="auto" w:fill="auto"/>
            <w:noWrap/>
            <w:vAlign w:val="bottom"/>
          </w:tcPr>
          <w:p w14:paraId="3AEB0DE6" w14:textId="77777777" w:rsidR="00772EC3" w:rsidRPr="00702148" w:rsidRDefault="00772EC3" w:rsidP="003C405A">
            <w:pPr>
              <w:spacing w:after="0"/>
              <w:jc w:val="right"/>
              <w:rPr>
                <w:noProof/>
                <w:color w:val="000000"/>
              </w:rPr>
            </w:pPr>
            <w:r>
              <w:rPr>
                <w:noProof/>
                <w:color w:val="000000"/>
              </w:rPr>
              <w:t>0,2 %</w:t>
            </w:r>
          </w:p>
        </w:tc>
      </w:tr>
      <w:tr w:rsidR="00772EC3" w:rsidRPr="004C6A35" w14:paraId="242959D6" w14:textId="77777777" w:rsidTr="000D3D8F">
        <w:trPr>
          <w:trHeight w:val="300"/>
        </w:trPr>
        <w:tc>
          <w:tcPr>
            <w:tcW w:w="1426" w:type="dxa"/>
            <w:shd w:val="clear" w:color="auto" w:fill="auto"/>
            <w:noWrap/>
            <w:vAlign w:val="bottom"/>
          </w:tcPr>
          <w:p w14:paraId="7BB2C1D0" w14:textId="77777777" w:rsidR="00772EC3" w:rsidRPr="00702148" w:rsidRDefault="00772EC3" w:rsidP="003C405A">
            <w:pPr>
              <w:spacing w:after="0"/>
              <w:rPr>
                <w:noProof/>
                <w:color w:val="000000"/>
              </w:rPr>
            </w:pPr>
            <w:r>
              <w:rPr>
                <w:noProof/>
                <w:color w:val="000000"/>
              </w:rPr>
              <w:t>FR</w:t>
            </w:r>
          </w:p>
        </w:tc>
        <w:tc>
          <w:tcPr>
            <w:tcW w:w="2362" w:type="dxa"/>
            <w:shd w:val="clear" w:color="auto" w:fill="auto"/>
            <w:noWrap/>
            <w:vAlign w:val="bottom"/>
          </w:tcPr>
          <w:p w14:paraId="13C24BEA" w14:textId="77777777" w:rsidR="00772EC3" w:rsidRPr="00702148" w:rsidRDefault="00772EC3" w:rsidP="003C405A">
            <w:pPr>
              <w:spacing w:after="0"/>
              <w:jc w:val="right"/>
              <w:rPr>
                <w:noProof/>
                <w:color w:val="000000"/>
              </w:rPr>
            </w:pPr>
            <w:r>
              <w:rPr>
                <w:noProof/>
                <w:color w:val="000000"/>
              </w:rPr>
              <w:t>–2,0 %</w:t>
            </w:r>
          </w:p>
        </w:tc>
        <w:tc>
          <w:tcPr>
            <w:tcW w:w="2468" w:type="dxa"/>
            <w:shd w:val="clear" w:color="auto" w:fill="auto"/>
            <w:noWrap/>
            <w:vAlign w:val="bottom"/>
          </w:tcPr>
          <w:p w14:paraId="1FE71385" w14:textId="77777777" w:rsidR="00772EC3" w:rsidRPr="00702148" w:rsidRDefault="00772EC3" w:rsidP="003C405A">
            <w:pPr>
              <w:spacing w:after="0"/>
              <w:jc w:val="right"/>
              <w:rPr>
                <w:noProof/>
                <w:color w:val="000000"/>
              </w:rPr>
            </w:pPr>
            <w:r>
              <w:rPr>
                <w:noProof/>
                <w:color w:val="000000"/>
              </w:rPr>
              <w:t>15,5 %</w:t>
            </w:r>
          </w:p>
        </w:tc>
        <w:tc>
          <w:tcPr>
            <w:tcW w:w="2509" w:type="dxa"/>
            <w:shd w:val="clear" w:color="auto" w:fill="auto"/>
            <w:noWrap/>
            <w:vAlign w:val="bottom"/>
          </w:tcPr>
          <w:p w14:paraId="7EE4A20A" w14:textId="77777777" w:rsidR="00772EC3" w:rsidRPr="00702148" w:rsidRDefault="00772EC3" w:rsidP="003C405A">
            <w:pPr>
              <w:spacing w:after="0"/>
              <w:jc w:val="right"/>
              <w:rPr>
                <w:noProof/>
                <w:color w:val="000000"/>
              </w:rPr>
            </w:pPr>
            <w:r>
              <w:rPr>
                <w:noProof/>
                <w:color w:val="000000"/>
              </w:rPr>
              <w:t>–0,3 %</w:t>
            </w:r>
          </w:p>
        </w:tc>
      </w:tr>
      <w:tr w:rsidR="00772EC3" w:rsidRPr="004C6A35" w14:paraId="21B4FF5D" w14:textId="77777777" w:rsidTr="000D3D8F">
        <w:trPr>
          <w:trHeight w:val="300"/>
        </w:trPr>
        <w:tc>
          <w:tcPr>
            <w:tcW w:w="1426" w:type="dxa"/>
            <w:shd w:val="clear" w:color="auto" w:fill="auto"/>
            <w:noWrap/>
            <w:vAlign w:val="bottom"/>
          </w:tcPr>
          <w:p w14:paraId="6168387D" w14:textId="77777777" w:rsidR="00772EC3" w:rsidRPr="00702148" w:rsidRDefault="00772EC3" w:rsidP="003C405A">
            <w:pPr>
              <w:spacing w:after="0"/>
              <w:rPr>
                <w:noProof/>
                <w:color w:val="000000"/>
              </w:rPr>
            </w:pPr>
            <w:r>
              <w:rPr>
                <w:noProof/>
                <w:color w:val="000000"/>
              </w:rPr>
              <w:t>HR</w:t>
            </w:r>
          </w:p>
        </w:tc>
        <w:tc>
          <w:tcPr>
            <w:tcW w:w="2362" w:type="dxa"/>
            <w:shd w:val="clear" w:color="auto" w:fill="auto"/>
            <w:noWrap/>
            <w:vAlign w:val="bottom"/>
          </w:tcPr>
          <w:p w14:paraId="764BF3C4" w14:textId="77777777" w:rsidR="00772EC3" w:rsidRPr="00702148" w:rsidRDefault="00772EC3" w:rsidP="003C405A">
            <w:pPr>
              <w:spacing w:after="0"/>
              <w:jc w:val="right"/>
              <w:rPr>
                <w:noProof/>
                <w:color w:val="000000"/>
              </w:rPr>
            </w:pPr>
            <w:r>
              <w:rPr>
                <w:noProof/>
                <w:color w:val="000000"/>
              </w:rPr>
              <w:t>4,2 %</w:t>
            </w:r>
          </w:p>
        </w:tc>
        <w:tc>
          <w:tcPr>
            <w:tcW w:w="2468" w:type="dxa"/>
            <w:shd w:val="clear" w:color="auto" w:fill="auto"/>
            <w:noWrap/>
            <w:vAlign w:val="bottom"/>
          </w:tcPr>
          <w:p w14:paraId="5AD396AB" w14:textId="77777777" w:rsidR="00772EC3" w:rsidRPr="00702148" w:rsidRDefault="00772EC3" w:rsidP="003C405A">
            <w:pPr>
              <w:spacing w:after="0"/>
              <w:jc w:val="right"/>
              <w:rPr>
                <w:noProof/>
                <w:color w:val="000000"/>
              </w:rPr>
            </w:pPr>
            <w:r>
              <w:rPr>
                <w:noProof/>
                <w:color w:val="000000"/>
              </w:rPr>
              <w:t>0,6 %</w:t>
            </w:r>
          </w:p>
        </w:tc>
        <w:tc>
          <w:tcPr>
            <w:tcW w:w="2509" w:type="dxa"/>
            <w:shd w:val="clear" w:color="auto" w:fill="auto"/>
            <w:noWrap/>
            <w:vAlign w:val="bottom"/>
          </w:tcPr>
          <w:p w14:paraId="024810B1" w14:textId="77777777" w:rsidR="00772EC3" w:rsidRPr="00702148" w:rsidRDefault="00772EC3" w:rsidP="003C405A">
            <w:pPr>
              <w:spacing w:after="0"/>
              <w:jc w:val="right"/>
              <w:rPr>
                <w:noProof/>
                <w:color w:val="000000"/>
              </w:rPr>
            </w:pPr>
            <w:r>
              <w:rPr>
                <w:noProof/>
                <w:color w:val="000000"/>
              </w:rPr>
              <w:t>0,0 %</w:t>
            </w:r>
          </w:p>
        </w:tc>
      </w:tr>
      <w:tr w:rsidR="00772EC3" w:rsidRPr="004C6A35" w14:paraId="5664007D" w14:textId="77777777" w:rsidTr="000D3D8F">
        <w:trPr>
          <w:trHeight w:val="300"/>
        </w:trPr>
        <w:tc>
          <w:tcPr>
            <w:tcW w:w="1426" w:type="dxa"/>
            <w:shd w:val="clear" w:color="auto" w:fill="auto"/>
            <w:noWrap/>
            <w:vAlign w:val="bottom"/>
          </w:tcPr>
          <w:p w14:paraId="37B55AF2" w14:textId="77777777" w:rsidR="00772EC3" w:rsidRPr="00702148" w:rsidRDefault="00772EC3" w:rsidP="003C405A">
            <w:pPr>
              <w:spacing w:after="0"/>
              <w:rPr>
                <w:noProof/>
                <w:color w:val="000000"/>
              </w:rPr>
            </w:pPr>
            <w:r>
              <w:rPr>
                <w:noProof/>
                <w:color w:val="000000"/>
              </w:rPr>
              <w:t>IT</w:t>
            </w:r>
          </w:p>
        </w:tc>
        <w:tc>
          <w:tcPr>
            <w:tcW w:w="2362" w:type="dxa"/>
            <w:shd w:val="clear" w:color="auto" w:fill="auto"/>
            <w:noWrap/>
            <w:vAlign w:val="bottom"/>
          </w:tcPr>
          <w:p w14:paraId="436EBD52" w14:textId="77777777" w:rsidR="00772EC3" w:rsidRPr="00702148" w:rsidRDefault="00772EC3" w:rsidP="003C405A">
            <w:pPr>
              <w:spacing w:after="0"/>
              <w:jc w:val="right"/>
              <w:rPr>
                <w:noProof/>
                <w:color w:val="000000"/>
              </w:rPr>
            </w:pPr>
            <w:r>
              <w:rPr>
                <w:noProof/>
                <w:color w:val="000000"/>
              </w:rPr>
              <w:t>–5,3 %</w:t>
            </w:r>
          </w:p>
        </w:tc>
        <w:tc>
          <w:tcPr>
            <w:tcW w:w="2468" w:type="dxa"/>
            <w:shd w:val="clear" w:color="auto" w:fill="auto"/>
            <w:noWrap/>
            <w:vAlign w:val="bottom"/>
          </w:tcPr>
          <w:p w14:paraId="0A61D09A" w14:textId="77777777" w:rsidR="00772EC3" w:rsidRPr="00702148" w:rsidRDefault="00772EC3" w:rsidP="003C405A">
            <w:pPr>
              <w:spacing w:after="0"/>
              <w:jc w:val="right"/>
              <w:rPr>
                <w:noProof/>
                <w:color w:val="000000"/>
              </w:rPr>
            </w:pPr>
            <w:r>
              <w:rPr>
                <w:noProof/>
                <w:color w:val="000000"/>
              </w:rPr>
              <w:t>12,8 %</w:t>
            </w:r>
          </w:p>
        </w:tc>
        <w:tc>
          <w:tcPr>
            <w:tcW w:w="2509" w:type="dxa"/>
            <w:shd w:val="clear" w:color="auto" w:fill="auto"/>
            <w:noWrap/>
            <w:vAlign w:val="bottom"/>
          </w:tcPr>
          <w:p w14:paraId="658C674E" w14:textId="77777777" w:rsidR="00772EC3" w:rsidRPr="00702148" w:rsidRDefault="00772EC3" w:rsidP="003C405A">
            <w:pPr>
              <w:spacing w:after="0"/>
              <w:jc w:val="right"/>
              <w:rPr>
                <w:noProof/>
                <w:color w:val="000000"/>
              </w:rPr>
            </w:pPr>
            <w:r>
              <w:rPr>
                <w:noProof/>
                <w:color w:val="000000"/>
              </w:rPr>
              <w:t>–0,7 %</w:t>
            </w:r>
          </w:p>
        </w:tc>
      </w:tr>
      <w:tr w:rsidR="00772EC3" w:rsidRPr="004C6A35" w14:paraId="05DA728B" w14:textId="77777777" w:rsidTr="000D3D8F">
        <w:trPr>
          <w:trHeight w:val="300"/>
        </w:trPr>
        <w:tc>
          <w:tcPr>
            <w:tcW w:w="1426" w:type="dxa"/>
            <w:shd w:val="clear" w:color="auto" w:fill="auto"/>
            <w:noWrap/>
            <w:vAlign w:val="bottom"/>
          </w:tcPr>
          <w:p w14:paraId="55739D7E" w14:textId="77777777" w:rsidR="00772EC3" w:rsidRPr="00702148" w:rsidRDefault="00772EC3" w:rsidP="003C405A">
            <w:pPr>
              <w:spacing w:after="0"/>
              <w:rPr>
                <w:noProof/>
                <w:color w:val="000000"/>
              </w:rPr>
            </w:pPr>
            <w:r>
              <w:rPr>
                <w:noProof/>
                <w:color w:val="000000"/>
              </w:rPr>
              <w:t>CY</w:t>
            </w:r>
          </w:p>
        </w:tc>
        <w:tc>
          <w:tcPr>
            <w:tcW w:w="2362" w:type="dxa"/>
            <w:shd w:val="clear" w:color="auto" w:fill="auto"/>
            <w:noWrap/>
            <w:vAlign w:val="bottom"/>
          </w:tcPr>
          <w:p w14:paraId="4F6DBBB2" w14:textId="77777777" w:rsidR="00772EC3" w:rsidRPr="00702148" w:rsidRDefault="00772EC3" w:rsidP="003C405A">
            <w:pPr>
              <w:spacing w:after="0"/>
              <w:jc w:val="right"/>
              <w:rPr>
                <w:noProof/>
                <w:color w:val="000000"/>
              </w:rPr>
            </w:pPr>
            <w:r>
              <w:rPr>
                <w:noProof/>
                <w:color w:val="000000"/>
              </w:rPr>
              <w:t>4,1 %</w:t>
            </w:r>
          </w:p>
        </w:tc>
        <w:tc>
          <w:tcPr>
            <w:tcW w:w="2468" w:type="dxa"/>
            <w:shd w:val="clear" w:color="auto" w:fill="auto"/>
            <w:noWrap/>
            <w:vAlign w:val="bottom"/>
          </w:tcPr>
          <w:p w14:paraId="3FC67C19" w14:textId="77777777" w:rsidR="00772EC3" w:rsidRPr="00702148" w:rsidRDefault="00772EC3" w:rsidP="003C405A">
            <w:pPr>
              <w:spacing w:after="0"/>
              <w:jc w:val="right"/>
              <w:rPr>
                <w:noProof/>
                <w:color w:val="000000"/>
              </w:rPr>
            </w:pPr>
            <w:r>
              <w:rPr>
                <w:noProof/>
                <w:color w:val="000000"/>
              </w:rPr>
              <w:t>0,2 %</w:t>
            </w:r>
          </w:p>
        </w:tc>
        <w:tc>
          <w:tcPr>
            <w:tcW w:w="2509" w:type="dxa"/>
            <w:shd w:val="clear" w:color="auto" w:fill="auto"/>
            <w:noWrap/>
            <w:vAlign w:val="bottom"/>
          </w:tcPr>
          <w:p w14:paraId="3C939C28" w14:textId="77777777" w:rsidR="00772EC3" w:rsidRPr="00702148" w:rsidRDefault="00772EC3" w:rsidP="003C405A">
            <w:pPr>
              <w:spacing w:after="0"/>
              <w:jc w:val="right"/>
              <w:rPr>
                <w:noProof/>
                <w:color w:val="000000"/>
              </w:rPr>
            </w:pPr>
            <w:r>
              <w:rPr>
                <w:noProof/>
                <w:color w:val="000000"/>
              </w:rPr>
              <w:t>0,0 %</w:t>
            </w:r>
          </w:p>
        </w:tc>
      </w:tr>
      <w:tr w:rsidR="00772EC3" w:rsidRPr="004C6A35" w14:paraId="0A5E1139" w14:textId="77777777" w:rsidTr="000D3D8F">
        <w:trPr>
          <w:trHeight w:val="300"/>
        </w:trPr>
        <w:tc>
          <w:tcPr>
            <w:tcW w:w="1426" w:type="dxa"/>
            <w:shd w:val="clear" w:color="auto" w:fill="auto"/>
            <w:noWrap/>
            <w:vAlign w:val="bottom"/>
          </w:tcPr>
          <w:p w14:paraId="2868E0F7" w14:textId="77777777" w:rsidR="00772EC3" w:rsidRPr="00702148" w:rsidRDefault="00772EC3" w:rsidP="003C405A">
            <w:pPr>
              <w:spacing w:after="0"/>
              <w:rPr>
                <w:noProof/>
                <w:color w:val="000000"/>
              </w:rPr>
            </w:pPr>
            <w:r>
              <w:rPr>
                <w:noProof/>
                <w:color w:val="000000"/>
              </w:rPr>
              <w:t>LV</w:t>
            </w:r>
          </w:p>
        </w:tc>
        <w:tc>
          <w:tcPr>
            <w:tcW w:w="2362" w:type="dxa"/>
            <w:shd w:val="clear" w:color="auto" w:fill="auto"/>
            <w:noWrap/>
            <w:vAlign w:val="bottom"/>
          </w:tcPr>
          <w:p w14:paraId="5A8B2C7C" w14:textId="77777777" w:rsidR="00772EC3" w:rsidRPr="00702148" w:rsidRDefault="00772EC3" w:rsidP="003C405A">
            <w:pPr>
              <w:spacing w:after="0"/>
              <w:jc w:val="right"/>
              <w:rPr>
                <w:noProof/>
                <w:color w:val="000000"/>
              </w:rPr>
            </w:pPr>
            <w:r>
              <w:rPr>
                <w:noProof/>
                <w:color w:val="000000"/>
              </w:rPr>
              <w:t>11,5 %</w:t>
            </w:r>
          </w:p>
        </w:tc>
        <w:tc>
          <w:tcPr>
            <w:tcW w:w="2468" w:type="dxa"/>
            <w:shd w:val="clear" w:color="auto" w:fill="auto"/>
            <w:noWrap/>
            <w:vAlign w:val="bottom"/>
          </w:tcPr>
          <w:p w14:paraId="28367933" w14:textId="77777777" w:rsidR="00772EC3" w:rsidRPr="00702148" w:rsidRDefault="00772EC3" w:rsidP="003C405A">
            <w:pPr>
              <w:spacing w:after="0"/>
              <w:jc w:val="right"/>
              <w:rPr>
                <w:noProof/>
                <w:color w:val="000000"/>
              </w:rPr>
            </w:pPr>
            <w:r>
              <w:rPr>
                <w:noProof/>
                <w:color w:val="000000"/>
              </w:rPr>
              <w:t>0,3 %</w:t>
            </w:r>
          </w:p>
        </w:tc>
        <w:tc>
          <w:tcPr>
            <w:tcW w:w="2509" w:type="dxa"/>
            <w:shd w:val="clear" w:color="auto" w:fill="auto"/>
            <w:noWrap/>
            <w:vAlign w:val="bottom"/>
          </w:tcPr>
          <w:p w14:paraId="4CD45F6F" w14:textId="77777777" w:rsidR="00772EC3" w:rsidRPr="00702148" w:rsidRDefault="00772EC3" w:rsidP="003C405A">
            <w:pPr>
              <w:spacing w:after="0"/>
              <w:jc w:val="right"/>
              <w:rPr>
                <w:noProof/>
                <w:color w:val="000000"/>
              </w:rPr>
            </w:pPr>
            <w:r>
              <w:rPr>
                <w:noProof/>
                <w:color w:val="000000"/>
              </w:rPr>
              <w:t>0,0 %</w:t>
            </w:r>
          </w:p>
        </w:tc>
      </w:tr>
      <w:tr w:rsidR="00772EC3" w:rsidRPr="004C6A35" w14:paraId="3E950357" w14:textId="77777777" w:rsidTr="000D3D8F">
        <w:trPr>
          <w:trHeight w:val="300"/>
        </w:trPr>
        <w:tc>
          <w:tcPr>
            <w:tcW w:w="1426" w:type="dxa"/>
            <w:shd w:val="clear" w:color="auto" w:fill="auto"/>
            <w:noWrap/>
            <w:vAlign w:val="bottom"/>
          </w:tcPr>
          <w:p w14:paraId="55C780C3" w14:textId="77777777" w:rsidR="00772EC3" w:rsidRPr="00702148" w:rsidRDefault="00772EC3" w:rsidP="003C405A">
            <w:pPr>
              <w:spacing w:after="0"/>
              <w:rPr>
                <w:noProof/>
                <w:color w:val="000000"/>
              </w:rPr>
            </w:pPr>
            <w:r>
              <w:rPr>
                <w:noProof/>
                <w:color w:val="000000"/>
              </w:rPr>
              <w:t>LT</w:t>
            </w:r>
          </w:p>
        </w:tc>
        <w:tc>
          <w:tcPr>
            <w:tcW w:w="2362" w:type="dxa"/>
            <w:shd w:val="clear" w:color="auto" w:fill="auto"/>
            <w:noWrap/>
            <w:vAlign w:val="bottom"/>
          </w:tcPr>
          <w:p w14:paraId="61A39680" w14:textId="77777777" w:rsidR="00772EC3" w:rsidRPr="00702148" w:rsidRDefault="00772EC3" w:rsidP="003C405A">
            <w:pPr>
              <w:spacing w:after="0"/>
              <w:jc w:val="right"/>
              <w:rPr>
                <w:noProof/>
                <w:color w:val="000000"/>
              </w:rPr>
            </w:pPr>
            <w:r>
              <w:rPr>
                <w:noProof/>
                <w:color w:val="000000"/>
              </w:rPr>
              <w:t>–4,6 %</w:t>
            </w:r>
          </w:p>
        </w:tc>
        <w:tc>
          <w:tcPr>
            <w:tcW w:w="2468" w:type="dxa"/>
            <w:shd w:val="clear" w:color="auto" w:fill="auto"/>
            <w:noWrap/>
            <w:vAlign w:val="bottom"/>
          </w:tcPr>
          <w:p w14:paraId="5BD18849" w14:textId="77777777" w:rsidR="00772EC3" w:rsidRPr="00702148" w:rsidRDefault="00772EC3" w:rsidP="003C405A">
            <w:pPr>
              <w:spacing w:after="0"/>
              <w:jc w:val="right"/>
              <w:rPr>
                <w:noProof/>
                <w:color w:val="000000"/>
              </w:rPr>
            </w:pPr>
            <w:r>
              <w:rPr>
                <w:noProof/>
                <w:color w:val="000000"/>
              </w:rPr>
              <w:t>0,6 %</w:t>
            </w:r>
          </w:p>
        </w:tc>
        <w:tc>
          <w:tcPr>
            <w:tcW w:w="2509" w:type="dxa"/>
            <w:shd w:val="clear" w:color="auto" w:fill="auto"/>
            <w:noWrap/>
            <w:vAlign w:val="bottom"/>
          </w:tcPr>
          <w:p w14:paraId="106645EB" w14:textId="77777777" w:rsidR="00772EC3" w:rsidRPr="00702148" w:rsidRDefault="00772EC3" w:rsidP="003C405A">
            <w:pPr>
              <w:spacing w:after="0"/>
              <w:jc w:val="right"/>
              <w:rPr>
                <w:noProof/>
                <w:color w:val="000000"/>
              </w:rPr>
            </w:pPr>
            <w:r>
              <w:rPr>
                <w:noProof/>
                <w:color w:val="000000"/>
              </w:rPr>
              <w:t>0,0 %</w:t>
            </w:r>
          </w:p>
        </w:tc>
      </w:tr>
      <w:tr w:rsidR="00772EC3" w:rsidRPr="004C6A35" w14:paraId="32F3056F" w14:textId="77777777" w:rsidTr="000D3D8F">
        <w:trPr>
          <w:trHeight w:val="300"/>
        </w:trPr>
        <w:tc>
          <w:tcPr>
            <w:tcW w:w="1426" w:type="dxa"/>
            <w:shd w:val="clear" w:color="auto" w:fill="auto"/>
            <w:noWrap/>
            <w:vAlign w:val="bottom"/>
          </w:tcPr>
          <w:p w14:paraId="75ADF891" w14:textId="77777777" w:rsidR="00772EC3" w:rsidRPr="00702148" w:rsidRDefault="00772EC3" w:rsidP="003C405A">
            <w:pPr>
              <w:spacing w:after="0"/>
              <w:rPr>
                <w:noProof/>
                <w:color w:val="000000"/>
              </w:rPr>
            </w:pPr>
            <w:r>
              <w:rPr>
                <w:noProof/>
                <w:color w:val="000000"/>
              </w:rPr>
              <w:t>LU</w:t>
            </w:r>
          </w:p>
        </w:tc>
        <w:tc>
          <w:tcPr>
            <w:tcW w:w="2362" w:type="dxa"/>
            <w:shd w:val="clear" w:color="auto" w:fill="auto"/>
            <w:noWrap/>
            <w:vAlign w:val="bottom"/>
          </w:tcPr>
          <w:p w14:paraId="2E25DC52" w14:textId="77777777" w:rsidR="00772EC3" w:rsidRPr="00702148" w:rsidRDefault="00772EC3" w:rsidP="003C405A">
            <w:pPr>
              <w:spacing w:after="0"/>
              <w:jc w:val="right"/>
              <w:rPr>
                <w:noProof/>
                <w:color w:val="000000"/>
              </w:rPr>
            </w:pPr>
            <w:r>
              <w:rPr>
                <w:noProof/>
                <w:color w:val="000000"/>
              </w:rPr>
              <w:t>2,9 %</w:t>
            </w:r>
          </w:p>
        </w:tc>
        <w:tc>
          <w:tcPr>
            <w:tcW w:w="2468" w:type="dxa"/>
            <w:shd w:val="clear" w:color="auto" w:fill="auto"/>
            <w:noWrap/>
            <w:vAlign w:val="bottom"/>
          </w:tcPr>
          <w:p w14:paraId="7D820330" w14:textId="77777777" w:rsidR="00772EC3" w:rsidRPr="00702148" w:rsidRDefault="00772EC3" w:rsidP="003C405A">
            <w:pPr>
              <w:spacing w:after="0"/>
              <w:jc w:val="right"/>
              <w:rPr>
                <w:noProof/>
                <w:color w:val="000000"/>
              </w:rPr>
            </w:pPr>
            <w:r>
              <w:rPr>
                <w:noProof/>
                <w:color w:val="000000"/>
              </w:rPr>
              <w:t>0,4 %</w:t>
            </w:r>
          </w:p>
        </w:tc>
        <w:tc>
          <w:tcPr>
            <w:tcW w:w="2509" w:type="dxa"/>
            <w:shd w:val="clear" w:color="auto" w:fill="auto"/>
            <w:noWrap/>
            <w:vAlign w:val="bottom"/>
          </w:tcPr>
          <w:p w14:paraId="7FC13AA0" w14:textId="77777777" w:rsidR="00772EC3" w:rsidRPr="00702148" w:rsidRDefault="00772EC3" w:rsidP="003C405A">
            <w:pPr>
              <w:spacing w:after="0"/>
              <w:jc w:val="right"/>
              <w:rPr>
                <w:noProof/>
                <w:color w:val="000000"/>
              </w:rPr>
            </w:pPr>
            <w:r>
              <w:rPr>
                <w:noProof/>
                <w:color w:val="000000"/>
              </w:rPr>
              <w:t>0,0 %</w:t>
            </w:r>
          </w:p>
        </w:tc>
      </w:tr>
      <w:tr w:rsidR="00772EC3" w:rsidRPr="004C6A35" w14:paraId="3C67BA9E" w14:textId="77777777" w:rsidTr="000D3D8F">
        <w:trPr>
          <w:trHeight w:val="300"/>
        </w:trPr>
        <w:tc>
          <w:tcPr>
            <w:tcW w:w="1426" w:type="dxa"/>
            <w:shd w:val="clear" w:color="auto" w:fill="auto"/>
            <w:noWrap/>
            <w:vAlign w:val="bottom"/>
          </w:tcPr>
          <w:p w14:paraId="30245029" w14:textId="77777777" w:rsidR="00772EC3" w:rsidRPr="00702148" w:rsidRDefault="00772EC3" w:rsidP="003C405A">
            <w:pPr>
              <w:spacing w:after="0"/>
              <w:rPr>
                <w:noProof/>
                <w:color w:val="000000"/>
              </w:rPr>
            </w:pPr>
            <w:r>
              <w:rPr>
                <w:noProof/>
                <w:color w:val="000000"/>
              </w:rPr>
              <w:t>HU</w:t>
            </w:r>
          </w:p>
        </w:tc>
        <w:tc>
          <w:tcPr>
            <w:tcW w:w="2362" w:type="dxa"/>
            <w:shd w:val="clear" w:color="auto" w:fill="auto"/>
            <w:noWrap/>
            <w:vAlign w:val="bottom"/>
          </w:tcPr>
          <w:p w14:paraId="7C2410C1" w14:textId="77777777" w:rsidR="00772EC3" w:rsidRPr="00702148" w:rsidRDefault="00772EC3" w:rsidP="003C405A">
            <w:pPr>
              <w:spacing w:after="0"/>
              <w:jc w:val="right"/>
              <w:rPr>
                <w:noProof/>
                <w:color w:val="000000"/>
              </w:rPr>
            </w:pPr>
            <w:r>
              <w:rPr>
                <w:noProof/>
                <w:color w:val="000000"/>
              </w:rPr>
              <w:t>–8,7 %</w:t>
            </w:r>
          </w:p>
        </w:tc>
        <w:tc>
          <w:tcPr>
            <w:tcW w:w="2468" w:type="dxa"/>
            <w:shd w:val="clear" w:color="auto" w:fill="auto"/>
            <w:noWrap/>
            <w:vAlign w:val="bottom"/>
          </w:tcPr>
          <w:p w14:paraId="0EA3B07B" w14:textId="77777777" w:rsidR="00772EC3" w:rsidRPr="00702148" w:rsidRDefault="00772EC3" w:rsidP="003C405A">
            <w:pPr>
              <w:spacing w:after="0"/>
              <w:jc w:val="right"/>
              <w:rPr>
                <w:noProof/>
                <w:color w:val="000000"/>
              </w:rPr>
            </w:pPr>
            <w:r>
              <w:rPr>
                <w:noProof/>
                <w:color w:val="000000"/>
              </w:rPr>
              <w:t>1,7 %</w:t>
            </w:r>
          </w:p>
        </w:tc>
        <w:tc>
          <w:tcPr>
            <w:tcW w:w="2509" w:type="dxa"/>
            <w:shd w:val="clear" w:color="auto" w:fill="auto"/>
            <w:noWrap/>
            <w:vAlign w:val="bottom"/>
          </w:tcPr>
          <w:p w14:paraId="38B6159B" w14:textId="77777777" w:rsidR="00772EC3" w:rsidRPr="00702148" w:rsidRDefault="00772EC3" w:rsidP="003C405A">
            <w:pPr>
              <w:spacing w:after="0"/>
              <w:jc w:val="right"/>
              <w:rPr>
                <w:noProof/>
                <w:color w:val="000000"/>
              </w:rPr>
            </w:pPr>
            <w:r>
              <w:rPr>
                <w:noProof/>
                <w:color w:val="000000"/>
              </w:rPr>
              <w:t>–0,1 %</w:t>
            </w:r>
          </w:p>
        </w:tc>
      </w:tr>
      <w:tr w:rsidR="00772EC3" w:rsidRPr="004C6A35" w14:paraId="39F07923" w14:textId="77777777" w:rsidTr="000D3D8F">
        <w:trPr>
          <w:trHeight w:val="300"/>
        </w:trPr>
        <w:tc>
          <w:tcPr>
            <w:tcW w:w="1426" w:type="dxa"/>
            <w:shd w:val="clear" w:color="auto" w:fill="auto"/>
            <w:noWrap/>
            <w:vAlign w:val="bottom"/>
          </w:tcPr>
          <w:p w14:paraId="726F1B08" w14:textId="77777777" w:rsidR="00772EC3" w:rsidRPr="00702148" w:rsidRDefault="00772EC3" w:rsidP="003C405A">
            <w:pPr>
              <w:spacing w:after="0"/>
              <w:rPr>
                <w:noProof/>
                <w:color w:val="000000"/>
              </w:rPr>
            </w:pPr>
            <w:r>
              <w:rPr>
                <w:noProof/>
                <w:color w:val="000000"/>
              </w:rPr>
              <w:t>MT</w:t>
            </w:r>
          </w:p>
        </w:tc>
        <w:tc>
          <w:tcPr>
            <w:tcW w:w="2362" w:type="dxa"/>
            <w:shd w:val="clear" w:color="auto" w:fill="auto"/>
            <w:noWrap/>
            <w:vAlign w:val="bottom"/>
          </w:tcPr>
          <w:p w14:paraId="2B6D07BB" w14:textId="77777777" w:rsidR="00772EC3" w:rsidRPr="00702148" w:rsidRDefault="00772EC3" w:rsidP="003C405A">
            <w:pPr>
              <w:spacing w:after="0"/>
              <w:jc w:val="right"/>
              <w:rPr>
                <w:noProof/>
                <w:color w:val="000000"/>
              </w:rPr>
            </w:pPr>
            <w:r>
              <w:rPr>
                <w:noProof/>
                <w:color w:val="000000"/>
              </w:rPr>
              <w:t>–2,4 %</w:t>
            </w:r>
          </w:p>
        </w:tc>
        <w:tc>
          <w:tcPr>
            <w:tcW w:w="2468" w:type="dxa"/>
            <w:shd w:val="clear" w:color="auto" w:fill="auto"/>
            <w:noWrap/>
            <w:vAlign w:val="bottom"/>
          </w:tcPr>
          <w:p w14:paraId="10CE544C" w14:textId="77777777" w:rsidR="00772EC3" w:rsidRPr="00702148" w:rsidRDefault="00772EC3" w:rsidP="003C405A">
            <w:pPr>
              <w:spacing w:after="0"/>
              <w:jc w:val="right"/>
              <w:rPr>
                <w:noProof/>
                <w:color w:val="000000"/>
              </w:rPr>
            </w:pPr>
            <w:r>
              <w:rPr>
                <w:noProof/>
                <w:color w:val="000000"/>
              </w:rPr>
              <w:t>0,1 %</w:t>
            </w:r>
          </w:p>
        </w:tc>
        <w:tc>
          <w:tcPr>
            <w:tcW w:w="2509" w:type="dxa"/>
            <w:shd w:val="clear" w:color="auto" w:fill="auto"/>
            <w:noWrap/>
            <w:vAlign w:val="bottom"/>
          </w:tcPr>
          <w:p w14:paraId="5684A666" w14:textId="77777777" w:rsidR="00772EC3" w:rsidRPr="00702148" w:rsidRDefault="00772EC3" w:rsidP="003C405A">
            <w:pPr>
              <w:spacing w:after="0"/>
              <w:jc w:val="right"/>
              <w:rPr>
                <w:noProof/>
                <w:color w:val="000000"/>
              </w:rPr>
            </w:pPr>
            <w:r>
              <w:rPr>
                <w:noProof/>
                <w:color w:val="000000"/>
              </w:rPr>
              <w:t>0,0 %</w:t>
            </w:r>
          </w:p>
        </w:tc>
      </w:tr>
      <w:tr w:rsidR="00772EC3" w:rsidRPr="004C6A35" w14:paraId="10792476" w14:textId="77777777" w:rsidTr="000D3D8F">
        <w:trPr>
          <w:trHeight w:val="300"/>
        </w:trPr>
        <w:tc>
          <w:tcPr>
            <w:tcW w:w="1426" w:type="dxa"/>
            <w:shd w:val="clear" w:color="auto" w:fill="auto"/>
            <w:noWrap/>
            <w:vAlign w:val="bottom"/>
          </w:tcPr>
          <w:p w14:paraId="596404A3" w14:textId="77777777" w:rsidR="00772EC3" w:rsidRPr="00702148" w:rsidRDefault="00772EC3" w:rsidP="003C405A">
            <w:pPr>
              <w:spacing w:after="0"/>
              <w:rPr>
                <w:noProof/>
                <w:color w:val="000000"/>
              </w:rPr>
            </w:pPr>
            <w:r>
              <w:rPr>
                <w:noProof/>
                <w:color w:val="000000"/>
              </w:rPr>
              <w:t>NL</w:t>
            </w:r>
          </w:p>
        </w:tc>
        <w:tc>
          <w:tcPr>
            <w:tcW w:w="2362" w:type="dxa"/>
            <w:shd w:val="clear" w:color="auto" w:fill="auto"/>
            <w:noWrap/>
            <w:vAlign w:val="bottom"/>
          </w:tcPr>
          <w:p w14:paraId="6D12C1A5" w14:textId="77777777" w:rsidR="00772EC3" w:rsidRPr="00702148" w:rsidRDefault="00772EC3" w:rsidP="003C405A">
            <w:pPr>
              <w:spacing w:after="0"/>
              <w:jc w:val="right"/>
              <w:rPr>
                <w:noProof/>
                <w:color w:val="000000"/>
              </w:rPr>
            </w:pPr>
            <w:r>
              <w:rPr>
                <w:noProof/>
                <w:color w:val="000000"/>
              </w:rPr>
              <w:t>0,2 %</w:t>
            </w:r>
          </w:p>
        </w:tc>
        <w:tc>
          <w:tcPr>
            <w:tcW w:w="2468" w:type="dxa"/>
            <w:shd w:val="clear" w:color="auto" w:fill="auto"/>
            <w:noWrap/>
            <w:vAlign w:val="bottom"/>
          </w:tcPr>
          <w:p w14:paraId="039BCE62" w14:textId="77777777" w:rsidR="00772EC3" w:rsidRPr="00702148" w:rsidRDefault="00772EC3" w:rsidP="003C405A">
            <w:pPr>
              <w:spacing w:after="0"/>
              <w:jc w:val="right"/>
              <w:rPr>
                <w:noProof/>
                <w:color w:val="000000"/>
              </w:rPr>
            </w:pPr>
            <w:r>
              <w:rPr>
                <w:noProof/>
                <w:color w:val="000000"/>
              </w:rPr>
              <w:t>5,2 %</w:t>
            </w:r>
          </w:p>
        </w:tc>
        <w:tc>
          <w:tcPr>
            <w:tcW w:w="2509" w:type="dxa"/>
            <w:shd w:val="clear" w:color="auto" w:fill="auto"/>
            <w:noWrap/>
            <w:vAlign w:val="bottom"/>
          </w:tcPr>
          <w:p w14:paraId="0B492766" w14:textId="77777777" w:rsidR="00772EC3" w:rsidRPr="00702148" w:rsidRDefault="00772EC3" w:rsidP="003C405A">
            <w:pPr>
              <w:spacing w:after="0"/>
              <w:jc w:val="right"/>
              <w:rPr>
                <w:noProof/>
                <w:color w:val="000000"/>
              </w:rPr>
            </w:pPr>
            <w:r>
              <w:rPr>
                <w:noProof/>
                <w:color w:val="000000"/>
              </w:rPr>
              <w:t>0,0 %</w:t>
            </w:r>
          </w:p>
        </w:tc>
      </w:tr>
      <w:tr w:rsidR="00772EC3" w:rsidRPr="004C6A35" w14:paraId="649CB6BF" w14:textId="77777777" w:rsidTr="000D3D8F">
        <w:trPr>
          <w:trHeight w:val="300"/>
        </w:trPr>
        <w:tc>
          <w:tcPr>
            <w:tcW w:w="1426" w:type="dxa"/>
            <w:shd w:val="clear" w:color="auto" w:fill="auto"/>
            <w:noWrap/>
            <w:vAlign w:val="bottom"/>
          </w:tcPr>
          <w:p w14:paraId="12788362" w14:textId="77777777" w:rsidR="00772EC3" w:rsidRPr="00702148" w:rsidRDefault="00772EC3" w:rsidP="003C405A">
            <w:pPr>
              <w:spacing w:after="0"/>
              <w:rPr>
                <w:noProof/>
                <w:color w:val="000000"/>
              </w:rPr>
            </w:pPr>
            <w:r>
              <w:rPr>
                <w:noProof/>
                <w:color w:val="000000"/>
              </w:rPr>
              <w:t>AT</w:t>
            </w:r>
          </w:p>
        </w:tc>
        <w:tc>
          <w:tcPr>
            <w:tcW w:w="2362" w:type="dxa"/>
            <w:shd w:val="clear" w:color="auto" w:fill="auto"/>
            <w:noWrap/>
            <w:vAlign w:val="bottom"/>
          </w:tcPr>
          <w:p w14:paraId="34550924" w14:textId="77777777" w:rsidR="00772EC3" w:rsidRPr="00702148" w:rsidRDefault="00772EC3" w:rsidP="003C405A">
            <w:pPr>
              <w:spacing w:after="0"/>
              <w:jc w:val="right"/>
              <w:rPr>
                <w:noProof/>
                <w:color w:val="000000"/>
              </w:rPr>
            </w:pPr>
            <w:r>
              <w:rPr>
                <w:noProof/>
                <w:color w:val="000000"/>
              </w:rPr>
              <w:t>0,5 %</w:t>
            </w:r>
          </w:p>
        </w:tc>
        <w:tc>
          <w:tcPr>
            <w:tcW w:w="2468" w:type="dxa"/>
            <w:shd w:val="clear" w:color="auto" w:fill="auto"/>
            <w:noWrap/>
            <w:vAlign w:val="bottom"/>
          </w:tcPr>
          <w:p w14:paraId="3D4C68F2" w14:textId="77777777" w:rsidR="00772EC3" w:rsidRPr="00702148" w:rsidRDefault="00772EC3" w:rsidP="003C405A">
            <w:pPr>
              <w:spacing w:after="0"/>
              <w:jc w:val="right"/>
              <w:rPr>
                <w:noProof/>
                <w:color w:val="000000"/>
              </w:rPr>
            </w:pPr>
            <w:r>
              <w:rPr>
                <w:noProof/>
                <w:color w:val="000000"/>
              </w:rPr>
              <w:t>2,5 %</w:t>
            </w:r>
          </w:p>
        </w:tc>
        <w:tc>
          <w:tcPr>
            <w:tcW w:w="2509" w:type="dxa"/>
            <w:shd w:val="clear" w:color="auto" w:fill="auto"/>
            <w:noWrap/>
            <w:vAlign w:val="bottom"/>
          </w:tcPr>
          <w:p w14:paraId="3762CE9A" w14:textId="77777777" w:rsidR="00772EC3" w:rsidRPr="00702148" w:rsidRDefault="00772EC3" w:rsidP="003C405A">
            <w:pPr>
              <w:spacing w:after="0"/>
              <w:jc w:val="right"/>
              <w:rPr>
                <w:noProof/>
                <w:color w:val="000000"/>
              </w:rPr>
            </w:pPr>
            <w:r>
              <w:rPr>
                <w:noProof/>
                <w:color w:val="000000"/>
              </w:rPr>
              <w:t>0,0 %</w:t>
            </w:r>
          </w:p>
        </w:tc>
      </w:tr>
      <w:tr w:rsidR="00772EC3" w:rsidRPr="004C6A35" w14:paraId="76A7C241" w14:textId="77777777" w:rsidTr="000D3D8F">
        <w:trPr>
          <w:trHeight w:val="300"/>
        </w:trPr>
        <w:tc>
          <w:tcPr>
            <w:tcW w:w="1426" w:type="dxa"/>
            <w:shd w:val="clear" w:color="auto" w:fill="auto"/>
            <w:noWrap/>
            <w:vAlign w:val="bottom"/>
          </w:tcPr>
          <w:p w14:paraId="6B1B9E31" w14:textId="77777777" w:rsidR="00772EC3" w:rsidRPr="00702148" w:rsidRDefault="00772EC3" w:rsidP="003C405A">
            <w:pPr>
              <w:spacing w:after="0"/>
              <w:rPr>
                <w:noProof/>
                <w:color w:val="000000"/>
              </w:rPr>
            </w:pPr>
            <w:r>
              <w:rPr>
                <w:noProof/>
                <w:color w:val="000000"/>
              </w:rPr>
              <w:t>PL</w:t>
            </w:r>
          </w:p>
        </w:tc>
        <w:tc>
          <w:tcPr>
            <w:tcW w:w="2362" w:type="dxa"/>
            <w:shd w:val="clear" w:color="auto" w:fill="auto"/>
            <w:noWrap/>
            <w:vAlign w:val="bottom"/>
          </w:tcPr>
          <w:p w14:paraId="1D90B1B8" w14:textId="77777777" w:rsidR="00772EC3" w:rsidRPr="00702148" w:rsidRDefault="00772EC3" w:rsidP="003C405A">
            <w:pPr>
              <w:spacing w:after="0"/>
              <w:jc w:val="right"/>
              <w:rPr>
                <w:noProof/>
                <w:color w:val="000000"/>
              </w:rPr>
            </w:pPr>
            <w:r>
              <w:rPr>
                <w:noProof/>
                <w:color w:val="000000"/>
              </w:rPr>
              <w:t>–1,4 %</w:t>
            </w:r>
          </w:p>
        </w:tc>
        <w:tc>
          <w:tcPr>
            <w:tcW w:w="2468" w:type="dxa"/>
            <w:shd w:val="clear" w:color="auto" w:fill="auto"/>
            <w:noWrap/>
            <w:vAlign w:val="bottom"/>
          </w:tcPr>
          <w:p w14:paraId="52FE9352" w14:textId="77777777" w:rsidR="00772EC3" w:rsidRPr="00702148" w:rsidRDefault="00772EC3" w:rsidP="003C405A">
            <w:pPr>
              <w:spacing w:after="0"/>
              <w:jc w:val="right"/>
              <w:rPr>
                <w:noProof/>
                <w:color w:val="000000"/>
              </w:rPr>
            </w:pPr>
            <w:r>
              <w:rPr>
                <w:noProof/>
                <w:color w:val="000000"/>
              </w:rPr>
              <w:t>6,7 %</w:t>
            </w:r>
          </w:p>
        </w:tc>
        <w:tc>
          <w:tcPr>
            <w:tcW w:w="2509" w:type="dxa"/>
            <w:shd w:val="clear" w:color="auto" w:fill="auto"/>
            <w:noWrap/>
            <w:vAlign w:val="bottom"/>
          </w:tcPr>
          <w:p w14:paraId="0B668277" w14:textId="77777777" w:rsidR="00772EC3" w:rsidRPr="00702148" w:rsidRDefault="00772EC3" w:rsidP="003C405A">
            <w:pPr>
              <w:spacing w:after="0"/>
              <w:jc w:val="right"/>
              <w:rPr>
                <w:noProof/>
                <w:color w:val="000000"/>
              </w:rPr>
            </w:pPr>
            <w:r>
              <w:rPr>
                <w:noProof/>
                <w:color w:val="000000"/>
              </w:rPr>
              <w:t>–0,1 %</w:t>
            </w:r>
          </w:p>
        </w:tc>
      </w:tr>
      <w:tr w:rsidR="00772EC3" w:rsidRPr="004C6A35" w14:paraId="03489123" w14:textId="77777777" w:rsidTr="000D3D8F">
        <w:trPr>
          <w:trHeight w:val="300"/>
        </w:trPr>
        <w:tc>
          <w:tcPr>
            <w:tcW w:w="1426" w:type="dxa"/>
            <w:shd w:val="clear" w:color="auto" w:fill="auto"/>
            <w:noWrap/>
            <w:vAlign w:val="bottom"/>
          </w:tcPr>
          <w:p w14:paraId="1CD42C34" w14:textId="77777777" w:rsidR="00772EC3" w:rsidRPr="00702148" w:rsidRDefault="00772EC3" w:rsidP="003C405A">
            <w:pPr>
              <w:spacing w:after="0"/>
              <w:rPr>
                <w:noProof/>
                <w:color w:val="000000"/>
              </w:rPr>
            </w:pPr>
            <w:r>
              <w:rPr>
                <w:noProof/>
                <w:color w:val="000000"/>
              </w:rPr>
              <w:t>PT</w:t>
            </w:r>
          </w:p>
        </w:tc>
        <w:tc>
          <w:tcPr>
            <w:tcW w:w="2362" w:type="dxa"/>
            <w:shd w:val="clear" w:color="auto" w:fill="auto"/>
            <w:noWrap/>
            <w:vAlign w:val="bottom"/>
          </w:tcPr>
          <w:p w14:paraId="12B092A5" w14:textId="77777777" w:rsidR="00772EC3" w:rsidRPr="00702148" w:rsidRDefault="00772EC3" w:rsidP="003C405A">
            <w:pPr>
              <w:spacing w:after="0"/>
              <w:jc w:val="right"/>
              <w:rPr>
                <w:noProof/>
                <w:color w:val="000000"/>
              </w:rPr>
            </w:pPr>
            <w:r>
              <w:rPr>
                <w:noProof/>
                <w:color w:val="000000"/>
              </w:rPr>
              <w:t>2,2 %</w:t>
            </w:r>
          </w:p>
        </w:tc>
        <w:tc>
          <w:tcPr>
            <w:tcW w:w="2468" w:type="dxa"/>
            <w:shd w:val="clear" w:color="auto" w:fill="auto"/>
            <w:noWrap/>
            <w:vAlign w:val="bottom"/>
          </w:tcPr>
          <w:p w14:paraId="1AF68FEC" w14:textId="77777777" w:rsidR="00772EC3" w:rsidRPr="00702148" w:rsidRDefault="00772EC3" w:rsidP="003C405A">
            <w:pPr>
              <w:spacing w:after="0"/>
              <w:jc w:val="right"/>
              <w:rPr>
                <w:noProof/>
                <w:color w:val="000000"/>
              </w:rPr>
            </w:pPr>
            <w:r>
              <w:rPr>
                <w:noProof/>
                <w:color w:val="000000"/>
              </w:rPr>
              <w:t>1,8 %</w:t>
            </w:r>
          </w:p>
        </w:tc>
        <w:tc>
          <w:tcPr>
            <w:tcW w:w="2509" w:type="dxa"/>
            <w:shd w:val="clear" w:color="auto" w:fill="auto"/>
            <w:noWrap/>
            <w:vAlign w:val="bottom"/>
          </w:tcPr>
          <w:p w14:paraId="7FFC0B40" w14:textId="77777777" w:rsidR="00772EC3" w:rsidRPr="00702148" w:rsidRDefault="00772EC3" w:rsidP="003C405A">
            <w:pPr>
              <w:spacing w:after="0"/>
              <w:jc w:val="right"/>
              <w:rPr>
                <w:noProof/>
                <w:color w:val="000000"/>
              </w:rPr>
            </w:pPr>
            <w:r>
              <w:rPr>
                <w:noProof/>
                <w:color w:val="000000"/>
              </w:rPr>
              <w:t>0,0 %</w:t>
            </w:r>
          </w:p>
        </w:tc>
      </w:tr>
      <w:tr w:rsidR="00772EC3" w:rsidRPr="004C6A35" w14:paraId="16F8DC79" w14:textId="77777777" w:rsidTr="000D3D8F">
        <w:trPr>
          <w:trHeight w:val="300"/>
        </w:trPr>
        <w:tc>
          <w:tcPr>
            <w:tcW w:w="1426" w:type="dxa"/>
            <w:shd w:val="clear" w:color="auto" w:fill="auto"/>
            <w:noWrap/>
            <w:vAlign w:val="bottom"/>
          </w:tcPr>
          <w:p w14:paraId="11F49AFF" w14:textId="77777777" w:rsidR="00772EC3" w:rsidRPr="00702148" w:rsidRDefault="00772EC3" w:rsidP="003C405A">
            <w:pPr>
              <w:spacing w:after="0"/>
              <w:rPr>
                <w:noProof/>
                <w:color w:val="000000"/>
              </w:rPr>
            </w:pPr>
            <w:r>
              <w:rPr>
                <w:noProof/>
                <w:color w:val="000000"/>
              </w:rPr>
              <w:t>RO</w:t>
            </w:r>
          </w:p>
        </w:tc>
        <w:tc>
          <w:tcPr>
            <w:tcW w:w="2362" w:type="dxa"/>
            <w:shd w:val="clear" w:color="auto" w:fill="auto"/>
            <w:noWrap/>
            <w:vAlign w:val="bottom"/>
          </w:tcPr>
          <w:p w14:paraId="6FEAF3B7" w14:textId="77777777" w:rsidR="00772EC3" w:rsidRPr="00702148" w:rsidRDefault="00772EC3" w:rsidP="003C405A">
            <w:pPr>
              <w:spacing w:after="0"/>
              <w:jc w:val="right"/>
              <w:rPr>
                <w:noProof/>
                <w:color w:val="000000"/>
              </w:rPr>
            </w:pPr>
            <w:r>
              <w:rPr>
                <w:noProof/>
                <w:color w:val="000000"/>
              </w:rPr>
              <w:t>–0,6 %</w:t>
            </w:r>
          </w:p>
        </w:tc>
        <w:tc>
          <w:tcPr>
            <w:tcW w:w="2468" w:type="dxa"/>
            <w:shd w:val="clear" w:color="auto" w:fill="auto"/>
            <w:noWrap/>
            <w:vAlign w:val="bottom"/>
          </w:tcPr>
          <w:p w14:paraId="2394A479" w14:textId="77777777" w:rsidR="00772EC3" w:rsidRPr="00702148" w:rsidRDefault="00772EC3" w:rsidP="003C405A">
            <w:pPr>
              <w:spacing w:after="0"/>
              <w:jc w:val="right"/>
              <w:rPr>
                <w:noProof/>
                <w:color w:val="000000"/>
              </w:rPr>
            </w:pPr>
            <w:r>
              <w:rPr>
                <w:noProof/>
                <w:color w:val="000000"/>
              </w:rPr>
              <w:t>3,3 %</w:t>
            </w:r>
          </w:p>
        </w:tc>
        <w:tc>
          <w:tcPr>
            <w:tcW w:w="2509" w:type="dxa"/>
            <w:shd w:val="clear" w:color="auto" w:fill="auto"/>
            <w:noWrap/>
            <w:vAlign w:val="bottom"/>
          </w:tcPr>
          <w:p w14:paraId="18768C80" w14:textId="77777777" w:rsidR="00772EC3" w:rsidRPr="00702148" w:rsidRDefault="00772EC3" w:rsidP="003C405A">
            <w:pPr>
              <w:spacing w:after="0"/>
              <w:jc w:val="right"/>
              <w:rPr>
                <w:noProof/>
                <w:color w:val="000000"/>
              </w:rPr>
            </w:pPr>
            <w:r>
              <w:rPr>
                <w:noProof/>
                <w:color w:val="000000"/>
              </w:rPr>
              <w:t>0,0 %</w:t>
            </w:r>
          </w:p>
        </w:tc>
      </w:tr>
      <w:tr w:rsidR="00772EC3" w:rsidRPr="004C6A35" w14:paraId="01AAAC3F" w14:textId="77777777" w:rsidTr="000D3D8F">
        <w:trPr>
          <w:trHeight w:val="300"/>
        </w:trPr>
        <w:tc>
          <w:tcPr>
            <w:tcW w:w="1426" w:type="dxa"/>
            <w:shd w:val="clear" w:color="auto" w:fill="auto"/>
            <w:noWrap/>
            <w:vAlign w:val="bottom"/>
          </w:tcPr>
          <w:p w14:paraId="642EDCDB" w14:textId="77777777" w:rsidR="00772EC3" w:rsidRPr="00702148" w:rsidRDefault="00772EC3" w:rsidP="003C405A">
            <w:pPr>
              <w:spacing w:after="0"/>
              <w:rPr>
                <w:noProof/>
                <w:color w:val="000000"/>
              </w:rPr>
            </w:pPr>
            <w:r>
              <w:rPr>
                <w:noProof/>
                <w:color w:val="000000"/>
              </w:rPr>
              <w:t>SI</w:t>
            </w:r>
          </w:p>
        </w:tc>
        <w:tc>
          <w:tcPr>
            <w:tcW w:w="2362" w:type="dxa"/>
            <w:shd w:val="clear" w:color="auto" w:fill="auto"/>
            <w:noWrap/>
            <w:vAlign w:val="bottom"/>
          </w:tcPr>
          <w:p w14:paraId="74DBA1A9" w14:textId="77777777" w:rsidR="00772EC3" w:rsidRPr="00702148" w:rsidRDefault="00772EC3" w:rsidP="003C405A">
            <w:pPr>
              <w:spacing w:after="0"/>
              <w:jc w:val="right"/>
              <w:rPr>
                <w:noProof/>
                <w:color w:val="000000"/>
              </w:rPr>
            </w:pPr>
            <w:r>
              <w:rPr>
                <w:noProof/>
                <w:color w:val="000000"/>
              </w:rPr>
              <w:t>3,4 %</w:t>
            </w:r>
          </w:p>
        </w:tc>
        <w:tc>
          <w:tcPr>
            <w:tcW w:w="2468" w:type="dxa"/>
            <w:shd w:val="clear" w:color="auto" w:fill="auto"/>
            <w:noWrap/>
            <w:vAlign w:val="bottom"/>
          </w:tcPr>
          <w:p w14:paraId="28D5C403" w14:textId="77777777" w:rsidR="00772EC3" w:rsidRPr="00702148" w:rsidRDefault="00772EC3" w:rsidP="003C405A">
            <w:pPr>
              <w:spacing w:after="0"/>
              <w:jc w:val="right"/>
              <w:rPr>
                <w:noProof/>
                <w:color w:val="000000"/>
              </w:rPr>
            </w:pPr>
            <w:r>
              <w:rPr>
                <w:noProof/>
                <w:color w:val="000000"/>
              </w:rPr>
              <w:t>0,4 %</w:t>
            </w:r>
          </w:p>
        </w:tc>
        <w:tc>
          <w:tcPr>
            <w:tcW w:w="2509" w:type="dxa"/>
            <w:shd w:val="clear" w:color="auto" w:fill="auto"/>
            <w:noWrap/>
            <w:vAlign w:val="bottom"/>
          </w:tcPr>
          <w:p w14:paraId="2BCD650F" w14:textId="77777777" w:rsidR="00772EC3" w:rsidRPr="00702148" w:rsidRDefault="00772EC3" w:rsidP="003C405A">
            <w:pPr>
              <w:spacing w:after="0"/>
              <w:jc w:val="right"/>
              <w:rPr>
                <w:noProof/>
                <w:color w:val="000000"/>
              </w:rPr>
            </w:pPr>
            <w:r>
              <w:rPr>
                <w:noProof/>
                <w:color w:val="000000"/>
              </w:rPr>
              <w:t>0,0 %</w:t>
            </w:r>
          </w:p>
        </w:tc>
      </w:tr>
      <w:tr w:rsidR="00772EC3" w:rsidRPr="004C6A35" w14:paraId="65CBE146" w14:textId="77777777" w:rsidTr="000D3D8F">
        <w:trPr>
          <w:trHeight w:val="300"/>
        </w:trPr>
        <w:tc>
          <w:tcPr>
            <w:tcW w:w="1426" w:type="dxa"/>
            <w:shd w:val="clear" w:color="auto" w:fill="auto"/>
            <w:noWrap/>
            <w:vAlign w:val="bottom"/>
          </w:tcPr>
          <w:p w14:paraId="0B9E9E6B" w14:textId="77777777" w:rsidR="00772EC3" w:rsidRPr="00702148" w:rsidRDefault="00772EC3" w:rsidP="003C405A">
            <w:pPr>
              <w:spacing w:after="0"/>
              <w:rPr>
                <w:noProof/>
                <w:color w:val="000000"/>
              </w:rPr>
            </w:pPr>
            <w:r>
              <w:rPr>
                <w:noProof/>
                <w:color w:val="000000"/>
              </w:rPr>
              <w:t>SK</w:t>
            </w:r>
          </w:p>
        </w:tc>
        <w:tc>
          <w:tcPr>
            <w:tcW w:w="2362" w:type="dxa"/>
            <w:shd w:val="clear" w:color="auto" w:fill="auto"/>
            <w:noWrap/>
            <w:vAlign w:val="bottom"/>
          </w:tcPr>
          <w:p w14:paraId="5F3024D2" w14:textId="77777777" w:rsidR="00772EC3" w:rsidRPr="00702148" w:rsidRDefault="00772EC3" w:rsidP="003C405A">
            <w:pPr>
              <w:spacing w:after="0"/>
              <w:jc w:val="right"/>
              <w:rPr>
                <w:noProof/>
                <w:color w:val="000000"/>
              </w:rPr>
            </w:pPr>
            <w:r>
              <w:rPr>
                <w:noProof/>
                <w:color w:val="000000"/>
              </w:rPr>
              <w:t>0,0 %</w:t>
            </w:r>
          </w:p>
        </w:tc>
        <w:tc>
          <w:tcPr>
            <w:tcW w:w="2468" w:type="dxa"/>
            <w:shd w:val="clear" w:color="auto" w:fill="auto"/>
            <w:noWrap/>
            <w:vAlign w:val="bottom"/>
          </w:tcPr>
          <w:p w14:paraId="550174BB" w14:textId="77777777" w:rsidR="00772EC3" w:rsidRPr="00702148" w:rsidRDefault="00772EC3" w:rsidP="003C405A">
            <w:pPr>
              <w:spacing w:after="0"/>
              <w:jc w:val="right"/>
              <w:rPr>
                <w:noProof/>
                <w:color w:val="000000"/>
              </w:rPr>
            </w:pPr>
            <w:r>
              <w:rPr>
                <w:noProof/>
                <w:color w:val="000000"/>
              </w:rPr>
              <w:t>0,8 %</w:t>
            </w:r>
          </w:p>
        </w:tc>
        <w:tc>
          <w:tcPr>
            <w:tcW w:w="2509" w:type="dxa"/>
            <w:shd w:val="clear" w:color="auto" w:fill="auto"/>
            <w:noWrap/>
            <w:vAlign w:val="bottom"/>
          </w:tcPr>
          <w:p w14:paraId="33E7FC6E" w14:textId="77777777" w:rsidR="00772EC3" w:rsidRPr="00702148" w:rsidRDefault="00772EC3" w:rsidP="003C405A">
            <w:pPr>
              <w:spacing w:after="0"/>
              <w:jc w:val="right"/>
              <w:rPr>
                <w:noProof/>
                <w:color w:val="000000"/>
              </w:rPr>
            </w:pPr>
            <w:r>
              <w:rPr>
                <w:noProof/>
                <w:color w:val="000000"/>
              </w:rPr>
              <w:t>0,0 %</w:t>
            </w:r>
          </w:p>
        </w:tc>
      </w:tr>
      <w:tr w:rsidR="00772EC3" w:rsidRPr="004C6A35" w14:paraId="6078B771" w14:textId="77777777" w:rsidTr="000D3D8F">
        <w:trPr>
          <w:trHeight w:val="300"/>
        </w:trPr>
        <w:tc>
          <w:tcPr>
            <w:tcW w:w="1426" w:type="dxa"/>
            <w:shd w:val="clear" w:color="auto" w:fill="auto"/>
            <w:noWrap/>
            <w:vAlign w:val="bottom"/>
          </w:tcPr>
          <w:p w14:paraId="598E280C" w14:textId="77777777" w:rsidR="00772EC3" w:rsidRPr="00702148" w:rsidRDefault="00772EC3" w:rsidP="003C405A">
            <w:pPr>
              <w:spacing w:after="0"/>
              <w:rPr>
                <w:noProof/>
                <w:color w:val="000000"/>
              </w:rPr>
            </w:pPr>
            <w:r>
              <w:rPr>
                <w:noProof/>
                <w:color w:val="000000"/>
              </w:rPr>
              <w:t>FI</w:t>
            </w:r>
          </w:p>
        </w:tc>
        <w:tc>
          <w:tcPr>
            <w:tcW w:w="2362" w:type="dxa"/>
            <w:shd w:val="clear" w:color="auto" w:fill="auto"/>
            <w:noWrap/>
            <w:vAlign w:val="bottom"/>
          </w:tcPr>
          <w:p w14:paraId="3DA34A99" w14:textId="77777777" w:rsidR="00772EC3" w:rsidRPr="00702148" w:rsidRDefault="00772EC3" w:rsidP="003C405A">
            <w:pPr>
              <w:spacing w:after="0"/>
              <w:jc w:val="right"/>
              <w:rPr>
                <w:noProof/>
                <w:color w:val="000000"/>
              </w:rPr>
            </w:pPr>
            <w:r>
              <w:rPr>
                <w:noProof/>
                <w:color w:val="000000"/>
              </w:rPr>
              <w:t>–0,9 %</w:t>
            </w:r>
          </w:p>
        </w:tc>
        <w:tc>
          <w:tcPr>
            <w:tcW w:w="2468" w:type="dxa"/>
            <w:shd w:val="clear" w:color="auto" w:fill="auto"/>
            <w:noWrap/>
            <w:vAlign w:val="bottom"/>
          </w:tcPr>
          <w:p w14:paraId="3C719B2F" w14:textId="77777777" w:rsidR="00772EC3" w:rsidRPr="00702148" w:rsidRDefault="00772EC3" w:rsidP="003C405A">
            <w:pPr>
              <w:spacing w:after="0"/>
              <w:jc w:val="right"/>
              <w:rPr>
                <w:noProof/>
                <w:color w:val="000000"/>
              </w:rPr>
            </w:pPr>
            <w:r>
              <w:rPr>
                <w:noProof/>
                <w:color w:val="000000"/>
              </w:rPr>
              <w:t>1,4 %</w:t>
            </w:r>
          </w:p>
        </w:tc>
        <w:tc>
          <w:tcPr>
            <w:tcW w:w="2509" w:type="dxa"/>
            <w:shd w:val="clear" w:color="auto" w:fill="auto"/>
            <w:noWrap/>
            <w:vAlign w:val="bottom"/>
          </w:tcPr>
          <w:p w14:paraId="6D5B3E7A" w14:textId="77777777" w:rsidR="00772EC3" w:rsidRPr="00702148" w:rsidRDefault="00772EC3" w:rsidP="003C405A">
            <w:pPr>
              <w:spacing w:after="0"/>
              <w:jc w:val="right"/>
              <w:rPr>
                <w:noProof/>
                <w:color w:val="000000"/>
              </w:rPr>
            </w:pPr>
            <w:r>
              <w:rPr>
                <w:noProof/>
                <w:color w:val="000000"/>
              </w:rPr>
              <w:t>0,0 %</w:t>
            </w:r>
          </w:p>
        </w:tc>
      </w:tr>
      <w:tr w:rsidR="00772EC3" w:rsidRPr="004C6A35" w14:paraId="3589E73F" w14:textId="77777777" w:rsidTr="000D3D8F">
        <w:trPr>
          <w:trHeight w:val="300"/>
        </w:trPr>
        <w:tc>
          <w:tcPr>
            <w:tcW w:w="1426" w:type="dxa"/>
            <w:shd w:val="clear" w:color="auto" w:fill="auto"/>
            <w:noWrap/>
            <w:vAlign w:val="bottom"/>
          </w:tcPr>
          <w:p w14:paraId="12226443" w14:textId="77777777" w:rsidR="00772EC3" w:rsidRPr="00702148" w:rsidRDefault="00772EC3" w:rsidP="003C405A">
            <w:pPr>
              <w:spacing w:after="0"/>
              <w:rPr>
                <w:noProof/>
                <w:color w:val="000000"/>
              </w:rPr>
            </w:pPr>
            <w:r>
              <w:rPr>
                <w:noProof/>
                <w:color w:val="000000"/>
              </w:rPr>
              <w:t>SE</w:t>
            </w:r>
          </w:p>
        </w:tc>
        <w:tc>
          <w:tcPr>
            <w:tcW w:w="2362" w:type="dxa"/>
            <w:shd w:val="clear" w:color="auto" w:fill="auto"/>
            <w:noWrap/>
            <w:vAlign w:val="bottom"/>
          </w:tcPr>
          <w:p w14:paraId="4C6D1BA1" w14:textId="77777777" w:rsidR="00772EC3" w:rsidRPr="00702148" w:rsidRDefault="00772EC3" w:rsidP="003C405A">
            <w:pPr>
              <w:spacing w:after="0"/>
              <w:jc w:val="right"/>
              <w:rPr>
                <w:noProof/>
                <w:color w:val="000000"/>
              </w:rPr>
            </w:pPr>
            <w:r>
              <w:rPr>
                <w:noProof/>
                <w:color w:val="000000"/>
              </w:rPr>
              <w:t>–4,6 %</w:t>
            </w:r>
          </w:p>
        </w:tc>
        <w:tc>
          <w:tcPr>
            <w:tcW w:w="2468" w:type="dxa"/>
            <w:shd w:val="clear" w:color="auto" w:fill="auto"/>
            <w:noWrap/>
            <w:vAlign w:val="bottom"/>
          </w:tcPr>
          <w:p w14:paraId="10C9DFA9" w14:textId="77777777" w:rsidR="00772EC3" w:rsidRPr="00702148" w:rsidRDefault="00772EC3" w:rsidP="003C405A">
            <w:pPr>
              <w:spacing w:after="0"/>
              <w:jc w:val="right"/>
              <w:rPr>
                <w:noProof/>
                <w:color w:val="000000"/>
              </w:rPr>
            </w:pPr>
            <w:r>
              <w:rPr>
                <w:noProof/>
                <w:color w:val="000000"/>
              </w:rPr>
              <w:t>2,8 %</w:t>
            </w:r>
          </w:p>
        </w:tc>
        <w:tc>
          <w:tcPr>
            <w:tcW w:w="2509" w:type="dxa"/>
            <w:shd w:val="clear" w:color="auto" w:fill="auto"/>
            <w:noWrap/>
            <w:vAlign w:val="bottom"/>
          </w:tcPr>
          <w:p w14:paraId="2B9606A6" w14:textId="77777777" w:rsidR="00772EC3" w:rsidRPr="00702148" w:rsidRDefault="00772EC3" w:rsidP="003C405A">
            <w:pPr>
              <w:spacing w:after="0"/>
              <w:jc w:val="right"/>
              <w:rPr>
                <w:noProof/>
                <w:color w:val="000000"/>
              </w:rPr>
            </w:pPr>
            <w:r>
              <w:rPr>
                <w:noProof/>
                <w:color w:val="000000"/>
              </w:rPr>
              <w:t>–0,1 %</w:t>
            </w:r>
          </w:p>
        </w:tc>
      </w:tr>
    </w:tbl>
    <w:p w14:paraId="067926AB" w14:textId="77777777" w:rsidR="00772EC3" w:rsidRPr="00702148" w:rsidRDefault="00772EC3" w:rsidP="00245D7E">
      <w:pPr>
        <w:tabs>
          <w:tab w:val="right" w:pos="8647"/>
        </w:tabs>
        <w:spacing w:after="200" w:line="276" w:lineRule="auto"/>
        <w:rPr>
          <w:b/>
          <w:bCs/>
          <w:noProof/>
          <w:szCs w:val="24"/>
        </w:rPr>
      </w:pPr>
      <w:r>
        <w:rPr>
          <w:b/>
          <w:i/>
          <w:noProof/>
        </w:rPr>
        <w:tab/>
        <w:t>Kokonaisindikaattori vuosina 2022–2023: –1,7 %</w:t>
      </w:r>
    </w:p>
    <w:p w14:paraId="70CD2C3C" w14:textId="77777777" w:rsidR="00772EC3" w:rsidRPr="00702148" w:rsidRDefault="00772EC3" w:rsidP="00245D7E">
      <w:pPr>
        <w:spacing w:after="200" w:line="276" w:lineRule="auto"/>
        <w:rPr>
          <w:b/>
          <w:bCs/>
          <w:noProof/>
          <w:szCs w:val="24"/>
        </w:rPr>
      </w:pPr>
    </w:p>
    <w:p w14:paraId="0A26E9E5" w14:textId="77777777" w:rsidR="00772EC3" w:rsidRPr="00245D7E" w:rsidRDefault="00772EC3" w:rsidP="00245D7E">
      <w:pPr>
        <w:rPr>
          <w:noProof/>
          <w:szCs w:val="24"/>
        </w:rPr>
      </w:pPr>
    </w:p>
    <w:sectPr w:rsidR="00772EC3" w:rsidRPr="00245D7E" w:rsidSect="004F20F4">
      <w:headerReference w:type="even" r:id="rId17"/>
      <w:headerReference w:type="default" r:id="rId18"/>
      <w:footerReference w:type="even" r:id="rId19"/>
      <w:footerReference w:type="default" r:id="rId20"/>
      <w:headerReference w:type="first" r:id="rId21"/>
      <w:footerReference w:type="first" r:id="rId22"/>
      <w:endnotePr>
        <w:numFmt w:val="lowerLetter"/>
      </w:endnotePr>
      <w:pgSz w:w="11906" w:h="16838"/>
      <w:pgMar w:top="1020" w:right="1416"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1DF1" w14:textId="77777777" w:rsidR="00933599" w:rsidRDefault="00933599">
      <w:pPr>
        <w:spacing w:after="0"/>
      </w:pPr>
      <w:r>
        <w:separator/>
      </w:r>
    </w:p>
  </w:endnote>
  <w:endnote w:type="continuationSeparator" w:id="0">
    <w:p w14:paraId="20A1C440" w14:textId="77777777" w:rsidR="00933599" w:rsidRDefault="009335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3E07" w14:textId="2E52D443" w:rsidR="000354AD" w:rsidRPr="000354AD" w:rsidRDefault="000354AD" w:rsidP="000354AD">
    <w:pPr>
      <w:pStyle w:val="FooterCoverPage"/>
      <w:rPr>
        <w:rFonts w:ascii="Arial" w:hAnsi="Arial" w:cs="Arial"/>
        <w:b/>
        <w:sz w:val="48"/>
      </w:rPr>
    </w:pPr>
    <w:r w:rsidRPr="000354AD">
      <w:rPr>
        <w:rFonts w:ascii="Arial" w:hAnsi="Arial" w:cs="Arial"/>
        <w:b/>
        <w:sz w:val="48"/>
      </w:rPr>
      <w:t>FI</w:t>
    </w:r>
    <w:r w:rsidRPr="000354AD">
      <w:rPr>
        <w:rFonts w:ascii="Arial" w:hAnsi="Arial" w:cs="Arial"/>
        <w:b/>
        <w:sz w:val="48"/>
      </w:rPr>
      <w:tab/>
    </w:r>
    <w:r w:rsidRPr="000354AD">
      <w:rPr>
        <w:rFonts w:ascii="Arial" w:hAnsi="Arial" w:cs="Arial"/>
        <w:b/>
        <w:sz w:val="48"/>
      </w:rPr>
      <w:tab/>
    </w:r>
    <w:r w:rsidRPr="000354AD">
      <w:tab/>
    </w:r>
    <w:r w:rsidRPr="000354AD">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58CE" w14:textId="1CB41EA9" w:rsidR="000354AD" w:rsidRPr="000354AD" w:rsidRDefault="000354AD" w:rsidP="000354AD">
    <w:pPr>
      <w:pStyle w:val="FooterCoverPage"/>
      <w:rPr>
        <w:rFonts w:ascii="Arial" w:hAnsi="Arial" w:cs="Arial"/>
        <w:b/>
        <w:sz w:val="48"/>
      </w:rPr>
    </w:pPr>
    <w:r w:rsidRPr="000354AD">
      <w:rPr>
        <w:rFonts w:ascii="Arial" w:hAnsi="Arial" w:cs="Arial"/>
        <w:b/>
        <w:sz w:val="48"/>
      </w:rPr>
      <w:t>FI</w:t>
    </w:r>
    <w:r w:rsidRPr="000354AD">
      <w:rPr>
        <w:rFonts w:ascii="Arial" w:hAnsi="Arial" w:cs="Arial"/>
        <w:b/>
        <w:sz w:val="48"/>
      </w:rPr>
      <w:tab/>
    </w:r>
    <w:r w:rsidRPr="000354AD">
      <w:rPr>
        <w:rFonts w:ascii="Arial" w:hAnsi="Arial" w:cs="Arial"/>
        <w:b/>
        <w:sz w:val="48"/>
      </w:rPr>
      <w:tab/>
    </w:r>
    <w:r w:rsidRPr="000354AD">
      <w:tab/>
    </w:r>
    <w:r w:rsidRPr="000354AD">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B72A" w14:textId="77777777" w:rsidR="000354AD" w:rsidRPr="000354AD" w:rsidRDefault="000354AD" w:rsidP="000354A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CB89" w14:textId="77777777" w:rsidR="00843DDE" w:rsidRDefault="00843D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8"/>
      </w:rPr>
      <w:id w:val="-1736540940"/>
      <w:docPartObj>
        <w:docPartGallery w:val="Page Numbers (Bottom of Page)"/>
        <w:docPartUnique/>
      </w:docPartObj>
    </w:sdtPr>
    <w:sdtEndPr>
      <w:rPr>
        <w:noProof/>
      </w:rPr>
    </w:sdtEndPr>
    <w:sdtContent>
      <w:p w14:paraId="5DDE4145" w14:textId="6C4B0BC6" w:rsidR="00843DDE" w:rsidRPr="00364D7E" w:rsidRDefault="00364D7E" w:rsidP="00364D7E">
        <w:pPr>
          <w:pStyle w:val="Footer"/>
          <w:jc w:val="center"/>
          <w:rPr>
            <w:sz w:val="22"/>
            <w:szCs w:val="28"/>
          </w:rPr>
        </w:pPr>
        <w:r w:rsidRPr="00364D7E">
          <w:rPr>
            <w:sz w:val="22"/>
          </w:rPr>
          <w:fldChar w:fldCharType="begin"/>
        </w:r>
        <w:r w:rsidRPr="00364D7E">
          <w:rPr>
            <w:sz w:val="22"/>
          </w:rPr>
          <w:instrText xml:space="preserve"> PAGE   \* MERGEFORMAT </w:instrText>
        </w:r>
        <w:r w:rsidRPr="00364D7E">
          <w:rPr>
            <w:sz w:val="22"/>
          </w:rPr>
          <w:fldChar w:fldCharType="separate"/>
        </w:r>
        <w:r w:rsidR="000354AD">
          <w:rPr>
            <w:noProof/>
            <w:sz w:val="22"/>
          </w:rPr>
          <w:t>1</w:t>
        </w:r>
        <w:r w:rsidRPr="00364D7E">
          <w:rPr>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3514" w14:textId="77777777" w:rsidR="00843DDE" w:rsidRDefault="00843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7AEE" w14:textId="77777777" w:rsidR="00933599" w:rsidRDefault="00933599">
      <w:pPr>
        <w:spacing w:after="0"/>
      </w:pPr>
      <w:r>
        <w:separator/>
      </w:r>
    </w:p>
  </w:footnote>
  <w:footnote w:type="continuationSeparator" w:id="0">
    <w:p w14:paraId="2E19E2BA" w14:textId="77777777" w:rsidR="00933599" w:rsidRDefault="00933599">
      <w:pPr>
        <w:spacing w:after="0"/>
      </w:pPr>
      <w:r>
        <w:continuationSeparator/>
      </w:r>
    </w:p>
  </w:footnote>
  <w:footnote w:id="1">
    <w:p w14:paraId="463463D9" w14:textId="43B80A76" w:rsidR="00772EC3" w:rsidRPr="001B322F" w:rsidRDefault="00772EC3" w:rsidP="00933599">
      <w:pPr>
        <w:pStyle w:val="FootnoteText"/>
        <w:jc w:val="left"/>
      </w:pPr>
      <w:r>
        <w:rPr>
          <w:rStyle w:val="FootnoteReference"/>
        </w:rPr>
        <w:footnoteRef/>
      </w:r>
      <w:r>
        <w:t xml:space="preserve"> Euroopan parlamentin ja neuvoston asetus (EY) N:o 810/2009, annettu 13 päivänä heinäkuuta 2009, yhteisön viisumisäännöstön laatimisesta (EUVL L 243, 15.9.2009, s. 1,</w:t>
      </w:r>
      <w:r>
        <w:br/>
        <w:t xml:space="preserve">ELI: </w:t>
      </w:r>
      <w:hyperlink r:id="rId1" w:history="1">
        <w:r>
          <w:rPr>
            <w:rStyle w:val="Hyperlink"/>
          </w:rPr>
          <w:t>http://data.europa.eu/eli/reg/2009/810/2020-02-02</w:t>
        </w:r>
      </w:hyperlink>
      <w:r>
        <w:t>).</w:t>
      </w:r>
    </w:p>
  </w:footnote>
  <w:footnote w:id="2">
    <w:p w14:paraId="62E74F9A" w14:textId="77777777" w:rsidR="00772EC3" w:rsidRPr="001B322F" w:rsidRDefault="00772EC3" w:rsidP="00245D7E">
      <w:pPr>
        <w:pStyle w:val="FootnoteText"/>
      </w:pPr>
      <w:r>
        <w:rPr>
          <w:rStyle w:val="FootnoteReference"/>
        </w:rPr>
        <w:footnoteRef/>
      </w:r>
      <w:r>
        <w:t xml:space="preserve"> Maksua korotettiin 60 eurosta viisumisäännöstön viimeisimmän tarkistuksen yhteydessä vuonna 2020.</w:t>
      </w:r>
    </w:p>
  </w:footnote>
  <w:footnote w:id="3">
    <w:p w14:paraId="5EE5A3A1" w14:textId="40110EAD" w:rsidR="00772EC3" w:rsidRPr="00933599" w:rsidRDefault="00772EC3" w:rsidP="00245D7E">
      <w:pPr>
        <w:pStyle w:val="FootnoteText"/>
      </w:pPr>
      <w:r>
        <w:rPr>
          <w:rStyle w:val="FootnoteReference"/>
        </w:rPr>
        <w:footnoteRef/>
      </w:r>
      <w:r>
        <w:t xml:space="preserve"> ELI: </w:t>
      </w:r>
      <w:hyperlink r:id="rId2" w:tooltip="Hakee asiakirjan sen ELI URI -tunnisteen avulla." w:history="1">
        <w:r>
          <w:rPr>
            <w:rStyle w:val="Hyperlink"/>
          </w:rPr>
          <w:t>http://data.europa.eu/eli/agree_internation/2013/628/oj</w:t>
        </w:r>
      </w:hyperlink>
    </w:p>
  </w:footnote>
  <w:footnote w:id="4">
    <w:p w14:paraId="2AC34BC7" w14:textId="3C0FB413" w:rsidR="00772EC3" w:rsidRPr="00933599" w:rsidRDefault="00772EC3" w:rsidP="00245D7E">
      <w:pPr>
        <w:pStyle w:val="FootnoteText"/>
      </w:pPr>
      <w:r>
        <w:rPr>
          <w:rStyle w:val="FootnoteReference"/>
        </w:rPr>
        <w:footnoteRef/>
      </w:r>
      <w:r>
        <w:t xml:space="preserve"> ELI: </w:t>
      </w:r>
      <w:hyperlink r:id="rId3" w:tooltip="Hakee asiakirjan sen ELI URI -tunnisteen avulla." w:history="1">
        <w:r>
          <w:rPr>
            <w:rStyle w:val="Hyperlink"/>
          </w:rPr>
          <w:t>http://data.europa.eu/eli/agree_internation/2014/242/oj</w:t>
        </w:r>
      </w:hyperlink>
    </w:p>
  </w:footnote>
  <w:footnote w:id="5">
    <w:p w14:paraId="213EE78A" w14:textId="34A0F551" w:rsidR="00772EC3" w:rsidRPr="002A45DA" w:rsidRDefault="00772EC3" w:rsidP="00245D7E">
      <w:pPr>
        <w:pStyle w:val="FootnoteText"/>
      </w:pPr>
      <w:r>
        <w:rPr>
          <w:rStyle w:val="FootnoteReference"/>
        </w:rPr>
        <w:footnoteRef/>
      </w:r>
      <w:r>
        <w:t xml:space="preserve"> ELI: </w:t>
      </w:r>
      <w:hyperlink r:id="rId4" w:tooltip="Hakee asiakirjan sen ELI URI -tunnisteen avulla." w:history="1">
        <w:r>
          <w:rPr>
            <w:rStyle w:val="Hyperlink"/>
          </w:rPr>
          <w:t>http://data.europa.eu/eli/agree_internation/2020/752/oj</w:t>
        </w:r>
      </w:hyperlink>
    </w:p>
  </w:footnote>
  <w:footnote w:id="6">
    <w:p w14:paraId="05454F3C" w14:textId="51AD72CA" w:rsidR="00772EC3" w:rsidRPr="002A45DA" w:rsidRDefault="00772EC3" w:rsidP="00245D7E">
      <w:pPr>
        <w:pStyle w:val="FootnoteText"/>
      </w:pPr>
      <w:r>
        <w:rPr>
          <w:rStyle w:val="FootnoteReference"/>
        </w:rPr>
        <w:footnoteRef/>
      </w:r>
      <w:r>
        <w:t xml:space="preserve"> ELI: </w:t>
      </w:r>
      <w:hyperlink r:id="rId5" w:tooltip="Hakee asiakirjan sen ELI URI -tunnisteen avulla." w:history="1">
        <w:r>
          <w:rPr>
            <w:rStyle w:val="Hyperlink"/>
          </w:rPr>
          <w:t>http://data.europa.eu/eli/dec/2021/1940/oj</w:t>
        </w:r>
      </w:hyperlink>
    </w:p>
  </w:footnote>
  <w:footnote w:id="7">
    <w:p w14:paraId="4EFD69D1" w14:textId="0FB7F88D" w:rsidR="00772EC3" w:rsidRPr="002A45DA" w:rsidRDefault="00772EC3" w:rsidP="00245D7E">
      <w:pPr>
        <w:pStyle w:val="FootnoteText"/>
      </w:pPr>
      <w:r>
        <w:rPr>
          <w:rStyle w:val="FootnoteReference"/>
        </w:rPr>
        <w:footnoteRef/>
      </w:r>
      <w:r>
        <w:t xml:space="preserve"> ELI: </w:t>
      </w:r>
      <w:hyperlink r:id="rId6" w:tooltip="Hakee asiakirjan sen ELI URI -tunnisteen avulla." w:history="1">
        <w:r>
          <w:rPr>
            <w:rStyle w:val="Hyperlink"/>
          </w:rPr>
          <w:t>http://data.europa.eu/eli/agree_internation/2013/521/2021-10-19</w:t>
        </w:r>
      </w:hyperlink>
    </w:p>
  </w:footnote>
  <w:footnote w:id="8">
    <w:p w14:paraId="6AD15987" w14:textId="231C08B4" w:rsidR="00772EC3" w:rsidRPr="001B322F" w:rsidRDefault="00772EC3" w:rsidP="00245D7E">
      <w:pPr>
        <w:pStyle w:val="FootnoteText"/>
      </w:pPr>
      <w:r>
        <w:rPr>
          <w:rStyle w:val="FootnoteReference"/>
        </w:rPr>
        <w:footnoteRef/>
      </w:r>
      <w:r>
        <w:t xml:space="preserve"> Euroopan parlamentin ja neuvoston asetus (EU) 2018/1806, annettu 14 päivänä marraskuuta 2018, luettelon vahvistamisesta kolmansista maista, joiden kansalaisilla on oltava viisumi ulkorajoja ylittäessään, ja niistä kolmansista maista, joiden kansalaisia tämä vaatimus ei koske (EUVL L 303, 28.11.2018, s. 39–58, ELI: </w:t>
      </w:r>
      <w:hyperlink r:id="rId7" w:tooltip="Hakee asiakirjan sen ELI URI -tunnisteen avulla." w:history="1">
        <w:r>
          <w:rPr>
            <w:rStyle w:val="Hyperlink"/>
          </w:rPr>
          <w:t>http://data.europa.eu/eli/reg/2018/1806/2023-05-15</w:t>
        </w:r>
      </w:hyperlink>
      <w:r>
        <w:t>).</w:t>
      </w:r>
    </w:p>
  </w:footnote>
  <w:footnote w:id="9">
    <w:p w14:paraId="7C6491BE" w14:textId="77777777" w:rsidR="00772EC3" w:rsidRPr="001B322F" w:rsidRDefault="00772EC3" w:rsidP="00245D7E">
      <w:pPr>
        <w:pStyle w:val="FootnoteText"/>
      </w:pPr>
      <w:r>
        <w:rPr>
          <w:rStyle w:val="FootnoteReference"/>
        </w:rPr>
        <w:footnoteRef/>
      </w:r>
      <w:r>
        <w:t xml:space="preserve"> Jos näiden maiden kansalaisten on kuitenkin haettava lyhytaikaista viisumia esimerkiksi siksi, että heillä on muu kuin biometrinen passi, minkä vuoksi he eivät voi matkustaa ilman viisumia, viisumihelpotussopimuksia sovelletaan edelleen. Sopimuksissa määrätään aikuisilta hakijoilta perittävästä 35 euron viisumimaksusta, johon viisumimaksun korottaminen ei vaikuttaisi.</w:t>
      </w:r>
    </w:p>
  </w:footnote>
  <w:footnote w:id="10">
    <w:p w14:paraId="3938100C" w14:textId="5E9373D7" w:rsidR="00772EC3" w:rsidRPr="00DC5B3E" w:rsidRDefault="00772EC3" w:rsidP="00245D7E">
      <w:pPr>
        <w:pStyle w:val="FootnoteText"/>
      </w:pPr>
      <w:r>
        <w:rPr>
          <w:rStyle w:val="FootnoteReference"/>
        </w:rPr>
        <w:footnoteRef/>
      </w:r>
      <w:r>
        <w:t xml:space="preserve"> ELI: </w:t>
      </w:r>
      <w:hyperlink r:id="rId8" w:tooltip="Hakee asiakirjan sen ELI URI -tunnisteen avulla." w:history="1">
        <w:r>
          <w:rPr>
            <w:rStyle w:val="Hyperlink"/>
          </w:rPr>
          <w:t>http://data.europa.eu/eli/dec/2022/1500/oj</w:t>
        </w:r>
      </w:hyperlink>
    </w:p>
  </w:footnote>
  <w:footnote w:id="11">
    <w:p w14:paraId="36CC7719" w14:textId="5955D548" w:rsidR="00772EC3" w:rsidRPr="00DC5B3E" w:rsidRDefault="00772EC3" w:rsidP="00245D7E">
      <w:pPr>
        <w:pStyle w:val="FootnoteText"/>
      </w:pPr>
      <w:r>
        <w:rPr>
          <w:rStyle w:val="FootnoteReference"/>
        </w:rPr>
        <w:footnoteRef/>
      </w:r>
      <w:r>
        <w:t xml:space="preserve"> </w:t>
      </w:r>
      <w:hyperlink r:id="rId9" w:history="1">
        <w:r>
          <w:rPr>
            <w:rStyle w:val="Hyperlink"/>
          </w:rPr>
          <w:t>https://ec.europa.eu/eurostat/databrowser//product/view/PRC_HICP_MIDX</w:t>
        </w:r>
      </w:hyperlink>
      <w:r>
        <w:t xml:space="preserve"> </w:t>
      </w:r>
    </w:p>
  </w:footnote>
  <w:footnote w:id="12">
    <w:p w14:paraId="5D01D2A5" w14:textId="672A5A88" w:rsidR="00772EC3" w:rsidRPr="001B322F" w:rsidRDefault="00772EC3" w:rsidP="00DC5B3E">
      <w:pPr>
        <w:pStyle w:val="FootnoteText"/>
      </w:pPr>
      <w:r>
        <w:rPr>
          <w:rStyle w:val="FootnoteReference"/>
        </w:rPr>
        <w:footnoteRef/>
      </w:r>
      <w:r>
        <w:t xml:space="preserve"> Eurostatin raportit EU:n virkamiesten palkkojen ja eläkkeiden vuosittaisista päivityksistä 2021, 2022 ja 2023, saatavilla osoitteessa https://ec.europa.eu/eurostat/web/civil-servants-remuneration/publications. Tietokanta on saatavilla Eurobase-selaimessa osoitteessa </w:t>
      </w:r>
      <w:hyperlink r:id="rId10" w:history="1">
        <w:r>
          <w:rPr>
            <w:rStyle w:val="Hyperlink"/>
          </w:rPr>
          <w:t>https://ec.europa.eu/eurostat/databrowser/view/prc_rem_cs/default/table</w:t>
        </w:r>
      </w:hyperlink>
      <w:r>
        <w:t xml:space="preserve"> </w:t>
      </w:r>
    </w:p>
  </w:footnote>
  <w:footnote w:id="13">
    <w:p w14:paraId="29FAF89B" w14:textId="2B4CC916" w:rsidR="00772EC3" w:rsidRPr="001B322F" w:rsidRDefault="00772EC3" w:rsidP="00DC5B3E">
      <w:pPr>
        <w:pStyle w:val="FootnoteText"/>
        <w:jc w:val="left"/>
      </w:pPr>
      <w:r>
        <w:rPr>
          <w:rStyle w:val="FootnoteReference"/>
        </w:rPr>
        <w:footnoteRef/>
      </w:r>
      <w:r>
        <w:t xml:space="preserve"> Ks. Eurostatin menetelmäoppaan asiakirja A6465/14/26 rev4, erityisesti selityksin varustettu laskentaesimerkki liitteessä 2, </w:t>
      </w:r>
      <w:hyperlink r:id="rId11" w:history="1">
        <w:r>
          <w:rPr>
            <w:rStyle w:val="Hyperlink"/>
          </w:rPr>
          <w:t>https://ec.europa.eu/eurostat/cache/metadata/Annexes/prc_rem_esms_an3.7z</w:t>
        </w:r>
      </w:hyperlink>
    </w:p>
  </w:footnote>
  <w:footnote w:id="14">
    <w:p w14:paraId="1C202508" w14:textId="77777777" w:rsidR="00772EC3" w:rsidRPr="001B322F" w:rsidRDefault="00772EC3" w:rsidP="00245D7E">
      <w:pPr>
        <w:pStyle w:val="FootnoteText"/>
      </w:pPr>
      <w:r>
        <w:rPr>
          <w:rStyle w:val="FootnoteReference"/>
        </w:rPr>
        <w:footnoteRef/>
      </w:r>
      <w:r>
        <w:t xml:space="preserve"> Tämä vastaa noin 12,3 prosentin korotusta, sillä viisumimaksun korotus ei vaikuta Armenian, Azerbaidžanin ja Valko-Venäjän kanssa tehtyjen viisumihelpotussopimusten soveltamisalaan kuuluvilta hakijoilta perittävään viisumimaksuun. Lisäksi osa hakijoista on edelleen vapautettu viisumimaksusta.</w:t>
      </w:r>
    </w:p>
  </w:footnote>
  <w:footnote w:id="15">
    <w:p w14:paraId="18396BC4" w14:textId="77777777" w:rsidR="00772EC3" w:rsidRPr="001B322F" w:rsidRDefault="00772EC3" w:rsidP="00245D7E">
      <w:pPr>
        <w:pStyle w:val="FootnoteText"/>
      </w:pPr>
      <w:r>
        <w:rPr>
          <w:rStyle w:val="FootnoteReference"/>
        </w:rPr>
        <w:footnoteRef/>
      </w:r>
      <w:r>
        <w:t xml:space="preserve"> Kesäkuun 17. päivästä 2023 alkaen. </w:t>
      </w:r>
      <w:hyperlink r:id="rId12" w:history="1">
        <w:r>
          <w:rPr>
            <w:rStyle w:val="Hyperlink"/>
          </w:rPr>
          <w:t>https://travel.state.gov/content/travel/en/News/visas-news/niv-fee-increases-to-take-effect-june-17-2023.html</w:t>
        </w:r>
      </w:hyperlink>
    </w:p>
  </w:footnote>
  <w:footnote w:id="16">
    <w:p w14:paraId="6DE7F918" w14:textId="7222E38B" w:rsidR="00772EC3" w:rsidRPr="003D0F28" w:rsidRDefault="00772EC3" w:rsidP="00245D7E">
      <w:pPr>
        <w:pStyle w:val="FootnoteText"/>
      </w:pPr>
      <w:r>
        <w:rPr>
          <w:rStyle w:val="FootnoteReference"/>
        </w:rPr>
        <w:footnoteRef/>
      </w:r>
      <w:r>
        <w:t xml:space="preserve"> ELI: </w:t>
      </w:r>
      <w:hyperlink r:id="rId13" w:tooltip="Hakee asiakirjan sen ELI URI -tunnisteen avulla." w:history="1">
        <w:r>
          <w:rPr>
            <w:rStyle w:val="Hyperlink"/>
          </w:rPr>
          <w:t>http://data.europa.eu/eli/reg/2019/1155/oj</w:t>
        </w:r>
      </w:hyperlink>
    </w:p>
  </w:footnote>
  <w:footnote w:id="17">
    <w:p w14:paraId="774C0514" w14:textId="2BE459CD" w:rsidR="00772EC3" w:rsidRPr="001B322F" w:rsidRDefault="00772EC3" w:rsidP="003D0F28">
      <w:pPr>
        <w:pStyle w:val="FootnoteText"/>
      </w:pPr>
      <w:r>
        <w:rPr>
          <w:rStyle w:val="FootnoteReference"/>
        </w:rPr>
        <w:footnoteRef/>
      </w:r>
      <w:r>
        <w:t xml:space="preserve"> Euroopan unionin kansalaisten ja heidän perheenjäsentensä oikeudesta liikkua ja oleskella vapaasti jäsenvaltioiden alueella 29 päivänä huhtikuuta 2004 annetun Euroopan parlamentin ja neuvoston direktiivin 2004/38/EY (EUVL L 158, 30.4.2004, s. 77, ELI: </w:t>
      </w:r>
      <w:hyperlink r:id="rId14" w:tooltip="Hakee asiakirjan sen ELI URI -tunnisteen avulla." w:history="1">
        <w:r>
          <w:rPr>
            <w:rStyle w:val="Hyperlink"/>
          </w:rPr>
          <w:t>http://data.europa.eu/eli/dir/2004/38/2011-06-16</w:t>
        </w:r>
      </w:hyperlink>
      <w:r>
        <w:t>) 5 artiklan 2 kohta: ”Jäsenvaltioiden on kaikin tavoin helpotettava näiden henkilöiden tarvitsemien viisumien saantia. Tällaiset viisumit on myönnettävä maksutta mahdollisimman pian nopeutettua menettelyä noudattaen.”</w:t>
      </w:r>
    </w:p>
  </w:footnote>
  <w:footnote w:id="18">
    <w:p w14:paraId="3A6BB7BE" w14:textId="77777777" w:rsidR="00772EC3" w:rsidRPr="001B322F" w:rsidRDefault="00772EC3" w:rsidP="00245D7E">
      <w:pPr>
        <w:pStyle w:val="FootnoteText"/>
      </w:pPr>
      <w:r>
        <w:rPr>
          <w:rStyle w:val="FootnoteReference"/>
        </w:rPr>
        <w:footnoteRef/>
      </w:r>
      <w:r>
        <w:t xml:space="preserve"> Viisumisäännöstön 9 artiklan 2 kohta: ”Hakijoita voidaan vaatia varaamaan tapaamisaika hakemuksen jättämistä varten. Tapaaminen on yleensä järjestettävä kahden viikon kuluessa sen pyytämisestä.”</w:t>
      </w:r>
    </w:p>
  </w:footnote>
  <w:footnote w:id="19">
    <w:p w14:paraId="5174C804" w14:textId="35B260C6" w:rsidR="00772EC3" w:rsidRPr="001B322F" w:rsidRDefault="00772EC3" w:rsidP="003D0F28">
      <w:pPr>
        <w:pStyle w:val="FootnoteText"/>
        <w:jc w:val="left"/>
      </w:pPr>
      <w:r>
        <w:rPr>
          <w:rStyle w:val="FootnoteReference"/>
        </w:rPr>
        <w:footnoteRef/>
      </w:r>
      <w:r>
        <w:t xml:space="preserve"> Ks. vaikutustenarvioinnin osa 8.1.</w:t>
      </w:r>
      <w:r>
        <w:br/>
      </w:r>
      <w:hyperlink r:id="rId15" w:history="1">
        <w:r>
          <w:rPr>
            <w:rStyle w:val="Hyperlink"/>
          </w:rPr>
          <w:t>https://eur-lex.europa.eu/legal-content/EN/TXT/?uri=celex%3A52018SC0077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E9A3" w14:textId="77777777" w:rsidR="000354AD" w:rsidRPr="000354AD" w:rsidRDefault="000354AD" w:rsidP="000354A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2A45" w14:textId="77777777" w:rsidR="000354AD" w:rsidRPr="000354AD" w:rsidRDefault="000354AD" w:rsidP="000354A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42B1" w14:textId="77777777" w:rsidR="000354AD" w:rsidRPr="000354AD" w:rsidRDefault="000354AD" w:rsidP="000354A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28BB" w14:textId="77777777" w:rsidR="00843DDE" w:rsidRDefault="00843D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016F" w14:textId="77777777" w:rsidR="00843DDE" w:rsidRDefault="00843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196A" w14:textId="77777777" w:rsidR="00843DDE" w:rsidRDefault="00843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F94EC08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5BD8F57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5AC21CE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4E9C1B3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84BCB53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CE2ADB0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5A6317D"/>
    <w:multiLevelType w:val="hybridMultilevel"/>
    <w:tmpl w:val="AE4C44E8"/>
    <w:lvl w:ilvl="0" w:tplc="77DA84EC">
      <w:start w:val="1"/>
      <w:numFmt w:val="bullet"/>
      <w:lvlText w:val="-"/>
      <w:lvlJc w:val="left"/>
      <w:pPr>
        <w:ind w:left="720" w:hanging="360"/>
      </w:pPr>
      <w:rPr>
        <w:rFonts w:ascii="Tunga" w:hAnsi="Tunga" w:cs="Tu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F0AC5"/>
    <w:multiLevelType w:val="multilevel"/>
    <w:tmpl w:val="7ACC5BF2"/>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4798EF2E"/>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E24E453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99DAA9E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C920698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70480DB6"/>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93C371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D94D8D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684DC3"/>
    <w:multiLevelType w:val="hybridMultilevel"/>
    <w:tmpl w:val="0EDC59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9E662A"/>
    <w:multiLevelType w:val="multilevel"/>
    <w:tmpl w:val="D5444FC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63DF"/>
    <w:multiLevelType w:val="multilevel"/>
    <w:tmpl w:val="4E3009B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982C"/>
    <w:multiLevelType w:val="multilevel"/>
    <w:tmpl w:val="1E66A51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1AFEDC6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9B52"/>
    <w:multiLevelType w:val="multilevel"/>
    <w:tmpl w:val="CFF236E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6977472E"/>
    <w:multiLevelType w:val="multilevel"/>
    <w:tmpl w:val="065C4F5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7C65145E"/>
    <w:multiLevelType w:val="multilevel"/>
    <w:tmpl w:val="8D44DA4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2"/>
  </w:num>
  <w:num w:numId="3">
    <w:abstractNumId w:val="8"/>
  </w:num>
  <w:num w:numId="4">
    <w:abstractNumId w:val="13"/>
  </w:num>
  <w:num w:numId="5">
    <w:abstractNumId w:val="19"/>
  </w:num>
  <w:num w:numId="6">
    <w:abstractNumId w:val="21"/>
  </w:num>
  <w:num w:numId="7">
    <w:abstractNumId w:val="1"/>
  </w:num>
  <w:num w:numId="8">
    <w:abstractNumId w:val="7"/>
  </w:num>
  <w:num w:numId="9">
    <w:abstractNumId w:val="16"/>
  </w:num>
  <w:num w:numId="10">
    <w:abstractNumId w:val="2"/>
  </w:num>
  <w:num w:numId="11">
    <w:abstractNumId w:val="4"/>
  </w:num>
  <w:num w:numId="12">
    <w:abstractNumId w:val="5"/>
  </w:num>
  <w:num w:numId="13">
    <w:abstractNumId w:val="9"/>
  </w:num>
  <w:num w:numId="14">
    <w:abstractNumId w:val="14"/>
  </w:num>
  <w:num w:numId="15">
    <w:abstractNumId w:val="18"/>
  </w:num>
  <w:num w:numId="16">
    <w:abstractNumId w:val="22"/>
  </w:num>
  <w:num w:numId="17">
    <w:abstractNumId w:val="10"/>
  </w:num>
  <w:num w:numId="18">
    <w:abstractNumId w:val="11"/>
  </w:num>
  <w:num w:numId="19">
    <w:abstractNumId w:val="23"/>
  </w:num>
  <w:num w:numId="20">
    <w:abstractNumId w:val="17"/>
  </w:num>
  <w:num w:numId="21">
    <w:abstractNumId w:val="20"/>
  </w:num>
  <w:num w:numId="22">
    <w:abstractNumId w:val="3"/>
  </w:num>
  <w:num w:numId="23">
    <w:abstractNumId w:val="15"/>
  </w:num>
  <w:num w:numId="24">
    <w:abstractNumId w:val="6"/>
  </w:num>
  <w:num w:numId="25">
    <w:abstractNumId w:val="0"/>
  </w:num>
  <w:num w:numId="26">
    <w:abstractNumId w:val="12"/>
  </w:num>
  <w:num w:numId="27">
    <w:abstractNumId w:val="8"/>
  </w:num>
  <w:num w:numId="28">
    <w:abstractNumId w:val="13"/>
  </w:num>
  <w:num w:numId="29">
    <w:abstractNumId w:val="19"/>
  </w:num>
  <w:num w:numId="30">
    <w:abstractNumId w:val="21"/>
  </w:num>
  <w:num w:numId="31">
    <w:abstractNumId w:val="1"/>
  </w:num>
  <w:num w:numId="32">
    <w:abstractNumId w:val="7"/>
  </w:num>
  <w:num w:numId="33">
    <w:abstractNumId w:val="16"/>
  </w:num>
  <w:num w:numId="34">
    <w:abstractNumId w:val="2"/>
  </w:num>
  <w:num w:numId="35">
    <w:abstractNumId w:val="4"/>
  </w:num>
  <w:num w:numId="36">
    <w:abstractNumId w:val="5"/>
  </w:num>
  <w:num w:numId="37">
    <w:abstractNumId w:val="9"/>
  </w:num>
  <w:num w:numId="38">
    <w:abstractNumId w:val="14"/>
  </w:num>
  <w:num w:numId="39">
    <w:abstractNumId w:val="18"/>
  </w:num>
  <w:num w:numId="40">
    <w:abstractNumId w:val="22"/>
  </w:num>
  <w:num w:numId="41">
    <w:abstractNumId w:val="10"/>
  </w:num>
  <w:num w:numId="42">
    <w:abstractNumId w:val="11"/>
  </w:num>
  <w:num w:numId="43">
    <w:abstractNumId w:val="23"/>
  </w:num>
  <w:num w:numId="44">
    <w:abstractNumId w:val="17"/>
  </w:num>
  <w:num w:numId="45">
    <w:abstractNumId w:val="2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252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89852DC-66FB-4B37-BFD3-0C4C57EC8FF2"/>
    <w:docVar w:name="LW_COVERPAGE_TYPE" w:val="1"/>
    <w:docVar w:name="LW_CROSSREFERENCE" w:val="&lt;UNUSED&gt;"/>
    <w:docVar w:name="LW_DocType" w:val="1574BEFEB75B425B9EF9340FFD296AF3"/>
    <w:docVar w:name="LW_EMISSION" w:val="14.3.2024"/>
    <w:docVar w:name="LW_EMISSION_ISODATE" w:val="2024-03-14"/>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4) 12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yhteisön viisumisäännöstön laatimisesta 13 päivänä heinäkuuta 2009 annetulla Euroopan parlamentin ja neuvoston asetuksella (EY) N:o 810/2009 (viisumisäännöstö) komissiolle siirretystä delegoitujen säädösten antamisvallasta"/>
    <w:docVar w:name="LW_TYPE.DOC.CP" w:val="KOMISSION KERTOMUS EUROOPAN PARLAMENTILLE JA NEUVOSTOLLE"/>
    <w:docVar w:name="LwApiVersions" w:val="LW4CoDe 1.24.5.0; LW 9.0, Build 20240221"/>
  </w:docVars>
  <w:rsids>
    <w:rsidRoot w:val="00772EC3"/>
    <w:rsid w:val="000354AD"/>
    <w:rsid w:val="000D3D8F"/>
    <w:rsid w:val="0014353A"/>
    <w:rsid w:val="00155587"/>
    <w:rsid w:val="00186607"/>
    <w:rsid w:val="00245461"/>
    <w:rsid w:val="002A45DA"/>
    <w:rsid w:val="00364D7E"/>
    <w:rsid w:val="003D0F28"/>
    <w:rsid w:val="003F18C3"/>
    <w:rsid w:val="004F20F4"/>
    <w:rsid w:val="00546402"/>
    <w:rsid w:val="0065681D"/>
    <w:rsid w:val="006B68FC"/>
    <w:rsid w:val="006C01E3"/>
    <w:rsid w:val="00756462"/>
    <w:rsid w:val="00772EC3"/>
    <w:rsid w:val="00843DDE"/>
    <w:rsid w:val="008526C2"/>
    <w:rsid w:val="008E2D28"/>
    <w:rsid w:val="00933599"/>
    <w:rsid w:val="009349F0"/>
    <w:rsid w:val="00970578"/>
    <w:rsid w:val="009F2EA0"/>
    <w:rsid w:val="00AC1577"/>
    <w:rsid w:val="00CC3DCA"/>
    <w:rsid w:val="00DC5B3E"/>
    <w:rsid w:val="00E76F4B"/>
    <w:rsid w:val="00F11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30791A"/>
  <w15:docId w15:val="{775AA044-59A2-4694-AC58-BE14D9E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i-FI" w:eastAsia="de-D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0"/>
      </w:numPr>
      <w:spacing w:before="240"/>
      <w:outlineLvl w:val="0"/>
    </w:pPr>
    <w:rPr>
      <w:b/>
      <w:smallCaps/>
    </w:rPr>
  </w:style>
  <w:style w:type="paragraph" w:styleId="Heading2">
    <w:name w:val="heading 2"/>
    <w:basedOn w:val="Normal"/>
    <w:next w:val="Text2"/>
    <w:uiPriority w:val="1"/>
    <w:qFormat/>
    <w:pPr>
      <w:keepNext/>
      <w:numPr>
        <w:ilvl w:val="1"/>
        <w:numId w:val="40"/>
      </w:numPr>
      <w:outlineLvl w:val="1"/>
    </w:pPr>
    <w:rPr>
      <w:b/>
    </w:rPr>
  </w:style>
  <w:style w:type="paragraph" w:styleId="Heading3">
    <w:name w:val="heading 3"/>
    <w:basedOn w:val="Normal"/>
    <w:next w:val="Text3"/>
    <w:uiPriority w:val="1"/>
    <w:qFormat/>
    <w:pPr>
      <w:keepNext/>
      <w:numPr>
        <w:ilvl w:val="2"/>
        <w:numId w:val="40"/>
      </w:numPr>
      <w:outlineLvl w:val="2"/>
    </w:pPr>
    <w:rPr>
      <w:i/>
    </w:rPr>
  </w:style>
  <w:style w:type="paragraph" w:styleId="Heading4">
    <w:name w:val="heading 4"/>
    <w:basedOn w:val="Normal"/>
    <w:next w:val="Text4"/>
    <w:uiPriority w:val="1"/>
    <w:qFormat/>
    <w:pPr>
      <w:keepNext/>
      <w:numPr>
        <w:ilvl w:val="3"/>
        <w:numId w:val="40"/>
      </w:numPr>
      <w:outlineLvl w:val="3"/>
    </w:pPr>
  </w:style>
  <w:style w:type="paragraph" w:styleId="Heading5">
    <w:name w:val="heading 5"/>
    <w:basedOn w:val="Normal"/>
    <w:next w:val="Normal"/>
    <w:semiHidden/>
    <w:pPr>
      <w:keepNext/>
      <w:numPr>
        <w:ilvl w:val="4"/>
        <w:numId w:val="40"/>
      </w:numPr>
      <w:outlineLvl w:val="4"/>
    </w:pPr>
  </w:style>
  <w:style w:type="paragraph" w:styleId="Heading6">
    <w:name w:val="heading 6"/>
    <w:basedOn w:val="Normal"/>
    <w:next w:val="Normal"/>
    <w:semiHidden/>
    <w:pPr>
      <w:keepNext/>
      <w:numPr>
        <w:ilvl w:val="5"/>
        <w:numId w:val="40"/>
      </w:numPr>
      <w:outlineLvl w:val="5"/>
    </w:pPr>
  </w:style>
  <w:style w:type="paragraph" w:styleId="Heading7">
    <w:name w:val="heading 7"/>
    <w:basedOn w:val="Normal"/>
    <w:next w:val="Normal"/>
    <w:semiHidden/>
    <w:pPr>
      <w:keepNext/>
      <w:numPr>
        <w:ilvl w:val="6"/>
        <w:numId w:val="40"/>
      </w:numPr>
      <w:outlineLvl w:val="6"/>
    </w:pPr>
  </w:style>
  <w:style w:type="paragraph" w:styleId="Heading8">
    <w:name w:val="heading 8"/>
    <w:basedOn w:val="Normal"/>
    <w:next w:val="Normal"/>
    <w:semiHidden/>
    <w:pPr>
      <w:keepNext/>
      <w:numPr>
        <w:ilvl w:val="7"/>
        <w:numId w:val="40"/>
      </w:numPr>
      <w:outlineLvl w:val="7"/>
    </w:pPr>
  </w:style>
  <w:style w:type="paragraph" w:styleId="Heading9">
    <w:name w:val="heading 9"/>
    <w:basedOn w:val="Normal"/>
    <w:next w:val="Normal"/>
    <w:semiHidden/>
    <w:pPr>
      <w:keepNext/>
      <w:numPr>
        <w:ilvl w:val="8"/>
        <w:numId w:val="4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locked/>
    <w:rsid w:val="00772EC3"/>
    <w:pPr>
      <w:spacing w:after="160" w:line="259" w:lineRule="auto"/>
      <w:ind w:left="720"/>
      <w:contextualSpacing/>
      <w:jc w:val="left"/>
    </w:pPr>
    <w:rPr>
      <w:rFonts w:ascii="Calibri" w:eastAsia="Calibri" w:hAnsi="Calibri"/>
      <w:sz w:val="22"/>
      <w:szCs w:val="22"/>
      <w:lang w:eastAsia="en-GB"/>
    </w:rPr>
  </w:style>
  <w:style w:type="paragraph" w:customStyle="1" w:styleId="Pagedecouverture">
    <w:name w:val="Page de couverture"/>
    <w:basedOn w:val="Normal"/>
    <w:next w:val="Normal"/>
    <w:link w:val="PagedecouvertureChar"/>
    <w:rsid w:val="00772EC3"/>
    <w:pPr>
      <w:spacing w:after="0"/>
    </w:pPr>
    <w:rPr>
      <w:rFonts w:eastAsia="Calibri"/>
      <w:szCs w:val="22"/>
      <w:lang w:eastAsia="en-GB"/>
    </w:rPr>
  </w:style>
  <w:style w:type="paragraph" w:customStyle="1" w:styleId="FooterCoverPage">
    <w:name w:val="Footer Cover Page"/>
    <w:basedOn w:val="Normal"/>
    <w:link w:val="FooterCoverPageChar"/>
    <w:rsid w:val="00772EC3"/>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772EC3"/>
  </w:style>
  <w:style w:type="paragraph" w:customStyle="1" w:styleId="HeaderCoverPage">
    <w:name w:val="Header Cover Page"/>
    <w:basedOn w:val="Normal"/>
    <w:link w:val="HeaderCoverPageChar"/>
    <w:rsid w:val="00772EC3"/>
    <w:pPr>
      <w:tabs>
        <w:tab w:val="center" w:pos="4535"/>
        <w:tab w:val="right" w:pos="9071"/>
      </w:tabs>
      <w:spacing w:after="120"/>
    </w:pPr>
  </w:style>
  <w:style w:type="character" w:customStyle="1" w:styleId="HeaderCoverPageChar">
    <w:name w:val="Header Cover Page Char"/>
    <w:link w:val="HeaderCoverPage"/>
    <w:rsid w:val="00772EC3"/>
  </w:style>
  <w:style w:type="character" w:customStyle="1" w:styleId="FootnoteTextChar">
    <w:name w:val="Footnote Text Char"/>
    <w:rsid w:val="00772EC3"/>
    <w:rPr>
      <w:sz w:val="20"/>
    </w:rPr>
  </w:style>
  <w:style w:type="character" w:styleId="FootnoteReference">
    <w:name w:val="footnote reference"/>
    <w:locked/>
    <w:rsid w:val="00772EC3"/>
    <w:rPr>
      <w:vertAlign w:val="superscript"/>
    </w:rPr>
  </w:style>
  <w:style w:type="character" w:customStyle="1" w:styleId="SignatureChar">
    <w:name w:val="Signature Char"/>
    <w:basedOn w:val="DefaultParagraphFont"/>
    <w:rsid w:val="00772EC3"/>
  </w:style>
  <w:style w:type="character" w:styleId="Hyperlink">
    <w:name w:val="Hyperlink"/>
    <w:locked/>
    <w:rsid w:val="00772EC3"/>
    <w:rPr>
      <w:color w:val="0563C1"/>
      <w:u w:val="single"/>
    </w:rPr>
  </w:style>
  <w:style w:type="paragraph" w:customStyle="1" w:styleId="CM4">
    <w:name w:val="CM4"/>
    <w:basedOn w:val="Normal"/>
    <w:next w:val="Normal"/>
    <w:rsid w:val="00772EC3"/>
    <w:pPr>
      <w:autoSpaceDE w:val="0"/>
      <w:autoSpaceDN w:val="0"/>
      <w:adjustRightInd w:val="0"/>
      <w:spacing w:after="0"/>
      <w:jc w:val="left"/>
    </w:pPr>
    <w:rPr>
      <w:rFonts w:eastAsia="Calibri"/>
      <w:szCs w:val="24"/>
      <w:lang w:eastAsia="en-GB"/>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43"/>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42"/>
      </w:numPr>
    </w:pPr>
  </w:style>
  <w:style w:type="paragraph" w:customStyle="1" w:styleId="ContNumLevel2">
    <w:name w:val="ContNum (Level 2)"/>
    <w:basedOn w:val="Normal"/>
    <w:uiPriority w:val="1"/>
    <w:pPr>
      <w:numPr>
        <w:ilvl w:val="1"/>
        <w:numId w:val="42"/>
      </w:numPr>
    </w:pPr>
  </w:style>
  <w:style w:type="paragraph" w:customStyle="1" w:styleId="ContNumLevel3">
    <w:name w:val="ContNum (Level 3)"/>
    <w:basedOn w:val="Normal"/>
    <w:uiPriority w:val="1"/>
    <w:pPr>
      <w:numPr>
        <w:ilvl w:val="2"/>
        <w:numId w:val="42"/>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41"/>
      </w:numPr>
      <w:spacing w:line="360" w:lineRule="auto"/>
    </w:pPr>
  </w:style>
  <w:style w:type="paragraph" w:customStyle="1" w:styleId="LegalNumPar2">
    <w:name w:val="LegalNumPar2"/>
    <w:basedOn w:val="Normal"/>
    <w:uiPriority w:val="1"/>
    <w:pPr>
      <w:numPr>
        <w:ilvl w:val="1"/>
        <w:numId w:val="41"/>
      </w:numPr>
      <w:spacing w:line="360" w:lineRule="auto"/>
    </w:pPr>
  </w:style>
  <w:style w:type="paragraph" w:customStyle="1" w:styleId="LegalNumPar3">
    <w:name w:val="LegalNumPar3"/>
    <w:basedOn w:val="Normal"/>
    <w:uiPriority w:val="1"/>
    <w:pPr>
      <w:numPr>
        <w:ilvl w:val="2"/>
        <w:numId w:val="41"/>
      </w:numPr>
      <w:spacing w:line="360" w:lineRule="auto"/>
    </w:pPr>
  </w:style>
  <w:style w:type="paragraph" w:styleId="ListBullet">
    <w:name w:val="List Bullet"/>
    <w:basedOn w:val="Normal"/>
    <w:uiPriority w:val="1"/>
    <w:pPr>
      <w:numPr>
        <w:numId w:val="39"/>
      </w:numPr>
    </w:pPr>
  </w:style>
  <w:style w:type="paragraph" w:customStyle="1" w:styleId="ListBulletLevel2">
    <w:name w:val="List Bullet (Level 2)"/>
    <w:basedOn w:val="Normal"/>
    <w:uiPriority w:val="1"/>
    <w:pPr>
      <w:numPr>
        <w:ilvl w:val="1"/>
        <w:numId w:val="39"/>
      </w:numPr>
    </w:pPr>
  </w:style>
  <w:style w:type="paragraph" w:customStyle="1" w:styleId="ListBulletLevel3">
    <w:name w:val="List Bullet (Level 3)"/>
    <w:basedOn w:val="Normal"/>
    <w:uiPriority w:val="1"/>
    <w:semiHidden/>
    <w:unhideWhenUsed/>
    <w:pPr>
      <w:numPr>
        <w:ilvl w:val="2"/>
        <w:numId w:val="39"/>
      </w:numPr>
    </w:pPr>
  </w:style>
  <w:style w:type="paragraph" w:customStyle="1" w:styleId="ListBulletLevel4">
    <w:name w:val="List Bullet (Level 4)"/>
    <w:basedOn w:val="Normal"/>
    <w:uiPriority w:val="1"/>
    <w:semiHidden/>
    <w:unhideWhenUsed/>
    <w:pPr>
      <w:numPr>
        <w:ilvl w:val="3"/>
        <w:numId w:val="39"/>
      </w:numPr>
    </w:pPr>
  </w:style>
  <w:style w:type="paragraph" w:customStyle="1" w:styleId="ListBullet1">
    <w:name w:val="List Bullet 1"/>
    <w:basedOn w:val="Text1"/>
    <w:uiPriority w:val="1"/>
    <w:pPr>
      <w:numPr>
        <w:numId w:val="38"/>
      </w:numPr>
    </w:pPr>
  </w:style>
  <w:style w:type="paragraph" w:customStyle="1" w:styleId="ListBullet1Level2">
    <w:name w:val="List Bullet 1 (Level 2)"/>
    <w:basedOn w:val="Text1"/>
    <w:uiPriority w:val="1"/>
    <w:pPr>
      <w:numPr>
        <w:ilvl w:val="1"/>
        <w:numId w:val="38"/>
      </w:numPr>
    </w:pPr>
  </w:style>
  <w:style w:type="paragraph" w:customStyle="1" w:styleId="ListBullet1Level3">
    <w:name w:val="List Bullet 1 (Level 3)"/>
    <w:basedOn w:val="Text1"/>
    <w:uiPriority w:val="1"/>
    <w:semiHidden/>
    <w:unhideWhenUsed/>
    <w:pPr>
      <w:numPr>
        <w:ilvl w:val="2"/>
        <w:numId w:val="38"/>
      </w:numPr>
    </w:pPr>
  </w:style>
  <w:style w:type="paragraph" w:customStyle="1" w:styleId="ListBullet1Level4">
    <w:name w:val="List Bullet 1 (Level 4)"/>
    <w:basedOn w:val="Text1"/>
    <w:uiPriority w:val="1"/>
    <w:semiHidden/>
    <w:unhideWhenUsed/>
    <w:pPr>
      <w:numPr>
        <w:ilvl w:val="3"/>
        <w:numId w:val="38"/>
      </w:numPr>
    </w:pPr>
  </w:style>
  <w:style w:type="paragraph" w:styleId="ListBullet2">
    <w:name w:val="List Bullet 2"/>
    <w:basedOn w:val="Text2"/>
    <w:uiPriority w:val="1"/>
    <w:pPr>
      <w:numPr>
        <w:numId w:val="37"/>
      </w:numPr>
    </w:pPr>
  </w:style>
  <w:style w:type="paragraph" w:customStyle="1" w:styleId="ListBullet2Level2">
    <w:name w:val="List Bullet 2 (Level 2)"/>
    <w:basedOn w:val="Text2"/>
    <w:uiPriority w:val="1"/>
    <w:pPr>
      <w:numPr>
        <w:ilvl w:val="1"/>
        <w:numId w:val="37"/>
      </w:numPr>
    </w:pPr>
  </w:style>
  <w:style w:type="paragraph" w:customStyle="1" w:styleId="ListBullet2Level3">
    <w:name w:val="List Bullet 2 (Level 3)"/>
    <w:basedOn w:val="Text2"/>
    <w:uiPriority w:val="1"/>
    <w:semiHidden/>
    <w:unhideWhenUsed/>
    <w:pPr>
      <w:numPr>
        <w:ilvl w:val="2"/>
        <w:numId w:val="37"/>
      </w:numPr>
    </w:pPr>
  </w:style>
  <w:style w:type="paragraph" w:customStyle="1" w:styleId="ListBullet2Level4">
    <w:name w:val="List Bullet 2 (Level 4)"/>
    <w:basedOn w:val="Text2"/>
    <w:uiPriority w:val="1"/>
    <w:semiHidden/>
    <w:unhideWhenUsed/>
    <w:pPr>
      <w:numPr>
        <w:ilvl w:val="3"/>
        <w:numId w:val="37"/>
      </w:numPr>
    </w:pPr>
  </w:style>
  <w:style w:type="paragraph" w:styleId="ListBullet3">
    <w:name w:val="List Bullet 3"/>
    <w:basedOn w:val="Text3"/>
    <w:uiPriority w:val="1"/>
    <w:pPr>
      <w:numPr>
        <w:numId w:val="36"/>
      </w:numPr>
    </w:pPr>
  </w:style>
  <w:style w:type="paragraph" w:customStyle="1" w:styleId="ListBullet3Level2">
    <w:name w:val="List Bullet 3 (Level 2)"/>
    <w:basedOn w:val="Text3"/>
    <w:uiPriority w:val="1"/>
    <w:pPr>
      <w:numPr>
        <w:ilvl w:val="1"/>
        <w:numId w:val="36"/>
      </w:numPr>
    </w:pPr>
  </w:style>
  <w:style w:type="paragraph" w:customStyle="1" w:styleId="ListBullet3Level3">
    <w:name w:val="List Bullet 3 (Level 3)"/>
    <w:basedOn w:val="Text3"/>
    <w:uiPriority w:val="1"/>
    <w:semiHidden/>
    <w:unhideWhenUsed/>
    <w:pPr>
      <w:numPr>
        <w:ilvl w:val="2"/>
        <w:numId w:val="36"/>
      </w:numPr>
    </w:pPr>
  </w:style>
  <w:style w:type="paragraph" w:customStyle="1" w:styleId="ListBullet3Level4">
    <w:name w:val="List Bullet 3 (Level 4)"/>
    <w:basedOn w:val="Text3"/>
    <w:uiPriority w:val="1"/>
    <w:semiHidden/>
    <w:unhideWhenUsed/>
    <w:pPr>
      <w:numPr>
        <w:ilvl w:val="3"/>
        <w:numId w:val="36"/>
      </w:numPr>
    </w:pPr>
  </w:style>
  <w:style w:type="paragraph" w:styleId="ListBullet4">
    <w:name w:val="List Bullet 4"/>
    <w:basedOn w:val="Text4"/>
    <w:uiPriority w:val="1"/>
    <w:pPr>
      <w:numPr>
        <w:numId w:val="35"/>
      </w:numPr>
    </w:pPr>
  </w:style>
  <w:style w:type="paragraph" w:customStyle="1" w:styleId="ListBullet4Level2">
    <w:name w:val="List Bullet 4 (Level 2)"/>
    <w:basedOn w:val="Text4"/>
    <w:uiPriority w:val="1"/>
    <w:pPr>
      <w:numPr>
        <w:ilvl w:val="1"/>
        <w:numId w:val="35"/>
      </w:numPr>
    </w:pPr>
  </w:style>
  <w:style w:type="paragraph" w:customStyle="1" w:styleId="ListBullet4Level3">
    <w:name w:val="List Bullet 4 (Level 3)"/>
    <w:basedOn w:val="Text4"/>
    <w:uiPriority w:val="1"/>
    <w:semiHidden/>
    <w:unhideWhenUsed/>
    <w:pPr>
      <w:numPr>
        <w:ilvl w:val="2"/>
        <w:numId w:val="35"/>
      </w:numPr>
    </w:pPr>
  </w:style>
  <w:style w:type="paragraph" w:customStyle="1" w:styleId="ListBullet4Level4">
    <w:name w:val="List Bullet 4 (Level 4)"/>
    <w:basedOn w:val="Text4"/>
    <w:uiPriority w:val="1"/>
    <w:semiHidden/>
    <w:unhideWhenUsed/>
    <w:pPr>
      <w:numPr>
        <w:ilvl w:val="3"/>
        <w:numId w:val="35"/>
      </w:numPr>
    </w:pPr>
  </w:style>
  <w:style w:type="paragraph" w:customStyle="1" w:styleId="ListDash">
    <w:name w:val="List Dash"/>
    <w:basedOn w:val="Normal"/>
    <w:uiPriority w:val="1"/>
    <w:pPr>
      <w:numPr>
        <w:numId w:val="29"/>
      </w:numPr>
    </w:pPr>
  </w:style>
  <w:style w:type="paragraph" w:customStyle="1" w:styleId="ListDashLevel2">
    <w:name w:val="List Dash (Level 2)"/>
    <w:basedOn w:val="Normal"/>
    <w:uiPriority w:val="1"/>
    <w:pPr>
      <w:numPr>
        <w:ilvl w:val="1"/>
        <w:numId w:val="29"/>
      </w:numPr>
    </w:pPr>
  </w:style>
  <w:style w:type="paragraph" w:customStyle="1" w:styleId="ListDashLevel3">
    <w:name w:val="List Dash (Level 3)"/>
    <w:basedOn w:val="Normal"/>
    <w:uiPriority w:val="1"/>
    <w:semiHidden/>
    <w:unhideWhenUsed/>
    <w:pPr>
      <w:numPr>
        <w:ilvl w:val="2"/>
        <w:numId w:val="29"/>
      </w:numPr>
    </w:pPr>
  </w:style>
  <w:style w:type="paragraph" w:customStyle="1" w:styleId="ListDashLevel4">
    <w:name w:val="List Dash (Level 4)"/>
    <w:basedOn w:val="Normal"/>
    <w:uiPriority w:val="1"/>
    <w:semiHidden/>
    <w:unhideWhenUsed/>
    <w:pPr>
      <w:numPr>
        <w:ilvl w:val="3"/>
        <w:numId w:val="29"/>
      </w:numPr>
    </w:pPr>
  </w:style>
  <w:style w:type="paragraph" w:customStyle="1" w:styleId="ListDash1">
    <w:name w:val="List Dash 1"/>
    <w:basedOn w:val="Text1"/>
    <w:uiPriority w:val="1"/>
    <w:pPr>
      <w:numPr>
        <w:numId w:val="28"/>
      </w:numPr>
    </w:pPr>
  </w:style>
  <w:style w:type="paragraph" w:customStyle="1" w:styleId="ListDash1Level2">
    <w:name w:val="List Dash 1 (Level 2)"/>
    <w:basedOn w:val="Text1"/>
    <w:uiPriority w:val="1"/>
    <w:pPr>
      <w:numPr>
        <w:ilvl w:val="1"/>
        <w:numId w:val="28"/>
      </w:numPr>
    </w:pPr>
  </w:style>
  <w:style w:type="paragraph" w:customStyle="1" w:styleId="ListDash1Level3">
    <w:name w:val="List Dash 1 (Level 3)"/>
    <w:basedOn w:val="Text1"/>
    <w:uiPriority w:val="1"/>
    <w:semiHidden/>
    <w:unhideWhenUsed/>
    <w:pPr>
      <w:numPr>
        <w:ilvl w:val="2"/>
        <w:numId w:val="28"/>
      </w:numPr>
    </w:pPr>
  </w:style>
  <w:style w:type="paragraph" w:customStyle="1" w:styleId="ListDash1Level4">
    <w:name w:val="List Dash 1 (Level 4)"/>
    <w:basedOn w:val="Text1"/>
    <w:uiPriority w:val="1"/>
    <w:semiHidden/>
    <w:unhideWhenUsed/>
    <w:pPr>
      <w:numPr>
        <w:ilvl w:val="3"/>
        <w:numId w:val="28"/>
      </w:numPr>
    </w:pPr>
  </w:style>
  <w:style w:type="paragraph" w:customStyle="1" w:styleId="ListDash2">
    <w:name w:val="List Dash 2"/>
    <w:basedOn w:val="Text2"/>
    <w:uiPriority w:val="1"/>
    <w:pPr>
      <w:numPr>
        <w:numId w:val="27"/>
      </w:numPr>
    </w:pPr>
  </w:style>
  <w:style w:type="paragraph" w:customStyle="1" w:styleId="ListDash2Level2">
    <w:name w:val="List Dash 2 (Level 2)"/>
    <w:basedOn w:val="Text2"/>
    <w:uiPriority w:val="1"/>
    <w:pPr>
      <w:numPr>
        <w:ilvl w:val="1"/>
        <w:numId w:val="27"/>
      </w:numPr>
    </w:pPr>
  </w:style>
  <w:style w:type="paragraph" w:customStyle="1" w:styleId="ListDash2Level3">
    <w:name w:val="List Dash 2 (Level 3)"/>
    <w:basedOn w:val="Text2"/>
    <w:uiPriority w:val="1"/>
    <w:semiHidden/>
    <w:unhideWhenUsed/>
    <w:pPr>
      <w:numPr>
        <w:ilvl w:val="2"/>
        <w:numId w:val="27"/>
      </w:numPr>
    </w:pPr>
  </w:style>
  <w:style w:type="paragraph" w:customStyle="1" w:styleId="ListDash2Level4">
    <w:name w:val="List Dash 2 (Level 4)"/>
    <w:basedOn w:val="Text2"/>
    <w:uiPriority w:val="1"/>
    <w:semiHidden/>
    <w:unhideWhenUsed/>
    <w:pPr>
      <w:numPr>
        <w:ilvl w:val="3"/>
        <w:numId w:val="27"/>
      </w:numPr>
    </w:pPr>
  </w:style>
  <w:style w:type="paragraph" w:customStyle="1" w:styleId="ListDash3">
    <w:name w:val="List Dash 3"/>
    <w:basedOn w:val="Text3"/>
    <w:uiPriority w:val="1"/>
    <w:pPr>
      <w:numPr>
        <w:numId w:val="26"/>
      </w:numPr>
    </w:pPr>
  </w:style>
  <w:style w:type="paragraph" w:customStyle="1" w:styleId="ListDash3Level2">
    <w:name w:val="List Dash 3 (Level 2)"/>
    <w:basedOn w:val="Text3"/>
    <w:uiPriority w:val="1"/>
    <w:pPr>
      <w:numPr>
        <w:ilvl w:val="1"/>
        <w:numId w:val="26"/>
      </w:numPr>
    </w:pPr>
  </w:style>
  <w:style w:type="paragraph" w:customStyle="1" w:styleId="ListDash3Level3">
    <w:name w:val="List Dash 3 (Level 3)"/>
    <w:basedOn w:val="Text3"/>
    <w:uiPriority w:val="1"/>
    <w:semiHidden/>
    <w:unhideWhenUsed/>
    <w:pPr>
      <w:numPr>
        <w:ilvl w:val="2"/>
        <w:numId w:val="26"/>
      </w:numPr>
    </w:pPr>
  </w:style>
  <w:style w:type="paragraph" w:customStyle="1" w:styleId="ListDash3Level4">
    <w:name w:val="List Dash 3 (Level 4)"/>
    <w:basedOn w:val="Text3"/>
    <w:uiPriority w:val="1"/>
    <w:semiHidden/>
    <w:unhideWhenUsed/>
    <w:pPr>
      <w:numPr>
        <w:ilvl w:val="3"/>
        <w:numId w:val="26"/>
      </w:numPr>
    </w:pPr>
  </w:style>
  <w:style w:type="paragraph" w:customStyle="1" w:styleId="ListDash4">
    <w:name w:val="List Dash 4"/>
    <w:basedOn w:val="Text4"/>
    <w:uiPriority w:val="1"/>
    <w:pPr>
      <w:numPr>
        <w:numId w:val="25"/>
      </w:numPr>
    </w:pPr>
  </w:style>
  <w:style w:type="paragraph" w:customStyle="1" w:styleId="ListDash4Level2">
    <w:name w:val="List Dash 4 (Level 2)"/>
    <w:basedOn w:val="Text4"/>
    <w:uiPriority w:val="1"/>
    <w:pPr>
      <w:numPr>
        <w:ilvl w:val="1"/>
        <w:numId w:val="25"/>
      </w:numPr>
    </w:pPr>
  </w:style>
  <w:style w:type="paragraph" w:customStyle="1" w:styleId="ListDash4Level3">
    <w:name w:val="List Dash 4 (Level 3)"/>
    <w:basedOn w:val="Text4"/>
    <w:uiPriority w:val="1"/>
    <w:semiHidden/>
    <w:unhideWhenUsed/>
    <w:pPr>
      <w:numPr>
        <w:ilvl w:val="2"/>
        <w:numId w:val="25"/>
      </w:numPr>
    </w:pPr>
  </w:style>
  <w:style w:type="paragraph" w:customStyle="1" w:styleId="ListDash4Level4">
    <w:name w:val="List Dash 4 (Level 4)"/>
    <w:basedOn w:val="Text4"/>
    <w:uiPriority w:val="1"/>
    <w:semiHidden/>
    <w:unhideWhenUsed/>
    <w:pPr>
      <w:numPr>
        <w:ilvl w:val="3"/>
        <w:numId w:val="25"/>
      </w:numPr>
    </w:pPr>
  </w:style>
  <w:style w:type="paragraph" w:styleId="ListNumber">
    <w:name w:val="List Number"/>
    <w:basedOn w:val="Normal"/>
    <w:uiPriority w:val="1"/>
    <w:pPr>
      <w:numPr>
        <w:numId w:val="34"/>
      </w:numPr>
    </w:pPr>
  </w:style>
  <w:style w:type="paragraph" w:customStyle="1" w:styleId="ListNumberLevel2">
    <w:name w:val="List Number (Level 2)"/>
    <w:basedOn w:val="Normal"/>
    <w:uiPriority w:val="1"/>
    <w:pPr>
      <w:numPr>
        <w:ilvl w:val="1"/>
        <w:numId w:val="34"/>
      </w:numPr>
    </w:pPr>
  </w:style>
  <w:style w:type="paragraph" w:customStyle="1" w:styleId="ListNumberLevel3">
    <w:name w:val="List Number (Level 3)"/>
    <w:basedOn w:val="Normal"/>
    <w:uiPriority w:val="1"/>
    <w:semiHidden/>
    <w:unhideWhenUsed/>
    <w:pPr>
      <w:numPr>
        <w:ilvl w:val="2"/>
        <w:numId w:val="34"/>
      </w:numPr>
    </w:pPr>
  </w:style>
  <w:style w:type="paragraph" w:customStyle="1" w:styleId="ListNumberLevel4">
    <w:name w:val="List Number (Level 4)"/>
    <w:basedOn w:val="Normal"/>
    <w:uiPriority w:val="1"/>
    <w:semiHidden/>
    <w:unhideWhenUsed/>
    <w:pPr>
      <w:numPr>
        <w:ilvl w:val="3"/>
        <w:numId w:val="34"/>
      </w:numPr>
    </w:pPr>
  </w:style>
  <w:style w:type="paragraph" w:customStyle="1" w:styleId="ListNumber1">
    <w:name w:val="List Number 1"/>
    <w:basedOn w:val="Text1"/>
    <w:uiPriority w:val="1"/>
    <w:pPr>
      <w:numPr>
        <w:numId w:val="33"/>
      </w:numPr>
    </w:pPr>
  </w:style>
  <w:style w:type="paragraph" w:customStyle="1" w:styleId="ListNumber1Level2">
    <w:name w:val="List Number 1 (Level 2)"/>
    <w:basedOn w:val="Text1"/>
    <w:uiPriority w:val="1"/>
    <w:pPr>
      <w:numPr>
        <w:ilvl w:val="1"/>
        <w:numId w:val="33"/>
      </w:numPr>
    </w:pPr>
  </w:style>
  <w:style w:type="paragraph" w:customStyle="1" w:styleId="ListNumber1Level3">
    <w:name w:val="List Number 1 (Level 3)"/>
    <w:basedOn w:val="Text1"/>
    <w:uiPriority w:val="1"/>
    <w:semiHidden/>
    <w:unhideWhenUsed/>
    <w:pPr>
      <w:numPr>
        <w:ilvl w:val="2"/>
        <w:numId w:val="33"/>
      </w:numPr>
    </w:pPr>
  </w:style>
  <w:style w:type="paragraph" w:customStyle="1" w:styleId="ListNumber1Level4">
    <w:name w:val="List Number 1 (Level 4)"/>
    <w:basedOn w:val="Text1"/>
    <w:uiPriority w:val="1"/>
    <w:semiHidden/>
    <w:unhideWhenUsed/>
    <w:pPr>
      <w:numPr>
        <w:ilvl w:val="3"/>
        <w:numId w:val="33"/>
      </w:numPr>
    </w:pPr>
  </w:style>
  <w:style w:type="paragraph" w:styleId="ListNumber2">
    <w:name w:val="List Number 2"/>
    <w:basedOn w:val="Text2"/>
    <w:uiPriority w:val="1"/>
    <w:pPr>
      <w:numPr>
        <w:numId w:val="32"/>
      </w:numPr>
    </w:pPr>
  </w:style>
  <w:style w:type="paragraph" w:customStyle="1" w:styleId="ListNumber2Level2">
    <w:name w:val="List Number 2 (Level 2)"/>
    <w:basedOn w:val="Text2"/>
    <w:uiPriority w:val="1"/>
    <w:pPr>
      <w:numPr>
        <w:ilvl w:val="1"/>
        <w:numId w:val="32"/>
      </w:numPr>
    </w:pPr>
  </w:style>
  <w:style w:type="paragraph" w:customStyle="1" w:styleId="ListNumber2Level3">
    <w:name w:val="List Number 2 (Level 3)"/>
    <w:basedOn w:val="Text2"/>
    <w:uiPriority w:val="1"/>
    <w:semiHidden/>
    <w:unhideWhenUsed/>
    <w:pPr>
      <w:numPr>
        <w:ilvl w:val="2"/>
        <w:numId w:val="32"/>
      </w:numPr>
    </w:pPr>
  </w:style>
  <w:style w:type="paragraph" w:customStyle="1" w:styleId="ListNumber2Level4">
    <w:name w:val="List Number 2 (Level 4)"/>
    <w:basedOn w:val="Text2"/>
    <w:uiPriority w:val="1"/>
    <w:semiHidden/>
    <w:unhideWhenUsed/>
    <w:pPr>
      <w:numPr>
        <w:ilvl w:val="3"/>
        <w:numId w:val="32"/>
      </w:numPr>
    </w:pPr>
  </w:style>
  <w:style w:type="paragraph" w:styleId="ListNumber3">
    <w:name w:val="List Number 3"/>
    <w:basedOn w:val="Text3"/>
    <w:uiPriority w:val="1"/>
    <w:pPr>
      <w:numPr>
        <w:numId w:val="31"/>
      </w:numPr>
    </w:pPr>
  </w:style>
  <w:style w:type="paragraph" w:customStyle="1" w:styleId="ListNumber3Level2">
    <w:name w:val="List Number 3 (Level 2)"/>
    <w:basedOn w:val="Text3"/>
    <w:uiPriority w:val="1"/>
    <w:pPr>
      <w:numPr>
        <w:ilvl w:val="1"/>
        <w:numId w:val="31"/>
      </w:numPr>
    </w:pPr>
  </w:style>
  <w:style w:type="paragraph" w:customStyle="1" w:styleId="ListNumber3Level3">
    <w:name w:val="List Number 3 (Level 3)"/>
    <w:basedOn w:val="Text3"/>
    <w:uiPriority w:val="1"/>
    <w:semiHidden/>
    <w:unhideWhenUsed/>
    <w:pPr>
      <w:numPr>
        <w:ilvl w:val="2"/>
        <w:numId w:val="31"/>
      </w:numPr>
    </w:pPr>
  </w:style>
  <w:style w:type="paragraph" w:customStyle="1" w:styleId="ListNumber3Level4">
    <w:name w:val="List Number 3 (Level 4)"/>
    <w:basedOn w:val="Text3"/>
    <w:uiPriority w:val="1"/>
    <w:semiHidden/>
    <w:unhideWhenUsed/>
    <w:pPr>
      <w:numPr>
        <w:ilvl w:val="3"/>
        <w:numId w:val="31"/>
      </w:numPr>
    </w:pPr>
  </w:style>
  <w:style w:type="paragraph" w:styleId="ListNumber4">
    <w:name w:val="List Number 4"/>
    <w:basedOn w:val="Text4"/>
    <w:uiPriority w:val="1"/>
    <w:pPr>
      <w:numPr>
        <w:numId w:val="30"/>
      </w:numPr>
    </w:pPr>
  </w:style>
  <w:style w:type="paragraph" w:customStyle="1" w:styleId="ListNumber4Level2">
    <w:name w:val="List Number 4 (Level 2)"/>
    <w:basedOn w:val="Text4"/>
    <w:uiPriority w:val="1"/>
    <w:pPr>
      <w:numPr>
        <w:ilvl w:val="1"/>
        <w:numId w:val="30"/>
      </w:numPr>
    </w:pPr>
  </w:style>
  <w:style w:type="paragraph" w:customStyle="1" w:styleId="ListNumber4Level3">
    <w:name w:val="List Number 4 (Level 3)"/>
    <w:basedOn w:val="Text4"/>
    <w:uiPriority w:val="1"/>
    <w:semiHidden/>
    <w:unhideWhenUsed/>
    <w:pPr>
      <w:numPr>
        <w:ilvl w:val="2"/>
        <w:numId w:val="30"/>
      </w:numPr>
    </w:pPr>
  </w:style>
  <w:style w:type="paragraph" w:customStyle="1" w:styleId="ListNumber4Level4">
    <w:name w:val="List Number 4 (Level 4)"/>
    <w:basedOn w:val="Text4"/>
    <w:uiPriority w:val="1"/>
    <w:semiHidden/>
    <w:unhideWhenUsed/>
    <w:pPr>
      <w:numPr>
        <w:ilvl w:val="3"/>
        <w:numId w:val="30"/>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44"/>
      </w:numPr>
    </w:pPr>
  </w:style>
  <w:style w:type="paragraph" w:customStyle="1" w:styleId="TableListBulletLevel2">
    <w:name w:val="Table List Bullet (Level 2)"/>
    <w:basedOn w:val="TableText"/>
    <w:uiPriority w:val="1"/>
    <w:pPr>
      <w:numPr>
        <w:ilvl w:val="1"/>
        <w:numId w:val="44"/>
      </w:numPr>
    </w:pPr>
  </w:style>
  <w:style w:type="paragraph" w:customStyle="1" w:styleId="TableListBulletLevel3">
    <w:name w:val="Table List Bullet (Level 3)"/>
    <w:basedOn w:val="TableText"/>
    <w:uiPriority w:val="1"/>
    <w:semiHidden/>
    <w:unhideWhenUsed/>
    <w:pPr>
      <w:numPr>
        <w:ilvl w:val="2"/>
        <w:numId w:val="44"/>
      </w:numPr>
    </w:pPr>
  </w:style>
  <w:style w:type="paragraph" w:customStyle="1" w:styleId="TableListBulletLevel4">
    <w:name w:val="Table List Bullet (Level 4)"/>
    <w:basedOn w:val="TableText"/>
    <w:uiPriority w:val="1"/>
    <w:semiHidden/>
    <w:unhideWhenUsed/>
    <w:pPr>
      <w:numPr>
        <w:ilvl w:val="3"/>
        <w:numId w:val="44"/>
      </w:numPr>
    </w:pPr>
  </w:style>
  <w:style w:type="paragraph" w:customStyle="1" w:styleId="TableListDash">
    <w:name w:val="Table List Dash"/>
    <w:basedOn w:val="TableText"/>
    <w:uiPriority w:val="1"/>
    <w:pPr>
      <w:numPr>
        <w:numId w:val="45"/>
      </w:numPr>
    </w:pPr>
  </w:style>
  <w:style w:type="paragraph" w:customStyle="1" w:styleId="TableListDashLevel2">
    <w:name w:val="Table List Dash (Level 2)"/>
    <w:basedOn w:val="TableText"/>
    <w:uiPriority w:val="1"/>
    <w:pPr>
      <w:numPr>
        <w:ilvl w:val="1"/>
        <w:numId w:val="45"/>
      </w:numPr>
    </w:pPr>
  </w:style>
  <w:style w:type="paragraph" w:customStyle="1" w:styleId="TableListDashLevel3">
    <w:name w:val="Table List Dash (Level 3)"/>
    <w:basedOn w:val="TableText"/>
    <w:uiPriority w:val="1"/>
    <w:semiHidden/>
    <w:unhideWhenUsed/>
    <w:pPr>
      <w:numPr>
        <w:ilvl w:val="2"/>
        <w:numId w:val="45"/>
      </w:numPr>
    </w:pPr>
  </w:style>
  <w:style w:type="paragraph" w:customStyle="1" w:styleId="TableListDashLevel4">
    <w:name w:val="Table List Dash (Level 4)"/>
    <w:basedOn w:val="TableText"/>
    <w:uiPriority w:val="1"/>
    <w:semiHidden/>
    <w:unhideWhenUsed/>
    <w:pPr>
      <w:numPr>
        <w:ilvl w:val="3"/>
        <w:numId w:val="45"/>
      </w:numPr>
    </w:pPr>
  </w:style>
  <w:style w:type="paragraph" w:customStyle="1" w:styleId="TableListNumber">
    <w:name w:val="Table List Number"/>
    <w:basedOn w:val="TableText"/>
    <w:uiPriority w:val="1"/>
    <w:pPr>
      <w:numPr>
        <w:numId w:val="46"/>
      </w:numPr>
    </w:pPr>
  </w:style>
  <w:style w:type="paragraph" w:customStyle="1" w:styleId="TableListNumberLevel2">
    <w:name w:val="Table List Number (Level 2)"/>
    <w:basedOn w:val="TableText"/>
    <w:uiPriority w:val="1"/>
    <w:pPr>
      <w:numPr>
        <w:ilvl w:val="1"/>
        <w:numId w:val="46"/>
      </w:numPr>
    </w:pPr>
  </w:style>
  <w:style w:type="paragraph" w:customStyle="1" w:styleId="TableListNumberLevel3">
    <w:name w:val="Table List Number (Level 3)"/>
    <w:basedOn w:val="TableText"/>
    <w:uiPriority w:val="1"/>
    <w:semiHidden/>
    <w:unhideWhenUsed/>
    <w:pPr>
      <w:numPr>
        <w:ilvl w:val="2"/>
        <w:numId w:val="46"/>
      </w:numPr>
    </w:pPr>
  </w:style>
  <w:style w:type="paragraph" w:customStyle="1" w:styleId="TableListNumberLevel4">
    <w:name w:val="Table List Number (Level 4)"/>
    <w:basedOn w:val="TableText"/>
    <w:uiPriority w:val="1"/>
    <w:semiHidden/>
    <w:unhideWhenUsed/>
    <w:pPr>
      <w:numPr>
        <w:ilvl w:val="3"/>
        <w:numId w:val="46"/>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UnresolvedMention1">
    <w:name w:val="Unresolved Mention1"/>
    <w:basedOn w:val="DefaultParagraphFont"/>
    <w:semiHidden/>
    <w:locked/>
    <w:rsid w:val="00DC5B3E"/>
    <w:rPr>
      <w:color w:val="605E5C"/>
      <w:shd w:val="clear" w:color="auto" w:fill="E1DFDD"/>
    </w:rPr>
  </w:style>
  <w:style w:type="character" w:styleId="FollowedHyperlink">
    <w:name w:val="FollowedHyperlink"/>
    <w:basedOn w:val="DefaultParagraphFont"/>
    <w:semiHidden/>
    <w:locked/>
    <w:rsid w:val="00DC5B3E"/>
    <w:rPr>
      <w:color w:val="954F72" w:themeColor="followedHyperlink"/>
      <w:u w:val="single"/>
    </w:rPr>
  </w:style>
  <w:style w:type="character" w:customStyle="1" w:styleId="FooterChar">
    <w:name w:val="Footer Char"/>
    <w:basedOn w:val="DefaultParagraphFont"/>
    <w:link w:val="Footer"/>
    <w:uiPriority w:val="99"/>
    <w:rsid w:val="00364D7E"/>
    <w:rPr>
      <w:sz w:val="16"/>
    </w:rPr>
  </w:style>
  <w:style w:type="character" w:customStyle="1" w:styleId="Marker">
    <w:name w:val="Marker"/>
    <w:basedOn w:val="DefaultParagraphFont"/>
    <w:rsid w:val="008E2D28"/>
    <w:rPr>
      <w:color w:val="0000FF"/>
      <w:shd w:val="clear" w:color="auto" w:fill="auto"/>
    </w:rPr>
  </w:style>
  <w:style w:type="paragraph" w:customStyle="1" w:styleId="FooterSensitivity">
    <w:name w:val="Footer Sensitivity"/>
    <w:basedOn w:val="Normal"/>
    <w:link w:val="FooterSensitivityChar"/>
    <w:rsid w:val="008E2D2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8E2D28"/>
    <w:rPr>
      <w:rFonts w:eastAsia="Calibri"/>
      <w:szCs w:val="22"/>
      <w:lang w:eastAsia="en-GB"/>
    </w:rPr>
  </w:style>
  <w:style w:type="character" w:customStyle="1" w:styleId="FooterSensitivityChar">
    <w:name w:val="Footer Sensitivity Char"/>
    <w:basedOn w:val="PagedecouvertureChar"/>
    <w:link w:val="FooterSensitivity"/>
    <w:rsid w:val="008E2D28"/>
    <w:rPr>
      <w:rFonts w:eastAsia="Calibri"/>
      <w:b/>
      <w:sz w:val="32"/>
      <w:szCs w:val="22"/>
      <w:lang w:eastAsia="en-GB"/>
    </w:rPr>
  </w:style>
  <w:style w:type="paragraph" w:customStyle="1" w:styleId="HeaderSensitivity">
    <w:name w:val="Header Sensitivity"/>
    <w:basedOn w:val="Normal"/>
    <w:link w:val="HeaderSensitivityChar"/>
    <w:rsid w:val="008E2D2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8E2D28"/>
    <w:rPr>
      <w:rFonts w:eastAsia="Calibri"/>
      <w:b/>
      <w:sz w:val="32"/>
      <w:szCs w:val="22"/>
      <w:lang w:eastAsia="en-GB"/>
    </w:rPr>
  </w:style>
  <w:style w:type="paragraph" w:customStyle="1" w:styleId="HeaderSensitivityRight">
    <w:name w:val="Header Sensitivity Right"/>
    <w:basedOn w:val="Normal"/>
    <w:link w:val="HeaderSensitivityRightChar"/>
    <w:rsid w:val="008E2D28"/>
    <w:pPr>
      <w:spacing w:after="120"/>
      <w:jc w:val="right"/>
    </w:pPr>
    <w:rPr>
      <w:sz w:val="28"/>
    </w:rPr>
  </w:style>
  <w:style w:type="character" w:customStyle="1" w:styleId="HeaderSensitivityRightChar">
    <w:name w:val="Header Sensitivity Right Char"/>
    <w:basedOn w:val="PagedecouvertureChar"/>
    <w:link w:val="HeaderSensitivityRight"/>
    <w:rsid w:val="008E2D28"/>
    <w:rPr>
      <w:rFonts w:eastAsia="Calibri"/>
      <w:sz w:val="28"/>
      <w:szCs w:val="22"/>
      <w:lang w:eastAsia="en-GB"/>
    </w:rPr>
  </w:style>
  <w:style w:type="paragraph" w:styleId="Revision">
    <w:name w:val="Revision"/>
    <w:hidden/>
    <w:semiHidden/>
    <w:locked/>
    <w:rsid w:val="009F2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2022/1500/oj" TargetMode="External"/><Relationship Id="rId13" Type="http://schemas.openxmlformats.org/officeDocument/2006/relationships/hyperlink" Target="http://data.europa.eu/eli/reg/2019/1155/oj" TargetMode="External"/><Relationship Id="rId3" Type="http://schemas.openxmlformats.org/officeDocument/2006/relationships/hyperlink" Target="http://data.europa.eu/eli/agree_internation/2014/242/oj" TargetMode="External"/><Relationship Id="rId7" Type="http://schemas.openxmlformats.org/officeDocument/2006/relationships/hyperlink" Target="http://data.europa.eu/eli/reg/2018/1806/2023-05-15" TargetMode="External"/><Relationship Id="rId12" Type="http://schemas.openxmlformats.org/officeDocument/2006/relationships/hyperlink" Target="https://travel.state.gov/content/travel/en/News/visas-news/niv-fee-increases-to-take-effect-june-17-2023.html" TargetMode="External"/><Relationship Id="rId2" Type="http://schemas.openxmlformats.org/officeDocument/2006/relationships/hyperlink" Target="http://data.europa.eu/eli/agree_internation/2013/628/oj" TargetMode="External"/><Relationship Id="rId1" Type="http://schemas.openxmlformats.org/officeDocument/2006/relationships/hyperlink" Target="http://data.europa.eu/eli/reg/2009/810/2020-02-02" TargetMode="External"/><Relationship Id="rId6" Type="http://schemas.openxmlformats.org/officeDocument/2006/relationships/hyperlink" Target="http://data.europa.eu/eli/agree_internation/2013/521/2021-10-19" TargetMode="External"/><Relationship Id="rId11" Type="http://schemas.openxmlformats.org/officeDocument/2006/relationships/hyperlink" Target="https://ec.europa.eu/eurostat/cache/metadata/Annexes/prc_rem_esms_an3.7z" TargetMode="External"/><Relationship Id="rId5" Type="http://schemas.openxmlformats.org/officeDocument/2006/relationships/hyperlink" Target="http://data.europa.eu/eli/dec/2021/1940/oj" TargetMode="External"/><Relationship Id="rId15" Type="http://schemas.openxmlformats.org/officeDocument/2006/relationships/hyperlink" Target="https://eur-lex.europa.eu/legal-content/EN/TXT/?uri=celex%3A52018SC0077" TargetMode="External"/><Relationship Id="rId10" Type="http://schemas.openxmlformats.org/officeDocument/2006/relationships/hyperlink" Target="https://ec.europa.eu/eurostat/databrowser/view/prc_rem_cs/default/table" TargetMode="External"/><Relationship Id="rId4" Type="http://schemas.openxmlformats.org/officeDocument/2006/relationships/hyperlink" Target="http://data.europa.eu/eli/agree_internation/2020/752/oj" TargetMode="External"/><Relationship Id="rId9" Type="http://schemas.openxmlformats.org/officeDocument/2006/relationships/hyperlink" Target="https://ec.europa.eu/eurostat/databrowser//product/view/PRC_HICP_MIDX" TargetMode="External"/><Relationship Id="rId14" Type="http://schemas.openxmlformats.org/officeDocument/2006/relationships/hyperlink" Target="http://data.europa.eu/eli/dir/2004/38/2011-0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10.0.45789.0</Version>
    <Date>2024-02-29T14:57:46</Date>
    <Language>EN</Language>
    <Note>Created using 'Convert To Eurolook'</Note>
  </Created>
  <Edited>
    <Version/>
    <Date/>
  </Edited>
  <DocumentModel>
    <Id>6cbda13a-4db2-46c6-876a-ef72275827ef</Id>
    <Name>Report</Name>
  </DocumentModel>
  <CustomTemplate>
    <Id/>
    <Name/>
  </CustomTemplate>
  <DocumentDate>2024-02-29T14:57:46</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istributionDG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3.xml><?xml version="1.0" encoding="utf-8"?>
<Author Role="Creator" AuthorRoleName="Writer" AuthorRoleId="a4fbaff4-b07c-48b4-a21e-e7b9eedf3796">
  <Id>aba04af0-9cff-47aa-8e23-2a9aa5ccf0ab</Id>
  <Names>
    <Latin>
      <FirstName>Guido</FirstName>
      <LastName>SCHWARZ</LastName>
    </Latin>
    <Greek>
      <FirstName/>
      <LastName/>
    </Greek>
    <Cyrillic>
      <FirstName/>
      <LastName/>
    </Cyrillic>
    <DocumentScript>
      <FirstName>Guido</FirstName>
      <LastName>SCHWARZ</LastName>
      <FullName>Guido SCHWARZ</FullName>
    </DocumentScript>
  </Names>
  <Initials>GS</Initials>
  <Gender>m</Gender>
  <Email>Guido.SCHWARZ@ec.europa.eu</Email>
  <Service>HOME.B.4</Service>
  <Function ADCode="" ShowInSignature="true" ShowInHeader="false" HeaderText="">Policy Officer</Function>
  <WebAddress/>
  <FunctionalMailbox/>
  <InheritedWebAddress>WebAddress</InheritedWebAddress>
  <OrgaEntity1>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55976f76-ade9-4e1b-8054-7db1e3ef90a5</Id>
    <LogicalLevel>2</LogicalLevel>
    <Name>HOME.B</Name>
    <HeadLine1>Directorate B – Schengen, Borders &amp; Visa</HeadLine1>
    <HeadLine2/>
    <PrimaryAddressId>f03b5801-04c9-4931-aa17-c6d6c70bc579</PrimaryAddressId>
    <SecondaryAddressId/>
    <WebAddress/>
    <InheritedWebAddress>WebAddress</InheritedWebAddress>
    <ShowInHeader>true</ShowInHeader>
  </OrgaEntity2>
  <OrgaEntity3>
    <Id>03f1c989-02f6-430f-b518-a4ec4fb56985</Id>
    <LogicalLevel>3</LogicalLevel>
    <Name>HOME.B.4</Name>
    <HeadLine1>B.4 – Visa Policy</HeadLine1>
    <HeadLine2/>
    <PrimaryAddressId>f03b5801-04c9-4931-aa17-c6d6c70bc579</PrimaryAddressId>
    <SecondaryAddressId/>
    <WebAddress/>
    <InheritedWebAddress>WebAddress</InheritedWebAddress>
    <ShowInHeader>true</ShowInHeader>
  </OrgaEntity3>
  <Hierarchy>
    <OrgaEntity>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
    <OrgaEntity>
      <Id>55976f76-ade9-4e1b-8054-7db1e3ef90a5</Id>
      <LogicalLevel>2</LogicalLevel>
      <Name>HOME.B</Name>
      <HeadLine1>Directorate B – Schengen, Borders &amp; Visa</HeadLine1>
      <HeadLine2/>
      <PrimaryAddressId>f03b5801-04c9-4931-aa17-c6d6c70bc579</PrimaryAddressId>
      <SecondaryAddressId/>
      <WebAddress/>
      <InheritedWebAddress>WebAddress</InheritedWebAddress>
      <ShowInHeader>true</ShowInHeader>
    </OrgaEntity>
    <OrgaEntity>
      <Id>03f1c989-02f6-430f-b518-a4ec4fb56985</Id>
      <LogicalLevel>3</LogicalLevel>
      <Name>HOME.B.4</Name>
      <HeadLine1>B.4 – Visa Policy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+32 229-51603</Phone>
    <Office>LX46 01/130</Office>
  </MainWorkplace>
  <Workplaces>
    <Workplace IsMain="true">
      <AddressId>f03b5801-04c9-4931-aa17-c6d6c70bc579</AddressId>
      <Fax/>
      <Phone>+32 229-51603</Phone>
      <Office>LX46 01/130</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39791BD4-383C-4B0A-B735-34DCBE761395}">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2468</Words>
  <Characters>14072</Characters>
  <Application>Microsoft Office Word</Application>
  <DocSecurity>0</DocSecurity>
  <PresentationFormat>Microsoft Word 14.0</PresentationFormat>
  <Lines>117</Lines>
  <Paragraphs>33</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2024-03-13T10:22:00Z</dcterms:created>
  <dcterms:modified xsi:type="dcterms:W3CDTF">2024-03-22T15:15:00Z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2024-02-29T13:57:46Z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0696317e-b749-4f55-99d1-ee6903f42b68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rep.dot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9.0, Build 20230317</vt:lpwstr>
  </property>
  <property fmtid="{D5CDD505-2E9C-101B-9397-08002B2CF9AE}" pid="17" name="Created using">
    <vt:lpwstr>LW 9.0, Build 20230317</vt:lpwstr>
  </property>
  <property name="OP_sanitized" fmtid="{D5CDD505-2E9C-101B-9397-08002B2CF9AE}" pid="18">
    <vt:lpwstr>True</vt:lpwstr>
  </property>
</Properties>
</file>