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992" w:rsidRDefault="00981B0A" w:rsidP="00981B0A">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CCFE0D40-D79B-4D2D-838F-CC03CE523FDE" style="width:455.25pt;height:324pt">
            <v:imagedata r:id="rId7" o:title=""/>
          </v:shape>
        </w:pict>
      </w:r>
    </w:p>
    <w:bookmarkEnd w:id="0"/>
    <w:p w:rsidR="00773992" w:rsidRDefault="00773992" w:rsidP="00773992">
      <w:pPr>
        <w:rPr>
          <w:noProof/>
        </w:rPr>
        <w:sectPr w:rsidR="00773992" w:rsidSect="00981B0A">
          <w:headerReference w:type="even" r:id="rId8"/>
          <w:headerReference w:type="default" r:id="rId9"/>
          <w:footerReference w:type="even" r:id="rId10"/>
          <w:footerReference w:type="default" r:id="rId11"/>
          <w:headerReference w:type="first" r:id="rId12"/>
          <w:footerReference w:type="first" r:id="rId13"/>
          <w:pgSz w:w="11906" w:h="16838"/>
          <w:pgMar w:top="1134" w:right="1417" w:bottom="1134" w:left="1417" w:header="709" w:footer="709" w:gutter="0"/>
          <w:pgNumType w:start="0"/>
          <w:cols w:space="720"/>
          <w:docGrid w:linePitch="360"/>
        </w:sectPr>
      </w:pPr>
    </w:p>
    <w:p w:rsidR="00DC7D8E" w:rsidRDefault="00DC7D8E" w:rsidP="00DC7D8E">
      <w:pPr>
        <w:jc w:val="both"/>
        <w:rPr>
          <w:rFonts w:ascii="Times New Roman" w:eastAsia="Calibri" w:hAnsi="Times New Roman" w:cs="Times New Roman"/>
          <w:b/>
          <w:noProof/>
          <w:sz w:val="24"/>
          <w:szCs w:val="24"/>
        </w:rPr>
      </w:pPr>
      <w:bookmarkStart w:id="1" w:name="_GoBack"/>
      <w:bookmarkEnd w:id="1"/>
      <w:r>
        <w:rPr>
          <w:rFonts w:ascii="Times New Roman" w:hAnsi="Times New Roman"/>
          <w:b/>
          <w:noProof/>
          <w:sz w:val="24"/>
        </w:rPr>
        <w:lastRenderedPageBreak/>
        <w:t xml:space="preserve">1. </w:t>
      </w:r>
      <w:r>
        <w:rPr>
          <w:noProof/>
        </w:rPr>
        <w:tab/>
      </w:r>
      <w:r>
        <w:rPr>
          <w:rFonts w:ascii="Times New Roman" w:hAnsi="Times New Roman"/>
          <w:b/>
          <w:noProof/>
          <w:sz w:val="24"/>
        </w:rPr>
        <w:t>JOHDANTO</w:t>
      </w:r>
    </w:p>
    <w:p w:rsidR="00DC7D8E" w:rsidRDefault="00DC7D8E" w:rsidP="00DC7D8E">
      <w:pPr>
        <w:jc w:val="both"/>
        <w:rPr>
          <w:rFonts w:ascii="Times New Roman" w:eastAsia="Calibri" w:hAnsi="Times New Roman" w:cs="Times New Roman"/>
          <w:noProof/>
          <w:sz w:val="24"/>
          <w:szCs w:val="24"/>
        </w:rPr>
      </w:pPr>
      <w:r>
        <w:rPr>
          <w:rFonts w:ascii="Times New Roman" w:hAnsi="Times New Roman"/>
          <w:noProof/>
          <w:sz w:val="24"/>
        </w:rPr>
        <w:t>Euroopan parlamentin ja neuvoston asetuksella (EU) N:o 549/2013</w:t>
      </w:r>
      <w:r>
        <w:rPr>
          <w:rStyle w:val="FootnoteReference"/>
          <w:noProof/>
        </w:rPr>
        <w:footnoteReference w:id="1"/>
      </w:r>
      <w:r>
        <w:rPr>
          <w:rFonts w:ascii="Times New Roman" w:hAnsi="Times New Roman"/>
          <w:noProof/>
          <w:sz w:val="24"/>
        </w:rPr>
        <w:t xml:space="preserve"> perustettiin Euroopan kansantalouden tilinpitojärjestelmä 2010 (EKT 2010). EKT 2010 on kansantalouden tilinpidon ja aluetilinpidon järjestelmä, joka vastaa unionin talous-, sosiaali- ja aluepolitiikan tarpeisiin. Siihen sisältyvät  </w:t>
      </w:r>
    </w:p>
    <w:p w:rsidR="00DC7D8E" w:rsidRDefault="00DC7D8E" w:rsidP="00DC7D8E">
      <w:pPr>
        <w:numPr>
          <w:ilvl w:val="0"/>
          <w:numId w:val="2"/>
        </w:numPr>
        <w:spacing w:after="200" w:line="276" w:lineRule="auto"/>
        <w:jc w:val="both"/>
        <w:rPr>
          <w:rFonts w:ascii="Times New Roman" w:eastAsia="Calibri" w:hAnsi="Times New Roman" w:cs="Times New Roman"/>
          <w:noProof/>
          <w:sz w:val="24"/>
          <w:szCs w:val="24"/>
        </w:rPr>
      </w:pPr>
      <w:r>
        <w:rPr>
          <w:rFonts w:ascii="Times New Roman" w:hAnsi="Times New Roman"/>
          <w:noProof/>
          <w:sz w:val="24"/>
        </w:rPr>
        <w:t>menetelmä (asetuksen liite A), joka koskee yhteisiä standardeja, määritelmiä, luokituksia ja tilinpitosääntöjä ja jota on käytettävä tilien ja taulukoiden laatimiseen vertailukelpoisin perustein EU:n tarpeisiin;</w:t>
      </w:r>
    </w:p>
    <w:p w:rsidR="00DC7D8E" w:rsidRPr="00B4683E" w:rsidRDefault="00DC7D8E" w:rsidP="00DC7D8E">
      <w:pPr>
        <w:numPr>
          <w:ilvl w:val="0"/>
          <w:numId w:val="2"/>
        </w:numPr>
        <w:spacing w:after="200" w:line="276" w:lineRule="auto"/>
        <w:jc w:val="both"/>
        <w:rPr>
          <w:rFonts w:ascii="Times New Roman" w:eastAsia="Calibri" w:hAnsi="Times New Roman" w:cs="Times New Roman"/>
          <w:noProof/>
          <w:sz w:val="24"/>
          <w:szCs w:val="24"/>
        </w:rPr>
      </w:pPr>
      <w:r>
        <w:rPr>
          <w:rFonts w:ascii="Times New Roman" w:hAnsi="Times New Roman"/>
          <w:noProof/>
          <w:sz w:val="24"/>
        </w:rPr>
        <w:t>ohjelma (asetuksen liite B), jossa vahvistetaan määräajat, joihin mennessä jäsenvaltioiden on toimitettava komissiolle (Eurostat) a alakohdassa tarkoitetun menetelmän mukaisesti laadittavat tilit ja taulukot.</w:t>
      </w:r>
    </w:p>
    <w:p w:rsidR="00DC7D8E" w:rsidRDefault="00DC7D8E" w:rsidP="00DC7D8E">
      <w:pPr>
        <w:jc w:val="both"/>
        <w:rPr>
          <w:rFonts w:ascii="Times New Roman" w:eastAsia="Calibri" w:hAnsi="Times New Roman" w:cs="Times New Roman"/>
          <w:noProof/>
          <w:sz w:val="24"/>
          <w:szCs w:val="24"/>
        </w:rPr>
      </w:pPr>
      <w:r>
        <w:rPr>
          <w:rFonts w:ascii="Times New Roman" w:hAnsi="Times New Roman"/>
          <w:noProof/>
          <w:sz w:val="24"/>
        </w:rPr>
        <w:t>Asetuksella (EU) N:o 549/2013 siirretään komissiolle valta antaa delegoituja säädöksiä asetuksen 7 artiklassa säädettyjen edellytysten mukaisesti</w:t>
      </w:r>
    </w:p>
    <w:p w:rsidR="00DC7D8E" w:rsidRDefault="00DC7D8E" w:rsidP="00DC7D8E">
      <w:pPr>
        <w:numPr>
          <w:ilvl w:val="0"/>
          <w:numId w:val="1"/>
        </w:numPr>
        <w:spacing w:after="200" w:line="276" w:lineRule="auto"/>
        <w:jc w:val="both"/>
        <w:rPr>
          <w:rFonts w:ascii="Times New Roman" w:eastAsia="Calibri" w:hAnsi="Times New Roman" w:cs="Times New Roman"/>
          <w:noProof/>
          <w:sz w:val="24"/>
          <w:szCs w:val="24"/>
        </w:rPr>
      </w:pPr>
      <w:r>
        <w:rPr>
          <w:rFonts w:ascii="Times New Roman" w:hAnsi="Times New Roman"/>
          <w:noProof/>
          <w:sz w:val="24"/>
        </w:rPr>
        <w:t>EKT 2010 -menetelmää, joka esitetään liitteessä A, koskevista muutoksista, joilla täsmennetään ja parannetaan sen sisältöä yhdenmukaisen tulkinnan tai kansainvälisen vertailukelpoisuuden varmistamiseksi, edellyttäen ettei niillä muuteta peruskäsitteitä, ettei niiden täytäntöönpano edellytä lisävaroja Euroopan tilastojärjestelmän piiriin kuuluvilta tuottajilta eikä niiden soveltaminen aiheuta muutoksia omiin varoihin (2 artiklan 2 kohta);</w:t>
      </w:r>
    </w:p>
    <w:p w:rsidR="00DC7D8E" w:rsidRDefault="00DC7D8E" w:rsidP="00DC7D8E">
      <w:pPr>
        <w:numPr>
          <w:ilvl w:val="0"/>
          <w:numId w:val="1"/>
        </w:numPr>
        <w:spacing w:after="200" w:line="276" w:lineRule="auto"/>
        <w:jc w:val="both"/>
        <w:rPr>
          <w:rFonts w:ascii="Times New Roman" w:eastAsia="Calibri" w:hAnsi="Times New Roman" w:cs="Times New Roman"/>
          <w:noProof/>
          <w:sz w:val="24"/>
          <w:szCs w:val="24"/>
        </w:rPr>
      </w:pPr>
      <w:r>
        <w:rPr>
          <w:rFonts w:ascii="Times New Roman" w:hAnsi="Times New Roman"/>
          <w:noProof/>
          <w:sz w:val="24"/>
        </w:rPr>
        <w:t>ja tutkimusta ja kehittämistä koskevien jäsenvaltioiden EKT 2010 -tietojen luotettavuuden ja vertailukelpoisuuden varmistamiseksi; tutkimus- ja kehittämismenot kirjataan kiinteän pääoman bruttomuodostuksena. Käyttäessään valtaansa tämän kohdan nojalla komissio varmistaa, että tällaisista delegoiduista säädöksistä ei aiheudu merkittäviä hallinnollisia lisärasitteita jäsenvaltioille tai vastaajayksiköille (2 artiklan 5 kohta).</w:t>
      </w:r>
    </w:p>
    <w:p w:rsidR="00DC7D8E" w:rsidRDefault="00DC7D8E" w:rsidP="00DC7D8E">
      <w:pPr>
        <w:jc w:val="both"/>
        <w:rPr>
          <w:rFonts w:ascii="Times New Roman" w:eastAsia="Calibri" w:hAnsi="Times New Roman" w:cs="Times New Roman"/>
          <w:noProof/>
          <w:sz w:val="24"/>
          <w:szCs w:val="24"/>
        </w:rPr>
      </w:pPr>
      <w:r>
        <w:rPr>
          <w:rFonts w:ascii="Times New Roman" w:hAnsi="Times New Roman"/>
          <w:noProof/>
          <w:sz w:val="24"/>
        </w:rPr>
        <w:t>Komissiolle siirrettiin lisäksi kahdeksi kuukaudeksi valta, joka koskee välillisten rahoituspalvelujen (FISIM) laskennassa ja kohdentamisessa kansantalouden tilinpidossa käytettävän menetelmän tarkistamista liitteessä A selostetun menetelmän mukaisesti. Tätä valtaa oli käytettävä ennen 17. syyskuuta 2013</w:t>
      </w:r>
      <w:r>
        <w:rPr>
          <w:rStyle w:val="FootnoteReference"/>
          <w:rFonts w:ascii="Times New Roman" w:eastAsia="Calibri" w:hAnsi="Times New Roman" w:cs="Times New Roman"/>
          <w:noProof/>
          <w:sz w:val="24"/>
          <w:szCs w:val="24"/>
        </w:rPr>
        <w:footnoteReference w:id="2"/>
      </w:r>
      <w:r>
        <w:rPr>
          <w:rFonts w:ascii="Times New Roman" w:hAnsi="Times New Roman"/>
          <w:noProof/>
          <w:sz w:val="24"/>
        </w:rPr>
        <w:t xml:space="preserve"> (2 artiklan 4 kohta).</w:t>
      </w:r>
    </w:p>
    <w:p w:rsidR="00DC7D8E" w:rsidRDefault="00DC7D8E" w:rsidP="00DC7D8E">
      <w:pPr>
        <w:jc w:val="both"/>
        <w:rPr>
          <w:rFonts w:ascii="Times New Roman" w:eastAsia="Calibri" w:hAnsi="Times New Roman" w:cs="Times New Roman"/>
          <w:noProof/>
          <w:sz w:val="24"/>
          <w:szCs w:val="24"/>
        </w:rPr>
      </w:pPr>
      <w:r>
        <w:rPr>
          <w:rFonts w:ascii="Times New Roman" w:hAnsi="Times New Roman"/>
          <w:noProof/>
          <w:sz w:val="24"/>
        </w:rPr>
        <w:t>Asetuksessa (EU) N:o 549/2013 korostetaan, että on tärkeää, että komissio asiaa valmistellessaan toteuttaa asianmukaiset kuulemiset ja kuulee myös asetuksella (EY) N:o 223/2009</w:t>
      </w:r>
      <w:r>
        <w:rPr>
          <w:rStyle w:val="FootnoteReference"/>
          <w:rFonts w:ascii="Times New Roman" w:eastAsia="Calibri" w:hAnsi="Times New Roman" w:cs="Times New Roman"/>
          <w:noProof/>
          <w:sz w:val="24"/>
          <w:szCs w:val="24"/>
        </w:rPr>
        <w:footnoteReference w:id="3"/>
      </w:r>
      <w:r>
        <w:rPr>
          <w:rFonts w:ascii="Times New Roman" w:hAnsi="Times New Roman"/>
          <w:noProof/>
          <w:sz w:val="24"/>
        </w:rPr>
        <w:t xml:space="preserve"> perustettua Euroopan tilastojärjestelmää käsittelevää komiteaa (johdanto-osan 24 kappale).</w:t>
      </w:r>
    </w:p>
    <w:p w:rsidR="00DC7D8E" w:rsidRDefault="00DC7D8E" w:rsidP="00DC7D8E">
      <w:pPr>
        <w:keepNext/>
        <w:jc w:val="both"/>
        <w:rPr>
          <w:rFonts w:ascii="Times New Roman" w:eastAsia="Calibri" w:hAnsi="Times New Roman" w:cs="Times New Roman"/>
          <w:b/>
          <w:noProof/>
          <w:sz w:val="24"/>
          <w:szCs w:val="24"/>
        </w:rPr>
      </w:pPr>
      <w:r>
        <w:rPr>
          <w:rFonts w:ascii="Times New Roman" w:hAnsi="Times New Roman"/>
          <w:b/>
          <w:noProof/>
          <w:sz w:val="24"/>
        </w:rPr>
        <w:t xml:space="preserve">2. </w:t>
      </w:r>
      <w:r>
        <w:rPr>
          <w:noProof/>
        </w:rPr>
        <w:tab/>
      </w:r>
      <w:r>
        <w:rPr>
          <w:rFonts w:ascii="Times New Roman" w:hAnsi="Times New Roman"/>
          <w:b/>
          <w:noProof/>
          <w:sz w:val="24"/>
        </w:rPr>
        <w:t>OIKEUSPERUSTA</w:t>
      </w:r>
    </w:p>
    <w:p w:rsidR="00DC7D8E" w:rsidRDefault="00DC7D8E" w:rsidP="00DC7D8E">
      <w:pPr>
        <w:jc w:val="both"/>
        <w:rPr>
          <w:rFonts w:ascii="Times New Roman" w:eastAsia="Calibri" w:hAnsi="Times New Roman" w:cs="Times New Roman"/>
          <w:noProof/>
          <w:sz w:val="24"/>
          <w:szCs w:val="24"/>
        </w:rPr>
      </w:pPr>
      <w:r>
        <w:rPr>
          <w:rFonts w:ascii="Times New Roman" w:hAnsi="Times New Roman"/>
          <w:noProof/>
          <w:sz w:val="24"/>
        </w:rPr>
        <w:t>Tätä kertomusta edellytetään asetuksen (EU) N:o 549/2013 7 artiklan 2 kohdassa, jossa siirretään komissiolle valta antaa 2 artiklan 2 ja 5 kohdassa tarkoitettuja delegoituja säädöksiä viideksi vuodeksi 16. heinäkuuta 2013 alkaen. Säädösvallan siirtoa jatketaan ilman eri toimenpiteitä samanpituisiksi kausiksi, jollei Euroopan parlamentti tai neuvosto vastusta tällaista jatkamista viimeistään kolme kuukautta ennen kunkin kauden päättymistä. Komission on laadittava siirrettyä säädösvaltaa koskeva kertomus viimeistään yhdeksän kuukautta ennen viiden vuoden pituisen kauden päättymistä.</w:t>
      </w:r>
    </w:p>
    <w:p w:rsidR="00DC7D8E" w:rsidRDefault="00DC7D8E" w:rsidP="00DC7D8E">
      <w:pPr>
        <w:jc w:val="both"/>
        <w:rPr>
          <w:rFonts w:ascii="Times New Roman" w:eastAsia="Calibri" w:hAnsi="Times New Roman" w:cs="Times New Roman"/>
          <w:b/>
          <w:noProof/>
          <w:sz w:val="24"/>
          <w:szCs w:val="24"/>
        </w:rPr>
      </w:pPr>
      <w:r>
        <w:rPr>
          <w:rFonts w:ascii="Times New Roman" w:hAnsi="Times New Roman"/>
          <w:b/>
          <w:noProof/>
          <w:sz w:val="24"/>
        </w:rPr>
        <w:t>3.</w:t>
      </w:r>
      <w:r>
        <w:rPr>
          <w:noProof/>
        </w:rPr>
        <w:tab/>
      </w:r>
      <w:r>
        <w:rPr>
          <w:rFonts w:ascii="Times New Roman" w:hAnsi="Times New Roman"/>
          <w:b/>
          <w:noProof/>
          <w:sz w:val="24"/>
        </w:rPr>
        <w:t>SIIRRETYN SÄÄDÖSVALLAN KÄYTTÄMINEN KULUVALLA KAUDELLA</w:t>
      </w:r>
    </w:p>
    <w:p w:rsidR="00DC7D8E" w:rsidRDefault="00DC7D8E" w:rsidP="00DC7D8E">
      <w:pPr>
        <w:jc w:val="both"/>
        <w:rPr>
          <w:rFonts w:ascii="Times New Roman" w:hAnsi="Times New Roman" w:cs="Times New Roman"/>
          <w:noProof/>
          <w:sz w:val="24"/>
          <w:szCs w:val="24"/>
        </w:rPr>
      </w:pPr>
      <w:r>
        <w:rPr>
          <w:rFonts w:ascii="Times New Roman" w:hAnsi="Times New Roman"/>
          <w:noProof/>
          <w:sz w:val="24"/>
        </w:rPr>
        <w:t>Komissio raportoi siirretyn säädösvallan käytöstä asetuksen (EU) N:o 549/2013 viiden ensimmäisen soveltamisvuoden aikana vuonna 2017</w:t>
      </w:r>
      <w:r>
        <w:rPr>
          <w:rStyle w:val="FootnoteReference"/>
          <w:rFonts w:ascii="Times New Roman" w:hAnsi="Times New Roman" w:cs="Times New Roman"/>
          <w:noProof/>
          <w:sz w:val="24"/>
          <w:szCs w:val="24"/>
        </w:rPr>
        <w:footnoteReference w:id="4"/>
      </w:r>
      <w:r>
        <w:rPr>
          <w:rFonts w:ascii="Times New Roman" w:hAnsi="Times New Roman"/>
          <w:noProof/>
          <w:sz w:val="24"/>
        </w:rPr>
        <w:t xml:space="preserve">. </w:t>
      </w:r>
    </w:p>
    <w:p w:rsidR="00DC7D8E" w:rsidRDefault="00DC7D8E" w:rsidP="00DC7D8E">
      <w:pPr>
        <w:jc w:val="both"/>
        <w:rPr>
          <w:rFonts w:ascii="Times New Roman" w:hAnsi="Times New Roman" w:cs="Times New Roman"/>
          <w:noProof/>
          <w:sz w:val="24"/>
          <w:szCs w:val="24"/>
        </w:rPr>
      </w:pPr>
      <w:r>
        <w:rPr>
          <w:rFonts w:ascii="Times New Roman" w:hAnsi="Times New Roman"/>
          <w:noProof/>
          <w:sz w:val="24"/>
        </w:rPr>
        <w:t xml:space="preserve">Seuraavan viisivuotiskauden aikana, joka alkoi 16. heinäkuuta 2018 säädösvallan siirron ilman eri toimenpiteitä tapahtuvan jatkamisen mukaisesti, komissio ei käyttänyt sille asetuksen (EU) N:o 549/2013 2 artiklan 2 ja 5 kohdassa siirrettyä valtaa antaa delegoituja säädöksiä. </w:t>
      </w:r>
    </w:p>
    <w:p w:rsidR="00DC7D8E" w:rsidRDefault="00DC7D8E" w:rsidP="00DC7D8E">
      <w:pPr>
        <w:keepNext/>
        <w:jc w:val="both"/>
        <w:rPr>
          <w:rFonts w:ascii="Times New Roman" w:eastAsia="Calibri" w:hAnsi="Times New Roman" w:cs="Times New Roman"/>
          <w:b/>
          <w:noProof/>
          <w:sz w:val="24"/>
          <w:szCs w:val="24"/>
        </w:rPr>
      </w:pPr>
      <w:r>
        <w:rPr>
          <w:rFonts w:ascii="Times New Roman" w:hAnsi="Times New Roman"/>
          <w:b/>
          <w:noProof/>
          <w:sz w:val="24"/>
        </w:rPr>
        <w:t xml:space="preserve">4. </w:t>
      </w:r>
      <w:r>
        <w:rPr>
          <w:noProof/>
        </w:rPr>
        <w:tab/>
      </w:r>
      <w:r>
        <w:rPr>
          <w:rFonts w:ascii="Times New Roman" w:hAnsi="Times New Roman"/>
          <w:b/>
          <w:noProof/>
          <w:sz w:val="24"/>
        </w:rPr>
        <w:t>PÄÄTELMÄ</w:t>
      </w:r>
    </w:p>
    <w:p w:rsidR="00DC7D8E" w:rsidRDefault="00DC7D8E" w:rsidP="00DC7D8E">
      <w:pPr>
        <w:jc w:val="both"/>
        <w:rPr>
          <w:rFonts w:ascii="Times New Roman" w:hAnsi="Times New Roman" w:cs="Times New Roman"/>
          <w:noProof/>
          <w:sz w:val="24"/>
          <w:szCs w:val="24"/>
        </w:rPr>
      </w:pPr>
      <w:r>
        <w:rPr>
          <w:rFonts w:ascii="Times New Roman" w:hAnsi="Times New Roman"/>
          <w:noProof/>
          <w:sz w:val="24"/>
        </w:rPr>
        <w:t>Komissio ei ole 16. heinäkuuta 2018 jälkeen käyttänyt sille asetuksella (EU) N:o 549/2013 siirrettyä valtaa antaa delegoituja säädöksiä.</w:t>
      </w:r>
      <w:r>
        <w:rPr>
          <w:noProof/>
        </w:rPr>
        <w:t xml:space="preserve"> </w:t>
      </w:r>
    </w:p>
    <w:p w:rsidR="00DC7D8E" w:rsidRDefault="00DC7D8E" w:rsidP="00DC7D8E">
      <w:pPr>
        <w:jc w:val="both"/>
        <w:rPr>
          <w:rFonts w:ascii="Times New Roman" w:hAnsi="Times New Roman" w:cs="Times New Roman"/>
          <w:noProof/>
          <w:sz w:val="24"/>
          <w:szCs w:val="24"/>
        </w:rPr>
      </w:pPr>
      <w:r>
        <w:rPr>
          <w:rFonts w:ascii="Times New Roman" w:hAnsi="Times New Roman"/>
          <w:noProof/>
          <w:sz w:val="24"/>
        </w:rPr>
        <w:t>Komissio katsoo kuitenkin, että sillä olisi edelleen oltava asetuksen (EU) N:o 549/2013 nojalla siirretty säädösvalta, koska se saattaa tulevaisuudessa joutua antamaan delegoituja säädöksiä tilastointimenetelmien kehityksen huomioon ottamiseksi ja tämän asetuksen mahdollisten mukautusten osalta.</w:t>
      </w:r>
    </w:p>
    <w:p w:rsidR="00DC7D8E" w:rsidRPr="00583D8A" w:rsidRDefault="00DC7D8E" w:rsidP="00DC7D8E">
      <w:pPr>
        <w:jc w:val="both"/>
        <w:rPr>
          <w:rFonts w:ascii="Times New Roman" w:hAnsi="Times New Roman" w:cs="Times New Roman"/>
          <w:noProof/>
          <w:sz w:val="24"/>
          <w:szCs w:val="24"/>
        </w:rPr>
      </w:pPr>
      <w:r>
        <w:rPr>
          <w:rFonts w:ascii="Times New Roman" w:hAnsi="Times New Roman"/>
          <w:noProof/>
          <w:sz w:val="24"/>
        </w:rPr>
        <w:t>Komissio pyytää Euroopan parlamenttia ja neuvostoa ottamaan huomioon tämän kertomuksen.</w:t>
      </w:r>
    </w:p>
    <w:p w:rsidR="003B45BA" w:rsidRDefault="003B45BA">
      <w:pPr>
        <w:rPr>
          <w:noProof/>
        </w:rPr>
      </w:pPr>
    </w:p>
    <w:sectPr w:rsidR="003B45BA">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760" w:rsidRDefault="00DD6760" w:rsidP="00773992">
      <w:pPr>
        <w:spacing w:after="0" w:line="240" w:lineRule="auto"/>
      </w:pPr>
      <w:r>
        <w:separator/>
      </w:r>
    </w:p>
  </w:endnote>
  <w:endnote w:type="continuationSeparator" w:id="0">
    <w:p w:rsidR="00DD6760" w:rsidRDefault="00DD6760" w:rsidP="0077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B0A" w:rsidRPr="00981B0A" w:rsidRDefault="00981B0A" w:rsidP="00981B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D82" w:rsidRPr="00981B0A" w:rsidRDefault="00981B0A" w:rsidP="00981B0A">
    <w:pPr>
      <w:pStyle w:val="FooterCoverPage"/>
      <w:rPr>
        <w:rFonts w:ascii="Arial" w:hAnsi="Arial" w:cs="Arial"/>
        <w:b/>
        <w:sz w:val="48"/>
      </w:rPr>
    </w:pPr>
    <w:r w:rsidRPr="00981B0A">
      <w:rPr>
        <w:rFonts w:ascii="Arial" w:hAnsi="Arial" w:cs="Arial"/>
        <w:b/>
        <w:sz w:val="48"/>
      </w:rPr>
      <w:t>FI</w:t>
    </w:r>
    <w:r w:rsidRPr="00981B0A">
      <w:rPr>
        <w:rFonts w:ascii="Arial" w:hAnsi="Arial" w:cs="Arial"/>
        <w:b/>
        <w:sz w:val="48"/>
      </w:rPr>
      <w:tab/>
    </w:r>
    <w:r w:rsidRPr="00981B0A">
      <w:rPr>
        <w:rFonts w:ascii="Arial" w:hAnsi="Arial" w:cs="Arial"/>
        <w:b/>
        <w:sz w:val="48"/>
      </w:rPr>
      <w:tab/>
    </w:r>
    <w:r w:rsidRPr="00981B0A">
      <w:tab/>
    </w:r>
    <w:r w:rsidRPr="00981B0A">
      <w:rPr>
        <w:rFonts w:ascii="Arial" w:hAnsi="Arial" w:cs="Arial"/>
        <w:b/>
        <w:sz w:val="48"/>
      </w:rPr>
      <w:t>FI</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B0A" w:rsidRPr="00981B0A" w:rsidRDefault="00981B0A" w:rsidP="00981B0A">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99D" w:rsidRDefault="00981B0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093082"/>
      <w:docPartObj>
        <w:docPartGallery w:val="Page Numbers (Bottom of Page)"/>
        <w:docPartUnique/>
      </w:docPartObj>
    </w:sdtPr>
    <w:sdtEndPr/>
    <w:sdtContent>
      <w:p w:rsidR="0071499D" w:rsidRDefault="00DC7D8E">
        <w:pPr>
          <w:pStyle w:val="Footer"/>
          <w:jc w:val="center"/>
        </w:pPr>
        <w:r>
          <w:fldChar w:fldCharType="begin"/>
        </w:r>
        <w:r>
          <w:instrText xml:space="preserve"> PAGE   \* MERGEFORMAT </w:instrText>
        </w:r>
        <w:r>
          <w:fldChar w:fldCharType="separate"/>
        </w:r>
        <w:r w:rsidR="00981B0A">
          <w:rPr>
            <w:noProof/>
          </w:rPr>
          <w:t>1</w:t>
        </w:r>
        <w:r>
          <w:fldChar w:fldCharType="end"/>
        </w:r>
      </w:p>
    </w:sdtContent>
  </w:sdt>
  <w:p w:rsidR="0071499D" w:rsidRDefault="00981B0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99D" w:rsidRDefault="00981B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760" w:rsidRDefault="00DD6760" w:rsidP="00773992">
      <w:pPr>
        <w:spacing w:after="0" w:line="240" w:lineRule="auto"/>
      </w:pPr>
      <w:r>
        <w:separator/>
      </w:r>
    </w:p>
  </w:footnote>
  <w:footnote w:type="continuationSeparator" w:id="0">
    <w:p w:rsidR="00DD6760" w:rsidRDefault="00DD6760" w:rsidP="00773992">
      <w:pPr>
        <w:spacing w:after="0" w:line="240" w:lineRule="auto"/>
      </w:pPr>
      <w:r>
        <w:continuationSeparator/>
      </w:r>
    </w:p>
  </w:footnote>
  <w:footnote w:id="1">
    <w:p w:rsidR="00DC7D8E" w:rsidRDefault="00DC7D8E" w:rsidP="00DC7D8E">
      <w:pPr>
        <w:pStyle w:val="FootnoteText"/>
        <w:ind w:left="113" w:hanging="113"/>
        <w:rPr>
          <w:rFonts w:ascii="Times New Roman" w:hAnsi="Times New Roman"/>
        </w:rPr>
      </w:pPr>
      <w:r>
        <w:rPr>
          <w:rStyle w:val="FootnoteReference"/>
          <w:rFonts w:ascii="Times New Roman" w:hAnsi="Times New Roman"/>
        </w:rPr>
        <w:footnoteRef/>
      </w:r>
      <w:r>
        <w:t xml:space="preserve"> </w:t>
      </w:r>
      <w:r>
        <w:rPr>
          <w:rFonts w:ascii="Times New Roman" w:hAnsi="Times New Roman"/>
        </w:rPr>
        <w:t xml:space="preserve">Euroopan parlamentin ja neuvoston asetus (EU) N:o 549/2013, annettu 21 päivänä toukokuuta 2013, Euroopan kansantalouden tilinpito- ja aluetilinpitojärjestelmästä Euroopan unionissa (EUVL L 174, 26.6.2013, s. 1). </w:t>
      </w:r>
    </w:p>
  </w:footnote>
  <w:footnote w:id="2">
    <w:p w:rsidR="00DC7D8E" w:rsidRPr="009042E1" w:rsidRDefault="00DC7D8E" w:rsidP="00DC7D8E">
      <w:pPr>
        <w:pStyle w:val="FootnoteText"/>
        <w:jc w:val="both"/>
        <w:rPr>
          <w:rFonts w:ascii="Times New Roman" w:hAnsi="Times New Roman"/>
        </w:rPr>
      </w:pPr>
      <w:r>
        <w:rPr>
          <w:rStyle w:val="FootnoteReference"/>
        </w:rPr>
        <w:footnoteRef/>
      </w:r>
      <w:r>
        <w:t xml:space="preserve"> </w:t>
      </w:r>
      <w:r>
        <w:rPr>
          <w:rFonts w:ascii="Times New Roman" w:hAnsi="Times New Roman"/>
        </w:rPr>
        <w:t>Kuten edellistä viiden vuoden jaksoa koskevassa kertomuksessa todetaan, komissio ei ole käyttänyt tätä valtaa.</w:t>
      </w:r>
    </w:p>
  </w:footnote>
  <w:footnote w:id="3">
    <w:p w:rsidR="00DC7D8E" w:rsidRDefault="00DC7D8E" w:rsidP="00DC7D8E">
      <w:pPr>
        <w:pStyle w:val="FootnoteText"/>
        <w:jc w:val="both"/>
      </w:pPr>
      <w:r>
        <w:rPr>
          <w:rStyle w:val="FootnoteReference"/>
          <w:rFonts w:ascii="Times New Roman" w:hAnsi="Times New Roman"/>
        </w:rPr>
        <w:footnoteRef/>
      </w:r>
      <w:r>
        <w:rPr>
          <w:rFonts w:ascii="Times New Roman" w:hAnsi="Times New Roman"/>
        </w:rPr>
        <w:t xml:space="preserve"> Euroopan parlamentin ja neuvoston asetus (EY) N:o 223/2009, annettu 11 päivänä maaliskuuta 2009, Euroopan tilastoista sekä salassapidettävien tilastotietojen luovuttamisesta Euroopan yhteisöjen tilastotoimistolle annetun Euroopan parlamentin ja neuvoston asetuksen (EY, Euratom) N:o 1101/2008, yhteisön tilastoista annetun neuvoston asetuksen (EY) N:o 322/97 ja Euroopan yhteisöjen tilasto-ohjelmakomitean perustamisesta tehdyn neuvoston päätöksen 89/382/ETY, Euratom kumoamisesta (EUVL L 87, 31.3.2009, s. 164).</w:t>
      </w:r>
    </w:p>
  </w:footnote>
  <w:footnote w:id="4">
    <w:p w:rsidR="00DC7D8E" w:rsidRPr="0098509D" w:rsidRDefault="00DC7D8E" w:rsidP="00DC7D8E">
      <w:pPr>
        <w:pStyle w:val="FootnoteText"/>
        <w:jc w:val="both"/>
      </w:pPr>
      <w:r>
        <w:rPr>
          <w:rStyle w:val="FootnoteReference"/>
        </w:rPr>
        <w:footnoteRef/>
      </w:r>
      <w:r>
        <w:t xml:space="preserve"> </w:t>
      </w:r>
      <w:r>
        <w:rPr>
          <w:rFonts w:ascii="Times New Roman" w:hAnsi="Times New Roman"/>
        </w:rPr>
        <w:t xml:space="preserve">Ks. </w:t>
      </w:r>
      <w:hyperlink r:id="rId1" w:history="1">
        <w:r>
          <w:rPr>
            <w:rStyle w:val="Hyperlink"/>
            <w:rFonts w:ascii="Times New Roman" w:hAnsi="Times New Roman"/>
          </w:rPr>
          <w:t>Komission kertomus Euroopan parlamentille ja neuvostolle Euroopan kansantalouden tilinpito- ja aluetilinpitojärjestelmästä Euroopan unionissa annetulla Euroopan parlamentin ja neuvoston asetuksella (EU) N:o 549/2013 komissiolle siirretyn delegoitujen säädösten antamisvallan käyttämisestä</w:t>
        </w:r>
      </w:hyperlink>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B0A" w:rsidRPr="00981B0A" w:rsidRDefault="00981B0A" w:rsidP="00981B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B0A" w:rsidRPr="00981B0A" w:rsidRDefault="00981B0A" w:rsidP="00981B0A">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B0A" w:rsidRPr="00981B0A" w:rsidRDefault="00981B0A" w:rsidP="00981B0A">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99D" w:rsidRDefault="00981B0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99D" w:rsidRDefault="00981B0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99D" w:rsidRDefault="00981B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D68F3"/>
    <w:multiLevelType w:val="hybridMultilevel"/>
    <w:tmpl w:val="FDB00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411A6F"/>
    <w:multiLevelType w:val="hybridMultilevel"/>
    <w:tmpl w:val="808E6372"/>
    <w:lvl w:ilvl="0" w:tplc="08090017">
      <w:start w:val="1"/>
      <w:numFmt w:val="lowerLetter"/>
      <w:lvlText w:val="%1)"/>
      <w:lvlJc w:val="left"/>
      <w:pPr>
        <w:ind w:left="720" w:hanging="360"/>
      </w:pPr>
    </w:lvl>
    <w:lvl w:ilvl="1" w:tplc="97783BB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CCFE0D40-D79B-4D2D-838F-CC03CE523FDE"/>
    <w:docVar w:name="LW_COVERPAGE_TYPE" w:val="1"/>
    <w:docVar w:name="LW_CROSSREFERENCE" w:val="&lt;UNUSED&gt;"/>
    <w:docVar w:name="LW_DocType" w:val="NORMAL"/>
    <w:docVar w:name="LW_EMISSION" w:val="7.12.2022"/>
    <w:docVar w:name="LW_EMISSION_ISODATE" w:val="2022-12-07"/>
    <w:docVar w:name="LW_EMISSION_LOCATION" w:val="BRX"/>
    <w:docVar w:name="LW_EMISSION_PREFIX" w:val="Bryssel "/>
    <w:docVar w:name="LW_EMISSION_SUFFIX" w:val=" "/>
    <w:docVar w:name="LW_ID_DOCTYPE_NONLW" w:val="CP-006"/>
    <w:docVar w:name="LW_LANGUE" w:val="FI"/>
    <w:docVar w:name="LW_LEVEL_OF_SENSITIVITY" w:val="Standard treatment"/>
    <w:docVar w:name="LW_NOM.INST" w:val="EUROOPAN KOMISSIO"/>
    <w:docVar w:name="LW_NOM.INST_JOINTDOC" w:val="&lt;EMPTY&gt;"/>
    <w:docVar w:name="LW_PART_NBR" w:val="1"/>
    <w:docVar w:name="LW_PART_NBR_TOTAL" w:val="1"/>
    <w:docVar w:name="LW_REF.INST.NEW" w:val="COM"/>
    <w:docVar w:name="LW_REF.INST.NEW_ADOPTED" w:val="final"/>
    <w:docVar w:name="LW_REF.INST.NEW_TEXT" w:val="(2022) 69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Euroopan kansantalouden tilinpito- ja aluetilinpitojärjestelmästä Euroopan unionissa annetulla Euroopan parlamentin ja neuvoston asetuksella (EU) N:o 549/2013 komissiolle siirretyn delegoitujen säädösten antamisvallan käyttämisestä"/>
    <w:docVar w:name="LW_TYPE.DOC.CP" w:val="KOMISSION KERTOMUS EUROOPAN PARLAMENTILLE JA NEUVOSTOLLE"/>
    <w:docVar w:name="LwApiVersions" w:val="LW4CoDe 1.23.2.0; LW 8.0, Build 20211117"/>
  </w:docVars>
  <w:rsids>
    <w:rsidRoot w:val="00773992"/>
    <w:rsid w:val="000E655F"/>
    <w:rsid w:val="000F3EA2"/>
    <w:rsid w:val="00146FF9"/>
    <w:rsid w:val="001A37A0"/>
    <w:rsid w:val="00263E97"/>
    <w:rsid w:val="002E3863"/>
    <w:rsid w:val="002F1880"/>
    <w:rsid w:val="003561D3"/>
    <w:rsid w:val="003B45BA"/>
    <w:rsid w:val="004F3210"/>
    <w:rsid w:val="00536E7C"/>
    <w:rsid w:val="006B23ED"/>
    <w:rsid w:val="00773992"/>
    <w:rsid w:val="008B4D82"/>
    <w:rsid w:val="00981B0A"/>
    <w:rsid w:val="009B6324"/>
    <w:rsid w:val="009D7A00"/>
    <w:rsid w:val="00A27894"/>
    <w:rsid w:val="00A859B8"/>
    <w:rsid w:val="00AD22CB"/>
    <w:rsid w:val="00B71F94"/>
    <w:rsid w:val="00BD0469"/>
    <w:rsid w:val="00D00BEF"/>
    <w:rsid w:val="00D16D66"/>
    <w:rsid w:val="00DB2524"/>
    <w:rsid w:val="00DC7D8E"/>
    <w:rsid w:val="00DD6760"/>
    <w:rsid w:val="00DE1A47"/>
    <w:rsid w:val="00E57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D65A2FF2-213F-4D4D-9657-4C48648F0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773992"/>
    <w:rPr>
      <w:color w:val="0000FF"/>
      <w:shd w:val="clear" w:color="auto" w:fill="auto"/>
    </w:rPr>
  </w:style>
  <w:style w:type="paragraph" w:styleId="Header">
    <w:name w:val="header"/>
    <w:basedOn w:val="Normal"/>
    <w:link w:val="HeaderChar"/>
    <w:uiPriority w:val="99"/>
    <w:unhideWhenUsed/>
    <w:rsid w:val="007739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992"/>
  </w:style>
  <w:style w:type="paragraph" w:styleId="Footer">
    <w:name w:val="footer"/>
    <w:basedOn w:val="Normal"/>
    <w:link w:val="FooterChar"/>
    <w:uiPriority w:val="99"/>
    <w:unhideWhenUsed/>
    <w:rsid w:val="007739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992"/>
  </w:style>
  <w:style w:type="paragraph" w:customStyle="1" w:styleId="Pagedecouverture">
    <w:name w:val="Page de couverture"/>
    <w:basedOn w:val="Normal"/>
    <w:next w:val="Normal"/>
    <w:rsid w:val="00773992"/>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773992"/>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773992"/>
    <w:rPr>
      <w:rFonts w:ascii="Times New Roman" w:hAnsi="Times New Roman" w:cs="Times New Roman"/>
      <w:sz w:val="24"/>
    </w:rPr>
  </w:style>
  <w:style w:type="paragraph" w:customStyle="1" w:styleId="FooterSensitivity">
    <w:name w:val="Footer Sensitivity"/>
    <w:basedOn w:val="Normal"/>
    <w:link w:val="FooterSensitivityChar"/>
    <w:rsid w:val="00773992"/>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773992"/>
    <w:rPr>
      <w:rFonts w:ascii="Times New Roman" w:hAnsi="Times New Roman" w:cs="Times New Roman"/>
      <w:b/>
      <w:sz w:val="32"/>
    </w:rPr>
  </w:style>
  <w:style w:type="paragraph" w:customStyle="1" w:styleId="HeaderCoverPage">
    <w:name w:val="Header Cover Page"/>
    <w:basedOn w:val="Normal"/>
    <w:link w:val="HeaderCoverPageChar"/>
    <w:rsid w:val="00773992"/>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773992"/>
    <w:rPr>
      <w:rFonts w:ascii="Times New Roman" w:hAnsi="Times New Roman" w:cs="Times New Roman"/>
      <w:sz w:val="24"/>
    </w:rPr>
  </w:style>
  <w:style w:type="paragraph" w:customStyle="1" w:styleId="HeaderSensitivity">
    <w:name w:val="Header Sensitivity"/>
    <w:basedOn w:val="Normal"/>
    <w:link w:val="HeaderSensitivityChar"/>
    <w:rsid w:val="00773992"/>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773992"/>
    <w:rPr>
      <w:rFonts w:ascii="Times New Roman" w:hAnsi="Times New Roman" w:cs="Times New Roman"/>
      <w:b/>
      <w:sz w:val="32"/>
    </w:rPr>
  </w:style>
  <w:style w:type="paragraph" w:customStyle="1" w:styleId="HeaderSensitivityRight">
    <w:name w:val="Header Sensitivity Right"/>
    <w:basedOn w:val="Normal"/>
    <w:link w:val="HeaderSensitivityRightChar"/>
    <w:rsid w:val="00773992"/>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773992"/>
    <w:rPr>
      <w:rFonts w:ascii="Times New Roman" w:hAnsi="Times New Roman" w:cs="Times New Roman"/>
      <w:sz w:val="28"/>
    </w:rPr>
  </w:style>
  <w:style w:type="paragraph" w:styleId="FootnoteText">
    <w:name w:val="footnote text"/>
    <w:basedOn w:val="Normal"/>
    <w:link w:val="FootnoteTextChar"/>
    <w:semiHidden/>
    <w:unhideWhenUsed/>
    <w:rsid w:val="00DC7D8E"/>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semiHidden/>
    <w:rsid w:val="00DC7D8E"/>
    <w:rPr>
      <w:rFonts w:ascii="Calibri" w:eastAsia="Calibri" w:hAnsi="Calibri" w:cs="Times New Roman"/>
      <w:sz w:val="20"/>
      <w:szCs w:val="20"/>
    </w:rPr>
  </w:style>
  <w:style w:type="character" w:styleId="FootnoteReference">
    <w:name w:val="footnote reference"/>
    <w:semiHidden/>
    <w:rsid w:val="00DC7D8E"/>
    <w:rPr>
      <w:shd w:val="clear" w:color="auto" w:fill="auto"/>
      <w:vertAlign w:val="superscript"/>
    </w:rPr>
  </w:style>
  <w:style w:type="character" w:styleId="Hyperlink">
    <w:name w:val="Hyperlink"/>
    <w:basedOn w:val="DefaultParagraphFont"/>
    <w:uiPriority w:val="99"/>
    <w:unhideWhenUsed/>
    <w:rsid w:val="00DC7D8E"/>
    <w:rPr>
      <w:color w:val="0563C1" w:themeColor="hyperlink"/>
      <w:u w:val="single"/>
    </w:rPr>
  </w:style>
  <w:style w:type="character" w:styleId="FollowedHyperlink">
    <w:name w:val="FollowedHyperlink"/>
    <w:basedOn w:val="DefaultParagraphFont"/>
    <w:uiPriority w:val="99"/>
    <w:semiHidden/>
    <w:unhideWhenUsed/>
    <w:rsid w:val="006B23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FI/TXT/?uri=CELEX%3A52017DC0423&amp;qid=16631605785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448</Words>
  <Characters>3515</Characters>
  <Application>Microsoft Office Word</Application>
  <DocSecurity>0</DocSecurity>
  <Lines>60</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28</cp:revision>
  <dcterms:created xsi:type="dcterms:W3CDTF">2022-11-18T10:46:00Z</dcterms:created>
  <dcterms:modified xsi:type="dcterms:W3CDTF">2022-11-28T13:20:00Z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8.1, Build 20220902</vt:lpwstr>
  </property>
  <property fmtid="{D5CDD505-2E9C-101B-9397-08002B2CF9AE}" pid="8" name="Created using">
    <vt:lpwstr>LW 8.1, Build 20220902</vt:lpwstr>
  </property>
  <property name="OP_sanitized" fmtid="{D5CDD505-2E9C-101B-9397-08002B2CF9AE}" pid="9">
    <vt:lpwstr>True</vt:lpwstr>
  </property>
</Properties>
</file>