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54D" w:rsidRDefault="006249AD" w:rsidP="006249AD">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C70CB37D-1DEE-41C7-A27B-E812460E0D9E" style="width:455.25pt;height:365.25pt">
            <v:imagedata r:id="rId11" o:title=""/>
          </v:shape>
        </w:pict>
      </w:r>
    </w:p>
    <w:bookmarkEnd w:id="0"/>
    <w:p w:rsidR="00EE12D7" w:rsidRPr="00EE12D7" w:rsidRDefault="00EE12D7" w:rsidP="00EE12D7">
      <w:pPr>
        <w:pStyle w:val="Pagedecouverture"/>
        <w:rPr>
          <w:noProof/>
        </w:rPr>
        <w:sectPr w:rsidR="00EE12D7" w:rsidRPr="00EE12D7" w:rsidSect="006249A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formProt w:val="0"/>
          <w:docGrid w:linePitch="360" w:charSpace="4096"/>
        </w:sectPr>
      </w:pPr>
    </w:p>
    <w:p w:rsidR="0057554D" w:rsidRDefault="00EE12D7">
      <w:pPr>
        <w:spacing w:after="120" w:line="240" w:lineRule="auto"/>
        <w:jc w:val="center"/>
        <w:rPr>
          <w:rFonts w:ascii="Times New Roman" w:eastAsia="Times New Roman" w:hAnsi="Times New Roman" w:cs="Times New Roman"/>
          <w:b/>
          <w:noProof/>
          <w:sz w:val="24"/>
          <w:szCs w:val="24"/>
        </w:rPr>
      </w:pPr>
      <w:bookmarkStart w:id="1" w:name="_GoBack"/>
      <w:bookmarkEnd w:id="1"/>
      <w:r>
        <w:rPr>
          <w:rFonts w:ascii="Times New Roman" w:hAnsi="Times New Roman"/>
          <w:b/>
          <w:noProof/>
          <w:sz w:val="24"/>
        </w:rPr>
        <w:lastRenderedPageBreak/>
        <w:t>KOMISSION KERTOMUS EUROOPAN PARLAMENTILLE, NEUVOSTOLLE, EUROOPAN TALOUS- JA SOSIAALIKOMITEALLE SEKÄ ALUEIDEN KOMITEALLE</w:t>
      </w:r>
    </w:p>
    <w:p w:rsidR="0057554D" w:rsidRDefault="00EE12D7">
      <w:pPr>
        <w:spacing w:after="120" w:line="240" w:lineRule="auto"/>
        <w:jc w:val="center"/>
        <w:rPr>
          <w:rFonts w:ascii="Times New Roman" w:eastAsia="Times New Roman" w:hAnsi="Times New Roman" w:cs="Times New Roman"/>
          <w:b/>
          <w:noProof/>
          <w:sz w:val="24"/>
          <w:szCs w:val="24"/>
        </w:rPr>
      </w:pPr>
      <w:r>
        <w:rPr>
          <w:rFonts w:ascii="Times New Roman" w:hAnsi="Times New Roman"/>
          <w:b/>
          <w:noProof/>
          <w:sz w:val="24"/>
        </w:rPr>
        <w:t>vuosien 2014–2020 perusoikeus-, tasa-arvo- ja kansalaisuusohjelman täytäntöönpanon ja saavutusten arvioinnista</w:t>
      </w:r>
    </w:p>
    <w:p w:rsidR="0057554D" w:rsidRDefault="0057554D">
      <w:pPr>
        <w:spacing w:before="120" w:after="120" w:line="240" w:lineRule="auto"/>
        <w:jc w:val="both"/>
        <w:rPr>
          <w:rFonts w:ascii="Times New Roman" w:hAnsi="Times New Roman" w:cs="Times New Roman"/>
          <w:noProof/>
          <w:sz w:val="24"/>
          <w:szCs w:val="24"/>
        </w:rPr>
      </w:pPr>
    </w:p>
    <w:p w:rsidR="0057554D" w:rsidRDefault="00EE12D7">
      <w:pPr>
        <w:spacing w:before="120" w:after="120" w:line="240" w:lineRule="auto"/>
        <w:jc w:val="both"/>
        <w:rPr>
          <w:noProof/>
        </w:rPr>
      </w:pPr>
      <w:r>
        <w:rPr>
          <w:rFonts w:ascii="Times New Roman" w:hAnsi="Times New Roman"/>
          <w:noProof/>
          <w:sz w:val="24"/>
        </w:rPr>
        <w:t>Perusoikeus-, tasa-arvo- ja kansalaisuusohjelmalla pyrittiin kehittämään edelleen oikeuksien ja tasa-arvon Eurooppaa Eurooppa 2020 -strategian mukaisesti. Sillä edistettiin Euroopan unionin perustana olevia keskeisiä arvoja ja tuettiin sellaisen alueen edelleen kehittämistä, missä edistetään, suojellaan ja tosiasiallisesti toteutetaan Euroopan unionista tehdyssä sopimuksessa, Euroopan unionin perusoikeuskirjassa ja kansainvälisissä ihmisoikeusyleissopimuksissa vahvistettua tasa-arvoa ja yksilön oikeuksia.</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Tässä kertomuksessa esitetään ohjelmasta saadut tulokset ohjelman oikeusperustan</w:t>
      </w:r>
      <w:r>
        <w:rPr>
          <w:rStyle w:val="FootnoteAnchor"/>
          <w:rFonts w:ascii="Times New Roman" w:hAnsi="Times New Roman"/>
          <w:noProof/>
          <w:sz w:val="24"/>
        </w:rPr>
        <w:footnoteReference w:id="1"/>
      </w:r>
      <w:r>
        <w:rPr>
          <w:rFonts w:ascii="Times New Roman" w:hAnsi="Times New Roman"/>
          <w:noProof/>
          <w:sz w:val="24"/>
        </w:rPr>
        <w:t>, jäljempänä ’asetus’, 13 artiklan 2 kohdan c alakohdassa säädetyn velvoitteen mukaisesti. Asetuksessa edellytetään, että Euroopan komissio toimittaa Euroopan parlamentille ja neuvostolle ohjelman jälkiarviointikertomuksen viimeistään 31. joulukuuta 2021. Kertomuksessa on arvioitava ohjelman pitkän aikavälin vaikutuksia ja sen vaikutusten kestävyyttä, jotta ne voidaan ottaa huomioon tehtäessä päätöstä mahdollisista seuraavista ohjelmista. Vuonna 2021 huomattava osa hankkeista (yli 40 prosenttia) oli kuitenkin edelleen käynnissä monivuotisen kestonsa vuoksi. Tilannetta on vaikeuttanut covid-19-pandemia, jonka vuoksi useiden hankkeiden kestoa on pidennetty. Sen vuoksi on mahdollista, että ohjelman pitkän aikavälin tuloksia ja vaikutuksia voidaan arvioida kattavasti vasta myöhemmin.</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Näistä syistä jälkiarviointi tehdään kahdessa osassa. Tämä kertomus on arvioinnin ensimmäinen osa. Se perustuu tällä hetkellä saatavilla oleviin tietoihin, ja siinä annetaan yleiskuva rahoituksen jakautumisesta ja arvioidaan ohjelman tähänastisia saavutuksia. Uusi kansalaisten, tasa-arvon, perusoikeuksien ja arvojen ohjelma vuosiksi 2021–2027 on jo hyväksytty muun muassa vuosien 2014–2020 perusoikeus-, tasa-arvo- ja kansalaisuusohjelman väliarvioinnin tulosten perusteella. Tässä edellisen ohjelman jälkiarvioinnin ensimmäisessä osassa tuodaan kuitenkin esiin mahdollisia parannuskohteita uuden kansalaisten, tasa-arvon, perusoikeuksien ja arvojen ohjelman täytäntöönpanoa varten.</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Arvioinnin toinen osa tehdään myöhemmin, kun kaikki lopulliset tiedot ovat saatavilla. Se toteutetaan yhdessä seuraavan kansalaisten, tasa-arvon, perusoikeuksien ja arvojen ohjelman väliarvioinnin kanssa. Toisessa osassa arvioidaan ohjelman pitkän aikavälin vaikutuksia ja sen vaikutusten kestävyyttä. Siinä annetaan tarvittaessa suosituksia vuoden 2027 jälkeistä uutta monivuotista rahoituskehystä varten.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Vaikka tässä kertomuksessa analysoidaan kaikkia vuosien 2014–2020 vuotuisia työohjelmia, kaikkia toimia ei ollut aloitettu tämän arvioinnin laatimisajankohtana. Siksi tätä kertomusta koskevaksi määräajaksi asetettiin 31.12.2020, jotta kertomuksen laajuus voitaisiin määrittää. Jälkiarvioinnin toisessa osassa yleiskatsausta täydennetään analysoimalla jäljellä olevia toimia.</w:t>
      </w:r>
    </w:p>
    <w:p w:rsidR="0057554D" w:rsidRDefault="00EE12D7">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Tämä kertomus perustuu tuloksiin arvioinnista</w:t>
      </w:r>
      <w:r>
        <w:rPr>
          <w:rStyle w:val="FootnoteAnchor"/>
          <w:rFonts w:ascii="Times New Roman" w:hAnsi="Times New Roman"/>
          <w:noProof/>
          <w:sz w:val="24"/>
        </w:rPr>
        <w:footnoteReference w:id="2"/>
      </w:r>
      <w:r>
        <w:rPr>
          <w:rFonts w:ascii="Times New Roman" w:hAnsi="Times New Roman"/>
          <w:noProof/>
          <w:sz w:val="24"/>
        </w:rPr>
        <w:t>, jonka Euroopan komissio laati toimeksisaajan tukemana.</w:t>
      </w:r>
    </w:p>
    <w:p w:rsidR="0057554D" w:rsidRDefault="00EE12D7">
      <w:pPr>
        <w:pStyle w:val="ListParagraph"/>
        <w:keepNext/>
        <w:numPr>
          <w:ilvl w:val="0"/>
          <w:numId w:val="4"/>
        </w:numPr>
        <w:tabs>
          <w:tab w:val="left" w:pos="850"/>
        </w:tabs>
        <w:spacing w:before="240" w:after="120" w:line="240" w:lineRule="auto"/>
        <w:ind w:left="357" w:hanging="357"/>
        <w:jc w:val="both"/>
        <w:outlineLvl w:val="0"/>
        <w:rPr>
          <w:rFonts w:ascii="Times New Roman" w:eastAsia="Times New Roman" w:hAnsi="Times New Roman" w:cs="Times New Roman"/>
          <w:b/>
          <w:smallCaps/>
          <w:noProof/>
          <w:sz w:val="24"/>
          <w:szCs w:val="24"/>
        </w:rPr>
      </w:pPr>
      <w:r>
        <w:rPr>
          <w:rFonts w:ascii="Times New Roman" w:hAnsi="Times New Roman"/>
          <w:b/>
          <w:smallCaps/>
          <w:noProof/>
          <w:sz w:val="24"/>
        </w:rPr>
        <w:t>Johdanto ja tausta</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Vuosien 2014–2020 perusoikeus-, tasa-arvo- ja kansalaisuusohjelma on korvannut ohjelmakaudella 2007–2013 voimassa olleet ohjelmat eli Daphne III -ohjelman, perusoikeuksia ja kansalaisuutta koskevan ohjelman sekä kaksi Progress-ohjelman</w:t>
      </w:r>
      <w:r>
        <w:rPr>
          <w:rStyle w:val="FootnoteAnchor"/>
          <w:rFonts w:ascii="Times New Roman" w:hAnsi="Times New Roman"/>
          <w:noProof/>
          <w:sz w:val="24"/>
        </w:rPr>
        <w:footnoteReference w:id="3"/>
      </w:r>
      <w:r>
        <w:rPr>
          <w:rFonts w:ascii="Times New Roman" w:hAnsi="Times New Roman"/>
          <w:noProof/>
          <w:sz w:val="24"/>
        </w:rPr>
        <w:t xml:space="preserve"> toimintalohkoa (”syrjinnän torjuminen” ja ”sukupuolten tasa-arvo”).</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Perusoikeus-, tasa-arvo- ja kansalaisuusohjelma perustettiin Euroopan parlamentin ja neuvoston asetuksella (EU) N:o 1381/2013.</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Asetuksen </w:t>
      </w:r>
      <w:r>
        <w:rPr>
          <w:rFonts w:ascii="Times New Roman" w:hAnsi="Times New Roman"/>
          <w:b/>
          <w:noProof/>
          <w:sz w:val="24"/>
        </w:rPr>
        <w:t>yleistavoitteena</w:t>
      </w:r>
      <w:r>
        <w:rPr>
          <w:rFonts w:ascii="Times New Roman" w:hAnsi="Times New Roman"/>
          <w:noProof/>
          <w:sz w:val="24"/>
        </w:rPr>
        <w:t xml:space="preserve"> on</w:t>
      </w:r>
    </w:p>
    <w:p w:rsidR="0057554D" w:rsidRDefault="00EE12D7">
      <w:pPr>
        <w:pStyle w:val="ListParagraph"/>
        <w:numPr>
          <w:ilvl w:val="0"/>
          <w:numId w:val="1"/>
        </w:numPr>
        <w:spacing w:before="120" w:after="120" w:line="240" w:lineRule="auto"/>
        <w:ind w:left="567" w:hanging="567"/>
        <w:jc w:val="both"/>
        <w:rPr>
          <w:rFonts w:ascii="Times New Roman" w:hAnsi="Times New Roman" w:cs="Times New Roman"/>
          <w:noProof/>
          <w:sz w:val="24"/>
          <w:szCs w:val="24"/>
        </w:rPr>
      </w:pPr>
      <w:r>
        <w:rPr>
          <w:rFonts w:ascii="Times New Roman" w:hAnsi="Times New Roman"/>
          <w:noProof/>
          <w:color w:val="000000"/>
          <w:sz w:val="24"/>
        </w:rPr>
        <w:t>tukea sellaisen alueen edelleen kehittämistä, missä edistetään, suojellaan ja tosiasiallisesti toteutetaan SEU:ssa, SEUT:ssa, perusoikeuskirjassa ja sellaisissa kansainvälisissä ihmisoikeusyleissopimuksissa, joihin unioni on liittynyt, vahvistettua tasa-arvoa ja yksilön oikeuksia.</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Sen </w:t>
      </w:r>
      <w:r>
        <w:rPr>
          <w:rFonts w:ascii="Times New Roman" w:hAnsi="Times New Roman"/>
          <w:b/>
          <w:noProof/>
          <w:sz w:val="24"/>
        </w:rPr>
        <w:t>erityistavoitteet</w:t>
      </w:r>
      <w:r>
        <w:rPr>
          <w:rFonts w:ascii="Times New Roman" w:hAnsi="Times New Roman"/>
          <w:noProof/>
          <w:sz w:val="24"/>
        </w:rPr>
        <w:t xml:space="preserve"> ovat seuraavat:</w:t>
      </w:r>
    </w:p>
    <w:p w:rsidR="0057554D" w:rsidRDefault="00EE12D7">
      <w:pPr>
        <w:pStyle w:val="Body"/>
        <w:numPr>
          <w:ilvl w:val="1"/>
          <w:numId w:val="3"/>
        </w:numPr>
        <w:ind w:left="567" w:hanging="567"/>
        <w:rPr>
          <w:rFonts w:ascii="Times New Roman" w:hAnsi="Times New Roman"/>
          <w:noProof/>
          <w:sz w:val="24"/>
          <w:szCs w:val="24"/>
        </w:rPr>
      </w:pPr>
      <w:r>
        <w:rPr>
          <w:rFonts w:ascii="Times New Roman" w:hAnsi="Times New Roman"/>
          <w:noProof/>
          <w:sz w:val="24"/>
        </w:rPr>
        <w:t>edistää sukupuoleen, rotuun tai etniseen alkuperään, uskontoon tai vakaumukseen, vammaisuuteen, ikään tai sukupuoliseen suuntautumiseen perustuvan syrjintäkiellon periaatteen tehokasta toteuttamista sekä kunnioittaa syrjintäkiellon periaatetta, joka koskee perusoikeuskirjan 21 artiklassa lueteltujen perusteiden nojalla tapahtuvaa syrjintää;</w:t>
      </w:r>
    </w:p>
    <w:p w:rsidR="0057554D" w:rsidRDefault="00EE12D7">
      <w:pPr>
        <w:pStyle w:val="Body"/>
        <w:numPr>
          <w:ilvl w:val="1"/>
          <w:numId w:val="3"/>
        </w:numPr>
        <w:ind w:left="567" w:hanging="567"/>
        <w:rPr>
          <w:rFonts w:ascii="Times New Roman" w:hAnsi="Times New Roman"/>
          <w:noProof/>
          <w:sz w:val="24"/>
          <w:szCs w:val="24"/>
        </w:rPr>
      </w:pPr>
      <w:r>
        <w:rPr>
          <w:rFonts w:ascii="Times New Roman" w:hAnsi="Times New Roman"/>
          <w:noProof/>
          <w:sz w:val="24"/>
        </w:rPr>
        <w:t>ehkäistä ja torjua rasismia, muukalaisvihaa, homofobiaa ja muita suvaitsemattomuuden muotoja;</w:t>
      </w:r>
    </w:p>
    <w:p w:rsidR="0057554D" w:rsidRDefault="00EE12D7">
      <w:pPr>
        <w:pStyle w:val="Body"/>
        <w:numPr>
          <w:ilvl w:val="1"/>
          <w:numId w:val="3"/>
        </w:numPr>
        <w:ind w:left="567" w:hanging="567"/>
        <w:rPr>
          <w:rFonts w:ascii="Times New Roman" w:hAnsi="Times New Roman"/>
          <w:noProof/>
          <w:sz w:val="24"/>
          <w:szCs w:val="24"/>
        </w:rPr>
      </w:pPr>
      <w:r>
        <w:rPr>
          <w:rFonts w:ascii="Times New Roman" w:hAnsi="Times New Roman"/>
          <w:noProof/>
          <w:sz w:val="24"/>
        </w:rPr>
        <w:t>edistää ja suojella vammaisten henkilöiden oikeuksia;</w:t>
      </w:r>
    </w:p>
    <w:p w:rsidR="0057554D" w:rsidRDefault="00EE12D7">
      <w:pPr>
        <w:pStyle w:val="Body"/>
        <w:numPr>
          <w:ilvl w:val="1"/>
          <w:numId w:val="3"/>
        </w:numPr>
        <w:ind w:left="567" w:hanging="567"/>
        <w:rPr>
          <w:rFonts w:ascii="Times New Roman" w:hAnsi="Times New Roman"/>
          <w:noProof/>
          <w:sz w:val="24"/>
          <w:szCs w:val="24"/>
        </w:rPr>
      </w:pPr>
      <w:r>
        <w:rPr>
          <w:rFonts w:ascii="Times New Roman" w:hAnsi="Times New Roman"/>
          <w:noProof/>
          <w:sz w:val="24"/>
        </w:rPr>
        <w:t>edistää naisten ja miesten tasa-arvoa ja edistää sen valtavirtaistamista;</w:t>
      </w:r>
    </w:p>
    <w:p w:rsidR="0057554D" w:rsidRDefault="00EE12D7">
      <w:pPr>
        <w:pStyle w:val="Body"/>
        <w:numPr>
          <w:ilvl w:val="1"/>
          <w:numId w:val="3"/>
        </w:numPr>
        <w:ind w:left="567" w:hanging="567"/>
        <w:rPr>
          <w:rFonts w:ascii="Times New Roman" w:hAnsi="Times New Roman"/>
          <w:noProof/>
          <w:sz w:val="24"/>
          <w:szCs w:val="24"/>
        </w:rPr>
      </w:pPr>
      <w:r>
        <w:rPr>
          <w:rFonts w:ascii="Times New Roman" w:hAnsi="Times New Roman"/>
          <w:noProof/>
          <w:sz w:val="24"/>
        </w:rPr>
        <w:t>ehkäistä ja torjua väkivaltaa, joka kohdistuu lapsiin, nuoriin ja naisiin sekä muihin riskiryhmiin;</w:t>
      </w:r>
    </w:p>
    <w:p w:rsidR="0057554D" w:rsidRDefault="00EE12D7">
      <w:pPr>
        <w:pStyle w:val="Body"/>
        <w:numPr>
          <w:ilvl w:val="1"/>
          <w:numId w:val="3"/>
        </w:numPr>
        <w:ind w:left="567" w:hanging="567"/>
        <w:rPr>
          <w:rFonts w:ascii="Times New Roman" w:hAnsi="Times New Roman"/>
          <w:noProof/>
          <w:sz w:val="24"/>
          <w:szCs w:val="24"/>
        </w:rPr>
      </w:pPr>
      <w:r>
        <w:rPr>
          <w:rFonts w:ascii="Times New Roman" w:hAnsi="Times New Roman"/>
          <w:noProof/>
          <w:sz w:val="24"/>
        </w:rPr>
        <w:t>edistää ja suojella lapsen oikeuksia;</w:t>
      </w:r>
    </w:p>
    <w:p w:rsidR="0057554D" w:rsidRDefault="00EE12D7">
      <w:pPr>
        <w:pStyle w:val="Body"/>
        <w:numPr>
          <w:ilvl w:val="1"/>
          <w:numId w:val="3"/>
        </w:numPr>
        <w:ind w:left="567" w:hanging="567"/>
        <w:rPr>
          <w:rFonts w:ascii="Times New Roman" w:hAnsi="Times New Roman"/>
          <w:noProof/>
          <w:sz w:val="24"/>
          <w:szCs w:val="24"/>
        </w:rPr>
      </w:pPr>
      <w:r>
        <w:rPr>
          <w:rFonts w:ascii="Times New Roman" w:hAnsi="Times New Roman"/>
          <w:noProof/>
          <w:sz w:val="24"/>
        </w:rPr>
        <w:t>edistää yksityiselämän ja henkilötietojen mahdollisimman korkeatasoisen suojan varmistamista;</w:t>
      </w:r>
    </w:p>
    <w:p w:rsidR="0057554D" w:rsidRDefault="00EE12D7">
      <w:pPr>
        <w:pStyle w:val="Body"/>
        <w:numPr>
          <w:ilvl w:val="1"/>
          <w:numId w:val="3"/>
        </w:numPr>
        <w:ind w:left="567" w:hanging="567"/>
        <w:rPr>
          <w:rFonts w:ascii="Times New Roman" w:hAnsi="Times New Roman"/>
          <w:noProof/>
          <w:sz w:val="24"/>
          <w:szCs w:val="24"/>
        </w:rPr>
      </w:pPr>
      <w:r>
        <w:rPr>
          <w:rFonts w:ascii="Times New Roman" w:hAnsi="Times New Roman"/>
          <w:noProof/>
          <w:sz w:val="24"/>
        </w:rPr>
        <w:t>edistää ja parantaa unionin kansalaisuuteen perustuvien oikeuksien käyttöä;</w:t>
      </w:r>
    </w:p>
    <w:p w:rsidR="0057554D" w:rsidRDefault="00EE12D7">
      <w:pPr>
        <w:pStyle w:val="Body"/>
        <w:numPr>
          <w:ilvl w:val="1"/>
          <w:numId w:val="3"/>
        </w:numPr>
        <w:ind w:left="567" w:hanging="567"/>
        <w:rPr>
          <w:rFonts w:ascii="Times New Roman" w:hAnsi="Times New Roman"/>
          <w:noProof/>
          <w:sz w:val="24"/>
          <w:szCs w:val="24"/>
        </w:rPr>
      </w:pPr>
      <w:r>
        <w:rPr>
          <w:rFonts w:ascii="Times New Roman" w:hAnsi="Times New Roman"/>
          <w:noProof/>
          <w:color w:val="000000"/>
          <w:sz w:val="24"/>
        </w:rPr>
        <w:t>auttaa yksilöitä käyttämään unionin oikeuteen perustuvia oikeuksiaan kuluttajina tai yrittäjinä sisämarkkinoilla, kuluttajaohjelmasta rahoitetut hankkeet huomioon ottaen</w:t>
      </w:r>
      <w:r>
        <w:rPr>
          <w:noProof/>
        </w:rPr>
        <w:t>.</w:t>
      </w:r>
      <w:bookmarkStart w:id="2" w:name="_Hlk497985973"/>
      <w:bookmarkEnd w:id="2"/>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Euroopan komissio soveltaa ohjelman täytäntöönpanoon suoraa hallinnointia.</w:t>
      </w:r>
    </w:p>
    <w:p w:rsidR="0057554D" w:rsidRDefault="00EE12D7">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sz w:val="24"/>
        </w:rPr>
        <w:t>Maantieteellisen kattavuuden</w:t>
      </w:r>
      <w:r>
        <w:rPr>
          <w:rFonts w:ascii="Times New Roman" w:hAnsi="Times New Roman"/>
          <w:noProof/>
          <w:sz w:val="24"/>
        </w:rPr>
        <w:t xml:space="preserve"> osalta kaikki EU:n jäsenvaltiot voivat osallistua ohjelmaan. Joidenkin valittujen tavoitteiden osalta myös Liechtenstein, Islanti ja Serbia voivat osallistua siihen. </w:t>
      </w:r>
    </w:p>
    <w:p w:rsidR="0057554D" w:rsidRDefault="0057554D">
      <w:pPr>
        <w:spacing w:before="120" w:after="120" w:line="240" w:lineRule="auto"/>
        <w:jc w:val="both"/>
        <w:rPr>
          <w:rFonts w:ascii="Times New Roman" w:hAnsi="Times New Roman" w:cs="Times New Roman"/>
          <w:noProof/>
          <w:sz w:val="24"/>
          <w:szCs w:val="24"/>
        </w:rPr>
      </w:pPr>
    </w:p>
    <w:p w:rsidR="0057554D" w:rsidRDefault="00EE12D7">
      <w:pPr>
        <w:pStyle w:val="ListParagraph"/>
        <w:keepNext/>
        <w:numPr>
          <w:ilvl w:val="0"/>
          <w:numId w:val="4"/>
        </w:numPr>
        <w:tabs>
          <w:tab w:val="left" w:pos="850"/>
        </w:tabs>
        <w:spacing w:after="120" w:line="240" w:lineRule="auto"/>
        <w:jc w:val="both"/>
        <w:outlineLvl w:val="0"/>
        <w:rPr>
          <w:rFonts w:ascii="Times New Roman" w:eastAsia="Times New Roman" w:hAnsi="Times New Roman" w:cs="Times New Roman"/>
          <w:b/>
          <w:smallCaps/>
          <w:noProof/>
          <w:sz w:val="24"/>
          <w:szCs w:val="24"/>
        </w:rPr>
      </w:pPr>
      <w:r>
        <w:rPr>
          <w:rFonts w:ascii="Times New Roman" w:hAnsi="Times New Roman"/>
          <w:b/>
          <w:smallCaps/>
          <w:noProof/>
          <w:sz w:val="24"/>
        </w:rPr>
        <w:t>Ohjelman keskeiset osatekijät ja toteuttaminen</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Asetuksen 5 artiklan mukaisesti </w:t>
      </w:r>
      <w:r>
        <w:rPr>
          <w:rFonts w:ascii="Times New Roman" w:hAnsi="Times New Roman"/>
          <w:b/>
          <w:noProof/>
          <w:sz w:val="24"/>
        </w:rPr>
        <w:t>ohjelmalla tuettiin monenlaisia toimia</w:t>
      </w:r>
      <w:r>
        <w:rPr>
          <w:rFonts w:ascii="Times New Roman" w:hAnsi="Times New Roman"/>
          <w:noProof/>
          <w:sz w:val="24"/>
        </w:rPr>
        <w:t xml:space="preserve">, kuten analyyttisia toimintoja, vastavuoroista oppimista, yhteistyötä, valistus- ja tiedonlevittämistoimia, koulutustoimintaa ja </w:t>
      </w:r>
      <w:r>
        <w:rPr>
          <w:rFonts w:ascii="Times New Roman" w:hAnsi="Times New Roman"/>
          <w:noProof/>
          <w:color w:val="000000" w:themeColor="text1"/>
          <w:sz w:val="24"/>
        </w:rPr>
        <w:t>koulutuspakettien, materiaalien ja opetussuunnitelmien kaltaisten välineiden</w:t>
      </w:r>
      <w:r>
        <w:rPr>
          <w:rFonts w:ascii="Times New Roman" w:hAnsi="Times New Roman"/>
          <w:noProof/>
          <w:sz w:val="24"/>
        </w:rPr>
        <w:t xml:space="preserve"> kehittämistä sekä erityistavoitteiden toteuttamiseen tähtääviä toimia. Ohjelmalla tuettiin sosiaalisten ja perusoikeuksien alalla toimivia </w:t>
      </w:r>
      <w:r>
        <w:rPr>
          <w:rFonts w:ascii="Times New Roman" w:hAnsi="Times New Roman"/>
          <w:b/>
          <w:noProof/>
          <w:sz w:val="24"/>
        </w:rPr>
        <w:t>järjestöjä</w:t>
      </w:r>
      <w:r>
        <w:rPr>
          <w:rFonts w:ascii="Times New Roman" w:hAnsi="Times New Roman"/>
          <w:noProof/>
          <w:sz w:val="24"/>
        </w:rPr>
        <w:t xml:space="preserve"> kaikkialla Euroopassa, kuten eurooppalaisia verkostoja, yleensä voittoa tavoittelemattomia julkisia tai yksityisiä järjestöjä, EU:n jäsenvaltioiden kansallisia, alueellisia ja paikallisia viranomaisia, kansalaisjärjestöjä ja kansainvälisiä järjestöjä. </w:t>
      </w:r>
    </w:p>
    <w:p w:rsidR="0057554D" w:rsidRDefault="00EE12D7">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Myös osallistujamaiden suuri yleisö on yksi </w:t>
      </w:r>
      <w:r>
        <w:rPr>
          <w:rFonts w:ascii="Times New Roman" w:hAnsi="Times New Roman"/>
          <w:b/>
          <w:noProof/>
          <w:sz w:val="24"/>
        </w:rPr>
        <w:t>kohderyhmä</w:t>
      </w:r>
      <w:r>
        <w:rPr>
          <w:rFonts w:ascii="Times New Roman" w:hAnsi="Times New Roman"/>
          <w:noProof/>
          <w:sz w:val="24"/>
        </w:rPr>
        <w:t xml:space="preserve"> eli ryhmä, joka hyötyy joko suoraan (osallistumalla ohjelman toimiin) tai välillisesti ohjelman täytäntöönpanosta, koska ohjelman tavoitteilla ja aloitteilla pyritään edistämään, suojelemaan ja tosiasiallisesti toteuttamaan tasa-arvoa ja ihmisten oikeuksia, erityisesti niiden, jotka kohtaavat syrjintää, suvaitsemattomuutta tai väkivaltaa. Tällaisia ihmisiä ovat esimerkiksi maahanmuuttajat ja vähemmistöt.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Asetuksen mukaisesti ohjelmassa käytettiin pääasiallisina rahoitusmekanismeina toimikohtaisia avustuksia, toiminta-avustuksia ja hankintatoimia. </w:t>
      </w:r>
    </w:p>
    <w:p w:rsidR="0057554D" w:rsidRDefault="00EE12D7">
      <w:pPr>
        <w:pStyle w:val="ListParagraph"/>
        <w:keepNext/>
        <w:numPr>
          <w:ilvl w:val="1"/>
          <w:numId w:val="4"/>
        </w:numPr>
        <w:tabs>
          <w:tab w:val="left" w:pos="850"/>
        </w:tabs>
        <w:spacing w:before="240" w:after="240" w:line="240" w:lineRule="auto"/>
        <w:ind w:left="788" w:hanging="431"/>
        <w:jc w:val="both"/>
        <w:outlineLvl w:val="0"/>
        <w:rPr>
          <w:rFonts w:ascii="Times New Roman Bold" w:eastAsia="Times New Roman" w:hAnsi="Times New Roman Bold" w:cs="Times New Roman"/>
          <w:b/>
          <w:noProof/>
          <w:sz w:val="24"/>
          <w:szCs w:val="24"/>
        </w:rPr>
      </w:pPr>
      <w:r>
        <w:rPr>
          <w:rFonts w:ascii="Times New Roman Bold" w:hAnsi="Times New Roman Bold"/>
          <w:b/>
          <w:noProof/>
          <w:sz w:val="24"/>
        </w:rPr>
        <w:t xml:space="preserve">Ohjelman erityistavoitteet </w:t>
      </w:r>
    </w:p>
    <w:p w:rsidR="0057554D" w:rsidRDefault="00EE12D7">
      <w:pPr>
        <w:pStyle w:val="ListBullet"/>
        <w:numPr>
          <w:ilvl w:val="0"/>
          <w:numId w:val="0"/>
        </w:numPr>
        <w:spacing w:before="120" w:after="120"/>
        <w:ind w:left="283"/>
        <w:rPr>
          <w:b/>
          <w:i/>
          <w:noProof/>
          <w:szCs w:val="24"/>
        </w:rPr>
      </w:pPr>
      <w:r>
        <w:rPr>
          <w:b/>
          <w:i/>
          <w:noProof/>
        </w:rPr>
        <w:t>Erityistavoite</w:t>
      </w:r>
      <w:r>
        <w:rPr>
          <w:noProof/>
        </w:rPr>
        <w:t xml:space="preserve"> </w:t>
      </w:r>
      <w:r>
        <w:rPr>
          <w:b/>
          <w:i/>
          <w:noProof/>
        </w:rPr>
        <w:t xml:space="preserve">1: Syrjimättömyyden edistäminen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Ohjelmalla tuettiin hankkeita, joilla ehkäistiin ja torjuttiin sukupuoleen, rotuun, etniseen alkuperään, uskontoon tai vakaumukseen, vammaisuuteen, ikään tai sukupuoliseen suuntautumiseen perustuvaa syrjintää. Erityisen tärkeä osa-alue tässä tavoitteessa on romanien integraation edistäminen. Tältä osin perusoikeus-, tasa-arvo- ja kansalaisuusohjelmalla tuettiin kansallisia romanifoorumeita ja tehtiin tiivistä yhteistyötä EU:n jäsenvaltioiden, romanien kansallisten yhteysviranomaisten sekä syrjimättömyyden ja romanien integraation alalla toimivien kansalaisjärjestöjen kanssa. Ohjelmasta rahoitettiin myös tasa-arvoelinten eurooppalaisen verkoston toimintaa. Verkoston keskeisenä tehtävänä on vahvistaa syrjimättömyyden alalla toteutettavaa yhteistyötä ja tietojenvaihtoa jäsenvaltioiden nimeämien kansallisten tasa-arvoelinten välillä.</w:t>
      </w:r>
    </w:p>
    <w:p w:rsidR="0057554D" w:rsidRDefault="00EE12D7">
      <w:pPr>
        <w:pStyle w:val="ListBullet"/>
        <w:numPr>
          <w:ilvl w:val="0"/>
          <w:numId w:val="0"/>
        </w:numPr>
        <w:spacing w:before="120" w:after="120"/>
        <w:ind w:left="283"/>
        <w:rPr>
          <w:b/>
          <w:i/>
          <w:noProof/>
          <w:szCs w:val="24"/>
        </w:rPr>
      </w:pPr>
      <w:r>
        <w:rPr>
          <w:b/>
          <w:i/>
          <w:noProof/>
        </w:rPr>
        <w:t xml:space="preserve">Erityistavoite 2: ehkäistä ja torjua rasismia, muukalaisvihaa, homofobiaa ja muita suvaitsemattomuuden muotoja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Tällä osa-alueella rahoitetut hankkeet edistivät voimassa olevan EU:n lainsäädännön parempaa täytäntöönpanoa jäsenvaltioissa sekä auttoivat torjumaan viharikoksia ja vihapuhetta. Rahoitetuilla toimilla edistettiin erityisesti vähemmistöjen suojaamista populismilta, ääriliikkeiltä ja suvaitsemattomuudelta.</w:t>
      </w:r>
    </w:p>
    <w:p w:rsidR="0057554D" w:rsidRDefault="00EE12D7">
      <w:pPr>
        <w:spacing w:before="120" w:after="120" w:line="240" w:lineRule="auto"/>
        <w:ind w:left="360"/>
        <w:jc w:val="both"/>
        <w:rPr>
          <w:rFonts w:ascii="Times New Roman" w:eastAsia="Times New Roman" w:hAnsi="Times New Roman" w:cs="Times New Roman"/>
          <w:b/>
          <w:i/>
          <w:noProof/>
          <w:sz w:val="24"/>
          <w:szCs w:val="24"/>
        </w:rPr>
      </w:pPr>
      <w:r>
        <w:rPr>
          <w:rFonts w:ascii="Times New Roman" w:hAnsi="Times New Roman"/>
          <w:b/>
          <w:i/>
          <w:noProof/>
          <w:sz w:val="24"/>
        </w:rPr>
        <w:t xml:space="preserve">Erityistavoite 3: edistää vammaisten henkilöiden oikeuksia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Tämän erityistavoitteen tarkoituksena oli lisätä tietoisuutta vammaisten oikeuksista ja parantaa niiden toteutumista sekä vähentää esteitä, jotka haittaavat heidän täysipainoista osallistumistaan yhteiskuntaan ja heidän oikeuksiensa käyttöä. Tämä toteutettiin pääasiassa toiminta-avustuksilla, joilla tuettiin vammaisten oikeuksia edistävien Euroopan tasolla toimivien verkostojen toimia, ja hankintatoimilla, joissa keskityttiin tiedonkeruuseen, koulutukseen ja tietoisuuden lisäämiseen. Vuoden 2014 vuotuisessa työohjelmassa tuettiin eurooppalaisen vammaiskortin käyttöönottoa vammaisten henkilöiden rajatylittävän matkustamisen helpottamiseksi.</w:t>
      </w:r>
    </w:p>
    <w:p w:rsidR="0057554D" w:rsidRDefault="00EE12D7">
      <w:pPr>
        <w:spacing w:before="120" w:after="120" w:line="240" w:lineRule="auto"/>
        <w:ind w:left="360"/>
        <w:jc w:val="both"/>
        <w:rPr>
          <w:rFonts w:ascii="Times New Roman" w:eastAsia="Times New Roman" w:hAnsi="Times New Roman" w:cs="Times New Roman"/>
          <w:b/>
          <w:i/>
          <w:noProof/>
          <w:sz w:val="24"/>
          <w:szCs w:val="24"/>
        </w:rPr>
      </w:pPr>
      <w:r>
        <w:rPr>
          <w:rFonts w:ascii="Times New Roman" w:hAnsi="Times New Roman"/>
          <w:b/>
          <w:i/>
          <w:noProof/>
          <w:sz w:val="24"/>
        </w:rPr>
        <w:t xml:space="preserve">Erityistavoite 4: edistää naisten ja miesten tasa-arvoa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Ohjelmasta rahoitettiin hankkeita, joilla tuetaan osallistujamaita ja alan sidosryhmiä parantamaan sukupuolten tasapuolista edustusta kaikilla elämän osa-alueilla, erityisesti taloudellisessa päätöksenteossa, ja edistämään naisten ja miesten yhdenvertaista taloudellista riippumattomuutta. Tätä tavoitetta tukevalla rahoituksella keskityttiin myös vähentämään miesten ja naisten palkka-, tulo- ja eläke-eroja.</w:t>
      </w:r>
    </w:p>
    <w:p w:rsidR="0057554D" w:rsidRDefault="00EE12D7">
      <w:pPr>
        <w:spacing w:before="120" w:after="120" w:line="240" w:lineRule="auto"/>
        <w:ind w:left="360"/>
        <w:jc w:val="both"/>
        <w:rPr>
          <w:rFonts w:ascii="Times New Roman" w:hAnsi="Times New Roman" w:cs="Times New Roman"/>
          <w:b/>
          <w:i/>
          <w:noProof/>
          <w:sz w:val="24"/>
          <w:szCs w:val="24"/>
        </w:rPr>
      </w:pPr>
      <w:r>
        <w:rPr>
          <w:rFonts w:ascii="Times New Roman" w:hAnsi="Times New Roman"/>
          <w:b/>
          <w:i/>
          <w:noProof/>
          <w:sz w:val="24"/>
        </w:rPr>
        <w:t xml:space="preserve">Erityistavoite 5: ehkäistä ja torjua väkivaltaa, joka kohdistuu lapsiin, nuoriin ja naisiin sekä muihin riskiryhmiin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Ohjelmasta rahoitettiin pääasiassa hankkeita, joilla autetaan suojelemaan ja tukemaan väkivallan uhreja, kuten naisia ja lapsia, sekä toimia, joilla parannetaan tietoisuutta ja ehkäistään väkivaltaa ja tehdään yhteistyötä kentällä toimivien kansalaisjärjestöjen kanssa. Sillä tuettiin myös väkivallan tekijöiden hoitoa. Lastensuojelujärjestelmien vahvistaminen on yksi komission painopisteistä, ja ohjelmalla tuettiin maahanmuuttajalasten oikeuksia rahoittamalla kansainvälisiä järjestöjä, jotka työskentelevät suoraan näiden lasten hyväksi ja parissa. </w:t>
      </w:r>
    </w:p>
    <w:p w:rsidR="0057554D" w:rsidRDefault="00EE12D7">
      <w:pPr>
        <w:spacing w:before="120" w:after="120" w:line="240" w:lineRule="auto"/>
        <w:ind w:left="360"/>
        <w:jc w:val="both"/>
        <w:rPr>
          <w:rFonts w:ascii="Times New Roman" w:hAnsi="Times New Roman" w:cs="Times New Roman"/>
          <w:b/>
          <w:i/>
          <w:noProof/>
          <w:sz w:val="24"/>
          <w:szCs w:val="24"/>
        </w:rPr>
      </w:pPr>
      <w:r>
        <w:rPr>
          <w:rFonts w:ascii="Times New Roman" w:hAnsi="Times New Roman"/>
          <w:b/>
          <w:i/>
          <w:noProof/>
          <w:sz w:val="24"/>
        </w:rPr>
        <w:t xml:space="preserve">Erityistavoite 6: edistää lasten oikeuksia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Lasten oikeuksia suojellaan hankkeilla, joissa painotetaan lapsiystävällistä oikeudenkäyttöä ja haavoittuvassa asemassa olevien lasten (kuten sijaiskotijärjestelmästä lähtevien lasten ja lain kanssa hankauksiin joutuneiden lasten) suojelua tukemalla lasten parissa työskentelevien virkamiesten, kansalaisjärjestöjen ja asianajajien koulutusta.</w:t>
      </w:r>
    </w:p>
    <w:p w:rsidR="0057554D" w:rsidRDefault="00EE12D7">
      <w:pPr>
        <w:spacing w:before="120" w:after="120" w:line="240" w:lineRule="auto"/>
        <w:ind w:left="360"/>
        <w:jc w:val="both"/>
        <w:rPr>
          <w:rFonts w:ascii="Times New Roman" w:hAnsi="Times New Roman" w:cs="Times New Roman"/>
          <w:b/>
          <w:i/>
          <w:noProof/>
          <w:sz w:val="24"/>
          <w:szCs w:val="24"/>
        </w:rPr>
      </w:pPr>
      <w:r>
        <w:rPr>
          <w:rFonts w:ascii="Times New Roman" w:hAnsi="Times New Roman"/>
          <w:b/>
          <w:i/>
          <w:noProof/>
          <w:sz w:val="24"/>
        </w:rPr>
        <w:t xml:space="preserve">Erityistavoite 7: suojella yksityiselämää ja henkilötietoja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Ohjelma on EU:n tärkein rahoituslähde tietosuojan alalla. Tämän erityistavoitteen puitteissa toteutetut toimet liittyivät vahvasti vuonna 2016 hyväksyttyyn tietosuojauudistukseen. Tämän tavoitteen puitteissa ohjelmasta rahoitettiin toimia, joilla tuettiin erityisesti EU:n uuden tietosuojalainsäädännön saattamista osaksi kansallista lainsäädäntöä ja täytäntöönpanoa jäsenvaltioissa sekä tietosuojaviranomaisten ja tietosuojavastaavien koulutusta.</w:t>
      </w:r>
    </w:p>
    <w:p w:rsidR="0057554D" w:rsidRDefault="00EE12D7">
      <w:pPr>
        <w:spacing w:before="120" w:after="120" w:line="240" w:lineRule="auto"/>
        <w:ind w:left="360"/>
        <w:jc w:val="both"/>
        <w:rPr>
          <w:rFonts w:ascii="Times New Roman" w:hAnsi="Times New Roman" w:cs="Times New Roman"/>
          <w:b/>
          <w:i/>
          <w:noProof/>
          <w:sz w:val="24"/>
          <w:szCs w:val="24"/>
        </w:rPr>
      </w:pPr>
      <w:r>
        <w:rPr>
          <w:rFonts w:ascii="Times New Roman" w:hAnsi="Times New Roman"/>
          <w:b/>
          <w:i/>
          <w:noProof/>
          <w:sz w:val="24"/>
        </w:rPr>
        <w:t xml:space="preserve">Erityistavoite 8: EU:n kansalaisuus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Ohjelmasta rahoitettiin hankkeita, lähinnä valistustoimia, joilla tuetaan EU:n kansalaisten osallistumista EU:n yhteiskunnalliseen ja poliittiseen toimintaan. Näihin kuului hankkeita, joiden tarkoituksena oli auttaa kansalaisia tiedostamaan EU:n kansalaisuuteen perustuvat oikeutensa. Tästä erityistavoitteesta rahoitettiin EU:n kansalaisten oikeuksia koskevia tiedotuskampanjoita, joissa keskityttiin erityisesti äänioikeuteen vuoden 2019 Euroopan parlamentin vaaleja silmällä pitäen.</w:t>
      </w:r>
    </w:p>
    <w:p w:rsidR="0057554D" w:rsidRDefault="00EE12D7">
      <w:pPr>
        <w:spacing w:before="120" w:after="120" w:line="240" w:lineRule="auto"/>
        <w:ind w:left="360"/>
        <w:jc w:val="both"/>
        <w:rPr>
          <w:rFonts w:ascii="Times New Roman" w:hAnsi="Times New Roman" w:cs="Times New Roman"/>
          <w:b/>
          <w:i/>
          <w:noProof/>
          <w:sz w:val="24"/>
          <w:szCs w:val="24"/>
        </w:rPr>
      </w:pPr>
      <w:r>
        <w:rPr>
          <w:rFonts w:ascii="Times New Roman" w:hAnsi="Times New Roman"/>
          <w:b/>
          <w:i/>
          <w:noProof/>
          <w:sz w:val="24"/>
        </w:rPr>
        <w:t xml:space="preserve">Erityistavoite 9: kuluttajien ja yrittäjien oikeudet </w:t>
      </w:r>
    </w:p>
    <w:p w:rsidR="0057554D" w:rsidRDefault="00EE12D7">
      <w:pPr>
        <w:spacing w:before="120" w:after="120" w:line="240" w:lineRule="auto"/>
        <w:jc w:val="both"/>
        <w:rPr>
          <w:rFonts w:ascii="Times New Roman" w:hAnsi="Times New Roman" w:cs="Times New Roman"/>
          <w:noProof/>
          <w:sz w:val="24"/>
          <w:szCs w:val="24"/>
        </w:rPr>
        <w:sectPr w:rsidR="0057554D">
          <w:headerReference w:type="even" r:id="rId18"/>
          <w:headerReference w:type="default" r:id="rId19"/>
          <w:footerReference w:type="even" r:id="rId20"/>
          <w:footerReference w:type="default" r:id="rId21"/>
          <w:headerReference w:type="first" r:id="rId22"/>
          <w:footerReference w:type="first" r:id="rId23"/>
          <w:pgSz w:w="11906" w:h="16838"/>
          <w:pgMar w:top="1134" w:right="1417" w:bottom="1134" w:left="1417" w:header="709" w:footer="709" w:gutter="0"/>
          <w:pgNumType w:start="1"/>
          <w:cols w:space="720"/>
          <w:formProt w:val="0"/>
          <w:docGrid w:linePitch="360" w:charSpace="4096"/>
        </w:sectPr>
      </w:pPr>
      <w:r>
        <w:rPr>
          <w:rFonts w:ascii="Times New Roman" w:hAnsi="Times New Roman"/>
          <w:noProof/>
          <w:sz w:val="24"/>
        </w:rPr>
        <w:t>Ohjelmasta rahoitettiin myös hankkeita, joilla tuetaan sisämarkkinoilla kuluttajina tai yrittäjinä toimivia yksilöitä heidän EU:n oikeuteen perustuvien oikeuksiensa toteutumiseksi. Tämän osa-alueen EU-rahoituksella pyritään lisäämään tietämystä ja tietoisuutta kuluttajien oikeuksista erityisesti digitaalisilla markkinoilla.</w:t>
      </w:r>
      <w:bookmarkStart w:id="3" w:name="_Ref498507434"/>
      <w:bookmarkEnd w:id="3"/>
    </w:p>
    <w:p w:rsidR="0057554D" w:rsidRDefault="00EE12D7">
      <w:pPr>
        <w:pStyle w:val="ListParagraph"/>
        <w:keepNext/>
        <w:numPr>
          <w:ilvl w:val="1"/>
          <w:numId w:val="4"/>
        </w:numPr>
        <w:tabs>
          <w:tab w:val="left" w:pos="850"/>
        </w:tabs>
        <w:spacing w:before="240" w:after="240" w:line="240" w:lineRule="auto"/>
        <w:ind w:left="788" w:hanging="431"/>
        <w:jc w:val="both"/>
        <w:outlineLvl w:val="0"/>
        <w:rPr>
          <w:rFonts w:ascii="Times New Roman Bold" w:eastAsia="Times New Roman" w:hAnsi="Times New Roman Bold" w:cs="Times New Roman"/>
          <w:b/>
          <w:noProof/>
          <w:sz w:val="24"/>
          <w:szCs w:val="24"/>
        </w:rPr>
      </w:pPr>
      <w:r>
        <w:rPr>
          <w:rFonts w:ascii="Times New Roman Bold" w:hAnsi="Times New Roman Bold"/>
          <w:b/>
          <w:noProof/>
          <w:sz w:val="24"/>
        </w:rPr>
        <w:t>Budjetti</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Jäljempänä olevassa taulukossa 1 esitetään vuotuiset budjettimäärärahat, jotka ovat 426,8 miljoonaa euroa koko ohjelmakaudeksi. Määrät kasvoivat vuosittain ja olivat 67,9 miljoonaa euroa vuonna 2020, kun ne vuonna 2014 olivat 54,2 miljoonaa euroa. </w:t>
      </w:r>
    </w:p>
    <w:p w:rsidR="0057554D" w:rsidRDefault="00EE12D7">
      <w:pPr>
        <w:spacing w:before="120" w:after="120"/>
        <w:jc w:val="both"/>
        <w:rPr>
          <w:rFonts w:ascii="Times New Roman" w:hAnsi="Times New Roman" w:cs="Times New Roman"/>
          <w:b/>
          <w:noProof/>
          <w:color w:val="000000" w:themeColor="text1"/>
          <w:sz w:val="24"/>
          <w:szCs w:val="24"/>
        </w:rPr>
      </w:pPr>
      <w:bookmarkStart w:id="4" w:name="_Toc82630592"/>
      <w:r>
        <w:rPr>
          <w:rFonts w:ascii="Times New Roman" w:hAnsi="Times New Roman"/>
          <w:b/>
          <w:noProof/>
          <w:color w:val="000000" w:themeColor="text1"/>
          <w:sz w:val="24"/>
        </w:rPr>
        <w:t>Taulukko 1. Suunnitellut määrärahat vuosittain</w:t>
      </w:r>
      <w:bookmarkEnd w:id="4"/>
    </w:p>
    <w:tbl>
      <w:tblPr>
        <w:tblStyle w:val="none1"/>
        <w:tblW w:w="5000" w:type="pct"/>
        <w:shd w:val="clear" w:color="auto" w:fill="F2F2F2"/>
        <w:tblLayout w:type="fixed"/>
        <w:tblLook w:val="04A0" w:firstRow="1" w:lastRow="0" w:firstColumn="1" w:lastColumn="0" w:noHBand="0" w:noVBand="1"/>
      </w:tblPr>
      <w:tblGrid>
        <w:gridCol w:w="3096"/>
        <w:gridCol w:w="3097"/>
        <w:gridCol w:w="3095"/>
      </w:tblGrid>
      <w:tr w:rsidR="0057554D" w:rsidTr="0057554D">
        <w:trPr>
          <w:cnfStyle w:val="100000000000" w:firstRow="1" w:lastRow="0" w:firstColumn="0" w:lastColumn="0" w:oddVBand="0" w:evenVBand="0" w:oddHBand="0" w:evenHBand="0" w:firstRowFirstColumn="0" w:firstRowLastColumn="0" w:lastRowFirstColumn="0" w:lastRowLastColumn="0"/>
        </w:trPr>
        <w:tc>
          <w:tcPr>
            <w:tcW w:w="3024" w:type="dxa"/>
          </w:tcPr>
          <w:p w:rsidR="0057554D" w:rsidRDefault="00EE12D7">
            <w:pPr>
              <w:keepNext/>
              <w:spacing w:after="0" w:line="240" w:lineRule="auto"/>
              <w:jc w:val="center"/>
              <w:rPr>
                <w:rFonts w:ascii="Times New Roman" w:hAnsi="Times New Roman"/>
                <w:noProof/>
              </w:rPr>
            </w:pPr>
            <w:r>
              <w:rPr>
                <w:rFonts w:ascii="Times New Roman" w:eastAsia="Times New Roman" w:hAnsi="Times New Roman" w:cs="Times New Roman"/>
                <w:noProof/>
              </w:rPr>
              <w:t>Varainhoitovuosi</w:t>
            </w:r>
          </w:p>
        </w:tc>
        <w:tc>
          <w:tcPr>
            <w:tcW w:w="3025" w:type="dxa"/>
          </w:tcPr>
          <w:p w:rsidR="0057554D" w:rsidRDefault="00EE12D7">
            <w:pPr>
              <w:keepNext/>
              <w:spacing w:after="0" w:line="240" w:lineRule="auto"/>
              <w:jc w:val="center"/>
              <w:rPr>
                <w:rFonts w:ascii="Times New Roman" w:hAnsi="Times New Roman"/>
                <w:noProof/>
              </w:rPr>
            </w:pPr>
            <w:r>
              <w:rPr>
                <w:rFonts w:ascii="Times New Roman" w:eastAsia="Times New Roman" w:hAnsi="Times New Roman" w:cs="Times New Roman"/>
                <w:noProof/>
              </w:rPr>
              <w:t>Suunniteltu määrä (euroa)</w:t>
            </w:r>
          </w:p>
        </w:tc>
        <w:tc>
          <w:tcPr>
            <w:tcW w:w="3023" w:type="dxa"/>
          </w:tcPr>
          <w:p w:rsidR="0057554D" w:rsidRDefault="00EE12D7">
            <w:pPr>
              <w:keepNext/>
              <w:spacing w:after="0" w:line="240" w:lineRule="auto"/>
              <w:jc w:val="center"/>
              <w:rPr>
                <w:rFonts w:ascii="Times New Roman" w:hAnsi="Times New Roman"/>
                <w:noProof/>
              </w:rPr>
            </w:pPr>
            <w:r>
              <w:rPr>
                <w:rFonts w:ascii="Times New Roman" w:eastAsia="Times New Roman" w:hAnsi="Times New Roman" w:cs="Times New Roman"/>
                <w:noProof/>
              </w:rPr>
              <w:t>Vuotuinen kasvu (%)</w:t>
            </w:r>
          </w:p>
        </w:tc>
      </w:tr>
      <w:tr w:rsidR="0057554D" w:rsidTr="0057554D">
        <w:trPr>
          <w:cnfStyle w:val="000000100000" w:firstRow="0" w:lastRow="0" w:firstColumn="0" w:lastColumn="0" w:oddVBand="0" w:evenVBand="0" w:oddHBand="1" w:evenHBand="0" w:firstRowFirstColumn="0" w:firstRowLastColumn="0" w:lastRowFirstColumn="0" w:lastRowLastColumn="0"/>
        </w:trPr>
        <w:tc>
          <w:tcPr>
            <w:tcW w:w="3024" w:type="dxa"/>
          </w:tcPr>
          <w:p w:rsidR="0057554D" w:rsidRDefault="00EE12D7">
            <w:pPr>
              <w:keepNext/>
              <w:spacing w:after="0" w:line="240" w:lineRule="auto"/>
              <w:jc w:val="center"/>
              <w:rPr>
                <w:rFonts w:ascii="Times New Roman" w:hAnsi="Times New Roman"/>
                <w:noProof/>
              </w:rPr>
            </w:pPr>
            <w:r>
              <w:rPr>
                <w:rFonts w:ascii="Times New Roman" w:eastAsia="Times New Roman" w:hAnsi="Times New Roman" w:cs="Times New Roman"/>
                <w:noProof/>
              </w:rPr>
              <w:t>2014</w:t>
            </w:r>
          </w:p>
        </w:tc>
        <w:tc>
          <w:tcPr>
            <w:tcW w:w="3025" w:type="dxa"/>
          </w:tcPr>
          <w:p w:rsidR="0057554D" w:rsidRDefault="00EE12D7">
            <w:pPr>
              <w:keepNext/>
              <w:spacing w:after="0" w:line="240" w:lineRule="auto"/>
              <w:jc w:val="center"/>
              <w:rPr>
                <w:rFonts w:ascii="Times New Roman" w:hAnsi="Times New Roman"/>
                <w:noProof/>
              </w:rPr>
            </w:pPr>
            <w:r>
              <w:rPr>
                <w:rFonts w:ascii="Times New Roman" w:eastAsia="Times New Roman" w:hAnsi="Times New Roman" w:cs="Times New Roman"/>
                <w:noProof/>
                <w:color w:val="000000"/>
              </w:rPr>
              <w:t>54 158 000</w:t>
            </w:r>
          </w:p>
        </w:tc>
        <w:tc>
          <w:tcPr>
            <w:tcW w:w="3023" w:type="dxa"/>
          </w:tcPr>
          <w:p w:rsidR="0057554D" w:rsidRDefault="00EE12D7">
            <w:pPr>
              <w:keepNext/>
              <w:spacing w:after="0" w:line="240" w:lineRule="auto"/>
              <w:jc w:val="center"/>
              <w:rPr>
                <w:rFonts w:ascii="Times New Roman" w:hAnsi="Times New Roman"/>
                <w:noProof/>
                <w:color w:val="000000"/>
              </w:rPr>
            </w:pPr>
            <w:r>
              <w:rPr>
                <w:rFonts w:ascii="Times New Roman" w:eastAsia="Times New Roman" w:hAnsi="Times New Roman" w:cs="Times New Roman"/>
                <w:noProof/>
                <w:color w:val="000000"/>
              </w:rPr>
              <w:t>-</w:t>
            </w:r>
          </w:p>
        </w:tc>
      </w:tr>
      <w:tr w:rsidR="0057554D" w:rsidTr="0057554D">
        <w:tc>
          <w:tcPr>
            <w:tcW w:w="3024" w:type="dxa"/>
          </w:tcPr>
          <w:p w:rsidR="0057554D" w:rsidRDefault="00EE12D7">
            <w:pPr>
              <w:keepNext/>
              <w:spacing w:after="0" w:line="240" w:lineRule="auto"/>
              <w:jc w:val="center"/>
              <w:rPr>
                <w:rFonts w:ascii="Times New Roman" w:hAnsi="Times New Roman"/>
                <w:noProof/>
              </w:rPr>
            </w:pPr>
            <w:r>
              <w:rPr>
                <w:rFonts w:ascii="Times New Roman" w:eastAsia="Times New Roman" w:hAnsi="Times New Roman" w:cs="Times New Roman"/>
                <w:noProof/>
              </w:rPr>
              <w:t>2015</w:t>
            </w:r>
          </w:p>
        </w:tc>
        <w:tc>
          <w:tcPr>
            <w:tcW w:w="3025" w:type="dxa"/>
          </w:tcPr>
          <w:p w:rsidR="0057554D" w:rsidRDefault="00EE12D7">
            <w:pPr>
              <w:keepNext/>
              <w:spacing w:after="0" w:line="240" w:lineRule="auto"/>
              <w:jc w:val="center"/>
              <w:rPr>
                <w:rFonts w:ascii="Times New Roman" w:hAnsi="Times New Roman"/>
                <w:noProof/>
              </w:rPr>
            </w:pPr>
            <w:r>
              <w:rPr>
                <w:rFonts w:ascii="Times New Roman" w:eastAsia="Times New Roman" w:hAnsi="Times New Roman" w:cs="Times New Roman"/>
                <w:noProof/>
                <w:color w:val="000000"/>
              </w:rPr>
              <w:t>56 323 637</w:t>
            </w:r>
          </w:p>
        </w:tc>
        <w:tc>
          <w:tcPr>
            <w:tcW w:w="3023" w:type="dxa"/>
            <w:vAlign w:val="bottom"/>
          </w:tcPr>
          <w:p w:rsidR="0057554D" w:rsidRDefault="00EE12D7">
            <w:pPr>
              <w:keepNext/>
              <w:spacing w:after="0" w:line="240" w:lineRule="auto"/>
              <w:jc w:val="center"/>
              <w:rPr>
                <w:rFonts w:ascii="Times New Roman" w:hAnsi="Times New Roman"/>
                <w:noProof/>
                <w:color w:val="000000"/>
              </w:rPr>
            </w:pPr>
            <w:r>
              <w:rPr>
                <w:rFonts w:eastAsia="Times New Roman" w:cs="Times New Roman"/>
                <w:noProof/>
                <w:color w:val="000000"/>
              </w:rPr>
              <w:t>4,0 %</w:t>
            </w:r>
          </w:p>
        </w:tc>
      </w:tr>
      <w:tr w:rsidR="0057554D" w:rsidTr="0057554D">
        <w:trPr>
          <w:cnfStyle w:val="000000100000" w:firstRow="0" w:lastRow="0" w:firstColumn="0" w:lastColumn="0" w:oddVBand="0" w:evenVBand="0" w:oddHBand="1" w:evenHBand="0" w:firstRowFirstColumn="0" w:firstRowLastColumn="0" w:lastRowFirstColumn="0" w:lastRowLastColumn="0"/>
        </w:trPr>
        <w:tc>
          <w:tcPr>
            <w:tcW w:w="3024" w:type="dxa"/>
          </w:tcPr>
          <w:p w:rsidR="0057554D" w:rsidRDefault="00EE12D7">
            <w:pPr>
              <w:keepNext/>
              <w:spacing w:after="0" w:line="240" w:lineRule="auto"/>
              <w:jc w:val="center"/>
              <w:rPr>
                <w:rFonts w:ascii="Times New Roman" w:hAnsi="Times New Roman"/>
                <w:noProof/>
              </w:rPr>
            </w:pPr>
            <w:r>
              <w:rPr>
                <w:rFonts w:ascii="Times New Roman" w:eastAsia="Times New Roman" w:hAnsi="Times New Roman" w:cs="Times New Roman"/>
                <w:noProof/>
              </w:rPr>
              <w:t>2016</w:t>
            </w:r>
          </w:p>
        </w:tc>
        <w:tc>
          <w:tcPr>
            <w:tcW w:w="3025" w:type="dxa"/>
          </w:tcPr>
          <w:p w:rsidR="0057554D" w:rsidRDefault="00EE12D7">
            <w:pPr>
              <w:keepNext/>
              <w:spacing w:after="0" w:line="240" w:lineRule="auto"/>
              <w:jc w:val="center"/>
              <w:rPr>
                <w:rFonts w:ascii="Times New Roman" w:hAnsi="Times New Roman"/>
                <w:noProof/>
              </w:rPr>
            </w:pPr>
            <w:r>
              <w:rPr>
                <w:rFonts w:ascii="Times New Roman" w:eastAsia="Times New Roman" w:hAnsi="Times New Roman" w:cs="Times New Roman"/>
                <w:noProof/>
                <w:color w:val="000000"/>
              </w:rPr>
              <w:t>58 852 000</w:t>
            </w:r>
          </w:p>
        </w:tc>
        <w:tc>
          <w:tcPr>
            <w:tcW w:w="3023" w:type="dxa"/>
            <w:vAlign w:val="bottom"/>
          </w:tcPr>
          <w:p w:rsidR="0057554D" w:rsidRDefault="00EE12D7">
            <w:pPr>
              <w:keepNext/>
              <w:spacing w:after="0" w:line="240" w:lineRule="auto"/>
              <w:jc w:val="center"/>
              <w:rPr>
                <w:rFonts w:ascii="Times New Roman" w:hAnsi="Times New Roman"/>
                <w:noProof/>
                <w:color w:val="000000"/>
              </w:rPr>
            </w:pPr>
            <w:r>
              <w:rPr>
                <w:rFonts w:eastAsia="Times New Roman" w:cs="Times New Roman"/>
                <w:noProof/>
                <w:color w:val="000000"/>
              </w:rPr>
              <w:t>4,5 %</w:t>
            </w:r>
          </w:p>
        </w:tc>
      </w:tr>
      <w:tr w:rsidR="0057554D" w:rsidTr="0057554D">
        <w:tc>
          <w:tcPr>
            <w:tcW w:w="3024" w:type="dxa"/>
          </w:tcPr>
          <w:p w:rsidR="0057554D" w:rsidRDefault="00EE12D7">
            <w:pPr>
              <w:keepNext/>
              <w:spacing w:after="0" w:line="240" w:lineRule="auto"/>
              <w:jc w:val="center"/>
              <w:rPr>
                <w:rFonts w:ascii="Times New Roman" w:hAnsi="Times New Roman"/>
                <w:noProof/>
              </w:rPr>
            </w:pPr>
            <w:r>
              <w:rPr>
                <w:rFonts w:ascii="Times New Roman" w:eastAsia="Times New Roman" w:hAnsi="Times New Roman" w:cs="Times New Roman"/>
                <w:noProof/>
              </w:rPr>
              <w:t>2017</w:t>
            </w:r>
          </w:p>
        </w:tc>
        <w:tc>
          <w:tcPr>
            <w:tcW w:w="3025" w:type="dxa"/>
          </w:tcPr>
          <w:p w:rsidR="0057554D" w:rsidRDefault="00EE12D7">
            <w:pPr>
              <w:keepNext/>
              <w:spacing w:after="0" w:line="240" w:lineRule="auto"/>
              <w:jc w:val="center"/>
              <w:rPr>
                <w:rFonts w:ascii="Times New Roman" w:hAnsi="Times New Roman"/>
                <w:noProof/>
              </w:rPr>
            </w:pPr>
            <w:r>
              <w:rPr>
                <w:rFonts w:ascii="Times New Roman" w:eastAsia="Times New Roman" w:hAnsi="Times New Roman" w:cs="Times New Roman"/>
                <w:noProof/>
                <w:color w:val="000000"/>
              </w:rPr>
              <w:t>62 515 000</w:t>
            </w:r>
          </w:p>
        </w:tc>
        <w:tc>
          <w:tcPr>
            <w:tcW w:w="3023" w:type="dxa"/>
            <w:vAlign w:val="bottom"/>
          </w:tcPr>
          <w:p w:rsidR="0057554D" w:rsidRDefault="00EE12D7">
            <w:pPr>
              <w:keepNext/>
              <w:spacing w:after="0" w:line="240" w:lineRule="auto"/>
              <w:jc w:val="center"/>
              <w:rPr>
                <w:rFonts w:ascii="Times New Roman" w:hAnsi="Times New Roman"/>
                <w:noProof/>
                <w:color w:val="000000"/>
              </w:rPr>
            </w:pPr>
            <w:r>
              <w:rPr>
                <w:rFonts w:eastAsia="Times New Roman" w:cs="Times New Roman"/>
                <w:noProof/>
                <w:color w:val="000000"/>
              </w:rPr>
              <w:t>6,2 %</w:t>
            </w:r>
          </w:p>
        </w:tc>
      </w:tr>
      <w:tr w:rsidR="0057554D" w:rsidTr="0057554D">
        <w:trPr>
          <w:cnfStyle w:val="000000100000" w:firstRow="0" w:lastRow="0" w:firstColumn="0" w:lastColumn="0" w:oddVBand="0" w:evenVBand="0" w:oddHBand="1" w:evenHBand="0" w:firstRowFirstColumn="0" w:firstRowLastColumn="0" w:lastRowFirstColumn="0" w:lastRowLastColumn="0"/>
        </w:trPr>
        <w:tc>
          <w:tcPr>
            <w:tcW w:w="3024" w:type="dxa"/>
          </w:tcPr>
          <w:p w:rsidR="0057554D" w:rsidRDefault="00EE12D7">
            <w:pPr>
              <w:keepNext/>
              <w:spacing w:after="0" w:line="240" w:lineRule="auto"/>
              <w:jc w:val="center"/>
              <w:rPr>
                <w:rFonts w:ascii="Times New Roman" w:hAnsi="Times New Roman"/>
                <w:noProof/>
              </w:rPr>
            </w:pPr>
            <w:r>
              <w:rPr>
                <w:rFonts w:ascii="Times New Roman" w:eastAsia="Times New Roman" w:hAnsi="Times New Roman" w:cs="Times New Roman"/>
                <w:noProof/>
              </w:rPr>
              <w:t>2018</w:t>
            </w:r>
          </w:p>
        </w:tc>
        <w:tc>
          <w:tcPr>
            <w:tcW w:w="3025" w:type="dxa"/>
          </w:tcPr>
          <w:p w:rsidR="0057554D" w:rsidRDefault="00EE12D7">
            <w:pPr>
              <w:keepNext/>
              <w:spacing w:after="0" w:line="240" w:lineRule="auto"/>
              <w:jc w:val="center"/>
              <w:rPr>
                <w:rFonts w:ascii="Times New Roman" w:hAnsi="Times New Roman"/>
                <w:noProof/>
              </w:rPr>
            </w:pPr>
            <w:r>
              <w:rPr>
                <w:rFonts w:ascii="Times New Roman" w:eastAsia="Times New Roman" w:hAnsi="Times New Roman" w:cs="Times New Roman"/>
                <w:noProof/>
                <w:color w:val="000000"/>
              </w:rPr>
              <w:t>62 282 000</w:t>
            </w:r>
          </w:p>
        </w:tc>
        <w:tc>
          <w:tcPr>
            <w:tcW w:w="3023" w:type="dxa"/>
            <w:vAlign w:val="bottom"/>
          </w:tcPr>
          <w:p w:rsidR="0057554D" w:rsidRDefault="00EE12D7">
            <w:pPr>
              <w:keepNext/>
              <w:spacing w:after="0" w:line="240" w:lineRule="auto"/>
              <w:jc w:val="center"/>
              <w:rPr>
                <w:rFonts w:ascii="Times New Roman" w:hAnsi="Times New Roman"/>
                <w:noProof/>
                <w:color w:val="000000"/>
              </w:rPr>
            </w:pPr>
            <w:r>
              <w:rPr>
                <w:rFonts w:eastAsia="Times New Roman" w:cs="Times New Roman"/>
                <w:noProof/>
                <w:color w:val="000000"/>
              </w:rPr>
              <w:t>-0,4 %</w:t>
            </w:r>
          </w:p>
        </w:tc>
      </w:tr>
      <w:tr w:rsidR="0057554D" w:rsidTr="0057554D">
        <w:tc>
          <w:tcPr>
            <w:tcW w:w="3024" w:type="dxa"/>
          </w:tcPr>
          <w:p w:rsidR="0057554D" w:rsidRDefault="00EE12D7">
            <w:pPr>
              <w:keepNext/>
              <w:spacing w:after="0" w:line="240" w:lineRule="auto"/>
              <w:jc w:val="center"/>
              <w:rPr>
                <w:rFonts w:ascii="Times New Roman" w:hAnsi="Times New Roman"/>
                <w:noProof/>
              </w:rPr>
            </w:pPr>
            <w:r>
              <w:rPr>
                <w:rFonts w:ascii="Times New Roman" w:eastAsia="Times New Roman" w:hAnsi="Times New Roman" w:cs="Times New Roman"/>
                <w:noProof/>
              </w:rPr>
              <w:t>2019</w:t>
            </w:r>
          </w:p>
        </w:tc>
        <w:tc>
          <w:tcPr>
            <w:tcW w:w="3025" w:type="dxa"/>
          </w:tcPr>
          <w:p w:rsidR="0057554D" w:rsidRDefault="00EE12D7">
            <w:pPr>
              <w:keepNext/>
              <w:spacing w:after="0" w:line="240" w:lineRule="auto"/>
              <w:jc w:val="center"/>
              <w:rPr>
                <w:rFonts w:ascii="Times New Roman" w:hAnsi="Times New Roman"/>
                <w:noProof/>
              </w:rPr>
            </w:pPr>
            <w:r>
              <w:rPr>
                <w:rFonts w:ascii="Times New Roman" w:eastAsia="Times New Roman" w:hAnsi="Times New Roman" w:cs="Times New Roman"/>
                <w:noProof/>
                <w:color w:val="000000"/>
              </w:rPr>
              <w:t>64 771 000</w:t>
            </w:r>
          </w:p>
        </w:tc>
        <w:tc>
          <w:tcPr>
            <w:tcW w:w="3023" w:type="dxa"/>
            <w:vAlign w:val="bottom"/>
          </w:tcPr>
          <w:p w:rsidR="0057554D" w:rsidRDefault="00EE12D7">
            <w:pPr>
              <w:keepNext/>
              <w:spacing w:after="0" w:line="240" w:lineRule="auto"/>
              <w:jc w:val="center"/>
              <w:rPr>
                <w:rFonts w:ascii="Times New Roman" w:hAnsi="Times New Roman"/>
                <w:noProof/>
                <w:color w:val="000000"/>
              </w:rPr>
            </w:pPr>
            <w:r>
              <w:rPr>
                <w:rFonts w:eastAsia="Times New Roman" w:cs="Times New Roman"/>
                <w:noProof/>
                <w:color w:val="000000"/>
              </w:rPr>
              <w:t>4,0 %</w:t>
            </w:r>
          </w:p>
        </w:tc>
      </w:tr>
      <w:tr w:rsidR="0057554D" w:rsidTr="0057554D">
        <w:trPr>
          <w:cnfStyle w:val="000000100000" w:firstRow="0" w:lastRow="0" w:firstColumn="0" w:lastColumn="0" w:oddVBand="0" w:evenVBand="0" w:oddHBand="1" w:evenHBand="0" w:firstRowFirstColumn="0" w:firstRowLastColumn="0" w:lastRowFirstColumn="0" w:lastRowLastColumn="0"/>
        </w:trPr>
        <w:tc>
          <w:tcPr>
            <w:tcW w:w="3024" w:type="dxa"/>
          </w:tcPr>
          <w:p w:rsidR="0057554D" w:rsidRDefault="00EE12D7">
            <w:pPr>
              <w:keepNext/>
              <w:spacing w:after="0" w:line="240" w:lineRule="auto"/>
              <w:jc w:val="center"/>
              <w:rPr>
                <w:rFonts w:ascii="Times New Roman" w:hAnsi="Times New Roman"/>
                <w:noProof/>
              </w:rPr>
            </w:pPr>
            <w:r>
              <w:rPr>
                <w:rFonts w:ascii="Times New Roman" w:eastAsia="Times New Roman" w:hAnsi="Times New Roman" w:cs="Times New Roman"/>
                <w:noProof/>
              </w:rPr>
              <w:t>2020</w:t>
            </w:r>
          </w:p>
        </w:tc>
        <w:tc>
          <w:tcPr>
            <w:tcW w:w="3025" w:type="dxa"/>
          </w:tcPr>
          <w:p w:rsidR="0057554D" w:rsidRDefault="00EE12D7">
            <w:pPr>
              <w:keepNext/>
              <w:spacing w:after="0" w:line="240" w:lineRule="auto"/>
              <w:jc w:val="center"/>
              <w:rPr>
                <w:rFonts w:ascii="Times New Roman" w:hAnsi="Times New Roman"/>
                <w:noProof/>
              </w:rPr>
            </w:pPr>
            <w:r>
              <w:rPr>
                <w:rFonts w:ascii="Times New Roman" w:eastAsia="Times New Roman" w:hAnsi="Times New Roman" w:cs="Times New Roman"/>
                <w:noProof/>
                <w:color w:val="000000"/>
              </w:rPr>
              <w:t>67 913 000</w:t>
            </w:r>
          </w:p>
        </w:tc>
        <w:tc>
          <w:tcPr>
            <w:tcW w:w="3023" w:type="dxa"/>
            <w:vAlign w:val="bottom"/>
          </w:tcPr>
          <w:p w:rsidR="0057554D" w:rsidRDefault="00EE12D7">
            <w:pPr>
              <w:keepNext/>
              <w:spacing w:after="0" w:line="240" w:lineRule="auto"/>
              <w:jc w:val="center"/>
              <w:rPr>
                <w:rFonts w:ascii="Times New Roman" w:hAnsi="Times New Roman"/>
                <w:noProof/>
                <w:color w:val="000000"/>
              </w:rPr>
            </w:pPr>
            <w:r>
              <w:rPr>
                <w:rFonts w:eastAsia="Times New Roman" w:cs="Times New Roman"/>
                <w:noProof/>
                <w:color w:val="000000"/>
              </w:rPr>
              <w:t>4,9 %</w:t>
            </w:r>
          </w:p>
        </w:tc>
      </w:tr>
      <w:tr w:rsidR="0057554D" w:rsidTr="0057554D">
        <w:tc>
          <w:tcPr>
            <w:tcW w:w="3024" w:type="dxa"/>
          </w:tcPr>
          <w:p w:rsidR="0057554D" w:rsidRDefault="00EE12D7">
            <w:pPr>
              <w:keepNext/>
              <w:spacing w:after="0" w:line="240" w:lineRule="auto"/>
              <w:jc w:val="center"/>
              <w:rPr>
                <w:rFonts w:ascii="Times New Roman" w:hAnsi="Times New Roman"/>
                <w:b/>
                <w:bCs/>
                <w:noProof/>
              </w:rPr>
            </w:pPr>
            <w:r>
              <w:rPr>
                <w:rFonts w:ascii="Times New Roman" w:eastAsia="Times New Roman" w:hAnsi="Times New Roman" w:cs="Times New Roman"/>
                <w:b/>
                <w:noProof/>
              </w:rPr>
              <w:t>Yhteensä</w:t>
            </w:r>
          </w:p>
        </w:tc>
        <w:tc>
          <w:tcPr>
            <w:tcW w:w="3025" w:type="dxa"/>
          </w:tcPr>
          <w:p w:rsidR="0057554D" w:rsidRDefault="00EE12D7">
            <w:pPr>
              <w:keepNext/>
              <w:spacing w:after="0" w:line="240" w:lineRule="auto"/>
              <w:jc w:val="center"/>
              <w:rPr>
                <w:rFonts w:ascii="Times New Roman" w:hAnsi="Times New Roman"/>
                <w:b/>
                <w:bCs/>
                <w:noProof/>
              </w:rPr>
            </w:pPr>
            <w:r>
              <w:rPr>
                <w:rFonts w:ascii="Times New Roman" w:eastAsia="Times New Roman" w:hAnsi="Times New Roman" w:cs="Times New Roman"/>
                <w:b/>
                <w:noProof/>
                <w:color w:val="000000"/>
              </w:rPr>
              <w:t>426 814 637</w:t>
            </w:r>
          </w:p>
        </w:tc>
        <w:tc>
          <w:tcPr>
            <w:tcW w:w="3023" w:type="dxa"/>
          </w:tcPr>
          <w:p w:rsidR="0057554D" w:rsidRDefault="0057554D">
            <w:pPr>
              <w:keepNext/>
              <w:spacing w:after="0" w:line="240" w:lineRule="auto"/>
              <w:jc w:val="center"/>
              <w:rPr>
                <w:rFonts w:ascii="Times New Roman" w:hAnsi="Times New Roman"/>
                <w:noProof/>
                <w:color w:val="000000"/>
              </w:rPr>
            </w:pPr>
          </w:p>
        </w:tc>
      </w:tr>
    </w:tbl>
    <w:p w:rsidR="0057554D" w:rsidRDefault="00EE12D7">
      <w:pPr>
        <w:pStyle w:val="Body"/>
        <w:jc w:val="left"/>
        <w:rPr>
          <w:rFonts w:ascii="Times New Roman" w:hAnsi="Times New Roman"/>
          <w:i/>
          <w:noProof/>
          <w:sz w:val="18"/>
          <w:szCs w:val="18"/>
        </w:rPr>
      </w:pPr>
      <w:r>
        <w:rPr>
          <w:rFonts w:ascii="Times New Roman" w:hAnsi="Times New Roman"/>
          <w:i/>
          <w:noProof/>
          <w:sz w:val="18"/>
        </w:rPr>
        <w:t>Lähde: vuotuiset työohjelmat 2014–2020</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Suurin osa ohjelman määrärahoista (25 prosenttia) kohdennettiin erityistavoitteeseen ”väkivallan ehkäiseminen (Daphne)”. Toiseksi eniten määrärahoja (22 prosenttia) kohdennettiin syrjimättömyyden edistämistä koskevaan erityistavoitteeseen. Koko jakauma on esitetty taulukossa 2.</w:t>
      </w:r>
    </w:p>
    <w:p w:rsidR="0057554D" w:rsidRDefault="00EE12D7">
      <w:pPr>
        <w:spacing w:before="240" w:after="120"/>
        <w:jc w:val="both"/>
        <w:rPr>
          <w:rFonts w:ascii="Times New Roman" w:hAnsi="Times New Roman" w:cs="Times New Roman"/>
          <w:b/>
          <w:noProof/>
          <w:color w:val="000000" w:themeColor="text1"/>
          <w:sz w:val="24"/>
          <w:szCs w:val="24"/>
        </w:rPr>
      </w:pPr>
      <w:bookmarkStart w:id="5" w:name="_Toc82630593"/>
      <w:r>
        <w:rPr>
          <w:rFonts w:ascii="Times New Roman" w:hAnsi="Times New Roman"/>
          <w:b/>
          <w:noProof/>
          <w:color w:val="000000" w:themeColor="text1"/>
          <w:sz w:val="24"/>
        </w:rPr>
        <w:t>Taulukko 2. Erityistavoitteet ja suunnitellut määrät</w:t>
      </w:r>
      <w:bookmarkEnd w:id="5"/>
    </w:p>
    <w:tbl>
      <w:tblPr>
        <w:tblStyle w:val="none1"/>
        <w:tblW w:w="5000" w:type="pct"/>
        <w:shd w:val="clear" w:color="auto" w:fill="F2F2F2"/>
        <w:tblLayout w:type="fixed"/>
        <w:tblLook w:val="04A0" w:firstRow="1" w:lastRow="0" w:firstColumn="1" w:lastColumn="0" w:noHBand="0" w:noVBand="1"/>
      </w:tblPr>
      <w:tblGrid>
        <w:gridCol w:w="5351"/>
        <w:gridCol w:w="2542"/>
        <w:gridCol w:w="1395"/>
      </w:tblGrid>
      <w:tr w:rsidR="0057554D" w:rsidTr="0057554D">
        <w:trPr>
          <w:cnfStyle w:val="100000000000" w:firstRow="1" w:lastRow="0" w:firstColumn="0" w:lastColumn="0" w:oddVBand="0" w:evenVBand="0" w:oddHBand="0" w:evenHBand="0" w:firstRowFirstColumn="0" w:firstRowLastColumn="0" w:lastRowFirstColumn="0" w:lastRowLastColumn="0"/>
          <w:trHeight w:val="690"/>
        </w:trPr>
        <w:tc>
          <w:tcPr>
            <w:tcW w:w="5226" w:type="dxa"/>
          </w:tcPr>
          <w:p w:rsidR="0057554D" w:rsidRDefault="00EE12D7">
            <w:pPr>
              <w:spacing w:after="0" w:line="240" w:lineRule="auto"/>
              <w:rPr>
                <w:rFonts w:ascii="Times New Roman" w:hAnsi="Times New Roman"/>
                <w:b w:val="0"/>
                <w:noProof/>
                <w:sz w:val="24"/>
                <w:szCs w:val="24"/>
              </w:rPr>
            </w:pPr>
            <w:r>
              <w:rPr>
                <w:rFonts w:ascii="Times New Roman" w:eastAsia="Times New Roman" w:hAnsi="Times New Roman" w:cs="Times New Roman"/>
                <w:noProof/>
                <w:sz w:val="24"/>
              </w:rPr>
              <w:t>Erityistavoite</w:t>
            </w:r>
          </w:p>
        </w:tc>
        <w:tc>
          <w:tcPr>
            <w:tcW w:w="2483" w:type="dxa"/>
          </w:tcPr>
          <w:p w:rsidR="0057554D" w:rsidRDefault="00EE12D7">
            <w:pPr>
              <w:spacing w:after="0" w:line="240" w:lineRule="auto"/>
              <w:jc w:val="center"/>
              <w:rPr>
                <w:rFonts w:ascii="Times New Roman" w:hAnsi="Times New Roman"/>
                <w:b w:val="0"/>
                <w:noProof/>
                <w:sz w:val="24"/>
                <w:szCs w:val="24"/>
              </w:rPr>
            </w:pPr>
            <w:r>
              <w:rPr>
                <w:rFonts w:ascii="Times New Roman" w:eastAsia="Times New Roman" w:hAnsi="Times New Roman" w:cs="Times New Roman"/>
                <w:noProof/>
                <w:sz w:val="24"/>
              </w:rPr>
              <w:t>Määrärahat (euroa)</w:t>
            </w:r>
          </w:p>
        </w:tc>
        <w:tc>
          <w:tcPr>
            <w:tcW w:w="1363" w:type="dxa"/>
          </w:tcPr>
          <w:p w:rsidR="0057554D" w:rsidRDefault="00EE12D7">
            <w:pPr>
              <w:spacing w:after="0" w:line="240" w:lineRule="auto"/>
              <w:rPr>
                <w:rFonts w:ascii="Times New Roman" w:hAnsi="Times New Roman"/>
                <w:b w:val="0"/>
                <w:noProof/>
                <w:sz w:val="24"/>
                <w:szCs w:val="24"/>
              </w:rPr>
            </w:pPr>
            <w:r>
              <w:rPr>
                <w:rFonts w:ascii="Times New Roman" w:eastAsia="Times New Roman" w:hAnsi="Times New Roman" w:cs="Times New Roman"/>
                <w:noProof/>
                <w:sz w:val="24"/>
              </w:rPr>
              <w:t>Osuus</w:t>
            </w:r>
          </w:p>
        </w:tc>
      </w:tr>
      <w:tr w:rsidR="0057554D" w:rsidTr="0057554D">
        <w:trPr>
          <w:cnfStyle w:val="000000100000" w:firstRow="0" w:lastRow="0" w:firstColumn="0" w:lastColumn="0" w:oddVBand="0" w:evenVBand="0" w:oddHBand="1" w:evenHBand="0" w:firstRowFirstColumn="0" w:firstRowLastColumn="0" w:lastRowFirstColumn="0" w:lastRowLastColumn="0"/>
          <w:trHeight w:val="465"/>
        </w:trPr>
        <w:tc>
          <w:tcPr>
            <w:tcW w:w="5226" w:type="dxa"/>
          </w:tcPr>
          <w:p w:rsidR="0057554D" w:rsidRDefault="00EE12D7">
            <w:pPr>
              <w:spacing w:after="0" w:line="240" w:lineRule="auto"/>
              <w:rPr>
                <w:rFonts w:ascii="Times New Roman" w:hAnsi="Times New Roman"/>
                <w:noProof/>
                <w:color w:val="000000"/>
                <w:sz w:val="20"/>
              </w:rPr>
            </w:pPr>
            <w:r>
              <w:rPr>
                <w:rFonts w:ascii="Times New Roman" w:eastAsia="Times New Roman" w:hAnsi="Times New Roman" w:cs="Times New Roman"/>
                <w:noProof/>
                <w:color w:val="000000"/>
                <w:sz w:val="20"/>
              </w:rPr>
              <w:t>Lapsiin, nuoriin, naisiin ja muihin riskiryhmiin kohdistuvan väkivallan ehkäiseminen (Daphne)</w:t>
            </w:r>
          </w:p>
        </w:tc>
        <w:tc>
          <w:tcPr>
            <w:tcW w:w="2483" w:type="dxa"/>
          </w:tcPr>
          <w:p w:rsidR="0057554D" w:rsidRDefault="00EE12D7">
            <w:pPr>
              <w:spacing w:after="0" w:line="240" w:lineRule="auto"/>
              <w:jc w:val="center"/>
              <w:rPr>
                <w:rFonts w:ascii="Times New Roman" w:hAnsi="Times New Roman"/>
                <w:noProof/>
                <w:color w:val="000000"/>
                <w:sz w:val="20"/>
              </w:rPr>
            </w:pPr>
            <w:r>
              <w:rPr>
                <w:rFonts w:ascii="Times New Roman" w:eastAsia="Times New Roman" w:hAnsi="Times New Roman" w:cs="Times New Roman"/>
                <w:noProof/>
                <w:color w:val="000000"/>
                <w:sz w:val="20"/>
              </w:rPr>
              <w:t>109 835 157</w:t>
            </w:r>
          </w:p>
        </w:tc>
        <w:tc>
          <w:tcPr>
            <w:tcW w:w="1363" w:type="dxa"/>
          </w:tcPr>
          <w:p w:rsidR="0057554D" w:rsidRDefault="00EE12D7">
            <w:pPr>
              <w:spacing w:after="0" w:line="240" w:lineRule="auto"/>
              <w:jc w:val="center"/>
              <w:rPr>
                <w:rFonts w:ascii="Times New Roman" w:hAnsi="Times New Roman"/>
                <w:noProof/>
                <w:color w:val="000000"/>
                <w:sz w:val="20"/>
              </w:rPr>
            </w:pPr>
            <w:r>
              <w:rPr>
                <w:rFonts w:ascii="Times New Roman" w:eastAsia="Times New Roman" w:hAnsi="Times New Roman" w:cs="Times New Roman"/>
                <w:noProof/>
                <w:color w:val="000000"/>
                <w:sz w:val="20"/>
              </w:rPr>
              <w:t>25,73 %</w:t>
            </w:r>
          </w:p>
        </w:tc>
      </w:tr>
      <w:tr w:rsidR="0057554D" w:rsidTr="0057554D">
        <w:trPr>
          <w:trHeight w:val="315"/>
        </w:trPr>
        <w:tc>
          <w:tcPr>
            <w:tcW w:w="5226" w:type="dxa"/>
          </w:tcPr>
          <w:p w:rsidR="0057554D" w:rsidRDefault="00EE12D7">
            <w:pPr>
              <w:spacing w:after="0" w:line="240" w:lineRule="auto"/>
              <w:rPr>
                <w:rFonts w:ascii="Times New Roman" w:hAnsi="Times New Roman"/>
                <w:noProof/>
                <w:color w:val="000000"/>
                <w:sz w:val="20"/>
              </w:rPr>
            </w:pPr>
            <w:r>
              <w:rPr>
                <w:rFonts w:ascii="Times New Roman" w:eastAsia="Times New Roman" w:hAnsi="Times New Roman" w:cs="Times New Roman"/>
                <w:noProof/>
                <w:color w:val="000000"/>
                <w:sz w:val="20"/>
              </w:rPr>
              <w:t>Syrjimättömyyden edistäminen</w:t>
            </w:r>
          </w:p>
        </w:tc>
        <w:tc>
          <w:tcPr>
            <w:tcW w:w="2483" w:type="dxa"/>
          </w:tcPr>
          <w:p w:rsidR="0057554D" w:rsidRDefault="00EE12D7">
            <w:pPr>
              <w:spacing w:after="0" w:line="240" w:lineRule="auto"/>
              <w:jc w:val="center"/>
              <w:rPr>
                <w:rFonts w:ascii="Times New Roman" w:hAnsi="Times New Roman"/>
                <w:noProof/>
                <w:color w:val="000000"/>
                <w:sz w:val="20"/>
              </w:rPr>
            </w:pPr>
            <w:r>
              <w:rPr>
                <w:rFonts w:ascii="Times New Roman" w:eastAsia="Times New Roman" w:hAnsi="Times New Roman" w:cs="Times New Roman"/>
                <w:noProof/>
                <w:color w:val="000000"/>
                <w:sz w:val="20"/>
              </w:rPr>
              <w:t>93 294 280</w:t>
            </w:r>
          </w:p>
        </w:tc>
        <w:tc>
          <w:tcPr>
            <w:tcW w:w="1363" w:type="dxa"/>
          </w:tcPr>
          <w:p w:rsidR="0057554D" w:rsidRDefault="00EE12D7">
            <w:pPr>
              <w:spacing w:after="0" w:line="240" w:lineRule="auto"/>
              <w:jc w:val="center"/>
              <w:rPr>
                <w:rFonts w:ascii="Times New Roman" w:hAnsi="Times New Roman"/>
                <w:noProof/>
                <w:color w:val="000000"/>
                <w:sz w:val="20"/>
              </w:rPr>
            </w:pPr>
            <w:r>
              <w:rPr>
                <w:rFonts w:ascii="Times New Roman" w:eastAsia="Times New Roman" w:hAnsi="Times New Roman" w:cs="Times New Roman"/>
                <w:noProof/>
                <w:color w:val="000000"/>
                <w:sz w:val="20"/>
              </w:rPr>
              <w:t>21,86 %</w:t>
            </w:r>
          </w:p>
        </w:tc>
      </w:tr>
      <w:tr w:rsidR="0057554D" w:rsidTr="0057554D">
        <w:trPr>
          <w:cnfStyle w:val="000000100000" w:firstRow="0" w:lastRow="0" w:firstColumn="0" w:lastColumn="0" w:oddVBand="0" w:evenVBand="0" w:oddHBand="1" w:evenHBand="0" w:firstRowFirstColumn="0" w:firstRowLastColumn="0" w:lastRowFirstColumn="0" w:lastRowLastColumn="0"/>
          <w:trHeight w:val="465"/>
        </w:trPr>
        <w:tc>
          <w:tcPr>
            <w:tcW w:w="5226" w:type="dxa"/>
          </w:tcPr>
          <w:p w:rsidR="0057554D" w:rsidRDefault="00EE12D7">
            <w:pPr>
              <w:spacing w:after="0" w:line="240" w:lineRule="auto"/>
              <w:rPr>
                <w:rFonts w:ascii="Times New Roman" w:hAnsi="Times New Roman"/>
                <w:noProof/>
                <w:color w:val="000000"/>
                <w:sz w:val="20"/>
              </w:rPr>
            </w:pPr>
            <w:r>
              <w:rPr>
                <w:rFonts w:ascii="Times New Roman" w:eastAsia="Times New Roman" w:hAnsi="Times New Roman" w:cs="Times New Roman"/>
                <w:noProof/>
                <w:color w:val="000000"/>
                <w:sz w:val="20"/>
              </w:rPr>
              <w:t>Rasismin, muukalaisvihan, homofobian ja muiden suvaitsemattomuuden muotojen ehkäiseminen ja torjuminen</w:t>
            </w:r>
          </w:p>
        </w:tc>
        <w:tc>
          <w:tcPr>
            <w:tcW w:w="2483" w:type="dxa"/>
          </w:tcPr>
          <w:p w:rsidR="0057554D" w:rsidRDefault="00EE12D7">
            <w:pPr>
              <w:spacing w:after="0" w:line="240" w:lineRule="auto"/>
              <w:jc w:val="center"/>
              <w:rPr>
                <w:rFonts w:ascii="Times New Roman" w:hAnsi="Times New Roman"/>
                <w:noProof/>
                <w:color w:val="000000"/>
                <w:sz w:val="20"/>
              </w:rPr>
            </w:pPr>
            <w:r>
              <w:rPr>
                <w:rFonts w:ascii="Times New Roman" w:eastAsia="Times New Roman" w:hAnsi="Times New Roman" w:cs="Times New Roman"/>
                <w:noProof/>
                <w:color w:val="000000"/>
                <w:sz w:val="20"/>
              </w:rPr>
              <w:t>56 321 000</w:t>
            </w:r>
          </w:p>
        </w:tc>
        <w:tc>
          <w:tcPr>
            <w:tcW w:w="1363" w:type="dxa"/>
          </w:tcPr>
          <w:p w:rsidR="0057554D" w:rsidRDefault="00EE12D7">
            <w:pPr>
              <w:spacing w:after="0" w:line="240" w:lineRule="auto"/>
              <w:jc w:val="center"/>
              <w:rPr>
                <w:rFonts w:ascii="Times New Roman" w:hAnsi="Times New Roman"/>
                <w:noProof/>
                <w:color w:val="000000"/>
                <w:sz w:val="20"/>
              </w:rPr>
            </w:pPr>
            <w:r>
              <w:rPr>
                <w:rFonts w:ascii="Times New Roman" w:eastAsia="Times New Roman" w:hAnsi="Times New Roman" w:cs="Times New Roman"/>
                <w:noProof/>
                <w:color w:val="000000"/>
                <w:sz w:val="20"/>
              </w:rPr>
              <w:t>13,20 %</w:t>
            </w:r>
          </w:p>
        </w:tc>
      </w:tr>
      <w:tr w:rsidR="0057554D" w:rsidTr="0057554D">
        <w:trPr>
          <w:trHeight w:val="315"/>
        </w:trPr>
        <w:tc>
          <w:tcPr>
            <w:tcW w:w="5226" w:type="dxa"/>
          </w:tcPr>
          <w:p w:rsidR="0057554D" w:rsidRDefault="00EE12D7">
            <w:pPr>
              <w:spacing w:after="0" w:line="240" w:lineRule="auto"/>
              <w:rPr>
                <w:rFonts w:ascii="Times New Roman" w:hAnsi="Times New Roman"/>
                <w:noProof/>
                <w:color w:val="000000"/>
                <w:sz w:val="20"/>
              </w:rPr>
            </w:pPr>
            <w:r>
              <w:rPr>
                <w:rFonts w:ascii="Times New Roman" w:eastAsia="Times New Roman" w:hAnsi="Times New Roman" w:cs="Times New Roman"/>
                <w:noProof/>
                <w:color w:val="000000"/>
                <w:sz w:val="20"/>
              </w:rPr>
              <w:t>Naisten ja miesten tasa-arvon ja sen valtavirtaistamisen edistäminen</w:t>
            </w:r>
          </w:p>
        </w:tc>
        <w:tc>
          <w:tcPr>
            <w:tcW w:w="2483" w:type="dxa"/>
          </w:tcPr>
          <w:p w:rsidR="0057554D" w:rsidRDefault="00EE12D7">
            <w:pPr>
              <w:spacing w:after="0" w:line="240" w:lineRule="auto"/>
              <w:jc w:val="center"/>
              <w:rPr>
                <w:rFonts w:ascii="Times New Roman" w:hAnsi="Times New Roman"/>
                <w:noProof/>
                <w:color w:val="000000"/>
                <w:sz w:val="20"/>
              </w:rPr>
            </w:pPr>
            <w:r>
              <w:rPr>
                <w:rFonts w:ascii="Times New Roman" w:eastAsia="Times New Roman" w:hAnsi="Times New Roman" w:cs="Times New Roman"/>
                <w:noProof/>
                <w:color w:val="000000"/>
                <w:sz w:val="20"/>
              </w:rPr>
              <w:t>50 066 000</w:t>
            </w:r>
          </w:p>
        </w:tc>
        <w:tc>
          <w:tcPr>
            <w:tcW w:w="1363" w:type="dxa"/>
          </w:tcPr>
          <w:p w:rsidR="0057554D" w:rsidRDefault="00EE12D7">
            <w:pPr>
              <w:spacing w:after="0" w:line="240" w:lineRule="auto"/>
              <w:jc w:val="center"/>
              <w:rPr>
                <w:rFonts w:ascii="Times New Roman" w:hAnsi="Times New Roman"/>
                <w:noProof/>
                <w:color w:val="000000"/>
                <w:sz w:val="20"/>
              </w:rPr>
            </w:pPr>
            <w:r>
              <w:rPr>
                <w:rFonts w:ascii="Times New Roman" w:eastAsia="Times New Roman" w:hAnsi="Times New Roman" w:cs="Times New Roman"/>
                <w:noProof/>
                <w:color w:val="000000"/>
                <w:sz w:val="20"/>
              </w:rPr>
              <w:t>11,73 %</w:t>
            </w:r>
          </w:p>
        </w:tc>
      </w:tr>
      <w:tr w:rsidR="0057554D" w:rsidTr="0057554D">
        <w:trPr>
          <w:cnfStyle w:val="000000100000" w:firstRow="0" w:lastRow="0" w:firstColumn="0" w:lastColumn="0" w:oddVBand="0" w:evenVBand="0" w:oddHBand="1" w:evenHBand="0" w:firstRowFirstColumn="0" w:firstRowLastColumn="0" w:lastRowFirstColumn="0" w:lastRowLastColumn="0"/>
          <w:trHeight w:val="315"/>
        </w:trPr>
        <w:tc>
          <w:tcPr>
            <w:tcW w:w="5226" w:type="dxa"/>
          </w:tcPr>
          <w:p w:rsidR="0057554D" w:rsidRDefault="00EE12D7">
            <w:pPr>
              <w:spacing w:after="0" w:line="240" w:lineRule="auto"/>
              <w:rPr>
                <w:rFonts w:ascii="Times New Roman" w:hAnsi="Times New Roman"/>
                <w:noProof/>
                <w:color w:val="000000"/>
                <w:sz w:val="20"/>
              </w:rPr>
            </w:pPr>
            <w:r>
              <w:rPr>
                <w:rFonts w:ascii="Times New Roman" w:eastAsia="Times New Roman" w:hAnsi="Times New Roman" w:cs="Times New Roman"/>
                <w:noProof/>
                <w:color w:val="000000"/>
                <w:sz w:val="20"/>
              </w:rPr>
              <w:t>Vammaisten henkilöiden oikeuksien edistäminen</w:t>
            </w:r>
          </w:p>
        </w:tc>
        <w:tc>
          <w:tcPr>
            <w:tcW w:w="2483" w:type="dxa"/>
          </w:tcPr>
          <w:p w:rsidR="0057554D" w:rsidRDefault="00EE12D7">
            <w:pPr>
              <w:spacing w:after="0" w:line="240" w:lineRule="auto"/>
              <w:jc w:val="center"/>
              <w:rPr>
                <w:rFonts w:ascii="Times New Roman" w:hAnsi="Times New Roman"/>
                <w:noProof/>
                <w:color w:val="000000"/>
                <w:sz w:val="20"/>
              </w:rPr>
            </w:pPr>
            <w:r>
              <w:rPr>
                <w:rFonts w:ascii="Times New Roman" w:eastAsia="Times New Roman" w:hAnsi="Times New Roman" w:cs="Times New Roman"/>
                <w:noProof/>
                <w:color w:val="000000"/>
                <w:sz w:val="20"/>
              </w:rPr>
              <w:t>44 034 000</w:t>
            </w:r>
          </w:p>
        </w:tc>
        <w:tc>
          <w:tcPr>
            <w:tcW w:w="1363" w:type="dxa"/>
          </w:tcPr>
          <w:p w:rsidR="0057554D" w:rsidRDefault="00EE12D7">
            <w:pPr>
              <w:spacing w:after="0" w:line="240" w:lineRule="auto"/>
              <w:jc w:val="center"/>
              <w:rPr>
                <w:rFonts w:ascii="Times New Roman" w:hAnsi="Times New Roman"/>
                <w:noProof/>
                <w:color w:val="000000"/>
                <w:sz w:val="20"/>
              </w:rPr>
            </w:pPr>
            <w:r>
              <w:rPr>
                <w:rFonts w:ascii="Times New Roman" w:eastAsia="Times New Roman" w:hAnsi="Times New Roman" w:cs="Times New Roman"/>
                <w:noProof/>
                <w:color w:val="000000"/>
                <w:sz w:val="20"/>
              </w:rPr>
              <w:t>10,32 %</w:t>
            </w:r>
          </w:p>
        </w:tc>
      </w:tr>
      <w:tr w:rsidR="0057554D" w:rsidTr="0057554D">
        <w:trPr>
          <w:trHeight w:val="315"/>
        </w:trPr>
        <w:tc>
          <w:tcPr>
            <w:tcW w:w="5226" w:type="dxa"/>
          </w:tcPr>
          <w:p w:rsidR="0057554D" w:rsidRDefault="00EE12D7">
            <w:pPr>
              <w:spacing w:after="0" w:line="240" w:lineRule="auto"/>
              <w:rPr>
                <w:rFonts w:ascii="Times New Roman" w:hAnsi="Times New Roman"/>
                <w:noProof/>
                <w:color w:val="000000"/>
                <w:sz w:val="20"/>
              </w:rPr>
            </w:pPr>
            <w:r>
              <w:rPr>
                <w:rFonts w:ascii="Times New Roman" w:eastAsia="Times New Roman" w:hAnsi="Times New Roman" w:cs="Times New Roman"/>
                <w:noProof/>
                <w:color w:val="000000"/>
                <w:sz w:val="20"/>
              </w:rPr>
              <w:t>Lasten oikeuksien edistäminen</w:t>
            </w:r>
          </w:p>
        </w:tc>
        <w:tc>
          <w:tcPr>
            <w:tcW w:w="2483" w:type="dxa"/>
          </w:tcPr>
          <w:p w:rsidR="0057554D" w:rsidRDefault="00EE12D7">
            <w:pPr>
              <w:spacing w:after="0" w:line="240" w:lineRule="auto"/>
              <w:jc w:val="center"/>
              <w:rPr>
                <w:rFonts w:ascii="Times New Roman" w:hAnsi="Times New Roman"/>
                <w:noProof/>
                <w:color w:val="000000"/>
                <w:sz w:val="20"/>
              </w:rPr>
            </w:pPr>
            <w:r>
              <w:rPr>
                <w:rFonts w:ascii="Times New Roman" w:eastAsia="Times New Roman" w:hAnsi="Times New Roman" w:cs="Times New Roman"/>
                <w:noProof/>
                <w:color w:val="000000"/>
                <w:sz w:val="20"/>
              </w:rPr>
              <w:t>31 740 200</w:t>
            </w:r>
          </w:p>
        </w:tc>
        <w:tc>
          <w:tcPr>
            <w:tcW w:w="1363" w:type="dxa"/>
          </w:tcPr>
          <w:p w:rsidR="0057554D" w:rsidRDefault="00EE12D7">
            <w:pPr>
              <w:spacing w:after="0" w:line="240" w:lineRule="auto"/>
              <w:jc w:val="center"/>
              <w:rPr>
                <w:rFonts w:ascii="Times New Roman" w:hAnsi="Times New Roman"/>
                <w:noProof/>
                <w:color w:val="000000"/>
                <w:sz w:val="20"/>
              </w:rPr>
            </w:pPr>
            <w:r>
              <w:rPr>
                <w:rFonts w:ascii="Times New Roman" w:eastAsia="Times New Roman" w:hAnsi="Times New Roman" w:cs="Times New Roman"/>
                <w:noProof/>
                <w:color w:val="000000"/>
                <w:sz w:val="20"/>
              </w:rPr>
              <w:t>7,44 %</w:t>
            </w:r>
          </w:p>
        </w:tc>
      </w:tr>
      <w:tr w:rsidR="0057554D" w:rsidTr="0057554D">
        <w:trPr>
          <w:cnfStyle w:val="000000100000" w:firstRow="0" w:lastRow="0" w:firstColumn="0" w:lastColumn="0" w:oddVBand="0" w:evenVBand="0" w:oddHBand="1" w:evenHBand="0" w:firstRowFirstColumn="0" w:firstRowLastColumn="0" w:lastRowFirstColumn="0" w:lastRowLastColumn="0"/>
          <w:trHeight w:val="315"/>
        </w:trPr>
        <w:tc>
          <w:tcPr>
            <w:tcW w:w="5226" w:type="dxa"/>
          </w:tcPr>
          <w:p w:rsidR="0057554D" w:rsidRDefault="00EE12D7">
            <w:pPr>
              <w:spacing w:after="0" w:line="240" w:lineRule="auto"/>
              <w:rPr>
                <w:rFonts w:ascii="Times New Roman" w:hAnsi="Times New Roman"/>
                <w:noProof/>
                <w:color w:val="000000"/>
                <w:sz w:val="20"/>
              </w:rPr>
            </w:pPr>
            <w:r>
              <w:rPr>
                <w:rFonts w:ascii="Times New Roman" w:eastAsia="Times New Roman" w:hAnsi="Times New Roman" w:cs="Times New Roman"/>
                <w:noProof/>
                <w:color w:val="000000"/>
                <w:sz w:val="20"/>
              </w:rPr>
              <w:t>EU:n kansalaisuuteen perustuvien oikeuksien käytön edistäminen</w:t>
            </w:r>
          </w:p>
        </w:tc>
        <w:tc>
          <w:tcPr>
            <w:tcW w:w="2483" w:type="dxa"/>
          </w:tcPr>
          <w:p w:rsidR="0057554D" w:rsidRDefault="00EE12D7">
            <w:pPr>
              <w:spacing w:after="0" w:line="240" w:lineRule="auto"/>
              <w:jc w:val="center"/>
              <w:rPr>
                <w:rFonts w:ascii="Times New Roman" w:hAnsi="Times New Roman"/>
                <w:noProof/>
                <w:color w:val="000000"/>
                <w:sz w:val="20"/>
              </w:rPr>
            </w:pPr>
            <w:r>
              <w:rPr>
                <w:rFonts w:ascii="Times New Roman" w:eastAsia="Times New Roman" w:hAnsi="Times New Roman" w:cs="Times New Roman"/>
                <w:noProof/>
                <w:color w:val="000000"/>
                <w:sz w:val="20"/>
              </w:rPr>
              <w:t>19 571 000</w:t>
            </w:r>
          </w:p>
        </w:tc>
        <w:tc>
          <w:tcPr>
            <w:tcW w:w="1363" w:type="dxa"/>
          </w:tcPr>
          <w:p w:rsidR="0057554D" w:rsidRDefault="00EE12D7">
            <w:pPr>
              <w:spacing w:after="0" w:line="240" w:lineRule="auto"/>
              <w:jc w:val="center"/>
              <w:rPr>
                <w:rFonts w:ascii="Times New Roman" w:hAnsi="Times New Roman"/>
                <w:noProof/>
                <w:color w:val="000000"/>
                <w:sz w:val="20"/>
              </w:rPr>
            </w:pPr>
            <w:r>
              <w:rPr>
                <w:rFonts w:ascii="Times New Roman" w:eastAsia="Times New Roman" w:hAnsi="Times New Roman" w:cs="Times New Roman"/>
                <w:noProof/>
                <w:color w:val="000000"/>
                <w:sz w:val="20"/>
              </w:rPr>
              <w:t>4,59 %</w:t>
            </w:r>
          </w:p>
        </w:tc>
      </w:tr>
      <w:tr w:rsidR="0057554D" w:rsidTr="0057554D">
        <w:trPr>
          <w:trHeight w:val="315"/>
        </w:trPr>
        <w:tc>
          <w:tcPr>
            <w:tcW w:w="5226" w:type="dxa"/>
          </w:tcPr>
          <w:p w:rsidR="0057554D" w:rsidRDefault="00EE12D7">
            <w:pPr>
              <w:spacing w:after="0" w:line="240" w:lineRule="auto"/>
              <w:rPr>
                <w:rFonts w:ascii="Times New Roman" w:hAnsi="Times New Roman"/>
                <w:noProof/>
                <w:color w:val="000000"/>
                <w:sz w:val="20"/>
              </w:rPr>
            </w:pPr>
            <w:r>
              <w:rPr>
                <w:rFonts w:ascii="Times New Roman" w:eastAsia="Times New Roman" w:hAnsi="Times New Roman" w:cs="Times New Roman"/>
                <w:noProof/>
                <w:color w:val="000000"/>
                <w:sz w:val="20"/>
              </w:rPr>
              <w:t>Tietosuojan mahdollisimman korkean tason varmistaminen</w:t>
            </w:r>
          </w:p>
        </w:tc>
        <w:tc>
          <w:tcPr>
            <w:tcW w:w="2483" w:type="dxa"/>
          </w:tcPr>
          <w:p w:rsidR="0057554D" w:rsidRDefault="00EE12D7">
            <w:pPr>
              <w:spacing w:after="0" w:line="240" w:lineRule="auto"/>
              <w:jc w:val="center"/>
              <w:rPr>
                <w:rFonts w:ascii="Times New Roman" w:hAnsi="Times New Roman"/>
                <w:noProof/>
                <w:color w:val="000000"/>
                <w:sz w:val="20"/>
              </w:rPr>
            </w:pPr>
            <w:r>
              <w:rPr>
                <w:rFonts w:ascii="Times New Roman" w:eastAsia="Times New Roman" w:hAnsi="Times New Roman" w:cs="Times New Roman"/>
                <w:noProof/>
                <w:color w:val="000000"/>
                <w:sz w:val="20"/>
              </w:rPr>
              <w:t>11 783 000</w:t>
            </w:r>
          </w:p>
        </w:tc>
        <w:tc>
          <w:tcPr>
            <w:tcW w:w="1363" w:type="dxa"/>
          </w:tcPr>
          <w:p w:rsidR="0057554D" w:rsidRDefault="00EE12D7">
            <w:pPr>
              <w:spacing w:after="0" w:line="240" w:lineRule="auto"/>
              <w:jc w:val="center"/>
              <w:rPr>
                <w:rFonts w:ascii="Times New Roman" w:hAnsi="Times New Roman"/>
                <w:noProof/>
                <w:color w:val="000000"/>
                <w:sz w:val="20"/>
              </w:rPr>
            </w:pPr>
            <w:r>
              <w:rPr>
                <w:rFonts w:ascii="Times New Roman" w:eastAsia="Times New Roman" w:hAnsi="Times New Roman" w:cs="Times New Roman"/>
                <w:noProof/>
                <w:color w:val="000000"/>
                <w:sz w:val="20"/>
              </w:rPr>
              <w:t>2,76 %</w:t>
            </w:r>
          </w:p>
        </w:tc>
      </w:tr>
      <w:tr w:rsidR="0057554D" w:rsidTr="0057554D">
        <w:trPr>
          <w:cnfStyle w:val="000000100000" w:firstRow="0" w:lastRow="0" w:firstColumn="0" w:lastColumn="0" w:oddVBand="0" w:evenVBand="0" w:oddHBand="1" w:evenHBand="0" w:firstRowFirstColumn="0" w:firstRowLastColumn="0" w:lastRowFirstColumn="0" w:lastRowLastColumn="0"/>
          <w:trHeight w:val="315"/>
        </w:trPr>
        <w:tc>
          <w:tcPr>
            <w:tcW w:w="5226" w:type="dxa"/>
          </w:tcPr>
          <w:p w:rsidR="0057554D" w:rsidRDefault="00EE12D7">
            <w:pPr>
              <w:spacing w:after="0" w:line="240" w:lineRule="auto"/>
              <w:rPr>
                <w:rFonts w:ascii="Times New Roman" w:hAnsi="Times New Roman"/>
                <w:noProof/>
                <w:color w:val="000000"/>
                <w:sz w:val="20"/>
              </w:rPr>
            </w:pPr>
            <w:r>
              <w:rPr>
                <w:rFonts w:ascii="Times New Roman" w:eastAsia="Times New Roman" w:hAnsi="Times New Roman" w:cs="Times New Roman"/>
                <w:noProof/>
                <w:color w:val="000000"/>
                <w:sz w:val="20"/>
              </w:rPr>
              <w:t>Kuluttajien oikeuksien toteutuminen</w:t>
            </w:r>
          </w:p>
        </w:tc>
        <w:tc>
          <w:tcPr>
            <w:tcW w:w="2483" w:type="dxa"/>
          </w:tcPr>
          <w:p w:rsidR="0057554D" w:rsidRDefault="00EE12D7">
            <w:pPr>
              <w:spacing w:after="0" w:line="240" w:lineRule="auto"/>
              <w:jc w:val="center"/>
              <w:rPr>
                <w:rFonts w:ascii="Times New Roman" w:hAnsi="Times New Roman"/>
                <w:noProof/>
                <w:color w:val="000000"/>
                <w:sz w:val="20"/>
              </w:rPr>
            </w:pPr>
            <w:r>
              <w:rPr>
                <w:rFonts w:ascii="Times New Roman" w:eastAsia="Times New Roman" w:hAnsi="Times New Roman" w:cs="Times New Roman"/>
                <w:noProof/>
                <w:color w:val="000000"/>
                <w:sz w:val="20"/>
              </w:rPr>
              <w:t>10 170 000</w:t>
            </w:r>
          </w:p>
        </w:tc>
        <w:tc>
          <w:tcPr>
            <w:tcW w:w="1363" w:type="dxa"/>
          </w:tcPr>
          <w:p w:rsidR="0057554D" w:rsidRDefault="00EE12D7">
            <w:pPr>
              <w:spacing w:after="0" w:line="240" w:lineRule="auto"/>
              <w:jc w:val="center"/>
              <w:rPr>
                <w:rFonts w:ascii="Times New Roman" w:hAnsi="Times New Roman"/>
                <w:noProof/>
                <w:color w:val="000000"/>
                <w:sz w:val="20"/>
              </w:rPr>
            </w:pPr>
            <w:r>
              <w:rPr>
                <w:rFonts w:ascii="Times New Roman" w:eastAsia="Times New Roman" w:hAnsi="Times New Roman" w:cs="Times New Roman"/>
                <w:noProof/>
                <w:color w:val="000000"/>
                <w:sz w:val="20"/>
              </w:rPr>
              <w:t>2,38 %</w:t>
            </w:r>
          </w:p>
        </w:tc>
      </w:tr>
      <w:tr w:rsidR="0057554D" w:rsidTr="0057554D">
        <w:trPr>
          <w:trHeight w:val="315"/>
        </w:trPr>
        <w:tc>
          <w:tcPr>
            <w:tcW w:w="5226" w:type="dxa"/>
          </w:tcPr>
          <w:p w:rsidR="0057554D" w:rsidRDefault="00EE12D7">
            <w:pPr>
              <w:spacing w:after="0" w:line="240" w:lineRule="auto"/>
              <w:rPr>
                <w:rFonts w:ascii="Times New Roman" w:hAnsi="Times New Roman"/>
                <w:b/>
                <w:noProof/>
                <w:color w:val="000000"/>
                <w:sz w:val="20"/>
              </w:rPr>
            </w:pPr>
            <w:r>
              <w:rPr>
                <w:rFonts w:ascii="Times New Roman" w:eastAsia="Times New Roman" w:hAnsi="Times New Roman" w:cs="Times New Roman"/>
                <w:b/>
                <w:noProof/>
                <w:color w:val="000000"/>
                <w:sz w:val="20"/>
              </w:rPr>
              <w:t>Yhteensä</w:t>
            </w:r>
          </w:p>
        </w:tc>
        <w:tc>
          <w:tcPr>
            <w:tcW w:w="2483" w:type="dxa"/>
          </w:tcPr>
          <w:p w:rsidR="0057554D" w:rsidRDefault="00EE12D7">
            <w:pPr>
              <w:spacing w:after="0" w:line="240" w:lineRule="auto"/>
              <w:jc w:val="center"/>
              <w:rPr>
                <w:rFonts w:ascii="Times New Roman" w:hAnsi="Times New Roman"/>
                <w:b/>
                <w:noProof/>
                <w:color w:val="000000"/>
                <w:sz w:val="20"/>
              </w:rPr>
            </w:pPr>
            <w:r>
              <w:rPr>
                <w:rFonts w:ascii="Times New Roman" w:eastAsia="Times New Roman" w:hAnsi="Times New Roman" w:cs="Times New Roman"/>
                <w:b/>
                <w:noProof/>
                <w:color w:val="000000"/>
                <w:sz w:val="20"/>
              </w:rPr>
              <w:t>426 814 637</w:t>
            </w:r>
          </w:p>
        </w:tc>
        <w:tc>
          <w:tcPr>
            <w:tcW w:w="1363" w:type="dxa"/>
          </w:tcPr>
          <w:p w:rsidR="0057554D" w:rsidRDefault="00EE12D7">
            <w:pPr>
              <w:spacing w:after="0" w:line="240" w:lineRule="auto"/>
              <w:jc w:val="center"/>
              <w:rPr>
                <w:rFonts w:ascii="Times New Roman" w:hAnsi="Times New Roman"/>
                <w:b/>
                <w:noProof/>
                <w:color w:val="000000"/>
                <w:sz w:val="20"/>
              </w:rPr>
            </w:pPr>
            <w:r>
              <w:rPr>
                <w:rFonts w:ascii="Times New Roman" w:eastAsia="Times New Roman" w:hAnsi="Times New Roman" w:cs="Times New Roman"/>
                <w:b/>
                <w:noProof/>
                <w:color w:val="000000"/>
                <w:sz w:val="20"/>
              </w:rPr>
              <w:t>100 %</w:t>
            </w:r>
          </w:p>
        </w:tc>
      </w:tr>
    </w:tbl>
    <w:p w:rsidR="0057554D" w:rsidRDefault="00EE12D7">
      <w:pPr>
        <w:pStyle w:val="Body"/>
        <w:jc w:val="left"/>
        <w:rPr>
          <w:rFonts w:ascii="Times New Roman" w:hAnsi="Times New Roman"/>
          <w:i/>
          <w:noProof/>
          <w:sz w:val="18"/>
          <w:szCs w:val="18"/>
        </w:rPr>
      </w:pPr>
      <w:r>
        <w:rPr>
          <w:rFonts w:ascii="Times New Roman" w:hAnsi="Times New Roman"/>
          <w:i/>
          <w:noProof/>
          <w:sz w:val="18"/>
        </w:rPr>
        <w:t>Lähde:</w:t>
      </w:r>
      <w:r>
        <w:rPr>
          <w:noProof/>
        </w:rPr>
        <w:t xml:space="preserve"> </w:t>
      </w:r>
      <w:r>
        <w:rPr>
          <w:rFonts w:ascii="Times New Roman" w:hAnsi="Times New Roman"/>
          <w:i/>
          <w:noProof/>
          <w:sz w:val="18"/>
        </w:rPr>
        <w:t xml:space="preserve">Vuotuiset työohjelmat 2014–2020 </w:t>
      </w:r>
    </w:p>
    <w:p w:rsidR="0057554D" w:rsidRDefault="00EE12D7">
      <w:pPr>
        <w:pStyle w:val="ListParagraph"/>
        <w:keepNext/>
        <w:numPr>
          <w:ilvl w:val="1"/>
          <w:numId w:val="4"/>
        </w:numPr>
        <w:tabs>
          <w:tab w:val="left" w:pos="850"/>
        </w:tabs>
        <w:spacing w:before="240" w:after="240" w:line="240" w:lineRule="auto"/>
        <w:ind w:left="788" w:hanging="431"/>
        <w:jc w:val="both"/>
        <w:outlineLvl w:val="0"/>
        <w:rPr>
          <w:rFonts w:ascii="Times New Roman Bold" w:eastAsia="Times New Roman" w:hAnsi="Times New Roman Bold" w:cs="Times New Roman"/>
          <w:b/>
          <w:noProof/>
          <w:sz w:val="24"/>
          <w:szCs w:val="24"/>
        </w:rPr>
      </w:pPr>
      <w:r>
        <w:rPr>
          <w:rFonts w:ascii="Times New Roman Bold" w:hAnsi="Times New Roman Bold"/>
          <w:b/>
          <w:noProof/>
          <w:sz w:val="24"/>
        </w:rPr>
        <w:t>Täytäntöönpano</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Kaudelle 2014–2020 suunniteltiin yhteensä </w:t>
      </w:r>
      <w:r>
        <w:rPr>
          <w:rFonts w:ascii="Times New Roman" w:hAnsi="Times New Roman"/>
          <w:b/>
          <w:noProof/>
          <w:sz w:val="24"/>
        </w:rPr>
        <w:t>81 ehdotuspyyntöä</w:t>
      </w:r>
      <w:r>
        <w:rPr>
          <w:rFonts w:ascii="Times New Roman" w:hAnsi="Times New Roman"/>
          <w:noProof/>
          <w:sz w:val="24"/>
        </w:rPr>
        <w:t xml:space="preserve">. Suurimman osan näistä ehdotuspyynnöistä kattoi erityistavoite ”väkivallan ehkäiseminen (Daphne)”, johon sisältyi 18 ehdotuspyyntöä. Koska kuluttajien oikeuksia koskevaa erityistavoitetta rahoitettiin ainoastaan hankintatoimilla, siihen liittyviä ehdotuspyyntöjä ei ollut. Kaikkiaan ohjelman keston aikana myönnettiin </w:t>
      </w:r>
      <w:r>
        <w:rPr>
          <w:rFonts w:ascii="Times New Roman" w:hAnsi="Times New Roman"/>
          <w:b/>
          <w:noProof/>
          <w:sz w:val="24"/>
        </w:rPr>
        <w:t>942 toimikohtaista avustusta ja toiminta-avustusta</w:t>
      </w:r>
      <w:r>
        <w:rPr>
          <w:rFonts w:ascii="Times New Roman" w:hAnsi="Times New Roman"/>
          <w:noProof/>
          <w:sz w:val="24"/>
        </w:rPr>
        <w:t>.</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Suurin osa perusoikeus-, tasa-arvo- ja kansalaisuusohjelman hankkeista vuosina 2016–2020 rahoitetuista toimista voidaan luokitella koulutustoimiksi (35 prosenttia).</w:t>
      </w:r>
    </w:p>
    <w:p w:rsidR="0057554D" w:rsidRDefault="00EE12D7">
      <w:pPr>
        <w:spacing w:before="240" w:after="120"/>
        <w:jc w:val="both"/>
        <w:rPr>
          <w:rFonts w:ascii="Times New Roman" w:hAnsi="Times New Roman" w:cs="Times New Roman"/>
          <w:b/>
          <w:noProof/>
          <w:color w:val="000000" w:themeColor="text1"/>
          <w:sz w:val="24"/>
          <w:szCs w:val="24"/>
        </w:rPr>
      </w:pPr>
      <w:bookmarkStart w:id="6" w:name="_Ref78648184"/>
      <w:bookmarkStart w:id="7" w:name="_Toc82630637"/>
      <w:bookmarkStart w:id="8" w:name="_Ref80289639"/>
      <w:bookmarkStart w:id="9" w:name="_Ref80289609"/>
      <w:r>
        <w:rPr>
          <w:rFonts w:ascii="Times New Roman" w:hAnsi="Times New Roman"/>
          <w:b/>
          <w:noProof/>
          <w:color w:val="000000" w:themeColor="text1"/>
          <w:sz w:val="24"/>
        </w:rPr>
        <w:t>Kuva </w:t>
      </w:r>
      <w:bookmarkEnd w:id="6"/>
      <w:r>
        <w:rPr>
          <w:rFonts w:ascii="Times New Roman" w:hAnsi="Times New Roman"/>
          <w:b/>
          <w:noProof/>
          <w:color w:val="000000" w:themeColor="text1"/>
          <w:sz w:val="24"/>
        </w:rPr>
        <w:t>1. Rahoitetut toimet vuosittain (2016–2020)</w:t>
      </w:r>
      <w:bookmarkEnd w:id="7"/>
      <w:bookmarkEnd w:id="8"/>
      <w:bookmarkEnd w:id="9"/>
      <w:r>
        <w:rPr>
          <w:rStyle w:val="FootnoteAnchor"/>
          <w:noProof/>
          <w:color w:val="000000" w:themeColor="text1"/>
        </w:rPr>
        <w:footnoteReference w:id="4"/>
      </w:r>
    </w:p>
    <w:p w:rsidR="00F97F8D" w:rsidRPr="00F82F2A" w:rsidRDefault="00F97F8D" w:rsidP="00F97F8D">
      <w:pPr>
        <w:spacing w:after="0"/>
        <w:rPr>
          <w:rFonts w:ascii="Verdana" w:hAnsi="Verdana"/>
          <w:noProof/>
          <w:sz w:val="20"/>
        </w:rPr>
      </w:pPr>
      <w:r w:rsidRPr="00F82F2A">
        <w:rPr>
          <w:noProof/>
          <w:lang w:val="en-GB" w:eastAsia="en-GB" w:bidi="ar-SA"/>
        </w:rPr>
        <w:drawing>
          <wp:inline distT="0" distB="0" distL="0" distR="0" wp14:anchorId="104BAA39" wp14:editId="41CE02F5">
            <wp:extent cx="5717097" cy="2709556"/>
            <wp:effectExtent l="0" t="0" r="17145" b="14605"/>
            <wp:docPr id="113" name="Chart 113">
              <a:extLst xmlns:a="http://schemas.openxmlformats.org/drawingml/2006/main">
                <a:ext uri="{FF2B5EF4-FFF2-40B4-BE49-F238E27FC236}">
                  <a16:creationId xmlns:a16="http://schemas.microsoft.com/office/drawing/2014/main" id="{2510D4E5-1FB0-45D8-BE87-C1F92CCFB4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57554D" w:rsidRDefault="0057554D">
      <w:pPr>
        <w:spacing w:after="0"/>
        <w:rPr>
          <w:rFonts w:ascii="Verdana" w:hAnsi="Verdana"/>
          <w:noProof/>
          <w:sz w:val="20"/>
        </w:rPr>
      </w:pPr>
    </w:p>
    <w:p w:rsidR="0057554D" w:rsidRDefault="00EE12D7">
      <w:pPr>
        <w:pStyle w:val="Body"/>
        <w:jc w:val="left"/>
        <w:rPr>
          <w:rFonts w:ascii="Times New Roman" w:hAnsi="Times New Roman"/>
          <w:i/>
          <w:noProof/>
          <w:sz w:val="18"/>
          <w:szCs w:val="18"/>
        </w:rPr>
      </w:pPr>
      <w:r>
        <w:rPr>
          <w:rFonts w:ascii="Times New Roman" w:hAnsi="Times New Roman"/>
          <w:i/>
          <w:noProof/>
          <w:sz w:val="18"/>
        </w:rPr>
        <w:t>Huomautus: Pystyakseli osoittaa toimintojen lukumäärää. Hankkeet voidaan kohdentaa useampaan kuin yhteen toimintotyyppiin. Ennen sähköisten avustusten käyttöönottoa vuonna 2016 tiedot olivat eri muodossa, eikä niitä voitu käyttää tässä analyysissä.</w:t>
      </w:r>
    </w:p>
    <w:p w:rsidR="0057554D" w:rsidRDefault="00EE12D7">
      <w:pPr>
        <w:pStyle w:val="Body"/>
        <w:jc w:val="left"/>
        <w:rPr>
          <w:rFonts w:ascii="Times New Roman" w:hAnsi="Times New Roman"/>
          <w:i/>
          <w:noProof/>
          <w:sz w:val="18"/>
          <w:szCs w:val="18"/>
        </w:rPr>
      </w:pPr>
      <w:r>
        <w:rPr>
          <w:rFonts w:ascii="Times New Roman" w:hAnsi="Times New Roman"/>
          <w:i/>
          <w:noProof/>
          <w:sz w:val="18"/>
        </w:rPr>
        <w:t>Lähde: Oikeusasioiden pääosaston hankeasiakirjat (toimikohtaiset avustukset ja toiminta-avustukset).</w:t>
      </w:r>
    </w:p>
    <w:p w:rsidR="0057554D" w:rsidRDefault="0057554D">
      <w:pPr>
        <w:spacing w:after="0" w:line="240" w:lineRule="auto"/>
        <w:jc w:val="both"/>
        <w:rPr>
          <w:rFonts w:ascii="Times New Roman" w:hAnsi="Times New Roman" w:cs="Times New Roman"/>
          <w:noProof/>
          <w:sz w:val="24"/>
          <w:szCs w:val="24"/>
        </w:rPr>
      </w:pPr>
    </w:p>
    <w:p w:rsidR="0057554D" w:rsidRDefault="00EE12D7">
      <w:pPr>
        <w:spacing w:before="120"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Vuosina 2016–2020 suurin osa tuensaajista oli voittoa tavoittelemattomia järjestöjä (57 prosenttia)</w:t>
      </w:r>
      <w:r>
        <w:rPr>
          <w:rStyle w:val="FootnoteAnchor"/>
          <w:rFonts w:ascii="Times New Roman" w:hAnsi="Times New Roman"/>
          <w:noProof/>
          <w:color w:val="000000" w:themeColor="text1"/>
          <w:sz w:val="24"/>
        </w:rPr>
        <w:footnoteReference w:id="5"/>
      </w:r>
      <w:r>
        <w:rPr>
          <w:rFonts w:ascii="Times New Roman" w:hAnsi="Times New Roman"/>
          <w:noProof/>
          <w:color w:val="000000" w:themeColor="text1"/>
          <w:sz w:val="24"/>
        </w:rPr>
        <w:t>.</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Hankinnat olivat useille erityistavoitteille tärkeä rahoitusmekanismi. Koko kauden aikana tehtiin yhteensä </w:t>
      </w:r>
      <w:r>
        <w:rPr>
          <w:rFonts w:ascii="Times New Roman" w:hAnsi="Times New Roman"/>
          <w:b/>
          <w:noProof/>
          <w:sz w:val="24"/>
        </w:rPr>
        <w:t>345 sopimusta</w:t>
      </w:r>
      <w:r>
        <w:rPr>
          <w:rFonts w:ascii="Times New Roman" w:hAnsi="Times New Roman"/>
          <w:noProof/>
          <w:sz w:val="24"/>
        </w:rPr>
        <w:t xml:space="preserve">. Tätä rahoitusvaihtoehtoa käytettiin eniten rasismin ja muiden suvaitsemattomuuden muotojen ehkäisyä koskevaan erityistavoitteeseen. Sitä koskevia hankintasopimuksia tehtiin kauden aikana 112.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Hankintasopimuksiin ja -palveluihin osoitettiin yhteensä noin </w:t>
      </w:r>
      <w:r>
        <w:rPr>
          <w:rFonts w:ascii="Times New Roman" w:hAnsi="Times New Roman"/>
          <w:b/>
          <w:noProof/>
          <w:sz w:val="24"/>
        </w:rPr>
        <w:t>81 miljoonaa euroa</w:t>
      </w:r>
      <w:r>
        <w:rPr>
          <w:rFonts w:ascii="Times New Roman" w:hAnsi="Times New Roman"/>
          <w:noProof/>
          <w:sz w:val="24"/>
        </w:rPr>
        <w:t>. Yleisin hankintatyyppi oli analyysi- ja seurantatoimet.</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Kerättyjen tietojen mukaan vuosina 2014–2015 eniten tukea saivat nuoret (myös lapset) ja seuraavaksi eniten naiset ja opiskelijat. Vuosina 2016–2020 kohderyhmät jaoteltiin tarkemmin, ja eniten tukea kohdennettiin ammattilaisiin. Heidän jälkeensä suurimmat tuensaajaryhmät olivat naiset ja lapset. Muita merkittäviä ryhmiä ovat EU:n kansalaiset, nuoret ja yhteisöt.</w:t>
      </w:r>
    </w:p>
    <w:p w:rsidR="0057554D" w:rsidRDefault="00EE12D7">
      <w:pPr>
        <w:pStyle w:val="ListParagraph"/>
        <w:keepNext/>
        <w:numPr>
          <w:ilvl w:val="1"/>
          <w:numId w:val="4"/>
        </w:numPr>
        <w:tabs>
          <w:tab w:val="left" w:pos="850"/>
        </w:tabs>
        <w:spacing w:before="240" w:after="240" w:line="240" w:lineRule="auto"/>
        <w:ind w:left="788" w:hanging="431"/>
        <w:jc w:val="both"/>
        <w:outlineLvl w:val="0"/>
        <w:rPr>
          <w:rStyle w:val="Heading1Char"/>
          <w:rFonts w:ascii="Times New Roman" w:hAnsi="Times New Roman" w:cs="Times New Roman"/>
          <w:noProof/>
          <w:color w:val="auto"/>
          <w:sz w:val="24"/>
          <w:szCs w:val="24"/>
        </w:rPr>
      </w:pPr>
      <w:r>
        <w:rPr>
          <w:rStyle w:val="Heading1Char"/>
          <w:rFonts w:ascii="Times New Roman" w:hAnsi="Times New Roman"/>
          <w:noProof/>
          <w:color w:val="auto"/>
          <w:sz w:val="24"/>
        </w:rPr>
        <w:t>Ohjelman tärkeimmät saavutukset</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Perusoikeus-, tasa-arvo- ja kansalaisuusohjelmaan sovellettavan indikaattorijärjestelmän käyttöönotto auttoi ohjelman saavutusten mittaamisessa. Perusoikeus-, tasa-arvo- ja kansalaisuusohjelman perustamista koskevan asetuksen 14 artiklassa luetellaan indikaattorit, joita käytetään seurannan ja arvioinnin perustana.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Hankeraporteista kerätyt tiedot osoittavat, että vuosina 2016–2020 vähintään </w:t>
      </w:r>
      <w:r>
        <w:rPr>
          <w:rFonts w:ascii="Times New Roman" w:hAnsi="Times New Roman"/>
          <w:b/>
          <w:noProof/>
          <w:sz w:val="24"/>
        </w:rPr>
        <w:t>80 miljoonaa ihmistä</w:t>
      </w:r>
      <w:r>
        <w:rPr>
          <w:rFonts w:ascii="Times New Roman" w:hAnsi="Times New Roman"/>
          <w:noProof/>
          <w:sz w:val="24"/>
        </w:rPr>
        <w:t xml:space="preserve"> saavutettiin tiedotus- ja tiedonlevittämiskampanjoilla tai he osallistuivat valistustapahtumiin. Luku sisältää erilaisia kohderyhmiä, joista suurin on suuri yleisö (noin 46 miljoonaa); sen jälkeen tulevat EU:n kansalaiset (noin 19 miljoonaa); naiset (noin 4 miljoonaa); tiedeyhteisö, kansalaisyhteiskunta, poliittiset päättäjät ja tiedotusvälineet (noin 3 miljoonaa); HLBT-yhteisöön kuuluvat henkilöt (noin miljoona) sekä liike-elämää/yrityksiä edustavat henkilöt (noin miljoona).</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Lisäksi </w:t>
      </w:r>
      <w:r>
        <w:rPr>
          <w:rFonts w:ascii="Times New Roman" w:hAnsi="Times New Roman"/>
          <w:b/>
          <w:noProof/>
          <w:sz w:val="24"/>
        </w:rPr>
        <w:t>noin 85 000 henkilöä</w:t>
      </w:r>
      <w:r>
        <w:rPr>
          <w:rFonts w:ascii="Times New Roman" w:hAnsi="Times New Roman"/>
          <w:noProof/>
          <w:sz w:val="24"/>
        </w:rPr>
        <w:t xml:space="preserve"> osallistui tiedonvaihto- ja keskinäisen oppimisen tapahtumiin ja vähintään </w:t>
      </w:r>
      <w:r>
        <w:rPr>
          <w:rFonts w:ascii="Times New Roman" w:hAnsi="Times New Roman"/>
          <w:b/>
          <w:noProof/>
          <w:sz w:val="24"/>
        </w:rPr>
        <w:t>1,5 miljoonaa henkilöä</w:t>
      </w:r>
      <w:r>
        <w:rPr>
          <w:rFonts w:ascii="Times New Roman" w:hAnsi="Times New Roman"/>
          <w:noProof/>
          <w:sz w:val="24"/>
        </w:rPr>
        <w:t xml:space="preserve"> osallistui koulutustoimiin.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Saatavilla olevan näytön perusteella </w:t>
      </w:r>
      <w:r>
        <w:rPr>
          <w:rFonts w:ascii="Times New Roman" w:hAnsi="Times New Roman"/>
          <w:b/>
          <w:noProof/>
          <w:sz w:val="24"/>
        </w:rPr>
        <w:t>sidosryhmien ja tuensaajien tietämyksen ja tietoisuuden lisääminen</w:t>
      </w:r>
      <w:r>
        <w:rPr>
          <w:rFonts w:ascii="Times New Roman" w:hAnsi="Times New Roman"/>
          <w:noProof/>
          <w:sz w:val="24"/>
        </w:rPr>
        <w:t xml:space="preserve"> on ylivoimaisesti eniten raportoitu tulos; se mainitaan </w:t>
      </w:r>
      <w:r>
        <w:rPr>
          <w:rFonts w:ascii="Times New Roman" w:hAnsi="Times New Roman"/>
          <w:b/>
          <w:noProof/>
          <w:sz w:val="24"/>
        </w:rPr>
        <w:t>78 prosentissa hankkeista</w:t>
      </w:r>
      <w:r>
        <w:rPr>
          <w:rFonts w:ascii="Times New Roman" w:hAnsi="Times New Roman"/>
          <w:noProof/>
          <w:sz w:val="24"/>
        </w:rPr>
        <w:t xml:space="preserve">, joista oli saatavilla tekninen raportti. Tämä vastaa ohjelman toimintalogiikkaa: sen tarkoituksena on saada aikaan käyttäytymisen muutos yhteiskunnassa, minkä kannalta tietoisuuden lisääminen on ratkaisevan tärkeää.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Hankkeiden päättymisen jälkeen jatkettiin</w:t>
      </w:r>
      <w:r>
        <w:rPr>
          <w:noProof/>
        </w:rPr>
        <w:t xml:space="preserve"> </w:t>
      </w:r>
      <w:r>
        <w:rPr>
          <w:rFonts w:ascii="Times New Roman" w:hAnsi="Times New Roman"/>
          <w:b/>
          <w:noProof/>
          <w:sz w:val="24"/>
        </w:rPr>
        <w:t>645:ttä</w:t>
      </w:r>
      <w:r>
        <w:rPr>
          <w:b/>
          <w:noProof/>
        </w:rPr>
        <w:t xml:space="preserve"> </w:t>
      </w:r>
      <w:r>
        <w:rPr>
          <w:rFonts w:ascii="Times New Roman" w:hAnsi="Times New Roman"/>
          <w:b/>
          <w:noProof/>
          <w:sz w:val="24"/>
        </w:rPr>
        <w:t>rajatylittävää välinettä ja mekanismia</w:t>
      </w:r>
      <w:r>
        <w:rPr>
          <w:rFonts w:ascii="Times New Roman" w:hAnsi="Times New Roman"/>
          <w:noProof/>
          <w:sz w:val="24"/>
        </w:rPr>
        <w:t>, kuten virallisia neuvoa-antavia ryhmiä, yhteistyöpöytäkirjoja/yhteistyösopimuksia ja verkostoja.</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Perusoikeus-, tasa-arvo- ja kansalaisuusohjelmaan tuli sen täytäntöönpanokaudella suuri määrä hakemuksia (4 903). Kutakin myönnettyä avustusta kohden saatiin noin viisi hakemusta. Kaiken kaikkiaan hakijoiden </w:t>
      </w:r>
      <w:r>
        <w:rPr>
          <w:rFonts w:ascii="Times New Roman" w:hAnsi="Times New Roman"/>
          <w:b/>
          <w:noProof/>
          <w:sz w:val="24"/>
        </w:rPr>
        <w:t>keskimääräinen onnistumisaste oli perusoikeus-, tasa-arvo- ja kansalaisuusohjelmassa 17 prosenttia</w:t>
      </w:r>
      <w:r>
        <w:rPr>
          <w:rFonts w:ascii="Times New Roman" w:hAnsi="Times New Roman"/>
          <w:noProof/>
          <w:sz w:val="24"/>
        </w:rPr>
        <w:t xml:space="preserve">. Hankkeet eivät jakautuneet tasaisesti jäsenvaltioiden kesken. Tärkein syy tähän on se, että jotkin maat jättivät erityisen suuren määrän hakemuksia. On tärkeää korostaa, että toiminta-avustuksilla, joilla rahoitetaan pääasiassa EU:n laajuisia verkkoja, taataan oikeudenmukainen maantieteellinen kattavuus EU:n tasolla.  </w:t>
      </w:r>
      <w:bookmarkStart w:id="10" w:name="_Toc77344400"/>
      <w:bookmarkStart w:id="11" w:name="_Toc75202767"/>
      <w:bookmarkStart w:id="12" w:name="_Ref74907432"/>
      <w:bookmarkEnd w:id="10"/>
      <w:bookmarkEnd w:id="11"/>
      <w:bookmarkEnd w:id="12"/>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Asetuksessa säädettyjen indikaattoreiden lisäksi on kehitetty useita lisäindikaattoreita ohjelman saavutusten mittaamiseksi.</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Vaikka vain osa tiedoista on kirjoittamishetkellä saatavilla, vuodelle 2020 asetettujen tavoitteiden saavuttaminen vaikuttaa useimpien ohjelman yleistavoitteeseen</w:t>
      </w:r>
      <w:r>
        <w:rPr>
          <w:rStyle w:val="FootnoteAnchor"/>
          <w:rFonts w:ascii="Times New Roman" w:hAnsi="Times New Roman"/>
          <w:noProof/>
          <w:sz w:val="24"/>
        </w:rPr>
        <w:footnoteReference w:id="6"/>
      </w:r>
      <w:r>
        <w:rPr>
          <w:rFonts w:ascii="Times New Roman" w:hAnsi="Times New Roman"/>
          <w:noProof/>
          <w:sz w:val="24"/>
        </w:rPr>
        <w:t xml:space="preserve"> liittyvien indikaattorien osalta haastavalta, kun otetaan huomioon, että Eurooppa on nousemassa pitkästä rahoitusalan taantumasta, jota covid-19-kriisi pahensi vuonna 2020. Hyvissä ajoin ennen vuotta 2020 on saavutettu vain tulosindikaattorin ”</w:t>
      </w:r>
      <w:r>
        <w:rPr>
          <w:rFonts w:ascii="Times New Roman" w:hAnsi="Times New Roman"/>
          <w:i/>
          <w:noProof/>
          <w:sz w:val="24"/>
        </w:rPr>
        <w:t>niiden eurooppalaisten osuus, jotka katsovat olevansa hyvin tai erittäin hyvin perillä oikeuksistaan unionin kansalaisina</w:t>
      </w:r>
      <w:r>
        <w:rPr>
          <w:rFonts w:ascii="Times New Roman" w:hAnsi="Times New Roman"/>
          <w:noProof/>
          <w:sz w:val="24"/>
        </w:rPr>
        <w:t>” tavoite.</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Ohjelman tuloksellisuuden arvioimiseksi yksittäisten erityistavoitteiden tasolla on käytetty useita lisäindikaattoreita. Tähän mennessä saatavilla olevat tiedot osoittavat, että useiden indikaattorien tavoitteet on saavutettu tai ylitetty</w:t>
      </w:r>
      <w:r>
        <w:rPr>
          <w:rStyle w:val="FootnoteAnchor"/>
          <w:rFonts w:ascii="Times New Roman" w:hAnsi="Times New Roman"/>
          <w:noProof/>
          <w:sz w:val="24"/>
        </w:rPr>
        <w:footnoteReference w:id="7"/>
      </w:r>
      <w:r>
        <w:rPr>
          <w:rFonts w:ascii="Times New Roman" w:hAnsi="Times New Roman"/>
          <w:noProof/>
          <w:sz w:val="24"/>
        </w:rPr>
        <w:t>.</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Kun tarkastellaan vuoden 2011 vaikutustenarvioinnissa</w:t>
      </w:r>
      <w:r>
        <w:rPr>
          <w:rStyle w:val="FootnoteAnchor"/>
          <w:rFonts w:ascii="Times New Roman" w:hAnsi="Times New Roman"/>
          <w:noProof/>
          <w:sz w:val="24"/>
        </w:rPr>
        <w:footnoteReference w:id="8"/>
      </w:r>
      <w:r>
        <w:rPr>
          <w:rFonts w:ascii="Times New Roman" w:hAnsi="Times New Roman"/>
          <w:noProof/>
          <w:sz w:val="24"/>
        </w:rPr>
        <w:t xml:space="preserve"> ja kolmen edellisen ohjelman (Daphne III, perusoikeuksia ja kansalaisuutta koskeva ohjelma sekä Progress-ohjelma) vuoden 2015 jälkiarvioinnissa</w:t>
      </w:r>
      <w:r>
        <w:rPr>
          <w:rStyle w:val="FootnoteAnchor"/>
          <w:rFonts w:ascii="Times New Roman" w:hAnsi="Times New Roman"/>
          <w:noProof/>
          <w:sz w:val="24"/>
        </w:rPr>
        <w:footnoteReference w:id="9"/>
      </w:r>
      <w:r>
        <w:rPr>
          <w:rFonts w:ascii="Times New Roman" w:hAnsi="Times New Roman"/>
          <w:noProof/>
          <w:sz w:val="24"/>
        </w:rPr>
        <w:t xml:space="preserve"> kuvattua perustilannetta, voidaan todeta, että lähes kaikki tuolloin havaitut ongelmat on perusoikeus-, tasa-arvo- ja kansalaisuusohjelmassa ratkaistu, lukuun ottamatta jatkuvaa maantieteellistä epätasapainoa.</w:t>
      </w:r>
    </w:p>
    <w:p w:rsidR="0057554D" w:rsidRDefault="0057554D">
      <w:pPr>
        <w:spacing w:before="120" w:after="120" w:line="240" w:lineRule="auto"/>
        <w:jc w:val="both"/>
        <w:rPr>
          <w:rFonts w:ascii="Times New Roman" w:hAnsi="Times New Roman" w:cs="Times New Roman"/>
          <w:noProof/>
          <w:sz w:val="24"/>
          <w:szCs w:val="24"/>
        </w:rPr>
      </w:pPr>
    </w:p>
    <w:p w:rsidR="0057554D" w:rsidRDefault="00EE12D7">
      <w:pPr>
        <w:pStyle w:val="ListParagraph"/>
        <w:keepNext/>
        <w:numPr>
          <w:ilvl w:val="0"/>
          <w:numId w:val="4"/>
        </w:numPr>
        <w:tabs>
          <w:tab w:val="left" w:pos="850"/>
        </w:tabs>
        <w:spacing w:after="120" w:line="240" w:lineRule="auto"/>
        <w:jc w:val="both"/>
        <w:outlineLvl w:val="0"/>
        <w:rPr>
          <w:rFonts w:ascii="Times New Roman" w:eastAsia="Times New Roman" w:hAnsi="Times New Roman" w:cs="Times New Roman"/>
          <w:b/>
          <w:smallCaps/>
          <w:noProof/>
          <w:sz w:val="24"/>
          <w:szCs w:val="24"/>
        </w:rPr>
      </w:pPr>
      <w:r>
        <w:rPr>
          <w:rFonts w:ascii="Times New Roman" w:hAnsi="Times New Roman"/>
          <w:b/>
          <w:smallCaps/>
          <w:noProof/>
          <w:sz w:val="24"/>
        </w:rPr>
        <w:t>ARVIOINNIN TULOKSET</w:t>
      </w:r>
    </w:p>
    <w:p w:rsidR="0057554D" w:rsidRDefault="00EE12D7">
      <w:pPr>
        <w:pStyle w:val="ListParagraph"/>
        <w:keepNext/>
        <w:numPr>
          <w:ilvl w:val="1"/>
          <w:numId w:val="4"/>
        </w:numPr>
        <w:tabs>
          <w:tab w:val="left" w:pos="850"/>
        </w:tabs>
        <w:spacing w:before="240" w:after="240" w:line="240" w:lineRule="auto"/>
        <w:ind w:left="788" w:hanging="431"/>
        <w:jc w:val="both"/>
        <w:outlineLvl w:val="0"/>
        <w:rPr>
          <w:rStyle w:val="Heading1Char"/>
          <w:rFonts w:ascii="Times New Roman" w:hAnsi="Times New Roman" w:cs="Times New Roman"/>
          <w:noProof/>
          <w:color w:val="auto"/>
          <w:sz w:val="24"/>
          <w:szCs w:val="24"/>
        </w:rPr>
      </w:pPr>
      <w:r>
        <w:rPr>
          <w:rStyle w:val="Heading1Char"/>
          <w:rFonts w:ascii="Times New Roman" w:hAnsi="Times New Roman"/>
          <w:noProof/>
          <w:color w:val="auto"/>
          <w:sz w:val="24"/>
        </w:rPr>
        <w:t xml:space="preserve">Vaikuttavuus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Kerätyn laadullisen näytön perusteella perusoikeus-, tasa-arvo- ja kansalaisuusohjelman täytäntöönpano oli vaikuttavaa ja edisti ohjelman yleisten tavoitteiden saavuttamista. Sen onnistuminen johtui erityisesti </w:t>
      </w:r>
      <w:r>
        <w:rPr>
          <w:rFonts w:ascii="Times New Roman" w:hAnsi="Times New Roman"/>
          <w:b/>
          <w:noProof/>
          <w:sz w:val="24"/>
        </w:rPr>
        <w:t>useimpien hankkeiden laadusta</w:t>
      </w:r>
      <w:r>
        <w:rPr>
          <w:rFonts w:ascii="Times New Roman" w:hAnsi="Times New Roman"/>
          <w:noProof/>
          <w:sz w:val="24"/>
        </w:rPr>
        <w:t xml:space="preserve">, jonka ansiosta voitiin toteuttaa kohdennettuja toimia, kuten tiedotuskampanjoita ja koulutuskursseja. Lisäksi voitiin julkaista materiaalia, tutkimuksia ja asiaa koskevia tietoja. Sekä asiakirjatutkimus että kenttätyö osoittavat, että </w:t>
      </w:r>
      <w:r>
        <w:rPr>
          <w:rFonts w:ascii="Times New Roman" w:hAnsi="Times New Roman"/>
          <w:b/>
          <w:noProof/>
          <w:sz w:val="24"/>
        </w:rPr>
        <w:t>lähes kaikissa päätökseen saatetuissa hankkeissa on saavutettu odotetut tulokset</w:t>
      </w:r>
      <w:r>
        <w:rPr>
          <w:rFonts w:ascii="Times New Roman" w:hAnsi="Times New Roman"/>
          <w:noProof/>
          <w:sz w:val="24"/>
        </w:rPr>
        <w:t>.</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Kaikilla otokseen valittujen hankkeiden toimilla ja saavutuksilla oli suora merkitys ohjelman erityistavoitteiden kannalta. Kerätty näyttö viittaa kaiken kaikkiaan siihen, että perusoikeus-, tasa-arvo- ja kansalaisuusohjelma on osaltaan </w:t>
      </w:r>
      <w:r>
        <w:rPr>
          <w:rFonts w:ascii="Times New Roman" w:hAnsi="Times New Roman"/>
          <w:b/>
          <w:noProof/>
          <w:sz w:val="24"/>
        </w:rPr>
        <w:t>lisännyt tietämystä EU:n sitovasta ja ei-sitovasta lainsäädännöstä</w:t>
      </w:r>
      <w:r>
        <w:rPr>
          <w:rFonts w:ascii="Times New Roman" w:hAnsi="Times New Roman"/>
          <w:noProof/>
          <w:sz w:val="24"/>
        </w:rPr>
        <w:t xml:space="preserve">.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Sisäisten ja ulkoisten tekijöiden monitahoinen vuorovaikutus toisaalta tuki ja toisaalta haittasi ohjelman toteuttamista. Sisäiset tekijät koskivat pääasiassa hakuprosessiin liittyviä vaikeuksia, hankekumppaneiden sisäisiä valmiuksia sekä hankekonsortion tyyppiä ja laatua. Yhteiset ulkoiset tekijät liittyivät covid-19-pandemian kaltaisten ulkoisten häiriöiden vaikutuksiin ja haasteeseen, joka liittyy julkisyhteisöjen ja sidosryhmien mukaan ottamiseen suunniteltuihin toimiin.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Analyysissä todettiin, että perusoikeus-, tasa-arvo- ja kansalaisuusohjelman hankkeiden onnistumiseen vaikuttavia tekijöitä ovat muun muassa kumppanuuksien laatu. Niillä kootaan yhteen organisaatioita, joiden toisiaan täydentävä asiantuntemus kattaa johtamis- ja koordinointitaitoja ja kokemusta työskentelystä kohderyhmien kanssa paikan päällä. Toinen menestystekijä on hankkeiden kyky vastata ehdotuspyyntöjen tavoitteisiin ja samalla noudattaa täytäntöönpanosta vastaavien organisaatioiden pitkän aikavälin strategioita. </w:t>
      </w:r>
    </w:p>
    <w:p w:rsidR="0057554D" w:rsidRDefault="00EE12D7">
      <w:pPr>
        <w:pStyle w:val="ListParagraph"/>
        <w:keepNext/>
        <w:numPr>
          <w:ilvl w:val="1"/>
          <w:numId w:val="4"/>
        </w:numPr>
        <w:tabs>
          <w:tab w:val="left" w:pos="850"/>
        </w:tabs>
        <w:spacing w:before="240" w:after="120" w:line="240" w:lineRule="auto"/>
        <w:ind w:left="788" w:hanging="431"/>
        <w:jc w:val="both"/>
        <w:outlineLvl w:val="0"/>
        <w:rPr>
          <w:rStyle w:val="Heading1Char"/>
          <w:rFonts w:ascii="Times New Roman" w:hAnsi="Times New Roman" w:cs="Times New Roman"/>
          <w:noProof/>
          <w:color w:val="auto"/>
          <w:sz w:val="24"/>
          <w:szCs w:val="24"/>
        </w:rPr>
      </w:pPr>
      <w:r>
        <w:rPr>
          <w:rStyle w:val="Heading1Char"/>
          <w:rFonts w:ascii="Times New Roman" w:hAnsi="Times New Roman"/>
          <w:noProof/>
          <w:color w:val="auto"/>
          <w:sz w:val="24"/>
        </w:rPr>
        <w:t>Tehokkuus</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Saatu laadullinen näyttö osoittaa, että </w:t>
      </w:r>
      <w:r>
        <w:rPr>
          <w:rFonts w:ascii="Times New Roman" w:hAnsi="Times New Roman"/>
          <w:b/>
          <w:noProof/>
          <w:sz w:val="24"/>
        </w:rPr>
        <w:t>hankkeiden täytäntöönpanon hyödyt ovat kustannuksia suuremmat</w:t>
      </w:r>
      <w:r>
        <w:rPr>
          <w:rFonts w:ascii="Times New Roman" w:hAnsi="Times New Roman"/>
          <w:noProof/>
          <w:sz w:val="24"/>
        </w:rPr>
        <w:t xml:space="preserve"> ja että tässä mielessä tehokkuus on saavutettu. Tuensaajat pitävät kuitenkin hallinnolliseen taakkaan liittyviä kustannuksia edelleen ongelmallisina erityisesti haku- ja raportointimenettelyjen osalta. Vaikka useimmat tuensaajat pitivät hallinnollista taakkaa merkittävänä kustannustekijänä, ne totesivat myös, että raskaat hallinnolliset vaatimukset ovat oikeutettuja, kun kyse on julkisten varojen käytön avoimuudesta ja oikeudenmukaisuudesta.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Perusoikeus-, tasa-arvo- ja kansalaisuusohjelman </w:t>
      </w:r>
      <w:r>
        <w:rPr>
          <w:rFonts w:ascii="Times New Roman" w:hAnsi="Times New Roman"/>
          <w:b/>
          <w:noProof/>
          <w:sz w:val="24"/>
        </w:rPr>
        <w:t>hallinnollisten kustannusten katsotaan olevan keskimäärin suurempia</w:t>
      </w:r>
      <w:r>
        <w:rPr>
          <w:rFonts w:ascii="Times New Roman" w:hAnsi="Times New Roman"/>
          <w:noProof/>
          <w:sz w:val="24"/>
        </w:rPr>
        <w:t xml:space="preserve"> kuin muissa, EU:n ulkopuolisissa vaihtoehdoissa tai kansallisissa ohjelmissa. Kansallisten ja kansainvälisten rahoitusvälineiden haku- ja raportointivaatimuksia pidetään vähemmän vaativina.</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b/>
          <w:noProof/>
          <w:sz w:val="24"/>
        </w:rPr>
        <w:t>Hyötyjen</w:t>
      </w:r>
      <w:r>
        <w:rPr>
          <w:rFonts w:ascii="Times New Roman" w:hAnsi="Times New Roman"/>
          <w:noProof/>
          <w:sz w:val="24"/>
        </w:rPr>
        <w:t xml:space="preserve"> osalta perusoikeus-, tasa-arvo- ja kansalaisuusohjelma tarjoaa mahdollisuuden työskennellä ylikansallisella tasolla, jakaa parhaita käytäntöjä ja luoda suhteita konsortion kumppaneihin sekä vahvistaa sisäisiä valmiuksia ja asiantuntemusta. EU:n rahoittamiin hankkeisiin osallistuminen tuottaa myös aineettomia hyötyjä, kuten maineen ja </w:t>
      </w:r>
      <w:r>
        <w:rPr>
          <w:rFonts w:ascii="Times New Roman" w:hAnsi="Times New Roman"/>
          <w:b/>
          <w:noProof/>
          <w:sz w:val="24"/>
        </w:rPr>
        <w:t>organisaation luotettavuuden paranemista</w:t>
      </w:r>
      <w:r>
        <w:rPr>
          <w:rFonts w:ascii="Times New Roman" w:hAnsi="Times New Roman"/>
          <w:noProof/>
          <w:sz w:val="24"/>
        </w:rPr>
        <w:t xml:space="preserve">.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Arvioinnissa havaittiin, että otokseen valituista </w:t>
      </w:r>
      <w:r>
        <w:rPr>
          <w:rFonts w:ascii="Times New Roman" w:hAnsi="Times New Roman"/>
          <w:b/>
          <w:noProof/>
          <w:sz w:val="24"/>
        </w:rPr>
        <w:t>hankkeista 82 prosentissa määrärahoja jäi käyttämättä</w:t>
      </w:r>
      <w:r>
        <w:rPr>
          <w:rFonts w:ascii="Times New Roman" w:hAnsi="Times New Roman"/>
          <w:noProof/>
          <w:sz w:val="24"/>
        </w:rPr>
        <w:t>. Vajaakäyttöä esiintyi analysoidussa otoksessa laajasti, mutta useimmissa haastatelluissa hankkeissa määrärahojen vajaakäyttö oli noin 10–12 prosenttia, mikä johtui pääasiassa covid-19-pandemiasta ja siitä johtuvasta fyysistä läsnäoloa edellyttävien kokousten ja toimintojen lakkaamisesta. Sen vuoksi syntyi säästöjä fyysisten kokousten, työpajojen ja muiden tapahtumien matka- ja oleskelukustannuksissa.</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Perusoikeus-, tasa-arvo- ja kansalaisuusohjelmassa julkaistujen ehdotuspyyntöjen hyväksymis- ja julkaisunopeus sekä niiden ennakoitavuus ovat parantuneet suhteessa aikaisempiin ohjelmiin. Toistuvien tuensaajien haastatteluissa kerätyt tiedot osoittavat, että </w:t>
      </w:r>
      <w:r>
        <w:rPr>
          <w:rFonts w:ascii="Times New Roman" w:hAnsi="Times New Roman"/>
          <w:b/>
          <w:noProof/>
          <w:sz w:val="24"/>
        </w:rPr>
        <w:t>edellisten ohjelmien yhdistäminen yksinkertaisti huomattavasti hallinnointi- ja täytäntöönpanomenettelyjä</w:t>
      </w:r>
      <w:r>
        <w:rPr>
          <w:rFonts w:ascii="Times New Roman" w:hAnsi="Times New Roman"/>
          <w:noProof/>
          <w:sz w:val="24"/>
        </w:rPr>
        <w:t>.</w:t>
      </w:r>
    </w:p>
    <w:p w:rsidR="0057554D" w:rsidRDefault="00EE12D7">
      <w:pPr>
        <w:pStyle w:val="ListParagraph"/>
        <w:keepNext/>
        <w:numPr>
          <w:ilvl w:val="1"/>
          <w:numId w:val="4"/>
        </w:numPr>
        <w:tabs>
          <w:tab w:val="left" w:pos="850"/>
        </w:tabs>
        <w:spacing w:before="240" w:after="120" w:line="240" w:lineRule="auto"/>
        <w:ind w:left="788" w:hanging="431"/>
        <w:jc w:val="both"/>
        <w:outlineLvl w:val="0"/>
        <w:rPr>
          <w:rStyle w:val="Heading1Char"/>
          <w:rFonts w:ascii="Times New Roman" w:hAnsi="Times New Roman" w:cs="Times New Roman"/>
          <w:noProof/>
          <w:color w:val="auto"/>
          <w:sz w:val="24"/>
          <w:szCs w:val="24"/>
        </w:rPr>
      </w:pPr>
      <w:r>
        <w:rPr>
          <w:rStyle w:val="Heading1Char"/>
          <w:rFonts w:ascii="Times New Roman" w:hAnsi="Times New Roman"/>
          <w:noProof/>
          <w:color w:val="auto"/>
          <w:sz w:val="24"/>
        </w:rPr>
        <w:t>Merkityksellisyys</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Perusoikeus-, tasa-arvo- ja kansalaisuusohjelmaa koskevan asetuksen hyväksymisen aikaan määritetyt </w:t>
      </w:r>
      <w:r>
        <w:rPr>
          <w:rFonts w:ascii="Times New Roman" w:hAnsi="Times New Roman"/>
          <w:b/>
          <w:noProof/>
          <w:sz w:val="24"/>
        </w:rPr>
        <w:t>tarpeet</w:t>
      </w:r>
      <w:r>
        <w:rPr>
          <w:rFonts w:ascii="Times New Roman" w:hAnsi="Times New Roman"/>
          <w:noProof/>
          <w:sz w:val="24"/>
        </w:rPr>
        <w:t xml:space="preserve"> ovat </w:t>
      </w:r>
      <w:r>
        <w:rPr>
          <w:rFonts w:ascii="Times New Roman" w:hAnsi="Times New Roman"/>
          <w:b/>
          <w:noProof/>
          <w:sz w:val="24"/>
        </w:rPr>
        <w:t>edelleen merkityksellisiä</w:t>
      </w:r>
      <w:r>
        <w:rPr>
          <w:rFonts w:ascii="Times New Roman" w:hAnsi="Times New Roman"/>
          <w:noProof/>
          <w:sz w:val="24"/>
        </w:rPr>
        <w:t xml:space="preserve"> sen varmistamiseksi, että tasa-arvoa ja Euroopan unionin perusoikeuskirjassa ja muissa oikeudellisesti sitovissa välineissä vahvistettuja oikeuksia edistetään edelleen kaikkialla EU:ssa. Lisäksi ohjelmaa on edelleen mukautettu vastaamaan uusiin tarpeisiin ja uhkiin, kuten vihapuheen lisääntymiseen.</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Analyysi vahvisti myös, että perusoikeus-, tasa-arvo- ja kansalaisuusohjelmassa toteutetut toimet ovat merkityksellisiä ohjelman sidosryhmien tarpeiden kannalta. Tarpeisiin kuuluvat esimerkiksi tietopohjan parantaminen, parhaiden käytäntöjen jakaminen vastavuoroisen oppimisen avulla, valmiuksien kehittäminen ja rakennetuki tietyille organisaatiorakenteille. Lisäksi ohjelma oli merkityksellinen sen kannalta, että se kohdistui suunniteltuihin lopullisiin edunsaajiin – viime kädessä EU:n kansalaisiin. Tämä on vahvistettu useilla arviointinäytön osa-alueilla, kuten tekstinlouhinta-analyysilla, hankeotannalla ja sidosryhmien kuulemisilla.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Ohjelman kyvystä valita merkityksellisimmät edunsaajat todettiin, että kahdentyyppiset edunsaajat ovat erityisen merkityksellisiä, mutta niiden osallistuminen on epätodennäköisempää: i) viranomaiset, joiden osallistumisen esteet johtuvat pääasiassa hallinnollisten valmiuksien ja kohdennettujen henkilöresurssien puutteesta; ii) pienet ruohonjuuritason organisaatiot, joille hakuprosessi on hyvin monimutkainen ja vaatimus yhteisrahoituksen varmistamisesta on haastava. </w:t>
      </w:r>
    </w:p>
    <w:p w:rsidR="0057554D" w:rsidRDefault="00EE12D7">
      <w:pPr>
        <w:pStyle w:val="ListParagraph"/>
        <w:keepNext/>
        <w:numPr>
          <w:ilvl w:val="1"/>
          <w:numId w:val="4"/>
        </w:numPr>
        <w:tabs>
          <w:tab w:val="left" w:pos="850"/>
        </w:tabs>
        <w:spacing w:before="240" w:after="120" w:line="240" w:lineRule="auto"/>
        <w:ind w:left="788" w:hanging="431"/>
        <w:jc w:val="both"/>
        <w:outlineLvl w:val="0"/>
        <w:rPr>
          <w:rStyle w:val="Heading1Char"/>
          <w:rFonts w:ascii="Times New Roman" w:hAnsi="Times New Roman" w:cs="Times New Roman"/>
          <w:noProof/>
          <w:color w:val="auto"/>
          <w:sz w:val="24"/>
          <w:szCs w:val="24"/>
        </w:rPr>
      </w:pPr>
      <w:r>
        <w:rPr>
          <w:rStyle w:val="Heading1Char"/>
          <w:rFonts w:ascii="Times New Roman" w:hAnsi="Times New Roman"/>
          <w:noProof/>
          <w:color w:val="auto"/>
          <w:sz w:val="24"/>
        </w:rPr>
        <w:t xml:space="preserve">Johdonmukaisuus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Perusoikeus-, tasa-arvo- ja kansalaisuusohjelmassa ehdotuspyyntöjä ohjaavat erityiset strategiset kehityssuuntaukset ja EU:n painopisteet. Tällä tavoin perusoikeus-, tasa-arvo- ja kansalaisuusohjelma toimi linkkinä EU:n painopisteiden välillä johdonmukaisesti muiden EU:n aloitteiden kanssa. Näitä ovat muun muassa EU:n oikeusasioiden toimintasuunnitelma 2020, sukupuolten tasa-arvon edistämistä koskeva strateginen toimintaohjelma 2016–2020, Euroopan vammaisstrategia 2010–2020, luettelo komission toimista hlbti-henkilöiden tasa-arvon edistämiseksi ja EU:n kehys romanien integraatiota edistäville kansallisille strategioille vuoteen 2020 asti. Analyysi osoittaa myös, että hanketasolla on jonkin verran johdonmukaisuutta kansallisten politiikkojen ja kehityssuuntausten kanssa. </w:t>
      </w:r>
    </w:p>
    <w:p w:rsidR="0057554D" w:rsidRDefault="00EE12D7">
      <w:pPr>
        <w:pStyle w:val="ListParagraph"/>
        <w:keepNext/>
        <w:numPr>
          <w:ilvl w:val="1"/>
          <w:numId w:val="4"/>
        </w:numPr>
        <w:tabs>
          <w:tab w:val="left" w:pos="850"/>
        </w:tabs>
        <w:spacing w:before="240" w:after="120" w:line="240" w:lineRule="auto"/>
        <w:ind w:left="788" w:hanging="431"/>
        <w:jc w:val="both"/>
        <w:outlineLvl w:val="0"/>
        <w:rPr>
          <w:rStyle w:val="Heading1Char"/>
          <w:rFonts w:ascii="Times New Roman" w:hAnsi="Times New Roman" w:cs="Times New Roman"/>
          <w:noProof/>
          <w:color w:val="auto"/>
          <w:sz w:val="24"/>
          <w:szCs w:val="24"/>
        </w:rPr>
      </w:pPr>
      <w:r>
        <w:rPr>
          <w:rStyle w:val="Heading1Char"/>
          <w:rFonts w:ascii="Times New Roman" w:hAnsi="Times New Roman"/>
          <w:noProof/>
          <w:color w:val="auto"/>
          <w:sz w:val="24"/>
        </w:rPr>
        <w:t>EU:n lisäarvo</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Perusoikeus-, tasa-arvo- ja kansalaisuusohjelmasta saatavaa EU:n lisäarvoa arvioitiin seuraavien neljän kriteerin perusteella: </w:t>
      </w:r>
    </w:p>
    <w:p w:rsidR="0057554D" w:rsidRDefault="00EE12D7">
      <w:pPr>
        <w:pStyle w:val="ListParagraph"/>
        <w:numPr>
          <w:ilvl w:val="0"/>
          <w:numId w:val="6"/>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tuetaan EU:n lainsäädännön täytäntöönpanoa ja lisätään tietoisuutta siitä johtuvista oikeuksista, </w:t>
      </w:r>
    </w:p>
    <w:p w:rsidR="0057554D" w:rsidRDefault="00EE12D7">
      <w:pPr>
        <w:pStyle w:val="ListParagraph"/>
        <w:numPr>
          <w:ilvl w:val="0"/>
          <w:numId w:val="6"/>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lisätään jäsenvaltioiden keskinäistä luottamusta ja rajatylittävää yhteistyötä, </w:t>
      </w:r>
    </w:p>
    <w:p w:rsidR="0057554D" w:rsidRDefault="00EE12D7">
      <w:pPr>
        <w:pStyle w:val="ListParagraph"/>
        <w:numPr>
          <w:ilvl w:val="0"/>
          <w:numId w:val="6"/>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kehitetään ja levitetään parhaita käytäntöjä, </w:t>
      </w:r>
    </w:p>
    <w:p w:rsidR="0057554D" w:rsidRDefault="00EE12D7">
      <w:pPr>
        <w:pStyle w:val="ListParagraph"/>
        <w:numPr>
          <w:ilvl w:val="0"/>
          <w:numId w:val="6"/>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luodaan standardeja, käytännön välineitä ja ratkaisuja, joilla vastataan EU:n laajuisiin haasteisiin.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Ohjelma oli kaikilta osin menestyksekäs, koska se oli luonteeltaan ylikansallinen. Analyysissä yksilöitiin ohjelman tuottamaan EU:n lisäarvoon liittyviä lisätekijöitä: </w:t>
      </w:r>
    </w:p>
    <w:p w:rsidR="0057554D" w:rsidRDefault="00EE12D7">
      <w:pPr>
        <w:pStyle w:val="ListParagraph"/>
        <w:numPr>
          <w:ilvl w:val="0"/>
          <w:numId w:val="7"/>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Se on tärkeä rahoituslähde, jonka avulla tuensaajat voivat toteuttaa lisähankkeita niihin haasteisiin vastaamiseksi, joita varten perusoikeus-, tasa-arvo- ja kansalaisuusohjelma perustettiin.</w:t>
      </w:r>
    </w:p>
    <w:p w:rsidR="0057554D" w:rsidRDefault="00EE12D7">
      <w:pPr>
        <w:pStyle w:val="ListParagraph"/>
        <w:numPr>
          <w:ilvl w:val="0"/>
          <w:numId w:val="7"/>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EU:n rahoituksen saamisella ja perusoikeus-, tasa-arvo- ja kansalaisuusohjelman puitteissa toteutettavilla toimilla oli hankkeille myönteisiä seurauksia: hankkeiden maine parani ja näkyvyys lisääntyi tavalla, jota ei olisi voitu saavuttaa kansallisesti.</w:t>
      </w:r>
    </w:p>
    <w:p w:rsidR="0057554D" w:rsidRDefault="00EE12D7">
      <w:pPr>
        <w:pStyle w:val="ListParagraph"/>
        <w:numPr>
          <w:ilvl w:val="0"/>
          <w:numId w:val="7"/>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Perusoikeus-, tasa-arvo- ja kansalaisuusohjelma oli tärkeä innovoinnin vauhdittaja, koska innovatiivisten ja kansainvälisten toimien testaamiseen on saatavilla vain vähän kansallista rahoitusta. </w:t>
      </w:r>
    </w:p>
    <w:p w:rsidR="0057554D" w:rsidRDefault="00EE12D7">
      <w:pPr>
        <w:pStyle w:val="ListParagraph"/>
        <w:numPr>
          <w:ilvl w:val="0"/>
          <w:numId w:val="7"/>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Perusoikeus-, tasa-arvo- ja kansalaisuusohjelma tuotti laaja-alaisen vaikutuksen</w:t>
      </w:r>
      <w:r>
        <w:rPr>
          <w:rStyle w:val="FootnoteAnchor"/>
          <w:rFonts w:ascii="Times New Roman" w:hAnsi="Times New Roman"/>
          <w:noProof/>
          <w:sz w:val="24"/>
        </w:rPr>
        <w:footnoteReference w:id="10"/>
      </w:r>
      <w:r>
        <w:rPr>
          <w:rFonts w:ascii="Times New Roman" w:hAnsi="Times New Roman"/>
          <w:noProof/>
          <w:sz w:val="24"/>
        </w:rPr>
        <w:t xml:space="preserve"> laajentamalla tuensaajien toteuttamia toimia tavalla, jota tuskin voitaisiin pitää yllä kansallisilla tukitoimilla.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Edunsaajat toteavat, että rajatylittävä yhteistyö, ylikansalliset kumppanuudet ja verkostot sekä kumppanien keskinäinen oppiminen ovat keskeisiä ohjelmaan osallistumisesta saatuja tuloksia. Kansainvälinen ulottuvuus on toiminta-avustusten saajille erityisen ilmeinen niiden Euroopan laajuisten tehtävien vuoksi; niiden toimintaa ei olisi voitu kehittää vastaavasti kansallisella tai EU:n ulkopuolisella rahoituksella. </w:t>
      </w:r>
    </w:p>
    <w:p w:rsidR="0057554D" w:rsidRDefault="00EE12D7">
      <w:pPr>
        <w:pStyle w:val="ListParagraph"/>
        <w:keepNext/>
        <w:numPr>
          <w:ilvl w:val="1"/>
          <w:numId w:val="4"/>
        </w:numPr>
        <w:tabs>
          <w:tab w:val="left" w:pos="850"/>
        </w:tabs>
        <w:spacing w:before="240" w:after="120" w:line="240" w:lineRule="auto"/>
        <w:ind w:left="788" w:hanging="431"/>
        <w:jc w:val="both"/>
        <w:outlineLvl w:val="0"/>
        <w:rPr>
          <w:rStyle w:val="Heading1Char"/>
          <w:rFonts w:ascii="Times New Roman" w:hAnsi="Times New Roman" w:cs="Times New Roman"/>
          <w:noProof/>
          <w:color w:val="auto"/>
          <w:sz w:val="24"/>
          <w:szCs w:val="24"/>
        </w:rPr>
      </w:pPr>
      <w:r>
        <w:rPr>
          <w:rStyle w:val="Heading1Char"/>
          <w:rFonts w:ascii="Times New Roman" w:hAnsi="Times New Roman"/>
          <w:noProof/>
          <w:color w:val="auto"/>
          <w:sz w:val="24"/>
        </w:rPr>
        <w:t xml:space="preserve">Yhdenvertaisuus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Perusoikeus-, tasa-arvo- ja kansalaisuusohjelman resurssit ja tuki </w:t>
      </w:r>
      <w:r>
        <w:rPr>
          <w:rFonts w:ascii="Times New Roman" w:hAnsi="Times New Roman"/>
          <w:b/>
          <w:noProof/>
          <w:sz w:val="24"/>
        </w:rPr>
        <w:t>eivät jakaantuneet tasapuolisesti osallistujamaiden kesken</w:t>
      </w:r>
      <w:r>
        <w:rPr>
          <w:rFonts w:ascii="Times New Roman" w:hAnsi="Times New Roman"/>
          <w:noProof/>
          <w:sz w:val="24"/>
        </w:rPr>
        <w:t xml:space="preserve">. Ohjelman varat keskittyivät muutamiin maihin – ennen kaikkea Italiaan, Belgiaan, Kreikkaan ja Espanjaan, joista tuli eniten hakemuksia. Kuva kuitenkin muuttuu, kun osallistujamaiden väestömäärät otetaan huomioon, sillä joissakin pienissä maissa tuensaajia on suuri määrä suhteessa niiden väestöön (esim. Malta ja Kypros). </w:t>
      </w:r>
      <w:r>
        <w:rPr>
          <w:rFonts w:ascii="Times New Roman" w:hAnsi="Times New Roman"/>
          <w:noProof/>
          <w:color w:val="000000" w:themeColor="text1"/>
          <w:sz w:val="24"/>
        </w:rPr>
        <w:t>Lisäksi osallistumisaste</w:t>
      </w:r>
      <w:r>
        <w:rPr>
          <w:rFonts w:ascii="Times New Roman" w:hAnsi="Times New Roman"/>
          <w:noProof/>
          <w:sz w:val="24"/>
        </w:rPr>
        <w:t xml:space="preserve"> oli melko korkea </w:t>
      </w:r>
      <w:r>
        <w:rPr>
          <w:rFonts w:ascii="Times New Roman" w:hAnsi="Times New Roman"/>
          <w:noProof/>
          <w:color w:val="000000" w:themeColor="text1"/>
          <w:sz w:val="24"/>
        </w:rPr>
        <w:t>Romaniassa ja Bulgariassa</w:t>
      </w:r>
      <w:r>
        <w:rPr>
          <w:rFonts w:ascii="Times New Roman" w:hAnsi="Times New Roman"/>
          <w:noProof/>
          <w:sz w:val="24"/>
        </w:rPr>
        <w:t xml:space="preserve">.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Kaiken kaikkiaan ohjelmoitu rahoitus tavoittaa </w:t>
      </w:r>
      <w:r>
        <w:rPr>
          <w:rFonts w:ascii="Times New Roman" w:hAnsi="Times New Roman"/>
          <w:b/>
          <w:noProof/>
          <w:sz w:val="24"/>
        </w:rPr>
        <w:t>eri kohderyhmät tasaisesti</w:t>
      </w:r>
      <w:r>
        <w:rPr>
          <w:rFonts w:ascii="Times New Roman" w:hAnsi="Times New Roman"/>
          <w:noProof/>
          <w:sz w:val="24"/>
        </w:rPr>
        <w:t xml:space="preserve"> huolimatta siitä, että perusoikeus-, tasa-arvo- ja kansalaisuusohjelman määrärahat keskitetään kolmeen erityistavoitteeseen. Usein samat kohderyhmät olivat useiden eri erityistavoitteiden kohteena.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Sukupuolten tasa-arvoa, lasten oikeuksia ja vammaisten oikeuksia koskevien monialaisten painopisteiden edistämiseen osoitettiin huomattavia taloudellisia resursseja. Täytäntöönpanovaiheessa sukupuolten tasa-arvoon, vammaisten henkilöiden oikeuksiin ja lasten oikeuksiin keskittyvät ehdotuspyynnöt olivat enimmäkseen niihin liittyvien erityistavoitteiden mukaisesti järjestettyjä. Vaikka sukupuolten tasa-arvon valtavirtaistamisen tärkeydestä ollaan hyvin tietoisia, hyväksytyissä perusoikeus-, tasa-arvo- ja kansalaisuusohjelman hankkeissa ei yleisesti tunneta hyviä käytäntöjä, jotka koskevat parhaita lähestymistapoja sukupuolten tasa-arvon valtavirtaistamiseen asiaan liittyvien hankkeiden ulkopuolella rahoitettavissa toimissa. Tuensaajien on vaikea muotoilla sukupuolinäkökulmaa kehittäessään hakemustaan.</w:t>
      </w:r>
    </w:p>
    <w:p w:rsidR="0057554D" w:rsidRDefault="00EE12D7">
      <w:pPr>
        <w:pStyle w:val="ListParagraph"/>
        <w:keepNext/>
        <w:numPr>
          <w:ilvl w:val="1"/>
          <w:numId w:val="4"/>
        </w:numPr>
        <w:tabs>
          <w:tab w:val="left" w:pos="850"/>
        </w:tabs>
        <w:spacing w:before="240" w:after="120" w:line="240" w:lineRule="auto"/>
        <w:ind w:left="788" w:hanging="431"/>
        <w:jc w:val="both"/>
        <w:outlineLvl w:val="0"/>
        <w:rPr>
          <w:rStyle w:val="Heading1Char"/>
          <w:rFonts w:ascii="Times New Roman" w:hAnsi="Times New Roman" w:cs="Times New Roman"/>
          <w:noProof/>
          <w:color w:val="auto"/>
          <w:sz w:val="24"/>
          <w:szCs w:val="24"/>
        </w:rPr>
      </w:pPr>
      <w:r>
        <w:rPr>
          <w:rStyle w:val="Heading1Char"/>
          <w:rFonts w:ascii="Times New Roman" w:hAnsi="Times New Roman"/>
          <w:noProof/>
          <w:color w:val="auto"/>
          <w:sz w:val="24"/>
        </w:rPr>
        <w:t xml:space="preserve">Yksinkertaistaminen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Hiljattain käyttöön otettu hakemusten jättämiseen tarkoitettu järjestelmä (rahoitus- ja tarjouskilpailuportaali) yksinkertaisti hakumenettelyä ja paransi seurantatietojen keruuta ja yhdistämistä. Tuensaajat arvioivat yleisesti ottaen myönteisesti uusia tietoteknisiä välineitä, jotka on kehitetty hakemusten ja avustusten hallinnointia varten, ja pitävät niitä tehokkaina ja helppokäyttöisinä. Digitalisaation lisääntymistä pidetään selvästi myönteisenä kehityksenä, vaikkakin prosessia voitaisiin edelleen yksinkertaistaa erityisesti hakijoilta vaadittaviin asiakirjoihin liittyvän hallinnollisen rasitteen osalta.</w:t>
      </w:r>
    </w:p>
    <w:p w:rsidR="0057554D" w:rsidRDefault="0057554D">
      <w:pPr>
        <w:spacing w:before="120" w:after="120" w:line="240" w:lineRule="auto"/>
        <w:jc w:val="both"/>
        <w:rPr>
          <w:rFonts w:ascii="Times New Roman" w:eastAsia="Times New Roman" w:hAnsi="Times New Roman" w:cs="Times New Roman"/>
          <w:noProof/>
          <w:color w:val="000000" w:themeColor="text1"/>
          <w:sz w:val="24"/>
          <w:szCs w:val="24"/>
        </w:rPr>
      </w:pPr>
    </w:p>
    <w:p w:rsidR="0057554D" w:rsidRDefault="00EE12D7">
      <w:pPr>
        <w:pStyle w:val="ListParagraph"/>
        <w:keepNext/>
        <w:numPr>
          <w:ilvl w:val="0"/>
          <w:numId w:val="4"/>
        </w:numPr>
        <w:tabs>
          <w:tab w:val="left" w:pos="850"/>
        </w:tabs>
        <w:spacing w:after="120" w:line="240" w:lineRule="auto"/>
        <w:jc w:val="both"/>
        <w:outlineLvl w:val="0"/>
        <w:rPr>
          <w:rFonts w:ascii="Times New Roman" w:eastAsia="Times New Roman" w:hAnsi="Times New Roman" w:cs="Times New Roman"/>
          <w:b/>
          <w:bCs/>
          <w:smallCaps/>
          <w:noProof/>
          <w:sz w:val="24"/>
          <w:szCs w:val="24"/>
        </w:rPr>
      </w:pPr>
      <w:r>
        <w:rPr>
          <w:rFonts w:ascii="Times New Roman" w:hAnsi="Times New Roman"/>
          <w:b/>
          <w:smallCaps/>
          <w:noProof/>
          <w:sz w:val="24"/>
        </w:rPr>
        <w:t>Päätelmät ja jatkotoimet</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Vuosien 2014–2020 perusoikeus-, tasa-arvo- ja kansalaisuusohjelma käynnistettiin, kun talous- ja rahoituskriisin vaikutukset olivat yleisesti vähentäneet sosiaali- ja perusoikeuskysymyksiin käytettävissä olevia kansallisia varoja ja rahoitusta. Tässä vaikeassa poliittisessa ja taloudellisessa tilanteessa ohjelma on osoittanut </w:t>
      </w:r>
      <w:r>
        <w:rPr>
          <w:rFonts w:ascii="Times New Roman" w:hAnsi="Times New Roman"/>
          <w:b/>
          <w:noProof/>
          <w:sz w:val="24"/>
        </w:rPr>
        <w:t>EU:n lisäarvonsa ja ratkaisevan tärkeän roolinsa tasa-arvoon ja oikeuksiin perustuvan eurooppalaisen alueen kehittämisessä</w:t>
      </w:r>
      <w:r>
        <w:rPr>
          <w:rFonts w:ascii="Times New Roman" w:hAnsi="Times New Roman"/>
          <w:noProof/>
          <w:sz w:val="24"/>
        </w:rPr>
        <w:t>.</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Perusoikeus-, tasa-arvo- ja kansalaisuusohjelma </w:t>
      </w:r>
      <w:r>
        <w:rPr>
          <w:rFonts w:ascii="Times New Roman" w:hAnsi="Times New Roman"/>
          <w:b/>
          <w:noProof/>
          <w:sz w:val="24"/>
        </w:rPr>
        <w:t>on edelleen merkityksellinen</w:t>
      </w:r>
      <w:r>
        <w:rPr>
          <w:rFonts w:ascii="Times New Roman" w:hAnsi="Times New Roman"/>
          <w:noProof/>
          <w:sz w:val="24"/>
        </w:rPr>
        <w:t xml:space="preserve"> sidosryhmien ja EU:n kansalaisten muuttuvien tarpeiden kannalta. Tämä varmistettiin </w:t>
      </w:r>
      <w:r>
        <w:rPr>
          <w:rFonts w:ascii="Times New Roman" w:hAnsi="Times New Roman"/>
          <w:b/>
          <w:noProof/>
          <w:sz w:val="24"/>
        </w:rPr>
        <w:t>joustavalla ohjelmasuunnittelulla</w:t>
      </w:r>
      <w:r>
        <w:rPr>
          <w:rFonts w:ascii="Times New Roman" w:hAnsi="Times New Roman"/>
          <w:noProof/>
          <w:sz w:val="24"/>
        </w:rPr>
        <w:t xml:space="preserve">, johon kuului esiin nousevien poliittisten tarpeiden ja kysymysten vuotuinen priorisointi sekä vuoropuhelu kansalaisjärjestöjen kanssa.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Kerätyn laadullisen näytön perusteella perusoikeus-, tasa-arvo- ja kansalaisuusohjelman täytäntöönpano oli yleisesti ottaen </w:t>
      </w:r>
      <w:r>
        <w:rPr>
          <w:rFonts w:ascii="Times New Roman" w:hAnsi="Times New Roman"/>
          <w:b/>
          <w:noProof/>
          <w:sz w:val="24"/>
        </w:rPr>
        <w:t>vaikuttavaa ja edisti ohjelman yleisten tavoitteiden saavuttamista</w:t>
      </w:r>
      <w:r>
        <w:rPr>
          <w:rFonts w:ascii="Times New Roman" w:hAnsi="Times New Roman"/>
          <w:noProof/>
          <w:sz w:val="24"/>
        </w:rPr>
        <w:t xml:space="preserve">. Tämä johtui erityisesti siitä, että </w:t>
      </w:r>
      <w:r>
        <w:rPr>
          <w:rFonts w:ascii="Times New Roman" w:hAnsi="Times New Roman"/>
          <w:b/>
          <w:noProof/>
          <w:sz w:val="24"/>
        </w:rPr>
        <w:t>useimmat perusoikeus-, tasa-arvo- ja kansalaisuusohjelman rahoituksella toteutetut hankkeet olivat laadukkaita</w:t>
      </w:r>
      <w:r>
        <w:rPr>
          <w:rFonts w:ascii="Times New Roman" w:hAnsi="Times New Roman"/>
          <w:noProof/>
          <w:sz w:val="24"/>
        </w:rPr>
        <w:t xml:space="preserve">, minkä ansiosta voitiin toteuttaa </w:t>
      </w:r>
      <w:r>
        <w:rPr>
          <w:rFonts w:ascii="Times New Roman" w:hAnsi="Times New Roman"/>
          <w:b/>
          <w:noProof/>
          <w:sz w:val="24"/>
        </w:rPr>
        <w:t>suoraan muuttuviin paikallisiin tarpeisiin liittyviä</w:t>
      </w:r>
      <w:r>
        <w:rPr>
          <w:rFonts w:ascii="Times New Roman" w:hAnsi="Times New Roman"/>
          <w:noProof/>
          <w:sz w:val="24"/>
        </w:rPr>
        <w:t xml:space="preserve"> konkreettisia toimia.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Sekä asiakirjatutkimus että kenttätyö osoittavat, että hankkeet onnistuivat suurelta osin suunniteltujen toimien toteuttamisessa ja että </w:t>
      </w:r>
      <w:r>
        <w:rPr>
          <w:rFonts w:ascii="Times New Roman" w:hAnsi="Times New Roman"/>
          <w:b/>
          <w:noProof/>
          <w:sz w:val="24"/>
        </w:rPr>
        <w:t>lähes kaikissa päätökseen saatetuissa hankkeissa on saavutettu odotetut tulokset</w:t>
      </w:r>
      <w:r>
        <w:rPr>
          <w:rFonts w:ascii="Times New Roman" w:hAnsi="Times New Roman"/>
          <w:noProof/>
          <w:sz w:val="24"/>
        </w:rPr>
        <w:t xml:space="preserve">. </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Tutkimuksessa kerätty laadullinen näyttö viittaa siihen, että </w:t>
      </w:r>
      <w:r>
        <w:rPr>
          <w:rFonts w:ascii="Times New Roman" w:hAnsi="Times New Roman"/>
          <w:b/>
          <w:noProof/>
          <w:sz w:val="24"/>
        </w:rPr>
        <w:t>perusoikeus-, tasa-arvo- ja kansalaisuusohjelman hyödyt ovat kustannuksia suuremmat</w:t>
      </w:r>
      <w:r>
        <w:rPr>
          <w:rFonts w:ascii="Times New Roman" w:hAnsi="Times New Roman"/>
          <w:noProof/>
          <w:sz w:val="24"/>
        </w:rPr>
        <w:t>.</w:t>
      </w:r>
    </w:p>
    <w:p w:rsidR="0057554D" w:rsidRDefault="00EE12D7">
      <w:pPr>
        <w:spacing w:before="120" w:after="120" w:line="240" w:lineRule="auto"/>
        <w:jc w:val="both"/>
        <w:rPr>
          <w:rFonts w:ascii="Times New Roman" w:hAnsi="Times New Roman" w:cs="Times New Roman"/>
          <w:noProof/>
          <w:sz w:val="24"/>
          <w:szCs w:val="24"/>
        </w:rPr>
      </w:pPr>
      <w:r>
        <w:rPr>
          <w:rFonts w:ascii="Times New Roman" w:hAnsi="Times New Roman"/>
          <w:noProof/>
          <w:sz w:val="24"/>
        </w:rPr>
        <w:t>Kun tarkastellaan vuoden 2011 vaikutustenarvioinnissa</w:t>
      </w:r>
      <w:r>
        <w:rPr>
          <w:rStyle w:val="FootnoteAnchor"/>
          <w:rFonts w:ascii="Times New Roman" w:hAnsi="Times New Roman"/>
          <w:noProof/>
          <w:sz w:val="24"/>
        </w:rPr>
        <w:footnoteReference w:id="11"/>
      </w:r>
      <w:r>
        <w:rPr>
          <w:rFonts w:ascii="Times New Roman" w:hAnsi="Times New Roman"/>
          <w:noProof/>
          <w:sz w:val="24"/>
          <w:vertAlign w:val="superscript"/>
        </w:rPr>
        <w:t xml:space="preserve"> </w:t>
      </w:r>
      <w:r>
        <w:rPr>
          <w:rFonts w:ascii="Times New Roman" w:hAnsi="Times New Roman"/>
          <w:noProof/>
          <w:sz w:val="24"/>
        </w:rPr>
        <w:t>ja kolmen edellisen ohjelman (Daphne III, perusoikeuksia ja kansalaisuutta koskeva ohjelma sekä Progress-ohjelma)</w:t>
      </w:r>
      <w:r>
        <w:rPr>
          <w:rStyle w:val="FootnoteAnchor"/>
          <w:rFonts w:ascii="Times New Roman" w:hAnsi="Times New Roman"/>
          <w:noProof/>
          <w:sz w:val="24"/>
        </w:rPr>
        <w:footnoteReference w:id="12"/>
      </w:r>
      <w:r>
        <w:rPr>
          <w:rFonts w:ascii="Times New Roman" w:hAnsi="Times New Roman"/>
          <w:noProof/>
          <w:sz w:val="24"/>
        </w:rPr>
        <w:t xml:space="preserve"> vuoden 2015 jälkiarvioinnissa kuvattua perustilannetta, arviointinäyttö osoittaa, että lähes kaikki tuolloin havaitut ongelmat on perusoikeus-, tasa-arvo- ja kansalaisuusohjelmassa ratkaistu, lukuun ottamatta jatkuvaa maantieteellistä epätasapainoa.</w:t>
      </w:r>
    </w:p>
    <w:p w:rsidR="0057554D" w:rsidRDefault="00EE12D7">
      <w:pPr>
        <w:spacing w:before="120" w:after="120" w:line="240" w:lineRule="auto"/>
        <w:jc w:val="both"/>
        <w:rPr>
          <w:rFonts w:ascii="Times New Roman" w:hAnsi="Times New Roman" w:cs="Times New Roman"/>
          <w:noProof/>
          <w:sz w:val="24"/>
          <w:szCs w:val="24"/>
        </w:rPr>
      </w:pPr>
      <w:bookmarkStart w:id="13" w:name="3"/>
      <w:bookmarkEnd w:id="13"/>
      <w:r>
        <w:rPr>
          <w:rFonts w:ascii="Times New Roman" w:hAnsi="Times New Roman"/>
          <w:noProof/>
          <w:color w:val="000000" w:themeColor="text1"/>
          <w:sz w:val="24"/>
        </w:rPr>
        <w:t xml:space="preserve">Arvioinnissa yksilöitiin myös monia </w:t>
      </w:r>
      <w:r>
        <w:rPr>
          <w:rFonts w:ascii="Times New Roman" w:hAnsi="Times New Roman"/>
          <w:noProof/>
          <w:sz w:val="24"/>
        </w:rPr>
        <w:t>kokemuksia, jotka otetaan huomioon perusoikeus-, tasa-arvo- ja kansalaisuusohjelman seuraajassa eli kansalaisten, tasa-arvon, perusoikeuksien ja arvojen ohjelmassa. Erityisesti yksilöitiin tarve kehittää vankempi seurantakehys, jolla kerätään järjestelmällisesti tietoja tuotoksista ja saavutetuista tuloksista, harkita lisätoimenpiteitä maantieteellisen tasapainon parantamiseksi, soveltaa tulossuuntautuneempaa lähestymistapaa, vähentää hakijoille ja tuensaajille aiheutuvaa hallinnollista taakkaa ja vahvistaa sukupuolten tasa-arvon valtavirtaistamista.</w:t>
      </w:r>
    </w:p>
    <w:sectPr w:rsidR="0057554D">
      <w:headerReference w:type="even" r:id="rId25"/>
      <w:headerReference w:type="default" r:id="rId26"/>
      <w:footerReference w:type="even" r:id="rId27"/>
      <w:footerReference w:type="default" r:id="rId28"/>
      <w:headerReference w:type="first" r:id="rId29"/>
      <w:footerReference w:type="first" r:id="rId30"/>
      <w:pgSz w:w="11906" w:h="16838"/>
      <w:pgMar w:top="1134" w:right="1417" w:bottom="1134" w:left="1417" w:header="709"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2C2" w:rsidRDefault="00EE12D7">
      <w:pPr>
        <w:spacing w:after="0" w:line="240" w:lineRule="auto"/>
      </w:pPr>
      <w:r>
        <w:separator/>
      </w:r>
    </w:p>
  </w:endnote>
  <w:endnote w:type="continuationSeparator" w:id="0">
    <w:p w:rsidR="001962C2" w:rsidRDefault="00EE1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9AD" w:rsidRPr="006249AD" w:rsidRDefault="006249AD" w:rsidP="006249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7F8D" w:rsidRPr="006249AD" w:rsidRDefault="006249AD" w:rsidP="006249AD">
    <w:pPr>
      <w:pStyle w:val="FooterCoverPage"/>
      <w:rPr>
        <w:rFonts w:ascii="Arial" w:hAnsi="Arial" w:cs="Arial"/>
        <w:b/>
        <w:sz w:val="48"/>
      </w:rPr>
    </w:pPr>
    <w:r w:rsidRPr="006249AD">
      <w:rPr>
        <w:rFonts w:ascii="Arial" w:hAnsi="Arial" w:cs="Arial"/>
        <w:b/>
        <w:sz w:val="48"/>
      </w:rPr>
      <w:t>FI</w:t>
    </w:r>
    <w:r w:rsidRPr="006249AD">
      <w:rPr>
        <w:rFonts w:ascii="Arial" w:hAnsi="Arial" w:cs="Arial"/>
        <w:b/>
        <w:sz w:val="48"/>
      </w:rPr>
      <w:tab/>
    </w:r>
    <w:r w:rsidRPr="006249AD">
      <w:rPr>
        <w:rFonts w:ascii="Arial" w:hAnsi="Arial" w:cs="Arial"/>
        <w:b/>
        <w:sz w:val="48"/>
      </w:rPr>
      <w:tab/>
    </w:r>
    <w:r w:rsidRPr="006249AD">
      <w:tab/>
    </w:r>
    <w:r w:rsidRPr="006249AD">
      <w:rPr>
        <w:rFonts w:ascii="Arial" w:hAnsi="Arial" w:cs="Arial"/>
        <w:b/>
        <w:sz w:val="48"/>
      </w:rPr>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9AD" w:rsidRPr="006249AD" w:rsidRDefault="006249AD" w:rsidP="006249A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2D7" w:rsidRDefault="00EE12D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4038063"/>
      <w:docPartObj>
        <w:docPartGallery w:val="Page Numbers (Bottom of Page)"/>
        <w:docPartUnique/>
      </w:docPartObj>
    </w:sdtPr>
    <w:sdtEndPr/>
    <w:sdtContent>
      <w:p w:rsidR="0057554D" w:rsidRDefault="00EE12D7">
        <w:pPr>
          <w:pStyle w:val="Footer"/>
          <w:jc w:val="center"/>
        </w:pPr>
        <w:r>
          <w:fldChar w:fldCharType="begin"/>
        </w:r>
        <w:r>
          <w:instrText>PAGE</w:instrText>
        </w:r>
        <w:r>
          <w:fldChar w:fldCharType="separate"/>
        </w:r>
        <w:r w:rsidR="006249AD">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2D7" w:rsidRDefault="00EE12D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2D7" w:rsidRDefault="00EE12D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9450490"/>
      <w:docPartObj>
        <w:docPartGallery w:val="Page Numbers (Bottom of Page)"/>
        <w:docPartUnique/>
      </w:docPartObj>
    </w:sdtPr>
    <w:sdtEndPr/>
    <w:sdtContent>
      <w:p w:rsidR="0057554D" w:rsidRDefault="00EE12D7">
        <w:pPr>
          <w:pStyle w:val="Footer"/>
          <w:jc w:val="center"/>
        </w:pPr>
        <w:r>
          <w:fldChar w:fldCharType="begin"/>
        </w:r>
        <w:r>
          <w:instrText>PAGE</w:instrText>
        </w:r>
        <w:r>
          <w:fldChar w:fldCharType="separate"/>
        </w:r>
        <w:r w:rsidR="006249AD">
          <w:rPr>
            <w:noProof/>
          </w:rPr>
          <w:t>11</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2D7" w:rsidRDefault="00EE12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54D" w:rsidRDefault="00EE12D7">
      <w:pPr>
        <w:rPr>
          <w:sz w:val="12"/>
        </w:rPr>
      </w:pPr>
      <w:r>
        <w:separator/>
      </w:r>
    </w:p>
  </w:footnote>
  <w:footnote w:type="continuationSeparator" w:id="0">
    <w:p w:rsidR="0057554D" w:rsidRDefault="00EE12D7">
      <w:pPr>
        <w:rPr>
          <w:sz w:val="12"/>
        </w:rPr>
      </w:pPr>
      <w:r>
        <w:continuationSeparator/>
      </w:r>
    </w:p>
  </w:footnote>
  <w:footnote w:id="1">
    <w:p w:rsidR="0057554D" w:rsidRDefault="00EE12D7">
      <w:pPr>
        <w:pStyle w:val="FootnoteText"/>
        <w:jc w:val="both"/>
        <w:rPr>
          <w:rFonts w:ascii="Times New Roman" w:hAnsi="Times New Roman" w:cs="Times New Roman"/>
          <w:szCs w:val="16"/>
        </w:rPr>
      </w:pPr>
      <w:r>
        <w:rPr>
          <w:rStyle w:val="FootnoteCharacters"/>
        </w:rPr>
        <w:footnoteRef/>
      </w:r>
      <w:r>
        <w:rPr>
          <w:rFonts w:ascii="Times New Roman" w:hAnsi="Times New Roman"/>
        </w:rPr>
        <w:t xml:space="preserve"> Asetus (EU) N:o 1381/2013, annettu 17 päivänä joulukuuta 2013, perusoikeus-, tasa-arvo- ja kansalaisuusohjelman perustamisesta kaudelle 2014–2020 (EUVL L 354, 28.12.2013).</w:t>
      </w:r>
    </w:p>
  </w:footnote>
  <w:footnote w:id="2">
    <w:p w:rsidR="0057554D" w:rsidRDefault="00EE12D7">
      <w:pPr>
        <w:pStyle w:val="FootnoteText"/>
        <w:rPr>
          <w:rFonts w:ascii="Times New Roman" w:hAnsi="Times New Roman" w:cs="Times New Roman"/>
          <w:sz w:val="16"/>
          <w:szCs w:val="16"/>
        </w:rPr>
      </w:pPr>
      <w:r>
        <w:rPr>
          <w:rStyle w:val="FootnoteCharacters"/>
        </w:rPr>
        <w:footnoteRef/>
      </w:r>
      <w:r>
        <w:rPr>
          <w:rFonts w:ascii="Times New Roman" w:hAnsi="Times New Roman"/>
        </w:rPr>
        <w:t xml:space="preserve"> Perusoikeus-, tasa-arvo- ja kansalaisuusohjelman 2014–2020 toteuttamisen arviointia koskevan kertomuksen mukana oleva komission yksiköiden valmisteluasiakirja.</w:t>
      </w:r>
    </w:p>
  </w:footnote>
  <w:footnote w:id="3">
    <w:p w:rsidR="0057554D" w:rsidRPr="00F97F8D" w:rsidRDefault="00EE12D7">
      <w:pPr>
        <w:pStyle w:val="FootnoteText"/>
        <w:rPr>
          <w:rFonts w:ascii="Times New Roman" w:hAnsi="Times New Roman" w:cs="Times New Roman"/>
          <w:lang w:val="en-US"/>
        </w:rPr>
      </w:pPr>
      <w:r>
        <w:rPr>
          <w:rStyle w:val="FootnoteCharacters"/>
        </w:rPr>
        <w:footnoteRef/>
      </w:r>
      <w:r w:rsidRPr="00F97F8D">
        <w:rPr>
          <w:rFonts w:ascii="Times New Roman" w:hAnsi="Times New Roman"/>
          <w:lang w:val="en-US"/>
        </w:rPr>
        <w:t xml:space="preserve"> Euroopan komissio (2015), Ex-post evaluation of five programmes implemented under the 2007–2013 financial perspective – final report. Ohjelmakohtaiset arvioinnit: Daphne-ohjelma, </w:t>
      </w:r>
      <w:hyperlink r:id="rId1">
        <w:r w:rsidRPr="00F97F8D">
          <w:rPr>
            <w:rStyle w:val="Hyperlink"/>
            <w:rFonts w:ascii="Times New Roman" w:hAnsi="Times New Roman"/>
            <w:lang w:val="en-US"/>
          </w:rPr>
          <w:t>http://ec.europa.eu/justice/grants1/files/expost_evaluations_2007_2013/daphne_programme_evaluation__final_report.pdf</w:t>
        </w:r>
      </w:hyperlink>
      <w:r w:rsidRPr="00F97F8D">
        <w:rPr>
          <w:rFonts w:ascii="Times New Roman" w:hAnsi="Times New Roman"/>
          <w:lang w:val="en-US"/>
        </w:rPr>
        <w:t xml:space="preserve">; Ohjelmakohtaiset arvioinnit: Perusoikeuksia ja kansalaisuutta koskeva ohjelma, </w:t>
      </w:r>
      <w:hyperlink r:id="rId2">
        <w:r w:rsidRPr="00F97F8D">
          <w:rPr>
            <w:rStyle w:val="Hyperlink"/>
            <w:rFonts w:ascii="Times New Roman" w:hAnsi="Times New Roman"/>
            <w:lang w:val="en-US"/>
          </w:rPr>
          <w:t>http://ec.europa.eu/justice/grants1/files/expost_evaluations_2007_2013/frc_programme_evaluation_final_report.pdf</w:t>
        </w:r>
      </w:hyperlink>
      <w:r w:rsidRPr="00F97F8D">
        <w:rPr>
          <w:rFonts w:ascii="Times New Roman" w:hAnsi="Times New Roman"/>
          <w:lang w:val="en-US"/>
        </w:rPr>
        <w:t xml:space="preserve">; </w:t>
      </w:r>
      <w:r w:rsidRPr="00F97F8D">
        <w:rPr>
          <w:rFonts w:ascii="Times New Roman" w:hAnsi="Times New Roman"/>
          <w:i/>
          <w:lang w:val="en-US"/>
        </w:rPr>
        <w:t>ex post</w:t>
      </w:r>
      <w:r w:rsidRPr="00F97F8D">
        <w:rPr>
          <w:rFonts w:ascii="Times New Roman" w:hAnsi="Times New Roman"/>
          <w:lang w:val="en-US"/>
        </w:rPr>
        <w:t xml:space="preserve"> evaluation of the programme for employment and social solidarity – PROGRESS 2007-2013 and recommendations for the successor programmes to PROGRESS 2014-2020 </w:t>
      </w:r>
      <w:hyperlink r:id="rId3">
        <w:r w:rsidRPr="00F97F8D">
          <w:rPr>
            <w:rStyle w:val="Hyperlink"/>
            <w:rFonts w:ascii="Times New Roman" w:hAnsi="Times New Roman"/>
            <w:lang w:val="en-US"/>
          </w:rPr>
          <w:t>http://ec.europa.eu/social/BlobServlet?docId=12610&amp;langId=en</w:t>
        </w:r>
      </w:hyperlink>
      <w:r w:rsidRPr="00F97F8D">
        <w:rPr>
          <w:rStyle w:val="Hyperlink"/>
          <w:rFonts w:ascii="Times New Roman" w:hAnsi="Times New Roman"/>
          <w:lang w:val="en-US"/>
        </w:rPr>
        <w:t>.</w:t>
      </w:r>
    </w:p>
  </w:footnote>
  <w:footnote w:id="4">
    <w:p w:rsidR="0057554D" w:rsidRDefault="00EE12D7">
      <w:pPr>
        <w:pStyle w:val="FootnoteText"/>
        <w:rPr>
          <w:rFonts w:ascii="Times New Roman" w:hAnsi="Times New Roman" w:cs="Times New Roman"/>
        </w:rPr>
      </w:pPr>
      <w:r>
        <w:rPr>
          <w:rStyle w:val="FootnoteCharacters"/>
        </w:rPr>
        <w:footnoteRef/>
      </w:r>
      <w:r>
        <w:rPr>
          <w:rFonts w:ascii="Times New Roman" w:hAnsi="Times New Roman"/>
        </w:rPr>
        <w:t xml:space="preserve"> </w:t>
      </w:r>
      <w:r>
        <w:rPr>
          <w:rFonts w:ascii="Times New Roman" w:hAnsi="Times New Roman"/>
          <w:color w:val="000000" w:themeColor="text1"/>
        </w:rPr>
        <w:t>Vuosia 2014–2015 koskevia tietoja ei ole saatavilla.</w:t>
      </w:r>
    </w:p>
  </w:footnote>
  <w:footnote w:id="5">
    <w:p w:rsidR="0057554D" w:rsidRDefault="00EE12D7">
      <w:pPr>
        <w:pStyle w:val="FootnoteText"/>
        <w:rPr>
          <w:rFonts w:ascii="Times New Roman" w:hAnsi="Times New Roman" w:cs="Times New Roman"/>
        </w:rPr>
      </w:pPr>
      <w:r>
        <w:rPr>
          <w:rStyle w:val="FootnoteCharacters"/>
        </w:rPr>
        <w:footnoteRef/>
      </w:r>
      <w:r>
        <w:rPr>
          <w:rFonts w:ascii="Times New Roman" w:hAnsi="Times New Roman"/>
        </w:rPr>
        <w:t xml:space="preserve"> </w:t>
      </w:r>
      <w:r>
        <w:rPr>
          <w:rFonts w:ascii="Times New Roman" w:hAnsi="Times New Roman"/>
          <w:color w:val="000000" w:themeColor="text1"/>
        </w:rPr>
        <w:t>Vuosia 2014–2015 koskevia tietoja ei ole saatavilla.</w:t>
      </w:r>
    </w:p>
  </w:footnote>
  <w:footnote w:id="6">
    <w:p w:rsidR="0057554D" w:rsidRDefault="00EE12D7">
      <w:pPr>
        <w:pStyle w:val="BulletBody"/>
        <w:numPr>
          <w:ilvl w:val="0"/>
          <w:numId w:val="0"/>
        </w:numPr>
        <w:spacing w:before="0" w:after="0"/>
        <w:rPr>
          <w:rFonts w:ascii="Times New Roman" w:hAnsi="Times New Roman" w:cs="Times New Roman"/>
          <w:sz w:val="24"/>
          <w:szCs w:val="24"/>
        </w:rPr>
      </w:pPr>
      <w:r>
        <w:rPr>
          <w:rStyle w:val="FootnoteCharacters"/>
        </w:rPr>
        <w:footnoteRef/>
      </w:r>
      <w:r>
        <w:rPr>
          <w:rFonts w:ascii="Times New Roman" w:hAnsi="Times New Roman"/>
        </w:rPr>
        <w:t xml:space="preserve"> Tukea sellaisen alueen edelleen kehittämistä, missä edistetään, suojellaan ja tosiasiallisesti toteutetaan (Euroopan unionista tehdyssä sopimuksessa, Euroopan unionin toiminnasta tehdyssä sopimuksessa, Euroopan unionin perusoikeuskirjassa sekä sellaisissa kansainvälisissä ihmisoikeussopimuksissa, joihin unioni on liittynyt, vahvistettua) tasa-arvoa ja yksilön oikeuksia.</w:t>
      </w:r>
      <w:r>
        <w:rPr>
          <w:rFonts w:ascii="Times New Roman" w:hAnsi="Times New Roman"/>
          <w:sz w:val="24"/>
        </w:rPr>
        <w:t xml:space="preserve"> </w:t>
      </w:r>
    </w:p>
  </w:footnote>
  <w:footnote w:id="7">
    <w:p w:rsidR="0057554D" w:rsidRPr="00EE12D7" w:rsidRDefault="00EE12D7">
      <w:pPr>
        <w:pStyle w:val="FootnoteText"/>
        <w:rPr>
          <w:rFonts w:ascii="Times New Roman" w:hAnsi="Times New Roman" w:cs="Times New Roman"/>
        </w:rPr>
      </w:pPr>
      <w:r>
        <w:rPr>
          <w:rStyle w:val="FootnoteCharacters"/>
        </w:rPr>
        <w:footnoteRef/>
      </w:r>
      <w:r>
        <w:rPr>
          <w:rFonts w:ascii="Times New Roman" w:hAnsi="Times New Roman"/>
        </w:rPr>
        <w:t xml:space="preserve"> Esimerkiksi ”niiden kansalaisten osuus, jotka katsovat olevansa hyvin tai erittäin hyvin perillä oikeuksistaan unionin kansalaisina”, ”kuluttajien luottamus rajatylittäviin ostoksiin” ja ”niiden ihmisten prosenttiosuus, jotka pitävät naisiin kohdistuvaa perheväkivaltaa mahdottomana hyväksyä”.</w:t>
      </w:r>
    </w:p>
  </w:footnote>
  <w:footnote w:id="8">
    <w:p w:rsidR="0057554D" w:rsidRDefault="00EE12D7">
      <w:pPr>
        <w:pStyle w:val="FootnoteText"/>
        <w:rPr>
          <w:rFonts w:ascii="Times New Roman" w:hAnsi="Times New Roman" w:cs="Times New Roman"/>
        </w:rPr>
      </w:pPr>
      <w:r>
        <w:rPr>
          <w:rStyle w:val="FootnoteCharacters"/>
        </w:rPr>
        <w:footnoteRef/>
      </w:r>
      <w:r>
        <w:rPr>
          <w:rFonts w:ascii="Times New Roman" w:hAnsi="Times New Roman"/>
        </w:rPr>
        <w:t xml:space="preserve"> SEC(2011) 1364 final, ks. edellinen alaviite.</w:t>
      </w:r>
    </w:p>
  </w:footnote>
  <w:footnote w:id="9">
    <w:p w:rsidR="0057554D" w:rsidRPr="00F97F8D" w:rsidRDefault="00EE12D7">
      <w:pPr>
        <w:pStyle w:val="FootnoteText"/>
        <w:rPr>
          <w:rFonts w:ascii="Times New Roman" w:hAnsi="Times New Roman" w:cs="Times New Roman"/>
          <w:lang w:val="en-US"/>
        </w:rPr>
      </w:pPr>
      <w:r>
        <w:rPr>
          <w:rStyle w:val="FootnoteCharacters"/>
        </w:rPr>
        <w:footnoteRef/>
      </w:r>
      <w:r w:rsidRPr="00F97F8D">
        <w:rPr>
          <w:rFonts w:ascii="Times New Roman" w:hAnsi="Times New Roman"/>
          <w:color w:val="000000"/>
          <w:lang w:val="en-US"/>
        </w:rPr>
        <w:t xml:space="preserve"> </w:t>
      </w:r>
      <w:r w:rsidRPr="00F97F8D">
        <w:rPr>
          <w:rFonts w:ascii="Times New Roman" w:hAnsi="Times New Roman"/>
          <w:lang w:val="en-US"/>
        </w:rPr>
        <w:t xml:space="preserve">Euroopan komissio (2015), </w:t>
      </w:r>
      <w:r w:rsidRPr="00F97F8D">
        <w:rPr>
          <w:rFonts w:ascii="Times New Roman" w:hAnsi="Times New Roman"/>
          <w:i/>
          <w:lang w:val="en-US"/>
        </w:rPr>
        <w:t>ex post</w:t>
      </w:r>
      <w:r w:rsidRPr="00F97F8D">
        <w:rPr>
          <w:rFonts w:ascii="Times New Roman" w:hAnsi="Times New Roman"/>
          <w:lang w:val="en-US"/>
        </w:rPr>
        <w:t xml:space="preserve"> evaluation of five programmes implemented under the 2007-2013 financial perspective – final report, </w:t>
      </w:r>
      <w:r w:rsidRPr="00F97F8D">
        <w:rPr>
          <w:rFonts w:ascii="Times New Roman" w:hAnsi="Times New Roman"/>
          <w:color w:val="000000"/>
          <w:lang w:val="en-US"/>
        </w:rPr>
        <w:t>ks. edellinen alaviite.</w:t>
      </w:r>
      <w:r w:rsidRPr="00F97F8D">
        <w:rPr>
          <w:rFonts w:ascii="Times New Roman" w:hAnsi="Times New Roman"/>
          <w:lang w:val="en-US"/>
        </w:rPr>
        <w:t xml:space="preserve"> </w:t>
      </w:r>
    </w:p>
  </w:footnote>
  <w:footnote w:id="10">
    <w:p w:rsidR="0057554D" w:rsidRPr="00EE12D7" w:rsidRDefault="00EE12D7">
      <w:pPr>
        <w:pStyle w:val="FootnoteText"/>
        <w:rPr>
          <w:rFonts w:ascii="Times New Roman" w:hAnsi="Times New Roman" w:cs="Times New Roman"/>
        </w:rPr>
      </w:pPr>
      <w:r>
        <w:rPr>
          <w:rStyle w:val="FootnoteCharacters"/>
        </w:rPr>
        <w:footnoteRef/>
      </w:r>
      <w:r>
        <w:rPr>
          <w:rFonts w:ascii="Times New Roman" w:hAnsi="Times New Roman"/>
        </w:rPr>
        <w:t xml:space="preserve"> Laaja-alaisella vaikutuksella tarkoitetaan nykyisten toimien laajentamista tukemalla ryhmiä tai politiikanaloja, jotka eivät muuten olisi saaneet tällaista tukea.</w:t>
      </w:r>
    </w:p>
  </w:footnote>
  <w:footnote w:id="11">
    <w:p w:rsidR="0057554D" w:rsidRDefault="00EE12D7">
      <w:pPr>
        <w:pStyle w:val="FootnoteText"/>
        <w:rPr>
          <w:rFonts w:ascii="Times New Roman" w:hAnsi="Times New Roman" w:cs="Times New Roman"/>
        </w:rPr>
      </w:pPr>
      <w:r>
        <w:rPr>
          <w:rStyle w:val="FootnoteCharacters"/>
        </w:rPr>
        <w:footnoteRef/>
      </w:r>
      <w:r>
        <w:rPr>
          <w:rFonts w:ascii="Times New Roman" w:hAnsi="Times New Roman"/>
        </w:rPr>
        <w:t xml:space="preserve"> SEC(2011) 1364 final, ks. edellinen alaviite.</w:t>
      </w:r>
    </w:p>
  </w:footnote>
  <w:footnote w:id="12">
    <w:p w:rsidR="0057554D" w:rsidRPr="00F97F8D" w:rsidRDefault="00EE12D7">
      <w:pPr>
        <w:pStyle w:val="FootnoteText"/>
        <w:rPr>
          <w:rFonts w:ascii="Times New Roman" w:hAnsi="Times New Roman" w:cs="Times New Roman"/>
          <w:sz w:val="16"/>
          <w:szCs w:val="16"/>
          <w:lang w:val="en-US"/>
        </w:rPr>
      </w:pPr>
      <w:r>
        <w:rPr>
          <w:rStyle w:val="FootnoteCharacters"/>
        </w:rPr>
        <w:footnoteRef/>
      </w:r>
      <w:r w:rsidRPr="00F97F8D">
        <w:rPr>
          <w:rFonts w:ascii="Times New Roman" w:hAnsi="Times New Roman"/>
          <w:color w:val="000000"/>
          <w:lang w:val="en-US"/>
        </w:rPr>
        <w:t xml:space="preserve"> </w:t>
      </w:r>
      <w:r w:rsidRPr="00F97F8D">
        <w:rPr>
          <w:rFonts w:ascii="Times New Roman" w:hAnsi="Times New Roman"/>
          <w:lang w:val="en-US"/>
        </w:rPr>
        <w:t xml:space="preserve">Euroopan komissio (2015), </w:t>
      </w:r>
      <w:r w:rsidRPr="00F97F8D">
        <w:rPr>
          <w:rFonts w:ascii="Times New Roman" w:hAnsi="Times New Roman"/>
          <w:i/>
          <w:lang w:val="en-US"/>
        </w:rPr>
        <w:t>ex post</w:t>
      </w:r>
      <w:r w:rsidRPr="00F97F8D">
        <w:rPr>
          <w:rFonts w:ascii="Times New Roman" w:hAnsi="Times New Roman"/>
          <w:lang w:val="en-US"/>
        </w:rPr>
        <w:t xml:space="preserve"> evaluation of five programmes implemented under the 2007-2013 financial perspective – final report, </w:t>
      </w:r>
      <w:r w:rsidRPr="00F97F8D">
        <w:rPr>
          <w:rFonts w:ascii="Times New Roman" w:hAnsi="Times New Roman"/>
          <w:color w:val="000000"/>
          <w:lang w:val="en-US"/>
        </w:rPr>
        <w:t>ks. edellinen alaviite.</w:t>
      </w:r>
      <w:r w:rsidRPr="00F97F8D">
        <w:rPr>
          <w:rFonts w:ascii="Times New Roman" w:hAnsi="Times New Roman"/>
          <w:sz w:val="16"/>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9AD" w:rsidRPr="006249AD" w:rsidRDefault="006249AD" w:rsidP="006249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9AD" w:rsidRPr="006249AD" w:rsidRDefault="006249AD" w:rsidP="006249A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9AD" w:rsidRPr="006249AD" w:rsidRDefault="006249AD" w:rsidP="006249A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2D7" w:rsidRDefault="00EE12D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54D" w:rsidRDefault="0057554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2D7" w:rsidRDefault="00EE12D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2D7" w:rsidRDefault="00EE12D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54D" w:rsidRDefault="0057554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2D7" w:rsidRDefault="00EE12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30E73"/>
    <w:multiLevelType w:val="multilevel"/>
    <w:tmpl w:val="F4202FEA"/>
    <w:lvl w:ilvl="0">
      <w:start w:val="1"/>
      <w:numFmt w:val="bullet"/>
      <w:pStyle w:val="BulletBody"/>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3086CE9"/>
    <w:multiLevelType w:val="multilevel"/>
    <w:tmpl w:val="080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3F4F6EA7"/>
    <w:multiLevelType w:val="multilevel"/>
    <w:tmpl w:val="BBBCA8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482D2749"/>
    <w:multiLevelType w:val="multilevel"/>
    <w:tmpl w:val="AC42DA4E"/>
    <w:lvl w:ilvl="0">
      <w:start w:val="1"/>
      <w:numFmt w:val="decimal"/>
      <w:lvlText w:val="%1."/>
      <w:lvlJc w:val="left"/>
      <w:pPr>
        <w:tabs>
          <w:tab w:val="num" w:pos="0"/>
        </w:tabs>
        <w:ind w:left="360" w:hanging="360"/>
      </w:pPr>
    </w:lvl>
    <w:lvl w:ilvl="1">
      <w:start w:val="1"/>
      <w:numFmt w:val="bullet"/>
      <w:lvlText w:val=""/>
      <w:lvlJc w:val="left"/>
      <w:pPr>
        <w:tabs>
          <w:tab w:val="num" w:pos="0"/>
        </w:tabs>
        <w:ind w:left="1080" w:hanging="360"/>
      </w:pPr>
      <w:rPr>
        <w:rFonts w:ascii="Symbol" w:hAnsi="Symbol" w:cs="Symbol" w:hint="default"/>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5EC3169F"/>
    <w:multiLevelType w:val="multilevel"/>
    <w:tmpl w:val="0832E89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61F657F7"/>
    <w:multiLevelType w:val="multilevel"/>
    <w:tmpl w:val="F0AA471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69D02553"/>
    <w:multiLevelType w:val="multilevel"/>
    <w:tmpl w:val="522A840A"/>
    <w:lvl w:ilvl="0">
      <w:start w:val="1"/>
      <w:numFmt w:val="bullet"/>
      <w:pStyle w:val="ListBullet"/>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7B524EC9"/>
    <w:multiLevelType w:val="multilevel"/>
    <w:tmpl w:val="5114DB5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2"/>
  </w:num>
  <w:num w:numId="2">
    <w:abstractNumId w:val="0"/>
  </w:num>
  <w:num w:numId="3">
    <w:abstractNumId w:val="3"/>
  </w:num>
  <w:num w:numId="4">
    <w:abstractNumId w:val="1"/>
  </w:num>
  <w:num w:numId="5">
    <w:abstractNumId w:val="6"/>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70CB37D-1DEE-41C7-A27B-E812460E0D9E"/>
    <w:docVar w:name="LW_COVERPAGE_TYPE" w:val="1"/>
    <w:docVar w:name="LW_CROSSREFERENCE" w:val="{SWD(2022) 58 final} - {SWD(2022) 59 final}"/>
    <w:docVar w:name="LW_DocType" w:val="NORMAL"/>
    <w:docVar w:name="LW_EMISSION" w:val="22.3.2022"/>
    <w:docVar w:name="LW_EMISSION_ISODATE" w:val="2022-03-22"/>
    <w:docVar w:name="LW_EMISSION_LOCATION" w:val="BRX"/>
    <w:docVar w:name="LW_EMISSION_PREFIX" w:val="Bryssel "/>
    <w:docVar w:name="LW_EMISSION_SUFFIX" w:val=" "/>
    <w:docVar w:name="LW_ID_DOCTYPE_NONLW" w:val="CP-008"/>
    <w:docVar w:name="LW_LANGUE" w:val="FI"/>
    <w:docVar w:name="LW_LEVEL_OF_SENSITIVITY" w:val="Standard treatment"/>
    <w:docVar w:name="LW_NOM.INST" w:val="EUROOPAN KOMISSIO"/>
    <w:docVar w:name="LW_NOM.INST_JOINTDOC" w:val="&lt;EMPTY&gt;"/>
    <w:docVar w:name="LW_PART_NBR" w:val="1"/>
    <w:docVar w:name="LW_PART_NBR_TOTAL" w:val="1"/>
    <w:docVar w:name="LW_REF.INST.NEW" w:val="COM"/>
    <w:docVar w:name="LW_REF.INST.NEW_ADOPTED" w:val="final"/>
    <w:docVar w:name="LW_REF.INST.NEW_TEXT" w:val="(2022) 11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vuosien 2014–2020 perusoikeus-, tasa-arvo- ja kansalaisuusohjelman täytäntöönpanon ja saavutusten arvioinnista&lt;/FMT&gt;_x000d__x000b_"/>
    <w:docVar w:name="LW_TYPE.DOC.CP" w:val="KOMISSION KERTOMUS EUROOPAN PARLAMENTILLE, NEUVOSTOLLE, EUROOPAN TALOUS- JA SOSIAALIKOMITEALLE JA ALUEIDEN KOMITEALLE"/>
    <w:docVar w:name="LwApiVersions" w:val="LW4CoDe 1.23.2.0; LW 8.0, Build 20211117"/>
  </w:docVars>
  <w:rsids>
    <w:rsidRoot w:val="0057554D"/>
    <w:rsid w:val="0013212C"/>
    <w:rsid w:val="00183A29"/>
    <w:rsid w:val="001962C2"/>
    <w:rsid w:val="00262AA0"/>
    <w:rsid w:val="002F59AE"/>
    <w:rsid w:val="004B2E7A"/>
    <w:rsid w:val="0057554D"/>
    <w:rsid w:val="006249AD"/>
    <w:rsid w:val="00675D63"/>
    <w:rsid w:val="007843B2"/>
    <w:rsid w:val="008D596D"/>
    <w:rsid w:val="009A09A9"/>
    <w:rsid w:val="00A47205"/>
    <w:rsid w:val="00A56393"/>
    <w:rsid w:val="00E754A7"/>
    <w:rsid w:val="00E95A1B"/>
    <w:rsid w:val="00EE12D7"/>
    <w:rsid w:val="00F97F8D"/>
  </w:rsids>
  <m:mathPr>
    <m:mathFont m:val="Cambria Math"/>
    <m:brkBin m:val="before"/>
    <m:brkBinSub m:val="--"/>
    <m:smallFrac m:val="0"/>
    <m:dispDef/>
    <m:lMargin m:val="0"/>
    <m:rMargin m:val="0"/>
    <m:defJc m:val="centerGroup"/>
    <m:wrapIndent m:val="1440"/>
    <m:intLim m:val="subSup"/>
    <m:naryLim m:val="undOvr"/>
  </m:mathPr>
  <w:themeFontLang w:val="en-GB" w:eastAsia="zh-CN" w:bid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BDBC1D5C-1C2C-4BBC-A12F-D3C87B202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fi-FI" w:bidi="fi-FI"/>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8F2"/>
    <w:pPr>
      <w:spacing w:after="200" w:line="276" w:lineRule="auto"/>
    </w:pPr>
  </w:style>
  <w:style w:type="paragraph" w:styleId="Heading1">
    <w:name w:val="heading 1"/>
    <w:basedOn w:val="Normal"/>
    <w:next w:val="Normal"/>
    <w:link w:val="Heading1Char"/>
    <w:uiPriority w:val="9"/>
    <w:qFormat/>
    <w:rsid w:val="007054A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054A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054A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054A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link w:val="Footer"/>
    <w:uiPriority w:val="99"/>
    <w:qFormat/>
    <w:rsid w:val="00561E13"/>
    <w:rPr>
      <w:rFonts w:ascii="Times New Roman" w:hAnsi="Times New Roman" w:cs="Times New Roman"/>
      <w:sz w:val="24"/>
    </w:rPr>
  </w:style>
  <w:style w:type="character" w:customStyle="1" w:styleId="FootnoteTextChar">
    <w:name w:val="Footnote Text Char"/>
    <w:basedOn w:val="DefaultParagraphFont"/>
    <w:uiPriority w:val="99"/>
    <w:qFormat/>
    <w:rsid w:val="006E0A36"/>
    <w:rPr>
      <w:sz w:val="20"/>
      <w:szCs w:val="20"/>
    </w:rPr>
  </w:style>
  <w:style w:type="character" w:customStyle="1" w:styleId="FootnoteCharacters">
    <w:name w:val="Footnote Characters"/>
    <w:link w:val="FootnotesymbolCharCharCharChar"/>
    <w:uiPriority w:val="99"/>
    <w:qFormat/>
    <w:rsid w:val="006E0A36"/>
    <w:rPr>
      <w:vertAlign w:val="superscript"/>
    </w:rPr>
  </w:style>
  <w:style w:type="character" w:customStyle="1" w:styleId="FootnoteAnchor">
    <w:name w:val="Footnote Anchor"/>
    <w:rPr>
      <w:vertAlign w:val="superscript"/>
    </w:rPr>
  </w:style>
  <w:style w:type="character" w:customStyle="1" w:styleId="HeaderChar">
    <w:name w:val="Header Char"/>
    <w:basedOn w:val="DefaultParagraphFont"/>
    <w:link w:val="Header"/>
    <w:uiPriority w:val="99"/>
    <w:qFormat/>
    <w:rsid w:val="00561E13"/>
    <w:rPr>
      <w:rFonts w:ascii="Times New Roman" w:hAnsi="Times New Roman" w:cs="Times New Roman"/>
      <w:sz w:val="24"/>
    </w:rPr>
  </w:style>
  <w:style w:type="character" w:customStyle="1" w:styleId="CaptionChar">
    <w:name w:val="Caption Char"/>
    <w:link w:val="Caption"/>
    <w:qFormat/>
    <w:rsid w:val="006E0A36"/>
    <w:rPr>
      <w:rFonts w:ascii="Calibri" w:eastAsia="Times New Roman" w:hAnsi="Calibri" w:cs="Times New Roman"/>
      <w:i/>
      <w:iCs/>
      <w:color w:val="86BC25"/>
      <w:sz w:val="20"/>
      <w:szCs w:val="18"/>
      <w:lang w:val="fi-FI"/>
    </w:rPr>
  </w:style>
  <w:style w:type="character" w:styleId="Hyperlink">
    <w:name w:val="Hyperlink"/>
    <w:basedOn w:val="DefaultParagraphFont"/>
    <w:uiPriority w:val="99"/>
    <w:unhideWhenUsed/>
    <w:rsid w:val="006E0A36"/>
    <w:rPr>
      <w:color w:val="0000FF" w:themeColor="hyperlink"/>
      <w:u w:val="single"/>
    </w:rPr>
  </w:style>
  <w:style w:type="character" w:customStyle="1" w:styleId="Marker">
    <w:name w:val="Marker"/>
    <w:basedOn w:val="DefaultParagraphFont"/>
    <w:qFormat/>
    <w:rsid w:val="006E0A36"/>
    <w:rPr>
      <w:color w:val="0000FF"/>
      <w:shd w:val="clear" w:color="auto" w:fill="auto"/>
    </w:rPr>
  </w:style>
  <w:style w:type="character" w:customStyle="1" w:styleId="FooterCoverPageChar">
    <w:name w:val="Footer Cover Page Char"/>
    <w:basedOn w:val="DefaultParagraphFont"/>
    <w:link w:val="FooterCoverPage"/>
    <w:qFormat/>
    <w:rsid w:val="006E0A36"/>
    <w:rPr>
      <w:rFonts w:ascii="Times New Roman" w:hAnsi="Times New Roman" w:cs="Times New Roman"/>
      <w:sz w:val="24"/>
    </w:rPr>
  </w:style>
  <w:style w:type="character" w:customStyle="1" w:styleId="HeaderCoverPageChar">
    <w:name w:val="Header Cover Page Char"/>
    <w:basedOn w:val="DefaultParagraphFont"/>
    <w:link w:val="HeaderCoverPage"/>
    <w:qFormat/>
    <w:rsid w:val="006E0A36"/>
    <w:rPr>
      <w:rFonts w:ascii="Times New Roman" w:hAnsi="Times New Roman" w:cs="Times New Roman"/>
      <w:sz w:val="24"/>
    </w:rPr>
  </w:style>
  <w:style w:type="character" w:customStyle="1" w:styleId="BalloonTextChar">
    <w:name w:val="Balloon Text Char"/>
    <w:basedOn w:val="DefaultParagraphFont"/>
    <w:link w:val="BalloonText"/>
    <w:uiPriority w:val="99"/>
    <w:semiHidden/>
    <w:qFormat/>
    <w:rsid w:val="0034532D"/>
    <w:rPr>
      <w:rFonts w:ascii="Tahoma" w:hAnsi="Tahoma" w:cs="Tahoma"/>
      <w:sz w:val="16"/>
      <w:szCs w:val="16"/>
    </w:rPr>
  </w:style>
  <w:style w:type="character" w:styleId="CommentReference">
    <w:name w:val="annotation reference"/>
    <w:basedOn w:val="DefaultParagraphFont"/>
    <w:uiPriority w:val="99"/>
    <w:unhideWhenUsed/>
    <w:qFormat/>
    <w:rsid w:val="0024606D"/>
    <w:rPr>
      <w:sz w:val="16"/>
      <w:szCs w:val="16"/>
    </w:rPr>
  </w:style>
  <w:style w:type="character" w:customStyle="1" w:styleId="CommentTextChar">
    <w:name w:val="Comment Text Char"/>
    <w:basedOn w:val="DefaultParagraphFont"/>
    <w:link w:val="CommentText"/>
    <w:uiPriority w:val="99"/>
    <w:qFormat/>
    <w:rsid w:val="0024606D"/>
    <w:rPr>
      <w:sz w:val="20"/>
      <w:szCs w:val="20"/>
    </w:rPr>
  </w:style>
  <w:style w:type="character" w:customStyle="1" w:styleId="CommentSubjectChar">
    <w:name w:val="Comment Subject Char"/>
    <w:basedOn w:val="CommentTextChar"/>
    <w:link w:val="CommentSubject"/>
    <w:uiPriority w:val="99"/>
    <w:semiHidden/>
    <w:qFormat/>
    <w:rsid w:val="0024606D"/>
    <w:rPr>
      <w:b/>
      <w:bCs/>
      <w:sz w:val="20"/>
      <w:szCs w:val="20"/>
    </w:rPr>
  </w:style>
  <w:style w:type="character" w:customStyle="1" w:styleId="EndnoteTextChar">
    <w:name w:val="Endnote Text Char"/>
    <w:basedOn w:val="DefaultParagraphFont"/>
    <w:link w:val="EndnoteText"/>
    <w:uiPriority w:val="99"/>
    <w:semiHidden/>
    <w:qFormat/>
    <w:rsid w:val="009B7515"/>
    <w:rPr>
      <w:sz w:val="20"/>
      <w:szCs w:val="20"/>
    </w:rPr>
  </w:style>
  <w:style w:type="character" w:customStyle="1" w:styleId="EndnoteCharacters">
    <w:name w:val="Endnote Characters"/>
    <w:basedOn w:val="DefaultParagraphFont"/>
    <w:uiPriority w:val="99"/>
    <w:semiHidden/>
    <w:unhideWhenUsed/>
    <w:qFormat/>
    <w:rsid w:val="009B7515"/>
    <w:rPr>
      <w:vertAlign w:val="superscript"/>
    </w:rPr>
  </w:style>
  <w:style w:type="character" w:customStyle="1" w:styleId="EndnoteAnchor">
    <w:name w:val="Endnote Anchor"/>
    <w:rPr>
      <w:vertAlign w:val="superscript"/>
    </w:rPr>
  </w:style>
  <w:style w:type="character" w:customStyle="1" w:styleId="Heading1Char">
    <w:name w:val="Heading 1 Char"/>
    <w:basedOn w:val="DefaultParagraphFont"/>
    <w:link w:val="Heading1"/>
    <w:uiPriority w:val="9"/>
    <w:qFormat/>
    <w:rsid w:val="007054A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qFormat/>
    <w:rsid w:val="007054A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qFormat/>
    <w:rsid w:val="007054A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qFormat/>
    <w:rsid w:val="007054A5"/>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9010C8"/>
    <w:rPr>
      <w:b/>
      <w:bCs/>
    </w:rPr>
  </w:style>
  <w:style w:type="character" w:customStyle="1" w:styleId="SourcetablesChar">
    <w:name w:val="Source tables Char"/>
    <w:basedOn w:val="DefaultParagraphFont"/>
    <w:link w:val="Sourcetables"/>
    <w:qFormat/>
    <w:rsid w:val="009010C8"/>
    <w:rPr>
      <w:rFonts w:ascii="Verdana" w:eastAsia="Times New Roman" w:hAnsi="Verdana" w:cs="Times New Roman"/>
      <w:i/>
      <w:sz w:val="18"/>
      <w:szCs w:val="18"/>
    </w:rPr>
  </w:style>
  <w:style w:type="character" w:customStyle="1" w:styleId="BulletBodyChar">
    <w:name w:val="Bullet Body Char"/>
    <w:basedOn w:val="DefaultParagraphFont"/>
    <w:link w:val="BulletBody"/>
    <w:qFormat/>
    <w:rsid w:val="009010C8"/>
    <w:rPr>
      <w:rFonts w:ascii="Verdana" w:eastAsia="Times New Roman" w:hAnsi="Verdana" w:cs="EUAlbertina"/>
      <w:color w:val="000000"/>
      <w:sz w:val="20"/>
      <w:szCs w:val="19"/>
      <w:lang w:eastAsia="fi-FI"/>
    </w:rPr>
  </w:style>
  <w:style w:type="character" w:customStyle="1" w:styleId="BodyChar">
    <w:name w:val="Body Char"/>
    <w:link w:val="Body"/>
    <w:qFormat/>
    <w:rsid w:val="005F108D"/>
    <w:rPr>
      <w:rFonts w:ascii="Verdana" w:eastAsia="Times New Roman" w:hAnsi="Verdana" w:cs="Times New Roman"/>
      <w:sz w:val="20"/>
      <w:szCs w:val="20"/>
    </w:rPr>
  </w:style>
  <w:style w:type="character" w:styleId="FollowedHyperlink">
    <w:name w:val="FollowedHyperlink"/>
    <w:basedOn w:val="DefaultParagraphFont"/>
    <w:uiPriority w:val="99"/>
    <w:semiHidden/>
    <w:unhideWhenUsed/>
    <w:rsid w:val="008E2AED"/>
    <w:rPr>
      <w:color w:val="800080" w:themeColor="followedHyperlink"/>
      <w:u w:val="single"/>
    </w:rPr>
  </w:style>
  <w:style w:type="character" w:customStyle="1" w:styleId="FootnoteTextChar1">
    <w:name w:val="Footnote Text Char1"/>
    <w:basedOn w:val="DefaultParagraphFont"/>
    <w:link w:val="FootnoteText"/>
    <w:uiPriority w:val="99"/>
    <w:qFormat/>
    <w:rsid w:val="008E4B6C"/>
    <w:rPr>
      <w:sz w:val="20"/>
      <w:szCs w:val="20"/>
    </w:rPr>
  </w:style>
  <w:style w:type="character" w:customStyle="1" w:styleId="ListParagraphChar">
    <w:name w:val="List Paragraph Char"/>
    <w:link w:val="ListParagraph"/>
    <w:uiPriority w:val="34"/>
    <w:qFormat/>
    <w:locked/>
    <w:rsid w:val="00540ABD"/>
  </w:style>
  <w:style w:type="character" w:customStyle="1" w:styleId="BodyTextChar">
    <w:name w:val="Body Text Char"/>
    <w:basedOn w:val="DefaultParagraphFont"/>
    <w:link w:val="BodyText"/>
    <w:qFormat/>
    <w:rsid w:val="00692337"/>
    <w:rPr>
      <w:rFonts w:ascii="Times New Roman" w:eastAsia="Times New Roman" w:hAnsi="Times New Roman" w:cs="Times New Roman"/>
      <w:sz w:val="24"/>
      <w:szCs w:val="20"/>
      <w:lang w:val="fi-FI"/>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692337"/>
    <w:pPr>
      <w:spacing w:after="120" w:line="240" w:lineRule="auto"/>
      <w:jc w:val="both"/>
    </w:pPr>
    <w:rPr>
      <w:rFonts w:ascii="Times New Roman" w:eastAsia="Times New Roman" w:hAnsi="Times New Roman" w:cs="Times New Roman"/>
      <w:sz w:val="24"/>
      <w:szCs w:val="20"/>
    </w:rPr>
  </w:style>
  <w:style w:type="paragraph" w:styleId="List">
    <w:name w:val="List"/>
    <w:basedOn w:val="BodyText"/>
    <w:rPr>
      <w:rFonts w:cs="Arial"/>
    </w:rPr>
  </w:style>
  <w:style w:type="paragraph" w:styleId="Caption">
    <w:name w:val="caption"/>
    <w:basedOn w:val="Normal"/>
    <w:next w:val="Normal"/>
    <w:link w:val="CaptionChar"/>
    <w:unhideWhenUsed/>
    <w:qFormat/>
    <w:rsid w:val="006E0A36"/>
    <w:pPr>
      <w:spacing w:before="120" w:line="240" w:lineRule="auto"/>
      <w:jc w:val="center"/>
    </w:pPr>
    <w:rPr>
      <w:rFonts w:ascii="Calibri" w:eastAsia="Times New Roman" w:hAnsi="Calibri" w:cs="Times New Roman"/>
      <w:i/>
      <w:iCs/>
      <w:color w:val="86BC25"/>
      <w:sz w:val="20"/>
      <w:szCs w:val="18"/>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Footer">
    <w:name w:val="footer"/>
    <w:basedOn w:val="Normal"/>
    <w:link w:val="FooterChar"/>
    <w:uiPriority w:val="99"/>
    <w:unhideWhenUsed/>
    <w:rsid w:val="00561E1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paragraph" w:styleId="FootnoteText">
    <w:name w:val="footnote text"/>
    <w:basedOn w:val="Normal"/>
    <w:link w:val="FootnoteTextChar1"/>
    <w:uiPriority w:val="99"/>
    <w:unhideWhenUsed/>
    <w:qFormat/>
    <w:rsid w:val="006E0A36"/>
    <w:pPr>
      <w:spacing w:after="0" w:line="240" w:lineRule="auto"/>
    </w:pPr>
    <w:rPr>
      <w:sz w:val="20"/>
      <w:szCs w:val="20"/>
    </w:rPr>
  </w:style>
  <w:style w:type="paragraph" w:styleId="Header">
    <w:name w:val="header"/>
    <w:basedOn w:val="Normal"/>
    <w:link w:val="HeaderChar"/>
    <w:uiPriority w:val="99"/>
    <w:unhideWhenUsed/>
    <w:rsid w:val="00561E13"/>
    <w:pPr>
      <w:tabs>
        <w:tab w:val="center" w:pos="4535"/>
        <w:tab w:val="right" w:pos="9071"/>
      </w:tabs>
      <w:spacing w:after="120" w:line="240" w:lineRule="auto"/>
      <w:jc w:val="both"/>
    </w:pPr>
    <w:rPr>
      <w:rFonts w:ascii="Times New Roman" w:hAnsi="Times New Roman" w:cs="Times New Roman"/>
      <w:sz w:val="24"/>
    </w:rPr>
  </w:style>
  <w:style w:type="paragraph" w:styleId="ListParagraph">
    <w:name w:val="List Paragraph"/>
    <w:basedOn w:val="Normal"/>
    <w:link w:val="ListParagraphChar"/>
    <w:uiPriority w:val="34"/>
    <w:qFormat/>
    <w:rsid w:val="006E0A36"/>
    <w:pPr>
      <w:ind w:left="720"/>
      <w:contextualSpacing/>
    </w:pPr>
  </w:style>
  <w:style w:type="paragraph" w:customStyle="1" w:styleId="FootnotesymbolCharCharCharChar">
    <w:name w:val="Footnote symbol Char Char Char Char"/>
    <w:basedOn w:val="Normal"/>
    <w:link w:val="FootnoteCharacters"/>
    <w:uiPriority w:val="99"/>
    <w:qFormat/>
    <w:rsid w:val="006E0A36"/>
    <w:pPr>
      <w:spacing w:after="160" w:line="240" w:lineRule="exact"/>
    </w:pPr>
    <w:rPr>
      <w:vertAlign w:val="superscript"/>
    </w:rPr>
  </w:style>
  <w:style w:type="paragraph" w:customStyle="1" w:styleId="Pagedecouverture">
    <w:name w:val="Page de couverture"/>
    <w:basedOn w:val="Normal"/>
    <w:next w:val="Normal"/>
    <w:qFormat/>
    <w:rsid w:val="006E0A36"/>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qFormat/>
    <w:rsid w:val="006E0A3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paragraph" w:customStyle="1" w:styleId="HeaderCoverPage">
    <w:name w:val="Header Cover Page"/>
    <w:basedOn w:val="Normal"/>
    <w:link w:val="HeaderCoverPageChar"/>
    <w:qFormat/>
    <w:rsid w:val="006E0A36"/>
    <w:pPr>
      <w:tabs>
        <w:tab w:val="center" w:pos="4535"/>
        <w:tab w:val="right" w:pos="9071"/>
      </w:tabs>
      <w:spacing w:after="120" w:line="240" w:lineRule="auto"/>
      <w:jc w:val="both"/>
    </w:pPr>
    <w:rPr>
      <w:rFonts w:ascii="Times New Roman" w:hAnsi="Times New Roman" w:cs="Times New Roman"/>
      <w:sz w:val="24"/>
    </w:rPr>
  </w:style>
  <w:style w:type="paragraph" w:styleId="BalloonText">
    <w:name w:val="Balloon Text"/>
    <w:basedOn w:val="Normal"/>
    <w:link w:val="BalloonTextChar"/>
    <w:uiPriority w:val="99"/>
    <w:semiHidden/>
    <w:unhideWhenUsed/>
    <w:qFormat/>
    <w:rsid w:val="0034532D"/>
    <w:pPr>
      <w:spacing w:after="0" w:line="240" w:lineRule="auto"/>
    </w:pPr>
    <w:rPr>
      <w:rFonts w:ascii="Tahoma" w:hAnsi="Tahoma" w:cs="Tahoma"/>
      <w:sz w:val="16"/>
      <w:szCs w:val="16"/>
    </w:rPr>
  </w:style>
  <w:style w:type="paragraph" w:styleId="CommentText">
    <w:name w:val="annotation text"/>
    <w:basedOn w:val="Normal"/>
    <w:link w:val="CommentTextChar"/>
    <w:uiPriority w:val="99"/>
    <w:unhideWhenUsed/>
    <w:qFormat/>
    <w:rsid w:val="0024606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24606D"/>
    <w:rPr>
      <w:b/>
      <w:bCs/>
    </w:rPr>
  </w:style>
  <w:style w:type="paragraph" w:styleId="Revision">
    <w:name w:val="Revision"/>
    <w:uiPriority w:val="99"/>
    <w:semiHidden/>
    <w:qFormat/>
    <w:rsid w:val="00AB5BEB"/>
  </w:style>
  <w:style w:type="paragraph" w:styleId="EndnoteText">
    <w:name w:val="endnote text"/>
    <w:basedOn w:val="Normal"/>
    <w:link w:val="EndnoteTextChar"/>
    <w:uiPriority w:val="99"/>
    <w:semiHidden/>
    <w:unhideWhenUsed/>
    <w:rsid w:val="009B7515"/>
    <w:pPr>
      <w:spacing w:after="0" w:line="240" w:lineRule="auto"/>
    </w:pPr>
    <w:rPr>
      <w:sz w:val="20"/>
      <w:szCs w:val="20"/>
    </w:rPr>
  </w:style>
  <w:style w:type="paragraph" w:customStyle="1" w:styleId="Declassification">
    <w:name w:val="Declassification"/>
    <w:basedOn w:val="Normal"/>
    <w:next w:val="Normal"/>
    <w:qFormat/>
    <w:rsid w:val="00561E13"/>
    <w:pPr>
      <w:spacing w:after="0" w:line="240" w:lineRule="auto"/>
      <w:jc w:val="both"/>
    </w:pPr>
    <w:rPr>
      <w:rFonts w:ascii="Times New Roman" w:hAnsi="Times New Roman" w:cs="Times New Roman"/>
      <w:sz w:val="24"/>
    </w:rPr>
  </w:style>
  <w:style w:type="paragraph" w:customStyle="1" w:styleId="HeaderLandscape">
    <w:name w:val="HeaderLandscape"/>
    <w:basedOn w:val="Normal"/>
    <w:qFormat/>
    <w:rsid w:val="00561E13"/>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qFormat/>
    <w:rsid w:val="00561E1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qFormat/>
    <w:rsid w:val="00561E13"/>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qFormat/>
    <w:rsid w:val="00561E1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efault">
    <w:name w:val="Default"/>
    <w:qFormat/>
    <w:rsid w:val="009010C8"/>
    <w:rPr>
      <w:rFonts w:ascii="EUAlbertina" w:eastAsia="Calibri" w:hAnsi="EUAlbertina" w:cs="EUAlbertina"/>
      <w:color w:val="000000"/>
      <w:sz w:val="24"/>
      <w:szCs w:val="24"/>
    </w:rPr>
  </w:style>
  <w:style w:type="paragraph" w:customStyle="1" w:styleId="Text4">
    <w:name w:val="Text 4"/>
    <w:basedOn w:val="Normal"/>
    <w:qFormat/>
    <w:rsid w:val="009010C8"/>
    <w:pPr>
      <w:tabs>
        <w:tab w:val="left" w:pos="2302"/>
      </w:tabs>
      <w:spacing w:after="240" w:line="240" w:lineRule="auto"/>
      <w:ind w:left="1202"/>
      <w:jc w:val="both"/>
    </w:pPr>
    <w:rPr>
      <w:rFonts w:ascii="Times New Roman" w:eastAsia="Times New Roman" w:hAnsi="Times New Roman" w:cs="Times New Roman"/>
      <w:sz w:val="24"/>
      <w:szCs w:val="20"/>
    </w:rPr>
  </w:style>
  <w:style w:type="paragraph" w:customStyle="1" w:styleId="Sourcetables">
    <w:name w:val="Source tables"/>
    <w:basedOn w:val="Normal"/>
    <w:link w:val="SourcetablesChar"/>
    <w:qFormat/>
    <w:rsid w:val="009010C8"/>
    <w:pPr>
      <w:spacing w:after="160" w:line="254" w:lineRule="auto"/>
    </w:pPr>
    <w:rPr>
      <w:rFonts w:ascii="Verdana" w:eastAsia="Times New Roman" w:hAnsi="Verdana" w:cs="Times New Roman"/>
      <w:i/>
      <w:sz w:val="18"/>
      <w:szCs w:val="18"/>
    </w:rPr>
  </w:style>
  <w:style w:type="paragraph" w:customStyle="1" w:styleId="BulletBody">
    <w:name w:val="Bullet Body"/>
    <w:basedOn w:val="Normal"/>
    <w:link w:val="BulletBodyChar"/>
    <w:qFormat/>
    <w:rsid w:val="009010C8"/>
    <w:pPr>
      <w:numPr>
        <w:numId w:val="2"/>
      </w:numPr>
      <w:spacing w:before="120" w:after="120" w:line="240" w:lineRule="auto"/>
      <w:jc w:val="both"/>
    </w:pPr>
    <w:rPr>
      <w:rFonts w:ascii="Verdana" w:eastAsia="Times New Roman" w:hAnsi="Verdana" w:cs="EUAlbertina"/>
      <w:color w:val="000000"/>
      <w:sz w:val="20"/>
      <w:szCs w:val="19"/>
    </w:rPr>
  </w:style>
  <w:style w:type="paragraph" w:customStyle="1" w:styleId="CM1">
    <w:name w:val="CM1"/>
    <w:basedOn w:val="Default"/>
    <w:next w:val="Default"/>
    <w:uiPriority w:val="99"/>
    <w:qFormat/>
    <w:rsid w:val="000159B0"/>
    <w:rPr>
      <w:rFonts w:cstheme="minorBidi"/>
      <w:color w:val="auto"/>
    </w:rPr>
  </w:style>
  <w:style w:type="paragraph" w:customStyle="1" w:styleId="CM3">
    <w:name w:val="CM3"/>
    <w:basedOn w:val="Default"/>
    <w:next w:val="Default"/>
    <w:uiPriority w:val="99"/>
    <w:qFormat/>
    <w:rsid w:val="000159B0"/>
    <w:rPr>
      <w:rFonts w:cstheme="minorBidi"/>
      <w:color w:val="auto"/>
    </w:rPr>
  </w:style>
  <w:style w:type="paragraph" w:customStyle="1" w:styleId="Body">
    <w:name w:val="Body"/>
    <w:basedOn w:val="Normal"/>
    <w:link w:val="BodyChar"/>
    <w:qFormat/>
    <w:rsid w:val="005F108D"/>
    <w:pPr>
      <w:spacing w:before="120" w:after="120" w:line="240" w:lineRule="auto"/>
      <w:jc w:val="both"/>
    </w:pPr>
    <w:rPr>
      <w:rFonts w:ascii="Verdana" w:eastAsia="Times New Roman" w:hAnsi="Verdana" w:cs="Times New Roman"/>
      <w:sz w:val="20"/>
      <w:szCs w:val="20"/>
    </w:rPr>
  </w:style>
  <w:style w:type="paragraph" w:customStyle="1" w:styleId="SUPERSCharCharCharCharCharCharCharChar">
    <w:name w:val="SUPERS Char Char Char Char Char Char Char Char"/>
    <w:basedOn w:val="Normal"/>
    <w:uiPriority w:val="99"/>
    <w:qFormat/>
    <w:rsid w:val="00B333D9"/>
    <w:pPr>
      <w:spacing w:before="60" w:after="160" w:line="240" w:lineRule="exact"/>
      <w:jc w:val="both"/>
    </w:pPr>
    <w:rPr>
      <w:rFonts w:ascii="Times New Roman" w:eastAsia="Times New Roman" w:hAnsi="Times New Roman" w:cs="Times New Roman"/>
      <w:sz w:val="20"/>
      <w:szCs w:val="20"/>
      <w:vertAlign w:val="superscript"/>
    </w:rPr>
  </w:style>
  <w:style w:type="paragraph" w:customStyle="1" w:styleId="Figure">
    <w:name w:val="Figure"/>
    <w:basedOn w:val="Normal"/>
    <w:qFormat/>
    <w:rsid w:val="00593659"/>
    <w:pPr>
      <w:keepNext/>
      <w:tabs>
        <w:tab w:val="left" w:pos="10490"/>
      </w:tabs>
      <w:spacing w:after="120" w:line="240" w:lineRule="auto"/>
      <w:jc w:val="center"/>
    </w:pPr>
    <w:rPr>
      <w:rFonts w:ascii="Times New Roman" w:hAnsi="Times New Roman" w:cs="Times New Roman"/>
      <w:b/>
      <w:sz w:val="20"/>
      <w:szCs w:val="20"/>
    </w:rPr>
  </w:style>
  <w:style w:type="paragraph" w:styleId="ListBullet">
    <w:name w:val="List Bullet"/>
    <w:basedOn w:val="Normal"/>
    <w:qFormat/>
    <w:rsid w:val="00F850E5"/>
    <w:pPr>
      <w:numPr>
        <w:numId w:val="5"/>
      </w:numPr>
      <w:spacing w:after="240" w:line="240" w:lineRule="auto"/>
      <w:jc w:val="both"/>
    </w:pPr>
    <w:rPr>
      <w:rFonts w:ascii="Times New Roman" w:eastAsia="Times New Roman" w:hAnsi="Times New Roman" w:cs="Times New Roman"/>
      <w:sz w:val="24"/>
      <w:szCs w:val="20"/>
    </w:rPr>
  </w:style>
  <w:style w:type="paragraph" w:customStyle="1" w:styleId="Disclaimer">
    <w:name w:val="Disclaimer"/>
    <w:basedOn w:val="Normal"/>
    <w:qFormat/>
    <w:rsid w:val="00231097"/>
    <w:pPr>
      <w:pBdr>
        <w:top w:val="single" w:sz="6" w:space="4" w:color="000000"/>
        <w:left w:val="single" w:sz="6" w:space="7" w:color="000000"/>
        <w:bottom w:val="single" w:sz="6" w:space="4" w:color="000000"/>
        <w:right w:val="single" w:sz="6" w:space="7" w:color="000000"/>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qFormat/>
    <w:rsid w:val="00D639E5"/>
    <w:pPr>
      <w:spacing w:after="0"/>
      <w:ind w:left="5103"/>
    </w:pPr>
    <w:rPr>
      <w:rFonts w:ascii="Times New Roman" w:hAnsi="Times New Roman" w:cs="Times New Roman"/>
      <w:sz w:val="28"/>
    </w:rPr>
  </w:style>
  <w:style w:type="paragraph" w:customStyle="1" w:styleId="DateMarking">
    <w:name w:val="DateMarking"/>
    <w:basedOn w:val="Normal"/>
    <w:qFormat/>
    <w:rsid w:val="00D639E5"/>
    <w:pPr>
      <w:spacing w:after="0"/>
      <w:ind w:left="5103"/>
    </w:pPr>
    <w:rPr>
      <w:rFonts w:ascii="Times New Roman" w:hAnsi="Times New Roman" w:cs="Times New Roman"/>
      <w:i/>
      <w:sz w:val="28"/>
    </w:rPr>
  </w:style>
  <w:style w:type="paragraph" w:customStyle="1" w:styleId="ReleasableTo">
    <w:name w:val="ReleasableTo"/>
    <w:basedOn w:val="Normal"/>
    <w:qFormat/>
    <w:rsid w:val="00D639E5"/>
    <w:pPr>
      <w:spacing w:after="0"/>
      <w:ind w:left="5103"/>
    </w:pPr>
    <w:rPr>
      <w:rFonts w:ascii="Times New Roman" w:hAnsi="Times New Roman" w:cs="Times New Roman"/>
      <w:i/>
      <w:sz w:val="28"/>
    </w:rPr>
  </w:style>
  <w:style w:type="paragraph" w:customStyle="1" w:styleId="HeaderSensitivityRight">
    <w:name w:val="Header Sensitivity Right"/>
    <w:basedOn w:val="Normal"/>
    <w:qFormat/>
    <w:rsid w:val="00D639E5"/>
    <w:pPr>
      <w:spacing w:after="120" w:line="240" w:lineRule="auto"/>
      <w:jc w:val="right"/>
    </w:pPr>
    <w:rPr>
      <w:rFonts w:ascii="Times New Roman" w:hAnsi="Times New Roman" w:cs="Times New Roman"/>
      <w:sz w:val="28"/>
    </w:rPr>
  </w:style>
  <w:style w:type="table" w:styleId="TableGrid">
    <w:name w:val="Table Grid"/>
    <w:basedOn w:val="TableNormal"/>
    <w:uiPriority w:val="39"/>
    <w:rsid w:val="006E0A3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ne1">
    <w:name w:val="none1"/>
    <w:basedOn w:val="TableNormal"/>
    <w:uiPriority w:val="39"/>
    <w:rsid w:val="00D17006"/>
    <w:rPr>
      <w:sz w:val="18"/>
      <w:szCs w:val="20"/>
    </w:r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b/>
        <w:color w:val="FFFFFF"/>
        <w:sz w:val="18"/>
      </w:rPr>
      <w:tblPr/>
      <w:tcPr>
        <w:shd w:val="clear" w:color="auto" w:fill="00AEF0"/>
      </w:tcPr>
    </w:tblStylePr>
    <w:tblStylePr w:type="band1Horz">
      <w:rPr>
        <w:sz w:val="18"/>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chart" Target="charts/chart1.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social/BlobServlet?docId=12610&amp;langId=en" TargetMode="External"/><Relationship Id="rId2" Type="http://schemas.openxmlformats.org/officeDocument/2006/relationships/hyperlink" Target="https://eur-lex.europa.eu/legal-content/FI/TXT/?qid=1529508337458&amp;uri=CELEX:52017DC0069" TargetMode="External"/><Relationship Id="rId1" Type="http://schemas.openxmlformats.org/officeDocument/2006/relationships/hyperlink" Target="https://eur-lex.europa.eu/legal-content/FI/TXT/?qid=1529508212667&amp;uri=CELEX:52017DC0055"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fondazionebrodolini-my.sharepoint.com/personal/pagnini_fondazionebrodolini_eu/Documents/JUST%20and%20REC%20eval%20internal%20shared%20folder/implementation/7.%20Draft%20final%20report/V1/All%20graphs/JUST%20REC_REC_%20ALL%20INDICATORS%20Updated%20.xls"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'[JUST REC_REC_ ALL INDICATORS Updated .xlsx]Item 39-41 53-57'!$B$104</c:f>
              <c:strCache>
                <c:ptCount val="1"/>
                <c:pt idx="0">
                  <c:v>Others</c:v>
                </c:pt>
              </c:strCache>
            </c:strRef>
          </c:tx>
          <c:spPr>
            <a:solidFill>
              <a:schemeClr val="accent1"/>
            </a:solidFill>
            <a:ln>
              <a:noFill/>
            </a:ln>
            <a:effectLst/>
          </c:spPr>
          <c:invertIfNegative val="0"/>
          <c:cat>
            <c:numRef>
              <c:f>'[JUST REC_REC_ ALL INDICATORS Updated .xlsx]Item 39-41 53-57'!$A$105:$A$111</c:f>
              <c:numCache>
                <c:formatCode>General</c:formatCode>
                <c:ptCount val="5"/>
                <c:pt idx="0">
                  <c:v>2016</c:v>
                </c:pt>
                <c:pt idx="1">
                  <c:v>2017</c:v>
                </c:pt>
                <c:pt idx="2">
                  <c:v>2018</c:v>
                </c:pt>
                <c:pt idx="3">
                  <c:v>2019</c:v>
                </c:pt>
                <c:pt idx="4">
                  <c:v>2020</c:v>
                </c:pt>
              </c:numCache>
              <c:extLst/>
            </c:numRef>
          </c:cat>
          <c:val>
            <c:numRef>
              <c:f>'[JUST REC_REC_ ALL INDICATORS Updated .xlsx]Item 39-41 53-57'!$B$105:$B$111</c:f>
              <c:numCache>
                <c:formatCode>General</c:formatCode>
                <c:ptCount val="5"/>
                <c:pt idx="0">
                  <c:v>7</c:v>
                </c:pt>
                <c:pt idx="1">
                  <c:v>26</c:v>
                </c:pt>
                <c:pt idx="2">
                  <c:v>13</c:v>
                </c:pt>
                <c:pt idx="3">
                  <c:v>13</c:v>
                </c:pt>
                <c:pt idx="4">
                  <c:v>9</c:v>
                </c:pt>
              </c:numCache>
              <c:extLst/>
            </c:numRef>
          </c:val>
          <c:extLst>
            <c:ext xmlns:c16="http://schemas.microsoft.com/office/drawing/2014/chart" uri="{C3380CC4-5D6E-409C-BE32-E72D297353CC}">
              <c16:uniqueId val="{00000000-16E9-4E69-8739-7E8FBA1D9D35}"/>
            </c:ext>
          </c:extLst>
        </c:ser>
        <c:ser>
          <c:idx val="1"/>
          <c:order val="1"/>
          <c:tx>
            <c:strRef>
              <c:f>'[JUST REC_REC_ ALL INDICATORS Updated .xlsx]Item 39-41 53-57'!$C$104</c:f>
              <c:strCache>
                <c:ptCount val="1"/>
                <c:pt idx="0">
                  <c:v>ICT tools</c:v>
                </c:pt>
              </c:strCache>
            </c:strRef>
          </c:tx>
          <c:spPr>
            <a:solidFill>
              <a:schemeClr val="accent2"/>
            </a:solidFill>
            <a:ln>
              <a:noFill/>
            </a:ln>
            <a:effectLst/>
          </c:spPr>
          <c:invertIfNegative val="0"/>
          <c:cat>
            <c:numRef>
              <c:f>'[JUST REC_REC_ ALL INDICATORS Updated .xlsx]Item 39-41 53-57'!$A$105:$A$111</c:f>
              <c:numCache>
                <c:formatCode>General</c:formatCode>
                <c:ptCount val="5"/>
                <c:pt idx="0">
                  <c:v>2016</c:v>
                </c:pt>
                <c:pt idx="1">
                  <c:v>2017</c:v>
                </c:pt>
                <c:pt idx="2">
                  <c:v>2018</c:v>
                </c:pt>
                <c:pt idx="3">
                  <c:v>2019</c:v>
                </c:pt>
                <c:pt idx="4">
                  <c:v>2020</c:v>
                </c:pt>
              </c:numCache>
              <c:extLst/>
            </c:numRef>
          </c:cat>
          <c:val>
            <c:numRef>
              <c:f>'[JUST REC_REC_ ALL INDICATORS Updated .xlsx]Item 39-41 53-57'!$C$105:$C$111</c:f>
              <c:numCache>
                <c:formatCode>General</c:formatCode>
                <c:ptCount val="5"/>
                <c:pt idx="0">
                  <c:v>4</c:v>
                </c:pt>
                <c:pt idx="1">
                  <c:v>15</c:v>
                </c:pt>
                <c:pt idx="2">
                  <c:v>6</c:v>
                </c:pt>
                <c:pt idx="3">
                  <c:v>7</c:v>
                </c:pt>
                <c:pt idx="4">
                  <c:v>4</c:v>
                </c:pt>
              </c:numCache>
              <c:extLst/>
            </c:numRef>
          </c:val>
          <c:extLst>
            <c:ext xmlns:c16="http://schemas.microsoft.com/office/drawing/2014/chart" uri="{C3380CC4-5D6E-409C-BE32-E72D297353CC}">
              <c16:uniqueId val="{00000001-16E9-4E69-8739-7E8FBA1D9D35}"/>
            </c:ext>
          </c:extLst>
        </c:ser>
        <c:ser>
          <c:idx val="2"/>
          <c:order val="2"/>
          <c:tx>
            <c:strRef>
              <c:f>'[JUST REC_REC_ ALL INDICATORS Updated .xlsx]Item 39-41 53-57'!$D$104</c:f>
              <c:strCache>
                <c:ptCount val="1"/>
                <c:pt idx="0">
                  <c:v>Mutual learning</c:v>
                </c:pt>
              </c:strCache>
            </c:strRef>
          </c:tx>
          <c:spPr>
            <a:solidFill>
              <a:schemeClr val="accent3"/>
            </a:solidFill>
            <a:ln>
              <a:noFill/>
            </a:ln>
            <a:effectLst/>
          </c:spPr>
          <c:invertIfNegative val="0"/>
          <c:cat>
            <c:numRef>
              <c:f>'[JUST REC_REC_ ALL INDICATORS Updated .xlsx]Item 39-41 53-57'!$A$105:$A$111</c:f>
              <c:numCache>
                <c:formatCode>General</c:formatCode>
                <c:ptCount val="5"/>
                <c:pt idx="0">
                  <c:v>2016</c:v>
                </c:pt>
                <c:pt idx="1">
                  <c:v>2017</c:v>
                </c:pt>
                <c:pt idx="2">
                  <c:v>2018</c:v>
                </c:pt>
                <c:pt idx="3">
                  <c:v>2019</c:v>
                </c:pt>
                <c:pt idx="4">
                  <c:v>2020</c:v>
                </c:pt>
              </c:numCache>
              <c:extLst/>
            </c:numRef>
          </c:cat>
          <c:val>
            <c:numRef>
              <c:f>'[JUST REC_REC_ ALL INDICATORS Updated .xlsx]Item 39-41 53-57'!$D$105:$D$111</c:f>
              <c:numCache>
                <c:formatCode>General</c:formatCode>
                <c:ptCount val="5"/>
                <c:pt idx="0">
                  <c:v>17</c:v>
                </c:pt>
                <c:pt idx="1">
                  <c:v>31</c:v>
                </c:pt>
                <c:pt idx="2">
                  <c:v>21</c:v>
                </c:pt>
                <c:pt idx="3">
                  <c:v>16</c:v>
                </c:pt>
                <c:pt idx="4">
                  <c:v>14</c:v>
                </c:pt>
              </c:numCache>
              <c:extLst/>
            </c:numRef>
          </c:val>
          <c:extLst>
            <c:ext xmlns:c16="http://schemas.microsoft.com/office/drawing/2014/chart" uri="{C3380CC4-5D6E-409C-BE32-E72D297353CC}">
              <c16:uniqueId val="{00000002-16E9-4E69-8739-7E8FBA1D9D35}"/>
            </c:ext>
          </c:extLst>
        </c:ser>
        <c:ser>
          <c:idx val="3"/>
          <c:order val="3"/>
          <c:tx>
            <c:strRef>
              <c:f>'[JUST REC_REC_ ALL INDICATORS Updated .xlsx]Item 39-41 53-57'!$E$104</c:f>
              <c:strCache>
                <c:ptCount val="1"/>
                <c:pt idx="0">
                  <c:v>Analytical and monitoring activities</c:v>
                </c:pt>
              </c:strCache>
            </c:strRef>
          </c:tx>
          <c:spPr>
            <a:solidFill>
              <a:schemeClr val="accent4"/>
            </a:solidFill>
            <a:ln>
              <a:noFill/>
            </a:ln>
            <a:effectLst/>
          </c:spPr>
          <c:invertIfNegative val="0"/>
          <c:cat>
            <c:numRef>
              <c:f>'[JUST REC_REC_ ALL INDICATORS Updated .xlsx]Item 39-41 53-57'!$A$105:$A$111</c:f>
              <c:numCache>
                <c:formatCode>General</c:formatCode>
                <c:ptCount val="5"/>
                <c:pt idx="0">
                  <c:v>2016</c:v>
                </c:pt>
                <c:pt idx="1">
                  <c:v>2017</c:v>
                </c:pt>
                <c:pt idx="2">
                  <c:v>2018</c:v>
                </c:pt>
                <c:pt idx="3">
                  <c:v>2019</c:v>
                </c:pt>
                <c:pt idx="4">
                  <c:v>2020</c:v>
                </c:pt>
              </c:numCache>
              <c:extLst/>
            </c:numRef>
          </c:cat>
          <c:val>
            <c:numRef>
              <c:f>'[JUST REC_REC_ ALL INDICATORS Updated .xlsx]Item 39-41 53-57'!$E$105:$E$111</c:f>
              <c:numCache>
                <c:formatCode>General</c:formatCode>
                <c:ptCount val="5"/>
                <c:pt idx="0">
                  <c:v>46</c:v>
                </c:pt>
                <c:pt idx="1">
                  <c:v>71</c:v>
                </c:pt>
                <c:pt idx="2">
                  <c:v>68</c:v>
                </c:pt>
                <c:pt idx="3">
                  <c:v>82</c:v>
                </c:pt>
                <c:pt idx="4">
                  <c:v>62</c:v>
                </c:pt>
              </c:numCache>
              <c:extLst/>
            </c:numRef>
          </c:val>
          <c:extLst>
            <c:ext xmlns:c16="http://schemas.microsoft.com/office/drawing/2014/chart" uri="{C3380CC4-5D6E-409C-BE32-E72D297353CC}">
              <c16:uniqueId val="{00000003-16E9-4E69-8739-7E8FBA1D9D35}"/>
            </c:ext>
          </c:extLst>
        </c:ser>
        <c:ser>
          <c:idx val="4"/>
          <c:order val="4"/>
          <c:tx>
            <c:strRef>
              <c:f>'[JUST REC_REC_ ALL INDICATORS Updated .xlsx]Item 39-41 53-57'!$F$104</c:f>
              <c:strCache>
                <c:ptCount val="1"/>
                <c:pt idx="0">
                  <c:v>Awareness rising and dissemination</c:v>
                </c:pt>
              </c:strCache>
            </c:strRef>
          </c:tx>
          <c:spPr>
            <a:solidFill>
              <a:schemeClr val="accent5"/>
            </a:solidFill>
            <a:ln>
              <a:noFill/>
            </a:ln>
            <a:effectLst/>
          </c:spPr>
          <c:invertIfNegative val="0"/>
          <c:cat>
            <c:numRef>
              <c:f>'[JUST REC_REC_ ALL INDICATORS Updated .xlsx]Item 39-41 53-57'!$A$105:$A$111</c:f>
              <c:numCache>
                <c:formatCode>General</c:formatCode>
                <c:ptCount val="5"/>
                <c:pt idx="0">
                  <c:v>2016</c:v>
                </c:pt>
                <c:pt idx="1">
                  <c:v>2017</c:v>
                </c:pt>
                <c:pt idx="2">
                  <c:v>2018</c:v>
                </c:pt>
                <c:pt idx="3">
                  <c:v>2019</c:v>
                </c:pt>
                <c:pt idx="4">
                  <c:v>2020</c:v>
                </c:pt>
              </c:numCache>
              <c:extLst/>
            </c:numRef>
          </c:cat>
          <c:val>
            <c:numRef>
              <c:f>'[JUST REC_REC_ ALL INDICATORS Updated .xlsx]Item 39-41 53-57'!$F$105:$F$111</c:f>
              <c:numCache>
                <c:formatCode>General</c:formatCode>
                <c:ptCount val="5"/>
                <c:pt idx="0">
                  <c:v>33</c:v>
                </c:pt>
                <c:pt idx="1">
                  <c:v>58</c:v>
                </c:pt>
                <c:pt idx="2">
                  <c:v>61</c:v>
                </c:pt>
                <c:pt idx="3">
                  <c:v>74</c:v>
                </c:pt>
                <c:pt idx="4">
                  <c:v>62</c:v>
                </c:pt>
              </c:numCache>
              <c:extLst/>
            </c:numRef>
          </c:val>
          <c:extLst>
            <c:ext xmlns:c16="http://schemas.microsoft.com/office/drawing/2014/chart" uri="{C3380CC4-5D6E-409C-BE32-E72D297353CC}">
              <c16:uniqueId val="{00000004-16E9-4E69-8739-7E8FBA1D9D35}"/>
            </c:ext>
          </c:extLst>
        </c:ser>
        <c:ser>
          <c:idx val="5"/>
          <c:order val="5"/>
          <c:tx>
            <c:strRef>
              <c:f>'[JUST REC_REC_ ALL INDICATORS Updated .xlsx]Item 39-41 53-57'!$G$104</c:f>
              <c:strCache>
                <c:ptCount val="1"/>
                <c:pt idx="0">
                  <c:v>Training</c:v>
                </c:pt>
              </c:strCache>
            </c:strRef>
          </c:tx>
          <c:spPr>
            <a:solidFill>
              <a:schemeClr val="accent6"/>
            </a:solidFill>
            <a:ln>
              <a:noFill/>
            </a:ln>
            <a:effectLst/>
          </c:spPr>
          <c:invertIfNegative val="0"/>
          <c:cat>
            <c:numRef>
              <c:f>'[JUST REC_REC_ ALL INDICATORS Updated .xlsx]Item 39-41 53-57'!$A$105:$A$111</c:f>
              <c:numCache>
                <c:formatCode>General</c:formatCode>
                <c:ptCount val="5"/>
                <c:pt idx="0">
                  <c:v>2016</c:v>
                </c:pt>
                <c:pt idx="1">
                  <c:v>2017</c:v>
                </c:pt>
                <c:pt idx="2">
                  <c:v>2018</c:v>
                </c:pt>
                <c:pt idx="3">
                  <c:v>2019</c:v>
                </c:pt>
                <c:pt idx="4">
                  <c:v>2020</c:v>
                </c:pt>
              </c:numCache>
              <c:extLst/>
            </c:numRef>
          </c:cat>
          <c:val>
            <c:numRef>
              <c:f>'[JUST REC_REC_ ALL INDICATORS Updated .xlsx]Item 39-41 53-57'!$G$105:$G$111</c:f>
              <c:numCache>
                <c:formatCode>General</c:formatCode>
                <c:ptCount val="5"/>
                <c:pt idx="0">
                  <c:v>73</c:v>
                </c:pt>
                <c:pt idx="1">
                  <c:v>104</c:v>
                </c:pt>
                <c:pt idx="2">
                  <c:v>94</c:v>
                </c:pt>
                <c:pt idx="3">
                  <c:v>93</c:v>
                </c:pt>
                <c:pt idx="4">
                  <c:v>81</c:v>
                </c:pt>
              </c:numCache>
              <c:extLst/>
            </c:numRef>
          </c:val>
          <c:extLst>
            <c:ext xmlns:c16="http://schemas.microsoft.com/office/drawing/2014/chart" uri="{C3380CC4-5D6E-409C-BE32-E72D297353CC}">
              <c16:uniqueId val="{00000005-16E9-4E69-8739-7E8FBA1D9D35}"/>
            </c:ext>
          </c:extLst>
        </c:ser>
        <c:dLbls>
          <c:showLegendKey val="0"/>
          <c:showVal val="0"/>
          <c:showCatName val="0"/>
          <c:showSerName val="0"/>
          <c:showPercent val="0"/>
          <c:showBubbleSize val="0"/>
        </c:dLbls>
        <c:gapWidth val="219"/>
        <c:overlap val="-27"/>
        <c:axId val="508639039"/>
        <c:axId val="508637375"/>
      </c:barChart>
      <c:catAx>
        <c:axId val="5086390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8637375"/>
        <c:crosses val="autoZero"/>
        <c:auto val="1"/>
        <c:lblAlgn val="ctr"/>
        <c:lblOffset val="100"/>
        <c:noMultiLvlLbl val="0"/>
      </c:catAx>
      <c:valAx>
        <c:axId val="5086373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86390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33C0DDA814724487FAFCC555F18ED7" ma:contentTypeVersion="0" ma:contentTypeDescription="Create a new document." ma:contentTypeScope="" ma:versionID="09e3b3ef59f1c8ce1750bdc26dddace3">
  <xsd:schema xmlns:xsd="http://www.w3.org/2001/XMLSchema" xmlns:xs="http://www.w3.org/2001/XMLSchema" xmlns:p="http://schemas.microsoft.com/office/2006/metadata/properties" targetNamespace="http://schemas.microsoft.com/office/2006/metadata/properties" ma:root="true" ma:fieldsID="9362e93fce6acac758b9654d3808df5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23AB3D-7624-4F8F-895E-006106BF3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066D8E7-D262-428C-85EB-5CC3B62DE088}">
  <ds:schemaRefs>
    <ds:schemaRef ds:uri="http://purl.org/dc/terms/"/>
    <ds:schemaRef ds:uri="http://purl.org/dc/dcmitype/"/>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F9AB1C6E-4F04-4128-8C82-7D93A28DF0C6}">
  <ds:schemaRefs>
    <ds:schemaRef ds:uri="http://schemas.microsoft.com/sharepoint/v3/contenttype/forms"/>
  </ds:schemaRefs>
</ds:datastoreItem>
</file>

<file path=customXml/itemProps4.xml><?xml version="1.0" encoding="utf-8"?>
<ds:datastoreItem xmlns:ds="http://schemas.openxmlformats.org/officeDocument/2006/customXml" ds:itemID="{349B9280-086C-4000-9CFC-DA699B5AB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12</Pages>
  <Words>3338</Words>
  <Characters>28778</Characters>
  <Application>Microsoft Office Word</Application>
  <DocSecurity>0</DocSecurity>
  <Lines>487</Lines>
  <Paragraphs>199</Paragraphs>
  <ScaleCrop>false</ScaleCrop>
  <Manager/>
  <Company/>
  <LinksUpToDate>false</LinksUpToDate>
  <CharactersWithSpaces>31917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37</cp:revision>
  <cp:lastPrinted>2017-12-07T09:01:00Z</cp:lastPrinted>
  <dcterms:created xsi:type="dcterms:W3CDTF">2022-01-24T14:59:00Z</dcterms:created>
  <dcterms:modified xsi:type="dcterms:W3CDTF">2022-03-17T13:09:00Z</dcterms:modified>
  <dc:language>fr-BE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PTemplateID">
    <vt:lpwstr>CP-008</vt:lpwstr>
  </property>
  <property fmtid="{D5CDD505-2E9C-101B-9397-08002B2CF9AE}" pid="3" name="DocStatus">
    <vt:lpwstr>Green</vt:lpwstr>
  </property>
  <property fmtid="{D5CDD505-2E9C-101B-9397-08002B2CF9AE}" pid="4" name="IsMyDocuments">
    <vt:bool>true</vt:bool>
  </property>
  <property fmtid="{D5CDD505-2E9C-101B-9397-08002B2CF9AE}" pid="5" name="Last edited using">
    <vt:lpwstr>LW 7.0.1, Build 20200226</vt:lpwstr>
  </property>
  <property fmtid="{D5CDD505-2E9C-101B-9397-08002B2CF9AE}" pid="6" name="Level of sensitivity">
    <vt:lpwstr>Standard treatment</vt:lpwstr>
  </property>
  <property fmtid="{D5CDD505-2E9C-101B-9397-08002B2CF9AE}" pid="7" name="Part">
    <vt:lpwstr>1</vt:lpwstr>
  </property>
  <property fmtid="{D5CDD505-2E9C-101B-9397-08002B2CF9AE}" pid="8" name="Total parts">
    <vt:lpwstr>1</vt:lpwstr>
  </property>
  <property fmtid="{D5CDD505-2E9C-101B-9397-08002B2CF9AE}" pid="9" name="Created using">
    <vt:lpwstr>LW 8.0, Build 20220128</vt:lpwstr>
  </property>
  <property fmtid="{D5CDD505-2E9C-101B-9397-08002B2CF9AE}" pid="10" name="_LW_INVALIDATED__LW_INVALIDATED__LW_INVALIDATED__LW_INVALIDATED__LW_INVALIDATED__LW_INVALIDATED__LW_INVALIDATED__LW_INVALIDATED__LW_INVALIDATED_ContentTypeId">
    <vt:lpwstr>0x0101009F33C0DDA814724487FAFCC555F18ED7</vt:lpwstr>
  </property>
  <property name="OP_sanitized" fmtid="{D5CDD505-2E9C-101B-9397-08002B2CF9AE}" pid="11">
    <vt:lpwstr>True</vt:lpwstr>
  </property>
</Properties>
</file>