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9871C9D9-5744-44E8-A1B2-6C34269C53E9" style="width:455.25pt;height:475.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jc w:val="center"/>
        <w:rPr>
          <w:rFonts w:ascii="Times New Roman" w:hAnsi="Times New Roman" w:cs="Times New Roman"/>
          <w:b/>
          <w:bCs/>
          <w:noProof/>
          <w:sz w:val="28"/>
          <w:szCs w:val="28"/>
        </w:rPr>
      </w:pPr>
      <w:bookmarkStart w:id="1" w:name="_GoBack"/>
      <w:bookmarkEnd w:id="1"/>
      <w:r>
        <w:rPr>
          <w:rFonts w:ascii="Times New Roman" w:hAnsi="Times New Roman"/>
          <w:b/>
          <w:bCs/>
          <w:noProof/>
          <w:sz w:val="28"/>
          <w:szCs w:val="28"/>
        </w:rPr>
        <w:lastRenderedPageBreak/>
        <w:t>TIIVISTELMÄRAPORTTI</w:t>
      </w:r>
    </w:p>
    <w:p>
      <w:pPr>
        <w:jc w:val="center"/>
        <w:rPr>
          <w:rFonts w:ascii="Times New Roman" w:hAnsi="Times New Roman" w:cs="Times New Roman"/>
          <w:b/>
          <w:bCs/>
          <w:noProof/>
          <w:sz w:val="28"/>
          <w:szCs w:val="28"/>
        </w:rPr>
      </w:pPr>
    </w:p>
    <w:p>
      <w:pPr>
        <w:pStyle w:val="ListParagraph"/>
        <w:numPr>
          <w:ilvl w:val="0"/>
          <w:numId w:val="3"/>
        </w:numPr>
        <w:rPr>
          <w:rFonts w:ascii="Times New Roman" w:hAnsi="Times New Roman" w:cs="Times New Roman"/>
          <w:b/>
          <w:bCs/>
          <w:noProof/>
          <w:sz w:val="24"/>
          <w:szCs w:val="24"/>
        </w:rPr>
      </w:pPr>
      <w:r>
        <w:rPr>
          <w:rFonts w:ascii="Times New Roman" w:hAnsi="Times New Roman"/>
          <w:b/>
          <w:bCs/>
          <w:noProof/>
          <w:sz w:val="24"/>
          <w:szCs w:val="24"/>
        </w:rPr>
        <w:t xml:space="preserve">JOHDANTO </w:t>
      </w:r>
    </w:p>
    <w:p>
      <w:pPr>
        <w:pStyle w:val="Default"/>
        <w:jc w:val="both"/>
        <w:rPr>
          <w:noProof/>
        </w:rPr>
      </w:pPr>
      <w:r>
        <w:rPr>
          <w:noProof/>
        </w:rPr>
        <w:t xml:space="preserve">Tässä raportissa käsitellään kansalaisten, viranomaisten, yhdistysten ja muiden järjestöjen, jäljempänä ’sidosryhmät’, antamaa palautetta EU:n edellisestä työterveyttä ja </w:t>
      </w:r>
      <w:r>
        <w:rPr>
          <w:noProof/>
        </w:rPr>
        <w:noBreakHyphen/>
        <w:t xml:space="preserve">turvallisuutta koskevasta strategiakehyksestä (2014–2020), jäljempänä ’edellinen strategiakehys’. Raportissa käsitellään myös EU:n uudesta työterveyttä ja </w:t>
      </w:r>
      <w:r>
        <w:rPr>
          <w:noProof/>
        </w:rPr>
        <w:noBreakHyphen/>
        <w:t>turvallisuutta koskevasta strategiakehyksestä (2021–2027), jäljempänä ’uusi strategiakehys’, annettua palautetta.</w:t>
      </w:r>
    </w:p>
    <w:p>
      <w:pPr>
        <w:pStyle w:val="Default"/>
        <w:jc w:val="both"/>
        <w:rPr>
          <w:noProof/>
        </w:rPr>
      </w:pPr>
    </w:p>
    <w:p>
      <w:pPr>
        <w:pStyle w:val="Default"/>
        <w:jc w:val="both"/>
        <w:rPr>
          <w:noProof/>
        </w:rPr>
      </w:pPr>
      <w:r>
        <w:rPr>
          <w:b/>
          <w:noProof/>
        </w:rPr>
        <w:t>Kuulemisstrategian</w:t>
      </w:r>
      <w:r>
        <w:rPr>
          <w:noProof/>
        </w:rPr>
        <w:t xml:space="preserve"> tarkoituksena oli luoda edellytykset laajalle kuulemiselle, jossa koottiin kansalaisten ja kaikkien asiaankuuluvien sidosryhmien näkemyksiä ja mielipiteitä eri foorumeilla, muun muassa avoimen julkisen kuulemisen avulla. Kuulemisen tavoitteena oli arvioida edellisen strategiakehyksen laatua ja täytäntöönpanoa sekä tukea uutta strategiakehystä tarjoamalla näkemyksiä, joiden pohjalta voidaan laatia tätä politiikan alaa koskevia EU:n strategisia suuntaviivoja kaudelle 2021–2027. Kuulemismenettelyä varten laadittiin </w:t>
      </w:r>
      <w:r>
        <w:rPr>
          <w:b/>
          <w:noProof/>
        </w:rPr>
        <w:t>sidosryhmäkartoitus</w:t>
      </w:r>
      <w:r>
        <w:rPr>
          <w:noProof/>
        </w:rPr>
        <w:t>, jossa nimettiin seuraavat asiaankuuluvat sidosryhmät:</w:t>
      </w:r>
    </w:p>
    <w:p>
      <w:pPr>
        <w:pStyle w:val="Default"/>
        <w:rPr>
          <w:noProof/>
        </w:rPr>
      </w:pPr>
    </w:p>
    <w:p>
      <w:pPr>
        <w:pStyle w:val="Text1"/>
        <w:numPr>
          <w:ilvl w:val="0"/>
          <w:numId w:val="6"/>
        </w:numPr>
        <w:spacing w:after="120"/>
        <w:ind w:left="714" w:hanging="357"/>
        <w:contextualSpacing/>
        <w:rPr>
          <w:noProof/>
        </w:rPr>
      </w:pPr>
      <w:r>
        <w:rPr>
          <w:noProof/>
        </w:rPr>
        <w:t>työturvallisuuden ja työterveyden neuvoa-antava komitea (ACSH)</w:t>
      </w:r>
    </w:p>
    <w:p>
      <w:pPr>
        <w:pStyle w:val="Text1"/>
        <w:numPr>
          <w:ilvl w:val="0"/>
          <w:numId w:val="6"/>
        </w:numPr>
        <w:spacing w:after="120"/>
        <w:ind w:left="714" w:hanging="357"/>
        <w:contextualSpacing/>
        <w:rPr>
          <w:noProof/>
        </w:rPr>
      </w:pPr>
      <w:r>
        <w:rPr>
          <w:noProof/>
        </w:rPr>
        <w:t>johtavien työsuojelutarkastajien komitea (SLIC)</w:t>
      </w:r>
    </w:p>
    <w:p>
      <w:pPr>
        <w:pStyle w:val="Text1"/>
        <w:numPr>
          <w:ilvl w:val="0"/>
          <w:numId w:val="6"/>
        </w:numPr>
        <w:spacing w:after="120"/>
        <w:ind w:left="714" w:hanging="357"/>
        <w:contextualSpacing/>
        <w:rPr>
          <w:noProof/>
        </w:rPr>
      </w:pPr>
      <w:r>
        <w:rPr>
          <w:noProof/>
        </w:rPr>
        <w:t>kansalliset viranomaiset (muun muassa työ- ja sosiaaliministeriöt, kansalliset työterveys- ja työturvallisuuslaitokset sekä työsuojeluviranomaiset)</w:t>
      </w:r>
    </w:p>
    <w:p>
      <w:pPr>
        <w:pStyle w:val="Text1"/>
        <w:numPr>
          <w:ilvl w:val="0"/>
          <w:numId w:val="6"/>
        </w:numPr>
        <w:spacing w:after="120"/>
        <w:ind w:left="714" w:hanging="357"/>
        <w:contextualSpacing/>
        <w:rPr>
          <w:noProof/>
        </w:rPr>
      </w:pPr>
      <w:r>
        <w:rPr>
          <w:noProof/>
        </w:rPr>
        <w:t>työmarkkinaosapuolet jäsenvaltioiden ja EU:n tasoilla</w:t>
      </w:r>
    </w:p>
    <w:p>
      <w:pPr>
        <w:pStyle w:val="Text1"/>
        <w:numPr>
          <w:ilvl w:val="0"/>
          <w:numId w:val="6"/>
        </w:numPr>
        <w:spacing w:after="120"/>
        <w:ind w:left="714" w:hanging="357"/>
        <w:contextualSpacing/>
        <w:rPr>
          <w:noProof/>
          <w:szCs w:val="24"/>
        </w:rPr>
      </w:pPr>
      <w:r>
        <w:rPr>
          <w:noProof/>
        </w:rPr>
        <w:t>työnantajat, myös mikroyritykset sekä pienet ja keskisuuret yritykset, sekä työntekijät</w:t>
      </w:r>
    </w:p>
    <w:p>
      <w:pPr>
        <w:pStyle w:val="Text1"/>
        <w:numPr>
          <w:ilvl w:val="0"/>
          <w:numId w:val="6"/>
        </w:numPr>
        <w:spacing w:after="120"/>
        <w:ind w:left="714" w:hanging="357"/>
        <w:contextualSpacing/>
        <w:rPr>
          <w:noProof/>
          <w:szCs w:val="24"/>
        </w:rPr>
      </w:pPr>
      <w:r>
        <w:rPr>
          <w:noProof/>
        </w:rPr>
        <w:t>akateemiset laitokset / tutkimuslaitokset</w:t>
      </w:r>
    </w:p>
    <w:p>
      <w:pPr>
        <w:pStyle w:val="Text1"/>
        <w:numPr>
          <w:ilvl w:val="0"/>
          <w:numId w:val="6"/>
        </w:numPr>
        <w:spacing w:after="120"/>
        <w:ind w:left="714" w:hanging="357"/>
        <w:contextualSpacing/>
        <w:rPr>
          <w:noProof/>
          <w:szCs w:val="24"/>
        </w:rPr>
      </w:pPr>
      <w:r>
        <w:rPr>
          <w:noProof/>
        </w:rPr>
        <w:t>työterveys- ja työturvallisuusalan ammattilaiset (muun muassa yksityiset asiantuntijat ja konsultit, ulkopuoliset työterveys- ja työturvallisuusalan suojelu- ja ennaltaehkäisypalveluja tarjoavat yksiköt sekä työterveys- ja työturvallisuusverkostot)</w:t>
      </w:r>
    </w:p>
    <w:p>
      <w:pPr>
        <w:pStyle w:val="Text1"/>
        <w:numPr>
          <w:ilvl w:val="0"/>
          <w:numId w:val="6"/>
        </w:numPr>
        <w:ind w:left="714" w:hanging="357"/>
        <w:contextualSpacing/>
        <w:rPr>
          <w:noProof/>
          <w:szCs w:val="24"/>
        </w:rPr>
      </w:pPr>
      <w:r>
        <w:rPr>
          <w:noProof/>
        </w:rPr>
        <w:t xml:space="preserve">muut ryhmät, kuten julkiset vakuutuslaitokset. </w:t>
      </w:r>
    </w:p>
    <w:p>
      <w:pPr>
        <w:pStyle w:val="Default"/>
        <w:jc w:val="both"/>
        <w:rPr>
          <w:noProof/>
        </w:rPr>
      </w:pPr>
      <w:r>
        <w:rPr>
          <w:noProof/>
        </w:rPr>
        <w:t xml:space="preserve">Kuulemisstrategian tarkoituksena oli koota erilaisten </w:t>
      </w:r>
      <w:r>
        <w:rPr>
          <w:b/>
          <w:noProof/>
        </w:rPr>
        <w:t>kuulemismenetelmien ja ‑välineiden</w:t>
      </w:r>
      <w:r>
        <w:rPr>
          <w:noProof/>
        </w:rPr>
        <w:t xml:space="preserve"> avulla palautetta, joka kattaa erityisesti seuraavat:</w:t>
      </w:r>
    </w:p>
    <w:p>
      <w:pPr>
        <w:pStyle w:val="Default"/>
        <w:numPr>
          <w:ilvl w:val="0"/>
          <w:numId w:val="9"/>
        </w:numPr>
        <w:jc w:val="both"/>
        <w:rPr>
          <w:noProof/>
        </w:rPr>
      </w:pPr>
      <w:r>
        <w:rPr>
          <w:noProof/>
        </w:rPr>
        <w:t xml:space="preserve">työterveys- ja työturvallisuusalan tärkeimpien sidosryhmien (kuten ACSH, SLIC ja EU:n työnantajien ja työntekijöiden edustajat) lausunnot ja kannat sekä EU:n toimielinten (neuvosto ja Euroopan parlamentti) lausunnot </w:t>
      </w:r>
    </w:p>
    <w:p>
      <w:pPr>
        <w:pStyle w:val="Default"/>
        <w:numPr>
          <w:ilvl w:val="0"/>
          <w:numId w:val="9"/>
        </w:numPr>
        <w:jc w:val="both"/>
        <w:rPr>
          <w:noProof/>
        </w:rPr>
      </w:pPr>
      <w:r>
        <w:rPr>
          <w:noProof/>
        </w:rPr>
        <w:t>edellistä strategiakehystä arvioiva ulkopuolinen tutkimus</w:t>
      </w:r>
      <w:r>
        <w:rPr>
          <w:noProof/>
          <w:vertAlign w:val="superscript"/>
        </w:rPr>
        <w:footnoteReference w:id="1"/>
      </w:r>
    </w:p>
    <w:p>
      <w:pPr>
        <w:pStyle w:val="Default"/>
        <w:numPr>
          <w:ilvl w:val="0"/>
          <w:numId w:val="9"/>
        </w:numPr>
        <w:jc w:val="both"/>
        <w:rPr>
          <w:noProof/>
        </w:rPr>
      </w:pPr>
      <w:r>
        <w:rPr>
          <w:noProof/>
        </w:rPr>
        <w:t>avoimen julkisen kuulemisen tulokset</w:t>
      </w:r>
      <w:r>
        <w:rPr>
          <w:noProof/>
          <w:vertAlign w:val="superscript"/>
        </w:rPr>
        <w:footnoteReference w:id="2"/>
      </w:r>
    </w:p>
    <w:p>
      <w:pPr>
        <w:pStyle w:val="Default"/>
        <w:numPr>
          <w:ilvl w:val="0"/>
          <w:numId w:val="9"/>
        </w:numPr>
        <w:jc w:val="both"/>
        <w:rPr>
          <w:noProof/>
        </w:rPr>
      </w:pPr>
      <w:r>
        <w:rPr>
          <w:noProof/>
        </w:rPr>
        <w:t>julkaistusta etenemissuunnitelmasta saatu palaute</w:t>
      </w:r>
    </w:p>
    <w:p>
      <w:pPr>
        <w:pStyle w:val="Default"/>
        <w:numPr>
          <w:ilvl w:val="0"/>
          <w:numId w:val="9"/>
        </w:numPr>
        <w:jc w:val="both"/>
        <w:rPr>
          <w:noProof/>
        </w:rPr>
      </w:pPr>
      <w:r>
        <w:rPr>
          <w:noProof/>
        </w:rPr>
        <w:t>sidosryhmien kanssa käydyssä säännöllisessä näkemystenvaihdossa esitetyt näkemykset – sekä sidosryhmien tapauskohtaiset kommentit.</w:t>
      </w:r>
    </w:p>
    <w:p>
      <w:pPr>
        <w:pStyle w:val="Default"/>
        <w:ind w:left="720"/>
        <w:jc w:val="both"/>
        <w:rPr>
          <w:noProof/>
        </w:rPr>
      </w:pPr>
    </w:p>
    <w:p>
      <w:pPr>
        <w:pStyle w:val="Default"/>
        <w:jc w:val="both"/>
        <w:rPr>
          <w:noProof/>
          <w:sz w:val="23"/>
          <w:szCs w:val="23"/>
        </w:rPr>
      </w:pPr>
      <w:r>
        <w:rPr>
          <w:noProof/>
          <w:sz w:val="23"/>
          <w:szCs w:val="23"/>
        </w:rPr>
        <w:t xml:space="preserve">Saadut vastaukset vahvistivat, että kansalaiset ja sidosryhmät tukevat voimakkaasti uutta strategiakehystä. Vastaukset vahvistivat myös, että yhteiset tavoitteet ja koordinoitu toiminta ovat tärkeitä, jotta kaikki toimijat saadaan mukaan tavoittelemaan samaa päämäärää – työterveyden </w:t>
      </w:r>
      <w:r>
        <w:rPr>
          <w:noProof/>
          <w:sz w:val="23"/>
          <w:szCs w:val="23"/>
        </w:rPr>
        <w:lastRenderedPageBreak/>
        <w:t xml:space="preserve">ja </w:t>
      </w:r>
      <w:r>
        <w:rPr>
          <w:noProof/>
          <w:sz w:val="23"/>
          <w:szCs w:val="23"/>
        </w:rPr>
        <w:noBreakHyphen/>
        <w:t xml:space="preserve">turvallisuuden parantamista. </w:t>
      </w:r>
      <w:r>
        <w:rPr>
          <w:noProof/>
          <w:szCs w:val="23"/>
        </w:rPr>
        <w:t>Vastaukset on otettu huomioon tiedonannossa</w:t>
      </w:r>
      <w:r>
        <w:rPr>
          <w:noProof/>
          <w:szCs w:val="23"/>
          <w:vertAlign w:val="superscript"/>
        </w:rPr>
        <w:footnoteReference w:id="3"/>
      </w:r>
      <w:r>
        <w:rPr>
          <w:noProof/>
          <w:szCs w:val="23"/>
        </w:rPr>
        <w:t>, jota tämä raportti täydentää</w:t>
      </w:r>
      <w:r>
        <w:rPr>
          <w:noProof/>
          <w:sz w:val="23"/>
          <w:szCs w:val="23"/>
        </w:rPr>
        <w:t>. Tiedonannossa määritellään tärkeimmät etusijalle asetetut kysymykset sekä konkreettisia toimia, joita voitaisiin toteuttaa. Huomioon ei otettu vastauksia, joissa mainitut asiat eivät kuulu EU:n toimivaltuuksien piiriin</w:t>
      </w:r>
    </w:p>
    <w:p>
      <w:pPr>
        <w:pStyle w:val="Default"/>
        <w:rPr>
          <w:noProof/>
        </w:rPr>
      </w:pPr>
    </w:p>
    <w:p>
      <w:pPr>
        <w:pStyle w:val="Default"/>
        <w:numPr>
          <w:ilvl w:val="0"/>
          <w:numId w:val="3"/>
        </w:numPr>
        <w:rPr>
          <w:b/>
          <w:noProof/>
        </w:rPr>
      </w:pPr>
      <w:r>
        <w:rPr>
          <w:b/>
          <w:noProof/>
        </w:rPr>
        <w:t xml:space="preserve">METODOLOGIA </w:t>
      </w:r>
    </w:p>
    <w:p>
      <w:pPr>
        <w:pStyle w:val="Default"/>
        <w:ind w:left="720"/>
        <w:rPr>
          <w:b/>
          <w:noProof/>
        </w:rPr>
      </w:pPr>
    </w:p>
    <w:p>
      <w:pPr>
        <w:pStyle w:val="Default"/>
        <w:jc w:val="both"/>
        <w:rPr>
          <w:rFonts w:eastAsia="Times New Roman"/>
          <w:noProof/>
          <w:color w:val="auto"/>
          <w:szCs w:val="20"/>
        </w:rPr>
      </w:pPr>
      <w:r>
        <w:rPr>
          <w:noProof/>
          <w:color w:val="auto"/>
          <w:szCs w:val="20"/>
        </w:rPr>
        <w:t>Sidosryhmillä oli mahdollisuus antaa uutta strategiakehystä varten etenemissuunnitelmaa koskevaa palautetta verkossa</w:t>
      </w:r>
      <w:r>
        <w:rPr>
          <w:rFonts w:eastAsia="Times New Roman"/>
          <w:noProof/>
          <w:color w:val="auto"/>
          <w:szCs w:val="20"/>
          <w:vertAlign w:val="superscript"/>
        </w:rPr>
        <w:footnoteReference w:id="4"/>
      </w:r>
      <w:r>
        <w:rPr>
          <w:noProof/>
          <w:color w:val="auto"/>
          <w:szCs w:val="20"/>
        </w:rPr>
        <w:t xml:space="preserve"> käyttämällä avointa tekstikenttää. Niillä oli myös tilaisuus osallistua avoimeen julkiseen kuulemiseen toimittamalla palautetta sähköisellä kyselylomakkeella. Lisäksi komissio sai sidosryhmiltä kannanottoja säännöllisessä näkemystenvaihdossa ja tapauskohtaisissa kommenteissa. Ulkopuolinen toimeksisaaja suoritti osan kuulemiseen liittyvistä toimista työllisyys-, sosiaali- ja osallisuusasioiden pääosaston puolesta.</w:t>
      </w:r>
    </w:p>
    <w:p>
      <w:pPr>
        <w:pStyle w:val="Default"/>
        <w:jc w:val="both"/>
        <w:rPr>
          <w:rFonts w:eastAsia="Times New Roman"/>
          <w:noProof/>
          <w:color w:val="auto"/>
          <w:szCs w:val="20"/>
        </w:rPr>
      </w:pPr>
    </w:p>
    <w:p>
      <w:pPr>
        <w:pStyle w:val="Default"/>
        <w:jc w:val="both"/>
        <w:rPr>
          <w:rFonts w:eastAsia="Times New Roman"/>
          <w:noProof/>
          <w:color w:val="auto"/>
          <w:szCs w:val="20"/>
        </w:rPr>
      </w:pPr>
      <w:r>
        <w:rPr>
          <w:noProof/>
          <w:color w:val="auto"/>
          <w:szCs w:val="20"/>
        </w:rPr>
        <w:t xml:space="preserve">Avoin julkinen kuuleminen sisälsi sekä suljettuja kysymyksiä (joissa vastaus valittiin ennalta määritetyistä vaihtoehdoista) että avoimia kysymyksiä (joissa vastaajat saattoivat antaa vastauksensa omin sanoin). Vastauksen pituus sai olla enintään 500 merkkiä kaikissa kysymyksissä lukuun ottamatta kysymyksiä 23 ja 25. Näissä kahdessa kysymyksessä vastausten pituus sai olla enintään 2 500 merkkiä. </w:t>
      </w:r>
    </w:p>
    <w:p>
      <w:pPr>
        <w:pStyle w:val="Default"/>
        <w:jc w:val="both"/>
        <w:rPr>
          <w:rFonts w:eastAsia="Times New Roman"/>
          <w:noProof/>
          <w:color w:val="auto"/>
          <w:szCs w:val="20"/>
        </w:rPr>
      </w:pPr>
    </w:p>
    <w:p>
      <w:pPr>
        <w:pStyle w:val="Default"/>
        <w:jc w:val="both"/>
        <w:rPr>
          <w:rFonts w:eastAsia="Times New Roman"/>
          <w:noProof/>
          <w:color w:val="auto"/>
          <w:szCs w:val="20"/>
        </w:rPr>
      </w:pPr>
      <w:r>
        <w:rPr>
          <w:noProof/>
          <w:color w:val="auto"/>
          <w:szCs w:val="20"/>
        </w:rPr>
        <w:t>Avoimen julkisen kuulemisen tulokset, etenemissuunnitelmaa koskeva palaute ja muut kannanotot analysoitiin määrällisesti ja laadullisesti. Tätä raporttia varten tehdyssä analyysissä on otettu huomioon ainoastaan sellaiset aiheet, jotka sidosryhmät mainitsivat vähintään kaksi kertaa etenemissuunnitelmaa koskevassa palautteessa ja muissa kannanotoissa. Jos jonkin aiheen yhteydessä ei viitata mihinkään tiettyyn sidosryhmään, tämä tarkoittaa, että aihe on mainittu useiden eri sidosryhmien – mutta ei sidosryhmien enemmistön – vastauksissa.</w:t>
      </w:r>
    </w:p>
    <w:p>
      <w:pPr>
        <w:pStyle w:val="Default"/>
        <w:jc w:val="both"/>
        <w:rPr>
          <w:rFonts w:eastAsia="Times New Roman"/>
          <w:noProof/>
          <w:color w:val="auto"/>
          <w:szCs w:val="20"/>
        </w:rPr>
      </w:pPr>
    </w:p>
    <w:p>
      <w:pPr>
        <w:pStyle w:val="Default"/>
        <w:jc w:val="both"/>
        <w:rPr>
          <w:rFonts w:eastAsia="Times New Roman"/>
          <w:noProof/>
          <w:color w:val="auto"/>
          <w:szCs w:val="20"/>
        </w:rPr>
      </w:pPr>
      <w:r>
        <w:rPr>
          <w:noProof/>
          <w:color w:val="auto"/>
          <w:szCs w:val="20"/>
        </w:rPr>
        <w:t>Uuden strategiakehyksen kannalta merkityksellisten kysymysten ja aiheiden määrittelemiseksi avoimen julkisen kuulemisen vastaukset analysoitiin MS Excelin ja tekstianalyysivälineiden avulla ja etenemissuunnitelmaa koskeva palaute sekä muut kannanotot manuaalisesti. Vapaamuotoiset vastaukset ryhmiteltiin tarvittaessa aiheittain, jotta voitiin määrittää, miten usein aiheita käsiteltiin vastauksissa. Tämä edellytti jonkinasteista tulkintaa.</w:t>
      </w:r>
    </w:p>
    <w:p>
      <w:pPr>
        <w:pStyle w:val="Default"/>
        <w:rPr>
          <w:noProof/>
        </w:rPr>
      </w:pPr>
    </w:p>
    <w:p>
      <w:pPr>
        <w:pStyle w:val="Default"/>
        <w:rPr>
          <w:noProof/>
        </w:rPr>
      </w:pPr>
    </w:p>
    <w:p>
      <w:pPr>
        <w:pStyle w:val="Default"/>
        <w:numPr>
          <w:ilvl w:val="0"/>
          <w:numId w:val="3"/>
        </w:numPr>
        <w:rPr>
          <w:b/>
          <w:caps/>
          <w:noProof/>
        </w:rPr>
      </w:pPr>
      <w:r>
        <w:rPr>
          <w:b/>
          <w:caps/>
          <w:noProof/>
        </w:rPr>
        <w:t xml:space="preserve">Keskeisten sidosryhmien kanssa käydyssä säännöllisessä näkemystenvaihdossa saadut kannanotot tai tapauskohtaiset kommentit </w:t>
      </w:r>
    </w:p>
    <w:p>
      <w:pPr>
        <w:pStyle w:val="Default"/>
        <w:rPr>
          <w:b/>
          <w:caps/>
          <w:noProof/>
        </w:rPr>
      </w:pPr>
    </w:p>
    <w:p>
      <w:pPr>
        <w:pStyle w:val="Default"/>
        <w:jc w:val="both"/>
        <w:rPr>
          <w:noProof/>
        </w:rPr>
      </w:pPr>
      <w:r>
        <w:rPr>
          <w:noProof/>
        </w:rPr>
        <w:t>Uutta strategiakehystä kommentoitiin säännöllisessä näkemystenvaihdossa tai tapauskohtaisissa kommenteissa yli 20 kertaa kesäkuun 2019 ja helmikuun 2021 välisenä aikana. Euroopan parlamentti ja neuvosto esittivät 25 prosenttia kannanotoista, kun taas yksittäiset jäsenvaltiot sekä ammattiyhdistykset tai ammattiyhdistysten liitot esittivät molemmat 17 prosenttia. Kannanottoja saatiin myös yrityksiltä ja elinkeinoyhdistyksiltä (13 % kaikista kannanotoista), kansalaisjärjestöiltä (8 %) ja EU:n työterveys- ja työturvallisuusalan neuvoa-antavilta elimiltä (ACSH ja SLIC) (8 %). Kansainväliset järjestöt, kansalliset työsuojeluviranomaiset ja akateemiset laitokset / tutkimuslaitokset toimittivat kukin 4 prosenttia kannanotoista.</w:t>
      </w:r>
    </w:p>
    <w:p>
      <w:pPr>
        <w:pStyle w:val="Default"/>
        <w:jc w:val="center"/>
        <w:rPr>
          <w:noProof/>
        </w:rPr>
      </w:pPr>
      <w:r>
        <w:rPr>
          <w:noProof/>
          <w:lang w:val="en-GB" w:eastAsia="en-GB"/>
        </w:rPr>
        <w:drawing>
          <wp:inline distT="0" distB="0" distL="0" distR="0">
            <wp:extent cx="5314950" cy="266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14950" cy="2667000"/>
                    </a:xfrm>
                    <a:prstGeom prst="rect">
                      <a:avLst/>
                    </a:prstGeom>
                    <a:noFill/>
                    <a:ln>
                      <a:noFill/>
                    </a:ln>
                  </pic:spPr>
                </pic:pic>
              </a:graphicData>
            </a:graphic>
          </wp:inline>
        </w:drawing>
      </w:r>
    </w:p>
    <w:p>
      <w:pPr>
        <w:pStyle w:val="Default"/>
        <w:jc w:val="both"/>
        <w:rPr>
          <w:noProof/>
        </w:rPr>
      </w:pPr>
    </w:p>
    <w:p>
      <w:pPr>
        <w:pStyle w:val="Default"/>
        <w:jc w:val="both"/>
        <w:rPr>
          <w:noProof/>
        </w:rPr>
      </w:pPr>
      <w:r>
        <w:rPr>
          <w:noProof/>
        </w:rPr>
        <w:t xml:space="preserve">Sidosryhmien kannanotoissa useimmiten esille otettu aihe koski </w:t>
      </w:r>
      <w:r>
        <w:rPr>
          <w:b/>
          <w:noProof/>
        </w:rPr>
        <w:t>työelämän muutoksia</w:t>
      </w:r>
      <w:r>
        <w:rPr>
          <w:noProof/>
        </w:rPr>
        <w:t xml:space="preserve">, jotka ovat seurausta teknologian kehityksen, väestörakenteen muutoksen, ilmastonmuutoksen ja globalisaation yhteisvaikutuksista. Useimmissa vastauksissa viitattiin tässä yhteydessä </w:t>
      </w:r>
      <w:r>
        <w:rPr>
          <w:b/>
          <w:noProof/>
        </w:rPr>
        <w:t>EU:n väestön nopeaan ikääntymiseen</w:t>
      </w:r>
      <w:r>
        <w:rPr>
          <w:noProof/>
        </w:rPr>
        <w:t xml:space="preserve"> sekä siihen, että ikääntyneet työntekijät on integroitava työmarkkinoille, jotta heille voidaan taata tuottava, terveellinen ja pitkä työelämä. Monissa näistä vastauksista käsiteltiin myös tehokkaita menettelytapoja työelämästä jonkin aikaa poissa olleiden ihmisten </w:t>
      </w:r>
      <w:r>
        <w:rPr>
          <w:b/>
          <w:noProof/>
        </w:rPr>
        <w:t>työhön paluun</w:t>
      </w:r>
      <w:r>
        <w:rPr>
          <w:noProof/>
        </w:rPr>
        <w:t xml:space="preserve"> edistämiseksi. Muissa tätä aihetta käsitelleissä kannanotoissa tarkasteltiin lisääntyneitä riskejä, jotka johtuvat nopeasta digitalisaatiosta ja työn uusista muodoista. Näitä molempia suuntauksia pandemia on nopeuttanut. Lisääntyneisiin riskeihin kuuluvat muun muassa </w:t>
      </w:r>
      <w:r>
        <w:rPr>
          <w:b/>
          <w:noProof/>
        </w:rPr>
        <w:t xml:space="preserve">ergonomiset </w:t>
      </w:r>
      <w:r>
        <w:rPr>
          <w:noProof/>
        </w:rPr>
        <w:t xml:space="preserve">ja </w:t>
      </w:r>
      <w:r>
        <w:rPr>
          <w:b/>
          <w:noProof/>
        </w:rPr>
        <w:t>psykososiaaliset riskit,</w:t>
      </w:r>
      <w:r>
        <w:rPr>
          <w:noProof/>
        </w:rPr>
        <w:t xml:space="preserve"> </w:t>
      </w:r>
      <w:r>
        <w:rPr>
          <w:b/>
          <w:noProof/>
        </w:rPr>
        <w:t xml:space="preserve">epätyypillisten työsuhteiden </w:t>
      </w:r>
      <w:r>
        <w:rPr>
          <w:noProof/>
        </w:rPr>
        <w:t>työterveys- ja työturvallisuusriskit</w:t>
      </w:r>
      <w:r>
        <w:rPr>
          <w:b/>
          <w:noProof/>
        </w:rPr>
        <w:t xml:space="preserve"> </w:t>
      </w:r>
      <w:r>
        <w:rPr>
          <w:noProof/>
        </w:rPr>
        <w:t xml:space="preserve">sekä </w:t>
      </w:r>
      <w:r>
        <w:rPr>
          <w:b/>
          <w:noProof/>
        </w:rPr>
        <w:t>etätyön</w:t>
      </w:r>
      <w:r>
        <w:rPr>
          <w:noProof/>
        </w:rPr>
        <w:t xml:space="preserve"> riskit. </w:t>
      </w:r>
    </w:p>
    <w:p>
      <w:pPr>
        <w:pStyle w:val="Default"/>
        <w:jc w:val="both"/>
        <w:rPr>
          <w:noProof/>
        </w:rPr>
      </w:pPr>
    </w:p>
    <w:p>
      <w:pPr>
        <w:pStyle w:val="Default"/>
        <w:jc w:val="both"/>
        <w:rPr>
          <w:noProof/>
        </w:rPr>
      </w:pPr>
      <w:r>
        <w:rPr>
          <w:noProof/>
        </w:rPr>
        <w:t xml:space="preserve">Useimmat sidosryhmät mainitsivat myös, että </w:t>
      </w:r>
      <w:r>
        <w:rPr>
          <w:b/>
          <w:noProof/>
        </w:rPr>
        <w:t>työterveys- ja työturvallisuussääntöjen soveltamista</w:t>
      </w:r>
      <w:r>
        <w:rPr>
          <w:noProof/>
        </w:rPr>
        <w:t xml:space="preserve"> on tuettava, erityisesti </w:t>
      </w:r>
      <w:r>
        <w:rPr>
          <w:b/>
          <w:noProof/>
        </w:rPr>
        <w:t>mikroyrityksissä sekä pienissä ja keskisuurissa yrityksissä</w:t>
      </w:r>
      <w:r>
        <w:rPr>
          <w:noProof/>
        </w:rPr>
        <w:t xml:space="preserve">, ja </w:t>
      </w:r>
      <w:r>
        <w:rPr>
          <w:b/>
          <w:noProof/>
        </w:rPr>
        <w:t>näiden sääntöjen täytäntöönpanon valvontaa</w:t>
      </w:r>
      <w:r>
        <w:rPr>
          <w:noProof/>
        </w:rPr>
        <w:t xml:space="preserve"> on tehostettava. Tätä alaa koskevista aiheista sidosryhmät ottivat kuulemisissa useimmiten esille </w:t>
      </w:r>
      <w:r>
        <w:rPr>
          <w:b/>
          <w:noProof/>
        </w:rPr>
        <w:t>haavoittuvassa asemassa olevien ryhmien</w:t>
      </w:r>
      <w:r>
        <w:rPr>
          <w:noProof/>
        </w:rPr>
        <w:t xml:space="preserve"> työterveyden ja työturvallisuuden turvaamisen. </w:t>
      </w:r>
    </w:p>
    <w:p>
      <w:pPr>
        <w:pStyle w:val="Default"/>
        <w:jc w:val="both"/>
        <w:rPr>
          <w:noProof/>
        </w:rPr>
      </w:pPr>
    </w:p>
    <w:p>
      <w:pPr>
        <w:pStyle w:val="Default"/>
        <w:jc w:val="both"/>
        <w:rPr>
          <w:b/>
          <w:noProof/>
        </w:rPr>
      </w:pPr>
      <w:r>
        <w:rPr>
          <w:noProof/>
        </w:rPr>
        <w:t xml:space="preserve">Sidosryhmät pitivät tärkeänä myös </w:t>
      </w:r>
      <w:r>
        <w:rPr>
          <w:b/>
          <w:noProof/>
        </w:rPr>
        <w:t>työperäisten sairauksien ehkäisyä</w:t>
      </w:r>
      <w:r>
        <w:rPr>
          <w:noProof/>
        </w:rPr>
        <w:t xml:space="preserve"> (etenkin syövän ehkäisyä ja alan lainsäädännön jatkuvaa päivittämistä) sekä </w:t>
      </w:r>
      <w:r>
        <w:rPr>
          <w:b/>
          <w:noProof/>
        </w:rPr>
        <w:t xml:space="preserve">työtapaturmien torjuntaa. </w:t>
      </w:r>
    </w:p>
    <w:p>
      <w:pPr>
        <w:pStyle w:val="Default"/>
        <w:jc w:val="both"/>
        <w:rPr>
          <w:b/>
          <w:noProof/>
        </w:rPr>
      </w:pPr>
    </w:p>
    <w:p>
      <w:pPr>
        <w:pStyle w:val="Default"/>
        <w:jc w:val="both"/>
        <w:rPr>
          <w:noProof/>
        </w:rPr>
      </w:pPr>
      <w:r>
        <w:rPr>
          <w:noProof/>
        </w:rPr>
        <w:t xml:space="preserve">Sidosryhmät totesivat myös, että työterveys- ja työturvallisuussääntöjen täytäntöönpanoa oli tuettava i) käymällä </w:t>
      </w:r>
      <w:r>
        <w:rPr>
          <w:b/>
          <w:noProof/>
        </w:rPr>
        <w:t>vuoropuhelua työmarkkinaosapuolten välillä</w:t>
      </w:r>
      <w:r>
        <w:rPr>
          <w:noProof/>
        </w:rPr>
        <w:t xml:space="preserve">, ii) </w:t>
      </w:r>
      <w:r>
        <w:rPr>
          <w:b/>
          <w:noProof/>
        </w:rPr>
        <w:t>parantamalla tietoisuutta</w:t>
      </w:r>
      <w:r>
        <w:rPr>
          <w:noProof/>
        </w:rPr>
        <w:t>,</w:t>
      </w:r>
      <w:r>
        <w:rPr>
          <w:b/>
          <w:noProof/>
        </w:rPr>
        <w:t xml:space="preserve"> </w:t>
      </w:r>
      <w:r>
        <w:rPr>
          <w:noProof/>
        </w:rPr>
        <w:t xml:space="preserve">iii) tarjoamalla EU:n ja kansallista </w:t>
      </w:r>
      <w:r>
        <w:rPr>
          <w:b/>
          <w:noProof/>
        </w:rPr>
        <w:t>rahoitusta</w:t>
      </w:r>
      <w:r>
        <w:rPr>
          <w:noProof/>
        </w:rPr>
        <w:t xml:space="preserve"> sekä iv) </w:t>
      </w:r>
      <w:r>
        <w:rPr>
          <w:b/>
          <w:noProof/>
        </w:rPr>
        <w:t>parantamalla synergiavaikutuksia muiden politiikan alojen</w:t>
      </w:r>
      <w:r>
        <w:rPr>
          <w:noProof/>
        </w:rPr>
        <w:t xml:space="preserve"> kanssa (etenkin kemikaalilainsäädäntö). Sidosryhmät mainitsivat myös, että </w:t>
      </w:r>
      <w:r>
        <w:rPr>
          <w:b/>
          <w:noProof/>
        </w:rPr>
        <w:t>työterveyttä ja -turvallisuutta koskevien tilastotietojen</w:t>
      </w:r>
      <w:r>
        <w:rPr>
          <w:noProof/>
        </w:rPr>
        <w:t xml:space="preserve"> ja </w:t>
      </w:r>
      <w:r>
        <w:rPr>
          <w:b/>
          <w:noProof/>
        </w:rPr>
        <w:t>näytön laatua</w:t>
      </w:r>
      <w:r>
        <w:rPr>
          <w:noProof/>
        </w:rPr>
        <w:t xml:space="preserve"> olisi parannettava ja niiden olisi perustuttava enemmän </w:t>
      </w:r>
      <w:r>
        <w:rPr>
          <w:b/>
          <w:noProof/>
        </w:rPr>
        <w:t>tieteeseen</w:t>
      </w:r>
      <w:r>
        <w:rPr>
          <w:noProof/>
        </w:rPr>
        <w:t xml:space="preserve"> ja </w:t>
      </w:r>
      <w:r>
        <w:rPr>
          <w:b/>
          <w:noProof/>
        </w:rPr>
        <w:t>tutkimukseen</w:t>
      </w:r>
      <w:r>
        <w:rPr>
          <w:noProof/>
        </w:rPr>
        <w:t xml:space="preserve">. </w:t>
      </w:r>
    </w:p>
    <w:p>
      <w:pPr>
        <w:pStyle w:val="Default"/>
        <w:jc w:val="both"/>
        <w:rPr>
          <w:noProof/>
        </w:rPr>
      </w:pPr>
    </w:p>
    <w:p>
      <w:pPr>
        <w:pStyle w:val="Default"/>
        <w:contextualSpacing/>
        <w:jc w:val="both"/>
        <w:rPr>
          <w:rFonts w:cstheme="minorHAnsi"/>
          <w:noProof/>
        </w:rPr>
      </w:pPr>
      <w:r>
        <w:rPr>
          <w:noProof/>
        </w:rPr>
        <w:t xml:space="preserve">Yritysmaailman ulkopuolisten sidosryhmien mielestä oli myös tärkeää </w:t>
      </w:r>
      <w:r>
        <w:rPr>
          <w:b/>
          <w:noProof/>
        </w:rPr>
        <w:t>ottaa oppia</w:t>
      </w:r>
      <w:r>
        <w:rPr>
          <w:noProof/>
        </w:rPr>
        <w:t xml:space="preserve"> meneillään olevasta </w:t>
      </w:r>
      <w:r>
        <w:rPr>
          <w:b/>
          <w:noProof/>
        </w:rPr>
        <w:t>pandemiasta</w:t>
      </w:r>
      <w:r>
        <w:rPr>
          <w:noProof/>
        </w:rPr>
        <w:t xml:space="preserve"> sekä parantaa </w:t>
      </w:r>
      <w:r>
        <w:rPr>
          <w:b/>
          <w:noProof/>
        </w:rPr>
        <w:t xml:space="preserve">työterveyttä ja </w:t>
      </w:r>
      <w:r>
        <w:rPr>
          <w:b/>
          <w:noProof/>
        </w:rPr>
        <w:noBreakHyphen/>
        <w:t>turvallisuutta kaikkialla maailmassa</w:t>
      </w:r>
      <w:r>
        <w:rPr>
          <w:noProof/>
        </w:rPr>
        <w:t xml:space="preserve">. Useat sidosryhmät mainitsivat lisäksi joihinkin ammatteihin tai talouden aloihin liittyvät </w:t>
      </w:r>
      <w:r>
        <w:rPr>
          <w:b/>
          <w:noProof/>
        </w:rPr>
        <w:t>erityiset työterveys- ja työturvallisuusriskit</w:t>
      </w:r>
      <w:r>
        <w:rPr>
          <w:noProof/>
        </w:rPr>
        <w:t xml:space="preserve"> sekä tarpeen </w:t>
      </w:r>
      <w:r>
        <w:rPr>
          <w:b/>
          <w:noProof/>
        </w:rPr>
        <w:t>vahvistaa työterveys- ja työturvallisuusvalmiuksia</w:t>
      </w:r>
      <w:r>
        <w:rPr>
          <w:noProof/>
        </w:rPr>
        <w:t xml:space="preserve"> eri tasoilla.</w:t>
      </w:r>
    </w:p>
    <w:p>
      <w:pPr>
        <w:pStyle w:val="Default"/>
        <w:ind w:left="720"/>
        <w:rPr>
          <w:noProof/>
        </w:rPr>
      </w:pPr>
      <w:r>
        <w:rPr>
          <w:noProof/>
          <w:lang w:val="en-GB" w:eastAsia="en-GB"/>
        </w:rPr>
        <w:drawing>
          <wp:inline distT="0" distB="0" distL="0" distR="0">
            <wp:extent cx="5114925" cy="6324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14925" cy="6324600"/>
                    </a:xfrm>
                    <a:prstGeom prst="rect">
                      <a:avLst/>
                    </a:prstGeom>
                    <a:noFill/>
                    <a:ln>
                      <a:noFill/>
                    </a:ln>
                  </pic:spPr>
                </pic:pic>
              </a:graphicData>
            </a:graphic>
          </wp:inline>
        </w:drawing>
      </w:r>
    </w:p>
    <w:p>
      <w:pPr>
        <w:pStyle w:val="Default"/>
        <w:ind w:left="720"/>
        <w:rPr>
          <w:noProof/>
        </w:rPr>
      </w:pPr>
    </w:p>
    <w:p>
      <w:pPr>
        <w:pStyle w:val="Default"/>
        <w:numPr>
          <w:ilvl w:val="0"/>
          <w:numId w:val="3"/>
        </w:numPr>
        <w:rPr>
          <w:b/>
          <w:caps/>
          <w:noProof/>
        </w:rPr>
      </w:pPr>
      <w:r>
        <w:rPr>
          <w:b/>
          <w:caps/>
          <w:noProof/>
        </w:rPr>
        <w:t xml:space="preserve">Etenemissuunnitelmaa koskeva palaute </w:t>
      </w:r>
    </w:p>
    <w:p>
      <w:pPr>
        <w:pStyle w:val="Default"/>
        <w:rPr>
          <w:noProof/>
        </w:rPr>
      </w:pPr>
    </w:p>
    <w:p>
      <w:pPr>
        <w:pStyle w:val="Default"/>
        <w:jc w:val="both"/>
        <w:rPr>
          <w:noProof/>
        </w:rPr>
      </w:pPr>
      <w:r>
        <w:rPr>
          <w:noProof/>
        </w:rPr>
        <w:t xml:space="preserve">Komission etenemissuunnitelmasta saatiin palautetta 49 sidosryhmältä 29. lokakuuta ja 26. marraskuuta 2020 välisenä aikana. Palautetta saatiin monia eri aloja edustavilta sidosryhmiltä. Suurin osa vastauksista saatiin yrityksiltä ja elinkeinoyhdistyksiltä (33 %), kansalaisjärjestöiltä ja kansalaisilta (kummaltakin ryhmältä 19 %), muilta sidosryhmiltä (15 %), ammattiyhdistyksiltä / ammattiyhdistysten liitoilta (12 %) sekä akateemisilta laitoksilta / tutkimuslaitoksilta (2 %). </w:t>
      </w:r>
    </w:p>
    <w:p>
      <w:pPr>
        <w:pStyle w:val="Default"/>
        <w:jc w:val="both"/>
        <w:rPr>
          <w:noProof/>
        </w:rPr>
      </w:pPr>
    </w:p>
    <w:p>
      <w:pPr>
        <w:pStyle w:val="Default"/>
        <w:jc w:val="center"/>
        <w:rPr>
          <w:noProof/>
        </w:rPr>
      </w:pPr>
      <w:r>
        <w:rPr>
          <w:noProof/>
          <w:lang w:val="en-GB" w:eastAsia="en-GB"/>
        </w:rPr>
        <w:drawing>
          <wp:inline distT="0" distB="0" distL="0" distR="0">
            <wp:extent cx="4962525" cy="2209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62525" cy="2209800"/>
                    </a:xfrm>
                    <a:prstGeom prst="rect">
                      <a:avLst/>
                    </a:prstGeom>
                    <a:noFill/>
                    <a:ln>
                      <a:noFill/>
                    </a:ln>
                  </pic:spPr>
                </pic:pic>
              </a:graphicData>
            </a:graphic>
          </wp:inline>
        </w:drawing>
      </w:r>
    </w:p>
    <w:p>
      <w:pPr>
        <w:pStyle w:val="Default"/>
        <w:jc w:val="both"/>
        <w:rPr>
          <w:noProof/>
        </w:rPr>
      </w:pPr>
    </w:p>
    <w:p>
      <w:pPr>
        <w:pStyle w:val="Default"/>
        <w:jc w:val="both"/>
        <w:rPr>
          <w:noProof/>
        </w:rPr>
      </w:pPr>
      <w:r>
        <w:rPr>
          <w:noProof/>
        </w:rPr>
        <w:t xml:space="preserve">Sidosryhmien useimmiten esille ottamia aiheita olivat i) </w:t>
      </w:r>
      <w:r>
        <w:rPr>
          <w:b/>
          <w:noProof/>
        </w:rPr>
        <w:t xml:space="preserve">työperäisten sairauksien </w:t>
      </w:r>
      <w:r>
        <w:rPr>
          <w:noProof/>
        </w:rPr>
        <w:t xml:space="preserve">ja </w:t>
      </w:r>
      <w:r>
        <w:rPr>
          <w:b/>
          <w:noProof/>
        </w:rPr>
        <w:t>työtapaturmien ehkäisy</w:t>
      </w:r>
      <w:r>
        <w:rPr>
          <w:noProof/>
        </w:rPr>
        <w:t xml:space="preserve"> sekä ii) kehotus käsitellä työperäisiä sairauksia (erityisesti syöpää) ja työtapaturmia uudessa strategiakehyksessä.</w:t>
      </w:r>
      <w:r>
        <w:rPr>
          <w:b/>
          <w:noProof/>
        </w:rPr>
        <w:t xml:space="preserve"> </w:t>
      </w:r>
      <w:r>
        <w:rPr>
          <w:noProof/>
        </w:rPr>
        <w:t xml:space="preserve">Monet yritysmaailman ulkopuoliset sidosryhmät painottivat palautteessaan, että on tärkeää i) päivittää jatkuvasti </w:t>
      </w:r>
      <w:r>
        <w:rPr>
          <w:b/>
          <w:noProof/>
        </w:rPr>
        <w:t>työperäisen altistumisen sitovia raja-arvoja</w:t>
      </w:r>
      <w:r>
        <w:rPr>
          <w:noProof/>
        </w:rPr>
        <w:t xml:space="preserve"> sekä ii) täydentää syöpäsairauden vaaraa ja perimän muutoksia koskevaa direktiiviä, muun muassa nanomateriaalien ja lisääntymiselle vaarallisten aineiden osalta. Toisaalta useiden alojen sidosryhmät vaativat i) toimia ja välineitä, joilla yrityksiä autetaan mukautumaan tiukempiin työperäisen altistumisen sitoviin raja-arvoihin, sekä ii) tiukempien työperäisen altistumisen sitovien raja-arvojen käyttöönoton lykkäämistä vuoteen 2022 pandemian vuoksi. Sidosryhmien (lähinnä ammattiyhdistysten) tässä yhteydessä esille ottamiin tärkeisiin aiheisiin kuului myös tarve torjua </w:t>
      </w:r>
      <w:r>
        <w:rPr>
          <w:b/>
          <w:noProof/>
        </w:rPr>
        <w:t>väkivaltaa, seksuaalista häirintää ja kiusaamista työssä</w:t>
      </w:r>
      <w:r>
        <w:rPr>
          <w:noProof/>
        </w:rPr>
        <w:t xml:space="preserve">. Työtapaturmia ja työperäisiä sairauksia käsiteltäessä monet sidosryhmät ehdottivat uuden strategiakehyksen yhdistämistä kansainväliseen </w:t>
      </w:r>
      <w:r>
        <w:rPr>
          <w:b/>
          <w:noProof/>
        </w:rPr>
        <w:t>Vision Zero</w:t>
      </w:r>
      <w:r>
        <w:rPr>
          <w:noProof/>
          <w:vertAlign w:val="superscript"/>
        </w:rPr>
        <w:footnoteReference w:id="5"/>
      </w:r>
      <w:r>
        <w:rPr>
          <w:noProof/>
        </w:rPr>
        <w:t xml:space="preserve"> </w:t>
      </w:r>
      <w:r>
        <w:rPr>
          <w:noProof/>
        </w:rPr>
        <w:noBreakHyphen/>
        <w:t xml:space="preserve">kampanjaan, jossa pyritään saavuttamaan työtapaturmien nollataso EU:ssa. </w:t>
      </w:r>
    </w:p>
    <w:p>
      <w:pPr>
        <w:pStyle w:val="Default"/>
        <w:jc w:val="both"/>
        <w:rPr>
          <w:noProof/>
        </w:rPr>
      </w:pPr>
    </w:p>
    <w:p>
      <w:pPr>
        <w:pStyle w:val="Default"/>
        <w:jc w:val="both"/>
        <w:rPr>
          <w:noProof/>
        </w:rPr>
      </w:pPr>
      <w:r>
        <w:rPr>
          <w:noProof/>
        </w:rPr>
        <w:t xml:space="preserve">Sidosryhmät olivat hyvin huolestuneita myös </w:t>
      </w:r>
      <w:r>
        <w:rPr>
          <w:b/>
          <w:noProof/>
        </w:rPr>
        <w:t>työelämän muutoksista</w:t>
      </w:r>
      <w:r>
        <w:rPr>
          <w:noProof/>
        </w:rPr>
        <w:t xml:space="preserve">, jotka johtuvat uusien teknologioiden nopeasta käyttöönotosta, väestörakenteen muutoksista, työn uusista organisointitavoista ja ilmastonmuutoksesta. Useimmissa tätä alaa koskevissa vastauksissa mainittiin </w:t>
      </w:r>
      <w:r>
        <w:rPr>
          <w:b/>
          <w:noProof/>
        </w:rPr>
        <w:t xml:space="preserve">ergonomiset </w:t>
      </w:r>
      <w:r>
        <w:rPr>
          <w:noProof/>
        </w:rPr>
        <w:t xml:space="preserve">ja </w:t>
      </w:r>
      <w:r>
        <w:rPr>
          <w:b/>
          <w:noProof/>
        </w:rPr>
        <w:t>psykososiaaliset riskit</w:t>
      </w:r>
      <w:r>
        <w:rPr>
          <w:noProof/>
        </w:rPr>
        <w:t>. Monet sidosryhmät kehottivat torjumaan kiireesti tuki- ja liikuntaelinsairauksia etätyöskentelyn lisääntymisen vuoksi. Niiden mukaan tuki- ja liikuntaelinsairauksien torjunnassa oli keskityttävä sairauksien ehkäisemiseen ja toimintatapojen muuttamiseen. Jotkin sidosryhmät kehottivat ottamaan käyttöön asianmukaisia oikeudellisia välineitä, joilla voidaan puuttua psykososiaalisiin riskeihin työssä. Lisäksi monet sidosryhmät esittivät</w:t>
      </w:r>
      <w:r>
        <w:rPr>
          <w:b/>
          <w:noProof/>
        </w:rPr>
        <w:t xml:space="preserve"> ikääntymiseen</w:t>
      </w:r>
      <w:r>
        <w:rPr>
          <w:noProof/>
        </w:rPr>
        <w:t xml:space="preserve"> liittyviä huolenaiheita, muun muassa i) tarpeen tehostaa</w:t>
      </w:r>
      <w:r>
        <w:rPr>
          <w:b/>
          <w:noProof/>
        </w:rPr>
        <w:t xml:space="preserve"> työhön paluuta</w:t>
      </w:r>
      <w:r>
        <w:rPr>
          <w:noProof/>
        </w:rPr>
        <w:t xml:space="preserve"> edistäviä politiikkatoimia sekä ii) </w:t>
      </w:r>
      <w:r>
        <w:rPr>
          <w:b/>
          <w:noProof/>
        </w:rPr>
        <w:t>epätyypillisten työsuhteiden</w:t>
      </w:r>
      <w:r>
        <w:rPr>
          <w:noProof/>
        </w:rPr>
        <w:t xml:space="preserve"> työterveys- ja työturvallisuusriskit. </w:t>
      </w:r>
    </w:p>
    <w:p>
      <w:pPr>
        <w:pStyle w:val="Default"/>
        <w:jc w:val="both"/>
        <w:rPr>
          <w:noProof/>
        </w:rPr>
      </w:pPr>
    </w:p>
    <w:p>
      <w:pPr>
        <w:pStyle w:val="Default"/>
        <w:jc w:val="both"/>
        <w:rPr>
          <w:noProof/>
        </w:rPr>
      </w:pPr>
      <w:r>
        <w:rPr>
          <w:noProof/>
        </w:rPr>
        <w:t xml:space="preserve">Useimpien sidosryhmien mukaan on tärkeää tukea </w:t>
      </w:r>
      <w:r>
        <w:rPr>
          <w:b/>
          <w:noProof/>
        </w:rPr>
        <w:t>työterveys- ja turvallisuussääntöjen soveltamista</w:t>
      </w:r>
      <w:r>
        <w:rPr>
          <w:noProof/>
        </w:rPr>
        <w:t xml:space="preserve"> (erityisesti mikroyrityksissä sekä pienissä ja keskisuurissa yrityksissä</w:t>
      </w:r>
      <w:r>
        <w:rPr>
          <w:b/>
          <w:noProof/>
        </w:rPr>
        <w:t>)</w:t>
      </w:r>
      <w:r>
        <w:rPr>
          <w:noProof/>
        </w:rPr>
        <w:t xml:space="preserve"> sekä parantaa </w:t>
      </w:r>
      <w:r>
        <w:rPr>
          <w:b/>
          <w:noProof/>
        </w:rPr>
        <w:t xml:space="preserve">täytäntöönpanon valvontaa </w:t>
      </w:r>
      <w:r>
        <w:rPr>
          <w:noProof/>
        </w:rPr>
        <w:t xml:space="preserve">vahvistamalla työsuojeluviranomaisten resursseja. Yritysmaailman ulkopuoliset sidosryhmät painottivat tässä yhteydessä tarvetta varmistaa, että työterveys- ja työturvallisuussääntöjä sovellettiin myös </w:t>
      </w:r>
      <w:r>
        <w:rPr>
          <w:b/>
          <w:noProof/>
        </w:rPr>
        <w:t>haavoittuvassa asemassa oleviin ryhmiin</w:t>
      </w:r>
      <w:r>
        <w:rPr>
          <w:noProof/>
        </w:rPr>
        <w:t xml:space="preserve">, joita ovat muun muassa i) nuoret ja naispuoliset työntekijät, kausityöntekijät ja siirtotyöläiset, ii) vammaiset tai sairaat työntekijät sekä iii) etulinjan työntekijät (esimerkiksi terveydenhuoltoalalla). </w:t>
      </w:r>
    </w:p>
    <w:p>
      <w:pPr>
        <w:pStyle w:val="Default"/>
        <w:jc w:val="both"/>
        <w:rPr>
          <w:noProof/>
        </w:rPr>
      </w:pPr>
    </w:p>
    <w:p>
      <w:pPr>
        <w:pStyle w:val="Default"/>
        <w:jc w:val="both"/>
        <w:rPr>
          <w:noProof/>
        </w:rPr>
      </w:pPr>
      <w:r>
        <w:rPr>
          <w:noProof/>
        </w:rPr>
        <w:t xml:space="preserve">Monet sidosryhmät totesivat myös, että on tärkeää käydä </w:t>
      </w:r>
      <w:r>
        <w:rPr>
          <w:b/>
          <w:noProof/>
        </w:rPr>
        <w:t>vuoropuhelua työmarkkinaosapuolten välillä</w:t>
      </w:r>
      <w:r>
        <w:rPr>
          <w:noProof/>
        </w:rPr>
        <w:t xml:space="preserve">, </w:t>
      </w:r>
      <w:r>
        <w:rPr>
          <w:b/>
          <w:noProof/>
        </w:rPr>
        <w:t>lisätä tietoisuutta</w:t>
      </w:r>
      <w:r>
        <w:rPr>
          <w:noProof/>
        </w:rPr>
        <w:t xml:space="preserve"> ja </w:t>
      </w:r>
      <w:r>
        <w:rPr>
          <w:b/>
          <w:noProof/>
        </w:rPr>
        <w:t>parantaa synergiavaikutuksia muiden politiikan alojen</w:t>
      </w:r>
      <w:r>
        <w:rPr>
          <w:noProof/>
        </w:rPr>
        <w:t xml:space="preserve"> (erityisesti kemikaali-, ympäristö- ja kansanterveysalojen) kanssa. Sidosryhmät painottivat myös, että uudessa strategiakehyksessä oli otettava </w:t>
      </w:r>
      <w:r>
        <w:rPr>
          <w:b/>
          <w:noProof/>
        </w:rPr>
        <w:t>oppia pandemiasta</w:t>
      </w:r>
      <w:r>
        <w:rPr>
          <w:noProof/>
        </w:rPr>
        <w:t xml:space="preserve"> – erityisesti tuki- ja liikuntaelinsairauksiin, epätyypillisiin työsuhteisiin ja mielenterveysongelmien lisääntymiseen liittyvistä kokemuksista. Muutamat sidosryhmät pyysivät, että covid-19-tauti tunnustetaan ammattitaudiksi. </w:t>
      </w:r>
    </w:p>
    <w:p>
      <w:pPr>
        <w:pStyle w:val="Default"/>
        <w:jc w:val="both"/>
        <w:rPr>
          <w:noProof/>
        </w:rPr>
      </w:pPr>
    </w:p>
    <w:p>
      <w:pPr>
        <w:pStyle w:val="Default"/>
        <w:jc w:val="both"/>
        <w:rPr>
          <w:noProof/>
        </w:rPr>
      </w:pPr>
      <w:r>
        <w:rPr>
          <w:noProof/>
        </w:rPr>
        <w:t xml:space="preserve">Sidosryhmien esille ottamiin tärkeisiin aiheisiin kuului myös tarve parantaa </w:t>
      </w:r>
      <w:r>
        <w:rPr>
          <w:b/>
          <w:noProof/>
        </w:rPr>
        <w:t>työterveys- ja työturvallisuusalan</w:t>
      </w:r>
      <w:r>
        <w:rPr>
          <w:noProof/>
        </w:rPr>
        <w:t xml:space="preserve"> </w:t>
      </w:r>
      <w:r>
        <w:rPr>
          <w:b/>
          <w:noProof/>
        </w:rPr>
        <w:t xml:space="preserve">tilastotietoja </w:t>
      </w:r>
      <w:r>
        <w:rPr>
          <w:noProof/>
        </w:rPr>
        <w:t>ja</w:t>
      </w:r>
      <w:r>
        <w:rPr>
          <w:b/>
          <w:noProof/>
        </w:rPr>
        <w:t xml:space="preserve"> näyttöpohjaa</w:t>
      </w:r>
      <w:r>
        <w:rPr>
          <w:noProof/>
        </w:rPr>
        <w:t>. Useat sidosryhmät mainitsivat lisäksi, että työterveys- ja työturvallisuusalan kansainvälistä yhteistyötä on vahvistettava ja että työterveys- ja työturvallisuusalalle on asetettava EU:n ja maailmanlaajuiset</w:t>
      </w:r>
      <w:r>
        <w:rPr>
          <w:b/>
          <w:noProof/>
        </w:rPr>
        <w:t xml:space="preserve"> vähimmäisvaatimukset ja </w:t>
      </w:r>
      <w:r>
        <w:rPr>
          <w:b/>
          <w:noProof/>
        </w:rPr>
        <w:noBreakHyphen/>
        <w:t>tavoitteet</w:t>
      </w:r>
      <w:r>
        <w:rPr>
          <w:noProof/>
        </w:rPr>
        <w:t>.</w:t>
      </w:r>
    </w:p>
    <w:p>
      <w:pPr>
        <w:pStyle w:val="Default"/>
        <w:jc w:val="both"/>
        <w:rPr>
          <w:noProof/>
        </w:rPr>
      </w:pPr>
    </w:p>
    <w:p>
      <w:pPr>
        <w:pStyle w:val="Default"/>
        <w:rPr>
          <w:noProof/>
        </w:rPr>
      </w:pPr>
      <w:r>
        <w:rPr>
          <w:noProof/>
          <w:lang w:val="en-GB" w:eastAsia="en-GB"/>
        </w:rPr>
        <w:drawing>
          <wp:inline distT="0" distB="0" distL="0" distR="0">
            <wp:extent cx="5629275" cy="50387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29275" cy="5038725"/>
                    </a:xfrm>
                    <a:prstGeom prst="rect">
                      <a:avLst/>
                    </a:prstGeom>
                    <a:noFill/>
                    <a:ln>
                      <a:noFill/>
                    </a:ln>
                  </pic:spPr>
                </pic:pic>
              </a:graphicData>
            </a:graphic>
          </wp:inline>
        </w:drawing>
      </w:r>
    </w:p>
    <w:p>
      <w:pPr>
        <w:rPr>
          <w:rFonts w:ascii="Times New Roman" w:hAnsi="Times New Roman" w:cs="Times New Roman"/>
          <w:noProof/>
          <w:sz w:val="24"/>
          <w:szCs w:val="24"/>
        </w:rPr>
      </w:pPr>
    </w:p>
    <w:p>
      <w:pPr>
        <w:pStyle w:val="Default"/>
        <w:numPr>
          <w:ilvl w:val="0"/>
          <w:numId w:val="3"/>
        </w:numPr>
        <w:rPr>
          <w:b/>
          <w:caps/>
          <w:noProof/>
        </w:rPr>
      </w:pPr>
      <w:r>
        <w:rPr>
          <w:b/>
          <w:caps/>
          <w:noProof/>
        </w:rPr>
        <w:t>Avoimessa julkisessa kuulemisessa saatu palaute</w:t>
      </w:r>
    </w:p>
    <w:p>
      <w:pPr>
        <w:pStyle w:val="Default"/>
        <w:ind w:left="720"/>
        <w:rPr>
          <w:b/>
          <w:caps/>
          <w:noProof/>
        </w:rPr>
      </w:pPr>
    </w:p>
    <w:p>
      <w:pPr>
        <w:pStyle w:val="Default"/>
        <w:rPr>
          <w:noProof/>
        </w:rPr>
      </w:pPr>
      <w:r>
        <w:rPr>
          <w:noProof/>
        </w:rPr>
        <w:t>Avoin julkinen kuuleminen</w:t>
      </w:r>
      <w:r>
        <w:rPr>
          <w:noProof/>
          <w:vertAlign w:val="superscript"/>
        </w:rPr>
        <w:footnoteReference w:id="6"/>
      </w:r>
      <w:r>
        <w:rPr>
          <w:noProof/>
        </w:rPr>
        <w:t xml:space="preserve"> järjestettiin 7. joulukuuta 2020 – 1. maaliskuuta 2021. Kuulemiseen osallistui 355 vastaajaa, jotka vastasivat EU:n edellistä ja uutta strategiakehystä koskevaan kyselylomakkeeseen. Avoimen julkisen kuulemisen vastaajat olivat peräisin 26:sta EU:n jäsenvaltiosta ja seitsemästä EU:n ulkopuolisesta maasta.</w:t>
      </w:r>
    </w:p>
    <w:p>
      <w:pPr>
        <w:rPr>
          <w:rFonts w:ascii="Times New Roman" w:hAnsi="Times New Roman" w:cs="Times New Roman"/>
          <w:noProof/>
          <w:sz w:val="24"/>
          <w:szCs w:val="24"/>
        </w:rPr>
      </w:pPr>
      <w:r>
        <w:rPr>
          <w:noProof/>
          <w:lang w:val="en-GB" w:eastAsia="en-GB"/>
        </w:rPr>
        <w:drawing>
          <wp:inline distT="0" distB="0" distL="0" distR="0">
            <wp:extent cx="5476875" cy="2124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76875" cy="2124075"/>
                    </a:xfrm>
                    <a:prstGeom prst="rect">
                      <a:avLst/>
                    </a:prstGeom>
                    <a:noFill/>
                    <a:ln>
                      <a:noFill/>
                    </a:ln>
                  </pic:spPr>
                </pic:pic>
              </a:graphicData>
            </a:graphic>
          </wp:inline>
        </w:drawing>
      </w:r>
    </w:p>
    <w:p>
      <w:pPr>
        <w:jc w:val="both"/>
        <w:rPr>
          <w:rFonts w:ascii="Times New Roman" w:hAnsi="Times New Roman" w:cs="Times New Roman"/>
          <w:noProof/>
          <w:sz w:val="24"/>
          <w:szCs w:val="24"/>
        </w:rPr>
      </w:pPr>
      <w:r>
        <w:rPr>
          <w:rFonts w:ascii="Times New Roman" w:hAnsi="Times New Roman"/>
          <w:noProof/>
          <w:sz w:val="24"/>
          <w:szCs w:val="24"/>
        </w:rPr>
        <w:t xml:space="preserve">Avoimen julkisen kuulemisen vastaajista 64 prosenttia oli täysin samaa mieltä tai samaa mieltä siitä, että työterveys ja </w:t>
      </w:r>
      <w:r>
        <w:rPr>
          <w:rFonts w:ascii="Times New Roman" w:hAnsi="Times New Roman"/>
          <w:noProof/>
          <w:sz w:val="24"/>
          <w:szCs w:val="24"/>
        </w:rPr>
        <w:noBreakHyphen/>
        <w:t>turvallisuus oli kaiken kaikkiaan parantunut vastaajien maassa / EU:ssa vuodesta 2014. Työnantajia ja työnantajajärjestöjä edustavat vastaajat olivat yleisesti tätä mieltä (83 % oli samaa mieltä tai täysin samaa mieltä) mutta työntekijäjärjestöjä edustavat vastaajat harvemmin (48 % oli samaa mieltä tai täysin samaa mieltä).</w:t>
      </w:r>
    </w:p>
    <w:p>
      <w:pPr>
        <w:jc w:val="both"/>
        <w:rPr>
          <w:rFonts w:ascii="Times New Roman" w:hAnsi="Times New Roman" w:cs="Times New Roman"/>
          <w:noProof/>
          <w:sz w:val="24"/>
          <w:szCs w:val="24"/>
        </w:rPr>
      </w:pPr>
      <w:r>
        <w:rPr>
          <w:rFonts w:ascii="Times New Roman" w:hAnsi="Times New Roman"/>
          <w:noProof/>
          <w:sz w:val="24"/>
          <w:szCs w:val="24"/>
        </w:rPr>
        <w:t xml:space="preserve">Useimpien vastaajien mielestä edellinen strategiakehys oli edistänyt työterveyden ja </w:t>
      </w:r>
      <w:r>
        <w:rPr>
          <w:rFonts w:ascii="Times New Roman" w:hAnsi="Times New Roman"/>
          <w:noProof/>
          <w:sz w:val="24"/>
          <w:szCs w:val="24"/>
        </w:rPr>
        <w:noBreakHyphen/>
        <w:t xml:space="preserve">turvallisuuden parantamista EU:n tasolla suuressa määrin (15 %) tai jossain määrin (54 %). Hieman pienempi osa vastaajista katsoi, että edellinen strategiakehys oli edistänyt työterveyden ja </w:t>
      </w:r>
      <w:r>
        <w:rPr>
          <w:rFonts w:ascii="Times New Roman" w:hAnsi="Times New Roman"/>
          <w:noProof/>
          <w:sz w:val="24"/>
          <w:szCs w:val="24"/>
        </w:rPr>
        <w:noBreakHyphen/>
        <w:t xml:space="preserve">turvallisuuden parantamista kansallisella tasolla suuressa määrin (9 %) tai jossain määrin (54 %). Alle puolet vastaajista katsoi strategiakehyksen edistäneen työterveyden ja </w:t>
      </w:r>
      <w:r>
        <w:rPr>
          <w:rFonts w:ascii="Times New Roman" w:hAnsi="Times New Roman"/>
          <w:noProof/>
          <w:sz w:val="24"/>
          <w:szCs w:val="24"/>
        </w:rPr>
        <w:noBreakHyphen/>
        <w:t xml:space="preserve">turvallisuuden parantamista suuressa määrin (6 %) tai jossain määrin (43 %) </w:t>
      </w:r>
      <w:r>
        <w:rPr>
          <w:rFonts w:ascii="Times New Roman" w:hAnsi="Times New Roman"/>
          <w:i/>
          <w:iCs/>
          <w:noProof/>
          <w:sz w:val="24"/>
          <w:szCs w:val="24"/>
        </w:rPr>
        <w:t>alueellisella tasolla</w:t>
      </w:r>
      <w:r>
        <w:rPr>
          <w:rFonts w:ascii="Times New Roman" w:hAnsi="Times New Roman"/>
          <w:noProof/>
          <w:sz w:val="24"/>
          <w:szCs w:val="24"/>
        </w:rPr>
        <w:t xml:space="preserve"> ja suuressa määrin (8 %) tai jossain määrin (43 %) </w:t>
      </w:r>
      <w:r>
        <w:rPr>
          <w:rFonts w:ascii="Times New Roman" w:hAnsi="Times New Roman"/>
          <w:i/>
          <w:iCs/>
          <w:noProof/>
          <w:sz w:val="24"/>
          <w:szCs w:val="24"/>
        </w:rPr>
        <w:t>työpaikkatasolla.</w:t>
      </w:r>
    </w:p>
    <w:p>
      <w:pPr>
        <w:jc w:val="both"/>
        <w:rPr>
          <w:rFonts w:ascii="Times New Roman" w:hAnsi="Times New Roman" w:cs="Times New Roman"/>
          <w:noProof/>
          <w:sz w:val="24"/>
          <w:szCs w:val="24"/>
        </w:rPr>
      </w:pPr>
      <w:r>
        <w:rPr>
          <w:rFonts w:ascii="Times New Roman" w:hAnsi="Times New Roman"/>
          <w:noProof/>
          <w:sz w:val="24"/>
          <w:szCs w:val="24"/>
        </w:rPr>
        <w:t xml:space="preserve">Vastaajien mielestä edellisen strategiakehyksen ensisijaisena tavoitteena oli käsitellä työvoiman ikääntymisen ja kehittyvien uusien riskien kaltaisia aiheita. Kaikista vastaajista 90 prosenttia piti tätä erittäin tärkeänä tai tärkeänä. </w:t>
      </w:r>
    </w:p>
    <w:p>
      <w:pPr>
        <w:jc w:val="both"/>
        <w:rPr>
          <w:rFonts w:ascii="Times New Roman" w:hAnsi="Times New Roman" w:cs="Times New Roman"/>
          <w:noProof/>
          <w:sz w:val="24"/>
          <w:szCs w:val="24"/>
        </w:rPr>
      </w:pPr>
      <w:r>
        <w:rPr>
          <w:rFonts w:ascii="Times New Roman" w:hAnsi="Times New Roman"/>
          <w:noProof/>
          <w:sz w:val="24"/>
          <w:szCs w:val="24"/>
        </w:rPr>
        <w:t>Vastaajien mielipiteet jakautuivat tiedusteltaessa, oliko edellisen strategiakehyksen seitsemän strategisen tavoitteen mukaisissa toimissa saavutettu edistystä. Kutakin strategista tavoitetta arvioitaessa puolet tai alle puolet vastaajista katsoi, i) että kaikissa toimissa oli edistytty hyvin, ii) että toimilla oli saavutettu konkreettisia tuloksia, iii) että toimet olivat työterveys- ja työturvallisuusalan ensisijaisten tavoitteiden kannalta merkityksellisiä ja iv) että asianmukaiset sidosryhmät oli otettu mukaan toimien suunnitteluun. Suurimmassa osassa tapauksista vastaajat olivat useammin samaa mieltä kuin eri mieltä siitä, että näillä aloilla oli saavutettu edistystä.</w:t>
      </w:r>
    </w:p>
    <w:p>
      <w:pPr>
        <w:jc w:val="both"/>
        <w:rPr>
          <w:rFonts w:ascii="Times New Roman" w:hAnsi="Times New Roman" w:cs="Times New Roman"/>
          <w:noProof/>
          <w:sz w:val="24"/>
          <w:szCs w:val="24"/>
        </w:rPr>
      </w:pPr>
      <w:r>
        <w:rPr>
          <w:rFonts w:ascii="Times New Roman" w:hAnsi="Times New Roman"/>
          <w:noProof/>
          <w:sz w:val="24"/>
          <w:szCs w:val="24"/>
        </w:rPr>
        <w:t>Kun verrataan kutakin seitsemää strategista tavoitetta koskevia vastauksia, vastaajilla oli myönteisin käsitys ensimmäisessä strategisessa tavoitteessa (kansallisten työterveys- ja työturvallisuusstrategioiden tarkistaminen) ja toisessa strategisessa tavoitteessa (työterveys- ja työturvallisuuslainsäädännön noudattamisen helpottaminen) saavutetusta edistyksestä. Vastaajat tuntuivat pitävän viidettä tavoitetta (työvoiman ikääntymisen, kehittyvien uusien riskien sekä työhön liittyvien ja työperäisten sairauksien käsitteleminen) kaikkein merkityksellisimpänä strategisena tavoitteena. Seuraavaksi merkityksellisimpinä pidettiin ensimmäistä, toista ja kuudetta tavoitetta (tietojenkeruun tehostaminen). Vastaajien mukaan ensimmäisen, toisen ja viidennen tavoitteen saavuttamisessa oli päästy kaikkein konkreettisimpiin tuloksiin.</w:t>
      </w:r>
    </w:p>
    <w:p>
      <w:pPr>
        <w:jc w:val="both"/>
        <w:rPr>
          <w:rFonts w:ascii="Times New Roman" w:hAnsi="Times New Roman" w:cs="Times New Roman"/>
          <w:noProof/>
          <w:sz w:val="24"/>
          <w:szCs w:val="24"/>
        </w:rPr>
      </w:pPr>
      <w:r>
        <w:rPr>
          <w:rFonts w:ascii="Times New Roman" w:hAnsi="Times New Roman"/>
          <w:noProof/>
          <w:sz w:val="24"/>
          <w:szCs w:val="24"/>
        </w:rPr>
        <w:t>Vastaajat ilmoittivat, että neljännen tavoitteen (lainsäädännön yksinkertaistaminen) ja seitsemännen tavoitteen (kansainvälisen yhteistyön parantaminen) saavuttamisessa oli edistytty vähiten ja näiden tavoitteiden konkreettisista tuloksista oli vähiten näyttöä. On huomattava, että näitä kahta tavoitetta pidettiin myös vähiten merkityksellisinä.</w:t>
      </w:r>
    </w:p>
    <w:p>
      <w:pPr>
        <w:jc w:val="both"/>
        <w:rPr>
          <w:rFonts w:ascii="Times New Roman" w:hAnsi="Times New Roman" w:cs="Times New Roman"/>
          <w:noProof/>
          <w:sz w:val="24"/>
          <w:szCs w:val="24"/>
        </w:rPr>
      </w:pPr>
      <w:r>
        <w:rPr>
          <w:rFonts w:ascii="Times New Roman" w:hAnsi="Times New Roman"/>
          <w:noProof/>
          <w:sz w:val="24"/>
          <w:szCs w:val="24"/>
        </w:rPr>
        <w:t>Noin puolet avoimen julkisen kuulemisen vastaajista (53 %) katsoi, että ensimmäisen tavoitteen saavuttamisessa oli edistytty hyvin, kun taas 20 prosenttia vastaajista oli tästä asiasta eri mieltä. Yhtä suuri osa vastaajista (53 %) piti ensimmäisen strategisen tavoitteen mukaisia toimia merkityksellisinä työterveys- ja työturvallisuusalan ensisijaisten tavoitteiden kannalta. Vastaajista 39 prosenttia katsoi, että asiaankuuluvat sidosryhmät oli otettu mukaan näihin toimiin, ja 41 prosentin mukaan niillä oli saavutettu konkreettisia tuloksia.</w:t>
      </w:r>
    </w:p>
    <w:p>
      <w:pPr>
        <w:jc w:val="both"/>
        <w:rPr>
          <w:rFonts w:ascii="Times New Roman" w:hAnsi="Times New Roman" w:cs="Times New Roman"/>
          <w:noProof/>
          <w:sz w:val="24"/>
          <w:szCs w:val="24"/>
        </w:rPr>
      </w:pPr>
      <w:r>
        <w:rPr>
          <w:rFonts w:ascii="Times New Roman" w:hAnsi="Times New Roman"/>
          <w:noProof/>
          <w:sz w:val="24"/>
          <w:szCs w:val="24"/>
        </w:rPr>
        <w:t xml:space="preserve">Avoimen julkisen kuulemisen vastaajista 35 prosenttia katsoi, että työantajat olivat osallistuneet liian vähän edellisen strategiakehyksen suunnitteluun, kun taas 33 prosentin mukaan työntekijäjärjestöjen osallistuminen oli ollut liian vähäistä. Samoin 33 prosenttia vastaajista piti työterveys- ja työturvallisuusalan ammattilaisten osallistumista liian vähäisenä, ja 31 prosenttia katsoi työnantajajärjestöjen osallistuneen liian vähän.  </w:t>
      </w:r>
    </w:p>
    <w:p>
      <w:pPr>
        <w:jc w:val="both"/>
        <w:rPr>
          <w:rFonts w:ascii="Times New Roman" w:hAnsi="Times New Roman" w:cs="Times New Roman"/>
          <w:noProof/>
          <w:sz w:val="24"/>
          <w:szCs w:val="24"/>
        </w:rPr>
      </w:pPr>
      <w:r>
        <w:rPr>
          <w:rFonts w:ascii="Times New Roman" w:hAnsi="Times New Roman"/>
          <w:noProof/>
          <w:sz w:val="24"/>
          <w:szCs w:val="24"/>
        </w:rPr>
        <w:t xml:space="preserve">Vastaajien mukaan edellisen strategiakehyksen tavoitteiden saavuttamista olivat vaikeuttaneet seuraavat keskeiset esteet: i) henkilöstön ja varojen vähyys (41 % vastauksista), ii) työnantajien kiinnostuksen puute (35 % vastauksista) sekä iii) keskeisten sidosryhmien puutteellinen tietämys ja käsitys työterveydestä ja </w:t>
      </w:r>
      <w:r>
        <w:rPr>
          <w:rFonts w:ascii="Times New Roman" w:hAnsi="Times New Roman"/>
          <w:noProof/>
          <w:sz w:val="24"/>
          <w:szCs w:val="24"/>
        </w:rPr>
        <w:noBreakHyphen/>
        <w:t>turvallisuudesta (34 % vastauksista).</w:t>
      </w:r>
    </w:p>
    <w:p>
      <w:pPr>
        <w:jc w:val="both"/>
        <w:rPr>
          <w:rFonts w:ascii="Times New Roman" w:hAnsi="Times New Roman" w:cs="Times New Roman"/>
          <w:noProof/>
          <w:sz w:val="24"/>
          <w:szCs w:val="24"/>
        </w:rPr>
      </w:pPr>
      <w:r>
        <w:rPr>
          <w:rFonts w:ascii="Times New Roman" w:hAnsi="Times New Roman"/>
          <w:noProof/>
          <w:sz w:val="24"/>
          <w:szCs w:val="24"/>
        </w:rPr>
        <w:t xml:space="preserve">Useimmat vastaajista (68 %) kannattivat strategiakehyksen mukauttamista tai päivittämistä. Vastaajista 11 prosenttia katsoi, että seuraavan strategiakehyksen olisi oltava suunnilleen samanlainen kuin kaudella 2014–2020. Hyvin harvat vastaajat (alle 1 %) kannattivat strategiakehyksen hylkäämistä, ja 14 prosentin mielestä strategiakehyksen nykyistä versiota oli muutettava perusteellisesti. </w:t>
      </w:r>
    </w:p>
    <w:p>
      <w:pPr>
        <w:jc w:val="both"/>
        <w:rPr>
          <w:rFonts w:ascii="Times New Roman" w:hAnsi="Times New Roman" w:cs="Times New Roman"/>
          <w:noProof/>
          <w:sz w:val="24"/>
          <w:szCs w:val="24"/>
        </w:rPr>
      </w:pPr>
      <w:r>
        <w:rPr>
          <w:rFonts w:ascii="Times New Roman" w:hAnsi="Times New Roman"/>
          <w:noProof/>
          <w:sz w:val="24"/>
          <w:szCs w:val="24"/>
        </w:rPr>
        <w:t xml:space="preserve">Vastaajien mukaan psykososiaaliset riskit ja etätyön lisääntyminen olivat kaksi tärkeintä haastetta, joihin työterveys- ja työturvallisuusalalla oli puututtava seuraavien seitsemän vuoden aikana. </w:t>
      </w:r>
    </w:p>
    <w:p>
      <w:pPr>
        <w:pStyle w:val="caption1"/>
        <w:keepNext/>
        <w:spacing w:before="0"/>
        <w:rPr>
          <w:rFonts w:ascii="Times New Roman" w:hAnsi="Times New Roman"/>
          <w:noProof/>
          <w:sz w:val="24"/>
          <w:szCs w:val="24"/>
        </w:rPr>
      </w:pPr>
      <w:r>
        <w:rPr>
          <w:rFonts w:ascii="Times New Roman" w:hAnsi="Times New Roman"/>
          <w:noProof/>
          <w:sz w:val="24"/>
          <w:szCs w:val="24"/>
        </w:rPr>
        <w:t>Työterveys- ja työturvallisuusalalla uusia poliittisia toimia vaativat keskeiset yhteiset haasteet koko EU:n alueella</w:t>
      </w:r>
    </w:p>
    <w:p>
      <w:pPr>
        <w:rPr>
          <w:noProof/>
        </w:rPr>
      </w:pPr>
      <w:r>
        <w:rPr>
          <w:noProof/>
          <w:lang w:val="en-GB" w:eastAsia="en-GB"/>
        </w:rPr>
        <w:drawing>
          <wp:inline distT="0" distB="0" distL="0" distR="0">
            <wp:extent cx="5724525" cy="3857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4525" cy="3857625"/>
                    </a:xfrm>
                    <a:prstGeom prst="rect">
                      <a:avLst/>
                    </a:prstGeom>
                    <a:noFill/>
                    <a:ln>
                      <a:noFill/>
                    </a:ln>
                  </pic:spPr>
                </pic:pic>
              </a:graphicData>
            </a:graphic>
          </wp:inline>
        </w:drawing>
      </w:r>
    </w:p>
    <w:p>
      <w:pPr>
        <w:spacing w:after="0"/>
        <w:rPr>
          <w:rFonts w:ascii="Verdana" w:hAnsi="Verdana"/>
          <w:bCs/>
          <w:noProof/>
          <w:sz w:val="16"/>
          <w:szCs w:val="12"/>
        </w:rPr>
      </w:pPr>
      <w:r>
        <w:rPr>
          <w:rFonts w:ascii="Verdana" w:hAnsi="Verdana"/>
          <w:bCs/>
          <w:noProof/>
          <w:sz w:val="16"/>
          <w:szCs w:val="12"/>
        </w:rPr>
        <w:t>Kaikki vastaajat (n=349)</w:t>
      </w:r>
    </w:p>
    <w:p>
      <w:pPr>
        <w:spacing w:after="0"/>
        <w:rPr>
          <w:rFonts w:ascii="Verdana" w:hAnsi="Verdana"/>
          <w:b/>
          <w:noProof/>
          <w:sz w:val="16"/>
          <w:szCs w:val="12"/>
        </w:rPr>
      </w:pPr>
      <w:r>
        <w:rPr>
          <w:rFonts w:ascii="Verdana" w:hAnsi="Verdana"/>
          <w:b/>
          <w:noProof/>
          <w:sz w:val="16"/>
          <w:szCs w:val="12"/>
        </w:rPr>
        <w:t xml:space="preserve">Lähde: Ulkopuoliseen tutkimukseen sisältyvä kuulemisraportti </w:t>
      </w:r>
    </w:p>
    <w:p>
      <w:pPr>
        <w:spacing w:after="0"/>
        <w:rPr>
          <w:rFonts w:ascii="Times New Roman" w:hAnsi="Times New Roman" w:cs="Times New Roman"/>
          <w:noProof/>
          <w:sz w:val="24"/>
          <w:szCs w:val="24"/>
        </w:rPr>
      </w:pPr>
    </w:p>
    <w:p>
      <w:pPr>
        <w:keepNext/>
        <w:jc w:val="both"/>
        <w:rPr>
          <w:rFonts w:ascii="Times New Roman" w:hAnsi="Times New Roman" w:cs="Times New Roman"/>
          <w:noProof/>
          <w:sz w:val="24"/>
          <w:szCs w:val="24"/>
        </w:rPr>
      </w:pPr>
      <w:r>
        <w:rPr>
          <w:rFonts w:ascii="Times New Roman" w:hAnsi="Times New Roman"/>
          <w:noProof/>
          <w:sz w:val="24"/>
          <w:szCs w:val="24"/>
        </w:rPr>
        <w:t xml:space="preserve">Avoimen julkisen kuulemisen vastaajat ehdottivat myös </w:t>
      </w:r>
      <w:r>
        <w:rPr>
          <w:rFonts w:ascii="Times New Roman" w:hAnsi="Times New Roman"/>
          <w:b/>
          <w:noProof/>
          <w:sz w:val="24"/>
          <w:szCs w:val="24"/>
        </w:rPr>
        <w:t>seuraavia painopistealoja tulevaa strategiakehystä varten:</w:t>
      </w:r>
    </w:p>
    <w:p>
      <w:pPr>
        <w:pStyle w:val="ListParagraph"/>
        <w:numPr>
          <w:ilvl w:val="0"/>
          <w:numId w:val="17"/>
        </w:numPr>
        <w:jc w:val="both"/>
        <w:rPr>
          <w:rFonts w:ascii="Times New Roman" w:hAnsi="Times New Roman" w:cs="Times New Roman"/>
          <w:noProof/>
          <w:sz w:val="24"/>
          <w:szCs w:val="24"/>
        </w:rPr>
      </w:pPr>
      <w:r>
        <w:rPr>
          <w:rFonts w:ascii="Times New Roman" w:hAnsi="Times New Roman"/>
          <w:noProof/>
          <w:sz w:val="24"/>
          <w:szCs w:val="24"/>
        </w:rPr>
        <w:t>työterveys- ja työturvallisuuslainsäädännön tehokas soveltaminen</w:t>
      </w:r>
    </w:p>
    <w:p>
      <w:pPr>
        <w:pStyle w:val="ListParagraph"/>
        <w:numPr>
          <w:ilvl w:val="0"/>
          <w:numId w:val="17"/>
        </w:numPr>
        <w:jc w:val="both"/>
        <w:rPr>
          <w:rFonts w:ascii="Times New Roman" w:hAnsi="Times New Roman" w:cs="Times New Roman"/>
          <w:noProof/>
          <w:sz w:val="24"/>
          <w:szCs w:val="24"/>
        </w:rPr>
      </w:pPr>
      <w:r>
        <w:rPr>
          <w:rFonts w:ascii="Times New Roman" w:hAnsi="Times New Roman"/>
          <w:noProof/>
          <w:sz w:val="24"/>
          <w:szCs w:val="24"/>
        </w:rPr>
        <w:t xml:space="preserve">työterveyteen ja </w:t>
      </w:r>
      <w:r>
        <w:rPr>
          <w:rFonts w:ascii="Times New Roman" w:hAnsi="Times New Roman"/>
          <w:noProof/>
          <w:sz w:val="24"/>
          <w:szCs w:val="24"/>
        </w:rPr>
        <w:noBreakHyphen/>
        <w:t>turvallisuuteen liittyvän neuvonnan, hyvien käytäntöjen ja muiden tiedotustoimien kehittäminen ja levittäminen</w:t>
      </w:r>
    </w:p>
    <w:p>
      <w:pPr>
        <w:pStyle w:val="ListParagraph"/>
        <w:numPr>
          <w:ilvl w:val="0"/>
          <w:numId w:val="17"/>
        </w:numPr>
        <w:jc w:val="both"/>
        <w:rPr>
          <w:rFonts w:ascii="Times New Roman" w:hAnsi="Times New Roman" w:cs="Times New Roman"/>
          <w:noProof/>
          <w:sz w:val="24"/>
          <w:szCs w:val="24"/>
        </w:rPr>
      </w:pPr>
      <w:r>
        <w:rPr>
          <w:rFonts w:ascii="Times New Roman" w:hAnsi="Times New Roman"/>
          <w:noProof/>
          <w:sz w:val="24"/>
          <w:szCs w:val="24"/>
        </w:rPr>
        <w:t xml:space="preserve">työterveyteen ja </w:t>
      </w:r>
      <w:r>
        <w:rPr>
          <w:rFonts w:ascii="Times New Roman" w:hAnsi="Times New Roman"/>
          <w:noProof/>
          <w:sz w:val="24"/>
          <w:szCs w:val="24"/>
        </w:rPr>
        <w:noBreakHyphen/>
        <w:t>turvallisuuteen liittyvän yhteistyön ja koordinoinnin edistäminen eri politiikan aloilla (muun muassa terveys-, koulutus-, ympäristö- ja kemikaalialat).</w:t>
      </w:r>
    </w:p>
    <w:p>
      <w:pPr>
        <w:pStyle w:val="caption1"/>
        <w:keepNext/>
        <w:spacing w:before="0"/>
        <w:rPr>
          <w:rFonts w:ascii="Times New Roman" w:hAnsi="Times New Roman"/>
          <w:noProof/>
          <w:sz w:val="24"/>
          <w:szCs w:val="24"/>
        </w:rPr>
      </w:pPr>
      <w:r>
        <w:rPr>
          <w:rFonts w:ascii="Times New Roman" w:hAnsi="Times New Roman"/>
          <w:noProof/>
          <w:sz w:val="24"/>
          <w:szCs w:val="24"/>
        </w:rPr>
        <w:t xml:space="preserve">Tärkeimmät tulevaan strategiakehykseen sisällytettävät työterveyttä ja </w:t>
      </w:r>
      <w:r>
        <w:rPr>
          <w:rFonts w:ascii="Times New Roman" w:hAnsi="Times New Roman"/>
          <w:noProof/>
          <w:sz w:val="24"/>
          <w:szCs w:val="24"/>
        </w:rPr>
        <w:noBreakHyphen/>
        <w:t>turvallisuutta koskevat politiikan alat ja toiminta-alat EU:n tasolla</w:t>
      </w:r>
    </w:p>
    <w:p>
      <w:pPr>
        <w:rPr>
          <w:noProof/>
        </w:rPr>
      </w:pPr>
      <w:r>
        <w:rPr>
          <w:noProof/>
          <w:lang w:val="en-GB" w:eastAsia="en-GB"/>
        </w:rPr>
        <w:drawing>
          <wp:inline distT="0" distB="0" distL="0" distR="0">
            <wp:extent cx="5715000" cy="3609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3609975"/>
                    </a:xfrm>
                    <a:prstGeom prst="rect">
                      <a:avLst/>
                    </a:prstGeom>
                    <a:noFill/>
                    <a:ln>
                      <a:noFill/>
                    </a:ln>
                  </pic:spPr>
                </pic:pic>
              </a:graphicData>
            </a:graphic>
          </wp:inline>
        </w:drawing>
      </w:r>
    </w:p>
    <w:p>
      <w:pPr>
        <w:pStyle w:val="caption1"/>
        <w:spacing w:before="0" w:after="0"/>
        <w:rPr>
          <w:b w:val="0"/>
          <w:bCs/>
          <w:noProof/>
          <w:sz w:val="16"/>
          <w:szCs w:val="12"/>
        </w:rPr>
      </w:pPr>
      <w:r>
        <w:rPr>
          <w:b w:val="0"/>
          <w:bCs/>
          <w:noProof/>
          <w:sz w:val="16"/>
          <w:szCs w:val="12"/>
        </w:rPr>
        <w:t>Alle 5 prosentin jääviä lukuja ei esitetä.</w:t>
      </w:r>
    </w:p>
    <w:p>
      <w:pPr>
        <w:spacing w:after="0"/>
        <w:rPr>
          <w:rFonts w:ascii="Verdana" w:hAnsi="Verdana"/>
          <w:bCs/>
          <w:noProof/>
          <w:sz w:val="16"/>
          <w:szCs w:val="12"/>
        </w:rPr>
      </w:pPr>
      <w:r>
        <w:rPr>
          <w:rFonts w:ascii="Verdana" w:hAnsi="Verdana"/>
          <w:bCs/>
          <w:noProof/>
          <w:sz w:val="16"/>
          <w:szCs w:val="12"/>
        </w:rPr>
        <w:t>Kaikki vastaajat (n=342–346)</w:t>
      </w:r>
    </w:p>
    <w:p>
      <w:pPr>
        <w:spacing w:after="0"/>
        <w:rPr>
          <w:rFonts w:ascii="Verdana" w:hAnsi="Verdana"/>
          <w:b/>
          <w:noProof/>
          <w:sz w:val="16"/>
          <w:szCs w:val="12"/>
        </w:rPr>
      </w:pPr>
      <w:r>
        <w:rPr>
          <w:rFonts w:ascii="Verdana" w:hAnsi="Verdana"/>
          <w:b/>
          <w:noProof/>
          <w:sz w:val="16"/>
          <w:szCs w:val="12"/>
        </w:rPr>
        <w:t>Lähde: Ulkopuoliseen tutkimukseen sisältyvä kuulemisraportti</w:t>
      </w:r>
    </w:p>
    <w:sectPr>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126198"/>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contextualSpacing/>
        <w:jc w:val="left"/>
      </w:pPr>
      <w:r>
        <w:footnoteRef/>
      </w:r>
      <w:r>
        <w:t xml:space="preserve"> Samanaikaisesti julkaistaan erillinen komission yksiköiden valmisteluasiakirja, jossa esitetään muun muassa tutkimuksen tulokset: </w:t>
      </w:r>
      <w:hyperlink r:id="rId1" w:history="1">
        <w:r>
          <w:rPr>
            <w:rStyle w:val="Hyperlink"/>
          </w:rPr>
          <w:t>https://ec.europa.eu/social/BlobServlet?docId=24123&amp;langId=fi</w:t>
        </w:r>
      </w:hyperlink>
    </w:p>
  </w:footnote>
  <w:footnote w:id="2">
    <w:p>
      <w:pPr>
        <w:pStyle w:val="FootnoteText"/>
        <w:contextualSpacing/>
      </w:pPr>
      <w:r>
        <w:rPr>
          <w:lang w:val="en-IE"/>
        </w:rPr>
        <w:footnoteRef/>
      </w:r>
      <w:r>
        <w:t xml:space="preserve"> Kuulemisesta julkaistaan erillinen raportti osana edellä mainittua tutkimusta. Siinä esitetään</w:t>
      </w:r>
    </w:p>
    <w:p>
      <w:pPr>
        <w:pStyle w:val="FootnoteText"/>
        <w:ind w:left="0" w:firstLine="0"/>
        <w:contextualSpacing/>
      </w:pPr>
      <w:r>
        <w:t xml:space="preserve">kattavampi yleiskatsaus avoimessa julkisessa kuulemisessa saaduista vastauksista. </w:t>
      </w:r>
    </w:p>
  </w:footnote>
  <w:footnote w:id="3">
    <w:p>
      <w:pPr>
        <w:pStyle w:val="FootnoteText"/>
      </w:pPr>
      <w:r>
        <w:rPr>
          <w:lang w:val="en-IE"/>
        </w:rPr>
        <w:footnoteRef/>
      </w:r>
      <w:r>
        <w:t xml:space="preserve"> Komission tiedonanto Euroopan parlamentille, neuvostolle, Euroopan talous- ja sosiaalikomitealle ja alueiden komitealle: Työterveyttä ja ‑turvallisuutta koskeva EU:n strategiakehys kaudelle 2021–2027 – Työterveys ja ‑turvallisuus muuttuvassa työelämässä. </w:t>
      </w:r>
    </w:p>
  </w:footnote>
  <w:footnote w:id="4">
    <w:p>
      <w:pPr>
        <w:pStyle w:val="FootnoteText"/>
      </w:pPr>
      <w:r>
        <w:footnoteRef/>
      </w:r>
      <w:r>
        <w:t xml:space="preserve"> https://ec.europa.eu/info/law/better-regulation/have-your-say/initiatives/12673-Tyoterveys-ja-tyoturvallisuus-EUn-strategiakehys-2021-2027-_fi</w:t>
      </w:r>
    </w:p>
  </w:footnote>
  <w:footnote w:id="5">
    <w:p>
      <w:pPr>
        <w:pStyle w:val="FootnoteText"/>
        <w:jc w:val="left"/>
      </w:pPr>
      <w:r>
        <w:footnoteRef/>
      </w:r>
      <w:r>
        <w:t xml:space="preserve"> </w:t>
      </w:r>
      <w:hyperlink r:id="rId2" w:history="1">
        <w:r>
          <w:rPr>
            <w:rStyle w:val="Hyperlink"/>
          </w:rPr>
          <w:t>http://visionzero.global/</w:t>
        </w:r>
      </w:hyperlink>
    </w:p>
  </w:footnote>
  <w:footnote w:id="6">
    <w:p>
      <w:pPr>
        <w:pStyle w:val="FootnoteText"/>
        <w:jc w:val="left"/>
      </w:pPr>
      <w:r>
        <w:footnoteRef/>
      </w:r>
      <w:r>
        <w:t xml:space="preserve"> </w:t>
      </w:r>
      <w:hyperlink r:id="rId3" w:history="1">
        <w:r>
          <w:rPr>
            <w:rStyle w:val="Hyperlink"/>
          </w:rPr>
          <w:t>https://ec.europa.eu/info/law/better-regulation/have-your-say/initiatives/12673-EU-Strategic-Framework-on%20Health-and-Safety-at-Work-2021-2027-/public-consultation_fi</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5267"/>
    <w:multiLevelType w:val="hybridMultilevel"/>
    <w:tmpl w:val="F9BE7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0F52F91"/>
    <w:multiLevelType w:val="hybridMultilevel"/>
    <w:tmpl w:val="348E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0514DC"/>
    <w:multiLevelType w:val="hybridMultilevel"/>
    <w:tmpl w:val="8E783502"/>
    <w:lvl w:ilvl="0" w:tplc="BD8E759C">
      <w:start w:val="1"/>
      <w:numFmt w:val="decimal"/>
      <w:lvlText w:val="%1."/>
      <w:lvlJc w:val="right"/>
      <w:pPr>
        <w:ind w:left="720" w:hanging="360"/>
      </w:pPr>
      <w:rPr>
        <w:rFonts w:hint="default"/>
        <w:b/>
      </w:rPr>
    </w:lvl>
    <w:lvl w:ilvl="1" w:tplc="6E9242E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101962"/>
    <w:multiLevelType w:val="hybridMultilevel"/>
    <w:tmpl w:val="82EC2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176FE2"/>
    <w:multiLevelType w:val="hybridMultilevel"/>
    <w:tmpl w:val="1D88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CA6A89"/>
    <w:multiLevelType w:val="hybridMultilevel"/>
    <w:tmpl w:val="3D24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3691101B"/>
    <w:multiLevelType w:val="hybridMultilevel"/>
    <w:tmpl w:val="88E89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4B0869"/>
    <w:multiLevelType w:val="hybridMultilevel"/>
    <w:tmpl w:val="9BE8A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78B20C9"/>
    <w:multiLevelType w:val="hybridMultilevel"/>
    <w:tmpl w:val="348E8438"/>
    <w:lvl w:ilvl="0" w:tplc="BD8E759C">
      <w:start w:val="1"/>
      <w:numFmt w:val="decimal"/>
      <w:lvlText w:val="%1."/>
      <w:lvlJc w:val="right"/>
      <w:pPr>
        <w:ind w:left="720" w:hanging="360"/>
      </w:pPr>
      <w:rPr>
        <w:rFonts w:hint="default"/>
        <w:b/>
      </w:rPr>
    </w:lvl>
    <w:lvl w:ilvl="1" w:tplc="6E9242E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03557B"/>
    <w:multiLevelType w:val="hybridMultilevel"/>
    <w:tmpl w:val="450C6AAA"/>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1">
    <w:nsid w:val="3C681640"/>
    <w:multiLevelType w:val="hybridMultilevel"/>
    <w:tmpl w:val="9484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4B3237D"/>
    <w:multiLevelType w:val="hybridMultilevel"/>
    <w:tmpl w:val="DD464C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5A175BF4"/>
    <w:multiLevelType w:val="hybridMultilevel"/>
    <w:tmpl w:val="ECA05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AAB14F8"/>
    <w:multiLevelType w:val="hybridMultilevel"/>
    <w:tmpl w:val="6106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37C5112"/>
    <w:multiLevelType w:val="hybridMultilevel"/>
    <w:tmpl w:val="CC08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6AF2704"/>
    <w:multiLevelType w:val="hybridMultilevel"/>
    <w:tmpl w:val="F016015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7">
    <w:nsid w:val="66FB0A75"/>
    <w:multiLevelType w:val="hybridMultilevel"/>
    <w:tmpl w:val="B9546CF8"/>
    <w:lvl w:ilvl="0" w:tplc="269CAE4A">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B113773"/>
    <w:multiLevelType w:val="hybridMultilevel"/>
    <w:tmpl w:val="EE7CC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B5A76FC"/>
    <w:multiLevelType w:val="hybridMultilevel"/>
    <w:tmpl w:val="CF06B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3A4A9B"/>
    <w:multiLevelType w:val="hybridMultilevel"/>
    <w:tmpl w:val="66880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7"/>
  </w:num>
  <w:num w:numId="3">
    <w:abstractNumId w:val="2"/>
  </w:num>
  <w:num w:numId="4">
    <w:abstractNumId w:val="10"/>
  </w:num>
  <w:num w:numId="5">
    <w:abstractNumId w:val="14"/>
  </w:num>
  <w:num w:numId="6">
    <w:abstractNumId w:val="19"/>
  </w:num>
  <w:num w:numId="7">
    <w:abstractNumId w:val="11"/>
  </w:num>
  <w:num w:numId="8">
    <w:abstractNumId w:val="7"/>
  </w:num>
  <w:num w:numId="9">
    <w:abstractNumId w:val="5"/>
  </w:num>
  <w:num w:numId="10">
    <w:abstractNumId w:val="4"/>
  </w:num>
  <w:num w:numId="11">
    <w:abstractNumId w:val="16"/>
  </w:num>
  <w:num w:numId="12">
    <w:abstractNumId w:val="20"/>
  </w:num>
  <w:num w:numId="13">
    <w:abstractNumId w:val="3"/>
  </w:num>
  <w:num w:numId="14">
    <w:abstractNumId w:val="9"/>
  </w:num>
  <w:num w:numId="15">
    <w:abstractNumId w:val="15"/>
  </w:num>
  <w:num w:numId="16">
    <w:abstractNumId w:val="0"/>
  </w:num>
  <w:num w:numId="17">
    <w:abstractNumId w:val="1"/>
  </w:num>
  <w:num w:numId="18">
    <w:abstractNumId w:val="12"/>
  </w:num>
  <w:num w:numId="19">
    <w:abstractNumId w:val="18"/>
  </w:num>
  <w:num w:numId="20">
    <w:abstractNumId w:val="1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Oheisasiakirja"/>
    <w:docVar w:name="LW_CORRIGENDUM" w:val="&lt;UNUSED&gt;"/>
    <w:docVar w:name="LW_COVERPAGE_EXISTS" w:val="True"/>
    <w:docVar w:name="LW_COVERPAGE_GUID" w:val="9871C9D9-5744-44E8-A1B2-6C34269C53E9"/>
    <w:docVar w:name="LW_COVERPAGE_TYPE" w:val="1"/>
    <w:docVar w:name="LW_CROSSREFERENCE" w:val="{COM(2021) 323 final} - {SWD(2021) 148 final}"/>
    <w:docVar w:name="LW_DocType" w:val="NORMAL"/>
    <w:docVar w:name="LW_EMISSION" w:val="28.6.2021"/>
    <w:docVar w:name="LW_EMISSION_ISODATE" w:val="2021-06-28"/>
    <w:docVar w:name="LW_EMISSION_LOCATION" w:val="BRX"/>
    <w:docVar w:name="LW_EMISSION_PREFIX" w:val="Bryssel "/>
    <w:docVar w:name="LW_EMISSION_SUFFIX" w:val=" "/>
    <w:docVar w:name="LW_ID_DOCTYPE_NONLW" w:val="CP-063"/>
    <w:docVar w:name="LW_LANGUE" w:val="FI"/>
    <w:docVar w:name="LW_LEVEL_OF_SENSITIVITY" w:val="Standard treatment"/>
    <w:docVar w:name="LW_NOM.INST" w:val="EUROOPAN KOMISSIO"/>
    <w:docVar w:name="LW_NOM.INST_JOINTDOC" w:val="&lt;EMPTY&gt;"/>
    <w:docVar w:name="LW_OBJETACTEPRINCIPAL.CP" w:val="Työterveyttä ja -turvallisuutta koskeva EU:n strategiakehys 2021\u8211?2027  _x000d__x000b_Työterveys ja -turvallisuus muuttuvassa työelämässä"/>
    <w:docVar w:name="LW_PART_NBR" w:val="1"/>
    <w:docVar w:name="LW_PART_NBR_TOTAL" w:val="1"/>
    <w:docVar w:name="LW_REF.INST.NEW" w:val="SWD"/>
    <w:docVar w:name="LW_REF.INST.NEW_ADOPTED" w:val="final"/>
    <w:docVar w:name="LW_REF.INST.NEW_TEXT" w:val="(2021) 1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 "/>
    <w:docVar w:name="LW_TYPE.DOC.CP" w:val="KOMISSION YKSIKÖIDEN VALMISTELUASIAKIRJA_x000b__x000b_SIDOSRYHMIEN KUULEMINEN - TIIVISTELMÄRAPORTTI_x000b_"/>
    <w:docVar w:name="LW_TYPEACTEPRINCIPAL.CP" w:val="asiakirjaan KOMISSION TIEDONANTO EUROOPAN PARLAMENTILLE, NEUVOSTOLLE, EUROOPAN TALOUS- JA SOSIAALIKOMITEALLE JA ALUEIDEN KOMITEALLE"/>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rPr>
      <w:rFonts w:ascii="Times New Roman" w:eastAsia="Times New Roman" w:hAnsi="Times New Roman" w:cs="Times New Roman"/>
      <w:sz w:val="20"/>
      <w:szCs w:val="20"/>
    </w:rPr>
  </w:style>
  <w:style w:type="paragraph" w:customStyle="1" w:styleId="ListBullet1">
    <w:name w:val="List Bullet 1"/>
    <w:basedOn w:val="Normal"/>
    <w:pPr>
      <w:numPr>
        <w:numId w:val="1"/>
      </w:numPr>
      <w:spacing w:after="240" w:line="240" w:lineRule="auto"/>
      <w:jc w:val="both"/>
    </w:pPr>
    <w:rPr>
      <w:rFonts w:ascii="Times New Roman" w:eastAsia="Times New Roman" w:hAnsi="Times New Roman" w:cs="Times New Roman"/>
      <w:sz w:val="24"/>
      <w:szCs w:val="20"/>
    </w:rPr>
  </w:style>
  <w:style w:type="paragraph" w:styleId="ListParagraph">
    <w:name w:val="List Paragraph"/>
    <w:basedOn w:val="Normal"/>
    <w:uiPriority w:val="34"/>
    <w:qFormat/>
    <w:pPr>
      <w:spacing w:after="200" w:line="276" w:lineRule="auto"/>
      <w:ind w:left="720"/>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after="200" w:line="240" w:lineRule="auto"/>
    </w:pPr>
    <w:rPr>
      <w:sz w:val="20"/>
      <w:szCs w:val="20"/>
    </w:rPr>
  </w:style>
  <w:style w:type="character" w:customStyle="1" w:styleId="CommentTextChar">
    <w:name w:val="Comment Text Char"/>
    <w:basedOn w:val="DefaultParagraphFont"/>
    <w:link w:val="CommentText"/>
    <w:semiHidden/>
    <w:rPr>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ext1">
    <w:name w:val="Text 1"/>
    <w:basedOn w:val="Normal"/>
    <w:uiPriority w:val="99"/>
    <w:pPr>
      <w:spacing w:after="240" w:line="240" w:lineRule="auto"/>
      <w:ind w:left="482"/>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paragraph" w:customStyle="1" w:styleId="caption1">
    <w:name w:val="caption1"/>
    <w:aliases w:val="GFRC caption,Caption PSP,Caption - Centre Graphic,Caption1,C,Coffey Caption,TF,Ch1"/>
    <w:basedOn w:val="Normal"/>
    <w:next w:val="Normal"/>
    <w:qFormat/>
    <w:pPr>
      <w:spacing w:before="120" w:after="120" w:line="240" w:lineRule="auto"/>
      <w:jc w:val="both"/>
    </w:pPr>
    <w:rPr>
      <w:rFonts w:ascii="Verdana" w:eastAsia="Times New Roman" w:hAnsi="Verdana" w:cs="Times New Roman"/>
      <w:b/>
      <w:sz w:val="18"/>
      <w:szCs w:val="20"/>
    </w:rPr>
  </w:style>
  <w:style w:type="table" w:styleId="TableGrid">
    <w:name w:val="Table Grid"/>
    <w:aliases w:val="Document Table"/>
    <w:basedOn w:val="TableNormal"/>
    <w:pPr>
      <w:spacing w:after="0" w:line="240" w:lineRule="auto"/>
    </w:pPr>
    <w:rPr>
      <w:rFonts w:ascii="Verdana" w:eastAsia="Times New Roman" w:hAnsi="Verdana" w:cs="Times New Roman"/>
      <w:sz w:val="18"/>
      <w:szCs w:val="20"/>
      <w:lang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character" w:customStyle="1" w:styleId="TableorFigureChar">
    <w:name w:val="Table or Figure Char"/>
    <w:basedOn w:val="DefaultParagraphFont"/>
    <w:link w:val="TableorFigure"/>
    <w:locked/>
    <w:rPr>
      <w:rFonts w:ascii="Verdana" w:hAnsi="Verdana"/>
      <w:color w:val="263673"/>
    </w:rPr>
  </w:style>
  <w:style w:type="paragraph" w:customStyle="1" w:styleId="TableorFigure">
    <w:name w:val="Table or Figure"/>
    <w:basedOn w:val="caption1"/>
    <w:link w:val="TableorFigureChar"/>
    <w:rPr>
      <w:rFonts w:eastAsiaTheme="minorHAnsi" w:cstheme="minorBidi"/>
      <w:b w:val="0"/>
      <w:color w:val="263673"/>
      <w:sz w:val="22"/>
      <w:szCs w:val="22"/>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character" w:styleId="FootnoteReference">
    <w:name w:val="footnote reference"/>
    <w:basedOn w:val="DefaultParagraphFont"/>
    <w:semiHidden/>
    <w:unhideWhenUsed/>
    <w:qFormat/>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rPr>
      <w:rFonts w:ascii="Times New Roman" w:eastAsia="Times New Roman" w:hAnsi="Times New Roman" w:cs="Times New Roman"/>
      <w:sz w:val="20"/>
      <w:szCs w:val="20"/>
    </w:rPr>
  </w:style>
  <w:style w:type="paragraph" w:customStyle="1" w:styleId="ListBullet1">
    <w:name w:val="List Bullet 1"/>
    <w:basedOn w:val="Normal"/>
    <w:pPr>
      <w:numPr>
        <w:numId w:val="1"/>
      </w:numPr>
      <w:spacing w:after="240" w:line="240" w:lineRule="auto"/>
      <w:jc w:val="both"/>
    </w:pPr>
    <w:rPr>
      <w:rFonts w:ascii="Times New Roman" w:eastAsia="Times New Roman" w:hAnsi="Times New Roman" w:cs="Times New Roman"/>
      <w:sz w:val="24"/>
      <w:szCs w:val="20"/>
    </w:rPr>
  </w:style>
  <w:style w:type="paragraph" w:styleId="ListParagraph">
    <w:name w:val="List Paragraph"/>
    <w:basedOn w:val="Normal"/>
    <w:uiPriority w:val="34"/>
    <w:qFormat/>
    <w:pPr>
      <w:spacing w:after="200" w:line="276" w:lineRule="auto"/>
      <w:ind w:left="720"/>
      <w:contextualSpacing/>
    </w:p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after="200" w:line="240" w:lineRule="auto"/>
    </w:pPr>
    <w:rPr>
      <w:sz w:val="20"/>
      <w:szCs w:val="20"/>
    </w:rPr>
  </w:style>
  <w:style w:type="character" w:customStyle="1" w:styleId="CommentTextChar">
    <w:name w:val="Comment Text Char"/>
    <w:basedOn w:val="DefaultParagraphFont"/>
    <w:link w:val="CommentText"/>
    <w:semiHidden/>
    <w:rPr>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Text1">
    <w:name w:val="Text 1"/>
    <w:basedOn w:val="Normal"/>
    <w:uiPriority w:val="99"/>
    <w:pPr>
      <w:spacing w:after="240" w:line="240" w:lineRule="auto"/>
      <w:ind w:left="482"/>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style>
  <w:style w:type="paragraph" w:customStyle="1" w:styleId="caption1">
    <w:name w:val="caption1"/>
    <w:aliases w:val="GFRC caption,Caption PSP,Caption - Centre Graphic,Caption1,C,Coffey Caption,TF,Ch1"/>
    <w:basedOn w:val="Normal"/>
    <w:next w:val="Normal"/>
    <w:qFormat/>
    <w:pPr>
      <w:spacing w:before="120" w:after="120" w:line="240" w:lineRule="auto"/>
      <w:jc w:val="both"/>
    </w:pPr>
    <w:rPr>
      <w:rFonts w:ascii="Verdana" w:eastAsia="Times New Roman" w:hAnsi="Verdana" w:cs="Times New Roman"/>
      <w:b/>
      <w:sz w:val="18"/>
      <w:szCs w:val="20"/>
    </w:rPr>
  </w:style>
  <w:style w:type="table" w:styleId="TableGrid">
    <w:name w:val="Table Grid"/>
    <w:aliases w:val="Document Table"/>
    <w:basedOn w:val="TableNormal"/>
    <w:pPr>
      <w:spacing w:after="0" w:line="240" w:lineRule="auto"/>
    </w:pPr>
    <w:rPr>
      <w:rFonts w:ascii="Verdana" w:eastAsia="Times New Roman" w:hAnsi="Verdana" w:cs="Times New Roman"/>
      <w:sz w:val="18"/>
      <w:szCs w:val="20"/>
      <w:lang w:eastAsia="nl-BE"/>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color w:val="FFFFFF"/>
      </w:rPr>
      <w:tblPr/>
      <w:tcPr>
        <w:shd w:val="clear" w:color="auto" w:fill="00AEF0"/>
      </w:tcPr>
    </w:tblStylePr>
  </w:style>
  <w:style w:type="character" w:customStyle="1" w:styleId="TableorFigureChar">
    <w:name w:val="Table or Figure Char"/>
    <w:basedOn w:val="DefaultParagraphFont"/>
    <w:link w:val="TableorFigure"/>
    <w:locked/>
    <w:rPr>
      <w:rFonts w:ascii="Verdana" w:hAnsi="Verdana"/>
      <w:color w:val="263673"/>
    </w:rPr>
  </w:style>
  <w:style w:type="paragraph" w:customStyle="1" w:styleId="TableorFigure">
    <w:name w:val="Table or Figure"/>
    <w:basedOn w:val="caption1"/>
    <w:link w:val="TableorFigureChar"/>
    <w:rPr>
      <w:rFonts w:eastAsiaTheme="minorHAnsi" w:cstheme="minorBidi"/>
      <w:b w:val="0"/>
      <w:color w:val="263673"/>
      <w:sz w:val="22"/>
      <w:szCs w:val="22"/>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 w:type="character" w:styleId="FootnoteReference">
    <w:name w:val="footnote reference"/>
    <w:basedOn w:val="DefaultParagraphFont"/>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2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4.emf"/><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emf"/><Relationship Id="rId27" Type="http://schemas.openxmlformats.org/officeDocument/2006/relationships/header" Target="header5.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2673-EU-Strategic-Framework-on%20Health-and-Safety-at-Work-2021-2027-/public-consultation_fi" TargetMode="External"/><Relationship Id="rId2" Type="http://schemas.openxmlformats.org/officeDocument/2006/relationships/hyperlink" Target="http://visionzero.global/" TargetMode="External"/><Relationship Id="rId1" Type="http://schemas.openxmlformats.org/officeDocument/2006/relationships/hyperlink" Target="https://ec.europa.eu/social/BlobServlet?docId=24123&amp;langId=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p:properties xmlns:p="http://schemas.microsoft.com/office/2006/metadata/properties" xmlns:xsi="http://www.w3.org/2001/XMLSchema-instance" xmlns:pc="http://schemas.microsoft.com/office/infopath/2007/PartnerControls"><documentManagement><EC_Collab_Reference xmlns="$ListId:Working Documents;" xsi:nil="true"></EC_Collab_Reference><_Status xmlns="http://schemas.microsoft.com/sharepoint/v3/fields">Not Started</_Status><EC_Collab_DocumentLanguage xmlns="$ListId:Working Documents;">EN</EC_Collab_DocumentLanguage><EC_Collab_Status xmlns="$ListId:Working Documents;">Not Started</EC_Collab_Status></documentManagement></p:properties>
</file>

<file path=customXml/item2.xml><?xml version="1.0" encoding="utf-8"?><ct:contentTypeSchema ct:_="" ma:_="" ma:contentTypeName="EC Document" ma:contentTypeID="0x010100258AA79CEB83498886A3A08681123250007C4663675A14924688C530FAE1C01541" ma:contentTypeVersion="0" ma:contentTypeDescription="Create a new document in this library." ma:contentTypeScope="" ma:versionID="889434945273d0148c50afe51c20f86b" xmlns:ct="http://schemas.microsoft.com/office/2006/metadata/contentType" xmlns:ma="http://schemas.microsoft.com/office/2006/metadata/properties/metaAttributes">
<xsd:schema targetNamespace="http://schemas.microsoft.com/office/2006/metadata/properties" ma:root="true" ma:fieldsID="ae74be22634a101112b16dfca5eb9985" ns2:_="" ns3:_="" xmlns:xsd="http://www.w3.org/2001/XMLSchema" xmlns:xs="http://www.w3.org/2001/XMLSchema" xmlns:p="http://schemas.microsoft.com/office/2006/metadata/properties" xmlns:ns2="http://schemas.microsoft.com/sharepoint/v3/fields" xmlns:ns3="$ListId:Working Documents;">
<xsd:import namespace="http://schemas.microsoft.com/sharepoint/v3/fields"/>
<xsd:import namespace="$ListId:Working Documents;"/>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targetNamespace="http://schemas.microsoft.com/sharepoint/v3/field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targetNamespace="$ListId:Working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1D62A-496A-48B4-8AC6-D229CFC64CD6}">
  <ds:schemaRefs>
    <ds:schemaRef ds:uri="http://schemas.microsoft.com/office/2006/metadata/properties"/>
    <ds:schemaRef ds:uri="http://schemas.microsoft.com/office/infopath/2007/PartnerControls"/>
    <ds:schemaRef ds:uri="$ListId:Working Documents;"/>
    <ds:schemaRef ds:uri="http://schemas.microsoft.com/sharepoint/v3/fields"/>
  </ds:schemaRefs>
</ds:datastoreItem>
</file>

<file path=customXml/itemProps2.xml><?xml version="1.0" encoding="utf-8"?>
<ds:datastoreItem xmlns:ds="http://schemas.openxmlformats.org/officeDocument/2006/customXml" ds:itemID="{E62E0D8B-A58A-4AB9-9EB5-43467819E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ListId:Working Document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9C392-931B-439E-A3B2-9F155265DB2E}">
  <ds:schemaRefs>
    <ds:schemaRef ds:uri="http://schemas.microsoft.com/sharepoint/v3/contenttype/forms"/>
  </ds:schemaRefs>
</ds:datastoreItem>
</file>

<file path=customXml/itemProps4.xml><?xml version="1.0" encoding="utf-8"?>
<ds:datastoreItem xmlns:ds="http://schemas.openxmlformats.org/officeDocument/2006/customXml" ds:itemID="{84DE71BF-E33B-4A0A-9F21-3EC874046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2010</Words>
  <Characters>17146</Characters>
  <Application>Microsoft Office Word</Application>
  <DocSecurity>0</DocSecurity>
  <Lines>285</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36</cp:revision>
  <dcterms:created xsi:type="dcterms:W3CDTF">2021-06-25T15:08:00Z</dcterms:created>
  <dcterms:modified xsi:type="dcterms:W3CDTF">2021-07-06T13:02:00Z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CP-063</vt:lpwstr>
  </property>
  <property fmtid="{D5CDD505-2E9C-101B-9397-08002B2CF9AE}" pid="7" name="Last edited using">
    <vt:lpwstr>LW 7.0.1, Build 20200226</vt:lpwstr>
  </property>
  <property fmtid="{D5CDD505-2E9C-101B-9397-08002B2CF9AE}" pid="8" name="Created using">
    <vt:lpwstr>LW 7.0.1, Build 20190916</vt:lpwstr>
  </property>
  <property fmtid="{D5CDD505-2E9C-101B-9397-08002B2CF9AE}" pid="9" name="_LW_INVALIDATED__LW_INVALIDATED__LW_INVALIDATED__LW_INVALIDATED__LW_INVALIDATED__LW_INVALIDATED__LW_INVALIDATED__LW_INVALIDATED_ContentTypeId">
    <vt:lpwstr>0x010100258AA79CEB83498886A3A08681123250007C4663675A14924688C530FAE1C01541</vt:lpwstr>
  </property>
</Properties>
</file>