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45C1B6E3-8FEB-4802-ADC2-D92365E0406B" style="width:450.55pt;height:351.8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PERUSTELUT</w:t>
      </w:r>
    </w:p>
    <w:p>
      <w:pPr>
        <w:pStyle w:val="ManualHeading1"/>
        <w:rPr>
          <w:noProof/>
        </w:rPr>
      </w:pPr>
      <w:r>
        <w:rPr>
          <w:noProof/>
        </w:rPr>
        <w:t>1.</w:t>
      </w:r>
      <w:r>
        <w:rPr>
          <w:noProof/>
        </w:rPr>
        <w:tab/>
        <w:t>EHDOTUKSEN TAUSTA</w:t>
      </w:r>
    </w:p>
    <w:p>
      <w:pPr>
        <w:pStyle w:val="ManualHeading2"/>
        <w:rPr>
          <w:rFonts w:eastAsia="Arial Unicode MS"/>
          <w:noProof/>
        </w:rPr>
      </w:pPr>
      <w:r>
        <w:rPr>
          <w:noProof/>
          <w:color w:val="000000"/>
          <w:u w:color="000000"/>
          <w:bdr w:val="nil"/>
        </w:rPr>
        <w:t>•</w:t>
      </w:r>
      <w:r>
        <w:rPr>
          <w:noProof/>
        </w:rPr>
        <w:tab/>
        <w:t>Ehdotuksen perustelut ja tavoitteet</w:t>
      </w:r>
    </w:p>
    <w:p>
      <w:pPr>
        <w:pBdr>
          <w:top w:val="nil"/>
          <w:left w:val="nil"/>
          <w:bottom w:val="nil"/>
          <w:right w:val="nil"/>
          <w:between w:val="nil"/>
          <w:bar w:val="nil"/>
        </w:pBdr>
        <w:spacing w:before="0" w:after="240"/>
        <w:rPr>
          <w:rFonts w:eastAsia="Arial Unicode MS"/>
          <w:noProof/>
        </w:rPr>
      </w:pPr>
      <w:r>
        <w:rPr>
          <w:noProof/>
        </w:rPr>
        <w:t>Pysyviä orgaanisia yhdisteitä koskeva Tukholman yleissopimus, jäljempänä ’yleissopimus’, tuli voimaan 17. toukokuuta 2004. Se hyväksyttiin pysyviä orgaanisia yhdisteitä koskevan Tukholman yleissopimuksen hyväksymisestä Euroopan yhteisön puolesta 14. lokakuuta 2004 tehdyllä neuvoston päätöksellä (2006/507/EY</w:t>
      </w:r>
      <w:r>
        <w:rPr>
          <w:rStyle w:val="FootnoteReference"/>
          <w:noProof/>
        </w:rPr>
        <w:footnoteReference w:id="2"/>
      </w:r>
      <w:r>
        <w:rPr>
          <w:noProof/>
        </w:rPr>
        <w:t>), ja se tuli voimaan Euroopan yhteisössä 14. helmikuuta 2005. Yleissopimuksen tavoitteena on suojella ihmisten terveyttä ja ympäristöä pysyviltä orgaanisilta yhdisteiltä (POP). Yleissopimus muodostaa ennalta varautumiseen perustuvat puitteet, ja sen tarkoituksena on lopettaa pysyvien orgaanisten yhdisteiden tuotanto, käyttö, tuonti ja vienti, huolehtia yhdisteiden turvallisesta käsittelystä ja loppusijoituksesta ja vähentää tiettyjen tahattomasti tuotettujen orgaanisten yhdisteiden päästöjä tai poistaa ne.</w:t>
      </w:r>
    </w:p>
    <w:p>
      <w:pPr>
        <w:pBdr>
          <w:top w:val="nil"/>
          <w:left w:val="nil"/>
          <w:bottom w:val="nil"/>
          <w:right w:val="nil"/>
          <w:between w:val="nil"/>
          <w:bar w:val="nil"/>
        </w:pBdr>
        <w:spacing w:before="0" w:after="240"/>
        <w:rPr>
          <w:rFonts w:eastAsia="Arial Unicode MS"/>
          <w:noProof/>
        </w:rPr>
      </w:pPr>
      <w:r>
        <w:rPr>
          <w:noProof/>
        </w:rPr>
        <w:t>Sitoumukset, jotka on annettu yleissopimuksessa sekä neuvoston päätöksellä 259/2004/EY</w:t>
      </w:r>
      <w:r>
        <w:rPr>
          <w:rStyle w:val="FootnoteReference"/>
          <w:noProof/>
        </w:rPr>
        <w:footnoteReference w:id="3"/>
      </w:r>
      <w:r>
        <w:rPr>
          <w:noProof/>
        </w:rPr>
        <w:t xml:space="preserve"> hyväksytyssä, valtiosta toiseen tapahtuvaa ilman epäpuhtauksien kaukokulkeutumista koskevaan vuoden 1979 yleissopimukseen liittyvässä pysyviä orgaanisia yhdisteitä koskevassa pöytäkirjassa, jäljempänä ’pöytäkirja’, on pantu unionin lainsäädännössä täytäntöön Euroopan parlamentin ja neuvoston asetuksella (EY) N:o 2019/1021</w:t>
      </w:r>
      <w:r>
        <w:rPr>
          <w:rStyle w:val="FootnoteReference"/>
          <w:noProof/>
        </w:rPr>
        <w:footnoteReference w:id="4"/>
      </w:r>
      <w:r>
        <w:rPr>
          <w:noProof/>
        </w:rPr>
        <w:t>.</w:t>
      </w:r>
    </w:p>
    <w:p>
      <w:pPr>
        <w:pBdr>
          <w:top w:val="nil"/>
          <w:left w:val="nil"/>
          <w:bottom w:val="nil"/>
          <w:right w:val="nil"/>
          <w:between w:val="nil"/>
          <w:bar w:val="nil"/>
        </w:pBdr>
        <w:spacing w:before="0" w:after="240"/>
        <w:rPr>
          <w:rFonts w:eastAsia="Arial Unicode MS"/>
          <w:noProof/>
        </w:rPr>
      </w:pPr>
      <w:r>
        <w:rPr>
          <w:noProof/>
        </w:rPr>
        <w:t>Yleissopimuksen 8 artiklan 1 kohdassa määrätään, että sopimuspuoli voi toimittaa sihteeristölle ehdotuksen kemikaalin sisällyttämisestä yleissopimuksen liitteeseen A, B ja/tai C, minkä jälkeen pysyvien orgaanisten yhdisteiden arviointikomitea, jäljempänä ’POP RC’, arvioi ehdotuksen 8 artiklan 3 ja 4 kohdan mukaisesti. Ehdotuksessa on annettava liitteessä D täsmennetyt tiedot. Sopimuspuolten konferenssi päättää POP RC:n suosituksen perusteella, sisällytetäänkö aine liitteeseen A (lopetus), liitteeseen B (rajoittaminen) ja/tai liitteeseen C (tahaton tuottaminen). Liitteisiin tehtävien muutosten hyväksymismenettelystä määrätään yleissopimuksen 22 artiklassa.</w:t>
      </w:r>
    </w:p>
    <w:p>
      <w:pPr>
        <w:pBdr>
          <w:top w:val="nil"/>
          <w:left w:val="nil"/>
          <w:bottom w:val="nil"/>
          <w:right w:val="nil"/>
          <w:between w:val="nil"/>
          <w:bar w:val="nil"/>
        </w:pBdr>
        <w:spacing w:before="0" w:after="240"/>
        <w:rPr>
          <w:rFonts w:eastAsia="Arial Unicode MS"/>
          <w:noProof/>
        </w:rPr>
      </w:pPr>
      <w:r>
        <w:rPr>
          <w:noProof/>
        </w:rPr>
        <w:t>Klooripyrifossin käyttö tehoaineena on kielletty Euroopan unionissa kasvinsuojeluaineissa Euroopan parlamentin ja neuvoston asetuksen (EY) N:o 1107/2009</w:t>
      </w:r>
      <w:r>
        <w:rPr>
          <w:rStyle w:val="FootnoteReference"/>
          <w:noProof/>
        </w:rPr>
        <w:footnoteReference w:id="5"/>
      </w:r>
      <w:r>
        <w:rPr>
          <w:noProof/>
        </w:rPr>
        <w:t xml:space="preserve"> nojalla ja biosidivalmisteissa Euroopan parlamentin ja neuvoston asetuksen (EU) N:o 528/2012</w:t>
      </w:r>
      <w:r>
        <w:rPr>
          <w:rStyle w:val="FootnoteReference"/>
          <w:noProof/>
        </w:rPr>
        <w:footnoteReference w:id="6"/>
      </w:r>
      <w:r>
        <w:rPr>
          <w:noProof/>
        </w:rPr>
        <w:t xml:space="preserve"> nojalla. Klooripyrifossia ei myöskään ole rekisteröity Euroopan parlamentin ja neuvoston </w:t>
      </w:r>
      <w:r>
        <w:rPr>
          <w:noProof/>
        </w:rPr>
        <w:lastRenderedPageBreak/>
        <w:t>asetuksen (EY) N:o 1907/2006</w:t>
      </w:r>
      <w:r>
        <w:rPr>
          <w:rStyle w:val="FootnoteReference"/>
          <w:noProof/>
        </w:rPr>
        <w:footnoteReference w:id="7"/>
      </w:r>
      <w:r>
        <w:rPr>
          <w:noProof/>
        </w:rPr>
        <w:t xml:space="preserve"> mukaisesti eikä sitä  näin ollen saa valmistaa eikä saattaa markkinoille unionissa muita käyttötarkoituksia varten määrinä, jotka ovat yksi tonni tai enemmän valmistajaa tai maahantuojaa kohti vuodessa.</w:t>
      </w:r>
    </w:p>
    <w:p>
      <w:pPr>
        <w:pBdr>
          <w:top w:val="nil"/>
          <w:left w:val="nil"/>
          <w:bottom w:val="nil"/>
          <w:right w:val="nil"/>
          <w:between w:val="nil"/>
          <w:bar w:val="nil"/>
        </w:pBdr>
        <w:spacing w:before="0" w:after="240"/>
        <w:rPr>
          <w:rFonts w:eastAsia="Arial Unicode MS"/>
          <w:noProof/>
        </w:rPr>
      </w:pPr>
      <w:r>
        <w:rPr>
          <w:noProof/>
        </w:rPr>
        <w:t>Kun otetaan huomioon tiedot klooripyrifossin luontaisista ominaisuuksista, joita on arvioitu yleissopimuksen liitteessä D esitettyjen kriteerien perusteella, voidaan päätellä, että klooripyrifossi on hitaasti hajoava, biokertyvä ja myrkyllinen. Lisäksi klooripyrifossi voi kulkeutua kauas ja sitä on löydetty hyvinkin kaukana, esimerkiksi arktisilta alueilta. Klooripyrifossin hitaasta hajoavuudesta, biokertyvyydestä ja myrkyllisyydestä sekä kaukokulkeutumisesta saatavilla olevien tietojen perusteella esitetään, että klooripyrifossi täyttää yleissopimuksen liitteessä D olevat kriteerit ja sitä olisi sen vuoksi pidettävä pysyvänä orgaanisena yhdisteenä. Arvioinnin yksityiskohdat ovat saatavilla tieteellisessä aineistossa, joka liitetään ehdotukseen klooripyrifossin sisällyttämisestä Tukholman yleissopimuksen liitteeseen A.</w:t>
      </w:r>
    </w:p>
    <w:p>
      <w:pPr>
        <w:pBdr>
          <w:top w:val="nil"/>
          <w:left w:val="nil"/>
          <w:bottom w:val="nil"/>
          <w:right w:val="nil"/>
          <w:between w:val="nil"/>
          <w:bar w:val="nil"/>
        </w:pBdr>
        <w:spacing w:before="0" w:after="240"/>
        <w:rPr>
          <w:rFonts w:eastAsia="Arial Unicode MS"/>
          <w:noProof/>
        </w:rPr>
      </w:pPr>
      <w:r>
        <w:rPr>
          <w:noProof/>
        </w:rPr>
        <w:t>Koska klooripyrifossin käyttö tehoaineena kasvinsuojeluaineissa unionissa kiellettiin vasta hiljattain, ei voida sulkea pois sitä, että klooripyrifossia tuotetaan edelleen vientiä varten.  Lisäksi näyttää siltä, että klooripyrifossia valmistetaan tai käytetään taikka siitä aiheutuu päästöjä muissa maissa. Koska tämä kemikaali voi kulkeutua ympäristössä kauas, kansallisella tai unionin tasolla toteutetut toimenpiteet eivät riitä turvaamaan ympäristön ja ihmisten terveyden suojelun korkeaa tasoa, vaan tämä edellyttää laajempia kansainvälisiä toimia.</w:t>
      </w:r>
    </w:p>
    <w:p>
      <w:pPr>
        <w:pBdr>
          <w:top w:val="nil"/>
          <w:left w:val="nil"/>
          <w:bottom w:val="nil"/>
          <w:right w:val="nil"/>
          <w:between w:val="nil"/>
          <w:bar w:val="nil"/>
        </w:pBdr>
        <w:spacing w:before="0" w:after="240"/>
        <w:rPr>
          <w:rFonts w:eastAsia="Arial Unicode MS"/>
          <w:noProof/>
        </w:rPr>
      </w:pPr>
      <w:r>
        <w:rPr>
          <w:noProof/>
        </w:rPr>
        <w:t>On asianmukaista, että syyskuussa 2021 pidettävässä seuraavassa POP RC:n kokouksessa komissio esittää unionin puolesta Tukholman yleissopimuksen sihteeristölle ehdotuksen klooripyrifossin sisällyttämisestä liitteeseen A. Ehdotusta tarkastellaan yleissopimuksessa esitettyjen kriteerien ja menettelyjen mukaisesti ennen kuin sopimuspuolten konferenssi tekee päätöksen.</w:t>
      </w:r>
    </w:p>
    <w:p>
      <w:pPr>
        <w:pStyle w:val="ManualHeading2"/>
        <w:rPr>
          <w:rFonts w:eastAsia="Arial Unicode MS"/>
          <w:noProof/>
          <w:color w:val="000000"/>
          <w:u w:color="000000"/>
          <w:bdr w:val="nil"/>
        </w:rPr>
      </w:pPr>
      <w:r>
        <w:rPr>
          <w:noProof/>
          <w:color w:val="000000"/>
          <w:u w:color="000000"/>
          <w:bdr w:val="nil"/>
        </w:rPr>
        <w:t>•</w:t>
      </w:r>
      <w:r>
        <w:rPr>
          <w:noProof/>
        </w:rPr>
        <w:tab/>
        <w:t>Yhdenmukaisuus muiden alaa koskevien politiikkojen säännösten kanssa</w:t>
      </w:r>
    </w:p>
    <w:p>
      <w:pPr>
        <w:pBdr>
          <w:top w:val="nil"/>
          <w:left w:val="nil"/>
          <w:bottom w:val="nil"/>
          <w:right w:val="nil"/>
          <w:between w:val="nil"/>
          <w:bar w:val="nil"/>
        </w:pBdr>
        <w:spacing w:before="0" w:after="240"/>
        <w:rPr>
          <w:rFonts w:eastAsia="Arial Unicode MS"/>
          <w:noProof/>
        </w:rPr>
      </w:pPr>
      <w:r>
        <w:rPr>
          <w:noProof/>
        </w:rPr>
        <w:t>Ehdotus on linjassa asetuksen (EY) N:o 2019/1021 kanssa, jolla pannaan täytäntöön Tukholman yleissopimus unionissa, ja täydentää sen täytäntöönpanoa. Se on täysin yhdenmukainen tavoitteen kanssa, jonka mukaan ihmisen terveyttä ja ympäristöä on suojeltava pysyviltä orgaanisilta yhdisteiltä.</w:t>
      </w:r>
    </w:p>
    <w:p>
      <w:pPr>
        <w:pStyle w:val="ManualHeading2"/>
        <w:rPr>
          <w:rFonts w:eastAsia="Arial Unicode MS"/>
          <w:noProof/>
        </w:rPr>
      </w:pPr>
      <w:r>
        <w:rPr>
          <w:noProof/>
          <w:color w:val="000000"/>
          <w:u w:color="000000"/>
          <w:bdr w:val="nil"/>
        </w:rPr>
        <w:t>•</w:t>
      </w:r>
      <w:r>
        <w:rPr>
          <w:noProof/>
        </w:rPr>
        <w:tab/>
        <w:t>Yhdenmukaisuus unionin muiden politiikkojen kanssa</w:t>
      </w:r>
    </w:p>
    <w:p>
      <w:pPr>
        <w:pBdr>
          <w:top w:val="nil"/>
          <w:left w:val="nil"/>
          <w:bottom w:val="nil"/>
          <w:right w:val="nil"/>
          <w:between w:val="nil"/>
          <w:bar w:val="nil"/>
        </w:pBdr>
        <w:spacing w:before="0" w:after="240"/>
        <w:rPr>
          <w:rFonts w:eastAsia="Arial Unicode MS"/>
          <w:noProof/>
        </w:rPr>
      </w:pPr>
      <w:r>
        <w:rPr>
          <w:noProof/>
        </w:rPr>
        <w:t>Ehdotus on yhdenmukainen asetuksen (EY) N:o 1107/2009 ja asetuksen (EU) N:o 528/2012 kanssa hitaasti hajoavien, biokertyvien ja myrkyllisten (PBT) aineiden osalta, koska molemmissa esitetään kriteerit, joiden perusteella PBT-aineiden markkinoille saattamista ja käyttöä ei periaatteessa sallita. Yhteisymmärrysasiakirjassa</w:t>
      </w:r>
      <w:r>
        <w:rPr>
          <w:rStyle w:val="FootnoteReference"/>
          <w:rFonts w:eastAsia="Arial Unicode MS"/>
          <w:noProof/>
        </w:rPr>
        <w:footnoteReference w:id="8"/>
      </w:r>
      <w:r>
        <w:rPr>
          <w:noProof/>
        </w:rPr>
        <w:t xml:space="preserve"> käsitellään Tukholman yleissopimuksen, asetuksen (EU) N:o 2019/1021 ja asetuksen (EY) N:o 1907/2006 välistä suhdetta rajoitusten ja lupavaatimusten osalta yhdenmukaisuuden varmistamiseksi.</w:t>
      </w:r>
    </w:p>
    <w:p>
      <w:pPr>
        <w:pStyle w:val="ManualHeading1"/>
        <w:rPr>
          <w:noProof/>
        </w:rPr>
      </w:pPr>
      <w:r>
        <w:rPr>
          <w:noProof/>
        </w:rPr>
        <w:lastRenderedPageBreak/>
        <w:t>2.</w:t>
      </w:r>
      <w:r>
        <w:rPr>
          <w:noProof/>
        </w:rPr>
        <w:tab/>
        <w:t>OIKEUSPERUSTA, TOISSIJAISUUSPERIAATE JA SUHTEELLISUUSPERIAATE</w:t>
      </w:r>
    </w:p>
    <w:p>
      <w:pPr>
        <w:pStyle w:val="ManualHeading2"/>
        <w:rPr>
          <w:rFonts w:eastAsia="Arial Unicode MS"/>
          <w:noProof/>
          <w:u w:color="000000"/>
          <w:bdr w:val="nil"/>
        </w:rPr>
      </w:pPr>
      <w:r>
        <w:rPr>
          <w:noProof/>
          <w:u w:color="000000"/>
          <w:bdr w:val="nil"/>
        </w:rPr>
        <w:t>•</w:t>
      </w:r>
      <w:r>
        <w:rPr>
          <w:noProof/>
        </w:rPr>
        <w:tab/>
      </w:r>
      <w:r>
        <w:rPr>
          <w:noProof/>
          <w:u w:color="000000"/>
          <w:bdr w:val="nil"/>
        </w:rPr>
        <w:t>Oikeusperusta</w:t>
      </w:r>
    </w:p>
    <w:p>
      <w:pPr>
        <w:pBdr>
          <w:top w:val="nil"/>
          <w:left w:val="nil"/>
          <w:bottom w:val="nil"/>
          <w:right w:val="nil"/>
          <w:between w:val="nil"/>
          <w:bar w:val="nil"/>
        </w:pBdr>
        <w:spacing w:before="0" w:after="240"/>
        <w:rPr>
          <w:noProof/>
        </w:rPr>
      </w:pPr>
      <w:r>
        <w:rPr>
          <w:noProof/>
        </w:rPr>
        <w:t>Ehdotetun neuvoston päätöksen menettelyllinen oikeusperusta on SEUT-sopimuksen 218 artiklan 9 kohta. Se on asianmukainen perusta säädökselle, jossa määritellään Euroopan unionin kanta kansainväliseen sopimukseen, tässä tapauksessa Tukholman yleissopimukseen.</w:t>
      </w:r>
    </w:p>
    <w:p>
      <w:pPr>
        <w:pBdr>
          <w:top w:val="nil"/>
          <w:left w:val="nil"/>
          <w:bottom w:val="nil"/>
          <w:right w:val="nil"/>
          <w:between w:val="nil"/>
          <w:bar w:val="nil"/>
        </w:pBdr>
        <w:spacing w:before="0" w:after="240"/>
        <w:rPr>
          <w:rFonts w:eastAsia="Arial Unicode MS"/>
          <w:noProof/>
        </w:rPr>
      </w:pPr>
      <w:r>
        <w:rPr>
          <w:noProof/>
        </w:rPr>
        <w:t>Aineellinen oikeusperusta on SEUT-sopimuksen 192 artiklan 1 kohta, kun otetaan huomioon, että Tukholman yleissopimuksen perusteella hyväksyttävillä toimenpiteillä pyritään ensisijaisesti ympäristöön liittyvään tavoitteeseen (eli lopettamaan pysyvien orgaanisten yhdisteiden käyttö).</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Toissijaisuusperiaate (jaetun toimivallan osalta) </w:t>
      </w:r>
    </w:p>
    <w:p>
      <w:pPr>
        <w:pBdr>
          <w:top w:val="nil"/>
          <w:left w:val="nil"/>
          <w:bottom w:val="nil"/>
          <w:right w:val="nil"/>
          <w:between w:val="nil"/>
          <w:bar w:val="nil"/>
        </w:pBdr>
        <w:spacing w:before="0" w:after="240"/>
        <w:rPr>
          <w:rFonts w:eastAsia="Arial Unicode MS"/>
          <w:noProof/>
        </w:rPr>
      </w:pPr>
      <w:r>
        <w:rPr>
          <w:noProof/>
        </w:rPr>
        <w:t>Pysyvät orgaaniset yhdisteet ovat huolenaihe kaikkialla maailmassa, ja Tukholman yleissopimus pannaan unionissa täytäntöön asetuksella (EU) N:o 2019/1021. Koska unioni on yleissopimuksen sopimuspuoli, on asianmukaista, että esityksen uudesta kemikaalista tekee unioni.</w:t>
      </w:r>
    </w:p>
    <w:p>
      <w:pPr>
        <w:pStyle w:val="ManualHeading2"/>
        <w:rPr>
          <w:rFonts w:eastAsia="Arial Unicode MS"/>
          <w:noProof/>
          <w:u w:color="000000"/>
          <w:bdr w:val="nil"/>
        </w:rPr>
      </w:pPr>
      <w:r>
        <w:rPr>
          <w:noProof/>
          <w:u w:color="000000"/>
          <w:bdr w:val="nil"/>
        </w:rPr>
        <w:t>•</w:t>
      </w:r>
      <w:r>
        <w:rPr>
          <w:noProof/>
        </w:rPr>
        <w:tab/>
      </w:r>
      <w:r>
        <w:rPr>
          <w:noProof/>
          <w:u w:color="000000"/>
          <w:bdr w:val="nil"/>
        </w:rPr>
        <w:t>Suhteellisuusperiaate</w:t>
      </w:r>
    </w:p>
    <w:p>
      <w:pPr>
        <w:pBdr>
          <w:top w:val="nil"/>
          <w:left w:val="nil"/>
          <w:bottom w:val="nil"/>
          <w:right w:val="nil"/>
          <w:between w:val="nil"/>
          <w:bar w:val="nil"/>
        </w:pBdr>
        <w:spacing w:before="0" w:after="240"/>
        <w:rPr>
          <w:rFonts w:eastAsia="Arial Unicode MS"/>
          <w:noProof/>
        </w:rPr>
      </w:pPr>
      <w:r>
        <w:rPr>
          <w:noProof/>
        </w:rPr>
        <w:t>Pysyvät orgaaniset yhdisteet ovat huolenaihe kaikkialla maailmassa, ja Tukholman yleissopimuksella pyritään lopettamaan näiden kemikaalien tuotanto ja käyttö. Tämän vuoksi on asianmukaista esittää tätä kemikaalia yleissopimukseen sen varmistamiseksi, että asianmukaisia toimia toteutetaan maailmanlaajuisesti.</w:t>
      </w:r>
    </w:p>
    <w:p>
      <w:pPr>
        <w:pStyle w:val="ManualHeading1"/>
        <w:rPr>
          <w:noProof/>
        </w:rPr>
      </w:pPr>
      <w:r>
        <w:rPr>
          <w:noProof/>
        </w:rPr>
        <w:t>3.</w:t>
      </w:r>
      <w:r>
        <w:rPr>
          <w:noProof/>
        </w:rPr>
        <w:tab/>
        <w:t>JÄLKIARVIOINTIEN, SIDOSRYHMIEN KUULEMISTEN JA VAIKUTUSTENARVIOINTIEN TULOKSET</w:t>
      </w:r>
    </w:p>
    <w:p>
      <w:pPr>
        <w:pStyle w:val="ManualHeading2"/>
        <w:rPr>
          <w:rFonts w:eastAsia="Arial Unicode MS"/>
          <w:noProof/>
          <w:u w:color="000000"/>
          <w:bdr w:val="nil"/>
        </w:rPr>
      </w:pPr>
      <w:r>
        <w:rPr>
          <w:noProof/>
          <w:u w:color="000000"/>
          <w:bdr w:val="nil"/>
        </w:rPr>
        <w:t>•</w:t>
      </w:r>
      <w:r>
        <w:rPr>
          <w:noProof/>
        </w:rPr>
        <w:tab/>
      </w:r>
      <w:r>
        <w:rPr>
          <w:noProof/>
          <w:u w:color="000000"/>
          <w:bdr w:val="nil"/>
        </w:rPr>
        <w:t>Sidosryhmien kuuleminen</w:t>
      </w:r>
    </w:p>
    <w:p>
      <w:pPr>
        <w:pBdr>
          <w:top w:val="nil"/>
          <w:left w:val="nil"/>
          <w:bottom w:val="nil"/>
          <w:right w:val="nil"/>
          <w:between w:val="nil"/>
          <w:bar w:val="nil"/>
        </w:pBdr>
        <w:spacing w:before="0" w:after="240"/>
        <w:rPr>
          <w:rFonts w:eastAsia="Arial Unicode MS"/>
          <w:noProof/>
        </w:rPr>
      </w:pPr>
      <w:r>
        <w:rPr>
          <w:noProof/>
        </w:rPr>
        <w:t>Ehdotuksesta keskusteltiin jäsenvaltioiden ja muiden sidosryhmien kanssa asetuksen (EU) N:o 2019/1021 soveltamisesta vastaavien toimivaltaisten viranomaisten 22. kokouksessa sekä kemikaaliviraston PBT-aineita käsittelevän asiantuntijaryhmän kokouksessa ja saadut kommentit otettiin huomioon.</w:t>
      </w:r>
    </w:p>
    <w:p>
      <w:pPr>
        <w:pStyle w:val="ManualHeading2"/>
        <w:rPr>
          <w:rFonts w:eastAsia="Arial Unicode MS"/>
          <w:noProof/>
          <w:u w:color="000000"/>
          <w:bdr w:val="nil"/>
        </w:rPr>
      </w:pPr>
      <w:r>
        <w:rPr>
          <w:noProof/>
          <w:u w:color="000000"/>
          <w:bdr w:val="nil"/>
        </w:rPr>
        <w:t>•</w:t>
      </w:r>
      <w:r>
        <w:rPr>
          <w:noProof/>
        </w:rPr>
        <w:tab/>
      </w:r>
      <w:r>
        <w:rPr>
          <w:noProof/>
          <w:u w:color="000000"/>
          <w:bdr w:val="nil"/>
        </w:rPr>
        <w:t>Vaikutustenarviointi</w:t>
      </w:r>
    </w:p>
    <w:p>
      <w:pPr>
        <w:pBdr>
          <w:top w:val="nil"/>
          <w:left w:val="nil"/>
          <w:bottom w:val="nil"/>
          <w:right w:val="nil"/>
          <w:between w:val="nil"/>
          <w:bar w:val="nil"/>
        </w:pBdr>
        <w:spacing w:before="0" w:after="240"/>
        <w:rPr>
          <w:rFonts w:eastAsia="Arial Unicode MS"/>
          <w:noProof/>
        </w:rPr>
      </w:pPr>
      <w:r>
        <w:rPr>
          <w:noProof/>
        </w:rPr>
        <w:t>Vaikutustenarviointia ei tehty. Kemikaalin sisällyttämisellä yleissopimukseen ei ole vaikutuksia, koska sitä ei ilmeisestikään käytetä EU:ssa. Jos POP RC toteaa, että kemikaali on pysyvä orgaaninen yhdiste, se tekee arvioinnin mahdollisten hallinnointitoimenpiteiden vaikutuksista ottaen huomioon sosioekonomiset tiedot.</w:t>
      </w:r>
    </w:p>
    <w:p>
      <w:pPr>
        <w:pStyle w:val="ManualHeading2"/>
        <w:rPr>
          <w:rFonts w:eastAsia="Arial Unicode MS"/>
          <w:noProof/>
          <w:u w:color="000000"/>
          <w:bdr w:val="nil"/>
        </w:rPr>
      </w:pPr>
      <w:r>
        <w:rPr>
          <w:noProof/>
          <w:u w:color="000000"/>
          <w:bdr w:val="nil"/>
        </w:rPr>
        <w:t>•</w:t>
      </w:r>
      <w:r>
        <w:rPr>
          <w:noProof/>
        </w:rPr>
        <w:tab/>
      </w:r>
      <w:r>
        <w:rPr>
          <w:noProof/>
          <w:u w:color="000000"/>
          <w:bdr w:val="nil"/>
        </w:rPr>
        <w:t>Sääntelyn toimivuus ja yksinkertaistaminen</w:t>
      </w:r>
    </w:p>
    <w:p>
      <w:pPr>
        <w:pBdr>
          <w:top w:val="nil"/>
          <w:left w:val="nil"/>
          <w:bottom w:val="nil"/>
          <w:right w:val="nil"/>
          <w:between w:val="nil"/>
          <w:bar w:val="nil"/>
        </w:pBdr>
        <w:spacing w:before="0" w:after="240"/>
        <w:rPr>
          <w:rFonts w:eastAsia="Arial Unicode MS"/>
          <w:noProof/>
        </w:rPr>
      </w:pPr>
      <w:r>
        <w:rPr>
          <w:noProof/>
        </w:rPr>
        <w:t>Ehdotuksella ei ole vaikutuksia kaupalliseen toimintaan, koska kyseinen kemikaali ei ole kaupallisessa käytössä unionissa, eikä siinä sen vuoksi suljeta mikroyrityksiä ehdotuksen soveltamisen ulkopuolelle eikä anneta erityisiä pk-yrityksiä koskevia sääntöjä. Ehdotuksella ei ole vaikutusta EU:n alakohtaiseen kilpailukykyyn eikä kauppaan, koska kyseisellä kemikaalilla ei käydä kauppaa unionin ja kolmansien maiden välillä.</w:t>
      </w:r>
    </w:p>
    <w:p>
      <w:pPr>
        <w:pStyle w:val="ManualHeading1"/>
        <w:rPr>
          <w:noProof/>
        </w:rPr>
      </w:pPr>
      <w:r>
        <w:rPr>
          <w:noProof/>
        </w:rPr>
        <w:t>4.</w:t>
      </w:r>
      <w:r>
        <w:rPr>
          <w:noProof/>
        </w:rPr>
        <w:tab/>
        <w:t>TALOUSARVIOVAIKUTUKSET</w:t>
      </w:r>
    </w:p>
    <w:p>
      <w:pPr>
        <w:pBdr>
          <w:top w:val="nil"/>
          <w:left w:val="nil"/>
          <w:bottom w:val="nil"/>
          <w:right w:val="nil"/>
          <w:between w:val="nil"/>
          <w:bar w:val="nil"/>
        </w:pBdr>
        <w:spacing w:before="0" w:after="240"/>
        <w:rPr>
          <w:rFonts w:eastAsia="Arial Unicode MS"/>
          <w:noProof/>
        </w:rPr>
      </w:pPr>
      <w:r>
        <w:rPr>
          <w:noProof/>
        </w:rPr>
        <w:t>Ehdotuksella ei ole talousarviovaikutuksia.</w:t>
      </w:r>
    </w:p>
    <w:p>
      <w:pPr>
        <w:pStyle w:val="ManualHeading1"/>
        <w:rPr>
          <w:noProof/>
        </w:rPr>
      </w:pPr>
      <w:r>
        <w:rPr>
          <w:noProof/>
        </w:rPr>
        <w:lastRenderedPageBreak/>
        <w:t>5.</w:t>
      </w:r>
      <w:r>
        <w:rPr>
          <w:noProof/>
        </w:rPr>
        <w:tab/>
        <w:t>LISÄTIEDOT</w:t>
      </w:r>
    </w:p>
    <w:p>
      <w:pPr>
        <w:pStyle w:val="ManualHeading2"/>
        <w:rPr>
          <w:rFonts w:eastAsia="Arial Unicode MS"/>
          <w:noProof/>
          <w:u w:color="000000"/>
          <w:bdr w:val="nil"/>
        </w:rPr>
      </w:pPr>
      <w:r>
        <w:rPr>
          <w:noProof/>
          <w:u w:color="000000"/>
          <w:bdr w:val="nil"/>
        </w:rPr>
        <w:t>•</w:t>
      </w:r>
      <w:r>
        <w:rPr>
          <w:noProof/>
        </w:rPr>
        <w:tab/>
      </w:r>
      <w:r>
        <w:rPr>
          <w:noProof/>
          <w:u w:color="000000"/>
          <w:bdr w:val="nil"/>
        </w:rPr>
        <w:t>Toteuttamissuunnitelmat, seuranta, arviointi ja raportointijärjestelyt</w:t>
      </w:r>
    </w:p>
    <w:p>
      <w:pPr>
        <w:pBdr>
          <w:top w:val="nil"/>
          <w:left w:val="nil"/>
          <w:bottom w:val="nil"/>
          <w:right w:val="nil"/>
          <w:between w:val="nil"/>
          <w:bar w:val="nil"/>
        </w:pBdr>
        <w:spacing w:before="0" w:after="240"/>
        <w:rPr>
          <w:rFonts w:eastAsia="Arial Unicode MS"/>
          <w:noProof/>
        </w:rPr>
      </w:pPr>
      <w:r>
        <w:rPr>
          <w:noProof/>
        </w:rPr>
        <w:t>Toteuttamissuunnitelmaa, seurantaa, arviointia ja raportointia ei ole katsottu tarpeellisiksi.</w:t>
      </w:r>
    </w:p>
    <w:p>
      <w:pPr>
        <w:pStyle w:val="ManualHeading2"/>
        <w:rPr>
          <w:rFonts w:eastAsia="Arial Unicode MS"/>
          <w:noProof/>
          <w:u w:color="000000"/>
          <w:bdr w:val="nil"/>
        </w:rPr>
      </w:pPr>
      <w:r>
        <w:rPr>
          <w:noProof/>
          <w:u w:color="000000"/>
          <w:bdr w:val="nil"/>
        </w:rPr>
        <w:t>•</w:t>
      </w:r>
      <w:r>
        <w:rPr>
          <w:noProof/>
        </w:rPr>
        <w:tab/>
      </w:r>
      <w:r>
        <w:rPr>
          <w:noProof/>
          <w:u w:color="000000"/>
          <w:bdr w:val="nil"/>
        </w:rPr>
        <w:t>Ehdotukseen sisältyvien säännösten yksityiskohtaiset selitykset</w:t>
      </w:r>
    </w:p>
    <w:p>
      <w:pPr>
        <w:pBdr>
          <w:top w:val="nil"/>
          <w:left w:val="nil"/>
          <w:bottom w:val="nil"/>
          <w:right w:val="nil"/>
          <w:between w:val="nil"/>
          <w:bar w:val="nil"/>
        </w:pBdr>
        <w:spacing w:before="0" w:after="240"/>
        <w:rPr>
          <w:rFonts w:eastAsia="Arial Unicode MS"/>
          <w:noProof/>
        </w:rPr>
      </w:pPr>
      <w:r>
        <w:rPr>
          <w:noProof/>
        </w:rPr>
        <w:t>Ehdotuksella annetaan komissiolle valtuudet esittää Euroopan unionin puolesta klooripyrifossin sisällyttämistä Tukholman yleissopimukseen.</w:t>
      </w:r>
    </w:p>
    <w:p>
      <w:pPr>
        <w:rPr>
          <w:noProof/>
        </w:rPr>
        <w:sectPr>
          <w:footerReference w:type="default" r:id="rId11"/>
          <w:footerReference w:type="first" r:id="rId12"/>
          <w:pgSz w:w="11907" w:h="16839"/>
          <w:pgMar w:top="1134" w:right="1417" w:bottom="1134" w:left="1417" w:header="709" w:footer="709" w:gutter="0"/>
          <w:pgNumType w:start="1"/>
          <w:cols w:space="708"/>
          <w:docGrid w:linePitch="360"/>
        </w:sectPr>
      </w:pPr>
    </w:p>
    <w:p>
      <w:pPr>
        <w:pStyle w:val="Rfrenceinterinstitutionnelle"/>
        <w:rPr>
          <w:noProof/>
        </w:rPr>
      </w:pPr>
      <w:r>
        <w:rPr>
          <w:noProof/>
        </w:rPr>
        <w:lastRenderedPageBreak/>
        <w:t>2021/0026 (NLE)</w:t>
      </w:r>
    </w:p>
    <w:p>
      <w:pPr>
        <w:pStyle w:val="Statut"/>
        <w:rPr>
          <w:noProof/>
        </w:rPr>
      </w:pPr>
      <w:r>
        <w:rPr>
          <w:noProof/>
        </w:rPr>
        <w:t>Ehdotus</w:t>
      </w:r>
    </w:p>
    <w:p>
      <w:pPr>
        <w:pStyle w:val="Typedudocument"/>
        <w:rPr>
          <w:noProof/>
        </w:rPr>
      </w:pPr>
      <w:r>
        <w:rPr>
          <w:noProof/>
        </w:rPr>
        <w:t>NEUVOSTON PÄÄTÖS</w:t>
      </w:r>
    </w:p>
    <w:p>
      <w:pPr>
        <w:pStyle w:val="Titreobjet"/>
        <w:rPr>
          <w:noProof/>
        </w:rPr>
      </w:pPr>
      <w:r>
        <w:rPr>
          <w:noProof/>
        </w:rPr>
        <w:t>Euroopan unionin puolesta tehtävästä ehdotuksesta klooripyrifossin lisäämiseksi pysyviä orgaanisia yhdisteitä koskevan Tukholman yleissopimuksen liitteeseen A</w:t>
      </w:r>
    </w:p>
    <w:p>
      <w:pPr>
        <w:pStyle w:val="Institutionquiagit"/>
        <w:rPr>
          <w:noProof/>
        </w:rPr>
      </w:pPr>
      <w:r>
        <w:rPr>
          <w:noProof/>
        </w:rPr>
        <w:t>EUROOPAN UNIONIN NEUVOSTO, joka</w:t>
      </w:r>
    </w:p>
    <w:p>
      <w:pPr>
        <w:rPr>
          <w:noProof/>
        </w:rPr>
      </w:pPr>
      <w:r>
        <w:rPr>
          <w:noProof/>
        </w:rPr>
        <w:t>ottaa huomioon Euroopan unionin toiminnasta tehdyn sopimuksen ja erityisesti sen 192 artiklan 1 kohdan yhdessä sen 218 artiklan 9 kohdan kanssa,</w:t>
      </w:r>
    </w:p>
    <w:p>
      <w:pPr>
        <w:rPr>
          <w:noProof/>
        </w:rPr>
      </w:pPr>
      <w:r>
        <w:rPr>
          <w:noProof/>
        </w:rPr>
        <w:t xml:space="preserve">ottaa huomioon Euroopan komission ehdotuksen, </w:t>
      </w:r>
    </w:p>
    <w:p>
      <w:pPr>
        <w:rPr>
          <w:noProof/>
        </w:rPr>
      </w:pPr>
      <w:r>
        <w:rPr>
          <w:noProof/>
        </w:rPr>
        <w:t>sekä katsoo seuraavaa:</w:t>
      </w:r>
    </w:p>
    <w:p>
      <w:pPr>
        <w:pStyle w:val="ManualConsidrant"/>
        <w:rPr>
          <w:noProof/>
        </w:rPr>
      </w:pPr>
      <w:r>
        <w:t>(1)</w:t>
      </w:r>
      <w:r>
        <w:tab/>
      </w:r>
      <w:r>
        <w:rPr>
          <w:noProof/>
        </w:rPr>
        <w:t>Euroopan yhteisö hyväksyi 14 päivänä lokakuuta 2004 pysyviä orgaanisia yhdisteitä koskevan Tukholman yleissopimuksen, jäljempänä ’yleissopimus’, neuvoston päätöksellä 2006/507/EY</w:t>
      </w:r>
      <w:r>
        <w:rPr>
          <w:rStyle w:val="FootnoteReference"/>
          <w:noProof/>
        </w:rPr>
        <w:footnoteReference w:id="9"/>
      </w:r>
      <w:r>
        <w:rPr>
          <w:noProof/>
        </w:rPr>
        <w:t>.</w:t>
      </w:r>
    </w:p>
    <w:p>
      <w:pPr>
        <w:pStyle w:val="ManualConsidrant"/>
        <w:rPr>
          <w:noProof/>
        </w:rPr>
      </w:pPr>
      <w:r>
        <w:t>(2)</w:t>
      </w:r>
      <w:r>
        <w:tab/>
      </w:r>
      <w:r>
        <w:rPr>
          <w:noProof/>
        </w:rPr>
        <w:t xml:space="preserve">Yleissopimuksen sopimuspuolena unioni voi tehdä ehdotuksia yleissopimuksen liitteiden muuttamiseksi. Yleissopimuksen liitteessä A luetellaan pysyviä orgaanisia yhdisteitä, joiden tuotanto ja käyttö on lopetettava. </w:t>
      </w:r>
    </w:p>
    <w:p>
      <w:pPr>
        <w:pStyle w:val="ManualConsidrant"/>
        <w:rPr>
          <w:noProof/>
        </w:rPr>
      </w:pPr>
      <w:r>
        <w:t>(3)</w:t>
      </w:r>
      <w:r>
        <w:tab/>
      </w:r>
      <w:r>
        <w:rPr>
          <w:noProof/>
        </w:rPr>
        <w:t xml:space="preserve">Saatavilla olevien tutkimustulosten ja arviointiraporttien sekä yleissopimuksen liitteessä D vahvistettujen valintakriteereiden perusteella klooripyrifossilla on pysyvien orgaanisten yhdisteiden ominaisuuksia. </w:t>
      </w:r>
    </w:p>
    <w:p>
      <w:pPr>
        <w:pStyle w:val="ManualConsidrant"/>
        <w:rPr>
          <w:noProof/>
        </w:rPr>
      </w:pPr>
      <w:r>
        <w:t>(4)</w:t>
      </w:r>
      <w:r>
        <w:tab/>
      </w:r>
      <w:r>
        <w:rPr>
          <w:noProof/>
        </w:rPr>
        <w:t>Klooripyrifossia ei ole hyväksytty tehoaineeksi Euroopan parlamentin ja neuvoston asetuksen (EY) N:o 1107/2009</w:t>
      </w:r>
      <w:r>
        <w:rPr>
          <w:rStyle w:val="FootnoteReference"/>
          <w:noProof/>
        </w:rPr>
        <w:footnoteReference w:id="10"/>
      </w:r>
      <w:r>
        <w:rPr>
          <w:noProof/>
        </w:rPr>
        <w:t xml:space="preserve"> nojalla eikä sitä sen vuoksi voida unionissa saattaa markkinoille eikä käyttää kasvinsuojeluaineissa. Klooripyrifossia ei ole hyväksytty tehoaineeksi myöskään Euroopan parlamentin ja neuvoston asetuksen (EU) N:o 528/2012</w:t>
      </w:r>
      <w:r>
        <w:rPr>
          <w:rStyle w:val="FootnoteReference"/>
          <w:noProof/>
        </w:rPr>
        <w:footnoteReference w:id="11"/>
      </w:r>
      <w:r>
        <w:rPr>
          <w:noProof/>
        </w:rPr>
        <w:t xml:space="preserve"> nojalla eikä sitä sen vuoksi voida unionissa saattaa markkinoille eikä käyttää biosidivalmisteissa. Klooripyrifossia ei myöskään ole rekisteröity Euroopan parlamentin ja neuvoston asetuksen (EY) N:o 1907/2006</w:t>
      </w:r>
      <w:r>
        <w:rPr>
          <w:rStyle w:val="FootnoteReference"/>
          <w:noProof/>
          <w:lang w:eastAsia="en-GB"/>
        </w:rPr>
        <w:footnoteReference w:id="12"/>
      </w:r>
      <w:r>
        <w:rPr>
          <w:noProof/>
        </w:rPr>
        <w:t xml:space="preserve"> mukaisesti eikä sitä näin ollen saa valmistaa eikä saattaa markkinoille unionissa määrinä, jotka ovat yksi tonni tai enemmän valmistajaa tai maahantuojaa kohti vuodessa.</w:t>
      </w:r>
    </w:p>
    <w:p>
      <w:pPr>
        <w:pStyle w:val="ManualConsidrant"/>
        <w:rPr>
          <w:noProof/>
        </w:rPr>
      </w:pPr>
      <w:r>
        <w:lastRenderedPageBreak/>
        <w:t>(5)</w:t>
      </w:r>
      <w:r>
        <w:tab/>
      </w:r>
      <w:r>
        <w:rPr>
          <w:noProof/>
        </w:rPr>
        <w:t>Vaikka klooripyrifossin käyttö on lopetettu unionissa, vaikuttaa siltä, että sitä voidaan edelleen käyttää torjunta-aineena ja levittää ympäristöön unionin ulkopuolella. Koska klooripyrifossi voi kulkeutua ympäristössä kauas, kansallisella tai unionin tasolla toteutetut toimenpiteet eivät riitä turvaamaan ympäristön ja ihmisten terveyden suojelun korkeaa tasoa, vaan tämä edellyttää laajempia kansainvälisiä toimia.</w:t>
      </w:r>
    </w:p>
    <w:p>
      <w:pPr>
        <w:pStyle w:val="ManualConsidrant"/>
        <w:rPr>
          <w:noProof/>
        </w:rPr>
      </w:pPr>
      <w:r>
        <w:t>(6)</w:t>
      </w:r>
      <w:r>
        <w:tab/>
      </w:r>
      <w:r>
        <w:rPr>
          <w:noProof/>
        </w:rPr>
        <w:t>Unionin olisi sen vuoksi tehtävä yleissopimuksen sihteeristölle ehdotus klooripyrifossin sisällyttämiseksi yleissopimuksen liitteeseen A,</w:t>
      </w:r>
    </w:p>
    <w:p>
      <w:pPr>
        <w:pStyle w:val="Formuledadoption"/>
        <w:rPr>
          <w:noProof/>
        </w:rPr>
      </w:pPr>
      <w:r>
        <w:rPr>
          <w:noProof/>
        </w:rPr>
        <w:t xml:space="preserve">ON HYVÄKSYNYT TÄMÄN PÄÄTÖKSEN: </w:t>
      </w:r>
    </w:p>
    <w:p>
      <w:pPr>
        <w:pStyle w:val="Titrearticle"/>
        <w:rPr>
          <w:noProof/>
        </w:rPr>
      </w:pPr>
      <w:r>
        <w:rPr>
          <w:noProof/>
        </w:rPr>
        <w:t>1 artikla</w:t>
      </w:r>
    </w:p>
    <w:p>
      <w:pPr>
        <w:outlineLvl w:val="0"/>
        <w:rPr>
          <w:rFonts w:eastAsia="Calibri"/>
          <w:noProof/>
          <w:szCs w:val="24"/>
        </w:rPr>
      </w:pPr>
      <w:r>
        <w:rPr>
          <w:noProof/>
        </w:rPr>
        <w:t>Unioni tekee ehdotuksen klooripyrifossin (CAS-numero: 2921-88-2, EY-numero 220-864-4) sisällyttämiseksi pysyviä orgaanisia yhdisteitä koskevan Tukholman yleissopimuksen, jäljempänä ’yleissopimus’, liitteeseen A.</w:t>
      </w:r>
    </w:p>
    <w:p>
      <w:pPr>
        <w:outlineLvl w:val="0"/>
        <w:rPr>
          <w:rFonts w:eastAsia="Calibri"/>
          <w:noProof/>
          <w:szCs w:val="24"/>
        </w:rPr>
      </w:pPr>
      <w:r>
        <w:rPr>
          <w:noProof/>
        </w:rPr>
        <w:t>Komissio toimittaa ehdotuksen ja kaikki yleissopimuksen liitteessä D edellytetyt tiedot unionin puolesta yleissopimuksen sihteeristölle.</w:t>
      </w:r>
    </w:p>
    <w:p>
      <w:pPr>
        <w:pStyle w:val="Titrearticle"/>
        <w:keepNext w:val="0"/>
        <w:rPr>
          <w:noProof/>
        </w:rPr>
      </w:pPr>
      <w:r>
        <w:rPr>
          <w:noProof/>
        </w:rPr>
        <w:t>2 artikla</w:t>
      </w:r>
    </w:p>
    <w:p>
      <w:pPr>
        <w:rPr>
          <w:noProof/>
          <w:color w:val="000000"/>
        </w:rPr>
      </w:pPr>
      <w:r>
        <w:rPr>
          <w:noProof/>
          <w:color w:val="000000"/>
        </w:rPr>
        <w:t>Tämä päätös on osoitettu komissiolle.</w:t>
      </w:r>
    </w:p>
    <w:p>
      <w:pPr>
        <w:outlineLvl w:val="0"/>
        <w:rPr>
          <w:noProof/>
        </w:rPr>
      </w:pPr>
    </w:p>
    <w:p>
      <w:pPr>
        <w:pStyle w:val="Fait"/>
        <w:rPr>
          <w:noProof/>
        </w:rPr>
      </w:pPr>
      <w:r>
        <w:t>Tehty Brysselissä</w:t>
      </w:r>
    </w:p>
    <w:p>
      <w:pPr>
        <w:pStyle w:val="Institutionquisigne"/>
        <w:rPr>
          <w:noProof/>
        </w:rPr>
      </w:pPr>
      <w:r>
        <w:rPr>
          <w:noProof/>
        </w:rPr>
        <w:tab/>
        <w:t>Neuvoston puolesta</w:t>
      </w:r>
    </w:p>
    <w:p>
      <w:pPr>
        <w:pStyle w:val="Personnequisigne"/>
        <w:rPr>
          <w:noProof/>
        </w:rPr>
      </w:pPr>
      <w:r>
        <w:rPr>
          <w:noProof/>
        </w:rPr>
        <w:tab/>
        <w:t>Puheenjohtaja</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tab/>
    </w:r>
    <w:r>
      <w:rPr>
        <w:rFonts w:ascii="Arial" w:hAnsi="Arial" w:cs="Arial"/>
        <w:b/>
        <w:sz w:val="48"/>
      </w:rPr>
      <w:t>FI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FI</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Neuvoston päätös, tehty 14 päivänä lokakuuta 2004, pysyviä orgaanisia yhdisteitä koskevan Tukholman yleissopimuksen hyväksymisestä Euroopan yhteisön puolesta (EUVL L 209, 31.7.2006, s. 1).</w:t>
      </w:r>
    </w:p>
  </w:footnote>
  <w:footnote w:id="3">
    <w:p>
      <w:pPr>
        <w:pStyle w:val="FootnoteText"/>
      </w:pPr>
      <w:r>
        <w:rPr>
          <w:rStyle w:val="FootnoteReference"/>
        </w:rPr>
        <w:footnoteRef/>
      </w:r>
      <w:r>
        <w:tab/>
        <w:t>Neuvoston päätös 2004/259/EY, tehty 19 päivänä helmikuuta 2004, valtiosta toiseen tapahtuvaa ilman epäpuhtauksien kaukokulkeutumista koskevaan vuoden 1979 yleissopimukseen liittyvän pysyviä orgaanisia yhdisteitä koskevan pöytäkirjan hyväksymisestä Euroopan yhteisön puolesta (EUVL L 81, 19.2.2004, s. 35).</w:t>
      </w:r>
    </w:p>
  </w:footnote>
  <w:footnote w:id="4">
    <w:p>
      <w:pPr>
        <w:pStyle w:val="FootnoteText"/>
      </w:pPr>
      <w:r>
        <w:rPr>
          <w:rStyle w:val="FootnoteReference"/>
        </w:rPr>
        <w:footnoteRef/>
      </w:r>
      <w:r>
        <w:tab/>
        <w:t>Euroopan parlamentin ja neuvoston asetus (EU) 2019/1021, annettu 20 päivänä kesäkuuta 2019, pysyvistä orgaanisista yhdisteistä (EUVL L 169, 25.6.2019, s. 45).</w:t>
      </w:r>
    </w:p>
  </w:footnote>
  <w:footnote w:id="5">
    <w:p>
      <w:pPr>
        <w:pStyle w:val="FootnoteText"/>
      </w:pPr>
      <w:r>
        <w:rPr>
          <w:rStyle w:val="FootnoteReference"/>
        </w:rPr>
        <w:footnoteRef/>
      </w:r>
      <w:r>
        <w:tab/>
        <w:t>Euroopan parlamentin ja neuvoston asetus (EY) N:o 1107/2009, annettu 21 päivänä lokakuuta 2009, kasvinsuojeluaineiden markkinoille saattamisesta sekä neuvoston direktiivien 79/117/ETY ja 91/414/ETY kumoamisesta (EUVL L 309, 24.11.2009, s. 1).</w:t>
      </w:r>
    </w:p>
  </w:footnote>
  <w:footnote w:id="6">
    <w:p>
      <w:pPr>
        <w:pStyle w:val="FootnoteText"/>
      </w:pPr>
      <w:r>
        <w:rPr>
          <w:rStyle w:val="FootnoteReference"/>
        </w:rPr>
        <w:footnoteRef/>
      </w:r>
      <w:r>
        <w:tab/>
        <w:t>Euroopan parlamentin ja neuvoston asetus (EU) N:o 528/2012, annettu 22 päivänä toukokuuta 2012, biosidivalmisteiden asettamisesta saataville markkinoilla ja niiden käytöstä (EUVL L 167, 27.6.2012, s. 1).</w:t>
      </w:r>
    </w:p>
  </w:footnote>
  <w:footnote w:id="7">
    <w:p>
      <w:pPr>
        <w:pStyle w:val="FootnoteText"/>
      </w:pPr>
      <w:r>
        <w:rPr>
          <w:rStyle w:val="FootnoteReference"/>
        </w:rPr>
        <w:footnoteRef/>
      </w:r>
      <w:r>
        <w:tab/>
        <w:t>Euroopan parlamentin ja neuvoston asetus (EY) N:o 1907/2006, annettu 18 päivänä joulukuuta 2006, kemikaalien rekisteröinnistä, arvioinnista, lupamenettelyistä ja rajoituksista (REACH), Euroopan kemikaaliviraston perustamisesta, direktiivin 1999/45/EY muuttamisesta sekä neuvoston asetuksen (ETY) N:o 793/93, komission asetuksen (EY) N:o 1488/94, neuvoston direktiivin 76/769/ETY ja komission direktiivien 91/155/ETY, 93/67/ETY, 93/105/EY ja 2000/21/EY kumoamisesta (EUVL L 396, 30.12.2006, s. 1).</w:t>
      </w:r>
    </w:p>
  </w:footnote>
  <w:footnote w:id="8">
    <w:p>
      <w:pPr>
        <w:pStyle w:val="FootnoteText"/>
      </w:pPr>
      <w:r>
        <w:rPr>
          <w:rStyle w:val="FootnoteReference"/>
        </w:rPr>
        <w:footnoteRef/>
      </w:r>
      <w:r>
        <w:tab/>
      </w:r>
      <w:hyperlink r:id="rId1" w:history="1">
        <w:r>
          <w:rPr>
            <w:rStyle w:val="Hyperlink"/>
          </w:rPr>
          <w:t>http://ec.europa.eu/growth/sectors/chemicals/reach/special-cases_en</w:t>
        </w:r>
      </w:hyperlink>
      <w:r>
        <w:t xml:space="preserve"> </w:t>
      </w:r>
    </w:p>
  </w:footnote>
  <w:footnote w:id="9">
    <w:p>
      <w:pPr>
        <w:pStyle w:val="FootnoteText"/>
      </w:pPr>
      <w:r>
        <w:rPr>
          <w:rStyle w:val="FootnoteReference"/>
        </w:rPr>
        <w:footnoteRef/>
      </w:r>
      <w:r>
        <w:tab/>
        <w:t>Neuvoston päätös, tehty 14 päivänä lokakuuta 2004, pysyviä orgaanisia yhdisteitä koskevan Tukholman yleissopimuksen hyväksymisestä Euroopan yhteisön puolesta (EUVL L 209, 31.7.2006, s. 1).</w:t>
      </w:r>
    </w:p>
  </w:footnote>
  <w:footnote w:id="10">
    <w:p>
      <w:pPr>
        <w:pStyle w:val="FootnoteText"/>
      </w:pPr>
      <w:r>
        <w:rPr>
          <w:rStyle w:val="FootnoteReference"/>
        </w:rPr>
        <w:footnoteRef/>
      </w:r>
      <w:r>
        <w:tab/>
        <w:t>Euroopan parlamentin ja neuvoston asetus (EY) N:o 1107/2009, annettu 21 päivänä lokakuuta 2009, kasvinsuojeluaineiden markkinoille saattamisesta sekä neuvoston direktiivien 79/117/ETY ja 91/414/ETY kumoamisesta (EUVL L 309, 24.11.2009, s. 1).</w:t>
      </w:r>
    </w:p>
  </w:footnote>
  <w:footnote w:id="11">
    <w:p>
      <w:pPr>
        <w:pStyle w:val="FootnoteText"/>
      </w:pPr>
      <w:r>
        <w:rPr>
          <w:rStyle w:val="FootnoteReference"/>
        </w:rPr>
        <w:footnoteRef/>
      </w:r>
      <w:r>
        <w:tab/>
        <w:t>Euroopan parlamentin ja neuvoston asetus (EU) N:o 528/2012, annettu 22 päivänä toukokuuta 2012, biosidivalmisteiden asettamisesta saataville markkinoilla ja niiden käytöstä (EUVL L 167, 27.6.2012, s. 1).</w:t>
      </w:r>
    </w:p>
  </w:footnote>
  <w:footnote w:id="12">
    <w:p>
      <w:pPr>
        <w:pStyle w:val="FootnoteText"/>
      </w:pPr>
      <w:r>
        <w:rPr>
          <w:rStyle w:val="FootnoteReference"/>
        </w:rPr>
        <w:footnoteRef/>
      </w:r>
      <w:r>
        <w:tab/>
        <w:t>Euroopan parlamentin ja neuvoston asetus (EY) N:o 1907/2006, annettu 18 päivänä joulukuuta 2006, kemikaalien rekisteröinnistä, arvioinnista, lupamenettelyistä ja rajoituksista (REACH), Euroopan kemikaaliviraston perustamisesta, direktiivin 1999/45/EY muuttamisesta sekä neuvoston asetuksen (ETY) N:o 793/93, komission asetuksen (EY) N:o 1488/94, neuvoston direktiivin 76/769/ETY ja komission direktiivien 91/155/ETY, 93/67/ETY, 93/105/EY ja 2000/21/EY kumoamisesta (EUVL L 396, 30.12.2006, s.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A163BF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C7AC4A6"/>
    <w:lvl w:ilvl="0">
      <w:start w:val="1"/>
      <w:numFmt w:val="decimal"/>
      <w:pStyle w:val="ListNumber3"/>
      <w:lvlText w:val="%1."/>
      <w:lvlJc w:val="left"/>
      <w:pPr>
        <w:tabs>
          <w:tab w:val="num" w:pos="926"/>
        </w:tabs>
        <w:ind w:left="926" w:hanging="360"/>
      </w:pPr>
    </w:lvl>
  </w:abstractNum>
  <w:abstractNum w:abstractNumId="2">
    <w:nsid w:val="FFFFFF7F"/>
    <w:multiLevelType w:val="singleLevel"/>
    <w:tmpl w:val="81A04C96"/>
    <w:lvl w:ilvl="0">
      <w:start w:val="1"/>
      <w:numFmt w:val="decimal"/>
      <w:pStyle w:val="ListNumber2"/>
      <w:lvlText w:val="%1."/>
      <w:lvlJc w:val="left"/>
      <w:pPr>
        <w:tabs>
          <w:tab w:val="num" w:pos="643"/>
        </w:tabs>
        <w:ind w:left="643" w:hanging="360"/>
      </w:pPr>
    </w:lvl>
  </w:abstractNum>
  <w:abstractNum w:abstractNumId="3">
    <w:nsid w:val="FFFFFF81"/>
    <w:multiLevelType w:val="singleLevel"/>
    <w:tmpl w:val="B396256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24E142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62247BF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0A85850"/>
    <w:lvl w:ilvl="0">
      <w:start w:val="1"/>
      <w:numFmt w:val="decimal"/>
      <w:pStyle w:val="ListNumber"/>
      <w:lvlText w:val="%1."/>
      <w:lvlJc w:val="left"/>
      <w:pPr>
        <w:tabs>
          <w:tab w:val="num" w:pos="360"/>
        </w:tabs>
        <w:ind w:left="360" w:hanging="360"/>
      </w:pPr>
    </w:lvl>
  </w:abstractNum>
  <w:abstractNum w:abstractNumId="7">
    <w:nsid w:val="FFFFFF89"/>
    <w:multiLevelType w:val="singleLevel"/>
    <w:tmpl w:val="C8E6A67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attachedTemplate r:id="rId1"/>
  <w:revisionView w:markup="0"/>
  <w:defaultTabStop w:val="720"/>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1-02-01 09:19:18"/>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3"/>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45C1B6E3-8FEB-4802-ADC2-D92365E0406B"/>
    <w:docVar w:name="LW_COVERPAGE_TYPE" w:val="1"/>
    <w:docVar w:name="LW_CROSSREFERENCE" w:val="&lt;UNUSED&gt;"/>
    <w:docVar w:name="LW_DocType" w:val="COM"/>
    <w:docVar w:name="LW_EMISSION" w:val="9.2.2021"/>
    <w:docVar w:name="LW_EMISSION_ISODATE" w:val="2021-02-09"/>
    <w:docVar w:name="LW_EMISSION_LOCATION" w:val="BRX"/>
    <w:docVar w:name="LW_EMISSION_PREFIX" w:val="Bryssel "/>
    <w:docVar w:name="LW_EMISSION_SUFFIX" w:val=" "/>
    <w:docVar w:name="LW_ID_DOCMODEL" w:val="SJ-019"/>
    <w:docVar w:name="LW_ID_DOCSIGNATURE" w:val="SJ-019"/>
    <w:docVar w:name="LW_ID_DOCSTRUCTURE" w:val="COM/PL/ORG"/>
    <w:docVar w:name="LW_ID_DOCTYPE" w:val="SJ-019"/>
    <w:docVar w:name="LW_ID_STATUT" w:val="SJ-019"/>
    <w:docVar w:name="LW_INTERETEEE.CP" w:val="&lt;UNUSED&gt;"/>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NLE"/>
    <w:docVar w:name="LW_REF.II.NEW.CP_NUMBER" w:val="0026"/>
    <w:docVar w:name="LW_REF.II.NEW.CP_YEAR" w:val="2021"/>
    <w:docVar w:name="LW_REF.INST.NEW" w:val="COM"/>
    <w:docVar w:name="LW_REF.INST.NEW_ADOPTED" w:val="final"/>
    <w:docVar w:name="LW_REF.INST.NEW_TEXT" w:val="(2021) 4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OUS.TITRE.OBJ.CP" w:val="&lt;UNUSED&gt;"/>
    <w:docVar w:name="LW_STATUT.CP" w:val="Ehdotus"/>
    <w:docVar w:name="LW_SUPERTITRE" w:val="&lt;UNUSED&gt;"/>
    <w:docVar w:name="LW_TITRE.OBJ.CP" w:val="Euroopan unionin puolesta tehtävästä ehdotuksesta klooripyrifossin lisäämiseksi pysyviä orgaanisia yhdisteitä koskevan Tukholman yleissopimuksen liitteeseen A"/>
    <w:docVar w:name="LW_TYPE.DOC.CP" w:val="NEUVOSTON PÄÄTÖS"/>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styleId="Hyperlink">
    <w:name w:val="Hyperlink"/>
    <w:rPr>
      <w:color w:val="0000FF"/>
      <w:u w:val="singl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i-FI"/>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i-F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i-FI"/>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character" w:styleId="Hyperlink">
    <w:name w:val="Hyperlink"/>
    <w:rPr>
      <w:color w:val="0000FF"/>
      <w:u w:val="single"/>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i-FI"/>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i-F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i-FI"/>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i-FI"/>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i-F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6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growth/sectors/chemicals/reach/special-cases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5A64A3D-EBCA-4CEC-AE8E-D9F5D0639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7</Pages>
  <Words>1179</Words>
  <Characters>9835</Characters>
  <Application>Microsoft Office Word</Application>
  <DocSecurity>0</DocSecurity>
  <Lines>166</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19</cp:revision>
  <cp:lastPrinted>2018-04-16T08:53:00Z</cp:lastPrinted>
  <dcterms:created xsi:type="dcterms:W3CDTF">2021-01-05T09:52:00Z</dcterms:created>
  <dcterms:modified xsi:type="dcterms:W3CDTF">2021-02-01T08:19:00Z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5.84.2.0</vt:lpwstr>
  </property>
  <property fmtid="{D5CDD505-2E9C-101B-9397-08002B2CF9AE}" pid="4" name="Last edited using">
    <vt:lpwstr>LW 7.0.1, Build 20190916</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SJ-019</vt:lpwstr>
  </property>
  <property fmtid="{D5CDD505-2E9C-101B-9397-08002B2CF9AE}" pid="9" name="Level of sensitivity">
    <vt:lpwstr>Standard treatment</vt:lpwstr>
  </property>
  <property fmtid="{D5CDD505-2E9C-101B-9397-08002B2CF9AE}" pid="10" name="DQCStatus">
    <vt:lpwstr>Green (DQC version 03)</vt:lpwstr>
  </property>
  <property name="OP_sanitized" fmtid="{D5CDD505-2E9C-101B-9397-08002B2CF9AE}" pid="11">
    <vt:lpwstr>True</vt:lpwstr>
  </property>
</Properties>
</file>