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B8E9AB06-9885-44B5-BD34-555703A423C5" style="width:450pt;height:366.5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PERUSTELUT</w:t>
      </w:r>
    </w:p>
    <w:p>
      <w:pPr>
        <w:pStyle w:val="ManualHeading1"/>
        <w:rPr>
          <w:noProof/>
        </w:rPr>
      </w:pPr>
      <w:r>
        <w:rPr>
          <w:noProof/>
        </w:rPr>
        <w:t>EHDOTUKSEN TAUSTA</w:t>
      </w:r>
    </w:p>
    <w:p>
      <w:pPr>
        <w:pStyle w:val="ManualHeading2"/>
        <w:rPr>
          <w:noProof/>
        </w:rPr>
      </w:pPr>
      <w:r>
        <w:rPr>
          <w:noProof/>
        </w:rPr>
        <w:t>•</w:t>
      </w:r>
      <w:r>
        <w:rPr>
          <w:noProof/>
        </w:rPr>
        <w:tab/>
        <w:t>Ehdotuksen perustelut ja tavoitteet</w:t>
      </w:r>
    </w:p>
    <w:p>
      <w:pPr>
        <w:rPr>
          <w:noProof/>
        </w:rPr>
      </w:pPr>
      <w:r>
        <w:rPr>
          <w:noProof/>
        </w:rPr>
        <w:t xml:space="preserve">Komissio hyväksyi ja toimitti 3. toukokuuta 2010 neuvostolle ehdotuksen päätökseksi Euroopan yhteisön ja sen jäsenvaltioiden sekä Amerikan yhdysvaltojen välisen lentoliikennesopimuksen muuttamista koskevan pöytäkirjan tekemisestä (KOM(2010) 208 lopullinen). </w:t>
      </w:r>
    </w:p>
    <w:p>
      <w:pPr>
        <w:rPr>
          <w:noProof/>
        </w:rPr>
      </w:pPr>
      <w:r>
        <w:rPr>
          <w:noProof/>
        </w:rPr>
        <w:t>Euroopan yhteisöjen tuomioistuimen 28. huhtikuuta 2015 asiassa C-28/12 antaman tuomion johdosta tällä ehdotuksella muutetaan komission alkuperäistä ehdotusta. Jotta neuvoston olisi helpompi käsitellä ehdotusta, koko asiaa koskeva teksti esitetään muutettuna ehdotuksena.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OIKEUSPERUSTA, TOISSIJAISUUSPERIAATE JA SUHTEELLISUUSPERIAATE</w:t>
      </w:r>
    </w:p>
    <w:p>
      <w:pPr>
        <w:rPr>
          <w:noProof/>
        </w:rPr>
      </w:pPr>
      <w:r>
        <w:rPr>
          <w:noProof/>
        </w:rPr>
        <w:t xml:space="preserve">Ei sovelleta. 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JÄLKIARVIOINTIEN, SIDOSRYHMIEN KUULEMISTEN JA VAIKUTUSTENARVIOINTIEN TULOKSET</w:t>
      </w:r>
    </w:p>
    <w:p>
      <w:pPr>
        <w:rPr>
          <w:noProof/>
        </w:rPr>
      </w:pPr>
      <w:r>
        <w:rPr>
          <w:noProof/>
        </w:rPr>
        <w:t>Ei sovelleta.</w:t>
      </w:r>
    </w:p>
    <w:p>
      <w:pPr>
        <w:pStyle w:val="ManualHeading2"/>
        <w:rPr>
          <w:noProof/>
        </w:rPr>
      </w:pPr>
      <w:r>
        <w:rPr>
          <w:noProof/>
        </w:rPr>
        <w:t>4.</w:t>
      </w:r>
      <w:r>
        <w:rPr>
          <w:noProof/>
        </w:rPr>
        <w:tab/>
        <w:t>TALOUSARVIOVAIKUTUKSET</w:t>
      </w:r>
    </w:p>
    <w:p>
      <w:pPr>
        <w:rPr>
          <w:noProof/>
        </w:rPr>
      </w:pPr>
      <w:r>
        <w:rPr>
          <w:noProof/>
        </w:rPr>
        <w:t xml:space="preserve">Ei sovelleta. 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LISÄTIEDOT</w:t>
      </w:r>
    </w:p>
    <w:p>
      <w:pPr>
        <w:rPr>
          <w:noProof/>
        </w:rPr>
      </w:pPr>
      <w:r>
        <w:rPr>
          <w:noProof/>
        </w:rPr>
        <w:t xml:space="preserve">Ei sovelleta. </w:t>
      </w:r>
    </w:p>
    <w:p>
      <w:pPr>
        <w:pStyle w:val="BodyA"/>
        <w:spacing w:before="0" w:after="0"/>
        <w:jc w:val="left"/>
        <w:rPr>
          <w:noProof/>
          <w:lang w:val="fi-FI"/>
        </w:rPr>
        <w:sectPr>
          <w:footerReference w:type="default" r:id="rId15"/>
          <w:footerReference w:type="first" r:id="rId16"/>
          <w:pgSz w:w="11900" w:h="16840"/>
          <w:pgMar w:top="1134" w:right="1417" w:bottom="1134" w:left="1417" w:header="709" w:footer="709" w:gutter="0"/>
          <w:cols w:space="720"/>
          <w:docGrid w:linePitch="326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2010/0112 (NLE)</w:t>
      </w:r>
    </w:p>
    <w:p>
      <w:pPr>
        <w:pStyle w:val="Statut"/>
        <w:rPr>
          <w:noProof/>
        </w:rPr>
      </w:pPr>
      <w:r>
        <w:rPr>
          <w:noProof/>
        </w:rPr>
        <w:t>Muutettu ehdotus</w:t>
      </w:r>
    </w:p>
    <w:p>
      <w:pPr>
        <w:pStyle w:val="Typedudocument"/>
        <w:rPr>
          <w:noProof/>
        </w:rPr>
      </w:pPr>
      <w:r>
        <w:rPr>
          <w:noProof/>
        </w:rPr>
        <w:t>NEUVOSTON PÄÄTÖS</w:t>
      </w:r>
    </w:p>
    <w:p>
      <w:pPr>
        <w:pStyle w:val="Titreobjet"/>
        <w:rPr>
          <w:noProof/>
        </w:rPr>
      </w:pPr>
      <w:r>
        <w:rPr>
          <w:noProof/>
        </w:rPr>
        <w:t>Euroopan yhteisön ja sen jäsenvaltioiden sekä Amerikan yhdysvaltojen välisen lentoliikennesopimuksen muuttamista koskevan pöytäkirjan tekemisen saattamisesta päätökseen unionin puolesta</w:t>
      </w:r>
    </w:p>
    <w:p>
      <w:pPr>
        <w:pStyle w:val="Institutionquiagit"/>
        <w:rPr>
          <w:noProof/>
        </w:rPr>
      </w:pPr>
      <w:r>
        <w:rPr>
          <w:noProof/>
        </w:rPr>
        <w:t>EUROOPAN UNIONIN NEUVOSTO, joka</w:t>
      </w:r>
    </w:p>
    <w:p>
      <w:pPr>
        <w:rPr>
          <w:noProof/>
        </w:rPr>
      </w:pPr>
      <w:r>
        <w:rPr>
          <w:noProof/>
        </w:rPr>
        <w:t>ottaa huomioon Euroopan unionin toiminnasta tehdyn sopimuksen ja erityisesti sen 100 artiklan 2 kohdan yhdessä sen 218 artiklan 6 kohdan a alakohdan kanssa,</w:t>
      </w:r>
    </w:p>
    <w:p>
      <w:pPr>
        <w:rPr>
          <w:noProof/>
        </w:rPr>
      </w:pPr>
      <w:r>
        <w:rPr>
          <w:noProof/>
        </w:rPr>
        <w:t>ottaa huomioon Euroopan komission ehdotuksen,</w:t>
      </w:r>
    </w:p>
    <w:p>
      <w:pPr>
        <w:rPr>
          <w:noProof/>
        </w:rPr>
      </w:pPr>
      <w:r>
        <w:rPr>
          <w:noProof/>
        </w:rPr>
        <w:t>ottaa huomioon Euroopan parlamentin hyväksynnän,</w:t>
      </w:r>
    </w:p>
    <w:p>
      <w:pPr>
        <w:rPr>
          <w:noProof/>
        </w:rPr>
      </w:pPr>
      <w:r>
        <w:rPr>
          <w:noProof/>
        </w:rPr>
        <w:t>sekä katsoo seuraavaa: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Amerikan yhdysvaltojen sekä Euroopan yhteisön ja sen jäsenvaltioiden välisen lentoliikennesopimuksen muuttamista koskeva pöytäkirja, jäljempänä ’pöytäkirja’, allekirjoitettiin päätöksen 2010/465/EU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mukaisesti 24 päivänä kesäkuuta 2010 sillä varauksella, että sen tekeminen saatetaan myöhemmin päätökseen. 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Pöytäkirjan ovat ratifioineet kaikki jäsenvaltiot Kroatian tasavaltaa lukuun ottamatta. Kroatian tasavallan olisi liityttävä pöytäkirjaan 5 päivänä joulukuuta 2011 tehdyn liittymissopimuksen liitteenä olevan liittymisasiakirjan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6 artiklan 2 kohdan mukaisesti. 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Pöytäkirja olisi hyväksyttävä unionin puolesta.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Päätöksen 2010/465/EU 2, 3 ja 4 artiklassa on säännöksiä päätöksenteosta ja edustuksesta useissa asioissa, joista pöytäkirjalla muutetussa sopimuksessa määrätään. Unionin tuomioistuimen 28. huhtikuuta 2015 asiassa C-28/12 antama tuomio huomioon ottaen näitä säännöksiä ei pitäisi enää soveltaa. Kun otetaan huomioon perussopimukset, kyseisissä asioissa ei tarvita uusia säännöksiä eikä jäsenvaltioiden ilmoittamisvelvoitteita koskevia säännöksiä, kuten päätöksen 2010/465/EU 5 artiklan säännöksiä. Sen vuoksi päätöksen 2010/465/EU 2, 3, 4 ja 5 artiklan soveltaminen olisi lopetettava tämän päätöksen voimaantulopäivänä,</w:t>
      </w:r>
    </w:p>
    <w:p>
      <w:pPr>
        <w:pStyle w:val="Formuledadoption"/>
        <w:rPr>
          <w:noProof/>
        </w:rPr>
      </w:pPr>
      <w:r>
        <w:rPr>
          <w:noProof/>
        </w:rPr>
        <w:t xml:space="preserve">ON HYVÄKSYNYT TÄMÄN PÄÄTÖKSEN: </w:t>
      </w:r>
    </w:p>
    <w:p>
      <w:pPr>
        <w:pStyle w:val="Titrearticle"/>
        <w:spacing w:after="0"/>
        <w:rPr>
          <w:noProof/>
        </w:rPr>
      </w:pPr>
      <w:r>
        <w:rPr>
          <w:noProof/>
        </w:rPr>
        <w:t>1 artikla</w:t>
      </w:r>
    </w:p>
    <w:p>
      <w:pPr>
        <w:rPr>
          <w:noProof/>
        </w:rPr>
      </w:pPr>
      <w:r>
        <w:rPr>
          <w:noProof/>
        </w:rPr>
        <w:t>Hyväksytään Amerikan yhdysvaltojen sekä Euroopan yhteisön ja sen jäsenvaltioiden välisen lentoliikennesopimuksen muuttamista koskeva pöytäkirja, jäljempänä ”pöytäkirja”, unionin puolesta.</w:t>
      </w:r>
    </w:p>
    <w:p>
      <w:pPr>
        <w:rPr>
          <w:noProof/>
        </w:rPr>
      </w:pPr>
      <w:r>
        <w:rPr>
          <w:noProof/>
        </w:rPr>
        <w:lastRenderedPageBreak/>
        <w:t>Pöytäkirjan teksti on neuvoston päätöksen 2010/465/EU liitteenä.</w:t>
      </w:r>
    </w:p>
    <w:p>
      <w:pPr>
        <w:pStyle w:val="Titrearticle"/>
        <w:rPr>
          <w:noProof/>
        </w:rPr>
      </w:pPr>
      <w:r>
        <w:rPr>
          <w:noProof/>
        </w:rPr>
        <w:t xml:space="preserve">2 artikla </w:t>
      </w:r>
    </w:p>
    <w:p>
      <w:pPr>
        <w:rPr>
          <w:noProof/>
        </w:rPr>
      </w:pPr>
      <w:r>
        <w:rPr>
          <w:noProof/>
        </w:rPr>
        <w:t>Neuvoston puheenjohtaja nimeää henkilön, jolla on valtuudet hoitaa unionin puolesta pöytäkirjan 10 artiklassa määrätty diplomaattisten noottien vaihto osoitukseksi siitä, että unioni suostuu sitoutumaan pöytäkirjaan.</w:t>
      </w:r>
    </w:p>
    <w:p>
      <w:pPr>
        <w:pStyle w:val="Titrearticle"/>
        <w:rPr>
          <w:noProof/>
        </w:rPr>
      </w:pPr>
      <w:r>
        <w:rPr>
          <w:noProof/>
        </w:rPr>
        <w:t>3 artikla</w:t>
      </w:r>
    </w:p>
    <w:p>
      <w:pPr>
        <w:rPr>
          <w:noProof/>
        </w:rPr>
      </w:pPr>
      <w:r>
        <w:rPr>
          <w:noProof/>
        </w:rPr>
        <w:t xml:space="preserve">Päätöksen 2010/465/EU 2, 3, 4 ja 5 artiklan soveltaminen päättyy tämän päätöksen voimaantulopäivänä. </w:t>
      </w:r>
    </w:p>
    <w:p>
      <w:pPr>
        <w:pStyle w:val="Titrearticle"/>
        <w:rPr>
          <w:noProof/>
        </w:rPr>
      </w:pPr>
      <w:r>
        <w:rPr>
          <w:noProof/>
        </w:rPr>
        <w:t>4 artikla</w:t>
      </w:r>
    </w:p>
    <w:p>
      <w:pPr>
        <w:rPr>
          <w:noProof/>
        </w:rPr>
      </w:pPr>
      <w:r>
        <w:rPr>
          <w:noProof/>
        </w:rPr>
        <w:t xml:space="preserve">Tämä päätös tulee voimaan päivänä, jona se hyväksytään. </w:t>
      </w:r>
    </w:p>
    <w:p>
      <w:pPr>
        <w:pStyle w:val="Fait"/>
        <w:rPr>
          <w:noProof/>
        </w:rPr>
      </w:pPr>
      <w:r>
        <w:t>Tehty Brysselissä</w:t>
      </w:r>
    </w:p>
    <w:p>
      <w:pPr>
        <w:pStyle w:val="Institutionquisigne"/>
        <w:rPr>
          <w:noProof/>
        </w:rPr>
      </w:pPr>
      <w:r>
        <w:rPr>
          <w:noProof/>
        </w:rPr>
        <w:tab/>
        <w:t>Neuvoston puolesta</w:t>
      </w:r>
    </w:p>
    <w:p>
      <w:pPr>
        <w:pStyle w:val="Personnequisigne"/>
        <w:rPr>
          <w:noProof/>
        </w:rPr>
      </w:pPr>
      <w:r>
        <w:rPr>
          <w:noProof/>
        </w:rPr>
        <w:tab/>
        <w:t>Puheenjohtaja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FI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FI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FI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color w:val="444444"/>
          <w:sz w:val="21"/>
          <w:szCs w:val="21"/>
          <w:u w:color="444444"/>
        </w:rPr>
      </w:pPr>
      <w:r>
        <w:rPr>
          <w:rStyle w:val="FootnoteReference"/>
        </w:rPr>
        <w:footnoteRef/>
      </w:r>
      <w:r>
        <w:tab/>
        <w:t xml:space="preserve">Neuvoston ja neuvostossa kokoontuneiden Euroopan unionin jäsenvaltioiden hallitusten edustajien päätös 2010/465/EU, annettu 24 päivänä kesäkuuta 2010, Euroopan yhteisön ja sen jäsenvaltioiden sekä Amerikan yhdysvaltojen välisen lentoliikennesopimuksen muuttamista koskevan pöytäkirjan allekirjoittamisesta ja väliaikaisesta soveltamisesta </w:t>
      </w:r>
      <w:r>
        <w:rPr>
          <w:rFonts w:hAnsi="Arial Unicode MS"/>
          <w:color w:val="444444"/>
          <w:sz w:val="21"/>
          <w:szCs w:val="21"/>
          <w:u w:color="444444"/>
        </w:rPr>
        <w:t>(EUVL L 223, 25.8.2010, s. 1).</w:t>
      </w:r>
    </w:p>
  </w:footnote>
  <w:footnote w:id="2">
    <w:p>
      <w:pPr>
        <w:pStyle w:val="Footnotetex"/>
      </w:pPr>
      <w:r>
        <w:rPr>
          <w:rStyle w:val="FootnoteReference"/>
        </w:rPr>
        <w:footnoteRef/>
      </w:r>
      <w:r>
        <w:tab/>
        <w:t>EUVL L 112, 24.4.2012, s. 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E2E0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50453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B0494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5EC4DC7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9E2ED3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BEA6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3E05F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A70644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fi-FI" w:vendorID="64" w:dllVersion="131078" w:nlCheck="1" w:checkStyle="0"/>
  <w:activeWritingStyle w:appName="MSWord" w:lang="en-GB" w:vendorID="64" w:dllVersion="131078" w:nlCheck="1" w:checkStyle="1"/>
  <w:attachedTemplate r:id="rId1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1-21 08:41:0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2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B8E9AB06-9885-44B5-BD34-555703A423C5"/>
    <w:docVar w:name="LW_COVERPAGE_TYPE" w:val="1"/>
    <w:docVar w:name="LW_CROSSREFERENCE" w:val="&lt;UNUSED&gt;"/>
    <w:docVar w:name="LW_DocType" w:val="COM"/>
    <w:docVar w:name="LW_EMISSION" w:val="22.1.2021"/>
    <w:docVar w:name="LW_EMISSION_ISODATE" w:val="2021-01-22"/>
    <w:docVar w:name="LW_EMISSION_LOCATION" w:val="BRX"/>
    <w:docVar w:name="LW_EMISSION_PREFIX" w:val="Bryssel "/>
    <w:docVar w:name="LW_EMISSION_SUFFIX" w:val=" "/>
    <w:docVar w:name="LW_ID_DOCMODEL" w:val="SJ-019"/>
    <w:docVar w:name="LW_ID_DOCSIGNATURE" w:val="SJ-019"/>
    <w:docVar w:name="LW_ID_DOCSTRUCTURE" w:val="COM/PL/MOD"/>
    <w:docVar w:name="LW_ID_DOCTYPE" w:val="SG-010"/>
    <w:docVar w:name="LW_ID_EXP.MOTIFS.NEW" w:val="EM_PL_"/>
    <w:docVar w:name="LW_ID_STATUT" w:val="SG-010"/>
    <w:docVar w:name="LW_INTERETEEE.CP" w:val="&lt;UNUSED&gt;"/>
    <w:docVar w:name="LW_LANGUE" w:val="FI"/>
    <w:docVar w:name="LW_LEVEL_OF_SENSITIVITY" w:val="Standard treatment"/>
    <w:docVar w:name="LW_NOM.INST" w:val="EUROOPAN KOMISSIO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12"/>
    <w:docVar w:name="LW_REF.II.NEW.CP_YEAR" w:val="2010"/>
    <w:docVar w:name="LW_REF.INST.NEW" w:val="COM"/>
    <w:docVar w:name="LW_REF.INST.NEW_ADOPTED" w:val="final"/>
    <w:docVar w:name="LW_REF.INST.NEW_TEXT" w:val="(2021) 1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Muutettu ehdotus"/>
    <w:docVar w:name="LW_SUPERTITRE" w:val="&lt;UNUSED&gt;"/>
    <w:docVar w:name="LW_TITRE.OBJ.CP" w:val="Euroopan yhteisön ja sen jäsenvaltioiden sekä Amerikan yhdysvaltojen välisen lentoliikennesopimuksen muuttamista koskevan pöytäkirjan tekemisen saattamisesta päätökseen unionin puolesta"/>
    <w:docVar w:name="LW_TYPE.DOC.CP" w:val="NEUVOSTON PÄÄTÖS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i-F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  <w:style w:type="numbering" w:customStyle="1" w:styleId="ImportedStyle2">
    <w:name w:val="Imported Style 2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i-FI"/>
    </w:rPr>
  </w:style>
  <w:style w:type="paragraph" w:customStyle="1" w:styleId="Footnotetex">
    <w:name w:val="Footnote tex"/>
    <w:basedOn w:val="FootnoteText"/>
    <w:rPr>
      <w:rFonts w:eastAsia="Arial Unicode MS" w:hAnsi="Arial Unicode MS" w:cs="Arial Unicode MS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fi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i-F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  <w:style w:type="numbering" w:customStyle="1" w:styleId="ImportedStyle2">
    <w:name w:val="Imported Style 2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i-FI"/>
    </w:rPr>
  </w:style>
  <w:style w:type="paragraph" w:customStyle="1" w:styleId="Footnotetex">
    <w:name w:val="Footnote tex"/>
    <w:basedOn w:val="FootnoteText"/>
    <w:rPr>
      <w:rFonts w:eastAsia="Arial Unicode MS" w:hAnsi="Arial Unicode MS" w:cs="Arial Unicode MS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fi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4</Pages>
  <Words>382</Words>
  <Characters>3015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2020-12-09T11:01:00Z</dcterms:created>
  <dcterms:modified xsi:type="dcterms:W3CDTF">2021-01-21T07:41:00Z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COM/PL/MOD</vt:lpwstr>
  </property>
  <property fmtid="{D5CDD505-2E9C-101B-9397-08002B2CF9AE}" pid="3" name="Version">
    <vt:lpwstr>7.0.8.0</vt:lpwstr>
  </property>
  <property fmtid="{D5CDD505-2E9C-101B-9397-08002B2CF9AE}" pid="4" name="Last edited using">
    <vt:lpwstr>LW 6.0.1, Build 20180503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SG-010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