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32C46" w14:textId="42C83185" w:rsidR="007259FE" w:rsidRPr="00E57A78" w:rsidRDefault="0021409F" w:rsidP="0021409F">
      <w:pPr>
        <w:pStyle w:val="Pagedecouverture"/>
        <w:rPr>
          <w:noProof/>
        </w:rPr>
      </w:pPr>
      <w:bookmarkStart w:id="0" w:name="LW_BM_COVERPAGE"/>
      <w:r>
        <w:rPr>
          <w:noProof/>
        </w:rPr>
        <w:pict w14:anchorId="2A328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9B1E201E-9F44-4ED2-ADDA-D7E6AF35C1E0" style="width:455.25pt;height:324pt">
            <v:imagedata r:id="rId11" o:title=""/>
          </v:shape>
        </w:pict>
      </w:r>
    </w:p>
    <w:bookmarkEnd w:id="0"/>
    <w:p w14:paraId="2CBC182D" w14:textId="77777777" w:rsidR="007259FE" w:rsidRPr="00E57A78" w:rsidRDefault="007259FE" w:rsidP="007259FE">
      <w:pPr>
        <w:rPr>
          <w:noProof/>
          <w:lang w:val="en-IE"/>
        </w:rPr>
        <w:sectPr w:rsidR="007259FE" w:rsidRPr="00E57A78" w:rsidSect="0021409F">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50B3E9B1" w14:textId="77777777" w:rsidR="000B36DB" w:rsidRPr="00E57A78" w:rsidRDefault="000B36DB" w:rsidP="000B36DB">
      <w:pPr>
        <w:keepNext/>
        <w:tabs>
          <w:tab w:val="left" w:pos="284"/>
          <w:tab w:val="left" w:pos="567"/>
          <w:tab w:val="left" w:pos="851"/>
          <w:tab w:val="left" w:pos="1134"/>
          <w:tab w:val="left" w:pos="1418"/>
          <w:tab w:val="left" w:pos="1701"/>
          <w:tab w:val="left" w:pos="1985"/>
          <w:tab w:val="left" w:pos="2268"/>
        </w:tabs>
        <w:spacing w:before="240" w:after="120"/>
        <w:jc w:val="both"/>
        <w:rPr>
          <w:rFonts w:ascii="Times New Roman" w:hAnsi="Times New Roman" w:cs="Times New Roman"/>
          <w:b/>
          <w:noProof/>
          <w:sz w:val="24"/>
          <w:szCs w:val="24"/>
        </w:rPr>
      </w:pPr>
      <w:bookmarkStart w:id="1" w:name="_GoBack"/>
      <w:bookmarkEnd w:id="1"/>
      <w:r>
        <w:rPr>
          <w:rFonts w:ascii="Times New Roman" w:hAnsi="Times New Roman"/>
          <w:b/>
          <w:noProof/>
          <w:sz w:val="24"/>
          <w:szCs w:val="24"/>
        </w:rPr>
        <w:lastRenderedPageBreak/>
        <w:t>1.</w:t>
      </w:r>
      <w:r>
        <w:rPr>
          <w:rFonts w:ascii="Times New Roman" w:hAnsi="Times New Roman"/>
          <w:b/>
          <w:noProof/>
          <w:sz w:val="24"/>
          <w:szCs w:val="24"/>
        </w:rPr>
        <w:tab/>
        <w:t xml:space="preserve">Rautateiden tarjoamat vihreät mahdollisuudet </w:t>
      </w:r>
    </w:p>
    <w:p w14:paraId="5BD89B67" w14:textId="315D0B1B" w:rsidR="000B36DB" w:rsidRPr="00E57A78" w:rsidRDefault="005C093D"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Euroopan rautateiden teemavuosi 2021 on erinomainen tilaisuus tuoda esille Euroopan rautateitä kaikille sopivana puhtaana, turvallisena ja kätevänä liikennemuotona. Euroopan rautatieliikenne on vihreää, sillä Euroopan unionissa 81 prosenttia</w:t>
      </w:r>
      <w:r w:rsidR="000B36DB" w:rsidRPr="00E57A78">
        <w:rPr>
          <w:rStyle w:val="FootnoteReference"/>
          <w:rFonts w:ascii="Times New Roman" w:hAnsi="Times New Roman" w:cs="Times New Roman"/>
          <w:noProof/>
          <w:sz w:val="24"/>
          <w:szCs w:val="24"/>
          <w:lang w:val="en-IE"/>
        </w:rPr>
        <w:footnoteReference w:id="1"/>
      </w:r>
      <w:r>
        <w:rPr>
          <w:rFonts w:ascii="Times New Roman" w:hAnsi="Times New Roman"/>
          <w:noProof/>
          <w:sz w:val="24"/>
          <w:szCs w:val="24"/>
        </w:rPr>
        <w:t xml:space="preserve"> junalla matkustetuista kilometreistä toteutetaan jo nyt sähkövoimalla</w:t>
      </w:r>
      <w:r w:rsidR="000B36DB" w:rsidRPr="00E57A78">
        <w:rPr>
          <w:rStyle w:val="FootnoteReference"/>
          <w:rFonts w:ascii="Times New Roman" w:hAnsi="Times New Roman" w:cs="Times New Roman"/>
          <w:noProof/>
          <w:sz w:val="24"/>
          <w:szCs w:val="24"/>
          <w:lang w:val="en-IE"/>
        </w:rPr>
        <w:footnoteReference w:id="2"/>
      </w:r>
      <w:r>
        <w:rPr>
          <w:rFonts w:ascii="Times New Roman" w:hAnsi="Times New Roman"/>
          <w:noProof/>
          <w:sz w:val="24"/>
          <w:szCs w:val="24"/>
        </w:rPr>
        <w:t xml:space="preserve"> ja Euroopan rautatieliikenteen ilmastovaikutukset ovat vähäiset</w:t>
      </w:r>
      <w:r w:rsidR="000B36DB" w:rsidRPr="00E57A78">
        <w:rPr>
          <w:rStyle w:val="FootnoteReference"/>
          <w:rFonts w:ascii="Times New Roman" w:hAnsi="Times New Roman" w:cs="Times New Roman"/>
          <w:noProof/>
          <w:sz w:val="24"/>
          <w:szCs w:val="24"/>
          <w:lang w:val="en-IE"/>
        </w:rPr>
        <w:footnoteReference w:id="3"/>
      </w:r>
      <w:r>
        <w:rPr>
          <w:rFonts w:ascii="Times New Roman" w:hAnsi="Times New Roman"/>
          <w:noProof/>
          <w:sz w:val="24"/>
          <w:szCs w:val="24"/>
        </w:rPr>
        <w:t xml:space="preserve"> </w:t>
      </w:r>
      <w:r w:rsidR="000B36DB" w:rsidRPr="00E57A78">
        <w:rPr>
          <w:rStyle w:val="FootnoteReference"/>
          <w:rFonts w:ascii="Times New Roman" w:hAnsi="Times New Roman" w:cs="Times New Roman"/>
          <w:noProof/>
          <w:sz w:val="24"/>
          <w:szCs w:val="24"/>
          <w:lang w:val="en-IE"/>
        </w:rPr>
        <w:footnoteReference w:id="4"/>
      </w:r>
      <w:r>
        <w:rPr>
          <w:rFonts w:ascii="Times New Roman" w:hAnsi="Times New Roman"/>
          <w:noProof/>
          <w:sz w:val="24"/>
          <w:szCs w:val="24"/>
        </w:rPr>
        <w:t>. Rautateitä liikennemuotona ei kuitenkaan hyödynnetä optimaalisesti, etenkään rajatylittävänä matkustusmuotona. Rautatieliikenteen osuus rajatylittävästä joukkoliikenteestä Euroopassa on arvioiden mukaan vain noin kymmenen prosenttia</w:t>
      </w:r>
      <w:r w:rsidR="000B36DB" w:rsidRPr="00E57A78">
        <w:rPr>
          <w:rStyle w:val="FootnoteReference"/>
          <w:rFonts w:ascii="Times New Roman" w:hAnsi="Times New Roman" w:cs="Times New Roman"/>
          <w:noProof/>
          <w:sz w:val="24"/>
          <w:szCs w:val="24"/>
        </w:rPr>
        <w:footnoteReference w:id="5"/>
      </w:r>
      <w:r>
        <w:rPr>
          <w:rFonts w:ascii="Times New Roman" w:hAnsi="Times New Roman"/>
          <w:noProof/>
          <w:sz w:val="24"/>
          <w:szCs w:val="24"/>
        </w:rPr>
        <w:t xml:space="preserve">.  </w:t>
      </w:r>
    </w:p>
    <w:p w14:paraId="0737DE65" w14:textId="7340A3C1" w:rsidR="004028E1" w:rsidRPr="00E57A78" w:rsidRDefault="004028E1" w:rsidP="006043B9">
      <w:pPr>
        <w:spacing w:after="240"/>
        <w:jc w:val="both"/>
        <w:rPr>
          <w:rFonts w:ascii="Times New Roman" w:hAnsi="Times New Roman" w:cs="Times New Roman"/>
          <w:noProof/>
          <w:sz w:val="24"/>
          <w:szCs w:val="24"/>
        </w:rPr>
      </w:pPr>
      <w:r>
        <w:rPr>
          <w:rFonts w:ascii="Times New Roman" w:hAnsi="Times New Roman"/>
          <w:noProof/>
          <w:sz w:val="24"/>
          <w:szCs w:val="24"/>
        </w:rPr>
        <w:t>Rautateiden hyödyntämätön potentiaali on otettava käyttöön kiireellisesti. Euroopan vihreän kehityksen ohjelmassa</w:t>
      </w:r>
      <w:r w:rsidRPr="00E57A78">
        <w:rPr>
          <w:rStyle w:val="FootnoteReference"/>
          <w:rFonts w:ascii="Times New Roman" w:hAnsi="Times New Roman" w:cs="Times New Roman"/>
          <w:noProof/>
          <w:sz w:val="24"/>
          <w:szCs w:val="24"/>
          <w:lang w:val="en-IE"/>
        </w:rPr>
        <w:footnoteReference w:id="6"/>
      </w:r>
      <w:r>
        <w:rPr>
          <w:rFonts w:ascii="Times New Roman" w:hAnsi="Times New Roman"/>
          <w:noProof/>
          <w:sz w:val="24"/>
          <w:szCs w:val="24"/>
        </w:rPr>
        <w:t xml:space="preserve"> ja kestävän ja älykkään liikkuvuuden strategiassa</w:t>
      </w:r>
      <w:r w:rsidRPr="00E57A78">
        <w:rPr>
          <w:rStyle w:val="FootnoteReference"/>
          <w:rFonts w:ascii="Times New Roman" w:hAnsi="Times New Roman" w:cs="Times New Roman"/>
          <w:noProof/>
          <w:sz w:val="24"/>
          <w:szCs w:val="24"/>
          <w:lang w:val="en-IE"/>
        </w:rPr>
        <w:footnoteReference w:id="7"/>
      </w:r>
      <w:r>
        <w:rPr>
          <w:rFonts w:ascii="Times New Roman" w:hAnsi="Times New Roman"/>
          <w:noProof/>
          <w:sz w:val="24"/>
          <w:szCs w:val="24"/>
        </w:rPr>
        <w:t xml:space="preserve"> rautatieliikenne on keskeisellä sijalla unionin liikennejärjestelmän viherryttämisessä. Vuoden 2030 ilmastotavoitesuunnitelman ja kestävän ja älykkään liikkuvuuden strategian taustalla olevassa yhteisessä taloudellisessa arvioinnissa</w:t>
      </w:r>
      <w:r w:rsidRPr="00E57A78">
        <w:rPr>
          <w:rStyle w:val="FootnoteReference"/>
          <w:rFonts w:ascii="Times New Roman" w:hAnsi="Times New Roman" w:cs="Times New Roman"/>
          <w:noProof/>
          <w:sz w:val="24"/>
          <w:szCs w:val="24"/>
          <w:lang w:val="en-IE"/>
        </w:rPr>
        <w:footnoteReference w:id="8"/>
      </w:r>
      <w:r>
        <w:rPr>
          <w:rFonts w:ascii="Times New Roman" w:hAnsi="Times New Roman"/>
          <w:noProof/>
          <w:sz w:val="24"/>
          <w:szCs w:val="24"/>
        </w:rPr>
        <w:t xml:space="preserve"> tarkasteltiin useita mahdollisia etenemistapoja, joilla koko talouden kasvihuonekaasupäästöjä voitaisiin leikata vähintään 55 prosentilla vuoteen 2030 mennessä ja ilmastoneutraalius voitaisiin saavuttaa vuoteen 2050 mennessä. Keskeisenä etenemistapana on hiilen hinnoittelu yhdistettynä erityistoimenpiteisiin, joilla tuetaan multimodaalista liikkumista ja investointeja kestävään, turvalliseen ja älykkääseen liikenteeseen. Arvioinnin mukaan suurnopeusrautatieliikenne kaksinkertaistuisi vuoteen 2030 mennessä ja kolminkertaistuisi vuoteen 2050 mennessä, jos nämä toimenpiteet toteutetaan. Lisäksi kestävän ja älykkään liikkuvuuden strategian tavoitteena on, että alle 500 kilometrin aikataulunmukainen joukkoliikenne olisi EU:ssa hiilineutraalia. Strategiassa korostetaan myös, että ketään ei saa jättää tämän kehityksen ulkopuolelle: on ratkaisevan tärkeää, että liikenne on kaikkien ulottuvilla ja kohtuuhintaista ja että yhteydet maaseudulle ja syrjäisille alueille paranevat. </w:t>
      </w:r>
    </w:p>
    <w:p w14:paraId="5C4491B8" w14:textId="670EC506" w:rsidR="00B9513F" w:rsidRPr="00E57A78" w:rsidRDefault="00B9513F"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Tällä rautateiden pitkän matkan rajatylittävän henkilöliikenteen edistämistä koskevalla toimintasuunnitelmalla osoitetaan, että komissio on sitoutunut saavuttamaan nämä kunnianhimoiset tavoitteet. Toimintasuunnitelma sisältää konkreettisen etenemissuunnitelman, johon kuuluvat toimet on tarkoitus toteuttaa pääasiassa seuraavien kahden vuoden aikana. Kaikkien näiden toimien toteuttamisen myötä rajatylittävästä rautatieliikenteestä tulee monille matkustajille eri puolilla Euroopan maanosaa huomattavasti houkuttelevampi matkustusvaihtoehto pitkille matkoille.</w:t>
      </w:r>
    </w:p>
    <w:p w14:paraId="21023771" w14:textId="4E3C4ABD" w:rsidR="004028E1" w:rsidRPr="00E57A78" w:rsidRDefault="00FD39E6"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Sisämarkkinat ovat Euroopan unionin kulmakivi, joka tuottaa välittömiä myönteisiä vaikutuksia kuluttajille, yrityksille ja julkisille tahoille, ja ne ovat hyödyttäneet myös junamatkustajia tiheämpien junayhteyksien, innovatiivisten rautatieliikennepalvelujen ja houkuttelevampien hintojen kautta. Unionin nykyinen rautateitä koskeva sääntely- ja toimintapoliittinen kehys tarjoaa jäsenvaltioille ja rautatiealalle useita erilaisia välineitä ja mahdollisuuksia yhtenäisen eurooppalaisen rautatiealueen toteuttamiseksi, esteiden poistamiseksi ja markkinoiden avaamiseksi uusille toimijoille ja palveluille. Kestävän ja älykkään liikkuvuuden strategiassa asetetut virstanpylväät suurnopeusrautatieliikenteen matkustajamäärien kasvattamiselle voidaan saavuttaa vain lisäämällä unionin, jäsenvaltioiden, rautatiealan ja yksityisten sijoittajien investointeja. Palveluja voidaan parantaa ottamalla huomioon rautatieverkon eurooppalainen ulottuvuus, kiinnittämällä huomiota kapasiteetin suunnitteluun sekä varmistamalla, että junalippuja on helposti saatavilla ja ne on hinnoiteltu houkuttelevasti siten, että junia voidaan hyödyntää myös osana miellyttävää multimodaalista matkantekoa. Vapaus liikkua yli rajojen on yksi Euroopan yhdentymisen tärkeimmistä saavutuksista, ja sen jatkuminen on varmistettava myös vastattaessa kiireelliseen liikenteen kestävyysongelmaan.  </w:t>
      </w:r>
    </w:p>
    <w:p w14:paraId="3A8DBF09" w14:textId="77777777" w:rsidR="000B36DB" w:rsidRPr="00E57A78" w:rsidRDefault="000B36DB" w:rsidP="000B36DB">
      <w:pPr>
        <w:keepNext/>
        <w:tabs>
          <w:tab w:val="left" w:pos="284"/>
          <w:tab w:val="left" w:pos="567"/>
          <w:tab w:val="left" w:pos="851"/>
          <w:tab w:val="left" w:pos="1134"/>
          <w:tab w:val="left" w:pos="1418"/>
          <w:tab w:val="left" w:pos="1701"/>
          <w:tab w:val="left" w:pos="1985"/>
          <w:tab w:val="left" w:pos="2268"/>
        </w:tabs>
        <w:spacing w:before="240" w:after="120"/>
        <w:jc w:val="both"/>
        <w:rPr>
          <w:rFonts w:ascii="Times New Roman" w:hAnsi="Times New Roman" w:cs="Times New Roman"/>
          <w:b/>
          <w:noProof/>
          <w:sz w:val="24"/>
          <w:szCs w:val="24"/>
        </w:rPr>
      </w:pPr>
      <w:r>
        <w:rPr>
          <w:rFonts w:ascii="Times New Roman" w:hAnsi="Times New Roman"/>
          <w:b/>
          <w:noProof/>
          <w:sz w:val="24"/>
          <w:szCs w:val="24"/>
        </w:rPr>
        <w:t>2.</w:t>
      </w:r>
      <w:r>
        <w:rPr>
          <w:rFonts w:ascii="Times New Roman" w:hAnsi="Times New Roman"/>
          <w:b/>
          <w:noProof/>
          <w:sz w:val="24"/>
          <w:szCs w:val="24"/>
        </w:rPr>
        <w:tab/>
        <w:t>Rautatieliikenteen tarjoamien mahdollisuuksien hyödyntäminen</w:t>
      </w:r>
    </w:p>
    <w:p w14:paraId="2795CA53" w14:textId="33785781" w:rsidR="000B36DB" w:rsidRPr="00E57A78" w:rsidRDefault="00E258E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Useita unionin pitkän matkan rajatylittävän rautatieliikenteen parantamiseksi tarvittavia muutoksia ollaan toteuttamassa parhaillaan, ja nyt on aika vauhdittaa näitä toimia. Vuosina 2001–2016 hyväksytyillä neljällä rautatieliikennettä koskevalla sääntelypaketilla</w:t>
      </w:r>
      <w:r w:rsidR="000B36DB" w:rsidRPr="00E57A78">
        <w:rPr>
          <w:rStyle w:val="FootnoteReference"/>
          <w:rFonts w:ascii="Times New Roman" w:hAnsi="Times New Roman" w:cs="Times New Roman"/>
          <w:noProof/>
          <w:sz w:val="24"/>
          <w:szCs w:val="24"/>
          <w:lang w:val="en-IE"/>
        </w:rPr>
        <w:footnoteReference w:id="9"/>
      </w:r>
      <w:r>
        <w:rPr>
          <w:rFonts w:ascii="Times New Roman" w:hAnsi="Times New Roman"/>
          <w:noProof/>
          <w:sz w:val="24"/>
          <w:szCs w:val="24"/>
        </w:rPr>
        <w:t xml:space="preserve"> rautatieliikenteelle on luotu unionin tasolla oikeudelliset edellytykset avaamalla rautatieliikenteen markkinat asteittain kilpailulle, edistämällä kansallisten rautatiejärjestelmien yhteentoimivuutta ja tarjoamalla edellytykset yhtenäisen eurooppalaisen rautatiealueen kehittämiselle. Yhtenäisen eurooppalaisen rautatiealueen tarkoituksena on kilpailun sekä sääntöjen yhdenmukaistamisen avulla laajentaa ja parantaa markkinoiden tarjontaa matkustajille. Tätä kautta edistetään junalippujen kohtuuhintaisuutta, kun toimintoja optimoidaan ja digitalisoidaan sekä varmistetaan kilpailu markkinoilla, jolloin tarjonta vastaa paremmin asiakkaiden tarpeita, palvelujen laatu paranee ja hinta</w:t>
      </w:r>
      <w:r w:rsidR="00635228">
        <w:rPr>
          <w:rFonts w:ascii="Times New Roman" w:hAnsi="Times New Roman"/>
          <w:noProof/>
          <w:sz w:val="24"/>
          <w:szCs w:val="24"/>
        </w:rPr>
        <w:t xml:space="preserve">kilpailu määrää hinnoittelun. </w:t>
      </w:r>
      <w:r>
        <w:rPr>
          <w:rFonts w:ascii="Times New Roman" w:hAnsi="Times New Roman"/>
          <w:noProof/>
          <w:sz w:val="24"/>
          <w:szCs w:val="24"/>
        </w:rPr>
        <w:t xml:space="preserve">Tämän prosessin keskeisiä virstanpylväitä olivat rautatieliikenteen markkinoiden avaaminen rajatylittävien palvelujen osalta vuonna 2010 ja kotimaan palvelujen osalta vuonna 2020. </w:t>
      </w:r>
    </w:p>
    <w:p w14:paraId="686077AB" w14:textId="27362DFE" w:rsidR="00E87ED9" w:rsidRPr="00E57A78" w:rsidRDefault="00E87ED9"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Samanaikaisesti unioni on tarjonnut erittäin merkittävää ja pitkälle ajanjaksolle ulottuvaa investointitukea rautatieliikenteen Euroopan laajuisen liikenneverkon (TEN-T) kehittämiseen sekä tutkimukseen ja innovointiin. Komissio investoi vuosina 2014–2020 yhdessä yksityisen sektorin kanssa yli 900 miljoonaa euroa Shift2Rail-yhteisyrityksen kautta. Tämä yhteisyritys tuki yli sataa hanketta, joissa kehitettiin huipputason innovatiivisia ratkaisuja tulevaisuuden rautatiejärjestelmien luomiseksi matkustajille. Samalla ajanjaksolla Verkkojen Eurooppa </w:t>
      </w:r>
      <w:r>
        <w:rPr>
          <w:rFonts w:ascii="Times New Roman" w:hAnsi="Times New Roman"/>
          <w:noProof/>
          <w:sz w:val="24"/>
          <w:szCs w:val="24"/>
        </w:rPr>
        <w:noBreakHyphen/>
        <w:t>välineellä</w:t>
      </w:r>
      <w:r w:rsidR="003E3135" w:rsidRPr="00E57A78">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tuettiin yli 400:aa rautatiehanketta yhteensä noin 16,5 miljardilla eurolla. Näissä hankkeissa keskityttiin tärkeisiin rajatylittäviin yhteyksiin, uusiin henkilö- ja tavaraliikenneyhteyksiin, verkon parantamiseen ja sähköistämiseen sekä sen digitalisointiin Euroopan rautatieliikenteen hallintajärjestelmän (ERTMS) avulla.  </w:t>
      </w:r>
    </w:p>
    <w:tbl>
      <w:tblPr>
        <w:tblStyle w:val="TableGrid"/>
        <w:tblW w:w="0" w:type="auto"/>
        <w:tblLook w:val="04A0" w:firstRow="1" w:lastRow="0" w:firstColumn="1" w:lastColumn="0" w:noHBand="0" w:noVBand="1"/>
      </w:tblPr>
      <w:tblGrid>
        <w:gridCol w:w="9062"/>
      </w:tblGrid>
      <w:tr w:rsidR="000B36DB" w:rsidRPr="00E57A78" w14:paraId="57CA7F61" w14:textId="77777777" w:rsidTr="006043B9">
        <w:tc>
          <w:tcPr>
            <w:tcW w:w="9062" w:type="dxa"/>
          </w:tcPr>
          <w:p w14:paraId="3AAD7926" w14:textId="6F15E9FF" w:rsidR="00DB2C5D" w:rsidRPr="00E57A78" w:rsidRDefault="00DB2C5D"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b/>
                <w:noProof/>
                <w:sz w:val="24"/>
                <w:szCs w:val="24"/>
              </w:rPr>
            </w:pPr>
            <w:r>
              <w:rPr>
                <w:rFonts w:ascii="Times New Roman" w:hAnsi="Times New Roman"/>
                <w:b/>
                <w:noProof/>
                <w:sz w:val="24"/>
                <w:szCs w:val="24"/>
              </w:rPr>
              <w:t>Unionin kansainvälisen rajatylittävän rautatieliikenteen tunnusluvut</w:t>
            </w:r>
          </w:p>
          <w:p w14:paraId="0AF8518C" w14:textId="77777777" w:rsidR="00DB2C5D" w:rsidRPr="00F90CF6" w:rsidRDefault="00DB2C5D"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12BCDA8E" w14:textId="48B30195"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Rautatieliikenteen henkilökilometrien määrä EU27:ssä kasvoi 339,9 miljardista 407,2 miljardiin vuosina 2001–2018.</w:t>
            </w:r>
            <w:r w:rsidRPr="00E57A78">
              <w:rPr>
                <w:rStyle w:val="FootnoteReference"/>
                <w:rFonts w:ascii="Times New Roman" w:hAnsi="Times New Roman" w:cs="Times New Roman"/>
                <w:noProof/>
                <w:sz w:val="24"/>
                <w:szCs w:val="24"/>
                <w:lang w:val="en-IE"/>
              </w:rPr>
              <w:footnoteReference w:id="11"/>
            </w:r>
            <w:r>
              <w:rPr>
                <w:rFonts w:ascii="Times New Roman" w:hAnsi="Times New Roman"/>
                <w:noProof/>
                <w:sz w:val="24"/>
                <w:szCs w:val="24"/>
              </w:rPr>
              <w:t xml:space="preserve"> Suurnopeusrautatieliikenteen osuus tästä luvusta kasvoi merkittävästi (19,2 %:sta 31 %:iin) – henkilökilometrien määrä lähes kaksinkertaistui 65 miljardista 126 miljardiin.</w:t>
            </w:r>
          </w:p>
          <w:p w14:paraId="721936F3"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4C5DFF6A" w14:textId="28012FD0"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Rautatieliikenteen osuus liikenteestä henkilökilometreinä mitattuna kasvoi hieman, 6,7 prosentista 6,9 prosenttiin. Henkilöautojen, moottorikäyttöisten kaksipyöräisten ajoneuvojen ja linja-autojen osuus pieneni, kun taas lentoliikenteen osuus kasvoi 6,1 prosentista 9,6 prosenttiin</w:t>
            </w:r>
            <w:r w:rsidRPr="00E57A78">
              <w:rPr>
                <w:rStyle w:val="FootnoteReference"/>
                <w:rFonts w:ascii="Times New Roman" w:hAnsi="Times New Roman" w:cs="Times New Roman"/>
                <w:noProof/>
                <w:sz w:val="24"/>
                <w:szCs w:val="24"/>
                <w:lang w:val="en-IE"/>
              </w:rPr>
              <w:footnoteReference w:id="12"/>
            </w:r>
            <w:r>
              <w:rPr>
                <w:rFonts w:ascii="Times New Roman" w:hAnsi="Times New Roman"/>
                <w:noProof/>
                <w:sz w:val="24"/>
                <w:szCs w:val="24"/>
              </w:rPr>
              <w:t>.</w:t>
            </w:r>
          </w:p>
          <w:p w14:paraId="4D1C5827"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536EB76B" w14:textId="6B12BD91" w:rsidR="000B36DB" w:rsidRPr="00E57A78" w:rsidRDefault="00B35CF1"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Vaikka rajatylittävän liikenteen henkilökilometrien määrä kasvoi 20 miljardista 28 miljardiin</w:t>
            </w:r>
            <w:r w:rsidRPr="00E57A78">
              <w:rPr>
                <w:rStyle w:val="FootnoteReference"/>
                <w:rFonts w:ascii="Times New Roman" w:hAnsi="Times New Roman" w:cs="Times New Roman"/>
                <w:noProof/>
                <w:sz w:val="24"/>
                <w:szCs w:val="24"/>
                <w:lang w:val="en-IE"/>
              </w:rPr>
              <w:footnoteReference w:id="13"/>
            </w:r>
            <w:r>
              <w:rPr>
                <w:rFonts w:ascii="Times New Roman" w:hAnsi="Times New Roman"/>
                <w:noProof/>
                <w:sz w:val="24"/>
                <w:szCs w:val="24"/>
              </w:rPr>
              <w:t xml:space="preserve"> (+ 40 %) vuosina 2007–2018, sen osuus rautatieliikenteen koko henkilökilometrimäärästä on kuitenkin vain noin 7 prosenttia. </w:t>
            </w:r>
          </w:p>
          <w:p w14:paraId="597F693F"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07F58CE0" w14:textId="7DFE7518"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Rautatieliikenteen pitkän matkan rajatylittävien vuorojen määrä Euroopassa</w:t>
            </w:r>
            <w:r w:rsidRPr="00E57A78">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ei ole juurikaan muuttunut vuodesta 2001, jolloin niitä oli noin 4 500 viikossa. Kyseisenä ajanjaksona yöjunavuorojen määrä väheni 65 prosenttia ja suurnopeusjunavuorojen määrä kasvoi 95 prosenttia. Myös liikennöityjen reittien määrä väheni, kun liikennöinnissä keskityttiin tarjoamaan tiheämpiä yhteyksiä ydinreiteillä.</w:t>
            </w:r>
            <w:r w:rsidRPr="00E57A78">
              <w:rPr>
                <w:rStyle w:val="FootnoteReference"/>
                <w:rFonts w:ascii="Times New Roman" w:hAnsi="Times New Roman" w:cs="Times New Roman"/>
                <w:noProof/>
                <w:sz w:val="24"/>
                <w:szCs w:val="24"/>
              </w:rPr>
              <w:footnoteReference w:id="15"/>
            </w:r>
          </w:p>
          <w:p w14:paraId="722A31EF" w14:textId="1E77968D"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0E859943" w14:textId="77777777" w:rsidR="000B36DB" w:rsidRPr="00F90CF6"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p>
    <w:p w14:paraId="36555DD5" w14:textId="35307191" w:rsidR="000B36DB" w:rsidRPr="00E57A78" w:rsidRDefault="00AC1853"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Covid-19-pandemia iski rajusti rautatieliikenteeseen vuosina 2020 ja 2021. Rautatieliikenteen henkilökilometrien määrä unionissa väheni 75 prosenttia vuoden 2020 toisella neljänneksellä verrattuna samaan ajanjaksoon vuonna 2019, minkä jälkeen määrä kasvoi hieman seuraavilla vuosineljänneksillä (henkilökilometrien määrä oli 3. vuosineljänneksellä 38 % ja 4. vuosineljänneksellä 56 % alhaisemmalla tasolla)</w:t>
      </w:r>
      <w:r w:rsidR="000B36DB" w:rsidRPr="00E57A78">
        <w:rPr>
          <w:rStyle w:val="FootnoteReference"/>
          <w:rFonts w:ascii="Times New Roman" w:hAnsi="Times New Roman" w:cs="Times New Roman"/>
          <w:noProof/>
          <w:sz w:val="24"/>
          <w:szCs w:val="24"/>
          <w:lang w:val="en-IE"/>
        </w:rPr>
        <w:footnoteReference w:id="16"/>
      </w:r>
      <w:r>
        <w:rPr>
          <w:rFonts w:ascii="Times New Roman" w:hAnsi="Times New Roman"/>
          <w:noProof/>
          <w:sz w:val="24"/>
          <w:szCs w:val="24"/>
        </w:rPr>
        <w:t>. Kansalliset tukitoimenpiteet kompensoivat kriisin kielteisiä vaikutuksia vain osittain. Ilman tukia toimivat kaupalliset rautatieyritykset, jotka tarjoavat käyttöoikeuksien avoimuuteen perustuvia palveluja, osoittautuivat kriisin aikana erityisen haavoittuviksi.</w:t>
      </w:r>
    </w:p>
    <w:p w14:paraId="794AAD91" w14:textId="420D242C"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Tätä taustaa vasten elpymis- ja palautumistukiväline</w:t>
      </w:r>
      <w:r w:rsidR="00AC1853" w:rsidRPr="00E57A78">
        <w:rPr>
          <w:rStyle w:val="FootnoteReference"/>
          <w:rFonts w:ascii="Times New Roman" w:hAnsi="Times New Roman" w:cs="Times New Roman"/>
          <w:noProof/>
          <w:sz w:val="24"/>
          <w:szCs w:val="24"/>
          <w:lang w:val="en-IE"/>
        </w:rPr>
        <w:footnoteReference w:id="17"/>
      </w:r>
      <w:r>
        <w:rPr>
          <w:rFonts w:ascii="Times New Roman" w:hAnsi="Times New Roman"/>
          <w:noProof/>
          <w:sz w:val="24"/>
          <w:szCs w:val="24"/>
        </w:rPr>
        <w:t xml:space="preserve"> tarjoaa ennennäkemättömän mahdollisuuden rautatiealan uudistamiseen ja uusiin rautatieinvestointeihin,</w:t>
      </w:r>
      <w:r>
        <w:rPr>
          <w:noProof/>
        </w:rPr>
        <w:t xml:space="preserve"> </w:t>
      </w:r>
      <w:r>
        <w:rPr>
          <w:rFonts w:ascii="Times New Roman" w:hAnsi="Times New Roman"/>
          <w:noProof/>
          <w:sz w:val="24"/>
          <w:szCs w:val="24"/>
        </w:rPr>
        <w:t xml:space="preserve">sillä rautatieliikenteen odotetaan saavan lähes 50 miljardia euroa lisää rahoitusta. </w:t>
      </w:r>
    </w:p>
    <w:p w14:paraId="73374332" w14:textId="1A4BC3E5"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Rautateiden henkilöliikenteen alalla on tarvetta tehokkaammille toimille, ja nyt on oikea hetki toteuttaa ne. Jäsenvaltiot ovat osoittaneet sitoutumisensa muun muassa perustamalla rautateiden kansainvälistä henkilöliikennettä käsittelevän Platform on International Rail Passenger Transport </w:t>
      </w:r>
      <w:r>
        <w:rPr>
          <w:rFonts w:ascii="Times New Roman" w:hAnsi="Times New Roman"/>
          <w:noProof/>
          <w:sz w:val="24"/>
          <w:szCs w:val="24"/>
        </w:rPr>
        <w:noBreakHyphen/>
        <w:t xml:space="preserve">foorumin ja esittelemällä Trans-Europe Express 2.0 </w:t>
      </w:r>
      <w:r>
        <w:rPr>
          <w:rFonts w:ascii="Times New Roman" w:hAnsi="Times New Roman"/>
          <w:noProof/>
          <w:sz w:val="24"/>
          <w:szCs w:val="24"/>
        </w:rPr>
        <w:noBreakHyphen/>
        <w:t>suunnitelman</w:t>
      </w:r>
      <w:r w:rsidR="00E0274B" w:rsidRPr="00E57A78">
        <w:rPr>
          <w:rStyle w:val="FootnoteReference"/>
          <w:rFonts w:ascii="Times New Roman" w:hAnsi="Times New Roman" w:cs="Times New Roman"/>
          <w:noProof/>
          <w:sz w:val="24"/>
          <w:szCs w:val="24"/>
          <w:lang w:val="en-IE"/>
        </w:rPr>
        <w:footnoteReference w:id="18"/>
      </w:r>
      <w:r>
        <w:rPr>
          <w:rFonts w:ascii="Times New Roman" w:hAnsi="Times New Roman"/>
          <w:noProof/>
          <w:sz w:val="24"/>
          <w:szCs w:val="24"/>
        </w:rPr>
        <w:t>. Kesäkuussa 2021 neuvosto kannusti kehittämään edelleen rautateiden henkilöliikennettä Euroopassa. Viimeisin päivittäistä ja kaukoliikennettä koskeva Eurobarometri-kysely</w:t>
      </w:r>
      <w:r w:rsidRPr="00E57A78">
        <w:rPr>
          <w:rStyle w:val="FootnoteReference"/>
          <w:rFonts w:ascii="Times New Roman" w:hAnsi="Times New Roman" w:cs="Times New Roman"/>
          <w:noProof/>
        </w:rPr>
        <w:footnoteReference w:id="19"/>
      </w:r>
      <w:r>
        <w:rPr>
          <w:rFonts w:ascii="Times New Roman" w:hAnsi="Times New Roman"/>
          <w:noProof/>
          <w:sz w:val="24"/>
          <w:szCs w:val="24"/>
        </w:rPr>
        <w:t xml:space="preserve"> vahvistaa, että eurooppalaiset ovat valmiita siirtymään pitkillä matkoilla kestävämpään liikennemuotoon edellyttäen, että he pääsevät sillä määränpäähänsä yhtä nopeasti (37 %) tai samalla hinnalla (36 %) kuin heidän tavallisesti käyttämällään liikennemuodolla. Euroopan vihreän kehityksen ohjelmasta 15. tammikuuta 2020 annetussa Euroopan parlamentin päätöslauselmassa korostetaan, että ”yhtenäinen eurooppalainen rautatiealue on yksi liikennemuotosiirtymän edellytys”, ja siinä korostetaan tarvetta ”mahdollistaa julkisen rautatieliikenteen yhdenvertaiset käyttömahdollisuudet kaikkialla EU:ssa ja tehdä rautateiden henkilöliikenteestä houkuttelevampaa”. Vuoden 2021 julistaminen Euroopan rautateiden teemavuodeksi komission ehdotuksesta nosti odotuksia, ja nyt on aika täyttää nämä odotukset. </w:t>
      </w:r>
    </w:p>
    <w:p w14:paraId="2A19D60B" w14:textId="09B30DAB" w:rsidR="000B36DB" w:rsidRPr="00E57A78" w:rsidRDefault="000B36DB" w:rsidP="000B36DB">
      <w:pPr>
        <w:keepNext/>
        <w:tabs>
          <w:tab w:val="left" w:pos="284"/>
          <w:tab w:val="left" w:pos="567"/>
          <w:tab w:val="left" w:pos="851"/>
          <w:tab w:val="left" w:pos="1134"/>
          <w:tab w:val="left" w:pos="1418"/>
          <w:tab w:val="left" w:pos="1701"/>
          <w:tab w:val="left" w:pos="1985"/>
          <w:tab w:val="left" w:pos="2268"/>
        </w:tabs>
        <w:spacing w:before="240" w:after="120"/>
        <w:jc w:val="both"/>
        <w:rPr>
          <w:rFonts w:ascii="Times New Roman" w:hAnsi="Times New Roman" w:cs="Times New Roman"/>
          <w:b/>
          <w:noProof/>
          <w:sz w:val="24"/>
          <w:szCs w:val="24"/>
        </w:rPr>
      </w:pPr>
      <w:r>
        <w:rPr>
          <w:rFonts w:ascii="Times New Roman" w:hAnsi="Times New Roman"/>
          <w:b/>
          <w:noProof/>
          <w:sz w:val="24"/>
          <w:szCs w:val="24"/>
        </w:rPr>
        <w:t>3.</w:t>
      </w:r>
      <w:r>
        <w:rPr>
          <w:rFonts w:ascii="Times New Roman" w:hAnsi="Times New Roman"/>
          <w:b/>
          <w:noProof/>
          <w:sz w:val="24"/>
          <w:szCs w:val="24"/>
        </w:rPr>
        <w:tab/>
        <w:t>Toimet rautateiden pitkän matkan ja rajatylittävän henkilöliikenteen edistämiseksi</w:t>
      </w:r>
    </w:p>
    <w:p w14:paraId="5E3F32B1" w14:textId="37514526"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Rautateiden henkilöliikenteen markkinat ovat olleet avoimet rajatylittävien palvelujen osalta vuodesta 2010 ja kotimaisten palvelujen osalta joulukuusta 2020 lähtien. Käyttöoikeuksien avoimuuteen perustuvia palveluja tarjoavat toimijat voivat tarjota palvelujaan vapaasti, kunhan ne eivät vaaranna olemassa olevien julkisten palvelujen jatkuvuutta</w:t>
      </w:r>
      <w:r w:rsidR="00F451E2" w:rsidRPr="00E57A78">
        <w:rPr>
          <w:rStyle w:val="FootnoteReference"/>
          <w:rFonts w:ascii="Times New Roman" w:hAnsi="Times New Roman" w:cs="Times New Roman"/>
          <w:noProof/>
          <w:sz w:val="24"/>
          <w:szCs w:val="24"/>
          <w:lang w:val="en-IE"/>
        </w:rPr>
        <w:footnoteReference w:id="20"/>
      </w:r>
      <w:r>
        <w:rPr>
          <w:rFonts w:ascii="Times New Roman" w:hAnsi="Times New Roman"/>
          <w:noProof/>
          <w:sz w:val="24"/>
          <w:szCs w:val="24"/>
        </w:rPr>
        <w:t>. Kokemus ja rautatieyritysten julkaisemat viimeaikaiset tiedot osoittavat, että kauko- ja suurnopeusliikennepalveluja, myös yöjunapalveluja, on usein mahdollista tarjota kannattavasti käyttöoikeuksien avoimuuteen perustuvina palveluina</w:t>
      </w:r>
      <w:r w:rsidR="000A6F2A" w:rsidRPr="00E57A78">
        <w:rPr>
          <w:rStyle w:val="FootnoteReference"/>
          <w:rFonts w:ascii="Times New Roman" w:hAnsi="Times New Roman" w:cs="Times New Roman"/>
          <w:noProof/>
          <w:sz w:val="24"/>
          <w:szCs w:val="24"/>
          <w:lang w:val="en-IE"/>
        </w:rPr>
        <w:footnoteReference w:id="21"/>
      </w:r>
      <w:r>
        <w:rPr>
          <w:rFonts w:ascii="Times New Roman" w:hAnsi="Times New Roman"/>
          <w:noProof/>
          <w:sz w:val="24"/>
          <w:szCs w:val="24"/>
        </w:rPr>
        <w:t>. Kilpailun mahdollistaminen suurnopeusradoilla Italiassa ja Espanjassa</w:t>
      </w:r>
      <w:r w:rsidR="009E03C3" w:rsidRPr="00E57A78">
        <w:rPr>
          <w:rStyle w:val="FootnoteReference"/>
          <w:rFonts w:ascii="Times New Roman" w:hAnsi="Times New Roman" w:cs="Times New Roman"/>
          <w:noProof/>
          <w:sz w:val="24"/>
          <w:szCs w:val="24"/>
          <w:lang w:val="en-IE"/>
        </w:rPr>
        <w:footnoteReference w:id="22"/>
      </w:r>
      <w:r>
        <w:rPr>
          <w:rFonts w:ascii="Times New Roman" w:hAnsi="Times New Roman"/>
          <w:noProof/>
          <w:sz w:val="24"/>
          <w:szCs w:val="24"/>
        </w:rPr>
        <w:t xml:space="preserve"> ja tavanomaisilla radoilla Tšekissä, Slovakiassa ja Ruotsissa on lisännyt tarjonnan houkuttelevuutta ja usein myös laskenut hintoja ja kasvattanut matkustajamääriä.</w:t>
      </w:r>
    </w:p>
    <w:p w14:paraId="4AABE4C3" w14:textId="524A5065"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Kun on kyse sellaisista yhteyksistä tai verkoista, joilla markkinat eivät (vielä) kykene tai ole halukkaita tarjoamaan palveluja, joita pidetään liikenneyhteyksien kannalta tarpeellisina tai muutoin hyödyllisinä yhteiskunnalle, toimivaltaiset viranomaiset voivat määrätä rautateiden ja maanteiden julkisista henkilöliikennepalveluista annetun asetuksen (EY) N:o 1370/2007</w:t>
      </w:r>
      <w:r w:rsidR="005B197D" w:rsidRPr="00E57A78">
        <w:rPr>
          <w:rFonts w:ascii="Times New Roman" w:hAnsi="Times New Roman" w:cs="Times New Roman"/>
          <w:noProof/>
          <w:sz w:val="24"/>
          <w:szCs w:val="24"/>
          <w:vertAlign w:val="superscript"/>
          <w:lang w:val="en-IE"/>
        </w:rPr>
        <w:footnoteReference w:id="23"/>
      </w:r>
      <w:r>
        <w:rPr>
          <w:rFonts w:ascii="Times New Roman" w:hAnsi="Times New Roman"/>
          <w:noProof/>
          <w:sz w:val="24"/>
          <w:szCs w:val="24"/>
        </w:rPr>
        <w:t>, jäljempänä ’maaliikenteen julkisen palvelun velvoitteita koskeva asetus’, mukaisesti julkisen palvelun velvoitteita ja tehdä palveluhankintasopimuksia rautatieliikenteen harjoittajien kanssa. Julkisen palvelun velvoitteita voidaan määrätä ainoastaan silloin, kun käyttöoikeuksien avoimuuteen perustuvien palvelujen tarjoajat eivät tarjoa näitä palveluja siinä laajuudessa ja sen laatuisina kuin toimivaltaiset viranomaiset katsovat tarpeelliseksi.</w:t>
      </w:r>
    </w:p>
    <w:p w14:paraId="5B45FFD0" w14:textId="67A6E315"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Riippumatta siitä, tarjotaanko palveluja käyttöoikeuksien avoimuuteen perustuvina palveluina vai julkisen palvelun velvoitteen alaisina, rautatieliikenteen alalla on edelleen teknisiä, operatiivisia ja oikeudellisia esteitä, jotka haittaavat rautatieliikenteen alan kehitystä ja markkinoille pääsyä alalla. Sen vuoksi komissio on teettänyt tutkimuksen</w:t>
      </w:r>
      <w:r w:rsidRPr="00E57A78">
        <w:rPr>
          <w:rStyle w:val="FootnoteReference"/>
          <w:rFonts w:ascii="Times New Roman" w:hAnsi="Times New Roman" w:cs="Times New Roman"/>
          <w:noProof/>
          <w:sz w:val="24"/>
          <w:szCs w:val="24"/>
          <w:lang w:val="en-IE"/>
        </w:rPr>
        <w:footnoteReference w:id="24"/>
      </w:r>
      <w:r>
        <w:rPr>
          <w:rFonts w:ascii="Times New Roman" w:hAnsi="Times New Roman"/>
          <w:noProof/>
          <w:sz w:val="24"/>
          <w:szCs w:val="24"/>
        </w:rPr>
        <w:t xml:space="preserve"> ja määrittänyt seuraavat toimet, joilla poistetaan esteitä rautateiden rajatylittävän ja pitkän matkan henkilöliikenteen kehittämisen tieltä.</w:t>
      </w:r>
    </w:p>
    <w:p w14:paraId="1F4358B9" w14:textId="329058EA" w:rsidR="000B36DB" w:rsidRPr="00E57A78" w:rsidRDefault="000B36DB" w:rsidP="00B20EFD">
      <w:pPr>
        <w:keepNext/>
        <w:tabs>
          <w:tab w:val="left" w:pos="284"/>
          <w:tab w:val="left" w:pos="567"/>
          <w:tab w:val="left" w:pos="851"/>
          <w:tab w:val="left" w:pos="1134"/>
          <w:tab w:val="left" w:pos="1418"/>
          <w:tab w:val="left" w:pos="1701"/>
          <w:tab w:val="left" w:pos="1985"/>
          <w:tab w:val="left" w:pos="2268"/>
        </w:tabs>
        <w:spacing w:after="120"/>
        <w:jc w:val="both"/>
        <w:rPr>
          <w:rFonts w:ascii="Times New Roman" w:hAnsi="Times New Roman" w:cs="Times New Roman"/>
          <w:noProof/>
          <w:sz w:val="24"/>
          <w:szCs w:val="24"/>
        </w:rPr>
      </w:pPr>
      <w:r>
        <w:rPr>
          <w:rFonts w:ascii="Times New Roman" w:hAnsi="Times New Roman"/>
          <w:noProof/>
          <w:sz w:val="24"/>
          <w:szCs w:val="24"/>
        </w:rPr>
        <w:t xml:space="preserve">3.1. </w:t>
      </w:r>
      <w:r>
        <w:rPr>
          <w:rFonts w:ascii="Times New Roman" w:hAnsi="Times New Roman"/>
          <w:noProof/>
          <w:sz w:val="24"/>
          <w:szCs w:val="24"/>
          <w:u w:val="single"/>
        </w:rPr>
        <w:t>Unionin rautateitä koskevan säännöstön täytäntöönpanon parantaminen ja yhteentoimivuustavoitteen vauhdittaminen</w:t>
      </w:r>
    </w:p>
    <w:p w14:paraId="5961A212" w14:textId="4F33C189"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Sääntöjen yhdenmukaistamisen ja markkinoiden avaamisen toteuttamiseksi on keskeisen tärkeää varmistaa, että nykyinen unionin sääntelykehys pannaan asianmukaisesti ja kaikilta osin täytäntöön. Komissio jatkaa yhteistyössä jäsenvaltioiden kanssa toimia sen varmistamiseksi, että rautateitä koskeva säännöstö</w:t>
      </w:r>
      <w:r w:rsidRPr="00E57A78">
        <w:rPr>
          <w:rStyle w:val="FootnoteReference"/>
          <w:rFonts w:ascii="Times New Roman" w:hAnsi="Times New Roman" w:cs="Times New Roman"/>
          <w:noProof/>
          <w:sz w:val="24"/>
          <w:szCs w:val="24"/>
          <w:lang w:val="en-IE"/>
        </w:rPr>
        <w:footnoteReference w:id="25"/>
      </w:r>
      <w:r>
        <w:rPr>
          <w:rFonts w:ascii="Times New Roman" w:hAnsi="Times New Roman"/>
          <w:noProof/>
          <w:sz w:val="24"/>
          <w:szCs w:val="24"/>
        </w:rPr>
        <w:t xml:space="preserve"> pannaan täytäntöön ja sitä sovelletaan asianmukaisesti ja kaikilta osin, mukaan lukien mahdollisten tarpeettomien kansallisten sääntöjen poistaminen</w:t>
      </w:r>
      <w:r w:rsidRPr="00E57A78">
        <w:rPr>
          <w:rStyle w:val="FootnoteReference"/>
          <w:rFonts w:ascii="Times New Roman" w:hAnsi="Times New Roman" w:cs="Times New Roman"/>
          <w:noProof/>
          <w:sz w:val="24"/>
          <w:szCs w:val="24"/>
          <w:lang w:val="en-IE"/>
        </w:rPr>
        <w:footnoteReference w:id="26"/>
      </w:r>
      <w:r>
        <w:rPr>
          <w:rFonts w:ascii="Times New Roman" w:hAnsi="Times New Roman"/>
          <w:noProof/>
          <w:sz w:val="24"/>
          <w:szCs w:val="24"/>
        </w:rPr>
        <w:t xml:space="preserve">. Erilaisten järjestelmien käytöstä johtuvat tekniset ja operatiiviset esteet vaikeuttavat rajatylittävää liikennettä ja nostavat kustannuksia, ja tässä yhteydessä Euroopan rautatieliikenteen hallintajärjestelmän (ERMTS) käyttöönotto on äärimmäisen tärkeää hyötyjen tuottamiseksi matkustajille.  </w:t>
      </w:r>
    </w:p>
    <w:p w14:paraId="634C2C0D" w14:textId="4302890A"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ERTMS:n käyttöönottoa ja siihen liittyvää aiempien sukupolvien merkinantojärjestelmien (luokan B järjestelmien) käytöstäpoistoa on nopeutettava. Näin parannetaan verkon suoritustasoa ja lisätään kapasiteettia pienemmin kustannuksin kuin rakentamalla uutta infrastruktuuria</w:t>
      </w:r>
      <w:r w:rsidRPr="00E57A78">
        <w:rPr>
          <w:rStyle w:val="FootnoteReference"/>
          <w:rFonts w:ascii="Times New Roman" w:hAnsi="Times New Roman" w:cs="Times New Roman"/>
          <w:noProof/>
          <w:sz w:val="24"/>
          <w:szCs w:val="24"/>
          <w:lang w:val="en-IE"/>
        </w:rPr>
        <w:footnoteReference w:id="27"/>
      </w:r>
      <w:r>
        <w:rPr>
          <w:rFonts w:ascii="Times New Roman" w:hAnsi="Times New Roman"/>
          <w:noProof/>
          <w:sz w:val="24"/>
          <w:szCs w:val="24"/>
        </w:rPr>
        <w:t xml:space="preserve">. Lisäksi rataverkon haltijoille saadaan merkittäviä säästöjä ylläpitokustannuksissa. Yleisesti on todettu ja kokemus on osoittanut, että ERTMS:n kaltaisten järjestelmien ja asianmukaisen linjasuojastuksen käytöllä voidaan olemassa olevan infrastruktuurin kapasiteettia lisätä jopa 40 prosenttia. Järjestelmän ripeän ja laajan käyttöönoton esteenä on edelleen edelläkävijän epäedullinen asema, joka vaikuttaa erityisesti sellaisiin rautatieliikenteen harjoittajiin, jotka toteuttavat jälkiasennuksia, ennen kuin uusi teknologia on kokonaan käytössä ja kykenee tuottamaan kaikki hyödyt. </w:t>
      </w:r>
    </w:p>
    <w:p w14:paraId="32F1741B" w14:textId="625AF8F9" w:rsidR="000B36DB" w:rsidRPr="00E57A78" w:rsidRDefault="00044D30"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Komissio ehdottaa TEN-T-asetuksen</w:t>
      </w:r>
      <w:r w:rsidR="000B36DB" w:rsidRPr="00E57A78">
        <w:rPr>
          <w:rStyle w:val="FootnoteReference"/>
          <w:rFonts w:ascii="Times New Roman" w:hAnsi="Times New Roman" w:cs="Times New Roman"/>
          <w:noProof/>
          <w:sz w:val="24"/>
          <w:szCs w:val="24"/>
          <w:lang w:val="en-IE"/>
        </w:rPr>
        <w:footnoteReference w:id="28"/>
      </w:r>
      <w:r>
        <w:rPr>
          <w:rFonts w:ascii="Times New Roman" w:hAnsi="Times New Roman"/>
          <w:noProof/>
          <w:sz w:val="24"/>
          <w:szCs w:val="24"/>
        </w:rPr>
        <w:t xml:space="preserve"> uudelleentarkastelun yhteydessä (radiopohjaisen) ERTMS-järjestelmän käyttöönoton aikaistamista vuodesta 2050 vuoteen 2040 kattavassa verkossa sekä hiljattain esitellyssä laajennetussa ydinverkossa. Komissiota avustaa näissä toimissa ERMTS-järjestelmää varten nimetty TEN-T-koordinaattori. Vuodeksi 2022 suunnitellut yhteentoimivuuden teknisten eritelmien tarkistukset sisältävät parannettuja prosesseja uusien teknologioiden käyttöönottamiseksi. Ne tasoittavat tietä junaliikenteen automatisoinnille, 5G:n käyttöönotolle rautatieliikenteen viestinnässä ja mahdollisesti satelliittipohjaisten palvelujen käyttöönotolle verkossa. Uusia yhteentoimivia järjestelmiä tuetaan unionin tutkimusohjelmilla. Euroopan rautatiet </w:t>
      </w:r>
      <w:r>
        <w:rPr>
          <w:rFonts w:ascii="Times New Roman" w:hAnsi="Times New Roman"/>
          <w:noProof/>
          <w:sz w:val="24"/>
          <w:szCs w:val="24"/>
        </w:rPr>
        <w:noBreakHyphen/>
        <w:t>yhteisyrityksen</w:t>
      </w:r>
      <w:r w:rsidR="00D4003A" w:rsidRPr="00E57A78">
        <w:rPr>
          <w:rStyle w:val="FootnoteReference"/>
          <w:rFonts w:ascii="Times New Roman" w:hAnsi="Times New Roman" w:cs="Times New Roman"/>
          <w:noProof/>
          <w:sz w:val="24"/>
          <w:szCs w:val="24"/>
          <w:lang w:val="en-IE"/>
        </w:rPr>
        <w:footnoteReference w:id="29"/>
      </w:r>
      <w:r>
        <w:rPr>
          <w:rFonts w:ascii="Times New Roman" w:hAnsi="Times New Roman"/>
          <w:noProof/>
          <w:sz w:val="24"/>
          <w:szCs w:val="24"/>
        </w:rPr>
        <w:t xml:space="preserve"> myötä käyttöönotettu järjestelmäpilari tarjoaa mekanismin, jonka avulla voidaan siirtyä kohti yhdenmukaistettua innovatiivista kehystä, aiemman Shift2Rail-yhteisyrityksen aikaansaamia tuloksia hyödyntäen.</w:t>
      </w:r>
    </w:p>
    <w:tbl>
      <w:tblPr>
        <w:tblStyle w:val="TableGrid"/>
        <w:tblW w:w="0" w:type="auto"/>
        <w:tblLook w:val="04A0" w:firstRow="1" w:lastRow="0" w:firstColumn="1" w:lastColumn="0" w:noHBand="0" w:noVBand="1"/>
      </w:tblPr>
      <w:tblGrid>
        <w:gridCol w:w="9062"/>
      </w:tblGrid>
      <w:tr w:rsidR="000B36DB" w:rsidRPr="00E57A78" w14:paraId="6F8F5DF6" w14:textId="77777777" w:rsidTr="00BA0F8D">
        <w:tc>
          <w:tcPr>
            <w:tcW w:w="9062" w:type="dxa"/>
          </w:tcPr>
          <w:p w14:paraId="40EF11EF"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ind w:firstLine="720"/>
              <w:jc w:val="both"/>
              <w:rPr>
                <w:rFonts w:ascii="Times New Roman" w:hAnsi="Times New Roman" w:cs="Times New Roman"/>
                <w:noProof/>
                <w:sz w:val="24"/>
                <w:szCs w:val="24"/>
              </w:rPr>
            </w:pPr>
          </w:p>
          <w:p w14:paraId="2E8FD006" w14:textId="4F5F6192"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306C6FE0" w14:textId="1B1F2EDC" w:rsidR="000A6F2A" w:rsidRPr="00E57A78" w:rsidRDefault="00B65ABD" w:rsidP="000A6F2A">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vauhdittaa työtä neljän rautatiepaketin täytäntöönpanon ja asianmukaisen soveltamisen varmistamiseksi;</w:t>
            </w:r>
          </w:p>
          <w:p w14:paraId="263DAF49" w14:textId="77777777" w:rsidR="000A6F2A" w:rsidRPr="00E57A78" w:rsidRDefault="000A6F2A" w:rsidP="000A6F2A">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vauhdittaa toimia kansallisten operatiivisten ja infrastruktuuria koskevien sääntöjen poistamiseksi sekä jatkaa käyttöönottosuunnitelmien kehittämistä yhteentoimivuuden teknisten eritelmien täytäntöönpanemiseksi, jotta varmistetaan eritelmien yhdenmukaisuus rajojen yli;</w:t>
            </w:r>
          </w:p>
          <w:p w14:paraId="192EEF57" w14:textId="35158050" w:rsidR="00B65ABD" w:rsidRPr="00E57A78" w:rsidRDefault="000A6F2A" w:rsidP="000A6F2A">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ehdottaa TEN-T-asetuksen tarkistamisen yhteydessä ERTMS:n käyttöönoton nopeuttamista (aikaistamalla sen käyttöönottoa kattavassa verkossa vuodesta 2050 vuoteen 2040 ja ydinverkossa siten, että käyttöönotto tapahtuisi vuoteen 2030 mennessä);</w:t>
            </w:r>
          </w:p>
          <w:p w14:paraId="41296AC9" w14:textId="791ECA73" w:rsidR="00B65ABD" w:rsidRPr="00E57A78" w:rsidRDefault="00B65ABD" w:rsidP="002A73F7">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ehdottaa yhteentoimivuuden teknisten eritelmien tarkistamista vuonna 2022;</w:t>
            </w:r>
          </w:p>
          <w:p w14:paraId="5E2C339F" w14:textId="590F8D6B"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jatkaa pyrkimyksiään</w:t>
            </w:r>
          </w:p>
          <w:p w14:paraId="60C53280" w14:textId="08AD5B45" w:rsidR="000B36DB" w:rsidRPr="00E57A78" w:rsidRDefault="000B36DB" w:rsidP="00BA0F8D">
            <w:pPr>
              <w:tabs>
                <w:tab w:val="left" w:pos="284"/>
                <w:tab w:val="left" w:pos="567"/>
                <w:tab w:val="left" w:pos="851"/>
                <w:tab w:val="left" w:pos="1134"/>
                <w:tab w:val="left" w:pos="1418"/>
                <w:tab w:val="left" w:pos="1701"/>
                <w:tab w:val="left" w:pos="1985"/>
                <w:tab w:val="left" w:pos="2268"/>
              </w:tabs>
              <w:ind w:left="567" w:hanging="567"/>
              <w:jc w:val="both"/>
              <w:rPr>
                <w:rFonts w:ascii="Times New Roman" w:hAnsi="Times New Roman" w:cs="Times New Roman"/>
                <w:noProof/>
                <w:sz w:val="24"/>
                <w:szCs w:val="24"/>
              </w:rPr>
            </w:pPr>
            <w:r>
              <w:rPr>
                <w:rFonts w:ascii="Times New Roman" w:hAnsi="Times New Roman"/>
                <w:noProof/>
                <w:sz w:val="24"/>
                <w:szCs w:val="24"/>
              </w:rPr>
              <w:tab/>
              <w:t>–</w:t>
            </w:r>
            <w:r>
              <w:rPr>
                <w:rFonts w:ascii="Times New Roman" w:hAnsi="Times New Roman"/>
                <w:noProof/>
                <w:sz w:val="24"/>
                <w:szCs w:val="24"/>
              </w:rPr>
              <w:tab/>
              <w:t>sen varmistamiseksi, että unionin yhdenmukaistettuja teknisiä eritelmiä ja yhteisiä turvallisuusmenetelmiä noudatetaan kaikilta osin ja tarkasti muun muassa omaksumalla tiukka lähestymistapa poikkeuksiin;</w:t>
            </w:r>
          </w:p>
          <w:p w14:paraId="082F4D3E" w14:textId="36493071" w:rsidR="000B36DB" w:rsidRPr="00E57A78" w:rsidRDefault="000B36DB" w:rsidP="00BA0F8D">
            <w:pPr>
              <w:tabs>
                <w:tab w:val="left" w:pos="284"/>
                <w:tab w:val="left" w:pos="567"/>
                <w:tab w:val="left" w:pos="851"/>
                <w:tab w:val="left" w:pos="1134"/>
                <w:tab w:val="left" w:pos="1418"/>
                <w:tab w:val="left" w:pos="1701"/>
                <w:tab w:val="left" w:pos="1985"/>
                <w:tab w:val="left" w:pos="2268"/>
              </w:tabs>
              <w:ind w:left="567" w:hanging="567"/>
              <w:jc w:val="both"/>
              <w:rPr>
                <w:rFonts w:ascii="Times New Roman" w:hAnsi="Times New Roman" w:cs="Times New Roman"/>
                <w:noProof/>
                <w:sz w:val="24"/>
                <w:szCs w:val="24"/>
              </w:rPr>
            </w:pPr>
            <w:r>
              <w:rPr>
                <w:rFonts w:ascii="Times New Roman" w:hAnsi="Times New Roman"/>
                <w:noProof/>
                <w:sz w:val="24"/>
                <w:szCs w:val="24"/>
              </w:rPr>
              <w:tab/>
              <w:t xml:space="preserve">– </w:t>
            </w:r>
            <w:r>
              <w:rPr>
                <w:rFonts w:ascii="Times New Roman" w:hAnsi="Times New Roman"/>
                <w:noProof/>
                <w:sz w:val="24"/>
                <w:szCs w:val="24"/>
              </w:rPr>
              <w:tab/>
              <w:t>keskeisten uusien teknologioiden ja sovellusten markkinoilletulon nopeuttamiseksi ja sen varmistamiseksi, että niihin liittyvät uudet vaatimukset</w:t>
            </w:r>
            <w:r w:rsidR="001828EB" w:rsidRPr="00E57A78">
              <w:rPr>
                <w:rStyle w:val="FootnoteReference"/>
                <w:rFonts w:ascii="Times New Roman" w:hAnsi="Times New Roman" w:cs="Times New Roman"/>
                <w:noProof/>
                <w:sz w:val="24"/>
                <w:szCs w:val="24"/>
                <w:lang w:val="en-IE"/>
              </w:rPr>
              <w:footnoteReference w:id="30"/>
            </w:r>
            <w:r>
              <w:rPr>
                <w:rFonts w:ascii="Times New Roman" w:hAnsi="Times New Roman"/>
                <w:noProof/>
                <w:sz w:val="24"/>
                <w:szCs w:val="24"/>
              </w:rPr>
              <w:t xml:space="preserve"> ja standardit pannaan unionissa yhdenmukaisesti täytäntöön, oikeudellisen, teknisen ja taloudellisen tuen avulla;</w:t>
            </w:r>
          </w:p>
          <w:p w14:paraId="19B2F6DA" w14:textId="5BB16D92" w:rsidR="000B36DB" w:rsidRPr="00E57A78" w:rsidRDefault="000B36DB" w:rsidP="00BA0F8D">
            <w:pPr>
              <w:tabs>
                <w:tab w:val="left" w:pos="284"/>
                <w:tab w:val="left" w:pos="567"/>
                <w:tab w:val="left" w:pos="851"/>
                <w:tab w:val="left" w:pos="1134"/>
                <w:tab w:val="left" w:pos="1418"/>
                <w:tab w:val="left" w:pos="1701"/>
                <w:tab w:val="left" w:pos="1985"/>
                <w:tab w:val="left" w:pos="2268"/>
              </w:tabs>
              <w:ind w:left="567" w:hanging="567"/>
              <w:jc w:val="both"/>
              <w:rPr>
                <w:rFonts w:ascii="Times New Roman" w:hAnsi="Times New Roman" w:cs="Times New Roman"/>
                <w:noProof/>
                <w:sz w:val="24"/>
                <w:szCs w:val="24"/>
              </w:rPr>
            </w:pPr>
            <w:r>
              <w:rPr>
                <w:rFonts w:ascii="Times New Roman" w:hAnsi="Times New Roman"/>
                <w:noProof/>
                <w:sz w:val="24"/>
                <w:szCs w:val="24"/>
              </w:rPr>
              <w:tab/>
              <w:t xml:space="preserve">– </w:t>
            </w:r>
            <w:r>
              <w:rPr>
                <w:rFonts w:ascii="Times New Roman" w:hAnsi="Times New Roman"/>
                <w:noProof/>
                <w:sz w:val="24"/>
                <w:szCs w:val="24"/>
              </w:rPr>
              <w:tab/>
              <w:t xml:space="preserve">sen varmistamiseksi, että yhteentoimivuuden teknisissä eritelmissä huolehditaan kaikkien rautatiejärjestelmien rajapintojen riittävästä standardisoinnista; </w:t>
            </w:r>
          </w:p>
          <w:p w14:paraId="01B4CCEF"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jatkaa toimia edistääkseen infrastruktuurin varustamista ERTMS-järjestelmällä kiinnittäen erityistä huomiota nykyisiin aukkokohtiin, kuten rajanylitys- ja solmukohtiin ja terminaaliyhteyksiin;</w:t>
            </w:r>
          </w:p>
          <w:p w14:paraId="3DBAE846" w14:textId="77777777" w:rsidR="00C343B0"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 xml:space="preserve">hyödyntää Euroopan rautatiet </w:t>
            </w:r>
            <w:r>
              <w:rPr>
                <w:rFonts w:ascii="Times New Roman" w:hAnsi="Times New Roman"/>
                <w:noProof/>
                <w:sz w:val="24"/>
                <w:szCs w:val="24"/>
              </w:rPr>
              <w:noBreakHyphen/>
              <w:t>yhteisyrityksen tekemää työtä ja edistää innovaatioiden ripeämpää ja koordinoitua käyttöönottoa järjestelmäpilarin avulla;</w:t>
            </w:r>
          </w:p>
          <w:p w14:paraId="1026A819" w14:textId="1E4F2571" w:rsidR="000B36DB" w:rsidRPr="00E57A78" w:rsidRDefault="00C343B0"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 keskustella mahdollisuudesta vapauttaa ERTMS:n julkinen rahoitus valtiontukisääntöjen mukaisesta ilmoitusvelvollisuudesta, mikä voisi nopeuttaa ERTMS:n käyttöönottoa.</w:t>
            </w:r>
          </w:p>
          <w:p w14:paraId="04893FDD" w14:textId="6ECBA53C" w:rsidR="002B56C1" w:rsidRPr="00F90CF6" w:rsidRDefault="002B56C1"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p>
          <w:p w14:paraId="158ECF4F" w14:textId="5D5C115A" w:rsidR="002B56C1" w:rsidRPr="00E57A78" w:rsidRDefault="002B56C1"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Euroopan unionin rautatieviraston pitäisi</w:t>
            </w:r>
          </w:p>
          <w:p w14:paraId="4A17F186" w14:textId="75D7F90C" w:rsidR="00295EDC" w:rsidRPr="00E57A78" w:rsidRDefault="00295EDC" w:rsidP="00295EDC">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tukea komission pyrkimyksiä oikea-aikaisella neuvonnalla, teknisillä ehdotuksilla ja erityisesti yhteentoimivuuden teknisten eritelmien tarkistamista koskevilla suosituksilla;</w:t>
            </w:r>
          </w:p>
          <w:p w14:paraId="13998A82" w14:textId="30D431C6" w:rsidR="00295EDC" w:rsidRPr="00E57A78" w:rsidRDefault="00295EDC" w:rsidP="00295EDC">
            <w:pPr>
              <w:pStyle w:val="ListParagraph"/>
              <w:numPr>
                <w:ilvl w:val="0"/>
                <w:numId w:val="2"/>
              </w:numPr>
              <w:tabs>
                <w:tab w:val="left" w:pos="284"/>
                <w:tab w:val="left" w:pos="360"/>
                <w:tab w:val="left" w:pos="1134"/>
                <w:tab w:val="left" w:pos="1418"/>
                <w:tab w:val="left" w:pos="1701"/>
                <w:tab w:val="left" w:pos="1985"/>
                <w:tab w:val="left" w:pos="2268"/>
              </w:tabs>
              <w:ind w:left="313"/>
              <w:jc w:val="both"/>
              <w:rPr>
                <w:rFonts w:ascii="Times New Roman" w:hAnsi="Times New Roman" w:cs="Times New Roman"/>
                <w:noProof/>
                <w:sz w:val="24"/>
                <w:szCs w:val="24"/>
              </w:rPr>
            </w:pPr>
            <w:r>
              <w:rPr>
                <w:rFonts w:ascii="Times New Roman" w:hAnsi="Times New Roman"/>
                <w:noProof/>
                <w:sz w:val="24"/>
                <w:szCs w:val="24"/>
              </w:rPr>
              <w:t>jatkaa jäsenvaltioiden kanssa tehtävää työtä unionin tasolla yhdenmukaistettujen kansallisten teknisten, operatiivisten ja turvallisuussääntöjen poistamiseksi ja saattaa tämä työ päätökseen;</w:t>
            </w:r>
          </w:p>
          <w:p w14:paraId="05557C3F" w14:textId="4DE95339" w:rsidR="002B56C1" w:rsidRPr="00E57A78" w:rsidRDefault="00295EDC" w:rsidP="00295EDC">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 xml:space="preserve">tukea Euroopan rautatiet </w:t>
            </w:r>
            <w:r>
              <w:rPr>
                <w:rFonts w:ascii="Times New Roman" w:hAnsi="Times New Roman"/>
                <w:noProof/>
                <w:sz w:val="24"/>
                <w:szCs w:val="24"/>
              </w:rPr>
              <w:noBreakHyphen/>
              <w:t>yhteisyritystä järjestelmäpilarin yhteydessä.</w:t>
            </w:r>
          </w:p>
          <w:p w14:paraId="360B6E33"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6A14927D" w14:textId="4DC8F448" w:rsidR="000B36DB" w:rsidRPr="00F90CF6"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p>
    <w:p w14:paraId="31503F28" w14:textId="540B03F8" w:rsidR="00D4003A" w:rsidRPr="00E57A78" w:rsidRDefault="00C667CA" w:rsidP="006043B9">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3.2. </w:t>
      </w:r>
      <w:r>
        <w:rPr>
          <w:rFonts w:ascii="Times New Roman" w:hAnsi="Times New Roman"/>
          <w:noProof/>
          <w:sz w:val="24"/>
          <w:szCs w:val="24"/>
          <w:u w:val="single"/>
        </w:rPr>
        <w:t>Rautateiden henkilöliikenteen infrastruktuurin vahvistaminen</w:t>
      </w:r>
    </w:p>
    <w:p w14:paraId="23F6C423" w14:textId="177C3E97" w:rsidR="00061AAE" w:rsidRPr="00E57A78" w:rsidRDefault="00C667CA"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Asetuksessa (EU) N:o 1315/2013 määritelty Euroopan laajuinen liikenneverkko kattaa ydinverkon, joka on määrä toteuttaa vuoteen 2030 mennessä, sekä kattavan verkon, joka on määrä toteuttaa vuoteen 2050 mennessä. TEN-T-verkkoa koskevassa toimintapolitiikassa on alettu keskittyä voimakkaammin rajatylittäviin yhteyksiin. Siinä tärkeimmät yhteydet on järjestetty käytäviksi koordinoidun suunnittelun ja täytäntöönpanon varmistamiseksi. TEN-T-verkkoa koskevalla toimintapolitiikalla on myös luotu vankka perusta naapurimaiden kanssa tehtävän yhteistyön tiivistämiselle infrastruktuurin suunnittelua ja kehittämistä koskevissa kysymyksissä. Keskeiset EU:n ja kolmansien maiden väliset reitit ovat olennaisen tärkeitä eurooppalaisen rautatieverkon täydentämiseksi, ja unionin jäsenyys valtioiden välisessä kansainvälisten rautatiekuljetusten järjestössä (OTIF) auttaa osaltaan varmistamaan, että eurooppalaisia teknisiä vaatimuksia voidaan soveltaa myös unionin rautatieverkon ulkopuolella.</w:t>
      </w:r>
    </w:p>
    <w:p w14:paraId="34396BD3" w14:textId="26689623" w:rsidR="00D4003A" w:rsidRPr="00E57A78" w:rsidRDefault="00C667CA"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Euroopan laajuisen liikenneverkon (TEN-T) toteuttamista edistävistä yhdenmukaistamistoimenpiteistä 7. heinäkuuta 2021 annetulla direktiivillä</w:t>
      </w:r>
      <w:r w:rsidRPr="00E57A78">
        <w:rPr>
          <w:rStyle w:val="FootnoteReference"/>
          <w:rFonts w:ascii="Times New Roman" w:hAnsi="Times New Roman" w:cs="Times New Roman"/>
          <w:noProof/>
          <w:sz w:val="24"/>
          <w:szCs w:val="24"/>
          <w:lang w:val="en-IE"/>
        </w:rPr>
        <w:footnoteReference w:id="31"/>
      </w:r>
      <w:r>
        <w:rPr>
          <w:rFonts w:ascii="Times New Roman" w:hAnsi="Times New Roman"/>
          <w:noProof/>
          <w:sz w:val="24"/>
          <w:szCs w:val="24"/>
        </w:rPr>
        <w:t xml:space="preserve"> nopeutetaan hankkeiden lupamenettelyjä. Rautatieinfrastruktuuri on myös vuosina 2021–2027 merkittävin Verkkojen Eurooppa </w:t>
      </w:r>
      <w:r>
        <w:rPr>
          <w:rFonts w:ascii="Times New Roman" w:hAnsi="Times New Roman"/>
          <w:noProof/>
          <w:sz w:val="24"/>
          <w:szCs w:val="24"/>
        </w:rPr>
        <w:noBreakHyphen/>
        <w:t>välineellä tuettava ala, ja lisäksi sitä tuetaan jatkossakin myös koheesiorahastosta</w:t>
      </w:r>
      <w:r w:rsidRPr="00E57A78">
        <w:rPr>
          <w:rStyle w:val="FootnoteReference"/>
          <w:rFonts w:ascii="Times New Roman" w:hAnsi="Times New Roman" w:cs="Times New Roman"/>
          <w:noProof/>
          <w:sz w:val="24"/>
          <w:szCs w:val="24"/>
          <w:lang w:val="en-IE"/>
        </w:rPr>
        <w:footnoteReference w:id="32"/>
      </w:r>
      <w:r>
        <w:rPr>
          <w:rFonts w:ascii="Times New Roman" w:hAnsi="Times New Roman"/>
          <w:noProof/>
          <w:sz w:val="24"/>
          <w:szCs w:val="24"/>
        </w:rPr>
        <w:t xml:space="preserve"> ja Euroopan aluekehitysrahastosta</w:t>
      </w:r>
      <w:r w:rsidRPr="00E57A78">
        <w:rPr>
          <w:rStyle w:val="FootnoteReference"/>
          <w:rFonts w:ascii="Times New Roman" w:hAnsi="Times New Roman" w:cs="Times New Roman"/>
          <w:noProof/>
          <w:sz w:val="24"/>
          <w:szCs w:val="24"/>
          <w:lang w:val="en-IE"/>
        </w:rPr>
        <w:footnoteReference w:id="33"/>
      </w:r>
      <w:r>
        <w:rPr>
          <w:rFonts w:ascii="Times New Roman" w:hAnsi="Times New Roman"/>
          <w:noProof/>
          <w:sz w:val="24"/>
          <w:szCs w:val="24"/>
        </w:rPr>
        <w:t>.</w:t>
      </w:r>
    </w:p>
    <w:p w14:paraId="06F69D1C" w14:textId="3C1B20C0" w:rsidR="00C667CA" w:rsidRPr="00E57A78" w:rsidRDefault="00C667CA"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TEN-T-verkkoa koskevien suuntaviivojen tarkistamisesta annetulla ehdotuksella edistetään merkittävästi rajatylittävän henkilöliikenteen rautatieverkkoa. Ehdotukseen sisältyy kartta henkilöliikenteen tärkeimmistä suurnopeusradoista, jotka on saatava valmiiksi vuoteen 2030 mennessä, sekä muista radoista, jotka ovat osa TEN-T-verkon strategisesti tärkeimpiä yhteyksiä ja jotka on toteu</w:t>
      </w:r>
      <w:r w:rsidR="00635228">
        <w:rPr>
          <w:rFonts w:ascii="Times New Roman" w:hAnsi="Times New Roman"/>
          <w:noProof/>
          <w:sz w:val="24"/>
          <w:szCs w:val="24"/>
        </w:rPr>
        <w:t xml:space="preserve">tettava vuoteen 2040 mennessä. </w:t>
      </w:r>
      <w:r>
        <w:rPr>
          <w:rFonts w:ascii="Times New Roman" w:hAnsi="Times New Roman"/>
          <w:noProof/>
          <w:sz w:val="24"/>
          <w:szCs w:val="24"/>
        </w:rPr>
        <w:t xml:space="preserve">Nämä radat ulottuvat koko Euroopan mantereelle. Lisäksi ehdotetussa asetuksessa rautateiden henkilöliikennereittien tai TEN-T-ydinverkon ja hiljattain luodun laajennetun ydinverkon yhtenäiseksi vähimmäisnopeudeksi asetetaan 160 kilometriä tunnissa, ja sillä vahvistetaan tärkeiden solmukohtien välisiä yhteyksiä eri puolilla Eurooppaa. Nämä tavoitteet on määrä saavuttaa ydinverkon osalta vuoteen 2030 mennessä ja laajennetun ydinverkon osalta vuoteen 2040 mennessä. Lisäksi komissio ehdottaa, että unionin kaikki tärkeimmät lentoasemat sekä Euroopan suurten kaupunkien multimodaaliset matkustajakeskukset yhdistetään rautatieverkkoon, sillä matkustajat toivovat ovelta ovelle </w:t>
      </w:r>
      <w:r>
        <w:rPr>
          <w:rFonts w:ascii="Times New Roman" w:hAnsi="Times New Roman"/>
          <w:noProof/>
          <w:sz w:val="24"/>
          <w:szCs w:val="24"/>
        </w:rPr>
        <w:noBreakHyphen/>
        <w:t>liikenneratkaisuja.</w:t>
      </w:r>
    </w:p>
    <w:tbl>
      <w:tblPr>
        <w:tblStyle w:val="TableGrid"/>
        <w:tblW w:w="0" w:type="auto"/>
        <w:tblLook w:val="04A0" w:firstRow="1" w:lastRow="0" w:firstColumn="1" w:lastColumn="0" w:noHBand="0" w:noVBand="1"/>
      </w:tblPr>
      <w:tblGrid>
        <w:gridCol w:w="9062"/>
      </w:tblGrid>
      <w:tr w:rsidR="00C667CA" w:rsidRPr="00E57A78" w14:paraId="0863C6C1" w14:textId="77777777" w:rsidTr="00C667CA">
        <w:tc>
          <w:tcPr>
            <w:tcW w:w="9062" w:type="dxa"/>
          </w:tcPr>
          <w:p w14:paraId="644A03EA" w14:textId="77777777" w:rsidR="00C667CA" w:rsidRPr="00F90CF6" w:rsidRDefault="00C667CA" w:rsidP="00C667CA">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068517BB" w14:textId="0C4DA519" w:rsidR="00C667CA" w:rsidRPr="00E57A78" w:rsidRDefault="00C667CA" w:rsidP="00C667CA">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ehdottaa Euroopan laajuista liikenneverkkoa (TEN-T) koskevan asetuksen tarkistamista</w:t>
            </w:r>
            <w:r w:rsidRPr="00E57A78">
              <w:rPr>
                <w:rStyle w:val="FootnoteReference"/>
                <w:rFonts w:ascii="Times New Roman" w:hAnsi="Times New Roman" w:cs="Times New Roman"/>
                <w:noProof/>
                <w:sz w:val="24"/>
                <w:szCs w:val="24"/>
                <w:lang w:val="en-IE"/>
              </w:rPr>
              <w:footnoteReference w:id="34"/>
            </w:r>
            <w:r>
              <w:rPr>
                <w:rFonts w:ascii="Times New Roman" w:hAnsi="Times New Roman"/>
                <w:noProof/>
                <w:sz w:val="24"/>
                <w:szCs w:val="24"/>
              </w:rPr>
              <w:t>. Tarkistuksen tavoitteena on parantaa henkilöliikenteen rautatieverkkoa ja varmistetaan sen parempi liittäminen osaksi multimodaalista liikennejärjestelmää. Ehdotetulla tarkistetulla asetuksella</w:t>
            </w:r>
          </w:p>
          <w:p w14:paraId="3AEC0DBE" w14:textId="77777777" w:rsidR="00C667CA" w:rsidRPr="00E57A78" w:rsidRDefault="00C667CA" w:rsidP="00C667CA">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varmistetaan, että rautateiden henkilöliikenteen infrastruktuuri on uutta ja korkeatasoista;</w:t>
            </w:r>
          </w:p>
          <w:p w14:paraId="0CD7FD54" w14:textId="77777777" w:rsidR="00C667CA" w:rsidRPr="00E57A78" w:rsidRDefault="00C667CA" w:rsidP="00C667CA">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nostetaan vaatimusten ja täytäntöönpanon määräaikojen kunnianhimon tasoa;</w:t>
            </w:r>
          </w:p>
          <w:p w14:paraId="551E480C" w14:textId="77777777" w:rsidR="00C667CA" w:rsidRPr="00E57A78" w:rsidRDefault="00C667CA" w:rsidP="00C667CA">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 xml:space="preserve">varmistetaan, että ydinverkon ja laajennetun ydinverkon reittien vähimmäisnopeus on tulevaisuudessa 160 km/h; </w:t>
            </w:r>
          </w:p>
          <w:p w14:paraId="05BEC79C" w14:textId="77777777" w:rsidR="00C667CA" w:rsidRPr="00E57A78" w:rsidRDefault="00C667CA" w:rsidP="00C667CA">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 xml:space="preserve">varmistetaan voimakas pyrkimys ydinverkon toteuttamiseksi vuoteen 2030 mennessä ja muiden suunniteltujen suurnopeusrautatieyhteyksien toteuttamiseksi laajennetussa ydinverkossa vuoteen 2040 mennessä; </w:t>
            </w:r>
          </w:p>
          <w:p w14:paraId="02FC5795" w14:textId="6FD238B3" w:rsidR="00C667CA" w:rsidRPr="00E57A78" w:rsidRDefault="00C667CA" w:rsidP="00C667CA">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kiinnitetään erityistä huomiota ensimmäisen ja viimeisen osuuden yhteyksiin toteuttamalla kaikkiin EU:ssa sijaitseviin TEN-T-verkkoon liitettyihin yli 100 000 asukkaan kaupunkeihin multimodaalinen matkustajakeskus;</w:t>
            </w:r>
          </w:p>
          <w:p w14:paraId="39CC88C1" w14:textId="5E80931E" w:rsidR="00C667CA" w:rsidRPr="00E57A78" w:rsidRDefault="00C667CA" w:rsidP="00C667CA">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parannetaan kaikkien EU:n keskeisten lentoasemien ja matkustajamäärältään yli neljään miljoonaan yltävien EU:n lentoasemien yhteyksiä rautateihin.</w:t>
            </w:r>
          </w:p>
          <w:p w14:paraId="76A739DD" w14:textId="77777777" w:rsidR="00C667CA" w:rsidRPr="00F90CF6" w:rsidRDefault="00C667CA" w:rsidP="00C667CA">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272BE74E" w14:textId="486E714F" w:rsidR="00C667CA" w:rsidRPr="00F90CF6" w:rsidRDefault="00C667CA"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3244A372" w14:textId="77777777" w:rsidR="000B36DB" w:rsidRPr="00E57A78" w:rsidRDefault="000B36DB" w:rsidP="006043B9">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3.3. </w:t>
      </w:r>
      <w:r>
        <w:rPr>
          <w:rFonts w:ascii="Times New Roman" w:hAnsi="Times New Roman"/>
          <w:noProof/>
          <w:sz w:val="24"/>
          <w:szCs w:val="24"/>
          <w:u w:val="single"/>
        </w:rPr>
        <w:t>Liikkuvan kaluston saatavuus</w:t>
      </w:r>
    </w:p>
    <w:p w14:paraId="0E3F24AF" w14:textId="77777777"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Uusien rautatieliikennepalvelujen luominen edellyttää suuria investointeja liikkuvaan kalustoon joko rautatieyrityksiltä, liikkuvaa kalustoa vuokraavilta yrityksiltä tai toimivaltaisilta viranomaisilta, mikäli palvelu tarjotaan julkisen palvelun velvoitteen nojalla. </w:t>
      </w:r>
    </w:p>
    <w:p w14:paraId="685FE334" w14:textId="279C4572" w:rsidR="000B36DB" w:rsidRPr="00E57A78" w:rsidRDefault="00467FE6"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Useimpia kaukojunaliikenteen rajatylittäviä palveluja on mahdollista tarjota kaupallisesti, mutta näiden palvelujen edellyttämän liikkuvan kaluston saatavuus on varmistettava tekemällä tiettyjä alkupanostuksia. Liikkuvan kaluston saatavuutta voitaisiin parantaa esimerkiksi luomalla julkisella tuella rajatylittävän kaukojunaliikenteen liikkuvan kaluston pooleja tai lieventämällä vuokrausyritysten kaupallisia riskejä, jotka liittyvät rajatylittävän kaukojunaliikenteen liikkuvan kaluston hankintaan ja vuokraamiseen. Tasapuolisten toimintaedellytysten säilyttämiseksi tällainen julkinen tuki olisi myönnettävä selkeiden ja syrjimättömien puite-edellytysten perusteella. Myös voimassa olevien rautatieliikenteen suuntaviivojen</w:t>
      </w:r>
      <w:r w:rsidR="000B36DB" w:rsidRPr="00E57A78">
        <w:rPr>
          <w:rStyle w:val="FootnoteReference"/>
          <w:rFonts w:ascii="Times New Roman" w:hAnsi="Times New Roman" w:cs="Times New Roman"/>
          <w:noProof/>
          <w:sz w:val="24"/>
          <w:szCs w:val="24"/>
          <w:lang w:val="en-IE"/>
        </w:rPr>
        <w:footnoteReference w:id="35"/>
      </w:r>
      <w:r>
        <w:rPr>
          <w:rFonts w:ascii="Times New Roman" w:hAnsi="Times New Roman"/>
          <w:noProof/>
          <w:sz w:val="24"/>
          <w:szCs w:val="24"/>
        </w:rPr>
        <w:t xml:space="preserve"> mukaan liikkuvan kaluston rahoittamiseen voidaan myöntää valtiontukea, jos tuella edistetään yhteisen edun mukaista tavoitetta, varmistaen samalla tasapuoliset toimintaedellytykset rautatieyritysten ja liikkuvaa kalustoa vuokraavien yritysten välillä. Rautatieliikenteen suuntaviivojen parhaillaan meneillään olevan tarkistamisen yhteydessä aiotaan kiinnittää huomiota myös niihin tiedossa oleviin tekijöihin, jotka rajoittavat liikkuvan kaluston saatavuutta. Liikkuvaa kalustoa voidaan tietyin edellytyksin rahoittaa myös unionin koheesiopolitiikan rahastoista.</w:t>
      </w:r>
    </w:p>
    <w:p w14:paraId="6D119BF2" w14:textId="749F8304" w:rsidR="000A0A34"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Liikkuvan kaluston saatavuuden parantamiseksi Euroopan investointipankki (EIP) on käynnistämässä vihreän rautatieliikenteen investointialustaa</w:t>
      </w:r>
      <w:r w:rsidRPr="00E57A78">
        <w:rPr>
          <w:rStyle w:val="FootnoteReference"/>
          <w:rFonts w:ascii="Times New Roman" w:hAnsi="Times New Roman" w:cs="Times New Roman"/>
          <w:noProof/>
          <w:sz w:val="24"/>
          <w:szCs w:val="24"/>
          <w:lang w:val="en-IE"/>
        </w:rPr>
        <w:footnoteReference w:id="36"/>
      </w:r>
      <w:r>
        <w:rPr>
          <w:rFonts w:ascii="Times New Roman" w:hAnsi="Times New Roman"/>
          <w:noProof/>
          <w:sz w:val="24"/>
          <w:szCs w:val="24"/>
        </w:rPr>
        <w:t xml:space="preserve"> (Green Rail Investment Platform), jolla autetaan sekä julkisia että yksityisiä tahoja investoimaan rautatiehankkeisiin EIP:n olemassa olevien välineiden ja komission tarjoamien rahoitusvälineiden kautta. Alustan tavoitteena on tukea kestäviä investointeja rautateiden infrastruktuuriin, kalustoon ja digitalisaatioon. Lisäksi InvestEU-ohjelmasta</w:t>
      </w:r>
      <w:r w:rsidR="00D05A6F" w:rsidRPr="00E57A78">
        <w:rPr>
          <w:rStyle w:val="FootnoteReference"/>
          <w:rFonts w:ascii="Times New Roman" w:hAnsi="Times New Roman" w:cs="Times New Roman"/>
          <w:noProof/>
          <w:sz w:val="24"/>
          <w:szCs w:val="24"/>
          <w:lang w:val="en-IE"/>
        </w:rPr>
        <w:footnoteReference w:id="37"/>
      </w:r>
      <w:r>
        <w:rPr>
          <w:rFonts w:ascii="Times New Roman" w:hAnsi="Times New Roman"/>
          <w:noProof/>
          <w:sz w:val="24"/>
          <w:szCs w:val="24"/>
        </w:rPr>
        <w:t xml:space="preserve"> voidaan tukea tiettyjä valikoituja hankkeita, jotka koskevat rajatylittävässä tai pitkän matkan kaupallisessa henkilöliikenteessä tai rajatylittävässä suurnopeustavaraliikenteessä käytettävän liikkuvan kaluston hankintaa. EIP on tukenut viiden viime vuoden aikana rautatieinvestointeja unionissa lähes 17 miljardilla eurolla. Tästä lainoina myönnetystä tuesta yli 8,7 miljardia euroa on investoitu liikkuvaan kalustoon, muun muassa ERTMS:n edellyttämiin jälkiasennus- ja päivityshankkeisiin, ja lainamäärän odotetaan pysyvän samalla tasolla myös seuraavien viiden vuoden aikana.</w:t>
      </w:r>
      <w:r>
        <w:rPr>
          <w:noProof/>
        </w:rPr>
        <w:t xml:space="preserve"> </w:t>
      </w:r>
      <w:r>
        <w:rPr>
          <w:rFonts w:ascii="Times New Roman" w:hAnsi="Times New Roman"/>
          <w:noProof/>
          <w:sz w:val="24"/>
          <w:szCs w:val="24"/>
        </w:rPr>
        <w:t xml:space="preserve">InvestEU-ohjelman kautta voidaan myös tarjota ja houkutella yksityistä rahoitusta – sillä voidaan esimerkiksi edistää vihreitä joukkovelkakirjoja – sekä antaa neuvontaa innovatiivisten rautatieyritysten digitalisaation ja perustamisen tukemiseksi ja kestävän infrastruktuurin ja liikkuvan kaluston käyttöönottamiseksi. Unionin kestävän toiminnan luokitusjärjestelmän kaltaisia välineitä voidaan käyttää ohjenuorana varmistettaessa, että investoinnit ovat yhdenmukaisia unionin ilmasto- ja ympäristötavoitteiden kanssa. </w:t>
      </w:r>
    </w:p>
    <w:p w14:paraId="7223D159" w14:textId="2E48C5FE"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Neuvosto totesi 3. kesäkuuta 2021 antamissaan päätelmissä</w:t>
      </w:r>
      <w:r w:rsidRPr="00E57A78">
        <w:rPr>
          <w:rStyle w:val="FootnoteReference"/>
          <w:rFonts w:ascii="Times New Roman" w:hAnsi="Times New Roman" w:cs="Times New Roman"/>
          <w:noProof/>
          <w:sz w:val="24"/>
          <w:szCs w:val="24"/>
          <w:lang w:val="en-IE"/>
        </w:rPr>
        <w:footnoteReference w:id="38"/>
      </w:r>
      <w:r>
        <w:rPr>
          <w:rFonts w:ascii="Times New Roman" w:hAnsi="Times New Roman"/>
          <w:noProof/>
          <w:sz w:val="24"/>
          <w:szCs w:val="24"/>
        </w:rPr>
        <w:t>, että ”alan on investoitava merkittävästi kansainvälisen kaukoliikenteen liikkuvaan kalustoon” ja että ”yksityiseltä sektorilta tarvitaan kiireellisesti investointeja”, muistuttaen jäsenvaltioita ”yksityisiä investointeja helpottavien kansainvälisten sopimusten ja valtiosopimusten, kuten Kapkaupungin yleissopimukseen liitetyn Luxemburgin rautatiekalustopöytäkirjan [pöytäkirja liikkuvaan kalustoon kohdistuvista kansainvälisistä vakuusoikeuksista tehtyyn yleissopimukseen], olemassaolosta”. Unioni (toimivaltansa osalta) ja useat jäsenvaltiot ovat jo ratifioineet pöytäkirjan. Pöytäkirjan voimaantulon myötä yksityissektorin on helpompaa ja halvempaa rahoittaa rautateiden liikkuvaa kalustoa. Komissio aikoo edistää sen ripeää täytäntöönpanoa kaikkialla unionissa.</w:t>
      </w:r>
    </w:p>
    <w:p w14:paraId="5802D19F" w14:textId="10936B92" w:rsidR="000B36DB" w:rsidRPr="00E57A78" w:rsidRDefault="000B36DB" w:rsidP="006043B9">
      <w:pPr>
        <w:tabs>
          <w:tab w:val="left" w:pos="284"/>
          <w:tab w:val="left" w:pos="567"/>
          <w:tab w:val="left" w:pos="851"/>
          <w:tab w:val="left" w:pos="1134"/>
          <w:tab w:val="left" w:pos="1418"/>
          <w:tab w:val="left" w:pos="1701"/>
          <w:tab w:val="left" w:pos="1985"/>
          <w:tab w:val="left" w:pos="2268"/>
          <w:tab w:val="left" w:pos="6096"/>
        </w:tabs>
        <w:spacing w:after="240"/>
        <w:jc w:val="both"/>
        <w:rPr>
          <w:rFonts w:ascii="Times New Roman" w:hAnsi="Times New Roman" w:cs="Times New Roman"/>
          <w:noProof/>
          <w:sz w:val="24"/>
          <w:szCs w:val="24"/>
        </w:rPr>
      </w:pPr>
      <w:r>
        <w:rPr>
          <w:rFonts w:ascii="Times New Roman" w:hAnsi="Times New Roman"/>
          <w:noProof/>
          <w:sz w:val="24"/>
          <w:szCs w:val="24"/>
        </w:rPr>
        <w:t>Liikkuvaa kalustoa ja infrastruktuuria koskevien yhteentoimivuusvaatimusten asteittaisen täytäntöönpanon myötä veturit, junayksiköt ja matkustajavaunut voivat ylittää rajat vapaasti ja niitä voidaan käyttää useissa (tai kaikissa) unionin verkoissa. Tällainen liikkuva kalusto, jota voidaan käyttää kaikkialla, helpottaa rajatylittävien palvelujen järjestämistä ja harjoittamista, ja se pienentäisi huomattavasti sijoittajille ja lainanantajille koituvaa jäännösarvoriskiä. Komissio aikoo ensisijaisena tavoitteena kehittää vuoteen 2022 mennessä vaatimuksia, jotka mahdollistavat liikkuvan kaluston käytön kaikkialla.</w:t>
      </w:r>
    </w:p>
    <w:tbl>
      <w:tblPr>
        <w:tblStyle w:val="TableGrid"/>
        <w:tblW w:w="0" w:type="auto"/>
        <w:tblInd w:w="-5" w:type="dxa"/>
        <w:tblLook w:val="04A0" w:firstRow="1" w:lastRow="0" w:firstColumn="1" w:lastColumn="0" w:noHBand="0" w:noVBand="1"/>
      </w:tblPr>
      <w:tblGrid>
        <w:gridCol w:w="9067"/>
      </w:tblGrid>
      <w:tr w:rsidR="00E57A78" w:rsidRPr="00E57A78" w14:paraId="788E9E0A" w14:textId="77777777" w:rsidTr="00BA0F8D">
        <w:tc>
          <w:tcPr>
            <w:tcW w:w="9067" w:type="dxa"/>
          </w:tcPr>
          <w:p w14:paraId="1A095593" w14:textId="77777777" w:rsidR="000B36DB" w:rsidRPr="00F90CF6" w:rsidRDefault="000B36DB" w:rsidP="002A73F7">
            <w:pPr>
              <w:tabs>
                <w:tab w:val="left" w:pos="284"/>
                <w:tab w:val="left" w:pos="567"/>
                <w:tab w:val="left" w:pos="851"/>
                <w:tab w:val="left" w:pos="1134"/>
                <w:tab w:val="left" w:pos="1418"/>
                <w:tab w:val="left" w:pos="1701"/>
                <w:tab w:val="left" w:pos="1985"/>
                <w:tab w:val="left" w:pos="2268"/>
                <w:tab w:val="left" w:pos="6096"/>
              </w:tabs>
              <w:jc w:val="both"/>
              <w:rPr>
                <w:rFonts w:ascii="Times New Roman" w:hAnsi="Times New Roman" w:cs="Times New Roman"/>
                <w:noProof/>
                <w:sz w:val="24"/>
                <w:szCs w:val="24"/>
              </w:rPr>
            </w:pPr>
          </w:p>
          <w:p w14:paraId="7324AB16" w14:textId="77777777" w:rsidR="000B36DB" w:rsidRPr="00E57A78" w:rsidRDefault="000B36DB"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Komissio aikoo</w:t>
            </w:r>
          </w:p>
          <w:p w14:paraId="60C45E28" w14:textId="2E69FD78" w:rsidR="000B36DB" w:rsidRPr="00E57A78" w:rsidRDefault="000B36DB"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yhteistyössä Euroopan investointipankin kanssa etsiä aktiivisesti tukikelpoisia pilottihankkeita liikkuvan kaluston hankkimiseksi vihreän rautatieliikenteen investointialustaa ja InvestEU-ohjelmaa hyödyntäen;</w:t>
            </w:r>
          </w:p>
          <w:p w14:paraId="685D0569" w14:textId="6F16C22F" w:rsidR="000B36DB" w:rsidRPr="00E57A78" w:rsidRDefault="000B36DB"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laatia henkilöliikenteen liikkuvaa kalustoa koskevat eritelmät, jotka mahdollistavat kaluston käytön kaikkialla, yhteistyössä Euroopan unionin rautatieviraston kanssa (tämä yhteentoimivuuden teknisiä eritelmiä koskeva tuotos on määrä toimittaa vuonna 2022);</w:t>
            </w:r>
          </w:p>
          <w:p w14:paraId="10604A30" w14:textId="5BE201B3" w:rsidR="000B36DB" w:rsidRPr="00E57A78" w:rsidRDefault="000B36DB"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vuoteen 2023 mennessä selventää tarkistetuissa rautatieliikenteen suuntaviivoissa valtiontukisääntöjä, jotka koskevat rajatylittävässä liikenteessä käytettävän yhteentoimivan liikkuvan kaluston julkista rahoitusta; tässä yhteydessä käsitellään myös vanhan liikkuvan kaluston romutusta;</w:t>
            </w:r>
          </w:p>
          <w:p w14:paraId="590ADE84" w14:textId="77777777" w:rsidR="000B36DB" w:rsidRPr="00E57A78" w:rsidRDefault="000B36DB"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edelleen tukea rautatieliikenteen kalustoyksikköjen varustamista ERTMS-järjestelmällä sekä jälkiasennustoimia järjestelmän käyttöönottamiseksi;</w:t>
            </w:r>
          </w:p>
          <w:p w14:paraId="110747F2" w14:textId="332DA495" w:rsidR="000B36DB" w:rsidRPr="00E57A78" w:rsidRDefault="000B36DB"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edistää Kapkaupungin yleissopimukseen liitetyn Luxemburgin rautatiekalustopöytäkirjan ratifiointia ja tukea sen täytäntöönpanoa EU:ssa.</w:t>
            </w:r>
          </w:p>
          <w:p w14:paraId="642DA98F" w14:textId="77777777" w:rsidR="000B36DB" w:rsidRPr="00F90CF6" w:rsidRDefault="000B36DB" w:rsidP="002A73F7">
            <w:pPr>
              <w:tabs>
                <w:tab w:val="left" w:pos="284"/>
                <w:tab w:val="left" w:pos="567"/>
                <w:tab w:val="left" w:pos="851"/>
                <w:tab w:val="left" w:pos="1134"/>
                <w:tab w:val="left" w:pos="1418"/>
                <w:tab w:val="left" w:pos="1701"/>
                <w:tab w:val="left" w:pos="1985"/>
                <w:tab w:val="left" w:pos="2268"/>
                <w:tab w:val="left" w:pos="6096"/>
              </w:tabs>
              <w:jc w:val="both"/>
              <w:rPr>
                <w:rFonts w:ascii="Times New Roman" w:hAnsi="Times New Roman" w:cs="Times New Roman"/>
                <w:noProof/>
                <w:sz w:val="24"/>
                <w:szCs w:val="24"/>
              </w:rPr>
            </w:pPr>
          </w:p>
          <w:p w14:paraId="09E5C7AB" w14:textId="33A0673D" w:rsidR="00DA2CC6" w:rsidRPr="00E57A78" w:rsidRDefault="00DA2CC6" w:rsidP="002A73F7">
            <w:pPr>
              <w:tabs>
                <w:tab w:val="left" w:pos="284"/>
                <w:tab w:val="left" w:pos="567"/>
                <w:tab w:val="left" w:pos="851"/>
                <w:tab w:val="left" w:pos="1134"/>
                <w:tab w:val="left" w:pos="1418"/>
                <w:tab w:val="left" w:pos="1701"/>
                <w:tab w:val="left" w:pos="1985"/>
                <w:tab w:val="left" w:pos="2268"/>
                <w:tab w:val="left" w:pos="6096"/>
              </w:tabs>
              <w:jc w:val="both"/>
              <w:rPr>
                <w:rFonts w:ascii="Times New Roman" w:hAnsi="Times New Roman" w:cs="Times New Roman"/>
                <w:noProof/>
                <w:sz w:val="24"/>
                <w:szCs w:val="24"/>
              </w:rPr>
            </w:pPr>
            <w:r>
              <w:rPr>
                <w:rFonts w:ascii="Times New Roman" w:hAnsi="Times New Roman"/>
                <w:noProof/>
                <w:sz w:val="24"/>
                <w:szCs w:val="24"/>
              </w:rPr>
              <w:t>EIP aikoo</w:t>
            </w:r>
          </w:p>
          <w:p w14:paraId="1B43BD63" w14:textId="6D4350BF" w:rsidR="00DA2CC6" w:rsidRPr="00E57A78" w:rsidRDefault="00DA2CC6" w:rsidP="002A73F7">
            <w:pPr>
              <w:tabs>
                <w:tab w:val="left" w:pos="284"/>
                <w:tab w:val="left" w:pos="567"/>
                <w:tab w:val="left" w:pos="851"/>
                <w:tab w:val="left" w:pos="1134"/>
                <w:tab w:val="left" w:pos="1418"/>
                <w:tab w:val="left" w:pos="1701"/>
                <w:tab w:val="left" w:pos="1985"/>
                <w:tab w:val="left" w:pos="2268"/>
                <w:tab w:val="left" w:pos="6096"/>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käynnistää vihreän rautatieliikenteen investointialustan, jolla rahoitetaan muun muassa liikkuvaa kalustoa.</w:t>
            </w:r>
          </w:p>
          <w:p w14:paraId="5F5FC828" w14:textId="24F30CEE" w:rsidR="00DA2CC6" w:rsidRPr="00F90CF6" w:rsidRDefault="00DA2CC6" w:rsidP="002A73F7">
            <w:pPr>
              <w:tabs>
                <w:tab w:val="left" w:pos="284"/>
                <w:tab w:val="left" w:pos="567"/>
                <w:tab w:val="left" w:pos="851"/>
                <w:tab w:val="left" w:pos="1134"/>
                <w:tab w:val="left" w:pos="1418"/>
                <w:tab w:val="left" w:pos="1701"/>
                <w:tab w:val="left" w:pos="1985"/>
                <w:tab w:val="left" w:pos="2268"/>
                <w:tab w:val="left" w:pos="6096"/>
              </w:tabs>
              <w:jc w:val="both"/>
              <w:rPr>
                <w:rFonts w:ascii="Times New Roman" w:hAnsi="Times New Roman" w:cs="Times New Roman"/>
                <w:noProof/>
                <w:sz w:val="24"/>
                <w:szCs w:val="24"/>
              </w:rPr>
            </w:pPr>
          </w:p>
        </w:tc>
      </w:tr>
    </w:tbl>
    <w:p w14:paraId="1251DAF9" w14:textId="77777777" w:rsidR="000B36DB" w:rsidRPr="00F90CF6" w:rsidRDefault="000B36DB"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694A4750" w14:textId="6236D45A" w:rsidR="000B36DB" w:rsidRPr="00E57A78" w:rsidRDefault="000B36DB" w:rsidP="006043B9">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3.4. </w:t>
      </w:r>
      <w:r>
        <w:rPr>
          <w:rFonts w:ascii="Times New Roman" w:hAnsi="Times New Roman"/>
          <w:noProof/>
          <w:sz w:val="24"/>
          <w:szCs w:val="24"/>
          <w:u w:val="single"/>
        </w:rPr>
        <w:t>Liikkuvan kaluston kuljettajien ja rautatiehenkilöstön koulutuksen ja lupien saattaminen tulevaisuuden tarpeita vastaaviksi</w:t>
      </w:r>
    </w:p>
    <w:p w14:paraId="387C6C2A" w14:textId="4EE93217" w:rsidR="00E50891"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Tehokas ja turvallinen rautatieliikenne ja toimintavarmat palvelut edellyttävät, että saatavilla on liikkuvan kaluston kuljettajia ja muuta rautatiehenkilöstöä, jotka kykenevät työskentelemään saumattomasti yli rajojen ja joilla ei ole operatiivisia tai kielellisiä esteitä. Rajatylittävän liikenteen lisääntyessä on kehitettävä tapoja seurata tähän liittyviä uusia huomioitavia asioita, kuten ajo- ja lepoaikojen noudattamista. Nykyjärjestelmässä liikkuvan kaluston kuljettajille myönnetään lupa erikseen kutakin sellaista veturia ja junaa varten, jota heidän on tarkoitus ajaa, sekä jokaiselle reitille, jolla he työskentelevät. Koulutuksen ja lupien yhdenmukaistaminen ja niiden tunnustaminen on jo aiemmin asetettu tavoitteeksi, mutta tätä tavoitetta ei ole saavutettu riittävällä tasolla nykyisellä unionin kehyksellä</w:t>
      </w:r>
      <w:r w:rsidRPr="00E57A78">
        <w:rPr>
          <w:rStyle w:val="FootnoteReference"/>
          <w:rFonts w:ascii="Times New Roman" w:hAnsi="Times New Roman" w:cs="Times New Roman"/>
          <w:noProof/>
          <w:sz w:val="24"/>
          <w:szCs w:val="24"/>
          <w:lang w:val="en-IE"/>
        </w:rPr>
        <w:footnoteReference w:id="39"/>
      </w:r>
      <w:r>
        <w:rPr>
          <w:rFonts w:ascii="Times New Roman" w:hAnsi="Times New Roman"/>
          <w:noProof/>
          <w:sz w:val="24"/>
          <w:szCs w:val="24"/>
        </w:rPr>
        <w:t xml:space="preserve"> </w:t>
      </w:r>
      <w:r w:rsidR="009B463A" w:rsidRPr="00E57A78">
        <w:rPr>
          <w:rStyle w:val="FootnoteReference"/>
          <w:rFonts w:ascii="Times New Roman" w:hAnsi="Times New Roman" w:cs="Times New Roman"/>
          <w:noProof/>
          <w:sz w:val="24"/>
          <w:szCs w:val="24"/>
          <w:lang w:val="en-IE"/>
        </w:rPr>
        <w:footnoteReference w:id="40"/>
      </w:r>
      <w:r>
        <w:rPr>
          <w:rFonts w:ascii="Times New Roman" w:hAnsi="Times New Roman"/>
          <w:noProof/>
          <w:sz w:val="24"/>
          <w:szCs w:val="24"/>
        </w:rPr>
        <w:t>. Lisäksi vaatimukset, joiden mukaan rajatylittävissä junissa työskentelevän junahenkilöstön on kyettävä kommunikoimaan kaikkien niiden jäsenvaltioiden kielillä, joiden alueella reitti kulkee, monimutkaistavat asiaa entisestään ja rajoittavat tällaisten palvelujen tarjoamiseen soveltuvan henkilöstön määrää.</w:t>
      </w:r>
    </w:p>
    <w:p w14:paraId="33B12916" w14:textId="0421533F" w:rsidR="00D81636" w:rsidRPr="00E57A78" w:rsidRDefault="00E50891"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Samaan aikaan rautatiealalla kärsitään innovoinnin ja digitalisaation seurauksena osaamispulasta, joka voi pahentua entisestään, kun suuri osa tämänhetkisestä työvoimasta eläköityy seuraavien kymmenen vuoden aikana. Vihreä siirtymä ja sen myötä syntyvät uudet ammatilliset roolit lisäävät entisestään uusien taitojen ja osaamisen tarvetta. Rautatiealan työmarkkinaosapuolten vuoropuhelulla pyritään lisäämään alan ammattien houkuttelevuutta, myös nuorten ja naisten näkökulmasta. Tämän vuoropuhelun yhteydessä marraskuussa 2021 allekirjoitettiin oikeudellisesti sitova, naisia rautatiealalla koskeva sopimus Women in Rail</w:t>
      </w:r>
      <w:r w:rsidR="005B363B" w:rsidRPr="00E57A78">
        <w:rPr>
          <w:rStyle w:val="FootnoteReference"/>
          <w:rFonts w:ascii="Times New Roman" w:hAnsi="Times New Roman" w:cs="Times New Roman"/>
          <w:noProof/>
          <w:sz w:val="24"/>
          <w:szCs w:val="24"/>
          <w:lang w:val="en-IE"/>
        </w:rPr>
        <w:footnoteReference w:id="41"/>
      </w:r>
      <w:r>
        <w:rPr>
          <w:rFonts w:ascii="Times New Roman" w:hAnsi="Times New Roman"/>
          <w:noProof/>
          <w:sz w:val="24"/>
          <w:szCs w:val="24"/>
        </w:rPr>
        <w:t>. Komissio aikoo jatkaa Euroopan nuorison teemavuoden aikana sellaisten toimien tukemista, joilla pyritään houkuttelemaan nuoria rautatiealan ammatteihin.</w:t>
      </w:r>
    </w:p>
    <w:p w14:paraId="619EC57E" w14:textId="5DE87A16" w:rsidR="000B36DB" w:rsidRPr="00E57A78" w:rsidRDefault="00FB4883"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Oppisopimuskoulutuksen tulisi olla keskeisessä roolissa pyrittäessä varmistamaan, että nuorilla on tulevaisuudessa sellaista osaamista ja tietämystä, jotka vastaavat alan tarpeita ja varmistavat heidän työllistettävyytensä. Komissio kehottaa rautatieyrityksiä liittymään eurooppalaiseen oppisopimusyhteenliittymään</w:t>
      </w:r>
      <w:r w:rsidR="006E2CE2" w:rsidRPr="00E57A78">
        <w:rPr>
          <w:rStyle w:val="FootnoteReference"/>
          <w:rFonts w:ascii="Times New Roman" w:hAnsi="Times New Roman" w:cs="Times New Roman"/>
          <w:noProof/>
          <w:sz w:val="24"/>
          <w:szCs w:val="24"/>
          <w:lang w:val="en-IE"/>
        </w:rPr>
        <w:footnoteReference w:id="42"/>
      </w:r>
      <w:r>
        <w:rPr>
          <w:rFonts w:ascii="Times New Roman" w:hAnsi="Times New Roman"/>
          <w:noProof/>
          <w:sz w:val="24"/>
          <w:szCs w:val="24"/>
        </w:rPr>
        <w:t xml:space="preserve"> ja tarjoamaan entistä enemmän oppisopimuskoulutusta. Euroopan nuorison teemavuosi 2022 on omiaan tukemaan ja vahvistamaan tällaisia aloitteita. Erasmus+ -ohjelmasta rahoitetulla Staffer-hankkeella</w:t>
      </w:r>
      <w:r w:rsidR="00B47711" w:rsidRPr="00E57A78">
        <w:rPr>
          <w:rStyle w:val="FootnoteReference"/>
          <w:rFonts w:ascii="Times New Roman" w:hAnsi="Times New Roman" w:cs="Times New Roman"/>
          <w:noProof/>
          <w:sz w:val="24"/>
          <w:szCs w:val="24"/>
          <w:lang w:val="en-IE"/>
        </w:rPr>
        <w:footnoteReference w:id="43"/>
      </w:r>
      <w:r>
        <w:rPr>
          <w:rFonts w:ascii="Times New Roman" w:hAnsi="Times New Roman"/>
          <w:noProof/>
          <w:sz w:val="24"/>
          <w:szCs w:val="24"/>
        </w:rPr>
        <w:t xml:space="preserve"> voidaan tukea rautatiealan yleistä osaamisstrategiaa, ja sen avulla voidaan kehittää konkreettisia toimia lyhyen ja keskipitkän aikavälin osaamistarpeisiin vastaamiseksi. Näin voidaan luoda perusta laajamittaiselle osaamiskumppanuudelle osaamissopimuksen</w:t>
      </w:r>
      <w:r w:rsidR="006E2CE2" w:rsidRPr="00E57A78">
        <w:rPr>
          <w:rStyle w:val="FootnoteReference"/>
          <w:rFonts w:ascii="Times New Roman" w:hAnsi="Times New Roman" w:cs="Times New Roman"/>
          <w:noProof/>
          <w:sz w:val="24"/>
          <w:szCs w:val="24"/>
          <w:lang w:val="en-IE"/>
        </w:rPr>
        <w:footnoteReference w:id="44"/>
      </w:r>
      <w:r>
        <w:rPr>
          <w:rFonts w:ascii="Times New Roman" w:hAnsi="Times New Roman"/>
          <w:noProof/>
          <w:sz w:val="24"/>
          <w:szCs w:val="24"/>
        </w:rPr>
        <w:t xml:space="preserve"> puitteissa.</w:t>
      </w:r>
    </w:p>
    <w:p w14:paraId="03E8B050" w14:textId="63C005C0"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Komissio aikoo jatkaa rautateiden turvallisuutta koskevan toimintasuunnitelman</w:t>
      </w:r>
      <w:r w:rsidRPr="00E57A78">
        <w:rPr>
          <w:rStyle w:val="FootnoteReference"/>
          <w:rFonts w:ascii="Times New Roman" w:hAnsi="Times New Roman" w:cs="Times New Roman"/>
          <w:noProof/>
          <w:sz w:val="24"/>
          <w:szCs w:val="24"/>
          <w:lang w:val="en-IE"/>
        </w:rPr>
        <w:footnoteReference w:id="45"/>
      </w:r>
      <w:r>
        <w:rPr>
          <w:rFonts w:ascii="Times New Roman" w:hAnsi="Times New Roman"/>
          <w:noProof/>
          <w:sz w:val="24"/>
          <w:szCs w:val="24"/>
        </w:rPr>
        <w:t xml:space="preserve"> onnistuneen täytäntöönpanon pohjalta yhteistyötä jäsenvaltioiden ja sidosryhmien kanssa varmistaakseen rautateiden käyttäjien, työntekijöiden ja infrastruktuurin suojelun mahdollisimman korkean tason myös jatkossa.</w:t>
      </w:r>
    </w:p>
    <w:tbl>
      <w:tblPr>
        <w:tblStyle w:val="TableGrid"/>
        <w:tblW w:w="0" w:type="auto"/>
        <w:tblLook w:val="04A0" w:firstRow="1" w:lastRow="0" w:firstColumn="1" w:lastColumn="0" w:noHBand="0" w:noVBand="1"/>
      </w:tblPr>
      <w:tblGrid>
        <w:gridCol w:w="9062"/>
      </w:tblGrid>
      <w:tr w:rsidR="000B36DB" w:rsidRPr="00E57A78" w14:paraId="2216E0AC" w14:textId="77777777" w:rsidTr="00BA0F8D">
        <w:tc>
          <w:tcPr>
            <w:tcW w:w="9062" w:type="dxa"/>
          </w:tcPr>
          <w:p w14:paraId="4ACA098F"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43DDA06B"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2860112C" w14:textId="79A4393F"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 xml:space="preserve">ehdottaa vuonna 2022 liikkuvan kaluston kuljettajia koskevaa tarkistettua sääntelykehystä, jolla korjataan nykyisen järjestelmän puutteita ja rajoitetaan toistuvaa velvoitetta hankkia lisäasiakirjoja ja </w:t>
            </w:r>
            <w:r>
              <w:rPr>
                <w:rFonts w:ascii="Times New Roman" w:hAnsi="Times New Roman"/>
                <w:noProof/>
                <w:sz w:val="24"/>
                <w:szCs w:val="24"/>
              </w:rPr>
              <w:softHyphen/>
              <w:t>todistuksia; tässä ehdotuksessa käsitellään mahdollisesti myös rautatieliikenteessä voimassa olevia kielijärjestelyjä, ja siihen voi sisältyä alan teknologisen kehityksen johdosta tehtäviä muutoksia;</w:t>
            </w:r>
          </w:p>
          <w:p w14:paraId="4087A7B1" w14:textId="742CCBF6" w:rsidR="006E2CE2" w:rsidRPr="00E57A78" w:rsidRDefault="00D55B83"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edistää toimintalinjoja ja ohjelmia, joilla pyritään varmistamaan henkilöstön täydennys- ja uudelleenkoulutus sekä tulevaisuuden osaamistarpeiden täyttyminen esimerkiksi tukemalla kiinnostuneita sidosryhmiä, jotta rautatiesektorille voidaan mahdollisesti luoda osaamissopimuksen puitteissa laajamittainen osaamiskumppanuus rautatiealan osaamissuunnitelman (Staffer) pohjalta;</w:t>
            </w:r>
          </w:p>
          <w:p w14:paraId="0EAB7C53" w14:textId="3AA094FB" w:rsidR="00D55B83" w:rsidRPr="00E57A78" w:rsidRDefault="006E2CE2" w:rsidP="006E2CE2">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 tuoda nuorison teemavuoden 2022 avulla esille rautatiealan hyviä puolia nuorten osaajien houkuttelemiseksi.</w:t>
            </w:r>
          </w:p>
          <w:p w14:paraId="087F98D5"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742D69B9" w14:textId="77777777" w:rsidR="00E87ED9" w:rsidRPr="00F90CF6" w:rsidRDefault="00E87ED9" w:rsidP="00E87ED9">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78D01D7F" w14:textId="0AA84B1F" w:rsidR="000B36DB" w:rsidRPr="00E57A78" w:rsidRDefault="000B36DB" w:rsidP="006043B9">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3.5. </w:t>
      </w:r>
      <w:r>
        <w:rPr>
          <w:rFonts w:ascii="Times New Roman" w:hAnsi="Times New Roman"/>
          <w:noProof/>
          <w:sz w:val="24"/>
          <w:szCs w:val="24"/>
          <w:u w:val="single"/>
        </w:rPr>
        <w:t>Verkkojen parempi hyödyntäminen</w:t>
      </w:r>
    </w:p>
    <w:p w14:paraId="63089070" w14:textId="0E3C205A" w:rsidR="000B36DB" w:rsidRPr="00E57A78" w:rsidRDefault="00580B56"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Jotta matkustajille voidaan tarjota säännölliset ja nopeat yhteydet kaikkialla unionissa, rautatieliikenteen aikataulut ja kapasiteetti on suunniteltava paremmin ottaen huomioon rajatylittävät näkökohdat ja yhtenäinen eurooppalainen rautatiealue</w:t>
      </w:r>
      <w:r w:rsidRPr="00E57A78">
        <w:rPr>
          <w:rStyle w:val="FootnoteReference"/>
          <w:rFonts w:ascii="Times New Roman" w:hAnsi="Times New Roman" w:cs="Times New Roman"/>
          <w:noProof/>
          <w:sz w:val="24"/>
          <w:szCs w:val="24"/>
          <w:lang w:val="en-IE"/>
        </w:rPr>
        <w:footnoteReference w:id="46"/>
      </w:r>
      <w:r>
        <w:rPr>
          <w:rFonts w:ascii="Times New Roman" w:hAnsi="Times New Roman"/>
          <w:noProof/>
          <w:sz w:val="24"/>
          <w:szCs w:val="24"/>
        </w:rPr>
        <w:t>. Pitkän matkan rajatylittävien palvelujen tarjoamista suunnittelevien rautatieyritysten, erityisesti uusien tulokkaiden, voi olla monimutkaista, kallista ja – erittäin joustamattoman järjestelmän takia – vaikeaa saada käyttöoikeutta houkutteleville rajatylittäville reiteille. Yhä suurempi osa unionin rautatieverkon osuuksista ja solmukohdista on jo erittäin tiheästi liikennöityjä, mikä rajoittaa rautatieliikenteen laajentamista ja johtaa siihen, että erityyppiset henkilö- ja tavaraliikennepalvelut on asetettava tärkeysjärjestykseen. Tässä yhteydessä rajatylittävät palvelut jäävät usein epäedulliseen asemaan kotimaisiin palveluihin nähden, kun erilaiset palvelut joutuvat kilpailemaan niukasta kapasiteetista. Tämä vaikuttaa myös yöjuniin niiden saapuessa merkittäville asemille aamuruuhka-aikaan.</w:t>
      </w:r>
    </w:p>
    <w:p w14:paraId="627ACE5D" w14:textId="2A6F5181"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Jotta kapasiteetin hallinta on optimaalista ja siinä otetaan huomioon kaikki sekä henkilö- että tavaraliikenteeseen liittyvät asiaankuuluvat näkökohdat, tarvitaan tehokkaampi ja mukautuvampi järjestelmä. Unionin nykyisessä lainsäädännössä</w:t>
      </w:r>
      <w:r w:rsidR="00350C2B" w:rsidRPr="00E57A78">
        <w:rPr>
          <w:rStyle w:val="FootnoteReference"/>
          <w:rFonts w:ascii="Times New Roman" w:hAnsi="Times New Roman" w:cs="Times New Roman"/>
          <w:noProof/>
          <w:sz w:val="24"/>
          <w:szCs w:val="24"/>
          <w:lang w:val="en-IE"/>
        </w:rPr>
        <w:footnoteReference w:id="47"/>
      </w:r>
      <w:r>
        <w:rPr>
          <w:rFonts w:ascii="Times New Roman" w:hAnsi="Times New Roman"/>
          <w:noProof/>
          <w:sz w:val="24"/>
          <w:szCs w:val="24"/>
        </w:rPr>
        <w:t xml:space="preserve"> säädetään vuotuisesta kapasiteetin käyttöoikeuden myöntämismenettelystä, joka on kehitetty aikana, jolloin ylimääräistä ratakapasiteettia oli enemmän. Tässä menettelyssä, jossa kaikentyyppisille rautatiepalveluille myönnetään käyttöoikeus samalle ajanjaksolle, ei ole mahdollista ottaa huomioon pitkän matkan (rajatylittävän) henkilöliikenteen edellyttämää, pidemmälle tulevaisuuteen ulottuvaa suunnittelua tai lyhyttä aikaväliä koskevia kapasiteetinkäyttöpyyntöjä muun muassa tavarajunaliikennettä varten. Lisäksi uusien tulokkaiden on tässä menettelyssä vaikea saada käyttöoikeutta sellaisille reiteille, jotka vastaisivat markkinoiden kysyntään. </w:t>
      </w:r>
    </w:p>
    <w:p w14:paraId="27602ACC" w14:textId="65F8AAEF" w:rsidR="000B36DB" w:rsidRPr="00E57A78" w:rsidRDefault="00580B56"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Integroidun aikataulu- ja kapasiteetin uudelleensuunnitteluohjelman (TTR) avulla rautatieliikenteen harjoittajat voivat tehokkaasti suunnitella</w:t>
      </w:r>
      <w:r>
        <w:rPr>
          <w:noProof/>
        </w:rPr>
        <w:t xml:space="preserve"> </w:t>
      </w:r>
      <w:r>
        <w:rPr>
          <w:rFonts w:ascii="Times New Roman" w:hAnsi="Times New Roman"/>
          <w:noProof/>
          <w:sz w:val="24"/>
          <w:szCs w:val="24"/>
        </w:rPr>
        <w:t>ensisijaisesti ajettavat vuorot varmistaakseen siten saumattomat rajatylittävät yhteydet, ennen kuin ne tekevät kansallisia ja alueellisia palveluja koskevat lopulliset suunnitelmansa. Tämän avulla unionin rajatylittävässä henkilöliikenteessä voidaan saada aikaan merkittäviä muutoksia: nopeampia yhteyksiä, tiheämpiä vuorovälejä ja siten houkuttelevampia palveluja. Tästä syystä komissio arvioi vuonna 2022 tarvetta sisällyttää TTR ja muita parhaita käytäntöjä unionin lainsäädäntöön ja ehdottaa tarvittaessa tätä koskevia sääntelytoimia. Komissio aikoo ehdottaa rautateiden tavaraliikennekäytäviä koskevan asetuksen</w:t>
      </w:r>
      <w:r w:rsidR="000B36DB" w:rsidRPr="00E57A78">
        <w:rPr>
          <w:rStyle w:val="FootnoteReference"/>
          <w:rFonts w:ascii="Times New Roman" w:hAnsi="Times New Roman" w:cs="Times New Roman"/>
          <w:noProof/>
          <w:sz w:val="24"/>
          <w:szCs w:val="24"/>
          <w:lang w:val="en-IE"/>
        </w:rPr>
        <w:footnoteReference w:id="48"/>
      </w:r>
      <w:r>
        <w:rPr>
          <w:rFonts w:ascii="Times New Roman" w:hAnsi="Times New Roman"/>
          <w:noProof/>
          <w:sz w:val="24"/>
          <w:szCs w:val="24"/>
        </w:rPr>
        <w:t xml:space="preserve"> tarkistamista, jonka yhteydessä se aikoo samalla varmistaa, että kapasiteetin käyttöoikeuden myöntäminen ja liikenteen hallinta yhtenäistetään Euroopan tasolla sekä rautateiden rajatylittävän tavara- että henkilöliikenteen osalta. Tämä voitaisiin toteuttaa esimerkiksi luomalla unionin tason yksikkö, jonka tehtävänä olisi tukea rautatiekapasiteetin hallinnan tehostamista sekä matkustaja- että tavarajunaliikenteen osalta, seurata unionin verkossa liikkuvien junien liikennöinnin tehokkuutta ja pyrkiä optimoimaan se. Liikennealan toimijoiden olisi vaihdettava operatiivisia tietoja eri liikennemuotojen välillä helpottaakseen räätälöityjä intermodaalisia ratkaisuja ja edistääkseen siten koko liikennejärjestelmän optimaalista käyttöä. </w:t>
      </w:r>
    </w:p>
    <w:tbl>
      <w:tblPr>
        <w:tblStyle w:val="TableGrid"/>
        <w:tblW w:w="0" w:type="auto"/>
        <w:tblLook w:val="04A0" w:firstRow="1" w:lastRow="0" w:firstColumn="1" w:lastColumn="0" w:noHBand="0" w:noVBand="1"/>
      </w:tblPr>
      <w:tblGrid>
        <w:gridCol w:w="9062"/>
      </w:tblGrid>
      <w:tr w:rsidR="000B36DB" w:rsidRPr="00E57A78" w14:paraId="75B6C6F2" w14:textId="77777777" w:rsidTr="00BA0F8D">
        <w:tc>
          <w:tcPr>
            <w:tcW w:w="9062" w:type="dxa"/>
          </w:tcPr>
          <w:p w14:paraId="28037B7D"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28A54440"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67381CEB" w14:textId="0FC28C5C"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 xml:space="preserve">vuonna 2022 arvioida tarvetta parantaa kapasiteetin käyttöoikeuden myöntämismenettelyjä ja liikenteenhallintaprosesseja sekä ehdottaa tarvittaessa tätä koskevia sääntelytoimia tavoitteenaan parantaa kapasiteetin käyttöoikeuden myöntämisen koordinointia koko rautatiejärjestelmässä, niin henkilö- kuin tavaraliikennepalvelujen osalta; </w:t>
            </w:r>
          </w:p>
          <w:p w14:paraId="6EBA631F" w14:textId="368453A4"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harkita unionin tason yksikön perustamista valvomaan rajatylittävän rautatieliikenteen optimointia sekä koordinointimekanismeja sen sovittamiseksi paremmin yhteen kansallisen liikenteen kanssa.</w:t>
            </w:r>
          </w:p>
          <w:p w14:paraId="7F7990D9"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7FFB2453" w14:textId="77777777" w:rsidR="000B36DB" w:rsidRPr="00F90CF6" w:rsidRDefault="000B36DB"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60AD9271" w14:textId="358F70BA" w:rsidR="000B36DB" w:rsidRPr="00E57A78" w:rsidRDefault="000B36DB" w:rsidP="006043B9">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3.6. </w:t>
      </w:r>
      <w:r>
        <w:rPr>
          <w:rFonts w:ascii="Times New Roman" w:hAnsi="Times New Roman"/>
          <w:noProof/>
          <w:sz w:val="24"/>
          <w:szCs w:val="24"/>
          <w:u w:val="single"/>
        </w:rPr>
        <w:t>Ratojen käyttöoikeuksien asianmukainen hinnoittelu</w:t>
      </w:r>
      <w:r>
        <w:rPr>
          <w:rFonts w:ascii="Times New Roman" w:hAnsi="Times New Roman"/>
          <w:noProof/>
          <w:sz w:val="24"/>
          <w:szCs w:val="24"/>
        </w:rPr>
        <w:t xml:space="preserve"> </w:t>
      </w:r>
    </w:p>
    <w:p w14:paraId="7DD7D07D" w14:textId="5AE45819"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Vaikka rautatieliikenne saa julkista rahoitusta, tämä ei tarkoita, että infrastruktuurin käytöstä perittävät maksut olisivat kilpailukykyisiä, jotta rautatieliikennepalveluja voitaisiin lisätä ja lippujen hintoja alentaa. Rautateiden infrastruktuurin käytöstä perittävät kiinteät kustannukset ovat muihin liikennemuotoihin verrattuna korkeita</w:t>
      </w:r>
      <w:r w:rsidRPr="00E57A78">
        <w:rPr>
          <w:rStyle w:val="FootnoteReference"/>
          <w:rFonts w:ascii="Times New Roman" w:hAnsi="Times New Roman" w:cs="Times New Roman"/>
          <w:noProof/>
          <w:sz w:val="24"/>
          <w:szCs w:val="24"/>
          <w:lang w:val="en-IE"/>
        </w:rPr>
        <w:footnoteReference w:id="49"/>
      </w:r>
      <w:r>
        <w:rPr>
          <w:rFonts w:ascii="Times New Roman" w:hAnsi="Times New Roman"/>
          <w:noProof/>
          <w:sz w:val="24"/>
          <w:szCs w:val="24"/>
        </w:rPr>
        <w:t xml:space="preserve">, ja direktiivin 2012/34/EU mukaan rataverkon haltijat voivat infrastruktuurin käytöstä perittävien suorien kustannusten lisäksi periä lisähintoja markkinoiden niin salliessa. Tätä säännöstä sovelletaan laajalti erityisesti pitkän matkan ja suurnopeushenkilöliikenteessä. </w:t>
      </w:r>
    </w:p>
    <w:p w14:paraId="7E4A3989" w14:textId="722254BE"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Samalla rautatieliikenne aiheuttaa yhteiskunnalle hyvin vähän ulkoisia kustannuksia muihin liikennemuotoihin verrattuna</w:t>
      </w:r>
      <w:r w:rsidR="00861515" w:rsidRPr="00E57A78">
        <w:rPr>
          <w:rStyle w:val="FootnoteReference"/>
          <w:rFonts w:ascii="Times New Roman" w:hAnsi="Times New Roman" w:cs="Times New Roman"/>
          <w:noProof/>
          <w:sz w:val="24"/>
          <w:szCs w:val="24"/>
          <w:lang w:val="en-IE"/>
        </w:rPr>
        <w:footnoteReference w:id="50"/>
      </w:r>
      <w:r>
        <w:rPr>
          <w:rFonts w:ascii="Times New Roman" w:hAnsi="Times New Roman"/>
          <w:noProof/>
          <w:sz w:val="24"/>
          <w:szCs w:val="24"/>
        </w:rPr>
        <w:t xml:space="preserve">. Tämä näkökohta on kuitenkin otettu huomioon vain osittain eri liikennemuotojen todellisissa kustannuksissa ja verotuksessa. </w:t>
      </w:r>
    </w:p>
    <w:p w14:paraId="6A531EF6" w14:textId="21BA5185"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Ratojen käyttöoikeuksista perittävät maksut, erityisesti lisähinnat, ovat korkeat ja vaihtelevat maasta toiseen. Tämä on ratkaiseva kustannustekijä, joka voi estää uusien palvelujen tarjoamisen ja tehdä toiminnasta vähemmän houkuttelevaa uusille tulokkaille ja yksityisille investoijille. </w:t>
      </w:r>
    </w:p>
    <w:p w14:paraId="11D7A53A" w14:textId="77DD4D5B"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Jäsenvaltiot voivat vaikuttaa merkittävästi ratojen käyttöoikeuksista perittävien lisähintojen tasoon rataverkon haltijoille myönnettävän rahoituksen tason kautta. Jos tätä rahoitusta käytetään tehokkaasti, rataverkon haltijoiden ei tarvitse periä korkeita maksuja ratojen käyttöoikeuksista. Rautatieliikenteen suuntaviivojen mukaisesti jäsenvaltiot voivat myös ottaa käyttöön järjestelmiä sellaisten ympäristö-, onnettomuus- ja infrastruktuurikustannusten korvaamiseksi, joilla ei rasiteta kilpailevia liikennemuotoja</w:t>
      </w:r>
      <w:r w:rsidRPr="00E57A78">
        <w:rPr>
          <w:rStyle w:val="FootnoteReference"/>
          <w:rFonts w:ascii="Times New Roman" w:hAnsi="Times New Roman" w:cs="Times New Roman"/>
          <w:noProof/>
          <w:sz w:val="24"/>
          <w:szCs w:val="24"/>
          <w:lang w:val="en-IE"/>
        </w:rPr>
        <w:footnoteReference w:id="51"/>
      </w:r>
      <w:r>
        <w:rPr>
          <w:rFonts w:ascii="Times New Roman" w:hAnsi="Times New Roman"/>
          <w:noProof/>
          <w:sz w:val="24"/>
          <w:szCs w:val="24"/>
        </w:rPr>
        <w:t>. Rataverkon haltijoille on puolestaan asetettu direktiivin 2012/34/EU nojalla epäsuorasti velvoite, jonka mukaan niiden on koordinoitava rajatylittäviä rautatieliikennepalveluja ja pyrittävä varmistamaan niiden paras mahdollinen kilpailukyky. Henkilöliikenteen kysynnän romahdettua covid-19-pandemian seurauksena jäsenvaltioille on sallittu asetuksella</w:t>
      </w:r>
      <w:r w:rsidRPr="00E57A78">
        <w:rPr>
          <w:rStyle w:val="FootnoteReference"/>
          <w:rFonts w:ascii="Times New Roman" w:hAnsi="Times New Roman" w:cs="Times New Roman"/>
          <w:noProof/>
          <w:sz w:val="24"/>
          <w:szCs w:val="24"/>
          <w:lang w:val="en-IE"/>
        </w:rPr>
        <w:footnoteReference w:id="52"/>
      </w:r>
      <w:r>
        <w:rPr>
          <w:rFonts w:ascii="Times New Roman" w:hAnsi="Times New Roman"/>
          <w:noProof/>
          <w:sz w:val="24"/>
          <w:szCs w:val="24"/>
        </w:rPr>
        <w:t xml:space="preserve"> väliaikaisesti ratojen käyttöoikeusmaksujen alentaminen tai niistä luopuminen rautatieliikenteen tukemiseksi. </w:t>
      </w:r>
    </w:p>
    <w:p w14:paraId="73E02B00" w14:textId="543CE7F3" w:rsidR="000B36DB" w:rsidRPr="00E57A78" w:rsidRDefault="000B36DB" w:rsidP="006043B9">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Jäsenvaltioiden ja rataverkon haltijoiden pitäisi hyödyntää näitä säännöksiä parantaakseen nykyisiä maksukäytäntöjä ja siten koko palvelutarjontaa ja rautatieliikenteen kilpailukykyä. Eurooppalaisten rataverkon haltijoiden foorumissa (PRIME) käydään parhaillaan keskustelua tästä aiheesta. Selkeänä tavoitteena tulisi olla, että lisähintoja sovelletaan vain markkinoiden niin salliessa ja edellyttäen, että ne eivät heikennä rautatieliikenteen kilpailukykyä. </w:t>
      </w:r>
    </w:p>
    <w:tbl>
      <w:tblPr>
        <w:tblStyle w:val="TableGrid"/>
        <w:tblW w:w="0" w:type="auto"/>
        <w:tblLook w:val="04A0" w:firstRow="1" w:lastRow="0" w:firstColumn="1" w:lastColumn="0" w:noHBand="0" w:noVBand="1"/>
      </w:tblPr>
      <w:tblGrid>
        <w:gridCol w:w="9062"/>
      </w:tblGrid>
      <w:tr w:rsidR="000B36DB" w:rsidRPr="00E57A78" w14:paraId="72C934DC" w14:textId="77777777" w:rsidTr="00BA0F8D">
        <w:tc>
          <w:tcPr>
            <w:tcW w:w="9062" w:type="dxa"/>
          </w:tcPr>
          <w:p w14:paraId="6891ED79"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41501997"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38F29F81" w14:textId="0128DBBA"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esittää vuonna 2023 suuntaviivat sellaisten ratojen käyttöoikeusmaksujen vahvistamiseksi, jotka tukevat pitkän matkan ja rajatylittävän henkilöliikenteen kehittämistä ja kannustavat siihen;</w:t>
            </w:r>
          </w:p>
          <w:p w14:paraId="6E04CC20" w14:textId="2FC43586" w:rsidR="00A65CC0"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edistää aktiivisesti pilottihankkeita sen selvittämiseksi, tukisiko ratojen käyttöoikeusmaksujen alentaminen suorien kustannusten tasolle paremmin uusien rajatylittävien palvelujen syntymistä;</w:t>
            </w:r>
          </w:p>
          <w:p w14:paraId="4EDDF60C" w14:textId="03EB1F2B" w:rsidR="000B36DB" w:rsidRPr="00E57A78" w:rsidRDefault="00A65CC0"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 xml:space="preserve"> – harkita rautatieliikenteen suuntaviivojen tarkistamisen yhteydessä vuonna 2023 mahdollisuutta vapauttaa valtiontukisääntöjen mukaisesta ilmoitusvelvollisuudesta julkinen rahoitus, jolla mahdollistetaan ratojen käyttöoikeusmaksujen alentaminen.</w:t>
            </w:r>
          </w:p>
          <w:p w14:paraId="34351090"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2BFDBFE1" w14:textId="77777777" w:rsidR="000B36DB" w:rsidRPr="00F90CF6" w:rsidRDefault="000B36DB"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40B6DA34" w14:textId="0C6CEB67" w:rsidR="000B36DB" w:rsidRPr="00E57A78" w:rsidRDefault="000B36DB" w:rsidP="005534C4">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3.7. </w:t>
      </w:r>
      <w:r>
        <w:rPr>
          <w:rFonts w:ascii="Times New Roman" w:hAnsi="Times New Roman"/>
          <w:noProof/>
          <w:sz w:val="24"/>
          <w:szCs w:val="24"/>
          <w:u w:val="single"/>
        </w:rPr>
        <w:t>Käyttäjäystävällinen lipunmyynti ja rautatiejärjestelmän esteettömyys</w:t>
      </w:r>
    </w:p>
    <w:p w14:paraId="41DDD0F6" w14:textId="0ECA358E" w:rsidR="000B36DB"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Jotta junista tulisi houkutteleva matkustusvaihtoehto huomattavasti suuremmalle määrälle matkustajia, lipunmyynnin osalta on toteutettava päättäväisiä toimia, joilla rajatylittävien junalippujen hakeminen ja varaaminen tehdään helpommaksi ja hinnat houkuttelevammiksi. Vaikka alalla ollaan tästä tietoisia</w:t>
      </w:r>
      <w:r w:rsidRPr="00E57A78">
        <w:rPr>
          <w:rStyle w:val="FootnoteReference"/>
          <w:rFonts w:ascii="Times New Roman" w:hAnsi="Times New Roman" w:cs="Times New Roman"/>
          <w:noProof/>
          <w:sz w:val="24"/>
          <w:szCs w:val="24"/>
          <w:lang w:val="en-IE"/>
        </w:rPr>
        <w:footnoteReference w:id="53"/>
      </w:r>
      <w:r>
        <w:rPr>
          <w:rFonts w:ascii="Times New Roman" w:hAnsi="Times New Roman"/>
          <w:noProof/>
          <w:sz w:val="24"/>
          <w:szCs w:val="24"/>
        </w:rPr>
        <w:t xml:space="preserve"> </w:t>
      </w:r>
      <w:r w:rsidRPr="00E57A78">
        <w:rPr>
          <w:rStyle w:val="FootnoteReference"/>
          <w:rFonts w:ascii="Times New Roman" w:hAnsi="Times New Roman" w:cs="Times New Roman"/>
          <w:noProof/>
          <w:sz w:val="24"/>
          <w:szCs w:val="24"/>
          <w:lang w:val="en-IE"/>
        </w:rPr>
        <w:footnoteReference w:id="54"/>
      </w:r>
      <w:r>
        <w:rPr>
          <w:rFonts w:ascii="Times New Roman" w:hAnsi="Times New Roman"/>
          <w:noProof/>
          <w:sz w:val="24"/>
          <w:szCs w:val="24"/>
        </w:rPr>
        <w:t>, kahden viime vuosikymmenen aikaiset kokemukset osoittavat, että alakohtaiset aloitteet edistyvät hyvin hitaasti, koska eri osapuolet ajavat omia etujaan ja markkinoiden avaamisen mahdollisesti mukanaan tuomia hyötyjä ei olla halukkaita toteuttamaan. Junalippujen vertailun ja ostamisen on oltava matkustajille yhtä helppoa ja kätevää kuin muidenkin liikennemuotojen lippujen hankinta, eli junalippujen hankinnan on hoiduttava yhdellä ostotapahtumalla ja viimeisimmän teknologian</w:t>
      </w:r>
      <w:r w:rsidR="001D0F87" w:rsidRPr="00E57A78">
        <w:rPr>
          <w:rStyle w:val="FootnoteReference"/>
          <w:rFonts w:ascii="Times New Roman" w:hAnsi="Times New Roman" w:cs="Times New Roman"/>
          <w:noProof/>
          <w:sz w:val="24"/>
          <w:szCs w:val="24"/>
        </w:rPr>
        <w:footnoteReference w:id="55"/>
      </w:r>
      <w:r>
        <w:rPr>
          <w:rFonts w:ascii="Times New Roman" w:hAnsi="Times New Roman"/>
          <w:noProof/>
          <w:sz w:val="24"/>
          <w:szCs w:val="24"/>
        </w:rPr>
        <w:t xml:space="preserve"> avulla. Junien välisiä vaihtoyhteyksiä käyttävien matkustajien olisi voitava olla varmoja siitä, että junat saapuvat ajoissa, tai jos näin ei ole, että he saavat tarvittavan avun päästäkseen määränpäähänsä. Lipunmyyjien ja rautatieyritysten olisi voitava myydä lippuja tasapuolisten toimintaedellytysten pohjalta eli esimerkiksi hyvissä ajoin ennen matkan alkua. Rautatieyhtiöiden ja lipunmyyjien olisi voitava tarjota houkuttelevasti hinnoiteltuja lippuja ilman, että aiheettomat markkinaesteet vaikuttavat niiden mahdollisuuksiin hyödyntää olemassa olevia lipunmyyntikanavia ja päästä käsiksi lippu- ja hintatietoihin sekä varausjärjestelmien tietoihin ja toimintoihin.</w:t>
      </w:r>
    </w:p>
    <w:p w14:paraId="7979E23A" w14:textId="3D8025BE" w:rsidR="00991741"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Multimodaalisen liikkumisen digitaalipalveluja koskevalla komission aloitteella, henkilöliikenteen telemaattisia sovelluksia koskevan yhteentoimivuuden teknisen eritelmän tarkistamisella sekä uudessa rautatieliikenteen matkustajien oikeuksista annetussa asetuksessa</w:t>
      </w:r>
      <w:r w:rsidRPr="00E57A78">
        <w:rPr>
          <w:rStyle w:val="FootnoteReference"/>
          <w:rFonts w:ascii="Times New Roman" w:hAnsi="Times New Roman" w:cs="Times New Roman"/>
          <w:noProof/>
          <w:sz w:val="24"/>
          <w:szCs w:val="24"/>
        </w:rPr>
        <w:footnoteReference w:id="56"/>
      </w:r>
      <w:r>
        <w:rPr>
          <w:rFonts w:ascii="Times New Roman" w:hAnsi="Times New Roman"/>
          <w:noProof/>
          <w:sz w:val="24"/>
          <w:szCs w:val="24"/>
        </w:rPr>
        <w:t xml:space="preserve"> säädetyllä velvoitteella, joka koskee reaaliaikaisten matka- ja liikennetietojen antamista, varmistetaan tietojen saatavuus riippumattomille lipunmyyjille sekä reaaliaikaisten tietojen saatavuus matkustajille teknisestä näkökulmasta. Kuten neljännessä rautatiepaketissa säädetään, komissio raportoi vuonna 2022 yhteisten tietojen saatavuudesta ja suorat liput mahdollistavien järjestelmien käytöstä. Ennen näitä aloitteita komissio aikoo käydä vuoropuhelua rautatiealan kanssa ja tukea alan sidosryhmien maaliskuussa 2021 julkaisemassa lausumassa</w:t>
      </w:r>
      <w:r w:rsidR="00810B32" w:rsidRPr="00E57A78">
        <w:rPr>
          <w:rFonts w:ascii="Times New Roman" w:hAnsi="Times New Roman" w:cs="Times New Roman"/>
          <w:noProof/>
          <w:sz w:val="24"/>
          <w:szCs w:val="24"/>
          <w:vertAlign w:val="superscript"/>
          <w:lang w:val="en-IE"/>
        </w:rPr>
        <w:footnoteReference w:id="57"/>
      </w:r>
      <w:r>
        <w:rPr>
          <w:rFonts w:ascii="Times New Roman" w:hAnsi="Times New Roman"/>
          <w:noProof/>
          <w:sz w:val="24"/>
          <w:szCs w:val="24"/>
        </w:rPr>
        <w:t xml:space="preserve"> esitettyjen sitoumusten täytäntöönpanoa reiluuden, kohtuullisuuden ja syrjimättömyyden periaatteiden (FRAND) pohjalta. Jotta rajatylittävä junamatkustaminen olisi houkuttelevaa, myös matkustajien oikeuksia on suojeltava koko matkan osalta. Huhtikuussa 2021 annetussa uudessa rautatieliikenteen matkustajien oikeuksia koskevassa asetuksessa asetetaan ensimmäistä kertaa velvoite tarjota suoria lippuja 7. kesäkuuta 2023 alkaen, joskin velvoitteeseen liittyy useita rajoituksia</w:t>
      </w:r>
      <w:r w:rsidR="00991741" w:rsidRPr="00E57A78">
        <w:rPr>
          <w:rStyle w:val="FootnoteReference"/>
          <w:rFonts w:ascii="Times New Roman" w:hAnsi="Times New Roman" w:cs="Times New Roman"/>
          <w:noProof/>
          <w:sz w:val="24"/>
          <w:szCs w:val="24"/>
          <w:lang w:val="en-IE"/>
        </w:rPr>
        <w:footnoteReference w:id="58"/>
      </w:r>
      <w:r>
        <w:rPr>
          <w:rFonts w:ascii="Times New Roman" w:hAnsi="Times New Roman"/>
          <w:noProof/>
          <w:sz w:val="24"/>
          <w:szCs w:val="24"/>
        </w:rPr>
        <w:t xml:space="preserve"> </w:t>
      </w:r>
      <w:r w:rsidR="00A032E5" w:rsidRPr="00E57A78">
        <w:rPr>
          <w:rStyle w:val="FootnoteReference"/>
          <w:rFonts w:ascii="Times New Roman" w:hAnsi="Times New Roman" w:cs="Times New Roman"/>
          <w:noProof/>
          <w:sz w:val="24"/>
          <w:szCs w:val="24"/>
          <w:lang w:val="en-IE"/>
        </w:rPr>
        <w:footnoteReference w:id="59"/>
      </w:r>
      <w:r>
        <w:rPr>
          <w:rFonts w:ascii="Times New Roman" w:hAnsi="Times New Roman"/>
          <w:noProof/>
          <w:sz w:val="24"/>
          <w:szCs w:val="24"/>
        </w:rPr>
        <w:t>.</w:t>
      </w:r>
    </w:p>
    <w:p w14:paraId="66DE249D" w14:textId="7D141934" w:rsidR="000B36DB" w:rsidRPr="00E57A78" w:rsidRDefault="009F3359"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Suorien lippujen tarjoamista koskevan velvoitteen rajallisuus ja tällaisten lippujen tämänhetkisen tarjonnan puute kuitenkin rajoittavat matkustajien suojelua ja vähentävät junamatkustamisen houkuttelevuutta. On olennaisen tärkeää, että tehdessään matkansa useilla eri junilla matkustajat voivat olla varmoja siitä, että matka ei keskeydy, vaikka yksi junista olisi myöhässä, riippumatta siitä, onko kyseessä suora lippu vai useilla eri lipuilla toteutettu matka. Yhtenä ratkaisuna voisi olla se, että varmistettaisiin ainakin, että erillisillä lipuilla matkustavat voisivat tietyin ehdoin jatkaa matkaansa, jos he myöhästyvät jatkoyhteydestä. Komissio aikookin käsitellä tätä matkan jatkamiseen viivästystapauksissa liittyvää kysymystä multimodaalisen liikkumisen digitaalipalveluja koskevan aloitteen yhteydessä. </w:t>
      </w:r>
    </w:p>
    <w:p w14:paraId="4D24D38E" w14:textId="08E3EC9C" w:rsidR="004753AF" w:rsidRPr="00E57A78" w:rsidRDefault="00764556" w:rsidP="004753AF">
      <w:pPr>
        <w:spacing w:after="240"/>
        <w:jc w:val="both"/>
        <w:rPr>
          <w:noProof/>
        </w:rPr>
      </w:pPr>
      <w:r>
        <w:rPr>
          <w:rFonts w:ascii="Times New Roman" w:hAnsi="Times New Roman"/>
          <w:noProof/>
          <w:sz w:val="24"/>
          <w:szCs w:val="24"/>
        </w:rPr>
        <w:t>Kohtuuhintaisuus on avainasemassa pyrittäessä varmistamaan, että kaikki ovat osa vihreää siirtymää ja hyötyvät siitä. Kuten EU:n pitkän aikavälin maaseutuvisiosta annetussa tiedonannossa</w:t>
      </w:r>
      <w:r w:rsidR="004753AF" w:rsidRPr="00E57A78">
        <w:rPr>
          <w:rStyle w:val="FootnoteReference"/>
          <w:rFonts w:ascii="Times New Roman" w:hAnsi="Times New Roman" w:cs="Times New Roman"/>
          <w:noProof/>
          <w:sz w:val="24"/>
          <w:szCs w:val="24"/>
          <w:lang w:val="en-IE"/>
        </w:rPr>
        <w:footnoteReference w:id="60"/>
      </w:r>
      <w:r>
        <w:rPr>
          <w:rFonts w:ascii="Times New Roman" w:hAnsi="Times New Roman"/>
          <w:noProof/>
          <w:sz w:val="24"/>
          <w:szCs w:val="24"/>
        </w:rPr>
        <w:t xml:space="preserve"> todetaan, komissio aikoo kiinnittää tarkoin huomiota myös maaseutualueiden ja syrjäisten alueiden yhteyksien parantamiseen. Tätä varten toteutetaan erityinen lippulaiva-aloite, jossa keskitytään kestävää multimodaalista liikkumista koskeviin parhaisiin käytäntöihin maaseutualueilla. </w:t>
      </w:r>
    </w:p>
    <w:p w14:paraId="17EC8F35" w14:textId="102AD756" w:rsidR="00E728FC"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On myös olennaisen tärkeää varmistaa, että vammaiset ja liikuntarajoitteiset henkilöt voivat käyttää rautateiden pitkän matkan ja rajatylittäviä henkilöliikennepalveluja, myös lipunmyyntipalveluja ja uusimman kehityksen mukaista digitaalista teknologiaa, yhdenvertaisesti. Tätä varten esteettömyyttä koskevan eurooppalaisen säädöksen</w:t>
      </w:r>
      <w:r w:rsidR="00A4015F" w:rsidRPr="00E57A78">
        <w:rPr>
          <w:rStyle w:val="FootnoteReference"/>
          <w:rFonts w:ascii="Times New Roman" w:hAnsi="Times New Roman" w:cs="Times New Roman"/>
          <w:noProof/>
          <w:sz w:val="24"/>
          <w:szCs w:val="24"/>
          <w:lang w:val="en-IE"/>
        </w:rPr>
        <w:footnoteReference w:id="61"/>
      </w:r>
      <w:r>
        <w:rPr>
          <w:rFonts w:ascii="Times New Roman" w:hAnsi="Times New Roman"/>
          <w:noProof/>
          <w:sz w:val="24"/>
          <w:szCs w:val="24"/>
        </w:rPr>
        <w:t xml:space="preserve"> sisältämiä esteettömyysvaatimuksia olisi sovellettava kaikkeen rautatieliikenteeseen. Tätä tuetaan vammaisten ja liikkumisesteisten henkilöiden esteetöntä pääsyä unionin rautatiejärjestelmään koskevilla yhteentoimivuuden teknisillä eritelmillä</w:t>
      </w:r>
      <w:r w:rsidR="00527311" w:rsidRPr="00E57A78">
        <w:rPr>
          <w:rStyle w:val="FootnoteReference"/>
          <w:rFonts w:ascii="Times New Roman" w:hAnsi="Times New Roman" w:cs="Times New Roman"/>
          <w:noProof/>
          <w:sz w:val="24"/>
          <w:szCs w:val="24"/>
          <w:lang w:val="en-IE"/>
        </w:rPr>
        <w:footnoteReference w:id="62"/>
      </w:r>
      <w:r>
        <w:rPr>
          <w:rFonts w:ascii="Times New Roman" w:hAnsi="Times New Roman"/>
          <w:noProof/>
          <w:sz w:val="24"/>
          <w:szCs w:val="24"/>
        </w:rPr>
        <w:t xml:space="preserve"> sekä huhtikuussa 2021 annetulla uudella rautatieliikenteen matkustajien oikeuksia koskevalla asetuksella.</w:t>
      </w:r>
    </w:p>
    <w:tbl>
      <w:tblPr>
        <w:tblStyle w:val="TableGrid"/>
        <w:tblW w:w="0" w:type="auto"/>
        <w:tblLook w:val="04A0" w:firstRow="1" w:lastRow="0" w:firstColumn="1" w:lastColumn="0" w:noHBand="0" w:noVBand="1"/>
      </w:tblPr>
      <w:tblGrid>
        <w:gridCol w:w="9062"/>
      </w:tblGrid>
      <w:tr w:rsidR="000B36DB" w:rsidRPr="00E57A78" w14:paraId="14B07BDF" w14:textId="77777777" w:rsidTr="00BA0F8D">
        <w:tc>
          <w:tcPr>
            <w:tcW w:w="9062" w:type="dxa"/>
          </w:tcPr>
          <w:p w14:paraId="550FD8E1"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5C000B99"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47D971FD" w14:textId="6E2D90CD" w:rsidR="00845B35" w:rsidRPr="00E57A78" w:rsidRDefault="000B36DB" w:rsidP="005F2C46">
            <w:pPr>
              <w:tabs>
                <w:tab w:val="left" w:pos="284"/>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ehdottaa multimodaalisen liikkumisen digitaalipalveluja koskevaa asetusta, joka on tarkoitus hyväksyä vuoden 2022 loppuun mennessä, liikennepalvelun tarjoajien välisen tiedonvaihdon parantamiseksi ja helpottaakseen oikeudenmukaisten kaupallisten sopimusten tekemistä rautatieyritysten välillä ja kolmansina osapuolina toimivien lipunmyyjien kanssa, mukaan lukien matkan jatkaminen ja erillisillä lipuilla matkustavien, jatkoyhteydeltään myöhästyneiden matkustajien suojelu;</w:t>
            </w:r>
          </w:p>
          <w:p w14:paraId="6719BEB0" w14:textId="65B63C8A" w:rsidR="001935C6" w:rsidRPr="00E57A78" w:rsidRDefault="000B36DB" w:rsidP="00845B35">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seurata uuden rautatieliikenteen matkustajien oikeuksia koskevan asetuksen noudattamista, kun sitä aletaan soveltaa kesäkuussa 2023.</w:t>
            </w:r>
          </w:p>
          <w:p w14:paraId="49CE917E"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518CDF78" w14:textId="3FD3DA6E" w:rsidR="000B36DB" w:rsidRPr="00F90CF6" w:rsidRDefault="000B36DB"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11C53739" w14:textId="3F206C92" w:rsidR="00252287" w:rsidRPr="00E57A78" w:rsidRDefault="00252287"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3.8. </w:t>
      </w:r>
      <w:r>
        <w:rPr>
          <w:rFonts w:ascii="Times New Roman" w:hAnsi="Times New Roman"/>
          <w:noProof/>
          <w:sz w:val="24"/>
          <w:szCs w:val="24"/>
          <w:u w:val="single"/>
        </w:rPr>
        <w:t>Tasapuoliset toimintaedellytykset muiden liikennemuotojen kanssa</w:t>
      </w:r>
      <w:r>
        <w:rPr>
          <w:rFonts w:ascii="Times New Roman" w:hAnsi="Times New Roman"/>
          <w:noProof/>
          <w:sz w:val="24"/>
          <w:szCs w:val="24"/>
        </w:rPr>
        <w:t xml:space="preserve"> </w:t>
      </w:r>
    </w:p>
    <w:p w14:paraId="6DD6EF5E" w14:textId="35FD41D6" w:rsidR="002D757A" w:rsidRPr="00E57A78" w:rsidRDefault="002D757A"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Komissio on jo esittänyt ehdotuksia </w:t>
      </w:r>
      <w:r>
        <w:rPr>
          <w:rFonts w:ascii="Times New Roman" w:hAnsi="Times New Roman"/>
          <w:noProof/>
          <w:sz w:val="24"/>
        </w:rPr>
        <w:t>tasavertaisen kilpailun mahdollistamiseksi</w:t>
      </w:r>
      <w:r>
        <w:rPr>
          <w:rFonts w:ascii="Times New Roman" w:hAnsi="Times New Roman"/>
          <w:noProof/>
          <w:sz w:val="24"/>
          <w:szCs w:val="24"/>
        </w:rPr>
        <w:t xml:space="preserve"> eri liikennemuotojen välillä. Komissio esitti 14. heinäkuuta 2021 esitellyssä 55-valmiuspaketissa</w:t>
      </w:r>
      <w:r w:rsidRPr="00E57A78">
        <w:rPr>
          <w:rStyle w:val="FootnoteReference"/>
          <w:rFonts w:ascii="Times New Roman" w:hAnsi="Times New Roman" w:cs="Times New Roman"/>
          <w:noProof/>
          <w:sz w:val="24"/>
          <w:szCs w:val="24"/>
          <w:lang w:val="en-IE"/>
        </w:rPr>
        <w:footnoteReference w:id="63"/>
      </w:r>
      <w:r>
        <w:rPr>
          <w:rFonts w:ascii="Times New Roman" w:hAnsi="Times New Roman"/>
          <w:noProof/>
          <w:sz w:val="24"/>
          <w:szCs w:val="24"/>
        </w:rPr>
        <w:t xml:space="preserve"> joukon kunnianhimoisia ehdotuksia sen varmistamiseksi, että taloudelliset kannustimet tukevat ilmastoon liittyviä, sosiaalisia ja ympäristötavoitteita, ottaen samalla huomioon eri liikennemuotojen erilaiset maailmanlaajuiset toimintaympäristöt ja erilaiset kilpailutilanteet. Ehdotukset koskevat muun muassa päästökauppaan ja energiaverotuskehykseen tehtäviä muutoksia.</w:t>
      </w:r>
    </w:p>
    <w:p w14:paraId="32BB1DDD" w14:textId="5208B050" w:rsidR="002D757A" w:rsidRPr="00E57A78" w:rsidRDefault="002D757A"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Jäsenvaltioilla on käytössään tehokkaita välineitä sen varmistamiseksi, että eri liikennemuodot voivat kilpailla tasavertaisesti. Jäsenvaltioilla on esimerkiksi laajat mahdollisuudet vaikuttaa rautatieliikennepalvelujen hinnoitteluun kansallisen verotuksen kautta. Esimerkiksi Saksa hyödynsi tätä mahdollisuutta alentamalla kaukoliikenteen junalippujen arvonlisäveroa 19 prosentista 7 prosenttiin vuonna 2020. Komissio aikoo arvioida tarvetta vapauttaa kansainväliset junaliput arvonlisäverosta EU:n laajuisesti, jotta rautatieliikennepalveluista voitaisiin tehdä matkustajille huomattavasti edullisempaa. </w:t>
      </w:r>
    </w:p>
    <w:p w14:paraId="667AC1BD" w14:textId="6F568051" w:rsidR="002D757A" w:rsidRPr="00E57A78" w:rsidRDefault="002D757A"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Eri liikennemuotojen tasapuolisia toimintaedellytyksiä voidaan edistää myös mahdollistamalla eri liikennemuotoja yhdistävien innovatiivisten palvelujen syntyminen. Esimerkiksi helpottamalla lento- ja junalippujen yhdistämistä voidaan lisätä junamatkustamisen näkyvyyttä pitkän matkan lentojen tukiliikennemuotona. Joillakin jäsenvaltioilla on jo pitkä kokemus siitä, miten lentoyhtiöitä voidaan auttaa myymään lippuja rautatieliikenteeseen ja kuljettamaan matkustajia keskuslentoasemille lentokoneen sijaan rautateitse</w:t>
      </w:r>
      <w:r w:rsidR="008B2B19" w:rsidRPr="00E57A78">
        <w:rPr>
          <w:rFonts w:ascii="Times New Roman" w:hAnsi="Times New Roman" w:cs="Times New Roman"/>
          <w:noProof/>
          <w:sz w:val="24"/>
          <w:szCs w:val="24"/>
          <w:vertAlign w:val="superscript"/>
        </w:rPr>
        <w:footnoteReference w:id="64"/>
      </w:r>
      <w:r>
        <w:rPr>
          <w:rFonts w:ascii="Times New Roman" w:hAnsi="Times New Roman"/>
          <w:noProof/>
          <w:sz w:val="24"/>
          <w:szCs w:val="24"/>
        </w:rPr>
        <w:t xml:space="preserve">. </w:t>
      </w:r>
    </w:p>
    <w:p w14:paraId="2FCE3362" w14:textId="7ED6753E" w:rsidR="002D757A" w:rsidRPr="00E57A78" w:rsidRDefault="002D757A"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Komissio aikoo arvioida lentoliikenneasetuksen tarkistamisen</w:t>
      </w:r>
      <w:r w:rsidRPr="00E57A78">
        <w:rPr>
          <w:rStyle w:val="FootnoteReference"/>
          <w:rFonts w:ascii="Times New Roman" w:hAnsi="Times New Roman" w:cs="Times New Roman"/>
          <w:noProof/>
          <w:sz w:val="24"/>
          <w:szCs w:val="24"/>
        </w:rPr>
        <w:footnoteReference w:id="65"/>
      </w:r>
      <w:r>
        <w:rPr>
          <w:rFonts w:ascii="Times New Roman" w:hAnsi="Times New Roman"/>
          <w:noProof/>
          <w:sz w:val="24"/>
          <w:szCs w:val="24"/>
        </w:rPr>
        <w:t xml:space="preserve"> yhteydessä, millaisia mahdollisuuksia EU-mailla olisi ja millaisin perustein ne voisivat rajoittaa lentoliikennettä tietyillä reiteillä, kun tarjolla on samantasoiset palvelut takaavia kestävämpiä liikennemuotoja, sisämarkkinoiden periaatteista tinkimättä. Tämä voisi yhdessä multimodaalisen liikkumisen digitaalipalveluja koskevan aloitteen</w:t>
      </w:r>
      <w:r w:rsidRPr="00E57A78">
        <w:rPr>
          <w:rStyle w:val="FootnoteReference"/>
          <w:rFonts w:ascii="Times New Roman" w:hAnsi="Times New Roman" w:cs="Times New Roman"/>
          <w:noProof/>
          <w:sz w:val="24"/>
          <w:szCs w:val="24"/>
        </w:rPr>
        <w:footnoteReference w:id="66"/>
      </w:r>
      <w:r>
        <w:rPr>
          <w:rFonts w:ascii="Times New Roman" w:hAnsi="Times New Roman"/>
          <w:noProof/>
          <w:sz w:val="24"/>
          <w:szCs w:val="24"/>
        </w:rPr>
        <w:t xml:space="preserve"> kanssa auttaa löytämään vaihtoehtoja edistää lento- ja rautatieliikennettä yhdistävien multimodaalisten palvelujen tarjoamista.</w:t>
      </w:r>
    </w:p>
    <w:tbl>
      <w:tblPr>
        <w:tblStyle w:val="TableGrid"/>
        <w:tblW w:w="0" w:type="auto"/>
        <w:tblLook w:val="04A0" w:firstRow="1" w:lastRow="0" w:firstColumn="1" w:lastColumn="0" w:noHBand="0" w:noVBand="1"/>
      </w:tblPr>
      <w:tblGrid>
        <w:gridCol w:w="9062"/>
      </w:tblGrid>
      <w:tr w:rsidR="00E57A78" w:rsidRPr="00E57A78" w14:paraId="3A823229" w14:textId="77777777" w:rsidTr="00252287">
        <w:tc>
          <w:tcPr>
            <w:tcW w:w="9062" w:type="dxa"/>
          </w:tcPr>
          <w:p w14:paraId="4B746486" w14:textId="77777777" w:rsidR="00252287" w:rsidRPr="00E57A78" w:rsidRDefault="00252287" w:rsidP="00252287">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45BFE524" w14:textId="2ED8BA6B" w:rsidR="00252287" w:rsidRPr="00E57A78" w:rsidRDefault="00252287" w:rsidP="00252287">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6DC6650D" w14:textId="77777777" w:rsidR="00252287" w:rsidRPr="00E57A78" w:rsidRDefault="00252287" w:rsidP="00252287">
            <w:pPr>
              <w:tabs>
                <w:tab w:val="left" w:pos="284"/>
              </w:tabs>
              <w:spacing w:after="60"/>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tehdä yhteistyötä parlamentin ja neuvoston kanssa edistääkseen 55-valmiuspakettiin sisältyvien ehdotusten ripeää hyväksymistä, mukaan lukien hiilen hinnoittelua ja eri liikennemuotojen päästökauppaa koskevat ehdotukset;</w:t>
            </w:r>
          </w:p>
          <w:p w14:paraId="6F1F8ECB" w14:textId="77777777" w:rsidR="00252287" w:rsidRPr="00E57A78" w:rsidRDefault="00252287" w:rsidP="00252287">
            <w:pPr>
              <w:tabs>
                <w:tab w:val="left" w:pos="284"/>
              </w:tabs>
              <w:spacing w:after="60"/>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arvioida tarvetta myöntää kansainvälisille rautatieliikennepalveluille EU:n laajuinen vapautus arvonlisäverosta;</w:t>
            </w:r>
          </w:p>
          <w:p w14:paraId="28B5F151" w14:textId="08B62236" w:rsidR="00252287" w:rsidRPr="00E57A78" w:rsidRDefault="00252287" w:rsidP="00252287">
            <w:pPr>
              <w:tabs>
                <w:tab w:val="left" w:pos="284"/>
              </w:tabs>
              <w:spacing w:after="60"/>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tukea ja edistää multimodaalisia lento-junamatkoja reiteillä, joilla on käytettävissä tällaisten palvelujen tarjoamiseen soveltuva infrastruktuuri, sekä arvioida sääntelyvaihtoehtoja tällaisten multimodaalisten palvelujen tarjoamisen helpottamiseksi.</w:t>
            </w:r>
          </w:p>
          <w:p w14:paraId="58045D75" w14:textId="77777777" w:rsidR="00252287" w:rsidRPr="00F90CF6" w:rsidRDefault="00252287" w:rsidP="00252287">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535D4726" w14:textId="77777777" w:rsidR="00EA2195" w:rsidRPr="00E57A78" w:rsidRDefault="00252287" w:rsidP="00EA2195">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 xml:space="preserve"> </w:t>
      </w:r>
    </w:p>
    <w:p w14:paraId="2465E70C" w14:textId="20540C01" w:rsidR="000B36DB" w:rsidRPr="00E57A78" w:rsidRDefault="000B36DB" w:rsidP="005534C4">
      <w:pPr>
        <w:tabs>
          <w:tab w:val="left" w:pos="284"/>
          <w:tab w:val="left" w:pos="567"/>
          <w:tab w:val="left" w:pos="851"/>
          <w:tab w:val="left" w:pos="1134"/>
          <w:tab w:val="left" w:pos="1418"/>
          <w:tab w:val="left" w:pos="1701"/>
          <w:tab w:val="left" w:pos="1985"/>
          <w:tab w:val="left" w:pos="2268"/>
        </w:tabs>
        <w:spacing w:after="240"/>
        <w:ind w:left="567" w:hanging="567"/>
        <w:jc w:val="both"/>
        <w:rPr>
          <w:rFonts w:ascii="Times New Roman" w:hAnsi="Times New Roman" w:cs="Times New Roman"/>
          <w:noProof/>
          <w:sz w:val="24"/>
          <w:szCs w:val="24"/>
        </w:rPr>
      </w:pPr>
      <w:r>
        <w:rPr>
          <w:rFonts w:ascii="Times New Roman" w:hAnsi="Times New Roman"/>
          <w:noProof/>
          <w:sz w:val="24"/>
          <w:szCs w:val="24"/>
        </w:rPr>
        <w:t>3.9.</w:t>
      </w:r>
      <w:r>
        <w:rPr>
          <w:rFonts w:ascii="Times New Roman" w:hAnsi="Times New Roman"/>
          <w:noProof/>
          <w:sz w:val="24"/>
          <w:szCs w:val="24"/>
        </w:rPr>
        <w:tab/>
      </w:r>
      <w:r>
        <w:rPr>
          <w:rFonts w:ascii="Times New Roman" w:hAnsi="Times New Roman"/>
          <w:noProof/>
          <w:sz w:val="24"/>
          <w:szCs w:val="24"/>
          <w:u w:val="single"/>
        </w:rPr>
        <w:t xml:space="preserve">Julkisen palvelun velvoitteet kestävän rajatylittävän ja/tai multimodaalisen joukkoliikenteen edistämiseksi </w:t>
      </w:r>
    </w:p>
    <w:p w14:paraId="53BAC1AF" w14:textId="2E26236C" w:rsidR="00667C17" w:rsidRPr="00E57A78" w:rsidRDefault="00667C17"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Kun on kyse sellaisista yhteyksistä tai verkoista, joille on todettu olevan julkinen tarve ja joilla markkinat eivät (vielä) kykene tai ole halukkaita tarjoamaan palveluja, joita pidetään liikenneyhteyksien kannalta tarpeellisina tai muutoin hyödyllisinä yhteiskunnalle, toimivaltaiset viranomaiset voivat määrätä julkisen palvelun velvoitteita ja tehdä rautatieliikenteen harjoittajien kanssa palveluhankintasopimuksia, joihin liittyy tyypillisesti taloudellinen korvaus. Julkisen palvelun velvoitteita ei kuitenkaan pitäisi käyttää kilpailun rajoittamiseen tai käyttöoikeuksien avoimuuteen perustuvien palvelujen tarjoamisen estämiseen.</w:t>
      </w:r>
    </w:p>
    <w:p w14:paraId="37DF454F" w14:textId="607864EE" w:rsidR="000B36DB"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Maaliikenteen julkisen palvelun velvoitteita koskevan asetuksen mukaan toimivaltaiset viranomaiset voivat tehdä yhteistyötä ja määrätä rajatylittäviä julkisen palvelun velvoitteita. EU:ssa on määrätty jo useita rajatylittävää rautatieliikennettä koskevia julkisen palvelun velvoitteita. Toimivaltaiset viranomaiset kohtaavat kuitenkin usein käytännön ja hallinnollisia esteitä koordinoidessaan menettelyjään</w:t>
      </w:r>
      <w:r>
        <w:rPr>
          <w:noProof/>
        </w:rPr>
        <w:t xml:space="preserve"> </w:t>
      </w:r>
      <w:r>
        <w:rPr>
          <w:rFonts w:ascii="Times New Roman" w:hAnsi="Times New Roman"/>
          <w:noProof/>
          <w:sz w:val="24"/>
          <w:szCs w:val="24"/>
        </w:rPr>
        <w:t xml:space="preserve">rajatylittävän julkisen palvelun velvoitteen täytäntöönpanemiseksi. Joissakin rajatylittävissä palveluissa yksi tai useampi osuus matkasta tarjotaan julkisen palvelun velvoitteen alaisena ja muut osuudet käyttöoikeuksien avoimuuteen perustuvina palveluina. Koska tällaisille yhdistelmäpalveluille ei ole erityisiä unionin sääntöjä, toimivaltaisten viranomaisten olisi oltava erityisen tarkkoja välttääkseen kilpailun vääristymisen ja ristiintukemisen riskin. </w:t>
      </w:r>
    </w:p>
    <w:p w14:paraId="2BDC6DFA" w14:textId="77777777" w:rsidR="00765DCB" w:rsidRPr="00E57A78" w:rsidRDefault="00765DC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Vaihtoehtoisesti jäsenvaltiot voisivat tukea rautatieliikennettä hyödyntämällä valtiontukisääntöjen mukaisesti direktiivin 2012/34/EU 34 artiklassa säädettyä mahdollisuutta korvata radan käyttöoikeusmaksut vastikkeena niistä kilpailevien liikennemuotojen ulkoisista kustannuksista, joilla muita liikennemuotoja ei rasiteta.</w:t>
      </w:r>
    </w:p>
    <w:p w14:paraId="4AEDCE86" w14:textId="467D8230" w:rsidR="000B36DB"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Määrätessään joukkoliikennettä koskevia julkisen palvelun velvoitteita toimivaltaiset viranomaiset voivat samalla asettaa ympäristön kestävyyttä koskevia vaatimuksia. Tämä voi olla tärkeää erityisesti multimodaalisessa maaliikenteessä, jossa on jo käytettävissä päästöttömiä ajoneuvoja ja liikkuvaa kalustoa. Nykyiset säännöt mahdollistavat jo tietyssä määrin multimodaalisen julkisen palvelun velvoitteen alaisen järjestelmän, kun matkustaja käyttää matkallaan useampaa kuin yhtä liikennemuotoa ja kukin näistä liikennemuodoista on julkisen palvelun velvoitteen alainen.</w:t>
      </w:r>
      <w:r>
        <w:rPr>
          <w:noProof/>
        </w:rPr>
        <w:t xml:space="preserve"> </w:t>
      </w:r>
      <w:r>
        <w:rPr>
          <w:rFonts w:ascii="Times New Roman" w:hAnsi="Times New Roman"/>
          <w:noProof/>
          <w:sz w:val="24"/>
          <w:szCs w:val="24"/>
        </w:rPr>
        <w:t>Julkisen palvelun velvoitteen järjestelmä ja sisämarkkinasäännöt vaihtelevat liikennemuodon mukaan.  Tällä hetkellä käytössä on kolme erilaista oikeudellista kehystä, maa-, meri- ja lentoliikenteelle. Jokaisen tällaisella matkalla käytettävän liikennemuodon osalta voidaan tehdä erillinen palveluhankintasopimus. Myös maaliikenteen kulkumuotojen (rautatie- ja linja-autoliikenne sekä muu ratapohjainen liikenne) osalta on mahdollista määrätä multimodaalinen julkisen palvelun velvoite. Tällainen maaliikenteen multimodaalinen julkisen palvelun velvoite kuuluisi kokonaisuudessaan maaliikenteen julkisen palvelun velvoitteita koskevan asetuksen soveltamisalaan.</w:t>
      </w:r>
    </w:p>
    <w:p w14:paraId="6F85E784" w14:textId="57F845CD" w:rsidR="000B36DB"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Rajatylittävien palvelujen helpottamiseksi ja edistämiseksi komissio aikoo antaa julkisen palvelun velvoitteiden alaisia maaliikennepalveluja koskevat tulkintaohjeet auttaakseen jäsenvaltioita ja toimivaltaisia viranomaisia määräämään rajatylittäviä julkisen palvelun velvoitteita, jotka ovat kaikilta osin unionin lainsäädännön mukaisia. </w:t>
      </w:r>
    </w:p>
    <w:tbl>
      <w:tblPr>
        <w:tblStyle w:val="TableGrid"/>
        <w:tblW w:w="0" w:type="auto"/>
        <w:tblLook w:val="04A0" w:firstRow="1" w:lastRow="0" w:firstColumn="1" w:lastColumn="0" w:noHBand="0" w:noVBand="1"/>
      </w:tblPr>
      <w:tblGrid>
        <w:gridCol w:w="9062"/>
      </w:tblGrid>
      <w:tr w:rsidR="000B36DB" w:rsidRPr="00E57A78" w14:paraId="7A6C56DD" w14:textId="77777777" w:rsidTr="00BA0F8D">
        <w:tc>
          <w:tcPr>
            <w:tcW w:w="9062" w:type="dxa"/>
          </w:tcPr>
          <w:p w14:paraId="13CCABBC"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p w14:paraId="2DE4F961"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443FCCEA" w14:textId="649C099C"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rPr>
            </w:pPr>
            <w:r>
              <w:rPr>
                <w:rFonts w:ascii="Times New Roman" w:hAnsi="Times New Roman"/>
                <w:noProof/>
                <w:sz w:val="24"/>
                <w:szCs w:val="24"/>
              </w:rPr>
              <w:t>–</w:t>
            </w:r>
            <w:r>
              <w:rPr>
                <w:rFonts w:ascii="Times New Roman" w:hAnsi="Times New Roman"/>
                <w:noProof/>
                <w:sz w:val="24"/>
                <w:szCs w:val="24"/>
              </w:rPr>
              <w:tab/>
              <w:t>julkaista vuonna 2022 tulkintaohjeet maaliikenteen julkisen palvelun velvoitteita koskevan asetuksen soveltamista varten, muun muassa sen soveltamiseksi rautateiden pitkän matkan ja rajatylittävään henkilöliikenteeseen sekä edistääkseen ja tukeakseen kestävien multimodaalisten maaliikennepalvelujen kehittämistä.</w:t>
            </w:r>
          </w:p>
          <w:p w14:paraId="5EA4FC35"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p>
        </w:tc>
      </w:tr>
    </w:tbl>
    <w:p w14:paraId="294D65C8" w14:textId="77777777" w:rsidR="000B36DB" w:rsidRPr="00F90CF6" w:rsidRDefault="000B36DB"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p>
    <w:p w14:paraId="19466920" w14:textId="5632C2A3" w:rsidR="000B36DB" w:rsidRPr="00E57A78" w:rsidRDefault="000B36DB" w:rsidP="005534C4">
      <w:pPr>
        <w:keepNext/>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3.10.</w:t>
      </w:r>
      <w:r>
        <w:rPr>
          <w:rFonts w:ascii="Times New Roman" w:hAnsi="Times New Roman"/>
          <w:noProof/>
          <w:sz w:val="24"/>
          <w:szCs w:val="24"/>
        </w:rPr>
        <w:tab/>
      </w:r>
      <w:r>
        <w:rPr>
          <w:rFonts w:ascii="Times New Roman" w:hAnsi="Times New Roman"/>
          <w:noProof/>
          <w:sz w:val="24"/>
          <w:szCs w:val="24"/>
          <w:u w:val="single"/>
        </w:rPr>
        <w:t>Nuorten osallistaminen</w:t>
      </w:r>
      <w:r>
        <w:rPr>
          <w:rFonts w:ascii="Times New Roman" w:hAnsi="Times New Roman"/>
          <w:noProof/>
          <w:sz w:val="24"/>
          <w:szCs w:val="24"/>
        </w:rPr>
        <w:t xml:space="preserve"> </w:t>
      </w:r>
    </w:p>
    <w:p w14:paraId="3D3B9E55" w14:textId="15425051" w:rsidR="000B36DB" w:rsidRPr="00E57A78" w:rsidRDefault="000B36DB"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Euroopan rautateiden teemavuotta 2021 seuraa Euroopan nuorison teemavuosi 2022, joka tarjoaa erinomaisen tilaisuuden kannustaa tulevaa sukupolvea valitsemaan kestävä liikennemuoto. DiscoverEU-hankkeen</w:t>
      </w:r>
      <w:r w:rsidRPr="00E57A78">
        <w:rPr>
          <w:rStyle w:val="FootnoteReference"/>
          <w:rFonts w:ascii="Times New Roman" w:hAnsi="Times New Roman" w:cs="Times New Roman"/>
          <w:noProof/>
          <w:sz w:val="24"/>
          <w:szCs w:val="24"/>
          <w:lang w:val="en-IE"/>
        </w:rPr>
        <w:footnoteReference w:id="67"/>
      </w:r>
      <w:r>
        <w:rPr>
          <w:rFonts w:ascii="Times New Roman" w:hAnsi="Times New Roman"/>
          <w:noProof/>
          <w:sz w:val="24"/>
          <w:szCs w:val="24"/>
        </w:rPr>
        <w:t xml:space="preserve"> kautta unioni tarjoaa jo nyt 60 000:lle 18–20-vuotiaalle eurooppalaiselle nuorelle junamatkakortin, jolla nuori voi matkustaa maaliskuun 2022 ja helmikuun 2023 välisenä aikana 30 päivän ajan maksutta. Nuorten junamatkustamista voidaan edistää entisestään, kun otetaan huomioon myös Erasmus-opiskelijat, joita lähtee vaihtoon vuosittain noin miljoona ja jotka voisivat matkustaa vaihtokohteisiinsa junalla</w:t>
      </w:r>
      <w:r w:rsidRPr="00E57A78">
        <w:rPr>
          <w:rStyle w:val="FootnoteReference"/>
          <w:rFonts w:ascii="Times New Roman" w:hAnsi="Times New Roman" w:cs="Times New Roman"/>
          <w:noProof/>
          <w:sz w:val="24"/>
          <w:szCs w:val="24"/>
          <w:lang w:val="en-IE"/>
        </w:rPr>
        <w:footnoteReference w:id="68"/>
      </w:r>
      <w:r>
        <w:rPr>
          <w:rFonts w:ascii="Times New Roman" w:hAnsi="Times New Roman"/>
          <w:noProof/>
          <w:sz w:val="24"/>
          <w:szCs w:val="24"/>
        </w:rPr>
        <w:t>.</w:t>
      </w:r>
    </w:p>
    <w:tbl>
      <w:tblPr>
        <w:tblStyle w:val="TableGrid"/>
        <w:tblW w:w="0" w:type="auto"/>
        <w:tblLook w:val="04A0" w:firstRow="1" w:lastRow="0" w:firstColumn="1" w:lastColumn="0" w:noHBand="0" w:noVBand="1"/>
      </w:tblPr>
      <w:tblGrid>
        <w:gridCol w:w="9062"/>
      </w:tblGrid>
      <w:tr w:rsidR="00E57A78" w:rsidRPr="00E57A78" w14:paraId="103F62E5" w14:textId="77777777" w:rsidTr="00BA0F8D">
        <w:tc>
          <w:tcPr>
            <w:tcW w:w="9062" w:type="dxa"/>
          </w:tcPr>
          <w:p w14:paraId="3807BDB5"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u w:val="single"/>
              </w:rPr>
            </w:pPr>
          </w:p>
          <w:p w14:paraId="1C05A07F" w14:textId="77777777" w:rsidR="000B36DB" w:rsidRPr="00E57A78"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rPr>
            </w:pPr>
            <w:r>
              <w:rPr>
                <w:rFonts w:ascii="Times New Roman" w:hAnsi="Times New Roman"/>
                <w:noProof/>
                <w:sz w:val="24"/>
                <w:szCs w:val="24"/>
              </w:rPr>
              <w:t>Komissio aikoo</w:t>
            </w:r>
          </w:p>
          <w:p w14:paraId="1EEAF684" w14:textId="5D400DBA" w:rsidR="000B36DB" w:rsidRPr="00E57A78" w:rsidRDefault="000B36DB" w:rsidP="00BA0F8D">
            <w:pPr>
              <w:tabs>
                <w:tab w:val="left" w:pos="284"/>
                <w:tab w:val="left" w:pos="567"/>
                <w:tab w:val="left" w:pos="851"/>
                <w:tab w:val="left" w:pos="1134"/>
                <w:tab w:val="left" w:pos="1418"/>
                <w:tab w:val="left" w:pos="1701"/>
                <w:tab w:val="left" w:pos="1985"/>
                <w:tab w:val="left" w:pos="2268"/>
              </w:tabs>
              <w:ind w:left="284" w:hanging="284"/>
              <w:jc w:val="both"/>
              <w:rPr>
                <w:rFonts w:ascii="Times New Roman" w:hAnsi="Times New Roman" w:cs="Times New Roman"/>
                <w:noProof/>
                <w:sz w:val="24"/>
                <w:szCs w:val="24"/>
                <w:u w:val="single"/>
              </w:rPr>
            </w:pPr>
            <w:r>
              <w:rPr>
                <w:rFonts w:ascii="Times New Roman" w:hAnsi="Times New Roman"/>
                <w:noProof/>
                <w:sz w:val="24"/>
                <w:szCs w:val="24"/>
              </w:rPr>
              <w:t>–</w:t>
            </w:r>
            <w:r>
              <w:rPr>
                <w:rFonts w:ascii="Times New Roman" w:hAnsi="Times New Roman"/>
                <w:noProof/>
                <w:sz w:val="24"/>
                <w:szCs w:val="24"/>
              </w:rPr>
              <w:tab/>
              <w:t>harkita Erasmus-ohjelman korvaussääntöjen muuttamista edistääkseen kestävien liikennemuotojen käyttöä Erasmus-vaihtokohteisiin matkustettaessa.</w:t>
            </w:r>
          </w:p>
          <w:p w14:paraId="36FFD948" w14:textId="77777777" w:rsidR="000B36DB" w:rsidRPr="00F90CF6" w:rsidRDefault="000B36DB" w:rsidP="00BA0F8D">
            <w:pPr>
              <w:tabs>
                <w:tab w:val="left" w:pos="284"/>
                <w:tab w:val="left" w:pos="567"/>
                <w:tab w:val="left" w:pos="851"/>
                <w:tab w:val="left" w:pos="1134"/>
                <w:tab w:val="left" w:pos="1418"/>
                <w:tab w:val="left" w:pos="1701"/>
                <w:tab w:val="left" w:pos="1985"/>
                <w:tab w:val="left" w:pos="2268"/>
              </w:tabs>
              <w:jc w:val="both"/>
              <w:rPr>
                <w:rFonts w:ascii="Times New Roman" w:hAnsi="Times New Roman" w:cs="Times New Roman"/>
                <w:noProof/>
                <w:sz w:val="24"/>
                <w:szCs w:val="24"/>
                <w:u w:val="single"/>
              </w:rPr>
            </w:pPr>
          </w:p>
        </w:tc>
      </w:tr>
    </w:tbl>
    <w:p w14:paraId="221BCA58" w14:textId="77777777" w:rsidR="000B36DB" w:rsidRPr="00E57A78" w:rsidRDefault="000B36DB" w:rsidP="000B36DB">
      <w:pPr>
        <w:keepNext/>
        <w:tabs>
          <w:tab w:val="left" w:pos="284"/>
          <w:tab w:val="left" w:pos="567"/>
          <w:tab w:val="left" w:pos="851"/>
          <w:tab w:val="left" w:pos="1134"/>
          <w:tab w:val="left" w:pos="1418"/>
          <w:tab w:val="left" w:pos="1701"/>
          <w:tab w:val="left" w:pos="1985"/>
          <w:tab w:val="left" w:pos="2268"/>
        </w:tabs>
        <w:spacing w:before="240" w:after="120"/>
        <w:jc w:val="both"/>
        <w:rPr>
          <w:rFonts w:ascii="Times New Roman" w:hAnsi="Times New Roman" w:cs="Times New Roman"/>
          <w:b/>
          <w:noProof/>
          <w:sz w:val="24"/>
          <w:szCs w:val="24"/>
        </w:rPr>
      </w:pPr>
      <w:r>
        <w:rPr>
          <w:rFonts w:ascii="Times New Roman" w:hAnsi="Times New Roman"/>
          <w:b/>
          <w:noProof/>
          <w:sz w:val="24"/>
          <w:szCs w:val="24"/>
        </w:rPr>
        <w:t>4.</w:t>
      </w:r>
      <w:r>
        <w:rPr>
          <w:rFonts w:ascii="Times New Roman" w:hAnsi="Times New Roman"/>
          <w:b/>
          <w:noProof/>
          <w:sz w:val="24"/>
          <w:szCs w:val="24"/>
        </w:rPr>
        <w:tab/>
        <w:t>Pilottipalvelut</w:t>
      </w:r>
    </w:p>
    <w:p w14:paraId="3270E4C2" w14:textId="4C8D089A" w:rsidR="00367AA3" w:rsidRPr="00E57A78" w:rsidRDefault="00557ABE"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Tähän toimintasuunnitelmaan sisältyvät toimet olisi toteutettava kiireellisesti. Siksi jo kestävän ja älykkään liikkuvuuden strategiassa kehotetaan tätä toimintasuunnitelmaa ennakoiden tukemaan ”sellaisia tiettyjen reittien pilottipalveluja, joihin osallistuvat kaikki kiinnostuneet sidosryhmät”.</w:t>
      </w:r>
      <w:r>
        <w:rPr>
          <w:rFonts w:ascii="Times New Roman" w:hAnsi="Times New Roman"/>
          <w:i/>
          <w:noProof/>
          <w:sz w:val="24"/>
          <w:szCs w:val="24"/>
        </w:rPr>
        <w:t xml:space="preserve"> </w:t>
      </w:r>
      <w:r>
        <w:rPr>
          <w:rFonts w:ascii="Times New Roman" w:hAnsi="Times New Roman"/>
          <w:noProof/>
          <w:sz w:val="24"/>
          <w:szCs w:val="24"/>
        </w:rPr>
        <w:t>Komissio aikoo tukea rautatiealan sidosryhmiä ja muita kiinnostuneita osapuolia rajatylittävien pilottipalvelujen käynnistämisessä. Koska monet keskeiset henkilöliikenteen reitit kulkevat TEN-T-liikennekäytäviä pitkin, TEN-T-koordinaattoreilla on erityinen vastuu laatia työsuunnitelmia, joilla tuetaan rajatylittävien rautatieliikennepalvelujen kehittämistä näillä käytävillä, erityisesti ehdottamalla strategisia investointeja ja seuraamalla rautateiden liikennöinnin tehokkuutta, johon voidaan vaikuttaa operatiivisilla parannuksilla, kuten integroidulla aikataulujen suunnittelulla ja kapasiteetin myöntämismenettelyllä.</w:t>
      </w:r>
    </w:p>
    <w:p w14:paraId="137523AF" w14:textId="2094EA98" w:rsidR="000B36DB" w:rsidRPr="00E57A78" w:rsidRDefault="000423A3" w:rsidP="005534C4">
      <w:pPr>
        <w:tabs>
          <w:tab w:val="left" w:pos="284"/>
          <w:tab w:val="left" w:pos="567"/>
          <w:tab w:val="left" w:pos="851"/>
          <w:tab w:val="left" w:pos="1134"/>
          <w:tab w:val="left" w:pos="1418"/>
          <w:tab w:val="left" w:pos="1701"/>
          <w:tab w:val="left" w:pos="1985"/>
          <w:tab w:val="left" w:pos="2268"/>
        </w:tabs>
        <w:spacing w:after="240"/>
        <w:jc w:val="both"/>
        <w:rPr>
          <w:rFonts w:ascii="Times New Roman" w:hAnsi="Times New Roman" w:cs="Times New Roman"/>
          <w:noProof/>
          <w:sz w:val="24"/>
          <w:szCs w:val="24"/>
        </w:rPr>
      </w:pPr>
      <w:r>
        <w:rPr>
          <w:rFonts w:ascii="Times New Roman" w:hAnsi="Times New Roman"/>
          <w:noProof/>
          <w:sz w:val="24"/>
          <w:szCs w:val="24"/>
        </w:rPr>
        <w:t xml:space="preserve">Nämä pilottipalvelut tarjoavat mahdollisuuden testata ja toteuttaa tässä toimintasuunnitelmassa yksilöityjä toimenpiteitä. Näihin pilottipalveluihin voisi sisältyä esimerkiksi nopeampia kaupunkien välisiä yhteyksiä, integroidun aikataulusuunnittelun kaltaisten uusien lähestymistapojen hyödyntämistä, liikkuvan kaluston tukemista tai rajatylittäviä yhteyksiä koskevia julkisen palvelun velvoitteita. Piloteissa voitaisiin keskittyä tärkeimpiin reitteihin, joilla voidaan houkutella suuria määriä matkustajia rautatieliikennepalvelujen käyttäjiksi. Rautatiealaa kannustetaan esittämään vuodesta 2022 alkaen pilottipalveluehdotuksia, jotka koskevat joko olemassa olevien palvelujen parantamista tai uusien palvelujen luomista. Komissio tukee pilotteja helpottamalla kaikkien asiaankuuluvien sidosryhmien välistä yhteydenpitoa, tarjoamalla apua ja varmistamalla, että rautateiden kapasiteettiin ja liikenteenhallintaan liittyviin kysymyksiin on saatavilla tukea Verkkojen Eurooppa </w:t>
      </w:r>
      <w:r>
        <w:rPr>
          <w:rFonts w:ascii="Times New Roman" w:hAnsi="Times New Roman"/>
          <w:noProof/>
          <w:sz w:val="24"/>
          <w:szCs w:val="24"/>
        </w:rPr>
        <w:noBreakHyphen/>
        <w:t xml:space="preserve">välineestä RailNetEuropelle annettavan teknisen avun kautta. Komissio auttaa myös määrittämään rahoitusmahdollisuuksia tiettyjä pilotteja varten, kuten tässä toimintasuunnitelmassa mainitaan. Vaikka monet näistä rautatieliikennepalveluista ovat kaupallisesti elinkelpoisia, Verkkojen Eurooppa </w:t>
      </w:r>
      <w:r>
        <w:rPr>
          <w:rFonts w:ascii="Times New Roman" w:hAnsi="Times New Roman"/>
          <w:noProof/>
          <w:sz w:val="24"/>
          <w:szCs w:val="24"/>
        </w:rPr>
        <w:noBreakHyphen/>
        <w:t>välineellä voidaan rahoittaa teknistä apua sekä tukea uusiin teknologioihin ja innovaatioihin liittyviä tutkimuksia ja valmistelutoimia.</w:t>
      </w:r>
    </w:p>
    <w:p w14:paraId="1CEB8703" w14:textId="77777777" w:rsidR="000B36DB" w:rsidRPr="00E57A78" w:rsidRDefault="000B36DB" w:rsidP="000B36DB">
      <w:pPr>
        <w:keepNext/>
        <w:tabs>
          <w:tab w:val="left" w:pos="284"/>
          <w:tab w:val="left" w:pos="567"/>
          <w:tab w:val="left" w:pos="851"/>
          <w:tab w:val="left" w:pos="1134"/>
          <w:tab w:val="left" w:pos="1418"/>
          <w:tab w:val="left" w:pos="1701"/>
          <w:tab w:val="left" w:pos="1985"/>
          <w:tab w:val="left" w:pos="2268"/>
        </w:tabs>
        <w:spacing w:before="240" w:after="120"/>
        <w:jc w:val="both"/>
        <w:rPr>
          <w:rFonts w:ascii="Times New Roman" w:hAnsi="Times New Roman" w:cs="Times New Roman"/>
          <w:b/>
          <w:noProof/>
          <w:sz w:val="24"/>
          <w:szCs w:val="24"/>
        </w:rPr>
      </w:pPr>
      <w:r>
        <w:rPr>
          <w:rFonts w:ascii="Times New Roman" w:hAnsi="Times New Roman"/>
          <w:b/>
          <w:noProof/>
          <w:sz w:val="24"/>
          <w:szCs w:val="24"/>
        </w:rPr>
        <w:t>5.</w:t>
      </w:r>
      <w:r>
        <w:rPr>
          <w:rFonts w:ascii="Times New Roman" w:hAnsi="Times New Roman"/>
          <w:b/>
          <w:noProof/>
          <w:sz w:val="24"/>
          <w:szCs w:val="24"/>
        </w:rPr>
        <w:tab/>
        <w:t>Päätelmät</w:t>
      </w:r>
    </w:p>
    <w:p w14:paraId="5931964C" w14:textId="74503D6A" w:rsidR="000B36DB" w:rsidRPr="00E57A78" w:rsidRDefault="00FF5F59" w:rsidP="000B36DB">
      <w:pPr>
        <w:tabs>
          <w:tab w:val="left" w:pos="284"/>
          <w:tab w:val="left" w:pos="567"/>
          <w:tab w:val="left" w:pos="851"/>
          <w:tab w:val="left" w:pos="1134"/>
          <w:tab w:val="left" w:pos="1418"/>
          <w:tab w:val="left" w:pos="1701"/>
          <w:tab w:val="left" w:pos="1985"/>
          <w:tab w:val="left" w:pos="2268"/>
        </w:tabs>
        <w:spacing w:after="0"/>
        <w:jc w:val="both"/>
        <w:rPr>
          <w:rFonts w:ascii="Times New Roman" w:hAnsi="Times New Roman" w:cs="Times New Roman"/>
          <w:noProof/>
          <w:sz w:val="24"/>
          <w:szCs w:val="24"/>
        </w:rPr>
      </w:pPr>
      <w:r>
        <w:rPr>
          <w:rFonts w:ascii="Times New Roman" w:hAnsi="Times New Roman"/>
          <w:noProof/>
          <w:sz w:val="24"/>
          <w:szCs w:val="24"/>
        </w:rPr>
        <w:t>On tullut korkea aika panostaa rautateiden pitkän matkan ja rajatylittävään henkilöliikenteeseen, varsinkin kun otetaan huomioon Euroopan vihreän kehityksen ohjelman sekä kestävän ja älykkään liikkuvuuden strategian kunnianhimoiset tavoitteet. Tämä voidaan toteuttaa poistamalla jäljellä olevat esteet yhtenäisen eurooppalaisen rautatiealueen tieltä ja nopeuttamalla sen täytäntöönpanoa, lisäämällä investointeja viimeisimmän kehityksen mukaisen unionin suurnopeusrautatieverkon luomiseksi ja toteuttamalla muun muassa lipunmyyntiin ja rautatieliikenteen parantamiseen liittyviä toimia, jotta rajatylittävästä rautatieliikenteestä tulee matkustajien ensisijainen kestävä matkustusvaihtoehto. Tässä tiedonannossa esitettyjen toimien toteuttaminen edellyttää rautatiealan, matkustaja- ja kuluttajajärjestöjen, jäsenvaltioiden ja komission yhteistä panosta. Komissio aikoo esitellä ensimmäisen ehdotuksen näiden uusien toimien toteuttamiseksi jo vuonna 2022, ja se aikoo edistää tiivistä yhteistyötä ja koordinointia asiaankuuluvien toimijoiden välillä sekä seurata aktiivisesti edistymistä, jotta rautatiet voivat täyttää keskeisensä tehtävänsä Euroopan siirtyessä ensimmäisenä maanosana kohti ilmastoneutraaliutta.</w:t>
      </w:r>
    </w:p>
    <w:sectPr w:rsidR="000B36DB" w:rsidRPr="00E57A78" w:rsidSect="007259F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1A1D3" w14:textId="77777777" w:rsidR="00CA7ADF" w:rsidRDefault="00CA7ADF" w:rsidP="00E62D19">
      <w:pPr>
        <w:spacing w:after="0" w:line="240" w:lineRule="auto"/>
      </w:pPr>
      <w:r>
        <w:separator/>
      </w:r>
    </w:p>
  </w:endnote>
  <w:endnote w:type="continuationSeparator" w:id="0">
    <w:p w14:paraId="6B0C87D8" w14:textId="77777777" w:rsidR="00CA7ADF" w:rsidRDefault="00CA7ADF" w:rsidP="00E6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BFC3D" w14:textId="77777777" w:rsidR="0021409F" w:rsidRPr="0021409F" w:rsidRDefault="0021409F" w:rsidP="00214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BD4D" w14:textId="14EA1D96" w:rsidR="00F90CF6" w:rsidRPr="0021409F" w:rsidRDefault="0021409F" w:rsidP="0021409F">
    <w:pPr>
      <w:pStyle w:val="FooterCoverPage"/>
      <w:rPr>
        <w:rFonts w:ascii="Arial" w:hAnsi="Arial" w:cs="Arial"/>
        <w:b/>
        <w:sz w:val="48"/>
      </w:rPr>
    </w:pPr>
    <w:r w:rsidRPr="0021409F">
      <w:rPr>
        <w:rFonts w:ascii="Arial" w:hAnsi="Arial" w:cs="Arial"/>
        <w:b/>
        <w:sz w:val="48"/>
      </w:rPr>
      <w:t>FI</w:t>
    </w:r>
    <w:r w:rsidRPr="0021409F">
      <w:rPr>
        <w:rFonts w:ascii="Arial" w:hAnsi="Arial" w:cs="Arial"/>
        <w:b/>
        <w:sz w:val="48"/>
      </w:rPr>
      <w:tab/>
    </w:r>
    <w:r w:rsidRPr="0021409F">
      <w:rPr>
        <w:rFonts w:ascii="Arial" w:hAnsi="Arial" w:cs="Arial"/>
        <w:b/>
        <w:sz w:val="48"/>
      </w:rPr>
      <w:tab/>
    </w:r>
    <w:r w:rsidRPr="0021409F">
      <w:tab/>
    </w:r>
    <w:r w:rsidRPr="0021409F">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A67CA" w14:textId="77777777" w:rsidR="0021409F" w:rsidRPr="0021409F" w:rsidRDefault="0021409F" w:rsidP="0021409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9E7E" w14:textId="77777777" w:rsidR="001D32C3" w:rsidRDefault="001D32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64684"/>
      <w:docPartObj>
        <w:docPartGallery w:val="Page Numbers (Bottom of Page)"/>
        <w:docPartUnique/>
      </w:docPartObj>
    </w:sdtPr>
    <w:sdtEndPr>
      <w:rPr>
        <w:noProof/>
      </w:rPr>
    </w:sdtEndPr>
    <w:sdtContent>
      <w:p w14:paraId="549F3449" w14:textId="017B5FC0" w:rsidR="001D32C3" w:rsidRDefault="001D32C3">
        <w:pPr>
          <w:pStyle w:val="Footer"/>
          <w:jc w:val="right"/>
        </w:pPr>
        <w:r w:rsidRPr="008F5F72">
          <w:rPr>
            <w:rFonts w:ascii="Times New Roman" w:hAnsi="Times New Roman" w:cs="Times New Roman"/>
            <w:sz w:val="20"/>
            <w:szCs w:val="20"/>
          </w:rPr>
          <w:fldChar w:fldCharType="begin"/>
        </w:r>
        <w:r w:rsidRPr="00061AAE">
          <w:rPr>
            <w:rFonts w:ascii="Times New Roman" w:hAnsi="Times New Roman" w:cs="Times New Roman"/>
            <w:sz w:val="20"/>
            <w:szCs w:val="20"/>
          </w:rPr>
          <w:instrText xml:space="preserve"> PAGE   \* MERGEFORMAT </w:instrText>
        </w:r>
        <w:r w:rsidRPr="008F5F72">
          <w:rPr>
            <w:rFonts w:ascii="Times New Roman" w:hAnsi="Times New Roman" w:cs="Times New Roman"/>
            <w:sz w:val="20"/>
            <w:szCs w:val="20"/>
          </w:rPr>
          <w:fldChar w:fldCharType="separate"/>
        </w:r>
        <w:r w:rsidR="0021409F">
          <w:rPr>
            <w:rFonts w:ascii="Times New Roman" w:hAnsi="Times New Roman" w:cs="Times New Roman"/>
            <w:noProof/>
            <w:sz w:val="20"/>
            <w:szCs w:val="20"/>
          </w:rPr>
          <w:t>1</w:t>
        </w:r>
        <w:r w:rsidRPr="008F5F72">
          <w:rPr>
            <w:rFonts w:ascii="Times New Roman" w:hAnsi="Times New Roman" w:cs="Times New Roman"/>
            <w:sz w:val="20"/>
            <w:szCs w:val="20"/>
          </w:rPr>
          <w:fldChar w:fldCharType="end"/>
        </w:r>
      </w:p>
    </w:sdtContent>
  </w:sdt>
  <w:p w14:paraId="7AA5CA27" w14:textId="77777777" w:rsidR="001D32C3" w:rsidRDefault="001D32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23A2" w14:textId="77777777" w:rsidR="001D32C3" w:rsidRDefault="001D3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4A841" w14:textId="77777777" w:rsidR="00CA7ADF" w:rsidRDefault="00CA7ADF" w:rsidP="00E62D19">
      <w:pPr>
        <w:spacing w:after="0" w:line="240" w:lineRule="auto"/>
      </w:pPr>
      <w:r>
        <w:separator/>
      </w:r>
    </w:p>
  </w:footnote>
  <w:footnote w:type="continuationSeparator" w:id="0">
    <w:p w14:paraId="5ABEAE2A" w14:textId="77777777" w:rsidR="00CA7ADF" w:rsidRDefault="00CA7ADF" w:rsidP="00E62D19">
      <w:pPr>
        <w:spacing w:after="0" w:line="240" w:lineRule="auto"/>
      </w:pPr>
      <w:r>
        <w:continuationSeparator/>
      </w:r>
    </w:p>
  </w:footnote>
  <w:footnote w:id="1">
    <w:p w14:paraId="3AC2679D" w14:textId="42C553A4" w:rsidR="001D32C3" w:rsidRPr="00B9513F" w:rsidRDefault="001D32C3" w:rsidP="009455F8">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vertAlign w:val="baseline"/>
        </w:rPr>
        <w:t xml:space="preserve"> </w:t>
      </w:r>
      <w:r>
        <w:rPr>
          <w:rFonts w:ascii="Times New Roman" w:hAnsi="Times New Roman"/>
        </w:rPr>
        <w:tab/>
      </w:r>
      <w:hyperlink r:id="rId1" w:history="1">
        <w:r>
          <w:rPr>
            <w:rStyle w:val="FootnoteReference"/>
            <w:rFonts w:ascii="Times New Roman" w:hAnsi="Times New Roman"/>
            <w:sz w:val="18"/>
            <w:szCs w:val="18"/>
            <w:vertAlign w:val="baseline"/>
          </w:rPr>
          <w:t>https://webgate.ec.europa.eu/multisite/primeinfrastructure/system/files/prime_external_report_2019_final_210625_0.pdf</w:t>
        </w:r>
      </w:hyperlink>
    </w:p>
  </w:footnote>
  <w:footnote w:id="2">
    <w:p w14:paraId="4F0DD89D" w14:textId="0ABF1049" w:rsidR="001D32C3" w:rsidRPr="00B9513F" w:rsidRDefault="001D32C3" w:rsidP="000B36D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https://transport.ec.europa.eu/transport-modes/rail/market/rail-market-monitoring-rmms_en</w:t>
      </w:r>
    </w:p>
  </w:footnote>
  <w:footnote w:id="3">
    <w:p w14:paraId="613BCC0F" w14:textId="77777777" w:rsidR="001D32C3" w:rsidRPr="00F90CF6" w:rsidRDefault="001D32C3" w:rsidP="000B36DB">
      <w:pPr>
        <w:pStyle w:val="FootnoteText"/>
        <w:tabs>
          <w:tab w:val="left" w:pos="284"/>
        </w:tabs>
        <w:ind w:left="284" w:hanging="284"/>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Junan keskimääräinen ilmastokustannus henkilökilometriä kohden on 0,05 senttiä, kun taas lentokoneen vastaava kustannus on 2,2 senttiä, linja-auton 0,5 senttiä ja auton 1,2 senttiä. </w:t>
      </w:r>
      <w:r w:rsidRPr="00F90CF6">
        <w:rPr>
          <w:rFonts w:ascii="Times New Roman" w:hAnsi="Times New Roman"/>
          <w:lang w:val="en-US"/>
        </w:rPr>
        <w:t xml:space="preserve">Lähde: Euroopan komissio, </w:t>
      </w:r>
      <w:r w:rsidRPr="00F90CF6">
        <w:rPr>
          <w:rFonts w:ascii="Times New Roman" w:hAnsi="Times New Roman"/>
          <w:i/>
          <w:iCs/>
          <w:lang w:val="en-US"/>
        </w:rPr>
        <w:t>Handbook on the external costs of transport</w:t>
      </w:r>
      <w:r w:rsidRPr="00F90CF6">
        <w:rPr>
          <w:rFonts w:ascii="Times New Roman" w:hAnsi="Times New Roman"/>
          <w:lang w:val="en-US"/>
        </w:rPr>
        <w:t>, 2019, taulukko 69, https://op.europa.eu/en/publication-detail/-/publication/9781f65f-8448-11ea-bf12-01aa75ed71a1</w:t>
      </w:r>
    </w:p>
  </w:footnote>
  <w:footnote w:id="4">
    <w:p w14:paraId="4E105129" w14:textId="77777777" w:rsidR="001D32C3" w:rsidRPr="00F90CF6" w:rsidRDefault="001D32C3" w:rsidP="000B36DB">
      <w:pPr>
        <w:pStyle w:val="FootnoteText"/>
        <w:tabs>
          <w:tab w:val="left" w:pos="284"/>
        </w:tabs>
        <w:ind w:left="284" w:hanging="284"/>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t xml:space="preserve">Euroopan komissio, </w:t>
      </w:r>
      <w:r w:rsidRPr="00F90CF6">
        <w:rPr>
          <w:rFonts w:ascii="Times New Roman" w:hAnsi="Times New Roman"/>
          <w:i/>
          <w:iCs/>
          <w:lang w:val="en-US"/>
        </w:rPr>
        <w:t>Handbook on the external costs of transport</w:t>
      </w:r>
      <w:r w:rsidRPr="00F90CF6">
        <w:rPr>
          <w:rFonts w:ascii="Times New Roman" w:hAnsi="Times New Roman"/>
          <w:lang w:val="en-US"/>
        </w:rPr>
        <w:t>, 2019, taulukko 69, https://op.europa.eu/en/publication-detail/-/publication/9781f65f-8448-11ea-bf12-01aa75ed71a1</w:t>
      </w:r>
    </w:p>
  </w:footnote>
  <w:footnote w:id="5">
    <w:p w14:paraId="63067972" w14:textId="4EC8730E" w:rsidR="001D32C3" w:rsidRPr="00B9513F" w:rsidRDefault="001D32C3" w:rsidP="00967E75">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EU:ssa, Norjassa, Sveitsissä ja Yhdistyneessä kuningaskunnassa yhteensä. Tutkimus: Steer ja KCW, </w:t>
      </w:r>
      <w:r>
        <w:rPr>
          <w:rFonts w:ascii="Times New Roman" w:hAnsi="Times New Roman"/>
          <w:i/>
          <w:iCs/>
        </w:rPr>
        <w:t>Long-distance cross-border passenger rail services</w:t>
      </w:r>
      <w:r>
        <w:rPr>
          <w:rFonts w:ascii="Times New Roman" w:hAnsi="Times New Roman"/>
        </w:rPr>
        <w:t>, lokakuu 2021.</w:t>
      </w:r>
    </w:p>
  </w:footnote>
  <w:footnote w:id="6">
    <w:p w14:paraId="6D15BA85" w14:textId="77777777" w:rsidR="001D32C3" w:rsidRPr="00B9513F" w:rsidRDefault="001D32C3" w:rsidP="004028E1">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hyperlink r:id="rId2" w:history="1">
        <w:r>
          <w:rPr>
            <w:rStyle w:val="Hyperlink"/>
            <w:rFonts w:ascii="Times New Roman" w:hAnsi="Times New Roman"/>
          </w:rPr>
          <w:t>https://ec.europa.eu/info/strategy/priorities-2019-2024/european-green-deal_fi</w:t>
        </w:r>
      </w:hyperlink>
      <w:r>
        <w:rPr>
          <w:rFonts w:ascii="Times New Roman" w:hAnsi="Times New Roman"/>
        </w:rPr>
        <w:t xml:space="preserve"> </w:t>
      </w:r>
    </w:p>
  </w:footnote>
  <w:footnote w:id="7">
    <w:p w14:paraId="75A183AA" w14:textId="77777777" w:rsidR="001D32C3" w:rsidRPr="00B9513F" w:rsidRDefault="001D32C3" w:rsidP="004028E1">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hyperlink r:id="rId3" w:history="1">
        <w:r>
          <w:rPr>
            <w:rStyle w:val="Hyperlink"/>
            <w:rFonts w:ascii="Times New Roman" w:hAnsi="Times New Roman"/>
          </w:rPr>
          <w:t>https://transport.ec.europa.eu/index_fi</w:t>
        </w:r>
      </w:hyperlink>
      <w:r>
        <w:rPr>
          <w:rFonts w:ascii="Times New Roman" w:hAnsi="Times New Roman"/>
        </w:rPr>
        <w:t xml:space="preserve"> </w:t>
      </w:r>
    </w:p>
  </w:footnote>
  <w:footnote w:id="8">
    <w:p w14:paraId="5044FAA1" w14:textId="7AF2D07A" w:rsidR="001D32C3" w:rsidRPr="00967E75" w:rsidRDefault="001D32C3" w:rsidP="00967E75">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r>
        <w:rPr>
          <w:rFonts w:ascii="Times New Roman" w:hAnsi="Times New Roman"/>
          <w:i/>
          <w:iCs/>
        </w:rPr>
        <w:t>EU:n ilmastotavoite vuodelle 2030 entistä korkeammalle – Panostetaan ilmastoneutraaliin tulevaisuuteen ihmisten hyväksi</w:t>
      </w:r>
      <w:r>
        <w:rPr>
          <w:rFonts w:ascii="Times New Roman" w:hAnsi="Times New Roman"/>
        </w:rPr>
        <w:t>, COM(2020) 562 final.</w:t>
      </w:r>
    </w:p>
  </w:footnote>
  <w:footnote w:id="9">
    <w:p w14:paraId="40F98B61" w14:textId="203B1C75" w:rsidR="001D32C3" w:rsidRPr="00DB2C5D" w:rsidRDefault="001D32C3" w:rsidP="000B36D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hyperlink r:id="rId4" w:history="1">
        <w:r>
          <w:rPr>
            <w:rStyle w:val="Hyperlink"/>
            <w:rFonts w:ascii="Times New Roman" w:hAnsi="Times New Roman"/>
          </w:rPr>
          <w:t>https://transport.ec.europa.eu/transport-modes/rail/railway-packages_fi</w:t>
        </w:r>
      </w:hyperlink>
      <w:r>
        <w:rPr>
          <w:rFonts w:ascii="Times New Roman" w:hAnsi="Times New Roman"/>
        </w:rPr>
        <w:t xml:space="preserve"> </w:t>
      </w:r>
    </w:p>
  </w:footnote>
  <w:footnote w:id="10">
    <w:p w14:paraId="76449078" w14:textId="46840112" w:rsidR="001D32C3" w:rsidRPr="00066E48" w:rsidRDefault="001D32C3" w:rsidP="003E3135">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https://ec.europa.eu/inea/en/connecting-europe-facility</w:t>
      </w:r>
    </w:p>
  </w:footnote>
  <w:footnote w:id="11">
    <w:p w14:paraId="4064DBB5" w14:textId="04459BC8" w:rsidR="001D32C3" w:rsidRPr="00DB2C5D" w:rsidRDefault="001D32C3" w:rsidP="000B36D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hyperlink r:id="rId5" w:history="1">
        <w:r>
          <w:rPr>
            <w:rFonts w:ascii="Times New Roman" w:hAnsi="Times New Roman"/>
          </w:rPr>
          <w:t>Statistical pocketbook 2021 (europa.eu)</w:t>
        </w:r>
      </w:hyperlink>
      <w:r>
        <w:t>.</w:t>
      </w:r>
      <w:r>
        <w:rPr>
          <w:rFonts w:ascii="Times New Roman" w:hAnsi="Times New Roman"/>
        </w:rPr>
        <w:t xml:space="preserve"> </w:t>
      </w:r>
    </w:p>
  </w:footnote>
  <w:footnote w:id="12">
    <w:p w14:paraId="784D95ED" w14:textId="71F6BBCA" w:rsidR="001D32C3" w:rsidRPr="00066E48" w:rsidRDefault="001D32C3" w:rsidP="000B36D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Kaikki kulkumuotojakaumaa koskevat luvut ovat peräisin Statistical pocketbook 2020 </w:t>
      </w:r>
      <w:r>
        <w:rPr>
          <w:rFonts w:ascii="Times New Roman" w:hAnsi="Times New Roman"/>
        </w:rPr>
        <w:noBreakHyphen/>
        <w:t>tilastojulkaisusta.</w:t>
      </w:r>
    </w:p>
  </w:footnote>
  <w:footnote w:id="13">
    <w:p w14:paraId="51707146" w14:textId="77777777" w:rsidR="001D32C3" w:rsidRDefault="001D32C3" w:rsidP="00B35CF1">
      <w:pPr>
        <w:pStyle w:val="FootnoteText"/>
        <w:tabs>
          <w:tab w:val="left" w:pos="284"/>
        </w:tabs>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https://ec.europa.eu/transport/sites/default/files/com20210005-7th-rmms-report.pdf</w:t>
      </w:r>
    </w:p>
  </w:footnote>
  <w:footnote w:id="14">
    <w:p w14:paraId="16EAA4C2" w14:textId="77777777" w:rsidR="001D32C3" w:rsidRPr="00DB2C5D" w:rsidRDefault="001D32C3" w:rsidP="000B36D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EU:ssa, Norjassa, Sveitsissä ja Yhdistyneessä kuningaskunnassa.</w:t>
      </w:r>
    </w:p>
  </w:footnote>
  <w:footnote w:id="15">
    <w:p w14:paraId="42BF6AA9" w14:textId="7D75ED6B" w:rsidR="001D32C3" w:rsidRPr="00F90CF6" w:rsidRDefault="001D32C3" w:rsidP="000B36DB">
      <w:pPr>
        <w:pStyle w:val="FootnoteText"/>
        <w:tabs>
          <w:tab w:val="left" w:pos="284"/>
        </w:tabs>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t xml:space="preserve">Tutkimus: Steer ja KCW, </w:t>
      </w:r>
      <w:r w:rsidRPr="00F90CF6">
        <w:rPr>
          <w:rFonts w:ascii="Times New Roman" w:hAnsi="Times New Roman"/>
          <w:i/>
          <w:iCs/>
          <w:lang w:val="en-US"/>
        </w:rPr>
        <w:t>Long-distance cross-border passenger rail services</w:t>
      </w:r>
      <w:r w:rsidRPr="00F90CF6">
        <w:rPr>
          <w:rFonts w:ascii="Times New Roman" w:hAnsi="Times New Roman"/>
          <w:lang w:val="en-US"/>
        </w:rPr>
        <w:t>, lokakuu 2021.</w:t>
      </w:r>
    </w:p>
  </w:footnote>
  <w:footnote w:id="16">
    <w:p w14:paraId="446BBA79" w14:textId="302210B1" w:rsidR="001D32C3" w:rsidRPr="00F90CF6" w:rsidRDefault="001D32C3" w:rsidP="000B36DB">
      <w:pPr>
        <w:pStyle w:val="FootnoteText"/>
        <w:tabs>
          <w:tab w:val="left" w:pos="284"/>
        </w:tabs>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t>Railway passenger transport statistics - quarterly and annual data (Statistics Explained, europa.eu)</w:t>
      </w:r>
      <w:r w:rsidRPr="00F90CF6">
        <w:rPr>
          <w:lang w:val="en-US"/>
        </w:rPr>
        <w:t>.</w:t>
      </w:r>
    </w:p>
  </w:footnote>
  <w:footnote w:id="17">
    <w:p w14:paraId="17F74F26" w14:textId="77777777" w:rsidR="001D32C3" w:rsidRPr="00F90CF6" w:rsidRDefault="001D32C3" w:rsidP="00AC1853">
      <w:pPr>
        <w:pStyle w:val="FootnoteText"/>
        <w:tabs>
          <w:tab w:val="left" w:pos="284"/>
        </w:tabs>
        <w:ind w:left="284" w:hanging="284"/>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t>https://ec.europa.eu/info/business-economy-euro/recovery-coronavirus/recovery-and-resilience-facility_fi</w:t>
      </w:r>
    </w:p>
  </w:footnote>
  <w:footnote w:id="18">
    <w:p w14:paraId="4A2F543D" w14:textId="3A6CEB1F" w:rsidR="001D32C3" w:rsidRPr="00F90CF6" w:rsidRDefault="001D32C3" w:rsidP="00E0274B">
      <w:pPr>
        <w:pStyle w:val="FootnoteText"/>
        <w:ind w:left="284" w:hanging="284"/>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t>https://www.bmvi.de/SharedDocs/EN/Documents/K/innovative-rail-transport-overnight-21-09-2020.pdf?__blob=publicationFile</w:t>
      </w:r>
    </w:p>
  </w:footnote>
  <w:footnote w:id="19">
    <w:p w14:paraId="7AB6DD8E" w14:textId="77777777" w:rsidR="001D32C3" w:rsidRPr="002E576D" w:rsidRDefault="001D32C3" w:rsidP="000B36DB">
      <w:pPr>
        <w:tabs>
          <w:tab w:val="left" w:pos="284"/>
        </w:tabs>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sz w:val="20"/>
          <w:szCs w:val="20"/>
        </w:rPr>
        <w:tab/>
        <w:t xml:space="preserve">Erityiseurobarometrin 495 tiivistelmä, heinäkuu 2020, s. 27, </w:t>
      </w:r>
      <w:hyperlink r:id="rId6" w:history="1">
        <w:r>
          <w:rPr>
            <w:rFonts w:ascii="Times New Roman" w:hAnsi="Times New Roman"/>
            <w:sz w:val="20"/>
            <w:szCs w:val="20"/>
          </w:rPr>
          <w:t>https://europa.eu/eurobarometer/surveys/detail/2226</w:t>
        </w:r>
      </w:hyperlink>
      <w:r>
        <w:rPr>
          <w:rFonts w:ascii="Times New Roman" w:hAnsi="Times New Roman"/>
          <w:sz w:val="20"/>
          <w:szCs w:val="20"/>
        </w:rPr>
        <w:t xml:space="preserve"> </w:t>
      </w:r>
    </w:p>
  </w:footnote>
  <w:footnote w:id="20">
    <w:p w14:paraId="2B50C898" w14:textId="1C9C9DCA" w:rsidR="001D32C3" w:rsidRPr="000A6F2A" w:rsidRDefault="001D32C3" w:rsidP="00F451E2">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Jäsenvaltiot voivat rajoittaa käyttöoikeutta uuden – tietyn lähtöpaikan ja määränpään välisellä osuudella tarjottavan – rautateiden henkilöliikenteen osalta, jos samasta tai vaihtoehtoisesta reitistä on tehty yksi tai useampi palveluhankintasopimus. Tällöin olisi oltava mahdollista pyytää sen arvioimista, vaarantaisivatko käyttöoikeuksien avoimuuteen perustuvat palvelut olemassa olevien palveluhankintasopimusten taloudellisen tasapainon. </w:t>
      </w:r>
    </w:p>
  </w:footnote>
  <w:footnote w:id="21">
    <w:p w14:paraId="318BCCB4" w14:textId="07C0163E" w:rsidR="001D32C3" w:rsidRPr="00061AAE" w:rsidRDefault="001D32C3" w:rsidP="00061AAE">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Tutkimuksessa </w:t>
      </w:r>
      <w:r>
        <w:rPr>
          <w:rFonts w:ascii="Times New Roman" w:hAnsi="Times New Roman"/>
          <w:i/>
          <w:iCs/>
        </w:rPr>
        <w:t>Long-distance cross-border passenger rail services</w:t>
      </w:r>
      <w:r>
        <w:rPr>
          <w:rFonts w:ascii="Times New Roman" w:hAnsi="Times New Roman"/>
        </w:rPr>
        <w:t xml:space="preserve"> (Steer ja KCW, lokakuu 2021) yksilöidään useita mahdollisia uusia yöjunayhteyksiä, joita voitaisiin liikennöidä, jos toimintaedellytykset olisivat olemassa.</w:t>
      </w:r>
    </w:p>
  </w:footnote>
  <w:footnote w:id="22">
    <w:p w14:paraId="2875D2C9" w14:textId="4E671A54" w:rsidR="001D32C3" w:rsidRPr="000A6F2A" w:rsidRDefault="001D32C3" w:rsidP="009E03C3">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Esimerkiksi Ouigo España kuljetti Madridin ja Barcelonan välillä yli 400 000 matkustajaa kolmen ensimmäisen toimintakuukautensa aikana vuonna 2021 (https://www.railtech.com/policy/2021/08/20/good-results-for-the-first-three-months-of-ouigo-in-spain/). </w:t>
      </w:r>
    </w:p>
  </w:footnote>
  <w:footnote w:id="23">
    <w:p w14:paraId="7295F390" w14:textId="60022C41" w:rsidR="001D32C3" w:rsidRPr="000A6F2A" w:rsidRDefault="001D32C3" w:rsidP="005B197D">
      <w:pPr>
        <w:pStyle w:val="FootnoteText"/>
        <w:ind w:left="284" w:hanging="284"/>
        <w:rPr>
          <w:rFonts w:ascii="Times New Roman" w:hAnsi="Times New Roman" w:cs="Times New Roman"/>
          <w:highlight w:val="yellow"/>
        </w:rPr>
      </w:pPr>
      <w:r>
        <w:rPr>
          <w:rStyle w:val="FootnoteReference"/>
          <w:rFonts w:ascii="Times New Roman" w:hAnsi="Times New Roman" w:cs="Times New Roman"/>
        </w:rPr>
        <w:footnoteRef/>
      </w:r>
      <w:r>
        <w:rPr>
          <w:rFonts w:ascii="Times New Roman" w:hAnsi="Times New Roman"/>
        </w:rPr>
        <w:t xml:space="preserve">    Euroopan parlamentin ja neuvoston asetus (EY) N:o 1370/2007</w:t>
      </w:r>
      <w:hyperlink r:id="rId7" w:tooltip="32007R1370" w:history="1">
        <w:r>
          <w:rPr>
            <w:rFonts w:ascii="Times New Roman" w:hAnsi="Times New Roman"/>
          </w:rPr>
          <w:t>rautateiden ja maanteiden julkisista henkilöliikennepalveluista sekä neuvoston asetusten (ETY) N:o 1191/69 ja (ETY) N:o 1107/70 kumoamisesta</w:t>
        </w:r>
      </w:hyperlink>
      <w:r>
        <w:rPr>
          <w:rFonts w:ascii="Times New Roman" w:hAnsi="Times New Roman"/>
        </w:rPr>
        <w:t>, EUVL L 315, 3.12.2007, s. 1.</w:t>
      </w:r>
    </w:p>
  </w:footnote>
  <w:footnote w:id="24">
    <w:p w14:paraId="6E4F1882" w14:textId="304EEB2D" w:rsidR="001D32C3" w:rsidRDefault="001D32C3" w:rsidP="000B36DB">
      <w:pPr>
        <w:pStyle w:val="FootnoteText"/>
        <w:tabs>
          <w:tab w:val="left" w:pos="284"/>
        </w:tabs>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Tutkimus: Steer ja KCW, </w:t>
      </w:r>
      <w:r>
        <w:rPr>
          <w:rFonts w:ascii="Times New Roman" w:hAnsi="Times New Roman"/>
          <w:i/>
          <w:iCs/>
        </w:rPr>
        <w:t>Long-distance cross-border passenger rail services</w:t>
      </w:r>
      <w:r>
        <w:rPr>
          <w:rFonts w:ascii="Times New Roman" w:hAnsi="Times New Roman"/>
        </w:rPr>
        <w:t>, lokakuu 2021.</w:t>
      </w:r>
    </w:p>
  </w:footnote>
  <w:footnote w:id="25">
    <w:p w14:paraId="6B6C1575" w14:textId="5EA0DFF5" w:rsidR="001D32C3" w:rsidRPr="000A6F2A" w:rsidRDefault="001D32C3" w:rsidP="000B36DB">
      <w:pPr>
        <w:pStyle w:val="FootnoteText"/>
        <w:tabs>
          <w:tab w:val="left" w:pos="284"/>
        </w:tabs>
        <w:ind w:left="284" w:hanging="284"/>
        <w:rPr>
          <w:rFonts w:ascii="Times New Roman" w:hAnsi="Times New Roman" w:cs="Times New Roman"/>
        </w:rPr>
      </w:pPr>
      <w:r>
        <w:rPr>
          <w:rStyle w:val="FootnoteReference"/>
        </w:rPr>
        <w:footnoteRef/>
      </w:r>
      <w:r>
        <w:t xml:space="preserve"> </w:t>
      </w:r>
      <w:r>
        <w:rPr>
          <w:rFonts w:ascii="Times New Roman" w:hAnsi="Times New Roman"/>
        </w:rPr>
        <w:tab/>
        <w:t>Erityisesti direktiivi (EU) 2016/2370 (EUVL L 352, 23.12.2016, s. 1–17), direktiivi 2012/34/EU (EUVL L 343, 14.12.2012, s. 32–77) sekä neljännen rautatiepaketin (asetus (EU) 2016/796 (EUVL L 138, 26.5.2016, s. 1–43) ja direktiivit (EU) 2016/797 (EUVL L 138, 26.5.2016, s. 44–101) ja (EU) 2016/798 (EUVL L 138, 26.5.2016, s. 102–149), yhdessä niiden pohjalta annettujen yhteentoimivuuden teknisten eritelmien ja yhteisiä turvallisuusmenetelmiä koskevien asetusten kanssa) ns. tekninen pilari.</w:t>
      </w:r>
    </w:p>
  </w:footnote>
  <w:footnote w:id="26">
    <w:p w14:paraId="2C800871" w14:textId="77777777" w:rsidR="001D32C3" w:rsidRPr="00D81636" w:rsidRDefault="001D32C3" w:rsidP="000B36DB">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Esimerkiksi ottamalla myös rautateiden henkilöliikenteessä käyttöön lokikirja, jossa kuvataan konkreettisesti rajatylittävässä liikenteessä havaitut yhteentoimivuuteen liittyvät ongelmat.</w:t>
      </w:r>
    </w:p>
  </w:footnote>
  <w:footnote w:id="27">
    <w:p w14:paraId="46D08FEC" w14:textId="77777777" w:rsidR="001D32C3" w:rsidRPr="00F90CF6" w:rsidRDefault="001D32C3" w:rsidP="000B36DB">
      <w:pPr>
        <w:pStyle w:val="FootnoteText"/>
        <w:ind w:left="284" w:hanging="284"/>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r>
      <w:hyperlink r:id="rId8" w:history="1">
        <w:r w:rsidRPr="00F90CF6">
          <w:rPr>
            <w:rFonts w:ascii="Times New Roman" w:hAnsi="Times New Roman"/>
            <w:lang w:val="en-US"/>
          </w:rPr>
          <w:t xml:space="preserve">Euroopan unionin julkaisutoimisto, </w:t>
        </w:r>
        <w:r w:rsidRPr="00F90CF6">
          <w:rPr>
            <w:rFonts w:ascii="Times New Roman" w:hAnsi="Times New Roman"/>
            <w:i/>
            <w:iCs/>
            <w:lang w:val="en-US"/>
          </w:rPr>
          <w:t>ERTMS business case on the 9 core network corridors</w:t>
        </w:r>
        <w:r w:rsidRPr="00F90CF6">
          <w:rPr>
            <w:rFonts w:ascii="Times New Roman" w:hAnsi="Times New Roman"/>
            <w:lang w:val="en-US"/>
          </w:rPr>
          <w:t xml:space="preserve"> (europa.eu)</w:t>
        </w:r>
      </w:hyperlink>
      <w:r w:rsidRPr="00F90CF6">
        <w:rPr>
          <w:lang w:val="en-US"/>
        </w:rPr>
        <w:t>.</w:t>
      </w:r>
    </w:p>
  </w:footnote>
  <w:footnote w:id="28">
    <w:p w14:paraId="4A2E2567" w14:textId="54F48E4A" w:rsidR="001D32C3" w:rsidRDefault="001D32C3" w:rsidP="000B36DB">
      <w:pPr>
        <w:pStyle w:val="FootnoteText"/>
        <w:tabs>
          <w:tab w:val="left" w:pos="284"/>
        </w:tabs>
        <w:ind w:left="284" w:hanging="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Euroopan parlamentin ja neuvoston asetus (EU) N:o 1315/2013, annettu 11 päivänä joulukuuta 2013, unionin suuntaviivoista Euroopan laajuisen liikenneverkon kehittämiseksi ja päätöksen N:o 661/2010/EU kumoamisesta, EUVL L 348, 20.12.2013, s. 1–128.</w:t>
      </w:r>
    </w:p>
  </w:footnote>
  <w:footnote w:id="29">
    <w:p w14:paraId="1C8FC363" w14:textId="77777777" w:rsidR="001D32C3" w:rsidRPr="00DF7C01" w:rsidRDefault="001D32C3" w:rsidP="00D4003A">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https://ec.europa.eu/info/law/better-regulation/have-your-say/initiatives/11910-European-Partnership-for-transforming-Europe%E2%80%99s-rail-system-Horizon-Europe-programme-_fi</w:t>
      </w:r>
    </w:p>
  </w:footnote>
  <w:footnote w:id="30">
    <w:p w14:paraId="210C88A5" w14:textId="3DC5CBE2" w:rsidR="001D32C3" w:rsidRPr="00F977C3" w:rsidRDefault="001D32C3" w:rsidP="00F977C3">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Esimerkkejä monialaisia innovaatioita yhdistelevistä osa-alueista, joihin liittyy tällaisia vaatimuksia, ovat automatisoitu ajaminen, digitaalinen automaattikytkentä ja tulevaisuuden radioviestintä.</w:t>
      </w:r>
    </w:p>
  </w:footnote>
  <w:footnote w:id="31">
    <w:p w14:paraId="5E97A484" w14:textId="77777777" w:rsidR="001D32C3" w:rsidRPr="00692133" w:rsidRDefault="001D32C3" w:rsidP="00C667CA">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Euroopan parlamentin ja neuvoston direktiivi (EU) 2021/1187, annettu 7 päivänä heinäkuuta 2021, Euroopan laajuisen liikenneverkon (TEN-T) toteuttamista edistävistä yhdenmukaistamistoimenpiteistä, EUVL L 258, 20.7.2021, s. 1–13.</w:t>
      </w:r>
    </w:p>
  </w:footnote>
  <w:footnote w:id="32">
    <w:p w14:paraId="7A8F338B" w14:textId="77777777" w:rsidR="001D32C3" w:rsidRPr="003E3135" w:rsidRDefault="001D32C3" w:rsidP="00C667CA">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https://ec.europa.eu/regional_policy/fi/funding/cohesion-fund/</w:t>
      </w:r>
    </w:p>
  </w:footnote>
  <w:footnote w:id="33">
    <w:p w14:paraId="62B9424C" w14:textId="77777777" w:rsidR="001D32C3" w:rsidRPr="003E3135" w:rsidRDefault="001D32C3" w:rsidP="00C667CA">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https://ec.europa.eu/regional_policy/fi/funding/erdf/</w:t>
      </w:r>
    </w:p>
  </w:footnote>
  <w:footnote w:id="34">
    <w:p w14:paraId="66FA2C76" w14:textId="77777777" w:rsidR="001D32C3" w:rsidRPr="00FF01BC" w:rsidRDefault="001D32C3" w:rsidP="00C667CA">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https://ec.europa.eu/info/law/better-regulation/have-your-say/initiatives/12532-Trans-European-transport-network-TEN-T-revised-guidelines_fi</w:t>
      </w:r>
    </w:p>
  </w:footnote>
  <w:footnote w:id="35">
    <w:p w14:paraId="675DC3FF" w14:textId="5CBCA633" w:rsidR="001D32C3" w:rsidRDefault="001D32C3" w:rsidP="000B36DB">
      <w:pPr>
        <w:pStyle w:val="FootnoteText"/>
        <w:tabs>
          <w:tab w:val="left" w:pos="284"/>
        </w:tabs>
        <w:ind w:left="284" w:hanging="284"/>
      </w:pPr>
      <w:r>
        <w:rPr>
          <w:rStyle w:val="FootnoteReference"/>
        </w:rPr>
        <w:footnoteRef/>
      </w:r>
      <w:r>
        <w:t xml:space="preserve"> </w:t>
      </w:r>
      <w:r>
        <w:tab/>
      </w:r>
      <w:r>
        <w:rPr>
          <w:rFonts w:ascii="Times New Roman" w:hAnsi="Times New Roman"/>
        </w:rPr>
        <w:t xml:space="preserve">Komission tiedonanto </w:t>
      </w:r>
      <w:r>
        <w:rPr>
          <w:rFonts w:ascii="Times New Roman" w:hAnsi="Times New Roman"/>
          <w:i/>
          <w:iCs/>
        </w:rPr>
        <w:t>Rautatieyrityksille myönnettäviä valtiontukia koskevat yhteisön suuntaviivat</w:t>
      </w:r>
      <w:r>
        <w:rPr>
          <w:rFonts w:ascii="Times New Roman" w:hAnsi="Times New Roman"/>
        </w:rPr>
        <w:t xml:space="preserve"> (2008/C 184/07), EUVL C 184, 22.7.2008, s. 13–31.</w:t>
      </w:r>
      <w:r>
        <w:t xml:space="preserve"> </w:t>
      </w:r>
    </w:p>
  </w:footnote>
  <w:footnote w:id="36">
    <w:p w14:paraId="1334F6D7" w14:textId="4C40D775" w:rsidR="001D32C3" w:rsidRPr="00D81636" w:rsidRDefault="001D32C3" w:rsidP="000B36DB">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Vihreän rautatieliikenteen investointialustan avulla voidaan hyödyntää EIP:n teknisiä ja rahoitusvalmiuksia sekä EU:n rahoitusvälineitä elinkelpoisten liiketoimintamallien tutkimiseksi ja rautatieliikenteen rahoitusmahdollisuuksien lisäämiseksi. Kun kyseessä on tukikelpoinen hanke, jolla on vankka lainarakenne, EIP voi rahoittaa jopa 50 prosenttia hankkeen kustannuksista tarjoamalla maturiteetiltaan hyödykkeen pitoaikaa vastaavia lainoja houkuttelevalla korolla. InvestEU-ohjelmasta voidaan myös myöntää suuren riskin tukikelpoisille hankkeille unionin takuu.</w:t>
      </w:r>
    </w:p>
  </w:footnote>
  <w:footnote w:id="37">
    <w:p w14:paraId="164D6892" w14:textId="09643FF0" w:rsidR="001D32C3" w:rsidRPr="00D81636" w:rsidRDefault="001D32C3" w:rsidP="00115A49">
      <w:pPr>
        <w:pStyle w:val="NormalWeb"/>
        <w:shd w:val="clear" w:color="auto" w:fill="FFFFFF"/>
        <w:tabs>
          <w:tab w:val="left" w:pos="284"/>
        </w:tabs>
        <w:spacing w:before="0" w:beforeAutospacing="0" w:after="0" w:afterAutospacing="0"/>
        <w:ind w:left="284" w:hanging="284"/>
      </w:pPr>
      <w:r>
        <w:rPr>
          <w:rStyle w:val="FootnoteReference"/>
          <w:sz w:val="20"/>
          <w:szCs w:val="20"/>
        </w:rPr>
        <w:footnoteRef/>
      </w:r>
      <w:r>
        <w:rPr>
          <w:sz w:val="20"/>
          <w:szCs w:val="20"/>
        </w:rPr>
        <w:t xml:space="preserve"> </w:t>
      </w:r>
      <w:r>
        <w:rPr>
          <w:sz w:val="20"/>
          <w:szCs w:val="20"/>
        </w:rPr>
        <w:tab/>
      </w:r>
      <w:r>
        <w:rPr>
          <w:color w:val="444444"/>
          <w:sz w:val="20"/>
          <w:szCs w:val="20"/>
        </w:rPr>
        <w:t xml:space="preserve">Euroopan parlamentin ja neuvoston asetus (EU) 2021/523, annettu 24 päivänä maaliskuuta 2021, InvestEU-ohjelman perustamisesta ja asetuksen (EU) 2015/1017 muuttamisesta, </w:t>
      </w:r>
      <w:r>
        <w:rPr>
          <w:rStyle w:val="Emphasis"/>
          <w:i w:val="0"/>
          <w:color w:val="444444"/>
          <w:sz w:val="20"/>
          <w:szCs w:val="20"/>
        </w:rPr>
        <w:t>EUVL L 107, 26.3.2021, s. 30–89</w:t>
      </w:r>
      <w:r>
        <w:rPr>
          <w:rStyle w:val="Emphasis"/>
          <w:color w:val="444444"/>
          <w:sz w:val="20"/>
          <w:szCs w:val="20"/>
        </w:rPr>
        <w:t>.</w:t>
      </w:r>
    </w:p>
  </w:footnote>
  <w:footnote w:id="38">
    <w:p w14:paraId="71EE4A7A" w14:textId="3A4038A2" w:rsidR="001D32C3" w:rsidRPr="000115F3" w:rsidRDefault="001D32C3" w:rsidP="000B36DB">
      <w:pPr>
        <w:pStyle w:val="FootnoteText"/>
        <w:tabs>
          <w:tab w:val="left" w:pos="284"/>
        </w:tabs>
        <w:ind w:left="284" w:hanging="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Neuvoston 3. kesäkuuta 2021 antamat päätelmät aiheesta ”Rautatieliikenne tärkeäksi tekijäksi kestävän ja älykkään liikkuvuuden edistämisessä”, V. Verkot, investoinnit ja yhteydet, 38 kohta.</w:t>
      </w:r>
    </w:p>
  </w:footnote>
  <w:footnote w:id="39">
    <w:p w14:paraId="5DAC293F" w14:textId="71BDBD78" w:rsidR="001D32C3" w:rsidRPr="00D81636" w:rsidRDefault="001D32C3" w:rsidP="000B36DB">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Komission asetus (EU) N:o 36/2010, annettu 3 päivänä joulukuuta 2009, Euroopan yhteisön malleista kuljettajan lupakirjoja, lisätodistuksia, lisätodistusten oikeaksi todistettuja jäljennöksiä sekä kuljettajan lupakirjan hakulomakkeita varten Euroopan parlamentin ja neuvoston direktiivin 2007/59/EY mukaisesti, EUVL L 13, 19.1.2010, s. 1–27.</w:t>
      </w:r>
    </w:p>
  </w:footnote>
  <w:footnote w:id="40">
    <w:p w14:paraId="5C9E88A8" w14:textId="6EB65C6D" w:rsidR="001D32C3" w:rsidRPr="00D81636" w:rsidRDefault="001D32C3" w:rsidP="009B463A">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Vetureita ja junia rautateillä yhteisössä ajavien veturinkuljettajien hyväksymisestä 23 päivänä lokakuuta 2007 annetun Euroopan parlamentin ja neuvoston direktiivin 2007/59/EY </w:t>
      </w:r>
      <w:r>
        <w:rPr>
          <w:rFonts w:ascii="Times New Roman" w:hAnsi="Times New Roman"/>
          <w:color w:val="1F497D"/>
        </w:rPr>
        <w:t xml:space="preserve">arvioinnin tiivistelmä, SWD(2020) 138 final: </w:t>
      </w:r>
      <w:hyperlink r:id="rId9" w:history="1">
        <w:r>
          <w:rPr>
            <w:rFonts w:ascii="Times New Roman" w:hAnsi="Times New Roman"/>
            <w:color w:val="0000FF"/>
            <w:u w:val="single"/>
          </w:rPr>
          <w:t>swd20200138-exec-summ-certification-train-drivers_en.pdf (europa.eu)</w:t>
        </w:r>
      </w:hyperlink>
      <w:r>
        <w:t>.</w:t>
      </w:r>
    </w:p>
  </w:footnote>
  <w:footnote w:id="41">
    <w:p w14:paraId="10F476E8" w14:textId="6D233219" w:rsidR="001D32C3" w:rsidRPr="005B363B" w:rsidRDefault="001D32C3" w:rsidP="005B363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https://ec.europa.eu/social/main.jsp?langId=en&amp;catId=89&amp;newsId=10097&amp;furtherNews=yes</w:t>
      </w:r>
    </w:p>
  </w:footnote>
  <w:footnote w:id="42">
    <w:p w14:paraId="3906EA7F" w14:textId="6409F99D" w:rsidR="006E2CE2" w:rsidRPr="006E2CE2" w:rsidRDefault="006E2CE2">
      <w:pPr>
        <w:pStyle w:val="FootnoteText"/>
        <w:rPr>
          <w:rFonts w:ascii="Times New Roman" w:hAnsi="Times New Roman" w:cs="Times New Roman"/>
        </w:rPr>
      </w:pPr>
      <w:r>
        <w:rPr>
          <w:rStyle w:val="FootnoteReference"/>
        </w:rPr>
        <w:footnoteRef/>
      </w:r>
      <w:r>
        <w:t xml:space="preserve"> </w:t>
      </w:r>
      <w:r>
        <w:rPr>
          <w:rFonts w:ascii="Times New Roman" w:hAnsi="Times New Roman"/>
        </w:rPr>
        <w:t>https://ec.europa.eu/social/main.jsp?catId=1147&amp;langId=fi</w:t>
      </w:r>
    </w:p>
  </w:footnote>
  <w:footnote w:id="43">
    <w:p w14:paraId="3B1CF9ED" w14:textId="283DE638" w:rsidR="001D32C3" w:rsidRPr="00D81636" w:rsidRDefault="001D32C3" w:rsidP="00B47711">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https://www.railstaffer.eu/</w:t>
      </w:r>
    </w:p>
  </w:footnote>
  <w:footnote w:id="44">
    <w:p w14:paraId="3F5D5BA7" w14:textId="77777777" w:rsidR="006E2CE2" w:rsidRPr="006E2CE2" w:rsidRDefault="006E2CE2" w:rsidP="006E2CE2">
      <w:pPr>
        <w:pStyle w:val="FootnoteText"/>
        <w:rPr>
          <w:rFonts w:ascii="Times New Roman" w:hAnsi="Times New Roman" w:cs="Times New Roman"/>
        </w:rPr>
      </w:pPr>
      <w:r>
        <w:rPr>
          <w:rStyle w:val="FootnoteReference"/>
        </w:rPr>
        <w:footnoteRef/>
      </w:r>
      <w:r>
        <w:t xml:space="preserve"> </w:t>
      </w:r>
      <w:r>
        <w:rPr>
          <w:rFonts w:ascii="Times New Roman" w:hAnsi="Times New Roman"/>
        </w:rPr>
        <w:t>https://ec.europa.eu/social/main.jsp?catId=1517&amp;langId=en</w:t>
      </w:r>
    </w:p>
  </w:footnote>
  <w:footnote w:id="45">
    <w:p w14:paraId="30B74AB4" w14:textId="77777777" w:rsidR="001D32C3" w:rsidRPr="005E20B0" w:rsidRDefault="001D32C3" w:rsidP="000B36D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Asiakirjan COM(2018) 470 liite.</w:t>
      </w:r>
    </w:p>
  </w:footnote>
  <w:footnote w:id="46">
    <w:p w14:paraId="5B463BC6" w14:textId="2BE5E29E" w:rsidR="001D32C3" w:rsidRPr="00580B56" w:rsidRDefault="001D32C3" w:rsidP="00580B56">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Esimerkiksi Budapestin ja Wienin välistä matka-aikaa voitaisiin nopeuttaa rajalla jopa 17 minuuttia käyttämällä koordinoitua digitaalista aikataulusuunnittelua. Osaa Amsterdamin ja Lontoon välisistä junista seisotetaan väliasemilla, koska eri verkkojen välisiä aikatauluja ei ole sovitettu yhteen. </w:t>
      </w:r>
    </w:p>
  </w:footnote>
  <w:footnote w:id="47">
    <w:p w14:paraId="7968D0E9" w14:textId="1C6DA080" w:rsidR="001D32C3" w:rsidRPr="00580B56" w:rsidRDefault="001D32C3" w:rsidP="00350C2B">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Direktiivi 2012/34/EU</w:t>
      </w:r>
      <w:r>
        <w:t>.</w:t>
      </w:r>
    </w:p>
  </w:footnote>
  <w:footnote w:id="48">
    <w:p w14:paraId="02B995B0" w14:textId="6C26633D" w:rsidR="001D32C3" w:rsidRPr="005E20B0" w:rsidRDefault="001D32C3" w:rsidP="000B36DB">
      <w:pPr>
        <w:pStyle w:val="FootnoteText"/>
        <w:tabs>
          <w:tab w:val="left" w:pos="284"/>
        </w:tabs>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Euroopan parlamentin ja neuvoston asetus (EU) N:o 913/2010, annettu 22 päivänä syyskuuta 2010, kilpailukykyisen tavaraliikenteen eurooppalaisesta rautatieverkosta, EUVL L 276, 20.10.2010, s. 22–32. Asetuksen äskettäinen arviointi osoitti, että vaikka asetuksella käyttöönotetut säännöt ja rakenteet ovat vahvistaneet vuoropuhelua ja yhteistyötä sidosryhmien välillä, ne eivät ole merkittävästi parantaneet rautateiden rajatylittävien tavaraliikennepalvelujen tarjoajien toimintaedellytyksiä. </w:t>
      </w:r>
    </w:p>
  </w:footnote>
  <w:footnote w:id="49">
    <w:p w14:paraId="18A9433C" w14:textId="7D99D632" w:rsidR="001D32C3" w:rsidRPr="00F90CF6" w:rsidRDefault="001D32C3" w:rsidP="000B36DB">
      <w:pPr>
        <w:pStyle w:val="FootnoteText"/>
        <w:ind w:left="284" w:hanging="284"/>
        <w:rPr>
          <w:rFonts w:ascii="Times New Roman" w:hAnsi="Times New Roman" w:cs="Times New Roman"/>
          <w:lang w:val="en-US"/>
        </w:rPr>
      </w:pPr>
      <w:r>
        <w:rPr>
          <w:rStyle w:val="FootnoteReference"/>
          <w:rFonts w:ascii="Times New Roman" w:hAnsi="Times New Roman" w:cs="Times New Roman"/>
        </w:rPr>
        <w:footnoteRef/>
      </w:r>
      <w:r w:rsidRPr="00F90CF6">
        <w:rPr>
          <w:rFonts w:ascii="Times New Roman" w:hAnsi="Times New Roman"/>
          <w:lang w:val="en-US"/>
        </w:rPr>
        <w:t xml:space="preserve"> </w:t>
      </w:r>
      <w:r w:rsidRPr="00F90CF6">
        <w:rPr>
          <w:rFonts w:ascii="Times New Roman" w:hAnsi="Times New Roman"/>
          <w:lang w:val="en-US"/>
        </w:rPr>
        <w:tab/>
        <w:t xml:space="preserve">Euroopan komissio, </w:t>
      </w:r>
      <w:r w:rsidRPr="00F90CF6">
        <w:rPr>
          <w:rFonts w:ascii="Times New Roman" w:hAnsi="Times New Roman"/>
          <w:i/>
          <w:iCs/>
          <w:lang w:val="en-US"/>
        </w:rPr>
        <w:t>Sustainable transport infrastructure charging and internalisation of transport externalities:</w:t>
      </w:r>
      <w:r w:rsidRPr="00F90CF6">
        <w:rPr>
          <w:rFonts w:ascii="Times New Roman" w:hAnsi="Times New Roman"/>
          <w:lang w:val="en-US"/>
        </w:rPr>
        <w:t xml:space="preserve"> </w:t>
      </w:r>
      <w:r w:rsidRPr="00F90CF6">
        <w:rPr>
          <w:rFonts w:ascii="Times New Roman" w:hAnsi="Times New Roman"/>
          <w:i/>
          <w:iCs/>
          <w:lang w:val="en-US"/>
        </w:rPr>
        <w:t>Executive Summary</w:t>
      </w:r>
      <w:r w:rsidRPr="00F90CF6">
        <w:rPr>
          <w:rFonts w:ascii="Times New Roman" w:hAnsi="Times New Roman"/>
          <w:lang w:val="en-US"/>
        </w:rPr>
        <w:t>, toukokuu 2019, s. 5.</w:t>
      </w:r>
    </w:p>
  </w:footnote>
  <w:footnote w:id="50">
    <w:p w14:paraId="2A19EF97" w14:textId="7D938E02" w:rsidR="001D32C3" w:rsidRPr="005E20B0" w:rsidRDefault="001D32C3" w:rsidP="005E20B0">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Esimerkiksi rautatieliikenteen keskimääräiset ilmastokustannukset ovat 0,05 senttiä henkilökilometriä kohden, kun lentoliikenteen vastaavat kustannukset ovat 2,2 senttiä, linja-autoliikenteen 0,5 senttiä ja autoilun 1,2 senttiä (Euroopan komissio, </w:t>
      </w:r>
      <w:r>
        <w:rPr>
          <w:rFonts w:ascii="Times New Roman" w:hAnsi="Times New Roman"/>
          <w:i/>
          <w:iCs/>
        </w:rPr>
        <w:t>Handbook on the external costs of transport</w:t>
      </w:r>
      <w:r>
        <w:rPr>
          <w:rFonts w:ascii="Times New Roman" w:hAnsi="Times New Roman"/>
        </w:rPr>
        <w:t>, 2019, taulukko 69, https://op.europa.eu/en/publication-detail/-/publication/9781f65f-8448-11ea-bf12-01aa75ed71a1).</w:t>
      </w:r>
    </w:p>
  </w:footnote>
  <w:footnote w:id="51">
    <w:p w14:paraId="30850F64" w14:textId="77777777" w:rsidR="001D32C3" w:rsidRPr="00D81636" w:rsidRDefault="001D32C3" w:rsidP="000B36DB">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Direktiivin 2012/34/EU 34 artikla.</w:t>
      </w:r>
    </w:p>
  </w:footnote>
  <w:footnote w:id="52">
    <w:p w14:paraId="7BAC4AD0" w14:textId="49B5F06F" w:rsidR="001D32C3" w:rsidRPr="000C1F00" w:rsidRDefault="001D32C3" w:rsidP="000B36DB">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Euroopan parlamentin ja neuvoston asetus (EU) 2020/1429, annettu 7 päivänä lokakuuta 2020, toimenpiteiden vahvistamisesta kestäviä rautatiemarkkinoita varten covid-19:n leviämisen johdosta, EUVL L 333, 12.10.2020, s. 1–5.</w:t>
      </w:r>
    </w:p>
  </w:footnote>
  <w:footnote w:id="53">
    <w:p w14:paraId="1BBF0573" w14:textId="77777777" w:rsidR="001D32C3" w:rsidRPr="000C1F00" w:rsidRDefault="001D32C3" w:rsidP="000B36DB">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http://www.cer.be/publications/latest-publications/sector-stakeholder-statement-international-rail-passenger-services</w:t>
      </w:r>
    </w:p>
  </w:footnote>
  <w:footnote w:id="54">
    <w:p w14:paraId="0A40D83C" w14:textId="77777777" w:rsidR="001D32C3" w:rsidRPr="000C1F00" w:rsidRDefault="001D32C3" w:rsidP="000B36DB">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https://www.cer.be/publications/latest-publications/cer-ticketing-roadmap</w:t>
      </w:r>
    </w:p>
  </w:footnote>
  <w:footnote w:id="55">
    <w:p w14:paraId="39B8FBD7" w14:textId="3F873D05" w:rsidR="001D32C3" w:rsidRPr="001D0F87" w:rsidRDefault="001D32C3" w:rsidP="001D0F87">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Esimerkiksi digitaalinen lompakko: https://ec.europa.eu/commission/presscorner/detail/fi/IP_21_2663</w:t>
      </w:r>
    </w:p>
  </w:footnote>
  <w:footnote w:id="56">
    <w:p w14:paraId="3E1ED9EC" w14:textId="4AB4C666" w:rsidR="001D32C3" w:rsidRPr="00E81DB1" w:rsidRDefault="001D32C3" w:rsidP="000B36DB">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Euroopan parlamentin ja neuvoston asetus (EU) 2021/782, annettu 29 päivänä huhtikuuta 2021, rautatieliikenteen matkustajien oikeuksista ja velvollisuuksista, EUVL L 172, 17.5.2021, s. 1–52.</w:t>
      </w:r>
    </w:p>
  </w:footnote>
  <w:footnote w:id="57">
    <w:p w14:paraId="769B8E04" w14:textId="77777777" w:rsidR="001D32C3" w:rsidRPr="005B5205" w:rsidRDefault="001D32C3" w:rsidP="00810B32">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Alan sidosryhmien yhteinen lausuma on kehitetty jäsenvaltioiden perustaman rautateiden kansainvälistä henkilöliikennettä käsittelevän Platform on International Rail Passenger Transport </w:t>
      </w:r>
      <w:r>
        <w:rPr>
          <w:rFonts w:ascii="Times New Roman" w:hAnsi="Times New Roman"/>
        </w:rPr>
        <w:noBreakHyphen/>
        <w:t>foorumin puitteissa (http://www.cer.be/publications/latest-publications/sector-stakeholder-statement-international-rail-passenger-services)</w:t>
      </w:r>
      <w:r>
        <w:t>.</w:t>
      </w:r>
      <w:r>
        <w:rPr>
          <w:rFonts w:ascii="Times New Roman" w:hAnsi="Times New Roman"/>
        </w:rPr>
        <w:t xml:space="preserve"> </w:t>
      </w:r>
    </w:p>
  </w:footnote>
  <w:footnote w:id="58">
    <w:p w14:paraId="2DDAE9F0" w14:textId="563C3002" w:rsidR="001D32C3" w:rsidRDefault="001D32C3" w:rsidP="003E43B2">
      <w:pPr>
        <w:pStyle w:val="FootnoteText"/>
        <w:ind w:left="284" w:hanging="284"/>
        <w:jc w:val="both"/>
      </w:pPr>
      <w:r>
        <w:rPr>
          <w:rStyle w:val="FootnoteReference"/>
        </w:rPr>
        <w:footnoteRef/>
      </w:r>
      <w:r>
        <w:t xml:space="preserve"> </w:t>
      </w:r>
      <w:r>
        <w:tab/>
      </w:r>
      <w:r>
        <w:rPr>
          <w:rFonts w:ascii="Times New Roman" w:hAnsi="Times New Roman"/>
        </w:rPr>
        <w:t>Velvoitetta sovelletaan silloin, kun palvelu on yhden ainoan rautatieyrityksen liikennöimä; tällöin kyseisen yrityksen on tarjottava suora lippu kaikkiin (kansainvälisen ja kotimaan) kaukoliikenteen tai alueellisiin rautatieliikennepalveluihinsa (asetuksen (EU) 2021/782 12 artiklan 1 kohta). Saman rautatieyrityksen tarjoamissa palveluissa rautatieliikenteen matkustajien siirtymistä palvelusta toiseen helpotetaan luomalla velvollisuus tarjota suoria lippuja, koska kaupallisia sopimuksia rautatieyritysten välillä ei tarvita. Suorien lippujen tarjoamista koskevaa vaatimusta sovelletaan myös sellaisten rautatieyritysten harjoittamiin palveluihin, jotka kuuluvat samalle omistajalle tai jotka ovat kyseisiä palveluja tarjoavan rautatieyrityksen kokonaan omistamia tytäryhtiöitä. Rautateiden muiden matkustajaliikennepalvelujen osalta rautatieyritysten on kaikin kohtuullisesti toteutettavin toimin pyrittävä tarjoamaan suoria lippuja ja tehtävä tätä varten yhteistyötä keskenään. Jos matkustajille ei ole tiedotettu asianmukaisesti, rautatieyrityksen olisi oltava vastuussa – samalla tavalla kuin jos kyseinen lippu olisi suora lippu.</w:t>
      </w:r>
    </w:p>
  </w:footnote>
  <w:footnote w:id="59">
    <w:p w14:paraId="5A41FC1A" w14:textId="3C18C4AB" w:rsidR="00A032E5" w:rsidRPr="00E81DB1" w:rsidRDefault="00A032E5" w:rsidP="00E81DB1">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Komissio tarkastelee multimodaalisia palveluja käyttävien matkustajien oikeuksia koskevia vaihtoehtoja matkustajien oikeuksia koskevan sääntelykehyksen suunnitteilla olevan uudelleentarkastelun yhteydessä (kestävän ja älykkään liikkuvuuden strategian toimintasuunnitelman toimi 63).</w:t>
      </w:r>
    </w:p>
  </w:footnote>
  <w:footnote w:id="60">
    <w:p w14:paraId="6BC8C8F0" w14:textId="4F14EBBD" w:rsidR="004753AF" w:rsidRDefault="004753AF">
      <w:pPr>
        <w:pStyle w:val="FootnoteText"/>
      </w:pPr>
      <w:r>
        <w:rPr>
          <w:rStyle w:val="FootnoteReference"/>
        </w:rPr>
        <w:footnoteRef/>
      </w:r>
      <w:r>
        <w:t xml:space="preserve"> </w:t>
      </w:r>
      <w:r>
        <w:rPr>
          <w:rFonts w:ascii="Times New Roman" w:hAnsi="Times New Roman"/>
        </w:rPr>
        <w:t>COM(2021) 345 final</w:t>
      </w:r>
      <w:r>
        <w:t>.</w:t>
      </w:r>
    </w:p>
  </w:footnote>
  <w:footnote w:id="61">
    <w:p w14:paraId="2FA06830" w14:textId="34B30785" w:rsidR="001D32C3" w:rsidRPr="000C12B9" w:rsidRDefault="001D32C3" w:rsidP="000C12B9">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Euroopan parlamentin ja neuvoston direktiivi (EU) 2019/882, annettu 17 päivänä huhtikuuta 2019, tuotteiden ja palvelujen esteettömyysvaatimuksista, EUVL L 151, 7.6.2019, s. 70–115.</w:t>
      </w:r>
    </w:p>
  </w:footnote>
  <w:footnote w:id="62">
    <w:p w14:paraId="5176A298" w14:textId="0C0EABC0" w:rsidR="001D32C3" w:rsidRPr="00A94475" w:rsidRDefault="001D32C3" w:rsidP="00527311">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Komission asetus (EU) N:o 1300/2014, annettu 18 päivänä marraskuuta 2014, vammaisten ja liikkumisesteisten henkilöiden esteetöntä pääsyä Euroopan unionin rautatiejärjestelmään koskevista yhteentoimivuuden teknisistä eritelmistä, EUVL L 356, 12.12.2014, s. 110–178.</w:t>
      </w:r>
    </w:p>
  </w:footnote>
  <w:footnote w:id="63">
    <w:p w14:paraId="591DB543" w14:textId="77777777" w:rsidR="001D32C3" w:rsidRPr="007D2E8C" w:rsidRDefault="001D32C3" w:rsidP="002D757A">
      <w:pPr>
        <w:pStyle w:val="FootnoteText"/>
        <w:tabs>
          <w:tab w:val="left" w:pos="284"/>
        </w:tabs>
      </w:pPr>
      <w:r>
        <w:rPr>
          <w:rStyle w:val="FootnoteReference"/>
        </w:rPr>
        <w:footnoteRef/>
      </w:r>
      <w:r>
        <w:t xml:space="preserve"> </w:t>
      </w:r>
      <w:r>
        <w:tab/>
      </w:r>
      <w:r>
        <w:rPr>
          <w:rFonts w:ascii="Times New Roman" w:hAnsi="Times New Roman"/>
        </w:rPr>
        <w:t>https://ec.europa.eu/commission/presscorner/detail/fi/IP_21_3541</w:t>
      </w:r>
    </w:p>
  </w:footnote>
  <w:footnote w:id="64">
    <w:p w14:paraId="0B881E35" w14:textId="579164C7" w:rsidR="001D32C3" w:rsidRPr="00D81636" w:rsidRDefault="001D32C3" w:rsidP="00E81DB1">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(Rajatylittäviä) lento-junalippuja on tällä hetkellä tarjolla esimerkiksi Pariisin ja Frankfurtin lentoasemille sekä Amsterdamin Schipholin ja Brysselin lentoasemien väliselle yhteydelle.</w:t>
      </w:r>
      <w:r>
        <w:rPr>
          <w:rFonts w:ascii="Times New Roman" w:hAnsi="Times New Roman"/>
        </w:rPr>
        <w:tab/>
        <w:t>https://accesrail.com/general-information/#</w:t>
      </w:r>
    </w:p>
  </w:footnote>
  <w:footnote w:id="65">
    <w:p w14:paraId="63BF9F7C" w14:textId="2F7173F4" w:rsidR="001D32C3" w:rsidRPr="005B5205" w:rsidRDefault="001D32C3" w:rsidP="005B5205">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https://ec.europa.eu/info/law/better-regulation/have-your-say/initiatives/13255-Revision-of-the-Air-Services-Regulation_fi</w:t>
      </w:r>
    </w:p>
  </w:footnote>
  <w:footnote w:id="66">
    <w:p w14:paraId="49563136" w14:textId="1010B6BE" w:rsidR="001D32C3" w:rsidRPr="00AC670D" w:rsidRDefault="001D32C3" w:rsidP="005B5205">
      <w:pPr>
        <w:pStyle w:val="FootnoteText"/>
        <w:tabs>
          <w:tab w:val="left" w:pos="284"/>
        </w:tabs>
        <w:ind w:left="284" w:hanging="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https://ec.europa.eu/info/law/better-regulation/have-your-say/initiatives/13133-Multimodal-digital-mobility-services_fi</w:t>
      </w:r>
    </w:p>
  </w:footnote>
  <w:footnote w:id="67">
    <w:p w14:paraId="104D0081" w14:textId="77777777" w:rsidR="001D32C3" w:rsidRPr="00557ABE" w:rsidRDefault="001D32C3" w:rsidP="000B36DB">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https://europa.eu/youth/discovereu_fi</w:t>
      </w:r>
    </w:p>
  </w:footnote>
  <w:footnote w:id="68">
    <w:p w14:paraId="75190783" w14:textId="77777777" w:rsidR="001D32C3" w:rsidRDefault="001D32C3" w:rsidP="000B36DB">
      <w:pPr>
        <w:pStyle w:val="FootnoteText"/>
        <w:ind w:left="284" w:hanging="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www.erasmusbytrain.eu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5250C" w14:textId="77777777" w:rsidR="0021409F" w:rsidRPr="0021409F" w:rsidRDefault="0021409F" w:rsidP="00214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4D871" w14:textId="77777777" w:rsidR="0021409F" w:rsidRPr="0021409F" w:rsidRDefault="0021409F" w:rsidP="0021409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4089" w14:textId="77777777" w:rsidR="0021409F" w:rsidRPr="0021409F" w:rsidRDefault="0021409F" w:rsidP="0021409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DC31" w14:textId="77777777" w:rsidR="001D32C3" w:rsidRDefault="001D32C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470CD" w14:textId="77777777" w:rsidR="001D32C3" w:rsidRDefault="001D32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DEA19" w14:textId="77777777" w:rsidR="001D32C3" w:rsidRDefault="001D3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86913"/>
    <w:multiLevelType w:val="hybridMultilevel"/>
    <w:tmpl w:val="322407EA"/>
    <w:lvl w:ilvl="0" w:tplc="D5385EB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350F14"/>
    <w:multiLevelType w:val="hybridMultilevel"/>
    <w:tmpl w:val="70D282C2"/>
    <w:lvl w:ilvl="0" w:tplc="9796ECC2">
      <w:start w:val="3"/>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9B1E201E-9F44-4ED2-ADDA-D7E6AF35C1E0"/>
    <w:docVar w:name="LW_COVERPAGE_TYPE" w:val="1"/>
    <w:docVar w:name="LW_CROSSREFERENCE" w:val="&lt;UNUSED&gt;"/>
    <w:docVar w:name="LW_DocType" w:val="NORMAL"/>
    <w:docVar w:name="LW_EMISSION" w:val="14.12.2021"/>
    <w:docVar w:name="LW_EMISSION_ISODATE" w:val="2021-12-14"/>
    <w:docVar w:name="LW_EMISSION_LOCATION" w:val="BRX"/>
    <w:docVar w:name="LW_EMISSION_PREFIX" w:val="Bryssel "/>
    <w:docVar w:name="LW_EMISSION_SUFFIX" w:val=" "/>
    <w:docVar w:name="LW_ID_DOCTYPE_NONLW" w:val="CP-012"/>
    <w:docVar w:name="LW_LANGUE" w:val="FI"/>
    <w:docVar w:name="LW_LEVEL_OF_SENSITIVITY" w:val="Standard treatment"/>
    <w:docVar w:name="LW_NOM.INST" w:val="EUROOPAN KOMISSIO"/>
    <w:docVar w:name="LW_NOM.INST_JOINTDOC" w:val="&lt;EMPTY&gt;"/>
    <w:docVar w:name="LW_PART_NBR" w:val="1"/>
    <w:docVar w:name="LW_PART_NBR_TOTAL" w:val="1"/>
    <w:docVar w:name="LW_REF.INST.NEW" w:val="COM"/>
    <w:docVar w:name="LW_REF.INST.NEW_ADOPTED" w:val="final"/>
    <w:docVar w:name="LW_REF.INST.NEW_TEXT" w:val="(2021) 81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Toimintasuunnitelma rautateiden pitkän matkan ja rajatylittävän matkustajaliikenteen edistämiseksi&lt;/FMT&gt;"/>
    <w:docVar w:name="LW_TYPE.DOC.CP" w:val="KOMISSION TIEDONANTO EUROOPAN PARLAMENTILLE JA NEUVOSTOLLE"/>
    <w:docVar w:name="LW_TYPE.DOC.CP.USERTEXT" w:val="_x000b_"/>
    <w:docVar w:name="LwApiVersions" w:val="LW4CoDe 1.23.2.0; LW 8.0, Build 20211117"/>
  </w:docVars>
  <w:rsids>
    <w:rsidRoot w:val="00E62D19"/>
    <w:rsid w:val="00006011"/>
    <w:rsid w:val="00015E42"/>
    <w:rsid w:val="00023ABA"/>
    <w:rsid w:val="000301BE"/>
    <w:rsid w:val="00030221"/>
    <w:rsid w:val="000423A3"/>
    <w:rsid w:val="00044D30"/>
    <w:rsid w:val="000561DE"/>
    <w:rsid w:val="00061888"/>
    <w:rsid w:val="00061AAE"/>
    <w:rsid w:val="00066E48"/>
    <w:rsid w:val="00072ED0"/>
    <w:rsid w:val="000743AD"/>
    <w:rsid w:val="00074C72"/>
    <w:rsid w:val="00076BA0"/>
    <w:rsid w:val="00086385"/>
    <w:rsid w:val="000A0A34"/>
    <w:rsid w:val="000A1E79"/>
    <w:rsid w:val="000A6F2A"/>
    <w:rsid w:val="000B36DB"/>
    <w:rsid w:val="000C12B9"/>
    <w:rsid w:val="000C1F00"/>
    <w:rsid w:val="000C627F"/>
    <w:rsid w:val="000C705B"/>
    <w:rsid w:val="000D3074"/>
    <w:rsid w:val="000D3B1E"/>
    <w:rsid w:val="000E3A3E"/>
    <w:rsid w:val="000E45F6"/>
    <w:rsid w:val="000E69DE"/>
    <w:rsid w:val="000E75D1"/>
    <w:rsid w:val="000F0C4C"/>
    <w:rsid w:val="00101AF6"/>
    <w:rsid w:val="00115A49"/>
    <w:rsid w:val="00122960"/>
    <w:rsid w:val="0012453B"/>
    <w:rsid w:val="00127D43"/>
    <w:rsid w:val="0014002A"/>
    <w:rsid w:val="00144CFA"/>
    <w:rsid w:val="001472AF"/>
    <w:rsid w:val="0015694E"/>
    <w:rsid w:val="001569FB"/>
    <w:rsid w:val="001644E4"/>
    <w:rsid w:val="0016526D"/>
    <w:rsid w:val="0017472E"/>
    <w:rsid w:val="0018145C"/>
    <w:rsid w:val="001828EB"/>
    <w:rsid w:val="00182B22"/>
    <w:rsid w:val="001935C6"/>
    <w:rsid w:val="0019435D"/>
    <w:rsid w:val="00197D0C"/>
    <w:rsid w:val="001A1D84"/>
    <w:rsid w:val="001A5480"/>
    <w:rsid w:val="001A66A5"/>
    <w:rsid w:val="001B5B5E"/>
    <w:rsid w:val="001D0F87"/>
    <w:rsid w:val="001D32C3"/>
    <w:rsid w:val="001D5561"/>
    <w:rsid w:val="001D778C"/>
    <w:rsid w:val="001E033A"/>
    <w:rsid w:val="001F2FBA"/>
    <w:rsid w:val="00203409"/>
    <w:rsid w:val="0021409F"/>
    <w:rsid w:val="00216631"/>
    <w:rsid w:val="00222690"/>
    <w:rsid w:val="00227955"/>
    <w:rsid w:val="00232664"/>
    <w:rsid w:val="00237501"/>
    <w:rsid w:val="00237F02"/>
    <w:rsid w:val="0025023F"/>
    <w:rsid w:val="00252287"/>
    <w:rsid w:val="00260117"/>
    <w:rsid w:val="002621D3"/>
    <w:rsid w:val="00264885"/>
    <w:rsid w:val="00275553"/>
    <w:rsid w:val="002925CD"/>
    <w:rsid w:val="002957B1"/>
    <w:rsid w:val="00295EDC"/>
    <w:rsid w:val="002A5CD4"/>
    <w:rsid w:val="002A73F7"/>
    <w:rsid w:val="002B3C18"/>
    <w:rsid w:val="002B56C1"/>
    <w:rsid w:val="002D757A"/>
    <w:rsid w:val="002E0C4C"/>
    <w:rsid w:val="002E4DA6"/>
    <w:rsid w:val="002E5273"/>
    <w:rsid w:val="002E576D"/>
    <w:rsid w:val="002F2629"/>
    <w:rsid w:val="002F7A4D"/>
    <w:rsid w:val="00301598"/>
    <w:rsid w:val="00306F51"/>
    <w:rsid w:val="00313D36"/>
    <w:rsid w:val="00320CD3"/>
    <w:rsid w:val="00323B76"/>
    <w:rsid w:val="00332DD2"/>
    <w:rsid w:val="00350C2B"/>
    <w:rsid w:val="00352E34"/>
    <w:rsid w:val="00363077"/>
    <w:rsid w:val="00367AA3"/>
    <w:rsid w:val="00376AD6"/>
    <w:rsid w:val="00376ED4"/>
    <w:rsid w:val="00387A81"/>
    <w:rsid w:val="00395E1D"/>
    <w:rsid w:val="003A01B8"/>
    <w:rsid w:val="003A3038"/>
    <w:rsid w:val="003A34B4"/>
    <w:rsid w:val="003B123B"/>
    <w:rsid w:val="003B3B9E"/>
    <w:rsid w:val="003B477F"/>
    <w:rsid w:val="003B6F09"/>
    <w:rsid w:val="003C29EC"/>
    <w:rsid w:val="003C2D09"/>
    <w:rsid w:val="003C68C9"/>
    <w:rsid w:val="003D5A06"/>
    <w:rsid w:val="003E105E"/>
    <w:rsid w:val="003E2D6C"/>
    <w:rsid w:val="003E3135"/>
    <w:rsid w:val="003E43B2"/>
    <w:rsid w:val="003E5B32"/>
    <w:rsid w:val="003E61EA"/>
    <w:rsid w:val="003F23B2"/>
    <w:rsid w:val="003F6C20"/>
    <w:rsid w:val="004018BB"/>
    <w:rsid w:val="00401CA5"/>
    <w:rsid w:val="004028E1"/>
    <w:rsid w:val="00402A31"/>
    <w:rsid w:val="00405800"/>
    <w:rsid w:val="00412F97"/>
    <w:rsid w:val="0041464D"/>
    <w:rsid w:val="00421007"/>
    <w:rsid w:val="00431088"/>
    <w:rsid w:val="00442808"/>
    <w:rsid w:val="00442DD2"/>
    <w:rsid w:val="004439DB"/>
    <w:rsid w:val="004463F8"/>
    <w:rsid w:val="00450D0A"/>
    <w:rsid w:val="004522CE"/>
    <w:rsid w:val="00452FCA"/>
    <w:rsid w:val="00453E2E"/>
    <w:rsid w:val="004558D7"/>
    <w:rsid w:val="00461DB1"/>
    <w:rsid w:val="0046342F"/>
    <w:rsid w:val="00463534"/>
    <w:rsid w:val="00463978"/>
    <w:rsid w:val="0046415E"/>
    <w:rsid w:val="00467FE6"/>
    <w:rsid w:val="00473532"/>
    <w:rsid w:val="00474358"/>
    <w:rsid w:val="004753AF"/>
    <w:rsid w:val="00475A34"/>
    <w:rsid w:val="00476414"/>
    <w:rsid w:val="0048180B"/>
    <w:rsid w:val="0049029B"/>
    <w:rsid w:val="004A59BA"/>
    <w:rsid w:val="004A6EAF"/>
    <w:rsid w:val="004C342E"/>
    <w:rsid w:val="004E0BFC"/>
    <w:rsid w:val="004E0F8A"/>
    <w:rsid w:val="004E19B2"/>
    <w:rsid w:val="004E5065"/>
    <w:rsid w:val="004E562C"/>
    <w:rsid w:val="004E5E07"/>
    <w:rsid w:val="004E6EC1"/>
    <w:rsid w:val="004E763D"/>
    <w:rsid w:val="004F1463"/>
    <w:rsid w:val="004F3211"/>
    <w:rsid w:val="004F5B51"/>
    <w:rsid w:val="0050057D"/>
    <w:rsid w:val="00501327"/>
    <w:rsid w:val="005021F5"/>
    <w:rsid w:val="00502624"/>
    <w:rsid w:val="005031E9"/>
    <w:rsid w:val="00505207"/>
    <w:rsid w:val="00506E97"/>
    <w:rsid w:val="00507CEA"/>
    <w:rsid w:val="0051030E"/>
    <w:rsid w:val="00524000"/>
    <w:rsid w:val="00524F9F"/>
    <w:rsid w:val="005260CC"/>
    <w:rsid w:val="00527311"/>
    <w:rsid w:val="00543A95"/>
    <w:rsid w:val="00545B3A"/>
    <w:rsid w:val="005479ED"/>
    <w:rsid w:val="005534C4"/>
    <w:rsid w:val="00553F66"/>
    <w:rsid w:val="005544DE"/>
    <w:rsid w:val="00557459"/>
    <w:rsid w:val="00557AB3"/>
    <w:rsid w:val="00557ABE"/>
    <w:rsid w:val="005709A6"/>
    <w:rsid w:val="005762FF"/>
    <w:rsid w:val="005768BC"/>
    <w:rsid w:val="00577E9C"/>
    <w:rsid w:val="00580996"/>
    <w:rsid w:val="00580B56"/>
    <w:rsid w:val="0058722D"/>
    <w:rsid w:val="0058728C"/>
    <w:rsid w:val="00593198"/>
    <w:rsid w:val="0059561B"/>
    <w:rsid w:val="005A0096"/>
    <w:rsid w:val="005A1383"/>
    <w:rsid w:val="005A4D11"/>
    <w:rsid w:val="005B197D"/>
    <w:rsid w:val="005B2609"/>
    <w:rsid w:val="005B363B"/>
    <w:rsid w:val="005B5205"/>
    <w:rsid w:val="005C093D"/>
    <w:rsid w:val="005C7508"/>
    <w:rsid w:val="005D02D0"/>
    <w:rsid w:val="005D06C6"/>
    <w:rsid w:val="005D6887"/>
    <w:rsid w:val="005E1E03"/>
    <w:rsid w:val="005E20B0"/>
    <w:rsid w:val="005E37DD"/>
    <w:rsid w:val="005E631D"/>
    <w:rsid w:val="005F0356"/>
    <w:rsid w:val="005F2C46"/>
    <w:rsid w:val="005F6D25"/>
    <w:rsid w:val="00601C77"/>
    <w:rsid w:val="006043B9"/>
    <w:rsid w:val="00607691"/>
    <w:rsid w:val="00610162"/>
    <w:rsid w:val="0061306E"/>
    <w:rsid w:val="00617577"/>
    <w:rsid w:val="0062251F"/>
    <w:rsid w:val="00627EF0"/>
    <w:rsid w:val="00635228"/>
    <w:rsid w:val="006520E5"/>
    <w:rsid w:val="00657474"/>
    <w:rsid w:val="00662004"/>
    <w:rsid w:val="00662114"/>
    <w:rsid w:val="00667C17"/>
    <w:rsid w:val="00674DDC"/>
    <w:rsid w:val="00676414"/>
    <w:rsid w:val="00682C1C"/>
    <w:rsid w:val="00692133"/>
    <w:rsid w:val="00694CDE"/>
    <w:rsid w:val="006A4F50"/>
    <w:rsid w:val="006B1BD9"/>
    <w:rsid w:val="006B3F7E"/>
    <w:rsid w:val="006B3FB2"/>
    <w:rsid w:val="006B7501"/>
    <w:rsid w:val="006C0AD5"/>
    <w:rsid w:val="006C0EF6"/>
    <w:rsid w:val="006C6AC5"/>
    <w:rsid w:val="006E2CE2"/>
    <w:rsid w:val="006E5D49"/>
    <w:rsid w:val="006F64AC"/>
    <w:rsid w:val="007259FE"/>
    <w:rsid w:val="00732F19"/>
    <w:rsid w:val="007344C7"/>
    <w:rsid w:val="0074646B"/>
    <w:rsid w:val="00746D7F"/>
    <w:rsid w:val="00761B3A"/>
    <w:rsid w:val="00764556"/>
    <w:rsid w:val="007648B3"/>
    <w:rsid w:val="00765DCB"/>
    <w:rsid w:val="0077244E"/>
    <w:rsid w:val="007749C8"/>
    <w:rsid w:val="007759E9"/>
    <w:rsid w:val="007815CA"/>
    <w:rsid w:val="007871F2"/>
    <w:rsid w:val="007971EE"/>
    <w:rsid w:val="007A3587"/>
    <w:rsid w:val="007B4168"/>
    <w:rsid w:val="007D2E8C"/>
    <w:rsid w:val="007E0D8A"/>
    <w:rsid w:val="007E14E1"/>
    <w:rsid w:val="007E5048"/>
    <w:rsid w:val="007E5F99"/>
    <w:rsid w:val="007F4226"/>
    <w:rsid w:val="00801151"/>
    <w:rsid w:val="00805031"/>
    <w:rsid w:val="008055C1"/>
    <w:rsid w:val="00810B32"/>
    <w:rsid w:val="0081603F"/>
    <w:rsid w:val="00821BBB"/>
    <w:rsid w:val="00824B31"/>
    <w:rsid w:val="00831251"/>
    <w:rsid w:val="00831334"/>
    <w:rsid w:val="00835705"/>
    <w:rsid w:val="00835920"/>
    <w:rsid w:val="00837EE7"/>
    <w:rsid w:val="00845B35"/>
    <w:rsid w:val="008469BD"/>
    <w:rsid w:val="00846E35"/>
    <w:rsid w:val="00850F21"/>
    <w:rsid w:val="00856849"/>
    <w:rsid w:val="00857A76"/>
    <w:rsid w:val="00861515"/>
    <w:rsid w:val="008628B8"/>
    <w:rsid w:val="0086542D"/>
    <w:rsid w:val="00867B3F"/>
    <w:rsid w:val="0087567D"/>
    <w:rsid w:val="008765C7"/>
    <w:rsid w:val="00881E1B"/>
    <w:rsid w:val="00890C71"/>
    <w:rsid w:val="00892F31"/>
    <w:rsid w:val="00893938"/>
    <w:rsid w:val="00895530"/>
    <w:rsid w:val="008A3306"/>
    <w:rsid w:val="008A4D5B"/>
    <w:rsid w:val="008A7770"/>
    <w:rsid w:val="008B2B19"/>
    <w:rsid w:val="008B76D7"/>
    <w:rsid w:val="008D2514"/>
    <w:rsid w:val="008D4489"/>
    <w:rsid w:val="008D590B"/>
    <w:rsid w:val="008D5F37"/>
    <w:rsid w:val="008E15F1"/>
    <w:rsid w:val="008E2FB3"/>
    <w:rsid w:val="008E7BAE"/>
    <w:rsid w:val="008F3C8F"/>
    <w:rsid w:val="008F44FD"/>
    <w:rsid w:val="008F5F72"/>
    <w:rsid w:val="00904081"/>
    <w:rsid w:val="00906E13"/>
    <w:rsid w:val="00911E95"/>
    <w:rsid w:val="00915C2D"/>
    <w:rsid w:val="00920EDA"/>
    <w:rsid w:val="00924E9C"/>
    <w:rsid w:val="00933834"/>
    <w:rsid w:val="00933B30"/>
    <w:rsid w:val="00944250"/>
    <w:rsid w:val="009455F8"/>
    <w:rsid w:val="009643CD"/>
    <w:rsid w:val="00967E75"/>
    <w:rsid w:val="0097188A"/>
    <w:rsid w:val="00981516"/>
    <w:rsid w:val="0098225B"/>
    <w:rsid w:val="00982377"/>
    <w:rsid w:val="00990052"/>
    <w:rsid w:val="00990C40"/>
    <w:rsid w:val="00991741"/>
    <w:rsid w:val="009A2AFF"/>
    <w:rsid w:val="009A4D5F"/>
    <w:rsid w:val="009B0277"/>
    <w:rsid w:val="009B268C"/>
    <w:rsid w:val="009B3414"/>
    <w:rsid w:val="009B4558"/>
    <w:rsid w:val="009B463A"/>
    <w:rsid w:val="009B4AD4"/>
    <w:rsid w:val="009C29CA"/>
    <w:rsid w:val="009C42FD"/>
    <w:rsid w:val="009D0151"/>
    <w:rsid w:val="009D3409"/>
    <w:rsid w:val="009E03C3"/>
    <w:rsid w:val="009E6786"/>
    <w:rsid w:val="009F3359"/>
    <w:rsid w:val="009F6C86"/>
    <w:rsid w:val="00A032E5"/>
    <w:rsid w:val="00A15300"/>
    <w:rsid w:val="00A2115E"/>
    <w:rsid w:val="00A22E17"/>
    <w:rsid w:val="00A25D28"/>
    <w:rsid w:val="00A27235"/>
    <w:rsid w:val="00A27F91"/>
    <w:rsid w:val="00A32660"/>
    <w:rsid w:val="00A37A60"/>
    <w:rsid w:val="00A4015F"/>
    <w:rsid w:val="00A50035"/>
    <w:rsid w:val="00A5074C"/>
    <w:rsid w:val="00A65CC0"/>
    <w:rsid w:val="00A86971"/>
    <w:rsid w:val="00A94475"/>
    <w:rsid w:val="00AA6DF8"/>
    <w:rsid w:val="00AB6E86"/>
    <w:rsid w:val="00AB78C0"/>
    <w:rsid w:val="00AC108B"/>
    <w:rsid w:val="00AC1853"/>
    <w:rsid w:val="00AC2E37"/>
    <w:rsid w:val="00AD5A80"/>
    <w:rsid w:val="00AD5CC4"/>
    <w:rsid w:val="00AF5979"/>
    <w:rsid w:val="00B14AAA"/>
    <w:rsid w:val="00B20EFD"/>
    <w:rsid w:val="00B21570"/>
    <w:rsid w:val="00B21646"/>
    <w:rsid w:val="00B21674"/>
    <w:rsid w:val="00B23F6B"/>
    <w:rsid w:val="00B25551"/>
    <w:rsid w:val="00B2583F"/>
    <w:rsid w:val="00B31375"/>
    <w:rsid w:val="00B35CF1"/>
    <w:rsid w:val="00B4160D"/>
    <w:rsid w:val="00B47711"/>
    <w:rsid w:val="00B570DD"/>
    <w:rsid w:val="00B648BA"/>
    <w:rsid w:val="00B64DD4"/>
    <w:rsid w:val="00B65ABD"/>
    <w:rsid w:val="00B74B86"/>
    <w:rsid w:val="00B9513F"/>
    <w:rsid w:val="00BA0F8D"/>
    <w:rsid w:val="00BB36EC"/>
    <w:rsid w:val="00BB3B04"/>
    <w:rsid w:val="00BB6813"/>
    <w:rsid w:val="00BC09C3"/>
    <w:rsid w:val="00BE2043"/>
    <w:rsid w:val="00BE4750"/>
    <w:rsid w:val="00BF03A7"/>
    <w:rsid w:val="00BF4DC4"/>
    <w:rsid w:val="00BF7BA3"/>
    <w:rsid w:val="00C00320"/>
    <w:rsid w:val="00C01B9C"/>
    <w:rsid w:val="00C0492A"/>
    <w:rsid w:val="00C1677E"/>
    <w:rsid w:val="00C20B15"/>
    <w:rsid w:val="00C3339A"/>
    <w:rsid w:val="00C343B0"/>
    <w:rsid w:val="00C356AA"/>
    <w:rsid w:val="00C402D7"/>
    <w:rsid w:val="00C40540"/>
    <w:rsid w:val="00C40A8F"/>
    <w:rsid w:val="00C452E7"/>
    <w:rsid w:val="00C54B30"/>
    <w:rsid w:val="00C57503"/>
    <w:rsid w:val="00C6002D"/>
    <w:rsid w:val="00C667CA"/>
    <w:rsid w:val="00C67710"/>
    <w:rsid w:val="00C72998"/>
    <w:rsid w:val="00C770E5"/>
    <w:rsid w:val="00C77F9B"/>
    <w:rsid w:val="00C83F2C"/>
    <w:rsid w:val="00C84FEF"/>
    <w:rsid w:val="00C93AB0"/>
    <w:rsid w:val="00C95C3B"/>
    <w:rsid w:val="00CA7ADF"/>
    <w:rsid w:val="00CB4748"/>
    <w:rsid w:val="00CC020C"/>
    <w:rsid w:val="00CC0C6E"/>
    <w:rsid w:val="00CD2107"/>
    <w:rsid w:val="00CD3725"/>
    <w:rsid w:val="00CD4E53"/>
    <w:rsid w:val="00CD54F6"/>
    <w:rsid w:val="00CD751C"/>
    <w:rsid w:val="00CE4658"/>
    <w:rsid w:val="00CE483D"/>
    <w:rsid w:val="00CF49AA"/>
    <w:rsid w:val="00D01DFE"/>
    <w:rsid w:val="00D049DB"/>
    <w:rsid w:val="00D05A6F"/>
    <w:rsid w:val="00D07CC3"/>
    <w:rsid w:val="00D07FB9"/>
    <w:rsid w:val="00D15AED"/>
    <w:rsid w:val="00D1666E"/>
    <w:rsid w:val="00D24C82"/>
    <w:rsid w:val="00D31150"/>
    <w:rsid w:val="00D4003A"/>
    <w:rsid w:val="00D406D8"/>
    <w:rsid w:val="00D46728"/>
    <w:rsid w:val="00D55B83"/>
    <w:rsid w:val="00D62BD3"/>
    <w:rsid w:val="00D770CB"/>
    <w:rsid w:val="00D77972"/>
    <w:rsid w:val="00D81636"/>
    <w:rsid w:val="00D85C1F"/>
    <w:rsid w:val="00D90BA9"/>
    <w:rsid w:val="00D9117A"/>
    <w:rsid w:val="00D95D65"/>
    <w:rsid w:val="00D97842"/>
    <w:rsid w:val="00DA2CC6"/>
    <w:rsid w:val="00DA46A2"/>
    <w:rsid w:val="00DA60B8"/>
    <w:rsid w:val="00DA60EA"/>
    <w:rsid w:val="00DB0393"/>
    <w:rsid w:val="00DB2C5D"/>
    <w:rsid w:val="00DB3FB2"/>
    <w:rsid w:val="00DC7B19"/>
    <w:rsid w:val="00DD223D"/>
    <w:rsid w:val="00DD427B"/>
    <w:rsid w:val="00DE1404"/>
    <w:rsid w:val="00DE1BFE"/>
    <w:rsid w:val="00DF1643"/>
    <w:rsid w:val="00DF1ACD"/>
    <w:rsid w:val="00DF3955"/>
    <w:rsid w:val="00DF7C01"/>
    <w:rsid w:val="00E01EEF"/>
    <w:rsid w:val="00E0274B"/>
    <w:rsid w:val="00E045F8"/>
    <w:rsid w:val="00E258EB"/>
    <w:rsid w:val="00E3084B"/>
    <w:rsid w:val="00E31421"/>
    <w:rsid w:val="00E331B0"/>
    <w:rsid w:val="00E36EDD"/>
    <w:rsid w:val="00E50891"/>
    <w:rsid w:val="00E57A78"/>
    <w:rsid w:val="00E60840"/>
    <w:rsid w:val="00E62D19"/>
    <w:rsid w:val="00E65777"/>
    <w:rsid w:val="00E70390"/>
    <w:rsid w:val="00E728FC"/>
    <w:rsid w:val="00E81DB1"/>
    <w:rsid w:val="00E81E1D"/>
    <w:rsid w:val="00E82E3D"/>
    <w:rsid w:val="00E855C6"/>
    <w:rsid w:val="00E87ED9"/>
    <w:rsid w:val="00E91A03"/>
    <w:rsid w:val="00E91D70"/>
    <w:rsid w:val="00E93CD3"/>
    <w:rsid w:val="00E973D2"/>
    <w:rsid w:val="00EA2195"/>
    <w:rsid w:val="00EA3AEB"/>
    <w:rsid w:val="00EB3908"/>
    <w:rsid w:val="00EB5360"/>
    <w:rsid w:val="00EB60D0"/>
    <w:rsid w:val="00EC3BE5"/>
    <w:rsid w:val="00EC71BE"/>
    <w:rsid w:val="00ED7656"/>
    <w:rsid w:val="00EE346D"/>
    <w:rsid w:val="00EE5454"/>
    <w:rsid w:val="00EE73E4"/>
    <w:rsid w:val="00EF7AB0"/>
    <w:rsid w:val="00F13829"/>
    <w:rsid w:val="00F2148A"/>
    <w:rsid w:val="00F3111B"/>
    <w:rsid w:val="00F3521F"/>
    <w:rsid w:val="00F451E2"/>
    <w:rsid w:val="00F5316B"/>
    <w:rsid w:val="00F54000"/>
    <w:rsid w:val="00F55B07"/>
    <w:rsid w:val="00F57477"/>
    <w:rsid w:val="00F601CD"/>
    <w:rsid w:val="00F62FB8"/>
    <w:rsid w:val="00F704E2"/>
    <w:rsid w:val="00F71B31"/>
    <w:rsid w:val="00F76FBB"/>
    <w:rsid w:val="00F83656"/>
    <w:rsid w:val="00F90CF6"/>
    <w:rsid w:val="00F91274"/>
    <w:rsid w:val="00F977C3"/>
    <w:rsid w:val="00FA5768"/>
    <w:rsid w:val="00FA72F3"/>
    <w:rsid w:val="00FB4883"/>
    <w:rsid w:val="00FC1DFA"/>
    <w:rsid w:val="00FC611A"/>
    <w:rsid w:val="00FC6BEF"/>
    <w:rsid w:val="00FD39E6"/>
    <w:rsid w:val="00FE770A"/>
    <w:rsid w:val="00FF01BC"/>
    <w:rsid w:val="00FF1453"/>
    <w:rsid w:val="00FF145F"/>
    <w:rsid w:val="00FF3683"/>
    <w:rsid w:val="00FF4808"/>
    <w:rsid w:val="00FF5F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EE23C"/>
  <w15:chartTrackingRefBased/>
  <w15:docId w15:val="{A91B89F9-A556-43F3-A40D-67BE29CE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D19"/>
  </w:style>
  <w:style w:type="paragraph" w:styleId="Heading1">
    <w:name w:val="heading 1"/>
    <w:basedOn w:val="Normal"/>
    <w:link w:val="Heading1Char"/>
    <w:uiPriority w:val="9"/>
    <w:qFormat/>
    <w:rsid w:val="00BE20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paragraph" w:styleId="Heading2">
    <w:name w:val="heading 2"/>
    <w:basedOn w:val="Normal"/>
    <w:next w:val="Normal"/>
    <w:link w:val="Heading2Char"/>
    <w:uiPriority w:val="9"/>
    <w:semiHidden/>
    <w:unhideWhenUsed/>
    <w:qFormat/>
    <w:rsid w:val="009455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62D19"/>
    <w:pPr>
      <w:spacing w:after="0" w:line="240" w:lineRule="auto"/>
    </w:pPr>
    <w:rPr>
      <w:sz w:val="20"/>
      <w:szCs w:val="20"/>
    </w:rPr>
  </w:style>
  <w:style w:type="character" w:customStyle="1" w:styleId="FootnoteTextChar">
    <w:name w:val="Footnote Text Char"/>
    <w:basedOn w:val="DefaultParagraphFont"/>
    <w:link w:val="FootnoteText"/>
    <w:uiPriority w:val="99"/>
    <w:rsid w:val="00E62D19"/>
    <w:rPr>
      <w:sz w:val="20"/>
      <w:szCs w:val="20"/>
    </w:rPr>
  </w:style>
  <w:style w:type="character" w:styleId="FootnoteReference">
    <w:name w:val="footnote reference"/>
    <w:aliases w:val="Footnote Zchn,Footnote symbol Zchn,Footnote number Zchn,Ref Zchn,de nota al pie Zchn,de nota al pi... Zchn,Char Zchn,SUPERS Zchn,Voetnootmarkering Zchn,Char1 Zchn,Nota Zchn,fr Zchn,o Zchn,(NECG) Footnote Reference Zchn,Ref Char,C"/>
    <w:basedOn w:val="DefaultParagraphFont"/>
    <w:link w:val="Footnote"/>
    <w:uiPriority w:val="99"/>
    <w:unhideWhenUsed/>
    <w:rsid w:val="00E62D19"/>
    <w:rPr>
      <w:vertAlign w:val="superscript"/>
    </w:rPr>
  </w:style>
  <w:style w:type="table" w:styleId="TableGrid">
    <w:name w:val="Table Grid"/>
    <w:basedOn w:val="TableNormal"/>
    <w:uiPriority w:val="59"/>
    <w:rsid w:val="00E6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D19"/>
    <w:rPr>
      <w:color w:val="0000FF" w:themeColor="hyperlink"/>
      <w:u w:val="single"/>
    </w:rPr>
  </w:style>
  <w:style w:type="character" w:styleId="CommentReference">
    <w:name w:val="annotation reference"/>
    <w:basedOn w:val="DefaultParagraphFont"/>
    <w:uiPriority w:val="99"/>
    <w:semiHidden/>
    <w:unhideWhenUsed/>
    <w:rsid w:val="00E62D19"/>
    <w:rPr>
      <w:sz w:val="16"/>
      <w:szCs w:val="16"/>
    </w:rPr>
  </w:style>
  <w:style w:type="paragraph" w:styleId="CommentText">
    <w:name w:val="annotation text"/>
    <w:basedOn w:val="Normal"/>
    <w:link w:val="CommentTextChar"/>
    <w:uiPriority w:val="99"/>
    <w:semiHidden/>
    <w:unhideWhenUsed/>
    <w:rsid w:val="00E62D19"/>
    <w:pPr>
      <w:spacing w:line="240" w:lineRule="auto"/>
    </w:pPr>
    <w:rPr>
      <w:sz w:val="20"/>
      <w:szCs w:val="20"/>
    </w:rPr>
  </w:style>
  <w:style w:type="character" w:customStyle="1" w:styleId="CommentTextChar">
    <w:name w:val="Comment Text Char"/>
    <w:basedOn w:val="DefaultParagraphFont"/>
    <w:link w:val="CommentText"/>
    <w:uiPriority w:val="99"/>
    <w:semiHidden/>
    <w:rsid w:val="00E62D19"/>
    <w:rPr>
      <w:sz w:val="20"/>
      <w:szCs w:val="20"/>
    </w:rPr>
  </w:style>
  <w:style w:type="paragraph" w:styleId="ListParagraph">
    <w:name w:val="List Paragraph"/>
    <w:aliases w:val="List,FooterText,Paragraphe de liste1,List Paragraph (bulleted list),Bullet 1 List,Dot pt,F5 List Paragraph,List Paragraph1,No Spacing1,List Paragraph Char Char Char,Indicator Text,Colorful List - Accent 11,Numbered Para 1,Bullet 1,List1"/>
    <w:basedOn w:val="Normal"/>
    <w:link w:val="ListParagraphChar"/>
    <w:uiPriority w:val="34"/>
    <w:qFormat/>
    <w:rsid w:val="00E62D19"/>
    <w:pPr>
      <w:ind w:left="720"/>
      <w:contextualSpacing/>
    </w:pPr>
  </w:style>
  <w:style w:type="character" w:customStyle="1" w:styleId="ListParagraphChar">
    <w:name w:val="List Paragraph Char"/>
    <w:aliases w:val="List Char,FooterText Char,Paragraphe de liste1 Char,List Paragraph (bulleted list) Char,Bullet 1 List Char,Dot pt Char,F5 List Paragraph Char,List Paragraph1 Char,No Spacing1 Char,List Paragraph Char Char Char Char,Bullet 1 Char"/>
    <w:basedOn w:val="DefaultParagraphFont"/>
    <w:link w:val="ListParagraph"/>
    <w:uiPriority w:val="34"/>
    <w:qFormat/>
    <w:locked/>
    <w:rsid w:val="00E62D19"/>
  </w:style>
  <w:style w:type="paragraph" w:customStyle="1" w:styleId="Footnote">
    <w:name w:val="Footnote"/>
    <w:aliases w:val="Footnote symbol,Footnote number,Ref,de nota al pie,de nota al pi...,Char,SUPERS,Voetnootmarkering,Char1,Nota,fr,o,(NECG) Footnote Reference,Footnote Reference1 Car,Z_Footnote Text,Footnote Char,Footnote symbol Char,Ch, Char, Char1"/>
    <w:basedOn w:val="Normal"/>
    <w:link w:val="FootnoteReference"/>
    <w:uiPriority w:val="99"/>
    <w:rsid w:val="00E62D19"/>
    <w:pPr>
      <w:widowControl w:val="0"/>
      <w:adjustRightInd w:val="0"/>
      <w:spacing w:after="160" w:line="240" w:lineRule="exact"/>
      <w:textAlignment w:val="baseline"/>
    </w:pPr>
    <w:rPr>
      <w:vertAlign w:val="superscript"/>
    </w:rPr>
  </w:style>
  <w:style w:type="paragraph" w:styleId="BalloonText">
    <w:name w:val="Balloon Text"/>
    <w:basedOn w:val="Normal"/>
    <w:link w:val="BalloonTextChar"/>
    <w:uiPriority w:val="99"/>
    <w:semiHidden/>
    <w:unhideWhenUsed/>
    <w:rsid w:val="00E62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D1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74358"/>
    <w:rPr>
      <w:b/>
      <w:bCs/>
    </w:rPr>
  </w:style>
  <w:style w:type="character" w:customStyle="1" w:styleId="CommentSubjectChar">
    <w:name w:val="Comment Subject Char"/>
    <w:basedOn w:val="CommentTextChar"/>
    <w:link w:val="CommentSubject"/>
    <w:uiPriority w:val="99"/>
    <w:semiHidden/>
    <w:rsid w:val="00474358"/>
    <w:rPr>
      <w:b/>
      <w:bCs/>
      <w:sz w:val="20"/>
      <w:szCs w:val="20"/>
    </w:rPr>
  </w:style>
  <w:style w:type="paragraph" w:styleId="Header">
    <w:name w:val="header"/>
    <w:basedOn w:val="Normal"/>
    <w:link w:val="HeaderChar"/>
    <w:uiPriority w:val="99"/>
    <w:unhideWhenUsed/>
    <w:rsid w:val="00821B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BBB"/>
  </w:style>
  <w:style w:type="paragraph" w:styleId="Footer">
    <w:name w:val="footer"/>
    <w:basedOn w:val="Normal"/>
    <w:link w:val="FooterChar"/>
    <w:uiPriority w:val="99"/>
    <w:unhideWhenUsed/>
    <w:rsid w:val="00821B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BBB"/>
  </w:style>
  <w:style w:type="character" w:styleId="FollowedHyperlink">
    <w:name w:val="FollowedHyperlink"/>
    <w:basedOn w:val="DefaultParagraphFont"/>
    <w:uiPriority w:val="99"/>
    <w:semiHidden/>
    <w:unhideWhenUsed/>
    <w:rsid w:val="00C402D7"/>
    <w:rPr>
      <w:color w:val="800080" w:themeColor="followedHyperlink"/>
      <w:u w:val="single"/>
    </w:rPr>
  </w:style>
  <w:style w:type="character" w:customStyle="1" w:styleId="Marker">
    <w:name w:val="Marker"/>
    <w:basedOn w:val="DefaultParagraphFont"/>
    <w:rsid w:val="007259FE"/>
    <w:rPr>
      <w:color w:val="0000FF"/>
      <w:shd w:val="clear" w:color="auto" w:fill="auto"/>
    </w:rPr>
  </w:style>
  <w:style w:type="paragraph" w:customStyle="1" w:styleId="Pagedecouverture">
    <w:name w:val="Page de couverture"/>
    <w:basedOn w:val="Normal"/>
    <w:next w:val="Normal"/>
    <w:rsid w:val="007259FE"/>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7259FE"/>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7259FE"/>
    <w:rPr>
      <w:rFonts w:ascii="Times New Roman" w:hAnsi="Times New Roman" w:cs="Times New Roman"/>
      <w:sz w:val="24"/>
    </w:rPr>
  </w:style>
  <w:style w:type="paragraph" w:customStyle="1" w:styleId="FooterSensitivity">
    <w:name w:val="Footer Sensitivity"/>
    <w:basedOn w:val="Normal"/>
    <w:link w:val="FooterSensitivityChar"/>
    <w:rsid w:val="007259F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7259FE"/>
    <w:rPr>
      <w:rFonts w:ascii="Times New Roman" w:hAnsi="Times New Roman" w:cs="Times New Roman"/>
      <w:b/>
      <w:sz w:val="32"/>
    </w:rPr>
  </w:style>
  <w:style w:type="paragraph" w:customStyle="1" w:styleId="HeaderCoverPage">
    <w:name w:val="Header Cover Page"/>
    <w:basedOn w:val="Normal"/>
    <w:link w:val="HeaderCoverPageChar"/>
    <w:rsid w:val="007259FE"/>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7259FE"/>
    <w:rPr>
      <w:rFonts w:ascii="Times New Roman" w:hAnsi="Times New Roman" w:cs="Times New Roman"/>
      <w:sz w:val="24"/>
    </w:rPr>
  </w:style>
  <w:style w:type="paragraph" w:customStyle="1" w:styleId="HeaderSensitivity">
    <w:name w:val="Header Sensitivity"/>
    <w:basedOn w:val="Normal"/>
    <w:link w:val="HeaderSensitivityChar"/>
    <w:rsid w:val="007259FE"/>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7259FE"/>
    <w:rPr>
      <w:rFonts w:ascii="Times New Roman" w:hAnsi="Times New Roman" w:cs="Times New Roman"/>
      <w:b/>
      <w:sz w:val="32"/>
    </w:rPr>
  </w:style>
  <w:style w:type="paragraph" w:customStyle="1" w:styleId="HeaderSensitivityRight">
    <w:name w:val="Header Sensitivity Right"/>
    <w:basedOn w:val="Normal"/>
    <w:link w:val="HeaderSensitivityRightChar"/>
    <w:rsid w:val="007259F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7259FE"/>
    <w:rPr>
      <w:rFonts w:ascii="Times New Roman" w:hAnsi="Times New Roman" w:cs="Times New Roman"/>
      <w:sz w:val="28"/>
    </w:rPr>
  </w:style>
  <w:style w:type="character" w:customStyle="1" w:styleId="Heading1Char">
    <w:name w:val="Heading 1 Char"/>
    <w:basedOn w:val="DefaultParagraphFont"/>
    <w:link w:val="Heading1"/>
    <w:uiPriority w:val="9"/>
    <w:rsid w:val="00BE2043"/>
    <w:rPr>
      <w:rFonts w:ascii="Times New Roman" w:eastAsia="Times New Roman" w:hAnsi="Times New Roman" w:cs="Times New Roman"/>
      <w:b/>
      <w:bCs/>
      <w:kern w:val="36"/>
      <w:sz w:val="48"/>
      <w:szCs w:val="48"/>
      <w:lang w:eastAsia="ja-JP"/>
    </w:rPr>
  </w:style>
  <w:style w:type="paragraph" w:styleId="Revision">
    <w:name w:val="Revision"/>
    <w:hidden/>
    <w:uiPriority w:val="99"/>
    <w:semiHidden/>
    <w:rsid w:val="00C54B30"/>
    <w:pPr>
      <w:spacing w:after="0" w:line="240" w:lineRule="auto"/>
    </w:pPr>
  </w:style>
  <w:style w:type="paragraph" w:styleId="NormalWeb">
    <w:name w:val="Normal (Web)"/>
    <w:basedOn w:val="Normal"/>
    <w:uiPriority w:val="99"/>
    <w:unhideWhenUsed/>
    <w:rsid w:val="00115A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15A49"/>
    <w:rPr>
      <w:i/>
      <w:iCs/>
    </w:rPr>
  </w:style>
  <w:style w:type="character" w:customStyle="1" w:styleId="Heading2Char">
    <w:name w:val="Heading 2 Char"/>
    <w:basedOn w:val="DefaultParagraphFont"/>
    <w:link w:val="Heading2"/>
    <w:uiPriority w:val="9"/>
    <w:semiHidden/>
    <w:rsid w:val="009455F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9931">
      <w:bodyDiv w:val="1"/>
      <w:marLeft w:val="0"/>
      <w:marRight w:val="0"/>
      <w:marTop w:val="0"/>
      <w:marBottom w:val="0"/>
      <w:divBdr>
        <w:top w:val="none" w:sz="0" w:space="0" w:color="auto"/>
        <w:left w:val="none" w:sz="0" w:space="0" w:color="auto"/>
        <w:bottom w:val="none" w:sz="0" w:space="0" w:color="auto"/>
        <w:right w:val="none" w:sz="0" w:space="0" w:color="auto"/>
      </w:divBdr>
    </w:div>
    <w:div w:id="89784682">
      <w:bodyDiv w:val="1"/>
      <w:marLeft w:val="0"/>
      <w:marRight w:val="0"/>
      <w:marTop w:val="0"/>
      <w:marBottom w:val="0"/>
      <w:divBdr>
        <w:top w:val="none" w:sz="0" w:space="0" w:color="auto"/>
        <w:left w:val="none" w:sz="0" w:space="0" w:color="auto"/>
        <w:bottom w:val="none" w:sz="0" w:space="0" w:color="auto"/>
        <w:right w:val="none" w:sz="0" w:space="0" w:color="auto"/>
      </w:divBdr>
    </w:div>
    <w:div w:id="146944384">
      <w:bodyDiv w:val="1"/>
      <w:marLeft w:val="0"/>
      <w:marRight w:val="0"/>
      <w:marTop w:val="0"/>
      <w:marBottom w:val="0"/>
      <w:divBdr>
        <w:top w:val="none" w:sz="0" w:space="0" w:color="auto"/>
        <w:left w:val="none" w:sz="0" w:space="0" w:color="auto"/>
        <w:bottom w:val="none" w:sz="0" w:space="0" w:color="auto"/>
        <w:right w:val="none" w:sz="0" w:space="0" w:color="auto"/>
      </w:divBdr>
    </w:div>
    <w:div w:id="187380720">
      <w:bodyDiv w:val="1"/>
      <w:marLeft w:val="0"/>
      <w:marRight w:val="0"/>
      <w:marTop w:val="0"/>
      <w:marBottom w:val="0"/>
      <w:divBdr>
        <w:top w:val="none" w:sz="0" w:space="0" w:color="auto"/>
        <w:left w:val="none" w:sz="0" w:space="0" w:color="auto"/>
        <w:bottom w:val="none" w:sz="0" w:space="0" w:color="auto"/>
        <w:right w:val="none" w:sz="0" w:space="0" w:color="auto"/>
      </w:divBdr>
    </w:div>
    <w:div w:id="674184242">
      <w:bodyDiv w:val="1"/>
      <w:marLeft w:val="0"/>
      <w:marRight w:val="0"/>
      <w:marTop w:val="0"/>
      <w:marBottom w:val="0"/>
      <w:divBdr>
        <w:top w:val="none" w:sz="0" w:space="0" w:color="auto"/>
        <w:left w:val="none" w:sz="0" w:space="0" w:color="auto"/>
        <w:bottom w:val="none" w:sz="0" w:space="0" w:color="auto"/>
        <w:right w:val="none" w:sz="0" w:space="0" w:color="auto"/>
      </w:divBdr>
    </w:div>
    <w:div w:id="1288194329">
      <w:bodyDiv w:val="1"/>
      <w:marLeft w:val="0"/>
      <w:marRight w:val="0"/>
      <w:marTop w:val="0"/>
      <w:marBottom w:val="0"/>
      <w:divBdr>
        <w:top w:val="none" w:sz="0" w:space="0" w:color="auto"/>
        <w:left w:val="none" w:sz="0" w:space="0" w:color="auto"/>
        <w:bottom w:val="none" w:sz="0" w:space="0" w:color="auto"/>
        <w:right w:val="none" w:sz="0" w:space="0" w:color="auto"/>
      </w:divBdr>
    </w:div>
    <w:div w:id="1529374293">
      <w:bodyDiv w:val="1"/>
      <w:marLeft w:val="0"/>
      <w:marRight w:val="0"/>
      <w:marTop w:val="0"/>
      <w:marBottom w:val="0"/>
      <w:divBdr>
        <w:top w:val="none" w:sz="0" w:space="0" w:color="auto"/>
        <w:left w:val="none" w:sz="0" w:space="0" w:color="auto"/>
        <w:bottom w:val="none" w:sz="0" w:space="0" w:color="auto"/>
        <w:right w:val="none" w:sz="0" w:space="0" w:color="auto"/>
      </w:divBdr>
    </w:div>
    <w:div w:id="201425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a5c88a67-994f-11e9-9d01-01aa75ed71a1" TargetMode="External"/><Relationship Id="rId3" Type="http://schemas.openxmlformats.org/officeDocument/2006/relationships/hyperlink" Target="https://transport.ec.europa.eu/index_fi" TargetMode="External"/><Relationship Id="rId7" Type="http://schemas.openxmlformats.org/officeDocument/2006/relationships/hyperlink" Target="https://eur-lex.europa.eu/legal-content/FI/AUTO/?uri=celex:32007R1370" TargetMode="External"/><Relationship Id="rId2" Type="http://schemas.openxmlformats.org/officeDocument/2006/relationships/hyperlink" Target="https://ec.europa.eu/info/strategy/priorities-2019-2024/european-green-deal_fi" TargetMode="External"/><Relationship Id="rId1" Type="http://schemas.openxmlformats.org/officeDocument/2006/relationships/hyperlink" Target="https://webgate.ec.europa.eu/multisite/primeinfrastructure/system/files/prime_external_report_2019_final_210625_0.pdf" TargetMode="External"/><Relationship Id="rId6" Type="http://schemas.openxmlformats.org/officeDocument/2006/relationships/hyperlink" Target="https://europa.eu/eurobarometer/surveys/detail/2226" TargetMode="External"/><Relationship Id="rId5" Type="http://schemas.openxmlformats.org/officeDocument/2006/relationships/hyperlink" Target="https://transport.ec.europa.eu/media-corner/publications/statistical-pocketbook-2021_en" TargetMode="External"/><Relationship Id="rId4" Type="http://schemas.openxmlformats.org/officeDocument/2006/relationships/hyperlink" Target="https://transport.ec.europa.eu/transport-modes/rail/railway-packages_fi" TargetMode="External"/><Relationship Id="rId9" Type="http://schemas.openxmlformats.org/officeDocument/2006/relationships/hyperlink" Target="https://transport.ec.europa.eu/system/files/2020-09/swd20200138-exec-summ-certification-train-driver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00BAA2BDC50624484A2895BDF351283" ma:contentTypeVersion="4" ma:contentTypeDescription="Create a new document in this library." ma:contentTypeScope="" ma:versionID="7f46dfa725a3f45737e06bf16e09d00d">
  <xsd:schema xmlns:xsd="http://www.w3.org/2001/XMLSchema" xmlns:xs="http://www.w3.org/2001/XMLSchema" xmlns:p="http://schemas.microsoft.com/office/2006/metadata/properties" xmlns:ns3="9449bfb0-35ae-4932-9f86-343af1f5b264" targetNamespace="http://schemas.microsoft.com/office/2006/metadata/properties" ma:root="true" ma:fieldsID="3fbb5eba8422c4bd2315047cdbc88f5b" ns3:_="">
    <xsd:import namespace="9449bfb0-35ae-4932-9f86-343af1f5b264"/>
    <xsd:element name="properties">
      <xsd:complexType>
        <xsd:sequence>
          <xsd:element name="documentManagement">
            <xsd:complexType>
              <xsd:all>
                <xsd:element ref="ns3:EC_Collab_Reference" minOccurs="0"/>
                <xsd:element ref="ns3:EC_Collab_DocumentLanguage"/>
                <xsd:element ref="ns3:EC_Collab_Status"/>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9bfb0-35ae-4932-9f86-343af1f5b26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EC_ARES_NUMBER" ma:index="1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6" nillable="true" ma:displayName="Transferred to Ares" ma:format="DateTime" ma:hidden="true" ma:internalName="EC_ARES_DATE_TRANSFERRED">
      <xsd:simpleType>
        <xsd:restriction base="dms:DateTime"/>
      </xsd:simpleType>
    </xsd:element>
    <xsd:element name="EC_ARES_TRANSFERRED_BY" ma:index="17"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ARES_NUMBER xmlns="9449bfb0-35ae-4932-9f86-343af1f5b264">
      <Url xsi:nil="true"/>
      <Description xsi:nil="true"/>
    </EC_ARES_NUMBER>
    <EC_ARES_DATE_TRANSFERRED xmlns="9449bfb0-35ae-4932-9f86-343af1f5b264" xsi:nil="true"/>
    <EC_ARES_TRANSFERRED_BY xmlns="9449bfb0-35ae-4932-9f86-343af1f5b264" xsi:nil="true"/>
    <EC_Collab_Reference xmlns="9449bfb0-35ae-4932-9f86-343af1f5b264" xsi:nil="true"/>
    <EC_Collab_DocumentLanguage xmlns="9449bfb0-35ae-4932-9f86-343af1f5b264">EN</EC_Collab_DocumentLanguage>
    <EC_Collab_Status xmlns="9449bfb0-35ae-4932-9f86-343af1f5b264">Not Started</EC_Collab_Statu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57B515C-943F-4EE0-A3E3-CF43BD736CF7}">
  <ds:schemaRefs>
    <ds:schemaRef ds:uri="http://schemas.microsoft.com/sharepoint/v3/contenttype/forms"/>
  </ds:schemaRefs>
</ds:datastoreItem>
</file>

<file path=customXml/itemProps2.xml><?xml version="1.0" encoding="utf-8"?>
<ds:datastoreItem xmlns:ds="http://schemas.openxmlformats.org/officeDocument/2006/customXml" ds:itemID="{D51C2226-4A93-4426-A8EE-2246EDEF9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9bfb0-35ae-4932-9f86-343af1f5b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6B892F-753E-445E-B5CF-6194249EB39D}">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9449bfb0-35ae-4932-9f86-343af1f5b264"/>
    <ds:schemaRef ds:uri="http://www.w3.org/XML/1998/namespace"/>
    <ds:schemaRef ds:uri="http://purl.org/dc/dcmitype/"/>
  </ds:schemaRefs>
</ds:datastoreItem>
</file>

<file path=customXml/itemProps4.xml><?xml version="1.0" encoding="utf-8"?>
<ds:datastoreItem xmlns:ds="http://schemas.openxmlformats.org/officeDocument/2006/customXml" ds:itemID="{74809F90-6260-43E1-A80E-CBC0EED8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5376</Words>
  <Characters>48985</Characters>
  <Application>Microsoft Office Word</Application>
  <DocSecurity>0</DocSecurity>
  <Lines>709</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34</cp:revision>
  <cp:lastPrinted>2021-09-23T13:17:00Z</cp:lastPrinted>
  <dcterms:created xsi:type="dcterms:W3CDTF">2021-12-12T12:06:00Z</dcterms:created>
  <dcterms:modified xsi:type="dcterms:W3CDTF">2022-01-26T15:25:00Z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CP-012</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LW_INVALIDATED__LW_INVALIDATED_ContentTypeId">
    <vt:lpwstr>0x010100258AA79CEB83498886A3A0868112325000000BAA2BDC50624484A2895BDF351283</vt:lpwstr>
  </property>
  <property name="OP_sanitized" fmtid="{D5CDD505-2E9C-101B-9397-08002B2CF9AE}" pid="10">
    <vt:lpwstr>True</vt:lpwstr>
  </property>
</Properties>
</file>