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alt="0C4D8312-8ECF-4157-AC5D-1521F8EECDA8" style="width:455.25pt;height:337.5pt">
            <v:imagedata r:id="rId12" o:title=""/>
          </v:shape>
        </w:pict>
      </w:r>
    </w:p>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bookmarkStart w:id="1" w:name="_Hlk516480556"/>
      <w:bookmarkEnd w:id="1"/>
      <w:bookmarkEnd w:id="0"/>
    </w:p>
    <w:bookmarkStart w:id="2" w:name="_GoBack" w:displacedByCustomXml="next"/>
    <w:bookmarkEnd w:id="2" w:displacedByCustomXml="next"/>
    <w:sdt>
      <w:sdtPr>
        <w:rPr>
          <w:rFonts w:ascii="Times New Roman" w:eastAsia="Times New Roman" w:hAnsi="Times New Roman" w:cs="Times New Roman"/>
          <w:noProof/>
          <w:color w:val="auto"/>
          <w:sz w:val="24"/>
          <w:szCs w:val="24"/>
        </w:rPr>
        <w:id w:val="-46372658"/>
        <w:docPartObj>
          <w:docPartGallery w:val="Table of Contents"/>
          <w:docPartUnique/>
        </w:docPartObj>
      </w:sdtPr>
      <w:sdtEndPr>
        <w:rPr>
          <w:b/>
          <w:bCs/>
        </w:rPr>
      </w:sdtEndPr>
      <w:sdtContent>
        <w:p>
          <w:pPr>
            <w:pStyle w:val="TOCHeading"/>
            <w:spacing w:after="120" w:line="240" w:lineRule="auto"/>
            <w:rPr>
              <w:rFonts w:ascii="Times New Roman" w:hAnsi="Times New Roman" w:cs="Times New Roman"/>
              <w:b/>
              <w:noProof/>
              <w:color w:val="auto"/>
              <w:sz w:val="24"/>
              <w:szCs w:val="24"/>
            </w:rPr>
          </w:pPr>
          <w:r>
            <w:rPr>
              <w:rFonts w:ascii="Times New Roman" w:hAnsi="Times New Roman"/>
              <w:b/>
              <w:noProof/>
              <w:color w:val="auto"/>
              <w:sz w:val="24"/>
              <w:szCs w:val="24"/>
            </w:rPr>
            <w:t>Sisällysluettelo</w:t>
          </w:r>
        </w:p>
        <w:p>
          <w:pPr>
            <w:rPr>
              <w:noProof/>
              <w:sz w:val="24"/>
              <w:szCs w:val="24"/>
              <w:lang w:val="en-GB"/>
            </w:rPr>
          </w:pPr>
        </w:p>
        <w:p>
          <w:pPr>
            <w:pStyle w:val="TOC1"/>
            <w:rPr>
              <w:rFonts w:asciiTheme="minorHAnsi" w:eastAsiaTheme="minorEastAsia" w:hAnsiTheme="minorHAnsi" w:cstheme="minorBidi"/>
              <w:noProof/>
              <w:lang w:val="en-US"/>
            </w:rPr>
          </w:pPr>
          <w:r>
            <w:rPr>
              <w:noProof/>
              <w:sz w:val="24"/>
              <w:szCs w:val="24"/>
            </w:rPr>
            <w:fldChar w:fldCharType="begin"/>
          </w:r>
          <w:r>
            <w:rPr>
              <w:noProof/>
              <w:sz w:val="24"/>
              <w:szCs w:val="24"/>
            </w:rPr>
            <w:instrText xml:space="preserve"> TOC \o "1-3" \h \z \u </w:instrText>
          </w:r>
          <w:r>
            <w:rPr>
              <w:noProof/>
              <w:sz w:val="24"/>
              <w:szCs w:val="24"/>
            </w:rPr>
            <w:fldChar w:fldCharType="separate"/>
          </w:r>
          <w:hyperlink w:anchor="_Toc76037697" w:history="1">
            <w:r>
              <w:rPr>
                <w:rStyle w:val="Hyperlink"/>
                <w:smallCaps/>
                <w:noProof/>
              </w:rPr>
              <w:t>1.</w:t>
            </w:r>
            <w:r>
              <w:rPr>
                <w:rFonts w:asciiTheme="minorHAnsi" w:eastAsiaTheme="minorEastAsia" w:hAnsiTheme="minorHAnsi" w:cstheme="minorBidi"/>
                <w:noProof/>
                <w:lang w:val="en-US"/>
              </w:rPr>
              <w:tab/>
            </w:r>
            <w:r>
              <w:rPr>
                <w:rStyle w:val="Hyperlink"/>
                <w:smallCaps/>
                <w:noProof/>
              </w:rPr>
              <w:t>JOHDANTO</w:t>
            </w:r>
            <w:r>
              <w:rPr>
                <w:noProof/>
                <w:webHidden/>
              </w:rPr>
              <w:tab/>
            </w:r>
            <w:r>
              <w:rPr>
                <w:noProof/>
                <w:webHidden/>
              </w:rPr>
              <w:fldChar w:fldCharType="begin"/>
            </w:r>
            <w:r>
              <w:rPr>
                <w:noProof/>
                <w:webHidden/>
              </w:rPr>
              <w:instrText xml:space="preserve"> PAGEREF _Toc76037697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cstheme="minorBidi"/>
              <w:noProof/>
              <w:lang w:val="en-US"/>
            </w:rPr>
          </w:pPr>
          <w:hyperlink w:anchor="_Toc76037698" w:history="1">
            <w:r>
              <w:rPr>
                <w:rStyle w:val="Hyperlink"/>
                <w:smallCaps/>
                <w:noProof/>
              </w:rPr>
              <w:t>2.</w:t>
            </w:r>
            <w:r>
              <w:rPr>
                <w:rFonts w:asciiTheme="minorHAnsi" w:eastAsiaTheme="minorEastAsia" w:hAnsiTheme="minorHAnsi" w:cstheme="minorBidi"/>
                <w:noProof/>
                <w:lang w:val="en-US"/>
              </w:rPr>
              <w:tab/>
            </w:r>
            <w:r>
              <w:rPr>
                <w:rStyle w:val="Hyperlink"/>
                <w:smallCaps/>
                <w:noProof/>
              </w:rPr>
              <w:t>TAVOITTEET</w:t>
            </w:r>
            <w:r>
              <w:rPr>
                <w:noProof/>
                <w:webHidden/>
              </w:rPr>
              <w:tab/>
            </w:r>
            <w:r>
              <w:rPr>
                <w:noProof/>
                <w:webHidden/>
              </w:rPr>
              <w:fldChar w:fldCharType="begin"/>
            </w:r>
            <w:r>
              <w:rPr>
                <w:noProof/>
                <w:webHidden/>
              </w:rPr>
              <w:instrText xml:space="preserve"> PAGEREF _Toc76037698 \h </w:instrText>
            </w:r>
            <w:r>
              <w:rPr>
                <w:noProof/>
                <w:webHidden/>
              </w:rPr>
            </w:r>
            <w:r>
              <w:rPr>
                <w:noProof/>
                <w:webHidden/>
              </w:rPr>
              <w:fldChar w:fldCharType="separate"/>
            </w:r>
            <w:r>
              <w:rPr>
                <w:noProof/>
                <w:webHidden/>
              </w:rPr>
              <w:t>4</w:t>
            </w:r>
            <w:r>
              <w:rPr>
                <w:noProof/>
                <w:webHidden/>
              </w:rPr>
              <w:fldChar w:fldCharType="end"/>
            </w:r>
          </w:hyperlink>
        </w:p>
        <w:p>
          <w:pPr>
            <w:pStyle w:val="TOC1"/>
            <w:rPr>
              <w:rFonts w:asciiTheme="minorHAnsi" w:eastAsiaTheme="minorEastAsia" w:hAnsiTheme="minorHAnsi" w:cstheme="minorBidi"/>
              <w:noProof/>
              <w:lang w:val="en-US"/>
            </w:rPr>
          </w:pPr>
          <w:hyperlink w:anchor="_Toc76037699" w:history="1">
            <w:r>
              <w:rPr>
                <w:rStyle w:val="Hyperlink"/>
                <w:smallCaps/>
                <w:noProof/>
              </w:rPr>
              <w:t>3.</w:t>
            </w:r>
            <w:r>
              <w:rPr>
                <w:rFonts w:asciiTheme="minorHAnsi" w:eastAsiaTheme="minorEastAsia" w:hAnsiTheme="minorHAnsi" w:cstheme="minorBidi"/>
                <w:noProof/>
                <w:lang w:val="en-US"/>
              </w:rPr>
              <w:tab/>
            </w:r>
            <w:r>
              <w:rPr>
                <w:rStyle w:val="Hyperlink"/>
                <w:smallCaps/>
                <w:noProof/>
              </w:rPr>
              <w:t>HANKKEEN RAKENNE JA SUUNNITTELUN LÄHESTYMISTAPA</w:t>
            </w:r>
            <w:r>
              <w:rPr>
                <w:noProof/>
                <w:webHidden/>
              </w:rPr>
              <w:tab/>
            </w:r>
            <w:r>
              <w:rPr>
                <w:noProof/>
                <w:webHidden/>
              </w:rPr>
              <w:fldChar w:fldCharType="begin"/>
            </w:r>
            <w:r>
              <w:rPr>
                <w:noProof/>
                <w:webHidden/>
              </w:rPr>
              <w:instrText xml:space="preserve"> PAGEREF _Toc76037699 \h </w:instrText>
            </w:r>
            <w:r>
              <w:rPr>
                <w:noProof/>
                <w:webHidden/>
              </w:rPr>
            </w:r>
            <w:r>
              <w:rPr>
                <w:noProof/>
                <w:webHidden/>
              </w:rPr>
              <w:fldChar w:fldCharType="separate"/>
            </w:r>
            <w:r>
              <w:rPr>
                <w:noProof/>
                <w:webHidden/>
              </w:rPr>
              <w:t>4</w:t>
            </w:r>
            <w:r>
              <w:rPr>
                <w:noProof/>
                <w:webHidden/>
              </w:rPr>
              <w:fldChar w:fldCharType="end"/>
            </w:r>
          </w:hyperlink>
        </w:p>
        <w:p>
          <w:pPr>
            <w:pStyle w:val="TOC1"/>
            <w:rPr>
              <w:rFonts w:asciiTheme="minorHAnsi" w:eastAsiaTheme="minorEastAsia" w:hAnsiTheme="minorHAnsi" w:cstheme="minorBidi"/>
              <w:noProof/>
              <w:lang w:val="en-US"/>
            </w:rPr>
          </w:pPr>
          <w:hyperlink w:anchor="_Toc76037700" w:history="1">
            <w:r>
              <w:rPr>
                <w:rStyle w:val="Hyperlink"/>
                <w:smallCaps/>
                <w:noProof/>
              </w:rPr>
              <w:t>4.</w:t>
            </w:r>
            <w:r>
              <w:rPr>
                <w:rFonts w:asciiTheme="minorHAnsi" w:eastAsiaTheme="minorEastAsia" w:hAnsiTheme="minorHAnsi" w:cstheme="minorBidi"/>
                <w:noProof/>
                <w:lang w:val="en-US"/>
              </w:rPr>
              <w:tab/>
            </w:r>
            <w:r>
              <w:rPr>
                <w:rStyle w:val="Hyperlink"/>
                <w:smallCaps/>
                <w:noProof/>
              </w:rPr>
              <w:t>EDISTYMISKATSAUS</w:t>
            </w:r>
            <w:r>
              <w:rPr>
                <w:noProof/>
                <w:webHidden/>
              </w:rPr>
              <w:tab/>
            </w:r>
            <w:r>
              <w:rPr>
                <w:noProof/>
                <w:webHidden/>
              </w:rPr>
              <w:fldChar w:fldCharType="begin"/>
            </w:r>
            <w:r>
              <w:rPr>
                <w:noProof/>
                <w:webHidden/>
              </w:rPr>
              <w:instrText xml:space="preserve"> PAGEREF _Toc76037700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noProof/>
              <w:lang w:val="en-US"/>
            </w:rPr>
          </w:pPr>
          <w:hyperlink w:anchor="_Toc76037701" w:history="1">
            <w:r>
              <w:rPr>
                <w:rStyle w:val="Hyperlink"/>
                <w:noProof/>
              </w:rPr>
              <w:t>Täytäntöönpanosäännösten hyväksyminen</w:t>
            </w:r>
            <w:r>
              <w:rPr>
                <w:noProof/>
                <w:webHidden/>
              </w:rPr>
              <w:tab/>
            </w:r>
            <w:r>
              <w:rPr>
                <w:noProof/>
                <w:webHidden/>
              </w:rPr>
              <w:fldChar w:fldCharType="begin"/>
            </w:r>
            <w:r>
              <w:rPr>
                <w:noProof/>
                <w:webHidden/>
              </w:rPr>
              <w:instrText xml:space="preserve"> PAGEREF _Toc76037701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noProof/>
              <w:lang w:val="en-US"/>
            </w:rPr>
          </w:pPr>
          <w:hyperlink w:anchor="_Toc76037702" w:history="1">
            <w:r>
              <w:rPr>
                <w:rStyle w:val="Hyperlink"/>
                <w:noProof/>
              </w:rPr>
              <w:t>Hankkeen kehittäminen – työskentely hankeryhmän kanssa</w:t>
            </w:r>
            <w:r>
              <w:rPr>
                <w:noProof/>
                <w:webHidden/>
              </w:rPr>
              <w:tab/>
            </w:r>
            <w:r>
              <w:rPr>
                <w:noProof/>
                <w:webHidden/>
              </w:rPr>
              <w:fldChar w:fldCharType="begin"/>
            </w:r>
            <w:r>
              <w:rPr>
                <w:noProof/>
                <w:webHidden/>
              </w:rPr>
              <w:instrText xml:space="preserve"> PAGEREF _Toc76037702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lang w:val="en-US"/>
            </w:rPr>
          </w:pPr>
          <w:hyperlink w:anchor="_Toc76037703" w:history="1">
            <w:r>
              <w:rPr>
                <w:rStyle w:val="Hyperlink"/>
                <w:noProof/>
              </w:rPr>
              <w:t>Käsitteellinen suunnittelu – toimintamalli</w:t>
            </w:r>
            <w:r>
              <w:rPr>
                <w:noProof/>
                <w:webHidden/>
              </w:rPr>
              <w:tab/>
            </w:r>
            <w:r>
              <w:rPr>
                <w:noProof/>
                <w:webHidden/>
              </w:rPr>
              <w:fldChar w:fldCharType="begin"/>
            </w:r>
            <w:r>
              <w:rPr>
                <w:noProof/>
                <w:webHidden/>
              </w:rPr>
              <w:instrText xml:space="preserve"> PAGEREF _Toc76037703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lang w:val="en-US"/>
            </w:rPr>
          </w:pPr>
          <w:hyperlink w:anchor="_Toc76037704" w:history="1">
            <w:r>
              <w:rPr>
                <w:rStyle w:val="Hyperlink"/>
                <w:noProof/>
              </w:rPr>
              <w:t>Hankkeen määrittely – kehittämisasiakirja</w:t>
            </w:r>
            <w:r>
              <w:rPr>
                <w:noProof/>
                <w:webHidden/>
              </w:rPr>
              <w:tab/>
            </w:r>
            <w:r>
              <w:rPr>
                <w:noProof/>
                <w:webHidden/>
              </w:rPr>
              <w:fldChar w:fldCharType="begin"/>
            </w:r>
            <w:r>
              <w:rPr>
                <w:noProof/>
                <w:webHidden/>
              </w:rPr>
              <w:instrText xml:space="preserve"> PAGEREF _Toc76037704 \h </w:instrText>
            </w:r>
            <w:r>
              <w:rPr>
                <w:noProof/>
                <w:webHidden/>
              </w:rPr>
            </w:r>
            <w:r>
              <w:rPr>
                <w:noProof/>
                <w:webHidden/>
              </w:rPr>
              <w:fldChar w:fldCharType="separate"/>
            </w:r>
            <w:r>
              <w:rPr>
                <w:noProof/>
                <w:webHidden/>
              </w:rPr>
              <w:t>8</w:t>
            </w:r>
            <w:r>
              <w:rPr>
                <w:noProof/>
                <w:webHidden/>
              </w:rPr>
              <w:fldChar w:fldCharType="end"/>
            </w:r>
          </w:hyperlink>
        </w:p>
        <w:p>
          <w:pPr>
            <w:pStyle w:val="TOC1"/>
            <w:rPr>
              <w:rFonts w:asciiTheme="minorHAnsi" w:eastAsiaTheme="minorEastAsia" w:hAnsiTheme="minorHAnsi" w:cstheme="minorBidi"/>
              <w:noProof/>
              <w:lang w:val="en-US"/>
            </w:rPr>
          </w:pPr>
          <w:hyperlink w:anchor="_Toc76037705" w:history="1">
            <w:r>
              <w:rPr>
                <w:rStyle w:val="Hyperlink"/>
                <w:smallCaps/>
                <w:noProof/>
              </w:rPr>
              <w:t>5.</w:t>
            </w:r>
            <w:r>
              <w:rPr>
                <w:rFonts w:asciiTheme="minorHAnsi" w:eastAsiaTheme="minorEastAsia" w:hAnsiTheme="minorHAnsi" w:cstheme="minorBidi"/>
                <w:noProof/>
                <w:lang w:val="en-US"/>
              </w:rPr>
              <w:tab/>
            </w:r>
            <w:r>
              <w:rPr>
                <w:rStyle w:val="Hyperlink"/>
                <w:smallCaps/>
                <w:noProof/>
              </w:rPr>
              <w:t>VIIVÄSTYMISRISKIT</w:t>
            </w:r>
            <w:r>
              <w:rPr>
                <w:noProof/>
                <w:webHidden/>
              </w:rPr>
              <w:tab/>
            </w:r>
            <w:r>
              <w:rPr>
                <w:noProof/>
                <w:webHidden/>
              </w:rPr>
              <w:fldChar w:fldCharType="begin"/>
            </w:r>
            <w:r>
              <w:rPr>
                <w:noProof/>
                <w:webHidden/>
              </w:rPr>
              <w:instrText xml:space="preserve"> PAGEREF _Toc76037705 \h </w:instrText>
            </w:r>
            <w:r>
              <w:rPr>
                <w:noProof/>
                <w:webHidden/>
              </w:rPr>
            </w:r>
            <w:r>
              <w:rPr>
                <w:noProof/>
                <w:webHidden/>
              </w:rPr>
              <w:fldChar w:fldCharType="separate"/>
            </w:r>
            <w:r>
              <w:rPr>
                <w:noProof/>
                <w:webHidden/>
              </w:rPr>
              <w:t>8</w:t>
            </w:r>
            <w:r>
              <w:rPr>
                <w:noProof/>
                <w:webHidden/>
              </w:rPr>
              <w:fldChar w:fldCharType="end"/>
            </w:r>
          </w:hyperlink>
        </w:p>
        <w:p>
          <w:pPr>
            <w:pStyle w:val="TOC1"/>
            <w:rPr>
              <w:rFonts w:asciiTheme="minorHAnsi" w:eastAsiaTheme="minorEastAsia" w:hAnsiTheme="minorHAnsi" w:cstheme="minorBidi"/>
              <w:noProof/>
              <w:lang w:val="en-US"/>
            </w:rPr>
          </w:pPr>
          <w:hyperlink w:anchor="_Toc76037706" w:history="1">
            <w:r>
              <w:rPr>
                <w:rStyle w:val="Hyperlink"/>
                <w:smallCaps/>
                <w:noProof/>
              </w:rPr>
              <w:t>6.</w:t>
            </w:r>
            <w:r>
              <w:rPr>
                <w:rFonts w:asciiTheme="minorHAnsi" w:eastAsiaTheme="minorEastAsia" w:hAnsiTheme="minorHAnsi" w:cstheme="minorBidi"/>
                <w:noProof/>
                <w:lang w:val="en-US"/>
              </w:rPr>
              <w:tab/>
            </w:r>
            <w:r>
              <w:rPr>
                <w:rStyle w:val="Hyperlink"/>
                <w:smallCaps/>
                <w:noProof/>
              </w:rPr>
              <w:t>PÄÄTELMÄT</w:t>
            </w:r>
            <w:r>
              <w:rPr>
                <w:noProof/>
                <w:webHidden/>
              </w:rPr>
              <w:tab/>
            </w:r>
            <w:r>
              <w:rPr>
                <w:noProof/>
                <w:webHidden/>
              </w:rPr>
              <w:fldChar w:fldCharType="begin"/>
            </w:r>
            <w:r>
              <w:rPr>
                <w:noProof/>
                <w:webHidden/>
              </w:rPr>
              <w:instrText xml:space="preserve"> PAGEREF _Toc76037706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lang w:val="en-US"/>
            </w:rPr>
          </w:pPr>
          <w:hyperlink w:anchor="_Toc76037707" w:history="1">
            <w:r>
              <w:rPr>
                <w:rStyle w:val="Hyperlink"/>
                <w:noProof/>
              </w:rPr>
              <w:t>Liite I: Monivuotinen strategiasuunnittelu</w:t>
            </w:r>
            <w:r>
              <w:rPr>
                <w:noProof/>
                <w:webHidden/>
              </w:rPr>
              <w:tab/>
            </w:r>
            <w:r>
              <w:rPr>
                <w:noProof/>
                <w:webHidden/>
              </w:rPr>
              <w:fldChar w:fldCharType="begin"/>
            </w:r>
            <w:r>
              <w:rPr>
                <w:noProof/>
                <w:webHidden/>
              </w:rPr>
              <w:instrText xml:space="preserve"> PAGEREF _Toc76037707 \h </w:instrText>
            </w:r>
            <w:r>
              <w:rPr>
                <w:noProof/>
                <w:webHidden/>
              </w:rPr>
            </w:r>
            <w:r>
              <w:rPr>
                <w:noProof/>
                <w:webHidden/>
              </w:rPr>
              <w:fldChar w:fldCharType="separate"/>
            </w:r>
            <w:r>
              <w:rPr>
                <w:noProof/>
                <w:webHidden/>
              </w:rPr>
              <w:t>10</w:t>
            </w:r>
            <w:r>
              <w:rPr>
                <w:noProof/>
                <w:webHidden/>
              </w:rPr>
              <w:fldChar w:fldCharType="end"/>
            </w:r>
          </w:hyperlink>
        </w:p>
        <w:p>
          <w:pPr>
            <w:pStyle w:val="TOC1"/>
            <w:rPr>
              <w:rFonts w:asciiTheme="minorHAnsi" w:eastAsiaTheme="minorEastAsia" w:hAnsiTheme="minorHAnsi" w:cstheme="minorBidi"/>
              <w:noProof/>
              <w:lang w:val="en-US"/>
            </w:rPr>
          </w:pPr>
          <w:hyperlink w:anchor="_Toc76037708" w:history="1">
            <w:r>
              <w:rPr>
                <w:rStyle w:val="Hyperlink"/>
                <w:noProof/>
              </w:rPr>
              <w:t>Liite II: Hankkeen päävaiheet ja kriittisten välitavoitteiden aikataulu</w:t>
            </w:r>
            <w:r>
              <w:rPr>
                <w:noProof/>
                <w:webHidden/>
              </w:rPr>
              <w:tab/>
            </w:r>
            <w:r>
              <w:rPr>
                <w:noProof/>
                <w:webHidden/>
              </w:rPr>
              <w:fldChar w:fldCharType="begin"/>
            </w:r>
            <w:r>
              <w:rPr>
                <w:noProof/>
                <w:webHidden/>
              </w:rPr>
              <w:instrText xml:space="preserve"> PAGEREF _Toc76037708 \h </w:instrText>
            </w:r>
            <w:r>
              <w:rPr>
                <w:noProof/>
                <w:webHidden/>
              </w:rPr>
            </w:r>
            <w:r>
              <w:rPr>
                <w:noProof/>
                <w:webHidden/>
              </w:rPr>
              <w:fldChar w:fldCharType="separate"/>
            </w:r>
            <w:r>
              <w:rPr>
                <w:noProof/>
                <w:webHidden/>
              </w:rPr>
              <w:t>12</w:t>
            </w:r>
            <w:r>
              <w:rPr>
                <w:noProof/>
                <w:webHidden/>
              </w:rPr>
              <w:fldChar w:fldCharType="end"/>
            </w:r>
          </w:hyperlink>
        </w:p>
        <w:p>
          <w:pPr>
            <w:rPr>
              <w:noProof/>
              <w:sz w:val="24"/>
              <w:szCs w:val="24"/>
            </w:rPr>
          </w:pPr>
          <w:r>
            <w:rPr>
              <w:b/>
              <w:bCs/>
              <w:noProof/>
              <w:sz w:val="24"/>
              <w:szCs w:val="24"/>
            </w:rPr>
            <w:fldChar w:fldCharType="end"/>
          </w:r>
        </w:p>
      </w:sdtContent>
    </w:sdt>
    <w:p>
      <w:pPr>
        <w:spacing w:after="160" w:line="259" w:lineRule="auto"/>
        <w:jc w:val="left"/>
        <w:rPr>
          <w:b/>
          <w:noProof/>
          <w:sz w:val="24"/>
          <w:szCs w:val="24"/>
        </w:rPr>
      </w:pPr>
      <w:r>
        <w:rPr>
          <w:noProof/>
        </w:rPr>
        <w:br w:type="page"/>
      </w:r>
      <w:r>
        <w:rPr>
          <w:b/>
          <w:noProof/>
          <w:sz w:val="24"/>
          <w:szCs w:val="24"/>
        </w:rPr>
        <w:lastRenderedPageBreak/>
        <w:t>SANASTO</w:t>
      </w:r>
    </w:p>
    <w:tbl>
      <w:tblPr>
        <w:tblStyle w:val="TableGrid"/>
        <w:tblW w:w="0" w:type="auto"/>
        <w:tblLook w:val="04A0" w:firstRow="1" w:lastRow="0" w:firstColumn="1" w:lastColumn="0" w:noHBand="0" w:noVBand="1"/>
      </w:tblPr>
      <w:tblGrid>
        <w:gridCol w:w="3510"/>
        <w:gridCol w:w="5702"/>
      </w:tblGrid>
      <w:tr>
        <w:tc>
          <w:tcPr>
            <w:tcW w:w="3510" w:type="dxa"/>
            <w:vAlign w:val="center"/>
          </w:tcPr>
          <w:p>
            <w:pPr>
              <w:spacing w:before="120" w:line="259" w:lineRule="auto"/>
              <w:jc w:val="left"/>
              <w:rPr>
                <w:b/>
                <w:noProof/>
                <w:sz w:val="24"/>
                <w:szCs w:val="24"/>
              </w:rPr>
            </w:pPr>
            <w:r>
              <w:rPr>
                <w:b/>
                <w:noProof/>
                <w:sz w:val="24"/>
                <w:szCs w:val="24"/>
              </w:rPr>
              <w:t>Toimintamalli</w:t>
            </w:r>
          </w:p>
        </w:tc>
        <w:tc>
          <w:tcPr>
            <w:tcW w:w="5702" w:type="dxa"/>
            <w:vAlign w:val="center"/>
          </w:tcPr>
          <w:p>
            <w:pPr>
              <w:spacing w:before="120" w:line="259" w:lineRule="auto"/>
              <w:jc w:val="left"/>
              <w:rPr>
                <w:noProof/>
              </w:rPr>
            </w:pPr>
            <w:r>
              <w:rPr>
                <w:noProof/>
              </w:rPr>
              <w:t xml:space="preserve">Asiakirja, jossa esitetään tietotekniikkahankkeen perustelut ja määritetään rahoitustarpeet. </w:t>
            </w:r>
          </w:p>
        </w:tc>
      </w:tr>
      <w:tr>
        <w:tc>
          <w:tcPr>
            <w:tcW w:w="3510" w:type="dxa"/>
            <w:vAlign w:val="center"/>
          </w:tcPr>
          <w:p>
            <w:pPr>
              <w:spacing w:before="120" w:line="259" w:lineRule="auto"/>
              <w:jc w:val="left"/>
              <w:rPr>
                <w:b/>
                <w:noProof/>
                <w:sz w:val="24"/>
                <w:szCs w:val="24"/>
              </w:rPr>
            </w:pPr>
            <w:r>
              <w:rPr>
                <w:b/>
                <w:noProof/>
                <w:sz w:val="24"/>
                <w:szCs w:val="24"/>
              </w:rPr>
              <w:t>Kehittämisasiakirja</w:t>
            </w:r>
          </w:p>
        </w:tc>
        <w:tc>
          <w:tcPr>
            <w:tcW w:w="5702" w:type="dxa"/>
            <w:vAlign w:val="center"/>
          </w:tcPr>
          <w:p>
            <w:pPr>
              <w:spacing w:before="120" w:line="259" w:lineRule="auto"/>
              <w:jc w:val="left"/>
              <w:rPr>
                <w:noProof/>
              </w:rPr>
            </w:pPr>
            <w:r>
              <w:rPr>
                <w:noProof/>
              </w:rPr>
              <w:t>Kehittämisasiakirjassa tarkennetaan toimintamallia koskevassa asiakirjassa tehtyjä oletuksia. Siinä kirjataan järjestelmän omistajan / järjestelmän toimittajan kumppanuus ja käsitys järjestelmästä kirjoittamishetkellä.</w:t>
            </w:r>
          </w:p>
        </w:tc>
      </w:tr>
      <w:tr>
        <w:tc>
          <w:tcPr>
            <w:tcW w:w="3510" w:type="dxa"/>
            <w:vAlign w:val="center"/>
          </w:tcPr>
          <w:p>
            <w:pPr>
              <w:spacing w:before="120" w:line="259" w:lineRule="auto"/>
              <w:jc w:val="left"/>
              <w:rPr>
                <w:b/>
                <w:noProof/>
                <w:sz w:val="24"/>
                <w:szCs w:val="24"/>
              </w:rPr>
            </w:pPr>
            <w:r>
              <w:rPr>
                <w:b/>
                <w:noProof/>
                <w:sz w:val="24"/>
                <w:szCs w:val="24"/>
              </w:rPr>
              <w:t>ICG-järjestelmä</w:t>
            </w:r>
          </w:p>
        </w:tc>
        <w:tc>
          <w:tcPr>
            <w:tcW w:w="5702" w:type="dxa"/>
            <w:vAlign w:val="center"/>
          </w:tcPr>
          <w:p>
            <w:pPr>
              <w:spacing w:before="120" w:line="259" w:lineRule="auto"/>
              <w:jc w:val="left"/>
              <w:rPr>
                <w:noProof/>
              </w:rPr>
            </w:pPr>
            <w:r>
              <w:rPr>
                <w:noProof/>
              </w:rPr>
              <w:t>Kulttuuriesineiden tuontia koskeva keskitetty sähköinen järjestelmä</w:t>
            </w:r>
          </w:p>
        </w:tc>
      </w:tr>
      <w:tr>
        <w:tc>
          <w:tcPr>
            <w:tcW w:w="3510" w:type="dxa"/>
            <w:vAlign w:val="center"/>
          </w:tcPr>
          <w:p>
            <w:pPr>
              <w:spacing w:before="120" w:line="259" w:lineRule="auto"/>
              <w:jc w:val="left"/>
              <w:rPr>
                <w:b/>
                <w:noProof/>
                <w:sz w:val="24"/>
                <w:szCs w:val="24"/>
              </w:rPr>
            </w:pPr>
            <w:r>
              <w:rPr>
                <w:b/>
                <w:noProof/>
                <w:sz w:val="24"/>
                <w:szCs w:val="24"/>
              </w:rPr>
              <w:t>TRACES-järjestelmä</w:t>
            </w:r>
          </w:p>
        </w:tc>
        <w:tc>
          <w:tcPr>
            <w:tcW w:w="5702" w:type="dxa"/>
            <w:vAlign w:val="center"/>
          </w:tcPr>
          <w:p>
            <w:pPr>
              <w:spacing w:before="120" w:line="259" w:lineRule="auto"/>
              <w:jc w:val="left"/>
              <w:rPr>
                <w:noProof/>
              </w:rPr>
            </w:pPr>
            <w:r>
              <w:rPr>
                <w:noProof/>
              </w:rPr>
              <w:t>Yhdennetty eläinlääkinnällinen tietojärjestelmä – Euroopan komission terveys- ja kasvinsuojelusertifioinnin monikielinen verkkoalusta</w:t>
            </w:r>
          </w:p>
        </w:tc>
      </w:tr>
      <w:tr>
        <w:tc>
          <w:tcPr>
            <w:tcW w:w="3510" w:type="dxa"/>
            <w:vAlign w:val="center"/>
          </w:tcPr>
          <w:p>
            <w:pPr>
              <w:spacing w:before="120" w:line="259" w:lineRule="auto"/>
              <w:jc w:val="left"/>
              <w:rPr>
                <w:b/>
                <w:noProof/>
                <w:sz w:val="24"/>
                <w:szCs w:val="24"/>
              </w:rPr>
            </w:pPr>
            <w:r>
              <w:rPr>
                <w:b/>
                <w:noProof/>
                <w:sz w:val="24"/>
                <w:szCs w:val="24"/>
              </w:rPr>
              <w:t>EU CSW-CERTEX -järjestelmä</w:t>
            </w:r>
          </w:p>
        </w:tc>
        <w:tc>
          <w:tcPr>
            <w:tcW w:w="5702" w:type="dxa"/>
            <w:vAlign w:val="center"/>
          </w:tcPr>
          <w:p>
            <w:pPr>
              <w:spacing w:before="120" w:line="259" w:lineRule="auto"/>
              <w:jc w:val="left"/>
              <w:rPr>
                <w:noProof/>
              </w:rPr>
            </w:pPr>
            <w:r>
              <w:rPr>
                <w:noProof/>
              </w:rPr>
              <w:t>EU:n tullialan keskitetyn asiointipisteen todistustenvaihtojärjestelmä</w:t>
            </w:r>
          </w:p>
        </w:tc>
      </w:tr>
      <w:tr>
        <w:tc>
          <w:tcPr>
            <w:tcW w:w="3510" w:type="dxa"/>
            <w:vAlign w:val="center"/>
          </w:tcPr>
          <w:p>
            <w:pPr>
              <w:spacing w:before="120" w:line="259" w:lineRule="auto"/>
              <w:jc w:val="left"/>
              <w:rPr>
                <w:b/>
                <w:noProof/>
                <w:sz w:val="24"/>
                <w:szCs w:val="24"/>
              </w:rPr>
            </w:pPr>
            <w:r>
              <w:rPr>
                <w:b/>
                <w:noProof/>
                <w:sz w:val="24"/>
                <w:szCs w:val="24"/>
              </w:rPr>
              <w:t>Monivuotinen rahoituskehys</w:t>
            </w:r>
          </w:p>
        </w:tc>
        <w:tc>
          <w:tcPr>
            <w:tcW w:w="5702" w:type="dxa"/>
            <w:vAlign w:val="center"/>
          </w:tcPr>
          <w:p>
            <w:pPr>
              <w:spacing w:before="120" w:line="259" w:lineRule="auto"/>
              <w:jc w:val="left"/>
              <w:rPr>
                <w:noProof/>
              </w:rPr>
            </w:pPr>
            <w:r>
              <w:rPr>
                <w:noProof/>
              </w:rPr>
              <w:t>EU:n pitkän aikavälin talousarvio vuosiksi 2021–2027</w:t>
            </w:r>
          </w:p>
        </w:tc>
      </w:tr>
    </w:tbl>
    <w:p>
      <w:pPr>
        <w:spacing w:after="160" w:line="259" w:lineRule="auto"/>
        <w:jc w:val="left"/>
        <w:rPr>
          <w:b/>
          <w:noProof/>
          <w:sz w:val="24"/>
          <w:szCs w:val="24"/>
        </w:rPr>
      </w:pPr>
      <w:r>
        <w:rPr>
          <w:noProof/>
        </w:rPr>
        <w:br w:type="page"/>
      </w:r>
    </w:p>
    <w:p>
      <w:pPr>
        <w:jc w:val="left"/>
        <w:rPr>
          <w:rFonts w:eastAsiaTheme="majorEastAsia"/>
          <w:b/>
          <w:noProof/>
          <w:sz w:val="24"/>
          <w:szCs w:val="24"/>
        </w:rPr>
      </w:pPr>
    </w:p>
    <w:p>
      <w:pPr>
        <w:pStyle w:val="Heading1"/>
        <w:keepLines w:val="0"/>
        <w:numPr>
          <w:ilvl w:val="0"/>
          <w:numId w:val="1"/>
        </w:numPr>
        <w:spacing w:after="120"/>
        <w:ind w:left="432" w:hanging="432"/>
        <w:rPr>
          <w:rFonts w:ascii="Times New Roman" w:eastAsia="Times New Roman" w:hAnsi="Times New Roman" w:cs="Times New Roman"/>
          <w:smallCaps/>
          <w:noProof/>
          <w:szCs w:val="24"/>
        </w:rPr>
      </w:pPr>
      <w:bookmarkStart w:id="3" w:name="_Toc76037697"/>
      <w:r>
        <w:rPr>
          <w:rFonts w:ascii="Times New Roman" w:hAnsi="Times New Roman"/>
          <w:smallCaps/>
          <w:noProof/>
          <w:szCs w:val="24"/>
        </w:rPr>
        <w:t>JOHDANTO</w:t>
      </w:r>
      <w:bookmarkEnd w:id="3"/>
    </w:p>
    <w:p>
      <w:pPr>
        <w:pStyle w:val="Default"/>
        <w:spacing w:after="120"/>
        <w:jc w:val="both"/>
        <w:rPr>
          <w:noProof/>
          <w:color w:val="auto"/>
        </w:rPr>
      </w:pPr>
      <w:r>
        <w:rPr>
          <w:noProof/>
          <w:color w:val="auto"/>
        </w:rPr>
        <w:t>Kulttuuriesineiden tullialueelle siirtämisestä ja tuonnista 17 päivänä huhtikuuta 2019 annetun Euroopan parlamentin ja neuvoston asetuksen (EU) 2019/880</w:t>
      </w:r>
      <w:r>
        <w:rPr>
          <w:rStyle w:val="FootnoteReference"/>
          <w:noProof/>
          <w:color w:val="auto"/>
          <w:lang w:val="en-GB"/>
        </w:rPr>
        <w:footnoteReference w:id="2"/>
      </w:r>
      <w:r>
        <w:rPr>
          <w:noProof/>
          <w:color w:val="auto"/>
        </w:rPr>
        <w:t xml:space="preserve">, jäljempänä ’asetus’, tarkoituksena on estää kulttuuriesineiden laiton kauppa erityisesti silloin, kun se edistää terroristisen toiminnan rahoittamista, ja kieltää kolmansista maista laittomasti vietyjen kulttuuriesineiden tuonti unionin tullialueelle. </w:t>
      </w:r>
    </w:p>
    <w:p>
      <w:pPr>
        <w:pStyle w:val="Default"/>
        <w:spacing w:after="120"/>
        <w:jc w:val="both"/>
        <w:rPr>
          <w:noProof/>
          <w:color w:val="auto"/>
        </w:rPr>
      </w:pPr>
      <w:r>
        <w:rPr>
          <w:noProof/>
          <w:color w:val="auto"/>
        </w:rPr>
        <w:t>Tällä asetuksella säädetään tiettyjen erityisen uhanalaiseksi katsottujen kulttuuriesineiden tuontiin vaadittavista tuontiluvista ja vähemmän uhanalaiseksi katsottujen kulttuuriesineiden tuojien vakuutuksista ja varmistetaan, että niihin sovelletaan yhtenäistä valvontaa unioniin tuonnin yhteydessä. Tietyt erityisiin käyttötarkoituksiin (koulutus, tiede tai tutkimus) tarkoitetut kulttuuriesineet on vapautettu näistä asiakirjavaatimuksista.</w:t>
      </w:r>
    </w:p>
    <w:p>
      <w:pPr>
        <w:pStyle w:val="Default"/>
        <w:spacing w:after="120"/>
        <w:jc w:val="both"/>
        <w:rPr>
          <w:noProof/>
          <w:color w:val="auto"/>
        </w:rPr>
      </w:pPr>
      <w:r>
        <w:rPr>
          <w:noProof/>
          <w:color w:val="auto"/>
        </w:rPr>
        <w:t>Maahantuojien velvollisuus hankkia tuontilupa tai laatia ja toimittaa tuojan vakuutus tullille alkaa vasta siitä hetkestä, kun keskitetty sähköinen järjestelmä (ICG-järjestelmä) otetaan käyttöön. Komissio kehittää ICG-järjestelmän 28 päivään kesäkuuta 2025 mennessä.</w:t>
      </w:r>
    </w:p>
    <w:p>
      <w:pPr>
        <w:pStyle w:val="Default"/>
        <w:spacing w:after="120"/>
        <w:jc w:val="both"/>
        <w:rPr>
          <w:noProof/>
          <w:color w:val="auto"/>
        </w:rPr>
      </w:pPr>
      <w:r>
        <w:rPr>
          <w:noProof/>
          <w:color w:val="auto"/>
        </w:rPr>
        <w:t xml:space="preserve">Järjestelmä ei toimi vain välineenä, jolla toimijat voivat hoitaa muodollisuudet, vaan myös tietojen tallentamisen ja tietojenvaihdon välineenä asetuksen täytäntöönpanosta vastaavien jäsenvaltioiden hallintojen (tulli- ja kulttuuriviranomaiset) välillä. </w:t>
      </w:r>
    </w:p>
    <w:p>
      <w:pPr>
        <w:pStyle w:val="Default"/>
        <w:spacing w:after="120"/>
        <w:jc w:val="both"/>
        <w:rPr>
          <w:noProof/>
          <w:color w:val="auto"/>
        </w:rPr>
      </w:pPr>
      <w:r>
        <w:rPr>
          <w:noProof/>
          <w:color w:val="auto"/>
        </w:rPr>
        <w:t>ICG-järjestelmän kehittäminen ja toiminta liittyy myös tiiviisti komission toiseen suureen tullialan aloitteeseen: EU:n keskitetyn asiointipisteen todistustenvaihtojärjestelmään EU-CSW CERTEXiin (”EU Single Window Certificate Exchange System”)</w:t>
      </w:r>
      <w:r>
        <w:rPr>
          <w:rStyle w:val="FootnoteReference"/>
          <w:noProof/>
          <w:color w:val="auto"/>
          <w:lang w:val="en-GB"/>
        </w:rPr>
        <w:footnoteReference w:id="3"/>
      </w:r>
      <w:r>
        <w:rPr>
          <w:noProof/>
          <w:color w:val="auto"/>
        </w:rPr>
        <w:t xml:space="preserve">. </w:t>
      </w:r>
    </w:p>
    <w:p>
      <w:pPr>
        <w:pStyle w:val="Default"/>
        <w:spacing w:after="120"/>
        <w:jc w:val="both"/>
        <w:rPr>
          <w:noProof/>
          <w:color w:val="auto"/>
        </w:rPr>
      </w:pPr>
      <w:r>
        <w:rPr>
          <w:noProof/>
          <w:color w:val="auto"/>
        </w:rPr>
        <w:t xml:space="preserve">EU-CSW CERTEX ‑järjestelmällä yhdistetään unionin muita kuin tullimuodollisuuksia koskevat EU:n keskitetyt järjestelmät kansallisiin tullijärjestelmiin, jotta voidaan vaihtaa digitaalisesti liiteasiakirjoja, valvonnan tuloksia sekä tullimenettelyjen ja muiden kuin tullimenettelyjen tuotoksia. </w:t>
      </w:r>
    </w:p>
    <w:p>
      <w:pPr>
        <w:pStyle w:val="Default"/>
        <w:spacing w:after="120"/>
        <w:jc w:val="both"/>
        <w:rPr>
          <w:noProof/>
          <w:color w:val="auto"/>
        </w:rPr>
      </w:pPr>
      <w:r>
        <w:rPr>
          <w:noProof/>
          <w:color w:val="auto"/>
        </w:rPr>
        <w:t xml:space="preserve">Euroopan komission on esitettävä Euroopan parlamentille ja neuvostolle kertomus sähköisen järjestelmän perustamisessa saavutetusta edistyksestä asetuksen voimaantulosta alkaen 12 kuukauden välein siihen asti, kunnes ICG-järjestelmä on toiminnassa. </w:t>
      </w:r>
    </w:p>
    <w:p>
      <w:pPr>
        <w:pStyle w:val="Default"/>
        <w:jc w:val="both"/>
        <w:rPr>
          <w:noProof/>
          <w:color w:val="auto"/>
        </w:rPr>
      </w:pPr>
      <w:r>
        <w:rPr>
          <w:noProof/>
          <w:color w:val="auto"/>
        </w:rPr>
        <w:t>Komissio esitti viime vuonna ensimmäisen vuotuisen edistymiskertomuksensa</w:t>
      </w:r>
      <w:r>
        <w:rPr>
          <w:rStyle w:val="FootnoteReference"/>
          <w:noProof/>
          <w:color w:val="auto"/>
          <w:lang w:val="en-GB"/>
        </w:rPr>
        <w:footnoteReference w:id="4"/>
      </w:r>
      <w:r>
        <w:rPr>
          <w:noProof/>
          <w:color w:val="auto"/>
        </w:rPr>
        <w:t xml:space="preserve">. Kertomuksessa esitettiin toimet, joita komissio on toteuttanut asetuksen voimaantuloa seuraavan ensimmäisen vuoden aikana: a) tarvittavien täytäntöönpanosäännösten hyväksymisen valmistelu ja b) jäsenvaltioiden kuuleminen kulttuuriesineisiin liittyvistä tulliasioista asiantuntijaryhmän sekä kulttuuriesineiden tuontia käsittelevän hankeryhmän kautta. Kertomuksessa tunnistettiin mahdolliseksi riskiksi ICG-järjestelmän toteuttamiselle asetetussa määräajassa epävarmuus, joka liittyy hankkeeseen osoitettuun henkilöstöön ja sen rahoitukseen monivuotisesta rahoituskehyksestä. </w:t>
      </w:r>
    </w:p>
    <w:p>
      <w:pPr>
        <w:pStyle w:val="Default"/>
        <w:jc w:val="both"/>
        <w:rPr>
          <w:noProof/>
          <w:color w:val="auto"/>
        </w:rPr>
      </w:pPr>
    </w:p>
    <w:p>
      <w:pPr>
        <w:pStyle w:val="Default"/>
        <w:jc w:val="both"/>
        <w:rPr>
          <w:noProof/>
          <w:color w:val="auto"/>
        </w:rPr>
      </w:pPr>
      <w:r>
        <w:rPr>
          <w:noProof/>
          <w:color w:val="auto"/>
        </w:rPr>
        <w:t>Tämä toinen vuotuinen edistymiskertomus kattaa heinäkuun 2020 ja kesäkuun 2021 välisen ajan ja siinä esitetään edistyminen tarvittavien täytäntöönpanosäännösten hyväksymisessä ja ICG-hankkeen käsitteellistä suunnittelua koskevan 1. vaiheen toteuttamisessa. Kertomuksen kattavuuden vuoksi ensimmäisessä vuotuisessa edistymiskertomuksessa yksityiskohtaisesti esitetyt tavoitteet, hankkeen rakenne ja suunnittelua koskeva lähestymistapa esitetään lyhyesti tässä kertomuksessa. Kertomuksen Päätelmät-osassa esitetään kokonaisarvio edistymisestä ja tunnistetuista viivästymisriskeistä.</w:t>
      </w:r>
    </w:p>
    <w:p>
      <w:pPr>
        <w:pStyle w:val="Default"/>
        <w:jc w:val="both"/>
        <w:rPr>
          <w:noProof/>
          <w:color w:val="auto"/>
          <w:lang w:val="en-GB"/>
        </w:rPr>
      </w:pPr>
    </w:p>
    <w:p>
      <w:pPr>
        <w:pStyle w:val="Heading1"/>
        <w:keepLines w:val="0"/>
        <w:numPr>
          <w:ilvl w:val="0"/>
          <w:numId w:val="1"/>
        </w:numPr>
        <w:spacing w:after="120"/>
        <w:ind w:left="432" w:hanging="432"/>
        <w:rPr>
          <w:rFonts w:ascii="Times New Roman" w:eastAsia="Times New Roman" w:hAnsi="Times New Roman" w:cs="Times New Roman"/>
          <w:smallCaps/>
          <w:noProof/>
          <w:szCs w:val="24"/>
        </w:rPr>
      </w:pPr>
      <w:bookmarkStart w:id="4" w:name="_Toc76037698"/>
      <w:r>
        <w:rPr>
          <w:rFonts w:ascii="Times New Roman" w:hAnsi="Times New Roman"/>
          <w:smallCaps/>
          <w:noProof/>
          <w:szCs w:val="24"/>
        </w:rPr>
        <w:t>TAVOITTEET</w:t>
      </w:r>
      <w:bookmarkEnd w:id="4"/>
    </w:p>
    <w:p>
      <w:pPr>
        <w:pStyle w:val="Default"/>
        <w:spacing w:after="120"/>
        <w:jc w:val="both"/>
        <w:rPr>
          <w:noProof/>
          <w:color w:val="auto"/>
        </w:rPr>
      </w:pPr>
      <w:r>
        <w:rPr>
          <w:b/>
          <w:noProof/>
          <w:color w:val="auto"/>
        </w:rPr>
        <w:t>ICG-järjestelmän on oltava toiminnassa viimeistään 28. kesäkuuta 2025</w:t>
      </w:r>
      <w:r>
        <w:rPr>
          <w:noProof/>
          <w:color w:val="auto"/>
        </w:rPr>
        <w:t>, koska siitä päivästä lähtien kaikkien toimijoiden on pakko hankkia tuontiluvat tai toimittaa tuojan vakuutukset tullille kyseisen sähköisen järjestelmän kautta, jotta he voivat tuoda</w:t>
      </w:r>
      <w:r>
        <w:rPr>
          <w:rStyle w:val="FootnoteReference"/>
          <w:noProof/>
          <w:color w:val="auto"/>
          <w:lang w:val="en-GB"/>
        </w:rPr>
        <w:footnoteReference w:id="5"/>
      </w:r>
      <w:r>
        <w:rPr>
          <w:noProof/>
          <w:color w:val="auto"/>
        </w:rPr>
        <w:t xml:space="preserve"> kulttuuriesineitä unioniin laillisesti. </w:t>
      </w:r>
    </w:p>
    <w:p>
      <w:pPr>
        <w:pStyle w:val="Default"/>
        <w:spacing w:after="120"/>
        <w:jc w:val="both"/>
        <w:rPr>
          <w:noProof/>
          <w:color w:val="auto"/>
        </w:rPr>
      </w:pPr>
      <w:r>
        <w:rPr>
          <w:noProof/>
          <w:color w:val="auto"/>
        </w:rPr>
        <w:t xml:space="preserve">Asetuksessa asetetaan siis </w:t>
      </w:r>
      <w:r>
        <w:rPr>
          <w:b/>
          <w:noProof/>
          <w:color w:val="auto"/>
        </w:rPr>
        <w:t>täytäntöönpanosäännösten hyväksymisen lopulliseksi määräajaksi 28. kesäkuuta 2021. Täytäntöönpanosäännöksillä vahvistetaan sähköisen järjestelmän yksityiskohtaiset säännöt</w:t>
      </w:r>
      <w:r>
        <w:rPr>
          <w:noProof/>
          <w:color w:val="auto"/>
        </w:rPr>
        <w:t xml:space="preserve">. </w:t>
      </w:r>
    </w:p>
    <w:p>
      <w:pPr>
        <w:pStyle w:val="Default"/>
        <w:spacing w:after="120"/>
        <w:jc w:val="both"/>
        <w:rPr>
          <w:noProof/>
          <w:color w:val="auto"/>
        </w:rPr>
      </w:pPr>
      <w:r>
        <w:rPr>
          <w:noProof/>
          <w:color w:val="auto"/>
        </w:rPr>
        <w:t xml:space="preserve">Täytäntöönpanosäännösten ja kehittämisasiakirjan hyväksymisen jälkeen alkaa sähköisen järjestelmän kehitysvaihe. Kolmannessa vaiheessa ICG-järjestelmä yhdistetään EU-CSW CERTEX ‑järjestelmään, jotta jäsenvaltioiden tullijärjestelmät voivat vaihtaa asiakirjoja keskenään. Samanaikaisesti niiden hallinnoille järjestetään koulutusta, jossa henkilöstöä perehdytetään ICG-järjestelmän operatiivisiin toimintoihin. </w:t>
      </w:r>
    </w:p>
    <w:p>
      <w:pPr>
        <w:pStyle w:val="Default"/>
        <w:spacing w:after="120"/>
        <w:jc w:val="both"/>
        <w:rPr>
          <w:noProof/>
          <w:color w:val="auto"/>
        </w:rPr>
      </w:pPr>
      <w:r>
        <w:rPr>
          <w:noProof/>
          <w:color w:val="auto"/>
        </w:rPr>
        <w:t>Komission tullialaan kohdistuvien muiden toimien ohella kulttuuriesineiden tuontia koskevaa hanketta suunnitellaan myös yksityiskohtaisesti sähköistä tullia koskevan monivuotisen strategisen suunnitelman tarkistuksen yhteydessä vuonna 2019</w:t>
      </w:r>
      <w:r>
        <w:rPr>
          <w:rStyle w:val="FootnoteReference"/>
          <w:noProof/>
          <w:color w:val="auto"/>
          <w:lang w:val="en-GB"/>
        </w:rPr>
        <w:footnoteReference w:id="6"/>
      </w:r>
      <w:r>
        <w:rPr>
          <w:noProof/>
          <w:color w:val="auto"/>
        </w:rPr>
        <w:t xml:space="preserve"> (MASP-C rev. 2019). Tämän kertomuksen liitteessä I on ote kulttuuriesineiden tuomista koskevan hankkeen MASP-C rev. 2019 ‑suunnitelmasta. On huomattava, että hankekuvaus päivitetään MASP-C:n seuraavassa tarkistuksessa hankkeen todellisen edistymisen huomioon ottamiseksi.</w:t>
      </w:r>
    </w:p>
    <w:p>
      <w:pPr>
        <w:pStyle w:val="Default"/>
        <w:spacing w:after="240"/>
        <w:jc w:val="both"/>
        <w:rPr>
          <w:noProof/>
          <w:color w:val="auto"/>
        </w:rPr>
      </w:pPr>
      <w:r>
        <w:rPr>
          <w:noProof/>
          <w:color w:val="auto"/>
        </w:rPr>
        <w:t>Osa kulttuuriesineiden tuontia koskevaa hanketta on myös kehitetty EU:n tullialan yhdennetyn palveluympäristön yhteydessä (MASP-C rev 2019 hankekuvaus 1.13), jonka päätietojärjestelmä on EU CSW-CERTEX. Tämän kertomuksen liitteessä I on ote EU CSW-CERTEX ‑järjestelmän suunnittelusta MASP-C-suunnitelman hankekuvauksesta 1.13.</w:t>
      </w:r>
    </w:p>
    <w:p>
      <w:pPr>
        <w:pStyle w:val="Heading1"/>
        <w:keepLines w:val="0"/>
        <w:numPr>
          <w:ilvl w:val="0"/>
          <w:numId w:val="1"/>
        </w:numPr>
        <w:spacing w:after="120"/>
        <w:ind w:left="431" w:hanging="431"/>
        <w:rPr>
          <w:rFonts w:ascii="Times New Roman" w:eastAsia="Times New Roman" w:hAnsi="Times New Roman" w:cs="Times New Roman"/>
          <w:smallCaps/>
          <w:noProof/>
          <w:szCs w:val="24"/>
        </w:rPr>
      </w:pPr>
      <w:bookmarkStart w:id="5" w:name="_Toc76037699"/>
      <w:r>
        <w:rPr>
          <w:rFonts w:ascii="Times New Roman" w:hAnsi="Times New Roman"/>
          <w:smallCaps/>
          <w:noProof/>
          <w:szCs w:val="24"/>
        </w:rPr>
        <w:t>HANKKEEN RAKENNE JA SUUNNITTELUN LÄHESTYMISTAPA</w:t>
      </w:r>
      <w:bookmarkEnd w:id="5"/>
    </w:p>
    <w:p>
      <w:pPr>
        <w:pStyle w:val="Default"/>
        <w:spacing w:after="120"/>
        <w:jc w:val="both"/>
        <w:rPr>
          <w:bCs/>
          <w:noProof/>
          <w:color w:val="auto"/>
        </w:rPr>
      </w:pPr>
      <w:r>
        <w:rPr>
          <w:iCs/>
          <w:noProof/>
          <w:color w:val="auto"/>
        </w:rPr>
        <w:t xml:space="preserve">Kuten ensimmäisessä vuotuisessa edistymiskertomuksessa on jo selitetty, hankkeen rakenne perustuu MASP-C rev. 2019 </w:t>
      </w:r>
      <w:r>
        <w:rPr>
          <w:iCs/>
          <w:noProof/>
          <w:color w:val="auto"/>
        </w:rPr>
        <w:noBreakHyphen/>
        <w:t>suunnitelmassa ja sen liitteissä esiteltyyn menetelmään, johon kuuluvat hallintojärjestelmä</w:t>
      </w:r>
      <w:r>
        <w:rPr>
          <w:rStyle w:val="FootnoteReference"/>
          <w:iCs/>
          <w:noProof/>
          <w:color w:val="auto"/>
          <w:lang w:val="en-GB"/>
        </w:rPr>
        <w:footnoteReference w:id="7"/>
      </w:r>
      <w:r>
        <w:rPr>
          <w:iCs/>
          <w:noProof/>
          <w:color w:val="auto"/>
        </w:rPr>
        <w:t>, EU:n tullin toimintaprosessien mallintamispolitiikka</w:t>
      </w:r>
      <w:r>
        <w:rPr>
          <w:rStyle w:val="FootnoteReference"/>
          <w:iCs/>
          <w:noProof/>
          <w:color w:val="auto"/>
          <w:lang w:val="en-GB"/>
        </w:rPr>
        <w:footnoteReference w:id="8"/>
      </w:r>
      <w:r>
        <w:rPr>
          <w:iCs/>
          <w:noProof/>
          <w:color w:val="auto"/>
        </w:rPr>
        <w:t xml:space="preserve"> ja tietotekniikkastrategia</w:t>
      </w:r>
      <w:r>
        <w:rPr>
          <w:rStyle w:val="FootnoteReference"/>
          <w:iCs/>
          <w:noProof/>
          <w:color w:val="auto"/>
          <w:lang w:val="en-GB"/>
        </w:rPr>
        <w:footnoteReference w:id="9"/>
      </w:r>
      <w:r>
        <w:rPr>
          <w:iCs/>
          <w:noProof/>
          <w:color w:val="auto"/>
        </w:rPr>
        <w:t xml:space="preserve">. </w:t>
      </w:r>
      <w:r>
        <w:rPr>
          <w:bCs/>
          <w:noProof/>
          <w:color w:val="auto"/>
        </w:rPr>
        <w:t>Liitteessä II esitetään kattava etenemissuunnitelma, johon sisältyvät hankkeen päävaiheet ja kriittiset välitavoitteet.</w:t>
      </w:r>
    </w:p>
    <w:p>
      <w:pPr>
        <w:pStyle w:val="Default"/>
        <w:spacing w:after="120"/>
        <w:jc w:val="both"/>
        <w:rPr>
          <w:noProof/>
          <w:color w:val="auto"/>
        </w:rPr>
      </w:pPr>
      <w:r>
        <w:rPr>
          <w:noProof/>
          <w:color w:val="auto"/>
        </w:rPr>
        <w:t>Vaikka hanke etenee samanaikaisesti useilla tasoilla, se voidaan jakaa kuvaannollisesti kolmeen vaiheeseen:</w:t>
      </w:r>
    </w:p>
    <w:p>
      <w:pPr>
        <w:pStyle w:val="Default"/>
        <w:spacing w:after="120"/>
        <w:jc w:val="both"/>
        <w:rPr>
          <w:noProof/>
          <w:color w:val="auto"/>
        </w:rPr>
      </w:pPr>
      <w:r>
        <w:rPr>
          <w:b/>
          <w:noProof/>
          <w:color w:val="auto"/>
        </w:rPr>
        <w:t xml:space="preserve">Vaihe 1 – käsitteellinen suunnittelu: </w:t>
      </w:r>
      <w:r>
        <w:rPr>
          <w:noProof/>
          <w:color w:val="auto"/>
        </w:rPr>
        <w:t xml:space="preserve">Ensin laaditaan </w:t>
      </w:r>
      <w:r>
        <w:rPr>
          <w:b/>
          <w:noProof/>
          <w:color w:val="auto"/>
        </w:rPr>
        <w:t>toimintamalli</w:t>
      </w:r>
      <w:r>
        <w:rPr>
          <w:noProof/>
          <w:color w:val="auto"/>
        </w:rPr>
        <w:t xml:space="preserve">, jossa esitetään hankkeen perustelut ja määritetään rahoitustarpeet. Tämän jälkeen </w:t>
      </w:r>
      <w:r>
        <w:rPr>
          <w:i/>
          <w:noProof/>
          <w:color w:val="auto"/>
        </w:rPr>
        <w:t>toimintaprosessien mallintamisen</w:t>
      </w:r>
      <w:r>
        <w:rPr>
          <w:noProof/>
          <w:color w:val="auto"/>
        </w:rPr>
        <w:t xml:space="preserve"> avulla laaditaan </w:t>
      </w:r>
      <w:r>
        <w:rPr>
          <w:b/>
          <w:noProof/>
          <w:color w:val="auto"/>
        </w:rPr>
        <w:t>kehittämisasiakirja</w:t>
      </w:r>
      <w:r>
        <w:rPr>
          <w:noProof/>
          <w:color w:val="auto"/>
        </w:rPr>
        <w:t>, jossa annetaan yksityiskohtaisempia tietoja hankkeen rakenteesta, kustannuksista, aikataulusta ja riskeistä sekä välitavoitteista, suoritteista ja hankkeen organisoinnista. Näissä asiakirjoissa otetaan huomioon keskustelut ja komission laatima täytäntöönpanosäädöksen sisältö.</w:t>
      </w:r>
    </w:p>
    <w:p>
      <w:pPr>
        <w:pStyle w:val="Default"/>
        <w:spacing w:after="120"/>
        <w:jc w:val="both"/>
        <w:rPr>
          <w:noProof/>
          <w:color w:val="auto"/>
        </w:rPr>
      </w:pPr>
      <w:r>
        <w:rPr>
          <w:b/>
          <w:noProof/>
          <w:color w:val="auto"/>
        </w:rPr>
        <w:t>Vaihe 2 –</w:t>
      </w:r>
      <w:r>
        <w:rPr>
          <w:noProof/>
          <w:color w:val="auto"/>
        </w:rPr>
        <w:t xml:space="preserve"> </w:t>
      </w:r>
      <w:r>
        <w:rPr>
          <w:b/>
          <w:noProof/>
          <w:color w:val="auto"/>
        </w:rPr>
        <w:t>järjestelmän kehittäminen:</w:t>
      </w:r>
      <w:r>
        <w:rPr>
          <w:noProof/>
          <w:color w:val="auto"/>
        </w:rPr>
        <w:t xml:space="preserve"> Täytäntöönpanosäädöksen säännösten sekä käyttäjävaatimusten ja järjestelmän toiminnallisten eritelmien jälkeen laaditaan </w:t>
      </w:r>
      <w:r>
        <w:rPr>
          <w:b/>
          <w:noProof/>
          <w:color w:val="auto"/>
        </w:rPr>
        <w:t>tekniset eritelmät</w:t>
      </w:r>
      <w:r>
        <w:rPr>
          <w:noProof/>
          <w:color w:val="auto"/>
        </w:rPr>
        <w:t>, joissa määritetään tarkemmin järjestelmän rakenne. Näitä teknisiä eritelmiä ovat muun muassa käytettävä arkkitehtuuri, talouden toimijoiden toimittamat sanomat, muiden järjestelmien kanssa yhteiset rajapinnat, testaussuunnitelmat jne.</w:t>
      </w:r>
    </w:p>
    <w:p>
      <w:pPr>
        <w:pStyle w:val="Default"/>
        <w:spacing w:after="120"/>
        <w:jc w:val="both"/>
        <w:rPr>
          <w:noProof/>
          <w:color w:val="auto"/>
        </w:rPr>
      </w:pPr>
      <w:r>
        <w:rPr>
          <w:noProof/>
          <w:color w:val="auto"/>
        </w:rPr>
        <w:t xml:space="preserve">Kun järjestelmän suunnittelu on käsitteellisestä näkökulmasta valmis ja taulukossa 1 luetellut välitavoitteiden 1 ja 3 (ks. liite I) tuotokset ovat valmiit, alkaa perusteellisempi työ, jossa otetaan huomioon </w:t>
      </w:r>
      <w:r>
        <w:rPr>
          <w:b/>
          <w:noProof/>
          <w:color w:val="auto"/>
        </w:rPr>
        <w:t>sovellusten ja palveluiden eritelmät</w:t>
      </w:r>
      <w:r>
        <w:rPr>
          <w:noProof/>
          <w:color w:val="auto"/>
        </w:rPr>
        <w:t xml:space="preserve"> ja </w:t>
      </w:r>
      <w:r>
        <w:rPr>
          <w:b/>
          <w:noProof/>
          <w:color w:val="auto"/>
        </w:rPr>
        <w:t>järjestelmän tekniset eritelmät</w:t>
      </w:r>
      <w:r>
        <w:rPr>
          <w:noProof/>
          <w:color w:val="auto"/>
        </w:rPr>
        <w:t xml:space="preserve"> sisältävien asiakirjojen teknisemmät näkökohdat, joissa toimintamalli ja kehittämisasiakirja konkretisoituvat. </w:t>
      </w:r>
    </w:p>
    <w:p>
      <w:pPr>
        <w:pStyle w:val="Default"/>
        <w:spacing w:after="120"/>
        <w:jc w:val="both"/>
        <w:rPr>
          <w:noProof/>
          <w:color w:val="auto"/>
        </w:rPr>
      </w:pPr>
      <w:r>
        <w:rPr>
          <w:b/>
          <w:noProof/>
          <w:color w:val="auto"/>
        </w:rPr>
        <w:t>Vaihe 3 –</w:t>
      </w:r>
      <w:r>
        <w:rPr>
          <w:noProof/>
          <w:color w:val="auto"/>
        </w:rPr>
        <w:t xml:space="preserve"> </w:t>
      </w:r>
      <w:r>
        <w:rPr>
          <w:b/>
          <w:noProof/>
          <w:color w:val="auto"/>
        </w:rPr>
        <w:t xml:space="preserve">käyttöönotto ja toiminta: </w:t>
      </w:r>
      <w:r>
        <w:rPr>
          <w:noProof/>
          <w:color w:val="auto"/>
        </w:rPr>
        <w:t>Lopuksi alkaa varsinainen tietotekniikan kehittämisvaihe (</w:t>
      </w:r>
      <w:r>
        <w:rPr>
          <w:b/>
          <w:noProof/>
          <w:color w:val="auto"/>
        </w:rPr>
        <w:t>rakennusvaihe</w:t>
      </w:r>
      <w:r>
        <w:rPr>
          <w:noProof/>
          <w:color w:val="auto"/>
        </w:rPr>
        <w:t xml:space="preserve">), ja sitä seuraa </w:t>
      </w:r>
      <w:r>
        <w:rPr>
          <w:b/>
          <w:noProof/>
          <w:color w:val="auto"/>
        </w:rPr>
        <w:t>siirtymävaihe</w:t>
      </w:r>
      <w:r>
        <w:rPr>
          <w:noProof/>
          <w:color w:val="auto"/>
        </w:rPr>
        <w:t>, jossa ICG-järjestelmän varhaiset versiot annetaan eri käyttäjäryhmien käyttöön ja niitä testataan, jotta varmistetaan, että toimijat ja toimivaltaiset viranomaiset osaavat käyttää järjestelmää 28. kesäkuuta 2025 mennessä. Tämän vaiheen jälkeen alkaa kuuden kuukauden seurantajakso, jolloin järjestelmää hienosäädetään vastaamaan mahdollisiin toiminnallisiin tarpeisiin, joita saattaa tulla esiin vasta sen jälkeen, kun tietojärjestelmän käyttö on pakollista. Tässä vaiheessa myös varmistetaan, että järjestelmä toimii moitteettomasti.</w:t>
      </w:r>
    </w:p>
    <w:p>
      <w:pPr>
        <w:pStyle w:val="Default"/>
        <w:spacing w:after="240"/>
        <w:jc w:val="both"/>
        <w:rPr>
          <w:noProof/>
          <w:color w:val="auto"/>
        </w:rPr>
      </w:pPr>
      <w:r>
        <w:rPr>
          <w:noProof/>
          <w:color w:val="auto"/>
        </w:rPr>
        <w:t>On huomattava, että ICG-järjestelmä liitetään jäsenvaltioiden tullihallintoihin EU CSW-CERTEX -järjestelmän kautta 3. maaliskuuta 2025 mennessä Euroopan unionin tullialan yhdennetyn palveluympäristön perustamisesta</w:t>
      </w:r>
      <w:r>
        <w:rPr>
          <w:rStyle w:val="FootnoteReference"/>
          <w:noProof/>
          <w:color w:val="auto"/>
          <w:lang w:val="en-GB"/>
        </w:rPr>
        <w:footnoteReference w:id="10"/>
      </w:r>
      <w:r>
        <w:rPr>
          <w:noProof/>
          <w:color w:val="auto"/>
        </w:rPr>
        <w:t xml:space="preserve"> annetun komission ehdotuksen jälkeen, jotta tullit voivat valvoa kulttuuriesineiden tuontiasiakirjoja automaattisesti. Tämä toiminta edellyttää vaatimustenmukaisuuden testausta.</w:t>
      </w:r>
    </w:p>
    <w:p>
      <w:pPr>
        <w:pStyle w:val="Heading1"/>
        <w:keepLines w:val="0"/>
        <w:numPr>
          <w:ilvl w:val="0"/>
          <w:numId w:val="1"/>
        </w:numPr>
        <w:spacing w:after="120"/>
        <w:ind w:left="431" w:hanging="431"/>
        <w:rPr>
          <w:rFonts w:ascii="Times New Roman" w:eastAsia="Times New Roman" w:hAnsi="Times New Roman" w:cs="Times New Roman"/>
          <w:smallCaps/>
          <w:noProof/>
          <w:szCs w:val="24"/>
        </w:rPr>
      </w:pPr>
      <w:bookmarkStart w:id="6" w:name="_Toc76037700"/>
      <w:r>
        <w:rPr>
          <w:rFonts w:ascii="Times New Roman" w:hAnsi="Times New Roman"/>
          <w:smallCaps/>
          <w:noProof/>
          <w:szCs w:val="24"/>
        </w:rPr>
        <w:t>EDISTYMISKATSAUS</w:t>
      </w:r>
      <w:bookmarkEnd w:id="6"/>
      <w:r>
        <w:rPr>
          <w:rFonts w:ascii="Times New Roman" w:hAnsi="Times New Roman"/>
          <w:smallCaps/>
          <w:noProof/>
          <w:szCs w:val="24"/>
        </w:rPr>
        <w:t xml:space="preserve"> </w:t>
      </w:r>
    </w:p>
    <w:p>
      <w:pPr>
        <w:pStyle w:val="Heading2"/>
        <w:rPr>
          <w:noProof/>
        </w:rPr>
      </w:pPr>
      <w:bookmarkStart w:id="7" w:name="_Toc76037701"/>
      <w:r>
        <w:rPr>
          <w:noProof/>
        </w:rPr>
        <w:t>Täytäntöönpanosäännösten hyväksyminen</w:t>
      </w:r>
      <w:bookmarkEnd w:id="7"/>
    </w:p>
    <w:p>
      <w:pPr>
        <w:widowControl w:val="0"/>
        <w:autoSpaceDE w:val="0"/>
        <w:autoSpaceDN w:val="0"/>
        <w:adjustRightInd w:val="0"/>
        <w:rPr>
          <w:iCs/>
          <w:noProof/>
          <w:sz w:val="24"/>
          <w:szCs w:val="24"/>
        </w:rPr>
      </w:pPr>
      <w:r>
        <w:rPr>
          <w:iCs/>
          <w:noProof/>
          <w:sz w:val="24"/>
          <w:szCs w:val="24"/>
        </w:rPr>
        <w:t>Ensimmäisessä vaiheessa komissio hyväksyi</w:t>
      </w:r>
      <w:r>
        <w:rPr>
          <w:rStyle w:val="FootnoteReference"/>
          <w:iCs/>
          <w:noProof/>
          <w:sz w:val="24"/>
          <w:szCs w:val="24"/>
          <w:lang w:val="en-GB" w:eastAsia="en-GB"/>
        </w:rPr>
        <w:footnoteReference w:id="11"/>
      </w:r>
      <w:r>
        <w:rPr>
          <w:iCs/>
          <w:noProof/>
          <w:sz w:val="24"/>
          <w:szCs w:val="24"/>
        </w:rPr>
        <w:t xml:space="preserve"> sähköisen järjestelmän perustamista koskevat täytäntöönpanosäännökset. Saadakseen paremman käsityksen käytännön toteutuksen näkökulmasta se kuuli laajasti jäsenvaltioiden edustajia kulttuuriesineisiin liittyviä tulliasioita käsittelevässä asiantuntijaryhmässä ja kulttuuriesineitä käsittelevässä komiteassa.</w:t>
      </w:r>
    </w:p>
    <w:p>
      <w:pPr>
        <w:widowControl w:val="0"/>
        <w:autoSpaceDE w:val="0"/>
        <w:autoSpaceDN w:val="0"/>
        <w:adjustRightInd w:val="0"/>
        <w:rPr>
          <w:iCs/>
          <w:noProof/>
          <w:sz w:val="24"/>
          <w:szCs w:val="24"/>
        </w:rPr>
      </w:pPr>
      <w:r>
        <w:rPr>
          <w:iCs/>
          <w:noProof/>
          <w:sz w:val="24"/>
          <w:szCs w:val="24"/>
        </w:rPr>
        <w:t>Asiantuntijaryhmä on foorumi, jossa keskustellaan tullille kuuluvista kulttuuriesineitä koskevan unionin lainsäädännön täytäntöönpanoon liittyvistä asioista ja erityisesti kulttuuriesineiden tullialueelle siirtämisestä ja tuonnista annettua asetusta (EU) 2019/880 ja kulttuuriesineiden viennistä annettua asetusta (EY) N:o 116/2009</w:t>
      </w:r>
      <w:r>
        <w:rPr>
          <w:rStyle w:val="FootnoteReference"/>
          <w:iCs/>
          <w:noProof/>
          <w:sz w:val="24"/>
          <w:szCs w:val="24"/>
          <w:lang w:val="en-GB" w:eastAsia="en-GB"/>
        </w:rPr>
        <w:footnoteReference w:id="12"/>
      </w:r>
      <w:r>
        <w:rPr>
          <w:iCs/>
          <w:noProof/>
          <w:sz w:val="24"/>
          <w:szCs w:val="24"/>
        </w:rPr>
        <w:t xml:space="preserve"> koskevista kysymyksistä. Viimeksi mainittu on joukko EU:n sääntöjä, joilla säädetään muun muassa vuodesta 1993 voimassa olleesta vientilupajärjestelmästä</w:t>
      </w:r>
      <w:r>
        <w:rPr>
          <w:rStyle w:val="FootnoteReference"/>
          <w:iCs/>
          <w:noProof/>
          <w:sz w:val="24"/>
          <w:szCs w:val="24"/>
          <w:lang w:val="en-GB" w:eastAsia="en-GB"/>
        </w:rPr>
        <w:footnoteReference w:id="13"/>
      </w:r>
      <w:r>
        <w:rPr>
          <w:iCs/>
          <w:noProof/>
          <w:sz w:val="24"/>
          <w:szCs w:val="24"/>
        </w:rPr>
        <w:t>.</w:t>
      </w:r>
    </w:p>
    <w:p>
      <w:pPr>
        <w:widowControl w:val="0"/>
        <w:autoSpaceDE w:val="0"/>
        <w:autoSpaceDN w:val="0"/>
        <w:adjustRightInd w:val="0"/>
        <w:rPr>
          <w:iCs/>
          <w:noProof/>
          <w:sz w:val="24"/>
          <w:szCs w:val="24"/>
        </w:rPr>
      </w:pPr>
      <w:r>
        <w:rPr>
          <w:iCs/>
          <w:noProof/>
          <w:sz w:val="24"/>
          <w:szCs w:val="24"/>
        </w:rPr>
        <w:t xml:space="preserve">Komissio tiedotti taidemarkkinajärjestöille työn edistymisestä aina tilaisuuden tullen varmistaakseen, että asetuksen käytännön täytäntöönpano on mukautettu asianmukaisesti markkinoiden todellisuutta vastaavaksi. Yksi hyväksyntämenettelyn virallinen vaihe oli sidosryhmien kuuleminen verkossa täytäntöönpanosäädösehdotuksesta. Kuuleminen oli avoinna neljän viikon ajan (24.3.2021–21.4.2021). </w:t>
      </w:r>
    </w:p>
    <w:p>
      <w:pPr>
        <w:widowControl w:val="0"/>
        <w:autoSpaceDE w:val="0"/>
        <w:autoSpaceDN w:val="0"/>
        <w:adjustRightInd w:val="0"/>
        <w:rPr>
          <w:iCs/>
          <w:noProof/>
          <w:sz w:val="24"/>
          <w:szCs w:val="24"/>
        </w:rPr>
      </w:pPr>
      <w:r>
        <w:rPr>
          <w:iCs/>
          <w:noProof/>
          <w:sz w:val="24"/>
          <w:szCs w:val="24"/>
        </w:rPr>
        <w:t>Täytäntöönpanosäädöksessä on viisi osaa, joista viimeinen koskee ICG-järjestelmän perustamista ja toimintaa koskevia yksityiskohtaisia järjestelyjä.</w:t>
      </w:r>
    </w:p>
    <w:p>
      <w:pPr>
        <w:widowControl w:val="0"/>
        <w:autoSpaceDE w:val="0"/>
        <w:autoSpaceDN w:val="0"/>
        <w:adjustRightInd w:val="0"/>
        <w:rPr>
          <w:iCs/>
          <w:noProof/>
          <w:sz w:val="24"/>
          <w:szCs w:val="24"/>
        </w:rPr>
      </w:pPr>
      <w:r>
        <w:rPr>
          <w:iCs/>
          <w:noProof/>
          <w:sz w:val="24"/>
          <w:szCs w:val="24"/>
        </w:rPr>
        <w:t>ICG-järjestelmä on määrä kehittää riippumattomaksi osaksi nykyistä TRACES-järjestelmää, jota hallinnoi komission terveyden ja elintarviketurvallisuuden pääosasto. Komission on määrä varmistaa sen toiminta ja ylläpito, siihen liittyvä tuki sekä tarvittaessa sen päivittäminen tai kehittäminen.</w:t>
      </w:r>
    </w:p>
    <w:p>
      <w:pPr>
        <w:widowControl w:val="0"/>
        <w:autoSpaceDE w:val="0"/>
        <w:autoSpaceDN w:val="0"/>
        <w:adjustRightInd w:val="0"/>
        <w:rPr>
          <w:iCs/>
          <w:noProof/>
          <w:sz w:val="24"/>
          <w:szCs w:val="24"/>
        </w:rPr>
      </w:pPr>
      <w:r>
        <w:rPr>
          <w:iCs/>
          <w:noProof/>
          <w:sz w:val="24"/>
          <w:szCs w:val="24"/>
        </w:rPr>
        <w:t>Vaadittujen määräaikaiskertomusten laatimiseksi ja järjestelmän kehittämisen, toiminnan ja ylläpidon varmistamiseksi komission on saatava käyttöönsä kaikki ICG-järjestelmän tiedot ja asiakirjat. Komissio varmistaa myös, että ICG-järjestelmä ja kansalliset tullijärjestelmät yhdistetään toisiinsa EU CSW-CERTEX -järjestelmän kautta.</w:t>
      </w:r>
    </w:p>
    <w:p>
      <w:pPr>
        <w:widowControl w:val="0"/>
        <w:autoSpaceDE w:val="0"/>
        <w:autoSpaceDN w:val="0"/>
        <w:adjustRightInd w:val="0"/>
        <w:rPr>
          <w:iCs/>
          <w:noProof/>
          <w:sz w:val="24"/>
          <w:szCs w:val="24"/>
        </w:rPr>
      </w:pPr>
      <w:r>
        <w:rPr>
          <w:iCs/>
          <w:noProof/>
          <w:sz w:val="24"/>
          <w:szCs w:val="24"/>
        </w:rPr>
        <w:t>Jäsenvaltioiden ja komission on nimettävä yhteyspisteitä, jotta ne voivat hallinnoida ja kehittää ICG-järjestelmää, määrittää sitä varten prioriteetit ja seurata sen asianmukaista käyttöönottoa.</w:t>
      </w:r>
    </w:p>
    <w:p>
      <w:pPr>
        <w:widowControl w:val="0"/>
        <w:autoSpaceDE w:val="0"/>
        <w:autoSpaceDN w:val="0"/>
        <w:adjustRightInd w:val="0"/>
        <w:rPr>
          <w:iCs/>
          <w:noProof/>
          <w:sz w:val="24"/>
          <w:szCs w:val="24"/>
        </w:rPr>
      </w:pPr>
      <w:r>
        <w:rPr>
          <w:iCs/>
          <w:noProof/>
          <w:sz w:val="24"/>
          <w:szCs w:val="24"/>
        </w:rPr>
        <w:t>On erittäin tärkeää, että luvan hakijat/haltijat tai tuojien vakuutuksissa mainitut ilmoittajat tunnistetaan oikein ICG-järjestelmässä. Tästä syystä täytäntöönpanosäädöksessä toimijoilta edellytetään tunnistautumista EORI-numeron</w:t>
      </w:r>
      <w:r>
        <w:rPr>
          <w:rStyle w:val="FootnoteReference"/>
          <w:iCs/>
          <w:noProof/>
          <w:sz w:val="24"/>
          <w:szCs w:val="24"/>
          <w:lang w:val="en-GB" w:eastAsia="en-GB"/>
        </w:rPr>
        <w:footnoteReference w:id="14"/>
      </w:r>
      <w:r>
        <w:rPr>
          <w:iCs/>
          <w:noProof/>
          <w:sz w:val="24"/>
          <w:szCs w:val="24"/>
        </w:rPr>
        <w:t xml:space="preserve"> avulla. </w:t>
      </w:r>
    </w:p>
    <w:p>
      <w:pPr>
        <w:widowControl w:val="0"/>
        <w:autoSpaceDE w:val="0"/>
        <w:autoSpaceDN w:val="0"/>
        <w:adjustRightInd w:val="0"/>
        <w:rPr>
          <w:iCs/>
          <w:noProof/>
          <w:sz w:val="24"/>
          <w:szCs w:val="24"/>
        </w:rPr>
      </w:pPr>
      <w:r>
        <w:rPr>
          <w:iCs/>
          <w:noProof/>
          <w:sz w:val="24"/>
          <w:szCs w:val="24"/>
        </w:rPr>
        <w:t xml:space="preserve">Tuontilupahakemusten ja tuojien vakuutusten täyttämistä varten täytäntöönpanosäädöksen liitteessä vahvistetaan tietohakemisto, eli se, minkälaisia tietoja hakijoiden ja ilmoittajien on annettava ICG-järjestelmässä, kun ne täyttävät ja toimittavat asiaankuuluvat lomakkeet. </w:t>
      </w:r>
    </w:p>
    <w:p>
      <w:pPr>
        <w:widowControl w:val="0"/>
        <w:autoSpaceDE w:val="0"/>
        <w:autoSpaceDN w:val="0"/>
        <w:adjustRightInd w:val="0"/>
        <w:rPr>
          <w:iCs/>
          <w:noProof/>
          <w:sz w:val="24"/>
          <w:szCs w:val="24"/>
        </w:rPr>
      </w:pPr>
      <w:r>
        <w:rPr>
          <w:iCs/>
          <w:noProof/>
          <w:sz w:val="24"/>
          <w:szCs w:val="24"/>
        </w:rPr>
        <w:t>Vaikka perussäädöksessä viitataan ”muotoon”, sitä ei pitäisi ottaa kirjaimellisesti, koska täytettävät lomakkeet ovat sähköisiä eivätkä tyypillisiä paperiasiakirjoja. Luvan, vakuutuksen tai yleiskuvauksen tulostaminen on mahdollista, mutta toisin kuin kulttuuriesineiden vientiasetuksen eritelmissä mainitaan, ne voidaan tulostaa mille tahansa paperille (ts. sivun pakollisia mittoja tai paperin paksuutta tai turvakuvioita ei ole). Aina, kun tulliviranomaisten tai toimivaltaisten viranomaisten on tarkistettava lupa tai vakuutus, ne hakevat sen sähköisesti ICG-järjestelmästä. Lisäksi tällaiset haetut asiakirjat ovat itsenäisiä, mikä tarkoittaa, että sähköisten allekirjoitusten voimassaolo ja asiakirjan eheys tarkistetaan aina, kun asiakirja (tai sen kopio) haetaan, eIDAS-standardin</w:t>
      </w:r>
      <w:r>
        <w:rPr>
          <w:rStyle w:val="FootnoteReference"/>
          <w:iCs/>
          <w:noProof/>
          <w:sz w:val="24"/>
          <w:szCs w:val="24"/>
          <w:lang w:val="en-GB" w:eastAsia="en-GB"/>
        </w:rPr>
        <w:footnoteReference w:id="15"/>
      </w:r>
      <w:r>
        <w:rPr>
          <w:iCs/>
          <w:noProof/>
          <w:sz w:val="24"/>
          <w:szCs w:val="24"/>
        </w:rPr>
        <w:t xml:space="preserve"> mukaisesti.</w:t>
      </w:r>
    </w:p>
    <w:p>
      <w:pPr>
        <w:widowControl w:val="0"/>
        <w:autoSpaceDE w:val="0"/>
        <w:autoSpaceDN w:val="0"/>
        <w:adjustRightInd w:val="0"/>
        <w:rPr>
          <w:iCs/>
          <w:noProof/>
          <w:sz w:val="24"/>
          <w:szCs w:val="24"/>
        </w:rPr>
      </w:pPr>
      <w:r>
        <w:rPr>
          <w:iCs/>
          <w:noProof/>
          <w:sz w:val="24"/>
          <w:szCs w:val="24"/>
        </w:rPr>
        <w:t>Koska dokumentaatio on olemassa ICG-järjestelmässä ja se asetetaan tullin saataville sähköisesti EU-CSW CERTEX -järjestelmän kautta, väärentämisen vaaraa ei ole, toisin kuin paperisissa asiakirjoissa. Lisäksi täytäntöönpanosäädöksessä annetaan sähköisten sinettien ja allekirjoitusten muodossa joukko takeita, joilla estetään sisällön laiton muuttaminen ja vahvistetaan tarkka aika ja päivämäärä, jolloin toimivaltainen viranomainen on toimittanut tai vastaanottanut lomakkeen.</w:t>
      </w:r>
    </w:p>
    <w:p>
      <w:pPr>
        <w:widowControl w:val="0"/>
        <w:autoSpaceDE w:val="0"/>
        <w:autoSpaceDN w:val="0"/>
        <w:adjustRightInd w:val="0"/>
        <w:rPr>
          <w:iCs/>
          <w:noProof/>
          <w:sz w:val="24"/>
          <w:szCs w:val="24"/>
        </w:rPr>
      </w:pPr>
      <w:r>
        <w:rPr>
          <w:iCs/>
          <w:noProof/>
          <w:sz w:val="24"/>
          <w:szCs w:val="24"/>
        </w:rPr>
        <w:t>Toimivaltaisen viranomaisen valtuuttama virkamies allekirjoittaa sähköiset tuontiluvat sähköisellä allekirjoituksellaan, ne leimataan luvan antavan toimivaltaisen viranomaisen kehittyneellä tai hyväksytyllä sähköisellä leimalla ja tämän jälkeen ne leimataan ICG-järjestelmässä kehittyneellä tai hyväksytyllä sähköisellä leimalla.</w:t>
      </w:r>
    </w:p>
    <w:p>
      <w:pPr>
        <w:widowControl w:val="0"/>
        <w:autoSpaceDE w:val="0"/>
        <w:autoSpaceDN w:val="0"/>
        <w:adjustRightInd w:val="0"/>
        <w:rPr>
          <w:iCs/>
          <w:noProof/>
          <w:sz w:val="24"/>
          <w:szCs w:val="24"/>
        </w:rPr>
      </w:pPr>
      <w:r>
        <w:rPr>
          <w:iCs/>
          <w:noProof/>
          <w:sz w:val="24"/>
          <w:szCs w:val="24"/>
        </w:rPr>
        <w:t>Lisäksi lupahakemusten toimittaminen, toimivaltaisen viranomaisen lisätietopyynnön esittäminen, hakijan lisätietojen tai lisäasiakirjan toimittaminen, toimivaltaisen viranomaisen päätös, ja 90 päivän määräaika kirjautuu ICG-järjestelmään ilman toimivaltaisen viranomaisen päätöstä sähköisellä pätevällä aikaleimalla.</w:t>
      </w:r>
    </w:p>
    <w:p>
      <w:pPr>
        <w:widowControl w:val="0"/>
        <w:autoSpaceDE w:val="0"/>
        <w:autoSpaceDN w:val="0"/>
        <w:adjustRightInd w:val="0"/>
        <w:rPr>
          <w:iCs/>
          <w:noProof/>
          <w:sz w:val="24"/>
          <w:szCs w:val="24"/>
        </w:rPr>
      </w:pPr>
      <w:r>
        <w:rPr>
          <w:iCs/>
          <w:noProof/>
          <w:sz w:val="24"/>
          <w:szCs w:val="24"/>
        </w:rPr>
        <w:t xml:space="preserve">ICG-järjestelmän asiakirjojen saatavuuden osalta täytäntöönpanosäädöksessä säädetään, että tullilla ja toimivaltaisilla viranomaisilla on oikeus saada tuontiluvat, joista on tehty päätös, sekä tuojien vakuutukset ja yleiset kuvaukset, jotka on toimitettu tullille. Toimijat saavat käyttöönsä omat lupansa, vakuutuksensa ja yleiset kuvauksensa. Kaupan helpottamiseksi ne voivat myös tarjota ICG-järjestelmässä pääsyn samoihin asiakirjoihin muille osapuolille (esimerkiksi mahdollisille asiakkaille ja asiantuntijoille). </w:t>
      </w:r>
    </w:p>
    <w:p>
      <w:pPr>
        <w:widowControl w:val="0"/>
        <w:autoSpaceDE w:val="0"/>
        <w:autoSpaceDN w:val="0"/>
        <w:adjustRightInd w:val="0"/>
        <w:rPr>
          <w:iCs/>
          <w:noProof/>
          <w:sz w:val="24"/>
          <w:szCs w:val="24"/>
        </w:rPr>
      </w:pPr>
      <w:r>
        <w:rPr>
          <w:iCs/>
          <w:noProof/>
          <w:sz w:val="24"/>
          <w:szCs w:val="24"/>
        </w:rPr>
        <w:t>Komissio ja jäsenvaltiot toimivat ICG-järjestelmän perustamiseksi tarvittavien prosessitoimien rekisterinpitäjinä. Sitä varten niiden on järjestettävä yhteinen rekisterinpito viimeistään 28. kesäkuuta 2022.</w:t>
      </w:r>
    </w:p>
    <w:p>
      <w:pPr>
        <w:widowControl w:val="0"/>
        <w:autoSpaceDE w:val="0"/>
        <w:autoSpaceDN w:val="0"/>
        <w:adjustRightInd w:val="0"/>
        <w:rPr>
          <w:iCs/>
          <w:noProof/>
          <w:sz w:val="24"/>
          <w:szCs w:val="24"/>
        </w:rPr>
      </w:pPr>
      <w:r>
        <w:rPr>
          <w:iCs/>
          <w:noProof/>
          <w:sz w:val="24"/>
          <w:szCs w:val="24"/>
        </w:rPr>
        <w:t xml:space="preserve">Jotta voidaan vahvistaa ICG-järjestelmän saatavuutta ja tehokkuutta koskevat käytännön vaatimukset sekä varmistaa liiketoiminnan jatkuvuus, täytäntöönpanosäädöksessä säädetään komission ja jäsenvaltioiden välisten operatiivisten sopimusten tekemisestä. </w:t>
      </w:r>
    </w:p>
    <w:p>
      <w:pPr>
        <w:widowControl w:val="0"/>
        <w:autoSpaceDE w:val="0"/>
        <w:autoSpaceDN w:val="0"/>
        <w:adjustRightInd w:val="0"/>
        <w:rPr>
          <w:iCs/>
          <w:noProof/>
          <w:sz w:val="24"/>
          <w:szCs w:val="24"/>
        </w:rPr>
      </w:pPr>
      <w:r>
        <w:rPr>
          <w:iCs/>
          <w:noProof/>
          <w:sz w:val="24"/>
          <w:szCs w:val="24"/>
        </w:rPr>
        <w:t>Siltä varalta, että ICG-järjestelmä ei ole käytettävissä yli kahdeksaan tuntiin, vaikka näin ei oleteta tapahtuvan, on otettu käyttöön tiettyjä varajärjestelyjä. Jäsenvaltioiden ICG-järjestelmän yhteyspisteiden on erityisesti ylläpidettävä verkossa olevaa julkista rekisteriä, joka sisältää kirjoitettavan sähköisen mallin kaikista ICG-järjestelmässä mahdollisesti myönnettävistä asiakirjoista. Kun ICG-järjestelmä tai jokin sen toiminnoista tulee uudelleen käyttöön, toimijat voivat käyttää verkkorekisterissä luotuja asiakirjoja samojen tietojen kirjaamiseksi järjestelmään.</w:t>
      </w:r>
    </w:p>
    <w:p>
      <w:pPr>
        <w:widowControl w:val="0"/>
        <w:autoSpaceDE w:val="0"/>
        <w:autoSpaceDN w:val="0"/>
        <w:adjustRightInd w:val="0"/>
        <w:spacing w:after="240"/>
        <w:rPr>
          <w:iCs/>
          <w:noProof/>
          <w:sz w:val="24"/>
          <w:szCs w:val="24"/>
        </w:rPr>
      </w:pPr>
      <w:r>
        <w:rPr>
          <w:iCs/>
          <w:noProof/>
          <w:sz w:val="24"/>
          <w:szCs w:val="24"/>
        </w:rPr>
        <w:t>Lisäksi täytäntöönpanosäädös sisältää tiettyjä järjestelmän turvallisuutta koskevia säännöksiä, joilla varmistetaan luotettava ja turvallinen toiminta erityisesti tietolähteen tarkistamiseksi ja tietojen suojaamiseksi luvattomalta käytöltä, katoamiselta, muuttamiselta tai hävittämiseltä. Jokainen tietojen syöttö-, muutos- tai poistotapahtuma on kirjattava siten, että siitä ilmenee käsittelyn tarkoitus, tarkka ajankohta ja sen suorittanut henkilö. Lisäksi jäsenvaltioiden on ilmoitettava toisilleen, komissiolle ja tarvittaessa myös asianomaiselle toimijalle kaikista tosiasiallisista tai epäillyistä ICG-järjestelmän tietoturvaloukkauksista.</w:t>
      </w:r>
    </w:p>
    <w:p>
      <w:pPr>
        <w:pStyle w:val="Heading2"/>
        <w:rPr>
          <w:noProof/>
        </w:rPr>
      </w:pPr>
      <w:bookmarkStart w:id="8" w:name="_Toc76037702"/>
      <w:r>
        <w:rPr>
          <w:noProof/>
        </w:rPr>
        <w:t>Hankkeen kehittäminen – työskentely hankeryhmän kanssa</w:t>
      </w:r>
      <w:bookmarkEnd w:id="8"/>
    </w:p>
    <w:p>
      <w:pPr>
        <w:spacing w:after="160" w:line="259" w:lineRule="auto"/>
        <w:rPr>
          <w:iCs/>
          <w:noProof/>
          <w:sz w:val="24"/>
          <w:szCs w:val="24"/>
        </w:rPr>
      </w:pPr>
      <w:r>
        <w:rPr>
          <w:iCs/>
          <w:noProof/>
          <w:sz w:val="24"/>
          <w:szCs w:val="24"/>
        </w:rPr>
        <w:t>Komissio on perustanut kulttuuriesineiden tuontia käsittelevän tulliohjelman hankeryhmän (”PGICG”). Se toimii keskustelufoorumina jäsenvaltioiden kansallisten tullihallintojen asiantuntijoille ja toimivaltaisille (kulttuuri-)viranomaisille, joilla on kokemusta kulttuuriperintöasioiden lupamuodollisuuksien hoitamisesta erityisesti digitaalisesti. Ryhmä tuki täytäntöönpanosäädöksen laatimisessa ja auttaa komission yksiköitä parametrien määrittelyssä ja ICG-järjestelmän toiminnallisten eritelmien kriteerien yksityiskohtaisessa käsittelyssä.</w:t>
      </w:r>
    </w:p>
    <w:p>
      <w:pPr>
        <w:widowControl w:val="0"/>
        <w:autoSpaceDE w:val="0"/>
        <w:autoSpaceDN w:val="0"/>
        <w:adjustRightInd w:val="0"/>
        <w:rPr>
          <w:iCs/>
          <w:noProof/>
          <w:sz w:val="24"/>
          <w:szCs w:val="24"/>
        </w:rPr>
      </w:pPr>
      <w:r>
        <w:rPr>
          <w:iCs/>
          <w:noProof/>
          <w:sz w:val="24"/>
          <w:szCs w:val="24"/>
        </w:rPr>
        <w:t>Hankeryhmä</w:t>
      </w:r>
      <w:r>
        <w:rPr>
          <w:rStyle w:val="FootnoteReference"/>
          <w:iCs/>
          <w:noProof/>
          <w:sz w:val="24"/>
          <w:szCs w:val="24"/>
          <w:lang w:val="en-GB" w:eastAsia="en-GB"/>
        </w:rPr>
        <w:footnoteReference w:id="16"/>
      </w:r>
      <w:r>
        <w:rPr>
          <w:iCs/>
          <w:noProof/>
          <w:sz w:val="24"/>
          <w:szCs w:val="24"/>
        </w:rPr>
        <w:t xml:space="preserve"> koostuu 11 jäsenvaltion (AT, BE, BG, ES, LV, PT, RO, DE, NL, IT ja FR) 18 edustajasta ja on tähän mennessä kokoontunut yhdeksän kertaa (neljä kertaa raportointijaksolla 29.6.2020–28.6.2021).</w:t>
      </w:r>
    </w:p>
    <w:p>
      <w:pPr>
        <w:widowControl w:val="0"/>
        <w:autoSpaceDE w:val="0"/>
        <w:autoSpaceDN w:val="0"/>
        <w:adjustRightInd w:val="0"/>
        <w:spacing w:after="240"/>
        <w:rPr>
          <w:iCs/>
          <w:noProof/>
          <w:sz w:val="24"/>
          <w:szCs w:val="24"/>
        </w:rPr>
      </w:pPr>
      <w:r>
        <w:rPr>
          <w:iCs/>
          <w:noProof/>
          <w:sz w:val="24"/>
          <w:szCs w:val="24"/>
        </w:rPr>
        <w:t>Tämän raportointijakson aikana hankeryhmä työskenteli pääasiassa tietoteknisen järjestelmän laajuuden, vähimmäistoimintojen ja käyttäjävaatimusten määrittelyn parissa. Näiden keskustelujen tulokset on otettu huomioon ensin toimintamallissa, ja sen jälkeen niitä on hiottu kehittämisasiakirjassa.</w:t>
      </w:r>
    </w:p>
    <w:p>
      <w:pPr>
        <w:pStyle w:val="Heading2"/>
        <w:rPr>
          <w:noProof/>
        </w:rPr>
      </w:pPr>
      <w:bookmarkStart w:id="9" w:name="_Toc76037703"/>
      <w:r>
        <w:rPr>
          <w:noProof/>
        </w:rPr>
        <w:t>Käsitteellinen suunnittelu – toimintamalli</w:t>
      </w:r>
      <w:bookmarkEnd w:id="9"/>
    </w:p>
    <w:p>
      <w:pPr>
        <w:widowControl w:val="0"/>
        <w:autoSpaceDE w:val="0"/>
        <w:autoSpaceDN w:val="0"/>
        <w:adjustRightInd w:val="0"/>
        <w:rPr>
          <w:iCs/>
          <w:noProof/>
          <w:sz w:val="24"/>
          <w:szCs w:val="24"/>
        </w:rPr>
      </w:pPr>
      <w:r>
        <w:rPr>
          <w:iCs/>
          <w:noProof/>
          <w:sz w:val="24"/>
          <w:szCs w:val="24"/>
        </w:rPr>
        <w:t>ITCB</w:t>
      </w:r>
      <w:r>
        <w:rPr>
          <w:rStyle w:val="FootnoteReference"/>
          <w:iCs/>
          <w:noProof/>
          <w:sz w:val="24"/>
          <w:szCs w:val="24"/>
          <w:lang w:val="en-GB" w:eastAsia="en-GB"/>
        </w:rPr>
        <w:footnoteReference w:id="17"/>
      </w:r>
      <w:r>
        <w:rPr>
          <w:iCs/>
          <w:noProof/>
          <w:sz w:val="24"/>
          <w:szCs w:val="24"/>
        </w:rPr>
        <w:t xml:space="preserve"> on hyväksynyt toimintamallin 23. syyskuuta 2020 ja sähköisen tullin koordinointiryhmä 16. lokakuuta 2020 ilman huomautuksia. Toimintamallilla tutkitaan eri vaihtoehtoja ja vahvistetaan, että terveyden ja elintarviketurvallisuuden pääosaston hallinnoima TRACES-järjestelmä on sopivin alusta ICG-järjestelmän kehittämiselle, koska useimmat sertifiointi- ja lupajärjestelmien edellyttämät toiminnot ovat hyvin kehittyneitä kyseisellä alustalla.</w:t>
      </w:r>
    </w:p>
    <w:p>
      <w:pPr>
        <w:widowControl w:val="0"/>
        <w:autoSpaceDE w:val="0"/>
        <w:autoSpaceDN w:val="0"/>
        <w:adjustRightInd w:val="0"/>
        <w:rPr>
          <w:iCs/>
          <w:noProof/>
          <w:sz w:val="24"/>
          <w:szCs w:val="24"/>
          <w:lang w:eastAsia="en-GB"/>
        </w:rPr>
      </w:pPr>
    </w:p>
    <w:p>
      <w:pPr>
        <w:pStyle w:val="Heading2"/>
        <w:rPr>
          <w:noProof/>
        </w:rPr>
      </w:pPr>
      <w:bookmarkStart w:id="10" w:name="_Toc76037704"/>
      <w:r>
        <w:rPr>
          <w:noProof/>
        </w:rPr>
        <w:t>Hankkeen määrittely – kehittämisasiakirja</w:t>
      </w:r>
      <w:bookmarkEnd w:id="10"/>
    </w:p>
    <w:p>
      <w:pPr>
        <w:widowControl w:val="0"/>
        <w:autoSpaceDE w:val="0"/>
        <w:autoSpaceDN w:val="0"/>
        <w:adjustRightInd w:val="0"/>
        <w:spacing w:after="240"/>
        <w:rPr>
          <w:iCs/>
          <w:noProof/>
          <w:sz w:val="24"/>
          <w:szCs w:val="24"/>
        </w:rPr>
      </w:pPr>
      <w:r>
        <w:rPr>
          <w:iCs/>
          <w:noProof/>
          <w:sz w:val="24"/>
          <w:szCs w:val="24"/>
        </w:rPr>
        <w:t>Kehittämisasiakirjassa tarkennetaan toimintamallissa tehtyä alustavaa arviointia ja esitetään yksityiskohtaisesti metodologinen lähestymistapa, hankkeen hallinnointi ja synergiat muiden hankkeiden kanssa. Näin ollen ICG-järjestelmää kehitetään yhteistyössä komission verotuksen ja tulliliiton pääosaston ja terveyden ja elintarviketurvallisuuden pääosaston kanssa hyödyntämällä näiden kahden pääosaston välistä pitkäaikaista yhteistyötä ja synergiaa tulliviranomaisten ja toimivaltaisten kumppaniviranomaisten välisessä yhteistyössä, mikä on tähän mennessä osoittautunut erittäin onnistuneeksi eläinten, elintarvikkeiden ja rehujen tuonnin valvonnan alalla. Kehittämisasiakirja on viimeistelyvaiheessa, ja sähköisen tullin koordinointiryhmän odotetaan hyväksyvän sen kesäkuun 2021 loppuun mennessä.</w:t>
      </w:r>
    </w:p>
    <w:p>
      <w:pPr>
        <w:pStyle w:val="Heading1"/>
        <w:keepLines w:val="0"/>
        <w:numPr>
          <w:ilvl w:val="0"/>
          <w:numId w:val="1"/>
        </w:numPr>
        <w:spacing w:after="120"/>
        <w:ind w:left="432" w:hanging="432"/>
        <w:rPr>
          <w:rFonts w:ascii="Times New Roman" w:eastAsia="Times New Roman" w:hAnsi="Times New Roman" w:cs="Times New Roman"/>
          <w:smallCaps/>
          <w:noProof/>
          <w:szCs w:val="24"/>
        </w:rPr>
      </w:pPr>
      <w:bookmarkStart w:id="11" w:name="_Toc76037705"/>
      <w:r>
        <w:rPr>
          <w:rFonts w:ascii="Times New Roman" w:hAnsi="Times New Roman"/>
          <w:smallCaps/>
          <w:noProof/>
          <w:szCs w:val="24"/>
        </w:rPr>
        <w:t>VIIVÄSTYMISRISKIT</w:t>
      </w:r>
      <w:bookmarkEnd w:id="11"/>
    </w:p>
    <w:p>
      <w:pPr>
        <w:rPr>
          <w:b/>
          <w:noProof/>
          <w:sz w:val="24"/>
          <w:szCs w:val="24"/>
          <w:u w:val="single"/>
        </w:rPr>
      </w:pPr>
      <w:r>
        <w:rPr>
          <w:b/>
          <w:noProof/>
          <w:sz w:val="24"/>
          <w:szCs w:val="24"/>
          <w:u w:val="single"/>
        </w:rPr>
        <w:t>Hanketiivistelmä</w:t>
      </w:r>
    </w:p>
    <w:p>
      <w:pPr>
        <w:rPr>
          <w:noProof/>
          <w:sz w:val="24"/>
          <w:szCs w:val="24"/>
        </w:rPr>
      </w:pPr>
      <w:r>
        <w:rPr>
          <w:noProof/>
          <w:sz w:val="24"/>
          <w:szCs w:val="24"/>
        </w:rPr>
        <w:t xml:space="preserve">Komission tehtävänä on kehittää keskitetty sähköinen lupajärjestelmä ja yhdistää se kansallisten tullien järjestelmiin kuuden vuoden kuluessa asetuksen voimaantulosta. Aloitteen toteuttamiseksi verotuksen ja tulliliiton pääosastoon tarvitaan kaksi hallintovirkamiehen virkaa asiaankuuluvan säädökseen liittyvän rahoitusselvityksen mukaisesti. </w:t>
      </w:r>
    </w:p>
    <w:p>
      <w:pPr>
        <w:rPr>
          <w:b/>
          <w:noProof/>
          <w:sz w:val="24"/>
          <w:szCs w:val="24"/>
          <w:u w:val="single"/>
        </w:rPr>
      </w:pPr>
      <w:r>
        <w:rPr>
          <w:b/>
          <w:noProof/>
          <w:sz w:val="24"/>
          <w:szCs w:val="24"/>
          <w:u w:val="single"/>
        </w:rPr>
        <w:t>Riskin otsikko ja kuvaus</w:t>
      </w:r>
    </w:p>
    <w:p>
      <w:pPr>
        <w:rPr>
          <w:noProof/>
          <w:sz w:val="24"/>
          <w:szCs w:val="24"/>
        </w:rPr>
      </w:pPr>
      <w:r>
        <w:rPr>
          <w:noProof/>
          <w:sz w:val="24"/>
          <w:szCs w:val="24"/>
        </w:rPr>
        <w:t>ICG-järjestelmän toteuttaminen riippuu asianmukaisen rahoituksen hyväksymisestä ja varojen kohdentamisesta verotuksen ja tulliliiton pääosastolle ottaen huomioon sen eri painopisteet.</w:t>
      </w:r>
    </w:p>
    <w:p>
      <w:pPr>
        <w:rPr>
          <w:b/>
          <w:noProof/>
          <w:sz w:val="24"/>
          <w:szCs w:val="24"/>
        </w:rPr>
      </w:pPr>
      <w:r>
        <w:rPr>
          <w:b/>
          <w:noProof/>
          <w:sz w:val="24"/>
          <w:szCs w:val="24"/>
        </w:rPr>
        <w:t>Riski 1 – henkilöstön osoittaminen</w:t>
      </w:r>
    </w:p>
    <w:p>
      <w:pPr>
        <w:rPr>
          <w:noProof/>
          <w:sz w:val="24"/>
          <w:szCs w:val="24"/>
        </w:rPr>
      </w:pPr>
      <w:r>
        <w:rPr>
          <w:noProof/>
          <w:sz w:val="24"/>
          <w:szCs w:val="24"/>
        </w:rPr>
        <w:t>Tietojärjestelmän luominen ei sisältynyt komission alkuperäiseen ehdotukseen. Siksi vastaavia resursseja ei osoitettu. Neuvottelujen aikana ja lainsäätäjien vaatimuksesta ICG-järjestelmän luominen sisällytettiin asetukseen, jossa vaadittiin tuossa vaiheessa odottamattomasti lisäresursseja. Verotuksen ja tulliliiton pääosastossa arvioitiin joulukuussa 2018 lopullisten poliittisten kolmikantaneuvottelujen aikana, että tässä kuusivuotisessa hankkeessa tarvitaan tietotekniikan kehittämiseen kaksi kokoaikaista hallintovirkamiehen virkaa. Kuitenkin varoja osoitettiin heinäkuun 2020 puolivälistä lähtien vain yhtä hallintovirkamiestä varten.</w:t>
      </w:r>
    </w:p>
    <w:p>
      <w:pPr>
        <w:rPr>
          <w:b/>
          <w:noProof/>
          <w:sz w:val="24"/>
          <w:szCs w:val="24"/>
        </w:rPr>
      </w:pPr>
      <w:r>
        <w:rPr>
          <w:b/>
          <w:noProof/>
          <w:sz w:val="24"/>
          <w:szCs w:val="24"/>
        </w:rPr>
        <w:t>Riski 2 – covid-19-pandemia</w:t>
      </w:r>
    </w:p>
    <w:p>
      <w:pPr>
        <w:rPr>
          <w:noProof/>
          <w:sz w:val="24"/>
          <w:szCs w:val="24"/>
        </w:rPr>
      </w:pPr>
      <w:r>
        <w:rPr>
          <w:noProof/>
          <w:sz w:val="24"/>
          <w:szCs w:val="24"/>
        </w:rPr>
        <w:t>Edellä tunnistettujen riskien lisäksi covid-19:n aiheuttama kansanterveydellinen kriisitilanne vaikuttaa jonkin verran työryhmän valmiuteen toteuttaa järjestelmä ja erityisesti hankkeen toimintaan sekä asiantuntijaryhmän ja hankeryhmän kokouksiin jäsenvaltioiden kanssa. Kokoukset pidettiin virtuaalisina kokouksina, ja niiden esityslistat olivat lyhyemmät ja vuorovaikutus oli rajallista. Lisäksi kansanterveydellinen kriisitilanne pakotti jäsenvaltiot muuttamaan omaa tärkeysjärjestystään ja rajoitti siten niiden valmiutta antaa hankkeeseen oma panoksensa ja palautteensa. Nämä vaikutukset riippuvat siitä, kuinka kauan kansanterveydellinen kriisitilanne kestää.</w:t>
      </w:r>
    </w:p>
    <w:p>
      <w:pPr>
        <w:rPr>
          <w:b/>
          <w:noProof/>
          <w:sz w:val="24"/>
          <w:szCs w:val="24"/>
        </w:rPr>
      </w:pPr>
      <w:r>
        <w:rPr>
          <w:b/>
          <w:noProof/>
          <w:sz w:val="24"/>
          <w:szCs w:val="24"/>
        </w:rPr>
        <w:t>Riski 3 – ehdotus EU:n tullialan yhdennetystä toimintaympäristöstä</w:t>
      </w:r>
    </w:p>
    <w:p>
      <w:pPr>
        <w:rPr>
          <w:noProof/>
          <w:sz w:val="24"/>
          <w:szCs w:val="24"/>
        </w:rPr>
      </w:pPr>
      <w:r>
        <w:rPr>
          <w:noProof/>
          <w:sz w:val="24"/>
          <w:szCs w:val="24"/>
        </w:rPr>
        <w:t>ICG-järjestelmän toimivuus riippuu siitä, miten menestyksekäs on komission ehdotus EU:n tullialan yhdennetystä toimintaympäristöstä, jonka tavoitteena on tarjota oikeusperusta EU CSW-CERTEX -järjestelmän toiminnalle. Ehdotuksen sisältämä hallitusten välinen pilari (G2G) kuvaa sitä, miten tulliviranomaiset ja toimivaltaiset kumppaniviranomaiset vaihtavat tietoja digitaalisesti. Niinpä jos lainsäädäntövallan käyttäjät päätyvät lopulta sopimukseen, joka eroaa huomattavasti ehdotukseen sisältyvästä G2G-lähestymistavasta, tämä vaikuttaa siihen, miten ICG-järjestelmä ja EU CSW-CERTEX -järjestelmä ovat yhteydessä toisiinsa, sekä edellä kuvattuun ICG-järjestelmän täytäntöönpanosäännökseen.</w:t>
      </w:r>
    </w:p>
    <w:p>
      <w:pPr>
        <w:rPr>
          <w:b/>
          <w:noProof/>
          <w:sz w:val="24"/>
          <w:szCs w:val="24"/>
        </w:rPr>
      </w:pPr>
      <w:r>
        <w:rPr>
          <w:b/>
          <w:noProof/>
          <w:sz w:val="24"/>
          <w:szCs w:val="24"/>
        </w:rPr>
        <w:t>Riski 4 – määrärahojen käytettävyys</w:t>
      </w:r>
    </w:p>
    <w:p>
      <w:pPr>
        <w:rPr>
          <w:noProof/>
          <w:sz w:val="24"/>
          <w:szCs w:val="24"/>
        </w:rPr>
      </w:pPr>
      <w:r>
        <w:rPr>
          <w:noProof/>
          <w:sz w:val="24"/>
          <w:szCs w:val="24"/>
        </w:rPr>
        <w:t>Määrärahojen epävarmuus uutta monivuotista rahoituskehystä koskevien neuvottelujen vuoksi teki hankkeen edistymisestä hyvin haastavaa. On kuitenkin huomattava, että monivuotista rahoituskehystä koskevien neuvottelujen myönteinen tulos on lieventänyt tätä riskiä vuoden 2020 lopusta lähtien ja että talousarvion osalta uusi tulliohjelma kattaa tämän aloitteen täysin.</w:t>
      </w:r>
    </w:p>
    <w:p>
      <w:pPr>
        <w:rPr>
          <w:b/>
          <w:noProof/>
          <w:sz w:val="24"/>
          <w:szCs w:val="24"/>
        </w:rPr>
      </w:pPr>
      <w:r>
        <w:rPr>
          <w:b/>
          <w:noProof/>
          <w:sz w:val="24"/>
          <w:szCs w:val="24"/>
        </w:rPr>
        <w:t>Lieventävät toimenpiteet</w:t>
      </w:r>
    </w:p>
    <w:p>
      <w:pPr>
        <w:spacing w:after="240"/>
        <w:rPr>
          <w:noProof/>
          <w:sz w:val="24"/>
          <w:szCs w:val="24"/>
        </w:rPr>
      </w:pPr>
      <w:r>
        <w:rPr>
          <w:noProof/>
          <w:sz w:val="24"/>
          <w:szCs w:val="24"/>
        </w:rPr>
        <w:t xml:space="preserve">Riskeistä on raportoitu verotuksen ja tulliliiton pääosastossa. </w:t>
      </w:r>
    </w:p>
    <w:p>
      <w:pPr>
        <w:pStyle w:val="Heading1"/>
        <w:keepLines w:val="0"/>
        <w:numPr>
          <w:ilvl w:val="0"/>
          <w:numId w:val="1"/>
        </w:numPr>
        <w:spacing w:after="120"/>
        <w:ind w:left="432" w:hanging="432"/>
        <w:rPr>
          <w:rFonts w:ascii="Times New Roman" w:eastAsia="Times New Roman" w:hAnsi="Times New Roman" w:cs="Times New Roman"/>
          <w:smallCaps/>
          <w:noProof/>
          <w:szCs w:val="24"/>
        </w:rPr>
      </w:pPr>
      <w:bookmarkStart w:id="12" w:name="_Toc76037706"/>
      <w:r>
        <w:rPr>
          <w:rFonts w:ascii="Times New Roman" w:hAnsi="Times New Roman"/>
          <w:smallCaps/>
          <w:noProof/>
          <w:szCs w:val="24"/>
        </w:rPr>
        <w:t>PÄÄTELMÄT</w:t>
      </w:r>
      <w:bookmarkEnd w:id="12"/>
    </w:p>
    <w:p>
      <w:pPr>
        <w:rPr>
          <w:noProof/>
          <w:sz w:val="24"/>
          <w:szCs w:val="24"/>
        </w:rPr>
      </w:pPr>
      <w:r>
        <w:rPr>
          <w:noProof/>
          <w:sz w:val="24"/>
          <w:szCs w:val="24"/>
        </w:rPr>
        <w:t>Tämän toisen edistymiskertomuksen kattamalla kaudella toteutetut tärkeimmät toimet kulttuuriesineiden keskitetyn sähköisen tuontijärjestelmän (ICG-järjestelmä) kehittämiseksi ovat seuraavat: 1) täytäntöönpanosäännösten hyväksyminen asetuksen (EU) 2019/880 soveltamiseksi, 2) tätä tarkoitusta varten perustetun hankeryhmän tekemä työ ja 3) ICG-hankkeen toimintamallin ja kehittämisasiakirjan edistäminen.</w:t>
      </w:r>
    </w:p>
    <w:p>
      <w:pPr>
        <w:rPr>
          <w:noProof/>
          <w:sz w:val="24"/>
          <w:szCs w:val="24"/>
        </w:rPr>
      </w:pPr>
      <w:r>
        <w:rPr>
          <w:noProof/>
          <w:sz w:val="24"/>
          <w:szCs w:val="24"/>
        </w:rPr>
        <w:t>Vaikka komissio on tähän asti pysynyt aikataulussa, joitakin mahdollisia riskejä ICG-järjestelmän toteuttamiselle asetetussa määräajassa on tunnistettu. Yksi riski on hankkeeseen osoitettuun henkilöstöön liittyvä epävarmuus, koska se riippuu nykyisten määrärahojen käytettävyydestä ja tullien yleisistä tietotekniikan kehittämisen painopisteistä</w:t>
      </w:r>
      <w:r>
        <w:rPr>
          <w:rStyle w:val="FootnoteReference"/>
          <w:noProof/>
          <w:sz w:val="24"/>
          <w:szCs w:val="24"/>
          <w:lang w:val="en-GB"/>
        </w:rPr>
        <w:footnoteReference w:id="18"/>
      </w:r>
      <w:r>
        <w:rPr>
          <w:noProof/>
          <w:sz w:val="24"/>
          <w:szCs w:val="24"/>
        </w:rPr>
        <w:t>. Myös covid-19:n aiheuttama kansanterveydellinen kriisitilanne vaikuttaa hieman ICG-hankkeen edistymiseen.</w:t>
      </w:r>
      <w:r>
        <w:rPr>
          <w:noProof/>
        </w:rPr>
        <w:t xml:space="preserve"> </w:t>
      </w:r>
      <w:r>
        <w:rPr>
          <w:noProof/>
          <w:sz w:val="24"/>
          <w:szCs w:val="24"/>
        </w:rPr>
        <w:t>Koko vaikutus riippuu siitä, kuinka kauan kansanterveydellinen kriisitilanne kestää.</w:t>
      </w:r>
    </w:p>
    <w:p>
      <w:pPr>
        <w:spacing w:after="160" w:line="259" w:lineRule="auto"/>
        <w:jc w:val="left"/>
        <w:rPr>
          <w:rFonts w:ascii="Times New Roman Bold" w:eastAsiaTheme="majorEastAsia" w:hAnsi="Times New Roman Bold" w:cstheme="majorBidi"/>
          <w:b/>
          <w:caps/>
          <w:noProof/>
          <w:sz w:val="24"/>
          <w:szCs w:val="32"/>
        </w:rPr>
      </w:pPr>
      <w:r>
        <w:rPr>
          <w:noProof/>
        </w:rPr>
        <w:br w:type="page"/>
      </w:r>
    </w:p>
    <w:p>
      <w:pPr>
        <w:pStyle w:val="Heading1"/>
        <w:spacing w:after="240"/>
        <w:jc w:val="center"/>
        <w:rPr>
          <w:noProof/>
        </w:rPr>
      </w:pPr>
      <w:bookmarkStart w:id="13" w:name="_Toc76037707"/>
      <w:r>
        <w:rPr>
          <w:noProof/>
        </w:rPr>
        <w:t>Liite I: Monivuotinen strategiasuunnittelu</w:t>
      </w:r>
      <w:bookmarkEnd w:id="13"/>
    </w:p>
    <w:p>
      <w:pPr>
        <w:pStyle w:val="Default"/>
        <w:spacing w:after="120"/>
        <w:jc w:val="both"/>
        <w:rPr>
          <w:noProof/>
          <w:color w:val="auto"/>
        </w:rPr>
      </w:pPr>
      <w:r>
        <w:rPr>
          <w:noProof/>
          <w:color w:val="auto"/>
        </w:rPr>
        <w:t>MASP-C-suunnitelmalla varmistetaan tietotekniikkahankkeiden tehokas ja yhtenäinen hallinta määrittämällä sekä strateginen kehys että välitavoitteet. Sen vahvistavat viime kädessä tullipoliittisen ryhmän jäsenvaltiot sähköisen tullin koordinointiryhmän antamien asiantuntijaneuvojen ja kaupan alan yhteydenpitoryhmässä järjestettyjen kaupanalan kuulemisten perusteella.</w:t>
      </w:r>
    </w:p>
    <w:p>
      <w:pPr>
        <w:pStyle w:val="Default"/>
        <w:spacing w:after="120"/>
        <w:jc w:val="both"/>
        <w:rPr>
          <w:noProof/>
          <w:color w:val="auto"/>
        </w:rPr>
      </w:pPr>
      <w:r>
        <w:rPr>
          <w:noProof/>
          <w:color w:val="auto"/>
        </w:rPr>
        <w:t>Jäsenvaltiot ovat keskustelleet sähköisen järjestelmän suunnittelusta ja hyväksyneet sen, ja sitä kuvataan yksityiskohtaisesti MASP-C rev. 2019 ‑suunnitelman hankekuvauksessa 1.18.</w:t>
      </w:r>
    </w:p>
    <w:p>
      <w:pPr>
        <w:pStyle w:val="Default"/>
        <w:spacing w:after="240"/>
        <w:jc w:val="both"/>
        <w:rPr>
          <w:noProof/>
          <w:color w:val="auto"/>
        </w:rPr>
      </w:pPr>
      <w:r>
        <w:rPr>
          <w:noProof/>
          <w:color w:val="auto"/>
        </w:rPr>
        <w:t>Seuraavassa taulukossa 1 on ote kulttuuriesineiden tuomista koskevan hankkeen suunnittelusta MASP-C rev. 2019 ‑suunnitelman hankekuvauksesta 1.18.</w:t>
      </w:r>
    </w:p>
    <w:tbl>
      <w:tblPr>
        <w:tblStyle w:val="TableGrid"/>
        <w:tblW w:w="0" w:type="auto"/>
        <w:tblInd w:w="108" w:type="dxa"/>
        <w:tblLook w:val="04A0" w:firstRow="1" w:lastRow="0" w:firstColumn="1" w:lastColumn="0" w:noHBand="0" w:noVBand="1"/>
      </w:tblPr>
      <w:tblGrid>
        <w:gridCol w:w="426"/>
        <w:gridCol w:w="5244"/>
        <w:gridCol w:w="3261"/>
      </w:tblGrid>
      <w:tr>
        <w:tc>
          <w:tcPr>
            <w:tcW w:w="8931" w:type="dxa"/>
            <w:gridSpan w:val="3"/>
            <w:tcBorders>
              <w:bottom w:val="single" w:sz="4" w:space="0" w:color="auto"/>
              <w:right w:val="single" w:sz="4" w:space="0" w:color="auto"/>
            </w:tcBorders>
          </w:tcPr>
          <w:p>
            <w:pPr>
              <w:pStyle w:val="Default"/>
              <w:spacing w:before="120" w:after="120"/>
              <w:rPr>
                <w:b/>
                <w:i/>
                <w:noProof/>
                <w:color w:val="auto"/>
              </w:rPr>
            </w:pPr>
            <w:r>
              <w:rPr>
                <w:b/>
                <w:i/>
                <w:noProof/>
                <w:color w:val="auto"/>
                <w:sz w:val="20"/>
              </w:rPr>
              <w:t>Taulukko 1 – Ote MASP-C rev. 2019 ‑suunnitelman hankekuvauksesta 1.18</w:t>
            </w:r>
          </w:p>
        </w:tc>
      </w:tr>
      <w:tr>
        <w:tc>
          <w:tcPr>
            <w:tcW w:w="426" w:type="dxa"/>
            <w:tcBorders>
              <w:bottom w:val="single" w:sz="4" w:space="0" w:color="auto"/>
            </w:tcBorders>
          </w:tcPr>
          <w:p>
            <w:pPr>
              <w:pStyle w:val="Default"/>
              <w:spacing w:before="40" w:after="40"/>
              <w:jc w:val="both"/>
              <w:rPr>
                <w:noProof/>
                <w:color w:val="auto"/>
                <w:sz w:val="20"/>
                <w:szCs w:val="20"/>
              </w:rPr>
            </w:pPr>
          </w:p>
        </w:tc>
        <w:tc>
          <w:tcPr>
            <w:tcW w:w="5244" w:type="dxa"/>
          </w:tcPr>
          <w:p>
            <w:pPr>
              <w:pStyle w:val="Default"/>
              <w:spacing w:before="40" w:after="40"/>
              <w:rPr>
                <w:i/>
                <w:noProof/>
                <w:color w:val="auto"/>
                <w:sz w:val="20"/>
                <w:szCs w:val="20"/>
              </w:rPr>
            </w:pPr>
            <w:r>
              <w:rPr>
                <w:i/>
                <w:noProof/>
                <w:color w:val="auto"/>
                <w:sz w:val="20"/>
                <w:szCs w:val="20"/>
              </w:rPr>
              <w:t>Välitavoitteet</w:t>
            </w:r>
          </w:p>
        </w:tc>
        <w:tc>
          <w:tcPr>
            <w:tcW w:w="3261" w:type="dxa"/>
            <w:tcBorders>
              <w:right w:val="single" w:sz="4" w:space="0" w:color="auto"/>
            </w:tcBorders>
          </w:tcPr>
          <w:p>
            <w:pPr>
              <w:pStyle w:val="Default"/>
              <w:spacing w:before="40" w:after="40"/>
              <w:jc w:val="center"/>
              <w:rPr>
                <w:i/>
                <w:noProof/>
                <w:color w:val="auto"/>
                <w:sz w:val="20"/>
                <w:szCs w:val="20"/>
              </w:rPr>
            </w:pPr>
            <w:r>
              <w:rPr>
                <w:i/>
                <w:noProof/>
                <w:color w:val="auto"/>
                <w:sz w:val="20"/>
                <w:szCs w:val="20"/>
              </w:rPr>
              <w:t>Arvioitu valmistumisajankohta</w:t>
            </w:r>
          </w:p>
        </w:tc>
      </w:tr>
      <w:tr>
        <w:tc>
          <w:tcPr>
            <w:tcW w:w="426" w:type="dxa"/>
            <w:tcBorders>
              <w:bottom w:val="nil"/>
            </w:tcBorders>
          </w:tcPr>
          <w:p>
            <w:pPr>
              <w:pStyle w:val="Default"/>
              <w:spacing w:before="40" w:after="40"/>
              <w:jc w:val="both"/>
              <w:rPr>
                <w:noProof/>
                <w:color w:val="auto"/>
                <w:sz w:val="20"/>
                <w:szCs w:val="20"/>
              </w:rPr>
            </w:pPr>
            <w:r>
              <w:rPr>
                <w:noProof/>
                <w:color w:val="auto"/>
                <w:sz w:val="20"/>
                <w:szCs w:val="20"/>
              </w:rPr>
              <w:t>1</w:t>
            </w:r>
          </w:p>
        </w:tc>
        <w:tc>
          <w:tcPr>
            <w:tcW w:w="5244" w:type="dxa"/>
          </w:tcPr>
          <w:p>
            <w:pPr>
              <w:pStyle w:val="Default"/>
              <w:spacing w:before="40" w:after="40"/>
              <w:rPr>
                <w:b/>
                <w:noProof/>
                <w:color w:val="auto"/>
                <w:sz w:val="20"/>
                <w:szCs w:val="20"/>
              </w:rPr>
            </w:pPr>
            <w:r>
              <w:rPr>
                <w:b/>
                <w:noProof/>
                <w:color w:val="auto"/>
                <w:sz w:val="20"/>
                <w:szCs w:val="20"/>
              </w:rPr>
              <w:t>Toiminnan analyysi ja mallinnus</w:t>
            </w:r>
          </w:p>
        </w:tc>
        <w:tc>
          <w:tcPr>
            <w:tcW w:w="3261" w:type="dxa"/>
            <w:tcBorders>
              <w:right w:val="single" w:sz="4" w:space="0" w:color="auto"/>
            </w:tcBorders>
          </w:tcPr>
          <w:p>
            <w:pPr>
              <w:pStyle w:val="Default"/>
              <w:spacing w:before="40" w:after="40"/>
              <w:jc w:val="center"/>
              <w:rPr>
                <w:noProof/>
                <w:color w:val="auto"/>
                <w:sz w:val="20"/>
                <w:szCs w:val="20"/>
                <w:lang w:val="en-GB"/>
              </w:rPr>
            </w:pP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b/>
                <w:noProof/>
                <w:color w:val="auto"/>
                <w:sz w:val="20"/>
                <w:szCs w:val="20"/>
              </w:rPr>
              <w:t xml:space="preserve">– </w:t>
            </w:r>
            <w:r>
              <w:rPr>
                <w:noProof/>
                <w:color w:val="auto"/>
                <w:sz w:val="20"/>
                <w:szCs w:val="20"/>
              </w:rPr>
              <w:t>Toimintamallia koskeva asiakirja</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2020 viimeinen neljännes</w:t>
            </w: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Taso 3 (käyttäjävaatimukset, toimintaprosessien mallinnus)</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2022 ensimmäinen neljännes</w:t>
            </w:r>
          </w:p>
        </w:tc>
      </w:tr>
      <w:tr>
        <w:tc>
          <w:tcPr>
            <w:tcW w:w="426" w:type="dxa"/>
            <w:tcBorders>
              <w:top w:val="nil"/>
              <w:bottom w:val="single" w:sz="4" w:space="0" w:color="auto"/>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Taso 4 (toiminnalliset vaatimukset, yksityiskohtainen toimintaprosessien mallinnus)</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2022 ensimmäinen neljännes</w:t>
            </w:r>
          </w:p>
        </w:tc>
      </w:tr>
      <w:tr>
        <w:tc>
          <w:tcPr>
            <w:tcW w:w="426" w:type="dxa"/>
            <w:tcBorders>
              <w:bottom w:val="nil"/>
            </w:tcBorders>
          </w:tcPr>
          <w:p>
            <w:pPr>
              <w:pStyle w:val="Default"/>
              <w:spacing w:before="40" w:after="40"/>
              <w:jc w:val="both"/>
              <w:rPr>
                <w:noProof/>
                <w:color w:val="auto"/>
                <w:sz w:val="20"/>
                <w:szCs w:val="20"/>
              </w:rPr>
            </w:pPr>
            <w:r>
              <w:rPr>
                <w:noProof/>
                <w:color w:val="auto"/>
                <w:sz w:val="20"/>
                <w:szCs w:val="20"/>
              </w:rPr>
              <w:t>2</w:t>
            </w:r>
          </w:p>
        </w:tc>
        <w:tc>
          <w:tcPr>
            <w:tcW w:w="5244" w:type="dxa"/>
          </w:tcPr>
          <w:p>
            <w:pPr>
              <w:pStyle w:val="Default"/>
              <w:spacing w:before="40" w:after="40"/>
              <w:rPr>
                <w:b/>
                <w:noProof/>
                <w:color w:val="auto"/>
                <w:sz w:val="20"/>
                <w:szCs w:val="20"/>
              </w:rPr>
            </w:pPr>
            <w:r>
              <w:rPr>
                <w:b/>
                <w:noProof/>
                <w:color w:val="auto"/>
                <w:sz w:val="20"/>
                <w:szCs w:val="20"/>
              </w:rPr>
              <w:t>Lainsäädäntö</w:t>
            </w:r>
          </w:p>
        </w:tc>
        <w:tc>
          <w:tcPr>
            <w:tcW w:w="3261" w:type="dxa"/>
            <w:tcBorders>
              <w:right w:val="single" w:sz="4" w:space="0" w:color="auto"/>
            </w:tcBorders>
          </w:tcPr>
          <w:p>
            <w:pPr>
              <w:pStyle w:val="Default"/>
              <w:spacing w:before="40" w:after="40"/>
              <w:jc w:val="center"/>
              <w:rPr>
                <w:noProof/>
                <w:color w:val="auto"/>
                <w:sz w:val="20"/>
                <w:szCs w:val="20"/>
                <w:lang w:val="en-GB"/>
              </w:rPr>
            </w:pP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Nykyiset säännökset hyväksytty*</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2019 toinen neljännes</w:t>
            </w:r>
          </w:p>
        </w:tc>
      </w:tr>
      <w:tr>
        <w:tc>
          <w:tcPr>
            <w:tcW w:w="426" w:type="dxa"/>
            <w:tcBorders>
              <w:top w:val="nil"/>
              <w:bottom w:val="single" w:sz="4" w:space="0" w:color="auto"/>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Tulevat säännökset hyväksytty**</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2021 toinen neljännes</w:t>
            </w:r>
          </w:p>
        </w:tc>
      </w:tr>
      <w:tr>
        <w:tc>
          <w:tcPr>
            <w:tcW w:w="426" w:type="dxa"/>
            <w:tcBorders>
              <w:bottom w:val="nil"/>
            </w:tcBorders>
          </w:tcPr>
          <w:p>
            <w:pPr>
              <w:pStyle w:val="Default"/>
              <w:spacing w:before="40" w:after="40"/>
              <w:jc w:val="both"/>
              <w:rPr>
                <w:noProof/>
                <w:color w:val="auto"/>
                <w:sz w:val="20"/>
                <w:szCs w:val="20"/>
              </w:rPr>
            </w:pPr>
            <w:r>
              <w:rPr>
                <w:noProof/>
                <w:color w:val="auto"/>
                <w:sz w:val="20"/>
                <w:szCs w:val="20"/>
              </w:rPr>
              <w:t>3</w:t>
            </w:r>
          </w:p>
        </w:tc>
        <w:tc>
          <w:tcPr>
            <w:tcW w:w="5244" w:type="dxa"/>
          </w:tcPr>
          <w:p>
            <w:pPr>
              <w:pStyle w:val="Default"/>
              <w:spacing w:before="40" w:after="40"/>
              <w:rPr>
                <w:b/>
                <w:noProof/>
                <w:color w:val="auto"/>
                <w:sz w:val="20"/>
                <w:szCs w:val="20"/>
              </w:rPr>
            </w:pPr>
            <w:r>
              <w:rPr>
                <w:b/>
                <w:noProof/>
                <w:color w:val="auto"/>
                <w:sz w:val="20"/>
                <w:szCs w:val="20"/>
              </w:rPr>
              <w:t>Hankkeen käynnistysvaihe</w:t>
            </w:r>
          </w:p>
        </w:tc>
        <w:tc>
          <w:tcPr>
            <w:tcW w:w="3261" w:type="dxa"/>
            <w:tcBorders>
              <w:right w:val="single" w:sz="4" w:space="0" w:color="auto"/>
            </w:tcBorders>
          </w:tcPr>
          <w:p>
            <w:pPr>
              <w:pStyle w:val="Default"/>
              <w:spacing w:before="40" w:after="40"/>
              <w:jc w:val="center"/>
              <w:rPr>
                <w:noProof/>
                <w:color w:val="auto"/>
                <w:sz w:val="20"/>
                <w:szCs w:val="20"/>
                <w:lang w:val="en-GB"/>
              </w:rPr>
            </w:pP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Kehittämisasiakirja</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2021 toinen neljännes</w:t>
            </w:r>
          </w:p>
        </w:tc>
      </w:tr>
      <w:tr>
        <w:tc>
          <w:tcPr>
            <w:tcW w:w="426" w:type="dxa"/>
            <w:tcBorders>
              <w:top w:val="nil"/>
              <w:bottom w:val="single" w:sz="4" w:space="0" w:color="auto"/>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Hyväksytty</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2021 toinen neljännes</w:t>
            </w:r>
          </w:p>
        </w:tc>
      </w:tr>
      <w:tr>
        <w:tc>
          <w:tcPr>
            <w:tcW w:w="426" w:type="dxa"/>
            <w:tcBorders>
              <w:bottom w:val="nil"/>
            </w:tcBorders>
          </w:tcPr>
          <w:p>
            <w:pPr>
              <w:pStyle w:val="Default"/>
              <w:spacing w:before="40" w:after="40"/>
              <w:jc w:val="both"/>
              <w:rPr>
                <w:noProof/>
                <w:color w:val="auto"/>
                <w:sz w:val="20"/>
                <w:szCs w:val="20"/>
              </w:rPr>
            </w:pPr>
            <w:r>
              <w:rPr>
                <w:noProof/>
                <w:color w:val="auto"/>
                <w:sz w:val="20"/>
                <w:szCs w:val="20"/>
              </w:rPr>
              <w:t>4</w:t>
            </w:r>
          </w:p>
        </w:tc>
        <w:tc>
          <w:tcPr>
            <w:tcW w:w="5244" w:type="dxa"/>
          </w:tcPr>
          <w:p>
            <w:pPr>
              <w:pStyle w:val="Default"/>
              <w:spacing w:before="40" w:after="40"/>
              <w:rPr>
                <w:b/>
                <w:noProof/>
                <w:color w:val="auto"/>
                <w:sz w:val="20"/>
                <w:szCs w:val="20"/>
              </w:rPr>
            </w:pPr>
            <w:r>
              <w:rPr>
                <w:b/>
                <w:noProof/>
                <w:color w:val="auto"/>
                <w:sz w:val="20"/>
                <w:szCs w:val="20"/>
              </w:rPr>
              <w:t>Tietotekniikkahanke</w:t>
            </w:r>
          </w:p>
        </w:tc>
        <w:tc>
          <w:tcPr>
            <w:tcW w:w="3261" w:type="dxa"/>
            <w:tcBorders>
              <w:right w:val="single" w:sz="4" w:space="0" w:color="auto"/>
            </w:tcBorders>
          </w:tcPr>
          <w:p>
            <w:pPr>
              <w:pStyle w:val="Default"/>
              <w:spacing w:before="40" w:after="40"/>
              <w:jc w:val="center"/>
              <w:rPr>
                <w:noProof/>
                <w:color w:val="auto"/>
                <w:sz w:val="20"/>
                <w:szCs w:val="20"/>
                <w:lang w:val="en-GB"/>
              </w:rPr>
            </w:pP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Sovelluksen ja palvelun eritelmät</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2023 toinen neljännes</w:t>
            </w: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Järjestelmän tekniset eritelmät</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2023 toinen neljännes</w:t>
            </w: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b/>
                <w:noProof/>
                <w:color w:val="auto"/>
                <w:sz w:val="20"/>
                <w:szCs w:val="20"/>
              </w:rPr>
            </w:pPr>
            <w:r>
              <w:rPr>
                <w:b/>
                <w:noProof/>
                <w:color w:val="auto"/>
                <w:sz w:val="20"/>
                <w:szCs w:val="20"/>
              </w:rPr>
              <w:t>Rakennusvaihe</w:t>
            </w:r>
          </w:p>
        </w:tc>
        <w:tc>
          <w:tcPr>
            <w:tcW w:w="3261" w:type="dxa"/>
            <w:tcBorders>
              <w:right w:val="single" w:sz="4" w:space="0" w:color="auto"/>
            </w:tcBorders>
          </w:tcPr>
          <w:p>
            <w:pPr>
              <w:pStyle w:val="Default"/>
              <w:spacing w:before="40" w:after="40"/>
              <w:jc w:val="center"/>
              <w:rPr>
                <w:noProof/>
                <w:color w:val="auto"/>
                <w:sz w:val="20"/>
                <w:szCs w:val="20"/>
                <w:lang w:val="en-GB"/>
              </w:rPr>
            </w:pP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Keskitettyjen palvelujen toteutus</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2024 kolmas neljännes</w:t>
            </w: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Palvelun integrointi kansallisiin järjestelmiin</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Ei sovelleta</w:t>
            </w: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Kansallinen toteutus</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Ei sovelleta</w:t>
            </w: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b/>
                <w:noProof/>
                <w:color w:val="auto"/>
                <w:sz w:val="20"/>
                <w:szCs w:val="20"/>
              </w:rPr>
            </w:pPr>
            <w:r>
              <w:rPr>
                <w:b/>
                <w:noProof/>
                <w:color w:val="auto"/>
                <w:sz w:val="20"/>
                <w:szCs w:val="20"/>
              </w:rPr>
              <w:t>Siirtymävaihe</w:t>
            </w:r>
          </w:p>
        </w:tc>
        <w:tc>
          <w:tcPr>
            <w:tcW w:w="3261" w:type="dxa"/>
            <w:tcBorders>
              <w:right w:val="single" w:sz="4" w:space="0" w:color="auto"/>
            </w:tcBorders>
          </w:tcPr>
          <w:p>
            <w:pPr>
              <w:pStyle w:val="Default"/>
              <w:spacing w:before="40" w:after="40"/>
              <w:jc w:val="center"/>
              <w:rPr>
                <w:noProof/>
                <w:color w:val="auto"/>
                <w:sz w:val="20"/>
                <w:szCs w:val="20"/>
                <w:lang w:val="en-GB"/>
              </w:rPr>
            </w:pP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Käyttöönotto ja toteutus</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2024 viimeinen neljännes</w:t>
            </w:r>
          </w:p>
        </w:tc>
      </w:tr>
      <w:tr>
        <w:tc>
          <w:tcPr>
            <w:tcW w:w="426" w:type="dxa"/>
            <w:tcBorders>
              <w:top w:val="nil"/>
              <w:bottom w:val="single" w:sz="4" w:space="0" w:color="auto"/>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Vaatimustenmukaisuuden testaus</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2025 toinen neljännes</w:t>
            </w:r>
          </w:p>
        </w:tc>
      </w:tr>
      <w:tr>
        <w:tc>
          <w:tcPr>
            <w:tcW w:w="426" w:type="dxa"/>
            <w:tcBorders>
              <w:bottom w:val="nil"/>
            </w:tcBorders>
          </w:tcPr>
          <w:p>
            <w:pPr>
              <w:pStyle w:val="Default"/>
              <w:spacing w:before="40" w:after="40"/>
              <w:jc w:val="both"/>
              <w:rPr>
                <w:noProof/>
                <w:color w:val="auto"/>
                <w:sz w:val="20"/>
                <w:szCs w:val="20"/>
              </w:rPr>
            </w:pPr>
            <w:r>
              <w:rPr>
                <w:noProof/>
                <w:color w:val="auto"/>
                <w:sz w:val="20"/>
                <w:szCs w:val="20"/>
              </w:rPr>
              <w:t>5</w:t>
            </w:r>
          </w:p>
        </w:tc>
        <w:tc>
          <w:tcPr>
            <w:tcW w:w="5244" w:type="dxa"/>
          </w:tcPr>
          <w:p>
            <w:pPr>
              <w:pStyle w:val="Default"/>
              <w:spacing w:before="40" w:after="40"/>
              <w:rPr>
                <w:b/>
                <w:noProof/>
                <w:color w:val="auto"/>
                <w:sz w:val="20"/>
                <w:szCs w:val="20"/>
              </w:rPr>
            </w:pPr>
            <w:r>
              <w:rPr>
                <w:b/>
                <w:noProof/>
                <w:color w:val="auto"/>
                <w:sz w:val="20"/>
                <w:szCs w:val="20"/>
              </w:rPr>
              <w:t>Toiminta</w:t>
            </w:r>
          </w:p>
        </w:tc>
        <w:tc>
          <w:tcPr>
            <w:tcW w:w="3261" w:type="dxa"/>
            <w:tcBorders>
              <w:right w:val="single" w:sz="4" w:space="0" w:color="auto"/>
            </w:tcBorders>
          </w:tcPr>
          <w:p>
            <w:pPr>
              <w:pStyle w:val="Default"/>
              <w:spacing w:before="40" w:after="40"/>
              <w:jc w:val="center"/>
              <w:rPr>
                <w:noProof/>
                <w:color w:val="auto"/>
                <w:sz w:val="20"/>
                <w:szCs w:val="20"/>
                <w:lang w:val="en-GB"/>
              </w:rPr>
            </w:pP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Komissio, jäsenvaltioiden hallinnot ja kaupan alan toimijat</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2025 toinen neljännes</w:t>
            </w:r>
          </w:p>
        </w:tc>
      </w:tr>
      <w:tr>
        <w:tc>
          <w:tcPr>
            <w:tcW w:w="426" w:type="dxa"/>
            <w:tcBorders>
              <w:top w:val="nil"/>
              <w:bottom w:val="single" w:sz="4" w:space="0" w:color="auto"/>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EU:n ulkopuoliset maat ja kaupan alan toimijat (tarvittaessa)</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Ei sovelleta</w:t>
            </w:r>
          </w:p>
        </w:tc>
      </w:tr>
      <w:tr>
        <w:tc>
          <w:tcPr>
            <w:tcW w:w="426" w:type="dxa"/>
            <w:tcBorders>
              <w:bottom w:val="nil"/>
            </w:tcBorders>
          </w:tcPr>
          <w:p>
            <w:pPr>
              <w:pStyle w:val="Default"/>
              <w:spacing w:before="40" w:after="40"/>
              <w:jc w:val="both"/>
              <w:rPr>
                <w:noProof/>
                <w:color w:val="auto"/>
                <w:sz w:val="20"/>
                <w:szCs w:val="20"/>
              </w:rPr>
            </w:pPr>
            <w:r>
              <w:rPr>
                <w:noProof/>
                <w:color w:val="auto"/>
                <w:sz w:val="20"/>
                <w:szCs w:val="20"/>
              </w:rPr>
              <w:t>6</w:t>
            </w:r>
          </w:p>
        </w:tc>
        <w:tc>
          <w:tcPr>
            <w:tcW w:w="5244" w:type="dxa"/>
          </w:tcPr>
          <w:p>
            <w:pPr>
              <w:pStyle w:val="Default"/>
              <w:spacing w:before="40" w:after="40"/>
              <w:rPr>
                <w:b/>
                <w:noProof/>
                <w:color w:val="auto"/>
                <w:sz w:val="20"/>
                <w:szCs w:val="20"/>
              </w:rPr>
            </w:pPr>
            <w:r>
              <w:rPr>
                <w:b/>
                <w:noProof/>
                <w:color w:val="auto"/>
                <w:sz w:val="20"/>
                <w:szCs w:val="20"/>
              </w:rPr>
              <w:t>Toteutuksen tuki (koulutus ja viestintä)</w:t>
            </w:r>
          </w:p>
        </w:tc>
        <w:tc>
          <w:tcPr>
            <w:tcW w:w="3261" w:type="dxa"/>
            <w:tcBorders>
              <w:right w:val="single" w:sz="4" w:space="0" w:color="auto"/>
            </w:tcBorders>
          </w:tcPr>
          <w:p>
            <w:pPr>
              <w:pStyle w:val="Default"/>
              <w:spacing w:before="40" w:after="40"/>
              <w:jc w:val="center"/>
              <w:rPr>
                <w:noProof/>
                <w:color w:val="auto"/>
                <w:sz w:val="20"/>
                <w:szCs w:val="20"/>
              </w:rPr>
            </w:pPr>
          </w:p>
        </w:tc>
      </w:tr>
      <w:tr>
        <w:tc>
          <w:tcPr>
            <w:tcW w:w="426" w:type="dxa"/>
            <w:tcBorders>
              <w:top w:val="nil"/>
              <w:bottom w:val="nil"/>
            </w:tcBorders>
          </w:tcPr>
          <w:p>
            <w:pPr>
              <w:pStyle w:val="Default"/>
              <w:spacing w:before="40" w:after="40"/>
              <w:jc w:val="both"/>
              <w:rPr>
                <w:noProof/>
                <w:color w:val="auto"/>
                <w:sz w:val="20"/>
                <w:szCs w:val="20"/>
              </w:rPr>
            </w:pPr>
          </w:p>
        </w:tc>
        <w:tc>
          <w:tcPr>
            <w:tcW w:w="5244" w:type="dxa"/>
          </w:tcPr>
          <w:p>
            <w:pPr>
              <w:pStyle w:val="Default"/>
              <w:spacing w:before="40" w:after="40"/>
              <w:rPr>
                <w:noProof/>
                <w:color w:val="auto"/>
                <w:sz w:val="20"/>
                <w:szCs w:val="20"/>
              </w:rPr>
            </w:pPr>
            <w:r>
              <w:rPr>
                <w:noProof/>
                <w:color w:val="auto"/>
                <w:sz w:val="20"/>
                <w:szCs w:val="20"/>
              </w:rPr>
              <w:t>– Keskitetysti kehitetty koulutus ja viestintä</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2024 viimeinen neljännes</w:t>
            </w:r>
          </w:p>
        </w:tc>
      </w:tr>
      <w:tr>
        <w:tc>
          <w:tcPr>
            <w:tcW w:w="426" w:type="dxa"/>
            <w:tcBorders>
              <w:top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Kansallinen koulutus ja viestintä</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2024 viimeinen neljännes</w:t>
            </w:r>
          </w:p>
        </w:tc>
      </w:tr>
    </w:tbl>
    <w:p>
      <w:pPr>
        <w:pStyle w:val="Default"/>
        <w:spacing w:before="240"/>
        <w:jc w:val="both"/>
        <w:rPr>
          <w:noProof/>
          <w:color w:val="auto"/>
          <w:sz w:val="20"/>
          <w:szCs w:val="20"/>
        </w:rPr>
      </w:pPr>
      <w:r>
        <w:rPr>
          <w:noProof/>
          <w:color w:val="auto"/>
          <w:sz w:val="20"/>
          <w:szCs w:val="20"/>
        </w:rPr>
        <w:t>*Nykyiset säännökset viittaavat asetukseen (EU) 2019/880.</w:t>
      </w:r>
    </w:p>
    <w:p>
      <w:pPr>
        <w:pStyle w:val="Default"/>
        <w:spacing w:after="360"/>
        <w:jc w:val="both"/>
        <w:rPr>
          <w:noProof/>
          <w:color w:val="auto"/>
          <w:sz w:val="20"/>
          <w:szCs w:val="20"/>
        </w:rPr>
      </w:pPr>
      <w:r>
        <w:rPr>
          <w:noProof/>
          <w:color w:val="auto"/>
          <w:sz w:val="20"/>
          <w:szCs w:val="20"/>
        </w:rPr>
        <w:t>**Tulevat säännökset viittaavat täytäntöönpanosäännöksiin, jotka hyväksytään asetuksen (EU) 2019/880 mukaisesti.</w:t>
      </w:r>
    </w:p>
    <w:p>
      <w:pPr>
        <w:spacing w:after="160" w:line="259" w:lineRule="auto"/>
        <w:jc w:val="left"/>
        <w:rPr>
          <w:rFonts w:eastAsiaTheme="minorHAnsi"/>
          <w:noProof/>
          <w:sz w:val="24"/>
          <w:szCs w:val="24"/>
        </w:rPr>
      </w:pPr>
      <w:r>
        <w:rPr>
          <w:noProof/>
        </w:rPr>
        <w:br w:type="page"/>
      </w:r>
    </w:p>
    <w:p>
      <w:pPr>
        <w:pStyle w:val="Default"/>
        <w:spacing w:after="360"/>
        <w:jc w:val="both"/>
        <w:rPr>
          <w:noProof/>
          <w:color w:val="auto"/>
        </w:rPr>
      </w:pPr>
      <w:r>
        <w:rPr>
          <w:noProof/>
          <w:color w:val="auto"/>
        </w:rPr>
        <w:t>Taulukossa 2 on ote EU CSW-CERTEX ‑hankkeesta, ja sen painopiste on EU-CSW CERTEX ‑hankkeen komponentissa 2, joka yhdistää sen ICG-järjestelmän kanssa.</w:t>
      </w:r>
    </w:p>
    <w:tbl>
      <w:tblPr>
        <w:tblStyle w:val="TableGrid"/>
        <w:tblW w:w="0" w:type="auto"/>
        <w:tblInd w:w="108" w:type="dxa"/>
        <w:tblLook w:val="04A0" w:firstRow="1" w:lastRow="0" w:firstColumn="1" w:lastColumn="0" w:noHBand="0" w:noVBand="1"/>
      </w:tblPr>
      <w:tblGrid>
        <w:gridCol w:w="426"/>
        <w:gridCol w:w="5244"/>
        <w:gridCol w:w="3261"/>
      </w:tblGrid>
      <w:tr>
        <w:tc>
          <w:tcPr>
            <w:tcW w:w="8931" w:type="dxa"/>
            <w:gridSpan w:val="3"/>
            <w:tcBorders>
              <w:bottom w:val="single" w:sz="4" w:space="0" w:color="auto"/>
              <w:right w:val="single" w:sz="4" w:space="0" w:color="auto"/>
            </w:tcBorders>
          </w:tcPr>
          <w:p>
            <w:pPr>
              <w:pStyle w:val="Default"/>
              <w:spacing w:before="120" w:after="120"/>
              <w:rPr>
                <w:b/>
                <w:i/>
                <w:noProof/>
                <w:color w:val="auto"/>
              </w:rPr>
            </w:pPr>
            <w:r>
              <w:rPr>
                <w:b/>
                <w:i/>
                <w:noProof/>
                <w:color w:val="auto"/>
                <w:sz w:val="20"/>
              </w:rPr>
              <w:t>Taulukko 2 – Ote MASP-C rev. 2019 ‑suunnitelman hankekuvauksesta 1.13 – komponentti 2 ”EU CSW- CERTEX”</w:t>
            </w:r>
          </w:p>
        </w:tc>
      </w:tr>
      <w:tr>
        <w:tc>
          <w:tcPr>
            <w:tcW w:w="426" w:type="dxa"/>
            <w:tcBorders>
              <w:bottom w:val="single" w:sz="4" w:space="0" w:color="auto"/>
            </w:tcBorders>
          </w:tcPr>
          <w:p>
            <w:pPr>
              <w:pStyle w:val="Default"/>
              <w:spacing w:before="40" w:after="40"/>
              <w:jc w:val="both"/>
              <w:rPr>
                <w:noProof/>
                <w:color w:val="auto"/>
                <w:sz w:val="20"/>
                <w:szCs w:val="20"/>
              </w:rPr>
            </w:pPr>
          </w:p>
        </w:tc>
        <w:tc>
          <w:tcPr>
            <w:tcW w:w="5244" w:type="dxa"/>
          </w:tcPr>
          <w:p>
            <w:pPr>
              <w:pStyle w:val="Default"/>
              <w:spacing w:before="40" w:after="40"/>
              <w:rPr>
                <w:i/>
                <w:noProof/>
                <w:color w:val="auto"/>
                <w:sz w:val="20"/>
                <w:szCs w:val="20"/>
              </w:rPr>
            </w:pPr>
            <w:r>
              <w:rPr>
                <w:i/>
                <w:noProof/>
                <w:color w:val="auto"/>
                <w:sz w:val="20"/>
                <w:szCs w:val="20"/>
              </w:rPr>
              <w:t>Välitavoitteet</w:t>
            </w:r>
          </w:p>
        </w:tc>
        <w:tc>
          <w:tcPr>
            <w:tcW w:w="3261" w:type="dxa"/>
            <w:tcBorders>
              <w:right w:val="single" w:sz="4" w:space="0" w:color="auto"/>
            </w:tcBorders>
          </w:tcPr>
          <w:p>
            <w:pPr>
              <w:pStyle w:val="Default"/>
              <w:spacing w:before="40" w:after="40"/>
              <w:jc w:val="center"/>
              <w:rPr>
                <w:i/>
                <w:noProof/>
                <w:color w:val="auto"/>
                <w:sz w:val="20"/>
                <w:szCs w:val="20"/>
              </w:rPr>
            </w:pPr>
            <w:r>
              <w:rPr>
                <w:i/>
                <w:noProof/>
                <w:color w:val="auto"/>
                <w:sz w:val="20"/>
                <w:szCs w:val="20"/>
              </w:rPr>
              <w:t>Arvioitu valmistumisajankohta</w:t>
            </w:r>
          </w:p>
        </w:tc>
      </w:tr>
      <w:tr>
        <w:tc>
          <w:tcPr>
            <w:tcW w:w="426" w:type="dxa"/>
            <w:tcBorders>
              <w:bottom w:val="nil"/>
            </w:tcBorders>
          </w:tcPr>
          <w:p>
            <w:pPr>
              <w:pStyle w:val="Default"/>
              <w:spacing w:before="40" w:after="40"/>
              <w:jc w:val="both"/>
              <w:rPr>
                <w:noProof/>
                <w:color w:val="auto"/>
                <w:sz w:val="20"/>
                <w:szCs w:val="20"/>
              </w:rPr>
            </w:pPr>
            <w:r>
              <w:rPr>
                <w:noProof/>
                <w:color w:val="auto"/>
                <w:sz w:val="20"/>
                <w:szCs w:val="20"/>
              </w:rPr>
              <w:t>1</w:t>
            </w:r>
          </w:p>
        </w:tc>
        <w:tc>
          <w:tcPr>
            <w:tcW w:w="5244" w:type="dxa"/>
          </w:tcPr>
          <w:p>
            <w:pPr>
              <w:pStyle w:val="Default"/>
              <w:spacing w:before="40" w:after="40"/>
              <w:rPr>
                <w:b/>
                <w:noProof/>
                <w:color w:val="auto"/>
                <w:sz w:val="20"/>
                <w:szCs w:val="20"/>
              </w:rPr>
            </w:pPr>
            <w:r>
              <w:rPr>
                <w:b/>
                <w:noProof/>
                <w:color w:val="auto"/>
                <w:sz w:val="20"/>
                <w:szCs w:val="20"/>
              </w:rPr>
              <w:t>Toiminnan analyysi ja mallinnus</w:t>
            </w:r>
          </w:p>
        </w:tc>
        <w:tc>
          <w:tcPr>
            <w:tcW w:w="3261" w:type="dxa"/>
            <w:tcBorders>
              <w:right w:val="single" w:sz="4" w:space="0" w:color="auto"/>
            </w:tcBorders>
          </w:tcPr>
          <w:p>
            <w:pPr>
              <w:pStyle w:val="Default"/>
              <w:spacing w:before="40" w:after="40"/>
              <w:jc w:val="center"/>
              <w:rPr>
                <w:noProof/>
                <w:color w:val="auto"/>
                <w:sz w:val="20"/>
                <w:szCs w:val="20"/>
                <w:lang w:val="en-GB"/>
              </w:rPr>
            </w:pP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b/>
                <w:noProof/>
                <w:color w:val="auto"/>
                <w:sz w:val="20"/>
                <w:szCs w:val="20"/>
              </w:rPr>
              <w:t xml:space="preserve">– </w:t>
            </w:r>
            <w:r>
              <w:rPr>
                <w:noProof/>
                <w:color w:val="auto"/>
                <w:sz w:val="20"/>
                <w:szCs w:val="20"/>
              </w:rPr>
              <w:t>Toimintamallia koskeva asiakirja</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2017 ensimmäinen neljännes</w:t>
            </w: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Toimintamallia koskeva liite</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2023 toinen neljännes</w:t>
            </w: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Taso 3 (käyttäjävaatimukset, toimintaprosessien mallinnus)</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2024 ensimmäinen neljännes</w:t>
            </w:r>
          </w:p>
        </w:tc>
      </w:tr>
      <w:tr>
        <w:tc>
          <w:tcPr>
            <w:tcW w:w="426" w:type="dxa"/>
            <w:tcBorders>
              <w:top w:val="nil"/>
              <w:bottom w:val="single" w:sz="4" w:space="0" w:color="auto"/>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Taso 4 (toiminnalliset vaatimukset, yksityiskohtainen toimintaprosessien mallinnus)</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2024 ensimmäinen neljännes</w:t>
            </w:r>
          </w:p>
        </w:tc>
      </w:tr>
      <w:tr>
        <w:tc>
          <w:tcPr>
            <w:tcW w:w="426" w:type="dxa"/>
            <w:tcBorders>
              <w:bottom w:val="nil"/>
            </w:tcBorders>
          </w:tcPr>
          <w:p>
            <w:pPr>
              <w:pStyle w:val="Default"/>
              <w:spacing w:before="40" w:after="40"/>
              <w:jc w:val="both"/>
              <w:rPr>
                <w:noProof/>
                <w:color w:val="auto"/>
                <w:sz w:val="20"/>
                <w:szCs w:val="20"/>
              </w:rPr>
            </w:pPr>
            <w:r>
              <w:rPr>
                <w:noProof/>
                <w:color w:val="auto"/>
                <w:sz w:val="20"/>
                <w:szCs w:val="20"/>
              </w:rPr>
              <w:t>2</w:t>
            </w:r>
          </w:p>
        </w:tc>
        <w:tc>
          <w:tcPr>
            <w:tcW w:w="5244" w:type="dxa"/>
          </w:tcPr>
          <w:p>
            <w:pPr>
              <w:pStyle w:val="Default"/>
              <w:spacing w:before="40" w:after="40"/>
              <w:rPr>
                <w:b/>
                <w:noProof/>
                <w:color w:val="auto"/>
                <w:sz w:val="20"/>
                <w:szCs w:val="20"/>
              </w:rPr>
            </w:pPr>
            <w:r>
              <w:rPr>
                <w:b/>
                <w:noProof/>
                <w:color w:val="auto"/>
                <w:sz w:val="20"/>
                <w:szCs w:val="20"/>
              </w:rPr>
              <w:t>Lainsäädäntö</w:t>
            </w:r>
          </w:p>
        </w:tc>
        <w:tc>
          <w:tcPr>
            <w:tcW w:w="3261" w:type="dxa"/>
            <w:tcBorders>
              <w:right w:val="single" w:sz="4" w:space="0" w:color="auto"/>
            </w:tcBorders>
          </w:tcPr>
          <w:p>
            <w:pPr>
              <w:pStyle w:val="Default"/>
              <w:spacing w:before="40" w:after="40"/>
              <w:jc w:val="center"/>
              <w:rPr>
                <w:noProof/>
                <w:color w:val="auto"/>
                <w:sz w:val="20"/>
                <w:szCs w:val="20"/>
                <w:lang w:val="en-GB"/>
              </w:rPr>
            </w:pP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Nykyiset säännökset hyväksytty*</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Voimassa</w:t>
            </w:r>
          </w:p>
        </w:tc>
      </w:tr>
      <w:tr>
        <w:tc>
          <w:tcPr>
            <w:tcW w:w="426" w:type="dxa"/>
            <w:tcBorders>
              <w:top w:val="nil"/>
              <w:bottom w:val="single" w:sz="4" w:space="0" w:color="auto"/>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Tulevat säännökset hyväksytty**</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2021</w:t>
            </w:r>
          </w:p>
        </w:tc>
      </w:tr>
      <w:tr>
        <w:tc>
          <w:tcPr>
            <w:tcW w:w="426" w:type="dxa"/>
            <w:tcBorders>
              <w:bottom w:val="nil"/>
            </w:tcBorders>
          </w:tcPr>
          <w:p>
            <w:pPr>
              <w:pStyle w:val="Default"/>
              <w:spacing w:before="40" w:after="40"/>
              <w:jc w:val="both"/>
              <w:rPr>
                <w:noProof/>
                <w:color w:val="auto"/>
                <w:sz w:val="20"/>
                <w:szCs w:val="20"/>
              </w:rPr>
            </w:pPr>
            <w:r>
              <w:rPr>
                <w:noProof/>
                <w:color w:val="auto"/>
                <w:sz w:val="20"/>
                <w:szCs w:val="20"/>
              </w:rPr>
              <w:t>3</w:t>
            </w:r>
          </w:p>
        </w:tc>
        <w:tc>
          <w:tcPr>
            <w:tcW w:w="5244" w:type="dxa"/>
          </w:tcPr>
          <w:p>
            <w:pPr>
              <w:pStyle w:val="Default"/>
              <w:spacing w:before="40" w:after="40"/>
              <w:rPr>
                <w:b/>
                <w:noProof/>
                <w:color w:val="auto"/>
                <w:sz w:val="20"/>
                <w:szCs w:val="20"/>
              </w:rPr>
            </w:pPr>
            <w:r>
              <w:rPr>
                <w:b/>
                <w:noProof/>
                <w:color w:val="auto"/>
                <w:sz w:val="20"/>
                <w:szCs w:val="20"/>
              </w:rPr>
              <w:t>Hankkeen käynnistysvaihe</w:t>
            </w:r>
          </w:p>
        </w:tc>
        <w:tc>
          <w:tcPr>
            <w:tcW w:w="3261" w:type="dxa"/>
            <w:tcBorders>
              <w:right w:val="single" w:sz="4" w:space="0" w:color="auto"/>
            </w:tcBorders>
          </w:tcPr>
          <w:p>
            <w:pPr>
              <w:pStyle w:val="Default"/>
              <w:spacing w:before="40" w:after="40"/>
              <w:jc w:val="center"/>
              <w:rPr>
                <w:noProof/>
                <w:color w:val="auto"/>
                <w:sz w:val="20"/>
                <w:szCs w:val="20"/>
                <w:lang w:val="en-GB"/>
              </w:rPr>
            </w:pP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Kehittämisasiakirja</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2017 kolmas neljännes</w:t>
            </w:r>
          </w:p>
        </w:tc>
      </w:tr>
      <w:tr>
        <w:tc>
          <w:tcPr>
            <w:tcW w:w="426" w:type="dxa"/>
            <w:tcBorders>
              <w:top w:val="nil"/>
              <w:bottom w:val="nil"/>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Kehittämisasiakirjan liite</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2023 kolmas neljännes</w:t>
            </w:r>
          </w:p>
        </w:tc>
      </w:tr>
      <w:tr>
        <w:tc>
          <w:tcPr>
            <w:tcW w:w="426" w:type="dxa"/>
            <w:tcBorders>
              <w:top w:val="nil"/>
              <w:bottom w:val="single" w:sz="4" w:space="0" w:color="auto"/>
            </w:tcBorders>
          </w:tcPr>
          <w:p>
            <w:pPr>
              <w:pStyle w:val="Default"/>
              <w:spacing w:before="40" w:after="40"/>
              <w:jc w:val="both"/>
              <w:rPr>
                <w:noProof/>
                <w:color w:val="auto"/>
                <w:sz w:val="20"/>
                <w:szCs w:val="20"/>
                <w:lang w:val="en-GB"/>
              </w:rPr>
            </w:pPr>
          </w:p>
        </w:tc>
        <w:tc>
          <w:tcPr>
            <w:tcW w:w="5244" w:type="dxa"/>
          </w:tcPr>
          <w:p>
            <w:pPr>
              <w:pStyle w:val="Default"/>
              <w:spacing w:before="40" w:after="40"/>
              <w:rPr>
                <w:noProof/>
                <w:color w:val="auto"/>
                <w:sz w:val="20"/>
                <w:szCs w:val="20"/>
              </w:rPr>
            </w:pPr>
            <w:r>
              <w:rPr>
                <w:noProof/>
                <w:color w:val="auto"/>
                <w:sz w:val="20"/>
                <w:szCs w:val="20"/>
              </w:rPr>
              <w:t>– Hyväksytty</w:t>
            </w:r>
          </w:p>
        </w:tc>
        <w:tc>
          <w:tcPr>
            <w:tcW w:w="3261" w:type="dxa"/>
            <w:tcBorders>
              <w:right w:val="single" w:sz="4" w:space="0" w:color="auto"/>
            </w:tcBorders>
          </w:tcPr>
          <w:p>
            <w:pPr>
              <w:pStyle w:val="Default"/>
              <w:spacing w:before="40" w:after="40"/>
              <w:jc w:val="center"/>
              <w:rPr>
                <w:noProof/>
                <w:color w:val="auto"/>
                <w:sz w:val="20"/>
                <w:szCs w:val="20"/>
              </w:rPr>
            </w:pPr>
            <w:r>
              <w:rPr>
                <w:noProof/>
                <w:color w:val="auto"/>
                <w:sz w:val="20"/>
                <w:szCs w:val="20"/>
              </w:rPr>
              <w:t>Vuoden 2023 kolmas neljännes</w:t>
            </w:r>
          </w:p>
        </w:tc>
      </w:tr>
      <w:tr>
        <w:tc>
          <w:tcPr>
            <w:tcW w:w="426" w:type="dxa"/>
            <w:tcBorders>
              <w:bottom w:val="nil"/>
            </w:tcBorders>
          </w:tcPr>
          <w:p>
            <w:pPr>
              <w:pStyle w:val="Default"/>
              <w:spacing w:before="40" w:after="40"/>
              <w:jc w:val="both"/>
              <w:rPr>
                <w:noProof/>
                <w:color w:val="auto"/>
                <w:sz w:val="20"/>
                <w:szCs w:val="20"/>
              </w:rPr>
            </w:pPr>
            <w:r>
              <w:rPr>
                <w:noProof/>
                <w:color w:val="auto"/>
                <w:sz w:val="20"/>
                <w:szCs w:val="20"/>
              </w:rPr>
              <w:t>4</w:t>
            </w:r>
          </w:p>
        </w:tc>
        <w:tc>
          <w:tcPr>
            <w:tcW w:w="5244" w:type="dxa"/>
          </w:tcPr>
          <w:p>
            <w:pPr>
              <w:pStyle w:val="Default"/>
              <w:spacing w:before="40" w:after="40"/>
              <w:rPr>
                <w:b/>
                <w:noProof/>
                <w:color w:val="auto"/>
                <w:sz w:val="20"/>
                <w:szCs w:val="20"/>
              </w:rPr>
            </w:pPr>
            <w:r>
              <w:rPr>
                <w:b/>
                <w:noProof/>
                <w:color w:val="auto"/>
                <w:sz w:val="20"/>
                <w:szCs w:val="20"/>
              </w:rPr>
              <w:t>Tietotekniikkahanke</w:t>
            </w:r>
          </w:p>
        </w:tc>
        <w:tc>
          <w:tcPr>
            <w:tcW w:w="3261" w:type="dxa"/>
            <w:tcBorders>
              <w:right w:val="single" w:sz="4" w:space="0" w:color="auto"/>
            </w:tcBorders>
          </w:tcPr>
          <w:p>
            <w:pPr>
              <w:pStyle w:val="Default"/>
              <w:spacing w:before="40" w:after="40"/>
              <w:jc w:val="center"/>
              <w:rPr>
                <w:noProof/>
                <w:color w:val="auto"/>
                <w:sz w:val="20"/>
                <w:szCs w:val="20"/>
                <w:lang w:val="en-GB"/>
              </w:rPr>
            </w:pPr>
          </w:p>
        </w:tc>
      </w:tr>
      <w:tr>
        <w:tc>
          <w:tcPr>
            <w:tcW w:w="426" w:type="dxa"/>
            <w:tcBorders>
              <w:top w:val="nil"/>
              <w:bottom w:val="nil"/>
            </w:tcBorders>
          </w:tcPr>
          <w:p>
            <w:pPr>
              <w:pStyle w:val="Default"/>
              <w:spacing w:after="40"/>
              <w:jc w:val="both"/>
              <w:rPr>
                <w:noProof/>
                <w:color w:val="auto"/>
                <w:sz w:val="20"/>
                <w:szCs w:val="20"/>
                <w:lang w:val="en-GB"/>
              </w:rPr>
            </w:pPr>
          </w:p>
        </w:tc>
        <w:tc>
          <w:tcPr>
            <w:tcW w:w="5244" w:type="dxa"/>
          </w:tcPr>
          <w:p>
            <w:pPr>
              <w:pStyle w:val="Default"/>
              <w:spacing w:after="40"/>
              <w:rPr>
                <w:noProof/>
                <w:color w:val="auto"/>
                <w:sz w:val="20"/>
                <w:szCs w:val="20"/>
              </w:rPr>
            </w:pPr>
            <w:r>
              <w:rPr>
                <w:noProof/>
                <w:color w:val="auto"/>
                <w:sz w:val="20"/>
                <w:szCs w:val="20"/>
              </w:rPr>
              <w:t>– Sovelluksen ja palvelun eritelmät</w:t>
            </w:r>
          </w:p>
        </w:tc>
        <w:tc>
          <w:tcPr>
            <w:tcW w:w="3261" w:type="dxa"/>
            <w:tcBorders>
              <w:right w:val="single" w:sz="4" w:space="0" w:color="auto"/>
            </w:tcBorders>
          </w:tcPr>
          <w:p>
            <w:pPr>
              <w:pStyle w:val="Default"/>
              <w:spacing w:after="40"/>
              <w:jc w:val="center"/>
              <w:rPr>
                <w:noProof/>
                <w:color w:val="auto"/>
                <w:sz w:val="20"/>
                <w:szCs w:val="20"/>
              </w:rPr>
            </w:pPr>
            <w:r>
              <w:rPr>
                <w:noProof/>
                <w:color w:val="auto"/>
                <w:sz w:val="20"/>
                <w:szCs w:val="20"/>
              </w:rPr>
              <w:t>Vuoden 2024 toinen neljännes</w:t>
            </w:r>
          </w:p>
        </w:tc>
      </w:tr>
      <w:tr>
        <w:tc>
          <w:tcPr>
            <w:tcW w:w="426" w:type="dxa"/>
            <w:tcBorders>
              <w:top w:val="nil"/>
              <w:bottom w:val="nil"/>
            </w:tcBorders>
          </w:tcPr>
          <w:p>
            <w:pPr>
              <w:pStyle w:val="Default"/>
              <w:spacing w:after="40"/>
              <w:jc w:val="both"/>
              <w:rPr>
                <w:noProof/>
                <w:color w:val="auto"/>
                <w:sz w:val="20"/>
                <w:szCs w:val="20"/>
                <w:lang w:val="en-GB"/>
              </w:rPr>
            </w:pPr>
          </w:p>
        </w:tc>
        <w:tc>
          <w:tcPr>
            <w:tcW w:w="5244" w:type="dxa"/>
          </w:tcPr>
          <w:p>
            <w:pPr>
              <w:pStyle w:val="Default"/>
              <w:spacing w:after="40"/>
              <w:rPr>
                <w:noProof/>
                <w:color w:val="auto"/>
                <w:sz w:val="20"/>
                <w:szCs w:val="20"/>
              </w:rPr>
            </w:pPr>
            <w:r>
              <w:rPr>
                <w:noProof/>
                <w:color w:val="auto"/>
                <w:sz w:val="20"/>
                <w:szCs w:val="20"/>
              </w:rPr>
              <w:t>– Järjestelmän tekniset eritelmät</w:t>
            </w:r>
          </w:p>
        </w:tc>
        <w:tc>
          <w:tcPr>
            <w:tcW w:w="3261" w:type="dxa"/>
            <w:tcBorders>
              <w:right w:val="single" w:sz="4" w:space="0" w:color="auto"/>
            </w:tcBorders>
          </w:tcPr>
          <w:p>
            <w:pPr>
              <w:pStyle w:val="Default"/>
              <w:spacing w:after="40"/>
              <w:jc w:val="center"/>
              <w:rPr>
                <w:noProof/>
                <w:color w:val="auto"/>
                <w:sz w:val="20"/>
                <w:szCs w:val="20"/>
              </w:rPr>
            </w:pPr>
            <w:r>
              <w:rPr>
                <w:noProof/>
                <w:color w:val="auto"/>
                <w:sz w:val="20"/>
                <w:szCs w:val="20"/>
              </w:rPr>
              <w:t>Vuoden 2024 toinen neljännes</w:t>
            </w:r>
          </w:p>
        </w:tc>
      </w:tr>
      <w:tr>
        <w:tc>
          <w:tcPr>
            <w:tcW w:w="426" w:type="dxa"/>
            <w:tcBorders>
              <w:top w:val="nil"/>
              <w:bottom w:val="nil"/>
            </w:tcBorders>
          </w:tcPr>
          <w:p>
            <w:pPr>
              <w:pStyle w:val="Default"/>
              <w:spacing w:after="40"/>
              <w:jc w:val="both"/>
              <w:rPr>
                <w:noProof/>
                <w:color w:val="auto"/>
                <w:sz w:val="20"/>
                <w:szCs w:val="20"/>
                <w:lang w:val="en-GB"/>
              </w:rPr>
            </w:pPr>
          </w:p>
        </w:tc>
        <w:tc>
          <w:tcPr>
            <w:tcW w:w="5244" w:type="dxa"/>
          </w:tcPr>
          <w:p>
            <w:pPr>
              <w:pStyle w:val="Default"/>
              <w:spacing w:after="40"/>
              <w:rPr>
                <w:b/>
                <w:noProof/>
                <w:color w:val="auto"/>
                <w:sz w:val="20"/>
                <w:szCs w:val="20"/>
              </w:rPr>
            </w:pPr>
            <w:r>
              <w:rPr>
                <w:b/>
                <w:noProof/>
                <w:color w:val="auto"/>
                <w:sz w:val="20"/>
                <w:szCs w:val="20"/>
              </w:rPr>
              <w:t>Rakennusvaihe</w:t>
            </w:r>
          </w:p>
        </w:tc>
        <w:tc>
          <w:tcPr>
            <w:tcW w:w="3261" w:type="dxa"/>
            <w:tcBorders>
              <w:right w:val="single" w:sz="4" w:space="0" w:color="auto"/>
            </w:tcBorders>
          </w:tcPr>
          <w:p>
            <w:pPr>
              <w:pStyle w:val="Default"/>
              <w:spacing w:after="40"/>
              <w:jc w:val="center"/>
              <w:rPr>
                <w:noProof/>
                <w:color w:val="auto"/>
                <w:sz w:val="20"/>
                <w:szCs w:val="20"/>
                <w:lang w:val="en-GB"/>
              </w:rPr>
            </w:pPr>
          </w:p>
        </w:tc>
      </w:tr>
      <w:tr>
        <w:tc>
          <w:tcPr>
            <w:tcW w:w="426" w:type="dxa"/>
            <w:tcBorders>
              <w:top w:val="nil"/>
              <w:bottom w:val="nil"/>
            </w:tcBorders>
          </w:tcPr>
          <w:p>
            <w:pPr>
              <w:pStyle w:val="Default"/>
              <w:spacing w:after="40"/>
              <w:jc w:val="both"/>
              <w:rPr>
                <w:noProof/>
                <w:color w:val="auto"/>
                <w:sz w:val="20"/>
                <w:szCs w:val="20"/>
                <w:lang w:val="en-GB"/>
              </w:rPr>
            </w:pPr>
          </w:p>
        </w:tc>
        <w:tc>
          <w:tcPr>
            <w:tcW w:w="5244" w:type="dxa"/>
          </w:tcPr>
          <w:p>
            <w:pPr>
              <w:pStyle w:val="Default"/>
              <w:spacing w:after="40"/>
              <w:rPr>
                <w:noProof/>
                <w:color w:val="auto"/>
                <w:sz w:val="20"/>
                <w:szCs w:val="20"/>
              </w:rPr>
            </w:pPr>
            <w:r>
              <w:rPr>
                <w:noProof/>
                <w:color w:val="auto"/>
                <w:sz w:val="20"/>
                <w:szCs w:val="20"/>
              </w:rPr>
              <w:t>– Keskitettyjen palvelujen toteutus</w:t>
            </w:r>
          </w:p>
        </w:tc>
        <w:tc>
          <w:tcPr>
            <w:tcW w:w="3261" w:type="dxa"/>
            <w:tcBorders>
              <w:right w:val="single" w:sz="4" w:space="0" w:color="auto"/>
            </w:tcBorders>
          </w:tcPr>
          <w:p>
            <w:pPr>
              <w:pStyle w:val="Default"/>
              <w:spacing w:after="40"/>
              <w:jc w:val="center"/>
              <w:rPr>
                <w:noProof/>
                <w:color w:val="auto"/>
                <w:sz w:val="20"/>
                <w:szCs w:val="20"/>
              </w:rPr>
            </w:pPr>
            <w:r>
              <w:rPr>
                <w:noProof/>
                <w:color w:val="auto"/>
                <w:sz w:val="20"/>
                <w:szCs w:val="20"/>
              </w:rPr>
              <w:t>Vuoden 2024 kolmas neljännes</w:t>
            </w:r>
          </w:p>
        </w:tc>
      </w:tr>
      <w:tr>
        <w:tc>
          <w:tcPr>
            <w:tcW w:w="426" w:type="dxa"/>
            <w:tcBorders>
              <w:top w:val="nil"/>
              <w:bottom w:val="nil"/>
            </w:tcBorders>
          </w:tcPr>
          <w:p>
            <w:pPr>
              <w:pStyle w:val="Default"/>
              <w:spacing w:after="40"/>
              <w:jc w:val="both"/>
              <w:rPr>
                <w:noProof/>
                <w:color w:val="auto"/>
                <w:sz w:val="20"/>
                <w:szCs w:val="20"/>
                <w:lang w:val="en-GB"/>
              </w:rPr>
            </w:pPr>
          </w:p>
        </w:tc>
        <w:tc>
          <w:tcPr>
            <w:tcW w:w="5244" w:type="dxa"/>
          </w:tcPr>
          <w:p>
            <w:pPr>
              <w:pStyle w:val="Default"/>
              <w:spacing w:after="40"/>
              <w:rPr>
                <w:noProof/>
                <w:color w:val="auto"/>
                <w:sz w:val="20"/>
                <w:szCs w:val="20"/>
              </w:rPr>
            </w:pPr>
            <w:r>
              <w:rPr>
                <w:noProof/>
                <w:color w:val="auto"/>
                <w:sz w:val="20"/>
                <w:szCs w:val="20"/>
              </w:rPr>
              <w:t>– Palvelun integrointi kansallisiin järjestelmiin</w:t>
            </w:r>
          </w:p>
        </w:tc>
        <w:tc>
          <w:tcPr>
            <w:tcW w:w="3261" w:type="dxa"/>
            <w:tcBorders>
              <w:right w:val="single" w:sz="4" w:space="0" w:color="auto"/>
            </w:tcBorders>
          </w:tcPr>
          <w:p>
            <w:pPr>
              <w:pStyle w:val="Default"/>
              <w:spacing w:after="40"/>
              <w:jc w:val="center"/>
              <w:rPr>
                <w:noProof/>
                <w:color w:val="auto"/>
                <w:sz w:val="20"/>
                <w:szCs w:val="20"/>
              </w:rPr>
            </w:pPr>
            <w:r>
              <w:rPr>
                <w:noProof/>
                <w:color w:val="auto"/>
                <w:sz w:val="20"/>
                <w:szCs w:val="20"/>
              </w:rPr>
              <w:t>Vuoden 2024 viimeisestä neljänneksestä alkaen</w:t>
            </w:r>
          </w:p>
        </w:tc>
      </w:tr>
      <w:tr>
        <w:tc>
          <w:tcPr>
            <w:tcW w:w="426" w:type="dxa"/>
            <w:tcBorders>
              <w:top w:val="nil"/>
              <w:bottom w:val="nil"/>
            </w:tcBorders>
          </w:tcPr>
          <w:p>
            <w:pPr>
              <w:pStyle w:val="Default"/>
              <w:spacing w:after="40"/>
              <w:jc w:val="both"/>
              <w:rPr>
                <w:noProof/>
                <w:color w:val="auto"/>
                <w:sz w:val="20"/>
                <w:szCs w:val="20"/>
                <w:lang w:val="en-GB"/>
              </w:rPr>
            </w:pPr>
          </w:p>
        </w:tc>
        <w:tc>
          <w:tcPr>
            <w:tcW w:w="5244" w:type="dxa"/>
          </w:tcPr>
          <w:p>
            <w:pPr>
              <w:pStyle w:val="Default"/>
              <w:spacing w:after="40"/>
              <w:rPr>
                <w:noProof/>
                <w:color w:val="auto"/>
                <w:sz w:val="20"/>
                <w:szCs w:val="20"/>
              </w:rPr>
            </w:pPr>
            <w:r>
              <w:rPr>
                <w:noProof/>
                <w:color w:val="auto"/>
                <w:sz w:val="20"/>
                <w:szCs w:val="20"/>
              </w:rPr>
              <w:t>– Kansallinen toteutus</w:t>
            </w:r>
          </w:p>
        </w:tc>
        <w:tc>
          <w:tcPr>
            <w:tcW w:w="3261" w:type="dxa"/>
            <w:tcBorders>
              <w:right w:val="single" w:sz="4" w:space="0" w:color="auto"/>
            </w:tcBorders>
          </w:tcPr>
          <w:p>
            <w:pPr>
              <w:pStyle w:val="Default"/>
              <w:spacing w:after="40"/>
              <w:jc w:val="center"/>
              <w:rPr>
                <w:noProof/>
                <w:color w:val="auto"/>
                <w:sz w:val="20"/>
                <w:szCs w:val="20"/>
              </w:rPr>
            </w:pPr>
            <w:r>
              <w:rPr>
                <w:noProof/>
                <w:color w:val="auto"/>
                <w:sz w:val="20"/>
                <w:szCs w:val="20"/>
              </w:rPr>
              <w:t>Vuoden 2024 viimeisestä neljänneksestä alkaen</w:t>
            </w:r>
          </w:p>
        </w:tc>
      </w:tr>
      <w:tr>
        <w:tc>
          <w:tcPr>
            <w:tcW w:w="426" w:type="dxa"/>
            <w:tcBorders>
              <w:top w:val="nil"/>
              <w:bottom w:val="nil"/>
            </w:tcBorders>
          </w:tcPr>
          <w:p>
            <w:pPr>
              <w:pStyle w:val="Default"/>
              <w:spacing w:after="40"/>
              <w:jc w:val="both"/>
              <w:rPr>
                <w:noProof/>
                <w:color w:val="auto"/>
                <w:sz w:val="20"/>
                <w:szCs w:val="20"/>
                <w:lang w:val="en-GB"/>
              </w:rPr>
            </w:pPr>
          </w:p>
        </w:tc>
        <w:tc>
          <w:tcPr>
            <w:tcW w:w="5244" w:type="dxa"/>
          </w:tcPr>
          <w:p>
            <w:pPr>
              <w:pStyle w:val="Default"/>
              <w:spacing w:after="40"/>
              <w:rPr>
                <w:b/>
                <w:noProof/>
                <w:color w:val="auto"/>
                <w:sz w:val="20"/>
                <w:szCs w:val="20"/>
              </w:rPr>
            </w:pPr>
            <w:r>
              <w:rPr>
                <w:b/>
                <w:noProof/>
                <w:color w:val="auto"/>
                <w:sz w:val="20"/>
                <w:szCs w:val="20"/>
              </w:rPr>
              <w:t>Siirtymävaihe</w:t>
            </w:r>
          </w:p>
        </w:tc>
        <w:tc>
          <w:tcPr>
            <w:tcW w:w="3261" w:type="dxa"/>
            <w:tcBorders>
              <w:right w:val="single" w:sz="4" w:space="0" w:color="auto"/>
            </w:tcBorders>
          </w:tcPr>
          <w:p>
            <w:pPr>
              <w:pStyle w:val="Default"/>
              <w:spacing w:after="40"/>
              <w:jc w:val="center"/>
              <w:rPr>
                <w:noProof/>
                <w:color w:val="auto"/>
                <w:sz w:val="20"/>
                <w:szCs w:val="20"/>
                <w:lang w:val="en-GB"/>
              </w:rPr>
            </w:pPr>
          </w:p>
        </w:tc>
      </w:tr>
      <w:tr>
        <w:tc>
          <w:tcPr>
            <w:tcW w:w="426" w:type="dxa"/>
            <w:tcBorders>
              <w:top w:val="nil"/>
              <w:bottom w:val="nil"/>
            </w:tcBorders>
          </w:tcPr>
          <w:p>
            <w:pPr>
              <w:pStyle w:val="Default"/>
              <w:spacing w:after="40"/>
              <w:jc w:val="both"/>
              <w:rPr>
                <w:noProof/>
                <w:color w:val="auto"/>
                <w:sz w:val="20"/>
                <w:szCs w:val="20"/>
                <w:lang w:val="en-GB"/>
              </w:rPr>
            </w:pPr>
          </w:p>
        </w:tc>
        <w:tc>
          <w:tcPr>
            <w:tcW w:w="5244" w:type="dxa"/>
          </w:tcPr>
          <w:p>
            <w:pPr>
              <w:pStyle w:val="Default"/>
              <w:spacing w:after="40"/>
              <w:rPr>
                <w:noProof/>
                <w:color w:val="auto"/>
                <w:sz w:val="20"/>
                <w:szCs w:val="20"/>
              </w:rPr>
            </w:pPr>
            <w:r>
              <w:rPr>
                <w:noProof/>
                <w:color w:val="auto"/>
                <w:sz w:val="20"/>
                <w:szCs w:val="20"/>
              </w:rPr>
              <w:t>– Käyttöönotto ja toteutus</w:t>
            </w:r>
          </w:p>
        </w:tc>
        <w:tc>
          <w:tcPr>
            <w:tcW w:w="3261" w:type="dxa"/>
            <w:tcBorders>
              <w:right w:val="single" w:sz="4" w:space="0" w:color="auto"/>
            </w:tcBorders>
          </w:tcPr>
          <w:p>
            <w:pPr>
              <w:pStyle w:val="Default"/>
              <w:spacing w:after="40"/>
              <w:jc w:val="center"/>
              <w:rPr>
                <w:noProof/>
                <w:color w:val="auto"/>
                <w:sz w:val="20"/>
                <w:szCs w:val="20"/>
              </w:rPr>
            </w:pPr>
            <w:r>
              <w:rPr>
                <w:noProof/>
                <w:color w:val="auto"/>
                <w:sz w:val="20"/>
                <w:szCs w:val="20"/>
              </w:rPr>
              <w:t>Vuoden 2024 viimeinen neljännes</w:t>
            </w:r>
          </w:p>
        </w:tc>
      </w:tr>
      <w:tr>
        <w:tc>
          <w:tcPr>
            <w:tcW w:w="426" w:type="dxa"/>
            <w:tcBorders>
              <w:top w:val="nil"/>
              <w:bottom w:val="single" w:sz="4" w:space="0" w:color="auto"/>
            </w:tcBorders>
          </w:tcPr>
          <w:p>
            <w:pPr>
              <w:pStyle w:val="Default"/>
              <w:spacing w:after="40"/>
              <w:jc w:val="both"/>
              <w:rPr>
                <w:noProof/>
                <w:color w:val="auto"/>
                <w:sz w:val="20"/>
                <w:szCs w:val="20"/>
                <w:lang w:val="en-GB"/>
              </w:rPr>
            </w:pPr>
          </w:p>
        </w:tc>
        <w:tc>
          <w:tcPr>
            <w:tcW w:w="5244" w:type="dxa"/>
          </w:tcPr>
          <w:p>
            <w:pPr>
              <w:pStyle w:val="Default"/>
              <w:spacing w:after="40"/>
              <w:rPr>
                <w:noProof/>
                <w:color w:val="auto"/>
                <w:sz w:val="20"/>
                <w:szCs w:val="20"/>
              </w:rPr>
            </w:pPr>
            <w:r>
              <w:rPr>
                <w:noProof/>
                <w:color w:val="auto"/>
                <w:sz w:val="20"/>
                <w:szCs w:val="20"/>
              </w:rPr>
              <w:t>– Vaatimustenmukaisuuden testaus</w:t>
            </w:r>
          </w:p>
        </w:tc>
        <w:tc>
          <w:tcPr>
            <w:tcW w:w="3261" w:type="dxa"/>
            <w:tcBorders>
              <w:right w:val="single" w:sz="4" w:space="0" w:color="auto"/>
            </w:tcBorders>
          </w:tcPr>
          <w:p>
            <w:pPr>
              <w:pStyle w:val="Default"/>
              <w:spacing w:after="40"/>
              <w:jc w:val="center"/>
              <w:rPr>
                <w:noProof/>
                <w:color w:val="auto"/>
                <w:sz w:val="20"/>
                <w:szCs w:val="20"/>
              </w:rPr>
            </w:pPr>
            <w:r>
              <w:rPr>
                <w:noProof/>
                <w:color w:val="auto"/>
                <w:sz w:val="20"/>
                <w:szCs w:val="20"/>
              </w:rPr>
              <w:t>Vuoden 2025 ensimmäisestä neljänneksestä alkaen</w:t>
            </w:r>
          </w:p>
        </w:tc>
      </w:tr>
      <w:tr>
        <w:tc>
          <w:tcPr>
            <w:tcW w:w="426" w:type="dxa"/>
            <w:tcBorders>
              <w:bottom w:val="nil"/>
            </w:tcBorders>
          </w:tcPr>
          <w:p>
            <w:pPr>
              <w:pStyle w:val="Default"/>
              <w:spacing w:after="40"/>
              <w:jc w:val="both"/>
              <w:rPr>
                <w:noProof/>
                <w:color w:val="auto"/>
                <w:sz w:val="20"/>
                <w:szCs w:val="20"/>
              </w:rPr>
            </w:pPr>
            <w:r>
              <w:rPr>
                <w:noProof/>
                <w:color w:val="auto"/>
                <w:sz w:val="20"/>
                <w:szCs w:val="20"/>
              </w:rPr>
              <w:t>5</w:t>
            </w:r>
          </w:p>
        </w:tc>
        <w:tc>
          <w:tcPr>
            <w:tcW w:w="5244" w:type="dxa"/>
          </w:tcPr>
          <w:p>
            <w:pPr>
              <w:pStyle w:val="Default"/>
              <w:spacing w:after="40"/>
              <w:rPr>
                <w:b/>
                <w:noProof/>
                <w:color w:val="auto"/>
                <w:sz w:val="20"/>
                <w:szCs w:val="20"/>
              </w:rPr>
            </w:pPr>
            <w:r>
              <w:rPr>
                <w:b/>
                <w:noProof/>
                <w:color w:val="auto"/>
                <w:sz w:val="20"/>
                <w:szCs w:val="20"/>
              </w:rPr>
              <w:t>Toiminta</w:t>
            </w:r>
          </w:p>
        </w:tc>
        <w:tc>
          <w:tcPr>
            <w:tcW w:w="3261" w:type="dxa"/>
            <w:tcBorders>
              <w:right w:val="single" w:sz="4" w:space="0" w:color="auto"/>
            </w:tcBorders>
          </w:tcPr>
          <w:p>
            <w:pPr>
              <w:pStyle w:val="Default"/>
              <w:spacing w:after="40"/>
              <w:jc w:val="center"/>
              <w:rPr>
                <w:noProof/>
                <w:color w:val="auto"/>
                <w:sz w:val="20"/>
                <w:szCs w:val="20"/>
                <w:lang w:val="en-GB"/>
              </w:rPr>
            </w:pPr>
          </w:p>
        </w:tc>
      </w:tr>
      <w:tr>
        <w:tc>
          <w:tcPr>
            <w:tcW w:w="426" w:type="dxa"/>
            <w:tcBorders>
              <w:top w:val="nil"/>
              <w:bottom w:val="nil"/>
            </w:tcBorders>
          </w:tcPr>
          <w:p>
            <w:pPr>
              <w:pStyle w:val="Default"/>
              <w:spacing w:after="40"/>
              <w:jc w:val="both"/>
              <w:rPr>
                <w:noProof/>
                <w:color w:val="auto"/>
                <w:sz w:val="20"/>
                <w:szCs w:val="20"/>
                <w:lang w:val="en-GB"/>
              </w:rPr>
            </w:pPr>
          </w:p>
        </w:tc>
        <w:tc>
          <w:tcPr>
            <w:tcW w:w="5244" w:type="dxa"/>
          </w:tcPr>
          <w:p>
            <w:pPr>
              <w:pStyle w:val="Default"/>
              <w:spacing w:after="40"/>
              <w:rPr>
                <w:noProof/>
                <w:color w:val="auto"/>
                <w:sz w:val="20"/>
                <w:szCs w:val="20"/>
              </w:rPr>
            </w:pPr>
            <w:r>
              <w:rPr>
                <w:noProof/>
                <w:color w:val="auto"/>
                <w:sz w:val="20"/>
                <w:szCs w:val="20"/>
              </w:rPr>
              <w:t>– Komissio, jäsenvaltioiden hallinnot ja kaupan alan toimijat (huomautus: tämä on komission toiminta-aikataulu, jäsenvaltiot aloittavat vaatimustenmukaisuuden testaukset vuoden 2020 toisena neljänneksenä)</w:t>
            </w:r>
          </w:p>
        </w:tc>
        <w:tc>
          <w:tcPr>
            <w:tcW w:w="3261" w:type="dxa"/>
            <w:tcBorders>
              <w:right w:val="single" w:sz="4" w:space="0" w:color="auto"/>
            </w:tcBorders>
          </w:tcPr>
          <w:p>
            <w:pPr>
              <w:pStyle w:val="Default"/>
              <w:spacing w:after="40"/>
              <w:jc w:val="center"/>
              <w:rPr>
                <w:noProof/>
                <w:color w:val="auto"/>
                <w:sz w:val="20"/>
                <w:szCs w:val="20"/>
              </w:rPr>
            </w:pPr>
            <w:r>
              <w:rPr>
                <w:noProof/>
                <w:color w:val="auto"/>
                <w:sz w:val="20"/>
                <w:szCs w:val="20"/>
              </w:rPr>
              <w:t>Vuoden 2025 toinen neljännes</w:t>
            </w:r>
          </w:p>
        </w:tc>
      </w:tr>
      <w:tr>
        <w:tc>
          <w:tcPr>
            <w:tcW w:w="426" w:type="dxa"/>
            <w:tcBorders>
              <w:top w:val="nil"/>
              <w:bottom w:val="single" w:sz="4" w:space="0" w:color="auto"/>
            </w:tcBorders>
          </w:tcPr>
          <w:p>
            <w:pPr>
              <w:pStyle w:val="Default"/>
              <w:spacing w:after="40"/>
              <w:jc w:val="both"/>
              <w:rPr>
                <w:noProof/>
                <w:color w:val="auto"/>
                <w:sz w:val="20"/>
                <w:szCs w:val="20"/>
                <w:lang w:val="en-GB"/>
              </w:rPr>
            </w:pPr>
          </w:p>
        </w:tc>
        <w:tc>
          <w:tcPr>
            <w:tcW w:w="5244" w:type="dxa"/>
          </w:tcPr>
          <w:p>
            <w:pPr>
              <w:pStyle w:val="Default"/>
              <w:spacing w:after="40"/>
              <w:rPr>
                <w:noProof/>
                <w:color w:val="auto"/>
                <w:sz w:val="20"/>
                <w:szCs w:val="20"/>
              </w:rPr>
            </w:pPr>
            <w:r>
              <w:rPr>
                <w:noProof/>
                <w:color w:val="auto"/>
                <w:sz w:val="20"/>
                <w:szCs w:val="20"/>
              </w:rPr>
              <w:t>– EU:n ulkopuoliset maat ja kaupan alan toimijat (tarvittaessa)</w:t>
            </w:r>
          </w:p>
        </w:tc>
        <w:tc>
          <w:tcPr>
            <w:tcW w:w="3261" w:type="dxa"/>
            <w:tcBorders>
              <w:right w:val="single" w:sz="4" w:space="0" w:color="auto"/>
            </w:tcBorders>
          </w:tcPr>
          <w:p>
            <w:pPr>
              <w:pStyle w:val="Default"/>
              <w:spacing w:after="40"/>
              <w:jc w:val="center"/>
              <w:rPr>
                <w:noProof/>
                <w:color w:val="auto"/>
                <w:sz w:val="20"/>
                <w:szCs w:val="20"/>
              </w:rPr>
            </w:pPr>
            <w:r>
              <w:rPr>
                <w:noProof/>
                <w:color w:val="auto"/>
                <w:sz w:val="20"/>
                <w:szCs w:val="20"/>
              </w:rPr>
              <w:t>Ei sovelleta</w:t>
            </w:r>
          </w:p>
        </w:tc>
      </w:tr>
      <w:tr>
        <w:tc>
          <w:tcPr>
            <w:tcW w:w="426" w:type="dxa"/>
            <w:tcBorders>
              <w:bottom w:val="nil"/>
            </w:tcBorders>
          </w:tcPr>
          <w:p>
            <w:pPr>
              <w:pStyle w:val="Default"/>
              <w:spacing w:after="40"/>
              <w:jc w:val="both"/>
              <w:rPr>
                <w:noProof/>
                <w:color w:val="auto"/>
                <w:sz w:val="20"/>
                <w:szCs w:val="20"/>
              </w:rPr>
            </w:pPr>
            <w:r>
              <w:rPr>
                <w:noProof/>
                <w:color w:val="auto"/>
                <w:sz w:val="20"/>
                <w:szCs w:val="20"/>
              </w:rPr>
              <w:t>6</w:t>
            </w:r>
          </w:p>
        </w:tc>
        <w:tc>
          <w:tcPr>
            <w:tcW w:w="5244" w:type="dxa"/>
          </w:tcPr>
          <w:p>
            <w:pPr>
              <w:pStyle w:val="Default"/>
              <w:spacing w:after="40"/>
              <w:rPr>
                <w:b/>
                <w:noProof/>
                <w:color w:val="auto"/>
                <w:sz w:val="20"/>
                <w:szCs w:val="20"/>
              </w:rPr>
            </w:pPr>
            <w:r>
              <w:rPr>
                <w:b/>
                <w:noProof/>
                <w:color w:val="auto"/>
                <w:sz w:val="20"/>
                <w:szCs w:val="20"/>
              </w:rPr>
              <w:t>Toteutuksen tuki (koulutus ja viestintä)</w:t>
            </w:r>
          </w:p>
        </w:tc>
        <w:tc>
          <w:tcPr>
            <w:tcW w:w="3261" w:type="dxa"/>
            <w:tcBorders>
              <w:right w:val="single" w:sz="4" w:space="0" w:color="auto"/>
            </w:tcBorders>
          </w:tcPr>
          <w:p>
            <w:pPr>
              <w:pStyle w:val="Default"/>
              <w:spacing w:after="40"/>
              <w:jc w:val="center"/>
              <w:rPr>
                <w:noProof/>
                <w:color w:val="auto"/>
                <w:sz w:val="20"/>
                <w:szCs w:val="20"/>
              </w:rPr>
            </w:pPr>
          </w:p>
        </w:tc>
      </w:tr>
      <w:tr>
        <w:tc>
          <w:tcPr>
            <w:tcW w:w="426" w:type="dxa"/>
            <w:tcBorders>
              <w:top w:val="nil"/>
              <w:bottom w:val="nil"/>
            </w:tcBorders>
          </w:tcPr>
          <w:p>
            <w:pPr>
              <w:pStyle w:val="Default"/>
              <w:spacing w:after="40"/>
              <w:jc w:val="both"/>
              <w:rPr>
                <w:noProof/>
                <w:color w:val="auto"/>
                <w:sz w:val="20"/>
                <w:szCs w:val="20"/>
              </w:rPr>
            </w:pPr>
          </w:p>
        </w:tc>
        <w:tc>
          <w:tcPr>
            <w:tcW w:w="5244" w:type="dxa"/>
          </w:tcPr>
          <w:p>
            <w:pPr>
              <w:pStyle w:val="Default"/>
              <w:spacing w:after="40"/>
              <w:rPr>
                <w:noProof/>
                <w:color w:val="auto"/>
                <w:sz w:val="20"/>
                <w:szCs w:val="20"/>
              </w:rPr>
            </w:pPr>
            <w:r>
              <w:rPr>
                <w:noProof/>
                <w:color w:val="auto"/>
                <w:sz w:val="20"/>
                <w:szCs w:val="20"/>
              </w:rPr>
              <w:t>– Keskitetysti kehitetty koulutus ja viestintä</w:t>
            </w:r>
          </w:p>
        </w:tc>
        <w:tc>
          <w:tcPr>
            <w:tcW w:w="3261" w:type="dxa"/>
            <w:tcBorders>
              <w:right w:val="single" w:sz="4" w:space="0" w:color="auto"/>
            </w:tcBorders>
          </w:tcPr>
          <w:p>
            <w:pPr>
              <w:pStyle w:val="Default"/>
              <w:spacing w:after="40"/>
              <w:jc w:val="center"/>
              <w:rPr>
                <w:noProof/>
                <w:color w:val="auto"/>
                <w:sz w:val="20"/>
                <w:szCs w:val="20"/>
              </w:rPr>
            </w:pPr>
            <w:r>
              <w:rPr>
                <w:noProof/>
                <w:color w:val="auto"/>
                <w:sz w:val="20"/>
                <w:szCs w:val="20"/>
              </w:rPr>
              <w:t>Ei sovelleta</w:t>
            </w:r>
          </w:p>
        </w:tc>
      </w:tr>
      <w:tr>
        <w:tc>
          <w:tcPr>
            <w:tcW w:w="426" w:type="dxa"/>
            <w:tcBorders>
              <w:top w:val="nil"/>
            </w:tcBorders>
          </w:tcPr>
          <w:p>
            <w:pPr>
              <w:pStyle w:val="Default"/>
              <w:spacing w:after="40"/>
              <w:jc w:val="both"/>
              <w:rPr>
                <w:noProof/>
                <w:color w:val="auto"/>
                <w:sz w:val="20"/>
                <w:szCs w:val="20"/>
                <w:lang w:val="en-GB"/>
              </w:rPr>
            </w:pPr>
          </w:p>
        </w:tc>
        <w:tc>
          <w:tcPr>
            <w:tcW w:w="5244" w:type="dxa"/>
          </w:tcPr>
          <w:p>
            <w:pPr>
              <w:pStyle w:val="Default"/>
              <w:spacing w:after="40"/>
              <w:rPr>
                <w:noProof/>
                <w:color w:val="auto"/>
                <w:sz w:val="20"/>
                <w:szCs w:val="20"/>
              </w:rPr>
            </w:pPr>
            <w:r>
              <w:rPr>
                <w:noProof/>
                <w:color w:val="auto"/>
                <w:sz w:val="20"/>
                <w:szCs w:val="20"/>
              </w:rPr>
              <w:t>– Kansallinen koulutus ja viestintä</w:t>
            </w:r>
          </w:p>
        </w:tc>
        <w:tc>
          <w:tcPr>
            <w:tcW w:w="3261" w:type="dxa"/>
            <w:tcBorders>
              <w:right w:val="single" w:sz="4" w:space="0" w:color="auto"/>
            </w:tcBorders>
          </w:tcPr>
          <w:p>
            <w:pPr>
              <w:pStyle w:val="Default"/>
              <w:spacing w:after="40"/>
              <w:jc w:val="center"/>
              <w:rPr>
                <w:noProof/>
                <w:color w:val="auto"/>
                <w:sz w:val="20"/>
                <w:szCs w:val="20"/>
              </w:rPr>
            </w:pPr>
            <w:r>
              <w:rPr>
                <w:noProof/>
                <w:color w:val="auto"/>
                <w:sz w:val="20"/>
                <w:szCs w:val="20"/>
              </w:rPr>
              <w:t>Ei sovelleta</w:t>
            </w:r>
          </w:p>
        </w:tc>
      </w:tr>
    </w:tbl>
    <w:p>
      <w:pPr>
        <w:pStyle w:val="Default"/>
        <w:spacing w:before="240"/>
        <w:jc w:val="both"/>
        <w:rPr>
          <w:noProof/>
          <w:color w:val="auto"/>
          <w:sz w:val="20"/>
          <w:szCs w:val="20"/>
        </w:rPr>
      </w:pPr>
      <w:r>
        <w:rPr>
          <w:noProof/>
          <w:color w:val="auto"/>
          <w:sz w:val="20"/>
          <w:szCs w:val="20"/>
        </w:rPr>
        <w:t>*Nykyiset säännökset viittaavat asetukseen (EU) 2019/880.</w:t>
      </w:r>
    </w:p>
    <w:p>
      <w:pPr>
        <w:pStyle w:val="Default"/>
        <w:spacing w:after="240"/>
        <w:jc w:val="both"/>
        <w:rPr>
          <w:noProof/>
          <w:color w:val="auto"/>
          <w:sz w:val="20"/>
          <w:szCs w:val="20"/>
        </w:rPr>
      </w:pPr>
      <w:r>
        <w:rPr>
          <w:noProof/>
          <w:color w:val="auto"/>
          <w:sz w:val="20"/>
          <w:szCs w:val="20"/>
        </w:rPr>
        <w:t>**Tulevat säännökset viittaavat täytäntöönpanosäännöksiin, jotka hyväksytään asetuksen (EU) 2019/880 mukaisesti.</w:t>
      </w:r>
    </w:p>
    <w:p>
      <w:pPr>
        <w:pStyle w:val="Default"/>
        <w:jc w:val="both"/>
        <w:rPr>
          <w:noProof/>
          <w:color w:val="auto"/>
          <w:sz w:val="20"/>
          <w:szCs w:val="20"/>
        </w:rPr>
      </w:pPr>
    </w:p>
    <w:p>
      <w:pPr>
        <w:jc w:val="center"/>
        <w:rPr>
          <w:b/>
          <w:noProof/>
          <w:sz w:val="24"/>
          <w:szCs w:val="24"/>
        </w:rPr>
        <w:sectPr>
          <w:headerReference w:type="even" r:id="rId19"/>
          <w:headerReference w:type="default" r:id="rId20"/>
          <w:footerReference w:type="even" r:id="rId21"/>
          <w:footerReference w:type="default" r:id="rId22"/>
          <w:headerReference w:type="first" r:id="rId23"/>
          <w:footerReference w:type="first" r:id="rId24"/>
          <w:pgSz w:w="11906" w:h="16838"/>
          <w:pgMar w:top="1135" w:right="1417" w:bottom="1135" w:left="1417" w:header="567" w:footer="454" w:gutter="0"/>
          <w:cols w:space="720"/>
          <w:docGrid w:linePitch="360"/>
        </w:sectPr>
      </w:pPr>
    </w:p>
    <w:p>
      <w:pPr>
        <w:pStyle w:val="Heading1"/>
        <w:spacing w:after="240"/>
        <w:jc w:val="center"/>
        <w:rPr>
          <w:noProof/>
        </w:rPr>
      </w:pPr>
      <w:bookmarkStart w:id="14" w:name="_Toc76037708"/>
      <w:r>
        <w:rPr>
          <w:noProof/>
        </w:rPr>
        <w:t>Liite II: Hankkeen päävaiheet ja kriittisten välitavoitteiden aikataulu</w:t>
      </w:r>
      <w:bookmarkEnd w:id="14"/>
    </w:p>
    <w:p>
      <w:pPr>
        <w:jc w:val="center"/>
        <w:rPr>
          <w:i/>
          <w:noProof/>
          <w:sz w:val="24"/>
          <w:szCs w:val="24"/>
        </w:rPr>
      </w:pPr>
      <w:r>
        <w:rPr>
          <w:noProof/>
          <w:lang w:val="en-GB" w:eastAsia="en-GB"/>
        </w:rPr>
        <w:drawing>
          <wp:inline distT="0" distB="0" distL="0" distR="0">
            <wp:extent cx="8891270" cy="4795350"/>
            <wp:effectExtent l="0" t="0" r="508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891270" cy="4795350"/>
                    </a:xfrm>
                    <a:prstGeom prst="rect">
                      <a:avLst/>
                    </a:prstGeom>
                    <a:noFill/>
                    <a:ln>
                      <a:noFill/>
                    </a:ln>
                  </pic:spPr>
                </pic:pic>
              </a:graphicData>
            </a:graphic>
          </wp:inline>
        </w:drawing>
      </w:r>
    </w:p>
    <w:sectPr>
      <w:headerReference w:type="even" r:id="rId26"/>
      <w:headerReference w:type="default" r:id="rId27"/>
      <w:footerReference w:type="even" r:id="rId28"/>
      <w:footerReference w:type="default" r:id="rId29"/>
      <w:headerReference w:type="first" r:id="rId30"/>
      <w:footerReference w:type="first" r:id="rId31"/>
      <w:pgSz w:w="16838" w:h="11906" w:orient="landscape"/>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FI</w:t>
    </w:r>
    <w:r>
      <w:rPr>
        <w:rFonts w:ascii="Arial" w:hAnsi="Arial" w:cs="Arial"/>
        <w:b/>
        <w:sz w:val="48"/>
      </w:rPr>
      <w:tab/>
    </w:r>
    <w:r>
      <w:rPr>
        <w:rFonts w:ascii="Arial" w:hAnsi="Arial" w:cs="Arial"/>
        <w:b/>
        <w:sz w:val="48"/>
      </w:rPr>
      <w:tab/>
    </w:r>
    <w:r>
      <w:tab/>
    </w:r>
    <w:r>
      <w:rPr>
        <w:rFonts w:ascii="Arial" w:hAnsi="Arial" w:cs="Arial"/>
        <w:b/>
        <w:sz w:val="48"/>
      </w:rPr>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325616"/>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5379681"/>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12</w:t>
        </w:r>
        <w: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rPr>
          <w:lang w:val="fr-BE"/>
        </w:rPr>
      </w:pPr>
      <w:r>
        <w:rPr>
          <w:rStyle w:val="FootnoteReference"/>
        </w:rPr>
        <w:footnoteRef/>
      </w:r>
      <w:r>
        <w:rPr>
          <w:lang w:val="fr-BE"/>
        </w:rPr>
        <w:t xml:space="preserve"> EUVL L 151, 7.6.2019, s. 1–14.</w:t>
      </w:r>
    </w:p>
  </w:footnote>
  <w:footnote w:id="3">
    <w:p>
      <w:pPr>
        <w:pStyle w:val="FootnoteText"/>
        <w:jc w:val="left"/>
        <w:rPr>
          <w:lang w:val="fr-BE"/>
        </w:rPr>
      </w:pPr>
      <w:r>
        <w:rPr>
          <w:rStyle w:val="FootnoteReference"/>
        </w:rPr>
        <w:footnoteRef/>
      </w:r>
      <w:r>
        <w:rPr>
          <w:lang w:val="fr-BE"/>
        </w:rPr>
        <w:t xml:space="preserve"> </w:t>
      </w:r>
      <w:hyperlink r:id="rId1" w:history="1">
        <w:r>
          <w:rPr>
            <w:rStyle w:val="Hyperlink"/>
            <w:lang w:val="fr-BE"/>
          </w:rPr>
          <w:t>https://ec.europa.eu/taxation_customs/general-information-customs/electronic-customs/eu-single-window-environment-for-customs_en</w:t>
        </w:r>
      </w:hyperlink>
      <w:r>
        <w:rPr>
          <w:lang w:val="fr-BE"/>
        </w:rPr>
        <w:t xml:space="preserve"> </w:t>
      </w:r>
    </w:p>
  </w:footnote>
  <w:footnote w:id="4">
    <w:p>
      <w:pPr>
        <w:pStyle w:val="FootnoteText"/>
      </w:pPr>
      <w:r>
        <w:rPr>
          <w:rStyle w:val="FootnoteReference"/>
        </w:rPr>
        <w:footnoteRef/>
      </w:r>
      <w:r>
        <w:t xml:space="preserve"> </w:t>
      </w:r>
      <w:hyperlink r:id="rId2" w:history="1">
        <w:r>
          <w:rPr>
            <w:color w:val="0563C1" w:themeColor="hyperlink"/>
            <w:u w:val="single"/>
          </w:rPr>
          <w:t>COM(2020) 342 final</w:t>
        </w:r>
      </w:hyperlink>
      <w:r>
        <w:t>.</w:t>
      </w:r>
    </w:p>
    <w:p>
      <w:pPr>
        <w:pStyle w:val="FootnoteText"/>
      </w:pPr>
    </w:p>
  </w:footnote>
  <w:footnote w:id="5">
    <w:p>
      <w:pPr>
        <w:pStyle w:val="FootnoteText"/>
      </w:pPr>
      <w:r>
        <w:rPr>
          <w:rStyle w:val="FootnoteReference"/>
        </w:rPr>
        <w:footnoteRef/>
      </w:r>
      <w:r>
        <w:t xml:space="preserve"> Asetuksessa määritellään ”tuonniksi” esineiden asettaminen seuraaviin tullimenettelyihin: luovutus vapaaseen liikkeeseen, varastointi, johon kuuluvat tullivarastointi ja vapaa-alueet, väliaikainen maahantuonti; tietty käyttötarkoitus, kuten sisäinen jalostus.</w:t>
      </w:r>
    </w:p>
  </w:footnote>
  <w:footnote w:id="6">
    <w:p>
      <w:pPr>
        <w:pStyle w:val="FootnoteText"/>
        <w:rPr>
          <w:lang w:val="en-US"/>
        </w:rPr>
      </w:pPr>
      <w:r>
        <w:rPr>
          <w:rStyle w:val="FootnoteReference"/>
        </w:rPr>
        <w:footnoteRef/>
      </w:r>
      <w:r>
        <w:rPr>
          <w:lang w:val="en-US"/>
        </w:rPr>
        <w:t xml:space="preserve"> Ks. </w:t>
      </w:r>
      <w:hyperlink r:id="rId3" w:history="1">
        <w:r>
          <w:rPr>
            <w:rStyle w:val="Hyperlink"/>
            <w:lang w:val="en-US"/>
          </w:rPr>
          <w:t>https://ec.europa.eu/taxation_customs/general-information-customs/electronic-customs_en</w:t>
        </w:r>
      </w:hyperlink>
    </w:p>
  </w:footnote>
  <w:footnote w:id="7">
    <w:p>
      <w:pPr>
        <w:pStyle w:val="FootnoteText"/>
        <w:rPr>
          <w:lang w:val="en-US"/>
        </w:rPr>
      </w:pPr>
      <w:r>
        <w:rPr>
          <w:rStyle w:val="FootnoteReference"/>
        </w:rPr>
        <w:footnoteRef/>
      </w:r>
      <w:r>
        <w:rPr>
          <w:lang w:val="en-US"/>
        </w:rPr>
        <w:t xml:space="preserve"> </w:t>
      </w:r>
      <w:hyperlink r:id="rId4" w:history="1">
        <w:r>
          <w:rPr>
            <w:rStyle w:val="Hyperlink"/>
            <w:lang w:val="en-US"/>
          </w:rPr>
          <w:t>https://ec.europa.eu/taxation_customs/sites/taxation/files/2019_masp_annex3_en.pdf</w:t>
        </w:r>
      </w:hyperlink>
      <w:r>
        <w:rPr>
          <w:lang w:val="en-US"/>
        </w:rPr>
        <w:t xml:space="preserve"> </w:t>
      </w:r>
    </w:p>
  </w:footnote>
  <w:footnote w:id="8">
    <w:p>
      <w:pPr>
        <w:pStyle w:val="FootnoteText"/>
        <w:rPr>
          <w:lang w:val="en-US"/>
        </w:rPr>
      </w:pPr>
      <w:r>
        <w:rPr>
          <w:rStyle w:val="FootnoteReference"/>
        </w:rPr>
        <w:footnoteRef/>
      </w:r>
      <w:r>
        <w:rPr>
          <w:lang w:val="en-US"/>
        </w:rPr>
        <w:t xml:space="preserve"> </w:t>
      </w:r>
      <w:hyperlink r:id="rId5" w:history="1">
        <w:r>
          <w:rPr>
            <w:rStyle w:val="Hyperlink"/>
            <w:lang w:val="en-US"/>
          </w:rPr>
          <w:t>https://ec.europa.eu/taxation_customs/sites/taxation/files/2019_masp_annex4_en.pdf</w:t>
        </w:r>
      </w:hyperlink>
      <w:r>
        <w:rPr>
          <w:lang w:val="en-US"/>
        </w:rPr>
        <w:t xml:space="preserve"> </w:t>
      </w:r>
    </w:p>
  </w:footnote>
  <w:footnote w:id="9">
    <w:p>
      <w:pPr>
        <w:pStyle w:val="FootnoteText"/>
        <w:rPr>
          <w:lang w:val="en-US"/>
        </w:rPr>
      </w:pPr>
      <w:r>
        <w:rPr>
          <w:rStyle w:val="FootnoteReference"/>
        </w:rPr>
        <w:footnoteRef/>
      </w:r>
      <w:r>
        <w:rPr>
          <w:lang w:val="en-US"/>
        </w:rPr>
        <w:t xml:space="preserve"> </w:t>
      </w:r>
      <w:hyperlink r:id="rId6" w:history="1">
        <w:r>
          <w:rPr>
            <w:rStyle w:val="Hyperlink"/>
            <w:lang w:val="en-US"/>
          </w:rPr>
          <w:t>https://ec.europa.eu/taxation_customs/sites/taxation/files/2019_masp_annex5_en.pdf</w:t>
        </w:r>
      </w:hyperlink>
      <w:r>
        <w:rPr>
          <w:lang w:val="en-US"/>
        </w:rPr>
        <w:t xml:space="preserve"> </w:t>
      </w:r>
    </w:p>
  </w:footnote>
  <w:footnote w:id="10">
    <w:p>
      <w:pPr>
        <w:pStyle w:val="FootnoteText"/>
      </w:pPr>
      <w:r>
        <w:rPr>
          <w:rStyle w:val="FootnoteReference"/>
        </w:rPr>
        <w:footnoteRef/>
      </w:r>
      <w:r>
        <w:t xml:space="preserve"> Ks. Euroopan unionin tullialan yhdennetyn palveluympäristön perustamisesta ja asetuksen (EU) N:o 952/2013 muuttamisesta annetun Euroopan parlamentin ja neuvoston asetusta COM(2020) 673 final koskevan ehdotuksen liite.</w:t>
      </w:r>
    </w:p>
  </w:footnote>
  <w:footnote w:id="11">
    <w:p>
      <w:pPr>
        <w:pStyle w:val="FootnoteText"/>
      </w:pPr>
      <w:r>
        <w:rPr>
          <w:rStyle w:val="FootnoteReference"/>
        </w:rPr>
        <w:footnoteRef/>
      </w:r>
      <w:r>
        <w:t xml:space="preserve"> Tätä kertomusta laadittaessa komitea oli äänestänyt asetusluonnoksen puolesta, ja kollegion oli määrä hyväksyä se kesäkuussa 2021.</w:t>
      </w:r>
    </w:p>
  </w:footnote>
  <w:footnote w:id="12">
    <w:p>
      <w:pPr>
        <w:pStyle w:val="FootnoteText"/>
      </w:pPr>
      <w:r>
        <w:rPr>
          <w:rStyle w:val="FootnoteReference"/>
        </w:rPr>
        <w:footnoteRef/>
      </w:r>
      <w:r>
        <w:t xml:space="preserve"> Neuvoston asetus (EY) N:o 116/2009, annettu 18 päivänä joulukuuta 2008, kulttuuriesineiden viennistä (EUVL L 39, 10.2.2009, s. 1–7).</w:t>
      </w:r>
    </w:p>
  </w:footnote>
  <w:footnote w:id="13">
    <w:p>
      <w:pPr>
        <w:pStyle w:val="FootnoteText"/>
      </w:pPr>
      <w:r>
        <w:rPr>
          <w:rStyle w:val="FootnoteReference"/>
          <w:lang w:val="en-GB"/>
        </w:rPr>
        <w:footnoteRef/>
      </w:r>
      <w:r>
        <w:t xml:space="preserve"> Ennen asiantuntijaryhmän perustamista Lissabonin sopimuksen tavoitteiden mukaisesti näitä samoja keskusteluja käytiin asetuksen (EY) N:o 116/2009 mukaisessa komiteassa. Asiantuntijaryhmän jäsenet ovat enimmäkseen samoja viranomaisia, jotka kokoontuvat asetuksen mukaisessa komiteassa.</w:t>
      </w:r>
    </w:p>
  </w:footnote>
  <w:footnote w:id="14">
    <w:p>
      <w:pPr>
        <w:pStyle w:val="FootnoteText"/>
      </w:pPr>
      <w:r>
        <w:rPr>
          <w:rStyle w:val="FootnoteReference"/>
        </w:rPr>
        <w:footnoteRef/>
      </w:r>
      <w:r>
        <w:t xml:space="preserve"> EORI-numero on komission delegoidun asetuksen (EU) 2015/2446 1 artiklan 18 kohdassa määritelty talouden toimijoiden rekisteröinti- ja tunnistenumero.</w:t>
      </w:r>
    </w:p>
  </w:footnote>
  <w:footnote w:id="15">
    <w:p>
      <w:pPr>
        <w:pStyle w:val="FootnoteText"/>
      </w:pPr>
      <w:r>
        <w:rPr>
          <w:rStyle w:val="FootnoteReference"/>
        </w:rPr>
        <w:footnoteRef/>
      </w:r>
      <w:r>
        <w:t xml:space="preserve"> Euroopan parlamentin ja neuvoston asetus (EU) N:o 910/2014, annettu 23 päivänä heinäkuuta 2014, sähköisestä tunnistamisesta ja sähköisiin transaktioihin liittyvistä luottamuspalveluista sisämarkkinoilla ja direktiivin 1999/93/EY kumoamisesta (EUVL L 257, 28.8.2014, s. 73).</w:t>
      </w:r>
    </w:p>
  </w:footnote>
  <w:footnote w:id="16">
    <w:p>
      <w:pPr>
        <w:pStyle w:val="FootnoteText"/>
      </w:pPr>
      <w:r>
        <w:rPr>
          <w:rStyle w:val="FootnoteReference"/>
        </w:rPr>
        <w:footnoteRef/>
      </w:r>
      <w:r>
        <w:t xml:space="preserve"> Lisätietoja hankeryhmän tehtävästä ja työstä on komission ensimmäisessä edistymiskertomuksessa </w:t>
      </w:r>
      <w:hyperlink r:id="rId7" w:history="1">
        <w:r>
          <w:rPr>
            <w:rStyle w:val="Hyperlink"/>
          </w:rPr>
          <w:t>COM(2020) 342 final</w:t>
        </w:r>
      </w:hyperlink>
      <w:r>
        <w:t>.</w:t>
      </w:r>
    </w:p>
  </w:footnote>
  <w:footnote w:id="17">
    <w:p>
      <w:pPr>
        <w:pStyle w:val="FootnoteText"/>
      </w:pPr>
      <w:r>
        <w:rPr>
          <w:rStyle w:val="FootnoteReference"/>
        </w:rPr>
        <w:footnoteRef/>
      </w:r>
      <w:r>
        <w:t xml:space="preserve"> Euroopan komission tietotekniikan ja kyberturvallisuuden lautakunta (ITCB) on hallintoneuvoston pysyvä alaryhmä. Sillä varmistetaan, että tietotekniikan resursseja ja investointeja käytetään tehokkaasti ja että liiketoiminnan tarpeita tuetaan tehokkailla, turvallisilla ja joustavilla viestintä- ja tietojärjestelmillä henkilötietojen suojaa koskevien periaatteiden mukaisesti. Sillä valvotaan Euroopan komission digitaalistrategian täytäntöönpanoa.</w:t>
      </w:r>
    </w:p>
  </w:footnote>
  <w:footnote w:id="18">
    <w:p>
      <w:pPr>
        <w:pStyle w:val="FootnoteText"/>
      </w:pPr>
      <w:r>
        <w:rPr>
          <w:rStyle w:val="FootnoteReference"/>
          <w:lang w:val="en-GB"/>
        </w:rPr>
        <w:footnoteRef/>
      </w:r>
      <w:r>
        <w:t xml:space="preserve"> Esimerkiksi unionin tullikoodeksin (UTK) digitalisointi.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
    <w:nsid w:val="2FF50F05"/>
    <w:multiLevelType w:val="multilevel"/>
    <w:tmpl w:val="8B187830"/>
    <w:lvl w:ilvl="0">
      <w:start w:val="1"/>
      <w:numFmt w:val="decimal"/>
      <w:lvlText w:val="%1."/>
      <w:lvlJc w:val="left"/>
      <w:pPr>
        <w:ind w:left="720" w:hanging="360"/>
      </w:pPr>
      <w:rPr>
        <w:rFonts w:hint="default"/>
      </w:rPr>
    </w:lvl>
    <w:lvl w:ilvl="1">
      <w:start w:val="1"/>
      <w:numFmt w:val="decimal"/>
      <w:isLgl/>
      <w:lvlText w:val="%1.%2"/>
      <w:lvlJc w:val="left"/>
      <w:pPr>
        <w:ind w:left="4329"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lang w:val="en-GB"/>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43F315D7"/>
    <w:multiLevelType w:val="hybridMultilevel"/>
    <w:tmpl w:val="131A437C"/>
    <w:lvl w:ilvl="0" w:tplc="5A361E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es-ES"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i-FI" w:vendorID="64" w:dllVersion="131078" w:nlCheck="1" w:checkStyle="0"/>
  <w:activeWritingStyle w:appName="MSWord" w:lang="fr-BE" w:vendorID="64" w:dllVersion="131078" w:nlCheck="1" w:checkStyle="0"/>
  <w:defaultTabStop w:val="708"/>
  <w:hyphenationZone w:val="425"/>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C4D8312-8ECF-4157-AC5D-1521F8EECDA8"/>
    <w:docVar w:name="LW_COVERPAGE_TYPE" w:val="1"/>
    <w:docVar w:name="LW_CROSSREFERENCE" w:val="&lt;UNUSED&gt;"/>
    <w:docVar w:name="LW_DocType" w:val="NORMAL"/>
    <w:docVar w:name="LW_EMISSION" w:val="8.7.2021"/>
    <w:docVar w:name="LW_EMISSION_ISODATE" w:val="2021-07-08"/>
    <w:docVar w:name="LW_EMISSION_LOCATION" w:val="BRX"/>
    <w:docVar w:name="LW_EMISSION_PREFIX" w:val="Bryssel "/>
    <w:docVar w:name="LW_EMISSION_SUFFIX" w:val=" "/>
    <w:docVar w:name="LW_ID_DOCTYPE_NONLW" w:val="CP-006"/>
    <w:docVar w:name="LW_LANGUE" w:val="FI"/>
    <w:docVar w:name="LW_LEVEL_OF_SENSITIVITY" w:val="Standard treatment"/>
    <w:docVar w:name="LW_NOM.INST" w:val="EUROOPAN KOMISSIO"/>
    <w:docVar w:name="LW_NOM.INST_JOINTDOC" w:val="&lt;EMPTY&gt;"/>
    <w:docVar w:name="LW_PART_NBR" w:val="1"/>
    <w:docVar w:name="LW_PART_NBR_TOTAL" w:val="1"/>
    <w:docVar w:name="LW_REF.INST.NEW" w:val="COM"/>
    <w:docVar w:name="LW_REF.INST.NEW_ADOPTED" w:val="final"/>
    <w:docVar w:name="LW_REF.INST.NEW_TEXT" w:val="(2021) 35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kulttuuriesineiden tullialueelle siirtämisestä ja tuonnista 17 päivänä huhtikuuta 2019 annetun Euroopan parlamentin ja neuvoston asetuksen (EU) 2019/880 14 artiklan 3 kohdan mukaisesti_x000d__x000d__x000d__x000b_"/>
    <w:docVar w:name="LW_TYPE.DOC.CP" w:val="KOMISSION KERTOMUS EUROOPAN PARLAMENTILLE JA NEUVOSTOLLE"/>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240" w:lineRule="auto"/>
      <w:jc w:val="both"/>
    </w:pPr>
    <w:rPr>
      <w:rFonts w:ascii="Times New Roman" w:eastAsia="Times New Roman" w:hAnsi="Times New Roman" w:cs="Times New Roman"/>
    </w:rPr>
  </w:style>
  <w:style w:type="paragraph" w:styleId="Heading1">
    <w:name w:val="heading 1"/>
    <w:basedOn w:val="Normal"/>
    <w:next w:val="Normal"/>
    <w:link w:val="Heading1Char"/>
    <w:qFormat/>
    <w:pPr>
      <w:keepNext/>
      <w:keepLines/>
      <w:spacing w:after="0"/>
      <w:outlineLvl w:val="0"/>
    </w:pPr>
    <w:rPr>
      <w:rFonts w:ascii="Times New Roman Bold" w:eastAsiaTheme="majorEastAsia" w:hAnsi="Times New Roman Bold" w:cstheme="majorBidi"/>
      <w:b/>
      <w:caps/>
      <w:sz w:val="24"/>
      <w:szCs w:val="32"/>
    </w:rPr>
  </w:style>
  <w:style w:type="paragraph" w:styleId="Heading2">
    <w:name w:val="heading 2"/>
    <w:aliases w:val="szd_h2,Headline 2,h2,2,headi,heading2,h21,h22,21,H2,l2,kopregel 2"/>
    <w:basedOn w:val="Normal"/>
    <w:next w:val="Normal"/>
    <w:link w:val="Heading2Char"/>
    <w:unhideWhenUsed/>
    <w:qFormat/>
    <w:pPr>
      <w:keepNext/>
      <w:keepLines/>
      <w:outlineLvl w:val="1"/>
    </w:pPr>
    <w:rPr>
      <w:rFonts w:eastAsiaTheme="majorEastAsia" w:cstheme="majorBidi"/>
      <w:b/>
      <w:sz w:val="24"/>
      <w:szCs w:val="26"/>
    </w:rPr>
  </w:style>
  <w:style w:type="paragraph" w:styleId="Heading3">
    <w:name w:val="heading 3"/>
    <w:basedOn w:val="Normal"/>
    <w:next w:val="Normal"/>
    <w:link w:val="Heading3Char"/>
    <w:unhideWhenUsed/>
    <w:qFormat/>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jc w:val="center"/>
      <w:outlineLvl w:val="4"/>
    </w:pPr>
    <w:rPr>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ist Paragraph1,Lettre d'introduction,Paragrafo elenco,Medium Grid 1 - Accent 21"/>
    <w:basedOn w:val="Normal"/>
    <w:uiPriority w:val="34"/>
    <w:qFormat/>
    <w:pPr>
      <w:ind w:left="720"/>
      <w:contextualSpacing/>
    </w:pPr>
  </w:style>
  <w:style w:type="paragraph" w:styleId="Date">
    <w:name w:val="Date"/>
    <w:basedOn w:val="Normal"/>
    <w:next w:val="Normal"/>
    <w:link w:val="DateChar"/>
    <w:pPr>
      <w:suppressAutoHyphens/>
      <w:spacing w:after="0"/>
      <w:ind w:left="5103" w:right="-567"/>
    </w:pPr>
    <w:rPr>
      <w:sz w:val="24"/>
      <w:szCs w:val="20"/>
      <w:lang w:eastAsia="ar-SA"/>
    </w:rPr>
  </w:style>
  <w:style w:type="character" w:customStyle="1" w:styleId="DateChar">
    <w:name w:val="Date Char"/>
    <w:basedOn w:val="DefaultParagraphFont"/>
    <w:link w:val="Date"/>
    <w:rPr>
      <w:rFonts w:ascii="Times New Roman" w:eastAsia="Times New Roman" w:hAnsi="Times New Roman" w:cs="Times New Roman"/>
      <w:sz w:val="24"/>
      <w:szCs w:val="20"/>
      <w:lang w:val="fi-FI" w:eastAsia="ar-SA"/>
    </w:rPr>
  </w:style>
  <w:style w:type="paragraph" w:customStyle="1" w:styleId="ZCom">
    <w:name w:val="Z_Com"/>
    <w:basedOn w:val="Normal"/>
    <w:next w:val="ZDGName"/>
    <w:pPr>
      <w:widowControl w:val="0"/>
      <w:suppressAutoHyphens/>
      <w:spacing w:after="0"/>
      <w:ind w:right="85"/>
    </w:pPr>
    <w:rPr>
      <w:rFonts w:ascii="Arial" w:hAnsi="Arial"/>
      <w:sz w:val="24"/>
      <w:szCs w:val="20"/>
      <w:lang w:eastAsia="ar-SA"/>
    </w:rPr>
  </w:style>
  <w:style w:type="paragraph" w:customStyle="1" w:styleId="ZDGName">
    <w:name w:val="Z_DGName"/>
    <w:basedOn w:val="Normal"/>
    <w:uiPriority w:val="99"/>
    <w:pPr>
      <w:widowControl w:val="0"/>
      <w:suppressAutoHyphens/>
      <w:spacing w:after="0"/>
      <w:ind w:right="85"/>
    </w:pPr>
    <w:rPr>
      <w:rFonts w:ascii="Arial" w:hAnsi="Arial"/>
      <w:sz w:val="16"/>
      <w:szCs w:val="20"/>
      <w:lang w:eastAsia="ar-SA"/>
    </w:rPr>
  </w:style>
  <w:style w:type="paragraph" w:styleId="Title">
    <w:name w:val="Title"/>
    <w:basedOn w:val="Normal"/>
    <w:next w:val="Normal"/>
    <w:link w:val="TitleChar"/>
    <w:autoRedefine/>
    <w:uiPriority w:val="10"/>
    <w:qFormat/>
    <w:pPr>
      <w:spacing w:before="240" w:after="60"/>
      <w:jc w:val="center"/>
      <w:outlineLvl w:val="0"/>
    </w:pPr>
    <w:rPr>
      <w:b/>
      <w:bCs/>
      <w:kern w:val="28"/>
      <w:sz w:val="44"/>
      <w:szCs w:val="32"/>
    </w:rPr>
  </w:style>
  <w:style w:type="character" w:customStyle="1" w:styleId="TitleChar">
    <w:name w:val="Title Char"/>
    <w:basedOn w:val="DefaultParagraphFont"/>
    <w:link w:val="Title"/>
    <w:uiPriority w:val="10"/>
    <w:rPr>
      <w:rFonts w:ascii="Times New Roman" w:eastAsia="Times New Roman" w:hAnsi="Times New Roman" w:cs="Times New Roman"/>
      <w:b/>
      <w:bCs/>
      <w:kern w:val="28"/>
      <w:sz w:val="44"/>
      <w:szCs w:val="32"/>
      <w:lang w:val="fi-FI"/>
    </w:rPr>
  </w:style>
  <w:style w:type="character" w:customStyle="1" w:styleId="Heading1Char">
    <w:name w:val="Heading 1 Char"/>
    <w:basedOn w:val="DefaultParagraphFont"/>
    <w:link w:val="Heading1"/>
    <w:rPr>
      <w:rFonts w:ascii="Times New Roman Bold" w:eastAsiaTheme="majorEastAsia" w:hAnsi="Times New Roman Bold" w:cstheme="majorBidi"/>
      <w:b/>
      <w:caps/>
      <w:sz w:val="24"/>
      <w:szCs w:val="32"/>
      <w:lang w:val="fi-FI"/>
    </w:rPr>
  </w:style>
  <w:style w:type="character" w:customStyle="1" w:styleId="Heading2Char">
    <w:name w:val="Heading 2 Char"/>
    <w:aliases w:val="szd_h2 Char,Headline 2 Char,h2 Char,2 Char,headi Char,heading2 Char,h21 Char,h22 Char,21 Char,H2 Char,l2 Char,kopregel 2 Char"/>
    <w:basedOn w:val="DefaultParagraphFont"/>
    <w:link w:val="Heading2"/>
    <w:rPr>
      <w:rFonts w:ascii="Times New Roman" w:eastAsiaTheme="majorEastAsia" w:hAnsi="Times New Roman" w:cstheme="majorBidi"/>
      <w:b/>
      <w:sz w:val="24"/>
      <w:szCs w:val="26"/>
      <w:lang w:val="fi-FI"/>
    </w:rPr>
  </w:style>
  <w:style w:type="paragraph" w:styleId="Caption">
    <w:name w:val="caption"/>
    <w:basedOn w:val="Normal"/>
    <w:next w:val="Normal"/>
    <w:autoRedefine/>
    <w:uiPriority w:val="35"/>
    <w:unhideWhenUsed/>
    <w:qFormat/>
    <w:pPr>
      <w:keepNext/>
      <w:keepLines/>
      <w:spacing w:afterLines="120" w:after="288"/>
      <w:jc w:val="left"/>
    </w:pPr>
    <w:rPr>
      <w:i/>
      <w:iCs/>
      <w:sz w:val="18"/>
      <w:szCs w:val="1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Pr>
      <w:rFonts w:ascii="Times New Roman" w:eastAsiaTheme="majorEastAsia" w:hAnsi="Times New Roman" w:cstheme="majorBidi"/>
      <w:b/>
      <w:sz w:val="24"/>
      <w:szCs w:val="24"/>
      <w:lang w:val="fi-FI"/>
    </w:rPr>
  </w:style>
  <w:style w:type="paragraph" w:styleId="TOCHeading">
    <w:name w:val="TOC Heading"/>
    <w:basedOn w:val="Heading1"/>
    <w:next w:val="Normal"/>
    <w:uiPriority w:val="39"/>
    <w:unhideWhenUsed/>
    <w:qFormat/>
    <w:pPr>
      <w:spacing w:line="259" w:lineRule="auto"/>
      <w:jc w:val="left"/>
      <w:outlineLvl w:val="9"/>
    </w:pPr>
    <w:rPr>
      <w:rFonts w:asciiTheme="majorHAnsi" w:hAnsiTheme="majorHAnsi"/>
      <w:b w:val="0"/>
      <w:caps w:val="0"/>
      <w:color w:val="2E74B5" w:themeColor="accent1" w:themeShade="BF"/>
      <w:sz w:val="32"/>
    </w:rPr>
  </w:style>
  <w:style w:type="paragraph" w:styleId="TOC1">
    <w:name w:val="toc 1"/>
    <w:basedOn w:val="Normal"/>
    <w:next w:val="Normal"/>
    <w:link w:val="TOC1Char"/>
    <w:autoRedefine/>
    <w:uiPriority w:val="39"/>
    <w:unhideWhenUsed/>
    <w:pPr>
      <w:tabs>
        <w:tab w:val="left" w:pos="440"/>
        <w:tab w:val="right" w:leader="dot" w:pos="9062"/>
      </w:tabs>
      <w:spacing w:after="0"/>
    </w:pPr>
  </w:style>
  <w:style w:type="paragraph" w:styleId="TOC2">
    <w:name w:val="toc 2"/>
    <w:basedOn w:val="Normal"/>
    <w:next w:val="Normal"/>
    <w:autoRedefine/>
    <w:uiPriority w:val="39"/>
    <w:unhideWhenUsed/>
    <w:pPr>
      <w:tabs>
        <w:tab w:val="left" w:pos="880"/>
        <w:tab w:val="right" w:leader="dot" w:pos="9062"/>
      </w:tabs>
      <w:ind w:left="215"/>
    </w:pPr>
  </w:style>
  <w:style w:type="paragraph" w:styleId="TOC3">
    <w:name w:val="toc 3"/>
    <w:basedOn w:val="Normal"/>
    <w:next w:val="Normal"/>
    <w:autoRedefine/>
    <w:uiPriority w:val="39"/>
    <w:unhideWhenUsed/>
    <w:pPr>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lang w:val="fi-FI"/>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rFonts w:ascii="Times New Roman" w:eastAsia="Times New Roman" w:hAnsi="Times New Roman" w:cs="Times New Roman"/>
      <w:lang w:val="fi-F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i-F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i-FI"/>
    </w:rPr>
  </w:style>
  <w:style w:type="paragraph" w:styleId="BalloonText">
    <w:name w:val="Balloon Text"/>
    <w:basedOn w:val="Normal"/>
    <w:link w:val="BalloonTextChar"/>
    <w:uiPriority w:val="99"/>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lang w:val="fi-FI"/>
    </w:rPr>
  </w:style>
  <w:style w:type="paragraph" w:styleId="BodyTextIndent">
    <w:name w:val="Body Text Indent"/>
    <w:basedOn w:val="Normal"/>
    <w:link w:val="BodyTextIndentChar"/>
    <w:uiPriority w:val="99"/>
    <w:unhideWhenUsed/>
    <w:pPr>
      <w:ind w:left="708"/>
    </w:p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lang w:val="fi-FI"/>
    </w:rPr>
  </w:style>
  <w:style w:type="paragraph" w:styleId="BodyText">
    <w:name w:val="Body Text"/>
    <w:basedOn w:val="Normal"/>
    <w:link w:val="BodyTextChar"/>
    <w:uiPriority w:val="99"/>
    <w:unhideWhenUsed/>
    <w:rPr>
      <w:i/>
      <w:color w:val="1F4E79" w:themeColor="accent1" w:themeShade="80"/>
    </w:rPr>
  </w:style>
  <w:style w:type="character" w:customStyle="1" w:styleId="BodyTextChar">
    <w:name w:val="Body Text Char"/>
    <w:basedOn w:val="DefaultParagraphFont"/>
    <w:link w:val="BodyText"/>
    <w:uiPriority w:val="99"/>
    <w:rPr>
      <w:rFonts w:ascii="Times New Roman" w:eastAsia="Times New Roman" w:hAnsi="Times New Roman" w:cs="Times New Roman"/>
      <w:i/>
      <w:color w:val="1F4E79" w:themeColor="accent1" w:themeShade="80"/>
      <w:lang w:val="fi-FI"/>
    </w:rPr>
  </w:style>
  <w:style w:type="paragraph" w:styleId="Revision">
    <w:name w:val="Revision"/>
    <w:hidden/>
    <w:uiPriority w:val="99"/>
    <w:semiHidden/>
    <w:pPr>
      <w:spacing w:after="0" w:line="240" w:lineRule="auto"/>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pPr>
      <w:spacing w:after="0"/>
    </w:pPr>
    <w:rPr>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fi-FI"/>
    </w:rPr>
  </w:style>
  <w:style w:type="character" w:styleId="FootnoteReference">
    <w:name w:val="footnote reference"/>
    <w:basedOn w:val="DefaultParagraphFont"/>
    <w:uiPriority w:val="99"/>
    <w:semiHidden/>
    <w:unhideWhenUsed/>
    <w:rPr>
      <w:vertAlign w:val="superscript"/>
    </w:rPr>
  </w:style>
  <w:style w:type="character" w:customStyle="1" w:styleId="Heading4Char">
    <w:name w:val="Heading 4 Char"/>
    <w:basedOn w:val="DefaultParagraphFont"/>
    <w:link w:val="Heading4"/>
    <w:rPr>
      <w:rFonts w:asciiTheme="majorHAnsi" w:eastAsiaTheme="majorEastAsia" w:hAnsiTheme="majorHAnsi" w:cstheme="majorBidi"/>
      <w:i/>
      <w:iCs/>
      <w:color w:val="2E74B5" w:themeColor="accent1" w:themeShade="BF"/>
      <w:lang w:val="fi-FI"/>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TableofFigures">
    <w:name w:val="table of figures"/>
    <w:basedOn w:val="Normal"/>
    <w:next w:val="Normal"/>
    <w:uiPriority w:val="99"/>
    <w:unhideWhenUsed/>
    <w:pPr>
      <w:spacing w:after="0"/>
    </w:pPr>
  </w:style>
  <w:style w:type="character" w:customStyle="1" w:styleId="Heading5Char">
    <w:name w:val="Heading 5 Char"/>
    <w:basedOn w:val="DefaultParagraphFont"/>
    <w:link w:val="Heading5"/>
    <w:uiPriority w:val="9"/>
    <w:rPr>
      <w:rFonts w:ascii="Times New Roman" w:eastAsia="Times New Roman" w:hAnsi="Times New Roman" w:cs="Times New Roman"/>
      <w:i/>
      <w:iCs/>
      <w:sz w:val="18"/>
      <w:szCs w:val="18"/>
      <w:lang w:val="fi-FI"/>
    </w:rPr>
  </w:style>
  <w:style w:type="paragraph" w:styleId="BodyTextIndent2">
    <w:name w:val="Body Text Indent 2"/>
    <w:basedOn w:val="Normal"/>
    <w:link w:val="BodyTextIndent2Char"/>
    <w:uiPriority w:val="99"/>
    <w:unhideWhenUsed/>
    <w:pPr>
      <w:spacing w:afterLines="120" w:after="288"/>
      <w:ind w:left="360"/>
    </w:p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lang w:val="fi-FI"/>
    </w:rPr>
  </w:style>
  <w:style w:type="paragraph" w:styleId="NormalWeb">
    <w:name w:val="Normal (Web)"/>
    <w:basedOn w:val="Normal"/>
    <w:uiPriority w:val="99"/>
    <w:unhideWhenUsed/>
    <w:pPr>
      <w:spacing w:before="100" w:beforeAutospacing="1" w:after="100" w:afterAutospacing="1"/>
      <w:jc w:val="left"/>
    </w:pPr>
    <w:rPr>
      <w:rFonts w:eastAsiaTheme="minorEastAsia"/>
      <w:sz w:val="24"/>
      <w:szCs w:val="24"/>
      <w:lang w:eastAsia="en-GB"/>
    </w:rPr>
  </w:style>
  <w:style w:type="character" w:styleId="Strong">
    <w:name w:val="Strong"/>
    <w:basedOn w:val="DefaultParagraphFont"/>
    <w:uiPriority w:val="22"/>
    <w:qFormat/>
    <w:rPr>
      <w:b/>
      <w:bCs/>
    </w:rPr>
  </w:style>
  <w:style w:type="paragraph" w:styleId="BodyText2">
    <w:name w:val="Body Text 2"/>
    <w:basedOn w:val="Normal"/>
    <w:link w:val="BodyText2Char"/>
    <w:uiPriority w:val="99"/>
    <w:unhideWhenUsed/>
    <w:pPr>
      <w:jc w:val="left"/>
    </w:pPr>
    <w:rPr>
      <w:shd w:val="clear" w:color="auto" w:fill="FFFFFF"/>
    </w:rPr>
  </w:style>
  <w:style w:type="character" w:customStyle="1" w:styleId="BodyText2Char">
    <w:name w:val="Body Text 2 Char"/>
    <w:basedOn w:val="DefaultParagraphFont"/>
    <w:link w:val="BodyText2"/>
    <w:uiPriority w:val="99"/>
    <w:rPr>
      <w:rFonts w:ascii="Times New Roman" w:eastAsia="Times New Roman" w:hAnsi="Times New Roman" w:cs="Times New Roman"/>
      <w:lang w:val="fi-FI"/>
    </w:rPr>
  </w:style>
  <w:style w:type="paragraph" w:styleId="BodyText3">
    <w:name w:val="Body Text 3"/>
    <w:basedOn w:val="Normal"/>
    <w:link w:val="BodyText3Char"/>
    <w:uiPriority w:val="99"/>
    <w:unhideWhenUsed/>
    <w:pPr>
      <w:widowControl w:val="0"/>
      <w:autoSpaceDE w:val="0"/>
      <w:autoSpaceDN w:val="0"/>
      <w:spacing w:before="119" w:after="0"/>
      <w:ind w:right="91"/>
    </w:pPr>
  </w:style>
  <w:style w:type="character" w:customStyle="1" w:styleId="BodyText3Char">
    <w:name w:val="Body Text 3 Char"/>
    <w:basedOn w:val="DefaultParagraphFont"/>
    <w:link w:val="BodyText3"/>
    <w:uiPriority w:val="99"/>
    <w:rPr>
      <w:rFonts w:ascii="Times New Roman" w:eastAsia="Times New Roman" w:hAnsi="Times New Roman" w:cs="Times New Roman"/>
      <w:lang w:val="fi-FI"/>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fi-FI"/>
    </w:rPr>
  </w:style>
  <w:style w:type="character" w:styleId="EndnoteReference">
    <w:name w:val="endnote reference"/>
    <w:basedOn w:val="DefaultParagraphFont"/>
    <w:uiPriority w:val="99"/>
    <w:semiHidden/>
    <w:unhideWhenUsed/>
    <w:rPr>
      <w:vertAlign w:val="superscript"/>
    </w:rPr>
  </w:style>
  <w:style w:type="paragraph" w:customStyle="1" w:styleId="Point0number">
    <w:name w:val="Point 0 (number)"/>
    <w:basedOn w:val="Normal"/>
    <w:pPr>
      <w:numPr>
        <w:numId w:val="2"/>
      </w:numPr>
      <w:spacing w:before="120"/>
    </w:pPr>
    <w:rPr>
      <w:rFonts w:eastAsiaTheme="minorHAnsi"/>
      <w:sz w:val="24"/>
    </w:rPr>
  </w:style>
  <w:style w:type="paragraph" w:customStyle="1" w:styleId="Point1number">
    <w:name w:val="Point 1 (number)"/>
    <w:basedOn w:val="Normal"/>
    <w:pPr>
      <w:numPr>
        <w:ilvl w:val="2"/>
        <w:numId w:val="2"/>
      </w:numPr>
      <w:spacing w:before="120"/>
    </w:pPr>
    <w:rPr>
      <w:rFonts w:eastAsiaTheme="minorHAnsi"/>
      <w:sz w:val="24"/>
    </w:rPr>
  </w:style>
  <w:style w:type="paragraph" w:customStyle="1" w:styleId="Point2number">
    <w:name w:val="Point 2 (number)"/>
    <w:basedOn w:val="Normal"/>
    <w:pPr>
      <w:numPr>
        <w:ilvl w:val="4"/>
        <w:numId w:val="2"/>
      </w:numPr>
      <w:spacing w:before="120"/>
    </w:pPr>
    <w:rPr>
      <w:rFonts w:eastAsiaTheme="minorHAnsi"/>
      <w:sz w:val="24"/>
    </w:rPr>
  </w:style>
  <w:style w:type="paragraph" w:customStyle="1" w:styleId="Point3number">
    <w:name w:val="Point 3 (number)"/>
    <w:basedOn w:val="Normal"/>
    <w:pPr>
      <w:numPr>
        <w:ilvl w:val="6"/>
        <w:numId w:val="2"/>
      </w:numPr>
      <w:spacing w:before="120"/>
    </w:pPr>
    <w:rPr>
      <w:rFonts w:eastAsiaTheme="minorHAnsi"/>
      <w:sz w:val="24"/>
    </w:rPr>
  </w:style>
  <w:style w:type="paragraph" w:customStyle="1" w:styleId="Point0letter">
    <w:name w:val="Point 0 (letter)"/>
    <w:basedOn w:val="Normal"/>
    <w:pPr>
      <w:numPr>
        <w:ilvl w:val="1"/>
        <w:numId w:val="2"/>
      </w:numPr>
      <w:spacing w:before="120"/>
    </w:pPr>
    <w:rPr>
      <w:rFonts w:eastAsiaTheme="minorHAnsi"/>
      <w:sz w:val="24"/>
    </w:rPr>
  </w:style>
  <w:style w:type="paragraph" w:customStyle="1" w:styleId="Point1letter">
    <w:name w:val="Point 1 (letter)"/>
    <w:basedOn w:val="Normal"/>
    <w:pPr>
      <w:numPr>
        <w:ilvl w:val="3"/>
        <w:numId w:val="2"/>
      </w:numPr>
      <w:spacing w:before="120"/>
    </w:pPr>
    <w:rPr>
      <w:rFonts w:eastAsiaTheme="minorHAnsi"/>
      <w:sz w:val="24"/>
    </w:rPr>
  </w:style>
  <w:style w:type="paragraph" w:customStyle="1" w:styleId="Point2letter">
    <w:name w:val="Point 2 (letter)"/>
    <w:basedOn w:val="Normal"/>
    <w:pPr>
      <w:numPr>
        <w:ilvl w:val="5"/>
        <w:numId w:val="2"/>
      </w:numPr>
      <w:spacing w:before="120"/>
    </w:pPr>
    <w:rPr>
      <w:rFonts w:eastAsiaTheme="minorHAnsi"/>
      <w:sz w:val="24"/>
    </w:rPr>
  </w:style>
  <w:style w:type="paragraph" w:customStyle="1" w:styleId="Point3letter">
    <w:name w:val="Point 3 (letter)"/>
    <w:basedOn w:val="Normal"/>
    <w:pPr>
      <w:numPr>
        <w:ilvl w:val="7"/>
        <w:numId w:val="2"/>
      </w:numPr>
      <w:spacing w:before="120"/>
    </w:pPr>
    <w:rPr>
      <w:rFonts w:eastAsiaTheme="minorHAnsi"/>
      <w:sz w:val="24"/>
    </w:rPr>
  </w:style>
  <w:style w:type="paragraph" w:customStyle="1" w:styleId="Point4letter">
    <w:name w:val="Point 4 (letter)"/>
    <w:basedOn w:val="Normal"/>
    <w:pPr>
      <w:numPr>
        <w:ilvl w:val="8"/>
        <w:numId w:val="2"/>
      </w:numPr>
      <w:spacing w:before="120"/>
    </w:pPr>
    <w:rPr>
      <w:rFonts w:eastAsiaTheme="minorHAnsi"/>
      <w:sz w:val="24"/>
    </w:rPr>
  </w:style>
  <w:style w:type="paragraph" w:customStyle="1" w:styleId="Bullet0">
    <w:name w:val="Bullet 0"/>
    <w:basedOn w:val="Normal"/>
    <w:pPr>
      <w:numPr>
        <w:numId w:val="3"/>
      </w:numPr>
      <w:spacing w:before="120"/>
    </w:pPr>
    <w:rPr>
      <w:rFonts w:eastAsiaTheme="minorHAnsi"/>
      <w:sz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 w:val="24"/>
    </w:rPr>
  </w:style>
  <w:style w:type="character" w:customStyle="1" w:styleId="TOC1Char">
    <w:name w:val="TOC 1 Char"/>
    <w:basedOn w:val="DefaultParagraphFont"/>
    <w:link w:val="TOC1"/>
    <w:uiPriority w:val="39"/>
    <w:rPr>
      <w:rFonts w:ascii="Times New Roman" w:eastAsia="Times New Roman" w:hAnsi="Times New Roman" w:cs="Times New Roman"/>
      <w:lang w:val="fi-FI"/>
    </w:rPr>
  </w:style>
  <w:style w:type="character" w:customStyle="1" w:styleId="FooterCoverPageChar">
    <w:name w:val="Footer Cover Page Char"/>
    <w:basedOn w:val="TOC1Char"/>
    <w:link w:val="FooterCoverPage"/>
    <w:rPr>
      <w:rFonts w:ascii="Times New Roman" w:eastAsia="Times New Roman" w:hAnsi="Times New Roman" w:cs="Times New Roman"/>
      <w:sz w:val="24"/>
      <w:lang w:val="fi-FI"/>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OC1Char"/>
    <w:link w:val="FooterSensitivity"/>
    <w:rPr>
      <w:rFonts w:ascii="Times New Roman" w:eastAsia="Times New Roman" w:hAnsi="Times New Roman" w:cs="Times New Roman"/>
      <w:b/>
      <w:sz w:val="32"/>
      <w:lang w:val="fi-FI"/>
    </w:rPr>
  </w:style>
  <w:style w:type="paragraph" w:customStyle="1" w:styleId="HeaderCoverPage">
    <w:name w:val="Header Cover Page"/>
    <w:basedOn w:val="Normal"/>
    <w:link w:val="HeaderCoverPageChar"/>
    <w:pPr>
      <w:tabs>
        <w:tab w:val="center" w:pos="4535"/>
        <w:tab w:val="right" w:pos="9071"/>
      </w:tabs>
    </w:pPr>
    <w:rPr>
      <w:sz w:val="24"/>
    </w:rPr>
  </w:style>
  <w:style w:type="character" w:customStyle="1" w:styleId="HeaderCoverPageChar">
    <w:name w:val="Header Cover Page Char"/>
    <w:basedOn w:val="TOC1Char"/>
    <w:link w:val="HeaderCoverPage"/>
    <w:rPr>
      <w:rFonts w:ascii="Times New Roman" w:eastAsia="Times New Roman" w:hAnsi="Times New Roman" w:cs="Times New Roman"/>
      <w:sz w:val="24"/>
      <w:lang w:val="fi-FI"/>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TOC1Char"/>
    <w:link w:val="HeaderSensitivity"/>
    <w:rPr>
      <w:rFonts w:ascii="Times New Roman" w:eastAsia="Times New Roman" w:hAnsi="Times New Roman" w:cs="Times New Roman"/>
      <w:b/>
      <w:sz w:val="32"/>
      <w:lang w:val="fi-FI"/>
    </w:rPr>
  </w:style>
  <w:style w:type="paragraph" w:customStyle="1" w:styleId="HeaderSensitivityRight">
    <w:name w:val="Header Sensitivity Right"/>
    <w:basedOn w:val="Normal"/>
    <w:link w:val="HeaderSensitivityRightChar"/>
    <w:pPr>
      <w:jc w:val="right"/>
    </w:pPr>
    <w:rPr>
      <w:sz w:val="28"/>
    </w:rPr>
  </w:style>
  <w:style w:type="character" w:customStyle="1" w:styleId="HeaderSensitivityRightChar">
    <w:name w:val="Header Sensitivity Right Char"/>
    <w:basedOn w:val="TOC1Char"/>
    <w:link w:val="HeaderSensitivityRight"/>
    <w:rPr>
      <w:rFonts w:ascii="Times New Roman" w:eastAsia="Times New Roman" w:hAnsi="Times New Roman" w:cs="Times New Roman"/>
      <w:sz w:val="28"/>
      <w:lang w:val="fi-FI"/>
    </w:rPr>
  </w:style>
  <w:style w:type="paragraph" w:customStyle="1" w:styleId="Normal1">
    <w:name w:val="Normal1"/>
    <w:basedOn w:val="Normal"/>
    <w:pPr>
      <w:spacing w:before="100" w:beforeAutospacing="1" w:after="100" w:afterAutospacing="1"/>
      <w:jc w:val="left"/>
    </w:pPr>
    <w:rPr>
      <w:sz w:val="24"/>
      <w:szCs w:val="24"/>
      <w:lang w:eastAsia="en-GB"/>
    </w:rPr>
  </w:style>
  <w:style w:type="character" w:styleId="FollowedHyperlink">
    <w:name w:val="FollowedHyperlink"/>
    <w:basedOn w:val="DefaultParagraphFont"/>
    <w:uiPriority w:val="99"/>
    <w:semiHidden/>
    <w:unhideWhenUse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240" w:lineRule="auto"/>
      <w:jc w:val="both"/>
    </w:pPr>
    <w:rPr>
      <w:rFonts w:ascii="Times New Roman" w:eastAsia="Times New Roman" w:hAnsi="Times New Roman" w:cs="Times New Roman"/>
    </w:rPr>
  </w:style>
  <w:style w:type="paragraph" w:styleId="Heading1">
    <w:name w:val="heading 1"/>
    <w:basedOn w:val="Normal"/>
    <w:next w:val="Normal"/>
    <w:link w:val="Heading1Char"/>
    <w:qFormat/>
    <w:pPr>
      <w:keepNext/>
      <w:keepLines/>
      <w:spacing w:after="0"/>
      <w:outlineLvl w:val="0"/>
    </w:pPr>
    <w:rPr>
      <w:rFonts w:ascii="Times New Roman Bold" w:eastAsiaTheme="majorEastAsia" w:hAnsi="Times New Roman Bold" w:cstheme="majorBidi"/>
      <w:b/>
      <w:caps/>
      <w:sz w:val="24"/>
      <w:szCs w:val="32"/>
    </w:rPr>
  </w:style>
  <w:style w:type="paragraph" w:styleId="Heading2">
    <w:name w:val="heading 2"/>
    <w:aliases w:val="szd_h2,Headline 2,h2,2,headi,heading2,h21,h22,21,H2,l2,kopregel 2"/>
    <w:basedOn w:val="Normal"/>
    <w:next w:val="Normal"/>
    <w:link w:val="Heading2Char"/>
    <w:unhideWhenUsed/>
    <w:qFormat/>
    <w:pPr>
      <w:keepNext/>
      <w:keepLines/>
      <w:outlineLvl w:val="1"/>
    </w:pPr>
    <w:rPr>
      <w:rFonts w:eastAsiaTheme="majorEastAsia" w:cstheme="majorBidi"/>
      <w:b/>
      <w:sz w:val="24"/>
      <w:szCs w:val="26"/>
    </w:rPr>
  </w:style>
  <w:style w:type="paragraph" w:styleId="Heading3">
    <w:name w:val="heading 3"/>
    <w:basedOn w:val="Normal"/>
    <w:next w:val="Normal"/>
    <w:link w:val="Heading3Char"/>
    <w:unhideWhenUsed/>
    <w:qFormat/>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jc w:val="center"/>
      <w:outlineLvl w:val="4"/>
    </w:pPr>
    <w:rPr>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ist Paragraph1,Lettre d'introduction,Paragrafo elenco,Medium Grid 1 - Accent 21"/>
    <w:basedOn w:val="Normal"/>
    <w:uiPriority w:val="34"/>
    <w:qFormat/>
    <w:pPr>
      <w:ind w:left="720"/>
      <w:contextualSpacing/>
    </w:pPr>
  </w:style>
  <w:style w:type="paragraph" w:styleId="Date">
    <w:name w:val="Date"/>
    <w:basedOn w:val="Normal"/>
    <w:next w:val="Normal"/>
    <w:link w:val="DateChar"/>
    <w:pPr>
      <w:suppressAutoHyphens/>
      <w:spacing w:after="0"/>
      <w:ind w:left="5103" w:right="-567"/>
    </w:pPr>
    <w:rPr>
      <w:sz w:val="24"/>
      <w:szCs w:val="20"/>
      <w:lang w:eastAsia="ar-SA"/>
    </w:rPr>
  </w:style>
  <w:style w:type="character" w:customStyle="1" w:styleId="DateChar">
    <w:name w:val="Date Char"/>
    <w:basedOn w:val="DefaultParagraphFont"/>
    <w:link w:val="Date"/>
    <w:rPr>
      <w:rFonts w:ascii="Times New Roman" w:eastAsia="Times New Roman" w:hAnsi="Times New Roman" w:cs="Times New Roman"/>
      <w:sz w:val="24"/>
      <w:szCs w:val="20"/>
      <w:lang w:val="fi-FI" w:eastAsia="ar-SA"/>
    </w:rPr>
  </w:style>
  <w:style w:type="paragraph" w:customStyle="1" w:styleId="ZCom">
    <w:name w:val="Z_Com"/>
    <w:basedOn w:val="Normal"/>
    <w:next w:val="ZDGName"/>
    <w:pPr>
      <w:widowControl w:val="0"/>
      <w:suppressAutoHyphens/>
      <w:spacing w:after="0"/>
      <w:ind w:right="85"/>
    </w:pPr>
    <w:rPr>
      <w:rFonts w:ascii="Arial" w:hAnsi="Arial"/>
      <w:sz w:val="24"/>
      <w:szCs w:val="20"/>
      <w:lang w:eastAsia="ar-SA"/>
    </w:rPr>
  </w:style>
  <w:style w:type="paragraph" w:customStyle="1" w:styleId="ZDGName">
    <w:name w:val="Z_DGName"/>
    <w:basedOn w:val="Normal"/>
    <w:uiPriority w:val="99"/>
    <w:pPr>
      <w:widowControl w:val="0"/>
      <w:suppressAutoHyphens/>
      <w:spacing w:after="0"/>
      <w:ind w:right="85"/>
    </w:pPr>
    <w:rPr>
      <w:rFonts w:ascii="Arial" w:hAnsi="Arial"/>
      <w:sz w:val="16"/>
      <w:szCs w:val="20"/>
      <w:lang w:eastAsia="ar-SA"/>
    </w:rPr>
  </w:style>
  <w:style w:type="paragraph" w:styleId="Title">
    <w:name w:val="Title"/>
    <w:basedOn w:val="Normal"/>
    <w:next w:val="Normal"/>
    <w:link w:val="TitleChar"/>
    <w:autoRedefine/>
    <w:uiPriority w:val="10"/>
    <w:qFormat/>
    <w:pPr>
      <w:spacing w:before="240" w:after="60"/>
      <w:jc w:val="center"/>
      <w:outlineLvl w:val="0"/>
    </w:pPr>
    <w:rPr>
      <w:b/>
      <w:bCs/>
      <w:kern w:val="28"/>
      <w:sz w:val="44"/>
      <w:szCs w:val="32"/>
    </w:rPr>
  </w:style>
  <w:style w:type="character" w:customStyle="1" w:styleId="TitleChar">
    <w:name w:val="Title Char"/>
    <w:basedOn w:val="DefaultParagraphFont"/>
    <w:link w:val="Title"/>
    <w:uiPriority w:val="10"/>
    <w:rPr>
      <w:rFonts w:ascii="Times New Roman" w:eastAsia="Times New Roman" w:hAnsi="Times New Roman" w:cs="Times New Roman"/>
      <w:b/>
      <w:bCs/>
      <w:kern w:val="28"/>
      <w:sz w:val="44"/>
      <w:szCs w:val="32"/>
      <w:lang w:val="fi-FI"/>
    </w:rPr>
  </w:style>
  <w:style w:type="character" w:customStyle="1" w:styleId="Heading1Char">
    <w:name w:val="Heading 1 Char"/>
    <w:basedOn w:val="DefaultParagraphFont"/>
    <w:link w:val="Heading1"/>
    <w:rPr>
      <w:rFonts w:ascii="Times New Roman Bold" w:eastAsiaTheme="majorEastAsia" w:hAnsi="Times New Roman Bold" w:cstheme="majorBidi"/>
      <w:b/>
      <w:caps/>
      <w:sz w:val="24"/>
      <w:szCs w:val="32"/>
      <w:lang w:val="fi-FI"/>
    </w:rPr>
  </w:style>
  <w:style w:type="character" w:customStyle="1" w:styleId="Heading2Char">
    <w:name w:val="Heading 2 Char"/>
    <w:aliases w:val="szd_h2 Char,Headline 2 Char,h2 Char,2 Char,headi Char,heading2 Char,h21 Char,h22 Char,21 Char,H2 Char,l2 Char,kopregel 2 Char"/>
    <w:basedOn w:val="DefaultParagraphFont"/>
    <w:link w:val="Heading2"/>
    <w:rPr>
      <w:rFonts w:ascii="Times New Roman" w:eastAsiaTheme="majorEastAsia" w:hAnsi="Times New Roman" w:cstheme="majorBidi"/>
      <w:b/>
      <w:sz w:val="24"/>
      <w:szCs w:val="26"/>
      <w:lang w:val="fi-FI"/>
    </w:rPr>
  </w:style>
  <w:style w:type="paragraph" w:styleId="Caption">
    <w:name w:val="caption"/>
    <w:basedOn w:val="Normal"/>
    <w:next w:val="Normal"/>
    <w:autoRedefine/>
    <w:uiPriority w:val="35"/>
    <w:unhideWhenUsed/>
    <w:qFormat/>
    <w:pPr>
      <w:keepNext/>
      <w:keepLines/>
      <w:spacing w:afterLines="120" w:after="288"/>
      <w:jc w:val="left"/>
    </w:pPr>
    <w:rPr>
      <w:i/>
      <w:iCs/>
      <w:sz w:val="18"/>
      <w:szCs w:val="1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Pr>
      <w:rFonts w:ascii="Times New Roman" w:eastAsiaTheme="majorEastAsia" w:hAnsi="Times New Roman" w:cstheme="majorBidi"/>
      <w:b/>
      <w:sz w:val="24"/>
      <w:szCs w:val="24"/>
      <w:lang w:val="fi-FI"/>
    </w:rPr>
  </w:style>
  <w:style w:type="paragraph" w:styleId="TOCHeading">
    <w:name w:val="TOC Heading"/>
    <w:basedOn w:val="Heading1"/>
    <w:next w:val="Normal"/>
    <w:uiPriority w:val="39"/>
    <w:unhideWhenUsed/>
    <w:qFormat/>
    <w:pPr>
      <w:spacing w:line="259" w:lineRule="auto"/>
      <w:jc w:val="left"/>
      <w:outlineLvl w:val="9"/>
    </w:pPr>
    <w:rPr>
      <w:rFonts w:asciiTheme="majorHAnsi" w:hAnsiTheme="majorHAnsi"/>
      <w:b w:val="0"/>
      <w:caps w:val="0"/>
      <w:color w:val="2E74B5" w:themeColor="accent1" w:themeShade="BF"/>
      <w:sz w:val="32"/>
    </w:rPr>
  </w:style>
  <w:style w:type="paragraph" w:styleId="TOC1">
    <w:name w:val="toc 1"/>
    <w:basedOn w:val="Normal"/>
    <w:next w:val="Normal"/>
    <w:link w:val="TOC1Char"/>
    <w:autoRedefine/>
    <w:uiPriority w:val="39"/>
    <w:unhideWhenUsed/>
    <w:pPr>
      <w:tabs>
        <w:tab w:val="left" w:pos="440"/>
        <w:tab w:val="right" w:leader="dot" w:pos="9062"/>
      </w:tabs>
      <w:spacing w:after="0"/>
    </w:pPr>
  </w:style>
  <w:style w:type="paragraph" w:styleId="TOC2">
    <w:name w:val="toc 2"/>
    <w:basedOn w:val="Normal"/>
    <w:next w:val="Normal"/>
    <w:autoRedefine/>
    <w:uiPriority w:val="39"/>
    <w:unhideWhenUsed/>
    <w:pPr>
      <w:tabs>
        <w:tab w:val="left" w:pos="880"/>
        <w:tab w:val="right" w:leader="dot" w:pos="9062"/>
      </w:tabs>
      <w:ind w:left="215"/>
    </w:pPr>
  </w:style>
  <w:style w:type="paragraph" w:styleId="TOC3">
    <w:name w:val="toc 3"/>
    <w:basedOn w:val="Normal"/>
    <w:next w:val="Normal"/>
    <w:autoRedefine/>
    <w:uiPriority w:val="39"/>
    <w:unhideWhenUsed/>
    <w:pPr>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lang w:val="fi-FI"/>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rFonts w:ascii="Times New Roman" w:eastAsia="Times New Roman" w:hAnsi="Times New Roman" w:cs="Times New Roman"/>
      <w:lang w:val="fi-F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i-F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i-FI"/>
    </w:rPr>
  </w:style>
  <w:style w:type="paragraph" w:styleId="BalloonText">
    <w:name w:val="Balloon Text"/>
    <w:basedOn w:val="Normal"/>
    <w:link w:val="BalloonTextChar"/>
    <w:uiPriority w:val="99"/>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lang w:val="fi-FI"/>
    </w:rPr>
  </w:style>
  <w:style w:type="paragraph" w:styleId="BodyTextIndent">
    <w:name w:val="Body Text Indent"/>
    <w:basedOn w:val="Normal"/>
    <w:link w:val="BodyTextIndentChar"/>
    <w:uiPriority w:val="99"/>
    <w:unhideWhenUsed/>
    <w:pPr>
      <w:ind w:left="708"/>
    </w:p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lang w:val="fi-FI"/>
    </w:rPr>
  </w:style>
  <w:style w:type="paragraph" w:styleId="BodyText">
    <w:name w:val="Body Text"/>
    <w:basedOn w:val="Normal"/>
    <w:link w:val="BodyTextChar"/>
    <w:uiPriority w:val="99"/>
    <w:unhideWhenUsed/>
    <w:rPr>
      <w:i/>
      <w:color w:val="1F4E79" w:themeColor="accent1" w:themeShade="80"/>
    </w:rPr>
  </w:style>
  <w:style w:type="character" w:customStyle="1" w:styleId="BodyTextChar">
    <w:name w:val="Body Text Char"/>
    <w:basedOn w:val="DefaultParagraphFont"/>
    <w:link w:val="BodyText"/>
    <w:uiPriority w:val="99"/>
    <w:rPr>
      <w:rFonts w:ascii="Times New Roman" w:eastAsia="Times New Roman" w:hAnsi="Times New Roman" w:cs="Times New Roman"/>
      <w:i/>
      <w:color w:val="1F4E79" w:themeColor="accent1" w:themeShade="80"/>
      <w:lang w:val="fi-FI"/>
    </w:rPr>
  </w:style>
  <w:style w:type="paragraph" w:styleId="Revision">
    <w:name w:val="Revision"/>
    <w:hidden/>
    <w:uiPriority w:val="99"/>
    <w:semiHidden/>
    <w:pPr>
      <w:spacing w:after="0" w:line="240" w:lineRule="auto"/>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pPr>
      <w:spacing w:after="0"/>
    </w:pPr>
    <w:rPr>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fi-FI"/>
    </w:rPr>
  </w:style>
  <w:style w:type="character" w:styleId="FootnoteReference">
    <w:name w:val="footnote reference"/>
    <w:basedOn w:val="DefaultParagraphFont"/>
    <w:uiPriority w:val="99"/>
    <w:semiHidden/>
    <w:unhideWhenUsed/>
    <w:rPr>
      <w:vertAlign w:val="superscript"/>
    </w:rPr>
  </w:style>
  <w:style w:type="character" w:customStyle="1" w:styleId="Heading4Char">
    <w:name w:val="Heading 4 Char"/>
    <w:basedOn w:val="DefaultParagraphFont"/>
    <w:link w:val="Heading4"/>
    <w:rPr>
      <w:rFonts w:asciiTheme="majorHAnsi" w:eastAsiaTheme="majorEastAsia" w:hAnsiTheme="majorHAnsi" w:cstheme="majorBidi"/>
      <w:i/>
      <w:iCs/>
      <w:color w:val="2E74B5" w:themeColor="accent1" w:themeShade="BF"/>
      <w:lang w:val="fi-FI"/>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TableofFigures">
    <w:name w:val="table of figures"/>
    <w:basedOn w:val="Normal"/>
    <w:next w:val="Normal"/>
    <w:uiPriority w:val="99"/>
    <w:unhideWhenUsed/>
    <w:pPr>
      <w:spacing w:after="0"/>
    </w:pPr>
  </w:style>
  <w:style w:type="character" w:customStyle="1" w:styleId="Heading5Char">
    <w:name w:val="Heading 5 Char"/>
    <w:basedOn w:val="DefaultParagraphFont"/>
    <w:link w:val="Heading5"/>
    <w:uiPriority w:val="9"/>
    <w:rPr>
      <w:rFonts w:ascii="Times New Roman" w:eastAsia="Times New Roman" w:hAnsi="Times New Roman" w:cs="Times New Roman"/>
      <w:i/>
      <w:iCs/>
      <w:sz w:val="18"/>
      <w:szCs w:val="18"/>
      <w:lang w:val="fi-FI"/>
    </w:rPr>
  </w:style>
  <w:style w:type="paragraph" w:styleId="BodyTextIndent2">
    <w:name w:val="Body Text Indent 2"/>
    <w:basedOn w:val="Normal"/>
    <w:link w:val="BodyTextIndent2Char"/>
    <w:uiPriority w:val="99"/>
    <w:unhideWhenUsed/>
    <w:pPr>
      <w:spacing w:afterLines="120" w:after="288"/>
      <w:ind w:left="360"/>
    </w:p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lang w:val="fi-FI"/>
    </w:rPr>
  </w:style>
  <w:style w:type="paragraph" w:styleId="NormalWeb">
    <w:name w:val="Normal (Web)"/>
    <w:basedOn w:val="Normal"/>
    <w:uiPriority w:val="99"/>
    <w:unhideWhenUsed/>
    <w:pPr>
      <w:spacing w:before="100" w:beforeAutospacing="1" w:after="100" w:afterAutospacing="1"/>
      <w:jc w:val="left"/>
    </w:pPr>
    <w:rPr>
      <w:rFonts w:eastAsiaTheme="minorEastAsia"/>
      <w:sz w:val="24"/>
      <w:szCs w:val="24"/>
      <w:lang w:eastAsia="en-GB"/>
    </w:rPr>
  </w:style>
  <w:style w:type="character" w:styleId="Strong">
    <w:name w:val="Strong"/>
    <w:basedOn w:val="DefaultParagraphFont"/>
    <w:uiPriority w:val="22"/>
    <w:qFormat/>
    <w:rPr>
      <w:b/>
      <w:bCs/>
    </w:rPr>
  </w:style>
  <w:style w:type="paragraph" w:styleId="BodyText2">
    <w:name w:val="Body Text 2"/>
    <w:basedOn w:val="Normal"/>
    <w:link w:val="BodyText2Char"/>
    <w:uiPriority w:val="99"/>
    <w:unhideWhenUsed/>
    <w:pPr>
      <w:jc w:val="left"/>
    </w:pPr>
    <w:rPr>
      <w:shd w:val="clear" w:color="auto" w:fill="FFFFFF"/>
    </w:rPr>
  </w:style>
  <w:style w:type="character" w:customStyle="1" w:styleId="BodyText2Char">
    <w:name w:val="Body Text 2 Char"/>
    <w:basedOn w:val="DefaultParagraphFont"/>
    <w:link w:val="BodyText2"/>
    <w:uiPriority w:val="99"/>
    <w:rPr>
      <w:rFonts w:ascii="Times New Roman" w:eastAsia="Times New Roman" w:hAnsi="Times New Roman" w:cs="Times New Roman"/>
      <w:lang w:val="fi-FI"/>
    </w:rPr>
  </w:style>
  <w:style w:type="paragraph" w:styleId="BodyText3">
    <w:name w:val="Body Text 3"/>
    <w:basedOn w:val="Normal"/>
    <w:link w:val="BodyText3Char"/>
    <w:uiPriority w:val="99"/>
    <w:unhideWhenUsed/>
    <w:pPr>
      <w:widowControl w:val="0"/>
      <w:autoSpaceDE w:val="0"/>
      <w:autoSpaceDN w:val="0"/>
      <w:spacing w:before="119" w:after="0"/>
      <w:ind w:right="91"/>
    </w:pPr>
  </w:style>
  <w:style w:type="character" w:customStyle="1" w:styleId="BodyText3Char">
    <w:name w:val="Body Text 3 Char"/>
    <w:basedOn w:val="DefaultParagraphFont"/>
    <w:link w:val="BodyText3"/>
    <w:uiPriority w:val="99"/>
    <w:rPr>
      <w:rFonts w:ascii="Times New Roman" w:eastAsia="Times New Roman" w:hAnsi="Times New Roman" w:cs="Times New Roman"/>
      <w:lang w:val="fi-FI"/>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fi-FI"/>
    </w:rPr>
  </w:style>
  <w:style w:type="character" w:styleId="EndnoteReference">
    <w:name w:val="endnote reference"/>
    <w:basedOn w:val="DefaultParagraphFont"/>
    <w:uiPriority w:val="99"/>
    <w:semiHidden/>
    <w:unhideWhenUsed/>
    <w:rPr>
      <w:vertAlign w:val="superscript"/>
    </w:rPr>
  </w:style>
  <w:style w:type="paragraph" w:customStyle="1" w:styleId="Point0number">
    <w:name w:val="Point 0 (number)"/>
    <w:basedOn w:val="Normal"/>
    <w:pPr>
      <w:numPr>
        <w:numId w:val="2"/>
      </w:numPr>
      <w:spacing w:before="120"/>
    </w:pPr>
    <w:rPr>
      <w:rFonts w:eastAsiaTheme="minorHAnsi"/>
      <w:sz w:val="24"/>
    </w:rPr>
  </w:style>
  <w:style w:type="paragraph" w:customStyle="1" w:styleId="Point1number">
    <w:name w:val="Point 1 (number)"/>
    <w:basedOn w:val="Normal"/>
    <w:pPr>
      <w:numPr>
        <w:ilvl w:val="2"/>
        <w:numId w:val="2"/>
      </w:numPr>
      <w:spacing w:before="120"/>
    </w:pPr>
    <w:rPr>
      <w:rFonts w:eastAsiaTheme="minorHAnsi"/>
      <w:sz w:val="24"/>
    </w:rPr>
  </w:style>
  <w:style w:type="paragraph" w:customStyle="1" w:styleId="Point2number">
    <w:name w:val="Point 2 (number)"/>
    <w:basedOn w:val="Normal"/>
    <w:pPr>
      <w:numPr>
        <w:ilvl w:val="4"/>
        <w:numId w:val="2"/>
      </w:numPr>
      <w:spacing w:before="120"/>
    </w:pPr>
    <w:rPr>
      <w:rFonts w:eastAsiaTheme="minorHAnsi"/>
      <w:sz w:val="24"/>
    </w:rPr>
  </w:style>
  <w:style w:type="paragraph" w:customStyle="1" w:styleId="Point3number">
    <w:name w:val="Point 3 (number)"/>
    <w:basedOn w:val="Normal"/>
    <w:pPr>
      <w:numPr>
        <w:ilvl w:val="6"/>
        <w:numId w:val="2"/>
      </w:numPr>
      <w:spacing w:before="120"/>
    </w:pPr>
    <w:rPr>
      <w:rFonts w:eastAsiaTheme="minorHAnsi"/>
      <w:sz w:val="24"/>
    </w:rPr>
  </w:style>
  <w:style w:type="paragraph" w:customStyle="1" w:styleId="Point0letter">
    <w:name w:val="Point 0 (letter)"/>
    <w:basedOn w:val="Normal"/>
    <w:pPr>
      <w:numPr>
        <w:ilvl w:val="1"/>
        <w:numId w:val="2"/>
      </w:numPr>
      <w:spacing w:before="120"/>
    </w:pPr>
    <w:rPr>
      <w:rFonts w:eastAsiaTheme="minorHAnsi"/>
      <w:sz w:val="24"/>
    </w:rPr>
  </w:style>
  <w:style w:type="paragraph" w:customStyle="1" w:styleId="Point1letter">
    <w:name w:val="Point 1 (letter)"/>
    <w:basedOn w:val="Normal"/>
    <w:pPr>
      <w:numPr>
        <w:ilvl w:val="3"/>
        <w:numId w:val="2"/>
      </w:numPr>
      <w:spacing w:before="120"/>
    </w:pPr>
    <w:rPr>
      <w:rFonts w:eastAsiaTheme="minorHAnsi"/>
      <w:sz w:val="24"/>
    </w:rPr>
  </w:style>
  <w:style w:type="paragraph" w:customStyle="1" w:styleId="Point2letter">
    <w:name w:val="Point 2 (letter)"/>
    <w:basedOn w:val="Normal"/>
    <w:pPr>
      <w:numPr>
        <w:ilvl w:val="5"/>
        <w:numId w:val="2"/>
      </w:numPr>
      <w:spacing w:before="120"/>
    </w:pPr>
    <w:rPr>
      <w:rFonts w:eastAsiaTheme="minorHAnsi"/>
      <w:sz w:val="24"/>
    </w:rPr>
  </w:style>
  <w:style w:type="paragraph" w:customStyle="1" w:styleId="Point3letter">
    <w:name w:val="Point 3 (letter)"/>
    <w:basedOn w:val="Normal"/>
    <w:pPr>
      <w:numPr>
        <w:ilvl w:val="7"/>
        <w:numId w:val="2"/>
      </w:numPr>
      <w:spacing w:before="120"/>
    </w:pPr>
    <w:rPr>
      <w:rFonts w:eastAsiaTheme="minorHAnsi"/>
      <w:sz w:val="24"/>
    </w:rPr>
  </w:style>
  <w:style w:type="paragraph" w:customStyle="1" w:styleId="Point4letter">
    <w:name w:val="Point 4 (letter)"/>
    <w:basedOn w:val="Normal"/>
    <w:pPr>
      <w:numPr>
        <w:ilvl w:val="8"/>
        <w:numId w:val="2"/>
      </w:numPr>
      <w:spacing w:before="120"/>
    </w:pPr>
    <w:rPr>
      <w:rFonts w:eastAsiaTheme="minorHAnsi"/>
      <w:sz w:val="24"/>
    </w:rPr>
  </w:style>
  <w:style w:type="paragraph" w:customStyle="1" w:styleId="Bullet0">
    <w:name w:val="Bullet 0"/>
    <w:basedOn w:val="Normal"/>
    <w:pPr>
      <w:numPr>
        <w:numId w:val="3"/>
      </w:numPr>
      <w:spacing w:before="120"/>
    </w:pPr>
    <w:rPr>
      <w:rFonts w:eastAsiaTheme="minorHAnsi"/>
      <w:sz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 w:val="24"/>
    </w:rPr>
  </w:style>
  <w:style w:type="character" w:customStyle="1" w:styleId="TOC1Char">
    <w:name w:val="TOC 1 Char"/>
    <w:basedOn w:val="DefaultParagraphFont"/>
    <w:link w:val="TOC1"/>
    <w:uiPriority w:val="39"/>
    <w:rPr>
      <w:rFonts w:ascii="Times New Roman" w:eastAsia="Times New Roman" w:hAnsi="Times New Roman" w:cs="Times New Roman"/>
      <w:lang w:val="fi-FI"/>
    </w:rPr>
  </w:style>
  <w:style w:type="character" w:customStyle="1" w:styleId="FooterCoverPageChar">
    <w:name w:val="Footer Cover Page Char"/>
    <w:basedOn w:val="TOC1Char"/>
    <w:link w:val="FooterCoverPage"/>
    <w:rPr>
      <w:rFonts w:ascii="Times New Roman" w:eastAsia="Times New Roman" w:hAnsi="Times New Roman" w:cs="Times New Roman"/>
      <w:sz w:val="24"/>
      <w:lang w:val="fi-FI"/>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OC1Char"/>
    <w:link w:val="FooterSensitivity"/>
    <w:rPr>
      <w:rFonts w:ascii="Times New Roman" w:eastAsia="Times New Roman" w:hAnsi="Times New Roman" w:cs="Times New Roman"/>
      <w:b/>
      <w:sz w:val="32"/>
      <w:lang w:val="fi-FI"/>
    </w:rPr>
  </w:style>
  <w:style w:type="paragraph" w:customStyle="1" w:styleId="HeaderCoverPage">
    <w:name w:val="Header Cover Page"/>
    <w:basedOn w:val="Normal"/>
    <w:link w:val="HeaderCoverPageChar"/>
    <w:pPr>
      <w:tabs>
        <w:tab w:val="center" w:pos="4535"/>
        <w:tab w:val="right" w:pos="9071"/>
      </w:tabs>
    </w:pPr>
    <w:rPr>
      <w:sz w:val="24"/>
    </w:rPr>
  </w:style>
  <w:style w:type="character" w:customStyle="1" w:styleId="HeaderCoverPageChar">
    <w:name w:val="Header Cover Page Char"/>
    <w:basedOn w:val="TOC1Char"/>
    <w:link w:val="HeaderCoverPage"/>
    <w:rPr>
      <w:rFonts w:ascii="Times New Roman" w:eastAsia="Times New Roman" w:hAnsi="Times New Roman" w:cs="Times New Roman"/>
      <w:sz w:val="24"/>
      <w:lang w:val="fi-FI"/>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TOC1Char"/>
    <w:link w:val="HeaderSensitivity"/>
    <w:rPr>
      <w:rFonts w:ascii="Times New Roman" w:eastAsia="Times New Roman" w:hAnsi="Times New Roman" w:cs="Times New Roman"/>
      <w:b/>
      <w:sz w:val="32"/>
      <w:lang w:val="fi-FI"/>
    </w:rPr>
  </w:style>
  <w:style w:type="paragraph" w:customStyle="1" w:styleId="HeaderSensitivityRight">
    <w:name w:val="Header Sensitivity Right"/>
    <w:basedOn w:val="Normal"/>
    <w:link w:val="HeaderSensitivityRightChar"/>
    <w:pPr>
      <w:jc w:val="right"/>
    </w:pPr>
    <w:rPr>
      <w:sz w:val="28"/>
    </w:rPr>
  </w:style>
  <w:style w:type="character" w:customStyle="1" w:styleId="HeaderSensitivityRightChar">
    <w:name w:val="Header Sensitivity Right Char"/>
    <w:basedOn w:val="TOC1Char"/>
    <w:link w:val="HeaderSensitivityRight"/>
    <w:rPr>
      <w:rFonts w:ascii="Times New Roman" w:eastAsia="Times New Roman" w:hAnsi="Times New Roman" w:cs="Times New Roman"/>
      <w:sz w:val="28"/>
      <w:lang w:val="fi-FI"/>
    </w:rPr>
  </w:style>
  <w:style w:type="paragraph" w:customStyle="1" w:styleId="Normal1">
    <w:name w:val="Normal1"/>
    <w:basedOn w:val="Normal"/>
    <w:pPr>
      <w:spacing w:before="100" w:beforeAutospacing="1" w:after="100" w:afterAutospacing="1"/>
      <w:jc w:val="left"/>
    </w:pPr>
    <w:rPr>
      <w:sz w:val="24"/>
      <w:szCs w:val="24"/>
      <w:lang w:eastAsia="en-GB"/>
    </w:r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74827">
      <w:bodyDiv w:val="1"/>
      <w:marLeft w:val="0"/>
      <w:marRight w:val="0"/>
      <w:marTop w:val="0"/>
      <w:marBottom w:val="0"/>
      <w:divBdr>
        <w:top w:val="none" w:sz="0" w:space="0" w:color="auto"/>
        <w:left w:val="none" w:sz="0" w:space="0" w:color="auto"/>
        <w:bottom w:val="none" w:sz="0" w:space="0" w:color="auto"/>
        <w:right w:val="none" w:sz="0" w:space="0" w:color="auto"/>
      </w:divBdr>
    </w:div>
    <w:div w:id="39405885">
      <w:bodyDiv w:val="1"/>
      <w:marLeft w:val="0"/>
      <w:marRight w:val="0"/>
      <w:marTop w:val="0"/>
      <w:marBottom w:val="0"/>
      <w:divBdr>
        <w:top w:val="none" w:sz="0" w:space="0" w:color="auto"/>
        <w:left w:val="none" w:sz="0" w:space="0" w:color="auto"/>
        <w:bottom w:val="none" w:sz="0" w:space="0" w:color="auto"/>
        <w:right w:val="none" w:sz="0" w:space="0" w:color="auto"/>
      </w:divBdr>
    </w:div>
    <w:div w:id="41440263">
      <w:bodyDiv w:val="1"/>
      <w:marLeft w:val="0"/>
      <w:marRight w:val="0"/>
      <w:marTop w:val="0"/>
      <w:marBottom w:val="0"/>
      <w:divBdr>
        <w:top w:val="none" w:sz="0" w:space="0" w:color="auto"/>
        <w:left w:val="none" w:sz="0" w:space="0" w:color="auto"/>
        <w:bottom w:val="none" w:sz="0" w:space="0" w:color="auto"/>
        <w:right w:val="none" w:sz="0" w:space="0" w:color="auto"/>
      </w:divBdr>
    </w:div>
    <w:div w:id="46223573">
      <w:bodyDiv w:val="1"/>
      <w:marLeft w:val="0"/>
      <w:marRight w:val="0"/>
      <w:marTop w:val="0"/>
      <w:marBottom w:val="0"/>
      <w:divBdr>
        <w:top w:val="none" w:sz="0" w:space="0" w:color="auto"/>
        <w:left w:val="none" w:sz="0" w:space="0" w:color="auto"/>
        <w:bottom w:val="none" w:sz="0" w:space="0" w:color="auto"/>
        <w:right w:val="none" w:sz="0" w:space="0" w:color="auto"/>
      </w:divBdr>
    </w:div>
    <w:div w:id="69234408">
      <w:bodyDiv w:val="1"/>
      <w:marLeft w:val="0"/>
      <w:marRight w:val="0"/>
      <w:marTop w:val="0"/>
      <w:marBottom w:val="0"/>
      <w:divBdr>
        <w:top w:val="none" w:sz="0" w:space="0" w:color="auto"/>
        <w:left w:val="none" w:sz="0" w:space="0" w:color="auto"/>
        <w:bottom w:val="none" w:sz="0" w:space="0" w:color="auto"/>
        <w:right w:val="none" w:sz="0" w:space="0" w:color="auto"/>
      </w:divBdr>
    </w:div>
    <w:div w:id="81875615">
      <w:bodyDiv w:val="1"/>
      <w:marLeft w:val="0"/>
      <w:marRight w:val="0"/>
      <w:marTop w:val="0"/>
      <w:marBottom w:val="0"/>
      <w:divBdr>
        <w:top w:val="none" w:sz="0" w:space="0" w:color="auto"/>
        <w:left w:val="none" w:sz="0" w:space="0" w:color="auto"/>
        <w:bottom w:val="none" w:sz="0" w:space="0" w:color="auto"/>
        <w:right w:val="none" w:sz="0" w:space="0" w:color="auto"/>
      </w:divBdr>
    </w:div>
    <w:div w:id="125509124">
      <w:bodyDiv w:val="1"/>
      <w:marLeft w:val="0"/>
      <w:marRight w:val="0"/>
      <w:marTop w:val="0"/>
      <w:marBottom w:val="0"/>
      <w:divBdr>
        <w:top w:val="none" w:sz="0" w:space="0" w:color="auto"/>
        <w:left w:val="none" w:sz="0" w:space="0" w:color="auto"/>
        <w:bottom w:val="none" w:sz="0" w:space="0" w:color="auto"/>
        <w:right w:val="none" w:sz="0" w:space="0" w:color="auto"/>
      </w:divBdr>
    </w:div>
    <w:div w:id="128674400">
      <w:bodyDiv w:val="1"/>
      <w:marLeft w:val="0"/>
      <w:marRight w:val="0"/>
      <w:marTop w:val="0"/>
      <w:marBottom w:val="0"/>
      <w:divBdr>
        <w:top w:val="none" w:sz="0" w:space="0" w:color="auto"/>
        <w:left w:val="none" w:sz="0" w:space="0" w:color="auto"/>
        <w:bottom w:val="none" w:sz="0" w:space="0" w:color="auto"/>
        <w:right w:val="none" w:sz="0" w:space="0" w:color="auto"/>
      </w:divBdr>
    </w:div>
    <w:div w:id="173686347">
      <w:bodyDiv w:val="1"/>
      <w:marLeft w:val="0"/>
      <w:marRight w:val="0"/>
      <w:marTop w:val="0"/>
      <w:marBottom w:val="0"/>
      <w:divBdr>
        <w:top w:val="none" w:sz="0" w:space="0" w:color="auto"/>
        <w:left w:val="none" w:sz="0" w:space="0" w:color="auto"/>
        <w:bottom w:val="none" w:sz="0" w:space="0" w:color="auto"/>
        <w:right w:val="none" w:sz="0" w:space="0" w:color="auto"/>
      </w:divBdr>
    </w:div>
    <w:div w:id="179442405">
      <w:bodyDiv w:val="1"/>
      <w:marLeft w:val="0"/>
      <w:marRight w:val="0"/>
      <w:marTop w:val="0"/>
      <w:marBottom w:val="0"/>
      <w:divBdr>
        <w:top w:val="none" w:sz="0" w:space="0" w:color="auto"/>
        <w:left w:val="none" w:sz="0" w:space="0" w:color="auto"/>
        <w:bottom w:val="none" w:sz="0" w:space="0" w:color="auto"/>
        <w:right w:val="none" w:sz="0" w:space="0" w:color="auto"/>
      </w:divBdr>
    </w:div>
    <w:div w:id="215556001">
      <w:bodyDiv w:val="1"/>
      <w:marLeft w:val="0"/>
      <w:marRight w:val="0"/>
      <w:marTop w:val="0"/>
      <w:marBottom w:val="0"/>
      <w:divBdr>
        <w:top w:val="none" w:sz="0" w:space="0" w:color="auto"/>
        <w:left w:val="none" w:sz="0" w:space="0" w:color="auto"/>
        <w:bottom w:val="none" w:sz="0" w:space="0" w:color="auto"/>
        <w:right w:val="none" w:sz="0" w:space="0" w:color="auto"/>
      </w:divBdr>
    </w:div>
    <w:div w:id="216283358">
      <w:bodyDiv w:val="1"/>
      <w:marLeft w:val="0"/>
      <w:marRight w:val="0"/>
      <w:marTop w:val="0"/>
      <w:marBottom w:val="0"/>
      <w:divBdr>
        <w:top w:val="none" w:sz="0" w:space="0" w:color="auto"/>
        <w:left w:val="none" w:sz="0" w:space="0" w:color="auto"/>
        <w:bottom w:val="none" w:sz="0" w:space="0" w:color="auto"/>
        <w:right w:val="none" w:sz="0" w:space="0" w:color="auto"/>
      </w:divBdr>
    </w:div>
    <w:div w:id="246959811">
      <w:bodyDiv w:val="1"/>
      <w:marLeft w:val="0"/>
      <w:marRight w:val="0"/>
      <w:marTop w:val="0"/>
      <w:marBottom w:val="0"/>
      <w:divBdr>
        <w:top w:val="none" w:sz="0" w:space="0" w:color="auto"/>
        <w:left w:val="none" w:sz="0" w:space="0" w:color="auto"/>
        <w:bottom w:val="none" w:sz="0" w:space="0" w:color="auto"/>
        <w:right w:val="none" w:sz="0" w:space="0" w:color="auto"/>
      </w:divBdr>
    </w:div>
    <w:div w:id="273220357">
      <w:bodyDiv w:val="1"/>
      <w:marLeft w:val="0"/>
      <w:marRight w:val="0"/>
      <w:marTop w:val="0"/>
      <w:marBottom w:val="0"/>
      <w:divBdr>
        <w:top w:val="none" w:sz="0" w:space="0" w:color="auto"/>
        <w:left w:val="none" w:sz="0" w:space="0" w:color="auto"/>
        <w:bottom w:val="none" w:sz="0" w:space="0" w:color="auto"/>
        <w:right w:val="none" w:sz="0" w:space="0" w:color="auto"/>
      </w:divBdr>
    </w:div>
    <w:div w:id="273633673">
      <w:bodyDiv w:val="1"/>
      <w:marLeft w:val="0"/>
      <w:marRight w:val="0"/>
      <w:marTop w:val="0"/>
      <w:marBottom w:val="0"/>
      <w:divBdr>
        <w:top w:val="none" w:sz="0" w:space="0" w:color="auto"/>
        <w:left w:val="none" w:sz="0" w:space="0" w:color="auto"/>
        <w:bottom w:val="none" w:sz="0" w:space="0" w:color="auto"/>
        <w:right w:val="none" w:sz="0" w:space="0" w:color="auto"/>
      </w:divBdr>
    </w:div>
    <w:div w:id="300889682">
      <w:bodyDiv w:val="1"/>
      <w:marLeft w:val="0"/>
      <w:marRight w:val="0"/>
      <w:marTop w:val="0"/>
      <w:marBottom w:val="0"/>
      <w:divBdr>
        <w:top w:val="none" w:sz="0" w:space="0" w:color="auto"/>
        <w:left w:val="none" w:sz="0" w:space="0" w:color="auto"/>
        <w:bottom w:val="none" w:sz="0" w:space="0" w:color="auto"/>
        <w:right w:val="none" w:sz="0" w:space="0" w:color="auto"/>
      </w:divBdr>
    </w:div>
    <w:div w:id="338582174">
      <w:bodyDiv w:val="1"/>
      <w:marLeft w:val="0"/>
      <w:marRight w:val="0"/>
      <w:marTop w:val="0"/>
      <w:marBottom w:val="0"/>
      <w:divBdr>
        <w:top w:val="none" w:sz="0" w:space="0" w:color="auto"/>
        <w:left w:val="none" w:sz="0" w:space="0" w:color="auto"/>
        <w:bottom w:val="none" w:sz="0" w:space="0" w:color="auto"/>
        <w:right w:val="none" w:sz="0" w:space="0" w:color="auto"/>
      </w:divBdr>
    </w:div>
    <w:div w:id="353767465">
      <w:bodyDiv w:val="1"/>
      <w:marLeft w:val="0"/>
      <w:marRight w:val="0"/>
      <w:marTop w:val="0"/>
      <w:marBottom w:val="0"/>
      <w:divBdr>
        <w:top w:val="none" w:sz="0" w:space="0" w:color="auto"/>
        <w:left w:val="none" w:sz="0" w:space="0" w:color="auto"/>
        <w:bottom w:val="none" w:sz="0" w:space="0" w:color="auto"/>
        <w:right w:val="none" w:sz="0" w:space="0" w:color="auto"/>
      </w:divBdr>
    </w:div>
    <w:div w:id="360086075">
      <w:bodyDiv w:val="1"/>
      <w:marLeft w:val="0"/>
      <w:marRight w:val="0"/>
      <w:marTop w:val="0"/>
      <w:marBottom w:val="0"/>
      <w:divBdr>
        <w:top w:val="none" w:sz="0" w:space="0" w:color="auto"/>
        <w:left w:val="none" w:sz="0" w:space="0" w:color="auto"/>
        <w:bottom w:val="none" w:sz="0" w:space="0" w:color="auto"/>
        <w:right w:val="none" w:sz="0" w:space="0" w:color="auto"/>
      </w:divBdr>
    </w:div>
    <w:div w:id="375667053">
      <w:bodyDiv w:val="1"/>
      <w:marLeft w:val="0"/>
      <w:marRight w:val="0"/>
      <w:marTop w:val="0"/>
      <w:marBottom w:val="0"/>
      <w:divBdr>
        <w:top w:val="none" w:sz="0" w:space="0" w:color="auto"/>
        <w:left w:val="none" w:sz="0" w:space="0" w:color="auto"/>
        <w:bottom w:val="none" w:sz="0" w:space="0" w:color="auto"/>
        <w:right w:val="none" w:sz="0" w:space="0" w:color="auto"/>
      </w:divBdr>
    </w:div>
    <w:div w:id="381027208">
      <w:bodyDiv w:val="1"/>
      <w:marLeft w:val="0"/>
      <w:marRight w:val="0"/>
      <w:marTop w:val="0"/>
      <w:marBottom w:val="0"/>
      <w:divBdr>
        <w:top w:val="none" w:sz="0" w:space="0" w:color="auto"/>
        <w:left w:val="none" w:sz="0" w:space="0" w:color="auto"/>
        <w:bottom w:val="none" w:sz="0" w:space="0" w:color="auto"/>
        <w:right w:val="none" w:sz="0" w:space="0" w:color="auto"/>
      </w:divBdr>
    </w:div>
    <w:div w:id="381028459">
      <w:bodyDiv w:val="1"/>
      <w:marLeft w:val="0"/>
      <w:marRight w:val="0"/>
      <w:marTop w:val="0"/>
      <w:marBottom w:val="0"/>
      <w:divBdr>
        <w:top w:val="none" w:sz="0" w:space="0" w:color="auto"/>
        <w:left w:val="none" w:sz="0" w:space="0" w:color="auto"/>
        <w:bottom w:val="none" w:sz="0" w:space="0" w:color="auto"/>
        <w:right w:val="none" w:sz="0" w:space="0" w:color="auto"/>
      </w:divBdr>
    </w:div>
    <w:div w:id="391347144">
      <w:bodyDiv w:val="1"/>
      <w:marLeft w:val="0"/>
      <w:marRight w:val="0"/>
      <w:marTop w:val="0"/>
      <w:marBottom w:val="0"/>
      <w:divBdr>
        <w:top w:val="none" w:sz="0" w:space="0" w:color="auto"/>
        <w:left w:val="none" w:sz="0" w:space="0" w:color="auto"/>
        <w:bottom w:val="none" w:sz="0" w:space="0" w:color="auto"/>
        <w:right w:val="none" w:sz="0" w:space="0" w:color="auto"/>
      </w:divBdr>
    </w:div>
    <w:div w:id="391461724">
      <w:bodyDiv w:val="1"/>
      <w:marLeft w:val="0"/>
      <w:marRight w:val="0"/>
      <w:marTop w:val="0"/>
      <w:marBottom w:val="0"/>
      <w:divBdr>
        <w:top w:val="none" w:sz="0" w:space="0" w:color="auto"/>
        <w:left w:val="none" w:sz="0" w:space="0" w:color="auto"/>
        <w:bottom w:val="none" w:sz="0" w:space="0" w:color="auto"/>
        <w:right w:val="none" w:sz="0" w:space="0" w:color="auto"/>
      </w:divBdr>
    </w:div>
    <w:div w:id="391855611">
      <w:bodyDiv w:val="1"/>
      <w:marLeft w:val="0"/>
      <w:marRight w:val="0"/>
      <w:marTop w:val="0"/>
      <w:marBottom w:val="0"/>
      <w:divBdr>
        <w:top w:val="none" w:sz="0" w:space="0" w:color="auto"/>
        <w:left w:val="none" w:sz="0" w:space="0" w:color="auto"/>
        <w:bottom w:val="none" w:sz="0" w:space="0" w:color="auto"/>
        <w:right w:val="none" w:sz="0" w:space="0" w:color="auto"/>
      </w:divBdr>
    </w:div>
    <w:div w:id="402072426">
      <w:bodyDiv w:val="1"/>
      <w:marLeft w:val="0"/>
      <w:marRight w:val="0"/>
      <w:marTop w:val="0"/>
      <w:marBottom w:val="0"/>
      <w:divBdr>
        <w:top w:val="none" w:sz="0" w:space="0" w:color="auto"/>
        <w:left w:val="none" w:sz="0" w:space="0" w:color="auto"/>
        <w:bottom w:val="none" w:sz="0" w:space="0" w:color="auto"/>
        <w:right w:val="none" w:sz="0" w:space="0" w:color="auto"/>
      </w:divBdr>
    </w:div>
    <w:div w:id="424886214">
      <w:bodyDiv w:val="1"/>
      <w:marLeft w:val="0"/>
      <w:marRight w:val="0"/>
      <w:marTop w:val="0"/>
      <w:marBottom w:val="0"/>
      <w:divBdr>
        <w:top w:val="none" w:sz="0" w:space="0" w:color="auto"/>
        <w:left w:val="none" w:sz="0" w:space="0" w:color="auto"/>
        <w:bottom w:val="none" w:sz="0" w:space="0" w:color="auto"/>
        <w:right w:val="none" w:sz="0" w:space="0" w:color="auto"/>
      </w:divBdr>
    </w:div>
    <w:div w:id="438140846">
      <w:bodyDiv w:val="1"/>
      <w:marLeft w:val="0"/>
      <w:marRight w:val="0"/>
      <w:marTop w:val="0"/>
      <w:marBottom w:val="0"/>
      <w:divBdr>
        <w:top w:val="none" w:sz="0" w:space="0" w:color="auto"/>
        <w:left w:val="none" w:sz="0" w:space="0" w:color="auto"/>
        <w:bottom w:val="none" w:sz="0" w:space="0" w:color="auto"/>
        <w:right w:val="none" w:sz="0" w:space="0" w:color="auto"/>
      </w:divBdr>
    </w:div>
    <w:div w:id="467356868">
      <w:bodyDiv w:val="1"/>
      <w:marLeft w:val="0"/>
      <w:marRight w:val="0"/>
      <w:marTop w:val="0"/>
      <w:marBottom w:val="0"/>
      <w:divBdr>
        <w:top w:val="none" w:sz="0" w:space="0" w:color="auto"/>
        <w:left w:val="none" w:sz="0" w:space="0" w:color="auto"/>
        <w:bottom w:val="none" w:sz="0" w:space="0" w:color="auto"/>
        <w:right w:val="none" w:sz="0" w:space="0" w:color="auto"/>
      </w:divBdr>
    </w:div>
    <w:div w:id="474563754">
      <w:bodyDiv w:val="1"/>
      <w:marLeft w:val="0"/>
      <w:marRight w:val="0"/>
      <w:marTop w:val="0"/>
      <w:marBottom w:val="0"/>
      <w:divBdr>
        <w:top w:val="none" w:sz="0" w:space="0" w:color="auto"/>
        <w:left w:val="none" w:sz="0" w:space="0" w:color="auto"/>
        <w:bottom w:val="none" w:sz="0" w:space="0" w:color="auto"/>
        <w:right w:val="none" w:sz="0" w:space="0" w:color="auto"/>
      </w:divBdr>
    </w:div>
    <w:div w:id="500971705">
      <w:bodyDiv w:val="1"/>
      <w:marLeft w:val="0"/>
      <w:marRight w:val="0"/>
      <w:marTop w:val="0"/>
      <w:marBottom w:val="0"/>
      <w:divBdr>
        <w:top w:val="none" w:sz="0" w:space="0" w:color="auto"/>
        <w:left w:val="none" w:sz="0" w:space="0" w:color="auto"/>
        <w:bottom w:val="none" w:sz="0" w:space="0" w:color="auto"/>
        <w:right w:val="none" w:sz="0" w:space="0" w:color="auto"/>
      </w:divBdr>
    </w:div>
    <w:div w:id="507721970">
      <w:bodyDiv w:val="1"/>
      <w:marLeft w:val="0"/>
      <w:marRight w:val="0"/>
      <w:marTop w:val="0"/>
      <w:marBottom w:val="0"/>
      <w:divBdr>
        <w:top w:val="none" w:sz="0" w:space="0" w:color="auto"/>
        <w:left w:val="none" w:sz="0" w:space="0" w:color="auto"/>
        <w:bottom w:val="none" w:sz="0" w:space="0" w:color="auto"/>
        <w:right w:val="none" w:sz="0" w:space="0" w:color="auto"/>
      </w:divBdr>
    </w:div>
    <w:div w:id="508495590">
      <w:bodyDiv w:val="1"/>
      <w:marLeft w:val="0"/>
      <w:marRight w:val="0"/>
      <w:marTop w:val="0"/>
      <w:marBottom w:val="0"/>
      <w:divBdr>
        <w:top w:val="none" w:sz="0" w:space="0" w:color="auto"/>
        <w:left w:val="none" w:sz="0" w:space="0" w:color="auto"/>
        <w:bottom w:val="none" w:sz="0" w:space="0" w:color="auto"/>
        <w:right w:val="none" w:sz="0" w:space="0" w:color="auto"/>
      </w:divBdr>
    </w:div>
    <w:div w:id="517155993">
      <w:bodyDiv w:val="1"/>
      <w:marLeft w:val="0"/>
      <w:marRight w:val="0"/>
      <w:marTop w:val="0"/>
      <w:marBottom w:val="0"/>
      <w:divBdr>
        <w:top w:val="none" w:sz="0" w:space="0" w:color="auto"/>
        <w:left w:val="none" w:sz="0" w:space="0" w:color="auto"/>
        <w:bottom w:val="none" w:sz="0" w:space="0" w:color="auto"/>
        <w:right w:val="none" w:sz="0" w:space="0" w:color="auto"/>
      </w:divBdr>
    </w:div>
    <w:div w:id="520626793">
      <w:bodyDiv w:val="1"/>
      <w:marLeft w:val="0"/>
      <w:marRight w:val="0"/>
      <w:marTop w:val="0"/>
      <w:marBottom w:val="0"/>
      <w:divBdr>
        <w:top w:val="none" w:sz="0" w:space="0" w:color="auto"/>
        <w:left w:val="none" w:sz="0" w:space="0" w:color="auto"/>
        <w:bottom w:val="none" w:sz="0" w:space="0" w:color="auto"/>
        <w:right w:val="none" w:sz="0" w:space="0" w:color="auto"/>
      </w:divBdr>
    </w:div>
    <w:div w:id="538935076">
      <w:bodyDiv w:val="1"/>
      <w:marLeft w:val="0"/>
      <w:marRight w:val="0"/>
      <w:marTop w:val="0"/>
      <w:marBottom w:val="0"/>
      <w:divBdr>
        <w:top w:val="none" w:sz="0" w:space="0" w:color="auto"/>
        <w:left w:val="none" w:sz="0" w:space="0" w:color="auto"/>
        <w:bottom w:val="none" w:sz="0" w:space="0" w:color="auto"/>
        <w:right w:val="none" w:sz="0" w:space="0" w:color="auto"/>
      </w:divBdr>
    </w:div>
    <w:div w:id="583222993">
      <w:bodyDiv w:val="1"/>
      <w:marLeft w:val="0"/>
      <w:marRight w:val="0"/>
      <w:marTop w:val="0"/>
      <w:marBottom w:val="0"/>
      <w:divBdr>
        <w:top w:val="none" w:sz="0" w:space="0" w:color="auto"/>
        <w:left w:val="none" w:sz="0" w:space="0" w:color="auto"/>
        <w:bottom w:val="none" w:sz="0" w:space="0" w:color="auto"/>
        <w:right w:val="none" w:sz="0" w:space="0" w:color="auto"/>
      </w:divBdr>
    </w:div>
    <w:div w:id="616525560">
      <w:bodyDiv w:val="1"/>
      <w:marLeft w:val="0"/>
      <w:marRight w:val="0"/>
      <w:marTop w:val="0"/>
      <w:marBottom w:val="0"/>
      <w:divBdr>
        <w:top w:val="none" w:sz="0" w:space="0" w:color="auto"/>
        <w:left w:val="none" w:sz="0" w:space="0" w:color="auto"/>
        <w:bottom w:val="none" w:sz="0" w:space="0" w:color="auto"/>
        <w:right w:val="none" w:sz="0" w:space="0" w:color="auto"/>
      </w:divBdr>
    </w:div>
    <w:div w:id="643780754">
      <w:bodyDiv w:val="1"/>
      <w:marLeft w:val="0"/>
      <w:marRight w:val="0"/>
      <w:marTop w:val="0"/>
      <w:marBottom w:val="0"/>
      <w:divBdr>
        <w:top w:val="none" w:sz="0" w:space="0" w:color="auto"/>
        <w:left w:val="none" w:sz="0" w:space="0" w:color="auto"/>
        <w:bottom w:val="none" w:sz="0" w:space="0" w:color="auto"/>
        <w:right w:val="none" w:sz="0" w:space="0" w:color="auto"/>
      </w:divBdr>
    </w:div>
    <w:div w:id="681854053">
      <w:bodyDiv w:val="1"/>
      <w:marLeft w:val="0"/>
      <w:marRight w:val="0"/>
      <w:marTop w:val="0"/>
      <w:marBottom w:val="0"/>
      <w:divBdr>
        <w:top w:val="none" w:sz="0" w:space="0" w:color="auto"/>
        <w:left w:val="none" w:sz="0" w:space="0" w:color="auto"/>
        <w:bottom w:val="none" w:sz="0" w:space="0" w:color="auto"/>
        <w:right w:val="none" w:sz="0" w:space="0" w:color="auto"/>
      </w:divBdr>
    </w:div>
    <w:div w:id="711072526">
      <w:bodyDiv w:val="1"/>
      <w:marLeft w:val="0"/>
      <w:marRight w:val="0"/>
      <w:marTop w:val="0"/>
      <w:marBottom w:val="0"/>
      <w:divBdr>
        <w:top w:val="none" w:sz="0" w:space="0" w:color="auto"/>
        <w:left w:val="none" w:sz="0" w:space="0" w:color="auto"/>
        <w:bottom w:val="none" w:sz="0" w:space="0" w:color="auto"/>
        <w:right w:val="none" w:sz="0" w:space="0" w:color="auto"/>
      </w:divBdr>
    </w:div>
    <w:div w:id="740256637">
      <w:bodyDiv w:val="1"/>
      <w:marLeft w:val="0"/>
      <w:marRight w:val="0"/>
      <w:marTop w:val="0"/>
      <w:marBottom w:val="0"/>
      <w:divBdr>
        <w:top w:val="none" w:sz="0" w:space="0" w:color="auto"/>
        <w:left w:val="none" w:sz="0" w:space="0" w:color="auto"/>
        <w:bottom w:val="none" w:sz="0" w:space="0" w:color="auto"/>
        <w:right w:val="none" w:sz="0" w:space="0" w:color="auto"/>
      </w:divBdr>
    </w:div>
    <w:div w:id="764544174">
      <w:bodyDiv w:val="1"/>
      <w:marLeft w:val="0"/>
      <w:marRight w:val="0"/>
      <w:marTop w:val="0"/>
      <w:marBottom w:val="0"/>
      <w:divBdr>
        <w:top w:val="none" w:sz="0" w:space="0" w:color="auto"/>
        <w:left w:val="none" w:sz="0" w:space="0" w:color="auto"/>
        <w:bottom w:val="none" w:sz="0" w:space="0" w:color="auto"/>
        <w:right w:val="none" w:sz="0" w:space="0" w:color="auto"/>
      </w:divBdr>
    </w:div>
    <w:div w:id="773521544">
      <w:bodyDiv w:val="1"/>
      <w:marLeft w:val="0"/>
      <w:marRight w:val="0"/>
      <w:marTop w:val="0"/>
      <w:marBottom w:val="0"/>
      <w:divBdr>
        <w:top w:val="none" w:sz="0" w:space="0" w:color="auto"/>
        <w:left w:val="none" w:sz="0" w:space="0" w:color="auto"/>
        <w:bottom w:val="none" w:sz="0" w:space="0" w:color="auto"/>
        <w:right w:val="none" w:sz="0" w:space="0" w:color="auto"/>
      </w:divBdr>
    </w:div>
    <w:div w:id="774134777">
      <w:bodyDiv w:val="1"/>
      <w:marLeft w:val="0"/>
      <w:marRight w:val="0"/>
      <w:marTop w:val="0"/>
      <w:marBottom w:val="0"/>
      <w:divBdr>
        <w:top w:val="none" w:sz="0" w:space="0" w:color="auto"/>
        <w:left w:val="none" w:sz="0" w:space="0" w:color="auto"/>
        <w:bottom w:val="none" w:sz="0" w:space="0" w:color="auto"/>
        <w:right w:val="none" w:sz="0" w:space="0" w:color="auto"/>
      </w:divBdr>
    </w:div>
    <w:div w:id="782069169">
      <w:bodyDiv w:val="1"/>
      <w:marLeft w:val="0"/>
      <w:marRight w:val="0"/>
      <w:marTop w:val="0"/>
      <w:marBottom w:val="0"/>
      <w:divBdr>
        <w:top w:val="none" w:sz="0" w:space="0" w:color="auto"/>
        <w:left w:val="none" w:sz="0" w:space="0" w:color="auto"/>
        <w:bottom w:val="none" w:sz="0" w:space="0" w:color="auto"/>
        <w:right w:val="none" w:sz="0" w:space="0" w:color="auto"/>
      </w:divBdr>
    </w:div>
    <w:div w:id="794106337">
      <w:bodyDiv w:val="1"/>
      <w:marLeft w:val="0"/>
      <w:marRight w:val="0"/>
      <w:marTop w:val="0"/>
      <w:marBottom w:val="0"/>
      <w:divBdr>
        <w:top w:val="none" w:sz="0" w:space="0" w:color="auto"/>
        <w:left w:val="none" w:sz="0" w:space="0" w:color="auto"/>
        <w:bottom w:val="none" w:sz="0" w:space="0" w:color="auto"/>
        <w:right w:val="none" w:sz="0" w:space="0" w:color="auto"/>
      </w:divBdr>
    </w:div>
    <w:div w:id="795221902">
      <w:bodyDiv w:val="1"/>
      <w:marLeft w:val="0"/>
      <w:marRight w:val="0"/>
      <w:marTop w:val="0"/>
      <w:marBottom w:val="0"/>
      <w:divBdr>
        <w:top w:val="none" w:sz="0" w:space="0" w:color="auto"/>
        <w:left w:val="none" w:sz="0" w:space="0" w:color="auto"/>
        <w:bottom w:val="none" w:sz="0" w:space="0" w:color="auto"/>
        <w:right w:val="none" w:sz="0" w:space="0" w:color="auto"/>
      </w:divBdr>
    </w:div>
    <w:div w:id="808402325">
      <w:bodyDiv w:val="1"/>
      <w:marLeft w:val="0"/>
      <w:marRight w:val="0"/>
      <w:marTop w:val="0"/>
      <w:marBottom w:val="0"/>
      <w:divBdr>
        <w:top w:val="none" w:sz="0" w:space="0" w:color="auto"/>
        <w:left w:val="none" w:sz="0" w:space="0" w:color="auto"/>
        <w:bottom w:val="none" w:sz="0" w:space="0" w:color="auto"/>
        <w:right w:val="none" w:sz="0" w:space="0" w:color="auto"/>
      </w:divBdr>
    </w:div>
    <w:div w:id="860554764">
      <w:bodyDiv w:val="1"/>
      <w:marLeft w:val="0"/>
      <w:marRight w:val="0"/>
      <w:marTop w:val="0"/>
      <w:marBottom w:val="0"/>
      <w:divBdr>
        <w:top w:val="none" w:sz="0" w:space="0" w:color="auto"/>
        <w:left w:val="none" w:sz="0" w:space="0" w:color="auto"/>
        <w:bottom w:val="none" w:sz="0" w:space="0" w:color="auto"/>
        <w:right w:val="none" w:sz="0" w:space="0" w:color="auto"/>
      </w:divBdr>
    </w:div>
    <w:div w:id="866216474">
      <w:bodyDiv w:val="1"/>
      <w:marLeft w:val="0"/>
      <w:marRight w:val="0"/>
      <w:marTop w:val="0"/>
      <w:marBottom w:val="0"/>
      <w:divBdr>
        <w:top w:val="none" w:sz="0" w:space="0" w:color="auto"/>
        <w:left w:val="none" w:sz="0" w:space="0" w:color="auto"/>
        <w:bottom w:val="none" w:sz="0" w:space="0" w:color="auto"/>
        <w:right w:val="none" w:sz="0" w:space="0" w:color="auto"/>
      </w:divBdr>
    </w:div>
    <w:div w:id="872032502">
      <w:bodyDiv w:val="1"/>
      <w:marLeft w:val="0"/>
      <w:marRight w:val="0"/>
      <w:marTop w:val="0"/>
      <w:marBottom w:val="0"/>
      <w:divBdr>
        <w:top w:val="none" w:sz="0" w:space="0" w:color="auto"/>
        <w:left w:val="none" w:sz="0" w:space="0" w:color="auto"/>
        <w:bottom w:val="none" w:sz="0" w:space="0" w:color="auto"/>
        <w:right w:val="none" w:sz="0" w:space="0" w:color="auto"/>
      </w:divBdr>
    </w:div>
    <w:div w:id="878594307">
      <w:bodyDiv w:val="1"/>
      <w:marLeft w:val="0"/>
      <w:marRight w:val="0"/>
      <w:marTop w:val="0"/>
      <w:marBottom w:val="0"/>
      <w:divBdr>
        <w:top w:val="none" w:sz="0" w:space="0" w:color="auto"/>
        <w:left w:val="none" w:sz="0" w:space="0" w:color="auto"/>
        <w:bottom w:val="none" w:sz="0" w:space="0" w:color="auto"/>
        <w:right w:val="none" w:sz="0" w:space="0" w:color="auto"/>
      </w:divBdr>
    </w:div>
    <w:div w:id="920800271">
      <w:bodyDiv w:val="1"/>
      <w:marLeft w:val="0"/>
      <w:marRight w:val="0"/>
      <w:marTop w:val="0"/>
      <w:marBottom w:val="0"/>
      <w:divBdr>
        <w:top w:val="none" w:sz="0" w:space="0" w:color="auto"/>
        <w:left w:val="none" w:sz="0" w:space="0" w:color="auto"/>
        <w:bottom w:val="none" w:sz="0" w:space="0" w:color="auto"/>
        <w:right w:val="none" w:sz="0" w:space="0" w:color="auto"/>
      </w:divBdr>
    </w:div>
    <w:div w:id="934286155">
      <w:bodyDiv w:val="1"/>
      <w:marLeft w:val="0"/>
      <w:marRight w:val="0"/>
      <w:marTop w:val="0"/>
      <w:marBottom w:val="0"/>
      <w:divBdr>
        <w:top w:val="none" w:sz="0" w:space="0" w:color="auto"/>
        <w:left w:val="none" w:sz="0" w:space="0" w:color="auto"/>
        <w:bottom w:val="none" w:sz="0" w:space="0" w:color="auto"/>
        <w:right w:val="none" w:sz="0" w:space="0" w:color="auto"/>
      </w:divBdr>
    </w:div>
    <w:div w:id="940721734">
      <w:bodyDiv w:val="1"/>
      <w:marLeft w:val="0"/>
      <w:marRight w:val="0"/>
      <w:marTop w:val="0"/>
      <w:marBottom w:val="0"/>
      <w:divBdr>
        <w:top w:val="none" w:sz="0" w:space="0" w:color="auto"/>
        <w:left w:val="none" w:sz="0" w:space="0" w:color="auto"/>
        <w:bottom w:val="none" w:sz="0" w:space="0" w:color="auto"/>
        <w:right w:val="none" w:sz="0" w:space="0" w:color="auto"/>
      </w:divBdr>
    </w:div>
    <w:div w:id="942763171">
      <w:bodyDiv w:val="1"/>
      <w:marLeft w:val="0"/>
      <w:marRight w:val="0"/>
      <w:marTop w:val="0"/>
      <w:marBottom w:val="0"/>
      <w:divBdr>
        <w:top w:val="none" w:sz="0" w:space="0" w:color="auto"/>
        <w:left w:val="none" w:sz="0" w:space="0" w:color="auto"/>
        <w:bottom w:val="none" w:sz="0" w:space="0" w:color="auto"/>
        <w:right w:val="none" w:sz="0" w:space="0" w:color="auto"/>
      </w:divBdr>
    </w:div>
    <w:div w:id="989213099">
      <w:bodyDiv w:val="1"/>
      <w:marLeft w:val="0"/>
      <w:marRight w:val="0"/>
      <w:marTop w:val="0"/>
      <w:marBottom w:val="0"/>
      <w:divBdr>
        <w:top w:val="none" w:sz="0" w:space="0" w:color="auto"/>
        <w:left w:val="none" w:sz="0" w:space="0" w:color="auto"/>
        <w:bottom w:val="none" w:sz="0" w:space="0" w:color="auto"/>
        <w:right w:val="none" w:sz="0" w:space="0" w:color="auto"/>
      </w:divBdr>
    </w:div>
    <w:div w:id="994335906">
      <w:bodyDiv w:val="1"/>
      <w:marLeft w:val="0"/>
      <w:marRight w:val="0"/>
      <w:marTop w:val="0"/>
      <w:marBottom w:val="0"/>
      <w:divBdr>
        <w:top w:val="none" w:sz="0" w:space="0" w:color="auto"/>
        <w:left w:val="none" w:sz="0" w:space="0" w:color="auto"/>
        <w:bottom w:val="none" w:sz="0" w:space="0" w:color="auto"/>
        <w:right w:val="none" w:sz="0" w:space="0" w:color="auto"/>
      </w:divBdr>
    </w:div>
    <w:div w:id="1001087235">
      <w:bodyDiv w:val="1"/>
      <w:marLeft w:val="0"/>
      <w:marRight w:val="0"/>
      <w:marTop w:val="0"/>
      <w:marBottom w:val="0"/>
      <w:divBdr>
        <w:top w:val="none" w:sz="0" w:space="0" w:color="auto"/>
        <w:left w:val="none" w:sz="0" w:space="0" w:color="auto"/>
        <w:bottom w:val="none" w:sz="0" w:space="0" w:color="auto"/>
        <w:right w:val="none" w:sz="0" w:space="0" w:color="auto"/>
      </w:divBdr>
    </w:div>
    <w:div w:id="1014964886">
      <w:bodyDiv w:val="1"/>
      <w:marLeft w:val="0"/>
      <w:marRight w:val="0"/>
      <w:marTop w:val="0"/>
      <w:marBottom w:val="0"/>
      <w:divBdr>
        <w:top w:val="none" w:sz="0" w:space="0" w:color="auto"/>
        <w:left w:val="none" w:sz="0" w:space="0" w:color="auto"/>
        <w:bottom w:val="none" w:sz="0" w:space="0" w:color="auto"/>
        <w:right w:val="none" w:sz="0" w:space="0" w:color="auto"/>
      </w:divBdr>
    </w:div>
    <w:div w:id="1086879811">
      <w:bodyDiv w:val="1"/>
      <w:marLeft w:val="0"/>
      <w:marRight w:val="0"/>
      <w:marTop w:val="0"/>
      <w:marBottom w:val="0"/>
      <w:divBdr>
        <w:top w:val="none" w:sz="0" w:space="0" w:color="auto"/>
        <w:left w:val="none" w:sz="0" w:space="0" w:color="auto"/>
        <w:bottom w:val="none" w:sz="0" w:space="0" w:color="auto"/>
        <w:right w:val="none" w:sz="0" w:space="0" w:color="auto"/>
      </w:divBdr>
    </w:div>
    <w:div w:id="1093668664">
      <w:bodyDiv w:val="1"/>
      <w:marLeft w:val="0"/>
      <w:marRight w:val="0"/>
      <w:marTop w:val="0"/>
      <w:marBottom w:val="0"/>
      <w:divBdr>
        <w:top w:val="none" w:sz="0" w:space="0" w:color="auto"/>
        <w:left w:val="none" w:sz="0" w:space="0" w:color="auto"/>
        <w:bottom w:val="none" w:sz="0" w:space="0" w:color="auto"/>
        <w:right w:val="none" w:sz="0" w:space="0" w:color="auto"/>
      </w:divBdr>
      <w:divsChild>
        <w:div w:id="938679733">
          <w:marLeft w:val="547"/>
          <w:marRight w:val="0"/>
          <w:marTop w:val="106"/>
          <w:marBottom w:val="0"/>
          <w:divBdr>
            <w:top w:val="none" w:sz="0" w:space="0" w:color="auto"/>
            <w:left w:val="none" w:sz="0" w:space="0" w:color="auto"/>
            <w:bottom w:val="none" w:sz="0" w:space="0" w:color="auto"/>
            <w:right w:val="none" w:sz="0" w:space="0" w:color="auto"/>
          </w:divBdr>
        </w:div>
        <w:div w:id="520509835">
          <w:marLeft w:val="547"/>
          <w:marRight w:val="0"/>
          <w:marTop w:val="106"/>
          <w:marBottom w:val="0"/>
          <w:divBdr>
            <w:top w:val="none" w:sz="0" w:space="0" w:color="auto"/>
            <w:left w:val="none" w:sz="0" w:space="0" w:color="auto"/>
            <w:bottom w:val="none" w:sz="0" w:space="0" w:color="auto"/>
            <w:right w:val="none" w:sz="0" w:space="0" w:color="auto"/>
          </w:divBdr>
        </w:div>
      </w:divsChild>
    </w:div>
    <w:div w:id="1102919688">
      <w:bodyDiv w:val="1"/>
      <w:marLeft w:val="0"/>
      <w:marRight w:val="0"/>
      <w:marTop w:val="0"/>
      <w:marBottom w:val="0"/>
      <w:divBdr>
        <w:top w:val="none" w:sz="0" w:space="0" w:color="auto"/>
        <w:left w:val="none" w:sz="0" w:space="0" w:color="auto"/>
        <w:bottom w:val="none" w:sz="0" w:space="0" w:color="auto"/>
        <w:right w:val="none" w:sz="0" w:space="0" w:color="auto"/>
      </w:divBdr>
    </w:div>
    <w:div w:id="1115907127">
      <w:bodyDiv w:val="1"/>
      <w:marLeft w:val="0"/>
      <w:marRight w:val="0"/>
      <w:marTop w:val="0"/>
      <w:marBottom w:val="0"/>
      <w:divBdr>
        <w:top w:val="none" w:sz="0" w:space="0" w:color="auto"/>
        <w:left w:val="none" w:sz="0" w:space="0" w:color="auto"/>
        <w:bottom w:val="none" w:sz="0" w:space="0" w:color="auto"/>
        <w:right w:val="none" w:sz="0" w:space="0" w:color="auto"/>
      </w:divBdr>
    </w:div>
    <w:div w:id="1123767620">
      <w:bodyDiv w:val="1"/>
      <w:marLeft w:val="0"/>
      <w:marRight w:val="0"/>
      <w:marTop w:val="0"/>
      <w:marBottom w:val="0"/>
      <w:divBdr>
        <w:top w:val="none" w:sz="0" w:space="0" w:color="auto"/>
        <w:left w:val="none" w:sz="0" w:space="0" w:color="auto"/>
        <w:bottom w:val="none" w:sz="0" w:space="0" w:color="auto"/>
        <w:right w:val="none" w:sz="0" w:space="0" w:color="auto"/>
      </w:divBdr>
    </w:div>
    <w:div w:id="1169324151">
      <w:bodyDiv w:val="1"/>
      <w:marLeft w:val="0"/>
      <w:marRight w:val="0"/>
      <w:marTop w:val="0"/>
      <w:marBottom w:val="0"/>
      <w:divBdr>
        <w:top w:val="none" w:sz="0" w:space="0" w:color="auto"/>
        <w:left w:val="none" w:sz="0" w:space="0" w:color="auto"/>
        <w:bottom w:val="none" w:sz="0" w:space="0" w:color="auto"/>
        <w:right w:val="none" w:sz="0" w:space="0" w:color="auto"/>
      </w:divBdr>
    </w:div>
    <w:div w:id="1179925462">
      <w:bodyDiv w:val="1"/>
      <w:marLeft w:val="0"/>
      <w:marRight w:val="0"/>
      <w:marTop w:val="0"/>
      <w:marBottom w:val="0"/>
      <w:divBdr>
        <w:top w:val="none" w:sz="0" w:space="0" w:color="auto"/>
        <w:left w:val="none" w:sz="0" w:space="0" w:color="auto"/>
        <w:bottom w:val="none" w:sz="0" w:space="0" w:color="auto"/>
        <w:right w:val="none" w:sz="0" w:space="0" w:color="auto"/>
      </w:divBdr>
    </w:div>
    <w:div w:id="1194466450">
      <w:bodyDiv w:val="1"/>
      <w:marLeft w:val="0"/>
      <w:marRight w:val="0"/>
      <w:marTop w:val="0"/>
      <w:marBottom w:val="0"/>
      <w:divBdr>
        <w:top w:val="none" w:sz="0" w:space="0" w:color="auto"/>
        <w:left w:val="none" w:sz="0" w:space="0" w:color="auto"/>
        <w:bottom w:val="none" w:sz="0" w:space="0" w:color="auto"/>
        <w:right w:val="none" w:sz="0" w:space="0" w:color="auto"/>
      </w:divBdr>
    </w:div>
    <w:div w:id="1246721698">
      <w:bodyDiv w:val="1"/>
      <w:marLeft w:val="0"/>
      <w:marRight w:val="0"/>
      <w:marTop w:val="0"/>
      <w:marBottom w:val="0"/>
      <w:divBdr>
        <w:top w:val="none" w:sz="0" w:space="0" w:color="auto"/>
        <w:left w:val="none" w:sz="0" w:space="0" w:color="auto"/>
        <w:bottom w:val="none" w:sz="0" w:space="0" w:color="auto"/>
        <w:right w:val="none" w:sz="0" w:space="0" w:color="auto"/>
      </w:divBdr>
      <w:divsChild>
        <w:div w:id="1126120381">
          <w:marLeft w:val="0"/>
          <w:marRight w:val="0"/>
          <w:marTop w:val="0"/>
          <w:marBottom w:val="0"/>
          <w:divBdr>
            <w:top w:val="none" w:sz="0" w:space="0" w:color="auto"/>
            <w:left w:val="none" w:sz="0" w:space="0" w:color="auto"/>
            <w:bottom w:val="none" w:sz="0" w:space="0" w:color="auto"/>
            <w:right w:val="none" w:sz="0" w:space="0" w:color="auto"/>
          </w:divBdr>
          <w:divsChild>
            <w:div w:id="1352292837">
              <w:marLeft w:val="0"/>
              <w:marRight w:val="0"/>
              <w:marTop w:val="150"/>
              <w:marBottom w:val="0"/>
              <w:divBdr>
                <w:top w:val="none" w:sz="0" w:space="0" w:color="auto"/>
                <w:left w:val="none" w:sz="0" w:space="0" w:color="auto"/>
                <w:bottom w:val="none" w:sz="0" w:space="0" w:color="auto"/>
                <w:right w:val="none" w:sz="0" w:space="0" w:color="auto"/>
              </w:divBdr>
              <w:divsChild>
                <w:div w:id="1030107645">
                  <w:marLeft w:val="-225"/>
                  <w:marRight w:val="-225"/>
                  <w:marTop w:val="0"/>
                  <w:marBottom w:val="0"/>
                  <w:divBdr>
                    <w:top w:val="none" w:sz="0" w:space="0" w:color="auto"/>
                    <w:left w:val="none" w:sz="0" w:space="0" w:color="auto"/>
                    <w:bottom w:val="none" w:sz="0" w:space="0" w:color="auto"/>
                    <w:right w:val="none" w:sz="0" w:space="0" w:color="auto"/>
                  </w:divBdr>
                  <w:divsChild>
                    <w:div w:id="957299281">
                      <w:marLeft w:val="0"/>
                      <w:marRight w:val="0"/>
                      <w:marTop w:val="0"/>
                      <w:marBottom w:val="0"/>
                      <w:divBdr>
                        <w:top w:val="none" w:sz="0" w:space="0" w:color="auto"/>
                        <w:left w:val="none" w:sz="0" w:space="0" w:color="auto"/>
                        <w:bottom w:val="none" w:sz="0" w:space="0" w:color="auto"/>
                        <w:right w:val="none" w:sz="0" w:space="0" w:color="auto"/>
                      </w:divBdr>
                      <w:divsChild>
                        <w:div w:id="2077897880">
                          <w:marLeft w:val="-225"/>
                          <w:marRight w:val="-225"/>
                          <w:marTop w:val="0"/>
                          <w:marBottom w:val="0"/>
                          <w:divBdr>
                            <w:top w:val="none" w:sz="0" w:space="0" w:color="auto"/>
                            <w:left w:val="none" w:sz="0" w:space="0" w:color="auto"/>
                            <w:bottom w:val="none" w:sz="0" w:space="0" w:color="auto"/>
                            <w:right w:val="none" w:sz="0" w:space="0" w:color="auto"/>
                          </w:divBdr>
                          <w:divsChild>
                            <w:div w:id="1741172806">
                              <w:marLeft w:val="0"/>
                              <w:marRight w:val="0"/>
                              <w:marTop w:val="0"/>
                              <w:marBottom w:val="0"/>
                              <w:divBdr>
                                <w:top w:val="none" w:sz="0" w:space="0" w:color="auto"/>
                                <w:left w:val="none" w:sz="0" w:space="0" w:color="auto"/>
                                <w:bottom w:val="none" w:sz="0" w:space="0" w:color="auto"/>
                                <w:right w:val="none" w:sz="0" w:space="0" w:color="auto"/>
                              </w:divBdr>
                              <w:divsChild>
                                <w:div w:id="1806578611">
                                  <w:marLeft w:val="0"/>
                                  <w:marRight w:val="0"/>
                                  <w:marTop w:val="0"/>
                                  <w:marBottom w:val="0"/>
                                  <w:divBdr>
                                    <w:top w:val="none" w:sz="0" w:space="0" w:color="auto"/>
                                    <w:left w:val="none" w:sz="0" w:space="0" w:color="auto"/>
                                    <w:bottom w:val="none" w:sz="0" w:space="0" w:color="auto"/>
                                    <w:right w:val="none" w:sz="0" w:space="0" w:color="auto"/>
                                  </w:divBdr>
                                  <w:divsChild>
                                    <w:div w:id="969212874">
                                      <w:marLeft w:val="0"/>
                                      <w:marRight w:val="0"/>
                                      <w:marTop w:val="0"/>
                                      <w:marBottom w:val="0"/>
                                      <w:divBdr>
                                        <w:top w:val="none" w:sz="0" w:space="0" w:color="auto"/>
                                        <w:left w:val="none" w:sz="0" w:space="0" w:color="auto"/>
                                        <w:bottom w:val="none" w:sz="0" w:space="0" w:color="auto"/>
                                        <w:right w:val="none" w:sz="0" w:space="0" w:color="auto"/>
                                      </w:divBdr>
                                      <w:divsChild>
                                        <w:div w:id="198323545">
                                          <w:marLeft w:val="0"/>
                                          <w:marRight w:val="0"/>
                                          <w:marTop w:val="0"/>
                                          <w:marBottom w:val="0"/>
                                          <w:divBdr>
                                            <w:top w:val="none" w:sz="0" w:space="0" w:color="auto"/>
                                            <w:left w:val="none" w:sz="0" w:space="0" w:color="auto"/>
                                            <w:bottom w:val="none" w:sz="0" w:space="0" w:color="auto"/>
                                            <w:right w:val="none" w:sz="0" w:space="0" w:color="auto"/>
                                          </w:divBdr>
                                          <w:divsChild>
                                            <w:div w:id="1549101003">
                                              <w:marLeft w:val="0"/>
                                              <w:marRight w:val="0"/>
                                              <w:marTop w:val="0"/>
                                              <w:marBottom w:val="0"/>
                                              <w:divBdr>
                                                <w:top w:val="none" w:sz="0" w:space="0" w:color="auto"/>
                                                <w:left w:val="none" w:sz="0" w:space="0" w:color="auto"/>
                                                <w:bottom w:val="none" w:sz="0" w:space="0" w:color="auto"/>
                                                <w:right w:val="none" w:sz="0" w:space="0" w:color="auto"/>
                                              </w:divBdr>
                                              <w:divsChild>
                                                <w:div w:id="2043240113">
                                                  <w:marLeft w:val="0"/>
                                                  <w:marRight w:val="0"/>
                                                  <w:marTop w:val="0"/>
                                                  <w:marBottom w:val="0"/>
                                                  <w:divBdr>
                                                    <w:top w:val="none" w:sz="0" w:space="0" w:color="auto"/>
                                                    <w:left w:val="none" w:sz="0" w:space="0" w:color="auto"/>
                                                    <w:bottom w:val="none" w:sz="0" w:space="0" w:color="auto"/>
                                                    <w:right w:val="none" w:sz="0" w:space="0" w:color="auto"/>
                                                  </w:divBdr>
                                                  <w:divsChild>
                                                    <w:div w:id="1479611453">
                                                      <w:marLeft w:val="0"/>
                                                      <w:marRight w:val="0"/>
                                                      <w:marTop w:val="0"/>
                                                      <w:marBottom w:val="0"/>
                                                      <w:divBdr>
                                                        <w:top w:val="none" w:sz="0" w:space="0" w:color="auto"/>
                                                        <w:left w:val="none" w:sz="0" w:space="0" w:color="auto"/>
                                                        <w:bottom w:val="none" w:sz="0" w:space="0" w:color="auto"/>
                                                        <w:right w:val="none" w:sz="0" w:space="0" w:color="auto"/>
                                                      </w:divBdr>
                                                      <w:divsChild>
                                                        <w:div w:id="1336226378">
                                                          <w:marLeft w:val="0"/>
                                                          <w:marRight w:val="0"/>
                                                          <w:marTop w:val="0"/>
                                                          <w:marBottom w:val="0"/>
                                                          <w:divBdr>
                                                            <w:top w:val="none" w:sz="0" w:space="0" w:color="auto"/>
                                                            <w:left w:val="none" w:sz="0" w:space="0" w:color="auto"/>
                                                            <w:bottom w:val="none" w:sz="0" w:space="0" w:color="auto"/>
                                                            <w:right w:val="none" w:sz="0" w:space="0" w:color="auto"/>
                                                          </w:divBdr>
                                                          <w:divsChild>
                                                            <w:div w:id="251857689">
                                                              <w:marLeft w:val="0"/>
                                                              <w:marRight w:val="0"/>
                                                              <w:marTop w:val="0"/>
                                                              <w:marBottom w:val="0"/>
                                                              <w:divBdr>
                                                                <w:top w:val="none" w:sz="0" w:space="0" w:color="auto"/>
                                                                <w:left w:val="none" w:sz="0" w:space="0" w:color="auto"/>
                                                                <w:bottom w:val="none" w:sz="0" w:space="0" w:color="auto"/>
                                                                <w:right w:val="none" w:sz="0" w:space="0" w:color="auto"/>
                                                              </w:divBdr>
                                                              <w:divsChild>
                                                                <w:div w:id="1059982741">
                                                                  <w:marLeft w:val="0"/>
                                                                  <w:marRight w:val="0"/>
                                                                  <w:marTop w:val="0"/>
                                                                  <w:marBottom w:val="0"/>
                                                                  <w:divBdr>
                                                                    <w:top w:val="none" w:sz="0" w:space="0" w:color="auto"/>
                                                                    <w:left w:val="none" w:sz="0" w:space="0" w:color="auto"/>
                                                                    <w:bottom w:val="none" w:sz="0" w:space="0" w:color="auto"/>
                                                                    <w:right w:val="none" w:sz="0" w:space="0" w:color="auto"/>
                                                                  </w:divBdr>
                                                                  <w:divsChild>
                                                                    <w:div w:id="1109661726">
                                                                      <w:marLeft w:val="0"/>
                                                                      <w:marRight w:val="0"/>
                                                                      <w:marTop w:val="0"/>
                                                                      <w:marBottom w:val="0"/>
                                                                      <w:divBdr>
                                                                        <w:top w:val="none" w:sz="0" w:space="0" w:color="auto"/>
                                                                        <w:left w:val="none" w:sz="0" w:space="0" w:color="auto"/>
                                                                        <w:bottom w:val="none" w:sz="0" w:space="0" w:color="auto"/>
                                                                        <w:right w:val="none" w:sz="0" w:space="0" w:color="auto"/>
                                                                      </w:divBdr>
                                                                      <w:divsChild>
                                                                        <w:div w:id="2103842422">
                                                                          <w:marLeft w:val="0"/>
                                                                          <w:marRight w:val="0"/>
                                                                          <w:marTop w:val="0"/>
                                                                          <w:marBottom w:val="0"/>
                                                                          <w:divBdr>
                                                                            <w:top w:val="none" w:sz="0" w:space="0" w:color="auto"/>
                                                                            <w:left w:val="none" w:sz="0" w:space="0" w:color="auto"/>
                                                                            <w:bottom w:val="none" w:sz="0" w:space="0" w:color="auto"/>
                                                                            <w:right w:val="none" w:sz="0" w:space="0" w:color="auto"/>
                                                                          </w:divBdr>
                                                                          <w:divsChild>
                                                                            <w:div w:id="932981903">
                                                                              <w:marLeft w:val="0"/>
                                                                              <w:marRight w:val="0"/>
                                                                              <w:marTop w:val="0"/>
                                                                              <w:marBottom w:val="0"/>
                                                                              <w:divBdr>
                                                                                <w:top w:val="none" w:sz="0" w:space="0" w:color="auto"/>
                                                                                <w:left w:val="none" w:sz="0" w:space="0" w:color="auto"/>
                                                                                <w:bottom w:val="none" w:sz="0" w:space="0" w:color="auto"/>
                                                                                <w:right w:val="none" w:sz="0" w:space="0" w:color="auto"/>
                                                                              </w:divBdr>
                                                                              <w:divsChild>
                                                                                <w:div w:id="782917193">
                                                                                  <w:marLeft w:val="0"/>
                                                                                  <w:marRight w:val="0"/>
                                                                                  <w:marTop w:val="0"/>
                                                                                  <w:marBottom w:val="0"/>
                                                                                  <w:divBdr>
                                                                                    <w:top w:val="none" w:sz="0" w:space="0" w:color="auto"/>
                                                                                    <w:left w:val="none" w:sz="0" w:space="0" w:color="auto"/>
                                                                                    <w:bottom w:val="none" w:sz="0" w:space="0" w:color="auto"/>
                                                                                    <w:right w:val="none" w:sz="0" w:space="0" w:color="auto"/>
                                                                                  </w:divBdr>
                                                                                  <w:divsChild>
                                                                                    <w:div w:id="144927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232890">
      <w:bodyDiv w:val="1"/>
      <w:marLeft w:val="0"/>
      <w:marRight w:val="0"/>
      <w:marTop w:val="0"/>
      <w:marBottom w:val="0"/>
      <w:divBdr>
        <w:top w:val="none" w:sz="0" w:space="0" w:color="auto"/>
        <w:left w:val="none" w:sz="0" w:space="0" w:color="auto"/>
        <w:bottom w:val="none" w:sz="0" w:space="0" w:color="auto"/>
        <w:right w:val="none" w:sz="0" w:space="0" w:color="auto"/>
      </w:divBdr>
    </w:div>
    <w:div w:id="1259406917">
      <w:bodyDiv w:val="1"/>
      <w:marLeft w:val="0"/>
      <w:marRight w:val="0"/>
      <w:marTop w:val="0"/>
      <w:marBottom w:val="0"/>
      <w:divBdr>
        <w:top w:val="none" w:sz="0" w:space="0" w:color="auto"/>
        <w:left w:val="none" w:sz="0" w:space="0" w:color="auto"/>
        <w:bottom w:val="none" w:sz="0" w:space="0" w:color="auto"/>
        <w:right w:val="none" w:sz="0" w:space="0" w:color="auto"/>
      </w:divBdr>
    </w:div>
    <w:div w:id="1259483845">
      <w:bodyDiv w:val="1"/>
      <w:marLeft w:val="0"/>
      <w:marRight w:val="0"/>
      <w:marTop w:val="0"/>
      <w:marBottom w:val="0"/>
      <w:divBdr>
        <w:top w:val="none" w:sz="0" w:space="0" w:color="auto"/>
        <w:left w:val="none" w:sz="0" w:space="0" w:color="auto"/>
        <w:bottom w:val="none" w:sz="0" w:space="0" w:color="auto"/>
        <w:right w:val="none" w:sz="0" w:space="0" w:color="auto"/>
      </w:divBdr>
    </w:div>
    <w:div w:id="1261452746">
      <w:bodyDiv w:val="1"/>
      <w:marLeft w:val="0"/>
      <w:marRight w:val="0"/>
      <w:marTop w:val="0"/>
      <w:marBottom w:val="0"/>
      <w:divBdr>
        <w:top w:val="none" w:sz="0" w:space="0" w:color="auto"/>
        <w:left w:val="none" w:sz="0" w:space="0" w:color="auto"/>
        <w:bottom w:val="none" w:sz="0" w:space="0" w:color="auto"/>
        <w:right w:val="none" w:sz="0" w:space="0" w:color="auto"/>
      </w:divBdr>
    </w:div>
    <w:div w:id="1269240913">
      <w:bodyDiv w:val="1"/>
      <w:marLeft w:val="0"/>
      <w:marRight w:val="0"/>
      <w:marTop w:val="0"/>
      <w:marBottom w:val="0"/>
      <w:divBdr>
        <w:top w:val="none" w:sz="0" w:space="0" w:color="auto"/>
        <w:left w:val="none" w:sz="0" w:space="0" w:color="auto"/>
        <w:bottom w:val="none" w:sz="0" w:space="0" w:color="auto"/>
        <w:right w:val="none" w:sz="0" w:space="0" w:color="auto"/>
      </w:divBdr>
    </w:div>
    <w:div w:id="1271742466">
      <w:bodyDiv w:val="1"/>
      <w:marLeft w:val="0"/>
      <w:marRight w:val="0"/>
      <w:marTop w:val="0"/>
      <w:marBottom w:val="0"/>
      <w:divBdr>
        <w:top w:val="none" w:sz="0" w:space="0" w:color="auto"/>
        <w:left w:val="none" w:sz="0" w:space="0" w:color="auto"/>
        <w:bottom w:val="none" w:sz="0" w:space="0" w:color="auto"/>
        <w:right w:val="none" w:sz="0" w:space="0" w:color="auto"/>
      </w:divBdr>
    </w:div>
    <w:div w:id="1287660576">
      <w:bodyDiv w:val="1"/>
      <w:marLeft w:val="0"/>
      <w:marRight w:val="0"/>
      <w:marTop w:val="0"/>
      <w:marBottom w:val="0"/>
      <w:divBdr>
        <w:top w:val="none" w:sz="0" w:space="0" w:color="auto"/>
        <w:left w:val="none" w:sz="0" w:space="0" w:color="auto"/>
        <w:bottom w:val="none" w:sz="0" w:space="0" w:color="auto"/>
        <w:right w:val="none" w:sz="0" w:space="0" w:color="auto"/>
      </w:divBdr>
    </w:div>
    <w:div w:id="1288664444">
      <w:bodyDiv w:val="1"/>
      <w:marLeft w:val="0"/>
      <w:marRight w:val="0"/>
      <w:marTop w:val="0"/>
      <w:marBottom w:val="0"/>
      <w:divBdr>
        <w:top w:val="none" w:sz="0" w:space="0" w:color="auto"/>
        <w:left w:val="none" w:sz="0" w:space="0" w:color="auto"/>
        <w:bottom w:val="none" w:sz="0" w:space="0" w:color="auto"/>
        <w:right w:val="none" w:sz="0" w:space="0" w:color="auto"/>
      </w:divBdr>
    </w:div>
    <w:div w:id="1307510025">
      <w:bodyDiv w:val="1"/>
      <w:marLeft w:val="0"/>
      <w:marRight w:val="0"/>
      <w:marTop w:val="0"/>
      <w:marBottom w:val="0"/>
      <w:divBdr>
        <w:top w:val="none" w:sz="0" w:space="0" w:color="auto"/>
        <w:left w:val="none" w:sz="0" w:space="0" w:color="auto"/>
        <w:bottom w:val="none" w:sz="0" w:space="0" w:color="auto"/>
        <w:right w:val="none" w:sz="0" w:space="0" w:color="auto"/>
      </w:divBdr>
    </w:div>
    <w:div w:id="1316059750">
      <w:bodyDiv w:val="1"/>
      <w:marLeft w:val="0"/>
      <w:marRight w:val="0"/>
      <w:marTop w:val="0"/>
      <w:marBottom w:val="0"/>
      <w:divBdr>
        <w:top w:val="none" w:sz="0" w:space="0" w:color="auto"/>
        <w:left w:val="none" w:sz="0" w:space="0" w:color="auto"/>
        <w:bottom w:val="none" w:sz="0" w:space="0" w:color="auto"/>
        <w:right w:val="none" w:sz="0" w:space="0" w:color="auto"/>
      </w:divBdr>
    </w:div>
    <w:div w:id="1331517735">
      <w:bodyDiv w:val="1"/>
      <w:marLeft w:val="0"/>
      <w:marRight w:val="0"/>
      <w:marTop w:val="0"/>
      <w:marBottom w:val="0"/>
      <w:divBdr>
        <w:top w:val="none" w:sz="0" w:space="0" w:color="auto"/>
        <w:left w:val="none" w:sz="0" w:space="0" w:color="auto"/>
        <w:bottom w:val="none" w:sz="0" w:space="0" w:color="auto"/>
        <w:right w:val="none" w:sz="0" w:space="0" w:color="auto"/>
      </w:divBdr>
    </w:div>
    <w:div w:id="1331760159">
      <w:bodyDiv w:val="1"/>
      <w:marLeft w:val="0"/>
      <w:marRight w:val="0"/>
      <w:marTop w:val="0"/>
      <w:marBottom w:val="0"/>
      <w:divBdr>
        <w:top w:val="none" w:sz="0" w:space="0" w:color="auto"/>
        <w:left w:val="none" w:sz="0" w:space="0" w:color="auto"/>
        <w:bottom w:val="none" w:sz="0" w:space="0" w:color="auto"/>
        <w:right w:val="none" w:sz="0" w:space="0" w:color="auto"/>
      </w:divBdr>
    </w:div>
    <w:div w:id="1339847313">
      <w:bodyDiv w:val="1"/>
      <w:marLeft w:val="0"/>
      <w:marRight w:val="0"/>
      <w:marTop w:val="0"/>
      <w:marBottom w:val="0"/>
      <w:divBdr>
        <w:top w:val="none" w:sz="0" w:space="0" w:color="auto"/>
        <w:left w:val="none" w:sz="0" w:space="0" w:color="auto"/>
        <w:bottom w:val="none" w:sz="0" w:space="0" w:color="auto"/>
        <w:right w:val="none" w:sz="0" w:space="0" w:color="auto"/>
      </w:divBdr>
    </w:div>
    <w:div w:id="1353385050">
      <w:bodyDiv w:val="1"/>
      <w:marLeft w:val="0"/>
      <w:marRight w:val="0"/>
      <w:marTop w:val="0"/>
      <w:marBottom w:val="0"/>
      <w:divBdr>
        <w:top w:val="none" w:sz="0" w:space="0" w:color="auto"/>
        <w:left w:val="none" w:sz="0" w:space="0" w:color="auto"/>
        <w:bottom w:val="none" w:sz="0" w:space="0" w:color="auto"/>
        <w:right w:val="none" w:sz="0" w:space="0" w:color="auto"/>
      </w:divBdr>
    </w:div>
    <w:div w:id="1357466432">
      <w:bodyDiv w:val="1"/>
      <w:marLeft w:val="0"/>
      <w:marRight w:val="0"/>
      <w:marTop w:val="0"/>
      <w:marBottom w:val="0"/>
      <w:divBdr>
        <w:top w:val="none" w:sz="0" w:space="0" w:color="auto"/>
        <w:left w:val="none" w:sz="0" w:space="0" w:color="auto"/>
        <w:bottom w:val="none" w:sz="0" w:space="0" w:color="auto"/>
        <w:right w:val="none" w:sz="0" w:space="0" w:color="auto"/>
      </w:divBdr>
    </w:div>
    <w:div w:id="1357845743">
      <w:bodyDiv w:val="1"/>
      <w:marLeft w:val="0"/>
      <w:marRight w:val="0"/>
      <w:marTop w:val="0"/>
      <w:marBottom w:val="0"/>
      <w:divBdr>
        <w:top w:val="none" w:sz="0" w:space="0" w:color="auto"/>
        <w:left w:val="none" w:sz="0" w:space="0" w:color="auto"/>
        <w:bottom w:val="none" w:sz="0" w:space="0" w:color="auto"/>
        <w:right w:val="none" w:sz="0" w:space="0" w:color="auto"/>
      </w:divBdr>
    </w:div>
    <w:div w:id="1367607827">
      <w:bodyDiv w:val="1"/>
      <w:marLeft w:val="0"/>
      <w:marRight w:val="0"/>
      <w:marTop w:val="0"/>
      <w:marBottom w:val="0"/>
      <w:divBdr>
        <w:top w:val="none" w:sz="0" w:space="0" w:color="auto"/>
        <w:left w:val="none" w:sz="0" w:space="0" w:color="auto"/>
        <w:bottom w:val="none" w:sz="0" w:space="0" w:color="auto"/>
        <w:right w:val="none" w:sz="0" w:space="0" w:color="auto"/>
      </w:divBdr>
    </w:div>
    <w:div w:id="1368288418">
      <w:bodyDiv w:val="1"/>
      <w:marLeft w:val="0"/>
      <w:marRight w:val="0"/>
      <w:marTop w:val="0"/>
      <w:marBottom w:val="0"/>
      <w:divBdr>
        <w:top w:val="none" w:sz="0" w:space="0" w:color="auto"/>
        <w:left w:val="none" w:sz="0" w:space="0" w:color="auto"/>
        <w:bottom w:val="none" w:sz="0" w:space="0" w:color="auto"/>
        <w:right w:val="none" w:sz="0" w:space="0" w:color="auto"/>
      </w:divBdr>
    </w:div>
    <w:div w:id="1376274795">
      <w:bodyDiv w:val="1"/>
      <w:marLeft w:val="0"/>
      <w:marRight w:val="0"/>
      <w:marTop w:val="0"/>
      <w:marBottom w:val="0"/>
      <w:divBdr>
        <w:top w:val="none" w:sz="0" w:space="0" w:color="auto"/>
        <w:left w:val="none" w:sz="0" w:space="0" w:color="auto"/>
        <w:bottom w:val="none" w:sz="0" w:space="0" w:color="auto"/>
        <w:right w:val="none" w:sz="0" w:space="0" w:color="auto"/>
      </w:divBdr>
    </w:div>
    <w:div w:id="1394961087">
      <w:bodyDiv w:val="1"/>
      <w:marLeft w:val="0"/>
      <w:marRight w:val="0"/>
      <w:marTop w:val="0"/>
      <w:marBottom w:val="0"/>
      <w:divBdr>
        <w:top w:val="none" w:sz="0" w:space="0" w:color="auto"/>
        <w:left w:val="none" w:sz="0" w:space="0" w:color="auto"/>
        <w:bottom w:val="none" w:sz="0" w:space="0" w:color="auto"/>
        <w:right w:val="none" w:sz="0" w:space="0" w:color="auto"/>
      </w:divBdr>
    </w:div>
    <w:div w:id="1433624444">
      <w:bodyDiv w:val="1"/>
      <w:marLeft w:val="0"/>
      <w:marRight w:val="0"/>
      <w:marTop w:val="0"/>
      <w:marBottom w:val="0"/>
      <w:divBdr>
        <w:top w:val="none" w:sz="0" w:space="0" w:color="auto"/>
        <w:left w:val="none" w:sz="0" w:space="0" w:color="auto"/>
        <w:bottom w:val="none" w:sz="0" w:space="0" w:color="auto"/>
        <w:right w:val="none" w:sz="0" w:space="0" w:color="auto"/>
      </w:divBdr>
    </w:div>
    <w:div w:id="1454054350">
      <w:bodyDiv w:val="1"/>
      <w:marLeft w:val="0"/>
      <w:marRight w:val="0"/>
      <w:marTop w:val="0"/>
      <w:marBottom w:val="0"/>
      <w:divBdr>
        <w:top w:val="none" w:sz="0" w:space="0" w:color="auto"/>
        <w:left w:val="none" w:sz="0" w:space="0" w:color="auto"/>
        <w:bottom w:val="none" w:sz="0" w:space="0" w:color="auto"/>
        <w:right w:val="none" w:sz="0" w:space="0" w:color="auto"/>
      </w:divBdr>
    </w:div>
    <w:div w:id="1461387732">
      <w:bodyDiv w:val="1"/>
      <w:marLeft w:val="0"/>
      <w:marRight w:val="0"/>
      <w:marTop w:val="0"/>
      <w:marBottom w:val="0"/>
      <w:divBdr>
        <w:top w:val="none" w:sz="0" w:space="0" w:color="auto"/>
        <w:left w:val="none" w:sz="0" w:space="0" w:color="auto"/>
        <w:bottom w:val="none" w:sz="0" w:space="0" w:color="auto"/>
        <w:right w:val="none" w:sz="0" w:space="0" w:color="auto"/>
      </w:divBdr>
      <w:divsChild>
        <w:div w:id="2016683633">
          <w:marLeft w:val="547"/>
          <w:marRight w:val="0"/>
          <w:marTop w:val="106"/>
          <w:marBottom w:val="0"/>
          <w:divBdr>
            <w:top w:val="none" w:sz="0" w:space="0" w:color="auto"/>
            <w:left w:val="none" w:sz="0" w:space="0" w:color="auto"/>
            <w:bottom w:val="none" w:sz="0" w:space="0" w:color="auto"/>
            <w:right w:val="none" w:sz="0" w:space="0" w:color="auto"/>
          </w:divBdr>
        </w:div>
        <w:div w:id="535851522">
          <w:marLeft w:val="547"/>
          <w:marRight w:val="0"/>
          <w:marTop w:val="106"/>
          <w:marBottom w:val="0"/>
          <w:divBdr>
            <w:top w:val="none" w:sz="0" w:space="0" w:color="auto"/>
            <w:left w:val="none" w:sz="0" w:space="0" w:color="auto"/>
            <w:bottom w:val="none" w:sz="0" w:space="0" w:color="auto"/>
            <w:right w:val="none" w:sz="0" w:space="0" w:color="auto"/>
          </w:divBdr>
        </w:div>
      </w:divsChild>
    </w:div>
    <w:div w:id="1469588636">
      <w:bodyDiv w:val="1"/>
      <w:marLeft w:val="0"/>
      <w:marRight w:val="0"/>
      <w:marTop w:val="0"/>
      <w:marBottom w:val="0"/>
      <w:divBdr>
        <w:top w:val="none" w:sz="0" w:space="0" w:color="auto"/>
        <w:left w:val="none" w:sz="0" w:space="0" w:color="auto"/>
        <w:bottom w:val="none" w:sz="0" w:space="0" w:color="auto"/>
        <w:right w:val="none" w:sz="0" w:space="0" w:color="auto"/>
      </w:divBdr>
    </w:div>
    <w:div w:id="1498351389">
      <w:bodyDiv w:val="1"/>
      <w:marLeft w:val="0"/>
      <w:marRight w:val="0"/>
      <w:marTop w:val="0"/>
      <w:marBottom w:val="0"/>
      <w:divBdr>
        <w:top w:val="none" w:sz="0" w:space="0" w:color="auto"/>
        <w:left w:val="none" w:sz="0" w:space="0" w:color="auto"/>
        <w:bottom w:val="none" w:sz="0" w:space="0" w:color="auto"/>
        <w:right w:val="none" w:sz="0" w:space="0" w:color="auto"/>
      </w:divBdr>
    </w:div>
    <w:div w:id="1512136359">
      <w:bodyDiv w:val="1"/>
      <w:marLeft w:val="0"/>
      <w:marRight w:val="0"/>
      <w:marTop w:val="0"/>
      <w:marBottom w:val="0"/>
      <w:divBdr>
        <w:top w:val="none" w:sz="0" w:space="0" w:color="auto"/>
        <w:left w:val="none" w:sz="0" w:space="0" w:color="auto"/>
        <w:bottom w:val="none" w:sz="0" w:space="0" w:color="auto"/>
        <w:right w:val="none" w:sz="0" w:space="0" w:color="auto"/>
      </w:divBdr>
    </w:div>
    <w:div w:id="1520267814">
      <w:bodyDiv w:val="1"/>
      <w:marLeft w:val="0"/>
      <w:marRight w:val="0"/>
      <w:marTop w:val="0"/>
      <w:marBottom w:val="0"/>
      <w:divBdr>
        <w:top w:val="none" w:sz="0" w:space="0" w:color="auto"/>
        <w:left w:val="none" w:sz="0" w:space="0" w:color="auto"/>
        <w:bottom w:val="none" w:sz="0" w:space="0" w:color="auto"/>
        <w:right w:val="none" w:sz="0" w:space="0" w:color="auto"/>
      </w:divBdr>
    </w:div>
    <w:div w:id="1524248579">
      <w:bodyDiv w:val="1"/>
      <w:marLeft w:val="0"/>
      <w:marRight w:val="0"/>
      <w:marTop w:val="0"/>
      <w:marBottom w:val="0"/>
      <w:divBdr>
        <w:top w:val="none" w:sz="0" w:space="0" w:color="auto"/>
        <w:left w:val="none" w:sz="0" w:space="0" w:color="auto"/>
        <w:bottom w:val="none" w:sz="0" w:space="0" w:color="auto"/>
        <w:right w:val="none" w:sz="0" w:space="0" w:color="auto"/>
      </w:divBdr>
      <w:divsChild>
        <w:div w:id="1860852001">
          <w:marLeft w:val="547"/>
          <w:marRight w:val="0"/>
          <w:marTop w:val="106"/>
          <w:marBottom w:val="0"/>
          <w:divBdr>
            <w:top w:val="none" w:sz="0" w:space="0" w:color="auto"/>
            <w:left w:val="none" w:sz="0" w:space="0" w:color="auto"/>
            <w:bottom w:val="none" w:sz="0" w:space="0" w:color="auto"/>
            <w:right w:val="none" w:sz="0" w:space="0" w:color="auto"/>
          </w:divBdr>
        </w:div>
        <w:div w:id="1412854427">
          <w:marLeft w:val="547"/>
          <w:marRight w:val="0"/>
          <w:marTop w:val="106"/>
          <w:marBottom w:val="0"/>
          <w:divBdr>
            <w:top w:val="none" w:sz="0" w:space="0" w:color="auto"/>
            <w:left w:val="none" w:sz="0" w:space="0" w:color="auto"/>
            <w:bottom w:val="none" w:sz="0" w:space="0" w:color="auto"/>
            <w:right w:val="none" w:sz="0" w:space="0" w:color="auto"/>
          </w:divBdr>
        </w:div>
      </w:divsChild>
    </w:div>
    <w:div w:id="1530530401">
      <w:bodyDiv w:val="1"/>
      <w:marLeft w:val="0"/>
      <w:marRight w:val="0"/>
      <w:marTop w:val="0"/>
      <w:marBottom w:val="0"/>
      <w:divBdr>
        <w:top w:val="none" w:sz="0" w:space="0" w:color="auto"/>
        <w:left w:val="none" w:sz="0" w:space="0" w:color="auto"/>
        <w:bottom w:val="none" w:sz="0" w:space="0" w:color="auto"/>
        <w:right w:val="none" w:sz="0" w:space="0" w:color="auto"/>
      </w:divBdr>
    </w:div>
    <w:div w:id="1535926676">
      <w:bodyDiv w:val="1"/>
      <w:marLeft w:val="0"/>
      <w:marRight w:val="0"/>
      <w:marTop w:val="0"/>
      <w:marBottom w:val="0"/>
      <w:divBdr>
        <w:top w:val="none" w:sz="0" w:space="0" w:color="auto"/>
        <w:left w:val="none" w:sz="0" w:space="0" w:color="auto"/>
        <w:bottom w:val="none" w:sz="0" w:space="0" w:color="auto"/>
        <w:right w:val="none" w:sz="0" w:space="0" w:color="auto"/>
      </w:divBdr>
    </w:div>
    <w:div w:id="1548178286">
      <w:bodyDiv w:val="1"/>
      <w:marLeft w:val="0"/>
      <w:marRight w:val="0"/>
      <w:marTop w:val="0"/>
      <w:marBottom w:val="0"/>
      <w:divBdr>
        <w:top w:val="none" w:sz="0" w:space="0" w:color="auto"/>
        <w:left w:val="none" w:sz="0" w:space="0" w:color="auto"/>
        <w:bottom w:val="none" w:sz="0" w:space="0" w:color="auto"/>
        <w:right w:val="none" w:sz="0" w:space="0" w:color="auto"/>
      </w:divBdr>
      <w:divsChild>
        <w:div w:id="626858195">
          <w:marLeft w:val="0"/>
          <w:marRight w:val="0"/>
          <w:marTop w:val="0"/>
          <w:marBottom w:val="0"/>
          <w:divBdr>
            <w:top w:val="none" w:sz="0" w:space="0" w:color="auto"/>
            <w:left w:val="none" w:sz="0" w:space="0" w:color="auto"/>
            <w:bottom w:val="none" w:sz="0" w:space="0" w:color="auto"/>
            <w:right w:val="none" w:sz="0" w:space="0" w:color="auto"/>
          </w:divBdr>
        </w:div>
        <w:div w:id="114519907">
          <w:marLeft w:val="0"/>
          <w:marRight w:val="0"/>
          <w:marTop w:val="0"/>
          <w:marBottom w:val="0"/>
          <w:divBdr>
            <w:top w:val="none" w:sz="0" w:space="0" w:color="auto"/>
            <w:left w:val="none" w:sz="0" w:space="0" w:color="auto"/>
            <w:bottom w:val="none" w:sz="0" w:space="0" w:color="auto"/>
            <w:right w:val="none" w:sz="0" w:space="0" w:color="auto"/>
          </w:divBdr>
        </w:div>
        <w:div w:id="1102459356">
          <w:marLeft w:val="0"/>
          <w:marRight w:val="0"/>
          <w:marTop w:val="0"/>
          <w:marBottom w:val="0"/>
          <w:divBdr>
            <w:top w:val="none" w:sz="0" w:space="0" w:color="auto"/>
            <w:left w:val="none" w:sz="0" w:space="0" w:color="auto"/>
            <w:bottom w:val="none" w:sz="0" w:space="0" w:color="auto"/>
            <w:right w:val="none" w:sz="0" w:space="0" w:color="auto"/>
          </w:divBdr>
        </w:div>
      </w:divsChild>
    </w:div>
    <w:div w:id="1557399060">
      <w:bodyDiv w:val="1"/>
      <w:marLeft w:val="0"/>
      <w:marRight w:val="0"/>
      <w:marTop w:val="0"/>
      <w:marBottom w:val="0"/>
      <w:divBdr>
        <w:top w:val="none" w:sz="0" w:space="0" w:color="auto"/>
        <w:left w:val="none" w:sz="0" w:space="0" w:color="auto"/>
        <w:bottom w:val="none" w:sz="0" w:space="0" w:color="auto"/>
        <w:right w:val="none" w:sz="0" w:space="0" w:color="auto"/>
      </w:divBdr>
    </w:div>
    <w:div w:id="1560285420">
      <w:bodyDiv w:val="1"/>
      <w:marLeft w:val="0"/>
      <w:marRight w:val="0"/>
      <w:marTop w:val="0"/>
      <w:marBottom w:val="0"/>
      <w:divBdr>
        <w:top w:val="none" w:sz="0" w:space="0" w:color="auto"/>
        <w:left w:val="none" w:sz="0" w:space="0" w:color="auto"/>
        <w:bottom w:val="none" w:sz="0" w:space="0" w:color="auto"/>
        <w:right w:val="none" w:sz="0" w:space="0" w:color="auto"/>
      </w:divBdr>
    </w:div>
    <w:div w:id="1575820163">
      <w:bodyDiv w:val="1"/>
      <w:marLeft w:val="0"/>
      <w:marRight w:val="0"/>
      <w:marTop w:val="0"/>
      <w:marBottom w:val="0"/>
      <w:divBdr>
        <w:top w:val="none" w:sz="0" w:space="0" w:color="auto"/>
        <w:left w:val="none" w:sz="0" w:space="0" w:color="auto"/>
        <w:bottom w:val="none" w:sz="0" w:space="0" w:color="auto"/>
        <w:right w:val="none" w:sz="0" w:space="0" w:color="auto"/>
      </w:divBdr>
    </w:div>
    <w:div w:id="1579361862">
      <w:bodyDiv w:val="1"/>
      <w:marLeft w:val="0"/>
      <w:marRight w:val="0"/>
      <w:marTop w:val="0"/>
      <w:marBottom w:val="0"/>
      <w:divBdr>
        <w:top w:val="none" w:sz="0" w:space="0" w:color="auto"/>
        <w:left w:val="none" w:sz="0" w:space="0" w:color="auto"/>
        <w:bottom w:val="none" w:sz="0" w:space="0" w:color="auto"/>
        <w:right w:val="none" w:sz="0" w:space="0" w:color="auto"/>
      </w:divBdr>
    </w:div>
    <w:div w:id="1590918609">
      <w:bodyDiv w:val="1"/>
      <w:marLeft w:val="0"/>
      <w:marRight w:val="0"/>
      <w:marTop w:val="0"/>
      <w:marBottom w:val="0"/>
      <w:divBdr>
        <w:top w:val="none" w:sz="0" w:space="0" w:color="auto"/>
        <w:left w:val="none" w:sz="0" w:space="0" w:color="auto"/>
        <w:bottom w:val="none" w:sz="0" w:space="0" w:color="auto"/>
        <w:right w:val="none" w:sz="0" w:space="0" w:color="auto"/>
      </w:divBdr>
    </w:div>
    <w:div w:id="1591622068">
      <w:bodyDiv w:val="1"/>
      <w:marLeft w:val="0"/>
      <w:marRight w:val="0"/>
      <w:marTop w:val="0"/>
      <w:marBottom w:val="0"/>
      <w:divBdr>
        <w:top w:val="none" w:sz="0" w:space="0" w:color="auto"/>
        <w:left w:val="none" w:sz="0" w:space="0" w:color="auto"/>
        <w:bottom w:val="none" w:sz="0" w:space="0" w:color="auto"/>
        <w:right w:val="none" w:sz="0" w:space="0" w:color="auto"/>
      </w:divBdr>
    </w:div>
    <w:div w:id="1612711689">
      <w:bodyDiv w:val="1"/>
      <w:marLeft w:val="0"/>
      <w:marRight w:val="0"/>
      <w:marTop w:val="0"/>
      <w:marBottom w:val="0"/>
      <w:divBdr>
        <w:top w:val="none" w:sz="0" w:space="0" w:color="auto"/>
        <w:left w:val="none" w:sz="0" w:space="0" w:color="auto"/>
        <w:bottom w:val="none" w:sz="0" w:space="0" w:color="auto"/>
        <w:right w:val="none" w:sz="0" w:space="0" w:color="auto"/>
      </w:divBdr>
    </w:div>
    <w:div w:id="1642535064">
      <w:bodyDiv w:val="1"/>
      <w:marLeft w:val="0"/>
      <w:marRight w:val="0"/>
      <w:marTop w:val="0"/>
      <w:marBottom w:val="0"/>
      <w:divBdr>
        <w:top w:val="none" w:sz="0" w:space="0" w:color="auto"/>
        <w:left w:val="none" w:sz="0" w:space="0" w:color="auto"/>
        <w:bottom w:val="none" w:sz="0" w:space="0" w:color="auto"/>
        <w:right w:val="none" w:sz="0" w:space="0" w:color="auto"/>
      </w:divBdr>
    </w:div>
    <w:div w:id="1655601921">
      <w:bodyDiv w:val="1"/>
      <w:marLeft w:val="0"/>
      <w:marRight w:val="0"/>
      <w:marTop w:val="0"/>
      <w:marBottom w:val="0"/>
      <w:divBdr>
        <w:top w:val="none" w:sz="0" w:space="0" w:color="auto"/>
        <w:left w:val="none" w:sz="0" w:space="0" w:color="auto"/>
        <w:bottom w:val="none" w:sz="0" w:space="0" w:color="auto"/>
        <w:right w:val="none" w:sz="0" w:space="0" w:color="auto"/>
      </w:divBdr>
    </w:div>
    <w:div w:id="1740206544">
      <w:bodyDiv w:val="1"/>
      <w:marLeft w:val="0"/>
      <w:marRight w:val="0"/>
      <w:marTop w:val="0"/>
      <w:marBottom w:val="0"/>
      <w:divBdr>
        <w:top w:val="none" w:sz="0" w:space="0" w:color="auto"/>
        <w:left w:val="none" w:sz="0" w:space="0" w:color="auto"/>
        <w:bottom w:val="none" w:sz="0" w:space="0" w:color="auto"/>
        <w:right w:val="none" w:sz="0" w:space="0" w:color="auto"/>
      </w:divBdr>
    </w:div>
    <w:div w:id="1753088075">
      <w:bodyDiv w:val="1"/>
      <w:marLeft w:val="0"/>
      <w:marRight w:val="0"/>
      <w:marTop w:val="0"/>
      <w:marBottom w:val="0"/>
      <w:divBdr>
        <w:top w:val="none" w:sz="0" w:space="0" w:color="auto"/>
        <w:left w:val="none" w:sz="0" w:space="0" w:color="auto"/>
        <w:bottom w:val="none" w:sz="0" w:space="0" w:color="auto"/>
        <w:right w:val="none" w:sz="0" w:space="0" w:color="auto"/>
      </w:divBdr>
    </w:div>
    <w:div w:id="1768190773">
      <w:bodyDiv w:val="1"/>
      <w:marLeft w:val="0"/>
      <w:marRight w:val="0"/>
      <w:marTop w:val="0"/>
      <w:marBottom w:val="0"/>
      <w:divBdr>
        <w:top w:val="none" w:sz="0" w:space="0" w:color="auto"/>
        <w:left w:val="none" w:sz="0" w:space="0" w:color="auto"/>
        <w:bottom w:val="none" w:sz="0" w:space="0" w:color="auto"/>
        <w:right w:val="none" w:sz="0" w:space="0" w:color="auto"/>
      </w:divBdr>
    </w:div>
    <w:div w:id="1768427568">
      <w:bodyDiv w:val="1"/>
      <w:marLeft w:val="0"/>
      <w:marRight w:val="0"/>
      <w:marTop w:val="0"/>
      <w:marBottom w:val="0"/>
      <w:divBdr>
        <w:top w:val="none" w:sz="0" w:space="0" w:color="auto"/>
        <w:left w:val="none" w:sz="0" w:space="0" w:color="auto"/>
        <w:bottom w:val="none" w:sz="0" w:space="0" w:color="auto"/>
        <w:right w:val="none" w:sz="0" w:space="0" w:color="auto"/>
      </w:divBdr>
    </w:div>
    <w:div w:id="1770465118">
      <w:bodyDiv w:val="1"/>
      <w:marLeft w:val="0"/>
      <w:marRight w:val="0"/>
      <w:marTop w:val="0"/>
      <w:marBottom w:val="0"/>
      <w:divBdr>
        <w:top w:val="none" w:sz="0" w:space="0" w:color="auto"/>
        <w:left w:val="none" w:sz="0" w:space="0" w:color="auto"/>
        <w:bottom w:val="none" w:sz="0" w:space="0" w:color="auto"/>
        <w:right w:val="none" w:sz="0" w:space="0" w:color="auto"/>
      </w:divBdr>
    </w:div>
    <w:div w:id="1804496828">
      <w:bodyDiv w:val="1"/>
      <w:marLeft w:val="0"/>
      <w:marRight w:val="0"/>
      <w:marTop w:val="0"/>
      <w:marBottom w:val="0"/>
      <w:divBdr>
        <w:top w:val="none" w:sz="0" w:space="0" w:color="auto"/>
        <w:left w:val="none" w:sz="0" w:space="0" w:color="auto"/>
        <w:bottom w:val="none" w:sz="0" w:space="0" w:color="auto"/>
        <w:right w:val="none" w:sz="0" w:space="0" w:color="auto"/>
      </w:divBdr>
    </w:div>
    <w:div w:id="1819419889">
      <w:bodyDiv w:val="1"/>
      <w:marLeft w:val="0"/>
      <w:marRight w:val="0"/>
      <w:marTop w:val="0"/>
      <w:marBottom w:val="0"/>
      <w:divBdr>
        <w:top w:val="none" w:sz="0" w:space="0" w:color="auto"/>
        <w:left w:val="none" w:sz="0" w:space="0" w:color="auto"/>
        <w:bottom w:val="none" w:sz="0" w:space="0" w:color="auto"/>
        <w:right w:val="none" w:sz="0" w:space="0" w:color="auto"/>
      </w:divBdr>
    </w:div>
    <w:div w:id="1819492551">
      <w:bodyDiv w:val="1"/>
      <w:marLeft w:val="0"/>
      <w:marRight w:val="0"/>
      <w:marTop w:val="0"/>
      <w:marBottom w:val="0"/>
      <w:divBdr>
        <w:top w:val="none" w:sz="0" w:space="0" w:color="auto"/>
        <w:left w:val="none" w:sz="0" w:space="0" w:color="auto"/>
        <w:bottom w:val="none" w:sz="0" w:space="0" w:color="auto"/>
        <w:right w:val="none" w:sz="0" w:space="0" w:color="auto"/>
      </w:divBdr>
    </w:div>
    <w:div w:id="1828278397">
      <w:bodyDiv w:val="1"/>
      <w:marLeft w:val="0"/>
      <w:marRight w:val="0"/>
      <w:marTop w:val="0"/>
      <w:marBottom w:val="0"/>
      <w:divBdr>
        <w:top w:val="none" w:sz="0" w:space="0" w:color="auto"/>
        <w:left w:val="none" w:sz="0" w:space="0" w:color="auto"/>
        <w:bottom w:val="none" w:sz="0" w:space="0" w:color="auto"/>
        <w:right w:val="none" w:sz="0" w:space="0" w:color="auto"/>
      </w:divBdr>
    </w:div>
    <w:div w:id="1865626959">
      <w:bodyDiv w:val="1"/>
      <w:marLeft w:val="0"/>
      <w:marRight w:val="0"/>
      <w:marTop w:val="0"/>
      <w:marBottom w:val="0"/>
      <w:divBdr>
        <w:top w:val="none" w:sz="0" w:space="0" w:color="auto"/>
        <w:left w:val="none" w:sz="0" w:space="0" w:color="auto"/>
        <w:bottom w:val="none" w:sz="0" w:space="0" w:color="auto"/>
        <w:right w:val="none" w:sz="0" w:space="0" w:color="auto"/>
      </w:divBdr>
    </w:div>
    <w:div w:id="1877430017">
      <w:bodyDiv w:val="1"/>
      <w:marLeft w:val="0"/>
      <w:marRight w:val="0"/>
      <w:marTop w:val="0"/>
      <w:marBottom w:val="0"/>
      <w:divBdr>
        <w:top w:val="none" w:sz="0" w:space="0" w:color="auto"/>
        <w:left w:val="none" w:sz="0" w:space="0" w:color="auto"/>
        <w:bottom w:val="none" w:sz="0" w:space="0" w:color="auto"/>
        <w:right w:val="none" w:sz="0" w:space="0" w:color="auto"/>
      </w:divBdr>
    </w:div>
    <w:div w:id="1881165698">
      <w:bodyDiv w:val="1"/>
      <w:marLeft w:val="0"/>
      <w:marRight w:val="0"/>
      <w:marTop w:val="0"/>
      <w:marBottom w:val="0"/>
      <w:divBdr>
        <w:top w:val="none" w:sz="0" w:space="0" w:color="auto"/>
        <w:left w:val="none" w:sz="0" w:space="0" w:color="auto"/>
        <w:bottom w:val="none" w:sz="0" w:space="0" w:color="auto"/>
        <w:right w:val="none" w:sz="0" w:space="0" w:color="auto"/>
      </w:divBdr>
    </w:div>
    <w:div w:id="1894415873">
      <w:bodyDiv w:val="1"/>
      <w:marLeft w:val="0"/>
      <w:marRight w:val="0"/>
      <w:marTop w:val="0"/>
      <w:marBottom w:val="0"/>
      <w:divBdr>
        <w:top w:val="none" w:sz="0" w:space="0" w:color="auto"/>
        <w:left w:val="none" w:sz="0" w:space="0" w:color="auto"/>
        <w:bottom w:val="none" w:sz="0" w:space="0" w:color="auto"/>
        <w:right w:val="none" w:sz="0" w:space="0" w:color="auto"/>
      </w:divBdr>
    </w:div>
    <w:div w:id="1899777906">
      <w:bodyDiv w:val="1"/>
      <w:marLeft w:val="0"/>
      <w:marRight w:val="0"/>
      <w:marTop w:val="0"/>
      <w:marBottom w:val="0"/>
      <w:divBdr>
        <w:top w:val="none" w:sz="0" w:space="0" w:color="auto"/>
        <w:left w:val="none" w:sz="0" w:space="0" w:color="auto"/>
        <w:bottom w:val="none" w:sz="0" w:space="0" w:color="auto"/>
        <w:right w:val="none" w:sz="0" w:space="0" w:color="auto"/>
      </w:divBdr>
    </w:div>
    <w:div w:id="1907832670">
      <w:bodyDiv w:val="1"/>
      <w:marLeft w:val="0"/>
      <w:marRight w:val="0"/>
      <w:marTop w:val="0"/>
      <w:marBottom w:val="0"/>
      <w:divBdr>
        <w:top w:val="none" w:sz="0" w:space="0" w:color="auto"/>
        <w:left w:val="none" w:sz="0" w:space="0" w:color="auto"/>
        <w:bottom w:val="none" w:sz="0" w:space="0" w:color="auto"/>
        <w:right w:val="none" w:sz="0" w:space="0" w:color="auto"/>
      </w:divBdr>
    </w:div>
    <w:div w:id="1935749120">
      <w:bodyDiv w:val="1"/>
      <w:marLeft w:val="0"/>
      <w:marRight w:val="0"/>
      <w:marTop w:val="0"/>
      <w:marBottom w:val="0"/>
      <w:divBdr>
        <w:top w:val="none" w:sz="0" w:space="0" w:color="auto"/>
        <w:left w:val="none" w:sz="0" w:space="0" w:color="auto"/>
        <w:bottom w:val="none" w:sz="0" w:space="0" w:color="auto"/>
        <w:right w:val="none" w:sz="0" w:space="0" w:color="auto"/>
      </w:divBdr>
    </w:div>
    <w:div w:id="1967275778">
      <w:bodyDiv w:val="1"/>
      <w:marLeft w:val="0"/>
      <w:marRight w:val="0"/>
      <w:marTop w:val="0"/>
      <w:marBottom w:val="0"/>
      <w:divBdr>
        <w:top w:val="none" w:sz="0" w:space="0" w:color="auto"/>
        <w:left w:val="none" w:sz="0" w:space="0" w:color="auto"/>
        <w:bottom w:val="none" w:sz="0" w:space="0" w:color="auto"/>
        <w:right w:val="none" w:sz="0" w:space="0" w:color="auto"/>
      </w:divBdr>
    </w:div>
    <w:div w:id="1977711707">
      <w:bodyDiv w:val="1"/>
      <w:marLeft w:val="0"/>
      <w:marRight w:val="0"/>
      <w:marTop w:val="0"/>
      <w:marBottom w:val="0"/>
      <w:divBdr>
        <w:top w:val="none" w:sz="0" w:space="0" w:color="auto"/>
        <w:left w:val="none" w:sz="0" w:space="0" w:color="auto"/>
        <w:bottom w:val="none" w:sz="0" w:space="0" w:color="auto"/>
        <w:right w:val="none" w:sz="0" w:space="0" w:color="auto"/>
      </w:divBdr>
    </w:div>
    <w:div w:id="1984845510">
      <w:bodyDiv w:val="1"/>
      <w:marLeft w:val="0"/>
      <w:marRight w:val="0"/>
      <w:marTop w:val="0"/>
      <w:marBottom w:val="0"/>
      <w:divBdr>
        <w:top w:val="none" w:sz="0" w:space="0" w:color="auto"/>
        <w:left w:val="none" w:sz="0" w:space="0" w:color="auto"/>
        <w:bottom w:val="none" w:sz="0" w:space="0" w:color="auto"/>
        <w:right w:val="none" w:sz="0" w:space="0" w:color="auto"/>
      </w:divBdr>
    </w:div>
    <w:div w:id="1997345448">
      <w:bodyDiv w:val="1"/>
      <w:marLeft w:val="0"/>
      <w:marRight w:val="0"/>
      <w:marTop w:val="0"/>
      <w:marBottom w:val="0"/>
      <w:divBdr>
        <w:top w:val="none" w:sz="0" w:space="0" w:color="auto"/>
        <w:left w:val="none" w:sz="0" w:space="0" w:color="auto"/>
        <w:bottom w:val="none" w:sz="0" w:space="0" w:color="auto"/>
        <w:right w:val="none" w:sz="0" w:space="0" w:color="auto"/>
      </w:divBdr>
    </w:div>
    <w:div w:id="2003073205">
      <w:bodyDiv w:val="1"/>
      <w:marLeft w:val="0"/>
      <w:marRight w:val="0"/>
      <w:marTop w:val="0"/>
      <w:marBottom w:val="0"/>
      <w:divBdr>
        <w:top w:val="none" w:sz="0" w:space="0" w:color="auto"/>
        <w:left w:val="none" w:sz="0" w:space="0" w:color="auto"/>
        <w:bottom w:val="none" w:sz="0" w:space="0" w:color="auto"/>
        <w:right w:val="none" w:sz="0" w:space="0" w:color="auto"/>
      </w:divBdr>
    </w:div>
    <w:div w:id="2027906852">
      <w:bodyDiv w:val="1"/>
      <w:marLeft w:val="0"/>
      <w:marRight w:val="0"/>
      <w:marTop w:val="0"/>
      <w:marBottom w:val="0"/>
      <w:divBdr>
        <w:top w:val="none" w:sz="0" w:space="0" w:color="auto"/>
        <w:left w:val="none" w:sz="0" w:space="0" w:color="auto"/>
        <w:bottom w:val="none" w:sz="0" w:space="0" w:color="auto"/>
        <w:right w:val="none" w:sz="0" w:space="0" w:color="auto"/>
      </w:divBdr>
    </w:div>
    <w:div w:id="2029410748">
      <w:bodyDiv w:val="1"/>
      <w:marLeft w:val="0"/>
      <w:marRight w:val="0"/>
      <w:marTop w:val="0"/>
      <w:marBottom w:val="0"/>
      <w:divBdr>
        <w:top w:val="none" w:sz="0" w:space="0" w:color="auto"/>
        <w:left w:val="none" w:sz="0" w:space="0" w:color="auto"/>
        <w:bottom w:val="none" w:sz="0" w:space="0" w:color="auto"/>
        <w:right w:val="none" w:sz="0" w:space="0" w:color="auto"/>
      </w:divBdr>
    </w:div>
    <w:div w:id="2041128785">
      <w:bodyDiv w:val="1"/>
      <w:marLeft w:val="0"/>
      <w:marRight w:val="0"/>
      <w:marTop w:val="0"/>
      <w:marBottom w:val="0"/>
      <w:divBdr>
        <w:top w:val="none" w:sz="0" w:space="0" w:color="auto"/>
        <w:left w:val="none" w:sz="0" w:space="0" w:color="auto"/>
        <w:bottom w:val="none" w:sz="0" w:space="0" w:color="auto"/>
        <w:right w:val="none" w:sz="0" w:space="0" w:color="auto"/>
      </w:divBdr>
    </w:div>
    <w:div w:id="2057387678">
      <w:bodyDiv w:val="1"/>
      <w:marLeft w:val="0"/>
      <w:marRight w:val="0"/>
      <w:marTop w:val="0"/>
      <w:marBottom w:val="0"/>
      <w:divBdr>
        <w:top w:val="none" w:sz="0" w:space="0" w:color="auto"/>
        <w:left w:val="none" w:sz="0" w:space="0" w:color="auto"/>
        <w:bottom w:val="none" w:sz="0" w:space="0" w:color="auto"/>
        <w:right w:val="none" w:sz="0" w:space="0" w:color="auto"/>
      </w:divBdr>
    </w:div>
    <w:div w:id="2058435391">
      <w:bodyDiv w:val="1"/>
      <w:marLeft w:val="0"/>
      <w:marRight w:val="0"/>
      <w:marTop w:val="0"/>
      <w:marBottom w:val="0"/>
      <w:divBdr>
        <w:top w:val="none" w:sz="0" w:space="0" w:color="auto"/>
        <w:left w:val="none" w:sz="0" w:space="0" w:color="auto"/>
        <w:bottom w:val="none" w:sz="0" w:space="0" w:color="auto"/>
        <w:right w:val="none" w:sz="0" w:space="0" w:color="auto"/>
      </w:divBdr>
    </w:div>
    <w:div w:id="2059282736">
      <w:bodyDiv w:val="1"/>
      <w:marLeft w:val="0"/>
      <w:marRight w:val="0"/>
      <w:marTop w:val="0"/>
      <w:marBottom w:val="0"/>
      <w:divBdr>
        <w:top w:val="none" w:sz="0" w:space="0" w:color="auto"/>
        <w:left w:val="none" w:sz="0" w:space="0" w:color="auto"/>
        <w:bottom w:val="none" w:sz="0" w:space="0" w:color="auto"/>
        <w:right w:val="none" w:sz="0" w:space="0" w:color="auto"/>
      </w:divBdr>
    </w:div>
    <w:div w:id="2074961612">
      <w:bodyDiv w:val="1"/>
      <w:marLeft w:val="0"/>
      <w:marRight w:val="0"/>
      <w:marTop w:val="0"/>
      <w:marBottom w:val="0"/>
      <w:divBdr>
        <w:top w:val="none" w:sz="0" w:space="0" w:color="auto"/>
        <w:left w:val="none" w:sz="0" w:space="0" w:color="auto"/>
        <w:bottom w:val="none" w:sz="0" w:space="0" w:color="auto"/>
        <w:right w:val="none" w:sz="0" w:space="0" w:color="auto"/>
      </w:divBdr>
    </w:div>
    <w:div w:id="213517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2.em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9.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taxation_customs/general-information-customs/electronic-customs_en" TargetMode="External"/><Relationship Id="rId7" Type="http://schemas.openxmlformats.org/officeDocument/2006/relationships/hyperlink" Target="https://eur-lex.europa.eu/legal-content/FI/TXT/?uri=CELEX:52020DC0342&amp;qid=1615482379773" TargetMode="External"/><Relationship Id="rId2" Type="http://schemas.openxmlformats.org/officeDocument/2006/relationships/hyperlink" Target="https://eur-lex.europa.eu/legal-content/FI/TXT/?uri=CELEX:52020DC0342&amp;qid=1615482379773" TargetMode="External"/><Relationship Id="rId1" Type="http://schemas.openxmlformats.org/officeDocument/2006/relationships/hyperlink" Target="https://ec.europa.eu/taxation_customs/general-information-customs/electronic-customs/eu-single-window-environment-for-customs_en" TargetMode="External"/><Relationship Id="rId6" Type="http://schemas.openxmlformats.org/officeDocument/2006/relationships/hyperlink" Target="https://ec.europa.eu/taxation_customs/sites/taxation/files/2019_masp_annex5_en.pdf" TargetMode="External"/><Relationship Id="rId5" Type="http://schemas.openxmlformats.org/officeDocument/2006/relationships/hyperlink" Target="https://ec.europa.eu/taxation_customs/sites/taxation/files/2019_masp_annex4_en.pdf" TargetMode="External"/><Relationship Id="rId4" Type="http://schemas.openxmlformats.org/officeDocument/2006/relationships/hyperlink" Target="https://ec.europa.eu/taxation_customs/sites/taxation/files/2019_masp_annex3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Status xmlns="ee61229a-0255-4ac7-abd5-704bb744f295">Draft</EC_Collab_Status>
    <EC_Collab_Reference xmlns="ee61229a-0255-4ac7-abd5-704bb744f295" xsi:nil="true"/>
    <EC_Collab_DocumentLanguage xmlns="ee61229a-0255-4ac7-abd5-704bb744f295">EN</EC_Collab_DocumentLanguag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1ADDC396B85D904E92F5615562E9313A" ma:contentTypeVersion="1" ma:contentTypeDescription="Create a new document in this library." ma:contentTypeScope="" ma:versionID="41610979dae67ca59bc7b3201bdf4b2f">
  <xsd:schema xmlns:xsd="http://www.w3.org/2001/XMLSchema" xmlns:xs="http://www.w3.org/2001/XMLSchema" xmlns:p="http://schemas.microsoft.com/office/2006/metadata/properties" xmlns:ns3="ee61229a-0255-4ac7-abd5-704bb744f295" targetNamespace="http://schemas.microsoft.com/office/2006/metadata/properties" ma:root="true" ma:fieldsID="feb4c37c898c22219bb8e4773d7682d8" ns3:_="">
    <xsd:import namespace="ee61229a-0255-4ac7-abd5-704bb744f295"/>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1229a-0255-4ac7-abd5-704bb744f29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83596-A31E-4AD8-8B22-E48CB2EE9970}">
  <ds:schemaRefs>
    <ds:schemaRef ds:uri="http://schemas.microsoft.com/sharepoint/v3/contenttype/forms"/>
  </ds:schemaRefs>
</ds:datastoreItem>
</file>

<file path=customXml/itemProps2.xml><?xml version="1.0" encoding="utf-8"?>
<ds:datastoreItem xmlns:ds="http://schemas.openxmlformats.org/officeDocument/2006/customXml" ds:itemID="{39012EC0-A174-4988-8D5D-D2DDED938424}">
  <ds:schemaRefs>
    <ds:schemaRef ds:uri="http://purl.org/dc/terms/"/>
    <ds:schemaRef ds:uri="http://purl.org/dc/dcmitype/"/>
    <ds:schemaRef ds:uri="http://purl.org/dc/elements/1.1/"/>
    <ds:schemaRef ds:uri="ee61229a-0255-4ac7-abd5-704bb744f295"/>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791DE046-9DBF-450B-8C59-1BE6D1810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1229a-0255-4ac7-abd5-704bb744f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C9D28F-BFD1-4C6A-A7DE-6CDCB231D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2868</Words>
  <Characters>25528</Characters>
  <Application>Microsoft Office Word</Application>
  <DocSecurity>0</DocSecurity>
  <Lines>543</Lines>
  <Paragraphs>246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31</cp:revision>
  <cp:lastPrinted>2019-10-30T13:41:00Z</cp:lastPrinted>
  <dcterms:created xsi:type="dcterms:W3CDTF">2021-06-29T07:07:00Z</dcterms:created>
  <dcterms:modified xsi:type="dcterms:W3CDTF">2021-07-08T08:34:00Z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fRFilename">
    <vt:lpwstr>QA4-SfR-DLV-9.9.1.30-04-UCC WP Annual Progress Report 2019 v0.10.docx</vt:lpwstr>
  </property>
  <property fmtid="{D5CDD505-2E9C-101B-9397-08002B2CF9AE}" pid="3" name="QCNumber">
    <vt:lpwstr>QA4-QA4 SC03 RfA30-DLV-9.9.1.30-04_0002</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y fmtid="{D5CDD505-2E9C-101B-9397-08002B2CF9AE}" pid="8" name="CPTemplateID">
    <vt:lpwstr>CP-006</vt:lpwstr>
  </property>
  <property fmtid="{D5CDD505-2E9C-101B-9397-08002B2CF9AE}" pid="9" name="Last edited using">
    <vt:lpwstr>LW 7.0.1, Build 20200226</vt:lpwstr>
  </property>
  <property fmtid="{D5CDD505-2E9C-101B-9397-08002B2CF9AE}" pid="10" name="Created using">
    <vt:lpwstr>LW 7.0, Build 20190717</vt:lpwstr>
  </property>
  <property fmtid="{D5CDD505-2E9C-101B-9397-08002B2CF9AE}" pid="11" name="_DocHome">
    <vt:i4>1059251394</vt:i4>
  </property>
  <property fmtid="{D5CDD505-2E9C-101B-9397-08002B2CF9AE}" pid="12" name="_LW_INVALIDATED__LW_INVALIDATED__LW_INVALIDATED__LW_INVALIDATED__LW_INVALIDATED__LW_INVALIDATED__LW_INVALIDATED_ContentTypeId">
    <vt:lpwstr>0x010100258AA79CEB83498886A3A08681123250001ADDC396B85D904E92F5615562E9313A</vt:lpwstr>
  </property>
  <property name="OP_sanitized" fmtid="{D5CDD505-2E9C-101B-9397-08002B2CF9AE}" pid="13">
    <vt:lpwstr>True</vt:lpwstr>
  </property>
</Properties>
</file>