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A0F3A7B-73A7-4B93-B74E-C7D38A5EB918" style="width:450.5pt;height:307.5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before="360" w:after="240" w:line="240" w:lineRule="auto"/>
        <w:jc w:val="center"/>
        <w:rPr>
          <w:rFonts w:ascii="Times New Roman" w:eastAsia="Calibri" w:hAnsi="Times New Roman" w:cs="Times New Roman"/>
          <w:b/>
          <w:noProof/>
          <w:sz w:val="24"/>
          <w:szCs w:val="24"/>
        </w:rPr>
      </w:pPr>
      <w:bookmarkStart w:id="1" w:name="_GoBack"/>
      <w:bookmarkEnd w:id="1"/>
      <w:r>
        <w:rPr>
          <w:rFonts w:ascii="Times New Roman" w:hAnsi="Times New Roman"/>
          <w:b/>
          <w:noProof/>
          <w:sz w:val="24"/>
          <w:szCs w:val="24"/>
        </w:rPr>
        <w:lastRenderedPageBreak/>
        <w:t>KOMISSION KERTOMUS EUROOPAN PARLAMENTILLE JA NEUVOSTOLLE</w:t>
      </w:r>
    </w:p>
    <w:p>
      <w:pPr>
        <w:spacing w:after="0" w:line="240" w:lineRule="auto"/>
        <w:jc w:val="center"/>
        <w:rPr>
          <w:rFonts w:ascii="Times New Roman" w:hAnsi="Times New Roman" w:cs="Times New Roman"/>
          <w:b/>
          <w:bCs/>
          <w:noProof/>
          <w:sz w:val="24"/>
          <w:szCs w:val="24"/>
        </w:rPr>
      </w:pPr>
      <w:r>
        <w:rPr>
          <w:rFonts w:ascii="Times New Roman" w:hAnsi="Times New Roman"/>
          <w:b/>
          <w:bCs/>
          <w:noProof/>
          <w:sz w:val="24"/>
          <w:szCs w:val="24"/>
        </w:rPr>
        <w:t>rautatieliikenteen tilastoista annetulla asetuksella (EU) 2018/643 komissiolle siirretyn delegoitujen säädösten antamisvallan käyttämisestä</w:t>
      </w:r>
    </w:p>
    <w:p>
      <w:pPr>
        <w:spacing w:after="0" w:line="240" w:lineRule="auto"/>
        <w:jc w:val="center"/>
        <w:rPr>
          <w:rFonts w:ascii="Times New Roman" w:hAnsi="Times New Roman" w:cs="Times New Roman"/>
          <w:b/>
          <w:bCs/>
          <w:noProof/>
          <w:sz w:val="24"/>
          <w:szCs w:val="24"/>
        </w:rPr>
      </w:pPr>
    </w:p>
    <w:p>
      <w:pPr>
        <w:numPr>
          <w:ilvl w:val="0"/>
          <w:numId w:val="2"/>
        </w:numPr>
        <w:spacing w:before="480" w:after="240" w:line="240" w:lineRule="auto"/>
        <w:ind w:left="680" w:hanging="680"/>
        <w:jc w:val="both"/>
        <w:rPr>
          <w:rFonts w:ascii="Times New Roman" w:eastAsia="Calibri" w:hAnsi="Times New Roman" w:cs="Times New Roman"/>
          <w:b/>
          <w:smallCaps/>
          <w:noProof/>
          <w:sz w:val="24"/>
          <w:szCs w:val="24"/>
        </w:rPr>
      </w:pPr>
      <w:r>
        <w:rPr>
          <w:rFonts w:ascii="Times New Roman" w:hAnsi="Times New Roman"/>
          <w:b/>
          <w:smallCaps/>
          <w:noProof/>
          <w:sz w:val="24"/>
          <w:szCs w:val="24"/>
        </w:rPr>
        <w:t>J</w:t>
      </w:r>
      <w:r>
        <w:rPr>
          <w:rFonts w:ascii="Times New Roman" w:hAnsi="Times New Roman"/>
          <w:b/>
          <w:caps/>
          <w:noProof/>
          <w:sz w:val="24"/>
          <w:szCs w:val="24"/>
        </w:rPr>
        <w:t>ohdanto</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Euroopan parlamentin ja neuvoston asetuksen (EU) 2018/643</w:t>
      </w:r>
      <w:r>
        <w:rPr>
          <w:rStyle w:val="FootnoteReference"/>
          <w:rFonts w:ascii="Times New Roman" w:eastAsia="Calibri" w:hAnsi="Times New Roman" w:cs="Times New Roman"/>
          <w:noProof/>
          <w:sz w:val="24"/>
          <w:szCs w:val="24"/>
          <w:lang w:eastAsia="en-US"/>
        </w:rPr>
        <w:footnoteReference w:id="1"/>
      </w:r>
      <w:r>
        <w:rPr>
          <w:rFonts w:ascii="Times New Roman" w:hAnsi="Times New Roman"/>
          <w:noProof/>
          <w:sz w:val="24"/>
          <w:szCs w:val="24"/>
        </w:rPr>
        <w:t xml:space="preserve"> 3 artiklan 2 kohdassa siirretään komissiolle valta antaa delegoituja säädöksiä kyseisen asetuksen 10 artiklan mukaisesti. Komissio voi käyttää tätä valtaansa uuden kehityksen huomioon ottamiseksi ja samalla varmistaa tilastojen yhdenmukaisuuden määrittelemällä tiettyjä teknisiä yksityiskohtia. Komissio voi siis antaa delegoituja säädöksiä, joilla</w:t>
      </w:r>
    </w:p>
    <w:p>
      <w:pPr>
        <w:pStyle w:val="ListParagraph"/>
        <w:numPr>
          <w:ilvl w:val="0"/>
          <w:numId w:val="7"/>
        </w:numPr>
        <w:spacing w:after="0" w:line="276" w:lineRule="auto"/>
        <w:ind w:left="709" w:hanging="283"/>
        <w:contextualSpacing w:val="0"/>
        <w:jc w:val="both"/>
        <w:rPr>
          <w:rFonts w:ascii="Times New Roman" w:eastAsia="Calibri" w:hAnsi="Times New Roman" w:cs="Times New Roman"/>
          <w:noProof/>
          <w:sz w:val="24"/>
          <w:szCs w:val="24"/>
        </w:rPr>
      </w:pPr>
      <w:r>
        <w:rPr>
          <w:rFonts w:ascii="Times New Roman" w:hAnsi="Times New Roman"/>
          <w:noProof/>
          <w:sz w:val="24"/>
          <w:szCs w:val="24"/>
        </w:rPr>
        <w:t>mukautetaan 3 artiklan 1 kohdan 8, 9, 10, 21, 22 ja 23 alakohdassa vahvistettuja teknisiä määritelmiä;</w:t>
      </w:r>
    </w:p>
    <w:p>
      <w:pPr>
        <w:pStyle w:val="ListParagraph"/>
        <w:numPr>
          <w:ilvl w:val="0"/>
          <w:numId w:val="7"/>
        </w:numPr>
        <w:spacing w:before="120" w:after="240" w:line="276" w:lineRule="auto"/>
        <w:ind w:left="709" w:hanging="283"/>
        <w:contextualSpacing w:val="0"/>
        <w:jc w:val="both"/>
        <w:rPr>
          <w:rFonts w:ascii="Times New Roman" w:eastAsia="Calibri" w:hAnsi="Times New Roman" w:cs="Times New Roman"/>
          <w:noProof/>
          <w:sz w:val="24"/>
          <w:szCs w:val="24"/>
        </w:rPr>
      </w:pPr>
      <w:r>
        <w:rPr>
          <w:rFonts w:ascii="Times New Roman" w:hAnsi="Times New Roman"/>
          <w:noProof/>
          <w:sz w:val="24"/>
          <w:szCs w:val="24"/>
        </w:rPr>
        <w:t>säädetään teknisiä lisämääritelmiä.</w:t>
      </w:r>
    </w:p>
    <w:p>
      <w:pPr>
        <w:spacing w:after="240" w:line="276" w:lineRule="auto"/>
        <w:jc w:val="both"/>
        <w:rPr>
          <w:rFonts w:ascii="Times New Roman" w:eastAsia="Calibri" w:hAnsi="Times New Roman" w:cs="Times New Roman"/>
          <w:noProof/>
          <w:sz w:val="24"/>
          <w:szCs w:val="24"/>
        </w:rPr>
      </w:pPr>
      <w:r>
        <w:rPr>
          <w:rFonts w:ascii="Times New Roman" w:hAnsi="Times New Roman"/>
          <w:noProof/>
          <w:sz w:val="24"/>
          <w:szCs w:val="24"/>
        </w:rPr>
        <w:t>Käyttäessään tätä valtaansa komissio varmistaa, ettei delegoiduista säädöksistä aiheudu huomattavaa lisärasitetta jäsenvaltioille tai vastaajille. Lisäksi komission on perusteltava kyseisissä delegoiduissa säädöksissä säädetyt tilastotoimet käyttäen tarvittaessa kustannustehokkuusanalyysiä, jossa arvioidaan vastaajille aiheutuva rasite ja tuottamisen kustannukset.</w:t>
      </w:r>
    </w:p>
    <w:p>
      <w:pPr>
        <w:spacing w:after="120" w:line="276" w:lineRule="auto"/>
        <w:jc w:val="both"/>
        <w:rPr>
          <w:rFonts w:ascii="Times New Roman" w:eastAsia="Calibri" w:hAnsi="Times New Roman" w:cs="Times New Roman"/>
          <w:noProof/>
          <w:sz w:val="24"/>
          <w:szCs w:val="24"/>
        </w:rPr>
      </w:pPr>
      <w:r>
        <w:rPr>
          <w:rFonts w:ascii="Times New Roman" w:hAnsi="Times New Roman"/>
          <w:noProof/>
          <w:sz w:val="24"/>
          <w:szCs w:val="24"/>
        </w:rPr>
        <w:t>Kuten 10 artiklan 4 kohdassa säädetään, ennen kuin komissio hyväksyy delegoidun säädöksen, se kuulee kunkin jäsenvaltion nimeämiä asiantuntijoita paremmasta lainsäädännöstä 13. huhtikuuta 2016 tehdyssä toimielinten välisessä sopimuksessa</w:t>
      </w:r>
      <w:r>
        <w:rPr>
          <w:rStyle w:val="FootnoteReference"/>
          <w:rFonts w:ascii="Times New Roman" w:eastAsia="Calibri" w:hAnsi="Times New Roman" w:cs="Times New Roman"/>
          <w:noProof/>
          <w:sz w:val="24"/>
          <w:szCs w:val="24"/>
          <w:lang w:eastAsia="en-US"/>
        </w:rPr>
        <w:footnoteReference w:id="2"/>
      </w:r>
      <w:r>
        <w:rPr>
          <w:rFonts w:ascii="Times New Roman" w:hAnsi="Times New Roman"/>
          <w:noProof/>
          <w:sz w:val="24"/>
          <w:szCs w:val="24"/>
        </w:rPr>
        <w:t xml:space="preserve"> vahvistettujen periaatteiden mukaisesti. </w:t>
      </w:r>
    </w:p>
    <w:p>
      <w:pPr>
        <w:numPr>
          <w:ilvl w:val="0"/>
          <w:numId w:val="2"/>
        </w:numPr>
        <w:spacing w:before="480" w:after="240" w:line="240" w:lineRule="auto"/>
        <w:ind w:left="680" w:hanging="680"/>
        <w:jc w:val="both"/>
        <w:rPr>
          <w:rFonts w:ascii="Times New Roman" w:eastAsia="Calibri" w:hAnsi="Times New Roman" w:cs="Times New Roman"/>
          <w:b/>
          <w:caps/>
          <w:noProof/>
          <w:sz w:val="24"/>
          <w:szCs w:val="24"/>
        </w:rPr>
      </w:pPr>
      <w:r>
        <w:rPr>
          <w:rFonts w:ascii="Times New Roman" w:hAnsi="Times New Roman"/>
          <w:b/>
          <w:caps/>
          <w:noProof/>
          <w:sz w:val="24"/>
          <w:szCs w:val="24"/>
        </w:rPr>
        <w:t>Oikeusperusta</w:t>
      </w:r>
    </w:p>
    <w:p>
      <w:pPr>
        <w:spacing w:after="240" w:line="276" w:lineRule="auto"/>
        <w:jc w:val="both"/>
        <w:rPr>
          <w:rFonts w:ascii="Times New Roman" w:hAnsi="Times New Roman" w:cs="Times New Roman"/>
          <w:noProof/>
          <w:sz w:val="24"/>
          <w:szCs w:val="24"/>
        </w:rPr>
      </w:pPr>
      <w:r>
        <w:rPr>
          <w:rFonts w:ascii="Times New Roman" w:hAnsi="Times New Roman"/>
          <w:noProof/>
          <w:sz w:val="24"/>
          <w:szCs w:val="24"/>
        </w:rPr>
        <w:t>Komissiolle siirretään asetuksen (EU) 2018/643 10 artiklan 2 kohdan nojalla 13 päivästä joulukuuta 2016 viiden vuoden ajaksi 3 artiklan 2 kohdassa tarkoitettu valta antaa delegoituja säädöksiä. Säädösvallan siirtoa jatketaan ilman eri toimenpiteitä viiden vuoden pituisiksi kausiksi, jollei Euroopan parlamentti tai neuvosto vastusta sitä.</w:t>
      </w:r>
    </w:p>
    <w:p>
      <w:pPr>
        <w:spacing w:after="0" w:line="276" w:lineRule="auto"/>
        <w:jc w:val="both"/>
        <w:rPr>
          <w:rFonts w:ascii="Times New Roman" w:hAnsi="Times New Roman" w:cs="Times New Roman"/>
          <w:noProof/>
          <w:sz w:val="24"/>
          <w:szCs w:val="24"/>
        </w:rPr>
      </w:pPr>
      <w:r>
        <w:rPr>
          <w:rFonts w:ascii="Times New Roman" w:hAnsi="Times New Roman"/>
          <w:noProof/>
          <w:sz w:val="24"/>
          <w:szCs w:val="24"/>
        </w:rPr>
        <w:t xml:space="preserve">Komissio laatii siirrettyä säädösvaltaa koskevan kertomuksen viimeistään yhdeksän kuukautta ennen tämän viiden vuoden kauden päättymistä. </w:t>
      </w:r>
      <w:r>
        <w:rPr>
          <w:rFonts w:ascii="Times New Roman" w:hAnsi="Times New Roman"/>
          <w:noProof/>
          <w:sz w:val="24"/>
        </w:rPr>
        <w:t>Tällä kertomuksella täytetään ensimmäisen kerran kyseinen velvollisuus.</w:t>
      </w:r>
    </w:p>
    <w:p>
      <w:pPr>
        <w:numPr>
          <w:ilvl w:val="0"/>
          <w:numId w:val="2"/>
        </w:numPr>
        <w:spacing w:before="720" w:after="240" w:line="240" w:lineRule="auto"/>
        <w:ind w:left="680" w:hanging="680"/>
        <w:jc w:val="both"/>
        <w:rPr>
          <w:rFonts w:ascii="Times New Roman" w:eastAsia="Calibri" w:hAnsi="Times New Roman" w:cs="Times New Roman"/>
          <w:b/>
          <w:caps/>
          <w:noProof/>
          <w:sz w:val="24"/>
          <w:szCs w:val="24"/>
        </w:rPr>
      </w:pPr>
      <w:r>
        <w:rPr>
          <w:rFonts w:ascii="Times New Roman" w:hAnsi="Times New Roman"/>
          <w:b/>
          <w:caps/>
          <w:noProof/>
          <w:sz w:val="24"/>
          <w:szCs w:val="24"/>
        </w:rPr>
        <w:lastRenderedPageBreak/>
        <w:t>Siirretyn säädösvallan käyttäminen</w:t>
      </w:r>
    </w:p>
    <w:p>
      <w:pPr>
        <w:spacing w:after="0" w:line="276" w:lineRule="auto"/>
        <w:jc w:val="both"/>
        <w:rPr>
          <w:rFonts w:ascii="Times New Roman" w:eastAsia="Calibri" w:hAnsi="Times New Roman" w:cs="Times New Roman"/>
          <w:noProof/>
          <w:sz w:val="24"/>
          <w:szCs w:val="24"/>
        </w:rPr>
      </w:pPr>
      <w:r>
        <w:rPr>
          <w:rFonts w:ascii="Times New Roman" w:hAnsi="Times New Roman"/>
          <w:noProof/>
          <w:sz w:val="24"/>
        </w:rPr>
        <w:t>Komissio ei ole vielä käyttänyt sille asetuksella (EU) 2018/643 siirrettyä valtaa antaa delegoituja säädöksiä.</w:t>
      </w:r>
    </w:p>
    <w:p>
      <w:pPr>
        <w:spacing w:before="240" w:after="0" w:line="276" w:lineRule="auto"/>
        <w:jc w:val="both"/>
        <w:rPr>
          <w:rFonts w:ascii="Times New Roman" w:hAnsi="Times New Roman" w:cs="Times New Roman"/>
          <w:noProof/>
          <w:sz w:val="24"/>
        </w:rPr>
      </w:pPr>
      <w:r>
        <w:rPr>
          <w:rFonts w:ascii="Times New Roman" w:hAnsi="Times New Roman"/>
          <w:noProof/>
          <w:sz w:val="24"/>
        </w:rPr>
        <w:t>Komissio keskustelee säännöllisesti rautatieliikenteen tilastojen mahdollisista parannuksista rautatieliikenteen tilastoja käsittelevän asiantuntijaryhmän ja liikennetilastojen koordinointiryhmän kanssa.</w:t>
      </w:r>
      <w:r>
        <w:rPr>
          <w:rFonts w:ascii="Times New Roman" w:hAnsi="Times New Roman"/>
          <w:noProof/>
          <w:sz w:val="24"/>
          <w:szCs w:val="24"/>
        </w:rPr>
        <w:t xml:space="preserve"> </w:t>
      </w:r>
      <w:r>
        <w:rPr>
          <w:rFonts w:ascii="Times New Roman" w:hAnsi="Times New Roman"/>
          <w:noProof/>
          <w:sz w:val="24"/>
        </w:rPr>
        <w:t>Keskusteluissa otetaan huomioon myös mahdolliset kustannukset ja maille ja vastaajille aiheutuvat rasitteet.</w:t>
      </w:r>
    </w:p>
    <w:p>
      <w:pPr>
        <w:spacing w:before="240" w:after="0" w:line="276" w:lineRule="auto"/>
        <w:jc w:val="both"/>
        <w:rPr>
          <w:rFonts w:ascii="Times New Roman" w:hAnsi="Times New Roman" w:cs="Times New Roman"/>
          <w:noProof/>
          <w:sz w:val="24"/>
          <w:szCs w:val="24"/>
        </w:rPr>
      </w:pPr>
      <w:r>
        <w:rPr>
          <w:rFonts w:ascii="Times New Roman" w:hAnsi="Times New Roman"/>
          <w:noProof/>
          <w:sz w:val="24"/>
          <w:szCs w:val="24"/>
        </w:rPr>
        <w:t>Tilastotarpeet, jotka liittyvät kestävän ja älykkään liikkuvuuden strategiaan</w:t>
      </w:r>
      <w:r>
        <w:rPr>
          <w:rStyle w:val="FootnoteReference"/>
          <w:rFonts w:ascii="Times New Roman" w:hAnsi="Times New Roman" w:cs="Times New Roman"/>
          <w:noProof/>
          <w:sz w:val="24"/>
          <w:szCs w:val="24"/>
          <w:lang w:eastAsia="de-DE"/>
        </w:rPr>
        <w:footnoteReference w:id="3"/>
      </w:r>
      <w:r>
        <w:rPr>
          <w:rFonts w:ascii="Times New Roman" w:hAnsi="Times New Roman"/>
          <w:noProof/>
          <w:sz w:val="24"/>
          <w:szCs w:val="24"/>
        </w:rPr>
        <w:t xml:space="preserve"> ja Euroopan vihreän kehityksen ohjelmaa koskevassa komission tiedonannossa</w:t>
      </w:r>
      <w:r>
        <w:rPr>
          <w:rStyle w:val="FootnoteReference"/>
          <w:rFonts w:ascii="Times New Roman" w:hAnsi="Times New Roman" w:cs="Times New Roman"/>
          <w:noProof/>
          <w:sz w:val="24"/>
          <w:szCs w:val="24"/>
          <w:lang w:eastAsia="de-DE"/>
        </w:rPr>
        <w:footnoteReference w:id="4"/>
      </w:r>
      <w:r>
        <w:rPr>
          <w:rFonts w:ascii="Times New Roman" w:hAnsi="Times New Roman"/>
          <w:noProof/>
          <w:sz w:val="24"/>
          <w:szCs w:val="24"/>
        </w:rPr>
        <w:t xml:space="preserve"> esitettyihin politiikkaa koskeviin aloitteisiin, saattavat edellyttää, että komissio antaa delegoituja säädöksiä asetuksen (EU) 2018/643 teknisistä määritelmistä.</w:t>
      </w:r>
    </w:p>
    <w:p>
      <w:pPr>
        <w:numPr>
          <w:ilvl w:val="0"/>
          <w:numId w:val="2"/>
        </w:numPr>
        <w:spacing w:before="480" w:after="240" w:line="240" w:lineRule="auto"/>
        <w:ind w:left="680" w:hanging="680"/>
        <w:jc w:val="both"/>
        <w:rPr>
          <w:rFonts w:ascii="Times New Roman" w:eastAsia="Calibri" w:hAnsi="Times New Roman" w:cs="Times New Roman"/>
          <w:b/>
          <w:caps/>
          <w:noProof/>
          <w:sz w:val="24"/>
          <w:szCs w:val="24"/>
        </w:rPr>
      </w:pPr>
      <w:r>
        <w:rPr>
          <w:rFonts w:ascii="Times New Roman" w:hAnsi="Times New Roman"/>
          <w:b/>
          <w:caps/>
          <w:noProof/>
          <w:sz w:val="24"/>
          <w:szCs w:val="24"/>
        </w:rPr>
        <w:t>Päätelmät</w:t>
      </w:r>
    </w:p>
    <w:p>
      <w:pPr>
        <w:spacing w:before="120" w:after="120" w:line="240" w:lineRule="auto"/>
        <w:jc w:val="both"/>
        <w:rPr>
          <w:rFonts w:ascii="Times New Roman" w:hAnsi="Times New Roman" w:cs="Times New Roman"/>
          <w:noProof/>
          <w:sz w:val="24"/>
        </w:rPr>
      </w:pPr>
      <w:r>
        <w:rPr>
          <w:rFonts w:ascii="Times New Roman" w:hAnsi="Times New Roman"/>
          <w:noProof/>
          <w:sz w:val="24"/>
        </w:rPr>
        <w:t>Komissio ei ole vielä käyttänyt sille asetuksella (EU) 2018/643 siirrettyä valtaa antaa delegoituja säädöksiä.</w:t>
      </w:r>
    </w:p>
    <w:p>
      <w:pPr>
        <w:spacing w:before="240" w:after="0" w:line="276" w:lineRule="auto"/>
        <w:jc w:val="both"/>
        <w:rPr>
          <w:rFonts w:ascii="Times New Roman" w:eastAsia="Calibri" w:hAnsi="Times New Roman" w:cs="Times New Roman"/>
          <w:noProof/>
          <w:sz w:val="24"/>
          <w:szCs w:val="24"/>
        </w:rPr>
      </w:pPr>
      <w:r>
        <w:rPr>
          <w:rFonts w:ascii="Times New Roman" w:hAnsi="Times New Roman"/>
          <w:noProof/>
          <w:sz w:val="24"/>
        </w:rPr>
        <w:t>Komissio katsoo, että sillä olisi edelleen oltava tämä siirretty säädösvalta, koska sen saattaa olla tarpeen hyväksyä tulevaisuudessa delegoituja säädöksiä rautatieliikenteen tilastojen kehityksen tukemiseksi.</w:t>
      </w:r>
    </w:p>
    <w:p>
      <w:pPr>
        <w:spacing w:after="240" w:line="240" w:lineRule="auto"/>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8"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Yu Gothic UI"/>
    <w:panose1 w:val="02020400000000000000"/>
    <w:charset w:val="80"/>
    <w:family w:val="roman"/>
    <w:pitch w:val="variable"/>
    <w:sig w:usb0="800002E7" w:usb1="2AC7FCF0"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70645"/>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745371"/>
      <w:docPartObj>
        <w:docPartGallery w:val="Page Numbers (Bottom of Page)"/>
        <w:docPartUnique/>
      </w:docPartObj>
    </w:sdtPr>
    <w:sdtEndPr>
      <w:rPr>
        <w:noProof/>
      </w:rPr>
    </w:sdtEndPr>
    <w:sdtContent>
      <w:p>
        <w:pPr>
          <w:pStyle w:val="Footer"/>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ind w:left="142" w:hanging="142"/>
        <w:rPr>
          <w:rStyle w:val="Hyperlink"/>
          <w:rFonts w:ascii="Times New Roman" w:hAnsi="Times New Roman" w:cs="Times New Roman"/>
          <w:bCs/>
          <w:color w:val="000000"/>
          <w:sz w:val="20"/>
          <w:szCs w:val="20"/>
          <w:u w:val="none"/>
        </w:rPr>
      </w:pPr>
      <w:r>
        <w:rPr>
          <w:rStyle w:val="FootnoteReference"/>
          <w:rFonts w:ascii="Times New Roman" w:hAnsi="Times New Roman" w:cs="Times New Roman"/>
          <w:sz w:val="20"/>
          <w:szCs w:val="20"/>
        </w:rPr>
        <w:footnoteRef/>
      </w:r>
      <w:r>
        <w:rPr>
          <w:rFonts w:ascii="Times New Roman" w:hAnsi="Times New Roman"/>
          <w:bCs/>
          <w:color w:val="000000"/>
          <w:sz w:val="20"/>
          <w:szCs w:val="20"/>
        </w:rPr>
        <w:t>Euroopan parlamentin ja neuvoston asetus (EU) 2018/643, annettu 18 päivänä huhtikuuta 2018, rautatieliikenteen tilastoista (EUVL L 112, 2.5.2018, s. 1).</w:t>
      </w:r>
    </w:p>
  </w:footnote>
  <w:footnote w:id="2">
    <w:p>
      <w:pPr>
        <w:pStyle w:val="FootnoteText"/>
        <w:spacing w:before="60"/>
        <w:ind w:left="284" w:hanging="284"/>
        <w:rPr>
          <w:rStyle w:val="Hyperlink"/>
          <w:rFonts w:ascii="Times New Roman" w:hAnsi="Times New Roman"/>
          <w:color w:val="auto"/>
          <w:u w:val="none"/>
          <w:lang w:val="en-US"/>
        </w:rPr>
      </w:pPr>
      <w:r>
        <w:rPr>
          <w:rStyle w:val="FootnoteReference"/>
          <w:rFonts w:ascii="Times New Roman" w:hAnsi="Times New Roman"/>
        </w:rPr>
        <w:footnoteRef/>
      </w:r>
      <w:r>
        <w:rPr>
          <w:rFonts w:ascii="Times New Roman" w:hAnsi="Times New Roman"/>
          <w:lang w:val="en-US"/>
        </w:rPr>
        <w:t xml:space="preserve"> EUVL L 123, 12.5.2016, s. 1.</w:t>
      </w:r>
    </w:p>
  </w:footnote>
  <w:footnote w:id="3">
    <w:p>
      <w:pPr>
        <w:pStyle w:val="FootnoteText"/>
        <w:rPr>
          <w:lang w:val="en-US"/>
        </w:rPr>
      </w:pPr>
      <w:r>
        <w:rPr>
          <w:rFonts w:ascii="Times New Roman" w:hAnsi="Times New Roman"/>
          <w:vertAlign w:val="superscript"/>
        </w:rPr>
        <w:footnoteRef/>
      </w:r>
      <w:r>
        <w:rPr>
          <w:rFonts w:ascii="Times New Roman" w:hAnsi="Times New Roman"/>
          <w:lang w:val="en-US"/>
        </w:rPr>
        <w:t xml:space="preserve"> COM(2020) 789 final.</w:t>
      </w:r>
    </w:p>
  </w:footnote>
  <w:footnote w:id="4">
    <w:p>
      <w:pPr>
        <w:pStyle w:val="FootnoteText"/>
      </w:pPr>
      <w:r>
        <w:rPr>
          <w:rStyle w:val="FootnoteReference"/>
          <w:rFonts w:ascii="Times New Roman" w:hAnsi="Times New Roman"/>
        </w:rPr>
        <w:footnoteRef/>
      </w:r>
      <w:r>
        <w:rPr>
          <w:rFonts w:ascii="Times New Roman" w:hAnsi="Times New Roman"/>
        </w:rPr>
        <w:t xml:space="preserve"> COM(2019) 640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10C4"/>
    <w:multiLevelType w:val="hybridMultilevel"/>
    <w:tmpl w:val="E15881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B155F3"/>
    <w:multiLevelType w:val="hybridMultilevel"/>
    <w:tmpl w:val="2CA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063AF2"/>
    <w:multiLevelType w:val="hybridMultilevel"/>
    <w:tmpl w:val="23CCC4EE"/>
    <w:lvl w:ilvl="0" w:tplc="01EC09CE">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3">
    <w:nsid w:val="355F3A3C"/>
    <w:multiLevelType w:val="hybridMultilevel"/>
    <w:tmpl w:val="0B1CA37E"/>
    <w:lvl w:ilvl="0" w:tplc="08090017">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50452026"/>
    <w:multiLevelType w:val="hybridMultilevel"/>
    <w:tmpl w:val="A028B11A"/>
    <w:lvl w:ilvl="0" w:tplc="F4B2E0B2">
      <w:numFmt w:val="bullet"/>
      <w:lvlText w:val="-"/>
      <w:lvlJc w:val="left"/>
      <w:pPr>
        <w:ind w:left="-231" w:hanging="360"/>
      </w:pPr>
      <w:rPr>
        <w:rFonts w:ascii="Times New Roman" w:eastAsia="Calibri" w:hAnsi="Times New Roman" w:cs="Times New Roman" w:hint="default"/>
      </w:rPr>
    </w:lvl>
    <w:lvl w:ilvl="1" w:tplc="08090003" w:tentative="1">
      <w:start w:val="1"/>
      <w:numFmt w:val="bullet"/>
      <w:lvlText w:val="o"/>
      <w:lvlJc w:val="left"/>
      <w:pPr>
        <w:ind w:left="489" w:hanging="360"/>
      </w:pPr>
      <w:rPr>
        <w:rFonts w:ascii="Courier New" w:hAnsi="Courier New" w:cs="Courier New" w:hint="default"/>
      </w:rPr>
    </w:lvl>
    <w:lvl w:ilvl="2" w:tplc="08090005" w:tentative="1">
      <w:start w:val="1"/>
      <w:numFmt w:val="bullet"/>
      <w:lvlText w:val=""/>
      <w:lvlJc w:val="left"/>
      <w:pPr>
        <w:ind w:left="1209" w:hanging="360"/>
      </w:pPr>
      <w:rPr>
        <w:rFonts w:ascii="Wingdings" w:hAnsi="Wingdings" w:hint="default"/>
      </w:rPr>
    </w:lvl>
    <w:lvl w:ilvl="3" w:tplc="08090001" w:tentative="1">
      <w:start w:val="1"/>
      <w:numFmt w:val="bullet"/>
      <w:lvlText w:val=""/>
      <w:lvlJc w:val="left"/>
      <w:pPr>
        <w:ind w:left="1929" w:hanging="360"/>
      </w:pPr>
      <w:rPr>
        <w:rFonts w:ascii="Symbol" w:hAnsi="Symbol" w:hint="default"/>
      </w:rPr>
    </w:lvl>
    <w:lvl w:ilvl="4" w:tplc="08090003" w:tentative="1">
      <w:start w:val="1"/>
      <w:numFmt w:val="bullet"/>
      <w:lvlText w:val="o"/>
      <w:lvlJc w:val="left"/>
      <w:pPr>
        <w:ind w:left="2649" w:hanging="360"/>
      </w:pPr>
      <w:rPr>
        <w:rFonts w:ascii="Courier New" w:hAnsi="Courier New" w:cs="Courier New" w:hint="default"/>
      </w:rPr>
    </w:lvl>
    <w:lvl w:ilvl="5" w:tplc="08090005" w:tentative="1">
      <w:start w:val="1"/>
      <w:numFmt w:val="bullet"/>
      <w:lvlText w:val=""/>
      <w:lvlJc w:val="left"/>
      <w:pPr>
        <w:ind w:left="3369" w:hanging="360"/>
      </w:pPr>
      <w:rPr>
        <w:rFonts w:ascii="Wingdings" w:hAnsi="Wingdings" w:hint="default"/>
      </w:rPr>
    </w:lvl>
    <w:lvl w:ilvl="6" w:tplc="08090001" w:tentative="1">
      <w:start w:val="1"/>
      <w:numFmt w:val="bullet"/>
      <w:lvlText w:val=""/>
      <w:lvlJc w:val="left"/>
      <w:pPr>
        <w:ind w:left="4089" w:hanging="360"/>
      </w:pPr>
      <w:rPr>
        <w:rFonts w:ascii="Symbol" w:hAnsi="Symbol" w:hint="default"/>
      </w:rPr>
    </w:lvl>
    <w:lvl w:ilvl="7" w:tplc="08090003" w:tentative="1">
      <w:start w:val="1"/>
      <w:numFmt w:val="bullet"/>
      <w:lvlText w:val="o"/>
      <w:lvlJc w:val="left"/>
      <w:pPr>
        <w:ind w:left="4809" w:hanging="360"/>
      </w:pPr>
      <w:rPr>
        <w:rFonts w:ascii="Courier New" w:hAnsi="Courier New" w:cs="Courier New" w:hint="default"/>
      </w:rPr>
    </w:lvl>
    <w:lvl w:ilvl="8" w:tplc="08090005" w:tentative="1">
      <w:start w:val="1"/>
      <w:numFmt w:val="bullet"/>
      <w:lvlText w:val=""/>
      <w:lvlJc w:val="left"/>
      <w:pPr>
        <w:ind w:left="5529" w:hanging="360"/>
      </w:pPr>
      <w:rPr>
        <w:rFonts w:ascii="Wingdings" w:hAnsi="Wingdings" w:hint="default"/>
      </w:rPr>
    </w:lvl>
  </w:abstractNum>
  <w:abstractNum w:abstractNumId="5">
    <w:nsid w:val="66412804"/>
    <w:multiLevelType w:val="hybridMultilevel"/>
    <w:tmpl w:val="9906E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EC207B"/>
    <w:multiLevelType w:val="hybridMultilevel"/>
    <w:tmpl w:val="6BA883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revisionView w:markup="0"/>
  <w:defaultTabStop w:val="720"/>
  <w:hyphenationZone w:val="425"/>
  <w:characterSpacingControl w:val="doNotCompress"/>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A0F3A7B-73A7-4B93-B74E-C7D38A5EB918"/>
    <w:docVar w:name="LW_COVERPAGE_TYPE" w:val="1"/>
    <w:docVar w:name="LW_CROSSREFERENCE" w:val="&lt;UNUSED&gt;"/>
    <w:docVar w:name="LW_DocType" w:val="NORMAL"/>
    <w:docVar w:name="LW_EMISSION" w:val="2.3.2021"/>
    <w:docVar w:name="LW_EMISSION_ISODATE" w:val="2021-03-02"/>
    <w:docVar w:name="LW_EMISSION_LOCATION" w:val="BRX"/>
    <w:docVar w:name="LW_EMISSION_PREFIX" w:val="Bryssel "/>
    <w:docVar w:name="LW_EMISSION_SUFFIX" w:val=" "/>
    <w:docVar w:name="LW_ID_DOCTYPE_NONLW" w:val="CP-006"/>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1) 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utatieliikenteen tilastoista annetulla asetuksella (EU) 2018/643 komissiolle siirretyn delegoitujen säädösten antamisvallan käyttämisestä&lt;/FMT&gt;"/>
    <w:docVar w:name="LW_TYPE.DOC.CP" w:val="KOMISSION KERTOMUS EUROOPAN PARLAMENTILLE JA NEUVOSTOLLE"/>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semiHidden/>
    <w:unhideWhenUsed/>
    <w:pPr>
      <w:spacing w:after="200" w:line="276"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semiHidden/>
    <w:rPr>
      <w:rFonts w:ascii="Calibri" w:eastAsia="Calibri" w:hAnsi="Calibri" w:cs="Times New Roman"/>
      <w:sz w:val="20"/>
      <w:szCs w:val="20"/>
      <w:lang w:eastAsia="en-US"/>
    </w:rPr>
  </w:style>
  <w:style w:type="character" w:styleId="FootnoteReference">
    <w:name w:val="footnote reference"/>
    <w:semiHidden/>
    <w:rPr>
      <w:shd w:val="clear" w:color="auto" w:fill="auto"/>
      <w:vertAlign w:val="superscript"/>
    </w:rPr>
  </w:style>
  <w:style w:type="character" w:styleId="Hyperlink">
    <w:name w:val="Hyperlink"/>
    <w:uiPriority w:val="99"/>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basedOn w:val="Normal"/>
    <w:link w:val="FootnoteTextChar"/>
    <w:semiHidden/>
    <w:unhideWhenUsed/>
    <w:pPr>
      <w:spacing w:after="200" w:line="276"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semiHidden/>
    <w:rPr>
      <w:rFonts w:ascii="Calibri" w:eastAsia="Calibri" w:hAnsi="Calibri" w:cs="Times New Roman"/>
      <w:sz w:val="20"/>
      <w:szCs w:val="20"/>
      <w:lang w:eastAsia="en-US"/>
    </w:rPr>
  </w:style>
  <w:style w:type="character" w:styleId="FootnoteReference">
    <w:name w:val="footnote reference"/>
    <w:semiHidden/>
    <w:rPr>
      <w:shd w:val="clear" w:color="auto" w:fill="auto"/>
      <w:vertAlign w:val="superscript"/>
    </w:rPr>
  </w:style>
  <w:style w:type="character" w:styleId="Hyperlink">
    <w:name w:val="Hyperlink"/>
    <w:uiPriority w:val="99"/>
    <w:unhideWhenUsed/>
    <w:rPr>
      <w:color w:val="0563C1"/>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0FCA071-F426-4E73-8B79-6AD8208C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334</Words>
  <Characters>2744</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Rail_Report_Exercise of power delegated acts_2021</vt:lpstr>
    </vt:vector>
  </TitlesOfParts>
  <Manager/>
  <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Rail_Report_Exercise of power delegated acts_2021</dc:title>
  <dc:subject>Rail_Report_Exercise of power delegated acts_2021</dc:subject>
  <dc:creator/>
  <cp:keywords/>
  <dc:description/>
  <cp:lastModifiedBy/>
  <cp:revision>16</cp:revision>
  <dcterms:created xsi:type="dcterms:W3CDTF">2021-02-18T09:35:00Z</dcterms:created>
  <dcterms:modified xsi:type="dcterms:W3CDTF">2021-02-25T09:41:00Z</dcterms:modified>
  <cp:category>Rail transport statistics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7.0.1, Build 20190916</vt:lpwstr>
  </property>
  <property name="OP_sanitized" fmtid="{D5CDD505-2E9C-101B-9397-08002B2CF9AE}" pid="9">
    <vt:lpwstr>True</vt:lpwstr>
  </property>
</Properties>
</file>