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BBE7E921-C470-4529-B4DE-EFD0D0DEB707" style="width:451.25pt;height:409.4pt">
            <v:imagedata r:id="rId9" o:title=""/>
          </v:shape>
        </w:pict>
      </w:r>
    </w:p>
    <w:p>
      <w:pPr>
        <w:pStyle w:val="Pagedecouverture"/>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PERUSTELUT</w:t>
      </w:r>
    </w:p>
    <w:p>
      <w:pPr>
        <w:pStyle w:val="ManualHeading1"/>
        <w:rPr>
          <w:noProof/>
        </w:rPr>
      </w:pPr>
      <w:r>
        <w:rPr>
          <w:noProof/>
        </w:rPr>
        <w:t>1.</w:t>
      </w:r>
      <w:r>
        <w:rPr>
          <w:noProof/>
        </w:rPr>
        <w:tab/>
        <w:t>EHDOTUKSEN TAUSTA</w:t>
      </w:r>
    </w:p>
    <w:p>
      <w:pPr>
        <w:pStyle w:val="ManualHeading2"/>
        <w:rPr>
          <w:rFonts w:eastAsia="Arial Unicode MS"/>
          <w:noProof/>
        </w:rPr>
      </w:pPr>
      <w:r>
        <w:rPr>
          <w:noProof/>
          <w:color w:val="000000"/>
          <w:u w:color="000000"/>
          <w:bdr w:val="nil"/>
        </w:rPr>
        <w:t>•</w:t>
      </w:r>
      <w:r>
        <w:rPr>
          <w:noProof/>
        </w:rPr>
        <w:tab/>
        <w:t>Ehdotuksen perustelut ja tavoitteet</w:t>
      </w:r>
    </w:p>
    <w:p>
      <w:pPr>
        <w:pBdr>
          <w:top w:val="nil"/>
          <w:left w:val="nil"/>
          <w:bottom w:val="nil"/>
          <w:right w:val="nil"/>
          <w:between w:val="nil"/>
          <w:bar w:val="nil"/>
        </w:pBdr>
        <w:spacing w:before="0" w:after="240"/>
        <w:rPr>
          <w:rFonts w:eastAsia="Arial Unicode MS"/>
          <w:noProof/>
        </w:rPr>
      </w:pPr>
      <w:r>
        <w:rPr>
          <w:noProof/>
        </w:rPr>
        <w:t>Tämä ehdotus on osa toimenpidepakettia, jolla pyritään edistämään ja tukemaan mahdollisuuksia, joita digitaalinen rahoitus tarjoaa innovoinnin ja kilpailun näkökulmasta, ja samalla lieventämään tällaiseen rahoitukseen liittyviä riskejä. Komission prioriteettien mukaisesti tavoitteena on Euroopan digitaalisen valmiuden kehittäminen ja kansalaisten hyväksi toimivan tulevaisuuden talouden rakentaminen. Digitaalista rahoitusta koskevaan pakettiin sisältyy EU:n rahoitusalan uusi digitaalisen rahoituksen strategia</w:t>
      </w:r>
      <w:r>
        <w:rPr>
          <w:rStyle w:val="FootnoteReference"/>
          <w:noProof/>
        </w:rPr>
        <w:footnoteReference w:id="2"/>
      </w:r>
      <w:r>
        <w:rPr>
          <w:noProof/>
        </w:rPr>
        <w:t>, jonka tavoitteena on varmistaa, että EU on mukana digitaalisessa muutoksessa ja edistää sitä eurooppalaisten innovatiivisten yritysten johdolla ja tuo näin digitaalisen rahoituksen hyödyt eurooppalaisten kuluttajien ja yritysten saataville. Tämän ehdotuksen lisäksi pakettiin sisältyy myös ehdotus asetukseksi kryptovarojen markkinoiden luomisesta</w:t>
      </w:r>
      <w:r>
        <w:rPr>
          <w:rStyle w:val="FootnoteReference"/>
          <w:noProof/>
        </w:rPr>
        <w:footnoteReference w:id="3"/>
      </w:r>
      <w:r>
        <w:rPr>
          <w:noProof/>
        </w:rPr>
        <w:t>, ehdotus digitaalisesta häiriönsietokyvystä</w:t>
      </w:r>
      <w:r>
        <w:rPr>
          <w:rStyle w:val="FootnoteReference"/>
          <w:noProof/>
        </w:rPr>
        <w:footnoteReference w:id="4"/>
      </w:r>
      <w:r>
        <w:rPr>
          <w:noProof/>
        </w:rPr>
        <w:t xml:space="preserve"> sekä ehdotus tiettyjen asiaan liittyvien rahoituspalveluja koskevien EU:n sääntöjen selkeyttämiseksi tai muuttamiseksi</w:t>
      </w:r>
      <w:r>
        <w:rPr>
          <w:rStyle w:val="FootnoteReference"/>
          <w:noProof/>
        </w:rPr>
        <w:footnoteReference w:id="5"/>
      </w:r>
      <w:r>
        <w:rPr>
          <w:noProof/>
        </w:rPr>
        <w:t>.</w:t>
      </w:r>
    </w:p>
    <w:p>
      <w:pPr>
        <w:pBdr>
          <w:top w:val="nil"/>
          <w:left w:val="nil"/>
          <w:bottom w:val="nil"/>
          <w:right w:val="nil"/>
          <w:between w:val="nil"/>
          <w:bar w:val="nil"/>
        </w:pBdr>
        <w:spacing w:before="0" w:after="240"/>
        <w:rPr>
          <w:rFonts w:eastAsia="Arial Unicode MS"/>
          <w:noProof/>
        </w:rPr>
      </w:pPr>
      <w:r>
        <w:rPr>
          <w:noProof/>
        </w:rPr>
        <w:t>Yksi strategian painopistealueista on varmistaa, että EU:n rahoituspalvelujen sääntelykehys on innovaatiomyönteinen eikä muodosta esteitä uusien teknologioiden soveltamiselle. Tämä ehdotus muodostaa yhdessä kryptovaroille räätälöityä järjestelmää koskevan ehdotuksen kanssa ensimmäiset tämän alan konkreettiset toimet, joilla pyritään varmistamaan asianmukainen kuluttajan- ja sijoittajansuoja sekä kryptovarojen oikeusvarmuus, antamaan innovatiivisille yrityksille mahdollisuus hyödyntää lohkoketjuteknologiaa, hajautetun tilikirjan teknologiaa (DLT) ja kryptovaroja sekä varmistamaan rahoitusvakaus.</w:t>
      </w:r>
    </w:p>
    <w:p>
      <w:pPr>
        <w:pStyle w:val="Text2"/>
        <w:ind w:left="0"/>
        <w:rPr>
          <w:noProof/>
        </w:rPr>
      </w:pPr>
      <w:r>
        <w:rPr>
          <w:noProof/>
        </w:rPr>
        <w:t>Kryptovarat ovat yksi lohkoketjuteknologian tärkeimmistä sovelluksista rahoituksen alalla. Komissio on tarkastellut kryptovaroihin liittyviä mahdollisuuksia ja haasteita siitä lähtien kun se julkaisi FinTech-toimintasuunnitelmansa</w:t>
      </w:r>
      <w:r>
        <w:rPr>
          <w:rStyle w:val="FootnoteReference"/>
          <w:noProof/>
        </w:rPr>
        <w:footnoteReference w:id="6"/>
      </w:r>
      <w:r>
        <w:rPr>
          <w:noProof/>
        </w:rPr>
        <w:t xml:space="preserve"> maaliskuussa 2018. Vuoden 2018 FinTech-toimintasuunnitelmassa komissio antoi Euroopan pankkiviranomaiselle (EPV) ja Euroopan arvopaperimarkkinaviranomaiselle (ESMA) tehtäväksi arvioida rahoituspalvelujen nykyisen sääntelykehyksen sovellettavuutta ja soveltuvuutta kryptovaroihin. Tammikuussa 2019 annetussa lausunnossa</w:t>
      </w:r>
      <w:r>
        <w:rPr>
          <w:rStyle w:val="FootnoteReference"/>
          <w:noProof/>
        </w:rPr>
        <w:footnoteReference w:id="7"/>
      </w:r>
      <w:r>
        <w:rPr>
          <w:noProof/>
        </w:rPr>
        <w:t xml:space="preserve"> todettiin, että vaikka jotkin kryptovarat voisivat kuulua EU:n lainsäädännön soveltamisalaan, sen tosiasiallinen soveltaminen kryptovaroihin ei ole aina yksinkertaista. Lisäksi lausunnossa todettiin, että voimassa olevan EU:n lainsäädännön </w:t>
      </w:r>
      <w:r>
        <w:rPr>
          <w:noProof/>
        </w:rPr>
        <w:lastRenderedPageBreak/>
        <w:t>säännökset saattavat estää hajautetun tilikirjan teknologian käyttöä. Samalla EPV ja ESMA korostivat, että useimmat kryptovarat jäävät rahanpesun ja terrorismin rahoituksen torjunnasta annettua EU:n lainsäädäntöä lukuun ottamatta EU:n rahoituspalvelulainsäädännön soveltamisalan ulkopuolelle, eikä niihin sen vuoksi sovelleta muun muassa kuluttajansuojaa, sijoittajansuojaa ja markkinoiden luotettavuutta koskevia säännöksiä, vaikka ne voivat lisätä riskejä näillä osa-alueilla. Lisäksi useat jäsenvaltiot ovat viime aikoina antaneet lainsäädäntöä kryptovaroihin liittyvistä kysymyksistä, mikä on johtanut markkinoiden pirstaloitumiseen.</w:t>
      </w:r>
    </w:p>
    <w:p>
      <w:pPr>
        <w:pStyle w:val="Text2"/>
        <w:ind w:left="0"/>
        <w:rPr>
          <w:noProof/>
        </w:rPr>
      </w:pPr>
      <w:r>
        <w:rPr>
          <w:noProof/>
        </w:rPr>
        <w:t xml:space="preserve">Tämän kehityksen vuoksi komission puheenjohtaja Ursula von der Leyen on osana komission laajempaa digitaalistrategiaa korostanut, että tarvitaan </w:t>
      </w:r>
      <w:r>
        <w:rPr>
          <w:i/>
          <w:noProof/>
        </w:rPr>
        <w:t>”jäsenvaltioiden yhteinen kryptovaluuttoja koskeva lähestymistapa sen varmistamiseksi, että niiden tarjoamat mahdollisuudet voidaan hyödyntää parhaalla mahdollisella tavalla ja että niiden mahdollisesti aiheuttamat uudet riskit pystytään huomioimaan”</w:t>
      </w:r>
      <w:r>
        <w:rPr>
          <w:rStyle w:val="FootnoteReference"/>
          <w:noProof/>
        </w:rPr>
        <w:footnoteReference w:id="8"/>
      </w:r>
      <w:r>
        <w:rPr>
          <w:noProof/>
        </w:rPr>
        <w:t xml:space="preserve">. Vaikka komissio ja neuvosto ovat todenneet, että kryptovaroihin saattaa liittyä riskejä, myös ne ilmoittivat yhteisesti joulukuussa 2019 olevansa </w:t>
      </w:r>
      <w:r>
        <w:rPr>
          <w:i/>
          <w:noProof/>
        </w:rPr>
        <w:t>”sitoutuneet ottamaan käyttöön kehyksen, jonka avulla voidaan hyödyntää kryptovarojen tarjoamia mahdollisuuksia”</w:t>
      </w:r>
      <w:r>
        <w:rPr>
          <w:rStyle w:val="FootnoteReference"/>
          <w:noProof/>
        </w:rPr>
        <w:footnoteReference w:id="9"/>
      </w:r>
      <w:r>
        <w:rPr>
          <w:noProof/>
        </w:rPr>
        <w:t>. Euroopan parlamentti valmistelee rahoitusalan digitalisaatioprosessia koskevaa mietintöä</w:t>
      </w:r>
      <w:r>
        <w:rPr>
          <w:rStyle w:val="FootnoteReference"/>
          <w:noProof/>
        </w:rPr>
        <w:footnoteReference w:id="10"/>
      </w:r>
      <w:r>
        <w:rPr>
          <w:noProof/>
        </w:rPr>
        <w:t>, jossa keskitytään erityisesti kryptovaroihin.</w:t>
      </w:r>
    </w:p>
    <w:p>
      <w:pPr>
        <w:pBdr>
          <w:top w:val="nil"/>
          <w:left w:val="nil"/>
          <w:bottom w:val="nil"/>
          <w:right w:val="nil"/>
          <w:between w:val="nil"/>
          <w:bar w:val="nil"/>
        </w:pBdr>
        <w:spacing w:before="0" w:after="240"/>
        <w:rPr>
          <w:rFonts w:eastAsia="Times New Roman"/>
          <w:noProof/>
          <w:szCs w:val="20"/>
        </w:rPr>
      </w:pPr>
      <w:r>
        <w:rPr>
          <w:noProof/>
        </w:rPr>
        <w:t>Jotta kaikki edellä mainitut seikat voidaan ottaa huomioon ja luoda EU:n kehys, joka mahdollistaa sekä kryptovarojen markkinat että perinteisten rahoitusvarojen tokenisaation ja hajautetun tilikirjan teknologian laajemman käytön rahoituspalveluissa, tähän ehdotukseen liitetään myös muita lainsäädäntöehdotuksia. Tämän ehdotuksen lisäksi komissio esittää, että nykyistä rahoitusvälineiden määritelmää, joka määrittää rahoitusmarkkinadirektiivin (MiFID II)</w:t>
      </w:r>
      <w:r>
        <w:rPr>
          <w:rStyle w:val="FootnoteReference"/>
          <w:noProof/>
        </w:rPr>
        <w:footnoteReference w:id="11"/>
      </w:r>
      <w:r>
        <w:rPr>
          <w:noProof/>
        </w:rPr>
        <w:t xml:space="preserve"> soveltamisalan, selvennetään siten, että se kattaa myös DLT-pohjaiset rahoitusvälineet</w:t>
      </w:r>
      <w:r>
        <w:rPr>
          <w:rStyle w:val="FootnoteReference"/>
          <w:noProof/>
        </w:rPr>
        <w:footnoteReference w:id="12"/>
      </w:r>
      <w:r>
        <w:rPr>
          <w:noProof/>
        </w:rPr>
        <w:t>, ja antaa ehdotuksen räätälöidystä järjestelmästä sellaisille kryptovaroille, jotka eivät kuulu nykyisen rahoituspalvelulainsäädännön piiriin, sekä sähköisen rahan tokeneille.</w:t>
      </w:r>
      <w:r>
        <w:rPr>
          <w:rStyle w:val="FootnoteReference"/>
          <w:noProof/>
        </w:rPr>
        <w:footnoteReference w:id="13"/>
      </w:r>
      <w:r>
        <w:rPr>
          <w:noProof/>
        </w:rPr>
        <w:t>.</w:t>
      </w:r>
    </w:p>
    <w:p>
      <w:pPr>
        <w:pBdr>
          <w:top w:val="nil"/>
          <w:left w:val="nil"/>
          <w:bottom w:val="nil"/>
          <w:right w:val="nil"/>
          <w:between w:val="nil"/>
          <w:bar w:val="nil"/>
        </w:pBdr>
        <w:spacing w:before="0" w:after="240"/>
        <w:rPr>
          <w:rFonts w:eastAsia="Times New Roman"/>
          <w:noProof/>
          <w:szCs w:val="20"/>
        </w:rPr>
      </w:pPr>
      <w:r>
        <w:rPr>
          <w:noProof/>
        </w:rPr>
        <w:t xml:space="preserve">Tällä ehdotuksella, joka kattaa DLT-pohjaisten markkinainfrastruktuurien pilottijärjestelmän asetuksen muodossa, on neljä toisiinsa kytkeytyvää yleistä tavoitetta. Ensimmäinen tavoite on oikeusvarmuus. Rahoitusvälineiksi katsottavien kryptovarojen jälkimarkkinoiden kehittämiseksi EU:ssa on tiedettävä tarkasti, miltä osin kehys ei enää ole tarkoituksenmukainen. Toinen tavoite on tukea innovointia. Komission digitaalisen rahoituksen strategian perustana on esteiden poistamiseen uusien teknologioiden soveltamiselta rahoitusalalla. Teknologian ja vastuullisten innovaatioiden käyttöönoton edistämiseksi tarvitaan pilottijärjestelmä, jolla varmistetaan, että voimassa olevaan rahoituspalvelulainsäädäntöön tehtävät laajemmat muutokset perustuvat näyttöön. Kolmas tavoite on edistää kuluttajien ja sijoittajien suojaa ja markkinoiden luotettavuutta, ja neljäntenä tavoitteena on rahoitusvakauden varmistaminen. Pilottijärjestelmällä otetaan käyttöön asianmukaisia suojatoimia, kuten kaupankäynnin kohteena olevien rahoitusvälinetyyppien rajoittaminen. Lisäksi säännökset, joilla pyritään erityisesti </w:t>
      </w:r>
      <w:r>
        <w:rPr>
          <w:noProof/>
        </w:rPr>
        <w:lastRenderedPageBreak/>
        <w:t>varmistamaan rahoitusvakaus sekä kuluttajien ja sijoittajien suoja, eivät lukeudu niihin säännöksiin, joista DLT-pohjainen markkinainfrastruktuuri voitaisiin vapauttaa.</w:t>
      </w:r>
    </w:p>
    <w:p>
      <w:pPr>
        <w:pStyle w:val="ManualHeading2"/>
        <w:rPr>
          <w:rFonts w:eastAsia="Arial Unicode MS"/>
          <w:noProof/>
        </w:rPr>
      </w:pPr>
      <w:r>
        <w:rPr>
          <w:noProof/>
          <w:color w:val="000000"/>
          <w:u w:color="000000"/>
          <w:bdr w:val="nil"/>
        </w:rPr>
        <w:t>•</w:t>
      </w:r>
      <w:r>
        <w:rPr>
          <w:noProof/>
        </w:rPr>
        <w:tab/>
        <w:t>Yhdenmukaisuus muiden alaa koskevien politiikkojen säännösten kanssa</w:t>
      </w:r>
    </w:p>
    <w:p>
      <w:pPr>
        <w:pStyle w:val="Text1"/>
        <w:ind w:left="0"/>
        <w:rPr>
          <w:noProof/>
        </w:rPr>
      </w:pPr>
      <w:r>
        <w:rPr>
          <w:noProof/>
        </w:rPr>
        <w:t>Tämä ehdotus on osa kryptovaroja ja hajautetun tilikirjan teknologiaa (DLT) koskevaa laajempaa kehystä, sillä siihen on liitetty ehdotuksia, joilla pyritään varmistamaan, että nykyinen lainsäädäntö ei muodosta esteitä uusien teknologioiden käyttöönotolle pyrkiessään saavuttamaan tavoitteensa, sekä räätälöity järjestelmä sellaisille kryptovaroille, jotka eivät kuulu voimassa olevan rahoituspalvelulainsäädännön piiriin, ja sähköisen rahan tokeneille.</w:t>
      </w:r>
    </w:p>
    <w:p>
      <w:pPr>
        <w:pStyle w:val="Text1"/>
        <w:ind w:left="0"/>
        <w:rPr>
          <w:noProof/>
        </w:rPr>
      </w:pPr>
      <w:r>
        <w:rPr>
          <w:noProof/>
        </w:rPr>
        <w:t>Osana maaliskuussa 2018 hyväksyttyä FinTech-toimintasuunnitelmaa</w:t>
      </w:r>
      <w:r>
        <w:rPr>
          <w:rStyle w:val="FootnoteReference"/>
          <w:noProof/>
        </w:rPr>
        <w:footnoteReference w:id="14"/>
      </w:r>
      <w:r>
        <w:rPr>
          <w:noProof/>
        </w:rPr>
        <w:t xml:space="preserve"> komissio antoi Euroopan valvontaviranomaisille tehtäväksi antaa neuvoja rahoituspalveluja koskevan EU:n tämänhetkisen sääntelykehyksen sovellettavuudesta ja soveltuvuudesta kryptovaroihin. Tässä ehdotuksessa otetaan huomioon EPV:ltä ja ESMAlta saadut neuvot</w:t>
      </w:r>
      <w:r>
        <w:rPr>
          <w:rStyle w:val="FootnoteReference"/>
          <w:noProof/>
        </w:rPr>
        <w:footnoteReference w:id="15"/>
      </w:r>
      <w:r>
        <w:rPr>
          <w:noProof/>
        </w:rPr>
        <w:t xml:space="preserve">. Se vastaa myös digitaalisen rahoituksen strategian yleistä tavoitetta varmistaa, että EU:n kehys on innovaatiomyönteinen. </w:t>
      </w:r>
    </w:p>
    <w:p>
      <w:pPr>
        <w:pStyle w:val="ManualHeading2"/>
        <w:rPr>
          <w:rFonts w:eastAsia="Arial Unicode MS"/>
          <w:noProof/>
        </w:rPr>
      </w:pPr>
      <w:r>
        <w:rPr>
          <w:noProof/>
          <w:color w:val="000000"/>
          <w:u w:color="000000"/>
          <w:bdr w:val="nil"/>
        </w:rPr>
        <w:t>•</w:t>
      </w:r>
      <w:r>
        <w:rPr>
          <w:noProof/>
        </w:rPr>
        <w:tab/>
        <w:t>Yhdenmukaisuus unionin muiden politiikkojen kanssa</w:t>
      </w:r>
    </w:p>
    <w:p>
      <w:pPr>
        <w:pStyle w:val="Text1"/>
        <w:ind w:left="0"/>
        <w:rPr>
          <w:noProof/>
        </w:rPr>
      </w:pPr>
      <w:r>
        <w:rPr>
          <w:noProof/>
        </w:rPr>
        <w:t>Kuten puheenjohtaja von der Leyenin poliittisissa suuntaviivoissa</w:t>
      </w:r>
      <w:r>
        <w:rPr>
          <w:rStyle w:val="FootnoteReference"/>
          <w:noProof/>
        </w:rPr>
        <w:footnoteReference w:id="16"/>
      </w:r>
      <w:r>
        <w:rPr>
          <w:noProof/>
        </w:rPr>
        <w:t xml:space="preserve"> ja tiedonannossa ”Euroopan digitaalista tulevaisuutta rakentamassa”</w:t>
      </w:r>
      <w:r>
        <w:rPr>
          <w:rStyle w:val="FootnoteReference"/>
          <w:noProof/>
        </w:rPr>
        <w:footnoteReference w:id="17"/>
      </w:r>
      <w:r>
        <w:rPr>
          <w:noProof/>
        </w:rPr>
        <w:t xml:space="preserve"> todetaan, on ratkaisevan tärkeää, että Eurooppa hyödyntää kaikki digiajan edut ja vahvistaa teollista ja innovointikapasiteettiaan turvallisten ja eettisten rajojen puitteissa.</w:t>
      </w:r>
    </w:p>
    <w:p>
      <w:pPr>
        <w:pStyle w:val="Text1"/>
        <w:ind w:left="0"/>
        <w:rPr>
          <w:rFonts w:eastAsia="Arial Unicode MS"/>
          <w:noProof/>
          <w:color w:val="000000"/>
          <w:u w:color="000000"/>
          <w:bdr w:val="nil"/>
        </w:rPr>
      </w:pPr>
      <w:r>
        <w:rPr>
          <w:noProof/>
          <w:color w:val="000000"/>
          <w:u w:color="000000"/>
          <w:bdr w:val="nil"/>
        </w:rPr>
        <w:t>Ehdotus on myös yhdenmukainen pääomamarkkinaunionin luomiseen tähtäävien unionin toimien kanssa. Sillä vastataan erityisesti korkean tason foorumin loppuraporttiin, jossa korostettiin sitä, että kryptovarojen potentiaalia ei ole hyödynnetty kaikilta osin, ja kehotettiin komissiota lisäämään oikeusvarmuutta ja vahvistamaan selkeät säännöt kryptovarojen käytölle.</w:t>
      </w:r>
      <w:r>
        <w:rPr>
          <w:rStyle w:val="FootnoteReference"/>
          <w:noProof/>
          <w:color w:val="000000"/>
          <w:u w:color="000000"/>
          <w:bdr w:val="nil"/>
        </w:rPr>
        <w:footnoteReference w:id="18"/>
      </w:r>
      <w:r>
        <w:rPr>
          <w:noProof/>
          <w:color w:val="000000"/>
          <w:u w:color="000000"/>
          <w:bdr w:val="nil"/>
        </w:rPr>
        <w:t xml:space="preserve"> </w:t>
      </w:r>
    </w:p>
    <w:p>
      <w:pPr>
        <w:pStyle w:val="Text1"/>
        <w:ind w:left="0"/>
        <w:rPr>
          <w:rFonts w:eastAsia="Arial Unicode MS"/>
          <w:noProof/>
          <w:color w:val="000000"/>
          <w:u w:color="000000"/>
          <w:bdr w:val="nil"/>
        </w:rPr>
      </w:pPr>
      <w:r>
        <w:rPr>
          <w:noProof/>
          <w:color w:val="000000"/>
          <w:u w:color="000000"/>
          <w:bdr w:val="nil"/>
        </w:rPr>
        <w:t>Lisäksi ehdotus vastaa täysin turvallisuusunionistrategiassa annettua suositusta kryptovaroja koskevan lainsäädäntökehyksen kehittämiseksi, kun otetaan huomioon näiden uusien teknologioiden kasvava vaikutus siihen, miten rahoitusvaroja lasketaan liikkeeseen, vaihdetaan, jaetaan ja hyödynnetään.</w:t>
      </w:r>
      <w:r>
        <w:rPr>
          <w:rStyle w:val="FootnoteReference"/>
          <w:noProof/>
          <w:color w:val="000000"/>
          <w:u w:color="000000"/>
          <w:bdr w:val="nil"/>
        </w:rPr>
        <w:footnoteReference w:id="19"/>
      </w:r>
    </w:p>
    <w:p>
      <w:pPr>
        <w:pStyle w:val="ManualHeading1"/>
        <w:rPr>
          <w:noProof/>
        </w:rPr>
      </w:pPr>
      <w:r>
        <w:rPr>
          <w:noProof/>
        </w:rPr>
        <w:t>2.</w:t>
      </w:r>
      <w:r>
        <w:rPr>
          <w:noProof/>
        </w:rPr>
        <w:tab/>
        <w:t>OIKEUSPERUSTA, TOISSIJAISUUSPERIAATE JA SUHTEELLISUUSPERIAATE</w:t>
      </w:r>
    </w:p>
    <w:p>
      <w:pPr>
        <w:pStyle w:val="ManualHeading2"/>
        <w:rPr>
          <w:rFonts w:eastAsia="Arial Unicode MS"/>
          <w:noProof/>
          <w:u w:color="000000"/>
          <w:bdr w:val="nil"/>
        </w:rPr>
      </w:pPr>
      <w:r>
        <w:rPr>
          <w:noProof/>
        </w:rPr>
        <w:t>•</w:t>
      </w:r>
      <w:r>
        <w:rPr>
          <w:noProof/>
        </w:rPr>
        <w:tab/>
        <w:t>Oikeusperusta</w:t>
      </w:r>
    </w:p>
    <w:p>
      <w:pPr>
        <w:pStyle w:val="Text1"/>
        <w:ind w:left="0"/>
        <w:rPr>
          <w:noProof/>
        </w:rPr>
      </w:pPr>
      <w:r>
        <w:rPr>
          <w:noProof/>
        </w:rPr>
        <w:t xml:space="preserve">Tämä ehdotus perustuu SEUT-sopimuksen 114 artiklaan, jossa annetaan unionin toimielimille toimivalta antaa sisämarkkinoiden toteuttamista ja toimintaa koskevia aiheellisia säännöksiä </w:t>
      </w:r>
      <w:r>
        <w:rPr>
          <w:noProof/>
        </w:rPr>
        <w:lastRenderedPageBreak/>
        <w:t xml:space="preserve">jäsenvaltioiden lainsäädännön lähentämiseksi. Ehdotuksen tarkoituksena on antaa mahdollisuus kokeilla poikkeusten avulla hajautetun tilikirjan teknologian käyttöä rahoitusvälineiksi katsottavien kryptovarojen kaupassa ja kaupan jälkeisessä toiminnassa niissä tapauksissa, joissa nykyinen lainsäädäntö estää sen tai rajoittaa sitä. </w:t>
      </w:r>
    </w:p>
    <w:p>
      <w:pPr>
        <w:pStyle w:val="Text1"/>
        <w:ind w:left="0"/>
        <w:rPr>
          <w:noProof/>
        </w:rPr>
      </w:pPr>
      <w:r>
        <w:rPr>
          <w:noProof/>
        </w:rPr>
        <w:t xml:space="preserve">Hajautetun tilikirjan teknologian käyttö rahoituspalveluissa on tällä hetkellä vähäistä erityisesti markkinainfrastruktuureissa (kauppapaikoissa tai arvopaperikeskuksissa). Sääntelyyn liittyvät esteet ja oikeusvarmuuden puute mainitaan useimmiten pääsyinä sille, että tämän mahdollisesti mullistavan teknologian käyttöönotto markkinainfrastruktuureissa on rajoittunutta. EU noudattaa teknologianeutraaliuden periaatetta, mutta sääntöjä laaditaan edelleen markkinarealiteettien perusteella, eikä nykyistä rahoituspalvelulainsäädäntöä ole suunniteltu hajautetun tilikirjan teknologiaa ja kryptovaroja silmällä pitäen. Tämä tarkoittaa, että siinä on säännöksiä, jotka toisinaan rajoittavat hajautetun tilikirjan teknologian käyttöä ja jopa estävät sen käytön. DLT-pohjaisten jälkimarkkinoiden puuttuminen rajoittaa tehokkuushyötyjä ja kryptovarojen muodossa olevien rahoitusvälineiden ensimarkkinoiden kestävää kehitystä. </w:t>
      </w:r>
    </w:p>
    <w:p>
      <w:pPr>
        <w:pStyle w:val="Text1"/>
        <w:ind w:left="0"/>
        <w:rPr>
          <w:noProof/>
        </w:rPr>
      </w:pPr>
      <w:r>
        <w:rPr>
          <w:noProof/>
        </w:rPr>
        <w:t>Yhteisen EU:n pilottijärjestelmän käyttöön ottaminen DLT-pohjaisten markkinainfrastruktuurien kokeilemista varten mahdollistaisi sen, että EU:n yritykset voisivat hyödyntää nykyisen kehyksen koko potentiaalin, jolloin valvojat ja lainsäätäjät pystyivät tunnistamaan sääntelyn esteet, kun taas sääntelyviranomaiset ja yritykset itse saisivat arvokasta tietoa hajautetun tilikirjan teknologian soveltamisesta. Tämä voisi auttaa tekemään rahoitusvälineiksi katsottavien kryptovarojen jälkimarkkinoista luotettavampia ja turvallisempia. Se myös auttaisi EU:n rahoituspalveluyrityksiä säilyttämään maailmanlaajuisen kilpailukyvyn, sillä muilla oikeudenkäyttöalueilla on jo toteutettu toimenpiteitä hajautetun tilikirjan teknologian kokeilun mahdollistamiseksi rahoituspalvelujen alalla. Lisäksi pilottijärjestelmän avulla saataisiin käytännön tapauksia, ja se auttaisi keräämään kokemusta ja näyttöä, jota tarvitaan pysyvän EU:n sääntelyjärjestelmän perustaksi.</w:t>
      </w:r>
    </w:p>
    <w:p>
      <w:pPr>
        <w:pStyle w:val="ManualHeading2"/>
        <w:rPr>
          <w:rFonts w:eastAsia="Arial Unicode MS"/>
          <w:noProof/>
          <w:u w:color="000000"/>
          <w:bdr w:val="nil"/>
        </w:rPr>
      </w:pPr>
      <w:r>
        <w:rPr>
          <w:noProof/>
        </w:rPr>
        <w:t>•</w:t>
      </w:r>
      <w:r>
        <w:rPr>
          <w:noProof/>
        </w:rPr>
        <w:tab/>
        <w:t xml:space="preserve">Toissijaisuusperiaate (jaetun toimivallan osalta) </w:t>
      </w:r>
    </w:p>
    <w:p>
      <w:pPr>
        <w:pStyle w:val="Text1"/>
        <w:ind w:left="0"/>
        <w:rPr>
          <w:noProof/>
          <w:szCs w:val="24"/>
        </w:rPr>
      </w:pPr>
      <w:r>
        <w:rPr>
          <w:noProof/>
        </w:rPr>
        <w:t>Rahoituspalveluja ja erityisesti markkinainfrastruktuureja kaikkialla unionissa koskevat säännöt on suurelta osin vahvistettu EU:n tasolla. Tämän vuoksi tiettyjä säännöksiä koskevat poikkeukset tai vapautukset on tehtävä EU:n tasolla.</w:t>
      </w:r>
    </w:p>
    <w:p>
      <w:pPr>
        <w:pStyle w:val="Text1"/>
        <w:ind w:left="0"/>
        <w:rPr>
          <w:noProof/>
          <w:szCs w:val="24"/>
        </w:rPr>
      </w:pPr>
      <w:r>
        <w:rPr>
          <w:noProof/>
        </w:rPr>
        <w:t>Lisäksi EU:n tason toimilla, kuten tällä ehdotetulla asetuksella, varmistettaisiin johdonmukaisuus ja tasapuoliset toimintaedellytykset antamalla ESMAlle valtuudet valvoa ja koordinoida kokeiluja samalla, kun jäsenvaltioiden toimivaltaiset viranomaiset toimittavat markkinatoimijoiden arvioituja hakemuksia.</w:t>
      </w:r>
    </w:p>
    <w:p>
      <w:pPr>
        <w:pStyle w:val="Text1"/>
        <w:ind w:left="0"/>
        <w:rPr>
          <w:noProof/>
          <w:szCs w:val="24"/>
        </w:rPr>
      </w:pPr>
      <w:r>
        <w:rPr>
          <w:noProof/>
        </w:rPr>
        <w:t>Pitkän aikavälin tavoite hankkia kokemuksia nykyisen rahoituspalvelulainsäädännön soveltamisesta DLT-pohjaisiin markkinainfrastruktuureihin ja sen rajoista edellyttää, että tämä tehdään EU:n tasolla. ESMA arvioi tuloksia vuosittain, ja ESMA yhdessä komission kanssa arvioi pilottijärjestelmää ja raportoi siitä neuvostolle ja parlamentille viimeistään viiden vuoden kuluttua.</w:t>
      </w:r>
    </w:p>
    <w:p>
      <w:pPr>
        <w:pStyle w:val="ManualHeading2"/>
        <w:rPr>
          <w:rFonts w:eastAsia="Arial Unicode MS"/>
          <w:noProof/>
          <w:szCs w:val="24"/>
          <w:u w:color="000000"/>
          <w:bdr w:val="nil"/>
        </w:rPr>
      </w:pPr>
      <w:r>
        <w:rPr>
          <w:noProof/>
        </w:rPr>
        <w:t>•</w:t>
      </w:r>
      <w:r>
        <w:rPr>
          <w:noProof/>
        </w:rPr>
        <w:tab/>
        <w:t>Suhteellisuusperiaate</w:t>
      </w:r>
    </w:p>
    <w:p>
      <w:pPr>
        <w:pStyle w:val="Text1"/>
        <w:ind w:left="0"/>
        <w:rPr>
          <w:noProof/>
          <w:szCs w:val="24"/>
        </w:rPr>
      </w:pPr>
      <w:r>
        <w:rPr>
          <w:noProof/>
        </w:rPr>
        <w:t xml:space="preserve">Suhteellisuusperiaatteen mukaan EU:n toiminnan sisältö ja muoto eivät saa ylittää sitä, mikä on tarpeen perussopimusten tavoitteiden saavuttamiseksi. Ehdotetuissa säännöissä ei ylitetä sitä, mikä on tarpeen ehdotuksen tavoitteiden saavuttamiseksi. Ne kattavat ainoastaan sellaiset tavoitteet, joita jäsenvaltiot eivät voi saavuttaa yksin ja joiden tapauksessa hallinnolliset rasitteet ja kustannukset ovat oikeassa suhteessa asetettuihin erityisiin ja yleisiin tavoitteisiin. </w:t>
      </w:r>
    </w:p>
    <w:p>
      <w:pPr>
        <w:pStyle w:val="Text1"/>
        <w:ind w:left="0"/>
        <w:rPr>
          <w:noProof/>
          <w:szCs w:val="24"/>
        </w:rPr>
      </w:pPr>
      <w:r>
        <w:rPr>
          <w:noProof/>
        </w:rPr>
        <w:t xml:space="preserve">Ehdotetun pilottijärjestelmän oikeasuhteisuus varmistetaan antamalla valvontaviranomaisille riittävästi joustovaraa määrittää, mitä säännöksiä markkinatoimijan testauksessa jätetään </w:t>
      </w:r>
      <w:r>
        <w:rPr>
          <w:noProof/>
        </w:rPr>
        <w:lastRenderedPageBreak/>
        <w:t xml:space="preserve">huomioimatta, jotta voidaan toteuttaa erilaisia testitapauksia. Pilottijärjestelmän avulla sääntelyviranomaiset voivat poistaa sääntelyyn liittyviä rajoitteita, jotka voivat haitata DLT-pohjaisten markkinainfrastruktuurien kehittämistä. Tämä voisi mahdollistaa siirtymisen tokenisoituihin rahoitusvälineisiin ja DLT-pohjaisiin markkinainfrastruktuureihin, mikä puolestaan edesauttaisi innovointia ja varmistaisi EU:n maailmanlaajuisen kilpailukyvyn. </w:t>
      </w:r>
    </w:p>
    <w:p>
      <w:pPr>
        <w:pStyle w:val="Text1"/>
        <w:ind w:left="0"/>
        <w:rPr>
          <w:noProof/>
          <w:szCs w:val="24"/>
        </w:rPr>
      </w:pPr>
      <w:r>
        <w:rPr>
          <w:noProof/>
        </w:rPr>
        <w:t>Pilottijärjestelmään perustuvaa lähestymistapaa pidetään tässä vaiheessa oikeasuhteisimpana tavoitteisiin nähden, koska tällä hetkellä ei ole riittävästi näyttöä siitä, että nykyiseen rahoituspalvelukehykseen voitaisiin tehdä merkittäviä ja laaja-alaisia pysyviä muutoksia hajautetun tilikirjan teknologian käytön mahdollistamiseksi. Tätä käsitellään yksityiskohtaisesti myös tähän ehdotukseen liittyvässä vaikutustenarvioinnissa, esimerkiksi luvuissa 6 ja 7</w:t>
      </w:r>
      <w:r>
        <w:rPr>
          <w:rStyle w:val="FootnoteReference"/>
          <w:noProof/>
        </w:rPr>
        <w:footnoteReference w:id="20"/>
      </w:r>
      <w:r>
        <w:rPr>
          <w:noProof/>
        </w:rPr>
        <w:t>.</w:t>
      </w:r>
    </w:p>
    <w:p>
      <w:pPr>
        <w:pStyle w:val="ManualHeading2"/>
        <w:rPr>
          <w:rFonts w:eastAsia="Arial Unicode MS"/>
          <w:noProof/>
          <w:szCs w:val="24"/>
          <w:u w:color="000000"/>
          <w:bdr w:val="nil"/>
        </w:rPr>
      </w:pPr>
      <w:r>
        <w:rPr>
          <w:noProof/>
        </w:rPr>
        <w:t>•</w:t>
      </w:r>
      <w:r>
        <w:rPr>
          <w:noProof/>
        </w:rPr>
        <w:tab/>
        <w:t>Toimintatavan valinta</w:t>
      </w:r>
    </w:p>
    <w:p>
      <w:pPr>
        <w:pStyle w:val="Text1"/>
        <w:ind w:left="0"/>
        <w:rPr>
          <w:noProof/>
          <w:szCs w:val="24"/>
        </w:rPr>
      </w:pPr>
      <w:r>
        <w:rPr>
          <w:noProof/>
        </w:rPr>
        <w:t xml:space="preserve">SEUT-sopimuksen 114 artiklassa annetaan mahdollisuus hyväksyä säädöksiä sekä asetusten että direktiivien muodossa. Tämän ehdotuksen tapauksessa sääntelytavaksi on valittu asetus, jotta voidaan vahvistaa yksi sisämarkkinoilla välittömästi sovellettavaksi tuleva sääntökokonaisuus. </w:t>
      </w:r>
    </w:p>
    <w:p>
      <w:pPr>
        <w:pStyle w:val="Text1"/>
        <w:ind w:left="0"/>
        <w:rPr>
          <w:noProof/>
          <w:szCs w:val="24"/>
        </w:rPr>
      </w:pPr>
      <w:r>
        <w:rPr>
          <w:noProof/>
        </w:rPr>
        <w:t>Ehdotetussa asetuksessa vahvistetaan yhdenmukaistetut vaatimukset markkinatoimijoille, jotka haluavat hakea lupaa DLT-pohjaisen markkinainfrastruktuurin perustamiseen. Tällaisiin DLT-pohjaisiin markkinainfrastruktuureihin ei saa soveltaa kansallisia erityissääntöjä. Näin ollen asetus on tässä tapauksessa soveltuvampi kuin direktiivi.</w:t>
      </w:r>
    </w:p>
    <w:p>
      <w:pPr>
        <w:pStyle w:val="ManualHeading1"/>
        <w:rPr>
          <w:noProof/>
          <w:szCs w:val="24"/>
        </w:rPr>
      </w:pPr>
      <w:r>
        <w:rPr>
          <w:noProof/>
        </w:rPr>
        <w:t>3.</w:t>
      </w:r>
      <w:r>
        <w:rPr>
          <w:noProof/>
        </w:rPr>
        <w:tab/>
        <w:t>JÄLKIARVIOINTIEN, SIDOSRYHMIEN KUULEMISTEN JA VAIKUTUSTENARVIOINTIEN TULOKSET</w:t>
      </w:r>
    </w:p>
    <w:p>
      <w:pPr>
        <w:pStyle w:val="ManualHeading2"/>
        <w:rPr>
          <w:rFonts w:eastAsia="Arial Unicode MS"/>
          <w:noProof/>
          <w:szCs w:val="24"/>
          <w:u w:color="000000"/>
          <w:bdr w:val="nil"/>
        </w:rPr>
      </w:pPr>
      <w:r>
        <w:rPr>
          <w:noProof/>
        </w:rPr>
        <w:t>•</w:t>
      </w:r>
      <w:r>
        <w:rPr>
          <w:noProof/>
        </w:rPr>
        <w:tab/>
        <w:t>Sidosryhmien kuuleminen</w:t>
      </w:r>
    </w:p>
    <w:p>
      <w:pPr>
        <w:pBdr>
          <w:top w:val="nil"/>
          <w:left w:val="nil"/>
          <w:bottom w:val="nil"/>
          <w:right w:val="nil"/>
          <w:between w:val="nil"/>
          <w:bar w:val="nil"/>
        </w:pBdr>
        <w:spacing w:before="0" w:after="240"/>
        <w:rPr>
          <w:rFonts w:eastAsia="Arial Unicode MS"/>
          <w:noProof/>
          <w:szCs w:val="24"/>
        </w:rPr>
      </w:pPr>
      <w:r>
        <w:rPr>
          <w:noProof/>
        </w:rPr>
        <w:t>Komissio on kuullut sidosryhmiä tämän ehdotuksen valmistelun kaikissa vaiheissa. Erityisesti:</w:t>
      </w:r>
    </w:p>
    <w:p>
      <w:pPr>
        <w:pStyle w:val="Point1"/>
        <w:ind w:left="2040" w:hanging="600"/>
        <w:rPr>
          <w:noProof/>
        </w:rPr>
      </w:pPr>
      <w:r>
        <w:rPr>
          <w:noProof/>
        </w:rPr>
        <w:t>i)</w:t>
      </w:r>
      <w:r>
        <w:rPr>
          <w:noProof/>
        </w:rPr>
        <w:tab/>
        <w:t>Komissio toteutti asiaa koskevan avoimen julkisen kuulemisen (19. joulukuuta 2019 – 19. maaliskuuta 2020).</w:t>
      </w:r>
      <w:r>
        <w:rPr>
          <w:rStyle w:val="FootnoteReference"/>
          <w:noProof/>
        </w:rPr>
        <w:footnoteReference w:id="21"/>
      </w:r>
    </w:p>
    <w:p>
      <w:pPr>
        <w:pStyle w:val="Point1"/>
        <w:ind w:left="2040" w:hanging="600"/>
        <w:rPr>
          <w:noProof/>
        </w:rPr>
      </w:pPr>
      <w:r>
        <w:rPr>
          <w:noProof/>
        </w:rPr>
        <w:t>ii)</w:t>
      </w:r>
      <w:r>
        <w:rPr>
          <w:noProof/>
        </w:rPr>
        <w:tab/>
        <w:t>Komissio kuuli yleisöä alustavasta vaikutustenarvioinnista (19. joulukuuta 2019 – 16. tammikuuta 2020).</w:t>
      </w:r>
      <w:r>
        <w:rPr>
          <w:rStyle w:val="FootnoteReference"/>
          <w:noProof/>
        </w:rPr>
        <w:footnoteReference w:id="22"/>
      </w:r>
    </w:p>
    <w:p>
      <w:pPr>
        <w:pStyle w:val="Point1"/>
        <w:ind w:left="2040" w:hanging="600"/>
        <w:rPr>
          <w:noProof/>
        </w:rPr>
      </w:pPr>
      <w:r>
        <w:rPr>
          <w:noProof/>
        </w:rPr>
        <w:t>iii)</w:t>
      </w:r>
      <w:r>
        <w:rPr>
          <w:noProof/>
        </w:rPr>
        <w:tab/>
        <w:t>Komission yksiköt kuulivat jäsenvaltioiden asiantuntijoita pankki-, maksu- ja vakuutusasioita käsittelevässä asiantuntijaryhmässä (EGBPI) kahdesti (18. toukokuuta 2020 ja 16. heinäkuuta 2020).</w:t>
      </w:r>
      <w:r>
        <w:rPr>
          <w:rStyle w:val="FootnoteReference"/>
          <w:noProof/>
        </w:rPr>
        <w:footnoteReference w:id="23"/>
      </w:r>
    </w:p>
    <w:p>
      <w:pPr>
        <w:pStyle w:val="Text1"/>
        <w:ind w:left="0"/>
        <w:rPr>
          <w:noProof/>
          <w:szCs w:val="24"/>
        </w:rPr>
      </w:pPr>
      <w:r>
        <w:rPr>
          <w:noProof/>
        </w:rPr>
        <w:t xml:space="preserve">Julkisen kuulemisen tarkoituksena oli antaa komissiolle tietoa mahdollisen kryptovaroja koskevan EU:n kehyksen kehittämistä varten. Siinä esitettiin vastaajille kysymyksiä, jotka liittyivät sekä voimassa olevan EU:n rahoituspalvelulainsäädännön soveltamisalaan kuulumattomiin kryptovaroihin että tämän lainsäädännön soveltamisalaan kuuluviin </w:t>
      </w:r>
      <w:r>
        <w:rPr>
          <w:noProof/>
        </w:rPr>
        <w:lastRenderedPageBreak/>
        <w:t>kryptovaroihin (esim. siirtokelpoisiksi arvopapereiksi tai sähköiseksi rahaksi katsottavat kryptovarat), kysymyksiä, jotka liittyivät ns. stablecoineihin, sekä yleisempiä kysymyksiä hajautetun tilikirjan teknologian soveltamisesta rahoituspalvelujen alalla.</w:t>
      </w:r>
    </w:p>
    <w:p>
      <w:pPr>
        <w:pStyle w:val="Text1"/>
        <w:ind w:left="0"/>
        <w:rPr>
          <w:noProof/>
          <w:szCs w:val="24"/>
        </w:rPr>
      </w:pPr>
      <w:r>
        <w:rPr>
          <w:noProof/>
        </w:rPr>
        <w:t>Moni vastaaja on sitä mieltä, että hajautetun tilikirjan teknologian soveltaminen yleisesti ottaen rahoituspalveluihin voisi johtaa tehokkuusetuihin ja että sillä voisi olla vaikutusta rahoitusmarkkinoiden nykyisiin infrastruktuureihin. Yleisesti oltiin yhtä mieltä myös siitä, että jos kryptovarat katsotaan rahoitusvälineiksi, niihin olisi sovellettava rahoitusvälineitä koskevia nykyisiä sääntöjä. Vastaajat olivat lisäksi laajalti sitä mieltä, että nykyisten sääntöjen soveltaminen kryptovaroihin ja DLT-pohjaisiin liiketoimintamalleihin voi herättää monimutkaisia oikeudellisia ja valvontaan liittyviä kysymyksiä.</w:t>
      </w:r>
    </w:p>
    <w:p>
      <w:pPr>
        <w:pStyle w:val="Text1"/>
        <w:ind w:left="0"/>
        <w:rPr>
          <w:noProof/>
          <w:szCs w:val="24"/>
        </w:rPr>
      </w:pPr>
      <w:r>
        <w:rPr>
          <w:noProof/>
        </w:rPr>
        <w:t>Jäsenvaltioiden edustajat kannattivat valittua lähestymistapaa, jossa luodaan pilottijärjestelmä, jonka avulla hajautetun tilikirjan teknologian soveltamista voidaan testata rahoituspalveluissa. He korostivat, että se ei saisi olla liian rajoittava, mutta se ei myöskään saisi johtaa markkinoiden pirstaloitumiseen tai heikentää tärkeitä voimassa olevia sääntelyvaatimuksia.</w:t>
      </w:r>
    </w:p>
    <w:p>
      <w:pPr>
        <w:pStyle w:val="Text1"/>
        <w:ind w:left="0"/>
        <w:rPr>
          <w:noProof/>
          <w:szCs w:val="24"/>
        </w:rPr>
      </w:pPr>
      <w:r>
        <w:rPr>
          <w:noProof/>
        </w:rPr>
        <w:t>Ehdotuksessa on otettu huomioon myös sidosryhmien ja EU:n viranomaisten ja toimielinten kokouksista saatu palaute.</w:t>
      </w:r>
    </w:p>
    <w:p>
      <w:pPr>
        <w:pStyle w:val="ManualHeading2"/>
        <w:rPr>
          <w:rFonts w:eastAsia="Arial Unicode MS"/>
          <w:noProof/>
          <w:szCs w:val="24"/>
          <w:u w:color="000000"/>
          <w:bdr w:val="nil"/>
        </w:rPr>
      </w:pPr>
      <w:r>
        <w:rPr>
          <w:noProof/>
        </w:rPr>
        <w:t>•</w:t>
      </w:r>
      <w:r>
        <w:rPr>
          <w:noProof/>
        </w:rPr>
        <w:tab/>
        <w:t>Asiantuntijatiedon keruu ja käyttö</w:t>
      </w:r>
    </w:p>
    <w:p>
      <w:pPr>
        <w:pStyle w:val="Text1"/>
        <w:ind w:left="0"/>
        <w:rPr>
          <w:rFonts w:eastAsia="Arial Unicode MS"/>
          <w:noProof/>
          <w:szCs w:val="24"/>
        </w:rPr>
      </w:pPr>
      <w:r>
        <w:rPr>
          <w:noProof/>
        </w:rPr>
        <w:t>Ehdotusta valmistellessaan komissio on tukeutunut tunnustetuista lähteistä kerättyyn laadulliseen ja määrälliseen näyttöön, jota on saatu muun muassa EPV:n ja ESMAn laatimista raporteista.</w:t>
      </w:r>
      <w:r>
        <w:rPr>
          <w:rStyle w:val="FootnoteReference"/>
          <w:noProof/>
        </w:rPr>
        <w:footnoteReference w:id="24"/>
      </w:r>
      <w:r>
        <w:rPr>
          <w:noProof/>
        </w:rPr>
        <w:t xml:space="preserve"> Lisäksi komissio on käyttänyt luottamuksellista palautetta ja valvontaviranomaisten, kansainvälisten standardointielinten ja johtavien tutkimuslaitosten laatimia julkisesti saatavilla olevia raportteja sekä määrällistä ja laadullista tietoa, jota on saatu tietyiltä globaalin rahoitusalan sidosryhmiltä.</w:t>
      </w:r>
    </w:p>
    <w:p>
      <w:pPr>
        <w:pStyle w:val="ManualHeading2"/>
        <w:rPr>
          <w:rFonts w:eastAsia="Arial Unicode MS"/>
          <w:noProof/>
          <w:szCs w:val="24"/>
          <w:u w:color="000000"/>
          <w:bdr w:val="nil"/>
        </w:rPr>
      </w:pPr>
      <w:r>
        <w:rPr>
          <w:noProof/>
        </w:rPr>
        <w:t>•</w:t>
      </w:r>
      <w:r>
        <w:rPr>
          <w:noProof/>
        </w:rPr>
        <w:tab/>
        <w:t>Vaikutustenarviointi</w:t>
      </w:r>
    </w:p>
    <w:p>
      <w:pPr>
        <w:pStyle w:val="Text1"/>
        <w:ind w:left="0"/>
        <w:rPr>
          <w:noProof/>
        </w:rPr>
      </w:pPr>
      <w:r>
        <w:rPr>
          <w:noProof/>
        </w:rPr>
        <w:t>Tähän ehdotukseen liittyy vaikutustenarviointi</w:t>
      </w:r>
      <w:r>
        <w:rPr>
          <w:rStyle w:val="FootnoteReference"/>
          <w:noProof/>
        </w:rPr>
        <w:footnoteReference w:id="25"/>
      </w:r>
      <w:r>
        <w:rPr>
          <w:noProof/>
        </w:rPr>
        <w:t>, joka toimitettiin sääntelyntarkastelulautakunnan käsiteltäväksi 29. huhtikuuta 2020 ja hyväksyttiin kyseisessä lautakunnassa 29. toukokuuta 2020. Sääntelyntarkastelulautakunta suositteli joillakin osa-alueilla parannuksia, i) jotta aloite voitaisiin paremmin nivoa käynnissä oleviin EU:n ja kansainvälisiin sääntelytoimiin; ii) jotta voitaisiin selkeyttää sitä, miten aloitteella lievennetään petosten, hakkeroinnin ja markkinoiden väärinkäytön riskejä ja miten se on johdonmukainen rahanpesun torjunnasta annetun lainsäädännön tulevan tarkistuksen kanssa; ja iii) jotta voitaisiin selkeyttää sitä, millaisia ongelmia stablecoineista voi aiheutua rahoitusvakaudelle, ja selventää sitä, miten valvontaelimet varmistavat sijoittajien ja kuluttajien suojelun. Vaikutustenarviointiin on tehty näiden parannusten edellyttämät muutokset, ja siinä on otettu huomioon myös sääntelyntarkastelulautakunnan esittämät yksityiskohtaisemmat huomautukset.</w:t>
      </w:r>
    </w:p>
    <w:p>
      <w:pPr>
        <w:pStyle w:val="Text1"/>
        <w:ind w:left="0"/>
        <w:rPr>
          <w:noProof/>
        </w:rPr>
      </w:pPr>
      <w:r>
        <w:rPr>
          <w:noProof/>
        </w:rPr>
        <w:t>Komissio tarkasteli useita toimintavaihtoehtoja, jotka koskevat rahoitusmarkkinadirektiivin</w:t>
      </w:r>
      <w:r>
        <w:rPr>
          <w:rStyle w:val="FootnoteReference"/>
          <w:noProof/>
        </w:rPr>
        <w:footnoteReference w:id="26"/>
      </w:r>
      <w:r>
        <w:rPr>
          <w:noProof/>
        </w:rPr>
        <w:t xml:space="preserve"> (MiFID II) mukaisiksi rahoitusvälineiksi katsottavia kryptovaroja, ja erityisesti seuraavia:</w:t>
      </w:r>
    </w:p>
    <w:p>
      <w:pPr>
        <w:pStyle w:val="Tiret1"/>
        <w:numPr>
          <w:ilvl w:val="0"/>
          <w:numId w:val="29"/>
        </w:numPr>
        <w:rPr>
          <w:noProof/>
        </w:rPr>
      </w:pPr>
      <w:r>
        <w:rPr>
          <w:noProof/>
        </w:rPr>
        <w:lastRenderedPageBreak/>
        <w:t>Vaihtoehto 1: Muut kuin lainsäädäntötoimet, joilla annetaan ohjeistusta rahoituspalveluja koskevan EU:n kehyksen soveltamisesta rahoitusvälineiksi katsottaviin kryptovaroihin ja hajautetun tilikirjan teknologiaan.</w:t>
      </w:r>
    </w:p>
    <w:p>
      <w:pPr>
        <w:pStyle w:val="Tiret1"/>
        <w:rPr>
          <w:noProof/>
        </w:rPr>
      </w:pPr>
      <w:r>
        <w:rPr>
          <w:noProof/>
        </w:rPr>
        <w:t>Vaihtoehto 2: Kohdennetut muutokset rahoituspalveluja koskevaan EU:n kehykseen.</w:t>
      </w:r>
    </w:p>
    <w:p>
      <w:pPr>
        <w:pStyle w:val="Tiret1"/>
        <w:rPr>
          <w:noProof/>
        </w:rPr>
      </w:pPr>
      <w:r>
        <w:rPr>
          <w:noProof/>
        </w:rPr>
        <w:t>Vaihtoehto 3: Pilottijärjestelmä – DLT-pohjaisen markkinainfrastruktuurin luominen</w:t>
      </w:r>
    </w:p>
    <w:p>
      <w:pPr>
        <w:pStyle w:val="Text1"/>
        <w:ind w:left="0"/>
        <w:rPr>
          <w:noProof/>
        </w:rPr>
      </w:pPr>
      <w:r>
        <w:rPr>
          <w:noProof/>
        </w:rPr>
        <w:t>Vaihtoehdossa 1 voitaisiin selventää, milloin kryptovarat voitaisiin katsoa MiFID II -direktiivin mukaisiksi rahoitusvälineiksi. Ohjeistuksella voitaisiin myös tukea ensimarkkinoita (esim. selventämällä tarkemmin, miten esiteasetusta sovellettaisiin tämäntyyppisiin liikkeeseenlaskuihin) ja jossain määrin myös jälkimarkkinoita (määrittämällä, miten kryptovarojen kauppapaikka voisi toimia MiFID II- tai MiFIR</w:t>
      </w:r>
      <w:r>
        <w:rPr>
          <w:rStyle w:val="FootnoteReference"/>
          <w:noProof/>
        </w:rPr>
        <w:footnoteReference w:id="27"/>
      </w:r>
      <w:r>
        <w:rPr>
          <w:noProof/>
        </w:rPr>
        <w:t>-direktiivin puitteissa) sekä kaupan jälkeisten infrastruktuurien kehittämistä kryptovarojen muodossa oleville rahoitusvälineille. Vaihtoehdon 1 mukaisilla muilla kuin lainsäädäntötoimilla voisi kuitenkin olla rajallinen vaikutus. Ei-sitovat toimenpiteet eivät ole oikeudellisesti sitovia, ja yksi jäsenvaltio tai yksi toimivaltainen kansallinen viranomainen voisi päättää olla soveltamatta ohjeita. Ohjeistuksella siitä, mitkä kryptovarat katsotaan MiFID II -direktiivin mukaisiksi rahoitusvälineiksi, saattaisi olla rajallinen vaikutus, koska rahoitusvälineet on käsitteenä saatettu osaksi kansallista lainsäädäntöä eri tavoin.</w:t>
      </w:r>
    </w:p>
    <w:p>
      <w:pPr>
        <w:pStyle w:val="Text1"/>
        <w:ind w:left="0"/>
        <w:rPr>
          <w:noProof/>
        </w:rPr>
      </w:pPr>
      <w:r>
        <w:rPr>
          <w:noProof/>
        </w:rPr>
        <w:t>Vaihtoehto 2 voisi tarjota markkinatoimijoille ja kansallisille toimivaltaisille viranomaisille korkeatasoisen oikeusvarmuuden siitä, miten EU:n rahoituspalvelulainsäädäntöä sovelletaan palveluihin, jotka liittyvät kryptovarojen muodossa olevien rahoitusvälineiden liikkeeseenlaskuun, kaupankäyntiin ja toimitukseen, sekä hajautetun tilikirjan teknologian käyttöön. Kohdennetut muutokset tarkoin määritellyillä osa-alueilla (esim. esiteasetus</w:t>
      </w:r>
      <w:r>
        <w:rPr>
          <w:rStyle w:val="FootnoteReference"/>
          <w:noProof/>
        </w:rPr>
        <w:footnoteReference w:id="28"/>
      </w:r>
      <w:r>
        <w:rPr>
          <w:noProof/>
        </w:rPr>
        <w:t>, arvopaperikeskusasetus</w:t>
      </w:r>
      <w:r>
        <w:rPr>
          <w:rStyle w:val="FootnoteReference"/>
          <w:noProof/>
        </w:rPr>
        <w:footnoteReference w:id="29"/>
      </w:r>
      <w:r>
        <w:rPr>
          <w:noProof/>
        </w:rPr>
        <w:t xml:space="preserve"> ja maksu- ja selvitysjärjestelmiä koskeva direktiivi</w:t>
      </w:r>
      <w:r>
        <w:rPr>
          <w:rStyle w:val="FootnoteReference"/>
          <w:noProof/>
        </w:rPr>
        <w:footnoteReference w:id="30"/>
      </w:r>
      <w:r>
        <w:rPr>
          <w:noProof/>
        </w:rPr>
        <w:t>) voisivat periaatteessa olla tehokas tapa mahdollistaa hajautetun tilikirjan teknologian käytön markkinatoimijoille. Tällaisilla kohdennetuilla yksittäisillä muutoksilla voisi kuitenkin olla rajallinen vaikutus kryptovarojen muodossa olevien rahoitusvälineiden ja hajautetun tilikirjan teknologian käyttöönoton tukemisessa rahoitusalalla. Vaihtoehdossa 2 nykyiseen lainsäädäntöön tehtäisiin suhteellisen vähän muutoksia. Koska hajautetun tilikirjan teknologia ja kryptovarojen muodossa olevat rahoitusvälineet ovat vasta syntyvaiheessa, on vaikea selvittää kaikki sääntelyesteet, jotka edellyttäisivät välittömiä lainsäädäntötoimia.</w:t>
      </w:r>
    </w:p>
    <w:p>
      <w:pPr>
        <w:pStyle w:val="Text1"/>
        <w:ind w:left="0"/>
        <w:rPr>
          <w:noProof/>
        </w:rPr>
      </w:pPr>
      <w:r>
        <w:rPr>
          <w:noProof/>
        </w:rPr>
        <w:t xml:space="preserve">Vaihtoehto 3 antaisi nykyisille sijoituspalveluyrityksille ja markkinatoimijoille mahdollisuuden testata hajautetun tilikirjan teknologian käyttöä laajemmassa mittakaavassa tarjoamalla samanaikaisesti kaupankäynti- ja toimituspalveluja. Hajautetun tilikirjan teknologia voi mahdollistaa lähes reaaliaikaisen selvityksen, mikä vähentää vastapuoliriskiä selvitysprosessin aikana. Hajautetun tilikirjan teknologian hajautettu luonne voisi myös lieventää joitakin kyberriskejä, joita keskitetyillä markkinainfrastruktuureilla on, kuten </w:t>
      </w:r>
      <w:r>
        <w:rPr>
          <w:noProof/>
        </w:rPr>
        <w:lastRenderedPageBreak/>
        <w:t>yksittäinen heikko kohta. Hajautetun tilikirjan teknologian käyttö voisi vähentää kustannuksia, koska se vapauttaisi pääomaa vähentämällä vakuuksien antamisen tarvetta ja hyödyntämällä automatisoituja prosesseja (älykkäitä sopimuksia), jotka voisivat yksinkertaistaa joitakin back office -prosesseja (esim. täsmäytystä).</w:t>
      </w:r>
    </w:p>
    <w:p>
      <w:pPr>
        <w:pStyle w:val="Text1"/>
        <w:ind w:left="0"/>
        <w:rPr>
          <w:noProof/>
        </w:rPr>
      </w:pPr>
      <w:r>
        <w:rPr>
          <w:noProof/>
        </w:rPr>
        <w:t>Näitä kolmea vaihtoehtoa pidettiin johdonmukaisina voimassa olevan lainsäädännön ja digitaalitaloutta koskevien komission tavoitteiden kanssa, eikä niitä pidetty toisensa poissulkevina ja niiden katsottiin tukevan asteittaista sääntelyä, joka lähtee liikkeelle pilottijärjestelmästä.</w:t>
      </w:r>
    </w:p>
    <w:p>
      <w:pPr>
        <w:pStyle w:val="ManualHeading2"/>
        <w:rPr>
          <w:rFonts w:eastAsia="Arial Unicode MS"/>
          <w:noProof/>
          <w:u w:color="000000"/>
          <w:bdr w:val="nil"/>
        </w:rPr>
      </w:pPr>
      <w:r>
        <w:rPr>
          <w:noProof/>
        </w:rPr>
        <w:t>•</w:t>
      </w:r>
      <w:r>
        <w:rPr>
          <w:noProof/>
        </w:rPr>
        <w:tab/>
        <w:t>Perusoikeudet</w:t>
      </w:r>
    </w:p>
    <w:p>
      <w:pPr>
        <w:pStyle w:val="Text1"/>
        <w:ind w:left="0"/>
        <w:rPr>
          <w:noProof/>
        </w:rPr>
      </w:pPr>
      <w:r>
        <w:rPr>
          <w:noProof/>
        </w:rPr>
        <w:t>EU on sitoutunut edistämään korkeatasoista perusoikeuksien suojelua ja allekirjoittanut useita ihmisoikeussopimuksia. Tämän osalta ehdotuksella ei pitäisi olla suoraa vaikutusta kyseisiin oikeuksiin, sellaisina kuin ne on lueteltu YK:n tärkeimmissä ihmisoikeusyleissopimuksissa, Euroopan unionin perusoikeuskirjassa, joka on keskeinen osa EU:n perussopimuksia, ja Euroopan ihmisoikeussopimuksessa (ECHR).</w:t>
      </w:r>
    </w:p>
    <w:p>
      <w:pPr>
        <w:pStyle w:val="ManualHeading1"/>
        <w:rPr>
          <w:noProof/>
        </w:rPr>
      </w:pPr>
      <w:r>
        <w:rPr>
          <w:noProof/>
        </w:rPr>
        <w:t>4.</w:t>
      </w:r>
      <w:r>
        <w:rPr>
          <w:noProof/>
        </w:rPr>
        <w:tab/>
        <w:t>TALOUSARVIOVAIKUTUKSET</w:t>
      </w:r>
    </w:p>
    <w:p>
      <w:pPr>
        <w:pStyle w:val="Text1"/>
        <w:ind w:left="0"/>
        <w:rPr>
          <w:noProof/>
        </w:rPr>
      </w:pPr>
      <w:r>
        <w:rPr>
          <w:noProof/>
        </w:rPr>
        <w:t xml:space="preserve">Tällä ehdotuksella on vaikutuksia kansallisten toimivaltaisten viranomaisten ja ESMAn kustannuksiin ja hallinnollisiin rasitteisiin. Näiden kustannusten suuruus ja jakautuminen riippuvat DLT-pohjaisille markkinainfrastruktuureille asetettavista täsmällisistä vaatimuksista ja niihin liittyvistä valvonta- ja seurantatehtävistä. </w:t>
      </w:r>
    </w:p>
    <w:p>
      <w:pPr>
        <w:pStyle w:val="Text1"/>
        <w:ind w:left="0"/>
        <w:rPr>
          <w:noProof/>
        </w:rPr>
      </w:pPr>
      <w:r>
        <w:rPr>
          <w:noProof/>
        </w:rPr>
        <w:t>Kullekin jäsenvaltiolle aiheutuvat valvontakustannukset (henkilöstö, koulutus ja tietotekniikkainfrastruktuuri mukaan luettuina) ovat arviolta 150 000 – 250 000 euroa vuodessa DLT-pohjaista markkinainfrastruktuuria kohden. Osa näistä kustannuksista katettaisiin kuitenkin valvontamaksuilla, joita kansalliset toimivaltaiset viranomaiset perisivät DLT-pohjaisilta markkinainfrastruktuureilta.</w:t>
      </w:r>
    </w:p>
    <w:p>
      <w:pPr>
        <w:pStyle w:val="Text1"/>
        <w:ind w:left="0"/>
        <w:rPr>
          <w:noProof/>
        </w:rPr>
      </w:pPr>
      <w:r>
        <w:rPr>
          <w:noProof/>
        </w:rPr>
        <w:t xml:space="preserve">ESMAlle arviointiin ja koordinointiin liittyviksi kustannuksiksi arvioidaan yhteensä 150 000 – 300 000 euroa – ei siis DLT-pohjaista markkinainfrastruktuuria kohden, sillä se ei valvo niitä suoraan. Nämä kustannukset katetaan ESMAn toimintatalousarviosta, jota kasvatetaan. Lisäksi ESMAn odotetaan ylläpitävän rekisteriä käytössä olevista DLT-pohjaisista markkinainfrastruktuureista, ja tähän liittyvät kustannukset katsotaan katetuiksi kryptovarojen markkinoita koskevassa asetusehdotuksessa tarkoitetuilla rekisterin ylläpitokustannuksilla. </w:t>
      </w:r>
    </w:p>
    <w:p>
      <w:pPr>
        <w:pStyle w:val="Text1"/>
        <w:ind w:left="0"/>
        <w:rPr>
          <w:noProof/>
        </w:rPr>
      </w:pPr>
      <w:r>
        <w:rPr>
          <w:noProof/>
        </w:rPr>
        <w:t xml:space="preserve">Kaikki tämän ehdotuksen talousarviovaikutukset esitetään yksityiskohtaisesti kryptovarojen markkinoita koskevaan asetusehdotukseen liitetyssä rahoitusselvityksessä. </w:t>
      </w:r>
    </w:p>
    <w:p>
      <w:pPr>
        <w:pStyle w:val="ManualHeading1"/>
        <w:rPr>
          <w:noProof/>
        </w:rPr>
      </w:pPr>
      <w:r>
        <w:rPr>
          <w:noProof/>
        </w:rPr>
        <w:t>5.</w:t>
      </w:r>
      <w:r>
        <w:rPr>
          <w:noProof/>
        </w:rPr>
        <w:tab/>
        <w:t>LISÄTIEDOT</w:t>
      </w:r>
    </w:p>
    <w:p>
      <w:pPr>
        <w:pStyle w:val="ManualHeading2"/>
        <w:rPr>
          <w:rFonts w:eastAsia="Arial Unicode MS"/>
          <w:noProof/>
          <w:u w:color="000000"/>
          <w:bdr w:val="nil"/>
        </w:rPr>
      </w:pPr>
      <w:r>
        <w:rPr>
          <w:noProof/>
        </w:rPr>
        <w:t>•</w:t>
      </w:r>
      <w:r>
        <w:rPr>
          <w:noProof/>
        </w:rPr>
        <w:tab/>
        <w:t>Ehdotukseen sisältyvien säännösten yksityiskohtaiset selitykset</w:t>
      </w:r>
    </w:p>
    <w:p>
      <w:pPr>
        <w:pStyle w:val="Text1"/>
        <w:ind w:left="0"/>
        <w:rPr>
          <w:noProof/>
        </w:rPr>
      </w:pPr>
      <w:r>
        <w:rPr>
          <w:noProof/>
        </w:rPr>
        <w:t xml:space="preserve">Tällä ehdotuksella pyritään tarjoamaan oikeusvarmuutta ja joustavuutta markkinatoimijoille, jotka haluavat ylläpitää DLT-pohjaista markkinainfrastruktuuria, vahvistamalla yhdenmukaiset vaatimukset niiden ylläpidolle. Tämän asetuksen nojalla myönnetyt luvat antaisivat markkinatoimijoille mahdollisuuden ylläpitää DLT-pohjaista markkinainfrastruktuuria ja tarjota palveluja kaikissa jäsenvaltioissa. </w:t>
      </w:r>
    </w:p>
    <w:p>
      <w:pPr>
        <w:pStyle w:val="Text1"/>
        <w:ind w:left="0"/>
        <w:rPr>
          <w:noProof/>
        </w:rPr>
      </w:pPr>
      <w:r>
        <w:rPr>
          <w:noProof/>
        </w:rPr>
        <w:t xml:space="preserve">Ehdotuksen 1 artiklassa määritellään asetuksen kohde ja soveltamisala. Tässä asetuksessa vahvistetaan erityisesti DLT-pohjaisten markkinainfrastruktuurien toiminnan harjoittamisen edellytykset, käyttöluvat sekä toimivaltaisten viranomaisten ja ESMAn suorittama valvonta ja yhteistyö. Asetusta sovelletaan markkinatoimijoihin (joko sijoituspalveluyrityksiin, markkinoiden ylläpitäjiin tai arvopaperikeskuksiin), joille on myönnetty toimilupa 7 tai 8 </w:t>
      </w:r>
      <w:r>
        <w:rPr>
          <w:noProof/>
        </w:rPr>
        <w:lastRenderedPageBreak/>
        <w:t xml:space="preserve">artiklan mukaisesti. Ehdotuksen 2 artiklassa vahvistetaan muun muassa seuraavat termit ja määritelmät: ’DLT-pohjainen markkinainfrastruktuuri’, ’DLT-pohjainen monenkeskinen kaupankäyntijärjestelmä’, ’DLT-pohjainen arvopapereiden selvitysjärjestelmä’ ja ’DLT-siirtokelpoiset arvopaperit’. Ehdotuksen 3 artiklassa kuvataan DLT-pohjaisissa markkinainfrastruktuureissa kaupankäynnin kohteeksi otettavia tai DLT-pohjaisissa markkinainfrastruktuureissa kirjattavia DLT-siirtokelpoisia arvopapereita koskevat rajoitukset. Osakkeiden osalta DLT-siirtokelpoisten arvopapereiden liikkeeseenlaskijan markkina-arvon tai alustavan markkina-arvon olisi oltava alle 200 miljoonaa euroa; muiden julkisten joukkovelkakirjalainojen kuin valtion joukkovelkakirjalainojen sekä katettujen joukkolainojen ja yrityksen liikkeen laskemien joukkovelkakirjalainojen osalta raja on 500 miljoonaa euroa. DLT-pohjaisten markkinainfrastruktuurien ei pitäisi ottaa kaupankäynnin kohteeksi tai kirjata valtion joukkovelkakirjalainoja. Lisäksi DLT-pohjaista arvopapereiden selvitysjärjestelmää ylläpitävän arvopaperikeskuksen tai DLT-pohjaisen monenkeskisen kaupankäyntijärjestelmän, jos sillä on lupa kirjata tällaisia DLT-siirtokelpoisia arvopapereita, kirjaamien DLT-siirtokelpoisten arvopapereiden kokonaismarkkina-arvo saa olla enintään 2,5 miljardia euroa.    </w:t>
      </w:r>
    </w:p>
    <w:p>
      <w:pPr>
        <w:pStyle w:val="Text1"/>
        <w:ind w:left="0"/>
        <w:rPr>
          <w:noProof/>
        </w:rPr>
      </w:pPr>
      <w:r>
        <w:rPr>
          <w:noProof/>
        </w:rPr>
        <w:t xml:space="preserve">Ehdotuksen 4 artiklassa asetetaan DLT-pohjaiselle monenkeskiselle kaupankäyntijärjestelmälle samat vaatimukset kuin direktiivin 2014/65/EU mukaiselle monenkeskiselle kaupankäyntijärjestelmälle ja määritetään tämän asetuksen mukaiset mahdolliset poikkeukset. Ehdotuksen 5 artiklassa asetetaan arvopapereiden selvitysjärjestelmää ylläpitävälle arvopaperikeskukselle samat vaatimukset kuin asetuksen (EU) N:o 909/2014 mukaiselle arvopaperikeskukselle ja määritetään tämän asetuksen mukaiset mahdolliset poikkeukset. Ehdotuksen 4 ja 5 artikla sisältävät luettelon rajoitetuista poikkeuksista, joita DLT-pohjaiset markkinainfrastruktuurit voivat pyytää, ja näihin poikkeuksiin liittyvät ehdot. </w:t>
      </w:r>
    </w:p>
    <w:p>
      <w:pPr>
        <w:pStyle w:val="Text1"/>
        <w:ind w:left="0"/>
        <w:rPr>
          <w:noProof/>
        </w:rPr>
      </w:pPr>
      <w:r>
        <w:rPr>
          <w:noProof/>
        </w:rPr>
        <w:t>Ehdotuksen 6 artiklassa vahvistetaan DLT-pohjaisiin markkinainfrastruktuureihin sovellettavat lisävaatimukset, joilla puututaan hajautetun tilikirjan teknologian käytöstä aiheutuviin uudentyyppisiin riskeihin. DLT-pohjaisten markkinainfrastruktuurien on annettava kaikille jäsenille, osallistujille, asiakkaille ja sijoittajille selkeät ja yksiselitteiset tiedot siitä, miten ne hoitavat toimintojaan, palvelujaan ja toimintaansa ja miten ne poikkeavat perinteisestä monenkeskisestä kaupankäyntijärjestelmästä tai arvopaperikeskuksesta. DLT-pohjaisissa markkinainfrastruktuureissa on myös käytettävä hajautetun tilikirjan teknologian käyttöön liittyviä asianmukaisia yleisiä tietotekniikka- ja kyberjärjestelyjä. Jos DLT-pohjaisen markkinainfrastruktuurin liiketoimintamalliin sisältyy asiakkaiden varojen tai DLT-siirtokelpoisten arvopapereiden säilyttäminen tai jokin tapa päästä käsiksi niihin, sillä on oltava riittävät järjestelyt tällaisten varojen suojaamiseksi.</w:t>
      </w:r>
    </w:p>
    <w:p>
      <w:pPr>
        <w:pStyle w:val="Text1"/>
        <w:ind w:left="0"/>
        <w:rPr>
          <w:noProof/>
        </w:rPr>
      </w:pPr>
      <w:r>
        <w:rPr>
          <w:noProof/>
        </w:rPr>
        <w:t xml:space="preserve">Ehdotuksen 7 ja 8 artiklassa säädetään DLT-pohjaisen monenkeskisen kaupankäyntijärjestelmän ja DLT-pohjaisen arvopapereiden selvitysjärjestelmän ylläpitämiseen vaadittavasta erityislupamenettelystä ja eritellään toimivaltaiselle viranomaiselle toimitettavat tiedot. </w:t>
      </w:r>
    </w:p>
    <w:p>
      <w:pPr>
        <w:pStyle w:val="Text1"/>
        <w:ind w:left="0"/>
        <w:rPr>
          <w:noProof/>
        </w:rPr>
      </w:pPr>
      <w:r>
        <w:rPr>
          <w:noProof/>
        </w:rPr>
        <w:t xml:space="preserve">Ehdotuksen 9 artiklassa määritellään DLT-pohjaisen markkinainfrastruktuurin, toimivaltaisten viranomaisten ja ESMAn välinen yhteistyö. DLT-pohjaisten markkinainfrastruktuurien on ilmoitettava toimivaltaisille viranomaisille ja ESMAlle esimerkiksi ehdotetuista olennaisista muutoksista liiketoimintasuunnitelmaan, mukaan lukien kriittinen henkilöstö, todisteista hakkeroinnista, petoksista tai muista vakavista väärinkäytöksistä, olennaisista muutoksista alkuperäisen lupahakemuksen yhteydessä toimitettuihin tietoihin, teknisistä tai toiminnallisista ongelmista luvan kattamien toimintojen tai palvelujen toteuttamisessa sekä kakista sijoittajansuojaan, markkinoiden eheyteen ja rahoitusvakauteen kohdistuvista riskeistä, joita ei ollut ennakoitu luvan myöntämisajankohtana. Kun toimivaltainen </w:t>
      </w:r>
      <w:r>
        <w:rPr>
          <w:noProof/>
        </w:rPr>
        <w:lastRenderedPageBreak/>
        <w:t>viranomainen saa tällaisia tietoja, se voi pyytää DLT-pohjaista markkinainfrastruktuuria hakemaan uutta lupaa tai poikkeusta tai toteuttaa aiheellisiksi katsomansa korjaavia toimenpiteitä. DLT-pohjainen markkinainfrastruktuuri on velvollinen toimittamaan kaikki pyydetyt tiedot luvan myöntäneelle toimivaltaiselle viranomaiselle ja ESMAlle. Toimivaltainen viranomainen voi ESMAa kuultuaan suosittaa DLT-pohjaiselle markkinainfrastruktuurille korjaavia toimenpiteitä sijoittajansuojan, markkinoiden eheyden tai rahoitusvakauden varmistamiseksi. DLT-pohjaisen markkinainfrastruktuurin on täsmennettävä, miten nämä on toteutettu. Lisäksi DLT-pohjaisen markkinainfrastruktuurin on laadittava ja toimitettava toimivaltaiselle viranomaiselle ja ESMAlle kertomus, jossa esitetään yksityiskohtaisesti kaikki edellä mainitut tiedot, mukaan lukien mahdolliset ongelmat EU:n finanssipalvelulainsäädännön soveltamisessa. ESMA tiedottaa säännöllisesti kaikille toimivaltaisille viranomaisille edellä mainituista DLT-pohjaisten markkinainfrastruktuurien laatimista kertomuksista sekä 7 artiklan ja 8 artiklan mukaisesti myönnetyistä poikkeuksista, seuraa näiden poikkeusten soveltamista ja toimittaa komissiolle vuosittain kertomuksen siitä, miten niitä sovelletaan käytännössä.</w:t>
      </w:r>
    </w:p>
    <w:p>
      <w:pPr>
        <w:pStyle w:val="Text1"/>
        <w:ind w:left="0"/>
        <w:rPr>
          <w:noProof/>
        </w:rPr>
      </w:pPr>
      <w:r>
        <w:rPr>
          <w:noProof/>
        </w:rPr>
        <w:t xml:space="preserve">Ehdotuksen 10 artiklassa säädetään, että ESMA laatii viimeistään viiden vuoden kuluttua komissiolle yksityiskohtaisen kertomuksen pilottijärjestelmästä. Komissio laatii ESMAn arvion perusteella kertomuksen, joka sisältää muun muassa kustannus-hyötyanalyysin siitä, pitäisikö pilottijärjestelmä säilyttää sellaisenaan vai pitäisikö sitä muuttaa, pitäisikö sitä laajentaa kattamaan uusia rahoitusvälineluokkia, pitäisikö EU:n lainsäädäntöön harkita kohdennettuja muutoksia hajautetun tilikirjan teknologian laajan käytön mahdollistamiseksi tai olisiko pilottijärjestelmä lopetettava. </w:t>
      </w:r>
    </w:p>
    <w:p>
      <w:pPr>
        <w:pStyle w:val="Text1"/>
        <w:ind w:left="0"/>
        <w:rPr>
          <w:noProof/>
        </w:rPr>
      </w:pPr>
      <w:r>
        <w:rPr>
          <w:noProof/>
        </w:rPr>
        <w:t xml:space="preserve">Ehdotuksen 11 artiklassa säädetään, että asetusta ryhdytään soveltamaan 12 kuukauden kuluttua sen voimaantulosta. </w:t>
      </w:r>
    </w:p>
    <w:p>
      <w:pPr>
        <w:pStyle w:val="Text1"/>
        <w:ind w:left="0"/>
        <w:rPr>
          <w:noProof/>
        </w:rPr>
        <w:sectPr>
          <w:footerReference w:type="default" r:id="rId11"/>
          <w:footerReference w:type="first" r:id="rId12"/>
          <w:pgSz w:w="11907" w:h="16839"/>
          <w:pgMar w:top="1134" w:right="1417" w:bottom="1134" w:left="1417" w:header="709" w:footer="709" w:gutter="0"/>
          <w:cols w:space="708"/>
          <w:docGrid w:linePitch="360"/>
        </w:sectPr>
      </w:pPr>
      <w:r>
        <w:rPr>
          <w:noProof/>
        </w:rPr>
        <w:t xml:space="preserve"> </w:t>
      </w:r>
    </w:p>
    <w:p>
      <w:pPr>
        <w:pStyle w:val="Rfrenceinterinstitutionnelle"/>
        <w:rPr>
          <w:noProof/>
        </w:rPr>
      </w:pPr>
      <w:r>
        <w:rPr>
          <w:noProof/>
        </w:rPr>
        <w:lastRenderedPageBreak/>
        <w:t>2020/0267 (COD)</w:t>
      </w:r>
    </w:p>
    <w:p>
      <w:pPr>
        <w:pStyle w:val="Statut"/>
        <w:rPr>
          <w:noProof/>
        </w:rPr>
      </w:pPr>
      <w:r>
        <w:rPr>
          <w:noProof/>
        </w:rPr>
        <w:t>Ehdotus</w:t>
      </w:r>
    </w:p>
    <w:p>
      <w:pPr>
        <w:pStyle w:val="Typedudocument"/>
        <w:rPr>
          <w:noProof/>
        </w:rPr>
      </w:pPr>
      <w:r>
        <w:rPr>
          <w:noProof/>
        </w:rPr>
        <w:t>EUROOPAN PARLAMENTIN JA NEUVOSTON ASETUS</w:t>
      </w:r>
    </w:p>
    <w:p>
      <w:pPr>
        <w:pStyle w:val="Titreobjet"/>
        <w:rPr>
          <w:noProof/>
        </w:rPr>
      </w:pPr>
      <w:r>
        <w:rPr>
          <w:noProof/>
        </w:rPr>
        <w:t>hajautetun tilikirjan teknologiaan perustuvien markkinainfrastruktuurien pilottijärjestelmästä</w:t>
      </w:r>
    </w:p>
    <w:p>
      <w:pPr>
        <w:pStyle w:val="IntrtEEE"/>
        <w:rPr>
          <w:noProof/>
        </w:rPr>
      </w:pPr>
      <w:r>
        <w:rPr>
          <w:noProof/>
        </w:rPr>
        <w:t>(ETA:n kannalta merkityksellinen teksti)</w:t>
      </w:r>
    </w:p>
    <w:p>
      <w:pPr>
        <w:pStyle w:val="Institutionquiagit"/>
        <w:rPr>
          <w:noProof/>
        </w:rPr>
      </w:pPr>
      <w:r>
        <w:rPr>
          <w:noProof/>
        </w:rPr>
        <w:t>EUROOPAN PARLAMENTTI ja EUROOPAN UNIONIN NEUVOSTO, jotka</w:t>
      </w:r>
    </w:p>
    <w:p>
      <w:pPr>
        <w:rPr>
          <w:noProof/>
        </w:rPr>
      </w:pPr>
      <w:r>
        <w:rPr>
          <w:noProof/>
        </w:rPr>
        <w:t>ottavat huomioon Euroopan unionin toiminnasta tehdyn sopimuksen ja erityisesti sen 114 artiklan,</w:t>
      </w:r>
    </w:p>
    <w:p>
      <w:pPr>
        <w:rPr>
          <w:noProof/>
        </w:rPr>
      </w:pPr>
      <w:r>
        <w:rPr>
          <w:noProof/>
        </w:rPr>
        <w:t>ottavat huomioon Euroopan komission ehdotuksen,</w:t>
      </w:r>
    </w:p>
    <w:p>
      <w:pPr>
        <w:rPr>
          <w:noProof/>
        </w:rPr>
      </w:pPr>
      <w:r>
        <w:rPr>
          <w:noProof/>
        </w:rPr>
        <w:t>sen jälkeen kun esitys lainsäätämisjärjestyksessä hyväksyttäväksi säädökseksi on toimitettu kansallisille parlamenteille,</w:t>
      </w:r>
    </w:p>
    <w:p>
      <w:pPr>
        <w:pStyle w:val="LegalNumPar"/>
        <w:numPr>
          <w:ilvl w:val="0"/>
          <w:numId w:val="0"/>
        </w:numPr>
        <w:ind w:left="476" w:hanging="476"/>
        <w:rPr>
          <w:noProof/>
        </w:rPr>
      </w:pPr>
      <w:r>
        <w:rPr>
          <w:noProof/>
        </w:rPr>
        <w:t>ottavat huomioon Euroopan talous- ja sosiaalikomitean lausunnon</w:t>
      </w:r>
      <w:r>
        <w:rPr>
          <w:rStyle w:val="FootnoteReference"/>
          <w:noProof/>
        </w:rPr>
        <w:footnoteReference w:id="31"/>
      </w:r>
      <w:r>
        <w:rPr>
          <w:noProof/>
        </w:rPr>
        <w:t xml:space="preserve">, </w:t>
      </w:r>
    </w:p>
    <w:p>
      <w:pPr>
        <w:rPr>
          <w:noProof/>
        </w:rPr>
      </w:pPr>
      <w:r>
        <w:rPr>
          <w:noProof/>
        </w:rPr>
        <w:t>ottavat huomioon Euroopan keskuspankin lausunnon</w:t>
      </w:r>
      <w:r>
        <w:rPr>
          <w:rStyle w:val="FootnoteReference"/>
          <w:noProof/>
        </w:rPr>
        <w:footnoteReference w:id="32"/>
      </w:r>
      <w:r>
        <w:rPr>
          <w:noProof/>
        </w:rPr>
        <w:t>,,</w:t>
      </w:r>
    </w:p>
    <w:p>
      <w:pPr>
        <w:rPr>
          <w:noProof/>
        </w:rPr>
      </w:pPr>
      <w:r>
        <w:rPr>
          <w:noProof/>
        </w:rPr>
        <w:t>noudattavat tavallista lainsäätämisjärjestystä,</w:t>
      </w:r>
    </w:p>
    <w:p>
      <w:pPr>
        <w:rPr>
          <w:noProof/>
        </w:rPr>
      </w:pPr>
      <w:r>
        <w:rPr>
          <w:noProof/>
        </w:rPr>
        <w:t>sekä katsovat seuraavaa:</w:t>
      </w:r>
    </w:p>
    <w:p>
      <w:pPr>
        <w:rPr>
          <w:noProof/>
        </w:rPr>
      </w:pPr>
    </w:p>
    <w:p>
      <w:pPr>
        <w:pStyle w:val="ManualConsidrant"/>
        <w:rPr>
          <w:rStyle w:val="CommentReference"/>
          <w:noProof/>
          <w:sz w:val="24"/>
          <w:szCs w:val="22"/>
        </w:rPr>
      </w:pPr>
      <w:r>
        <w:rPr>
          <w:rStyle w:val="CommentReference"/>
        </w:rPr>
        <w:t>(1)</w:t>
      </w:r>
      <w:r>
        <w:rPr>
          <w:rStyle w:val="CommentReference"/>
        </w:rPr>
        <w:tab/>
      </w:r>
      <w:r>
        <w:rPr>
          <w:noProof/>
        </w:rPr>
        <w:t>Euroopan komission tiedonannolla ”Digitaalisen rahoituksen strategia”</w:t>
      </w:r>
      <w:r>
        <w:rPr>
          <w:rStyle w:val="FootnoteReference"/>
          <w:noProof/>
        </w:rPr>
        <w:footnoteReference w:id="33"/>
      </w:r>
      <w:r>
        <w:rPr>
          <w:noProof/>
        </w:rPr>
        <w:t xml:space="preserve"> pyritään varmistamaan, että unionin rahoituspalvelulainsäädäntö soveltuu digiaikaan ja että sillä edistetään kansalaisten hyväksi toimivaa tulevaisuuden taloutta muun muassa mahdollistamalla innovatiivisten teknologioiden käyttö. Unionilla on toimintapoliittinen intressi edistää läpimurtoteknologioiden kehittämistä ja käyttöönottoa rahoitusalalla, lohkoketju ja hajautetun tilikirjan teknologia (DLT) mukaan lukien. Kryptovarat ovat yksi tärkeimmistä hajautetun tilikirjan teknologian sovelluksista rahoitusalalla.</w:t>
      </w:r>
    </w:p>
    <w:p>
      <w:pPr>
        <w:pStyle w:val="ManualConsidrant"/>
        <w:rPr>
          <w:noProof/>
        </w:rPr>
      </w:pPr>
      <w:r>
        <w:t>(2)</w:t>
      </w:r>
      <w:r>
        <w:tab/>
      </w:r>
      <w:r>
        <w:rPr>
          <w:noProof/>
        </w:rPr>
        <w:t>Suurin osa kryptovaroista jää EU:n lainsäädännön soveltamisalan ulkopuolelle ja aiheuttaa haasteita muun muassa sijoittajansuojalle ja markkinoiden luotettavuudelle ja rahoitusvakaudelle. Sen vuoksi ne edellyttävät erityistä unionin tason järjestelmää. Sen sijaan osaa kryptovaroista voidaan pitää Euroopan parlamentin ja neuvoston direktiivissä 2014/65/EU</w:t>
      </w:r>
      <w:r>
        <w:rPr>
          <w:rStyle w:val="FootnoteReference"/>
          <w:noProof/>
        </w:rPr>
        <w:footnoteReference w:id="34"/>
      </w:r>
      <w:r>
        <w:rPr>
          <w:noProof/>
        </w:rPr>
        <w:t xml:space="preserve"> (rahoitusmarkkinadirektiivi, MiFID II) määriteltyinä </w:t>
      </w:r>
      <w:r>
        <w:rPr>
          <w:noProof/>
        </w:rPr>
        <w:lastRenderedPageBreak/>
        <w:t>rahoitusvälineinä. Silloin kun kryptovara luokitellaan kyseisen direktiivin mukaiseksi rahoitusvälineeksi, sen liikkeeseenlaskijaan ja siihen liittyvää toimintaa harjoittaviin yrityksiin voidaan soveltaa unionin kaikkia rahoitusalaa koskevia säännöksiä, Euroopan parlamentin ja neuvoston asetus (EU) 2017/1129</w:t>
      </w:r>
      <w:r>
        <w:rPr>
          <w:rStyle w:val="FootnoteReference"/>
          <w:noProof/>
        </w:rPr>
        <w:footnoteReference w:id="35"/>
      </w:r>
      <w:r>
        <w:rPr>
          <w:noProof/>
        </w:rPr>
        <w:t xml:space="preserve"> (esiteasetus), Euroopan parlamentin ja neuvoston direktiivi 2013/50/EU</w:t>
      </w:r>
      <w:r>
        <w:rPr>
          <w:rStyle w:val="FootnoteReference"/>
          <w:noProof/>
        </w:rPr>
        <w:footnoteReference w:id="36"/>
      </w:r>
      <w:r>
        <w:rPr>
          <w:noProof/>
        </w:rPr>
        <w:t xml:space="preserve"> (avoimuusdirektiivi), Euroopan parlamentin ja neuvoston asetus (EU) N:o 596/2014</w:t>
      </w:r>
      <w:r>
        <w:rPr>
          <w:rStyle w:val="FootnoteReference"/>
          <w:noProof/>
        </w:rPr>
        <w:footnoteReference w:id="37"/>
      </w:r>
      <w:r>
        <w:rPr>
          <w:noProof/>
        </w:rPr>
        <w:t xml:space="preserve"> (markkinoiden väärinkäyttöasetus), Euroopan parlamentin ja neuvoston asetus (EU) N:o 236/2012</w:t>
      </w:r>
      <w:r>
        <w:rPr>
          <w:rStyle w:val="FootnoteReference"/>
          <w:noProof/>
        </w:rPr>
        <w:footnoteReference w:id="38"/>
      </w:r>
      <w:r>
        <w:rPr>
          <w:noProof/>
        </w:rPr>
        <w:t xml:space="preserve"> (lyhyeksimyyntiasetus), Euroopan parlamentin ja neuvoston asetus (EU) N:o 909/2014</w:t>
      </w:r>
      <w:r>
        <w:rPr>
          <w:rStyle w:val="FootnoteReference"/>
          <w:noProof/>
        </w:rPr>
        <w:footnoteReference w:id="39"/>
      </w:r>
      <w:r>
        <w:rPr>
          <w:noProof/>
        </w:rPr>
        <w:t xml:space="preserve"> (arvopaperikeskusasetus) ja Euroopan parlamentin ja neuvoston direktiivi 98/26/EY</w:t>
      </w:r>
      <w:r>
        <w:rPr>
          <w:rStyle w:val="FootnoteReference"/>
          <w:noProof/>
        </w:rPr>
        <w:footnoteReference w:id="40"/>
      </w:r>
      <w:r>
        <w:rPr>
          <w:noProof/>
        </w:rPr>
        <w:t xml:space="preserve"> (maksu- ja selvitysjärjestelmiä koskeva direktiivi) mukaan lukien. Rahoitusvälineiden niin kutsutun tokenisaation eli niiden muuntamisen kryptovaroiksi hajautettuun tilikirjaan perustuvaa liikkeeseenlaskua, tallentamista ja siirtämistä varten odotetaan avaavan mahdollisuuksia parantaa tehokkuutta koko kaupankäyntitoiminnassa ja sen jälkeisessä toiminnassa. </w:t>
      </w:r>
    </w:p>
    <w:p>
      <w:pPr>
        <w:pStyle w:val="ManualConsidrant"/>
        <w:rPr>
          <w:noProof/>
        </w:rPr>
      </w:pPr>
      <w:r>
        <w:t>(3)</w:t>
      </w:r>
      <w:r>
        <w:tab/>
      </w:r>
      <w:r>
        <w:rPr>
          <w:noProof/>
        </w:rPr>
        <w:t>Unionin rahoituspalvelulainsäädäntöä ei suunniteltu hajautetun tilikirjan teknologiaa ja kryptovaroja silmällä pitäen</w:t>
      </w:r>
      <w:r>
        <w:rPr>
          <w:rStyle w:val="FootnoteReference"/>
          <w:noProof/>
        </w:rPr>
        <w:footnoteReference w:id="41"/>
      </w:r>
      <w:r>
        <w:rPr>
          <w:noProof/>
        </w:rPr>
        <w:t>, ja voimassa oleva EU:n rahoituspalvelulainsäädäntö sisältää säännöksiä, jotka saattavat estää hajautetun tilikirjan teknologian käytön tai rajoittaa sitä rahoitusvälineiksi katsottavien kryptovarojen liikkeeseenlaskussa, kaupankäynnissä ja toimituksessa. Tällä hetkellä ei ole myöskään hajautetun tilikirjan teknologiaa käyttäviä markkinainfrastruktuureja, jotka tarjoaisivat kaupankäynti- ja toimituspalveluja rahoitusvälineiksi katsottaville kryptovaroille. Ilman jälkimarkkinoita, jotka pystyisivät tarjoamaan likviditeettiä ja antamaan sijoittajille mahdollisuuden ostaa ja myydä tällaisia kryptovaroja, rahoitusvälineiksi katsottavien kryptovarojen ensimarkkinat eivät pysty laajenemaan kestävällä tavalla.</w:t>
      </w:r>
    </w:p>
    <w:p>
      <w:pPr>
        <w:pStyle w:val="ManualConsidrant"/>
        <w:rPr>
          <w:noProof/>
        </w:rPr>
      </w:pPr>
      <w:r>
        <w:lastRenderedPageBreak/>
        <w:t>(4)</w:t>
      </w:r>
      <w:r>
        <w:tab/>
      </w:r>
      <w:r>
        <w:rPr>
          <w:noProof/>
        </w:rPr>
        <w:t xml:space="preserve">Samaan aikaan sääntelyssä on aukkoja, jotka johtuvat hajautetun tilikirjan teknologian ja rahoitusvälineiksi katsottavien kryptovarojen käyttöön liittyvistä oikeudellisista, teknologisista ja toiminnallisista erityispiirteistä. Esimerkiksi rahoitusvälineiksi katsottavien kryptovarojen perustana oleville protokollille ja älysopimuksille ei ole asetettu avoimuutta, luotettavuutta ja turvallisuutta koskevia vaatimuksia. Taustalla oleva teknologia voi myös aiheuttaa uudenlaisia kyberriskejä, joihin ei puututa riittävän tehokkaasti nykyisissä säännöissä. Unionissa on kehitetty useita hankkeita rahoitusvälineiksi katsottavien kryptovarojen kauppaa ja kaupan jälkeistä toimintaa varten, mutta vain harvat niistä ovat jo toiminnassa tai ne ovat kattavuudeltaan rajallisia. Koska rahoitusvälineiksi katsottavien kryptovarojen kaupasta ja kaupan jälkeisestä toiminnasta on saatu vain vähän kokemusta, tällä hetkellä olisi ennenaikaista tehdä unionin rahoituspalvelulainsäädäntöön merkittäviä muutoksia, jotka mahdollistaisivat kyseisten kryptovarojen ja niiden taustalla olevan teknologian täysimääräisen hyödyntämisen. Samaan aikaan rahoitusvälineiksi katsottavien kryptovarojen rahoitusmarkkinainfrastruktuurien luomista rajoittavat tällä hetkellä eräät unionin rahoituspalvelulainsäädäntöön sisältyvät vaatimukset, joita ei voida täysin soveltaa rahoitusvälineiksi katsottaviin kryptovaroihin ja hajautetun tilikirjan teknologian käyttöön. Esimerkiksi vähittäissijoittajilla on yleensä suora pääsy kryptovarojen kauppapaikoille, kun taas perinteisiä kauppapaikkoja voi käyttää yleensä vain rahoituksen välittäjien kautta. </w:t>
      </w:r>
    </w:p>
    <w:p>
      <w:pPr>
        <w:pStyle w:val="ManualConsidrant"/>
        <w:rPr>
          <w:noProof/>
        </w:rPr>
      </w:pPr>
      <w:r>
        <w:t>(5)</w:t>
      </w:r>
      <w:r>
        <w:tab/>
      </w:r>
      <w:r>
        <w:rPr>
          <w:noProof/>
        </w:rPr>
        <w:t xml:space="preserve">Jotta rahoitusvälineiksi katsottavia kryptovaroja ja hajautetun tilikirjan teknologiaa voitaisiin kehittää siten, että samalla säilytetään rahoitusvakauden, markkinoiden luotettavuuden, avoimuuden ja sijoittajansuojan korkea taso, olisi hyödyllistä luoda DLT-pohjaisten markkinainfrastruktuurien pilottijärjestelmä. DLT-pohjaisten markkinainfrastruktuurien pilottijärjestelmän olisi mahdollistettava se, että DLT-pohjaiset markkinainfrastruktuurit vapautetaan väliaikaisesti tietyistä unionin rahoituspalvelulainsäädännön mukaisista vaatimuksista, jotka saattaisivat muutoin estää niitä kehittämästä ratkaisuja rahoitusvälineiksi katsottavien kryptovarojen kauppaa ja transaktioiden toimitusta varten. Pilottijärjestelmän olisi myös tarjottava Euroopan arvopaperimarkkinaviranomaiselle (ESMA) ja toimivaltaisille viranomaisille mahdollisuus hankkia kokemusta rahoitusvälineiksi katsottavien kryptovarojen ja niiden perustana olevan teknologian tarjoamista mahdollisuuksista ja niiden aiheuttamista erityisistä riskeistä.  </w:t>
      </w:r>
    </w:p>
    <w:p>
      <w:pPr>
        <w:pStyle w:val="ManualConsidrant"/>
        <w:rPr>
          <w:noProof/>
        </w:rPr>
      </w:pPr>
      <w:r>
        <w:t>(6)</w:t>
      </w:r>
      <w:r>
        <w:tab/>
      </w:r>
      <w:r>
        <w:rPr>
          <w:noProof/>
        </w:rPr>
        <w:t>Tämän tavoitteen saavuttamiseksi DLT-pohjaisille markkinainfrastruktuureille olisi luotava oma asema unionin tasolla. Tällaisen DLT-pohjaisen markkinainfrastruktuurin aseman olisi oltava vapaaehtoinen, eikä se saisi estää rahoitusmarkkinoiden infrastruktuureja, kuten kauppapaikkoja, arvopaperikeskuksia ja keskusvastapuolia, kehittämästä kaupankäyntiin liittyviä ja kaupan jälkeisiä palveluja ja toimintoja kryptovaroille, jotka katsotaan rahoitusvälineiksi tai jotka perustuvat hajautetun tilikirjan teknologiaan, unionin voimassa olevan rahoituspalvelulainsäädännön mukaisesti.</w:t>
      </w:r>
    </w:p>
    <w:p>
      <w:pPr>
        <w:pStyle w:val="ManualConsidrant"/>
        <w:rPr>
          <w:noProof/>
        </w:rPr>
      </w:pPr>
      <w:r>
        <w:t>(7)</w:t>
      </w:r>
      <w:r>
        <w:tab/>
      </w:r>
      <w:r>
        <w:rPr>
          <w:noProof/>
        </w:rPr>
        <w:t>DLT-pohjainen markkinainfrastruktuuri olisi luokiteltava joko DLT-pohjaiseksi monenkeskiseksi kaupankäyntijärjestelmäksi tai DLT-pohjaiseksi arvopapereiden selvitysjärjestelmäksi.</w:t>
      </w:r>
    </w:p>
    <w:p>
      <w:pPr>
        <w:pStyle w:val="ManualConsidrant"/>
        <w:rPr>
          <w:noProof/>
        </w:rPr>
      </w:pPr>
      <w:r>
        <w:t>(8)</w:t>
      </w:r>
      <w:r>
        <w:tab/>
      </w:r>
      <w:r>
        <w:rPr>
          <w:noProof/>
        </w:rPr>
        <w:t xml:space="preserve">DLT-pohjaisen monenkeskisen kaupankäyntijärjestelmän olisi oltava sellainen monenkeskinen kaupankäyntijärjestelmä, jota ylläpitää sellainen liiketoimintaa harjoittava sijoituspalveluyritys tai säännellyn markkinan liiketoimintaa ylläpitävä markkinoiden ylläpitäjä tai mahdollisesti säännelty markkina itse, joka on saanut toimiluvan direktiivin 2014/65/EU (rahoitusmarkkinadirektiivi, MiFID II) mukaisesti </w:t>
      </w:r>
      <w:r>
        <w:rPr>
          <w:noProof/>
        </w:rPr>
        <w:lastRenderedPageBreak/>
        <w:t>ja erityisluvan tämän asetuksen mukaisesti. Tällaiseen DLT-pohjaiseen monenkeskiseen kaupankäyntijärjestelmään olisi sovellettava kaikkia vaatimuksia, joita sovelletaan monenkeskisiin kaupankäyntijärjestelmiin direktiivin 2014/65/EU (rahoitusmarkkinadirektiivi, MiFID II), Euroopan parlamentin ja neuvoston asetuksen (EU) N:o 600/2014</w:t>
      </w:r>
      <w:r>
        <w:rPr>
          <w:rStyle w:val="FootnoteReference"/>
          <w:noProof/>
        </w:rPr>
        <w:footnoteReference w:id="42"/>
      </w:r>
      <w:r>
        <w:rPr>
          <w:noProof/>
        </w:rPr>
        <w:t xml:space="preserve"> (rahoitusmarkkina-asetus, MiFIR) tai muun EU:n rahoituspalvelulainsäädännön mukaisesti, paitsi jos kansallinen toimivaltainen viranomainen on myöntänyt sille yhden tai useamman poikkeuksen tämän asetuksen ja Euroopan parlamentin ja neuvoston direktiivin (EU) .../...</w:t>
      </w:r>
      <w:r>
        <w:rPr>
          <w:rStyle w:val="FootnoteReference"/>
          <w:noProof/>
        </w:rPr>
        <w:footnoteReference w:id="43"/>
      </w:r>
      <w:r>
        <w:rPr>
          <w:noProof/>
        </w:rPr>
        <w:t xml:space="preserve"> mukaisesti.</w:t>
      </w:r>
    </w:p>
    <w:p>
      <w:pPr>
        <w:pStyle w:val="ManualConsidrant"/>
        <w:rPr>
          <w:noProof/>
        </w:rPr>
      </w:pPr>
      <w:r>
        <w:t>(9)</w:t>
      </w:r>
      <w:r>
        <w:tab/>
      </w:r>
      <w:r>
        <w:rPr>
          <w:noProof/>
        </w:rPr>
        <w:t xml:space="preserve">Käyttämällä hajautetun tilikirjan teknologiaa, jossa kaikki transaktiot kirjataan hajautettuun tilikirjaan, voidaan nopeuttaa ja tiivistää kaupankäynti ja toimitus lähes reaaliaikaiseksi ja yhdistää kaupan toiminnot ja kaupankäynnin jälkeiset toiminnot. Nykyisten sääntöjen mukaan kaupankäynti ja toimitus toteutetaan kuitenkin erillisillä markkinainfrastruktuureilla. Euroopan parlamentin ja neuvoston asetuksessa (EU) N:o 909/2014 (arvopaperikeskusasetus) edellytetään, että direktiivissä 2014/65/EU (rahoitusmarkkinadirektiivi, MiFID II) tarkoitetussa kauppapaikassa kaupankäynnin kohteeksi otetut rahoitusvälineet kirjataan arvopaperikeskukseen, kun taas hajautettua tilikirjaa voitaisiin mahdollisesti käyttää tällaisen säilytysyhteisön hajautettuna versiona. Sen vuoksi olisi perusteltua sallia, että DLT-pohjainen monenkeskinen kaupankäyntijärjestelmä suorittaisi joitakin toimintoja, joita tavallisesti hoitaa arvopaperikeskus. Sen vuoksi DLT-pohjaiselle monenkeskiselle kaupankäyntijärjestelmälle myönnettävillä poikkeuksilla (myönnettävällä poikkeuksella) olisi annettava sille lupa hoitaa DLT-siirtokelpoisten arvopapereiden ensimmäinen kirjaaminen, DLT-siirtokelpoisten arvopapereiden transaktioiden toimitus ja DLT-siirtokelpoisten arvopapereiden säilyttäminen. </w:t>
      </w:r>
    </w:p>
    <w:p>
      <w:pPr>
        <w:pStyle w:val="ManualConsidrant"/>
        <w:rPr>
          <w:noProof/>
        </w:rPr>
      </w:pPr>
      <w:r>
        <w:t>(10)</w:t>
      </w:r>
      <w:r>
        <w:tab/>
      </w:r>
      <w:r>
        <w:rPr>
          <w:noProof/>
        </w:rPr>
        <w:t xml:space="preserve">DLT-pohjaisen arvopapereiden selvitysjärjestelmän olisi oltava sellainen arvopapereiden selvitysjärjestelmä, jota ylläpitää asetuksen (EU) N:o 909/2014 (arvopaperikeskusasetus) mukaisesti toimiluvan saanut arvopaperikeskus, joka on saanut erityisluvan tämän asetuksen mukaisesti. DLT-pohjaiseen arvopapereiden selvitysjärjestelmään ja sitä ylläpitävään arvopaperikeskukseen olisi sovellettava asetuksen (EU) N:o 909/2014 (arvopaperikeskusasetus) asiaankuuluvia vaatimuksia, paitsi jos kansallinen toimivaltainen viranomainen on myöntänyt kyseistä DLT-pohjaista arvopapereiden selvitysjärjestelmää ylläpitävälle arvopaperikeskukselle yhden tai useamman poikkeuksen tämän asetuksen mukaisesti. </w:t>
      </w:r>
    </w:p>
    <w:p>
      <w:pPr>
        <w:pStyle w:val="ManualConsidrant"/>
        <w:rPr>
          <w:noProof/>
        </w:rPr>
      </w:pPr>
      <w:r>
        <w:t>(11)</w:t>
      </w:r>
      <w:r>
        <w:tab/>
      </w:r>
      <w:r>
        <w:rPr>
          <w:noProof/>
        </w:rPr>
        <w:t xml:space="preserve">DLT-pohjaisen monenkeskisen kaupankäyntijärjestelmän tai DLT-pohjaista arvopapereiden selvitysjärjestelmää ylläpitävän arvopaperikeskuksen olisi otettava kaupankäynnin kohteeksi tai kirjattava hajautettuun tilikirjaansa ainoastaan DLT-siirtokelpoisia arvopapereita. DLT-siirtokelpoisten arvopapereiden olisi oltava sellaisia kryptovaroja, jotka katsotaan direktiivissä 2014/65/EU (rahoitusmarkkinadirektiivi, MiFID II) tarkoitetuiksi siirtokelpoisiksi arvopapereiksi ja jotka lasketaan liikkeeseen, siirretään ja tallennetaan käyttämällä hajautettua tilikirjaa. </w:t>
      </w:r>
    </w:p>
    <w:p>
      <w:pPr>
        <w:pStyle w:val="ManualConsidrant"/>
        <w:rPr>
          <w:noProof/>
        </w:rPr>
      </w:pPr>
      <w:r>
        <w:t>(12)</w:t>
      </w:r>
      <w:r>
        <w:tab/>
      </w:r>
      <w:r>
        <w:rPr>
          <w:noProof/>
        </w:rPr>
        <w:t xml:space="preserve">Jotta voitaisiin mahdollistaa innovointi ja kokeilut vakaassa sääntely-ympäristössä vaarantamatta rahoitusvakautta, kaupankäynnin kohteeksi DLT-pohjaisessa </w:t>
      </w:r>
      <w:r>
        <w:rPr>
          <w:noProof/>
        </w:rPr>
        <w:lastRenderedPageBreak/>
        <w:t xml:space="preserve">monenkeskisessä kaupankäyntijärjestelmässä otettavat tai DLT-pohjaista arvopapereiden selvitysjärjestelmää ylläpitävään arvopaperikeskukseen tallennettavat siirtokelpoiset arvopaperit olisi rajoitettava arvopapereihin, jotka eivät ole likvidejä, kuten osakkeisiin ja joukkovelkakirjoihin.  Tässä asetuksessa olisi asetettava joitakin kynnysarvoja sen määrittämiseksi, onko osake tai joukkovelkakirja likvidi vai ei. Jotta vältetään rahoitusvakauteen kohdistuvat riskit, DLT-pohjaista arvopapereiden selvitysjärjestelmää ylläpitävän arvopaperikeskuksen kirjaamien tai DLT-pohjaisen monenkeskisen kaupankäyntijärjestelmän kaupankäynnin kohteeksi ottamien DLT-siirtokelpoisten arvopapereiden kokonaismarkkina-arvoa olisi myös rajoitettava. DLT-pohjaisia markkinainfrastruktuureja olisi myös estettävä ottamasta kaupankäynnin kohteeksi valtion joukkovelkakirjalainoja tai kirjaamasta niitä hajautettuun tilikirjaan. Jotta voidaan varmentaa, että DLT-pohjaisessa markkinainfrastruktuurissa kaupankäynnin kohteena olevat tai sen kirjaamat DLT-siirtokelpoiset arvopaperit täyttävät tässä asetuksessa asetetut edellytykset, kansallisten toimivaltaisten viranomaisten olisi voitava vaatia kertomuksia kyseisiltä DLT-pohjaisilta markkinainfrastruktuureilta.  </w:t>
      </w:r>
    </w:p>
    <w:p>
      <w:pPr>
        <w:pStyle w:val="ManualConsidrant"/>
        <w:rPr>
          <w:noProof/>
        </w:rPr>
      </w:pPr>
      <w:r>
        <w:t>(13)</w:t>
      </w:r>
      <w:r>
        <w:tab/>
      </w:r>
      <w:r>
        <w:rPr>
          <w:noProof/>
        </w:rPr>
        <w:t xml:space="preserve">Jotta voidaan varmistaa tasapuoliset toimintaedellytykset direktiivissä 2014/65/EU (rahoitusmarkkinadirektiivi, MiFID II) tarkoitetussa perinteisessä kauppapaikassa kaupankäynnin kohteeksi otettujen siirtokelpoisten arvopapereiden kanssa ja markkinoiden luotettavuuden korkea taso, kaupankäynnin kohteeksi DLT-pohjaisessa monenkeskisessä kaupankäyntijärjestelmässä otettuihin DLT-siirtokelpoisiin arvopapereihin olisi aina sovellettava asetuksen (EU) N:o 596/2014 (markkinoiden väärinkäyttöasetus) säännöksiä, joilla kielletään markkinoiden väärinkäyttö. </w:t>
      </w:r>
    </w:p>
    <w:p>
      <w:pPr>
        <w:pStyle w:val="ManualConsidrant"/>
        <w:rPr>
          <w:noProof/>
        </w:rPr>
      </w:pPr>
      <w:r>
        <w:t>(14)</w:t>
      </w:r>
      <w:r>
        <w:tab/>
      </w:r>
      <w:r>
        <w:rPr>
          <w:noProof/>
        </w:rPr>
        <w:t>DLT-pohjaisen monenkeskisen kaupankäyntijärjestelmän olisi voitava pyytää toimivaltaiselta viranomaiselta yhtä tai useampaa tässä asetuksessa lueteltua väliaikaista poikkeusta, jos se täyttää tällaisille poikkeuksille asetetut ehdot sekä tämän asetuksen mukaiset lisävaatimukset hajautetun tilikirjan teknologian käytöstä aiheutuvien uusien riskien huomioon ottamiseksi. DLT-pohjaisen monenkeskisen kaupankäyntijärjestelmän olisi myös noudatettava kaikkia toimivaltaisen viranomaisen määräämiä korvaavia toimenpiteitä sen säännöksen tavoitteiden saavuttamiseksi, jonka soveltamisesta on haettu poikkeusta.</w:t>
      </w:r>
    </w:p>
    <w:p>
      <w:pPr>
        <w:pStyle w:val="ManualConsidrant"/>
        <w:rPr>
          <w:noProof/>
        </w:rPr>
      </w:pPr>
      <w:r>
        <w:t>(15)</w:t>
      </w:r>
      <w:r>
        <w:tab/>
      </w:r>
      <w:r>
        <w:rPr>
          <w:noProof/>
        </w:rPr>
        <w:t>Jos rahoitusväline otetaan kaupankäynnin kohteeksi monenkeskisessä kaupankäyntijärjestelmässä, se on kirjattava toimiluvan saaneeseen arvopaperikeskukseen asetuksen (EU) N:o 909/2014 (arvopaperikeskusasetus) mukaisesti. Vaikka siirtokelpoisen arvopaperin kirjaaminen ja siihen liittyvien transaktioiden toimitus voitaisiin tehdä käyttämällä hajautettua tilikirjaa, asetuksessa (EU) N:o 909/2014 vaaditaan, että välittäjänä toimii arvopaperikeskus, ja näin ollen hajautettuun tilikirjaan tehty kirjaaminen olisi toistettava arvopaperikeskuksen tasolla, mikä voi johtaa tarpeettomaan toiminnalliseen päällekkäisyyteen sellaisessa rahoitusvälineiden kaupankäynnissä, joka tapahtuu tämän asetuksen soveltamisalaan kuuluvissa DLT-pohjaisissa markkinainfrastruktuureissa. Sen vuoksi DLT-pohjaisen monenkeskisen kaupankäyntijärjestelmän olisi voitava pyytää vapautusta asetuksessa (EU) N:o 909/2014 säädetystä arvo-osuusmuotoa ja arvopaperikeskukseen kirjaamista koskevasta vaatimuksesta, jos se täyttää arvopaperikeskukseen sovellettavia vaatimuksia vastaavat vaatimukset. DLT-pohjaisen monenkeskisen kaupankäyntijärjestelmän olisi kirjattava siirtokelpoiset arvopaperit hajautettuun tilikirjaansa, varmistettava hajautetussa tilikirjassa toteutettujen liikkeeseenlaskujen jatkuva eheys, otettava käyttöön ja ylläpidettävä menettelyjä, joilla varmistetaan DLT-</w:t>
      </w:r>
      <w:r>
        <w:rPr>
          <w:noProof/>
        </w:rPr>
        <w:lastRenderedPageBreak/>
        <w:t xml:space="preserve">siirtokelpoisten arvopapereiden säilyttäminen, saatettava transaktioiden toimitus päätökseen ja ehkäistävä toimituspuutteet. </w:t>
      </w:r>
    </w:p>
    <w:p>
      <w:pPr>
        <w:pStyle w:val="ManualConsidrant"/>
        <w:rPr>
          <w:noProof/>
        </w:rPr>
      </w:pPr>
      <w:r>
        <w:t>(16)</w:t>
      </w:r>
      <w:r>
        <w:tab/>
      </w:r>
      <w:r>
        <w:rPr>
          <w:noProof/>
        </w:rPr>
        <w:t>Kun DLT-pohjainen monenkeskinen kaupankäyntijärjestelmä vastaa DLT-siirtokelpoisia arvopapereita koskevien transaktioiden toimituksesta, sen olisi varmistettava, että ostaja maksaa DLT-siirtokelpoiset arvopaperit samaan aikaan kuin myyjä toimittaa ne (</w:t>
      </w:r>
      <w:r>
        <w:rPr>
          <w:i/>
          <w:noProof/>
        </w:rPr>
        <w:t>luovutus maksua vastaan</w:t>
      </w:r>
      <w:r>
        <w:rPr>
          <w:noProof/>
        </w:rPr>
        <w:t>). Käteismaksut olisi suoritettava keskuspankkirahassa, jos se on käytännöllistä ja mahdollista, tai muussa tapauksessa liikepankkirahassa. Jotta voidaan testata innovatiivisia ratkaisuja ja mahdollistaa käteismaksut hajautetussa tilikirjassa, DLT-pohjaisten monenkeskisten kaupankäyntijärjestelmien olisi myös voitava käyttää niin sanottuja toimitustokeneita (settlement coin) eli tokenisoitua liikepankkirahaa tai kryptovarojen markkinoista annetussa asetuksessa (EU) N:o 2021/XX</w:t>
      </w:r>
      <w:r>
        <w:rPr>
          <w:rStyle w:val="FootnoteReference"/>
          <w:noProof/>
        </w:rPr>
        <w:footnoteReference w:id="44"/>
      </w:r>
      <w:r>
        <w:rPr>
          <w:noProof/>
        </w:rPr>
        <w:t xml:space="preserve"> määriteltyjä sähköisen rahan tokeneita. Kun DLT-pohjainen monenkeskinen kaupankäyntijärjestelmä käyttää liikepankkirahaa käteismaksuissa, sen olisi rajoitettava vastapuoliriskiä asettamalla käteismaksujen toteuttamiseen käytettäville luottolaitoksille tiukkoja kriteereitä, jotka koskevat muun muassa niiden sääntelyä ja valvontaa, luottokelpoisuutta, pääomittamista, likviditeetin saatavuutta ja toiminnallista luotettavuutta, sekä valvomalla kyseisten kriteerien noudattamista.  </w:t>
      </w:r>
    </w:p>
    <w:p>
      <w:pPr>
        <w:pStyle w:val="ManualConsidrant"/>
        <w:rPr>
          <w:noProof/>
        </w:rPr>
      </w:pPr>
      <w:r>
        <w:t>(17)</w:t>
      </w:r>
      <w:r>
        <w:tab/>
      </w:r>
      <w:r>
        <w:rPr>
          <w:noProof/>
        </w:rPr>
        <w:t>Direktiivin (EU) .../...</w:t>
      </w:r>
      <w:r>
        <w:rPr>
          <w:rStyle w:val="FootnoteReference"/>
          <w:noProof/>
        </w:rPr>
        <w:footnoteReference w:id="45"/>
      </w:r>
      <w:r>
        <w:rPr>
          <w:noProof/>
        </w:rPr>
        <w:t>, jolla muutetaan direktiiviä 2014/65/EU (rahoitusmarkkinadirektiivi, MiFID II), nojalla DLT-pohjainen monenkeskinen kaupankäyntijärjestelmä voi pyytää poikkeusta välittämisvelvoitteesta. Perinteiset monenkeskiset kaupankäyntijärjestelmät voivat hyväksyä jäseniksi tai osapuoliksi ainoastaan sijoituspalveluyrityksiä, luottolaitoksia ja muita henkilöitä, joilla on riittävät kaupankäyntivalmiudet, kaupankäyntitaidot, toimintajärjestelyt ja resurssit. Sitä vastoin monille kryptovarojen kauppapaikoille pääsee ilman välittäjää, ja monet niistä tarjoavat vähittäisasiakkaille suoran pääsyn. Yksi mahdollinen sääntelyeste DLT-siirtokelpoisten arvopapereiden monenkeskisten kaupankäyntijärjestelmien kehittämiselle voi olla direktiiviin 2014/65/EU (rahoitusmarkkinadirektiivi, MiFID II) sisältyvä välittämisvelvoite. DLT-pohjainen monenkeskinen kaupankäyntijärjestelmä voi pyytää väliaikaista poikkeusta tästä välittämisvelvoitteesta ja tarjota vähittäissijoittajille suoran pääsyn kauppapaikalle edellyttäen, että käytössä on riittävät sijoittajansuojaa koskevat suojatoimet ja että kyseiset vähittäissijoittajat ovat rahanpesun ja terrorismin rahoituksen torjunnan tavoitteen näkökulmasta sopivia ja luotettavia.</w:t>
      </w:r>
    </w:p>
    <w:p>
      <w:pPr>
        <w:pStyle w:val="ManualConsidrant"/>
        <w:rPr>
          <w:noProof/>
        </w:rPr>
      </w:pPr>
      <w:r>
        <w:t>(18)</w:t>
      </w:r>
      <w:r>
        <w:tab/>
      </w:r>
      <w:r>
        <w:rPr>
          <w:noProof/>
        </w:rPr>
        <w:t xml:space="preserve">Jotta DLT-pohjaiselle monenkeskiselle kaupankäyntijärjestelmälle voidaan myöntää poikkeus tämän asetuksen nojalla, sen olisi osoitettava, että poikkeus on oikeasuhteinen ja rajoittuu hajautetun tilikirjan teknologian käyttöön sen liiketoimintasuunnitelmassa kuvatulla tavalla ja että pyydetty poikkeus koskee ainoastaan DLT-pohjaista monenkeskistä kaupankäyntijärjestelmää eikä sitä laajenneta muihin saman sijoituspalveluyrityksen tai markkinoiden ylläpitäjän ylläpitämiin monenkeskisiin kaupankäyntijärjestelmiin. </w:t>
      </w:r>
    </w:p>
    <w:p>
      <w:pPr>
        <w:pStyle w:val="ManualConsidrant"/>
        <w:rPr>
          <w:noProof/>
        </w:rPr>
      </w:pPr>
      <w:r>
        <w:t>(19)</w:t>
      </w:r>
      <w:r>
        <w:tab/>
      </w:r>
      <w:r>
        <w:rPr>
          <w:noProof/>
        </w:rPr>
        <w:t xml:space="preserve">DLT-pohjaista arvopapereiden selvitysjärjestelmää ylläpitävän arvopaperikeskuksen olisi voitava pyytää toimivaltaiselta viranomaiselta yhtä tai useampaa tässä </w:t>
      </w:r>
      <w:r>
        <w:rPr>
          <w:noProof/>
        </w:rPr>
        <w:lastRenderedPageBreak/>
        <w:t xml:space="preserve">asetuksessa lueteltua väliaikaista poikkeusta, jos se täyttää tällaisille poikkeuksille asetetut ehdot ja lisävaatimukset hajautetun tilikirjan teknologian käytöstä aiheutuvien uusien riskien huomioon ottamiseksi. DLT-pohjaista arvopapereiden selvitysjärjestelmää ylläpitävän arvopaperikeskuksen olisi noudatettava kaikkia toimivaltaisen viranomaisen määräämiä korvaavia toimenpiteitä sen säännöksen tavoitteiden saavuttamiseksi, jonka soveltamisesta on haettu poikkeusta. </w:t>
      </w:r>
    </w:p>
    <w:p>
      <w:pPr>
        <w:pStyle w:val="ManualConsidrant"/>
        <w:rPr>
          <w:noProof/>
        </w:rPr>
      </w:pPr>
      <w:r>
        <w:t>(20)</w:t>
      </w:r>
      <w:r>
        <w:tab/>
      </w:r>
      <w:r>
        <w:rPr>
          <w:noProof/>
        </w:rPr>
        <w:t xml:space="preserve">Arvopapereiden selvitysjärjestelmää ylläpitävän arvopaperikeskuksen olisi voitava pyytää poikkeuksia sellaisista säännöksistä, jotka todennäköisesti luovat sääntelyesteitä siirtokelpoisten arvopapereiden selvitysjärjestelmien kehittämiselle. Arvopaperikeskuksen olisi esimerkiksi voitava pyytää vapautusta joistakin asetuksen (EU) N:o 909/2014 (arvopaperikeskusasetus) määritelmistä, kuten </w:t>
      </w:r>
      <w:r>
        <w:rPr>
          <w:i/>
          <w:noProof/>
        </w:rPr>
        <w:t>’aineettoman muodon’</w:t>
      </w:r>
      <w:r>
        <w:rPr>
          <w:noProof/>
        </w:rPr>
        <w:t xml:space="preserve">, </w:t>
      </w:r>
      <w:r>
        <w:rPr>
          <w:i/>
          <w:noProof/>
        </w:rPr>
        <w:t>’arvopaperitilin’</w:t>
      </w:r>
      <w:r>
        <w:rPr>
          <w:noProof/>
        </w:rPr>
        <w:t xml:space="preserve"> ja </w:t>
      </w:r>
      <w:r>
        <w:rPr>
          <w:i/>
          <w:noProof/>
        </w:rPr>
        <w:t>’siirtomääräysten’</w:t>
      </w:r>
      <w:r>
        <w:rPr>
          <w:noProof/>
        </w:rPr>
        <w:t xml:space="preserve"> käsitteistä, sekä vapautuksia säännöksistä, joissa viitataan </w:t>
      </w:r>
      <w:r>
        <w:rPr>
          <w:i/>
          <w:noProof/>
        </w:rPr>
        <w:t>’arvopaperitilin’</w:t>
      </w:r>
      <w:r>
        <w:rPr>
          <w:noProof/>
        </w:rPr>
        <w:t xml:space="preserve"> käsitteeseen, kuten arvopapereiden kirjaamista, liikkeeseenlaskun eheyttä tai tilien erottelua koskevista säännöistä. Arvopaperikeskukset ylläpitävät arvopapereiden selvitysjärjestelmää hyvittämällä ja veloittamalla osallistujiensa arvopaperitilejä. DLT-pohjaisessa järjestelmässä ei kuitenkaan aina ole kahdenkertaisen (tai moninkertaisen) kirjanpidon arvopaperitilejä. DLT-pohjaista arvopapereiden selvitysjärjestelmää ylläpitävän arvopaperikeskuksen olisi sen vuoksi voitava pyytää vapautusta säännöistä, joissa viitataan </w:t>
      </w:r>
      <w:r>
        <w:rPr>
          <w:i/>
          <w:noProof/>
        </w:rPr>
        <w:t>’arvopaperitilin’</w:t>
      </w:r>
      <w:r>
        <w:rPr>
          <w:noProof/>
        </w:rPr>
        <w:t xml:space="preserve"> tai </w:t>
      </w:r>
      <w:r>
        <w:rPr>
          <w:i/>
          <w:noProof/>
        </w:rPr>
        <w:t>’arvo-osuusmuodon</w:t>
      </w:r>
      <w:r>
        <w:rPr>
          <w:noProof/>
        </w:rPr>
        <w:t xml:space="preserve">’ käsitteeseen, jos tämä on tarpeen DLT-siirtokelpoisten arvopapereiden kirjaamiseksi hajautettuun tilikirjaan, jotta voidaan varmistaa DLT-siirtokelpoisten arvopapereiden liikkeeseenlaskun eheys hajautetussa tilikirjassa ja eri osallistujille kuuluvien DLT-siirtokelpoisten arvopapereiden erottelu.  </w:t>
      </w:r>
    </w:p>
    <w:p>
      <w:pPr>
        <w:pStyle w:val="ManualConsidrant"/>
        <w:rPr>
          <w:noProof/>
        </w:rPr>
      </w:pPr>
      <w:r>
        <w:t>(21)</w:t>
      </w:r>
      <w:r>
        <w:tab/>
      </w:r>
      <w:r>
        <w:rPr>
          <w:noProof/>
        </w:rPr>
        <w:t xml:space="preserve">Asetuksen (EU) N:o 909/2014 (arvopaperikeskusasetus) mukaan arvopaperikeskus voi ulkoistaa jonkin ydintoiminnoistaan vasta saatuaan siihen luvan toimivaltaiselta viranomaiselta. Arvopaperikeskuksen on myös noudatettava useita ehtoja, jotta ulkoistaminen ei johda sen vastuun siirtämiseen tai niiden velvoitteiden muuttumiseen, joita sillä on osallistujia tai liikkeeseenlaskijoita kohtaan. DLT-pohjaista arvopapereiden selvitysjärjestelmää ylläpitävä arvopaperikeskus voi liiketoimintasuunnitelmastaan riippuen olla halukas jakamaan vastuun hajautetun tilikirjan, johon siirtokelpoiset arvopaperit kirjataan, ylläpidosta muiden toimijoiden, myös osallistujiensa, kanssa. DLT-pohjaisen arvopapereiden selvitysjärjestelmän olisi voitava pyytää vapautusta ulkoistamiseen sovellettavista vaatimuksista tällaisten innovatiivisten liiketoimintamallien kehittämiseksi. Tällaisessa tapauksessa niiden olisi osoitettava, että ulkoistamista koskevat säännökset eivät sovi yhteen liiketoimintasuunnitelmassa esitetyn hajautetun tilikirjan teknologian käytön kanssa, ja niiden olisi myös osoitettava, että tietyt ulkoistamista koskevat vähimmäisvaatimukset täyttyvät. </w:t>
      </w:r>
    </w:p>
    <w:p>
      <w:pPr>
        <w:pStyle w:val="ManualConsidrant"/>
        <w:rPr>
          <w:noProof/>
        </w:rPr>
      </w:pPr>
      <w:r>
        <w:t>(22)</w:t>
      </w:r>
      <w:r>
        <w:tab/>
      </w:r>
      <w:r>
        <w:rPr>
          <w:noProof/>
        </w:rPr>
        <w:t xml:space="preserve">Velvoite käyttää luottolaitosta tai sijoituspalveluyritystä välittäjänä siten, että vähittäissijoittajilla ei ole suoraa pääsyä arvopaperikeskuksen ylläpitämiin selvitys- ja toimitusjärjestelmiin, voi luoda mahdollisen sääntelyesteen sellaisten vaihtoehtoisten selvitysmallien kehittämiselle, jotka perustuvat hajautetun tilikirjan teknologiaan ja mahdollistavat vähittäisasiakkaiden suoran pääsyn järjestelmään. DLT-pohjaista arvopapereiden selvitysjärjestelmää ylläpitävän arvopaperikeskuksen olisi sen vuoksi voitava pyytää poikkeusta osallistujan käsitteestä, josta säädetään asetuksessa (EU) N:o 909/2014 (arvopaperikeskusasetus). Kun arvopapereiden selvitysjärjestelmää ylläpitävä arvopaperikeskus hakee poikkeusta asetuksen (EU) N:o 909/2014 (arvopaperikeskusasetus) mukaisesta välittämisvelvoitteesta, sen olisi varmistettava, että asianomaiset henkilöt ovat riittävän hyvämaineisia sekä rahanpesun ja terrorismin </w:t>
      </w:r>
      <w:r>
        <w:rPr>
          <w:noProof/>
        </w:rPr>
        <w:lastRenderedPageBreak/>
        <w:t xml:space="preserve">rahoituksen torjunnan tavoitteen näkökulmasta sopivia ja luotettavia. Arvopapereiden selvitysjärjestelmää ylläpitävän arvopaperikeskuksen olisi myös varmistettava, että näillä osallistujilla on riittävät valmiudet sekä riittävä pätevyys, kokemus ja tietämys kaupankäynnin jälkeisistä toiminnoista ja hajautetun tilikirjan teknologian toiminnasta. </w:t>
      </w:r>
    </w:p>
    <w:p>
      <w:pPr>
        <w:pStyle w:val="ManualConsidrant"/>
        <w:rPr>
          <w:noProof/>
        </w:rPr>
      </w:pPr>
      <w:r>
        <w:t>(23)</w:t>
      </w:r>
      <w:r>
        <w:tab/>
      </w:r>
      <w:r>
        <w:rPr>
          <w:noProof/>
        </w:rPr>
        <w:t xml:space="preserve">Toimijat, jotka voivat osallistua asetuksen (EU) N:o 909/2014 (arvopaperikeskusasetus) soveltamisalaan kuuluvaan arvopaperikeskukseen, perustuvat toimijoihin, jotka voivat osallistua direktiivin 98/26/EY (maksu- ja selvitysjärjestelmiä koskeva direktiivi) mukaisesti nimettyyn ja ilmoitettuun arvopapereiden selvitysjärjestelmään, koska asetuksessa (EU) N:o 909/2014 (arvopaperikeskusasetus) edellytetään arvopaperikeskusten ylläpitämien arvopapereiden selvitysjärjestelmien nimeämistä ja ilmoittamista direktiivin 98/26/EY mukaisesti. DLT-pohjainen arvopapereiden selvitysjärjestelmä, joka hakee vapautusta asetuksen (EU) N:o 909/2014 (arvopaperikeskusasetus) mukaisista osallistumista koskevista vaatimuksista, ei olisi direktiivin 98/26/EY mukaisten osallistumista koskevien vaatimusten mukainen. Näin ollen tällaista DLT-pohjaista arvopapereiden selvitysjärjestelmää ei voitaisi nimetä eikä ilmoittaa kyseisen direktiivin mukaisesti.  Tämä ei kuitenkaan estäisi nimeämästä ja ilmoittamasta DLT-pohjaista arvopapereiden selvitysjärjestelmää, joka täyttää kaikki direktiivin 98/26/EY vaatimukset.   </w:t>
      </w:r>
    </w:p>
    <w:p>
      <w:pPr>
        <w:pStyle w:val="ManualConsidrant"/>
        <w:rPr>
          <w:noProof/>
        </w:rPr>
      </w:pPr>
      <w:r>
        <w:t>(24)</w:t>
      </w:r>
      <w:r>
        <w:tab/>
      </w:r>
      <w:r>
        <w:rPr>
          <w:noProof/>
        </w:rPr>
        <w:t>Asetuksessa (EU) N:o 909/2014 (arvopaperikeskusasetus) kannustetaan toimittamaan transaktiot keskuspankkirahassa. Jos käteissuoritus keskuspankkirahassa ei ole käytettävissä eikä toteutettavissa, toimitus voidaan toteuttaa liikepankkirahassa. Tätä säännöstä voi olla vaikea soveltaa DLT-pohjaista arvopapereiden selvitysjärjestelmää ylläpitävään arvopaperikeskukseen, koska tällaisen arvopaperikeskuksen olisi tehtävä siirtoja käteistileillä samalla kun arvopapereita luovutetaan käyttämällä hajautetun tilikirjan teknologiaa. DLT-pohjaista arvopapereiden selvitysjärjestelmää ylläpitävän arvopaperikeskuksen olisi voitava pyytää vapautusta käteistoimituksia koskevista asetuksen (EU) N:o 909/2014 (arvopaperikeskusasetus) säännöistä kehittääkseen innovatiivisia ratkaisuja, kuten toimitustokenien (settlement coin) tai sähköisen rahan tokenien käyttöä, sellaisina kuin ne on määritelty kryptovarojen markkinoista annetussa asetuksessa (EU) N:o 2021/XX</w:t>
      </w:r>
      <w:r>
        <w:rPr>
          <w:rStyle w:val="FootnoteReference"/>
          <w:noProof/>
        </w:rPr>
        <w:footnoteReference w:id="46"/>
      </w:r>
      <w:r>
        <w:rPr>
          <w:noProof/>
        </w:rPr>
        <w:t>.</w:t>
      </w:r>
    </w:p>
    <w:p>
      <w:pPr>
        <w:pStyle w:val="ManualConsidrant"/>
        <w:rPr>
          <w:noProof/>
        </w:rPr>
      </w:pPr>
      <w:r>
        <w:t>(25)</w:t>
      </w:r>
      <w:r>
        <w:tab/>
      </w:r>
      <w:r>
        <w:rPr>
          <w:noProof/>
        </w:rPr>
        <w:t xml:space="preserve">Asetuksessa (EU) N:o 909/2014 (arvopaperikeskusasetus) edellytetään, että arvopaperikeskus tarjoaa pääsyn toiseen arvopaperikeskukseen ja muihin markkinainfrastruktuureihin. Pääsyn tarjoaminen DLT-pohjaista arvopapereiden selvitysjärjestelmää ylläpitävään arvopaperikeskukseen voi aiheuttaa rasitteita tai vaikeuksia, koska perinteisten järjestelmien yhteentoimivuutta hajautetun tilikirjan teknologian kanssa ei ole vielä testattu. DLT-pohjaisen arvopapereiden selvitysjärjestelmän olisi myös voitava pyytää poikkeusta tällaisista säännöistä, jos se voi osoittaa, että tällaisten sääntöjen soveltaminen on suhteetonta kyseisen arvopapereiden selvitysjärjestelmän kokoon nähden. </w:t>
      </w:r>
    </w:p>
    <w:p>
      <w:pPr>
        <w:pStyle w:val="ManualConsidrant"/>
        <w:rPr>
          <w:noProof/>
        </w:rPr>
      </w:pPr>
      <w:r>
        <w:t>(26)</w:t>
      </w:r>
      <w:r>
        <w:tab/>
      </w:r>
      <w:r>
        <w:rPr>
          <w:noProof/>
        </w:rPr>
        <w:t xml:space="preserve">Riippumatta säännöstä, jota koskevaa poikkeusta pyydetään, DLT-pohjaista arvopapereiden selvitysjärjestelmää ylläpitävän arvopaperikeskuksen olisi osoitettava, että pyydetty poikkeus on oikeasuhteinen ja perusteltavissa hajautetun tilikirjan teknologian käytöllä. Poikkeus olisi myös rajattava DLT-pohjaiseen arvopapereiden </w:t>
      </w:r>
      <w:r>
        <w:rPr>
          <w:noProof/>
        </w:rPr>
        <w:lastRenderedPageBreak/>
        <w:t xml:space="preserve">selvitysjärjestelmään, eikä se saisi kattaa muita saman arvopaperikeskuksen ylläpitämiä arvopapereiden selvitysjärjestelmiä.   </w:t>
      </w:r>
    </w:p>
    <w:p>
      <w:pPr>
        <w:pStyle w:val="ManualConsidrant"/>
        <w:rPr>
          <w:noProof/>
        </w:rPr>
      </w:pPr>
      <w:r>
        <w:t>(27)</w:t>
      </w:r>
      <w:r>
        <w:tab/>
      </w:r>
      <w:r>
        <w:rPr>
          <w:noProof/>
        </w:rPr>
        <w:t>Myös DLT-pohjaisiin markkinainfrastruktuureihin olisi myös sovellettava lisävaatimuksia perinteisiin markkinainfrastruktuureihin verrattuna. Nämä vaatimukset ovat tarpeen, jotta voidaan välttää riskit, jotka aiheutuvat hajautetun tilikirjan teknologian käytöstä tai DLT-pohjaisen markkinainfrastruktuurin uudenlaisesta toimintatavasta. Siksi DLT-pohjaisen markkinainfrastruktuurin olisi laadittava selkeä liiketoimintasuunnitelma, jossa esitetään yksityiskohtaisesti, miten hajautetun tilikirjan teknologiaa käytetään ja mitä oikeudellisia järjestelyjä on otettu käyttöön.</w:t>
      </w:r>
    </w:p>
    <w:p>
      <w:pPr>
        <w:pStyle w:val="ManualConsidrant"/>
        <w:rPr>
          <w:noProof/>
        </w:rPr>
      </w:pPr>
      <w:r>
        <w:t>(28)</w:t>
      </w:r>
      <w:r>
        <w:tab/>
      </w:r>
      <w:r>
        <w:rPr>
          <w:noProof/>
        </w:rPr>
        <w:t xml:space="preserve">DLT-pohjaista arvopapereiden selvitysjärjestelmää ylläpitävän arvopaperikeskuksen tai sellaisen DLT-pohjaisen monenkeskisen kaupankäyntijärjestelmän, jolla on lupa itse toteuttaa DLT-siirtokelpoisia arvopapereita koskevien transaktioiden toimitus, olisi laadittava oman hajautetun tilikirjan teknologiansa toimintaa koskevat säännöt, mukaan lukien säännöt, jotka koskevat kyseiseen teknologiaan pääsyä, siihen osallistuvia solmupisteitä ja mahdollisiin eturistiriitoihin puuttumista, sekä otettava käyttöön riskinhallintatoimenpiteet. </w:t>
      </w:r>
    </w:p>
    <w:p>
      <w:pPr>
        <w:pStyle w:val="ManualConsidrant"/>
        <w:rPr>
          <w:noProof/>
        </w:rPr>
      </w:pPr>
      <w:r>
        <w:t>(29)</w:t>
      </w:r>
      <w:r>
        <w:tab/>
      </w:r>
      <w:r>
        <w:rPr>
          <w:noProof/>
        </w:rPr>
        <w:t xml:space="preserve">DLT-pohjainen markkinainfrastruktuuri olisi velvoitettava tiedottamaan jäsenille, osallistujille, liikkeeseenlaskijoille ja asiakkaille siitä, miten se aikoo harjoittaa toimintaansa ja miten hajautetun tilikirjan teknologian käyttö eroaa siitä, miten perinteinen monenkeskinen kaupankäyntijärjestelmä tai arvopapereiden selvitysjärjestelmää ylläpitävä arvopaperikeskus tavallisesti tarjoaa palveluja. </w:t>
      </w:r>
    </w:p>
    <w:p>
      <w:pPr>
        <w:pStyle w:val="ManualConsidrant"/>
        <w:rPr>
          <w:noProof/>
        </w:rPr>
      </w:pPr>
      <w:r>
        <w:t>(30)</w:t>
      </w:r>
      <w:r>
        <w:tab/>
      </w:r>
      <w:r>
        <w:rPr>
          <w:noProof/>
        </w:rPr>
        <w:t xml:space="preserve">DLT-pohjaisessa markkinainfrastruktuurissa olisi käytettävä hajautetun tilikirjan teknologian käyttöön liittyviä erikoistuneita ja luotettavia tietotekniikka- ja kyberjärjestelyjä. Näiden järjestelyjen olisi oltava oikeassa suhteessa DLT-pohjaisen markkinainfrastruktuurin liiketoimintasuunnitelman luonteeseen, laajuuteen ja monimutkaisuuteen. Näillä järjestelyillä olisi myös kaikkina aikoina varmistettava tarjottujen palvelujen luotettavuus, jatkuvuus ja turvallisuus, mukaan lukien mahdollisesti käytettävien älykkäiden sopimusten luotettavuus. DLT-pohjaisten markkinainfrastruktuurien olisi myös varmistettava hajautetun tilikirjan teknologialla tallennettujen tietojen eheys, turvallisuus, luottamuksellisuus, saatavuus ja käytettävyys. DLT-pohjaisesta markkinainfrastruktuurista vastaavan toimivaltaisen viranomaisen olisi voitava vaatia tarkastusta sen varmistamiseksi, että tietotekniikka- ja kyberjärjestelyt ovat kokonaisuudessaan tarkoituksenmukaiset. DLT-pohjaisen markkinainfrastruktuurin olisi vastattava tällaisen tarkastuksen kustannuksista. </w:t>
      </w:r>
    </w:p>
    <w:p>
      <w:pPr>
        <w:pStyle w:val="ManualConsidrant"/>
        <w:rPr>
          <w:noProof/>
        </w:rPr>
      </w:pPr>
      <w:r>
        <w:t>(31)</w:t>
      </w:r>
      <w:r>
        <w:tab/>
      </w:r>
      <w:r>
        <w:rPr>
          <w:noProof/>
        </w:rPr>
        <w:t xml:space="preserve">Jos DLT-pohjaisen markkinainfrastruktuurin liiketoimintasuunnitelmaan sisältyy asiakkaiden varojen, kuten käteisen tai muiden rahavarojen, tai asiakkaiden DLT-siirtokelpoisten arvopapereiden säilyttäminen tai jokin tapa päästä käsiksi tällaisiin DLT-siirtokelpoisiin arvopapereihin, muun muassa salausavainten muodossa, DLT-pohjaisella markkinainfrastruktuurilla olisi oltava asianmukaiset järjestelyt asiakkaidensa varojen suojaamiseksi. Niiden ei pitäisi käyttää asiakkaiden varoja omaan lukuunsa muutoin kuin asiakkaiden nimenomaisella ennakkosuostumuksella. DLT-pohjaisessa markkinainfrastruktuurissa olisi erotettava asiakkaiden varat tai DLT-siirtokelpoiset arvopaperit tai tavat päästä käsiksi kyseisiin varoihin sen omista ja muiden asiakkaiden varoista. DLT-pohjaisten markkinainfrastruktuurien yleisillä tietotekniikka- ja kyberjärjestelyillä olisi varmistettava, että asiakkaiden varat ovat suojassa petoksilta, kyberuhilta ja toimintahäiriöiltä. </w:t>
      </w:r>
    </w:p>
    <w:p>
      <w:pPr>
        <w:pStyle w:val="ManualConsidrant"/>
        <w:rPr>
          <w:noProof/>
        </w:rPr>
      </w:pPr>
      <w:r>
        <w:t>(32)</w:t>
      </w:r>
      <w:r>
        <w:tab/>
      </w:r>
      <w:r>
        <w:rPr>
          <w:noProof/>
        </w:rPr>
        <w:t xml:space="preserve">Erityisluvan saadessaan DLT-pohjaisilla markkinainfrastruktuureilla olisi myös oltava valmiina uskottava irtautumisstrategia siltä varalta, että DLT-pohjaisten </w:t>
      </w:r>
      <w:r>
        <w:rPr>
          <w:noProof/>
        </w:rPr>
        <w:lastRenderedPageBreak/>
        <w:t xml:space="preserve">markkinainfrastruktuurien järjestelmä lakkautetaan tai erityislupa tai jotkin myönnetyistä poikkeuksista peruutetaan.  </w:t>
      </w:r>
    </w:p>
    <w:p>
      <w:pPr>
        <w:pStyle w:val="ManualConsidrant"/>
        <w:rPr>
          <w:noProof/>
        </w:rPr>
      </w:pPr>
      <w:r>
        <w:t>(33)</w:t>
      </w:r>
      <w:r>
        <w:tab/>
      </w:r>
      <w:r>
        <w:rPr>
          <w:noProof/>
        </w:rPr>
        <w:t xml:space="preserve">DLT-pohjaisen markkinainfrastruktuurin erityisluvan myöntämisessä olisi noudatettava samoja menettelyjä kuin myönnettäessä lupaa perinteiselle monenkeskiselle kaupankäyntijärjestelmälle tai arvopaperikeskukselle silloin kun kyseinen arvopaperikeskus hakee lupaa ylläpitää uutta arvopapereiden selvitysjärjestelmää. Lupaa hakevan DLT-pohjaisen infrastruktuurin olisi kuitenkin lupaa hakiessaan ilmoitettava, mitä poikkeuksia se aikoo hakea. Toimivaltaisen viranomaisen olisi kuultava ESMAa ennen kuin se myöntää luvan DLT-pohjaiselle markkinainfrastruktuurille. ESMAn olisi annettava ei-sitova lausunto ja hakemusta tai pyydettyjä poikkeuksia koskevia mahdollisia suosituksia. ESMAn olisi myös kuultava muiden jäsenvaltioiden toimivaltaisia viranomaisia. Antaessaan ei-sitovan lausuntonsa ESMAn olisi pyrittävä rahoitusvakauden, markkinoiden luotettavuuden ja sijoittajansuojan varmistamiseen. Tasapuolisten toimintaedellytysten ja terveen kilpailun varmistamiseksi sisämarkkinoilla ESMAn olisi ei-sitovalla lausunnollaan pyrittävä myös varmistamaan eri toimivaltaisten viranomaisten myöntämien poikkeusten johdonmukaisuus ja oikeasuhteisuus unionissa. </w:t>
      </w:r>
    </w:p>
    <w:p>
      <w:pPr>
        <w:pStyle w:val="ManualConsidrant"/>
        <w:rPr>
          <w:noProof/>
        </w:rPr>
      </w:pPr>
      <w:r>
        <w:t>(34)</w:t>
      </w:r>
      <w:r>
        <w:tab/>
      </w:r>
      <w:r>
        <w:rPr>
          <w:noProof/>
        </w:rPr>
        <w:t xml:space="preserve">DLT-pohjaisen markkinainfrastruktuurin jättämän hakemuksen tutkivalla toimivaltaisella viranomaisella olisi oltava mahdollisuus evätä lupa, jos on aihetta olettaa, että kyseinen markkinainfrastruktuuri olisi uhka rahoitusvakaudelle, sijoittajansuojalle tai markkinoiden luotettavuudelle, tai jos hakemus on yritys kiertää voimassa olevia vaatimuksia. </w:t>
      </w:r>
    </w:p>
    <w:p>
      <w:pPr>
        <w:pStyle w:val="ManualConsidrant"/>
        <w:rPr>
          <w:noProof/>
        </w:rPr>
      </w:pPr>
      <w:r>
        <w:t>(35)</w:t>
      </w:r>
      <w:r>
        <w:tab/>
      </w:r>
      <w:r>
        <w:rPr>
          <w:noProof/>
        </w:rPr>
        <w:t xml:space="preserve">Toimivaltaisen viranomaisen tietylle DLT-pohjaiselle markkinainfrastruktuurille myöntämässä erityisluvassa olisi ilmoitettava kyseiselle markkinainfrastruktuurille myönnetyt poikkeukset. Tällaisen luvan olisi oltava voimassa unionin alueella. ESMAn olisi julkaistava verkkosivustollaan luettelo DLT-pohjaisista markkinainfrastruktuureista ja luettelo kullekin niistä myönnetyistä poikkeuksista. </w:t>
      </w:r>
    </w:p>
    <w:p>
      <w:pPr>
        <w:pStyle w:val="ManualConsidrant"/>
        <w:rPr>
          <w:noProof/>
        </w:rPr>
      </w:pPr>
      <w:r>
        <w:t>(36)</w:t>
      </w:r>
      <w:r>
        <w:tab/>
      </w:r>
      <w:r>
        <w:rPr>
          <w:noProof/>
        </w:rPr>
        <w:t xml:space="preserve">Kansallisten toimivaltaisten viranomaisten myöntämät erityisluvat ja poikkeukset olisi myönnettävä väliaikaisesti enintään kuudeksi vuodeksi erityisluvan myöntämispäivästä. Viiden vuoden kuluttua asetuksen voimaantulosta ESMAn ja komission olisi arvioitava tätä hajautetun tilikirjan teknologiaan perustuvia markkinainfrastruktuureja koskevaa pilottijärjestelmää. Edellä mainittu kuuden vuoden ajanjakso antaa DLT-pohjaisille markkinainfrastruktuureille riittävästi aikaa mukauttaa liiketoimintamallinsa järjestelmän mahdollisiin muutoksiin ja toimia pilottihankkeen puitteissa kaupallisesti kannattavalla tavalla. Se antaisi ESMAlle ja komissiolle mahdollisuuden kerätä hyödyllisiä tietoja, jotka kattavat noin kolme kalenterivuotta pilottijärjestelmän toiminnasta sen jälkeen, kun erityislupien ja niihin liittyvien poikkeuksien myöntämisessä on saavutettu kriittinen massa, ja raportoida niistä. Se antaisi myös DLT-pohjaisille markkinainfrastruktuurille aikaa toteuttaa tarvittavat toimet joko toimintansa lopettamiseksi tai siirtymiseksi uuteen sääntelykehykseen ESMAn ja komission julkaisemien kertomusten jälkeen.    </w:t>
      </w:r>
    </w:p>
    <w:p>
      <w:pPr>
        <w:pStyle w:val="ManualConsidrant"/>
        <w:rPr>
          <w:noProof/>
        </w:rPr>
      </w:pPr>
      <w:r>
        <w:t>(37)</w:t>
      </w:r>
      <w:r>
        <w:tab/>
      </w:r>
      <w:r>
        <w:rPr>
          <w:noProof/>
        </w:rPr>
        <w:t>Rajoittamatta direktiivin 2014/65/EU (rahoitusmarkkinadirektiivi, MiFID II) tai asetuksen (EU) N:o 909/2014 (arvopaperikeskusasetus) asiaa koskevien säännösten soveltamista toimivaltaisilla viranomaisilla olisi oltava valtuudet peruuttaa DLT-pohjaiselle markkinainfrastruktuurille myönnetty erityislupa tai mahdolliset poikkeukset, jos DLT-pohjaisen markkinainfrastruktuurin perustana olevassa teknologiassa tai sen tarjoamissa palveluissa tai toiminnoissa on havaittu virhe ja jos kyseinen virhe on merkittävämpi kuin kyseisen palvelun tuottama hyöty, tai jos DLT-</w:t>
      </w:r>
      <w:r>
        <w:rPr>
          <w:noProof/>
        </w:rPr>
        <w:lastRenderedPageBreak/>
        <w:t xml:space="preserve">pohjainen markkinainfrastruktuuri on rikkonut poikkeuksiin liitettyjä ehtoja, jotka toimivaltainen viranomainen on asettanut erityisluvan myöntämisen yhteydessä, tai jos DLT-pohjainen markkinainfrastruktuuri on kirjannut rahoitusvälineitä, jotka eivät täytä DLT-siirtokelpoisille arvopapereille tässä asetuksessa asetettuja vaatimuksia. DLT-pohjaisella markkinainfrastruktuurilla olisi toimintansa aikana oltava mahdollisuus pyytää lisäpoikkeuksia luvan myöntämisajankohtana pyydettyjen poikkeusten lisäksi. Tällaisessa tapauksessa DLT-pohjaisten markkinainfrastruktuurien pyytämille lisäpoikkeuksille olisi saatava toimivaltaisten viranomaisten erityislupa samalla tavoin kuin DLT-pohjaisen markkinainfrastruktuurin alkuperäisen luvan yhteydessä pyytämille poikkeuksille. </w:t>
      </w:r>
    </w:p>
    <w:p>
      <w:pPr>
        <w:pStyle w:val="ManualConsidrant"/>
        <w:rPr>
          <w:noProof/>
        </w:rPr>
      </w:pPr>
      <w:r>
        <w:t>(38)</w:t>
      </w:r>
      <w:r>
        <w:tab/>
      </w:r>
      <w:r>
        <w:rPr>
          <w:noProof/>
        </w:rPr>
        <w:t xml:space="preserve">Koska DLT-pohjaiset markkinainfrastruktuurit voisivat saada väliaikaisia poikkeuksia voimassa olevasta unionin lainsäädännöstä, niiden olisi tehtävä tiivistä yhteistyötä toimivaltaisten viranomaisten ja Euroopan arvopaperimarkkinaviranomaisen (ESMA) kanssa saamansa erityisluvan voimassaoloaikana. DLT-pohjaisten markkinainfrastruktuurien olisi ilmoitettava toimivaltaisille viranomaisille ja ESMAlle kaikista olennaisista muutoksista liiketoimintasuunnitelmaansa ja kriittiseen henkilöstöönsä, mahdollisista kyberuhkia tai -hyökkäyksiä, petoksia tai vakavia väärinkäytöksiä koskevista todisteista, kaikista muutoksista alkuperäisen lupahakemuksen yhteydessä toimitettuihin tietoihin, mahdollisista teknisistä vaikeuksista, erityisesti hajautetun tilikirjan teknologian käyttöön liittyvistä vaikeuksista, sekä sijoittajansuojaan, markkinoiden luotettavuuteen ja rahoitusvakauteen kohdistuvista uusista riskeistä, joita ei ollut ennakoitu erityisluvan myöntämisajankohtana. Kun toimivaltainen viranomainen saa ilmoituksen tällaisesta olennaisesta muutoksesta, sen olisi pyydettävä DLT-pohjaista markkinainfrastruktuuria hakemaan uutta lupaa tai poikkeusta tai toteutettava aiheellisiksi katsomansa korjaavat toimenpiteet. DLT-pohjaisten markkinainfrastruktuurien olisi lisäksi annettava kaikki asiaankuuluvat tiedot toimivaltaisille viranomaisille ja ESMAlle aina, kun tällaisia tietoja pyydetään. Jotta voitaisiin varmistaa sijoittajansuoja, markkinoiden luotettavuus ja rahoitusvakaus, erityisluvan DLT-pohjaiselle markkinainfrastruktuurille myöntäneen toimivaltaisen viranomaisen olisi voitava ESMAa kuultuaan suositella korjaavia toimenpiteitä. </w:t>
      </w:r>
    </w:p>
    <w:p>
      <w:pPr>
        <w:pStyle w:val="ManualConsidrant"/>
        <w:rPr>
          <w:noProof/>
        </w:rPr>
      </w:pPr>
      <w:r>
        <w:t>(39)</w:t>
      </w:r>
      <w:r>
        <w:tab/>
      </w:r>
      <w:r>
        <w:rPr>
          <w:noProof/>
        </w:rPr>
        <w:t xml:space="preserve">DLT-pohjaisten markkinainfrastruktuurien olisi myös raportoitava säännöllisesti omille toimivaltaisille viranomaisilleen ja ESMAlle. ESMAn olisi järjestettävä keskusteluja näistä kertomuksista, jotta kaikki toimivaltaiset viranomaiset unionissa saisivat kokemusta hajautetun tilikirjan teknologian käytön vaikutuksista ja unionin rahoituspalvelulainsäädäntöön tehtävistä mukautuksista, jotka voivat olla tarpeen hajautetun tilikirjan teknologian laajemman käytön mahdollistamiseksi. </w:t>
      </w:r>
    </w:p>
    <w:p>
      <w:pPr>
        <w:pStyle w:val="ManualConsidrant"/>
        <w:rPr>
          <w:noProof/>
        </w:rPr>
      </w:pPr>
      <w:r>
        <w:t>(40)</w:t>
      </w:r>
      <w:r>
        <w:tab/>
      </w:r>
      <w:r>
        <w:rPr>
          <w:noProof/>
        </w:rPr>
        <w:t xml:space="preserve">Viiden vuoden kuluttua tämän asetuksen soveltamisen alkamisesta ESMAn olisi raportoitava komissiolle tästä DLT-pohjaisia markkinainfrastruktuureja koskevasta pilottijärjestelmästä, mukaan lukien hajautetun tilikirjan teknologian käyttöön liittyvistä mahdollisista hyödyistä, riskeistä ja teknisistä vaikeuksista. Komission olisi ESMAn kertomuksen perusteella laadittava kertomus neuvostolle ja Euroopan parlamentille. Kertomuksessa olisi arvioitava kustannuksia ja hyötyjä, joita aiheutuisi tämän DLT-pohjaisia markkinainfrastruktuureja koskevan järjestelmän voimassaoloajan jatkamisesta, järjestelmän laajentamisesta uudentyyppisiin rahoitusvälineisiin, järjestelmän muuttamisesta pysyväksi muutoksin tai muutoksitta, rahoituspalveluja koskevan unionin lainsäädännön muuttamisesta tai järjestelmän lakkauttamisesta.  </w:t>
      </w:r>
    </w:p>
    <w:p>
      <w:pPr>
        <w:pStyle w:val="ManualConsidrant"/>
        <w:rPr>
          <w:noProof/>
        </w:rPr>
      </w:pPr>
      <w:r>
        <w:lastRenderedPageBreak/>
        <w:t>(41)</w:t>
      </w:r>
      <w:r>
        <w:tab/>
      </w:r>
      <w:r>
        <w:rPr>
          <w:noProof/>
        </w:rPr>
        <w:t>EU:n nykyisissä rahoituspalvelusäännöissä on havaittu joitakin mahdollisia puutteita, jotka liittyvät niiden soveltamiseen rahoitusvälineiksi katsottaviin kryptovaroihin</w:t>
      </w:r>
      <w:r>
        <w:rPr>
          <w:rStyle w:val="FootnoteReference"/>
          <w:noProof/>
        </w:rPr>
        <w:footnoteReference w:id="47"/>
      </w:r>
      <w:r>
        <w:rPr>
          <w:noProof/>
        </w:rPr>
        <w:t>. Erityisesti eräät asetuksen (EU) N:o 600/2014 (rahoitusmarkkina-asetus) mukaiset tekniset sääntelystandardit, jotka liittyvät tiettyihin tiedonantovaatimuksiin sekä kauppaa edeltäviin ja kaupan jälkeisiin avoimuusvaatimuksiin, eivät sovellu hyvin rahoitusvälineisiin, jotka on laskettu liikkeeseen käyttämällä hajautetun tilikirjan teknologiaa. Hajautetun tilikirjan teknologiaa tai muuta vastaavaa teknologiaa käyttämällä liikkeeseen laskettujen rahoitusvälineiden jälkimarkkinat ovat vasta kehittymässä, minkä vuoksi ne voivat poiketa ominaisuuksiltaan perinteistä teknologiaa käyttävien rahoitusvälineiden markkinoista. Näissä teknisissä sääntelystandardeissa vahvistettuja sääntöjä olisi voitava soveltaa tehokkaasti kaikkiin rahoitusvälineisiin käytetystä teknologiasta riippumatta. Sen vuoksi ESMAlle olisi annettava valtuudet tehdä kattava arviointi näistä asetuksen (EU) N:o 600/2014 mukaisesti hyväksytyistä teknisistä sääntelystandardeista ja ehdottaa tarvittavia muutoksia sen varmistamiseksi, että niissä vahvistettuja sääntöjä voidaan soveltaa tehokkaasti rahoitusvälineisiin, jotka on laskettu liikkeeseen käyttämällä hajautetun tilikirjan teknologiaa. Tätä arviointia tehdessään ESMAn olisi otettava huomioon hajautetun tilikirjan teknologiaa käyttämällä liikkeeseen laskettujen rahoitusvälineiden erityispiirteet ja se, edellyttävätkö ne mukautettuja standardeja, jotka mahdollistaisivat tällaisten rahoitusvälineiden kehittämisen vaarantamatta asetuksen (EU) N:o 600/2014 mukaisesti hyväksytyissä teknisissä sääntelystandardeissa vahvistettujen sääntöjen tavoitteita.</w:t>
      </w:r>
    </w:p>
    <w:p>
      <w:pPr>
        <w:pStyle w:val="ManualConsidrant"/>
        <w:rPr>
          <w:noProof/>
        </w:rPr>
      </w:pPr>
      <w:r>
        <w:t>(42)</w:t>
      </w:r>
      <w:r>
        <w:tab/>
      </w:r>
      <w:r>
        <w:rPr>
          <w:noProof/>
        </w:rPr>
        <w:t xml:space="preserve">Jos jäsenvaltiot eivät pysty riittävällä tavalla saavuttamaan tämän asetuksen tavoitteita, koska rahoituspalveluja koskeva unionin lainsäädäntö sisältää direktiivin 2014/65/EU (rahoitusmarkkinadirektiivi, MiFID II) mukaisiksi rahoitusvälineiksi katsottaville kryptovaroille tarkoitettujen DLT-pohjaisten markkinainfrastruktuurien kehittämistä haittaavia sääntelyesteitä, kyseiset tavoitteet voidaan saavuttaa paremmin unionin tasolla. Unioni voi sen vuoksi toteuttaa toimenpiteitä Euroopan unionista tehdyn sopimuksen 5 artiklassa vahvistetun toissijaisuusperiaatteen mukaisesti. Mainitussa artiklassa vahvistetun suhteellisuusperiaatteen mukaisesti tässä asetuksessa ei ylitetä sitä, mikä on tarpeen näiden tavoitteiden saavuttamiseksi. </w:t>
      </w:r>
    </w:p>
    <w:p>
      <w:pPr>
        <w:pStyle w:val="ManualConsidrant"/>
        <w:rPr>
          <w:noProof/>
        </w:rPr>
      </w:pPr>
      <w:r>
        <w:t>(43)</w:t>
      </w:r>
      <w:r>
        <w:tab/>
      </w:r>
      <w:r>
        <w:rPr>
          <w:noProof/>
        </w:rPr>
        <w:t>Jotta unioni pysyisi mukana innovointikehityksessä, on tärkeää, että DLT-pohjaisia markkinainfrastruktuureja koskevaa järjestelmää aletaan soveltaa mahdollisimman pian sen jälkeen, kun jäsenvaltiot ovat saattaneet Euroopan parlamentin ja neuvoston direktiivin (EU) .../...</w:t>
      </w:r>
      <w:r>
        <w:rPr>
          <w:rStyle w:val="FootnoteReference"/>
          <w:noProof/>
        </w:rPr>
        <w:footnoteReference w:id="48"/>
      </w:r>
      <w:r>
        <w:rPr>
          <w:noProof/>
        </w:rPr>
        <w:t xml:space="preserve"> osaksi kansallista lainsäädäntöään.  </w:t>
      </w:r>
    </w:p>
    <w:p>
      <w:pPr>
        <w:pStyle w:val="ManualConsidrant"/>
        <w:rPr>
          <w:noProof/>
        </w:rPr>
      </w:pPr>
      <w:r>
        <w:t>(44)</w:t>
      </w:r>
      <w:r>
        <w:tab/>
      </w:r>
      <w:r>
        <w:rPr>
          <w:noProof/>
        </w:rPr>
        <w:t>Euroopan tietosuojavaltuutettua ja Euroopan tietosuojaneuvostoa on kuultu Euroopan parlamentin ja neuvoston asetuksen (EU) 2018/1725</w:t>
      </w:r>
      <w:r>
        <w:rPr>
          <w:rStyle w:val="FootnoteReference"/>
          <w:noProof/>
        </w:rPr>
        <w:footnoteReference w:id="49"/>
      </w:r>
      <w:r>
        <w:rPr>
          <w:noProof/>
        </w:rPr>
        <w:t xml:space="preserve"> 42 artiklan 1 kohdan mukaisesti, ja ne ovat antaneet lausuntonsa [lausunnon/lausuntojen päivämäärä],</w:t>
      </w:r>
    </w:p>
    <w:p>
      <w:pPr>
        <w:pStyle w:val="Formuledadoption"/>
        <w:rPr>
          <w:noProof/>
        </w:rPr>
      </w:pPr>
      <w:r>
        <w:rPr>
          <w:noProof/>
        </w:rPr>
        <w:lastRenderedPageBreak/>
        <w:t>OVAT HYVÄKSYNEET TÄMÄN ASETUKSEN:</w:t>
      </w:r>
    </w:p>
    <w:p>
      <w:pPr>
        <w:pStyle w:val="Titrearticle"/>
        <w:rPr>
          <w:noProof/>
        </w:rPr>
      </w:pPr>
      <w:r>
        <w:rPr>
          <w:noProof/>
        </w:rPr>
        <w:t>1 artikla</w:t>
      </w:r>
    </w:p>
    <w:p>
      <w:pPr>
        <w:pStyle w:val="Titrearticle"/>
        <w:rPr>
          <w:noProof/>
        </w:rPr>
      </w:pPr>
      <w:r>
        <w:rPr>
          <w:noProof/>
        </w:rPr>
        <w:t xml:space="preserve">Kohde ja soveltamisala </w:t>
      </w:r>
    </w:p>
    <w:p>
      <w:pPr>
        <w:pStyle w:val="Point0"/>
        <w:rPr>
          <w:noProof/>
        </w:rPr>
      </w:pPr>
      <w:r>
        <w:t>(1)</w:t>
      </w:r>
      <w:r>
        <w:tab/>
      </w:r>
      <w:r>
        <w:rPr>
          <w:noProof/>
        </w:rPr>
        <w:t xml:space="preserve">Tässä asetuksessa vahvistetaan vaatimukset hajautetun tilikirjan teknologiaa käyttäville monenkeskisille kaupankäyntijärjestelmille ja arvopapereiden selvitysjärjestelmille, jäljempänä ’DLT-pohjaiset markkinainfrastruktuurit’, joille on myönnetty erityislupa toimintaan 7 ja 8 artiklan mukaisesti. </w:t>
      </w:r>
    </w:p>
    <w:p>
      <w:pPr>
        <w:pStyle w:val="Point0"/>
        <w:rPr>
          <w:rStyle w:val="CommentReference"/>
          <w:noProof/>
          <w:sz w:val="24"/>
          <w:szCs w:val="22"/>
        </w:rPr>
      </w:pPr>
      <w:r>
        <w:rPr>
          <w:rStyle w:val="CommentReference"/>
        </w:rPr>
        <w:t>(2)</w:t>
      </w:r>
      <w:r>
        <w:rPr>
          <w:rStyle w:val="CommentReference"/>
        </w:rPr>
        <w:tab/>
      </w:r>
      <w:r>
        <w:rPr>
          <w:noProof/>
        </w:rPr>
        <w:t xml:space="preserve">Tällä asetuksella vahvistetaan vaatimukset seuraavien osalta: </w:t>
      </w:r>
    </w:p>
    <w:p>
      <w:pPr>
        <w:pStyle w:val="Point1"/>
        <w:rPr>
          <w:noProof/>
        </w:rPr>
      </w:pPr>
      <w:r>
        <w:t>(a)</w:t>
      </w:r>
      <w:r>
        <w:tab/>
      </w:r>
      <w:r>
        <w:rPr>
          <w:noProof/>
        </w:rPr>
        <w:t xml:space="preserve">tällaisten erityislupien myöntäminen ja peruuttaminen; </w:t>
      </w:r>
    </w:p>
    <w:p>
      <w:pPr>
        <w:pStyle w:val="Point1"/>
        <w:rPr>
          <w:noProof/>
        </w:rPr>
      </w:pPr>
      <w:r>
        <w:t>(b)</w:t>
      </w:r>
      <w:r>
        <w:tab/>
      </w:r>
      <w:r>
        <w:rPr>
          <w:noProof/>
        </w:rPr>
        <w:t>niihin liittyvien poikkeusten myöntäminen, muuttaminen ja peruuttaminen;</w:t>
      </w:r>
    </w:p>
    <w:p>
      <w:pPr>
        <w:pStyle w:val="Point1"/>
        <w:rPr>
          <w:noProof/>
        </w:rPr>
      </w:pPr>
      <w:r>
        <w:t>(c)</w:t>
      </w:r>
      <w:r>
        <w:tab/>
      </w:r>
      <w:r>
        <w:rPr>
          <w:noProof/>
        </w:rPr>
        <w:t xml:space="preserve">niihin liitettyjen ehtojen tai korvaavien tai korjaavien toimenpiteiden määrääminen, muuttaminen ja peruuttaminen; </w:t>
      </w:r>
    </w:p>
    <w:p>
      <w:pPr>
        <w:pStyle w:val="Point1"/>
        <w:rPr>
          <w:noProof/>
        </w:rPr>
      </w:pPr>
      <w:r>
        <w:t>(d)</w:t>
      </w:r>
      <w:r>
        <w:tab/>
      </w:r>
      <w:r>
        <w:rPr>
          <w:noProof/>
        </w:rPr>
        <w:t xml:space="preserve">tällaisten DLT-pohjaisten markkinainfrastruktuurien ylläpito;  </w:t>
      </w:r>
    </w:p>
    <w:p>
      <w:pPr>
        <w:pStyle w:val="Point1"/>
        <w:rPr>
          <w:noProof/>
        </w:rPr>
      </w:pPr>
      <w:r>
        <w:t>(e)</w:t>
      </w:r>
      <w:r>
        <w:tab/>
      </w:r>
      <w:r>
        <w:rPr>
          <w:noProof/>
        </w:rPr>
        <w:t>tällaisten DLT-pohjaisten markkinainfrastruktuurien valvominen; ja</w:t>
      </w:r>
    </w:p>
    <w:p>
      <w:pPr>
        <w:pStyle w:val="Point1"/>
        <w:rPr>
          <w:noProof/>
        </w:rPr>
      </w:pPr>
      <w:r>
        <w:t>(f)</w:t>
      </w:r>
      <w:r>
        <w:tab/>
      </w:r>
      <w:r>
        <w:rPr>
          <w:noProof/>
        </w:rPr>
        <w:t>yhteistyö DLT-pohjaisten markkinainfrastruktuurien ylläpitäjien, toimivaltaisten viranomaisten ja ESMAn välillä.</w:t>
      </w:r>
    </w:p>
    <w:p>
      <w:pPr>
        <w:pStyle w:val="Titrearticle"/>
        <w:rPr>
          <w:noProof/>
        </w:rPr>
      </w:pPr>
      <w:r>
        <w:rPr>
          <w:noProof/>
        </w:rPr>
        <w:t>2 artikla</w:t>
      </w:r>
    </w:p>
    <w:p>
      <w:pPr>
        <w:pStyle w:val="Titrearticle"/>
        <w:rPr>
          <w:noProof/>
        </w:rPr>
      </w:pPr>
      <w:r>
        <w:rPr>
          <w:noProof/>
        </w:rPr>
        <w:t>Määritelmät</w:t>
      </w:r>
    </w:p>
    <w:p>
      <w:pPr>
        <w:rPr>
          <w:noProof/>
        </w:rPr>
      </w:pPr>
      <w:r>
        <w:rPr>
          <w:noProof/>
        </w:rPr>
        <w:t>Tässä asetuksessa tarkoitetaan:</w:t>
      </w:r>
    </w:p>
    <w:p>
      <w:pPr>
        <w:pStyle w:val="Point0"/>
        <w:rPr>
          <w:noProof/>
        </w:rPr>
      </w:pPr>
      <w:r>
        <w:t>(1)</w:t>
      </w:r>
      <w:r>
        <w:tab/>
      </w:r>
      <w:r>
        <w:rPr>
          <w:noProof/>
        </w:rPr>
        <w:t>’hajautetun tilikirjan teknologialla’ tai ’DLT:llä’ teknologiaa, joka tukee salattujen tietojen hajautettua tallentamista;</w:t>
      </w:r>
    </w:p>
    <w:p>
      <w:pPr>
        <w:pStyle w:val="Point0"/>
        <w:rPr>
          <w:noProof/>
        </w:rPr>
      </w:pPr>
      <w:r>
        <w:t>(2)</w:t>
      </w:r>
      <w:r>
        <w:tab/>
      </w:r>
      <w:r>
        <w:rPr>
          <w:noProof/>
        </w:rPr>
        <w:t xml:space="preserve">’DLT-pohjaisella markkinainfrastruktuurilla’ joko ’DLT-pohjaista monenkeskistä kaupankäyntijärjestelmää’ tai ’DLT-pohjaista arvopapereiden selvitysjärjestelmää’;     </w:t>
      </w:r>
    </w:p>
    <w:p>
      <w:pPr>
        <w:pStyle w:val="Point0"/>
        <w:rPr>
          <w:noProof/>
        </w:rPr>
      </w:pPr>
      <w:r>
        <w:t>(3)</w:t>
      </w:r>
      <w:r>
        <w:tab/>
      </w:r>
      <w:r>
        <w:rPr>
          <w:noProof/>
        </w:rPr>
        <w:t xml:space="preserve">’DLT-pohjaisella monenkeskisellä kaupankäyntijärjestelmällä’ sijoituspalveluyrityksen tai markkinoiden ylläpitäjän ylläpitämää ’monenkeskistä kaupankäyntijärjestelmää’, joka ottaa kaupankäynnin kohteeksi ainoastaan DLT-siirtokelpoisia arvopapereita ja jolle voidaan läpinäkyvien, ehdottomien ja yhdenmukaisten sääntöjen ja menettelyjen perusteella myöntää lupa </w:t>
      </w:r>
    </w:p>
    <w:p>
      <w:pPr>
        <w:pStyle w:val="Point1"/>
        <w:rPr>
          <w:noProof/>
        </w:rPr>
      </w:pPr>
      <w:r>
        <w:t>(a)</w:t>
      </w:r>
      <w:r>
        <w:tab/>
      </w:r>
      <w:r>
        <w:rPr>
          <w:noProof/>
        </w:rPr>
        <w:t xml:space="preserve">hoitaa DLT-siirtokelpoisten arvopapereiden ensimmäinen kirjaaminen; </w:t>
      </w:r>
    </w:p>
    <w:p>
      <w:pPr>
        <w:pStyle w:val="Point1"/>
        <w:rPr>
          <w:noProof/>
        </w:rPr>
      </w:pPr>
      <w:r>
        <w:t>(b)</w:t>
      </w:r>
      <w:r>
        <w:tab/>
      </w:r>
      <w:r>
        <w:rPr>
          <w:noProof/>
        </w:rPr>
        <w:t xml:space="preserve">toimittaa DLT-siirtokelpoisilla arvopapereilla tapahtuvia transaktioita maksua vastaan; ja </w:t>
      </w:r>
    </w:p>
    <w:p>
      <w:pPr>
        <w:pStyle w:val="Point1"/>
        <w:rPr>
          <w:noProof/>
        </w:rPr>
      </w:pPr>
      <w:r>
        <w:t>(c)</w:t>
      </w:r>
      <w:r>
        <w:tab/>
      </w:r>
      <w:r>
        <w:rPr>
          <w:noProof/>
        </w:rPr>
        <w:t xml:space="preserve">tarjota DLT-pohjaisen monenkeskisen kaupankäyntijärjestelmän kautta tarjottavia säilytyspalveluja, jotka koskevat DLT-siirtokelpoisia arvopapereita tai niihin mahdollisesti liittyviä maksuja ja vakuuksia; </w:t>
      </w:r>
    </w:p>
    <w:p>
      <w:pPr>
        <w:pStyle w:val="Point0"/>
        <w:rPr>
          <w:noProof/>
        </w:rPr>
      </w:pPr>
      <w:r>
        <w:t>(4)</w:t>
      </w:r>
      <w:r>
        <w:tab/>
      </w:r>
      <w:r>
        <w:rPr>
          <w:noProof/>
        </w:rPr>
        <w:t xml:space="preserve">’DLT-pohjaisella arvopapereiden selvitysjärjestelmällä’ ’arvopaperikeskuksen’ ylläpitämää arvopapereiden selvitysjärjestelmää, joka toimittaa DLT-siirtokelpoisilla arvopapereilla tapahtuvia transaktioita maksua vastaan; </w:t>
      </w:r>
    </w:p>
    <w:p>
      <w:pPr>
        <w:pStyle w:val="Point0"/>
        <w:rPr>
          <w:noProof/>
        </w:rPr>
      </w:pPr>
      <w:r>
        <w:lastRenderedPageBreak/>
        <w:t>(5)</w:t>
      </w:r>
      <w:r>
        <w:tab/>
      </w:r>
      <w:r>
        <w:rPr>
          <w:noProof/>
        </w:rPr>
        <w:t xml:space="preserve">’DLT-siirtokelpoisilla arvopapereilla’ sellaisia direktiivin 2014/65/EU 4 artiklan 1 kohdan 44 alakohdan a ja b alakohdassa tarkoitettuja siirtokelpoisia arvopapereita, jotka lasketaan liikkeeseen, kirjataan, siirretään ja tallennetaan käyttämällä hajautetun tilikirjan teknologiaa;   </w:t>
      </w:r>
    </w:p>
    <w:p>
      <w:pPr>
        <w:pStyle w:val="Point0"/>
        <w:rPr>
          <w:noProof/>
        </w:rPr>
      </w:pPr>
      <w:r>
        <w:t>(6)</w:t>
      </w:r>
      <w:r>
        <w:tab/>
      </w:r>
      <w:r>
        <w:rPr>
          <w:noProof/>
        </w:rPr>
        <w:t>’monenkeskisellä kaupankäyntijärjestelmällä’ direktiivin 2014/65/EU 4 artiklan 1 kohdan 22 alakohdassa määriteltyä monenkeskistä kaupankäyntijärjestelmää;</w:t>
      </w:r>
    </w:p>
    <w:p>
      <w:pPr>
        <w:pStyle w:val="Point0"/>
        <w:rPr>
          <w:noProof/>
        </w:rPr>
      </w:pPr>
      <w:r>
        <w:t>(7)</w:t>
      </w:r>
      <w:r>
        <w:tab/>
      </w:r>
      <w:r>
        <w:rPr>
          <w:noProof/>
        </w:rPr>
        <w:t>’arvopaperikeskuksella’ asetuksen (EU) N:o 909/2014 2 artiklan 1 kohdassa määriteltyä arvopaperikeskusta;</w:t>
      </w:r>
    </w:p>
    <w:p>
      <w:pPr>
        <w:pStyle w:val="Point0"/>
        <w:rPr>
          <w:noProof/>
        </w:rPr>
      </w:pPr>
      <w:r>
        <w:t>(8)</w:t>
      </w:r>
      <w:r>
        <w:tab/>
      </w:r>
      <w:r>
        <w:rPr>
          <w:noProof/>
        </w:rPr>
        <w:t>’rahoitusvälineellä’ direktiivin 2014/65/EU 4 artiklan 1 kohdan 15 alakohdassa määriteltyä rahoitusvälinettä;</w:t>
      </w:r>
    </w:p>
    <w:p>
      <w:pPr>
        <w:pStyle w:val="Point0"/>
        <w:rPr>
          <w:noProof/>
        </w:rPr>
      </w:pPr>
      <w:r>
        <w:t>(9)</w:t>
      </w:r>
      <w:r>
        <w:tab/>
      </w:r>
      <w:r>
        <w:rPr>
          <w:noProof/>
        </w:rPr>
        <w:t xml:space="preserve">’toimituksella’ asetuksen (EU) N:o 909/2014 2 artiklan 1 kohdan 7 alakohdassa määriteltyä toimitusta; </w:t>
      </w:r>
    </w:p>
    <w:p>
      <w:pPr>
        <w:pStyle w:val="Point0"/>
        <w:rPr>
          <w:noProof/>
        </w:rPr>
      </w:pPr>
      <w:r>
        <w:t>(10)</w:t>
      </w:r>
      <w:r>
        <w:tab/>
      </w:r>
      <w:r>
        <w:rPr>
          <w:noProof/>
        </w:rPr>
        <w:t xml:space="preserve">’pankkipäivällä’ asetuksen (EU) N:o 909/2014 2 artiklan 1 kohdan 14 alakohdassa määriteltyä pankkipäivää; </w:t>
      </w:r>
    </w:p>
    <w:p>
      <w:pPr>
        <w:pStyle w:val="Point0"/>
        <w:rPr>
          <w:noProof/>
        </w:rPr>
      </w:pPr>
      <w:r>
        <w:t>(11)</w:t>
      </w:r>
      <w:r>
        <w:tab/>
      </w:r>
      <w:r>
        <w:rPr>
          <w:noProof/>
        </w:rPr>
        <w:t>’toimituksella maksua vastaan’ asetuksen (EU) N:o 909/2014 2 artiklan 1 kohdan 27 alakohdassa määriteltyä toimitusta maksua vastaan;</w:t>
      </w:r>
    </w:p>
    <w:p>
      <w:pPr>
        <w:pStyle w:val="Point0"/>
        <w:rPr>
          <w:noProof/>
        </w:rPr>
      </w:pPr>
      <w:r>
        <w:t>(12)</w:t>
      </w:r>
      <w:r>
        <w:tab/>
      </w:r>
      <w:r>
        <w:rPr>
          <w:noProof/>
        </w:rPr>
        <w:t>’toimituspuutteella’ asetuksen (EU) N:o 909/2014 2 artiklan 1 kohdan 15 alakohdassa määriteltyä toimituspuutetta;</w:t>
      </w:r>
    </w:p>
    <w:p>
      <w:pPr>
        <w:pStyle w:val="Point0"/>
        <w:rPr>
          <w:noProof/>
        </w:rPr>
      </w:pPr>
      <w:r>
        <w:t>(13)</w:t>
      </w:r>
      <w:r>
        <w:tab/>
      </w:r>
      <w:r>
        <w:rPr>
          <w:noProof/>
        </w:rPr>
        <w:t xml:space="preserve">’valtion joukkovelkakirjalainalla’ joukkovelkakirjalainaa, jonka on laskenut liikkeeseen jokin seuraavista valtionlainan liikkeeseenlaskijoista: </w:t>
      </w:r>
    </w:p>
    <w:p>
      <w:pPr>
        <w:pStyle w:val="Point1"/>
        <w:rPr>
          <w:noProof/>
        </w:rPr>
      </w:pPr>
      <w:r>
        <w:t>(a)</w:t>
      </w:r>
      <w:r>
        <w:tab/>
      </w:r>
      <w:r>
        <w:rPr>
          <w:noProof/>
        </w:rPr>
        <w:t>unioni;</w:t>
      </w:r>
    </w:p>
    <w:p>
      <w:pPr>
        <w:pStyle w:val="Point1"/>
        <w:rPr>
          <w:noProof/>
        </w:rPr>
      </w:pPr>
      <w:r>
        <w:t>(b)</w:t>
      </w:r>
      <w:r>
        <w:tab/>
      </w:r>
      <w:r>
        <w:rPr>
          <w:noProof/>
        </w:rPr>
        <w:t xml:space="preserve">jäsenvaltio, mukaan lukien mikä hyvänsä jäsenvaltion tai muun suvereenin yhteisön julkishallinnon yksikkö, virasto tai erillisyhtiö; </w:t>
      </w:r>
    </w:p>
    <w:p>
      <w:pPr>
        <w:pStyle w:val="Point1"/>
        <w:rPr>
          <w:noProof/>
        </w:rPr>
      </w:pPr>
      <w:r>
        <w:t>(c)</w:t>
      </w:r>
      <w:r>
        <w:tab/>
      </w:r>
      <w:r>
        <w:rPr>
          <w:noProof/>
        </w:rPr>
        <w:t xml:space="preserve">suvereeni yhteisö, jota ei ole lueteltu a ja b alakohdassa; </w:t>
      </w:r>
    </w:p>
    <w:p>
      <w:pPr>
        <w:pStyle w:val="Point0"/>
        <w:rPr>
          <w:noProof/>
        </w:rPr>
      </w:pPr>
      <w:r>
        <w:t>(14)</w:t>
      </w:r>
      <w:r>
        <w:tab/>
      </w:r>
      <w:r>
        <w:rPr>
          <w:noProof/>
        </w:rPr>
        <w:t xml:space="preserve">’muulla julkisella joukkovelkakirjalainalla’ joukkovelkakirjalainaa, jonka on laskenut liikkeeseen jokin seuraavista julkisista liikkeeseenlaskijoista: </w:t>
      </w:r>
    </w:p>
    <w:p>
      <w:pPr>
        <w:pStyle w:val="Point1"/>
        <w:rPr>
          <w:noProof/>
        </w:rPr>
      </w:pPr>
      <w:r>
        <w:t>(a)</w:t>
      </w:r>
      <w:r>
        <w:tab/>
      </w:r>
      <w:r>
        <w:rPr>
          <w:noProof/>
        </w:rPr>
        <w:t xml:space="preserve">jos jäsenvaltio on liittovaltio, jokin tämän liittovaltion osavaltio; </w:t>
      </w:r>
    </w:p>
    <w:p>
      <w:pPr>
        <w:pStyle w:val="Point1"/>
        <w:rPr>
          <w:noProof/>
        </w:rPr>
      </w:pPr>
      <w:r>
        <w:t>(b)</w:t>
      </w:r>
      <w:r>
        <w:tab/>
      </w:r>
      <w:r>
        <w:rPr>
          <w:noProof/>
        </w:rPr>
        <w:t>useita jäsenvaltioita varten perustettu erillisyhtiö;</w:t>
      </w:r>
    </w:p>
    <w:p>
      <w:pPr>
        <w:pStyle w:val="Point1"/>
        <w:rPr>
          <w:noProof/>
        </w:rPr>
      </w:pPr>
      <w:r>
        <w:t>(c)</w:t>
      </w:r>
      <w:r>
        <w:tab/>
      </w:r>
      <w:r>
        <w:rPr>
          <w:noProof/>
        </w:rPr>
        <w:t>kahden tai useamman jäsenvaltion perustama kansainvälinen finanssilaitos, jonka tarkoituksena on hankkia varoja ja antaa rahoitusapua jäsenilleen koko euroalueen vakauden turvaamiseksi;</w:t>
      </w:r>
    </w:p>
    <w:p>
      <w:pPr>
        <w:pStyle w:val="Point1"/>
        <w:rPr>
          <w:noProof/>
        </w:rPr>
      </w:pPr>
      <w:r>
        <w:t>(d)</w:t>
      </w:r>
      <w:r>
        <w:tab/>
      </w:r>
      <w:r>
        <w:rPr>
          <w:noProof/>
        </w:rPr>
        <w:t>Euroopan investointipankki;</w:t>
      </w:r>
    </w:p>
    <w:p>
      <w:pPr>
        <w:pStyle w:val="Point1"/>
        <w:rPr>
          <w:noProof/>
        </w:rPr>
      </w:pPr>
      <w:r>
        <w:t>(e)</w:t>
      </w:r>
      <w:r>
        <w:tab/>
      </w:r>
      <w:r>
        <w:rPr>
          <w:noProof/>
        </w:rPr>
        <w:t xml:space="preserve">julkisyhteisö, joka ei ole 13 kohdassa tarkoitetun valtion joukkovelkakirjalainan liikkeeseenlaskija. </w:t>
      </w:r>
    </w:p>
    <w:p>
      <w:pPr>
        <w:pStyle w:val="Point0"/>
        <w:rPr>
          <w:noProof/>
        </w:rPr>
      </w:pPr>
      <w:r>
        <w:t>(15)</w:t>
      </w:r>
      <w:r>
        <w:tab/>
      </w:r>
      <w:r>
        <w:rPr>
          <w:noProof/>
        </w:rPr>
        <w:t xml:space="preserve">’vaihtovelkakirjalainalla’ välinettä, joka koostuu joukkovelkakirjalainasta tai arvopaperistetusta velkainstrumentista, johon liittyy kytketty johdannainen; esimerkiksi optio kohde-etuutena olevan osakkeen ostamisesta; </w:t>
      </w:r>
    </w:p>
    <w:p>
      <w:pPr>
        <w:pStyle w:val="Point0"/>
        <w:rPr>
          <w:noProof/>
        </w:rPr>
      </w:pPr>
      <w:r>
        <w:lastRenderedPageBreak/>
        <w:t>(16)</w:t>
      </w:r>
      <w:r>
        <w:tab/>
      </w:r>
      <w:r>
        <w:rPr>
          <w:noProof/>
        </w:rPr>
        <w:t>’katetulla joukkolainalla’ Euroopan parlamentin ja neuvoston direktiivin 2009/65/EY</w:t>
      </w:r>
      <w:r>
        <w:rPr>
          <w:rStyle w:val="FootnoteReference"/>
          <w:noProof/>
        </w:rPr>
        <w:footnoteReference w:id="50"/>
      </w:r>
      <w:r>
        <w:rPr>
          <w:noProof/>
        </w:rPr>
        <w:t xml:space="preserve"> 52 artiklan 4 kohdassa tarkoitettuja joukkovelkakirjalainoja; </w:t>
      </w:r>
    </w:p>
    <w:p>
      <w:pPr>
        <w:pStyle w:val="Point0"/>
        <w:rPr>
          <w:noProof/>
        </w:rPr>
      </w:pPr>
      <w:r>
        <w:t>(17)</w:t>
      </w:r>
      <w:r>
        <w:tab/>
      </w:r>
      <w:r>
        <w:rPr>
          <w:noProof/>
        </w:rPr>
        <w:t>’yrityksen liikkeeseen laskemalla joukkovelkakirjalainalla’ joukkovelkakirjalainaa, jonka myöntää neuvoston asetuksen (EY) N:o 2157/2001</w:t>
      </w:r>
      <w:r>
        <w:rPr>
          <w:rStyle w:val="FootnoteReference"/>
          <w:noProof/>
        </w:rPr>
        <w:footnoteReference w:id="51"/>
      </w:r>
      <w:r>
        <w:rPr>
          <w:noProof/>
        </w:rPr>
        <w:t xml:space="preserve"> mukaisesti perustettu eurooppayhtiö (Societas Europaea) tai Euroopan parlamentin ja neuvoston direktiivin (EU) 2017/1132</w:t>
      </w:r>
      <w:r>
        <w:rPr>
          <w:rStyle w:val="FootnoteReference"/>
          <w:noProof/>
        </w:rPr>
        <w:footnoteReference w:id="52"/>
      </w:r>
      <w:r>
        <w:rPr>
          <w:noProof/>
        </w:rPr>
        <w:t xml:space="preserve"> liitteessä I lueteltu yhtiö tai vastaava yhteisö kolmansissa maissa; </w:t>
      </w:r>
    </w:p>
    <w:p>
      <w:pPr>
        <w:pStyle w:val="Point0"/>
        <w:rPr>
          <w:noProof/>
        </w:rPr>
      </w:pPr>
      <w:r>
        <w:t>(18)</w:t>
      </w:r>
      <w:r>
        <w:tab/>
      </w:r>
      <w:r>
        <w:rPr>
          <w:noProof/>
        </w:rPr>
        <w:t xml:space="preserve">’muulla joukkovelkakirjalainalla’ joukkovelkakirjalainaa, joka ei kuulu mihinkään 13–17 kohdassa tarkoitettuun joukkovelkakirjalainatyyppiin; </w:t>
      </w:r>
    </w:p>
    <w:p>
      <w:pPr>
        <w:pStyle w:val="Point0"/>
        <w:rPr>
          <w:noProof/>
        </w:rPr>
      </w:pPr>
      <w:r>
        <w:t>(19)</w:t>
      </w:r>
      <w:r>
        <w:tab/>
      </w:r>
      <w:r>
        <w:rPr>
          <w:noProof/>
        </w:rPr>
        <w:t xml:space="preserve">’sijoituspalveluyrityksellä’ direktiivin 2014/65/EU 4 artiklan 1 kohdan 1 alakohdassa määriteltyä sijoituspalveluyritystä; </w:t>
      </w:r>
    </w:p>
    <w:p>
      <w:pPr>
        <w:pStyle w:val="Point0"/>
        <w:rPr>
          <w:noProof/>
        </w:rPr>
      </w:pPr>
      <w:r>
        <w:t>(20)</w:t>
      </w:r>
      <w:r>
        <w:tab/>
      </w:r>
      <w:r>
        <w:rPr>
          <w:noProof/>
        </w:rPr>
        <w:t xml:space="preserve">’markkinoiden ylläpitäjällä’ direktiivin 2014/65/EU 4 artiklan 1 kohdan 18 alakohdassa määriteltyä markkinoiden ylläpitäjää; </w:t>
      </w:r>
    </w:p>
    <w:p>
      <w:pPr>
        <w:pStyle w:val="Point0"/>
        <w:rPr>
          <w:noProof/>
        </w:rPr>
      </w:pPr>
      <w:r>
        <w:t>(21)</w:t>
      </w:r>
      <w:r>
        <w:tab/>
      </w:r>
      <w:r>
        <w:rPr>
          <w:noProof/>
        </w:rPr>
        <w:t xml:space="preserve">’toimivaltaisella viranomaisella’ yhtä tai useampaa toimivaltaista viranomaista, jotka on nimetty joko </w:t>
      </w:r>
    </w:p>
    <w:p>
      <w:pPr>
        <w:pStyle w:val="Point2"/>
        <w:rPr>
          <w:noProof/>
        </w:rPr>
      </w:pPr>
      <w:r>
        <w:t>(a)</w:t>
      </w:r>
      <w:r>
        <w:tab/>
      </w:r>
      <w:r>
        <w:rPr>
          <w:noProof/>
        </w:rPr>
        <w:t xml:space="preserve">direktiivin 2014/65/EU 67 artiklan mukaisesti, kun kyseessä on DLT-pohjaista monenkeskistä kaupankäyntijärjestelmää ylläpitävä sijoituspalveluyritys tai markkinoiden ylläpitäjä; </w:t>
      </w:r>
    </w:p>
    <w:p>
      <w:pPr>
        <w:pStyle w:val="Point2"/>
        <w:rPr>
          <w:noProof/>
        </w:rPr>
      </w:pPr>
      <w:r>
        <w:t>(b)</w:t>
      </w:r>
      <w:r>
        <w:tab/>
      </w:r>
      <w:r>
        <w:rPr>
          <w:noProof/>
        </w:rPr>
        <w:t xml:space="preserve">asetuksen (EU) N:o 909/2014 11 artiklan mukaisesti, kun kyseessä on DLT-pohjaista arvopapereiden selvitysjärjestelmää ylläpitävä arvopaperikeskus;  tai </w:t>
      </w:r>
    </w:p>
    <w:p>
      <w:pPr>
        <w:pStyle w:val="Point2"/>
        <w:rPr>
          <w:noProof/>
        </w:rPr>
      </w:pPr>
      <w:r>
        <w:t>(c)</w:t>
      </w:r>
      <w:r>
        <w:tab/>
      </w:r>
      <w:r>
        <w:rPr>
          <w:noProof/>
        </w:rPr>
        <w:t>jotka jäsenvaltiot ovat muutoin nimenneet nimetty tämän asetuksen soveltamisen valvontaa varten;</w:t>
      </w:r>
    </w:p>
    <w:p>
      <w:pPr>
        <w:pStyle w:val="Point0"/>
        <w:rPr>
          <w:noProof/>
        </w:rPr>
      </w:pPr>
      <w:r>
        <w:t>(22)</w:t>
      </w:r>
      <w:r>
        <w:tab/>
      </w:r>
      <w:r>
        <w:rPr>
          <w:noProof/>
        </w:rPr>
        <w:t xml:space="preserve">’kotijäsenvaltiolla’ </w:t>
      </w:r>
    </w:p>
    <w:p>
      <w:pPr>
        <w:pStyle w:val="Point2"/>
        <w:rPr>
          <w:noProof/>
        </w:rPr>
      </w:pPr>
      <w:r>
        <w:t>(a)</w:t>
      </w:r>
      <w:r>
        <w:tab/>
      </w:r>
      <w:r>
        <w:rPr>
          <w:noProof/>
        </w:rPr>
        <w:t xml:space="preserve">DLT-pohjaista monenkeskistä kaupankäyntijärjestelmää ylläpitävän sijoituspalveluyrityksen tapauksessa direktiivin 2014/65/EU 4 artiklan 55 kohdan a alakohdan ii ja iii alakohdan mukaisesti määritettyä jäsenvaltiota; </w:t>
      </w:r>
    </w:p>
    <w:p>
      <w:pPr>
        <w:pStyle w:val="Point2"/>
        <w:rPr>
          <w:noProof/>
        </w:rPr>
      </w:pPr>
      <w:r>
        <w:t>(b)</w:t>
      </w:r>
      <w:r>
        <w:tab/>
      </w:r>
      <w:r>
        <w:rPr>
          <w:noProof/>
        </w:rPr>
        <w:t xml:space="preserve">DLT-pohjaista monenkeskistä kaupankäyntijärjestelmää ylläpitävän markkinoiden ylläpitäjän tapauksessa jäsenvaltiota, jossa DLT-pohjaista monenkeskistä kaupankäyntijärjestelmää ylläpitävä markkinoiden ylläpitäjä on rekisteröity tai, jos sillä ei kyseisen jäsenvaltion lainsäädännön mukaan ole sääntömääräistä kotipaikkaa, jäsenvaltiota, jossa DLT-pohjaista monenkeskistä kaupankäyntijärjestelmää ylläpitävän markkinoiden ylläpitäjän päätoimipaikka sijaitsee;   </w:t>
      </w:r>
    </w:p>
    <w:p>
      <w:pPr>
        <w:pStyle w:val="Point2"/>
        <w:rPr>
          <w:noProof/>
        </w:rPr>
      </w:pPr>
      <w:r>
        <w:t>(c)</w:t>
      </w:r>
      <w:r>
        <w:tab/>
      </w:r>
      <w:r>
        <w:rPr>
          <w:noProof/>
        </w:rPr>
        <w:t xml:space="preserve">DLT-pohjaista arvopapereiden selvitysjärjestelmää ylläpitävän arvopaperikeskuksen tapauksessa asetuksen (EU) N:o 909/2014 2 artiklan 23 kohdan mukaisesti määritettyä jäsenvaltiota.  </w:t>
      </w:r>
    </w:p>
    <w:p>
      <w:pPr>
        <w:pStyle w:val="Point0"/>
        <w:rPr>
          <w:noProof/>
        </w:rPr>
      </w:pPr>
      <w:r>
        <w:lastRenderedPageBreak/>
        <w:t>(23)</w:t>
      </w:r>
      <w:r>
        <w:tab/>
      </w:r>
      <w:r>
        <w:rPr>
          <w:noProof/>
        </w:rPr>
        <w:t>’sähköisen rahan tokeneilla’ kryptovarojen markkinoista annetun asetuksen (EU) N:o 2021/XX</w:t>
      </w:r>
      <w:r>
        <w:rPr>
          <w:rStyle w:val="FootnoteReference"/>
          <w:noProof/>
        </w:rPr>
        <w:footnoteReference w:id="53"/>
      </w:r>
      <w:r>
        <w:rPr>
          <w:noProof/>
        </w:rPr>
        <w:t xml:space="preserve"> XX artiklassa määriteltyjä sähköisen rahan tokeneita;</w:t>
      </w:r>
    </w:p>
    <w:p>
      <w:pPr>
        <w:pStyle w:val="Titrearticle"/>
        <w:rPr>
          <w:noProof/>
        </w:rPr>
      </w:pPr>
      <w:r>
        <w:rPr>
          <w:noProof/>
        </w:rPr>
        <w:t>3 artikla</w:t>
      </w:r>
    </w:p>
    <w:p>
      <w:pPr>
        <w:pStyle w:val="Titrearticle"/>
        <w:rPr>
          <w:noProof/>
        </w:rPr>
      </w:pPr>
      <w:r>
        <w:rPr>
          <w:noProof/>
        </w:rPr>
        <w:t xml:space="preserve">DLT-pohjaisessa markkinainfrastruktuurissa kaupankäynnin kohteeksi otettuja tai siinä selvitettyjä siirtokelpoisia arvopapereita koskevat rajoitukset </w:t>
      </w:r>
    </w:p>
    <w:p>
      <w:pPr>
        <w:pStyle w:val="ManualNumPar1"/>
        <w:rPr>
          <w:noProof/>
        </w:rPr>
      </w:pPr>
      <w:r>
        <w:t>1.</w:t>
      </w:r>
      <w:r>
        <w:tab/>
      </w:r>
      <w:r>
        <w:rPr>
          <w:noProof/>
        </w:rPr>
        <w:t>Ainoastaan seuraavat edellytykset täyttävät DLT-siirtokelpoiset arvopaperit voidaan ottaa kaupankäynnin kohteeksi DLT-pohjaisessa monenkeskisessä kaupankäyntijärjestelmässä, ja DLT-pohjaista arvopapereiden selvitysjärjestelmää ylläpitävä arvopaperikeskus voi kirjata ne hajautettuun tilikirjaan:</w:t>
      </w:r>
    </w:p>
    <w:p>
      <w:pPr>
        <w:pStyle w:val="Point1"/>
        <w:rPr>
          <w:noProof/>
        </w:rPr>
      </w:pPr>
      <w:r>
        <w:t>(a)</w:t>
      </w:r>
      <w:r>
        <w:tab/>
      </w:r>
      <w:r>
        <w:rPr>
          <w:noProof/>
        </w:rPr>
        <w:t>osakkeet, joiden liikkeeseenlaskijan markkina-arvo tai alustava markkina-arvo on alle 200 miljoonaa euroa; tai</w:t>
      </w:r>
    </w:p>
    <w:p>
      <w:pPr>
        <w:pStyle w:val="Point1"/>
        <w:rPr>
          <w:i/>
          <w:noProof/>
        </w:rPr>
      </w:pPr>
      <w:r>
        <w:t>(b)</w:t>
      </w:r>
      <w:r>
        <w:tab/>
      </w:r>
      <w:r>
        <w:rPr>
          <w:noProof/>
        </w:rPr>
        <w:t xml:space="preserve">vaihtovelkakirjalainat, katetut joukkolainat, yrityksen liikkeeseen laskemat joukkovelkakirjalainat, muut julkiset joukkovelkakirjalainat ja muut joukkovelkakirjalainat, joiden liikkeeseenlaskun koko on alle 500 miljoonaa.  </w:t>
      </w:r>
    </w:p>
    <w:p>
      <w:pPr>
        <w:pStyle w:val="ManualNumPar1"/>
        <w:rPr>
          <w:noProof/>
        </w:rPr>
      </w:pPr>
      <w:r>
        <w:t>2.</w:t>
      </w:r>
      <w:r>
        <w:tab/>
      </w:r>
      <w:r>
        <w:rPr>
          <w:noProof/>
        </w:rPr>
        <w:t xml:space="preserve">DLT-pohjaista monenkeskistä kaupankäyntijärjestelmää ylläpitävä sijoituspalveluyritys tai markkinoiden ylläpitäjä ei saa ottaa valtion joukkovelkakirjalainoja kaupankäynnin kohteeksi tämän asetuksen mukaisesti. DLT-pohjaista arvopapereiden selvitysjärjestelmää ylläpitävä arvopaperikeskus tai sellainen sijoituspalveluyritys tai markkinoiden ylläpitäjä, jolla on lupa kirjata DLT-siirtokelpoisia arvopapereita DLT-pohjaiseen monenkeskiseen kaupankäyntijärjestelmään 4 artiklan 2 ja 3 kohdan mukaisesti, ei saa kirjata valtion joukkovelkakirjalainoja tämän asetuksen mukaisesti. </w:t>
      </w:r>
    </w:p>
    <w:p>
      <w:pPr>
        <w:pStyle w:val="ManualNumPar1"/>
        <w:rPr>
          <w:noProof/>
        </w:rPr>
      </w:pPr>
      <w:r>
        <w:t>3.</w:t>
      </w:r>
      <w:r>
        <w:tab/>
      </w:r>
      <w:r>
        <w:rPr>
          <w:noProof/>
        </w:rPr>
        <w:t>DLT-pohjaista arvopapereiden selvitysjärjestelmää ylläpitävän arvopaperikeskuksen kirjaamien DLT-siirtokelpoisten arvopapereiden kokonaismarkkina-arvo saa olla enintään 2,5 miljardia euroa. Jos DLT-pohjainen monenkeskinen kaupankäyntijärjestelmä kirjaa DLT-siirtokelpoiset arvopaperit arvopaperikeskuksen sijaan 4 artiklan 2 ja 3 kohdan mukaisesti, DLT-pohjaista monenkeskistä kaupankäyntijärjestelmää ylläpitävän sijoituspalveluyrityksen tai markkinoiden ylläpitäjän kirjaamien DLT-siirtokelpoisten arvopapereiden kokonaismarkkina-arvo saa olla enintään 2,5 miljardia euroa.</w:t>
      </w:r>
    </w:p>
    <w:p>
      <w:pPr>
        <w:pStyle w:val="ManualNumPar1"/>
        <w:rPr>
          <w:noProof/>
        </w:rPr>
      </w:pPr>
      <w:r>
        <w:t>4.</w:t>
      </w:r>
      <w:r>
        <w:tab/>
      </w:r>
      <w:r>
        <w:rPr>
          <w:noProof/>
        </w:rPr>
        <w:t>DLT-siirtokelpoisten arvopapereiden 1 kohdassa tarkoitetun kokonaismarkkina-arvon määrittämiseksi ja seuraamiseksi DLT-siirtokelpoisten arvopapereiden kokonaismarkkina-arvo</w:t>
      </w:r>
    </w:p>
    <w:p>
      <w:pPr>
        <w:pStyle w:val="Point1"/>
        <w:rPr>
          <w:noProof/>
        </w:rPr>
      </w:pPr>
      <w:r>
        <w:t>(a)</w:t>
      </w:r>
      <w:r>
        <w:tab/>
      </w:r>
      <w:r>
        <w:rPr>
          <w:noProof/>
        </w:rPr>
        <w:t>on määritettävä päivittäin joko arvopaperikeskuksen tai asianomaisen sijoituspalveluyrityksen tai markkinoiden ylläpitäjän toimesta; ja</w:t>
      </w:r>
    </w:p>
    <w:p>
      <w:pPr>
        <w:pStyle w:val="Point1"/>
        <w:rPr>
          <w:noProof/>
        </w:rPr>
      </w:pPr>
      <w:r>
        <w:t>(b)</w:t>
      </w:r>
      <w:r>
        <w:tab/>
      </w:r>
      <w:r>
        <w:rPr>
          <w:noProof/>
        </w:rPr>
        <w:t xml:space="preserve">lasketaan seuraavien erien summana: kunkin DLT-pohjaisessa monenkeskisessä kaupankäyntijärjestelmässä kaupankäynnin kohteeksi otetun DLT-siirtokelpoisen arvopaperin päivittäinen sulkemishinta kerrottuna sellaisten DLT-siirtokelpoisten arvopaperien lukumäärällä, joilla on sama ISIN-koodi ja jotka toimitetaan joko kokonaan tai osittain asianomaisessa </w:t>
      </w:r>
      <w:r>
        <w:rPr>
          <w:noProof/>
        </w:rPr>
        <w:lastRenderedPageBreak/>
        <w:t>DLT-pohjaisessa arvopapereiden selvitysjärjestelmässä tai DLT-pohjaisessa monenkeskisessä kaupankäyntijärjestelmässä kyseisenä päivänä.</w:t>
      </w:r>
    </w:p>
    <w:p>
      <w:pPr>
        <w:pStyle w:val="ManualNumPar1"/>
        <w:rPr>
          <w:noProof/>
        </w:rPr>
      </w:pPr>
      <w:r>
        <w:t>5.</w:t>
      </w:r>
      <w:r>
        <w:tab/>
      </w:r>
      <w:r>
        <w:rPr>
          <w:noProof/>
        </w:rPr>
        <w:t>DLT-pohjaisen markkinainfrastruktuurin ylläpitäjän on toimitettava 7 tai 8 artiklan mukaisesti erityisluvan myöntäneelle toimivaltaiselle viranomaiselle kuukausiraportit, joilla osoitetaan, että kaikki DLT-siirtokelpoiset arvopaperit, jotka on kirjattu ja toimitettu luvan saaneessa DLT-pohjaisessa monenkeskisessä kaupankäyntijärjestelmässä 4 artiklan 2 ja 3 kohdan mukaisesti tai DLT-pohjaista arvopapereiden selvitysjärjestelmää ylläpitävän arvopaperikeskuksen toimesta, täyttävät 1–3 kohdan mukaiset edellytykset.</w:t>
      </w:r>
    </w:p>
    <w:p>
      <w:pPr>
        <w:ind w:left="851"/>
        <w:rPr>
          <w:noProof/>
        </w:rPr>
      </w:pPr>
      <w:r>
        <w:rPr>
          <w:noProof/>
        </w:rPr>
        <w:t xml:space="preserve">Jos 1 kohdan mukaisesti raportoitu DLT-siirtokelpoisten arvopapereiden kokonaismarkkina-arvo on noussut 2,25 miljardiin euroon, kyseistä DLT-pohjaista monenkeskistä kaupankäyntijärjestelmää ylläpitävän sijoituspalveluyrityksen tai markkinoiden ylläpitäjän tai kyseistä DLT-pohjaista arvopapereiden selvitysjärjestelmää ylläpitävän arvopaperikeskuksen on käynnistettävä 6 artiklan 6 kohdassa tarkoitettu siirtymästrategia.  Niiden on ilmoitettava toimivaltaiselle viranomaiselle siirtymästrategian käynnistämisestä kuukausittaisessa raportissaan ja siirtymän aikataulusta.  </w:t>
      </w:r>
    </w:p>
    <w:p>
      <w:pPr>
        <w:ind w:left="851"/>
        <w:rPr>
          <w:noProof/>
        </w:rPr>
      </w:pPr>
      <w:r>
        <w:rPr>
          <w:noProof/>
        </w:rPr>
        <w:t xml:space="preserve">Asianomainen toimivaltainen viranomainen voi antaa asianomaisen DLT-pohjaisen markkinainfrastruktuurin jatkaa toimintaansa, kunnes 1 kohdan mukaisesti raportoitu DLT-siirtokelpoisten arvopaperien kokonaismarkkina-arvo nousee 2,75 miljardiin euroon edellyttäen, että DLT-pohjaisen markkinainfrastruktuurin ylläpitäjä pyytää tällaista liikkumavaraa ja että se on objektiivisesti katsoen tarpeen siirtymästrategian asianmukaisen täytäntöönpanon kannalta.    </w:t>
      </w:r>
    </w:p>
    <w:p>
      <w:pPr>
        <w:pStyle w:val="ManualNumPar1"/>
        <w:rPr>
          <w:noProof/>
        </w:rPr>
      </w:pPr>
      <w:r>
        <w:t>6.</w:t>
      </w:r>
      <w:r>
        <w:tab/>
      </w:r>
      <w:r>
        <w:rPr>
          <w:noProof/>
        </w:rPr>
        <w:t xml:space="preserve">DLT-pohjaisessa monenkeskisessä kaupankäyntijärjestelmässä kaupankäynnin kohteeksi otettuihin DLT-siirtokelpoisiin arvopapereihin sovelletaan asetusta (EU) N:o 596/2014. </w:t>
      </w:r>
    </w:p>
    <w:p>
      <w:pPr>
        <w:pStyle w:val="Titrearticle"/>
        <w:rPr>
          <w:noProof/>
        </w:rPr>
      </w:pPr>
      <w:r>
        <w:rPr>
          <w:noProof/>
        </w:rPr>
        <w:t>4 artikla</w:t>
      </w:r>
    </w:p>
    <w:p>
      <w:pPr>
        <w:pStyle w:val="Titrearticle"/>
        <w:rPr>
          <w:noProof/>
        </w:rPr>
      </w:pPr>
      <w:r>
        <w:rPr>
          <w:noProof/>
        </w:rPr>
        <w:t>DLT-pohjaisia monenkeskisiä kaupankäyntijärjestelmiä koskevat vaatimukset ja poikkeukset</w:t>
      </w:r>
    </w:p>
    <w:p>
      <w:pPr>
        <w:pStyle w:val="ManualNumPar1"/>
        <w:rPr>
          <w:noProof/>
        </w:rPr>
      </w:pPr>
      <w:r>
        <w:t>1.</w:t>
      </w:r>
      <w:r>
        <w:tab/>
      </w:r>
      <w:r>
        <w:rPr>
          <w:noProof/>
        </w:rPr>
        <w:t xml:space="preserve">DLT-pohjaiseen monenkeskiseen kaupankäyntijärjestelmään on sovellettava kaikkia direktiivin 2014/65/EU ja asetuksen (EU) N:o 600/2014 mukaisia monenkeskiseen kaupankäyntijärjestelmään sovellettavia vaatimuksia, paitsi jos DLT-pohjaista monenkeskistä kaupankäyntijärjestelmää ylläpitävä sijoituspalveluyritys tai markkinoiden ylläpitäjä </w:t>
      </w:r>
    </w:p>
    <w:p>
      <w:pPr>
        <w:pStyle w:val="Point1"/>
        <w:rPr>
          <w:noProof/>
        </w:rPr>
      </w:pPr>
      <w:r>
        <w:t>(a)</w:t>
      </w:r>
      <w:r>
        <w:tab/>
      </w:r>
      <w:r>
        <w:rPr>
          <w:noProof/>
        </w:rPr>
        <w:t>on hakenut 2 kohdassa tai direktiivissä (EU) .../...</w:t>
      </w:r>
      <w:r>
        <w:rPr>
          <w:rStyle w:val="FootnoteReference"/>
          <w:noProof/>
        </w:rPr>
        <w:footnoteReference w:id="54"/>
      </w:r>
      <w:r>
        <w:rPr>
          <w:noProof/>
        </w:rPr>
        <w:t xml:space="preserve"> tarkoitettua poikkeusta ja on saanut tällaisen poikkeuksen 7 artiklan mukaisesti erityisluvan myöntäneeltä toimivaltaiselta viranomaiselta; ja</w:t>
      </w:r>
    </w:p>
    <w:p>
      <w:pPr>
        <w:pStyle w:val="Point1"/>
        <w:rPr>
          <w:noProof/>
        </w:rPr>
      </w:pPr>
      <w:r>
        <w:t>(b)</w:t>
      </w:r>
      <w:r>
        <w:tab/>
      </w:r>
      <w:r>
        <w:rPr>
          <w:noProof/>
        </w:rPr>
        <w:t>täyttää 6 artiklassa asetetut vaatimukset; ja</w:t>
      </w:r>
    </w:p>
    <w:p>
      <w:pPr>
        <w:pStyle w:val="Point1"/>
        <w:rPr>
          <w:noProof/>
        </w:rPr>
      </w:pPr>
      <w:r>
        <w:t>(c)</w:t>
      </w:r>
      <w:r>
        <w:tab/>
      </w:r>
      <w:r>
        <w:rPr>
          <w:noProof/>
        </w:rPr>
        <w:t xml:space="preserve">täyttää 2–4 kohdassa asetetut edellytykset ja toteuttaa mahdolliset muut korvaavat toimenpiteet, joita erityisluvan myöntänyt toimivaltainen viranomainen pitää tarpeellisina niiden säännösten tavoitteiden </w:t>
      </w:r>
      <w:r>
        <w:rPr>
          <w:noProof/>
        </w:rPr>
        <w:lastRenderedPageBreak/>
        <w:t xml:space="preserve">saavuttamiseksi, joita koskevaa poikkeusta haetaan, tai sijoittajansuojan, markkinoiden luotettavuuden ja/tai rahoitusvakauden varmistamiseksi. </w:t>
      </w:r>
    </w:p>
    <w:p>
      <w:pPr>
        <w:pStyle w:val="ManualNumPar1"/>
        <w:rPr>
          <w:noProof/>
        </w:rPr>
      </w:pPr>
      <w:r>
        <w:t>2.</w:t>
      </w:r>
      <w:r>
        <w:tab/>
      </w:r>
      <w:r>
        <w:rPr>
          <w:noProof/>
        </w:rPr>
        <w:t xml:space="preserve">DLT-pohjaista monenkeskistä kaupankäyntijärjestelmää ylläpitävälle sijoituspalveluyritykselle tai markkinoiden ylläpitäjälle voidaan sen pyynnöstä antaa lupa ottaa kaupankäynnin kohteeksi DLT-siirtokelpoisia arvopapereita, joita ei ole kirjattu arvopaperikeskukseen asetuksen (EU) N:o 909/2014 3 artiklan 2 kohdan mukaisesti mutta jotka on sen sijaan kirjattu DLT-pohjaisen monenkeskisen kaupankäyntijärjestelmän hajautettuun tilikirjaan. </w:t>
      </w:r>
    </w:p>
    <w:p>
      <w:pPr>
        <w:pStyle w:val="Text1"/>
        <w:rPr>
          <w:noProof/>
        </w:rPr>
      </w:pPr>
      <w:r>
        <w:rPr>
          <w:noProof/>
        </w:rPr>
        <w:t>Sijoituspalveluyrityksen tai markkinoiden ylläpitäjän, joka pyytää 1 kohdan mukaista poikkeusta, on ehdotettava korvaavia toimenpiteitä niiden säännösten tavoitteiden saavuttamiseksi, joita koskevaa poikkeusta haetaan, ja varmistettava vähintään, että</w:t>
      </w:r>
    </w:p>
    <w:p>
      <w:pPr>
        <w:pStyle w:val="Point1"/>
        <w:rPr>
          <w:noProof/>
        </w:rPr>
      </w:pPr>
      <w:r>
        <w:t>(a)</w:t>
      </w:r>
      <w:r>
        <w:tab/>
      </w:r>
      <w:r>
        <w:rPr>
          <w:noProof/>
        </w:rPr>
        <w:t xml:space="preserve">DLT-siirtokelpoiset arvopaperit kirjataan käyttämällä hajautetun tilikirjan teknologiaa; </w:t>
      </w:r>
    </w:p>
    <w:p>
      <w:pPr>
        <w:pStyle w:val="Point1"/>
        <w:rPr>
          <w:noProof/>
        </w:rPr>
      </w:pPr>
      <w:r>
        <w:t>(b)</w:t>
      </w:r>
      <w:r>
        <w:tab/>
      </w:r>
      <w:r>
        <w:rPr>
          <w:noProof/>
        </w:rPr>
        <w:t xml:space="preserve">DLT-siirtokelpoisten arvopapereiden lukumäärä DLT-pohjaisessa monenkeskisessä kaupankäyntijärjestelmässä on yhtä suuri kuin tällaisten hajautetun tilikirjan teknologiaa käyttäen liikkeeseen laskettujen DLT-siirtokelpoisten arvopapereiden kokonaismäärä tiettynä ajankohtana; </w:t>
      </w:r>
    </w:p>
    <w:p>
      <w:pPr>
        <w:pStyle w:val="Point1"/>
        <w:rPr>
          <w:noProof/>
        </w:rPr>
      </w:pPr>
      <w:r>
        <w:t>(c)</w:t>
      </w:r>
      <w:r>
        <w:tab/>
      </w:r>
      <w:r>
        <w:rPr>
          <w:noProof/>
        </w:rPr>
        <w:t>DLT-pohjainen monenkeskinen kaupankäyntijärjestelmä säilyttää tietoja, joiden avulla DLT-pohjaista monenkeskistä kaupankäyntijärjestelmää ylläpitävä sijoituspalveluyritys tai markkinoiden ylläpitäjä pystyy milloin tahansa viipymättä erottamaan jonkin jäsenen, osapuolen, liikkeeseenlaskijan tai asiakkaan DLT-siirtokelpoiset arvopaperit minkä tahansa muun jäsenen, osapuolen, liikkeeseenlaskijan tai asiakkaan DLT-siirtokelpoisista arvopapereista.</w:t>
      </w:r>
    </w:p>
    <w:p>
      <w:pPr>
        <w:pStyle w:val="Text1"/>
        <w:rPr>
          <w:noProof/>
        </w:rPr>
      </w:pPr>
      <w:r>
        <w:rPr>
          <w:noProof/>
        </w:rPr>
        <w:t xml:space="preserve">Jos DLT-pohjainen monenkeskinen kaupankäyntijärjestelmä ei ole pyytänyt poikkeusta ensimmäisen alakohdan mukaisesti, DLT-siirtokelpoiset arvopaperit on kirjattava arvo-osuusmuodossa arvopaperikeskuksessa tai käyttämällä DLT-pohjaista arvopapereiden selvitysjärjestelmää ylläpitävän arvopaperikeskuksen hajautetun tilikirjan teknologiaa.  </w:t>
      </w:r>
    </w:p>
    <w:p>
      <w:pPr>
        <w:pStyle w:val="ManualNumPar1"/>
        <w:rPr>
          <w:noProof/>
        </w:rPr>
      </w:pPr>
      <w:r>
        <w:t>3.</w:t>
      </w:r>
      <w:r>
        <w:tab/>
      </w:r>
      <w:r>
        <w:rPr>
          <w:noProof/>
        </w:rPr>
        <w:t xml:space="preserve">Jos DLT-pohjaista monenkeskistä kaupankäyntijärjestelmää ylläpitävä sijoituspalveluyritys tai markkinoiden ylläpitäjä on pyytänyt 2 kohdan mukaista poikkeusta, sen on varmistettava luotettavien menettelyjen ja järjestelyjen avulla, että DLT-pohjainen monenkeskinen kaupankäyntijärjestelmä    </w:t>
      </w:r>
    </w:p>
    <w:p>
      <w:pPr>
        <w:pStyle w:val="Point1"/>
        <w:rPr>
          <w:noProof/>
        </w:rPr>
      </w:pPr>
      <w:r>
        <w:t>(a)</w:t>
      </w:r>
      <w:r>
        <w:tab/>
      </w:r>
      <w:r>
        <w:rPr>
          <w:noProof/>
        </w:rPr>
        <w:t xml:space="preserve">takaa, että DLT-pohjaista monenkeskistä kaupankäyntijärjestelmää ylläpitävän sijoituspalveluyrityksen tai markkinoiden ylläpitäjän liikkeeseenlaskuun tai liikkeeseenlaskun osaan sisältyvien kaupankäynnin kohteeksi otettujen DLT-siirtokelpoisten arvopapereiden lukumäärä on kaikkina ajankohtina yhtä suuri kuin tällaisen liikkeeseenlaskun tai liikkeeseenlaskun osan muodostavien DLT-siirtokelpoisten arvopapereiden summa, joka kirjataan käyttämällä hajautetun tilikirjan teknologiaa; </w:t>
      </w:r>
    </w:p>
    <w:p>
      <w:pPr>
        <w:pStyle w:val="Point1"/>
        <w:rPr>
          <w:noProof/>
        </w:rPr>
      </w:pPr>
      <w:r>
        <w:t>(b)</w:t>
      </w:r>
      <w:r>
        <w:tab/>
      </w:r>
      <w:r>
        <w:rPr>
          <w:noProof/>
        </w:rPr>
        <w:t xml:space="preserve">takaa kaikkien DLT-siirtokelpoisten arvopapereiden ja sellaisten varojen säilyttämisen, joilla suoritetaan tällaisten arvopapereiden maksuja, tai tällaisiin transaktioihin liittyvien DLT-pohjaisen monenkeskisen kaupankäyntijärjestelmän kautta annettavien vakuuksien säilyttämisen; </w:t>
      </w:r>
    </w:p>
    <w:p>
      <w:pPr>
        <w:pStyle w:val="Point1"/>
        <w:rPr>
          <w:noProof/>
        </w:rPr>
      </w:pPr>
      <w:r>
        <w:t>(c)</w:t>
      </w:r>
      <w:r>
        <w:tab/>
      </w:r>
      <w:r>
        <w:rPr>
          <w:noProof/>
        </w:rPr>
        <w:t xml:space="preserve">mahdollistaa DLT-siirtokelpoisilla arvopapereilla toteutettuja transaktioita koskevien yksityiskohtaisten tietojen selkeän, tarkan ja oikea-aikaisen </w:t>
      </w:r>
      <w:r>
        <w:rPr>
          <w:noProof/>
        </w:rPr>
        <w:lastRenderedPageBreak/>
        <w:t xml:space="preserve">vahvistamisen, mukaan lukien kaikki niihin liittyvät maksut, vakuuksista vapauttamiset tai vakuusvaatimukset; </w:t>
      </w:r>
    </w:p>
    <w:p>
      <w:pPr>
        <w:pStyle w:val="Point1"/>
        <w:rPr>
          <w:noProof/>
        </w:rPr>
      </w:pPr>
      <w:r>
        <w:t>(d)</w:t>
      </w:r>
      <w:r>
        <w:tab/>
      </w:r>
      <w:r>
        <w:rPr>
          <w:noProof/>
        </w:rPr>
        <w:t xml:space="preserve">antaa selkeät, tarkat ja oikea-aikaiset tiedot transaktioiden toimituksesta, mukaan lukien toimituksen lopullisuudesta, määrittämällä ajankohdan, jonka jälkeen jäsenet, osallistujat, liikkeeseenlaskijat tai asiakkaat eivät voi peruuttaa siirtomääräyksiä tai muita ennalta määriteltyjä ohjeita; </w:t>
      </w:r>
    </w:p>
    <w:p>
      <w:pPr>
        <w:pStyle w:val="Point1"/>
        <w:rPr>
          <w:noProof/>
          <w:szCs w:val="24"/>
        </w:rPr>
      </w:pPr>
      <w:r>
        <w:t>(e)</w:t>
      </w:r>
      <w:r>
        <w:tab/>
      </w:r>
      <w:r>
        <w:rPr>
          <w:noProof/>
        </w:rPr>
        <w:t xml:space="preserve">toimittaa DLT-siirtokelpoisilla arvopapereilla toteutetut transaktiot lähes reaaliaikaisesti tai päivänsisäisesti, joka tapauksessa viimeistään kaupanteon jälkeisenä toisena pankkipäivänä; </w:t>
      </w:r>
    </w:p>
    <w:p>
      <w:pPr>
        <w:pStyle w:val="Point1"/>
        <w:rPr>
          <w:rStyle w:val="CommentReference"/>
          <w:noProof/>
          <w:sz w:val="24"/>
          <w:szCs w:val="22"/>
        </w:rPr>
      </w:pPr>
      <w:r>
        <w:rPr>
          <w:rStyle w:val="CommentReference"/>
        </w:rPr>
        <w:t>(f)</w:t>
      </w:r>
      <w:r>
        <w:rPr>
          <w:rStyle w:val="CommentReference"/>
        </w:rPr>
        <w:tab/>
      </w:r>
      <w:r>
        <w:rPr>
          <w:noProof/>
        </w:rPr>
        <w:t xml:space="preserve">varmistaa toimituksen maksua vastaan.  </w:t>
      </w:r>
    </w:p>
    <w:p>
      <w:pPr>
        <w:ind w:left="1418"/>
        <w:rPr>
          <w:noProof/>
        </w:rPr>
      </w:pPr>
      <w:r>
        <w:rPr>
          <w:noProof/>
        </w:rPr>
        <w:t xml:space="preserve">Maksut voidaan toteuttaa keskuspankkirahassa, jos se on käytännöllistä ja mahdollista, tai muussa tapauksessa liikepankkirahassa, mukaan lukien tokeneihin perustuvassa muodossa olevassa liikepankkirahassa, tai sähköisen rahan tokeneissa. </w:t>
      </w:r>
    </w:p>
    <w:p>
      <w:pPr>
        <w:ind w:left="1418"/>
        <w:rPr>
          <w:noProof/>
        </w:rPr>
      </w:pPr>
      <w:r>
        <w:rPr>
          <w:noProof/>
        </w:rPr>
        <w:t>Jos maksut toteutetaan liikepankkirahassa tai sähköisen rahan tokeneissa, DLT-pohjaista monenkeskistä kaupankäyntijärjestelmää ylläpitävän sijoituspalveluyrityksen tai markkinoiden ylläpitäjän on tunnistettava, mitattava, seurattava, hallittava ja minimoitava tällaisen rahan käytöstä aiheutuvia vastapuoliriskejä; ja</w:t>
      </w:r>
    </w:p>
    <w:p>
      <w:pPr>
        <w:pStyle w:val="Point1"/>
        <w:rPr>
          <w:noProof/>
        </w:rPr>
      </w:pPr>
      <w:r>
        <w:t>(g)</w:t>
      </w:r>
      <w:r>
        <w:tab/>
      </w:r>
      <w:r>
        <w:rPr>
          <w:noProof/>
        </w:rPr>
        <w:t xml:space="preserve">joko estää tai, jos se ei ole mahdollista, korjaa toimituspuutteet.   </w:t>
      </w:r>
    </w:p>
    <w:p>
      <w:pPr>
        <w:pStyle w:val="ManualNumPar1"/>
        <w:rPr>
          <w:noProof/>
        </w:rPr>
      </w:pPr>
      <w:r>
        <w:t>4.</w:t>
      </w:r>
      <w:r>
        <w:tab/>
      </w:r>
      <w:r>
        <w:rPr>
          <w:noProof/>
        </w:rPr>
        <w:t>Jos DLT-pohjaista monenkeskistä kaupankäyntijärjestelmää ylläpitävä sijoituspalveluyritys tai markkinoiden ylläpitäjä pyytää 2 kohdan tai direktiivin (EU) .../...</w:t>
      </w:r>
      <w:r>
        <w:rPr>
          <w:rStyle w:val="FootnoteReference"/>
          <w:noProof/>
        </w:rPr>
        <w:footnoteReference w:id="55"/>
      </w:r>
      <w:r>
        <w:rPr>
          <w:noProof/>
        </w:rPr>
        <w:t xml:space="preserve"> mukaista poikkeusta, sen on joka tapauksessa osoitettava, että pyydetty poikkeus   </w:t>
      </w:r>
    </w:p>
    <w:p>
      <w:pPr>
        <w:pStyle w:val="Point1"/>
        <w:rPr>
          <w:noProof/>
        </w:rPr>
      </w:pPr>
      <w:r>
        <w:t>(a)</w:t>
      </w:r>
      <w:r>
        <w:tab/>
      </w:r>
      <w:r>
        <w:rPr>
          <w:noProof/>
        </w:rPr>
        <w:t>on oikeasuhtainen ja perusteltu hajautetun tilikirjan teknologian käytön vuoksi; ja</w:t>
      </w:r>
    </w:p>
    <w:p>
      <w:pPr>
        <w:pStyle w:val="Point1"/>
        <w:rPr>
          <w:noProof/>
        </w:rPr>
      </w:pPr>
      <w:r>
        <w:t>(b)</w:t>
      </w:r>
      <w:r>
        <w:tab/>
      </w:r>
      <w:r>
        <w:rPr>
          <w:noProof/>
        </w:rPr>
        <w:t xml:space="preserve">koskee ainoastaan DLT-pohjaista monenkeskistä kaupankäyntijärjestelmää eikä ulotu muihin kyseisen sijoituspalveluyrityksen tai markkinoiden ylläpitäjän ylläpitämiin monenkeskisiin kaupankäyntijärjestelmiin. </w:t>
      </w:r>
    </w:p>
    <w:p>
      <w:pPr>
        <w:pStyle w:val="Titrearticle"/>
        <w:rPr>
          <w:noProof/>
        </w:rPr>
      </w:pPr>
      <w:r>
        <w:rPr>
          <w:noProof/>
        </w:rPr>
        <w:t>5 artikla</w:t>
      </w:r>
    </w:p>
    <w:p>
      <w:pPr>
        <w:pStyle w:val="Titrearticle"/>
        <w:rPr>
          <w:noProof/>
        </w:rPr>
      </w:pPr>
      <w:r>
        <w:rPr>
          <w:noProof/>
        </w:rPr>
        <w:t>DLT-pohjaista arvopapereiden selvitysjärjestelmää koskevat vaatimukset ja poikkeukset</w:t>
      </w:r>
    </w:p>
    <w:p>
      <w:pPr>
        <w:pStyle w:val="ManualNumPar1"/>
        <w:rPr>
          <w:i/>
          <w:noProof/>
        </w:rPr>
      </w:pPr>
      <w:r>
        <w:t>1.</w:t>
      </w:r>
      <w:r>
        <w:tab/>
      </w:r>
      <w:r>
        <w:rPr>
          <w:noProof/>
        </w:rPr>
        <w:t xml:space="preserve">DLT-pohjaista arvopapereiden selvitysjärjestelmää ylläpitävään arvopaperikeskukseen sovelletaan asetuksen (EU) N:o 909/2014 mukaisia arvopaperikeskukseen sovellettavia vaatimuksia, paitsi jos kyseinen arvopaperikeskus </w:t>
      </w:r>
    </w:p>
    <w:p>
      <w:pPr>
        <w:pStyle w:val="Point1"/>
        <w:rPr>
          <w:noProof/>
        </w:rPr>
      </w:pPr>
      <w:r>
        <w:t>(a)</w:t>
      </w:r>
      <w:r>
        <w:tab/>
      </w:r>
      <w:r>
        <w:rPr>
          <w:noProof/>
        </w:rPr>
        <w:t xml:space="preserve">on hakenut 2–6 kohdassa tarkoitettuja poikkeuksia ja on saanut tällaisia poikkeuksia 8 artiklan mukaisesti erityisluvan myöntäneeltä toimivaltaiselta viranomaiselta; </w:t>
      </w:r>
    </w:p>
    <w:p>
      <w:pPr>
        <w:pStyle w:val="Point1"/>
        <w:rPr>
          <w:noProof/>
        </w:rPr>
      </w:pPr>
      <w:r>
        <w:lastRenderedPageBreak/>
        <w:t>(b)</w:t>
      </w:r>
      <w:r>
        <w:tab/>
      </w:r>
      <w:r>
        <w:rPr>
          <w:noProof/>
        </w:rPr>
        <w:t>täyttää 6 artiklassa asetetut vaatimukset; ja</w:t>
      </w:r>
    </w:p>
    <w:p>
      <w:pPr>
        <w:pStyle w:val="Point1"/>
        <w:rPr>
          <w:noProof/>
        </w:rPr>
      </w:pPr>
      <w:r>
        <w:t>(c)</w:t>
      </w:r>
      <w:r>
        <w:tab/>
      </w:r>
      <w:r>
        <w:rPr>
          <w:noProof/>
        </w:rPr>
        <w:t xml:space="preserve">täyttää 2–7 kohdassa asetetut edellytykset ja toteuttaa mahdolliset muut korvaavat toimenpiteet, joita erityisluvan myöntänyt toimivaltainen viranomainen pitää tarpeellisina niiden säännösten tavoitteiden saavuttamiseksi, joita koskevaa poikkeusta haetaan, tai sijoittajansuojan, markkinoiden luotettavuuden ja/tai rahoitusvakauden varmistamiseksi.  </w:t>
      </w:r>
    </w:p>
    <w:p>
      <w:pPr>
        <w:pStyle w:val="ManualNumPar1"/>
        <w:rPr>
          <w:noProof/>
        </w:rPr>
      </w:pPr>
      <w:r>
        <w:t>2.</w:t>
      </w:r>
      <w:r>
        <w:tab/>
      </w:r>
      <w:r>
        <w:rPr>
          <w:noProof/>
        </w:rPr>
        <w:t xml:space="preserve">Toimivaltainen viranomainen voi DLT-pohjaista arvopapereiden selvitysjärjestelmää ylläpitävän arvopaperikeskuksen pyynnöstä vapauttaa kyseisen arvopaperikeskuksen asetuksen (EU) N:o 909/2014 aineetonta muotoa koskevan 2 artiklan 1 kohdan 4 alakohdan, siirtomääräyksiä koskevan 2 artiklan 1 kohdan 9 alakohdan, arvopaperitilejä koskevan 2 artiklan 1 kohdan 28 alakohdan, arvopapereiden kirjaamista koskevan 3 artiklan, liikkeeseenlaskun jatkuvaa eheyttä koskevan 37 artiklan ja varojen erottelua koskevan 38 artiklan soveltamisesta edellyttäen, että DLT-pohjaista arvopapereiden selvitysjärjestelmää ylläpitävä arvopaperikeskus  </w:t>
      </w:r>
    </w:p>
    <w:p>
      <w:pPr>
        <w:pStyle w:val="Point0"/>
        <w:rPr>
          <w:noProof/>
        </w:rPr>
      </w:pPr>
      <w:r>
        <w:t>(a)</w:t>
      </w:r>
      <w:r>
        <w:tab/>
      </w:r>
      <w:r>
        <w:rPr>
          <w:noProof/>
        </w:rPr>
        <w:t xml:space="preserve">osoittaa, että asetuksen (EU) N:o 909/2014 2 artiklan 1 kohdan 28 alakohdassa määritellyn ’arvopaperitilin’ tai arvo-osuusmuodon käyttö ei sovi yhteen sen käyttämän hajautetun tilikirjan teknologian kanssa; </w:t>
      </w:r>
    </w:p>
    <w:p>
      <w:pPr>
        <w:pStyle w:val="Point0"/>
        <w:rPr>
          <w:noProof/>
        </w:rPr>
      </w:pPr>
      <w:r>
        <w:t>(b)</w:t>
      </w:r>
      <w:r>
        <w:tab/>
      </w:r>
      <w:r>
        <w:rPr>
          <w:noProof/>
        </w:rPr>
        <w:t>ehdottaa korvaavia toimenpiteitä niiden säännösten tavoitteiden saavuttamiseksi, joita koskevaa poikkeusta pyydetään, ja varmistaa vähintään, että</w:t>
      </w:r>
    </w:p>
    <w:p>
      <w:pPr>
        <w:pStyle w:val="Point0"/>
        <w:rPr>
          <w:noProof/>
        </w:rPr>
      </w:pPr>
      <w:r>
        <w:t>(c)</w:t>
      </w:r>
      <w:r>
        <w:tab/>
      </w:r>
      <w:r>
        <w:rPr>
          <w:noProof/>
        </w:rPr>
        <w:t xml:space="preserve">DLT-siirtokelpoiset arvopaperit kirjataan käyttämällä hajautetun tilikirjan teknologiaa; </w:t>
      </w:r>
    </w:p>
    <w:p>
      <w:pPr>
        <w:pStyle w:val="Point0"/>
        <w:rPr>
          <w:noProof/>
        </w:rPr>
      </w:pPr>
      <w:r>
        <w:t>(d)</w:t>
      </w:r>
      <w:r>
        <w:tab/>
      </w:r>
      <w:r>
        <w:rPr>
          <w:noProof/>
        </w:rPr>
        <w:t>DLT-pohjaista arvopapereiden selvitysjärjestelmää ylläpitävän arvopaperikeskuksen liikkeeseenlaskuun tai liikkeeseenlaskun osaan sisältyvien kaupankäynnin kohteeksi otettujen DLT-siirtokelpoisten arvopapereiden lukumäärä on kaikkina ajankohtina yhtä suuri kuin tällaisen liikkeeseenlaskun tai liikkeeseenlaskun osan muodostavien DLT-siirtokelpoisten arvopapereiden summa, joka kirjataan käyttämällä hajautetun tilikirjan teknologiaa; ja</w:t>
      </w:r>
    </w:p>
    <w:p>
      <w:pPr>
        <w:pStyle w:val="Point0"/>
        <w:rPr>
          <w:noProof/>
        </w:rPr>
      </w:pPr>
      <w:r>
        <w:t>(e)</w:t>
      </w:r>
      <w:r>
        <w:tab/>
      </w:r>
      <w:r>
        <w:rPr>
          <w:noProof/>
        </w:rPr>
        <w:t xml:space="preserve">se säilyttää tietoja, joiden avulla arvopaperikeskus pystyy milloin tahansa viipymättä erottamaan jonkin jäsenen, osapuolen, liikkeeseenlaskijan tai asiakkaan DLT-siirtokelpoiset arvopaperit minkä tahansa muun jäsenen, osapuolen, liikkeeseenlaskijan tai asiakkaan DLT-siirtokelpoisista arvopapereista.   </w:t>
      </w:r>
    </w:p>
    <w:p>
      <w:pPr>
        <w:pStyle w:val="ManualNumPar1"/>
        <w:rPr>
          <w:noProof/>
        </w:rPr>
      </w:pPr>
      <w:r>
        <w:t>3.</w:t>
      </w:r>
      <w:r>
        <w:tab/>
      </w:r>
      <w:r>
        <w:rPr>
          <w:noProof/>
        </w:rPr>
        <w:t xml:space="preserve">Toimivaltainen viranomainen voi DLT-pohjaista arvopapereiden selvitysjärjestelmää ylläpitävän arvopaperikeskuksen pyynnöstä vapauttaa kyseisen arvopaperikeskuksen asetuksen (EU) N:o 909/2014 19 ja 30 artiklan soveltamisesta edellyttäen, että </w:t>
      </w:r>
    </w:p>
    <w:p>
      <w:pPr>
        <w:pStyle w:val="Point2"/>
        <w:rPr>
          <w:noProof/>
        </w:rPr>
      </w:pPr>
      <w:r>
        <w:t>(1)</w:t>
      </w:r>
      <w:r>
        <w:tab/>
      </w:r>
      <w:r>
        <w:rPr>
          <w:noProof/>
        </w:rPr>
        <w:t>kyseiset säännökset eivät ole yhteensopivia asianomaisen arvopaperikeskuksen käyttämän hajautetun tilikirjan teknologian kanssa; ja</w:t>
      </w:r>
    </w:p>
    <w:p>
      <w:pPr>
        <w:pStyle w:val="Point2"/>
        <w:rPr>
          <w:noProof/>
        </w:rPr>
      </w:pPr>
      <w:r>
        <w:t>(2)</w:t>
      </w:r>
      <w:r>
        <w:tab/>
      </w:r>
      <w:r>
        <w:rPr>
          <w:noProof/>
        </w:rPr>
        <w:t xml:space="preserve">DLT-pohjaista arvopapereiden selvitysjärjestelmää ylläpitävä arvopaperikeskus varmistaa, että asetuksen (EU) N:o 909/2014 30 artiklan 1 kohdan c–i alakohdassa ja 30 artiklan 2 kohdassa säädetyt edellytykset täyttyvät. </w:t>
      </w:r>
    </w:p>
    <w:p>
      <w:pPr>
        <w:pStyle w:val="ManualNumPar1"/>
        <w:rPr>
          <w:noProof/>
        </w:rPr>
      </w:pPr>
      <w:r>
        <w:t>4.</w:t>
      </w:r>
      <w:r>
        <w:tab/>
      </w:r>
      <w:r>
        <w:rPr>
          <w:noProof/>
        </w:rPr>
        <w:t xml:space="preserve">Toimivaltainen viranomainen voi DLT-pohjaista arvopapereiden selvitysjärjestelmää ylläpitävän arvopaperikeskuksen pyynnöstä vapauttaa kyseisen arvopaperikeskuksen asetuksen (EU) N:o 909/2014 osallistujia koskevan 2 artiklan 1 kohdan 19 alakohdan soveltamisesta, ja arvopaperikeskukselle voidaan antaa lupa hyväksyä osallistujiksi </w:t>
      </w:r>
      <w:r>
        <w:rPr>
          <w:noProof/>
        </w:rPr>
        <w:lastRenderedPageBreak/>
        <w:t xml:space="preserve">muita kuin 2 artiklan 1 kohdan 19 alakohdassa tarkoitettuja luonnollisia henkilöitä ja oikeushenkilöitä edellyttäen, että </w:t>
      </w:r>
    </w:p>
    <w:p>
      <w:pPr>
        <w:pStyle w:val="Point2"/>
        <w:rPr>
          <w:noProof/>
        </w:rPr>
      </w:pPr>
      <w:r>
        <w:t>(1)</w:t>
      </w:r>
      <w:r>
        <w:tab/>
      </w:r>
      <w:r>
        <w:rPr>
          <w:noProof/>
        </w:rPr>
        <w:t>kyseiset henkilöt ovat riittävän hyvämaineisia sekä sopivia ja luotettavia; ja</w:t>
      </w:r>
    </w:p>
    <w:p>
      <w:pPr>
        <w:pStyle w:val="Point2"/>
        <w:rPr>
          <w:noProof/>
        </w:rPr>
      </w:pPr>
      <w:r>
        <w:t>(2)</w:t>
      </w:r>
      <w:r>
        <w:tab/>
      </w:r>
      <w:r>
        <w:rPr>
          <w:noProof/>
        </w:rPr>
        <w:t xml:space="preserve">kyseisillä henkilöillä on riittävät valmiudet sekä riittävä pätevyys, kokemus ja tietämys kaupankäynnin jälkeisistä toiminnoista ja hajautetun tilikirjan teknologian toiminnasta.  </w:t>
      </w:r>
    </w:p>
    <w:p>
      <w:pPr>
        <w:pStyle w:val="ManualNumPar1"/>
        <w:rPr>
          <w:rStyle w:val="CommentReference"/>
          <w:noProof/>
          <w:sz w:val="24"/>
          <w:szCs w:val="22"/>
        </w:rPr>
      </w:pPr>
      <w:r>
        <w:rPr>
          <w:rStyle w:val="CommentReference"/>
        </w:rPr>
        <w:t>5.</w:t>
      </w:r>
      <w:r>
        <w:rPr>
          <w:rStyle w:val="CommentReference"/>
        </w:rPr>
        <w:tab/>
      </w:r>
      <w:r>
        <w:rPr>
          <w:noProof/>
        </w:rPr>
        <w:t xml:space="preserve">Toimivaltainen viranomainen voi DLT-pohjaista arvopapereiden selvitysjärjestelmää ylläpitävän arvopaperikeskuksen pyynnöstä vapauttaa kyseisen arvopaperikeskuksen asetuksen (EU) N:o 909/2014 maksujen toteutusta koskevan 40 artiklan soveltamisesta edellyttäen, että arvopaperikeskus varmistaa toimituksen maksua vastaan.  </w:t>
      </w:r>
    </w:p>
    <w:p>
      <w:pPr>
        <w:pStyle w:val="Text1"/>
        <w:rPr>
          <w:noProof/>
        </w:rPr>
      </w:pPr>
      <w:r>
        <w:rPr>
          <w:noProof/>
        </w:rPr>
        <w:t xml:space="preserve">Maksut voidaan toteuttaa keskuspankkirahassa, jos se on käytännöllistä ja mahdollista, tai muussa tapauksessa liikepankkirahassa, mukaan lukien tokeneihin perustuvassa muodossa olevassa liikepankkirahassa, tai sähköisen rahan tokeneissa. </w:t>
      </w:r>
    </w:p>
    <w:p>
      <w:pPr>
        <w:pStyle w:val="Text1"/>
        <w:rPr>
          <w:noProof/>
        </w:rPr>
      </w:pPr>
      <w:r>
        <w:rPr>
          <w:noProof/>
        </w:rPr>
        <w:t xml:space="preserve">Jos maksujen toteutus tapahtuu liikepankkirahassa tai sähköisen rahan tokeneissa, DLT-pohjaista arvopapereiden selvitysjärjestelmää ylläpitävän arvopaperikeskuksen on tunnistettava, mitattava, seurata, hallittava ja minimoitava tällaisten rahojen käytöstä aiheutuvia vastapuoliriskejä. </w:t>
      </w:r>
    </w:p>
    <w:p>
      <w:pPr>
        <w:pStyle w:val="ManualNumPar1"/>
        <w:rPr>
          <w:noProof/>
        </w:rPr>
      </w:pPr>
      <w:r>
        <w:t>6.</w:t>
      </w:r>
      <w:r>
        <w:tab/>
      </w:r>
      <w:r>
        <w:rPr>
          <w:noProof/>
        </w:rPr>
        <w:t xml:space="preserve">Toimivaltainen viranomainen voi DLT-pohjaista arvopapereiden selvitysjärjestelmää ylläpitävän arvopaperikeskuksen pyynnöstä vapauttaa kyseisen arvopaperikeskuksen asetukseen (EU) N:o 909/2014 sisältyvän, vakioidun linkin välityksellä tapahtuvaa pääsyä koskevan 50 artiklan ja/tai arvopaperikeskuksen ja toisen markkinainfrastruktuurin välistä pääsyä koskevan 53 artiklan soveltamisesta edellyttäen, että arvopaperikeskus osoittaa, että hajautetun tilikirjan teknologian käyttö ei ole yhteensopivaa muiden arvopaperikeskusten tai markkinainfrastruktuurien perinteisten järjestelmien kanssa tai että tällaisen pääsyn myöntäminen toiselle perinteisiä järjestelmiä käyttävälle arvopaperikeskukselle tai markkinainfrastruktuurille aiheuttaisi suhteettomia kustannuksia, kun otetaan huomioon DLT-pohjaisen arvopapereiden selvitysjärjestelmän koko.   </w:t>
      </w:r>
    </w:p>
    <w:p>
      <w:pPr>
        <w:pStyle w:val="ManualNumPar1"/>
        <w:rPr>
          <w:noProof/>
        </w:rPr>
      </w:pPr>
      <w:r>
        <w:t>7.</w:t>
      </w:r>
      <w:r>
        <w:tab/>
      </w:r>
      <w:r>
        <w:rPr>
          <w:noProof/>
        </w:rPr>
        <w:t xml:space="preserve">Jos DLT-pohjaista arvopapereiden selvitysjärjestelmää ylläpitävä arvopaperikeskus on pyytänyt ensimmäisen alakohdan mukaista poikkeusta, sen on myönnettävä pääsy muille DLT-pohjaista arvopapereiden selvitysjärjestelmää ylläpitäville arvopaperikeskuksille tai DLT-pohjaisille monenkeskisille kaupankäyntijärjestelmille.  </w:t>
      </w:r>
    </w:p>
    <w:p>
      <w:pPr>
        <w:pStyle w:val="Text1"/>
        <w:rPr>
          <w:noProof/>
        </w:rPr>
      </w:pPr>
      <w:r>
        <w:rPr>
          <w:noProof/>
        </w:rPr>
        <w:t xml:space="preserve">Jos DLT-pohjaista arvopapereiden selvitysjärjestelmää ylläpitävä arvopaperikeskus pyytää 2–6 kohdan mukaista poikkeusta, sen on joka tapauksessa osoitettava, että   </w:t>
      </w:r>
    </w:p>
    <w:p>
      <w:pPr>
        <w:pStyle w:val="Point1"/>
        <w:rPr>
          <w:noProof/>
        </w:rPr>
      </w:pPr>
      <w:r>
        <w:t>(a)</w:t>
      </w:r>
      <w:r>
        <w:tab/>
      </w:r>
      <w:r>
        <w:rPr>
          <w:noProof/>
        </w:rPr>
        <w:t xml:space="preserve">pyydetty poikkeus on oikeasuhteinen ja perusteltu sen käyttämän hajautetun tilikirjan teknologian vuoksi; ja </w:t>
      </w:r>
    </w:p>
    <w:p>
      <w:pPr>
        <w:pStyle w:val="Point1"/>
        <w:rPr>
          <w:noProof/>
        </w:rPr>
      </w:pPr>
      <w:r>
        <w:t>(b)</w:t>
      </w:r>
      <w:r>
        <w:tab/>
      </w:r>
      <w:r>
        <w:rPr>
          <w:noProof/>
        </w:rPr>
        <w:t xml:space="preserve">pyydetty poikkeus rajoittuu DLT-pohjaiseen arvopapereiden selvitysjärjestelmään eikä ulotu mihinkään muuhun saman arvopaperikeskuksen ylläpitämään asetuksen (EU) N:o 909/2014 2 artiklan 10 kohdassa määriteltyyn arvopapereiden selvitysjärjestelmään.  </w:t>
      </w:r>
    </w:p>
    <w:p>
      <w:pPr>
        <w:pStyle w:val="ManualNumPar1"/>
        <w:rPr>
          <w:noProof/>
        </w:rPr>
      </w:pPr>
      <w:r>
        <w:t>8.</w:t>
      </w:r>
      <w:r>
        <w:tab/>
      </w:r>
      <w:r>
        <w:rPr>
          <w:noProof/>
        </w:rPr>
        <w:t xml:space="preserve">Jos arvopaperikeskus on pyytänyt 3 kohdan mukaista poikkeusta ja sille on myönnetty se, asetuksen (EU) N:o 909/2014 39 artiklan 1 kohdan vaatimusta, jonka mukaan jäsenvaltioiden on nimettävä ja ilmoitettava arvopaperikeskuksen ylläpitämä </w:t>
      </w:r>
      <w:r>
        <w:rPr>
          <w:noProof/>
        </w:rPr>
        <w:lastRenderedPageBreak/>
        <w:t xml:space="preserve">arvopapereiden selvitysjärjestelmä direktiivin 98/26/EY mukaisesti, ei sovelleta kyseiseen DLT-pohjaiseen arvopapereiden selvitysjärjestelmään. Edellä säädetty ei estä jäsenvaltioita nimeämästä ja ilmoittamasta DLT-pohjaista arvopapereiden selvitysjärjestelmää direktiivin 98/26/EY mukaisesti, jos kyseinen DLT-pohjainen arvopapereiden selvitysjärjestelmä täyttää kaikki kyseisen direktiivin vaatimukset.       </w:t>
      </w:r>
    </w:p>
    <w:p>
      <w:pPr>
        <w:pStyle w:val="Titrearticle"/>
        <w:rPr>
          <w:noProof/>
        </w:rPr>
      </w:pPr>
      <w:r>
        <w:rPr>
          <w:noProof/>
        </w:rPr>
        <w:t>6 artikla</w:t>
      </w:r>
    </w:p>
    <w:p>
      <w:pPr>
        <w:pStyle w:val="Titrearticle"/>
        <w:rPr>
          <w:noProof/>
        </w:rPr>
      </w:pPr>
      <w:r>
        <w:rPr>
          <w:noProof/>
        </w:rPr>
        <w:t xml:space="preserve"> DLT-pohjaisia markkinainfrastruktuureja koskevat lisävaatimukset</w:t>
      </w:r>
    </w:p>
    <w:p>
      <w:pPr>
        <w:pStyle w:val="ManualNumPar1"/>
        <w:rPr>
          <w:noProof/>
        </w:rPr>
      </w:pPr>
      <w:r>
        <w:t>1.</w:t>
      </w:r>
      <w:r>
        <w:tab/>
      </w:r>
      <w:r>
        <w:rPr>
          <w:noProof/>
        </w:rPr>
        <w:t xml:space="preserve">DLT-pohjaisten markkinainfrastruktuurien ylläpitäjien on laadittava selkeä ja yksityiskohtainen liiketoimintasuunnitelma, jossa kuvataan, miten ne aikovat suorittaa palvelunsa ja toimintansa, mukaan lukien kuvaus kriittisestä henkilöstöstä, teknisistä näkökohdista, hajautetun tilikirjan teknologian käytöstä ja 3 kohdassa edellytetyistä tiedoista. </w:t>
      </w:r>
    </w:p>
    <w:p>
      <w:pPr>
        <w:pStyle w:val="Text1"/>
        <w:rPr>
          <w:noProof/>
        </w:rPr>
      </w:pPr>
      <w:r>
        <w:rPr>
          <w:noProof/>
        </w:rPr>
        <w:t xml:space="preserve">Niillä on myös oltava ajantasaiset, selkeät ja yksityiskohtaiset julkisesti saatavilla olevat kirjalliset asiakirjat, jotka voidaan asettaa saataville sähköisesti ja joissa määritellään säännöt, joiden mukaisesti DLT-pohjaisen markkinainfrastruktuurin on toimittava, mukaan lukien sovitut oikeudelliset ehdot, joissa määritellään DLT-pohjaisen markkinainfrastruktuurin ylläpitäjän sekä kyseistä DLT-pohjaista markkinainfrastruktuuria käyttävien jäsenten, osallistujien, liikkeeseenlaskijoiden ja/tai asiakkaiden oikeudet, velvollisuudet ja vastuut. Näissä oikeudellisissa järjestelyissä on täsmennettävä sovellettava laki, kanteen nostamista edeltävä riitojenratkaisumenettely ja toimivalta kanteen nostamiseksi.  </w:t>
      </w:r>
    </w:p>
    <w:p>
      <w:pPr>
        <w:pStyle w:val="ManualNumPar1"/>
        <w:rPr>
          <w:noProof/>
        </w:rPr>
      </w:pPr>
      <w:r>
        <w:t>2.</w:t>
      </w:r>
      <w:r>
        <w:tab/>
      </w:r>
      <w:r>
        <w:rPr>
          <w:noProof/>
        </w:rPr>
        <w:t xml:space="preserve">DLT-pohjaista arvopapereiden selvitysjärjestelmää ylläpitävän arvopaperikeskuksen ja DLT-pohjaista monenkeskistä kaupankäyntijärjestelmää ylläpitävän sijoituspalveluyrityksen tai markkinoiden ylläpitäjän, joka pyytää vapautusta asetuksen (EU) N:o 909/2014 3 artiklan 2 kohdan soveltamisesta, on vahvistettava käyttämänsä hajautetun tilikirjan teknologian toimintaa koskevat säännöt, mukaan lukien säännöt, jotka koskevat pääsyä hajautetun tilikirjan teknologiaan, osallistumista validointisolmuihin, mahdollisten eturistiriitojen ratkaisemista sekä riskinhallintaa, mukaan lukien riskinvähentämistoimenpiteet.  </w:t>
      </w:r>
    </w:p>
    <w:p>
      <w:pPr>
        <w:pStyle w:val="ManualNumPar1"/>
        <w:rPr>
          <w:noProof/>
        </w:rPr>
      </w:pPr>
      <w:r>
        <w:t>3.</w:t>
      </w:r>
      <w:r>
        <w:tab/>
      </w:r>
      <w:r>
        <w:rPr>
          <w:noProof/>
        </w:rPr>
        <w:t xml:space="preserve">DLT-pohjaisten markkinainfrastruktuurien ylläpitäjien on annettava jäsenilleen, osallistujilleen, liikkeeseenlaskijoilleen ja asiakkailleen verkkosivustollaan selkeät ja yksiselitteiset tiedot siitä, miten ne hoitavat toimintojaan, palvelujaan ja toimintaansa ja miten näiden toimintojen ja palvelujen hoito poikkeaa monenkeskisestä kaupankäyntijärjestelmästä tai arvopapereiden selvitysjärjestelmästä. Tietoihin on sisällyttävä käytetyn hajautetun tilikirjan teknologian tyyppi. </w:t>
      </w:r>
    </w:p>
    <w:p>
      <w:pPr>
        <w:pStyle w:val="ManualNumPar1"/>
        <w:rPr>
          <w:noProof/>
        </w:rPr>
      </w:pPr>
      <w:r>
        <w:t>4.</w:t>
      </w:r>
      <w:r>
        <w:tab/>
      </w:r>
      <w:r>
        <w:rPr>
          <w:noProof/>
        </w:rPr>
        <w:t xml:space="preserve">DLT-pohjaisten markkinainfrastruktuurien ylläpitäjien on varmistettava, että niiden hajautetun tilikirjan teknologian käyttöön liittyvät yleiset tietotekniikka- ja kyberjärjestelyt ovat oikeassa suhteessa niiden liiketoiminnan luonteeseen, laajuuteen ja monimutkaisuuteen. Näillä järjestelyillä on varmistettava niiden palvelujen ja toimintojen jatkuva läpinäkyvyys, saatavuus, luotettavuus ja turvallisuus, mukaan lukien hajautetun tilikirjan teknologiassa käytettyjen älysopimusten luotettavuus. Näillä järjestelyillä on myös varmistettava tallennettujen tietojen eheys, turvallisuus ja luottamuksellisuus sekä tällaisten tietojen saatavuus ja käytettävyys. </w:t>
      </w:r>
    </w:p>
    <w:p>
      <w:pPr>
        <w:pStyle w:val="Text1"/>
        <w:rPr>
          <w:noProof/>
        </w:rPr>
      </w:pPr>
      <w:r>
        <w:rPr>
          <w:noProof/>
        </w:rPr>
        <w:lastRenderedPageBreak/>
        <w:t xml:space="preserve">DLT-pohjaisten markkinainfrastruktuurien ylläpitäjillä on oltava erityinen operatiivisia riskejä koskeva menettely hajautetun tilikirjan teknologian ja kryptovarojen käytön aiheuttamien riskien sekä sen varalta, mihin toimenpiteisiin ryhdytään, jos nämä riskit toteutuvat.  </w:t>
      </w:r>
    </w:p>
    <w:p>
      <w:pPr>
        <w:pStyle w:val="Text1"/>
        <w:rPr>
          <w:noProof/>
        </w:rPr>
      </w:pPr>
      <w:r>
        <w:rPr>
          <w:noProof/>
        </w:rPr>
        <w:t>Toimivaltainen viranomainen voi vaatia tarkastusta DLT-pohjaisen markkinainfrastruktuurin yleisten tietotekniikka- ja kyberjärjestelyjen luotettavuuden arvioimiseksi. Toimivaltaisen viranomaisen on nimettävä riippumaton tarkastaja suorittamaan tarkastus. DLT-pohjainen markkinainfrastruktuuri vastaa tällaisen tarkastuksen kustannuksista.</w:t>
      </w:r>
    </w:p>
    <w:p>
      <w:pPr>
        <w:pStyle w:val="ManualNumPar1"/>
        <w:rPr>
          <w:noProof/>
        </w:rPr>
      </w:pPr>
      <w:r>
        <w:t>5.</w:t>
      </w:r>
      <w:r>
        <w:tab/>
      </w:r>
      <w:r>
        <w:rPr>
          <w:noProof/>
        </w:rPr>
        <w:t xml:space="preserve">Jos DLT-pohjaisen markkinainfrastruktuurin ylläpitäjä varmistaa osallistujien, jäsenten, liikkeeseenlaskijoiden tai asiakkaiden varojen, vakuuksien ja DLT-siirtokelpoisten arvopapereiden säilyttämisen sekä pääsyn tällaisiin DLT-siirtokelpoisiin arvopapereihin, muun muassa salausavainten muodossa, tällaisten DLT-pohjaisten markkinainfrastruktuurien ylläpitäjillä on oltava käytössä asianmukaiset järjestelyt, jotka estävät kyseisten varojen, vakuuksien ja DLT-siirtokelpoisten arvoapereiden käytön heidän omaan lukuunsa muuten kuin asianomaisen osallistujan, jäsenen, liikkeeseenlaskijan tai asiakkaan nimenomaisella kirjallisella suostumuksella, jonka tämä voi antaa sähköisesti. </w:t>
      </w:r>
    </w:p>
    <w:p>
      <w:pPr>
        <w:pStyle w:val="Text1"/>
        <w:rPr>
          <w:noProof/>
        </w:rPr>
      </w:pPr>
      <w:r>
        <w:rPr>
          <w:noProof/>
        </w:rPr>
        <w:t>DLT-pohjaisen markkinainfrastruktuurin ylläpitäjän on ylläpidettävä turvallisia, tarkkoja, luotettavia ja haettavissa olevia tietoja DLT-pohjaisen markkinainfrastruktuurinsa jäsenten, osallistujien, liikkeeseenlaskijoiden tai asiakkaiden hallussa olevista varoista, vakuuksista ja DLT-siirtokelpoisista arvopapereista sekä tavoista päästä käsiksi kyseisiin varoihin.</w:t>
      </w:r>
    </w:p>
    <w:p>
      <w:pPr>
        <w:pStyle w:val="Text1"/>
        <w:rPr>
          <w:noProof/>
        </w:rPr>
      </w:pPr>
      <w:r>
        <w:rPr>
          <w:noProof/>
        </w:rPr>
        <w:t xml:space="preserve">DLT-pohjaisen markkinainfrastruktuurin ylläpitäjän on erotettava markkinainfrastruktuuriaan käyttävien jäsenten, osallistujien, liikkeeseenlaskijoiden tai asiakkaiden varat, vakuudet ja DLT-siirtokelpoiset arvopaperit sekä tavat päästä käsiksi kyseisiin varoihin omista varoistaan ja muiden jäsenten, osallistujien, liikkeeseenlaskijoiden tai asiakkaiden samanlaisista varoista. </w:t>
      </w:r>
    </w:p>
    <w:p>
      <w:pPr>
        <w:pStyle w:val="Text1"/>
        <w:rPr>
          <w:noProof/>
        </w:rPr>
      </w:pPr>
      <w:r>
        <w:rPr>
          <w:noProof/>
        </w:rPr>
        <w:t>Edellä 4 kohdassa tarkoitetuilla yleisillä tietotekniikka- ja kyberjärjestelyillä on varmistettava, että kyseiset varat, vakuudet ja DLT-siirtokelpoiset arvopaperit sekä tavat päästä käsiksi kyseisiin varoihin suojataan luvattoman käytön, hakkeroinnin, rappeutumisen, katoamisen, kyberhyökkäyksen tai varkauden riskeiltä.</w:t>
      </w:r>
    </w:p>
    <w:p>
      <w:pPr>
        <w:pStyle w:val="ManualNumPar1"/>
        <w:rPr>
          <w:noProof/>
        </w:rPr>
      </w:pPr>
      <w:r>
        <w:t>6.</w:t>
      </w:r>
      <w:r>
        <w:tab/>
      </w:r>
      <w:r>
        <w:rPr>
          <w:noProof/>
        </w:rPr>
        <w:t xml:space="preserve">DLT-pohjaisen markkinainfrastruktuurin ylläpitäjän on laadittava selkeä, yksityiskohtainen ja julkisesti saatavilla oleva strategia tietyn DLT-pohjaisen markkinainfrastruktuurin käytöstä poistamiseksi tai toiminnan lopettamiseksi, jäljempänä ’siirtymästrategia’, joka on valmis otettavaksi käyttöön oikea-aikaisesti, jos myönnetty lupa tai jotkin 4 tai 5 artiklan mukaisesti myönnetyistä poikkeuksista on peruutettava tai muulla tavoin lakkautettava tai jos DLT-pohjaisen monenkeskisen kaupankäyntijärjestelmän tai DLT-pohjaisen arvopapereiden selvitysjärjestelmän toiminta lopetetaan tarkoituksellisesti tai joudutaan muuten lopettamaan. Siirtymästrategiassa on esitettävä, miten jäseniä, osallistujia, liikkeeseenlaskijoita ja asiakkaita on kohdeltava tällaisen peruuttamisen, lakkauttamisen tai toiminnan lopettamisen yhteydessä. Siirtymästrategiaa on päivitettävä jatkuvasti edellyttäen, että luvan toimintaan ja siihen liittyvien 4 ja 5 artiklan mukaisten poikkeusten myöntäneeltä toimivaltaiselta viranomaiselta on saatu siihen etukäteen suostumus.    </w:t>
      </w:r>
    </w:p>
    <w:p>
      <w:pPr>
        <w:pStyle w:val="Titrearticle"/>
        <w:rPr>
          <w:noProof/>
        </w:rPr>
      </w:pPr>
      <w:r>
        <w:rPr>
          <w:noProof/>
        </w:rPr>
        <w:lastRenderedPageBreak/>
        <w:t>7 artikla</w:t>
      </w:r>
    </w:p>
    <w:p>
      <w:pPr>
        <w:pStyle w:val="Titrearticle"/>
        <w:rPr>
          <w:noProof/>
        </w:rPr>
      </w:pPr>
      <w:r>
        <w:rPr>
          <w:noProof/>
        </w:rPr>
        <w:t>Erityislupa ylläpitää DLT-pohjaista monenkeskistä kaupankäyntijärjestelmää</w:t>
      </w:r>
    </w:p>
    <w:p>
      <w:pPr>
        <w:pStyle w:val="ManualNumPar1"/>
        <w:rPr>
          <w:noProof/>
        </w:rPr>
      </w:pPr>
      <w:r>
        <w:t>1.</w:t>
      </w:r>
      <w:r>
        <w:tab/>
      </w:r>
      <w:r>
        <w:rPr>
          <w:noProof/>
        </w:rPr>
        <w:t>Oikeushenkilö, jolla on direktiivin 2014/65/EU nojalla lupa toimia sijoituspalveluyrityksenä tai ylläpitää säänneltyä markkinaa, voi hakea erityislupaa ylläpitää DLT-pohjaista monenkeskistä kaupankäyntijärjestelmää tämän asetuksen mukaisesti.</w:t>
      </w:r>
    </w:p>
    <w:p>
      <w:pPr>
        <w:pStyle w:val="ManualNumPar1"/>
        <w:rPr>
          <w:b/>
          <w:noProof/>
        </w:rPr>
      </w:pPr>
      <w:r>
        <w:t>2.</w:t>
      </w:r>
      <w:r>
        <w:tab/>
      </w:r>
      <w:r>
        <w:rPr>
          <w:noProof/>
        </w:rPr>
        <w:t>Hakemuksiin, jotka koskevat erityislupaa ylläpitää DLT-pohjaista monenkeskistä kaupankäyntijärjestelmää tämän asetuksen mukaisesti, on liitettävä seuraavat tiedot:</w:t>
      </w:r>
    </w:p>
    <w:p>
      <w:pPr>
        <w:pStyle w:val="Point0"/>
        <w:rPr>
          <w:noProof/>
        </w:rPr>
      </w:pPr>
      <w:r>
        <w:t>(a)</w:t>
      </w:r>
      <w:r>
        <w:tab/>
      </w:r>
      <w:r>
        <w:rPr>
          <w:noProof/>
        </w:rPr>
        <w:t xml:space="preserve">direktiivin 2014/65/EU 7 artiklan 4 kohdassa vaaditut tiedot; </w:t>
      </w:r>
    </w:p>
    <w:p>
      <w:pPr>
        <w:pStyle w:val="Point0"/>
        <w:rPr>
          <w:b/>
          <w:noProof/>
        </w:rPr>
      </w:pPr>
      <w:r>
        <w:t>(b)</w:t>
      </w:r>
      <w:r>
        <w:tab/>
      </w:r>
      <w:r>
        <w:rPr>
          <w:noProof/>
        </w:rPr>
        <w:t xml:space="preserve">6 artiklan 1 kohdassa tarkoitettu liiketoimintasuunnitelma sekä siinä tarkoitetut DLT-pohjaisen monenkeskisen kaupankäyntijärjestelmän säännöt ja niihin liittyvät oikeudelliset järjestelyt ja 6 artiklan 3 kohdassa tarkoitetut tiedot DLT-pohjaisen monenkeskisen kaupankäyntijärjestelmän toiminnasta, palveluista ja toiminnoista; </w:t>
      </w:r>
    </w:p>
    <w:p>
      <w:pPr>
        <w:pStyle w:val="Point0"/>
        <w:rPr>
          <w:noProof/>
        </w:rPr>
      </w:pPr>
      <w:r>
        <w:t>(c)</w:t>
      </w:r>
      <w:r>
        <w:tab/>
      </w:r>
      <w:r>
        <w:rPr>
          <w:noProof/>
        </w:rPr>
        <w:t xml:space="preserve">6 artiklan 2 kohdassa tarkoitetun, oman hajautetun tilikirjan teknologian toiminta tapauksen mukaan; </w:t>
      </w:r>
    </w:p>
    <w:p>
      <w:pPr>
        <w:pStyle w:val="Point0"/>
        <w:rPr>
          <w:noProof/>
        </w:rPr>
      </w:pPr>
      <w:r>
        <w:t>(d)</w:t>
      </w:r>
      <w:r>
        <w:tab/>
      </w:r>
      <w:r>
        <w:rPr>
          <w:noProof/>
        </w:rPr>
        <w:t xml:space="preserve">6 artiklan 4 kohdassa tarkoitetut yleiset tietotekniikka- ja kyberjärjestelyt; </w:t>
      </w:r>
    </w:p>
    <w:p>
      <w:pPr>
        <w:pStyle w:val="Point0"/>
        <w:rPr>
          <w:noProof/>
        </w:rPr>
      </w:pPr>
      <w:r>
        <w:t>(e)</w:t>
      </w:r>
      <w:r>
        <w:tab/>
      </w:r>
      <w:r>
        <w:rPr>
          <w:noProof/>
        </w:rPr>
        <w:t xml:space="preserve">6 artiklan 5 kohdassa tarkoitettujen, asiakkaiden DLT-siirtokelpoisten arvopapereiden säilytysjärjestelyjen kuvaus tapauksen mukaan; </w:t>
      </w:r>
    </w:p>
    <w:p>
      <w:pPr>
        <w:pStyle w:val="Point0"/>
        <w:rPr>
          <w:noProof/>
        </w:rPr>
      </w:pPr>
      <w:r>
        <w:t>(f)</w:t>
      </w:r>
      <w:r>
        <w:tab/>
      </w:r>
      <w:r>
        <w:rPr>
          <w:noProof/>
        </w:rPr>
        <w:t>6 artiklan 6 kohdassa tarkoitettu siirtymästrategia;  ja</w:t>
      </w:r>
    </w:p>
    <w:p>
      <w:pPr>
        <w:pStyle w:val="Point0"/>
        <w:rPr>
          <w:noProof/>
        </w:rPr>
      </w:pPr>
      <w:r>
        <w:t>(g)</w:t>
      </w:r>
      <w:r>
        <w:tab/>
      </w:r>
      <w:r>
        <w:rPr>
          <w:noProof/>
        </w:rPr>
        <w:t>hakijan 4 artiklan mukaisesti pyytämät poikkeukset, kunkin haetun poikkeuksen perustelut, ehdotetut korvaavat toimenpiteet sekä keinot, joita on tarkoitus käyttää tällaisille poikkeuksille 4 artiklan mukaisesti asetettujen ehtojen täyttämiseksi.</w:t>
      </w:r>
    </w:p>
    <w:p>
      <w:pPr>
        <w:pStyle w:val="ManualNumPar1"/>
        <w:rPr>
          <w:noProof/>
        </w:rPr>
      </w:pPr>
      <w:r>
        <w:t>3.</w:t>
      </w:r>
      <w:r>
        <w:tab/>
      </w:r>
      <w:r>
        <w:rPr>
          <w:noProof/>
        </w:rPr>
        <w:t xml:space="preserve">Ennen kuin kotijäsenvaltion toimivaltainen viranomainen tekee päätöksen hakemuksesta, joka koskee erityistä lupaa ylläpitää DLT-pohjaista monenkeskistä kaupankäyntijärjestelmää tämän asetuksen nojalla, sen on ilmoitettava ja toimitettava ESMAlle kaikki DLT-pohjaista monenkeskistä kaupankäyntijärjestelmää koskevat merkitykselliset tiedot, selvitys pyydetyistä poikkeuksista, näiden perustelut ja hakijan ehdottamat tai toimivaltaisen viranomaisen vaatimat korvaavat toimenpiteet.  </w:t>
      </w:r>
    </w:p>
    <w:p>
      <w:pPr>
        <w:pStyle w:val="Text1"/>
        <w:rPr>
          <w:noProof/>
        </w:rPr>
      </w:pPr>
      <w:r>
        <w:rPr>
          <w:noProof/>
        </w:rPr>
        <w:t xml:space="preserve">ESMA antaa hakemuksesta ei-sitovan lausunnon toimivaltaiselle viranomaiselle kolmen kuukauden kuluessa ilmoituksen vastaanottamisesta, ja se antaa lisäksi mahdolliset hakijan pyytämiä poikkeuksia koskevat suositukset, jotka ovat tarpeen sijoittajansuojan, markkinoiden luotettavuuden ja rahoitusvakauden varmistamiseksi. ESMA pyrkii myös varmistamaan toimivaltaisten viranomaisten DLT-pohjaisia monenkeskisiä kaupankäyntijärjestelmiä ylläpitäville sijoituspalveluyrityksille tai markkinoiden ylläpitäjille myöntämien poikkeusten johdonmukaisuuden ja oikeasuhteisuuden unionissa.  Tätä varten ESMA kuulee muiden jäsenvaltioiden toimivaltaisia viranomaisia hyvissä ajoin ja ottaa niiden näkemykset mahdollisimman tarkasti huomioon lausunnossaan.    </w:t>
      </w:r>
    </w:p>
    <w:p>
      <w:pPr>
        <w:pStyle w:val="ManualNumPar1"/>
        <w:rPr>
          <w:i/>
          <w:noProof/>
        </w:rPr>
      </w:pPr>
      <w:r>
        <w:t>4.</w:t>
      </w:r>
      <w:r>
        <w:tab/>
      </w:r>
      <w:r>
        <w:rPr>
          <w:noProof/>
        </w:rPr>
        <w:t xml:space="preserve">Rajoittamatta direktiivin 2014/65/EU 7 ja 44 artiklan soveltamista toimivaltaisen viranomaisen on evättävä hakijalta lupa ylläpitää DLT-pohjaista monenkeskistä kaupankäyntijärjestelmää tämän asetuksen mukaisesti, jos on objektiivisesti perusteltua olettaa, että </w:t>
      </w:r>
    </w:p>
    <w:p>
      <w:pPr>
        <w:pStyle w:val="Point1"/>
        <w:rPr>
          <w:noProof/>
        </w:rPr>
      </w:pPr>
      <w:r>
        <w:lastRenderedPageBreak/>
        <w:t>(a)</w:t>
      </w:r>
      <w:r>
        <w:tab/>
      </w:r>
      <w:r>
        <w:rPr>
          <w:noProof/>
        </w:rPr>
        <w:t>hakija ei puutu asianmukaisesti sijoittajansuojaan, markkinoiden luotettavuuteen tai rahoitusvakauteen kohdistuviin merkittäviin riskeihin eikä lievennä niitä; tai</w:t>
      </w:r>
    </w:p>
    <w:p>
      <w:pPr>
        <w:pStyle w:val="Point1"/>
        <w:rPr>
          <w:noProof/>
        </w:rPr>
      </w:pPr>
      <w:r>
        <w:t>(b)</w:t>
      </w:r>
      <w:r>
        <w:tab/>
      </w:r>
      <w:r>
        <w:rPr>
          <w:noProof/>
        </w:rPr>
        <w:t xml:space="preserve">erityisluvalla ylläpitää DLT-pohjaista monenkeskistä kaupankäyntijärjestelmää tämän asetuksen mukaisesti ja pyydetyillä poikkeuksilla pyritään kiertämään oikeudellisia ja/tai sääntelyvaatimuksia.  </w:t>
      </w:r>
    </w:p>
    <w:p>
      <w:pPr>
        <w:pStyle w:val="ManualNumPar1"/>
        <w:rPr>
          <w:noProof/>
        </w:rPr>
      </w:pPr>
      <w:r>
        <w:t>5.</w:t>
      </w:r>
      <w:r>
        <w:tab/>
      </w:r>
      <w:r>
        <w:rPr>
          <w:noProof/>
        </w:rPr>
        <w:t xml:space="preserve">Sijoituspalveluyritykselle tai markkinoiden ylläpitäjälle myönnetty erityislupa ylläpitää DLT-pohjaista monenkeskistä kaupankäyntijärjestelmää on voimassa koko unionissa enintään kuusi vuotta erityisluvan myöntämispäivästä. Luvassa on täsmennettävä 4 artiklan mukaisesti myönnetyt poikkeukset. </w:t>
      </w:r>
    </w:p>
    <w:p>
      <w:pPr>
        <w:pStyle w:val="ListParagraph"/>
        <w:ind w:left="840"/>
        <w:rPr>
          <w:noProof/>
        </w:rPr>
      </w:pPr>
      <w:r>
        <w:rPr>
          <w:noProof/>
        </w:rPr>
        <w:t xml:space="preserve">ESMA julkaisee verkkosivustollaan luettelon DLT-pohjaisista monenkeskisistä kaupankäyntijärjestelmistä, niiden erityislupien alkamis- ja päättymispäivistä sekä luettelon kullekin niistä myönnetyistä poikkeuksista. </w:t>
      </w:r>
    </w:p>
    <w:p>
      <w:pPr>
        <w:pStyle w:val="ManualNumPar1"/>
        <w:rPr>
          <w:noProof/>
        </w:rPr>
      </w:pPr>
      <w:r>
        <w:t>6.</w:t>
      </w:r>
      <w:r>
        <w:tab/>
      </w:r>
      <w:r>
        <w:rPr>
          <w:noProof/>
        </w:rPr>
        <w:t>Rajoittamatta direktiivin 2014/65/EU 8 ja 44 artiklan soveltamista toimivaltaisen viranomaisen, joka on myöntänyt erityisluvan tämän asetuksen nojalla, on ESMAa kuultuaan peruutettava tällainen lupa tai mikä tahansa mahdollisesti myönnetyistä poikkeuksista 3 kohdan mukaisesti, jos on tapahtunut jokin seuraavista:</w:t>
      </w:r>
    </w:p>
    <w:p>
      <w:pPr>
        <w:pStyle w:val="Point1"/>
        <w:rPr>
          <w:noProof/>
        </w:rPr>
      </w:pPr>
      <w:r>
        <w:t>(a)</w:t>
      </w:r>
      <w:r>
        <w:tab/>
      </w:r>
      <w:r>
        <w:rPr>
          <w:noProof/>
        </w:rPr>
        <w:t xml:space="preserve">hajautetun tilikirjan teknologian toiminnassa tai DLT-pohjaisen monenkeskisen kaupankäyntijärjestelmän ylläpitäjän tarjoamissa palveluissa ja toiminnoissa on havaittu virhe, joka aiheuttaa sijoittajansuojaan, markkinoiden luotettavuuteen tai rahoitusvakauteen kohdistuvan riskin, joka on suurempi kuin kokeiltavien palvelujen tai toimintojen hyödyt; </w:t>
      </w:r>
    </w:p>
    <w:p>
      <w:pPr>
        <w:pStyle w:val="Point1"/>
        <w:rPr>
          <w:noProof/>
        </w:rPr>
      </w:pPr>
      <w:r>
        <w:t>(b)</w:t>
      </w:r>
      <w:r>
        <w:tab/>
      </w:r>
      <w:r>
        <w:rPr>
          <w:noProof/>
        </w:rPr>
        <w:t xml:space="preserve">DLT-pohjaista monenkeskistä kaupankäyntijärjestelmää ylläpitävä sijoituspalveluyritys tai markkinoiden ylläpitäjä on rikkonut toimivaltaisen viranomaisen myöntämiin poikkeuksiin liittyviä ehtoja; </w:t>
      </w:r>
    </w:p>
    <w:p>
      <w:pPr>
        <w:pStyle w:val="Point1"/>
        <w:rPr>
          <w:noProof/>
        </w:rPr>
      </w:pPr>
      <w:r>
        <w:t>(c)</w:t>
      </w:r>
      <w:r>
        <w:tab/>
      </w:r>
      <w:r>
        <w:rPr>
          <w:noProof/>
        </w:rPr>
        <w:t xml:space="preserve">DLT-pohjaista monenkeskistä kaupankäyntijärjestelmää ylläpitävä sijoituspalveluyritys tai markkinoiden ylläpitäjä on ottanut kaupankäynnin kohteeksi rahoitusvälineitä, jotka eivät täytä 3 artiklan 1 ja 2 kohdassa säädettyjä edellytyksiä; </w:t>
      </w:r>
    </w:p>
    <w:p>
      <w:pPr>
        <w:pStyle w:val="Point1"/>
        <w:rPr>
          <w:noProof/>
        </w:rPr>
      </w:pPr>
      <w:r>
        <w:t>(d)</w:t>
      </w:r>
      <w:r>
        <w:tab/>
      </w:r>
      <w:r>
        <w:rPr>
          <w:noProof/>
        </w:rPr>
        <w:t xml:space="preserve">DLT-pohjaista monenkeskistä kaupankäyntijärjestelmää ylläpitävä sijoituspalveluyritys tai markkinoiden ylläpitäjä, joka on pyytänyt vapautusta asetuksen (EU) N:o 909/2014 3 artiklan 2 kohdasta, on kirjannut DLT-siirtokelpoisia arvopapereita, jotka eivät täytä 3 artiklan 1 ja 2 kohdassa säädettyjä edellytyksiä; </w:t>
      </w:r>
    </w:p>
    <w:p>
      <w:pPr>
        <w:pStyle w:val="Point1"/>
        <w:rPr>
          <w:noProof/>
        </w:rPr>
      </w:pPr>
      <w:r>
        <w:t>(e)</w:t>
      </w:r>
      <w:r>
        <w:tab/>
      </w:r>
      <w:r>
        <w:rPr>
          <w:noProof/>
        </w:rPr>
        <w:t xml:space="preserve">DLT-pohjaista monenkeskistä kaupankäyntijärjestelmää ylläpitävä sijoituspalveluyritys tai markkinoiden ylläpitäjä, joka on pyytänyt erityislupaa olla soveltamatta asetuksen (EU) N:o 909/2014 3 artiklan 2 kohtaa, on ylittänyt 3 artiklan 3 kohdassa tai 5 kohdan kolmannessa alakohdassa tarkoitetut kynnysarvot; tai  </w:t>
      </w:r>
    </w:p>
    <w:p>
      <w:pPr>
        <w:pStyle w:val="Point1"/>
        <w:rPr>
          <w:noProof/>
        </w:rPr>
      </w:pPr>
      <w:r>
        <w:t>(f)</w:t>
      </w:r>
      <w:r>
        <w:tab/>
      </w:r>
      <w:r>
        <w:rPr>
          <w:noProof/>
        </w:rPr>
        <w:t xml:space="preserve">toimivaltainen viranomainen saa tietää, että sijoituspalveluyritys tai markkinoiden ylläpitäjä, joka on hakenut erityislupaa ylläpitää DLT-pohjaista monenkeskistä kaupankäyntijärjestelmää, on saanut tällaisen luvan tai siihen liittyviä poikkeuksia harhaanjohtavien tietojen perusteella, mukaan lukien mahdolliset olennaisten tietojen mainitsematta jättämiset.  </w:t>
      </w:r>
    </w:p>
    <w:p>
      <w:pPr>
        <w:pStyle w:val="ManualNumPar1"/>
        <w:rPr>
          <w:noProof/>
        </w:rPr>
      </w:pPr>
      <w:r>
        <w:t>7.</w:t>
      </w:r>
      <w:r>
        <w:tab/>
      </w:r>
      <w:r>
        <w:rPr>
          <w:noProof/>
        </w:rPr>
        <w:t xml:space="preserve">Jos DLT-pohjaista monenkeskistä kaupankäyntijärjestelmää ylläpitävä sijoituspalveluyritys tai markkinoiden ylläpitäjä ehdottaa toimintansa aikana sellaisen </w:t>
      </w:r>
      <w:r>
        <w:rPr>
          <w:noProof/>
        </w:rPr>
        <w:lastRenderedPageBreak/>
        <w:t xml:space="preserve">olennaisen muutoksen tekemistä hajautetun tilikirjan teknologiansa toimintaan tai palveluihinsa tai toimintoihinsa, joka edellyttää uutta lupaa, uutta poikkeusta tai sille jo myönnetyn yhden tai useamman voimassa olevan poikkeuksen tai tällaiseen poikkeukseen liittyvän ehdon muuttamista, sen on pyydettävä tällaista lupaa, poikkeusta tai muutosta 4 artiklan mukaisesti. Toimivaltaisen viranomaisen on käsiteltävä tällainen lupa, poikkeus tai muutos 2–5 kohdan mukaisesti. </w:t>
      </w:r>
    </w:p>
    <w:p>
      <w:pPr>
        <w:pStyle w:val="Text1"/>
        <w:rPr>
          <w:noProof/>
        </w:rPr>
      </w:pPr>
      <w:r>
        <w:rPr>
          <w:noProof/>
        </w:rPr>
        <w:t xml:space="preserve">Jos DLT-pohjaista monenkeskistä kaupankäyntijärjestelmää ylläpitävä sijoituspalveluyritys tai markkinoiden ylläpitäjä pyytää toimintansa aikana uutta lupaa tai poikkeusta, sen on tehtävä tämä 4 artiklan mukaisesti. Toimivaltaisen viranomaisen on käsiteltävä tällainen lupa tai poikkeus 2–5 kohdan mukaisesti. </w:t>
      </w:r>
    </w:p>
    <w:p>
      <w:pPr>
        <w:pStyle w:val="Titrearticle"/>
        <w:rPr>
          <w:noProof/>
        </w:rPr>
      </w:pPr>
      <w:r>
        <w:rPr>
          <w:noProof/>
        </w:rPr>
        <w:t>8 artikla</w:t>
      </w:r>
    </w:p>
    <w:p>
      <w:pPr>
        <w:pStyle w:val="Titrearticle"/>
        <w:rPr>
          <w:noProof/>
        </w:rPr>
      </w:pPr>
      <w:r>
        <w:rPr>
          <w:noProof/>
        </w:rPr>
        <w:t xml:space="preserve">  Erityislupa ylläpitää DLT-pohjaista arvopapereiden selvitysjärjestelmää</w:t>
      </w:r>
    </w:p>
    <w:p>
      <w:pPr>
        <w:pStyle w:val="ManualNumPar1"/>
        <w:rPr>
          <w:noProof/>
        </w:rPr>
      </w:pPr>
      <w:r>
        <w:t>1.</w:t>
      </w:r>
      <w:r>
        <w:tab/>
      </w:r>
      <w:r>
        <w:rPr>
          <w:noProof/>
        </w:rPr>
        <w:t xml:space="preserve">Oikeushenkilö, joka on saanut asetuksen (EU) N:o 909/2014 mukaisen luvan toimia arvopaperikeskuksena, voi hakea erityislupaa ylläpitää DLT-pohjaista arvopapereiden selvitysjärjestelmää tämän asetuksen mukaisesti. </w:t>
      </w:r>
    </w:p>
    <w:p>
      <w:pPr>
        <w:pStyle w:val="ManualNumPar1"/>
        <w:rPr>
          <w:b/>
          <w:noProof/>
        </w:rPr>
      </w:pPr>
      <w:r>
        <w:t>2.</w:t>
      </w:r>
      <w:r>
        <w:tab/>
      </w:r>
      <w:r>
        <w:rPr>
          <w:noProof/>
        </w:rPr>
        <w:t>Hakemuksiin, jotka koskevat erityislupaa ylläpitää DLT-pohjaista arvopapereiden selvitysjärjestelmää tämän asetuksen mukaisesti, on liitettävä seuraavat tiedot:</w:t>
      </w:r>
    </w:p>
    <w:p>
      <w:pPr>
        <w:pStyle w:val="Point1"/>
        <w:rPr>
          <w:b/>
          <w:noProof/>
        </w:rPr>
      </w:pPr>
      <w:r>
        <w:t>(a)</w:t>
      </w:r>
      <w:r>
        <w:tab/>
      </w:r>
      <w:r>
        <w:rPr>
          <w:noProof/>
        </w:rPr>
        <w:t xml:space="preserve">asetuksen (EU) N:o 909/2014 7 artiklan 9 kohdassa edellytetyt tiedot; </w:t>
      </w:r>
    </w:p>
    <w:p>
      <w:pPr>
        <w:pStyle w:val="Point1"/>
        <w:rPr>
          <w:b/>
          <w:noProof/>
        </w:rPr>
      </w:pPr>
      <w:r>
        <w:t>(b)</w:t>
      </w:r>
      <w:r>
        <w:tab/>
      </w:r>
      <w:r>
        <w:rPr>
          <w:noProof/>
        </w:rPr>
        <w:t xml:space="preserve">6 artiklan 1 kohdassa tarkoitettu liiketoimintasuunnitelma sekä siinä tarkoitetut DLT-pohjaisen arvopapereiden selvitysjärjestelmän säännöt ja niihin liittyvät oikeudelliset järjestelyt ja 6 artiklan 3 kohdassa tarkoitetut tiedot DLT-pohjaisen arvopapereiden selvitysjärjestelmän toiminnasta, palveluista ja toiminnoista; </w:t>
      </w:r>
    </w:p>
    <w:p>
      <w:pPr>
        <w:pStyle w:val="Point1"/>
        <w:rPr>
          <w:noProof/>
        </w:rPr>
      </w:pPr>
      <w:r>
        <w:t>(c)</w:t>
      </w:r>
      <w:r>
        <w:tab/>
      </w:r>
      <w:r>
        <w:rPr>
          <w:noProof/>
        </w:rPr>
        <w:t xml:space="preserve">6 artiklan 2 kohdassa tarkoitetun, oman hajautetun tilikirjan teknologian toiminta;  </w:t>
      </w:r>
    </w:p>
    <w:p>
      <w:pPr>
        <w:pStyle w:val="Point1"/>
        <w:rPr>
          <w:b/>
          <w:noProof/>
        </w:rPr>
      </w:pPr>
      <w:r>
        <w:t>(d)</w:t>
      </w:r>
      <w:r>
        <w:tab/>
      </w:r>
      <w:r>
        <w:rPr>
          <w:noProof/>
        </w:rPr>
        <w:t xml:space="preserve">6 artiklan 4 kohdassa tarkoitetut yleiset tietotekniikka- ja kyberjärjestelyt; </w:t>
      </w:r>
    </w:p>
    <w:p>
      <w:pPr>
        <w:pStyle w:val="Point1"/>
        <w:rPr>
          <w:b/>
          <w:noProof/>
        </w:rPr>
      </w:pPr>
      <w:r>
        <w:t>(e)</w:t>
      </w:r>
      <w:r>
        <w:tab/>
      </w:r>
      <w:r>
        <w:rPr>
          <w:noProof/>
        </w:rPr>
        <w:t xml:space="preserve">6 artiklan 5 kohdassa tarkoitetut säilytysjärjestelyt; </w:t>
      </w:r>
    </w:p>
    <w:p>
      <w:pPr>
        <w:pStyle w:val="Point1"/>
        <w:rPr>
          <w:b/>
          <w:noProof/>
        </w:rPr>
      </w:pPr>
      <w:r>
        <w:t>(f)</w:t>
      </w:r>
      <w:r>
        <w:tab/>
      </w:r>
      <w:r>
        <w:rPr>
          <w:noProof/>
        </w:rPr>
        <w:t>6 artiklan 6 kohdassa tarkoitettu siirtymästrategia;</w:t>
      </w:r>
    </w:p>
    <w:p>
      <w:pPr>
        <w:pStyle w:val="Point1"/>
        <w:rPr>
          <w:b/>
          <w:noProof/>
        </w:rPr>
      </w:pPr>
      <w:r>
        <w:t>(g)</w:t>
      </w:r>
      <w:r>
        <w:tab/>
      </w:r>
      <w:r>
        <w:rPr>
          <w:noProof/>
        </w:rPr>
        <w:t>hakijan 5 artiklan mukaisesti pyytämät poikkeukset, kunkin haetun poikkeuksen perustelut, ehdotetut korvaavat toimenpiteet sekä toimenpiteet, joilla on tarkoitus täyttää tällaisille poikkeuksille 5 artiklan mukaisesti asetetut ehdot.</w:t>
      </w:r>
    </w:p>
    <w:p>
      <w:pPr>
        <w:pStyle w:val="ManualNumPar1"/>
        <w:rPr>
          <w:noProof/>
        </w:rPr>
      </w:pPr>
      <w:r>
        <w:t>3.</w:t>
      </w:r>
      <w:r>
        <w:tab/>
      </w:r>
      <w:r>
        <w:rPr>
          <w:noProof/>
        </w:rPr>
        <w:t xml:space="preserve">Ennen kuin toimivaltainen viranomainen tekee päätöksen hakemuksesta, joka koskee erityistä lupaa ylläpitää DLT-pohjaista arvopapereiden selvitysjärjestelmää tämän asetuksen nojalla, sen on ilmoitettava ja toimitettava ESMAlle kaikki DLT-pohjaista arvopapereiden selvitysjärjestelmää koskevat merkitykselliset tiedot ja selvitys pyydetyistä poikkeuksista, näiden perustelut ja hakijan ehdottamat tai toimivaltaisen viranomaisen vaatimat korvaavat toimenpiteet.  </w:t>
      </w:r>
    </w:p>
    <w:p>
      <w:pPr>
        <w:pStyle w:val="Text1"/>
        <w:rPr>
          <w:noProof/>
        </w:rPr>
      </w:pPr>
      <w:r>
        <w:rPr>
          <w:noProof/>
        </w:rPr>
        <w:t xml:space="preserve">ESMA antaa hakemuksesta ei-sitovan lausunnon toimivaltaiselle viranomaiselle kolmen kuukauden kuluessa ilmoituksen vastaanottamisesta, ja se antaa lisäksi mahdolliset hakijan pyytämiä poikkeuksia koskevat suositukset, jotka ovat tarpeen sijoittajansuojan, markkinoiden luotettavuuden ja rahoitusvakauden varmistamiseksi. ESMA pyrkii myös varmistamaan toimivaltaisten viranomaisten DLT-pohjaisia </w:t>
      </w:r>
      <w:r>
        <w:rPr>
          <w:noProof/>
        </w:rPr>
        <w:lastRenderedPageBreak/>
        <w:t>arvopapereiden selvitysjärjestelmiä ylläpitäville arvopaperikeskuksille myöntämien poikkeusten johdonmukaisuuden ja oikeasuhteisuuden unionissa.  Tätä varten ESMA kuulee muiden jäsenvaltioiden toimivaltaisia viranomaisia hyvissä ajoin ja ottaa niiden näkemykset mahdollisimman tarkasti huomioon lausunnossaan.</w:t>
      </w:r>
    </w:p>
    <w:p>
      <w:pPr>
        <w:pStyle w:val="ManualNumPar1"/>
        <w:rPr>
          <w:noProof/>
        </w:rPr>
      </w:pPr>
      <w:r>
        <w:t>4.</w:t>
      </w:r>
      <w:r>
        <w:tab/>
      </w:r>
      <w:r>
        <w:rPr>
          <w:noProof/>
        </w:rPr>
        <w:t xml:space="preserve">Rajoittamatta asetuksen (EU) N:o 909/2014 17 artiklan soveltamista toimivaltaisen viranomaisen on evättävä hakijalta tämän asetuksen mukainen erityislupa, jos on aihetta olettaa, että </w:t>
      </w:r>
    </w:p>
    <w:p>
      <w:pPr>
        <w:pStyle w:val="Point1"/>
        <w:rPr>
          <w:noProof/>
        </w:rPr>
      </w:pPr>
      <w:r>
        <w:t>(a)</w:t>
      </w:r>
      <w:r>
        <w:tab/>
      </w:r>
      <w:r>
        <w:rPr>
          <w:noProof/>
        </w:rPr>
        <w:t>hakija ei puutu asianmukaisesti sijoittajansuojaan, markkinoiden eheyteen tai rahoitusvakauteen kohdistuviin merkittäviin riskeihin eikä lievennä niitä; tai</w:t>
      </w:r>
    </w:p>
    <w:p>
      <w:pPr>
        <w:pStyle w:val="Point1"/>
        <w:rPr>
          <w:noProof/>
        </w:rPr>
      </w:pPr>
      <w:r>
        <w:t>(b)</w:t>
      </w:r>
      <w:r>
        <w:tab/>
      </w:r>
      <w:r>
        <w:rPr>
          <w:noProof/>
        </w:rPr>
        <w:t xml:space="preserve">erityisluvalla ylläpitää DLT-pohjaista arvopapereiden selvitysjärjestelmää tämän asetuksen mukaisesti ja pyydetyillä poikkeuksilla pyritään kiertämään oikeudellisia ja/tai sääntelyvaatimuksia.   </w:t>
      </w:r>
    </w:p>
    <w:p>
      <w:pPr>
        <w:pStyle w:val="ManualNumPar1"/>
        <w:rPr>
          <w:noProof/>
        </w:rPr>
      </w:pPr>
      <w:r>
        <w:t>5.</w:t>
      </w:r>
      <w:r>
        <w:tab/>
      </w:r>
      <w:r>
        <w:rPr>
          <w:noProof/>
        </w:rPr>
        <w:t xml:space="preserve">Erityislupa ylläpitää DLT-pohjaista arvopapereiden selvitysjärjestelmää on voimassa koko unionissa enintään kuusi vuotta erityisluvan myöntämispäivästä. Luvassa on täsmennettävä 5 artiklan mukaisesti myönnetyt poikkeukset. </w:t>
      </w:r>
    </w:p>
    <w:p>
      <w:pPr>
        <w:pStyle w:val="Text1"/>
        <w:rPr>
          <w:noProof/>
        </w:rPr>
      </w:pPr>
      <w:r>
        <w:rPr>
          <w:noProof/>
        </w:rPr>
        <w:t xml:space="preserve">ESMA julkaisee verkkosivustollaan luettelon DLT-pohjaisista arvopapereiden selvitysjärjestelmistä, niiden erityislupien alkamis- ja päättymispäivistä sekä luettelon kullekin niistä myönnetyistä poikkeuksista. </w:t>
      </w:r>
    </w:p>
    <w:p>
      <w:pPr>
        <w:pStyle w:val="ManualNumPar1"/>
        <w:rPr>
          <w:noProof/>
        </w:rPr>
      </w:pPr>
      <w:r>
        <w:t>6.</w:t>
      </w:r>
      <w:r>
        <w:tab/>
      </w:r>
      <w:r>
        <w:rPr>
          <w:noProof/>
        </w:rPr>
        <w:t>Rajoittamatta asetuksen (EU) N:o 909/2014 20 artiklan soveltamista toimivaltaisen viranomaisen, joka on myöntänyt erityisluvan tämän asetuksen nojalla, on ESMAa kuultuaan peruutettava tällainen lupa tai mikä tahansa mahdollisesti myönnetyistä poikkeuksista 3 kohdan mukaisesti, jos on tapahtunut jokin seuraavista:</w:t>
      </w:r>
    </w:p>
    <w:p>
      <w:pPr>
        <w:pStyle w:val="Point2"/>
        <w:rPr>
          <w:noProof/>
        </w:rPr>
      </w:pPr>
      <w:r>
        <w:t>(a)</w:t>
      </w:r>
      <w:r>
        <w:tab/>
      </w:r>
      <w:r>
        <w:rPr>
          <w:noProof/>
        </w:rPr>
        <w:t>hajautetun tilikirjan teknologian toiminnassa tai DLT-pohjaista arvopapereiden selvitysjärjestelmää ylläpitävän arvopaperikeskuksen tarjoamissa palveluissa ja toiminnoissa on havaittu virhe, joka aiheuttaa markkinoiden luotettavuuteen, sijoittajansuojaan tai rahoitusvakauteen kohdistuvan riskin, joka on suurempi kuin kokeiltavien palvelujen tai toimintojen hyödyt; tai</w:t>
      </w:r>
    </w:p>
    <w:p>
      <w:pPr>
        <w:pStyle w:val="Point1"/>
        <w:rPr>
          <w:noProof/>
        </w:rPr>
      </w:pPr>
      <w:r>
        <w:t>(b)</w:t>
      </w:r>
      <w:r>
        <w:tab/>
      </w:r>
      <w:r>
        <w:rPr>
          <w:noProof/>
        </w:rPr>
        <w:t>DLT-pohjaista arvopapereiden selvitysjärjestelmää ylläpitävä arvopaperikeskus on rikkonut toimivaltaisen viranomaisen myöntämiin poikkeuksiin liittyviä ehtoja; tai</w:t>
      </w:r>
    </w:p>
    <w:p>
      <w:pPr>
        <w:pStyle w:val="Point1"/>
        <w:rPr>
          <w:noProof/>
        </w:rPr>
      </w:pPr>
      <w:r>
        <w:t>(c)</w:t>
      </w:r>
      <w:r>
        <w:tab/>
      </w:r>
      <w:r>
        <w:rPr>
          <w:noProof/>
        </w:rPr>
        <w:t xml:space="preserve">DLT-pohjaista arvopapereiden selvitysjärjestelmää ylläpitävä arvopaperikeskus on kirjannut rahoitusvälineitä, jotka eivät täytä 3 artiklan 1 ja 2 kohdassa säädettyjä edellytyksiä; tai </w:t>
      </w:r>
    </w:p>
    <w:p>
      <w:pPr>
        <w:pStyle w:val="Point1"/>
        <w:rPr>
          <w:noProof/>
        </w:rPr>
      </w:pPr>
      <w:r>
        <w:t>(d)</w:t>
      </w:r>
      <w:r>
        <w:tab/>
      </w:r>
      <w:r>
        <w:rPr>
          <w:noProof/>
        </w:rPr>
        <w:t xml:space="preserve">DLT-pohjaista arvopapereiden selvitysjärjestelmää ylläpitävä arvopaperikeskus on ylittänyt 3 artiklan 3 kohdassa ja 5 kohdan kolmannessa alakohdassa tarkoitetut kynnysarvot; tai </w:t>
      </w:r>
    </w:p>
    <w:p>
      <w:pPr>
        <w:pStyle w:val="Point1"/>
        <w:rPr>
          <w:noProof/>
        </w:rPr>
      </w:pPr>
      <w:r>
        <w:t>(e)</w:t>
      </w:r>
      <w:r>
        <w:tab/>
      </w:r>
      <w:r>
        <w:rPr>
          <w:noProof/>
        </w:rPr>
        <w:t xml:space="preserve">toimivaltainen viranomainen saa tietää, että DLT-pohjaista arvopapereiden selvitysjärjestelmää ylläpitävä arvopaperikeskus, joka on hakenut erityislupaa ylläpitää DLT-pohjaista arvopapereiden selvitysjärjestelmää, on saanut tällaisen luvan tai siihen liittyviä poikkeuksia harhaanjohtavien tietojen perusteella, mukaan lukien mahdolliset olennaisten tietojen mainitsematta jättämiset.   </w:t>
      </w:r>
    </w:p>
    <w:p>
      <w:pPr>
        <w:pStyle w:val="ManualNumPar1"/>
        <w:rPr>
          <w:noProof/>
        </w:rPr>
      </w:pPr>
      <w:r>
        <w:t>7.</w:t>
      </w:r>
      <w:r>
        <w:tab/>
      </w:r>
      <w:r>
        <w:rPr>
          <w:noProof/>
        </w:rPr>
        <w:t xml:space="preserve">Jos DLT-pohjaista arvopapereiden selvitysjärjestelmää ylläpitävä arvopaperikeskus ehdottaa toimintansa aikana sellaisen olennaisen muutoksen tekemistä hajautetun </w:t>
      </w:r>
      <w:r>
        <w:rPr>
          <w:noProof/>
        </w:rPr>
        <w:lastRenderedPageBreak/>
        <w:t xml:space="preserve">tilikirjan teknologiansa toimintaan tai palveluihinsa tai toimintoihinsa, joka edellyttää uutta lupaa, uutta poikkeusta tai sille jo myönnetyn yhden tai useamman voimassa olevan poikkeuksen tai tällaiseen poikkeukseen liittyvän ehdon muuttamista, sen on pyydettävä tällaista lupaa, poikkeusta tai muutosta 5 artiklan mukaisesti.  Toimivaltaisen viranomaisen on käsiteltävä tällainen lupa, poikkeus tai muutos 2–5 kohdan mukaisesti. </w:t>
      </w:r>
    </w:p>
    <w:p>
      <w:pPr>
        <w:pStyle w:val="Text1"/>
        <w:rPr>
          <w:noProof/>
        </w:rPr>
      </w:pPr>
      <w:r>
        <w:rPr>
          <w:noProof/>
        </w:rPr>
        <w:t>Jos DLT-pohjaista arvopapereiden selvitysjärjestelmää ylläpitävä arvopaperikeskus pyytää toimintansa aikana uutta lupaa tai poikkeusta, sen on pyydettävä tällaista lupaa tai poikkeusta 5 artiklan mukaisesti. Toimivaltaisen viranomaisen on käsiteltävä tällainen lupa, poikkeus tai muutos 2–5 kohdan mukaisesti.</w:t>
      </w:r>
    </w:p>
    <w:p>
      <w:pPr>
        <w:pStyle w:val="Titrearticle"/>
        <w:rPr>
          <w:noProof/>
        </w:rPr>
      </w:pPr>
      <w:r>
        <w:rPr>
          <w:noProof/>
        </w:rPr>
        <w:t>9 artikla</w:t>
      </w:r>
    </w:p>
    <w:p>
      <w:pPr>
        <w:pStyle w:val="Titrearticle"/>
        <w:rPr>
          <w:noProof/>
        </w:rPr>
      </w:pPr>
      <w:r>
        <w:rPr>
          <w:noProof/>
        </w:rPr>
        <w:t xml:space="preserve"> Yhteistyö DLT-pohjaisten markkinainfrastruktuurien ylläpitäjien, toimivaltaisten viranomaisten ja ESMAn välillä</w:t>
      </w:r>
    </w:p>
    <w:p>
      <w:pPr>
        <w:pStyle w:val="ManualNumPar1"/>
        <w:rPr>
          <w:i/>
          <w:noProof/>
        </w:rPr>
      </w:pPr>
      <w:r>
        <w:t>1.</w:t>
      </w:r>
      <w:r>
        <w:tab/>
      </w:r>
      <w:r>
        <w:rPr>
          <w:noProof/>
        </w:rPr>
        <w:t xml:space="preserve">Rajoittamatta direktiivin 2014/65/EU ja asetuksen (EU) N:o 909/2014 asiaa koskevien säännösten soveltamista DLT-pohjaisten markkinainfrastruktuurien ylläpitäjien on tehtävä yhteistyötä niiden toimivaltaisten viranomaisten kanssa, joille on annettu tehtäväksi erityislupien myöntäminen tämän asetuksen nojalla, ja ESMAn kanssa. </w:t>
      </w:r>
    </w:p>
    <w:p>
      <w:pPr>
        <w:pStyle w:val="Text1"/>
        <w:rPr>
          <w:noProof/>
        </w:rPr>
      </w:pPr>
      <w:r>
        <w:rPr>
          <w:noProof/>
        </w:rPr>
        <w:t xml:space="preserve">DLT-pohjaisten markkinainfrastruktuurien ylläpitäjien on erityisesti saatuaan tiedon jostakin jäljempänä luetelluista asioista ilmoitettava tästä välittömästi mainituille toimivaltaisille viranomaisille ja ESMAlle.  Näihin kuuluvat muun muassa seuraavat: </w:t>
      </w:r>
    </w:p>
    <w:p>
      <w:pPr>
        <w:pStyle w:val="Point1"/>
        <w:rPr>
          <w:i/>
          <w:noProof/>
        </w:rPr>
      </w:pPr>
      <w:r>
        <w:t>(a)</w:t>
      </w:r>
      <w:r>
        <w:tab/>
      </w:r>
      <w:r>
        <w:rPr>
          <w:noProof/>
        </w:rPr>
        <w:t>kaikki ehdotetut olennaiset muutokset liiketoimintasuunnitelmaan, mukaan lukien muutokset kriittiseen henkilöstöön, DLT-pohjaista markkinainfrastruktuuria koskeviin sääntöihin ja niihin liittyviin oikeudellisiin järjestelyihin, vähintään neljä kuukautta ennen suunniteltua muutosta riippumatta siitä, edellyttääkö ehdotettu olennainen muutos muutosta erityislupaan tai siihen liittyviin poikkeuksiin tai ehtoihin 7 tai 8 artiklan mukaisesti;</w:t>
      </w:r>
    </w:p>
    <w:p>
      <w:pPr>
        <w:pStyle w:val="Point1"/>
        <w:rPr>
          <w:noProof/>
        </w:rPr>
      </w:pPr>
      <w:r>
        <w:t>(b)</w:t>
      </w:r>
      <w:r>
        <w:tab/>
      </w:r>
      <w:r>
        <w:rPr>
          <w:noProof/>
        </w:rPr>
        <w:t xml:space="preserve">kaikki todisteet DLT-pohjaiseen markkinainfrastruktuuriin kohdistuneista luvattomista pääsyistä, olennaisista toimintahäiriöistä, häviämisistä, kyberhyökkäyksistä tai muista kyberuhkista, petoksista, varkauksista tai muista vakavista väärinkäytöksistä; </w:t>
      </w:r>
    </w:p>
    <w:p>
      <w:pPr>
        <w:pStyle w:val="Point1"/>
        <w:rPr>
          <w:noProof/>
        </w:rPr>
      </w:pPr>
      <w:r>
        <w:t>(c)</w:t>
      </w:r>
      <w:r>
        <w:tab/>
      </w:r>
      <w:r>
        <w:rPr>
          <w:noProof/>
        </w:rPr>
        <w:t xml:space="preserve">kaikki olennaiset muutokset erityisluvan myöntäneelle toimivaltaiselle viranomaiselle toimitetuissa tiedoissa; </w:t>
      </w:r>
    </w:p>
    <w:p>
      <w:pPr>
        <w:pStyle w:val="Point1"/>
        <w:rPr>
          <w:noProof/>
        </w:rPr>
      </w:pPr>
      <w:r>
        <w:t>(d)</w:t>
      </w:r>
      <w:r>
        <w:tab/>
      </w:r>
      <w:r>
        <w:rPr>
          <w:noProof/>
        </w:rPr>
        <w:t>kaikki tekniset tai toiminnalliset ongelmat, jotka liittyvät erityisluvan kohteena olevien toimintojen tai palvelujen toteuttamiseen, mukaan lukien hajautetun tilikirjan teknologian ja DLT-siirtokelpoisten arvopapereiden kehittämiseen tai käyttöön liittyvät ongelmat; tai</w:t>
      </w:r>
    </w:p>
    <w:p>
      <w:pPr>
        <w:pStyle w:val="Point1"/>
        <w:rPr>
          <w:noProof/>
        </w:rPr>
      </w:pPr>
      <w:r>
        <w:t>(e)</w:t>
      </w:r>
      <w:r>
        <w:tab/>
      </w:r>
      <w:r>
        <w:rPr>
          <w:noProof/>
        </w:rPr>
        <w:t>kaikki sijoittajansuojaan, markkinoiden luotettavuuteen tai rahoitusvakauteen kohdistuvat riskit, joita on tullut esiin ja joita ei ennakoitu erityislupaa koskevassa hakemuksessa tai erityisluvan myöntämisajankohtana.</w:t>
      </w:r>
    </w:p>
    <w:p>
      <w:pPr>
        <w:pStyle w:val="Text1"/>
        <w:rPr>
          <w:noProof/>
        </w:rPr>
      </w:pPr>
      <w:r>
        <w:rPr>
          <w:noProof/>
        </w:rPr>
        <w:t xml:space="preserve">Kun tällaisista tiedoista on ilmoitettu toimivaltaiselle viranomaiselle, tämä voi vaatia asianomaista DLT-pohjaista markkinainfrastruktuuria tekemään 7 artiklan 7 kohdan </w:t>
      </w:r>
      <w:r>
        <w:rPr>
          <w:noProof/>
        </w:rPr>
        <w:lastRenderedPageBreak/>
        <w:t xml:space="preserve">tai 8 artiklan 7 kohdan hakemuksen ja/tai toteuttaa 3 kohdassa tarkoitettuja korjaavia toimenpiteitä. </w:t>
      </w:r>
    </w:p>
    <w:p>
      <w:pPr>
        <w:pStyle w:val="ManualNumPar1"/>
        <w:rPr>
          <w:noProof/>
        </w:rPr>
      </w:pPr>
      <w:r>
        <w:t>2.</w:t>
      </w:r>
      <w:r>
        <w:tab/>
      </w:r>
      <w:r>
        <w:rPr>
          <w:noProof/>
        </w:rPr>
        <w:t xml:space="preserve">DLT-pohjaisten markkinainfrastruktuurien ylläpitäjien on toimitettava erityisluvan myöntäneelle toimivaltaiselle viranomaiselle ja ESMAlle kaikki asiaankuuluvat tiedot, joita ne mahdollisesti tarvitsevat. </w:t>
      </w:r>
    </w:p>
    <w:p>
      <w:pPr>
        <w:pStyle w:val="ManualNumPar1"/>
        <w:rPr>
          <w:noProof/>
        </w:rPr>
      </w:pPr>
      <w:r>
        <w:t>3.</w:t>
      </w:r>
      <w:r>
        <w:tab/>
      </w:r>
      <w:r>
        <w:rPr>
          <w:noProof/>
        </w:rPr>
        <w:t>Erityisluvan myöntänyt toimivaltainen viranomainen voi vaatia DLT-pohjaisen markkinainfrastruktuurin liiketoimintasuunnitelmaan, sääntöihin ja niihin liittyviin oikeudellisiin järjestelyihin korjaavia toimenpiteitä sijoittajansuojan, markkinoiden luotettavuuden tai rahoitusvakauden varmistamiseksi. Ennen korjaavien toimenpiteiden vaatimista toimivaltaisen viranomaisen on kuultava ESMAa 7 artiklan 3 kohdan tai 8 artiklan 3 kohdan mukaisesti. DLT-pohjaisen markkinainfrastruktuurin on raportoitava 4 kohdassa tarkoitetuissa kertomuksissaan toimenpiteistä, jotka on toteutettu toimivaltaisen viranomaisen vaatimien korjaavien toimenpiteiden täytäntöönpanemiseksi.</w:t>
      </w:r>
    </w:p>
    <w:p>
      <w:pPr>
        <w:pStyle w:val="ManualNumPar1"/>
        <w:rPr>
          <w:noProof/>
        </w:rPr>
      </w:pPr>
      <w:r>
        <w:t>4.</w:t>
      </w:r>
      <w:r>
        <w:tab/>
      </w:r>
      <w:r>
        <w:rPr>
          <w:noProof/>
        </w:rPr>
        <w:t xml:space="preserve">DLT-pohjaisen markkinainfrastruktuurin ylläpitäjän on erityisluvan myöntämispäivästä alkaen kuuden kuukauden välein toimitettava kertomus toimivaltaiselle viranomaiselle ja ESMAlle. Kertomuksen on sisällettävä muun muassa seuraavat tiedot: </w:t>
      </w:r>
    </w:p>
    <w:p>
      <w:pPr>
        <w:pStyle w:val="Point1"/>
        <w:rPr>
          <w:noProof/>
        </w:rPr>
      </w:pPr>
      <w:r>
        <w:t>(a)</w:t>
      </w:r>
      <w:r>
        <w:tab/>
      </w:r>
      <w:r>
        <w:rPr>
          <w:noProof/>
        </w:rPr>
        <w:t xml:space="preserve">yhteenveto kaikista 1 kohdan toisessa alakohdassa luetelluista tiedoista; </w:t>
      </w:r>
    </w:p>
    <w:p>
      <w:pPr>
        <w:pStyle w:val="Point1"/>
        <w:rPr>
          <w:noProof/>
        </w:rPr>
      </w:pPr>
      <w:r>
        <w:t>(b)</w:t>
      </w:r>
      <w:r>
        <w:tab/>
      </w:r>
      <w:r>
        <w:rPr>
          <w:noProof/>
        </w:rPr>
        <w:t xml:space="preserve">DLT-pohjaisessa monenkeskisessä kaupankäyntijärjestelmässä kaupankäynnin kohteeksi otettujen DLT-siirtokelpoisten arvopapereiden lukumäärä ja arvo, DLT-pohjaisia arvopapereiden selvitysjärjestelmiä ylläpitävän arvopaperikeskuksen kirjaamien DLT-siirtokelpoisten arvopapereiden lukumäärä ja arvo sekä tapauksen mukaan DLT-pohjaista monenkeskistä kaupankäyntijärjestelmää ylläpitävän sijoituspalveluyrityksen tai markkinoiden ylläpitäjän kirjaamien siirtokelpoisten arvopapereiden lukumäärä ja arvo; </w:t>
      </w:r>
    </w:p>
    <w:p>
      <w:pPr>
        <w:pStyle w:val="Point1"/>
        <w:rPr>
          <w:noProof/>
        </w:rPr>
      </w:pPr>
      <w:r>
        <w:t>(c)</w:t>
      </w:r>
      <w:r>
        <w:tab/>
      </w:r>
      <w:r>
        <w:rPr>
          <w:noProof/>
        </w:rPr>
        <w:t xml:space="preserve">sellaisten transaktioiden lukumäärä ja arvo, jotka toteutetaan DLT-pohjaisessa monenkeskisessä kaupankäyntijärjestelmässä ja jotka joko DLT-pohjaista arvopapereiden selvitysjärjestelmää ylläpitävä arvopaperikeskus tai tapauksen mukaan DLT-pohjaista monenkeskistä kaupankäyntijärjestelmää ylläpitävä sijoituspalveluyritys tai markkinoiden ylläpitäjä toimittaa; </w:t>
      </w:r>
    </w:p>
    <w:p>
      <w:pPr>
        <w:pStyle w:val="Point1"/>
        <w:rPr>
          <w:noProof/>
        </w:rPr>
      </w:pPr>
      <w:r>
        <w:t>(d)</w:t>
      </w:r>
      <w:r>
        <w:tab/>
      </w:r>
      <w:r>
        <w:rPr>
          <w:noProof/>
        </w:rPr>
        <w:t>perusteltu arvio mahdollisista ongelmista rahoituspalveluja koskevan unionin lainsäädännön tai kansallisen lainsäädännön soveltamisessa; ja</w:t>
      </w:r>
    </w:p>
    <w:p>
      <w:pPr>
        <w:pStyle w:val="Point1"/>
        <w:rPr>
          <w:noProof/>
        </w:rPr>
      </w:pPr>
      <w:r>
        <w:t>(e)</w:t>
      </w:r>
      <w:r>
        <w:tab/>
      </w:r>
      <w:r>
        <w:rPr>
          <w:noProof/>
        </w:rPr>
        <w:t>toimivaltaisen viranomaisen vaatimien korvaavien tai korjaavien toimenpiteiden toteuttamiseksi toteutetut toimet tai toimivaltaisen viranomaisen asettamat ehdot.</w:t>
      </w:r>
    </w:p>
    <w:p>
      <w:pPr>
        <w:pStyle w:val="ManualNumPar1"/>
        <w:rPr>
          <w:noProof/>
        </w:rPr>
      </w:pPr>
      <w:r>
        <w:t>5.</w:t>
      </w:r>
      <w:r>
        <w:tab/>
      </w:r>
      <w:r>
        <w:rPr>
          <w:noProof/>
        </w:rPr>
        <w:t xml:space="preserve">ESMAn tehtävänä on koordinoida toimivaltaisten viranomaisten välistä toimintaa, jotta hajautetun tilikirjan teknologiasta ja DLT-pohjaisesta markkinainfrastruktuurista päästään yhteisymmärrykseen ja pystytään luomaan yhteinen valvontakulttuuri ja yhtenäiset valvontakäytännöt, joilla varmistetaan johdonmukaiset lähestymistavat ja lähennetään valvontatuloksia.  </w:t>
      </w:r>
    </w:p>
    <w:p>
      <w:pPr>
        <w:pStyle w:val="Text1"/>
        <w:rPr>
          <w:i/>
          <w:noProof/>
        </w:rPr>
      </w:pPr>
      <w:r>
        <w:rPr>
          <w:noProof/>
        </w:rPr>
        <w:t xml:space="preserve">ESMA ilmoittaa säännöllisesti kaikille toimivaltaisille viranomaisille </w:t>
      </w:r>
    </w:p>
    <w:p>
      <w:pPr>
        <w:pStyle w:val="Point1"/>
        <w:rPr>
          <w:i/>
          <w:noProof/>
        </w:rPr>
      </w:pPr>
      <w:r>
        <w:t>(a)</w:t>
      </w:r>
      <w:r>
        <w:tab/>
      </w:r>
      <w:r>
        <w:rPr>
          <w:noProof/>
        </w:rPr>
        <w:t xml:space="preserve">4 kohdan mukaisesti toimitetuista kertomuksista; </w:t>
      </w:r>
    </w:p>
    <w:p>
      <w:pPr>
        <w:pStyle w:val="Point1"/>
        <w:rPr>
          <w:i/>
          <w:noProof/>
        </w:rPr>
      </w:pPr>
      <w:r>
        <w:t>(b)</w:t>
      </w:r>
      <w:r>
        <w:tab/>
      </w:r>
      <w:r>
        <w:rPr>
          <w:noProof/>
        </w:rPr>
        <w:t>7 ja 8 artiklan mukaisesti myönnetyistä erityisluvista ja poikkeuksista sekä niihin liittyvistä ehdoista;</w:t>
      </w:r>
    </w:p>
    <w:p>
      <w:pPr>
        <w:pStyle w:val="Point1"/>
        <w:rPr>
          <w:i/>
          <w:noProof/>
        </w:rPr>
      </w:pPr>
      <w:r>
        <w:lastRenderedPageBreak/>
        <w:t>(c)</w:t>
      </w:r>
      <w:r>
        <w:tab/>
      </w:r>
      <w:r>
        <w:rPr>
          <w:noProof/>
        </w:rPr>
        <w:t xml:space="preserve">kaikista toimivaltaisen viranomaisen epäämistä 7 ja 8 artiklan mukaisista erityisluvista tai poikkeuksista, tällaisten erityislupien tai poikkeusten peruuttamisesta ja DLT-pohjaisen markkinainfrastruktuurin toiminnan lopettamisista.  </w:t>
      </w:r>
    </w:p>
    <w:p>
      <w:pPr>
        <w:pStyle w:val="ManualNumPar1"/>
        <w:rPr>
          <w:noProof/>
        </w:rPr>
      </w:pPr>
      <w:r>
        <w:t>6.</w:t>
      </w:r>
      <w:r>
        <w:tab/>
      </w:r>
      <w:r>
        <w:rPr>
          <w:noProof/>
        </w:rPr>
        <w:t>ESMA seuraa 7 ja 8 artiklan mukaisesti myönnettyjen erityislupien sekä niihin liittyvien poikkeusten ja ehtojen soveltamista sekä vaadittujen korvaavien tai korjaavien toimenpiteiden toteuttamista ja antaa komissiolle vuosittain kertomuksen siitä, miten niitä sovelletaan käytännössä.</w:t>
      </w:r>
    </w:p>
    <w:p>
      <w:pPr>
        <w:pStyle w:val="Text1"/>
        <w:rPr>
          <w:noProof/>
        </w:rPr>
      </w:pPr>
    </w:p>
    <w:p>
      <w:pPr>
        <w:pStyle w:val="Titrearticle"/>
        <w:rPr>
          <w:noProof/>
        </w:rPr>
      </w:pPr>
      <w:r>
        <w:rPr>
          <w:noProof/>
        </w:rPr>
        <w:t>10 artikla</w:t>
      </w:r>
    </w:p>
    <w:p>
      <w:pPr>
        <w:pStyle w:val="Titrearticle"/>
        <w:rPr>
          <w:noProof/>
        </w:rPr>
      </w:pPr>
      <w:r>
        <w:rPr>
          <w:noProof/>
        </w:rPr>
        <w:t>Kertomus ja tarkistaminen</w:t>
      </w:r>
    </w:p>
    <w:p>
      <w:pPr>
        <w:pStyle w:val="ManualNumPar1"/>
        <w:rPr>
          <w:noProof/>
        </w:rPr>
      </w:pPr>
      <w:r>
        <w:t>1.</w:t>
      </w:r>
      <w:r>
        <w:tab/>
      </w:r>
      <w:r>
        <w:rPr>
          <w:noProof/>
        </w:rPr>
        <w:t xml:space="preserve">Viimeistään viiden vuoden kuluttua tämän asetuksen soveltamisen alkamisesta ESMA antaa komissiolle kertomuksen </w:t>
      </w:r>
    </w:p>
    <w:p>
      <w:pPr>
        <w:pStyle w:val="Point1"/>
        <w:rPr>
          <w:noProof/>
        </w:rPr>
      </w:pPr>
      <w:r>
        <w:t>(a)</w:t>
      </w:r>
      <w:r>
        <w:tab/>
      </w:r>
      <w:r>
        <w:rPr>
          <w:noProof/>
        </w:rPr>
        <w:t xml:space="preserve">DLT-pohjaisten markkinainfrastruktuurien toiminnasta koko unionissa; </w:t>
      </w:r>
    </w:p>
    <w:p>
      <w:pPr>
        <w:pStyle w:val="Point1"/>
        <w:rPr>
          <w:noProof/>
        </w:rPr>
      </w:pPr>
      <w:r>
        <w:t>(b)</w:t>
      </w:r>
      <w:r>
        <w:tab/>
      </w:r>
      <w:r>
        <w:rPr>
          <w:noProof/>
        </w:rPr>
        <w:t xml:space="preserve">niiden DLT-pohjaisten monenkeskisten kaupankäyntijärjestelmien ja DLT-pohjaisia arvopapereiden selvitysjärjestelmiä ylläpitävien arvopaperikeskusten lukumäärästä, joille on myönnetty tämän asetuksen mukainen erityislupa; </w:t>
      </w:r>
    </w:p>
    <w:p>
      <w:pPr>
        <w:pStyle w:val="Point1"/>
        <w:rPr>
          <w:noProof/>
        </w:rPr>
      </w:pPr>
      <w:r>
        <w:t>(c)</w:t>
      </w:r>
      <w:r>
        <w:tab/>
      </w:r>
      <w:r>
        <w:rPr>
          <w:noProof/>
        </w:rPr>
        <w:t xml:space="preserve">DLT-pohjaisten markkinainfrastruktuurien pyytämien poikkeusten tyypeistä ja toimivaltaisten viranomaisten myöntämien poikkeusten tyypeistä; </w:t>
      </w:r>
    </w:p>
    <w:p>
      <w:pPr>
        <w:pStyle w:val="Point1"/>
        <w:rPr>
          <w:noProof/>
        </w:rPr>
      </w:pPr>
      <w:r>
        <w:t>(d)</w:t>
      </w:r>
      <w:r>
        <w:tab/>
      </w:r>
      <w:r>
        <w:rPr>
          <w:noProof/>
        </w:rPr>
        <w:t xml:space="preserve">DLT-pohjaisissa monenkeskisissä kaupankäyntijärjestelmissä kaupankäynnin kohteeksi otettujen DLT-siirtokelpoisten arvopapereiden lukumäärästä ja arvosta, DLT-pohjaisia arvopapereiden selvitysjärjestelmiä ylläpitävien arvopaperikeskusten kirjaamien DLT-siirtokelpoisten arvopapereiden lukumäärästä ja arvosta sekä tapauksen mukaan DLT-pohjaisten monenkeskisten kaupankäyntijärjestelmien kirjaamien siirtokelpoisten arvopapereiden lukumäärästä ja arvosta; </w:t>
      </w:r>
    </w:p>
    <w:p>
      <w:pPr>
        <w:pStyle w:val="Point1"/>
        <w:rPr>
          <w:noProof/>
        </w:rPr>
      </w:pPr>
      <w:r>
        <w:t>(e)</w:t>
      </w:r>
      <w:r>
        <w:tab/>
      </w:r>
      <w:r>
        <w:rPr>
          <w:noProof/>
        </w:rPr>
        <w:t xml:space="preserve">sellaisten transaktioiden lukumäärästä ja arvosta, jotka toteutetaan DLT-pohjaisissa monenkeskisissä kaupankäyntijärjestelmissä ja jotka DLT-pohjaisia arvopapereiden selvitysjärjestelmiä ylläpitävät arvopaperikeskukset tai tapauksen mukaan DLT-pohjaiset monenkeskiset kaupankäyntijärjestelmät toimittavat; </w:t>
      </w:r>
    </w:p>
    <w:p>
      <w:pPr>
        <w:pStyle w:val="Point1"/>
        <w:rPr>
          <w:noProof/>
        </w:rPr>
      </w:pPr>
      <w:r>
        <w:t>(f)</w:t>
      </w:r>
      <w:r>
        <w:tab/>
      </w:r>
      <w:r>
        <w:rPr>
          <w:noProof/>
        </w:rPr>
        <w:t xml:space="preserve">käytetyn hajautetun tilikirjan teknologian tyypistä ja hajautetun tilikirjan teknologian käyttöön liittyvistä teknisistä ongelmista, mukaan lukien 9 artiklan 1 kohdan toisen alakohdan b alakohdassa mainituista seikoista; </w:t>
      </w:r>
    </w:p>
    <w:p>
      <w:pPr>
        <w:pStyle w:val="Point1"/>
        <w:rPr>
          <w:noProof/>
        </w:rPr>
      </w:pPr>
      <w:r>
        <w:t>(g)</w:t>
      </w:r>
      <w:r>
        <w:tab/>
      </w:r>
      <w:r>
        <w:rPr>
          <w:noProof/>
        </w:rPr>
        <w:t xml:space="preserve">DLT-pohjaisten monenkeskisten kaupankäyntijärjestelmien 4 artiklan 3 kohdan g alakohdan mukaisesti käyttöön ottamista menettelyistä; </w:t>
      </w:r>
    </w:p>
    <w:p>
      <w:pPr>
        <w:pStyle w:val="Point1"/>
        <w:rPr>
          <w:noProof/>
        </w:rPr>
      </w:pPr>
      <w:r>
        <w:t>(h)</w:t>
      </w:r>
      <w:r>
        <w:tab/>
      </w:r>
      <w:r>
        <w:rPr>
          <w:noProof/>
        </w:rPr>
        <w:t xml:space="preserve">kaikista hajautetun tilikirjan teknologian käytöstä aiheutuneista riskeistä; </w:t>
      </w:r>
    </w:p>
    <w:p>
      <w:pPr>
        <w:pStyle w:val="Point1"/>
        <w:rPr>
          <w:noProof/>
        </w:rPr>
      </w:pPr>
      <w:r>
        <w:t>(i)</w:t>
      </w:r>
      <w:r>
        <w:tab/>
      </w:r>
      <w:r>
        <w:rPr>
          <w:noProof/>
        </w:rPr>
        <w:t>kaikista DLT-pohjaisten markkinainfrastruktuurien ja aikaisempia järjestelmiä käyttävien muiden infrastruktuurien väliseen yhteentoimivuuteen liittyvistä ongelmista;</w:t>
      </w:r>
    </w:p>
    <w:p>
      <w:pPr>
        <w:pStyle w:val="Point1"/>
        <w:rPr>
          <w:noProof/>
        </w:rPr>
      </w:pPr>
      <w:r>
        <w:t>(j)</w:t>
      </w:r>
      <w:r>
        <w:tab/>
      </w:r>
      <w:r>
        <w:rPr>
          <w:noProof/>
        </w:rPr>
        <w:t xml:space="preserve">hajautetun tilikirjan teknologian käytöstä saatavista hyödyistä, jotka ilmenevät tehokkuuden parantumisena ja riskien vähenemisenä koko </w:t>
      </w:r>
      <w:r>
        <w:rPr>
          <w:noProof/>
        </w:rPr>
        <w:lastRenderedPageBreak/>
        <w:t>kaupankäyntiketjussa ja kaupan jälkeisessä ketjussa, mukaan lukien DLT-siirtokelpoisten arvopapereiden kirjaaminen ja säilyttäminen, transaktioiden ja yhtiötapahtumien jäljitettävyys sekä raportointi- ja valvontatoiminnot DLT-pohjaisen markkinainfrastruktuurin tasolla;</w:t>
      </w:r>
    </w:p>
    <w:p>
      <w:pPr>
        <w:pStyle w:val="Point1"/>
        <w:rPr>
          <w:i/>
          <w:noProof/>
        </w:rPr>
      </w:pPr>
      <w:r>
        <w:t>(k)</w:t>
      </w:r>
      <w:r>
        <w:tab/>
      </w:r>
      <w:r>
        <w:rPr>
          <w:noProof/>
        </w:rPr>
        <w:t>kaikista toimivaltaisen viranomaisen epäämistä 7 ja 8 artiklan mukaisista erityisluvista tai poikkeuksista, tällaisten erityislupien tai poikkeusten muuttamisista tai peruuttamisista sekä mahdollisista korvaavista tai korjaavista toimenpiteistä; ja</w:t>
      </w:r>
    </w:p>
    <w:p>
      <w:pPr>
        <w:pStyle w:val="Point1"/>
        <w:rPr>
          <w:i/>
          <w:noProof/>
        </w:rPr>
      </w:pPr>
      <w:r>
        <w:t>(l)</w:t>
      </w:r>
      <w:r>
        <w:tab/>
      </w:r>
      <w:r>
        <w:rPr>
          <w:noProof/>
        </w:rPr>
        <w:t xml:space="preserve">kaikista DLT-pohjaisten markkinainfrastruktuurien mahdollisesti toteuttamista toiminnan lopettamisista ja lopettamisen syistä.  </w:t>
      </w:r>
    </w:p>
    <w:p>
      <w:pPr>
        <w:pStyle w:val="ManualNumPar1"/>
        <w:rPr>
          <w:noProof/>
        </w:rPr>
      </w:pPr>
      <w:r>
        <w:t>2.</w:t>
      </w:r>
      <w:r>
        <w:tab/>
      </w:r>
      <w:r>
        <w:rPr>
          <w:noProof/>
        </w:rPr>
        <w:t xml:space="preserve">Komissio esittää 1 kohdassa tarkoitetun kertomuksen perusteella Euroopan parlamentille ja neuvostolle kertomuksen, joka sisältää kustannus-hyötyanalyysin siitä, pitäisikö tämän asetuksen mukaisen DLT-pohjaisia markkinainfrastruktuureja koskevan järjestelmän tapauksessa </w:t>
      </w:r>
    </w:p>
    <w:p>
      <w:pPr>
        <w:pStyle w:val="Point1"/>
        <w:rPr>
          <w:noProof/>
        </w:rPr>
      </w:pPr>
      <w:r>
        <w:t>(a)</w:t>
      </w:r>
      <w:r>
        <w:tab/>
      </w:r>
      <w:r>
        <w:rPr>
          <w:noProof/>
        </w:rPr>
        <w:t>jatkaa sen voimassaoloaikaa;</w:t>
      </w:r>
    </w:p>
    <w:p>
      <w:pPr>
        <w:pStyle w:val="Point1"/>
        <w:rPr>
          <w:noProof/>
        </w:rPr>
      </w:pPr>
      <w:r>
        <w:t>(b)</w:t>
      </w:r>
      <w:r>
        <w:tab/>
      </w:r>
      <w:r>
        <w:rPr>
          <w:noProof/>
        </w:rPr>
        <w:t xml:space="preserve">laajentaa sitä koskemaan muuntyyppisiä rahoitusvälineitä, jotka voidaan laskea liikkeeseen, kirjata, siirtää tai tallentaa käyttämällä hajautetun tilikirjan teknologiaa; </w:t>
      </w:r>
    </w:p>
    <w:p>
      <w:pPr>
        <w:pStyle w:val="Point1"/>
        <w:rPr>
          <w:noProof/>
        </w:rPr>
      </w:pPr>
      <w:r>
        <w:t>(c)</w:t>
      </w:r>
      <w:r>
        <w:tab/>
      </w:r>
      <w:r>
        <w:rPr>
          <w:noProof/>
        </w:rPr>
        <w:t xml:space="preserve">muuttaa sitä;  </w:t>
      </w:r>
    </w:p>
    <w:p>
      <w:pPr>
        <w:pStyle w:val="Point1"/>
        <w:rPr>
          <w:noProof/>
        </w:rPr>
      </w:pPr>
      <w:r>
        <w:t>(d)</w:t>
      </w:r>
      <w:r>
        <w:tab/>
      </w:r>
      <w:r>
        <w:rPr>
          <w:noProof/>
        </w:rPr>
        <w:t>tehdä siitä pysyvä joko muutoksin tai muutoksitta; tai</w:t>
      </w:r>
    </w:p>
    <w:p>
      <w:pPr>
        <w:pStyle w:val="Point1"/>
        <w:rPr>
          <w:noProof/>
        </w:rPr>
      </w:pPr>
      <w:r>
        <w:t>(e)</w:t>
      </w:r>
      <w:r>
        <w:tab/>
      </w:r>
      <w:r>
        <w:rPr>
          <w:noProof/>
        </w:rPr>
        <w:t>lopettaa se.</w:t>
      </w:r>
    </w:p>
    <w:p>
      <w:pPr>
        <w:ind w:left="851"/>
        <w:rPr>
          <w:noProof/>
        </w:rPr>
      </w:pPr>
      <w:r>
        <w:rPr>
          <w:noProof/>
        </w:rPr>
        <w:t xml:space="preserve">Komissio voi kertomuksessaan ehdottaa sellaisia rahoituspalvelulainsäädäntöä koskevaan unionin kehykseen tehtäviä asianmukaisia muutoksia tai sellaisia kansallisten lakien yhdenmukaistamistoimia, joilla helpotettaisiin hajautetun tilikirjan teknologian käyttöä rahoitusalalla, sekä toimenpiteitä, jotka ovat tarpeen DLT-pohjaisten markkinainfrastruktuurien siirtämiseksi pois pilottijärjestelmästä.   </w:t>
      </w:r>
    </w:p>
    <w:p>
      <w:pPr>
        <w:rPr>
          <w:noProof/>
        </w:rPr>
      </w:pPr>
    </w:p>
    <w:p>
      <w:pPr>
        <w:jc w:val="center"/>
        <w:rPr>
          <w:i/>
          <w:noProof/>
        </w:rPr>
      </w:pPr>
      <w:r>
        <w:rPr>
          <w:i/>
          <w:noProof/>
        </w:rPr>
        <w:t>11 artikla</w:t>
      </w:r>
    </w:p>
    <w:p>
      <w:pPr>
        <w:pStyle w:val="Titrearticle"/>
        <w:rPr>
          <w:b/>
          <w:noProof/>
        </w:rPr>
      </w:pPr>
      <w:r>
        <w:rPr>
          <w:b/>
          <w:noProof/>
        </w:rPr>
        <w:t>Voimaantulo ja soveltaminen</w:t>
      </w:r>
    </w:p>
    <w:p>
      <w:pPr>
        <w:jc w:val="center"/>
        <w:rPr>
          <w:b/>
          <w:noProof/>
        </w:rPr>
      </w:pPr>
    </w:p>
    <w:p>
      <w:pPr>
        <w:rPr>
          <w:noProof/>
        </w:rPr>
      </w:pPr>
      <w:r>
        <w:rPr>
          <w:noProof/>
        </w:rPr>
        <w:t xml:space="preserve">Tämä asetus tulee voimaan kahdentenakymmenentenä päivänä sen jälkeen, kun se on julkaistu </w:t>
      </w:r>
      <w:r>
        <w:rPr>
          <w:i/>
          <w:iCs/>
          <w:noProof/>
        </w:rPr>
        <w:t>Euroopan unionin virallisessa lehdessä</w:t>
      </w:r>
      <w:r>
        <w:rPr>
          <w:noProof/>
        </w:rPr>
        <w:t xml:space="preserve">. </w:t>
      </w:r>
    </w:p>
    <w:p>
      <w:pPr>
        <w:rPr>
          <w:rFonts w:asciiTheme="majorBidi" w:hAnsiTheme="majorBidi" w:cstheme="majorBidi"/>
          <w:noProof/>
          <w:szCs w:val="24"/>
        </w:rPr>
      </w:pPr>
      <w:r>
        <w:rPr>
          <w:rFonts w:asciiTheme="majorBidi" w:hAnsiTheme="majorBidi"/>
          <w:noProof/>
        </w:rPr>
        <w:t xml:space="preserve">Sitä sovelletaan [...] päivästä [...]kuuta [...] </w:t>
      </w:r>
      <w:r>
        <w:rPr>
          <w:rFonts w:asciiTheme="majorBidi" w:hAnsiTheme="majorBidi"/>
          <w:i/>
          <w:noProof/>
        </w:rPr>
        <w:t>[lisätään päivämäärä, joka on 12 kuukautta tämän asetuksen voimaantulopäivän jälkeen]</w:t>
      </w:r>
      <w:r>
        <w:rPr>
          <w:rFonts w:asciiTheme="majorBidi" w:hAnsiTheme="majorBidi"/>
          <w:noProof/>
        </w:rPr>
        <w:t>.</w:t>
      </w:r>
    </w:p>
    <w:p>
      <w:pPr>
        <w:rPr>
          <w:rFonts w:asciiTheme="majorBidi" w:hAnsiTheme="majorBidi" w:cstheme="majorBidi"/>
          <w:noProof/>
          <w:szCs w:val="24"/>
        </w:rPr>
      </w:pPr>
      <w:r>
        <w:rPr>
          <w:rFonts w:asciiTheme="majorBidi" w:hAnsiTheme="majorBidi"/>
          <w:noProof/>
        </w:rPr>
        <w:t>Jäsenvaltioiden on ilmoitettava mahdolliset 2 artiklan 21 kohdan c alakohdassa tarkoitetut toimivaltaiset viranomaisensa ESMAlle ja komissiolle kolmen kuukauden kuluessa tämän asetuksen voimaantulosta.  ESMA julkaisee verkkosivustollaan luettelon näistä toimivaltaisista viranomaisista.</w:t>
      </w:r>
    </w:p>
    <w:p>
      <w:pPr>
        <w:keepNext/>
        <w:keepLines/>
        <w:rPr>
          <w:rFonts w:asciiTheme="majorBidi" w:hAnsiTheme="majorBidi" w:cstheme="majorBidi"/>
          <w:noProof/>
          <w:szCs w:val="24"/>
        </w:rPr>
      </w:pPr>
      <w:r>
        <w:rPr>
          <w:rFonts w:asciiTheme="majorBidi" w:hAnsiTheme="majorBidi"/>
          <w:noProof/>
        </w:rPr>
        <w:lastRenderedPageBreak/>
        <w:t>Tämä asetus on kaikilta osiltaan velvoittava, ja sitä sovelletaan sellaisenaan kaikissa jäsenvaltioissa.</w:t>
      </w:r>
    </w:p>
    <w:p>
      <w:pPr>
        <w:pStyle w:val="Fait"/>
        <w:rPr>
          <w:noProof/>
        </w:rPr>
      </w:pPr>
      <w:r>
        <w:t>Tehty Brysselissä</w:t>
      </w:r>
    </w:p>
    <w:p>
      <w:pPr>
        <w:pStyle w:val="Institutionquisigne"/>
        <w:rPr>
          <w:noProof/>
        </w:rPr>
      </w:pPr>
      <w:r>
        <w:rPr>
          <w:noProof/>
        </w:rPr>
        <w:t>Euroopan parlamentin puolesta</w:t>
      </w:r>
      <w:r>
        <w:rPr>
          <w:noProof/>
        </w:rPr>
        <w:tab/>
        <w:t>Neuvoston puolesta</w:t>
      </w:r>
    </w:p>
    <w:p>
      <w:pPr>
        <w:pStyle w:val="Personnequisigne"/>
        <w:keepNext/>
        <w:rPr>
          <w:noProof/>
        </w:rPr>
      </w:pPr>
      <w:r>
        <w:rPr>
          <w:noProof/>
        </w:rPr>
        <w:t>Puhemies</w:t>
      </w:r>
      <w:r>
        <w:rPr>
          <w:noProof/>
        </w:rPr>
        <w:tab/>
        <w:t>Puheenjohtaja</w:t>
      </w:r>
    </w:p>
    <w:p>
      <w:pPr>
        <w:pStyle w:val="Institutionquisigne"/>
        <w:rPr>
          <w:noProof/>
        </w:rPr>
      </w:pPr>
    </w:p>
    <w:p>
      <w:pPr>
        <w:pStyle w:val="Personnequisigne"/>
        <w:rPr>
          <w:noProof/>
        </w:rPr>
      </w:pP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FI</w:t>
    </w:r>
    <w:r>
      <w:rPr>
        <w:rFonts w:ascii="Arial" w:hAnsi="Arial" w:cs="Arial"/>
        <w:b/>
        <w:sz w:val="48"/>
      </w:rPr>
      <w:tab/>
    </w:r>
    <w:r>
      <w:rPr>
        <w:rFonts w:ascii="Arial" w:hAnsi="Arial" w:cs="Arial"/>
        <w:b/>
        <w:sz w:val="48"/>
      </w:rPr>
      <w:tab/>
    </w:r>
    <w:r>
      <w:tab/>
    </w:r>
    <w:r>
      <w:rPr>
        <w:rFonts w:ascii="Arial" w:hAnsi="Arial" w:cs="Arial"/>
        <w:b/>
        <w:sz w:val="48"/>
      </w:rPr>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FI</w:t>
    </w:r>
    <w:r>
      <w:rPr>
        <w:rFonts w:ascii="Arial" w:hAnsi="Arial" w:cs="Arial"/>
        <w:b/>
        <w:sz w:val="48"/>
      </w:rPr>
      <w:tab/>
    </w:r>
    <w:r>
      <w:fldChar w:fldCharType="begin"/>
    </w:r>
    <w:r>
      <w:instrText xml:space="preserve"> PAGE  \* MERGEFORMAT </w:instrText>
    </w:r>
    <w:r>
      <w:fldChar w:fldCharType="separate"/>
    </w:r>
    <w:r>
      <w:rPr>
        <w:noProof/>
      </w:rPr>
      <w:t>42</w:t>
    </w:r>
    <w:r>
      <w:fldChar w:fldCharType="end"/>
    </w:r>
    <w:r>
      <w:tab/>
    </w:r>
    <w:r>
      <w:tab/>
    </w:r>
    <w:r>
      <w:rPr>
        <w:rFonts w:ascii="Arial" w:hAnsi="Arial" w:cs="Arial"/>
        <w:b/>
        <w:sz w:val="48"/>
      </w:rPr>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rStyle w:val="FootnoteTextChar"/>
          <w:lang w:val="fi-FI"/>
        </w:rPr>
      </w:pPr>
      <w:r>
        <w:rPr>
          <w:rStyle w:val="FootnoteReference"/>
        </w:rPr>
        <w:footnoteRef/>
      </w:r>
      <w:r>
        <w:tab/>
      </w:r>
      <w:r>
        <w:rPr>
          <w:rStyle w:val="FootnoteTextChar"/>
          <w:lang w:val="fi-FI"/>
        </w:rPr>
        <w:t>Komission tiedonanto Euroopan parlamentille, neuvostolle, Euroopan keskuspankille, Euroopan talous- ja sosiaalikomitealle ja alueiden komitealle EU:n digitaalisen rahoituksen strategiasta – COM(2020) 591.</w:t>
      </w:r>
    </w:p>
  </w:footnote>
  <w:footnote w:id="3">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 xml:space="preserve">Ehdotus Euroopan parlamentin ja neuvoston asetukseksi kryptovarojen markkinoista ja direktiivin (EU) 2019/1937 muuttamisesta – COM (2020) 593. </w:t>
      </w:r>
    </w:p>
  </w:footnote>
  <w:footnote w:id="4">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Ehdotus Euroopan parlamentin ja neuvoston asetukseksi rahoitusalan digitaalisesta häiriönsietokyvystä ja asetusten (EY) N:o 1060/2009, (EU) N:o 648/2012, (EU) N:o 600/2014 ja (EU) N:o 909/2014 muuttamisesta – COM (2020) 595.</w:t>
      </w:r>
    </w:p>
  </w:footnote>
  <w:footnote w:id="5">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Ehdotus Euroopan parlamentin ja neuvoston direktiiviksi direktiivien 2006/43/EY, 2009/65/EY, 2009/138/EU, 2011/61/EU, 2013/36/EU, 2014/65/EU, (EU) 2015/2366 ja (EU) 2016/2341 muuttamisesta – COM(2020) 596.</w:t>
      </w:r>
    </w:p>
  </w:footnote>
  <w:footnote w:id="6">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Komission tiedonanto Euroopan parlamentille, neuvostolle, Euroopan keskuspankille, Euroopan talous- ja sosiaalikomitealle ja alueiden komitealle – FinTech-toimintasuunnitelma Euroopan rahoitusalan kilpailukyvyn ja innovatiivisuuden parantamiseksi – COM(2018) 109 final, 8.3.2018.</w:t>
      </w:r>
    </w:p>
  </w:footnote>
  <w:footnote w:id="7">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ESMA, ”Advice on Initial Coin Offerings and Crypto-Assets”, 2019; EPV:n kryptovaroja käsittelevä raportti ja ohjeita, 2019.</w:t>
      </w:r>
    </w:p>
  </w:footnote>
  <w:footnote w:id="8">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Puheenjohtajaksi valitun Ursula von der Leyenin toimeksiantokirje varapuheenjohtaja Dombrovskisille, 10. syyskuuta 2019.</w:t>
      </w:r>
    </w:p>
  </w:footnote>
  <w:footnote w:id="9">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komission ja neuvoston yhteinen lausuma stablecoineista, 5. joulukuuta 2019.</w:t>
      </w:r>
    </w:p>
  </w:footnote>
  <w:footnote w:id="10">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https://www.europarl.europa.eu/doceo/document/ECON-PR-650539_FI.pdf.</w:t>
      </w:r>
    </w:p>
  </w:footnote>
  <w:footnote w:id="11">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direktiivi 2014/65/EU, annettu 15 päivänä toukokuuta 2014, rahoitusvälineiden markkinoista sekä direktiivin 2002/92/EY ja direktiivin 2011/61/EU muuttamisesta.</w:t>
      </w:r>
    </w:p>
  </w:footnote>
  <w:footnote w:id="12">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Ehdotus Euroopan parlamentin ja neuvoston direktiiviksi direktiivien 2006/43/EY, 2009/65/EY, 2009/138/EU, 2011/61/EU, 2013/36/EU, 2014/65/EU, (EU) 2015/2366 ja (EU) 2016/2341 muuttamisesta – COM(2020) 596.</w:t>
      </w:r>
    </w:p>
  </w:footnote>
  <w:footnote w:id="13">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Ehdotus Euroopan parlamentin ja neuvoston asetukseksi kryptovarojen markkinoista ja direktiivin (EU) 2019/1937 muuttamisesta – COM (2020) 593.</w:t>
      </w:r>
    </w:p>
  </w:footnote>
  <w:footnote w:id="14">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komissio, FinTech-toimintasuunnitelma – COM(2018) 109 final.</w:t>
      </w:r>
    </w:p>
  </w:footnote>
  <w:footnote w:id="15">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ESMA, ”Advice on Initial Coin Offerings and Crypto-Assets”, 2019; EPV:n kryptovaroja käsittelevä raportti ja ohjeita, 2019.</w:t>
      </w:r>
    </w:p>
  </w:footnote>
  <w:footnote w:id="16">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Puheenjohtaja Ursula von der Leyen, poliittiset suuntaviivat seuraavalle Euroopan komissiolle 2019–2024.</w:t>
      </w:r>
    </w:p>
  </w:footnote>
  <w:footnote w:id="17">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Komission tiedonanto Euroopan parlamentille, neuvostolle, Euroopan talous- ja sosiaalikomitealle ja alueiden komitealle ”Euroopan digitaalista tulevaisuutta rakentamassa” – COM(2020) 67 final.</w:t>
      </w:r>
    </w:p>
  </w:footnote>
  <w:footnote w:id="18">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Pääomamarkkinaunionia käsitelleen korkean tason foorumin loppuraportin suositus 7. (</w:t>
      </w:r>
      <w:hyperlink r:id="rId1">
        <w:r>
          <w:rPr>
            <w:rStyle w:val="FootnoteReference"/>
            <w:vertAlign w:val="baseline"/>
          </w:rPr>
          <w:t>https://ec.europa.eu/info/sites/info/files/business_economy_euro/growth_and_investment/documents/200610-cmu-high-level-forum-final-report_en.pdf</w:t>
        </w:r>
      </w:hyperlink>
      <w:r>
        <w:rPr>
          <w:rStyle w:val="FootnoteReference"/>
          <w:vertAlign w:val="baseline"/>
        </w:rPr>
        <w:t xml:space="preserve">). </w:t>
      </w:r>
    </w:p>
  </w:footnote>
  <w:footnote w:id="19">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Komission tiedonanto Euroopan parlamentille, neuvostolle, Euroopan talous- ja sosiaalikomitealle ja alueiden komitealle EU:n turvallisuusunionistrategiasta – COM(2020) 605 final, 24.7.2020.</w:t>
      </w:r>
    </w:p>
  </w:footnote>
  <w:footnote w:id="20">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 xml:space="preserve">Vaikutustenarviointi – Oheisasiakirja ehdotukseen Euroopan parlamentin ja neuvoston asetukseksi kryptovarojen markkinoista ja direktiivin (EU) 2019/1937 muuttamisesta – SWD(2020) 380. </w:t>
      </w:r>
    </w:p>
  </w:footnote>
  <w:footnote w:id="21">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 xml:space="preserve">https://ec.europa.eu/info/sites/info/files/business_economy_euro/banking_and_finance/documents/2019-crypto-assets-consultation-document_en.pdf </w:t>
      </w:r>
    </w:p>
  </w:footnote>
  <w:footnote w:id="22">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Vaikutustenarviointi – Oheisasiakirja ehdotukseen Euroopan parlamentin ja neuvoston asetukseksi kryptovarojen markkinoista ja direktiivin (EU) 2019/1937 muuttamisesta – SWD(2020) 380.</w:t>
      </w:r>
    </w:p>
  </w:footnote>
  <w:footnote w:id="23">
    <w:p>
      <w:pPr>
        <w:pStyle w:val="FootnoteText"/>
        <w:rPr>
          <w:rStyle w:val="FootnoteReference"/>
        </w:rPr>
      </w:pPr>
      <w:r>
        <w:rPr>
          <w:rStyle w:val="FootnoteReference"/>
        </w:rPr>
        <w:footnoteRef/>
      </w:r>
      <w:r>
        <w:rPr>
          <w:rStyle w:val="FootnoteReference"/>
        </w:rPr>
        <w:tab/>
      </w:r>
      <w:r>
        <w:rPr>
          <w:rStyle w:val="FootnoteReference"/>
          <w:vertAlign w:val="baseline"/>
        </w:rPr>
        <w:t>https://ec.europa.eu/info/publications/egbpi-meetings-2020_en</w:t>
      </w:r>
    </w:p>
  </w:footnote>
  <w:footnote w:id="24">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ESMA, ”Advice on Initial Coin Offerings and Crypto-Assets”, 2019; EPV:n kryptovaroja käsittelevä raportti ja ohjeita, 2019.</w:t>
      </w:r>
    </w:p>
  </w:footnote>
  <w:footnote w:id="25">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Vaikutustenarviointi – Oheisasiakirja ehdotukseen Euroopan parlamentin ja neuvoston asetukseksi kryptovarojen markkinoista ja direktiivin (EU) 2019/1937 muuttamisesta – SWD(2020) 380.</w:t>
      </w:r>
    </w:p>
  </w:footnote>
  <w:footnote w:id="26">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direktiivi 2014/65/EU, annettu 15 päivänä toukokuuta 2014, rahoitusvälineiden markkinoista sekä direktiivin 2002/92/EY ja direktiivin 2011/61/EU muuttamisesta.</w:t>
      </w:r>
    </w:p>
  </w:footnote>
  <w:footnote w:id="27">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asetus (EU) N:o 600/2014, annettu 15 päivänä toukokuuta 2014, rahoitusvälineiden markkinoista sekä asetuksen (EU) N:o 648/2012 muuttamisesta.</w:t>
      </w:r>
    </w:p>
  </w:footnote>
  <w:footnote w:id="28">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asetus (EU) 2017/1129, annettu 14 päivänä kesäkuuta 2017, arvopapereiden yleisölle tarjoamisen tai kaupankäynnin kohteeksi säännellyllä markkinalla ottamisen yhteydessä julkaistavasta esitteestä ja direktiivin 2003/71/EY kumoamisesta.</w:t>
      </w:r>
    </w:p>
  </w:footnote>
  <w:footnote w:id="29">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asetus (EU) N:o 909/2014, annettu 23 päivänä heinäkuuta 2014, arvopaperitoimituksen parantamisesta Euroopan unionissa sekä arvopaperikeskuksista ja direktiivien 98/26/EY ja 2014/65/EU sekä asetuksen (EU) N:o 236/2012 muuttamisesta.</w:t>
      </w:r>
    </w:p>
  </w:footnote>
  <w:footnote w:id="30">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direktiivi 98/26/EY, annettu 19 päivänä toukokuuta 1998, selvityksen lopullisuudesta maksujärjestelmissä ja arvopaperien selvitysjärjestelmissä.</w:t>
      </w:r>
    </w:p>
  </w:footnote>
  <w:footnote w:id="31">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EUVL C , , s. .</w:t>
      </w:r>
    </w:p>
  </w:footnote>
  <w:footnote w:id="32">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EUVL C […], […], s. […].</w:t>
      </w:r>
    </w:p>
  </w:footnote>
  <w:footnote w:id="33">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Komission tiedonanto Euroopan parlamentille, neuvostolle, Euroopan keskuspankille, Euroopan talous- ja sosiaalikomitealle ja alueiden komitealle EU:n digitaalisen rahoituksen strategiasta, COM(2020) 591.</w:t>
      </w:r>
    </w:p>
  </w:footnote>
  <w:footnote w:id="34">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direktiivi 2014/65/EU, annettu 15 päivänä toukokuuta 2014, rahoitusvälineiden markkinoista sekä direktiivin 2002/92/EY ja direktiivin 2011/61/EU muuttamisesta (EUVL L 173, 12.6.2014, s. 349).</w:t>
      </w:r>
    </w:p>
  </w:footnote>
  <w:footnote w:id="35">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asetus (EU) 2017/1129, annettu 14 päivänä kesäkuuta 2017, arvopapereiden yleisölle tarjoamisen tai kaupankäynnin kohteeksi säännellyllä markkinalla ottamisen yhteydessä julkaistavasta esitteestä ja direktiivin 2003/71/EY kumoamisesta (EUVL L 168, 30.6.2017, s. 12).</w:t>
      </w:r>
    </w:p>
  </w:footnote>
  <w:footnote w:id="36">
    <w:p>
      <w:pPr>
        <w:pStyle w:val="FootnoteText"/>
        <w:rPr>
          <w:rStyle w:val="FootnoteReference"/>
        </w:rPr>
      </w:pPr>
      <w:r>
        <w:rPr>
          <w:rStyle w:val="FootnoteReference"/>
        </w:rPr>
        <w:footnoteRef/>
      </w:r>
      <w:r>
        <w:rPr>
          <w:rStyle w:val="FootnoteReference"/>
        </w:rPr>
        <w:tab/>
      </w:r>
      <w:r>
        <w:rPr>
          <w:rStyle w:val="FootnoteReference"/>
          <w:vertAlign w:val="baseline"/>
        </w:rPr>
        <w:t>Euroopan parlamentin ja neuvoston direktiivi 2013/50/EU, annettu 22 päivänä lokakuuta 2013, säännellyillä markkinoilla kaupankäynnin kohteeksi otettavien arvopaperien liikkeeseenlaskijoita koskeviin tietoihin liittyvien avoimuusvaatimusten yhdenmukaistamisesta annetun Euroopan parlamentin ja neuvoston direktiivin 2004/109/EY, arvopapereiden yleisölle tarjoamisen tai kaupankäynnin kohteeksi ottamisen yhteydessä julkistettavasta esitteestä annetun Euroopan parlamentin ja neuvoston direktiivin 2003/71/EY ja direktiivin 2004/109/EY tiettyjen säännösten täytäntöönpanoa koskevista yksityiskohtaisista säännöistä annetun komission direktiivin 2007/14/EY muuttamisesta (EUVL L 294, 6.11.2013, s. 13).</w:t>
      </w:r>
    </w:p>
  </w:footnote>
  <w:footnote w:id="37">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asetus (EU) N:o 596/2014, annettu 16 päivänä huhtikuuta 2014, markkinoiden väärinkäytöstä (markkinoiden väärinkäyttöasetus) sekä Euroopan parlamentin ja neuvoston direktiivin 2003/6/EY ja komission direktiivien 2003/124/EY, 2003/125/EY ja 2004/72/EY kumoamisesta (EUVL L 173, 12.6.2014, s. 1).</w:t>
      </w:r>
    </w:p>
  </w:footnote>
  <w:footnote w:id="38">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asetus (EU) N:o 236/2012, annettu 14 päivänä maaliskuuta 2012, lyhyeksimyynnistä ja tietyistä luottoriskinvaihtosopimuksiin liittyvistä kysymyksistä (EUVL L 86, 24.3.2012, s. 1).</w:t>
      </w:r>
    </w:p>
  </w:footnote>
  <w:footnote w:id="39">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asetus (EU) N:o 909/2014, annettu 23 päivänä heinäkuuta 2014, arvopaperitoimituksen parantamisesta Euroopan unionissa sekä arvopaperikeskuksista ja direktiivien 98/26/EY ja 2014/65/EU sekä asetuksen (EU) N:o 236/2012 muuttamisesta (EUVL L 257, 28.8.2014, s. 1)</w:t>
      </w:r>
    </w:p>
  </w:footnote>
  <w:footnote w:id="40">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direktiivi 98/26/EY, annettu 19 päivänä toukokuuta 1998, selvityksen lopullisuudesta maksujärjestelmissä ja arvopaperien selvitysjärjestelmissä (EYVL L 166, 11.6.1998, s. 45)</w:t>
      </w:r>
    </w:p>
  </w:footnote>
  <w:footnote w:id="41">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ESMAn raportti ”Advice on Initial Coin Offerings and Crypto-Assets” (ESMA50-157-1391).</w:t>
      </w:r>
    </w:p>
  </w:footnote>
  <w:footnote w:id="42">
    <w:p>
      <w:pPr>
        <w:pStyle w:val="FootnoteText"/>
      </w:pPr>
      <w:r>
        <w:rPr>
          <w:rStyle w:val="FootnoteReference"/>
        </w:rPr>
        <w:footnoteRef/>
      </w:r>
      <w:r>
        <w:tab/>
      </w:r>
      <w:r>
        <w:rPr>
          <w:rStyle w:val="FootnoteReference"/>
          <w:vertAlign w:val="baseline"/>
        </w:rPr>
        <w:t>Euroopan parlamentin ja neuvoston asetus (EU) N:o 600/2014, annettu 15 päivänä toukokuuta 2014, rahoitusvälineiden markkinoista sekä asetuksen (EU) N:o 648/2012 muuttamisesta (EUVL L 173, 12.6.2014, s. 84).</w:t>
      </w:r>
    </w:p>
  </w:footnote>
  <w:footnote w:id="43">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Ehdotus Euroopan parlamentin ja neuvoston direktiiviksi direktiivien 2006/43/EY, 2009/65/EY, 2009/138/EU, 2011/61/EU, 2013/36/EU, 2014/65/EU, (EU) 2015/2366 ja (EU) 2016/2341 muuttamisesta – COM(2020) 596.</w:t>
      </w:r>
    </w:p>
  </w:footnote>
  <w:footnote w:id="44">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Ehdotus Euroopan parlamentin ja neuvoston asetukseksi kryptovarojen markkinoista ja direktiivin (EU) 2019/1937 muuttamisesta – COM (2020) 593.</w:t>
      </w:r>
    </w:p>
  </w:footnote>
  <w:footnote w:id="45">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Ehdotus Euroopan parlamentin ja neuvoston direktiiviksi direktiivien EU/2013/36, 2014/65/EU, (EU) 2015/2366, 2009/138/EY, EU/2016/2341, 2009/65/EY, 2011/61/EY ja 2006/43/EY muuttamisesta – COM(2020) 596.</w:t>
      </w:r>
    </w:p>
  </w:footnote>
  <w:footnote w:id="46">
    <w:p>
      <w:pPr>
        <w:pStyle w:val="FootnoteText"/>
      </w:pPr>
      <w:r>
        <w:rPr>
          <w:rStyle w:val="FootnoteReference"/>
        </w:rPr>
        <w:footnoteRef/>
      </w:r>
      <w:r>
        <w:tab/>
      </w:r>
      <w:r>
        <w:rPr>
          <w:rStyle w:val="FootnoteReference"/>
          <w:vertAlign w:val="baseline"/>
        </w:rPr>
        <w:t>Ehdotus Euroopan parlamentin ja neuvoston asetukseksi kryptovarojen markkinoista ja direktiivin (EU) 2019/1937 muuttamisesta – COM (2020) 593</w:t>
      </w:r>
    </w:p>
  </w:footnote>
  <w:footnote w:id="47">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ESMAn raportti ”Advice on Initial Coin Offerings and Crypto-Assets” (ESMA50-157-1391).</w:t>
      </w:r>
    </w:p>
  </w:footnote>
  <w:footnote w:id="48">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Ehdotus Euroopan parlamentin ja neuvoston direktiiviksi direktiivien 2006/43/EY, 2009/65/EY, 2009/138/EU, 2011/61/EU, 2013/36/EU, 2014/65/EU, (EU) 2015/2366 ja (EU) 2016/2341 muuttamisesta – COM(2020) 596.</w:t>
      </w:r>
    </w:p>
  </w:footnote>
  <w:footnote w:id="49">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w:t>
      </w:r>
    </w:p>
  </w:footnote>
  <w:footnote w:id="50">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direktiivi 2009/65/EY, annettu 13 päivänä heinäkuuta 2009, siirtokelpoisiin arvopapereihin kohdistuvaa yhteistä sijoitustoimintaa harjoittavia yrityksiä (yhteissijoitusyritykset) koskevien lakien, asetusten ja hallinnollisten määräysten yhteensovittamisesta (EUVL L 302, 17.11.2009, s. 32).</w:t>
      </w:r>
    </w:p>
  </w:footnote>
  <w:footnote w:id="51">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Neuvoston asetus (EY) N:o 2157/2001, annettu 8 päivänä lokakuuta 2001, eurooppayhtiön (SE) säännöistä (EYVL L 294, 10.11.2001, s. 1–21).</w:t>
      </w:r>
    </w:p>
  </w:footnote>
  <w:footnote w:id="52">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Euroopan parlamentin ja neuvoston direktiivi (EU) 2017/1132, annettu 14 päivänä kesäkuuta 2017, tietyistä yhtiöoikeuden osa-alueista (EUVL L 169, 30.6.2017, s. 46).</w:t>
      </w:r>
    </w:p>
  </w:footnote>
  <w:footnote w:id="53">
    <w:p>
      <w:pPr>
        <w:pStyle w:val="FootnoteText"/>
        <w:rPr>
          <w:rStyle w:val="FootnoteReference"/>
        </w:rPr>
      </w:pPr>
      <w:r>
        <w:rPr>
          <w:rStyle w:val="FootnoteReference"/>
        </w:rPr>
        <w:footnoteRef/>
      </w:r>
      <w:r>
        <w:rPr>
          <w:rStyle w:val="FootnoteReference"/>
        </w:rPr>
        <w:tab/>
      </w:r>
      <w:r>
        <w:rPr>
          <w:rStyle w:val="FootnoteReference"/>
          <w:vertAlign w:val="baseline"/>
        </w:rPr>
        <w:t>Ehdotus Euroopan parlamentin ja neuvoston asetukseksi kryptovarojen markkinoista ja direktiivin (EU) 2019/1937 muuttamisesta – COM (2020) 593.</w:t>
      </w:r>
    </w:p>
  </w:footnote>
  <w:footnote w:id="54">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Ehdotus Euroopan parlamentin ja neuvoston direktiiviksi direktiivien 2006/43/EY, 2009/65/EY, 2009/138/EU, 2011/61/EU, 2013/36/EU, 2014/65/EU, (EU) 2015/2366 ja (EU) 2016/2341 muuttamisesta – COM(2020) 596.</w:t>
      </w:r>
    </w:p>
  </w:footnote>
  <w:footnote w:id="55">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Ehdotus Euroopan parlamentin ja neuvoston direktiiviksi direktiivien 2006/43/EY, 2009/65/EY, 2009/138/EY, 2011/61/EU, 2013/36/EU, 2014/65/EU, (EU) 2015/2366 ja (EU) 2016/2341 muuttamisesta – COM(2020) 596.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31A26B2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36270BE"/>
    <w:lvl w:ilvl="0">
      <w:start w:val="1"/>
      <w:numFmt w:val="decimal"/>
      <w:pStyle w:val="ListNumber3"/>
      <w:lvlText w:val="%1."/>
      <w:lvlJc w:val="left"/>
      <w:pPr>
        <w:tabs>
          <w:tab w:val="num" w:pos="926"/>
        </w:tabs>
        <w:ind w:left="926" w:hanging="360"/>
      </w:pPr>
    </w:lvl>
  </w:abstractNum>
  <w:abstractNum w:abstractNumId="2">
    <w:nsid w:val="FFFFFF7F"/>
    <w:multiLevelType w:val="singleLevel"/>
    <w:tmpl w:val="C1F41F08"/>
    <w:lvl w:ilvl="0">
      <w:start w:val="1"/>
      <w:numFmt w:val="decimal"/>
      <w:pStyle w:val="ListNumber2"/>
      <w:lvlText w:val="%1."/>
      <w:lvlJc w:val="left"/>
      <w:pPr>
        <w:tabs>
          <w:tab w:val="num" w:pos="643"/>
        </w:tabs>
        <w:ind w:left="643" w:hanging="360"/>
      </w:pPr>
    </w:lvl>
  </w:abstractNum>
  <w:abstractNum w:abstractNumId="3">
    <w:nsid w:val="FFFFFF81"/>
    <w:multiLevelType w:val="singleLevel"/>
    <w:tmpl w:val="3BB4E84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BEF0A3C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810C5B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5BA8D398"/>
    <w:lvl w:ilvl="0">
      <w:start w:val="1"/>
      <w:numFmt w:val="decimal"/>
      <w:pStyle w:val="ListNumber"/>
      <w:lvlText w:val="%1."/>
      <w:lvlJc w:val="left"/>
      <w:pPr>
        <w:tabs>
          <w:tab w:val="num" w:pos="360"/>
        </w:tabs>
        <w:ind w:left="360" w:hanging="360"/>
      </w:pPr>
    </w:lvl>
  </w:abstractNum>
  <w:abstractNum w:abstractNumId="7">
    <w:nsid w:val="FFFFFF89"/>
    <w:multiLevelType w:val="singleLevel"/>
    <w:tmpl w:val="A0B26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3">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4">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nsid w:val="71F06166"/>
    <w:multiLevelType w:val="multilevel"/>
    <w:tmpl w:val="F1804F12"/>
    <w:name w:val="0.6719891"/>
    <w:lvl w:ilvl="0">
      <w:start w:val="1"/>
      <w:numFmt w:val="decimal"/>
      <w:lvlRestart w:val="0"/>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3"/>
  </w:num>
  <w:num w:numId="6">
    <w:abstractNumId w:val="6"/>
  </w:num>
  <w:num w:numId="7">
    <w:abstractNumId w:val="2"/>
  </w:num>
  <w:num w:numId="8">
    <w:abstractNumId w:val="1"/>
  </w:num>
  <w:num w:numId="9">
    <w:abstractNumId w:val="0"/>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num>
  <w:num w:numId="30">
    <w:abstractNumId w:val="8"/>
  </w:num>
  <w:num w:numId="31">
    <w:abstractNumId w:val="17"/>
  </w:num>
  <w:num w:numId="32">
    <w:abstractNumId w:val="23"/>
  </w:num>
  <w:num w:numId="33">
    <w:abstractNumId w:val="22"/>
  </w:num>
  <w:num w:numId="34">
    <w:abstractNumId w:val="30"/>
  </w:num>
  <w:num w:numId="35">
    <w:abstractNumId w:val="9"/>
  </w:num>
  <w:num w:numId="36">
    <w:abstractNumId w:val="18"/>
  </w:num>
  <w:num w:numId="37">
    <w:abstractNumId w:val="10"/>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6"/>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num>
  <w:num w:numId="45">
    <w:abstractNumId w:val="31"/>
    <w:lvlOverride w:ilvl="0">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7"/>
  </w:num>
  <w:num w:numId="52">
    <w:abstractNumId w:val="19"/>
  </w:num>
  <w:num w:numId="53">
    <w:abstractNumId w:val="29"/>
  </w:num>
  <w:num w:numId="54">
    <w:abstractNumId w:val="15"/>
  </w:num>
  <w:num w:numId="55">
    <w:abstractNumId w:val="20"/>
  </w:num>
  <w:num w:numId="56">
    <w:abstractNumId w:val="12"/>
  </w:num>
  <w:num w:numId="57">
    <w:abstractNumId w:val="28"/>
  </w:num>
  <w:num w:numId="58">
    <w:abstractNumId w:val="11"/>
  </w:num>
  <w:num w:numId="59">
    <w:abstractNumId w:val="21"/>
  </w:num>
  <w:num w:numId="60">
    <w:abstractNumId w:val="25"/>
  </w:num>
  <w:num w:numId="61">
    <w:abstractNumId w:val="26"/>
  </w:num>
  <w:num w:numId="62">
    <w:abstractNumId w:val="14"/>
  </w:num>
  <w:num w:numId="63">
    <w:abstractNumId w:val="24"/>
  </w:num>
  <w:num w:numId="64">
    <w:abstractNumId w:val="3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da-DK" w:vendorID="64" w:dllVersion="131078" w:nlCheck="1" w:checkStyle="0"/>
  <w:activeWritingStyle w:appName="MSWord" w:lang="fr-FR" w:vendorID="64" w:dllVersion="131078" w:nlCheck="1" w:checkStyle="0"/>
  <w:activeWritingStyle w:appName="MSWord" w:lang="fi-FI" w:vendorID="64" w:dllVersion="131078" w:nlCheck="1" w:checkStyle="0"/>
  <w:attachedTemplate r:id="rId1"/>
  <w:revisionView w:markup="0"/>
  <w:defaultTabStop w:val="720"/>
  <w:hyphenationZone w:val="425"/>
  <w:characterSpacingControl w:val="doNotCompress"/>
  <w:hdrShapeDefaults>
    <o:shapedefaults v:ext="edit" spidmax="2109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0-11-11 15:28:51"/>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75"/>
    <w:docVar w:name="DQCResult_ModifiedMarkers" w:val="0;0"/>
    <w:docVar w:name="DQCResult_ModifiedNumbering" w:val="0;0"/>
    <w:docVar w:name="DQCResult_Objects" w:val="0;0"/>
    <w:docVar w:name="DQCResult_Sections" w:val="0;0"/>
    <w:docVar w:name="DQCResult_StructureCheck" w:val="0;0"/>
    <w:docVar w:name="DQCResult_SuperfluousWhitespace" w:val="0;72"/>
    <w:docVar w:name="DQCResult_UnknownFonts" w:val="0;0"/>
    <w:docVar w:name="DQCResult_UnknownStyles" w:val="0;2"/>
    <w:docVar w:name="DQCStatus" w:val="Green"/>
    <w:docVar w:name="DQCVersion" w:val="3"/>
    <w:docVar w:name="DQCWithWarnings" w:val="0"/>
    <w:docVar w:name="LW_CORRIGENDUM" w:val="&lt;UNUSED&gt;"/>
    <w:docVar w:name="LW_COVERPAGE_EXISTS" w:val="True"/>
    <w:docVar w:name="LW_COVERPAGE_GUID" w:val="BBE7E921-C470-4529-B4DE-EFD0D0DEB707"/>
    <w:docVar w:name="LW_COVERPAGE_TYPE" w:val="1"/>
    <w:docVar w:name="LW_CROSSREFERENCE" w:val="{SEC(2020) 308 final} - {SWD(2020) 201 final} - {SWD(2020) 202 final}"/>
    <w:docVar w:name="LW_DocType" w:val="COM"/>
    <w:docVar w:name="LW_EMISSION" w:val="24.9.2020"/>
    <w:docVar w:name="LW_EMISSION_ISODATE" w:val="2020-09-24"/>
    <w:docVar w:name="LW_EMISSION_LOCATION" w:val="BRX"/>
    <w:docVar w:name="LW_EMISSION_PREFIX" w:val="Bryssel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 w:val="(ETA:n kannalta merkityksellinen teksti)"/>
    <w:docVar w:name="LW_INTERETEEE.CP" w:val="(ETA:n kannalta merkityksellinen teksti)"/>
    <w:docVar w:name="LW_LANGUE" w:val="FI"/>
    <w:docVar w:name="LW_LEVEL_OF_SENSITIVITY" w:val="Standard treatment"/>
    <w:docVar w:name="LW_NOM.INST" w:val="EUROOPAN KOMISSIO"/>
    <w:docVar w:name="LW_NOM.INST_JOINTDOC" w:val="&lt;EMPTY&gt;"/>
    <w:docVar w:name="LW_PART_NBR" w:val="1"/>
    <w:docVar w:name="LW_PART_NBR_TOTAL" w:val="1"/>
    <w:docVar w:name="LW_REF.II.NEW.CP" w:val="COD"/>
    <w:docVar w:name="LW_REF.II.NEW.CP_NUMBER" w:val="0267"/>
    <w:docVar w:name="LW_REF.II.NEW.CP_YEAR" w:val="2020"/>
    <w:docVar w:name="LW_REF.INST.NEW" w:val="COM"/>
    <w:docVar w:name="LW_REF.INST.NEW_ADOPTED" w:val="final"/>
    <w:docVar w:name="LW_REF.INST.NEW_TEXT" w:val="(2020) 59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Ehdotus"/>
    <w:docVar w:name="LW_STATUT.CP" w:val="Ehdotus"/>
    <w:docVar w:name="LW_SUPERTITRE" w:val="&lt;UNUSED&gt;"/>
    <w:docVar w:name="LW_TITRE.OBJ" w:val="hajautetun tilikirjan teknologiaan perustuvien markkinainfrastruktuurien pilottijärjestelmästä"/>
    <w:docVar w:name="LW_TITRE.OBJ.CP" w:val="hajautetun tilikirjan teknologiaan perustuvien markkinainfrastruktuurien pilottijärjestelmästä"/>
    <w:docVar w:name="LW_TYPE.DOC" w:val="EUROOPAN PARLAMENTIN JA NEUVOSTON ASETUS"/>
    <w:docVar w:name="LW_TYPE.DOC.CP" w:val="EUROOPAN PARLAMENTIN JA NEUVOSTON ASETU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09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able of figures" w:uiPriority="0"/>
    <w:lsdException w:name="footnote reference"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i-FI"/>
    </w:rPr>
  </w:style>
  <w:style w:type="paragraph" w:styleId="Heading1">
    <w:name w:val="heading 1"/>
    <w:basedOn w:val="Normal"/>
    <w:next w:val="Text1"/>
    <w:link w:val="Heading1Char"/>
    <w:uiPriority w:val="9"/>
    <w:qFormat/>
    <w:pPr>
      <w:keepNext/>
      <w:numPr>
        <w:numId w:val="5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4">
    <w:name w:val="CM4"/>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Emphasis">
    <w:name w:val="Emphasis"/>
    <w:basedOn w:val="DefaultParagraphFont"/>
    <w:uiPriority w:val="20"/>
    <w:qFormat/>
    <w:rPr>
      <w:i/>
      <w:iCs/>
    </w:rPr>
  </w:style>
  <w:style w:type="paragraph" w:styleId="BalloonText">
    <w:name w:val="Balloon Text"/>
    <w:basedOn w:val="Normal"/>
    <w:link w:val="BalloonTextChar"/>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fi-FI"/>
    </w:rPr>
  </w:style>
  <w:style w:type="character" w:styleId="Hyperlink">
    <w:name w:val="Hyperlink"/>
    <w:basedOn w:val="DefaultParagraphFont"/>
    <w:unhideWhenUsed/>
    <w:rPr>
      <w:color w:val="0000FF"/>
      <w:u w:val="single"/>
    </w:rPr>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hidden">
    <w:name w:val="hidden"/>
    <w:basedOn w:val="Normal"/>
    <w:pPr>
      <w:spacing w:before="0" w:after="150"/>
      <w:jc w:val="left"/>
    </w:pPr>
    <w:rPr>
      <w:rFonts w:eastAsia="Times New Roman"/>
      <w:vanish/>
      <w:szCs w:val="24"/>
    </w:rPr>
  </w:style>
  <w:style w:type="paragraph" w:styleId="NoSpacing">
    <w:name w:val="No Spacing"/>
    <w:uiPriority w:val="1"/>
    <w:qFormat/>
    <w:pPr>
      <w:spacing w:after="0" w:line="240" w:lineRule="auto"/>
    </w:pPr>
  </w:style>
  <w:style w:type="paragraph" w:styleId="ListParagraph">
    <w:name w:val="List Paragraph"/>
    <w:aliases w:val="Issue Action POC,List Paragraph1,3,POCG Table Text,Dot pt,F5 List Paragraph,List Paragraph Char Char Char,Indicator Text,Colorful List - Accent 11,Numbered Para 1,Bullet Points,List Paragraph2,MAIN CONTENT,Normal numbered,EC,No Spacing1"/>
    <w:basedOn w:val="Normal"/>
    <w:link w:val="ListParagraphChar"/>
    <w:uiPriority w:val="34"/>
    <w:qFormat/>
    <w:pPr>
      <w:ind w:left="720"/>
      <w:contextualSpacing/>
    </w:p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character" w:customStyle="1" w:styleId="e24kjd">
    <w:name w:val="e24kjd"/>
    <w:basedOn w:val="DefaultParagraphFont"/>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i-FI"/>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fi-FI"/>
    </w:rPr>
  </w:style>
  <w:style w:type="character" w:customStyle="1" w:styleId="highlight">
    <w:name w:val="highlight"/>
    <w:basedOn w:val="DefaultParagraphFont"/>
  </w:style>
  <w:style w:type="character" w:customStyle="1" w:styleId="ListParagraphChar">
    <w:name w:val="List Paragraph Char"/>
    <w:aliases w:val="Issue Action POC Char,List Paragraph1 Char,3 Char,POCG Table Text Char,Dot pt Char,F5 List Paragraph Char,List Paragraph Char Char Char Char,Indicator Text Char,Colorful List - Accent 11 Char,Numbered Para 1 Char,Bullet Points Char"/>
    <w:basedOn w:val="DefaultParagraphFont"/>
    <w:link w:val="ListParagraph"/>
    <w:uiPriority w:val="34"/>
    <w:qFormat/>
    <w:locked/>
    <w:rPr>
      <w:rFonts w:ascii="Times New Roman" w:hAnsi="Times New Roman" w:cs="Times New Roman"/>
      <w:sz w:val="24"/>
      <w:lang w:val="fi-FI"/>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rPr>
  </w:style>
  <w:style w:type="character" w:customStyle="1" w:styleId="NotDeclassifiedCharacter">
    <w:name w:val="Not Declassified Character"/>
    <w:basedOn w:val="DefaultParagraphFont"/>
    <w:rPr>
      <w:rFonts w:ascii="Times New Roman" w:hAnsi="Times New Roman" w:cs="Times New Roman"/>
      <w:b/>
      <w:sz w:val="24"/>
      <w:shd w:val="clear" w:color="auto" w:fill="CCCCCC"/>
    </w:rPr>
  </w:style>
  <w:style w:type="paragraph" w:customStyle="1" w:styleId="Body">
    <w:name w:val="Body"/>
    <w:pPr>
      <w:pBdr>
        <w:top w:val="nil"/>
        <w:left w:val="nil"/>
        <w:bottom w:val="nil"/>
        <w:right w:val="nil"/>
        <w:between w:val="nil"/>
        <w:bar w:val="nil"/>
      </w:pBdr>
      <w:spacing w:before="120" w:after="120" w:line="240" w:lineRule="auto"/>
      <w:jc w:val="both"/>
    </w:pPr>
    <w:rPr>
      <w:rFonts w:ascii="Times New Roman" w:eastAsia="Arial Unicode MS" w:hAnsi="Times New Roman" w:cs="Arial Unicode MS"/>
      <w:color w:val="000000"/>
      <w:sz w:val="24"/>
      <w:szCs w:val="24"/>
      <w:u w:color="000000"/>
      <w:bdr w:val="nil"/>
    </w:rPr>
  </w:style>
  <w:style w:type="paragraph" w:customStyle="1" w:styleId="Heading123">
    <w:name w:val="Heading 123"/>
    <w:basedOn w:val="Normal"/>
    <w:next w:val="Normal"/>
    <w:pPr>
      <w:numPr>
        <w:numId w:val="5"/>
      </w:numPr>
      <w:spacing w:before="360" w:line="360" w:lineRule="auto"/>
      <w:jc w:val="left"/>
      <w:outlineLvl w:val="0"/>
    </w:pPr>
    <w:rPr>
      <w:b/>
      <w:caps/>
      <w:u w:val="single"/>
    </w:rPr>
  </w:style>
  <w:style w:type="table" w:styleId="TableGrid">
    <w:name w:val="Table Grid"/>
    <w:aliases w:val="Document Table,CV1,Tabellengitternetz"/>
    <w:basedOn w:val="TableNormal"/>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Point">
    <w:name w:val="16 Point"/>
    <w:aliases w:val="Superscript 6 Point,Footnote reference number,Odwołanie przypisu,number,2001+ Fußnotenzeichen"/>
    <w:basedOn w:val="Normal"/>
    <w:uiPriority w:val="99"/>
    <w:pPr>
      <w:spacing w:before="0" w:after="160" w:line="240" w:lineRule="exact"/>
      <w:jc w:val="left"/>
    </w:pPr>
    <w:rPr>
      <w:rFonts w:asciiTheme="minorHAnsi" w:hAnsiTheme="minorHAnsi" w:cstheme="minorBidi"/>
      <w:sz w:val="22"/>
      <w:vertAlign w:val="superscript"/>
    </w:rPr>
  </w:style>
  <w:style w:type="paragraph" w:customStyle="1" w:styleId="doc-ti">
    <w:name w:val="doc-ti"/>
    <w:basedOn w:val="Normal"/>
    <w:pPr>
      <w:spacing w:before="100" w:beforeAutospacing="1" w:after="100" w:afterAutospacing="1"/>
      <w:jc w:val="left"/>
    </w:pPr>
    <w:rPr>
      <w:rFonts w:eastAsia="Times New Roman"/>
      <w:szCs w:val="24"/>
    </w:rPr>
  </w:style>
  <w:style w:type="paragraph" w:styleId="Caption">
    <w:name w:val="caption"/>
    <w:basedOn w:val="Normal"/>
    <w:next w:val="Normal"/>
    <w:unhideWhenUsed/>
    <w:qFormat/>
    <w:pPr>
      <w:spacing w:before="0" w:after="200"/>
    </w:pPr>
    <w:rPr>
      <w:i/>
      <w:iCs/>
      <w:color w:val="1F497D" w:themeColor="text2"/>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6"/>
      </w:numPr>
      <w:contextualSpacing/>
    </w:pPr>
  </w:style>
  <w:style w:type="paragraph" w:styleId="ListNumber2">
    <w:name w:val="List Number 2"/>
    <w:basedOn w:val="Normal"/>
    <w:unhideWhenUsed/>
    <w:pPr>
      <w:numPr>
        <w:numId w:val="7"/>
      </w:numPr>
      <w:contextualSpacing/>
    </w:pPr>
  </w:style>
  <w:style w:type="paragraph" w:styleId="ListNumber3">
    <w:name w:val="List Number 3"/>
    <w:basedOn w:val="Normal"/>
    <w:unhideWhenUsed/>
    <w:pPr>
      <w:numPr>
        <w:numId w:val="8"/>
      </w:numPr>
      <w:contextualSpacing/>
    </w:pPr>
  </w:style>
  <w:style w:type="paragraph" w:styleId="ListNumber4">
    <w:name w:val="List Number 4"/>
    <w:basedOn w:val="Normal"/>
    <w:unhideWhenUsed/>
    <w:pPr>
      <w:numPr>
        <w:numId w:val="9"/>
      </w:numPr>
      <w:contextualSpacing/>
    </w:pPr>
  </w:style>
  <w:style w:type="character" w:styleId="FollowedHyperlink">
    <w:name w:val="FollowedHyperlink"/>
    <w:basedOn w:val="DefaultParagraphFont"/>
    <w:unhideWhenUsed/>
    <w:rPr>
      <w:color w:val="800080" w:themeColor="followedHyperlink"/>
      <w:u w:val="single"/>
    </w:rPr>
  </w:style>
  <w:style w:type="paragraph" w:customStyle="1" w:styleId="ListBullet1">
    <w:name w:val="List Bullet 1"/>
    <w:basedOn w:val="Normal"/>
    <w:pPr>
      <w:numPr>
        <w:numId w:val="30"/>
      </w:numPr>
    </w:pPr>
    <w:rPr>
      <w:rFonts w:eastAsia="Times New Roman"/>
    </w:rPr>
  </w:style>
  <w:style w:type="paragraph" w:customStyle="1" w:styleId="ListDash">
    <w:name w:val="List Dash"/>
    <w:basedOn w:val="Normal"/>
    <w:pPr>
      <w:numPr>
        <w:numId w:val="31"/>
      </w:numPr>
    </w:pPr>
    <w:rPr>
      <w:rFonts w:eastAsia="Times New Roman"/>
    </w:rPr>
  </w:style>
  <w:style w:type="paragraph" w:customStyle="1" w:styleId="ListDash1">
    <w:name w:val="List Dash 1"/>
    <w:basedOn w:val="Normal"/>
    <w:pPr>
      <w:numPr>
        <w:numId w:val="32"/>
      </w:numPr>
    </w:pPr>
    <w:rPr>
      <w:rFonts w:eastAsia="Times New Roman"/>
    </w:rPr>
  </w:style>
  <w:style w:type="paragraph" w:customStyle="1" w:styleId="ListDash2">
    <w:name w:val="List Dash 2"/>
    <w:basedOn w:val="Normal"/>
    <w:pPr>
      <w:numPr>
        <w:numId w:val="33"/>
      </w:numPr>
    </w:pPr>
    <w:rPr>
      <w:rFonts w:eastAsia="Times New Roman"/>
    </w:rPr>
  </w:style>
  <w:style w:type="paragraph" w:customStyle="1" w:styleId="ListNumberLevel2">
    <w:name w:val="List Number (Level 2)"/>
    <w:basedOn w:val="Normal"/>
    <w:pPr>
      <w:tabs>
        <w:tab w:val="num" w:pos="1417"/>
      </w:tabs>
      <w:ind w:left="1417" w:hanging="708"/>
    </w:pPr>
    <w:rPr>
      <w:rFonts w:eastAsia="Times New Roman"/>
    </w:rPr>
  </w:style>
  <w:style w:type="paragraph" w:customStyle="1" w:styleId="ListNumberLevel3">
    <w:name w:val="List Number (Level 3)"/>
    <w:basedOn w:val="Normal"/>
    <w:pPr>
      <w:tabs>
        <w:tab w:val="num" w:pos="2126"/>
      </w:tabs>
      <w:ind w:left="2126" w:hanging="709"/>
    </w:pPr>
    <w:rPr>
      <w:rFonts w:eastAsia="Times New Roman"/>
    </w:rPr>
  </w:style>
  <w:style w:type="paragraph" w:customStyle="1" w:styleId="ListNumberLevel4">
    <w:name w:val="List Number (Level 4)"/>
    <w:basedOn w:val="Normal"/>
    <w:pPr>
      <w:tabs>
        <w:tab w:val="num" w:pos="2835"/>
      </w:tabs>
      <w:ind w:left="2835" w:hanging="709"/>
    </w:pPr>
    <w:rPr>
      <w:rFonts w:eastAsia="Times New Roman"/>
    </w:rPr>
  </w:style>
  <w:style w:type="paragraph" w:customStyle="1" w:styleId="ListDash3">
    <w:name w:val="List Dash 3"/>
    <w:basedOn w:val="Normal"/>
    <w:pPr>
      <w:numPr>
        <w:numId w:val="35"/>
      </w:numPr>
    </w:pPr>
    <w:rPr>
      <w:rFonts w:eastAsia="Times New Roman"/>
    </w:rPr>
  </w:style>
  <w:style w:type="paragraph" w:customStyle="1" w:styleId="ListDash4">
    <w:name w:val="List Dash 4"/>
    <w:basedOn w:val="Normal"/>
    <w:pPr>
      <w:numPr>
        <w:numId w:val="36"/>
      </w:numPr>
    </w:pPr>
    <w:rPr>
      <w:rFonts w:eastAsia="Times New Roman"/>
    </w:rPr>
  </w:style>
  <w:style w:type="paragraph" w:customStyle="1" w:styleId="ListNumber1">
    <w:name w:val="List Number 1"/>
    <w:basedOn w:val="Text1"/>
    <w:pPr>
      <w:numPr>
        <w:numId w:val="37"/>
      </w:numPr>
    </w:pPr>
    <w:rPr>
      <w:rFonts w:eastAsia="Times New Roman"/>
    </w:rPr>
  </w:style>
  <w:style w:type="paragraph" w:customStyle="1" w:styleId="ListNumber1Level2">
    <w:name w:val="List Number 1 (Level 2)"/>
    <w:basedOn w:val="Text1"/>
    <w:pPr>
      <w:numPr>
        <w:ilvl w:val="1"/>
        <w:numId w:val="37"/>
      </w:numPr>
    </w:pPr>
    <w:rPr>
      <w:rFonts w:eastAsia="Times New Roman"/>
    </w:rPr>
  </w:style>
  <w:style w:type="paragraph" w:customStyle="1" w:styleId="ListNumber2Level2">
    <w:name w:val="List Number 2 (Level 2)"/>
    <w:basedOn w:val="Text2"/>
    <w:pPr>
      <w:tabs>
        <w:tab w:val="num" w:pos="2268"/>
      </w:tabs>
      <w:ind w:left="2268" w:hanging="708"/>
    </w:pPr>
    <w:rPr>
      <w:rFonts w:eastAsia="Times New Roman"/>
    </w:rPr>
  </w:style>
  <w:style w:type="paragraph" w:customStyle="1" w:styleId="ListNumber3Level2">
    <w:name w:val="List Number 3 (Level 2)"/>
    <w:basedOn w:val="Text3"/>
    <w:pPr>
      <w:tabs>
        <w:tab w:val="num" w:pos="2268"/>
      </w:tabs>
      <w:ind w:left="2268" w:hanging="708"/>
    </w:pPr>
    <w:rPr>
      <w:rFonts w:eastAsia="Times New Roman"/>
    </w:rPr>
  </w:style>
  <w:style w:type="paragraph" w:customStyle="1" w:styleId="ListNumber4Level2">
    <w:name w:val="List Number 4 (Level 2)"/>
    <w:basedOn w:val="Text4"/>
    <w:pPr>
      <w:tabs>
        <w:tab w:val="num" w:pos="2268"/>
      </w:tabs>
      <w:ind w:left="2268" w:hanging="708"/>
    </w:pPr>
    <w:rPr>
      <w:rFonts w:eastAsia="Times New Roman"/>
    </w:rPr>
  </w:style>
  <w:style w:type="paragraph" w:customStyle="1" w:styleId="ListNumber1Level3">
    <w:name w:val="List Number 1 (Level 3)"/>
    <w:basedOn w:val="Text1"/>
    <w:pPr>
      <w:numPr>
        <w:ilvl w:val="2"/>
        <w:numId w:val="37"/>
      </w:numPr>
    </w:pPr>
    <w:rPr>
      <w:rFonts w:eastAsia="Times New Roman"/>
    </w:rPr>
  </w:style>
  <w:style w:type="paragraph" w:customStyle="1" w:styleId="ListNumber2Level3">
    <w:name w:val="List Number 2 (Level 3)"/>
    <w:basedOn w:val="Text2"/>
    <w:pPr>
      <w:tabs>
        <w:tab w:val="num" w:pos="2977"/>
      </w:tabs>
      <w:ind w:left="2977" w:hanging="709"/>
    </w:pPr>
    <w:rPr>
      <w:rFonts w:eastAsia="Times New Roman"/>
    </w:rPr>
  </w:style>
  <w:style w:type="paragraph" w:customStyle="1" w:styleId="ListNumber3Level3">
    <w:name w:val="List Number 3 (Level 3)"/>
    <w:basedOn w:val="Text3"/>
    <w:pPr>
      <w:tabs>
        <w:tab w:val="num" w:pos="2977"/>
      </w:tabs>
      <w:ind w:left="2977" w:hanging="709"/>
    </w:pPr>
    <w:rPr>
      <w:rFonts w:eastAsia="Times New Roman"/>
    </w:rPr>
  </w:style>
  <w:style w:type="paragraph" w:customStyle="1" w:styleId="ListNumber4Level3">
    <w:name w:val="List Number 4 (Level 3)"/>
    <w:basedOn w:val="Text4"/>
    <w:pPr>
      <w:tabs>
        <w:tab w:val="num" w:pos="2977"/>
      </w:tabs>
      <w:ind w:left="2977" w:hanging="709"/>
    </w:pPr>
    <w:rPr>
      <w:rFonts w:eastAsia="Times New Roman"/>
    </w:rPr>
  </w:style>
  <w:style w:type="paragraph" w:customStyle="1" w:styleId="ListNumber1Level4">
    <w:name w:val="List Number 1 (Level 4)"/>
    <w:basedOn w:val="Text1"/>
    <w:pPr>
      <w:numPr>
        <w:ilvl w:val="3"/>
        <w:numId w:val="37"/>
      </w:numPr>
    </w:pPr>
    <w:rPr>
      <w:rFonts w:eastAsia="Times New Roman"/>
    </w:rPr>
  </w:style>
  <w:style w:type="paragraph" w:customStyle="1" w:styleId="ListNumber2Level4">
    <w:name w:val="List Number 2 (Level 4)"/>
    <w:basedOn w:val="Text2"/>
    <w:pPr>
      <w:tabs>
        <w:tab w:val="num" w:pos="3686"/>
      </w:tabs>
      <w:ind w:left="3686" w:hanging="709"/>
    </w:pPr>
    <w:rPr>
      <w:rFonts w:eastAsia="Times New Roman"/>
    </w:rPr>
  </w:style>
  <w:style w:type="paragraph" w:customStyle="1" w:styleId="ListNumber3Level4">
    <w:name w:val="List Number 3 (Level 4)"/>
    <w:basedOn w:val="Text3"/>
    <w:pPr>
      <w:tabs>
        <w:tab w:val="num" w:pos="3686"/>
      </w:tabs>
      <w:ind w:left="3686" w:hanging="709"/>
    </w:pPr>
    <w:rPr>
      <w:rFonts w:eastAsia="Times New Roman"/>
    </w:rPr>
  </w:style>
  <w:style w:type="paragraph" w:customStyle="1" w:styleId="ListNumber4Level4">
    <w:name w:val="List Number 4 (Level 4)"/>
    <w:basedOn w:val="Text4"/>
    <w:pPr>
      <w:tabs>
        <w:tab w:val="num" w:pos="3686"/>
      </w:tabs>
      <w:ind w:left="3686" w:hanging="709"/>
    </w:pPr>
    <w:rPr>
      <w:rFonts w:eastAsia="Times New Roman"/>
    </w:rPr>
  </w:style>
  <w:style w:type="paragraph" w:customStyle="1" w:styleId="Annexetitreacte">
    <w:name w:val="Annexe titre (acte)"/>
    <w:basedOn w:val="Normal"/>
    <w:next w:val="Normal"/>
    <w:pPr>
      <w:jc w:val="center"/>
    </w:pPr>
    <w:rPr>
      <w:rFonts w:eastAsia="Times New Roman"/>
      <w:b/>
      <w:u w:val="single"/>
    </w:rPr>
  </w:style>
  <w:style w:type="paragraph" w:customStyle="1" w:styleId="Annexetitreexposglobal">
    <w:name w:val="Annexe titre (exposé global)"/>
    <w:basedOn w:val="Normal"/>
    <w:next w:val="Normal"/>
    <w:pPr>
      <w:jc w:val="center"/>
    </w:pPr>
    <w:rPr>
      <w:rFonts w:eastAsia="Times New Roman"/>
      <w:b/>
      <w:u w:val="single"/>
    </w:rPr>
  </w:style>
  <w:style w:type="paragraph" w:customStyle="1" w:styleId="Annexetitrefichefinacte">
    <w:name w:val="Annexe titre (fiche fin. acte)"/>
    <w:basedOn w:val="Normal"/>
    <w:next w:val="Normal"/>
    <w:pPr>
      <w:jc w:val="center"/>
    </w:pPr>
    <w:rPr>
      <w:rFonts w:eastAsia="Times New Roman"/>
      <w:b/>
      <w:u w:val="single"/>
    </w:rPr>
  </w:style>
  <w:style w:type="paragraph" w:customStyle="1" w:styleId="Annexetitrefichefinglobale">
    <w:name w:val="Annexe titre (fiche fin. globale)"/>
    <w:basedOn w:val="Normal"/>
    <w:next w:val="Normal"/>
    <w:pPr>
      <w:jc w:val="center"/>
    </w:pPr>
    <w:rPr>
      <w:rFonts w:eastAsia="Times New Roman"/>
      <w:b/>
      <w:u w:val="single"/>
    </w:rPr>
  </w:style>
  <w:style w:type="paragraph" w:customStyle="1" w:styleId="Annexetitreglobale">
    <w:name w:val="Annexe titre (globale)"/>
    <w:basedOn w:val="Normal"/>
    <w:next w:val="Normal"/>
    <w:pPr>
      <w:jc w:val="center"/>
    </w:pPr>
    <w:rPr>
      <w:rFonts w:eastAsia="Times New Roman"/>
      <w:b/>
      <w:u w:val="single"/>
    </w:rPr>
  </w:style>
  <w:style w:type="paragraph" w:customStyle="1" w:styleId="Exposdesmotifstitreglobal">
    <w:name w:val="Exposé des motifs titre (global)"/>
    <w:basedOn w:val="Normal"/>
    <w:next w:val="Normal"/>
    <w:pPr>
      <w:jc w:val="center"/>
    </w:pPr>
    <w:rPr>
      <w:rFonts w:eastAsia="Times New Roman"/>
      <w:b/>
      <w:u w:val="single"/>
    </w:rPr>
  </w:style>
  <w:style w:type="paragraph" w:customStyle="1" w:styleId="Langueoriginale">
    <w:name w:val="Langue originale"/>
    <w:basedOn w:val="Normal"/>
    <w:pPr>
      <w:spacing w:before="360"/>
      <w:jc w:val="center"/>
    </w:pPr>
    <w:rPr>
      <w:rFonts w:eastAsia="Times New Roman"/>
      <w:caps/>
    </w:rPr>
  </w:style>
  <w:style w:type="paragraph" w:customStyle="1" w:styleId="Phrasefinale">
    <w:name w:val="Phrase finale"/>
    <w:basedOn w:val="Normal"/>
    <w:next w:val="Normal"/>
    <w:pPr>
      <w:spacing w:before="360" w:after="0"/>
      <w:jc w:val="center"/>
    </w:pPr>
    <w:rPr>
      <w:rFonts w:eastAsia="Times New Roman"/>
    </w:rPr>
  </w:style>
  <w:style w:type="paragraph" w:customStyle="1" w:styleId="Prliminairetitre">
    <w:name w:val="Préliminaire titre"/>
    <w:basedOn w:val="Normal"/>
    <w:next w:val="Normal"/>
    <w:pPr>
      <w:spacing w:before="360" w:after="360"/>
      <w:jc w:val="center"/>
    </w:pPr>
    <w:rPr>
      <w:rFonts w:eastAsia="Times New Roman"/>
      <w:b/>
    </w:rPr>
  </w:style>
  <w:style w:type="paragraph" w:customStyle="1" w:styleId="Prliminairetype">
    <w:name w:val="Préliminaire type"/>
    <w:basedOn w:val="Normal"/>
    <w:next w:val="Normal"/>
    <w:pPr>
      <w:spacing w:before="360" w:after="0"/>
      <w:jc w:val="center"/>
    </w:pPr>
    <w:rPr>
      <w:rFonts w:eastAsia="Times New Roman"/>
      <w:b/>
    </w:rPr>
  </w:style>
  <w:style w:type="paragraph" w:customStyle="1" w:styleId="Rfrenceinstitutionelle">
    <w:name w:val="Référence institutionelle"/>
    <w:basedOn w:val="Normal"/>
    <w:next w:val="Statut"/>
    <w:pPr>
      <w:spacing w:before="0" w:after="240"/>
      <w:ind w:left="5103"/>
      <w:jc w:val="left"/>
    </w:pPr>
    <w:rPr>
      <w:rFonts w:eastAsia="Times New Roman"/>
    </w:rPr>
  </w:style>
  <w:style w:type="paragraph" w:customStyle="1" w:styleId="Rfrenceinterinstitutionelle">
    <w:name w:val="Référence interinstitutionelle"/>
    <w:basedOn w:val="Normal"/>
    <w:next w:val="Statut"/>
    <w:pPr>
      <w:spacing w:before="0" w:after="0"/>
      <w:ind w:left="5103"/>
      <w:jc w:val="left"/>
    </w:pPr>
    <w:rPr>
      <w:rFonts w:eastAsia="Times New Roman"/>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rPr>
  </w:style>
  <w:style w:type="paragraph" w:customStyle="1" w:styleId="Sous-titreobjetprliminaire">
    <w:name w:val="Sous-titre objet (préliminaire)"/>
    <w:basedOn w:val="Normal"/>
    <w:pPr>
      <w:spacing w:before="0" w:after="0"/>
      <w:jc w:val="center"/>
    </w:pPr>
    <w:rPr>
      <w:rFonts w:eastAsia="Times New Roman"/>
      <w:b/>
    </w:rPr>
  </w:style>
  <w:style w:type="paragraph" w:customStyle="1" w:styleId="Statutprliminaire">
    <w:name w:val="Statut (préliminaire)"/>
    <w:basedOn w:val="Normal"/>
    <w:next w:val="Normal"/>
    <w:pPr>
      <w:spacing w:before="360" w:after="0"/>
      <w:jc w:val="center"/>
    </w:pPr>
    <w:rPr>
      <w:rFonts w:eastAsia="Times New Roman"/>
    </w:rPr>
  </w:style>
  <w:style w:type="paragraph" w:customStyle="1" w:styleId="Titreobjetprliminaire">
    <w:name w:val="Titre objet (préliminaire)"/>
    <w:basedOn w:val="Normal"/>
    <w:next w:val="Normal"/>
    <w:pPr>
      <w:spacing w:before="360" w:after="360"/>
      <w:jc w:val="center"/>
    </w:pPr>
    <w:rPr>
      <w:rFonts w:eastAsia="Times New Roman"/>
      <w:b/>
    </w:rPr>
  </w:style>
  <w:style w:type="paragraph" w:customStyle="1" w:styleId="Typedudocumentprliminaire">
    <w:name w:val="Type du document (préliminaire)"/>
    <w:basedOn w:val="Normal"/>
    <w:next w:val="Normal"/>
    <w:pPr>
      <w:spacing w:before="360" w:after="0"/>
      <w:jc w:val="center"/>
    </w:pPr>
    <w:rPr>
      <w:rFonts w:eastAsia="Times New Roman"/>
      <w:b/>
    </w:rPr>
  </w:style>
  <w:style w:type="paragraph" w:customStyle="1" w:styleId="Fichefinancirestandardtitre">
    <w:name w:val="Fiche financière (standard) titre"/>
    <w:basedOn w:val="Normal"/>
    <w:next w:val="Normal"/>
    <w:pPr>
      <w:jc w:val="center"/>
    </w:pPr>
    <w:rPr>
      <w:rFonts w:eastAsia="Times New Roman"/>
      <w:b/>
      <w:u w:val="single"/>
    </w:rPr>
  </w:style>
  <w:style w:type="paragraph" w:customStyle="1" w:styleId="Fichefinancirestandardtitreacte">
    <w:name w:val="Fiche financière (standard) titre (acte)"/>
    <w:basedOn w:val="Normal"/>
    <w:next w:val="Normal"/>
    <w:pPr>
      <w:jc w:val="center"/>
    </w:pPr>
    <w:rPr>
      <w:rFonts w:eastAsia="Times New Roman"/>
      <w:b/>
      <w:u w:val="single"/>
    </w:rPr>
  </w:style>
  <w:style w:type="paragraph" w:customStyle="1" w:styleId="Fichefinanciretravailtitre">
    <w:name w:val="Fiche financière (travail) titre"/>
    <w:basedOn w:val="Normal"/>
    <w:next w:val="Normal"/>
    <w:pPr>
      <w:jc w:val="center"/>
    </w:pPr>
    <w:rPr>
      <w:rFonts w:eastAsia="Times New Roman"/>
      <w:b/>
      <w:u w:val="single"/>
    </w:rPr>
  </w:style>
  <w:style w:type="paragraph" w:customStyle="1" w:styleId="Fichefinanciretravailtitreacte">
    <w:name w:val="Fiche financière (travail) titre (acte)"/>
    <w:basedOn w:val="Normal"/>
    <w:next w:val="Normal"/>
    <w:pPr>
      <w:jc w:val="center"/>
    </w:pPr>
    <w:rPr>
      <w:rFonts w:eastAsia="Times New Roman"/>
      <w:b/>
      <w:u w:val="single"/>
    </w:rPr>
  </w:style>
  <w:style w:type="paragraph" w:customStyle="1" w:styleId="Fichefinancireattributiontitre">
    <w:name w:val="Fiche financière (attribution) titre"/>
    <w:basedOn w:val="Normal"/>
    <w:next w:val="Normal"/>
    <w:pPr>
      <w:jc w:val="center"/>
    </w:pPr>
    <w:rPr>
      <w:rFonts w:eastAsia="Times New Roman"/>
      <w:b/>
      <w:u w:val="single"/>
    </w:rPr>
  </w:style>
  <w:style w:type="paragraph" w:customStyle="1" w:styleId="Fichefinancireattributiontitreacte">
    <w:name w:val="Fiche financière (attribution) titre (acte)"/>
    <w:basedOn w:val="Normal"/>
    <w:next w:val="Normal"/>
    <w:pPr>
      <w:jc w:val="center"/>
    </w:pPr>
    <w:rPr>
      <w:rFonts w:eastAsia="Times New Roman"/>
      <w:b/>
      <w:u w:val="single"/>
    </w:rPr>
  </w:style>
  <w:style w:type="character" w:styleId="PageNumber">
    <w:name w:val="page number"/>
  </w:style>
  <w:style w:type="character" w:customStyle="1" w:styleId="tw4winMark">
    <w:name w:val="tw4winMark"/>
    <w:rPr>
      <w:vanish/>
      <w:color w:val="800080"/>
      <w:vertAlign w:val="subscript"/>
    </w:rPr>
  </w:style>
  <w:style w:type="paragraph" w:customStyle="1" w:styleId="Sous-titreobjet">
    <w:name w:val="Sous-titre objet"/>
    <w:basedOn w:val="Normal"/>
    <w:pPr>
      <w:spacing w:before="0" w:after="0"/>
      <w:jc w:val="center"/>
    </w:pPr>
    <w:rPr>
      <w:rFonts w:eastAsia="Times New Roman"/>
      <w:b/>
    </w:rPr>
  </w:style>
  <w:style w:type="paragraph" w:customStyle="1" w:styleId="Sous-titreobjetPagedecouverture">
    <w:name w:val="Sous-titre objet (Page de couverture)"/>
    <w:basedOn w:val="Sous-titreobjet"/>
  </w:style>
  <w:style w:type="paragraph" w:customStyle="1" w:styleId="L">
    <w:name w:val="L"/>
    <w:basedOn w:val="ListNumberLevel3"/>
    <w:pPr>
      <w:numPr>
        <w:ilvl w:val="2"/>
        <w:numId w:val="34"/>
      </w:numPr>
      <w:tabs>
        <w:tab w:val="clear" w:pos="2126"/>
      </w:tabs>
    </w:pPr>
    <w:rPr>
      <w:noProof/>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egalNumPar">
    <w:name w:val="LegalNumPar"/>
    <w:basedOn w:val="Normal"/>
    <w:pPr>
      <w:numPr>
        <w:numId w:val="44"/>
      </w:numPr>
      <w:spacing w:line="360" w:lineRule="auto"/>
    </w:pPr>
  </w:style>
  <w:style w:type="paragraph" w:customStyle="1" w:styleId="LegalNumPar2">
    <w:name w:val="LegalNumPar2"/>
    <w:basedOn w:val="Normal"/>
    <w:pPr>
      <w:numPr>
        <w:ilvl w:val="1"/>
        <w:numId w:val="44"/>
      </w:numPr>
      <w:spacing w:line="360" w:lineRule="auto"/>
    </w:pPr>
  </w:style>
  <w:style w:type="paragraph" w:customStyle="1" w:styleId="LegalNumPar3">
    <w:name w:val="LegalNumPar3"/>
    <w:basedOn w:val="Normal"/>
    <w:pPr>
      <w:numPr>
        <w:ilvl w:val="2"/>
        <w:numId w:val="44"/>
      </w:numPr>
      <w:spacing w:line="360" w:lineRule="auto"/>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i-FI"/>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i-F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1"/>
      </w:numPr>
    </w:pPr>
  </w:style>
  <w:style w:type="paragraph" w:customStyle="1" w:styleId="Tiret1">
    <w:name w:val="Tiret 1"/>
    <w:basedOn w:val="Point1"/>
    <w:pPr>
      <w:numPr>
        <w:numId w:val="52"/>
      </w:numPr>
    </w:pPr>
  </w:style>
  <w:style w:type="paragraph" w:customStyle="1" w:styleId="Tiret2">
    <w:name w:val="Tiret 2"/>
    <w:basedOn w:val="Point2"/>
    <w:pPr>
      <w:numPr>
        <w:numId w:val="53"/>
      </w:numPr>
    </w:pPr>
  </w:style>
  <w:style w:type="paragraph" w:customStyle="1" w:styleId="Tiret3">
    <w:name w:val="Tiret 3"/>
    <w:basedOn w:val="Point3"/>
    <w:pPr>
      <w:numPr>
        <w:numId w:val="54"/>
      </w:numPr>
    </w:pPr>
  </w:style>
  <w:style w:type="paragraph" w:customStyle="1" w:styleId="Tiret4">
    <w:name w:val="Tiret 4"/>
    <w:basedOn w:val="Point4"/>
    <w:pPr>
      <w:numPr>
        <w:numId w:val="5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6"/>
      </w:numPr>
    </w:pPr>
  </w:style>
  <w:style w:type="paragraph" w:customStyle="1" w:styleId="NumPar2">
    <w:name w:val="NumPar 2"/>
    <w:basedOn w:val="Normal"/>
    <w:next w:val="Text1"/>
    <w:pPr>
      <w:numPr>
        <w:ilvl w:val="1"/>
        <w:numId w:val="56"/>
      </w:numPr>
    </w:pPr>
  </w:style>
  <w:style w:type="paragraph" w:customStyle="1" w:styleId="NumPar3">
    <w:name w:val="NumPar 3"/>
    <w:basedOn w:val="Normal"/>
    <w:next w:val="Text1"/>
    <w:pPr>
      <w:numPr>
        <w:ilvl w:val="2"/>
        <w:numId w:val="56"/>
      </w:numPr>
    </w:pPr>
  </w:style>
  <w:style w:type="paragraph" w:customStyle="1" w:styleId="NumPar4">
    <w:name w:val="NumPar 4"/>
    <w:basedOn w:val="Normal"/>
    <w:next w:val="Text1"/>
    <w:pPr>
      <w:numPr>
        <w:ilvl w:val="3"/>
        <w:numId w:val="5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8"/>
      </w:numPr>
    </w:pPr>
  </w:style>
  <w:style w:type="paragraph" w:customStyle="1" w:styleId="Point1number">
    <w:name w:val="Point 1 (number)"/>
    <w:basedOn w:val="Normal"/>
    <w:pPr>
      <w:numPr>
        <w:ilvl w:val="2"/>
        <w:numId w:val="58"/>
      </w:numPr>
    </w:pPr>
  </w:style>
  <w:style w:type="paragraph" w:customStyle="1" w:styleId="Point2number">
    <w:name w:val="Point 2 (number)"/>
    <w:basedOn w:val="Normal"/>
    <w:pPr>
      <w:numPr>
        <w:ilvl w:val="4"/>
        <w:numId w:val="58"/>
      </w:numPr>
    </w:pPr>
  </w:style>
  <w:style w:type="paragraph" w:customStyle="1" w:styleId="Point3number">
    <w:name w:val="Point 3 (number)"/>
    <w:basedOn w:val="Normal"/>
    <w:pPr>
      <w:numPr>
        <w:ilvl w:val="6"/>
        <w:numId w:val="58"/>
      </w:numPr>
    </w:pPr>
  </w:style>
  <w:style w:type="paragraph" w:customStyle="1" w:styleId="Point0letter">
    <w:name w:val="Point 0 (letter)"/>
    <w:basedOn w:val="Normal"/>
    <w:pPr>
      <w:numPr>
        <w:ilvl w:val="1"/>
        <w:numId w:val="58"/>
      </w:numPr>
    </w:pPr>
  </w:style>
  <w:style w:type="paragraph" w:customStyle="1" w:styleId="Point1letter">
    <w:name w:val="Point 1 (letter)"/>
    <w:basedOn w:val="Normal"/>
    <w:pPr>
      <w:numPr>
        <w:ilvl w:val="3"/>
        <w:numId w:val="58"/>
      </w:numPr>
    </w:pPr>
  </w:style>
  <w:style w:type="paragraph" w:customStyle="1" w:styleId="Point2letter">
    <w:name w:val="Point 2 (letter)"/>
    <w:basedOn w:val="Normal"/>
    <w:pPr>
      <w:numPr>
        <w:ilvl w:val="5"/>
        <w:numId w:val="58"/>
      </w:numPr>
    </w:pPr>
  </w:style>
  <w:style w:type="paragraph" w:customStyle="1" w:styleId="Point3letter">
    <w:name w:val="Point 3 (letter)"/>
    <w:basedOn w:val="Normal"/>
    <w:pPr>
      <w:numPr>
        <w:ilvl w:val="7"/>
        <w:numId w:val="58"/>
      </w:numPr>
    </w:pPr>
  </w:style>
  <w:style w:type="paragraph" w:customStyle="1" w:styleId="Point4letter">
    <w:name w:val="Point 4 (letter)"/>
    <w:basedOn w:val="Normal"/>
    <w:pPr>
      <w:numPr>
        <w:ilvl w:val="8"/>
        <w:numId w:val="58"/>
      </w:numPr>
    </w:pPr>
  </w:style>
  <w:style w:type="paragraph" w:customStyle="1" w:styleId="Bullet0">
    <w:name w:val="Bullet 0"/>
    <w:basedOn w:val="Normal"/>
    <w:pPr>
      <w:numPr>
        <w:numId w:val="59"/>
      </w:numPr>
    </w:pPr>
  </w:style>
  <w:style w:type="paragraph" w:customStyle="1" w:styleId="Bullet1">
    <w:name w:val="Bullet 1"/>
    <w:basedOn w:val="Normal"/>
    <w:pPr>
      <w:numPr>
        <w:numId w:val="60"/>
      </w:numPr>
    </w:pPr>
  </w:style>
  <w:style w:type="paragraph" w:customStyle="1" w:styleId="Bullet2">
    <w:name w:val="Bullet 2"/>
    <w:basedOn w:val="Normal"/>
    <w:pPr>
      <w:numPr>
        <w:numId w:val="61"/>
      </w:numPr>
    </w:pPr>
  </w:style>
  <w:style w:type="paragraph" w:customStyle="1" w:styleId="Bullet3">
    <w:name w:val="Bullet 3"/>
    <w:basedOn w:val="Normal"/>
    <w:pPr>
      <w:numPr>
        <w:numId w:val="62"/>
      </w:numPr>
    </w:pPr>
  </w:style>
  <w:style w:type="paragraph" w:customStyle="1" w:styleId="Bullet4">
    <w:name w:val="Bullet 4"/>
    <w:basedOn w:val="Normal"/>
    <w:pPr>
      <w:numPr>
        <w:numId w:val="6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able of figures" w:uiPriority="0"/>
    <w:lsdException w:name="footnote reference"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i-FI"/>
    </w:rPr>
  </w:style>
  <w:style w:type="paragraph" w:styleId="Heading1">
    <w:name w:val="heading 1"/>
    <w:basedOn w:val="Normal"/>
    <w:next w:val="Text1"/>
    <w:link w:val="Heading1Char"/>
    <w:uiPriority w:val="9"/>
    <w:qFormat/>
    <w:pPr>
      <w:keepNext/>
      <w:numPr>
        <w:numId w:val="5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4">
    <w:name w:val="CM4"/>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Emphasis">
    <w:name w:val="Emphasis"/>
    <w:basedOn w:val="DefaultParagraphFont"/>
    <w:uiPriority w:val="20"/>
    <w:qFormat/>
    <w:rPr>
      <w:i/>
      <w:iCs/>
    </w:rPr>
  </w:style>
  <w:style w:type="paragraph" w:styleId="BalloonText">
    <w:name w:val="Balloon Text"/>
    <w:basedOn w:val="Normal"/>
    <w:link w:val="BalloonTextChar"/>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fi-FI"/>
    </w:rPr>
  </w:style>
  <w:style w:type="character" w:styleId="Hyperlink">
    <w:name w:val="Hyperlink"/>
    <w:basedOn w:val="DefaultParagraphFont"/>
    <w:unhideWhenUsed/>
    <w:rPr>
      <w:color w:val="0000FF"/>
      <w:u w:val="single"/>
    </w:rPr>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hidden">
    <w:name w:val="hidden"/>
    <w:basedOn w:val="Normal"/>
    <w:pPr>
      <w:spacing w:before="0" w:after="150"/>
      <w:jc w:val="left"/>
    </w:pPr>
    <w:rPr>
      <w:rFonts w:eastAsia="Times New Roman"/>
      <w:vanish/>
      <w:szCs w:val="24"/>
    </w:rPr>
  </w:style>
  <w:style w:type="paragraph" w:styleId="NoSpacing">
    <w:name w:val="No Spacing"/>
    <w:uiPriority w:val="1"/>
    <w:qFormat/>
    <w:pPr>
      <w:spacing w:after="0" w:line="240" w:lineRule="auto"/>
    </w:pPr>
  </w:style>
  <w:style w:type="paragraph" w:styleId="ListParagraph">
    <w:name w:val="List Paragraph"/>
    <w:aliases w:val="Issue Action POC,List Paragraph1,3,POCG Table Text,Dot pt,F5 List Paragraph,List Paragraph Char Char Char,Indicator Text,Colorful List - Accent 11,Numbered Para 1,Bullet Points,List Paragraph2,MAIN CONTENT,Normal numbered,EC,No Spacing1"/>
    <w:basedOn w:val="Normal"/>
    <w:link w:val="ListParagraphChar"/>
    <w:uiPriority w:val="34"/>
    <w:qFormat/>
    <w:pPr>
      <w:ind w:left="720"/>
      <w:contextualSpacing/>
    </w:p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character" w:customStyle="1" w:styleId="e24kjd">
    <w:name w:val="e24kjd"/>
    <w:basedOn w:val="DefaultParagraphFont"/>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i-FI"/>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fi-FI"/>
    </w:rPr>
  </w:style>
  <w:style w:type="character" w:customStyle="1" w:styleId="highlight">
    <w:name w:val="highlight"/>
    <w:basedOn w:val="DefaultParagraphFont"/>
  </w:style>
  <w:style w:type="character" w:customStyle="1" w:styleId="ListParagraphChar">
    <w:name w:val="List Paragraph Char"/>
    <w:aliases w:val="Issue Action POC Char,List Paragraph1 Char,3 Char,POCG Table Text Char,Dot pt Char,F5 List Paragraph Char,List Paragraph Char Char Char Char,Indicator Text Char,Colorful List - Accent 11 Char,Numbered Para 1 Char,Bullet Points Char"/>
    <w:basedOn w:val="DefaultParagraphFont"/>
    <w:link w:val="ListParagraph"/>
    <w:uiPriority w:val="34"/>
    <w:qFormat/>
    <w:locked/>
    <w:rPr>
      <w:rFonts w:ascii="Times New Roman" w:hAnsi="Times New Roman" w:cs="Times New Roman"/>
      <w:sz w:val="24"/>
      <w:lang w:val="fi-FI"/>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rPr>
  </w:style>
  <w:style w:type="character" w:customStyle="1" w:styleId="NotDeclassifiedCharacter">
    <w:name w:val="Not Declassified Character"/>
    <w:basedOn w:val="DefaultParagraphFont"/>
    <w:rPr>
      <w:rFonts w:ascii="Times New Roman" w:hAnsi="Times New Roman" w:cs="Times New Roman"/>
      <w:b/>
      <w:sz w:val="24"/>
      <w:shd w:val="clear" w:color="auto" w:fill="CCCCCC"/>
    </w:rPr>
  </w:style>
  <w:style w:type="paragraph" w:customStyle="1" w:styleId="Body">
    <w:name w:val="Body"/>
    <w:pPr>
      <w:pBdr>
        <w:top w:val="nil"/>
        <w:left w:val="nil"/>
        <w:bottom w:val="nil"/>
        <w:right w:val="nil"/>
        <w:between w:val="nil"/>
        <w:bar w:val="nil"/>
      </w:pBdr>
      <w:spacing w:before="120" w:after="120" w:line="240" w:lineRule="auto"/>
      <w:jc w:val="both"/>
    </w:pPr>
    <w:rPr>
      <w:rFonts w:ascii="Times New Roman" w:eastAsia="Arial Unicode MS" w:hAnsi="Times New Roman" w:cs="Arial Unicode MS"/>
      <w:color w:val="000000"/>
      <w:sz w:val="24"/>
      <w:szCs w:val="24"/>
      <w:u w:color="000000"/>
      <w:bdr w:val="nil"/>
    </w:rPr>
  </w:style>
  <w:style w:type="paragraph" w:customStyle="1" w:styleId="Heading123">
    <w:name w:val="Heading 123"/>
    <w:basedOn w:val="Normal"/>
    <w:next w:val="Normal"/>
    <w:pPr>
      <w:numPr>
        <w:numId w:val="5"/>
      </w:numPr>
      <w:spacing w:before="360" w:line="360" w:lineRule="auto"/>
      <w:jc w:val="left"/>
      <w:outlineLvl w:val="0"/>
    </w:pPr>
    <w:rPr>
      <w:b/>
      <w:caps/>
      <w:u w:val="single"/>
    </w:rPr>
  </w:style>
  <w:style w:type="table" w:styleId="TableGrid">
    <w:name w:val="Table Grid"/>
    <w:aliases w:val="Document Table,CV1,Tabellengitternetz"/>
    <w:basedOn w:val="TableNormal"/>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Point">
    <w:name w:val="16 Point"/>
    <w:aliases w:val="Superscript 6 Point,Footnote reference number,Odwołanie przypisu,number,2001+ Fußnotenzeichen"/>
    <w:basedOn w:val="Normal"/>
    <w:uiPriority w:val="99"/>
    <w:pPr>
      <w:spacing w:before="0" w:after="160" w:line="240" w:lineRule="exact"/>
      <w:jc w:val="left"/>
    </w:pPr>
    <w:rPr>
      <w:rFonts w:asciiTheme="minorHAnsi" w:hAnsiTheme="minorHAnsi" w:cstheme="minorBidi"/>
      <w:sz w:val="22"/>
      <w:vertAlign w:val="superscript"/>
    </w:rPr>
  </w:style>
  <w:style w:type="paragraph" w:customStyle="1" w:styleId="doc-ti">
    <w:name w:val="doc-ti"/>
    <w:basedOn w:val="Normal"/>
    <w:pPr>
      <w:spacing w:before="100" w:beforeAutospacing="1" w:after="100" w:afterAutospacing="1"/>
      <w:jc w:val="left"/>
    </w:pPr>
    <w:rPr>
      <w:rFonts w:eastAsia="Times New Roman"/>
      <w:szCs w:val="24"/>
    </w:rPr>
  </w:style>
  <w:style w:type="paragraph" w:styleId="Caption">
    <w:name w:val="caption"/>
    <w:basedOn w:val="Normal"/>
    <w:next w:val="Normal"/>
    <w:unhideWhenUsed/>
    <w:qFormat/>
    <w:pPr>
      <w:spacing w:before="0" w:after="200"/>
    </w:pPr>
    <w:rPr>
      <w:i/>
      <w:iCs/>
      <w:color w:val="1F497D" w:themeColor="text2"/>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6"/>
      </w:numPr>
      <w:contextualSpacing/>
    </w:pPr>
  </w:style>
  <w:style w:type="paragraph" w:styleId="ListNumber2">
    <w:name w:val="List Number 2"/>
    <w:basedOn w:val="Normal"/>
    <w:unhideWhenUsed/>
    <w:pPr>
      <w:numPr>
        <w:numId w:val="7"/>
      </w:numPr>
      <w:contextualSpacing/>
    </w:pPr>
  </w:style>
  <w:style w:type="paragraph" w:styleId="ListNumber3">
    <w:name w:val="List Number 3"/>
    <w:basedOn w:val="Normal"/>
    <w:unhideWhenUsed/>
    <w:pPr>
      <w:numPr>
        <w:numId w:val="8"/>
      </w:numPr>
      <w:contextualSpacing/>
    </w:pPr>
  </w:style>
  <w:style w:type="paragraph" w:styleId="ListNumber4">
    <w:name w:val="List Number 4"/>
    <w:basedOn w:val="Normal"/>
    <w:unhideWhenUsed/>
    <w:pPr>
      <w:numPr>
        <w:numId w:val="9"/>
      </w:numPr>
      <w:contextualSpacing/>
    </w:pPr>
  </w:style>
  <w:style w:type="character" w:styleId="FollowedHyperlink">
    <w:name w:val="FollowedHyperlink"/>
    <w:basedOn w:val="DefaultParagraphFont"/>
    <w:unhideWhenUsed/>
    <w:rPr>
      <w:color w:val="800080" w:themeColor="followedHyperlink"/>
      <w:u w:val="single"/>
    </w:rPr>
  </w:style>
  <w:style w:type="paragraph" w:customStyle="1" w:styleId="ListBullet1">
    <w:name w:val="List Bullet 1"/>
    <w:basedOn w:val="Normal"/>
    <w:pPr>
      <w:numPr>
        <w:numId w:val="30"/>
      </w:numPr>
    </w:pPr>
    <w:rPr>
      <w:rFonts w:eastAsia="Times New Roman"/>
    </w:rPr>
  </w:style>
  <w:style w:type="paragraph" w:customStyle="1" w:styleId="ListDash">
    <w:name w:val="List Dash"/>
    <w:basedOn w:val="Normal"/>
    <w:pPr>
      <w:numPr>
        <w:numId w:val="31"/>
      </w:numPr>
    </w:pPr>
    <w:rPr>
      <w:rFonts w:eastAsia="Times New Roman"/>
    </w:rPr>
  </w:style>
  <w:style w:type="paragraph" w:customStyle="1" w:styleId="ListDash1">
    <w:name w:val="List Dash 1"/>
    <w:basedOn w:val="Normal"/>
    <w:pPr>
      <w:numPr>
        <w:numId w:val="32"/>
      </w:numPr>
    </w:pPr>
    <w:rPr>
      <w:rFonts w:eastAsia="Times New Roman"/>
    </w:rPr>
  </w:style>
  <w:style w:type="paragraph" w:customStyle="1" w:styleId="ListDash2">
    <w:name w:val="List Dash 2"/>
    <w:basedOn w:val="Normal"/>
    <w:pPr>
      <w:numPr>
        <w:numId w:val="33"/>
      </w:numPr>
    </w:pPr>
    <w:rPr>
      <w:rFonts w:eastAsia="Times New Roman"/>
    </w:rPr>
  </w:style>
  <w:style w:type="paragraph" w:customStyle="1" w:styleId="ListNumberLevel2">
    <w:name w:val="List Number (Level 2)"/>
    <w:basedOn w:val="Normal"/>
    <w:pPr>
      <w:tabs>
        <w:tab w:val="num" w:pos="1417"/>
      </w:tabs>
      <w:ind w:left="1417" w:hanging="708"/>
    </w:pPr>
    <w:rPr>
      <w:rFonts w:eastAsia="Times New Roman"/>
    </w:rPr>
  </w:style>
  <w:style w:type="paragraph" w:customStyle="1" w:styleId="ListNumberLevel3">
    <w:name w:val="List Number (Level 3)"/>
    <w:basedOn w:val="Normal"/>
    <w:pPr>
      <w:tabs>
        <w:tab w:val="num" w:pos="2126"/>
      </w:tabs>
      <w:ind w:left="2126" w:hanging="709"/>
    </w:pPr>
    <w:rPr>
      <w:rFonts w:eastAsia="Times New Roman"/>
    </w:rPr>
  </w:style>
  <w:style w:type="paragraph" w:customStyle="1" w:styleId="ListNumberLevel4">
    <w:name w:val="List Number (Level 4)"/>
    <w:basedOn w:val="Normal"/>
    <w:pPr>
      <w:tabs>
        <w:tab w:val="num" w:pos="2835"/>
      </w:tabs>
      <w:ind w:left="2835" w:hanging="709"/>
    </w:pPr>
    <w:rPr>
      <w:rFonts w:eastAsia="Times New Roman"/>
    </w:rPr>
  </w:style>
  <w:style w:type="paragraph" w:customStyle="1" w:styleId="ListDash3">
    <w:name w:val="List Dash 3"/>
    <w:basedOn w:val="Normal"/>
    <w:pPr>
      <w:numPr>
        <w:numId w:val="35"/>
      </w:numPr>
    </w:pPr>
    <w:rPr>
      <w:rFonts w:eastAsia="Times New Roman"/>
    </w:rPr>
  </w:style>
  <w:style w:type="paragraph" w:customStyle="1" w:styleId="ListDash4">
    <w:name w:val="List Dash 4"/>
    <w:basedOn w:val="Normal"/>
    <w:pPr>
      <w:numPr>
        <w:numId w:val="36"/>
      </w:numPr>
    </w:pPr>
    <w:rPr>
      <w:rFonts w:eastAsia="Times New Roman"/>
    </w:rPr>
  </w:style>
  <w:style w:type="paragraph" w:customStyle="1" w:styleId="ListNumber1">
    <w:name w:val="List Number 1"/>
    <w:basedOn w:val="Text1"/>
    <w:pPr>
      <w:numPr>
        <w:numId w:val="37"/>
      </w:numPr>
    </w:pPr>
    <w:rPr>
      <w:rFonts w:eastAsia="Times New Roman"/>
    </w:rPr>
  </w:style>
  <w:style w:type="paragraph" w:customStyle="1" w:styleId="ListNumber1Level2">
    <w:name w:val="List Number 1 (Level 2)"/>
    <w:basedOn w:val="Text1"/>
    <w:pPr>
      <w:numPr>
        <w:ilvl w:val="1"/>
        <w:numId w:val="37"/>
      </w:numPr>
    </w:pPr>
    <w:rPr>
      <w:rFonts w:eastAsia="Times New Roman"/>
    </w:rPr>
  </w:style>
  <w:style w:type="paragraph" w:customStyle="1" w:styleId="ListNumber2Level2">
    <w:name w:val="List Number 2 (Level 2)"/>
    <w:basedOn w:val="Text2"/>
    <w:pPr>
      <w:tabs>
        <w:tab w:val="num" w:pos="2268"/>
      </w:tabs>
      <w:ind w:left="2268" w:hanging="708"/>
    </w:pPr>
    <w:rPr>
      <w:rFonts w:eastAsia="Times New Roman"/>
    </w:rPr>
  </w:style>
  <w:style w:type="paragraph" w:customStyle="1" w:styleId="ListNumber3Level2">
    <w:name w:val="List Number 3 (Level 2)"/>
    <w:basedOn w:val="Text3"/>
    <w:pPr>
      <w:tabs>
        <w:tab w:val="num" w:pos="2268"/>
      </w:tabs>
      <w:ind w:left="2268" w:hanging="708"/>
    </w:pPr>
    <w:rPr>
      <w:rFonts w:eastAsia="Times New Roman"/>
    </w:rPr>
  </w:style>
  <w:style w:type="paragraph" w:customStyle="1" w:styleId="ListNumber4Level2">
    <w:name w:val="List Number 4 (Level 2)"/>
    <w:basedOn w:val="Text4"/>
    <w:pPr>
      <w:tabs>
        <w:tab w:val="num" w:pos="2268"/>
      </w:tabs>
      <w:ind w:left="2268" w:hanging="708"/>
    </w:pPr>
    <w:rPr>
      <w:rFonts w:eastAsia="Times New Roman"/>
    </w:rPr>
  </w:style>
  <w:style w:type="paragraph" w:customStyle="1" w:styleId="ListNumber1Level3">
    <w:name w:val="List Number 1 (Level 3)"/>
    <w:basedOn w:val="Text1"/>
    <w:pPr>
      <w:numPr>
        <w:ilvl w:val="2"/>
        <w:numId w:val="37"/>
      </w:numPr>
    </w:pPr>
    <w:rPr>
      <w:rFonts w:eastAsia="Times New Roman"/>
    </w:rPr>
  </w:style>
  <w:style w:type="paragraph" w:customStyle="1" w:styleId="ListNumber2Level3">
    <w:name w:val="List Number 2 (Level 3)"/>
    <w:basedOn w:val="Text2"/>
    <w:pPr>
      <w:tabs>
        <w:tab w:val="num" w:pos="2977"/>
      </w:tabs>
      <w:ind w:left="2977" w:hanging="709"/>
    </w:pPr>
    <w:rPr>
      <w:rFonts w:eastAsia="Times New Roman"/>
    </w:rPr>
  </w:style>
  <w:style w:type="paragraph" w:customStyle="1" w:styleId="ListNumber3Level3">
    <w:name w:val="List Number 3 (Level 3)"/>
    <w:basedOn w:val="Text3"/>
    <w:pPr>
      <w:tabs>
        <w:tab w:val="num" w:pos="2977"/>
      </w:tabs>
      <w:ind w:left="2977" w:hanging="709"/>
    </w:pPr>
    <w:rPr>
      <w:rFonts w:eastAsia="Times New Roman"/>
    </w:rPr>
  </w:style>
  <w:style w:type="paragraph" w:customStyle="1" w:styleId="ListNumber4Level3">
    <w:name w:val="List Number 4 (Level 3)"/>
    <w:basedOn w:val="Text4"/>
    <w:pPr>
      <w:tabs>
        <w:tab w:val="num" w:pos="2977"/>
      </w:tabs>
      <w:ind w:left="2977" w:hanging="709"/>
    </w:pPr>
    <w:rPr>
      <w:rFonts w:eastAsia="Times New Roman"/>
    </w:rPr>
  </w:style>
  <w:style w:type="paragraph" w:customStyle="1" w:styleId="ListNumber1Level4">
    <w:name w:val="List Number 1 (Level 4)"/>
    <w:basedOn w:val="Text1"/>
    <w:pPr>
      <w:numPr>
        <w:ilvl w:val="3"/>
        <w:numId w:val="37"/>
      </w:numPr>
    </w:pPr>
    <w:rPr>
      <w:rFonts w:eastAsia="Times New Roman"/>
    </w:rPr>
  </w:style>
  <w:style w:type="paragraph" w:customStyle="1" w:styleId="ListNumber2Level4">
    <w:name w:val="List Number 2 (Level 4)"/>
    <w:basedOn w:val="Text2"/>
    <w:pPr>
      <w:tabs>
        <w:tab w:val="num" w:pos="3686"/>
      </w:tabs>
      <w:ind w:left="3686" w:hanging="709"/>
    </w:pPr>
    <w:rPr>
      <w:rFonts w:eastAsia="Times New Roman"/>
    </w:rPr>
  </w:style>
  <w:style w:type="paragraph" w:customStyle="1" w:styleId="ListNumber3Level4">
    <w:name w:val="List Number 3 (Level 4)"/>
    <w:basedOn w:val="Text3"/>
    <w:pPr>
      <w:tabs>
        <w:tab w:val="num" w:pos="3686"/>
      </w:tabs>
      <w:ind w:left="3686" w:hanging="709"/>
    </w:pPr>
    <w:rPr>
      <w:rFonts w:eastAsia="Times New Roman"/>
    </w:rPr>
  </w:style>
  <w:style w:type="paragraph" w:customStyle="1" w:styleId="ListNumber4Level4">
    <w:name w:val="List Number 4 (Level 4)"/>
    <w:basedOn w:val="Text4"/>
    <w:pPr>
      <w:tabs>
        <w:tab w:val="num" w:pos="3686"/>
      </w:tabs>
      <w:ind w:left="3686" w:hanging="709"/>
    </w:pPr>
    <w:rPr>
      <w:rFonts w:eastAsia="Times New Roman"/>
    </w:rPr>
  </w:style>
  <w:style w:type="paragraph" w:customStyle="1" w:styleId="Annexetitreacte">
    <w:name w:val="Annexe titre (acte)"/>
    <w:basedOn w:val="Normal"/>
    <w:next w:val="Normal"/>
    <w:pPr>
      <w:jc w:val="center"/>
    </w:pPr>
    <w:rPr>
      <w:rFonts w:eastAsia="Times New Roman"/>
      <w:b/>
      <w:u w:val="single"/>
    </w:rPr>
  </w:style>
  <w:style w:type="paragraph" w:customStyle="1" w:styleId="Annexetitreexposglobal">
    <w:name w:val="Annexe titre (exposé global)"/>
    <w:basedOn w:val="Normal"/>
    <w:next w:val="Normal"/>
    <w:pPr>
      <w:jc w:val="center"/>
    </w:pPr>
    <w:rPr>
      <w:rFonts w:eastAsia="Times New Roman"/>
      <w:b/>
      <w:u w:val="single"/>
    </w:rPr>
  </w:style>
  <w:style w:type="paragraph" w:customStyle="1" w:styleId="Annexetitrefichefinacte">
    <w:name w:val="Annexe titre (fiche fin. acte)"/>
    <w:basedOn w:val="Normal"/>
    <w:next w:val="Normal"/>
    <w:pPr>
      <w:jc w:val="center"/>
    </w:pPr>
    <w:rPr>
      <w:rFonts w:eastAsia="Times New Roman"/>
      <w:b/>
      <w:u w:val="single"/>
    </w:rPr>
  </w:style>
  <w:style w:type="paragraph" w:customStyle="1" w:styleId="Annexetitrefichefinglobale">
    <w:name w:val="Annexe titre (fiche fin. globale)"/>
    <w:basedOn w:val="Normal"/>
    <w:next w:val="Normal"/>
    <w:pPr>
      <w:jc w:val="center"/>
    </w:pPr>
    <w:rPr>
      <w:rFonts w:eastAsia="Times New Roman"/>
      <w:b/>
      <w:u w:val="single"/>
    </w:rPr>
  </w:style>
  <w:style w:type="paragraph" w:customStyle="1" w:styleId="Annexetitreglobale">
    <w:name w:val="Annexe titre (globale)"/>
    <w:basedOn w:val="Normal"/>
    <w:next w:val="Normal"/>
    <w:pPr>
      <w:jc w:val="center"/>
    </w:pPr>
    <w:rPr>
      <w:rFonts w:eastAsia="Times New Roman"/>
      <w:b/>
      <w:u w:val="single"/>
    </w:rPr>
  </w:style>
  <w:style w:type="paragraph" w:customStyle="1" w:styleId="Exposdesmotifstitreglobal">
    <w:name w:val="Exposé des motifs titre (global)"/>
    <w:basedOn w:val="Normal"/>
    <w:next w:val="Normal"/>
    <w:pPr>
      <w:jc w:val="center"/>
    </w:pPr>
    <w:rPr>
      <w:rFonts w:eastAsia="Times New Roman"/>
      <w:b/>
      <w:u w:val="single"/>
    </w:rPr>
  </w:style>
  <w:style w:type="paragraph" w:customStyle="1" w:styleId="Langueoriginale">
    <w:name w:val="Langue originale"/>
    <w:basedOn w:val="Normal"/>
    <w:pPr>
      <w:spacing w:before="360"/>
      <w:jc w:val="center"/>
    </w:pPr>
    <w:rPr>
      <w:rFonts w:eastAsia="Times New Roman"/>
      <w:caps/>
    </w:rPr>
  </w:style>
  <w:style w:type="paragraph" w:customStyle="1" w:styleId="Phrasefinale">
    <w:name w:val="Phrase finale"/>
    <w:basedOn w:val="Normal"/>
    <w:next w:val="Normal"/>
    <w:pPr>
      <w:spacing w:before="360" w:after="0"/>
      <w:jc w:val="center"/>
    </w:pPr>
    <w:rPr>
      <w:rFonts w:eastAsia="Times New Roman"/>
    </w:rPr>
  </w:style>
  <w:style w:type="paragraph" w:customStyle="1" w:styleId="Prliminairetitre">
    <w:name w:val="Préliminaire titre"/>
    <w:basedOn w:val="Normal"/>
    <w:next w:val="Normal"/>
    <w:pPr>
      <w:spacing w:before="360" w:after="360"/>
      <w:jc w:val="center"/>
    </w:pPr>
    <w:rPr>
      <w:rFonts w:eastAsia="Times New Roman"/>
      <w:b/>
    </w:rPr>
  </w:style>
  <w:style w:type="paragraph" w:customStyle="1" w:styleId="Prliminairetype">
    <w:name w:val="Préliminaire type"/>
    <w:basedOn w:val="Normal"/>
    <w:next w:val="Normal"/>
    <w:pPr>
      <w:spacing w:before="360" w:after="0"/>
      <w:jc w:val="center"/>
    </w:pPr>
    <w:rPr>
      <w:rFonts w:eastAsia="Times New Roman"/>
      <w:b/>
    </w:rPr>
  </w:style>
  <w:style w:type="paragraph" w:customStyle="1" w:styleId="Rfrenceinstitutionelle">
    <w:name w:val="Référence institutionelle"/>
    <w:basedOn w:val="Normal"/>
    <w:next w:val="Statut"/>
    <w:pPr>
      <w:spacing w:before="0" w:after="240"/>
      <w:ind w:left="5103"/>
      <w:jc w:val="left"/>
    </w:pPr>
    <w:rPr>
      <w:rFonts w:eastAsia="Times New Roman"/>
    </w:rPr>
  </w:style>
  <w:style w:type="paragraph" w:customStyle="1" w:styleId="Rfrenceinterinstitutionelle">
    <w:name w:val="Référence interinstitutionelle"/>
    <w:basedOn w:val="Normal"/>
    <w:next w:val="Statut"/>
    <w:pPr>
      <w:spacing w:before="0" w:after="0"/>
      <w:ind w:left="5103"/>
      <w:jc w:val="left"/>
    </w:pPr>
    <w:rPr>
      <w:rFonts w:eastAsia="Times New Roman"/>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rPr>
  </w:style>
  <w:style w:type="paragraph" w:customStyle="1" w:styleId="Sous-titreobjetprliminaire">
    <w:name w:val="Sous-titre objet (préliminaire)"/>
    <w:basedOn w:val="Normal"/>
    <w:pPr>
      <w:spacing w:before="0" w:after="0"/>
      <w:jc w:val="center"/>
    </w:pPr>
    <w:rPr>
      <w:rFonts w:eastAsia="Times New Roman"/>
      <w:b/>
    </w:rPr>
  </w:style>
  <w:style w:type="paragraph" w:customStyle="1" w:styleId="Statutprliminaire">
    <w:name w:val="Statut (préliminaire)"/>
    <w:basedOn w:val="Normal"/>
    <w:next w:val="Normal"/>
    <w:pPr>
      <w:spacing w:before="360" w:after="0"/>
      <w:jc w:val="center"/>
    </w:pPr>
    <w:rPr>
      <w:rFonts w:eastAsia="Times New Roman"/>
    </w:rPr>
  </w:style>
  <w:style w:type="paragraph" w:customStyle="1" w:styleId="Titreobjetprliminaire">
    <w:name w:val="Titre objet (préliminaire)"/>
    <w:basedOn w:val="Normal"/>
    <w:next w:val="Normal"/>
    <w:pPr>
      <w:spacing w:before="360" w:after="360"/>
      <w:jc w:val="center"/>
    </w:pPr>
    <w:rPr>
      <w:rFonts w:eastAsia="Times New Roman"/>
      <w:b/>
    </w:rPr>
  </w:style>
  <w:style w:type="paragraph" w:customStyle="1" w:styleId="Typedudocumentprliminaire">
    <w:name w:val="Type du document (préliminaire)"/>
    <w:basedOn w:val="Normal"/>
    <w:next w:val="Normal"/>
    <w:pPr>
      <w:spacing w:before="360" w:after="0"/>
      <w:jc w:val="center"/>
    </w:pPr>
    <w:rPr>
      <w:rFonts w:eastAsia="Times New Roman"/>
      <w:b/>
    </w:rPr>
  </w:style>
  <w:style w:type="paragraph" w:customStyle="1" w:styleId="Fichefinancirestandardtitre">
    <w:name w:val="Fiche financière (standard) titre"/>
    <w:basedOn w:val="Normal"/>
    <w:next w:val="Normal"/>
    <w:pPr>
      <w:jc w:val="center"/>
    </w:pPr>
    <w:rPr>
      <w:rFonts w:eastAsia="Times New Roman"/>
      <w:b/>
      <w:u w:val="single"/>
    </w:rPr>
  </w:style>
  <w:style w:type="paragraph" w:customStyle="1" w:styleId="Fichefinancirestandardtitreacte">
    <w:name w:val="Fiche financière (standard) titre (acte)"/>
    <w:basedOn w:val="Normal"/>
    <w:next w:val="Normal"/>
    <w:pPr>
      <w:jc w:val="center"/>
    </w:pPr>
    <w:rPr>
      <w:rFonts w:eastAsia="Times New Roman"/>
      <w:b/>
      <w:u w:val="single"/>
    </w:rPr>
  </w:style>
  <w:style w:type="paragraph" w:customStyle="1" w:styleId="Fichefinanciretravailtitre">
    <w:name w:val="Fiche financière (travail) titre"/>
    <w:basedOn w:val="Normal"/>
    <w:next w:val="Normal"/>
    <w:pPr>
      <w:jc w:val="center"/>
    </w:pPr>
    <w:rPr>
      <w:rFonts w:eastAsia="Times New Roman"/>
      <w:b/>
      <w:u w:val="single"/>
    </w:rPr>
  </w:style>
  <w:style w:type="paragraph" w:customStyle="1" w:styleId="Fichefinanciretravailtitreacte">
    <w:name w:val="Fiche financière (travail) titre (acte)"/>
    <w:basedOn w:val="Normal"/>
    <w:next w:val="Normal"/>
    <w:pPr>
      <w:jc w:val="center"/>
    </w:pPr>
    <w:rPr>
      <w:rFonts w:eastAsia="Times New Roman"/>
      <w:b/>
      <w:u w:val="single"/>
    </w:rPr>
  </w:style>
  <w:style w:type="paragraph" w:customStyle="1" w:styleId="Fichefinancireattributiontitre">
    <w:name w:val="Fiche financière (attribution) titre"/>
    <w:basedOn w:val="Normal"/>
    <w:next w:val="Normal"/>
    <w:pPr>
      <w:jc w:val="center"/>
    </w:pPr>
    <w:rPr>
      <w:rFonts w:eastAsia="Times New Roman"/>
      <w:b/>
      <w:u w:val="single"/>
    </w:rPr>
  </w:style>
  <w:style w:type="paragraph" w:customStyle="1" w:styleId="Fichefinancireattributiontitreacte">
    <w:name w:val="Fiche financière (attribution) titre (acte)"/>
    <w:basedOn w:val="Normal"/>
    <w:next w:val="Normal"/>
    <w:pPr>
      <w:jc w:val="center"/>
    </w:pPr>
    <w:rPr>
      <w:rFonts w:eastAsia="Times New Roman"/>
      <w:b/>
      <w:u w:val="single"/>
    </w:rPr>
  </w:style>
  <w:style w:type="character" w:styleId="PageNumber">
    <w:name w:val="page number"/>
  </w:style>
  <w:style w:type="character" w:customStyle="1" w:styleId="tw4winMark">
    <w:name w:val="tw4winMark"/>
    <w:rPr>
      <w:vanish/>
      <w:color w:val="800080"/>
      <w:vertAlign w:val="subscript"/>
    </w:rPr>
  </w:style>
  <w:style w:type="paragraph" w:customStyle="1" w:styleId="Sous-titreobjet">
    <w:name w:val="Sous-titre objet"/>
    <w:basedOn w:val="Normal"/>
    <w:pPr>
      <w:spacing w:before="0" w:after="0"/>
      <w:jc w:val="center"/>
    </w:pPr>
    <w:rPr>
      <w:rFonts w:eastAsia="Times New Roman"/>
      <w:b/>
    </w:rPr>
  </w:style>
  <w:style w:type="paragraph" w:customStyle="1" w:styleId="Sous-titreobjetPagedecouverture">
    <w:name w:val="Sous-titre objet (Page de couverture)"/>
    <w:basedOn w:val="Sous-titreobjet"/>
  </w:style>
  <w:style w:type="paragraph" w:customStyle="1" w:styleId="L">
    <w:name w:val="L"/>
    <w:basedOn w:val="ListNumberLevel3"/>
    <w:pPr>
      <w:numPr>
        <w:ilvl w:val="2"/>
        <w:numId w:val="34"/>
      </w:numPr>
      <w:tabs>
        <w:tab w:val="clear" w:pos="2126"/>
      </w:tabs>
    </w:pPr>
    <w:rPr>
      <w:noProof/>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egalNumPar">
    <w:name w:val="LegalNumPar"/>
    <w:basedOn w:val="Normal"/>
    <w:pPr>
      <w:numPr>
        <w:numId w:val="44"/>
      </w:numPr>
      <w:spacing w:line="360" w:lineRule="auto"/>
    </w:pPr>
  </w:style>
  <w:style w:type="paragraph" w:customStyle="1" w:styleId="LegalNumPar2">
    <w:name w:val="LegalNumPar2"/>
    <w:basedOn w:val="Normal"/>
    <w:pPr>
      <w:numPr>
        <w:ilvl w:val="1"/>
        <w:numId w:val="44"/>
      </w:numPr>
      <w:spacing w:line="360" w:lineRule="auto"/>
    </w:pPr>
  </w:style>
  <w:style w:type="paragraph" w:customStyle="1" w:styleId="LegalNumPar3">
    <w:name w:val="LegalNumPar3"/>
    <w:basedOn w:val="Normal"/>
    <w:pPr>
      <w:numPr>
        <w:ilvl w:val="2"/>
        <w:numId w:val="44"/>
      </w:numPr>
      <w:spacing w:line="360" w:lineRule="auto"/>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i-FI"/>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i-F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1"/>
      </w:numPr>
    </w:pPr>
  </w:style>
  <w:style w:type="paragraph" w:customStyle="1" w:styleId="Tiret1">
    <w:name w:val="Tiret 1"/>
    <w:basedOn w:val="Point1"/>
    <w:pPr>
      <w:numPr>
        <w:numId w:val="52"/>
      </w:numPr>
    </w:pPr>
  </w:style>
  <w:style w:type="paragraph" w:customStyle="1" w:styleId="Tiret2">
    <w:name w:val="Tiret 2"/>
    <w:basedOn w:val="Point2"/>
    <w:pPr>
      <w:numPr>
        <w:numId w:val="53"/>
      </w:numPr>
    </w:pPr>
  </w:style>
  <w:style w:type="paragraph" w:customStyle="1" w:styleId="Tiret3">
    <w:name w:val="Tiret 3"/>
    <w:basedOn w:val="Point3"/>
    <w:pPr>
      <w:numPr>
        <w:numId w:val="54"/>
      </w:numPr>
    </w:pPr>
  </w:style>
  <w:style w:type="paragraph" w:customStyle="1" w:styleId="Tiret4">
    <w:name w:val="Tiret 4"/>
    <w:basedOn w:val="Point4"/>
    <w:pPr>
      <w:numPr>
        <w:numId w:val="5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6"/>
      </w:numPr>
    </w:pPr>
  </w:style>
  <w:style w:type="paragraph" w:customStyle="1" w:styleId="NumPar2">
    <w:name w:val="NumPar 2"/>
    <w:basedOn w:val="Normal"/>
    <w:next w:val="Text1"/>
    <w:pPr>
      <w:numPr>
        <w:ilvl w:val="1"/>
        <w:numId w:val="56"/>
      </w:numPr>
    </w:pPr>
  </w:style>
  <w:style w:type="paragraph" w:customStyle="1" w:styleId="NumPar3">
    <w:name w:val="NumPar 3"/>
    <w:basedOn w:val="Normal"/>
    <w:next w:val="Text1"/>
    <w:pPr>
      <w:numPr>
        <w:ilvl w:val="2"/>
        <w:numId w:val="56"/>
      </w:numPr>
    </w:pPr>
  </w:style>
  <w:style w:type="paragraph" w:customStyle="1" w:styleId="NumPar4">
    <w:name w:val="NumPar 4"/>
    <w:basedOn w:val="Normal"/>
    <w:next w:val="Text1"/>
    <w:pPr>
      <w:numPr>
        <w:ilvl w:val="3"/>
        <w:numId w:val="5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8"/>
      </w:numPr>
    </w:pPr>
  </w:style>
  <w:style w:type="paragraph" w:customStyle="1" w:styleId="Point1number">
    <w:name w:val="Point 1 (number)"/>
    <w:basedOn w:val="Normal"/>
    <w:pPr>
      <w:numPr>
        <w:ilvl w:val="2"/>
        <w:numId w:val="58"/>
      </w:numPr>
    </w:pPr>
  </w:style>
  <w:style w:type="paragraph" w:customStyle="1" w:styleId="Point2number">
    <w:name w:val="Point 2 (number)"/>
    <w:basedOn w:val="Normal"/>
    <w:pPr>
      <w:numPr>
        <w:ilvl w:val="4"/>
        <w:numId w:val="58"/>
      </w:numPr>
    </w:pPr>
  </w:style>
  <w:style w:type="paragraph" w:customStyle="1" w:styleId="Point3number">
    <w:name w:val="Point 3 (number)"/>
    <w:basedOn w:val="Normal"/>
    <w:pPr>
      <w:numPr>
        <w:ilvl w:val="6"/>
        <w:numId w:val="58"/>
      </w:numPr>
    </w:pPr>
  </w:style>
  <w:style w:type="paragraph" w:customStyle="1" w:styleId="Point0letter">
    <w:name w:val="Point 0 (letter)"/>
    <w:basedOn w:val="Normal"/>
    <w:pPr>
      <w:numPr>
        <w:ilvl w:val="1"/>
        <w:numId w:val="58"/>
      </w:numPr>
    </w:pPr>
  </w:style>
  <w:style w:type="paragraph" w:customStyle="1" w:styleId="Point1letter">
    <w:name w:val="Point 1 (letter)"/>
    <w:basedOn w:val="Normal"/>
    <w:pPr>
      <w:numPr>
        <w:ilvl w:val="3"/>
        <w:numId w:val="58"/>
      </w:numPr>
    </w:pPr>
  </w:style>
  <w:style w:type="paragraph" w:customStyle="1" w:styleId="Point2letter">
    <w:name w:val="Point 2 (letter)"/>
    <w:basedOn w:val="Normal"/>
    <w:pPr>
      <w:numPr>
        <w:ilvl w:val="5"/>
        <w:numId w:val="58"/>
      </w:numPr>
    </w:pPr>
  </w:style>
  <w:style w:type="paragraph" w:customStyle="1" w:styleId="Point3letter">
    <w:name w:val="Point 3 (letter)"/>
    <w:basedOn w:val="Normal"/>
    <w:pPr>
      <w:numPr>
        <w:ilvl w:val="7"/>
        <w:numId w:val="58"/>
      </w:numPr>
    </w:pPr>
  </w:style>
  <w:style w:type="paragraph" w:customStyle="1" w:styleId="Point4letter">
    <w:name w:val="Point 4 (letter)"/>
    <w:basedOn w:val="Normal"/>
    <w:pPr>
      <w:numPr>
        <w:ilvl w:val="8"/>
        <w:numId w:val="58"/>
      </w:numPr>
    </w:pPr>
  </w:style>
  <w:style w:type="paragraph" w:customStyle="1" w:styleId="Bullet0">
    <w:name w:val="Bullet 0"/>
    <w:basedOn w:val="Normal"/>
    <w:pPr>
      <w:numPr>
        <w:numId w:val="59"/>
      </w:numPr>
    </w:pPr>
  </w:style>
  <w:style w:type="paragraph" w:customStyle="1" w:styleId="Bullet1">
    <w:name w:val="Bullet 1"/>
    <w:basedOn w:val="Normal"/>
    <w:pPr>
      <w:numPr>
        <w:numId w:val="60"/>
      </w:numPr>
    </w:pPr>
  </w:style>
  <w:style w:type="paragraph" w:customStyle="1" w:styleId="Bullet2">
    <w:name w:val="Bullet 2"/>
    <w:basedOn w:val="Normal"/>
    <w:pPr>
      <w:numPr>
        <w:numId w:val="61"/>
      </w:numPr>
    </w:pPr>
  </w:style>
  <w:style w:type="paragraph" w:customStyle="1" w:styleId="Bullet3">
    <w:name w:val="Bullet 3"/>
    <w:basedOn w:val="Normal"/>
    <w:pPr>
      <w:numPr>
        <w:numId w:val="62"/>
      </w:numPr>
    </w:pPr>
  </w:style>
  <w:style w:type="paragraph" w:customStyle="1" w:styleId="Bullet4">
    <w:name w:val="Bullet 4"/>
    <w:basedOn w:val="Normal"/>
    <w:pPr>
      <w:numPr>
        <w:numId w:val="6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67761">
      <w:bodyDiv w:val="1"/>
      <w:marLeft w:val="0"/>
      <w:marRight w:val="0"/>
      <w:marTop w:val="0"/>
      <w:marBottom w:val="0"/>
      <w:divBdr>
        <w:top w:val="none" w:sz="0" w:space="0" w:color="auto"/>
        <w:left w:val="none" w:sz="0" w:space="0" w:color="auto"/>
        <w:bottom w:val="none" w:sz="0" w:space="0" w:color="auto"/>
        <w:right w:val="none" w:sz="0" w:space="0" w:color="auto"/>
      </w:divBdr>
    </w:div>
    <w:div w:id="79261393">
      <w:bodyDiv w:val="1"/>
      <w:marLeft w:val="0"/>
      <w:marRight w:val="0"/>
      <w:marTop w:val="0"/>
      <w:marBottom w:val="0"/>
      <w:divBdr>
        <w:top w:val="none" w:sz="0" w:space="0" w:color="auto"/>
        <w:left w:val="none" w:sz="0" w:space="0" w:color="auto"/>
        <w:bottom w:val="none" w:sz="0" w:space="0" w:color="auto"/>
        <w:right w:val="none" w:sz="0" w:space="0" w:color="auto"/>
      </w:divBdr>
    </w:div>
    <w:div w:id="233586712">
      <w:bodyDiv w:val="1"/>
      <w:marLeft w:val="0"/>
      <w:marRight w:val="0"/>
      <w:marTop w:val="0"/>
      <w:marBottom w:val="0"/>
      <w:divBdr>
        <w:top w:val="none" w:sz="0" w:space="0" w:color="auto"/>
        <w:left w:val="none" w:sz="0" w:space="0" w:color="auto"/>
        <w:bottom w:val="none" w:sz="0" w:space="0" w:color="auto"/>
        <w:right w:val="none" w:sz="0" w:space="0" w:color="auto"/>
      </w:divBdr>
    </w:div>
    <w:div w:id="264732576">
      <w:bodyDiv w:val="1"/>
      <w:marLeft w:val="0"/>
      <w:marRight w:val="0"/>
      <w:marTop w:val="0"/>
      <w:marBottom w:val="0"/>
      <w:divBdr>
        <w:top w:val="none" w:sz="0" w:space="0" w:color="auto"/>
        <w:left w:val="none" w:sz="0" w:space="0" w:color="auto"/>
        <w:bottom w:val="none" w:sz="0" w:space="0" w:color="auto"/>
        <w:right w:val="none" w:sz="0" w:space="0" w:color="auto"/>
      </w:divBdr>
    </w:div>
    <w:div w:id="322507750">
      <w:bodyDiv w:val="1"/>
      <w:marLeft w:val="0"/>
      <w:marRight w:val="0"/>
      <w:marTop w:val="0"/>
      <w:marBottom w:val="0"/>
      <w:divBdr>
        <w:top w:val="none" w:sz="0" w:space="0" w:color="auto"/>
        <w:left w:val="none" w:sz="0" w:space="0" w:color="auto"/>
        <w:bottom w:val="none" w:sz="0" w:space="0" w:color="auto"/>
        <w:right w:val="none" w:sz="0" w:space="0" w:color="auto"/>
      </w:divBdr>
    </w:div>
    <w:div w:id="332688666">
      <w:bodyDiv w:val="1"/>
      <w:marLeft w:val="0"/>
      <w:marRight w:val="0"/>
      <w:marTop w:val="0"/>
      <w:marBottom w:val="0"/>
      <w:divBdr>
        <w:top w:val="none" w:sz="0" w:space="0" w:color="auto"/>
        <w:left w:val="none" w:sz="0" w:space="0" w:color="auto"/>
        <w:bottom w:val="none" w:sz="0" w:space="0" w:color="auto"/>
        <w:right w:val="none" w:sz="0" w:space="0" w:color="auto"/>
      </w:divBdr>
    </w:div>
    <w:div w:id="545142200">
      <w:bodyDiv w:val="1"/>
      <w:marLeft w:val="0"/>
      <w:marRight w:val="0"/>
      <w:marTop w:val="0"/>
      <w:marBottom w:val="0"/>
      <w:divBdr>
        <w:top w:val="none" w:sz="0" w:space="0" w:color="auto"/>
        <w:left w:val="none" w:sz="0" w:space="0" w:color="auto"/>
        <w:bottom w:val="none" w:sz="0" w:space="0" w:color="auto"/>
        <w:right w:val="none" w:sz="0" w:space="0" w:color="auto"/>
      </w:divBdr>
      <w:divsChild>
        <w:div w:id="1282302233">
          <w:marLeft w:val="0"/>
          <w:marRight w:val="0"/>
          <w:marTop w:val="0"/>
          <w:marBottom w:val="0"/>
          <w:divBdr>
            <w:top w:val="none" w:sz="0" w:space="0" w:color="auto"/>
            <w:left w:val="none" w:sz="0" w:space="0" w:color="auto"/>
            <w:bottom w:val="none" w:sz="0" w:space="0" w:color="auto"/>
            <w:right w:val="none" w:sz="0" w:space="0" w:color="auto"/>
          </w:divBdr>
          <w:divsChild>
            <w:div w:id="1590892701">
              <w:marLeft w:val="0"/>
              <w:marRight w:val="0"/>
              <w:marTop w:val="0"/>
              <w:marBottom w:val="0"/>
              <w:divBdr>
                <w:top w:val="none" w:sz="0" w:space="0" w:color="auto"/>
                <w:left w:val="none" w:sz="0" w:space="0" w:color="auto"/>
                <w:bottom w:val="none" w:sz="0" w:space="0" w:color="auto"/>
                <w:right w:val="none" w:sz="0" w:space="0" w:color="auto"/>
              </w:divBdr>
              <w:divsChild>
                <w:div w:id="405881653">
                  <w:marLeft w:val="0"/>
                  <w:marRight w:val="0"/>
                  <w:marTop w:val="0"/>
                  <w:marBottom w:val="0"/>
                  <w:divBdr>
                    <w:top w:val="none" w:sz="0" w:space="0" w:color="auto"/>
                    <w:left w:val="none" w:sz="0" w:space="0" w:color="auto"/>
                    <w:bottom w:val="none" w:sz="0" w:space="0" w:color="auto"/>
                    <w:right w:val="none" w:sz="0" w:space="0" w:color="auto"/>
                  </w:divBdr>
                  <w:divsChild>
                    <w:div w:id="733115387">
                      <w:marLeft w:val="-150"/>
                      <w:marRight w:val="-150"/>
                      <w:marTop w:val="0"/>
                      <w:marBottom w:val="0"/>
                      <w:divBdr>
                        <w:top w:val="none" w:sz="0" w:space="0" w:color="auto"/>
                        <w:left w:val="none" w:sz="0" w:space="0" w:color="auto"/>
                        <w:bottom w:val="none" w:sz="0" w:space="0" w:color="auto"/>
                        <w:right w:val="none" w:sz="0" w:space="0" w:color="auto"/>
                      </w:divBdr>
                      <w:divsChild>
                        <w:div w:id="929392465">
                          <w:marLeft w:val="0"/>
                          <w:marRight w:val="0"/>
                          <w:marTop w:val="0"/>
                          <w:marBottom w:val="0"/>
                          <w:divBdr>
                            <w:top w:val="none" w:sz="0" w:space="0" w:color="auto"/>
                            <w:left w:val="none" w:sz="0" w:space="0" w:color="auto"/>
                            <w:bottom w:val="none" w:sz="0" w:space="0" w:color="auto"/>
                            <w:right w:val="none" w:sz="0" w:space="0" w:color="auto"/>
                          </w:divBdr>
                          <w:divsChild>
                            <w:div w:id="1859735452">
                              <w:marLeft w:val="0"/>
                              <w:marRight w:val="0"/>
                              <w:marTop w:val="0"/>
                              <w:marBottom w:val="0"/>
                              <w:divBdr>
                                <w:top w:val="none" w:sz="0" w:space="0" w:color="auto"/>
                                <w:left w:val="none" w:sz="0" w:space="0" w:color="auto"/>
                                <w:bottom w:val="none" w:sz="0" w:space="0" w:color="auto"/>
                                <w:right w:val="none" w:sz="0" w:space="0" w:color="auto"/>
                              </w:divBdr>
                              <w:divsChild>
                                <w:div w:id="1163162478">
                                  <w:marLeft w:val="0"/>
                                  <w:marRight w:val="0"/>
                                  <w:marTop w:val="0"/>
                                  <w:marBottom w:val="300"/>
                                  <w:divBdr>
                                    <w:top w:val="none" w:sz="0" w:space="0" w:color="auto"/>
                                    <w:left w:val="none" w:sz="0" w:space="0" w:color="auto"/>
                                    <w:bottom w:val="none" w:sz="0" w:space="0" w:color="auto"/>
                                    <w:right w:val="none" w:sz="0" w:space="0" w:color="auto"/>
                                  </w:divBdr>
                                  <w:divsChild>
                                    <w:div w:id="1550191999">
                                      <w:marLeft w:val="0"/>
                                      <w:marRight w:val="0"/>
                                      <w:marTop w:val="0"/>
                                      <w:marBottom w:val="0"/>
                                      <w:divBdr>
                                        <w:top w:val="none" w:sz="0" w:space="0" w:color="auto"/>
                                        <w:left w:val="none" w:sz="0" w:space="0" w:color="auto"/>
                                        <w:bottom w:val="none" w:sz="0" w:space="0" w:color="auto"/>
                                        <w:right w:val="none" w:sz="0" w:space="0" w:color="auto"/>
                                      </w:divBdr>
                                      <w:divsChild>
                                        <w:div w:id="470561401">
                                          <w:marLeft w:val="0"/>
                                          <w:marRight w:val="0"/>
                                          <w:marTop w:val="0"/>
                                          <w:marBottom w:val="0"/>
                                          <w:divBdr>
                                            <w:top w:val="none" w:sz="0" w:space="0" w:color="auto"/>
                                            <w:left w:val="none" w:sz="0" w:space="0" w:color="auto"/>
                                            <w:bottom w:val="none" w:sz="0" w:space="0" w:color="auto"/>
                                            <w:right w:val="none" w:sz="0" w:space="0" w:color="auto"/>
                                          </w:divBdr>
                                          <w:divsChild>
                                            <w:div w:id="193096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6983475">
      <w:bodyDiv w:val="1"/>
      <w:marLeft w:val="0"/>
      <w:marRight w:val="0"/>
      <w:marTop w:val="0"/>
      <w:marBottom w:val="0"/>
      <w:divBdr>
        <w:top w:val="none" w:sz="0" w:space="0" w:color="auto"/>
        <w:left w:val="none" w:sz="0" w:space="0" w:color="auto"/>
        <w:bottom w:val="none" w:sz="0" w:space="0" w:color="auto"/>
        <w:right w:val="none" w:sz="0" w:space="0" w:color="auto"/>
      </w:divBdr>
    </w:div>
    <w:div w:id="961687011">
      <w:bodyDiv w:val="1"/>
      <w:marLeft w:val="0"/>
      <w:marRight w:val="0"/>
      <w:marTop w:val="0"/>
      <w:marBottom w:val="0"/>
      <w:divBdr>
        <w:top w:val="none" w:sz="0" w:space="0" w:color="auto"/>
        <w:left w:val="none" w:sz="0" w:space="0" w:color="auto"/>
        <w:bottom w:val="none" w:sz="0" w:space="0" w:color="auto"/>
        <w:right w:val="none" w:sz="0" w:space="0" w:color="auto"/>
      </w:divBdr>
    </w:div>
    <w:div w:id="992489047">
      <w:bodyDiv w:val="1"/>
      <w:marLeft w:val="0"/>
      <w:marRight w:val="0"/>
      <w:marTop w:val="0"/>
      <w:marBottom w:val="0"/>
      <w:divBdr>
        <w:top w:val="none" w:sz="0" w:space="0" w:color="auto"/>
        <w:left w:val="none" w:sz="0" w:space="0" w:color="auto"/>
        <w:bottom w:val="none" w:sz="0" w:space="0" w:color="auto"/>
        <w:right w:val="none" w:sz="0" w:space="0" w:color="auto"/>
      </w:divBdr>
    </w:div>
    <w:div w:id="1072122413">
      <w:bodyDiv w:val="1"/>
      <w:marLeft w:val="0"/>
      <w:marRight w:val="0"/>
      <w:marTop w:val="0"/>
      <w:marBottom w:val="0"/>
      <w:divBdr>
        <w:top w:val="none" w:sz="0" w:space="0" w:color="auto"/>
        <w:left w:val="none" w:sz="0" w:space="0" w:color="auto"/>
        <w:bottom w:val="none" w:sz="0" w:space="0" w:color="auto"/>
        <w:right w:val="none" w:sz="0" w:space="0" w:color="auto"/>
      </w:divBdr>
    </w:div>
    <w:div w:id="1079061681">
      <w:bodyDiv w:val="1"/>
      <w:marLeft w:val="0"/>
      <w:marRight w:val="0"/>
      <w:marTop w:val="0"/>
      <w:marBottom w:val="0"/>
      <w:divBdr>
        <w:top w:val="none" w:sz="0" w:space="0" w:color="auto"/>
        <w:left w:val="none" w:sz="0" w:space="0" w:color="auto"/>
        <w:bottom w:val="none" w:sz="0" w:space="0" w:color="auto"/>
        <w:right w:val="none" w:sz="0" w:space="0" w:color="auto"/>
      </w:divBdr>
    </w:div>
    <w:div w:id="1110515201">
      <w:bodyDiv w:val="1"/>
      <w:marLeft w:val="0"/>
      <w:marRight w:val="0"/>
      <w:marTop w:val="0"/>
      <w:marBottom w:val="0"/>
      <w:divBdr>
        <w:top w:val="none" w:sz="0" w:space="0" w:color="auto"/>
        <w:left w:val="none" w:sz="0" w:space="0" w:color="auto"/>
        <w:bottom w:val="none" w:sz="0" w:space="0" w:color="auto"/>
        <w:right w:val="none" w:sz="0" w:space="0" w:color="auto"/>
      </w:divBdr>
    </w:div>
    <w:div w:id="1196116993">
      <w:bodyDiv w:val="1"/>
      <w:marLeft w:val="0"/>
      <w:marRight w:val="0"/>
      <w:marTop w:val="0"/>
      <w:marBottom w:val="0"/>
      <w:divBdr>
        <w:top w:val="none" w:sz="0" w:space="0" w:color="auto"/>
        <w:left w:val="none" w:sz="0" w:space="0" w:color="auto"/>
        <w:bottom w:val="none" w:sz="0" w:space="0" w:color="auto"/>
        <w:right w:val="none" w:sz="0" w:space="0" w:color="auto"/>
      </w:divBdr>
    </w:div>
    <w:div w:id="1218081250">
      <w:bodyDiv w:val="1"/>
      <w:marLeft w:val="0"/>
      <w:marRight w:val="0"/>
      <w:marTop w:val="0"/>
      <w:marBottom w:val="0"/>
      <w:divBdr>
        <w:top w:val="none" w:sz="0" w:space="0" w:color="auto"/>
        <w:left w:val="none" w:sz="0" w:space="0" w:color="auto"/>
        <w:bottom w:val="none" w:sz="0" w:space="0" w:color="auto"/>
        <w:right w:val="none" w:sz="0" w:space="0" w:color="auto"/>
      </w:divBdr>
    </w:div>
    <w:div w:id="1333876624">
      <w:bodyDiv w:val="1"/>
      <w:marLeft w:val="0"/>
      <w:marRight w:val="0"/>
      <w:marTop w:val="0"/>
      <w:marBottom w:val="0"/>
      <w:divBdr>
        <w:top w:val="none" w:sz="0" w:space="0" w:color="auto"/>
        <w:left w:val="none" w:sz="0" w:space="0" w:color="auto"/>
        <w:bottom w:val="none" w:sz="0" w:space="0" w:color="auto"/>
        <w:right w:val="none" w:sz="0" w:space="0" w:color="auto"/>
      </w:divBdr>
    </w:div>
    <w:div w:id="1350448783">
      <w:bodyDiv w:val="1"/>
      <w:marLeft w:val="0"/>
      <w:marRight w:val="0"/>
      <w:marTop w:val="0"/>
      <w:marBottom w:val="0"/>
      <w:divBdr>
        <w:top w:val="none" w:sz="0" w:space="0" w:color="auto"/>
        <w:left w:val="none" w:sz="0" w:space="0" w:color="auto"/>
        <w:bottom w:val="none" w:sz="0" w:space="0" w:color="auto"/>
        <w:right w:val="none" w:sz="0" w:space="0" w:color="auto"/>
      </w:divBdr>
    </w:div>
    <w:div w:id="1502625678">
      <w:bodyDiv w:val="1"/>
      <w:marLeft w:val="0"/>
      <w:marRight w:val="0"/>
      <w:marTop w:val="0"/>
      <w:marBottom w:val="0"/>
      <w:divBdr>
        <w:top w:val="none" w:sz="0" w:space="0" w:color="auto"/>
        <w:left w:val="none" w:sz="0" w:space="0" w:color="auto"/>
        <w:bottom w:val="none" w:sz="0" w:space="0" w:color="auto"/>
        <w:right w:val="none" w:sz="0" w:space="0" w:color="auto"/>
      </w:divBdr>
    </w:div>
    <w:div w:id="1525440466">
      <w:bodyDiv w:val="1"/>
      <w:marLeft w:val="0"/>
      <w:marRight w:val="0"/>
      <w:marTop w:val="0"/>
      <w:marBottom w:val="0"/>
      <w:divBdr>
        <w:top w:val="none" w:sz="0" w:space="0" w:color="auto"/>
        <w:left w:val="none" w:sz="0" w:space="0" w:color="auto"/>
        <w:bottom w:val="none" w:sz="0" w:space="0" w:color="auto"/>
        <w:right w:val="none" w:sz="0" w:space="0" w:color="auto"/>
      </w:divBdr>
    </w:div>
    <w:div w:id="1607077365">
      <w:bodyDiv w:val="1"/>
      <w:marLeft w:val="0"/>
      <w:marRight w:val="0"/>
      <w:marTop w:val="0"/>
      <w:marBottom w:val="0"/>
      <w:divBdr>
        <w:top w:val="none" w:sz="0" w:space="0" w:color="auto"/>
        <w:left w:val="none" w:sz="0" w:space="0" w:color="auto"/>
        <w:bottom w:val="none" w:sz="0" w:space="0" w:color="auto"/>
        <w:right w:val="none" w:sz="0" w:space="0" w:color="auto"/>
      </w:divBdr>
    </w:div>
    <w:div w:id="1614897240">
      <w:bodyDiv w:val="1"/>
      <w:marLeft w:val="0"/>
      <w:marRight w:val="0"/>
      <w:marTop w:val="0"/>
      <w:marBottom w:val="0"/>
      <w:divBdr>
        <w:top w:val="none" w:sz="0" w:space="0" w:color="auto"/>
        <w:left w:val="none" w:sz="0" w:space="0" w:color="auto"/>
        <w:bottom w:val="none" w:sz="0" w:space="0" w:color="auto"/>
        <w:right w:val="none" w:sz="0" w:space="0" w:color="auto"/>
      </w:divBdr>
      <w:divsChild>
        <w:div w:id="199510374">
          <w:marLeft w:val="0"/>
          <w:marRight w:val="0"/>
          <w:marTop w:val="0"/>
          <w:marBottom w:val="0"/>
          <w:divBdr>
            <w:top w:val="none" w:sz="0" w:space="0" w:color="auto"/>
            <w:left w:val="none" w:sz="0" w:space="0" w:color="auto"/>
            <w:bottom w:val="none" w:sz="0" w:space="0" w:color="auto"/>
            <w:right w:val="none" w:sz="0" w:space="0" w:color="auto"/>
          </w:divBdr>
          <w:divsChild>
            <w:div w:id="1192767862">
              <w:marLeft w:val="0"/>
              <w:marRight w:val="0"/>
              <w:marTop w:val="0"/>
              <w:marBottom w:val="0"/>
              <w:divBdr>
                <w:top w:val="none" w:sz="0" w:space="0" w:color="auto"/>
                <w:left w:val="none" w:sz="0" w:space="0" w:color="auto"/>
                <w:bottom w:val="none" w:sz="0" w:space="0" w:color="auto"/>
                <w:right w:val="none" w:sz="0" w:space="0" w:color="auto"/>
              </w:divBdr>
              <w:divsChild>
                <w:div w:id="798186417">
                  <w:marLeft w:val="0"/>
                  <w:marRight w:val="0"/>
                  <w:marTop w:val="0"/>
                  <w:marBottom w:val="0"/>
                  <w:divBdr>
                    <w:top w:val="none" w:sz="0" w:space="0" w:color="auto"/>
                    <w:left w:val="none" w:sz="0" w:space="0" w:color="auto"/>
                    <w:bottom w:val="none" w:sz="0" w:space="0" w:color="auto"/>
                    <w:right w:val="none" w:sz="0" w:space="0" w:color="auto"/>
                  </w:divBdr>
                  <w:divsChild>
                    <w:div w:id="8695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778152">
      <w:bodyDiv w:val="1"/>
      <w:marLeft w:val="0"/>
      <w:marRight w:val="0"/>
      <w:marTop w:val="0"/>
      <w:marBottom w:val="0"/>
      <w:divBdr>
        <w:top w:val="none" w:sz="0" w:space="0" w:color="auto"/>
        <w:left w:val="none" w:sz="0" w:space="0" w:color="auto"/>
        <w:bottom w:val="none" w:sz="0" w:space="0" w:color="auto"/>
        <w:right w:val="none" w:sz="0" w:space="0" w:color="auto"/>
      </w:divBdr>
    </w:div>
    <w:div w:id="1728451725">
      <w:bodyDiv w:val="1"/>
      <w:marLeft w:val="0"/>
      <w:marRight w:val="0"/>
      <w:marTop w:val="0"/>
      <w:marBottom w:val="0"/>
      <w:divBdr>
        <w:top w:val="none" w:sz="0" w:space="0" w:color="auto"/>
        <w:left w:val="none" w:sz="0" w:space="0" w:color="auto"/>
        <w:bottom w:val="none" w:sz="0" w:space="0" w:color="auto"/>
        <w:right w:val="none" w:sz="0" w:space="0" w:color="auto"/>
      </w:divBdr>
    </w:div>
    <w:div w:id="1778603461">
      <w:bodyDiv w:val="1"/>
      <w:marLeft w:val="0"/>
      <w:marRight w:val="0"/>
      <w:marTop w:val="0"/>
      <w:marBottom w:val="0"/>
      <w:divBdr>
        <w:top w:val="none" w:sz="0" w:space="0" w:color="auto"/>
        <w:left w:val="none" w:sz="0" w:space="0" w:color="auto"/>
        <w:bottom w:val="none" w:sz="0" w:space="0" w:color="auto"/>
        <w:right w:val="none" w:sz="0" w:space="0" w:color="auto"/>
      </w:divBdr>
    </w:div>
    <w:div w:id="1826046690">
      <w:bodyDiv w:val="1"/>
      <w:marLeft w:val="0"/>
      <w:marRight w:val="0"/>
      <w:marTop w:val="0"/>
      <w:marBottom w:val="0"/>
      <w:divBdr>
        <w:top w:val="none" w:sz="0" w:space="0" w:color="auto"/>
        <w:left w:val="none" w:sz="0" w:space="0" w:color="auto"/>
        <w:bottom w:val="none" w:sz="0" w:space="0" w:color="auto"/>
        <w:right w:val="none" w:sz="0" w:space="0" w:color="auto"/>
      </w:divBdr>
    </w:div>
    <w:div w:id="1843738899">
      <w:bodyDiv w:val="1"/>
      <w:marLeft w:val="0"/>
      <w:marRight w:val="0"/>
      <w:marTop w:val="0"/>
      <w:marBottom w:val="0"/>
      <w:divBdr>
        <w:top w:val="none" w:sz="0" w:space="0" w:color="auto"/>
        <w:left w:val="none" w:sz="0" w:space="0" w:color="auto"/>
        <w:bottom w:val="none" w:sz="0" w:space="0" w:color="auto"/>
        <w:right w:val="none" w:sz="0" w:space="0" w:color="auto"/>
      </w:divBdr>
      <w:divsChild>
        <w:div w:id="129253894">
          <w:marLeft w:val="0"/>
          <w:marRight w:val="0"/>
          <w:marTop w:val="0"/>
          <w:marBottom w:val="0"/>
          <w:divBdr>
            <w:top w:val="none" w:sz="0" w:space="0" w:color="auto"/>
            <w:left w:val="none" w:sz="0" w:space="0" w:color="auto"/>
            <w:bottom w:val="none" w:sz="0" w:space="0" w:color="auto"/>
            <w:right w:val="none" w:sz="0" w:space="0" w:color="auto"/>
          </w:divBdr>
          <w:divsChild>
            <w:div w:id="1497961777">
              <w:marLeft w:val="0"/>
              <w:marRight w:val="0"/>
              <w:marTop w:val="0"/>
              <w:marBottom w:val="0"/>
              <w:divBdr>
                <w:top w:val="none" w:sz="0" w:space="0" w:color="auto"/>
                <w:left w:val="none" w:sz="0" w:space="0" w:color="auto"/>
                <w:bottom w:val="none" w:sz="0" w:space="0" w:color="auto"/>
                <w:right w:val="none" w:sz="0" w:space="0" w:color="auto"/>
              </w:divBdr>
              <w:divsChild>
                <w:div w:id="2116486410">
                  <w:marLeft w:val="0"/>
                  <w:marRight w:val="0"/>
                  <w:marTop w:val="0"/>
                  <w:marBottom w:val="0"/>
                  <w:divBdr>
                    <w:top w:val="none" w:sz="0" w:space="0" w:color="auto"/>
                    <w:left w:val="none" w:sz="0" w:space="0" w:color="auto"/>
                    <w:bottom w:val="none" w:sz="0" w:space="0" w:color="auto"/>
                    <w:right w:val="none" w:sz="0" w:space="0" w:color="auto"/>
                  </w:divBdr>
                  <w:divsChild>
                    <w:div w:id="17782186">
                      <w:marLeft w:val="-150"/>
                      <w:marRight w:val="-150"/>
                      <w:marTop w:val="0"/>
                      <w:marBottom w:val="0"/>
                      <w:divBdr>
                        <w:top w:val="none" w:sz="0" w:space="0" w:color="auto"/>
                        <w:left w:val="none" w:sz="0" w:space="0" w:color="auto"/>
                        <w:bottom w:val="none" w:sz="0" w:space="0" w:color="auto"/>
                        <w:right w:val="none" w:sz="0" w:space="0" w:color="auto"/>
                      </w:divBdr>
                      <w:divsChild>
                        <w:div w:id="1180000970">
                          <w:marLeft w:val="0"/>
                          <w:marRight w:val="0"/>
                          <w:marTop w:val="0"/>
                          <w:marBottom w:val="0"/>
                          <w:divBdr>
                            <w:top w:val="none" w:sz="0" w:space="0" w:color="auto"/>
                            <w:left w:val="none" w:sz="0" w:space="0" w:color="auto"/>
                            <w:bottom w:val="none" w:sz="0" w:space="0" w:color="auto"/>
                            <w:right w:val="none" w:sz="0" w:space="0" w:color="auto"/>
                          </w:divBdr>
                          <w:divsChild>
                            <w:div w:id="730620149">
                              <w:marLeft w:val="0"/>
                              <w:marRight w:val="0"/>
                              <w:marTop w:val="0"/>
                              <w:marBottom w:val="0"/>
                              <w:divBdr>
                                <w:top w:val="none" w:sz="0" w:space="0" w:color="auto"/>
                                <w:left w:val="none" w:sz="0" w:space="0" w:color="auto"/>
                                <w:bottom w:val="none" w:sz="0" w:space="0" w:color="auto"/>
                                <w:right w:val="none" w:sz="0" w:space="0" w:color="auto"/>
                              </w:divBdr>
                              <w:divsChild>
                                <w:div w:id="1842155739">
                                  <w:marLeft w:val="0"/>
                                  <w:marRight w:val="0"/>
                                  <w:marTop w:val="0"/>
                                  <w:marBottom w:val="300"/>
                                  <w:divBdr>
                                    <w:top w:val="none" w:sz="0" w:space="0" w:color="auto"/>
                                    <w:left w:val="none" w:sz="0" w:space="0" w:color="auto"/>
                                    <w:bottom w:val="none" w:sz="0" w:space="0" w:color="auto"/>
                                    <w:right w:val="none" w:sz="0" w:space="0" w:color="auto"/>
                                  </w:divBdr>
                                  <w:divsChild>
                                    <w:div w:id="1542790392">
                                      <w:marLeft w:val="0"/>
                                      <w:marRight w:val="0"/>
                                      <w:marTop w:val="0"/>
                                      <w:marBottom w:val="0"/>
                                      <w:divBdr>
                                        <w:top w:val="none" w:sz="0" w:space="0" w:color="auto"/>
                                        <w:left w:val="none" w:sz="0" w:space="0" w:color="auto"/>
                                        <w:bottom w:val="none" w:sz="0" w:space="0" w:color="auto"/>
                                        <w:right w:val="none" w:sz="0" w:space="0" w:color="auto"/>
                                      </w:divBdr>
                                      <w:divsChild>
                                        <w:div w:id="892737884">
                                          <w:marLeft w:val="0"/>
                                          <w:marRight w:val="0"/>
                                          <w:marTop w:val="0"/>
                                          <w:marBottom w:val="0"/>
                                          <w:divBdr>
                                            <w:top w:val="none" w:sz="0" w:space="0" w:color="auto"/>
                                            <w:left w:val="none" w:sz="0" w:space="0" w:color="auto"/>
                                            <w:bottom w:val="none" w:sz="0" w:space="0" w:color="auto"/>
                                            <w:right w:val="none" w:sz="0" w:space="0" w:color="auto"/>
                                          </w:divBdr>
                                          <w:divsChild>
                                            <w:div w:id="15952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1334056">
      <w:bodyDiv w:val="1"/>
      <w:marLeft w:val="0"/>
      <w:marRight w:val="0"/>
      <w:marTop w:val="0"/>
      <w:marBottom w:val="0"/>
      <w:divBdr>
        <w:top w:val="none" w:sz="0" w:space="0" w:color="auto"/>
        <w:left w:val="none" w:sz="0" w:space="0" w:color="auto"/>
        <w:bottom w:val="none" w:sz="0" w:space="0" w:color="auto"/>
        <w:right w:val="none" w:sz="0" w:space="0" w:color="auto"/>
      </w:divBdr>
      <w:divsChild>
        <w:div w:id="820853814">
          <w:marLeft w:val="0"/>
          <w:marRight w:val="0"/>
          <w:marTop w:val="0"/>
          <w:marBottom w:val="0"/>
          <w:divBdr>
            <w:top w:val="none" w:sz="0" w:space="0" w:color="auto"/>
            <w:left w:val="none" w:sz="0" w:space="0" w:color="auto"/>
            <w:bottom w:val="none" w:sz="0" w:space="0" w:color="auto"/>
            <w:right w:val="none" w:sz="0" w:space="0" w:color="auto"/>
          </w:divBdr>
          <w:divsChild>
            <w:div w:id="731467583">
              <w:marLeft w:val="0"/>
              <w:marRight w:val="0"/>
              <w:marTop w:val="0"/>
              <w:marBottom w:val="0"/>
              <w:divBdr>
                <w:top w:val="none" w:sz="0" w:space="0" w:color="auto"/>
                <w:left w:val="none" w:sz="0" w:space="0" w:color="auto"/>
                <w:bottom w:val="none" w:sz="0" w:space="0" w:color="auto"/>
                <w:right w:val="none" w:sz="0" w:space="0" w:color="auto"/>
              </w:divBdr>
              <w:divsChild>
                <w:div w:id="1254976767">
                  <w:marLeft w:val="0"/>
                  <w:marRight w:val="0"/>
                  <w:marTop w:val="0"/>
                  <w:marBottom w:val="0"/>
                  <w:divBdr>
                    <w:top w:val="none" w:sz="0" w:space="0" w:color="auto"/>
                    <w:left w:val="none" w:sz="0" w:space="0" w:color="auto"/>
                    <w:bottom w:val="none" w:sz="0" w:space="0" w:color="auto"/>
                    <w:right w:val="none" w:sz="0" w:space="0" w:color="auto"/>
                  </w:divBdr>
                  <w:divsChild>
                    <w:div w:id="2015298542">
                      <w:marLeft w:val="-150"/>
                      <w:marRight w:val="-150"/>
                      <w:marTop w:val="0"/>
                      <w:marBottom w:val="0"/>
                      <w:divBdr>
                        <w:top w:val="none" w:sz="0" w:space="0" w:color="auto"/>
                        <w:left w:val="none" w:sz="0" w:space="0" w:color="auto"/>
                        <w:bottom w:val="none" w:sz="0" w:space="0" w:color="auto"/>
                        <w:right w:val="none" w:sz="0" w:space="0" w:color="auto"/>
                      </w:divBdr>
                      <w:divsChild>
                        <w:div w:id="1279947667">
                          <w:marLeft w:val="0"/>
                          <w:marRight w:val="0"/>
                          <w:marTop w:val="0"/>
                          <w:marBottom w:val="0"/>
                          <w:divBdr>
                            <w:top w:val="none" w:sz="0" w:space="0" w:color="auto"/>
                            <w:left w:val="none" w:sz="0" w:space="0" w:color="auto"/>
                            <w:bottom w:val="none" w:sz="0" w:space="0" w:color="auto"/>
                            <w:right w:val="none" w:sz="0" w:space="0" w:color="auto"/>
                          </w:divBdr>
                          <w:divsChild>
                            <w:div w:id="969478144">
                              <w:marLeft w:val="0"/>
                              <w:marRight w:val="0"/>
                              <w:marTop w:val="0"/>
                              <w:marBottom w:val="0"/>
                              <w:divBdr>
                                <w:top w:val="none" w:sz="0" w:space="0" w:color="auto"/>
                                <w:left w:val="none" w:sz="0" w:space="0" w:color="auto"/>
                                <w:bottom w:val="none" w:sz="0" w:space="0" w:color="auto"/>
                                <w:right w:val="none" w:sz="0" w:space="0" w:color="auto"/>
                              </w:divBdr>
                              <w:divsChild>
                                <w:div w:id="397090186">
                                  <w:marLeft w:val="0"/>
                                  <w:marRight w:val="0"/>
                                  <w:marTop w:val="0"/>
                                  <w:marBottom w:val="300"/>
                                  <w:divBdr>
                                    <w:top w:val="none" w:sz="0" w:space="0" w:color="auto"/>
                                    <w:left w:val="none" w:sz="0" w:space="0" w:color="auto"/>
                                    <w:bottom w:val="none" w:sz="0" w:space="0" w:color="auto"/>
                                    <w:right w:val="none" w:sz="0" w:space="0" w:color="auto"/>
                                  </w:divBdr>
                                  <w:divsChild>
                                    <w:div w:id="721365042">
                                      <w:marLeft w:val="0"/>
                                      <w:marRight w:val="0"/>
                                      <w:marTop w:val="0"/>
                                      <w:marBottom w:val="0"/>
                                      <w:divBdr>
                                        <w:top w:val="none" w:sz="0" w:space="0" w:color="auto"/>
                                        <w:left w:val="none" w:sz="0" w:space="0" w:color="auto"/>
                                        <w:bottom w:val="none" w:sz="0" w:space="0" w:color="auto"/>
                                        <w:right w:val="none" w:sz="0" w:space="0" w:color="auto"/>
                                      </w:divBdr>
                                      <w:divsChild>
                                        <w:div w:id="857474823">
                                          <w:marLeft w:val="0"/>
                                          <w:marRight w:val="0"/>
                                          <w:marTop w:val="0"/>
                                          <w:marBottom w:val="0"/>
                                          <w:divBdr>
                                            <w:top w:val="none" w:sz="0" w:space="0" w:color="auto"/>
                                            <w:left w:val="none" w:sz="0" w:space="0" w:color="auto"/>
                                            <w:bottom w:val="none" w:sz="0" w:space="0" w:color="auto"/>
                                            <w:right w:val="none" w:sz="0" w:space="0" w:color="auto"/>
                                          </w:divBdr>
                                          <w:divsChild>
                                            <w:div w:id="113274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9434625">
      <w:bodyDiv w:val="1"/>
      <w:marLeft w:val="0"/>
      <w:marRight w:val="0"/>
      <w:marTop w:val="0"/>
      <w:marBottom w:val="0"/>
      <w:divBdr>
        <w:top w:val="none" w:sz="0" w:space="0" w:color="auto"/>
        <w:left w:val="none" w:sz="0" w:space="0" w:color="auto"/>
        <w:bottom w:val="none" w:sz="0" w:space="0" w:color="auto"/>
        <w:right w:val="none" w:sz="0" w:space="0" w:color="auto"/>
      </w:divBdr>
    </w:div>
    <w:div w:id="213879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info/sites/info/files/business_economy_euro/growth_and_investment/documents/200610-cmu-high-level-forum-final-report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CDC5E-D87F-4A33-92C6-330AEF2E5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43</Pages>
  <Words>11958</Words>
  <Characters>112535</Characters>
  <Application>Microsoft Office Word</Application>
  <DocSecurity>0</DocSecurity>
  <Lines>1705</Lines>
  <Paragraphs>409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2020-11-10T18:19:00Z</dcterms:created>
  <dcterms:modified xsi:type="dcterms:W3CDTF">2020-11-11T14:28:00Z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Part">
    <vt:lpwstr>1</vt:lpwstr>
  </property>
  <property fmtid="{D5CDD505-2E9C-101B-9397-08002B2CF9AE}" pid="5" name="Total parts">
    <vt:lpwstr>1</vt:lpwstr>
  </property>
  <property fmtid="{D5CDD505-2E9C-101B-9397-08002B2CF9AE}" pid="6" name="LWTemplateID">
    <vt:lpwstr>SJ-023</vt:lpwstr>
  </property>
  <property fmtid="{D5CDD505-2E9C-101B-9397-08002B2CF9AE}" pid="7" name="DQCStatus">
    <vt:lpwstr>Green (DQC version 03)</vt:lpwstr>
  </property>
  <property fmtid="{D5CDD505-2E9C-101B-9397-08002B2CF9AE}" pid="8" name="Category">
    <vt:lpwstr>COM/PL/ORG</vt:lpwstr>
  </property>
</Properties>
</file>