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78848AF8-6CBD-42AD-853B-8EC6505D695F" style="width:450.75pt;height:379.5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PERUSTELUT</w:t>
      </w:r>
    </w:p>
    <w:p>
      <w:pPr>
        <w:pStyle w:val="ManualHeading1"/>
        <w:rPr>
          <w:noProof/>
        </w:rPr>
      </w:pPr>
      <w:r>
        <w:rPr>
          <w:noProof/>
        </w:rPr>
        <w:t>1.</w:t>
      </w:r>
      <w:r>
        <w:rPr>
          <w:noProof/>
        </w:rPr>
        <w:tab/>
        <w:t>EHDOTUKSEN TAUSTA</w:t>
      </w:r>
    </w:p>
    <w:p>
      <w:pPr>
        <w:spacing w:before="0" w:after="240"/>
        <w:rPr>
          <w:rFonts w:eastAsia="Times New Roman"/>
          <w:noProof/>
          <w:szCs w:val="24"/>
        </w:rPr>
      </w:pPr>
      <w:r>
        <w:rPr>
          <w:noProof/>
        </w:rPr>
        <w:t>Yhdistynyt kuningaskunta ilmoitti 29. maaliskuuta 2017 aikomuksestaan erota unionista Euroopan unionista tehdyn sopimuksen 50 artiklan nojalla. Tämä tarkoittaa, että jos erosopimusta ei ratifioida, unionin primaari- ja sekundaarilainsäädäntöä lakataan soveltamasta Yhdistyneeseen kuningaskuntaan 30. maaliskuuta 2019 (jäljempänä ”eroamispäivä”). Tämän seurauksena Yhdistyneestä kuningaskunnasta tulee ns. kolmas maa.</w:t>
      </w:r>
    </w:p>
    <w:p>
      <w:pPr>
        <w:spacing w:before="0" w:after="200"/>
        <w:rPr>
          <w:noProof/>
          <w:szCs w:val="24"/>
        </w:rPr>
      </w:pPr>
      <w:r>
        <w:rPr>
          <w:noProof/>
        </w:rPr>
        <w:t xml:space="preserve">Marraskuun 13. päivänä 2018 annetussa komission tiedonannossa </w:t>
      </w:r>
      <w:r>
        <w:rPr>
          <w:i/>
          <w:noProof/>
        </w:rPr>
        <w:t>Valmistautuminen Yhdistyneen kuningaskunnan eroamiseen Euroopan unionista 30. maaliskuuta 2019: varautumissuunnitelma</w:t>
      </w:r>
      <w:r>
        <w:rPr>
          <w:noProof/>
        </w:rPr>
        <w:t xml:space="preserve"> vahvistetaan varautumistoimenpiteet, joihin aiotaan ryhtyä siinä tapauksessa, ettei erosopimusta ole voimassa eroamispäivänä. Kyseisessä tiedonannossa komissio luettelee tarpeellisina pitämänsä toimet, mutta toteaa samalla, että lisätoimia voi olla tarpeen toteuttaa myöhemmässä vaiheessa. Tiedonannossa esitettiin myös kuusi yleistä periaatetta, joita varautumistoimenpiteiden olisi kaikilla tasoilla noudatettava. Periaatteena on muun muassa, ettei toimenpiteiden avulla pitäisi toisintaa unionin jäsenyyteen perustuvia etuja eikä erosopimuksen mukaisia siirtymäkauden ehtoja. Toimenpiteiden on oltava väliaikaisia eikä niitä pitäisi periaatteessa soveltaa enää vuoden 2019 jälkeen, ja niiden on oltava Euroopan unionin yksipuolisesti omien etujensa mukaisesti hyväksymiä. Tämän vuoksi unioni voi periaatteessa myös peruuttaa toimenpiteet milloin tahansa.</w:t>
      </w:r>
    </w:p>
    <w:p>
      <w:pPr>
        <w:spacing w:before="0" w:after="200"/>
        <w:rPr>
          <w:noProof/>
          <w:szCs w:val="24"/>
        </w:rPr>
      </w:pPr>
      <w:r>
        <w:rPr>
          <w:noProof/>
        </w:rPr>
        <w:t xml:space="preserve">Eurooppa-neuvosto (50 artikla) kehotti uudelleen 13. joulukuuta 2018 valmistautumaan entistä vahvemmin kaikilla tasolla Yhdistyneen kuningaskunnan eron seurauksiin ottamalla huomioon kaikki mahdolliset tulokset. Kyseisen kehotuksen perusteella komissio esitti 19. joulukuuta 2018 joukon toimenpiteitä. Maatalous- ja kalastusneuvosto vahvisti 17. ja 18. joulukuuta 2018 kalastusmahdollisuudet vuodeksi 2019. Tämän perusteella ja ottaen huomioon jatkuva yhteydenpito jäsenvaltioihin niiden kalastusalaan kohdistuvien tuntuvien vaikutusten tiimoilla, joita aiheutuu, jos Yhdistynyt kuningaskunta eroaa hallitsemattomasti ilman erosopimusta, ja se tosiseikka, etteivät sidosryhmät voi itse lieventää näitä kielteisiä vaikutuksia, komissio on tullut siihen tulokseen, että kalastusalalla tarvitaan kaksi varautumistoimenpidettä. Tämän ulkoisten kalastuslaivastojen kestävää hallinnointia koskevan toimenpiteen lisäksi komissio ehdottaa toimenpidettä Euroopan meri- ja kalatalousrahaston muuttamiseksi. </w:t>
      </w:r>
    </w:p>
    <w:p>
      <w:pPr>
        <w:spacing w:before="0" w:after="240"/>
        <w:rPr>
          <w:rFonts w:eastAsia="Times New Roman"/>
          <w:noProof/>
          <w:szCs w:val="24"/>
        </w:rPr>
      </w:pPr>
      <w:r>
        <w:rPr>
          <w:noProof/>
        </w:rPr>
        <w:t>Asetuksen (EU) N:o 1380/2013</w:t>
      </w:r>
      <w:r>
        <w:rPr>
          <w:rStyle w:val="FootnoteReference"/>
          <w:noProof/>
        </w:rPr>
        <w:footnoteReference w:id="1"/>
      </w:r>
      <w:r>
        <w:rPr>
          <w:noProof/>
        </w:rPr>
        <w:t xml:space="preserve"> (yhteisen kalastuspolitiikan perusasetus) nojalla unionin kalastusaluksilla on yhtäläinen pääsy unionin vesille ja kalavaroihin, jollei yhteisen kalastuspolitiikan säännöistä muuta johdu. Eroamispäivästä alkaen yhteinen kalastuspolitiikka ei enää koske Yhdistynyttä kuningaskuntaa. Tämän jälkeen Yhdistyneen kuningaskunnan vedet (aluemeri ja siihen rajoittuva talousvyöhyke) eivät enää kuulu unionin vesiin. </w:t>
      </w:r>
    </w:p>
    <w:p>
      <w:pPr>
        <w:spacing w:before="0" w:after="240"/>
        <w:rPr>
          <w:rFonts w:eastAsia="Times New Roman"/>
          <w:noProof/>
          <w:szCs w:val="24"/>
        </w:rPr>
      </w:pPr>
      <w:r>
        <w:rPr>
          <w:noProof/>
        </w:rPr>
        <w:t xml:space="preserve">Jos erosopimusta ei tehdä, jäsenvaltioiden alusten Yhdistyneen kuningaskunnan vesillä harjoittamaan kalastustoimintaan ja Yhdistyneen kuningaskunnan alusten unionin vesillä harjoittamaan kalastustoimintaan ei enää sovelleta yhteisen kalastuspolitiikan perusasetusta, kun Yhdistynyt kuningaskunta eroaa unionista. </w:t>
      </w:r>
    </w:p>
    <w:p>
      <w:pPr>
        <w:spacing w:before="0" w:after="240"/>
        <w:rPr>
          <w:rFonts w:eastAsia="Times New Roman"/>
          <w:noProof/>
          <w:szCs w:val="24"/>
        </w:rPr>
      </w:pPr>
      <w:r>
        <w:rPr>
          <w:noProof/>
        </w:rPr>
        <w:t>Kalastuksen kestävyyden varmistamiseksi ja ottaen huomioon kalastuksen merkitys monien yhteisöjen taloudellisena elinkeinona on tärkeää säilyttää mahdollisuus toteuttaa järjestelyjä, joiden mukaisesti unionin ja Yhdistyneen kuningaskunnan alukset voivat edelleen saada vastavuoroisen pääsyn toistensa vesille rajoitetun ajan eroamispäivän jälkeen. Tämän asetuksen tarkoituksena on luoda asianmukainen oikeudellinen kehys tällaista vastavuoroista pääsyä varten.</w:t>
      </w:r>
    </w:p>
    <w:p>
      <w:pPr>
        <w:spacing w:before="0" w:after="240"/>
        <w:rPr>
          <w:rFonts w:eastAsia="Times New Roman"/>
          <w:noProof/>
          <w:szCs w:val="24"/>
        </w:rPr>
      </w:pPr>
      <w:r>
        <w:rPr>
          <w:noProof/>
        </w:rPr>
        <w:t>Kuten 10. joulukuuta 1982 tehdyssä Yhdistyneiden kansakuntien merioikeusyleissopimuksessa, jäljempänä ’UNCLOS’, ja hajallaan olevien kalakantojen ja laajasti vaeltavien kalakantojen säilyttämistä ja hoitoa koskevien 10 päivänä joulukuuta 1982 tehdyn Yhdistyneiden kansakuntien merioikeusyleissopimuksen määräysten täytäntöönpanosta 4 päivänä elokuuta 1995 tehdyssä sopimuksessa, jäljempänä ’YK:n kalakantasopimus’, määrätään, tiettyjen jaettujen, hajallaan olevien ja laajasti vaeltavien kalakantojen hoito edellyttää kaikkien niiden maiden yhteistyötä, joiden vesillä kyseisiä kalakantoja esiintyy (rantavaltiot) ja joiden laivastot hyödyntävät kyseisiä kantoja (kalastusta harjoittavat valtiot). Tällainen yhteistyö voidaan toteuttaa sellaisten maiden välisellä erityisjärjestelyllä, joiden intressinä asianomainen kalastus on.</w:t>
      </w:r>
    </w:p>
    <w:p>
      <w:pPr>
        <w:spacing w:before="0" w:after="240"/>
        <w:rPr>
          <w:rFonts w:eastAsia="Times New Roman"/>
          <w:noProof/>
          <w:szCs w:val="24"/>
        </w:rPr>
      </w:pPr>
      <w:r>
        <w:rPr>
          <w:noProof/>
        </w:rPr>
        <w:t xml:space="preserve">Vuoden 2019 kalastusmahdollisuuksista on sovittu, ja myös Yhdistynyt kuningaskunta on ne hyväksynyt Yhdistyneen kuningaskunnan unionin jäsenyyden aikana. Kyseiset järjestelyt ja niissä vahvistetut kalastusmahdollisuudet muodostavat perustan kalastustoiminnan vakaudelle, ja ne on vahvistettu noudattaen täysimääräisesti Yhdistyneiden kansakuntien merioikeusyleissopimuksen 61 ja 62 artiklassa vahvistettuja vaatimuksia. Näillä järjestelyillä pyritään varmistamaan meren elollisten luonnonvarojen kestävä hyödyntäminen ja vakaus unionin vesillä ja Yhdistyneen kuningaskunnan vesillä. </w:t>
      </w:r>
    </w:p>
    <w:p>
      <w:pPr>
        <w:spacing w:before="0" w:after="240"/>
        <w:rPr>
          <w:rFonts w:eastAsia="Times New Roman"/>
          <w:noProof/>
          <w:szCs w:val="24"/>
        </w:rPr>
      </w:pPr>
      <w:r>
        <w:rPr>
          <w:noProof/>
        </w:rPr>
        <w:t>Asetuksessa (EU) 2017/2403</w:t>
      </w:r>
      <w:r>
        <w:rPr>
          <w:rStyle w:val="FootnoteReference"/>
          <w:noProof/>
        </w:rPr>
        <w:footnoteReference w:id="2"/>
      </w:r>
      <w:r>
        <w:rPr>
          <w:noProof/>
        </w:rPr>
        <w:t xml:space="preserve"> (SMEFF-asetus) vahvistetaan säännöt, jotka koskevat unionin kalastusalusten kolmansien maiden vesillä ja kolmansien maiden alusten unionin vesillä harjoittamia kalastustoimia. </w:t>
      </w:r>
    </w:p>
    <w:p>
      <w:pPr>
        <w:spacing w:before="0" w:after="240"/>
        <w:rPr>
          <w:rFonts w:eastAsia="Times New Roman"/>
          <w:noProof/>
          <w:szCs w:val="24"/>
        </w:rPr>
      </w:pPr>
      <w:r>
        <w:rPr>
          <w:noProof/>
        </w:rPr>
        <w:t xml:space="preserve">Unionin kalastusalusten kolmannen maan vesillä harjoittamien kalastustoimien osalta SMEFF-asetuksessa säädetään, että lippujäsenvaltio voi myöntää suoria lupia toimijalle, ja vahvistetaan tällaisten lupien myöntämistä koskevat edellytykset ja menettelyt. Kun otetaan huomioon niiden unionin kalastusalusten lukumäärä, jotka harjoittavat kalastustoimintaa Yhdistyneen kuningaskunnan vesillä, nämä edellytykset ja menettelyt voivat johtaa huomattaviin viivästyksiin ja lisätä hallinnollista rasitetta, jos Yhdistynyt kuningaskunta sallii EU:n alusten kalastaa Yhdistyneen kuningaskunnan vesillä. On tarpeen vahvistaa erityiset edellytykset ja menettelyt, joilla helpotetaan menettelyä, jolla Yhdistynyt kuningaskunta myöntää unionin kalastusaluksille luvat harjoittaa kalastustoimintaa Yhdistyneen kuningaskunnan vesillä. Näiden edellytysten ja menettelyjen olisi vastattava vaatimuksia, jotka SMEFF-asetuksessa vahvistetaan kolmansien maiden aluksille, jotka harjoittavat kalastustoimintaa unionin vesillä. </w:t>
      </w:r>
    </w:p>
    <w:p>
      <w:pPr>
        <w:spacing w:before="0" w:after="240"/>
        <w:rPr>
          <w:noProof/>
        </w:rPr>
      </w:pPr>
      <w:r>
        <w:rPr>
          <w:noProof/>
        </w:rPr>
        <w:t xml:space="preserve">YKP-perusasetuksen mukaan jäsenvaltiot voivat vaihtaa keskenään kaikki niille jaetut kalastusmahdollisuudet tai osan niistä. Yhdistyneen kuningaskunnan ja jäsenvaltioiden välillä tehdään vuosittain noin 1 000 kiintiöiden vaihtoa. Unionin yksinomaista toimivaltaa rajoittamatta tarvitaan eroamispäivän jälkeen joustava järjestelmä, jonka ansiosta EU voi vaihtaa kiintiöitä Yhdistyneen kuningaskunnan kanssa. Sen vuoksi jäsenvaltioiden olisi voitava keskustella Yhdistyneen kuningaskunnan kanssa ja tarvittaessa laatia suunnitelma aiotusta kiintiön siirrosta tai vaihdosta. Kiintiön siirron tai vaihdon perusteella Yhdistyneeltä kuningaskunnalta saatuja tai sille siirrettyjä kalastusmahdollisuuksia pidetään kyseiselle jäsenvaltiolle jaettuina tai siltä vähennettyinä kiintiöinä. Tällainen jako ei saa kuitenkaan muuttaa kalastustoimintaa koskevan suhteellisen vakauden periaatteen mukaista nykyistä jakoperustetta kalastusmahdollisuuksien jakamiseksi jäsenvaltioiden välillä. </w:t>
      </w:r>
    </w:p>
    <w:p>
      <w:pPr>
        <w:spacing w:before="0" w:after="240"/>
        <w:rPr>
          <w:rFonts w:eastAsia="Arial Unicode MS"/>
          <w:noProof/>
        </w:rPr>
      </w:pPr>
      <w:r>
        <w:rPr>
          <w:noProof/>
        </w:rPr>
        <w:t>Tässä ehdotuksessa vahvistettuja erityisiä sääntöjä sovelletaan sitä päivää seuraavasta päivästä, jona unionin oikeutta lakataan soveltamasta Yhdistyneeseen kuningaskuntaan ja Yhdistyneessä kuningaskunnassa Euroopan unionista tehdyn sopimuksen 50 artiklan 3 kohdan mukaisesti. Lupien myöntämiseen sovelletaan ”vastavuoroisuuden” periaatetta eli edellytystä, että Yhdistynyt kuningaskunta laajentaa EU:n aluksilla nykyisin olevia oikeuksia niin, että alukset voivat harjoittaa kalastustoimintaa Yhdistyneen kuningaskunnan vesillä. Näin ollen luvat myönnetään ainoastaan jos ja siltä osin kuin Yhdistynyt kuningaskunta myöntää unionin aluksille luvat käyttää kalastusmahdollisuuksia, jotka on jaettu aluksille kalastusmahdollisuuksia koskevien asetusten mukaisesti.</w:t>
      </w:r>
    </w:p>
    <w:p>
      <w:pPr>
        <w:pStyle w:val="ManualHeading2"/>
        <w:rPr>
          <w:rFonts w:eastAsia="Arial Unicode MS"/>
          <w:noProof/>
          <w:color w:val="000000"/>
          <w:u w:color="000000"/>
          <w:bdr w:val="nil"/>
        </w:rPr>
      </w:pPr>
      <w:r>
        <w:rPr>
          <w:noProof/>
          <w:color w:val="000000"/>
          <w:u w:color="000000"/>
          <w:bdr w:val="nil"/>
        </w:rPr>
        <w:t>•</w:t>
      </w:r>
      <w:r>
        <w:rPr>
          <w:noProof/>
        </w:rPr>
        <w:tab/>
        <w:t>Yhdenmukaisuus muiden alaa koskevien politiikkojen säännösten kanssa</w:t>
      </w:r>
    </w:p>
    <w:p>
      <w:pPr>
        <w:pBdr>
          <w:top w:val="nil"/>
          <w:left w:val="nil"/>
          <w:bottom w:val="nil"/>
          <w:right w:val="nil"/>
          <w:between w:val="nil"/>
          <w:bar w:val="nil"/>
        </w:pBdr>
        <w:spacing w:before="0" w:after="240"/>
        <w:rPr>
          <w:rFonts w:eastAsia="Arial Unicode MS"/>
          <w:noProof/>
        </w:rPr>
      </w:pPr>
      <w:r>
        <w:rPr>
          <w:noProof/>
        </w:rPr>
        <w:t>Ei sovelleta</w:t>
      </w:r>
    </w:p>
    <w:p>
      <w:pPr>
        <w:pStyle w:val="ManualHeading2"/>
        <w:rPr>
          <w:rFonts w:eastAsia="Arial Unicode MS"/>
          <w:noProof/>
        </w:rPr>
      </w:pPr>
      <w:r>
        <w:rPr>
          <w:noProof/>
          <w:color w:val="000000"/>
          <w:u w:color="000000"/>
          <w:bdr w:val="nil"/>
        </w:rPr>
        <w:t>•</w:t>
      </w:r>
      <w:r>
        <w:rPr>
          <w:noProof/>
        </w:rPr>
        <w:tab/>
        <w:t>Yhdenmukaisuus unionin muiden politiikkojen kanssa</w:t>
      </w:r>
    </w:p>
    <w:p>
      <w:pPr>
        <w:pBdr>
          <w:top w:val="nil"/>
          <w:left w:val="nil"/>
          <w:bottom w:val="nil"/>
          <w:right w:val="nil"/>
          <w:between w:val="nil"/>
          <w:bar w:val="nil"/>
        </w:pBdr>
        <w:spacing w:before="0" w:after="240"/>
        <w:rPr>
          <w:rFonts w:eastAsia="Arial Unicode MS"/>
          <w:noProof/>
        </w:rPr>
      </w:pPr>
      <w:r>
        <w:rPr>
          <w:noProof/>
        </w:rPr>
        <w:t>Ei sovelleta</w:t>
      </w:r>
    </w:p>
    <w:p>
      <w:pPr>
        <w:pStyle w:val="ManualHeading1"/>
        <w:rPr>
          <w:noProof/>
        </w:rPr>
      </w:pPr>
      <w:r>
        <w:rPr>
          <w:noProof/>
        </w:rPr>
        <w:t>2.</w:t>
      </w:r>
      <w:r>
        <w:rPr>
          <w:noProof/>
        </w:rPr>
        <w:tab/>
        <w:t>OIKEUSPERUSTA, TOISSIJAISUUSPERIAATE JA SUHTEELLISUUSPERIAATE</w:t>
      </w:r>
    </w:p>
    <w:p>
      <w:pPr>
        <w:pStyle w:val="ManualHeading2"/>
        <w:rPr>
          <w:rFonts w:eastAsia="Arial Unicode MS"/>
          <w:noProof/>
          <w:u w:color="000000"/>
          <w:bdr w:val="nil"/>
        </w:rPr>
      </w:pPr>
      <w:r>
        <w:rPr>
          <w:noProof/>
        </w:rPr>
        <w:t>•</w:t>
      </w:r>
      <w:r>
        <w:rPr>
          <w:noProof/>
        </w:rPr>
        <w:tab/>
        <w:t>Oikeusperusta</w:t>
      </w:r>
    </w:p>
    <w:p>
      <w:pPr>
        <w:pBdr>
          <w:top w:val="nil"/>
          <w:left w:val="nil"/>
          <w:bottom w:val="nil"/>
          <w:right w:val="nil"/>
          <w:between w:val="nil"/>
          <w:bar w:val="nil"/>
        </w:pBdr>
        <w:spacing w:before="0" w:after="240"/>
        <w:rPr>
          <w:rFonts w:eastAsia="Arial Unicode MS"/>
          <w:noProof/>
        </w:rPr>
      </w:pPr>
      <w:r>
        <w:rPr>
          <w:noProof/>
        </w:rPr>
        <w:t>Oikeusperusta on Euroopan unionin toiminnasta tehdyn sopimuksen 43 artiklan 2 kohta.</w:t>
      </w:r>
    </w:p>
    <w:p>
      <w:pPr>
        <w:pStyle w:val="ManualHeading2"/>
        <w:rPr>
          <w:rFonts w:eastAsia="Arial Unicode MS"/>
          <w:noProof/>
          <w:u w:color="000000"/>
          <w:bdr w:val="nil"/>
        </w:rPr>
      </w:pPr>
      <w:r>
        <w:rPr>
          <w:noProof/>
        </w:rPr>
        <w:t>•</w:t>
      </w:r>
      <w:r>
        <w:rPr>
          <w:noProof/>
        </w:rPr>
        <w:tab/>
        <w:t xml:space="preserve">Toissijaisuusperiaate </w:t>
      </w:r>
    </w:p>
    <w:p>
      <w:pPr>
        <w:rPr>
          <w:noProof/>
        </w:rPr>
      </w:pPr>
      <w:r>
        <w:rPr>
          <w:noProof/>
        </w:rPr>
        <w:t xml:space="preserve">YKP ja sen valvonta kuuluvat EU:n yksinomaiseen toimivaltaan perussopimuksen 3 artiklan d alakohdan nojalla, joten toissijaisuusperiaatetta ei sovelleta. </w:t>
      </w:r>
    </w:p>
    <w:p>
      <w:pPr>
        <w:rPr>
          <w:noProof/>
        </w:rPr>
      </w:pPr>
      <w:r>
        <w:rPr>
          <w:noProof/>
        </w:rPr>
        <w:t>Ehdotetulla säädöksellä muutettaisiin unionin asetusta (EU) 2017/2403, jotta unionin lainsäädännössä olisi oikeusperusta, jonka nojalla Yhdistyneen kuningaskunnan alukset voisivat harjoittaa kalastustoimintaa unionin vesillä ja jotta voitaisiin ottaa käyttöön yksinkertaistettuja ja tehokkaampia lupamenettelyjä sellaisia aluksia varten, jotka haluavat kalastaa Yhdistyneen kuningaskunnan vesillä. Sen vuoksi on välttämätöntä toteuttaa toimia unionin tasolla, sillä tavoitetta ei saavutettaisi jäsenvaltioiden omilla toimilla, koska asia kuuluu unionin yksinomaiseen toimivaltaan.</w:t>
      </w:r>
    </w:p>
    <w:p>
      <w:pPr>
        <w:pStyle w:val="ManualHeading2"/>
        <w:rPr>
          <w:rFonts w:eastAsia="Arial Unicode MS"/>
          <w:noProof/>
          <w:u w:color="000000"/>
          <w:bdr w:val="nil"/>
        </w:rPr>
      </w:pPr>
      <w:r>
        <w:rPr>
          <w:noProof/>
        </w:rPr>
        <w:t>•</w:t>
      </w:r>
      <w:r>
        <w:rPr>
          <w:noProof/>
        </w:rPr>
        <w:tab/>
        <w:t>Suhteellisuusperiaate</w:t>
      </w:r>
    </w:p>
    <w:p>
      <w:pPr>
        <w:pBdr>
          <w:top w:val="nil"/>
          <w:left w:val="nil"/>
          <w:bottom w:val="nil"/>
          <w:right w:val="nil"/>
          <w:between w:val="nil"/>
          <w:bar w:val="nil"/>
        </w:pBdr>
        <w:spacing w:before="0" w:after="240"/>
        <w:rPr>
          <w:rFonts w:eastAsia="Arial Unicode MS"/>
          <w:noProof/>
        </w:rPr>
      </w:pPr>
      <w:r>
        <w:rPr>
          <w:noProof/>
        </w:rPr>
        <w:t xml:space="preserve">Ehdotus on suhteellisuusperiaatteen mukainen. Ehdotettua asetusta pidetään oikeasuhteisena, koska sillä pyritään varmistamaan, että nykyinen tilanne, jossa unionin kalastusaluksilla on pääsy Yhdistyneen kuningaskunnan vesille, säilyy ennallaan säätämällä vastavuoroisista lupaehdoista. Tällöin vältetään merkittävät häiriöt ja lupamenettelyihin liittyvät viivästykset. Ehdotetussa asetuksessa jatketaan myös käytäntöä vaihtaa kiintiöitä Yhdistyneen kuningaskunnan kanssa, kuten tapahtui Yhdistyneen kuningaskunnan ollessa unionin jäsen. </w:t>
      </w:r>
    </w:p>
    <w:p>
      <w:pPr>
        <w:pStyle w:val="ManualHeading2"/>
        <w:rPr>
          <w:rFonts w:eastAsia="Arial Unicode MS"/>
          <w:noProof/>
          <w:u w:color="000000"/>
          <w:bdr w:val="nil"/>
        </w:rPr>
      </w:pPr>
      <w:r>
        <w:rPr>
          <w:noProof/>
        </w:rPr>
        <w:t>•</w:t>
      </w:r>
      <w:r>
        <w:rPr>
          <w:noProof/>
        </w:rPr>
        <w:tab/>
        <w:t>Toimintatavan valinta</w:t>
      </w:r>
    </w:p>
    <w:p>
      <w:pPr>
        <w:pBdr>
          <w:top w:val="nil"/>
          <w:left w:val="nil"/>
          <w:bottom w:val="nil"/>
          <w:right w:val="nil"/>
          <w:between w:val="nil"/>
          <w:bar w:val="nil"/>
        </w:pBdr>
        <w:spacing w:before="0" w:after="240"/>
        <w:rPr>
          <w:rFonts w:eastAsia="Arial Unicode MS"/>
          <w:noProof/>
        </w:rPr>
      </w:pPr>
      <w:r>
        <w:rPr>
          <w:noProof/>
        </w:rPr>
        <w:t xml:space="preserve">Kyseessä on asetuksen muuttaminen. </w:t>
      </w:r>
    </w:p>
    <w:p>
      <w:pPr>
        <w:pStyle w:val="ManualHeading1"/>
        <w:rPr>
          <w:noProof/>
        </w:rPr>
      </w:pPr>
      <w:r>
        <w:rPr>
          <w:noProof/>
        </w:rPr>
        <w:t>3.</w:t>
      </w:r>
      <w:r>
        <w:rPr>
          <w:noProof/>
        </w:rPr>
        <w:tab/>
        <w:t>JÄLKIARVIOINTIEN, SIDOSRYHMIEN KUULEMISTEN JA VAIKUTUSTENARVIOINTIEN TULOKSET</w:t>
      </w:r>
    </w:p>
    <w:p>
      <w:pPr>
        <w:pStyle w:val="ManualHeading2"/>
        <w:rPr>
          <w:rFonts w:eastAsia="Arial Unicode MS"/>
          <w:noProof/>
          <w:u w:color="000000"/>
          <w:bdr w:val="nil"/>
        </w:rPr>
      </w:pPr>
      <w:r>
        <w:rPr>
          <w:noProof/>
        </w:rPr>
        <w:t>•</w:t>
      </w:r>
      <w:r>
        <w:rPr>
          <w:noProof/>
        </w:rPr>
        <w:tab/>
        <w:t>Jälkiarvioinnit/toimivuustarkastukset</w:t>
      </w:r>
    </w:p>
    <w:p>
      <w:pPr>
        <w:pBdr>
          <w:top w:val="nil"/>
          <w:left w:val="nil"/>
          <w:bottom w:val="nil"/>
          <w:right w:val="nil"/>
          <w:between w:val="nil"/>
          <w:bar w:val="nil"/>
        </w:pBdr>
        <w:spacing w:before="0" w:after="240"/>
        <w:rPr>
          <w:rFonts w:eastAsia="Arial Unicode MS"/>
          <w:noProof/>
        </w:rPr>
      </w:pPr>
      <w:r>
        <w:rPr>
          <w:noProof/>
        </w:rPr>
        <w:t xml:space="preserve">Tätä kohtaa ei sovelleta, koska tämä ehdotus tarvitaan poikkeuksellisen, väliaikaisen ja kertaluonteisen tapahtuman vuoksi, joka ei liity voimassa olevan lainsäädännön tavoitteisiin. </w:t>
      </w:r>
    </w:p>
    <w:p>
      <w:pPr>
        <w:pStyle w:val="ManualHeading2"/>
        <w:rPr>
          <w:rFonts w:eastAsia="Arial Unicode MS"/>
          <w:noProof/>
          <w:u w:color="000000"/>
          <w:bdr w:val="nil"/>
        </w:rPr>
      </w:pPr>
      <w:r>
        <w:rPr>
          <w:noProof/>
        </w:rPr>
        <w:t>•</w:t>
      </w:r>
      <w:r>
        <w:rPr>
          <w:noProof/>
        </w:rPr>
        <w:tab/>
        <w:t>Sidosryhmien kuuleminen</w:t>
      </w:r>
    </w:p>
    <w:p>
      <w:pPr>
        <w:pBdr>
          <w:top w:val="nil"/>
          <w:left w:val="nil"/>
          <w:bottom w:val="nil"/>
          <w:right w:val="nil"/>
          <w:between w:val="nil"/>
          <w:bar w:val="nil"/>
        </w:pBdr>
        <w:spacing w:before="0" w:after="240"/>
        <w:rPr>
          <w:rFonts w:eastAsia="Arial Unicode MS"/>
          <w:noProof/>
        </w:rPr>
      </w:pPr>
      <w:r>
        <w:rPr>
          <w:noProof/>
        </w:rPr>
        <w:t xml:space="preserve">Monet kalastusalan sidosryhmät ja jäsenvaltioiden edustajat ovat ottaneet esille haasteita, joita Yhdistyneen kuningaskunnan eroaminen unionista aiheuttaa, sekä niiden mahdollisia ratkaisuja. Kaikki toimijat, sidosryhmät ja asianomaiset jäsenvaltiot ovat korostaneet tarvetta varmistaa molemminpuolinen kestävä kalastustoiminta. </w:t>
      </w:r>
    </w:p>
    <w:p>
      <w:pPr>
        <w:pStyle w:val="ManualHeading2"/>
        <w:rPr>
          <w:rFonts w:eastAsia="Arial Unicode MS"/>
          <w:noProof/>
          <w:u w:color="000000"/>
          <w:bdr w:val="nil"/>
        </w:rPr>
      </w:pPr>
      <w:r>
        <w:rPr>
          <w:noProof/>
        </w:rPr>
        <w:t>•</w:t>
      </w:r>
      <w:r>
        <w:rPr>
          <w:noProof/>
        </w:rPr>
        <w:tab/>
        <w:t>Asiantuntijatiedon keruu ja käyttö</w:t>
      </w:r>
    </w:p>
    <w:p>
      <w:pPr>
        <w:pBdr>
          <w:top w:val="nil"/>
          <w:left w:val="nil"/>
          <w:bottom w:val="nil"/>
          <w:right w:val="nil"/>
          <w:between w:val="nil"/>
          <w:bar w:val="nil"/>
        </w:pBdr>
        <w:spacing w:before="0" w:after="240"/>
        <w:rPr>
          <w:rFonts w:eastAsia="Arial Unicode MS"/>
          <w:noProof/>
        </w:rPr>
      </w:pPr>
      <w:r>
        <w:rPr>
          <w:noProof/>
        </w:rPr>
        <w:t>Ei sovelleta</w:t>
      </w:r>
    </w:p>
    <w:p>
      <w:pPr>
        <w:pStyle w:val="ManualHeading2"/>
        <w:rPr>
          <w:rFonts w:eastAsia="Arial Unicode MS"/>
          <w:noProof/>
          <w:u w:color="000000"/>
          <w:bdr w:val="nil"/>
        </w:rPr>
      </w:pPr>
      <w:r>
        <w:rPr>
          <w:noProof/>
        </w:rPr>
        <w:t>•</w:t>
      </w:r>
      <w:r>
        <w:rPr>
          <w:noProof/>
        </w:rPr>
        <w:tab/>
        <w:t>Vaikutustenarviointi</w:t>
      </w:r>
    </w:p>
    <w:p>
      <w:pPr>
        <w:rPr>
          <w:noProof/>
          <w:u w:color="000000"/>
          <w:bdr w:val="nil"/>
        </w:rPr>
      </w:pPr>
      <w:r>
        <w:rPr>
          <w:noProof/>
        </w:rPr>
        <w:t>Vaikutustenarviointi ei ole tarpeen tässä poikkeuksellisessa tilanteessa, jossa toimenpiteiden tarpeet rajoittuvat ajanjaksoon, jonka aikana muutetaan Yhdistyneen kuningaskunnan asema. Käytettävissä ei ole muita toimintavaihtoehtoja, jotka poikkeaisivat ehdotetuista vaihtoehdoista aineellisesti ja oikeudellisesti.</w:t>
      </w:r>
      <w:r>
        <w:rPr>
          <w:noProof/>
        </w:rPr>
        <w:tab/>
      </w:r>
    </w:p>
    <w:p>
      <w:pPr>
        <w:pStyle w:val="ManualHeading2"/>
        <w:rPr>
          <w:rFonts w:eastAsia="Arial Unicode MS"/>
          <w:noProof/>
          <w:u w:color="000000"/>
          <w:bdr w:val="nil"/>
        </w:rPr>
      </w:pPr>
      <w:r>
        <w:rPr>
          <w:noProof/>
        </w:rPr>
        <w:t>•</w:t>
      </w:r>
      <w:r>
        <w:rPr>
          <w:noProof/>
        </w:rPr>
        <w:tab/>
        <w:t>Sääntelyn toimivuus ja yksinkertaistaminen</w:t>
      </w:r>
    </w:p>
    <w:p>
      <w:pPr>
        <w:rPr>
          <w:noProof/>
          <w:u w:color="000000"/>
          <w:bdr w:val="nil"/>
        </w:rPr>
      </w:pPr>
      <w:r>
        <w:rPr>
          <w:noProof/>
        </w:rPr>
        <w:t>Ei sovelleta</w:t>
      </w:r>
    </w:p>
    <w:p>
      <w:pPr>
        <w:pStyle w:val="ManualHeading2"/>
        <w:rPr>
          <w:rFonts w:eastAsia="Arial Unicode MS"/>
          <w:noProof/>
          <w:u w:color="000000"/>
          <w:bdr w:val="nil"/>
        </w:rPr>
      </w:pPr>
      <w:r>
        <w:rPr>
          <w:noProof/>
        </w:rPr>
        <w:t>•</w:t>
      </w:r>
      <w:r>
        <w:rPr>
          <w:noProof/>
        </w:rPr>
        <w:tab/>
        <w:t>Perusoikeudet</w:t>
      </w:r>
    </w:p>
    <w:p>
      <w:pPr>
        <w:pBdr>
          <w:top w:val="nil"/>
          <w:left w:val="nil"/>
          <w:bottom w:val="nil"/>
          <w:right w:val="nil"/>
          <w:between w:val="nil"/>
          <w:bar w:val="nil"/>
        </w:pBdr>
        <w:spacing w:before="0" w:after="240"/>
        <w:rPr>
          <w:rFonts w:eastAsia="Arial Unicode MS"/>
          <w:noProof/>
        </w:rPr>
      </w:pPr>
      <w:r>
        <w:rPr>
          <w:noProof/>
        </w:rPr>
        <w:t>Tämä ehdotus ei vaikuta perusoikeuksien suojaamiseen.</w:t>
      </w:r>
    </w:p>
    <w:p>
      <w:pPr>
        <w:pStyle w:val="ManualHeading1"/>
        <w:rPr>
          <w:noProof/>
        </w:rPr>
      </w:pPr>
      <w:r>
        <w:rPr>
          <w:noProof/>
        </w:rPr>
        <w:t>4.</w:t>
      </w:r>
      <w:r>
        <w:rPr>
          <w:noProof/>
        </w:rPr>
        <w:tab/>
        <w:t>TALOUSARVIOVAIKUTUKSET</w:t>
      </w:r>
    </w:p>
    <w:p>
      <w:pPr>
        <w:rPr>
          <w:noProof/>
        </w:rPr>
      </w:pPr>
      <w:r>
        <w:rPr>
          <w:noProof/>
        </w:rPr>
        <w:t>Ehdotuksella ei ole vaikutuksia talousarvioon.</w:t>
      </w:r>
    </w:p>
    <w:p>
      <w:pPr>
        <w:pStyle w:val="ManualHeading1"/>
        <w:rPr>
          <w:noProof/>
        </w:rPr>
      </w:pPr>
      <w:r>
        <w:rPr>
          <w:noProof/>
        </w:rPr>
        <w:t>5.</w:t>
      </w:r>
      <w:r>
        <w:rPr>
          <w:noProof/>
        </w:rPr>
        <w:tab/>
        <w:t>LISÄTIEDOT</w:t>
      </w:r>
    </w:p>
    <w:p>
      <w:pPr>
        <w:rPr>
          <w:noProof/>
        </w:rPr>
      </w:pPr>
      <w:r>
        <w:rPr>
          <w:noProof/>
        </w:rPr>
        <w:t>Ei sovelleta</w:t>
      </w:r>
    </w:p>
    <w:p>
      <w:pPr>
        <w:rPr>
          <w:noProof/>
        </w:rPr>
        <w:sectPr>
          <w:footerReference w:type="default" r:id="rId15"/>
          <w:footerReference w:type="first" r:id="rId16"/>
          <w:pgSz w:w="11907" w:h="16839"/>
          <w:pgMar w:top="1134" w:right="1417" w:bottom="1134" w:left="1417" w:header="709" w:footer="709" w:gutter="0"/>
          <w:cols w:space="708"/>
          <w:docGrid w:linePitch="360"/>
        </w:sectPr>
      </w:pPr>
    </w:p>
    <w:p>
      <w:pPr>
        <w:pStyle w:val="Rfrenceinterinstitutionnelle"/>
        <w:rPr>
          <w:noProof/>
        </w:rPr>
      </w:pPr>
      <w:r>
        <w:rPr>
          <w:noProof/>
        </w:rPr>
        <w:t>2019/0010 (COD)</w:t>
      </w:r>
    </w:p>
    <w:p>
      <w:pPr>
        <w:pStyle w:val="Statut"/>
        <w:rPr>
          <w:noProof/>
        </w:rPr>
      </w:pPr>
      <w:r>
        <w:rPr>
          <w:noProof/>
        </w:rPr>
        <w:t>Ehdotus</w:t>
      </w:r>
    </w:p>
    <w:p>
      <w:pPr>
        <w:pStyle w:val="Typedudocument"/>
        <w:rPr>
          <w:noProof/>
        </w:rPr>
      </w:pPr>
      <w:r>
        <w:rPr>
          <w:noProof/>
        </w:rPr>
        <w:t>EUROOPAN PARLAMENTIN JA NEUVOSTON ASETUS</w:t>
      </w:r>
    </w:p>
    <w:p>
      <w:pPr>
        <w:pStyle w:val="Titreobjet"/>
        <w:rPr>
          <w:noProof/>
        </w:rPr>
      </w:pPr>
      <w:r>
        <w:rPr>
          <w:noProof/>
        </w:rPr>
        <w:t>asetuksen (EU) 2017/2403 muuttamisesta siltä osin kuin on kyse unionin kalastusaluksille Yhdistyneen kuningaskunnan vesillä myönnettävistä kalastusluvista ja Yhdistyneen kuningaskunnan kalastusalusten kalastustoimista unionin vesillä</w:t>
      </w:r>
      <w:r>
        <w:rPr>
          <w:noProof/>
        </w:rPr>
        <w:br/>
      </w:r>
    </w:p>
    <w:p>
      <w:pPr>
        <w:pStyle w:val="Institutionquiagit"/>
        <w:rPr>
          <w:noProof/>
        </w:rPr>
      </w:pPr>
      <w:r>
        <w:rPr>
          <w:noProof/>
        </w:rPr>
        <w:t>EUROOPAN PARLAMENTTI JA EUROOPAN UNIONIN NEUVOSTO, jotka</w:t>
      </w:r>
    </w:p>
    <w:p>
      <w:pPr>
        <w:rPr>
          <w:noProof/>
        </w:rPr>
      </w:pPr>
      <w:r>
        <w:rPr>
          <w:noProof/>
        </w:rPr>
        <w:t>ottavat huomioon Euroopan unionin toiminnasta tehdyn sopimuksen ja erityisesti sen 43 artiklan 2 kohdan,</w:t>
      </w:r>
    </w:p>
    <w:p>
      <w:pPr>
        <w:rPr>
          <w:noProof/>
        </w:rPr>
      </w:pPr>
      <w:r>
        <w:rPr>
          <w:noProof/>
        </w:rPr>
        <w:t>ottavat huomioon Euroopan komission ehdotuksen,</w:t>
      </w:r>
    </w:p>
    <w:p>
      <w:pPr>
        <w:rPr>
          <w:noProof/>
        </w:rPr>
      </w:pPr>
      <w:r>
        <w:rPr>
          <w:noProof/>
        </w:rPr>
        <w:t>sen jälkeen, kun esitys lainsäätämisjärjestyksessä hyväksyttäväksi säädökseksi on toimitettu kansallisille parlamenteille,</w:t>
      </w:r>
    </w:p>
    <w:p>
      <w:pPr>
        <w:rPr>
          <w:noProof/>
        </w:rPr>
      </w:pPr>
      <w:r>
        <w:rPr>
          <w:noProof/>
        </w:rPr>
        <w:t>ottavat huomioon Euroopan talous- ja sosiaalikomitean lausunnon</w:t>
      </w:r>
      <w:r>
        <w:rPr>
          <w:rStyle w:val="FootnoteReference"/>
          <w:noProof/>
        </w:rPr>
        <w:footnoteReference w:id="3"/>
      </w:r>
      <w:r>
        <w:rPr>
          <w:noProof/>
        </w:rPr>
        <w:t xml:space="preserve">, </w:t>
      </w:r>
    </w:p>
    <w:p>
      <w:pPr>
        <w:rPr>
          <w:noProof/>
        </w:rPr>
      </w:pPr>
      <w:r>
        <w:rPr>
          <w:noProof/>
        </w:rPr>
        <w:t>noudattavat tavallista lainsäätämisjärjestystä,</w:t>
      </w:r>
    </w:p>
    <w:p>
      <w:pPr>
        <w:rPr>
          <w:noProof/>
        </w:rPr>
      </w:pPr>
      <w:r>
        <w:rPr>
          <w:noProof/>
        </w:rPr>
        <w:t>sekä katsovat seuraavaa:</w:t>
      </w:r>
    </w:p>
    <w:p>
      <w:pPr>
        <w:pStyle w:val="ManualConsidrant"/>
        <w:rPr>
          <w:noProof/>
        </w:rPr>
      </w:pPr>
      <w:r>
        <w:t>(1)</w:t>
      </w:r>
      <w:r>
        <w:tab/>
      </w:r>
      <w:r>
        <w:rPr>
          <w:noProof/>
        </w:rPr>
        <w:t xml:space="preserve">Yhdistynyt kuningaskunta ilmoitti 29 päivänä maaliskuuta 2017 aikomuksestaan erota unionista Euroopan unionista tehdyn sopimuksen 50 artiklan nojalla. Perussopimuksia lakataan soveltamasta Yhdistyneeseen kuningaskuntaan siitä päivästä, jona erosopimus tulee voimaan, tai, jollei sopimusta ole, kahden vuoden kuluttua mainitusta ilmoituksesta eli 30 päivänä maaliskuuta 2019, jollei Eurooppa-neuvosto yhteisymmärryksessä Yhdistyneen kuningaskunnan kanssa päätä yksimielisesti pidentää tätä määräaikaa. </w:t>
      </w:r>
    </w:p>
    <w:p>
      <w:pPr>
        <w:pStyle w:val="ManualConsidrant"/>
        <w:rPr>
          <w:noProof/>
        </w:rPr>
      </w:pPr>
      <w:r>
        <w:t>(2)</w:t>
      </w:r>
      <w:r>
        <w:tab/>
      </w:r>
      <w:r>
        <w:rPr>
          <w:noProof/>
        </w:rPr>
        <w:t xml:space="preserve">Erosopimus sisältää järjestelyjä, joiden mukaisesti unionin oikeuden määräyksiä ja säännöksiä sovelletaan Yhdistyneeseen kuningaskuntaan ja Yhdistyneessä kuningaskunnassa sen päivän jälkeen, jona perussopimuksia lakataan soveltamasta Yhdistyneeseen kuningaskuntaan ja Yhdistyneessä kuningaskunnassa. Jos kyseinen sopimus tulee voimaan, yhteistä kalastuspolitiikkaa sovelletaan Yhdistyneeseen kuningaskuntaan ja Yhdistyneessä kuningaskunnassa siirtymäkauden aikana mainitun sopimuksen mukaisesti ja sitä lakataan soveltamasta siirtymäkauden päättyessä. </w:t>
      </w:r>
    </w:p>
    <w:p>
      <w:pPr>
        <w:pStyle w:val="ManualConsidrant"/>
        <w:rPr>
          <w:noProof/>
        </w:rPr>
      </w:pPr>
      <w:r>
        <w:t>(3)</w:t>
      </w:r>
      <w:r>
        <w:tab/>
      </w:r>
      <w:r>
        <w:rPr>
          <w:noProof/>
        </w:rPr>
        <w:t xml:space="preserve">Kun YKP:aa lakataan soveltamasta Yhdistyneeseen kuningaskuntaan, Yhdistyneen kuningaskunnan vedet (aluemeri ja siihen rajoittuva yksinomainen talousvyöhyke) eivät enää kuulu unionin vesiin. Tämän seurauksena, jos eroaminen tapahtuu hallitsemattomasti, unionin ja Yhdistyneen kuningaskunnan alukset eivät voi käyttää vuoden 2019 osalta vahvistettuja kalastusmahdollisuuksia täysimääräisesti. </w:t>
      </w:r>
    </w:p>
    <w:p>
      <w:pPr>
        <w:pStyle w:val="ManualConsidrant"/>
        <w:rPr>
          <w:noProof/>
        </w:rPr>
      </w:pPr>
      <w:r>
        <w:t>(4)</w:t>
      </w:r>
      <w:r>
        <w:tab/>
      </w:r>
      <w:r>
        <w:rPr>
          <w:noProof/>
        </w:rPr>
        <w:t>Kalastuksen kestävyyden varmistamiseksi ja ottaen huomioon kalastuksen merkitys monien yhteisöjen taloudellisena elinkeinona unionissa ja Yhdistyneessä kuningaskunnassa olisi rajoitetun ajan säilytettävä mahdollisuus toteuttaa järjestelyjä, joilla jatketaan unionin ja Yhdistyneen kuningaskunnan alusten vastavuoroista täysimääräistä pääsyä toistensa vesille sen jälkeen, kun YKP:aa lakataan soveltamasta Yhdistyneeseen kuningaskuntaan jäsenvaltiona. Tämän asetuksen tarkoituksena on luoda asianmukainen oikeudellinen kehys tällaista vastavuoroista pääsyä varten.</w:t>
      </w:r>
    </w:p>
    <w:p>
      <w:pPr>
        <w:pStyle w:val="ManualConsidrant"/>
        <w:rPr>
          <w:noProof/>
        </w:rPr>
      </w:pPr>
      <w:r>
        <w:t>(5)</w:t>
      </w:r>
      <w:r>
        <w:tab/>
      </w:r>
      <w:r>
        <w:rPr>
          <w:noProof/>
        </w:rPr>
        <w:t>Tämän asetuksen alueellinen soveltamisala ja viittaukset Yhdistyneeseen kuningaskuntaan eivät kata Gibraltaria.</w:t>
      </w:r>
    </w:p>
    <w:p>
      <w:pPr>
        <w:pStyle w:val="ManualConsidrant"/>
        <w:rPr>
          <w:noProof/>
        </w:rPr>
      </w:pPr>
      <w:r>
        <w:t>(6)</w:t>
      </w:r>
      <w:r>
        <w:tab/>
      </w:r>
      <w:r>
        <w:rPr>
          <w:noProof/>
        </w:rPr>
        <w:t>Vuoden 2019 kalastusmahdollisuuksista on sovittu</w:t>
      </w:r>
      <w:r>
        <w:rPr>
          <w:rStyle w:val="FootnoteReference"/>
          <w:noProof/>
        </w:rPr>
        <w:footnoteReference w:id="4"/>
      </w:r>
      <w:r>
        <w:rPr>
          <w:noProof/>
        </w:rPr>
        <w:t>,</w:t>
      </w:r>
      <w:r>
        <w:rPr>
          <w:rStyle w:val="FootnoteReference"/>
          <w:noProof/>
        </w:rPr>
        <w:footnoteReference w:id="5"/>
      </w:r>
      <w:r>
        <w:rPr>
          <w:noProof/>
        </w:rPr>
        <w:t xml:space="preserve"> ja myös Yhdistynyt kuningaskunta on ne hyväksynyt Yhdistyneen kuningaskunnan unionin jäsenyyden aikana. Nämä kalastusmahdollisuudet on vahvistettu noudattaen täysimääräisesti Yhdistyneiden kansakuntien merioikeusyleissopimuksen 61 ja 62 artiklassa vahvistettuja vaatimuksia. Jotta varmistetaan meren elollisten luonnonvarojen kestävä hyödyntäminen ja vakaus unionin vesillä ja Yhdistyneen kuningaskunnan vesillä, jäsenvaltioiden ja Yhdistyneen kuningaskunnan sovittujen kiintiöiden ja osuuksien olisi oltava edelleen käytettävissä Euroopan parlamentin ja neuvoston asetuksen (EU) N:o 1380/2013 2 ja 3 artiklan mukaisesti</w:t>
      </w:r>
      <w:r>
        <w:rPr>
          <w:rStyle w:val="FootnoteReference"/>
          <w:noProof/>
        </w:rPr>
        <w:footnoteReference w:id="6"/>
      </w:r>
      <w:r>
        <w:rPr>
          <w:noProof/>
        </w:rPr>
        <w:t xml:space="preserve">. </w:t>
      </w:r>
    </w:p>
    <w:p>
      <w:pPr>
        <w:pStyle w:val="ManualConsidrant"/>
        <w:rPr>
          <w:noProof/>
        </w:rPr>
      </w:pPr>
      <w:r>
        <w:t>(7)</w:t>
      </w:r>
      <w:r>
        <w:tab/>
      </w:r>
      <w:r>
        <w:rPr>
          <w:noProof/>
        </w:rPr>
        <w:t>Kun otetaan huomioon, että Yhdistyneen kuningaskunnan aluksilla on pitkään ollut perinteenä kalastaa unionin vesillä ja päinvastoin, unionin olisi säädettävä Yhdistyneen kuningaskunnan aluksia koskevasta järjestelystä, jonka turvin alukset voivat rajoitetun ajan kalastaa niille asetuksilla (EU) [2019/...] ja (EU) 2018/2025 myönnetyt kiintiöosuudet samoin edellytyksin kuin unionin alukset. Tällaiset kalastusluvat olisi myönnettävä ainoastaan jos ja siltä osin kuin Yhdistynyt kuningaskunta edelleen myöntää unionin aluksille luvat hyödyntää kalastusmahdollisuuksia, jotka on jaettu aluksille asianomaisten kalastusmahdollisuuksia koskevien asetusten mukaisesti.</w:t>
      </w:r>
    </w:p>
    <w:p>
      <w:pPr>
        <w:pStyle w:val="ManualConsidrant"/>
        <w:rPr>
          <w:noProof/>
          <w:szCs w:val="24"/>
        </w:rPr>
      </w:pPr>
      <w:r>
        <w:t>(8)</w:t>
      </w:r>
      <w:r>
        <w:tab/>
      </w:r>
      <w:r>
        <w:rPr>
          <w:noProof/>
        </w:rPr>
        <w:t>Euroopan parlamentin ja neuvoston asetuksessa (EU) 2017/2403</w:t>
      </w:r>
      <w:r>
        <w:rPr>
          <w:rStyle w:val="FootnoteReference"/>
          <w:noProof/>
        </w:rPr>
        <w:footnoteReference w:id="7"/>
      </w:r>
      <w:r>
        <w:rPr>
          <w:noProof/>
        </w:rPr>
        <w:t xml:space="preserve"> vahvistetaan säännöt, jotka koskevat kalastuslupien myöntämistä ja hallinnointia kolmansien maiden suvereniteettiin tai lainkäyttövaltaan kuuluvilla vesillä kalastavien alusten osalta sekä unionin vesillä kalastustoimia harjoittavien kolmansien maiden kalastusalusten osalta.</w:t>
      </w:r>
    </w:p>
    <w:p>
      <w:pPr>
        <w:pStyle w:val="ManualConsidrant"/>
        <w:rPr>
          <w:noProof/>
        </w:rPr>
      </w:pPr>
      <w:r>
        <w:t>(9)</w:t>
      </w:r>
      <w:r>
        <w:tab/>
      </w:r>
      <w:r>
        <w:rPr>
          <w:noProof/>
        </w:rPr>
        <w:t xml:space="preserve">Asetuksessa (EU) 2017/2403 vahvistetaan säännöt, jotka koskevat unionin kalastusalusten kolmannen maan vesillä sopimuskehyksen ulkopuolella harjoittamia kalastustoimia, säädetään, että lippujäsenvaltio voi myöntää suoria lupia, ja vahvistetaan tällaisten lupien myöntämistä koskevat edellytykset ja menettelyt. Kun otetaan huomioon niiden unionin kalastusalusten lukumäärä, jotka harjoittavat kalastustoimintaa Yhdistyneen kuningaskunnan vesillä, nämä edellytykset ja menettelyt johtaisivat huomattaviin viivästyksiin ja lisäisivät hallinnollista rasitetta, jos erosopimusta tai kalastussopimusta ei tehdä. Sen vuoksi on tarpeen vahvistaa erityiset edellytykset ja menettelyt, joilla helpotetaan menettelyä, jolla Yhdistynyt kuningaskunta myöntää unionin kalastusaluksille luvat harjoittaa kalastustoimintaa Yhdistyneen kuningaskunnan vesillä. </w:t>
      </w:r>
    </w:p>
    <w:p>
      <w:pPr>
        <w:pStyle w:val="ManualConsidrant"/>
        <w:rPr>
          <w:noProof/>
        </w:rPr>
      </w:pPr>
      <w:r>
        <w:t>(10)</w:t>
      </w:r>
      <w:r>
        <w:tab/>
      </w:r>
      <w:r>
        <w:rPr>
          <w:noProof/>
        </w:rPr>
        <w:t>On tarpeen poiketa kolmansien maiden kalastusaluksiin sovellettavista säännöistä ja säätää erityisistä edellytyksistä ja menettelyistä, joiden nojalla unioni voi myöntää Yhdistyneen kuningaskunnan kalastusaluksille lupia harjoittaa kalastustoimintaa unionin vesillä.</w:t>
      </w:r>
    </w:p>
    <w:p>
      <w:pPr>
        <w:pStyle w:val="ManualConsidrant"/>
        <w:rPr>
          <w:noProof/>
        </w:rPr>
      </w:pPr>
      <w:r>
        <w:t>(11)</w:t>
      </w:r>
      <w:r>
        <w:tab/>
      </w:r>
      <w:r>
        <w:rPr>
          <w:noProof/>
        </w:rPr>
        <w:t>Asetuksen (EU) N:o 1380/2013 mukaan jäsenvaltiot voivat vaihtaa keskenään kaikki niille jaetut kalastusmahdollisuudet tai osan niistä. Jäsenvaltioiden ja Yhdistyneen kuningaskunnan välillä tehdään vuosittain noin 1 000 kiintiöiden vaihtoa. Unionin yksinomaista toimivaltaa rajoittamatta tarvitaan joustava järjestelmä sen jälkeen, kun perussopimuksia lakataan soveltamasta Yhdistyneeseen kuningaskuntaan, jotta unioni voi vaihtaa kiintiöitä Yhdistyneen kuningaskunnan kanssa. Sen vuoksi jäsenvaltioiden olisi voitava keskustella Yhdistyneen kuningaskunnan kanssa ja tarvittaessa laatia suunnitelma aiotusta kiintiön siirrosta tai vaihdosta. Komissio on edelleen vastuussa tällaista kiintiön siirrosta tai vaihdosta. Kiintiön siirron tai vaihdon perusteella Yhdistyneeltä kuningaskunnalta saatuja tai sille siirrettyjä kalastusmahdollisuuksia olisi pidettävä kyseiselle jäsenvaltiolle jaettuina tai siltä vähennettyinä kiintiöinä.</w:t>
      </w:r>
    </w:p>
    <w:p>
      <w:pPr>
        <w:pStyle w:val="ManualConsidrant"/>
        <w:rPr>
          <w:noProof/>
        </w:rPr>
      </w:pPr>
      <w:r>
        <w:t>(12)</w:t>
      </w:r>
      <w:r>
        <w:tab/>
      </w:r>
      <w:r>
        <w:rPr>
          <w:noProof/>
        </w:rPr>
        <w:t>Sen vuoksi asetusta (EU) 2017/2403 olisi muutettava.</w:t>
      </w:r>
    </w:p>
    <w:p>
      <w:pPr>
        <w:pStyle w:val="ManualConsidrant"/>
        <w:rPr>
          <w:noProof/>
        </w:rPr>
      </w:pPr>
      <w:r>
        <w:t>(13)</w:t>
      </w:r>
      <w:r>
        <w:tab/>
      </w:r>
      <w:r>
        <w:rPr>
          <w:noProof/>
        </w:rPr>
        <w:t>Neuvoston asetuksen (ETY, Euratom) N:o 1182/71</w:t>
      </w:r>
      <w:r>
        <w:rPr>
          <w:rStyle w:val="FootnoteReference"/>
          <w:noProof/>
        </w:rPr>
        <w:footnoteReference w:id="8"/>
      </w:r>
      <w:r>
        <w:rPr>
          <w:noProof/>
        </w:rPr>
        <w:t xml:space="preserve"> 4 artiklan 3 kohdan mukaisesti säädösten tietyksi päivämääräksi vahvistettu soveltamisen päättyminen tapahtuu tuota päivämäärää vastaavan päivän viimeisen tunnin kuluttua umpeen. Tätä asetusta olisi sen vuoksi sovellettava sitä päivää seuraavasta päivästä, jona perussopimuksia lakataan soveltamasta Yhdistyneeseen kuningaskuntaan ja Yhdistyneessä kuningaskunnassa.</w:t>
      </w:r>
    </w:p>
    <w:p>
      <w:pPr>
        <w:pStyle w:val="ManualConsidrant"/>
        <w:rPr>
          <w:noProof/>
        </w:rPr>
      </w:pPr>
      <w:r>
        <w:t>(14)</w:t>
      </w:r>
      <w:r>
        <w:tab/>
      </w:r>
      <w:r>
        <w:rPr>
          <w:noProof/>
        </w:rPr>
        <w:t>Tämän asetuksen olisi tultava voimaan kiireellisesti, ja sitä olisi sovellettava sitä päivää seuraavasta päivästä, jona perussopimuksia lakataan soveltamasta Yhdistyneeseen kuningaskuntaan ja Yhdistyneessä kuningaskunnassa, jos Yhdistyneen kuningaskunnan kanssa ei tehdä erosopimusta tai jos Euroopan unionista tehdyn sopimuksen 50 artiklan 3 kohdassa tarkoitettua kahden vuoden määräaikaa ei pidennetä. Sitä olisi sovellettava 31 päivään joulukuuta 2019.</w:t>
      </w:r>
    </w:p>
    <w:p>
      <w:pPr>
        <w:pStyle w:val="ManualConsidrant"/>
        <w:rPr>
          <w:noProof/>
        </w:rPr>
      </w:pPr>
      <w:r>
        <w:t>(15)</w:t>
      </w:r>
      <w:r>
        <w:tab/>
      </w:r>
      <w:r>
        <w:rPr>
          <w:noProof/>
        </w:rPr>
        <w:t>Jotta sekä unionin että Yhdistyneen kuningaskunnan toimijat voisivat edelleen kalastaa niille jaettujen kalastusmahdollisuuksien mukaisesti, unionin vesillä harjoitettavaa toimintaa koskevat kalastusluvat olisi myönnettävä Yhdistyneen kuningaskunnan aluksille ainoastaan jos ja siltä osin kuin komissio varmistaa, että Yhdistynyt kuningaskunta myöntää vastavuoroisuuden pohjalta unionin aluksille oikeuden harjoittaa kalastustoimia Yhdistyneen kuningaskunnan vesillä,</w:t>
      </w:r>
    </w:p>
    <w:p>
      <w:pPr>
        <w:pStyle w:val="Formuledadoption"/>
        <w:rPr>
          <w:noProof/>
        </w:rPr>
      </w:pPr>
      <w:r>
        <w:rPr>
          <w:noProof/>
        </w:rPr>
        <w:t>OVAT HYVÄKSYNEET TÄMÄN ASETUKSEN:</w:t>
      </w:r>
    </w:p>
    <w:p>
      <w:pPr>
        <w:pStyle w:val="Titrearticle0"/>
        <w:rPr>
          <w:noProof/>
        </w:rPr>
      </w:pPr>
      <w:r>
        <w:rPr>
          <w:noProof/>
        </w:rPr>
        <w:t>1 artikla</w:t>
      </w:r>
    </w:p>
    <w:p>
      <w:pPr>
        <w:pStyle w:val="Titrearticle0"/>
        <w:rPr>
          <w:noProof/>
        </w:rPr>
      </w:pPr>
      <w:r>
        <w:rPr>
          <w:noProof/>
        </w:rPr>
        <w:t>Asetuksen (EU) 2017/2403 muuttaminen</w:t>
      </w:r>
    </w:p>
    <w:p>
      <w:pPr>
        <w:rPr>
          <w:noProof/>
        </w:rPr>
      </w:pPr>
    </w:p>
    <w:p>
      <w:pPr>
        <w:rPr>
          <w:noProof/>
        </w:rPr>
      </w:pPr>
      <w:r>
        <w:rPr>
          <w:noProof/>
        </w:rPr>
        <w:t>Muutetaan asetus (EU) 2017/2403 seuraavasti:</w:t>
      </w:r>
    </w:p>
    <w:p>
      <w:pPr>
        <w:rPr>
          <w:noProof/>
        </w:rPr>
      </w:pPr>
    </w:p>
    <w:p>
      <w:pPr>
        <w:pStyle w:val="Point0"/>
        <w:rPr>
          <w:noProof/>
        </w:rPr>
      </w:pPr>
      <w:r>
        <w:rPr>
          <w:noProof/>
        </w:rPr>
        <w:t>1) Lisätään II osaston II lukuun 4 jakso seuraavasti:</w:t>
      </w:r>
    </w:p>
    <w:p>
      <w:pPr>
        <w:jc w:val="center"/>
        <w:rPr>
          <w:i/>
          <w:noProof/>
        </w:rPr>
      </w:pPr>
      <w:r>
        <w:rPr>
          <w:b/>
          <w:noProof/>
        </w:rPr>
        <w:t>”4 jakso</w:t>
      </w:r>
    </w:p>
    <w:p>
      <w:pPr>
        <w:pStyle w:val="NormalCentered"/>
        <w:rPr>
          <w:b/>
          <w:noProof/>
        </w:rPr>
      </w:pPr>
      <w:r>
        <w:rPr>
          <w:b/>
          <w:noProof/>
        </w:rPr>
        <w:t>Unionin kalastusaluksille Yhdistyneen kuningaskunnan vesillä myönnettävät luvat</w:t>
      </w:r>
    </w:p>
    <w:p>
      <w:pPr>
        <w:pStyle w:val="Titrearticle0"/>
        <w:rPr>
          <w:noProof/>
        </w:rPr>
      </w:pPr>
      <w:r>
        <w:rPr>
          <w:noProof/>
        </w:rPr>
        <w:t>18 a artikla</w:t>
      </w:r>
    </w:p>
    <w:p>
      <w:pPr>
        <w:pStyle w:val="Titrearticle0"/>
        <w:rPr>
          <w:noProof/>
        </w:rPr>
      </w:pPr>
      <w:r>
        <w:rPr>
          <w:noProof/>
        </w:rPr>
        <w:t>Soveltamisala</w:t>
      </w:r>
    </w:p>
    <w:p>
      <w:pPr>
        <w:rPr>
          <w:noProof/>
        </w:rPr>
      </w:pPr>
      <w:r>
        <w:rPr>
          <w:noProof/>
        </w:rPr>
        <w:t>Poiketen siitä, mitä 3 jaksossa säädetään, tämän jakson säännöksiä sovelletaan unionin kalastusalusten Yhdistyneen kuningaskunnan vesillä harjoittamiin kalastustoimiin 31 päivään joulukuuta 2019 asti.</w:t>
      </w:r>
    </w:p>
    <w:p>
      <w:pPr>
        <w:pStyle w:val="Titrearticle0"/>
        <w:rPr>
          <w:noProof/>
        </w:rPr>
      </w:pPr>
      <w:r>
        <w:rPr>
          <w:noProof/>
        </w:rPr>
        <w:t>18 b artikla</w:t>
      </w:r>
    </w:p>
    <w:p>
      <w:pPr>
        <w:pStyle w:val="Titrearticle0"/>
        <w:rPr>
          <w:noProof/>
        </w:rPr>
      </w:pPr>
      <w:r>
        <w:rPr>
          <w:noProof/>
        </w:rPr>
        <w:t>Määritelmä</w:t>
      </w:r>
    </w:p>
    <w:p>
      <w:pPr>
        <w:rPr>
          <w:noProof/>
        </w:rPr>
      </w:pPr>
      <w:r>
        <w:rPr>
          <w:noProof/>
        </w:rPr>
        <w:t>Tässä jaksossa ’Yhdistyneen kuningaskunnan vesillä’ tarkoitetaan kansainvälisen oikeuden mukaisesti määriteltyjä Yhdistyneen kuningaskunnan suvereniteettiin tai lainkäyttövaltaan kuuluvia vesiä.</w:t>
      </w:r>
    </w:p>
    <w:p>
      <w:pPr>
        <w:pStyle w:val="Titrearticle0"/>
        <w:rPr>
          <w:noProof/>
        </w:rPr>
      </w:pPr>
      <w:r>
        <w:rPr>
          <w:noProof/>
        </w:rPr>
        <w:t>18 c artikla</w:t>
      </w:r>
    </w:p>
    <w:p>
      <w:pPr>
        <w:pStyle w:val="Titrearticle0"/>
        <w:rPr>
          <w:noProof/>
        </w:rPr>
      </w:pPr>
      <w:r>
        <w:rPr>
          <w:noProof/>
        </w:rPr>
        <w:t>Menettely Yhdistyneen kuningaskunnan kalastusluvan saamiseksi</w:t>
      </w:r>
    </w:p>
    <w:p>
      <w:pPr>
        <w:pStyle w:val="ManualNumPar1"/>
        <w:rPr>
          <w:noProof/>
        </w:rPr>
      </w:pPr>
      <w:r>
        <w:t>1.</w:t>
      </w:r>
      <w:r>
        <w:tab/>
      </w:r>
      <w:r>
        <w:rPr>
          <w:noProof/>
        </w:rPr>
        <w:t xml:space="preserve">Lippujäsenvaltion, joka on todentanut 5 artiklassa esitettyjen edellytysten noudattamisen, on lähetettävä komissiolle vastaava hakemus tai luettelo hakemuksista Yhdistyneen kuningaskunnan kalastusluvan saamiseksi. </w:t>
      </w:r>
    </w:p>
    <w:p>
      <w:pPr>
        <w:pStyle w:val="ManualNumPar1"/>
        <w:rPr>
          <w:noProof/>
        </w:rPr>
      </w:pPr>
      <w:r>
        <w:t>2.</w:t>
      </w:r>
      <w:r>
        <w:tab/>
      </w:r>
      <w:r>
        <w:rPr>
          <w:noProof/>
        </w:rPr>
        <w:t xml:space="preserve">Kussakin hakemuksessa tai luettelossa on oltava tiedot, jotka Yhdistynyt kuningaskunta on pyytänyt luvan myöntämiseksi, vaaditussa esitysmuodossa, sellaisena kuin Yhdistynyt kuningaskunta on ilmoittanut sen komissiolle. </w:t>
      </w:r>
    </w:p>
    <w:p>
      <w:pPr>
        <w:pStyle w:val="ManualNumPar1"/>
        <w:rPr>
          <w:noProof/>
        </w:rPr>
      </w:pPr>
      <w:r>
        <w:t>3.</w:t>
      </w:r>
      <w:r>
        <w:tab/>
      </w:r>
      <w:r>
        <w:rPr>
          <w:noProof/>
        </w:rPr>
        <w:t xml:space="preserve">Komissio toimittaa jäsenvaltioille 2 kohdassa tarkoitetut tiedot ja esitysmuodon. Komissio voi pyytää lippujäsenvaltiolta mitä tahansa lisätietoja, jotka ovat tarpeen 1 ja 2 kohdassa tarkoitettujen edellytysten noudattamisen todentamiseksi. </w:t>
      </w:r>
    </w:p>
    <w:p>
      <w:pPr>
        <w:pStyle w:val="ManualNumPar1"/>
        <w:rPr>
          <w:rFonts w:eastAsia="Times New Roman"/>
          <w:noProof/>
          <w:szCs w:val="24"/>
        </w:rPr>
      </w:pPr>
      <w:r>
        <w:t>4.</w:t>
      </w:r>
      <w:r>
        <w:tab/>
      </w:r>
      <w:r>
        <w:rPr>
          <w:noProof/>
        </w:rPr>
        <w:t>Vastaanotettuaan hakemuksen tai 3 kohdan mukaisesti pyydetyt mahdolliset lisätiedot komissio toimittaa hakemuksen viipymättä Yhdistyneelle kuningaskunnalle.</w:t>
      </w:r>
    </w:p>
    <w:p>
      <w:pPr>
        <w:pStyle w:val="ManualNumPar1"/>
        <w:rPr>
          <w:rFonts w:eastAsia="Times New Roman"/>
          <w:noProof/>
          <w:szCs w:val="24"/>
        </w:rPr>
      </w:pPr>
      <w:r>
        <w:t>5.</w:t>
      </w:r>
      <w:r>
        <w:tab/>
      </w:r>
      <w:r>
        <w:rPr>
          <w:noProof/>
        </w:rPr>
        <w:t>Heti kun Yhdistynyt kuningaskunta ilmoittaa komissiolle, että se on päättänyt myöntää tai evätä luvan jollekin unionin kalastusalukselle, komissio ilmoittaa siitä välittömästi lippujäsenvaltiolle.</w:t>
      </w:r>
    </w:p>
    <w:p>
      <w:pPr>
        <w:pStyle w:val="ManualNumPar1"/>
        <w:rPr>
          <w:rFonts w:eastAsia="Times New Roman"/>
          <w:noProof/>
          <w:szCs w:val="24"/>
        </w:rPr>
      </w:pPr>
      <w:r>
        <w:t>6.</w:t>
      </w:r>
      <w:r>
        <w:tab/>
      </w:r>
      <w:r>
        <w:rPr>
          <w:noProof/>
        </w:rPr>
        <w:t xml:space="preserve">Lippujäsenvaltio voi myöntää kalastusluvan kalastustoimiin Yhdistyneen kuningaskunnan vesillä ainoastaan sen jälkeen, kun sille on ilmoitettu, että Yhdistynyt kuningaskunta on päättänyt myöntää luvan asianomaiselle unionin alukselle. </w:t>
      </w:r>
    </w:p>
    <w:p>
      <w:pPr>
        <w:pStyle w:val="ManualNumPar1"/>
        <w:rPr>
          <w:rFonts w:eastAsia="Times New Roman"/>
          <w:noProof/>
          <w:szCs w:val="24"/>
        </w:rPr>
      </w:pPr>
      <w:r>
        <w:t>7.</w:t>
      </w:r>
      <w:r>
        <w:tab/>
      </w:r>
      <w:r>
        <w:rPr>
          <w:noProof/>
        </w:rPr>
        <w:t>Kalastustoimia ei saa aloittaa ennen kuin sekä lippujäsenvaltio että Yhdistynyt kuningaskunta ovat myöntäneet kalastusluvan.</w:t>
      </w:r>
    </w:p>
    <w:p>
      <w:pPr>
        <w:pStyle w:val="ManualNumPar1"/>
        <w:rPr>
          <w:rFonts w:eastAsia="Times New Roman"/>
          <w:noProof/>
          <w:szCs w:val="24"/>
        </w:rPr>
      </w:pPr>
      <w:r>
        <w:t>8.</w:t>
      </w:r>
      <w:r>
        <w:tab/>
      </w:r>
      <w:r>
        <w:rPr>
          <w:noProof/>
        </w:rPr>
        <w:t>Jos Yhdistynyt kuningaskunta ilmoittaa komissiolle, että se on päättänyt keskeyttää tai peruuttaa jollekin unionin kalastusalukselle myönnetyn kalastusluvan, komissio ilmoittaa siitä välittömästi lippujäsenvaltiolle. Jäsenvaltion on keskeytettävä tai peruutettava Yhdistyneen kuningaskunnan vesillä harjoitettavia kalastustoimia varten myöntämänsä kalastusluvat vastaavasti.</w:t>
      </w:r>
    </w:p>
    <w:p>
      <w:pPr>
        <w:pStyle w:val="ManualNumPar1"/>
        <w:rPr>
          <w:rFonts w:eastAsia="Times New Roman"/>
          <w:noProof/>
          <w:szCs w:val="24"/>
        </w:rPr>
      </w:pPr>
      <w:r>
        <w:t>9.</w:t>
      </w:r>
      <w:r>
        <w:tab/>
      </w:r>
      <w:r>
        <w:rPr>
          <w:noProof/>
        </w:rPr>
        <w:t>Jos Yhdistynyt kuningaskunta ilmoittaa lippujäsenvaltiolle suoraan, että se on päättänyt myöntää kalastusluvan jollekin unionin kalastusalukselle tai evätä, keskeyttää tai peruuttaa unionin kalastusalukselle myönnetyn luvan, lippujäsenvaltion on ilmoitettava siitä välittömästi komissiolle. Jäsenvaltion on keskeytettävä tai peruutettava Yhdistyneen kuningaskunnan vesillä harjoitettavia kalastustoimia varten myöntämänsä kalastusluvat vastaavasti.</w:t>
      </w:r>
    </w:p>
    <w:p>
      <w:pPr>
        <w:pStyle w:val="Titrearticle2"/>
        <w:rPr>
          <w:noProof/>
        </w:rPr>
      </w:pPr>
      <w:r>
        <w:rPr>
          <w:noProof/>
        </w:rPr>
        <w:t>18 d artikla</w:t>
      </w:r>
      <w:r>
        <w:rPr>
          <w:noProof/>
        </w:rPr>
        <w:br/>
        <w:t>Seuranta</w:t>
      </w:r>
    </w:p>
    <w:p>
      <w:pPr>
        <w:rPr>
          <w:noProof/>
        </w:rPr>
      </w:pPr>
      <w:r>
        <w:rPr>
          <w:noProof/>
        </w:rPr>
        <w:t xml:space="preserve">Komissio seuraa unionin kalastusalusten Yhdistyneen kuningaskunnan vesillä toteuttamiin kalastustoimiin tarkoitettujen kalastuslupien myöntämistä Yhdistyneessä kuningaskunnassa.” </w:t>
      </w:r>
    </w:p>
    <w:p>
      <w:pPr>
        <w:rPr>
          <w:noProof/>
        </w:rPr>
      </w:pPr>
    </w:p>
    <w:p>
      <w:pPr>
        <w:pStyle w:val="Point0number"/>
        <w:numPr>
          <w:ilvl w:val="0"/>
          <w:numId w:val="18"/>
        </w:numPr>
        <w:rPr>
          <w:noProof/>
        </w:rPr>
      </w:pPr>
      <w:r>
        <w:rPr>
          <w:noProof/>
        </w:rPr>
        <w:t>Lisätään III a osasto seuraavasti:</w:t>
      </w:r>
    </w:p>
    <w:p>
      <w:pPr>
        <w:pStyle w:val="NormalCentered"/>
        <w:rPr>
          <w:noProof/>
        </w:rPr>
      </w:pPr>
      <w:r>
        <w:rPr>
          <w:b/>
          <w:noProof/>
        </w:rPr>
        <w:t>”III a OSASTO</w:t>
      </w:r>
    </w:p>
    <w:p>
      <w:pPr>
        <w:pStyle w:val="NormalCentered"/>
        <w:rPr>
          <w:b/>
          <w:noProof/>
        </w:rPr>
      </w:pPr>
      <w:r>
        <w:rPr>
          <w:b/>
          <w:noProof/>
        </w:rPr>
        <w:t>YHDISTYNEEN KUNINGASKUNNAN KALASTUSALUSTEN KALASTUSTOIMET UNIONIN VESILLÄ</w:t>
      </w:r>
    </w:p>
    <w:p>
      <w:pPr>
        <w:pStyle w:val="Titrearticle0"/>
        <w:rPr>
          <w:noProof/>
        </w:rPr>
      </w:pPr>
      <w:r>
        <w:rPr>
          <w:noProof/>
        </w:rPr>
        <w:t>38 a artikla</w:t>
      </w:r>
    </w:p>
    <w:p>
      <w:pPr>
        <w:pStyle w:val="Titrearticle0"/>
        <w:rPr>
          <w:i w:val="0"/>
          <w:noProof/>
        </w:rPr>
      </w:pPr>
      <w:r>
        <w:rPr>
          <w:noProof/>
        </w:rPr>
        <w:t>Soveltamisala</w:t>
      </w:r>
    </w:p>
    <w:p>
      <w:pPr>
        <w:rPr>
          <w:noProof/>
        </w:rPr>
      </w:pPr>
      <w:r>
        <w:rPr>
          <w:noProof/>
        </w:rPr>
        <w:t>Poiketen siitä, mitä III osastossa säädetään, tämän osaston säännöksiä sovelletaan Yhdistyneen kuningaskunnan kalastusalusten unionin vesillä harjoittamiin kalastustoimiin 31 päivään joulukuuta 2019 asti.</w:t>
      </w:r>
    </w:p>
    <w:p>
      <w:pPr>
        <w:pStyle w:val="Titrearticle0"/>
        <w:rPr>
          <w:noProof/>
        </w:rPr>
      </w:pPr>
      <w:r>
        <w:rPr>
          <w:noProof/>
        </w:rPr>
        <w:t>38 b artikla</w:t>
      </w:r>
    </w:p>
    <w:p>
      <w:pPr>
        <w:jc w:val="center"/>
        <w:rPr>
          <w:i/>
          <w:noProof/>
        </w:rPr>
      </w:pPr>
      <w:r>
        <w:rPr>
          <w:i/>
          <w:noProof/>
        </w:rPr>
        <w:t>Yhdistyneen kuningaskunnan alusten kalastustoimet</w:t>
      </w:r>
    </w:p>
    <w:p>
      <w:pPr>
        <w:rPr>
          <w:noProof/>
        </w:rPr>
      </w:pPr>
      <w:r>
        <w:rPr>
          <w:noProof/>
        </w:rPr>
        <w:t xml:space="preserve">Yhdistyneen kuningaskunnan kalastusalukset voivat harjoittaa kalastustoimia unionin vesillä kalastusmahdollisuuksien vahvistamisesta annetuissa neuvoston asetuksissa (EU) [2019/....]* ja (EU) 2018/2025** säädettyjen edellytysten mukaisesti. </w:t>
      </w:r>
    </w:p>
    <w:p>
      <w:pPr>
        <w:rPr>
          <w:noProof/>
        </w:rPr>
      </w:pPr>
      <w:r>
        <w:rPr>
          <w:noProof/>
        </w:rPr>
        <w:t>* Neuvoston asetus (EU) [2019/….] unionin vesillä ja unionin aluksiin tietyillä unionin ulkopuolisilla vesillä sovellettavien tiettyjen kalakantojen ja kalakantaryhmien kalastusmahdollisuuksien vahvistamisesta vuodeksi 2019 (EUVL L , …, s. ).</w:t>
      </w:r>
    </w:p>
    <w:p>
      <w:pPr>
        <w:rPr>
          <w:noProof/>
        </w:rPr>
      </w:pPr>
      <w:r>
        <w:rPr>
          <w:noProof/>
        </w:rPr>
        <w:t>** Neuvoston asetus (EU) 2018/2025, annettu 17 päivänä joulukuuta 2018, unionin aluksiin sovellettavien eräiden syvänmeren kalakantojen kalastusmahdollisuuksien vahvistamisesta vuosiksi 2019 ja 2020 (EUVL L 325, 20.12.2018, s. 7).</w:t>
      </w:r>
    </w:p>
    <w:p>
      <w:pPr>
        <w:rPr>
          <w:noProof/>
        </w:rPr>
      </w:pPr>
    </w:p>
    <w:p>
      <w:pPr>
        <w:pStyle w:val="Titrearticle2"/>
        <w:rPr>
          <w:noProof/>
        </w:rPr>
      </w:pPr>
      <w:r>
        <w:rPr>
          <w:noProof/>
        </w:rPr>
        <w:t>38 c artikla</w:t>
      </w:r>
    </w:p>
    <w:p>
      <w:pPr>
        <w:pStyle w:val="Titrearticle2"/>
        <w:rPr>
          <w:noProof/>
        </w:rPr>
      </w:pPr>
      <w:r>
        <w:rPr>
          <w:noProof/>
        </w:rPr>
        <w:t>Yleiset periaatteet</w:t>
      </w:r>
    </w:p>
    <w:p>
      <w:pPr>
        <w:pStyle w:val="ManualNumPar1"/>
        <w:rPr>
          <w:noProof/>
        </w:rPr>
      </w:pPr>
      <w:r>
        <w:t>1.</w:t>
      </w:r>
      <w:r>
        <w:tab/>
      </w:r>
      <w:r>
        <w:rPr>
          <w:noProof/>
        </w:rPr>
        <w:t xml:space="preserve">Yhdistyneen kuningaskunnan kalastusalus ei saa harjoittaa kalastustoimia unionin vesillä, paitsi jos komissio on myöntänyt sille kalastusluvan. Sille voidaan myöntää tällainen lupa vain, jos 2 kohdassa esitetyt kelpoisuusehdot täyttyvät. </w:t>
      </w:r>
    </w:p>
    <w:p>
      <w:pPr>
        <w:pStyle w:val="ManualNumPar1"/>
        <w:rPr>
          <w:noProof/>
        </w:rPr>
      </w:pPr>
      <w:r>
        <w:t>2.</w:t>
      </w:r>
      <w:r>
        <w:tab/>
      </w:r>
      <w:r>
        <w:rPr>
          <w:noProof/>
        </w:rPr>
        <w:t>Komissio voi myöntää kalastusluvan Yhdistyneen kuningaskunnan alukselle, jos</w:t>
      </w:r>
    </w:p>
    <w:p>
      <w:pPr>
        <w:spacing w:before="0" w:after="0"/>
        <w:ind w:left="851"/>
        <w:rPr>
          <w:rFonts w:eastAsia="Times New Roman"/>
          <w:noProof/>
          <w:szCs w:val="24"/>
        </w:rPr>
      </w:pPr>
    </w:p>
    <w:p>
      <w:pPr>
        <w:pStyle w:val="Point1letter"/>
        <w:rPr>
          <w:noProof/>
        </w:rPr>
      </w:pPr>
      <w:r>
        <w:rPr>
          <w:noProof/>
        </w:rPr>
        <w:t>kalastusaluksella on Yhdistyneen kuningaskunnan viranomaisen myöntämä voimassa oleva kalastuslisenssi;</w:t>
      </w:r>
    </w:p>
    <w:p>
      <w:pPr>
        <w:pStyle w:val="Point1letter"/>
        <w:rPr>
          <w:noProof/>
        </w:rPr>
      </w:pPr>
      <w:r>
        <w:rPr>
          <w:noProof/>
        </w:rPr>
        <w:t>Yhdistynyt kuningaskunta on merkinnyt kalastusaluksen komission käytettävissä olevaan alusrekisteriin;</w:t>
      </w:r>
    </w:p>
    <w:p>
      <w:pPr>
        <w:pStyle w:val="Point1letter"/>
        <w:rPr>
          <w:noProof/>
        </w:rPr>
      </w:pPr>
      <w:r>
        <w:rPr>
          <w:noProof/>
        </w:rPr>
        <w:t>kalastusalukseen ja kaikkiin siihen liittyviin tukialuksiin sovelletaan IMO:n tunnistenumerojärjestelmää, jos unionin oikeudessa sitä edellytetään;</w:t>
      </w:r>
    </w:p>
    <w:p>
      <w:pPr>
        <w:pStyle w:val="Point1letter"/>
        <w:rPr>
          <w:noProof/>
        </w:rPr>
      </w:pPr>
      <w:r>
        <w:rPr>
          <w:noProof/>
        </w:rPr>
        <w:t>kalastusalus ei sisälly LIS-alusten luetteloon, jonka alueellinen kalastuksenhoitojärjestö ja/tai unioni LIS-asetuksen nojalla on hyväksynyt;</w:t>
      </w:r>
    </w:p>
    <w:p>
      <w:pPr>
        <w:pStyle w:val="Point1letter"/>
        <w:rPr>
          <w:noProof/>
        </w:rPr>
      </w:pPr>
      <w:r>
        <w:rPr>
          <w:noProof/>
        </w:rPr>
        <w:t>Yhdistynyttä kuningaskuntaa ei ole merkitty yhteistyöhön osallistumattomien maiden luetteloon LIS-asetuksen nojalla tai kestämättömät kalastusmahdollisuudet sallivien maiden luetteloon asetuksen (EU) N:o 1026/2012 nojalla;</w:t>
      </w:r>
    </w:p>
    <w:p>
      <w:pPr>
        <w:pStyle w:val="Point1letter"/>
        <w:rPr>
          <w:noProof/>
        </w:rPr>
      </w:pPr>
      <w:r>
        <w:rPr>
          <w:noProof/>
        </w:rPr>
        <w:t xml:space="preserve">kalastusmahdollisuudet ovat Yhdistyneen kuningaskunnan käytettävissä. </w:t>
      </w:r>
    </w:p>
    <w:p>
      <w:pPr>
        <w:pStyle w:val="ManualNumPar1"/>
        <w:rPr>
          <w:noProof/>
        </w:rPr>
      </w:pPr>
      <w:r>
        <w:t>3.</w:t>
      </w:r>
      <w:r>
        <w:tab/>
      </w:r>
      <w:r>
        <w:rPr>
          <w:noProof/>
        </w:rPr>
        <w:t xml:space="preserve">Luvan kalastukseen unionin vesillä saaneen Yhdistyneen kuningaskunnan aluksen on noudatettava sääntöjä, joilla säännellään unionin alusten kalastustoimia sillä kalastusalueella, jolla kyseinen alus toimii. </w:t>
      </w:r>
    </w:p>
    <w:p>
      <w:pPr>
        <w:pStyle w:val="Titrearticle2"/>
        <w:rPr>
          <w:noProof/>
        </w:rPr>
      </w:pPr>
      <w:r>
        <w:rPr>
          <w:noProof/>
        </w:rPr>
        <w:t>38 d artikla</w:t>
      </w:r>
    </w:p>
    <w:p>
      <w:pPr>
        <w:pStyle w:val="Titrearticle2"/>
        <w:rPr>
          <w:noProof/>
        </w:rPr>
      </w:pPr>
      <w:r>
        <w:rPr>
          <w:noProof/>
        </w:rPr>
        <w:t>Menettely kalastuslupien saamista varten</w:t>
      </w:r>
    </w:p>
    <w:p>
      <w:pPr>
        <w:pStyle w:val="ManualNumPar1"/>
        <w:rPr>
          <w:noProof/>
        </w:rPr>
      </w:pPr>
      <w:r>
        <w:t>1.</w:t>
      </w:r>
      <w:r>
        <w:tab/>
      </w:r>
      <w:r>
        <w:rPr>
          <w:noProof/>
        </w:rPr>
        <w:t xml:space="preserve">Yhdistyneen kuningaskunnan on toimitettava komissiolle kalastusalustensa lupia koskeva hakemus tai luettelo hakemuksista. </w:t>
      </w:r>
    </w:p>
    <w:p>
      <w:pPr>
        <w:pStyle w:val="ManualNumPar1"/>
        <w:rPr>
          <w:noProof/>
        </w:rPr>
      </w:pPr>
      <w:r>
        <w:t>2.</w:t>
      </w:r>
      <w:r>
        <w:tab/>
      </w:r>
      <w:r>
        <w:rPr>
          <w:noProof/>
        </w:rPr>
        <w:t>Komissio voi pyytää Yhdistyneeltä kuningaskunnalta tarpeellisia lisätietoja todentaakseen, että 38 c artiklan 2 kohdassa säädetyt edellytykset ovat täyttyneet.</w:t>
      </w:r>
    </w:p>
    <w:p>
      <w:pPr>
        <w:pStyle w:val="ManualNumPar1"/>
        <w:rPr>
          <w:noProof/>
        </w:rPr>
      </w:pPr>
      <w:r>
        <w:t>3.</w:t>
      </w:r>
      <w:r>
        <w:tab/>
      </w:r>
      <w:r>
        <w:rPr>
          <w:noProof/>
        </w:rPr>
        <w:t>Kun on todettu, että 38 c artiklan 2 kohdassa säädetyt edellytykset täyttyvät, komissio voi myöntää kalastusluvan ja ilmoittaa siitä viipymättä Yhdistyneelle kuningaskunnalle ja asianomaisille jäsenvaltioille.</w:t>
      </w:r>
    </w:p>
    <w:p>
      <w:pPr>
        <w:pStyle w:val="Titrearticle2"/>
        <w:rPr>
          <w:noProof/>
        </w:rPr>
      </w:pPr>
      <w:r>
        <w:rPr>
          <w:noProof/>
        </w:rPr>
        <w:t>38 e artikla</w:t>
      </w:r>
    </w:p>
    <w:p>
      <w:pPr>
        <w:pStyle w:val="Titrearticle2"/>
        <w:rPr>
          <w:noProof/>
        </w:rPr>
      </w:pPr>
      <w:r>
        <w:rPr>
          <w:noProof/>
        </w:rPr>
        <w:t>Kalastuslupien hallinnointi</w:t>
      </w:r>
    </w:p>
    <w:p>
      <w:pPr>
        <w:pStyle w:val="ManualNumPar1"/>
        <w:rPr>
          <w:noProof/>
        </w:rPr>
      </w:pPr>
      <w:r>
        <w:t>1.</w:t>
      </w:r>
      <w:r>
        <w:tab/>
      </w:r>
      <w:r>
        <w:rPr>
          <w:noProof/>
        </w:rPr>
        <w:t>Jos jokin 38 c artiklan 2 kohdassa esitetty edellytys ei enää täyty, komissio ryhtyy asianmukaisiin toimiin, mukaan lukien luvan muuttaminen tai sen peruuttaminen, ja ilmoittaa asiasta Yhdistyneelle kuningaskunnalle ja asianomaisille jäsenvaltioille.</w:t>
      </w:r>
    </w:p>
    <w:p>
      <w:pPr>
        <w:pStyle w:val="ManualNumPar1"/>
        <w:rPr>
          <w:noProof/>
        </w:rPr>
      </w:pPr>
      <w:r>
        <w:t>2.</w:t>
      </w:r>
      <w:r>
        <w:tab/>
      </w:r>
      <w:r>
        <w:rPr>
          <w:noProof/>
        </w:rPr>
        <w:t>Komissio voi kieltäytyä myöntämästä lupaa Yhdistyneen kuningaskunnan kalastusalukselle taikka peruuttaa tai keskeyttää luvan seuraavissa tapauksissa:</w:t>
      </w:r>
    </w:p>
    <w:p>
      <w:pPr>
        <w:pStyle w:val="Point1letter"/>
        <w:numPr>
          <w:ilvl w:val="3"/>
          <w:numId w:val="12"/>
        </w:numPr>
        <w:rPr>
          <w:noProof/>
        </w:rPr>
      </w:pPr>
      <w:r>
        <w:rPr>
          <w:noProof/>
        </w:rPr>
        <w:t>olosuhteissa on tapahtunut perustavanlaatuinen muutos;</w:t>
      </w:r>
    </w:p>
    <w:p>
      <w:pPr>
        <w:pStyle w:val="Point1letter"/>
        <w:numPr>
          <w:ilvl w:val="3"/>
          <w:numId w:val="12"/>
        </w:numPr>
        <w:rPr>
          <w:noProof/>
        </w:rPr>
      </w:pPr>
      <w:r>
        <w:rPr>
          <w:noProof/>
        </w:rPr>
        <w:t>meren elollisten luonnonvarojen kestävään hyödyntämiseen, hoitoon ja säilyttämiseen kohdistuu vakava uhka;</w:t>
      </w:r>
    </w:p>
    <w:p>
      <w:pPr>
        <w:pStyle w:val="Point1letter"/>
        <w:numPr>
          <w:ilvl w:val="3"/>
          <w:numId w:val="12"/>
        </w:numPr>
        <w:rPr>
          <w:noProof/>
        </w:rPr>
      </w:pPr>
      <w:r>
        <w:rPr>
          <w:noProof/>
        </w:rPr>
        <w:t xml:space="preserve">se on olennaisen tärkeää LIS-kalastuksen ehkäisemiseksi tai torjumiseksi; </w:t>
      </w:r>
    </w:p>
    <w:p>
      <w:pPr>
        <w:pStyle w:val="Point1letter"/>
        <w:numPr>
          <w:ilvl w:val="3"/>
          <w:numId w:val="12"/>
        </w:numPr>
        <w:rPr>
          <w:noProof/>
        </w:rPr>
      </w:pPr>
      <w:r>
        <w:rPr>
          <w:noProof/>
        </w:rPr>
        <w:t xml:space="preserve">komissio katsoo sen asianmukaiseksi 18 d artiklan mukaisten seurantatoimien tulosten perusteella; </w:t>
      </w:r>
    </w:p>
    <w:p>
      <w:pPr>
        <w:pStyle w:val="Point1letter"/>
        <w:numPr>
          <w:ilvl w:val="3"/>
          <w:numId w:val="12"/>
        </w:numPr>
        <w:rPr>
          <w:noProof/>
        </w:rPr>
      </w:pPr>
      <w:r>
        <w:rPr>
          <w:noProof/>
        </w:rPr>
        <w:t>Yhdistynyt kuningaskunta perusteettomasti epää tai peruuttaa unionin aluksille Yhdistyneen kuningaskunnan vesille myönnetyn luvan.</w:t>
      </w:r>
    </w:p>
    <w:p>
      <w:pPr>
        <w:pStyle w:val="ManualNumPar1"/>
        <w:rPr>
          <w:noProof/>
        </w:rPr>
      </w:pPr>
      <w:r>
        <w:t>3.</w:t>
      </w:r>
      <w:r>
        <w:tab/>
      </w:r>
      <w:r>
        <w:rPr>
          <w:noProof/>
        </w:rPr>
        <w:t>Komissio ilmoittaa välittömästi Yhdistyneelle kuningaskunnalle, jos se epää, keskeyttää tai peruuttaa luvan ensimmäisen kohdan mukaisesti.</w:t>
      </w:r>
    </w:p>
    <w:p>
      <w:pPr>
        <w:pStyle w:val="Titrearticle2"/>
        <w:rPr>
          <w:noProof/>
        </w:rPr>
      </w:pPr>
      <w:r>
        <w:rPr>
          <w:noProof/>
        </w:rPr>
        <w:t>38 f artikla</w:t>
      </w:r>
    </w:p>
    <w:p>
      <w:pPr>
        <w:pStyle w:val="Titrearticle2"/>
        <w:rPr>
          <w:noProof/>
        </w:rPr>
      </w:pPr>
      <w:r>
        <w:rPr>
          <w:noProof/>
        </w:rPr>
        <w:t>Kalastustoimien lopettaminen</w:t>
      </w:r>
    </w:p>
    <w:p>
      <w:pPr>
        <w:pStyle w:val="ManualNumPar1"/>
        <w:rPr>
          <w:noProof/>
        </w:rPr>
      </w:pPr>
      <w:r>
        <w:t>1.</w:t>
      </w:r>
      <w:r>
        <w:tab/>
      </w:r>
      <w:r>
        <w:rPr>
          <w:noProof/>
        </w:rPr>
        <w:t>Jos Yhdistyneelle kuningaskunnalle myönnetyt kalastusmahdollisuudet katsotaan kokonaan käytetyiksi, komissio ilmoittaa siitä viipymättä Yhdistyneelle kuningaskunnalle ja jäsenvaltioiden toimivaltaisille valvontaviranomaisille. Jotta voidaan jatkaa käyttämättöminä olevia kalastusmahdollisuuksia hyödyntäviä kalastustoimia, mikä saattaa vaikuttaa myös kokonaan käytettyihin kalastusmahdollisuuksiin, komissio pyytää Yhdistynyttä kuningaskuntaa ilmoittamaan sille teknisistä toimenpiteistä, joilla estetään kielteisten vaikutusten kohdistuminen jo kokonaan käytettyihin kalastusmahdollisuuksiin.</w:t>
      </w:r>
    </w:p>
    <w:p>
      <w:pPr>
        <w:pStyle w:val="ManualNumPar1"/>
        <w:rPr>
          <w:noProof/>
        </w:rPr>
      </w:pPr>
      <w:r>
        <w:t>2.</w:t>
      </w:r>
      <w:r>
        <w:tab/>
      </w:r>
      <w:r>
        <w:rPr>
          <w:noProof/>
        </w:rPr>
        <w:t>Yhdistyneen kuningaskunnan lipun alla purjehtiville aluksille myönnetyt kalastusluvat katsotaan keskeytetyiksi kyseessä olevien kalastustoimien osalta 1 kohdassa tarkoitetun ilmoituksen päivämäärästä lähtien, eivätkä alukset saa enää harjoittaa kyseisiä kalastustoimia.</w:t>
      </w:r>
    </w:p>
    <w:p>
      <w:pPr>
        <w:pStyle w:val="ManualNumPar1"/>
        <w:rPr>
          <w:noProof/>
        </w:rPr>
      </w:pPr>
      <w:r>
        <w:t>3.</w:t>
      </w:r>
      <w:r>
        <w:tab/>
      </w:r>
      <w:r>
        <w:rPr>
          <w:noProof/>
        </w:rPr>
        <w:t>Kalastusluvat on katsottava peruutetuiksi, jos 2 kohdan mukainen kalastuslupien keskeytys koskee kaikkia toimia, joita varten luvat on myönnetty.</w:t>
      </w:r>
    </w:p>
    <w:p>
      <w:pPr>
        <w:pStyle w:val="Titrearticle2"/>
        <w:rPr>
          <w:noProof/>
        </w:rPr>
      </w:pPr>
      <w:r>
        <w:rPr>
          <w:noProof/>
        </w:rPr>
        <w:t>38 g artikla</w:t>
      </w:r>
    </w:p>
    <w:p>
      <w:pPr>
        <w:pStyle w:val="Titrearticle2"/>
        <w:rPr>
          <w:noProof/>
        </w:rPr>
      </w:pPr>
      <w:r>
        <w:rPr>
          <w:noProof/>
        </w:rPr>
        <w:t>Kiintiöiden ylittäminen unionin vesillä</w:t>
      </w:r>
    </w:p>
    <w:p>
      <w:pPr>
        <w:rPr>
          <w:noProof/>
        </w:rPr>
      </w:pPr>
      <w:r>
        <w:rPr>
          <w:noProof/>
        </w:rPr>
        <w:t>Jos komissio toteaa Yhdistyneen kuningaskunnan ylittäneen kiintiön, joka sille on myönnetty tietyn kalakannan tai kalakantaryhmän osalta, komissio vähentää Yhdistyneelle kuningaskunnalle myönnettyjä muita kiintiöitä. Komissio pyrkii varmistamaan, että vähennyksen määrä on yhdenmukainen jäsenvaltioille vastaavissa olosuhteissa määrättävien vähennysten kanssa.</w:t>
      </w:r>
    </w:p>
    <w:p>
      <w:pPr>
        <w:pStyle w:val="Titrearticle2"/>
        <w:rPr>
          <w:noProof/>
        </w:rPr>
      </w:pPr>
      <w:r>
        <w:rPr>
          <w:noProof/>
        </w:rPr>
        <w:t>38 h artikla</w:t>
      </w:r>
    </w:p>
    <w:p>
      <w:pPr>
        <w:pStyle w:val="Titrearticle2"/>
        <w:rPr>
          <w:noProof/>
        </w:rPr>
      </w:pPr>
      <w:r>
        <w:rPr>
          <w:noProof/>
        </w:rPr>
        <w:t>Valvonta ja noudattamisen valvonta</w:t>
      </w:r>
    </w:p>
    <w:p>
      <w:pPr>
        <w:pStyle w:val="ManualNumPar1"/>
        <w:rPr>
          <w:noProof/>
        </w:rPr>
      </w:pPr>
      <w:r>
        <w:t>1.</w:t>
      </w:r>
      <w:r>
        <w:tab/>
      </w:r>
      <w:r>
        <w:rPr>
          <w:noProof/>
        </w:rPr>
        <w:t>Luvan kalastukseen unionin vesillä saaneen Yhdistyneen kuningaskunnan aluksen on noudatettava samoja valvontasääntöjä, joilla säännellään unionin alusten kalastustoimia sillä kalastusalueella, jolla kyseinen alus toimii.</w:t>
      </w:r>
    </w:p>
    <w:p>
      <w:pPr>
        <w:pStyle w:val="ManualNumPar1"/>
        <w:rPr>
          <w:noProof/>
        </w:rPr>
      </w:pPr>
      <w:r>
        <w:t>2.</w:t>
      </w:r>
      <w:r>
        <w:tab/>
      </w:r>
      <w:r>
        <w:rPr>
          <w:noProof/>
        </w:rPr>
        <w:t>Luvan kalastukseen unionin vesillä saaneen Yhdistyneen kuningaskunnan aluksen on toimitettava komissiolle tai sen nimeämälle elimelle ja tapauksen mukaan rantajäsenvaltiolle tiedot, jotka unionin alusten edellytetään lähettävän lippujäsenvaltiolle valvonta-asetuksen nojalla.</w:t>
      </w:r>
    </w:p>
    <w:p>
      <w:pPr>
        <w:pStyle w:val="ManualNumPar1"/>
        <w:rPr>
          <w:noProof/>
        </w:rPr>
      </w:pPr>
      <w:r>
        <w:t>3.</w:t>
      </w:r>
      <w:r>
        <w:tab/>
      </w:r>
      <w:r>
        <w:rPr>
          <w:noProof/>
        </w:rPr>
        <w:t>Komissio tai sen nimeämä elin lähettää 2 kohdan mukaisesti vastaanotetut tiedot rantajäsenvaltiolle.</w:t>
      </w:r>
    </w:p>
    <w:p>
      <w:pPr>
        <w:pStyle w:val="ManualNumPar1"/>
        <w:rPr>
          <w:noProof/>
        </w:rPr>
      </w:pPr>
      <w:r>
        <w:t>4.</w:t>
      </w:r>
      <w:r>
        <w:tab/>
      </w:r>
      <w:r>
        <w:rPr>
          <w:noProof/>
        </w:rPr>
        <w:t>Luvan kalastukseen unionin vesillä saaneen Yhdistyneen kuningaskunnan aluksen on toimitettava pyynnöstä komissiolle tai sen nimeämälle elimelle sovellettavien tarkkailijaohjelmien puitteissa laaditut tarkkailuraportit.</w:t>
      </w:r>
    </w:p>
    <w:p>
      <w:pPr>
        <w:pStyle w:val="ManualNumPar1"/>
        <w:rPr>
          <w:noProof/>
        </w:rPr>
      </w:pPr>
      <w:r>
        <w:t>5.</w:t>
      </w:r>
      <w:r>
        <w:tab/>
      </w:r>
      <w:r>
        <w:rPr>
          <w:noProof/>
        </w:rPr>
        <w:t>Rantajäsenvaltion on kirjattava Yhdistyneen kuningaskunnan kalastusalusten tekemät mahdolliset rikkomukset ja niihin liittyvät seuraamukset kansalliseen rekisteriin, josta säädetään valvonta-asetuksen 93 artiklassa.</w:t>
      </w:r>
    </w:p>
    <w:p>
      <w:pPr>
        <w:pStyle w:val="Titrearticle2"/>
        <w:rPr>
          <w:noProof/>
        </w:rPr>
      </w:pPr>
      <w:r>
        <w:rPr>
          <w:noProof/>
        </w:rPr>
        <w:t>38 i artikla</w:t>
      </w:r>
    </w:p>
    <w:p>
      <w:pPr>
        <w:pStyle w:val="Titrearticle2"/>
        <w:rPr>
          <w:noProof/>
        </w:rPr>
      </w:pPr>
      <w:r>
        <w:rPr>
          <w:noProof/>
        </w:rPr>
        <w:t>Kiintiöiden siirrot ja vaihdot</w:t>
      </w:r>
    </w:p>
    <w:p>
      <w:pPr>
        <w:pStyle w:val="ManualNumPar1"/>
        <w:rPr>
          <w:noProof/>
        </w:rPr>
      </w:pPr>
      <w:r>
        <w:t>1.</w:t>
      </w:r>
      <w:r>
        <w:tab/>
      </w:r>
      <w:r>
        <w:rPr>
          <w:noProof/>
        </w:rPr>
        <w:t xml:space="preserve">Jäsenvaltiot voivat keskustella epävirallisesti Yhdistyneen kuningaskunnan kanssa ja tarvittaessa laatia suunnitelman aiotusta kiintiön siirrosta tai vaihdosta. </w:t>
      </w:r>
    </w:p>
    <w:p>
      <w:pPr>
        <w:pStyle w:val="ManualNumPar1"/>
        <w:rPr>
          <w:noProof/>
        </w:rPr>
      </w:pPr>
      <w:r>
        <w:t>2.</w:t>
      </w:r>
      <w:r>
        <w:tab/>
      </w:r>
      <w:r>
        <w:rPr>
          <w:noProof/>
        </w:rPr>
        <w:t xml:space="preserve">Vastaanotettuaan asianomaisen jäsenvaltion ilmoituksen komissio voi suorittaa vastaavan kiintiön siirron tai vaihdon. </w:t>
      </w:r>
    </w:p>
    <w:p>
      <w:pPr>
        <w:pStyle w:val="ManualNumPar1"/>
        <w:rPr>
          <w:noProof/>
        </w:rPr>
      </w:pPr>
      <w:r>
        <w:t>3.</w:t>
      </w:r>
      <w:r>
        <w:tab/>
      </w:r>
      <w:r>
        <w:rPr>
          <w:noProof/>
        </w:rPr>
        <w:t xml:space="preserve">Komissio ilmoittaa jäsenvaltioille sovitusta kiintiön siirrosta tai vaihdosta. </w:t>
      </w:r>
    </w:p>
    <w:p>
      <w:pPr>
        <w:pStyle w:val="ManualNumPar1"/>
        <w:rPr>
          <w:noProof/>
        </w:rPr>
      </w:pPr>
      <w:r>
        <w:t>4.</w:t>
      </w:r>
      <w:r>
        <w:tab/>
      </w:r>
      <w:r>
        <w:rPr>
          <w:noProof/>
        </w:rPr>
        <w:t>Kiintiön siirron tai vaihdon perusteella Yhdistyneeltä kuningaskunnalta saatuja tai sille siirrettyjä kalastusmahdollisuuksia pidetään kyseiselle jäsenvaltiolle jaettuina tai siltä vähennettyinä kiintiöinä siitä hetkestä, kun kiintiön siirto tai vaihto tulee voimaan. Tällainen jako tai vähennys ei saa kuitenkaan muuttaa kalastustoimintaa koskevan suhteellisen vakauden periaatteen mukaista nykyistä jakoperustetta kalastusmahdollisuuksien jakamiseksi jäsenvaltioiden välillä.”</w:t>
      </w:r>
    </w:p>
    <w:p>
      <w:pPr>
        <w:pStyle w:val="Titrearticle2"/>
        <w:rPr>
          <w:noProof/>
        </w:rPr>
      </w:pPr>
      <w:r>
        <w:rPr>
          <w:noProof/>
        </w:rPr>
        <w:t>2 artikla</w:t>
      </w:r>
    </w:p>
    <w:p>
      <w:pPr>
        <w:pStyle w:val="Titrearticle2"/>
        <w:rPr>
          <w:noProof/>
        </w:rPr>
      </w:pPr>
      <w:r>
        <w:rPr>
          <w:noProof/>
        </w:rPr>
        <w:t>Voimaantulo ja soveltaminen</w:t>
      </w:r>
    </w:p>
    <w:p>
      <w:pPr>
        <w:rPr>
          <w:noProof/>
        </w:rPr>
      </w:pPr>
      <w:r>
        <w:rPr>
          <w:noProof/>
        </w:rPr>
        <w:t xml:space="preserve">Tämä asetus tulee voimaan sitä päivää seuraavana päivänä, jona se julkaistaan </w:t>
      </w:r>
      <w:r>
        <w:rPr>
          <w:i/>
          <w:noProof/>
        </w:rPr>
        <w:t>Euroopan unionin virallisessa lehdessä</w:t>
      </w:r>
      <w:r>
        <w:rPr>
          <w:noProof/>
        </w:rPr>
        <w:t>.</w:t>
      </w:r>
    </w:p>
    <w:p>
      <w:pPr>
        <w:rPr>
          <w:noProof/>
        </w:rPr>
      </w:pPr>
      <w:r>
        <w:rPr>
          <w:noProof/>
        </w:rPr>
        <w:t>Sitä sovelletaan sitä päivää seuraavasta päivästä, jona Euroopan unionista tehdyn sopimuksen 50 artiklan 3 kohdan mukaisesti perussopimuksia lakataan soveltamasta Yhdistyneeseen kuningaskuntaan ja Yhdistyneessä kuningaskunnassa, 31 päivään joulukuuta 2019.</w:t>
      </w:r>
    </w:p>
    <w:p>
      <w:pPr>
        <w:spacing w:after="240"/>
        <w:rPr>
          <w:noProof/>
        </w:rPr>
      </w:pPr>
      <w:r>
        <w:rPr>
          <w:noProof/>
        </w:rPr>
        <w:t>Tätä asetusta ei kuitenkaan sovelleta, jos Yhdistyneen kuningaskunnan kanssa Euroopan unionista tehdyn sopimuksen 50 artiklan 2 kohdan mukaisesti tehty erosopimus on tullut voimaan tämän artiklan toisessa kohdassa tarkoitettuun päivään mennessä.</w:t>
      </w:r>
    </w:p>
    <w:p>
      <w:pPr>
        <w:spacing w:after="240"/>
        <w:rPr>
          <w:noProof/>
        </w:rPr>
      </w:pPr>
      <w:r>
        <w:rPr>
          <w:noProof/>
        </w:rPr>
        <w:t>Tämä asetus on kaikilta osiltaan velvoittava, ja sitä sovelletaan sellaisenaan kaikissa jäsenvaltioissa.</w:t>
      </w:r>
    </w:p>
    <w:p>
      <w:pPr>
        <w:pStyle w:val="Fait"/>
        <w:rPr>
          <w:noProof/>
        </w:rPr>
      </w:pPr>
      <w:r>
        <w:t>Tehty Brysselissä</w:t>
      </w:r>
    </w:p>
    <w:p>
      <w:pPr>
        <w:pStyle w:val="Institutionquisigne"/>
        <w:rPr>
          <w:noProof/>
        </w:rPr>
      </w:pPr>
      <w:r>
        <w:rPr>
          <w:noProof/>
        </w:rPr>
        <w:t>Euroopan parlamentin puolesta</w:t>
      </w:r>
      <w:r>
        <w:rPr>
          <w:noProof/>
        </w:rPr>
        <w:tab/>
        <w:t>Neuvoston puolesta</w:t>
      </w:r>
    </w:p>
    <w:p>
      <w:pPr>
        <w:pStyle w:val="Personnequisigne"/>
        <w:rPr>
          <w:noProof/>
        </w:rPr>
      </w:pPr>
      <w:r>
        <w:rPr>
          <w:noProof/>
        </w:rPr>
        <w:t>Puhemies</w:t>
      </w:r>
      <w:r>
        <w:rPr>
          <w:noProof/>
        </w:rPr>
        <w:tab/>
        <w:t>Puheenjohtaja</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fldChar w:fldCharType="begin"/>
    </w:r>
    <w:r>
      <w:instrText xml:space="preserve"> PAGE  \* MERGEFORMAT </w:instrText>
    </w:r>
    <w:r>
      <w:fldChar w:fldCharType="separate"/>
    </w:r>
    <w:r>
      <w:rPr>
        <w:noProof/>
      </w:rPr>
      <w:t>13</w:t>
    </w:r>
    <w:r>
      <w:fldChar w:fldCharType="end"/>
    </w:r>
    <w:r>
      <w:tab/>
    </w:r>
    <w:r>
      <w:tab/>
    </w:r>
    <w:r>
      <w:rPr>
        <w:rFonts w:ascii="Arial" w:hAnsi="Arial" w:cs="Arial"/>
        <w:b/>
        <w:sz w:val="48"/>
      </w:rPr>
      <w:t>FI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NormalWeb"/>
      </w:pPr>
      <w:r>
        <w:rPr>
          <w:rStyle w:val="FootnoteReference"/>
        </w:rPr>
        <w:footnoteRef/>
      </w:r>
      <w:r>
        <w:tab/>
        <w:t>Euroopan parlamentin ja neuvoston asetus, annettu 11 päivänä joulukuuta 2013, yhteisestä kalastuspolitiikasta, neuvoston asetusten (EY) N:o 1954/2003 ja (EY) N:o 1224/2009 muuttamisesta sekä neuvoston asetusten (EY) N:o 2371/2002 ja (EY) N:o 639/2004 ja neuvoston päätöksen 2004/585/EY kumoamisesta (</w:t>
      </w:r>
      <w:r>
        <w:rPr>
          <w:i/>
        </w:rPr>
        <w:t>EUVL L 354, 28.12.2013, s. 22–61</w:t>
      </w:r>
      <w:r>
        <w:t>).</w:t>
      </w:r>
    </w:p>
    <w:p>
      <w:pPr>
        <w:pStyle w:val="FootnoteText"/>
      </w:pPr>
    </w:p>
  </w:footnote>
  <w:footnote w:id="2">
    <w:p>
      <w:pPr>
        <w:pStyle w:val="FootnoteText"/>
      </w:pPr>
      <w:r>
        <w:rPr>
          <w:rStyle w:val="FootnoteReference"/>
        </w:rPr>
        <w:footnoteRef/>
      </w:r>
      <w:r>
        <w:tab/>
        <w:t>Euroopan parlamentin ja neuvoston asetus (EU) 2017/2403, annettu 12 päivänä joulukuuta 2017, ulkoisten kalastuslaivastojen kestävästä hallinnoinnista ja neuvoston asetuksen (EY) N:o 1006/2008 kumoamisesta (EUVL L 347, 28.12.2017, s. 81).</w:t>
      </w:r>
      <w:r>
        <w:tab/>
      </w:r>
    </w:p>
  </w:footnote>
  <w:footnote w:id="3">
    <w:p>
      <w:pPr>
        <w:pStyle w:val="FootnoteText"/>
      </w:pPr>
      <w:r>
        <w:rPr>
          <w:rStyle w:val="FootnoteReference"/>
        </w:rPr>
        <w:footnoteRef/>
      </w:r>
      <w:r>
        <w:tab/>
        <w:t>EUVL C , , s. .</w:t>
      </w:r>
    </w:p>
  </w:footnote>
  <w:footnote w:id="4">
    <w:p>
      <w:pPr>
        <w:pStyle w:val="FootnoteText"/>
      </w:pPr>
      <w:r>
        <w:rPr>
          <w:rStyle w:val="FootnoteReference"/>
        </w:rPr>
        <w:footnoteRef/>
      </w:r>
      <w:r>
        <w:tab/>
        <w:t>Neuvoston asetus (EU) [2019/….] unionin vesillä ja unionin aluksiin tietyillä unionin ulkopuolisilla vesillä sovellettavien tiettyjen kalakantojen ja kalakantaryhmien kalastusmahdollisuuksien vahvistamisesta vuodeksi 2019 (EUVL L , …, s. ).</w:t>
      </w:r>
    </w:p>
  </w:footnote>
  <w:footnote w:id="5">
    <w:p>
      <w:pPr>
        <w:pStyle w:val="FootnoteText"/>
      </w:pPr>
      <w:r>
        <w:rPr>
          <w:rStyle w:val="FootnoteReference"/>
        </w:rPr>
        <w:footnoteRef/>
      </w:r>
      <w:r>
        <w:tab/>
        <w:t>Neuvoston asetus (EU) 2018/2025, annettu 17 päivänä joulukuuta 2018, unionin aluksiin sovellettavien eräiden syvänmeren kalakantojen kalastusmahdollisuuksien vahvistamisesta vuosiksi 2019 ja 2020 (EUVL L 325, 20.12.2018, s. 7).</w:t>
      </w:r>
    </w:p>
  </w:footnote>
  <w:footnote w:id="6">
    <w:p>
      <w:pPr>
        <w:pStyle w:val="FootnoteText"/>
      </w:pPr>
      <w:r>
        <w:rPr>
          <w:rStyle w:val="FootnoteReference"/>
        </w:rPr>
        <w:footnoteRef/>
      </w:r>
      <w:r>
        <w:tab/>
        <w:t>Euroopan parlamentin ja neuvoston asetus (EU) N:o 1380/2013, annettu 11 päivänä joulukuuta 2013, yhteisestä kalastuspolitiikasta, neuvoston asetusten (EY) N:o 1954/2003 ja (EY) N:o 1224/2009 muuttamisesta sekä neuvoston asetusten (EY) N:o 2371/2002 ja (EY) N:o 639/2004 ja neuvoston päätöksen 2004/585/EY kumoamisesta (EUVL L 354, 28.12.2013, s. 22).</w:t>
      </w:r>
    </w:p>
  </w:footnote>
  <w:footnote w:id="7">
    <w:p>
      <w:pPr>
        <w:pStyle w:val="FootnoteText"/>
      </w:pPr>
      <w:r>
        <w:rPr>
          <w:rStyle w:val="FootnoteReference"/>
        </w:rPr>
        <w:footnoteRef/>
      </w:r>
      <w:r>
        <w:tab/>
        <w:t>Euroopan parlamentin ja neuvoston asetus (EU) 2017/2403, annettu 12 päivänä joulukuuta 2017, ulkoisten kalastuslaivastojen kestävästä hallinnoinnista ja neuvoston asetuksen (EY) N:o 1006/2008 kumoamisesta (EUVL L 347, 28.12.2017, s. 81).</w:t>
      </w:r>
    </w:p>
  </w:footnote>
  <w:footnote w:id="8">
    <w:p>
      <w:pPr>
        <w:pStyle w:val="FootnoteText"/>
      </w:pPr>
      <w:r>
        <w:rPr>
          <w:rStyle w:val="FootnoteReference"/>
        </w:rPr>
        <w:footnoteRef/>
      </w:r>
      <w:r>
        <w:tab/>
        <w:t>Neuvoston asetus (ETY, Euratom) N:o 1182/71, annettu 3 päivänä kesäkuuta 1971, määräaikoihin, päivämääriin ja määräpäiviin sovellettavista säännöistä (EYVL L 124, 8.6.1971,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D3811C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D32CB62C"/>
    <w:lvl w:ilvl="0">
      <w:start w:val="1"/>
      <w:numFmt w:val="decimal"/>
      <w:pStyle w:val="ListNumber3"/>
      <w:lvlText w:val="%1."/>
      <w:lvlJc w:val="left"/>
      <w:pPr>
        <w:tabs>
          <w:tab w:val="num" w:pos="926"/>
        </w:tabs>
        <w:ind w:left="926" w:hanging="360"/>
      </w:pPr>
    </w:lvl>
  </w:abstractNum>
  <w:abstractNum w:abstractNumId="2">
    <w:nsid w:val="FFFFFF7F"/>
    <w:multiLevelType w:val="singleLevel"/>
    <w:tmpl w:val="13D2DFA8"/>
    <w:lvl w:ilvl="0">
      <w:start w:val="1"/>
      <w:numFmt w:val="decimal"/>
      <w:pStyle w:val="ListNumber2"/>
      <w:lvlText w:val="%1."/>
      <w:lvlJc w:val="left"/>
      <w:pPr>
        <w:tabs>
          <w:tab w:val="num" w:pos="643"/>
        </w:tabs>
        <w:ind w:left="643" w:hanging="360"/>
      </w:pPr>
    </w:lvl>
  </w:abstractNum>
  <w:abstractNum w:abstractNumId="3">
    <w:nsid w:val="FFFFFF81"/>
    <w:multiLevelType w:val="singleLevel"/>
    <w:tmpl w:val="9BC4362E"/>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902C8BC6"/>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3A760A1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0E369E14"/>
    <w:lvl w:ilvl="0">
      <w:start w:val="1"/>
      <w:numFmt w:val="decimal"/>
      <w:pStyle w:val="ListNumber"/>
      <w:lvlText w:val="%1."/>
      <w:lvlJc w:val="left"/>
      <w:pPr>
        <w:tabs>
          <w:tab w:val="num" w:pos="360"/>
        </w:tabs>
        <w:ind w:left="360" w:hanging="360"/>
      </w:pPr>
    </w:lvl>
  </w:abstractNum>
  <w:abstractNum w:abstractNumId="7">
    <w:nsid w:val="FFFFFF89"/>
    <w:multiLevelType w:val="singleLevel"/>
    <w:tmpl w:val="89DAED3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2"/>
  </w:num>
  <w:num w:numId="21">
    <w:abstractNumId w:val="20"/>
  </w:num>
  <w:num w:numId="22">
    <w:abstractNumId w:val="11"/>
  </w:num>
  <w:num w:numId="23">
    <w:abstractNumId w:val="13"/>
  </w:num>
  <w:num w:numId="24">
    <w:abstractNumId w:val="9"/>
  </w:num>
  <w:num w:numId="25">
    <w:abstractNumId w:val="19"/>
  </w:num>
  <w:num w:numId="26">
    <w:abstractNumId w:val="8"/>
  </w:num>
  <w:num w:numId="27">
    <w:abstractNumId w:val="14"/>
  </w:num>
  <w:num w:numId="28">
    <w:abstractNumId w:val="16"/>
  </w:num>
  <w:num w:numId="29">
    <w:abstractNumId w:val="17"/>
  </w:num>
  <w:num w:numId="30">
    <w:abstractNumId w:val="10"/>
  </w:num>
  <w:num w:numId="31">
    <w:abstractNumId w:val="15"/>
  </w:num>
  <w:num w:numId="32">
    <w:abstractNumId w:val="21"/>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LLIET Stijn (MARE)">
    <w15:presenceInfo w15:providerId="None" w15:userId="BILLIET Stijn (MA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hideSpellingErrors/>
  <w:hideGrammaticalErrors/>
  <w:attachedTemplate r:id="rId1"/>
  <w:revisionView w:markup="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1-29 18:05:08"/>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6"/>
    <w:docVar w:name="DQCResult_UnknownFonts" w:val="0;0"/>
    <w:docVar w:name="DQCResult_UnknownStyles" w:val="0;1"/>
    <w:docVar w:name="DQCStatus" w:val="Green"/>
    <w:docVar w:name="DQCVersion" w:val="3"/>
    <w:docVar w:name="DQCWithWarnings" w:val="0"/>
    <w:docVar w:name="LW_CORRIGENDUM" w:val="&lt;UNUSED&gt;"/>
    <w:docVar w:name="LW_COVERPAGE_EXISTS" w:val="True"/>
    <w:docVar w:name="LW_COVERPAGE_GUID" w:val="78848AF8-6CBD-42AD-853B-8EC6505D695F"/>
    <w:docVar w:name="LW_COVERPAGE_TYPE" w:val="1"/>
    <w:docVar w:name="LW_CROSSREFERENCE" w:val="&lt;UNUSED&gt;"/>
    <w:docVar w:name="LW_DocType" w:val="COM"/>
    <w:docVar w:name="LW_EMISSION" w:val="23.1.2019"/>
    <w:docVar w:name="LW_EMISSION_ISODATE" w:val="2019-01-23"/>
    <w:docVar w:name="LW_EMISSION_LOCATION" w:val="BRX"/>
    <w:docVar w:name="LW_EMISSION_PREFIX" w:val="Bryssel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COD"/>
    <w:docVar w:name="LW_REF.II.NEW.CP_NUMBER" w:val="0010"/>
    <w:docVar w:name="LW_REF.II.NEW.CP_YEAR" w:val="2019"/>
    <w:docVar w:name="LW_REF.INST.NEW" w:val="COM"/>
    <w:docVar w:name="LW_REF.INST.NEW_ADOPTED" w:val="final"/>
    <w:docVar w:name="LW_REF.INST.NEW_TEXT" w:val="(2019) 4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Ehdotus"/>
    <w:docVar w:name="LW_SUPERTITRE" w:val="&lt;UNUSED&gt;"/>
    <w:docVar w:name="LW_TITRE.OBJ.CP" w:val="asetuksen (EU) 2017/2403 muuttamisesta siltä osin kuin on kyse unionin kalastusaluksille Yhdistyneen kuningaskunnan vesillä myönnettävistä kalastusluvista ja Yhdistyneen kuningaskunnan kalastusalusten kalastustoimista unionin vesillä_x000b_"/>
    <w:docVar w:name="LW_TYPE.DOC.CP" w:val="EUROOPAN PARLAMENTIN JA NEUVOSTON ASETU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pPr>
      <w:keepNext/>
      <w:numPr>
        <w:numId w:val="2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i-FI"/>
    </w:rPr>
  </w:style>
  <w:style w:type="paragraph" w:styleId="NormalWeb">
    <w:name w:val="Normal (Web)"/>
    <w:basedOn w:val="Normal"/>
    <w:uiPriority w:val="99"/>
    <w:semiHidden/>
    <w:unhideWhenUsed/>
    <w:rPr>
      <w:szCs w:val="24"/>
    </w:rPr>
  </w:style>
  <w:style w:type="character" w:styleId="Emphasis">
    <w:name w:val="Emphasis"/>
    <w:basedOn w:val="DefaultParagraphFont"/>
    <w:uiPriority w:val="20"/>
    <w:qFormat/>
    <w:rPr>
      <w:i/>
      <w:iCs/>
    </w:rPr>
  </w:style>
  <w:style w:type="paragraph" w:customStyle="1" w:styleId="Normal1">
    <w:name w:val="Normal1"/>
    <w:basedOn w:val="Normal"/>
    <w:pPr>
      <w:spacing w:before="100" w:beforeAutospacing="1" w:after="100" w:afterAutospacing="1"/>
      <w:jc w:val="left"/>
    </w:pPr>
    <w:rPr>
      <w:rFonts w:eastAsia="Times New Roman"/>
      <w:szCs w:val="24"/>
    </w:rPr>
  </w:style>
  <w:style w:type="paragraph" w:customStyle="1" w:styleId="ti-art">
    <w:name w:val="ti-art"/>
    <w:basedOn w:val="Normal"/>
    <w:pPr>
      <w:spacing w:before="100" w:beforeAutospacing="1" w:after="100" w:afterAutospacing="1"/>
      <w:jc w:val="left"/>
    </w:pPr>
    <w:rPr>
      <w:rFonts w:eastAsia="Times New Roman"/>
      <w:szCs w:val="24"/>
    </w:rPr>
  </w:style>
  <w:style w:type="paragraph" w:customStyle="1" w:styleId="sti-art">
    <w:name w:val="sti-art"/>
    <w:basedOn w:val="Normal"/>
    <w:pPr>
      <w:spacing w:before="100" w:beforeAutospacing="1" w:after="100" w:afterAutospacing="1"/>
      <w:jc w:val="left"/>
    </w:pPr>
    <w:rPr>
      <w:rFonts w:eastAsia="Times New Roman"/>
      <w:szCs w:val="24"/>
    </w:rPr>
  </w:style>
  <w:style w:type="paragraph" w:customStyle="1" w:styleId="titrearticle">
    <w:name w:val="titrearticle"/>
    <w:basedOn w:val="Normal"/>
    <w:pPr>
      <w:spacing w:before="100" w:beforeAutospacing="1" w:after="100" w:afterAutospacing="1"/>
      <w:jc w:val="left"/>
    </w:pPr>
    <w:rPr>
      <w:rFonts w:eastAsia="Times New Roman"/>
      <w:szCs w:val="24"/>
    </w:rPr>
  </w:style>
  <w:style w:type="character" w:customStyle="1" w:styleId="num">
    <w:name w:val="num"/>
    <w:basedOn w:val="DefaultParagraphFont"/>
  </w:style>
  <w:style w:type="paragraph" w:customStyle="1" w:styleId="Titrearticle0">
    <w:name w:val="Titre article"/>
    <w:basedOn w:val="Normal"/>
    <w:next w:val="Normal"/>
    <w:pPr>
      <w:keepNext/>
      <w:spacing w:before="360"/>
      <w:jc w:val="center"/>
    </w:pPr>
    <w:rPr>
      <w:i/>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character" w:styleId="Hyperlink">
    <w:name w:val="Hyperlink"/>
    <w:basedOn w:val="DefaultParagraphFont"/>
    <w:uiPriority w:val="99"/>
    <w:unhideWhenUsed/>
    <w:rPr>
      <w:color w:val="0000FF" w:themeColor="hyperlink"/>
      <w:u w:val="single"/>
    </w:rPr>
  </w:style>
  <w:style w:type="paragraph" w:customStyle="1" w:styleId="Titrearticle1">
    <w:name w:val="Titre article"/>
    <w:basedOn w:val="Normal"/>
    <w:next w:val="Normal"/>
    <w:pPr>
      <w:keepNext/>
      <w:spacing w:before="360"/>
      <w:jc w:val="center"/>
    </w:pPr>
    <w:rPr>
      <w:i/>
    </w:rPr>
  </w:style>
  <w:style w:type="paragraph" w:customStyle="1" w:styleId="Titrearticle2">
    <w:name w:val="Titre article"/>
    <w:basedOn w:val="Normal"/>
    <w:next w:val="Normal"/>
    <w:pPr>
      <w:keepNext/>
      <w:spacing w:before="360"/>
      <w:jc w:val="center"/>
    </w:pPr>
    <w:rPr>
      <w:i/>
    </w:rPr>
  </w:style>
  <w:style w:type="paragraph" w:customStyle="1" w:styleId="Titrearticle3">
    <w:name w:val="Titre article"/>
    <w:basedOn w:val="Normal"/>
    <w:next w:val="Normal"/>
    <w:pPr>
      <w:keepNext/>
      <w:spacing w:before="360"/>
      <w:jc w:val="center"/>
    </w:pPr>
    <w:rPr>
      <w:i/>
    </w:rPr>
  </w:style>
  <w:style w:type="paragraph" w:customStyle="1" w:styleId="Titrearticle4">
    <w:name w:val="Titre article"/>
    <w:basedOn w:val="Normal"/>
    <w:next w:val="Normal"/>
    <w:pPr>
      <w:keepNext/>
      <w:spacing w:before="360"/>
      <w:jc w:val="center"/>
    </w:pPr>
    <w:rPr>
      <w:i/>
    </w:rPr>
  </w:style>
  <w:style w:type="paragraph" w:customStyle="1" w:styleId="Titrearticle5">
    <w:name w:val="Titre article"/>
    <w:basedOn w:val="Normal"/>
    <w:next w:val="Normal"/>
    <w:pPr>
      <w:keepNext/>
      <w:spacing w:before="360"/>
      <w:jc w:val="center"/>
    </w:pPr>
    <w:rPr>
      <w:i/>
    </w:rPr>
  </w:style>
  <w:style w:type="paragraph" w:customStyle="1" w:styleId="Titrearticle6">
    <w:name w:val="Titre article"/>
    <w:basedOn w:val="Normal"/>
    <w:next w:val="Normal"/>
    <w:pPr>
      <w:keepNext/>
      <w:spacing w:before="360"/>
      <w:jc w:val="center"/>
    </w:pPr>
    <w:rPr>
      <w:i/>
    </w:rPr>
  </w:style>
  <w:style w:type="paragraph" w:customStyle="1" w:styleId="Titrearticle7">
    <w:name w:val="Titre article"/>
    <w:basedOn w:val="Normal"/>
    <w:next w:val="Normal"/>
    <w:pPr>
      <w:keepNext/>
      <w:spacing w:before="360"/>
      <w:jc w:val="center"/>
    </w:pPr>
    <w:rPr>
      <w:i/>
    </w:rPr>
  </w:style>
  <w:style w:type="paragraph" w:customStyle="1" w:styleId="Titrearticle8">
    <w:name w:val="Titre article"/>
    <w:basedOn w:val="Normal"/>
    <w:next w:val="Normal"/>
    <w:pPr>
      <w:keepNext/>
      <w:spacing w:before="360"/>
      <w:jc w:val="center"/>
    </w:pPr>
    <w:rPr>
      <w:i/>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i-FI"/>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i-F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9"/>
      </w:numPr>
    </w:pPr>
  </w:style>
  <w:style w:type="paragraph" w:customStyle="1" w:styleId="Tiret1">
    <w:name w:val="Tiret 1"/>
    <w:basedOn w:val="Point1"/>
    <w:pPr>
      <w:numPr>
        <w:numId w:val="20"/>
      </w:numPr>
    </w:pPr>
  </w:style>
  <w:style w:type="paragraph" w:customStyle="1" w:styleId="Tiret2">
    <w:name w:val="Tiret 2"/>
    <w:basedOn w:val="Point2"/>
    <w:pPr>
      <w:numPr>
        <w:numId w:val="21"/>
      </w:numPr>
    </w:pPr>
  </w:style>
  <w:style w:type="paragraph" w:customStyle="1" w:styleId="Tiret3">
    <w:name w:val="Tiret 3"/>
    <w:basedOn w:val="Point3"/>
    <w:pPr>
      <w:numPr>
        <w:numId w:val="22"/>
      </w:numPr>
    </w:pPr>
  </w:style>
  <w:style w:type="paragraph" w:customStyle="1" w:styleId="Tiret4">
    <w:name w:val="Tiret 4"/>
    <w:basedOn w:val="Point4"/>
    <w:pPr>
      <w:numPr>
        <w:numId w:val="2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4"/>
      </w:numPr>
    </w:pPr>
  </w:style>
  <w:style w:type="paragraph" w:customStyle="1" w:styleId="NumPar2">
    <w:name w:val="NumPar 2"/>
    <w:basedOn w:val="Normal"/>
    <w:next w:val="Text1"/>
    <w:pPr>
      <w:numPr>
        <w:ilvl w:val="1"/>
        <w:numId w:val="24"/>
      </w:numPr>
    </w:pPr>
  </w:style>
  <w:style w:type="paragraph" w:customStyle="1" w:styleId="NumPar3">
    <w:name w:val="NumPar 3"/>
    <w:basedOn w:val="Normal"/>
    <w:next w:val="Text1"/>
    <w:pPr>
      <w:numPr>
        <w:ilvl w:val="2"/>
        <w:numId w:val="24"/>
      </w:numPr>
    </w:pPr>
  </w:style>
  <w:style w:type="paragraph" w:customStyle="1" w:styleId="NumPar4">
    <w:name w:val="NumPar 4"/>
    <w:basedOn w:val="Normal"/>
    <w:next w:val="Text1"/>
    <w:pPr>
      <w:numPr>
        <w:ilvl w:val="3"/>
        <w:numId w:val="2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6"/>
      </w:numPr>
    </w:pPr>
  </w:style>
  <w:style w:type="paragraph" w:customStyle="1" w:styleId="Point1number">
    <w:name w:val="Point 1 (number)"/>
    <w:basedOn w:val="Normal"/>
    <w:pPr>
      <w:numPr>
        <w:ilvl w:val="2"/>
        <w:numId w:val="26"/>
      </w:numPr>
    </w:pPr>
  </w:style>
  <w:style w:type="paragraph" w:customStyle="1" w:styleId="Point2number">
    <w:name w:val="Point 2 (number)"/>
    <w:basedOn w:val="Normal"/>
    <w:pPr>
      <w:numPr>
        <w:ilvl w:val="4"/>
        <w:numId w:val="26"/>
      </w:numPr>
    </w:pPr>
  </w:style>
  <w:style w:type="paragraph" w:customStyle="1" w:styleId="Point3number">
    <w:name w:val="Point 3 (number)"/>
    <w:basedOn w:val="Normal"/>
    <w:pPr>
      <w:numPr>
        <w:ilvl w:val="6"/>
        <w:numId w:val="26"/>
      </w:numPr>
    </w:pPr>
  </w:style>
  <w:style w:type="paragraph" w:customStyle="1" w:styleId="Point0letter">
    <w:name w:val="Point 0 (letter)"/>
    <w:basedOn w:val="Normal"/>
    <w:pPr>
      <w:numPr>
        <w:ilvl w:val="1"/>
        <w:numId w:val="26"/>
      </w:numPr>
    </w:pPr>
  </w:style>
  <w:style w:type="paragraph" w:customStyle="1" w:styleId="Point1letter">
    <w:name w:val="Point 1 (letter)"/>
    <w:basedOn w:val="Normal"/>
    <w:pPr>
      <w:numPr>
        <w:ilvl w:val="3"/>
        <w:numId w:val="26"/>
      </w:numPr>
    </w:pPr>
  </w:style>
  <w:style w:type="paragraph" w:customStyle="1" w:styleId="Point2letter">
    <w:name w:val="Point 2 (letter)"/>
    <w:basedOn w:val="Normal"/>
    <w:pPr>
      <w:numPr>
        <w:ilvl w:val="5"/>
        <w:numId w:val="26"/>
      </w:numPr>
    </w:pPr>
  </w:style>
  <w:style w:type="paragraph" w:customStyle="1" w:styleId="Point3letter">
    <w:name w:val="Point 3 (letter)"/>
    <w:basedOn w:val="Normal"/>
    <w:pPr>
      <w:numPr>
        <w:ilvl w:val="7"/>
        <w:numId w:val="26"/>
      </w:numPr>
    </w:pPr>
  </w:style>
  <w:style w:type="paragraph" w:customStyle="1" w:styleId="Point4letter">
    <w:name w:val="Point 4 (letter)"/>
    <w:basedOn w:val="Normal"/>
    <w:pPr>
      <w:numPr>
        <w:ilvl w:val="8"/>
        <w:numId w:val="26"/>
      </w:numPr>
    </w:pPr>
  </w:style>
  <w:style w:type="paragraph" w:customStyle="1" w:styleId="Bullet0">
    <w:name w:val="Bullet 0"/>
    <w:basedOn w:val="Normal"/>
    <w:pPr>
      <w:numPr>
        <w:numId w:val="27"/>
      </w:numPr>
    </w:pPr>
  </w:style>
  <w:style w:type="paragraph" w:customStyle="1" w:styleId="Bullet1">
    <w:name w:val="Bullet 1"/>
    <w:basedOn w:val="Normal"/>
    <w:pPr>
      <w:numPr>
        <w:numId w:val="28"/>
      </w:numPr>
    </w:pPr>
  </w:style>
  <w:style w:type="paragraph" w:customStyle="1" w:styleId="Bullet2">
    <w:name w:val="Bullet 2"/>
    <w:basedOn w:val="Normal"/>
    <w:pPr>
      <w:numPr>
        <w:numId w:val="29"/>
      </w:numPr>
    </w:pPr>
  </w:style>
  <w:style w:type="paragraph" w:customStyle="1" w:styleId="Bullet3">
    <w:name w:val="Bullet 3"/>
    <w:basedOn w:val="Normal"/>
    <w:pPr>
      <w:numPr>
        <w:numId w:val="30"/>
      </w:numPr>
    </w:pPr>
  </w:style>
  <w:style w:type="paragraph" w:customStyle="1" w:styleId="Bullet4">
    <w:name w:val="Bullet 4"/>
    <w:basedOn w:val="Normal"/>
    <w:pPr>
      <w:numPr>
        <w:numId w:val="3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9"/>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9">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9"/>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pPr>
      <w:keepNext/>
      <w:numPr>
        <w:numId w:val="2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i-FI"/>
    </w:rPr>
  </w:style>
  <w:style w:type="paragraph" w:styleId="NormalWeb">
    <w:name w:val="Normal (Web)"/>
    <w:basedOn w:val="Normal"/>
    <w:uiPriority w:val="99"/>
    <w:semiHidden/>
    <w:unhideWhenUsed/>
    <w:rPr>
      <w:szCs w:val="24"/>
    </w:rPr>
  </w:style>
  <w:style w:type="character" w:styleId="Emphasis">
    <w:name w:val="Emphasis"/>
    <w:basedOn w:val="DefaultParagraphFont"/>
    <w:uiPriority w:val="20"/>
    <w:qFormat/>
    <w:rPr>
      <w:i/>
      <w:iCs/>
    </w:rPr>
  </w:style>
  <w:style w:type="paragraph" w:customStyle="1" w:styleId="Normal1">
    <w:name w:val="Normal1"/>
    <w:basedOn w:val="Normal"/>
    <w:pPr>
      <w:spacing w:before="100" w:beforeAutospacing="1" w:after="100" w:afterAutospacing="1"/>
      <w:jc w:val="left"/>
    </w:pPr>
    <w:rPr>
      <w:rFonts w:eastAsia="Times New Roman"/>
      <w:szCs w:val="24"/>
    </w:rPr>
  </w:style>
  <w:style w:type="paragraph" w:customStyle="1" w:styleId="ti-art">
    <w:name w:val="ti-art"/>
    <w:basedOn w:val="Normal"/>
    <w:pPr>
      <w:spacing w:before="100" w:beforeAutospacing="1" w:after="100" w:afterAutospacing="1"/>
      <w:jc w:val="left"/>
    </w:pPr>
    <w:rPr>
      <w:rFonts w:eastAsia="Times New Roman"/>
      <w:szCs w:val="24"/>
    </w:rPr>
  </w:style>
  <w:style w:type="paragraph" w:customStyle="1" w:styleId="sti-art">
    <w:name w:val="sti-art"/>
    <w:basedOn w:val="Normal"/>
    <w:pPr>
      <w:spacing w:before="100" w:beforeAutospacing="1" w:after="100" w:afterAutospacing="1"/>
      <w:jc w:val="left"/>
    </w:pPr>
    <w:rPr>
      <w:rFonts w:eastAsia="Times New Roman"/>
      <w:szCs w:val="24"/>
    </w:rPr>
  </w:style>
  <w:style w:type="paragraph" w:customStyle="1" w:styleId="titrearticle">
    <w:name w:val="titrearticle"/>
    <w:basedOn w:val="Normal"/>
    <w:pPr>
      <w:spacing w:before="100" w:beforeAutospacing="1" w:after="100" w:afterAutospacing="1"/>
      <w:jc w:val="left"/>
    </w:pPr>
    <w:rPr>
      <w:rFonts w:eastAsia="Times New Roman"/>
      <w:szCs w:val="24"/>
    </w:rPr>
  </w:style>
  <w:style w:type="character" w:customStyle="1" w:styleId="num">
    <w:name w:val="num"/>
    <w:basedOn w:val="DefaultParagraphFont"/>
  </w:style>
  <w:style w:type="paragraph" w:customStyle="1" w:styleId="Titrearticle0">
    <w:name w:val="Titre article"/>
    <w:basedOn w:val="Normal"/>
    <w:next w:val="Normal"/>
    <w:pPr>
      <w:keepNext/>
      <w:spacing w:before="360"/>
      <w:jc w:val="center"/>
    </w:pPr>
    <w:rPr>
      <w:i/>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i-FI"/>
    </w:rPr>
  </w:style>
  <w:style w:type="character" w:styleId="Hyperlink">
    <w:name w:val="Hyperlink"/>
    <w:basedOn w:val="DefaultParagraphFont"/>
    <w:uiPriority w:val="99"/>
    <w:unhideWhenUsed/>
    <w:rPr>
      <w:color w:val="0000FF" w:themeColor="hyperlink"/>
      <w:u w:val="single"/>
    </w:rPr>
  </w:style>
  <w:style w:type="paragraph" w:customStyle="1" w:styleId="Titrearticle1">
    <w:name w:val="Titre article"/>
    <w:basedOn w:val="Normal"/>
    <w:next w:val="Normal"/>
    <w:pPr>
      <w:keepNext/>
      <w:spacing w:before="360"/>
      <w:jc w:val="center"/>
    </w:pPr>
    <w:rPr>
      <w:i/>
    </w:rPr>
  </w:style>
  <w:style w:type="paragraph" w:customStyle="1" w:styleId="Titrearticle2">
    <w:name w:val="Titre article"/>
    <w:basedOn w:val="Normal"/>
    <w:next w:val="Normal"/>
    <w:pPr>
      <w:keepNext/>
      <w:spacing w:before="360"/>
      <w:jc w:val="center"/>
    </w:pPr>
    <w:rPr>
      <w:i/>
    </w:rPr>
  </w:style>
  <w:style w:type="paragraph" w:customStyle="1" w:styleId="Titrearticle3">
    <w:name w:val="Titre article"/>
    <w:basedOn w:val="Normal"/>
    <w:next w:val="Normal"/>
    <w:pPr>
      <w:keepNext/>
      <w:spacing w:before="360"/>
      <w:jc w:val="center"/>
    </w:pPr>
    <w:rPr>
      <w:i/>
    </w:rPr>
  </w:style>
  <w:style w:type="paragraph" w:customStyle="1" w:styleId="Titrearticle4">
    <w:name w:val="Titre article"/>
    <w:basedOn w:val="Normal"/>
    <w:next w:val="Normal"/>
    <w:pPr>
      <w:keepNext/>
      <w:spacing w:before="360"/>
      <w:jc w:val="center"/>
    </w:pPr>
    <w:rPr>
      <w:i/>
    </w:rPr>
  </w:style>
  <w:style w:type="paragraph" w:customStyle="1" w:styleId="Titrearticle5">
    <w:name w:val="Titre article"/>
    <w:basedOn w:val="Normal"/>
    <w:next w:val="Normal"/>
    <w:pPr>
      <w:keepNext/>
      <w:spacing w:before="360"/>
      <w:jc w:val="center"/>
    </w:pPr>
    <w:rPr>
      <w:i/>
    </w:rPr>
  </w:style>
  <w:style w:type="paragraph" w:customStyle="1" w:styleId="Titrearticle6">
    <w:name w:val="Titre article"/>
    <w:basedOn w:val="Normal"/>
    <w:next w:val="Normal"/>
    <w:pPr>
      <w:keepNext/>
      <w:spacing w:before="360"/>
      <w:jc w:val="center"/>
    </w:pPr>
    <w:rPr>
      <w:i/>
    </w:rPr>
  </w:style>
  <w:style w:type="paragraph" w:customStyle="1" w:styleId="Titrearticle7">
    <w:name w:val="Titre article"/>
    <w:basedOn w:val="Normal"/>
    <w:next w:val="Normal"/>
    <w:pPr>
      <w:keepNext/>
      <w:spacing w:before="360"/>
      <w:jc w:val="center"/>
    </w:pPr>
    <w:rPr>
      <w:i/>
    </w:rPr>
  </w:style>
  <w:style w:type="paragraph" w:customStyle="1" w:styleId="Titrearticle8">
    <w:name w:val="Titre article"/>
    <w:basedOn w:val="Normal"/>
    <w:next w:val="Normal"/>
    <w:pPr>
      <w:keepNext/>
      <w:spacing w:before="360"/>
      <w:jc w:val="center"/>
    </w:pPr>
    <w:rPr>
      <w:i/>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i-FI"/>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i-F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9"/>
      </w:numPr>
    </w:pPr>
  </w:style>
  <w:style w:type="paragraph" w:customStyle="1" w:styleId="Tiret1">
    <w:name w:val="Tiret 1"/>
    <w:basedOn w:val="Point1"/>
    <w:pPr>
      <w:numPr>
        <w:numId w:val="20"/>
      </w:numPr>
    </w:pPr>
  </w:style>
  <w:style w:type="paragraph" w:customStyle="1" w:styleId="Tiret2">
    <w:name w:val="Tiret 2"/>
    <w:basedOn w:val="Point2"/>
    <w:pPr>
      <w:numPr>
        <w:numId w:val="21"/>
      </w:numPr>
    </w:pPr>
  </w:style>
  <w:style w:type="paragraph" w:customStyle="1" w:styleId="Tiret3">
    <w:name w:val="Tiret 3"/>
    <w:basedOn w:val="Point3"/>
    <w:pPr>
      <w:numPr>
        <w:numId w:val="22"/>
      </w:numPr>
    </w:pPr>
  </w:style>
  <w:style w:type="paragraph" w:customStyle="1" w:styleId="Tiret4">
    <w:name w:val="Tiret 4"/>
    <w:basedOn w:val="Point4"/>
    <w:pPr>
      <w:numPr>
        <w:numId w:val="2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4"/>
      </w:numPr>
    </w:pPr>
  </w:style>
  <w:style w:type="paragraph" w:customStyle="1" w:styleId="NumPar2">
    <w:name w:val="NumPar 2"/>
    <w:basedOn w:val="Normal"/>
    <w:next w:val="Text1"/>
    <w:pPr>
      <w:numPr>
        <w:ilvl w:val="1"/>
        <w:numId w:val="24"/>
      </w:numPr>
    </w:pPr>
  </w:style>
  <w:style w:type="paragraph" w:customStyle="1" w:styleId="NumPar3">
    <w:name w:val="NumPar 3"/>
    <w:basedOn w:val="Normal"/>
    <w:next w:val="Text1"/>
    <w:pPr>
      <w:numPr>
        <w:ilvl w:val="2"/>
        <w:numId w:val="24"/>
      </w:numPr>
    </w:pPr>
  </w:style>
  <w:style w:type="paragraph" w:customStyle="1" w:styleId="NumPar4">
    <w:name w:val="NumPar 4"/>
    <w:basedOn w:val="Normal"/>
    <w:next w:val="Text1"/>
    <w:pPr>
      <w:numPr>
        <w:ilvl w:val="3"/>
        <w:numId w:val="2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6"/>
      </w:numPr>
    </w:pPr>
  </w:style>
  <w:style w:type="paragraph" w:customStyle="1" w:styleId="Point1number">
    <w:name w:val="Point 1 (number)"/>
    <w:basedOn w:val="Normal"/>
    <w:pPr>
      <w:numPr>
        <w:ilvl w:val="2"/>
        <w:numId w:val="26"/>
      </w:numPr>
    </w:pPr>
  </w:style>
  <w:style w:type="paragraph" w:customStyle="1" w:styleId="Point2number">
    <w:name w:val="Point 2 (number)"/>
    <w:basedOn w:val="Normal"/>
    <w:pPr>
      <w:numPr>
        <w:ilvl w:val="4"/>
        <w:numId w:val="26"/>
      </w:numPr>
    </w:pPr>
  </w:style>
  <w:style w:type="paragraph" w:customStyle="1" w:styleId="Point3number">
    <w:name w:val="Point 3 (number)"/>
    <w:basedOn w:val="Normal"/>
    <w:pPr>
      <w:numPr>
        <w:ilvl w:val="6"/>
        <w:numId w:val="26"/>
      </w:numPr>
    </w:pPr>
  </w:style>
  <w:style w:type="paragraph" w:customStyle="1" w:styleId="Point0letter">
    <w:name w:val="Point 0 (letter)"/>
    <w:basedOn w:val="Normal"/>
    <w:pPr>
      <w:numPr>
        <w:ilvl w:val="1"/>
        <w:numId w:val="26"/>
      </w:numPr>
    </w:pPr>
  </w:style>
  <w:style w:type="paragraph" w:customStyle="1" w:styleId="Point1letter">
    <w:name w:val="Point 1 (letter)"/>
    <w:basedOn w:val="Normal"/>
    <w:pPr>
      <w:numPr>
        <w:ilvl w:val="3"/>
        <w:numId w:val="26"/>
      </w:numPr>
    </w:pPr>
  </w:style>
  <w:style w:type="paragraph" w:customStyle="1" w:styleId="Point2letter">
    <w:name w:val="Point 2 (letter)"/>
    <w:basedOn w:val="Normal"/>
    <w:pPr>
      <w:numPr>
        <w:ilvl w:val="5"/>
        <w:numId w:val="26"/>
      </w:numPr>
    </w:pPr>
  </w:style>
  <w:style w:type="paragraph" w:customStyle="1" w:styleId="Point3letter">
    <w:name w:val="Point 3 (letter)"/>
    <w:basedOn w:val="Normal"/>
    <w:pPr>
      <w:numPr>
        <w:ilvl w:val="7"/>
        <w:numId w:val="26"/>
      </w:numPr>
    </w:pPr>
  </w:style>
  <w:style w:type="paragraph" w:customStyle="1" w:styleId="Point4letter">
    <w:name w:val="Point 4 (letter)"/>
    <w:basedOn w:val="Normal"/>
    <w:pPr>
      <w:numPr>
        <w:ilvl w:val="8"/>
        <w:numId w:val="26"/>
      </w:numPr>
    </w:pPr>
  </w:style>
  <w:style w:type="paragraph" w:customStyle="1" w:styleId="Bullet0">
    <w:name w:val="Bullet 0"/>
    <w:basedOn w:val="Normal"/>
    <w:pPr>
      <w:numPr>
        <w:numId w:val="27"/>
      </w:numPr>
    </w:pPr>
  </w:style>
  <w:style w:type="paragraph" w:customStyle="1" w:styleId="Bullet1">
    <w:name w:val="Bullet 1"/>
    <w:basedOn w:val="Normal"/>
    <w:pPr>
      <w:numPr>
        <w:numId w:val="28"/>
      </w:numPr>
    </w:pPr>
  </w:style>
  <w:style w:type="paragraph" w:customStyle="1" w:styleId="Bullet2">
    <w:name w:val="Bullet 2"/>
    <w:basedOn w:val="Normal"/>
    <w:pPr>
      <w:numPr>
        <w:numId w:val="29"/>
      </w:numPr>
    </w:pPr>
  </w:style>
  <w:style w:type="paragraph" w:customStyle="1" w:styleId="Bullet3">
    <w:name w:val="Bullet 3"/>
    <w:basedOn w:val="Normal"/>
    <w:pPr>
      <w:numPr>
        <w:numId w:val="30"/>
      </w:numPr>
    </w:pPr>
  </w:style>
  <w:style w:type="paragraph" w:customStyle="1" w:styleId="Bullet4">
    <w:name w:val="Bullet 4"/>
    <w:basedOn w:val="Normal"/>
    <w:pPr>
      <w:numPr>
        <w:numId w:val="3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9"/>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9">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9"/>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COM.dotm</Template>
  <TotalTime>4</TotalTime>
  <Pages>14</Pages>
  <Words>3244</Words>
  <Characters>27542</Characters>
  <Application>Microsoft Office Word</Application>
  <DocSecurity>0</DocSecurity>
  <Lines>466</Lines>
  <Paragraphs>183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2019-01-29T08:08:00Z</cp:lastPrinted>
  <dcterms:created xsi:type="dcterms:W3CDTF">2019-01-29T09:42:00Z</dcterms:created>
  <dcterms:modified xsi:type="dcterms:W3CDTF">2019-01-29T17:05:00Z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LW 6.0.1, Build 20180503</vt:lpwstr>
  </property>
  <property fmtid="{D5CDD505-2E9C-101B-9397-08002B2CF9AE}" pid="5" name="Created using">
    <vt:lpwstr>LW 6.0.1, Build 20180503</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Green (DQC version 03)</vt:lpwstr>
  </property>
  <property name="OP_sanitized" fmtid="{D5CDD505-2E9C-101B-9397-08002B2CF9AE}" pid="11">
    <vt:lpwstr>True</vt:lpwstr>
  </property>
</Properties>
</file>