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5CEC708-A3E6-4AC3-A64A-A2FF7B9FB046" style="width:450.35pt;height:361.35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w:t>
      </w:r>
      <w:r>
        <w:rPr>
          <w:noProof/>
        </w:rPr>
        <w:tab/>
      </w:r>
      <w:r>
        <w:rPr>
          <w:rFonts w:ascii="Times New Roman" w:hAnsi="Times New Roman"/>
          <w:b/>
          <w:noProof/>
          <w:sz w:val="24"/>
        </w:rPr>
        <w:t>JOHDANTO</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Euroopan unioni perustuu yhteisiin arvoihin, kuten perusoikeuksiin, demokratiaan ja oikeusvaltioperiaatteeseen.</w:t>
      </w:r>
      <w:r>
        <w:rPr>
          <w:rStyle w:val="FootnoteReference"/>
          <w:rFonts w:ascii="Times New Roman" w:hAnsi="Times New Roman"/>
          <w:noProof/>
          <w:sz w:val="24"/>
        </w:rPr>
        <w:footnoteReference w:id="1"/>
      </w:r>
      <w:r>
        <w:rPr>
          <w:rFonts w:ascii="Times New Roman" w:hAnsi="Times New Roman"/>
          <w:noProof/>
          <w:sz w:val="24"/>
        </w:rPr>
        <w:t xml:space="preserve"> Ne muodostavat yhteiskuntiemme perustan ja yhteisen identiteettimme. Mikään demokratia ei voi kukoistaa ilman riippumattomia tuomioistuimia, jotka takaavat perusoikeuksien ja kansalaisvapauksien suojan, tai ilman aktiivista kansalaisyhteiskuntaa ja vapaita tiedotusvälineitä, jotka takaavat moniarvoisuuden. Oikeusvaltioperiaate on vakiintunut periaate, jonka keskeinen merkitys on tarkoin määritelty. Tämä keskeinen merkitys on kaikissa jäsenvaltioissa sama riippumatta erilaisista kansallisista identiteeteistä, oikeusjärjestelmistä ja -perinteistä, joita unionin on kunnioitettava.</w:t>
      </w:r>
      <w:r>
        <w:rPr>
          <w:rStyle w:val="FootnoteReference"/>
          <w:rFonts w:ascii="Times New Roman" w:hAnsi="Times New Roman"/>
          <w:noProof/>
          <w:sz w:val="24"/>
        </w:rPr>
        <w:footnoteReference w:id="2"/>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Oikeusvaltiolla tarkoitetaan, että kaikki julkinen valta toimii aina lainsäädännön asettamissa rajoissa demokratiaa ja perusoikeuksia koskevia arvoja kunnioittaen ja riippumattomien ja puolueettomien tuomioistuinten valvonnassa. Oikeusvaltio vaikuttaa suoraan kaikkien kansalaisten elämään: se on edellytys sille, että voidaan varmistaa yhdenvertainen kohtelu lain edessä ja puolustaa yksilön oikeuksia, estää viranomaisten vallan väärinkäyttö ja taata päätöksentekijöiden vastuuvelvollisuus. Oikeusvaltion kunnioittaminen on olennaista myös siksi, että kansalaisten oin voitava luottaa julkisiin instituutioihin. Demokraattiset yhteiskunnat eivät voi toimia ilman tällaista luottamusta. Oikeusvaltioperiaate tarkoittaa sitä, miten vastuullisesti lainsäädäntö on laadittu, miten oikeudenmukaisesti sitä sovelletaan ja miten tehokkaasti se toimii. Se kattaa myös institutionaaliset kysymykset, kuten riippumattomat ja puolueettomat tuomioistuimet</w:t>
      </w:r>
      <w:r>
        <w:rPr>
          <w:rStyle w:val="FootnoteReference"/>
          <w:rFonts w:ascii="Times New Roman" w:hAnsi="Times New Roman"/>
          <w:noProof/>
          <w:sz w:val="24"/>
        </w:rPr>
        <w:footnoteReference w:id="3"/>
      </w:r>
      <w:r>
        <w:rPr>
          <w:rFonts w:ascii="Times New Roman" w:hAnsi="Times New Roman"/>
          <w:noProof/>
          <w:sz w:val="24"/>
        </w:rPr>
        <w:t xml:space="preserve"> sekä toimivallan jaon</w:t>
      </w:r>
      <w:r>
        <w:rPr>
          <w:rFonts w:ascii="Times New Roman" w:hAnsi="Times New Roman"/>
          <w:noProof/>
          <w:sz w:val="24"/>
          <w:vertAlign w:val="superscript"/>
        </w:rPr>
        <w:footnoteReference w:id="4"/>
      </w:r>
      <w:r>
        <w:rPr>
          <w:rFonts w:ascii="Times New Roman" w:hAnsi="Times New Roman"/>
          <w:noProof/>
          <w:sz w:val="24"/>
        </w:rPr>
        <w:t>, kuten Euroopan unionin tuomioistuin ja Euroopan ihmisoikeustuomioistuin ovat vahvistaneet. Euroopan unionin tuomioistuin on viimeaikaisissa tuomioissaan jälleen korostanut sitä, että oikeusvaltioperiaate on keskeinen osa EU:n oikeusjärjestystä.</w:t>
      </w:r>
      <w:r>
        <w:rPr>
          <w:rStyle w:val="FootnoteReference"/>
          <w:rFonts w:ascii="Times New Roman" w:hAnsi="Times New Roman"/>
          <w:noProof/>
          <w:sz w:val="24"/>
        </w:rPr>
        <w:footnoteReference w:id="5"/>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Euroopan yhdentymishanke perustuu siihen, että oikeusvaltiota kunnioitetaan pysyvästi kaikissa jäsenvaltioissa. Se on ennakkoedellytys EU:n lainsäädännön tehokkaalle soveltamiselle ja jäsenvaltioiden keskinäiselle luottamukselle. Se on myös keskeinen edellytys sille, että Euroopan unioni toimii hyvin vapauden, turvallisuuden ja oikeuden alueena ja sisämarkkinoina, joilla lainsäädäntöä sovelletaan tehokkaasti ja yhdenmukaisesti ja määrärahoja käytetään sovellettavien sääntöjen mukaisesti. Sen vuoksi oikeusvaltioon kohdistuvat uhat kyseenalaistavat EU:n toiminnan oikeudellisen, poliittisen ja taloudellisen perustan. Siksi oikeusvaltion edistäminen ja ylläpitäminen on ehdottoman tärkeää Euroopan komission toimiessa perussopimusten valvojana. Jos oikeusvaltioperiaatteen noudattamisessa ilmenee jossakin jäsenvaltiossa puutteita, ne vaikuttavat muihin jäsenvaltioihin ja koko EU:hun. Siksi on unionin yhteisen edun mukaista ratkaista oikeusvaltioon liittyvät kysymykset riippumatta siitä, missä niitä esiintyy. </w:t>
      </w:r>
    </w:p>
    <w:p>
      <w:pPr>
        <w:spacing w:after="240" w:line="240" w:lineRule="auto"/>
        <w:jc w:val="both"/>
        <w:rPr>
          <w:rFonts w:ascii="Times New Roman" w:hAnsi="Times New Roman" w:cs="Times New Roman"/>
          <w:noProof/>
          <w:sz w:val="24"/>
          <w:szCs w:val="24"/>
        </w:rPr>
      </w:pPr>
      <w:r>
        <w:rPr>
          <w:rFonts w:ascii="Times New Roman" w:hAnsi="Times New Roman"/>
          <w:noProof/>
          <w:sz w:val="24"/>
        </w:rPr>
        <w:t>Vaikka periaatteessa kaikkien jäsenvaltioiden katsotaan noudattavan oikeusvaltioperiaatetta koko ajan, viimeaikaiset oikeusvaltioperiaatteeseen eräissä jäsenvaltioissa liittyvät haasteet ovat osoittaneet, että tätä ei voida pitää itsestäänselvyytenä. Nämä haasteet ovat aiheuttaneet huolta unionin kyvystä puuttua tällaisiin tilanteisiin. Monessa EU:n tasolla viime aikoina tarkastellussa tapauksessa on ollut kyse oikeusprosessin riippumattomuudesta. Muita esimerkkejä ovat perustuslakituomioistuinten aseman heikentäminen, lisääntynyt täytäntöönpanoasetusten käyttö tai yhden valtioelimen toistuvat hyökkäykset toisia valtioelimiä kohtaan. Laajemmin tarkasteltuna myös korkean tason korruptio ja virka-aseman väärinkäyttö liittyvät tilanteisiin, joissa poliittinen valta pyrkii ohittamaan oikeusvaltion, samalla kun pyritään vähentämään moniarvoisuutta ja heikentämään sellaisten keskeisten demokratian vahtikoirien kuin kansalaisyhteiskunnan ja riippumattomien tiedotusvälineiden asemaa. Nämä ovat varoitusmerkkejä oikeusvaltioon kohdistuvista uhkista.</w:t>
      </w:r>
      <w:r>
        <w:rPr>
          <w:rStyle w:val="FootnoteReference"/>
          <w:rFonts w:ascii="Times New Roman" w:hAnsi="Times New Roman"/>
          <w:noProof/>
          <w:sz w:val="24"/>
        </w:rPr>
        <w:footnoteReference w:id="6"/>
      </w:r>
    </w:p>
    <w:p>
      <w:pPr>
        <w:spacing w:after="240" w:line="240" w:lineRule="auto"/>
        <w:jc w:val="both"/>
        <w:rPr>
          <w:rFonts w:ascii="Times New Roman" w:hAnsi="Times New Roman" w:cs="Times New Roman"/>
          <w:noProof/>
          <w:sz w:val="24"/>
          <w:szCs w:val="24"/>
        </w:rPr>
      </w:pPr>
      <w:r>
        <w:rPr>
          <w:rFonts w:ascii="Times New Roman" w:hAnsi="Times New Roman"/>
          <w:noProof/>
          <w:sz w:val="24"/>
        </w:rPr>
        <w:t>Euroopan komissio esitti 3. huhtikuuta 2019 antamassaan tiedonannossa</w:t>
      </w:r>
      <w:r>
        <w:rPr>
          <w:rStyle w:val="FootnoteReference"/>
          <w:rFonts w:ascii="Times New Roman" w:hAnsi="Times New Roman"/>
          <w:noProof/>
          <w:sz w:val="24"/>
        </w:rPr>
        <w:footnoteReference w:id="7"/>
      </w:r>
      <w:r>
        <w:rPr>
          <w:rFonts w:ascii="Times New Roman" w:hAnsi="Times New Roman"/>
          <w:noProof/>
          <w:sz w:val="24"/>
        </w:rPr>
        <w:t xml:space="preserve"> katsauksen nykyisiin välineisiin, joilla puututaan oikeusvaltioperiaatteeseen kohdistuviin haasteisiin unionissa, ja avasi keskustelun keinoista vahvistaa niitä. Keskusteluun ovat osallistuneet ja siihen ovat antaneet tärkeän panoksensa EU:n toimielimet ja elimet, jäsenvaltiot, kansainväliset organisaatiot, oikeudelliset verkostot, kansalaisyhteiskunta ja tiedemaailma. Keskustelussa nousi selvästi esiin oikeusvaltion merkitys ja tarve vahvistaa oikeusvaltioperiaatteen noudattamista tukevaa EU:n välineistöä. Tämä on osoitus siitä, että EU:n toimielimet ovat entistä enemmän huolissaan oikeusvaltioon liittyvistä kysymyksistä. </w:t>
      </w:r>
    </w:p>
    <w:p>
      <w:pPr>
        <w:spacing w:after="240" w:line="240" w:lineRule="auto"/>
        <w:jc w:val="both"/>
        <w:rPr>
          <w:rFonts w:ascii="Times New Roman" w:hAnsi="Times New Roman" w:cs="Times New Roman"/>
          <w:noProof/>
          <w:sz w:val="24"/>
          <w:szCs w:val="24"/>
        </w:rPr>
      </w:pPr>
      <w:r>
        <w:rPr>
          <w:rFonts w:ascii="Times New Roman" w:hAnsi="Times New Roman"/>
          <w:noProof/>
          <w:sz w:val="24"/>
        </w:rPr>
        <w:t>Toukokuussa 2019 Sibiussa kokoontuneet EU:n johtajat sitoutuivat yksimielisesti suojelemaan jatkossakin ”elämäntapaamme, demokratiaa ja oikeusvaltiota”.</w:t>
      </w:r>
      <w:r>
        <w:rPr>
          <w:rStyle w:val="FootnoteReference"/>
          <w:rFonts w:ascii="Times New Roman" w:hAnsi="Times New Roman"/>
          <w:noProof/>
          <w:sz w:val="24"/>
        </w:rPr>
        <w:footnoteReference w:id="8"/>
      </w:r>
      <w:r>
        <w:rPr>
          <w:rFonts w:ascii="Times New Roman" w:hAnsi="Times New Roman"/>
          <w:noProof/>
          <w:sz w:val="24"/>
        </w:rPr>
        <w:t xml:space="preserve"> Eurooppa-neuvosto vahvisti Sibiussa annetun sitoumuksen 21. kesäkuuta 2019 hyväksymässään EU:n strategisessa toimintaohjelmassa</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Tämä edellyttää, että oikeusvaltioon liittyvät kysymykset nostetaan Eurooppa-neuvoston ja neuvoston asialistalla nykyistä korkeammalle. Oikeusvaltioperiaatteen noudattaminen on ollut näkyvästi esillä sekä Euroopan parlamentin keskusteluissa vaalikaudella 2014–2019</w:t>
      </w:r>
      <w:r>
        <w:rPr>
          <w:rStyle w:val="FootnoteReference"/>
          <w:rFonts w:ascii="Times New Roman" w:hAnsi="Times New Roman"/>
          <w:noProof/>
          <w:sz w:val="24"/>
        </w:rPr>
        <w:footnoteReference w:id="10"/>
      </w:r>
      <w:r>
        <w:rPr>
          <w:rFonts w:ascii="Times New Roman" w:hAnsi="Times New Roman"/>
          <w:noProof/>
          <w:sz w:val="24"/>
        </w:rPr>
        <w:t xml:space="preserve"> että neuvoston puheenjohtajavaltioiden ohjelmissa.</w:t>
      </w:r>
      <w:r>
        <w:rPr>
          <w:rStyle w:val="FootnoteReference"/>
          <w:rFonts w:ascii="Times New Roman" w:hAnsi="Times New Roman"/>
          <w:noProof/>
          <w:sz w:val="24"/>
        </w:rPr>
        <w:footnoteReference w:id="11"/>
      </w:r>
      <w:r>
        <w:rPr>
          <w:rFonts w:ascii="Times New Roman" w:hAnsi="Times New Roman"/>
          <w:noProof/>
          <w:sz w:val="24"/>
        </w:rPr>
        <w:t xml:space="preserve"> Se oli tärkeä aihe myös vuoden 2019 Euroopan parlamentin vaaleissa. Eurooppalaiset puolueet ovat alkaneet pohtia, pitäisikö ryhmät, jotka kyseenalaistavat oikeusvaltioperiaatteen ja EU:n yhteiset arvot, sulkea puolueiden ulkopuolelle.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Tätä keskustelua on jatkettava,</w:t>
      </w:r>
      <w:r>
        <w:rPr>
          <w:rStyle w:val="FootnoteReference"/>
          <w:rFonts w:ascii="Times New Roman" w:hAnsi="Times New Roman"/>
          <w:noProof/>
          <w:sz w:val="24"/>
        </w:rPr>
        <w:footnoteReference w:id="12"/>
      </w:r>
      <w:r>
        <w:rPr>
          <w:rFonts w:ascii="Times New Roman" w:hAnsi="Times New Roman"/>
          <w:noProof/>
          <w:sz w:val="24"/>
        </w:rPr>
        <w:t xml:space="preserve"> mutta sillä välin tässä tiedonannossa esitetään konkreettisia toimia, jotka olisi toteutettava lyhyellä ja keskipitkällä aikavälillä. Osa toimista voidaan käynnistää välittömästi. Muita on vielä kehiteltävä edelleen keskeisenä osana komission, Euroopan parlamentin ja neuvoston tulevaa työtä. Oikeusvaltion vahvistaminen unionissa on ja sen on oltava myös jatkossa kaikille yksi tärkeimmistä tavoitteista.</w:t>
      </w:r>
    </w:p>
    <w:p>
      <w:pPr>
        <w:spacing w:before="360" w:after="240" w:line="240" w:lineRule="auto"/>
        <w:rPr>
          <w:rFonts w:ascii="Times New Roman" w:hAnsi="Times New Roman" w:cs="Times New Roman"/>
          <w:b/>
          <w:noProof/>
          <w:sz w:val="24"/>
          <w:szCs w:val="24"/>
        </w:rPr>
      </w:pPr>
      <w:r>
        <w:rPr>
          <w:rFonts w:ascii="Times New Roman" w:hAnsi="Times New Roman"/>
          <w:b/>
          <w:noProof/>
          <w:sz w:val="24"/>
        </w:rPr>
        <w:t xml:space="preserve">II. </w:t>
      </w:r>
      <w:r>
        <w:rPr>
          <w:noProof/>
        </w:rPr>
        <w:tab/>
      </w:r>
      <w:r>
        <w:rPr>
          <w:rFonts w:ascii="Times New Roman" w:hAnsi="Times New Roman"/>
          <w:b/>
          <w:noProof/>
          <w:sz w:val="24"/>
        </w:rPr>
        <w:t xml:space="preserve">OIKEUSVALTIO: EUROOPPALAISTEN YHTEINEN ARVO </w:t>
      </w:r>
    </w:p>
    <w:p>
      <w:pPr>
        <w:spacing w:after="240" w:line="240" w:lineRule="auto"/>
        <w:jc w:val="both"/>
        <w:rPr>
          <w:rFonts w:ascii="Times New Roman" w:hAnsi="Times New Roman" w:cs="Times New Roman"/>
          <w:noProof/>
          <w:sz w:val="24"/>
          <w:szCs w:val="24"/>
        </w:rPr>
      </w:pPr>
      <w:r>
        <w:rPr>
          <w:rFonts w:ascii="Times New Roman" w:hAnsi="Times New Roman"/>
          <w:noProof/>
          <w:sz w:val="24"/>
        </w:rPr>
        <w:t>Oikeusvaltioperiaatetta koskeva keskustelu on vilkastunut sen jälkeen kun asiaa koskeva tiedonanto hyväksyttiin huhtikuussa 2019. Komissio on vastaanottanut monia hyödyllisiä kommentteja ja pohdintoja. Se on saanut 60 kirjallista kannanottoa</w:t>
      </w:r>
      <w:r>
        <w:rPr>
          <w:rStyle w:val="FootnoteReference"/>
          <w:rFonts w:ascii="Times New Roman" w:hAnsi="Times New Roman"/>
          <w:noProof/>
          <w:sz w:val="24"/>
        </w:rPr>
        <w:footnoteReference w:id="13"/>
      </w:r>
      <w:r>
        <w:rPr>
          <w:rFonts w:ascii="Times New Roman" w:hAnsi="Times New Roman"/>
          <w:noProof/>
          <w:sz w:val="24"/>
        </w:rPr>
        <w:t xml:space="preserve"> kansallisilta, kansainvälisiltä ja EU:n institutionaalisilta toimijoilta sekä kansalaisyhteiskunnan ja tiedemaailman edustajilta. Komissio on myös osallistunut konferensseihin ja keskusteluihin Euroopan tasolla ja eri pääkaupungeissa. Kannanotoissa korostetaan oikeusvaltioperiaatteen ja sen noudattamisen merkitystä kaikkialla EU:ssa. Niissä vahvistetaan myös, että huhtikuun tiedonannossa mainitut kolme pilaria, joiden varassa oikeusvaltioperiaatteen noudattaminen unionissa lepää, eli oikeusvaltioperiaatteen edistäminen, ongelmien ennaltaehkäisy ja yhteinen reagointi todettuihin ongelmiin, ovat merkityksellisiä ja täydentävät toisiaan. Joissakin kannanotoissa pidetään prioriteettina oikeusvaltioperiaatteen noudattamista tukevan EU:n välineistön kehittämistä, toisissa taas katsotaan, että jo nykyisten välineiden täytäntöönpanon parantaminen voisi tuottaa tulosta. Muutamissa kannanotoissa kyseenalaistetaan EU:n toimien tarve tässä asiassa. Tämä osoittaa, että oikeusvaltion merkitystä EU:n toiminnalle, sen kansalaisille ja yrityksille ei voida pitää itsestäänselvyytenä, vaan että oikeusvaltioperiaatetta olisi edelleen edistettävä ja selitettävä. Se korostaa myös, miten tärkeää on osoittaa, että EU:n toimet ovat objektiivisia, oikeasuhteisia ja syrjimättömiä ja että EU:n olisi puututtava tilanteeseen virallisesti vasta sitten, kun kansalliset valvontajärjestelmät eivät toimi.</w:t>
      </w:r>
    </w:p>
    <w:p>
      <w:pPr>
        <w:spacing w:after="240" w:line="240" w:lineRule="auto"/>
        <w:jc w:val="both"/>
        <w:rPr>
          <w:rFonts w:ascii="Times New Roman" w:hAnsi="Times New Roman" w:cs="Times New Roman"/>
          <w:noProof/>
          <w:sz w:val="24"/>
          <w:szCs w:val="24"/>
        </w:rPr>
      </w:pPr>
      <w:r>
        <w:rPr>
          <w:rFonts w:ascii="Times New Roman" w:hAnsi="Times New Roman"/>
          <w:noProof/>
          <w:sz w:val="24"/>
        </w:rPr>
        <w:t>Lisäksi komissio toteutti huhtikuussa 2019 Eurobarometri-kyselyn kaikissa jäsenvaltioissa. Tulokset osoittavat, että oikeusvaltioperiaatetta kannatetaan vahvasti ja että jäsenvaltioiden välillä on vain vähäisiä eroja.</w:t>
      </w:r>
      <w:r>
        <w:rPr>
          <w:rStyle w:val="FootnoteReference"/>
          <w:rFonts w:ascii="Times New Roman" w:hAnsi="Times New Roman"/>
          <w:noProof/>
          <w:sz w:val="24"/>
        </w:rPr>
        <w:footnoteReference w:id="14"/>
      </w:r>
      <w:r>
        <w:rPr>
          <w:rFonts w:ascii="Times New Roman" w:hAnsi="Times New Roman"/>
          <w:noProof/>
          <w:sz w:val="24"/>
        </w:rPr>
        <w:t xml:space="preserve"> Yli 80 prosenttia kaikkien jäsenvaltioiden kansalaisista tunnustaa oikeusvaltion perusperiaatteet</w:t>
      </w:r>
      <w:r>
        <w:rPr>
          <w:rStyle w:val="FootnoteReference"/>
          <w:rFonts w:ascii="Times New Roman" w:hAnsi="Times New Roman"/>
          <w:noProof/>
          <w:sz w:val="24"/>
        </w:rPr>
        <w:footnoteReference w:id="15"/>
      </w:r>
      <w:r>
        <w:rPr>
          <w:rFonts w:ascii="Times New Roman" w:hAnsi="Times New Roman"/>
          <w:noProof/>
          <w:sz w:val="24"/>
        </w:rPr>
        <w:t>. Muita keskeisiä päätelmiä olivat vahva tuki tiedotusvälineiden ja kansalaisyhteiskunnan toiminnalle vallanpitäjien vastuullisuuden valvojina: yli 85 prosenttia eurooppalaisista piti tärkeänä, että tiedotusvälineet, toimittajat ja kansalaisyhteiskunta voivat toimia vapaasti ja esittää kritiikkiä ilman riskiä uhkailusta.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Eurobarometrin tuloksissa korostuu myös se, että eurooppalaisten mielestä on tärkeää, että oikeusvaltioperiaatetta noudatetaan kaikkialla EU:ssa: tätä mieltä oli 89 prosenttia vastanneista.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Eurooppalaiset ovat myös sitä mieltä, että oikeusvaltioperiaatteen noudattamista on parannettava. Myös tässä tapauksessa yli 80 prosenttia vastaajista kannatti keskeisiin oikeusvaltioperiaatteisiin liittyviä parannuksia. Parannusten tarve koskee erityisesti tehokasta oikeussuojaa, laillisuutta ja mielivaltaisten päätösten välttämistä sekä tiedotusvälineiden vapautta ja kansalaisyhteiskunnan toimintaa.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Huhtikuun tiedonannon perusteella toteutetussa kuulemisessa oikeusvaltion merkitys kansalaisille tuli esiin myös siinä, että monet kansalaisyhteiskunnan organisaatiot ja tiedeyhteisöt ovat halukkaita osallistumaan tiiviimmin oikeusvaltion edistämiseen ja ongelmien ennaltaehkäisyyn ja paljastamaan havaitsemiaan väärinkäytöksiä. Esimerkkejä erityisen mielenkiintoisista toimista ovat EU:n laajuisten kansalaiskeskustelujen järjestäminen, oikeusvaltiota koskevan ”lukutaidon” kehittäminen helposti saatavilla olevien ja helppokäyttöisten lähteiden avulla sekä avoimien alustojen käyttöönotto tiedon ja varoitusten jakamista varten. </w:t>
      </w:r>
    </w:p>
    <w:p>
      <w:pPr>
        <w:spacing w:before="360" w:after="240" w:line="240" w:lineRule="auto"/>
        <w:ind w:left="709" w:hanging="709"/>
        <w:jc w:val="both"/>
        <w:rPr>
          <w:rFonts w:ascii="Times New Roman" w:hAnsi="Times New Roman" w:cs="Times New Roman"/>
          <w:b/>
          <w:noProof/>
          <w:sz w:val="24"/>
          <w:szCs w:val="24"/>
        </w:rPr>
      </w:pPr>
      <w:r>
        <w:rPr>
          <w:rFonts w:ascii="Times New Roman" w:hAnsi="Times New Roman"/>
          <w:b/>
          <w:noProof/>
          <w:sz w:val="24"/>
        </w:rPr>
        <w:t xml:space="preserve">III. </w:t>
      </w:r>
      <w:r>
        <w:rPr>
          <w:noProof/>
        </w:rPr>
        <w:tab/>
      </w:r>
      <w:r>
        <w:rPr>
          <w:rFonts w:ascii="Times New Roman" w:hAnsi="Times New Roman"/>
          <w:b/>
          <w:noProof/>
          <w:sz w:val="24"/>
        </w:rPr>
        <w:t xml:space="preserve">KAIKKIEN JÄSENVALTIOIDEN JA EU:N TOIMIELINTEN YHTEINEN VASTUU </w:t>
      </w:r>
    </w:p>
    <w:p>
      <w:pPr>
        <w:spacing w:after="240" w:line="240" w:lineRule="auto"/>
        <w:jc w:val="both"/>
        <w:rPr>
          <w:rFonts w:ascii="Times New Roman" w:hAnsi="Times New Roman" w:cs="Times New Roman"/>
          <w:noProof/>
          <w:sz w:val="24"/>
          <w:szCs w:val="24"/>
        </w:rPr>
      </w:pPr>
      <w:r>
        <w:rPr>
          <w:rFonts w:ascii="Times New Roman" w:hAnsi="Times New Roman"/>
          <w:noProof/>
          <w:sz w:val="24"/>
        </w:rPr>
        <w:t>Vastuu sen varmistamisesta, että oikeusvaltiota kunnioitetaan yhteisenä arvona, kuuluu ensisijaisesti kullekin jäsenvaltiolle. Jokainen jäsenvaltio vastaa toimintansa asianmukaisuuden varmistamisesta sisäisesti perustuslakinsa nojalla, mutta lisäksi ne vastaavat siitä myös suhteessa unioniin ja muihin jäsenvaltioihin. Vilpittömän yhteistyön periaate (SEU-sopimuksen 4 artiklan 3 kohta) korostaa jäsenvaltioiden velvollisuutta helpottaa unionin tehtävien toteuttamista ja pidättyä toimenpiteistä, jotka voivat vaarantaa unionin tavoitteet. Se myös korostaa unionin ja jäsenvaltioiden velvollisuutta avustaa toisiaan, mikä tarkoittaa, että kaikki EU:n toimielimet ovat vastuussa siitä, että jäsenvaltioille annetaan oikeasuhteista apua oikeusvaltioperiaatteen noudattamisen varmistamisessa.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Huhtikuun tiedonannossa todetaan, että oikeusvaltioperiaate on myös yksi EU:n ulkoista toimintaa ohjaavista periaatteista ja että sen merkitys EU:n liittymisprosessissa ja naapuruuspolitiikassa on vähitellen lisääntynyt. Eurooppa-neuvoston strategiaohjelmassa vahvistetaan, että EU:n arvojen kunnioittamisen olisi oltava keskeisellä sijalla EU:n ulkosuhteissa. Komissio tukee jo aktiivisesti oikeusvaltiota koskevia uudistuksia kolmansissa maissa.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Toinen jäsenvaltioiden keskeinen velvoite on taata kansalaisille heidän oikeuksiensa toteutuminen varmistamalla erityisesti oikeussuojan ja oikeudenmukaisen oikeudenkäynnin saatavuus. SEU-sopimuksen 19 artiklan mukaan vastuu siitä, että unionin oikeutta sovelletaan kaikilta osin kaikissa jäsenvaltioissa ja että yksilöiden oikeuksilla on tehokas oikeussuoja unionin oikeuteen kuuluvilla aloilla, on kansallisilla tuomioistuimilla ja Euroopan unionin tuomioistuimella. Kansallisilla tuomioistuimilla onkin ratkaisevan tärkeä asema EU:n oikeuden soveltamisessa, sillä niillä on ensisijainen vastuu unionin oikeuden soveltamisesta ja SEUT-sopimuksen 267 artiklassa määrätyn ennakkoratkaisumenettelyn käynnistämisestä, jotta voidaan varmistaa, että unionin oikeutta tulkitaan johdonmukaisesti ja yhtenäisesti. Oikeuslaitoksen riippumattomuuden takaaminen onkin oikeusvaltion keskeinen oikeudellinen velvoite, minkä myös Euroopan unionin tuomioistuin on vahvistanut viimeaikaisessa oikeuskäytännössään.</w:t>
      </w:r>
    </w:p>
    <w:p>
      <w:pPr>
        <w:spacing w:after="240" w:line="240" w:lineRule="auto"/>
        <w:jc w:val="both"/>
        <w:rPr>
          <w:rFonts w:ascii="Times New Roman" w:hAnsi="Times New Roman" w:cs="Times New Roman"/>
          <w:noProof/>
          <w:sz w:val="24"/>
          <w:szCs w:val="24"/>
        </w:rPr>
      </w:pPr>
      <w:r>
        <w:rPr>
          <w:rFonts w:ascii="Times New Roman" w:hAnsi="Times New Roman"/>
          <w:noProof/>
          <w:sz w:val="24"/>
        </w:rPr>
        <w:t>SEU-sopimuksen 19 artiklan 1 kohdassa edellytetään, että riippumattomat tuomioistuimet takaavat tehokkaan oikeussuojan. Siinä konkretisoituu se, mitä oikeusvaltioperiaate merkitsee. Tämä määräys on keskeisellä sijalla lukuisissa ennakkoratkaisupyynnöissä, joita kansalliset tuomioistuimet ovat esittäneet, ja rikkomusmenettelyissä, jotka komissio on vienyt unionin tuomioistuimen käsiteltäväksi. Jo vuonna 2006 unionin tuomioistuin totesi, että ’tuomioistuinten riippumattomuus’ on unionin oikeuden itsenäinen käsite, joka tarkoittaa, että tuomareita on suojeltava kaikilta sellaisilta ulkoisilta toimenpiteiltä, jotka voivat vaarantaa heidän päätöksentekonsa riippumattomuuden.</w:t>
      </w:r>
      <w:r>
        <w:rPr>
          <w:rFonts w:ascii="Times New Roman" w:hAnsi="Times New Roman"/>
          <w:noProof/>
          <w:sz w:val="24"/>
          <w:vertAlign w:val="superscript"/>
        </w:rPr>
        <w:footnoteReference w:id="16"/>
      </w:r>
      <w:r>
        <w:rPr>
          <w:rFonts w:ascii="Times New Roman" w:hAnsi="Times New Roman"/>
          <w:noProof/>
          <w:sz w:val="24"/>
        </w:rPr>
        <w:t xml:space="preserve"> Vuosina 2018 ja 2019 tuomioistuin on antanut useita tähän liittyviä merkittäviä tuomioita. Unionin tuomioistuimen mukaan jäsenvaltioilla on unionin lainsäädännön nojalla velvollisuus varmistaa, että niiden tuomioistuimet täyttävät tehokkaan oikeussuojan vaatimukset, mikä on konkreettinen ilmaus oikeusvaltioperiaatteen merkityksestä; unionin tuomioistuimen mukaan kansallisten tuomioistuinten riippumattomuus on oikeussuojan vaatimusten varmistamisen kannalta olennainen tekijä.</w:t>
      </w:r>
      <w:r>
        <w:rPr>
          <w:rFonts w:ascii="Times New Roman" w:hAnsi="Times New Roman"/>
          <w:noProof/>
          <w:sz w:val="24"/>
          <w:vertAlign w:val="superscript"/>
        </w:rPr>
        <w:footnoteReference w:id="17"/>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Muissa tuomioissaan unionin tuomioistuin on määritellyt tarkemmin riippumattomuuden ja puolueettomuuden takaamiseen liittyviä vaatimuksia ottaen huomioon niiden keskeisen merkityksen paitsi tuomioistuinten välisen yhteistyöjärjestelmän moitteettomalle toiminnalle, jota Euroopan unionin toiminnasta tehdyn sopimuksen, jäljempänä ’SEUT-sopimus’, 267 artiklan mukainen ennakkoratkaisumenettely edustaa, myös johdetun oikeuden välineille, jotka perustuvat keskinäisen luottamuksen periaatteeseen.</w:t>
      </w:r>
      <w:r>
        <w:rPr>
          <w:rFonts w:ascii="Times New Roman" w:hAnsi="Times New Roman"/>
          <w:noProof/>
          <w:sz w:val="24"/>
          <w:vertAlign w:val="superscript"/>
        </w:rPr>
        <w:footnoteReference w:id="18"/>
      </w:r>
      <w:r>
        <w:rPr>
          <w:rFonts w:ascii="Times New Roman" w:hAnsi="Times New Roman"/>
          <w:noProof/>
          <w:sz w:val="24"/>
        </w:rPr>
        <w:t xml:space="preserve"> Unionin tuomioistuin on myös määrännyt välitoimia sellaisten kansallisten uudistusten keskeyttämiseksi, joiden toteutuminen vaikuttaisi oikeuslaitoksen riippumattomuuteen.</w:t>
      </w:r>
      <w:r>
        <w:rPr>
          <w:rFonts w:ascii="Times New Roman" w:hAnsi="Times New Roman"/>
          <w:noProof/>
          <w:sz w:val="24"/>
          <w:vertAlign w:val="superscript"/>
        </w:rPr>
        <w:footnoteReference w:id="19"/>
      </w:r>
      <w:r>
        <w:rPr>
          <w:rFonts w:ascii="Times New Roman" w:hAnsi="Times New Roman"/>
          <w:noProof/>
          <w:sz w:val="24"/>
        </w:rPr>
        <w:t xml:space="preserve"> Tuomioistuin on hiljattain todennut, että vaikka lainkäytön järjestäminen kuuluu jäsenvaltioiden kansalliseen toimivaltaan, jäsenvaltioiden on tätä toimivaltaansa käyttäessään noudatettava niille EU:n oikeuden nojalla kuuluvia velvoitteita, minkä vuoksi asia voidaan saattaa unionin tuomioistuimen tarkasteltavaksi.</w:t>
      </w:r>
      <w:r>
        <w:rPr>
          <w:rFonts w:ascii="Times New Roman" w:hAnsi="Times New Roman"/>
          <w:noProof/>
          <w:sz w:val="24"/>
          <w:vertAlign w:val="superscript"/>
        </w:rPr>
        <w:footnoteReference w:id="20"/>
      </w:r>
      <w:r>
        <w:rPr>
          <w:rFonts w:ascii="Times New Roman" w:hAnsi="Times New Roman"/>
          <w:noProof/>
          <w:sz w:val="24"/>
        </w:rPr>
        <w:t xml:space="preserve"> Tuomioistuimessa on käsiteltävänä myös muita kansallisten tuomioistuinten ja komission vireille panemia asioita, jotka voivat johtaa oikeuskäytännön merkittävään kehitykseen.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Lisäksi unionin tuomioistuimen kehittyvässä oikeuskäytännössä korostetaan sitä, miten oikeusvaltioon liittyvät systemaattiset ongelmat voivat vaikuttaa EU:n rahoitukseen.</w:t>
      </w:r>
      <w:r>
        <w:rPr>
          <w:rFonts w:ascii="Times New Roman" w:hAnsi="Times New Roman"/>
          <w:noProof/>
          <w:sz w:val="24"/>
          <w:vertAlign w:val="superscript"/>
        </w:rPr>
        <w:footnoteReference w:id="21"/>
      </w:r>
    </w:p>
    <w:p>
      <w:pPr>
        <w:spacing w:before="360" w:after="240" w:line="240" w:lineRule="auto"/>
        <w:jc w:val="both"/>
        <w:rPr>
          <w:rFonts w:ascii="Times New Roman" w:hAnsi="Times New Roman" w:cs="Times New Roman"/>
          <w:noProof/>
          <w:sz w:val="24"/>
          <w:szCs w:val="24"/>
        </w:rPr>
      </w:pPr>
      <w:r>
        <w:rPr>
          <w:rFonts w:ascii="Times New Roman" w:hAnsi="Times New Roman"/>
          <w:b/>
          <w:noProof/>
          <w:sz w:val="24"/>
        </w:rPr>
        <w:t xml:space="preserve">IV. </w:t>
      </w:r>
      <w:r>
        <w:rPr>
          <w:noProof/>
        </w:rPr>
        <w:tab/>
      </w:r>
      <w:r>
        <w:rPr>
          <w:rFonts w:ascii="Times New Roman" w:hAnsi="Times New Roman"/>
          <w:b/>
          <w:noProof/>
          <w:sz w:val="24"/>
        </w:rPr>
        <w:t>TOIMET OIKEUSVALTIOPERIAATTEEN VAHVISTAMISEKSI</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Huhtikuun tiedonannossa esitellään nykyisiä välineitä, joilla kannustetaan oikeusvaltioperiaatteen noudattamiseen EU:ssa ja valvotaan sitä. Komissio on tähän mennessä saatujen kokemusten perusteella yksilöinyt keinoja vahvistaa näitä välineitä kolmella keskeisellä tavalla: edistetään oikeusvaltiokulttuuria, ehkäistään oikeusvaltioperiaatteeseen liittyvien ongelmien syntymistä tai niiden syvenemistä ja tutkitaan, miten voidaan yhdessä reagoida tehokkaasti merkittävien ongelmien ilmetessä. </w:t>
      </w:r>
    </w:p>
    <w:p>
      <w:pPr>
        <w:spacing w:after="240" w:line="240" w:lineRule="auto"/>
        <w:jc w:val="both"/>
        <w:rPr>
          <w:rFonts w:ascii="Times New Roman" w:hAnsi="Times New Roman" w:cs="Times New Roman"/>
          <w:noProof/>
          <w:sz w:val="24"/>
          <w:szCs w:val="24"/>
        </w:rPr>
      </w:pPr>
      <w:r>
        <w:rPr>
          <w:rFonts w:ascii="Times New Roman" w:hAnsi="Times New Roman"/>
          <w:noProof/>
          <w:sz w:val="24"/>
        </w:rPr>
        <w:t>Tässä yhteydessä on tärkeää palauttaa mieleen ne keskeiset periaatteet, joihin oikeusvaltiota koskevat EU:n toimet perustuvat. Ensinnäkin on sekä EU:n että sen jäsenvaltioiden oikeutetun edun mukaista, että oikeusvaltio toimii moitteettomasti kaikissa jäsenvaltioissa. Toiseksi vastuu oikeusvaltioperiaatteen noudattamisen varmistamisesta on ensi sijassa kullakin jäsenvaltiolla, ja ensimmäisenä keinona olisi aina käytettävä kansallisia oikeussuojamekanismeja. Kolmanneksi EU:n on oltava tässä puolueeton ja kohdeltava kaikkia jäsenvaltioita samalla tavalla. Kunkin EU:n toimielimen on osallistuttava toimiin oman roolinsa mukaisesti. Toiminnan tavoitteena ei saa olla seuraamusten määrääminen vaan oikeusvaltiota suojelevan ratkaisun löytäminen yhteistyön ja keskinäisen tuen avulla – sulkematta kuitenkaan pois mahdollisuutta määrätä viimeisenä keinona tehokkaita, oikeasuhteisia ja varoittavia seuraamuksia.</w:t>
      </w:r>
    </w:p>
    <w:p>
      <w:pPr>
        <w:spacing w:after="120" w:line="240" w:lineRule="auto"/>
        <w:jc w:val="both"/>
        <w:rPr>
          <w:rFonts w:ascii="Times New Roman" w:hAnsi="Times New Roman" w:cs="Times New Roman"/>
          <w:b/>
          <w:i/>
          <w:noProof/>
          <w:sz w:val="24"/>
          <w:szCs w:val="24"/>
        </w:rPr>
      </w:pPr>
      <w:r>
        <w:rPr>
          <w:rFonts w:ascii="Times New Roman" w:hAnsi="Times New Roman"/>
          <w:b/>
          <w:i/>
          <w:noProof/>
          <w:sz w:val="24"/>
        </w:rPr>
        <w:t>Oikeusvaltion edistäminen: Tiedon lisääminen ja yhteisen oikeusvaltiokulttuurin luominen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Yhteisten arvojemme kunnioittaminen voidaan taata parhaiten luomalla vankka poliittinen ja oikeudellinen kulttuuri, joka tukee oikeusvaltiota kaikissa jäsenvaltioissa. Ei voida kuitenkaan olettaa, että tämä pätee aina. Poliittinen kehitys on johtanut useissa jäsenvaltioissa tilanteisiin, joissa sellaiset periaatteet kuin toimivallanjako, lojaali yhteistyö toimielinten välillä sekä opposition aseman ja oikeuslaitoksen riippumattomuuden kunnioittaminen näyttävät vaarantuneen – joskus tietoisten poliittisten valintojen seurauksena. Tiedon puute ja oikeusvaltioon liittyvien haasteiden vähäinen tuntemus kansalaisten keskuudessa tarjoavat kasvualustan tällaiselle kehitykselle. Eurobarometri-kyselyn mukaan yli puolet eurooppalaisista on sitä mieltä, että heillä ei ole riittävästi tietoa EU:n perusarvoista.</w:t>
      </w:r>
      <w:r>
        <w:rPr>
          <w:noProof/>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Nämä puutteet on korjattava ennakoivilla toimilla, joilla edistetään oikeusvaltioperiaatteen tuntemusta EU:ssa sekä ammattitoimijoiden että suuren yleisön keskuudessa. Tällaisilla toimilla pyrittäisiin juurruttamaan oikeusvaltioperiaate kansalliseen ja eurooppalaiseen poliittiseen keskusteluun levittämällä tietoa EU:n oikeuteen perustuvista vaatimuksista ja normeista sekä oikeusvaltion merkityksestä kansalaisille ja yrityksille, ja tukemalla sidosryhmiä, jotka ovat kiinnostuneita edistämään oikeusvaltiota koskevia kysymyksiä. Oikeusjärjestelmien on oltava ajanmukaisia ja helposti lähestyttäviä, jotta kansalaiset ja yritykset voivat ymmärtää niiden tehtävän ja merkityksen. Olennaisen tärkeää on myös jäsenvaltioiden keskinäinen luottamus toistensa oikeusjärjestelmiin, sillä se on toimivien sisämarkkinoiden ennakkoedellytys.</w:t>
      </w:r>
    </w:p>
    <w:p>
      <w:pPr>
        <w:spacing w:line="240" w:lineRule="auto"/>
        <w:jc w:val="both"/>
        <w:rPr>
          <w:rFonts w:ascii="Times New Roman" w:hAnsi="Times New Roman" w:cs="Times New Roman"/>
          <w:noProof/>
          <w:sz w:val="24"/>
          <w:szCs w:val="24"/>
        </w:rPr>
      </w:pPr>
      <w:r>
        <w:rPr>
          <w:rFonts w:ascii="Times New Roman" w:hAnsi="Times New Roman"/>
          <w:noProof/>
          <w:sz w:val="24"/>
        </w:rPr>
        <w:t>Neuvosto aikoo myös keskustella omasta oikeusvaltioperiaatetta koskevasta lähestymistavastaan Suomen puheenjohtajuuskaudella syksyllä 2019. Tämä voisi tuoda hyödyllisiä parannuksia oikeusvaltioperiaatteen edistämiseen jäsenvaltioissa.</w:t>
      </w:r>
      <w:r>
        <w:rPr>
          <w:rStyle w:val="FootnoteReference"/>
          <w:rFonts w:ascii="Times New Roman" w:hAnsi="Times New Roman"/>
          <w:noProof/>
          <w:sz w:val="24"/>
        </w:rPr>
        <w:footnoteReference w:id="22"/>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b/>
          <w:noProof/>
          <w:sz w:val="24"/>
        </w:rPr>
        <w:t>Kansalaisyhteiskunta, tiedotusvälineet, tiedemaailma ja jäsenvaltioiden koulutusjärjestelmät</w:t>
      </w:r>
      <w:r>
        <w:rPr>
          <w:noProof/>
        </w:rPr>
        <w:t xml:space="preserve"> </w:t>
      </w:r>
      <w:r>
        <w:rPr>
          <w:rFonts w:ascii="Times New Roman" w:hAnsi="Times New Roman"/>
          <w:noProof/>
          <w:sz w:val="24"/>
        </w:rPr>
        <w:t>voivat osaltaan edistää oikeusvaltioperiaatetta ottamalla siihen liittyvät kysymykset osaksi julkista keskustelua ja opetusohjelmia. Keskeisenä haasteena tässä yhteydessä on edistää oikeusvaltiokulttuuria suuren yleisön keskuudessa, kuten yhteisten arvojen edistämisestä annetussa neuvoston suosituksessa todetaan.</w:t>
      </w:r>
      <w:r>
        <w:rPr>
          <w:rStyle w:val="FootnoteReference"/>
          <w:rFonts w:ascii="Times New Roman" w:hAnsi="Times New Roman"/>
          <w:noProof/>
          <w:sz w:val="24"/>
        </w:rPr>
        <w:footnoteReference w:id="23"/>
      </w:r>
      <w:r>
        <w:rPr>
          <w:rFonts w:ascii="Times New Roman" w:hAnsi="Times New Roman"/>
          <w:noProof/>
          <w:sz w:val="24"/>
        </w:rPr>
        <w:t xml:space="preserve"> Komissio on saanut kannanottoja kansalaisyhteiskunnan järjestöiltä, jotka ovat ilmoittaneet haluavansa syventää tätä työtä.</w:t>
      </w:r>
      <w:r>
        <w:rPr>
          <w:rStyle w:val="FootnoteReference"/>
          <w:rFonts w:ascii="Times New Roman" w:hAnsi="Times New Roman"/>
          <w:noProof/>
          <w:sz w:val="24"/>
        </w:rPr>
        <w:footnoteReference w:id="24"/>
      </w:r>
      <w:r>
        <w:rPr>
          <w:rFonts w:ascii="Times New Roman" w:hAnsi="Times New Roman"/>
          <w:noProof/>
          <w:sz w:val="24"/>
        </w:rPr>
        <w:t xml:space="preserve"> Komissio kehittelee ajatusta vuosittain järjestettävästä oikeusvaltiotapahtumasta, jonka puitteissa käytäisiin vuoropuhelua EU:n tasolla komission, kansalaisyhteiskunnan organisaatioiden ja poliittisten päättäjien kesken. Komissio kiinnittää myös jatkossa erityistä huomiota tilanteisiin, joissa kansalaisyhteiskuntaa ja riippumattomia tiedotusvälineitä pyritään painostamaan, ja tukee niiden työtä. Komissio on uudessa monivuotisessa rahoituskehyksessä ehdottanut oikeusvaltioperiaatteeseen liittyviä toimia varten vahvempia ja yhdenmukaisempia rahoituspuitteita tulevan perusoikeuksien ja arvojen ohjelman</w:t>
      </w:r>
      <w:r>
        <w:rPr>
          <w:rStyle w:val="FootnoteReference"/>
          <w:rFonts w:ascii="Times New Roman" w:hAnsi="Times New Roman"/>
          <w:noProof/>
          <w:sz w:val="24"/>
        </w:rPr>
        <w:footnoteReference w:id="25"/>
      </w:r>
      <w:r>
        <w:rPr>
          <w:rFonts w:ascii="Times New Roman" w:hAnsi="Times New Roman"/>
          <w:noProof/>
          <w:sz w:val="24"/>
        </w:rPr>
        <w:t xml:space="preserve"> sekä Luova Eurooppa -ohjelman</w:t>
      </w:r>
      <w:r>
        <w:rPr>
          <w:rStyle w:val="FootnoteReference"/>
          <w:rFonts w:ascii="Times New Roman" w:hAnsi="Times New Roman"/>
          <w:noProof/>
          <w:sz w:val="24"/>
        </w:rPr>
        <w:footnoteReference w:id="26"/>
      </w:r>
      <w:r>
        <w:rPr>
          <w:rFonts w:ascii="Times New Roman" w:hAnsi="Times New Roman"/>
          <w:noProof/>
          <w:sz w:val="24"/>
        </w:rPr>
        <w:t xml:space="preserve"> yhteydessä, vaikka nämä ohjelmat eivät nimenomaisesti koske oikeusvaltioperiaatetta. Komissio kehottaa Euroopan parlamenttia ja neuvostoa hyväksymään nämä ohjelmat nopeasti, jotta ne voidaan käynnistää. Lisäksi olisi edelleen tuettava EU:n rahoittamaa oikeusvaltioon liittyvää tutkimusta ja levitettävä vireillä olevien hankkeiden tuloksia asianmukaisella tavalla.</w:t>
      </w:r>
    </w:p>
    <w:p>
      <w:pPr>
        <w:spacing w:line="240" w:lineRule="auto"/>
        <w:jc w:val="both"/>
        <w:rPr>
          <w:rFonts w:ascii="Times New Roman" w:hAnsi="Times New Roman" w:cs="Times New Roman"/>
          <w:noProof/>
          <w:sz w:val="24"/>
          <w:szCs w:val="24"/>
        </w:rPr>
      </w:pPr>
      <w:r>
        <w:rPr>
          <w:rFonts w:ascii="Times New Roman" w:hAnsi="Times New Roman"/>
          <w:b/>
          <w:noProof/>
          <w:sz w:val="24"/>
        </w:rPr>
        <w:t>Avoimuus ja tiedonsaanti</w:t>
      </w:r>
      <w:r>
        <w:rPr>
          <w:noProof/>
        </w:rPr>
        <w:t xml:space="preserve"> </w:t>
      </w:r>
      <w:r>
        <w:rPr>
          <w:rFonts w:ascii="Times New Roman" w:hAnsi="Times New Roman"/>
          <w:noProof/>
          <w:sz w:val="24"/>
        </w:rPr>
        <w:t>ovat kansalaisyhteiskunnan ja tiedotusvälineiden kannalta keskeisiä kansallisten valvontajärjestelmien välineitä. Avoimuutta ja tiedonsaantia koskevaa lainsäädäntöä on sovellettava tehokkaasti sekä kaikissa jäsenvaltioissa että EU:n tasolla.</w:t>
      </w:r>
      <w:r>
        <w:rPr>
          <w:rStyle w:val="FootnoteReference"/>
          <w:rFonts w:ascii="Times New Roman" w:hAnsi="Times New Roman"/>
          <w:noProof/>
          <w:sz w:val="24"/>
        </w:rPr>
        <w:footnoteReference w:id="27"/>
      </w:r>
      <w:r>
        <w:rPr>
          <w:rFonts w:ascii="Times New Roman" w:hAnsi="Times New Roman"/>
          <w:noProof/>
          <w:sz w:val="24"/>
        </w:rPr>
        <w:t xml:space="preserve"> Komissio aikoo lisätä oikeusvaltioperiaatteen näkyvyyttä laatimalla viestintästrategian, jonka puitteissa tietoa oikeusvaltioperiaatteesta voidaan levittää kaikilla unionin virallisilla kielillä ja selittää selkeästi periaatteen merkitystä paitsi koko unionin myös yksittäisten kansalaisten ja yritysten kannalta.</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Eurooppalaisilla verkostoilla</w:t>
      </w:r>
      <w:r>
        <w:rPr>
          <w:noProof/>
        </w:rPr>
        <w:t xml:space="preserve"> </w:t>
      </w:r>
      <w:r>
        <w:rPr>
          <w:rFonts w:ascii="Times New Roman" w:hAnsi="Times New Roman"/>
          <w:noProof/>
          <w:sz w:val="24"/>
        </w:rPr>
        <w:t>on jo merkittävä rooli ideoiden ja parhaiden käytäntöjen edistämisessä ja vaihtamisessa.</w:t>
      </w:r>
      <w:r>
        <w:rPr>
          <w:rStyle w:val="FootnoteReference"/>
          <w:rFonts w:ascii="Times New Roman" w:hAnsi="Times New Roman"/>
          <w:noProof/>
          <w:sz w:val="24"/>
        </w:rPr>
        <w:footnoteReference w:id="28"/>
      </w:r>
      <w:r>
        <w:rPr>
          <w:rFonts w:ascii="Times New Roman" w:hAnsi="Times New Roman"/>
          <w:noProof/>
          <w:sz w:val="24"/>
        </w:rPr>
        <w:t xml:space="preserve"> Oikeuslaitosten keskuudessa olisi tuettava oikeusvaltiota edistäviä verkostoja, joita ovat muun muassa EU:n korkeimpien oikeuksien presidenttien eurooppalainen verkosto, EU:n korkeimpien hallinto-oikeuksien yhdistys, Euroopan tuomarineuvostojen verkosto (European Network of Council for the Judiciary) ja tuomareiden eurooppalainen koulutusverkosto. Kaikissa näissä verkostoissa komission olisi tuettava ensisijaisesti hankkeita, joilla edistetään oikeusvaltioperiaatetta ja joissa keskitytään erityisesti niihin jäsenvaltioihin, joissa on ilmennyt oikeusvaltioon kohdistuvia haasteita.</w:t>
      </w:r>
      <w:r>
        <w:rPr>
          <w:rStyle w:val="FootnoteReference"/>
          <w:rFonts w:ascii="Times New Roman" w:hAnsi="Times New Roman"/>
          <w:noProof/>
          <w:sz w:val="24"/>
        </w:rPr>
        <w:footnoteReference w:id="29"/>
      </w:r>
      <w:r>
        <w:rPr>
          <w:rFonts w:ascii="Times New Roman" w:hAnsi="Times New Roman"/>
          <w:noProof/>
          <w:sz w:val="24"/>
        </w:rPr>
        <w:t xml:space="preserve"> Perustuslaillisesta valvonnasta vastaavien instituutioiden välistä yhteistyötä olisi niin ikään edistettävä ja tuettava, muun muassa Euroopan perustuslakituomioistuinten konferenssin toiminnan puitteissa. Myös Euroopan oikeusasiamiesten verkosto voisi lisätä kokemusten ja parhaiden käytäntöjen vaihtoa edistääkseen hyvää hallintoa ja asiaankuuluvien tietojen keräämistä ja levittämistä.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Yleisesti ottaen kansallisilla tuomioistuimilla on tärkeä tehtävä myös oikeusvaltioperiaatteen noudattamiseen liittyvien normien edistämisessä. Kansallisten tuomarineuvostojen, tuomareiden ja syyttäjien osallistuminen oikeuslaitoksen uudistuksia koskeviin kansallisiin keskusteluihin on itsessään tärkeä osa kansallisia valvontajärjestelmiä.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Myös </w:t>
      </w:r>
      <w:r>
        <w:rPr>
          <w:rFonts w:ascii="Times New Roman" w:hAnsi="Times New Roman"/>
          <w:b/>
          <w:noProof/>
          <w:sz w:val="24"/>
        </w:rPr>
        <w:t>kansallisilla parlamenteilla</w:t>
      </w:r>
      <w:r>
        <w:rPr>
          <w:rFonts w:ascii="Times New Roman" w:hAnsi="Times New Roman"/>
          <w:noProof/>
          <w:sz w:val="24"/>
        </w:rPr>
        <w:t xml:space="preserve"> on keskeinen rooli oikeusvaltioperiaatteen noudattamisen varmistamisessa jäsenvaltioissa sekä lainsäätäjinä että toimeenpanovallan valvojina. Euroopan parlamentti, unionin asioita käsittelevien parlamentaaristen elinten konferenssi COSAC ja EU:n parlamenttien puhemiesten konferenssi voisivat asettaa painopisteeksi parlamenttien välisen vuoropuhelun oikeusvaltiokysymyksistä esimerkiksi vuosittaisen tapahtuman yhteydessä. Tämä aihe voitaisiin nostaa esiin myös EU-kysymyksiä koskevissa kansallisissa parlamenttikeskusteluissa. Komissio on valmis edistämään tällaista vuoropuhelua. Myös parlamenttien kahdenväliset vaihdot ja tuki, joiden puitteissa käsiteltäisiin esimerkiksi sääntelyn parantamista koskevia parhaita käytäntöjä (kuten näyttöön perustuvaa sääntelyä tai menettelyjen avoimuutta), tai yli puoluerajojen kootut oikeusvaltioperiaatetta käsittelevät parlamenttiryhmät, voisivat olla hyödyllisiä.</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Huhtikuun tiedonannossa korostettiin panosta, joka voisi syntyä yhteistyön tehostamisesta </w:t>
      </w:r>
      <w:r>
        <w:rPr>
          <w:rFonts w:ascii="Times New Roman" w:hAnsi="Times New Roman"/>
          <w:b/>
          <w:noProof/>
          <w:sz w:val="24"/>
        </w:rPr>
        <w:t>Euroopan neuvoston</w:t>
      </w:r>
      <w:r>
        <w:rPr>
          <w:rFonts w:ascii="Times New Roman" w:hAnsi="Times New Roman"/>
          <w:noProof/>
          <w:sz w:val="24"/>
        </w:rPr>
        <w:t xml:space="preserve"> kanssa. Euroopan neuvoston ja Euroopan unionin välillä vuonna 2007 tehdyn yhteisymmärryspöytäkirjan mukaan Euroopan neuvostolla on erityinen asema ”ihmisoikeuksien, oikeusvaltion ja demokratian kiintopisteenä Euroopassa”, ja EU on sitoutunut ottamaan huomioon sen tällä alalla tekemän työn. Komissio aikoo kehittää tätä yhteistyötä molempien toimielinten institutionaalisia ja poliittisia tehtäviä kaikilta osin kunnioittaen ja lisätä EU:n osallistumista Euroopan neuvoston elimiin tekemällä yksikkötason yhteistyöstä vahvempaa ja järjestelmällisempää. EU on jo aktiivinen osallistuja Euroopan neuvostossa monilla tasoilla, sillä muun muassa komissio on tarkkailijana Venetsian komissiossa.</w:t>
      </w:r>
      <w:r>
        <w:rPr>
          <w:rStyle w:val="FootnoteReference"/>
          <w:rFonts w:ascii="Times New Roman" w:hAnsi="Times New Roman"/>
          <w:noProof/>
          <w:sz w:val="24"/>
        </w:rPr>
        <w:footnoteReference w:id="30"/>
      </w:r>
      <w:r>
        <w:rPr>
          <w:rFonts w:ascii="Times New Roman" w:hAnsi="Times New Roman"/>
          <w:noProof/>
          <w:sz w:val="24"/>
        </w:rPr>
        <w:t xml:space="preserve"> Tärkeä uusi askel on EU:n tarkkailija-asema Euroopan neuvoston lahjonnan vastaisessa valtioiden ryhmässä (GRECO). Komissio on toteuttanut yhteisymmärryksessä neuvoston kanssa tarvittavat toimenpiteet tarkkailija-aseman saamiseksi</w:t>
      </w:r>
      <w:r>
        <w:rPr>
          <w:rStyle w:val="FootnoteReference"/>
          <w:rFonts w:ascii="Times New Roman" w:hAnsi="Times New Roman"/>
          <w:noProof/>
          <w:sz w:val="24"/>
        </w:rPr>
        <w:footnoteReference w:id="31"/>
      </w:r>
      <w:r>
        <w:rPr>
          <w:rFonts w:ascii="Times New Roman" w:hAnsi="Times New Roman"/>
          <w:noProof/>
          <w:sz w:val="24"/>
        </w:rPr>
        <w:t>, ja se myönnettiinkin heinäkuussa 2019.</w:t>
      </w:r>
      <w:r>
        <w:rPr>
          <w:rStyle w:val="FootnoteReference"/>
          <w:rFonts w:ascii="Times New Roman" w:hAnsi="Times New Roman"/>
          <w:noProof/>
          <w:sz w:val="24"/>
        </w:rPr>
        <w:footnoteReference w:id="32"/>
      </w:r>
      <w:r>
        <w:rPr>
          <w:rFonts w:ascii="Times New Roman" w:hAnsi="Times New Roman"/>
          <w:noProof/>
          <w:sz w:val="24"/>
        </w:rPr>
        <w:t xml:space="preserve"> EU tukee Euroopan neuvoston toimintaa merkittävällä rahoitusosuudella.</w:t>
      </w:r>
      <w:r>
        <w:rPr>
          <w:rStyle w:val="FootnoteReference"/>
          <w:rFonts w:ascii="Times New Roman" w:hAnsi="Times New Roman"/>
          <w:noProof/>
          <w:sz w:val="24"/>
        </w:rPr>
        <w:footnoteReference w:id="33"/>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Euroopan unionin liittyminen Euroopan ihmisoikeussopimukseen</w:t>
      </w:r>
      <w:r>
        <w:rPr>
          <w:rFonts w:ascii="Times New Roman" w:hAnsi="Times New Roman"/>
          <w:noProof/>
          <w:sz w:val="24"/>
          <w:vertAlign w:val="superscript"/>
        </w:rPr>
        <w:footnoteReference w:id="34"/>
      </w:r>
      <w:r>
        <w:rPr>
          <w:rFonts w:ascii="Times New Roman" w:hAnsi="Times New Roman"/>
          <w:noProof/>
          <w:sz w:val="24"/>
        </w:rPr>
        <w:t xml:space="preserve"> antaa vahvan poliittisen signaalin unionin sitoutumisesta oikeusvaltioperiaatteeseen ja siihen, että unioni tukee yleissopimusta ja sen erityisesti tuomioistuinten toimintaan perustuvaa täytäntöönpanojärjestelmää. Komissio on vauhdittanut liittymisneuvottelujen käynnistämistä uudelleen.</w:t>
      </w:r>
      <w:r>
        <w:rPr>
          <w:rFonts w:ascii="Times New Roman" w:hAnsi="Times New Roman"/>
          <w:noProof/>
          <w:sz w:val="24"/>
          <w:vertAlign w:val="superscript"/>
        </w:rPr>
        <w:footnoteReference w:id="35"/>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Komissio aikoo myös syventää yhteistyötä oikeusvaltiokysymysten parissa toimivien muiden </w:t>
      </w:r>
      <w:r>
        <w:rPr>
          <w:rFonts w:ascii="Times New Roman" w:hAnsi="Times New Roman"/>
          <w:b/>
          <w:noProof/>
          <w:sz w:val="24"/>
        </w:rPr>
        <w:t>kansainvälisten elinten</w:t>
      </w:r>
      <w:r>
        <w:rPr>
          <w:rFonts w:ascii="Times New Roman" w:hAnsi="Times New Roman"/>
          <w:noProof/>
          <w:sz w:val="24"/>
        </w:rPr>
        <w:t xml:space="preserve"> kanssa tekemällä niiden kanssa tiiviimpää ja järjestelmällisempää yksikkötason yhteistyötä. Näitä elimiä ovat Euroopan turvallisuus- ja yhteistyöjärjestö (ETYJ), jonka toimintaan oikeusvaltioperiaate nivoutuu osana demokratiakehityksen tukemista, ja Taloudellisen yhteistyön ja kehityksen järjestö (OECD), jonka kanssa tehtävässä yhteistyössä voitaisiin tutkia oikeusvaltioperiaatteen tuomia sosiaalisia ja taloudellisia etuja.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Kansainvälisessä yhteisössä käytävään keskusteluun oikeusvaltioperiaatteesta ja sen vaikutuksista ovat vaikuttaneet myös tuomareiden ja lakimiesten riippumattomuutta käsittelevä Yhdistyneiden kansakuntien erityisraportoija ja Yhdistyneiden kansakuntien järjestäytyneen rikollisuuden ja huumausaineiden torjunnan toimisto, joka huolehtii korruption vastaisen yleissopimuksen sihteeristön tehtävistä, sekä Maailmanpankki.</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Taloudellisen yhteistyön ja kehityksen järjestön (OECD) kaltaiset kansainväliset järjestöt käsittelevät asiaa taloudellisen kehityksen näkökulmasta ja tarkastelevat oikeusvaltion merkitystä liiketoiminta- ja investointiympäristön kannalta yleensä. Myös Euroopan talous- ja sosiaalikomitea on korostanut tarvetta kiinnittää enemmän huomiota oikeusvaltion taloudellisiin näkökohtiin. Talouspolitiikan EU-ohjausjakson yhteydessä on otettu huomioon oikeusvaltion merkitys liiketoimintaympäristön kannalta, kun pyritään tukemaan kasvua edistäviä rakenneuudistuksia esimerkiksi tehokkaiden oikeusjärjestelmien ja korruption torjunnan alalla. Tämän yhteyden ovat tunnustaneet myös Euroopan keskuspankki ja eurooppalaiset työmarkkinaosapuolet, jotka ovat korostaneet oikeusvaltioperiaatteen merkitystä EU:n kansalaisille, työnantajille ja työntekijöille.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Komissio aikoo hyödyntää kaikkien näiden toimijoiden halukkuutta osallistua oikeusvaltioperiaatteen edistämiseen.</w:t>
      </w:r>
      <w:r>
        <w:rPr>
          <w:rFonts w:ascii="Times New Roman" w:hAnsi="Times New Roman"/>
          <w:noProof/>
          <w:sz w:val="24"/>
          <w:vertAlign w:val="superscript"/>
        </w:rPr>
        <w:t xml:space="preserve"> </w:t>
      </w:r>
      <w:r>
        <w:rPr>
          <w:rFonts w:ascii="Times New Roman" w:hAnsi="Times New Roman"/>
          <w:noProof/>
          <w:sz w:val="24"/>
          <w:vertAlign w:val="superscript"/>
        </w:rPr>
        <w:footnoteReference w:id="36"/>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9"/>
      </w:tblGrid>
      <w:tr>
        <w:trPr>
          <w:trHeight w:val="557"/>
        </w:trPr>
        <w:tc>
          <w:tcPr>
            <w:tcW w:w="9059" w:type="dxa"/>
          </w:tcPr>
          <w:p>
            <w:pPr>
              <w:snapToGrid w:val="0"/>
              <w:spacing w:after="120" w:line="240" w:lineRule="auto"/>
              <w:jc w:val="both"/>
              <w:rPr>
                <w:rFonts w:ascii="Times New Roman" w:hAnsi="Times New Roman" w:cs="Times New Roman"/>
                <w:noProof/>
                <w:sz w:val="24"/>
                <w:szCs w:val="24"/>
              </w:rPr>
            </w:pPr>
            <w:r>
              <w:rPr>
                <w:rFonts w:ascii="Times New Roman" w:hAnsi="Times New Roman"/>
                <w:noProof/>
                <w:sz w:val="24"/>
              </w:rPr>
              <w:t>Komissio aikoo</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hyödyntää kaikin tavoin mahdollisuuksia tarjota rahoitusta kansalaisyhteiskunnan ja tiedemaailman toimiin, joilla tuetaan oikeusvaltiokulttuurin lujittamista erityisesti suuren yleisön keskuudessa, ja kehittää ajatusta kansallisille sidosryhmille ja kansalaisyhteiskunnan organisaatioille tarkoitetun vuotuisen oikeusvaltiotapahtuman järjestämisestä</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vahvistaa yhteistyötä Euroopan neuvoston kanssa, Venetsian komissio ja GRECO mukaan lukien, ja selvittää mahdollisuuksia lisätä sille myönnettävää tukea oikeusvaltioperiaatteeseen liittyvien EU:n ensisijaisten tavoitteiden puitteissa</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vahvistaa yhteistyötä muiden kansainvälisten järjestöjen, kuten Euroopan turvallisuus- ja yhteistyöjärjestön sekä Taloudellisen yhteistyön ja kehityksen järjestön kanssa </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kehittää yhteistyötä Euroopan oikeudellisen verkoston ja muiden verkostojen kanssa edistääkseen oikeusvaltiota koskevia normeja, mukaan lukien tuki perustuslakituomioistuinten väliseen yhteistyöhön</w:t>
            </w:r>
          </w:p>
          <w:p>
            <w:pPr>
              <w:pStyle w:val="ListParagraph"/>
              <w:numPr>
                <w:ilvl w:val="0"/>
                <w:numId w:val="15"/>
              </w:numPr>
              <w:spacing w:line="240" w:lineRule="auto"/>
              <w:jc w:val="both"/>
              <w:rPr>
                <w:rFonts w:ascii="Times New Roman" w:hAnsi="Times New Roman" w:cs="Times New Roman"/>
                <w:noProof/>
                <w:sz w:val="24"/>
                <w:szCs w:val="24"/>
              </w:rPr>
            </w:pPr>
            <w:r>
              <w:rPr>
                <w:rFonts w:ascii="Times New Roman" w:hAnsi="Times New Roman"/>
                <w:noProof/>
                <w:sz w:val="24"/>
              </w:rPr>
              <w:t>laatia oikeusvaltiota koskevan viestintästrategian, muun muassa päivittämällä aiheelle omistettua verkkosivustoa, jotta sinne voidaan koota kaikenlaista aiheeseen liittyvää tietoa.</w:t>
            </w:r>
          </w:p>
          <w:p>
            <w:pPr>
              <w:snapToGrid w:val="0"/>
              <w:spacing w:after="120" w:line="240" w:lineRule="auto"/>
              <w:jc w:val="both"/>
              <w:rPr>
                <w:rFonts w:ascii="Times New Roman" w:hAnsi="Times New Roman" w:cs="Times New Roman"/>
                <w:noProof/>
                <w:sz w:val="24"/>
                <w:szCs w:val="24"/>
              </w:rPr>
            </w:pPr>
            <w:r>
              <w:rPr>
                <w:rFonts w:ascii="Times New Roman" w:hAnsi="Times New Roman"/>
                <w:noProof/>
                <w:sz w:val="24"/>
              </w:rPr>
              <w:t>Komissio kehottaa</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Euroopan parlamenttia ja kansallisia parlamentteja tekemään oikeusvaltioperiaatteeseen liittyvissä kysymyksissä yhteistyötä, johon myös komissio voisi osallistua.</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neuvostoa ja jäsenvaltioita pohtimaan keinoja edistää oikeusvaltioon liittyviä normeja muun muassa käynnissä olevien tai tulevien oikeusvaltiokeskustelujen yhteydessä.</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jäsenvaltioita lujittamaan oikeusvaltioperiaatteen edistämistä kansallisella, alueellisella ja paikallistasolla, myös koulutuksen ja kansalaisyhteiskunnan avulla. </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kansalaisyhteiskunnan järjestöjä ja työmarkkinaosapuolia jatkamaan seurantatoimiaan ja osallistumaan keskusteluun oikeusvaltioperiaatteen noudattamisessa ilmenevien puutteiden vaikutuksista ja käytännön seurauksista omilla vastuualueillaan.</w:t>
            </w:r>
          </w:p>
        </w:tc>
      </w:tr>
    </w:tbl>
    <w:p>
      <w:pPr>
        <w:spacing w:before="240" w:after="120" w:line="240" w:lineRule="auto"/>
        <w:jc w:val="both"/>
        <w:rPr>
          <w:rFonts w:ascii="Times New Roman" w:hAnsi="Times New Roman" w:cs="Times New Roman"/>
          <w:b/>
          <w:i/>
          <w:noProof/>
          <w:sz w:val="24"/>
          <w:szCs w:val="24"/>
        </w:rPr>
      </w:pPr>
      <w:r>
        <w:rPr>
          <w:rFonts w:ascii="Times New Roman" w:hAnsi="Times New Roman"/>
          <w:b/>
          <w:i/>
          <w:noProof/>
          <w:sz w:val="24"/>
        </w:rPr>
        <w:t>Ennalta ehkäisevä toiminta: Oikeusvaltiota vahvistava yhteistyö ja tuki kansallisella tasolla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Ensisijainen vastuu oikeusvaltioperiaatteen noudattamisen varmistamisesta kansallisella tasolla kuuluu jäsenvaltioille. Kansallinen oikeuslaitos muodostaa yhdessä muiden kansallisten valvontajärjestelmien, kuten perustuslakituomioistuinten ja oikeusasiamiesten, kanssa puolustuksen keskeisen etulinjan, kun on torjuttava jonkin muun valtioelimen oikeusvaltioon kohdistamia hyökkäyksiä. EU:lla on kuitenkin oikeutettu rooli kansallisten viranomaisten tukemisessa ja sen varmistamisessa, että kielteiseen kehitykseen puututaan varhaisessa vaiheessa. EU:n toimielinten tehtävänä olisi oltava yhteistyön ja vuoropuhelun helpottaminen, jotta voidaan estää ongelmien syveneminen niin pitkälle, että niihin on puututtava virallisesti oikeusvaltiotoimintakehyksen, rikkomusmenettelyn tai SEU-sopimuksen 7 artiklan mukaisilla toimilla.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Jotta EU voisi hoitaa tehtävänsä tällä alalla kaikilta osin, EU:n toimielinten on seurantaa parantamalla lisättävä tietoa ja ymmärrystä eri jäsenvaltioissa tapahtuvasta kehityksestä. Näin voidaan yksilöidä oikeusvaltioon kohdistuvat riskit, löytää mahdolliset ratkaisut ja kohdentaa tukea jo varhaisessa vaiheessa. Tällaisen seurannan olisi katettava oikeusvaltioon liittyvät kehityssuunnat ja uudistukset jäsenvaltioissa, ja sen avulla olisi valvottava niiden uudistusten kestävyyttä ja peruuttamattomuutta, joita on toteutettu EU:n toimien, kuten rikkomusmenettelyjen tai yhteistyö- ja seurantamekanismin, perusteella. </w:t>
      </w:r>
    </w:p>
    <w:p>
      <w:pPr>
        <w:spacing w:after="240" w:line="240" w:lineRule="auto"/>
        <w:jc w:val="both"/>
        <w:rPr>
          <w:rFonts w:ascii="Times New Roman" w:hAnsi="Times New Roman" w:cs="Times New Roman"/>
          <w:b/>
          <w:noProof/>
          <w:sz w:val="24"/>
          <w:szCs w:val="24"/>
        </w:rPr>
      </w:pPr>
      <w:r>
        <w:rPr>
          <w:rFonts w:ascii="Times New Roman" w:hAnsi="Times New Roman"/>
          <w:noProof/>
          <w:sz w:val="24"/>
        </w:rPr>
        <w:t xml:space="preserve">EU:n valmiuksien parantamiseksi </w:t>
      </w:r>
      <w:r>
        <w:rPr>
          <w:rFonts w:ascii="Times New Roman" w:hAnsi="Times New Roman"/>
          <w:b/>
          <w:noProof/>
          <w:sz w:val="24"/>
        </w:rPr>
        <w:t>komissio aikoo syventää oikeusvaltioperiaatteeseen liittyvän kehityksen seurantaa jäsenvaltioissa</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Tämä toteutetaan tarvittaessa yhteistyössä jäsenvaltioiden ja muiden EU:n toimielinten kanssa </w:t>
      </w:r>
      <w:r>
        <w:rPr>
          <w:rFonts w:ascii="Times New Roman" w:hAnsi="Times New Roman"/>
          <w:b/>
          <w:i/>
          <w:noProof/>
          <w:sz w:val="24"/>
        </w:rPr>
        <w:t>oikeusvaltioperiaatetta koskevan tarkastelukierroksen</w:t>
      </w:r>
      <w:r>
        <w:rPr>
          <w:rFonts w:ascii="Times New Roman" w:hAnsi="Times New Roman"/>
          <w:noProof/>
          <w:sz w:val="24"/>
        </w:rPr>
        <w:t xml:space="preserve"> muodossa. Se muodostuu seuraavasti:</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Soveltamisala</w:t>
      </w:r>
    </w:p>
    <w:p>
      <w:pPr>
        <w:spacing w:after="240" w:line="240" w:lineRule="auto"/>
        <w:jc w:val="both"/>
        <w:rPr>
          <w:rFonts w:ascii="Times New Roman" w:hAnsi="Times New Roman" w:cs="Times New Roman"/>
          <w:noProof/>
          <w:sz w:val="24"/>
          <w:szCs w:val="24"/>
        </w:rPr>
      </w:pPr>
      <w:r>
        <w:rPr>
          <w:rFonts w:ascii="Times New Roman" w:hAnsi="Times New Roman"/>
          <w:noProof/>
          <w:sz w:val="24"/>
        </w:rPr>
        <w:t>Tarkastelukierros kattaisi kaikki oikeusvaltion eri osatekijät ja niihin liittyvät ongelmat, kuten lainsäädäntöprosessiin liittyvät systeemiset ongelmat, riippumattomien ja puolueettomien tuomioistuinten tarjoaman tehokkaan oikeussuojan puuttumisen tai toimivallanjaon periaatteen laiminlyömisen.</w:t>
      </w:r>
      <w:r>
        <w:rPr>
          <w:rStyle w:val="FootnoteReference"/>
          <w:rFonts w:ascii="Times New Roman" w:hAnsi="Times New Roman"/>
          <w:noProof/>
          <w:sz w:val="24"/>
        </w:rPr>
        <w:footnoteReference w:id="37"/>
      </w:r>
      <w:r>
        <w:rPr>
          <w:rFonts w:ascii="Times New Roman" w:hAnsi="Times New Roman"/>
          <w:noProof/>
          <w:sz w:val="24"/>
        </w:rPr>
        <w:t xml:space="preserve"> Sen yhteydessä tutkittaisiin myös jäsenvaltioiden korruptiontorjuntavalmiuksia sekä tiedotusvälineiden moniarvoisuuteen ja vaaleihin liittyviä ongelmia siltä osin kuin niillä on liittymäkohtia unionin oikeuden soveltamiseen. Tarkastelukierroksen yhteydessä seurattaisiin myös EU:n lainsäädännön täytäntöönpanon tuloksellisuutta ja erityisesti kaikkien siihen osallistuvien toimijoiden valmiuksia hoitaa tehtäviään: näitä ovat tuomioistuimet, syyttäjä- ja lainvalvontaviranomaiset, riippumattomat viranomaiset, valvontatehtäviä hoitavat julkishallinnon viranomaiset, oikeusasiamiehet ja ihmisoikeusinstituutiot sekä ihmisoikeuksien puolustajat.</w:t>
      </w:r>
      <w:r>
        <w:rPr>
          <w:rFonts w:ascii="Times New Roman" w:hAnsi="Times New Roman"/>
          <w:noProof/>
          <w:sz w:val="24"/>
          <w:vertAlign w:val="superscript"/>
        </w:rPr>
        <w:footnoteReference w:id="38"/>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Vaikka seuranta kattaa kaikki jäsenvaltiot, sitä olisi sovellettava tehokkaammin niissä jäsenvaltioissa, joissa on havaittu oikeusvaltion taantumiseen liittyviä riskejä tai erityisiä heikkouksia.</w:t>
      </w:r>
      <w:r>
        <w:rPr>
          <w:rStyle w:val="FootnoteReference"/>
          <w:rFonts w:ascii="Times New Roman" w:hAnsi="Times New Roman"/>
          <w:noProof/>
          <w:sz w:val="24"/>
        </w:rPr>
        <w:footnoteReference w:id="39"/>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Tietolähteet</w:t>
      </w:r>
    </w:p>
    <w:p>
      <w:pPr>
        <w:spacing w:after="240" w:line="240" w:lineRule="auto"/>
        <w:jc w:val="both"/>
        <w:rPr>
          <w:rFonts w:ascii="Times New Roman" w:hAnsi="Times New Roman" w:cs="Times New Roman"/>
          <w:noProof/>
          <w:sz w:val="24"/>
          <w:szCs w:val="24"/>
        </w:rPr>
      </w:pPr>
      <w:r>
        <w:rPr>
          <w:rFonts w:ascii="Times New Roman" w:hAnsi="Times New Roman"/>
          <w:noProof/>
          <w:sz w:val="24"/>
        </w:rPr>
        <w:t>Tarkastelukierros perustuisi olemassa olevien tietolähteiden johdonmukaiseen käyttöön. Siinä keskityttäisiin tiiviimmin oikeusvaltioperiaatteen kannalta merkityksellisiin osa-alueisiin. Kaikkien – sekä institutionaalisten että kansalaisyhteiskunnan – toimijoiden on jaettava tietoa ja tuotava kantansa kuuluviin. Käytettävissä on monia tietolähteitä, kuten Euroopan neuvoston, Euroopan turvallisuus- ja yhteistyöjärjestön ja Taloudellisen yhteistyön ja kehityksen järjestön (OECD) elimet sekä EU:n elimet, kuten perusoikeusvirasto.</w:t>
      </w:r>
      <w:r>
        <w:rPr>
          <w:rFonts w:ascii="Times New Roman" w:hAnsi="Times New Roman"/>
          <w:noProof/>
          <w:sz w:val="24"/>
          <w:vertAlign w:val="superscript"/>
        </w:rPr>
        <w:footnoteReference w:id="40"/>
      </w:r>
      <w:r>
        <w:rPr>
          <w:rFonts w:ascii="Times New Roman" w:hAnsi="Times New Roman"/>
          <w:noProof/>
          <w:sz w:val="24"/>
        </w:rPr>
        <w:t xml:space="preserve"> Perusoikeusvirasto, jonka vastuuala kattaa oikeusvaltioon liittyvät oikeudet, kuten tehokkaat oikeussuojakeinot, on laatinut perusoikeuksia koskevan eurooppalaisen tietojärjestelmän (EFRIS), jonka tarkoituksena on edistää jäsenvaltioiden tilannetta koskevien tietojen ja raporttien saatavuutta. Näitä eri tietolähteitä voitaisiin käyttää paremmin yhdistämällä niitä niin, että ne täydentäisivät toisiaan nykyistä tehokkaammin. Tällaista tehostettua seurantaa eri muodoissaan olisi kehitettävä, myös yhteistyössä kansallisten viranomaisten ja muiden EU:n toimielinten kanssa, ja siihen olisi sisällyttävä jatkuva tiedonkeruu- ja vuoropuheluprosessi kansallisten viranomaisten ja sidosryhmien kanssa. </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Jäsenvaltioiden ja sidosryhmien osallistuminen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Sen lisäksi, että komissio kerää tietoja eri lähteistä, se </w:t>
      </w:r>
      <w:r>
        <w:rPr>
          <w:rFonts w:ascii="Times New Roman" w:hAnsi="Times New Roman"/>
          <w:b/>
          <w:noProof/>
          <w:sz w:val="24"/>
        </w:rPr>
        <w:t>kehottaa kaikkia jäsenvaltioita jatkamaan keskinäistä tietojenvaihtoa ja vuoropuhelua oikeusvaltioon liittyvistä aiheista</w:t>
      </w:r>
      <w:r>
        <w:rPr>
          <w:rFonts w:ascii="Times New Roman" w:hAnsi="Times New Roman"/>
          <w:noProof/>
          <w:sz w:val="24"/>
        </w:rPr>
        <w:t xml:space="preserve">, kuten oikeuslaitoksen uudistamisesta, korruption torjunnasta ja lainsäädäntöprosessista, tai toimenpiteistä, joilla tuetaan kansalaisyhteiskuntaa ja riippumattomia tiedotusvälineitä oikeusvaltion toimijoina. Jotkin näistä kysymyksistä on jo otettu käsiteltäväksi osana talouspolitiikan EU-ohjausjaksoa, silloin kun ne liittyvät keskeisiin kasvua edistäviin tekijöihin. Tätä vuoropuhelua on tarkoitus täydentää tarkastelemalla kohdennetummin nimenomaan oikeusvaltioperiaatetta ja myös muita siihen liittyviä näkökohtia. Yhteistyön säännöllisyyttä ja intensiteettiä olisi lisättävä niissä jäsenvaltioissa, joissa oikeusvaltion haasteet ovat selvempiä, ja pyrittävä löytämään ongelmiin yhteistyöhön perustuvia ratkaisuja ennen kuin ne kärjistyvät.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Tämän pohjalta olisi perustettava jäsenvaltioihin </w:t>
      </w:r>
      <w:r>
        <w:rPr>
          <w:rFonts w:ascii="Times New Roman" w:hAnsi="Times New Roman"/>
          <w:b/>
          <w:noProof/>
          <w:sz w:val="24"/>
        </w:rPr>
        <w:t>kansallisten yhteyspisteiden verkosto</w:t>
      </w:r>
      <w:r>
        <w:rPr>
          <w:rFonts w:ascii="Times New Roman" w:hAnsi="Times New Roman"/>
          <w:noProof/>
          <w:sz w:val="24"/>
        </w:rPr>
        <w:t xml:space="preserve"> oikeusvaltioon liittyvistä kysymyksistä käytävää vuoropuhelua varten. Verkosto perustuisi oikeusvaltioon liittyvillä aloilla jo oleviin yhteyksiin, kuten oikeusalan ja korruptiontorjunnan kansallisten yhteysviranomaisten verkostoihin, jotka voitaisiin yhdistää siihen.</w:t>
      </w:r>
      <w:r>
        <w:rPr>
          <w:rFonts w:ascii="Times New Roman" w:hAnsi="Times New Roman"/>
          <w:noProof/>
          <w:sz w:val="24"/>
          <w:vertAlign w:val="superscript"/>
        </w:rPr>
        <w:footnoteReference w:id="41"/>
      </w:r>
      <w:r>
        <w:rPr>
          <w:rFonts w:ascii="Times New Roman" w:hAnsi="Times New Roman"/>
          <w:noProof/>
          <w:sz w:val="24"/>
        </w:rPr>
        <w:t xml:space="preserve"> Se toimisi foorumina, jolla voidaan keskustella horisontaalisista kysymyksistä, tarvittaessa myös oikeusvaltioon liittyvän EU:n välineistön mahdollisesta kehittämisestä, ja jakaa tietoja ja parhaita käytäntöjä. Yhteyshenkilöt osallistuisivat kunkin jäsenvaltion kanssa käytävään kahdenväliseen vuoropuheluun ja auttaisivat valmistelemaan ja keräämään oikeusvaltiokertomusta varten tarvittavia tietoja (ks. jäljempänä). Kansallisten yhteysviranomaisten verkosto voisi toimia foorumina, jolla annettaisiin varhaisvaroituksia oikeusvaltioon liittyvistä uudistuksista ja käytäisiin keskustelua jäsenvaltioiden kesken.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Myös Euroopan neuvoston asianomaisia elimiä sekä ETYJiä ja OECD:tä ja oikeudellisia verkostoja voitaisiin pyytää jakamaan asiantuntemustaan ja esittämään näkemyksiään. Tällaisia tahoja olisivat muun muassa EU:n korkeimpien oikeuksien presidenttien verkostot, EU:n korkeimpien hallinto-oikeuksien yhdistys ja Euroopan tuomarineuvostojen verkosto.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Tällaisella vuoropuhelulla olisi erityisen suuri merkitys mahdollisten oikeusvaltioon liittyvien ongelmien havaitsemiseksi varhaisessa vaiheessa, sillä vakiintunut ja säännöllisesti kokoontuva foorumi edistää keskinäistä ymmärtämystä ja vähentää vastakkainasettelun riskiä. Vuoropuhelu voi myös tarjota jäsenvaltioille mahdollisuuden keskustella oikeusvaltioon vaikuttavista lainsäädäntöuudistuksista jo niiden valmisteluvaiheessa, myös Euroopan unionin tuomioistuimen oikeuskäytännön valossa. Tuomioistuimen laatimat normit voivat antaa osviittaa siitä, millaisiin uudistuksiin olisi suhtauduttava varovasti (esimerkiksi uudistukset, joilla voi olla – kenties tahattomia – kielteisiä vaikutuksia tuomareiden tai sääntelyviranomaisten riippumattomuuteen). Vuoropuhelun avulla voidaan määrittää, edellyttääkö jokin kansallinen kehityssuuntaus ulkopuolisen tuen tai asiantuntemuksen pyytämistä. </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 xml:space="preserve">Oikeusvaltiota koskeva vuosikertomus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Jotta voidaan varmistaa tarvittava avoimuus ja tietoisuus ja säilyttää oikeusvaltioperiaate EU:n poliittisella asialistalla, komissio aikoo julkaista vuosittain oikeusvaltioperiaatetta koskevan kertomuksen, jossa esitetään yhteenveto jäsenvaltioiden tilanteesta. Kertomuksessa esitettäisiin edellä kuvattujen erilaisten lähteiden perusteella </w:t>
      </w:r>
      <w:r>
        <w:rPr>
          <w:rFonts w:ascii="Times New Roman" w:hAnsi="Times New Roman"/>
          <w:b/>
          <w:noProof/>
          <w:sz w:val="24"/>
        </w:rPr>
        <w:t>yhteenveto</w:t>
      </w:r>
      <w:r>
        <w:rPr>
          <w:rFonts w:ascii="Times New Roman" w:hAnsi="Times New Roman"/>
          <w:noProof/>
          <w:sz w:val="24"/>
        </w:rPr>
        <w:t xml:space="preserve"> jäsenvaltioissa ja EU:n tasolla tapahtuvasta </w:t>
      </w:r>
      <w:r>
        <w:rPr>
          <w:rFonts w:ascii="Times New Roman" w:hAnsi="Times New Roman"/>
          <w:b/>
          <w:noProof/>
          <w:sz w:val="24"/>
        </w:rPr>
        <w:t>merkittävästä kehityksestä</w:t>
      </w:r>
      <w:r>
        <w:rPr>
          <w:rFonts w:ascii="Times New Roman" w:hAnsi="Times New Roman"/>
          <w:noProof/>
          <w:sz w:val="24"/>
        </w:rPr>
        <w:t xml:space="preserve">, Euroopan unionin tuomioistuimen oikeuskäytäntö mukaan lukien, ja muita asiaankuuluvia tietoja, kuten aiheeseen liittyviä osia EU:n oikeusalan tulostaulusta ja talouspolitiikan EU-ohjausjakson maaraporteista. Kertomuksessa voitaisiin myös raportoida muodollisen oikeusvaltiota koskevan menettelyn etenemisestä sekä EU:n toimielinten työstä, jota ne tekevät edistääkseen oikeusvaltioon liittyviä normeja ja kehittääkseen oikeusvaltiokulttuuria. Siinä voitaisiin esitellä parhaita käytäntöjä ja yksilöidä toistuvia ongelmia. Kertomuksessa keskityttäisiin asioihin, joilla on välitöntä merkitystä oikeusvaltioperiaatteen kannalta EU:ssa. </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EU:n oikeusalan tulostaulua</w:t>
      </w:r>
      <w:r>
        <w:rPr>
          <w:rFonts w:ascii="Times New Roman" w:hAnsi="Times New Roman"/>
          <w:noProof/>
          <w:sz w:val="24"/>
        </w:rPr>
        <w:t xml:space="preserve">, josta saadaan vertailukelpoisia tietoja kansallisten oikeusjärjestelmien riippumattomuudesta, laadusta ja tehokkuudesta, voitaisiin niin ikään kehittää edelleen. Sitä voitaisiin parantaa muun muassa niin, että se kattaisi paremmin oikeusvaltioon liittyvät asiat, myös rikos- ja hallinto-oikeuden osalta.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Oikeusvaltiota koskeva kertomus voisi myös toimia tiedonlähteenä Euroopan parlamentin ja neuvoston kanssa ja niiden sisällä käytävää vuoropuhelua silmällä pitäen. </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Toimielinten välinen vuoropuhelu oikeusvaltiosta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Tarkastelukierros voisi auttaa ylläpitämään dynaamista keskustelua ja parantamaan edelleen välineitä, joilla oikeusvaltiota voidaan lujittaa. Se voisi edistää merkittävällä tavalla </w:t>
      </w:r>
      <w:r>
        <w:rPr>
          <w:rFonts w:ascii="Times New Roman" w:hAnsi="Times New Roman"/>
          <w:b/>
          <w:noProof/>
          <w:sz w:val="24"/>
        </w:rPr>
        <w:t>Euroopan parlamentin</w:t>
      </w:r>
      <w:r>
        <w:rPr>
          <w:rFonts w:ascii="Times New Roman" w:hAnsi="Times New Roman"/>
          <w:noProof/>
          <w:sz w:val="24"/>
        </w:rPr>
        <w:t xml:space="preserve"> ja </w:t>
      </w:r>
      <w:r>
        <w:rPr>
          <w:rFonts w:ascii="Times New Roman" w:hAnsi="Times New Roman"/>
          <w:b/>
          <w:noProof/>
          <w:sz w:val="24"/>
        </w:rPr>
        <w:t>neuvoston</w:t>
      </w:r>
      <w:r>
        <w:rPr>
          <w:rFonts w:ascii="Times New Roman" w:hAnsi="Times New Roman"/>
          <w:noProof/>
          <w:sz w:val="24"/>
        </w:rPr>
        <w:t xml:space="preserve"> työtä, ihannetapauksessa osana toimielinten välistä säännöllistä ja johdonmukaista yhteistyötä.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Euroopan parlamentti ja neuvosto voisivat hyödyntää komission vuosittain oikeusvaltioperiaatteesta antamaa kertomusta omissa keskusteluissaan. Neuvostossa tarkastelukierroksen yhteydessä saatuja tietoja voitaisiin käyttää esimerkiksi keskusteltaessa oikeusvaltioperiaatteesta tai laadittaessa sitä koskevia päätelmiä. Tässä yhteydessä komissio pitää tervetulleena keskustelua neuvoston lähestymistavasta oikeusvaltioperiaatteeseen. Se on tarkoitus käydä Suomen puheenjohtajakaudella vuoden 2019 jälkipuoliskolla, ja se voisi tuoda synergiaetuja yhdessä vertaisarviointijärjestelmästä parhaillaan käytävien keskustelujen kanssa. Euroopan parlamentissa ja neuvostossa voitaisiin keskustella myös vuosittain laadittavasta oikeusvaltioperiaatetta koskevasta kertomuksesta. Toimielinten työ tuottaa parhaan tuloksen, jos se on yhteinen prosessi, jonka pohjalta eri toimielimet voivat myös toteuttaa omia jatkotoimiaan. Myös muut EU:n toimielimet, kuten talous- ja sosiaalikomitea ja alueiden komitea, voisivat antaa tähän panoksensa.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Komissio suhtautuu myönteisesti yhteistyön tiivistämiseen Euroopan parlamentin, neuvoston ja jäsenvaltioiden kanssa tulevina kuukausina eikä sulje pois mitään perussopimuksissa määrättyä mahdollisuutta parantaa kansallisten järjestelmien keskinäistä tuntemusta. Perussopimusten valvojana komission on kuitenkin myös säilytettävä riippumattomuutensa sekä omien arviointiensa sisällön että niiden ajoituksen osalta. Oikeusvaltioperiaatteesta käytävässä keskustelussa on toistuvasti otettu esiin ajatus komission tai EU:n toimielinten ulkopuolisten riippumattomien asiantuntijoiden paneelista, jonka tehtävänä olisi tarjota asiantuntemusta ja puolueettomia arvioita oikeusvaltioperiaatteeseen liittyvistä haasteista. Toisaalta on esitetty myös erityisen uuden viraston perustamista. Tällaisiin menettelytapoihin liittyy kuitenkin erilaisia ongelmia, jotka koskevat legitimiteettiä, panosten tasapainoa ja tulosvastuuta. Vaikka komissio käyttää jo nyt – ja myös jatkossa – kaikkia legitiimejä tietolähteitä ja asiantuntemusta ja tarkistaa ristiin eri lähteistä saamiaan tietoja, ulkoinen asiantuntemus ei voi korvata komission itsensä tekemää arviointia varsinkaan silloin, kun komission päätelmien perusteella voidaan antaa säädöksiä, joilla on oikeudellisia ja taloudellisia seurauksia ja jotka voidaan riitauttaa unionin tuomioistuimessa. Myöskään Euroopan parlamentti tai neuvosto ei voi luovuttaa päätösvaltaa ulkopuolisille elimille. Toimielinten toimivalta ja vastuuvelvollisuus, sellaisina kuin ne on vahvistettu perussopimuksissa määrätyn toimielinten välisen tasapainon puitteissa, on säilytettävä.</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Lisäksi komissio kehottaa </w:t>
      </w:r>
      <w:r>
        <w:rPr>
          <w:rFonts w:ascii="Times New Roman" w:hAnsi="Times New Roman"/>
          <w:b/>
          <w:noProof/>
          <w:sz w:val="24"/>
        </w:rPr>
        <w:t>Euroopan tason poliittisia puolueita</w:t>
      </w:r>
      <w:r>
        <w:rPr>
          <w:rFonts w:ascii="Times New Roman" w:hAnsi="Times New Roman"/>
          <w:noProof/>
          <w:sz w:val="24"/>
        </w:rPr>
        <w:t xml:space="preserve"> varmistamaan, että niiden kansalliset jäsenet ottavat asianmukaisesti huomioon oikeusvaltioperiaatteen noudattamisen ja toteuttavat sen myötä tarvittavat toimet puolueidensa yleiseurooppalaisissa ohjelmissa. Euroopan tason poliittisten puolueiden ja säätiöiden perussäännöstä ja rahoituksesta annetussa asetuksessa (EY) N:o 1141/2014</w:t>
      </w:r>
      <w:r>
        <w:rPr>
          <w:rFonts w:ascii="Times New Roman" w:hAnsi="Times New Roman"/>
          <w:noProof/>
          <w:sz w:val="24"/>
          <w:vertAlign w:val="superscript"/>
        </w:rPr>
        <w:footnoteReference w:id="42"/>
      </w:r>
      <w:r>
        <w:rPr>
          <w:rFonts w:ascii="Times New Roman" w:hAnsi="Times New Roman"/>
          <w:noProof/>
          <w:sz w:val="24"/>
        </w:rPr>
        <w:t xml:space="preserve"> edellytetään, että puolueet noudattavat erityisesti ohjelmassaan ja toiminnassaan unionin perustana olevia arvoja, sellaisina kuin ne on ilmaistu SEU-sopimuksen 2 artiklassa.</w:t>
      </w:r>
      <w:r>
        <w:rPr>
          <w:rFonts w:ascii="Times New Roman" w:hAnsi="Times New Roman"/>
          <w:noProof/>
          <w:sz w:val="24"/>
          <w:vertAlign w:val="superscript"/>
        </w:rPr>
        <w:footnoteReference w:id="43"/>
      </w:r>
      <w:r>
        <w:rPr>
          <w:rFonts w:ascii="Times New Roman" w:hAnsi="Times New Roman"/>
          <w:noProof/>
          <w:sz w:val="24"/>
        </w:rPr>
        <w:t xml:space="preserve"> Jos komissiolla on syytä uskoa, ettei näiden arvojen kunnioittamisesta ole varmuutta, se voisi pyytää Euroopan tason poliittisista puolueista ja Euroopan tason poliittisista säätiöistä vastaavaa viranomaista tarkistamaan, onko asetuksessa säädettyjä edellytyksiä noudatettu.</w:t>
      </w:r>
      <w:r>
        <w:rPr>
          <w:rFonts w:ascii="Times New Roman" w:hAnsi="Times New Roman"/>
          <w:noProof/>
          <w:sz w:val="24"/>
          <w:vertAlign w:val="superscript"/>
        </w:rPr>
        <w:footnoteReference w:id="44"/>
      </w:r>
      <w:r>
        <w:rPr>
          <w:rFonts w:ascii="Times New Roman" w:hAnsi="Times New Roman"/>
          <w:noProof/>
          <w:sz w:val="24"/>
        </w:rPr>
        <w:t xml:space="preserve"> Jos valvontaviranomainen katsoo, että näitä edellytyksiä on rikottu selvästi ja vakavasti, kyseinen puolue tai säätiö voitaisiin poistaa rekisteristä.</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trPr>
          <w:trHeight w:val="425"/>
        </w:trPr>
        <w:tc>
          <w:tcPr>
            <w:tcW w:w="8925" w:type="dxa"/>
          </w:tcPr>
          <w:p>
            <w:pPr>
              <w:spacing w:after="120" w:line="240" w:lineRule="auto"/>
              <w:jc w:val="both"/>
              <w:rPr>
                <w:rFonts w:ascii="Times New Roman" w:hAnsi="Times New Roman" w:cs="Times New Roman"/>
                <w:noProof/>
                <w:sz w:val="24"/>
                <w:szCs w:val="24"/>
              </w:rPr>
            </w:pPr>
            <w:r>
              <w:rPr>
                <w:rFonts w:ascii="Times New Roman" w:hAnsi="Times New Roman"/>
                <w:noProof/>
                <w:sz w:val="24"/>
              </w:rPr>
              <w:t>Komissio aikoo</w:t>
            </w:r>
          </w:p>
          <w:p>
            <w:pPr>
              <w:pStyle w:val="ListParagraph"/>
              <w:numPr>
                <w:ilvl w:val="0"/>
                <w:numId w:val="17"/>
              </w:num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ottaa käyttöön oikeusvaltioperiaatetta koskevan tarkastelukierroksen, jotta voidaan seurata oikeusvaltioperiaatteen noudattamista jäsenvaltioissa. laatia tätä prosessia tukeakseen vuosittain oikeusvaltioperiaatetta koskevan kertomuksen, kehittää edelleen EU:n oikeusalan tulostaulua ja vahvistaa vuoropuhelua muiden EU:n toimielinten, jäsenvaltioiden ja sidosryhmien kanssa. </w:t>
            </w:r>
          </w:p>
          <w:p>
            <w:pPr>
              <w:pStyle w:val="ListParagraph"/>
              <w:numPr>
                <w:ilvl w:val="0"/>
                <w:numId w:val="17"/>
              </w:num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käynnistää kaikkien jäsenvaltioiden kanssa vuoropuhelun oikeusvaltioperiaatteeseen liittyvistä aiheista muun muassa yhteyshenkilöiden verkoston avulla. </w:t>
            </w:r>
          </w:p>
          <w:p>
            <w:pPr>
              <w:pStyle w:val="ListParagraph"/>
              <w:spacing w:after="240" w:line="240" w:lineRule="auto"/>
              <w:ind w:left="360"/>
              <w:jc w:val="both"/>
              <w:rPr>
                <w:rFonts w:ascii="Times New Roman" w:hAnsi="Times New Roman" w:cs="Times New Roman"/>
                <w:noProof/>
                <w:sz w:val="24"/>
                <w:szCs w:val="24"/>
              </w:rPr>
            </w:pPr>
          </w:p>
          <w:p>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Komissio kehottaa </w:t>
            </w:r>
          </w:p>
          <w:p>
            <w:pPr>
              <w:pStyle w:val="ListParagraph"/>
              <w:numPr>
                <w:ilvl w:val="0"/>
                <w:numId w:val="16"/>
              </w:numPr>
              <w:snapToGrid w:val="0"/>
              <w:spacing w:after="240" w:line="240" w:lineRule="auto"/>
              <w:ind w:left="357" w:hanging="357"/>
              <w:jc w:val="both"/>
              <w:rPr>
                <w:rFonts w:ascii="Times New Roman" w:hAnsi="Times New Roman" w:cs="Times New Roman"/>
                <w:noProof/>
                <w:sz w:val="24"/>
                <w:szCs w:val="24"/>
              </w:rPr>
            </w:pPr>
            <w:r>
              <w:rPr>
                <w:rFonts w:ascii="Times New Roman" w:hAnsi="Times New Roman"/>
                <w:noProof/>
                <w:sz w:val="24"/>
              </w:rPr>
              <w:t>jäsenvaltioita nimeämään kansalliset yhteysviranomaiset oikeusvaltiokysymyksiä koskevaa vuoropuhelua ja tietojenvaihtoa varten.</w:t>
            </w:r>
          </w:p>
          <w:p>
            <w:pPr>
              <w:pStyle w:val="ListParagraph"/>
              <w:numPr>
                <w:ilvl w:val="0"/>
                <w:numId w:val="18"/>
              </w:numPr>
              <w:spacing w:after="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Euroopan parlamenttia ja neuvostoa varmistamaan jatkotoimien toteuttamisen komission vuotuisen oikeusvaltioperiaatetta koskevan kertomuksen pohjalta ja kehittämään yhdessä komission kanssa yhdennettyä toimintatapaa, jotta toimet, joita toimielimet toteuttavat oikeusvaltioon liittyvien ongelmien varhaiseksi havaitsemiseksi ja ratkaisemiseksi, voidaan yhdentää johdonmukaisella tavalla.</w:t>
            </w:r>
          </w:p>
          <w:p>
            <w:pPr>
              <w:pStyle w:val="ListParagraph"/>
              <w:keepNext/>
              <w:numPr>
                <w:ilvl w:val="0"/>
                <w:numId w:val="18"/>
              </w:numPr>
              <w:spacing w:after="24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Euroopan tason poliittisia puolueita varmistamaan, että niiden kansalliset jäsenet kunnioittavat oikeusvaltioperiaatetta.</w:t>
            </w:r>
          </w:p>
        </w:tc>
      </w:tr>
    </w:tbl>
    <w:p>
      <w:pPr>
        <w:spacing w:before="240" w:after="120" w:line="240" w:lineRule="auto"/>
        <w:jc w:val="both"/>
        <w:rPr>
          <w:rFonts w:ascii="Times New Roman" w:eastAsia="Calibri" w:hAnsi="Times New Roman" w:cs="Times New Roman"/>
          <w:b/>
          <w:i/>
          <w:noProof/>
          <w:sz w:val="24"/>
          <w:szCs w:val="24"/>
        </w:rPr>
      </w:pPr>
      <w:r>
        <w:rPr>
          <w:rFonts w:ascii="Times New Roman" w:hAnsi="Times New Roman"/>
          <w:b/>
          <w:i/>
          <w:noProof/>
          <w:sz w:val="24"/>
        </w:rPr>
        <w:t>Reagointi: Toiminta EU:n tasolla kansallisten mekanismien pettäessä</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Oikeusvaltion edistämiseen ja ongelmien ennaltaehkäisyyn perustuvalla lähestymistavalla voidaan vahvistaa EU:ta ja auttaa torjumaan oikeusvaltioon kohdistuvia vakavia ja pysyviä haasteita tulevaisuudessa. Tavoitteena on, että tarve puuttua ongelmiin EU:n tasolla vähenisi huomattavasti. Jos kuitenkin vaikuttaa siltä, että jossakin jäsenvaltiossa ei pystytä puuttumaan oikeusvaltioon kohdistuviin uhkiin kansallisilla oikeusvaltiotakeilla, EU:n toimielimet ja jäsenvaltiot toteuttavat yhdessä toimia tilanteen korjaamiseksi. Unionin tuomioistuin on vahvistanut tämän toimintatavan.</w:t>
      </w:r>
    </w:p>
    <w:p>
      <w:pPr>
        <w:spacing w:after="240" w:line="240" w:lineRule="auto"/>
        <w:jc w:val="both"/>
        <w:rPr>
          <w:rFonts w:ascii="Times New Roman" w:eastAsia="Calibri" w:hAnsi="Times New Roman" w:cs="Times New Roman"/>
          <w:noProof/>
          <w:sz w:val="24"/>
          <w:szCs w:val="24"/>
        </w:rPr>
      </w:pPr>
      <w:r>
        <w:rPr>
          <w:rFonts w:ascii="Times New Roman" w:hAnsi="Times New Roman"/>
          <w:b/>
          <w:noProof/>
          <w:sz w:val="24"/>
        </w:rPr>
        <w:t>Unionin tuomioistuin</w:t>
      </w:r>
      <w:r>
        <w:rPr>
          <w:rFonts w:ascii="Times New Roman" w:hAnsi="Times New Roman"/>
          <w:noProof/>
          <w:sz w:val="24"/>
        </w:rPr>
        <w:t xml:space="preserve"> on viime aikoina selventänyt rikkomusmenettelyihin ja ennakkoratkaisupäätöksiin liittyvissä tuomioissa vaatimuksia, jotka johtuvat oikeusvaltioperiaatetta ja erityisesti oikeuslaitoksen riippumattomuutta koskevasta EU:n lainsäädännöstä.</w:t>
      </w:r>
      <w:r>
        <w:rPr>
          <w:rFonts w:ascii="Times New Roman" w:hAnsi="Times New Roman"/>
          <w:noProof/>
          <w:sz w:val="24"/>
          <w:vertAlign w:val="superscript"/>
        </w:rPr>
        <w:footnoteReference w:id="45"/>
      </w:r>
      <w:r>
        <w:rPr>
          <w:rFonts w:ascii="Times New Roman" w:hAnsi="Times New Roman"/>
          <w:noProof/>
          <w:sz w:val="24"/>
        </w:rPr>
        <w:t xml:space="preserve"> Tuomioistuin on toistuvasti vahvistanut oikeuslaitoksen riippumattomuuden ja oikeusvaltioperiaatteen noudattamisen merkityksen EU:n moitteettoman toiminnan kannalta: se on määrännyt keskeytettäväksi sellaisten kansallisten lakien soveltamisen, jotka komission arvion mukaan vaikuttavat oikeuslaitoksen riippumattomuuteen. Tuomioistuin myös totesi, että jäsenvaltioiden on järjestettävä lainkäyttö EU:n oikeuteen perustuvia velvoitteitaan noudattaen. Nämä päätökset ovat täydentäneet merkittävällä tavalla EU:n tasolla käynnissä olevia oikeusvaltiota koskevia menettelyjä, ja niillä on suuri merkitys näiden ongelmien ratkaisemisessa. Lisäksi unionin tuomioistuimen kehittyvässä oikeuskäytännössä korostetaan sitä, miten oikeusvaltioon liittyvät systemaattiset ongelmat voivat vaikuttaa EU:n rahoitukseen.</w:t>
      </w:r>
      <w:r>
        <w:rPr>
          <w:rFonts w:ascii="Times New Roman" w:hAnsi="Times New Roman"/>
          <w:noProof/>
          <w:sz w:val="24"/>
          <w:vertAlign w:val="superscript"/>
        </w:rPr>
        <w:footnoteReference w:id="46"/>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Komissio jatkaa tämän oikeuskäytännön kehittämistä. Se aikoo saattaa unionin tuomioistuimen käsiteltäväksi oikeusvaltioon liittyvät ongelmat, jotka vaikuttavat EU:n lainsäädännön soveltamiseen, jos ongelmia ei ole saatu ratkaistua kansallisen valvontajärjestelmän avulla. Komissio soveltaa oikeusvaltioperiaatetta koskeviin rikkomusmenettelyihin myös jatkossa strategista lähestymistapaansa nykyisten täytäntöönpanotoimiensa</w:t>
      </w:r>
      <w:r>
        <w:rPr>
          <w:rFonts w:ascii="Times New Roman" w:hAnsi="Times New Roman"/>
          <w:noProof/>
          <w:sz w:val="24"/>
          <w:vertAlign w:val="superscript"/>
        </w:rPr>
        <w:footnoteReference w:id="47"/>
      </w:r>
      <w:r>
        <w:rPr>
          <w:rFonts w:ascii="Times New Roman" w:hAnsi="Times New Roman"/>
          <w:noProof/>
          <w:sz w:val="24"/>
        </w:rPr>
        <w:t xml:space="preserve"> ja unionin tuomioistuimen kehittyvän oikeuskäytännön pohjalta pyytämällä tarvittaessa nopeutettuja menettelyjä ja välitoimia. Komissio aikoo myös aktiivisesti edistää tuomioistuimen oikeuskäytännön puitteissa laadittuja normeja muun muassa kokoamalla yhteen asiaa koskevat tuomioistuimen havainnot.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Kuten huhtikuun tiedonannossa ja sen perusteella esitetyissä kannanotoissa korostetaan, nopea toiminta on olennaisen tärkeää, jos käsillä on mahdollinen oikeusvaltioperiaatteen noudattamiseen liittyvä kriisi. Monet oikeusvaltioperiaatteen noudattamiseen liittyvät haasteet ovat aikasensitiivisiä. Mitä kauemmin niiden ratkaiseminen kestää, sitä suurempi on riski kriisin syvenemisestä ja sitä vaikeammaksi käy kielteisten vaikutusten korjaaminen sekä jäsenvaltiossa että EU:n tasolla. Sen vuoksi on tärkeää, että EU:n toimielimet toimivat nopeasti ja soveltavat johdonmukaisempaa ja yhtenäisempää lähestymistapaa ja että erityisesti oikeusvaltiotoimintakehyksen</w:t>
      </w:r>
      <w:r>
        <w:rPr>
          <w:rStyle w:val="FootnoteReference"/>
          <w:rFonts w:ascii="Times New Roman" w:hAnsi="Times New Roman"/>
          <w:noProof/>
          <w:sz w:val="24"/>
        </w:rPr>
        <w:footnoteReference w:id="48"/>
      </w:r>
      <w:r>
        <w:rPr>
          <w:rFonts w:ascii="Times New Roman" w:hAnsi="Times New Roman"/>
          <w:noProof/>
          <w:sz w:val="24"/>
        </w:rPr>
        <w:t xml:space="preserve"> ja SEU-sopimuksen 7 artiklan mukaiset viralliset menettelyt ja niihin liittyvät määräajat ovat mahdollisimman selkeitä. </w:t>
      </w:r>
    </w:p>
    <w:p>
      <w:pPr>
        <w:spacing w:line="240" w:lineRule="auto"/>
        <w:jc w:val="both"/>
        <w:rPr>
          <w:rFonts w:ascii="Times New Roman" w:eastAsia="Calibri" w:hAnsi="Times New Roman" w:cs="Times New Roman"/>
          <w:noProof/>
          <w:sz w:val="24"/>
          <w:szCs w:val="24"/>
        </w:rPr>
      </w:pPr>
      <w:r>
        <w:rPr>
          <w:rFonts w:ascii="Times New Roman" w:hAnsi="Times New Roman"/>
          <w:b/>
          <w:noProof/>
          <w:sz w:val="24"/>
        </w:rPr>
        <w:t>SEU-sopimuksen 7 artiklan</w:t>
      </w:r>
      <w:r>
        <w:rPr>
          <w:rFonts w:ascii="Times New Roman" w:hAnsi="Times New Roman"/>
          <w:noProof/>
          <w:sz w:val="24"/>
        </w:rPr>
        <w:t xml:space="preserve"> mukaan toimielinten olisi tehtävä yhteistyötä, jotta voidaan lisätä niiden välisen päätöksenteon kollektiivista luonnetta. Komissio pitää tervetulleena neuvoston aikomusta sopia uusista menettelyistä 7 artiklan mukaisia kuulemisia varten. Tämä on tärkeä askel menettelyjen tehostamiseksi. Neuvoston olisi erityisesti pohdittava, voitaisiinko yleisten asiain neuvostossa käytäviä keskusteluja valmistella paremmin teknisellä tasolla neuvoston työryhmissä. Voisi myös olla hyvä parantaa päätöksentekoon sisältyviä institutionaalisia vaiheita selkeyttämällä menettelysääntöjä. Toimielinten välisen tasapainon varmistamiseksi Euroopan parlamentille olisi annettava mahdollisuus esittää kantansa menettelyissä, jotka se on itse pannut vireille. Lisäksi voitaisiin harkita Euroopan neuvoston elinten tai muiden ulkopuolisten asiantuntijoiden tapauskohtaista osallistumista.</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Komissio pohtii myös, miten muut toimielimet voitaisiin ottaa tiiviimmin mukaan </w:t>
      </w:r>
      <w:r>
        <w:rPr>
          <w:rFonts w:ascii="Times New Roman" w:hAnsi="Times New Roman"/>
          <w:b/>
          <w:noProof/>
          <w:sz w:val="24"/>
        </w:rPr>
        <w:t>vuoden 2014 oikeusvaltiotoimintakehykseen</w:t>
      </w:r>
      <w:r>
        <w:rPr>
          <w:rFonts w:ascii="Times New Roman" w:hAnsi="Times New Roman"/>
          <w:noProof/>
          <w:sz w:val="24"/>
        </w:rPr>
        <w:t xml:space="preserve"> perustuvan menettelyn alussa, ottaen kuitenkin samalla huomioon vaatimus asianomaisen jäsenvaltion kanssa käytävän vuoropuhelun luottamuksellisuudesta.</w:t>
      </w:r>
      <w:r>
        <w:rPr>
          <w:rStyle w:val="FootnoteReference"/>
          <w:rFonts w:ascii="Times New Roman" w:hAnsi="Times New Roman"/>
          <w:noProof/>
          <w:sz w:val="24"/>
        </w:rPr>
        <w:footnoteReference w:id="49"/>
      </w:r>
      <w:r>
        <w:rPr>
          <w:rFonts w:ascii="Times New Roman" w:hAnsi="Times New Roman"/>
          <w:noProof/>
          <w:sz w:val="24"/>
        </w:rPr>
        <w:t xml:space="preserve"> Tärkeimpänä tavoitteena olisi aina oltava ratkaisujen löytäminen mahdollisimman varhaisessa vaiheessa. Jos tämä ei onnistu, ratkaisun löytämistä voi helpottaa sen varmistaminen, että Euroopan parlamentti ja neuvosto ovat kaikilta osin ajan tasalla ja voivat esittää tietoon perustuvia näkemyksiään ennen kuin asia etenee kriittiseen vaiheeseen. Tämä on johdonmukaista sen kanssa, että toimielimet tarkastelevat oikeusvaltioperiaatetta entistä tiiviimmän yhteistyön pohjalta.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Olennaista on jatkuva objektiivinen tilannearvio, joka perustuu vankkaan asiantuntemukseen ja asiaankuuluviin tietoihin. Prosessin on myös jatkossa perustuttava julkisiin ja tunnustettuihin oikeusvaltionormeihin. Arvioinnissa ja vuoropuhelussa olisi otettava huomioon kaikki käytettävissä olevat </w:t>
      </w:r>
      <w:r>
        <w:rPr>
          <w:rFonts w:ascii="Times New Roman" w:hAnsi="Times New Roman"/>
          <w:b/>
          <w:noProof/>
          <w:sz w:val="24"/>
        </w:rPr>
        <w:t>asiantuntemuksen</w:t>
      </w:r>
      <w:r>
        <w:rPr>
          <w:rFonts w:ascii="Times New Roman" w:hAnsi="Times New Roman"/>
          <w:noProof/>
          <w:sz w:val="24"/>
        </w:rPr>
        <w:t xml:space="preserve"> lähteet, ja komission on säilytettävä itsenäisyytensä ja arviointinsa riippumattomuus sille perussopimusten valvojana kuuluvan aseman mukaisesti.</w:t>
      </w:r>
      <w:r>
        <w:rPr>
          <w:rFonts w:ascii="Times New Roman" w:hAnsi="Times New Roman"/>
          <w:noProof/>
          <w:sz w:val="24"/>
          <w:vertAlign w:val="superscript"/>
        </w:rPr>
        <w:footnoteReference w:id="50"/>
      </w:r>
      <w:r>
        <w:rPr>
          <w:rFonts w:ascii="Times New Roman" w:hAnsi="Times New Roman"/>
          <w:noProof/>
          <w:sz w:val="24"/>
        </w:rPr>
        <w:t xml:space="preserve"> Oikeusvaltiomenettelyn kohteeksi joutunut jäsenvaltio voi vedota Euroopan neuvoston elinten tai muiden riippumattomien elinten asiantuntemukseen paitsi keinona ratkaista asia myös osoittaakseen vilpitöntä mieltä ja helpottaakseen rakentavaa vuoropuhelua.</w:t>
      </w:r>
      <w:r>
        <w:rPr>
          <w:rStyle w:val="FootnoteReference"/>
          <w:rFonts w:ascii="Times New Roman" w:hAnsi="Times New Roman"/>
          <w:noProof/>
          <w:sz w:val="24"/>
        </w:rPr>
        <w:footnoteReference w:id="51"/>
      </w:r>
      <w:r>
        <w:rPr>
          <w:rFonts w:ascii="Times New Roman" w:hAnsi="Times New Roman"/>
          <w:noProof/>
          <w:sz w:val="24"/>
        </w:rPr>
        <w:t xml:space="preserve"> Tällaisilta elimiltä voidaan pyytää lausuntoa myös silloin kun jonkin kysymyksen arviointiin ei ole olemassa valmiiksi selkeästi määriteltyjä normeja.</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Keskeistä oikeusvaltioperiaatteeseen sovellettavassa, vilpittömän yhteistyön henkeen perustuvassa EU:n tehokkaassa lähestymistavassa on varmistaa nopeasti </w:t>
      </w:r>
      <w:r>
        <w:rPr>
          <w:rFonts w:ascii="Times New Roman" w:hAnsi="Times New Roman"/>
          <w:b/>
          <w:noProof/>
          <w:sz w:val="24"/>
        </w:rPr>
        <w:t>jännitteiden lieventäminen ja mahdollisuus lopettaa virallinen oikeusvaltiomenettely</w:t>
      </w:r>
      <w:r>
        <w:rPr>
          <w:rFonts w:ascii="Times New Roman" w:hAnsi="Times New Roman"/>
          <w:noProof/>
          <w:sz w:val="24"/>
        </w:rPr>
        <w:t xml:space="preserve"> heti, kun asianomainen jäsenvaltio on toteuttanut tarvittavat toimenpiteet oikeusvaltioperiaatteen noudattamiseksi. EU:n ja muiden jäsenvaltioiden on saatava riittävät takeet siitä, että oikeusvaltioperiaate on palautettu kestävälle pohjalle. Tätä varten ilmoitukseen menettelyn lopettamisesta voitaisiin yhdistää komission kyseiselle jäsenvaltiolle antama tuki sen varmistamiseksi, että sitoumukset pannaan tuloksellisesti täytäntöön ja että ne myös pidetään voimassa, mahdollisesti erityisen seurannan avulla. Samanlaista seurantaa voitaisiin käyttää myös erityisten prosessien, kuten yhteistyö- ja seurantamekanismin, päätyttyä.</w:t>
      </w:r>
      <w:r>
        <w:rPr>
          <w:rStyle w:val="FootnoteReference"/>
          <w:rFonts w:ascii="Times New Roman" w:hAnsi="Times New Roman"/>
          <w:noProof/>
          <w:sz w:val="24"/>
        </w:rPr>
        <w:footnoteReference w:id="52"/>
      </w:r>
      <w:r>
        <w:rPr>
          <w:rFonts w:ascii="Times New Roman" w:hAnsi="Times New Roman"/>
          <w:noProof/>
          <w:sz w:val="24"/>
        </w:rPr>
        <w:t xml:space="preserv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Oikeusvaltiota koskevien virallisten menettelyjen ohella saattaa olla tarpeen toteuttaa toimia tietyillä EU:n toiminnan aloilla, joihin oikeusvaltioperiaatteen noudattamisessa jäsenvaltioissa ilmenevät puutteet saattavat vaikuttaa. Unionin tuomioistuin on viimeaikaisissa tuomioissaan korostanut esimerkiksi oikeuslaitoksen riippumattomuuteen kohdistuvien yleisten puutteiden vaikutusta keskinäiseen luottamukseen, johon vapauden, turvallisuuden ja oikeuden alueen välineet perustuvat.</w:t>
      </w:r>
      <w:r>
        <w:rPr>
          <w:rStyle w:val="FootnoteReference"/>
          <w:rFonts w:ascii="Times New Roman" w:hAnsi="Times New Roman"/>
          <w:noProof/>
          <w:sz w:val="24"/>
        </w:rPr>
        <w:footnoteReference w:id="53"/>
      </w:r>
      <w:r>
        <w:rPr>
          <w:rFonts w:ascii="Times New Roman" w:hAnsi="Times New Roman"/>
          <w:noProof/>
          <w:sz w:val="24"/>
        </w:rPr>
        <w:t xml:space="preserv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Tähän EU:n toimintaa suojaavaan lähestymistapaan perustuu myös komission vuonna 2018 ehdottama asetus, jolla varmistetaan EU:n talousarvion suojaaminen tapauksissa, joissa oikeusvaltioperiaatteen noudattamiseen jäsenvaltioissa kohdistuu yleisiä puutteita.</w:t>
      </w:r>
      <w:r>
        <w:rPr>
          <w:rStyle w:val="FootnoteReference"/>
          <w:rFonts w:ascii="Times New Roman" w:hAnsi="Times New Roman"/>
          <w:noProof/>
          <w:sz w:val="24"/>
        </w:rPr>
        <w:footnoteReference w:id="54"/>
      </w:r>
      <w:r>
        <w:rPr>
          <w:rFonts w:ascii="Times New Roman" w:hAnsi="Times New Roman"/>
          <w:noProof/>
          <w:sz w:val="24"/>
        </w:rPr>
        <w:t xml:space="preserve"> Tällaista EU:n taloudellisten etujen suojaamisessa noudatettavaa lähestymistapaa voitaisiin tarvita myös muilla EU:n politiikan aloilla, jotta voidaan välttää EU:n lainsäädännön tai politiikkojen täytäntöönpanoon liittyviä erityisiä riskejä tai poistaa niitä. Komissio aikoo selvittää, tarvitaanko lisätoimenpiteitä, joilla voitaisiin puuttua mahdollisten oikeusvaltioperiaatteen noudattamiseen liittyvien jatkuvien ongelmien vaikutuksiin muilla EU:n politiikan aloilla.</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EU:n taloudellisten etujen suojaamista voitaisiin jo edistää operatiivisilla parannuksilla. Komissio tarkastelee uudessa komission petostentorjuntastrategiassa (CAFS)</w:t>
      </w:r>
      <w:r>
        <w:rPr>
          <w:rStyle w:val="FootnoteReference"/>
          <w:rFonts w:ascii="Times New Roman" w:hAnsi="Times New Roman"/>
          <w:noProof/>
          <w:sz w:val="24"/>
        </w:rPr>
        <w:footnoteReference w:id="55"/>
      </w:r>
      <w:r>
        <w:rPr>
          <w:rFonts w:ascii="Times New Roman" w:hAnsi="Times New Roman"/>
          <w:noProof/>
          <w:sz w:val="24"/>
        </w:rPr>
        <w:t xml:space="preserve"> kaavailtujen toimien pohjalta keinoja perustaa tietojen analysointitoiminto, johon koottaisiin eri lähteistä peräisin olevat tiedot jäsenvaltioissa käytössä olevista järjestelmistä, joilla suojataan EU:n taloudellisia etuja. Tämä voisi auttaa tunnistamaan ongelmia, joita liittyy EU:n taloudellisiin etuihin kohdistuvien riskien hallintaan, ja sen avulla voitaisiin mahdollisesti antaa varoituksia silloin, kun ilmenee ongelmallisia toimintamalleja, kuten Euroopan petostentorjuntaviraston (OLAF) kertomuksiin perustuvien seurantatoimien hitaus ja vähäisyys ja Euroopan syyttäjänviraston (EPPO) kanssa tulevaisuudessa tehtävään yhteistyöhön liittyvät puutteet tai riittämättömät kansallisen tason valvontarakenteet. Ajatuksena olisi puuttua ongelmiin jo varhaisessa vaiheessa ja selvittää, onko kyseessä rajallinen ongelma vai liittyykö se laajempaan kokonaisuuteen. Järjestelmällä voitaisiin tukea komission ehdotusta mekanismista, jota käytetään, kun oikeusvaltioperiaatteen noudattamiseen jäsenvaltioissa kohdistuu yleisiä puutteita, tai muita menettelyjä, joilla suojataan EU:n taloudellisia etuja.</w:t>
      </w:r>
    </w:p>
    <w:tbl>
      <w:tblPr>
        <w:tblStyle w:val="TableGrid"/>
        <w:tblW w:w="0" w:type="auto"/>
        <w:tblLook w:val="04A0" w:firstRow="1" w:lastRow="0" w:firstColumn="1" w:lastColumn="0" w:noHBand="0" w:noVBand="1"/>
      </w:tblPr>
      <w:tblGrid>
        <w:gridCol w:w="9145"/>
      </w:tblGrid>
      <w:tr>
        <w:tc>
          <w:tcPr>
            <w:tcW w:w="9145" w:type="dxa"/>
          </w:tcPr>
          <w:p>
            <w:pPr>
              <w:spacing w:before="120" w:after="120"/>
              <w:ind w:left="66"/>
              <w:jc w:val="both"/>
              <w:rPr>
                <w:rFonts w:ascii="Times New Roman" w:eastAsia="Calibri" w:hAnsi="Times New Roman" w:cs="Times New Roman"/>
                <w:noProof/>
                <w:sz w:val="24"/>
                <w:szCs w:val="24"/>
              </w:rPr>
            </w:pPr>
            <w:r>
              <w:rPr>
                <w:rFonts w:ascii="Times New Roman" w:hAnsi="Times New Roman"/>
                <w:noProof/>
                <w:sz w:val="24"/>
              </w:rPr>
              <w:t>Komissio aikoo</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käyttää täysimääräisesti toimivaltaansa perussopimusten valvojana varmistaakseen, että oikeusvaltioperiaatetta koskevia EU:n oikeuden vaatimuksia noudatetaan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noudattaa Euroopan unionin tuomioistuimen kehittyvään oikeuskäytäntöön perustuvaa strategista lähestymistapaa rikkomusmenettelyihin ja edistää tuomioistuimen oikeuskäytännössä kehitettyjä normeja muun muassa kokoamalla yhteen tuomioistuimen asiaa koskevat havainnot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pohtia, miten EU:n muita toimielimiä voitaisiin ottaa säännöllisemmin mukaan vuoden 2014 oikeusvaltiotoimintakehyksen täytäntöönpanoon</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tukea jäsenvaltioita jännitteiden lieventämisessä tai virallisen oikeusvaltiomenettelyn lopettamisessa, muun muassa jatkotoimien seurannan avulla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tutkia vuoden 2020 loppuun mennessä, edellyttävätkö vaikutukset, joita oikeusvaltioperiaatteen noudattamiseen liittyvillä jatkuvilla ongelmilla on EU:n politiikkojen täytäntöönpanoon, uusien mekanismien käyttöönottoa ehdotetun unionin talousarvion suojaamista koskevan asetuksen lisäksi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tutkia komission petostentorjuntastrategian pohjalta mahdollisuutta ottaa käyttöön tietojen analysointitoiminto, jonka avulla voitaisiin tunnistaa EU:n taloudellisten etujen suojaamiseen liittyvien riskien hallintaa koskevia ongelmia. Samalla selvitetään mahdollisuuksia antaa varoituksia, kun ongelmallisia toimintamalleja alkaa esiintyä.</w:t>
            </w:r>
          </w:p>
          <w:p>
            <w:pPr>
              <w:spacing w:before="240" w:after="120"/>
              <w:ind w:left="68"/>
              <w:jc w:val="both"/>
              <w:rPr>
                <w:rFonts w:ascii="Times New Roman" w:eastAsia="Calibri" w:hAnsi="Times New Roman" w:cs="Times New Roman"/>
                <w:noProof/>
                <w:sz w:val="24"/>
                <w:szCs w:val="24"/>
              </w:rPr>
            </w:pPr>
            <w:r>
              <w:rPr>
                <w:rFonts w:ascii="Times New Roman" w:hAnsi="Times New Roman"/>
                <w:noProof/>
                <w:sz w:val="24"/>
              </w:rPr>
              <w:t>Komissio kehottaa</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Euroopan parlamenttia ja neuvostoa tarkastelemaan SEU-sopimuksen 7 artiklan mukaisiin menettelyihin liittyvän toimielinten kollektiivisen lähestymistavan tehostamista.</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neuvostoa viemään eteenpäin tervetullutta suunnitelmaansa 7 artiklan mukaisen menettelyn sääntöjen selkeyttämiseksi ja vakiinnuttamiseksi. </w:t>
            </w:r>
          </w:p>
          <w:p>
            <w:pPr>
              <w:numPr>
                <w:ilvl w:val="0"/>
                <w:numId w:val="19"/>
              </w:numPr>
              <w:spacing w:after="120"/>
              <w:jc w:val="both"/>
              <w:rPr>
                <w:rFonts w:ascii="Times New Roman" w:eastAsia="Calibri" w:hAnsi="Times New Roman" w:cs="Times New Roman"/>
                <w:noProof/>
                <w:sz w:val="24"/>
                <w:szCs w:val="24"/>
              </w:rPr>
            </w:pPr>
            <w:r>
              <w:rPr>
                <w:rFonts w:ascii="Times New Roman" w:hAnsi="Times New Roman"/>
                <w:noProof/>
                <w:sz w:val="24"/>
              </w:rPr>
              <w:t xml:space="preserve">Euroopan parlamenttia ja neuvostoa hyväksymään nopeasti asetuksen unionin talousarvion suojaamisesta tilanteissa, joissa oikeusvaltioperiaatteen noudattamiseen jäsenvaltioissa kohdistuu yleisiä puutteita. </w:t>
            </w:r>
          </w:p>
        </w:tc>
      </w:tr>
    </w:tbl>
    <w:p>
      <w:pPr>
        <w:spacing w:before="480" w:after="240" w:line="240" w:lineRule="auto"/>
        <w:jc w:val="both"/>
        <w:rPr>
          <w:rFonts w:ascii="Times New Roman" w:eastAsia="Calibri" w:hAnsi="Times New Roman" w:cs="Times New Roman"/>
          <w:b/>
          <w:noProof/>
          <w:sz w:val="24"/>
          <w:szCs w:val="24"/>
        </w:rPr>
      </w:pPr>
      <w:r>
        <w:rPr>
          <w:rFonts w:ascii="Times New Roman" w:hAnsi="Times New Roman"/>
          <w:b/>
          <w:noProof/>
          <w:sz w:val="24"/>
        </w:rPr>
        <w:t>V.</w:t>
      </w:r>
      <w:r>
        <w:rPr>
          <w:noProof/>
        </w:rPr>
        <w:tab/>
      </w:r>
      <w:r>
        <w:rPr>
          <w:rFonts w:ascii="Times New Roman" w:hAnsi="Times New Roman"/>
          <w:b/>
          <w:noProof/>
          <w:sz w:val="24"/>
        </w:rPr>
        <w:t xml:space="preserve">PÄÄTELMÄT JA TULEVAT TOIMET </w:t>
      </w:r>
    </w:p>
    <w:p>
      <w:pPr>
        <w:spacing w:before="240"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Oikeusvaltioperiaatteen puolustaminen on kaikkien EU:n toimielinten ja kaikkien jäsenvaltioiden yhteinen tehtävä. Kaikkien osapuolten on kannettava tämä vastuu ja tehtävä oma osuutensa. Tämän tiedonannon mukaisesti toteutettavien toimien ohella komissio on sitoutunut jatkamaan keskustelua ja toteuttamaan tarvittaessa lisätoimia omien toimivaltuuksiensa puitteissa. Yhteisenä tavoitteena on oltava koordinoidun ja yhtenäisen strategisen lähestymistavan kehittäminen unionille kaikkien asiaankuuluvien toimijoiden kanssa. Tällaisen strategisen lähestymistavan keskeisiin osatekijöihin kuuluvat yhteisen oikeusvaltiokulttuurin edistäminen kaikkialla EU:ssa, kyky puuttua tehokkaasti ongelmiin varhaisessa vaiheessa ennalta ehkäisevillä toimenpiteillä ja sitoutuminen tehokkaisiin yhteisiin toimiin aina kun se on tarpeen ongelmien ratkaisemiseksi silloin, kun ehkäisevät toimenpiteet eivät riitä. </w:t>
      </w:r>
    </w:p>
    <w:p>
      <w:pPr>
        <w:spacing w:before="240"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Tässä tiedonannossa esitetään joukko sitoumuksia ja ideoita pohdittavaksi osana komission ehdottamaa toimintasuunnitelmaa. Tulevina kuukausina tarvitaan jatkuvaa seurantaa yhteistyössä muiden EU:n toimielinten, jäsenvaltioiden ja sidosryhmien kanssa. Keskustelussa on tullut esiin monenlaisia myönteisiä ideoita, joita on syytä arvioida tarkemmin ja joiden pohjalta voidaan laatia käytännön toimenpiteitä tässä tiedonannossa esitettyjen toimien lisäksi. Komissio kehottaa kaikkia sidosryhmiä osallistumaan keskusteluun ja odottaa vuoropuhelua koordinoidusta lähestymistavasta vastavalitun parlamentin ja neuvoston kanssa. </w:t>
      </w:r>
    </w:p>
    <w:p>
      <w:pPr>
        <w:spacing w:before="240"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Sillä välin komissio hoitaa edelleen tehtäväänsä perussopimusten valvojana, toteuttaa asianmukaisia ja oikeasuhteisia toimenpiteitä EU:n lainsäädännön noudattamiseksi ja aikoo investoida EU:n valmiuksien vahvistamiseen tältä osin. Tavoitteena olisi oltava vahvistaa oikeusvaltioperiaatteen noudattamista EU:ssa ja varmistaa, että tämä tavoite saavutetaan tavalla, joka kuvastaa oikeusvaltioperiaatteen ratkaisevan tärkeää merkitystä kaikille EU:n kansalaisille ja koko EU:lle.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56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1628E" w16cid:durableId="20B928B3"/>
  <w16cid:commentId w16cid:paraId="7490B13A" w16cid:durableId="20B9413C"/>
  <w16cid:commentId w16cid:paraId="550738B6" w16cid:durableId="20B88566"/>
  <w16cid:commentId w16cid:paraId="6D13D754" w16cid:durableId="20B91F15"/>
  <w16cid:commentId w16cid:paraId="6EDA85FD" w16cid:durableId="20B903DD"/>
  <w16cid:commentId w16cid:paraId="76B594E9" w16cid:durableId="20B93F30"/>
  <w16cid:commentId w16cid:paraId="28842CE5" w16cid:durableId="20B902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68962"/>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Euroopan unionista tehdyn sopimuksen, jäljempänä ’SEU-sopimus’, 2 artikla.</w:t>
      </w:r>
    </w:p>
  </w:footnote>
  <w:footnote w:id="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Oikeusvaltio vahvistetaan SEU-sopimuksen 2 artiklassa yhdeksi unionin perusarvoista, joka on yhteinen kaikille jäsenvaltioille. </w:t>
      </w:r>
    </w:p>
  </w:footnote>
  <w:footnote w:id="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SEU-sopimuksen 19 artiklassa jäsenvaltioille asetetaan velvollisuus taata tehokas oikeussuoja. Unionin tuomioistuimen mukaan ”tehokkaan tuomioistuinvalvonnan itse olemassaolo kuuluu erottamattomana osana oikeusvaltioon”, asia C-72/15, Rosneft.</w:t>
      </w:r>
    </w:p>
  </w:footnote>
  <w:footnote w:id="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Liite komission tiedonantoon Euroopan parlamentille ja neuvostolle </w:t>
      </w:r>
      <w:r>
        <w:rPr>
          <w:rFonts w:ascii="Times New Roman" w:hAnsi="Times New Roman"/>
          <w:i/>
        </w:rPr>
        <w:t>Uusi EU:n toimintakehys oikeusvaltioperiaatteen vahvistamiseksi</w:t>
      </w:r>
      <w:r>
        <w:rPr>
          <w:rFonts w:ascii="Times New Roman" w:hAnsi="Times New Roman"/>
        </w:rPr>
        <w:t>, 11.3.2014, COM(2014) 158 final, ja Euroopan unionin tuomioistuimen viimeaikainen oikeuskäytäntö: asia C-64/16, Associação Sindical dos Juízes Portugueses v. Tribunal de Contas; asia C</w:t>
      </w:r>
      <w:r>
        <w:noBreakHyphen/>
      </w:r>
      <w:r>
        <w:rPr>
          <w:rFonts w:ascii="Times New Roman" w:hAnsi="Times New Roman"/>
        </w:rPr>
        <w:t xml:space="preserve">216/18 PPU, LM; asia C-619/18, komissio v. Puola (määräys, 17.12.2018). </w:t>
      </w:r>
    </w:p>
  </w:footnote>
  <w:footnote w:id="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Tuomio 24.6.2019, asia C-619/18, komissio v. Puola.</w:t>
      </w:r>
    </w:p>
  </w:footnote>
  <w:footnote w:id="6">
    <w:p>
      <w:pPr>
        <w:pStyle w:val="FootnoteText"/>
        <w:ind w:left="426" w:hanging="340"/>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Poliittisen kehityksen ohella myös teknologian tai yhteiskunnan kehitys voi tulevina vuosina synnyttää yleisemminkin uusia oikeusvaltioon liittyviä haasteita, jotka voivat liittyä esimerkiksi tekoälyyn ja sen käyttöön herkillä osa-alueilla, kuten oikeusjärjestelmissä.</w:t>
      </w:r>
      <w:r>
        <w:t xml:space="preserve"> </w:t>
      </w:r>
    </w:p>
  </w:footnote>
  <w:footnote w:id="7">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Komission tiedonanto Euroopan parlamentille, Eurooppa-neuvostolle ja neuvostolle </w:t>
      </w:r>
      <w:r>
        <w:rPr>
          <w:rFonts w:ascii="Times New Roman" w:hAnsi="Times New Roman"/>
          <w:i/>
        </w:rPr>
        <w:t>Oikeusvaltioperiaatteen noudattamisen lujittamisesta unionissa – Tilannekatsaus ja mahdolliset jatkotoimet</w:t>
      </w:r>
      <w:r>
        <w:rPr>
          <w:rFonts w:ascii="Times New Roman" w:hAnsi="Times New Roman"/>
        </w:rPr>
        <w:t xml:space="preserve"> (COM(2019) 163 final).</w:t>
      </w:r>
    </w:p>
  </w:footnote>
  <w:footnote w:id="8">
    <w:p>
      <w:pPr>
        <w:pStyle w:val="FootnoteText"/>
        <w:ind w:left="426" w:hanging="340"/>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lang w:val="it-IT"/>
        </w:rPr>
        <w:t xml:space="preserve"> </w:t>
      </w:r>
      <w:r>
        <w:rPr>
          <w:lang w:val="it-IT"/>
        </w:rPr>
        <w:tab/>
      </w:r>
      <w:r>
        <w:rPr>
          <w:rFonts w:ascii="Times New Roman" w:hAnsi="Times New Roman"/>
          <w:lang w:val="it-IT"/>
        </w:rPr>
        <w:t>Ks. ed.</w:t>
      </w:r>
    </w:p>
  </w:footnote>
  <w:footnote w:id="9">
    <w:p>
      <w:pPr>
        <w:pStyle w:val="FootnoteText"/>
        <w:ind w:left="426" w:hanging="340"/>
        <w:rPr>
          <w:lang w:val="it-IT"/>
        </w:rPr>
      </w:pPr>
      <w:r>
        <w:rPr>
          <w:rStyle w:val="FootnoteReference"/>
          <w:rFonts w:ascii="Times New Roman" w:hAnsi="Times New Roman"/>
        </w:rPr>
        <w:footnoteRef/>
      </w:r>
      <w:r>
        <w:rPr>
          <w:rFonts w:ascii="Times New Roman" w:hAnsi="Times New Roman"/>
          <w:lang w:val="it-IT"/>
        </w:rPr>
        <w:t xml:space="preserve"> </w:t>
      </w:r>
      <w:r>
        <w:rPr>
          <w:lang w:val="it-IT"/>
        </w:rPr>
        <w:tab/>
      </w:r>
      <w:hyperlink r:id="rId1">
        <w:r>
          <w:rPr>
            <w:rStyle w:val="Hyperlink"/>
            <w:rFonts w:ascii="Times New Roman" w:hAnsi="Times New Roman"/>
            <w:lang w:val="it-IT"/>
          </w:rPr>
          <w:t>https://www.consilium.europa.eu/fi/press/press-releases/2019/06/20/a-new-strategic-agenda-2019-2024/</w:t>
        </w:r>
      </w:hyperlink>
    </w:p>
  </w:footnote>
  <w:footnote w:id="1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Euroopan parlamentti vaati lokakuussa 2016 hyväksymässään päätöslauselmassa demokratiaa, oikeusvaltiota ja perusoikeuksia koskevan unionin laajuisen valvontajärjestelmän käyttöönottoa.</w:t>
      </w:r>
    </w:p>
  </w:footnote>
  <w:footnote w:id="11">
    <w:p>
      <w:pPr>
        <w:pStyle w:val="FootnoteText"/>
        <w:ind w:left="426" w:hanging="340"/>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Ks. esimerkiksi kolmen neuvoston puheenjohtajakauden ohjelmat ajalla 1. tammikuuta 2019 – 30. kesäkuuta 2020:</w:t>
      </w:r>
      <w:r>
        <w:t xml:space="preserve"> </w:t>
      </w:r>
      <w:hyperlink r:id="rId2">
        <w:r>
          <w:rPr>
            <w:rStyle w:val="Hyperlink"/>
            <w:rFonts w:ascii="Times New Roman" w:hAnsi="Times New Roman"/>
          </w:rPr>
          <w:t>http://data.consilium.europa.eu/doc/document/ST-14518-2018-INIT/fi/pdf</w:t>
        </w:r>
      </w:hyperlink>
    </w:p>
  </w:footnote>
  <w:footnote w:id="1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Esimerkiksi neuvosto on suunnitellut tarkistavansa omaa oikeusvaltioon liittyvää vuoropuheluaan Suomen puheenjohtajakaudella syksyllä 2019. </w:t>
      </w:r>
    </w:p>
  </w:footnote>
  <w:footnote w:id="1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Yhteenveto kannanotoista on saatavilla osoitteessa </w:t>
      </w:r>
      <w:hyperlink r:id="rId3" w:anchor="stakeholder-contributions">
        <w:r>
          <w:rPr>
            <w:rStyle w:val="Hyperlink"/>
            <w:rFonts w:ascii="Times New Roman" w:hAnsi="Times New Roman"/>
          </w:rPr>
          <w:t>https://ec.europa.eu/info/policies/justice-and-fundamental-rights/effective-justice/rule-law/initiative-strengthen-rule-law-eu_en#stakeholder-contributions</w:t>
        </w:r>
      </w:hyperlink>
      <w:r>
        <w:rPr>
          <w:rFonts w:ascii="Times New Roman" w:hAnsi="Times New Roman"/>
        </w:rPr>
        <w:t xml:space="preserve"> </w:t>
      </w:r>
    </w:p>
  </w:footnote>
  <w:footnote w:id="14">
    <w:p>
      <w:pPr>
        <w:pStyle w:val="FootnoteText"/>
        <w:ind w:left="426" w:hanging="34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Erityiseurobarometri 489 – oikeusvaltioperiaate: </w:t>
      </w:r>
      <w:hyperlink r:id="rId4">
        <w:r>
          <w:rPr>
            <w:rStyle w:val="Hyperlink"/>
            <w:rFonts w:ascii="Times New Roman" w:hAnsi="Times New Roman"/>
          </w:rPr>
          <w:t>http://ec.europa.eu/commfrontoffice/publicopinion/index.cfm/survey/getsurveydetail/instruments/special/surveyky/2235</w:t>
        </w:r>
      </w:hyperlink>
    </w:p>
  </w:footnote>
  <w:footnote w:id="1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Laillisuus, oikeusvarmuus, yhdenvertaisuus lain edessä, toimivallan jako, mielivaltaisuuden kielto, seuraamukset korruptiosta ja riippumattomien tuomioistuinten antama tehokas oikeussuoja.</w:t>
      </w:r>
    </w:p>
  </w:footnote>
  <w:footnote w:id="16">
    <w:p>
      <w:pPr>
        <w:pStyle w:val="FootnoteText"/>
        <w:ind w:left="426" w:hanging="34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Asia C-506/04, Wilson.</w:t>
      </w:r>
    </w:p>
  </w:footnote>
  <w:footnote w:id="17">
    <w:p>
      <w:pPr>
        <w:pStyle w:val="FootnoteText"/>
        <w:ind w:left="426" w:hanging="34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Asia C-64/16, Associação Sindical dos Juízes Portugueses; Asia C-49/18, Escribano Vindel.</w:t>
      </w:r>
    </w:p>
  </w:footnote>
  <w:footnote w:id="18">
    <w:p>
      <w:pPr>
        <w:pStyle w:val="FootnoteText"/>
        <w:ind w:left="426" w:hanging="3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Lainkäyttöelimen kokoonpanoon ja sen jäsenten nimittämiseen ja toimikauden kestoon sekä perusteisiin, jotka koskevat jäsenten pidättymistä päätöksenteosta, jääviyttä ja erottamista, sekä tuomareita koskevaan kurinpitojärjestelmään liittyvät kysymykset: asia C-216/18 PPU, LM, ja asia C-8/19 PPU, RH.</w:t>
      </w:r>
    </w:p>
  </w:footnote>
  <w:footnote w:id="19">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Asia C-619/18 R, komissio v. Puola, määräys 17.12.2018.</w:t>
      </w:r>
    </w:p>
  </w:footnote>
  <w:footnote w:id="2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Asia C-619/18, komissio v. Puola.</w:t>
      </w:r>
    </w:p>
  </w:footnote>
  <w:footnote w:id="2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Ennakkoratkaisuja, jotka koskevat veropetoksen tai unionin varoihin vaikuttavien petosten tutkimista (ks. esim. asiat C-617/10, Åkerberg Fransson; C-105/14, Taricco; C-42/17, M.A.S.; ja C-612/15 Kolev).</w:t>
      </w:r>
    </w:p>
  </w:footnote>
  <w:footnote w:id="2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Ks. johdanto ja ongelmien ennaltaehkäisyä käsittelevä seuraava osio.</w:t>
      </w:r>
    </w:p>
  </w:footnote>
  <w:footnote w:id="2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Neuvoston suositus, annettu 22 päivänä toukokuuta 2018, yhteisten arvojen, osallistavan koulutuksen ja opetuksen eurooppalaisen ulottuvuuden edistämisestä, EUVL C 195, 7.6.2018.</w:t>
      </w:r>
    </w:p>
  </w:footnote>
  <w:footnote w:id="2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Ks. edellä jakso II.</w:t>
      </w:r>
    </w:p>
  </w:footnote>
  <w:footnote w:id="2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Komissio on ehdottanut 641 miljoonan euron rahoitusta perusoikeuksien ja arvojen ohjelman toteuttamiseen vuosina 2021–2027. </w:t>
      </w:r>
    </w:p>
  </w:footnote>
  <w:footnote w:id="26">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Komissio on ehdottanut Luova Eurooppa -ohjelman toteuttamista varten vuosiksi 2021–2027 yhteensä 1,85 miljardia euroa, johon sisältyy enintään 160 miljoonaa euroa monialaisten osa-alueiden toimiin. Ohjelman neljään painopisteeseen sisältyvät muun muassa toimet, joilla edistetään ”vapaata, monimuotoista ja moniarvoista mediaympäristöä, laadukasta journalismia ja medialukutaitoa”. Yksi tavoitteista on tarjota vakaa rahoitus tiedotusvälineiden vapautta ja moniarvoisuutta koskeville hankkeille.</w:t>
      </w:r>
    </w:p>
  </w:footnote>
  <w:footnote w:id="27">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Näitä ovat asetus (EY) N:o 1049/2001 ja alakohtainen tiedonsaanti EU:n oikeuden nojalla. Myös Euroopan ihmisoikeussopimuksessa määrätään tietyistä yleisistä kansallisista velvoitteista. </w:t>
      </w:r>
    </w:p>
  </w:footnote>
  <w:footnote w:id="28">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Näihin verkostoihin kuuluvat myös Euroopan neuvoston neuvoa-antavat elimet, kuten eurooppalaisten tuomareiden konsultatiivinen neuvosto (CCJE) ja eurooppalaisten syyttäjien konsultatiivinen neuvosto (CCPE).</w:t>
      </w:r>
    </w:p>
  </w:footnote>
  <w:footnote w:id="29">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Komissio myöntää oikeusalan ohjelman puitteissa toiminta-avustuksia tietyille eurooppalaisille oikeusalan verkostoille, jotka ovat tehneet komission kanssa kumppanuutta koskevia puitesopimuksia. Myös muut verkostot saavat rahoitusta erilaisista EU:n ohjelmista ja hankkeista. </w:t>
      </w:r>
    </w:p>
  </w:footnote>
  <w:footnote w:id="3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Demokratiaa oikeusteitse -komissio eli Venetsian komissio on Euroopan neuvoston alainen neuvoa-antava elin, joka koostuu riippumattomista perustuslakiasiantuntijoista.</w:t>
      </w:r>
    </w:p>
  </w:footnote>
  <w:footnote w:id="3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Neuvoston päätös (EU) 2019/1086, annettu 18 päivänä kesäkuuta 2019, EUVL L 171, 26.6.2019, s. 115–116. </w:t>
      </w:r>
    </w:p>
  </w:footnote>
  <w:footnote w:id="3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5">
        <w:r>
          <w:rPr>
            <w:rStyle w:val="Hyperlink"/>
            <w:rFonts w:ascii="Times New Roman" w:hAnsi="Times New Roman"/>
          </w:rPr>
          <w:t>https://www.coe.int/en/web/portal/-/eu-becomes-observer-to-anti-corruption-body-greco</w:t>
        </w:r>
      </w:hyperlink>
    </w:p>
  </w:footnote>
  <w:footnote w:id="3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Eri EU-ohjelmista myönnettiin tähän tarkoitukseen vuonna 2018 yhteensä 27,5 miljoonaa euroa maksusitoumusmäärärahoina. </w:t>
      </w:r>
    </w:p>
  </w:footnote>
  <w:footnote w:id="3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Kuten SEU-sopimuksen 6 artiklan 2 kohdassa määrätään. </w:t>
      </w:r>
    </w:p>
  </w:footnote>
  <w:footnote w:id="3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Unionin tuomioistuin totesi 18. joulukuuta 2014 antamassaan lausunnossa A-2/13, että eräät alustavan sopimusluonnoksen kohdat, joista osa on oikeudellisesti ja poliittisesti monimutkaisia, eivät ole yhdenmukaisia perussopimusten kanssa. Tästä syystä unionin on neuvoteltava liittymissopimuksen luonnokseen muutoksia, jotta unioni voi tehdä sopimuksen ja liittyä Euroopan ihmisoikeussopimukseen. Harkinta-ajan jälkeen komissio on kuullut neuvoston työryhmää mahdollisista ratkaisuista tuomioistuimen lausunnossa esitettyihin kysymyksiin. Kuulemiset ovat edenneet hyvin, ja komissio toivoo, että neuvotteluja voidaan taas pian jatkaa.</w:t>
      </w:r>
    </w:p>
  </w:footnote>
  <w:footnote w:id="36">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Ks. esimerkiksi Euroopan tason työmarkkinaosapuolten lausunto oikeusvaltioperiaatteesta, 8.5.2019.</w:t>
      </w:r>
    </w:p>
  </w:footnote>
  <w:footnote w:id="37">
    <w:p>
      <w:pPr>
        <w:pStyle w:val="FootnoteText"/>
        <w:ind w:left="426" w:hanging="340"/>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Tähän osioon kuuluisivat esimerkiksi toimet ja julkiset lausunnot, joissa hyökätään yksittäisiä tuomareita tai koko oikeuslaitosta vastaan.</w:t>
      </w:r>
    </w:p>
  </w:footnote>
  <w:footnote w:id="38">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Jäsenvaltioiden julkishallintojen ja viranomaisten tosiasiallinen täytäntöönpanokyky riippuu erityisesti seuraavista keskeisistä tekijöistä: i) täytäntöönpano- ja muutoksenhakuvaltuudet, ii) valmiuksia/resursseja koskevat vaatimukset, iii) riippumattomuusvaatimukset tarvittaessa, iv) täytäntöönpanomenettelyt, ja v) yhteistyö eri jäsenvaltioiden viranomaisten välillä.</w:t>
      </w:r>
    </w:p>
  </w:footnote>
  <w:footnote w:id="39">
    <w:p>
      <w:pPr>
        <w:pStyle w:val="FootnoteText"/>
        <w:ind w:left="425"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Venetsian komission laatima luettelo oikeusvaltion arviointiperusteista on erityisen tärkeä tähän liittyvien riskien ja heikkouksien tunnistamisessa.</w:t>
      </w:r>
    </w:p>
  </w:footnote>
  <w:footnote w:id="4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Myös Euroopan unionin tuomioistuin on tunnustanut muun muassa Euroopan neuvoston ja sen elinten kaltaisten kansainvälisten julkisoikeudellisten organisaatioiden antamien tietojen legitimiteetin ja merkityksen.</w:t>
      </w:r>
    </w:p>
  </w:footnote>
  <w:footnote w:id="4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Jäsenvaltioiden olisi nimettävä yhteysviranomaiset, jotka voisivat toimia esimerkiksi julkishallinnon tai oikeuslaitoksen yhteydessä. Vastaavia rakenteita on jo olemassa: niiden tehtävänä on tukea komission tiedonkeruuta EU:n oikeusalan tulostaulun laatimista ja jäsenvaltioiden kanssa korruption torjunnasta käytävää vuoropuhelua varten.</w:t>
      </w:r>
    </w:p>
  </w:footnote>
  <w:footnote w:id="4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Euroopan parlamentin ja neuvoston asetus (EU, Euratom) 2019/493, annettu 25 päivänä maaliskuuta 2019, asetuksen (EU, Euratom) N:o 1141/2014 muuttamisesta henkilötietojen suojaa koskevien sääntöjen rikkomuksiin liittyvän tarkastusmenettelyn osalta Euroopan parlamentin vaalien yhteydessä.</w:t>
      </w:r>
    </w:p>
  </w:footnote>
  <w:footnote w:id="4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3 artiklan c alakohta, jossa vahvistetaan puolueiden rekisteröintiedellytykset.</w:t>
      </w:r>
    </w:p>
  </w:footnote>
  <w:footnote w:id="4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Ks. 10 artiklan 3 kohta, jossa otetaan käyttöön mekanismi sen tarkistamiseksi, että rekisteröinnin edellytykset ja vaatimukset täyttyvät.</w:t>
      </w:r>
    </w:p>
  </w:footnote>
  <w:footnote w:id="4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Ks. edellä jakso III. Huomattakoon, että julkisasiamies on todennut asiassa C-619/18, komissio v. Puola, antamassaan ratkaisuehdotuksessa, että oikeudenkäyntimenettely voi olla vireillä samaan aikaan kuin vuoden 2014 oikeusvaltiotoimintakehyksen tai SEU-sopimuksen 7 artiklan mukaiset menettelyt, vaikka niillä olisi sama kohde.</w:t>
      </w:r>
    </w:p>
  </w:footnote>
  <w:footnote w:id="46">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Tämä tarkoittaa myös ennakkoratkaisumenettelyjä, jotka voivat koskea myös SEUT-sopimuksen 325 artiklassa tarkoitettua veropetoksen tai unionin varoihin vaikuttavien petosten tutkimista (ks. esim. asiat C-617/10, Åkerberg Fransson; C-105/14, Taricco; C-42/17, M.A.S.; ja C-612/15 Kolev).</w:t>
      </w:r>
    </w:p>
  </w:footnote>
  <w:footnote w:id="47">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Tämä vastaa komission täytäntöönpanotoimiensa suhteen omaksumaa strategisempaa lähestymistapaa, jonka se esitti vuonna 2016 antamassaan tiedonannossa </w:t>
      </w:r>
      <w:r>
        <w:rPr>
          <w:rFonts w:ascii="Times New Roman" w:hAnsi="Times New Roman"/>
          <w:i/>
        </w:rPr>
        <w:t>EU:n lainsäädäntö: parempiin tuloksiin soveltamista parantamalla</w:t>
      </w:r>
      <w:r>
        <w:rPr>
          <w:rFonts w:ascii="Times New Roman" w:hAnsi="Times New Roman"/>
        </w:rPr>
        <w:t>, EUVL C 18, 19.1.2017, s. 10–20.</w:t>
      </w:r>
    </w:p>
  </w:footnote>
  <w:footnote w:id="48">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Unionin tuomioistuin on äskettäin todennut oikeuskäytännössään, että oikeusvaltiotoimintakehys on olennainen osa EU:n oikeusjärjestystä ja että sillä on oikeudellisia vaikutuksia (tuomioistuimen 17. joulukuuta 2018 antama määräys asiassa C-619/18 R. </w:t>
      </w:r>
    </w:p>
  </w:footnote>
  <w:footnote w:id="49">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Oikeusvaltiotoimintakehyksen puitteissa käytävän vuoropuhelun ensimmäiset vaiheet eivät ole julkisia. </w:t>
      </w:r>
    </w:p>
  </w:footnote>
  <w:footnote w:id="5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Etenkin Euroopan neuvoston elimet laativat erilaisia teknisiä arviointeja, jotka perustuvat Euroopan ihmisoikeustuomioistuimen oikeuskäytäntöön ja sen määrittelemiin normeihin. Sitä, millaista asiantuntemusta komissio voi käyttää arvioinnissaan, ei ole kuitenkaan millään tavoin rajoitettu. </w:t>
      </w:r>
    </w:p>
  </w:footnote>
  <w:footnote w:id="5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Voitaisiin myös pohtia, olisiko myös komission otettava suoraan yhteyttä Euroopan neuvostoon ja sen eri elimiin ja pyydettävä niitä arvioimaan tiettyjä jäsenvaltioissa ilmenneitä ongelmia. </w:t>
      </w:r>
    </w:p>
  </w:footnote>
  <w:footnote w:id="5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Yhteistyö- ja seurantamekanismi perustettiin siirtymäkauden toimenpiteenä, jonka avulla seurattiin oikeuslaitoksen uudistamista ja korruption torjuntaa Bulgariassa ja Romaniassa niiden liittyessä unioniin vuonna 2007. Sen jälkeen kun tämän erityismekanismin soveltaminen päättyy, seurantaa olisi jatkettava osana horisontaalisia välineitä. </w:t>
      </w:r>
    </w:p>
  </w:footnote>
  <w:footnote w:id="5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Asia C-216/18 PPU, LM. </w:t>
      </w:r>
    </w:p>
  </w:footnote>
  <w:footnote w:id="5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Ehdotus Euroopan parlamentin ja neuvoston asetukseksi unionin talousarvion suojaamisesta tilanteissa, joissa oikeusvaltioperiaatteen noudattamiseen jäsenvaltioissa kohdistuu yleisiä puutteita, COM(2018) 324 lopullinen.</w:t>
      </w:r>
    </w:p>
  </w:footnote>
  <w:footnote w:id="55">
    <w:p>
      <w:pPr>
        <w:pStyle w:val="FootnoteText"/>
        <w:ind w:left="426" w:hanging="340"/>
        <w:jc w:val="both"/>
        <w:rPr>
          <w:rFonts w:ascii="Times New Roman" w:hAnsi="Times New Roman" w:cs="Times New Roman"/>
          <w:lang w:val="de-D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COM(2019) 196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F50"/>
    <w:multiLevelType w:val="hybridMultilevel"/>
    <w:tmpl w:val="1F0463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0C4A06"/>
    <w:multiLevelType w:val="hybridMultilevel"/>
    <w:tmpl w:val="157E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CB41C9"/>
    <w:multiLevelType w:val="hybridMultilevel"/>
    <w:tmpl w:val="145C729A"/>
    <w:lvl w:ilvl="0" w:tplc="08090001">
      <w:start w:val="1"/>
      <w:numFmt w:val="bullet"/>
      <w:lvlText w:val=""/>
      <w:lvlJc w:val="left"/>
      <w:pPr>
        <w:ind w:left="426" w:hanging="360"/>
      </w:pPr>
      <w:rPr>
        <w:rFonts w:ascii="Symbol" w:hAnsi="Symbol"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nsid w:val="13665C9C"/>
    <w:multiLevelType w:val="hybridMultilevel"/>
    <w:tmpl w:val="42681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76702CF"/>
    <w:multiLevelType w:val="hybridMultilevel"/>
    <w:tmpl w:val="943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8E4CB6"/>
    <w:multiLevelType w:val="hybridMultilevel"/>
    <w:tmpl w:val="73A4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342915"/>
    <w:multiLevelType w:val="hybridMultilevel"/>
    <w:tmpl w:val="3C9A3128"/>
    <w:lvl w:ilvl="0" w:tplc="D806E08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D6C7EB9"/>
    <w:multiLevelType w:val="hybridMultilevel"/>
    <w:tmpl w:val="BB66E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0ED6ACD"/>
    <w:multiLevelType w:val="hybridMultilevel"/>
    <w:tmpl w:val="160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00C96"/>
    <w:multiLevelType w:val="hybridMultilevel"/>
    <w:tmpl w:val="1A02280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5FE0580"/>
    <w:multiLevelType w:val="hybridMultilevel"/>
    <w:tmpl w:val="3C784CE2"/>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1">
    <w:nsid w:val="3B9D4404"/>
    <w:multiLevelType w:val="hybridMultilevel"/>
    <w:tmpl w:val="28DC0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E2023AA"/>
    <w:multiLevelType w:val="hybridMultilevel"/>
    <w:tmpl w:val="B162682E"/>
    <w:lvl w:ilvl="0" w:tplc="08090001">
      <w:start w:val="1"/>
      <w:numFmt w:val="bullet"/>
      <w:lvlText w:val=""/>
      <w:lvlJc w:val="left"/>
      <w:pPr>
        <w:ind w:left="426" w:hanging="360"/>
      </w:pPr>
      <w:rPr>
        <w:rFonts w:ascii="Symbol" w:hAnsi="Symbol"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3">
    <w:nsid w:val="4A20785A"/>
    <w:multiLevelType w:val="hybridMultilevel"/>
    <w:tmpl w:val="E4FADD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7E121AF"/>
    <w:multiLevelType w:val="hybridMultilevel"/>
    <w:tmpl w:val="D2F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D165CF"/>
    <w:multiLevelType w:val="hybridMultilevel"/>
    <w:tmpl w:val="F8E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0C5102"/>
    <w:multiLevelType w:val="hybridMultilevel"/>
    <w:tmpl w:val="022E1C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E9101FC"/>
    <w:multiLevelType w:val="hybridMultilevel"/>
    <w:tmpl w:val="351A8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853BC5"/>
    <w:multiLevelType w:val="hybridMultilevel"/>
    <w:tmpl w:val="65C6CC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4E136C4"/>
    <w:multiLevelType w:val="hybridMultilevel"/>
    <w:tmpl w:val="8D58D2B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0">
    <w:nsid w:val="77D870E0"/>
    <w:multiLevelType w:val="hybridMultilevel"/>
    <w:tmpl w:val="2B5600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8D70FA9"/>
    <w:multiLevelType w:val="hybridMultilevel"/>
    <w:tmpl w:val="074C699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
  </w:num>
  <w:num w:numId="3">
    <w:abstractNumId w:val="19"/>
  </w:num>
  <w:num w:numId="4">
    <w:abstractNumId w:val="15"/>
  </w:num>
  <w:num w:numId="5">
    <w:abstractNumId w:val="5"/>
  </w:num>
  <w:num w:numId="6">
    <w:abstractNumId w:val="4"/>
  </w:num>
  <w:num w:numId="7">
    <w:abstractNumId w:val="14"/>
  </w:num>
  <w:num w:numId="8">
    <w:abstractNumId w:val="17"/>
  </w:num>
  <w:num w:numId="9">
    <w:abstractNumId w:val="8"/>
  </w:num>
  <w:num w:numId="10">
    <w:abstractNumId w:val="11"/>
  </w:num>
  <w:num w:numId="11">
    <w:abstractNumId w:val="13"/>
  </w:num>
  <w:num w:numId="12">
    <w:abstractNumId w:val="10"/>
  </w:num>
  <w:num w:numId="13">
    <w:abstractNumId w:val="18"/>
  </w:num>
  <w:num w:numId="14">
    <w:abstractNumId w:val="3"/>
  </w:num>
  <w:num w:numId="15">
    <w:abstractNumId w:val="21"/>
  </w:num>
  <w:num w:numId="16">
    <w:abstractNumId w:val="0"/>
  </w:num>
  <w:num w:numId="17">
    <w:abstractNumId w:val="9"/>
  </w:num>
  <w:num w:numId="18">
    <w:abstractNumId w:val="16"/>
  </w:num>
  <w:num w:numId="19">
    <w:abstractNumId w:val="12"/>
  </w:num>
  <w:num w:numId="20">
    <w:abstractNumId w:val="2"/>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pt-P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da-DK" w:vendorID="64" w:dllVersion="131078" w:nlCheck="1" w:checkStyle="0"/>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5CEC708-A3E6-4AC3-A64A-A2FF7B9FB046"/>
    <w:docVar w:name="LW_COVERPAGE_TYPE" w:val="1"/>
    <w:docVar w:name="LW_CROSSREFERENCE" w:val="&lt;EMPTY&gt;"/>
    <w:docVar w:name="LW_DocType" w:val="NORMAL"/>
    <w:docVar w:name="LW_EMISSION" w:val="17.7.2019"/>
    <w:docVar w:name="LW_EMISSION_ISODATE" w:val="2019-07-17"/>
    <w:docVar w:name="LW_EMISSION_LOCATION" w:val="BRX"/>
    <w:docVar w:name="LW_EMISSION_PREFIX" w:val="Bryssel "/>
    <w:docVar w:name="LW_EMISSION_SUFFIX" w:val=" "/>
    <w:docVar w:name="LW_ID_DOCTYPE_NONLW" w:val="CP-009"/>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9) 3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ikeusvaltioperiaatteen lujittaminen unionissa_x000d__x000d__x000b_Toimintasuunnitelma_x000d__x000d__x000d__x000d__x000d__x000d__x000d__x000d__x000d__x000d__x000d__x000d__x000d__x000d__x000d__x000d__x000d__x000d__x000b_"/>
    <w:docVar w:name="LW_TYPE.DOC.CP" w:val="KOMISSION TIEDONANTO"/>
    <w:docVar w:name="LW_TYPE.DOC.CP.USERTEXT" w:val="EUROOPAN PARLAMENTILLE, EUROOPPA-NEUVOSTOLLE, NEUVOSTOLLE, EUROOPAN TALOUS- JA SOSIAALIKOMITEALLE JA ALUEIDEN KOMITEALLE"/>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Mencinsinresolver1">
    <w:name w:val="Mención sin resolver1"/>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Mencinsinresolver1">
    <w:name w:val="Mención sin resolver1"/>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5764">
      <w:bodyDiv w:val="1"/>
      <w:marLeft w:val="0"/>
      <w:marRight w:val="0"/>
      <w:marTop w:val="0"/>
      <w:marBottom w:val="0"/>
      <w:divBdr>
        <w:top w:val="none" w:sz="0" w:space="0" w:color="auto"/>
        <w:left w:val="none" w:sz="0" w:space="0" w:color="auto"/>
        <w:bottom w:val="none" w:sz="0" w:space="0" w:color="auto"/>
        <w:right w:val="none" w:sz="0" w:space="0" w:color="auto"/>
      </w:divBdr>
    </w:div>
    <w:div w:id="1057894244">
      <w:bodyDiv w:val="1"/>
      <w:marLeft w:val="0"/>
      <w:marRight w:val="0"/>
      <w:marTop w:val="0"/>
      <w:marBottom w:val="0"/>
      <w:divBdr>
        <w:top w:val="none" w:sz="0" w:space="0" w:color="auto"/>
        <w:left w:val="none" w:sz="0" w:space="0" w:color="auto"/>
        <w:bottom w:val="none" w:sz="0" w:space="0" w:color="auto"/>
        <w:right w:val="none" w:sz="0" w:space="0" w:color="auto"/>
      </w:divBdr>
    </w:div>
    <w:div w:id="130574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policies/justice-and-fundamental-rights/effective-justice/rule-law/initiative-strengthen-rule-law-eu_en" TargetMode="External"/><Relationship Id="rId2" Type="http://schemas.openxmlformats.org/officeDocument/2006/relationships/hyperlink" Target="http://data.consilium.europa.eu/doc/document/ST-14518-2018-INIT/fi/pdf" TargetMode="External"/><Relationship Id="rId1" Type="http://schemas.openxmlformats.org/officeDocument/2006/relationships/hyperlink" Target="https://www.consilium.europa.eu/fi/press/press-releases/2019/06/20/a-new-strategic-agenda-2019-2024/" TargetMode="External"/><Relationship Id="rId5" Type="http://schemas.openxmlformats.org/officeDocument/2006/relationships/hyperlink" Target="https://www.coe.int/en/web/portal/-/eu-becomes-observer-to-anti-corruption-body-greco" TargetMode="External"/><Relationship Id="rId4" Type="http://schemas.openxmlformats.org/officeDocument/2006/relationships/hyperlink" Target="http://ec.europa.eu/commfrontoffice/publicopinion/index.cfm/survey/getsurveydetail/instruments/special/surveyky/2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CB3E73C-922C-4C57-9548-16FD36E0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5469</Words>
  <Characters>49395</Characters>
  <Application>Microsoft Office Word</Application>
  <DocSecurity>0</DocSecurity>
  <Lines>695</Lines>
  <Paragraphs>118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2019-07-17T08:38:00Z</dcterms:created>
  <dcterms:modified xsi:type="dcterms:W3CDTF">2019-07-17T14:05:00Z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