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917C77D5-FB72-478F-B7AF-B74AFB4F1CC4" style="width:450.6pt;height:352.5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rFonts w:eastAsia="Calibri"/>
          <w:noProof/>
        </w:rPr>
      </w:pPr>
      <w:bookmarkStart w:id="0" w:name="_GoBack"/>
      <w:bookmarkEnd w:id="0"/>
      <w:r>
        <w:rPr>
          <w:noProof/>
        </w:rPr>
        <w:lastRenderedPageBreak/>
        <w:t>PERUSTELUT</w:t>
      </w:r>
    </w:p>
    <w:p>
      <w:pPr>
        <w:keepNext/>
        <w:tabs>
          <w:tab w:val="left" w:pos="850"/>
        </w:tabs>
        <w:spacing w:before="360"/>
        <w:outlineLvl w:val="0"/>
        <w:rPr>
          <w:rFonts w:eastAsia="Calibri"/>
          <w:b/>
          <w:smallCaps/>
          <w:noProof/>
        </w:rPr>
      </w:pPr>
      <w:r>
        <w:rPr>
          <w:b/>
          <w:smallCaps/>
          <w:noProof/>
        </w:rPr>
        <w:t>1.</w:t>
      </w:r>
      <w:r>
        <w:rPr>
          <w:noProof/>
        </w:rPr>
        <w:tab/>
      </w:r>
      <w:r>
        <w:rPr>
          <w:b/>
          <w:smallCaps/>
          <w:noProof/>
        </w:rPr>
        <w:t>EHDOTUKSEN TAUSTA</w:t>
      </w:r>
    </w:p>
    <w:p>
      <w:pPr>
        <w:pStyle w:val="ManualHeading2"/>
        <w:rPr>
          <w:rFonts w:eastAsia="Arial Unicode MS"/>
          <w:noProof/>
        </w:rPr>
      </w:pPr>
      <w:r>
        <w:rPr>
          <w:noProof/>
          <w:color w:val="000000"/>
          <w:u w:color="000000"/>
          <w:bdr w:val="nil"/>
        </w:rPr>
        <w:t>•</w:t>
      </w:r>
      <w:r>
        <w:rPr>
          <w:noProof/>
        </w:rPr>
        <w:tab/>
        <w:t>Ehdotuksen perustelut ja tavoitteet</w:t>
      </w:r>
    </w:p>
    <w:p>
      <w:pPr>
        <w:rPr>
          <w:rFonts w:eastAsia="Calibri"/>
          <w:noProof/>
        </w:rPr>
      </w:pPr>
      <w:r>
        <w:rPr>
          <w:noProof/>
        </w:rPr>
        <w:t>Toimiva liikennejärjestelmä, joka yhdistää unionin sen naapurivaltioiden kanssa, on olennainen osa kestävää talouskasvua ja ihmisten hyvinvointia. Liikennealan yhteistyötä Länsi-Balkanin maiden kanssa on hallinnoitu 11. kesäkuuta 2004 laaditulla Kaakkois-Euroopan liikenneobservatorion yhteisymmärryspöytäkirjalla, jonka allekirjoittajat olivat Albanian, Bosnia ja Hertsegovinan, Kroatian, entisen Jugoslavian tasavallan Makedonian, Montenegron ja Serbian hallitukset sekä Yhdistyneiden Kansakuntien Kosovon-siviilioperaatio ja Euroopan komissio. Yhteisymmärryspöytäkirjan pääasiallisena tavoitteena oli laajentaa Euroopan laajuinen liikenneverkko (TEN-T) ja siihen liittyvät politiikanalat kattamaan myös Länsi-Balkan.</w:t>
      </w:r>
    </w:p>
    <w:p>
      <w:pPr>
        <w:rPr>
          <w:rFonts w:eastAsia="Calibri"/>
          <w:noProof/>
        </w:rPr>
      </w:pPr>
      <w:r>
        <w:rPr>
          <w:noProof/>
        </w:rPr>
        <w:t xml:space="preserve">Yhteisymmärryspöytäkirja on kuitenkin osoittautunut rajalliseksi, ja komission vuonna 2008 tekemän arvioinnin perusteella ehdotettiin kattavampaa yhteistyötä, johon sisältyy myös muuta liikennepolitiikkaa ja liikenteeseen kuuluvia aloja. Tässä yhteydessä komissio kehotti ottamaan mallia energiayhteisösopimuksesta saaduista hyvistä kokemuksista ja hyödyntämään niitä liikenteen alalla neuvottelemalla sopimus, jolla varmistettaisiin, että länsibalkanilaisten kumppaneiden soveltama lainsäädäntö, standardit ja tekniset eritelmät saataisiin yhteensopiviksi unionissa sovellettavien kanssa. </w:t>
      </w:r>
    </w:p>
    <w:p>
      <w:pPr>
        <w:rPr>
          <w:rFonts w:eastAsia="Calibri"/>
          <w:noProof/>
        </w:rPr>
      </w:pPr>
      <w:r>
        <w:rPr>
          <w:noProof/>
        </w:rPr>
        <w:t>Neuvosto valtuutti 12. kesäkuuta 2008 ja 9. lokakuuta 2009 komission aloittamaan Euroopan unionin puolesta neuvottelut Albanian, Bosnia ja Hertsegovinan, Kosovon</w:t>
      </w:r>
      <w:r>
        <w:rPr>
          <w:rStyle w:val="FootnoteReference"/>
          <w:noProof/>
        </w:rPr>
        <w:footnoteReference w:id="1"/>
      </w:r>
      <w:r>
        <w:rPr>
          <w:noProof/>
        </w:rPr>
        <w:t xml:space="preserve">, entisen Jugoslavian tasavallan Makedonian, Montenegron ja Serbian kanssa liikenneyhteisön perustamista koskevasta sopimuksesta, jäljempänä ’liikenneyhteisösopimus’. </w:t>
      </w:r>
    </w:p>
    <w:p>
      <w:pPr>
        <w:rPr>
          <w:rFonts w:eastAsia="Calibri"/>
          <w:noProof/>
        </w:rPr>
      </w:pPr>
      <w:r>
        <w:rPr>
          <w:noProof/>
        </w:rPr>
        <w:t>Teknisellä tasolla käydyt keskustelut saatiin onnistuneesti päätökseen heinäkuussa 2010. Koska yhden osapuolen nimityksestä oli kuitenkin mahdoton päästä sopimukseen, liikenneyhteisösopimuksen viimeistely keskeytyi lähes kolmeksi vuodeksi. Keskusteluja jatkettiin vuonna 2013, ja yhteisymmärrys liikenneyhteisösopimuksen lopullisesta versiosta saavutettiin vuonna 2016.</w:t>
      </w:r>
    </w:p>
    <w:p>
      <w:pPr>
        <w:rPr>
          <w:rFonts w:eastAsia="Calibri"/>
          <w:noProof/>
        </w:rPr>
      </w:pPr>
      <w:r>
        <w:rPr>
          <w:noProof/>
        </w:rPr>
        <w:t>Liikenneyhteisösopimus allekirjoitettiin unionin puolesta 12. heinäkuuta ja 9. lokakuuta 2017 allekirjoittamiseen ja väliaikaiseen soveltamiseen valtuuttavan neuvoston päätöksen 2017/1937</w:t>
      </w:r>
      <w:r>
        <w:rPr>
          <w:rStyle w:val="FootnoteReference"/>
          <w:noProof/>
        </w:rPr>
        <w:footnoteReference w:id="2"/>
      </w:r>
      <w:r>
        <w:rPr>
          <w:noProof/>
        </w:rPr>
        <w:t xml:space="preserve"> mukaisesti sillä varauksella, että sopimuksen tekeminen saatetaan myöhemmin päätökseen.</w:t>
      </w:r>
    </w:p>
    <w:p>
      <w:pPr>
        <w:rPr>
          <w:rFonts w:eastAsia="Calibri"/>
          <w:noProof/>
        </w:rPr>
      </w:pPr>
      <w:r>
        <w:rPr>
          <w:noProof/>
        </w:rPr>
        <w:t>Kaikki kaakkoiseurooppalaiset osapuolet Kosovoa lukuun ottamatta ovat jo ratifioineet liikenneyhteisösopimuksen. Tällä välin liikenneyhteisösopimusta sovelletaan väliaikaisesti osapuolten kesken sen 41 artiklan 3 kohdan mukaisesti.</w:t>
      </w:r>
    </w:p>
    <w:p>
      <w:pPr>
        <w:pStyle w:val="ManualHeading2"/>
        <w:rPr>
          <w:rFonts w:eastAsia="Arial Unicode MS"/>
          <w:noProof/>
        </w:rPr>
      </w:pPr>
      <w:r>
        <w:rPr>
          <w:noProof/>
          <w:color w:val="000000"/>
          <w:u w:color="000000"/>
          <w:bdr w:val="nil"/>
        </w:rPr>
        <w:t>•</w:t>
      </w:r>
      <w:r>
        <w:rPr>
          <w:noProof/>
        </w:rPr>
        <w:tab/>
        <w:t>Yleinen tausta</w:t>
      </w:r>
    </w:p>
    <w:p>
      <w:pPr>
        <w:pStyle w:val="Text1"/>
        <w:rPr>
          <w:noProof/>
        </w:rPr>
      </w:pPr>
      <w:r>
        <w:rPr>
          <w:noProof/>
        </w:rPr>
        <w:t xml:space="preserve">Alueellisen yhteistyön vahvistaminen Länsi-Balkanin alueella on keskeistä alueen poliittisen vakauden, turvallisuuden, vaurauden ja yhteiskunnallisen kehityksen kannalta. Tältä osin liikenneyhteisösopimus edistää Länsi-Balkanin liittymisprosessia </w:t>
      </w:r>
      <w:r>
        <w:rPr>
          <w:noProof/>
        </w:rPr>
        <w:lastRenderedPageBreak/>
        <w:t>nopeuttamalla kansallisen lainsäädännön mukauttamista unionin säännöstöön liikenteen alalla ja muilla siihen liittyvillä aloilla. Liikenneyhteisösopimus on myös tärkeä väline, jonka avulla edistetään kuusi Länsi-Balkanin maata kattavan aloitteen yhteydessä käynnistettyä uudistusprosessia sekä kyseiselle alueelle laajentuvan TEN-T:n toteutumista.</w:t>
      </w:r>
    </w:p>
    <w:p>
      <w:pPr>
        <w:pStyle w:val="ManualHeading2"/>
        <w:rPr>
          <w:rFonts w:eastAsia="Arial Unicode MS"/>
          <w:noProof/>
        </w:rPr>
      </w:pPr>
      <w:r>
        <w:rPr>
          <w:noProof/>
          <w:color w:val="000000"/>
          <w:u w:color="000000"/>
          <w:bdr w:val="nil"/>
        </w:rPr>
        <w:t>•</w:t>
      </w:r>
      <w:r>
        <w:rPr>
          <w:noProof/>
        </w:rPr>
        <w:tab/>
      </w:r>
      <w:r>
        <w:rPr>
          <w:noProof/>
          <w:color w:val="000000"/>
        </w:rPr>
        <w:t xml:space="preserve">Johdonmukaisuus muun alaa koskevan politiikan säännösten kanssa </w:t>
      </w:r>
    </w:p>
    <w:p>
      <w:pPr>
        <w:rPr>
          <w:noProof/>
        </w:rPr>
      </w:pPr>
      <w:r>
        <w:rPr>
          <w:noProof/>
        </w:rPr>
        <w:t xml:space="preserve">Liikenneyhteisösopimus on täysin sopusoinnussa voimassa olevien liikennealan säännösten kanssa, ja se korvaa nykyisen yhteistyökehyksen (Kaakkois-Euroopan liikenneobservatorion), joka on ollut käytössä vuodesta 2004. </w:t>
      </w:r>
    </w:p>
    <w:p>
      <w:pPr>
        <w:pStyle w:val="ManualHeading2"/>
        <w:rPr>
          <w:rFonts w:eastAsia="Arial Unicode MS"/>
          <w:noProof/>
        </w:rPr>
      </w:pPr>
      <w:r>
        <w:rPr>
          <w:noProof/>
          <w:color w:val="000000"/>
          <w:u w:color="000000"/>
          <w:bdr w:val="nil"/>
        </w:rPr>
        <w:t>•</w:t>
      </w:r>
      <w:r>
        <w:rPr>
          <w:noProof/>
        </w:rPr>
        <w:tab/>
      </w:r>
      <w:r>
        <w:rPr>
          <w:noProof/>
          <w:color w:val="000000"/>
        </w:rPr>
        <w:t xml:space="preserve">Johdonmukaisuus unionin muun politiikan ja tavoitteiden kanssa </w:t>
      </w:r>
    </w:p>
    <w:p>
      <w:pPr>
        <w:rPr>
          <w:noProof/>
        </w:rPr>
      </w:pPr>
      <w:r>
        <w:rPr>
          <w:noProof/>
        </w:rPr>
        <w:t xml:space="preserve">Liikenneyhteisösopimus on täysin yhteensopiva Kaakkois-Euroopan kumppanimaiden kanssa tehtävän yhteistyön tai laajentumisprosessin puitteissa vahvistetun politiikan ja tavoitteiden kanssa. Liikenneyhteisösopimus tukee keskeisellä tavalla tätä politiikkaa auttamalla Länsi-Balkanin maita lähentämään lainsäädäntöään unionin liikennealan säännöstöön. </w:t>
      </w:r>
    </w:p>
    <w:p>
      <w:pPr>
        <w:rPr>
          <w:noProof/>
        </w:rPr>
      </w:pPr>
      <w:r>
        <w:rPr>
          <w:noProof/>
        </w:rPr>
        <w:t xml:space="preserve">Liikenneyhteisösopimus on myös täysin linjassa esimerkiksi ympäristö- ja sosiaalipolitiikan ja muun liikenteeseen liittyvän politiikan kanssa. </w:t>
      </w:r>
    </w:p>
    <w:p>
      <w:pPr>
        <w:keepNext/>
        <w:tabs>
          <w:tab w:val="left" w:pos="850"/>
        </w:tabs>
        <w:spacing w:before="360"/>
        <w:outlineLvl w:val="0"/>
        <w:rPr>
          <w:rFonts w:eastAsia="Calibri"/>
          <w:b/>
          <w:smallCaps/>
          <w:noProof/>
        </w:rPr>
      </w:pPr>
      <w:r>
        <w:rPr>
          <w:b/>
          <w:smallCaps/>
          <w:noProof/>
        </w:rPr>
        <w:t>2.</w:t>
      </w:r>
      <w:r>
        <w:rPr>
          <w:noProof/>
        </w:rPr>
        <w:tab/>
      </w:r>
      <w:r>
        <w:rPr>
          <w:b/>
          <w:smallCaps/>
          <w:noProof/>
        </w:rPr>
        <w:t xml:space="preserve">SIDOSRYHMIEN KUULEMISTEN JA VAIKUTUSTENARVIOINTIEN TULOKSET </w:t>
      </w:r>
    </w:p>
    <w:p>
      <w:pPr>
        <w:rPr>
          <w:rFonts w:eastAsia="Calibri"/>
          <w:noProof/>
        </w:rPr>
      </w:pPr>
      <w:r>
        <w:rPr>
          <w:noProof/>
        </w:rPr>
        <w:t>Ei sovelleta</w:t>
      </w:r>
    </w:p>
    <w:p>
      <w:pPr>
        <w:keepNext/>
        <w:tabs>
          <w:tab w:val="left" w:pos="850"/>
        </w:tabs>
        <w:spacing w:before="360"/>
        <w:outlineLvl w:val="0"/>
        <w:rPr>
          <w:rFonts w:eastAsia="Calibri"/>
          <w:b/>
          <w:smallCaps/>
          <w:noProof/>
        </w:rPr>
      </w:pPr>
      <w:r>
        <w:rPr>
          <w:b/>
          <w:smallCaps/>
          <w:noProof/>
        </w:rPr>
        <w:t>3.</w:t>
      </w:r>
      <w:r>
        <w:rPr>
          <w:noProof/>
        </w:rPr>
        <w:tab/>
      </w:r>
      <w:r>
        <w:rPr>
          <w:b/>
          <w:smallCaps/>
          <w:noProof/>
        </w:rPr>
        <w:t>EHDOTUKSEN OIKEUDELLINEN SISÄLTÖ</w:t>
      </w:r>
    </w:p>
    <w:p>
      <w:pPr>
        <w:pStyle w:val="ManualHeading2"/>
        <w:rPr>
          <w:rFonts w:eastAsia="Arial Unicode MS"/>
          <w:noProof/>
          <w:u w:color="000000"/>
          <w:bdr w:val="nil"/>
        </w:rPr>
      </w:pPr>
      <w:r>
        <w:rPr>
          <w:noProof/>
        </w:rPr>
        <w:t>•</w:t>
      </w:r>
      <w:r>
        <w:rPr>
          <w:noProof/>
        </w:rPr>
        <w:tab/>
        <w:t>Oikeusperusta</w:t>
      </w:r>
    </w:p>
    <w:p>
      <w:pPr>
        <w:pBdr>
          <w:top w:val="nil"/>
          <w:left w:val="nil"/>
          <w:bottom w:val="nil"/>
          <w:right w:val="nil"/>
          <w:between w:val="nil"/>
          <w:bar w:val="nil"/>
        </w:pBdr>
        <w:spacing w:before="0" w:after="240"/>
        <w:rPr>
          <w:noProof/>
        </w:rPr>
      </w:pPr>
      <w:r>
        <w:rPr>
          <w:noProof/>
        </w:rPr>
        <w:t xml:space="preserve">Ehdotuksen oikeusperusta on Euroopan unionin toiminnasta tehdyn sopimuksen 91 artikla ja 100 artiklan 2 kohta yhdessä sopimuksen 218 artiklan </w:t>
      </w:r>
      <w:r>
        <w:rPr>
          <w:noProof/>
          <w:color w:val="444444"/>
          <w:shd w:val="clear" w:color="auto" w:fill="FFFFFF"/>
        </w:rPr>
        <w:t>6 kohdan a alakohdan</w:t>
      </w:r>
      <w:r>
        <w:rPr>
          <w:noProof/>
        </w:rPr>
        <w:t xml:space="preserve"> ja 7 kohdan kanssa. </w:t>
      </w:r>
    </w:p>
    <w:p>
      <w:pPr>
        <w:pBdr>
          <w:top w:val="nil"/>
          <w:left w:val="nil"/>
          <w:bottom w:val="nil"/>
          <w:right w:val="nil"/>
          <w:between w:val="nil"/>
          <w:bar w:val="nil"/>
        </w:pBdr>
        <w:spacing w:before="0" w:after="240"/>
        <w:rPr>
          <w:noProof/>
        </w:rPr>
      </w:pPr>
      <w:r>
        <w:rPr>
          <w:noProof/>
        </w:rPr>
        <w:t>SEUT-sopimuksen 91 artiklassa säädetään, että yhteiseen liikennepolitiikkaan kuuluvat rautatie-, maantie- ja sisävesiliikennettä koskevat toimet hyväksytään tavanomaisessa lainsäätämisjärjestyksessä. SEUT-sopimuksen 100 artiklan 2 kohdassa säädetään, että myös meriliikennettä koskevat aiheelliset säännökset hyväksytään tavanomaisessa lainsäätämisjärjestyksessä.</w:t>
      </w:r>
    </w:p>
    <w:p>
      <w:pPr>
        <w:pBdr>
          <w:top w:val="nil"/>
          <w:left w:val="nil"/>
          <w:bottom w:val="nil"/>
          <w:right w:val="nil"/>
          <w:between w:val="nil"/>
          <w:bar w:val="nil"/>
        </w:pBdr>
        <w:spacing w:before="0" w:after="240"/>
        <w:rPr>
          <w:noProof/>
        </w:rPr>
      </w:pPr>
      <w:r>
        <w:rPr>
          <w:noProof/>
        </w:rPr>
        <w:t>SEUT-sopimuksen 218 artiklassa säädetään Euroopan unionin ja unionin ulkopuolisten maiden tai kansainvälisten järjestöjen välisiä sopimuksia koskevissa neuvotteluissa noudatettavasta menettelystä ja tällaisten sopimusten tekemisestä. Mainitun artiklan 6 kohdassa määrätään erityisesti, että neuvosto hyväksyy neuvottelijana toimivan komission ehdotuksen perusteella päätöksen sopimuksen tekemisestä Euroopan unionin puolesta.</w:t>
      </w:r>
    </w:p>
    <w:p>
      <w:pPr>
        <w:pStyle w:val="ManualHeading2"/>
        <w:rPr>
          <w:rFonts w:eastAsia="Arial Unicode MS"/>
          <w:noProof/>
          <w:u w:color="000000"/>
          <w:bdr w:val="nil"/>
        </w:rPr>
      </w:pPr>
      <w:r>
        <w:rPr>
          <w:noProof/>
        </w:rPr>
        <w:t>•</w:t>
      </w:r>
      <w:r>
        <w:rPr>
          <w:noProof/>
        </w:rPr>
        <w:tab/>
        <w:t>Toimintatavan valinta</w:t>
      </w:r>
    </w:p>
    <w:p>
      <w:pPr>
        <w:pBdr>
          <w:top w:val="nil"/>
          <w:left w:val="nil"/>
          <w:bottom w:val="nil"/>
          <w:right w:val="nil"/>
          <w:between w:val="nil"/>
          <w:bar w:val="nil"/>
        </w:pBdr>
        <w:spacing w:before="0" w:after="240"/>
        <w:rPr>
          <w:rFonts w:eastAsia="Arial Unicode MS"/>
          <w:i/>
          <w:noProof/>
          <w:sz w:val="22"/>
        </w:rPr>
      </w:pPr>
      <w:r>
        <w:rPr>
          <w:noProof/>
          <w:color w:val="444444"/>
          <w:shd w:val="clear" w:color="auto" w:fill="FFFFFF"/>
        </w:rPr>
        <w:t xml:space="preserve">Tässä ehdotuksessa noudatetaan SEUT-sopimuksen 218 artiklan 6 kohdan a alakohtaa, jonka mukaan neuvosto tekee päätöksen kansainvälisten sopimusten tekemisestä Euroopan parlamentin hyväksynnän saatuaan. </w:t>
      </w:r>
    </w:p>
    <w:p>
      <w:pPr>
        <w:keepNext/>
        <w:tabs>
          <w:tab w:val="left" w:pos="850"/>
        </w:tabs>
        <w:spacing w:before="360"/>
        <w:outlineLvl w:val="0"/>
        <w:rPr>
          <w:rFonts w:eastAsia="Calibri"/>
          <w:b/>
          <w:smallCaps/>
          <w:noProof/>
        </w:rPr>
      </w:pPr>
      <w:r>
        <w:rPr>
          <w:b/>
          <w:smallCaps/>
          <w:noProof/>
        </w:rPr>
        <w:t>4.</w:t>
      </w:r>
      <w:r>
        <w:rPr>
          <w:noProof/>
        </w:rPr>
        <w:tab/>
      </w:r>
      <w:r>
        <w:rPr>
          <w:b/>
          <w:smallCaps/>
          <w:noProof/>
        </w:rPr>
        <w:t xml:space="preserve">TALOUSARVIOVAIKUTUKSET </w:t>
      </w:r>
    </w:p>
    <w:p>
      <w:pPr>
        <w:rPr>
          <w:rFonts w:eastAsia="Calibri"/>
          <w:noProof/>
        </w:rPr>
        <w:sectPr>
          <w:footerReference w:type="default" r:id="rId16"/>
          <w:footerReference w:type="first" r:id="rId17"/>
          <w:pgSz w:w="11907" w:h="16839"/>
          <w:pgMar w:top="1134" w:right="1417" w:bottom="1134" w:left="1417" w:header="709" w:footer="709" w:gutter="0"/>
          <w:cols w:space="708"/>
          <w:docGrid w:linePitch="360"/>
        </w:sectPr>
      </w:pPr>
      <w:r>
        <w:rPr>
          <w:noProof/>
        </w:rPr>
        <w:t>Ehdotuksella ei ole vaikutusta unionin talousarvioon. Liikenneyhteisösopimuksen mukaisesti unionin rahoitusosuus liikenneyhteisön talousarviosta kattaa ainoastaan liikenneyhteisön toimielinten tarvitsemat toimintamenot. Rahoitus saadaan seuraavasta budjettikohdasta: IPA 2017/039–402.20/MC/Liikenneyhteisö.</w:t>
      </w:r>
    </w:p>
    <w:p>
      <w:pPr>
        <w:pStyle w:val="Rfrenceinterinstitutionnelle"/>
        <w:rPr>
          <w:noProof/>
        </w:rPr>
      </w:pPr>
      <w:r>
        <w:rPr>
          <w:noProof/>
        </w:rPr>
        <w:t>2018/0282 (NLE)</w:t>
      </w:r>
    </w:p>
    <w:p>
      <w:pPr>
        <w:pStyle w:val="Statut"/>
        <w:rPr>
          <w:noProof/>
        </w:rPr>
      </w:pPr>
      <w:r>
        <w:rPr>
          <w:noProof/>
        </w:rPr>
        <w:t>Ehdotus</w:t>
      </w:r>
    </w:p>
    <w:p>
      <w:pPr>
        <w:pStyle w:val="Typedudocument"/>
        <w:rPr>
          <w:noProof/>
        </w:rPr>
      </w:pPr>
      <w:r>
        <w:rPr>
          <w:noProof/>
        </w:rPr>
        <w:t>NEUVOSTON PÄÄTÖS</w:t>
      </w:r>
    </w:p>
    <w:p>
      <w:pPr>
        <w:pStyle w:val="Titreobjet"/>
        <w:rPr>
          <w:noProof/>
        </w:rPr>
      </w:pPr>
      <w:r>
        <w:rPr>
          <w:noProof/>
        </w:rPr>
        <w:t xml:space="preserve">liikenneyhteisön perustamista koskevan sopimuksen allekirjoittamisesta Euroopan unionin puolesta </w:t>
      </w:r>
    </w:p>
    <w:p>
      <w:pPr>
        <w:pStyle w:val="Institutionquiagit"/>
        <w:rPr>
          <w:rFonts w:eastAsia="Calibri"/>
          <w:noProof/>
        </w:rPr>
      </w:pPr>
      <w:r>
        <w:rPr>
          <w:noProof/>
        </w:rPr>
        <w:t>EUROOPAN UNIONIN NEUVOSTO, joka</w:t>
      </w:r>
    </w:p>
    <w:p>
      <w:pPr>
        <w:rPr>
          <w:rFonts w:eastAsia="Calibri"/>
          <w:noProof/>
        </w:rPr>
      </w:pPr>
      <w:r>
        <w:rPr>
          <w:noProof/>
        </w:rPr>
        <w:t>ottaa huomioon Euroopan unionin toiminnasta tehdyn sopimuksen ja erityisesti sen 91 artiklan ja 100 artiklan 2 kohdan yhdessä sen 218 artiklan 6 kohdan a alakohdan ja 7 kohdan kanssa,</w:t>
      </w:r>
    </w:p>
    <w:p>
      <w:pPr>
        <w:rPr>
          <w:rFonts w:eastAsia="Calibri"/>
          <w:noProof/>
        </w:rPr>
      </w:pPr>
      <w:r>
        <w:rPr>
          <w:noProof/>
        </w:rPr>
        <w:t>ottaa huomioon Euroopan komission ehdotuksen,</w:t>
      </w:r>
    </w:p>
    <w:p>
      <w:pPr>
        <w:rPr>
          <w:rFonts w:eastAsia="Calibri"/>
          <w:noProof/>
        </w:rPr>
      </w:pPr>
      <w:r>
        <w:rPr>
          <w:noProof/>
        </w:rPr>
        <w:t>ottaa huomioon Euroopan parlamentin hyväksynnän</w:t>
      </w:r>
      <w:r>
        <w:rPr>
          <w:rStyle w:val="FootnoteReference"/>
          <w:noProof/>
        </w:rPr>
        <w:footnoteReference w:id="3"/>
      </w:r>
      <w:r>
        <w:rPr>
          <w:noProof/>
        </w:rPr>
        <w:t xml:space="preserve">, </w:t>
      </w:r>
    </w:p>
    <w:p>
      <w:pPr>
        <w:rPr>
          <w:rFonts w:eastAsia="Calibri"/>
          <w:noProof/>
        </w:rPr>
      </w:pPr>
      <w:r>
        <w:rPr>
          <w:noProof/>
        </w:rPr>
        <w:t>sekä katsoo seuraavaa:</w:t>
      </w:r>
    </w:p>
    <w:p>
      <w:pPr>
        <w:pStyle w:val="ManualConsidrant"/>
        <w:rPr>
          <w:rFonts w:eastAsia="Calibri"/>
          <w:noProof/>
        </w:rPr>
      </w:pPr>
      <w:r>
        <w:t>(1)</w:t>
      </w:r>
      <w:r>
        <w:tab/>
      </w:r>
      <w:r>
        <w:rPr>
          <w:noProof/>
        </w:rPr>
        <w:t>Komissio on neuvotellut unionin puolesta Euroopan unionin sekä Albanian, Bosnia ja Hertsegovinan, entisen Jugoslavian tasavallan Makedonian, Kosovon, Montenegron ja Serbian välillä tehtävän liikenneyhteisön perustamista koskevan sopimuksen, jäljempänä ’liikenneyhteisösopimus’.</w:t>
      </w:r>
    </w:p>
    <w:p>
      <w:pPr>
        <w:pStyle w:val="ManualConsidrant"/>
        <w:rPr>
          <w:rFonts w:eastAsia="Calibri"/>
          <w:noProof/>
        </w:rPr>
      </w:pPr>
      <w:r>
        <w:t>(2)</w:t>
      </w:r>
      <w:r>
        <w:tab/>
      </w:r>
      <w:r>
        <w:rPr>
          <w:noProof/>
        </w:rPr>
        <w:t>Liikenneyhteisösopimus allekirjoitettiin unionin puolesta 12 päivänä heinäkuuta ja 9 päivänä lokakuuta 2017 neuvoston päätöksen (EU) 2017/1937</w:t>
      </w:r>
      <w:r>
        <w:rPr>
          <w:rStyle w:val="FootnoteReference"/>
          <w:noProof/>
        </w:rPr>
        <w:footnoteReference w:id="4"/>
      </w:r>
      <w:r>
        <w:rPr>
          <w:noProof/>
        </w:rPr>
        <w:t xml:space="preserve"> mukaisesti sillä varauksella, että sopimuksen tekeminen saatetaan myöhemmin päätökseen.</w:t>
      </w:r>
    </w:p>
    <w:p>
      <w:pPr>
        <w:pStyle w:val="ManualConsidrant"/>
        <w:rPr>
          <w:rFonts w:eastAsia="Calibri"/>
          <w:noProof/>
        </w:rPr>
      </w:pPr>
      <w:r>
        <w:t>(3)</w:t>
      </w:r>
      <w:r>
        <w:tab/>
      </w:r>
      <w:r>
        <w:rPr>
          <w:noProof/>
        </w:rPr>
        <w:t>Liikenneyhteisö edistää liikenteen kehitystä unionin ja kaakkoiseurooppalaisten osapuolten välillä unionin säännöstön pohjalta.</w:t>
      </w:r>
      <w:r>
        <w:rPr>
          <w:i/>
          <w:noProof/>
        </w:rPr>
        <w:t xml:space="preserve"> </w:t>
      </w:r>
    </w:p>
    <w:p>
      <w:pPr>
        <w:pStyle w:val="ManualConsidrant"/>
        <w:rPr>
          <w:rFonts w:eastAsia="Calibri"/>
          <w:noProof/>
        </w:rPr>
      </w:pPr>
      <w:r>
        <w:t>(4)</w:t>
      </w:r>
      <w:r>
        <w:tab/>
      </w:r>
      <w:r>
        <w:rPr>
          <w:noProof/>
        </w:rPr>
        <w:t>Komissio olisi valtuutettava hyväksymään unionin puolesta liitteessä I luetellut muutokset unionin lainsäädäntöön liikenneyhteisösopimuksen 20 artiklan 3 kohdan a alakohdan mukaisesti.</w:t>
      </w:r>
    </w:p>
    <w:p>
      <w:pPr>
        <w:pStyle w:val="ManualConsidrant"/>
        <w:rPr>
          <w:rFonts w:eastAsia="Calibri"/>
          <w:noProof/>
        </w:rPr>
      </w:pPr>
      <w:r>
        <w:t>(5)</w:t>
      </w:r>
      <w:r>
        <w:tab/>
      </w:r>
      <w:r>
        <w:rPr>
          <w:noProof/>
        </w:rPr>
        <w:t>Liikenneyhteisösopimus olisi hyväksyttävä unionin puolesta,</w:t>
      </w:r>
    </w:p>
    <w:p>
      <w:pPr>
        <w:pStyle w:val="Formuledadoption"/>
        <w:rPr>
          <w:rFonts w:eastAsia="Calibri"/>
          <w:noProof/>
        </w:rPr>
      </w:pPr>
      <w:r>
        <w:rPr>
          <w:noProof/>
        </w:rPr>
        <w:t xml:space="preserve">ON HYVÄKSYNYT TÄMÄN PÄÄTÖKSEN: </w:t>
      </w:r>
    </w:p>
    <w:p>
      <w:pPr>
        <w:pStyle w:val="Titrearticle"/>
        <w:rPr>
          <w:rFonts w:eastAsia="Calibri"/>
          <w:noProof/>
        </w:rPr>
      </w:pPr>
      <w:r>
        <w:rPr>
          <w:noProof/>
        </w:rPr>
        <w:t>1 artikla</w:t>
      </w:r>
    </w:p>
    <w:p>
      <w:pPr>
        <w:pStyle w:val="ManualNumPar1"/>
        <w:rPr>
          <w:rFonts w:eastAsia="Calibri"/>
          <w:noProof/>
        </w:rPr>
      </w:pPr>
      <w:r>
        <w:t>1.</w:t>
      </w:r>
      <w:r>
        <w:tab/>
      </w:r>
      <w:r>
        <w:rPr>
          <w:noProof/>
        </w:rPr>
        <w:t xml:space="preserve"> Hyväksytään liikenneyhteisön perustamista koskeva sopimus unionin puolesta.</w:t>
      </w:r>
    </w:p>
    <w:p>
      <w:pPr>
        <w:pStyle w:val="ManualNumPar1"/>
        <w:rPr>
          <w:rFonts w:eastAsia="Calibri"/>
          <w:noProof/>
        </w:rPr>
      </w:pPr>
      <w:r>
        <w:t>2.</w:t>
      </w:r>
      <w:r>
        <w:tab/>
      </w:r>
      <w:r>
        <w:rPr>
          <w:noProof/>
        </w:rPr>
        <w:t>Neuvoston puheenjohtaja nimeää yhden tai useamman henkilön, jolla on valtuudet unionin puolesta tallettaa liikenneyhteisösopimuksen 41 artiklan 1 kohdassa määrätyt hyväksymisasiakirjat osoitukseksi siitä, että unioni suostuu sitoutumaan liikenneyhteisösopimukseen.</w:t>
      </w:r>
    </w:p>
    <w:p>
      <w:pPr>
        <w:pStyle w:val="Titrearticle"/>
        <w:rPr>
          <w:rFonts w:eastAsia="Calibri"/>
          <w:noProof/>
        </w:rPr>
      </w:pPr>
      <w:r>
        <w:rPr>
          <w:noProof/>
        </w:rPr>
        <w:t>2 artikla</w:t>
      </w:r>
    </w:p>
    <w:p>
      <w:pPr>
        <w:rPr>
          <w:rFonts w:eastAsia="Calibri"/>
          <w:noProof/>
        </w:rPr>
      </w:pPr>
      <w:r>
        <w:rPr>
          <w:noProof/>
        </w:rPr>
        <w:t>Komissio hyväksyy unionin kannan liikenneyhteisösopimuksen 20 artiklan 3 kohdan a alakohdassa tarkoitettuihin alueellisen ohjauskomitean päätöksiin, jotka koskevat ainoastaan unionin lainsäädännön sisällyttämistä liikenneyhteisösopimuksen liitteeseen I, mahdollisesti tarvittavin teknisin mukautuksin.</w:t>
      </w:r>
    </w:p>
    <w:p>
      <w:pPr>
        <w:pStyle w:val="Titrearticle"/>
        <w:rPr>
          <w:rFonts w:eastAsia="Calibri"/>
          <w:noProof/>
        </w:rPr>
      </w:pPr>
      <w:r>
        <w:rPr>
          <w:noProof/>
        </w:rPr>
        <w:t>3 artikla</w:t>
      </w:r>
    </w:p>
    <w:p>
      <w:pPr>
        <w:keepLines/>
        <w:rPr>
          <w:rFonts w:eastAsia="Calibri"/>
          <w:noProof/>
        </w:rPr>
      </w:pPr>
      <w:r>
        <w:rPr>
          <w:noProof/>
        </w:rPr>
        <w:t>Tämä päätös tulee voimaan päivänä, jona se hyväksytään.</w:t>
      </w:r>
    </w:p>
    <w:p>
      <w:pPr>
        <w:pStyle w:val="Fait"/>
        <w:rPr>
          <w:noProof/>
        </w:rPr>
      </w:pPr>
      <w:r>
        <w:t>Tehty Brysselissä</w:t>
      </w:r>
    </w:p>
    <w:p>
      <w:pPr>
        <w:pStyle w:val="Institutionquisigne"/>
        <w:rPr>
          <w:rFonts w:eastAsia="Calibri"/>
          <w:noProof/>
        </w:rPr>
      </w:pPr>
      <w:r>
        <w:rPr>
          <w:noProof/>
        </w:rPr>
        <w:tab/>
        <w:t>Neuvoston puolesta</w:t>
      </w:r>
    </w:p>
    <w:p>
      <w:pPr>
        <w:pStyle w:val="Personnequisigne"/>
        <w:rPr>
          <w:rFonts w:eastAsia="Calibri"/>
          <w:noProof/>
        </w:rPr>
      </w:pPr>
      <w:r>
        <w:rPr>
          <w:noProof/>
        </w:rPr>
        <w:tab/>
        <w:t>Puheenjohtaja</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Tämä nimitys ei vaikuta asemaa koskeviin kantoihin, ja se on YK:n turvallisuusneuvoston päätöslauselman 1244/1999 ja Kansainvälisen tuomioistuimen Kosovon itsenäisyysjulistuksesta antaman lausunnon mukainen.</w:t>
      </w:r>
    </w:p>
  </w:footnote>
  <w:footnote w:id="2">
    <w:p>
      <w:pPr>
        <w:pStyle w:val="FootnoteText"/>
      </w:pPr>
      <w:r>
        <w:rPr>
          <w:rStyle w:val="FootnoteReference"/>
        </w:rPr>
        <w:footnoteRef/>
      </w:r>
      <w:r>
        <w:tab/>
        <w:t>Neuvoston päätös (EU) 2017/1937, annettu 11 päivänä heinäkuuta 2017, liikenneyhteisön perustamista koskevan sopimuksen allekirjoittamisesta Euroopan unionin puolesta ja sen väliaikaisesta soveltamisesta (EUVL L 278, 27.10.2017, s. 1).</w:t>
      </w:r>
    </w:p>
  </w:footnote>
  <w:footnote w:id="3">
    <w:p>
      <w:pPr>
        <w:pStyle w:val="FootnoteText"/>
      </w:pPr>
      <w:r>
        <w:rPr>
          <w:rStyle w:val="FootnoteReference"/>
        </w:rPr>
        <w:footnoteRef/>
      </w:r>
      <w:r>
        <w:tab/>
        <w:t>EUVL...</w:t>
      </w:r>
    </w:p>
  </w:footnote>
  <w:footnote w:id="4">
    <w:p>
      <w:pPr>
        <w:pStyle w:val="FootnoteText"/>
      </w:pPr>
      <w:r>
        <w:rPr>
          <w:rStyle w:val="FootnoteReference"/>
        </w:rPr>
        <w:footnoteRef/>
      </w:r>
      <w:r>
        <w:tab/>
        <w:t>Neuvoston päätös (EU) 2017/1937, annettu 11 päivänä heinäkuuta 2017, liikenneyhteisön perustamista koskevan sopimuksen allekirjoittamisesta Euroopan unionin puolesta ja sen väliaikaisesta soveltamisesta (EUVL L 287, 27.10.2017,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27A9A3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CE8D84C"/>
    <w:lvl w:ilvl="0">
      <w:start w:val="1"/>
      <w:numFmt w:val="decimal"/>
      <w:pStyle w:val="ListNumber3"/>
      <w:lvlText w:val="%1."/>
      <w:lvlJc w:val="left"/>
      <w:pPr>
        <w:tabs>
          <w:tab w:val="num" w:pos="926"/>
        </w:tabs>
        <w:ind w:left="926" w:hanging="360"/>
      </w:pPr>
    </w:lvl>
  </w:abstractNum>
  <w:abstractNum w:abstractNumId="2">
    <w:nsid w:val="FFFFFF7F"/>
    <w:multiLevelType w:val="singleLevel"/>
    <w:tmpl w:val="1B107D18"/>
    <w:lvl w:ilvl="0">
      <w:start w:val="1"/>
      <w:numFmt w:val="decimal"/>
      <w:pStyle w:val="ListNumber2"/>
      <w:lvlText w:val="%1."/>
      <w:lvlJc w:val="left"/>
      <w:pPr>
        <w:tabs>
          <w:tab w:val="num" w:pos="643"/>
        </w:tabs>
        <w:ind w:left="643" w:hanging="360"/>
      </w:pPr>
    </w:lvl>
  </w:abstractNum>
  <w:abstractNum w:abstractNumId="3">
    <w:nsid w:val="FFFFFF81"/>
    <w:multiLevelType w:val="singleLevel"/>
    <w:tmpl w:val="5AE2EF9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75A5F4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F5F44E2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4E3CC254"/>
    <w:lvl w:ilvl="0">
      <w:start w:val="1"/>
      <w:numFmt w:val="decimal"/>
      <w:pStyle w:val="ListNumber"/>
      <w:lvlText w:val="%1."/>
      <w:lvlJc w:val="left"/>
      <w:pPr>
        <w:tabs>
          <w:tab w:val="num" w:pos="360"/>
        </w:tabs>
        <w:ind w:left="360" w:hanging="360"/>
      </w:pPr>
    </w:lvl>
  </w:abstractNum>
  <w:abstractNum w:abstractNumId="7">
    <w:nsid w:val="FFFFFF89"/>
    <w:multiLevelType w:val="singleLevel"/>
    <w:tmpl w:val="A43E87C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KAC Ivan (MOVE)">
    <w15:presenceInfo w15:providerId="None" w15:userId="LUKAC Ivan (MO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isplayBackgroundShape/>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7-05 10:05:10"/>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Yellow"/>
    <w:docVar w:name="DQCVersion" w:val="3"/>
    <w:docVar w:name="DQCWithWarnings" w:val="0"/>
    <w:docVar w:name="LW_CORRIGENDUM" w:val="&lt;UNUSED&gt;"/>
    <w:docVar w:name="LW_COVERPAGE_EXISTS" w:val="True"/>
    <w:docVar w:name="LW_COVERPAGE_GUID" w:val="917C77D5-FB72-478F-B7AF-B74AFB4F1CC4"/>
    <w:docVar w:name="LW_COVERPAGE_TYPE" w:val="1"/>
    <w:docVar w:name="LW_CROSSREFERENCE" w:val="&lt;UNUSED&gt;"/>
    <w:docVar w:name="LW_DocType" w:val="COM"/>
    <w:docVar w:name="LW_EMISSION" w:val="13.7.2018"/>
    <w:docVar w:name="LW_EMISSION_ISODATE" w:val="2018-07-13"/>
    <w:docVar w:name="LW_EMISSION_LOCATION" w:val="BRX"/>
    <w:docVar w:name="LW_EMISSION_PREFIX" w:val="Bryssel "/>
    <w:docVar w:name="LW_EMISSION_SUFFIX" w:val="&lt;EMPTY&gt;"/>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NLE"/>
    <w:docVar w:name="LW_REF.II.NEW.CP_NUMBER" w:val="0282"/>
    <w:docVar w:name="LW_REF.II.NEW.CP_YEAR" w:val="2018"/>
    <w:docVar w:name="LW_REF.INST.NEW" w:val="COM"/>
    <w:docVar w:name="LW_REF.INST.NEW_ADOPTED" w:val="final"/>
    <w:docVar w:name="LW_REF.INST.NEW_TEXT" w:val="(2018) 53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Ehdotus"/>
    <w:docVar w:name="LW_SUPERTITRE" w:val="&lt;UNUSED&gt;"/>
    <w:docVar w:name="LW_TITRE.OBJ.CP" w:val="liikenneyhteisön perustamista koskevan sopimuksen allekirjoittamisesta Euroopan unionin puolesta "/>
    <w:docVar w:name="LW_TYPE.DOC.CP" w:val="NEUVOSTON PÄÄTÖ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paragraph" w:customStyle="1" w:styleId="li">
    <w:name w:val="li"/>
    <w:basedOn w:val="Normal"/>
    <w:pPr>
      <w:spacing w:before="0" w:after="0"/>
      <w:ind w:left="468"/>
    </w:pPr>
    <w:rPr>
      <w:rFonts w:eastAsia="Times New Roman"/>
      <w:szCs w:val="24"/>
    </w:rPr>
  </w:style>
  <w:style w:type="character" w:customStyle="1" w:styleId="num4">
    <w:name w:val="num4"/>
    <w:basedOn w:val="DefaultParagraphFont"/>
  </w:style>
  <w:style w:type="paragraph" w:customStyle="1" w:styleId="Normal1">
    <w:name w:val="Normal1"/>
    <w:basedOn w:val="Normal"/>
    <w:pPr>
      <w:spacing w:before="0" w:after="0"/>
    </w:pPr>
    <w:rPr>
      <w:rFonts w:eastAsia="Times New Roman"/>
      <w:szCs w:val="24"/>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paragraph" w:customStyle="1" w:styleId="li">
    <w:name w:val="li"/>
    <w:basedOn w:val="Normal"/>
    <w:pPr>
      <w:spacing w:before="0" w:after="0"/>
      <w:ind w:left="468"/>
    </w:pPr>
    <w:rPr>
      <w:rFonts w:eastAsia="Times New Roman"/>
      <w:szCs w:val="24"/>
    </w:rPr>
  </w:style>
  <w:style w:type="character" w:customStyle="1" w:styleId="num4">
    <w:name w:val="num4"/>
    <w:basedOn w:val="DefaultParagraphFont"/>
  </w:style>
  <w:style w:type="paragraph" w:customStyle="1" w:styleId="Normal1">
    <w:name w:val="Normal1"/>
    <w:basedOn w:val="Normal"/>
    <w:pPr>
      <w:spacing w:before="0" w:after="0"/>
    </w:pPr>
    <w:rPr>
      <w:rFonts w:eastAsia="Times New Roman"/>
      <w:szCs w:val="24"/>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222">
      <w:bodyDiv w:val="1"/>
      <w:marLeft w:val="0"/>
      <w:marRight w:val="0"/>
      <w:marTop w:val="0"/>
      <w:marBottom w:val="0"/>
      <w:divBdr>
        <w:top w:val="none" w:sz="0" w:space="0" w:color="auto"/>
        <w:left w:val="none" w:sz="0" w:space="0" w:color="auto"/>
        <w:bottom w:val="none" w:sz="0" w:space="0" w:color="auto"/>
        <w:right w:val="none" w:sz="0" w:space="0" w:color="auto"/>
      </w:divBdr>
      <w:divsChild>
        <w:div w:id="261105420">
          <w:marLeft w:val="0"/>
          <w:marRight w:val="0"/>
          <w:marTop w:val="0"/>
          <w:marBottom w:val="0"/>
          <w:divBdr>
            <w:top w:val="none" w:sz="0" w:space="0" w:color="auto"/>
            <w:left w:val="none" w:sz="0" w:space="0" w:color="auto"/>
            <w:bottom w:val="none" w:sz="0" w:space="0" w:color="auto"/>
            <w:right w:val="none" w:sz="0" w:space="0" w:color="auto"/>
          </w:divBdr>
          <w:divsChild>
            <w:div w:id="918292244">
              <w:marLeft w:val="0"/>
              <w:marRight w:val="0"/>
              <w:marTop w:val="0"/>
              <w:marBottom w:val="0"/>
              <w:divBdr>
                <w:top w:val="none" w:sz="0" w:space="0" w:color="auto"/>
                <w:left w:val="none" w:sz="0" w:space="0" w:color="auto"/>
                <w:bottom w:val="none" w:sz="0" w:space="0" w:color="auto"/>
                <w:right w:val="none" w:sz="0" w:space="0" w:color="auto"/>
              </w:divBdr>
              <w:divsChild>
                <w:div w:id="1295521878">
                  <w:marLeft w:val="0"/>
                  <w:marRight w:val="0"/>
                  <w:marTop w:val="0"/>
                  <w:marBottom w:val="0"/>
                  <w:divBdr>
                    <w:top w:val="none" w:sz="0" w:space="0" w:color="auto"/>
                    <w:left w:val="none" w:sz="0" w:space="0" w:color="auto"/>
                    <w:bottom w:val="none" w:sz="0" w:space="0" w:color="auto"/>
                    <w:right w:val="none" w:sz="0" w:space="0" w:color="auto"/>
                  </w:divBdr>
                  <w:divsChild>
                    <w:div w:id="1246454055">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168024">
      <w:bodyDiv w:val="1"/>
      <w:marLeft w:val="390"/>
      <w:marRight w:val="390"/>
      <w:marTop w:val="0"/>
      <w:marBottom w:val="0"/>
      <w:divBdr>
        <w:top w:val="none" w:sz="0" w:space="0" w:color="auto"/>
        <w:left w:val="none" w:sz="0" w:space="0" w:color="auto"/>
        <w:bottom w:val="none" w:sz="0" w:space="0" w:color="auto"/>
        <w:right w:val="none" w:sz="0" w:space="0" w:color="auto"/>
      </w:divBdr>
      <w:divsChild>
        <w:div w:id="1342123862">
          <w:marLeft w:val="0"/>
          <w:marRight w:val="0"/>
          <w:marTop w:val="0"/>
          <w:marBottom w:val="0"/>
          <w:divBdr>
            <w:top w:val="none" w:sz="0" w:space="0" w:color="auto"/>
            <w:left w:val="none" w:sz="0" w:space="0" w:color="auto"/>
            <w:bottom w:val="none" w:sz="0" w:space="0" w:color="auto"/>
            <w:right w:val="none" w:sz="0" w:space="0" w:color="auto"/>
          </w:divBdr>
          <w:divsChild>
            <w:div w:id="993145333">
              <w:marLeft w:val="0"/>
              <w:marRight w:val="0"/>
              <w:marTop w:val="0"/>
              <w:marBottom w:val="0"/>
              <w:divBdr>
                <w:top w:val="none" w:sz="0" w:space="0" w:color="auto"/>
                <w:left w:val="none" w:sz="0" w:space="0" w:color="auto"/>
                <w:bottom w:val="none" w:sz="0" w:space="0" w:color="auto"/>
                <w:right w:val="none" w:sz="0" w:space="0" w:color="auto"/>
              </w:divBdr>
              <w:divsChild>
                <w:div w:id="5941712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24409260">
              <w:marLeft w:val="0"/>
              <w:marRight w:val="0"/>
              <w:marTop w:val="0"/>
              <w:marBottom w:val="0"/>
              <w:divBdr>
                <w:top w:val="none" w:sz="0" w:space="0" w:color="auto"/>
                <w:left w:val="none" w:sz="0" w:space="0" w:color="auto"/>
                <w:bottom w:val="none" w:sz="0" w:space="0" w:color="auto"/>
                <w:right w:val="none" w:sz="0" w:space="0" w:color="auto"/>
              </w:divBdr>
              <w:divsChild>
                <w:div w:id="1314848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C8B5F-D887-4A2D-BF72-EA7CE7014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5</TotalTime>
  <Pages>6</Pages>
  <Words>806</Words>
  <Characters>7108</Characters>
  <Application>Microsoft Office Word</Application>
  <DocSecurity>0</DocSecurity>
  <Lines>129</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2018-07-04T10:06:00Z</cp:lastPrinted>
  <dcterms:created xsi:type="dcterms:W3CDTF">2018-07-05T08:05:00Z</dcterms:created>
  <dcterms:modified xsi:type="dcterms:W3CDTF">2018-07-12T17:30:00Z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Yellow (DQC version 03)</vt:lpwstr>
  </property>
  <property name="OP_sanitized" fmtid="{D5CDD505-2E9C-101B-9397-08002B2CF9AE}" pid="11">
    <vt:lpwstr>True</vt:lpwstr>
  </property>
</Properties>
</file>