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B1115729-E6F9-480F-8D3B-35B60C870092" style="width:450.8pt;height:409.4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PERUSTELUT</w:t>
      </w:r>
    </w:p>
    <w:p>
      <w:pPr>
        <w:pStyle w:val="ManualHeading1"/>
        <w:rPr>
          <w:noProof/>
        </w:rPr>
      </w:pPr>
      <w:r>
        <w:rPr>
          <w:noProof/>
        </w:rPr>
        <w:t>1.</w:t>
      </w:r>
      <w:r>
        <w:rPr>
          <w:noProof/>
        </w:rPr>
        <w:tab/>
        <w:t>EHDOTUKSEN TAUSTA</w:t>
      </w:r>
    </w:p>
    <w:p>
      <w:pPr>
        <w:pStyle w:val="ManualHeading2"/>
        <w:rPr>
          <w:rFonts w:eastAsia="Arial Unicode MS"/>
          <w:noProof/>
        </w:rPr>
      </w:pPr>
      <w:r>
        <w:rPr>
          <w:noProof/>
          <w:color w:val="000000"/>
          <w:u w:color="000000"/>
          <w:bdr w:val="nil"/>
        </w:rPr>
        <w:t>•</w:t>
      </w:r>
      <w:r>
        <w:rPr>
          <w:noProof/>
        </w:rPr>
        <w:tab/>
        <w:t>Ehdotuksen perustelut ja tavoitteet</w:t>
      </w:r>
    </w:p>
    <w:p>
      <w:pPr>
        <w:spacing w:before="0"/>
        <w:rPr>
          <w:noProof/>
        </w:rPr>
      </w:pPr>
      <w:r>
        <w:rPr>
          <w:noProof/>
        </w:rPr>
        <w:t xml:space="preserve">Tämä ehdotus on osa kestävää kehitystä koskevaa laajempaa komission aloitetta. Siinä luodaan perusta EU:n kehykselle, jolla ympäristöön, yhteiskuntaan ja hallintotapaan liittyvät tekijät, jäljempänä ’ESG-tekijät’, otetaan keskeiseksi osaksi rahoitusjärjestelmää, jotta Euroopan talous voisi siirtyä vihreämpään ja kestävämpään kiertotalouteen. ESG-tekijät olisi otettava huomioon sijoituspäätöksissä, jotta sijoitukset olisivat kestävämpiä. </w:t>
      </w:r>
    </w:p>
    <w:p>
      <w:pPr>
        <w:spacing w:before="0"/>
        <w:rPr>
          <w:noProof/>
        </w:rPr>
      </w:pPr>
      <w:r>
        <w:rPr>
          <w:noProof/>
        </w:rPr>
        <w:t>Tällä ehdotuksella ja sen rinnalla ehdotetuilla säädöksillä pyritään siihen, että ESG-tekijät otetaan johdonmukaisesti huomioon sijoitus- ja neuvontamenettelyissä  kaikilla sektoreilla. Näin pyritään varmistamaan, että saadessaan asiakkailtaan tai edunsaajiltaan toimeksiannon tehdä niiden puolesta sijoituspäätöksiä finanssimarkkinatoimijat (arvopapereihin kohdistuvaa yhteistä sijoitustoimintaa harjoittavien yritysten rahastoyhtiöt, vaihtoehtoisten sijoitusrahastojen hoitajat, vakuutusyritykset, ammatillisia lisäeläkkeitä tarjoavat laitokset, eurooppalaisten riskipääomarahastojen hoitajat (EuVECA-rahaston hoitajat), eurooppalaisten yhteiskunnalliseen yrittäjyyteen erikoistuneiden rahastojen hoitajat (EuSEF-rahaston hoitajat) ja sijoituspalveluyritykset) sisällyttävät ESG-tekijät sisäisiin menettelyihinsä ja antavat asiakkailleen niitä koskevia tietoja. Ehdotuksella varmistettaisiin myös, että sijoituspalveluyritykset ja neuvontaa tarjoavat vakuutusedustajat pitävät ESG-tekijöitä arvokkaana osana neuvontaa ja velvollisuutena sijoittajia kohtaan ja että ne antavat sijoittajille niitä koskevia tietoja. Lisäksi ehdotuksella otetaan käyttöön uusia vähähiilisyyden ja positiivisen hiilivaikutuksen vertailuarvoja koskevia luokkia, jotta sijoittajat voivat vertailla sijoitusten hiilijalanjälkiä. Näillä toisiaan tukevilla ehdotuksilla on tarkoitus helpottaa sijoituksia kestäviin hankkeisiin ja kohteisiin koko EU:ssa.</w:t>
      </w:r>
    </w:p>
    <w:p>
      <w:pPr>
        <w:spacing w:before="0"/>
        <w:rPr>
          <w:noProof/>
        </w:rPr>
      </w:pPr>
      <w:r>
        <w:rPr>
          <w:noProof/>
        </w:rPr>
        <w:t xml:space="preserve">Komission paketti on kestävämpää taloutta koskevien maailmanlaajuisten tavoitteiden mukainen. Hyväksymällä </w:t>
      </w:r>
      <w:r>
        <w:rPr>
          <w:b/>
          <w:noProof/>
        </w:rPr>
        <w:t>vuoden 2016 Pariisin ilmastosopimuksen</w:t>
      </w:r>
      <w:r>
        <w:rPr>
          <w:noProof/>
        </w:rPr>
        <w:t xml:space="preserve"> ja </w:t>
      </w:r>
      <w:r>
        <w:rPr>
          <w:b/>
          <w:noProof/>
        </w:rPr>
        <w:t>Yhdistyneiden kansakuntien kestävän kehityksen toimintaohjelman (Agenda 2030)</w:t>
      </w:r>
      <w:r>
        <w:rPr>
          <w:noProof/>
        </w:rPr>
        <w:t xml:space="preserve"> valtiot ympäri maailmaa sitoutuivat tukemaan planeettamme kestävämpää kehitystä ja kestävämpää taloutta. </w:t>
      </w:r>
    </w:p>
    <w:p>
      <w:pPr>
        <w:spacing w:before="0"/>
        <w:rPr>
          <w:noProof/>
        </w:rPr>
      </w:pPr>
      <w:r>
        <w:rPr>
          <w:noProof/>
        </w:rPr>
        <w:t>EU on sitoutunut edistämään kehitystä, joka vastaa nykypäivän tarpeisiin vaarantamatta tulevien sukupolvien mahdollisuutta vastata omiin tarpeisiinsa. Kestävyys on jo pitkään ollut Eurooppa-hankkeen ytimessä. EU:n perussopimuksissa tunnustetaan sen sosiaalinen ja ympäristöulottuvuus ja se, että niitä ei voi erottaa toisistaan.</w:t>
      </w:r>
    </w:p>
    <w:p>
      <w:pPr>
        <w:suppressAutoHyphens/>
        <w:spacing w:before="0"/>
        <w:rPr>
          <w:noProof/>
        </w:rPr>
      </w:pPr>
      <w:r>
        <w:rPr>
          <w:noProof/>
        </w:rPr>
        <w:t xml:space="preserve">Vuonna 2016 annetussa </w:t>
      </w:r>
      <w:r>
        <w:rPr>
          <w:b/>
          <w:noProof/>
        </w:rPr>
        <w:t>komission tiedonannossa</w:t>
      </w:r>
      <w:r>
        <w:rPr>
          <w:rStyle w:val="FootnoteReference"/>
          <w:noProof/>
        </w:rPr>
        <w:footnoteReference w:id="1"/>
      </w:r>
      <w:r>
        <w:rPr>
          <w:b/>
          <w:noProof/>
        </w:rPr>
        <w:t xml:space="preserve"> seuraavista toimista Euroopan kestävän tulevaisuuden varmistamiseksi</w:t>
      </w:r>
      <w:r>
        <w:rPr>
          <w:noProof/>
        </w:rPr>
        <w:t xml:space="preserve"> Yhdistyneiden kansakuntien kestävän kehityksen toimintaohjelman (Agenda 2030) kestävän kehityksen tavoitteet sisällytetään eurooppalaiseen toimintakehykseen, jotta varmistetaan, että ne ovat jo lähtökohtaisesti osa kaikkia EU:n toimia ja poliittisia aloitteita EU:ssa ja koko maailmassa. EU on täysin sitoutunut saavuttamaan vuoden 2030 ilmasto- ja energiatavoitteensa ja ottamaan kestävän kehityksen osaksi politiikkojaan, kuten Jean-Claude Juncker ilmoitti </w:t>
      </w:r>
      <w:r>
        <w:rPr>
          <w:b/>
          <w:noProof/>
        </w:rPr>
        <w:t>vuonna 2014</w:t>
      </w:r>
      <w:r>
        <w:rPr>
          <w:noProof/>
        </w:rPr>
        <w:t xml:space="preserve"> </w:t>
      </w:r>
      <w:r>
        <w:rPr>
          <w:b/>
          <w:noProof/>
        </w:rPr>
        <w:t>Euroopan komission poliittisissa suuntaviivoissa</w:t>
      </w:r>
      <w:r>
        <w:rPr>
          <w:rStyle w:val="FootnoteReference"/>
          <w:noProof/>
        </w:rPr>
        <w:footnoteReference w:id="2"/>
      </w:r>
      <w:r>
        <w:rPr>
          <w:noProof/>
        </w:rPr>
        <w:t xml:space="preserve">. Sen vuoksi EU:n ilmastotavoitteet liittyvät moniin Euroopan komission poliittisiin prioriteettialoihin vuosina 2014–2020, ja niillä pannaan täytäntöön </w:t>
      </w:r>
      <w:r>
        <w:rPr>
          <w:noProof/>
        </w:rPr>
        <w:lastRenderedPageBreak/>
        <w:t xml:space="preserve">kestävän kehityksen Agenda 2030 -toimintaohjelmaa. Tällaisia toimia ovat muun muassa </w:t>
      </w:r>
      <w:r>
        <w:rPr>
          <w:b/>
          <w:noProof/>
        </w:rPr>
        <w:t>Euroopan investointiohjelma</w:t>
      </w:r>
      <w:r>
        <w:rPr>
          <w:rStyle w:val="FootnoteReference"/>
          <w:noProof/>
        </w:rPr>
        <w:footnoteReference w:id="3"/>
      </w:r>
      <w:r>
        <w:rPr>
          <w:noProof/>
        </w:rPr>
        <w:t xml:space="preserve">, </w:t>
      </w:r>
      <w:r>
        <w:rPr>
          <w:b/>
          <w:noProof/>
        </w:rPr>
        <w:t>kiertotalouspaketti</w:t>
      </w:r>
      <w:r>
        <w:rPr>
          <w:noProof/>
        </w:rPr>
        <w:t xml:space="preserve">, </w:t>
      </w:r>
      <w:r>
        <w:rPr>
          <w:b/>
          <w:noProof/>
        </w:rPr>
        <w:t>energiaunionipaketti</w:t>
      </w:r>
      <w:r>
        <w:rPr>
          <w:noProof/>
        </w:rPr>
        <w:t xml:space="preserve">, </w:t>
      </w:r>
      <w:r>
        <w:rPr>
          <w:b/>
          <w:noProof/>
        </w:rPr>
        <w:t>EU:n biotalousstrategian tarkistus</w:t>
      </w:r>
      <w:r>
        <w:rPr>
          <w:rStyle w:val="FootnoteReference"/>
          <w:noProof/>
        </w:rPr>
        <w:footnoteReference w:id="4"/>
      </w:r>
      <w:r>
        <w:rPr>
          <w:noProof/>
        </w:rPr>
        <w:t xml:space="preserve">, </w:t>
      </w:r>
      <w:r>
        <w:rPr>
          <w:b/>
          <w:noProof/>
        </w:rPr>
        <w:t>pääomamarkkinaunioni</w:t>
      </w:r>
      <w:r>
        <w:rPr>
          <w:rStyle w:val="FootnoteReference"/>
          <w:noProof/>
        </w:rPr>
        <w:footnoteReference w:id="5"/>
      </w:r>
      <w:r>
        <w:rPr>
          <w:noProof/>
        </w:rPr>
        <w:t xml:space="preserve"> ja </w:t>
      </w:r>
      <w:r>
        <w:rPr>
          <w:b/>
          <w:noProof/>
        </w:rPr>
        <w:t>EU:n talousarvio vuosiksi 2014–2020</w:t>
      </w:r>
      <w:r>
        <w:rPr>
          <w:noProof/>
        </w:rPr>
        <w:t xml:space="preserve">, mukaan lukien </w:t>
      </w:r>
      <w:r>
        <w:rPr>
          <w:b/>
          <w:noProof/>
        </w:rPr>
        <w:t>koheesiorahasto</w:t>
      </w:r>
      <w:r>
        <w:rPr>
          <w:noProof/>
        </w:rPr>
        <w:t xml:space="preserve"> ja tutkimushankkeet. Lisäksi komissio on perustanut sidosryhmäfoorumin kestävän kehityksen tavoitteiden täytäntöönpanon seuraamiseksi ja parhaiden käytäntöjen vaihtamiseksi.</w:t>
      </w:r>
    </w:p>
    <w:p>
      <w:pPr>
        <w:spacing w:before="0"/>
        <w:rPr>
          <w:noProof/>
        </w:rPr>
      </w:pPr>
      <w:r>
        <w:rPr>
          <w:noProof/>
        </w:rPr>
        <w:t>EU:n kestävyystavoitteiden saavuttaminen edellyttää merkittäviä investointeja. Jo pelkästään ilmasto- ja energiatavoitteiden saavuttamisen vuoteen 2030 mennessä arvioidaan edellyttävän 180 miljardin euron vuotuisia lisäinvestointeja</w:t>
      </w:r>
      <w:r>
        <w:rPr>
          <w:rStyle w:val="FootnoteReference"/>
          <w:noProof/>
        </w:rPr>
        <w:footnoteReference w:id="6"/>
      </w:r>
      <w:r>
        <w:rPr>
          <w:noProof/>
        </w:rPr>
        <w:t>. Huomattavan osan näistä rahavirroista on tultava yksityiseltä sektorilta. Investointivajeen paikkaaminen edellyttää yksityisten pääomavirtojen tuntuvaa ohjaamista kestävämpiin sijoituksiin ja Euroopan rahoituskehyksen kokonaisvaltaista muutosta.</w:t>
      </w:r>
    </w:p>
    <w:p>
      <w:pPr>
        <w:spacing w:before="0"/>
        <w:rPr>
          <w:noProof/>
        </w:rPr>
      </w:pPr>
      <w:r>
        <w:rPr>
          <w:noProof/>
        </w:rPr>
        <w:t xml:space="preserve">Komissio perusti joulukuussa 2016 </w:t>
      </w:r>
      <w:r>
        <w:rPr>
          <w:b/>
          <w:noProof/>
        </w:rPr>
        <w:t>korkean tason asiantuntijaryhmän</w:t>
      </w:r>
      <w:r>
        <w:rPr>
          <w:noProof/>
        </w:rPr>
        <w:t xml:space="preserve"> laatimaan kattavan ja kokonaisvaltaisen kestävää rahoitusta koskevan EU:n strategian. Ryhmän raportissa, joka julkaistiin 31. tammikuuta 2018, esitetään kokonaisvaltainen visio kestävästä eurooppalaisesta rahoituksesta, ja siinä edellytetään Euroopan rahoitusjärjestelmältä kahta asiaa. Ensinnäkin rahoituksen vaikutusta kestävään ja osallistavaan kasvuun on lisättävä. Toiseksi rahoitusvakautta on lujitettava sisällyttämällä ympäristöön, yhteiskuntaan ja hallintotapaan liittyvät tekijät sijoituspäätösten tekoon. Seurantatoimena komissio julkaisi 7. maaliskuuta 2018 </w:t>
      </w:r>
      <w:r>
        <w:rPr>
          <w:b/>
          <w:noProof/>
        </w:rPr>
        <w:t>kestävän kasvun rahoitusta koskevan toimintasuunnitelman</w:t>
      </w:r>
      <w:r>
        <w:rPr>
          <w:rStyle w:val="FootnoteReference"/>
          <w:noProof/>
        </w:rPr>
        <w:footnoteReference w:id="7"/>
      </w:r>
      <w:r>
        <w:rPr>
          <w:noProof/>
        </w:rPr>
        <w:t>.</w:t>
      </w:r>
    </w:p>
    <w:p>
      <w:pPr>
        <w:rPr>
          <w:noProof/>
        </w:rPr>
      </w:pPr>
      <w:r>
        <w:rPr>
          <w:noProof/>
        </w:rPr>
        <w:t>Rahoitustuotteita, olivatpa ne sijoitusrahastoja, henkivakuutuksia tai eläketuotteita, ja salkunhoitopalveluja tarjotaan sijoittajien pääoman keräämiseksi ja tämän pääoman sijoittamiseksi kollektiivisesti valikoimaan rahoitusinstrumentteja, joita ovat esimerkiksi osakkeet, obligaatiot ja muut arvopaperit. Vaikka voimassa olevissa direktiivin 2009/65/EY</w:t>
      </w:r>
      <w:r>
        <w:rPr>
          <w:rStyle w:val="FootnoteReference"/>
          <w:noProof/>
        </w:rPr>
        <w:footnoteReference w:id="8"/>
      </w:r>
      <w:r>
        <w:rPr>
          <w:noProof/>
        </w:rPr>
        <w:t>, direktiivin 2009/138/EY</w:t>
      </w:r>
      <w:r>
        <w:rPr>
          <w:rStyle w:val="FootnoteReference"/>
          <w:noProof/>
        </w:rPr>
        <w:footnoteReference w:id="9"/>
      </w:r>
      <w:r>
        <w:rPr>
          <w:noProof/>
        </w:rPr>
        <w:t>, direktiivin  2011/61/EU</w:t>
      </w:r>
      <w:r>
        <w:rPr>
          <w:rStyle w:val="FootnoteReference"/>
          <w:noProof/>
        </w:rPr>
        <w:footnoteReference w:id="10"/>
      </w:r>
      <w:r>
        <w:rPr>
          <w:noProof/>
        </w:rPr>
        <w:t>, direktiivin 2014/65/EU</w:t>
      </w:r>
      <w:r>
        <w:rPr>
          <w:rStyle w:val="FootnoteReference"/>
          <w:noProof/>
        </w:rPr>
        <w:footnoteReference w:id="11"/>
      </w:r>
      <w:r>
        <w:rPr>
          <w:noProof/>
        </w:rPr>
        <w:t xml:space="preserve"> ja direktiivin </w:t>
      </w:r>
      <w:r>
        <w:rPr>
          <w:noProof/>
        </w:rPr>
        <w:lastRenderedPageBreak/>
        <w:t>(EU) 2016/2341</w:t>
      </w:r>
      <w:r>
        <w:rPr>
          <w:rStyle w:val="FootnoteReference"/>
          <w:noProof/>
        </w:rPr>
        <w:footnoteReference w:id="12"/>
      </w:r>
      <w:r>
        <w:rPr>
          <w:noProof/>
        </w:rPr>
        <w:t xml:space="preserve"> säännöissä yhteisösijoittajien ja varainhoitajien edellytetään toimivan asiakkaidensa etujen mukaisesti ja jättävän varaa kestävyysriskeille, ne eivät arvioi niitä järjestelmällisesti eivätkä sisällytä niitä johdonmukaisella tavalla sijoituspäätöksiinsä tai tiedonantomenettelyihinsä. </w:t>
      </w:r>
    </w:p>
    <w:p>
      <w:pPr>
        <w:rPr>
          <w:noProof/>
        </w:rPr>
      </w:pPr>
      <w:r>
        <w:rPr>
          <w:noProof/>
        </w:rPr>
        <w:t xml:space="preserve">Direktiiviä 2009/65/EU ja direktiiviä 2011/61/EY täydentää neljä rahastoja koskevaa kehystä: </w:t>
      </w:r>
    </w:p>
    <w:p>
      <w:pPr>
        <w:pStyle w:val="Bullet0"/>
        <w:numPr>
          <w:ilvl w:val="0"/>
          <w:numId w:val="17"/>
        </w:numPr>
        <w:rPr>
          <w:noProof/>
        </w:rPr>
      </w:pPr>
      <w:r>
        <w:rPr>
          <w:noProof/>
        </w:rPr>
        <w:t>asetus (EU) N:o 345/2013</w:t>
      </w:r>
      <w:r>
        <w:rPr>
          <w:rStyle w:val="FootnoteReference"/>
          <w:noProof/>
        </w:rPr>
        <w:footnoteReference w:id="13"/>
      </w:r>
      <w:r>
        <w:rPr>
          <w:noProof/>
        </w:rPr>
        <w:t xml:space="preserve"> eurooppalaisista riskipääomarahastoista; </w:t>
      </w:r>
    </w:p>
    <w:p>
      <w:pPr>
        <w:pStyle w:val="Bullet0"/>
        <w:rPr>
          <w:noProof/>
        </w:rPr>
      </w:pPr>
      <w:r>
        <w:rPr>
          <w:noProof/>
        </w:rPr>
        <w:t>asetus (EU) N:o 346/2013</w:t>
      </w:r>
      <w:r>
        <w:rPr>
          <w:rStyle w:val="FootnoteReference"/>
          <w:noProof/>
        </w:rPr>
        <w:footnoteReference w:id="14"/>
      </w:r>
      <w:r>
        <w:rPr>
          <w:noProof/>
        </w:rPr>
        <w:t xml:space="preserve"> eurooppalaisista yhteiskunnalliseen yrittäjyyteen erikoistuneista rahastoista; </w:t>
      </w:r>
    </w:p>
    <w:p>
      <w:pPr>
        <w:pStyle w:val="Bullet0"/>
        <w:rPr>
          <w:noProof/>
        </w:rPr>
      </w:pPr>
      <w:r>
        <w:rPr>
          <w:noProof/>
        </w:rPr>
        <w:t>asetus (EU) 2015/760</w:t>
      </w:r>
      <w:r>
        <w:rPr>
          <w:rStyle w:val="FootnoteReference"/>
          <w:noProof/>
        </w:rPr>
        <w:footnoteReference w:id="15"/>
      </w:r>
      <w:r>
        <w:rPr>
          <w:noProof/>
        </w:rPr>
        <w:t xml:space="preserve"> eurooppalaisista pitkäaikaissijoitusrahastoista; ja </w:t>
      </w:r>
    </w:p>
    <w:p>
      <w:pPr>
        <w:pStyle w:val="Bullet0"/>
        <w:rPr>
          <w:noProof/>
        </w:rPr>
      </w:pPr>
      <w:r>
        <w:rPr>
          <w:noProof/>
        </w:rPr>
        <w:t>asetus (EU) 2017/1131</w:t>
      </w:r>
      <w:r>
        <w:rPr>
          <w:rStyle w:val="FootnoteReference"/>
          <w:noProof/>
        </w:rPr>
        <w:footnoteReference w:id="16"/>
      </w:r>
      <w:r>
        <w:rPr>
          <w:noProof/>
        </w:rPr>
        <w:t xml:space="preserve"> rahamarkkinarahastoista.</w:t>
      </w:r>
    </w:p>
    <w:p>
      <w:pPr>
        <w:rPr>
          <w:noProof/>
        </w:rPr>
      </w:pPr>
      <w:r>
        <w:rPr>
          <w:noProof/>
        </w:rPr>
        <w:t>Rahoitustuotteiden sääntely-ympäristön viimeistelevät direktiivissä 2014/65/EU ja direktiivissä (EU) 2016/97</w:t>
      </w:r>
      <w:r>
        <w:rPr>
          <w:rStyle w:val="FootnoteReference"/>
          <w:noProof/>
        </w:rPr>
        <w:footnoteReference w:id="17"/>
      </w:r>
      <w:r>
        <w:rPr>
          <w:noProof/>
        </w:rPr>
        <w:t xml:space="preserve"> vahvistetut jakelua koskevat säännöt, mukaan lukien neuvontaa koskevat säännöt. Näissä direktiiveissä edellytetään, että neuvontaa tarjoavat sijoituspalveluyritykset ja vakuutusedustajat toimivat asiakkaidensa etujen mukaisesti, mutta niissä ei kuitenkaan nimenomaisesti edellytetä ESG-riskien huomioon ottamista neuvonnassa eikä niihin liittyvien tietojen antamista.</w:t>
      </w:r>
    </w:p>
    <w:p>
      <w:pPr>
        <w:rPr>
          <w:noProof/>
        </w:rPr>
      </w:pPr>
      <w:r>
        <w:rPr>
          <w:noProof/>
        </w:rPr>
        <w:t>Direktiivillä (EU) 2016/2341 otettiin ensimmäinen askel kohti rahoituspalvelujen tiedonantokehystä, jossa ESG-tekijät otetaan tarkemmin huomioon. Osakkeenomistajien pitkäaikaista vaikuttamista koskevalla direktiivillä (EU) 2017/828</w:t>
      </w:r>
      <w:r>
        <w:rPr>
          <w:rStyle w:val="FootnoteReference"/>
          <w:noProof/>
        </w:rPr>
        <w:footnoteReference w:id="18"/>
      </w:r>
      <w:r>
        <w:rPr>
          <w:noProof/>
        </w:rPr>
        <w:t xml:space="preserve"> lisätään yhteisösijoittajien ja varainhoitajien avoimuusvelvoitteita ja vaaditaan niitä laatimaan ja julkaisemaan vaikuttamisstrategiat, joissa on kuvaus siitä, miten ne valvovat sijoituskohteena olevia yrityksiä muun kuin taloudellisen tuloksen sekä ympäristöön, yhteiskuntaan ja hallinnointi- ja ohjausjärjestelmään liittyvien tekijöiden osalta, ja julkaisemaan vuosittain tietoja vaikuttamispolitiikkansa täytäntöönpanosta. Tästä huolimatta ei ole edelleenkään riittävästi tietoa siitä, miten yhteisösijoittajat, varainhoitajat ja rahoitusneuvojat huomioivat kestävyysriskit sijoituksia koskevassa päätöksenteossaan tai neuvontamenettelyissään. Tämän seurauksena niiden asiakkaat eivät saa kaikkia tietoja, joita perustellut sijoituspäätökset ja -suositukset edellyttävät. Lisäksi yritysten, joihin sovelletaan tietyiltä suurilta yrityksiltä ja konserneilta edellytettävien muiden kuin taloudellisten tietojen ja monimuotoisuutta koskevien tietojen julkistamista koskevaa direktiiviä 2014/95/EU</w:t>
      </w:r>
      <w:r>
        <w:rPr>
          <w:rStyle w:val="FootnoteReference"/>
          <w:noProof/>
        </w:rPr>
        <w:footnoteReference w:id="19"/>
      </w:r>
      <w:r>
        <w:rPr>
          <w:noProof/>
        </w:rPr>
        <w:t xml:space="preserve">, jolla muutetaan </w:t>
      </w:r>
      <w:r>
        <w:rPr>
          <w:noProof/>
        </w:rPr>
        <w:lastRenderedPageBreak/>
        <w:t>tietyntyyppisten yritysten vuositilinpäätöksistä, konsernitilinpäätöksistä ja niihin liittyvistä kertomuksista annettua direktiiviä 2013/34/EU</w:t>
      </w:r>
      <w:r>
        <w:rPr>
          <w:rStyle w:val="FootnoteReference"/>
          <w:noProof/>
        </w:rPr>
        <w:footnoteReference w:id="20"/>
      </w:r>
      <w:r>
        <w:rPr>
          <w:noProof/>
        </w:rPr>
        <w:t>, on laadittava yritystensä toiminnan kehityksestä, tuloksesta, asemasta ja vaikutuksesta muita kuin taloudellisia tietoja koskevia selvityksiä, joissa käsitellään muun muassa ympäristöön, yhteiskuntaan ja työntekijöihin liittyviä seikkoja.</w:t>
      </w:r>
    </w:p>
    <w:p>
      <w:pPr>
        <w:pStyle w:val="ManualHeading2"/>
        <w:rPr>
          <w:rFonts w:eastAsia="Arial Unicode MS"/>
          <w:noProof/>
          <w:color w:val="000000"/>
          <w:u w:color="000000"/>
          <w:bdr w:val="nil"/>
        </w:rPr>
      </w:pPr>
      <w:r>
        <w:rPr>
          <w:noProof/>
          <w:color w:val="000000"/>
          <w:u w:color="000000"/>
          <w:bdr w:val="nil"/>
        </w:rPr>
        <w:t>•</w:t>
      </w:r>
      <w:r>
        <w:rPr>
          <w:noProof/>
        </w:rPr>
        <w:tab/>
        <w:t>Yhdenmukaisuus muiden alaa koskevien politiikkojen säännösten kanssa</w:t>
      </w:r>
    </w:p>
    <w:p>
      <w:pPr>
        <w:pBdr>
          <w:top w:val="nil"/>
          <w:left w:val="nil"/>
          <w:bottom w:val="nil"/>
          <w:right w:val="nil"/>
          <w:between w:val="nil"/>
          <w:bar w:val="nil"/>
        </w:pBdr>
        <w:spacing w:before="0" w:after="240"/>
        <w:rPr>
          <w:noProof/>
          <w:u w:color="000000"/>
          <w:bdr w:val="nil"/>
        </w:rPr>
      </w:pPr>
      <w:r>
        <w:rPr>
          <w:noProof/>
        </w:rPr>
        <w:t>Tällä ehdotuksella täydennetään asiaa koskevan lainsäädännön jo olemassa olevia säännöksiä uusilla lisävaatimuksilla. Uudet säännökset ovat johdonmukaisia kyseisen politiikan alalla voimassa olevien säännösten tavoitteiden kanssa, etenkin direktiivin 2009/65/EY, direktiivin 2009/138/EY, direktiivin 2011/61/EU, direktiivin 2014/65/EU, direktiivin (EU) 2016/97, direktiivin (EU) 2016/2341, asetuksen (EU) N:o 345/2013, asetuksen (EU) N:o 346/2013 ja asetuksen (EU) 2015/760 säännösten kanssa. Ehdotuksessa sovitetaan yhteen eri lainsäädäntökehysten säännöt ja turvataan niiden johdonmukaisuus.</w:t>
      </w:r>
    </w:p>
    <w:p>
      <w:pPr>
        <w:pStyle w:val="ManualHeading2"/>
        <w:rPr>
          <w:rFonts w:eastAsia="Arial Unicode MS"/>
          <w:noProof/>
        </w:rPr>
      </w:pPr>
      <w:r>
        <w:rPr>
          <w:noProof/>
          <w:color w:val="000000"/>
          <w:u w:color="000000"/>
          <w:bdr w:val="nil"/>
        </w:rPr>
        <w:t>•</w:t>
      </w:r>
      <w:r>
        <w:rPr>
          <w:noProof/>
        </w:rPr>
        <w:tab/>
        <w:t>Yhdenmukaisuus unionin muiden politiikkojen kanssa</w:t>
      </w:r>
    </w:p>
    <w:p>
      <w:pPr>
        <w:rPr>
          <w:noProof/>
        </w:rPr>
      </w:pPr>
      <w:r>
        <w:rPr>
          <w:noProof/>
        </w:rPr>
        <w:t xml:space="preserve">Ilmastonmuutoksen ja luonnonvarojen ehtymisen katastrofaaliset ja ennalta arvaamattomat seuraukset koettelevat Eurooppaa enenevissä määrin. Sen vuoksi kestävämpi talouskasvu – siirtyminen vähähiiliseen ja resurssitehokkaampaan kiertotalouteen ja avoimempaan pitkän aikavälin ajattelutapaan ja suunnitteluun varmistaen samalla rahoitusvakaus – on keskeinen tekijä unionin talouden pitkän aikavälin kilpailukyvyn varmistamisessa. Koska rahoitusjärjestelmän merkitys on tässä yhteydessä huomattava, yksityistä pääomaa on ohjattava kestävämpiin sijoituksiin. Tämä ajattelutapa on keskeisessä asemassa EU:n </w:t>
      </w:r>
      <w:r>
        <w:rPr>
          <w:b/>
          <w:noProof/>
        </w:rPr>
        <w:t>pääomamarkkinaunioni</w:t>
      </w:r>
      <w:r>
        <w:rPr>
          <w:noProof/>
        </w:rPr>
        <w:t>hankkeessa</w:t>
      </w:r>
      <w:r>
        <w:rPr>
          <w:rStyle w:val="FootnoteReference"/>
          <w:noProof/>
        </w:rPr>
        <w:footnoteReference w:id="21"/>
      </w:r>
      <w:r>
        <w:rPr>
          <w:noProof/>
        </w:rPr>
        <w:t xml:space="preserve">. </w:t>
      </w:r>
    </w:p>
    <w:p>
      <w:pPr>
        <w:rPr>
          <w:noProof/>
        </w:rPr>
      </w:pPr>
      <w:r>
        <w:rPr>
          <w:noProof/>
        </w:rPr>
        <w:t>Käsillä oleva ehdotus täydentää mainittua tavoitetta ja on yksi pääomamarkkinaunionia koskevan toimintasuunnitelman väliarvioinnissa esitetyistä ensisijaisista toimista, sillä se sisältää toimia, joilla hyödynnetään rahoitusteknologian muutosvoimaa ja ohjataan yksityistä pääomaa kestäviin sijoituksiin. Se edistää yhdentyneempien pääomamarkkinoiden kehittymistä, koska sen myötä sijoittajat pystyvät paremmin hyötymään sisämarkkinoista ja tekemään tietoon perustuvia päätöksiä.</w:t>
      </w:r>
    </w:p>
    <w:p>
      <w:pPr>
        <w:pBdr>
          <w:top w:val="nil"/>
          <w:left w:val="nil"/>
          <w:bottom w:val="nil"/>
          <w:right w:val="nil"/>
          <w:between w:val="nil"/>
          <w:bar w:val="nil"/>
        </w:pBdr>
        <w:spacing w:before="0" w:after="240"/>
        <w:rPr>
          <w:noProof/>
        </w:rPr>
      </w:pPr>
      <w:r>
        <w:rPr>
          <w:noProof/>
        </w:rPr>
        <w:t xml:space="preserve">Tämä ehdotus on osa laajempaa EU:n pakettia, jolla pyritään toteuttamaan EU:n ilmastoagendaa ja kestävän kehityksen toimintaohjelmaa ja myötävaikuttamaan vuosille 2014–2020 asetettuihin unionin energia- ja ilmastotavoitteisiin, joita ovat esimerkiksi </w:t>
      </w:r>
      <w:r>
        <w:rPr>
          <w:b/>
          <w:noProof/>
        </w:rPr>
        <w:t>puhtaan ilman politiikka, kiertotalouspaketti, energiaunionistrategia mukaan lukien puhdasta energiaa kaikille eurooppalaisille -säädöspaketti ja EU:n strategia ilmastonmuutokseen sopeutumiseksi</w:t>
      </w:r>
      <w:r>
        <w:rPr>
          <w:noProof/>
        </w:rPr>
        <w:t xml:space="preserve">. Toisin kuin muissa EU:n aloitteissa tässä aloitteessa keskitytään yksinomaan yksityisen sektorin rahoituskysymyksiin. Se on johdonmukainen </w:t>
      </w:r>
      <w:r>
        <w:rPr>
          <w:b/>
          <w:noProof/>
        </w:rPr>
        <w:t>Euroopan finanssivalvontajärjestelmän uudelleentarkastelun</w:t>
      </w:r>
      <w:r>
        <w:rPr>
          <w:rStyle w:val="FootnoteReference"/>
          <w:noProof/>
        </w:rPr>
        <w:footnoteReference w:id="22"/>
      </w:r>
      <w:r>
        <w:rPr>
          <w:noProof/>
        </w:rPr>
        <w:t xml:space="preserve"> kanssa, jossa on määrä </w:t>
      </w:r>
      <w:r>
        <w:rPr>
          <w:noProof/>
        </w:rPr>
        <w:lastRenderedPageBreak/>
        <w:t>tehdä muutoksia Euroopan pankkiviranomaisen</w:t>
      </w:r>
      <w:r>
        <w:rPr>
          <w:rStyle w:val="FootnoteReference"/>
          <w:noProof/>
        </w:rPr>
        <w:footnoteReference w:id="23"/>
      </w:r>
      <w:r>
        <w:rPr>
          <w:noProof/>
        </w:rPr>
        <w:t>, Euroopan vakuutus- ja lisäeläkeviranomaisen</w:t>
      </w:r>
      <w:r>
        <w:rPr>
          <w:rStyle w:val="FootnoteReference"/>
          <w:noProof/>
        </w:rPr>
        <w:footnoteReference w:id="24"/>
      </w:r>
      <w:r>
        <w:rPr>
          <w:noProof/>
        </w:rPr>
        <w:t xml:space="preserve"> ja Euroopan arvopaperimarkkinaviranomaisen</w:t>
      </w:r>
      <w:r>
        <w:rPr>
          <w:rStyle w:val="FootnoteReference"/>
          <w:noProof/>
        </w:rPr>
        <w:footnoteReference w:id="25"/>
      </w:r>
      <w:r>
        <w:rPr>
          <w:noProof/>
        </w:rPr>
        <w:t xml:space="preserve"> perustamista koskeviin asetuksiin, jotta nämä viranomaiset ottaisivat tehtäviään suorittaessaan huomioon ympäristöön, yhteiskuntaan ja hallintotapaan liittyvät riskit. Näin siinä varmistetaan, että finanssimarkkinoiden toiminta on entistä johdonmukaisempaa kestävien tavoitteiden kanssa. Komission ehdotuksessa </w:t>
      </w:r>
      <w:r>
        <w:rPr>
          <w:b/>
          <w:noProof/>
        </w:rPr>
        <w:t>yleiseurooppalaisesta yksilöllisestä eläketuotteesta</w:t>
      </w:r>
      <w:r>
        <w:rPr>
          <w:noProof/>
        </w:rPr>
        <w:t xml:space="preserve"> (PEPP) edellytetään tietojen antamista ESG-tekijöistä</w:t>
      </w:r>
      <w:r>
        <w:rPr>
          <w:rStyle w:val="FootnoteReference"/>
          <w:noProof/>
        </w:rPr>
        <w:footnoteReference w:id="26"/>
      </w:r>
      <w:r>
        <w:rPr>
          <w:noProof/>
        </w:rPr>
        <w:t>.</w:t>
      </w:r>
    </w:p>
    <w:p>
      <w:pPr>
        <w:pStyle w:val="ManualHeading1"/>
        <w:rPr>
          <w:noProof/>
        </w:rPr>
      </w:pPr>
      <w:r>
        <w:rPr>
          <w:noProof/>
        </w:rPr>
        <w:t>2.</w:t>
      </w:r>
      <w:r>
        <w:rPr>
          <w:noProof/>
        </w:rPr>
        <w:tab/>
        <w:t>OIKEUSPERUSTA, TOISSIJAISUUSPERIAATE JA SUHTEELLISUUSPERIAATE</w:t>
      </w:r>
    </w:p>
    <w:p>
      <w:pPr>
        <w:pStyle w:val="ManualHeading2"/>
        <w:rPr>
          <w:rFonts w:eastAsia="Arial Unicode MS"/>
          <w:noProof/>
          <w:u w:color="000000"/>
          <w:bdr w:val="nil"/>
        </w:rPr>
      </w:pPr>
      <w:r>
        <w:rPr>
          <w:noProof/>
        </w:rPr>
        <w:t>•</w:t>
      </w:r>
      <w:r>
        <w:rPr>
          <w:noProof/>
        </w:rPr>
        <w:tab/>
        <w:t>Oikeusperusta</w:t>
      </w:r>
    </w:p>
    <w:p>
      <w:pPr>
        <w:pBdr>
          <w:top w:val="nil"/>
          <w:left w:val="nil"/>
          <w:bottom w:val="nil"/>
          <w:right w:val="nil"/>
          <w:between w:val="nil"/>
          <w:bar w:val="nil"/>
        </w:pBdr>
        <w:spacing w:before="0" w:after="240"/>
        <w:rPr>
          <w:noProof/>
        </w:rPr>
      </w:pPr>
      <w:r>
        <w:rPr>
          <w:noProof/>
        </w:rPr>
        <w:t>Tämä ehdotus kuuluu jaettuun toimivaltaan Euroopan unionin toiminnasta tehdyn sopimuksen (SEUT-sopimus) 4 artiklan 2 kohdan a alakohdan mukaisesti ja perustuu SEUT-sopimuksen 114 artiklaan, jonka nojalla voidaan hyväksyä sisämarkkinoiden toteuttamista ja toimintaa koskevia toimenpiteitä jäsenvaltioiden lakien, asetusten ja hallinnollisten määräysten lähentämiseksi.</w:t>
      </w:r>
    </w:p>
    <w:p>
      <w:pPr>
        <w:pBdr>
          <w:top w:val="nil"/>
          <w:left w:val="nil"/>
          <w:bottom w:val="nil"/>
          <w:right w:val="nil"/>
          <w:between w:val="nil"/>
          <w:bar w:val="nil"/>
        </w:pBdr>
        <w:spacing w:before="0" w:after="240"/>
        <w:rPr>
          <w:noProof/>
        </w:rPr>
      </w:pPr>
      <w:r>
        <w:rPr>
          <w:noProof/>
        </w:rPr>
        <w:t xml:space="preserve">Tietojen antaminen lopullisille sijoittajille lisää niiden suojaa, koska tavoitteena on antaa kattavammat lähtötiedot sijoituspäätösten tekemistä varten. Lopulliset sijoittajat eivät pysty tällä hetkellä hyötymään täysimääräisesti sisämarkkinoista, koska ei ole olemassa johdonmukaista tiedonantokehystä, jonka mukaisesti varainhoitajien (mukaan lukien salkunhoitoa tarjoavat sijoituspalveluyritykset, ammatillisia lisäeläkkeitä tarjoavat laitokset ja muut eläkelaitokset, vakuutusmuotoisia sijoitustuotteita saataville asettavat vakuutusyritykset, vakuutusedustajat ja neuvontaa tarjoavat sijoituspalveluyritykset) olisi otettava ESG-riskit huomioon. Myöskään kestäviin sijoituksiin tähtäävistä rahoitustuotteista ja -palveluista ei anneta lopullisille sijoittajille johdonmukaisesti tietoja. </w:t>
      </w:r>
    </w:p>
    <w:p>
      <w:pPr>
        <w:pBdr>
          <w:top w:val="nil"/>
          <w:left w:val="nil"/>
          <w:bottom w:val="nil"/>
          <w:right w:val="nil"/>
          <w:between w:val="nil"/>
          <w:bar w:val="nil"/>
        </w:pBdr>
        <w:spacing w:before="0" w:after="240"/>
        <w:rPr>
          <w:noProof/>
        </w:rPr>
      </w:pPr>
      <w:r>
        <w:rPr>
          <w:noProof/>
        </w:rPr>
        <w:t xml:space="preserve">Vaikutustenarvioinnin osana tehdyn analyysin mukaan ei ole olemassa sääntelykannustimia, joiden myötä finanssimarkkinatoimijat ja rahoitusneuvojat antaisivat lopullisille sijoittajille tietoja siitä, miten ne ottavat kestävyyteen liittyvät tekijät huomioon sijoituksia koskevassa päätöksentekoprosessissaan. Tämä puolestaan tekee tietoon perustuvien sijoituspäätösten tekemisen lopullisille sijoittajille vaikeammaksi ja kalliimmaksi. Tietojen antaminen on varainhoidossa ja vakuutus- ja eläkealoilla edelleen epäsystemaattista ja epäyhtenäistä, eikä se mahdollista vertailua. </w:t>
      </w:r>
    </w:p>
    <w:p>
      <w:pPr>
        <w:pBdr>
          <w:top w:val="nil"/>
          <w:left w:val="nil"/>
          <w:bottom w:val="nil"/>
          <w:right w:val="nil"/>
          <w:between w:val="nil"/>
          <w:bar w:val="nil"/>
        </w:pBdr>
        <w:spacing w:before="0" w:after="240"/>
        <w:rPr>
          <w:rFonts w:eastAsia="Arial Unicode MS"/>
          <w:noProof/>
          <w:u w:color="000000"/>
          <w:bdr w:val="nil"/>
        </w:rPr>
      </w:pPr>
      <w:r>
        <w:rPr>
          <w:noProof/>
        </w:rPr>
        <w:t xml:space="preserve">Vaikutustenarviointiraportissa todettiin, että jäsenvaltioiden ja rahoituspalvelusektoreiden välillä on suuria eroja. Lisäksi rinnalla kehittyy kaupallisiin prioriteetteihin perustuvia </w:t>
      </w:r>
      <w:r>
        <w:rPr>
          <w:noProof/>
        </w:rPr>
        <w:lastRenderedPageBreak/>
        <w:t>markkinaperusteisia käytäntöjä, jotka tuottavat eriäviä tuloksia ja aiheuttavat siten tarpeetonta markkinoiden pirstoutumista. Erilaiset tiedonantovaatimukset ja markkinaperusteiset käytännöt vaikeuttavat suuresti eri rahoitustuotteiden ja -palvelujen vertailua, luovat epätasapuoliset edellytykset eri rahoitustuotteille ja -palveluille, tuottajille sekä jakelukanaville ja muodostavat esteitä sisämarkkinoiden toiminnalle. Tällaiset erot voivat myös hämmentää lopullisia sijoittajia ja vääristää niiden sijoituspäätöksiä sekä vähentää mahdollisuuksia kestäviin sijoituksiin. Erilaiset vaatimukset ja toimintatavat rajoittavat perusvapauksia, ja niillä on siten suora vaikutus sisämarkkinoiden toimintaan. Koska finanssimarkkinatoimijat ovat kantava voima, jäsenvaltiot toteuttavat todennäköisesti toisistaan poikkeavia kansallisia toimenpiteitä Pariisin ilmastosopimuksen noudattamiseksi lisätäkseen kestäviä sijoituksia. Tällaiset toisistaan poikkeavat toimenpiteet voivat kuitenkin luoda esteitä sisämarkkinoiden moitteettomalle toiminnalle ja haitata finanssimarkkinatoimijoiden toimintaa. Tietojen antamista koskevilla säännöillä ei säännellä finanssimarkkinatoimijoiden ja rahoitusneuvojien markkinoille pääsyä vaan ohjataan niiden toimintatapaa. Säännöillä pyritään varmistamaan sisämarkkinoiden asianmukainen ja turvallinen toiminta, turvaamaan finanssimarkkinatoimijoiden ja rahoitusneuvojien välinen kilpailu ja säilyttämään innovoinnin kannustimet. Sen vuoksi asianmukainen oikeusperusta on SEUT-sopimuksen 114 artikla.</w:t>
      </w:r>
    </w:p>
    <w:p>
      <w:pPr>
        <w:pBdr>
          <w:top w:val="nil"/>
          <w:left w:val="nil"/>
          <w:bottom w:val="nil"/>
          <w:right w:val="nil"/>
          <w:between w:val="nil"/>
          <w:bar w:val="nil"/>
        </w:pBdr>
        <w:spacing w:before="0" w:after="240"/>
        <w:rPr>
          <w:noProof/>
        </w:rPr>
      </w:pPr>
      <w:r>
        <w:rPr>
          <w:noProof/>
        </w:rPr>
        <w:t>Rahastonhoitajien toiminnan aloittamista säännellään direktiivillä 2009/65/EY, direktiivillä 2011/61/EU, asetuksella (EU) N:o 345/2013 ja asetuksella (EU) N:o 346/2013. Ammatillisia lisäeläkkeitä tarjoavien laitosten toiminnan aloittamista säännellään direktiivillä (EU) 2016/2341, vakuutusyritysten direktiivillä 2009/138/EY, salkunhoitajien direktiivillä 2014/65/EU ja rahoitusneuvojien direktiivillä 2014/65/EU ja direktiivillä (EU) 2016/97. Mainittuihin finanssimarkkinatoimijoihin ja rahoitusneuvojiin tullaan edelleen soveltamaan kyseisiä kehyksiä, ja niissä vahvistettuja tiedonantovaatimuksia täydennetään tämän uuden asetuksen vaatimuksilla.</w:t>
      </w:r>
    </w:p>
    <w:p>
      <w:pPr>
        <w:pBdr>
          <w:top w:val="nil"/>
          <w:left w:val="nil"/>
          <w:bottom w:val="nil"/>
          <w:right w:val="nil"/>
          <w:between w:val="nil"/>
          <w:bar w:val="nil"/>
        </w:pBdr>
        <w:spacing w:before="0" w:after="240"/>
        <w:rPr>
          <w:noProof/>
        </w:rPr>
      </w:pPr>
      <w:r>
        <w:rPr>
          <w:noProof/>
        </w:rPr>
        <w:t>Tällä ehdotuksella muutetaan direktiiviä (EU) 2016/2341, joka perustuu SEUT-sopimuksen 53 artiklaan, 62 artiklaan ja 114 artiklan 1 kohtaan. Siinä siirretään komissiolle valta antaa delegoituja säädöksiä, joissa täsmennetään ESG-riskien arvioinnissa huomioon otettava varovaisuusperiaate ja ESG-tekijöiden sisällyttäminen sisäisiin sijoituspäätöksiin ja riskinhallintaprosesseihin. Koska ESG-riskien ja -tekijöiden pitäisi jo olla osa yleistä hallintotapaa ja riskinhallintaa, kyseiset toiminnot olisi järjestettävä niin, että ne ovat delegoitujen säädösten mukaisia. Komissio aikoo käyttää tällä hetkellä voimassa olevia säädösvallan siirtoja, joista säädetään direktiivissä 2009/65/EY, direktiivissä 2009/138/EY ja direktiivissä 2011/61/EU, ESG-riskien huomioon ottamisen täsmentämiseksi, ja direktiivissä (EU) 2016/2341 säädetyn säädösvallan siirron avulla se voi varmistaa sekä kuluttajansuojan ja tasapuoliset toimintaedellytykset ammatillisia lisäeläkkeitä tarjoavien laitosten ja muiden finanssimarkkinatoimijoiden välillä. Koska direktiiviin (EU) 2016/2341 ehdotetut muutokset koskevat ammatillisia lisäeläkkeitä tarjoavien laitosten sijoituskäyttäytymiseen liittyviä sääntöjä, asianmukainen oikeusperusta on SEUT-sopimuksen 114 artikla.</w:t>
      </w:r>
    </w:p>
    <w:p>
      <w:pPr>
        <w:pBdr>
          <w:top w:val="nil"/>
          <w:left w:val="nil"/>
          <w:bottom w:val="nil"/>
          <w:right w:val="nil"/>
          <w:between w:val="nil"/>
          <w:bar w:val="nil"/>
        </w:pBdr>
        <w:spacing w:before="0" w:after="240"/>
        <w:rPr>
          <w:rFonts w:eastAsia="Arial Unicode MS"/>
          <w:noProof/>
          <w:u w:color="000000"/>
          <w:bdr w:val="nil"/>
        </w:rPr>
      </w:pPr>
      <w:r>
        <w:rPr>
          <w:b/>
          <w:noProof/>
          <w:u w:color="000000"/>
          <w:bdr w:val="nil"/>
        </w:rPr>
        <w:t>•</w:t>
      </w:r>
      <w:r>
        <w:rPr>
          <w:noProof/>
        </w:rPr>
        <w:tab/>
      </w:r>
      <w:r>
        <w:rPr>
          <w:b/>
          <w:noProof/>
          <w:u w:color="000000"/>
          <w:bdr w:val="nil"/>
        </w:rPr>
        <w:t xml:space="preserve">Toissijaisuusperiaate (jaetun toimivallan osalta) </w:t>
      </w:r>
    </w:p>
    <w:p>
      <w:pPr>
        <w:pBdr>
          <w:top w:val="nil"/>
          <w:left w:val="nil"/>
          <w:bottom w:val="nil"/>
          <w:right w:val="nil"/>
          <w:between w:val="nil"/>
          <w:bar w:val="nil"/>
        </w:pBdr>
        <w:spacing w:before="0" w:after="240"/>
        <w:rPr>
          <w:rFonts w:eastAsia="Arial Unicode MS"/>
          <w:noProof/>
        </w:rPr>
      </w:pPr>
      <w:r>
        <w:rPr>
          <w:noProof/>
        </w:rPr>
        <w:t>Tässä ehdotuksessa noudatetaan Euroopan unionista tehdyn sopimuksen, jäljempänä ’SEU-sopimus’, 5 artiklassa määrättyä toissijaisuusperiaatetta.</w:t>
      </w:r>
    </w:p>
    <w:p>
      <w:pPr>
        <w:pBdr>
          <w:top w:val="nil"/>
          <w:left w:val="nil"/>
          <w:bottom w:val="nil"/>
          <w:right w:val="nil"/>
          <w:between w:val="nil"/>
          <w:bar w:val="nil"/>
        </w:pBdr>
        <w:spacing w:before="0" w:after="240"/>
        <w:rPr>
          <w:rFonts w:eastAsia="Arial Unicode MS"/>
          <w:noProof/>
        </w:rPr>
      </w:pPr>
      <w:r>
        <w:rPr>
          <w:noProof/>
        </w:rPr>
        <w:t xml:space="preserve">Toissijaisuusperiaatteen mukaan unionin toimia voidaan toteuttaa vain, jos jäsenvaltiot eivät voi yksin saavuttaa asetettuja tavoitteita. Todetut ongelmat eivät rajoitu ainoastaan yhden jäsenvaltion alueelle. Sen vuoksi ehdotuksen tavoitteena on varmistaa koordinoitu ratkaisu </w:t>
      </w:r>
      <w:r>
        <w:rPr>
          <w:noProof/>
        </w:rPr>
        <w:lastRenderedPageBreak/>
        <w:t>puutteisiin, jotka johtuvat nykyisestä finanssimarkkinatoimijoita ja rahoitusneuvojia koskevasta EU:n lainsäädännöstä. Perussopimuksen mukaisten vapauksien käyttämisen yhdenmukaisuus ja oikeusvarmuus voidaan taata paremmin EU:n tason toimilla.</w:t>
      </w:r>
    </w:p>
    <w:p>
      <w:pPr>
        <w:pStyle w:val="ManualHeading2"/>
        <w:rPr>
          <w:rFonts w:eastAsia="Arial Unicode MS"/>
          <w:noProof/>
          <w:u w:color="000000"/>
          <w:bdr w:val="nil"/>
        </w:rPr>
      </w:pPr>
      <w:r>
        <w:rPr>
          <w:noProof/>
        </w:rPr>
        <w:t>•</w:t>
      </w:r>
      <w:r>
        <w:rPr>
          <w:noProof/>
        </w:rPr>
        <w:tab/>
        <w:t>Suhteellisuusperiaate</w:t>
      </w:r>
    </w:p>
    <w:p>
      <w:pPr>
        <w:pBdr>
          <w:top w:val="nil"/>
          <w:left w:val="nil"/>
          <w:bottom w:val="nil"/>
          <w:right w:val="nil"/>
          <w:between w:val="nil"/>
          <w:bar w:val="nil"/>
        </w:pBdr>
        <w:spacing w:before="0" w:after="240"/>
        <w:rPr>
          <w:rFonts w:eastAsia="Arial Unicode MS"/>
          <w:b/>
          <w:noProof/>
        </w:rPr>
      </w:pPr>
      <w:r>
        <w:rPr>
          <w:noProof/>
        </w:rPr>
        <w:t>Tässä ehdotuksessa noudatetaan SEU-sopimuksen 5 artiklassa määrättyä suhteellisuusperiaatetta. Ehdotetut toimenpiteet ovat tarpeen avoimuutta koskevien tavoitteiden saavuttamiseksi ja niiden kustannusten vähentämiseksi, joita sijoittajille aiheutuu sen määrittämisestä, miten kestävyysriskit on sisällytetty finanssimarkkinatoimijoiden ja rahoitusneuvojien sijoitusprosesseihin. Tältä osin tietojen saatavuus ja laatu ovat keskeinen tekijä, kun halutaan luoda tasavertaiset mahdollisuudet varmistamalla yhdenmukainen toimintatapa kaikilla sektoreilla ja kaikissa jäsenvaltioissa. Kuuleminen osoitti, että ESG-tekijöiden huomioon ottamisesta ja toimintaan sisällyttämisestä aiheutuvat kustannukset ovat vähäiset.</w:t>
      </w:r>
    </w:p>
    <w:p>
      <w:pPr>
        <w:pBdr>
          <w:top w:val="nil"/>
          <w:left w:val="nil"/>
          <w:bottom w:val="nil"/>
          <w:right w:val="nil"/>
          <w:between w:val="nil"/>
          <w:bar w:val="nil"/>
        </w:pBdr>
        <w:spacing w:before="0" w:after="240"/>
        <w:rPr>
          <w:rFonts w:eastAsia="Arial Unicode MS"/>
          <w:b/>
          <w:noProof/>
        </w:rPr>
      </w:pPr>
      <w:r>
        <w:rPr>
          <w:noProof/>
        </w:rPr>
        <w:t>Tämän ehdotuksen liitteenä olevassa vaikutustenarviointiraportissa todetaan, että direktiivissä 2009/65/EY, direktiivissä 2009/138/EY, direktiivissä 2011/61/EU, direktiivissä 2014/65/EU, direktiivissä (EU) 2016/97, direktiivissä (EU) 2016/2341, asetuksessa (EU) No 345/2013 ja asetuksessa (EU) No 346/2013 ei nimenomaisesti edellytetä kestävyyden huomioon ottamista ja sitä koskevien tietojen antamista. Tällä ehdotuksella pyritään vähentämään kustannuksia, joita lopullisille sijoittajille aiheutuu kestäviä sijoituksia koskevan tiedon hakemisesta.</w:t>
      </w:r>
    </w:p>
    <w:p>
      <w:pPr>
        <w:pBdr>
          <w:top w:val="nil"/>
          <w:left w:val="nil"/>
          <w:bottom w:val="nil"/>
          <w:right w:val="nil"/>
          <w:between w:val="nil"/>
          <w:bar w:val="nil"/>
        </w:pBdr>
        <w:spacing w:before="0" w:after="240"/>
        <w:rPr>
          <w:noProof/>
          <w:u w:color="000000"/>
          <w:bdr w:val="nil"/>
        </w:rPr>
      </w:pPr>
      <w:r>
        <w:rPr>
          <w:noProof/>
        </w:rPr>
        <w:t>Ehdotuksella ei näin ollen ylitetä sitä, mikä on tarpeen ongelmien ratkaisemiseksi EU:n tasolla.</w:t>
      </w:r>
    </w:p>
    <w:p>
      <w:pPr>
        <w:pStyle w:val="ManualHeading2"/>
        <w:rPr>
          <w:rFonts w:eastAsia="Arial Unicode MS"/>
          <w:noProof/>
          <w:u w:color="000000"/>
          <w:bdr w:val="nil"/>
        </w:rPr>
      </w:pPr>
      <w:r>
        <w:rPr>
          <w:noProof/>
        </w:rPr>
        <w:t>•</w:t>
      </w:r>
      <w:r>
        <w:rPr>
          <w:noProof/>
        </w:rPr>
        <w:tab/>
        <w:t>Toimintatavan valinta</w:t>
      </w:r>
    </w:p>
    <w:p>
      <w:pPr>
        <w:rPr>
          <w:noProof/>
        </w:rPr>
      </w:pPr>
      <w:r>
        <w:rPr>
          <w:noProof/>
        </w:rPr>
        <w:t xml:space="preserve">Tähän ehdotukseen sisältyy säännöksiä, joilla puututaan koordinoidusti sijoittajansuojaa koskevien toimenpiteiden puutteisiin ja lisätään lopullisten sijoittajien oikeusvarmuutta. Kestävyysriskien huomioon ottamisen ja kestävien sijoitusten tekemisen avoimuuteen liittyviä puutteita ei voida ratkaista ainoastaan muuttamalla direktiiviä 2009/65/EY, direktiiviä 2009/138/EY, direktiiviä 2011/61/EU, direktiiviä 2014/65/EU, direktiiviä (EU) 2016/97, direktiiviä (EU) 2016/2341, asetusta (EU) No 345/2013 ja asetusta (EU) No 346/2013, koska se voisi johtaa epäyhtenäiseen täytäntöönpanoon. Ehdotuksen tavoitteena on lisätä kestävyysriskien huomioon ottamisen ja kestävien sijoitusten tekemisen avoimuutta. Näiden poliittisten tavoitteiden saavuttamiseksi on tarpeen antaa suoraan sovellettava, täysin yhdenmukaistettu asetus, mikä on paras tapa päästä mahdollisimman suureen yhdenmukaisuuteen eri sääntelykehysten välillä ja välttää eroavaisuuksia. </w:t>
      </w:r>
    </w:p>
    <w:p>
      <w:pPr>
        <w:pStyle w:val="ManualHeading1"/>
        <w:rPr>
          <w:noProof/>
        </w:rPr>
      </w:pPr>
      <w:r>
        <w:rPr>
          <w:noProof/>
        </w:rPr>
        <w:t>3.</w:t>
      </w:r>
      <w:r>
        <w:rPr>
          <w:noProof/>
        </w:rPr>
        <w:tab/>
        <w:t>JÄLKIARVIOINTIEN, SIDOSRYHMIEN KUULEMISTEN JA VAIKUTUSTENARVIOINTIEN TULOKSET</w:t>
      </w:r>
    </w:p>
    <w:p>
      <w:pPr>
        <w:pStyle w:val="ManualHeading2"/>
        <w:rPr>
          <w:rFonts w:eastAsia="Arial Unicode MS"/>
          <w:noProof/>
          <w:u w:color="000000"/>
          <w:bdr w:val="nil"/>
        </w:rPr>
      </w:pPr>
      <w:r>
        <w:rPr>
          <w:noProof/>
        </w:rPr>
        <w:t>•</w:t>
      </w:r>
      <w:r>
        <w:rPr>
          <w:noProof/>
        </w:rPr>
        <w:tab/>
        <w:t>Sidosryhmien kuuleminen</w:t>
      </w:r>
    </w:p>
    <w:p>
      <w:pPr>
        <w:pBdr>
          <w:top w:val="nil"/>
          <w:left w:val="nil"/>
          <w:bottom w:val="nil"/>
          <w:right w:val="nil"/>
          <w:between w:val="nil"/>
          <w:bar w:val="nil"/>
        </w:pBdr>
        <w:spacing w:before="0" w:after="240"/>
        <w:rPr>
          <w:noProof/>
        </w:rPr>
      </w:pPr>
      <w:r>
        <w:rPr>
          <w:b/>
          <w:noProof/>
        </w:rPr>
        <w:t>Pitkäaikaisia ja kestäviä sijoituksia koskevaan julkiseen kuulemiseen</w:t>
      </w:r>
      <w:r>
        <w:rPr>
          <w:noProof/>
        </w:rPr>
        <w:t xml:space="preserve"> (18. joulukuuta 2015–31. maaliskuuta 2016) annettujen vastausten mukaan yhteisösijoittajien ja varainhoitajien velvoitteiden sekä ESG-seikkojen välinen yhteys on heikko, markkinat eivät ota ESG-riskejä riittävän hyvin huomioon eivätkä markkinat reagoi riittävästi ESG-mahdollisuuksiin. </w:t>
      </w:r>
    </w:p>
    <w:p>
      <w:pPr>
        <w:pBdr>
          <w:top w:val="nil"/>
          <w:left w:val="nil"/>
          <w:bottom w:val="nil"/>
          <w:right w:val="nil"/>
          <w:between w:val="nil"/>
          <w:bar w:val="nil"/>
        </w:pBdr>
        <w:spacing w:before="0" w:after="240"/>
        <w:rPr>
          <w:noProof/>
        </w:rPr>
      </w:pPr>
      <w:r>
        <w:rPr>
          <w:noProof/>
        </w:rPr>
        <w:t xml:space="preserve">Kestävää rahoitusta käsittelevä korkean tason asiantuntijaryhmä perustettiin joulukuussa 2016 antamaan suosituksia kestävää rahoitusta koskevan EU:n strategian laatimiseksi. Se julkaisi </w:t>
      </w:r>
      <w:r>
        <w:rPr>
          <w:noProof/>
        </w:rPr>
        <w:lastRenderedPageBreak/>
        <w:t xml:space="preserve">heinäkuun puolivälissä 2017 </w:t>
      </w:r>
      <w:r>
        <w:rPr>
          <w:b/>
          <w:noProof/>
        </w:rPr>
        <w:t>väliraportin ”Financing a Sustainable European Economy</w:t>
      </w:r>
      <w:r>
        <w:rPr>
          <w:noProof/>
        </w:rPr>
        <w:t xml:space="preserve">”, joka esiteltiin sidosryhmätapahtumassa 18. heinäkuuta 2017, jolloin esiteltiin myös </w:t>
      </w:r>
      <w:r>
        <w:rPr>
          <w:b/>
          <w:noProof/>
        </w:rPr>
        <w:t>kuulemislomake</w:t>
      </w:r>
      <w:r>
        <w:rPr>
          <w:noProof/>
        </w:rPr>
        <w:t xml:space="preserve">. Palautekooste julkaistiin yhdessä </w:t>
      </w:r>
      <w:r>
        <w:rPr>
          <w:b/>
          <w:noProof/>
        </w:rPr>
        <w:t>loppuraportin ”Financing a Sustainable European Economy”</w:t>
      </w:r>
      <w:r>
        <w:rPr>
          <w:noProof/>
        </w:rPr>
        <w:t xml:space="preserve"> kanssa 31. tammikuuta 2018. Palautekoosteessa kootaan yhteen vastaajien kyselylomakkeeseen antamat vastaukset. Kaikissa vastauksissa oli havaittavissa tiettyjä voimakkaita trendejä, kuten </w:t>
      </w:r>
    </w:p>
    <w:p>
      <w:pPr>
        <w:pStyle w:val="Bullet0"/>
        <w:numPr>
          <w:ilvl w:val="0"/>
          <w:numId w:val="17"/>
        </w:numPr>
        <w:rPr>
          <w:noProof/>
        </w:rPr>
      </w:pPr>
      <w:r>
        <w:rPr>
          <w:noProof/>
        </w:rPr>
        <w:t>EU:n laajuisen kestävyysstrategian tärkeys;</w:t>
      </w:r>
    </w:p>
    <w:p>
      <w:pPr>
        <w:pStyle w:val="Bullet0"/>
        <w:numPr>
          <w:ilvl w:val="0"/>
          <w:numId w:val="17"/>
        </w:numPr>
        <w:rPr>
          <w:noProof/>
        </w:rPr>
      </w:pPr>
      <w:r>
        <w:rPr>
          <w:noProof/>
        </w:rPr>
        <w:t>miten tärkeää on tarjota suotuisa ympäristö kestäville sijoituksille ja vastaavalle rahoitukselle;</w:t>
      </w:r>
    </w:p>
    <w:p>
      <w:pPr>
        <w:pStyle w:val="Bullet0"/>
        <w:numPr>
          <w:ilvl w:val="0"/>
          <w:numId w:val="17"/>
        </w:numPr>
        <w:rPr>
          <w:noProof/>
        </w:rPr>
      </w:pPr>
      <w:r>
        <w:rPr>
          <w:noProof/>
        </w:rPr>
        <w:t>tarve määritellä yhteisösijoittajille ja varainhoitajille asetettavat kestävyyteen liittyvät velvoitteet, jotka voidaan laajentaa koskemaan laajempia ympäristö-, yhteiskunnallisia ja hallinnollisia näkökohtia – velvollisuuksiin olisi kuuluttava myös kestävän kehityksen käsite;</w:t>
      </w:r>
    </w:p>
    <w:p>
      <w:pPr>
        <w:pStyle w:val="Bullet0"/>
        <w:numPr>
          <w:ilvl w:val="0"/>
          <w:numId w:val="17"/>
        </w:numPr>
        <w:rPr>
          <w:noProof/>
        </w:rPr>
      </w:pPr>
      <w:r>
        <w:rPr>
          <w:noProof/>
        </w:rPr>
        <w:t>tarve parantaa tietojen antamista.</w:t>
      </w:r>
    </w:p>
    <w:p>
      <w:pPr>
        <w:pBdr>
          <w:top w:val="nil"/>
          <w:left w:val="nil"/>
          <w:bottom w:val="nil"/>
          <w:right w:val="nil"/>
          <w:between w:val="nil"/>
          <w:bar w:val="nil"/>
        </w:pBdr>
        <w:spacing w:before="0" w:after="240"/>
        <w:rPr>
          <w:noProof/>
        </w:rPr>
      </w:pPr>
      <w:r>
        <w:rPr>
          <w:noProof/>
        </w:rPr>
        <w:t xml:space="preserve">Komissio sai kahdeksan vastausta </w:t>
      </w:r>
      <w:r>
        <w:rPr>
          <w:b/>
          <w:noProof/>
        </w:rPr>
        <w:t>alustavaan vaikutustenarviointiin, joka koski yhteisösijoittajille ja varainhoitajille asetettavia kestävyyteen liittyviä velvoitteita</w:t>
      </w:r>
      <w:r>
        <w:rPr>
          <w:noProof/>
        </w:rPr>
        <w:t xml:space="preserve"> (13. marraskuuta 2017–11. joulukuuta 2017). Kaikissa niissä tuettiin komission tekemää työtä sen varmistamiseksi, että kestävyystekijöitä arvioidaan, että ne otetaan johdonmukaisesti huomioon ja että niistä annetaan tietoja yhteisösijoittajille ja varainhoitajille. Lisäksi kaikissa niissä viitattiin esimerkiksi avoimuuteen ja tietojen antamiseen, ESG-tekijöiden huomioon ottamisen valvontaan, sijoittajien velvoitteiden selkeyteen voimassa olevassa EU:n lainsäädännössä sekä käytettävissä olevien tietojen vertailukelpoisuuteen ja luotettavuuteen tai riskinhallintaan ja hallintojärjestelyihin.</w:t>
      </w:r>
    </w:p>
    <w:p>
      <w:pPr>
        <w:pBdr>
          <w:top w:val="nil"/>
          <w:left w:val="nil"/>
          <w:bottom w:val="nil"/>
          <w:right w:val="nil"/>
          <w:between w:val="nil"/>
          <w:bar w:val="nil"/>
        </w:pBdr>
        <w:spacing w:before="0" w:after="240"/>
        <w:rPr>
          <w:noProof/>
        </w:rPr>
      </w:pPr>
      <w:r>
        <w:rPr>
          <w:noProof/>
        </w:rPr>
        <w:t xml:space="preserve">Komissio järjesti sidosryhmille tämän lisäksi </w:t>
      </w:r>
      <w:r>
        <w:rPr>
          <w:b/>
          <w:noProof/>
        </w:rPr>
        <w:t>julkisen kuulemisen yhteisösijoittajille ja varainhoitajille asetettavista kestävyyteen liittyvistä velvoitteista</w:t>
      </w:r>
      <w:r>
        <w:rPr>
          <w:noProof/>
        </w:rPr>
        <w:t xml:space="preserve"> (13. marraskuuta 2017–29. tammikuuta 2018). Kuulemisissa käsiteltiin kahta kestävää rahoitusta käsittelevän korkean tason asiantuntijaryhmän antaman väliraportin kahdeksasta suosituksesta, ja siinä haluttiin kuulla näkemyksiä muun muassa ESG-tekijöiden huomioon ottamisesta yhteisösijoittajien ja varainhoitajien toiminnassa. Komissio sai kuulemiseen 191 vastausta.</w:t>
      </w:r>
    </w:p>
    <w:p>
      <w:pPr>
        <w:pBdr>
          <w:top w:val="nil"/>
          <w:left w:val="nil"/>
          <w:bottom w:val="nil"/>
          <w:right w:val="nil"/>
          <w:between w:val="nil"/>
          <w:bar w:val="nil"/>
        </w:pBdr>
        <w:spacing w:before="0" w:after="240"/>
        <w:rPr>
          <w:noProof/>
        </w:rPr>
      </w:pPr>
      <w:r>
        <w:rPr>
          <w:noProof/>
        </w:rPr>
        <w:t xml:space="preserve">Komissio myös </w:t>
      </w:r>
      <w:r>
        <w:rPr>
          <w:b/>
          <w:noProof/>
        </w:rPr>
        <w:t>haastatteli sidosryhmiä kohdennetusti</w:t>
      </w:r>
      <w:r>
        <w:rPr>
          <w:noProof/>
        </w:rPr>
        <w:t xml:space="preserve"> (tammikuu–helmikuu 2018) eli se haastatteli keskisuuria/suuria varainhoitajia ja yhteisösijoittajia (vakuutusyritykset ja eläkerahastot), jotka ovat jo sisällyttäneet ESG-tekijöitä sijoituksia koskevaan päätöksentekoonsa ja/tai jotka tarjoavat sosiaalisesti vastuullisia sijoitustuotteita. Haastatteluja tehtiin 23 yhteisössä, ja niissä käytettiin kyselylomakkeita. Suurin osa haastatelluista yhteisöistä oli sitä mieltä, että on tarpeen selkeyttää EU:n tasolla, kuuluuko EGS-riskien arvioiminen ja tarvittaessa niiden huomioon ottaminen yhteisösijoittajien ja varainhoitajien velvoitteisiin. Haastatellut yhteisöt antoivat lisätietoa eri osa-alueista, kuten sijoitusstrategiasta, riskinhallinnasta, hallintotoimista (esimerkiksi ESG-erityiskomitea, ESG-kysymyksistä vastaava hallituksen jäsen, ESG:hen liittyvät sisäiset valvontaprosessit), sitoutuneisuudesta sijoituskohteisiin nähden ja äänestyskäytännöistä. Jotkin yhteisöt mainitsivat myös, että niillä on käytössä erillisiä ESG-toimintatapoja, että niiden on raportoitava ESG-komitealle ja hallitukselle ja että niiden palkitsemisjärjestelmät ovat ESG:n mukaisia. Varainhoitajat totesivat, että ESG-tekijöiden huomioon ottamisen hyötyjä ovat positiiviset vaikutukset taloudelliseen tulokseen (etenkin pitkällä aikavälillä), niiden hoitaman salkun riski/tuotto-suhteen parantuminen, ESG-tekijöiden huomioon ottamisen tuoma maineen parantuminen ja uusien asiakkaiden saaminen. Vakuutuksenantajat ja eläkelaitokset </w:t>
      </w:r>
      <w:r>
        <w:rPr>
          <w:noProof/>
        </w:rPr>
        <w:lastRenderedPageBreak/>
        <w:t>totesivat, että kysyntä sijoittajien keskuudessa on kasvanut. Useimmat haastatelluista yhteisöistä julkaisevat ESG-tietoja yhteisön tasolla ja vuosikertomuksissa/määräaikaiskatsauksissa, kun taas jotkin antavat asiakaskohtaisesti tietoja, jotka eivät ole julkisia. Jotkin yhteisöt ovat alkaneet julkaista ESG-tietoja tuotetasolla.</w:t>
      </w:r>
    </w:p>
    <w:p>
      <w:pPr>
        <w:rPr>
          <w:noProof/>
        </w:rPr>
      </w:pPr>
      <w:r>
        <w:rPr>
          <w:noProof/>
        </w:rPr>
        <w:t xml:space="preserve">Komissio järjesti 18. heinäkuuta 2017 konferenssin ”Sustainable Finance: Interim Report”. Noin 450 edustajalla oli tilaisuus keskustella kestävää rahoitusta käsittelevän korkean tason asiantuntijaryhmän väliraportista ja antaa palautetta. Komissio järjesti myös korkean tason konferenssin ”Financing sustainable growth” 22. maaliskuuta 2018 pitääkseen yllä One Planet </w:t>
      </w:r>
      <w:r>
        <w:rPr>
          <w:noProof/>
        </w:rPr>
        <w:noBreakHyphen/>
        <w:t>huippukokouksen nostetta ja vakiinnuttaakseen EU:n johtajien ja keskeisten yksityisten toimijoiden tuen ja sitoutumisen, jotta saadaan aikaan tarvittavat rahoitusjärjestelmän muutokset vähähiiliseen talouteen siirtymisen rahoittamista varten.</w:t>
      </w:r>
    </w:p>
    <w:p>
      <w:pPr>
        <w:pStyle w:val="ManualHeading2"/>
        <w:rPr>
          <w:rFonts w:eastAsia="Arial Unicode MS"/>
          <w:noProof/>
          <w:u w:color="000000"/>
          <w:bdr w:val="nil"/>
        </w:rPr>
      </w:pPr>
      <w:r>
        <w:rPr>
          <w:noProof/>
        </w:rPr>
        <w:t>•</w:t>
      </w:r>
      <w:r>
        <w:rPr>
          <w:noProof/>
        </w:rPr>
        <w:tab/>
        <w:t>Asiantuntijatiedon keruu ja käyttö</w:t>
      </w:r>
    </w:p>
    <w:p>
      <w:pPr>
        <w:pBdr>
          <w:top w:val="nil"/>
          <w:left w:val="nil"/>
          <w:bottom w:val="nil"/>
          <w:right w:val="nil"/>
          <w:between w:val="nil"/>
          <w:bar w:val="nil"/>
        </w:pBdr>
        <w:spacing w:before="0" w:after="240"/>
        <w:rPr>
          <w:noProof/>
        </w:rPr>
      </w:pPr>
      <w:r>
        <w:rPr>
          <w:noProof/>
        </w:rPr>
        <w:t>Komissio hyödynsi useita Yhdistyneiden kansakuntien ympäristöohjelman, OECD:n, kestävää rahoitusta käsittelevän korkean tason asiantuntijaryhmän, Eurosifin, tutkijoiden, ajatushautomoiden ja Euroopan sijoitusrahastojen ja sijoitusyhtiöiden liiton (FEFSI) tutkimuksia, tietoja ja tietolähteitä sekä yksityisten yritysten markkinaraportteja ja selvityksiä. Prosessissa tukeuduttiin myös vuonna 2015 julkaistuun komission tutkimukseen, joka koski sijoittajien resurssitehokkuutta ja luottamusvelvollisuuksia. Lisäksi komissio käytti kahdesta kestävää rahoitusta koskevasta Horisontti 2020 -puiteohjelman hankkeesta saatua kokemusta (kestävään energiaan tehtävien sijoitusten mittareiden, vertailuarvojen ja arviointityökalujen kehittäminen rahoitusalaa varten ja energiakäänteen riskit ja mahdollisuudet).</w:t>
      </w:r>
    </w:p>
    <w:p>
      <w:pPr>
        <w:pStyle w:val="ManualHeading2"/>
        <w:rPr>
          <w:rFonts w:eastAsia="Arial Unicode MS"/>
          <w:noProof/>
          <w:u w:color="000000"/>
          <w:bdr w:val="nil"/>
        </w:rPr>
      </w:pPr>
      <w:r>
        <w:rPr>
          <w:noProof/>
        </w:rPr>
        <w:t>•</w:t>
      </w:r>
      <w:r>
        <w:rPr>
          <w:noProof/>
        </w:rPr>
        <w:tab/>
        <w:t>Vaikutustenarviointi</w:t>
      </w:r>
    </w:p>
    <w:p>
      <w:pPr>
        <w:pBdr>
          <w:top w:val="nil"/>
          <w:left w:val="nil"/>
          <w:bottom w:val="nil"/>
          <w:right w:val="nil"/>
          <w:between w:val="nil"/>
          <w:bar w:val="nil"/>
        </w:pBdr>
        <w:spacing w:before="0" w:after="240"/>
        <w:rPr>
          <w:noProof/>
        </w:rPr>
      </w:pPr>
      <w:r>
        <w:rPr>
          <w:noProof/>
        </w:rPr>
        <w:t xml:space="preserve">Tämän aloitteen valmistelemiseksi tehtiin vaikutustenarviointi. </w:t>
      </w:r>
    </w:p>
    <w:p>
      <w:pPr>
        <w:pBdr>
          <w:top w:val="nil"/>
          <w:left w:val="nil"/>
          <w:bottom w:val="nil"/>
          <w:right w:val="nil"/>
          <w:between w:val="nil"/>
          <w:bar w:val="nil"/>
        </w:pBdr>
        <w:spacing w:before="0" w:after="240"/>
        <w:rPr>
          <w:noProof/>
        </w:rPr>
      </w:pPr>
      <w:r>
        <w:rPr>
          <w:noProof/>
        </w:rPr>
        <w:t xml:space="preserve">Ehdotuksessa otetaan huomioon sääntelyntarkastelulautakunnan antama lausunto (14. toukokuuta 2018 annettu myönteinen lausunto tietyin varaumin ja sitä edeltäneet kaksi kielteistä lausuntoa). Ehdotuksessa ja tarkistetussa vaikutustenarvioinnissa käsitellään sääntelyntarkastelulautakunnan huomautuksia; lausunnoissa todettiin, että ennen aloitteen viemistä eteenpäin, siihen on tehtävä joitakin mukautuksia. Lautakunnan suurin huolenaihe olivat tiedonantovaatimuksista sekä pienemmille liikkeeseenlaskijoille että suuremmille rahoitusyhteisöille aiheutuvat kustannukset. Vaikutustenarviointiraportissa esitetyissä toimintavaihtoehdoissa lautakunnan huomautukset otetaan huomioon seuraavasti: </w:t>
      </w:r>
    </w:p>
    <w:p>
      <w:pPr>
        <w:pStyle w:val="Point0"/>
        <w:rPr>
          <w:noProof/>
        </w:rPr>
      </w:pPr>
      <w:r>
        <w:rPr>
          <w:noProof/>
        </w:rPr>
        <w:t>a)</w:t>
      </w:r>
      <w:r>
        <w:rPr>
          <w:noProof/>
        </w:rPr>
        <w:tab/>
        <w:t>selvennetään kestävyysriskien huomioon ottamiseksi annettavia tietoja ja sellaisiin rahoitustuotteisiin ja -palveluihin liittyviä tiedonantovaatimuksia, joilla pyritään kestäviin sijoituksiin;</w:t>
      </w:r>
    </w:p>
    <w:p>
      <w:pPr>
        <w:pStyle w:val="Point0"/>
        <w:rPr>
          <w:noProof/>
        </w:rPr>
      </w:pPr>
      <w:r>
        <w:rPr>
          <w:noProof/>
        </w:rPr>
        <w:t>b)</w:t>
      </w:r>
      <w:r>
        <w:rPr>
          <w:noProof/>
        </w:rPr>
        <w:tab/>
        <w:t>määritetään kannustimia, joiden myötä finanssimarkkinatoimijat ja rahoitusneuvojat voivat vähentää sijoitusten kohdeyhtiöille mahdollisesti aiheutuvia kustannuksia eli käytetään toimintakertomuksissa tai muita kuin taloudellisia tietoja koskevissa selvityksissä annettavia tietoja direktiivin 2013/34/EU mukaisesti;</w:t>
      </w:r>
    </w:p>
    <w:p>
      <w:pPr>
        <w:pStyle w:val="Point0"/>
        <w:rPr>
          <w:noProof/>
        </w:rPr>
      </w:pPr>
      <w:r>
        <w:rPr>
          <w:noProof/>
        </w:rPr>
        <w:t>c)</w:t>
      </w:r>
      <w:r>
        <w:rPr>
          <w:noProof/>
        </w:rPr>
        <w:tab/>
        <w:t>annetaan esimerkkejä tilanteista, joissa tiedot ja data eivät välttämättä ole markkinoilla suoraan saatavilla tai saatavilla olevat tiedot ovat heikkolaatuisia ja/tai vertailukelvottomia;</w:t>
      </w:r>
    </w:p>
    <w:p>
      <w:pPr>
        <w:pStyle w:val="Point0"/>
        <w:rPr>
          <w:noProof/>
        </w:rPr>
      </w:pPr>
      <w:r>
        <w:rPr>
          <w:noProof/>
        </w:rPr>
        <w:t>d)</w:t>
      </w:r>
      <w:r>
        <w:rPr>
          <w:noProof/>
        </w:rPr>
        <w:tab/>
        <w:t xml:space="preserve">parannetaan kustannusten ja hyötyjen suhteen esitysmuotoa. </w:t>
      </w:r>
    </w:p>
    <w:p>
      <w:pPr>
        <w:pBdr>
          <w:top w:val="nil"/>
          <w:left w:val="nil"/>
          <w:bottom w:val="nil"/>
          <w:right w:val="nil"/>
          <w:between w:val="nil"/>
          <w:bar w:val="nil"/>
        </w:pBdr>
        <w:spacing w:before="0" w:after="240"/>
        <w:rPr>
          <w:noProof/>
        </w:rPr>
      </w:pPr>
      <w:r>
        <w:rPr>
          <w:noProof/>
        </w:rPr>
        <w:t>Yleisesti ottaen vaikutustenarvioinnissa tarkasteltiin seuraavia toimintavaihtoehtoja:</w:t>
      </w:r>
    </w:p>
    <w:p>
      <w:pPr>
        <w:pStyle w:val="Point0"/>
        <w:rPr>
          <w:noProof/>
        </w:rPr>
      </w:pPr>
      <w:r>
        <w:rPr>
          <w:noProof/>
        </w:rPr>
        <w:lastRenderedPageBreak/>
        <w:t>a)</w:t>
      </w:r>
      <w:r>
        <w:rPr>
          <w:noProof/>
        </w:rPr>
        <w:tab/>
        <w:t>vaaditaan nimenomaisesti ESG-riskien sisällyttämistä sijoituspäätöksiin ja neuvontamenettelyihin osana velvoitteita sijoittajia ja/tai edunsaajia kohtaan;</w:t>
      </w:r>
    </w:p>
    <w:p>
      <w:pPr>
        <w:pStyle w:val="Point0"/>
        <w:rPr>
          <w:noProof/>
        </w:rPr>
      </w:pPr>
      <w:r>
        <w:rPr>
          <w:noProof/>
        </w:rPr>
        <w:t>b)</w:t>
      </w:r>
      <w:r>
        <w:rPr>
          <w:noProof/>
        </w:rPr>
        <w:tab/>
        <w:t>otetaan käyttöön finanssimarkkinatoimijoiden ja rahoitusneuvojien pakolliset tiedonantovelvollisuudet, jotka koskevat ESG-riskien sisällyttämistä  sijoituspäätöksiin ja neuvontamenettelyihin;</w:t>
      </w:r>
    </w:p>
    <w:p>
      <w:pPr>
        <w:pStyle w:val="Point0"/>
        <w:rPr>
          <w:noProof/>
        </w:rPr>
      </w:pPr>
      <w:r>
        <w:rPr>
          <w:noProof/>
        </w:rPr>
        <w:t>c)</w:t>
      </w:r>
      <w:r>
        <w:rPr>
          <w:noProof/>
        </w:rPr>
        <w:tab/>
        <w:t>otetaan tiettyjen rahoitustuotteiden ja -palvelujen osalta käyttöön pakolliset tiedonantovelvollisuudet, jotka koskevat ESG-riskien sisällyttämistä sijoituspäätöksiin ja neuvontamenettelyihin;</w:t>
      </w:r>
    </w:p>
    <w:p>
      <w:pPr>
        <w:pStyle w:val="Point0"/>
        <w:rPr>
          <w:noProof/>
        </w:rPr>
      </w:pPr>
      <w:r>
        <w:rPr>
          <w:noProof/>
        </w:rPr>
        <w:t>d)</w:t>
      </w:r>
      <w:r>
        <w:rPr>
          <w:noProof/>
        </w:rPr>
        <w:tab/>
        <w:t xml:space="preserve">lisäksi jos finanssimarkkinatoimijat ja rahoitusneuvojat markkinoivat rahoitustuotteita tai -palveluja, joilla pyritään kestäviin sijoitustavoitteisiin, velvoitetaan ne antamaan tietoja siitä, miten sijoituspäätökset myötävaikuttavat kestäviin sijoitustavoitteisiin (tietojen antaminen jälkikäteen määräaikaisselvityksissä), ja siitä, miten sijoitusstrategia sopii yhteen kestävien sijoitustavoitteiden kanssa (tietojen antaminen etukäteen sopimusta edeltävissä asiakirjoissa ja sopimusasiakirjoissa). </w:t>
      </w:r>
    </w:p>
    <w:p>
      <w:pPr>
        <w:pBdr>
          <w:top w:val="nil"/>
          <w:left w:val="nil"/>
          <w:bottom w:val="nil"/>
          <w:right w:val="nil"/>
          <w:between w:val="nil"/>
          <w:bar w:val="nil"/>
        </w:pBdr>
        <w:spacing w:before="0" w:after="240"/>
        <w:rPr>
          <w:noProof/>
        </w:rPr>
      </w:pPr>
      <w:r>
        <w:rPr>
          <w:noProof/>
        </w:rPr>
        <w:t>Tämä asetus sisältää toimintavaihtoehdot a, b, c  ja d. Toimintavaihtoehto a katetaan direktiiviin (EU) 2016/2341 tehtävällä muutoksella, jolla annetaan komissiolle valta antaa asiaa koskevia delegoituja säädöksiä.</w:t>
      </w:r>
    </w:p>
    <w:p>
      <w:pPr>
        <w:pBdr>
          <w:top w:val="nil"/>
          <w:left w:val="nil"/>
          <w:bottom w:val="nil"/>
          <w:right w:val="nil"/>
          <w:between w:val="nil"/>
          <w:bar w:val="nil"/>
        </w:pBdr>
        <w:spacing w:before="0" w:after="240"/>
        <w:rPr>
          <w:noProof/>
        </w:rPr>
      </w:pPr>
      <w:r>
        <w:rPr>
          <w:noProof/>
        </w:rPr>
        <w:t>Sidosryhmiltä saatu palaute osoitti, että selkeällä ja johdonmukaisella suhtautumisella ESG-riskien huomioon ottamiseen olisi seuraavat taloudelliset vaikutukset. Ensinnäkin lopullisilla sijoittajilla olisi enemmän tietoa siitä, miten finanssimarkkinatoimijat ja rahoitusneuvojat sisällyttävät ESG-riskit sijoituksia koskevaan päätöksentekoprosessiin tai neuvontamenettelyihin.  ESG-riskit otettaisiin järjestelmällisemmin huomioon rahoituksen mallintamisessa, mikä johtaisi optimaaliseen riskin ja tuoton suhteeseen ainakin pitkällä aikavälillä ja edistäisi siten markkinoiden tehokkuutta. Moninaisten sekä rahoitukseen että muihin tekijöihin liittyvien seikkojen huomioon ottaminen rohkaisee finanssimarkkinatoimijoita ja rahoitusneuvojia laatimaan innovatiivisia sijoitusstrategioita ja suosituksia ja luomaan edellytyksiä, jotka houkuttelevat uusia sijoittajia. Viime kädessä tämä lisää kilpailua ja kannustaa yhteisöjä soveltamaan tiukkoja ESG-vaatimuksia.</w:t>
      </w:r>
    </w:p>
    <w:p>
      <w:pPr>
        <w:pBdr>
          <w:top w:val="nil"/>
          <w:left w:val="nil"/>
          <w:bottom w:val="nil"/>
          <w:right w:val="nil"/>
          <w:between w:val="nil"/>
          <w:bar w:val="nil"/>
        </w:pBdr>
        <w:spacing w:before="0" w:after="240"/>
        <w:rPr>
          <w:noProof/>
        </w:rPr>
      </w:pPr>
      <w:r>
        <w:rPr>
          <w:noProof/>
        </w:rPr>
        <w:t>Sidosryhmien palaute osoitti myös, että ESG:n kustannukset ovat osa yleisiä sisäisiä ja organisatorisia kustannuksia, jotka liittyvät riskinhallintaan ja tiettyjen vastuiden seurantaan. Tämän aloitteen myötä finanssimarkkinatoimijoille ja rahoitusneuvojille tulevat lisätehtävät sisällytettäisiin olemassa oleviin organisatorisiin ja toiminnallisiin prosesseihin.</w:t>
      </w:r>
    </w:p>
    <w:p>
      <w:pPr>
        <w:pBdr>
          <w:top w:val="nil"/>
          <w:left w:val="nil"/>
          <w:bottom w:val="nil"/>
          <w:right w:val="nil"/>
          <w:between w:val="nil"/>
          <w:bar w:val="nil"/>
        </w:pBdr>
        <w:spacing w:before="0" w:after="240"/>
        <w:rPr>
          <w:noProof/>
        </w:rPr>
      </w:pPr>
      <w:r>
        <w:rPr>
          <w:noProof/>
        </w:rPr>
        <w:t xml:space="preserve">Tietojen antamisen pakollisuus lisää yleistä avoimuutta ja vähentää lopullisten sijoittajien ja rahoitusyhteisöjen välistä tietojen epäsymmetriaa. Lopullisten sijoittajien käytettävissä olevien tietojen tarkkuus lisääntyy. Tiedot saavuttavat markkinat tehokkaasti ja palvelevat paremmin yleistä tavoitetta vähentää lopullisille sijoittajille tiedonhankinnasta aiheutuvia kustannuksia. </w:t>
      </w:r>
    </w:p>
    <w:p>
      <w:pPr>
        <w:pBdr>
          <w:top w:val="nil"/>
          <w:left w:val="nil"/>
          <w:bottom w:val="nil"/>
          <w:right w:val="nil"/>
          <w:between w:val="nil"/>
          <w:bar w:val="nil"/>
        </w:pBdr>
        <w:spacing w:before="0" w:after="240"/>
        <w:rPr>
          <w:noProof/>
        </w:rPr>
      </w:pPr>
      <w:r>
        <w:rPr>
          <w:noProof/>
        </w:rPr>
        <w:t xml:space="preserve">Jotkin sidosryhmät katsoivat, että merkittävimmän kustannuksen muodostaisi sopimusta edeltävien asiakirjojen ja sopimusasiakirjojen tarkastelu (esimerkiksi noin 40 000 euroa esitettä kohti kertaluonteisesti). Näiden kustannusten odotetaan kuitenkin olevan vähäisiä, jos säädetään siirtymäajasta, kuten parhaaksi arvioidussa vaihtoehdossa ehdotetaan. Lisäksi todettiin, että esitettä on joka tapauksessa tarkistettava säännöllisesti, joten ESG-tietojen lisääminen nostaisi kustannuksia vain vähän. Tietojen antaminen myös parantaa rahoitusyhteisöjen mainetta ja vähentää lopullisten sijoittajien kustannuksia, jotka johtuvat </w:t>
      </w:r>
      <w:r>
        <w:rPr>
          <w:noProof/>
        </w:rPr>
        <w:lastRenderedPageBreak/>
        <w:t>sellaisten rahoitustuotteiden ja tai -palvelujen etsimisestä ja sijoituspäätösten tekemisestä, jotka vastaavat niiden toivomia kestävyysnäkökohtia.</w:t>
      </w:r>
    </w:p>
    <w:p>
      <w:pPr>
        <w:pBdr>
          <w:top w:val="nil"/>
          <w:left w:val="nil"/>
          <w:bottom w:val="nil"/>
          <w:right w:val="nil"/>
          <w:between w:val="nil"/>
          <w:bar w:val="nil"/>
        </w:pBdr>
        <w:spacing w:before="0" w:after="240"/>
        <w:rPr>
          <w:noProof/>
        </w:rPr>
      </w:pPr>
      <w:r>
        <w:rPr>
          <w:noProof/>
        </w:rPr>
        <w:t>ESG-tuotteiden ja -palvelujen markkinoiden kilpailukyvyn ja tehokkuuden parantuminen ja niiden kasvava kysyntä lopullisten sijoittajien keskuudessa, mitä edesauttaa hakukustannusten pienentyminen, johtaa viime kädessä markkinoiden kasvuun.</w:t>
      </w:r>
    </w:p>
    <w:p>
      <w:pPr>
        <w:pStyle w:val="ManualHeading2"/>
        <w:rPr>
          <w:rFonts w:eastAsia="Arial Unicode MS"/>
          <w:noProof/>
          <w:u w:color="000000"/>
          <w:bdr w:val="nil"/>
        </w:rPr>
      </w:pPr>
      <w:r>
        <w:rPr>
          <w:noProof/>
        </w:rPr>
        <w:t>•</w:t>
      </w:r>
      <w:r>
        <w:rPr>
          <w:noProof/>
        </w:rPr>
        <w:tab/>
        <w:t>Perusoikeudet</w:t>
      </w:r>
    </w:p>
    <w:p>
      <w:pPr>
        <w:pBdr>
          <w:top w:val="nil"/>
          <w:left w:val="nil"/>
          <w:bottom w:val="nil"/>
          <w:right w:val="nil"/>
          <w:between w:val="nil"/>
          <w:bar w:val="nil"/>
        </w:pBdr>
        <w:spacing w:before="0" w:after="240"/>
        <w:rPr>
          <w:noProof/>
        </w:rPr>
      </w:pPr>
      <w:r>
        <w:rPr>
          <w:noProof/>
        </w:rPr>
        <w:t>Tällä ehdotuksella edistetään perusoikeuskirjaan sisältyviä oikeuksia. Ehdotuksella on vaikutuksia ympäristönsuojelun korkeaan tasoon (perusoikeuskirjan 37 artikla) ja eri sosiaalisiin oikeuksiin (esimerkiksi perusoikeuskirjan 25 ja 26 artikla) sekä sosiaaliseen yhteenkuuluvuuteen (perusoikeuskirjan 36 artikla), koska sen päätavoitteena on sisällyttää kestävyystekijät yhteisösijoittajien ja varainhoitajien toimintaan ja luoda sijoitusten huomioon ottamista ja niiden vaikutusta reaalitalouteen koskeva tiedonantokehys sekä tarjota oikeanlaisia kannustimia vihreään, vähähiiliseen ja resurssitehokkaaseen talouteen siirtymiseksi.</w:t>
      </w:r>
    </w:p>
    <w:p>
      <w:pPr>
        <w:pStyle w:val="ManualHeading1"/>
        <w:rPr>
          <w:noProof/>
        </w:rPr>
      </w:pPr>
      <w:r>
        <w:rPr>
          <w:noProof/>
        </w:rPr>
        <w:t>4.</w:t>
      </w:r>
      <w:r>
        <w:rPr>
          <w:noProof/>
        </w:rPr>
        <w:tab/>
        <w:t>TALOUSARVIOVAIKUTUKSET</w:t>
      </w:r>
    </w:p>
    <w:p>
      <w:pPr>
        <w:pBdr>
          <w:top w:val="nil"/>
          <w:left w:val="nil"/>
          <w:bottom w:val="nil"/>
          <w:right w:val="nil"/>
          <w:between w:val="nil"/>
          <w:bar w:val="nil"/>
        </w:pBdr>
        <w:spacing w:before="0" w:after="240"/>
        <w:rPr>
          <w:noProof/>
        </w:rPr>
      </w:pPr>
      <w:r>
        <w:rPr>
          <w:noProof/>
        </w:rPr>
        <w:t>Ehdotuksella ei ole komissioon kohdistuvia talousarviovaikutuksia.</w:t>
      </w:r>
    </w:p>
    <w:p>
      <w:pPr>
        <w:pStyle w:val="ManualHeading1"/>
        <w:rPr>
          <w:noProof/>
        </w:rPr>
      </w:pPr>
      <w:r>
        <w:rPr>
          <w:noProof/>
        </w:rPr>
        <w:t>5.</w:t>
      </w:r>
      <w:r>
        <w:rPr>
          <w:noProof/>
        </w:rPr>
        <w:tab/>
        <w:t>LISÄTIEDOT</w:t>
      </w:r>
    </w:p>
    <w:p>
      <w:pPr>
        <w:pStyle w:val="ManualHeading2"/>
        <w:rPr>
          <w:rFonts w:eastAsia="Arial Unicode MS"/>
          <w:noProof/>
          <w:u w:color="000000"/>
          <w:bdr w:val="nil"/>
        </w:rPr>
      </w:pPr>
      <w:r>
        <w:rPr>
          <w:noProof/>
        </w:rPr>
        <w:t>•</w:t>
      </w:r>
      <w:r>
        <w:rPr>
          <w:noProof/>
        </w:rPr>
        <w:tab/>
        <w:t>Toteuttamissuunnitelmat, seuranta, arviointi ja raportointijärjestelyt</w:t>
      </w:r>
    </w:p>
    <w:p>
      <w:pPr>
        <w:rPr>
          <w:noProof/>
        </w:rPr>
      </w:pPr>
      <w:r>
        <w:rPr>
          <w:noProof/>
        </w:rPr>
        <w:t xml:space="preserve">Tästä asetuksesta tehdään arviointi viimeistään 60 kuukauden kuluttua sen voimaantulosta. </w:t>
      </w:r>
    </w:p>
    <w:p>
      <w:pPr>
        <w:pStyle w:val="ManualHeading2"/>
        <w:rPr>
          <w:rFonts w:eastAsia="Arial Unicode MS"/>
          <w:noProof/>
          <w:u w:color="000000"/>
          <w:bdr w:val="nil"/>
        </w:rPr>
      </w:pPr>
      <w:r>
        <w:rPr>
          <w:noProof/>
        </w:rPr>
        <w:t>•</w:t>
      </w:r>
      <w:r>
        <w:rPr>
          <w:noProof/>
        </w:rPr>
        <w:tab/>
        <w:t>Ehdotukseen sisältyvien säännösten yksityiskohtaiset selitykset</w:t>
      </w:r>
    </w:p>
    <w:p>
      <w:pPr>
        <w:rPr>
          <w:noProof/>
        </w:rPr>
      </w:pPr>
      <w:r>
        <w:rPr>
          <w:noProof/>
        </w:rPr>
        <w:t>Asetuksen 1 artiklassa vahvistetaan asetuksen kohde eli finanssimarkkinatoimijoiden, vakuutusmuotoisia sijoitustuotteita koskevaa vakuutusneuvontaa tarjoavien vakuutusedustajien ja sijoitusneuvontaa tarjoavien sijoituspalveluyritysten avoimuussäännöt, jotka koskevat kestävyysriskien sisällyttämistä niiden sijoituksia koskevaan päätöksentekoprosessiin tai tarvittaessa neuvontamenettelyihin, ja sellaisten rahoitustuotteiden avoimuus, joiden tavoitteena on kestävä sijoittaminen, myös hiilipäästöjen vähentäminen.</w:t>
      </w:r>
    </w:p>
    <w:p>
      <w:pPr>
        <w:rPr>
          <w:noProof/>
        </w:rPr>
      </w:pPr>
      <w:r>
        <w:rPr>
          <w:noProof/>
        </w:rPr>
        <w:t>Asetuksen 2 artiklassa määritellään asetuksessa käytettävät termit ja määritelmät, muun muassa ’finanssimarkkinatoimija’, ’rahoitustuote’ ja ’kestävä sijoitus’. ’Finanssimarkkinatoimijalla’ tarkoitetaan vakuutusmuotoisia sijoitustuotteita saataville asettavaa vakuutusyritystä, vaihtoehtoisen sijoitusrahaston hoitajaa, salkunhoitoa tarjoavaa sijoituspalveluyritystä, ammatillisia lisäeläkkeitä tarjoavaa laitosta, yhteissijoitusyrityksen rahastoyhtiötä, vaatimukset täyttävän riskipääomarahaston hoitajaa tai vaatimukset täyttävän yhteiskunnalliseen yrittäjyyteen erikoistuneen rahaston hoitajaa. Koska asetuksen (EU) 2015/760</w:t>
      </w:r>
      <w:r>
        <w:rPr>
          <w:rStyle w:val="FootnoteReference"/>
          <w:noProof/>
        </w:rPr>
        <w:footnoteReference w:id="27"/>
      </w:r>
      <w:r>
        <w:rPr>
          <w:noProof/>
        </w:rPr>
        <w:t xml:space="preserve"> nojalla eurooppalaisia pitkäaikaissijoitusrahastoja voi hallinnoida ainoastaan vaihtoehtoisen sijoitusrahaston hoitaja, eurooppalaisia pitkäaikaissijoitusrahastoja hallinnoivat vaihtoehtoisten sijoitusrahastojen hoitajat kuuluvat finanssimarkkinatoimijan määritelmään ja niiden on siksi täytettävä tämän asetuksen avoimuusvaatimukset eurooppalaisten pitkäaikaissijoitusrahastojen osalta. Jotta ryhmähenkivakuutukset, joissa on sijoitusosioita, voidaan sisällyttää tämän asetuksen soveltamisalaan, tässä asetuksessa vakuutusmuotoisiin </w:t>
      </w:r>
      <w:r>
        <w:rPr>
          <w:noProof/>
        </w:rPr>
        <w:lastRenderedPageBreak/>
        <w:t>sijoitustuotteisiin kuuluvat asetuksen (EU) N:o 1286/2014</w:t>
      </w:r>
      <w:r>
        <w:rPr>
          <w:rStyle w:val="FootnoteReference"/>
          <w:noProof/>
        </w:rPr>
        <w:footnoteReference w:id="28"/>
      </w:r>
      <w:r>
        <w:rPr>
          <w:noProof/>
        </w:rPr>
        <w:t xml:space="preserve"> 4 artiklan 2 kohdassa määritellyt  vakuutusmuotoiset sijoitustuotteet sekä ammattimaisille sijoittajien saataville asetettavat vakuutusmuotoiset sijoitustuotteet. </w:t>
      </w:r>
    </w:p>
    <w:p>
      <w:pPr>
        <w:rPr>
          <w:noProof/>
        </w:rPr>
      </w:pPr>
      <w:r>
        <w:rPr>
          <w:noProof/>
        </w:rPr>
        <w:t>Asetuksen 3 artiklassa edellytetään, että finanssimarkkinatoimijat julkaisevat kirjalliset toimintaperiaatteet, jotka koskevat kestävyysriskien sisällyttämistä sijoituksia koskevaan päätöksentekoprosessiin. Finanssimarkkinatoimijoiden on julkaistava toimintaperiaatteet verkkosivustoillaan ja pidettävä ne ajan tasalla. Velvoite koskee myös rahoitusneuvojia.</w:t>
      </w:r>
    </w:p>
    <w:p>
      <w:pPr>
        <w:rPr>
          <w:noProof/>
        </w:rPr>
      </w:pPr>
      <w:r>
        <w:rPr>
          <w:noProof/>
        </w:rPr>
        <w:t>Asetuksen 4 artiklassa säädetään, että finanssimarkkinatoimijoiden on sisällytettävä ennen sopimuksen tekemistä annettaviin tietoihin tiedot siitä, miten finanssimarkkinatoimijat ja rahoitusneuvojat ottavat kestävyysriskit huomioon. Tämä täydentää sitä, mitä sovellettavissa alakohtaisissa säännöissä jo edellytetään (direktiivi 2009/65/EY, direktiivi 2009/138/EY, direktiivi 2011/61/EU, direktiivi 2014/65/EU, direktiivi (EU) 2016/97, direktiivi (EU) 2016/2341, asetus (EU) N:o 345/2013 ja asetus (EU) N:o 346/2013). Finanssimarkkinatoimijoiden on annettava kuvaus menetelmistä ja ehdoista, joita sovelletaan kestävyysriskien sisällyttämiseen sijoituspäätöksiin, siitä, missä määrin kestävyyteen liittyvien riskien odotetaan vaikuttavan niiden tarjoamien rahoitustuotteiden tuottoon ja siitä, miten finanssimarkkinatoimijoiden  palkitsemisjärjestelmissä otetaan huomioon kestävyysriskit ja kestävät sijoitukset. Samat velvoitteet asetetaan neuvontamenettelyihin mukautettuna rahoitusneuvojille.</w:t>
      </w:r>
    </w:p>
    <w:p>
      <w:pPr>
        <w:rPr>
          <w:noProof/>
        </w:rPr>
      </w:pPr>
      <w:r>
        <w:rPr>
          <w:noProof/>
        </w:rPr>
        <w:t>Asetuksen 5 artiklassa vahvistetaan kestäviä sijoituksia koskevat avoimuusvaatimukset, joita sovelletaan ennen sopimuksen tekemistä. Finanssimarkkinatoimijoiden on annettava tietoja siitä, miten kestävän sijoituksen tavoitteen saavuttaminen varmistetaan eli onko vertailuarvoksi nimetty tietty indeksi, ja selvitys siitä, miksi vertailuarvon painotukset ja osatekijät poikkeavat yleisestä markkinaindeksistä. Jos vaatimukset täyttävien yhteiskunnalliseen yrittäjyyteen erikoistuneiden rahastojen hoitajat julkistavat tietoja tietyn rahaston tavoittelemista positiivisista yhteiskunnallisista vaikutuksista asetuksen (EU) N:o 346/2013 mukaisilla menetelmillä, ne voivat käyttää kyseisiä tietoja 5 artiklan soveltamiseksi. Asetuksen 5 artiklassa vahvistetaan erityiset tiedonantovaatimukset sellaisten rahoitustuotteiden osalta, joiden tavoitteena on hiilipäästöjen vähentäminen. Ennen sopimuksen tekemistä annettavien tietojen standardoimiseksi ja järkeistämiseksi tällä artiklalla annetaan komissiolle valta hyväksyä teknisiä sääntelystandardeja. Euroopan pankkiviranomaisen, jäljempänä ’EPV’, Euroopan vakuutus- ja lisäeläkeviranomaisen, jäljempänä ’EVLEV’, ja  Euroopan arvopaperimarkkinaviranomaisen, jäljempänä ’EAMV’, olisi laadittava yhdessä Euroopan valvontaviranomaisten yhteiskomitean välityksellä teknisten sääntelystandardien luonnokset.</w:t>
      </w:r>
    </w:p>
    <w:p>
      <w:pPr>
        <w:rPr>
          <w:noProof/>
        </w:rPr>
      </w:pPr>
      <w:r>
        <w:rPr>
          <w:noProof/>
        </w:rPr>
        <w:t>Asetuksen 6 artiklassa finanssimarkkinatoimijat velvoitetaan julkaisemaan verkkosivustoillaan 5 artiklan ja 7 artiklan mukaisesti julkaistavien tietojen lisäksi kuvaus kestävästä sijoitustavoitteesta, antamaan tietoja arvioinnissa käytettävistä menetelmistä ja arvioimaan ja seuraamaan sijoitusten vaikuttavuutta. Ennen sopimuksen tekemistä annettavien tietojen standardoimiseksi ja järkeistämiseksi myös tällä artiklalla annetaan valta hyväksyä teknisiä sääntelystandardeja. EPV:n, EVLEV:n ja EAMV:n olisi laadittava yhdessä yhteiskomitean välityksellä teknisten sääntelystandardien luonnokset.</w:t>
      </w:r>
    </w:p>
    <w:p>
      <w:pPr>
        <w:rPr>
          <w:noProof/>
        </w:rPr>
      </w:pPr>
      <w:r>
        <w:rPr>
          <w:noProof/>
        </w:rPr>
        <w:t xml:space="preserve">Koska tämänhetkisissä unionin lainsäädännössä asetetuissa tiedonantovaatimuksissa ei edellytetä, että on julkaistava kaikki sellaiset tiedot, jotka lopulliset sijoittajat tarvitsevat saadakseen riittävästi tietoa sijoitustensa kestävyyteen liittyvistä vaikutuksista, 7 artiklassa </w:t>
      </w:r>
      <w:r>
        <w:rPr>
          <w:noProof/>
        </w:rPr>
        <w:lastRenderedPageBreak/>
        <w:t>edellytetään, että finanssimarkkinatoimijat erittelevät määräaikaiskatsauksissa asianmukaisilla kestävyysindikaattoreilla mitatut kestävien sijoitusten vaikutukset. Jos vaatimukset täyttävien yhteiskunnalliseen yrittäjyyteen erikoistuneiden rahastojen hoitajat asettavat  saataville tietoja saavutetuista positiivisista yhteiskunnallisista tuloksista ja käytetyistä menetelmistä asetuksen (EU) N:o 346/2013 mukaisesti, ne voivat käyttää kyseisiä tietoja 7 artiklan soveltamiseksi. Jos vertailuarvoksi on nimetty tietty indeksi, finanssimarkkinatoimijoiden on myös vertailtava salkun vaikutuksia kyseisen nimetyn indeksin pohjalta verrattuna vaikutuksiin yleisen markkinaindeksin pohjalta ottaen huomioon painotukset, osatekijät ja kestävyysindikaattorit. Kuvaukset olisi lisättävä finanssimarkkinatoimijoiden raportointivelvoitteisiin, joista säädetään direktiivissä 2009/65/EY, direktiivissä 2011/61/EU, direktiivissä (EU) 2016/2341, asetuksessa (EU) N:o 345/2013 ja asetuksessa (EU) N:o 346/2013. Vakuutusmuotoisten sijoitustuotteiden osalta direktiivissä 2009/138/EY ei vahvisteta vakuutusyrityksiä koskevia vuotuisia raportointivelvollisuuksia. Sen vuoksi 7 artiklassa varmistetaan, että tiedot asetetaan saataville vuosittain ja direktiivin 2009/138/EY 185 artiklan 6 kohdan mukaisesti eli kirjallisesti ja kyseisessä direktiivissä määritellyllä virallisella kielellä. Asetuksen 7 artiklassa varmistetaan myös, että salkunhoitoa tarjoavat sijoituspalveluyritykset ilmoittavat tiedot direktiivin 2014/65/EU 25 artiklan 6 kohdassa tarkoitetuissa määräaikaiskatsauksissa. Näiden tiedonantovaatimusten täyttämiseksi finanssimarkkinatoimijat voivat käyttää direktiivin 2013/34/EU 19 artiklan mukaisesti toimintakertomuksissa annettavia tietoja tai 19 a artiklan mukaisesti muita kuin taloudellisia tietoja koskevissa selvityksissä annettavia tietoja. Annettavien tietojen standardoimiseksi ja järkeistämiseksi tällä artiklalla myös annetaan valta hyväksyä teknisiä sääntelystandardeja. EPV:n, EVLEV:n ja EAMV:n olisi laadittava yhdessä yhteiskomitean välityksellä teknisten sääntelystandardien luonnokset.</w:t>
      </w:r>
    </w:p>
    <w:p>
      <w:pPr>
        <w:rPr>
          <w:noProof/>
        </w:rPr>
      </w:pPr>
      <w:r>
        <w:rPr>
          <w:noProof/>
        </w:rPr>
        <w:t>Asetuksen 8 artiklan mukaan finanssimarkkinatoimijoiden ja rahoitusneuvojien on varmistettava, että kaikki niiden verkkosivustoilla julkistettavat tiedot pidetään ajan tasalla ja että kaikista julkaistuihin tietoihin tehdyistä muutoksista esitetään selkeä selvitys.</w:t>
      </w:r>
    </w:p>
    <w:p>
      <w:pPr>
        <w:rPr>
          <w:noProof/>
        </w:rPr>
      </w:pPr>
      <w:r>
        <w:rPr>
          <w:noProof/>
        </w:rPr>
        <w:t>Asetuksen 9 artiklan mukaan finanssimarkkinatoimijoiden ja rahoitusneuvojien on varmistettava, että niiden markkinointiviestintä ei ole ristiriidassa tämän asetuksen nojalla julkistettavien tietojen kanssa, ellei alakohtaisessa lainsäädännössä, etenkään direktiivissä 2009/65/EY, direktiivissä 2014/65/EU, direktiivissä (EU) 2016/97 ja asetuksessa (EU) N:o 1286/2014, säädetä tiukemmista säännöistä. Asetuksen 9 artiklalla niin ikään annetaan komissiolle valta panna täytäntöön teknisiä standardeja. EPV:n, EVLEV:n ja EAMV:n olisi laadittava yhdessä yhteiskomitean välityksellä teknisten täytäntöönpanostandardien luonnokset.</w:t>
      </w:r>
    </w:p>
    <w:p>
      <w:pPr>
        <w:rPr>
          <w:noProof/>
        </w:rPr>
      </w:pPr>
      <w:r>
        <w:rPr>
          <w:noProof/>
        </w:rPr>
        <w:t>Asetuksen 10 artiklalla muutetaan direktiiviä (EU) 2016/2341. Muutoksella komissiolle siirretään SEUT-sopimuksen 290 artiklan mukaisesti valta täsmentää delegoiduilla säädöksillä varovaisuusperiaatetta ympäristöön, yhteiskuntaan ja hallintotapaan liittyvien riskien huomioon ottamiseksi ja ympäristöön, yhteiskuntaan ja hallintotapaan liittyvien tekijöiden sisällyttämiseksi sisäisiin sijoituspäätöksiin ja riskinhallintaprosesseihin. Koska direktiivin (EU) 2016/2341 mukaisia hallintotapaa ja riskinhallintaa koskevia sääntöjä jo sovelletaan sijoituspäätöksiin ja riskinarviointiin, mukaan lukien ympäristöön, yhteiskuntaan ja hallintotapaan liittyvät näkökohdat, ammatillisia lisäeläkkeitä tarjoavien laitosten toiminnan ja sen perustana olevien menettelyjen osalta olisi varmistettava, että ne ovat delegoitujen säädösten mukaisia. Olisi varmistettava, että delegoidut säädökset ovat tarvittaessa johdonmukaisia direktiivin 2009/65/EY, direktiivin 2009/138/EY ja direktiivin 2011/61/EU nojalla hyväksyttyjen delegoitujen säädösten kanssa.</w:t>
      </w:r>
    </w:p>
    <w:p>
      <w:pPr>
        <w:rPr>
          <w:noProof/>
        </w:rPr>
      </w:pPr>
      <w:r>
        <w:rPr>
          <w:noProof/>
        </w:rPr>
        <w:t>Asetuksen 11 artiklalla vahvistetaan, että tästä asetuksesta on tehtävä arviointi viimeistään 60 kuukauden kuluttua sen voimaantulosta.</w:t>
      </w:r>
    </w:p>
    <w:p>
      <w:pPr>
        <w:rPr>
          <w:noProof/>
        </w:rPr>
      </w:pPr>
      <w:r>
        <w:rPr>
          <w:noProof/>
        </w:rPr>
        <w:lastRenderedPageBreak/>
        <w:t>Asetuksen 12 artiklan mukaisesti sitä olisi alettava soveltaa 12 kuukauden kuluttua siitä päivästä, jona se julkaistaan Euroopan unionin virallisessa lehdessä. Asetuksen 5 artiklan 5 kohdassa, 6 artiklan 2 kohdassa, 7 artiklan 4 kohdassa, 9 artiklan 2 kohdassa ja 10 artiklassa säädettyjä säädösvallan siirtoja sovelletaan kuitenkin asetuksen voimaantulopäivästä. Jotta varmistetaan, että ensimmäiset vuosikertomukset, jotka sisältävät 7 artiklan 1–3 kohdan mukaiset tiedot, koskevat täyttä kalenterivuotta, 7 artiklan 1–3 kohdan soveltamista lykätään tämän artiklan toisessa alakohdassa tarkoitettua päivämäärää seuraavan vuoden 1 päivään tammikuuta.</w:t>
      </w: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2018/0179 (COD)</w:t>
      </w:r>
    </w:p>
    <w:p>
      <w:pPr>
        <w:pStyle w:val="Statut"/>
        <w:rPr>
          <w:noProof/>
        </w:rPr>
      </w:pPr>
      <w:r>
        <w:rPr>
          <w:noProof/>
        </w:rPr>
        <w:t>Ehdotus</w:t>
      </w:r>
    </w:p>
    <w:p>
      <w:pPr>
        <w:pStyle w:val="Typedudocument"/>
        <w:rPr>
          <w:noProof/>
        </w:rPr>
      </w:pPr>
      <w:r>
        <w:rPr>
          <w:noProof/>
        </w:rPr>
        <w:t>EUROOPAN PARLAMENTIN JA NEUVOSTON ASETUS</w:t>
      </w:r>
    </w:p>
    <w:p>
      <w:pPr>
        <w:pStyle w:val="Titreobjet"/>
        <w:rPr>
          <w:noProof/>
        </w:rPr>
      </w:pPr>
      <w:r>
        <w:rPr>
          <w:noProof/>
        </w:rPr>
        <w:t>kestäviin sijoituksiin ja kestävyysriskeihin liittyvien tietojen antamisesta ja direktiivin (EU) 2016/2341 muuttamisesta</w:t>
      </w:r>
    </w:p>
    <w:p>
      <w:pPr>
        <w:pStyle w:val="IntrtEEE"/>
        <w:rPr>
          <w:noProof/>
        </w:rPr>
      </w:pPr>
      <w:r>
        <w:rPr>
          <w:noProof/>
        </w:rPr>
        <w:t>(ETA:n kannalta merkityksellinen teksti)</w:t>
      </w:r>
    </w:p>
    <w:p>
      <w:pPr>
        <w:pStyle w:val="Institutionquiagit"/>
        <w:rPr>
          <w:noProof/>
        </w:rPr>
      </w:pPr>
      <w:r>
        <w:rPr>
          <w:noProof/>
        </w:rPr>
        <w:t>EUROOPAN PARLAMENTTI JA EUROOPAN UNIONIN NEUVOSTO, jotka</w:t>
      </w:r>
    </w:p>
    <w:p>
      <w:pPr>
        <w:rPr>
          <w:noProof/>
        </w:rPr>
      </w:pPr>
      <w:r>
        <w:rPr>
          <w:noProof/>
        </w:rPr>
        <w:t>ottavat huomioon Euroopan unionin toiminnasta tehdyn sopimuksen ja erityisesti sen 114 artiklan,</w:t>
      </w:r>
    </w:p>
    <w:p>
      <w:pPr>
        <w:rPr>
          <w:noProof/>
        </w:rPr>
      </w:pPr>
      <w:r>
        <w:rPr>
          <w:noProof/>
        </w:rPr>
        <w:t>ottavat huomioon Euroopan komission ehdotuksen,</w:t>
      </w:r>
    </w:p>
    <w:p>
      <w:pPr>
        <w:rPr>
          <w:noProof/>
        </w:rPr>
      </w:pPr>
      <w:r>
        <w:rPr>
          <w:noProof/>
        </w:rPr>
        <w:t>sen jälkeen kun esitys lainsäätämisjärjestyksessä hyväksyttäväksi säädökseksi on toimitettu kansallisille parlamenteille,</w:t>
      </w:r>
    </w:p>
    <w:p>
      <w:pPr>
        <w:rPr>
          <w:noProof/>
        </w:rPr>
      </w:pPr>
      <w:r>
        <w:rPr>
          <w:noProof/>
        </w:rPr>
        <w:t>ottavat huomioon Euroopan keskuspankin lausunnon</w:t>
      </w:r>
      <w:r>
        <w:rPr>
          <w:rStyle w:val="FootnoteReference"/>
          <w:noProof/>
        </w:rPr>
        <w:footnoteReference w:id="29"/>
      </w:r>
      <w:r>
        <w:rPr>
          <w:noProof/>
        </w:rPr>
        <w:t>,</w:t>
      </w:r>
    </w:p>
    <w:p>
      <w:pPr>
        <w:rPr>
          <w:noProof/>
        </w:rPr>
      </w:pPr>
      <w:r>
        <w:rPr>
          <w:noProof/>
        </w:rPr>
        <w:t>ottavat huomioon Euroopan talous- ja sosiaalikomitean lausunnon</w:t>
      </w:r>
      <w:r>
        <w:rPr>
          <w:rStyle w:val="FootnoteReference"/>
          <w:noProof/>
        </w:rPr>
        <w:footnoteReference w:id="30"/>
      </w:r>
      <w:r>
        <w:rPr>
          <w:noProof/>
        </w:rPr>
        <w:t>,</w:t>
      </w:r>
    </w:p>
    <w:p>
      <w:pPr>
        <w:rPr>
          <w:noProof/>
        </w:rPr>
      </w:pPr>
      <w:r>
        <w:rPr>
          <w:noProof/>
        </w:rPr>
        <w:t>noudattavat tavallista lainsäätämisjärjestystä,</w:t>
      </w:r>
    </w:p>
    <w:p>
      <w:pPr>
        <w:rPr>
          <w:noProof/>
        </w:rPr>
      </w:pPr>
      <w:r>
        <w:rPr>
          <w:noProof/>
        </w:rPr>
        <w:t>sekä katsovat seuraavaa:</w:t>
      </w:r>
    </w:p>
    <w:p>
      <w:pPr>
        <w:pStyle w:val="ManualConsidrant"/>
        <w:rPr>
          <w:noProof/>
        </w:rPr>
      </w:pPr>
      <w:r>
        <w:rPr>
          <w:noProof/>
        </w:rPr>
        <w:t>(1)</w:t>
      </w:r>
      <w:r>
        <w:rPr>
          <w:noProof/>
        </w:rPr>
        <w:tab/>
        <w:t>Siirtyminen vähähiiliseen, kestävämpään ja resurssitehokkaaseen kiertotalouteen on keskeinen tekijä unionin talouden pitkän aikavälin kilpailukyvyn varmistamisessa. Pariisin ilmastosopimuksella (COP21), jonka unioni ratifioi 5 päivänä lokakuuta 2016</w:t>
      </w:r>
      <w:r>
        <w:rPr>
          <w:rStyle w:val="FootnoteReference"/>
          <w:noProof/>
        </w:rPr>
        <w:footnoteReference w:id="31"/>
      </w:r>
      <w:r>
        <w:rPr>
          <w:noProof/>
        </w:rPr>
        <w:t xml:space="preserve"> ja joka tuli voimaan 4 päivänä marraskuuta 2016, pyritään torjumaan ilmastonmuutosta muun muassa varmistamalla, että rahoitusvirrat tukevat vähän kasvihuonekaasupäästöjä tuottavaa ja ilmastonmuutoksen kestävää kehitystä.</w:t>
      </w:r>
    </w:p>
    <w:p>
      <w:pPr>
        <w:pStyle w:val="ManualConsidrant"/>
        <w:rPr>
          <w:noProof/>
        </w:rPr>
      </w:pPr>
      <w:r>
        <w:rPr>
          <w:noProof/>
        </w:rPr>
        <w:t>(2)</w:t>
      </w:r>
      <w:r>
        <w:rPr>
          <w:noProof/>
        </w:rPr>
        <w:tab/>
        <w:t>Euroopan parlamentin ja neuvoston direktiivin 2009/65/EY</w:t>
      </w:r>
      <w:r>
        <w:rPr>
          <w:rStyle w:val="FootnoteReference"/>
          <w:noProof/>
        </w:rPr>
        <w:footnoteReference w:id="32"/>
      </w:r>
      <w:r>
        <w:rPr>
          <w:noProof/>
        </w:rPr>
        <w:t>, Euroopan parlamentin ja neuvoston direktiivin 2009/138/EY</w:t>
      </w:r>
      <w:r>
        <w:rPr>
          <w:rStyle w:val="FootnoteReference"/>
          <w:noProof/>
        </w:rPr>
        <w:footnoteReference w:id="33"/>
      </w:r>
      <w:r>
        <w:rPr>
          <w:noProof/>
        </w:rPr>
        <w:t>, Euroopan parlamentin ja neuvoston direktiivin 2011/61/EU</w:t>
      </w:r>
      <w:r>
        <w:rPr>
          <w:rStyle w:val="FootnoteReference"/>
          <w:noProof/>
        </w:rPr>
        <w:footnoteReference w:id="34"/>
      </w:r>
      <w:r>
        <w:rPr>
          <w:noProof/>
        </w:rPr>
        <w:t xml:space="preserve">, Euroopan parlamentin ja neuvoston direktiivin </w:t>
      </w:r>
      <w:r>
        <w:rPr>
          <w:noProof/>
        </w:rPr>
        <w:lastRenderedPageBreak/>
        <w:t>2014/65/EU</w:t>
      </w:r>
      <w:r>
        <w:rPr>
          <w:rStyle w:val="FootnoteReference"/>
          <w:noProof/>
        </w:rPr>
        <w:footnoteReference w:id="35"/>
      </w:r>
      <w:r>
        <w:rPr>
          <w:noProof/>
        </w:rPr>
        <w:t>, Euroopan parlamentin ja neuvoston direktiivin (EU) 2016/97</w:t>
      </w:r>
      <w:r>
        <w:rPr>
          <w:rStyle w:val="FootnoteReference"/>
          <w:noProof/>
        </w:rPr>
        <w:footnoteReference w:id="36"/>
      </w:r>
      <w:r>
        <w:rPr>
          <w:noProof/>
        </w:rPr>
        <w:t>, Euroopan parlamentin ja neuvoston direktiivin (EU) 2016/2341</w:t>
      </w:r>
      <w:r>
        <w:rPr>
          <w:rStyle w:val="FootnoteReference"/>
          <w:noProof/>
        </w:rPr>
        <w:footnoteReference w:id="37"/>
      </w:r>
      <w:r>
        <w:rPr>
          <w:noProof/>
        </w:rPr>
        <w:t>, Euroopan parlamentin ja neuvoston asetuksen (EU) N:o 345/2013</w:t>
      </w:r>
      <w:r>
        <w:rPr>
          <w:rStyle w:val="FootnoteReference"/>
          <w:noProof/>
        </w:rPr>
        <w:footnoteReference w:id="38"/>
      </w:r>
      <w:r>
        <w:rPr>
          <w:noProof/>
        </w:rPr>
        <w:t xml:space="preserve"> ja Euroopan parlamentin ja neuvoston asetuksen (EU) N:o 346/2013</w:t>
      </w:r>
      <w:r>
        <w:rPr>
          <w:rStyle w:val="FootnoteReference"/>
          <w:noProof/>
        </w:rPr>
        <w:footnoteReference w:id="39"/>
      </w:r>
      <w:r>
        <w:rPr>
          <w:noProof/>
        </w:rPr>
        <w:t xml:space="preserve"> yhteinen tavoite on helpottaa arvopapereihin kohdistuvaa yhteistä sijoitustoimintaa harjoittavien yritysten, jäljempänä ’yhteissijoitusyritykset’, vaihtoehtoisten sijoitusrahastojen hoitajien, jäljempänä ’AIF-rahaston hoitajat’, vakuutusyritysten, sijoituspalveluyritysten, vakuutusedustajien, ammatillisia lisäeläkkeitä tarjoavien laitosten, jäljempänä ’lisäeläkelaitokset’, vaatimukset täyttävien riskipääomarahastojen hoitajien, jäljempänä ’EuVECA-rahaston hoitajat’, ja vaatimukset täyttävien yhteiskunnalliseen yrittäjyyteen erikoistuneiden rahastojen hoitajien, jäljempänä ’EuSEF-rahaston hoitajat’, toiminnan aloittamista ja jatkamista. Mainituilla direktiiveillä ja asetuksilla yhdenmukaistetaan lopullisten sijoittajien suojaa ja varmistetaan, että sijoittajien saatavilla on helpommin monenlaisia rahoitustuotteita ja -palveluja, sekä säädetään samalla säännöistä, joiden avulla sijoittajat voivat tehdä tietoon perustuvia sijoituspäätöksiä. Vaikka nämä tavoitteet on suurelta osin saavutettu, tiedottaminen lopullisille sijoittajille kestävyysriskien ja kestävien sijoitustavoitteiden sisällyttämisestä yhteissijoitusyritysten, AIF-rahaston hoitajien, vakuutusyritysten, salkunhoitoa tarjoavien sijoituspalveluyritysten, lisäeläkelaitosten, eläkelaitosten, EuVECA-rahaston hoitajien ja EuSEF-rahaston hoitajien, jäljempänä ’finanssimarkkinatoimijat’, sijoituksiin liittyvään päätöksentekoon ja tiedottaminen lopullisille sijoittajille kestävyysriskien sisällyttämisestä vakuutusmuotoisia sijoitustuotteita koskevaa vakuutusneuvontaa tarjoavien vakuutusedustajien ja vakuutusneuvontaa tarjoavien sijoituspalveluyritysten, jäljempänä  ’rahoitusneuvojat’, neuvontamenettelyihin ei ole riittävän kehittynyttä, koska tällaiseen tietojen antamiseen ei vielä sovelleta yhdenmukaistettuja vaatimuksia.</w:t>
      </w:r>
    </w:p>
    <w:p>
      <w:pPr>
        <w:pStyle w:val="ManualConsidrant"/>
        <w:rPr>
          <w:noProof/>
        </w:rPr>
      </w:pPr>
      <w:r>
        <w:rPr>
          <w:noProof/>
        </w:rPr>
        <w:t>(3)</w:t>
      </w:r>
      <w:r>
        <w:rPr>
          <w:noProof/>
        </w:rPr>
        <w:tab/>
        <w:t xml:space="preserve">Koska unionissa ei ole yhdenmukaistettuja sääntöjä, jotka koskisivat kestävyyteen liittyvien tietojen antamista lopullisille sijoittajille, on todennäköistä, että kansallisella tasolla otetaan jatkossakin käyttöön erilaisia toimenpiteitä ja eri rahoituspalvelusektoreiden erilaiset toimintatavat jatkuvat. Tällaiset erilaiset toimenpiteet ja toimintatavat aiheuttaisivat edelleen merkittäviä kilpailun vääristymiä, jotka johtuvat tiedonantovaatimusten merkittävistä eroavuuksista. Lisäksi rinnakkain kehittyvät, kaupallisiin prioriteetteihin perustuvat markkinaperusteiset käytännöt, jotka tuottavat eriäviä tuloksia, lisäävät tällä hetkellä markkinoiden pirstaloitumista ja saattavat jopa entisestään heikentää sisämarkkinoiden toimintaa tulevaisuudessa. Erilaiset tiedonantovaatimukset ja markkinaperusteiset käytännöt vaikeuttavat suuresti eri rahoitustuotteiden ja -palvelujen vertailua, luovat epätasapuoliset toimintaedellytykset kyseisten tuotteiden ja palvelujen sekä jakelukanavien välille ja </w:t>
      </w:r>
      <w:r>
        <w:rPr>
          <w:noProof/>
        </w:rPr>
        <w:lastRenderedPageBreak/>
        <w:t>muodostavat esteitä sisämarkkinoiden toiminnalle. Tällaiset erot voivat myös hämmentää lopullisia sijoittajia ja vääristää niiden sijoituspäätöksiä. Pariisin ilmastosopimuksen noudattamiseksi jäsenvaltiot toteuttavat todennäköisesti toisistaan poikkeavia kansallisia toimenpiteitä, jotka voivat luoda esteitä sisämarkkinoiden moitteettomalle toiminnalle ja haitata finanssimarkkinatoimijoiden ja rahoitusneuvojien toimintaa. Koska avoimuuteen liittyviä yhdenmukaistettuja sääntöjä ei ole, lopullisten sijoittajien on vaikea verrata tehokkaasti eri jäsenvaltioiden erilaisia rahoitustuotteita ja -palveluja niiden ympäristöön, yhteiskuntaan ja hallintotapaan liittyvien riskien sekä niiden kestävien sijoitustavoitteiden osalta. Sen vuoksi on tarpeen puuttua sisämarkkinoiden toimintaa haittaaviin olemassa oleviin esteisiin ja torjua todennäköisiä uusia esteitä.</w:t>
      </w:r>
    </w:p>
    <w:p>
      <w:pPr>
        <w:pStyle w:val="ManualConsidrant"/>
        <w:rPr>
          <w:noProof/>
        </w:rPr>
      </w:pPr>
      <w:r>
        <w:rPr>
          <w:noProof/>
        </w:rPr>
        <w:t>(4)</w:t>
      </w:r>
      <w:r>
        <w:rPr>
          <w:noProof/>
        </w:rPr>
        <w:tab/>
        <w:t>Jotta varmistetaan, että tätä asetusta sovelletaan yhdenmukaisesti ja että finanssimarkkinatoimijat soveltavat tässä asetuksessa säädettyjä tiedonantovaatimuksia selvästi ja yhdenmukaisesti, on tarpeen vahvistaa yhdenmukainen ”kestävän sijoituksen” määritelmä.</w:t>
      </w:r>
    </w:p>
    <w:p>
      <w:pPr>
        <w:pStyle w:val="ManualConsidrant"/>
        <w:rPr>
          <w:noProof/>
        </w:rPr>
      </w:pPr>
      <w:r>
        <w:rPr>
          <w:noProof/>
        </w:rPr>
        <w:t>(5)</w:t>
      </w:r>
      <w:r>
        <w:rPr>
          <w:noProof/>
        </w:rPr>
        <w:tab/>
        <w:t>Finanssimarkkinatoimijoiden ja rahoitusneuvojien palkitsemisjärjestelmien olisi oltava johdonmukaisia kestävyysriskien huomioon ottamisen ja tarvittaessa kestävien sijoitustavoitteiden kanssa, ja ne olisi suunniteltava edistämään pitkän aikavälin kestävää kasvua. Ennen sopimuksen tekemistä annettaviin tietoihin olisi sen vuoksi sisällytettävä tiedot siitä, millä tavalla asianomaisten yhteisöjen palkitsemisjärjestelmät ovat johdonmukaisia kestävyysriskien huomioon ottamisen kanssa ja tarvittaessa linjassa niiden rahoitustuotteiden ja -palvelujen kestävien sijoitustavoitteiden kanssa, joita finanssimarkkinatoimijat asettavat saataville tai joita koskevaa neuvontaa rahoitusneuvojat antavat.</w:t>
      </w:r>
    </w:p>
    <w:p>
      <w:pPr>
        <w:pStyle w:val="ManualConsidrant"/>
        <w:rPr>
          <w:noProof/>
        </w:rPr>
      </w:pPr>
      <w:r>
        <w:rPr>
          <w:noProof/>
        </w:rPr>
        <w:t>(6)</w:t>
      </w:r>
      <w:r>
        <w:rPr>
          <w:noProof/>
        </w:rPr>
        <w:tab/>
        <w:t>Koska kestävyyden vertailuarvot toimivat vakiovertailupisteinä, joihin nähden kestäviä sijoituksia mitataan, ennen sopimuksen tekemistä annettavissa tiedoissa lopullisille sijoittajille olisi ilmoitettava  nimetyn indeksin tarkoituksenmukaisuudesta eli siitä, miten kyseinen indeksi vastaa kestävää sijoitustavoitetta. Finanssimarkkinatoimijoiden olisi ilmoitettava myös syyt nimetyn indeksin painotusten ja osatekijöiden eroihin verrattuna yleiseen markkinaindeksiin.  Avoimuuden lisäämiseksi finanssimarkkinatoimijoiden olisi ilmoitettava, mistä nimetyn indeksin ja yleisen markkinaindeksin laskemiseen käytettävät menetelmät on saatavilla, jotta lopullisilla sijoittajilla on tarvittavat tiedot siitä, miten indeksien perustana olevat omaisuuserät on valittu ja painotettu, mitkä omaisuuserät on jätetty ulkopuolelle ja mistä syystä, miten perustana olevien omaisuuserien kestävyyteen liittyviä vaikutuksia on mitattu ja mitä tietolähteitä on käytetty. Annettujen tietojen pitäisi mahdollistaa tehokas vertailu ja auttaa saamaan oikea käsitys kestävyyttä edistävistä sijoituksista. Jos vertailuarvoksi ei ole nimetty indeksiä, finanssimarkkinatoimijoiden olisi selitettävä, miten kestävä sijoitustavoite saavutetaan.</w:t>
      </w:r>
    </w:p>
    <w:p>
      <w:pPr>
        <w:pStyle w:val="ManualConsidrant"/>
        <w:rPr>
          <w:noProof/>
        </w:rPr>
      </w:pPr>
      <w:r>
        <w:rPr>
          <w:noProof/>
        </w:rPr>
        <w:t>(7)</w:t>
      </w:r>
      <w:r>
        <w:rPr>
          <w:noProof/>
        </w:rPr>
        <w:tab/>
        <w:t>Jos rahoitustuotteen tai -palvelun tavoitteena on vähentää hiilipäästöjä, ennen sopimuksen tekemistä annettavien tietojen olisi sisällettävä tieto siitä, kuinka alhaisia hiilipäästöjä tavoitellaan. Jos saatavilla ei ole unionin tasolla yhdenmukaistettuja hiilipäästöjen vertailuarvoa, annettavissa tiedoissa olisi selitettävä yksityiskohtaisesti, miten tavoitteen jatkuva noudattaminen varmistetaan.</w:t>
      </w:r>
    </w:p>
    <w:p>
      <w:pPr>
        <w:pStyle w:val="ManualConsidrant"/>
        <w:rPr>
          <w:noProof/>
        </w:rPr>
      </w:pPr>
      <w:r>
        <w:rPr>
          <w:noProof/>
        </w:rPr>
        <w:t>(8)</w:t>
      </w:r>
      <w:r>
        <w:rPr>
          <w:noProof/>
        </w:rPr>
        <w:tab/>
        <w:t xml:space="preserve">Jotta voidaan parantaa avoimuutta ja antaa lopullisille sijoittajille tarvittavat tiedot, olisi säänneltävä tietojen saantia siitä, miten kestävyysriskit sisällytetään finanssimarkkinatoimijoiden sijoituksia koskevaan päätöksentekoprosessiin ja </w:t>
      </w:r>
      <w:r>
        <w:rPr>
          <w:noProof/>
        </w:rPr>
        <w:lastRenderedPageBreak/>
        <w:t>rahoitusneuvojien neuvontamenettelyihin edellyttämällä, että kyseiset yhteisöt esittävät mainitut tiedot verkkosivustoillaan.</w:t>
      </w:r>
    </w:p>
    <w:p>
      <w:pPr>
        <w:pStyle w:val="ManualConsidrant"/>
        <w:rPr>
          <w:rFonts w:cstheme="minorHAnsi"/>
          <w:iCs/>
          <w:noProof/>
        </w:rPr>
      </w:pPr>
      <w:r>
        <w:rPr>
          <w:noProof/>
        </w:rPr>
        <w:t>(9)</w:t>
      </w:r>
      <w:r>
        <w:rPr>
          <w:noProof/>
        </w:rPr>
        <w:tab/>
        <w:t>Tämänhetkisissä unionin lainsäädännössä asetetuissa tiedonantovaatimuksissa ei edellytetä, että on annettava kaikki sellaiset tiedot, jotka lopulliset sijoittajat tarvitsevat saadakseen riittävästi tietoa sijoitustensa kestävyyteen liittyvistä vaikutuksista.  Sen vuoksi on aiheellista vahvistaa tarkemmat kestäviä sijoituksia koskevat tiedonantovaatimukset. Esimerkiksi rahoitustuotteiden kestävästä kokonaisvaikutuksesta olisi raportoitava säännöllisesti käyttämällä kuhunkin valittuun kestävään sijoitustavoitteeseen soveltuvia indikaattoreita. Jos vertailuarvoksi on nimetty tietty indeksi, mainitut tiedot olisi annettava sekä kyseisen indeksin että yleisen markkinaindeksin osalta vertailun mahdollistamiseksi. Myös nimetyn indeksin ja yleisen markkinaindeksin osatekijöitä koskevat tiedot sekä niiden painotukset olisi ilmoitettava lisätiedon tarjoamiseksi siitä, miten kestävät sijoitustavoitteet saavutetaan. Jos EuSEF-rahaston hoitajat asettavat saataville tietoja tietyn rahaston tavoittelemista positiivisista yhteiskunnallisista vaikutuksista, saavutetuista yhteiskunnallisista kokonaistuloksista ja käytetyistä menetelmistä asetuksen (EU) N:o 346/2013 mukaisesti, ne voivat käyttää kyseisiä tietoja soveltuvin osin tässä asetuksessa tarkoitettujen tietojen antamiseen.</w:t>
      </w:r>
    </w:p>
    <w:p>
      <w:pPr>
        <w:pStyle w:val="ManualConsidrant"/>
        <w:rPr>
          <w:noProof/>
        </w:rPr>
      </w:pPr>
      <w:r>
        <w:rPr>
          <w:noProof/>
        </w:rPr>
        <w:t>(10)</w:t>
      </w:r>
      <w:r>
        <w:rPr>
          <w:noProof/>
        </w:rPr>
        <w:tab/>
        <w:t>Euroopan parlamentin ja neuvoston direktiivissä (EU) 2013/34</w:t>
      </w:r>
      <w:r>
        <w:rPr>
          <w:rStyle w:val="FootnoteReference"/>
          <w:noProof/>
        </w:rPr>
        <w:footnoteReference w:id="40"/>
      </w:r>
      <w:r>
        <w:rPr>
          <w:noProof/>
        </w:rPr>
        <w:t xml:space="preserve"> säädetään avoimuusvelvoitteista, jotka koskevat muiden kuin taloudellisten tietojen raportoinnin ympäristöön, yhteiskuntaan ja hallintotapaan liittyviä näkökohtia. Kyseisissä direktiiveissä edellytetty muoto ja esitystapa eivät kuitenkaan sovellu suoraan finanssimarkkinatoimijoiden ja rahoitusneuvojien käyttöön lopullisten sijoittajien yhteydessä. Finanssimarkkinatoimijoilla ja rahoitusneuvojilla olisi oltava mahdollisuus käyttää tämän asetuksen vaatimusten täyttämiseksi soveltuvin osin direktiivin 2013/34/EU mukaisesti toimintakertomuksissa ja muita kuin taloudellisia tietoja koskevissa selvityksissä annettavia tietoja.</w:t>
      </w:r>
    </w:p>
    <w:p>
      <w:pPr>
        <w:pStyle w:val="ManualConsidrant"/>
        <w:rPr>
          <w:noProof/>
        </w:rPr>
      </w:pPr>
      <w:r>
        <w:rPr>
          <w:noProof/>
        </w:rPr>
        <w:t>(11)</w:t>
      </w:r>
      <w:r>
        <w:rPr>
          <w:noProof/>
        </w:rPr>
        <w:tab/>
        <w:t xml:space="preserve">Jotta voidaan varmistaa finanssimarkkinatoimijoiden ja rahoitusneuvojien verkkosivustoilla julkistettavien tietojen luotettavuus, tiedot olisi pidettävä ajan tasalla ja kaikista tarkistamisista ja muutoksista olisi esitettävä selkeä selvitys. </w:t>
      </w:r>
    </w:p>
    <w:p>
      <w:pPr>
        <w:pStyle w:val="ManualConsidrant"/>
        <w:rPr>
          <w:noProof/>
        </w:rPr>
      </w:pPr>
      <w:r>
        <w:rPr>
          <w:noProof/>
        </w:rPr>
        <w:t>(12)</w:t>
      </w:r>
      <w:r>
        <w:rPr>
          <w:noProof/>
        </w:rPr>
        <w:tab/>
        <w:t xml:space="preserve">Sen määrittämiseksi, miten lisäeläkelaitokset tekevät sijoituspäätöksensä ja  arvioivat riskejä ympäristöön, yhteiskuntaan ja hallintotapaan liittyvien riskien huomioon ottamiseksi, direktiivillä (EU) 2016/2341 olisi siirrettävä komissiolle valta antaa säädöksiä Euroopan unionin toiminnasta tehdyn sopimuksen 290 artiklan mukaisesti. Hallintoon ja riskienhallintaan liittyviä sääntöjä sovelletaan jo sijoituspäätöksiin ja riskinarviointeihin, jotta varmistetaan lisäeläkelaitosten toiminnan jatkuvuus ja säännönmukaisuus. Sijoituspäätökset ja keskeisten riskien, mukaan lukien ympäristöön, yhteiskuntaan ja hallintotapaan liittyvät riskit, arviointi olisi tehtävä niin, että varmistetaan jäsenten ja edunsaajien etujen noudattaminen. Lisäeläkelaitosten toiminnoilla ja niiden perustana olevilla menettelyillä olisi varmistettava, että delegoitujen säädösten tavoite saavutetaan. Olisi varmistettava, että delegoidut säädökset ovat tarvittaessa johdonmukaisia direktiivin 2009/65/EY, direktiivin 2009/138/EY ja direktiivin 2011/61/EU nojalla hyväksyttyjen delegoitujen säädösten kanssa. On erityisen tärkeää, että komissio asiaa valmistellessaan toteuttaa </w:t>
      </w:r>
      <w:r>
        <w:rPr>
          <w:noProof/>
        </w:rPr>
        <w:lastRenderedPageBreak/>
        <w:t xml:space="preserve">asianmukaiset kuulemiset, myös asiantuntijatasolla, ja että nämä kuulemiset toteutetaan paremmasta lainsäädännöstä 13 päivänä huhtikuuta 2016 tehdyssä toimielinten välisessä sopimuksessa vahvistettujen periaatteiden mukaisesti. Jotta voitaisiin erityisesti varmistaa tasavertainen osallistuminen delegoitujen säädösten valmisteluun, Euroopan parlamentille ja neuvostolle olisi toimitettava kaikki asiakirjat samaan aikaan kuin jäsenvaltioiden asiantuntijoille, ja Euroopan parlamentin ja neuvoston asiantuntijoilla olisi järjestelmällisesti oltava oikeus osallistua komission asiantuntijaryhmien kokouksiin, joissa valmistellaan delegoituja säädöksiä. </w:t>
      </w:r>
    </w:p>
    <w:p>
      <w:pPr>
        <w:pStyle w:val="ManualConsidrant"/>
        <w:rPr>
          <w:noProof/>
        </w:rPr>
      </w:pPr>
      <w:r>
        <w:rPr>
          <w:noProof/>
        </w:rPr>
        <w:t>(13)</w:t>
      </w:r>
      <w:r>
        <w:rPr>
          <w:noProof/>
        </w:rPr>
        <w:tab/>
        <w:t>Euroopan parlamentin ja neuvoston asetuksella (EU) N:o 1093/2010</w:t>
      </w:r>
      <w:r>
        <w:rPr>
          <w:rStyle w:val="FootnoteReference"/>
          <w:noProof/>
        </w:rPr>
        <w:footnoteReference w:id="41"/>
      </w:r>
      <w:r>
        <w:rPr>
          <w:noProof/>
        </w:rPr>
        <w:t xml:space="preserve"> perustetun    </w:t>
      </w:r>
      <w:r>
        <w:rPr>
          <w:noProof/>
        </w:rPr>
        <w:br/>
        <w:t>Euroopan pankkiviranomaisen, jäljempänä ’EPV’, Euroopan parlamentin ja neuvoston asetuksella (EU) N:o 1094/2010</w:t>
      </w:r>
      <w:r>
        <w:rPr>
          <w:rStyle w:val="FootnoteReference"/>
          <w:noProof/>
        </w:rPr>
        <w:footnoteReference w:id="42"/>
      </w:r>
      <w:r>
        <w:rPr>
          <w:noProof/>
        </w:rPr>
        <w:t xml:space="preserve"> perustetun Euroopan vakuutus- ja lisäeläkeviranomaisen, jäljempänä ’EVLEV’, ja Euroopan parlamentin ja neuvoston asetuksella (EU) N:o 1095/2010</w:t>
      </w:r>
      <w:r>
        <w:rPr>
          <w:rStyle w:val="FootnoteReference"/>
          <w:noProof/>
        </w:rPr>
        <w:footnoteReference w:id="43"/>
      </w:r>
      <w:r>
        <w:rPr>
          <w:noProof/>
        </w:rPr>
        <w:t xml:space="preserve"> perustetun Euroopan arvopaperimarkkinaviranomaisen, jäljempänä ’EAMV’, yhdessä ’Euroopan valvontaviranomaiset’, olisi yhteiskomitean välityksellä laadittava asetuksen (EU) N:o 1093/2010, asetuksen (EU) N:o 1094/2010 ja asetuksen (EU) N:o 1095/2010 10–14 artiklan mukaisesti tekniset sääntelystandardit, joissa täsmennetään sopimuksen tekemistä edeltävissä asiakirjoissa, määräaikaiskatsauksissa ja finanssimarkkinatoimijoiden verkkosivustoilla annettavien kestäviä sijoitustavoitteita koskevien tietojen esitysmuoto ja sisältö. Komissiolle olisi siirrettävä valta hyväksyä kyseiset tekniset sääntelystandardit.</w:t>
      </w:r>
    </w:p>
    <w:p>
      <w:pPr>
        <w:pStyle w:val="ManualConsidrant"/>
        <w:rPr>
          <w:noProof/>
        </w:rPr>
      </w:pPr>
      <w:r>
        <w:rPr>
          <w:noProof/>
        </w:rPr>
        <w:t>(14)</w:t>
      </w:r>
      <w:r>
        <w:rPr>
          <w:noProof/>
        </w:rPr>
        <w:tab/>
        <w:t>Komissiolle olisi siirrettävä valta hyväksyä Euroopan valvontaviranomaisten yhteiskomitean välityksellä laatimia teknisiä täytäntöönpanostandardeja Euroopan unionin toiminnasta tehdyn sopimuksen 291 artiklan mukaisilla täytäntöönpanosäädöksillä ja asetuksen (EU) N:o 1093/2010 15 artiklan, asetuksen (EU) N:o 1094/2010 15 artiklan ja asetuksen (EU) N:o 1095/2010 15 artiklan mukaisesti, jotta voidaan vahvistaa kestävien sijoitusten vakioesitysmuoto markkinointiviestinnässä.</w:t>
      </w:r>
    </w:p>
    <w:p>
      <w:pPr>
        <w:pStyle w:val="ManualConsidrant"/>
        <w:rPr>
          <w:noProof/>
        </w:rPr>
      </w:pPr>
      <w:r>
        <w:rPr>
          <w:noProof/>
        </w:rPr>
        <w:t>(15)</w:t>
      </w:r>
      <w:r>
        <w:rPr>
          <w:noProof/>
        </w:rPr>
        <w:tab/>
        <w:t>Koska määräaikaiskatsauksissa periaatteessa kootaan yhteen koko kalenterivuoden liiketoiminnan tulokset, avoimuusvaatimuksia koskevien säännösten soveltamista määräaikaiskatsauksissa olisi lykättävä [</w:t>
      </w:r>
      <w:r>
        <w:rPr>
          <w:i/>
          <w:noProof/>
        </w:rPr>
        <w:t>Julkaisutoimisto: Lisätään 12 artiklan toisessa alakohdassa tarkoitettua päivämäärää seuraavan vuoden 1 päivä tammikuuta</w:t>
      </w:r>
      <w:r>
        <w:rPr>
          <w:noProof/>
        </w:rPr>
        <w:t xml:space="preserve">]. </w:t>
      </w:r>
    </w:p>
    <w:p>
      <w:pPr>
        <w:pStyle w:val="ManualConsidrant"/>
        <w:rPr>
          <w:noProof/>
        </w:rPr>
      </w:pPr>
      <w:r>
        <w:rPr>
          <w:noProof/>
        </w:rPr>
        <w:t>(16)</w:t>
      </w:r>
      <w:r>
        <w:rPr>
          <w:noProof/>
        </w:rPr>
        <w:tab/>
        <w:t xml:space="preserve">Tämä asetuksen tiedonantosääntöjen olisi täydennettävä direktiivin 2009/65/EY, direktiivin 2009/138/EY, direktiivin 2011/61/EU, Euroopan parlamentin ja neuvoston </w:t>
      </w:r>
      <w:r>
        <w:rPr>
          <w:noProof/>
        </w:rPr>
        <w:lastRenderedPageBreak/>
        <w:t>direktiivin (EU) 2016/2341</w:t>
      </w:r>
      <w:r>
        <w:rPr>
          <w:rStyle w:val="FootnoteReference"/>
          <w:noProof/>
        </w:rPr>
        <w:footnoteReference w:id="44"/>
      </w:r>
      <w:r>
        <w:rPr>
          <w:noProof/>
        </w:rPr>
        <w:t xml:space="preserve">, asetuksen (EU) N:o 345/2013 ja asetuksen (EU) N:o 346/2013 säännöksiä, ja niitä olisi sovellettava mainittujen säännösten lisäksi. </w:t>
      </w:r>
    </w:p>
    <w:p>
      <w:pPr>
        <w:pStyle w:val="ManualConsidrant"/>
        <w:rPr>
          <w:noProof/>
        </w:rPr>
      </w:pPr>
      <w:r>
        <w:rPr>
          <w:noProof/>
        </w:rPr>
        <w:t>(17)</w:t>
      </w:r>
      <w:r>
        <w:rPr>
          <w:noProof/>
        </w:rPr>
        <w:tab/>
        <w:t>Tässä asetuksessa kunnioitetaan perusoikeuksia ja otetaan huomioon erityisesti Euroopan unionin perusoikeuskirjassa tunnustetut periaatteet.</w:t>
      </w:r>
    </w:p>
    <w:p>
      <w:pPr>
        <w:pStyle w:val="ManualConsidrant"/>
        <w:rPr>
          <w:noProof/>
        </w:rPr>
      </w:pPr>
      <w:r>
        <w:rPr>
          <w:noProof/>
        </w:rPr>
        <w:t>(18)</w:t>
      </w:r>
      <w:r>
        <w:rPr>
          <w:noProof/>
        </w:rPr>
        <w:tab/>
        <w:t>Jäsenvaltiot eivät voi riittävällä tavalla saavuttaa tämän asetuksen tavoitetta, joka on lopullisten sijoittajien suojan vahvistaminen ja niille annettavien tietojen parantaminen, myös rajat ylittävien sijoitusten osalta, vaan se voidaan saavuttaa paremmin unionin tasolla, koska on tarpeen vahvistaa yhdenmukaiset tiedonantovaatimukset unionin tasolla. Sen vuoksi unioni voi toteuttaa toimenpiteitä Euroopan unionista tehdyn sopimuksen 5 artiklassa vahvistetun toissijaisuusperiaatteen mukaisesti. Mainitussa artiklassa vahvistetun suhteellisuusperiaatteen mukaisesti tässä asetuksessa ei ylitetä sitä, mikä on tarpeen näiden tavoitteiden saavuttamiseksi,</w:t>
      </w:r>
    </w:p>
    <w:p>
      <w:pPr>
        <w:pStyle w:val="Formuledadoption"/>
        <w:rPr>
          <w:noProof/>
        </w:rPr>
      </w:pPr>
      <w:r>
        <w:rPr>
          <w:noProof/>
        </w:rPr>
        <w:t>OVAT HYVÄKSYNEET TÄMÄN ASETUKSEN:</w:t>
      </w:r>
    </w:p>
    <w:p>
      <w:pPr>
        <w:pStyle w:val="Titrearticle"/>
        <w:rPr>
          <w:noProof/>
        </w:rPr>
      </w:pPr>
      <w:r>
        <w:rPr>
          <w:noProof/>
        </w:rPr>
        <w:t>1 artikla</w:t>
      </w:r>
    </w:p>
    <w:p>
      <w:pPr>
        <w:pStyle w:val="Titrearticle"/>
        <w:rPr>
          <w:b/>
          <w:i w:val="0"/>
          <w:noProof/>
        </w:rPr>
      </w:pPr>
      <w:r>
        <w:rPr>
          <w:b/>
          <w:i w:val="0"/>
          <w:noProof/>
        </w:rPr>
        <w:t>Kohde</w:t>
      </w:r>
    </w:p>
    <w:p>
      <w:pPr>
        <w:rPr>
          <w:noProof/>
        </w:rPr>
      </w:pPr>
      <w:r>
        <w:rPr>
          <w:noProof/>
        </w:rPr>
        <w:t>Tässä asetuksessa vahvistetaan yhdenmukaistetut avoimuussäännöt, joita finanssimarkkinatoimijoiden, vakuutusmuotoisia sijoitustuotteita koskevaa vakuutusneuvontaa tarjoavien vakuutusedustajien ja sijoitusneuvontaa tarjoavien sijoituspalveluyritysten on sovellettava kestävyysriskien sisällyttämisessä sijoituksia koskevaan päätöksentekoprosessiin tai neuvontamenettelyihin ja sellaisten rahoitustuotteiden avoimuuteen, joiden tavoitteena on kestävä sijoittaminen, myös hiilipäästöjen vähentäminen.</w:t>
      </w:r>
    </w:p>
    <w:p>
      <w:pPr>
        <w:pStyle w:val="Titrearticle"/>
        <w:rPr>
          <w:noProof/>
        </w:rPr>
      </w:pPr>
      <w:r>
        <w:rPr>
          <w:noProof/>
        </w:rPr>
        <w:t>2 artikla</w:t>
      </w:r>
    </w:p>
    <w:p>
      <w:pPr>
        <w:pStyle w:val="Titrearticle"/>
        <w:rPr>
          <w:b/>
          <w:i w:val="0"/>
          <w:noProof/>
        </w:rPr>
      </w:pPr>
      <w:r>
        <w:rPr>
          <w:b/>
          <w:i w:val="0"/>
          <w:noProof/>
        </w:rPr>
        <w:t>Määritelmät</w:t>
      </w:r>
    </w:p>
    <w:p>
      <w:pPr>
        <w:rPr>
          <w:noProof/>
        </w:rPr>
      </w:pPr>
      <w:r>
        <w:rPr>
          <w:noProof/>
        </w:rPr>
        <w:t>Tässä asetuksessa tarkoitetaan:</w:t>
      </w:r>
    </w:p>
    <w:p>
      <w:pPr>
        <w:pStyle w:val="Point0"/>
        <w:rPr>
          <w:noProof/>
        </w:rPr>
      </w:pPr>
      <w:r>
        <w:rPr>
          <w:noProof/>
        </w:rPr>
        <w:t>a)</w:t>
      </w:r>
      <w:r>
        <w:rPr>
          <w:noProof/>
        </w:rPr>
        <w:tab/>
        <w:t>’finanssimarkkinatoimijalla’ mitä tahansa seuraavista:</w:t>
      </w:r>
    </w:p>
    <w:p>
      <w:pPr>
        <w:pStyle w:val="Point1"/>
        <w:rPr>
          <w:noProof/>
        </w:rPr>
      </w:pPr>
      <w:r>
        <w:rPr>
          <w:noProof/>
        </w:rPr>
        <w:t>i)</w:t>
      </w:r>
      <w:r>
        <w:rPr>
          <w:noProof/>
        </w:rPr>
        <w:tab/>
        <w:t>vakuutusmuotoisia sijoitustuotteita saataville asettavaa vakuutusyritystä, vaihtoehtoisen sijoitusrahaston hoitajaa, salkunhoitoa tarjoavaa sijoituspalveluyritystä, ammatillisia lisäeläkkeitä tarjoavaa laitosta tai eläketuotteen tarjoajaa;</w:t>
      </w:r>
    </w:p>
    <w:p>
      <w:pPr>
        <w:pStyle w:val="Point1"/>
        <w:rPr>
          <w:noProof/>
        </w:rPr>
      </w:pPr>
      <w:r>
        <w:rPr>
          <w:noProof/>
        </w:rPr>
        <w:t>ii)</w:t>
      </w:r>
      <w:r>
        <w:rPr>
          <w:noProof/>
        </w:rPr>
        <w:tab/>
        <w:t>vaatimukset täyttävän riskipääomarahaston hoitajaa, joka on rekisteröity asetuksen (EU) N:o 345/2013 14 artiklan mukaisesti;</w:t>
      </w:r>
    </w:p>
    <w:p>
      <w:pPr>
        <w:pStyle w:val="Point1"/>
        <w:rPr>
          <w:noProof/>
        </w:rPr>
      </w:pPr>
      <w:r>
        <w:rPr>
          <w:noProof/>
        </w:rPr>
        <w:t>iii)</w:t>
      </w:r>
      <w:r>
        <w:rPr>
          <w:noProof/>
        </w:rPr>
        <w:tab/>
        <w:t>vaatimukset täyttävän yhteiskunnalliseen yrittäjyyteen erikoistuneen rahaston hoitajaa, joka on rekisteröity asetuksen (EU) N:o 346/2013 15 artiklan mukaisesti;</w:t>
      </w:r>
    </w:p>
    <w:p>
      <w:pPr>
        <w:pStyle w:val="Point1"/>
        <w:rPr>
          <w:noProof/>
        </w:rPr>
      </w:pPr>
      <w:r>
        <w:rPr>
          <w:noProof/>
        </w:rPr>
        <w:t>iv)</w:t>
      </w:r>
      <w:r>
        <w:rPr>
          <w:noProof/>
        </w:rPr>
        <w:tab/>
        <w:t xml:space="preserve">yhteissijoitusyrityksen rahastoyhtiötä; </w:t>
      </w:r>
    </w:p>
    <w:p>
      <w:pPr>
        <w:pStyle w:val="Point0"/>
        <w:rPr>
          <w:noProof/>
        </w:rPr>
      </w:pPr>
      <w:r>
        <w:rPr>
          <w:noProof/>
        </w:rPr>
        <w:lastRenderedPageBreak/>
        <w:t>b)</w:t>
      </w:r>
      <w:r>
        <w:rPr>
          <w:noProof/>
        </w:rPr>
        <w:tab/>
        <w:t>’vakuutusyrityksellä’ direktiivin 2009/138/EY 18 artiklan mukaisesti toimiluvan saanutta vakuutusyritystä;</w:t>
      </w:r>
    </w:p>
    <w:p>
      <w:pPr>
        <w:pStyle w:val="Point0"/>
        <w:rPr>
          <w:noProof/>
        </w:rPr>
      </w:pPr>
      <w:r>
        <w:rPr>
          <w:noProof/>
        </w:rPr>
        <w:t>c)</w:t>
      </w:r>
      <w:r>
        <w:rPr>
          <w:noProof/>
        </w:rPr>
        <w:tab/>
        <w:t>’vakuutusmuotoisella sijoitustuotteella’ jompaakumpaa seuraavista:</w:t>
      </w:r>
    </w:p>
    <w:p>
      <w:pPr>
        <w:pStyle w:val="Point1"/>
        <w:rPr>
          <w:noProof/>
        </w:rPr>
      </w:pPr>
      <w:r>
        <w:rPr>
          <w:noProof/>
        </w:rPr>
        <w:t>i)</w:t>
      </w:r>
      <w:r>
        <w:rPr>
          <w:noProof/>
        </w:rPr>
        <w:tab/>
        <w:t>asetuksen (EU) N:o 1286/2014</w:t>
      </w:r>
      <w:r>
        <w:rPr>
          <w:rStyle w:val="FootnoteReference"/>
          <w:noProof/>
        </w:rPr>
        <w:footnoteReference w:id="45"/>
      </w:r>
      <w:r>
        <w:rPr>
          <w:noProof/>
        </w:rPr>
        <w:t> 4 artiklan 2 alakohdassa määriteltyä vakuutusmuotoista sijoitustuotetta;</w:t>
      </w:r>
    </w:p>
    <w:p>
      <w:pPr>
        <w:pStyle w:val="Point1"/>
        <w:rPr>
          <w:noProof/>
        </w:rPr>
      </w:pPr>
      <w:r>
        <w:rPr>
          <w:noProof/>
        </w:rPr>
        <w:t>ii)</w:t>
      </w:r>
      <w:r>
        <w:rPr>
          <w:noProof/>
        </w:rPr>
        <w:tab/>
        <w:t>ammattimaisen sijoittajan saataville asetettua vakuutustuotetta, johon sisältyy maturiteetti- tai takaisinostoarvo ja jossa markkinoiden vaihtelu vaikuttaa suoraan tai välillisesti koko maturiteetti- tai takaisinostoarvoon tai sen osaan;</w:t>
      </w:r>
    </w:p>
    <w:p>
      <w:pPr>
        <w:pStyle w:val="Point0"/>
        <w:rPr>
          <w:noProof/>
        </w:rPr>
      </w:pPr>
      <w:r>
        <w:rPr>
          <w:noProof/>
        </w:rPr>
        <w:t>d)</w:t>
      </w:r>
      <w:r>
        <w:rPr>
          <w:noProof/>
        </w:rPr>
        <w:tab/>
        <w:t>’vaihtoehtoisen sijoitusrahaston hoitajalla’ tai ’AIF-rahaston hoitajalla’ direktiivin 2011/61/EU 4 artiklan 1 kohdan b alakohdassa määriteltyä vaihtoehtoisen sijoitusrahaston hoitajaa;</w:t>
      </w:r>
    </w:p>
    <w:p>
      <w:pPr>
        <w:pStyle w:val="Point0"/>
        <w:rPr>
          <w:noProof/>
        </w:rPr>
      </w:pPr>
      <w:r>
        <w:rPr>
          <w:noProof/>
        </w:rPr>
        <w:t>e)</w:t>
      </w:r>
      <w:r>
        <w:rPr>
          <w:noProof/>
        </w:rPr>
        <w:tab/>
        <w:t>’sijoituspalveluyrityksellä’ direktiivin 2014/65/EU 4 artiklan 1 kohdan 1 alakohdassa määriteltyä sijoituspalveluyritystä;</w:t>
      </w:r>
    </w:p>
    <w:p>
      <w:pPr>
        <w:pStyle w:val="Point0"/>
        <w:rPr>
          <w:noProof/>
        </w:rPr>
      </w:pPr>
      <w:r>
        <w:rPr>
          <w:noProof/>
        </w:rPr>
        <w:t>f)</w:t>
      </w:r>
      <w:r>
        <w:rPr>
          <w:noProof/>
        </w:rPr>
        <w:tab/>
        <w:t>’salkunhoidolla’ direktiivin 2014/65/EU 4 artiklan 1 kohdan 8 alakohdassa määriteltyä salkunhoitoa;</w:t>
      </w:r>
    </w:p>
    <w:p>
      <w:pPr>
        <w:pStyle w:val="Point0"/>
        <w:rPr>
          <w:noProof/>
        </w:rPr>
      </w:pPr>
      <w:r>
        <w:rPr>
          <w:noProof/>
        </w:rPr>
        <w:t>g)</w:t>
      </w:r>
      <w:r>
        <w:rPr>
          <w:noProof/>
        </w:rPr>
        <w:tab/>
        <w:t>’ammatillisia lisäeläkkeitä tarjoavalla laitoksella’ tai ’lisäeläkelaitoksella’ direktiivin (EU) 2016/2341 9 artiklan mukaisesti hyväksyttyä tai rekisteröityä ammatillisia lisäeläkkeitä tarjoavaa laitosta;</w:t>
      </w:r>
    </w:p>
    <w:p>
      <w:pPr>
        <w:pStyle w:val="Point0"/>
        <w:rPr>
          <w:noProof/>
        </w:rPr>
      </w:pPr>
      <w:r>
        <w:rPr>
          <w:noProof/>
        </w:rPr>
        <w:t>h)</w:t>
      </w:r>
      <w:r>
        <w:rPr>
          <w:noProof/>
        </w:rPr>
        <w:tab/>
        <w:t>’eläketuotteella’ jompaakumpaa seuraavista:</w:t>
      </w:r>
    </w:p>
    <w:p>
      <w:pPr>
        <w:pStyle w:val="Point1"/>
        <w:rPr>
          <w:noProof/>
        </w:rPr>
      </w:pPr>
      <w:r>
        <w:rPr>
          <w:noProof/>
        </w:rPr>
        <w:t>i)</w:t>
      </w:r>
      <w:r>
        <w:rPr>
          <w:noProof/>
        </w:rPr>
        <w:tab/>
        <w:t>asetuksen (EU) N:o 1286/2014 2 artiklan 2 kohdan e alakohdassa tarkoitettua eläketuotetta;</w:t>
      </w:r>
    </w:p>
    <w:p>
      <w:pPr>
        <w:pStyle w:val="Point1"/>
        <w:rPr>
          <w:noProof/>
        </w:rPr>
      </w:pPr>
      <w:r>
        <w:rPr>
          <w:noProof/>
        </w:rPr>
        <w:t>ii)</w:t>
      </w:r>
      <w:r>
        <w:rPr>
          <w:noProof/>
        </w:rPr>
        <w:tab/>
        <w:t>asetuksen (EU) N:o 1286/2014 2 artiklan 2 kohdan g alakohdassa tarkoitettua yksilöllistä eläketuotetta;</w:t>
      </w:r>
    </w:p>
    <w:p>
      <w:pPr>
        <w:pStyle w:val="Point0"/>
        <w:rPr>
          <w:noProof/>
        </w:rPr>
      </w:pPr>
      <w:r>
        <w:rPr>
          <w:noProof/>
        </w:rPr>
        <w:t>i)</w:t>
      </w:r>
      <w:r>
        <w:rPr>
          <w:noProof/>
        </w:rPr>
        <w:tab/>
        <w:t>’yhteissijoitusyrityksen rahastoyhtiöllä’ direktiivin 2009/65/EY 2 artiklan 1 kohdan b alakohdassa määriteltyä rahastoyhtiötä tai mainitun direktiivin 1 artiklan 2 kohdassa tarkoitettua sijoitusyhtiötä;</w:t>
      </w:r>
    </w:p>
    <w:p>
      <w:pPr>
        <w:pStyle w:val="Point0"/>
        <w:rPr>
          <w:noProof/>
        </w:rPr>
      </w:pPr>
      <w:r>
        <w:rPr>
          <w:noProof/>
        </w:rPr>
        <w:t>j)</w:t>
      </w:r>
      <w:r>
        <w:rPr>
          <w:noProof/>
        </w:rPr>
        <w:tab/>
        <w:t>’rahoitustuotteella’ salkunhoitoa, vaihtoehtoista sijoitusrahastoa, vakuutusmuotoista sijoitustuotetta, eläketuotetta, eläkejärjestelmää tai yhteissijoitusyritystä;</w:t>
      </w:r>
    </w:p>
    <w:p>
      <w:pPr>
        <w:pStyle w:val="Point0"/>
        <w:rPr>
          <w:noProof/>
        </w:rPr>
      </w:pPr>
      <w:r>
        <w:rPr>
          <w:noProof/>
        </w:rPr>
        <w:t>k)</w:t>
      </w:r>
      <w:r>
        <w:rPr>
          <w:noProof/>
        </w:rPr>
        <w:tab/>
        <w:t>’vaihtoehtoisella sijoitusrahastolla’ direktiivin 2011/61/EU 4 artiklan 1 kohdan a alakohdassa määriteltyä vaihtoehtoista sijoitusrahastoa;</w:t>
      </w:r>
    </w:p>
    <w:p>
      <w:pPr>
        <w:pStyle w:val="Point0"/>
        <w:rPr>
          <w:noProof/>
        </w:rPr>
      </w:pPr>
      <w:r>
        <w:rPr>
          <w:noProof/>
        </w:rPr>
        <w:t>l)</w:t>
      </w:r>
      <w:r>
        <w:rPr>
          <w:noProof/>
        </w:rPr>
        <w:tab/>
        <w:t>’eläkejärjestelmällä’ direktiivin (EU) 2016/2341 6 artiklan 2 alakohdassa määriteltyä eläkejärjestelmää;</w:t>
      </w:r>
    </w:p>
    <w:p>
      <w:pPr>
        <w:pStyle w:val="Point0"/>
        <w:rPr>
          <w:noProof/>
        </w:rPr>
      </w:pPr>
      <w:r>
        <w:rPr>
          <w:noProof/>
        </w:rPr>
        <w:t>m)</w:t>
      </w:r>
      <w:r>
        <w:rPr>
          <w:noProof/>
        </w:rPr>
        <w:tab/>
        <w:t>’yhteissijoitusyrityksellä’ direktiivin 2009/65/EY 5 artiklan mukaisen toimiluvan saanutta siirtokelpoisiin arvopapereihin kohdistuvaa yhteistä sijoitustoimintaa harjoittavaa yritystä;</w:t>
      </w:r>
    </w:p>
    <w:p>
      <w:pPr>
        <w:pStyle w:val="Point0"/>
        <w:rPr>
          <w:noProof/>
        </w:rPr>
      </w:pPr>
      <w:r>
        <w:rPr>
          <w:noProof/>
        </w:rPr>
        <w:t>n)</w:t>
      </w:r>
      <w:r>
        <w:rPr>
          <w:noProof/>
        </w:rPr>
        <w:tab/>
        <w:t>’sijoitusneuvonnalla’ direktiivin 2014/65/EU 4 artiklan 1 kohdan 4 alakohdassa määriteltyä sijoitusneuvontaa;</w:t>
      </w:r>
    </w:p>
    <w:p>
      <w:pPr>
        <w:pStyle w:val="Point0"/>
        <w:rPr>
          <w:noProof/>
        </w:rPr>
      </w:pPr>
      <w:r>
        <w:rPr>
          <w:noProof/>
        </w:rPr>
        <w:t>o)</w:t>
      </w:r>
      <w:r>
        <w:rPr>
          <w:noProof/>
        </w:rPr>
        <w:tab/>
        <w:t>’kestävillä sijoituksilla’ mitä tahansa seuraavista tai minkä tahansa niiden yhdistelmää:</w:t>
      </w:r>
    </w:p>
    <w:p>
      <w:pPr>
        <w:pStyle w:val="Point1"/>
        <w:rPr>
          <w:noProof/>
        </w:rPr>
      </w:pPr>
      <w:r>
        <w:rPr>
          <w:noProof/>
        </w:rPr>
        <w:lastRenderedPageBreak/>
        <w:t>i)</w:t>
      </w:r>
      <w:r>
        <w:rPr>
          <w:noProof/>
        </w:rPr>
        <w:tab/>
        <w:t>sijoituksia taloudelliseen toimintaan, joka edistää ympäristötavoitetta, mukaan lukien [</w:t>
      </w:r>
      <w:r>
        <w:rPr>
          <w:i/>
          <w:noProof/>
        </w:rPr>
        <w:t xml:space="preserve">Julkaisutoimisto: Lisätään viittaus asetukseen </w:t>
      </w:r>
      <w:r>
        <w:rPr>
          <w:noProof/>
        </w:rPr>
        <w:t xml:space="preserve"> </w:t>
      </w:r>
      <w:r>
        <w:rPr>
          <w:i/>
          <w:noProof/>
        </w:rPr>
        <w:t>kestävää sijoittamista helpottavasta kehyksestä</w:t>
      </w:r>
      <w:r>
        <w:rPr>
          <w:noProof/>
        </w:rPr>
        <w:t>] 2 artiklassa määritelty ympäristön kannalta kestävä sijoitus;</w:t>
      </w:r>
    </w:p>
    <w:p>
      <w:pPr>
        <w:pStyle w:val="Point1"/>
        <w:rPr>
          <w:noProof/>
        </w:rPr>
      </w:pPr>
      <w:r>
        <w:rPr>
          <w:noProof/>
        </w:rPr>
        <w:t>ii)</w:t>
      </w:r>
      <w:r>
        <w:rPr>
          <w:noProof/>
        </w:rPr>
        <w:tab/>
        <w:t>sijoituksia taloudelliseen toimintaan, joka edistää yhteiskunnallista tavoitetta, ja etenkin sijoituksia, joilla edistetään eriarvoisuuden torjuntaa, sosiaalista yhteenkuuluvuutta, yhteiskuntaan integroitumista ja työmarkkinasuhteita, tai sijoituksia inhimilliseen pääomaan tai taloudellisesti tai sosiaalisesti heikommassa asemassa oleviin yhteisöihin;</w:t>
      </w:r>
    </w:p>
    <w:p>
      <w:pPr>
        <w:pStyle w:val="Point1"/>
        <w:rPr>
          <w:noProof/>
        </w:rPr>
      </w:pPr>
      <w:r>
        <w:rPr>
          <w:noProof/>
        </w:rPr>
        <w:t>iii)</w:t>
      </w:r>
      <w:r>
        <w:rPr>
          <w:noProof/>
        </w:rPr>
        <w:tab/>
        <w:t>sijoituksia yrityksiin, jotka noudattavat hyviä hallintotapoja, ja etenkin yrityksiin, joiden hallintorakenteet, suhteet työntekijöihin, henkilöstön palkitseminen ja verosäännösten noudattaminen ovat moitteettomat;</w:t>
      </w:r>
    </w:p>
    <w:p>
      <w:pPr>
        <w:pStyle w:val="Point0"/>
        <w:rPr>
          <w:noProof/>
        </w:rPr>
      </w:pPr>
      <w:r>
        <w:rPr>
          <w:noProof/>
        </w:rPr>
        <w:t>p)</w:t>
      </w:r>
      <w:r>
        <w:rPr>
          <w:noProof/>
        </w:rPr>
        <w:tab/>
        <w:t>’vähittäissijoittajalla’ sijoittajaa, joka ei ole ammattimainen sijoittaja;</w:t>
      </w:r>
    </w:p>
    <w:p>
      <w:pPr>
        <w:pStyle w:val="Point0"/>
        <w:rPr>
          <w:noProof/>
        </w:rPr>
      </w:pPr>
      <w:r>
        <w:rPr>
          <w:noProof/>
        </w:rPr>
        <w:t>q)</w:t>
      </w:r>
      <w:r>
        <w:rPr>
          <w:noProof/>
        </w:rPr>
        <w:tab/>
        <w:t>’ammattimaisella sijoittajalla’ sijoittajaa, joka täyttää direktiivin 2014/65/EU liitteessä II vahvistetut perusteet;</w:t>
      </w:r>
    </w:p>
    <w:p>
      <w:pPr>
        <w:pStyle w:val="Point0"/>
        <w:rPr>
          <w:noProof/>
        </w:rPr>
      </w:pPr>
      <w:r>
        <w:rPr>
          <w:noProof/>
        </w:rPr>
        <w:t>r)</w:t>
      </w:r>
      <w:r>
        <w:rPr>
          <w:noProof/>
        </w:rPr>
        <w:tab/>
        <w:t>’vakuutusedustajalla’ direktiivin (EU) 2016/97 2 artiklan 1 kohdan 3 alakohdassa määriteltyä vakuutusedustajaa;</w:t>
      </w:r>
    </w:p>
    <w:p>
      <w:pPr>
        <w:pStyle w:val="Point0"/>
        <w:rPr>
          <w:noProof/>
        </w:rPr>
      </w:pPr>
      <w:r>
        <w:rPr>
          <w:noProof/>
        </w:rPr>
        <w:t>s)</w:t>
      </w:r>
      <w:r>
        <w:rPr>
          <w:noProof/>
        </w:rPr>
        <w:tab/>
        <w:t xml:space="preserve">’vakuutusneuvonnalla’ direktiivin (EU) 2016/97 2 artiklan 1 kohdan 15 alakohdassa määriteltyä neuvontaa. </w:t>
      </w:r>
    </w:p>
    <w:p>
      <w:pPr>
        <w:pStyle w:val="Titrearticle"/>
        <w:rPr>
          <w:noProof/>
        </w:rPr>
      </w:pPr>
      <w:r>
        <w:rPr>
          <w:noProof/>
        </w:rPr>
        <w:t>3 artikla</w:t>
      </w:r>
    </w:p>
    <w:p>
      <w:pPr>
        <w:pStyle w:val="Titrearticle"/>
        <w:rPr>
          <w:b/>
          <w:i w:val="0"/>
          <w:noProof/>
        </w:rPr>
      </w:pPr>
      <w:r>
        <w:rPr>
          <w:b/>
          <w:i w:val="0"/>
          <w:noProof/>
        </w:rPr>
        <w:t>Kestävyysriskiin liittyvien toimintatapojen avoimuus</w:t>
      </w:r>
    </w:p>
    <w:p>
      <w:pPr>
        <w:pStyle w:val="ManualNumPar1"/>
        <w:rPr>
          <w:noProof/>
        </w:rPr>
      </w:pPr>
      <w:r>
        <w:rPr>
          <w:noProof/>
        </w:rPr>
        <w:t>1.</w:t>
      </w:r>
      <w:r>
        <w:rPr>
          <w:noProof/>
        </w:rPr>
        <w:tab/>
        <w:t>Finanssimarkkinatoimijoiden on julkaistava verkkosivustoillaan kirjalliset toimintaperiaatteet, joita sovelletaan kestävyysriskien sisällyttämiseen sijoituksia koskevaan päätöksentekoprosessiin.</w:t>
      </w:r>
    </w:p>
    <w:p>
      <w:pPr>
        <w:pStyle w:val="ManualNumPar1"/>
        <w:rPr>
          <w:noProof/>
        </w:rPr>
      </w:pPr>
      <w:r>
        <w:rPr>
          <w:noProof/>
        </w:rPr>
        <w:t>2.</w:t>
      </w:r>
      <w:r>
        <w:rPr>
          <w:noProof/>
        </w:rPr>
        <w:tab/>
        <w:t>Vakuutusmuotoisia sijoitustuotteita koskevaa vakuutusneuvontaa tarjoavien vakuutusedustajien ja sijoitusneuvontaa tarjoavien sijoituspalveluyritysten on julkaistava verkkosivustoillaan kirjalliset toimintaperiaatteet, joita sovelletaan kestävyysriskien sisällyttämiseen sijoitus- tai vakuutusneuvontaan.</w:t>
      </w:r>
    </w:p>
    <w:p>
      <w:pPr>
        <w:pStyle w:val="Titrearticle"/>
        <w:rPr>
          <w:noProof/>
        </w:rPr>
      </w:pPr>
      <w:r>
        <w:rPr>
          <w:noProof/>
        </w:rPr>
        <w:t xml:space="preserve">4 artikla </w:t>
      </w:r>
    </w:p>
    <w:p>
      <w:pPr>
        <w:pStyle w:val="Titrearticle"/>
        <w:rPr>
          <w:b/>
          <w:i w:val="0"/>
          <w:noProof/>
        </w:rPr>
      </w:pPr>
      <w:r>
        <w:rPr>
          <w:b/>
          <w:i w:val="0"/>
          <w:noProof/>
        </w:rPr>
        <w:t>Kestävyysriskien huomioon ottamiseen liittyvä avoimuus</w:t>
      </w:r>
    </w:p>
    <w:p>
      <w:pPr>
        <w:pStyle w:val="ManualNumPar1"/>
        <w:rPr>
          <w:noProof/>
        </w:rPr>
      </w:pPr>
      <w:r>
        <w:rPr>
          <w:noProof/>
        </w:rPr>
        <w:t>1.</w:t>
      </w:r>
      <w:r>
        <w:rPr>
          <w:noProof/>
        </w:rPr>
        <w:tab/>
        <w:t>Finanssimarkkinatoimijoiden on sisällytettävä ennen sopimuksen tekemistä annettaviin tietoihin kuvaukset seuraavista:</w:t>
      </w:r>
    </w:p>
    <w:p>
      <w:pPr>
        <w:pStyle w:val="Point0"/>
        <w:rPr>
          <w:noProof/>
        </w:rPr>
      </w:pPr>
      <w:r>
        <w:rPr>
          <w:noProof/>
        </w:rPr>
        <w:t>a)</w:t>
      </w:r>
      <w:r>
        <w:rPr>
          <w:noProof/>
        </w:rPr>
        <w:tab/>
        <w:t>menettelyt ja ehdot, joita sovelletaan kestävyysriskien sisällyttämiseen sijoituspäätöksiin;</w:t>
      </w:r>
    </w:p>
    <w:p>
      <w:pPr>
        <w:pStyle w:val="Point0"/>
        <w:rPr>
          <w:noProof/>
        </w:rPr>
      </w:pPr>
      <w:r>
        <w:rPr>
          <w:noProof/>
        </w:rPr>
        <w:t>b)</w:t>
      </w:r>
      <w:r>
        <w:rPr>
          <w:noProof/>
        </w:rPr>
        <w:tab/>
        <w:t>missä määrin kestävyysriskien odotetaan vaikuttavan merkittävästi saataville asetettujen rahoitustuotteiden tuottoon;</w:t>
      </w:r>
    </w:p>
    <w:p>
      <w:pPr>
        <w:pStyle w:val="Point0"/>
        <w:rPr>
          <w:noProof/>
        </w:rPr>
      </w:pPr>
      <w:r>
        <w:rPr>
          <w:noProof/>
        </w:rPr>
        <w:t>c)</w:t>
      </w:r>
      <w:r>
        <w:rPr>
          <w:noProof/>
        </w:rPr>
        <w:tab/>
        <w:t>finanssimarkkinatoimijoiden palkitsemisjärjestelmien johdonmukaisuus kestävyysriskien huomioon ottamisen ja tarvittaessa rahoitustuotteen kestävän sijoitustavoitteen kanssa.</w:t>
      </w:r>
    </w:p>
    <w:p>
      <w:pPr>
        <w:pStyle w:val="ManualNumPar1"/>
        <w:rPr>
          <w:noProof/>
        </w:rPr>
      </w:pPr>
      <w:r>
        <w:rPr>
          <w:noProof/>
        </w:rPr>
        <w:lastRenderedPageBreak/>
        <w:t>2.</w:t>
      </w:r>
      <w:r>
        <w:rPr>
          <w:noProof/>
        </w:rPr>
        <w:tab/>
        <w:t>Vakuutusmuotoisia sijoitustuotteita koskevaa vakuutusneuvontaa tarjoavien vakuutusedustajien ja sijoitusneuvontaa tarjoavien sijoituspalveluyritysten on sisällytettävä ennen sopimuksen tekemistä annettaviin tietoihin kuvaukset seuraavista:</w:t>
      </w:r>
    </w:p>
    <w:p>
      <w:pPr>
        <w:pStyle w:val="Point0"/>
        <w:rPr>
          <w:noProof/>
        </w:rPr>
      </w:pPr>
      <w:r>
        <w:rPr>
          <w:noProof/>
        </w:rPr>
        <w:t>a)</w:t>
      </w:r>
      <w:r>
        <w:rPr>
          <w:noProof/>
        </w:rPr>
        <w:tab/>
        <w:t>menettelyt ja ehdot, joita sovelletaan kestävyysriskien sisällyttämiseen sijoitus- tai vakuutusneuvontaan;</w:t>
      </w:r>
    </w:p>
    <w:p>
      <w:pPr>
        <w:pStyle w:val="Point0"/>
        <w:rPr>
          <w:noProof/>
        </w:rPr>
      </w:pPr>
      <w:r>
        <w:rPr>
          <w:noProof/>
        </w:rPr>
        <w:t>b)</w:t>
      </w:r>
      <w:r>
        <w:rPr>
          <w:noProof/>
        </w:rPr>
        <w:tab/>
        <w:t>missä määrin kestävyysriskien odotetaan vaikuttavan merkittävästi niiden rahoitustuotteiden tuottoon, joita koskevaa neuvontaa tarjotaan;</w:t>
      </w:r>
    </w:p>
    <w:p>
      <w:pPr>
        <w:pStyle w:val="Point0"/>
        <w:rPr>
          <w:noProof/>
        </w:rPr>
      </w:pPr>
      <w:r>
        <w:rPr>
          <w:noProof/>
        </w:rPr>
        <w:t>c)</w:t>
      </w:r>
      <w:r>
        <w:rPr>
          <w:noProof/>
        </w:rPr>
        <w:tab/>
        <w:t>sijoitusneuvontaa tarjoavien sijoituspalveluyritysten ja vakuutusmuotoisia sijoitustuotteita koskevaa vakuutusneuvontaa tarjoavien vakuutusedustajien palkitsemisjärjestelmien johdonmukaisuus kestävyysriskien huomioon ottamisen ja tarvittaessa sen rahoitustuotteen kestävän sijoitustavoitteen kanssa, jota koskevaa neuvontaa tarjotaan.</w:t>
      </w:r>
    </w:p>
    <w:p>
      <w:pPr>
        <w:pStyle w:val="ManualNumPar1"/>
        <w:rPr>
          <w:noProof/>
        </w:rPr>
      </w:pPr>
      <w:r>
        <w:rPr>
          <w:noProof/>
        </w:rPr>
        <w:t>3.</w:t>
      </w:r>
      <w:r>
        <w:rPr>
          <w:noProof/>
        </w:rPr>
        <w:tab/>
        <w:t>Edellä 1 ja 2 kohdassa tarkoitetut tiedot annetaan seuraavalla tavalla:</w:t>
      </w:r>
    </w:p>
    <w:p>
      <w:pPr>
        <w:pStyle w:val="Point0"/>
        <w:rPr>
          <w:noProof/>
        </w:rPr>
      </w:pPr>
      <w:r>
        <w:rPr>
          <w:noProof/>
        </w:rPr>
        <w:t>a)</w:t>
      </w:r>
      <w:r>
        <w:rPr>
          <w:noProof/>
        </w:rPr>
        <w:tab/>
        <w:t>vaihtoehtoisten sijoitusrahastojen hoitajien osalta direktiivin 2011/61/EU 23 artiklan 1 kohdassa tarkoitettujen sijoittajille annettavien tietojen puitteissa;</w:t>
      </w:r>
    </w:p>
    <w:p>
      <w:pPr>
        <w:pStyle w:val="Point0"/>
        <w:rPr>
          <w:noProof/>
        </w:rPr>
      </w:pPr>
      <w:r>
        <w:rPr>
          <w:noProof/>
        </w:rPr>
        <w:t>b)</w:t>
      </w:r>
      <w:r>
        <w:rPr>
          <w:noProof/>
        </w:rPr>
        <w:tab/>
        <w:t>vakuutusyritysten osalta direktiivin 2009/138/EY 185 artiklan 2 kohdassa tarkoitettujen annettavien tietojen puitteissa;</w:t>
      </w:r>
    </w:p>
    <w:p>
      <w:pPr>
        <w:pStyle w:val="Point0"/>
        <w:rPr>
          <w:noProof/>
        </w:rPr>
      </w:pPr>
      <w:r>
        <w:rPr>
          <w:noProof/>
        </w:rPr>
        <w:t>c)</w:t>
      </w:r>
      <w:r>
        <w:rPr>
          <w:noProof/>
        </w:rPr>
        <w:tab/>
        <w:t>ammatillisia lisäeläkkeitä tarjoavien laitosten osalta direktiivin (EU) 2016/2341 41 artiklassa tarkoitettujen annettavien tietojen puitteissa;</w:t>
      </w:r>
    </w:p>
    <w:p>
      <w:pPr>
        <w:pStyle w:val="Point0"/>
        <w:rPr>
          <w:noProof/>
        </w:rPr>
      </w:pPr>
      <w:r>
        <w:rPr>
          <w:noProof/>
        </w:rPr>
        <w:t>d)</w:t>
      </w:r>
      <w:r>
        <w:rPr>
          <w:noProof/>
        </w:rPr>
        <w:tab/>
        <w:t>vaatimukset täyttävien riskipääomarahastojen hoitajien osalta asetuksen (EU) N:o 345/2013 13 artiklan 1 kohdassa tarkoitettujen annettavien tietojen puitteissa;</w:t>
      </w:r>
    </w:p>
    <w:p>
      <w:pPr>
        <w:pStyle w:val="Point0"/>
        <w:rPr>
          <w:noProof/>
        </w:rPr>
      </w:pPr>
      <w:r>
        <w:rPr>
          <w:noProof/>
        </w:rPr>
        <w:t>e)</w:t>
      </w:r>
      <w:r>
        <w:rPr>
          <w:noProof/>
        </w:rPr>
        <w:tab/>
        <w:t>vaatimukset täyttävien yhteiskunnalliseen yrittäjyyteen erikoistuneiden rahastojen hoitajien osalta asetuksen (EU) N:o 346/2013 14 artiklan 1 kohdassa tarkoitettujen annettavien tietojen puitteissa;</w:t>
      </w:r>
    </w:p>
    <w:p>
      <w:pPr>
        <w:pStyle w:val="Point0"/>
        <w:rPr>
          <w:noProof/>
        </w:rPr>
      </w:pPr>
      <w:r>
        <w:rPr>
          <w:noProof/>
        </w:rPr>
        <w:t>f)</w:t>
      </w:r>
      <w:r>
        <w:rPr>
          <w:noProof/>
        </w:rPr>
        <w:tab/>
        <w:t>eläketuotteiden tarjoajien osalta kirjallisesti hyvissä ajoin ennen kuin eläketuotetta koskeva sopimus sitoo vähittäissijoittajaa;</w:t>
      </w:r>
    </w:p>
    <w:p>
      <w:pPr>
        <w:pStyle w:val="Point0"/>
        <w:rPr>
          <w:noProof/>
        </w:rPr>
      </w:pPr>
      <w:r>
        <w:rPr>
          <w:noProof/>
        </w:rPr>
        <w:t>g)</w:t>
      </w:r>
      <w:r>
        <w:rPr>
          <w:noProof/>
        </w:rPr>
        <w:tab/>
        <w:t>yhteissijoitusyrityksen rahastoyhtiöiden osalta direktiivin 2009/65/EY 69 artiklassa tarkoitetussa esitteessä;</w:t>
      </w:r>
    </w:p>
    <w:p>
      <w:pPr>
        <w:pStyle w:val="Point0"/>
        <w:rPr>
          <w:noProof/>
        </w:rPr>
      </w:pPr>
      <w:r>
        <w:rPr>
          <w:noProof/>
        </w:rPr>
        <w:t>h)</w:t>
      </w:r>
      <w:r>
        <w:rPr>
          <w:noProof/>
        </w:rPr>
        <w:tab/>
        <w:t>salkunhoitoa tai sijoitusneuvontaa tarjoavien sijoituspalveluyritysten osalta direktiivin 2014/65/EU 24 artiklan 4 kohdan mukaisesti;</w:t>
      </w:r>
    </w:p>
    <w:p>
      <w:pPr>
        <w:pStyle w:val="Point0"/>
        <w:rPr>
          <w:noProof/>
        </w:rPr>
      </w:pPr>
      <w:r>
        <w:rPr>
          <w:noProof/>
        </w:rPr>
        <w:t>i)</w:t>
      </w:r>
      <w:r>
        <w:rPr>
          <w:noProof/>
        </w:rPr>
        <w:tab/>
        <w:t>vakuutusmuotoisia sijoitustuotteita koskevaa vakuutusneuvontaa tarjoavien vakuutusedustajien osalta direktiivin (EU) 2016/97 29 artiklan 1 kohdan mukaisesti.</w:t>
      </w:r>
    </w:p>
    <w:p>
      <w:pPr>
        <w:pStyle w:val="Titrearticle"/>
        <w:rPr>
          <w:noProof/>
        </w:rPr>
      </w:pPr>
      <w:r>
        <w:rPr>
          <w:noProof/>
        </w:rPr>
        <w:t>5 artikla</w:t>
      </w:r>
    </w:p>
    <w:p>
      <w:pPr>
        <w:pStyle w:val="Titrearticle"/>
        <w:rPr>
          <w:b/>
          <w:noProof/>
        </w:rPr>
      </w:pPr>
      <w:r>
        <w:rPr>
          <w:b/>
          <w:i w:val="0"/>
          <w:noProof/>
        </w:rPr>
        <w:t>Kestävien sijoitusten avoimuus ennen sopimuksen tekemistä annettavien tietojen osalta</w:t>
      </w:r>
    </w:p>
    <w:p>
      <w:pPr>
        <w:pStyle w:val="ManualNumPar1"/>
        <w:rPr>
          <w:noProof/>
        </w:rPr>
      </w:pPr>
      <w:r>
        <w:rPr>
          <w:noProof/>
        </w:rPr>
        <w:t>1.</w:t>
      </w:r>
      <w:r>
        <w:rPr>
          <w:noProof/>
        </w:rPr>
        <w:tab/>
        <w:t>Jos rahoitustuotteen tavoitteena on kestävien sijoitusten tai niiden kaltaisten sijoitusten tekeminen ja vertailuarvoksi on nimetty tietty indeksi, 4 artiklan 1 kohdan mukaisesti annettaviin tietoihin on sisällyttävä seuraavat:</w:t>
      </w:r>
    </w:p>
    <w:p>
      <w:pPr>
        <w:pStyle w:val="Point0"/>
        <w:rPr>
          <w:noProof/>
        </w:rPr>
      </w:pPr>
      <w:r>
        <w:rPr>
          <w:noProof/>
        </w:rPr>
        <w:t>a)</w:t>
      </w:r>
      <w:r>
        <w:rPr>
          <w:noProof/>
        </w:rPr>
        <w:tab/>
        <w:t>tieto siitä, miten nimetty indeksi vastaa kyseistä tavoitetta;</w:t>
      </w:r>
    </w:p>
    <w:p>
      <w:pPr>
        <w:pStyle w:val="Point0"/>
        <w:rPr>
          <w:noProof/>
        </w:rPr>
      </w:pPr>
      <w:r>
        <w:rPr>
          <w:noProof/>
        </w:rPr>
        <w:t>b)</w:t>
      </w:r>
      <w:r>
        <w:rPr>
          <w:noProof/>
        </w:rPr>
        <w:tab/>
        <w:t>selitys siitä, miksi tavoitetta vastaavan nimetyn indeksin painotukset ja osatekijät poikkeavat yleisestä markkinaindeksistä.</w:t>
      </w:r>
    </w:p>
    <w:p>
      <w:pPr>
        <w:pStyle w:val="ManualNumPar1"/>
        <w:rPr>
          <w:noProof/>
        </w:rPr>
      </w:pPr>
      <w:r>
        <w:rPr>
          <w:noProof/>
        </w:rPr>
        <w:lastRenderedPageBreak/>
        <w:t>2.</w:t>
      </w:r>
      <w:r>
        <w:rPr>
          <w:noProof/>
        </w:rPr>
        <w:tab/>
        <w:t>Jos rahoitustuotteen tavoitteena on kestävien sijoitusten tai niiden kaltaisten sijoitusten tekeminen eikä vertailuarvoksi ole nimetty indeksiä, 4 artiklan 1 kohdan mukaisesti annettaviin tietoihin on sisällyttävä selitys siitä, miten tavoite saavutetaan.</w:t>
      </w:r>
    </w:p>
    <w:p>
      <w:pPr>
        <w:pStyle w:val="ManualNumPar1"/>
        <w:rPr>
          <w:noProof/>
        </w:rPr>
      </w:pPr>
      <w:r>
        <w:rPr>
          <w:noProof/>
        </w:rPr>
        <w:t>3.</w:t>
      </w:r>
      <w:r>
        <w:rPr>
          <w:noProof/>
        </w:rPr>
        <w:tab/>
        <w:t>Jos rahoitustuotteen tavoitteena on vähentää hiilipäästöjä, 4 artiklan 1 kohdan mukaisesti annettaviin tietoihin on sisällyttävä tieto siitä, kuinka alhaisia hiilipäästöjä tavoitellaan.</w:t>
      </w:r>
    </w:p>
    <w:p>
      <w:pPr>
        <w:pStyle w:val="Text1"/>
        <w:rPr>
          <w:noProof/>
        </w:rPr>
      </w:pPr>
      <w:r>
        <w:rPr>
          <w:noProof/>
        </w:rPr>
        <w:t>Poiketen siitä, mitä 2 kohdassa säädetään, jos käytettävissä ei ole [</w:t>
      </w:r>
      <w:r>
        <w:rPr>
          <w:i/>
          <w:noProof/>
        </w:rPr>
        <w:t>vähähiilisyyden EU-vertailuarvoa</w:t>
      </w:r>
      <w:r>
        <w:rPr>
          <w:noProof/>
        </w:rPr>
        <w:t>] tai [</w:t>
      </w:r>
      <w:r>
        <w:rPr>
          <w:i/>
          <w:noProof/>
        </w:rPr>
        <w:t>positiivisen hiilivaikutuksen vertailuarvoa</w:t>
      </w:r>
      <w:r>
        <w:rPr>
          <w:noProof/>
        </w:rPr>
        <w:t>] asetuksen (EU) 2016/1011 mukaisesti, 4 artiklan mukaisesti annettaviin tietoihin on sisällyttävä yksityiskohtainen selitys siitä, miten hiilipäästöjen vähentämistä koskevan tavoitteen saavuttaminen aiotaan jatkossa varmistaa.</w:t>
      </w:r>
    </w:p>
    <w:p>
      <w:pPr>
        <w:pStyle w:val="ManualNumPar1"/>
        <w:rPr>
          <w:noProof/>
        </w:rPr>
      </w:pPr>
      <w:r>
        <w:rPr>
          <w:noProof/>
        </w:rPr>
        <w:t>4.</w:t>
      </w:r>
      <w:r>
        <w:rPr>
          <w:noProof/>
        </w:rPr>
        <w:tab/>
        <w:t>Finanssimarkkinatoimijoiden on sisällytettävä 4 artiklan 1 kohdan mukaisesti annettaviin tietoihin maininta siitä, mistä tämän artiklan 1 kohdassa tarkoitettujen indeksien ja tämän artiklan 3 kohdan toisessa alakohdassa tarkoitettujen vertailuarvojen laskemiseen käytettävät menetelmät ovat saatavilla.</w:t>
      </w:r>
    </w:p>
    <w:p>
      <w:pPr>
        <w:pStyle w:val="ManualNumPar1"/>
        <w:rPr>
          <w:noProof/>
        </w:rPr>
      </w:pPr>
      <w:r>
        <w:rPr>
          <w:noProof/>
        </w:rPr>
        <w:t>5.</w:t>
      </w:r>
      <w:r>
        <w:rPr>
          <w:noProof/>
        </w:rPr>
        <w:tab/>
        <w:t>Euroopan pankkiviranomainen (EPV), Euroopan vakuutus- ja lisäeläkeviranomainen (EVLEV) ja  Euroopan arvopaperimarkkinaviranomainen (EAMV) laativat Euroopan valvontaviranomaisten yhteiskomitean, jäljempänä ’yhteiskomitea’, välityksellä teknisten sääntelystandardien luonnokset, joissa täsmennetään tämän artiklan nojalla annettavien tietojen esitysmuoto ja sisältö.</w:t>
      </w:r>
    </w:p>
    <w:p>
      <w:pPr>
        <w:pStyle w:val="ManualNumPar1"/>
        <w:rPr>
          <w:noProof/>
        </w:rPr>
      </w:pPr>
      <w:r>
        <w:rPr>
          <w:noProof/>
        </w:rPr>
        <w:t>6.</w:t>
      </w:r>
      <w:r>
        <w:rPr>
          <w:noProof/>
        </w:rPr>
        <w:tab/>
        <w:t>EPV, EVLEV ja EAMV toimittavat nämä teknisten sääntelystandardien luonnokset komissiolle viimeistään</w:t>
      </w:r>
      <w:r>
        <w:rPr>
          <w:i/>
          <w:noProof/>
        </w:rPr>
        <w:t xml:space="preserve"> </w:t>
      </w:r>
      <w:r>
        <w:rPr>
          <w:noProof/>
        </w:rPr>
        <w:t>[</w:t>
      </w:r>
      <w:r>
        <w:rPr>
          <w:i/>
          <w:noProof/>
        </w:rPr>
        <w:t>Julkaisutoimisto: Lisätään päivämäärä, joka on 18 kuukauden kuluttua tämän asetuksen voimaantulosta</w:t>
      </w:r>
      <w:r>
        <w:rPr>
          <w:noProof/>
        </w:rPr>
        <w:t>].</w:t>
      </w:r>
    </w:p>
    <w:p>
      <w:pPr>
        <w:pStyle w:val="Text1"/>
        <w:rPr>
          <w:noProof/>
        </w:rPr>
      </w:pPr>
      <w:r>
        <w:rPr>
          <w:noProof/>
        </w:rPr>
        <w:t>Siirretään komissiolle valta antaa ensimmäisessä alakohdassa tarkoitetut tekniset sääntelystandardit asetuksen (EU) N:o 1093/2010, asetuksen (EU) N:o 1094/2010  ja asetuksen (EU) N:o 1095/2010 10–14 artiklan mukaisesti.</w:t>
      </w:r>
    </w:p>
    <w:p>
      <w:pPr>
        <w:pStyle w:val="Titrearticle"/>
        <w:rPr>
          <w:noProof/>
        </w:rPr>
      </w:pPr>
      <w:r>
        <w:rPr>
          <w:noProof/>
        </w:rPr>
        <w:t>6 artikla</w:t>
      </w:r>
    </w:p>
    <w:p>
      <w:pPr>
        <w:pStyle w:val="Titrearticle"/>
        <w:rPr>
          <w:b/>
          <w:noProof/>
        </w:rPr>
      </w:pPr>
      <w:r>
        <w:rPr>
          <w:b/>
          <w:i w:val="0"/>
          <w:noProof/>
        </w:rPr>
        <w:t>Kestävien sijoitusten avoimuus verkkosivustoilla</w:t>
      </w:r>
    </w:p>
    <w:p>
      <w:pPr>
        <w:pStyle w:val="ManualNumPar1"/>
        <w:rPr>
          <w:noProof/>
        </w:rPr>
      </w:pPr>
      <w:r>
        <w:rPr>
          <w:noProof/>
        </w:rPr>
        <w:t>1.</w:t>
      </w:r>
      <w:r>
        <w:rPr>
          <w:noProof/>
        </w:rPr>
        <w:tab/>
        <w:t xml:space="preserve">Finanssimarkkinatoimijoiden on julkaistava verkkosivustoillaan kunkin 5 artiklan 1, 2 ja 3 kohdassa tarkoitetun rahoitustuotteen osalta seuraavat tiedot ja pidettävä niitä yllä: </w:t>
      </w:r>
    </w:p>
    <w:p>
      <w:pPr>
        <w:pStyle w:val="Point0"/>
        <w:rPr>
          <w:noProof/>
        </w:rPr>
      </w:pPr>
      <w:r>
        <w:rPr>
          <w:noProof/>
        </w:rPr>
        <w:t>a)</w:t>
      </w:r>
      <w:r>
        <w:rPr>
          <w:noProof/>
        </w:rPr>
        <w:tab/>
        <w:t>kestävän sijoitustavoitteen kuvaus;</w:t>
      </w:r>
    </w:p>
    <w:p>
      <w:pPr>
        <w:pStyle w:val="Point0"/>
        <w:rPr>
          <w:noProof/>
        </w:rPr>
      </w:pPr>
      <w:r>
        <w:rPr>
          <w:noProof/>
        </w:rPr>
        <w:t>b)</w:t>
      </w:r>
      <w:r>
        <w:rPr>
          <w:noProof/>
        </w:rPr>
        <w:tab/>
        <w:t>tiedot menetelmistä, joita käytetään rahoitustuotteelle valittujen kestävien sijoitusten vaikutusten arvioimisessa, mittaamisessa ja seuraamisessa, mukaan lukien tietolähteet, perustana olevien omaisuuserien seulontakriteerit ja asianmukaiset kestävyysindikaattorit, joita käytetään rahoitustuotteen kestävän kokonaisvaikutuksen mittaamiseen;</w:t>
      </w:r>
    </w:p>
    <w:p>
      <w:pPr>
        <w:pStyle w:val="Point0"/>
        <w:rPr>
          <w:noProof/>
        </w:rPr>
      </w:pPr>
      <w:r>
        <w:rPr>
          <w:noProof/>
        </w:rPr>
        <w:t>c)</w:t>
      </w:r>
      <w:r>
        <w:rPr>
          <w:noProof/>
        </w:rPr>
        <w:tab/>
        <w:t>5 artiklassa tarkoitetut tiedot;</w:t>
      </w:r>
    </w:p>
    <w:p>
      <w:pPr>
        <w:pStyle w:val="Point0"/>
        <w:rPr>
          <w:noProof/>
        </w:rPr>
      </w:pPr>
      <w:r>
        <w:rPr>
          <w:noProof/>
        </w:rPr>
        <w:t>d)</w:t>
      </w:r>
      <w:r>
        <w:rPr>
          <w:noProof/>
        </w:rPr>
        <w:tab/>
        <w:t>7 artiklassa tarkoitetut tiedot.</w:t>
      </w:r>
    </w:p>
    <w:p>
      <w:pPr>
        <w:pStyle w:val="Text1"/>
        <w:rPr>
          <w:noProof/>
        </w:rPr>
      </w:pPr>
      <w:r>
        <w:rPr>
          <w:noProof/>
        </w:rPr>
        <w:t xml:space="preserve">Ensimmäisen alakohdan mukaisesti annettavat tiedot on julkaistava verkkosivustolla selkeästi ja näkyvästi. </w:t>
      </w:r>
    </w:p>
    <w:p>
      <w:pPr>
        <w:pStyle w:val="ManualNumPar1"/>
        <w:rPr>
          <w:noProof/>
        </w:rPr>
      </w:pPr>
      <w:r>
        <w:rPr>
          <w:noProof/>
        </w:rPr>
        <w:lastRenderedPageBreak/>
        <w:t>2.</w:t>
      </w:r>
      <w:r>
        <w:rPr>
          <w:noProof/>
        </w:rPr>
        <w:tab/>
        <w:t xml:space="preserve">EPV, EVLEV ja EAMV laativat yhteiskomitean välityksellä teknisten sääntelystandardien luonnokset, joissa täsmennetään 1 kohdan a ja b alakohdassa tarkoitettujen tietojen esitysmuoto ja sisältö. </w:t>
      </w:r>
    </w:p>
    <w:p>
      <w:pPr>
        <w:pStyle w:val="Text1"/>
        <w:rPr>
          <w:noProof/>
        </w:rPr>
      </w:pPr>
      <w:r>
        <w:rPr>
          <w:noProof/>
        </w:rPr>
        <w:t>EPV, EVLEV ja EAMV toimittavat nämä teknisten sääntelystandardien luonnokset komissiolle viimeistään</w:t>
      </w:r>
      <w:r>
        <w:rPr>
          <w:i/>
          <w:noProof/>
        </w:rPr>
        <w:t xml:space="preserve"> </w:t>
      </w:r>
      <w:r>
        <w:rPr>
          <w:noProof/>
        </w:rPr>
        <w:t>[</w:t>
      </w:r>
      <w:r>
        <w:rPr>
          <w:i/>
          <w:noProof/>
        </w:rPr>
        <w:t>Julkaisutoimisto: Lisätään päivämäärä, joka on 18 kuukauden kuluttua tämän asetuksen voimaantulosta</w:t>
      </w:r>
      <w:r>
        <w:rPr>
          <w:noProof/>
        </w:rPr>
        <w:t>].</w:t>
      </w:r>
    </w:p>
    <w:p>
      <w:pPr>
        <w:pStyle w:val="Text1"/>
        <w:rPr>
          <w:noProof/>
        </w:rPr>
      </w:pPr>
      <w:r>
        <w:rPr>
          <w:noProof/>
        </w:rPr>
        <w:t>Siirretään komissiolle valta antaa ensimmäisessä alakohdassa tarkoitetut tekniset sääntelystandardit asetuksen (EU) N:o 1093/2010, asetuksen (EU) N:o 1094/2010  ja asetuksen (EU) N:o 1095/2010 10–14 artiklan mukaisesti.</w:t>
      </w:r>
    </w:p>
    <w:p>
      <w:pPr>
        <w:pStyle w:val="Titrearticle"/>
        <w:rPr>
          <w:noProof/>
        </w:rPr>
      </w:pPr>
      <w:r>
        <w:rPr>
          <w:noProof/>
        </w:rPr>
        <w:t>7 artikla</w:t>
      </w:r>
    </w:p>
    <w:p>
      <w:pPr>
        <w:pStyle w:val="Titrearticle"/>
        <w:rPr>
          <w:b/>
          <w:i w:val="0"/>
          <w:noProof/>
        </w:rPr>
      </w:pPr>
      <w:r>
        <w:rPr>
          <w:b/>
          <w:i w:val="0"/>
          <w:noProof/>
        </w:rPr>
        <w:t>Kestävien sijoitusten avoimuus määräaikaiskatsauksissa</w:t>
      </w:r>
    </w:p>
    <w:p>
      <w:pPr>
        <w:pStyle w:val="ManualNumPar1"/>
        <w:rPr>
          <w:noProof/>
        </w:rPr>
      </w:pPr>
      <w:r>
        <w:rPr>
          <w:noProof/>
        </w:rPr>
        <w:t>1.</w:t>
      </w:r>
      <w:r>
        <w:rPr>
          <w:noProof/>
        </w:rPr>
        <w:tab/>
        <w:t>Jos finanssimarkkinatoimijat asettavat saataville 5 artiklan 1, 2 ja 3 kohdassa tarkoitetun rahoitustuotteen, niiden on sisällytettävä määräaikaiskatsauksiin kuvaus seuraavista:</w:t>
      </w:r>
    </w:p>
    <w:p>
      <w:pPr>
        <w:pStyle w:val="Point0"/>
        <w:rPr>
          <w:noProof/>
        </w:rPr>
      </w:pPr>
      <w:r>
        <w:rPr>
          <w:noProof/>
        </w:rPr>
        <w:t>a)</w:t>
      </w:r>
      <w:r>
        <w:rPr>
          <w:noProof/>
        </w:rPr>
        <w:tab/>
        <w:t xml:space="preserve">Rahoitustuotteen kestävä kokonaisvaikutus ilmaistuna asianmukaisilla kestävyysindikaattoreilla; </w:t>
      </w:r>
    </w:p>
    <w:p>
      <w:pPr>
        <w:pStyle w:val="Point0"/>
        <w:rPr>
          <w:noProof/>
        </w:rPr>
      </w:pPr>
      <w:r>
        <w:rPr>
          <w:noProof/>
        </w:rPr>
        <w:t>b)</w:t>
      </w:r>
      <w:r>
        <w:rPr>
          <w:noProof/>
        </w:rPr>
        <w:tab/>
        <w:t>jos vertailuarvoksi on nimetty tietty indeksi, rahoitustuotteen kestävä kokonaisvaikutus kyseisen nimetyn indeksin pohjalta verrattuna vaikutukseen yleisen markkinaindeksin pohjalta ottaen huomioon painotukset, osatekijät ja kestävyysindikaattorit.</w:t>
      </w:r>
    </w:p>
    <w:p>
      <w:pPr>
        <w:pStyle w:val="ManualNumPar1"/>
        <w:rPr>
          <w:noProof/>
        </w:rPr>
      </w:pPr>
      <w:r>
        <w:rPr>
          <w:noProof/>
        </w:rPr>
        <w:t>2.</w:t>
      </w:r>
      <w:r>
        <w:rPr>
          <w:noProof/>
        </w:rPr>
        <w:tab/>
        <w:t>Edellä 1 kohdassa tarkoitetut tiedot on annettava seuraavalla tavalla:</w:t>
      </w:r>
    </w:p>
    <w:p>
      <w:pPr>
        <w:pStyle w:val="Point0"/>
        <w:rPr>
          <w:noProof/>
        </w:rPr>
      </w:pPr>
      <w:r>
        <w:rPr>
          <w:noProof/>
        </w:rPr>
        <w:t>a)</w:t>
      </w:r>
      <w:r>
        <w:rPr>
          <w:noProof/>
        </w:rPr>
        <w:tab/>
        <w:t xml:space="preserve">vaihtoehtoisten sijoitusrahastojen hoitajien osalta direktiivin 2011/61/EU 22 artiklassa tarkoitetussa vuosikertomuksessa;   </w:t>
      </w:r>
    </w:p>
    <w:p>
      <w:pPr>
        <w:pStyle w:val="Point0"/>
        <w:rPr>
          <w:noProof/>
        </w:rPr>
      </w:pPr>
      <w:r>
        <w:rPr>
          <w:noProof/>
        </w:rPr>
        <w:t>b)</w:t>
      </w:r>
      <w:r>
        <w:rPr>
          <w:noProof/>
        </w:rPr>
        <w:tab/>
        <w:t>vakuutusyritysten osalta vuosittain kirjallisesti direktiivin 2009/138/EY 185 artiklan 6 kohdan mukaisesti;</w:t>
      </w:r>
    </w:p>
    <w:p>
      <w:pPr>
        <w:pStyle w:val="Point0"/>
        <w:rPr>
          <w:noProof/>
        </w:rPr>
      </w:pPr>
      <w:r>
        <w:rPr>
          <w:noProof/>
        </w:rPr>
        <w:t>c)</w:t>
      </w:r>
      <w:r>
        <w:rPr>
          <w:noProof/>
        </w:rPr>
        <w:tab/>
        <w:t xml:space="preserve">ammatillisia lisäeläkkeitä tarjoavien laitosten osalta direktiivin (EU) 2016/2341 38 artiklassa tarkoitetussa eläke-etuusotteessa ja direktiivin (EU) 2016/2341 43 artiklassa tarkoitettujen annettavien tietojen puitteissa; </w:t>
      </w:r>
    </w:p>
    <w:p>
      <w:pPr>
        <w:pStyle w:val="Point0"/>
        <w:rPr>
          <w:noProof/>
        </w:rPr>
      </w:pPr>
      <w:r>
        <w:rPr>
          <w:noProof/>
        </w:rPr>
        <w:t>d)</w:t>
      </w:r>
      <w:r>
        <w:rPr>
          <w:noProof/>
        </w:rPr>
        <w:tab/>
        <w:t>vaatimukset täyttävien riskipääomarahastojen hoitajien osalta asetuksen (EU) N:o 345/2013 12 artiklassa tarkoitetussa vuosikertomuksessa;</w:t>
      </w:r>
    </w:p>
    <w:p>
      <w:pPr>
        <w:pStyle w:val="Point0"/>
        <w:rPr>
          <w:noProof/>
        </w:rPr>
      </w:pPr>
      <w:r>
        <w:rPr>
          <w:noProof/>
        </w:rPr>
        <w:t>e)</w:t>
      </w:r>
      <w:r>
        <w:rPr>
          <w:noProof/>
        </w:rPr>
        <w:tab/>
        <w:t>vaatimukset täyttävien yhteiskunnalliseen yrittäjyyteen erikoistuneiden rahastojen hoitajien osalta asetuksen (EU) N:o 346/2013 13 artiklassa tarkoitetussa vuosikertomuksessa;</w:t>
      </w:r>
    </w:p>
    <w:p>
      <w:pPr>
        <w:pStyle w:val="Point0"/>
        <w:rPr>
          <w:noProof/>
        </w:rPr>
      </w:pPr>
      <w:r>
        <w:rPr>
          <w:noProof/>
        </w:rPr>
        <w:t>f)</w:t>
      </w:r>
      <w:r>
        <w:rPr>
          <w:noProof/>
        </w:rPr>
        <w:tab/>
        <w:t>eläketuotteiden tarjoajien osalta kirjallisesti vähintään vuosikertomuksissa tai kansallisen lainsäädännön mukaisissa kertomuksissa;</w:t>
      </w:r>
    </w:p>
    <w:p>
      <w:pPr>
        <w:pStyle w:val="Point0"/>
        <w:rPr>
          <w:noProof/>
        </w:rPr>
      </w:pPr>
      <w:r>
        <w:rPr>
          <w:noProof/>
        </w:rPr>
        <w:t>g)</w:t>
      </w:r>
      <w:r>
        <w:rPr>
          <w:noProof/>
        </w:rPr>
        <w:tab/>
        <w:t>yhteissijoitusyritysten rahastoyhtiöiden tai yhteissijoitusyritysten sijoitusyhtiöiden osalta direktiivin 2009/65/EY 69 artiklassa tarkoitetuissa puolivuotiskatsauksissa ja vuosikertomuksissa;</w:t>
      </w:r>
    </w:p>
    <w:p>
      <w:pPr>
        <w:pStyle w:val="Point0"/>
        <w:rPr>
          <w:noProof/>
        </w:rPr>
      </w:pPr>
      <w:r>
        <w:rPr>
          <w:noProof/>
        </w:rPr>
        <w:t>h)</w:t>
      </w:r>
      <w:r>
        <w:rPr>
          <w:noProof/>
        </w:rPr>
        <w:tab/>
        <w:t>salkunhoitoa tarjoavien sijoituspalveluyritysten osalta direktiivin 2014/65/EU 25 artiklan 6 kohdassa tarkoitetuissa määräaikaiskatsauksissa.</w:t>
      </w:r>
    </w:p>
    <w:p>
      <w:pPr>
        <w:pStyle w:val="ManualNumPar1"/>
        <w:rPr>
          <w:noProof/>
        </w:rPr>
      </w:pPr>
      <w:r>
        <w:rPr>
          <w:noProof/>
        </w:rPr>
        <w:lastRenderedPageBreak/>
        <w:t>3.</w:t>
      </w:r>
      <w:r>
        <w:rPr>
          <w:noProof/>
        </w:rPr>
        <w:tab/>
        <w:t>Edellä olevan 1 kohdan soveltamiseksi finanssimarkkinatoimijat voivat soveltuvin osin käyttää direktiivin 2013/34/EU 19 artiklan mukaisesti toimintakertomuksissa annettavia tietoja tai 19 a artiklan mukaisesti muita kuin taloudellisia tietoja koskevissa selvityksissä annettavia tietoja.</w:t>
      </w:r>
    </w:p>
    <w:p>
      <w:pPr>
        <w:pStyle w:val="ManualNumPar1"/>
        <w:rPr>
          <w:noProof/>
        </w:rPr>
      </w:pPr>
      <w:r>
        <w:rPr>
          <w:noProof/>
        </w:rPr>
        <w:t>4.</w:t>
      </w:r>
      <w:r>
        <w:rPr>
          <w:noProof/>
        </w:rPr>
        <w:tab/>
        <w:t>EPV, EVLEV ja EAMV laativat yhteiskomitean välityksellä teknisten sääntelystandardien luonnokset, joissa täsmennetään 1 kohdassa tarkoitettujen tietojen esitysmuoto ja sisältö.</w:t>
      </w:r>
    </w:p>
    <w:p>
      <w:pPr>
        <w:pStyle w:val="Text1"/>
        <w:rPr>
          <w:noProof/>
        </w:rPr>
      </w:pPr>
      <w:r>
        <w:rPr>
          <w:noProof/>
        </w:rPr>
        <w:t>EPV, EVLEV ja EAMV toimittavat nämä teknisten sääntelystandardien luonnokset komissiolle viimeistään</w:t>
      </w:r>
      <w:r>
        <w:rPr>
          <w:i/>
          <w:noProof/>
        </w:rPr>
        <w:t xml:space="preserve"> </w:t>
      </w:r>
      <w:r>
        <w:rPr>
          <w:noProof/>
        </w:rPr>
        <w:t>[</w:t>
      </w:r>
      <w:r>
        <w:rPr>
          <w:i/>
          <w:noProof/>
        </w:rPr>
        <w:t>Julkaisutoimisto: Lisätään päivämäärä, joka on 18 kuukauden kuluttua tämän asetuksen voimaantulosta</w:t>
      </w:r>
      <w:r>
        <w:rPr>
          <w:noProof/>
        </w:rPr>
        <w:t>].</w:t>
      </w:r>
    </w:p>
    <w:p>
      <w:pPr>
        <w:pStyle w:val="Text1"/>
        <w:rPr>
          <w:noProof/>
        </w:rPr>
      </w:pPr>
      <w:r>
        <w:rPr>
          <w:noProof/>
        </w:rPr>
        <w:t>Siirretään komissiolle valta antaa ensimmäisessä alakohdassa tarkoitetut tekniset sääntelystandardit asetuksen (EU) N:o 1093/2010, asetuksen (EU) N:o 1094/2010  ja asetuksen (EU) N:o 1095/2010 10–14 artiklan mukaisesti.</w:t>
      </w:r>
    </w:p>
    <w:p>
      <w:pPr>
        <w:pStyle w:val="Titrearticle"/>
        <w:rPr>
          <w:noProof/>
        </w:rPr>
      </w:pPr>
      <w:r>
        <w:rPr>
          <w:noProof/>
        </w:rPr>
        <w:t>8 artikla</w:t>
      </w:r>
    </w:p>
    <w:p>
      <w:pPr>
        <w:pStyle w:val="Titrearticle"/>
        <w:rPr>
          <w:b/>
          <w:i w:val="0"/>
          <w:noProof/>
        </w:rPr>
      </w:pPr>
      <w:r>
        <w:rPr>
          <w:b/>
          <w:i w:val="0"/>
          <w:noProof/>
        </w:rPr>
        <w:t>Annettavien tietojen tarkistaminen</w:t>
      </w:r>
    </w:p>
    <w:p>
      <w:pPr>
        <w:pStyle w:val="ManualNumPar1"/>
        <w:rPr>
          <w:noProof/>
        </w:rPr>
      </w:pPr>
      <w:r>
        <w:rPr>
          <w:noProof/>
        </w:rPr>
        <w:t>1.</w:t>
      </w:r>
      <w:r>
        <w:rPr>
          <w:noProof/>
        </w:rPr>
        <w:tab/>
        <w:t>Finanssimarkkinatoimijoiden on varmistettava, että 3 artiklan tai 6 artiklan mukaisesti julkaistavat tiedot pidetään ajan tasalla. Jos finanssimarkkinatoimija muuttaa tällaisia tietoja, muutoksesta on julkaistava selkeä selvitys samalla verkkosivustolla.</w:t>
      </w:r>
    </w:p>
    <w:p>
      <w:pPr>
        <w:pStyle w:val="ManualNumPar1"/>
        <w:rPr>
          <w:noProof/>
        </w:rPr>
      </w:pPr>
      <w:r>
        <w:rPr>
          <w:noProof/>
        </w:rPr>
        <w:t>2.</w:t>
      </w:r>
      <w:r>
        <w:rPr>
          <w:noProof/>
        </w:rPr>
        <w:tab/>
        <w:t>Edellä olevaa 1 kohtaa sovelletaan soveltuvin osin vakuutusmuotoisia sijoitustuotteita koskevaa vakuutusneuvontaa tarjoaviin vakuutusedustajiin ja sijoitusneuvontaa tarjoaviin sijoituspalveluyrityksiin 3 artiklan mukaisesti julkaistavien tietojen osalta.</w:t>
      </w:r>
    </w:p>
    <w:p>
      <w:pPr>
        <w:pStyle w:val="Titrearticle"/>
        <w:rPr>
          <w:noProof/>
        </w:rPr>
      </w:pPr>
      <w:r>
        <w:rPr>
          <w:noProof/>
        </w:rPr>
        <w:t>9 artikla</w:t>
      </w:r>
    </w:p>
    <w:p>
      <w:pPr>
        <w:pStyle w:val="Titrearticle"/>
        <w:rPr>
          <w:b/>
          <w:i w:val="0"/>
          <w:noProof/>
        </w:rPr>
      </w:pPr>
      <w:r>
        <w:rPr>
          <w:b/>
          <w:i w:val="0"/>
          <w:noProof/>
        </w:rPr>
        <w:t>Markkinointiviestintä</w:t>
      </w:r>
    </w:p>
    <w:p>
      <w:pPr>
        <w:pStyle w:val="ManualNumPar1"/>
        <w:rPr>
          <w:noProof/>
        </w:rPr>
      </w:pPr>
      <w:r>
        <w:rPr>
          <w:noProof/>
        </w:rPr>
        <w:t>1.</w:t>
      </w:r>
      <w:r>
        <w:rPr>
          <w:noProof/>
        </w:rPr>
        <w:tab/>
        <w:t>Rajoittamatta tiukemman alakohtaisen lainsäädännön soveltamista, etenkään direktiivin 2009/65/EY, direktiivin 2014/65/EU, Euroopan parlamentin ja neuvoston direktiivin (EU) 2016/97 ja asetuksen (EU) N:o 1286/2014 soveltamista, finanssimarkkinatoimijoiden, vakuutusmuotoisia sijoitustuotteita koskevaa vakuutusneuvontaa tarjoavien vakuutusedustajien ja sijoitusneuvontaa tarjoavien sijoituspalveluyritysten on varmistettava, ettei niiden markkinointiviestintä ole ristiriidassa tämän asetuksen nojalla annettavien tietojen kanssa.</w:t>
      </w:r>
    </w:p>
    <w:p>
      <w:pPr>
        <w:pStyle w:val="ManualNumPar1"/>
        <w:rPr>
          <w:noProof/>
        </w:rPr>
      </w:pPr>
      <w:r>
        <w:rPr>
          <w:noProof/>
        </w:rPr>
        <w:t>2.</w:t>
      </w:r>
      <w:r>
        <w:rPr>
          <w:noProof/>
        </w:rPr>
        <w:tab/>
        <w:t>EPV, EVLEV ja EAMV voivat laatia yhteiskomitean välityksellä teknisten täytäntöönpanostandardien luonnokset, joissa täsmennetään kestäviä sijoituksia koskevien tietojen vakioesitysmuoto.</w:t>
      </w:r>
    </w:p>
    <w:p>
      <w:pPr>
        <w:pStyle w:val="Text1"/>
        <w:rPr>
          <w:i/>
          <w:noProof/>
        </w:rPr>
      </w:pPr>
      <w:r>
        <w:rPr>
          <w:noProof/>
        </w:rPr>
        <w:t>Siirretään komissiolle valta hyväksyä tekniset täytäntöönpanostandardit asetuksen (EU) N:o 1093/2010, asetuksen (EU) N:o 1094/2010 ja asetuksen (EU) N:o 1095/2010 15 artiklan mukaisesti.</w:t>
      </w:r>
    </w:p>
    <w:p>
      <w:pPr>
        <w:pStyle w:val="Titrearticle"/>
        <w:rPr>
          <w:noProof/>
        </w:rPr>
      </w:pPr>
      <w:r>
        <w:rPr>
          <w:noProof/>
        </w:rPr>
        <w:lastRenderedPageBreak/>
        <w:t>10 artikla</w:t>
      </w:r>
    </w:p>
    <w:p>
      <w:pPr>
        <w:pStyle w:val="Titrearticle"/>
        <w:rPr>
          <w:b/>
          <w:i w:val="0"/>
          <w:noProof/>
        </w:rPr>
      </w:pPr>
      <w:r>
        <w:rPr>
          <w:b/>
          <w:i w:val="0"/>
          <w:noProof/>
        </w:rPr>
        <w:t xml:space="preserve">Muutokset direktiiviin (EU) 2016/2341 </w:t>
      </w:r>
    </w:p>
    <w:p>
      <w:pPr>
        <w:rPr>
          <w:noProof/>
        </w:rPr>
      </w:pPr>
      <w:r>
        <w:rPr>
          <w:noProof/>
        </w:rPr>
        <w:t>Muutetaan direktiivi (EU) 2016/2341 seuraavasti:</w:t>
      </w:r>
    </w:p>
    <w:p>
      <w:pPr>
        <w:pStyle w:val="Point0"/>
        <w:rPr>
          <w:noProof/>
        </w:rPr>
      </w:pPr>
      <w:r>
        <w:rPr>
          <w:noProof/>
        </w:rPr>
        <w:t>1)</w:t>
      </w:r>
      <w:r>
        <w:rPr>
          <w:noProof/>
        </w:rPr>
        <w:tab/>
        <w:t>lisätään 19 artiklaan 9 kohta seuraavasti:</w:t>
      </w:r>
    </w:p>
    <w:p>
      <w:pPr>
        <w:pStyle w:val="Text1"/>
        <w:rPr>
          <w:noProof/>
        </w:rPr>
      </w:pPr>
      <w:r>
        <w:rPr>
          <w:noProof/>
        </w:rPr>
        <w:t xml:space="preserve">”9. Siirretään komissiolle valta hyväksyä 60 a artiklan mukaisilla delegoiduilla säädöksillä toimenpiteitä, joilla varmistetaan, että </w:t>
      </w:r>
    </w:p>
    <w:p>
      <w:pPr>
        <w:pStyle w:val="Point1"/>
        <w:rPr>
          <w:noProof/>
        </w:rPr>
      </w:pPr>
      <w:r>
        <w:rPr>
          <w:noProof/>
        </w:rPr>
        <w:t>a)</w:t>
      </w:r>
      <w:r>
        <w:rPr>
          <w:noProof/>
        </w:rPr>
        <w:tab/>
        <w:t>ympäristöön liittyvien, sosiaalisten ja hallintotapaan liittyvien riskien arvioinnissa otetaan huomioon varovaisuusperiaate;</w:t>
      </w:r>
    </w:p>
    <w:p>
      <w:pPr>
        <w:pStyle w:val="Point1"/>
        <w:rPr>
          <w:noProof/>
        </w:rPr>
      </w:pPr>
      <w:r>
        <w:rPr>
          <w:noProof/>
        </w:rPr>
        <w:t>b)</w:t>
      </w:r>
      <w:r>
        <w:rPr>
          <w:noProof/>
        </w:rPr>
        <w:tab/>
        <w:t>sisäisiin sijoituspäätöksiin ja riskienhallintaprosesseihin sisällytetään ympäristöön liittyvät, sosiaaliset ja hallintotapaan liittyvät näkökohdat.</w:t>
      </w:r>
    </w:p>
    <w:p>
      <w:pPr>
        <w:pStyle w:val="Text1"/>
        <w:rPr>
          <w:noProof/>
        </w:rPr>
      </w:pPr>
      <w:r>
        <w:rPr>
          <w:noProof/>
        </w:rPr>
        <w:t>Näissä delegoiduissa säädöksissä otetaan huomioon ammatillisia lisäeläkkeitä tarjoavien laitosten toiminnan koko, luonne, laajuus ja monitahoisuus sekä laitosten toimintoihin liittyvät riskit ja varmistetaan johdonmukaisuus direktiivin 2009/65/EY 14 artiklan, direktiivin 2009/138/EY 132 artiklan ja direktiivin 2011/61/EU 12 artiklan kanssa.”;</w:t>
      </w:r>
    </w:p>
    <w:p>
      <w:pPr>
        <w:pStyle w:val="Point0"/>
        <w:rPr>
          <w:noProof/>
        </w:rPr>
      </w:pPr>
      <w:r>
        <w:rPr>
          <w:noProof/>
        </w:rPr>
        <w:t>2)</w:t>
      </w:r>
      <w:r>
        <w:rPr>
          <w:noProof/>
        </w:rPr>
        <w:tab/>
        <w:t>lisätään 60 a artikla seuraavasti:</w:t>
      </w:r>
    </w:p>
    <w:p>
      <w:pPr>
        <w:pStyle w:val="Text1"/>
        <w:rPr>
          <w:noProof/>
        </w:rPr>
      </w:pPr>
      <w:r>
        <w:rPr>
          <w:noProof/>
        </w:rPr>
        <w:t>”</w:t>
      </w:r>
      <w:r>
        <w:rPr>
          <w:i/>
          <w:noProof/>
        </w:rPr>
        <w:t>60 a artikla</w:t>
      </w:r>
    </w:p>
    <w:p>
      <w:pPr>
        <w:pStyle w:val="Text1"/>
        <w:rPr>
          <w:b/>
          <w:noProof/>
        </w:rPr>
      </w:pPr>
      <w:r>
        <w:rPr>
          <w:b/>
          <w:noProof/>
        </w:rPr>
        <w:t>Siirretyn säädösvallan käyttäminen</w:t>
      </w:r>
    </w:p>
    <w:p>
      <w:pPr>
        <w:pStyle w:val="Text1"/>
        <w:rPr>
          <w:noProof/>
        </w:rPr>
      </w:pPr>
      <w:r>
        <w:rPr>
          <w:noProof/>
        </w:rPr>
        <w:t>1. Komissiolle siirrettyä valtaa antaa delegoituja säädöksiä koskevat tässä artiklassa säädetyt edellytykset.</w:t>
      </w:r>
    </w:p>
    <w:p>
      <w:pPr>
        <w:pStyle w:val="Text1"/>
        <w:rPr>
          <w:noProof/>
        </w:rPr>
      </w:pPr>
      <w:r>
        <w:rPr>
          <w:noProof/>
        </w:rPr>
        <w:t>2. Siirretään komissiolle tämän asetuksen voimaantulopäivästä määräämättömäksi ajaksi 19 artiklan 9 kohdassa tarkoitettu valta antaa delegoituja säädöksiä.</w:t>
      </w:r>
    </w:p>
    <w:p>
      <w:pPr>
        <w:pStyle w:val="Text1"/>
        <w:rPr>
          <w:noProof/>
        </w:rPr>
      </w:pPr>
      <w:r>
        <w:rPr>
          <w:noProof/>
        </w:rPr>
        <w:t>3. Euroopan parlamentti tai neuvosto voi milloin tahansa peruuttaa 19 artiklan 9 kohdassa tarkoitetun säädösvallan siirron. Peruuttamispäätöksellä lopetetaan tuossa päätöksessä mainittu säädösvallan siirto. Peruuttaminen tulee voimaan sitä päivää seuraavana päivänä, jona sitä koskeva päätös julkaistaan Euroopan unionin virallisessa lehdessä, tai jonakin myöhempänä, kyseisessä päätöksessä mainittuna päivänä. Peruuttamispäätös ei vaikuta jo voimassa olevien delegoitujen säädösten pätevyyteen.</w:t>
      </w:r>
    </w:p>
    <w:p>
      <w:pPr>
        <w:pStyle w:val="Text1"/>
        <w:rPr>
          <w:noProof/>
        </w:rPr>
      </w:pPr>
      <w:r>
        <w:rPr>
          <w:noProof/>
        </w:rPr>
        <w:t>4. Heti kun komissio on antanut delegoidun säädöksen, komissio antaa sen tiedoksi yhtäaikaisesti Euroopan parlamentille ja neuvostolle.</w:t>
      </w:r>
    </w:p>
    <w:p>
      <w:pPr>
        <w:pStyle w:val="Text1"/>
        <w:rPr>
          <w:noProof/>
        </w:rPr>
      </w:pPr>
      <w:r>
        <w:rPr>
          <w:noProof/>
        </w:rPr>
        <w:t>5. Edellä olevan 19 artiklan 9 kohdan nojalla annettu delegoitu säädös tulee voimaan ainoastaan, jos Euroopan parlamentti tai neuvosto ei ole kolmen kuukauden kuluessa siitä, kun asianomainen säädös on annettu tiedoksi Euroopan parlamentille ja neuvostolle, ilmaissut vastustavansa sitä tai jos sekä Euroopan parlamentti että neuvosto ovat ennen mainitun määräajan päättymistä ilmoittaneet komissiolle, että ne eivät vastusta säädöstä. Euroopan parlamentin tai neuvoston aloitteesta tätä määräaikaa jatketaan kolmella kuukaudella.”</w:t>
      </w:r>
    </w:p>
    <w:p>
      <w:pPr>
        <w:pStyle w:val="Titrearticle"/>
        <w:rPr>
          <w:noProof/>
        </w:rPr>
      </w:pPr>
      <w:r>
        <w:rPr>
          <w:noProof/>
        </w:rPr>
        <w:lastRenderedPageBreak/>
        <w:t>11 artikla</w:t>
      </w:r>
    </w:p>
    <w:p>
      <w:pPr>
        <w:pStyle w:val="Titrearticle"/>
        <w:rPr>
          <w:b/>
          <w:i w:val="0"/>
          <w:noProof/>
        </w:rPr>
      </w:pPr>
      <w:r>
        <w:rPr>
          <w:b/>
          <w:i w:val="0"/>
          <w:noProof/>
        </w:rPr>
        <w:t xml:space="preserve">Arviointi </w:t>
      </w:r>
    </w:p>
    <w:p>
      <w:pPr>
        <w:rPr>
          <w:noProof/>
        </w:rPr>
      </w:pPr>
      <w:r>
        <w:rPr>
          <w:noProof/>
        </w:rPr>
        <w:t>Komissio arvioi tämän asetuksen soveltamista viimeistään [</w:t>
      </w:r>
      <w:r>
        <w:rPr>
          <w:i/>
          <w:noProof/>
        </w:rPr>
        <w:t>Julkaisutoimisto: Lisätään päivämäärä, joka on 60 kuukauden kuluttua voimaantulosta</w:t>
      </w:r>
      <w:r>
        <w:rPr>
          <w:noProof/>
        </w:rPr>
        <w:t>].</w:t>
      </w:r>
    </w:p>
    <w:p>
      <w:pPr>
        <w:pStyle w:val="Titrearticle"/>
        <w:rPr>
          <w:noProof/>
        </w:rPr>
      </w:pPr>
      <w:r>
        <w:rPr>
          <w:noProof/>
        </w:rPr>
        <w:t>12 artikla</w:t>
      </w:r>
    </w:p>
    <w:p>
      <w:pPr>
        <w:pStyle w:val="Titrearticle"/>
        <w:rPr>
          <w:b/>
          <w:noProof/>
        </w:rPr>
      </w:pPr>
      <w:r>
        <w:rPr>
          <w:b/>
          <w:i w:val="0"/>
          <w:noProof/>
        </w:rPr>
        <w:t>Voimaantulo ja soveltaminen</w:t>
      </w:r>
    </w:p>
    <w:p>
      <w:pPr>
        <w:rPr>
          <w:noProof/>
        </w:rPr>
      </w:pPr>
      <w:r>
        <w:rPr>
          <w:noProof/>
        </w:rPr>
        <w:t>Tämä asetus tulee voimaan kahdentenakymmenentenä päivänä sen jälkeen, kun se on julkaistu Euroopan unionin virallisessa lehdessä.</w:t>
      </w:r>
    </w:p>
    <w:p>
      <w:pPr>
        <w:rPr>
          <w:noProof/>
        </w:rPr>
      </w:pPr>
      <w:r>
        <w:rPr>
          <w:noProof/>
        </w:rPr>
        <w:t>Sitä sovelletaan [</w:t>
      </w:r>
      <w:r>
        <w:rPr>
          <w:i/>
          <w:noProof/>
        </w:rPr>
        <w:t>Julkaisutoimisto: Lisätään päivämäärä, joka on 12 kuukauden kuluttua Euroopan unionin virallisessa lehdessä julkaisemisesta</w:t>
      </w:r>
      <w:r>
        <w:rPr>
          <w:noProof/>
        </w:rPr>
        <w:t>].</w:t>
      </w:r>
    </w:p>
    <w:p>
      <w:pPr>
        <w:rPr>
          <w:noProof/>
        </w:rPr>
      </w:pPr>
      <w:r>
        <w:rPr>
          <w:noProof/>
        </w:rPr>
        <w:t>Asetuksen 5 artiklan 5 kohtaa, 6 artiklan 2 kohtaa, 7 artiklan 4 kohtaa, 9 artiklan 2 kohtaa ja 10 artiklaa sovelletaan kuitenkin [</w:t>
      </w:r>
      <w:r>
        <w:rPr>
          <w:i/>
          <w:noProof/>
        </w:rPr>
        <w:t>Julkaisutoimisto: Lisätään voimaantulopäivä</w:t>
      </w:r>
      <w:r>
        <w:rPr>
          <w:noProof/>
        </w:rPr>
        <w:t>] ja 7 artiklan 1–3 kohtaa sovelletaan [</w:t>
      </w:r>
      <w:r>
        <w:rPr>
          <w:i/>
          <w:noProof/>
        </w:rPr>
        <w:t>Julkaisutoimisto: Lisätään toisessa alakohdassa tarkoitettua päivämäärää seuraavan vuoden 1 päivä tammikuuta</w:t>
      </w:r>
      <w:r>
        <w:rPr>
          <w:noProof/>
        </w:rPr>
        <w:t>].</w:t>
      </w:r>
    </w:p>
    <w:p>
      <w:pPr>
        <w:pStyle w:val="Applicationdirecte"/>
        <w:rPr>
          <w:noProof/>
        </w:rPr>
      </w:pPr>
      <w:r>
        <w:rPr>
          <w:noProof/>
        </w:rPr>
        <w:t>Tämä asetus on kaikilta osiltaan velvoittava, ja sitä sovelletaan sellaisenaan kaikissa jäsenvaltioissa.</w:t>
      </w:r>
    </w:p>
    <w:p>
      <w:pPr>
        <w:pStyle w:val="Fait"/>
        <w:rPr>
          <w:noProof/>
        </w:rPr>
      </w:pPr>
      <w:r>
        <w:t>Tehty Brysselissä</w:t>
      </w:r>
    </w:p>
    <w:p>
      <w:pPr>
        <w:pStyle w:val="Institutionquisigne"/>
        <w:rPr>
          <w:noProof/>
        </w:rPr>
      </w:pPr>
      <w:r>
        <w:rPr>
          <w:noProof/>
        </w:rPr>
        <w:t>Euroopan parlamentin puolesta</w:t>
      </w:r>
      <w:r>
        <w:rPr>
          <w:noProof/>
        </w:rPr>
        <w:tab/>
        <w:t>Neuvoston puolesta</w:t>
      </w:r>
    </w:p>
    <w:p>
      <w:pPr>
        <w:pStyle w:val="Personnequisigne"/>
        <w:rPr>
          <w:noProof/>
        </w:rPr>
      </w:pPr>
      <w:r>
        <w:rPr>
          <w:noProof/>
        </w:rPr>
        <w:t>Puhemies</w:t>
      </w:r>
      <w:r>
        <w:rPr>
          <w:noProof/>
        </w:rPr>
        <w:tab/>
        <w:t>Puheenjohtaja</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28</w:t>
    </w:r>
    <w:r>
      <w:fldChar w:fldCharType="end"/>
    </w:r>
    <w:r>
      <w:tab/>
    </w:r>
    <w:r>
      <w:tab/>
    </w:r>
    <w:r>
      <w:rPr>
        <w:rFonts w:ascii="Arial" w:hAnsi="Arial" w:cs="Arial"/>
        <w:b/>
        <w:sz w:val="48"/>
      </w:rPr>
      <w:t>FI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Komission tiedonanto Euroopan parlamentille, neuvostolle, Euroopan talous- ja sosiaalikomitealle ja alueiden komitealle: Seuraavat toimet Euroopan kestävän tulevaisuuden varmistamiseksi. Kestävyyttä edistävät EU:n toimet (COM(2016) 739 final).</w:t>
      </w:r>
    </w:p>
  </w:footnote>
  <w:footnote w:id="2">
    <w:p>
      <w:pPr>
        <w:pStyle w:val="FootnoteText"/>
      </w:pPr>
      <w:r>
        <w:rPr>
          <w:rStyle w:val="FootnoteReference"/>
        </w:rPr>
        <w:footnoteRef/>
      </w:r>
      <w:r>
        <w:tab/>
        <w:t>Uusi alku Euroopalle: Työllisyyden, kasvun, oikeudenmukaisuuden ja demokraattisen muutoksen ohjelma – Poliittiset suuntaviivat seuraavalle Euroopan komissiolle, Strasbourg, 15. heinäkuuta 2014.</w:t>
      </w:r>
    </w:p>
  </w:footnote>
  <w:footnote w:id="3">
    <w:p>
      <w:pPr>
        <w:pStyle w:val="FootnoteText"/>
      </w:pPr>
      <w:r>
        <w:rPr>
          <w:rStyle w:val="FootnoteReference"/>
        </w:rPr>
        <w:footnoteRef/>
      </w:r>
      <w:r>
        <w:tab/>
        <w:t>Komission tiedonanto Euroopan parlamentille, neuvostolle, Euroopan talous- ja sosiaalikomitealle, alueiden komitealle ja Euroopan investointipankille: Euroopan investointiohjelma (COM(2014) 903 final).</w:t>
      </w:r>
    </w:p>
  </w:footnote>
  <w:footnote w:id="4">
    <w:p>
      <w:pPr>
        <w:pStyle w:val="FootnoteText"/>
        <w:rPr>
          <w:lang w:val="en-US"/>
        </w:rPr>
      </w:pPr>
      <w:r>
        <w:rPr>
          <w:rStyle w:val="FootnoteReference"/>
        </w:rPr>
        <w:footnoteRef/>
      </w:r>
      <w:r>
        <w:rPr>
          <w:lang w:val="en-US"/>
        </w:rPr>
        <w:tab/>
        <w:t>Commission Staff Working Document on the review of the 2012 European Bioeconomy Strategy (SWD(2017) 374 final).</w:t>
      </w:r>
    </w:p>
  </w:footnote>
  <w:footnote w:id="5">
    <w:p>
      <w:pPr>
        <w:pStyle w:val="FootnoteText"/>
      </w:pPr>
      <w:r>
        <w:rPr>
          <w:rStyle w:val="FootnoteReference"/>
        </w:rPr>
        <w:footnoteRef/>
      </w:r>
      <w:r>
        <w:tab/>
        <w:t>Komission tiedonanto Euroopan parlamentille, neuvostolle, Euroopan talous- ja sosiaalikomitealle ja alueiden komitealle: Pääomamarkkinaunionin luomista koskeva toimintasuunnitelma (COM(2015) 468 final).</w:t>
      </w:r>
    </w:p>
  </w:footnote>
  <w:footnote w:id="6">
    <w:p>
      <w:pPr>
        <w:pStyle w:val="FootnoteText"/>
      </w:pPr>
      <w:r>
        <w:rPr>
          <w:rStyle w:val="FootnoteReference"/>
        </w:rPr>
        <w:footnoteRef/>
      </w:r>
      <w:r>
        <w:tab/>
        <w:t>Vuotuisen investointivajeen arvio kaudelle 2021–2030 perustuu PRIMES-mallilla laadittuihin ennusteisiin, joita Euroopan komissio sovelsi energiatehokkuusdirektiiviehdotuksen vaikutustenarvioinnissa (2016).</w:t>
      </w:r>
    </w:p>
  </w:footnote>
  <w:footnote w:id="7">
    <w:p>
      <w:pPr>
        <w:pStyle w:val="FootnoteText"/>
      </w:pPr>
      <w:r>
        <w:rPr>
          <w:rStyle w:val="FootnoteReference"/>
        </w:rPr>
        <w:footnoteRef/>
      </w:r>
      <w:r>
        <w:tab/>
        <w:t>Komission tiedonanto Euroopan parlamentille, neuvostolle, Euroopan talous- ja sosiaalikomitealle ja alueiden komitealle: Kestävän kasvun rahoitusta koskeva toimintasuunnitelma (COM(2018) 97 final).</w:t>
      </w:r>
    </w:p>
  </w:footnote>
  <w:footnote w:id="8">
    <w:p>
      <w:pPr>
        <w:pStyle w:val="FootnoteText"/>
      </w:pPr>
      <w:r>
        <w:rPr>
          <w:rStyle w:val="FootnoteReference"/>
        </w:rPr>
        <w:footnoteRef/>
      </w:r>
      <w:r>
        <w:tab/>
        <w:t>Euroopan parlamentin ja neuvoston direktiivi 2009/65/EY, annettu 13 päivänä heinäkuuta 2009, siirtokelpoisiin arvopapereihin kohdistuvaa yhteistä sijoitustoimintaa harjoittavia yrityksiä (yhteissijoitusyritykset) koskevien lakien, asetusten ja hallinnollisten määräysten yhteensovittamisesta (EUVL L 302, 17.11.2009, s. 32).</w:t>
      </w:r>
    </w:p>
  </w:footnote>
  <w:footnote w:id="9">
    <w:p>
      <w:pPr>
        <w:pStyle w:val="FootnoteText"/>
      </w:pPr>
      <w:r>
        <w:rPr>
          <w:rStyle w:val="FootnoteReference"/>
        </w:rPr>
        <w:footnoteRef/>
      </w:r>
      <w:r>
        <w:tab/>
        <w:t>Euroopan parlamentin ja neuvoston direktiivi 2009/138/EY, annettu 25 päivänä marraskuuta 2009, vakuutus- ja jälleenvakuutustoiminnan aloittamisesta ja harjoittamisesta (Solvenssi II) (EUVL L 335, 17.12.2009, s. 1).</w:t>
      </w:r>
    </w:p>
  </w:footnote>
  <w:footnote w:id="10">
    <w:p>
      <w:pPr>
        <w:pStyle w:val="FootnoteText"/>
      </w:pPr>
      <w:r>
        <w:rPr>
          <w:rStyle w:val="FootnoteReference"/>
        </w:rPr>
        <w:footnoteRef/>
      </w:r>
      <w:r>
        <w:tab/>
        <w:t>Euroopan parlamentin ja neuvoston direktiivi 2011/61/EU, annettu 8 päivänä kesäkuuta 2011, vaihtoehtoisten sijoitusrahastojen hoitajista ja direktiivin 2003/41/EY ja 2009/65/EY sekä asetuksen (EY) N:o 1060/2009 ja (EU) N:o 1095/2010 muuttamisesta (EUVL L 174, 1.7.2011, s. 1).</w:t>
      </w:r>
    </w:p>
  </w:footnote>
  <w:footnote w:id="11">
    <w:p>
      <w:pPr>
        <w:pStyle w:val="FootnoteText"/>
      </w:pPr>
      <w:r>
        <w:rPr>
          <w:rStyle w:val="FootnoteReference"/>
        </w:rPr>
        <w:footnoteRef/>
      </w:r>
      <w:r>
        <w:tab/>
        <w:t>Euroopan parlamentin ja neuvoston direktiivi 2014/65/EU, annettu 15 päivänä toukokuuta 2014, rahoitusvälineiden markkinoista sekä direktiivin 2002/92/EY ja direktiivin 2011/61/EU muuttamisesta (EUVL L 173, 12.6.2014, s. 349).</w:t>
      </w:r>
    </w:p>
  </w:footnote>
  <w:footnote w:id="12">
    <w:p>
      <w:pPr>
        <w:pStyle w:val="FootnoteText"/>
      </w:pPr>
      <w:r>
        <w:rPr>
          <w:rStyle w:val="FootnoteReference"/>
        </w:rPr>
        <w:footnoteRef/>
      </w:r>
      <w:r>
        <w:tab/>
        <w:t>Euroopan parlamentin ja neuvoston direktiivi (EU) 2016/2341, annettu 14 päivänä joulukuuta 2016, ammatillisia lisäeläkkeitä tarjoavien laitosten toiminnasta ja valvonnasta (EUVL L 354, 23.12.2016, s. 37).</w:t>
      </w:r>
    </w:p>
  </w:footnote>
  <w:footnote w:id="13">
    <w:p>
      <w:pPr>
        <w:pStyle w:val="FootnoteText"/>
      </w:pPr>
      <w:r>
        <w:rPr>
          <w:rStyle w:val="FootnoteReference"/>
        </w:rPr>
        <w:footnoteRef/>
      </w:r>
      <w:r>
        <w:tab/>
        <w:t>Euroopan parlamentin ja neuvoston asetus (EU) N:o 345/2013, annettu 17 päivänä huhtikuuta 2013, eurooppalaisista riskipääomarahastoista (EUVL L 115, 25.4.2013, s. 1).</w:t>
      </w:r>
    </w:p>
  </w:footnote>
  <w:footnote w:id="14">
    <w:p>
      <w:pPr>
        <w:pStyle w:val="FootnoteText"/>
      </w:pPr>
      <w:r>
        <w:rPr>
          <w:rStyle w:val="FootnoteReference"/>
        </w:rPr>
        <w:footnoteRef/>
      </w:r>
      <w:r>
        <w:tab/>
        <w:t>Euroopan parlamentin ja neuvoston asetus (EU) N:o 346/2013, annettu 17 päivänä huhtikuuta 2013, eurooppalaisista yhteiskunnalliseen yrittäjyyteen erikoistuneista rahastoista (EUVL L 115, 25.4.2013, s. 18).</w:t>
      </w:r>
    </w:p>
  </w:footnote>
  <w:footnote w:id="15">
    <w:p>
      <w:pPr>
        <w:pStyle w:val="FootnoteText"/>
      </w:pPr>
      <w:r>
        <w:rPr>
          <w:rStyle w:val="FootnoteReference"/>
        </w:rPr>
        <w:footnoteRef/>
      </w:r>
      <w:r>
        <w:tab/>
        <w:t>Euroopan parlamentin ja neuvoston asetus (EU) 2015/760, annettu 29 päivänä huhtikuuta 2015, eurooppalaisista pitkäaikaissijoitusrahastoista (EUVL L 123, 19.5.2015, s. 98).</w:t>
      </w:r>
    </w:p>
  </w:footnote>
  <w:footnote w:id="16">
    <w:p>
      <w:pPr>
        <w:pStyle w:val="FootnoteText"/>
      </w:pPr>
      <w:r>
        <w:rPr>
          <w:rStyle w:val="FootnoteReference"/>
        </w:rPr>
        <w:footnoteRef/>
      </w:r>
      <w:r>
        <w:tab/>
        <w:t>Euroopan parlamentin ja neuvoston asetus (EU) 2017/1131, annettu 14 päivänä kesäkuuta 2017, rahamarkkinarahastoista (EUVL L 169, 30.6.2017, s. 8).</w:t>
      </w:r>
    </w:p>
  </w:footnote>
  <w:footnote w:id="17">
    <w:p>
      <w:pPr>
        <w:pStyle w:val="FootnoteText"/>
      </w:pPr>
      <w:r>
        <w:rPr>
          <w:rStyle w:val="FootnoteReference"/>
        </w:rPr>
        <w:footnoteRef/>
      </w:r>
      <w:r>
        <w:tab/>
        <w:t>Euroopan parlamentin ja neuvoston direktiivi (EU) 2016/97, annettu 20 päivänä tammikuuta 2016, vakuutusten tarjoamisesta (EUVL L 26, 2.2.2016, s. 19).</w:t>
      </w:r>
    </w:p>
  </w:footnote>
  <w:footnote w:id="18">
    <w:p>
      <w:pPr>
        <w:pStyle w:val="FootnoteText"/>
      </w:pPr>
      <w:r>
        <w:rPr>
          <w:rStyle w:val="FootnoteReference"/>
        </w:rPr>
        <w:footnoteRef/>
      </w:r>
      <w:r>
        <w:tab/>
        <w:t>Euroopan parlamentin ja neuvoston direktiivi (EU) 2017/828, annettu 17 päivänä toukokuuta 2017, direktiivin 2007/36/EY muuttamisesta osakkeenomistajien pitkäaikaiseen vaikuttamiseen kannustamisen osalta (EUVL L 132, 20.5.2017, s. 1).</w:t>
      </w:r>
    </w:p>
  </w:footnote>
  <w:footnote w:id="19">
    <w:p>
      <w:pPr>
        <w:pStyle w:val="FootnoteText"/>
      </w:pPr>
      <w:r>
        <w:rPr>
          <w:rStyle w:val="FootnoteReference"/>
        </w:rPr>
        <w:footnoteRef/>
      </w:r>
      <w:r>
        <w:tab/>
        <w:t>Euroopan parlamentin ja neuvoston direktiivi 2014/95/EU, annettu 22 päivänä lokakuuta 2014, neuvoston direktiivin 2013/34/EU muuttamisesta tietyiltä suurilta yrityksiltä ja konserneilta edellytettävien muiden kuin taloudellisten tietojen ja monimuotoisuutta koskevien tietojen julkistamisen osalta (EUVL L 330, 15.11.2014, s. 1).</w:t>
      </w:r>
    </w:p>
  </w:footnote>
  <w:footnote w:id="20">
    <w:p>
      <w:pPr>
        <w:pStyle w:val="FootnoteText"/>
      </w:pPr>
      <w:r>
        <w:rPr>
          <w:rStyle w:val="FootnoteReference"/>
        </w:rPr>
        <w:footnoteRef/>
      </w:r>
      <w:r>
        <w:tab/>
        <w:t>Euroopan parlamentin ja neuvoston direktiivi 2013/34/EU, annettu 26 päivänä kesäkuuta 2013, tietyntyyppisten yritysten vuositilinpäätöksistä, konsernitilinpäätöksistä ja niihin liittyvistä kertomuksista, Euroopan parlamentin ja neuvoston direktiivin 2006/43/EY muuttamisesta ja neuvoston direktiivien 78/660/ETY ja 83/349/ETY kumoamisesta (EUVL L 182, 29.6.2013, s. 19).</w:t>
      </w:r>
    </w:p>
  </w:footnote>
  <w:footnote w:id="21">
    <w:p>
      <w:pPr>
        <w:pStyle w:val="FootnoteText"/>
      </w:pPr>
      <w:r>
        <w:rPr>
          <w:rStyle w:val="FootnoteReference"/>
        </w:rPr>
        <w:footnoteRef/>
      </w:r>
      <w:r>
        <w:tab/>
        <w:t>Komission tiedonanto Euroopan parlamentille, neuvostolle, Euroopan talous- ja sosiaalikomitealle ja alueiden komitealle: Pääomamarkkinaunionin luomista koskeva toimintasuunnitelma (COM(2015) 468 final).</w:t>
      </w:r>
    </w:p>
  </w:footnote>
  <w:footnote w:id="22">
    <w:p>
      <w:pPr>
        <w:pStyle w:val="FootnoteText"/>
      </w:pPr>
      <w:r>
        <w:rPr>
          <w:rStyle w:val="FootnoteReference"/>
        </w:rPr>
        <w:footnoteRef/>
      </w:r>
      <w:r>
        <w:tab/>
        <w:t>Ehdotus Euroopan parlamentin ja neuvoston asetukseksi asetusten (EU) N:o 1093/2010, 1094/2010, 1095/2010, 345/2013, 346/2013, 600/2014, 2015/760, 2016/1011 ja 2017/1129 muuttamisesta (COM(2017) 536 final).</w:t>
      </w:r>
    </w:p>
  </w:footnote>
  <w:footnote w:id="23">
    <w:p>
      <w:pPr>
        <w:pStyle w:val="FootnoteText"/>
      </w:pPr>
      <w:r>
        <w:rPr>
          <w:rStyle w:val="FootnoteReference"/>
        </w:rPr>
        <w:footnoteRef/>
      </w:r>
      <w:r>
        <w:tab/>
        <w:t>Euroopan parlamentin ja neuvoston asetus (EU) N:o 1093/2010, annettu 24 päivänä marraskuuta 2010, Euroopan valvontaviranomaisen (Euroopan pankkiviranomainen) perustamisesta sekä päätöksen N:o 716/2009/EY muuttamisesta ja komission päätöksen 2009/78/EY kumoamisesta (EUVL L 331, 15.12.2010, s. 12).</w:t>
      </w:r>
    </w:p>
  </w:footnote>
  <w:footnote w:id="24">
    <w:p>
      <w:pPr>
        <w:pStyle w:val="FootnoteText"/>
      </w:pPr>
      <w:r>
        <w:rPr>
          <w:rStyle w:val="FootnoteReference"/>
        </w:rPr>
        <w:footnoteRef/>
      </w:r>
      <w:r>
        <w:tab/>
        <w:t>Euroopan parlamentin ja neuvoston asetus (EU) N:o 1094/2010, annettu 24 päivänä marraskuuta 2010, Euroopan valvontaviranomaisen (Euroopan vakuutus- ja lisäeläkeviranomainen) perustamisesta sekä päätöksen N:o 716/2009/EY muuttamisesta ja komission päätöksen 2009/79/EY kumoamisesta (EUVL L 331, 15.12.2010, s. 48).</w:t>
      </w:r>
    </w:p>
  </w:footnote>
  <w:footnote w:id="25">
    <w:p>
      <w:pPr>
        <w:pStyle w:val="FootnoteText"/>
      </w:pPr>
      <w:r>
        <w:rPr>
          <w:rStyle w:val="FootnoteReference"/>
        </w:rPr>
        <w:footnoteRef/>
      </w:r>
      <w:r>
        <w:tab/>
        <w:t>Euroopan parlamentin ja neuvoston asetus (EU) N:o 1095/2010, annettu 24 päivänä marraskuuta 2010, Euroopan valvontaviranomaisen (Euroopan arvopaperimarkkinaviranomainen) perustamisesta sekä päätöksen N:o 716/2009/EY muuttamisesta ja komission päätöksen 2009/77/EY kumoamisesta (EUVL L 331, 15.12.2010, s. 84).</w:t>
      </w:r>
    </w:p>
  </w:footnote>
  <w:footnote w:id="26">
    <w:p>
      <w:pPr>
        <w:pStyle w:val="FootnoteText"/>
      </w:pPr>
      <w:r>
        <w:rPr>
          <w:rStyle w:val="FootnoteReference"/>
        </w:rPr>
        <w:footnoteRef/>
      </w:r>
      <w:r>
        <w:tab/>
        <w:t>Ehdotus Euroopan parlamentin ja neuvoston asetukseksi yleiseurooppalaisesta yksilöllisestä eläketuotteesta (PEPP) (COM(2017) 343 final).</w:t>
      </w:r>
    </w:p>
  </w:footnote>
  <w:footnote w:id="27">
    <w:p>
      <w:pPr>
        <w:pStyle w:val="FootnoteText"/>
      </w:pPr>
      <w:r>
        <w:rPr>
          <w:rStyle w:val="FootnoteReference"/>
        </w:rPr>
        <w:footnoteRef/>
      </w:r>
      <w:r>
        <w:tab/>
        <w:t>Euroopan parlamentin ja neuvoston asetus (EU) 2015/760, annettu 29 päivänä huhtikuuta 2015, eurooppalaisista pitkäaikaissijoitusrahastoista (EUVL L 123, 19.5.2015, s. 98).</w:t>
      </w:r>
    </w:p>
  </w:footnote>
  <w:footnote w:id="28">
    <w:p>
      <w:pPr>
        <w:pStyle w:val="FootnoteText"/>
      </w:pPr>
      <w:r>
        <w:rPr>
          <w:rStyle w:val="FootnoteReference"/>
        </w:rPr>
        <w:footnoteRef/>
      </w:r>
      <w:r>
        <w:tab/>
        <w:t>Euroopan parlamentin ja neuvoston asetus (EU) N:o 1286/2014, annettu 26 päivänä marraskuuta 2014, vähittäismarkkinoille tarkoitettuja paketoituja ja vakuutusmuotoisia sijoitustuotteita (PRIIP-tuotteita) koskevista avaintietoasiakirjoista (EUVL L 352, 9.12.2014, s. 1).</w:t>
      </w:r>
    </w:p>
  </w:footnote>
  <w:footnote w:id="29">
    <w:p>
      <w:pPr>
        <w:pStyle w:val="FootnoteText"/>
      </w:pPr>
      <w:r>
        <w:rPr>
          <w:rStyle w:val="FootnoteReference"/>
        </w:rPr>
        <w:footnoteRef/>
      </w:r>
      <w:r>
        <w:tab/>
        <w:t>EUVL C , , s. .</w:t>
      </w:r>
    </w:p>
  </w:footnote>
  <w:footnote w:id="30">
    <w:p>
      <w:pPr>
        <w:pStyle w:val="FootnoteText"/>
      </w:pPr>
      <w:r>
        <w:rPr>
          <w:rStyle w:val="FootnoteReference"/>
        </w:rPr>
        <w:footnoteRef/>
      </w:r>
      <w:r>
        <w:tab/>
        <w:t>EUVL C , , s. .</w:t>
      </w:r>
    </w:p>
  </w:footnote>
  <w:footnote w:id="31">
    <w:p>
      <w:pPr>
        <w:pStyle w:val="FootnoteText"/>
      </w:pPr>
      <w:r>
        <w:rPr>
          <w:rStyle w:val="FootnoteReference"/>
        </w:rPr>
        <w:footnoteRef/>
      </w:r>
      <w:r>
        <w:tab/>
        <w:t>Neuvoston päätös (EU) 2016/1841, annettu 5 päivänä lokakuuta 2016, ilmastonmuutosta koskevan Yhdistyneiden kansakuntien puitesopimuksen nojalla hyväksytyn Pariisin sopimuksen tekemisestä Euroopan unionin puolesta (EUVL L 282, 19.10.2016, s. 1).</w:t>
      </w:r>
    </w:p>
  </w:footnote>
  <w:footnote w:id="32">
    <w:p>
      <w:pPr>
        <w:pStyle w:val="FootnoteText"/>
      </w:pPr>
      <w:r>
        <w:rPr>
          <w:rStyle w:val="FootnoteReference"/>
        </w:rPr>
        <w:footnoteRef/>
      </w:r>
      <w:r>
        <w:tab/>
        <w:t>Euroopan parlamentin ja neuvoston direktiivi 2009/65/EY, annettu 13 päivänä heinäkuuta 2009, siirtokelpoisiin arvopapereihin kohdistuvaa yhteistä sijoitustoimintaa harjoittavia yrityksiä (yhteissijoitusyritykset) koskevien lakien, asetusten ja hallinnollisten määräysten yhteensovittamisesta (EUVL L 302, 17.11.2009, s. 32).</w:t>
      </w:r>
    </w:p>
  </w:footnote>
  <w:footnote w:id="33">
    <w:p>
      <w:pPr>
        <w:pStyle w:val="FootnoteText"/>
      </w:pPr>
      <w:r>
        <w:rPr>
          <w:rStyle w:val="FootnoteReference"/>
        </w:rPr>
        <w:footnoteRef/>
      </w:r>
      <w:r>
        <w:tab/>
        <w:t>Euroopan parlamentin ja neuvoston direktiivi 2009/138/EY, annettu 25 päivänä marraskuuta 2009, vakuutus- ja jälleenvakuutustoiminnan aloittamisesta ja harjoittamisesta (Solvenssi II) (EUVL L 335, 17.12.2009, s. 1).</w:t>
      </w:r>
    </w:p>
  </w:footnote>
  <w:footnote w:id="34">
    <w:p>
      <w:pPr>
        <w:pStyle w:val="FootnoteText"/>
      </w:pPr>
      <w:r>
        <w:rPr>
          <w:rStyle w:val="FootnoteReference"/>
        </w:rPr>
        <w:footnoteRef/>
      </w:r>
      <w:r>
        <w:tab/>
        <w:t>Euroopan parlamentin ja neuvoston direktiivi 2011/61/EU, annettu 8 päivänä kesäkuuta 2011, vaihtoehtoisten sijoitusrahastojen hoitajista (EUVL L 174, 1.7.2011, s. 1).</w:t>
      </w:r>
    </w:p>
  </w:footnote>
  <w:footnote w:id="35">
    <w:p>
      <w:pPr>
        <w:pStyle w:val="FootnoteText"/>
      </w:pPr>
      <w:r>
        <w:rPr>
          <w:rStyle w:val="FootnoteReference"/>
        </w:rPr>
        <w:footnoteRef/>
      </w:r>
      <w:r>
        <w:tab/>
        <w:t>Euroopan parlamentin ja neuvoston direktiivi 2014/65/EU, annettu 15 päivänä toukokuuta 2014, rahoitusvälineiden markkinoista sekä direktiivin 2002/92/EY ja direktiivin 2011/61/EU muuttamisesta (EUVL L 173, 12.6.2014, s. 349).</w:t>
      </w:r>
    </w:p>
  </w:footnote>
  <w:footnote w:id="36">
    <w:p>
      <w:pPr>
        <w:pStyle w:val="FootnoteText"/>
      </w:pPr>
      <w:r>
        <w:rPr>
          <w:rStyle w:val="FootnoteReference"/>
        </w:rPr>
        <w:footnoteRef/>
      </w:r>
      <w:r>
        <w:tab/>
        <w:t>Euroopan parlamentin ja neuvoston direktiivi (EU) 2016/97, annettu 20 päivänä tammikuuta 2016, vakuutusten tarjoamisesta (EUVL L 26, 2.2.2016, s. 19).</w:t>
      </w:r>
    </w:p>
  </w:footnote>
  <w:footnote w:id="37">
    <w:p>
      <w:pPr>
        <w:pStyle w:val="FootnoteText"/>
      </w:pPr>
      <w:r>
        <w:rPr>
          <w:rStyle w:val="FootnoteReference"/>
        </w:rPr>
        <w:footnoteRef/>
      </w:r>
      <w:r>
        <w:tab/>
        <w:t>Euroopan parlamentin ja neuvoston direktiivi (EU) 2016/2341, annettu 14 päivänä joulukuuta 2016, ammatillisia lisäeläkkeitä tarjoavien laitosten toiminnasta ja valvonnasta (EUVL L 354, 23.12.2016, s. 37).</w:t>
      </w:r>
    </w:p>
  </w:footnote>
  <w:footnote w:id="38">
    <w:p>
      <w:pPr>
        <w:pStyle w:val="FootnoteText"/>
      </w:pPr>
      <w:r>
        <w:rPr>
          <w:rStyle w:val="FootnoteReference"/>
        </w:rPr>
        <w:footnoteRef/>
      </w:r>
      <w:r>
        <w:tab/>
        <w:t>Euroopan parlamentin ja neuvoston asetus (EU) N:o 345/2013, annettu 17 päivänä huhtikuuta 2013, eurooppalaisista riskipääomarahastoista (EUVL L 115, 25.4.2013, s. 1).</w:t>
      </w:r>
    </w:p>
  </w:footnote>
  <w:footnote w:id="39">
    <w:p>
      <w:pPr>
        <w:pStyle w:val="FootnoteText"/>
      </w:pPr>
      <w:r>
        <w:rPr>
          <w:rStyle w:val="FootnoteReference"/>
        </w:rPr>
        <w:footnoteRef/>
      </w:r>
      <w:r>
        <w:tab/>
        <w:t>Euroopan parlamentin ja neuvoston asetus (EU) N:o 346/2013, annettu 17 päivänä huhtikuuta 2013, eurooppalaisista yhteiskunnalliseen yrittäjyyteen erikoistuneista rahastoista (EUVL L 115, 25.4.2013, s. 18).</w:t>
      </w:r>
    </w:p>
  </w:footnote>
  <w:footnote w:id="40">
    <w:p>
      <w:pPr>
        <w:pStyle w:val="FootnoteText"/>
      </w:pPr>
      <w:r>
        <w:rPr>
          <w:rStyle w:val="FootnoteReference"/>
        </w:rPr>
        <w:footnoteRef/>
      </w:r>
      <w:r>
        <w:tab/>
        <w:t>Euroopan parlamentin ja neuvoston direktiivi 2013/34/EU, annettu 26 päivänä kesäkuuta 2013, tietyntyyppisten yritysten vuositilinpäätöksistä, konsernitilinpäätöksistä ja niihin liittyvistä kertomuksista, Euroopan parlamentin ja neuvoston direktiivin 2006/43/EY muuttamisesta ja neuvoston direktiivien 78/660/ETY ja 83/349/ETY kumoamisesta (EUVL L 182, 29.6.2013, s. 19).</w:t>
      </w:r>
    </w:p>
  </w:footnote>
  <w:footnote w:id="41">
    <w:p>
      <w:pPr>
        <w:pStyle w:val="FootnoteText"/>
      </w:pPr>
      <w:r>
        <w:rPr>
          <w:rStyle w:val="FootnoteReference"/>
        </w:rPr>
        <w:footnoteRef/>
      </w:r>
      <w:r>
        <w:tab/>
        <w:t>Euroopan parlamentin ja neuvoston asetus (EU) N:o 1093/2010, annettu 24 päivänä marraskuuta 2010, Euroopan valvontaviranomaisen (Euroopan pankkiviranomainen) perustamisesta sekä päätöksen N:o 716/2009/EY muuttamisesta ja komission päätöksen 2009/78/EY kumoamisesta (EUVL L 331, 15.12.2010, s. 12).</w:t>
      </w:r>
    </w:p>
  </w:footnote>
  <w:footnote w:id="42">
    <w:p>
      <w:pPr>
        <w:pStyle w:val="FootnoteText"/>
      </w:pPr>
      <w:r>
        <w:rPr>
          <w:rStyle w:val="FootnoteReference"/>
        </w:rPr>
        <w:footnoteRef/>
      </w:r>
      <w:r>
        <w:tab/>
        <w:t>Euroopan parlamentin ja neuvoston asetus (EU) N:o 1094/2010, annettu 24 päivänä marraskuuta 2010, Euroopan valvontaviranomaisen (Euroopan vakuutus- ja lisäeläkeviranomainen) perustamisesta sekä päätöksen N:o 716/2009/EY muuttamisesta ja komission päätöksen 2009/79/EY kumoamisesta (EUVL L 331, 15.12.2010, s. 48).</w:t>
      </w:r>
    </w:p>
  </w:footnote>
  <w:footnote w:id="43">
    <w:p>
      <w:pPr>
        <w:pStyle w:val="FootnoteText"/>
      </w:pPr>
      <w:r>
        <w:rPr>
          <w:rStyle w:val="FootnoteReference"/>
        </w:rPr>
        <w:footnoteRef/>
      </w:r>
      <w:r>
        <w:tab/>
        <w:t>Euroopan parlamentin ja neuvoston asetus (EU) N:o 1095/2010, annettu 24 päivänä marraskuuta 2010, Euroopan valvontaviranomaisen (Euroopan arvopaperimarkkinaviranomainen) perustamisesta sekä päätöksen N:o 716/2009/EY muuttamisesta ja komission päätöksen 2009/77/EY kumoamisesta (EUVL L 331, 15.12.2010, s. 84).</w:t>
      </w:r>
    </w:p>
  </w:footnote>
  <w:footnote w:id="44">
    <w:p>
      <w:pPr>
        <w:pStyle w:val="FootnoteText"/>
      </w:pPr>
      <w:r>
        <w:rPr>
          <w:rStyle w:val="FootnoteReference"/>
        </w:rPr>
        <w:footnoteRef/>
      </w:r>
      <w:r>
        <w:tab/>
        <w:t>Euroopan parlamentin ja neuvoston direktiivi (EU) 2016/2341, annettu 14 päivänä joulukuuta 2016, ammatillisia lisäeläkkeitä tarjoavien laitosten toiminnasta ja valvonnasta (EUVL L 354, 23.12.2016, s. 37).</w:t>
      </w:r>
    </w:p>
  </w:footnote>
  <w:footnote w:id="45">
    <w:p>
      <w:pPr>
        <w:pStyle w:val="FootnoteText"/>
      </w:pPr>
      <w:r>
        <w:rPr>
          <w:rStyle w:val="FootnoteReference"/>
        </w:rPr>
        <w:footnoteRef/>
      </w:r>
      <w:r>
        <w:tab/>
        <w:t>Euroopan parlamentin ja neuvoston asetus (EU) N:o 1286/2014, annettu 26 päivänä marraskuuta 2014, vähittäismarkkinoille tarkoitettuja paketoituja ja vakuutusmuotoisia sijoitustuotteita (PRIIP-tuotteita) koskevista avaintietoasiakirjoista (EUVL L 352, 9.12.2014,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0BD4033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98A8E430"/>
    <w:lvl w:ilvl="0">
      <w:start w:val="1"/>
      <w:numFmt w:val="decimal"/>
      <w:pStyle w:val="ListNumber3"/>
      <w:lvlText w:val="%1."/>
      <w:lvlJc w:val="left"/>
      <w:pPr>
        <w:tabs>
          <w:tab w:val="num" w:pos="926"/>
        </w:tabs>
        <w:ind w:left="926" w:hanging="360"/>
      </w:pPr>
    </w:lvl>
  </w:abstractNum>
  <w:abstractNum w:abstractNumId="2">
    <w:nsid w:val="FFFFFF7F"/>
    <w:multiLevelType w:val="singleLevel"/>
    <w:tmpl w:val="FEA233A8"/>
    <w:lvl w:ilvl="0">
      <w:start w:val="1"/>
      <w:numFmt w:val="decimal"/>
      <w:pStyle w:val="ListNumber2"/>
      <w:lvlText w:val="%1."/>
      <w:lvlJc w:val="left"/>
      <w:pPr>
        <w:tabs>
          <w:tab w:val="num" w:pos="643"/>
        </w:tabs>
        <w:ind w:left="643" w:hanging="360"/>
      </w:pPr>
    </w:lvl>
  </w:abstractNum>
  <w:abstractNum w:abstractNumId="3">
    <w:nsid w:val="FFFFFF81"/>
    <w:multiLevelType w:val="singleLevel"/>
    <w:tmpl w:val="CB563B9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77073E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59EE854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722E834"/>
    <w:lvl w:ilvl="0">
      <w:start w:val="1"/>
      <w:numFmt w:val="decimal"/>
      <w:pStyle w:val="ListNumber"/>
      <w:lvlText w:val="%1."/>
      <w:lvlJc w:val="left"/>
      <w:pPr>
        <w:tabs>
          <w:tab w:val="num" w:pos="360"/>
        </w:tabs>
        <w:ind w:left="360" w:hanging="360"/>
      </w:pPr>
    </w:lvl>
  </w:abstractNum>
  <w:abstractNum w:abstractNumId="7">
    <w:nsid w:val="FFFFFF89"/>
    <w:multiLevelType w:val="singleLevel"/>
    <w:tmpl w:val="1F7E7F7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4"/>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
  </w:num>
  <w:num w:numId="15">
    <w:abstractNumId w:val="1"/>
  </w:num>
  <w:num w:numId="16">
    <w:abstractNumId w:val="0"/>
  </w:num>
  <w:num w:numId="17">
    <w:abstractNumId w:val="14"/>
    <w:lvlOverride w:ilvl="0">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2"/>
  </w:num>
  <w:num w:numId="24">
    <w:abstractNumId w:val="20"/>
  </w:num>
  <w:num w:numId="25">
    <w:abstractNumId w:val="11"/>
  </w:num>
  <w:num w:numId="26">
    <w:abstractNumId w:val="13"/>
  </w:num>
  <w:num w:numId="27">
    <w:abstractNumId w:val="9"/>
  </w:num>
  <w:num w:numId="28">
    <w:abstractNumId w:val="19"/>
  </w:num>
  <w:num w:numId="29">
    <w:abstractNumId w:val="8"/>
  </w:num>
  <w:num w:numId="30">
    <w:abstractNumId w:val="14"/>
  </w:num>
  <w:num w:numId="31">
    <w:abstractNumId w:val="16"/>
  </w:num>
  <w:num w:numId="32">
    <w:abstractNumId w:val="17"/>
  </w:num>
  <w:num w:numId="33">
    <w:abstractNumId w:val="10"/>
  </w:num>
  <w:num w:numId="34">
    <w:abstractNumId w:val="15"/>
  </w:num>
  <w:num w:numId="35">
    <w:abstractNumId w:val="21"/>
  </w:num>
  <w:num w:numId="36">
    <w:abstractNumId w:val="18"/>
  </w:num>
  <w:num w:numId="37">
    <w:abstractNumId w:val="12"/>
  </w:num>
  <w:num w:numId="38">
    <w:abstractNumId w:val="20"/>
  </w:num>
  <w:num w:numId="39">
    <w:abstractNumId w:val="11"/>
  </w:num>
  <w:num w:numId="40">
    <w:abstractNumId w:val="13"/>
  </w:num>
  <w:num w:numId="41">
    <w:abstractNumId w:val="9"/>
  </w:num>
  <w:num w:numId="42">
    <w:abstractNumId w:val="19"/>
  </w:num>
  <w:num w:numId="43">
    <w:abstractNumId w:val="8"/>
  </w:num>
  <w:num w:numId="44">
    <w:abstractNumId w:val="14"/>
  </w:num>
  <w:num w:numId="45">
    <w:abstractNumId w:val="16"/>
  </w:num>
  <w:num w:numId="46">
    <w:abstractNumId w:val="17"/>
  </w:num>
  <w:num w:numId="47">
    <w:abstractNumId w:val="10"/>
  </w:num>
  <w:num w:numId="48">
    <w:abstractNumId w:val="15"/>
  </w:num>
  <w:num w:numId="49">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removePersonalInformation/>
  <w:removeDateAndTime/>
  <w:hideSpellingErrors/>
  <w:hideGrammaticalErrors/>
  <w:attachedTemplate r:id="rId1"/>
  <w:revisionView w:markup="0"/>
  <w:defaultTabStop w:val="720"/>
  <w:hyphenationZone w:val="283"/>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6-28 10:25:3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2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B1115729-E6F9-480F-8D3B-35B60C870092"/>
    <w:docVar w:name="LW_COVERPAGE_TYPE" w:val="1"/>
    <w:docVar w:name="LW_CROSSREFERENCE" w:val="{SEC(2018) 257 final}_x000a_{SWD(2018) 264 final}_x000a_{SWD(2018) 265 final}"/>
    <w:docVar w:name="LW_DocType" w:val="COM"/>
    <w:docVar w:name="LW_EMISSION" w:val="24.5.2018"/>
    <w:docVar w:name="LW_EMISSION_ISODATE" w:val="2018-05-24"/>
    <w:docVar w:name="LW_EMISSION_LOCATION" w:val="BRX"/>
    <w:docVar w:name="LW_EMISSION_PREFIX" w:val="Bryssel "/>
    <w:docVar w:name="LW_EMISSION_SUFFIX" w:val="&lt;EMPTY&gt;"/>
    <w:docVar w:name="LW_ID_DOCMODEL" w:val="SJ-023"/>
    <w:docVar w:name="LW_ID_DOCSIGNATURE" w:val="SJ-023"/>
    <w:docVar w:name="LW_ID_DOCSTRUCTURE" w:val="COM/PL/ORG"/>
    <w:docVar w:name="LW_ID_DOCTYPE" w:val="SJ-023"/>
    <w:docVar w:name="LW_ID_EXP.MOTIFS.NEW" w:val="EM_PL_"/>
    <w:docVar w:name="LW_ID_STATUT" w:val="SJ-023"/>
    <w:docVar w:name="LW_INTERETEEE.CP" w:val="(ETA:n kannalta merkityksellinen teksti)"/>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COD"/>
    <w:docVar w:name="LW_REF.II.NEW.CP_NUMBER" w:val="0179"/>
    <w:docVar w:name="LW_REF.II.NEW.CP_YEAR" w:val="2018"/>
    <w:docVar w:name="LW_REF.INST.NEW" w:val="COM"/>
    <w:docVar w:name="LW_REF.INST.NEW_ADOPTED" w:val="final"/>
    <w:docVar w:name="LW_REF.INST.NEW_TEXT" w:val="(2018) 35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Ehdotus"/>
    <w:docVar w:name="LW_SUPERTITRE" w:val="&lt;UNUSED&gt;"/>
    <w:docVar w:name="LW_TITRE.OBJ.CP" w:val="kestäviin sijoituksiin ja kestävyysriskeihin liittyvien tietojen antamisesta ja direktiivin (EU) 2016/2341 muuttamisesta"/>
    <w:docVar w:name="LW_TYPE.DOC.CP" w:val="EUROOPAN PARLAMENTIN JA NEUVOSTON ASETUS"/>
  </w:docVar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4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customStyle="1" w:styleId="CM4">
    <w:name w:val="CM4"/>
    <w:basedOn w:val="Normal"/>
    <w:uiPriority w:val="99"/>
    <w:pPr>
      <w:autoSpaceDE w:val="0"/>
      <w:autoSpaceDN w:val="0"/>
      <w:spacing w:before="0" w:after="0"/>
      <w:jc w:val="left"/>
    </w:pPr>
    <w:rPr>
      <w:rFonts w:ascii="EUAlbertina" w:hAnsi="EUAlbertina"/>
      <w:szCs w:val="24"/>
    </w:rPr>
  </w:style>
  <w:style w:type="paragraph" w:customStyle="1" w:styleId="Normal1">
    <w:name w:val="Normal1"/>
    <w:basedOn w:val="Normal"/>
    <w:pPr>
      <w:spacing w:after="0"/>
    </w:pPr>
    <w:rPr>
      <w:rFonts w:eastAsia="Times New Roman"/>
      <w:szCs w:val="24"/>
    </w:rPr>
  </w:style>
  <w:style w:type="character" w:styleId="Hyperlink">
    <w:name w:val="Hyperlink"/>
    <w:basedOn w:val="DefaultParagraphFont"/>
    <w:uiPriority w:val="99"/>
    <w:unhideWhenUsed/>
    <w:rPr>
      <w:color w:val="0000FF"/>
      <w:u w:val="single"/>
    </w:rPr>
  </w:style>
  <w:style w:type="character" w:customStyle="1" w:styleId="super">
    <w:name w:val="super"/>
    <w:basedOn w:val="DefaultParagraphFont"/>
    <w:rPr>
      <w:sz w:val="17"/>
      <w:szCs w:val="17"/>
      <w:vertAlign w:val="superscript"/>
    </w:rPr>
  </w:style>
  <w:style w:type="paragraph" w:customStyle="1" w:styleId="normal2">
    <w:name w:val="normal2"/>
    <w:basedOn w:val="Normal"/>
    <w:pPr>
      <w:spacing w:after="0" w:line="312" w:lineRule="atLeast"/>
    </w:pPr>
    <w:rPr>
      <w:rFonts w:eastAsia="Times New Roman"/>
      <w:szCs w:val="24"/>
    </w:rPr>
  </w:style>
  <w:style w:type="paragraph" w:customStyle="1" w:styleId="text2">
    <w:name w:val="text2"/>
    <w:basedOn w:val="Normal"/>
    <w:uiPriority w:val="99"/>
    <w:pPr>
      <w:spacing w:before="0" w:after="240"/>
      <w:ind w:left="1202"/>
    </w:pPr>
    <w:rPr>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character" w:styleId="Strong">
    <w:name w:val="Strong"/>
    <w:basedOn w:val="DefaultParagraphFont"/>
    <w:uiPriority w:val="22"/>
    <w:qFormat/>
    <w:rPr>
      <w:b/>
      <w:bCs/>
    </w:rPr>
  </w:style>
  <w:style w:type="paragraph" w:customStyle="1" w:styleId="Text20">
    <w:name w:val="Text 2"/>
    <w:basedOn w:val="Normal"/>
    <w:pPr>
      <w:ind w:left="1417"/>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3"/>
      </w:numPr>
      <w:contextualSpacing/>
    </w:pPr>
  </w:style>
  <w:style w:type="paragraph" w:styleId="ListNumber2">
    <w:name w:val="List Number 2"/>
    <w:basedOn w:val="Normal"/>
    <w:uiPriority w:val="99"/>
    <w:semiHidden/>
    <w:unhideWhenUsed/>
    <w:pPr>
      <w:numPr>
        <w:numId w:val="14"/>
      </w:numPr>
      <w:contextualSpacing/>
    </w:pPr>
  </w:style>
  <w:style w:type="paragraph" w:styleId="ListNumber3">
    <w:name w:val="List Number 3"/>
    <w:basedOn w:val="Normal"/>
    <w:uiPriority w:val="99"/>
    <w:semiHidden/>
    <w:unhideWhenUsed/>
    <w:pPr>
      <w:numPr>
        <w:numId w:val="15"/>
      </w:numPr>
      <w:contextualSpacing/>
    </w:pPr>
  </w:style>
  <w:style w:type="paragraph" w:styleId="ListNumber4">
    <w:name w:val="List Number 4"/>
    <w:basedOn w:val="Normal"/>
    <w:uiPriority w:val="99"/>
    <w:semiHidden/>
    <w:unhideWhenUsed/>
    <w:pPr>
      <w:numPr>
        <w:numId w:val="16"/>
      </w:numPr>
      <w:contextualSpacing/>
    </w:pPr>
  </w:style>
  <w:style w:type="paragraph" w:customStyle="1" w:styleId="Text21">
    <w:name w:val="Text 2"/>
    <w:basedOn w:val="Normal"/>
    <w:pPr>
      <w:ind w:left="1417"/>
    </w:pPr>
  </w:style>
  <w:style w:type="paragraph" w:customStyle="1" w:styleId="Text22">
    <w:name w:val="Text 2"/>
    <w:basedOn w:val="Normal"/>
    <w:pPr>
      <w:ind w:left="1417"/>
    </w:pPr>
  </w:style>
  <w:style w:type="paragraph" w:customStyle="1" w:styleId="Text23">
    <w:name w:val="Text 2"/>
    <w:basedOn w:val="Normal"/>
    <w:pPr>
      <w:ind w:left="1417"/>
    </w:pPr>
  </w:style>
  <w:style w:type="paragraph" w:customStyle="1" w:styleId="Text24">
    <w:name w:val="Text 2"/>
    <w:basedOn w:val="Normal"/>
    <w:pPr>
      <w:ind w:left="1417"/>
    </w:pPr>
  </w:style>
  <w:style w:type="paragraph" w:customStyle="1" w:styleId="Text25">
    <w:name w:val="Text 2"/>
    <w:basedOn w:val="Normal"/>
    <w:pPr>
      <w:ind w:left="1417"/>
    </w:pPr>
  </w:style>
  <w:style w:type="paragraph" w:customStyle="1" w:styleId="Text26">
    <w:name w:val="Text 2"/>
    <w:basedOn w:val="Normal"/>
    <w:pPr>
      <w:ind w:left="1417"/>
    </w:pPr>
  </w:style>
  <w:style w:type="paragraph" w:customStyle="1" w:styleId="Text27">
    <w:name w:val="Text 2"/>
    <w:basedOn w:val="Normal"/>
    <w:pPr>
      <w:ind w:left="1417"/>
    </w:pPr>
  </w:style>
  <w:style w:type="paragraph" w:customStyle="1" w:styleId="Text28">
    <w:name w:val="Text 2"/>
    <w:basedOn w:val="Normal"/>
    <w:pPr>
      <w:ind w:left="1417"/>
    </w:pPr>
  </w:style>
  <w:style w:type="paragraph" w:customStyle="1" w:styleId="Text29">
    <w:name w:val="Text 2"/>
    <w:basedOn w:val="Normal"/>
    <w:pPr>
      <w:ind w:left="1417"/>
    </w:pPr>
  </w:style>
  <w:style w:type="paragraph" w:customStyle="1" w:styleId="Text2a">
    <w:name w:val="Text 2"/>
    <w:basedOn w:val="Normal"/>
    <w:pPr>
      <w:ind w:left="1417"/>
    </w:pPr>
  </w:style>
  <w:style w:type="paragraph" w:customStyle="1" w:styleId="Text2b">
    <w:name w:val="Text 2"/>
    <w:basedOn w:val="Normal"/>
    <w:pPr>
      <w:ind w:left="1417"/>
    </w:pPr>
  </w:style>
  <w:style w:type="paragraph" w:customStyle="1" w:styleId="Text2c">
    <w:name w:val="Text 2"/>
    <w:basedOn w:val="Normal"/>
    <w:pPr>
      <w:ind w:left="1417"/>
    </w:pPr>
  </w:style>
  <w:style w:type="paragraph" w:customStyle="1" w:styleId="Text2d">
    <w:name w:val="Text 2"/>
    <w:basedOn w:val="Normal"/>
    <w:pPr>
      <w:ind w:left="1417"/>
    </w:pPr>
  </w:style>
  <w:style w:type="paragraph" w:customStyle="1" w:styleId="Text2e">
    <w:name w:val="Text 2"/>
    <w:basedOn w:val="Normal"/>
    <w:pPr>
      <w:ind w:left="1417"/>
    </w:pPr>
  </w:style>
  <w:style w:type="paragraph" w:customStyle="1" w:styleId="Text2f">
    <w:name w:val="Text 2"/>
    <w:basedOn w:val="Normal"/>
    <w:pPr>
      <w:ind w:left="1417"/>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f0">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1"/>
      </w:numPr>
    </w:pPr>
  </w:style>
  <w:style w:type="paragraph" w:customStyle="1" w:styleId="NumPar2">
    <w:name w:val="NumPar 2"/>
    <w:basedOn w:val="Normal"/>
    <w:next w:val="Text1"/>
    <w:pPr>
      <w:numPr>
        <w:ilvl w:val="1"/>
        <w:numId w:val="41"/>
      </w:numPr>
    </w:pPr>
  </w:style>
  <w:style w:type="paragraph" w:customStyle="1" w:styleId="NumPar3">
    <w:name w:val="NumPar 3"/>
    <w:basedOn w:val="Normal"/>
    <w:next w:val="Text1"/>
    <w:pPr>
      <w:numPr>
        <w:ilvl w:val="2"/>
        <w:numId w:val="41"/>
      </w:numPr>
    </w:pPr>
  </w:style>
  <w:style w:type="paragraph" w:customStyle="1" w:styleId="NumPar4">
    <w:name w:val="NumPar 4"/>
    <w:basedOn w:val="Normal"/>
    <w:next w:val="Text1"/>
    <w:pPr>
      <w:numPr>
        <w:ilvl w:val="3"/>
        <w:numId w:val="4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3"/>
      </w:numPr>
    </w:pPr>
  </w:style>
  <w:style w:type="paragraph" w:customStyle="1" w:styleId="Point1number">
    <w:name w:val="Point 1 (number)"/>
    <w:basedOn w:val="Normal"/>
    <w:pPr>
      <w:numPr>
        <w:ilvl w:val="2"/>
        <w:numId w:val="43"/>
      </w:numPr>
    </w:pPr>
  </w:style>
  <w:style w:type="paragraph" w:customStyle="1" w:styleId="Point2number">
    <w:name w:val="Point 2 (number)"/>
    <w:basedOn w:val="Normal"/>
    <w:pPr>
      <w:numPr>
        <w:ilvl w:val="4"/>
        <w:numId w:val="43"/>
      </w:numPr>
    </w:pPr>
  </w:style>
  <w:style w:type="paragraph" w:customStyle="1" w:styleId="Point3number">
    <w:name w:val="Point 3 (number)"/>
    <w:basedOn w:val="Normal"/>
    <w:pPr>
      <w:numPr>
        <w:ilvl w:val="6"/>
        <w:numId w:val="43"/>
      </w:numPr>
    </w:pPr>
  </w:style>
  <w:style w:type="paragraph" w:customStyle="1" w:styleId="Point0letter">
    <w:name w:val="Point 0 (letter)"/>
    <w:basedOn w:val="Normal"/>
    <w:pPr>
      <w:numPr>
        <w:ilvl w:val="1"/>
        <w:numId w:val="43"/>
      </w:numPr>
    </w:pPr>
  </w:style>
  <w:style w:type="paragraph" w:customStyle="1" w:styleId="Point1letter">
    <w:name w:val="Point 1 (letter)"/>
    <w:basedOn w:val="Normal"/>
    <w:pPr>
      <w:numPr>
        <w:ilvl w:val="3"/>
        <w:numId w:val="43"/>
      </w:numPr>
    </w:pPr>
  </w:style>
  <w:style w:type="paragraph" w:customStyle="1" w:styleId="Point2letter">
    <w:name w:val="Point 2 (letter)"/>
    <w:basedOn w:val="Normal"/>
    <w:pPr>
      <w:numPr>
        <w:ilvl w:val="5"/>
        <w:numId w:val="43"/>
      </w:numPr>
    </w:pPr>
  </w:style>
  <w:style w:type="paragraph" w:customStyle="1" w:styleId="Point3letter">
    <w:name w:val="Point 3 (letter)"/>
    <w:basedOn w:val="Normal"/>
    <w:pPr>
      <w:numPr>
        <w:ilvl w:val="7"/>
        <w:numId w:val="43"/>
      </w:numPr>
    </w:pPr>
  </w:style>
  <w:style w:type="paragraph" w:customStyle="1" w:styleId="Point4letter">
    <w:name w:val="Point 4 (letter)"/>
    <w:basedOn w:val="Normal"/>
    <w:pPr>
      <w:numPr>
        <w:ilvl w:val="8"/>
        <w:numId w:val="43"/>
      </w:numPr>
    </w:pPr>
  </w:style>
  <w:style w:type="paragraph" w:customStyle="1" w:styleId="Bullet0">
    <w:name w:val="Bullet 0"/>
    <w:basedOn w:val="Normal"/>
    <w:pPr>
      <w:numPr>
        <w:numId w:val="44"/>
      </w:numPr>
    </w:pPr>
  </w:style>
  <w:style w:type="paragraph" w:customStyle="1" w:styleId="Bullet1">
    <w:name w:val="Bullet 1"/>
    <w:basedOn w:val="Normal"/>
    <w:pPr>
      <w:numPr>
        <w:numId w:val="45"/>
      </w:numPr>
    </w:pPr>
  </w:style>
  <w:style w:type="paragraph" w:customStyle="1" w:styleId="Bullet2">
    <w:name w:val="Bullet 2"/>
    <w:basedOn w:val="Normal"/>
    <w:pPr>
      <w:numPr>
        <w:numId w:val="46"/>
      </w:numPr>
    </w:pPr>
  </w:style>
  <w:style w:type="paragraph" w:customStyle="1" w:styleId="Bullet3">
    <w:name w:val="Bullet 3"/>
    <w:basedOn w:val="Normal"/>
    <w:pPr>
      <w:numPr>
        <w:numId w:val="47"/>
      </w:numPr>
    </w:pPr>
  </w:style>
  <w:style w:type="paragraph" w:customStyle="1" w:styleId="Bullet4">
    <w:name w:val="Bullet 4"/>
    <w:basedOn w:val="Normal"/>
    <w:pPr>
      <w:numPr>
        <w:numId w:val="4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4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customStyle="1" w:styleId="CM4">
    <w:name w:val="CM4"/>
    <w:basedOn w:val="Normal"/>
    <w:uiPriority w:val="99"/>
    <w:pPr>
      <w:autoSpaceDE w:val="0"/>
      <w:autoSpaceDN w:val="0"/>
      <w:spacing w:before="0" w:after="0"/>
      <w:jc w:val="left"/>
    </w:pPr>
    <w:rPr>
      <w:rFonts w:ascii="EUAlbertina" w:hAnsi="EUAlbertina"/>
      <w:szCs w:val="24"/>
    </w:rPr>
  </w:style>
  <w:style w:type="paragraph" w:customStyle="1" w:styleId="Normal1">
    <w:name w:val="Normal1"/>
    <w:basedOn w:val="Normal"/>
    <w:pPr>
      <w:spacing w:after="0"/>
    </w:pPr>
    <w:rPr>
      <w:rFonts w:eastAsia="Times New Roman"/>
      <w:szCs w:val="24"/>
    </w:rPr>
  </w:style>
  <w:style w:type="character" w:styleId="Hyperlink">
    <w:name w:val="Hyperlink"/>
    <w:basedOn w:val="DefaultParagraphFont"/>
    <w:uiPriority w:val="99"/>
    <w:unhideWhenUsed/>
    <w:rPr>
      <w:color w:val="0000FF"/>
      <w:u w:val="single"/>
    </w:rPr>
  </w:style>
  <w:style w:type="character" w:customStyle="1" w:styleId="super">
    <w:name w:val="super"/>
    <w:basedOn w:val="DefaultParagraphFont"/>
    <w:rPr>
      <w:sz w:val="17"/>
      <w:szCs w:val="17"/>
      <w:vertAlign w:val="superscript"/>
    </w:rPr>
  </w:style>
  <w:style w:type="paragraph" w:customStyle="1" w:styleId="normal2">
    <w:name w:val="normal2"/>
    <w:basedOn w:val="Normal"/>
    <w:pPr>
      <w:spacing w:after="0" w:line="312" w:lineRule="atLeast"/>
    </w:pPr>
    <w:rPr>
      <w:rFonts w:eastAsia="Times New Roman"/>
      <w:szCs w:val="24"/>
    </w:rPr>
  </w:style>
  <w:style w:type="paragraph" w:customStyle="1" w:styleId="text2">
    <w:name w:val="text2"/>
    <w:basedOn w:val="Normal"/>
    <w:uiPriority w:val="99"/>
    <w:pPr>
      <w:spacing w:before="0" w:after="240"/>
      <w:ind w:left="1202"/>
    </w:pPr>
    <w:rPr>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character" w:styleId="Strong">
    <w:name w:val="Strong"/>
    <w:basedOn w:val="DefaultParagraphFont"/>
    <w:uiPriority w:val="22"/>
    <w:qFormat/>
    <w:rPr>
      <w:b/>
      <w:bCs/>
    </w:rPr>
  </w:style>
  <w:style w:type="paragraph" w:customStyle="1" w:styleId="Text20">
    <w:name w:val="Text 2"/>
    <w:basedOn w:val="Normal"/>
    <w:pPr>
      <w:ind w:left="1417"/>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3"/>
      </w:numPr>
      <w:contextualSpacing/>
    </w:pPr>
  </w:style>
  <w:style w:type="paragraph" w:styleId="ListNumber2">
    <w:name w:val="List Number 2"/>
    <w:basedOn w:val="Normal"/>
    <w:uiPriority w:val="99"/>
    <w:semiHidden/>
    <w:unhideWhenUsed/>
    <w:pPr>
      <w:numPr>
        <w:numId w:val="14"/>
      </w:numPr>
      <w:contextualSpacing/>
    </w:pPr>
  </w:style>
  <w:style w:type="paragraph" w:styleId="ListNumber3">
    <w:name w:val="List Number 3"/>
    <w:basedOn w:val="Normal"/>
    <w:uiPriority w:val="99"/>
    <w:semiHidden/>
    <w:unhideWhenUsed/>
    <w:pPr>
      <w:numPr>
        <w:numId w:val="15"/>
      </w:numPr>
      <w:contextualSpacing/>
    </w:pPr>
  </w:style>
  <w:style w:type="paragraph" w:styleId="ListNumber4">
    <w:name w:val="List Number 4"/>
    <w:basedOn w:val="Normal"/>
    <w:uiPriority w:val="99"/>
    <w:semiHidden/>
    <w:unhideWhenUsed/>
    <w:pPr>
      <w:numPr>
        <w:numId w:val="16"/>
      </w:numPr>
      <w:contextualSpacing/>
    </w:pPr>
  </w:style>
  <w:style w:type="paragraph" w:customStyle="1" w:styleId="Text21">
    <w:name w:val="Text 2"/>
    <w:basedOn w:val="Normal"/>
    <w:pPr>
      <w:ind w:left="1417"/>
    </w:pPr>
  </w:style>
  <w:style w:type="paragraph" w:customStyle="1" w:styleId="Text22">
    <w:name w:val="Text 2"/>
    <w:basedOn w:val="Normal"/>
    <w:pPr>
      <w:ind w:left="1417"/>
    </w:pPr>
  </w:style>
  <w:style w:type="paragraph" w:customStyle="1" w:styleId="Text23">
    <w:name w:val="Text 2"/>
    <w:basedOn w:val="Normal"/>
    <w:pPr>
      <w:ind w:left="1417"/>
    </w:pPr>
  </w:style>
  <w:style w:type="paragraph" w:customStyle="1" w:styleId="Text24">
    <w:name w:val="Text 2"/>
    <w:basedOn w:val="Normal"/>
    <w:pPr>
      <w:ind w:left="1417"/>
    </w:pPr>
  </w:style>
  <w:style w:type="paragraph" w:customStyle="1" w:styleId="Text25">
    <w:name w:val="Text 2"/>
    <w:basedOn w:val="Normal"/>
    <w:pPr>
      <w:ind w:left="1417"/>
    </w:pPr>
  </w:style>
  <w:style w:type="paragraph" w:customStyle="1" w:styleId="Text26">
    <w:name w:val="Text 2"/>
    <w:basedOn w:val="Normal"/>
    <w:pPr>
      <w:ind w:left="1417"/>
    </w:pPr>
  </w:style>
  <w:style w:type="paragraph" w:customStyle="1" w:styleId="Text27">
    <w:name w:val="Text 2"/>
    <w:basedOn w:val="Normal"/>
    <w:pPr>
      <w:ind w:left="1417"/>
    </w:pPr>
  </w:style>
  <w:style w:type="paragraph" w:customStyle="1" w:styleId="Text28">
    <w:name w:val="Text 2"/>
    <w:basedOn w:val="Normal"/>
    <w:pPr>
      <w:ind w:left="1417"/>
    </w:pPr>
  </w:style>
  <w:style w:type="paragraph" w:customStyle="1" w:styleId="Text29">
    <w:name w:val="Text 2"/>
    <w:basedOn w:val="Normal"/>
    <w:pPr>
      <w:ind w:left="1417"/>
    </w:pPr>
  </w:style>
  <w:style w:type="paragraph" w:customStyle="1" w:styleId="Text2a">
    <w:name w:val="Text 2"/>
    <w:basedOn w:val="Normal"/>
    <w:pPr>
      <w:ind w:left="1417"/>
    </w:pPr>
  </w:style>
  <w:style w:type="paragraph" w:customStyle="1" w:styleId="Text2b">
    <w:name w:val="Text 2"/>
    <w:basedOn w:val="Normal"/>
    <w:pPr>
      <w:ind w:left="1417"/>
    </w:pPr>
  </w:style>
  <w:style w:type="paragraph" w:customStyle="1" w:styleId="Text2c">
    <w:name w:val="Text 2"/>
    <w:basedOn w:val="Normal"/>
    <w:pPr>
      <w:ind w:left="1417"/>
    </w:pPr>
  </w:style>
  <w:style w:type="paragraph" w:customStyle="1" w:styleId="Text2d">
    <w:name w:val="Text 2"/>
    <w:basedOn w:val="Normal"/>
    <w:pPr>
      <w:ind w:left="1417"/>
    </w:pPr>
  </w:style>
  <w:style w:type="paragraph" w:customStyle="1" w:styleId="Text2e">
    <w:name w:val="Text 2"/>
    <w:basedOn w:val="Normal"/>
    <w:pPr>
      <w:ind w:left="1417"/>
    </w:pPr>
  </w:style>
  <w:style w:type="paragraph" w:customStyle="1" w:styleId="Text2f">
    <w:name w:val="Text 2"/>
    <w:basedOn w:val="Normal"/>
    <w:pPr>
      <w:ind w:left="1417"/>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f0">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1"/>
      </w:numPr>
    </w:pPr>
  </w:style>
  <w:style w:type="paragraph" w:customStyle="1" w:styleId="NumPar2">
    <w:name w:val="NumPar 2"/>
    <w:basedOn w:val="Normal"/>
    <w:next w:val="Text1"/>
    <w:pPr>
      <w:numPr>
        <w:ilvl w:val="1"/>
        <w:numId w:val="41"/>
      </w:numPr>
    </w:pPr>
  </w:style>
  <w:style w:type="paragraph" w:customStyle="1" w:styleId="NumPar3">
    <w:name w:val="NumPar 3"/>
    <w:basedOn w:val="Normal"/>
    <w:next w:val="Text1"/>
    <w:pPr>
      <w:numPr>
        <w:ilvl w:val="2"/>
        <w:numId w:val="41"/>
      </w:numPr>
    </w:pPr>
  </w:style>
  <w:style w:type="paragraph" w:customStyle="1" w:styleId="NumPar4">
    <w:name w:val="NumPar 4"/>
    <w:basedOn w:val="Normal"/>
    <w:next w:val="Text1"/>
    <w:pPr>
      <w:numPr>
        <w:ilvl w:val="3"/>
        <w:numId w:val="4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3"/>
      </w:numPr>
    </w:pPr>
  </w:style>
  <w:style w:type="paragraph" w:customStyle="1" w:styleId="Point1number">
    <w:name w:val="Point 1 (number)"/>
    <w:basedOn w:val="Normal"/>
    <w:pPr>
      <w:numPr>
        <w:ilvl w:val="2"/>
        <w:numId w:val="43"/>
      </w:numPr>
    </w:pPr>
  </w:style>
  <w:style w:type="paragraph" w:customStyle="1" w:styleId="Point2number">
    <w:name w:val="Point 2 (number)"/>
    <w:basedOn w:val="Normal"/>
    <w:pPr>
      <w:numPr>
        <w:ilvl w:val="4"/>
        <w:numId w:val="43"/>
      </w:numPr>
    </w:pPr>
  </w:style>
  <w:style w:type="paragraph" w:customStyle="1" w:styleId="Point3number">
    <w:name w:val="Point 3 (number)"/>
    <w:basedOn w:val="Normal"/>
    <w:pPr>
      <w:numPr>
        <w:ilvl w:val="6"/>
        <w:numId w:val="43"/>
      </w:numPr>
    </w:pPr>
  </w:style>
  <w:style w:type="paragraph" w:customStyle="1" w:styleId="Point0letter">
    <w:name w:val="Point 0 (letter)"/>
    <w:basedOn w:val="Normal"/>
    <w:pPr>
      <w:numPr>
        <w:ilvl w:val="1"/>
        <w:numId w:val="43"/>
      </w:numPr>
    </w:pPr>
  </w:style>
  <w:style w:type="paragraph" w:customStyle="1" w:styleId="Point1letter">
    <w:name w:val="Point 1 (letter)"/>
    <w:basedOn w:val="Normal"/>
    <w:pPr>
      <w:numPr>
        <w:ilvl w:val="3"/>
        <w:numId w:val="43"/>
      </w:numPr>
    </w:pPr>
  </w:style>
  <w:style w:type="paragraph" w:customStyle="1" w:styleId="Point2letter">
    <w:name w:val="Point 2 (letter)"/>
    <w:basedOn w:val="Normal"/>
    <w:pPr>
      <w:numPr>
        <w:ilvl w:val="5"/>
        <w:numId w:val="43"/>
      </w:numPr>
    </w:pPr>
  </w:style>
  <w:style w:type="paragraph" w:customStyle="1" w:styleId="Point3letter">
    <w:name w:val="Point 3 (letter)"/>
    <w:basedOn w:val="Normal"/>
    <w:pPr>
      <w:numPr>
        <w:ilvl w:val="7"/>
        <w:numId w:val="43"/>
      </w:numPr>
    </w:pPr>
  </w:style>
  <w:style w:type="paragraph" w:customStyle="1" w:styleId="Point4letter">
    <w:name w:val="Point 4 (letter)"/>
    <w:basedOn w:val="Normal"/>
    <w:pPr>
      <w:numPr>
        <w:ilvl w:val="8"/>
        <w:numId w:val="43"/>
      </w:numPr>
    </w:pPr>
  </w:style>
  <w:style w:type="paragraph" w:customStyle="1" w:styleId="Bullet0">
    <w:name w:val="Bullet 0"/>
    <w:basedOn w:val="Normal"/>
    <w:pPr>
      <w:numPr>
        <w:numId w:val="44"/>
      </w:numPr>
    </w:pPr>
  </w:style>
  <w:style w:type="paragraph" w:customStyle="1" w:styleId="Bullet1">
    <w:name w:val="Bullet 1"/>
    <w:basedOn w:val="Normal"/>
    <w:pPr>
      <w:numPr>
        <w:numId w:val="45"/>
      </w:numPr>
    </w:pPr>
  </w:style>
  <w:style w:type="paragraph" w:customStyle="1" w:styleId="Bullet2">
    <w:name w:val="Bullet 2"/>
    <w:basedOn w:val="Normal"/>
    <w:pPr>
      <w:numPr>
        <w:numId w:val="46"/>
      </w:numPr>
    </w:pPr>
  </w:style>
  <w:style w:type="paragraph" w:customStyle="1" w:styleId="Bullet3">
    <w:name w:val="Bullet 3"/>
    <w:basedOn w:val="Normal"/>
    <w:pPr>
      <w:numPr>
        <w:numId w:val="47"/>
      </w:numPr>
    </w:pPr>
  </w:style>
  <w:style w:type="paragraph" w:customStyle="1" w:styleId="Bullet4">
    <w:name w:val="Bullet 4"/>
    <w:basedOn w:val="Normal"/>
    <w:pPr>
      <w:numPr>
        <w:numId w:val="4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859271">
      <w:bodyDiv w:val="1"/>
      <w:marLeft w:val="0"/>
      <w:marRight w:val="0"/>
      <w:marTop w:val="0"/>
      <w:marBottom w:val="0"/>
      <w:divBdr>
        <w:top w:val="none" w:sz="0" w:space="0" w:color="auto"/>
        <w:left w:val="none" w:sz="0" w:space="0" w:color="auto"/>
        <w:bottom w:val="none" w:sz="0" w:space="0" w:color="auto"/>
        <w:right w:val="none" w:sz="0" w:space="0" w:color="auto"/>
      </w:divBdr>
    </w:div>
    <w:div w:id="1393649980">
      <w:bodyDiv w:val="1"/>
      <w:marLeft w:val="0"/>
      <w:marRight w:val="0"/>
      <w:marTop w:val="0"/>
      <w:marBottom w:val="0"/>
      <w:divBdr>
        <w:top w:val="none" w:sz="0" w:space="0" w:color="auto"/>
        <w:left w:val="none" w:sz="0" w:space="0" w:color="auto"/>
        <w:bottom w:val="none" w:sz="0" w:space="0" w:color="auto"/>
        <w:right w:val="none" w:sz="0" w:space="0" w:color="auto"/>
      </w:divBdr>
    </w:div>
    <w:div w:id="1479344356">
      <w:bodyDiv w:val="1"/>
      <w:marLeft w:val="0"/>
      <w:marRight w:val="0"/>
      <w:marTop w:val="0"/>
      <w:marBottom w:val="0"/>
      <w:divBdr>
        <w:top w:val="none" w:sz="0" w:space="0" w:color="auto"/>
        <w:left w:val="none" w:sz="0" w:space="0" w:color="auto"/>
        <w:bottom w:val="none" w:sz="0" w:space="0" w:color="auto"/>
        <w:right w:val="none" w:sz="0" w:space="0" w:color="auto"/>
      </w:divBdr>
    </w:div>
    <w:div w:id="1516535451">
      <w:bodyDiv w:val="1"/>
      <w:marLeft w:val="0"/>
      <w:marRight w:val="0"/>
      <w:marTop w:val="0"/>
      <w:marBottom w:val="0"/>
      <w:divBdr>
        <w:top w:val="none" w:sz="0" w:space="0" w:color="auto"/>
        <w:left w:val="none" w:sz="0" w:space="0" w:color="auto"/>
        <w:bottom w:val="none" w:sz="0" w:space="0" w:color="auto"/>
        <w:right w:val="none" w:sz="0" w:space="0" w:color="auto"/>
      </w:divBdr>
    </w:div>
    <w:div w:id="1859154420">
      <w:bodyDiv w:val="1"/>
      <w:marLeft w:val="0"/>
      <w:marRight w:val="0"/>
      <w:marTop w:val="0"/>
      <w:marBottom w:val="0"/>
      <w:divBdr>
        <w:top w:val="none" w:sz="0" w:space="0" w:color="auto"/>
        <w:left w:val="none" w:sz="0" w:space="0" w:color="auto"/>
        <w:bottom w:val="none" w:sz="0" w:space="0" w:color="auto"/>
        <w:right w:val="none" w:sz="0" w:space="0" w:color="auto"/>
      </w:divBdr>
      <w:divsChild>
        <w:div w:id="921723964">
          <w:marLeft w:val="0"/>
          <w:marRight w:val="0"/>
          <w:marTop w:val="0"/>
          <w:marBottom w:val="0"/>
          <w:divBdr>
            <w:top w:val="none" w:sz="0" w:space="0" w:color="auto"/>
            <w:left w:val="none" w:sz="0" w:space="0" w:color="auto"/>
            <w:bottom w:val="none" w:sz="0" w:space="0" w:color="auto"/>
            <w:right w:val="none" w:sz="0" w:space="0" w:color="auto"/>
          </w:divBdr>
          <w:divsChild>
            <w:div w:id="871891386">
              <w:marLeft w:val="0"/>
              <w:marRight w:val="0"/>
              <w:marTop w:val="0"/>
              <w:marBottom w:val="0"/>
              <w:divBdr>
                <w:top w:val="none" w:sz="0" w:space="0" w:color="auto"/>
                <w:left w:val="none" w:sz="0" w:space="0" w:color="auto"/>
                <w:bottom w:val="none" w:sz="0" w:space="0" w:color="auto"/>
                <w:right w:val="none" w:sz="0" w:space="0" w:color="auto"/>
              </w:divBdr>
              <w:divsChild>
                <w:div w:id="803960204">
                  <w:marLeft w:val="0"/>
                  <w:marRight w:val="0"/>
                  <w:marTop w:val="0"/>
                  <w:marBottom w:val="0"/>
                  <w:divBdr>
                    <w:top w:val="none" w:sz="0" w:space="0" w:color="auto"/>
                    <w:left w:val="none" w:sz="0" w:space="0" w:color="auto"/>
                    <w:bottom w:val="none" w:sz="0" w:space="0" w:color="auto"/>
                    <w:right w:val="none" w:sz="0" w:space="0" w:color="auto"/>
                  </w:divBdr>
                  <w:divsChild>
                    <w:div w:id="1538546469">
                      <w:marLeft w:val="1"/>
                      <w:marRight w:val="1"/>
                      <w:marTop w:val="0"/>
                      <w:marBottom w:val="0"/>
                      <w:divBdr>
                        <w:top w:val="none" w:sz="0" w:space="0" w:color="auto"/>
                        <w:left w:val="none" w:sz="0" w:space="0" w:color="auto"/>
                        <w:bottom w:val="none" w:sz="0" w:space="0" w:color="auto"/>
                        <w:right w:val="none" w:sz="0" w:space="0" w:color="auto"/>
                      </w:divBdr>
                      <w:divsChild>
                        <w:div w:id="1025323137">
                          <w:marLeft w:val="0"/>
                          <w:marRight w:val="0"/>
                          <w:marTop w:val="0"/>
                          <w:marBottom w:val="0"/>
                          <w:divBdr>
                            <w:top w:val="none" w:sz="0" w:space="0" w:color="auto"/>
                            <w:left w:val="none" w:sz="0" w:space="0" w:color="auto"/>
                            <w:bottom w:val="none" w:sz="0" w:space="0" w:color="auto"/>
                            <w:right w:val="none" w:sz="0" w:space="0" w:color="auto"/>
                          </w:divBdr>
                          <w:divsChild>
                            <w:div w:id="1273123414">
                              <w:marLeft w:val="0"/>
                              <w:marRight w:val="0"/>
                              <w:marTop w:val="0"/>
                              <w:marBottom w:val="360"/>
                              <w:divBdr>
                                <w:top w:val="none" w:sz="0" w:space="0" w:color="auto"/>
                                <w:left w:val="none" w:sz="0" w:space="0" w:color="auto"/>
                                <w:bottom w:val="none" w:sz="0" w:space="0" w:color="auto"/>
                                <w:right w:val="none" w:sz="0" w:space="0" w:color="auto"/>
                              </w:divBdr>
                              <w:divsChild>
                                <w:div w:id="1095709181">
                                  <w:marLeft w:val="0"/>
                                  <w:marRight w:val="0"/>
                                  <w:marTop w:val="0"/>
                                  <w:marBottom w:val="0"/>
                                  <w:divBdr>
                                    <w:top w:val="none" w:sz="0" w:space="0" w:color="auto"/>
                                    <w:left w:val="none" w:sz="0" w:space="0" w:color="auto"/>
                                    <w:bottom w:val="none" w:sz="0" w:space="0" w:color="auto"/>
                                    <w:right w:val="none" w:sz="0" w:space="0" w:color="auto"/>
                                  </w:divBdr>
                                  <w:divsChild>
                                    <w:div w:id="1712072315">
                                      <w:marLeft w:val="0"/>
                                      <w:marRight w:val="0"/>
                                      <w:marTop w:val="0"/>
                                      <w:marBottom w:val="0"/>
                                      <w:divBdr>
                                        <w:top w:val="none" w:sz="0" w:space="0" w:color="auto"/>
                                        <w:left w:val="none" w:sz="0" w:space="0" w:color="auto"/>
                                        <w:bottom w:val="none" w:sz="0" w:space="0" w:color="auto"/>
                                        <w:right w:val="none" w:sz="0" w:space="0" w:color="auto"/>
                                      </w:divBdr>
                                      <w:divsChild>
                                        <w:div w:id="492718201">
                                          <w:marLeft w:val="0"/>
                                          <w:marRight w:val="0"/>
                                          <w:marTop w:val="0"/>
                                          <w:marBottom w:val="0"/>
                                          <w:divBdr>
                                            <w:top w:val="none" w:sz="0" w:space="0" w:color="auto"/>
                                            <w:left w:val="none" w:sz="0" w:space="0" w:color="auto"/>
                                            <w:bottom w:val="none" w:sz="0" w:space="0" w:color="auto"/>
                                            <w:right w:val="none" w:sz="0" w:space="0" w:color="auto"/>
                                          </w:divBdr>
                                          <w:divsChild>
                                            <w:div w:id="572160670">
                                              <w:marLeft w:val="0"/>
                                              <w:marRight w:val="0"/>
                                              <w:marTop w:val="0"/>
                                              <w:marBottom w:val="0"/>
                                              <w:divBdr>
                                                <w:top w:val="none" w:sz="0" w:space="0" w:color="auto"/>
                                                <w:left w:val="none" w:sz="0" w:space="0" w:color="auto"/>
                                                <w:bottom w:val="none" w:sz="0" w:space="0" w:color="auto"/>
                                                <w:right w:val="none" w:sz="0" w:space="0" w:color="auto"/>
                                              </w:divBdr>
                                              <w:divsChild>
                                                <w:div w:id="11420674">
                                                  <w:marLeft w:val="0"/>
                                                  <w:marRight w:val="0"/>
                                                  <w:marTop w:val="0"/>
                                                  <w:marBottom w:val="0"/>
                                                  <w:divBdr>
                                                    <w:top w:val="none" w:sz="0" w:space="0" w:color="auto"/>
                                                    <w:left w:val="none" w:sz="0" w:space="0" w:color="auto"/>
                                                    <w:bottom w:val="none" w:sz="0" w:space="0" w:color="auto"/>
                                                    <w:right w:val="none" w:sz="0" w:space="0" w:color="auto"/>
                                                  </w:divBdr>
                                                  <w:divsChild>
                                                    <w:div w:id="11595546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 w:id="1867212600">
      <w:bodyDiv w:val="1"/>
      <w:marLeft w:val="0"/>
      <w:marRight w:val="0"/>
      <w:marTop w:val="0"/>
      <w:marBottom w:val="0"/>
      <w:divBdr>
        <w:top w:val="none" w:sz="0" w:space="0" w:color="auto"/>
        <w:left w:val="none" w:sz="0" w:space="0" w:color="auto"/>
        <w:bottom w:val="none" w:sz="0" w:space="0" w:color="auto"/>
        <w:right w:val="none" w:sz="0" w:space="0" w:color="auto"/>
      </w:divBdr>
      <w:divsChild>
        <w:div w:id="1497838588">
          <w:marLeft w:val="0"/>
          <w:marRight w:val="0"/>
          <w:marTop w:val="0"/>
          <w:marBottom w:val="0"/>
          <w:divBdr>
            <w:top w:val="none" w:sz="0" w:space="0" w:color="auto"/>
            <w:left w:val="none" w:sz="0" w:space="0" w:color="auto"/>
            <w:bottom w:val="none" w:sz="0" w:space="0" w:color="auto"/>
            <w:right w:val="none" w:sz="0" w:space="0" w:color="auto"/>
          </w:divBdr>
          <w:divsChild>
            <w:div w:id="713385433">
              <w:marLeft w:val="0"/>
              <w:marRight w:val="0"/>
              <w:marTop w:val="0"/>
              <w:marBottom w:val="0"/>
              <w:divBdr>
                <w:top w:val="none" w:sz="0" w:space="0" w:color="auto"/>
                <w:left w:val="none" w:sz="0" w:space="0" w:color="auto"/>
                <w:bottom w:val="none" w:sz="0" w:space="0" w:color="auto"/>
                <w:right w:val="none" w:sz="0" w:space="0" w:color="auto"/>
              </w:divBdr>
              <w:divsChild>
                <w:div w:id="1806122149">
                  <w:marLeft w:val="0"/>
                  <w:marRight w:val="0"/>
                  <w:marTop w:val="0"/>
                  <w:marBottom w:val="0"/>
                  <w:divBdr>
                    <w:top w:val="none" w:sz="0" w:space="0" w:color="auto"/>
                    <w:left w:val="none" w:sz="0" w:space="0" w:color="auto"/>
                    <w:bottom w:val="none" w:sz="0" w:space="0" w:color="auto"/>
                    <w:right w:val="none" w:sz="0" w:space="0" w:color="auto"/>
                  </w:divBdr>
                  <w:divsChild>
                    <w:div w:id="1335524500">
                      <w:marLeft w:val="1"/>
                      <w:marRight w:val="1"/>
                      <w:marTop w:val="0"/>
                      <w:marBottom w:val="0"/>
                      <w:divBdr>
                        <w:top w:val="none" w:sz="0" w:space="0" w:color="auto"/>
                        <w:left w:val="none" w:sz="0" w:space="0" w:color="auto"/>
                        <w:bottom w:val="none" w:sz="0" w:space="0" w:color="auto"/>
                        <w:right w:val="none" w:sz="0" w:space="0" w:color="auto"/>
                      </w:divBdr>
                      <w:divsChild>
                        <w:div w:id="2016106754">
                          <w:marLeft w:val="0"/>
                          <w:marRight w:val="0"/>
                          <w:marTop w:val="0"/>
                          <w:marBottom w:val="0"/>
                          <w:divBdr>
                            <w:top w:val="none" w:sz="0" w:space="0" w:color="auto"/>
                            <w:left w:val="none" w:sz="0" w:space="0" w:color="auto"/>
                            <w:bottom w:val="none" w:sz="0" w:space="0" w:color="auto"/>
                            <w:right w:val="none" w:sz="0" w:space="0" w:color="auto"/>
                          </w:divBdr>
                          <w:divsChild>
                            <w:div w:id="8459595">
                              <w:marLeft w:val="0"/>
                              <w:marRight w:val="0"/>
                              <w:marTop w:val="0"/>
                              <w:marBottom w:val="360"/>
                              <w:divBdr>
                                <w:top w:val="none" w:sz="0" w:space="0" w:color="auto"/>
                                <w:left w:val="none" w:sz="0" w:space="0" w:color="auto"/>
                                <w:bottom w:val="none" w:sz="0" w:space="0" w:color="auto"/>
                                <w:right w:val="none" w:sz="0" w:space="0" w:color="auto"/>
                              </w:divBdr>
                              <w:divsChild>
                                <w:div w:id="1442066655">
                                  <w:marLeft w:val="0"/>
                                  <w:marRight w:val="0"/>
                                  <w:marTop w:val="0"/>
                                  <w:marBottom w:val="0"/>
                                  <w:divBdr>
                                    <w:top w:val="none" w:sz="0" w:space="0" w:color="auto"/>
                                    <w:left w:val="none" w:sz="0" w:space="0" w:color="auto"/>
                                    <w:bottom w:val="none" w:sz="0" w:space="0" w:color="auto"/>
                                    <w:right w:val="none" w:sz="0" w:space="0" w:color="auto"/>
                                  </w:divBdr>
                                  <w:divsChild>
                                    <w:div w:id="168179281">
                                      <w:marLeft w:val="0"/>
                                      <w:marRight w:val="0"/>
                                      <w:marTop w:val="0"/>
                                      <w:marBottom w:val="0"/>
                                      <w:divBdr>
                                        <w:top w:val="none" w:sz="0" w:space="0" w:color="auto"/>
                                        <w:left w:val="none" w:sz="0" w:space="0" w:color="auto"/>
                                        <w:bottom w:val="none" w:sz="0" w:space="0" w:color="auto"/>
                                        <w:right w:val="none" w:sz="0" w:space="0" w:color="auto"/>
                                      </w:divBdr>
                                      <w:divsChild>
                                        <w:div w:id="434594736">
                                          <w:marLeft w:val="0"/>
                                          <w:marRight w:val="0"/>
                                          <w:marTop w:val="0"/>
                                          <w:marBottom w:val="0"/>
                                          <w:divBdr>
                                            <w:top w:val="none" w:sz="0" w:space="0" w:color="auto"/>
                                            <w:left w:val="none" w:sz="0" w:space="0" w:color="auto"/>
                                            <w:bottom w:val="none" w:sz="0" w:space="0" w:color="auto"/>
                                            <w:right w:val="none" w:sz="0" w:space="0" w:color="auto"/>
                                          </w:divBdr>
                                          <w:divsChild>
                                            <w:div w:id="1203321530">
                                              <w:marLeft w:val="0"/>
                                              <w:marRight w:val="0"/>
                                              <w:marTop w:val="0"/>
                                              <w:marBottom w:val="0"/>
                                              <w:divBdr>
                                                <w:top w:val="none" w:sz="0" w:space="0" w:color="auto"/>
                                                <w:left w:val="none" w:sz="0" w:space="0" w:color="auto"/>
                                                <w:bottom w:val="none" w:sz="0" w:space="0" w:color="auto"/>
                                                <w:right w:val="none" w:sz="0" w:space="0" w:color="auto"/>
                                              </w:divBdr>
                                              <w:divsChild>
                                                <w:div w:id="132685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4687376">
      <w:bodyDiv w:val="1"/>
      <w:marLeft w:val="0"/>
      <w:marRight w:val="0"/>
      <w:marTop w:val="0"/>
      <w:marBottom w:val="0"/>
      <w:divBdr>
        <w:top w:val="none" w:sz="0" w:space="0" w:color="auto"/>
        <w:left w:val="none" w:sz="0" w:space="0" w:color="auto"/>
        <w:bottom w:val="none" w:sz="0" w:space="0" w:color="auto"/>
        <w:right w:val="none" w:sz="0" w:space="0" w:color="auto"/>
      </w:divBdr>
    </w:div>
    <w:div w:id="2125344210">
      <w:bodyDiv w:val="1"/>
      <w:marLeft w:val="0"/>
      <w:marRight w:val="0"/>
      <w:marTop w:val="0"/>
      <w:marBottom w:val="0"/>
      <w:divBdr>
        <w:top w:val="none" w:sz="0" w:space="0" w:color="auto"/>
        <w:left w:val="none" w:sz="0" w:space="0" w:color="auto"/>
        <w:bottom w:val="none" w:sz="0" w:space="0" w:color="auto"/>
        <w:right w:val="none" w:sz="0" w:space="0" w:color="auto"/>
      </w:divBdr>
      <w:divsChild>
        <w:div w:id="1595940262">
          <w:marLeft w:val="0"/>
          <w:marRight w:val="0"/>
          <w:marTop w:val="0"/>
          <w:marBottom w:val="0"/>
          <w:divBdr>
            <w:top w:val="none" w:sz="0" w:space="0" w:color="auto"/>
            <w:left w:val="none" w:sz="0" w:space="0" w:color="auto"/>
            <w:bottom w:val="none" w:sz="0" w:space="0" w:color="auto"/>
            <w:right w:val="none" w:sz="0" w:space="0" w:color="auto"/>
          </w:divBdr>
          <w:divsChild>
            <w:div w:id="641541552">
              <w:marLeft w:val="0"/>
              <w:marRight w:val="0"/>
              <w:marTop w:val="0"/>
              <w:marBottom w:val="0"/>
              <w:divBdr>
                <w:top w:val="none" w:sz="0" w:space="0" w:color="auto"/>
                <w:left w:val="none" w:sz="0" w:space="0" w:color="auto"/>
                <w:bottom w:val="none" w:sz="0" w:space="0" w:color="auto"/>
                <w:right w:val="none" w:sz="0" w:space="0" w:color="auto"/>
              </w:divBdr>
              <w:divsChild>
                <w:div w:id="2107998058">
                  <w:marLeft w:val="0"/>
                  <w:marRight w:val="0"/>
                  <w:marTop w:val="0"/>
                  <w:marBottom w:val="0"/>
                  <w:divBdr>
                    <w:top w:val="none" w:sz="0" w:space="0" w:color="auto"/>
                    <w:left w:val="none" w:sz="0" w:space="0" w:color="auto"/>
                    <w:bottom w:val="none" w:sz="0" w:space="0" w:color="auto"/>
                    <w:right w:val="none" w:sz="0" w:space="0" w:color="auto"/>
                  </w:divBdr>
                  <w:divsChild>
                    <w:div w:id="768962734">
                      <w:marLeft w:val="1"/>
                      <w:marRight w:val="1"/>
                      <w:marTop w:val="0"/>
                      <w:marBottom w:val="0"/>
                      <w:divBdr>
                        <w:top w:val="none" w:sz="0" w:space="0" w:color="auto"/>
                        <w:left w:val="none" w:sz="0" w:space="0" w:color="auto"/>
                        <w:bottom w:val="none" w:sz="0" w:space="0" w:color="auto"/>
                        <w:right w:val="none" w:sz="0" w:space="0" w:color="auto"/>
                      </w:divBdr>
                      <w:divsChild>
                        <w:div w:id="1068117036">
                          <w:marLeft w:val="0"/>
                          <w:marRight w:val="0"/>
                          <w:marTop w:val="0"/>
                          <w:marBottom w:val="0"/>
                          <w:divBdr>
                            <w:top w:val="none" w:sz="0" w:space="0" w:color="auto"/>
                            <w:left w:val="none" w:sz="0" w:space="0" w:color="auto"/>
                            <w:bottom w:val="none" w:sz="0" w:space="0" w:color="auto"/>
                            <w:right w:val="none" w:sz="0" w:space="0" w:color="auto"/>
                          </w:divBdr>
                          <w:divsChild>
                            <w:div w:id="168645122">
                              <w:marLeft w:val="0"/>
                              <w:marRight w:val="0"/>
                              <w:marTop w:val="0"/>
                              <w:marBottom w:val="360"/>
                              <w:divBdr>
                                <w:top w:val="none" w:sz="0" w:space="0" w:color="auto"/>
                                <w:left w:val="none" w:sz="0" w:space="0" w:color="auto"/>
                                <w:bottom w:val="none" w:sz="0" w:space="0" w:color="auto"/>
                                <w:right w:val="none" w:sz="0" w:space="0" w:color="auto"/>
                              </w:divBdr>
                              <w:divsChild>
                                <w:div w:id="1331330501">
                                  <w:marLeft w:val="0"/>
                                  <w:marRight w:val="0"/>
                                  <w:marTop w:val="0"/>
                                  <w:marBottom w:val="0"/>
                                  <w:divBdr>
                                    <w:top w:val="none" w:sz="0" w:space="0" w:color="auto"/>
                                    <w:left w:val="none" w:sz="0" w:space="0" w:color="auto"/>
                                    <w:bottom w:val="none" w:sz="0" w:space="0" w:color="auto"/>
                                    <w:right w:val="none" w:sz="0" w:space="0" w:color="auto"/>
                                  </w:divBdr>
                                  <w:divsChild>
                                    <w:div w:id="1645115115">
                                      <w:marLeft w:val="0"/>
                                      <w:marRight w:val="0"/>
                                      <w:marTop w:val="0"/>
                                      <w:marBottom w:val="0"/>
                                      <w:divBdr>
                                        <w:top w:val="none" w:sz="0" w:space="0" w:color="auto"/>
                                        <w:left w:val="none" w:sz="0" w:space="0" w:color="auto"/>
                                        <w:bottom w:val="none" w:sz="0" w:space="0" w:color="auto"/>
                                        <w:right w:val="none" w:sz="0" w:space="0" w:color="auto"/>
                                      </w:divBdr>
                                      <w:divsChild>
                                        <w:div w:id="393116446">
                                          <w:marLeft w:val="0"/>
                                          <w:marRight w:val="0"/>
                                          <w:marTop w:val="0"/>
                                          <w:marBottom w:val="0"/>
                                          <w:divBdr>
                                            <w:top w:val="none" w:sz="0" w:space="0" w:color="auto"/>
                                            <w:left w:val="none" w:sz="0" w:space="0" w:color="auto"/>
                                            <w:bottom w:val="none" w:sz="0" w:space="0" w:color="auto"/>
                                            <w:right w:val="none" w:sz="0" w:space="0" w:color="auto"/>
                                          </w:divBdr>
                                          <w:divsChild>
                                            <w:div w:id="816991261">
                                              <w:marLeft w:val="0"/>
                                              <w:marRight w:val="0"/>
                                              <w:marTop w:val="0"/>
                                              <w:marBottom w:val="0"/>
                                              <w:divBdr>
                                                <w:top w:val="none" w:sz="0" w:space="0" w:color="auto"/>
                                                <w:left w:val="none" w:sz="0" w:space="0" w:color="auto"/>
                                                <w:bottom w:val="none" w:sz="0" w:space="0" w:color="auto"/>
                                                <w:right w:val="none" w:sz="0" w:space="0" w:color="auto"/>
                                              </w:divBdr>
                                              <w:divsChild>
                                                <w:div w:id="28766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890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D80BB-AF40-4305-A78C-F4B5B754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29</Pages>
  <Words>7719</Words>
  <Characters>70476</Characters>
  <Application>Microsoft Office Word</Application>
  <DocSecurity>0</DocSecurity>
  <Lines>1051</Lines>
  <Paragraphs>291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2018-06-26T13:21:00Z</dcterms:created>
  <dcterms:modified xsi:type="dcterms:W3CDTF">2018-06-28T08:25:00Z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 Build 20171009</vt:lpwstr>
  </property>
  <property fmtid="{D5CDD505-2E9C-101B-9397-08002B2CF9AE}" pid="3" name="Category">
    <vt:lpwstr>COM/PL/ORG</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SJ-023</vt:lpwstr>
  </property>
  <property fmtid="{D5CDD505-2E9C-101B-9397-08002B2CF9AE}" pid="8" name="DQCStatus">
    <vt:lpwstr>Green (DQC version 03)</vt:lpwstr>
  </property>
</Properties>
</file>