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D1B" w:rsidRDefault="00CF5407">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C8F507C-1080-433E-BF19-06CF8C34FE4E" style="width:450.4pt;height:421.95pt">
            <v:imagedata r:id="rId8" o:title=""/>
          </v:shape>
        </w:pict>
      </w:r>
    </w:p>
    <w:p w:rsidR="00652D1B" w:rsidRDefault="00652D1B">
      <w:pPr>
        <w:rPr>
          <w:noProof/>
        </w:rPr>
        <w:sectPr w:rsidR="00652D1B">
          <w:footerReference w:type="default" r:id="rId9"/>
          <w:pgSz w:w="11907" w:h="16839"/>
          <w:pgMar w:top="1134" w:right="1417" w:bottom="1134" w:left="1417" w:header="709" w:footer="709" w:gutter="0"/>
          <w:pgNumType w:start="0"/>
          <w:cols w:space="720"/>
          <w:docGrid w:linePitch="360"/>
        </w:sectPr>
      </w:pPr>
    </w:p>
    <w:p w:rsidR="00652D1B" w:rsidRDefault="00CF5407">
      <w:pPr>
        <w:pStyle w:val="Exposdesmotifstitre"/>
        <w:rPr>
          <w:noProof/>
        </w:rPr>
      </w:pPr>
      <w:r>
        <w:rPr>
          <w:noProof/>
        </w:rPr>
        <w:lastRenderedPageBreak/>
        <w:t>PERUSTELUT</w:t>
      </w:r>
    </w:p>
    <w:p w:rsidR="00652D1B" w:rsidRDefault="00CF5407">
      <w:pPr>
        <w:pStyle w:val="ManualHeading1"/>
        <w:rPr>
          <w:noProof/>
        </w:rPr>
      </w:pPr>
      <w:r>
        <w:rPr>
          <w:noProof/>
        </w:rPr>
        <w:t>1.</w:t>
      </w:r>
      <w:r>
        <w:rPr>
          <w:noProof/>
        </w:rPr>
        <w:tab/>
        <w:t>EHDOTUKSEN TAUSTA</w:t>
      </w:r>
    </w:p>
    <w:p w:rsidR="00652D1B" w:rsidRDefault="00CF5407">
      <w:pPr>
        <w:pStyle w:val="ManualHeading2"/>
        <w:rPr>
          <w:rFonts w:eastAsia="Arial Unicode MS"/>
          <w:noProof/>
        </w:rPr>
      </w:pPr>
      <w:r>
        <w:rPr>
          <w:noProof/>
          <w:color w:val="000000"/>
          <w:u w:color="000000"/>
          <w:bdr w:val="nil"/>
        </w:rPr>
        <w:t>•</w:t>
      </w:r>
      <w:r>
        <w:rPr>
          <w:noProof/>
        </w:rPr>
        <w:tab/>
        <w:t>Ehdotuksen perustelut ja tavoitteet</w:t>
      </w:r>
    </w:p>
    <w:p w:rsidR="00652D1B" w:rsidRDefault="00CF5407">
      <w:pPr>
        <w:pBdr>
          <w:top w:val="nil"/>
          <w:left w:val="nil"/>
          <w:bottom w:val="nil"/>
          <w:right w:val="nil"/>
          <w:between w:val="nil"/>
          <w:bar w:val="nil"/>
        </w:pBdr>
        <w:spacing w:before="0" w:after="240"/>
        <w:rPr>
          <w:noProof/>
        </w:rPr>
      </w:pPr>
      <w:r>
        <w:rPr>
          <w:noProof/>
        </w:rPr>
        <w:t>EU:n sisämarkkinoiden ansiosta ihmiset, palvelut, tavarat ja pääoma voivat liikkua</w:t>
      </w:r>
      <w:r>
        <w:rPr>
          <w:noProof/>
        </w:rPr>
        <w:t xml:space="preserve"> vapaasti taloudessa, jossa vuotuinen bruttokansantuote on 15 biljoonaa euroa. Sisämarkkinat tarjoavat uusia mahdollisuuksia eurooppalaisille yrityksille ja edistävät tervettä kilpailua. Tämän ansiosta yli 500 miljoonaa kuluttajaa voi nauttia suuremmasta v</w:t>
      </w:r>
      <w:r>
        <w:rPr>
          <w:noProof/>
        </w:rPr>
        <w:t>alinnanvarasta, paremmista palveluista ja alhaisemmista hinnoista.</w:t>
      </w:r>
    </w:p>
    <w:p w:rsidR="00652D1B" w:rsidRDefault="00CF5407">
      <w:pPr>
        <w:pBdr>
          <w:top w:val="nil"/>
          <w:left w:val="nil"/>
          <w:bottom w:val="nil"/>
          <w:right w:val="nil"/>
          <w:between w:val="nil"/>
          <w:bar w:val="nil"/>
        </w:pBdr>
        <w:spacing w:before="0" w:after="240"/>
        <w:rPr>
          <w:noProof/>
        </w:rPr>
      </w:pPr>
      <w:r>
        <w:rPr>
          <w:noProof/>
        </w:rPr>
        <w:t xml:space="preserve">Yksi Junckerin komission painopisteistä on luoda syvemmät ja oikeudenmukaisemmat sisämarkkinat. Euroopan komissio julkaisi joulukuussa 2015 vihreän kirjan kuullakseen siitä, voidaanko </w:t>
      </w:r>
      <w:r>
        <w:rPr>
          <w:noProof/>
        </w:rPr>
        <w:t>vähittäisrahoituspalvelujen markkinoita yhdentää pidemmälle ja millä toimilla tähän tavoitteeseen voidaan päästä. Sidosryhmiltä saadun palautteen ja Euroopan parlamentin vihreästä kirjasta laatiman mietinnön</w:t>
      </w:r>
      <w:r>
        <w:rPr>
          <w:rStyle w:val="FootnoteReference"/>
          <w:noProof/>
        </w:rPr>
        <w:footnoteReference w:id="1"/>
      </w:r>
      <w:r>
        <w:rPr>
          <w:noProof/>
        </w:rPr>
        <w:t xml:space="preserve"> pohjalta komissio julkaisi maaliskuussa 2017 to</w:t>
      </w:r>
      <w:r>
        <w:rPr>
          <w:noProof/>
        </w:rPr>
        <w:t>imintasuunnitelman</w:t>
      </w:r>
      <w:r>
        <w:rPr>
          <w:rStyle w:val="FootnoteReference"/>
          <w:noProof/>
        </w:rPr>
        <w:footnoteReference w:id="2"/>
      </w:r>
      <w:r>
        <w:rPr>
          <w:noProof/>
        </w:rPr>
        <w:t>, jossa esitetyn strategian tavoitteena on vahvistaa kuluttajille tarkoitettujen rahoituspalvelujen sisämarkkinoita.</w:t>
      </w:r>
    </w:p>
    <w:p w:rsidR="00652D1B" w:rsidRDefault="00CF5407">
      <w:pPr>
        <w:pBdr>
          <w:top w:val="nil"/>
          <w:left w:val="nil"/>
          <w:bottom w:val="nil"/>
          <w:right w:val="nil"/>
          <w:between w:val="nil"/>
          <w:bar w:val="nil"/>
        </w:pBdr>
        <w:spacing w:before="0" w:after="240"/>
        <w:rPr>
          <w:noProof/>
        </w:rPr>
      </w:pPr>
      <w:r>
        <w:rPr>
          <w:noProof/>
        </w:rPr>
        <w:t>Rajatylittävät maksut ovat olennaisen tärkeitä kuluttajille tarkoitettujen rahoituspalvelujen yhdentämisen ja EU:n talou</w:t>
      </w:r>
      <w:r>
        <w:rPr>
          <w:noProof/>
        </w:rPr>
        <w:t xml:space="preserve">den kannalta. Ne ovat tärkeä yhdysside ihmisten ja yritysten välillä EU:n jäsenvaltioissa. Rajatylittäviin maksuihin liittyvät rajoitukset ja kohtuuttomat kustannukset ovat esteenä sisämarkkinoiden toteuttamiselle. </w:t>
      </w:r>
    </w:p>
    <w:p w:rsidR="00652D1B" w:rsidRDefault="00CF5407">
      <w:pPr>
        <w:pBdr>
          <w:top w:val="nil"/>
          <w:left w:val="nil"/>
          <w:bottom w:val="nil"/>
          <w:right w:val="nil"/>
          <w:between w:val="nil"/>
          <w:bar w:val="nil"/>
        </w:pBdr>
        <w:spacing w:before="0" w:after="240"/>
        <w:rPr>
          <w:b/>
          <w:i/>
          <w:noProof/>
        </w:rPr>
      </w:pPr>
      <w:r>
        <w:rPr>
          <w:b/>
          <w:i/>
          <w:noProof/>
        </w:rPr>
        <w:t>Rajatylittävistä maksuista perittävät pa</w:t>
      </w:r>
      <w:r>
        <w:rPr>
          <w:b/>
          <w:i/>
          <w:noProof/>
        </w:rPr>
        <w:t>lvelumaksut</w:t>
      </w:r>
    </w:p>
    <w:p w:rsidR="00652D1B" w:rsidRDefault="00CF5407">
      <w:pPr>
        <w:pBdr>
          <w:top w:val="nil"/>
          <w:left w:val="nil"/>
          <w:bottom w:val="nil"/>
          <w:right w:val="nil"/>
          <w:between w:val="nil"/>
          <w:bar w:val="nil"/>
        </w:pBdr>
        <w:spacing w:before="0" w:after="240"/>
        <w:rPr>
          <w:noProof/>
        </w:rPr>
      </w:pPr>
      <w:r>
        <w:rPr>
          <w:noProof/>
        </w:rPr>
        <w:t>Euromääräisistä rajatylittävistä maksuista perittävät palvelumaksut on yhdenmukaistettu EU:ssa euromääräisistä kotimaan maksuista (eli euromääräisistä maksuista samassa jäsenvaltiossa) perittävien maksujen kanssa asetu</w:t>
      </w:r>
      <w:bookmarkStart w:id="0" w:name="_GoBack"/>
      <w:bookmarkEnd w:id="0"/>
      <w:r>
        <w:rPr>
          <w:noProof/>
        </w:rPr>
        <w:t xml:space="preserve">ksella (EY) N:o 924/2009. </w:t>
      </w:r>
      <w:r>
        <w:rPr>
          <w:noProof/>
        </w:rPr>
        <w:t>Vaikka tätä asetusta sovelletaan myös euroalueen ulkopuolisiin jäsenvaltioihin, ne eivät ole hyötyneet sen vaikutuksista, sillä näissä jäsenvaltioissa euromääräiset kotimaan maksut ovat edelleen hyvin kalliita tai niitä ei ole lainkaan. Sen vuoksi kansalai</w:t>
      </w:r>
      <w:r>
        <w:rPr>
          <w:noProof/>
        </w:rPr>
        <w:t>set ja yritykset maksavat kyseisissä jäsenvaltioissa suuria palvelumaksuja aina, kun maksu ylittää maan rajan tai kun kansalaiset matkustavat ja maksavat maksuja ulkomailla. Tästä johtuvat suuret kulut haittaavat sisämarkkinoiden toteuttamista ja jakavat m</w:t>
      </w:r>
      <w:r>
        <w:rPr>
          <w:noProof/>
        </w:rPr>
        <w:t xml:space="preserve">aksupalvelunkäyttäjät EU:ssa kahteen eri ryhmään. </w:t>
      </w:r>
    </w:p>
    <w:p w:rsidR="00652D1B" w:rsidRDefault="00CF5407">
      <w:pPr>
        <w:pBdr>
          <w:top w:val="nil"/>
          <w:left w:val="nil"/>
          <w:bottom w:val="nil"/>
          <w:right w:val="nil"/>
          <w:between w:val="nil"/>
          <w:bar w:val="nil"/>
        </w:pBdr>
        <w:spacing w:before="0" w:after="240"/>
        <w:rPr>
          <w:noProof/>
        </w:rPr>
      </w:pPr>
      <w:r>
        <w:rPr>
          <w:noProof/>
        </w:rPr>
        <w:t xml:space="preserve">Euroalueen ulkopuolisille jäsenvaltioille annettiin mahdollisuus ulottaa asetus (EY) N:o 2560/2001 ja sen seuraaja-asetus (EY) N:o 924/2009 koskemaan niiden kansallisia valuuttoja, mutta ainoastaan Ruotsi </w:t>
      </w:r>
      <w:r>
        <w:rPr>
          <w:noProof/>
        </w:rPr>
        <w:t>käytti tätä mahdollisuutta hyväkseen yhdenmukaistamalla kruunumääräisten rajatylittävien maksujen palvelumaksut kruunumääräisten kotimaan maksujen palvelumaksujen kanssa.</w:t>
      </w:r>
    </w:p>
    <w:p w:rsidR="00652D1B" w:rsidRDefault="00CF5407">
      <w:pPr>
        <w:spacing w:before="0" w:after="240"/>
        <w:rPr>
          <w:noProof/>
        </w:rPr>
      </w:pPr>
      <w:r>
        <w:rPr>
          <w:noProof/>
        </w:rPr>
        <w:t>Tämän ehdotuksen tavoitteena on tuoda asetuksen (EY) N:o 924/2009 tarjoamat edut euro</w:t>
      </w:r>
      <w:r>
        <w:rPr>
          <w:noProof/>
        </w:rPr>
        <w:t>alueen ulkopuolisten jäsenvaltioiden kansalaisten ja yritysten ulottuville ja laittaa piste EU:n sisäisiin euromääräisiin rajatylittäviin maksutapahtumiin liittyville suurille kuluille, jotka haittaavat euroalueen ja sen ulkopuolisten jäsenvaltioiden välis</w:t>
      </w:r>
      <w:r>
        <w:rPr>
          <w:noProof/>
        </w:rPr>
        <w:t xml:space="preserve">iä vaihtoja ja vaikuttavat kielteisesti kumpaankin alueeseen. Kansalaiset ja yritykset joutuvat euroalueen ulkopuolella </w:t>
      </w:r>
      <w:r>
        <w:rPr>
          <w:noProof/>
        </w:rPr>
        <w:lastRenderedPageBreak/>
        <w:t>maksamaan enemmän päästäkseen euroalueen markkinoille tai ollakseen kanssakäymisissä euroalueen kansalaisten kanssa, minkä vuoksi he tai</w:t>
      </w:r>
      <w:r>
        <w:rPr>
          <w:noProof/>
        </w:rPr>
        <w:t xml:space="preserve"> ne eivät voi käydä kauppaa tai kilpailla samoilla ehdoilla euroalueen kansalaisten ja yritysten kanssa. Esimerkiksi, jos euroalueen ulkopuolisella yrityksellä on toimittajia euroalueella, sen tuotantokustannukset ovat suuremmat kuin sen euroalueelle sijoi</w:t>
      </w:r>
      <w:r>
        <w:rPr>
          <w:noProof/>
        </w:rPr>
        <w:t>ttautuneella kilpailijalla. Vastaavasti tämä vapaata liikkuvuutta ja kauppaa haittaava lisäeste rajoittaa euroalueen yritysten mahdollisten asiakkaiden määrää. Jäljempänä olevat taulukot kuvaavat nykyistä tilannetta ja tilannetta muutetun asetuksen sovelta</w:t>
      </w:r>
      <w:r>
        <w:rPr>
          <w:noProof/>
        </w:rPr>
        <w:t>misen jälkeen.</w:t>
      </w:r>
    </w:p>
    <w:p w:rsidR="00652D1B" w:rsidRDefault="00CF5407">
      <w:pPr>
        <w:spacing w:before="0" w:after="240"/>
        <w:rPr>
          <w:noProof/>
        </w:rPr>
      </w:pPr>
      <w:r>
        <w:rPr>
          <w:noProof/>
        </w:rPr>
        <w:t>Ehdotus koskee ainoastaan euromääräisiä eikä muiden valuuttojen määräisiä rajatylittäviä maksutapahtumia.</w:t>
      </w:r>
    </w:p>
    <w:p w:rsidR="00652D1B" w:rsidRDefault="00CF5407">
      <w:pPr>
        <w:keepNext/>
        <w:spacing w:before="0" w:after="200" w:line="276" w:lineRule="auto"/>
        <w:jc w:val="center"/>
        <w:rPr>
          <w:rFonts w:eastAsia="Arial Unicode MS"/>
          <w:b/>
          <w:noProof/>
        </w:rPr>
      </w:pPr>
      <w:r>
        <w:rPr>
          <w:b/>
          <w:noProof/>
        </w:rPr>
        <w:t>NYKYTILANNE</w:t>
      </w:r>
    </w:p>
    <w:tbl>
      <w:tblPr>
        <w:tblStyle w:val="TableGrid"/>
        <w:tblW w:w="0" w:type="auto"/>
        <w:tblLayout w:type="fixed"/>
        <w:tblLook w:val="04A0" w:firstRow="1" w:lastRow="0" w:firstColumn="1" w:lastColumn="0" w:noHBand="0" w:noVBand="1"/>
      </w:tblPr>
      <w:tblGrid>
        <w:gridCol w:w="2660"/>
        <w:gridCol w:w="1559"/>
        <w:gridCol w:w="2383"/>
        <w:gridCol w:w="2687"/>
      </w:tblGrid>
      <w:tr w:rsidR="00652D1B">
        <w:tc>
          <w:tcPr>
            <w:tcW w:w="2660" w:type="dxa"/>
            <w:tcBorders>
              <w:tl2br w:val="single" w:sz="12" w:space="0" w:color="auto"/>
            </w:tcBorders>
          </w:tcPr>
          <w:p w:rsidR="00652D1B" w:rsidRDefault="00CF5407">
            <w:pPr>
              <w:keepNext/>
              <w:spacing w:before="0" w:after="200" w:line="276" w:lineRule="auto"/>
              <w:jc w:val="center"/>
              <w:rPr>
                <w:noProof/>
                <w:sz w:val="22"/>
              </w:rPr>
            </w:pPr>
            <w:r>
              <w:rPr>
                <w:noProof/>
                <w:sz w:val="22"/>
              </w:rPr>
              <w:t>EURO</w:t>
            </w:r>
            <w:r>
              <w:rPr>
                <w:noProof/>
                <w:sz w:val="22"/>
              </w:rPr>
              <w:softHyphen/>
              <w:t>MÄÄRÄISET MAKSUT ALUEELTA…</w:t>
            </w:r>
          </w:p>
          <w:p w:rsidR="00652D1B" w:rsidRDefault="00652D1B">
            <w:pPr>
              <w:keepNext/>
              <w:spacing w:before="0" w:after="200" w:line="276" w:lineRule="auto"/>
              <w:jc w:val="center"/>
              <w:rPr>
                <w:noProof/>
                <w:sz w:val="22"/>
              </w:rPr>
            </w:pPr>
          </w:p>
          <w:p w:rsidR="00652D1B" w:rsidRDefault="00CF5407">
            <w:pPr>
              <w:keepNext/>
              <w:spacing w:before="0" w:after="200" w:line="276" w:lineRule="auto"/>
              <w:jc w:val="center"/>
              <w:rPr>
                <w:rFonts w:eastAsia="Arial Unicode MS"/>
                <w:b/>
                <w:noProof/>
              </w:rPr>
            </w:pPr>
            <w:r>
              <w:rPr>
                <w:noProof/>
                <w:sz w:val="22"/>
              </w:rPr>
              <w:t>ALUEELLE...</w:t>
            </w:r>
          </w:p>
        </w:tc>
        <w:tc>
          <w:tcPr>
            <w:tcW w:w="3942" w:type="dxa"/>
            <w:gridSpan w:val="2"/>
            <w:shd w:val="clear" w:color="auto" w:fill="F2F2F2" w:themeFill="background1" w:themeFillShade="F2"/>
            <w:vAlign w:val="center"/>
          </w:tcPr>
          <w:p w:rsidR="00652D1B" w:rsidRDefault="00CF5407">
            <w:pPr>
              <w:keepNext/>
              <w:spacing w:before="0" w:after="200" w:line="276" w:lineRule="auto"/>
              <w:jc w:val="center"/>
              <w:rPr>
                <w:rFonts w:eastAsia="Arial Unicode MS"/>
                <w:b/>
                <w:noProof/>
              </w:rPr>
            </w:pPr>
            <w:r>
              <w:rPr>
                <w:noProof/>
              </w:rPr>
              <w:t>Euroalue (+ Ruotsi)</w:t>
            </w:r>
            <w:r>
              <w:rPr>
                <w:rStyle w:val="FootnoteReference"/>
                <w:noProof/>
              </w:rPr>
              <w:footnoteReference w:id="3"/>
            </w:r>
          </w:p>
        </w:tc>
        <w:tc>
          <w:tcPr>
            <w:tcW w:w="2687" w:type="dxa"/>
            <w:shd w:val="clear" w:color="auto" w:fill="F2F2F2" w:themeFill="background1" w:themeFillShade="F2"/>
            <w:vAlign w:val="center"/>
          </w:tcPr>
          <w:p w:rsidR="00652D1B" w:rsidRDefault="00CF5407">
            <w:pPr>
              <w:keepNext/>
              <w:spacing w:before="0" w:after="200" w:line="276" w:lineRule="auto"/>
              <w:jc w:val="center"/>
              <w:rPr>
                <w:rFonts w:eastAsia="Arial Unicode MS"/>
                <w:b/>
                <w:noProof/>
              </w:rPr>
            </w:pPr>
            <w:r>
              <w:rPr>
                <w:noProof/>
              </w:rPr>
              <w:t>Euroalueen ulkopuoliset jäsenvaltiot</w:t>
            </w:r>
          </w:p>
        </w:tc>
      </w:tr>
      <w:tr w:rsidR="00652D1B">
        <w:tc>
          <w:tcPr>
            <w:tcW w:w="2660" w:type="dxa"/>
            <w:shd w:val="clear" w:color="auto" w:fill="F2F2F2" w:themeFill="background1" w:themeFillShade="F2"/>
            <w:vAlign w:val="center"/>
          </w:tcPr>
          <w:p w:rsidR="00652D1B" w:rsidRDefault="00CF5407">
            <w:pPr>
              <w:keepNext/>
              <w:spacing w:before="0" w:after="0" w:line="276" w:lineRule="auto"/>
              <w:jc w:val="center"/>
              <w:rPr>
                <w:rFonts w:eastAsia="Arial Unicode MS"/>
                <w:b/>
                <w:noProof/>
              </w:rPr>
            </w:pPr>
            <w:r>
              <w:rPr>
                <w:noProof/>
              </w:rPr>
              <w:t>Euroalue (+ Ruotsi)</w:t>
            </w:r>
          </w:p>
        </w:tc>
        <w:tc>
          <w:tcPr>
            <w:tcW w:w="3942" w:type="dxa"/>
            <w:gridSpan w:val="2"/>
            <w:shd w:val="clear" w:color="auto" w:fill="D6E3BC" w:themeFill="accent3" w:themeFillTint="66"/>
            <w:vAlign w:val="center"/>
          </w:tcPr>
          <w:p w:rsidR="00652D1B" w:rsidRDefault="00CF5407">
            <w:pPr>
              <w:keepNext/>
              <w:spacing w:before="0" w:after="0" w:line="276" w:lineRule="auto"/>
              <w:jc w:val="center"/>
              <w:rPr>
                <w:rFonts w:eastAsia="Arial Unicode MS"/>
                <w:b/>
                <w:noProof/>
                <w:szCs w:val="24"/>
              </w:rPr>
            </w:pPr>
            <w:r>
              <w:rPr>
                <w:noProof/>
                <w:color w:val="92D050"/>
                <w:szCs w:val="24"/>
              </w:rPr>
              <w:t>EI PALVELUMAKSUJA / PIENET PALVELUMAKSUT</w:t>
            </w:r>
          </w:p>
        </w:tc>
        <w:tc>
          <w:tcPr>
            <w:tcW w:w="2687" w:type="dxa"/>
            <w:shd w:val="clear" w:color="auto" w:fill="F2DBDB" w:themeFill="accent2" w:themeFillTint="33"/>
            <w:vAlign w:val="center"/>
          </w:tcPr>
          <w:p w:rsidR="00652D1B" w:rsidRDefault="00CF5407">
            <w:pPr>
              <w:keepNext/>
              <w:spacing w:before="0" w:after="0" w:line="276" w:lineRule="auto"/>
              <w:jc w:val="center"/>
              <w:rPr>
                <w:rFonts w:eastAsia="Arial Unicode MS"/>
                <w:b/>
                <w:noProof/>
                <w:szCs w:val="24"/>
              </w:rPr>
            </w:pPr>
            <w:r>
              <w:rPr>
                <w:noProof/>
                <w:color w:val="FF0000"/>
                <w:szCs w:val="24"/>
              </w:rPr>
              <w:t>SUURET PALVELUMAKSUT</w:t>
            </w:r>
          </w:p>
        </w:tc>
      </w:tr>
      <w:tr w:rsidR="00652D1B">
        <w:tc>
          <w:tcPr>
            <w:tcW w:w="2660" w:type="dxa"/>
            <w:shd w:val="clear" w:color="auto" w:fill="F2F2F2" w:themeFill="background1" w:themeFillShade="F2"/>
            <w:vAlign w:val="center"/>
          </w:tcPr>
          <w:p w:rsidR="00652D1B" w:rsidRDefault="00CF5407">
            <w:pPr>
              <w:keepNext/>
              <w:spacing w:before="0" w:after="0" w:line="276" w:lineRule="auto"/>
              <w:jc w:val="center"/>
              <w:rPr>
                <w:rFonts w:eastAsia="Arial Unicode MS"/>
                <w:b/>
                <w:noProof/>
              </w:rPr>
            </w:pPr>
            <w:r>
              <w:rPr>
                <w:noProof/>
              </w:rPr>
              <w:t>Euroalueen ulkopuoliset jäsenvaltiot</w:t>
            </w:r>
          </w:p>
        </w:tc>
        <w:tc>
          <w:tcPr>
            <w:tcW w:w="1559" w:type="dxa"/>
            <w:shd w:val="clear" w:color="auto" w:fill="D6E3BC" w:themeFill="accent3" w:themeFillTint="66"/>
            <w:vAlign w:val="center"/>
          </w:tcPr>
          <w:p w:rsidR="00652D1B" w:rsidRDefault="00CF5407">
            <w:pPr>
              <w:keepNext/>
              <w:spacing w:before="0" w:after="0" w:line="276" w:lineRule="auto"/>
              <w:jc w:val="center"/>
              <w:rPr>
                <w:rFonts w:eastAsia="Arial Unicode MS"/>
                <w:b/>
                <w:noProof/>
                <w:szCs w:val="24"/>
              </w:rPr>
            </w:pPr>
            <w:r>
              <w:rPr>
                <w:noProof/>
                <w:color w:val="92D050"/>
                <w:szCs w:val="24"/>
              </w:rPr>
              <w:t>EI PALVELU</w:t>
            </w:r>
            <w:r>
              <w:rPr>
                <w:noProof/>
                <w:color w:val="92D050"/>
                <w:szCs w:val="24"/>
              </w:rPr>
              <w:softHyphen/>
              <w:t>MAKSUJA / PIENET PALVELU</w:t>
            </w:r>
            <w:r>
              <w:rPr>
                <w:noProof/>
                <w:color w:val="92D050"/>
                <w:szCs w:val="24"/>
              </w:rPr>
              <w:softHyphen/>
              <w:t>MAKSUT LÄHETTÄ</w:t>
            </w:r>
            <w:r>
              <w:rPr>
                <w:noProof/>
                <w:color w:val="92D050"/>
                <w:szCs w:val="24"/>
              </w:rPr>
              <w:softHyphen/>
              <w:t>JÄLLE</w:t>
            </w:r>
          </w:p>
        </w:tc>
        <w:tc>
          <w:tcPr>
            <w:tcW w:w="2383" w:type="dxa"/>
            <w:shd w:val="clear" w:color="auto" w:fill="F2DBDB" w:themeFill="accent2" w:themeFillTint="33"/>
            <w:vAlign w:val="center"/>
          </w:tcPr>
          <w:p w:rsidR="00652D1B" w:rsidRDefault="00CF5407">
            <w:pPr>
              <w:keepNext/>
              <w:spacing w:before="0" w:after="0" w:line="276" w:lineRule="auto"/>
              <w:jc w:val="center"/>
              <w:rPr>
                <w:rFonts w:eastAsia="Arial Unicode MS"/>
                <w:b/>
                <w:noProof/>
                <w:szCs w:val="24"/>
              </w:rPr>
            </w:pPr>
            <w:r>
              <w:rPr>
                <w:noProof/>
                <w:color w:val="FF0000"/>
                <w:szCs w:val="24"/>
              </w:rPr>
              <w:t>SUURET PALVELUMAKSUT VASTAANOTTA</w:t>
            </w:r>
            <w:r>
              <w:rPr>
                <w:noProof/>
                <w:color w:val="FF0000"/>
                <w:szCs w:val="24"/>
              </w:rPr>
              <w:softHyphen/>
              <w:t>JALLE</w:t>
            </w:r>
          </w:p>
        </w:tc>
        <w:tc>
          <w:tcPr>
            <w:tcW w:w="2687" w:type="dxa"/>
            <w:shd w:val="clear" w:color="auto" w:fill="F2DBDB" w:themeFill="accent2" w:themeFillTint="33"/>
            <w:vAlign w:val="center"/>
          </w:tcPr>
          <w:p w:rsidR="00652D1B" w:rsidRDefault="00652D1B">
            <w:pPr>
              <w:keepNext/>
              <w:spacing w:before="0" w:after="0" w:line="276" w:lineRule="auto"/>
              <w:jc w:val="center"/>
              <w:rPr>
                <w:noProof/>
                <w:color w:val="FF0000"/>
                <w:szCs w:val="24"/>
              </w:rPr>
            </w:pPr>
          </w:p>
          <w:p w:rsidR="00652D1B" w:rsidRDefault="00CF5407">
            <w:pPr>
              <w:keepNext/>
              <w:spacing w:before="0" w:after="0" w:line="276" w:lineRule="auto"/>
              <w:jc w:val="center"/>
              <w:rPr>
                <w:rFonts w:eastAsia="Arial Unicode MS"/>
                <w:b/>
                <w:noProof/>
                <w:szCs w:val="24"/>
              </w:rPr>
            </w:pPr>
            <w:r>
              <w:rPr>
                <w:noProof/>
                <w:color w:val="FF0000"/>
                <w:szCs w:val="24"/>
              </w:rPr>
              <w:t>SUURET PALVELUMAKSUT</w:t>
            </w:r>
          </w:p>
        </w:tc>
      </w:tr>
    </w:tbl>
    <w:p w:rsidR="00652D1B" w:rsidRDefault="00652D1B">
      <w:pPr>
        <w:spacing w:before="0" w:after="200" w:line="276" w:lineRule="auto"/>
        <w:jc w:val="left"/>
        <w:rPr>
          <w:rFonts w:asciiTheme="minorHAnsi" w:hAnsiTheme="minorHAnsi" w:cstheme="minorBidi"/>
          <w:noProof/>
          <w:sz w:val="22"/>
        </w:rPr>
      </w:pPr>
    </w:p>
    <w:p w:rsidR="00652D1B" w:rsidRDefault="00CF5407">
      <w:pPr>
        <w:spacing w:before="0" w:after="240"/>
        <w:rPr>
          <w:noProof/>
        </w:rPr>
      </w:pPr>
      <w:r>
        <w:rPr>
          <w:noProof/>
        </w:rPr>
        <w:t xml:space="preserve">Esimerkiksi henkilö tai yritys, </w:t>
      </w:r>
      <w:r>
        <w:rPr>
          <w:noProof/>
        </w:rPr>
        <w:t>joka lähettää 500 euroa Bulgariasta Suomeen</w:t>
      </w:r>
      <w:r>
        <w:rPr>
          <w:rStyle w:val="FootnoteReference"/>
          <w:noProof/>
        </w:rPr>
        <w:footnoteReference w:id="4"/>
      </w:r>
      <w:r>
        <w:rPr>
          <w:noProof/>
        </w:rPr>
        <w:t>, voi nykyään joutua maksamaan jopa 24 euron suuruiset palvelumaksut, kun taas henkilön, joka lähettää saman summan Ranskasta Suomeen, ei tarvitse maksa mitään tai juuri mitään palvelumaksuja</w:t>
      </w:r>
      <w:r>
        <w:rPr>
          <w:rStyle w:val="FootnoteReference"/>
          <w:noProof/>
        </w:rPr>
        <w:footnoteReference w:id="5"/>
      </w:r>
      <w:r>
        <w:rPr>
          <w:noProof/>
        </w:rPr>
        <w:t>. Ranskasta maksun s</w:t>
      </w:r>
      <w:r>
        <w:rPr>
          <w:noProof/>
        </w:rPr>
        <w:t>uorittava henkilö maksaa saman määrän kuin hän maksaisi kotimaan tilisiirrosta Ranskassa.</w:t>
      </w:r>
    </w:p>
    <w:p w:rsidR="00652D1B" w:rsidRDefault="00652D1B">
      <w:pPr>
        <w:spacing w:before="0" w:after="240"/>
        <w:rPr>
          <w:noProof/>
        </w:rPr>
      </w:pPr>
    </w:p>
    <w:p w:rsidR="00652D1B" w:rsidRDefault="00CF5407">
      <w:pPr>
        <w:keepNext/>
        <w:spacing w:before="0" w:after="200" w:line="276" w:lineRule="auto"/>
        <w:jc w:val="center"/>
        <w:rPr>
          <w:rFonts w:eastAsia="Arial Unicode MS"/>
          <w:b/>
          <w:noProof/>
        </w:rPr>
      </w:pPr>
      <w:r>
        <w:rPr>
          <w:b/>
          <w:noProof/>
        </w:rPr>
        <w:lastRenderedPageBreak/>
        <w:t>EHDOTETTUJEN MUUTOSTEN JÄLKEEN</w:t>
      </w:r>
    </w:p>
    <w:tbl>
      <w:tblPr>
        <w:tblStyle w:val="TableGrid"/>
        <w:tblW w:w="0" w:type="auto"/>
        <w:tblLook w:val="04A0" w:firstRow="1" w:lastRow="0" w:firstColumn="1" w:lastColumn="0" w:noHBand="0" w:noVBand="1"/>
      </w:tblPr>
      <w:tblGrid>
        <w:gridCol w:w="3365"/>
        <w:gridCol w:w="2962"/>
        <w:gridCol w:w="2962"/>
      </w:tblGrid>
      <w:tr w:rsidR="00652D1B">
        <w:tc>
          <w:tcPr>
            <w:tcW w:w="3948" w:type="dxa"/>
            <w:tcBorders>
              <w:tl2br w:val="single" w:sz="12" w:space="0" w:color="auto"/>
            </w:tcBorders>
          </w:tcPr>
          <w:p w:rsidR="00652D1B" w:rsidRDefault="00CF5407">
            <w:pPr>
              <w:keepNext/>
              <w:spacing w:before="0" w:after="200" w:line="276" w:lineRule="auto"/>
              <w:jc w:val="center"/>
              <w:rPr>
                <w:noProof/>
              </w:rPr>
            </w:pPr>
            <w:r>
              <w:rPr>
                <w:noProof/>
              </w:rPr>
              <w:t>EUROMÄÄRÄISET MAKSUT ALUEELTA…</w:t>
            </w:r>
          </w:p>
          <w:p w:rsidR="00652D1B" w:rsidRDefault="00CF5407">
            <w:pPr>
              <w:rPr>
                <w:noProof/>
              </w:rPr>
            </w:pPr>
            <w:r>
              <w:rPr>
                <w:noProof/>
              </w:rPr>
              <w:t>ALUEELLE...</w:t>
            </w:r>
          </w:p>
          <w:p w:rsidR="00652D1B" w:rsidRDefault="00652D1B">
            <w:pPr>
              <w:keepNext/>
              <w:spacing w:before="0" w:after="200" w:line="276" w:lineRule="auto"/>
              <w:jc w:val="center"/>
              <w:rPr>
                <w:rFonts w:eastAsia="Arial Unicode MS"/>
                <w:b/>
                <w:noProof/>
              </w:rPr>
            </w:pPr>
          </w:p>
        </w:tc>
        <w:tc>
          <w:tcPr>
            <w:tcW w:w="2640" w:type="dxa"/>
            <w:shd w:val="clear" w:color="auto" w:fill="F2F2F2" w:themeFill="background1" w:themeFillShade="F2"/>
            <w:vAlign w:val="center"/>
          </w:tcPr>
          <w:p w:rsidR="00652D1B" w:rsidRDefault="00CF5407">
            <w:pPr>
              <w:keepNext/>
              <w:spacing w:before="0" w:after="200" w:line="276" w:lineRule="auto"/>
              <w:jc w:val="center"/>
              <w:rPr>
                <w:rFonts w:eastAsia="Arial Unicode MS"/>
                <w:b/>
                <w:noProof/>
              </w:rPr>
            </w:pPr>
            <w:r>
              <w:rPr>
                <w:noProof/>
              </w:rPr>
              <w:t>Euroalue (+ Ruotsi)</w:t>
            </w:r>
          </w:p>
        </w:tc>
        <w:tc>
          <w:tcPr>
            <w:tcW w:w="2701" w:type="dxa"/>
            <w:shd w:val="clear" w:color="auto" w:fill="F2F2F2" w:themeFill="background1" w:themeFillShade="F2"/>
            <w:vAlign w:val="center"/>
          </w:tcPr>
          <w:p w:rsidR="00652D1B" w:rsidRDefault="00CF5407">
            <w:pPr>
              <w:keepNext/>
              <w:spacing w:before="0" w:after="200" w:line="276" w:lineRule="auto"/>
              <w:jc w:val="center"/>
              <w:rPr>
                <w:rFonts w:eastAsia="Arial Unicode MS"/>
                <w:b/>
                <w:noProof/>
              </w:rPr>
            </w:pPr>
            <w:r>
              <w:rPr>
                <w:noProof/>
              </w:rPr>
              <w:t>Euroalueen ulkopuoliset jäsenvaltiot</w:t>
            </w:r>
          </w:p>
        </w:tc>
      </w:tr>
      <w:tr w:rsidR="00652D1B">
        <w:tc>
          <w:tcPr>
            <w:tcW w:w="3948" w:type="dxa"/>
            <w:shd w:val="clear" w:color="auto" w:fill="F2F2F2" w:themeFill="background1" w:themeFillShade="F2"/>
            <w:vAlign w:val="center"/>
          </w:tcPr>
          <w:p w:rsidR="00652D1B" w:rsidRDefault="00CF5407">
            <w:pPr>
              <w:keepNext/>
              <w:spacing w:before="0" w:after="0" w:line="276" w:lineRule="auto"/>
              <w:jc w:val="center"/>
              <w:rPr>
                <w:rFonts w:eastAsia="Arial Unicode MS"/>
                <w:b/>
                <w:noProof/>
              </w:rPr>
            </w:pPr>
            <w:r>
              <w:rPr>
                <w:noProof/>
                <w:sz w:val="22"/>
              </w:rPr>
              <w:t>Euroalue (+ Ruotsi)</w:t>
            </w:r>
          </w:p>
        </w:tc>
        <w:tc>
          <w:tcPr>
            <w:tcW w:w="2640" w:type="dxa"/>
            <w:shd w:val="clear" w:color="auto" w:fill="D6E3BC" w:themeFill="accent3" w:themeFillTint="66"/>
            <w:vAlign w:val="center"/>
          </w:tcPr>
          <w:p w:rsidR="00652D1B" w:rsidRDefault="00CF5407">
            <w:pPr>
              <w:keepNext/>
              <w:spacing w:before="0" w:after="0" w:line="276" w:lineRule="auto"/>
              <w:jc w:val="center"/>
              <w:rPr>
                <w:rFonts w:eastAsia="Arial Unicode MS"/>
                <w:b/>
                <w:noProof/>
                <w:sz w:val="28"/>
              </w:rPr>
            </w:pPr>
            <w:r>
              <w:rPr>
                <w:noProof/>
                <w:color w:val="92D050"/>
                <w:sz w:val="28"/>
              </w:rPr>
              <w:t xml:space="preserve">EI </w:t>
            </w:r>
            <w:r>
              <w:rPr>
                <w:noProof/>
                <w:color w:val="92D050"/>
                <w:sz w:val="28"/>
              </w:rPr>
              <w:t>PALVELUMAKSUJA / PIENET PALVELUMAKSUT</w:t>
            </w:r>
          </w:p>
        </w:tc>
        <w:tc>
          <w:tcPr>
            <w:tcW w:w="2701" w:type="dxa"/>
            <w:shd w:val="clear" w:color="auto" w:fill="D6E3BC" w:themeFill="accent3" w:themeFillTint="66"/>
            <w:vAlign w:val="center"/>
          </w:tcPr>
          <w:p w:rsidR="00652D1B" w:rsidRDefault="00CF5407">
            <w:pPr>
              <w:keepNext/>
              <w:spacing w:before="0" w:after="0" w:line="276" w:lineRule="auto"/>
              <w:jc w:val="center"/>
              <w:rPr>
                <w:rFonts w:eastAsia="Arial Unicode MS"/>
                <w:b/>
                <w:noProof/>
                <w:sz w:val="28"/>
              </w:rPr>
            </w:pPr>
            <w:r>
              <w:rPr>
                <w:noProof/>
                <w:color w:val="92D050"/>
                <w:sz w:val="28"/>
              </w:rPr>
              <w:t>EI PALVELUMAKSUJA / PIENET PALVELUMAKSUT</w:t>
            </w:r>
          </w:p>
        </w:tc>
      </w:tr>
      <w:tr w:rsidR="00652D1B">
        <w:tc>
          <w:tcPr>
            <w:tcW w:w="3948" w:type="dxa"/>
            <w:shd w:val="clear" w:color="auto" w:fill="F2F2F2" w:themeFill="background1" w:themeFillShade="F2"/>
            <w:vAlign w:val="center"/>
          </w:tcPr>
          <w:p w:rsidR="00652D1B" w:rsidRDefault="00CF5407">
            <w:pPr>
              <w:keepNext/>
              <w:spacing w:before="0" w:after="0" w:line="276" w:lineRule="auto"/>
              <w:jc w:val="center"/>
              <w:rPr>
                <w:rFonts w:eastAsia="Arial Unicode MS"/>
                <w:b/>
                <w:noProof/>
              </w:rPr>
            </w:pPr>
            <w:r>
              <w:rPr>
                <w:noProof/>
                <w:sz w:val="22"/>
              </w:rPr>
              <w:t>Euroalueen ulkopuoliset jäsenvaltiot</w:t>
            </w:r>
          </w:p>
        </w:tc>
        <w:tc>
          <w:tcPr>
            <w:tcW w:w="2640" w:type="dxa"/>
            <w:shd w:val="clear" w:color="auto" w:fill="D6E3BC" w:themeFill="accent3" w:themeFillTint="66"/>
            <w:vAlign w:val="center"/>
          </w:tcPr>
          <w:p w:rsidR="00652D1B" w:rsidRDefault="00CF5407">
            <w:pPr>
              <w:keepNext/>
              <w:spacing w:before="0" w:after="0" w:line="276" w:lineRule="auto"/>
              <w:jc w:val="center"/>
              <w:rPr>
                <w:rFonts w:eastAsia="Arial Unicode MS"/>
                <w:b/>
                <w:noProof/>
                <w:sz w:val="28"/>
              </w:rPr>
            </w:pPr>
            <w:r>
              <w:rPr>
                <w:noProof/>
                <w:color w:val="92D050"/>
                <w:sz w:val="28"/>
              </w:rPr>
              <w:t>EI PALVELUMAKSUJA / PIENET PALVELUMAKSUT</w:t>
            </w:r>
          </w:p>
        </w:tc>
        <w:tc>
          <w:tcPr>
            <w:tcW w:w="2701" w:type="dxa"/>
            <w:shd w:val="clear" w:color="auto" w:fill="D6E3BC" w:themeFill="accent3" w:themeFillTint="66"/>
            <w:vAlign w:val="center"/>
          </w:tcPr>
          <w:p w:rsidR="00652D1B" w:rsidRDefault="00CF5407">
            <w:pPr>
              <w:keepNext/>
              <w:spacing w:before="0" w:after="0" w:line="276" w:lineRule="auto"/>
              <w:jc w:val="center"/>
              <w:rPr>
                <w:rFonts w:eastAsia="Arial Unicode MS"/>
                <w:b/>
                <w:noProof/>
                <w:sz w:val="28"/>
              </w:rPr>
            </w:pPr>
            <w:r>
              <w:rPr>
                <w:noProof/>
                <w:color w:val="92D050"/>
                <w:sz w:val="28"/>
              </w:rPr>
              <w:t>EI PALVELUMAKSUJA / PIENET PALVELUMAKSUT</w:t>
            </w:r>
          </w:p>
        </w:tc>
      </w:tr>
    </w:tbl>
    <w:p w:rsidR="00652D1B" w:rsidRDefault="00652D1B">
      <w:pPr>
        <w:keepNext/>
        <w:spacing w:before="0" w:after="200" w:line="276" w:lineRule="auto"/>
        <w:jc w:val="center"/>
        <w:rPr>
          <w:rFonts w:eastAsia="Arial Unicode MS"/>
          <w:b/>
          <w:noProof/>
        </w:rPr>
      </w:pPr>
    </w:p>
    <w:p w:rsidR="00652D1B" w:rsidRDefault="00CF5407">
      <w:pPr>
        <w:pBdr>
          <w:top w:val="nil"/>
          <w:left w:val="nil"/>
          <w:bottom w:val="nil"/>
          <w:right w:val="nil"/>
          <w:between w:val="nil"/>
          <w:bar w:val="nil"/>
        </w:pBdr>
        <w:spacing w:before="0" w:after="240"/>
        <w:rPr>
          <w:noProof/>
        </w:rPr>
      </w:pPr>
      <w:r>
        <w:rPr>
          <w:noProof/>
        </w:rPr>
        <w:t xml:space="preserve">Ehdotettujen muutosten ansiosta henkilö tai yritys, </w:t>
      </w:r>
      <w:r>
        <w:rPr>
          <w:noProof/>
        </w:rPr>
        <w:t>joka lähettää euroja Bulgariasta, ei maksaisi tässäkään tapauksessa mitään tai juuri mitään palvelumaksuja. Maksaja maksaisi samat palvelumaksut eurojen lähettämisestä Suomeen kuin leveinä suoritettavasta kotimaan tilisiirrosta Bulgariassa.</w:t>
      </w:r>
    </w:p>
    <w:p w:rsidR="00652D1B" w:rsidRDefault="00CF5407">
      <w:pPr>
        <w:keepNext/>
        <w:pBdr>
          <w:top w:val="nil"/>
          <w:left w:val="nil"/>
          <w:bottom w:val="nil"/>
          <w:right w:val="nil"/>
          <w:between w:val="nil"/>
          <w:bar w:val="nil"/>
        </w:pBdr>
        <w:spacing w:before="0" w:after="240"/>
        <w:rPr>
          <w:b/>
          <w:i/>
          <w:noProof/>
        </w:rPr>
      </w:pPr>
      <w:r>
        <w:rPr>
          <w:b/>
          <w:i/>
          <w:noProof/>
        </w:rPr>
        <w:t>Valuutanmuuntok</w:t>
      </w:r>
      <w:r>
        <w:rPr>
          <w:b/>
          <w:i/>
          <w:noProof/>
        </w:rPr>
        <w:t>äytäntöihin liittyvät läpinäkyvyysvaatimukset</w:t>
      </w:r>
    </w:p>
    <w:p w:rsidR="00652D1B" w:rsidRDefault="00CF5407">
      <w:pPr>
        <w:pBdr>
          <w:top w:val="nil"/>
          <w:left w:val="nil"/>
          <w:bottom w:val="nil"/>
          <w:right w:val="nil"/>
          <w:between w:val="nil"/>
          <w:bar w:val="nil"/>
        </w:pBdr>
        <w:spacing w:before="0" w:after="240"/>
        <w:rPr>
          <w:noProof/>
        </w:rPr>
      </w:pPr>
      <w:r>
        <w:rPr>
          <w:noProof/>
        </w:rPr>
        <w:t xml:space="preserve">Tässä ehdotuksessa tehdyissä asetuksen (EY) N:o 924/2009 muutoksissa asetetaan myös valuutanmuuntokäytäntöihin liittyviä uusia läpinäkyvyysvaatimuksia maksupalveluista sisämarkkinoilla annetun direktiivin (EU) </w:t>
      </w:r>
      <w:r>
        <w:rPr>
          <w:noProof/>
        </w:rPr>
        <w:t>2015/2366 45 ja 59 artiklan mukaisesti. Uusia vaatimuksia tarvitaan, koska kuluttajat eivät saa EU:ssa tarpeeksi selkeitä tietoja maksaessaan maksuja, joihin liittyy valuutan muuntamista. Kun kuluttaja suorittaa ulkomailla muun kuin kotimaansa valuutan mää</w:t>
      </w:r>
      <w:r>
        <w:rPr>
          <w:noProof/>
        </w:rPr>
        <w:t>räisen korttimaksun (joko nostamalla käteistä pankkiautomaattista tai maksamalla kortilla myyntipisteessä), hänellä on yleensä kaksi vaihtoehtoa. Ensimmäinen niistä on maksaa oman maan valuutalla, mitä kutsutaan dynaamiseksi valuutan muuntamiseksi. Tätä pa</w:t>
      </w:r>
      <w:r>
        <w:rPr>
          <w:noProof/>
        </w:rPr>
        <w:t>lvelua tarjoavat erityiset palveluntarjoajat ja kauppiaan pankki. Kuluttajan toisena vaihtoehtona on maksaa paikallisella valuutalla käyttämällä maksukorttijärjestelyn ja kuluttajan pankin tarjoamia palveluja (tätä kutsutaan ei-dynaamiseksi valuutan muunta</w:t>
      </w:r>
      <w:r>
        <w:rPr>
          <w:noProof/>
        </w:rPr>
        <w:t>miseksi tai verkossa muuntamiseksi). Kuluttajat ovat valittaneet erityisesti dynaamiseen valuutan muuntamiseen liittyvistä käytännöistä, koska he eivät mielestään saa tietoja, joiden perusteella he voisivat tehdä harkitun valinnan. Tietojen puuttuessa kulu</w:t>
      </w:r>
      <w:r>
        <w:rPr>
          <w:noProof/>
        </w:rPr>
        <w:t>ttajat valitsevat usein vastahakoisesti kalliimman valuutanmuuntovaihtoehdon.</w:t>
      </w:r>
    </w:p>
    <w:p w:rsidR="00652D1B" w:rsidRDefault="00CF5407">
      <w:pPr>
        <w:pBdr>
          <w:top w:val="nil"/>
          <w:left w:val="nil"/>
          <w:bottom w:val="nil"/>
          <w:right w:val="nil"/>
          <w:between w:val="nil"/>
          <w:bar w:val="nil"/>
        </w:pBdr>
        <w:spacing w:before="0" w:after="240"/>
        <w:rPr>
          <w:noProof/>
        </w:rPr>
      </w:pPr>
      <w:r>
        <w:rPr>
          <w:noProof/>
        </w:rPr>
        <w:t>Tässä ehdotuksessa edellytetään rajatylittävien maksutapahtumien kokonaiskulujen ilmoittamista, jotta kuluttajat saisivat tarvitsemansa tiedot. Ehdotuksen ansiosta kuluttajat voi</w:t>
      </w:r>
      <w:r>
        <w:rPr>
          <w:noProof/>
        </w:rPr>
        <w:t>vat vertailla valuutanmuuntopalveluja koskevia tarjouksia ennen kuin he käynnistävät maksutapahtuman, johon liittyy valuutan muuntamista. Koska valuutan muuntaminen on hyvin teknistä ja toimintaympäristö muuttuu nopeasti, Euroopan pankkiviranomaiselle anne</w:t>
      </w:r>
      <w:r>
        <w:rPr>
          <w:noProof/>
        </w:rPr>
        <w:t>taan tehtäväksi laatia tekniset sääntelystandardit, joiden avulla valuutanmuuntokäytäntöjä voidaan säännellä paremmin. Lisäksi ehdotuksessa asetetaan valuutanmuuntokuluille tilapäinen yläraja, joka on voimassa siihen asti, kun Euroopan pankkiviranomaisen s</w:t>
      </w:r>
      <w:r>
        <w:rPr>
          <w:noProof/>
        </w:rPr>
        <w:t>uunnittelemat läpinäkyvyyttä parantavat toimenpiteet tulevat voimaan, mikä tapahtuu viimeistään 36 kuukauden kuluttua muutetun asetuksen voimaantulosta.</w:t>
      </w:r>
    </w:p>
    <w:p w:rsidR="00652D1B" w:rsidRDefault="00CF5407">
      <w:pPr>
        <w:pBdr>
          <w:top w:val="nil"/>
          <w:left w:val="nil"/>
          <w:bottom w:val="nil"/>
          <w:right w:val="nil"/>
          <w:between w:val="nil"/>
          <w:bar w:val="nil"/>
        </w:pBdr>
        <w:spacing w:before="0" w:after="240"/>
        <w:rPr>
          <w:noProof/>
        </w:rPr>
      </w:pPr>
      <w:r>
        <w:rPr>
          <w:noProof/>
        </w:rPr>
        <w:t>Kun ehdotus pannaan täytäntöön, se luo huomattavia säästöjä kuluttajille mutta voi samalla vähentää joi</w:t>
      </w:r>
      <w:r>
        <w:rPr>
          <w:noProof/>
        </w:rPr>
        <w:t>denkin maksupalveluntarjoajien tuloja. Ehdotuksella varmistetaan myös, etteivät maksupalveluntarjoajat käytä valuutanmuuntokuluja siten, että nämä palveluntarjoajat kompensoivat tulojensa vähentymistä kasvattamalla valuutan muuntamisen läpinäkymättömiä mar</w:t>
      </w:r>
      <w:r>
        <w:rPr>
          <w:noProof/>
        </w:rPr>
        <w:t>ginaaleja, jotka eivät ole yleensä maksupalvelunkäyttäjien tiedossa.</w:t>
      </w:r>
    </w:p>
    <w:p w:rsidR="00652D1B" w:rsidRDefault="00CF5407">
      <w:pPr>
        <w:pBdr>
          <w:top w:val="nil"/>
          <w:left w:val="nil"/>
          <w:bottom w:val="nil"/>
          <w:right w:val="nil"/>
          <w:between w:val="nil"/>
          <w:bar w:val="nil"/>
        </w:pBdr>
        <w:spacing w:before="0" w:after="240"/>
        <w:rPr>
          <w:rFonts w:eastAsia="Arial Unicode MS"/>
          <w:noProof/>
          <w:u w:color="000000"/>
          <w:bdr w:val="nil"/>
        </w:rPr>
      </w:pPr>
      <w:r>
        <w:rPr>
          <w:b/>
          <w:noProof/>
          <w:u w:color="000000"/>
          <w:bdr w:val="nil"/>
        </w:rPr>
        <w:t>•</w:t>
      </w:r>
      <w:r>
        <w:rPr>
          <w:noProof/>
        </w:rPr>
        <w:tab/>
      </w:r>
      <w:r>
        <w:rPr>
          <w:b/>
          <w:noProof/>
        </w:rPr>
        <w:t>Yhdenmukaisuus muiden alaa koskevien politiikkojen säännösten kanssa</w:t>
      </w:r>
    </w:p>
    <w:p w:rsidR="00652D1B" w:rsidRDefault="00CF5407">
      <w:pPr>
        <w:pBdr>
          <w:top w:val="nil"/>
          <w:left w:val="nil"/>
          <w:bottom w:val="nil"/>
          <w:right w:val="nil"/>
          <w:between w:val="nil"/>
          <w:bar w:val="nil"/>
        </w:pBdr>
        <w:spacing w:before="0" w:after="240"/>
        <w:rPr>
          <w:noProof/>
        </w:rPr>
      </w:pPr>
      <w:r>
        <w:rPr>
          <w:noProof/>
        </w:rPr>
        <w:t>Euroopan unioni on käynnistänyt euron käyttöönoton jälkeen useita aloitteita, joilla on pyritty vähentämään merkittä</w:t>
      </w:r>
      <w:r>
        <w:rPr>
          <w:noProof/>
        </w:rPr>
        <w:t>västi rajatylittäviin maksutapahtumiin liittyviä kuluja. Tärkeimpiä niistä ovat seuraavat kolme aloitetta:</w:t>
      </w:r>
    </w:p>
    <w:p w:rsidR="00652D1B" w:rsidRDefault="00CF5407">
      <w:pPr>
        <w:pBdr>
          <w:top w:val="nil"/>
          <w:left w:val="nil"/>
          <w:bottom w:val="nil"/>
          <w:right w:val="nil"/>
          <w:between w:val="nil"/>
          <w:bar w:val="nil"/>
        </w:pBdr>
        <w:spacing w:before="0" w:after="240"/>
        <w:rPr>
          <w:noProof/>
        </w:rPr>
      </w:pPr>
      <w:r>
        <w:rPr>
          <w:noProof/>
        </w:rPr>
        <w:t>– EU on ottanut käyttöön standardit, jotka koskevat yhtenäisen euromaksualueen (SEPA) euromääräisiä maksutapahtumia, kuten tilisiirtoja ja suoraveloi</w:t>
      </w:r>
      <w:r>
        <w:rPr>
          <w:noProof/>
        </w:rPr>
        <w:t xml:space="preserve">tuksia. </w:t>
      </w:r>
    </w:p>
    <w:p w:rsidR="00652D1B" w:rsidRDefault="00CF5407">
      <w:pPr>
        <w:pBdr>
          <w:top w:val="nil"/>
          <w:left w:val="nil"/>
          <w:bottom w:val="nil"/>
          <w:right w:val="nil"/>
          <w:between w:val="nil"/>
          <w:bar w:val="nil"/>
        </w:pBdr>
        <w:spacing w:before="0" w:after="240"/>
        <w:rPr>
          <w:noProof/>
        </w:rPr>
      </w:pPr>
      <w:r>
        <w:rPr>
          <w:noProof/>
        </w:rPr>
        <w:t>– Palvelumaksujen läpinäkyvyyttä on lisätty ja uusien toimijoiden markkinoillepääsyä on helpotettu maksupalveludirektiiveillä (direktiivi 2007/64/EY, joka on korvattu myöhemmin direktiivillä (EU) 2015/2366). Tämä on lisännyt maksualan kilpailua, r</w:t>
      </w:r>
      <w:r>
        <w:rPr>
          <w:noProof/>
        </w:rPr>
        <w:t xml:space="preserve">ajatylittävät maksut mukaan luettuina, sekä palvelumaksujen läpinäkyvyyttä. Se on johtanut myös maksuinfrastruktuurin paranemiseen, minkä ansiosta on voitu käsitellä yhä suurempia euromääräisten maksujen volyymeja pienemmin kustannuksin. </w:t>
      </w:r>
    </w:p>
    <w:p w:rsidR="00652D1B" w:rsidRDefault="00CF5407">
      <w:pPr>
        <w:pBdr>
          <w:top w:val="nil"/>
          <w:left w:val="nil"/>
          <w:bottom w:val="nil"/>
          <w:right w:val="nil"/>
          <w:between w:val="nil"/>
          <w:bar w:val="nil"/>
        </w:pBdr>
        <w:spacing w:before="0" w:after="240"/>
        <w:rPr>
          <w:noProof/>
        </w:rPr>
      </w:pPr>
      <w:r>
        <w:rPr>
          <w:noProof/>
        </w:rPr>
        <w:t xml:space="preserve">– Euromääräisten </w:t>
      </w:r>
      <w:r>
        <w:rPr>
          <w:noProof/>
        </w:rPr>
        <w:t xml:space="preserve">rajatylittävien maksujen ja kansallisten maksujen palvelumaksut on yhdenmukaistettu EU:ssa rajatylittäviä maksuja koskevalla asetuksella (EY) N:o 2560/2001 ja sen myöhemmin korvanneella asetuksella (EY) N:o 924/2009. </w:t>
      </w:r>
    </w:p>
    <w:p w:rsidR="00652D1B" w:rsidRDefault="00CF5407">
      <w:pPr>
        <w:pBdr>
          <w:top w:val="nil"/>
          <w:left w:val="nil"/>
          <w:bottom w:val="nil"/>
          <w:right w:val="nil"/>
          <w:between w:val="nil"/>
          <w:bar w:val="nil"/>
        </w:pBdr>
        <w:spacing w:before="0" w:after="240"/>
        <w:rPr>
          <w:rFonts w:eastAsia="Arial Unicode MS"/>
          <w:noProof/>
        </w:rPr>
      </w:pPr>
      <w:r>
        <w:rPr>
          <w:noProof/>
        </w:rPr>
        <w:t>Kaikki nämä aloitteet ovat myötävaikut</w:t>
      </w:r>
      <w:r>
        <w:rPr>
          <w:noProof/>
        </w:rPr>
        <w:t>taneet sisämarkkinoiden yhdentymiseen ja yhdentyneempien maksumarkkinoiden kehittymiseen euroalueella.</w:t>
      </w:r>
    </w:p>
    <w:p w:rsidR="00652D1B" w:rsidRDefault="00CF5407">
      <w:pPr>
        <w:pStyle w:val="ManualHeading2"/>
        <w:rPr>
          <w:rFonts w:eastAsia="Arial Unicode MS"/>
          <w:noProof/>
        </w:rPr>
      </w:pPr>
      <w:r>
        <w:rPr>
          <w:noProof/>
        </w:rPr>
        <w:t>•</w:t>
      </w:r>
      <w:r>
        <w:rPr>
          <w:noProof/>
        </w:rPr>
        <w:tab/>
        <w:t>Yhdenmukaisuus unionin muiden politiikkojen kanssa</w:t>
      </w:r>
    </w:p>
    <w:p w:rsidR="00652D1B" w:rsidRDefault="00CF5407">
      <w:pPr>
        <w:spacing w:before="0" w:after="240"/>
        <w:rPr>
          <w:noProof/>
        </w:rPr>
      </w:pPr>
      <w:r>
        <w:rPr>
          <w:noProof/>
        </w:rPr>
        <w:t xml:space="preserve">Tällä aloitteella edistetään sisämarkkinoiden toimintaa. Lisäksi aloite tarjoaa joitakin talous- ja </w:t>
      </w:r>
      <w:r>
        <w:rPr>
          <w:noProof/>
        </w:rPr>
        <w:t>rahaliiton keskeisiä etuja (tehokkaat ja edulliset rajatylittävät maksutapahtumat) kansalaisille ja yrityksille euroalueen ulkopuolisissa jäsenvaltioissa. Aloite on linjassa FinTech-toimintasuunnitelman</w:t>
      </w:r>
      <w:r>
        <w:rPr>
          <w:rStyle w:val="FootnoteReference"/>
          <w:noProof/>
        </w:rPr>
        <w:footnoteReference w:id="6"/>
      </w:r>
      <w:r>
        <w:rPr>
          <w:noProof/>
        </w:rPr>
        <w:t xml:space="preserve"> kanssa, jonka tavoitteena on lisätä kilpailua ja inn</w:t>
      </w:r>
      <w:r>
        <w:rPr>
          <w:noProof/>
        </w:rPr>
        <w:t>ovointia Euroopan rahoitusalalla. Se liittyy läheisesti myös pääomamarkkinaunioniin, jonka tavoitteena on luoda EU:hun todelliset sisäiset pääomamarkkinat, joilla sijoittajat voivat esteettä sijoittaa varojaan toisiin jäsenvaltioihin ja yritykset voivat si</w:t>
      </w:r>
      <w:r>
        <w:rPr>
          <w:noProof/>
        </w:rPr>
        <w:t>jainnistaan riippumatta hankkia rahoitusta moninaisista lähteistä. Lisäksi aloite palvelee digitaalisten sisämarkkinoiden tavoitetta poistaa sähköisen kaupan esteitä sekä reaaliympäristöstä että digitaalisesta ympäristöstä. Ehdotuksella poistetaan yksi raj</w:t>
      </w:r>
      <w:r>
        <w:rPr>
          <w:noProof/>
        </w:rPr>
        <w:t>atylittävää verkkokauppaa mahdollisesti haittaava este, joka liittyy rajatylittävistä maksutapahtumista perittäviin palvelumaksuihin.</w:t>
      </w:r>
    </w:p>
    <w:p w:rsidR="00652D1B" w:rsidRDefault="00CF5407">
      <w:pPr>
        <w:pStyle w:val="ManualHeading1"/>
        <w:rPr>
          <w:noProof/>
        </w:rPr>
      </w:pPr>
      <w:r>
        <w:rPr>
          <w:noProof/>
        </w:rPr>
        <w:t>2.</w:t>
      </w:r>
      <w:r>
        <w:rPr>
          <w:noProof/>
        </w:rPr>
        <w:tab/>
        <w:t>OIKEUSPERUSTA, TOISSIJAISUUSPERIAATE JA SUHTEELLISUUSPERIAATE</w:t>
      </w:r>
    </w:p>
    <w:p w:rsidR="00652D1B" w:rsidRDefault="00CF5407">
      <w:pPr>
        <w:pStyle w:val="ManualHeading2"/>
        <w:rPr>
          <w:rFonts w:eastAsia="Arial Unicode MS"/>
          <w:noProof/>
          <w:u w:color="000000"/>
          <w:bdr w:val="nil"/>
        </w:rPr>
      </w:pPr>
      <w:r>
        <w:rPr>
          <w:noProof/>
        </w:rPr>
        <w:t>•</w:t>
      </w:r>
      <w:r>
        <w:rPr>
          <w:noProof/>
        </w:rPr>
        <w:tab/>
        <w:t>Oikeusperusta</w:t>
      </w:r>
    </w:p>
    <w:p w:rsidR="00652D1B" w:rsidRDefault="00CF5407">
      <w:pPr>
        <w:pBdr>
          <w:top w:val="nil"/>
          <w:left w:val="nil"/>
          <w:bottom w:val="nil"/>
          <w:right w:val="nil"/>
          <w:between w:val="nil"/>
          <w:bar w:val="nil"/>
        </w:pBdr>
        <w:spacing w:before="0" w:after="240"/>
        <w:rPr>
          <w:noProof/>
        </w:rPr>
      </w:pPr>
      <w:r>
        <w:rPr>
          <w:noProof/>
        </w:rPr>
        <w:t>Euroopan unionin toiminnasta tehdyn sopim</w:t>
      </w:r>
      <w:r>
        <w:rPr>
          <w:noProof/>
        </w:rPr>
        <w:t>uksen (SEUT-sopimus) 114 artiklassa annetaan unionin toimielimille toimivalta antaa asiaankuuluvat säännökset, joiden tavoitteena on sisämarkkinoiden perustaminen ja toiminta.</w:t>
      </w:r>
    </w:p>
    <w:p w:rsidR="00652D1B" w:rsidRDefault="00CF5407">
      <w:pPr>
        <w:pBdr>
          <w:top w:val="nil"/>
          <w:left w:val="nil"/>
          <w:bottom w:val="nil"/>
          <w:right w:val="nil"/>
          <w:between w:val="nil"/>
          <w:bar w:val="nil"/>
        </w:pBdr>
        <w:spacing w:before="0" w:after="240"/>
        <w:rPr>
          <w:noProof/>
        </w:rPr>
      </w:pPr>
      <w:r>
        <w:rPr>
          <w:noProof/>
        </w:rPr>
        <w:t>Sisämarkkinoilla vallitsee tavaroiden, ihmisten, palvelujen ja pääoman vapaa lii</w:t>
      </w:r>
      <w:r>
        <w:rPr>
          <w:noProof/>
        </w:rPr>
        <w:t>kkuvuus. Maksut ovat tärkeä tekijä sisämarkkinoiden toteuttamisessa, mutta rajatylittäviin maksuihin liittyy nykyään suuria kuluja, jotka haittaavat sisämarkkinoiden toimintaa. Näiden esteiden vuoksi kotitalouksien ja yritysten on vaikeampi osallistua raja</w:t>
      </w:r>
      <w:r>
        <w:rPr>
          <w:noProof/>
        </w:rPr>
        <w:t>tylittävään kaupankäyntiin. Lisäksi rajatylittäviin maksuihin liittyvät suuret kulut jakavat maksupalvelunkäyttäjät kahteen eri ryhmään. Ensimmäiseen niistä kuuluvat euroalueella olevat käyttäjät, jotka voivat maksaa EU:ssa maksuja valtaosalle ihmisistä ja</w:t>
      </w:r>
      <w:r>
        <w:rPr>
          <w:noProof/>
        </w:rPr>
        <w:t xml:space="preserve"> yrityksistä hyvin pienin kustannuksin. Toiseen ryhmään kuuluvat euroalueen ulkopuolisissa jäsenvaltioissa olevat käyttäjät, jotka voivat maksaa maksuja edullisesti ainoastaan rajalliselle määrälle ihmisiä ja yrityksiä.</w:t>
      </w:r>
    </w:p>
    <w:p w:rsidR="00652D1B" w:rsidRDefault="00CF5407">
      <w:pPr>
        <w:pBdr>
          <w:top w:val="nil"/>
          <w:left w:val="nil"/>
          <w:bottom w:val="nil"/>
          <w:right w:val="nil"/>
          <w:between w:val="nil"/>
          <w:bar w:val="nil"/>
        </w:pBdr>
        <w:spacing w:before="0" w:after="240"/>
        <w:rPr>
          <w:rFonts w:eastAsia="Arial Unicode MS"/>
          <w:noProof/>
        </w:rPr>
      </w:pPr>
      <w:r>
        <w:rPr>
          <w:noProof/>
        </w:rPr>
        <w:t xml:space="preserve">Tehokkain tapa ratkaista nämä kaksi </w:t>
      </w:r>
      <w:r>
        <w:rPr>
          <w:noProof/>
        </w:rPr>
        <w:t>ongelmaa on toteuttaa lainsäädäntötoimia EU:n tasolla, mikä on myös perussopimusten tavoitteiden mukaista.</w:t>
      </w:r>
    </w:p>
    <w:p w:rsidR="00652D1B" w:rsidRDefault="00CF5407">
      <w:pPr>
        <w:pStyle w:val="ManualHeading2"/>
        <w:rPr>
          <w:rFonts w:eastAsia="Arial Unicode MS"/>
          <w:noProof/>
          <w:u w:color="000000"/>
          <w:bdr w:val="nil"/>
        </w:rPr>
      </w:pPr>
      <w:r>
        <w:rPr>
          <w:noProof/>
        </w:rPr>
        <w:t>•</w:t>
      </w:r>
      <w:r>
        <w:rPr>
          <w:noProof/>
        </w:rPr>
        <w:tab/>
        <w:t>Toissijaisuusperiaate (jaetun toimivallan osalta)</w:t>
      </w:r>
    </w:p>
    <w:p w:rsidR="00652D1B" w:rsidRDefault="00CF5407">
      <w:pPr>
        <w:pBdr>
          <w:top w:val="nil"/>
          <w:left w:val="nil"/>
          <w:bottom w:val="nil"/>
          <w:right w:val="nil"/>
          <w:between w:val="nil"/>
          <w:bar w:val="nil"/>
        </w:pBdr>
        <w:spacing w:before="0" w:after="240"/>
        <w:rPr>
          <w:noProof/>
        </w:rPr>
      </w:pPr>
      <w:r>
        <w:rPr>
          <w:noProof/>
        </w:rPr>
        <w:t xml:space="preserve">Sisämarkkinoiden toteuttamiseen tähtääviä EU:n toimia on SEUT-sopimuksen 4 artiklan mukaan </w:t>
      </w:r>
      <w:r>
        <w:rPr>
          <w:noProof/>
        </w:rPr>
        <w:t>tarkasteltava ottamalla huomioon Euroopan unionista tehdyn sopimuksen (SEU-sopimus) 5 artiklan 3 kohdassa määrätty toissijaisuusperiaate. Tässä yhteydessä on arvioitava kahta kysymystä: a) pystyvätkö jäsenvaltiot saavuttamaan ehdotuksen tavoitteet kansalli</w:t>
      </w:r>
      <w:r>
        <w:rPr>
          <w:noProof/>
        </w:rPr>
        <w:t>sten oikeusjärjestelmiensä puitteissa ja b) voidaanko tavoitteet saavuttaa paremmin EU:n tasolla niiden laajuuden ja vaikutusten vuoksi.</w:t>
      </w:r>
    </w:p>
    <w:p w:rsidR="00652D1B" w:rsidRDefault="00CF5407">
      <w:pPr>
        <w:pBdr>
          <w:top w:val="nil"/>
          <w:left w:val="nil"/>
          <w:bottom w:val="nil"/>
          <w:right w:val="nil"/>
          <w:between w:val="nil"/>
          <w:bar w:val="nil"/>
        </w:pBdr>
        <w:spacing w:before="0" w:after="240"/>
        <w:rPr>
          <w:noProof/>
        </w:rPr>
      </w:pPr>
      <w:r>
        <w:rPr>
          <w:noProof/>
        </w:rPr>
        <w:t>Euroalueen ulkopuolisille jäsenvaltioille on annettu mahdollisuus soveltaa asetusta (EY) N:o 2560/2001 ja sen seuraaja-</w:t>
      </w:r>
      <w:r>
        <w:rPr>
          <w:noProof/>
        </w:rPr>
        <w:t>asetusta (EY) N:o 924/2009 niiden kansallisiin valuuttoihin. Tähän mennessä ainoastaan Ruotsi on hyödyntänyt tätä mahdollisuutta. Sen ansiosta Ruotsista maksettavien kruunumääräisten EU:n sisäisten rajatylittävien maksujen hinnat ovat nykyään samat kuin Ru</w:t>
      </w:r>
      <w:r>
        <w:rPr>
          <w:noProof/>
        </w:rPr>
        <w:t>otsin kotimaan maksujen hinnat. Tämä Ruotsin hyödyntämä mahdollisuus on vaikuttanut positiivisesti myös euromääräisiin rajatylittäviin maksuihin, joista ruotsalaiset pankit eivät peri ylimääräisiä palvelumaksuja kruunumääräisiin kotimaan maksuihin verrattu</w:t>
      </w:r>
      <w:r>
        <w:rPr>
          <w:noProof/>
        </w:rPr>
        <w:t xml:space="preserve">na. </w:t>
      </w:r>
    </w:p>
    <w:p w:rsidR="00652D1B" w:rsidRDefault="00CF5407">
      <w:pPr>
        <w:pBdr>
          <w:top w:val="nil"/>
          <w:left w:val="nil"/>
          <w:bottom w:val="nil"/>
          <w:right w:val="nil"/>
          <w:between w:val="nil"/>
          <w:bar w:val="nil"/>
        </w:pBdr>
        <w:spacing w:before="0" w:after="240"/>
        <w:rPr>
          <w:noProof/>
        </w:rPr>
      </w:pPr>
      <w:r>
        <w:rPr>
          <w:noProof/>
        </w:rPr>
        <w:t>On totta, että myös muut euroalueen ulkopuoliset jäsenvaltiot voisivat Ruotsin tavoin toteuttaa toimia vähentääkseen rajatylittävistä maksuista aiheutuvia kuluja. Nykyiset esteet säilyisivät kuitenkin ennallaan niin kauan kuin on jäsenvaltioita, joiss</w:t>
      </w:r>
      <w:r>
        <w:rPr>
          <w:noProof/>
        </w:rPr>
        <w:t>a tällaisia toimia ei toteuteta. Sen vuoksi on suotavampaa ratkaista ongelma EU:n tasolla kuin jättää sen ratkaiseminen yksittäisille jäsenvaltioille tai markkinoille, jotka eivät pystyisi takaamaan nopeaa edistymistä eivätkä kattamaan toimillaan koko EU:t</w:t>
      </w:r>
      <w:r>
        <w:rPr>
          <w:noProof/>
        </w:rPr>
        <w:t>a.</w:t>
      </w:r>
    </w:p>
    <w:p w:rsidR="00652D1B" w:rsidRDefault="00CF5407">
      <w:pPr>
        <w:pBdr>
          <w:top w:val="nil"/>
          <w:left w:val="nil"/>
          <w:bottom w:val="nil"/>
          <w:right w:val="nil"/>
          <w:between w:val="nil"/>
          <w:bar w:val="nil"/>
        </w:pBdr>
        <w:spacing w:before="0" w:after="240"/>
        <w:rPr>
          <w:noProof/>
        </w:rPr>
      </w:pPr>
      <w:r>
        <w:rPr>
          <w:noProof/>
        </w:rPr>
        <w:t>EU:n tason toimet tuottaisivat myös mittakaavaetuja (kasvattamalla rajatylittävien maksutapahtumien määrää, mikä tehostaisi maksuinfrastruktuuria). Lisäksi ne kasvattaisivat EU:n sisäisen rajatylittävän kaupan määrää, edistäisivät kilpailua ja yhdentäis</w:t>
      </w:r>
      <w:r>
        <w:rPr>
          <w:noProof/>
        </w:rPr>
        <w:t>ivät EU:n talouksia.</w:t>
      </w:r>
    </w:p>
    <w:p w:rsidR="00652D1B" w:rsidRDefault="00CF5407">
      <w:pPr>
        <w:pBdr>
          <w:top w:val="nil"/>
          <w:left w:val="nil"/>
          <w:bottom w:val="nil"/>
          <w:right w:val="nil"/>
          <w:between w:val="nil"/>
          <w:bar w:val="nil"/>
        </w:pBdr>
        <w:spacing w:before="0" w:after="240"/>
        <w:rPr>
          <w:rFonts w:eastAsia="Arial Unicode MS"/>
          <w:noProof/>
        </w:rPr>
      </w:pPr>
      <w:r>
        <w:rPr>
          <w:noProof/>
        </w:rPr>
        <w:t>Tilanteen säilyttäminen ennallaan ylläpitäisi nykyistä kahtiajakoa, hidastaisi taloudellista yhdentymistä ja estäisi sisämarkkinoiden syventymisen.</w:t>
      </w:r>
    </w:p>
    <w:p w:rsidR="00652D1B" w:rsidRDefault="00CF5407">
      <w:pPr>
        <w:pStyle w:val="ManualHeading2"/>
        <w:rPr>
          <w:rFonts w:eastAsia="Arial Unicode MS"/>
          <w:noProof/>
          <w:u w:color="000000"/>
          <w:bdr w:val="nil"/>
        </w:rPr>
      </w:pPr>
      <w:r>
        <w:rPr>
          <w:noProof/>
        </w:rPr>
        <w:t>•</w:t>
      </w:r>
      <w:r>
        <w:rPr>
          <w:noProof/>
        </w:rPr>
        <w:tab/>
        <w:t>Suhteellisuusperiaate</w:t>
      </w:r>
    </w:p>
    <w:p w:rsidR="00652D1B" w:rsidRDefault="00CF5407">
      <w:pPr>
        <w:rPr>
          <w:noProof/>
        </w:rPr>
      </w:pPr>
      <w:r>
        <w:rPr>
          <w:noProof/>
        </w:rPr>
        <w:t>Suhteellisuusperiaatteen mukaan EU:n toiminnan sisältö ja muoto</w:t>
      </w:r>
      <w:r>
        <w:rPr>
          <w:noProof/>
        </w:rPr>
        <w:t xml:space="preserve"> eivät saa ylittää sitä, mikä on tarpeen perussopimusten tavoitteiden saavuttamiseksi.</w:t>
      </w:r>
    </w:p>
    <w:p w:rsidR="00652D1B" w:rsidRDefault="00CF5407">
      <w:pPr>
        <w:spacing w:before="0" w:after="240"/>
        <w:rPr>
          <w:noProof/>
        </w:rPr>
      </w:pPr>
      <w:r>
        <w:rPr>
          <w:noProof/>
        </w:rPr>
        <w:t>Ehdotuksen tavoitteen saavuttaminen aiheuttaa vain vähäisiä kustannuksia, koska EU:n maksupalveluntarjoajilla on mahdollisuus käyttää tehokkaita euroselvitysinfrastruktu</w:t>
      </w:r>
      <w:r>
        <w:rPr>
          <w:noProof/>
        </w:rPr>
        <w:t>ureja. Ehdotus edellyttää lähinnä sitä, että euroalueen ulkopuolisten jäsenvaltioiden maksupalveluntarjoajat yhdenmukaistavat euromääräisten rajatylittävien maksutapahtumien palvelumaksut niiden (yleensä pienempien) palvelumaksujen kanssa, joita ne perivät</w:t>
      </w:r>
      <w:r>
        <w:rPr>
          <w:noProof/>
        </w:rPr>
        <w:t xml:space="preserve"> maksupalvelunkäyttäjiltä jäsenvaltionsa kansallisen valuutan määräisistä kotimaan maksutapahtumista. Euroalueen jäsenvaltiot hyötyvät jo siitä, että useimmista rajatylittävistä maksutapahtumista peritään vain pieniä palvelumaksuja. Ehdotuksen rajaaminen e</w:t>
      </w:r>
      <w:r>
        <w:rPr>
          <w:noProof/>
        </w:rPr>
        <w:t>uromääräisiin maksutapahtumiin ei vaikuta maksupalveluntarjoajiin euroalueen jäsenvaltioissa, mutta euroalueen ulkopuolisissa jäsenvaltioissa ehdotuksen piiriin kuuluu suuri joukko maksutapahtumia (noin 60 prosenttia näiden jäsenvaltioiden rajatylittävistä</w:t>
      </w:r>
      <w:r>
        <w:rPr>
          <w:noProof/>
        </w:rPr>
        <w:t xml:space="preserve"> maksutapahtumista). </w:t>
      </w:r>
    </w:p>
    <w:p w:rsidR="00652D1B" w:rsidRDefault="00CF5407">
      <w:pPr>
        <w:spacing w:before="0" w:after="240"/>
        <w:rPr>
          <w:noProof/>
        </w:rPr>
      </w:pPr>
      <w:r>
        <w:rPr>
          <w:noProof/>
        </w:rPr>
        <w:t>Euromääräisten rajatylittävien maksutapahtumien palvelumaksujen ja jäsenvaltion kansallisen valuutan määräisten kotimaan maksutapahtumien palvelumaksujen yhdenmukaistamisessa otetaan huomioon myös paikallisten maksujärjestelmien ja pa</w:t>
      </w:r>
      <w:r>
        <w:rPr>
          <w:noProof/>
        </w:rPr>
        <w:t>nkkien (infrastruktuurien ja prosessien) kehityksen ja tehokkuuden taso. Tuotantokustannukset vaihtelevat maasta toiseen, ja joissakin euroalueen ulkopuolisissa jäsenvaltioissa myös kotimaan maksutapahtumat saattavat maksaa jopa yhden euron. Kunkin jäsenva</w:t>
      </w:r>
      <w:r>
        <w:rPr>
          <w:noProof/>
        </w:rPr>
        <w:t>ltion ja sen maksupalveluntarjoajien erityispiirteet voidaan ottaa huomioon käyttämällä vertailuarvoina kotimaan maksutapahtumien palvelumaksuja. Suhteellisuutta käsitellään tarkemmin ehdotukseen liittyvän vaikutustenarvioinnin luvuissa 7 ja 8.</w:t>
      </w:r>
    </w:p>
    <w:p w:rsidR="00652D1B" w:rsidRDefault="00CF5407">
      <w:pPr>
        <w:spacing w:before="0" w:after="240"/>
        <w:rPr>
          <w:noProof/>
        </w:rPr>
      </w:pPr>
      <w:r>
        <w:rPr>
          <w:noProof/>
        </w:rPr>
        <w:t>Ulottamalla</w:t>
      </w:r>
      <w:r>
        <w:rPr>
          <w:noProof/>
        </w:rPr>
        <w:t xml:space="preserve"> tämä asetus koskemaan myös muita valuuttoja kuin euroa saavutettaisiin selkeitä etuja, mikä ilmenisi erityisesti asetuksen soveltamisalaan kuuluvien maksujen lukumäärän kasvuna. Muutos saattaisi kuitenkin kannustaa maksupalveluntarjoajia nostamaan muiden </w:t>
      </w:r>
      <w:r>
        <w:rPr>
          <w:noProof/>
        </w:rPr>
        <w:t>palvelujen (erityisesti kotimaan maksujen) hintoja ja käyttämään näin saatuja tuloja muiden valuuttojen kuin euron määräisten rajaylittävien maksutapahtuminen ristiintukemiseen. Sen vuoksi niiden jäsenvaltioiden, joiden valuuttana ei ole euro, olisi edelle</w:t>
      </w:r>
      <w:r>
        <w:rPr>
          <w:noProof/>
        </w:rPr>
        <w:t>en voitava valita, alkavatko ne soveltaa asetusta kansallisen valuuttansa määräisiin rajatylittäviin maksuihin.</w:t>
      </w:r>
    </w:p>
    <w:p w:rsidR="00652D1B" w:rsidRDefault="00CF5407">
      <w:pPr>
        <w:pStyle w:val="ManualHeading1"/>
        <w:rPr>
          <w:noProof/>
        </w:rPr>
      </w:pPr>
      <w:r>
        <w:rPr>
          <w:noProof/>
        </w:rPr>
        <w:t>3.</w:t>
      </w:r>
      <w:r>
        <w:rPr>
          <w:noProof/>
        </w:rPr>
        <w:tab/>
        <w:t>SIDOSRYHMIEN KUULEMINEN JA VAIKUTUSTENARVIOINTI</w:t>
      </w:r>
    </w:p>
    <w:p w:rsidR="00652D1B" w:rsidRDefault="00652D1B">
      <w:pPr>
        <w:pStyle w:val="ManualHeading2"/>
        <w:rPr>
          <w:rFonts w:eastAsia="Arial Unicode MS"/>
          <w:noProof/>
        </w:rPr>
      </w:pPr>
    </w:p>
    <w:p w:rsidR="00652D1B" w:rsidRDefault="00CF5407">
      <w:pPr>
        <w:pStyle w:val="ManualHeading2"/>
        <w:rPr>
          <w:rFonts w:eastAsia="Arial Unicode MS"/>
          <w:noProof/>
          <w:u w:color="000000"/>
          <w:bdr w:val="nil"/>
        </w:rPr>
      </w:pPr>
      <w:r>
        <w:rPr>
          <w:noProof/>
        </w:rPr>
        <w:t>•</w:t>
      </w:r>
      <w:r>
        <w:rPr>
          <w:noProof/>
        </w:rPr>
        <w:tab/>
        <w:t>Sidosryhmien kuuleminen</w:t>
      </w:r>
    </w:p>
    <w:p w:rsidR="00652D1B" w:rsidRDefault="00CF5407">
      <w:pPr>
        <w:spacing w:before="0" w:after="240"/>
        <w:rPr>
          <w:noProof/>
        </w:rPr>
      </w:pPr>
      <w:r>
        <w:rPr>
          <w:noProof/>
        </w:rPr>
        <w:t>Sidosryhmiä kuultiin seuraavin tavoin:</w:t>
      </w:r>
    </w:p>
    <w:p w:rsidR="00652D1B" w:rsidRDefault="00CF5407">
      <w:pPr>
        <w:pStyle w:val="Bullet0"/>
        <w:numPr>
          <w:ilvl w:val="0"/>
          <w:numId w:val="1"/>
        </w:numPr>
        <w:rPr>
          <w:noProof/>
        </w:rPr>
      </w:pPr>
      <w:r>
        <w:rPr>
          <w:noProof/>
        </w:rPr>
        <w:t xml:space="preserve">Maksutapahtumien </w:t>
      </w:r>
      <w:r>
        <w:rPr>
          <w:noProof/>
        </w:rPr>
        <w:t>palvelumaksuista järjestettiin avoin julkinen kuuleminen 24. heinäkuuta 2017 ja 30. lokakuuta 2017 välisenä aikana (14 viikon aikana).</w:t>
      </w:r>
    </w:p>
    <w:p w:rsidR="00652D1B" w:rsidRDefault="00CF5407">
      <w:pPr>
        <w:pStyle w:val="Bullet0"/>
        <w:rPr>
          <w:noProof/>
        </w:rPr>
      </w:pPr>
      <w:r>
        <w:rPr>
          <w:noProof/>
        </w:rPr>
        <w:t>Toimialan sidosryhmiä, kuten eri maksupalveluntarjoajien edustajia, kuultiin maksujärjestelmämarkkinoiden asiantuntijaryh</w:t>
      </w:r>
      <w:r>
        <w:rPr>
          <w:noProof/>
        </w:rPr>
        <w:t>män kokouksessa 24. lokakuuta 2017.</w:t>
      </w:r>
    </w:p>
    <w:p w:rsidR="00652D1B" w:rsidRDefault="00CF5407">
      <w:pPr>
        <w:pStyle w:val="Bullet0"/>
        <w:rPr>
          <w:noProof/>
        </w:rPr>
      </w:pPr>
      <w:r>
        <w:rPr>
          <w:noProof/>
        </w:rPr>
        <w:t>Jäsenvaltioiden edustajia kuultiin pankki-, maksu- ja vakuutusasioita käsittelevän komission asiantuntijaryhmän kokouksessa 17. marraskuuta 2017.</w:t>
      </w:r>
    </w:p>
    <w:p w:rsidR="00652D1B" w:rsidRDefault="00CF5407">
      <w:pPr>
        <w:pStyle w:val="Bullet0"/>
        <w:rPr>
          <w:noProof/>
        </w:rPr>
      </w:pPr>
      <w:r>
        <w:rPr>
          <w:noProof/>
        </w:rPr>
        <w:t>Finanssipalvelujen käyttäjäryhmä esitti näkemyksiään ja havaintojaan 5. jo</w:t>
      </w:r>
      <w:r>
        <w:rPr>
          <w:noProof/>
        </w:rPr>
        <w:t>ulukuuta 2017 pitämässään kokouksessa.</w:t>
      </w:r>
    </w:p>
    <w:p w:rsidR="00652D1B" w:rsidRDefault="00652D1B">
      <w:pPr>
        <w:rPr>
          <w:noProof/>
        </w:rPr>
      </w:pPr>
    </w:p>
    <w:p w:rsidR="00652D1B" w:rsidRDefault="00CF5407">
      <w:pPr>
        <w:rPr>
          <w:noProof/>
        </w:rPr>
      </w:pPr>
      <w:r>
        <w:rPr>
          <w:noProof/>
        </w:rPr>
        <w:t>Näissä kuulemistilaisuuksissa kaikki maksupalvelunkäyttäjät (kuluttajat ja yritykset) totesivat, että ne joutuvat maksamaan rajatylittävistä maksutapahtumista suuria palvelumaksuja, jotka eivät ole riittävän läpinäky</w:t>
      </w:r>
      <w:r>
        <w:rPr>
          <w:noProof/>
        </w:rPr>
        <w:t xml:space="preserve">viä. Maksupalveluntarjoajat tähdensivät puolestaan, että muiden valuuttojen määräisiä maksuja on huomattavasti työläämpää (ja sen vuoksi myös kalliimpaa) käsitellä kuin euromääräisiä maksuja, joiden käsittely on täysin automaattista eikä vaadi manuaalisia </w:t>
      </w:r>
      <w:r>
        <w:rPr>
          <w:noProof/>
        </w:rPr>
        <w:t>toimia.</w:t>
      </w:r>
    </w:p>
    <w:p w:rsidR="00652D1B" w:rsidRDefault="00652D1B">
      <w:pPr>
        <w:rPr>
          <w:noProof/>
        </w:rPr>
      </w:pPr>
    </w:p>
    <w:p w:rsidR="00652D1B" w:rsidRDefault="00CF5407">
      <w:pPr>
        <w:pStyle w:val="ManualHeading2"/>
        <w:rPr>
          <w:rFonts w:eastAsia="Arial Unicode MS"/>
          <w:noProof/>
          <w:u w:color="000000"/>
          <w:bdr w:val="nil"/>
        </w:rPr>
      </w:pPr>
      <w:r>
        <w:rPr>
          <w:noProof/>
        </w:rPr>
        <w:t>•</w:t>
      </w:r>
      <w:r>
        <w:rPr>
          <w:noProof/>
        </w:rPr>
        <w:tab/>
        <w:t>Asiantuntijatiedon keruu ja käyttö</w:t>
      </w:r>
    </w:p>
    <w:p w:rsidR="00652D1B" w:rsidRDefault="00CF5407">
      <w:pPr>
        <w:pBdr>
          <w:top w:val="nil"/>
          <w:left w:val="nil"/>
          <w:bottom w:val="nil"/>
          <w:right w:val="nil"/>
          <w:between w:val="nil"/>
          <w:bar w:val="nil"/>
        </w:pBdr>
        <w:spacing w:before="0" w:after="240"/>
        <w:rPr>
          <w:noProof/>
        </w:rPr>
      </w:pPr>
      <w:r>
        <w:rPr>
          <w:noProof/>
        </w:rPr>
        <w:t>Komissio pyysi Deloitte-nimistä konsulttiyritystä tekemään tutkimuksen</w:t>
      </w:r>
      <w:r>
        <w:rPr>
          <w:rStyle w:val="FootnoteReference"/>
          <w:noProof/>
        </w:rPr>
        <w:footnoteReference w:id="7"/>
      </w:r>
      <w:r>
        <w:rPr>
          <w:noProof/>
        </w:rPr>
        <w:t xml:space="preserve"> palvelumaksuista, joita 3–7 suurinta pankkia perii kussakin euroalueen ulkopuolisessa jäsenvaltiossa ja kolmessa euroalueen jäsenvaltiossa</w:t>
      </w:r>
      <w:r>
        <w:rPr>
          <w:noProof/>
        </w:rPr>
        <w:t xml:space="preserve"> ehdotuksen soveltamisalaan kuuluvista rajatylittävistä maksutapahtumista (tilisiirrot, korttimaksut ja käteisnostot). Lisäksi Deloittea pyydettiin arvioimaan tällaisten maksutapahtumien sisäisiä kustannuksia. Tutkimuksessa todettiin, että euromääräisissä </w:t>
      </w:r>
      <w:r>
        <w:rPr>
          <w:noProof/>
        </w:rPr>
        <w:t>maksutapahtumissa voidaan hyödyntää tehokkaita rajatylittäviä infrastruktuureja, standardeja ja menettelyjä. Sen vuoksi tällaisten maksutapahtumien hinnat voitaisiin sovittaa kansallisten valuuttojen määräisten maksutapahtumien hintojen mukaisiksi, jolloin</w:t>
      </w:r>
      <w:r>
        <w:rPr>
          <w:noProof/>
        </w:rPr>
        <w:t xml:space="preserve"> ne saataisiin nykyistä huomattavasti alemmalle tasolle. Tutkimuksessa todettiin myös, että muiden valuuttojen kuin euron määräisiä rajatylittäviä maksutapahtumia käsitellään yhä vanhanaikaisilla menetelmillä ilman keskitettyä infrastruktuuria. Koska nämä </w:t>
      </w:r>
      <w:r>
        <w:rPr>
          <w:noProof/>
        </w:rPr>
        <w:t>menetelmät ovat kalliita, maksupalveluntarjoajat eivät voi hinnoitella tällaisten maksutapahtumien käsittelyä kilpailukykyisesti.</w:t>
      </w:r>
    </w:p>
    <w:p w:rsidR="00652D1B" w:rsidRDefault="00CF5407">
      <w:pPr>
        <w:pStyle w:val="ManualHeading2"/>
        <w:rPr>
          <w:rFonts w:eastAsia="Arial Unicode MS"/>
          <w:noProof/>
          <w:u w:color="000000"/>
          <w:bdr w:val="nil"/>
        </w:rPr>
      </w:pPr>
      <w:r>
        <w:rPr>
          <w:noProof/>
        </w:rPr>
        <w:t>•</w:t>
      </w:r>
      <w:r>
        <w:rPr>
          <w:noProof/>
        </w:rPr>
        <w:tab/>
        <w:t>Vaikutustenarviointi</w:t>
      </w:r>
    </w:p>
    <w:p w:rsidR="00652D1B" w:rsidRDefault="00CF5407">
      <w:pPr>
        <w:spacing w:before="0" w:after="240"/>
        <w:rPr>
          <w:noProof/>
        </w:rPr>
      </w:pPr>
      <w:r>
        <w:rPr>
          <w:noProof/>
        </w:rPr>
        <w:t>Vaikutustenarvioinnissa, joka sai sääntelyntarkastelulautakunnalta 14. helmikuuta 2018 myönteisen lausu</w:t>
      </w:r>
      <w:r>
        <w:rPr>
          <w:noProof/>
        </w:rPr>
        <w:t>nnon, käsitellään neljää toimintavaihtoehtoa. Kaikissa vaihtoehdoissa noudatetaan periaatetta, jonka mukaan maksupalvelunkäyttäjän jäsenvaltion kansallisen valuutan määräisten kotimaan maksutapahtumien hintoja sovelletaan myös EU:n sisäisiin rajatylittävii</w:t>
      </w:r>
      <w:r>
        <w:rPr>
          <w:noProof/>
        </w:rPr>
        <w:t>n maksutapahtumiin, jotka ovat</w:t>
      </w:r>
    </w:p>
    <w:p w:rsidR="00652D1B" w:rsidRDefault="00CF5407">
      <w:pPr>
        <w:spacing w:before="0" w:after="240"/>
        <w:rPr>
          <w:noProof/>
        </w:rPr>
      </w:pPr>
      <w:r>
        <w:rPr>
          <w:noProof/>
        </w:rPr>
        <w:t>1) saman kansallisen valuutan määräisiä;</w:t>
      </w:r>
    </w:p>
    <w:p w:rsidR="00652D1B" w:rsidRDefault="00CF5407">
      <w:pPr>
        <w:spacing w:before="0" w:after="240"/>
        <w:rPr>
          <w:noProof/>
        </w:rPr>
      </w:pPr>
      <w:r>
        <w:rPr>
          <w:noProof/>
        </w:rPr>
        <w:t>2) saman kansallisen valuutan määräisiä ja euromääräisiä;</w:t>
      </w:r>
    </w:p>
    <w:p w:rsidR="00652D1B" w:rsidRDefault="00CF5407">
      <w:pPr>
        <w:spacing w:before="0" w:after="240"/>
        <w:rPr>
          <w:noProof/>
        </w:rPr>
      </w:pPr>
      <w:r>
        <w:rPr>
          <w:noProof/>
        </w:rPr>
        <w:t>3) ainoastaan euromääräisiä;</w:t>
      </w:r>
    </w:p>
    <w:p w:rsidR="00652D1B" w:rsidRDefault="00CF5407">
      <w:pPr>
        <w:spacing w:before="0" w:after="240"/>
        <w:rPr>
          <w:noProof/>
        </w:rPr>
      </w:pPr>
      <w:r>
        <w:rPr>
          <w:noProof/>
        </w:rPr>
        <w:t>4) minkä tahansa EU:n jäsenvaltion valuutan määräisiä riippumatta siitä, missä maksutapahtumat to</w:t>
      </w:r>
      <w:r>
        <w:rPr>
          <w:noProof/>
        </w:rPr>
        <w:t>teutetaan.</w:t>
      </w:r>
    </w:p>
    <w:p w:rsidR="00652D1B" w:rsidRDefault="00CF5407">
      <w:pPr>
        <w:spacing w:before="0" w:after="240"/>
        <w:rPr>
          <w:noProof/>
        </w:rPr>
      </w:pPr>
      <w:r>
        <w:rPr>
          <w:noProof/>
        </w:rPr>
        <w:t>Kolmannessa vaihtoehdossa euromääräisten EU:n sisäisten rajatylittävien maksujen palvelumaksut yhdenmukaistetaan jäsenvaltion kansallisen valuutan määräisten kotimaan maksutapahtumien palvelumaksujen kanssa. Tähän ehdotukseen on valittu tämä kol</w:t>
      </w:r>
      <w:r>
        <w:rPr>
          <w:noProof/>
        </w:rPr>
        <w:t>mas vaihtoehto. Vaihtoehto ei vaikuta euroalueen jäsenvaltioihin. Euroalueen ulkopuolisten jäsenvaltioiden kannalta sen on todettu olevan tehokkain vaihtoehto, koska euromääräisiin rajatylittäviin maksuihin tarvittavat nykyaikaiset infrastruktuurit ovat ka</w:t>
      </w:r>
      <w:r>
        <w:rPr>
          <w:noProof/>
        </w:rPr>
        <w:t>ikkien maksupalveluntarjoajien käytettävissä myös euroalueen ulkopuolisissa jäsenvaltioissa. Kolmannen vaihtoehdon on todettu olevan hyvin tehokas myös siitä syystä, että useimmat rajatylittävät liiketoimet toteutetaan euroalueen ulkopuolisissa jäsenvaltio</w:t>
      </w:r>
      <w:r>
        <w:rPr>
          <w:noProof/>
        </w:rPr>
        <w:t>issa euromääräisinä. Euromääräisten maksutapahtumien alhaisten kustannusten vuoksi on myös epätodennäköisempää, että maksupalveluntarjoajat perisivät suurempia palvelumaksuja a) kotimaan maksutapahtumista tai b) valuutan muuntamisesta käyttääkseen näitä li</w:t>
      </w:r>
      <w:r>
        <w:rPr>
          <w:noProof/>
        </w:rPr>
        <w:t>sätuloja rajatylittävien maksutapahtumien ristiintukemiseen. Kaikkiin tällaisiin maksupalveluntarjoajien toimenpiteisiin sovellettaisiin kilpailusääntöjä. Kolmas vaihtoehto on linjassa myös sen tavoitteen kanssa, että eurosta tulee pitkällä aikavälillä kai</w:t>
      </w:r>
      <w:r>
        <w:rPr>
          <w:noProof/>
        </w:rPr>
        <w:t xml:space="preserve">kkien jäsenvaltioiden yhteinen valuutta. Lisäksi maksupalveluntarjoajien on kuulemismenettelyn tulosten perusteella helpompi hyväksyä tämä vaihtoehto kuin muita vaihtoehtoja. </w:t>
      </w:r>
    </w:p>
    <w:p w:rsidR="00652D1B" w:rsidRDefault="00CF5407">
      <w:pPr>
        <w:spacing w:before="0" w:after="240"/>
        <w:rPr>
          <w:noProof/>
        </w:rPr>
      </w:pPr>
      <w:r>
        <w:rPr>
          <w:noProof/>
        </w:rPr>
        <w:t>Kolmannessa vaihtoehdossa euroalueen ulkopuolisten jäsenvaltioiden maksupalvelun</w:t>
      </w:r>
      <w:r>
        <w:rPr>
          <w:noProof/>
        </w:rPr>
        <w:t>tarjoajat perivät euromääräisistä rajaylittävistä maksuista samansuuruisia palvelumaksuja kuin jäsenvaltion oman valuutan määräisistä kotimaan maksuista. Käytännön vaikutukset rajoittuvat siihen, että maksupalveluntarjoajien on muutettava hintataulukoitaan</w:t>
      </w:r>
      <w:r>
        <w:rPr>
          <w:noProof/>
        </w:rPr>
        <w:t>, joiden perusteella ne perivät asiakkailtaan palvelumaksuja. Arvion mukaan maksupalvelunkäyttäjät (lähinnä kuluttajat ja pk-yritykset, koska suuret yritykset ovat yleensä neuvotelleet omat palvelumaksunsa) saavat tämän toimenpiteen ansiosta suoria säästöj</w:t>
      </w:r>
      <w:r>
        <w:rPr>
          <w:noProof/>
        </w:rPr>
        <w:t>ä 900 miljoonan euron arvosta vuodessa, kun taas maksupalveluntarjoajat menettävät saman verran tuloja, kun euromääräisistä rajatylittävistä maksutapahtumista peritään pienempiä palvelumaksuja. Maksupalvelunkäyttäjät hyötyvät myös siitä, että rajatylittävi</w:t>
      </w:r>
      <w:r>
        <w:rPr>
          <w:noProof/>
        </w:rPr>
        <w:t>stä maksutapahtumista perittävistä maksuista annetaan selkeämpiä tietoja. Toimenpiteen vuoksi on palkattava valvontaviranomaisia varmistamaan, että maksupalveluntarjoajat noudattavat asetusta, mutta tästä aiheutuu hyvin vähän kustannuksia.</w:t>
      </w:r>
    </w:p>
    <w:p w:rsidR="00652D1B" w:rsidRDefault="00CF5407">
      <w:pPr>
        <w:spacing w:before="0" w:after="240"/>
        <w:rPr>
          <w:noProof/>
        </w:rPr>
      </w:pPr>
      <w:r>
        <w:rPr>
          <w:noProof/>
        </w:rPr>
        <w:t>Toimenpiteellä o</w:t>
      </w:r>
      <w:r>
        <w:rPr>
          <w:noProof/>
        </w:rPr>
        <w:t>dotetaan olevan pitkällä aikavälillä kaksi merkittävää vaikutusta. Ensimmäinen niistä on se, että euroalueen ulkopuoliset jäsenvaltiot integroituvat paremmin euroalueen jäsenvaltioiden kanssa, kun pk-yrityksille luodaan tasapuoliset toimintaedellytykset. T</w:t>
      </w:r>
      <w:r>
        <w:rPr>
          <w:noProof/>
        </w:rPr>
        <w:t>oinen odotettu vaikutus on tasa-arvon lisääntyminen, kun suuremmalla joukolla kansalaisia on mahdollisuus maksaa edullisia rajatylittäviä maksuja.</w:t>
      </w:r>
    </w:p>
    <w:p w:rsidR="00652D1B" w:rsidRDefault="00CF5407">
      <w:pPr>
        <w:spacing w:before="0" w:after="240"/>
        <w:rPr>
          <w:noProof/>
        </w:rPr>
      </w:pPr>
      <w:r>
        <w:rPr>
          <w:noProof/>
        </w:rPr>
        <w:t>Vaikutustenarvioinnissa todetaan, että ehdotuksen toteuttaminen vähentää maksupalveluntarjoajien tuloja. Nämä</w:t>
      </w:r>
      <w:r>
        <w:rPr>
          <w:noProof/>
        </w:rPr>
        <w:t xml:space="preserve"> markkinatoimijat yrittävät todennäköisesti hankkia menettämiään tuloja takaisin muun muassa perimällä suurempia palvelumaksuja muista tuotteista ja palveluista (kuten kotimaan maksutapahtumista tai tilinhoidosta). Kaikkiin tällaisiin yrityksiin sovelletta</w:t>
      </w:r>
      <w:r>
        <w:rPr>
          <w:noProof/>
        </w:rPr>
        <w:t>isiin luonnollisesti kansallisia ja EU:n kilpailusääntöjä. On tärkeää huomata, että kun euroalueen jäsenvaltioiden pankeille asetettiin samoja vaatimuksia ensimmäisen asetuksen tullessa voimaan vuonna 2001, tämä ei johtanut kuitenkaan palvelumaksujen korot</w:t>
      </w:r>
      <w:r>
        <w:rPr>
          <w:noProof/>
        </w:rPr>
        <w:t>uksiin. Päinvastoin, kaikkien maksujen palvelumaksut pienenivät edelleen euroalueen jäsenvaltioissa. Euroalueen ulkopuolisista jäsenvaltioista on mainittava, että Ruotsi on hyödyntänyt voimassa olevassa asetuksessa (EY) N:o 924/2009 annettua mahdollisuutta</w:t>
      </w:r>
      <w:r>
        <w:rPr>
          <w:noProof/>
        </w:rPr>
        <w:t xml:space="preserve"> soveltaa asetusta Ruotsin kruunuun. Tämä on hyödyttänyt ruotsalaisia kuluttajia ja yrityksiä vahingoittamatta kuitenkaan Ruotsin maksumarkkinoita</w:t>
      </w:r>
      <w:r>
        <w:rPr>
          <w:rStyle w:val="FootnoteReference"/>
          <w:noProof/>
        </w:rPr>
        <w:footnoteReference w:id="8"/>
      </w:r>
      <w:r>
        <w:rPr>
          <w:noProof/>
        </w:rPr>
        <w:t xml:space="preserve">. </w:t>
      </w:r>
    </w:p>
    <w:p w:rsidR="00652D1B" w:rsidRDefault="00CF5407">
      <w:pPr>
        <w:spacing w:before="0" w:after="240"/>
        <w:rPr>
          <w:noProof/>
        </w:rPr>
      </w:pPr>
      <w:r>
        <w:rPr>
          <w:noProof/>
        </w:rPr>
        <w:t>On myös olemassa se vaara, että maksupalveluntarjoajat, jotka menettävät tuloja joutuessaan yhdenmukaistam</w:t>
      </w:r>
      <w:r>
        <w:rPr>
          <w:noProof/>
        </w:rPr>
        <w:t xml:space="preserve">aan euromääräisten maksujen palvelumaksut muiden valuuttojen määräisten maksujen palvelumaksujen kanssa, kompensoivat tulonmenetyksiä valuutanmuuntomaksuilla. Maksupalvelunkäyttäjät eivät ole näistä muuntomaksuista yhtä hyvin perillä eivätkä osaa arvioida </w:t>
      </w:r>
      <w:r>
        <w:rPr>
          <w:noProof/>
        </w:rPr>
        <w:t>niitä, koska maksut eivät ole riittävän läpinäkyviä. Tämä riskitekijä otetaan ehdotuksessa huomioon vaatimalla, että valuutan muuntamisen on oltava nykyistä läpinäkyvämpää.</w:t>
      </w:r>
    </w:p>
    <w:p w:rsidR="00652D1B" w:rsidRDefault="00CF5407">
      <w:pPr>
        <w:spacing w:before="0" w:after="240"/>
        <w:rPr>
          <w:rFonts w:eastAsia="Arial Unicode MS"/>
          <w:noProof/>
        </w:rPr>
      </w:pPr>
      <w:r>
        <w:rPr>
          <w:noProof/>
        </w:rPr>
        <w:t>Sääntelyntarkastelulautakunnan annettua vaikutustenarviointiraportista myönteisen l</w:t>
      </w:r>
      <w:r>
        <w:rPr>
          <w:noProof/>
        </w:rPr>
        <w:t>ausunnon ja ehdotettua siihen parannuksia raporttiin tehtiin muutoksia, joissa kuvattiin tarkemmin, miten rahoitusteknologia voi pitkällä aikavälillä vaikuttaa rajatylittävistä maksuista perittävien palvelumaksujen pienenemiseen. Lisäksi tarkistettiin rapo</w:t>
      </w:r>
      <w:r>
        <w:rPr>
          <w:noProof/>
        </w:rPr>
        <w:t>rtin jaksoa, jossa käsitellään tässä ehdotuksessa tehtyjen muutosten seurantaa ja arviointia. Komission yksiköt käsittelivät myös tarkemmin valuutan muuntamisen läpinäkyvyyttä. Asiaa käsitellään jo maksupalveludirektiivissä, jossa asetetaan läpinäkyvyysvaa</w:t>
      </w:r>
      <w:r>
        <w:rPr>
          <w:noProof/>
        </w:rPr>
        <w:t>timuksia. Näitä vaatimuksia olisi kuitenkin täsmennettävä, jotta ne toimisivat paremmin ja estäisivät vastatoimet, jotka kumoaisivat asetuksen (EY) N:o 924/2009 muutoksilla saavutetut kustannussäästöt. Tässä ehdotuksessa esitetään ratkaisuksi, että Euroopa</w:t>
      </w:r>
      <w:r>
        <w:rPr>
          <w:noProof/>
        </w:rPr>
        <w:t>n pankkiviranomaiselle annetaan tehtäväksi laatia tekniset sääntelystandardit, joilla varmistetaan valuutan muuntamista koskevien tarjousten läpinäkyvyys ja vertailukelpoisuus. Standardit laaditaan Euroopan pankkiviranomaisen tekemän erityisen vaikutustena</w:t>
      </w:r>
      <w:r>
        <w:rPr>
          <w:noProof/>
        </w:rPr>
        <w:t>rvioinnin pohjalta.</w:t>
      </w:r>
    </w:p>
    <w:p w:rsidR="00652D1B" w:rsidRDefault="00CF5407">
      <w:pPr>
        <w:pStyle w:val="ManualHeading2"/>
        <w:rPr>
          <w:rFonts w:eastAsia="Arial Unicode MS"/>
          <w:noProof/>
          <w:u w:color="000000"/>
          <w:bdr w:val="nil"/>
        </w:rPr>
      </w:pPr>
      <w:r>
        <w:rPr>
          <w:noProof/>
        </w:rPr>
        <w:t>•</w:t>
      </w:r>
      <w:r>
        <w:rPr>
          <w:noProof/>
        </w:rPr>
        <w:tab/>
        <w:t>Sääntelyn toimivuus ja yksinkertaistaminen</w:t>
      </w:r>
    </w:p>
    <w:p w:rsidR="00652D1B" w:rsidRDefault="00CF5407">
      <w:pPr>
        <w:pBdr>
          <w:top w:val="nil"/>
          <w:left w:val="nil"/>
          <w:bottom w:val="nil"/>
          <w:right w:val="nil"/>
          <w:between w:val="nil"/>
          <w:bar w:val="nil"/>
        </w:pBdr>
        <w:spacing w:before="0" w:after="240"/>
        <w:rPr>
          <w:noProof/>
        </w:rPr>
      </w:pPr>
      <w:r>
        <w:rPr>
          <w:noProof/>
        </w:rPr>
        <w:t>Komission työohjelmassa vuodeksi 2017 asetus (EY) N:o 924/2009 on merkitty REFIT-aloitteeksi</w:t>
      </w:r>
      <w:r>
        <w:rPr>
          <w:rStyle w:val="FootnoteReference"/>
          <w:noProof/>
        </w:rPr>
        <w:footnoteReference w:id="9"/>
      </w:r>
      <w:r>
        <w:rPr>
          <w:noProof/>
        </w:rPr>
        <w:t xml:space="preserve">. Asetusta on jo yksinkertaistettu vuonna 2012 tekemällä siihen muutoksia yhtenäiseen </w:t>
      </w:r>
      <w:r>
        <w:rPr>
          <w:noProof/>
        </w:rPr>
        <w:t>euromaksualueeseen siirtymisen määräaikoja koskevan asetuksen (EU) N:o 260/2012 perusteella. Jälkimmäisellä asetuksella on poistettu 50 000 euron yläraja, jonka ylittyessä asetusta (EY) N:o 924/2009 ei enää sovelleta, sekä useita raportointivelvollisuuksia</w:t>
      </w:r>
      <w:r>
        <w:rPr>
          <w:noProof/>
        </w:rPr>
        <w:t>.</w:t>
      </w:r>
    </w:p>
    <w:p w:rsidR="00652D1B" w:rsidRDefault="00CF5407">
      <w:pPr>
        <w:pBdr>
          <w:top w:val="nil"/>
          <w:left w:val="nil"/>
          <w:bottom w:val="nil"/>
          <w:right w:val="nil"/>
          <w:between w:val="nil"/>
          <w:bar w:val="nil"/>
        </w:pBdr>
        <w:spacing w:before="0" w:after="240"/>
        <w:rPr>
          <w:noProof/>
        </w:rPr>
      </w:pPr>
      <w:r>
        <w:rPr>
          <w:noProof/>
        </w:rPr>
        <w:t xml:space="preserve">Tämä ehdotus parantaa asetuksen (EY) N:o 924/2009 toimivuutta vielä enemmän. Vaikka mainittua asetusta on sovellettu kaikkiin euromääräisiin maksutapahtumiin kaikissa jäsenvaltioissa, se ei ole toiminut EU:n kansalaisten ja yritysten kannalta euroalueen </w:t>
      </w:r>
      <w:r>
        <w:rPr>
          <w:noProof/>
        </w:rPr>
        <w:t>ulkopuolella siitä huolimatta, että euroa on käytetty rajatylittävissä maksutapahtumissa laajalti myös euroalueen ulkopuolella. Ehdotuksella korjataan tämä puute ja annetaan vihdoin kaikille EU:n kansalaisille ja yrityksille mahdollisuus hyötyä asetuksesta</w:t>
      </w:r>
      <w:r>
        <w:rPr>
          <w:noProof/>
        </w:rPr>
        <w:t>, jonka on aina ollut tarkoitus hyödyttää koko EU:ta eikä pelkästään euroaluetta.</w:t>
      </w:r>
    </w:p>
    <w:p w:rsidR="00652D1B" w:rsidRDefault="00CF5407">
      <w:pPr>
        <w:pBdr>
          <w:top w:val="nil"/>
          <w:left w:val="nil"/>
          <w:bottom w:val="nil"/>
          <w:right w:val="nil"/>
          <w:between w:val="nil"/>
          <w:bar w:val="nil"/>
        </w:pBdr>
        <w:spacing w:before="0" w:after="240"/>
        <w:rPr>
          <w:noProof/>
        </w:rPr>
      </w:pPr>
      <w:r>
        <w:rPr>
          <w:noProof/>
        </w:rPr>
        <w:t>Ehdotuksesta hyötyvät mikroyritykset ja yleensäkin pk-yritykset. Useimmat pk-yritykset ja erityisesti pienimmät niistä eivät pysty neuvottelemaan palvelumaksuista, jotka niid</w:t>
      </w:r>
      <w:r>
        <w:rPr>
          <w:noProof/>
        </w:rPr>
        <w:t>en on maksettava rajatylittävistä maksuista. Tämä mahdollisuus annetaan yleensä ainoastaan suuremmille yritysasiakkaille, jotka käyttävät suurten pankkien tarjoamia kassanhallintapalveluja. Sen vuoksi asetuksen soveltamisalan laajentaminen hyödyttäisi pk-y</w:t>
      </w:r>
      <w:r>
        <w:rPr>
          <w:noProof/>
        </w:rPr>
        <w:t>rityksiä huomattavasti enemmän kuin suurempia yrityksiä.</w:t>
      </w:r>
    </w:p>
    <w:p w:rsidR="00652D1B" w:rsidRDefault="00CF5407">
      <w:pPr>
        <w:pBdr>
          <w:top w:val="nil"/>
          <w:left w:val="nil"/>
          <w:bottom w:val="nil"/>
          <w:right w:val="nil"/>
          <w:between w:val="nil"/>
          <w:bar w:val="nil"/>
        </w:pBdr>
        <w:spacing w:before="0" w:after="240"/>
        <w:rPr>
          <w:noProof/>
        </w:rPr>
      </w:pPr>
      <w:r>
        <w:rPr>
          <w:noProof/>
        </w:rPr>
        <w:t xml:space="preserve">EU:n yrityksistä tulee kilpailukykyisempiä, kun ne voivat tavoittaa suuremman joukon tavaran- tai palveluntoimittajia tai asiakkaita pienemmillä kustannuksilla. Todennäköisesti koko EU:n talouden </w:t>
      </w:r>
      <w:r>
        <w:rPr>
          <w:noProof/>
        </w:rPr>
        <w:t>kilpailukyky paranee, kun maksukuluihin liittyvät esteet poistetaan tiiviimmän taloudellisen yhdentymisen tieltä.</w:t>
      </w:r>
    </w:p>
    <w:p w:rsidR="00652D1B" w:rsidRDefault="00CF5407">
      <w:pPr>
        <w:pStyle w:val="ManualHeading1"/>
        <w:rPr>
          <w:noProof/>
        </w:rPr>
      </w:pPr>
      <w:r>
        <w:rPr>
          <w:noProof/>
        </w:rPr>
        <w:t>4.</w:t>
      </w:r>
      <w:r>
        <w:rPr>
          <w:noProof/>
        </w:rPr>
        <w:tab/>
        <w:t>TALOUSARVIOVAIKUTUKSET</w:t>
      </w:r>
    </w:p>
    <w:p w:rsidR="00652D1B" w:rsidRDefault="00CF5407">
      <w:pPr>
        <w:pBdr>
          <w:top w:val="nil"/>
          <w:left w:val="nil"/>
          <w:bottom w:val="nil"/>
          <w:right w:val="nil"/>
          <w:between w:val="nil"/>
          <w:bar w:val="nil"/>
        </w:pBdr>
        <w:spacing w:before="0" w:after="240"/>
        <w:rPr>
          <w:rFonts w:eastAsia="Arial Unicode MS"/>
          <w:noProof/>
        </w:rPr>
      </w:pPr>
      <w:r>
        <w:rPr>
          <w:noProof/>
        </w:rPr>
        <w:t>Ehdotus ei vaikuta EU:n toimielinten talousarvioihin.</w:t>
      </w:r>
    </w:p>
    <w:p w:rsidR="00652D1B" w:rsidRDefault="00CF5407">
      <w:pPr>
        <w:pStyle w:val="ManualHeading1"/>
        <w:rPr>
          <w:noProof/>
        </w:rPr>
      </w:pPr>
      <w:r>
        <w:rPr>
          <w:noProof/>
        </w:rPr>
        <w:t>5.</w:t>
      </w:r>
      <w:r>
        <w:rPr>
          <w:noProof/>
        </w:rPr>
        <w:tab/>
        <w:t>LISÄTIEDOT</w:t>
      </w:r>
    </w:p>
    <w:p w:rsidR="00652D1B" w:rsidRDefault="00CF5407">
      <w:pPr>
        <w:pStyle w:val="ManualHeading2"/>
        <w:rPr>
          <w:rFonts w:eastAsia="Arial Unicode MS"/>
          <w:noProof/>
          <w:u w:color="000000"/>
          <w:bdr w:val="nil"/>
        </w:rPr>
      </w:pPr>
      <w:r>
        <w:rPr>
          <w:noProof/>
        </w:rPr>
        <w:t>•</w:t>
      </w:r>
      <w:r>
        <w:rPr>
          <w:noProof/>
        </w:rPr>
        <w:tab/>
        <w:t>Toteuttamissuunnitelmat, seuranta, arviointi j</w:t>
      </w:r>
      <w:r>
        <w:rPr>
          <w:noProof/>
        </w:rPr>
        <w:t>a raportointijärjestelyt</w:t>
      </w:r>
    </w:p>
    <w:p w:rsidR="00652D1B" w:rsidRDefault="00CF5407">
      <w:pPr>
        <w:pBdr>
          <w:top w:val="nil"/>
          <w:left w:val="nil"/>
          <w:bottom w:val="nil"/>
          <w:right w:val="nil"/>
          <w:between w:val="nil"/>
          <w:bar w:val="nil"/>
        </w:pBdr>
        <w:spacing w:before="0" w:after="240"/>
        <w:rPr>
          <w:rFonts w:eastAsia="Arial Unicode MS"/>
          <w:noProof/>
        </w:rPr>
      </w:pPr>
      <w:r>
        <w:rPr>
          <w:noProof/>
        </w:rPr>
        <w:t>Uusien sääntöjen vaikutuksia on tarkoitus arvioida viimeistään 31. lokakuuta 2022, ja arviointi esitellään Euroopan parlamentille, neuvostolle, Euroopan talous- ja sosiaalikomitealle ja Euroopan keskuspankille. Arvioinnissa olisi t</w:t>
      </w:r>
      <w:r>
        <w:rPr>
          <w:noProof/>
        </w:rPr>
        <w:t xml:space="preserve">arkasteltava erityisesti markkinakehitystä ja arvioitava, pitäisikö ehdotus ulottaa koskemaan kaikkia EU:n jäsenvaltioiden valuuttoja eikä pelkästään euroa. </w:t>
      </w:r>
    </w:p>
    <w:p w:rsidR="00652D1B" w:rsidRDefault="00CF5407">
      <w:pPr>
        <w:pStyle w:val="ManualHeading2"/>
        <w:rPr>
          <w:rFonts w:eastAsia="Arial Unicode MS"/>
          <w:noProof/>
          <w:u w:color="000000"/>
          <w:bdr w:val="nil"/>
        </w:rPr>
      </w:pPr>
      <w:r>
        <w:rPr>
          <w:noProof/>
        </w:rPr>
        <w:t>•</w:t>
      </w:r>
      <w:r>
        <w:rPr>
          <w:noProof/>
        </w:rPr>
        <w:tab/>
        <w:t>Ehdotukseen sisältyvien säännösten yksityiskohtaiset selitykset</w:t>
      </w:r>
    </w:p>
    <w:p w:rsidR="00652D1B" w:rsidRDefault="00CF5407">
      <w:pPr>
        <w:pBdr>
          <w:top w:val="nil"/>
          <w:left w:val="nil"/>
          <w:bottom w:val="nil"/>
          <w:right w:val="nil"/>
          <w:between w:val="nil"/>
          <w:bar w:val="nil"/>
        </w:pBdr>
        <w:spacing w:before="0" w:after="240"/>
        <w:rPr>
          <w:noProof/>
        </w:rPr>
      </w:pPr>
      <w:r>
        <w:rPr>
          <w:noProof/>
        </w:rPr>
        <w:t xml:space="preserve">Ehdotuksen mukaan euromääräisen </w:t>
      </w:r>
      <w:r>
        <w:rPr>
          <w:noProof/>
        </w:rPr>
        <w:t>rajatylittävän maksutapahtuman hinta EU:ssa olisi sama kuin jäsenvaltion sisäisen, kansallisen valuutan määräisen kotimaisen maksutapahtuman hinta.</w:t>
      </w:r>
    </w:p>
    <w:p w:rsidR="00652D1B" w:rsidRDefault="00CF5407">
      <w:pPr>
        <w:pBdr>
          <w:top w:val="nil"/>
          <w:left w:val="nil"/>
          <w:bottom w:val="nil"/>
          <w:right w:val="nil"/>
          <w:between w:val="nil"/>
          <w:bar w:val="nil"/>
        </w:pBdr>
        <w:spacing w:before="0" w:after="240"/>
        <w:rPr>
          <w:noProof/>
        </w:rPr>
      </w:pPr>
      <w:r>
        <w:rPr>
          <w:noProof/>
        </w:rPr>
        <w:t>Ehdotuksen 1 artiklan 2 kohdassa vahvistetaan periaate, jonka mukaan maksupalveluntarjoajien on yhdenmukaist</w:t>
      </w:r>
      <w:r>
        <w:rPr>
          <w:noProof/>
        </w:rPr>
        <w:t>ettava euromääräisistä rajaylittävistä maksuista perittävät palvelumaksut maksupalvelunkäyttäjän jäsenvaltion valuutan määräisistä kotimaan maksuista perittävien palvelumaksujen kanssa myös niissä jäsenvaltioissa, joissa euro ei ole kansallinen valuutta.</w:t>
      </w:r>
    </w:p>
    <w:p w:rsidR="00652D1B" w:rsidRDefault="00CF5407">
      <w:pPr>
        <w:pBdr>
          <w:top w:val="nil"/>
          <w:left w:val="nil"/>
          <w:bottom w:val="nil"/>
          <w:right w:val="nil"/>
          <w:between w:val="nil"/>
          <w:bar w:val="nil"/>
        </w:pBdr>
        <w:spacing w:before="0" w:after="240"/>
        <w:rPr>
          <w:noProof/>
        </w:rPr>
      </w:pPr>
      <w:r>
        <w:rPr>
          <w:noProof/>
        </w:rPr>
        <w:t>E</w:t>
      </w:r>
      <w:r>
        <w:rPr>
          <w:noProof/>
        </w:rPr>
        <w:t>hdotuksen 1 artiklan 3 kohdassa tarkennetaan sisämarkkinoiden maksupalveluja koskevan direktiivin (EU) 2015/2366 45 ja 59 artiklaa, jotka koskevat valuutan muuntamista, ja asetetaan vaatimukset, joiden mukaan maksupalveluntarjoajien on varmistettava läpinä</w:t>
      </w:r>
      <w:r>
        <w:rPr>
          <w:noProof/>
        </w:rPr>
        <w:t>kyvyys ennen maksun suorittamista sekä vaihtoehtoisten valuutanmuuntopalvelujen vertailukelpoisuus. Tässä artiklassa Euroopan pankkiviranomaiselle annetaan tehtäväksi laatia tekniset sääntelystandardit, joilla varmistetaan maksupalvelunkäyttäjien saatavill</w:t>
      </w:r>
      <w:r>
        <w:rPr>
          <w:noProof/>
        </w:rPr>
        <w:t>a olevien vaihtoehtoisten valuutanmuuntopalvelujen läpinäkyvyys ja niiden hintojen täydellinen vertailukelpoisuus.</w:t>
      </w:r>
    </w:p>
    <w:p w:rsidR="00652D1B" w:rsidRDefault="00652D1B">
      <w:pPr>
        <w:rPr>
          <w:noProof/>
        </w:rPr>
        <w:sectPr w:rsidR="00652D1B">
          <w:footerReference w:type="default" r:id="rId10"/>
          <w:footerReference w:type="first" r:id="rId11"/>
          <w:pgSz w:w="11907" w:h="16839"/>
          <w:pgMar w:top="1134" w:right="1417" w:bottom="1134" w:left="1417" w:header="709" w:footer="709" w:gutter="0"/>
          <w:cols w:space="708"/>
          <w:docGrid w:linePitch="360"/>
        </w:sectPr>
      </w:pPr>
    </w:p>
    <w:p w:rsidR="00652D1B" w:rsidRDefault="00CF5407">
      <w:pPr>
        <w:pStyle w:val="Rfrenceinterinstitutionnelle"/>
        <w:rPr>
          <w:noProof/>
        </w:rPr>
      </w:pPr>
      <w:r>
        <w:rPr>
          <w:noProof/>
        </w:rPr>
        <w:t>2018/0076 (COD)</w:t>
      </w:r>
    </w:p>
    <w:p w:rsidR="00652D1B" w:rsidRDefault="00CF5407">
      <w:pPr>
        <w:pStyle w:val="Statut"/>
        <w:rPr>
          <w:noProof/>
        </w:rPr>
      </w:pPr>
      <w:r>
        <w:rPr>
          <w:noProof/>
        </w:rPr>
        <w:t>Ehdotus</w:t>
      </w:r>
    </w:p>
    <w:p w:rsidR="00652D1B" w:rsidRDefault="00CF5407">
      <w:pPr>
        <w:pStyle w:val="Typedudocument"/>
        <w:rPr>
          <w:noProof/>
        </w:rPr>
      </w:pPr>
      <w:r>
        <w:rPr>
          <w:noProof/>
        </w:rPr>
        <w:t>EUROOPAN PARLAMENTIN JA NEUVOSTON ASETUS</w:t>
      </w:r>
    </w:p>
    <w:p w:rsidR="00652D1B" w:rsidRDefault="00CF5407">
      <w:pPr>
        <w:pStyle w:val="Titreobjet"/>
        <w:rPr>
          <w:noProof/>
        </w:rPr>
      </w:pPr>
      <w:r>
        <w:rPr>
          <w:noProof/>
        </w:rPr>
        <w:t>asetuksen (EY) N:o 924</w:t>
      </w:r>
      <w:r>
        <w:rPr>
          <w:noProof/>
        </w:rPr>
        <w:t>/2009 muuttamisesta tiettyjen rajatylittävistä maksuista unionissa perittävien palvelumaksujen ja valuutan muuntamisesta perittävien palvelumaksujen osalta</w:t>
      </w:r>
    </w:p>
    <w:p w:rsidR="00652D1B" w:rsidRDefault="00CF5407">
      <w:pPr>
        <w:pStyle w:val="IntrtEEE"/>
        <w:rPr>
          <w:noProof/>
        </w:rPr>
      </w:pPr>
      <w:r>
        <w:rPr>
          <w:noProof/>
        </w:rPr>
        <w:t>(ETA:n kannalta merkityksellinen teksti)</w:t>
      </w:r>
    </w:p>
    <w:p w:rsidR="00652D1B" w:rsidRDefault="00CF5407">
      <w:pPr>
        <w:pStyle w:val="Institutionquiagit"/>
        <w:rPr>
          <w:noProof/>
        </w:rPr>
      </w:pPr>
      <w:r>
        <w:rPr>
          <w:noProof/>
        </w:rPr>
        <w:t>EUROOPAN PARLAMENTTI JA EUROOPAN UNIONIN NEUVOSTO, jotka</w:t>
      </w:r>
    </w:p>
    <w:p w:rsidR="00652D1B" w:rsidRDefault="00CF5407">
      <w:pPr>
        <w:rPr>
          <w:noProof/>
        </w:rPr>
      </w:pPr>
      <w:r>
        <w:rPr>
          <w:noProof/>
        </w:rPr>
        <w:t>ottavat huomioon Euroopan unionin toiminnasta tehdyn sopimuksen ja erityisesti sen 114 artiklan,</w:t>
      </w:r>
    </w:p>
    <w:p w:rsidR="00652D1B" w:rsidRDefault="00CF5407">
      <w:pPr>
        <w:rPr>
          <w:noProof/>
        </w:rPr>
      </w:pPr>
      <w:r>
        <w:rPr>
          <w:noProof/>
        </w:rPr>
        <w:t>ottavat huomioon Euroopan komission ehdotuksen,</w:t>
      </w:r>
    </w:p>
    <w:p w:rsidR="00652D1B" w:rsidRDefault="00CF5407">
      <w:pPr>
        <w:rPr>
          <w:noProof/>
        </w:rPr>
      </w:pPr>
      <w:r>
        <w:rPr>
          <w:noProof/>
        </w:rPr>
        <w:t>sen jälkeen kun esitys lainsäätämisjärjestyksessä hyväksyttäväksi säädökseksi on toimitettu kansallisille parla</w:t>
      </w:r>
      <w:r>
        <w:rPr>
          <w:noProof/>
        </w:rPr>
        <w:t>menteille,</w:t>
      </w:r>
    </w:p>
    <w:p w:rsidR="00652D1B" w:rsidRDefault="00CF5407">
      <w:pPr>
        <w:rPr>
          <w:noProof/>
        </w:rPr>
      </w:pPr>
      <w:r>
        <w:rPr>
          <w:noProof/>
        </w:rPr>
        <w:t>ottavat huomioon Euroopan talous- ja sosiaalikomitean lausunnon</w:t>
      </w:r>
      <w:r>
        <w:rPr>
          <w:rStyle w:val="FootnoteReference"/>
          <w:noProof/>
        </w:rPr>
        <w:footnoteReference w:id="10"/>
      </w:r>
      <w:r>
        <w:rPr>
          <w:noProof/>
        </w:rPr>
        <w:t>,</w:t>
      </w:r>
    </w:p>
    <w:p w:rsidR="00652D1B" w:rsidRDefault="00CF5407">
      <w:pPr>
        <w:rPr>
          <w:noProof/>
        </w:rPr>
      </w:pPr>
      <w:r>
        <w:rPr>
          <w:noProof/>
        </w:rPr>
        <w:t>noudattavat tavallista lainsäätämisjärjestystä,</w:t>
      </w:r>
    </w:p>
    <w:p w:rsidR="00652D1B" w:rsidRDefault="00CF5407">
      <w:pPr>
        <w:rPr>
          <w:noProof/>
        </w:rPr>
      </w:pPr>
      <w:r>
        <w:rPr>
          <w:noProof/>
        </w:rPr>
        <w:t>sekä katsovat seuraavaa:</w:t>
      </w:r>
    </w:p>
    <w:p w:rsidR="00652D1B" w:rsidRDefault="00CF5407">
      <w:pPr>
        <w:pStyle w:val="ManualConsidrant"/>
        <w:rPr>
          <w:noProof/>
        </w:rPr>
      </w:pPr>
      <w:r>
        <w:rPr>
          <w:noProof/>
        </w:rPr>
        <w:t>1)</w:t>
      </w:r>
      <w:r>
        <w:rPr>
          <w:noProof/>
        </w:rPr>
        <w:tab/>
        <w:t>Euroopan parlamentin ja neuvoston asetuksen (EY) N:o 2560/2001</w:t>
      </w:r>
      <w:r>
        <w:rPr>
          <w:rStyle w:val="FootnoteReference"/>
          <w:noProof/>
        </w:rPr>
        <w:footnoteReference w:id="11"/>
      </w:r>
      <w:r>
        <w:rPr>
          <w:noProof/>
        </w:rPr>
        <w:t xml:space="preserve"> ja myöhemmin Euroopan parlamentin ja ne</w:t>
      </w:r>
      <w:r>
        <w:rPr>
          <w:noProof/>
        </w:rPr>
        <w:t>uvoston asetuksen (EY) N:o 924/2009</w:t>
      </w:r>
      <w:r>
        <w:rPr>
          <w:rStyle w:val="FootnoteReference"/>
          <w:noProof/>
        </w:rPr>
        <w:footnoteReference w:id="12"/>
      </w:r>
      <w:r>
        <w:rPr>
          <w:noProof/>
        </w:rPr>
        <w:t xml:space="preserve"> antamisen jälkeen euroalueen jäsenvaltioiden välisistä euromääräisistä rajatylittävistä maksuista perittävät palvelumaksut ovat pienentyneet siinä määrin, että ne ovat useimmissa tapauksissa merkityksettömiä.</w:t>
      </w:r>
    </w:p>
    <w:p w:rsidR="00652D1B" w:rsidRDefault="00CF5407">
      <w:pPr>
        <w:pStyle w:val="ManualConsidrant"/>
        <w:rPr>
          <w:noProof/>
        </w:rPr>
      </w:pPr>
      <w:r>
        <w:rPr>
          <w:noProof/>
        </w:rPr>
        <w:t>2)</w:t>
      </w:r>
      <w:r>
        <w:rPr>
          <w:noProof/>
        </w:rPr>
        <w:tab/>
        <w:t>Euromää</w:t>
      </w:r>
      <w:r>
        <w:rPr>
          <w:noProof/>
        </w:rPr>
        <w:t xml:space="preserve">räiset rajatylittävät maksut euroalueen ulkopuolisista jäsenvaltioista ovat kuitenkin hyvin suuri osa kaikista rajatylittävistä maksuista, jotka suoritetaan näistä jäsenvaltioista. Tällaisista rajatylittävistä maksuista peritään yhä suuria palvelumaksuja, </w:t>
      </w:r>
      <w:r>
        <w:rPr>
          <w:noProof/>
        </w:rPr>
        <w:t>vaikka maksupalveluntarjoajat voivat käsitellä maksutapahtumat hyvin edullisesti käyttämällä samoja tehokkaita infrastruktuureja kuin euroalueen maksupalveluntarjoajat.</w:t>
      </w:r>
    </w:p>
    <w:p w:rsidR="00652D1B" w:rsidRDefault="00CF5407">
      <w:pPr>
        <w:pStyle w:val="ManualConsidrant"/>
        <w:rPr>
          <w:noProof/>
        </w:rPr>
      </w:pPr>
      <w:r>
        <w:rPr>
          <w:noProof/>
        </w:rPr>
        <w:t>3)</w:t>
      </w:r>
      <w:r>
        <w:rPr>
          <w:noProof/>
        </w:rPr>
        <w:tab/>
        <w:t>Rajatylittävistä maksuista perittävät suuret palvelumaksut estävät yhä euroalueen ul</w:t>
      </w:r>
      <w:r>
        <w:rPr>
          <w:noProof/>
        </w:rPr>
        <w:t>kopuolisten jäsenvaltioiden yritysten ja kansalaisten täysimittaisen integroitumisen sisämarkkinoille. Suurten palvelumaksujen vuoksi unionissa on edelleenkin kaksi maksupalvelunkäyttäjien ryhmää: maksupalvelunkäyttäjät, joista valtaosa hyötyy yhtenäisestä</w:t>
      </w:r>
      <w:r>
        <w:rPr>
          <w:noProof/>
        </w:rPr>
        <w:t xml:space="preserve"> euromaksualueesta (SEPA), ja maksupalvelunkäyttäjät, jotka maksavat suuria palvelumaksuja euromääräisistä rajatylittävistä maksuistaan.</w:t>
      </w:r>
    </w:p>
    <w:p w:rsidR="00652D1B" w:rsidRDefault="00CF5407">
      <w:pPr>
        <w:pStyle w:val="ManualConsidrant"/>
        <w:rPr>
          <w:noProof/>
        </w:rPr>
      </w:pPr>
      <w:r>
        <w:rPr>
          <w:noProof/>
        </w:rPr>
        <w:t>4)</w:t>
      </w:r>
      <w:r>
        <w:rPr>
          <w:noProof/>
        </w:rPr>
        <w:tab/>
        <w:t>On tarpeen varmistaa, että palvelumaksut, jotka peritään euromääräisistä rajatylittävistä maksuista unionissa, yhden</w:t>
      </w:r>
      <w:r>
        <w:rPr>
          <w:noProof/>
        </w:rPr>
        <w:t>mukaistetaan jäsenvaltion virallisen valuutan määräisistä kotimaan maksuista perittävien palvelumaksujen kanssa, jotta voidaan helpottaa sisämarkkinoiden toimintaa ja poistaa euroalueen ja euroalueen ulkopuolisten jäsenvaltioiden maksupalvelunkäyttäjien vä</w:t>
      </w:r>
      <w:r>
        <w:rPr>
          <w:noProof/>
        </w:rPr>
        <w:t xml:space="preserve">liset esteet euromääräisten rajatylittävien maksujen osalta. </w:t>
      </w:r>
    </w:p>
    <w:p w:rsidR="00652D1B" w:rsidRDefault="00CF5407">
      <w:pPr>
        <w:pStyle w:val="ManualConsidrant"/>
        <w:rPr>
          <w:noProof/>
        </w:rPr>
      </w:pPr>
      <w:r>
        <w:rPr>
          <w:noProof/>
        </w:rPr>
        <w:t>5)</w:t>
      </w:r>
      <w:r>
        <w:rPr>
          <w:noProof/>
        </w:rPr>
        <w:tab/>
        <w:t xml:space="preserve">Valuutan muuntamisesta perittävät palvelumaksut ovat merkittävä rajaylittäviin maksuihin liittyvä kulu, kun maksajan ja maksunsaajan maissa käytetään eri valuuttoja. </w:t>
      </w:r>
      <w:r>
        <w:rPr>
          <w:rStyle w:val="Strong"/>
          <w:b w:val="0"/>
          <w:noProof/>
        </w:rPr>
        <w:t xml:space="preserve">Euroopan parlamentin ja </w:t>
      </w:r>
      <w:r>
        <w:rPr>
          <w:rStyle w:val="Strong"/>
          <w:b w:val="0"/>
          <w:noProof/>
        </w:rPr>
        <w:t>neuvoston</w:t>
      </w:r>
      <w:r>
        <w:rPr>
          <w:noProof/>
        </w:rPr>
        <w:t xml:space="preserve"> direktiivin (EU) 2015/2366</w:t>
      </w:r>
      <w:r>
        <w:rPr>
          <w:rStyle w:val="FootnoteReference"/>
          <w:noProof/>
        </w:rPr>
        <w:footnoteReference w:id="13"/>
      </w:r>
      <w:r>
        <w:rPr>
          <w:noProof/>
        </w:rPr>
        <w:t xml:space="preserve"> 45 artiklassa edellytetään, että palvelumaksuista ja käytetystä vaihtokurssista annetaan selkeät tiedot ennen maksutapahtuman käynnistämistä. Jos myyntipiste tai pankkiautomaatti tarjoaa eri valuutanmuuntovaihtoehtoja,</w:t>
      </w:r>
      <w:r>
        <w:rPr>
          <w:noProof/>
        </w:rPr>
        <w:t xml:space="preserve"> niistä ei välttämättä anneta selkeitä tietoja, joiden perusteella vaihtoehtoja voisi verrata nopeasti ja helposti keskenään. Tämän puutteellisen läpinäkyvyyden vuoksi kilpailu ei pysty alentamaan valuutanmuuntokuluja ja maksajat ovat suuremmassa vaarassa </w:t>
      </w:r>
      <w:r>
        <w:rPr>
          <w:noProof/>
        </w:rPr>
        <w:t xml:space="preserve">valita kalliita valuutanmuuntovaihtoehtoja. Siitä syystä on tarpeen kehittää maksupalveluntarjoajille osoitettuja toimenpiteitä, joilla parannetaan läpinäkyvyyttä ja suojataan kuluttajia valuutanmuuntopalvelujen kohtuuttomilta palvelumaksuilta erityisesti </w:t>
      </w:r>
      <w:r>
        <w:rPr>
          <w:noProof/>
        </w:rPr>
        <w:t xml:space="preserve">silloin, kun kuluttajille ei anneta tietoja, joiden avulla he voisivat valita parhaan valuutanmuuntovaihtoehdon. </w:t>
      </w:r>
    </w:p>
    <w:p w:rsidR="00652D1B" w:rsidRDefault="00CF5407">
      <w:pPr>
        <w:pStyle w:val="ManualConsidrant"/>
        <w:rPr>
          <w:noProof/>
        </w:rPr>
      </w:pPr>
      <w:r>
        <w:rPr>
          <w:noProof/>
        </w:rPr>
        <w:t>6)</w:t>
      </w:r>
      <w:r>
        <w:rPr>
          <w:noProof/>
        </w:rPr>
        <w:tab/>
        <w:t>Valuutan muuntamisesta perittävien palvelumaksujen läpinäkyvyys edellyttää nykyisten maksuinfrastruktuurien ja -prosessien mukauttamista va</w:t>
      </w:r>
      <w:r>
        <w:rPr>
          <w:noProof/>
        </w:rPr>
        <w:t>rsinkin, kun kyseessä ovat verkkomaksut, myyntipisteissä suoritettavat maksut tai pankkiautomaateista tehtävät käteisnostot. Markkinatoimijoille olisi annettava tätä varten riittävästi aikaa sovittaa infrastruktuurinsa ja prosessinsa valuutan muuntamisesta</w:t>
      </w:r>
      <w:r>
        <w:rPr>
          <w:noProof/>
        </w:rPr>
        <w:t xml:space="preserve"> perittäviä palvelumaksuja koskevien säännösten mukaisiksi, jotta ne voisivat noudattaa komission hyväksymiä teknisiä sääntelystandardeja. </w:t>
      </w:r>
    </w:p>
    <w:p w:rsidR="00652D1B" w:rsidRDefault="00CF5407">
      <w:pPr>
        <w:pStyle w:val="ManualConsidrant"/>
        <w:rPr>
          <w:noProof/>
        </w:rPr>
      </w:pPr>
      <w:r>
        <w:rPr>
          <w:noProof/>
        </w:rPr>
        <w:t>7)</w:t>
      </w:r>
      <w:r>
        <w:rPr>
          <w:noProof/>
        </w:rPr>
        <w:tab/>
        <w:t>Valuutan muuntamisesta perittävien palvelumaksujen läpinäkyvyys vaatii teknisiä toimenpiteitä, minkä vuoksi komis</w:t>
      </w:r>
      <w:r>
        <w:rPr>
          <w:noProof/>
        </w:rPr>
        <w:t>siolle olisi siirrettävä valta hyväksyä Euroopan pankkiviranomaisen laatimat tekniset sääntelystandardit, joissa määritetään valuutanmuuntopalveluilta vaadittava läpinäkyvyyden taso ja vertailukelpoisuus. Komission olisi hyväksyttävä nämä teknisten sääntel</w:t>
      </w:r>
      <w:r>
        <w:rPr>
          <w:noProof/>
        </w:rPr>
        <w:t>ystandardien luonnokset delegoiduilla säädöksillä Euroopan unionin toiminnasta tehdyn sopimuksen 290 artiklan nojalla sekä Euroopan parlamentin ja neuvoston asetuksen (EU) N:o 1093/2010</w:t>
      </w:r>
      <w:r>
        <w:rPr>
          <w:rStyle w:val="FootnoteReference"/>
          <w:noProof/>
        </w:rPr>
        <w:footnoteReference w:id="14"/>
      </w:r>
      <w:r>
        <w:rPr>
          <w:noProof/>
        </w:rPr>
        <w:t xml:space="preserve"> 10–14 artiklan mukaisesti. </w:t>
      </w:r>
    </w:p>
    <w:p w:rsidR="00652D1B" w:rsidRDefault="00CF5407">
      <w:pPr>
        <w:pStyle w:val="ManualConsidrant"/>
        <w:rPr>
          <w:noProof/>
        </w:rPr>
      </w:pPr>
      <w:r>
        <w:rPr>
          <w:noProof/>
        </w:rPr>
        <w:t>8)</w:t>
      </w:r>
      <w:r>
        <w:rPr>
          <w:noProof/>
        </w:rPr>
        <w:tab/>
        <w:t>Niiden haittojen rajoittamiseksi, joit</w:t>
      </w:r>
      <w:r>
        <w:rPr>
          <w:noProof/>
        </w:rPr>
        <w:t>a kuluttajille voi koitua ennen kuin markkinatoimijoiden on noudatettava läpinäkyvyystoimenpiteitä, on asianmukaista antaa Euroopan pankkiviranomaisen, jäljempänä ’EPV’, tehtäväksi määrittää teknisessä sääntelystandardissa yläraja, jota sovelletaan siirtym</w:t>
      </w:r>
      <w:r>
        <w:rPr>
          <w:noProof/>
        </w:rPr>
        <w:t xml:space="preserve">äkauden ajan, jotta voidaan rajoittaa valuutanmuuntopalveluista perittäviä palvelumaksuja ja säilyttää samalla maksupalveluntarjoajien välinen terve kilpailu. </w:t>
      </w:r>
    </w:p>
    <w:p w:rsidR="00652D1B" w:rsidRDefault="00CF5407">
      <w:pPr>
        <w:pStyle w:val="ManualConsidrant"/>
        <w:rPr>
          <w:noProof/>
        </w:rPr>
      </w:pPr>
      <w:r>
        <w:rPr>
          <w:noProof/>
        </w:rPr>
        <w:t>9)</w:t>
      </w:r>
      <w:r>
        <w:rPr>
          <w:noProof/>
        </w:rPr>
        <w:tab/>
        <w:t>Jäsenvaltiot eivät voi riittävällä tavalla saavuttaa tämän asetuksen tavoitteita, vaan ne voi</w:t>
      </w:r>
      <w:r>
        <w:rPr>
          <w:noProof/>
        </w:rPr>
        <w:t>daan maksujen rajatylittävän luonteen vuoksi saavuttaa paremmin unionin tasolla. Sen vuoksi unioni voi toteuttaa toimenpiteitä Euroopan unionista tehdyn sopimuksen 5 artiklassa vahvistetun toissijaisuusperiaatteen mukaisesti. Mainitussa artiklassa vahviste</w:t>
      </w:r>
      <w:r>
        <w:rPr>
          <w:noProof/>
        </w:rPr>
        <w:t>tun suhteellisuusperiaatteen mukaisesti tässä asetuksessa ei ylitetä sitä, mikä on tarpeen näiden tavoitteiden saavuttamiseksi,</w:t>
      </w:r>
    </w:p>
    <w:p w:rsidR="00652D1B" w:rsidRDefault="00CF5407">
      <w:pPr>
        <w:pStyle w:val="Formuledadoption"/>
        <w:rPr>
          <w:noProof/>
        </w:rPr>
      </w:pPr>
      <w:r>
        <w:rPr>
          <w:noProof/>
        </w:rPr>
        <w:t>OVAT HYVÄKSYNEET TÄMÄN ASETUKSEN:</w:t>
      </w:r>
    </w:p>
    <w:p w:rsidR="00652D1B" w:rsidRDefault="00CF5407">
      <w:pPr>
        <w:pStyle w:val="Titrearticle"/>
        <w:rPr>
          <w:noProof/>
        </w:rPr>
      </w:pPr>
      <w:r>
        <w:rPr>
          <w:noProof/>
        </w:rPr>
        <w:t>1 artikla</w:t>
      </w:r>
    </w:p>
    <w:p w:rsidR="00652D1B" w:rsidRDefault="00CF5407">
      <w:pPr>
        <w:spacing w:before="100" w:beforeAutospacing="1" w:after="100" w:afterAutospacing="1"/>
        <w:jc w:val="center"/>
        <w:rPr>
          <w:rFonts w:eastAsia="Times New Roman"/>
          <w:b/>
          <w:noProof/>
          <w:szCs w:val="24"/>
        </w:rPr>
      </w:pPr>
      <w:r>
        <w:rPr>
          <w:b/>
          <w:noProof/>
        </w:rPr>
        <w:t>Asetuksen (EY) N:o 924/2009 muuttaminen</w:t>
      </w:r>
    </w:p>
    <w:p w:rsidR="00652D1B" w:rsidRDefault="00CF5407">
      <w:pPr>
        <w:pStyle w:val="Text1"/>
        <w:ind w:left="567" w:hanging="567"/>
        <w:rPr>
          <w:noProof/>
        </w:rPr>
      </w:pPr>
      <w:r>
        <w:rPr>
          <w:noProof/>
        </w:rPr>
        <w:t>Muutetaan asetus (EY) N:o 924/2009 seuraavas</w:t>
      </w:r>
      <w:r>
        <w:rPr>
          <w:noProof/>
        </w:rPr>
        <w:t>ti:</w:t>
      </w:r>
    </w:p>
    <w:p w:rsidR="00652D1B" w:rsidRDefault="00CF5407">
      <w:pPr>
        <w:pStyle w:val="Text1"/>
        <w:ind w:left="567" w:hanging="567"/>
        <w:rPr>
          <w:noProof/>
        </w:rPr>
      </w:pPr>
      <w:r>
        <w:rPr>
          <w:noProof/>
        </w:rPr>
        <w:t>1)</w:t>
      </w:r>
      <w:r>
        <w:rPr>
          <w:noProof/>
        </w:rPr>
        <w:tab/>
        <w:t>Muutetaan 1 artikla seuraavasti:</w:t>
      </w:r>
    </w:p>
    <w:p w:rsidR="00652D1B" w:rsidRDefault="00CF5407">
      <w:pPr>
        <w:pStyle w:val="Text1"/>
        <w:ind w:left="1134" w:hanging="567"/>
        <w:rPr>
          <w:noProof/>
        </w:rPr>
      </w:pPr>
      <w:r>
        <w:rPr>
          <w:noProof/>
        </w:rPr>
        <w:t>a)</w:t>
      </w:r>
      <w:r>
        <w:rPr>
          <w:noProof/>
        </w:rPr>
        <w:tab/>
        <w:t>korvataan 1 kohta seuraavasti:</w:t>
      </w:r>
    </w:p>
    <w:p w:rsidR="00652D1B" w:rsidRDefault="00CF5407">
      <w:pPr>
        <w:pStyle w:val="Text1"/>
        <w:tabs>
          <w:tab w:val="left" w:pos="1701"/>
        </w:tabs>
        <w:ind w:left="1134" w:right="568"/>
        <w:rPr>
          <w:noProof/>
        </w:rPr>
      </w:pPr>
      <w:r>
        <w:rPr>
          <w:noProof/>
        </w:rPr>
        <w:t>”1.</w:t>
      </w:r>
      <w:r>
        <w:rPr>
          <w:noProof/>
        </w:rPr>
        <w:tab/>
        <w:t>Tässä asetuksessa vahvistetaan säännöt rajatylittävistä maksuista unionissa.”;</w:t>
      </w:r>
    </w:p>
    <w:p w:rsidR="00652D1B" w:rsidRDefault="00CF5407">
      <w:pPr>
        <w:pStyle w:val="Text1"/>
        <w:tabs>
          <w:tab w:val="left" w:pos="1134"/>
        </w:tabs>
        <w:ind w:left="567" w:right="568"/>
        <w:rPr>
          <w:noProof/>
        </w:rPr>
      </w:pPr>
      <w:r>
        <w:rPr>
          <w:noProof/>
        </w:rPr>
        <w:t>b)</w:t>
      </w:r>
      <w:r>
        <w:rPr>
          <w:noProof/>
        </w:rPr>
        <w:tab/>
        <w:t xml:space="preserve">lisätään 2 kohtaan toinen alakohta seuraavasti: </w:t>
      </w:r>
    </w:p>
    <w:p w:rsidR="00652D1B" w:rsidRDefault="00CF5407">
      <w:pPr>
        <w:pStyle w:val="Text1"/>
        <w:tabs>
          <w:tab w:val="left" w:pos="1701"/>
        </w:tabs>
        <w:ind w:left="1134" w:right="568"/>
        <w:rPr>
          <w:noProof/>
        </w:rPr>
      </w:pPr>
      <w:r>
        <w:rPr>
          <w:noProof/>
        </w:rPr>
        <w:t xml:space="preserve">”Jäljempänä olevia 3 a ja 3 b artiklaa </w:t>
      </w:r>
      <w:r>
        <w:rPr>
          <w:noProof/>
        </w:rPr>
        <w:t>sovelletaan kuitenkin kaikkiin rajatylittäviin maksuihin riippumatta siitä, ovatko maksut euromääräisiä vai jäsenvaltion kansallisen valuutan määräisiä, kun jäsenvaltion valuuttana ei ole euro.”</w:t>
      </w:r>
    </w:p>
    <w:p w:rsidR="00652D1B" w:rsidRDefault="00652D1B">
      <w:pPr>
        <w:pStyle w:val="Text1"/>
        <w:tabs>
          <w:tab w:val="left" w:pos="1701"/>
        </w:tabs>
        <w:ind w:left="1134" w:right="568"/>
        <w:rPr>
          <w:noProof/>
        </w:rPr>
      </w:pPr>
    </w:p>
    <w:p w:rsidR="00652D1B" w:rsidRDefault="00CF5407">
      <w:pPr>
        <w:pStyle w:val="Text1"/>
        <w:ind w:left="0"/>
        <w:rPr>
          <w:noProof/>
        </w:rPr>
      </w:pPr>
      <w:r>
        <w:rPr>
          <w:noProof/>
        </w:rPr>
        <w:t>2)</w:t>
      </w:r>
      <w:r>
        <w:rPr>
          <w:noProof/>
        </w:rPr>
        <w:tab/>
        <w:t>Muutetaan 3 artikla seuraavasti:</w:t>
      </w:r>
    </w:p>
    <w:p w:rsidR="00652D1B" w:rsidRDefault="00CF5407">
      <w:pPr>
        <w:pStyle w:val="Text1"/>
        <w:ind w:left="567"/>
        <w:rPr>
          <w:noProof/>
        </w:rPr>
      </w:pPr>
      <w:r>
        <w:rPr>
          <w:noProof/>
        </w:rPr>
        <w:t>a)</w:t>
      </w:r>
      <w:r>
        <w:rPr>
          <w:noProof/>
        </w:rPr>
        <w:tab/>
        <w:t>korvataan 1 kohta seu</w:t>
      </w:r>
      <w:r>
        <w:rPr>
          <w:noProof/>
        </w:rPr>
        <w:t>raavasti:</w:t>
      </w:r>
    </w:p>
    <w:p w:rsidR="00652D1B" w:rsidRDefault="00CF5407">
      <w:pPr>
        <w:pStyle w:val="Text1"/>
        <w:ind w:left="1134"/>
        <w:rPr>
          <w:noProof/>
        </w:rPr>
      </w:pPr>
      <w:r>
        <w:rPr>
          <w:noProof/>
        </w:rPr>
        <w:t>”1.</w:t>
      </w:r>
      <w:r>
        <w:rPr>
          <w:noProof/>
        </w:rPr>
        <w:tab/>
      </w:r>
      <w:r>
        <w:rPr>
          <w:noProof/>
        </w:rPr>
        <w:tab/>
        <w:t>Palvelumaksujen, jotka maksupalveluntarjoaja veloittaa maksupalvelunkäyttäjältä euromääräisistä rajatylittävistä maksuista, on oltava samat kuin palvelumaksut, jotka maksupalveluntarjoaja veloittaa maksupalvelunkäyttäjiltä vastaavista samana</w:t>
      </w:r>
      <w:r>
        <w:rPr>
          <w:noProof/>
        </w:rPr>
        <w:t xml:space="preserve">rvoisista ja maksupalvelunkäyttäjän jäsenvaltion virallisen valuutan määräisistä kansallisista maksuista.”; </w:t>
      </w:r>
    </w:p>
    <w:p w:rsidR="00652D1B" w:rsidRDefault="00CF5407">
      <w:pPr>
        <w:pStyle w:val="Text1"/>
        <w:ind w:left="567"/>
        <w:rPr>
          <w:noProof/>
        </w:rPr>
      </w:pPr>
      <w:r>
        <w:rPr>
          <w:noProof/>
        </w:rPr>
        <w:t>b)</w:t>
      </w:r>
      <w:r>
        <w:rPr>
          <w:noProof/>
        </w:rPr>
        <w:tab/>
        <w:t>lisätään 1 a kohta seuraavasti:</w:t>
      </w:r>
    </w:p>
    <w:p w:rsidR="00652D1B" w:rsidRDefault="00CF5407">
      <w:pPr>
        <w:pStyle w:val="Text1"/>
        <w:ind w:left="1134"/>
        <w:rPr>
          <w:noProof/>
        </w:rPr>
      </w:pPr>
      <w:r>
        <w:rPr>
          <w:noProof/>
        </w:rPr>
        <w:t>”1 a.</w:t>
      </w:r>
      <w:r>
        <w:rPr>
          <w:noProof/>
        </w:rPr>
        <w:tab/>
        <w:t>Palvelumaksujen, jotka maksupalveluntarjoaja veloittaa maksupalvelujen käyttäjältä sen jäsenvaltion kansal</w:t>
      </w:r>
      <w:r>
        <w:rPr>
          <w:noProof/>
        </w:rPr>
        <w:t>lisen valuutan määräisistä rajatylittävistä maksuista, joka on ilmoittanut päätöksestään laajentaa tämän asetuksen soveltamisala koskemaan kansallista valuuttaansa 14 artiklan mukaisesti, on oltava samat kuin palvelumaksut, jotka maksupalveluntarjoaja velo</w:t>
      </w:r>
      <w:r>
        <w:rPr>
          <w:noProof/>
        </w:rPr>
        <w:t xml:space="preserve">ittaa maksupalvelunkäyttäjiltä vastaavista samanarvoisista ja saman valuutan määräisistä maksuista.”; </w:t>
      </w:r>
    </w:p>
    <w:p w:rsidR="00652D1B" w:rsidRDefault="00CF5407">
      <w:pPr>
        <w:pStyle w:val="Text1"/>
        <w:ind w:left="567"/>
        <w:rPr>
          <w:noProof/>
        </w:rPr>
      </w:pPr>
      <w:r>
        <w:rPr>
          <w:noProof/>
        </w:rPr>
        <w:t>c)</w:t>
      </w:r>
      <w:r>
        <w:rPr>
          <w:noProof/>
        </w:rPr>
        <w:tab/>
        <w:t>kumotaan 3 kohta;</w:t>
      </w:r>
    </w:p>
    <w:p w:rsidR="00652D1B" w:rsidRDefault="00CF5407">
      <w:pPr>
        <w:pStyle w:val="Text1"/>
        <w:ind w:left="567"/>
        <w:rPr>
          <w:noProof/>
        </w:rPr>
      </w:pPr>
      <w:r>
        <w:rPr>
          <w:noProof/>
        </w:rPr>
        <w:t>d)</w:t>
      </w:r>
      <w:r>
        <w:rPr>
          <w:noProof/>
        </w:rPr>
        <w:tab/>
        <w:t>korvataan 4 kohta seuraavasti:</w:t>
      </w:r>
    </w:p>
    <w:p w:rsidR="00652D1B" w:rsidRDefault="00CF5407">
      <w:pPr>
        <w:pStyle w:val="Text1"/>
        <w:rPr>
          <w:noProof/>
        </w:rPr>
      </w:pPr>
      <w:r>
        <w:rPr>
          <w:noProof/>
        </w:rPr>
        <w:t>”4.</w:t>
      </w:r>
      <w:r>
        <w:rPr>
          <w:noProof/>
        </w:rPr>
        <w:tab/>
        <w:t>Edellä 1 ja 1 a kohdassa tarkoitettuihin palvelumaksuihin eivät kuulu valuutan muuntamisesta p</w:t>
      </w:r>
      <w:r>
        <w:rPr>
          <w:noProof/>
        </w:rPr>
        <w:t>erittävät palvelumaksut.”</w:t>
      </w:r>
    </w:p>
    <w:p w:rsidR="00652D1B" w:rsidRDefault="00CF5407">
      <w:pPr>
        <w:pStyle w:val="Text1"/>
        <w:ind w:left="0"/>
        <w:rPr>
          <w:noProof/>
        </w:rPr>
      </w:pPr>
      <w:r>
        <w:rPr>
          <w:noProof/>
        </w:rPr>
        <w:t>3)</w:t>
      </w:r>
      <w:r>
        <w:rPr>
          <w:noProof/>
        </w:rPr>
        <w:tab/>
        <w:t>Lisätään 3 a artikla seuraavasti:</w:t>
      </w:r>
    </w:p>
    <w:p w:rsidR="00652D1B" w:rsidRDefault="00652D1B">
      <w:pPr>
        <w:jc w:val="center"/>
        <w:rPr>
          <w:noProof/>
        </w:rPr>
      </w:pPr>
    </w:p>
    <w:p w:rsidR="00652D1B" w:rsidRDefault="00CF5407">
      <w:pPr>
        <w:jc w:val="center"/>
        <w:rPr>
          <w:i/>
          <w:noProof/>
        </w:rPr>
      </w:pPr>
      <w:r>
        <w:rPr>
          <w:noProof/>
        </w:rPr>
        <w:t>”</w:t>
      </w:r>
      <w:r>
        <w:rPr>
          <w:i/>
          <w:noProof/>
        </w:rPr>
        <w:t xml:space="preserve">3 a artikla </w:t>
      </w:r>
    </w:p>
    <w:p w:rsidR="00652D1B" w:rsidRPr="00CF5407" w:rsidRDefault="00CF5407">
      <w:pPr>
        <w:jc w:val="center"/>
        <w:rPr>
          <w:b/>
          <w:noProof/>
        </w:rPr>
      </w:pPr>
      <w:r>
        <w:rPr>
          <w:b/>
          <w:noProof/>
        </w:rPr>
        <w:t xml:space="preserve">Valuutan </w:t>
      </w:r>
      <w:r w:rsidRPr="00CF5407">
        <w:rPr>
          <w:b/>
          <w:noProof/>
        </w:rPr>
        <w:t>muuntamisesta perittävät palvelumaksut</w:t>
      </w:r>
    </w:p>
    <w:p w:rsidR="00652D1B" w:rsidRDefault="00CF5407">
      <w:pPr>
        <w:pStyle w:val="Text1"/>
        <w:tabs>
          <w:tab w:val="left" w:pos="1134"/>
        </w:tabs>
        <w:ind w:left="567" w:right="568"/>
        <w:rPr>
          <w:noProof/>
        </w:rPr>
      </w:pPr>
      <w:r w:rsidRPr="00CF5407">
        <w:rPr>
          <w:noProof/>
        </w:rPr>
        <w:t>1.</w:t>
      </w:r>
      <w:r w:rsidRPr="00CF5407">
        <w:rPr>
          <w:noProof/>
        </w:rPr>
        <w:tab/>
        <w:t xml:space="preserve">Maksupalveluntarjoajien on </w:t>
      </w:r>
      <w:r w:rsidRPr="00CF5407">
        <w:rPr>
          <w:noProof/>
        </w:rPr>
        <w:t>[julkaisutoimisto lisää päivämäärän, joka on 36 kuukauden kuluttua tämän asetuksen voimaantulosta]</w:t>
      </w:r>
      <w:r w:rsidRPr="00CF5407">
        <w:rPr>
          <w:noProof/>
        </w:rPr>
        <w:t xml:space="preserve"> a</w:t>
      </w:r>
      <w:r w:rsidRPr="00CF5407">
        <w:rPr>
          <w:noProof/>
        </w:rPr>
        <w:t>lkaen ilmoitettava</w:t>
      </w:r>
      <w:r>
        <w:rPr>
          <w:noProof/>
        </w:rPr>
        <w:t xml:space="preserve"> maksupalvelunkäyttäjille valuutanmuuntopalvelujen ja tarvittaessa vaihtoehtoisten valuutanmuuntopalvelujen kokonaiskulut ennen maksutapahtuman käynnistämistä, jotta maksupalvelunkäyttäjät voivat vertailla vaihtoehtoisia valuutanmuuntomah</w:t>
      </w:r>
      <w:r>
        <w:rPr>
          <w:noProof/>
        </w:rPr>
        <w:t>dollisuuksia ja niiden vastaavia kuluja. Tätä varten maksupalveluntarjoajien on ilmoitettava käytetty vaihtokurssi, käytetty valuuttaviitekurssi ja kaikkien maksutapahtuman muuntamiseen sovellettavien palvelumaksujen kokonaismäärä.</w:t>
      </w:r>
    </w:p>
    <w:p w:rsidR="00652D1B" w:rsidRDefault="00CF5407">
      <w:pPr>
        <w:pStyle w:val="Text1"/>
        <w:ind w:left="567" w:right="568"/>
        <w:rPr>
          <w:rFonts w:eastAsia="Calibri"/>
          <w:noProof/>
        </w:rPr>
      </w:pPr>
      <w:r>
        <w:rPr>
          <w:noProof/>
        </w:rPr>
        <w:t>2.</w:t>
      </w:r>
      <w:r>
        <w:rPr>
          <w:noProof/>
        </w:rPr>
        <w:tab/>
        <w:t>Euroopan pankkivirano</w:t>
      </w:r>
      <w:r>
        <w:rPr>
          <w:noProof/>
        </w:rPr>
        <w:t>mainen, jäljempänä ’EPV’, laatii luonnokset teknisiksi sääntelystandardeiksi, joissa täsmennetään, miten maksupalveluntarjoajien on taattava maksupalvelunkäyttäjille erilaisten mahdollisten valuutanmuuntopalvelujen läpinäkyvyys ja niiden hintojen vertailuk</w:t>
      </w:r>
      <w:r>
        <w:rPr>
          <w:noProof/>
        </w:rPr>
        <w:t>elpoisuus, jos tällaisia vaihtoehtoisia palveluja on saatavilla. Näiden standardien on sisällettävä toimenpiteitä, joita maksupalveluntarjoajien on toteuttava myös pankkiautomaatissa tai myyntipisteessä sen varmistamiseksi, että valuutanmuuntopalvelun kust</w:t>
      </w:r>
      <w:r>
        <w:rPr>
          <w:noProof/>
        </w:rPr>
        <w:t>annukset ja tapauksen mukaan vaihtoehtoisten valuutanmuuntomahdollisuuksien kulut ilmoitetaan maksupalvelunkäyttäjille ennen maksutapahtuman käynnistämistä.</w:t>
      </w:r>
      <w:r>
        <w:rPr>
          <w:b/>
          <w:noProof/>
        </w:rPr>
        <w:t xml:space="preserve"> </w:t>
      </w:r>
    </w:p>
    <w:p w:rsidR="00652D1B" w:rsidRDefault="00CF5407">
      <w:pPr>
        <w:pStyle w:val="Text1"/>
        <w:ind w:left="567" w:right="568"/>
        <w:rPr>
          <w:noProof/>
        </w:rPr>
      </w:pPr>
      <w:r>
        <w:rPr>
          <w:noProof/>
        </w:rPr>
        <w:t>Ensimmäisessä alakohdassa tarkoitetuissa teknisten sääntelystandardien luonnoksissa on vahvistetta</w:t>
      </w:r>
      <w:r>
        <w:rPr>
          <w:noProof/>
        </w:rPr>
        <w:t>va myös kaikkien sellaisten valuutanmuuntopalveluissa sallittujen palvelumaksujen enimmäismäärä, joita voidaan soveltaa maksutapahtumaan 3 b artiklassa tarkoitetun siirtymäkauden aikana. Standardeissa on otettava huomioon maksutapahtuman määrä ja unionin j</w:t>
      </w:r>
      <w:r>
        <w:rPr>
          <w:noProof/>
        </w:rPr>
        <w:t>äsenvaltioiden valuuttojen välinen vaihtokurssien vaihtelu ja varmistettava samalla terve kilpailu kaikkien maksupalveluntarjoajien välillä ja pidettävä sitä yllä. Teknisissä sääntelystandardeissa on yksilöitävä toimenpiteet, jotka on toteutettava sen estä</w:t>
      </w:r>
      <w:r>
        <w:rPr>
          <w:noProof/>
        </w:rPr>
        <w:t>miseksi, että maksupalvelunkäyttäjiltä veloitetaan enemmän kuin tämä enimmäismäärä kyseisen kauden aikana.</w:t>
      </w:r>
    </w:p>
    <w:p w:rsidR="00652D1B" w:rsidRDefault="00CF5407">
      <w:pPr>
        <w:pStyle w:val="Text1"/>
        <w:ind w:left="567" w:right="568"/>
        <w:rPr>
          <w:noProof/>
        </w:rPr>
      </w:pPr>
      <w:r>
        <w:rPr>
          <w:noProof/>
        </w:rPr>
        <w:t>EPV toimittaa teknisten sääntelystandardien luonnokset komissiolle viimeistään [kuusi kuukautta tämän asetuksen voimaantulon jälkeen].</w:t>
      </w:r>
    </w:p>
    <w:p w:rsidR="00652D1B" w:rsidRDefault="00CF5407">
      <w:pPr>
        <w:pStyle w:val="Text1"/>
        <w:ind w:left="567" w:right="568"/>
        <w:rPr>
          <w:noProof/>
          <w:szCs w:val="24"/>
        </w:rPr>
      </w:pPr>
      <w:r>
        <w:rPr>
          <w:noProof/>
        </w:rPr>
        <w:t xml:space="preserve">Siirretään </w:t>
      </w:r>
      <w:r>
        <w:rPr>
          <w:noProof/>
        </w:rPr>
        <w:t>komissiolle valta hyväksyä ensimmäisessä alakohdassa tarkoitetut tekniset sääntelystandardit Euroopan parlamentin ja neuvoston asetuksen (EU) N:o 1093/2010* 10–14 artiklan mukaisesti.</w:t>
      </w:r>
    </w:p>
    <w:p w:rsidR="00652D1B" w:rsidRDefault="00CF5407">
      <w:pPr>
        <w:pStyle w:val="Text1"/>
        <w:ind w:left="567" w:right="568"/>
        <w:rPr>
          <w:noProof/>
          <w:szCs w:val="24"/>
        </w:rPr>
      </w:pPr>
      <w:r>
        <w:rPr>
          <w:noProof/>
        </w:rPr>
        <w:t>_________________________________________________________________</w:t>
      </w:r>
    </w:p>
    <w:p w:rsidR="00652D1B" w:rsidRDefault="00CF5407">
      <w:pPr>
        <w:pStyle w:val="Text1"/>
        <w:ind w:left="1134" w:right="568" w:hanging="567"/>
        <w:rPr>
          <w:noProof/>
          <w:sz w:val="20"/>
          <w:szCs w:val="20"/>
        </w:rPr>
      </w:pPr>
      <w:r>
        <w:rPr>
          <w:noProof/>
          <w:sz w:val="20"/>
        </w:rPr>
        <w:t>*</w:t>
      </w:r>
      <w:r>
        <w:rPr>
          <w:noProof/>
        </w:rPr>
        <w:tab/>
      </w:r>
      <w:r>
        <w:rPr>
          <w:noProof/>
          <w:sz w:val="20"/>
        </w:rPr>
        <w:t>Euroopan parlamentin ja neuvoston asetus (EU) N:o 1093/2010, annettu 24 päivänä marraskuuta 2010, Euroopan valvontaviranomaisen (Euroopan pankkiviranomainen) perustamisesta sekä päätöksen N:o 716/2009/EY muuttamisesta ja komission päätöksen 2009/78/EY kumo</w:t>
      </w:r>
      <w:r>
        <w:rPr>
          <w:noProof/>
          <w:sz w:val="20"/>
        </w:rPr>
        <w:t>amisesta (EUVL L 331, 15.12.2010, s. 12).”</w:t>
      </w:r>
    </w:p>
    <w:p w:rsidR="00652D1B" w:rsidRDefault="00652D1B">
      <w:pPr>
        <w:pStyle w:val="Text1"/>
        <w:ind w:left="0" w:right="568"/>
        <w:rPr>
          <w:noProof/>
          <w:sz w:val="20"/>
          <w:szCs w:val="20"/>
        </w:rPr>
      </w:pPr>
    </w:p>
    <w:p w:rsidR="00652D1B" w:rsidRDefault="00CF5407">
      <w:pPr>
        <w:pStyle w:val="Text1"/>
        <w:ind w:left="0" w:right="568"/>
        <w:rPr>
          <w:noProof/>
          <w:szCs w:val="24"/>
        </w:rPr>
      </w:pPr>
      <w:r>
        <w:rPr>
          <w:noProof/>
        </w:rPr>
        <w:t>4)</w:t>
      </w:r>
      <w:r>
        <w:rPr>
          <w:noProof/>
        </w:rPr>
        <w:tab/>
        <w:t>Lisätään 3 b artikla seuraavasti:</w:t>
      </w:r>
    </w:p>
    <w:p w:rsidR="00652D1B" w:rsidRDefault="00652D1B">
      <w:pPr>
        <w:pStyle w:val="Text1"/>
        <w:ind w:left="1134" w:right="568" w:hanging="567"/>
        <w:rPr>
          <w:noProof/>
          <w:sz w:val="20"/>
          <w:szCs w:val="20"/>
        </w:rPr>
      </w:pPr>
    </w:p>
    <w:p w:rsidR="00652D1B" w:rsidRDefault="00CF5407">
      <w:pPr>
        <w:ind w:left="567" w:right="568"/>
        <w:jc w:val="center"/>
        <w:rPr>
          <w:i/>
          <w:noProof/>
        </w:rPr>
      </w:pPr>
      <w:r>
        <w:rPr>
          <w:i/>
          <w:noProof/>
        </w:rPr>
        <w:t>”3 b artikla</w:t>
      </w:r>
    </w:p>
    <w:p w:rsidR="00652D1B" w:rsidRDefault="00CF5407">
      <w:pPr>
        <w:jc w:val="center"/>
        <w:rPr>
          <w:b/>
          <w:noProof/>
        </w:rPr>
      </w:pPr>
      <w:r>
        <w:rPr>
          <w:b/>
          <w:noProof/>
        </w:rPr>
        <w:t>Siirtymäkausi</w:t>
      </w:r>
    </w:p>
    <w:p w:rsidR="00652D1B" w:rsidRDefault="00CF5407">
      <w:pPr>
        <w:ind w:left="567" w:right="568"/>
        <w:rPr>
          <w:noProof/>
        </w:rPr>
      </w:pPr>
      <w:r>
        <w:rPr>
          <w:noProof/>
        </w:rPr>
        <w:t>Edellä 3 a artiklan 2 kohdan neljännessä alakohdassa tarkoitettujen teknisten sääntelystandardien voimaantulon ja 3 a artiklan 1 kohdan soveltamise</w:t>
      </w:r>
      <w:r>
        <w:rPr>
          <w:noProof/>
        </w:rPr>
        <w:t>n alkamispäivän välisen siirtymäkauden aikana valuutanmuuntopalveluista perittävät palvelumaksut eivät saa ylittää 3 a artiklan 2 kohdan neljännen alakohdan mukaisesti hyväksytyissä teknisissä sääntelystandardeissa vahvistettua enimmäismäärää.”</w:t>
      </w:r>
    </w:p>
    <w:p w:rsidR="00652D1B" w:rsidRDefault="00652D1B">
      <w:pPr>
        <w:rPr>
          <w:noProof/>
        </w:rPr>
      </w:pPr>
    </w:p>
    <w:p w:rsidR="00652D1B" w:rsidRDefault="00CF5407">
      <w:pPr>
        <w:pStyle w:val="Text1"/>
        <w:ind w:left="0"/>
        <w:rPr>
          <w:noProof/>
        </w:rPr>
      </w:pPr>
      <w:r>
        <w:rPr>
          <w:noProof/>
        </w:rPr>
        <w:t>5)</w:t>
      </w:r>
      <w:r>
        <w:rPr>
          <w:noProof/>
        </w:rPr>
        <w:tab/>
        <w:t>Korvata</w:t>
      </w:r>
      <w:r>
        <w:rPr>
          <w:noProof/>
        </w:rPr>
        <w:t>an 15 artikla seuraavasti:</w:t>
      </w:r>
    </w:p>
    <w:p w:rsidR="00652D1B" w:rsidRDefault="00CF5407">
      <w:pPr>
        <w:spacing w:before="0" w:after="0"/>
        <w:ind w:left="567" w:right="567"/>
        <w:jc w:val="center"/>
        <w:rPr>
          <w:rFonts w:eastAsia="Times New Roman"/>
          <w:i/>
          <w:noProof/>
          <w:szCs w:val="24"/>
        </w:rPr>
      </w:pPr>
      <w:r>
        <w:rPr>
          <w:noProof/>
        </w:rPr>
        <w:t>”</w:t>
      </w:r>
      <w:r>
        <w:rPr>
          <w:i/>
          <w:noProof/>
        </w:rPr>
        <w:t>15 artikla</w:t>
      </w:r>
    </w:p>
    <w:p w:rsidR="00652D1B" w:rsidRDefault="00CF5407">
      <w:pPr>
        <w:spacing w:before="0" w:after="0"/>
        <w:ind w:left="567" w:right="567"/>
        <w:jc w:val="center"/>
        <w:rPr>
          <w:rFonts w:eastAsia="Times New Roman"/>
          <w:b/>
          <w:noProof/>
          <w:szCs w:val="24"/>
        </w:rPr>
      </w:pPr>
      <w:r>
        <w:rPr>
          <w:b/>
          <w:noProof/>
        </w:rPr>
        <w:t>Uudelleentarkastelu</w:t>
      </w:r>
    </w:p>
    <w:p w:rsidR="00652D1B" w:rsidRDefault="00CF5407">
      <w:pPr>
        <w:spacing w:before="100" w:beforeAutospacing="1" w:after="100" w:afterAutospacing="1"/>
        <w:ind w:left="567"/>
        <w:rPr>
          <w:rFonts w:eastAsia="Times New Roman"/>
          <w:noProof/>
          <w:szCs w:val="24"/>
        </w:rPr>
      </w:pPr>
      <w:r>
        <w:rPr>
          <w:noProof/>
        </w:rPr>
        <w:t>Komissio esittää Euroopan parlamentille, neuvostolle, Euroopan talous- ja sosiaalikomitealle ja Euroopan keskuspankille viimeistään 31 päivänä lokakuuta 2022 kertomuksen tämän asetuksen soveltamise</w:t>
      </w:r>
      <w:r>
        <w:rPr>
          <w:noProof/>
        </w:rPr>
        <w:t>sta ja liittää siihen tarvittaessa ehdotuksen. Kertomuksessa on käsiteltävä erityisesti sitä, onko asianmukaista muuttaa 1 artiklan 2 kohtaa sen varmistamiseksi, että unionin jäsenvaltioiden kaikki valuutat kuuluvat tämän asetuksen soveltamisalaan.”</w:t>
      </w:r>
    </w:p>
    <w:p w:rsidR="00652D1B" w:rsidRDefault="00CF5407">
      <w:pPr>
        <w:pStyle w:val="Titrearticle"/>
        <w:rPr>
          <w:noProof/>
        </w:rPr>
      </w:pPr>
      <w:r>
        <w:rPr>
          <w:noProof/>
        </w:rPr>
        <w:t>2 arti</w:t>
      </w:r>
      <w:r>
        <w:rPr>
          <w:noProof/>
        </w:rPr>
        <w:t>kla</w:t>
      </w:r>
    </w:p>
    <w:p w:rsidR="00652D1B" w:rsidRDefault="00CF5407">
      <w:pPr>
        <w:rPr>
          <w:noProof/>
        </w:rPr>
      </w:pPr>
      <w:r>
        <w:rPr>
          <w:noProof/>
        </w:rPr>
        <w:t xml:space="preserve">Tämä asetus tulee voimaan kahdentenakymmenentenä päivänä sen jälkeen, kun se on julkaistu </w:t>
      </w:r>
      <w:r>
        <w:rPr>
          <w:i/>
          <w:noProof/>
        </w:rPr>
        <w:t>Euroopan unionin virallisessa lehdessä</w:t>
      </w:r>
      <w:r>
        <w:rPr>
          <w:noProof/>
        </w:rPr>
        <w:t>.</w:t>
      </w:r>
    </w:p>
    <w:p w:rsidR="00652D1B" w:rsidRDefault="00CF5407">
      <w:pPr>
        <w:spacing w:before="100" w:beforeAutospacing="1" w:after="100" w:afterAutospacing="1"/>
        <w:rPr>
          <w:rFonts w:eastAsia="Times New Roman"/>
          <w:noProof/>
          <w:szCs w:val="24"/>
        </w:rPr>
      </w:pPr>
      <w:r>
        <w:rPr>
          <w:noProof/>
        </w:rPr>
        <w:t>Sitä sovelletaan 1 päivästä tammikuuta 2019.</w:t>
      </w:r>
    </w:p>
    <w:p w:rsidR="00652D1B" w:rsidRDefault="00CF5407">
      <w:pPr>
        <w:pStyle w:val="Applicationdirecte"/>
        <w:rPr>
          <w:noProof/>
        </w:rPr>
      </w:pPr>
      <w:r>
        <w:rPr>
          <w:noProof/>
        </w:rPr>
        <w:t>Tämä asetus on kaikilta osiltaan velvoittava, ja sitä sovelletaan sellaisenaa</w:t>
      </w:r>
      <w:r>
        <w:rPr>
          <w:noProof/>
        </w:rPr>
        <w:t>n kaikissa jäsenvaltioissa.</w:t>
      </w:r>
    </w:p>
    <w:p w:rsidR="00652D1B" w:rsidRDefault="00CF5407">
      <w:pPr>
        <w:pStyle w:val="Fait"/>
        <w:rPr>
          <w:noProof/>
        </w:rPr>
      </w:pPr>
      <w:r>
        <w:t>Tehty Brysselissä</w:t>
      </w:r>
    </w:p>
    <w:p w:rsidR="00652D1B" w:rsidRDefault="00CF5407">
      <w:pPr>
        <w:pStyle w:val="Institutionquisigne"/>
        <w:rPr>
          <w:noProof/>
        </w:rPr>
      </w:pPr>
      <w:r>
        <w:rPr>
          <w:noProof/>
        </w:rPr>
        <w:t>Euroopan parlamentin puolesta</w:t>
      </w:r>
      <w:r>
        <w:rPr>
          <w:noProof/>
        </w:rPr>
        <w:tab/>
        <w:t>Neuvoston puolesta</w:t>
      </w:r>
    </w:p>
    <w:p w:rsidR="00652D1B" w:rsidRDefault="00CF5407">
      <w:pPr>
        <w:pStyle w:val="Personnequisigne"/>
        <w:rPr>
          <w:noProof/>
        </w:rPr>
      </w:pPr>
      <w:r>
        <w:rPr>
          <w:noProof/>
        </w:rPr>
        <w:t>Puhemies</w:t>
      </w:r>
      <w:r>
        <w:rPr>
          <w:noProof/>
        </w:rPr>
        <w:tab/>
        <w:t>Puheenjohtaja</w:t>
      </w:r>
    </w:p>
    <w:sectPr w:rsidR="00652D1B">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D1B" w:rsidRDefault="00CF5407">
      <w:pPr>
        <w:spacing w:before="0" w:after="0"/>
      </w:pPr>
      <w:r>
        <w:separator/>
      </w:r>
    </w:p>
  </w:endnote>
  <w:endnote w:type="continuationSeparator" w:id="0">
    <w:p w:rsidR="00652D1B" w:rsidRDefault="00CF540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D1B" w:rsidRDefault="00CF5407">
    <w:pPr>
      <w:pStyle w:val="Footer"/>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D1B" w:rsidRDefault="00CF5407">
    <w:pPr>
      <w:pStyle w:val="Footer"/>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D1B" w:rsidRDefault="00652D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D1B" w:rsidRDefault="00CF5407">
      <w:pPr>
        <w:spacing w:before="0" w:after="0"/>
      </w:pPr>
      <w:r>
        <w:separator/>
      </w:r>
    </w:p>
  </w:footnote>
  <w:footnote w:type="continuationSeparator" w:id="0">
    <w:p w:rsidR="00652D1B" w:rsidRDefault="00CF5407">
      <w:pPr>
        <w:spacing w:before="0" w:after="0"/>
      </w:pPr>
      <w:r>
        <w:continuationSeparator/>
      </w:r>
    </w:p>
  </w:footnote>
  <w:footnote w:id="1">
    <w:p w:rsidR="00652D1B" w:rsidRDefault="00CF5407">
      <w:pPr>
        <w:pStyle w:val="Default"/>
      </w:pPr>
      <w:r>
        <w:rPr>
          <w:rStyle w:val="FootnoteReference"/>
        </w:rPr>
        <w:footnoteRef/>
      </w:r>
      <w:r>
        <w:tab/>
      </w:r>
      <w:r>
        <w:rPr>
          <w:sz w:val="20"/>
        </w:rPr>
        <w:t>2016/2056(INI).</w:t>
      </w:r>
    </w:p>
  </w:footnote>
  <w:footnote w:id="2">
    <w:p w:rsidR="00652D1B" w:rsidRDefault="00CF5407">
      <w:pPr>
        <w:pStyle w:val="FootnoteText"/>
      </w:pPr>
      <w:r>
        <w:rPr>
          <w:rStyle w:val="FootnoteReference"/>
        </w:rPr>
        <w:footnoteRef/>
      </w:r>
      <w:r>
        <w:tab/>
        <w:t>COM(2017) 0139.</w:t>
      </w:r>
    </w:p>
  </w:footnote>
  <w:footnote w:id="3">
    <w:p w:rsidR="00652D1B" w:rsidRDefault="00CF5407">
      <w:pPr>
        <w:pStyle w:val="FootnoteText"/>
      </w:pPr>
      <w:r>
        <w:rPr>
          <w:rStyle w:val="FootnoteReference"/>
        </w:rPr>
        <w:footnoteRef/>
      </w:r>
      <w:r>
        <w:tab/>
        <w:t>Ruotsi soveltaa asetuksen (EY) N:o 924/2009 14 artiklaa.</w:t>
      </w:r>
    </w:p>
  </w:footnote>
  <w:footnote w:id="4">
    <w:p w:rsidR="00652D1B" w:rsidRDefault="00CF5407">
      <w:pPr>
        <w:pStyle w:val="FootnoteText"/>
      </w:pPr>
      <w:r>
        <w:rPr>
          <w:rStyle w:val="FootnoteReference"/>
        </w:rPr>
        <w:footnoteRef/>
      </w:r>
      <w:r>
        <w:tab/>
        <w:t xml:space="preserve">Lähde: Deloitten tutkimus, joka on </w:t>
      </w:r>
      <w:r>
        <w:t>saatavilla osoitteessa https://ec.europa.eu/info/files/180328-study-cross-border-transaction-fees-extension_en</w:t>
      </w:r>
    </w:p>
  </w:footnote>
  <w:footnote w:id="5">
    <w:p w:rsidR="00652D1B" w:rsidRDefault="00CF5407">
      <w:pPr>
        <w:pStyle w:val="FootnoteText"/>
      </w:pPr>
      <w:r>
        <w:rPr>
          <w:rStyle w:val="FootnoteReference"/>
        </w:rPr>
        <w:footnoteRef/>
      </w:r>
      <w:r>
        <w:tab/>
        <w:t>Ks. edellinen alaviite.</w:t>
      </w:r>
    </w:p>
  </w:footnote>
  <w:footnote w:id="6">
    <w:p w:rsidR="00652D1B" w:rsidRDefault="00CF5407">
      <w:pPr>
        <w:pStyle w:val="Default"/>
      </w:pPr>
      <w:r>
        <w:rPr>
          <w:rStyle w:val="FootnoteReference"/>
        </w:rPr>
        <w:footnoteRef/>
      </w:r>
      <w:r>
        <w:tab/>
      </w:r>
      <w:r>
        <w:rPr>
          <w:color w:val="auto"/>
          <w:sz w:val="20"/>
        </w:rPr>
        <w:t>COM(2018) 109/2.</w:t>
      </w:r>
    </w:p>
  </w:footnote>
  <w:footnote w:id="7">
    <w:p w:rsidR="00652D1B" w:rsidRDefault="00CF5407">
      <w:pPr>
        <w:pStyle w:val="FootnoteText"/>
      </w:pPr>
      <w:r>
        <w:rPr>
          <w:rStyle w:val="FootnoteReference"/>
        </w:rPr>
        <w:footnoteRef/>
      </w:r>
      <w:r>
        <w:tab/>
        <w:t xml:space="preserve">Deloitten tutkimus on saatavilla osoitteessa </w:t>
      </w:r>
      <w:hyperlink r:id="rId1">
        <w:r>
          <w:rPr>
            <w:rStyle w:val="Hyperlink"/>
          </w:rPr>
          <w:t>https://ec.europa.eu/info/files/180328-study-cross-border-transaction-fees-extension_en</w:t>
        </w:r>
      </w:hyperlink>
    </w:p>
  </w:footnote>
  <w:footnote w:id="8">
    <w:p w:rsidR="00652D1B" w:rsidRDefault="00CF5407">
      <w:pPr>
        <w:pStyle w:val="FootnoteText"/>
      </w:pPr>
      <w:r>
        <w:rPr>
          <w:rStyle w:val="FootnoteReference"/>
        </w:rPr>
        <w:footnoteRef/>
      </w:r>
      <w:r>
        <w:tab/>
        <w:t>Ks. kuvaus Ruotsin tapauksesta oheisasiakirjana olevan vaikutustenarviointiraportin liitteessä 4.</w:t>
      </w:r>
    </w:p>
  </w:footnote>
  <w:footnote w:id="9">
    <w:p w:rsidR="00652D1B" w:rsidRDefault="00CF5407">
      <w:pPr>
        <w:pStyle w:val="FootnoteText"/>
      </w:pPr>
      <w:r>
        <w:rPr>
          <w:rStyle w:val="FootnoteReference"/>
        </w:rPr>
        <w:footnoteRef/>
      </w:r>
      <w:r>
        <w:tab/>
        <w:t xml:space="preserve">Joulukuussa </w:t>
      </w:r>
      <w:r>
        <w:t>2012 käynnistetyn sääntelyn toimivuutta ja tuloksellisuutta koskevan ohjelman (REFIT) tavoitteena on tehdä EU:n lainsäädännöstä kevyempää, yksinkertaisempaa ja edullisempaa, jotta se hyödyttäisi kansalaisia ja yrityksiä ja auttaisi luomaan hyvät edellytyks</w:t>
      </w:r>
      <w:r>
        <w:t>et kasvulle ja työllisyydelle. Ohjelmassa ei kyseenalaisteta EU:n poliittisia tavoitteita vaan pyritään löytämään tehokkaampia keinoja niiden saavuttamiseksi.</w:t>
      </w:r>
    </w:p>
  </w:footnote>
  <w:footnote w:id="10">
    <w:p w:rsidR="00652D1B" w:rsidRDefault="00CF5407">
      <w:pPr>
        <w:pStyle w:val="FootnoteText"/>
      </w:pPr>
      <w:r>
        <w:rPr>
          <w:rStyle w:val="FootnoteReference"/>
        </w:rPr>
        <w:footnoteRef/>
      </w:r>
      <w:r>
        <w:tab/>
        <w:t>EUVL C , , s. .</w:t>
      </w:r>
    </w:p>
  </w:footnote>
  <w:footnote w:id="11">
    <w:p w:rsidR="00652D1B" w:rsidRDefault="00CF5407">
      <w:pPr>
        <w:pStyle w:val="FootnoteText"/>
      </w:pPr>
      <w:r>
        <w:rPr>
          <w:rStyle w:val="FootnoteReference"/>
        </w:rPr>
        <w:footnoteRef/>
      </w:r>
      <w:r>
        <w:tab/>
      </w:r>
      <w:r>
        <w:rPr>
          <w:rStyle w:val="Strong"/>
          <w:b w:val="0"/>
        </w:rPr>
        <w:t>Euroopan parlamentin ja neuvoston asetus (EY) N:o 2560/2001, annettu 19 päivä</w:t>
      </w:r>
      <w:r>
        <w:rPr>
          <w:rStyle w:val="Strong"/>
          <w:b w:val="0"/>
        </w:rPr>
        <w:t>nä joulukuuta 2001, rajat ylittävistä euromääräisistä maksuista (</w:t>
      </w:r>
      <w:r>
        <w:t>EYVL L 344, 28.12.2001, s. 13).</w:t>
      </w:r>
    </w:p>
  </w:footnote>
  <w:footnote w:id="12">
    <w:p w:rsidR="00652D1B" w:rsidRDefault="00CF5407">
      <w:pPr>
        <w:pStyle w:val="FootnoteText"/>
      </w:pPr>
      <w:r>
        <w:rPr>
          <w:rStyle w:val="FootnoteReference"/>
        </w:rPr>
        <w:footnoteRef/>
      </w:r>
      <w:r>
        <w:tab/>
      </w:r>
      <w:r>
        <w:rPr>
          <w:rStyle w:val="Strong"/>
          <w:b w:val="0"/>
        </w:rPr>
        <w:t>Euroopan parlamentin ja neuvoston asetus (EY) N:o 924/2009, annettu 16 päivänä syyskuuta 2009, rajatylittävistä maksuista yhteisössä ja asetuksen (EY) N:o 25</w:t>
      </w:r>
      <w:r>
        <w:rPr>
          <w:rStyle w:val="Strong"/>
          <w:b w:val="0"/>
        </w:rPr>
        <w:t>60/2001 kumoamisesta (</w:t>
      </w:r>
      <w:r>
        <w:t>EUVL L 266, 9.10.2009, s. 11).</w:t>
      </w:r>
    </w:p>
  </w:footnote>
  <w:footnote w:id="13">
    <w:p w:rsidR="00652D1B" w:rsidRDefault="00CF5407">
      <w:pPr>
        <w:pStyle w:val="FootnoteText"/>
        <w:ind w:left="709" w:hanging="709"/>
      </w:pPr>
      <w:r>
        <w:rPr>
          <w:rStyle w:val="FootnoteReference"/>
        </w:rPr>
        <w:footnoteRef/>
      </w:r>
      <w:r>
        <w:tab/>
      </w:r>
      <w:r>
        <w:rPr>
          <w:rStyle w:val="Strong"/>
          <w:b w:val="0"/>
        </w:rPr>
        <w:t>Euroopan parlamentin ja neuvoston direktiivi (EU) 2015/2366, annettu 25 päivänä marraskuuta 2015, maksupalveluista sisämarkkinoilla, direktiivien 2002/65/EY, 2009/110/EY ja 2013/36/EU ja asetuksen (EU)</w:t>
      </w:r>
      <w:r>
        <w:rPr>
          <w:rStyle w:val="Strong"/>
          <w:b w:val="0"/>
        </w:rPr>
        <w:t xml:space="preserve"> N:o 1093/2010 muuttamisesta sekä direktiivin 2007/64/EY kumoamisesta</w:t>
      </w:r>
      <w:r>
        <w:t xml:space="preserve"> (EUVL L 337, 23.12.2015, s. 35).</w:t>
      </w:r>
    </w:p>
  </w:footnote>
  <w:footnote w:id="14">
    <w:p w:rsidR="00652D1B" w:rsidRDefault="00CF5407">
      <w:pPr>
        <w:pStyle w:val="FootnoteText"/>
        <w:ind w:left="709" w:hanging="709"/>
      </w:pPr>
      <w:r>
        <w:rPr>
          <w:rStyle w:val="FootnoteReference"/>
        </w:rPr>
        <w:footnoteRef/>
      </w:r>
      <w:r>
        <w:tab/>
        <w:t>Euroopan parlamentin ja neuvoston asetus (EU) N:o 1093/2010, annettu 24 päivänä marraskuuta 2010, Euroopan valvontaviranomaisen (Euroopan pankkiviranom</w:t>
      </w:r>
      <w:r>
        <w:t>ainen) perustamisesta sekä päätöksen N:o 716/2009/EY muuttamisesta ja komission päätöksen 2009/78/EY kumoamisesta (EUVL L 331, 15.12.2010, s. 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E2CEAD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F3A44DC"/>
    <w:lvl w:ilvl="0">
      <w:start w:val="1"/>
      <w:numFmt w:val="decimal"/>
      <w:pStyle w:val="ListNumber3"/>
      <w:lvlText w:val="%1."/>
      <w:lvlJc w:val="left"/>
      <w:pPr>
        <w:tabs>
          <w:tab w:val="num" w:pos="926"/>
        </w:tabs>
        <w:ind w:left="926" w:hanging="360"/>
      </w:pPr>
    </w:lvl>
  </w:abstractNum>
  <w:abstractNum w:abstractNumId="2">
    <w:nsid w:val="FFFFFF7F"/>
    <w:multiLevelType w:val="singleLevel"/>
    <w:tmpl w:val="1E506AE4"/>
    <w:lvl w:ilvl="0">
      <w:start w:val="1"/>
      <w:numFmt w:val="decimal"/>
      <w:pStyle w:val="ListNumber2"/>
      <w:lvlText w:val="%1."/>
      <w:lvlJc w:val="left"/>
      <w:pPr>
        <w:tabs>
          <w:tab w:val="num" w:pos="643"/>
        </w:tabs>
        <w:ind w:left="643" w:hanging="360"/>
      </w:pPr>
    </w:lvl>
  </w:abstractNum>
  <w:abstractNum w:abstractNumId="3">
    <w:nsid w:val="FFFFFF81"/>
    <w:multiLevelType w:val="singleLevel"/>
    <w:tmpl w:val="95A07F0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0C8743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8CE116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3124ED0"/>
    <w:lvl w:ilvl="0">
      <w:start w:val="1"/>
      <w:numFmt w:val="decimal"/>
      <w:pStyle w:val="ListNumber"/>
      <w:lvlText w:val="%1."/>
      <w:lvlJc w:val="left"/>
      <w:pPr>
        <w:tabs>
          <w:tab w:val="num" w:pos="360"/>
        </w:tabs>
        <w:ind w:left="360" w:hanging="360"/>
      </w:pPr>
    </w:lvl>
  </w:abstractNum>
  <w:abstractNum w:abstractNumId="7">
    <w:nsid w:val="FFFFFF89"/>
    <w:multiLevelType w:val="singleLevel"/>
    <w:tmpl w:val="48C6321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4"/>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4-16 10:25:2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3"/>
    <w:docVar w:name="DQCResult_ModifiedMarkers" w:val="0;0"/>
    <w:docVar w:name="DQCResult_ModifiedNumbering" w:val="0;0"/>
    <w:docVar w:name="DQCResult_Objects" w:val="0;0"/>
    <w:docVar w:name="DQCResult_Sections" w:val="0;0"/>
    <w:docVar w:name="DQCResult_StructureCheck" w:val="0;0"/>
    <w:docVar w:name="DQCResult_SuperfluousWhitespace" w:val="0;10"/>
    <w:docVar w:name="DQCResult_UnknownFonts" w:val="0;0"/>
    <w:docVar w:name="DQCResult_UnknownStyles" w:val="0;2"/>
    <w:docVar w:name="DQCStatus" w:val="Yellow"/>
    <w:docVar w:name="DQCVersion" w:val="3"/>
    <w:docVar w:name="DQCWithWarnings" w:val="0"/>
    <w:docVar w:name="LW_CORRIGENDUM" w:val="&lt;UNUSED&gt;"/>
    <w:docVar w:name="LW_COVERPAGE_EXISTS" w:val="True"/>
    <w:docVar w:name="LW_COVERPAGE_GUID" w:val="CC8F507C-1080-433E-BF19-06CF8C34FE4E"/>
    <w:docVar w:name="LW_COVERPAGE_TYPE" w:val="1"/>
    <w:docVar w:name="LW_CROSSREFERENCE" w:val="{SWD(2018) 84 final}_x000b_{SWD(2018) 85 final}"/>
    <w:docVar w:name="LW_DocType" w:val="COM"/>
    <w:docVar w:name="LW_EMISSION" w:val="28.3.2018"/>
    <w:docVar w:name="LW_EMISSION_ISODATE" w:val="2018-03-28"/>
    <w:docVar w:name="LW_EMISSION_LOCATION" w:val="BRX"/>
    <w:docVar w:name="LW_EMISSION_PREFIX" w:val="Bryssel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ETA:n kannalta merkityksellinen teksti)"/>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COD"/>
    <w:docVar w:name="LW_REF.II.NEW.CP_NUMBER" w:val="0076"/>
    <w:docVar w:name="LW_REF.II.NEW.CP_YEAR" w:val="2018"/>
    <w:docVar w:name="LW_REF.INST.NEW" w:val="COM"/>
    <w:docVar w:name="LW_REF.INST.NEW_ADOPTED" w:val="final"/>
    <w:docVar w:name="LW_REF.INST.NEW_TEXT" w:val="(2018) 1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Ehdotus"/>
    <w:docVar w:name="LW_SUPERTITRE" w:val="&lt;UNUSED&gt;"/>
    <w:docVar w:name="LW_TITRE.OBJ.CP" w:val="asetuksen (EY) N:o 924/2009 muuttamisesta tiettyjen rajatylittävistä maksuista unionissa perittävien palvelumaksujen ja valuutan muuntamisesta perittävien palvelumaksujen osalta"/>
    <w:docVar w:name="LW_TYPE.DOC.CP" w:val="EUROOPAN PARLAMENTIN JA NEUVOSTON ASETUS"/>
  </w:docVars>
  <w:rsids>
    <w:rsidRoot w:val="00652D1B"/>
    <w:rsid w:val="00652D1B"/>
    <w:rsid w:val="00CF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customStyle="1" w:styleId="Default">
    <w:name w:val="Default"/>
    <w:basedOn w:val="Normal"/>
    <w:pPr>
      <w:autoSpaceDE w:val="0"/>
      <w:autoSpaceDN w:val="0"/>
      <w:spacing w:before="0" w:after="0"/>
      <w:jc w:val="left"/>
    </w:pPr>
    <w:rPr>
      <w:color w:val="000000"/>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customStyle="1" w:styleId="Default">
    <w:name w:val="Default"/>
    <w:basedOn w:val="Normal"/>
    <w:pPr>
      <w:autoSpaceDE w:val="0"/>
      <w:autoSpaceDN w:val="0"/>
      <w:spacing w:before="0" w:after="0"/>
      <w:jc w:val="left"/>
    </w:pPr>
    <w:rPr>
      <w:color w:val="000000"/>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iles/180328-study-cross-border-transaction-fees-extension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16</Pages>
  <Words>5944</Words>
  <Characters>33887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2018-03-19T11:27:00Z</cp:lastPrinted>
  <dcterms:created xsi:type="dcterms:W3CDTF">2018-04-16T08:25:00Z</dcterms:created>
  <dcterms:modified xsi:type="dcterms:W3CDTF">2018-04-17T08:58:00Z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Yellow (DQC version 03)</vt:lpwstr>
  </property>
  <property name="OP_sanitized" fmtid="{D5CDD505-2E9C-101B-9397-08002B2CF9AE}" pid="11">
    <vt:lpwstr>True</vt:lpwstr>
  </property>
</Properties>
</file>