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C6B6405-3621-46C7-85FD-ABF7617E34D9"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KOMISSION KERTOMUS EUROOPAN PARLAMENTILLE JA NEUVOSTOLLE</w:t>
      </w:r>
    </w:p>
    <w:p>
      <w:pPr>
        <w:pStyle w:val="Titreobjet"/>
        <w:rPr>
          <w:noProof/>
        </w:rPr>
      </w:pPr>
      <w:r>
        <w:rPr>
          <w:noProof/>
        </w:rPr>
        <w:t xml:space="preserve">Komission 36. vuosikertomus neuvostolle ja Euroopan parlamentille </w:t>
      </w:r>
      <w:r>
        <w:rPr>
          <w:noProof/>
        </w:rPr>
        <w:br/>
        <w:t>polkumyynnin ja tukien vastaisista EU:n toimista ja suojatoimenpiteistä (2017)</w:t>
      </w:r>
    </w:p>
    <w:p>
      <w:pPr>
        <w:pStyle w:val="ManualHeading1"/>
        <w:ind w:left="851" w:hanging="851"/>
        <w:jc w:val="left"/>
        <w:rPr>
          <w:noProof/>
        </w:rPr>
      </w:pPr>
      <w:r>
        <w:rPr>
          <w:noProof/>
        </w:rPr>
        <w:t>Johdanto</w:t>
      </w:r>
    </w:p>
    <w:p>
      <w:pPr>
        <w:pStyle w:val="Text1"/>
        <w:rPr>
          <w:noProof/>
        </w:rPr>
      </w:pPr>
    </w:p>
    <w:p>
      <w:pPr>
        <w:pStyle w:val="Text1"/>
        <w:rPr>
          <w:noProof/>
        </w:rPr>
      </w:pPr>
      <w:r>
        <w:rPr>
          <w:noProof/>
        </w:rPr>
        <w:t xml:space="preserve">Tässä kertomuksessa kuvataan polkumyynnin ja tukien vastaisia Euroopan unionin toimia ja suojatoimenpiteitä vuonna 2017. Kertomus on laadittu seuraavien säännösten mukaisesti: polkumyynnillä muista kuin Euroopan unionin jäsenvaltioista tapahtuvalta tuonnilta suojautumisesta annetun Euroopan parlamentin ja neuvoston asetuksen (EU) 2016/1036, jäljempänä ’polkumyynnin vastainen perusasetus’, 23 artikla, muista kuin Euroopan unionin jäsenvaltioista tapahtuvalta tuetulta tuonnilta suojautumisesta annetun Euroopan parlamentin ja neuvoston asetuksen (EU) 2016/1037, jäljempänä ’tukien vastainen perusasetus’, 34 artikla ja tuontiin sovellettavasta yhteisestä järjestelmästä annetun Euroopan parlamentin ja neuvoston asetuksen (EU) 2015/478 23 artikla. </w:t>
      </w:r>
    </w:p>
    <w:p>
      <w:pPr>
        <w:autoSpaceDE w:val="0"/>
        <w:autoSpaceDN w:val="0"/>
        <w:adjustRightInd w:val="0"/>
        <w:spacing w:before="120" w:after="120"/>
        <w:ind w:left="851"/>
        <w:jc w:val="both"/>
        <w:rPr>
          <w:noProof/>
          <w:color w:val="000000" w:themeColor="text1"/>
          <w:highlight w:val="yellow"/>
        </w:rPr>
      </w:pPr>
      <w:r>
        <w:rPr>
          <w:noProof/>
          <w:color w:val="000000" w:themeColor="text1"/>
        </w:rPr>
        <w:t>Vuosi 2017 oli tärkeä virstanpylväs EU:n kaupan suojakeinoja koskevalle politiikalle. Ensinnäkin 20. joulukuuta 2017 tuli voimaan polkumyynnin ja tukien vastaisten perusasetusten muutos, joka koskee uutta normaaliarvojen laskentamenetelmää tapauksissa, joissa hinnat ja kustannukset ovat viejämaan markkinoilla vääristyneitä. Uuden asetuksen jälkeen julkaistiin kattava maaraportti</w:t>
      </w:r>
      <w:r>
        <w:rPr>
          <w:noProof/>
        </w:rPr>
        <w:t>, jossa kuvattiin merkittäviä markkinavääristymiä Kiinassa</w:t>
      </w:r>
      <w:r>
        <w:rPr>
          <w:noProof/>
          <w:color w:val="000000" w:themeColor="text1"/>
        </w:rPr>
        <w:t>.</w:t>
      </w:r>
      <w:r>
        <w:rPr>
          <w:rStyle w:val="FootnoteReference"/>
          <w:noProof/>
          <w:color w:val="000000" w:themeColor="text1"/>
        </w:rPr>
        <w:footnoteReference w:id="2"/>
      </w:r>
      <w:r>
        <w:rPr>
          <w:noProof/>
          <w:color w:val="000000" w:themeColor="text1"/>
        </w:rPr>
        <w:t xml:space="preserve"> (Ks. tarkempi kuvaus tämän kertomuksen 5. jaksossa.)</w:t>
      </w:r>
    </w:p>
    <w:p>
      <w:pPr>
        <w:pStyle w:val="Text1"/>
        <w:rPr>
          <w:noProof/>
          <w:color w:val="000000" w:themeColor="text1"/>
        </w:rPr>
      </w:pPr>
      <w:r>
        <w:rPr>
          <w:noProof/>
          <w:color w:val="000000" w:themeColor="text1"/>
        </w:rPr>
        <w:t>Toisekseen joulukuussa 2017 EU:n lainsäätäjät saavuttivat merkittävän edistysaskeleen työstäessään erillistä lainsäädäntöehdotusta, jonka tarkoituksena on nykyaikaistaa kaupan suojakeinot EU:ssa, ja pääsivät sopimukseen monista eri aiheista (esimerkiksi tutkimusten nopeuttaminen, alhaisempaa tullia koskevan säännön huolellisempi soveltaminen, läpinäkyvyyden lisääminen ilmoittamalla päätelmistä ennen väliaikaisia toimenpiteitä, ammattijärjestöjen merkityksen tunnustaminen). Sopimukseen pääseminen mahdollisti tämän kauan odotetun lainsäädännön voimaantulon 8. kesäkuuta 2018. Uusia sääntöjä sovelletaan kaikkiin kyseisen päivän jälkeen aloitettuihin tutkimuksiin. Nämä polkumyynnin ja tukien vastaisiin perusasetuksiin tehdyt kaksi muutosten sarjaa muodostavat yhdessä ensimmäisen EU:n polkumyynnin ja tukien vastaisen lainsäädännön mittavan uudistuksen vuoden 1995 jälkeen.</w:t>
      </w:r>
    </w:p>
    <w:p>
      <w:pPr>
        <w:pStyle w:val="Text1"/>
        <w:rPr>
          <w:noProof/>
        </w:rPr>
      </w:pPr>
      <w:r>
        <w:rPr>
          <w:noProof/>
          <w:color w:val="000000" w:themeColor="text1"/>
        </w:rPr>
        <w:t xml:space="preserve">Huomattavaa on, että 20. joulukuuta 2017 voimaan tulleen lain myötä muuttuivat myös komission vuotuiset raportointivaatimukset. Nämä lainsäädännön muutokset eivät vaikuttaneet EU:n polkumyynnin ja tukien vastaisiin menettelyihin miltään osin vielä vuonna 2017, minkä vuoksi tässä kertomuksessa ei käsitellä tätä aihetta. Tämän kertomuksen ohella julkaistaan </w:t>
      </w:r>
      <w:r>
        <w:rPr>
          <w:noProof/>
        </w:rPr>
        <w:t>edellisvuosien tapaan komission yksiköiden valmisteluasiakirja, jonka liitteissä käydään läpi yksityiskohtaisesti muun muassa voimassa oleva lainsäädäntö, terminologia ja menettelyt.</w:t>
      </w:r>
    </w:p>
    <w:p>
      <w:pPr>
        <w:pStyle w:val="Text1"/>
        <w:rPr>
          <w:noProof/>
        </w:rPr>
      </w:pPr>
      <w:r>
        <w:rPr>
          <w:noProof/>
        </w:rPr>
        <w:t>Komissio käsitteli edelleen vuonna 2017 runsaasti tapauksia. Väliaikaisten ja lopullisten toimenpiteiden määrä oli jokseenkin sama kuin vuonna 2016, mutta voimassa olevien toimenpiteiden uudelleen tarkasteleminen oli huomattavasti aiempaa yleisempää. Komissio on edelleen hyödyntänyt kaikkia sovellettavan lainsäädännön nojalla käytössään olevia välineitä suojatakseen eurooppalaista teollisuutta tehokkaasti epäreilulta tuonnilta.</w:t>
      </w:r>
    </w:p>
    <w:p>
      <w:pPr>
        <w:pStyle w:val="Text1"/>
        <w:rPr>
          <w:noProof/>
        </w:rPr>
      </w:pPr>
      <w:r>
        <w:rPr>
          <w:noProof/>
        </w:rPr>
        <w:t>Monissa tapauksissa komission tutkimat tapaukset olivat lisäksi erityisen haastavia monitahoisuutensa ja suuren resurssitarpeensa vuoksi. Komission yksiköiden valmisteluasiakirjassa on tarkempaa tietoa tästä työstä.</w:t>
      </w:r>
    </w:p>
    <w:p>
      <w:pPr>
        <w:pStyle w:val="Text1"/>
        <w:rPr>
          <w:noProof/>
        </w:rPr>
      </w:pPr>
      <w:r>
        <w:rPr>
          <w:noProof/>
        </w:rPr>
        <w:t xml:space="preserve">Tämä kertomus ja komission yksiköiden valmisteluasiakirja ovat myös julkisesti saatavilla osoitteessa </w:t>
      </w:r>
      <w:hyperlink r:id="rId16">
        <w:r>
          <w:rPr>
            <w:noProof/>
            <w:color w:val="0000FF"/>
            <w:u w:val="single"/>
          </w:rPr>
          <w:t>http://ec.europa.eu/trade/issues/respectrules/anti_dumping/legis/index_en.htm</w:t>
        </w:r>
      </w:hyperlink>
      <w:r>
        <w:rPr>
          <w:noProof/>
        </w:rPr>
        <w:t>.</w:t>
      </w:r>
    </w:p>
    <w:p>
      <w:pPr>
        <w:pStyle w:val="Text1"/>
        <w:rPr>
          <w:rFonts w:ascii="Arial" w:hAnsi="Arial" w:cs="Arial"/>
          <w:noProof/>
          <w:sz w:val="20"/>
          <w:szCs w:val="20"/>
        </w:rPr>
      </w:pPr>
    </w:p>
    <w:p>
      <w:pPr>
        <w:pStyle w:val="ManualNumPar1"/>
        <w:rPr>
          <w:b/>
          <w:bCs/>
          <w:smallCaps/>
          <w:noProof/>
        </w:rPr>
      </w:pPr>
      <w:r>
        <w:rPr>
          <w:b/>
          <w:smallCaps/>
          <w:noProof/>
        </w:rPr>
        <w:t>1.</w:t>
      </w:r>
      <w:r>
        <w:rPr>
          <w:noProof/>
        </w:rPr>
        <w:tab/>
      </w:r>
      <w:r>
        <w:rPr>
          <w:b/>
          <w:smallCaps/>
          <w:noProof/>
        </w:rPr>
        <w:t>Yleiskatsaus polkumyyntiä, tukia ja suojatoimenpiteitä koskeviin tutkimuksiin ja toimenpiteisiin</w:t>
      </w:r>
    </w:p>
    <w:p>
      <w:pPr>
        <w:pStyle w:val="ManualHeading2"/>
        <w:rPr>
          <w:noProof/>
        </w:rPr>
      </w:pPr>
      <w:r>
        <w:rPr>
          <w:noProof/>
        </w:rPr>
        <w:t>1.1</w:t>
      </w:r>
      <w:r>
        <w:rPr>
          <w:noProof/>
        </w:rPr>
        <w:tab/>
        <w:t>Yleistä</w:t>
      </w:r>
    </w:p>
    <w:p>
      <w:pPr>
        <w:ind w:left="850"/>
        <w:jc w:val="both"/>
        <w:rPr>
          <w:noProof/>
        </w:rPr>
      </w:pPr>
      <w:r>
        <w:rPr>
          <w:noProof/>
        </w:rPr>
        <w:t>Vuoden 2017 lopussa EU:ssa oli voimassa 97 lopullista polkumyynnin vastaista toimenpidettä (joiden voimassaoloa laajennettiin</w:t>
      </w:r>
      <w:r>
        <w:rPr>
          <w:rStyle w:val="FootnoteReference"/>
          <w:noProof/>
        </w:rPr>
        <w:footnoteReference w:id="3"/>
      </w:r>
      <w:r>
        <w:rPr>
          <w:noProof/>
        </w:rPr>
        <w:t xml:space="preserve"> 29 tapauksessa) sekä 13 tasoitustoimenpidettä (joiden voimassaoloa laajennettiin kolmessa tapauksessa).</w:t>
      </w:r>
      <w:r>
        <w:rPr>
          <w:rStyle w:val="FootnoteReference"/>
          <w:noProof/>
        </w:rPr>
        <w:footnoteReference w:id="4"/>
      </w:r>
      <w:r>
        <w:rPr>
          <w:noProof/>
        </w:rPr>
        <w:t xml:space="preserve"> </w:t>
      </w:r>
      <w:r>
        <w:rPr>
          <w:noProof/>
          <w:color w:val="000000" w:themeColor="text1"/>
        </w:rPr>
        <w:t>Määrä on hieman (4 prosenttia) suurempi kuin viime vuonna.</w:t>
      </w:r>
    </w:p>
    <w:p>
      <w:pPr>
        <w:pStyle w:val="Text2"/>
        <w:rPr>
          <w:noProof/>
          <w:color w:val="000000" w:themeColor="text1"/>
        </w:rPr>
      </w:pPr>
      <w:r>
        <w:rPr>
          <w:noProof/>
          <w:color w:val="000000" w:themeColor="text1"/>
        </w:rPr>
        <w:t>Tutkimuksia tehtiin edelleen paljon, lähes yhtä monta kuin vuonna 2016. Työn sisältönä oli pääasiassa suuri määrä työläitä uusien tapausten tutkimuksia sekä entistä suurempi määrä uudelleentarkasteluja. Vuoden 2017 lopussa käynnissä oli yhteensä 46 tutkimusta sekä neljä palautusta koskevaa tutkimusta, jotka kattoivat 61 erillistä palautuspyyntöä.</w:t>
      </w:r>
    </w:p>
    <w:p>
      <w:pPr>
        <w:pStyle w:val="Text2"/>
        <w:rPr>
          <w:noProof/>
        </w:rPr>
      </w:pPr>
      <w:r>
        <w:rPr>
          <w:noProof/>
        </w:rPr>
        <w:t>Vuonna 2017 polkumyynnin ja tukien vastaiset toimenpiteet koskivat 0,31:tä prosenttia kokonaistuonnista Euroopan unioniin. Vaikka kattavia tietoja ei ole saatavilla, toimenpiteiden voimassaolon päättymistä koskevat tarkastelut osoittavat, että toimenpiteiden käyttöönotto johtaa usein kyseessä olevien tuotteiden tuonnin merkittävään vähenemiseen.</w:t>
      </w:r>
    </w:p>
    <w:p>
      <w:pPr>
        <w:pStyle w:val="Text2"/>
        <w:rPr>
          <w:noProof/>
        </w:rPr>
      </w:pPr>
      <w:r>
        <w:rPr>
          <w:noProof/>
        </w:rPr>
        <w:t xml:space="preserve">Asiaa tarkastellaan yksityiskohtaisesti tämän kertomuksen oheisasiakirjana olevassa komission yksiköiden valmisteluasiakirjassa. Otsikoiden yhteyteen on merkitty viitteet valmisteluasiakirjan liitteisiin. </w:t>
      </w:r>
    </w:p>
    <w:p>
      <w:pPr>
        <w:pStyle w:val="ManualHeading2"/>
        <w:rPr>
          <w:noProof/>
        </w:rPr>
      </w:pPr>
      <w:r>
        <w:rPr>
          <w:noProof/>
        </w:rPr>
        <w:t>1.2</w:t>
      </w:r>
      <w:r>
        <w:rPr>
          <w:noProof/>
        </w:rPr>
        <w:tab/>
        <w:t>Uudet tutkimukset (ks. liitteet A–E)</w:t>
      </w:r>
    </w:p>
    <w:p>
      <w:pPr>
        <w:pStyle w:val="Text2"/>
        <w:rPr>
          <w:noProof/>
        </w:rPr>
      </w:pPr>
      <w:r>
        <w:rPr>
          <w:noProof/>
        </w:rPr>
        <w:t xml:space="preserve">Vuonna 2017 pantiin vireille 11 uutta tutkimusta (joista viisi koski kemianteollisuutta ja siihen liittyviä aloja) ja kaksi tutkimusta aloitettiin uudelleen oikeudellisten päätösten panemiseksi täytäntöön. Väliaikaiset tullit otettiin käyttöön kahdessa menettelyssä. Lopullisia tulleja päädyttiin ottamaan käyttöön yhteensä 12 tapauksessa, ja kaksi tutkimusta päätettiin ilman toimenpiteiden käyttöönottoa. </w:t>
      </w:r>
    </w:p>
    <w:p>
      <w:pPr>
        <w:pStyle w:val="ManualHeading2"/>
        <w:rPr>
          <w:noProof/>
        </w:rPr>
      </w:pPr>
      <w:r>
        <w:rPr>
          <w:noProof/>
        </w:rPr>
        <w:t>1.3</w:t>
      </w:r>
      <w:r>
        <w:rPr>
          <w:noProof/>
        </w:rPr>
        <w:tab/>
        <w:t>Tarkastelua koskevat tutkimukset</w:t>
      </w:r>
    </w:p>
    <w:p>
      <w:pPr>
        <w:pStyle w:val="Text2"/>
        <w:rPr>
          <w:noProof/>
        </w:rPr>
      </w:pPr>
      <w:r>
        <w:rPr>
          <w:noProof/>
        </w:rPr>
        <w:t>Tarkasteluihin liittyvät tutkimukset muodostavat edelleen huomattavan osan kaupan suojakeinoista vastaavien komission yksiköiden työstä. Tilastotiedot vuosilta 2013–2017 esitetään komission yksiköiden valmisteluasiakirjan taulukossa 1.</w:t>
      </w:r>
    </w:p>
    <w:p>
      <w:pPr>
        <w:pStyle w:val="ManualHeading3"/>
        <w:rPr>
          <w:noProof/>
        </w:rPr>
      </w:pPr>
      <w:r>
        <w:rPr>
          <w:noProof/>
        </w:rPr>
        <w:t>1.3.1</w:t>
      </w:r>
      <w:r>
        <w:rPr>
          <w:noProof/>
        </w:rPr>
        <w:tab/>
        <w:t>Toimenpiteiden voimassaolon päättymistä koskevat tarkastelut (ks. liite F)</w:t>
      </w:r>
    </w:p>
    <w:p>
      <w:pPr>
        <w:pStyle w:val="Text3"/>
        <w:rPr>
          <w:noProof/>
        </w:rPr>
      </w:pPr>
      <w:r>
        <w:rPr>
          <w:noProof/>
        </w:rPr>
        <w:t xml:space="preserve">Polkumyynnin vastaisen perusasetuksen 11 artiklan 2 kohdassa ja tukien vastaisen perusasetuksen 18 artiklassa säädetään, että toimenpiteiden voimassaolo päättyy viisi vuotta niiden käyttöönoton jälkeen, ellei toimenpiteiden voimassaolon päättymistä koskeva tarkastelu osoita, että ne olisi pidettävä voimassa alkuperäisessä muodossaan. </w:t>
      </w:r>
    </w:p>
    <w:p>
      <w:pPr>
        <w:pStyle w:val="Text4"/>
        <w:rPr>
          <w:noProof/>
        </w:rPr>
      </w:pPr>
      <w:r>
        <w:rPr>
          <w:noProof/>
        </w:rPr>
        <w:t>Vuonna 2017 pantiin vireille yhdeksän toimenpiteiden voimassaolon päättymistä koskevaa tarkastelua ja peräti 19 tarkastelua päätettiin vahvistamalla tulli vielä viiden vuoden ajaksi. Yksi tarkastelu päätettiin toimenpiteiden lakkauttamiseen. Vuoden 2017 aikana viiden toimenpiteen (joista kaikki olivat polkumyynnin vastaisia toimenpiteitä) voimassaolo päättyi viiden vuoden voimassaoloajan päätyttyä automaattisesti eli ilman uudelleentarkastelua.</w:t>
      </w:r>
    </w:p>
    <w:p>
      <w:pPr>
        <w:pStyle w:val="ManualHeading3"/>
        <w:rPr>
          <w:noProof/>
        </w:rPr>
      </w:pPr>
      <w:r>
        <w:rPr>
          <w:noProof/>
        </w:rPr>
        <w:t>1.3.2</w:t>
      </w:r>
      <w:r>
        <w:rPr>
          <w:noProof/>
        </w:rPr>
        <w:tab/>
        <w:t>Välivaiheen tarkastelut (ks. liite G)</w:t>
      </w:r>
    </w:p>
    <w:p>
      <w:pPr>
        <w:pStyle w:val="Text3"/>
        <w:rPr>
          <w:noProof/>
        </w:rPr>
      </w:pPr>
      <w:r>
        <w:rPr>
          <w:noProof/>
        </w:rPr>
        <w:t>Polkumyynnin vastaisen perusasetuksen 11 artiklan 3 kohdassa ja tukien vastaisen perusasetuksen 19 artiklassa säädetään mahdollisuudesta tarkastella toimenpiteitä uudelleen niiden voimassaoloaikana, jotta niitä voidaan tarvittaessa muuttaa muuttuneita olosuhteita vastaaviksi. Tarkastelut voidaan rajoittaa polkumyynnin tai tukien taikka vahingon tarkasteluun.</w:t>
      </w:r>
    </w:p>
    <w:p>
      <w:pPr>
        <w:pStyle w:val="Text3"/>
        <w:rPr>
          <w:noProof/>
        </w:rPr>
      </w:pPr>
      <w:r>
        <w:rPr>
          <w:noProof/>
        </w:rPr>
        <w:t xml:space="preserve">Vuonna 2017 aloitettiin kaikkiaan kymmenen välivaiheen tarkastelua. Yksi välivaiheen tarkastelu päätettiin muuttamalla tullia ja toinen ilman toimenpiteiden muuttamista. </w:t>
      </w:r>
    </w:p>
    <w:p>
      <w:pPr>
        <w:pStyle w:val="ManualHeading3"/>
        <w:rPr>
          <w:noProof/>
        </w:rPr>
      </w:pPr>
      <w:r>
        <w:rPr>
          <w:noProof/>
        </w:rPr>
        <w:t>1.3.3</w:t>
      </w:r>
      <w:r>
        <w:rPr>
          <w:noProof/>
        </w:rPr>
        <w:tab/>
        <w:t>Muut välivaiheen tarkastelut (ks. liite H)</w:t>
      </w:r>
    </w:p>
    <w:p>
      <w:pPr>
        <w:pStyle w:val="Text3"/>
        <w:rPr>
          <w:noProof/>
        </w:rPr>
      </w:pPr>
      <w:r>
        <w:rPr>
          <w:noProof/>
        </w:rPr>
        <w:t>Vuoden 2017 aikana pantiin vireille kaksi muuta tarkastelua, jotka eivät kuulu polkumyynnin vastaisen perusasetuksen 11 artiklan 3 kohdan tai tukien vastaisen perusasetuksen 19 artiklan mukaisiin tavanomaisesti aloitettujen tutkimusten piiriin. Viisi tällaista tarkastelua päätettiin vuoden 2017 aikana. Nämä tarkastelut koskevat yleensä tuomioistuimen ratkaisujen täytäntöönpanoa.</w:t>
      </w:r>
    </w:p>
    <w:p>
      <w:pPr>
        <w:pStyle w:val="ManualHeading3"/>
        <w:rPr>
          <w:noProof/>
        </w:rPr>
      </w:pPr>
      <w:r>
        <w:rPr>
          <w:noProof/>
        </w:rPr>
        <w:t>1.3.4</w:t>
      </w:r>
      <w:r>
        <w:rPr>
          <w:noProof/>
        </w:rPr>
        <w:tab/>
        <w:t>Uuden viejän tarkastelut (ks. liite I)</w:t>
      </w:r>
    </w:p>
    <w:p>
      <w:pPr>
        <w:pStyle w:val="Text3"/>
        <w:rPr>
          <w:i/>
          <w:noProof/>
        </w:rPr>
      </w:pPr>
      <w:r>
        <w:rPr>
          <w:noProof/>
        </w:rPr>
        <w:t xml:space="preserve">Polkumyynnin vastaisen perusasetuksen 11 artiklan 4 kohdassa ja tukien vastaisen perusasetuksen 20 artiklassa säädetään ”uutta viejää” koskevista tarkasteluista ja ”nopeutetuista” tarkasteluista, joiden avulla voidaan määrittää yksilöllinen polkumyyntimarginaali tai yksilöllinen tasoitustulli sellaisille kyseisessä viejämaassa sijaitseville uusille viejille, jotka eivät vieneet tuotetta tutkimusajanjakson aikana. Näiden viejien on osoitettava, että ne ovat todellisia uusia viejiä ja että ne ovat tosiasiallisesti aloittaneet viennin Euroopan unioniin tutkimusajanjakson jälkeen. Tällöin niille voidaan määrittää yksilöllinen tulli, joka on yleensä pienempi kuin koko maata koskeva tulli. </w:t>
      </w:r>
    </w:p>
    <w:p>
      <w:pPr>
        <w:pStyle w:val="Text3"/>
        <w:rPr>
          <w:noProof/>
        </w:rPr>
      </w:pPr>
      <w:r>
        <w:rPr>
          <w:noProof/>
        </w:rPr>
        <w:t xml:space="preserve">Vuonna 2017 pantiin vireille kuusi uuden viejän tarkastelua. Yhtään tämänkaltaista tarkastelua ei päätetty. </w:t>
      </w:r>
    </w:p>
    <w:p>
      <w:pPr>
        <w:pStyle w:val="ManualHeading3"/>
        <w:rPr>
          <w:noProof/>
        </w:rPr>
      </w:pPr>
      <w:r>
        <w:rPr>
          <w:noProof/>
        </w:rPr>
        <w:t>1.3.5</w:t>
      </w:r>
      <w:r>
        <w:rPr>
          <w:noProof/>
        </w:rPr>
        <w:tab/>
        <w:t>Absorptiotutkimukset (ks. liite J)</w:t>
      </w:r>
    </w:p>
    <w:p>
      <w:pPr>
        <w:pStyle w:val="Text3"/>
        <w:rPr>
          <w:i/>
          <w:noProof/>
        </w:rPr>
      </w:pPr>
      <w:r>
        <w:rPr>
          <w:noProof/>
        </w:rPr>
        <w:t>Jos on olemassa riittävää näyttöä siitä, että vientihinnat ovat alkuperäisen tutkimusajanjakson jälkeen ja joko ennen toimenpiteiden käyttöönottoa tai sen jälkeen laskeneet taikka että kyseisen Euroopan unioniin tuodun tuotteen jälleenmyyntihinnat tai myöhemmät myyntihinnat eivät ole muuttuneet tai eivät ole muuttuneet riittävästi, voidaan käynnistää erityinen ”absorptiotutkimus”. Sillä selvitetään, onko toimenpiteellä ollut vaikutusta edellä mainittuihin hintoihin. Tällaisten alempien vientihintojen ottamiseksi huomioon voidaan polkumyyntimarginaalit laskea uudelleen ja tullia korottaa. Mahdollisuudesta absorptiotutkimuksen tekemiseen säädetään polkumyynnin vastaisen perusasetuksen 12 artiklassa ja tukien vastaisen perusasetuksen 19 artiklan 3 kohdassa.</w:t>
      </w:r>
    </w:p>
    <w:p>
      <w:pPr>
        <w:pStyle w:val="Text3"/>
        <w:rPr>
          <w:noProof/>
        </w:rPr>
      </w:pPr>
      <w:r>
        <w:rPr>
          <w:noProof/>
        </w:rPr>
        <w:t>Vuonna 2017 ei pantu vireille yhtään absorptiotutkimusta. Yksi tällainen tutkimus päätettiin ilman tullin korottamista.</w:t>
      </w:r>
    </w:p>
    <w:p>
      <w:pPr>
        <w:pStyle w:val="ManualHeading3"/>
        <w:rPr>
          <w:noProof/>
        </w:rPr>
      </w:pPr>
      <w:r>
        <w:rPr>
          <w:noProof/>
        </w:rPr>
        <w:t>1.3.6</w:t>
      </w:r>
      <w:r>
        <w:rPr>
          <w:noProof/>
        </w:rPr>
        <w:tab/>
        <w:t>Kiertämistä koskevat tutkimukset (ks. liite K)</w:t>
      </w:r>
    </w:p>
    <w:p>
      <w:pPr>
        <w:pStyle w:val="Text3"/>
        <w:rPr>
          <w:noProof/>
        </w:rPr>
      </w:pPr>
      <w:r>
        <w:rPr>
          <w:noProof/>
        </w:rPr>
        <w:t>Polkumyynnin vastaisen perusasetuksen 13 artiklassa ja tukien vastaisen perusasetuksen 23 artiklassa säädetään mahdollisuudesta aloittaa tutkimukset uudelleen, jos esitetään näyttöä siitä, että toimenpiteitä kierretään.</w:t>
      </w:r>
    </w:p>
    <w:p>
      <w:pPr>
        <w:pStyle w:val="Text3"/>
        <w:rPr>
          <w:noProof/>
        </w:rPr>
      </w:pPr>
      <w:r>
        <w:rPr>
          <w:noProof/>
        </w:rPr>
        <w:t xml:space="preserve">Vuonna 2017 pantiin vireille kolme tällaista tutkimusta. Päätökseen saatiin yksi kiertämistä koskeva tutkimus, jossa toimenpiteitä laajennettiin, sekä yksi, jossa toimenpiteitä ei laajennettu. </w:t>
      </w:r>
    </w:p>
    <w:p>
      <w:pPr>
        <w:pStyle w:val="ManualHeading2"/>
        <w:rPr>
          <w:noProof/>
        </w:rPr>
      </w:pPr>
      <w:r>
        <w:rPr>
          <w:noProof/>
        </w:rPr>
        <w:t>1.4</w:t>
      </w:r>
      <w:r>
        <w:rPr>
          <w:noProof/>
        </w:rPr>
        <w:tab/>
        <w:t>Suojatoimenpidetutkimukset (ks. liite L)</w:t>
      </w:r>
    </w:p>
    <w:p>
      <w:pPr>
        <w:pStyle w:val="Text1"/>
        <w:rPr>
          <w:noProof/>
        </w:rPr>
      </w:pPr>
      <w:r>
        <w:rPr>
          <w:noProof/>
        </w:rPr>
        <w:t xml:space="preserve">Vuonna 2017 ei pantu vireille suojatoimenpiteitä koskevia tutkimuksia eikä otettu käyttöön niihin liittyviä toimenpiteitä.  </w:t>
      </w:r>
    </w:p>
    <w:p>
      <w:pPr>
        <w:pStyle w:val="ManualHeading1"/>
        <w:rPr>
          <w:noProof/>
        </w:rPr>
      </w:pPr>
      <w:r>
        <w:rPr>
          <w:noProof/>
        </w:rPr>
        <w:t>2.</w:t>
      </w:r>
      <w:r>
        <w:rPr>
          <w:noProof/>
        </w:rPr>
        <w:tab/>
        <w:t>Polkumyynnin ja tukien vastaisten toimenpiteiden soveltaminen</w:t>
      </w:r>
    </w:p>
    <w:p>
      <w:pPr>
        <w:pStyle w:val="ManualHeading2"/>
        <w:rPr>
          <w:noProof/>
        </w:rPr>
      </w:pPr>
      <w:r>
        <w:rPr>
          <w:noProof/>
        </w:rPr>
        <w:t>2.1</w:t>
      </w:r>
      <w:r>
        <w:rPr>
          <w:noProof/>
        </w:rPr>
        <w:tab/>
        <w:t>Toimenpiteiden seuranta</w:t>
      </w:r>
    </w:p>
    <w:p>
      <w:pPr>
        <w:pStyle w:val="Text1"/>
        <w:rPr>
          <w:noProof/>
        </w:rPr>
      </w:pPr>
      <w:r>
        <w:rPr>
          <w:noProof/>
        </w:rPr>
        <w:t xml:space="preserve">Voimassa oleviin toimenpiteisiin kohdistuvissa seurantatoimissa keskityttiin neljään tärkeimpään seikkaan: 1) petosten estäminen, 2) kauppavirtojen ja markkinoiden muutosten seuraaminen, 3) toiminnan tehostaminen soveltuvin keinoin ja 4) sääntöjenvastaisiin käytäntöihin puuttuminen. Näiden toimien ansiosta komissio pystyi toimimaan yhteistyössä jäsenvaltioiden kanssa ja varmistamaan ennakoivasti kaupan suojatoimenpiteiden moitteettoman soveltamisen Euroopan unionissa. </w:t>
      </w:r>
    </w:p>
    <w:p>
      <w:pPr>
        <w:pStyle w:val="ManualHeading2"/>
        <w:rPr>
          <w:noProof/>
        </w:rPr>
      </w:pPr>
      <w:r>
        <w:rPr>
          <w:noProof/>
        </w:rPr>
        <w:t>2.2</w:t>
      </w:r>
      <w:r>
        <w:rPr>
          <w:noProof/>
        </w:rPr>
        <w:tab/>
        <w:t>Sitoumusten valvonta (ks. liitteet M ja Q)</w:t>
      </w:r>
    </w:p>
    <w:p>
      <w:pPr>
        <w:pStyle w:val="Text1"/>
        <w:rPr>
          <w:noProof/>
        </w:rPr>
      </w:pPr>
      <w:r>
        <w:rPr>
          <w:noProof/>
        </w:rPr>
        <w:t>Sitoumusten valvonta kuuluu soveltamistoimiin, sillä sitoumukset ovat yksi polkumyynnin ja tukien vastaisten toimenpiteiden muoto. Komissio hyväksyy ne, jos se on tutkimuksen jälkeen vakuuttunut siitä, että polkumyynnin tai tukien aiheuttama vahinko voidaan poistaa niiden avulla tehokkaasti.</w:t>
      </w:r>
    </w:p>
    <w:p>
      <w:pPr>
        <w:spacing w:before="120" w:after="120"/>
        <w:ind w:left="851"/>
        <w:jc w:val="both"/>
        <w:rPr>
          <w:noProof/>
        </w:rPr>
      </w:pPr>
      <w:r>
        <w:rPr>
          <w:noProof/>
        </w:rPr>
        <w:t xml:space="preserve">Vuoden 2017 alussa sitoumuksia oli voimassa 102. Viiden yrityksen sitoumukset peruutettiin vuoden 2017 aikana, kun vahvistui, että niitä oli rikottu tai että sitoumusten valvominen ei ollut mahdollista. Seitsemän yrityksen sitoumukset peruutettiin yritysten omasta pyynnöstä. Kaikkiaan 87 yrityksen sitoumukset kumottiin. Uusia sitoumuksia ei hyväksytty. Vuoden 2017 lopussa voimassa oli näin ollen yhteensä kolme sitoumusta. </w:t>
      </w:r>
    </w:p>
    <w:p>
      <w:pPr>
        <w:pStyle w:val="ManualHeading1"/>
        <w:rPr>
          <w:noProof/>
        </w:rPr>
      </w:pPr>
      <w:r>
        <w:rPr>
          <w:noProof/>
        </w:rPr>
        <w:t>3.</w:t>
      </w:r>
      <w:r>
        <w:rPr>
          <w:noProof/>
        </w:rPr>
        <w:tab/>
        <w:t xml:space="preserve">Palautukset </w:t>
      </w:r>
    </w:p>
    <w:p>
      <w:pPr>
        <w:pStyle w:val="Text1"/>
        <w:rPr>
          <w:noProof/>
        </w:rPr>
      </w:pPr>
      <w:r>
        <w:rPr>
          <w:noProof/>
        </w:rPr>
        <w:t>Polkumyynnin vastaisen perusasetuksen 11 artiklan 8 kohdan ja tukien vastaisen perusasetuksen 21 artiklan 1 kohdan mukaisesti tuoja voi pyytää kannettujen tullien palautusta, jos osoitetaan, että polkumyynti- tai tukimarginaali on poistettu tai että sitä on alennettu voimassa olevaa tullia alemmalle tasolle.</w:t>
      </w:r>
    </w:p>
    <w:p>
      <w:pPr>
        <w:pStyle w:val="Text1"/>
        <w:rPr>
          <w:noProof/>
        </w:rPr>
      </w:pPr>
      <w:r>
        <w:rPr>
          <w:noProof/>
        </w:rPr>
        <w:t>Vuonna 2017 jätettiin 75 uutta palautushakemusta. Vuoden 2017 lopussa oli käynnissä neljä palautusta koskevaa tutkimusta, jotka kattoivat 61 pyyntöä. Vuonna 2017 komissio hyväksyi 26 täytäntöönpanopäätöstä, joilla myönnettiin osittainen palautus tai hylättiin palautuspyyntö.</w:t>
      </w:r>
    </w:p>
    <w:p>
      <w:pPr>
        <w:pStyle w:val="ManualHeading1"/>
        <w:rPr>
          <w:noProof/>
        </w:rPr>
      </w:pPr>
      <w:r>
        <w:rPr>
          <w:noProof/>
        </w:rPr>
        <w:t>4.</w:t>
      </w:r>
      <w:r>
        <w:rPr>
          <w:noProof/>
        </w:rPr>
        <w:tab/>
        <w:t xml:space="preserve">Kaupan suojakeinojen nykyaikaistaminen </w:t>
      </w:r>
    </w:p>
    <w:p>
      <w:pPr>
        <w:autoSpaceDE w:val="0"/>
        <w:autoSpaceDN w:val="0"/>
        <w:adjustRightInd w:val="0"/>
        <w:spacing w:before="120" w:after="120"/>
        <w:ind w:left="851"/>
        <w:jc w:val="both"/>
        <w:rPr>
          <w:noProof/>
          <w:color w:val="000000" w:themeColor="text1"/>
        </w:rPr>
      </w:pPr>
      <w:r>
        <w:rPr>
          <w:noProof/>
          <w:color w:val="000000" w:themeColor="text1"/>
        </w:rPr>
        <w:t xml:space="preserve">Komissio antoi huhtikuussa 2013 ehdotuksen EU:n kaupan suojakeinojen nykyaikaistamisesta. Pitkän lainsäädäntöprosessin jälkeen neuvosto ja Euroopan parlamentti pääsivät yhteisymmärrykseen komission ehdotuksesta 5. joulukuuta 2017, ja uudet säännöt tulivat voimaan 8. kesäkuuta 2018. </w:t>
      </w:r>
    </w:p>
    <w:p>
      <w:pPr>
        <w:tabs>
          <w:tab w:val="num" w:pos="426"/>
        </w:tabs>
        <w:spacing w:before="120" w:after="120"/>
        <w:ind w:left="851"/>
        <w:jc w:val="both"/>
        <w:rPr>
          <w:noProof/>
          <w:color w:val="000000" w:themeColor="text1"/>
        </w:rPr>
      </w:pPr>
      <w:r>
        <w:rPr>
          <w:noProof/>
          <w:color w:val="000000" w:themeColor="text1"/>
        </w:rPr>
        <w:t xml:space="preserve">Edistysaskel on merkittävä, sillä uuden laskentamenetelmän käyttöönoton (ks. tämän kertomuksen 5. jakso) ohella kyse on näiden säädösten ensimmäistä merkittävistä muutoksista WTO:n Uruguayn kierroksen päättymisen jälkeen. Toimivammilla ja läpinäkyvämmillä kaupan suojakeinoilla pystytään vastaamaan paremmin maailmantalouden haasteisiin. Uusien sääntöjen myötä myös pienten yritysten tarpeet otetaan entistä tarkemmin huomioon. Niistä on hyötyä EU:n tuottajille, mutta niissä huomioidaan myös tuojien sekä tuonnista riippuvaisten jatkokäyttäjien tarpeet. </w:t>
      </w:r>
    </w:p>
    <w:p>
      <w:pPr>
        <w:tabs>
          <w:tab w:val="num" w:pos="426"/>
        </w:tabs>
        <w:spacing w:before="120" w:after="120"/>
        <w:ind w:left="851"/>
        <w:jc w:val="both"/>
        <w:rPr>
          <w:noProof/>
          <w:color w:val="000000" w:themeColor="text1"/>
        </w:rPr>
      </w:pPr>
      <w:r>
        <w:rPr>
          <w:noProof/>
          <w:color w:val="000000" w:themeColor="text1"/>
        </w:rPr>
        <w:t>EU:n polkumyynnin ja tukien vastaisen nykyaikaistetun lainsäädännön keskeisiä kohtia ovat muun muassa seuraavat: uudistettu vahinkomarginaalin laskentamenetelmä sekä vahinkoa aiheuttamattoman hinnan laskentatavan uudistaminen siten, että vähimmäisvoittoprosentti on nykyään kuusi, väliaikaisten toimenpiteiden nopeampi käyttöönotto, ennakkovaroitus polkumyyntiä ja tukia koskevien väliaikaisten toimenpiteiden käyttöönottamisesta, lisätuki EU:n pk-yrityksille, EU:n alhaisemman tullin säännön mukauttaminen siten, että siinä otetaan huomioon myös raaka-aineiden hintojen vääristymät, sekä sosiaalisten ja ympäristönäkökohtien lisääntynyt näkyvyys kaupan suojatoimia koskevissa menettelyissä.</w:t>
      </w:r>
    </w:p>
    <w:p>
      <w:pPr>
        <w:pStyle w:val="ManualHeading1"/>
        <w:rPr>
          <w:noProof/>
        </w:rPr>
      </w:pPr>
      <w:r>
        <w:rPr>
          <w:noProof/>
        </w:rPr>
        <w:t>5.</w:t>
      </w:r>
      <w:r>
        <w:rPr>
          <w:noProof/>
        </w:rPr>
        <w:tab/>
        <w:t xml:space="preserve">Polkumyynnin ja tukien vastaisen EU-lainsäädännön muutos vuonna 2017 </w:t>
      </w:r>
    </w:p>
    <w:p>
      <w:pPr>
        <w:autoSpaceDE w:val="0"/>
        <w:autoSpaceDN w:val="0"/>
        <w:adjustRightInd w:val="0"/>
        <w:ind w:left="851"/>
        <w:jc w:val="both"/>
        <w:rPr>
          <w:noProof/>
        </w:rPr>
      </w:pPr>
      <w:r>
        <w:rPr>
          <w:noProof/>
        </w:rPr>
        <w:t>Komissio hyväksyi 9. marraskuuta 2016 ehdotuksen polkumyynnin ja tukien vastaisen EU:n asetusten muuttamisesta. Tavoitteena oli ottaa käyttöön uusi normaaliarvon laskentamenetelmä, jonka avulla pystyttäisiin ottamaan paremmin huomioon valtion aiheuttamat markkinavääristymät kolmansissa maissa ja vahvistamaan tukien vastaista välinettä. Muutokset EU:n polkumyynnin ja tukien vastaisiin perusasetuksiin tulivat voimaan 20. joulukuuta 2017.</w:t>
      </w:r>
    </w:p>
    <w:p>
      <w:pPr>
        <w:autoSpaceDE w:val="0"/>
        <w:autoSpaceDN w:val="0"/>
        <w:adjustRightInd w:val="0"/>
        <w:ind w:left="851"/>
        <w:jc w:val="both"/>
        <w:rPr>
          <w:noProof/>
        </w:rPr>
      </w:pPr>
    </w:p>
    <w:p>
      <w:pPr>
        <w:autoSpaceDE w:val="0"/>
        <w:autoSpaceDN w:val="0"/>
        <w:adjustRightInd w:val="0"/>
        <w:ind w:left="851"/>
        <w:jc w:val="both"/>
        <w:rPr>
          <w:bCs/>
          <w:noProof/>
          <w:color w:val="000000"/>
        </w:rPr>
      </w:pPr>
      <w:r>
        <w:rPr>
          <w:noProof/>
        </w:rPr>
        <w:t>Uudella menetelmällä pyritään puuttumaan merkittäviin valtion aiheuttamiin vääristymiin sekä vastaamaan viime vuosina muodostuneisiin talouden uusiin realiteetteihin. Näitä vääristymiä voi esiintyä koko maassa tai tietyllä alalla. Uusi menetelmä on maaneutraali, ja sitä voidaan soveltaa kaikkiin WTO-maihin. Lainsäädännössä tuodaan selkeästi esiin, että uuden polkumyyntimenetelmän käyttöönotto ei estä sitä, että mitä tahansa maata voidaan kohdella muuna kuin markkinatalousmaana. Jos todetaan, että kolmannen maan kotimaisia hintoja tai kustannuksia ei ole soveliasta käyttää sen taloudessa olevien valtion aiheuttamien markkinavääristymien vuoksi, uutta menetelmää sovelletaan tuotteen normaaliarvon laskemiseen.</w:t>
      </w:r>
    </w:p>
    <w:p>
      <w:pPr>
        <w:spacing w:before="240"/>
        <w:ind w:left="851"/>
        <w:jc w:val="both"/>
        <w:rPr>
          <w:noProof/>
          <w:szCs w:val="20"/>
        </w:rPr>
      </w:pPr>
      <w:r>
        <w:rPr>
          <w:noProof/>
        </w:rPr>
        <w:t xml:space="preserve">Uutta menetelmää voidaan ryhtyä soveltamaan vasta, kun ensin on todettu, että kotimaisia hintoja tai kustannuksia ei ole soveliasta käyttää viejämaan merkittävien vääristymien vuoksi. Vääristymien olemassaolon määrittämiseen käytetään useita eri perusteita. Niitä ovat muun muassa valtion politiikka ja vaikutusvalta, valtion omistamien yritysten suuri määrä, kotimaisten yritysten hyväksi tapahtuva syrjintä ja rahoitusalan puutteellinen riippumattomuus. </w:t>
      </w:r>
    </w:p>
    <w:p>
      <w:pPr>
        <w:spacing w:before="240"/>
        <w:ind w:left="851"/>
        <w:jc w:val="both"/>
        <w:rPr>
          <w:noProof/>
          <w:szCs w:val="20"/>
        </w:rPr>
      </w:pPr>
      <w:r>
        <w:rPr>
          <w:noProof/>
        </w:rPr>
        <w:t>EU:n teollisuus voi hyödyntää komission maa- tai toimialakohtaisissa raporteissa olevia tietoja tehdessään valituksia maista, joissa vääristymiä esiintyy. Komissio valitsee raportoinnin kohteena olevat maat ottamalla huomioon niiden suhteellisen merkityksen EU:n polkumyynnin vastaisille toimille yleisesti sekä viitteet siitä, että merkittäviä vääristymiä voi esiintyä. Uuden lainsäädännön voimaantulopäivänä kauppapolitiikan pääosasto julkaisi verkkosivuillaan raportin markkinavääristymistä Kiinan taloudessa. Kiina on maa, johon suurin osa EU:n polkumyynnin vastaista toimista kohdistuu. Samalla komissio ilmoitti, että seuraavan maaraportin aiheena on Venäjä.</w:t>
      </w:r>
    </w:p>
    <w:p>
      <w:pPr>
        <w:spacing w:before="240" w:after="120"/>
        <w:ind w:left="851"/>
        <w:jc w:val="both"/>
        <w:rPr>
          <w:rFonts w:eastAsiaTheme="minorHAnsi"/>
          <w:noProof/>
          <w:szCs w:val="20"/>
        </w:rPr>
      </w:pPr>
      <w:r>
        <w:rPr>
          <w:noProof/>
        </w:rPr>
        <w:t>Uusia sääntöjä sovelletaan kaikkiin uusiin tutkimuksiin sekä voimassaolon päättymistä koskeviin tarkasteluihin, jotka on pantu vireille 20. joulukuuta 2017 jälkeen. Uutta menetelmää käytetään mainitun päivän jälkeen vireille pantujen välivaiheen tarkastelujen pohjana, jos toimenpide itsessään on uuden menetelmän mukainen. Jos tarkastelun kohteena oleva toimenpide pohjautuu aiemmin käytettyyn menetelmään, tätä menetelmää sovelletaan kaikkiin välivaiheen tarkasteluihin ennen ensimmäisen voimassaolon päättymistä koskevan tarkastelun aloittamista 20. joulukuuta 2017 jälkeen.</w:t>
      </w:r>
    </w:p>
    <w:p>
      <w:pPr>
        <w:autoSpaceDE w:val="0"/>
        <w:autoSpaceDN w:val="0"/>
        <w:adjustRightInd w:val="0"/>
        <w:ind w:left="851"/>
        <w:jc w:val="both"/>
        <w:rPr>
          <w:noProof/>
          <w:szCs w:val="20"/>
        </w:rPr>
      </w:pPr>
      <w:r>
        <w:rPr>
          <w:noProof/>
        </w:rPr>
        <w:t>Uudella lainsäädännöllä on myös vahvistettu tukien vastaista välinettä, millä voidaan lisätä EU:n kykyä saada käsitys tukien koko laajuudesta mahdollistamalla myös sellaisten tukien käsittely, jotka on yksilöity vasta tutkimusten yhteydessä.</w:t>
      </w:r>
    </w:p>
    <w:p>
      <w:pPr>
        <w:autoSpaceDE w:val="0"/>
        <w:autoSpaceDN w:val="0"/>
        <w:adjustRightInd w:val="0"/>
        <w:jc w:val="both"/>
        <w:rPr>
          <w:noProof/>
          <w:szCs w:val="20"/>
        </w:rPr>
      </w:pPr>
    </w:p>
    <w:p>
      <w:pPr>
        <w:pStyle w:val="ManualHeading1"/>
        <w:tabs>
          <w:tab w:val="clear" w:pos="850"/>
        </w:tabs>
        <w:rPr>
          <w:noProof/>
        </w:rPr>
      </w:pPr>
      <w:r>
        <w:rPr>
          <w:noProof/>
        </w:rPr>
        <w:t>6.</w:t>
      </w:r>
      <w:r>
        <w:rPr>
          <w:noProof/>
        </w:rPr>
        <w:tab/>
        <w:t>Maanlaajuinen markkinatalousasema</w:t>
      </w:r>
    </w:p>
    <w:p>
      <w:pPr>
        <w:ind w:left="851"/>
        <w:jc w:val="both"/>
        <w:rPr>
          <w:noProof/>
        </w:rPr>
      </w:pPr>
    </w:p>
    <w:p>
      <w:pPr>
        <w:ind w:left="851"/>
        <w:jc w:val="both"/>
        <w:rPr>
          <w:bCs/>
          <w:noProof/>
          <w:color w:val="000000"/>
        </w:rPr>
      </w:pPr>
      <w:r>
        <w:rPr>
          <w:noProof/>
        </w:rPr>
        <w:t>Uuden laskentamenetelmän 20. joulukuuta 2017 tapahtuneen käyttöönoton myötä on muutettu myös polkumyynnin vastaisen perusasetuksen 2 artiklan 7 kohdan muita kuin markkinatalousmaita koskevaa säännöstä. Sen soveltamisalaan kuuluvat nyt ainoastaan maat, jotka eivät ole WTO:n jäseniä ja jotka luetellaan asetuksen 2015/755</w:t>
      </w:r>
      <w:r>
        <w:rPr>
          <w:rStyle w:val="FootnoteReference"/>
          <w:noProof/>
        </w:rPr>
        <w:footnoteReference w:id="5"/>
      </w:r>
      <w:r>
        <w:rPr>
          <w:noProof/>
        </w:rPr>
        <w:t xml:space="preserve"> liitteessä I. Lyhyesti sanottuna näissä tapauksissa normaaliarvo lasketaan niin kutsutun vertailumaan hintojen ja kustannusten perusteella.</w:t>
      </w:r>
    </w:p>
    <w:p>
      <w:pPr>
        <w:ind w:left="851"/>
        <w:jc w:val="both"/>
        <w:rPr>
          <w:bCs/>
          <w:noProof/>
          <w:color w:val="000000"/>
        </w:rPr>
      </w:pPr>
    </w:p>
    <w:p>
      <w:pPr>
        <w:pStyle w:val="ManualHeading1"/>
        <w:rPr>
          <w:noProof/>
        </w:rPr>
      </w:pPr>
      <w:r>
        <w:rPr>
          <w:noProof/>
        </w:rPr>
        <w:t>7.</w:t>
      </w:r>
      <w:r>
        <w:rPr>
          <w:noProof/>
        </w:rPr>
        <w:tab/>
        <w:t xml:space="preserve">Tiedotus- ja viestintätoimet / kahdenvälinen yhteydenpito </w:t>
      </w:r>
    </w:p>
    <w:p>
      <w:pPr>
        <w:pStyle w:val="ManualHeading2"/>
        <w:rPr>
          <w:noProof/>
        </w:rPr>
      </w:pPr>
      <w:r>
        <w:rPr>
          <w:noProof/>
        </w:rPr>
        <w:t>7.1</w:t>
      </w:r>
      <w:r>
        <w:rPr>
          <w:noProof/>
        </w:rPr>
        <w:tab/>
        <w:t>Pienet ja keskisuuret yritykset (pk-yritykset)</w:t>
      </w:r>
    </w:p>
    <w:p>
      <w:pPr>
        <w:pStyle w:val="Text1"/>
        <w:rPr>
          <w:noProof/>
        </w:rPr>
      </w:pPr>
      <w:r>
        <w:rPr>
          <w:noProof/>
        </w:rPr>
        <w:t>Pk-yritysten neuvontapalvelu käsitteli edelleen vuonna 2017 tietopyyntöjä, jotka liittyivät kaupan suojakeinoihin. Neuvontapalvelu vastasi pk-yritysten tapauskohtaisiin kyselyihin ja antoi menettelyllisiin ja aineellisiin säännöksiin liittyviä neuvoja polkumyynnin ja tukien vastaisissa menettelyissä. Neuvontapalvelu perustettiin vuonna 2004 reaktiona pk-yritysten koosta ja resurssirajoituksista johtuviin vaikeuksiin niiden osallistuessa kaupan suojakeinoja koskeviin mutkikkaisiin tutkimuksiin.</w:t>
      </w:r>
    </w:p>
    <w:p>
      <w:pPr>
        <w:pStyle w:val="ManualHeading2"/>
        <w:rPr>
          <w:noProof/>
        </w:rPr>
      </w:pPr>
      <w:r>
        <w:rPr>
          <w:noProof/>
        </w:rPr>
        <w:t>7.2</w:t>
      </w:r>
      <w:r>
        <w:rPr>
          <w:noProof/>
        </w:rPr>
        <w:tab/>
        <w:t>Kahdenvälinen yhteydenpito/tiedotustoiminta – teollisuus ja kolmannet maat</w:t>
      </w:r>
    </w:p>
    <w:p>
      <w:pPr>
        <w:adjustRightInd w:val="0"/>
        <w:ind w:left="850"/>
        <w:jc w:val="both"/>
        <w:rPr>
          <w:noProof/>
        </w:rPr>
      </w:pPr>
      <w:r>
        <w:rPr>
          <w:noProof/>
        </w:rPr>
        <w:t>EU:n lainsäädännöstä ja kaupan suojakeinoja koskevasta toiminnasta tiedottaminen sekä näkemysten vaihtaminen kolmansien maiden käytännöistä muodostaa tärkeän osan kaupan suojakeinoista vastaavien yksiköiden työstä. Vuonna 2017 järjestettiin useita kahdenvälisiä kokouksia, joissa vaihdettiin parhaita toimintatapoja Yhdysvaltain, Kiinan, Japanin ja Korean kaupan suojakeinoista vastaavien virkamiesten kanssa.</w:t>
      </w:r>
    </w:p>
    <w:p>
      <w:pPr>
        <w:autoSpaceDE w:val="0"/>
        <w:autoSpaceDN w:val="0"/>
        <w:adjustRightInd w:val="0"/>
        <w:rPr>
          <w:noProof/>
        </w:rPr>
      </w:pPr>
    </w:p>
    <w:p>
      <w:pPr>
        <w:adjustRightInd w:val="0"/>
        <w:ind w:left="850"/>
        <w:jc w:val="both"/>
        <w:rPr>
          <w:noProof/>
          <w:color w:val="000000"/>
        </w:rPr>
      </w:pPr>
      <w:r>
        <w:rPr>
          <w:noProof/>
        </w:rPr>
        <w:t xml:space="preserve">Vuoden 2017 aikana kaupan suojakeinoja käsittelevät yksiköt olivat yhteydessä lähes kaikkiin keskeisiin kaupan suojakeinojen kanssa tekemisissä oleviin sidosryhmäorganisaatioihin muun muassa järjestämällä säännöllisiä tapaamisia </w:t>
      </w:r>
      <w:r>
        <w:rPr>
          <w:noProof/>
          <w:color w:val="000000"/>
        </w:rPr>
        <w:t>Business Europe</w:t>
      </w:r>
      <w:r>
        <w:rPr>
          <w:noProof/>
        </w:rPr>
        <w:t xml:space="preserve"> </w:t>
      </w:r>
      <w:r>
        <w:rPr>
          <w:noProof/>
        </w:rPr>
        <w:noBreakHyphen/>
        <w:t>organisaation ja alakohtaisten järjestöjen kanssa</w:t>
      </w:r>
      <w:r>
        <w:rPr>
          <w:noProof/>
          <w:color w:val="000000"/>
        </w:rPr>
        <w:t xml:space="preserve">. </w:t>
      </w:r>
      <w:r>
        <w:rPr>
          <w:noProof/>
        </w:rPr>
        <w:t>Eräs tapaamisten keskeisistä aiheista oli kaupan suojakeinoja koskevien lainsäädäntömuutosten käsittely.</w:t>
      </w:r>
    </w:p>
    <w:p>
      <w:pPr>
        <w:pStyle w:val="ManualHeading1"/>
        <w:jc w:val="left"/>
        <w:rPr>
          <w:noProof/>
        </w:rPr>
      </w:pPr>
      <w:r>
        <w:rPr>
          <w:noProof/>
        </w:rPr>
        <w:t>8.</w:t>
      </w:r>
      <w:r>
        <w:rPr>
          <w:noProof/>
        </w:rPr>
        <w:tab/>
        <w:t xml:space="preserve">Tuomioistuinvalvonta: unionin tuomioistuimen ja unionin yleisen tuomioistuimen tuomiot </w:t>
      </w:r>
    </w:p>
    <w:p>
      <w:pPr>
        <w:pStyle w:val="Text1"/>
        <w:rPr>
          <w:noProof/>
        </w:rPr>
      </w:pPr>
      <w:r>
        <w:rPr>
          <w:noProof/>
        </w:rPr>
        <w:t>Unionin yleinen tuomioistuin ja unionin tuomioistuin antoivat vuonna 2017 yhteensä 29 tuomiota, jotka liittyivät polkumyynnin tai tukien vastaisiin menettelyihin. Unionin yleinen tuomioistuin antoi 15 tuomiota. Tuomioista 12:ssa oli kyse unionin yleisen tuomioistuimen päätöksistä, joista oli valitettu unionin tuomioistuimeen. Lisäksi unionin tuomioistuin teki kaksi kaupan suojakeinoihin liittyvää ennakkoratkaisua.</w:t>
      </w:r>
    </w:p>
    <w:p>
      <w:pPr>
        <w:autoSpaceDE w:val="0"/>
        <w:autoSpaceDN w:val="0"/>
        <w:adjustRightInd w:val="0"/>
        <w:ind w:left="850"/>
        <w:jc w:val="both"/>
        <w:rPr>
          <w:noProof/>
        </w:rPr>
      </w:pPr>
      <w:r>
        <w:rPr>
          <w:noProof/>
        </w:rPr>
        <w:t>Uusia kanteita vuonna 2017 esitettiin 20. Kanteita oli 34 vuonna 2016, 20 vuonna 2015, 37 vuonna 2014, 33 vuonna 2013, 23 vuonna 2012 ja 16 vuonna 2011. Uusista kanteista 11 esitettiin unionin yleisessä tuomioistuimessa (kymmenen kumoamiskannetta ja yksi oikeudenkäyntikulujen vahvistamista koskeva kanne) ja yhdeksän unionin tuomioistuimessa (kuusi muutoksenhakua ja kolme ennakkoratkaisua).</w:t>
      </w:r>
    </w:p>
    <w:p>
      <w:pPr>
        <w:pStyle w:val="Text2"/>
        <w:rPr>
          <w:noProof/>
        </w:rPr>
      </w:pPr>
      <w:r>
        <w:rPr>
          <w:noProof/>
        </w:rPr>
        <w:t>Komission yksiköiden valmisteluasiakirjan liitteessä S esitetään luettelo vuoden 2017 lopussa unionin yleisessä tuomioistuimessa ja unionin tuomioistuimessa edelleen vireillä olleista polkumyyntiin tai tukiin liittyvistä tapauksista.</w:t>
      </w:r>
    </w:p>
    <w:p>
      <w:pPr>
        <w:pStyle w:val="ManualHeading1"/>
        <w:rPr>
          <w:noProof/>
        </w:rPr>
      </w:pPr>
      <w:r>
        <w:rPr>
          <w:noProof/>
        </w:rPr>
        <w:t>9.</w:t>
      </w:r>
      <w:r>
        <w:rPr>
          <w:noProof/>
        </w:rPr>
        <w:tab/>
        <w:t>Toiminta Maailman kauppajärjestössä (WTO)</w:t>
      </w:r>
    </w:p>
    <w:p>
      <w:pPr>
        <w:pStyle w:val="ManualHeading2"/>
        <w:rPr>
          <w:noProof/>
        </w:rPr>
      </w:pPr>
      <w:r>
        <w:rPr>
          <w:noProof/>
        </w:rPr>
        <w:t>9.1</w:t>
      </w:r>
      <w:r>
        <w:rPr>
          <w:noProof/>
        </w:rPr>
        <w:tab/>
        <w:t xml:space="preserve">Polkumyyntiä, tukia ja suojatoimenpiteitä koskevien riitojen ratkaiseminen </w:t>
      </w:r>
    </w:p>
    <w:p>
      <w:pPr>
        <w:pStyle w:val="Text2"/>
        <w:rPr>
          <w:noProof/>
        </w:rPr>
      </w:pPr>
      <w:r>
        <w:rPr>
          <w:noProof/>
        </w:rPr>
        <w:t>WTO:lla on käytössään järjestelmällinen menettely WTO-sopimusten soveltamista koskevien riitojen ratkaisemiseksi WTO:n jäsenten välillä.</w:t>
      </w:r>
    </w:p>
    <w:p>
      <w:pPr>
        <w:pStyle w:val="Text2"/>
        <w:rPr>
          <w:noProof/>
        </w:rPr>
      </w:pPr>
      <w:r>
        <w:rPr>
          <w:noProof/>
        </w:rPr>
        <w:t>Valituselin toimitti 5. syyskuuta 2017 raporttinsa EU:ta vastaan käytävässä riitatapauksessa, joka liittyy Indonesiasta peräisin olevien tiettyjen rasva-alkoholien tuontia koskeviin polkumyynnin vastaisiin toimenpiteisiin (DS442). Valituselin hyväksyi olennaisilta osin paneelin näkemyksen, jonka mukaan Indonesia ei ollut osoittanut, että EU:n toiminta olisi ollut ristiriidassa WTO:n polkumyynnin vastaisen sopimuksen 2.4 artiklan kanssa.</w:t>
      </w:r>
    </w:p>
    <w:p>
      <w:pPr>
        <w:pStyle w:val="Text2"/>
        <w:rPr>
          <w:noProof/>
        </w:rPr>
      </w:pPr>
      <w:r>
        <w:rPr>
          <w:noProof/>
        </w:rPr>
        <w:t>Paneeli antoi 6. heinäkuuta 2017 raporttinsa EU:ta vastaan käytävässä riitatapauksessa, joka liittyy eräisiin Pakistanista tuotaviin polyeteenitereftalaatteihin sovellettaviin tasoitustoimenpiteisiin (DS486). Raportissaan paneeli katsoi lähinnä, että EU:n toiminta ei ollut WTO:n tukia ja tasoitustulleja koskevan sopimuksen 3.1 a artiklan mukaista, koska peruutetut tullit olivat kokonaisuudessaan tukia ja tasoitustulleja koskevassa sopimuksessa tarkoitettua tasoitustullin käyttöönoton mahdollistavaa tukea.</w:t>
      </w:r>
    </w:p>
    <w:p>
      <w:pPr>
        <w:ind w:left="850"/>
        <w:jc w:val="both"/>
        <w:rPr>
          <w:noProof/>
        </w:rPr>
      </w:pPr>
      <w:r>
        <w:rPr>
          <w:noProof/>
        </w:rPr>
        <w:t>Kiinan kansantasavalta pyysi 12. joulukuuta 2016 kuulemista EU:n kanssa niistä EU:n polkumyynnin vastaisen perusasetuksen säännöksistä, jotka koskevat normaaliarvon määrittämistä Kiinasta peräisin olevan tuonnin osalta (DS516). Ensimmäinen kuulemiskierros järjestettiin 23. tammikuuta 2017 ja paneeli muodostettiin 3. huhtikuuta 2017.</w:t>
      </w:r>
    </w:p>
    <w:p>
      <w:pPr>
        <w:ind w:left="850"/>
        <w:jc w:val="both"/>
        <w:rPr>
          <w:noProof/>
        </w:rPr>
      </w:pPr>
    </w:p>
    <w:p>
      <w:pPr>
        <w:spacing w:after="120"/>
        <w:ind w:left="851"/>
        <w:jc w:val="both"/>
        <w:rPr>
          <w:iCs/>
          <w:noProof/>
        </w:rPr>
      </w:pPr>
      <w:r>
        <w:rPr>
          <w:noProof/>
        </w:rPr>
        <w:t>EU ilmoitti WTO:n riitojenratkaisuelimelle 23. lokakuuta 2017, että se oli hyväksynyt asetuksen</w:t>
      </w:r>
      <w:r>
        <w:rPr>
          <w:rStyle w:val="FootnoteReference"/>
          <w:noProof/>
        </w:rPr>
        <w:footnoteReference w:id="6"/>
      </w:r>
      <w:r>
        <w:rPr>
          <w:noProof/>
        </w:rPr>
        <w:t xml:space="preserve"> WTO:n sääntöjä rikkovien biodieselin polkumyynnin vastaisten toimenpiteiden muuttamisesta. Asetuksella pantiin täysimääräisinä täytäntöön riitojenratkaisuelimen suositukset ja päätökset EU:ta vastaan käydyssä riitatapauksessa, joka koski polkumyynnin vastaisia toimenpiteitä Argentiinasta peräisin olevan biodieselin tuonnissa (DS473). </w:t>
      </w:r>
    </w:p>
    <w:p>
      <w:pPr>
        <w:spacing w:after="120"/>
        <w:ind w:left="851"/>
        <w:jc w:val="both"/>
        <w:rPr>
          <w:iCs/>
          <w:noProof/>
        </w:rPr>
      </w:pPr>
      <w:r>
        <w:rPr>
          <w:noProof/>
        </w:rPr>
        <w:t>Riitojenratkaisumenettelyt jatkuivat vuonna 2017 myös asiassa, joka koski Indonesiasta peräisin olevan biodieselin tuonnissa käyttöön otettuja polkumyynnin vastaisia toimenpiteitä (DS480). Paneeli toimitti raporttinsa jäsenille 25. tammikuuta 2018. Lisätietoa asiasta on tämän kertomuksen oheisasiakirjana olevassa komission yksiköiden valmisteluasiakirjassa kohdassa 4.2.3 (”Other” reviews).</w:t>
      </w:r>
    </w:p>
    <w:p>
      <w:pPr>
        <w:pStyle w:val="Text2"/>
        <w:rPr>
          <w:noProof/>
          <w:highlight w:val="yellow"/>
        </w:rPr>
      </w:pPr>
    </w:p>
    <w:p>
      <w:pPr>
        <w:pStyle w:val="ManualHeading2"/>
        <w:rPr>
          <w:noProof/>
        </w:rPr>
      </w:pPr>
      <w:r>
        <w:rPr>
          <w:noProof/>
        </w:rPr>
        <w:t>9.2</w:t>
      </w:r>
      <w:r>
        <w:rPr>
          <w:noProof/>
        </w:rPr>
        <w:tab/>
        <w:t xml:space="preserve">Muut WTO-toimet </w:t>
      </w:r>
    </w:p>
    <w:p>
      <w:pPr>
        <w:pStyle w:val="Text2"/>
        <w:ind w:left="851"/>
        <w:rPr>
          <w:noProof/>
        </w:rPr>
      </w:pPr>
      <w:r>
        <w:rPr>
          <w:noProof/>
        </w:rPr>
        <w:t xml:space="preserve">Vuoden 2017 aikana Genevessä käytiin tiiviitä neuvotteluja kalatalouden tuista. WTO:n 11. ministerikokouksessa, joka pidettiin joulukuussa 2017 Buenos Airesissa, ei päästy konkreettisiin tuloksiin, mutta WTO:n jäsenet sopivat kuitenkin työohjelmasta, joka toimii lähtökohtana seuraavassa ministerikokouksessa vuonna 2019 hyväksyttävästä laaja-alaisesta sopimuksesta käytäville neuvotteluille. Jäsenet sitoutuivat myös noudattamaan täysimääräisesti kalatalouden tukia koskevia ilmoitusvelvoitteitaan. </w:t>
      </w:r>
    </w:p>
    <w:p>
      <w:pPr>
        <w:pStyle w:val="Text2"/>
        <w:ind w:left="851"/>
        <w:rPr>
          <w:noProof/>
        </w:rPr>
      </w:pPr>
      <w:r>
        <w:rPr>
          <w:noProof/>
        </w:rPr>
        <w:t xml:space="preserve">EU teki vuonna 2017 uuden ilmoituksen tuista vuodet 2015 ja 2016 kattavien WTO-velvoitteidensa mukaisesti. Ilmoitus kattoi kaikki EU:n tasolla sekä yksittäisissä jäsenvaltioissa myönnetyt tuet. Ilmoituksen tarkastelu aloitettiin lokakuussa 2017 tuki- ja tasoitustullikomitean erityisistunnossa, joka jatkuu vuoden 2018 puolelle. Erityiskomiteassa komission yksiköt osallistuivat myös vuoden 2015 tuki-ilmoituksen jatkuvaan tarkasteluun huhti- ja lokakuussa 2017 pidetyissä kokouksissa. </w:t>
      </w:r>
    </w:p>
    <w:p>
      <w:pPr>
        <w:pStyle w:val="Text2"/>
        <w:ind w:left="851"/>
        <w:rPr>
          <w:noProof/>
        </w:rPr>
      </w:pPr>
      <w:r>
        <w:rPr>
          <w:noProof/>
        </w:rPr>
        <w:t>EU osallistui huhti- ja lokakuussa 2017 myös tuki- ja tasoitustullikomitean tavanomaiseen työhön. EU esitti huhtikuussa (yhdessä Kanadan, Japanin ja Yhdysvaltojen kanssa) WTO:n tuki- ja tasoitustullikomiteassa asiakirjan, joka koski tukien osuutta liikakapasiteetin luomisessa useilla taloudellisen toiminnan aloilla. EU järjesti lokakuussa 2017 WTO:ssa myös seminaarin samasta aiheesta ja esitteli seminaarin tärkeimmät johtopäätökset komitean lokakuun istunnossa. Näiden keskustelujen lisäksi käsiteltiin myös tukia koskevan avoimuuden puutetta, mikä on useita WTO:n jäsenmaita vaivaava ongelma.</w:t>
      </w:r>
    </w:p>
    <w:p>
      <w:pPr>
        <w:pStyle w:val="Text2"/>
        <w:ind w:left="851"/>
        <w:rPr>
          <w:noProof/>
        </w:rPr>
      </w:pPr>
      <w:r>
        <w:rPr>
          <w:noProof/>
        </w:rPr>
        <w:t xml:space="preserve">EU osallistui aktiivisesti myös WTO:n polkumyynti- ja suojalausekekomiteoiden tavanomaiseen työhön, vastasi kysymyksiin EU:ta koskevissa asioissa sekä toi esiin huolensa sellaisista muiden maiden kaupan suojakeinoja koskevista toimista, jotka vaikuttavat EU:n viejiin. </w:t>
      </w:r>
    </w:p>
    <w:p>
      <w:pPr>
        <w:pStyle w:val="Text2"/>
        <w:ind w:left="851"/>
        <w:rPr>
          <w:noProof/>
        </w:rPr>
      </w:pPr>
      <w:r>
        <w:rPr>
          <w:noProof/>
        </w:rPr>
        <w:t>Polkumyyntitoimenpiteiden kiertämistä käsittelevässä epävirallisessa ryhmässä kaupan suojakeinoja käsittelevät EU:n yksiköt pitivät huhtikuussa 2017 esityksen polkumyyntitoimenpiteiden kiertämistä koskevista EU:n lainsäädännöstä ja käytännöistä. Komission yksiköt osallistuivat aktiivisesti myös polkumyynnin vastaisen sopimuksen täytäntöönpanotyöryhmän kumpaankin istuntoon.</w:t>
      </w:r>
    </w:p>
    <w:p>
      <w:pPr>
        <w:pStyle w:val="Text2"/>
        <w:ind w:left="851"/>
        <w:rPr>
          <w:noProof/>
        </w:rPr>
      </w:pPr>
    </w:p>
    <w:p>
      <w:pPr>
        <w:pStyle w:val="ManualHeading1"/>
        <w:rPr>
          <w:noProof/>
        </w:rPr>
      </w:pPr>
      <w:r>
        <w:rPr>
          <w:noProof/>
        </w:rPr>
        <w:t>10.</w:t>
      </w:r>
      <w:r>
        <w:rPr>
          <w:noProof/>
        </w:rPr>
        <w:tab/>
        <w:t>Päätelmät</w:t>
      </w:r>
    </w:p>
    <w:p>
      <w:pPr>
        <w:spacing w:before="120" w:after="120"/>
        <w:ind w:left="851"/>
        <w:jc w:val="both"/>
        <w:rPr>
          <w:noProof/>
          <w:szCs w:val="22"/>
        </w:rPr>
      </w:pPr>
      <w:r>
        <w:rPr>
          <w:noProof/>
        </w:rPr>
        <w:t>Vuosi 2017 oli kaupan suojakeinojen osalta vilkas vuosi. Tutkimusten määrä pysyi korkealla tasolla. Polkumyyntituonnista kärsivä eurooppalainen teollisuus, jonka ongelmia on monissa tapauksissa pahentanut teollisuuden jatkuva ylikapasiteetti sekä eräissä maissa kaikille aloille levinnyt tukien käyttö, luottaa edelleen siihen, että komissio voi helpottaa tilannetta EU:n kaupan suojakeinoja hyödyntämällä. Väliaikaisten ja lopullisten toimenpiteiden määrä pysyi lähes samalla tasolla kuin vuonna 2016. Vireille pantujen tarkasteluihin liittyvien tutkimusten määrä sen sijaan kasvoi peräti 75 prosenttia edellisvuoteen verrattuna. Edellisten vuosien tavoin EU ei toteuttanut yhtäkään suojatoimenpidettä.</w:t>
      </w:r>
    </w:p>
    <w:p>
      <w:pPr>
        <w:autoSpaceDE w:val="0"/>
        <w:autoSpaceDN w:val="0"/>
        <w:adjustRightInd w:val="0"/>
        <w:ind w:left="851"/>
        <w:jc w:val="both"/>
        <w:rPr>
          <w:noProof/>
        </w:rPr>
      </w:pPr>
      <w:r>
        <w:rPr>
          <w:noProof/>
        </w:rPr>
        <w:t>Vuosi 2017 oli lainsäädäntötyön osalta poikkeuksellinen. Vuoden aikana otettiin käyttöön entistä vahvempi tukien vastainen väline sekä uusi polkumyyntimarginaalin laskentamenetelmä normaaliarvon laskemiselle sellaisia maita koskevissa tutkimuksissa, joissa esiintyy vakavia markkinoiden vääristymiä. Uuden asetuksen jälkeen julkaistiin raportti merkittävistä markkinavääristymistä Kiinassa. Vuonna 2017 valmisteltiin myös EU:n kaupan suojakeinojen nykyaikaistamista. Kokonaisuutena perusasetuksiin tehdyt muutokset merkitsevät EU:n kaupan suojakeinoja koskevan politiikan ja välineiden merkittävää uudistamista kaikkien sidosryhmien eduksi.</w:t>
      </w:r>
    </w:p>
    <w:p>
      <w:pPr>
        <w:autoSpaceDE w:val="0"/>
        <w:autoSpaceDN w:val="0"/>
        <w:adjustRightInd w:val="0"/>
        <w:ind w:left="851"/>
        <w:jc w:val="both"/>
        <w:rPr>
          <w:noProof/>
        </w:rPr>
      </w:pPr>
      <w:r>
        <w:rPr>
          <w:noProof/>
        </w:rPr>
        <w:t xml:space="preserve"> </w:t>
      </w:r>
    </w:p>
    <w:p>
      <w:pPr>
        <w:autoSpaceDE w:val="0"/>
        <w:autoSpaceDN w:val="0"/>
        <w:adjustRightInd w:val="0"/>
        <w:ind w:left="851"/>
        <w:jc w:val="both"/>
        <w:rPr>
          <w:noProof/>
        </w:rPr>
      </w:pPr>
      <w:r>
        <w:rPr>
          <w:noProof/>
        </w:rPr>
        <w:t xml:space="preserve">Näin voidaan osaltaan varmistaa, että EU:lla on käytössään riittävän vahvat kaupan suojakeinot, joiden avulla se pystyy toimimaan maailmanmarkkinoiden vääristymistä huolimatta. </w:t>
      </w:r>
    </w:p>
    <w:p>
      <w:pPr>
        <w:pStyle w:val="Text1"/>
        <w:ind w:left="851"/>
        <w:rPr>
          <w:noProof/>
        </w:rPr>
      </w:pPr>
      <w:r>
        <w:rPr>
          <w:noProof/>
        </w:rPr>
        <w:t xml:space="preserve"> </w:t>
      </w: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pPr>
      <w:r>
        <w:rPr>
          <w:rStyle w:val="FootnoteReference"/>
        </w:rPr>
        <w:footnoteRef/>
      </w:r>
      <w:r>
        <w:t xml:space="preserve"> </w:t>
      </w:r>
      <w:r>
        <w:tab/>
        <w:t xml:space="preserve">Seuraavan kaupan suojakeinoja koskevia tutkimuksia varten laadittavan markkinavääristymiä selvittävän maaraportin aiheena on Venäjä. </w:t>
      </w:r>
    </w:p>
  </w:footnote>
  <w:footnote w:id="3">
    <w:p>
      <w:pPr>
        <w:pStyle w:val="FootnoteText"/>
      </w:pPr>
      <w:r>
        <w:rPr>
          <w:rStyle w:val="FootnoteReference"/>
        </w:rPr>
        <w:footnoteRef/>
      </w:r>
      <w:r>
        <w:t xml:space="preserve"> </w:t>
      </w:r>
      <w:r>
        <w:tab/>
        <w:t>Toimenpiteet on laajennettu kattamaan muita kolmansia maita, jos näiden on havaittu kiertävän toimenpiteitä.</w:t>
      </w:r>
    </w:p>
  </w:footnote>
  <w:footnote w:id="4">
    <w:p>
      <w:pPr>
        <w:pStyle w:val="FootnoteText"/>
      </w:pPr>
      <w:r>
        <w:rPr>
          <w:rStyle w:val="FootnoteReference"/>
        </w:rPr>
        <w:footnoteRef/>
      </w:r>
      <w:r>
        <w:tab/>
        <w:t>Toimenpiteiden määrä on laskettu tuotteittain ja maittain.</w:t>
      </w:r>
    </w:p>
  </w:footnote>
  <w:footnote w:id="5">
    <w:p>
      <w:pPr>
        <w:pStyle w:val="FootnoteText"/>
      </w:pPr>
      <w:r>
        <w:rPr>
          <w:rStyle w:val="FootnoteReference"/>
        </w:rPr>
        <w:footnoteRef/>
      </w:r>
      <w:r>
        <w:t xml:space="preserve"> </w:t>
      </w:r>
      <w:r>
        <w:tab/>
        <w:t>Euroopan parlamentin ja neuvoston asetus (EU) 2015/755, annettu 29 päivänä huhtikuuta 2015, tiettyjen kolmansien maiden tuontiin sovellettavasta yhteisestä menettelystä (EUVL L 123, 19.5.2015, s. 33).</w:t>
      </w:r>
    </w:p>
  </w:footnote>
  <w:footnote w:id="6">
    <w:p>
      <w:pPr>
        <w:pStyle w:val="FootnoteText"/>
      </w:pPr>
      <w:r>
        <w:rPr>
          <w:rStyle w:val="FootnoteReference"/>
        </w:rPr>
        <w:footnoteRef/>
      </w:r>
      <w:r>
        <w:t xml:space="preserve"> </w:t>
      </w:r>
      <w:r>
        <w:tab/>
      </w:r>
      <w:r>
        <w:rPr>
          <w:color w:val="444444"/>
          <w:bdr w:val="none" w:sz="0" w:space="0" w:color="auto" w:frame="1"/>
          <w:shd w:val="clear" w:color="auto" w:fill="FFFFFF"/>
        </w:rPr>
        <w:t>Komission täytäntöönpanoasetus (EU) 2017/1578, annettu 18 päivänä syyskuuta 2017, täytäntöönpanoasetuksen (EU) No 1194/2013 muuttamisesta</w:t>
      </w:r>
      <w:r>
        <w:rPr>
          <w:color w:val="1F497D"/>
        </w:rPr>
        <w:t xml:space="preserve"> (</w:t>
      </w:r>
      <w:r>
        <w:rPr>
          <w:color w:val="444444"/>
        </w:rPr>
        <w:t>EUVL L 239, 19.9.2017, s.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34306"/>
    <w:multiLevelType w:val="multilevel"/>
    <w:tmpl w:val="03D8B9B8"/>
    <w:lvl w:ilvl="0">
      <w:start w:val="1"/>
      <w:numFmt w:val="decimal"/>
      <w:pStyle w:val="Heading1"/>
      <w:lvlText w:val="%1."/>
      <w:lvlJc w:val="left"/>
      <w:pPr>
        <w:tabs>
          <w:tab w:val="num" w:pos="480"/>
        </w:tabs>
        <w:ind w:left="480" w:hanging="480"/>
      </w:pPr>
      <w:rPr>
        <w:rFonts w:cs="Times New Roman" w:hint="default"/>
      </w:rPr>
    </w:lvl>
    <w:lvl w:ilvl="1">
      <w:start w:val="1"/>
      <w:numFmt w:val="decimal"/>
      <w:pStyle w:val="Heading2"/>
      <w:lvlText w:val="%1.%2."/>
      <w:lvlJc w:val="left"/>
      <w:pPr>
        <w:tabs>
          <w:tab w:val="num" w:pos="1200"/>
        </w:tabs>
        <w:ind w:left="1200" w:hanging="720"/>
      </w:pPr>
      <w:rPr>
        <w:rFonts w:cs="Times New Roman" w:hint="default"/>
      </w:rPr>
    </w:lvl>
    <w:lvl w:ilvl="2">
      <w:start w:val="1"/>
      <w:numFmt w:val="decimal"/>
      <w:pStyle w:val="Heading3"/>
      <w:lvlText w:val="%1.%2.%3."/>
      <w:lvlJc w:val="left"/>
      <w:pPr>
        <w:tabs>
          <w:tab w:val="num" w:pos="1920"/>
        </w:tabs>
        <w:ind w:left="1920" w:hanging="720"/>
      </w:pPr>
      <w:rPr>
        <w:rFonts w:cs="Times New Roman" w:hint="default"/>
      </w:rPr>
    </w:lvl>
    <w:lvl w:ilvl="3">
      <w:start w:val="1"/>
      <w:numFmt w:val="decimal"/>
      <w:pStyle w:val="Heading4"/>
      <w:lvlText w:val="%1.%2.%3.%4."/>
      <w:lvlJc w:val="left"/>
      <w:pPr>
        <w:tabs>
          <w:tab w:val="num" w:pos="1920"/>
        </w:tabs>
        <w:ind w:left="1920" w:hanging="72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20B16090"/>
    <w:multiLevelType w:val="hybridMultilevel"/>
    <w:tmpl w:val="0F64C266"/>
    <w:lvl w:ilvl="0" w:tplc="93FCA1FE">
      <w:numFmt w:val="bullet"/>
      <w:lvlText w:val="-"/>
      <w:lvlJc w:val="left"/>
      <w:pPr>
        <w:ind w:left="720" w:hanging="360"/>
      </w:pPr>
      <w:rPr>
        <w:rFonts w:ascii="Calibri" w:eastAsia="Times New Roman" w:hAnsi="Calibri"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CB53D59"/>
    <w:multiLevelType w:val="hybridMultilevel"/>
    <w:tmpl w:val="A5401B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4A432656"/>
    <w:multiLevelType w:val="multilevel"/>
    <w:tmpl w:val="AC885D7A"/>
    <w:lvl w:ilvl="0">
      <w:start w:val="1"/>
      <w:numFmt w:val="decimal"/>
      <w:lvlText w:val="%1."/>
      <w:lvlJc w:val="left"/>
      <w:pPr>
        <w:tabs>
          <w:tab w:val="num" w:pos="480"/>
        </w:tabs>
        <w:ind w:left="480" w:hanging="480"/>
      </w:pPr>
      <w:rPr>
        <w:rFonts w:cs="Times New Roman"/>
      </w:rPr>
    </w:lvl>
    <w:lvl w:ilvl="1">
      <w:start w:val="1"/>
      <w:numFmt w:val="decimal"/>
      <w:lvlText w:val="%1.%2."/>
      <w:lvlJc w:val="left"/>
      <w:pPr>
        <w:tabs>
          <w:tab w:val="num" w:pos="1080"/>
        </w:tabs>
        <w:ind w:left="1080" w:hanging="600"/>
      </w:pPr>
      <w:rPr>
        <w:rFonts w:cs="Times New Roman"/>
      </w:rPr>
    </w:lvl>
    <w:lvl w:ilvl="2">
      <w:start w:val="1"/>
      <w:numFmt w:val="decimal"/>
      <w:lvlText w:val="%1.%2.%3."/>
      <w:lvlJc w:val="left"/>
      <w:pPr>
        <w:tabs>
          <w:tab w:val="num" w:pos="1920"/>
        </w:tabs>
        <w:ind w:left="1920" w:hanging="840"/>
      </w:pPr>
      <w:rPr>
        <w:rFonts w:cs="Times New Roman"/>
      </w:rPr>
    </w:lvl>
    <w:lvl w:ilvl="3">
      <w:start w:val="1"/>
      <w:numFmt w:val="decimal"/>
      <w:lvlText w:val="%1.%2.%3.%4."/>
      <w:lvlJc w:val="left"/>
      <w:pPr>
        <w:tabs>
          <w:tab w:val="num" w:pos="2880"/>
        </w:tabs>
        <w:ind w:left="2880" w:hanging="9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UELLER Wolfgang (TRADE)">
    <w15:presenceInfo w15:providerId="None" w15:userId="MUELLER Wolfgang (TR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Status" w:val="Green"/>
    <w:docVar w:name="LW_CORRIGENDUM" w:val="&lt;UNUSED&gt;"/>
    <w:docVar w:name="LW_COVERPAGE_EXISTS" w:val="True"/>
    <w:docVar w:name="LW_COVERPAGE_GUID" w:val="EC6B6405-3621-46C7-85FD-ABF7617E34D9"/>
    <w:docVar w:name="LW_COVERPAGE_TYPE" w:val="1"/>
    <w:docVar w:name="LW_CROSSREFERENCE" w:val="{SWD(2018) 392 final}"/>
    <w:docVar w:name="LW_DocType" w:val="NORMAL"/>
    <w:docVar w:name="LW_EMISSION" w:val="31.7.2018"/>
    <w:docVar w:name="LW_EMISSION_ISODATE" w:val="2018-07-31"/>
    <w:docVar w:name="LW_EMISSION_LOCATION" w:val="BRX"/>
    <w:docVar w:name="LW_EMISSION_PREFIX" w:val="Bryssel "/>
    <w:docVar w:name="LW_EMISSION_SUFFIX" w:val="&lt;EMPTY&gt;"/>
    <w:docVar w:name="LW_ID_DOCTYPE_NONLW" w:val="CP-006"/>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18) 5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Komission 36. vuosikertomus neuvostolle ja Euroopan parlamentille _x000b_polkumyynnin ja tukien vastaisista EU:n toimista ja suojatoimenpiteistä (2017)"/>
    <w:docVar w:name="LW_TYPE.DOC.CP" w:val="KOMISSION KERTOMUS EUROOPAN PARLAMENTILLE JA NEUVOSTOLL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i-FI" w:eastAsia="fi-FI" w:bidi="fi-FI"/>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2"/>
      </w:numPr>
      <w:spacing w:before="240" w:after="240"/>
      <w:jc w:val="both"/>
      <w:outlineLvl w:val="0"/>
    </w:pPr>
    <w:rPr>
      <w:b/>
      <w:smallCaps/>
      <w:szCs w:val="20"/>
    </w:rPr>
  </w:style>
  <w:style w:type="paragraph" w:styleId="Heading2">
    <w:name w:val="heading 2"/>
    <w:basedOn w:val="Normal"/>
    <w:next w:val="Normal"/>
    <w:link w:val="Heading2Char"/>
    <w:uiPriority w:val="9"/>
    <w:qFormat/>
    <w:pPr>
      <w:keepNext/>
      <w:numPr>
        <w:ilvl w:val="1"/>
        <w:numId w:val="2"/>
      </w:numPr>
      <w:tabs>
        <w:tab w:val="num" w:pos="1080"/>
      </w:tabs>
      <w:spacing w:after="240"/>
      <w:ind w:left="1080" w:hanging="600"/>
      <w:jc w:val="both"/>
      <w:outlineLvl w:val="1"/>
    </w:pPr>
    <w:rPr>
      <w:b/>
      <w:szCs w:val="20"/>
    </w:rPr>
  </w:style>
  <w:style w:type="paragraph" w:styleId="Heading3">
    <w:name w:val="heading 3"/>
    <w:basedOn w:val="Normal"/>
    <w:next w:val="Normal"/>
    <w:link w:val="Heading3Char"/>
    <w:uiPriority w:val="9"/>
    <w:qFormat/>
    <w:pPr>
      <w:keepNext/>
      <w:numPr>
        <w:ilvl w:val="2"/>
        <w:numId w:val="2"/>
      </w:numPr>
      <w:spacing w:after="240"/>
      <w:ind w:hanging="840"/>
      <w:jc w:val="both"/>
      <w:outlineLvl w:val="2"/>
    </w:pPr>
    <w:rPr>
      <w:i/>
      <w:szCs w:val="20"/>
    </w:rPr>
  </w:style>
  <w:style w:type="paragraph" w:styleId="Heading4">
    <w:name w:val="heading 4"/>
    <w:basedOn w:val="Normal"/>
    <w:next w:val="Normal"/>
    <w:link w:val="Heading4Char"/>
    <w:uiPriority w:val="9"/>
    <w:qFormat/>
    <w:pPr>
      <w:keepNext/>
      <w:numPr>
        <w:ilvl w:val="3"/>
        <w:numId w:val="2"/>
      </w:numPr>
      <w:tabs>
        <w:tab w:val="num" w:pos="2880"/>
      </w:tabs>
      <w:spacing w:after="240"/>
      <w:ind w:left="2880" w:hanging="960"/>
      <w:jc w:val="both"/>
      <w:outlineLvl w:val="3"/>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eastAsia="Times New Roman"/>
      <w:b/>
      <w:smallCaps/>
      <w:sz w:val="24"/>
      <w:lang w:val="fi-FI" w:eastAsia="fi-FI"/>
    </w:rPr>
  </w:style>
  <w:style w:type="character" w:customStyle="1" w:styleId="Heading2Char">
    <w:name w:val="Heading 2 Char"/>
    <w:basedOn w:val="DefaultParagraphFont"/>
    <w:link w:val="Heading2"/>
    <w:uiPriority w:val="9"/>
    <w:locked/>
    <w:rPr>
      <w:rFonts w:eastAsia="Times New Roman"/>
      <w:b/>
      <w:sz w:val="24"/>
      <w:lang w:val="fi-FI" w:eastAsia="fi-FI"/>
    </w:rPr>
  </w:style>
  <w:style w:type="character" w:customStyle="1" w:styleId="Heading3Char">
    <w:name w:val="Heading 3 Char"/>
    <w:basedOn w:val="DefaultParagraphFont"/>
    <w:link w:val="Heading3"/>
    <w:uiPriority w:val="9"/>
    <w:locked/>
    <w:rPr>
      <w:rFonts w:eastAsia="Times New Roman"/>
      <w:i/>
      <w:sz w:val="24"/>
      <w:lang w:val="fi-FI" w:eastAsia="fi-FI"/>
    </w:rPr>
  </w:style>
  <w:style w:type="character" w:customStyle="1" w:styleId="Heading4Char">
    <w:name w:val="Heading 4 Char"/>
    <w:basedOn w:val="DefaultParagraphFont"/>
    <w:link w:val="Heading4"/>
    <w:uiPriority w:val="9"/>
    <w:locked/>
    <w:rPr>
      <w:rFonts w:eastAsia="Times New Roman"/>
      <w:sz w:val="24"/>
      <w:lang w:val="fi-FI" w:eastAsia="fi-FI"/>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jc w:val="both"/>
    </w:pPr>
  </w:style>
  <w:style w:type="paragraph" w:styleId="Header">
    <w:name w:val="header"/>
    <w:basedOn w:val="Normal"/>
    <w:link w:val="HeaderChar"/>
    <w:uiPriority w:val="99"/>
    <w:unhideWhenUsed/>
    <w:pPr>
      <w:tabs>
        <w:tab w:val="center" w:pos="4535"/>
        <w:tab w:val="right" w:pos="9071"/>
      </w:tabs>
      <w:spacing w:after="120"/>
      <w:jc w:val="both"/>
    </w:pPr>
    <w:rPr>
      <w:rFonts w:eastAsiaTheme="minorHAnsi"/>
      <w:szCs w:val="22"/>
    </w:rPr>
  </w:style>
  <w:style w:type="character" w:customStyle="1" w:styleId="HeaderChar">
    <w:name w:val="Header Char"/>
    <w:basedOn w:val="DefaultParagraphFont"/>
    <w:link w:val="Header"/>
    <w:uiPriority w:val="99"/>
    <w:locked/>
    <w:rPr>
      <w:rFonts w:eastAsiaTheme="minorHAnsi"/>
      <w:sz w:val="24"/>
      <w:szCs w:val="22"/>
      <w:lang w:val="fi-FI"/>
    </w:rPr>
  </w:style>
  <w:style w:type="paragraph" w:styleId="Footer">
    <w:name w:val="footer"/>
    <w:basedOn w:val="Normal"/>
    <w:link w:val="FooterChar"/>
    <w:uiPriority w:val="99"/>
    <w:unhideWhenUsed/>
    <w:pPr>
      <w:tabs>
        <w:tab w:val="center" w:pos="4535"/>
        <w:tab w:val="right" w:pos="9071"/>
        <w:tab w:val="right" w:pos="9921"/>
      </w:tabs>
      <w:spacing w:before="360"/>
      <w:ind w:left="-850" w:right="-850"/>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fi-FI"/>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locked/>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link w:val="HeaderCoverPage"/>
    <w:locked/>
    <w:rPr>
      <w:sz w:val="24"/>
      <w:szCs w:val="24"/>
    </w:rPr>
  </w:style>
  <w:style w:type="paragraph" w:customStyle="1" w:styleId="Typedudocument">
    <w:name w:val="Type du document"/>
    <w:basedOn w:val="Normal"/>
    <w:next w:val="Normal"/>
    <w:pPr>
      <w:spacing w:before="360"/>
      <w:jc w:val="center"/>
    </w:pPr>
    <w:rPr>
      <w:b/>
    </w:rPr>
  </w:style>
  <w:style w:type="paragraph" w:customStyle="1" w:styleId="Titreobjet">
    <w:name w:val="Titre objet"/>
    <w:basedOn w:val="Normal"/>
    <w:next w:val="Normal"/>
    <w:pPr>
      <w:spacing w:before="360" w:after="360"/>
      <w:jc w:val="center"/>
    </w:pPr>
    <w:rPr>
      <w:b/>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locked/>
    <w:rPr>
      <w:sz w:val="24"/>
      <w:lang w:val="fi-FI" w:eastAsia="fi-FI"/>
    </w:rPr>
  </w:style>
  <w:style w:type="paragraph" w:styleId="BodyTextFirstIndent">
    <w:name w:val="Body Text First Indent"/>
    <w:basedOn w:val="BodyText"/>
    <w:link w:val="BodyTextFirstIndentChar"/>
    <w:uiPriority w:val="99"/>
    <w:pPr>
      <w:ind w:firstLine="210"/>
      <w:jc w:val="both"/>
    </w:pPr>
    <w:rPr>
      <w:szCs w:val="20"/>
    </w:rPr>
  </w:style>
  <w:style w:type="character" w:customStyle="1" w:styleId="BodyTextFirstIndentChar">
    <w:name w:val="Body Text First Indent Char"/>
    <w:basedOn w:val="BodyTextChar"/>
    <w:link w:val="BodyTextFirstIndent"/>
    <w:uiPriority w:val="99"/>
    <w:locked/>
    <w:rPr>
      <w:rFonts w:eastAsia="Times New Roman"/>
      <w:sz w:val="24"/>
      <w:lang w:val="fi-FI" w:eastAsia="fi-FI"/>
    </w:rPr>
  </w:style>
  <w:style w:type="character" w:customStyle="1" w:styleId="mediumtext1">
    <w:name w:val="medium_text1"/>
    <w:rPr>
      <w:sz w:val="24"/>
    </w:rPr>
  </w:style>
  <w:style w:type="paragraph" w:styleId="FootnoteText">
    <w:name w:val="footnote text"/>
    <w:basedOn w:val="Normal"/>
    <w:link w:val="FootnoteTextChar"/>
    <w:pPr>
      <w:ind w:left="720" w:hanging="720"/>
      <w:jc w:val="both"/>
    </w:pPr>
    <w:rPr>
      <w:sz w:val="20"/>
      <w:szCs w:val="20"/>
    </w:rPr>
  </w:style>
  <w:style w:type="character" w:customStyle="1" w:styleId="FootnoteTextChar">
    <w:name w:val="Footnote Text Char"/>
    <w:basedOn w:val="DefaultParagraphFont"/>
    <w:link w:val="FootnoteText"/>
    <w:locked/>
    <w:rPr>
      <w:rFonts w:eastAsia="Times New Roman"/>
      <w:lang w:val="fi-FI" w:eastAsia="fi-FI"/>
    </w:rPr>
  </w:style>
  <w:style w:type="character" w:styleId="FootnoteReference">
    <w:name w:val="footnote reference"/>
    <w:basedOn w:val="DefaultParagraphFont"/>
    <w:rPr>
      <w:vertAlign w:val="superscript"/>
    </w:rPr>
  </w:style>
  <w:style w:type="paragraph" w:customStyle="1" w:styleId="Text1">
    <w:name w:val="Text 1"/>
    <w:basedOn w:val="Normal"/>
    <w:pPr>
      <w:spacing w:before="120" w:after="120"/>
      <w:ind w:left="850"/>
      <w:jc w:val="both"/>
    </w:pPr>
  </w:style>
  <w:style w:type="paragraph" w:customStyle="1" w:styleId="Text2">
    <w:name w:val="Text 2"/>
    <w:basedOn w:val="Normal"/>
    <w:pPr>
      <w:spacing w:before="120" w:after="120"/>
      <w:ind w:left="850"/>
      <w:jc w:val="both"/>
    </w:pPr>
  </w:style>
  <w:style w:type="paragraph" w:customStyle="1" w:styleId="Text3">
    <w:name w:val="Text 3"/>
    <w:basedOn w:val="Normal"/>
    <w:pPr>
      <w:spacing w:before="120" w:after="120"/>
      <w:ind w:left="850"/>
      <w:jc w:val="both"/>
    </w:pPr>
  </w:style>
  <w:style w:type="paragraph" w:customStyle="1" w:styleId="Text4">
    <w:name w:val="Text 4"/>
    <w:basedOn w:val="Normal"/>
    <w:pPr>
      <w:spacing w:before="120" w:after="120"/>
      <w:ind w:left="850"/>
      <w:jc w:val="both"/>
    </w:pPr>
  </w:style>
  <w:style w:type="paragraph" w:customStyle="1" w:styleId="ManualNumPar1">
    <w:name w:val="Manual NumPar 1"/>
    <w:basedOn w:val="Normal"/>
    <w:next w:val="Text1"/>
    <w:pPr>
      <w:spacing w:before="120" w:after="120"/>
      <w:ind w:left="850" w:hanging="850"/>
      <w:jc w:val="both"/>
    </w:p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rPr>
  </w:style>
  <w:style w:type="paragraph" w:customStyle="1" w:styleId="ManualHeading2">
    <w:name w:val="Manual Heading 2"/>
    <w:basedOn w:val="Normal"/>
    <w:next w:val="Text2"/>
    <w:pPr>
      <w:keepNext/>
      <w:tabs>
        <w:tab w:val="left" w:pos="850"/>
      </w:tabs>
      <w:spacing w:before="120" w:after="120"/>
      <w:ind w:left="850" w:hanging="850"/>
      <w:jc w:val="both"/>
      <w:outlineLvl w:val="1"/>
    </w:pPr>
    <w:rPr>
      <w:b/>
    </w:rPr>
  </w:style>
  <w:style w:type="paragraph" w:customStyle="1" w:styleId="ManualHeading3">
    <w:name w:val="Manual Heading 3"/>
    <w:basedOn w:val="Normal"/>
    <w:next w:val="Text3"/>
    <w:pPr>
      <w:keepNext/>
      <w:tabs>
        <w:tab w:val="left" w:pos="850"/>
      </w:tabs>
      <w:spacing w:before="120" w:after="120"/>
      <w:ind w:left="850" w:hanging="850"/>
      <w:jc w:val="both"/>
      <w:outlineLvl w:val="2"/>
    </w:pPr>
    <w:rPr>
      <w:i/>
    </w:rPr>
  </w:style>
  <w:style w:type="character" w:styleId="CommentReference">
    <w:name w:val="annotation reference"/>
    <w:basedOn w:val="DefaultParagraphFont"/>
    <w:uiPriority w:val="99"/>
    <w:rPr>
      <w:sz w:val="16"/>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sz w:val="16"/>
      <w:lang w:val="fi-FI" w:eastAsia="fi-FI"/>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lang w:val="fi-FI" w:eastAsia="fi-FI"/>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b/>
      <w:lang w:val="fi-FI" w:eastAsia="fi-FI"/>
    </w:rPr>
  </w:style>
  <w:style w:type="paragraph" w:styleId="Revision">
    <w:name w:val="Revision"/>
    <w:hidden/>
    <w:uiPriority w:val="99"/>
    <w:semiHidden/>
    <w:rPr>
      <w:sz w:val="24"/>
      <w:szCs w:val="24"/>
    </w:rPr>
  </w:style>
  <w:style w:type="character" w:customStyle="1" w:styleId="paracolourtext">
    <w:name w:val="paracolourtext"/>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rPr>
  </w:style>
  <w:style w:type="paragraph" w:styleId="ListParagraph">
    <w:name w:val="List Paragraph"/>
    <w:basedOn w:val="Normal"/>
    <w:link w:val="ListParagraphChar"/>
    <w:uiPriority w:val="34"/>
    <w:qFormat/>
    <w:pPr>
      <w:ind w:left="720"/>
    </w:pPr>
  </w:style>
  <w:style w:type="character" w:customStyle="1" w:styleId="ListParagraphChar">
    <w:name w:val="List Paragraph Char"/>
    <w:link w:val="ListParagraph"/>
    <w:uiPriority w:val="34"/>
    <w:locked/>
    <w:rPr>
      <w:sz w:val="24"/>
      <w:szCs w:val="24"/>
      <w:lang w:val="fi-FI" w:eastAsia="fi-FI"/>
    </w:rPr>
  </w:style>
  <w:style w:type="paragraph" w:customStyle="1" w:styleId="Declassification">
    <w:name w:val="Declassification"/>
    <w:basedOn w:val="Normal"/>
    <w:next w:val="Normal"/>
    <w:pPr>
      <w:jc w:val="both"/>
    </w:pPr>
    <w:rPr>
      <w:rFonts w:eastAsiaTheme="minorHAnsi"/>
      <w:szCs w:val="22"/>
    </w:rPr>
  </w:style>
  <w:style w:type="paragraph" w:customStyle="1" w:styleId="HeaderLandscape">
    <w:name w:val="HeaderLandscape"/>
    <w:basedOn w:val="Normal"/>
    <w:pPr>
      <w:tabs>
        <w:tab w:val="center" w:pos="7285"/>
        <w:tab w:val="right" w:pos="14003"/>
      </w:tabs>
      <w:spacing w:after="120"/>
      <w:jc w:val="both"/>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ind w:left="-567" w:right="-567"/>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i-FI" w:eastAsia="fi-FI" w:bidi="fi-FI"/>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2"/>
      </w:numPr>
      <w:spacing w:before="240" w:after="240"/>
      <w:jc w:val="both"/>
      <w:outlineLvl w:val="0"/>
    </w:pPr>
    <w:rPr>
      <w:b/>
      <w:smallCaps/>
      <w:szCs w:val="20"/>
    </w:rPr>
  </w:style>
  <w:style w:type="paragraph" w:styleId="Heading2">
    <w:name w:val="heading 2"/>
    <w:basedOn w:val="Normal"/>
    <w:next w:val="Normal"/>
    <w:link w:val="Heading2Char"/>
    <w:uiPriority w:val="9"/>
    <w:qFormat/>
    <w:pPr>
      <w:keepNext/>
      <w:numPr>
        <w:ilvl w:val="1"/>
        <w:numId w:val="2"/>
      </w:numPr>
      <w:tabs>
        <w:tab w:val="num" w:pos="1080"/>
      </w:tabs>
      <w:spacing w:after="240"/>
      <w:ind w:left="1080" w:hanging="600"/>
      <w:jc w:val="both"/>
      <w:outlineLvl w:val="1"/>
    </w:pPr>
    <w:rPr>
      <w:b/>
      <w:szCs w:val="20"/>
    </w:rPr>
  </w:style>
  <w:style w:type="paragraph" w:styleId="Heading3">
    <w:name w:val="heading 3"/>
    <w:basedOn w:val="Normal"/>
    <w:next w:val="Normal"/>
    <w:link w:val="Heading3Char"/>
    <w:uiPriority w:val="9"/>
    <w:qFormat/>
    <w:pPr>
      <w:keepNext/>
      <w:numPr>
        <w:ilvl w:val="2"/>
        <w:numId w:val="2"/>
      </w:numPr>
      <w:spacing w:after="240"/>
      <w:ind w:hanging="840"/>
      <w:jc w:val="both"/>
      <w:outlineLvl w:val="2"/>
    </w:pPr>
    <w:rPr>
      <w:i/>
      <w:szCs w:val="20"/>
    </w:rPr>
  </w:style>
  <w:style w:type="paragraph" w:styleId="Heading4">
    <w:name w:val="heading 4"/>
    <w:basedOn w:val="Normal"/>
    <w:next w:val="Normal"/>
    <w:link w:val="Heading4Char"/>
    <w:uiPriority w:val="9"/>
    <w:qFormat/>
    <w:pPr>
      <w:keepNext/>
      <w:numPr>
        <w:ilvl w:val="3"/>
        <w:numId w:val="2"/>
      </w:numPr>
      <w:tabs>
        <w:tab w:val="num" w:pos="2880"/>
      </w:tabs>
      <w:spacing w:after="240"/>
      <w:ind w:left="2880" w:hanging="960"/>
      <w:jc w:val="both"/>
      <w:outlineLvl w:val="3"/>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eastAsia="Times New Roman"/>
      <w:b/>
      <w:smallCaps/>
      <w:sz w:val="24"/>
      <w:lang w:val="fi-FI" w:eastAsia="fi-FI"/>
    </w:rPr>
  </w:style>
  <w:style w:type="character" w:customStyle="1" w:styleId="Heading2Char">
    <w:name w:val="Heading 2 Char"/>
    <w:basedOn w:val="DefaultParagraphFont"/>
    <w:link w:val="Heading2"/>
    <w:uiPriority w:val="9"/>
    <w:locked/>
    <w:rPr>
      <w:rFonts w:eastAsia="Times New Roman"/>
      <w:b/>
      <w:sz w:val="24"/>
      <w:lang w:val="fi-FI" w:eastAsia="fi-FI"/>
    </w:rPr>
  </w:style>
  <w:style w:type="character" w:customStyle="1" w:styleId="Heading3Char">
    <w:name w:val="Heading 3 Char"/>
    <w:basedOn w:val="DefaultParagraphFont"/>
    <w:link w:val="Heading3"/>
    <w:uiPriority w:val="9"/>
    <w:locked/>
    <w:rPr>
      <w:rFonts w:eastAsia="Times New Roman"/>
      <w:i/>
      <w:sz w:val="24"/>
      <w:lang w:val="fi-FI" w:eastAsia="fi-FI"/>
    </w:rPr>
  </w:style>
  <w:style w:type="character" w:customStyle="1" w:styleId="Heading4Char">
    <w:name w:val="Heading 4 Char"/>
    <w:basedOn w:val="DefaultParagraphFont"/>
    <w:link w:val="Heading4"/>
    <w:uiPriority w:val="9"/>
    <w:locked/>
    <w:rPr>
      <w:rFonts w:eastAsia="Times New Roman"/>
      <w:sz w:val="24"/>
      <w:lang w:val="fi-FI" w:eastAsia="fi-FI"/>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jc w:val="both"/>
    </w:pPr>
  </w:style>
  <w:style w:type="paragraph" w:styleId="Header">
    <w:name w:val="header"/>
    <w:basedOn w:val="Normal"/>
    <w:link w:val="HeaderChar"/>
    <w:uiPriority w:val="99"/>
    <w:unhideWhenUsed/>
    <w:pPr>
      <w:tabs>
        <w:tab w:val="center" w:pos="4535"/>
        <w:tab w:val="right" w:pos="9071"/>
      </w:tabs>
      <w:spacing w:after="120"/>
      <w:jc w:val="both"/>
    </w:pPr>
    <w:rPr>
      <w:rFonts w:eastAsiaTheme="minorHAnsi"/>
      <w:szCs w:val="22"/>
    </w:rPr>
  </w:style>
  <w:style w:type="character" w:customStyle="1" w:styleId="HeaderChar">
    <w:name w:val="Header Char"/>
    <w:basedOn w:val="DefaultParagraphFont"/>
    <w:link w:val="Header"/>
    <w:uiPriority w:val="99"/>
    <w:locked/>
    <w:rPr>
      <w:rFonts w:eastAsiaTheme="minorHAnsi"/>
      <w:sz w:val="24"/>
      <w:szCs w:val="22"/>
      <w:lang w:val="fi-FI"/>
    </w:rPr>
  </w:style>
  <w:style w:type="paragraph" w:styleId="Footer">
    <w:name w:val="footer"/>
    <w:basedOn w:val="Normal"/>
    <w:link w:val="FooterChar"/>
    <w:uiPriority w:val="99"/>
    <w:unhideWhenUsed/>
    <w:pPr>
      <w:tabs>
        <w:tab w:val="center" w:pos="4535"/>
        <w:tab w:val="right" w:pos="9071"/>
        <w:tab w:val="right" w:pos="9921"/>
      </w:tabs>
      <w:spacing w:before="360"/>
      <w:ind w:left="-850" w:right="-850"/>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fi-FI"/>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locked/>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link w:val="HeaderCoverPage"/>
    <w:locked/>
    <w:rPr>
      <w:sz w:val="24"/>
      <w:szCs w:val="24"/>
    </w:rPr>
  </w:style>
  <w:style w:type="paragraph" w:customStyle="1" w:styleId="Typedudocument">
    <w:name w:val="Type du document"/>
    <w:basedOn w:val="Normal"/>
    <w:next w:val="Normal"/>
    <w:pPr>
      <w:spacing w:before="360"/>
      <w:jc w:val="center"/>
    </w:pPr>
    <w:rPr>
      <w:b/>
    </w:rPr>
  </w:style>
  <w:style w:type="paragraph" w:customStyle="1" w:styleId="Titreobjet">
    <w:name w:val="Titre objet"/>
    <w:basedOn w:val="Normal"/>
    <w:next w:val="Normal"/>
    <w:pPr>
      <w:spacing w:before="360" w:after="360"/>
      <w:jc w:val="center"/>
    </w:pPr>
    <w:rPr>
      <w:b/>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locked/>
    <w:rPr>
      <w:sz w:val="24"/>
      <w:lang w:val="fi-FI" w:eastAsia="fi-FI"/>
    </w:rPr>
  </w:style>
  <w:style w:type="paragraph" w:styleId="BodyTextFirstIndent">
    <w:name w:val="Body Text First Indent"/>
    <w:basedOn w:val="BodyText"/>
    <w:link w:val="BodyTextFirstIndentChar"/>
    <w:uiPriority w:val="99"/>
    <w:pPr>
      <w:ind w:firstLine="210"/>
      <w:jc w:val="both"/>
    </w:pPr>
    <w:rPr>
      <w:szCs w:val="20"/>
    </w:rPr>
  </w:style>
  <w:style w:type="character" w:customStyle="1" w:styleId="BodyTextFirstIndentChar">
    <w:name w:val="Body Text First Indent Char"/>
    <w:basedOn w:val="BodyTextChar"/>
    <w:link w:val="BodyTextFirstIndent"/>
    <w:uiPriority w:val="99"/>
    <w:locked/>
    <w:rPr>
      <w:rFonts w:eastAsia="Times New Roman"/>
      <w:sz w:val="24"/>
      <w:lang w:val="fi-FI" w:eastAsia="fi-FI"/>
    </w:rPr>
  </w:style>
  <w:style w:type="character" w:customStyle="1" w:styleId="mediumtext1">
    <w:name w:val="medium_text1"/>
    <w:rPr>
      <w:sz w:val="24"/>
    </w:rPr>
  </w:style>
  <w:style w:type="paragraph" w:styleId="FootnoteText">
    <w:name w:val="footnote text"/>
    <w:basedOn w:val="Normal"/>
    <w:link w:val="FootnoteTextChar"/>
    <w:pPr>
      <w:ind w:left="720" w:hanging="720"/>
      <w:jc w:val="both"/>
    </w:pPr>
    <w:rPr>
      <w:sz w:val="20"/>
      <w:szCs w:val="20"/>
    </w:rPr>
  </w:style>
  <w:style w:type="character" w:customStyle="1" w:styleId="FootnoteTextChar">
    <w:name w:val="Footnote Text Char"/>
    <w:basedOn w:val="DefaultParagraphFont"/>
    <w:link w:val="FootnoteText"/>
    <w:locked/>
    <w:rPr>
      <w:rFonts w:eastAsia="Times New Roman"/>
      <w:lang w:val="fi-FI" w:eastAsia="fi-FI"/>
    </w:rPr>
  </w:style>
  <w:style w:type="character" w:styleId="FootnoteReference">
    <w:name w:val="footnote reference"/>
    <w:basedOn w:val="DefaultParagraphFont"/>
    <w:rPr>
      <w:vertAlign w:val="superscript"/>
    </w:rPr>
  </w:style>
  <w:style w:type="paragraph" w:customStyle="1" w:styleId="Text1">
    <w:name w:val="Text 1"/>
    <w:basedOn w:val="Normal"/>
    <w:pPr>
      <w:spacing w:before="120" w:after="120"/>
      <w:ind w:left="850"/>
      <w:jc w:val="both"/>
    </w:pPr>
  </w:style>
  <w:style w:type="paragraph" w:customStyle="1" w:styleId="Text2">
    <w:name w:val="Text 2"/>
    <w:basedOn w:val="Normal"/>
    <w:pPr>
      <w:spacing w:before="120" w:after="120"/>
      <w:ind w:left="850"/>
      <w:jc w:val="both"/>
    </w:pPr>
  </w:style>
  <w:style w:type="paragraph" w:customStyle="1" w:styleId="Text3">
    <w:name w:val="Text 3"/>
    <w:basedOn w:val="Normal"/>
    <w:pPr>
      <w:spacing w:before="120" w:after="120"/>
      <w:ind w:left="850"/>
      <w:jc w:val="both"/>
    </w:pPr>
  </w:style>
  <w:style w:type="paragraph" w:customStyle="1" w:styleId="Text4">
    <w:name w:val="Text 4"/>
    <w:basedOn w:val="Normal"/>
    <w:pPr>
      <w:spacing w:before="120" w:after="120"/>
      <w:ind w:left="850"/>
      <w:jc w:val="both"/>
    </w:pPr>
  </w:style>
  <w:style w:type="paragraph" w:customStyle="1" w:styleId="ManualNumPar1">
    <w:name w:val="Manual NumPar 1"/>
    <w:basedOn w:val="Normal"/>
    <w:next w:val="Text1"/>
    <w:pPr>
      <w:spacing w:before="120" w:after="120"/>
      <w:ind w:left="850" w:hanging="850"/>
      <w:jc w:val="both"/>
    </w:p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rPr>
  </w:style>
  <w:style w:type="paragraph" w:customStyle="1" w:styleId="ManualHeading2">
    <w:name w:val="Manual Heading 2"/>
    <w:basedOn w:val="Normal"/>
    <w:next w:val="Text2"/>
    <w:pPr>
      <w:keepNext/>
      <w:tabs>
        <w:tab w:val="left" w:pos="850"/>
      </w:tabs>
      <w:spacing w:before="120" w:after="120"/>
      <w:ind w:left="850" w:hanging="850"/>
      <w:jc w:val="both"/>
      <w:outlineLvl w:val="1"/>
    </w:pPr>
    <w:rPr>
      <w:b/>
    </w:rPr>
  </w:style>
  <w:style w:type="paragraph" w:customStyle="1" w:styleId="ManualHeading3">
    <w:name w:val="Manual Heading 3"/>
    <w:basedOn w:val="Normal"/>
    <w:next w:val="Text3"/>
    <w:pPr>
      <w:keepNext/>
      <w:tabs>
        <w:tab w:val="left" w:pos="850"/>
      </w:tabs>
      <w:spacing w:before="120" w:after="120"/>
      <w:ind w:left="850" w:hanging="850"/>
      <w:jc w:val="both"/>
      <w:outlineLvl w:val="2"/>
    </w:pPr>
    <w:rPr>
      <w:i/>
    </w:rPr>
  </w:style>
  <w:style w:type="character" w:styleId="CommentReference">
    <w:name w:val="annotation reference"/>
    <w:basedOn w:val="DefaultParagraphFont"/>
    <w:uiPriority w:val="99"/>
    <w:rPr>
      <w:sz w:val="16"/>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sz w:val="16"/>
      <w:lang w:val="fi-FI" w:eastAsia="fi-FI"/>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lang w:val="fi-FI" w:eastAsia="fi-FI"/>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b/>
      <w:lang w:val="fi-FI" w:eastAsia="fi-FI"/>
    </w:rPr>
  </w:style>
  <w:style w:type="paragraph" w:styleId="Revision">
    <w:name w:val="Revision"/>
    <w:hidden/>
    <w:uiPriority w:val="99"/>
    <w:semiHidden/>
    <w:rPr>
      <w:sz w:val="24"/>
      <w:szCs w:val="24"/>
    </w:rPr>
  </w:style>
  <w:style w:type="character" w:customStyle="1" w:styleId="paracolourtext">
    <w:name w:val="paracolourtext"/>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rPr>
  </w:style>
  <w:style w:type="paragraph" w:styleId="ListParagraph">
    <w:name w:val="List Paragraph"/>
    <w:basedOn w:val="Normal"/>
    <w:link w:val="ListParagraphChar"/>
    <w:uiPriority w:val="34"/>
    <w:qFormat/>
    <w:pPr>
      <w:ind w:left="720"/>
    </w:pPr>
  </w:style>
  <w:style w:type="character" w:customStyle="1" w:styleId="ListParagraphChar">
    <w:name w:val="List Paragraph Char"/>
    <w:link w:val="ListParagraph"/>
    <w:uiPriority w:val="34"/>
    <w:locked/>
    <w:rPr>
      <w:sz w:val="24"/>
      <w:szCs w:val="24"/>
      <w:lang w:val="fi-FI" w:eastAsia="fi-FI"/>
    </w:rPr>
  </w:style>
  <w:style w:type="paragraph" w:customStyle="1" w:styleId="Declassification">
    <w:name w:val="Declassification"/>
    <w:basedOn w:val="Normal"/>
    <w:next w:val="Normal"/>
    <w:pPr>
      <w:jc w:val="both"/>
    </w:pPr>
    <w:rPr>
      <w:rFonts w:eastAsiaTheme="minorHAnsi"/>
      <w:szCs w:val="22"/>
    </w:rPr>
  </w:style>
  <w:style w:type="paragraph" w:customStyle="1" w:styleId="HeaderLandscape">
    <w:name w:val="HeaderLandscape"/>
    <w:basedOn w:val="Normal"/>
    <w:pPr>
      <w:tabs>
        <w:tab w:val="center" w:pos="7285"/>
        <w:tab w:val="right" w:pos="14003"/>
      </w:tabs>
      <w:spacing w:after="120"/>
      <w:jc w:val="both"/>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ind w:left="-567" w:right="-567"/>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37572">
      <w:marLeft w:val="0"/>
      <w:marRight w:val="0"/>
      <w:marTop w:val="0"/>
      <w:marBottom w:val="0"/>
      <w:divBdr>
        <w:top w:val="none" w:sz="0" w:space="0" w:color="auto"/>
        <w:left w:val="none" w:sz="0" w:space="0" w:color="auto"/>
        <w:bottom w:val="none" w:sz="0" w:space="0" w:color="auto"/>
        <w:right w:val="none" w:sz="0" w:space="0" w:color="auto"/>
      </w:divBdr>
    </w:div>
    <w:div w:id="103237573">
      <w:marLeft w:val="0"/>
      <w:marRight w:val="0"/>
      <w:marTop w:val="0"/>
      <w:marBottom w:val="0"/>
      <w:divBdr>
        <w:top w:val="none" w:sz="0" w:space="0" w:color="auto"/>
        <w:left w:val="none" w:sz="0" w:space="0" w:color="auto"/>
        <w:bottom w:val="none" w:sz="0" w:space="0" w:color="auto"/>
        <w:right w:val="none" w:sz="0" w:space="0" w:color="auto"/>
      </w:divBdr>
    </w:div>
    <w:div w:id="103237574">
      <w:marLeft w:val="0"/>
      <w:marRight w:val="0"/>
      <w:marTop w:val="0"/>
      <w:marBottom w:val="0"/>
      <w:divBdr>
        <w:top w:val="none" w:sz="0" w:space="0" w:color="auto"/>
        <w:left w:val="none" w:sz="0" w:space="0" w:color="auto"/>
        <w:bottom w:val="none" w:sz="0" w:space="0" w:color="auto"/>
        <w:right w:val="none" w:sz="0" w:space="0" w:color="auto"/>
      </w:divBdr>
    </w:div>
    <w:div w:id="195775947">
      <w:bodyDiv w:val="1"/>
      <w:marLeft w:val="0"/>
      <w:marRight w:val="0"/>
      <w:marTop w:val="0"/>
      <w:marBottom w:val="0"/>
      <w:divBdr>
        <w:top w:val="none" w:sz="0" w:space="0" w:color="auto"/>
        <w:left w:val="none" w:sz="0" w:space="0" w:color="auto"/>
        <w:bottom w:val="none" w:sz="0" w:space="0" w:color="auto"/>
        <w:right w:val="none" w:sz="0" w:space="0" w:color="auto"/>
      </w:divBdr>
    </w:div>
    <w:div w:id="741492362">
      <w:bodyDiv w:val="1"/>
      <w:marLeft w:val="0"/>
      <w:marRight w:val="0"/>
      <w:marTop w:val="0"/>
      <w:marBottom w:val="0"/>
      <w:divBdr>
        <w:top w:val="none" w:sz="0" w:space="0" w:color="auto"/>
        <w:left w:val="none" w:sz="0" w:space="0" w:color="auto"/>
        <w:bottom w:val="none" w:sz="0" w:space="0" w:color="auto"/>
        <w:right w:val="none" w:sz="0" w:space="0" w:color="auto"/>
      </w:divBdr>
    </w:div>
    <w:div w:id="1898392245">
      <w:marLeft w:val="0"/>
      <w:marRight w:val="0"/>
      <w:marTop w:val="0"/>
      <w:marBottom w:val="0"/>
      <w:divBdr>
        <w:top w:val="none" w:sz="0" w:space="0" w:color="auto"/>
        <w:left w:val="none" w:sz="0" w:space="0" w:color="auto"/>
        <w:bottom w:val="none" w:sz="0" w:space="0" w:color="auto"/>
        <w:right w:val="none" w:sz="0" w:space="0" w:color="auto"/>
      </w:divBdr>
    </w:div>
    <w:div w:id="1898392246">
      <w:marLeft w:val="0"/>
      <w:marRight w:val="0"/>
      <w:marTop w:val="0"/>
      <w:marBottom w:val="0"/>
      <w:divBdr>
        <w:top w:val="none" w:sz="0" w:space="0" w:color="auto"/>
        <w:left w:val="none" w:sz="0" w:space="0" w:color="auto"/>
        <w:bottom w:val="none" w:sz="0" w:space="0" w:color="auto"/>
        <w:right w:val="none" w:sz="0" w:space="0" w:color="auto"/>
      </w:divBdr>
    </w:div>
    <w:div w:id="1898392247">
      <w:marLeft w:val="0"/>
      <w:marRight w:val="0"/>
      <w:marTop w:val="0"/>
      <w:marBottom w:val="0"/>
      <w:divBdr>
        <w:top w:val="none" w:sz="0" w:space="0" w:color="auto"/>
        <w:left w:val="none" w:sz="0" w:space="0" w:color="auto"/>
        <w:bottom w:val="none" w:sz="0" w:space="0" w:color="auto"/>
        <w:right w:val="none" w:sz="0" w:space="0" w:color="auto"/>
      </w:divBdr>
    </w:div>
    <w:div w:id="1898392248">
      <w:marLeft w:val="0"/>
      <w:marRight w:val="0"/>
      <w:marTop w:val="0"/>
      <w:marBottom w:val="0"/>
      <w:divBdr>
        <w:top w:val="none" w:sz="0" w:space="0" w:color="auto"/>
        <w:left w:val="none" w:sz="0" w:space="0" w:color="auto"/>
        <w:bottom w:val="none" w:sz="0" w:space="0" w:color="auto"/>
        <w:right w:val="none" w:sz="0" w:space="0" w:color="auto"/>
      </w:divBdr>
    </w:div>
    <w:div w:id="1898392249">
      <w:marLeft w:val="0"/>
      <w:marRight w:val="0"/>
      <w:marTop w:val="0"/>
      <w:marBottom w:val="0"/>
      <w:divBdr>
        <w:top w:val="none" w:sz="0" w:space="0" w:color="auto"/>
        <w:left w:val="none" w:sz="0" w:space="0" w:color="auto"/>
        <w:bottom w:val="none" w:sz="0" w:space="0" w:color="auto"/>
        <w:right w:val="none" w:sz="0" w:space="0" w:color="auto"/>
      </w:divBdr>
    </w:div>
    <w:div w:id="1898392250">
      <w:marLeft w:val="0"/>
      <w:marRight w:val="0"/>
      <w:marTop w:val="0"/>
      <w:marBottom w:val="0"/>
      <w:divBdr>
        <w:top w:val="none" w:sz="0" w:space="0" w:color="auto"/>
        <w:left w:val="none" w:sz="0" w:space="0" w:color="auto"/>
        <w:bottom w:val="none" w:sz="0" w:space="0" w:color="auto"/>
        <w:right w:val="none" w:sz="0" w:space="0" w:color="auto"/>
      </w:divBdr>
    </w:div>
    <w:div w:id="1898392251">
      <w:marLeft w:val="0"/>
      <w:marRight w:val="0"/>
      <w:marTop w:val="0"/>
      <w:marBottom w:val="0"/>
      <w:divBdr>
        <w:top w:val="none" w:sz="0" w:space="0" w:color="auto"/>
        <w:left w:val="none" w:sz="0" w:space="0" w:color="auto"/>
        <w:bottom w:val="none" w:sz="0" w:space="0" w:color="auto"/>
        <w:right w:val="none" w:sz="0" w:space="0" w:color="auto"/>
      </w:divBdr>
    </w:div>
    <w:div w:id="18983922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ec.europa.eu/trade/issues/respectrules/anti_dumping/legis/index_en.ht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A6EB7-662C-4733-980C-9FE637BB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11</Pages>
  <Words>2824</Words>
  <Characters>23298</Characters>
  <Application>Microsoft Office Word</Application>
  <DocSecurity>0</DocSecurity>
  <Lines>388</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24</cp:revision>
  <cp:lastPrinted>2018-05-29T15:46:00Z</cp:lastPrinted>
  <dcterms:created xsi:type="dcterms:W3CDTF">2018-07-10T15:24:00Z</dcterms:created>
  <dcterms:modified xsi:type="dcterms:W3CDTF">2018-07-27T10:47:00Z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