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D77" w:rsidRPr="00895833" w:rsidRDefault="00203F4A" w:rsidP="00203F4A">
      <w:pPr>
        <w:pStyle w:val="Pagedecouverture"/>
        <w:rPr>
          <w:lang w:val="fi-FI"/>
        </w:rPr>
      </w:pPr>
      <w:bookmarkStart w:id="0" w:name="LW_BM_COVERPAGE"/>
      <w:r>
        <w:rPr>
          <w:lang w:val="fi-F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1D7DC56-47E2-4F08-94A3-E1466D9230D5" style="width:450.75pt;height:361.5pt">
            <v:imagedata r:id="rId9" o:title=""/>
          </v:shape>
        </w:pict>
      </w:r>
    </w:p>
    <w:bookmarkEnd w:id="0"/>
    <w:p w:rsidR="00F27D77" w:rsidRPr="00895833" w:rsidRDefault="00F27D77" w:rsidP="00F27D77">
      <w:pPr>
        <w:rPr>
          <w:lang w:val="fi-FI"/>
        </w:rPr>
        <w:sectPr w:rsidR="00F27D77" w:rsidRPr="00895833" w:rsidSect="00203F4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344222" w:rsidRPr="00895833" w:rsidRDefault="00344222" w:rsidP="00344222">
      <w:pPr>
        <w:autoSpaceDE w:val="0"/>
        <w:autoSpaceDN w:val="0"/>
        <w:adjustRightInd w:val="0"/>
        <w:spacing w:after="0"/>
        <w:rPr>
          <w:rFonts w:ascii="Times New Roman" w:hAnsi="Times New Roman" w:cs="Times New Roman"/>
          <w:b/>
          <w:sz w:val="28"/>
          <w:szCs w:val="28"/>
          <w:lang w:val="fi-FI"/>
        </w:rPr>
      </w:pPr>
      <w:bookmarkStart w:id="1" w:name="_GoBack"/>
      <w:bookmarkEnd w:id="1"/>
      <w:r w:rsidRPr="00895833">
        <w:rPr>
          <w:rFonts w:ascii="Times New Roman" w:hAnsi="Times New Roman"/>
          <w:b/>
          <w:sz w:val="28"/>
          <w:lang w:val="fi-FI"/>
        </w:rPr>
        <w:lastRenderedPageBreak/>
        <w:t>1</w:t>
      </w:r>
      <w:r w:rsidRPr="00895833">
        <w:rPr>
          <w:lang w:val="fi-FI"/>
        </w:rPr>
        <w:tab/>
      </w:r>
      <w:r w:rsidRPr="00895833">
        <w:rPr>
          <w:rFonts w:ascii="Times New Roman" w:hAnsi="Times New Roman"/>
          <w:b/>
          <w:sz w:val="28"/>
          <w:lang w:val="fi-FI"/>
        </w:rPr>
        <w:t>JOHDANTO</w:t>
      </w: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EU:n jäsenvaltioiden sisäiset sekä niihin suuntautuvat ja niistä lähtevät muuttoliikkeet vaihtelevat, mutta muuttoliikkeisiin liittyvät haasteet ja mahdollisuudet ovat maissa samankaltaisia. Siksi onkin tärkeää varmistaa riittävä, joustava ja johdonmukainen rahoitus, jotta voitaisiin vahvistaa vapauden, turvallisuuden ja oikeuden aluetta sekä kehittää unionin yhteistä turvapaikka- ja maahanmuuttopolitiikkaa EU:n jäsenvaltioiden välisen ja EU:n ulkopuolisille maille osoitettavan solidaarisuuden pohjalta.</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Vuosina 2007–2013 unionin ulkorajojen valvontaan sekä yhteisen turvapaikka- ja maahanmuuttopolitiikan täytäntöönpanoon kohdennettiin lähes 4 miljardia euroa yhteisvastuuta ja maahanmuuttovirtojen hallintaa koskevan yleisohjelman (SOLID)</w:t>
      </w:r>
      <w:r w:rsidRPr="00895833">
        <w:rPr>
          <w:rFonts w:ascii="Times New Roman" w:hAnsi="Times New Roman"/>
          <w:sz w:val="24"/>
          <w:vertAlign w:val="superscript"/>
          <w:lang w:val="fi-FI"/>
        </w:rPr>
        <w:footnoteReference w:id="2"/>
      </w:r>
      <w:r w:rsidRPr="00895833">
        <w:rPr>
          <w:rFonts w:ascii="Times New Roman" w:hAnsi="Times New Roman"/>
          <w:sz w:val="24"/>
          <w:lang w:val="fi-FI"/>
        </w:rPr>
        <w:t xml:space="preserve"> kautta. Yleisohjelma koostui neljästä välineestä, jäljempänä SOLID-rahastot, joihin kuuluivat seuraavat rahastot: Euroopan pakolaisrahasto</w:t>
      </w:r>
      <w:r w:rsidRPr="00895833">
        <w:rPr>
          <w:rFonts w:ascii="Times New Roman" w:hAnsi="Times New Roman"/>
          <w:sz w:val="24"/>
          <w:vertAlign w:val="superscript"/>
          <w:lang w:val="fi-FI"/>
        </w:rPr>
        <w:footnoteReference w:id="3"/>
      </w:r>
      <w:r w:rsidRPr="00895833">
        <w:rPr>
          <w:rFonts w:ascii="Times New Roman" w:hAnsi="Times New Roman"/>
          <w:sz w:val="24"/>
          <w:lang w:val="fi-FI"/>
        </w:rPr>
        <w:t>, ulkorajarahasto</w:t>
      </w:r>
      <w:r w:rsidRPr="00895833">
        <w:rPr>
          <w:rFonts w:ascii="Times New Roman" w:hAnsi="Times New Roman"/>
          <w:sz w:val="24"/>
          <w:vertAlign w:val="superscript"/>
          <w:lang w:val="fi-FI"/>
        </w:rPr>
        <w:footnoteReference w:id="4"/>
      </w:r>
      <w:r w:rsidRPr="00895833">
        <w:rPr>
          <w:rFonts w:ascii="Times New Roman" w:hAnsi="Times New Roman"/>
          <w:sz w:val="24"/>
          <w:lang w:val="fi-FI"/>
        </w:rPr>
        <w:t>, eurooppalainen rahasto kolmansien maiden kansalaisten kotouttamista varten</w:t>
      </w:r>
      <w:r w:rsidRPr="00895833">
        <w:rPr>
          <w:rFonts w:ascii="Times New Roman" w:hAnsi="Times New Roman"/>
          <w:sz w:val="24"/>
          <w:vertAlign w:val="superscript"/>
          <w:lang w:val="fi-FI"/>
        </w:rPr>
        <w:footnoteReference w:id="5"/>
      </w:r>
      <w:r w:rsidRPr="00895833">
        <w:rPr>
          <w:rFonts w:ascii="Times New Roman" w:hAnsi="Times New Roman"/>
          <w:sz w:val="24"/>
          <w:lang w:val="fi-FI"/>
        </w:rPr>
        <w:t>, jäljempänä ’Euroopan kotouttamisrahasto’, ja Euroopan paluurahasto</w:t>
      </w:r>
      <w:r w:rsidRPr="00895833">
        <w:rPr>
          <w:rFonts w:ascii="Times New Roman" w:hAnsi="Times New Roman"/>
          <w:sz w:val="24"/>
          <w:vertAlign w:val="superscript"/>
          <w:lang w:val="fi-FI"/>
        </w:rPr>
        <w:footnoteReference w:id="6"/>
      </w:r>
      <w:r w:rsidRPr="00895833">
        <w:rPr>
          <w:rFonts w:ascii="Times New Roman" w:hAnsi="Times New Roman"/>
          <w:sz w:val="24"/>
          <w:lang w:val="fi-FI"/>
        </w:rPr>
        <w:t>.</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Tämä kertomus perustuu neljään jälkiarviointiin. Kertomuksessa keskitytään vuosiin 2011–2013 ja esitellään vuosia 2007–2010 koskevien jälkiarviointien</w:t>
      </w:r>
      <w:r w:rsidRPr="00895833">
        <w:rPr>
          <w:rFonts w:ascii="Times New Roman" w:hAnsi="Times New Roman"/>
          <w:sz w:val="24"/>
          <w:vertAlign w:val="superscript"/>
          <w:lang w:val="fi-FI"/>
        </w:rPr>
        <w:footnoteReference w:id="7"/>
      </w:r>
      <w:r w:rsidRPr="00895833">
        <w:rPr>
          <w:rFonts w:ascii="Times New Roman" w:hAnsi="Times New Roman"/>
          <w:sz w:val="24"/>
          <w:lang w:val="fi-FI"/>
        </w:rPr>
        <w:t xml:space="preserve"> tuloksia. Rahastojen arvioinnissa keskityttiin Euroopan komission antamien paremman sääntelyn suuntaviivojen (</w:t>
      </w:r>
      <w:r w:rsidRPr="00895833">
        <w:rPr>
          <w:rFonts w:ascii="Times New Roman" w:hAnsi="Times New Roman"/>
          <w:i/>
          <w:sz w:val="24"/>
          <w:lang w:val="fi-FI"/>
        </w:rPr>
        <w:t>Better Regulation Guidelines</w:t>
      </w:r>
      <w:r w:rsidRPr="00895833">
        <w:rPr>
          <w:rFonts w:ascii="Times New Roman" w:hAnsi="Times New Roman"/>
          <w:sz w:val="24"/>
          <w:lang w:val="fi-FI"/>
        </w:rPr>
        <w:t>) mukaisesti rahastojen merkityksellisyyteen (vastasivatko niiden tavoitteet yhteiskunnan tarpeita), tuloksellisuuteen (saavutettiinko tavoitteet), tehokkuuteen (olivatko kustannukset oikeasuhteisia saavutettuihin hyötyihin nähden), vaikutusten kestävyyteen tukitoimien päättymisen jälkeen, rahastojen johdonmukaisuuteen ja täydentävyyteen suhteessa EU:n muihin rahoitusvälineisiin tai jäsenvaltioiden kansalliseen rahoitukseen sekä EU:n tason toimien tuomaan lisäarvoon.</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p>
    <w:p w:rsidR="00344222" w:rsidRPr="00895833" w:rsidRDefault="00344222" w:rsidP="001E013D">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lastRenderedPageBreak/>
        <w:t>Osa arviointihavainnoista on jo otettu huomioon nykyisissä rahastoissa eli turvapaikka-, maahanmuutto- ja kotouttamisrahastossa (AMIF)</w:t>
      </w:r>
      <w:r w:rsidRPr="00895833">
        <w:rPr>
          <w:rStyle w:val="FootnoteReference"/>
          <w:lang w:val="fi-FI"/>
        </w:rPr>
        <w:footnoteReference w:id="8"/>
      </w:r>
      <w:r w:rsidRPr="00895833">
        <w:rPr>
          <w:rFonts w:ascii="Times New Roman" w:hAnsi="Times New Roman"/>
          <w:sz w:val="24"/>
          <w:lang w:val="fi-FI"/>
        </w:rPr>
        <w:t>, joka korvasi Euroopan pakolaisrahaston, kotouttamisrahaston ja paluurahaston, ja sisäisen turvallisuuden rahastossa (ISF)</w:t>
      </w:r>
      <w:r w:rsidRPr="00895833">
        <w:rPr>
          <w:rStyle w:val="FootnoteReference"/>
          <w:rFonts w:ascii="Times New Roman" w:hAnsi="Times New Roman"/>
          <w:sz w:val="24"/>
          <w:lang w:val="fi-FI"/>
        </w:rPr>
        <w:footnoteReference w:id="9"/>
      </w:r>
      <w:r w:rsidRPr="00895833">
        <w:rPr>
          <w:rFonts w:ascii="Times New Roman" w:hAnsi="Times New Roman"/>
          <w:sz w:val="24"/>
          <w:lang w:val="fi-FI"/>
        </w:rPr>
        <w:t>, joka korvasi ulkorajarahaston. Näiden arviointien havainnot täydentävät AMIF-rahaston ja ISF-rahaston vuoden 2018 väliarviointeja. Havaintoja hyödynnetään tulevan maahanmuutto- ja turvallisuuspolitiikan laatimisessa erityisesti vuoden 2020 jälkeisessä monivuotisessa rahoituskehyksessä.</w:t>
      </w: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SOLID-RAHASTOT</w:t>
      </w: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Pääkohdat</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Yhteisvastuuta ja maahanmuuttovirtojen hallintaa koskevan yleisohjelman tavoitteena oli antaa jäsenvaltioille taloudellista tukea, jotta ne voisivat paremmin valvoa unionin ulkorajoja ja toteuttaa yhteistä turvapaikka- ja maahanmuuttopolitiikkaa.</w:t>
      </w:r>
    </w:p>
    <w:p w:rsidR="00344222" w:rsidRPr="00895833" w:rsidRDefault="00344222" w:rsidP="00344222">
      <w:pPr>
        <w:autoSpaceDE w:val="0"/>
        <w:autoSpaceDN w:val="0"/>
        <w:adjustRightInd w:val="0"/>
        <w:spacing w:after="0"/>
        <w:rPr>
          <w:rFonts w:ascii="Times New Roman" w:hAnsi="Times New Roman" w:cs="Times New Roman"/>
          <w:color w:val="0000FF"/>
          <w:sz w:val="24"/>
          <w:szCs w:val="24"/>
          <w:lang w:val="fi-FI"/>
        </w:rPr>
      </w:pPr>
    </w:p>
    <w:p w:rsidR="00344222" w:rsidRPr="00895833" w:rsidRDefault="00344222" w:rsidP="00344222">
      <w:pPr>
        <w:pStyle w:val="ListParagraph"/>
        <w:numPr>
          <w:ilvl w:val="0"/>
          <w:numId w:val="9"/>
        </w:numPr>
        <w:spacing w:after="0"/>
        <w:jc w:val="both"/>
        <w:rPr>
          <w:rFonts w:ascii="Times New Roman" w:hAnsi="Times New Roman" w:cs="Times New Roman"/>
          <w:sz w:val="24"/>
          <w:szCs w:val="24"/>
          <w:lang w:val="fi-FI"/>
        </w:rPr>
      </w:pPr>
      <w:r w:rsidRPr="00895833">
        <w:rPr>
          <w:rFonts w:ascii="Times New Roman" w:hAnsi="Times New Roman"/>
          <w:sz w:val="24"/>
          <w:lang w:val="fi-FI"/>
        </w:rPr>
        <w:t>Ulkorajarahaston</w:t>
      </w:r>
      <w:r w:rsidRPr="00895833">
        <w:rPr>
          <w:rStyle w:val="FootnoteReference"/>
          <w:rFonts w:ascii="Times New Roman" w:hAnsi="Times New Roman"/>
          <w:sz w:val="24"/>
          <w:lang w:val="fi-FI"/>
        </w:rPr>
        <w:footnoteReference w:id="10"/>
      </w:r>
      <w:r w:rsidRPr="00895833">
        <w:rPr>
          <w:rFonts w:ascii="Times New Roman" w:hAnsi="Times New Roman"/>
          <w:sz w:val="24"/>
          <w:lang w:val="fi-FI"/>
        </w:rPr>
        <w:t xml:space="preserve"> tavoitteena oli EU:n ulkorajojen tehokas valvonta ja korkea suojelun taso</w:t>
      </w:r>
      <w:r w:rsidR="00856B7A" w:rsidRPr="00895833">
        <w:rPr>
          <w:rFonts w:ascii="Times New Roman" w:hAnsi="Times New Roman"/>
          <w:sz w:val="24"/>
          <w:lang w:val="fi-FI"/>
        </w:rPr>
        <w:t>. Tätä varten rahaston oli tarkoitus keskittyä</w:t>
      </w:r>
      <w:r w:rsidRPr="00895833">
        <w:rPr>
          <w:rFonts w:ascii="Times New Roman" w:hAnsi="Times New Roman"/>
          <w:sz w:val="24"/>
          <w:lang w:val="fi-FI"/>
        </w:rPr>
        <w:t xml:space="preserve"> tarkastus- ja valvontatehtävien tehokkaaseen järjestämiseen, matkustajavirtojen tehokkaaseen hallintaan, EU:n lainsäädännön yhdenmukaiseen soveltamiseen rajavartijoiden toimesta ja konsuliviranomaisten toiminnan parantamiseen.</w:t>
      </w:r>
    </w:p>
    <w:p w:rsidR="00344222" w:rsidRPr="00895833" w:rsidRDefault="00344222" w:rsidP="00344222">
      <w:pPr>
        <w:pStyle w:val="ListParagraph"/>
        <w:numPr>
          <w:ilvl w:val="0"/>
          <w:numId w:val="9"/>
        </w:numPr>
        <w:spacing w:after="0"/>
        <w:jc w:val="both"/>
        <w:rPr>
          <w:rFonts w:ascii="Times New Roman" w:hAnsi="Times New Roman" w:cs="Times New Roman"/>
          <w:sz w:val="24"/>
          <w:szCs w:val="24"/>
          <w:lang w:val="fi-FI"/>
        </w:rPr>
      </w:pPr>
      <w:r w:rsidRPr="00895833">
        <w:rPr>
          <w:rFonts w:ascii="Times New Roman" w:hAnsi="Times New Roman"/>
          <w:sz w:val="24"/>
          <w:lang w:val="fi-FI"/>
        </w:rPr>
        <w:t>Euroopan kotouttamisrahaston</w:t>
      </w:r>
      <w:r w:rsidRPr="00895833">
        <w:rPr>
          <w:rStyle w:val="FootnoteReference"/>
          <w:rFonts w:ascii="Times New Roman" w:hAnsi="Times New Roman"/>
          <w:sz w:val="24"/>
          <w:lang w:val="fi-FI"/>
        </w:rPr>
        <w:footnoteReference w:id="11"/>
      </w:r>
      <w:r w:rsidRPr="00895833">
        <w:rPr>
          <w:rFonts w:ascii="Times New Roman" w:hAnsi="Times New Roman"/>
          <w:sz w:val="24"/>
          <w:lang w:val="fi-FI"/>
        </w:rPr>
        <w:t xml:space="preserve"> tavoitteena oli tukea jäsenvaltioiden toimia, joilla autetaan taustaltaan erilaisia kolmansien maiden kansalaisia täyttämään oleskelun edellytykset, ja helpottaa heidän kotoutumistaan eurooppalaiseen yhteiskuntaan. Rahastossa keskityttiin vasta maahan saapuneisiin kolmansien maiden kansalaisiin. </w:t>
      </w:r>
    </w:p>
    <w:p w:rsidR="00344222" w:rsidRPr="00895833" w:rsidRDefault="00344222" w:rsidP="00344222">
      <w:pPr>
        <w:pStyle w:val="ListParagraph"/>
        <w:numPr>
          <w:ilvl w:val="0"/>
          <w:numId w:val="9"/>
        </w:numPr>
        <w:spacing w:after="0"/>
        <w:jc w:val="both"/>
        <w:rPr>
          <w:rFonts w:ascii="Times New Roman" w:hAnsi="Times New Roman" w:cs="Times New Roman"/>
          <w:sz w:val="24"/>
          <w:szCs w:val="24"/>
          <w:lang w:val="fi-FI"/>
        </w:rPr>
      </w:pPr>
      <w:r w:rsidRPr="00895833">
        <w:rPr>
          <w:rFonts w:ascii="Times New Roman" w:hAnsi="Times New Roman"/>
          <w:sz w:val="24"/>
          <w:lang w:val="fi-FI"/>
        </w:rPr>
        <w:t>Euroopan pakolaisrahastosta</w:t>
      </w:r>
      <w:r w:rsidRPr="00895833">
        <w:rPr>
          <w:rStyle w:val="FootnoteReference"/>
          <w:rFonts w:ascii="Times New Roman" w:hAnsi="Times New Roman"/>
          <w:sz w:val="24"/>
          <w:lang w:val="fi-FI"/>
        </w:rPr>
        <w:footnoteReference w:id="12"/>
      </w:r>
      <w:r w:rsidRPr="00895833">
        <w:rPr>
          <w:rFonts w:ascii="Times New Roman" w:hAnsi="Times New Roman"/>
          <w:sz w:val="24"/>
          <w:lang w:val="fi-FI"/>
        </w:rPr>
        <w:t xml:space="preserve"> tuettiin jäsenvaltioita, jotka ottavat vastaan turvapaikanhakijoita ja kansainvälistä suojelua saavia henkilöitä, ottaen huomioon Euroopan yhteistä turvapaikkajärjestelmää koskeva EU:n lainsäädäntö. Rahastosta tuettiin toimia, jotka koskivat turvapaikanhakijoiden vastaanottoa ja turvapaikkahakemusten käsittelyä, kansainvälistä suojelua saavien kotouttamista ja rajallisesti myös kansainvälistä suojelua saavien henkilöiden uudelleensijoittamista ja siirtämistä</w:t>
      </w:r>
      <w:r w:rsidRPr="00895833">
        <w:rPr>
          <w:rStyle w:val="FootnoteReference"/>
          <w:rFonts w:ascii="Times New Roman" w:hAnsi="Times New Roman"/>
          <w:sz w:val="24"/>
          <w:lang w:val="fi-FI"/>
        </w:rPr>
        <w:footnoteReference w:id="13"/>
      </w:r>
      <w:r w:rsidRPr="00895833">
        <w:rPr>
          <w:rFonts w:ascii="Times New Roman" w:hAnsi="Times New Roman"/>
          <w:sz w:val="24"/>
          <w:lang w:val="fi-FI"/>
        </w:rPr>
        <w:t xml:space="preserve"> jäsenvaltioiden välillä. Kun Euroopan pakolaisrahaston painopisteet </w:t>
      </w:r>
      <w:r w:rsidRPr="00895833">
        <w:rPr>
          <w:rFonts w:ascii="Times New Roman" w:hAnsi="Times New Roman"/>
          <w:sz w:val="24"/>
          <w:lang w:val="fi-FI"/>
        </w:rPr>
        <w:lastRenderedPageBreak/>
        <w:t xml:space="preserve">määriteltiin, jäsenvaltioiden ja kolmansien maiden vastuunjaon parantaminen jätettiin vapaaehtoiseksi. </w:t>
      </w:r>
    </w:p>
    <w:p w:rsidR="00344222" w:rsidRPr="00895833" w:rsidRDefault="00344222" w:rsidP="00344222">
      <w:pPr>
        <w:pStyle w:val="ListParagraph"/>
        <w:numPr>
          <w:ilvl w:val="0"/>
          <w:numId w:val="9"/>
        </w:numPr>
        <w:spacing w:after="0"/>
        <w:jc w:val="both"/>
        <w:rPr>
          <w:rFonts w:ascii="Times New Roman" w:hAnsi="Times New Roman" w:cs="Times New Roman"/>
          <w:sz w:val="24"/>
          <w:szCs w:val="24"/>
          <w:lang w:val="fi-FI"/>
        </w:rPr>
      </w:pPr>
      <w:r w:rsidRPr="00895833">
        <w:rPr>
          <w:rFonts w:ascii="Times New Roman" w:hAnsi="Times New Roman"/>
          <w:sz w:val="24"/>
          <w:lang w:val="fi-FI"/>
        </w:rPr>
        <w:t>Euroopan paluurahaston</w:t>
      </w:r>
      <w:r w:rsidRPr="00895833">
        <w:rPr>
          <w:rStyle w:val="FootnoteReference"/>
          <w:rFonts w:ascii="Times New Roman" w:hAnsi="Times New Roman"/>
          <w:sz w:val="24"/>
          <w:lang w:val="fi-FI"/>
        </w:rPr>
        <w:footnoteReference w:id="14"/>
      </w:r>
      <w:r w:rsidRPr="00895833">
        <w:rPr>
          <w:rFonts w:ascii="Times New Roman" w:hAnsi="Times New Roman"/>
          <w:sz w:val="24"/>
          <w:lang w:val="fi-FI"/>
        </w:rPr>
        <w:t xml:space="preserve"> tavoitteena oli </w:t>
      </w:r>
      <w:r w:rsidR="009132AB" w:rsidRPr="00895833">
        <w:rPr>
          <w:rFonts w:ascii="Times New Roman" w:hAnsi="Times New Roman"/>
          <w:sz w:val="24"/>
          <w:lang w:val="fi-FI"/>
        </w:rPr>
        <w:t xml:space="preserve">luoda </w:t>
      </w:r>
      <w:r w:rsidRPr="00895833">
        <w:rPr>
          <w:rFonts w:ascii="Times New Roman" w:hAnsi="Times New Roman"/>
          <w:sz w:val="24"/>
          <w:lang w:val="fi-FI"/>
        </w:rPr>
        <w:t xml:space="preserve">yhdenmukainen palauttamismenettely, tehostaa jäsenvaltioiden välistä yhteistyötä, avustaa henkilöiden palauttamisessa alkuperämaihinsa ja antaa palautettaville tietoa asiaan liittyvistä menettelyistä. Tavoitteena oli myös edistää vapaaehtoista paluuta pakkoon perustuvan paluun sijaan. </w:t>
      </w:r>
    </w:p>
    <w:p w:rsidR="00344222" w:rsidRPr="00895833" w:rsidRDefault="00344222" w:rsidP="00344222">
      <w:pPr>
        <w:pStyle w:val="BodyText"/>
        <w:spacing w:after="0" w:line="276" w:lineRule="auto"/>
        <w:rPr>
          <w:color w:val="31849B" w:themeColor="accent5" w:themeShade="BF"/>
          <w:szCs w:val="24"/>
          <w:lang w:val="fi-FI"/>
        </w:rPr>
      </w:pPr>
    </w:p>
    <w:p w:rsidR="00344222" w:rsidRPr="00895833" w:rsidRDefault="00344222" w:rsidP="00344222">
      <w:pPr>
        <w:pStyle w:val="BodyText"/>
        <w:spacing w:after="0" w:line="276" w:lineRule="auto"/>
        <w:rPr>
          <w:szCs w:val="24"/>
          <w:lang w:val="fi-FI"/>
        </w:rPr>
      </w:pPr>
      <w:r w:rsidRPr="00895833">
        <w:rPr>
          <w:lang w:val="fi-FI"/>
        </w:rPr>
        <w:t>SOLID-rahasto</w:t>
      </w:r>
      <w:r w:rsidR="00AE7835" w:rsidRPr="00895833">
        <w:rPr>
          <w:lang w:val="fi-FI"/>
        </w:rPr>
        <w:t>jen määrärahat olivat</w:t>
      </w:r>
      <w:r w:rsidRPr="00895833">
        <w:rPr>
          <w:lang w:val="fi-FI"/>
        </w:rPr>
        <w:t xml:space="preserve"> tarkasteltavana olevalla kaudella</w:t>
      </w:r>
      <w:r w:rsidRPr="00895833">
        <w:rPr>
          <w:rStyle w:val="FootnoteReference"/>
          <w:lang w:val="fi-FI"/>
        </w:rPr>
        <w:footnoteReference w:id="15"/>
      </w:r>
      <w:r w:rsidRPr="00895833">
        <w:rPr>
          <w:lang w:val="fi-FI"/>
        </w:rPr>
        <w:t xml:space="preserve"> yhteensä 2,43 miljardia euroa</w:t>
      </w:r>
      <w:r w:rsidR="00AE7835" w:rsidRPr="00895833">
        <w:rPr>
          <w:lang w:val="fi-FI"/>
        </w:rPr>
        <w:t>. Ne</w:t>
      </w:r>
      <w:r w:rsidRPr="00895833">
        <w:rPr>
          <w:lang w:val="fi-FI"/>
        </w:rPr>
        <w:t xml:space="preserve"> jaettiin neljän rahaston kesken seuraavasti: 1 097 miljoonaa euroa ulkorajarahastoon, 486 miljoonaa euroa Euroopan kotouttamisrahastoon, 386 miljoonaa euroa Euroopan pakolaisrahastoon ja 463 miljoonaa euroa Euroopan paluurahastoon. Myönnettyjä varoja hallinnoitiin pääasiassa yhteistyössä jäsenvaltioiden kanssa (94 prosenttia) siten, että jäsenvaltioilla oli päävastuu tukitoimien toteuttamisesta, hallinnoinnista ja valvonnasta ja ne esittelivät komissiolle aiemmin sovittuun monivuotiseen strategiaan perustuvat vuosittaiset ohjelmat. Keskimääräinen käyttöaste oli vuosien 2011–2013 vuosittaisissa ohjelmissa ulkorajarahastossa 87 prosenttia, Euroopan pakolaisrahastossa 81 prosenttia, Euroopan paluurahastossa 81 prosenttia ja Euroopan kotouttamisrahastossa 77 prosenttia. Vain 6 prosenttia tukitoimista toteutettiin suoraan hallinnoituina yhteisön toimina. Näihin lukeutuivat ulkorajarahaston ja Euroopan paluurahaston hätätoimenpiteet. Euroopan pakolaisrahaston puitteissa hätätoimenpiteitä hallinnoitiin yhteistyössä jäsenvaltioiden kanssa. Euroopan kotouttamisrahastosta ei voitu antaa hätäapua.</w:t>
      </w:r>
    </w:p>
    <w:p w:rsidR="00344222" w:rsidRPr="00895833" w:rsidRDefault="00344222" w:rsidP="00344222">
      <w:pPr>
        <w:pStyle w:val="BodyText"/>
        <w:spacing w:after="0" w:line="276" w:lineRule="auto"/>
        <w:rPr>
          <w:color w:val="31849B" w:themeColor="accent5" w:themeShade="BF"/>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Taustaa</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Yhteisvastuuta ja maahanmuuttovirtojen hallintaa koskeva yleisohjelma laadittiin vuonna 2005. Tässä kertomuksessa tarkasteltavaan ajanjaksoon eli vuosiin 2011–2013 mennessä geopoliittinen tilanne oli muuttunut merkittävästi. Arabikeväänä tunnettujen Pohjois-Afrikan vuoden 2011 kansannousujen, Syyrian pitkittyneen kriisin ja Libyan valtion romahtamisen seuraukset lisäsivät EU:n etelä- ja kaakkoisrajoihin kohdistuvaa muuttopainetta äkillisesti ja odottamatta. Muuttopaine vaikutti merkittävästi siihen kontekstiin, jossa rahastoja käytettiin. Yhteisvastuuta ja maahanmuuttovirtojen hallintaa koskevan yleisohjelman perustamisesta annettuun tiedonantoon liittyvässä vaikutustenarvioinnissa</w:t>
      </w:r>
      <w:r w:rsidRPr="00895833">
        <w:rPr>
          <w:rStyle w:val="FootnoteReference"/>
          <w:rFonts w:ascii="Times New Roman" w:hAnsi="Times New Roman"/>
          <w:sz w:val="24"/>
          <w:lang w:val="fi-FI"/>
        </w:rPr>
        <w:footnoteReference w:id="16"/>
      </w:r>
      <w:r w:rsidRPr="00895833">
        <w:rPr>
          <w:rFonts w:ascii="Times New Roman" w:hAnsi="Times New Roman"/>
          <w:sz w:val="24"/>
          <w:lang w:val="fi-FI"/>
        </w:rPr>
        <w:t xml:space="preserve"> mainitaan ensimmäisten turvapaikkahakemusten määränä 203 298 (vuonna 2002). Vuonna 2010 (eli tässä kertomuksessa tarkasteltavaa ajanjaksoa edeltävänä vuonna) hakemuksia jätettiin 259 400, vuonna 2012 niitä jätettiin 335 290, ja vuonna 2015 määrä oli 1 322 825.</w:t>
      </w:r>
      <w:r w:rsidRPr="00895833">
        <w:rPr>
          <w:rStyle w:val="FootnoteReference"/>
          <w:rFonts w:ascii="Times New Roman" w:hAnsi="Times New Roman"/>
          <w:sz w:val="24"/>
          <w:lang w:val="fi-FI"/>
        </w:rPr>
        <w:footnoteReference w:id="17"/>
      </w:r>
      <w:r w:rsidRPr="00895833">
        <w:rPr>
          <w:rFonts w:ascii="Times New Roman" w:hAnsi="Times New Roman"/>
          <w:sz w:val="24"/>
          <w:lang w:val="fi-FI"/>
        </w:rPr>
        <w:t xml:space="preserve"> Myös jäsenvaltioissa laittomasti oleskelevien kolmansien maiden kansalaisten määrä kasvoi yhtä nopeasti (500 000 vaikutustenarvioinnissa ja 2 154 675 vuonna 2015</w:t>
      </w:r>
      <w:r w:rsidRPr="00895833">
        <w:rPr>
          <w:rStyle w:val="FootnoteReference"/>
          <w:rFonts w:ascii="Times New Roman" w:hAnsi="Times New Roman"/>
          <w:sz w:val="24"/>
          <w:lang w:val="fi-FI"/>
        </w:rPr>
        <w:footnoteReference w:id="18"/>
      </w:r>
      <w:r w:rsidRPr="00895833">
        <w:rPr>
          <w:rFonts w:ascii="Times New Roman" w:hAnsi="Times New Roman"/>
          <w:sz w:val="24"/>
          <w:lang w:val="fi-FI"/>
        </w:rPr>
        <w:t>).</w:t>
      </w:r>
    </w:p>
    <w:p w:rsidR="00344222" w:rsidRPr="00895833" w:rsidRDefault="00344222" w:rsidP="00344222">
      <w:pPr>
        <w:pStyle w:val="BodyText"/>
        <w:spacing w:after="0" w:line="276" w:lineRule="auto"/>
        <w:rPr>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8"/>
          <w:szCs w:val="28"/>
          <w:lang w:val="fi-FI"/>
        </w:rPr>
      </w:pPr>
      <w:r w:rsidRPr="00895833">
        <w:rPr>
          <w:rFonts w:ascii="Times New Roman" w:hAnsi="Times New Roman"/>
          <w:b/>
          <w:sz w:val="28"/>
          <w:lang w:val="fi-FI"/>
        </w:rPr>
        <w:t>2</w:t>
      </w:r>
      <w:r w:rsidRPr="00895833">
        <w:rPr>
          <w:lang w:val="fi-FI"/>
        </w:rPr>
        <w:tab/>
      </w:r>
      <w:r w:rsidRPr="00895833">
        <w:rPr>
          <w:rFonts w:ascii="Times New Roman" w:hAnsi="Times New Roman"/>
          <w:b/>
          <w:sz w:val="28"/>
          <w:lang w:val="fi-FI"/>
        </w:rPr>
        <w:t>JÄLKIARVIOINTI</w:t>
      </w:r>
    </w:p>
    <w:p w:rsidR="00344222" w:rsidRPr="00895833" w:rsidRDefault="00344222" w:rsidP="00344222">
      <w:pPr>
        <w:autoSpaceDE w:val="0"/>
        <w:autoSpaceDN w:val="0"/>
        <w:adjustRightInd w:val="0"/>
        <w:spacing w:after="0"/>
        <w:rPr>
          <w:rFonts w:ascii="Times New Roman" w:hAnsi="Times New Roman" w:cs="Times New Roman"/>
          <w:sz w:val="24"/>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 xml:space="preserve">2.1 </w:t>
      </w:r>
      <w:r w:rsidRPr="00895833">
        <w:rPr>
          <w:lang w:val="fi-FI"/>
        </w:rPr>
        <w:tab/>
      </w:r>
      <w:r w:rsidRPr="00895833">
        <w:rPr>
          <w:rFonts w:ascii="Times New Roman" w:hAnsi="Times New Roman"/>
          <w:b/>
          <w:sz w:val="24"/>
          <w:lang w:val="fi-FI"/>
        </w:rPr>
        <w:t>Menetelmät ja rajoitukset</w:t>
      </w:r>
    </w:p>
    <w:p w:rsidR="00344222" w:rsidRPr="00895833" w:rsidRDefault="00344222" w:rsidP="00344222">
      <w:pPr>
        <w:pStyle w:val="BodyText"/>
        <w:spacing w:after="0" w:line="276" w:lineRule="auto"/>
        <w:rPr>
          <w:color w:val="31849B" w:themeColor="accent5" w:themeShade="BF"/>
          <w:szCs w:val="24"/>
          <w:lang w:val="fi-FI"/>
        </w:rPr>
      </w:pPr>
    </w:p>
    <w:p w:rsidR="00855BE1" w:rsidRPr="00895833" w:rsidRDefault="00344222" w:rsidP="001E013D">
      <w:pPr>
        <w:spacing w:after="120"/>
        <w:jc w:val="both"/>
        <w:rPr>
          <w:szCs w:val="24"/>
          <w:lang w:val="fi-FI"/>
        </w:rPr>
      </w:pPr>
      <w:r w:rsidRPr="00895833">
        <w:rPr>
          <w:rFonts w:ascii="Times New Roman" w:hAnsi="Times New Roman"/>
          <w:sz w:val="24"/>
          <w:lang w:val="fi-FI"/>
        </w:rPr>
        <w:t>Rahastojen perustamisesta tehdyissä neljässä päätöksessä edellytetään, että komissio antaa vuosia 2011–2013 koskevan jälkiarviointikertomuksen 31. joulukuuta 2015 mennessä. Komissio voi kuitenkin antaa jälkiarviointikertomuksensa vasta nyt, sillä rahastojen tukikelpoisuusaika kesti 30. kesäkuuta 2015 asti, jäsenvaltioilla oli 31. maaliskuuta 2016 asti aikaa raportoida viimeisen vuosittaisen ohjelman täytäntöönpanosta</w:t>
      </w:r>
      <w:r w:rsidR="002234CE" w:rsidRPr="00895833">
        <w:rPr>
          <w:rFonts w:ascii="Times New Roman" w:hAnsi="Times New Roman"/>
          <w:sz w:val="24"/>
          <w:lang w:val="fi-FI"/>
        </w:rPr>
        <w:t>,</w:t>
      </w:r>
      <w:r w:rsidRPr="00895833">
        <w:rPr>
          <w:rFonts w:ascii="Times New Roman" w:hAnsi="Times New Roman"/>
          <w:sz w:val="24"/>
          <w:lang w:val="fi-FI"/>
        </w:rPr>
        <w:t xml:space="preserve"> ja riippumaton jälkiarviointi tehtiin vasta vuosina 2016–2017. </w:t>
      </w:r>
    </w:p>
    <w:p w:rsidR="00344222" w:rsidRPr="00895833" w:rsidRDefault="00855BE1">
      <w:pPr>
        <w:autoSpaceDE w:val="0"/>
        <w:autoSpaceDN w:val="0"/>
        <w:adjustRightInd w:val="0"/>
        <w:spacing w:after="0"/>
        <w:jc w:val="both"/>
        <w:rPr>
          <w:rFonts w:ascii="Times New Roman" w:hAnsi="Times New Roman" w:cs="Times New Roman"/>
          <w:sz w:val="24"/>
          <w:szCs w:val="24"/>
          <w:lang w:val="fi-FI"/>
        </w:rPr>
      </w:pPr>
      <w:r w:rsidRPr="00895833">
        <w:rPr>
          <w:rFonts w:ascii="Times New Roman" w:hAnsi="Times New Roman"/>
          <w:sz w:val="24"/>
          <w:lang w:val="fi-FI"/>
        </w:rPr>
        <w:t xml:space="preserve">Arvioinnin yksityiskohtaiset havainnot ja arviointimenetelmä kuvataan tämän kertomuksen liitteenä olevissa komission yksiköiden valmisteluasiakirjoissa. Valmisteluasiakirjojen laatimisen tueksi teetettiin ulkoisella toimeksisaajalla </w:t>
      </w:r>
      <w:r w:rsidR="002234CE" w:rsidRPr="00895833">
        <w:rPr>
          <w:rFonts w:ascii="Times New Roman" w:hAnsi="Times New Roman"/>
          <w:sz w:val="24"/>
          <w:lang w:val="fi-FI"/>
        </w:rPr>
        <w:t>selvitys</w:t>
      </w:r>
      <w:r w:rsidRPr="00895833">
        <w:rPr>
          <w:rStyle w:val="FootnoteReference"/>
          <w:rFonts w:ascii="Times New Roman" w:hAnsi="Times New Roman"/>
          <w:sz w:val="24"/>
          <w:lang w:val="fi-FI"/>
        </w:rPr>
        <w:footnoteReference w:id="19"/>
      </w:r>
      <w:r w:rsidRPr="00895833">
        <w:rPr>
          <w:rFonts w:ascii="Times New Roman" w:hAnsi="Times New Roman"/>
          <w:sz w:val="24"/>
          <w:lang w:val="fi-FI"/>
        </w:rPr>
        <w:t>, johon sisältyi asiakirjatutkimus, avoimia julkisia kuulemisia, vierailukäyntejä sekä laadullisia ja määrällisiä analyysejä. Kaikkien neljän arvioinnin suorittamista haittasi merkittävästi määrällisen tiedon, indikaattorien ja perustasoja koskevan tiedon puute, mikä vaikeutti jäsenvaltioiden ja eri vuosien välisiä vertailuja. Kukin jäsenvaltio määritteli toteuttamiensa toimien indikaattorit</w:t>
      </w:r>
      <w:r w:rsidR="002234CE" w:rsidRPr="00895833">
        <w:rPr>
          <w:rFonts w:ascii="Times New Roman" w:hAnsi="Times New Roman"/>
          <w:sz w:val="24"/>
          <w:lang w:val="fi-FI"/>
        </w:rPr>
        <w:t xml:space="preserve"> itse</w:t>
      </w:r>
      <w:r w:rsidRPr="00895833">
        <w:rPr>
          <w:rFonts w:ascii="Times New Roman" w:hAnsi="Times New Roman"/>
          <w:sz w:val="24"/>
          <w:lang w:val="fi-FI"/>
        </w:rPr>
        <w:t>. Tämä johtuu siitä, että rahastojen oikeusperustoissa asetetuissa raportointivaatimuksissa ei edellytetty vastuuviranomaisten keräävän tietoja, jotka mahdollistaisivat arviointiperusteiden EU:n laajuisen arvioinnin.</w:t>
      </w:r>
      <w:r w:rsidRPr="00895833">
        <w:rPr>
          <w:rFonts w:ascii="Times New Roman" w:hAnsi="Times New Roman"/>
          <w:color w:val="7030A0"/>
          <w:sz w:val="24"/>
          <w:lang w:val="fi-FI"/>
        </w:rPr>
        <w:t xml:space="preserve"> </w:t>
      </w:r>
      <w:r w:rsidRPr="00895833">
        <w:rPr>
          <w:rFonts w:ascii="Times New Roman" w:hAnsi="Times New Roman"/>
          <w:sz w:val="24"/>
          <w:lang w:val="fi-FI"/>
        </w:rPr>
        <w:t xml:space="preserve">Tämän vuoksi arvioinnissa oli tukeuduttava </w:t>
      </w:r>
      <w:r w:rsidR="002234CE" w:rsidRPr="00895833">
        <w:rPr>
          <w:rFonts w:ascii="Times New Roman" w:hAnsi="Times New Roman"/>
          <w:sz w:val="24"/>
          <w:lang w:val="fi-FI"/>
        </w:rPr>
        <w:t xml:space="preserve">laadullisempaan tietoon, jota kerättiin </w:t>
      </w:r>
      <w:r w:rsidRPr="00895833">
        <w:rPr>
          <w:rFonts w:ascii="Times New Roman" w:hAnsi="Times New Roman"/>
          <w:sz w:val="24"/>
          <w:lang w:val="fi-FI"/>
        </w:rPr>
        <w:t>sidosryhmiä kuulemalla ja kansallisista arviointikertomuksista.</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 xml:space="preserve">2.2 </w:t>
      </w:r>
      <w:r w:rsidRPr="00895833">
        <w:rPr>
          <w:lang w:val="fi-FI"/>
        </w:rPr>
        <w:tab/>
      </w:r>
      <w:r w:rsidRPr="00895833">
        <w:rPr>
          <w:rFonts w:ascii="Times New Roman" w:hAnsi="Times New Roman"/>
          <w:b/>
          <w:sz w:val="24"/>
          <w:lang w:val="fi-FI"/>
        </w:rPr>
        <w:t>KESKEISET TULOKSET</w:t>
      </w: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Ulkorajarahasto</w:t>
      </w: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 xml:space="preserve">Kaiken kaikkiaan jäsenvaltiot pitivät ulkorajarahaston tavoitteita omien EU:n ulkorajavalvontaa ja Schengen-viisumien käsittelyä koskevien tarpeidensa kannalta merkityksellisinä. Rahaston vuotuisten määrärahojen jakoperuste mahdollisti sen, että merkittävä osa varoista voitiin </w:t>
      </w:r>
      <w:r w:rsidR="002234CE" w:rsidRPr="00895833">
        <w:rPr>
          <w:rFonts w:ascii="Times New Roman" w:hAnsi="Times New Roman"/>
          <w:sz w:val="24"/>
          <w:lang w:val="fi-FI"/>
        </w:rPr>
        <w:t xml:space="preserve">jakaa </w:t>
      </w:r>
      <w:r w:rsidRPr="00895833">
        <w:rPr>
          <w:rFonts w:ascii="Times New Roman" w:hAnsi="Times New Roman"/>
          <w:sz w:val="24"/>
          <w:lang w:val="fi-FI"/>
        </w:rPr>
        <w:t xml:space="preserve">niille eteläisen ja lounaisen ulkorajan jäsenvaltioille, joihin kohdistui merkittävä muuttopaine, ja jäsenvaltioille, joihin saapui huomattava määrä vilpittömässä mielessä matkustavia henkilöitä. Vuosina 2007–2010 ja 2011–2013 eniten rahoitusta saivat samat kolme jäsenvaltiota: Italia, Espanja ja Kreikka. Ulkorajarahasto oli myös riittävän joustava vastaamaan tarpeiden muuttumiseen muuttoliikekriisin myötä: kriisin vaikutuspiiriin kuuluville jäsenvaltioille </w:t>
      </w:r>
      <w:r w:rsidR="002234CE" w:rsidRPr="00895833">
        <w:rPr>
          <w:rFonts w:ascii="Times New Roman" w:hAnsi="Times New Roman"/>
          <w:sz w:val="24"/>
          <w:lang w:val="fi-FI"/>
        </w:rPr>
        <w:t xml:space="preserve">myönnettiin </w:t>
      </w:r>
      <w:r w:rsidRPr="00895833">
        <w:rPr>
          <w:rFonts w:ascii="Times New Roman" w:hAnsi="Times New Roman"/>
          <w:sz w:val="24"/>
          <w:lang w:val="fi-FI"/>
        </w:rPr>
        <w:t>lisärahoitusta hätätoimenpiteiden kautta.</w:t>
      </w:r>
    </w:p>
    <w:p w:rsidR="00344222" w:rsidRPr="00895833" w:rsidRDefault="00344222" w:rsidP="00344222">
      <w:pPr>
        <w:spacing w:after="0"/>
        <w:jc w:val="both"/>
        <w:rPr>
          <w:rFonts w:ascii="Times New Roman" w:hAnsi="Times New Roman" w:cs="Times New Roman"/>
          <w:sz w:val="24"/>
          <w:lang w:val="fi-FI"/>
        </w:rPr>
      </w:pPr>
    </w:p>
    <w:p w:rsidR="00344222" w:rsidRPr="00895833" w:rsidRDefault="00344222" w:rsidP="00344222">
      <w:pPr>
        <w:spacing w:after="0"/>
        <w:jc w:val="both"/>
        <w:rPr>
          <w:rFonts w:ascii="Times New Roman" w:hAnsi="Times New Roman"/>
          <w:sz w:val="24"/>
          <w:lang w:val="fi-FI"/>
        </w:rPr>
      </w:pPr>
      <w:r w:rsidRPr="00895833">
        <w:rPr>
          <w:rFonts w:ascii="Times New Roman" w:hAnsi="Times New Roman"/>
          <w:sz w:val="24"/>
          <w:lang w:val="fi-FI"/>
        </w:rPr>
        <w:t>Ulkorajarahastolla oli suuri merkitys Schengenin säännöstön</w:t>
      </w:r>
      <w:r w:rsidRPr="00895833">
        <w:rPr>
          <w:rStyle w:val="FootnoteReference"/>
          <w:rFonts w:ascii="Times New Roman" w:hAnsi="Times New Roman"/>
          <w:sz w:val="24"/>
          <w:lang w:val="fi-FI"/>
        </w:rPr>
        <w:footnoteReference w:id="20"/>
      </w:r>
      <w:r w:rsidRPr="00895833">
        <w:rPr>
          <w:rFonts w:ascii="Times New Roman" w:hAnsi="Times New Roman"/>
          <w:sz w:val="24"/>
          <w:lang w:val="fi-FI"/>
        </w:rPr>
        <w:t xml:space="preserve"> soveltamisessa, sillä muuttovirrat kasvoivat vuodesta 2011 lähtien ja monilla jäsenvaltioilla oli samaan aikaan talousvaikeuksia. Ulkorajarahaston vuosien 2011–2013 toimilla edistettiin rajanylityspaikkojen henkilötarkastusten yhdenmukaistamista koulutusohjelmien avulla, rakennettiin ja parannettiin rajanylityspaikkoja sekä hankittiin rajapartioinnissa käytettäviä ajoneuvoja, aluksia ja ilma-aluksia. </w:t>
      </w:r>
      <w:r w:rsidR="00FF4D18" w:rsidRPr="00895833">
        <w:rPr>
          <w:rFonts w:ascii="Times New Roman" w:hAnsi="Times New Roman"/>
          <w:sz w:val="24"/>
          <w:lang w:val="fi-FI"/>
        </w:rPr>
        <w:t xml:space="preserve">Nämä toimet vaikuttivat osaltaan yhteisen yhdennetyn rajavalvontajärjestelmän vakiintumiseen. </w:t>
      </w:r>
      <w:r w:rsidRPr="00895833">
        <w:rPr>
          <w:rFonts w:ascii="Times New Roman" w:hAnsi="Times New Roman"/>
          <w:sz w:val="24"/>
          <w:lang w:val="fi-FI"/>
        </w:rPr>
        <w:t>Kuitenkin vain muutama jäsenvaltio katsoi, että rahaston tuki oli välttämätöntä uusimman tekniikan hankkimisessa EU:n ulkorajoille.</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 xml:space="preserve">Rahaston avulla </w:t>
      </w:r>
      <w:r w:rsidR="00FF4D18" w:rsidRPr="00895833">
        <w:rPr>
          <w:rFonts w:ascii="Times New Roman" w:hAnsi="Times New Roman"/>
          <w:sz w:val="24"/>
          <w:lang w:val="fi-FI"/>
        </w:rPr>
        <w:t xml:space="preserve">korjattiin </w:t>
      </w:r>
      <w:r w:rsidRPr="00895833">
        <w:rPr>
          <w:rFonts w:ascii="Times New Roman" w:hAnsi="Times New Roman"/>
          <w:sz w:val="24"/>
          <w:lang w:val="fi-FI"/>
        </w:rPr>
        <w:t>myös jäsenvaltioiden tiedonvaihtojärjestelmien hajanaisuutta tukemalla EU:n järjestelmien, kuten VIS-, SIS II- ja Eurosur-järjestelmien</w:t>
      </w:r>
      <w:r w:rsidRPr="00895833">
        <w:rPr>
          <w:rStyle w:val="FootnoteReference"/>
          <w:rFonts w:ascii="Times New Roman" w:hAnsi="Times New Roman"/>
          <w:sz w:val="24"/>
          <w:lang w:val="fi-FI"/>
        </w:rPr>
        <w:footnoteReference w:id="21"/>
      </w:r>
      <w:r w:rsidRPr="00895833">
        <w:rPr>
          <w:rFonts w:ascii="Times New Roman" w:hAnsi="Times New Roman"/>
          <w:sz w:val="24"/>
          <w:lang w:val="fi-FI"/>
        </w:rPr>
        <w:t xml:space="preserve">, kehittämistä kansallisella tasolla. Niissä maissa, joissa kansallinen rahoitus oli vähäistä, rahaston avulla voitiin varmistaa, että järjestelmät saatiin käyttövalmiiksi, sillä rahoituksella tuettiin järjestelmien osien viimeistelyä. </w:t>
      </w:r>
      <w:r w:rsidR="00FF4D18" w:rsidRPr="00895833">
        <w:rPr>
          <w:rFonts w:ascii="Times New Roman" w:hAnsi="Times New Roman"/>
          <w:sz w:val="24"/>
          <w:lang w:val="fi-FI"/>
        </w:rPr>
        <w:t>Lisäksi u</w:t>
      </w:r>
      <w:r w:rsidRPr="00895833">
        <w:rPr>
          <w:rFonts w:ascii="Times New Roman" w:hAnsi="Times New Roman"/>
          <w:sz w:val="24"/>
          <w:lang w:val="fi-FI"/>
        </w:rPr>
        <w:t>lkorajarahasto</w:t>
      </w:r>
      <w:r w:rsidR="00FF4D18" w:rsidRPr="00895833">
        <w:rPr>
          <w:rFonts w:ascii="Times New Roman" w:hAnsi="Times New Roman"/>
          <w:sz w:val="24"/>
          <w:lang w:val="fi-FI"/>
        </w:rPr>
        <w:t>n avu</w:t>
      </w:r>
      <w:r w:rsidRPr="00895833">
        <w:rPr>
          <w:rFonts w:ascii="Times New Roman" w:hAnsi="Times New Roman"/>
          <w:sz w:val="24"/>
          <w:lang w:val="fi-FI"/>
        </w:rPr>
        <w:t xml:space="preserve">lla </w:t>
      </w:r>
      <w:r w:rsidR="00FF4D18" w:rsidRPr="00895833">
        <w:rPr>
          <w:rFonts w:ascii="Times New Roman" w:hAnsi="Times New Roman"/>
          <w:sz w:val="24"/>
          <w:lang w:val="fi-FI"/>
        </w:rPr>
        <w:t xml:space="preserve">tehostettiin </w:t>
      </w:r>
      <w:r w:rsidRPr="00895833">
        <w:rPr>
          <w:rFonts w:ascii="Times New Roman" w:hAnsi="Times New Roman"/>
          <w:sz w:val="24"/>
          <w:lang w:val="fi-FI"/>
        </w:rPr>
        <w:t>voimavarojen käyttöä parantamalla jäsenvaltioiden rajavalvontavalmiuksia.</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776904"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Ulkorajarahastolla edistettiin vuosina 2007–2010 ja vuosina 2011–2013 jonkin verran konsuliyhteistyön kehittämistä jäsenvaltioiden ja kolmansien maiden välillä.</w:t>
      </w:r>
      <w:r w:rsidRPr="00895833">
        <w:rPr>
          <w:rStyle w:val="FootnoteReference"/>
          <w:rFonts w:ascii="Times New Roman" w:hAnsi="Times New Roman"/>
          <w:sz w:val="24"/>
          <w:lang w:val="fi-FI"/>
        </w:rPr>
        <w:footnoteReference w:id="22"/>
      </w:r>
    </w:p>
    <w:p w:rsidR="00344222" w:rsidRPr="00895833" w:rsidRDefault="00344222" w:rsidP="00344222">
      <w:pPr>
        <w:spacing w:after="0"/>
        <w:jc w:val="both"/>
        <w:rPr>
          <w:rFonts w:ascii="Times New Roman" w:hAnsi="Times New Roman"/>
          <w:sz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Ulkorajarahaston investointien katsottiin yleisesti olevan kestäviä: suurin osa rahoituksen avulla hankitusta omaisuudesta ja kerrytetystä tiedosta oli yhä käytössä arvioinnin aikaan. Jäsenvaltiot korostivat ulkorajarahaston täydentävän sisäisen turvallisuuden rahaston tavoitteita. Täydentävyyden ansiosta sisäisen turvallisuuden rahaston avulla toteutetuissa toimissa on voitu hyödyntää ulkorajarahaston toimien tuloksia. Muutamissa hankkeissa oli rahoitusvaikeuksia, minkä antoi aihetta epäillä niiden kestävyyttä. Näihin kuului esimerkiksi maahanmuuttoalan yhteyshenkilöiden lähettäminen kolmansiin maihin.</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344222" w:rsidP="00344222">
      <w:pPr>
        <w:spacing w:after="0"/>
        <w:jc w:val="both"/>
        <w:rPr>
          <w:rFonts w:ascii="Times New Roman" w:hAnsi="Times New Roman"/>
          <w:sz w:val="24"/>
          <w:lang w:val="fi-FI"/>
        </w:rPr>
      </w:pPr>
      <w:r w:rsidRPr="00895833">
        <w:rPr>
          <w:rFonts w:ascii="Times New Roman" w:hAnsi="Times New Roman"/>
          <w:sz w:val="24"/>
          <w:lang w:val="fi-FI"/>
        </w:rPr>
        <w:t>Ulkorajarahaston investointien todettiin täydentävän EU:n muiden rahastojen toimia, Euroopan raja- ja merivartioviraston</w:t>
      </w:r>
      <w:r w:rsidRPr="00895833">
        <w:rPr>
          <w:rStyle w:val="FootnoteReference"/>
          <w:rFonts w:ascii="Times New Roman" w:hAnsi="Times New Roman"/>
          <w:sz w:val="24"/>
          <w:lang w:val="fi-FI"/>
        </w:rPr>
        <w:footnoteReference w:id="23"/>
      </w:r>
      <w:r w:rsidRPr="00895833">
        <w:rPr>
          <w:rFonts w:ascii="Times New Roman" w:hAnsi="Times New Roman"/>
          <w:sz w:val="24"/>
          <w:lang w:val="fi-FI"/>
        </w:rPr>
        <w:t xml:space="preserve"> toimia ja kansallisia investointeja sekä olevan niiden kanssa johdonmukaisia. Ulkorajarahaston tuoma lisäarvo arvioitiin erityisen korkeaksi niissä jäsenvaltioissa, joiden taloudelliset resurssit olivat </w:t>
      </w:r>
      <w:r w:rsidR="00FF4D18" w:rsidRPr="00895833">
        <w:rPr>
          <w:rFonts w:ascii="Times New Roman" w:hAnsi="Times New Roman"/>
          <w:sz w:val="24"/>
          <w:lang w:val="fi-FI"/>
        </w:rPr>
        <w:t>niuka</w:t>
      </w:r>
      <w:r w:rsidRPr="00895833">
        <w:rPr>
          <w:rFonts w:ascii="Times New Roman" w:hAnsi="Times New Roman"/>
          <w:sz w:val="24"/>
          <w:lang w:val="fi-FI"/>
        </w:rPr>
        <w:t>t tai budjettirajoitteet tiukat.</w:t>
      </w:r>
    </w:p>
    <w:p w:rsidR="00344222" w:rsidRPr="00895833" w:rsidRDefault="00344222" w:rsidP="00344222">
      <w:pPr>
        <w:spacing w:after="0"/>
        <w:jc w:val="both"/>
        <w:rPr>
          <w:rFonts w:ascii="Times New Roman" w:hAnsi="Times New Roman"/>
          <w:sz w:val="24"/>
          <w:lang w:val="fi-FI"/>
        </w:rPr>
      </w:pPr>
    </w:p>
    <w:p w:rsidR="00344222" w:rsidRPr="00895833" w:rsidRDefault="00344222" w:rsidP="00344222">
      <w:pPr>
        <w:autoSpaceDE w:val="0"/>
        <w:autoSpaceDN w:val="0"/>
        <w:adjustRightInd w:val="0"/>
        <w:spacing w:after="0"/>
        <w:rPr>
          <w:rFonts w:ascii="Times New Roman" w:hAnsi="Times New Roman" w:cs="Times New Roman"/>
          <w:b/>
          <w:sz w:val="24"/>
          <w:szCs w:val="24"/>
          <w:lang w:val="fi-FI"/>
        </w:rPr>
      </w:pPr>
      <w:r w:rsidRPr="00895833">
        <w:rPr>
          <w:rFonts w:ascii="Times New Roman" w:hAnsi="Times New Roman"/>
          <w:b/>
          <w:sz w:val="24"/>
          <w:lang w:val="fi-FI"/>
        </w:rPr>
        <w:t>Eurooppalainen rahasto kolmansien maiden kansalaisten kotouttamista varten (Euroopan kotouttamisrahasto)</w:t>
      </w:r>
    </w:p>
    <w:p w:rsidR="00344222" w:rsidRPr="00895833" w:rsidRDefault="00344222" w:rsidP="00344222">
      <w:pPr>
        <w:spacing w:after="0"/>
        <w:jc w:val="both"/>
        <w:rPr>
          <w:rFonts w:ascii="Times New Roman" w:hAnsi="Times New Roman" w:cs="Times New Roman"/>
          <w:sz w:val="24"/>
          <w:lang w:val="fi-FI"/>
        </w:rPr>
      </w:pPr>
      <w:r w:rsidRPr="00895833">
        <w:rPr>
          <w:rFonts w:ascii="Times New Roman" w:hAnsi="Times New Roman"/>
          <w:sz w:val="24"/>
          <w:lang w:val="fi-FI"/>
        </w:rPr>
        <w:t>Euroopan kotouttamisrahasto</w:t>
      </w:r>
      <w:r w:rsidR="00A510CD" w:rsidRPr="00895833">
        <w:rPr>
          <w:rFonts w:ascii="Times New Roman" w:hAnsi="Times New Roman"/>
          <w:sz w:val="24"/>
          <w:lang w:val="fi-FI"/>
        </w:rPr>
        <w:t>st</w:t>
      </w:r>
      <w:r w:rsidRPr="00895833">
        <w:rPr>
          <w:rFonts w:ascii="Times New Roman" w:hAnsi="Times New Roman"/>
          <w:sz w:val="24"/>
          <w:lang w:val="fi-FI"/>
        </w:rPr>
        <w:t xml:space="preserve">a </w:t>
      </w:r>
      <w:r w:rsidR="00A510CD" w:rsidRPr="00895833">
        <w:rPr>
          <w:rFonts w:ascii="Times New Roman" w:hAnsi="Times New Roman"/>
          <w:sz w:val="24"/>
          <w:lang w:val="fi-FI"/>
        </w:rPr>
        <w:t xml:space="preserve">voidaan todeta </w:t>
      </w:r>
      <w:r w:rsidRPr="00895833">
        <w:rPr>
          <w:rFonts w:ascii="Times New Roman" w:hAnsi="Times New Roman"/>
          <w:sz w:val="24"/>
          <w:lang w:val="fi-FI"/>
        </w:rPr>
        <w:t>sekä vuosien 2007–2010</w:t>
      </w:r>
      <w:r w:rsidRPr="00895833">
        <w:rPr>
          <w:rStyle w:val="FootnoteReference"/>
          <w:rFonts w:ascii="Times New Roman" w:hAnsi="Times New Roman"/>
          <w:sz w:val="24"/>
          <w:lang w:val="fi-FI"/>
        </w:rPr>
        <w:footnoteReference w:id="24"/>
      </w:r>
      <w:r w:rsidRPr="00895833">
        <w:rPr>
          <w:rFonts w:ascii="Times New Roman" w:hAnsi="Times New Roman"/>
          <w:sz w:val="24"/>
          <w:lang w:val="fi-FI"/>
        </w:rPr>
        <w:t xml:space="preserve"> että vuosien 2011–2013 osalta, että </w:t>
      </w:r>
      <w:r w:rsidR="00A510CD" w:rsidRPr="00895833">
        <w:rPr>
          <w:rFonts w:ascii="Times New Roman" w:hAnsi="Times New Roman"/>
          <w:sz w:val="24"/>
          <w:lang w:val="fi-FI"/>
        </w:rPr>
        <w:t>sen avulla</w:t>
      </w:r>
      <w:r w:rsidRPr="00895833">
        <w:rPr>
          <w:rFonts w:ascii="Times New Roman" w:hAnsi="Times New Roman"/>
          <w:sz w:val="24"/>
          <w:lang w:val="fi-FI"/>
        </w:rPr>
        <w:t xml:space="preserve"> kyettiin yleisesti vastaamaan jäsenvaltioiden kotouttamistarpeisiin ja </w:t>
      </w:r>
      <w:r w:rsidR="00A510CD" w:rsidRPr="00895833">
        <w:rPr>
          <w:rFonts w:ascii="Times New Roman" w:hAnsi="Times New Roman"/>
          <w:sz w:val="24"/>
          <w:lang w:val="fi-FI"/>
        </w:rPr>
        <w:t xml:space="preserve">että </w:t>
      </w:r>
      <w:r w:rsidR="00CB7722" w:rsidRPr="00895833">
        <w:rPr>
          <w:rFonts w:ascii="Times New Roman" w:hAnsi="Times New Roman"/>
          <w:sz w:val="24"/>
          <w:lang w:val="fi-FI"/>
        </w:rPr>
        <w:t>sen</w:t>
      </w:r>
      <w:r w:rsidRPr="00895833">
        <w:rPr>
          <w:rFonts w:ascii="Times New Roman" w:hAnsi="Times New Roman"/>
          <w:sz w:val="24"/>
          <w:lang w:val="fi-FI"/>
        </w:rPr>
        <w:t xml:space="preserve"> rakenne mahdollisti mukautumisen olosuhteiden muutoksiin.</w:t>
      </w:r>
      <w:r w:rsidRPr="00895833">
        <w:rPr>
          <w:lang w:val="fi-FI"/>
        </w:rPr>
        <w:t xml:space="preserve"> </w:t>
      </w:r>
      <w:r w:rsidRPr="00895833">
        <w:rPr>
          <w:rFonts w:ascii="Times New Roman" w:hAnsi="Times New Roman"/>
          <w:sz w:val="24"/>
          <w:lang w:val="fi-FI"/>
        </w:rPr>
        <w:t xml:space="preserve">Osa jäsenvaltioista kuitenkin katsoi, että </w:t>
      </w:r>
      <w:r w:rsidR="00CB7722" w:rsidRPr="00895833">
        <w:rPr>
          <w:rFonts w:ascii="Times New Roman" w:hAnsi="Times New Roman"/>
          <w:sz w:val="24"/>
          <w:lang w:val="fi-FI"/>
        </w:rPr>
        <w:t xml:space="preserve">rahaston </w:t>
      </w:r>
      <w:r w:rsidRPr="00895833">
        <w:rPr>
          <w:rFonts w:ascii="Times New Roman" w:hAnsi="Times New Roman"/>
          <w:sz w:val="24"/>
          <w:lang w:val="fi-FI"/>
        </w:rPr>
        <w:t xml:space="preserve">kohderyhmä oli määritelty liian suppeasti. Osa nosti esiin myös kansalaisjärjestöjen ja paikallishallintojen kiinnostuksen puutteen. </w:t>
      </w:r>
      <w:r w:rsidR="00A510CD" w:rsidRPr="00895833">
        <w:rPr>
          <w:rFonts w:ascii="Times New Roman" w:hAnsi="Times New Roman"/>
          <w:sz w:val="24"/>
          <w:lang w:val="fi-FI"/>
        </w:rPr>
        <w:t>Jotkut jäsenvaltiot</w:t>
      </w:r>
      <w:r w:rsidRPr="00895833">
        <w:rPr>
          <w:rFonts w:ascii="Times New Roman" w:hAnsi="Times New Roman"/>
          <w:sz w:val="24"/>
          <w:lang w:val="fi-FI"/>
        </w:rPr>
        <w:t xml:space="preserve"> oli</w:t>
      </w:r>
      <w:r w:rsidR="00A510CD" w:rsidRPr="00895833">
        <w:rPr>
          <w:rFonts w:ascii="Times New Roman" w:hAnsi="Times New Roman"/>
          <w:sz w:val="24"/>
          <w:lang w:val="fi-FI"/>
        </w:rPr>
        <w:t>vat</w:t>
      </w:r>
      <w:r w:rsidRPr="00895833">
        <w:rPr>
          <w:rFonts w:ascii="Times New Roman" w:hAnsi="Times New Roman"/>
          <w:sz w:val="24"/>
          <w:lang w:val="fi-FI"/>
        </w:rPr>
        <w:t xml:space="preserve"> sitä mieltä, että tukea ei olisi pitänyt rajoittaa ainoastaan hiljattain saapuneisiin kolmansien maiden kansalaisiin, sillä myös toisen ja kolmannen polven maahanmuuttajat voivat tarvita kotouttamistoimenpiteitä.</w:t>
      </w:r>
    </w:p>
    <w:p w:rsidR="00344222" w:rsidRPr="00895833" w:rsidRDefault="00344222" w:rsidP="00344222">
      <w:pPr>
        <w:spacing w:after="0"/>
        <w:jc w:val="both"/>
        <w:rPr>
          <w:rFonts w:ascii="Times New Roman" w:hAnsi="Times New Roman" w:cs="Times New Roman"/>
          <w:sz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Euroopan kotouttamisrahaston todettiin kaiken kaikkiaan kyenneen saavuttamaan vuosina 2007–2010 ja 2011–2013 päätavoitteensa helpotta</w:t>
      </w:r>
      <w:r w:rsidR="00CB7722" w:rsidRPr="00895833">
        <w:rPr>
          <w:rFonts w:ascii="Times New Roman" w:hAnsi="Times New Roman"/>
          <w:sz w:val="24"/>
          <w:lang w:val="fi-FI"/>
        </w:rPr>
        <w:t>a</w:t>
      </w:r>
      <w:r w:rsidRPr="00895833">
        <w:rPr>
          <w:rFonts w:ascii="Times New Roman" w:hAnsi="Times New Roman"/>
          <w:sz w:val="24"/>
          <w:lang w:val="fi-FI"/>
        </w:rPr>
        <w:t xml:space="preserve"> kolmansien maiden kansalaisten kotoutumista vastaanottavaan yhteiskuntaan. Useimmissa jäsenvaltioissa rahastolla oli konkreettinen myönteinen vaikutus välittömään kotouttamisprosessiin. Kotouttamisrahaston avulla parannettiin palvelujen saatavuutta sekä työllistymis- ja koulutusmahdollisuuksia vastaanottavassa maassa, mukaan lukien kotouttamisprosessin kannalta olennaisia kielikursseja. Tällaisiin toimiin jäsenvaltiot vaikuttivat käyttäneen rahoitusta eniten.</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344222" w:rsidP="00344222">
      <w:pPr>
        <w:spacing w:after="0"/>
        <w:jc w:val="both"/>
        <w:rPr>
          <w:rFonts w:ascii="Times New Roman" w:hAnsi="Times New Roman" w:cs="Times New Roman"/>
          <w:sz w:val="24"/>
          <w:lang w:val="fi-FI"/>
        </w:rPr>
      </w:pPr>
      <w:r w:rsidRPr="00895833">
        <w:rPr>
          <w:rFonts w:ascii="Times New Roman" w:hAnsi="Times New Roman"/>
          <w:sz w:val="24"/>
          <w:lang w:val="fi-FI"/>
        </w:rPr>
        <w:t xml:space="preserve">Monet jäsenvaltiot ilmoittivat täytäntöönpanossa esiintyneen vuosina 2007–2010 ongelmia, jotka johtuivat siitä, että rahasto oli vasta otettu käyttöön. Ongelmana oli muun muassa tukikelpoisten hankkeiden puute tai riittämättömyys. Kotouttamisrahastolla katsottiin olleen vuosina 2011–2013 rajallinen vaikutus kolmansien maiden kansalaisten kotouttamista tukevien maahanpääsymenettelyjen kehittämiseen ja täytäntöönpanoon. Tämä johtui siitä, että useiden jäsenvaltioiden vuosittaisissa ohjelmissa ei keskitytty nimenomaisesti tähän tavoitteeseen, minkä vuoksi </w:t>
      </w:r>
      <w:r w:rsidR="00CB7722" w:rsidRPr="00895833">
        <w:rPr>
          <w:rFonts w:ascii="Times New Roman" w:hAnsi="Times New Roman"/>
          <w:sz w:val="24"/>
          <w:lang w:val="fi-FI"/>
        </w:rPr>
        <w:t>alan</w:t>
      </w:r>
      <w:r w:rsidRPr="00895833">
        <w:rPr>
          <w:rFonts w:ascii="Times New Roman" w:hAnsi="Times New Roman"/>
          <w:sz w:val="24"/>
          <w:lang w:val="fi-FI"/>
        </w:rPr>
        <w:t xml:space="preserve"> toimia toteutettiin vain vähän. Rahastolla edistettiin politiikkaan liittyvää valmiuksien kehittämistä ja koordinointia jäsenvaltioissa, mutta sillä oli vain vähän vaikutusta jäsenvaltioiden väliseen kokemusten, hyvien käytänteiden ja tietojen vaihtoon. </w:t>
      </w:r>
    </w:p>
    <w:p w:rsidR="00344222" w:rsidRPr="00895833" w:rsidRDefault="00344222" w:rsidP="00344222">
      <w:pPr>
        <w:spacing w:after="0"/>
        <w:jc w:val="both"/>
        <w:rPr>
          <w:rFonts w:ascii="Times New Roman" w:hAnsi="Times New Roman" w:cs="Times New Roman"/>
          <w:sz w:val="24"/>
          <w:lang w:val="fi-FI"/>
        </w:rPr>
      </w:pPr>
    </w:p>
    <w:p w:rsidR="00344222" w:rsidRPr="00895833" w:rsidRDefault="00344222" w:rsidP="00344222">
      <w:pPr>
        <w:spacing w:after="0"/>
        <w:jc w:val="both"/>
        <w:rPr>
          <w:rFonts w:ascii="Times New Roman" w:hAnsi="Times New Roman" w:cs="Times New Roman"/>
          <w:sz w:val="24"/>
          <w:lang w:val="fi-FI"/>
        </w:rPr>
      </w:pPr>
      <w:r w:rsidRPr="00895833">
        <w:rPr>
          <w:rFonts w:ascii="Times New Roman" w:hAnsi="Times New Roman"/>
          <w:sz w:val="24"/>
          <w:lang w:val="fi-FI"/>
        </w:rPr>
        <w:t xml:space="preserve">Vain puolet jäsenvaltioista katsoi rahaston olleen tyydyttävän tehokas vuosina 2007–2010. Vuosien 2011–2013 osalta suurin osa jäsenvaltioista katsoi, että kotouttamisrahaston kustannukset olivat oikeasuhteisia hankkeiden tuotoksiin nähden ja että samoja tuloksia olisi ollut mahdoton tai vaikea saavuttaa edullisemmin. Vain puolet jäsenvaltioista katsoi kotouttamisrahaston tuella vuosina 2007–2010 ja 2011–2013 toteutettujen toimien tulosten vaikutusten jatkuneen merkittävästi rahoituksen päättymisen jälkeen. Haastateltujen sidosryhmien mukaan heikko kestävyys johtui pääasiassa esimerkiksi poliittisen sitoutumisen ja tuen vaihtelusta kansallisella tasolla. </w:t>
      </w:r>
    </w:p>
    <w:p w:rsidR="00344222" w:rsidRPr="00895833" w:rsidRDefault="00344222" w:rsidP="00344222">
      <w:pPr>
        <w:spacing w:after="0"/>
        <w:jc w:val="both"/>
        <w:rPr>
          <w:rFonts w:ascii="Times New Roman" w:hAnsi="Times New Roman" w:cs="Times New Roman"/>
          <w:sz w:val="24"/>
          <w:lang w:val="fi-FI"/>
        </w:rPr>
      </w:pPr>
    </w:p>
    <w:p w:rsidR="00344222" w:rsidRPr="00895833" w:rsidRDefault="00344222" w:rsidP="00344222">
      <w:pPr>
        <w:spacing w:after="0"/>
        <w:jc w:val="both"/>
        <w:rPr>
          <w:rFonts w:ascii="Times New Roman" w:hAnsi="Times New Roman" w:cs="Times New Roman"/>
          <w:sz w:val="24"/>
          <w:lang w:val="fi-FI"/>
        </w:rPr>
      </w:pPr>
      <w:r w:rsidRPr="00895833">
        <w:rPr>
          <w:rFonts w:ascii="Times New Roman" w:hAnsi="Times New Roman"/>
          <w:sz w:val="24"/>
          <w:lang w:val="fi-FI"/>
        </w:rPr>
        <w:t>Hankkeiden todettiin olevan johdonmukaisia muiden kolmansien maiden kansalaisten kotouttamiseen tähtäävien kansallisten ja EU:n muista rahoitusvälineistä tuettujen toimien kanssa ja täydentäneen niitä. Joitakin vaikeuksiakin kuitenkin esiintyi. Ne liittyivät EU:n muiden rahastojen erilaiseen aikataulutukseen ja yhteisön toimia koskevaan tietämykseen. Selvä enemmistö jäsenvaltioista totesi, että Euroopan kotouttamisrahasto mahdollisti sellaisten toimien toteuttamisen, joita ei olisi voitu rahoittaa kansallisista varoista. Tämä osoittaa, että rahasto on tuottanut lisäarvoa.</w:t>
      </w:r>
    </w:p>
    <w:p w:rsidR="00344222" w:rsidRPr="00895833" w:rsidRDefault="00344222" w:rsidP="00344222">
      <w:pPr>
        <w:spacing w:after="0"/>
        <w:jc w:val="both"/>
        <w:rPr>
          <w:rFonts w:ascii="Times New Roman" w:hAnsi="Times New Roman"/>
          <w:sz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b/>
          <w:sz w:val="24"/>
          <w:lang w:val="fi-FI"/>
        </w:rPr>
        <w:t>Euroopan pakolaisrahasto</w:t>
      </w: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Arvioinnin perusteella Euroopan pakolaisrahaston tavoitteet vastasivat yleisesti jäsenvaltioiden tarpeita. Arvioinnissa nousi kuitenkin esiin</w:t>
      </w:r>
      <w:r w:rsidRPr="00895833">
        <w:rPr>
          <w:lang w:val="fi-FI"/>
        </w:rPr>
        <w:t xml:space="preserve"> </w:t>
      </w:r>
      <w:r w:rsidR="00DD65E3" w:rsidRPr="00895833">
        <w:rPr>
          <w:rFonts w:ascii="Times New Roman" w:hAnsi="Times New Roman"/>
          <w:sz w:val="24"/>
          <w:lang w:val="fi-FI"/>
        </w:rPr>
        <w:t xml:space="preserve">yksi </w:t>
      </w:r>
      <w:r w:rsidRPr="00895833">
        <w:rPr>
          <w:rFonts w:ascii="Times New Roman" w:hAnsi="Times New Roman"/>
          <w:sz w:val="24"/>
          <w:lang w:val="fi-FI"/>
        </w:rPr>
        <w:t>keskeinen puute, joka koski molempia kausia 2008–2010</w:t>
      </w:r>
      <w:r w:rsidRPr="00895833">
        <w:rPr>
          <w:rStyle w:val="FootnoteReference"/>
          <w:rFonts w:ascii="Times New Roman" w:hAnsi="Times New Roman"/>
          <w:sz w:val="24"/>
          <w:lang w:val="fi-FI"/>
        </w:rPr>
        <w:footnoteReference w:id="25"/>
      </w:r>
      <w:r w:rsidRPr="00895833">
        <w:rPr>
          <w:rFonts w:ascii="Times New Roman" w:hAnsi="Times New Roman"/>
          <w:sz w:val="24"/>
          <w:lang w:val="fi-FI"/>
        </w:rPr>
        <w:t xml:space="preserve"> ja 2011–2013.</w:t>
      </w:r>
      <w:r w:rsidRPr="00895833">
        <w:rPr>
          <w:lang w:val="fi-FI"/>
        </w:rPr>
        <w:t xml:space="preserve"> </w:t>
      </w:r>
      <w:r w:rsidRPr="00895833">
        <w:rPr>
          <w:rFonts w:ascii="Times New Roman" w:hAnsi="Times New Roman"/>
          <w:sz w:val="24"/>
          <w:lang w:val="fi-FI"/>
        </w:rPr>
        <w:t>Varojen jakomekanismi nimittäin perustui aiempina vuosina (kolmena edellisenä vuotena) saapuneiden turvapaikanhakijoiden määrään, eikä sillä siksi pystytty vastaamaan turvapaikanhakijoiden määrän voimakkaaseen kasvuun vuodesta 2013 alkaen. Tilannetta helpotti osittain jäsenvaltioille annettu hätäapu, joka osoittautui kriisin ratkaisemisessa hyödylliseksi.</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0E5A71"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Euroopan pakolaisrahastolla onnistuttiin vuosina 2008–2010 ja 2011–2013 tukemaan erityisen tehokkaasti jäsenvaltioiden vastaanotto-olosuhteiden ja turvapaikkamenettelyjen parantamista sekä kansainvälistä suojelua saavien henkilöiden kotouttamista. Rahaston tuki oli tehokkainta EU:hun hiljattain liittyneissä jäsenvaltioissa (joiden turvapaikkajärjestelmät eivät ole yhtä kehittyneitä kuin muissa jäsenvaltioissa). Pakolaisrahaston tuella kehitettiin näiden jäsenvaltioiden valmiuksia rakentaa kansallisia turvapaikkajärjestelmiä. Rahastolla pystyttiin tukemaan erittäin tehokkaasti myös hätätilanteista kärsiviä jäsenvaltioita. Rahastolla kyettiin täytäntöönpanokauden aikana vain hieman edistämään jäsenvaltioiden turvapaikkajärjestelmien yhdenmukaistamista ja Euroopan yhteisen turvapaikkajärjestelmän toteuttamista, sillä asiaa koskeva oikeudellinen kehys antoi jäsenvaltioille huomattavaa harkintavaltaa. Koska yhteisön toimien tuloksia ei levitetty laajasti ja useimmat Euroopan pakolaisrahaston hankkeet olivat puhtaasti kansallisia, jäsenvaltioiden välistä yhteistyötä ja kokemustenvaihtoa voitiin tukea vain rajallisesti. Rahastolla ei myöskään onnistuttu kovin tehokkaasti tukemaan vastuunjakohankkeita, kuten kansainvälistä suojelua saavien henkilöiden uudelleensijoittamista ja siirtämistä EU:n sisällä.</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 xml:space="preserve">Euroopan pakolaisrahaston tuotosten arvioitiin syntyneen kohtuullisin kustannuksin, vaikka useissa jäsenvaltioissa havaittiinkin jonkinasteista tehottomuutta. Tehottomuus johtui pääasiassa kokemuksen puutteesta ja riittämättömistä teknisistä ja hallinnollisista valmiuksista. Rahastosta tuettujen hankkeiden kestävyys riippui hankkeiden luonteesta. Yleisesti ottaen sidosryhmien välille muodostui kestäviä verkostoja. Vastaanottovalmiuksiin tehdyt investoinnit katsottiin kaikkein kestävimmiksi. Pakolaisrahaston katsottiin myös täydentäneen muita SOLID-rahastoja. Kaikki jäsenvaltiot katsoivat pakolaisrahaston mahdollistaneen sellaisten innovatiivisten tai tietyille kohderyhmille suunnattujen hankkeiden rahoittamisen, joita ei olisi voitu toteuttaa ilman rahaston tukea. Rahaston tuoma lisäarvo oli olennaisen tärkeää niille jäsenvaltioille, joiden turvapaikkajärjestelmät olivat muita vähemmän kehittyneet. </w:t>
      </w:r>
    </w:p>
    <w:p w:rsidR="00344222" w:rsidRPr="00895833" w:rsidRDefault="00344222" w:rsidP="00344222">
      <w:pPr>
        <w:spacing w:after="0"/>
        <w:jc w:val="both"/>
        <w:rPr>
          <w:rFonts w:ascii="Times New Roman" w:hAnsi="Times New Roman" w:cs="Times New Roman"/>
          <w:sz w:val="24"/>
          <w:szCs w:val="24"/>
          <w:lang w:val="fi-FI"/>
        </w:rPr>
      </w:pPr>
    </w:p>
    <w:p w:rsidR="00344222" w:rsidRPr="00895833" w:rsidRDefault="00344222" w:rsidP="00344222">
      <w:pPr>
        <w:spacing w:after="0"/>
        <w:jc w:val="both"/>
        <w:rPr>
          <w:rFonts w:ascii="Times New Roman" w:hAnsi="Times New Roman" w:cs="Times New Roman"/>
          <w:sz w:val="24"/>
          <w:szCs w:val="24"/>
          <w:lang w:val="fi-FI"/>
        </w:rPr>
      </w:pPr>
      <w:r w:rsidRPr="00895833">
        <w:rPr>
          <w:rFonts w:ascii="Times New Roman" w:hAnsi="Times New Roman"/>
          <w:sz w:val="24"/>
          <w:lang w:val="fi-FI"/>
        </w:rPr>
        <w:t xml:space="preserve">Useimmat jäsenvaltiot katsoivat, että pakolaisrahasto saavutti tavoitteensa tehokkaasti vuosina 2008–2010. Rahaston avulla ei kuitenkaan onnistuttu kovin tehokkaasti edistämään jäsenvaltioiden keskinäistä tai jäsenvaltioiden ja kolmansien maiden välistä vastuunjakoa, koska </w:t>
      </w:r>
      <w:r w:rsidR="00DD65E3" w:rsidRPr="00895833">
        <w:rPr>
          <w:rFonts w:ascii="Times New Roman" w:hAnsi="Times New Roman"/>
          <w:sz w:val="24"/>
          <w:lang w:val="fi-FI"/>
        </w:rPr>
        <w:t>sitä koskevia hankkeita</w:t>
      </w:r>
      <w:r w:rsidRPr="00895833">
        <w:rPr>
          <w:rFonts w:ascii="Times New Roman" w:hAnsi="Times New Roman"/>
          <w:sz w:val="24"/>
          <w:lang w:val="fi-FI"/>
        </w:rPr>
        <w:t xml:space="preserve"> toteutettiin hyvin vähän. Useimmat jäsenvaltiot arvioivat, että pakolaisrahaston kustannukset olivat kohtuulliset, vaikka samat tulokset olisi arvioiden mukaan voitu saavuttaa myös edullisemmin. Kaikki jäsenvaltiot totesivat, että rahaston avulla voitiin toteuttaa hankkeita, joita ei olisi voitu rahoittaa pelkästään jäsenvaltioiden julkisin varoin.</w:t>
      </w:r>
    </w:p>
    <w:p w:rsidR="00344222" w:rsidRPr="00895833" w:rsidRDefault="00344222" w:rsidP="00344222">
      <w:pPr>
        <w:spacing w:after="0"/>
        <w:jc w:val="both"/>
        <w:rPr>
          <w:rFonts w:ascii="Times New Roman" w:hAnsi="Times New Roman" w:cs="Times New Roman"/>
          <w:sz w:val="24"/>
          <w:lang w:val="fi-FI"/>
        </w:rPr>
      </w:pPr>
    </w:p>
    <w:p w:rsidR="00344222" w:rsidRPr="00895833" w:rsidRDefault="00344222" w:rsidP="00344222">
      <w:pPr>
        <w:spacing w:after="0"/>
        <w:jc w:val="both"/>
        <w:rPr>
          <w:rFonts w:ascii="Times New Roman" w:hAnsi="Times New Roman" w:cs="Times New Roman"/>
          <w:b/>
          <w:sz w:val="24"/>
          <w:szCs w:val="24"/>
          <w:lang w:val="fi-FI"/>
        </w:rPr>
      </w:pPr>
      <w:r w:rsidRPr="00895833">
        <w:rPr>
          <w:rFonts w:ascii="Times New Roman" w:hAnsi="Times New Roman"/>
          <w:b/>
          <w:sz w:val="24"/>
          <w:lang w:val="fi-FI"/>
        </w:rPr>
        <w:t>Euroopan paluurahasto</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 xml:space="preserve">Useimmat jäsenvaltiot olivat sitä mieltä, että rahaston tavoitteet vastasivat niiden tarpeita palauttamismenettelyjen hallinnoinnin alalla, joskin </w:t>
      </w:r>
      <w:r w:rsidR="00745E2E" w:rsidRPr="00895833">
        <w:rPr>
          <w:rFonts w:ascii="Times New Roman" w:hAnsi="Times New Roman"/>
          <w:sz w:val="24"/>
          <w:lang w:val="fi-FI"/>
        </w:rPr>
        <w:t>joitakin</w:t>
      </w:r>
      <w:r w:rsidRPr="00895833">
        <w:rPr>
          <w:rFonts w:ascii="Times New Roman" w:hAnsi="Times New Roman"/>
          <w:sz w:val="24"/>
          <w:lang w:val="fi-FI"/>
        </w:rPr>
        <w:t xml:space="preserve"> painopisteitä pidettiin toisia merkityksellisempinä.</w:t>
      </w:r>
      <w:r w:rsidRPr="00895833">
        <w:rPr>
          <w:rStyle w:val="FootnoteReference"/>
          <w:rFonts w:ascii="Times New Roman" w:hAnsi="Times New Roman"/>
          <w:sz w:val="24"/>
          <w:lang w:val="fi-FI"/>
        </w:rPr>
        <w:footnoteReference w:id="26"/>
      </w:r>
      <w:r w:rsidRPr="00895833">
        <w:rPr>
          <w:rFonts w:ascii="Times New Roman" w:hAnsi="Times New Roman"/>
          <w:sz w:val="24"/>
          <w:lang w:val="fi-FI"/>
        </w:rPr>
        <w:t xml:space="preserve"> Osa jäsenvaltioista katsoi, että rahaston toim</w:t>
      </w:r>
      <w:r w:rsidR="00745E2E" w:rsidRPr="00895833">
        <w:rPr>
          <w:rFonts w:ascii="Times New Roman" w:hAnsi="Times New Roman"/>
          <w:sz w:val="24"/>
          <w:lang w:val="fi-FI"/>
        </w:rPr>
        <w:t xml:space="preserve">ien vaikutus </w:t>
      </w:r>
      <w:r w:rsidRPr="00895833">
        <w:rPr>
          <w:rFonts w:ascii="Times New Roman" w:hAnsi="Times New Roman"/>
          <w:sz w:val="24"/>
          <w:lang w:val="fi-FI"/>
        </w:rPr>
        <w:t>olisi</w:t>
      </w:r>
      <w:r w:rsidR="00745E2E" w:rsidRPr="00895833">
        <w:rPr>
          <w:rFonts w:ascii="Times New Roman" w:hAnsi="Times New Roman"/>
          <w:sz w:val="24"/>
          <w:lang w:val="fi-FI"/>
        </w:rPr>
        <w:t xml:space="preserve"> </w:t>
      </w:r>
      <w:r w:rsidRPr="00895833">
        <w:rPr>
          <w:rFonts w:ascii="Times New Roman" w:hAnsi="Times New Roman"/>
          <w:sz w:val="24"/>
          <w:lang w:val="fi-FI"/>
        </w:rPr>
        <w:t>v</w:t>
      </w:r>
      <w:r w:rsidR="00745E2E" w:rsidRPr="00895833">
        <w:rPr>
          <w:rFonts w:ascii="Times New Roman" w:hAnsi="Times New Roman"/>
          <w:sz w:val="24"/>
          <w:lang w:val="fi-FI"/>
        </w:rPr>
        <w:t>oinu</w:t>
      </w:r>
      <w:r w:rsidRPr="00895833">
        <w:rPr>
          <w:rFonts w:ascii="Times New Roman" w:hAnsi="Times New Roman"/>
          <w:sz w:val="24"/>
          <w:lang w:val="fi-FI"/>
        </w:rPr>
        <w:t xml:space="preserve">t olla </w:t>
      </w:r>
      <w:r w:rsidR="00745E2E" w:rsidRPr="00895833">
        <w:rPr>
          <w:rFonts w:ascii="Times New Roman" w:hAnsi="Times New Roman"/>
          <w:sz w:val="24"/>
          <w:lang w:val="fi-FI"/>
        </w:rPr>
        <w:t>suurempi</w:t>
      </w:r>
      <w:r w:rsidRPr="00895833">
        <w:rPr>
          <w:rFonts w:ascii="Times New Roman" w:hAnsi="Times New Roman"/>
          <w:sz w:val="24"/>
          <w:lang w:val="fi-FI"/>
        </w:rPr>
        <w:t xml:space="preserve">, jos kohderyhmään olisivat kuuluneet myös maahanmuuttajat, jotka oleskelevat jäsenvaltioissa laillisesti mutta haluavat palata alkuperämaahansa. </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 xml:space="preserve">Euroopan paluurahaston todettiin myös yleisesti saavuttaneen tavoitteensa. Selvä enemmistö jäsenvaltioista antoi </w:t>
      </w:r>
      <w:r w:rsidR="00745E2E" w:rsidRPr="00895833">
        <w:rPr>
          <w:rFonts w:ascii="Times New Roman" w:hAnsi="Times New Roman"/>
          <w:sz w:val="24"/>
          <w:lang w:val="fi-FI"/>
        </w:rPr>
        <w:t xml:space="preserve">sen </w:t>
      </w:r>
      <w:r w:rsidRPr="00895833">
        <w:rPr>
          <w:rFonts w:ascii="Times New Roman" w:hAnsi="Times New Roman"/>
          <w:sz w:val="24"/>
          <w:lang w:val="fi-FI"/>
        </w:rPr>
        <w:t xml:space="preserve">saavutuksista myönteisen arvion. Paluurahastolla edistettiin erityisen tehokkaasti yhdenmukaisia palauttamismenettelyjen kansallisia hallinnointijärjestelmiä kannustamalla vapaaehtoiseen paluuseen pakkoon perustuvien palautusten sijaan ja parantamalla jäsenvaltioiden yleisiä palauttamisvalmiuksia. Paluurahastolla edistettiin myös jäsenvaltioiden tukemista hätätilanteissa. Rahaston avulla onnistuttiin kuitenkin vain kohtalaisesti edistämään jäsenvaltioiden keskinäistä ja kolmansien maiden kanssa tehtävää yhteistyötä sekä EU:n yhteisten normien noudattamista, sillä näiden suhteen toteutettiin vain </w:t>
      </w:r>
      <w:r w:rsidR="00745E2E" w:rsidRPr="00895833">
        <w:rPr>
          <w:rFonts w:ascii="Times New Roman" w:hAnsi="Times New Roman"/>
          <w:sz w:val="24"/>
          <w:lang w:val="fi-FI"/>
        </w:rPr>
        <w:t xml:space="preserve">pieni määrä </w:t>
      </w:r>
      <w:r w:rsidRPr="00895833">
        <w:rPr>
          <w:rFonts w:ascii="Times New Roman" w:hAnsi="Times New Roman"/>
          <w:sz w:val="24"/>
          <w:lang w:val="fi-FI"/>
        </w:rPr>
        <w:t xml:space="preserve">hankkeita. </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Hankkeiden toteuttamiseen käytettyjen taloudellisten kustannusten ja henkilöstövoimavarojen katsottiin olleen yleisesti ottaen kohtuulliset. Arvioinnissa todettiin, että paluun ja palautusten yksikkökustannukset vaihtelivat jäsenvaltioissa merkittävästi palautettavien henkilöiden lukumäärän, kohdemaan saavutettavuuden, palauttamisoperaatioihin osallistuneiden maiden lukumäärän ja palautettaville henkilöille annetun taloudellisen tuen mukaan. Monet jäsenvaltiot ja tuensaajat mainitsivat esimerkkejä hankkeista, jotka eivät olleet kovin tehokkaita hallinnointikustannusten ja hallinnollisen rasitteen vuoksi. Vapaaehtoisen paluun todettiin yleisesti olevan pakkoon perustuvaa paluuta kustannustehokkaampaa.</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iCs/>
          <w:sz w:val="24"/>
          <w:szCs w:val="24"/>
          <w:lang w:val="fi-FI"/>
        </w:rPr>
      </w:pPr>
      <w:r w:rsidRPr="00895833">
        <w:rPr>
          <w:rFonts w:ascii="Times New Roman" w:hAnsi="Times New Roman"/>
          <w:sz w:val="24"/>
          <w:lang w:val="fi-FI"/>
        </w:rPr>
        <w:t>Suurin osa jäsenvaltioista katsoi, että useimpien paluurahastosta tuettujen toimien vaikutukset jatkuivat pitkään hankkeiden päättymisen jälkeen. Toimien pitkäaikaisista vaikutuksista ei kuitenkaan ole vahvaa näyttöä, sillä monet jäsenvaltiot korostivat tarvitsevansa lisärahoitusta voidakseen jatkaa paluurahaston rahoituksen avulla käynnistettyjä palauttamistoimia. Kestävimpiä toimia olivat ne, joiden vaikutukset kohdistuivat rakenteisiin. Tällaisia olivat esimerkiksi toimet, joilla parannettiin säilöönottoyksikköjen infrastruktuuria tai kehitettiin jäsenvaltioiden keskinäistä tai jäsenvaltioiden ja kolmansien maiden välistä yhteistyötä.</w:t>
      </w:r>
    </w:p>
    <w:p w:rsidR="00344222" w:rsidRPr="00895833" w:rsidRDefault="00344222" w:rsidP="00344222">
      <w:pPr>
        <w:autoSpaceDE w:val="0"/>
        <w:autoSpaceDN w:val="0"/>
        <w:adjustRightInd w:val="0"/>
        <w:spacing w:after="0"/>
        <w:jc w:val="both"/>
        <w:rPr>
          <w:rFonts w:ascii="Times New Roman" w:hAnsi="Times New Roman" w:cs="Times New Roman"/>
          <w:sz w:val="24"/>
          <w:szCs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 xml:space="preserve">Arvioinnissa todettiin, että paluurahastosta rahoitetut toimet olivat johdonmukaisia muiden palauttamista koskevien kansallisten toimien kanssa ja täydensivät niitä. Tämä koski pääasiassa myös EU:n muista rahastoista rahoitettuja palauttamiseen liittyviä toimia. Paluurahasto ei kuitenkaan täydentänyt kovin hyvin EU:n muista rahastoista, kuten Euroopan sosiaalirahastosta, rahoitettavia uudelleenkotouttamista koskevia toimintapolitiikkoja. Näiden osalta on olemassa päällekkäisyyden vaara. </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 xml:space="preserve">Jäsenvaltiot ilmoittivat myös, että paluurahaston toimilla on luotu monenlaista lisäarvoa, sillä ne ovat auttaneet jäsenvaltioita rahoittamaan uusia hankkeita tai tehostamaan jo käynnissä olevia hankkeita. Lisäksi ne ovat kannustaneet ihmisiä vapaaehtoiseen paluuseen pakkoon perustuvan paluun sijaan. Jäsenvaltioiden mukaan paluurahaston tuki on auttanut niitä kehittämään avustetun vapaaehtoisen paluun järjestelmiään tavalla, joka ei olisi ollut mahdollista ilman rahastoa. Järjestelmiä on kehitetty ottamalla käyttöön uudelleenkotoutumisavustuksia, seuraamalla paluuta kolmansiin maihin, luomalla uudelleenkotoutumisen tukiverkostoja sekä tiedottamalla paluuseen ja palautuksiin liittyvistä asioista. Useimpien jäsenvaltioiden mukaan pakkoon perustuvia palautuksia olisi kuitenkin todennäköisesti toteutettu yhtä paljon ilman paluurahastoakin. Rahasto mahdollisti myös uudenlaisia ja innovatiivisia tapoja hallinnoida palauttamismenettelyjä. Rahaston avulla helpotettiin uusien sidosryhmien osallistamista ja edistettiin EU:n normien ja vaatimusten noudattamista. </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p>
    <w:p w:rsidR="00EA7007"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Vuosia 2008–2010 koskevat havainnot ovat edellä esitettyjen kaltaisia, etenkin rahaston merkityksellisyyden ja tuloksellisuuden osalta. Keskimääräinen käyttöaste oli vuosina 2011–2013 (81 prosenttia) korkeampi kuin vuosina 2008–2010 (70 prosenttia), mikä viittaa sidosryhmien asiantuntemuksen kehittymiseen tarkastelujakson aikana. Molempina ajanjaksoina eniten varoja myönnettiin neljälle jäsenvaltiolle, joissa oli eniten laittomia maahanmuuttajia ja palautettavia henkilöitä. Nämä valtiot olivat Kreikka, Yhdistynyt kuningaskunta, Espanja ja Ranska.</w:t>
      </w:r>
    </w:p>
    <w:p w:rsidR="00344222" w:rsidRPr="00895833" w:rsidRDefault="00344222" w:rsidP="00344222">
      <w:pPr>
        <w:autoSpaceDE w:val="0"/>
        <w:autoSpaceDN w:val="0"/>
        <w:adjustRightInd w:val="0"/>
        <w:spacing w:after="0"/>
        <w:jc w:val="both"/>
        <w:rPr>
          <w:rFonts w:ascii="Times New Roman" w:hAnsi="Times New Roman" w:cs="Times New Roman"/>
          <w:sz w:val="24"/>
          <w:lang w:val="fi-FI"/>
        </w:rPr>
      </w:pPr>
      <w:r w:rsidRPr="00895833">
        <w:rPr>
          <w:rFonts w:ascii="Times New Roman" w:hAnsi="Times New Roman"/>
          <w:sz w:val="24"/>
          <w:lang w:val="fi-FI"/>
        </w:rPr>
        <w:t xml:space="preserve"> </w:t>
      </w:r>
    </w:p>
    <w:p w:rsidR="00344222" w:rsidRPr="00895833" w:rsidRDefault="00344222" w:rsidP="001931DD">
      <w:pPr>
        <w:keepNext/>
        <w:keepLines/>
        <w:rPr>
          <w:rFonts w:ascii="Times New Roman" w:hAnsi="Times New Roman" w:cs="Times New Roman"/>
          <w:b/>
          <w:sz w:val="28"/>
          <w:szCs w:val="28"/>
          <w:lang w:val="fi-FI"/>
        </w:rPr>
      </w:pPr>
      <w:r w:rsidRPr="00895833">
        <w:rPr>
          <w:rFonts w:ascii="Times New Roman" w:hAnsi="Times New Roman"/>
          <w:b/>
          <w:sz w:val="28"/>
          <w:lang w:val="fi-FI"/>
        </w:rPr>
        <w:t>3</w:t>
      </w:r>
      <w:r w:rsidRPr="00895833">
        <w:rPr>
          <w:lang w:val="fi-FI"/>
        </w:rPr>
        <w:tab/>
      </w:r>
      <w:r w:rsidRPr="00895833">
        <w:rPr>
          <w:rFonts w:ascii="Times New Roman" w:hAnsi="Times New Roman"/>
          <w:b/>
          <w:sz w:val="28"/>
          <w:lang w:val="fi-FI"/>
        </w:rPr>
        <w:t>TULEVAT TOIMET</w:t>
      </w:r>
    </w:p>
    <w:p w:rsidR="00344222" w:rsidRPr="00522F74" w:rsidRDefault="00344222" w:rsidP="001931DD">
      <w:pPr>
        <w:pStyle w:val="BodyText"/>
        <w:keepNext/>
        <w:keepLines/>
        <w:spacing w:after="0" w:line="276" w:lineRule="auto"/>
        <w:rPr>
          <w:szCs w:val="24"/>
          <w:lang w:val="fi-FI"/>
        </w:rPr>
      </w:pPr>
    </w:p>
    <w:p w:rsidR="00344222" w:rsidRPr="00895833" w:rsidRDefault="00344222" w:rsidP="001931DD">
      <w:pPr>
        <w:pStyle w:val="BodyText"/>
        <w:keepNext/>
        <w:keepLines/>
        <w:spacing w:after="0" w:line="276" w:lineRule="auto"/>
        <w:rPr>
          <w:szCs w:val="24"/>
          <w:lang w:val="fi-FI"/>
        </w:rPr>
      </w:pPr>
      <w:r w:rsidRPr="00895833">
        <w:rPr>
          <w:lang w:val="fi-FI"/>
        </w:rPr>
        <w:t>Komissio on määrittänyt arviointitulosten pohjalta</w:t>
      </w:r>
      <w:r w:rsidR="00745E2E" w:rsidRPr="00895833">
        <w:rPr>
          <w:lang w:val="fi-FI"/>
        </w:rPr>
        <w:t xml:space="preserve"> tärkeimmät</w:t>
      </w:r>
      <w:r w:rsidRPr="00895833">
        <w:rPr>
          <w:lang w:val="fi-FI"/>
        </w:rPr>
        <w:t xml:space="preserve"> rahastojen täytäntöönpano</w:t>
      </w:r>
      <w:r w:rsidR="00745E2E" w:rsidRPr="00895833">
        <w:rPr>
          <w:lang w:val="fi-FI"/>
        </w:rPr>
        <w:t>sta saadut</w:t>
      </w:r>
      <w:r w:rsidRPr="00895833">
        <w:rPr>
          <w:lang w:val="fi-FI"/>
        </w:rPr>
        <w:t xml:space="preserve"> kokemukset. Osa korjaavista toimenpiteistä on jo toteutettu AMIF- ja ISF-rahastoissa ja </w:t>
      </w:r>
      <w:r w:rsidR="00745E2E" w:rsidRPr="00895833">
        <w:rPr>
          <w:lang w:val="fi-FI"/>
        </w:rPr>
        <w:t xml:space="preserve">osa </w:t>
      </w:r>
      <w:r w:rsidRPr="00895833">
        <w:rPr>
          <w:lang w:val="fi-FI"/>
        </w:rPr>
        <w:t>otetaan huomioon rahastojen seuraavan sukupolven valmistelussa.</w:t>
      </w:r>
    </w:p>
    <w:p w:rsidR="00344222" w:rsidRPr="00895833" w:rsidRDefault="00344222" w:rsidP="001931DD">
      <w:pPr>
        <w:pStyle w:val="BodyText"/>
        <w:keepNext/>
        <w:keepLines/>
        <w:spacing w:after="0" w:line="276" w:lineRule="auto"/>
        <w:rPr>
          <w:szCs w:val="24"/>
          <w:lang w:val="fi-FI"/>
        </w:rPr>
      </w:pPr>
    </w:p>
    <w:p w:rsidR="00344222" w:rsidRPr="00895833" w:rsidRDefault="00344222" w:rsidP="001931DD">
      <w:pPr>
        <w:pStyle w:val="BodyText"/>
        <w:keepNext/>
        <w:keepLines/>
        <w:spacing w:after="0" w:line="276" w:lineRule="auto"/>
        <w:rPr>
          <w:b/>
          <w:szCs w:val="24"/>
          <w:lang w:val="fi-FI"/>
        </w:rPr>
      </w:pPr>
      <w:r w:rsidRPr="00895833">
        <w:rPr>
          <w:b/>
          <w:lang w:val="fi-FI"/>
        </w:rPr>
        <w:t>Hallinnollinen rasitus</w:t>
      </w:r>
    </w:p>
    <w:p w:rsidR="00344222" w:rsidRPr="00895833" w:rsidRDefault="00344222" w:rsidP="001931DD">
      <w:pPr>
        <w:pStyle w:val="BodyText"/>
        <w:keepNext/>
        <w:keepLines/>
        <w:spacing w:after="0" w:line="276" w:lineRule="auto"/>
        <w:rPr>
          <w:szCs w:val="24"/>
          <w:lang w:val="fi-FI"/>
        </w:rPr>
      </w:pPr>
      <w:r w:rsidRPr="00895833">
        <w:rPr>
          <w:lang w:val="fi-FI"/>
        </w:rPr>
        <w:t>Arvioinnin mukaan rahastojen rakenne oli liian monimutkainen</w:t>
      </w:r>
      <w:r w:rsidR="00745E2E" w:rsidRPr="00895833">
        <w:rPr>
          <w:lang w:val="fi-FI"/>
        </w:rPr>
        <w:t>,</w:t>
      </w:r>
      <w:r w:rsidRPr="00895833">
        <w:rPr>
          <w:lang w:val="fi-FI"/>
        </w:rPr>
        <w:t xml:space="preserve"> ja vuosittaisesta ohjelmasuunnittelusta ja rahastojen täytäntöönpanosta katsottiin aiheutuvan suurta hallinnollista rasitusta. Tätä painotettiin myös AMIF- ja ISF-rahastojen perustamisen yhteydessä laaditussa vaikutustenarvioinnissa</w:t>
      </w:r>
      <w:r w:rsidRPr="00895833">
        <w:rPr>
          <w:rStyle w:val="FootnoteReference"/>
          <w:lang w:val="fi-FI"/>
        </w:rPr>
        <w:footnoteReference w:id="27"/>
      </w:r>
      <w:r w:rsidRPr="00895833">
        <w:rPr>
          <w:lang w:val="fi-FI"/>
        </w:rPr>
        <w:t xml:space="preserve">. Puutteen korjaamiseksi perustettiin yksi </w:t>
      </w:r>
      <w:r w:rsidR="00745E2E" w:rsidRPr="00895833">
        <w:rPr>
          <w:lang w:val="fi-FI"/>
        </w:rPr>
        <w:t xml:space="preserve">yhteinen </w:t>
      </w:r>
      <w:r w:rsidRPr="00895833">
        <w:rPr>
          <w:lang w:val="fi-FI"/>
        </w:rPr>
        <w:t>rahasto (AMIF)</w:t>
      </w:r>
      <w:r w:rsidR="00522F74">
        <w:rPr>
          <w:lang w:val="fi-FI"/>
        </w:rPr>
        <w:t xml:space="preserve"> </w:t>
      </w:r>
      <w:r w:rsidRPr="00895833">
        <w:rPr>
          <w:lang w:val="fi-FI"/>
        </w:rPr>
        <w:t>katta</w:t>
      </w:r>
      <w:r w:rsidR="00745E2E" w:rsidRPr="00895833">
        <w:rPr>
          <w:lang w:val="fi-FI"/>
        </w:rPr>
        <w:t>m</w:t>
      </w:r>
      <w:r w:rsidRPr="00895833">
        <w:rPr>
          <w:lang w:val="fi-FI"/>
        </w:rPr>
        <w:t>a</w:t>
      </w:r>
      <w:r w:rsidR="00745E2E" w:rsidRPr="00895833">
        <w:rPr>
          <w:lang w:val="fi-FI"/>
        </w:rPr>
        <w:t>an</w:t>
      </w:r>
      <w:r w:rsidRPr="00895833">
        <w:rPr>
          <w:lang w:val="fi-FI"/>
        </w:rPr>
        <w:t xml:space="preserve"> kaikki muuttoliikeasiat (</w:t>
      </w:r>
      <w:r w:rsidR="00745E2E" w:rsidRPr="00895833">
        <w:rPr>
          <w:lang w:val="fi-FI"/>
        </w:rPr>
        <w:t xml:space="preserve">sillä </w:t>
      </w:r>
      <w:r w:rsidRPr="00895833">
        <w:rPr>
          <w:lang w:val="fi-FI"/>
        </w:rPr>
        <w:t>korva</w:t>
      </w:r>
      <w:r w:rsidR="00745E2E" w:rsidRPr="00895833">
        <w:rPr>
          <w:lang w:val="fi-FI"/>
        </w:rPr>
        <w:t>ttiin</w:t>
      </w:r>
      <w:r w:rsidRPr="00895833">
        <w:rPr>
          <w:lang w:val="fi-FI"/>
        </w:rPr>
        <w:t xml:space="preserve"> kolme erillistä rahastoa ja niiden </w:t>
      </w:r>
      <w:r w:rsidR="00745E2E" w:rsidRPr="00895833">
        <w:rPr>
          <w:lang w:val="fi-FI"/>
        </w:rPr>
        <w:t>eril</w:t>
      </w:r>
      <w:r w:rsidR="00522F74">
        <w:rPr>
          <w:lang w:val="fi-FI"/>
        </w:rPr>
        <w:t>a</w:t>
      </w:r>
      <w:r w:rsidR="00745E2E" w:rsidRPr="00895833">
        <w:rPr>
          <w:lang w:val="fi-FI"/>
        </w:rPr>
        <w:t xml:space="preserve">iset </w:t>
      </w:r>
      <w:r w:rsidRPr="00895833">
        <w:rPr>
          <w:lang w:val="fi-FI"/>
        </w:rPr>
        <w:t xml:space="preserve">oikeusperustat ja täytäntöönpanosäännöt). Lisäksi jokaista jäsenvaltiota varten laadittiin yksi koko kauden 2014–2020 kattava kansallinen ohjelma, kustannusvaihtoehtoja yksinkertaistettiin ja tukikelpoisuussäännöt saatettiin yhdenmukaisiksi jäsenvaltioiden </w:t>
      </w:r>
      <w:r w:rsidR="002525DD" w:rsidRPr="00895833">
        <w:rPr>
          <w:lang w:val="fi-FI"/>
        </w:rPr>
        <w:t xml:space="preserve">kansallisten sääntöjen kanssa. </w:t>
      </w:r>
    </w:p>
    <w:p w:rsidR="00344222" w:rsidRPr="00895833" w:rsidRDefault="00344222" w:rsidP="00344222">
      <w:pPr>
        <w:pStyle w:val="BodyText"/>
        <w:spacing w:after="0" w:line="276" w:lineRule="auto"/>
        <w:rPr>
          <w:szCs w:val="24"/>
          <w:lang w:val="fi-FI"/>
        </w:rPr>
      </w:pPr>
    </w:p>
    <w:p w:rsidR="00344222" w:rsidRPr="00895833" w:rsidRDefault="00344222" w:rsidP="00344222">
      <w:pPr>
        <w:pStyle w:val="BodyText"/>
        <w:spacing w:after="0" w:line="276" w:lineRule="auto"/>
        <w:rPr>
          <w:b/>
          <w:szCs w:val="24"/>
          <w:lang w:val="fi-FI"/>
        </w:rPr>
      </w:pPr>
      <w:r w:rsidRPr="00895833">
        <w:rPr>
          <w:b/>
          <w:lang w:val="fi-FI"/>
        </w:rPr>
        <w:t>Seuranta ja arviointi</w:t>
      </w:r>
    </w:p>
    <w:p w:rsidR="00344222" w:rsidRPr="00895833" w:rsidRDefault="00344222" w:rsidP="00344222">
      <w:pPr>
        <w:pStyle w:val="BodyText"/>
        <w:spacing w:after="0" w:line="276" w:lineRule="auto"/>
        <w:rPr>
          <w:szCs w:val="24"/>
          <w:lang w:val="fi-FI"/>
        </w:rPr>
      </w:pPr>
      <w:r w:rsidRPr="00895833">
        <w:rPr>
          <w:lang w:val="fi-FI"/>
        </w:rPr>
        <w:t xml:space="preserve">SOLID-rahastojen arvioinnissa havaittiin se kriittinen ongelma, että niistä puuttuivat kaikkien jäsenvaltioiden yhteiset tehokkaat seuranta- ja arviointimekanismit ja niihin liittyvät </w:t>
      </w:r>
      <w:r w:rsidR="00185202" w:rsidRPr="00895833">
        <w:rPr>
          <w:lang w:val="fi-FI"/>
        </w:rPr>
        <w:t xml:space="preserve">lähtötasot </w:t>
      </w:r>
      <w:r w:rsidRPr="00895833">
        <w:rPr>
          <w:lang w:val="fi-FI"/>
        </w:rPr>
        <w:t>ja tavoit</w:t>
      </w:r>
      <w:r w:rsidR="00185202" w:rsidRPr="00895833">
        <w:rPr>
          <w:lang w:val="fi-FI"/>
        </w:rPr>
        <w:t>earvo</w:t>
      </w:r>
      <w:r w:rsidRPr="00895833">
        <w:rPr>
          <w:lang w:val="fi-FI"/>
        </w:rPr>
        <w:t>t. Tämä ongelma pyrittiin ratkaisemaan AMIF- ja ISF-rahastojen yhteydessä laatimalla oikeusperustaan sisältyvä luettelo yhteisistä indikaattoreista sekä yhteinen seuranta- ja arviointikehys</w:t>
      </w:r>
      <w:r w:rsidRPr="00895833">
        <w:rPr>
          <w:rStyle w:val="FootnoteReference"/>
          <w:lang w:val="fi-FI"/>
        </w:rPr>
        <w:footnoteReference w:id="28"/>
      </w:r>
      <w:r w:rsidRPr="00895833">
        <w:rPr>
          <w:lang w:val="fi-FI"/>
        </w:rPr>
        <w:t>, johon sisältyy arviointikysymyksiä, tulos- ja vaikutusindikaattoreita sekä tehokkuutta, lisäarvoa ja kestävyyttä koskevia indikaattoreita.</w:t>
      </w:r>
      <w:r w:rsidRPr="00895833">
        <w:rPr>
          <w:rStyle w:val="FootnoteReference"/>
          <w:lang w:val="fi-FI"/>
        </w:rPr>
        <w:footnoteReference w:id="29"/>
      </w:r>
      <w:r w:rsidRPr="00895833">
        <w:rPr>
          <w:lang w:val="fi-FI"/>
        </w:rPr>
        <w:t xml:space="preserve"> Lisäksi laadittiin ohjeasiakirja</w:t>
      </w:r>
      <w:r w:rsidRPr="00895833">
        <w:rPr>
          <w:rStyle w:val="FootnoteReference"/>
          <w:lang w:val="fi-FI"/>
        </w:rPr>
        <w:footnoteReference w:id="30"/>
      </w:r>
      <w:r w:rsidRPr="00895833">
        <w:rPr>
          <w:lang w:val="fi-FI"/>
        </w:rPr>
        <w:t xml:space="preserve"> sekä luotiin jäsenvaltioiden arviointikoordinaattorien aktiivinen verkosto ja arviointia koskevaan raportointiin tarkoitettu tietotekniikkajärjestelmä (SFC). </w:t>
      </w:r>
    </w:p>
    <w:p w:rsidR="00344222" w:rsidRPr="00895833" w:rsidRDefault="00344222" w:rsidP="00344222">
      <w:pPr>
        <w:pStyle w:val="BodyText"/>
        <w:spacing w:after="0" w:line="276" w:lineRule="auto"/>
        <w:rPr>
          <w:szCs w:val="24"/>
          <w:lang w:val="fi-FI"/>
        </w:rPr>
      </w:pPr>
    </w:p>
    <w:p w:rsidR="00344222" w:rsidRPr="00895833" w:rsidRDefault="00344222" w:rsidP="00344222">
      <w:pPr>
        <w:pStyle w:val="BodyText"/>
        <w:spacing w:after="0" w:line="276" w:lineRule="auto"/>
        <w:rPr>
          <w:b/>
          <w:szCs w:val="24"/>
          <w:lang w:val="fi-FI"/>
        </w:rPr>
      </w:pPr>
      <w:r w:rsidRPr="00895833">
        <w:rPr>
          <w:b/>
          <w:lang w:val="fi-FI"/>
        </w:rPr>
        <w:t>Jakomekanismi</w:t>
      </w:r>
    </w:p>
    <w:p w:rsidR="00344222" w:rsidRPr="00895833" w:rsidRDefault="00344222" w:rsidP="00344222">
      <w:pPr>
        <w:pStyle w:val="BodyText"/>
        <w:spacing w:after="0" w:line="276" w:lineRule="auto"/>
        <w:rPr>
          <w:szCs w:val="24"/>
          <w:lang w:val="fi-FI"/>
        </w:rPr>
      </w:pPr>
      <w:r w:rsidRPr="00895833">
        <w:rPr>
          <w:lang w:val="fi-FI"/>
        </w:rPr>
        <w:t>Jakomekanismi perustui aiempia vuosia koskeviin tietoihin ja maahantulijoiden määriin, eikä siinä voitu ottaa huomioon muuttopaineen viimeaikaisia, äkillisiä muutoksia. AMIF-rahaston sekä ulkorajoja ja viisumipolitiikkaa koskevan ISF-rahaston varojen jakoperusteet perustuvat yhä Euroopan pakolaisrahaston, kotouttamisrahaston ja paluurahaston vuosien 2011–2013 määrärahoihin ja ulkorajarahaston vuosien 2010–2012 määrärahoihin. Jonkinasteinen joustavuus on pyritty varmistamaan varaamalla hätäapuun aiempaa enemmän määrärahoja. Esimerkiksi Bulgarialle myönnettiin AMIF-rahastosta 20,5 miljoonaa euroa ja ISF-rahastosta 41 miljoonaa euroa sekä näiden varojen lisäksi molemmista rahastoista yhteensä 170 miljoonaa euroa hätäapua (lokakuuhun 2017 asti), jolla maata autettiin selviämään odottamattomasta muuttopaineesta. Vaikka joustavuutta on lisätty, jakoperusteen epätasapaino on yhä merkittävä ongelma, jota on käsiteltävä seuraavan monivuotisen rahoituskehyksen yhteydessä.</w:t>
      </w:r>
    </w:p>
    <w:p w:rsidR="00344222" w:rsidRPr="00895833" w:rsidRDefault="00344222" w:rsidP="00344222">
      <w:pPr>
        <w:pStyle w:val="BodyText"/>
        <w:spacing w:after="0" w:line="276" w:lineRule="auto"/>
        <w:rPr>
          <w:szCs w:val="24"/>
          <w:lang w:val="fi-FI"/>
        </w:rPr>
      </w:pPr>
    </w:p>
    <w:p w:rsidR="00344222" w:rsidRPr="00895833" w:rsidRDefault="00344222" w:rsidP="00344222">
      <w:pPr>
        <w:pStyle w:val="BodyText"/>
        <w:spacing w:after="0" w:line="276" w:lineRule="auto"/>
        <w:rPr>
          <w:b/>
          <w:szCs w:val="24"/>
          <w:lang w:val="fi-FI"/>
        </w:rPr>
      </w:pPr>
      <w:r w:rsidRPr="00895833">
        <w:rPr>
          <w:b/>
          <w:lang w:val="fi-FI"/>
        </w:rPr>
        <w:t>Solidaarisuus: kansainvälistä suojelua saavien henkilöiden uudelleensijoittaminen ja siirto</w:t>
      </w:r>
    </w:p>
    <w:p w:rsidR="00344222" w:rsidRPr="00895833" w:rsidRDefault="00344222" w:rsidP="00344222">
      <w:pPr>
        <w:pStyle w:val="BodyText"/>
        <w:spacing w:after="0" w:line="276" w:lineRule="auto"/>
        <w:rPr>
          <w:color w:val="0000FF"/>
          <w:szCs w:val="24"/>
          <w:lang w:val="fi-FI"/>
        </w:rPr>
      </w:pPr>
      <w:r w:rsidRPr="00895833">
        <w:rPr>
          <w:lang w:val="fi-FI"/>
        </w:rPr>
        <w:t>Arvioinnissa todettiin, että kansainvälistä suojelua saavien henkilöiden uudelleensijoittamista ja EU:n sisäisiä siirtoja koskevaa solidaarisuutta ja vastuunjakoa voitaisiin lisätä EU:n tasolla. EU:n sisäisten siirtojen osalta jäsenvaltiot käyttivät määrärahansa mieluummin omia tarpeita</w:t>
      </w:r>
      <w:r w:rsidR="00185202" w:rsidRPr="00895833">
        <w:rPr>
          <w:lang w:val="fi-FI"/>
        </w:rPr>
        <w:t>an</w:t>
      </w:r>
      <w:r w:rsidRPr="00895833">
        <w:rPr>
          <w:lang w:val="fi-FI"/>
        </w:rPr>
        <w:t xml:space="preserve"> koskeviin toimiin, eikä Euroopan pakolaisrahastosta tarjottu taloudellisia </w:t>
      </w:r>
      <w:r w:rsidR="00185202" w:rsidRPr="00895833">
        <w:rPr>
          <w:lang w:val="fi-FI"/>
        </w:rPr>
        <w:t>lisä</w:t>
      </w:r>
      <w:r w:rsidRPr="00895833">
        <w:rPr>
          <w:lang w:val="fi-FI"/>
        </w:rPr>
        <w:t xml:space="preserve">kannustimia siirrettyä henkilöä kohden. Uudelleensijoittamiseen tarjottiin taloudellista kannustinta (4 000–6 000 euroa), mutta </w:t>
      </w:r>
      <w:r w:rsidR="00185202" w:rsidRPr="00895833">
        <w:rPr>
          <w:lang w:val="fi-FI"/>
        </w:rPr>
        <w:t xml:space="preserve">se </w:t>
      </w:r>
      <w:r w:rsidRPr="00895833">
        <w:rPr>
          <w:lang w:val="fi-FI"/>
        </w:rPr>
        <w:t>ei riittänyt kattamaan uudelleensijoittautumisesta aiheutuv</w:t>
      </w:r>
      <w:r w:rsidR="00185202" w:rsidRPr="00895833">
        <w:rPr>
          <w:lang w:val="fi-FI"/>
        </w:rPr>
        <w:t>i</w:t>
      </w:r>
      <w:r w:rsidRPr="00895833">
        <w:rPr>
          <w:lang w:val="fi-FI"/>
        </w:rPr>
        <w:t>a kustannuks</w:t>
      </w:r>
      <w:r w:rsidR="00185202" w:rsidRPr="00895833">
        <w:rPr>
          <w:lang w:val="fi-FI"/>
        </w:rPr>
        <w:t>ia</w:t>
      </w:r>
      <w:r w:rsidRPr="00895833">
        <w:rPr>
          <w:lang w:val="fi-FI"/>
        </w:rPr>
        <w:t xml:space="preserve">. Näitä puutteita on korjattu AMIF-rahastossa </w:t>
      </w:r>
      <w:r w:rsidR="00185202" w:rsidRPr="00895833">
        <w:rPr>
          <w:lang w:val="fi-FI"/>
        </w:rPr>
        <w:t>jossain määrin myöntämällä</w:t>
      </w:r>
      <w:r w:rsidRPr="00895833">
        <w:rPr>
          <w:lang w:val="fi-FI"/>
        </w:rPr>
        <w:t xml:space="preserve"> lisärahoitusta aiempaa suurempina kertakorvauksina (6 000–10 000 euroa)</w:t>
      </w:r>
      <w:r w:rsidR="00185202" w:rsidRPr="00895833">
        <w:rPr>
          <w:lang w:val="fi-FI"/>
        </w:rPr>
        <w:t xml:space="preserve">. Lisäksi </w:t>
      </w:r>
      <w:r w:rsidRPr="00895833">
        <w:rPr>
          <w:lang w:val="fi-FI"/>
        </w:rPr>
        <w:t>on otettu käyttöön sitoumusjärjestelmä, joka tuo asialle enemmän poliittista huomiota.</w:t>
      </w:r>
    </w:p>
    <w:p w:rsidR="00344222" w:rsidRPr="00895833" w:rsidRDefault="00344222" w:rsidP="00344222">
      <w:pPr>
        <w:pStyle w:val="BodyText"/>
        <w:spacing w:after="0" w:line="276" w:lineRule="auto"/>
        <w:rPr>
          <w:color w:val="0000FF"/>
          <w:szCs w:val="24"/>
          <w:lang w:val="fi-FI"/>
        </w:rPr>
      </w:pPr>
    </w:p>
    <w:p w:rsidR="00344222" w:rsidRPr="00895833" w:rsidRDefault="00344222" w:rsidP="00344222">
      <w:pPr>
        <w:pStyle w:val="BodyText"/>
        <w:spacing w:after="0" w:line="276" w:lineRule="auto"/>
        <w:rPr>
          <w:b/>
          <w:szCs w:val="24"/>
          <w:lang w:val="fi-FI"/>
        </w:rPr>
      </w:pPr>
      <w:r w:rsidRPr="00895833">
        <w:rPr>
          <w:b/>
          <w:lang w:val="fi-FI"/>
        </w:rPr>
        <w:t>Täytäntöönpanon ohjaaminen kohti EU:n painopisteitä</w:t>
      </w:r>
    </w:p>
    <w:p w:rsidR="00344222" w:rsidRPr="00895833" w:rsidRDefault="00344222" w:rsidP="00344222">
      <w:pPr>
        <w:pStyle w:val="BodyText"/>
        <w:spacing w:after="0" w:line="276" w:lineRule="auto"/>
        <w:rPr>
          <w:szCs w:val="24"/>
          <w:lang w:val="fi-FI"/>
        </w:rPr>
      </w:pPr>
      <w:r w:rsidRPr="00895833">
        <w:rPr>
          <w:lang w:val="fi-FI"/>
        </w:rPr>
        <w:t xml:space="preserve">Arvioinnissa kävi ilmi, että jäsenvaltiot </w:t>
      </w:r>
      <w:r w:rsidR="00185202" w:rsidRPr="00895833">
        <w:rPr>
          <w:lang w:val="fi-FI"/>
        </w:rPr>
        <w:t>myönsivät</w:t>
      </w:r>
      <w:r w:rsidRPr="00895833">
        <w:rPr>
          <w:lang w:val="fi-FI"/>
        </w:rPr>
        <w:t xml:space="preserve"> osaan painopisteistä hyvin vähän rahoitusta. Tämä heikensi rahastojen vaikutusta tietyillä osa-alueilla (esim. konsuliviranomaisten yhteistyö, henkilöiden siirto ja uudelleensijoittaminen, paluumaiden kanssa tehtävä yhteistyö tai jäsenvaltioiden keskinäinen kotouttamisyhteistyö). AMIF- ja ISF-rahastoissa on jo tehty joitakin parannuksia, jotka auttavat ohjaamaan täytäntöönpanoa EU:n painopisteiden mukaiseksi. </w:t>
      </w:r>
      <w:r w:rsidR="00185202" w:rsidRPr="00895833">
        <w:rPr>
          <w:lang w:val="fi-FI"/>
        </w:rPr>
        <w:t>Näitä</w:t>
      </w:r>
      <w:r w:rsidRPr="00895833">
        <w:rPr>
          <w:lang w:val="fi-FI"/>
        </w:rPr>
        <w:t xml:space="preserve"> ovat muun muassa taloudelliset kannustimet (suuremmat osarahoitusosuudet ja kertakorvaukset), erityistoimien lisärahoitus ja kaikkien jäsenvaltioiden määrärahojen kasvattaminen EU:n politiikan tiettyjen painopisteiden osalta.</w:t>
      </w:r>
    </w:p>
    <w:p w:rsidR="001B6FCF" w:rsidRPr="00895833" w:rsidRDefault="001B6FCF" w:rsidP="00BD75F3">
      <w:pPr>
        <w:pStyle w:val="BodyText"/>
        <w:spacing w:after="0" w:line="276" w:lineRule="auto"/>
        <w:rPr>
          <w:color w:val="0000FF"/>
          <w:szCs w:val="24"/>
          <w:lang w:val="fi-FI"/>
        </w:rPr>
      </w:pPr>
    </w:p>
    <w:sectPr w:rsidR="001B6FCF" w:rsidRPr="00895833" w:rsidSect="006E2E29">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C0D" w:rsidRDefault="00ED1C0D" w:rsidP="00900323">
      <w:pPr>
        <w:spacing w:after="0" w:line="240" w:lineRule="auto"/>
      </w:pPr>
      <w:r>
        <w:separator/>
      </w:r>
    </w:p>
  </w:endnote>
  <w:endnote w:type="continuationSeparator" w:id="0">
    <w:p w:rsidR="00ED1C0D" w:rsidRDefault="00ED1C0D" w:rsidP="00900323">
      <w:pPr>
        <w:spacing w:after="0" w:line="240" w:lineRule="auto"/>
      </w:pPr>
      <w:r>
        <w:continuationSeparator/>
      </w:r>
    </w:p>
  </w:endnote>
  <w:endnote w:type="continuationNotice" w:id="1">
    <w:p w:rsidR="00ED1C0D" w:rsidRDefault="00ED1C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FooterCoverPage"/>
      <w:rPr>
        <w:rFonts w:ascii="Arial" w:hAnsi="Arial" w:cs="Arial"/>
        <w:b/>
        <w:sz w:val="48"/>
      </w:rPr>
    </w:pPr>
    <w:r w:rsidRPr="00203F4A">
      <w:rPr>
        <w:rFonts w:ascii="Arial" w:hAnsi="Arial" w:cs="Arial"/>
        <w:b/>
        <w:sz w:val="48"/>
      </w:rPr>
      <w:t>FI</w:t>
    </w:r>
    <w:r w:rsidRPr="00203F4A">
      <w:rPr>
        <w:rFonts w:ascii="Arial" w:hAnsi="Arial" w:cs="Arial"/>
        <w:b/>
        <w:sz w:val="48"/>
      </w:rPr>
      <w:tab/>
    </w:r>
    <w:r w:rsidRPr="00203F4A">
      <w:rPr>
        <w:rFonts w:ascii="Arial" w:hAnsi="Arial" w:cs="Arial"/>
        <w:b/>
        <w:sz w:val="48"/>
      </w:rPr>
      <w:tab/>
    </w:r>
    <w:r w:rsidRPr="00203F4A">
      <w:tab/>
    </w:r>
    <w:r w:rsidRPr="00203F4A">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1A3" w:rsidRDefault="00203F4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09520"/>
      <w:docPartObj>
        <w:docPartGallery w:val="Page Numbers (Bottom of Page)"/>
        <w:docPartUnique/>
      </w:docPartObj>
    </w:sdtPr>
    <w:sdtEndPr>
      <w:rPr>
        <w:noProof/>
      </w:rPr>
    </w:sdtEndPr>
    <w:sdtContent>
      <w:p w:rsidR="00D641A3" w:rsidRDefault="001060F9">
        <w:pPr>
          <w:pStyle w:val="Footer"/>
          <w:jc w:val="center"/>
        </w:pPr>
        <w:r>
          <w:fldChar w:fldCharType="begin"/>
        </w:r>
        <w:r w:rsidR="00344222">
          <w:instrText xml:space="preserve"> PAGE   \* MERGEFORMAT </w:instrText>
        </w:r>
        <w:r>
          <w:fldChar w:fldCharType="separate"/>
        </w:r>
        <w:r w:rsidR="00203F4A">
          <w:rPr>
            <w:noProof/>
          </w:rPr>
          <w:t>3</w:t>
        </w:r>
        <w:r>
          <w:rPr>
            <w:noProof/>
          </w:rPr>
          <w:fldChar w:fldCharType="end"/>
        </w:r>
      </w:p>
    </w:sdtContent>
  </w:sdt>
  <w:p w:rsidR="00D641A3" w:rsidRDefault="00203F4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1A3" w:rsidRDefault="00203F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C0D" w:rsidRDefault="00ED1C0D" w:rsidP="00900323">
      <w:pPr>
        <w:spacing w:after="0" w:line="240" w:lineRule="auto"/>
      </w:pPr>
      <w:r>
        <w:separator/>
      </w:r>
    </w:p>
  </w:footnote>
  <w:footnote w:type="continuationSeparator" w:id="0">
    <w:p w:rsidR="00ED1C0D" w:rsidRDefault="00ED1C0D" w:rsidP="00900323">
      <w:pPr>
        <w:spacing w:after="0" w:line="240" w:lineRule="auto"/>
      </w:pPr>
      <w:r>
        <w:continuationSeparator/>
      </w:r>
    </w:p>
  </w:footnote>
  <w:footnote w:type="continuationNotice" w:id="1">
    <w:p w:rsidR="00ED1C0D" w:rsidRDefault="00ED1C0D">
      <w:pPr>
        <w:spacing w:after="0" w:line="240" w:lineRule="auto"/>
      </w:pPr>
    </w:p>
  </w:footnote>
  <w:footnote w:id="2">
    <w:p w:rsidR="00344222" w:rsidRPr="00895833" w:rsidRDefault="00344222" w:rsidP="00344222">
      <w:pPr>
        <w:autoSpaceDE w:val="0"/>
        <w:autoSpaceDN w:val="0"/>
        <w:adjustRightInd w:val="0"/>
        <w:spacing w:after="0" w:line="240" w:lineRule="auto"/>
        <w:ind w:left="360" w:hanging="360"/>
        <w:jc w:val="both"/>
        <w:rPr>
          <w:rFonts w:ascii="Times New Roman" w:hAnsi="Times New Roman" w:cs="Times New Roman"/>
          <w:sz w:val="20"/>
          <w:szCs w:val="20"/>
          <w:lang w:val="fi-FI"/>
        </w:rPr>
      </w:pPr>
      <w:r w:rsidRPr="00895833">
        <w:rPr>
          <w:rStyle w:val="FootnoteReference"/>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Komission tiedonanto neuvostolle ja Euroopan parlamentille yhteisvastuuta ja maahanmuuttovirtojen hallintaa koskevan puiteohjelman perustamisesta vuosiksi 2007–2013, KOM(2005) 123 lopullinen.</w:t>
      </w:r>
    </w:p>
  </w:footnote>
  <w:footnote w:id="3">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Euroopan parlamentin ja neuvoston päätös N:o 573/2007/EY, tehty 23.5.2007, Euroopan pakolaisrahaston perustamisesta vuosiksi 2008–2013 osana yhteisvastuuta ja maahanmuuttovirtojen hallintaa koskevaa yleisohjelmaa.</w:t>
      </w:r>
    </w:p>
  </w:footnote>
  <w:footnote w:id="4">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Euroopan parlamentin ja neuvoston päätös N:o 574/2007/EY, tehty 23.5.2007, ulkorajarahaston perustamisesta vuosiksi 2007–2013 osana yhteisvastuuta ja maahanmuuttovirtojen hallintaa koskevaa yleisohjelmaa.</w:t>
      </w:r>
    </w:p>
  </w:footnote>
  <w:footnote w:id="5">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Neuvoston päätös 2007/435/EY, tehty 25.6.2007, eurooppalaisen rahaston perustamisesta vuosiksi 2007–2013 kolmansien maiden kansalaisten kotouttamista varten osana yhteisvastuuta ja maahanmuuttovirtojen hallintaa koskevaa yleisohjelmaa.</w:t>
      </w:r>
    </w:p>
  </w:footnote>
  <w:footnote w:id="6">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Euroopan parlamentin ja neuvoston päätös N:o 575/2007/EY, tehty 23.5.2007, Euroopan paluurahaston perustamisesta vuosiksi 2008–2013 osana yhteisvastuuta ja maahanmuuttovirtojen hallintaa koskevaa yleisohjelmaa.</w:t>
      </w:r>
    </w:p>
  </w:footnote>
  <w:footnote w:id="7">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Komission kertomus Euroopan parlamentille, neuvostolle, Euroopan talous- ja sosiaalikomitealle ja alueiden komitealle ulkorajarahaston kauden 2007–2010 jälkiarvioinnista, COM(2014) 235 final, 23.4.2014; komission kertomus Euroopan parlamentille, neuvostolle, Euroopan talous- ja sosiaalikomitealle ja alueiden komitealle Euroopan paluurahaston kauden 2008–2010 jälkiarvioinnista, COM(2014) 230 final, 23.4.2014. Euroopan pakolaisrahaston ja Euroopan kotouttamisrahaston osalta tässä kertomuksessa käsitellään myös vuosia 2007–2010. </w:t>
      </w:r>
    </w:p>
  </w:footnote>
  <w:footnote w:id="8">
    <w:p w:rsidR="00920203" w:rsidRPr="00895833" w:rsidRDefault="00920203" w:rsidP="00920203">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002525DD" w:rsidRPr="00895833">
        <w:rPr>
          <w:rFonts w:ascii="Times New Roman" w:hAnsi="Times New Roman"/>
          <w:sz w:val="20"/>
          <w:lang w:val="fi-FI"/>
        </w:rPr>
        <w:t xml:space="preserve"> </w:t>
      </w:r>
      <w:r w:rsidR="005842AE" w:rsidRPr="00895833">
        <w:rPr>
          <w:rFonts w:ascii="Times New Roman" w:hAnsi="Times New Roman"/>
          <w:sz w:val="20"/>
          <w:lang w:val="fi-FI"/>
        </w:rPr>
        <w:tab/>
      </w:r>
      <w:r w:rsidRPr="00895833">
        <w:rPr>
          <w:rStyle w:val="Strong"/>
          <w:rFonts w:ascii="Times New Roman" w:hAnsi="Times New Roman"/>
          <w:b w:val="0"/>
          <w:sz w:val="20"/>
          <w:lang w:val="fi-FI"/>
        </w:rPr>
        <w:t>Euroopan parlamentin ja neuvoston asetus (EU) N:o 514/2014, annettu 16 päivänä huhtikuuta 2014, turvapaikka-, maahanmuutto- ja kotouttamisrahastoon sekä poliisiyhteistyön, rikollisuuden ehkäisemisen ja torjumisen sekä kriisinhallinnan rahoitusvälineeseen sovellettavista yleisistä säännöksistä; Euroopan parlamentin ja neuvoston asetus (EU) N:o 515/2014, annettu 16 päivänä huhtikuuta 2014, ulkorajojen ja viisumipolitiikan rahoitusvälineen perustamisesta osana sisäisen turvallisuuden rahastoa; Euroopan parlamentin ja neuvoston asetus (EU) N:o 516/2014, annettu 16 päivänä huhtikuuta 2014, turvapaikka-, maahanmuutto- ja kotouttamisrahaston perustamisesta.</w:t>
      </w:r>
    </w:p>
  </w:footnote>
  <w:footnote w:id="9">
    <w:p w:rsidR="00920203" w:rsidRPr="00895833" w:rsidRDefault="00920203">
      <w:pPr>
        <w:pStyle w:val="FootnoteTex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Style w:val="Strong"/>
          <w:rFonts w:ascii="Times New Roman" w:hAnsi="Times New Roman"/>
          <w:b w:val="0"/>
          <w:sz w:val="20"/>
          <w:lang w:val="fi-FI"/>
        </w:rPr>
        <w:t>Euroopan parlamentin ja neuvoston asetus (EU) N:o 513/2014, annettu 16 päivänä huhtikuuta 2014, poliisiyhteistyön, rikollisuuden ehkäisemisen ja torjumisen sekä kriisinhallinnan rahoitusvälineen perustamisesta osana sisäisen turvallisuuden rahastoa.</w:t>
      </w:r>
    </w:p>
  </w:footnote>
  <w:footnote w:id="10">
    <w:p w:rsidR="00344222" w:rsidRPr="00B2424D" w:rsidRDefault="00344222" w:rsidP="00344222">
      <w:pPr>
        <w:autoSpaceDE w:val="0"/>
        <w:autoSpaceDN w:val="0"/>
        <w:adjustRightInd w:val="0"/>
        <w:spacing w:after="0" w:line="240" w:lineRule="auto"/>
        <w:ind w:left="360" w:hanging="360"/>
        <w:jc w:val="both"/>
        <w:rPr>
          <w:rFonts w:ascii="Times New Roman" w:hAnsi="Times New Roman" w:cs="Times New Roman"/>
          <w:sz w:val="20"/>
          <w:szCs w:val="20"/>
          <w:lang w:val="pt-PT"/>
        </w:rPr>
      </w:pPr>
      <w:r w:rsidRPr="00895833">
        <w:rPr>
          <w:rStyle w:val="FootnoteReference"/>
          <w:rFonts w:ascii="Times New Roman" w:hAnsi="Times New Roman"/>
          <w:sz w:val="20"/>
          <w:lang w:val="fi-FI"/>
        </w:rPr>
        <w:footnoteRef/>
      </w:r>
      <w:r w:rsidRPr="00B2424D">
        <w:rPr>
          <w:rFonts w:ascii="Times New Roman" w:hAnsi="Times New Roman"/>
          <w:sz w:val="20"/>
          <w:lang w:val="pt-PT"/>
        </w:rPr>
        <w:t xml:space="preserve"> </w:t>
      </w:r>
      <w:r w:rsidRPr="00B2424D">
        <w:rPr>
          <w:lang w:val="pt-PT"/>
        </w:rPr>
        <w:tab/>
      </w:r>
      <w:r w:rsidRPr="00B2424D">
        <w:rPr>
          <w:rStyle w:val="FootnoteTextChar"/>
          <w:rFonts w:ascii="Times New Roman" w:eastAsiaTheme="minorHAnsi" w:hAnsi="Times New Roman"/>
          <w:sz w:val="20"/>
          <w:lang w:val="pt-PT"/>
        </w:rPr>
        <w:t>Päätös N:o 574/2007/EY, 3 artikla.</w:t>
      </w:r>
    </w:p>
  </w:footnote>
  <w:footnote w:id="11">
    <w:p w:rsidR="00344222" w:rsidRPr="00B2424D" w:rsidRDefault="00344222" w:rsidP="00344222">
      <w:pPr>
        <w:autoSpaceDE w:val="0"/>
        <w:autoSpaceDN w:val="0"/>
        <w:adjustRightInd w:val="0"/>
        <w:spacing w:after="0" w:line="240" w:lineRule="auto"/>
        <w:ind w:left="360" w:hanging="360"/>
        <w:jc w:val="both"/>
        <w:rPr>
          <w:rFonts w:ascii="Times New Roman" w:hAnsi="Times New Roman" w:cs="Times New Roman"/>
          <w:sz w:val="20"/>
          <w:szCs w:val="20"/>
          <w:lang w:val="pt-PT"/>
        </w:rPr>
      </w:pPr>
      <w:r w:rsidRPr="00895833">
        <w:rPr>
          <w:rStyle w:val="FootnoteReference"/>
          <w:rFonts w:ascii="Times New Roman" w:hAnsi="Times New Roman"/>
          <w:sz w:val="20"/>
          <w:lang w:val="fi-FI"/>
        </w:rPr>
        <w:footnoteRef/>
      </w:r>
      <w:r w:rsidRPr="00B2424D">
        <w:rPr>
          <w:rFonts w:ascii="Times New Roman" w:hAnsi="Times New Roman"/>
          <w:sz w:val="20"/>
          <w:lang w:val="pt-PT"/>
        </w:rPr>
        <w:t xml:space="preserve">  </w:t>
      </w:r>
      <w:r w:rsidRPr="00B2424D">
        <w:rPr>
          <w:lang w:val="pt-PT"/>
        </w:rPr>
        <w:tab/>
      </w:r>
      <w:r w:rsidRPr="00B2424D">
        <w:rPr>
          <w:rFonts w:ascii="Times New Roman" w:hAnsi="Times New Roman"/>
          <w:sz w:val="20"/>
          <w:lang w:val="pt-PT"/>
        </w:rPr>
        <w:t>Päätös N:o 435/2007/EY, 2 artikla.</w:t>
      </w:r>
    </w:p>
  </w:footnote>
  <w:footnote w:id="12">
    <w:p w:rsidR="00344222" w:rsidRPr="00895833" w:rsidRDefault="00344222" w:rsidP="00344222">
      <w:pPr>
        <w:autoSpaceDE w:val="0"/>
        <w:autoSpaceDN w:val="0"/>
        <w:adjustRightInd w:val="0"/>
        <w:spacing w:after="0" w:line="240" w:lineRule="auto"/>
        <w:ind w:left="360" w:hanging="360"/>
        <w:jc w:val="both"/>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Päätös N:o 573/2007/EY, 2 ja 3 artikla.</w:t>
      </w:r>
    </w:p>
  </w:footnote>
  <w:footnote w:id="13">
    <w:p w:rsidR="00344222" w:rsidRPr="00895833" w:rsidRDefault="00344222" w:rsidP="00344222">
      <w:pPr>
        <w:autoSpaceDE w:val="0"/>
        <w:autoSpaceDN w:val="0"/>
        <w:adjustRightInd w:val="0"/>
        <w:spacing w:after="0" w:line="240" w:lineRule="auto"/>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Päätös N:o 573/2007/EY, 3 artiklan 6 kohta.</w:t>
      </w:r>
    </w:p>
  </w:footnote>
  <w:footnote w:id="14">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Päätös N:o 575/2007/EY, 2 ja 3 artikla.</w:t>
      </w:r>
    </w:p>
  </w:footnote>
  <w:footnote w:id="15">
    <w:p w:rsidR="00EC1206" w:rsidRPr="00895833" w:rsidRDefault="00EC1206" w:rsidP="00EC1206">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Vuosittaiset ohjelmat ajanjaksolla 1.1.2011–30.6.2015. Lukuihin sisältyvät myös vuoden 2010 työohjelmien nojalla toteutetut yhteisön toimet, sillä niiden toteuttaminen aloitettiin tammikuussa 2011.</w:t>
      </w:r>
    </w:p>
  </w:footnote>
  <w:footnote w:id="16">
    <w:p w:rsidR="00344222" w:rsidRPr="00895833" w:rsidRDefault="00344222" w:rsidP="00EC1206">
      <w:pPr>
        <w:pStyle w:val="FootnoteText"/>
        <w:spacing w:after="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Komission yksiköiden valmisteluasiakirja </w:t>
      </w:r>
      <w:r w:rsidR="00AE7835" w:rsidRPr="00895833">
        <w:rPr>
          <w:rFonts w:ascii="Times New Roman" w:hAnsi="Times New Roman"/>
          <w:sz w:val="20"/>
          <w:lang w:val="fi-FI"/>
        </w:rPr>
        <w:t>SEC</w:t>
      </w:r>
      <w:r w:rsidRPr="00895833">
        <w:rPr>
          <w:rFonts w:ascii="Times New Roman" w:hAnsi="Times New Roman"/>
          <w:sz w:val="20"/>
          <w:lang w:val="fi-FI"/>
        </w:rPr>
        <w:t>(2005) 435, 6.4.2005.</w:t>
      </w:r>
    </w:p>
  </w:footnote>
  <w:footnote w:id="17">
    <w:p w:rsidR="00344222" w:rsidRPr="00895833" w:rsidRDefault="00344222" w:rsidP="00EC1206">
      <w:pPr>
        <w:pStyle w:val="FootnoteText"/>
        <w:spacing w:after="0"/>
        <w:rPr>
          <w:rFonts w:ascii="Times New Roman" w:hAnsi="Times New Roman" w:cs="Times New Roman"/>
          <w:b/>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Eurostat [tps00191] – tilasto turvapaikanhakijoiden määrästä unionissa, </w:t>
      </w:r>
      <w:r w:rsidRPr="00895833">
        <w:rPr>
          <w:rFonts w:ascii="Times New Roman" w:hAnsi="Times New Roman"/>
          <w:i/>
          <w:sz w:val="20"/>
          <w:lang w:val="fi-FI"/>
        </w:rPr>
        <w:t>Asylum and first time asylum applicants - annual aggregated data – persons</w:t>
      </w:r>
      <w:r w:rsidRPr="00895833">
        <w:rPr>
          <w:rFonts w:ascii="Times New Roman" w:hAnsi="Times New Roman"/>
          <w:sz w:val="20"/>
          <w:lang w:val="fi-FI"/>
        </w:rPr>
        <w:t>.</w:t>
      </w:r>
    </w:p>
  </w:footnote>
  <w:footnote w:id="18">
    <w:p w:rsidR="00344222" w:rsidRPr="00895833" w:rsidRDefault="00344222" w:rsidP="00EC1206">
      <w:pPr>
        <w:pStyle w:val="FootnoteText"/>
        <w:spacing w:after="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Eurostat [migr_eipre] – tilasto laittomasti unionin alueella olevista kolmansien maiden kansalaisista, </w:t>
      </w:r>
      <w:r w:rsidRPr="00895833">
        <w:rPr>
          <w:rFonts w:ascii="Times New Roman" w:hAnsi="Times New Roman"/>
          <w:i/>
          <w:sz w:val="20"/>
          <w:lang w:val="fi-FI"/>
        </w:rPr>
        <w:t>Third country nationals found to be illegally present - annual data</w:t>
      </w:r>
      <w:r w:rsidRPr="00895833">
        <w:rPr>
          <w:rFonts w:ascii="Times New Roman" w:hAnsi="Times New Roman"/>
          <w:sz w:val="20"/>
          <w:lang w:val="fi-FI"/>
        </w:rPr>
        <w:t>.</w:t>
      </w:r>
    </w:p>
  </w:footnote>
  <w:footnote w:id="19">
    <w:p w:rsidR="00855BE1" w:rsidRPr="00895833" w:rsidRDefault="00855BE1" w:rsidP="00EC1206">
      <w:pPr>
        <w:pStyle w:val="FootnoteText"/>
        <w:spacing w:after="0"/>
        <w:jc w:val="lef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hyperlink r:id="rId1">
        <w:r w:rsidRPr="00895833">
          <w:rPr>
            <w:rStyle w:val="Hyperlink"/>
            <w:rFonts w:ascii="Times New Roman" w:hAnsi="Times New Roman"/>
            <w:sz w:val="20"/>
            <w:lang w:val="fi-FI"/>
          </w:rPr>
          <w:t>https://publications.europa.eu/fi/publication-detail/-/publication/38ae6def-51a1-11e8-be1d-01aa75ed71a1/language-fi/format-PDF/source-70934237</w:t>
        </w:r>
      </w:hyperlink>
    </w:p>
  </w:footnote>
  <w:footnote w:id="20">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Schengenin säännöstä perustuu vuonna 1990 tehtyyn Schengenin yleissopimukseen, jolla luotiin Schengen-alue poistamalla rajatarkastukset useiden EU:n jäsenvaltioiden välisiltä sisärajoilta vuoteen 1995 mennessä. </w:t>
      </w:r>
    </w:p>
  </w:footnote>
  <w:footnote w:id="21">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Viisumitietojärjestelmä (VIS), toisen sukupolven Schengenin tietojärjestelmä (SIS II) ja Euroopan rajavalvontajärjestelmä (Eurosur). </w:t>
      </w:r>
    </w:p>
  </w:footnote>
  <w:footnote w:id="22">
    <w:p w:rsidR="00344222" w:rsidRPr="00895833" w:rsidRDefault="00344222" w:rsidP="00344222">
      <w:pPr>
        <w:pStyle w:val="FootnoteTex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Maltillinen vaikutus johtui muun muassa siitä, että jäsenvaltiot osoittivat asiaa kohtaan odotettua vähemmän kiinnostusta ja tiettyjen alueiden epävakaus vaikeutti yhteistyötä kolmansien maiden kanssa.</w:t>
      </w:r>
    </w:p>
  </w:footnote>
  <w:footnote w:id="23">
    <w:p w:rsidR="00344222" w:rsidRPr="00895833" w:rsidRDefault="00344222" w:rsidP="00344222">
      <w:pPr>
        <w:pStyle w:val="FootnoteText"/>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Virastosta käytettiin tuolloin nimeä Frontex.</w:t>
      </w:r>
    </w:p>
  </w:footnote>
  <w:footnote w:id="24">
    <w:p w:rsidR="00FA1156" w:rsidRPr="00895833" w:rsidRDefault="006D5A77" w:rsidP="00FA1156">
      <w:pPr>
        <w:rPr>
          <w:color w:val="1F497D"/>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hyperlink r:id="rId2">
        <w:r w:rsidRPr="00895833">
          <w:rPr>
            <w:rStyle w:val="Hyperlink"/>
            <w:rFonts w:ascii="Times New Roman" w:hAnsi="Times New Roman"/>
            <w:sz w:val="20"/>
            <w:lang w:val="fi-FI"/>
          </w:rPr>
          <w:t>https://ec.europa.eu/home-affairs/sites/homeaffairs/files/financing/fundings/pdf/integration/synthesis_of_the_national_evaluation_reports.pdf</w:t>
        </w:r>
      </w:hyperlink>
      <w:r w:rsidRPr="00895833">
        <w:rPr>
          <w:color w:val="1F497D"/>
          <w:lang w:val="fi-FI"/>
        </w:rPr>
        <w:t xml:space="preserve"> </w:t>
      </w:r>
    </w:p>
    <w:p w:rsidR="006D5A77" w:rsidRPr="00895833" w:rsidRDefault="006D5A77" w:rsidP="006D5A77">
      <w:pPr>
        <w:pStyle w:val="FootnoteText"/>
        <w:rPr>
          <w:rFonts w:ascii="Times New Roman" w:hAnsi="Times New Roman" w:cs="Times New Roman"/>
          <w:sz w:val="20"/>
          <w:szCs w:val="20"/>
          <w:lang w:val="fi-FI"/>
        </w:rPr>
      </w:pPr>
    </w:p>
    <w:p w:rsidR="006D5A77" w:rsidRPr="00895833" w:rsidRDefault="006D5A77">
      <w:pPr>
        <w:pStyle w:val="FootnoteText"/>
        <w:rPr>
          <w:rFonts w:ascii="Times New Roman" w:hAnsi="Times New Roman" w:cs="Times New Roman"/>
          <w:sz w:val="20"/>
          <w:szCs w:val="20"/>
          <w:lang w:val="fi-FI"/>
        </w:rPr>
      </w:pPr>
    </w:p>
  </w:footnote>
  <w:footnote w:id="25">
    <w:p w:rsidR="00A576F7" w:rsidRPr="00895833" w:rsidRDefault="00A576F7" w:rsidP="00A576F7">
      <w:pPr>
        <w:pStyle w:val="FootnoteTex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Style w:val="Hyperlink"/>
          <w:rFonts w:ascii="Times New Roman" w:hAnsi="Times New Roman"/>
          <w:sz w:val="20"/>
          <w:lang w:val="fi-FI"/>
        </w:rPr>
        <w:t>http://ec.europa.eu/smart-regulation/evaluation/search/download.do?documentId=10697239</w:t>
      </w:r>
    </w:p>
  </w:footnote>
  <w:footnote w:id="26">
    <w:p w:rsidR="00344222" w:rsidRPr="00895833" w:rsidRDefault="00344222" w:rsidP="00344222">
      <w:pPr>
        <w:pStyle w:val="FootnoteTex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002525DD" w:rsidRPr="00895833">
        <w:rPr>
          <w:rFonts w:ascii="Times New Roman" w:hAnsi="Times New Roman"/>
          <w:sz w:val="20"/>
          <w:lang w:val="fi-FI"/>
        </w:rPr>
        <w:t xml:space="preserve">  </w:t>
      </w:r>
      <w:r w:rsidRPr="00895833">
        <w:rPr>
          <w:rFonts w:ascii="Times New Roman" w:hAnsi="Times New Roman"/>
          <w:sz w:val="20"/>
          <w:lang w:val="fi-FI"/>
        </w:rPr>
        <w:t>Useimmat jäsenvaltiot pitivät merkityksellisimpänä painopisteenä palauttamismenettelyjen hallinnointia koskevan strategisen lähestymistavan laatimista.</w:t>
      </w:r>
    </w:p>
  </w:footnote>
  <w:footnote w:id="27">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Komission yksiköiden valmisteluasiakirja SWD(2011) 1358 lopullinen, 15.11.2011.</w:t>
      </w:r>
    </w:p>
  </w:footnote>
  <w:footnote w:id="28">
    <w:p w:rsidR="00344222" w:rsidRPr="00895833" w:rsidRDefault="00344222" w:rsidP="00344222">
      <w:pPr>
        <w:pStyle w:val="FootnoteText"/>
        <w:spacing w:after="0"/>
        <w:ind w:left="360" w:hanging="360"/>
        <w:rPr>
          <w:rFonts w:ascii="Times New Roman" w:hAnsi="Times New Roman" w:cs="Times New Roman"/>
          <w:b/>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Style w:val="Strong"/>
          <w:rFonts w:ascii="Times New Roman" w:hAnsi="Times New Roman"/>
          <w:b w:val="0"/>
          <w:sz w:val="20"/>
          <w:lang w:val="fi-FI"/>
        </w:rPr>
        <w:t>Komission delegoitu asetus (EU) 2017/207, annettu 3 päivänä lokakuuta 2016, turvapaikka-, maahanmuutto- ja kotouttamisrahastoon sekä poliisiyhteistyön, rikollisuuden ehkäisemisen ja torjumisen sekä kriisinhallinnan rahoitusvälineeseen sovellettavista yleisistä säännöksistä annetussa Euroopan parlamentin ja neuvoston asetuksessa (EU) N:o 514/2014 säädetystä yhteisestä seuranta- ja arviointikehyksestä.</w:t>
      </w:r>
    </w:p>
  </w:footnote>
  <w:footnote w:id="29">
    <w:p w:rsidR="0006411A" w:rsidRPr="00895833" w:rsidRDefault="0006411A">
      <w:pPr>
        <w:pStyle w:val="FootnoteText"/>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 xml:space="preserve">On syytä todeta, että EU:n rahoittamilla tutkimushankkeilla voidaan edistää tiedonkeruuta sekä tulevien rahoitusvälineiden ja rahastojen täytäntöönpanon ja tehokkuuden analysointia. </w:t>
      </w:r>
    </w:p>
  </w:footnote>
  <w:footnote w:id="30">
    <w:p w:rsidR="00344222" w:rsidRPr="00895833" w:rsidRDefault="00344222" w:rsidP="00344222">
      <w:pPr>
        <w:pStyle w:val="FootnoteText"/>
        <w:spacing w:after="0"/>
        <w:ind w:left="360" w:hanging="360"/>
        <w:rPr>
          <w:rFonts w:ascii="Times New Roman" w:hAnsi="Times New Roman" w:cs="Times New Roman"/>
          <w:sz w:val="20"/>
          <w:szCs w:val="20"/>
          <w:lang w:val="fi-FI"/>
        </w:rPr>
      </w:pPr>
      <w:r w:rsidRPr="00895833">
        <w:rPr>
          <w:rStyle w:val="FootnoteReference"/>
          <w:rFonts w:ascii="Times New Roman" w:hAnsi="Times New Roman"/>
          <w:sz w:val="20"/>
          <w:lang w:val="fi-FI"/>
        </w:rPr>
        <w:footnoteRef/>
      </w:r>
      <w:r w:rsidRPr="00895833">
        <w:rPr>
          <w:rFonts w:ascii="Times New Roman" w:hAnsi="Times New Roman"/>
          <w:sz w:val="20"/>
          <w:lang w:val="fi-FI"/>
        </w:rPr>
        <w:t xml:space="preserve"> </w:t>
      </w:r>
      <w:r w:rsidRPr="00895833">
        <w:rPr>
          <w:lang w:val="fi-FI"/>
        </w:rPr>
        <w:tab/>
      </w:r>
      <w:r w:rsidRPr="00895833">
        <w:rPr>
          <w:rFonts w:ascii="Times New Roman" w:hAnsi="Times New Roman"/>
          <w:sz w:val="20"/>
          <w:lang w:val="fi-FI"/>
        </w:rPr>
        <w:t>Seuranta- ja arviointikehystä koskevat ohjeet laadittiin arviointiverkostossa. Kyseessä on työasiakirja, jota päivitetään säännöllisesti jäsenvaltioiden viranomaisten ja muiden sidosryhmien kanssa työryhmien ja arviointiverkoston kokouksissa käytävien keskustelujen perusteella. Ohjeet ovat jäsenvaltioiden käytettävissä.</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4A" w:rsidRPr="00203F4A" w:rsidRDefault="00203F4A" w:rsidP="00203F4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1A3" w:rsidRDefault="00203F4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1A3" w:rsidRDefault="00203F4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1A3" w:rsidRDefault="00203F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3461A"/>
    <w:multiLevelType w:val="hybridMultilevel"/>
    <w:tmpl w:val="280CB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A84F6D"/>
    <w:multiLevelType w:val="hybridMultilevel"/>
    <w:tmpl w:val="6CF8E462"/>
    <w:lvl w:ilvl="0" w:tplc="08090001">
      <w:start w:val="1"/>
      <w:numFmt w:val="bullet"/>
      <w:lvlText w:val=""/>
      <w:lvlJc w:val="left"/>
      <w:pPr>
        <w:ind w:left="720" w:hanging="360"/>
      </w:pPr>
      <w:rPr>
        <w:rFonts w:ascii="Symbol" w:hAnsi="Symbol" w:hint="default"/>
      </w:rPr>
    </w:lvl>
    <w:lvl w:ilvl="1" w:tplc="739CC592">
      <w:numFmt w:val="bullet"/>
      <w:lvlText w:val="-"/>
      <w:lvlJc w:val="left"/>
      <w:pPr>
        <w:ind w:left="2175" w:hanging="1095"/>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144BD4"/>
    <w:multiLevelType w:val="hybridMultilevel"/>
    <w:tmpl w:val="FFAE75A2"/>
    <w:lvl w:ilvl="0" w:tplc="475E5210">
      <w:start w:val="1"/>
      <w:numFmt w:val="bullet"/>
      <w:pStyle w:val="bullet"/>
      <w:lvlText w:val=""/>
      <w:lvlJc w:val="left"/>
      <w:pPr>
        <w:ind w:left="720" w:hanging="360"/>
      </w:pPr>
      <w:rPr>
        <w:rFonts w:ascii="Symbol" w:hAnsi="Symbol" w:cs="Symbol" w:hint="default"/>
        <w:color w:val="auto"/>
      </w:rPr>
    </w:lvl>
    <w:lvl w:ilvl="1" w:tplc="E5CA32CC">
      <w:start w:val="1"/>
      <w:numFmt w:val="bullet"/>
      <w:lvlText w:val="-"/>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nsid w:val="3FE21106"/>
    <w:multiLevelType w:val="hybridMultilevel"/>
    <w:tmpl w:val="93965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8A8278E"/>
    <w:multiLevelType w:val="hybridMultilevel"/>
    <w:tmpl w:val="B3B81E62"/>
    <w:lvl w:ilvl="0" w:tplc="E2F0C1D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CF1016A"/>
    <w:multiLevelType w:val="hybridMultilevel"/>
    <w:tmpl w:val="FD009BF4"/>
    <w:lvl w:ilvl="0" w:tplc="E4B6C5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4E156FD"/>
    <w:multiLevelType w:val="hybridMultilevel"/>
    <w:tmpl w:val="771274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77891371"/>
    <w:multiLevelType w:val="hybridMultilevel"/>
    <w:tmpl w:val="F87C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B1A5BFF"/>
    <w:multiLevelType w:val="hybridMultilevel"/>
    <w:tmpl w:val="2B220FA0"/>
    <w:lvl w:ilvl="0" w:tplc="E4B6C5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8"/>
  </w:num>
  <w:num w:numId="4">
    <w:abstractNumId w:val="5"/>
  </w:num>
  <w:num w:numId="5">
    <w:abstractNumId w:val="2"/>
  </w:num>
  <w:num w:numId="6">
    <w:abstractNumId w:val="4"/>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01D7DC56-47E2-4F08-94A3-E1466D9230D5"/>
    <w:docVar w:name="LW_COVERPAGE_TYPE" w:val="1"/>
    <w:docVar w:name="LW_CROSSREFERENCE" w:val="{SWD(2018) 333 final}_x000a_{SWD(2018) 334 final}_x000a_{SWD(2018) 335 final}_x000a_{SWD(2018) 336 final}"/>
    <w:docVar w:name="LW_DocType" w:val="NORMAL"/>
    <w:docVar w:name="LW_EMISSION" w:val="12.6.2018"/>
    <w:docVar w:name="LW_EMISSION_ISODATE" w:val="2018-06-12"/>
    <w:docVar w:name="LW_EMISSION_LOCATION" w:val="BRX"/>
    <w:docVar w:name="LW_EMISSION_PREFIX" w:val="Bryssel"/>
    <w:docVar w:name="LW_EMISSION_SUFFIX" w:val="&lt;EMPTY&gt;"/>
    <w:docVar w:name="LW_ID_DOCTYPE_NONLW" w:val="CP-008"/>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18) 4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yhteisvastuuta ja muuttoliikkeen hallintaa koskevaan yleisohjelmaan kuuluvista neljästä rahastosta vuosina 2011-2013 yhteisrahoitettujen toimien jälkiarviointikertomukset"/>
    <w:docVar w:name="LW_TYPE.DOC.CP" w:val="KOMISSION KERTOMUS EUROOPAN PARLAMENTILLE, NEUVOSTOLLE, EUROOPAN TALOUS- JA SOSIAALIKOMITEALLE JA ALUEIDEN KOMITEALLE"/>
  </w:docVars>
  <w:rsids>
    <w:rsidRoot w:val="00C800E2"/>
    <w:rsid w:val="00015B50"/>
    <w:rsid w:val="00020692"/>
    <w:rsid w:val="00020DDE"/>
    <w:rsid w:val="00022200"/>
    <w:rsid w:val="00022CA4"/>
    <w:rsid w:val="00033A84"/>
    <w:rsid w:val="00040494"/>
    <w:rsid w:val="000417AE"/>
    <w:rsid w:val="00044292"/>
    <w:rsid w:val="00046993"/>
    <w:rsid w:val="0004755F"/>
    <w:rsid w:val="00050F04"/>
    <w:rsid w:val="0006322D"/>
    <w:rsid w:val="0006411A"/>
    <w:rsid w:val="00064EAD"/>
    <w:rsid w:val="0006580D"/>
    <w:rsid w:val="00071904"/>
    <w:rsid w:val="000812C3"/>
    <w:rsid w:val="00091CEB"/>
    <w:rsid w:val="00092B2A"/>
    <w:rsid w:val="00094635"/>
    <w:rsid w:val="00094BEE"/>
    <w:rsid w:val="000960D8"/>
    <w:rsid w:val="000966B1"/>
    <w:rsid w:val="000A600D"/>
    <w:rsid w:val="000B22B3"/>
    <w:rsid w:val="000B3C31"/>
    <w:rsid w:val="000C5B31"/>
    <w:rsid w:val="000D3D1E"/>
    <w:rsid w:val="000D58B0"/>
    <w:rsid w:val="000E0724"/>
    <w:rsid w:val="000E5A71"/>
    <w:rsid w:val="000E77D7"/>
    <w:rsid w:val="000F32F2"/>
    <w:rsid w:val="000F6711"/>
    <w:rsid w:val="00103D1A"/>
    <w:rsid w:val="00104D10"/>
    <w:rsid w:val="001060F9"/>
    <w:rsid w:val="00110B44"/>
    <w:rsid w:val="00111C51"/>
    <w:rsid w:val="001148E1"/>
    <w:rsid w:val="0012070A"/>
    <w:rsid w:val="00121DCC"/>
    <w:rsid w:val="00123844"/>
    <w:rsid w:val="00126D04"/>
    <w:rsid w:val="00135343"/>
    <w:rsid w:val="00136CC1"/>
    <w:rsid w:val="00137A10"/>
    <w:rsid w:val="00144FEF"/>
    <w:rsid w:val="00152468"/>
    <w:rsid w:val="0016075E"/>
    <w:rsid w:val="00162472"/>
    <w:rsid w:val="00164519"/>
    <w:rsid w:val="001652E6"/>
    <w:rsid w:val="00171D4E"/>
    <w:rsid w:val="00176A19"/>
    <w:rsid w:val="00183D50"/>
    <w:rsid w:val="001841E7"/>
    <w:rsid w:val="00185202"/>
    <w:rsid w:val="001904B1"/>
    <w:rsid w:val="001928A2"/>
    <w:rsid w:val="00192E25"/>
    <w:rsid w:val="001931DD"/>
    <w:rsid w:val="00195583"/>
    <w:rsid w:val="001A392D"/>
    <w:rsid w:val="001A7546"/>
    <w:rsid w:val="001B4393"/>
    <w:rsid w:val="001B6FCF"/>
    <w:rsid w:val="001C043D"/>
    <w:rsid w:val="001D393D"/>
    <w:rsid w:val="001D7F22"/>
    <w:rsid w:val="001E013D"/>
    <w:rsid w:val="001E379E"/>
    <w:rsid w:val="001E3EEE"/>
    <w:rsid w:val="001F2016"/>
    <w:rsid w:val="001F20BC"/>
    <w:rsid w:val="001F35D6"/>
    <w:rsid w:val="001F607C"/>
    <w:rsid w:val="001F68E8"/>
    <w:rsid w:val="001F740F"/>
    <w:rsid w:val="00200D17"/>
    <w:rsid w:val="00202979"/>
    <w:rsid w:val="00203F4A"/>
    <w:rsid w:val="0020449D"/>
    <w:rsid w:val="00204641"/>
    <w:rsid w:val="002064F0"/>
    <w:rsid w:val="00206D72"/>
    <w:rsid w:val="00215398"/>
    <w:rsid w:val="00220C9F"/>
    <w:rsid w:val="0022319D"/>
    <w:rsid w:val="002234CE"/>
    <w:rsid w:val="0023016A"/>
    <w:rsid w:val="00230935"/>
    <w:rsid w:val="002311F6"/>
    <w:rsid w:val="002410A5"/>
    <w:rsid w:val="00241286"/>
    <w:rsid w:val="00243319"/>
    <w:rsid w:val="0025085C"/>
    <w:rsid w:val="002525DD"/>
    <w:rsid w:val="00252CF0"/>
    <w:rsid w:val="00254749"/>
    <w:rsid w:val="00256343"/>
    <w:rsid w:val="00261133"/>
    <w:rsid w:val="00262369"/>
    <w:rsid w:val="002832EF"/>
    <w:rsid w:val="00285108"/>
    <w:rsid w:val="002874A8"/>
    <w:rsid w:val="00293679"/>
    <w:rsid w:val="002B0CBC"/>
    <w:rsid w:val="002B7B5A"/>
    <w:rsid w:val="002D5284"/>
    <w:rsid w:val="003074CA"/>
    <w:rsid w:val="00311B36"/>
    <w:rsid w:val="00314378"/>
    <w:rsid w:val="00315061"/>
    <w:rsid w:val="00315C7F"/>
    <w:rsid w:val="00316EF5"/>
    <w:rsid w:val="00322F87"/>
    <w:rsid w:val="00326F22"/>
    <w:rsid w:val="00331718"/>
    <w:rsid w:val="00332E51"/>
    <w:rsid w:val="003331BF"/>
    <w:rsid w:val="00335136"/>
    <w:rsid w:val="00344222"/>
    <w:rsid w:val="0035168B"/>
    <w:rsid w:val="00352B0E"/>
    <w:rsid w:val="00354AD2"/>
    <w:rsid w:val="00355842"/>
    <w:rsid w:val="0035599C"/>
    <w:rsid w:val="00360FE7"/>
    <w:rsid w:val="003651C0"/>
    <w:rsid w:val="00372917"/>
    <w:rsid w:val="003736B6"/>
    <w:rsid w:val="003743B9"/>
    <w:rsid w:val="00374B5C"/>
    <w:rsid w:val="00375468"/>
    <w:rsid w:val="00375E1F"/>
    <w:rsid w:val="00383B60"/>
    <w:rsid w:val="00384F8F"/>
    <w:rsid w:val="00391500"/>
    <w:rsid w:val="00391D92"/>
    <w:rsid w:val="003939E0"/>
    <w:rsid w:val="00394412"/>
    <w:rsid w:val="003A6DEF"/>
    <w:rsid w:val="003B35A1"/>
    <w:rsid w:val="003B6875"/>
    <w:rsid w:val="003B705C"/>
    <w:rsid w:val="003C0F3D"/>
    <w:rsid w:val="003C3AE2"/>
    <w:rsid w:val="003C4321"/>
    <w:rsid w:val="003D61C9"/>
    <w:rsid w:val="003E04C3"/>
    <w:rsid w:val="003E12D0"/>
    <w:rsid w:val="003E5C57"/>
    <w:rsid w:val="003F5A23"/>
    <w:rsid w:val="004012D5"/>
    <w:rsid w:val="00402E5C"/>
    <w:rsid w:val="00404526"/>
    <w:rsid w:val="00413A9F"/>
    <w:rsid w:val="004153C1"/>
    <w:rsid w:val="004179C7"/>
    <w:rsid w:val="004221F7"/>
    <w:rsid w:val="0044105E"/>
    <w:rsid w:val="004413E6"/>
    <w:rsid w:val="004454ED"/>
    <w:rsid w:val="004465B6"/>
    <w:rsid w:val="0044691B"/>
    <w:rsid w:val="004574AB"/>
    <w:rsid w:val="00474504"/>
    <w:rsid w:val="0047690D"/>
    <w:rsid w:val="00480D6C"/>
    <w:rsid w:val="00482838"/>
    <w:rsid w:val="00483B30"/>
    <w:rsid w:val="0048406D"/>
    <w:rsid w:val="00485CE0"/>
    <w:rsid w:val="00486D96"/>
    <w:rsid w:val="00494EAA"/>
    <w:rsid w:val="00496D33"/>
    <w:rsid w:val="004A64D1"/>
    <w:rsid w:val="004A79BB"/>
    <w:rsid w:val="004B0EBD"/>
    <w:rsid w:val="004B12CB"/>
    <w:rsid w:val="004B1D3A"/>
    <w:rsid w:val="004B4989"/>
    <w:rsid w:val="004B66F1"/>
    <w:rsid w:val="004C112D"/>
    <w:rsid w:val="004C2103"/>
    <w:rsid w:val="004C5545"/>
    <w:rsid w:val="004C7CFA"/>
    <w:rsid w:val="004D009C"/>
    <w:rsid w:val="004D10D8"/>
    <w:rsid w:val="004D48DD"/>
    <w:rsid w:val="004F43FB"/>
    <w:rsid w:val="005029C9"/>
    <w:rsid w:val="005124BD"/>
    <w:rsid w:val="0051270F"/>
    <w:rsid w:val="0051315A"/>
    <w:rsid w:val="00516334"/>
    <w:rsid w:val="0052063D"/>
    <w:rsid w:val="005218BB"/>
    <w:rsid w:val="00522F74"/>
    <w:rsid w:val="00523E20"/>
    <w:rsid w:val="0054084B"/>
    <w:rsid w:val="00546B7D"/>
    <w:rsid w:val="0055619C"/>
    <w:rsid w:val="00556525"/>
    <w:rsid w:val="00556829"/>
    <w:rsid w:val="00560497"/>
    <w:rsid w:val="005606DA"/>
    <w:rsid w:val="00560A87"/>
    <w:rsid w:val="00563149"/>
    <w:rsid w:val="00565420"/>
    <w:rsid w:val="00573257"/>
    <w:rsid w:val="005749B2"/>
    <w:rsid w:val="00574DE7"/>
    <w:rsid w:val="005842AE"/>
    <w:rsid w:val="00592949"/>
    <w:rsid w:val="0059475D"/>
    <w:rsid w:val="005A057D"/>
    <w:rsid w:val="005A37D7"/>
    <w:rsid w:val="005B2826"/>
    <w:rsid w:val="005B5D5D"/>
    <w:rsid w:val="005B6A66"/>
    <w:rsid w:val="005C1542"/>
    <w:rsid w:val="005C21ED"/>
    <w:rsid w:val="005C50A2"/>
    <w:rsid w:val="005C6E0E"/>
    <w:rsid w:val="005D498A"/>
    <w:rsid w:val="005E2834"/>
    <w:rsid w:val="005E56ED"/>
    <w:rsid w:val="005F0D68"/>
    <w:rsid w:val="005F5883"/>
    <w:rsid w:val="005F7A36"/>
    <w:rsid w:val="0061173C"/>
    <w:rsid w:val="00611A97"/>
    <w:rsid w:val="00621399"/>
    <w:rsid w:val="00621705"/>
    <w:rsid w:val="00626D5F"/>
    <w:rsid w:val="006336A9"/>
    <w:rsid w:val="00635E14"/>
    <w:rsid w:val="00637854"/>
    <w:rsid w:val="00652314"/>
    <w:rsid w:val="0065248E"/>
    <w:rsid w:val="006566C6"/>
    <w:rsid w:val="00674D31"/>
    <w:rsid w:val="00675DF1"/>
    <w:rsid w:val="0068331D"/>
    <w:rsid w:val="00690F67"/>
    <w:rsid w:val="0069728C"/>
    <w:rsid w:val="006B10F3"/>
    <w:rsid w:val="006B2FDD"/>
    <w:rsid w:val="006B635E"/>
    <w:rsid w:val="006B6802"/>
    <w:rsid w:val="006B6A2F"/>
    <w:rsid w:val="006D319B"/>
    <w:rsid w:val="006D5A77"/>
    <w:rsid w:val="006E1D34"/>
    <w:rsid w:val="006E2E29"/>
    <w:rsid w:val="006F09F4"/>
    <w:rsid w:val="006F1D01"/>
    <w:rsid w:val="006F294B"/>
    <w:rsid w:val="00703B32"/>
    <w:rsid w:val="00711BA8"/>
    <w:rsid w:val="00712CE6"/>
    <w:rsid w:val="00714A3D"/>
    <w:rsid w:val="00721100"/>
    <w:rsid w:val="0072520F"/>
    <w:rsid w:val="00725BAB"/>
    <w:rsid w:val="00726E20"/>
    <w:rsid w:val="007422DF"/>
    <w:rsid w:val="0074542B"/>
    <w:rsid w:val="00745E2E"/>
    <w:rsid w:val="00747CB5"/>
    <w:rsid w:val="007504BE"/>
    <w:rsid w:val="0075069F"/>
    <w:rsid w:val="00751AC2"/>
    <w:rsid w:val="007554EA"/>
    <w:rsid w:val="00756DA3"/>
    <w:rsid w:val="00764278"/>
    <w:rsid w:val="007659A2"/>
    <w:rsid w:val="00772910"/>
    <w:rsid w:val="00775A05"/>
    <w:rsid w:val="00776904"/>
    <w:rsid w:val="00776A7D"/>
    <w:rsid w:val="00785D15"/>
    <w:rsid w:val="0079178F"/>
    <w:rsid w:val="00796CE8"/>
    <w:rsid w:val="007A6692"/>
    <w:rsid w:val="007A6D49"/>
    <w:rsid w:val="007B0566"/>
    <w:rsid w:val="007B223F"/>
    <w:rsid w:val="007B45AA"/>
    <w:rsid w:val="007C05EE"/>
    <w:rsid w:val="007C3BA5"/>
    <w:rsid w:val="007C4359"/>
    <w:rsid w:val="007F5112"/>
    <w:rsid w:val="007F649D"/>
    <w:rsid w:val="00800206"/>
    <w:rsid w:val="00800CA0"/>
    <w:rsid w:val="00800D66"/>
    <w:rsid w:val="008029FE"/>
    <w:rsid w:val="00803702"/>
    <w:rsid w:val="008071B8"/>
    <w:rsid w:val="00810A1C"/>
    <w:rsid w:val="008118FA"/>
    <w:rsid w:val="00813876"/>
    <w:rsid w:val="008156FC"/>
    <w:rsid w:val="00815A27"/>
    <w:rsid w:val="00816A1E"/>
    <w:rsid w:val="00821C50"/>
    <w:rsid w:val="008229DC"/>
    <w:rsid w:val="008357CB"/>
    <w:rsid w:val="00836333"/>
    <w:rsid w:val="00846467"/>
    <w:rsid w:val="00853469"/>
    <w:rsid w:val="00853E7B"/>
    <w:rsid w:val="00855BE1"/>
    <w:rsid w:val="00856B7A"/>
    <w:rsid w:val="00857B05"/>
    <w:rsid w:val="00876EB3"/>
    <w:rsid w:val="00880FB1"/>
    <w:rsid w:val="0088116D"/>
    <w:rsid w:val="00881295"/>
    <w:rsid w:val="0088142E"/>
    <w:rsid w:val="0088291C"/>
    <w:rsid w:val="00895833"/>
    <w:rsid w:val="008A1B4C"/>
    <w:rsid w:val="008A6481"/>
    <w:rsid w:val="008A6488"/>
    <w:rsid w:val="008B05A3"/>
    <w:rsid w:val="008B488B"/>
    <w:rsid w:val="008B6996"/>
    <w:rsid w:val="008C3C0C"/>
    <w:rsid w:val="008C4859"/>
    <w:rsid w:val="008C5896"/>
    <w:rsid w:val="008D3AAC"/>
    <w:rsid w:val="008D631F"/>
    <w:rsid w:val="008E648E"/>
    <w:rsid w:val="008F0260"/>
    <w:rsid w:val="008F40F2"/>
    <w:rsid w:val="008F5FDC"/>
    <w:rsid w:val="00900323"/>
    <w:rsid w:val="0090046E"/>
    <w:rsid w:val="00903CB8"/>
    <w:rsid w:val="00904015"/>
    <w:rsid w:val="00904687"/>
    <w:rsid w:val="009069DB"/>
    <w:rsid w:val="00910727"/>
    <w:rsid w:val="00912187"/>
    <w:rsid w:val="00912374"/>
    <w:rsid w:val="009132AB"/>
    <w:rsid w:val="00916860"/>
    <w:rsid w:val="00920203"/>
    <w:rsid w:val="009228A3"/>
    <w:rsid w:val="00923C74"/>
    <w:rsid w:val="0092458E"/>
    <w:rsid w:val="00924CCA"/>
    <w:rsid w:val="00925163"/>
    <w:rsid w:val="00951266"/>
    <w:rsid w:val="00956346"/>
    <w:rsid w:val="00963E4E"/>
    <w:rsid w:val="00967CB2"/>
    <w:rsid w:val="0097468A"/>
    <w:rsid w:val="009759CB"/>
    <w:rsid w:val="009874ED"/>
    <w:rsid w:val="009A3309"/>
    <w:rsid w:val="009A6A5A"/>
    <w:rsid w:val="009B1172"/>
    <w:rsid w:val="009B48D5"/>
    <w:rsid w:val="009B4C81"/>
    <w:rsid w:val="009C3950"/>
    <w:rsid w:val="009C5E49"/>
    <w:rsid w:val="009C71DE"/>
    <w:rsid w:val="009D4494"/>
    <w:rsid w:val="009E3A87"/>
    <w:rsid w:val="009E5E22"/>
    <w:rsid w:val="009F3D75"/>
    <w:rsid w:val="00A03018"/>
    <w:rsid w:val="00A06AD3"/>
    <w:rsid w:val="00A13447"/>
    <w:rsid w:val="00A14E7A"/>
    <w:rsid w:val="00A169D9"/>
    <w:rsid w:val="00A2032F"/>
    <w:rsid w:val="00A21C48"/>
    <w:rsid w:val="00A33165"/>
    <w:rsid w:val="00A371B5"/>
    <w:rsid w:val="00A37647"/>
    <w:rsid w:val="00A41178"/>
    <w:rsid w:val="00A41C4A"/>
    <w:rsid w:val="00A44FBA"/>
    <w:rsid w:val="00A510CD"/>
    <w:rsid w:val="00A524B4"/>
    <w:rsid w:val="00A558F3"/>
    <w:rsid w:val="00A56C32"/>
    <w:rsid w:val="00A57383"/>
    <w:rsid w:val="00A576F7"/>
    <w:rsid w:val="00A71707"/>
    <w:rsid w:val="00A74A41"/>
    <w:rsid w:val="00A750E1"/>
    <w:rsid w:val="00A809F8"/>
    <w:rsid w:val="00A850E9"/>
    <w:rsid w:val="00A87F1C"/>
    <w:rsid w:val="00A90D0C"/>
    <w:rsid w:val="00A93464"/>
    <w:rsid w:val="00A9533C"/>
    <w:rsid w:val="00A975CC"/>
    <w:rsid w:val="00AA18CE"/>
    <w:rsid w:val="00AA38BA"/>
    <w:rsid w:val="00AA3ADF"/>
    <w:rsid w:val="00AA3BE3"/>
    <w:rsid w:val="00AB3B48"/>
    <w:rsid w:val="00AC2ECF"/>
    <w:rsid w:val="00AC56D8"/>
    <w:rsid w:val="00AC72A2"/>
    <w:rsid w:val="00AD3049"/>
    <w:rsid w:val="00AD6811"/>
    <w:rsid w:val="00AE4769"/>
    <w:rsid w:val="00AE7835"/>
    <w:rsid w:val="00AF0AF5"/>
    <w:rsid w:val="00AF694C"/>
    <w:rsid w:val="00AF6956"/>
    <w:rsid w:val="00B02A00"/>
    <w:rsid w:val="00B106EC"/>
    <w:rsid w:val="00B15C34"/>
    <w:rsid w:val="00B1726B"/>
    <w:rsid w:val="00B2424D"/>
    <w:rsid w:val="00B26E27"/>
    <w:rsid w:val="00B36623"/>
    <w:rsid w:val="00B37743"/>
    <w:rsid w:val="00B40FF5"/>
    <w:rsid w:val="00B452AF"/>
    <w:rsid w:val="00B51EFE"/>
    <w:rsid w:val="00B60DD5"/>
    <w:rsid w:val="00B62956"/>
    <w:rsid w:val="00B64EAA"/>
    <w:rsid w:val="00B674D7"/>
    <w:rsid w:val="00B7062D"/>
    <w:rsid w:val="00B71D0C"/>
    <w:rsid w:val="00B7502D"/>
    <w:rsid w:val="00B76535"/>
    <w:rsid w:val="00B76B86"/>
    <w:rsid w:val="00B90F3B"/>
    <w:rsid w:val="00B975CA"/>
    <w:rsid w:val="00BA1ADC"/>
    <w:rsid w:val="00BA5BCA"/>
    <w:rsid w:val="00BA682B"/>
    <w:rsid w:val="00BA729C"/>
    <w:rsid w:val="00BC3B60"/>
    <w:rsid w:val="00BC6B0E"/>
    <w:rsid w:val="00BC78E1"/>
    <w:rsid w:val="00BD0301"/>
    <w:rsid w:val="00BD75F3"/>
    <w:rsid w:val="00BE09EC"/>
    <w:rsid w:val="00BE477A"/>
    <w:rsid w:val="00BE5488"/>
    <w:rsid w:val="00C0083C"/>
    <w:rsid w:val="00C12D76"/>
    <w:rsid w:val="00C314DD"/>
    <w:rsid w:val="00C371B6"/>
    <w:rsid w:val="00C52071"/>
    <w:rsid w:val="00C54E8E"/>
    <w:rsid w:val="00C54EDC"/>
    <w:rsid w:val="00C631B8"/>
    <w:rsid w:val="00C63F66"/>
    <w:rsid w:val="00C6531E"/>
    <w:rsid w:val="00C65546"/>
    <w:rsid w:val="00C65DD1"/>
    <w:rsid w:val="00C67BC3"/>
    <w:rsid w:val="00C738A8"/>
    <w:rsid w:val="00C7681E"/>
    <w:rsid w:val="00C800E2"/>
    <w:rsid w:val="00C9789C"/>
    <w:rsid w:val="00CA2DD3"/>
    <w:rsid w:val="00CA3643"/>
    <w:rsid w:val="00CA7E7D"/>
    <w:rsid w:val="00CB63AC"/>
    <w:rsid w:val="00CB7722"/>
    <w:rsid w:val="00CC1EB2"/>
    <w:rsid w:val="00CC48A1"/>
    <w:rsid w:val="00CC5F4E"/>
    <w:rsid w:val="00CD03A5"/>
    <w:rsid w:val="00CD1096"/>
    <w:rsid w:val="00CD2CAC"/>
    <w:rsid w:val="00CD405A"/>
    <w:rsid w:val="00CD5FD1"/>
    <w:rsid w:val="00CE1874"/>
    <w:rsid w:val="00CE3CF1"/>
    <w:rsid w:val="00CE461B"/>
    <w:rsid w:val="00CF2253"/>
    <w:rsid w:val="00CF7473"/>
    <w:rsid w:val="00D111B6"/>
    <w:rsid w:val="00D1493F"/>
    <w:rsid w:val="00D179F9"/>
    <w:rsid w:val="00D20B63"/>
    <w:rsid w:val="00D21F86"/>
    <w:rsid w:val="00D22A62"/>
    <w:rsid w:val="00D37BEE"/>
    <w:rsid w:val="00D400C6"/>
    <w:rsid w:val="00D408B1"/>
    <w:rsid w:val="00D465A6"/>
    <w:rsid w:val="00D47E76"/>
    <w:rsid w:val="00D515E5"/>
    <w:rsid w:val="00D53988"/>
    <w:rsid w:val="00D60B17"/>
    <w:rsid w:val="00D60E70"/>
    <w:rsid w:val="00D729CC"/>
    <w:rsid w:val="00D7569C"/>
    <w:rsid w:val="00D909DA"/>
    <w:rsid w:val="00D94741"/>
    <w:rsid w:val="00D95BA1"/>
    <w:rsid w:val="00DA2EAD"/>
    <w:rsid w:val="00DA5180"/>
    <w:rsid w:val="00DA5E03"/>
    <w:rsid w:val="00DA63EE"/>
    <w:rsid w:val="00DB349C"/>
    <w:rsid w:val="00DD0B12"/>
    <w:rsid w:val="00DD5596"/>
    <w:rsid w:val="00DD65E3"/>
    <w:rsid w:val="00DD6BD9"/>
    <w:rsid w:val="00DD7D2D"/>
    <w:rsid w:val="00DF0CA7"/>
    <w:rsid w:val="00DF151C"/>
    <w:rsid w:val="00DF3CB7"/>
    <w:rsid w:val="00DF755A"/>
    <w:rsid w:val="00DF776A"/>
    <w:rsid w:val="00E016F3"/>
    <w:rsid w:val="00E16647"/>
    <w:rsid w:val="00E17EB0"/>
    <w:rsid w:val="00E17FE1"/>
    <w:rsid w:val="00E25728"/>
    <w:rsid w:val="00E276F5"/>
    <w:rsid w:val="00E27F8D"/>
    <w:rsid w:val="00E3276D"/>
    <w:rsid w:val="00E3322E"/>
    <w:rsid w:val="00E341C3"/>
    <w:rsid w:val="00E51B3B"/>
    <w:rsid w:val="00E551AC"/>
    <w:rsid w:val="00E628FE"/>
    <w:rsid w:val="00E74047"/>
    <w:rsid w:val="00E75803"/>
    <w:rsid w:val="00E75AD4"/>
    <w:rsid w:val="00E851CD"/>
    <w:rsid w:val="00E87881"/>
    <w:rsid w:val="00E87991"/>
    <w:rsid w:val="00E91526"/>
    <w:rsid w:val="00EA00C7"/>
    <w:rsid w:val="00EA1562"/>
    <w:rsid w:val="00EA15CE"/>
    <w:rsid w:val="00EA3E9D"/>
    <w:rsid w:val="00EA4FE9"/>
    <w:rsid w:val="00EA7007"/>
    <w:rsid w:val="00EB09E9"/>
    <w:rsid w:val="00EB29E9"/>
    <w:rsid w:val="00EB7115"/>
    <w:rsid w:val="00EB77DB"/>
    <w:rsid w:val="00EC1206"/>
    <w:rsid w:val="00EC1360"/>
    <w:rsid w:val="00EC194F"/>
    <w:rsid w:val="00ED1C0D"/>
    <w:rsid w:val="00EE37A5"/>
    <w:rsid w:val="00EE6DE5"/>
    <w:rsid w:val="00EE732B"/>
    <w:rsid w:val="00EF2077"/>
    <w:rsid w:val="00EF6C0E"/>
    <w:rsid w:val="00F11E7D"/>
    <w:rsid w:val="00F1690E"/>
    <w:rsid w:val="00F23328"/>
    <w:rsid w:val="00F24EDD"/>
    <w:rsid w:val="00F25B68"/>
    <w:rsid w:val="00F27D77"/>
    <w:rsid w:val="00F30EA1"/>
    <w:rsid w:val="00F33E2A"/>
    <w:rsid w:val="00F34D3B"/>
    <w:rsid w:val="00F36BBC"/>
    <w:rsid w:val="00F51A79"/>
    <w:rsid w:val="00F51DE3"/>
    <w:rsid w:val="00F56266"/>
    <w:rsid w:val="00F56275"/>
    <w:rsid w:val="00F57145"/>
    <w:rsid w:val="00F609C9"/>
    <w:rsid w:val="00F67F0A"/>
    <w:rsid w:val="00F750FF"/>
    <w:rsid w:val="00F757CA"/>
    <w:rsid w:val="00F75C9A"/>
    <w:rsid w:val="00F774C9"/>
    <w:rsid w:val="00F77B2A"/>
    <w:rsid w:val="00F828A0"/>
    <w:rsid w:val="00F8341F"/>
    <w:rsid w:val="00F878E8"/>
    <w:rsid w:val="00F95A3A"/>
    <w:rsid w:val="00FA0194"/>
    <w:rsid w:val="00FA1156"/>
    <w:rsid w:val="00FA3C78"/>
    <w:rsid w:val="00FB3837"/>
    <w:rsid w:val="00FB5AC3"/>
    <w:rsid w:val="00FC5F81"/>
    <w:rsid w:val="00FC6344"/>
    <w:rsid w:val="00FD2E80"/>
    <w:rsid w:val="00FD3848"/>
    <w:rsid w:val="00FD53ED"/>
    <w:rsid w:val="00FD5859"/>
    <w:rsid w:val="00FD7A74"/>
    <w:rsid w:val="00FE33C3"/>
    <w:rsid w:val="00FE4371"/>
    <w:rsid w:val="00FE5983"/>
    <w:rsid w:val="00FE6FA8"/>
    <w:rsid w:val="00FF4D18"/>
    <w:rsid w:val="00FF4E33"/>
    <w:rsid w:val="00FF6DFE"/>
    <w:rsid w:val="00FF71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016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00323"/>
    <w:pPr>
      <w:ind w:left="720"/>
      <w:contextualSpacing/>
    </w:pPr>
  </w:style>
  <w:style w:type="paragraph" w:styleId="FootnoteText">
    <w:name w:val="footnote text"/>
    <w:aliases w:val="Footnote Text Char Char1,Footnote Text Char Char Char Char Carácter Carácter,Footnote Text Char Char1 Char Car Carácter Carácter,Footnote,Footnote1,Footnote2,Footnote3,Footnote4,Footnote5,Footnote6,Footnote7,o,Fußnote,Fußnotentext Char,fn"/>
    <w:basedOn w:val="Normal"/>
    <w:link w:val="FootnoteTextChar"/>
    <w:uiPriority w:val="99"/>
    <w:qFormat/>
    <w:rsid w:val="00900323"/>
    <w:pPr>
      <w:spacing w:after="60" w:line="240" w:lineRule="auto"/>
      <w:ind w:left="357" w:hanging="357"/>
      <w:jc w:val="both"/>
    </w:pPr>
    <w:rPr>
      <w:rFonts w:ascii="Verdana" w:eastAsia="Times New Roman" w:hAnsi="Verdana" w:cs="Verdana"/>
      <w:sz w:val="16"/>
      <w:szCs w:val="16"/>
    </w:rPr>
  </w:style>
  <w:style w:type="character" w:customStyle="1" w:styleId="FootnoteTextChar">
    <w:name w:val="Footnote Text Char"/>
    <w:aliases w:val="Footnote Text Char Char1 Char,Footnote Text Char Char Char Char Carácter Carácter Char,Footnote Text Char Char1 Char Car Carácter Carácter Char,Footnote Char,Footnote1 Char,Footnote2 Char,Footnote3 Char,Footnote4 Char,Footnote5 Char"/>
    <w:basedOn w:val="DefaultParagraphFont"/>
    <w:link w:val="FootnoteText"/>
    <w:uiPriority w:val="99"/>
    <w:rsid w:val="00900323"/>
    <w:rPr>
      <w:rFonts w:ascii="Verdana" w:eastAsia="Times New Roman" w:hAnsi="Verdana" w:cs="Verdana"/>
      <w:sz w:val="16"/>
      <w:szCs w:val="16"/>
    </w:rPr>
  </w:style>
  <w:style w:type="character" w:styleId="FootnoteReference">
    <w:name w:val="footnote reference"/>
    <w:aliases w:val="Footnotes,Footnote Reference Superscript,Footnote symbol,Footnote Reference Number,BVI fnr,Voetnootverwijzing,Footnote reference number,Times 10 Point,Exposant 3 Point,Ref,de nota al pie,note TESI,SUPERS,FR,ftre,Odwołanie przypisu"/>
    <w:basedOn w:val="DefaultParagraphFont"/>
    <w:link w:val="FootnoteReferenceCharCarCharCharCarCharCarCharCarCharCarCharCharCarCarCharCharCharCharCharCarCharCarCharCharCarCharCar"/>
    <w:uiPriority w:val="99"/>
    <w:qFormat/>
    <w:rsid w:val="00900323"/>
    <w:rPr>
      <w:vertAlign w:val="superscript"/>
    </w:rPr>
  </w:style>
  <w:style w:type="paragraph" w:styleId="BodyText">
    <w:name w:val="Body Text"/>
    <w:basedOn w:val="Normal"/>
    <w:link w:val="BodyTextChar"/>
    <w:qFormat/>
    <w:rsid w:val="00900323"/>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00323"/>
    <w:rPr>
      <w:rFonts w:ascii="Times New Roman" w:eastAsia="Times New Roman" w:hAnsi="Times New Roman" w:cs="Times New Roman"/>
      <w:sz w:val="24"/>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900323"/>
    <w:pPr>
      <w:spacing w:after="160" w:line="240" w:lineRule="exact"/>
      <w:ind w:right="140"/>
      <w:jc w:val="both"/>
    </w:pPr>
    <w:rPr>
      <w:vertAlign w:val="superscript"/>
    </w:rPr>
  </w:style>
  <w:style w:type="character" w:styleId="CommentReference">
    <w:name w:val="annotation reference"/>
    <w:basedOn w:val="DefaultParagraphFont"/>
    <w:uiPriority w:val="99"/>
    <w:semiHidden/>
    <w:unhideWhenUsed/>
    <w:rsid w:val="00A87F1C"/>
    <w:rPr>
      <w:sz w:val="16"/>
      <w:szCs w:val="16"/>
    </w:rPr>
  </w:style>
  <w:style w:type="paragraph" w:styleId="CommentText">
    <w:name w:val="annotation text"/>
    <w:basedOn w:val="Normal"/>
    <w:link w:val="CommentTextChar"/>
    <w:uiPriority w:val="99"/>
    <w:unhideWhenUsed/>
    <w:rsid w:val="00A87F1C"/>
    <w:pPr>
      <w:spacing w:line="240" w:lineRule="auto"/>
    </w:pPr>
    <w:rPr>
      <w:sz w:val="20"/>
      <w:szCs w:val="20"/>
    </w:rPr>
  </w:style>
  <w:style w:type="character" w:customStyle="1" w:styleId="CommentTextChar">
    <w:name w:val="Comment Text Char"/>
    <w:basedOn w:val="DefaultParagraphFont"/>
    <w:link w:val="CommentText"/>
    <w:uiPriority w:val="99"/>
    <w:rsid w:val="00A87F1C"/>
    <w:rPr>
      <w:sz w:val="20"/>
      <w:szCs w:val="20"/>
    </w:rPr>
  </w:style>
  <w:style w:type="paragraph" w:styleId="CommentSubject">
    <w:name w:val="annotation subject"/>
    <w:basedOn w:val="CommentText"/>
    <w:next w:val="CommentText"/>
    <w:link w:val="CommentSubjectChar"/>
    <w:uiPriority w:val="99"/>
    <w:semiHidden/>
    <w:unhideWhenUsed/>
    <w:rsid w:val="00A87F1C"/>
    <w:rPr>
      <w:b/>
      <w:bCs/>
    </w:rPr>
  </w:style>
  <w:style w:type="character" w:customStyle="1" w:styleId="CommentSubjectChar">
    <w:name w:val="Comment Subject Char"/>
    <w:basedOn w:val="CommentTextChar"/>
    <w:link w:val="CommentSubject"/>
    <w:uiPriority w:val="99"/>
    <w:semiHidden/>
    <w:rsid w:val="00A87F1C"/>
    <w:rPr>
      <w:b/>
      <w:bCs/>
      <w:sz w:val="20"/>
      <w:szCs w:val="20"/>
    </w:rPr>
  </w:style>
  <w:style w:type="paragraph" w:styleId="BalloonText">
    <w:name w:val="Balloon Text"/>
    <w:basedOn w:val="Normal"/>
    <w:link w:val="BalloonTextChar"/>
    <w:uiPriority w:val="99"/>
    <w:semiHidden/>
    <w:unhideWhenUsed/>
    <w:rsid w:val="00A8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F1C"/>
    <w:rPr>
      <w:rFonts w:ascii="Tahoma" w:hAnsi="Tahoma" w:cs="Tahoma"/>
      <w:sz w:val="16"/>
      <w:szCs w:val="16"/>
    </w:rPr>
  </w:style>
  <w:style w:type="character" w:styleId="Hyperlink">
    <w:name w:val="Hyperlink"/>
    <w:basedOn w:val="DefaultParagraphFont"/>
    <w:uiPriority w:val="99"/>
    <w:unhideWhenUsed/>
    <w:rsid w:val="00EC194F"/>
    <w:rPr>
      <w:color w:val="0000FF"/>
      <w:u w:val="single"/>
    </w:rPr>
  </w:style>
  <w:style w:type="character" w:customStyle="1" w:styleId="Heading2Char">
    <w:name w:val="Heading 2 Char"/>
    <w:basedOn w:val="DefaultParagraphFont"/>
    <w:link w:val="Heading2"/>
    <w:uiPriority w:val="9"/>
    <w:rsid w:val="0023016A"/>
    <w:rPr>
      <w:rFonts w:ascii="Times New Roman" w:eastAsia="Times New Roman" w:hAnsi="Times New Roman" w:cs="Times New Roman"/>
      <w:b/>
      <w:bCs/>
      <w:sz w:val="36"/>
      <w:szCs w:val="36"/>
      <w:lang w:eastAsia="en-GB"/>
    </w:rPr>
  </w:style>
  <w:style w:type="paragraph" w:customStyle="1" w:styleId="bullet">
    <w:name w:val="bullet"/>
    <w:basedOn w:val="Normal"/>
    <w:link w:val="bulletChar"/>
    <w:qFormat/>
    <w:rsid w:val="008B05A3"/>
    <w:pPr>
      <w:numPr>
        <w:numId w:val="5"/>
      </w:numPr>
      <w:spacing w:after="0" w:line="240" w:lineRule="auto"/>
      <w:jc w:val="both"/>
    </w:pPr>
    <w:rPr>
      <w:rFonts w:ascii="Verdana" w:eastAsia="Times New Roman" w:hAnsi="Verdana" w:cs="Times New Roman"/>
      <w:sz w:val="20"/>
      <w:szCs w:val="20"/>
      <w:lang w:eastAsia="de-DE"/>
    </w:rPr>
  </w:style>
  <w:style w:type="character" w:customStyle="1" w:styleId="bulletChar">
    <w:name w:val="bullet Char"/>
    <w:basedOn w:val="DefaultParagraphFont"/>
    <w:link w:val="bullet"/>
    <w:rsid w:val="008B05A3"/>
    <w:rPr>
      <w:rFonts w:ascii="Verdana" w:eastAsia="Times New Roman" w:hAnsi="Verdana" w:cs="Times New Roman"/>
      <w:sz w:val="20"/>
      <w:szCs w:val="20"/>
      <w:lang w:eastAsia="de-DE"/>
    </w:rPr>
  </w:style>
  <w:style w:type="paragraph" w:styleId="NormalWeb">
    <w:name w:val="Normal (Web)"/>
    <w:basedOn w:val="Normal"/>
    <w:uiPriority w:val="99"/>
    <w:unhideWhenUsed/>
    <w:rsid w:val="008B05A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8B05A3"/>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14E7A"/>
    <w:rPr>
      <w:b/>
      <w:bCs/>
    </w:rPr>
  </w:style>
  <w:style w:type="paragraph" w:styleId="Header">
    <w:name w:val="header"/>
    <w:basedOn w:val="Normal"/>
    <w:link w:val="HeaderChar"/>
    <w:uiPriority w:val="99"/>
    <w:unhideWhenUsed/>
    <w:rsid w:val="004454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54ED"/>
  </w:style>
  <w:style w:type="paragraph" w:styleId="Footer">
    <w:name w:val="footer"/>
    <w:basedOn w:val="Normal"/>
    <w:link w:val="FooterChar"/>
    <w:uiPriority w:val="99"/>
    <w:unhideWhenUsed/>
    <w:rsid w:val="004454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54ED"/>
  </w:style>
  <w:style w:type="character" w:customStyle="1" w:styleId="Marker">
    <w:name w:val="Marker"/>
    <w:basedOn w:val="DefaultParagraphFont"/>
    <w:rsid w:val="00F27D77"/>
    <w:rPr>
      <w:color w:val="0000FF"/>
      <w:shd w:val="clear" w:color="auto" w:fill="auto"/>
    </w:rPr>
  </w:style>
  <w:style w:type="paragraph" w:customStyle="1" w:styleId="Pagedecouverture">
    <w:name w:val="Page de couverture"/>
    <w:basedOn w:val="Normal"/>
    <w:next w:val="Normal"/>
    <w:rsid w:val="00F27D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27D77"/>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7D77"/>
    <w:rPr>
      <w:rFonts w:ascii="Times New Roman" w:hAnsi="Times New Roman" w:cs="Times New Roman"/>
      <w:sz w:val="24"/>
    </w:rPr>
  </w:style>
  <w:style w:type="paragraph" w:customStyle="1" w:styleId="FooterSensitivity">
    <w:name w:val="Footer Sensitivity"/>
    <w:basedOn w:val="Normal"/>
    <w:link w:val="FooterSensitivityChar"/>
    <w:rsid w:val="00F27D77"/>
    <w:pPr>
      <w:pBdr>
        <w:top w:val="single" w:sz="4" w:space="1" w:color="auto"/>
        <w:left w:val="single" w:sz="4" w:space="4" w:color="auto"/>
        <w:bottom w:val="single" w:sz="4" w:space="1" w:color="auto"/>
        <w:right w:val="single" w:sz="4" w:space="4" w:color="auto"/>
      </w:pBdr>
      <w:autoSpaceDE w:val="0"/>
      <w:autoSpaceDN w:val="0"/>
      <w:adjustRightInd w:val="0"/>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7D77"/>
    <w:rPr>
      <w:rFonts w:ascii="Times New Roman" w:hAnsi="Times New Roman" w:cs="Times New Roman"/>
      <w:b/>
      <w:sz w:val="32"/>
    </w:rPr>
  </w:style>
  <w:style w:type="paragraph" w:customStyle="1" w:styleId="HeaderCoverPage">
    <w:name w:val="Header Cover Page"/>
    <w:basedOn w:val="Normal"/>
    <w:link w:val="HeaderCoverPageChar"/>
    <w:rsid w:val="00F27D77"/>
    <w:pPr>
      <w:tabs>
        <w:tab w:val="center" w:pos="4535"/>
        <w:tab w:val="right" w:pos="9071"/>
      </w:tabs>
      <w:autoSpaceDE w:val="0"/>
      <w:autoSpaceDN w:val="0"/>
      <w:adjustRightInd w:val="0"/>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7D77"/>
    <w:rPr>
      <w:rFonts w:ascii="Times New Roman" w:hAnsi="Times New Roman" w:cs="Times New Roman"/>
      <w:sz w:val="24"/>
    </w:rPr>
  </w:style>
  <w:style w:type="paragraph" w:customStyle="1" w:styleId="HeaderSensitivity">
    <w:name w:val="Header Sensitivity"/>
    <w:basedOn w:val="Normal"/>
    <w:link w:val="HeaderSensitivityChar"/>
    <w:rsid w:val="00F27D77"/>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7D77"/>
    <w:rPr>
      <w:rFonts w:ascii="Times New Roman" w:hAnsi="Times New Roman" w:cs="Times New Roman"/>
      <w:b/>
      <w:sz w:val="32"/>
    </w:rPr>
  </w:style>
  <w:style w:type="paragraph" w:styleId="NormalIndent">
    <w:name w:val="Normal Indent"/>
    <w:basedOn w:val="Normal"/>
    <w:link w:val="NormalIndentChar"/>
    <w:uiPriority w:val="99"/>
    <w:unhideWhenUsed/>
    <w:rsid w:val="004B1D3A"/>
    <w:pPr>
      <w:spacing w:after="240" w:line="240" w:lineRule="auto"/>
      <w:ind w:left="720"/>
      <w:jc w:val="both"/>
    </w:pPr>
    <w:rPr>
      <w:rFonts w:ascii="Verdana" w:eastAsia="Times New Roman" w:hAnsi="Verdana" w:cs="Verdana"/>
      <w:sz w:val="20"/>
      <w:szCs w:val="20"/>
      <w:lang w:val="fr-FR"/>
    </w:rPr>
  </w:style>
  <w:style w:type="character" w:customStyle="1" w:styleId="NormalIndentChar">
    <w:name w:val="Normal Indent Char"/>
    <w:link w:val="NormalIndent"/>
    <w:uiPriority w:val="99"/>
    <w:rsid w:val="004B1D3A"/>
    <w:rPr>
      <w:rFonts w:ascii="Verdana" w:eastAsia="Times New Roman" w:hAnsi="Verdana" w:cs="Verdana"/>
      <w:sz w:val="20"/>
      <w:szCs w:val="20"/>
      <w:lang w:val="fr-FR"/>
    </w:rPr>
  </w:style>
  <w:style w:type="paragraph" w:styleId="NoSpacing">
    <w:name w:val="No Spacing"/>
    <w:link w:val="NoSpacingChar"/>
    <w:qFormat/>
    <w:rsid w:val="004B1D3A"/>
    <w:pPr>
      <w:spacing w:after="0" w:line="240" w:lineRule="auto"/>
    </w:pPr>
  </w:style>
  <w:style w:type="character" w:customStyle="1" w:styleId="NoSpacingChar">
    <w:name w:val="No Spacing Char"/>
    <w:basedOn w:val="DefaultParagraphFont"/>
    <w:link w:val="NoSpacing"/>
    <w:rsid w:val="004B1D3A"/>
  </w:style>
  <w:style w:type="paragraph" w:styleId="Revision">
    <w:name w:val="Revision"/>
    <w:hidden/>
    <w:uiPriority w:val="99"/>
    <w:semiHidden/>
    <w:rsid w:val="00D94741"/>
    <w:pPr>
      <w:spacing w:after="0" w:line="240" w:lineRule="auto"/>
    </w:pPr>
  </w:style>
  <w:style w:type="character" w:styleId="FollowedHyperlink">
    <w:name w:val="FollowedHyperlink"/>
    <w:basedOn w:val="DefaultParagraphFont"/>
    <w:uiPriority w:val="99"/>
    <w:semiHidden/>
    <w:unhideWhenUsed/>
    <w:rsid w:val="00121D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016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00323"/>
    <w:pPr>
      <w:ind w:left="720"/>
      <w:contextualSpacing/>
    </w:pPr>
  </w:style>
  <w:style w:type="paragraph" w:styleId="FootnoteText">
    <w:name w:val="footnote text"/>
    <w:aliases w:val="Footnote Text Char Char1,Footnote Text Char Char Char Char Carácter Carácter,Footnote Text Char Char1 Char Car Carácter Carácter,Footnote,Footnote1,Footnote2,Footnote3,Footnote4,Footnote5,Footnote6,Footnote7,o,Fußnote,Fußnotentext Char,fn"/>
    <w:basedOn w:val="Normal"/>
    <w:link w:val="FootnoteTextChar"/>
    <w:uiPriority w:val="99"/>
    <w:qFormat/>
    <w:rsid w:val="00900323"/>
    <w:pPr>
      <w:spacing w:after="60" w:line="240" w:lineRule="auto"/>
      <w:ind w:left="357" w:hanging="357"/>
      <w:jc w:val="both"/>
    </w:pPr>
    <w:rPr>
      <w:rFonts w:ascii="Verdana" w:eastAsia="Times New Roman" w:hAnsi="Verdana" w:cs="Verdana"/>
      <w:sz w:val="16"/>
      <w:szCs w:val="16"/>
    </w:rPr>
  </w:style>
  <w:style w:type="character" w:customStyle="1" w:styleId="FootnoteTextChar">
    <w:name w:val="Footnote Text Char"/>
    <w:aliases w:val="Footnote Text Char Char1 Char,Footnote Text Char Char Char Char Carácter Carácter Char,Footnote Text Char Char1 Char Car Carácter Carácter Char,Footnote Char,Footnote1 Char,Footnote2 Char,Footnote3 Char,Footnote4 Char,Footnote5 Char"/>
    <w:basedOn w:val="DefaultParagraphFont"/>
    <w:link w:val="FootnoteText"/>
    <w:uiPriority w:val="99"/>
    <w:rsid w:val="00900323"/>
    <w:rPr>
      <w:rFonts w:ascii="Verdana" w:eastAsia="Times New Roman" w:hAnsi="Verdana" w:cs="Verdana"/>
      <w:sz w:val="16"/>
      <w:szCs w:val="16"/>
    </w:rPr>
  </w:style>
  <w:style w:type="character" w:styleId="FootnoteReference">
    <w:name w:val="footnote reference"/>
    <w:aliases w:val="Footnotes,Footnote Reference Superscript,Footnote symbol,Footnote Reference Number,BVI fnr,Voetnootverwijzing,Footnote reference number,Times 10 Point,Exposant 3 Point,Ref,de nota al pie,note TESI,SUPERS,FR,ftre,Odwołanie przypisu"/>
    <w:basedOn w:val="DefaultParagraphFont"/>
    <w:link w:val="FootnoteReferenceCharCarCharCharCarCharCarCharCarCharCarCharCharCarCarCharCharCharCharCharCarCharCarCharCharCarCharCar"/>
    <w:uiPriority w:val="99"/>
    <w:qFormat/>
    <w:rsid w:val="00900323"/>
    <w:rPr>
      <w:vertAlign w:val="superscript"/>
    </w:rPr>
  </w:style>
  <w:style w:type="paragraph" w:styleId="BodyText">
    <w:name w:val="Body Text"/>
    <w:basedOn w:val="Normal"/>
    <w:link w:val="BodyTextChar"/>
    <w:qFormat/>
    <w:rsid w:val="00900323"/>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00323"/>
    <w:rPr>
      <w:rFonts w:ascii="Times New Roman" w:eastAsia="Times New Roman" w:hAnsi="Times New Roman" w:cs="Times New Roman"/>
      <w:sz w:val="24"/>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900323"/>
    <w:pPr>
      <w:spacing w:after="160" w:line="240" w:lineRule="exact"/>
      <w:ind w:right="140"/>
      <w:jc w:val="both"/>
    </w:pPr>
    <w:rPr>
      <w:vertAlign w:val="superscript"/>
    </w:rPr>
  </w:style>
  <w:style w:type="character" w:styleId="CommentReference">
    <w:name w:val="annotation reference"/>
    <w:basedOn w:val="DefaultParagraphFont"/>
    <w:uiPriority w:val="99"/>
    <w:semiHidden/>
    <w:unhideWhenUsed/>
    <w:rsid w:val="00A87F1C"/>
    <w:rPr>
      <w:sz w:val="16"/>
      <w:szCs w:val="16"/>
    </w:rPr>
  </w:style>
  <w:style w:type="paragraph" w:styleId="CommentText">
    <w:name w:val="annotation text"/>
    <w:basedOn w:val="Normal"/>
    <w:link w:val="CommentTextChar"/>
    <w:uiPriority w:val="99"/>
    <w:unhideWhenUsed/>
    <w:rsid w:val="00A87F1C"/>
    <w:pPr>
      <w:spacing w:line="240" w:lineRule="auto"/>
    </w:pPr>
    <w:rPr>
      <w:sz w:val="20"/>
      <w:szCs w:val="20"/>
    </w:rPr>
  </w:style>
  <w:style w:type="character" w:customStyle="1" w:styleId="CommentTextChar">
    <w:name w:val="Comment Text Char"/>
    <w:basedOn w:val="DefaultParagraphFont"/>
    <w:link w:val="CommentText"/>
    <w:uiPriority w:val="99"/>
    <w:rsid w:val="00A87F1C"/>
    <w:rPr>
      <w:sz w:val="20"/>
      <w:szCs w:val="20"/>
    </w:rPr>
  </w:style>
  <w:style w:type="paragraph" w:styleId="CommentSubject">
    <w:name w:val="annotation subject"/>
    <w:basedOn w:val="CommentText"/>
    <w:next w:val="CommentText"/>
    <w:link w:val="CommentSubjectChar"/>
    <w:uiPriority w:val="99"/>
    <w:semiHidden/>
    <w:unhideWhenUsed/>
    <w:rsid w:val="00A87F1C"/>
    <w:rPr>
      <w:b/>
      <w:bCs/>
    </w:rPr>
  </w:style>
  <w:style w:type="character" w:customStyle="1" w:styleId="CommentSubjectChar">
    <w:name w:val="Comment Subject Char"/>
    <w:basedOn w:val="CommentTextChar"/>
    <w:link w:val="CommentSubject"/>
    <w:uiPriority w:val="99"/>
    <w:semiHidden/>
    <w:rsid w:val="00A87F1C"/>
    <w:rPr>
      <w:b/>
      <w:bCs/>
      <w:sz w:val="20"/>
      <w:szCs w:val="20"/>
    </w:rPr>
  </w:style>
  <w:style w:type="paragraph" w:styleId="BalloonText">
    <w:name w:val="Balloon Text"/>
    <w:basedOn w:val="Normal"/>
    <w:link w:val="BalloonTextChar"/>
    <w:uiPriority w:val="99"/>
    <w:semiHidden/>
    <w:unhideWhenUsed/>
    <w:rsid w:val="00A8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F1C"/>
    <w:rPr>
      <w:rFonts w:ascii="Tahoma" w:hAnsi="Tahoma" w:cs="Tahoma"/>
      <w:sz w:val="16"/>
      <w:szCs w:val="16"/>
    </w:rPr>
  </w:style>
  <w:style w:type="character" w:styleId="Hyperlink">
    <w:name w:val="Hyperlink"/>
    <w:basedOn w:val="DefaultParagraphFont"/>
    <w:uiPriority w:val="99"/>
    <w:unhideWhenUsed/>
    <w:rsid w:val="00EC194F"/>
    <w:rPr>
      <w:color w:val="0000FF"/>
      <w:u w:val="single"/>
    </w:rPr>
  </w:style>
  <w:style w:type="character" w:customStyle="1" w:styleId="Heading2Char">
    <w:name w:val="Heading 2 Char"/>
    <w:basedOn w:val="DefaultParagraphFont"/>
    <w:link w:val="Heading2"/>
    <w:uiPriority w:val="9"/>
    <w:rsid w:val="0023016A"/>
    <w:rPr>
      <w:rFonts w:ascii="Times New Roman" w:eastAsia="Times New Roman" w:hAnsi="Times New Roman" w:cs="Times New Roman"/>
      <w:b/>
      <w:bCs/>
      <w:sz w:val="36"/>
      <w:szCs w:val="36"/>
      <w:lang w:eastAsia="en-GB"/>
    </w:rPr>
  </w:style>
  <w:style w:type="paragraph" w:customStyle="1" w:styleId="bullet">
    <w:name w:val="bullet"/>
    <w:basedOn w:val="Normal"/>
    <w:link w:val="bulletChar"/>
    <w:qFormat/>
    <w:rsid w:val="008B05A3"/>
    <w:pPr>
      <w:numPr>
        <w:numId w:val="5"/>
      </w:numPr>
      <w:spacing w:after="0" w:line="240" w:lineRule="auto"/>
      <w:jc w:val="both"/>
    </w:pPr>
    <w:rPr>
      <w:rFonts w:ascii="Verdana" w:eastAsia="Times New Roman" w:hAnsi="Verdana" w:cs="Times New Roman"/>
      <w:sz w:val="20"/>
      <w:szCs w:val="20"/>
      <w:lang w:eastAsia="de-DE"/>
    </w:rPr>
  </w:style>
  <w:style w:type="character" w:customStyle="1" w:styleId="bulletChar">
    <w:name w:val="bullet Char"/>
    <w:basedOn w:val="DefaultParagraphFont"/>
    <w:link w:val="bullet"/>
    <w:rsid w:val="008B05A3"/>
    <w:rPr>
      <w:rFonts w:ascii="Verdana" w:eastAsia="Times New Roman" w:hAnsi="Verdana" w:cs="Times New Roman"/>
      <w:sz w:val="20"/>
      <w:szCs w:val="20"/>
      <w:lang w:eastAsia="de-DE"/>
    </w:rPr>
  </w:style>
  <w:style w:type="paragraph" w:styleId="NormalWeb">
    <w:name w:val="Normal (Web)"/>
    <w:basedOn w:val="Normal"/>
    <w:uiPriority w:val="99"/>
    <w:unhideWhenUsed/>
    <w:rsid w:val="008B05A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8B05A3"/>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14E7A"/>
    <w:rPr>
      <w:b/>
      <w:bCs/>
    </w:rPr>
  </w:style>
  <w:style w:type="paragraph" w:styleId="Header">
    <w:name w:val="header"/>
    <w:basedOn w:val="Normal"/>
    <w:link w:val="HeaderChar"/>
    <w:uiPriority w:val="99"/>
    <w:unhideWhenUsed/>
    <w:rsid w:val="004454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54ED"/>
  </w:style>
  <w:style w:type="paragraph" w:styleId="Footer">
    <w:name w:val="footer"/>
    <w:basedOn w:val="Normal"/>
    <w:link w:val="FooterChar"/>
    <w:uiPriority w:val="99"/>
    <w:unhideWhenUsed/>
    <w:rsid w:val="004454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54ED"/>
  </w:style>
  <w:style w:type="character" w:customStyle="1" w:styleId="Marker">
    <w:name w:val="Marker"/>
    <w:basedOn w:val="DefaultParagraphFont"/>
    <w:rsid w:val="00F27D77"/>
    <w:rPr>
      <w:color w:val="0000FF"/>
      <w:shd w:val="clear" w:color="auto" w:fill="auto"/>
    </w:rPr>
  </w:style>
  <w:style w:type="paragraph" w:customStyle="1" w:styleId="Pagedecouverture">
    <w:name w:val="Page de couverture"/>
    <w:basedOn w:val="Normal"/>
    <w:next w:val="Normal"/>
    <w:rsid w:val="00F27D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27D77"/>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7D77"/>
    <w:rPr>
      <w:rFonts w:ascii="Times New Roman" w:hAnsi="Times New Roman" w:cs="Times New Roman"/>
      <w:sz w:val="24"/>
    </w:rPr>
  </w:style>
  <w:style w:type="paragraph" w:customStyle="1" w:styleId="FooterSensitivity">
    <w:name w:val="Footer Sensitivity"/>
    <w:basedOn w:val="Normal"/>
    <w:link w:val="FooterSensitivityChar"/>
    <w:rsid w:val="00F27D77"/>
    <w:pPr>
      <w:pBdr>
        <w:top w:val="single" w:sz="4" w:space="1" w:color="auto"/>
        <w:left w:val="single" w:sz="4" w:space="4" w:color="auto"/>
        <w:bottom w:val="single" w:sz="4" w:space="1" w:color="auto"/>
        <w:right w:val="single" w:sz="4" w:space="4" w:color="auto"/>
      </w:pBdr>
      <w:autoSpaceDE w:val="0"/>
      <w:autoSpaceDN w:val="0"/>
      <w:adjustRightInd w:val="0"/>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7D77"/>
    <w:rPr>
      <w:rFonts w:ascii="Times New Roman" w:hAnsi="Times New Roman" w:cs="Times New Roman"/>
      <w:b/>
      <w:sz w:val="32"/>
    </w:rPr>
  </w:style>
  <w:style w:type="paragraph" w:customStyle="1" w:styleId="HeaderCoverPage">
    <w:name w:val="Header Cover Page"/>
    <w:basedOn w:val="Normal"/>
    <w:link w:val="HeaderCoverPageChar"/>
    <w:rsid w:val="00F27D77"/>
    <w:pPr>
      <w:tabs>
        <w:tab w:val="center" w:pos="4535"/>
        <w:tab w:val="right" w:pos="9071"/>
      </w:tabs>
      <w:autoSpaceDE w:val="0"/>
      <w:autoSpaceDN w:val="0"/>
      <w:adjustRightInd w:val="0"/>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7D77"/>
    <w:rPr>
      <w:rFonts w:ascii="Times New Roman" w:hAnsi="Times New Roman" w:cs="Times New Roman"/>
      <w:sz w:val="24"/>
    </w:rPr>
  </w:style>
  <w:style w:type="paragraph" w:customStyle="1" w:styleId="HeaderSensitivity">
    <w:name w:val="Header Sensitivity"/>
    <w:basedOn w:val="Normal"/>
    <w:link w:val="HeaderSensitivityChar"/>
    <w:rsid w:val="00F27D77"/>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7D77"/>
    <w:rPr>
      <w:rFonts w:ascii="Times New Roman" w:hAnsi="Times New Roman" w:cs="Times New Roman"/>
      <w:b/>
      <w:sz w:val="32"/>
    </w:rPr>
  </w:style>
  <w:style w:type="paragraph" w:styleId="NormalIndent">
    <w:name w:val="Normal Indent"/>
    <w:basedOn w:val="Normal"/>
    <w:link w:val="NormalIndentChar"/>
    <w:uiPriority w:val="99"/>
    <w:unhideWhenUsed/>
    <w:rsid w:val="004B1D3A"/>
    <w:pPr>
      <w:spacing w:after="240" w:line="240" w:lineRule="auto"/>
      <w:ind w:left="720"/>
      <w:jc w:val="both"/>
    </w:pPr>
    <w:rPr>
      <w:rFonts w:ascii="Verdana" w:eastAsia="Times New Roman" w:hAnsi="Verdana" w:cs="Verdana"/>
      <w:sz w:val="20"/>
      <w:szCs w:val="20"/>
      <w:lang w:val="fr-FR"/>
    </w:rPr>
  </w:style>
  <w:style w:type="character" w:customStyle="1" w:styleId="NormalIndentChar">
    <w:name w:val="Normal Indent Char"/>
    <w:link w:val="NormalIndent"/>
    <w:uiPriority w:val="99"/>
    <w:rsid w:val="004B1D3A"/>
    <w:rPr>
      <w:rFonts w:ascii="Verdana" w:eastAsia="Times New Roman" w:hAnsi="Verdana" w:cs="Verdana"/>
      <w:sz w:val="20"/>
      <w:szCs w:val="20"/>
      <w:lang w:val="fr-FR"/>
    </w:rPr>
  </w:style>
  <w:style w:type="paragraph" w:styleId="NoSpacing">
    <w:name w:val="No Spacing"/>
    <w:link w:val="NoSpacingChar"/>
    <w:qFormat/>
    <w:rsid w:val="004B1D3A"/>
    <w:pPr>
      <w:spacing w:after="0" w:line="240" w:lineRule="auto"/>
    </w:pPr>
  </w:style>
  <w:style w:type="character" w:customStyle="1" w:styleId="NoSpacingChar">
    <w:name w:val="No Spacing Char"/>
    <w:basedOn w:val="DefaultParagraphFont"/>
    <w:link w:val="NoSpacing"/>
    <w:rsid w:val="004B1D3A"/>
  </w:style>
  <w:style w:type="paragraph" w:styleId="Revision">
    <w:name w:val="Revision"/>
    <w:hidden/>
    <w:uiPriority w:val="99"/>
    <w:semiHidden/>
    <w:rsid w:val="00D94741"/>
    <w:pPr>
      <w:spacing w:after="0" w:line="240" w:lineRule="auto"/>
    </w:pPr>
  </w:style>
  <w:style w:type="character" w:styleId="FollowedHyperlink">
    <w:name w:val="FollowedHyperlink"/>
    <w:basedOn w:val="DefaultParagraphFont"/>
    <w:uiPriority w:val="99"/>
    <w:semiHidden/>
    <w:unhideWhenUsed/>
    <w:rsid w:val="00121D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499">
      <w:bodyDiv w:val="1"/>
      <w:marLeft w:val="0"/>
      <w:marRight w:val="0"/>
      <w:marTop w:val="0"/>
      <w:marBottom w:val="0"/>
      <w:divBdr>
        <w:top w:val="none" w:sz="0" w:space="0" w:color="auto"/>
        <w:left w:val="none" w:sz="0" w:space="0" w:color="auto"/>
        <w:bottom w:val="none" w:sz="0" w:space="0" w:color="auto"/>
        <w:right w:val="none" w:sz="0" w:space="0" w:color="auto"/>
      </w:divBdr>
    </w:div>
    <w:div w:id="5451496">
      <w:bodyDiv w:val="1"/>
      <w:marLeft w:val="0"/>
      <w:marRight w:val="0"/>
      <w:marTop w:val="0"/>
      <w:marBottom w:val="0"/>
      <w:divBdr>
        <w:top w:val="none" w:sz="0" w:space="0" w:color="auto"/>
        <w:left w:val="none" w:sz="0" w:space="0" w:color="auto"/>
        <w:bottom w:val="none" w:sz="0" w:space="0" w:color="auto"/>
        <w:right w:val="none" w:sz="0" w:space="0" w:color="auto"/>
      </w:divBdr>
    </w:div>
    <w:div w:id="30695500">
      <w:bodyDiv w:val="1"/>
      <w:marLeft w:val="0"/>
      <w:marRight w:val="0"/>
      <w:marTop w:val="0"/>
      <w:marBottom w:val="0"/>
      <w:divBdr>
        <w:top w:val="none" w:sz="0" w:space="0" w:color="auto"/>
        <w:left w:val="none" w:sz="0" w:space="0" w:color="auto"/>
        <w:bottom w:val="none" w:sz="0" w:space="0" w:color="auto"/>
        <w:right w:val="none" w:sz="0" w:space="0" w:color="auto"/>
      </w:divBdr>
    </w:div>
    <w:div w:id="173813471">
      <w:bodyDiv w:val="1"/>
      <w:marLeft w:val="0"/>
      <w:marRight w:val="0"/>
      <w:marTop w:val="0"/>
      <w:marBottom w:val="0"/>
      <w:divBdr>
        <w:top w:val="none" w:sz="0" w:space="0" w:color="auto"/>
        <w:left w:val="none" w:sz="0" w:space="0" w:color="auto"/>
        <w:bottom w:val="none" w:sz="0" w:space="0" w:color="auto"/>
        <w:right w:val="none" w:sz="0" w:space="0" w:color="auto"/>
      </w:divBdr>
    </w:div>
    <w:div w:id="735667672">
      <w:bodyDiv w:val="1"/>
      <w:marLeft w:val="0"/>
      <w:marRight w:val="0"/>
      <w:marTop w:val="0"/>
      <w:marBottom w:val="0"/>
      <w:divBdr>
        <w:top w:val="none" w:sz="0" w:space="0" w:color="auto"/>
        <w:left w:val="none" w:sz="0" w:space="0" w:color="auto"/>
        <w:bottom w:val="none" w:sz="0" w:space="0" w:color="auto"/>
        <w:right w:val="none" w:sz="0" w:space="0" w:color="auto"/>
      </w:divBdr>
    </w:div>
    <w:div w:id="823741341">
      <w:bodyDiv w:val="1"/>
      <w:marLeft w:val="0"/>
      <w:marRight w:val="0"/>
      <w:marTop w:val="0"/>
      <w:marBottom w:val="0"/>
      <w:divBdr>
        <w:top w:val="none" w:sz="0" w:space="0" w:color="auto"/>
        <w:left w:val="none" w:sz="0" w:space="0" w:color="auto"/>
        <w:bottom w:val="none" w:sz="0" w:space="0" w:color="auto"/>
        <w:right w:val="none" w:sz="0" w:space="0" w:color="auto"/>
      </w:divBdr>
    </w:div>
    <w:div w:id="1031804857">
      <w:bodyDiv w:val="1"/>
      <w:marLeft w:val="0"/>
      <w:marRight w:val="0"/>
      <w:marTop w:val="0"/>
      <w:marBottom w:val="0"/>
      <w:divBdr>
        <w:top w:val="none" w:sz="0" w:space="0" w:color="auto"/>
        <w:left w:val="none" w:sz="0" w:space="0" w:color="auto"/>
        <w:bottom w:val="none" w:sz="0" w:space="0" w:color="auto"/>
        <w:right w:val="none" w:sz="0" w:space="0" w:color="auto"/>
      </w:divBdr>
    </w:div>
    <w:div w:id="1436099331">
      <w:bodyDiv w:val="1"/>
      <w:marLeft w:val="0"/>
      <w:marRight w:val="0"/>
      <w:marTop w:val="0"/>
      <w:marBottom w:val="0"/>
      <w:divBdr>
        <w:top w:val="none" w:sz="0" w:space="0" w:color="auto"/>
        <w:left w:val="none" w:sz="0" w:space="0" w:color="auto"/>
        <w:bottom w:val="none" w:sz="0" w:space="0" w:color="auto"/>
        <w:right w:val="none" w:sz="0" w:space="0" w:color="auto"/>
      </w:divBdr>
    </w:div>
    <w:div w:id="150497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home-affairs/sites/homeaffairs/files/financing/fundings/pdf/integration/synthesis_of_the_national_evaluation_reports.pdf" TargetMode="External"/><Relationship Id="rId1" Type="http://schemas.openxmlformats.org/officeDocument/2006/relationships/hyperlink" Target="https://publications.europa.eu/fi/publication-detail/-/publication/38ae6def-51a1-11e8-be1d-01aa75ed71a1/language-fi/format-PDF/source-709342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80706-2292-4B7A-BBD4-C7615607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2760</Words>
  <Characters>24724</Characters>
  <Application>Microsoft Office Word</Application>
  <DocSecurity>0</DocSecurity>
  <Lines>383</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2018-06-29T17:21:00Z</dcterms:created>
  <dcterms:modified xsi:type="dcterms:W3CDTF">2018-06-29T17:23:00Z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