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570FFAC5-AAA4-4605-84DC-0FA7604126D3" style="width:450.75pt;height:320.65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keepNext/>
        <w:numPr>
          <w:ilvl w:val="0"/>
          <w:numId w:val="2"/>
        </w:numPr>
        <w:shd w:val="clear" w:color="auto" w:fill="FFFFFF"/>
        <w:spacing w:before="360" w:after="120" w:line="240" w:lineRule="auto"/>
        <w:jc w:val="both"/>
        <w:outlineLvl w:val="0"/>
        <w:rPr>
          <w:rStyle w:val="Heading1Char"/>
          <w:rFonts w:eastAsia="Calibri"/>
          <w:noProof/>
        </w:rPr>
      </w:pPr>
      <w:bookmarkStart w:id="1" w:name="_Toc410373480"/>
      <w:bookmarkStart w:id="2" w:name="_Toc413919809"/>
      <w:bookmarkStart w:id="3" w:name="_Toc413920795"/>
      <w:bookmarkStart w:id="4" w:name="_Toc414992036"/>
      <w:bookmarkStart w:id="5" w:name="_Toc415146506"/>
      <w:bookmarkStart w:id="6" w:name="_GoBack"/>
      <w:bookmarkEnd w:id="6"/>
      <w:r>
        <w:rPr>
          <w:rStyle w:val="Heading1Char"/>
          <w:rFonts w:eastAsia="Calibri"/>
          <w:noProof/>
        </w:rPr>
        <w:lastRenderedPageBreak/>
        <w:t>Tausta</w:t>
      </w:r>
      <w:bookmarkEnd w:id="1"/>
      <w:bookmarkEnd w:id="2"/>
      <w:bookmarkEnd w:id="3"/>
      <w:bookmarkEnd w:id="4"/>
      <w:bookmarkEnd w:id="5"/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Euroopan parlamentin ja neuvoston asetus (EY) N:o 138/2004</w:t>
      </w:r>
      <w:r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noProof/>
          <w:sz w:val="24"/>
        </w:rPr>
        <w:t xml:space="preserve"> maatalouden taloustileistä yhteisössä hyväksyttiin joulukuussa 2003. </w:t>
      </w:r>
      <w:r>
        <w:rPr>
          <w:rFonts w:ascii="Times New Roman" w:hAnsi="Times New Roman"/>
          <w:noProof/>
          <w:sz w:val="24"/>
          <w:szCs w:val="24"/>
        </w:rPr>
        <w:t>Sitä muutettiin tiettyjen maataloustilasto- ja kalastustilastoalan säädösten muuttamisesta 11. joulukuuta 2013 annetulla Euroopan parlamentin ja neuvoston asetuksella (EU) N:o 1350/2013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3"/>
      </w:r>
      <w:r>
        <w:rPr>
          <w:rFonts w:ascii="Times New Roman" w:hAnsi="Times New Roman"/>
          <w:noProof/>
          <w:sz w:val="24"/>
          <w:szCs w:val="24"/>
        </w:rPr>
        <w:t>, jotta täytäntöönpanovalta voitiin yhdenmukaistaa Euroopan unionin toiminnasta tehdyn sopimuksen määräyksiin nähden.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Asetuksen (EY) N:o 138/2004 4 artiklan 2 kohdalla komissiolle siirretään valta hyväksyä delegoituja säädöksiä. Asetuksen 2 artiklan 2 kohdan mukaan valtaa antaa delegoituja säädöksiä voidaan käyttää liitteessä I vahvistettujen maatalouden taloustilien menetelmien muuttamiseksi ja 3 artiklan 3 kohdan mukaan liitteessä II vahvistetun tietojen toimittamiseen liittyvän muuttujien luettelon muuttamiseksi.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Asetuksen 4 artiklan 2 kohdan mukaisesti valta antaa delegoituja säädöksiä siirretään viideksi vuodeksi 10. päivästä tammikuuta 2014. Säädösvallan siirtoa jatketaan ilman eri toimenpiteitä viiden vuoden pituisiksi kausiksi, jollei Euroopan parlamentti tai neuvosto vastusta sitä.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Komission on laadittava siirrettyä säädösvaltaa koskeva kertomus viimeistään yhdeksän kuukautta ennen viiden vuoden kauden päättymistä. Tällä kertomuksella täytetään kyseinen velvollisuus.</w:t>
      </w:r>
    </w:p>
    <w:p>
      <w:pPr>
        <w:keepNext/>
        <w:numPr>
          <w:ilvl w:val="0"/>
          <w:numId w:val="2"/>
        </w:numPr>
        <w:shd w:val="clear" w:color="auto" w:fill="FFFFFF"/>
        <w:spacing w:before="360" w:after="120" w:line="240" w:lineRule="auto"/>
        <w:jc w:val="both"/>
        <w:outlineLvl w:val="0"/>
        <w:rPr>
          <w:rFonts w:ascii="Times New Roman" w:eastAsia="Times New Roman" w:hAnsi="Times New Roman"/>
          <w:b/>
          <w:bCs/>
          <w:smallCaps/>
          <w:noProof/>
          <w:sz w:val="24"/>
          <w:szCs w:val="28"/>
        </w:rPr>
      </w:pPr>
      <w:bookmarkStart w:id="7" w:name="_Toc413919810"/>
      <w:bookmarkStart w:id="8" w:name="_Toc413920796"/>
      <w:bookmarkStart w:id="9" w:name="_Toc414992037"/>
      <w:bookmarkStart w:id="10" w:name="_Toc415146507"/>
      <w:bookmarkStart w:id="11" w:name="_Toc342558478"/>
      <w:bookmarkStart w:id="12" w:name="_Toc410373481"/>
      <w:r>
        <w:rPr>
          <w:rStyle w:val="Heading1Char"/>
          <w:rFonts w:eastAsia="Calibri"/>
          <w:noProof/>
        </w:rPr>
        <w:t>Komission harjoittama siirretyn säädösvallan</w:t>
      </w:r>
      <w:r>
        <w:rPr>
          <w:noProof/>
        </w:rPr>
        <w:t xml:space="preserve"> </w:t>
      </w:r>
      <w:r>
        <w:rPr>
          <w:rFonts w:ascii="Times New Roman" w:hAnsi="Times New Roman"/>
          <w:b/>
          <w:smallCaps/>
          <w:noProof/>
          <w:sz w:val="24"/>
        </w:rPr>
        <w:t>käyttäminen asetuksen (EY) N:o 138/2004</w:t>
      </w:r>
      <w:bookmarkEnd w:id="7"/>
      <w:bookmarkEnd w:id="8"/>
      <w:bookmarkEnd w:id="9"/>
      <w:bookmarkEnd w:id="10"/>
      <w:r>
        <w:rPr>
          <w:rFonts w:ascii="Times New Roman" w:hAnsi="Times New Roman"/>
          <w:b/>
          <w:smallCaps/>
          <w:noProof/>
          <w:sz w:val="24"/>
        </w:rPr>
        <w:t xml:space="preserve"> nojalla</w:t>
      </w:r>
    </w:p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Komissio ei ole vielä käyttänyt sille asetuksella (EY) N:o 138/2004 siirrettyä valtaa antaa delegoituja säädöksiä.</w:t>
      </w:r>
    </w:p>
    <w:p>
      <w:pPr>
        <w:spacing w:before="120" w:after="120" w:line="240" w:lineRule="auto"/>
        <w:ind w:left="850"/>
        <w:jc w:val="both"/>
        <w:rPr>
          <w:noProof/>
        </w:rPr>
      </w:pPr>
      <w:r>
        <w:rPr>
          <w:rFonts w:ascii="Times New Roman" w:hAnsi="Times New Roman"/>
          <w:noProof/>
          <w:sz w:val="24"/>
        </w:rPr>
        <w:t>Sen jälkeen kun säädösvallan siirto tuli voimaan vuonna 2014, komissio ei ole todennut välitöntä tarvetta päivittää liitettä I tai II. Se on kuitenkin käynnistänyt sisäisen pohdinnan menetelmiin ja kattavuuteen liittyvistä kysymyksistä, joilla voisi olla vaikutuksia tulevaisuudessa.</w:t>
      </w:r>
    </w:p>
    <w:p>
      <w:pPr>
        <w:keepNext/>
        <w:numPr>
          <w:ilvl w:val="0"/>
          <w:numId w:val="2"/>
        </w:numPr>
        <w:shd w:val="clear" w:color="auto" w:fill="FFFFFF"/>
        <w:spacing w:before="360" w:after="120" w:line="240" w:lineRule="auto"/>
        <w:jc w:val="both"/>
        <w:outlineLvl w:val="0"/>
        <w:rPr>
          <w:rStyle w:val="Heading1Char"/>
          <w:rFonts w:eastAsia="Calibri"/>
          <w:noProof/>
        </w:rPr>
      </w:pPr>
      <w:r>
        <w:rPr>
          <w:rStyle w:val="Heading1Char"/>
          <w:rFonts w:eastAsia="Calibri"/>
          <w:noProof/>
        </w:rPr>
        <w:t>Päätelmät</w:t>
      </w:r>
    </w:p>
    <w:bookmarkEnd w:id="11"/>
    <w:bookmarkEnd w:id="12"/>
    <w:p>
      <w:pPr>
        <w:spacing w:before="120" w:after="120" w:line="240" w:lineRule="auto"/>
        <w:ind w:left="85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Komissio ei ole vielä käyttänyt sille asetuksella (EY) N:o 138/2004 siirrettyä valtaa antaa delegoituja säädöksiä.</w:t>
      </w:r>
    </w:p>
    <w:p>
      <w:pPr>
        <w:spacing w:after="0" w:line="240" w:lineRule="auto"/>
        <w:ind w:left="851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Komissio katsoo, että sillä olisi jatkossakin oltava nämä siirretyt valtuudet, sillä sen voi olla tulevaisuudessa tarpeen antaa delegoitu säädös, jolla muutetaan asetuksen liitteitä I ja II, jotta maatalouden taloustilien menetelmiä voidaan tulevaisuudessa kehittää ja jotta tietojen käyttäjien tarpeet voidaan täyttää tulevan yhteisen maatalouspolitiikan yhteydessä.</w:t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FI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FI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046092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ootnoteText"/>
        <w:spacing w:after="0" w:line="240" w:lineRule="auto"/>
        <w:ind w:left="851" w:hanging="851"/>
      </w:pPr>
      <w:r>
        <w:rPr>
          <w:rStyle w:val="FootnoteReference"/>
        </w:rPr>
        <w:footnoteRef/>
      </w:r>
      <w:r>
        <w:t xml:space="preserve"> </w:t>
      </w:r>
      <w:r>
        <w:tab/>
        <w:t>EUVL L 33, 5.2.2004, s. 1-87.</w:t>
      </w:r>
    </w:p>
  </w:footnote>
  <w:footnote w:id="3">
    <w:p>
      <w:pPr>
        <w:pStyle w:val="FootnoteText"/>
        <w:spacing w:after="0" w:line="240" w:lineRule="auto"/>
        <w:ind w:left="851" w:hanging="851"/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ab/>
        <w:t>EUVL L 351, 21.12.2013, s. 1-14.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4"/>
  <w:hideSpellingErrors/>
  <w:hideGrammaticalErrors/>
  <w:revisionView w:markup="0"/>
  <w:defaultTabStop w:val="720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570FFAC5-AAA4-4605-84DC-0FA7604126D3"/>
    <w:docVar w:name="LW_COVERPAGE_TYPE" w:val="1"/>
    <w:docVar w:name="LW_CROSSREFERENCE" w:val="&lt;UNUSED&gt;"/>
    <w:docVar w:name="LW_DocType" w:val="NORMAL"/>
    <w:docVar w:name="LW_EMISSION" w:val="12.1.2018"/>
    <w:docVar w:name="LW_EMISSION_ISODATE" w:val="2018-01-12"/>
    <w:docVar w:name="LW_EMISSION_LOCATION" w:val="BRX"/>
    <w:docVar w:name="LW_EMISSION_PREFIX" w:val="Bryssel "/>
    <w:docVar w:name="LW_EMISSION_SUFFIX" w:val="&lt;EMPTY&gt;"/>
    <w:docVar w:name="LW_ID_DOCTYPE_NONLW" w:val="CP-006"/>
    <w:docVar w:name="LW_LANGUE" w:val="FI"/>
    <w:docVar w:name="LW_LEVEL_OF_SENSITIVITY" w:val="Standard treatment"/>
    <w:docVar w:name="LW_NOM.INST" w:val="EUROOPAN KOMISSIO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8) 1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OUS.TITRE.OBJ.CP" w:val="&lt;UNUSED&gt;"/>
    <w:docVar w:name="LW_SUPERTITRE" w:val="&lt;UNUSED&gt;"/>
    <w:docVar w:name="LW_TITRE.OBJ.CP" w:val="maatalouden taloustileistä yhteisössä annetulla asetuksella (EY) N:o 138/2004 komissiolle siirretyn delegoitujen säädösten antamisvallan käyttämisestä_x000b_"/>
    <w:docVar w:name="LW_TYPE.DOC.CP" w:val="KOMISSION KERTOMUS EUROOPAN PARLAMENTILLE JA NEUVOSTOLLE"/>
    <w:docVar w:name="Stamp" w:val="\\dossiers.dgt.cec.eu.int\dossiers\ESTAT\ESTAT-2017-10253\ESTAT-2017-10253-00-00-EN-REV-00.201710300942368341993.DOCX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fi-F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/>
      <w:b/>
      <w:bCs/>
      <w:small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/>
      <w:bCs/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/>
      <w:bCs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uiPriority w:val="99"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lang w:eastAsia="fi-FI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/>
      <w:b/>
      <w:bCs/>
      <w:smallCaps/>
      <w:sz w:val="24"/>
      <w:szCs w:val="28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Pr>
      <w:rFonts w:ascii="Times New Roman" w:eastAsia="Times New Roman" w:hAnsi="Times New Roman"/>
      <w:bCs/>
      <w:iCs/>
      <w:sz w:val="24"/>
      <w:szCs w:val="22"/>
    </w:rPr>
  </w:style>
  <w:style w:type="character" w:styleId="Hyperlink">
    <w:name w:val="Hyperlink"/>
    <w:uiPriority w:val="99"/>
    <w:rPr>
      <w:rFonts w:cs="Times New Roman"/>
      <w:color w:val="0000FF"/>
      <w:u w:val="single"/>
      <w:shd w:val="clear" w:color="auto" w:fill="auto"/>
    </w:rPr>
  </w:style>
  <w:style w:type="character" w:styleId="FootnoteReference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eastAsiaTheme="minorHAnsi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HAnsi" w:hAnsi="Times New Roman"/>
      <w:sz w:val="24"/>
      <w:szCs w:val="22"/>
      <w:lang w:eastAsia="fi-F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eastAsiaTheme="minorHAnsi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HAnsi" w:hAnsi="Times New Roman"/>
      <w:sz w:val="24"/>
      <w:szCs w:val="22"/>
      <w:lang w:eastAsia="fi-FI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Pr>
      <w:sz w:val="22"/>
      <w:szCs w:val="21"/>
      <w:lang w:eastAsia="fi-FI"/>
    </w:rPr>
  </w:style>
  <w:style w:type="paragraph" w:styleId="TOC1">
    <w:name w:val="toc 1"/>
    <w:basedOn w:val="Normal"/>
    <w:next w:val="Normal"/>
    <w:autoRedefine/>
    <w:uiPriority w:val="39"/>
    <w:unhideWhenUsed/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880"/>
        <w:tab w:val="right" w:leader="dot" w:pos="9016"/>
      </w:tabs>
      <w:ind w:left="220"/>
    </w:pPr>
    <w:rPr>
      <w:rFonts w:ascii="Times New Roman" w:hAnsi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pPr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fi-FI"/>
    </w:rPr>
  </w:style>
  <w:style w:type="paragraph" w:customStyle="1" w:styleId="Text1">
    <w:name w:val="Text 1"/>
    <w:basedOn w:val="Normal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Considrant">
    <w:name w:val="Considérant"/>
    <w:basedOn w:val="Normal"/>
    <w:pPr>
      <w:numPr>
        <w:numId w:val="19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lang w:eastAsia="fi-FI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eastAsiaTheme="minorHAnsi" w:hAnsi="Times New Roman"/>
      <w:sz w:val="24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fi-FI"/>
    </w:rPr>
  </w:style>
  <w:style w:type="paragraph" w:styleId="Revision">
    <w:name w:val="Revision"/>
    <w:hidden/>
    <w:uiPriority w:val="99"/>
    <w:semiHidden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fi-F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/>
      <w:b/>
      <w:bCs/>
      <w:small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/>
      <w:bCs/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/>
      <w:bCs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uiPriority w:val="99"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lang w:eastAsia="fi-FI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/>
      <w:b/>
      <w:bCs/>
      <w:smallCaps/>
      <w:sz w:val="24"/>
      <w:szCs w:val="28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Pr>
      <w:rFonts w:ascii="Times New Roman" w:eastAsia="Times New Roman" w:hAnsi="Times New Roman"/>
      <w:bCs/>
      <w:iCs/>
      <w:sz w:val="24"/>
      <w:szCs w:val="22"/>
    </w:rPr>
  </w:style>
  <w:style w:type="character" w:styleId="Hyperlink">
    <w:name w:val="Hyperlink"/>
    <w:uiPriority w:val="99"/>
    <w:rPr>
      <w:rFonts w:cs="Times New Roman"/>
      <w:color w:val="0000FF"/>
      <w:u w:val="single"/>
      <w:shd w:val="clear" w:color="auto" w:fill="auto"/>
    </w:rPr>
  </w:style>
  <w:style w:type="character" w:styleId="FootnoteReference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eastAsiaTheme="minorHAnsi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HAnsi" w:hAnsi="Times New Roman"/>
      <w:sz w:val="24"/>
      <w:szCs w:val="22"/>
      <w:lang w:eastAsia="fi-F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eastAsiaTheme="minorHAnsi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HAnsi" w:hAnsi="Times New Roman"/>
      <w:sz w:val="24"/>
      <w:szCs w:val="22"/>
      <w:lang w:eastAsia="fi-FI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Pr>
      <w:sz w:val="22"/>
      <w:szCs w:val="21"/>
      <w:lang w:eastAsia="fi-FI"/>
    </w:rPr>
  </w:style>
  <w:style w:type="paragraph" w:styleId="TOC1">
    <w:name w:val="toc 1"/>
    <w:basedOn w:val="Normal"/>
    <w:next w:val="Normal"/>
    <w:autoRedefine/>
    <w:uiPriority w:val="39"/>
    <w:unhideWhenUsed/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880"/>
        <w:tab w:val="right" w:leader="dot" w:pos="9016"/>
      </w:tabs>
      <w:ind w:left="220"/>
    </w:pPr>
    <w:rPr>
      <w:rFonts w:ascii="Times New Roman" w:hAnsi="Times New Roman"/>
      <w:noProof/>
    </w:rPr>
  </w:style>
  <w:style w:type="paragraph" w:styleId="TOC3">
    <w:name w:val="toc 3"/>
    <w:basedOn w:val="Normal"/>
    <w:next w:val="Normal"/>
    <w:autoRedefine/>
    <w:uiPriority w:val="39"/>
    <w:unhideWhenUsed/>
    <w:pPr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fi-FI"/>
    </w:rPr>
  </w:style>
  <w:style w:type="paragraph" w:customStyle="1" w:styleId="Text1">
    <w:name w:val="Text 1"/>
    <w:basedOn w:val="Normal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Considrant">
    <w:name w:val="Considérant"/>
    <w:basedOn w:val="Normal"/>
    <w:pPr>
      <w:numPr>
        <w:numId w:val="19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lang w:eastAsia="fi-FI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eastAsiaTheme="minorHAnsi" w:hAnsi="Times New Roman"/>
      <w:sz w:val="24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eastAsia="fi-FI"/>
    </w:rPr>
  </w:style>
  <w:style w:type="paragraph" w:styleId="Revision">
    <w:name w:val="Revision"/>
    <w:hidden/>
    <w:uiPriority w:val="99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EEA5-47EE-4937-A3D1-F9DE9C10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2029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16</cp:revision>
  <cp:lastPrinted>2017-11-16T08:00:00Z</cp:lastPrinted>
  <dcterms:created xsi:type="dcterms:W3CDTF">2017-11-29T08:46:00Z</dcterms:created>
  <dcterms:modified xsi:type="dcterms:W3CDTF">2018-01-05T08:40:00Z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Level of sensitivity">
    <vt:lpwstr>Standard treatment</vt:lpwstr>
  </property>
  <property name="OP_sanitized" fmtid="{D5CDD505-2E9C-101B-9397-08002B2CF9AE}" pid="6">
    <vt:lpwstr>True</vt:lpwstr>
  </property>
</Properties>
</file>