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BF08A8E-B526-4B92-BEBF-2C80C073A4C4" style="width:450.35pt;height:490.4pt">
            <v:imagedata r:id="rId11" o:title=""/>
          </v:shape>
        </w:pict>
      </w:r>
    </w:p>
    <w:bookmarkEnd w:id="0"/>
    <w:p>
      <w:pPr>
        <w:pStyle w:val="Pagedecouverture"/>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tbl>
      <w:tblPr>
        <w:tblStyle w:val="TableGrid"/>
        <w:tblW w:w="9747" w:type="dxa"/>
        <w:tblLook w:val="01E0" w:firstRow="1" w:lastRow="1" w:firstColumn="1" w:lastColumn="1" w:noHBand="0" w:noVBand="0"/>
      </w:tblPr>
      <w:tblGrid>
        <w:gridCol w:w="9747"/>
      </w:tblGrid>
      <w:tr>
        <w:tc>
          <w:tcPr>
            <w:tcW w:w="9747" w:type="dxa"/>
            <w:tcBorders>
              <w:bottom w:val="single" w:sz="4" w:space="0" w:color="auto"/>
            </w:tcBorders>
            <w:shd w:val="clear" w:color="auto" w:fill="CCCCCC"/>
          </w:tcPr>
          <w:p>
            <w:pPr>
              <w:spacing w:after="60"/>
              <w:jc w:val="center"/>
              <w:rPr>
                <w:rFonts w:ascii="Tahoma" w:hAnsi="Tahoma" w:cs="Tahoma"/>
                <w:b/>
                <w:noProof/>
                <w:sz w:val="22"/>
                <w:szCs w:val="22"/>
              </w:rPr>
            </w:pPr>
            <w:bookmarkStart w:id="1" w:name="_GoBack"/>
            <w:bookmarkEnd w:id="1"/>
            <w:r>
              <w:rPr>
                <w:rFonts w:ascii="Tahoma" w:hAnsi="Tahoma"/>
                <w:b/>
                <w:noProof/>
                <w:sz w:val="22"/>
              </w:rPr>
              <w:lastRenderedPageBreak/>
              <w:t>Vaikutustenarvioinnin tiivistelmä</w:t>
            </w:r>
          </w:p>
        </w:tc>
      </w:tr>
      <w:tr>
        <w:tc>
          <w:tcPr>
            <w:tcW w:w="9747" w:type="dxa"/>
            <w:tcBorders>
              <w:top w:val="single" w:sz="4" w:space="0" w:color="auto"/>
              <w:left w:val="single" w:sz="4" w:space="0" w:color="auto"/>
              <w:bottom w:val="single" w:sz="4" w:space="0" w:color="auto"/>
              <w:right w:val="single" w:sz="4" w:space="0" w:color="auto"/>
            </w:tcBorders>
            <w:shd w:val="clear" w:color="auto" w:fill="4F81BD" w:themeFill="accent1"/>
          </w:tcPr>
          <w:p>
            <w:pPr>
              <w:spacing w:after="60"/>
              <w:jc w:val="both"/>
              <w:rPr>
                <w:rFonts w:ascii="Tahoma" w:hAnsi="Tahoma" w:cs="Tahoma"/>
                <w:noProof/>
                <w:color w:val="FFFFFF" w:themeColor="background1"/>
                <w:sz w:val="20"/>
                <w:szCs w:val="20"/>
              </w:rPr>
            </w:pPr>
            <w:r>
              <w:rPr>
                <w:rFonts w:ascii="Tahoma" w:hAnsi="Tahoma"/>
                <w:noProof/>
                <w:color w:val="FFFFFF" w:themeColor="background1"/>
                <w:sz w:val="20"/>
              </w:rPr>
              <w:t>Vaikutustenarviointi ehdotuksesta Euroopan parlamentin ja neuvoston asetukseksi sääntöjen ja menettelyjen vahvistamisesta tuotteita koskevan unionin yhdenmukaistamislainsäädännön noudattamista ja täytäntöönpanon valvontaa varten</w:t>
            </w:r>
          </w:p>
        </w:tc>
      </w:tr>
      <w:tr>
        <w:tc>
          <w:tcPr>
            <w:tcW w:w="9747" w:type="dxa"/>
            <w:tcBorders>
              <w:bottom w:val="single" w:sz="4" w:space="0" w:color="auto"/>
            </w:tcBorders>
            <w:shd w:val="clear" w:color="auto" w:fill="CCCCCC"/>
          </w:tcPr>
          <w:p>
            <w:pPr>
              <w:spacing w:after="60"/>
              <w:jc w:val="center"/>
              <w:rPr>
                <w:rFonts w:ascii="Tahoma" w:hAnsi="Tahoma" w:cs="Tahoma"/>
                <w:b/>
                <w:noProof/>
                <w:sz w:val="20"/>
                <w:szCs w:val="20"/>
              </w:rPr>
            </w:pPr>
            <w:r>
              <w:rPr>
                <w:rFonts w:ascii="Tahoma" w:hAnsi="Tahoma"/>
                <w:b/>
                <w:noProof/>
                <w:sz w:val="20"/>
              </w:rPr>
              <w:t>A. Toimenpiteen tarve</w:t>
            </w:r>
          </w:p>
        </w:tc>
      </w:tr>
      <w:tr>
        <w:tc>
          <w:tcPr>
            <w:tcW w:w="9747" w:type="dxa"/>
            <w:tcBorders>
              <w:bottom w:val="single" w:sz="4" w:space="0" w:color="auto"/>
            </w:tcBorders>
            <w:shd w:val="clear" w:color="auto" w:fill="E0E0E0"/>
          </w:tcPr>
          <w:p>
            <w:pPr>
              <w:spacing w:after="60"/>
              <w:jc w:val="both"/>
              <w:rPr>
                <w:rFonts w:ascii="Tahoma" w:hAnsi="Tahoma" w:cs="Tahoma"/>
                <w:noProof/>
                <w:sz w:val="20"/>
                <w:szCs w:val="20"/>
              </w:rPr>
            </w:pPr>
            <w:r>
              <w:rPr>
                <w:rFonts w:ascii="Tahoma" w:hAnsi="Tahoma"/>
                <w:b/>
                <w:noProof/>
                <w:sz w:val="20"/>
              </w:rPr>
              <w:t xml:space="preserve">Miksi? Mihin ongelmaan puututaan? </w:t>
            </w:r>
          </w:p>
        </w:tc>
      </w:tr>
      <w:tr>
        <w:tc>
          <w:tcPr>
            <w:tcW w:w="9747" w:type="dxa"/>
            <w:tcBorders>
              <w:bottom w:val="single" w:sz="4" w:space="0" w:color="auto"/>
            </w:tcBorders>
            <w:shd w:val="clear" w:color="auto" w:fill="auto"/>
          </w:tcPr>
          <w:p>
            <w:pPr>
              <w:pStyle w:val="Text1"/>
              <w:spacing w:after="60"/>
              <w:ind w:left="0"/>
              <w:rPr>
                <w:rFonts w:ascii="Tahoma" w:hAnsi="Tahoma" w:cs="Tahoma"/>
                <w:noProof/>
                <w:sz w:val="20"/>
              </w:rPr>
            </w:pPr>
            <w:r>
              <w:rPr>
                <w:rFonts w:ascii="Tahoma" w:hAnsi="Tahoma"/>
                <w:noProof/>
                <w:sz w:val="20"/>
              </w:rPr>
              <w:t xml:space="preserve">EU:n yhdenmukaistettujen sääntöjen kohteena olevien tuotteiden arvo on yli 2 400 miljardia euroa vuodessa eli 69 prosenttia teollisuustuotteiden kokonaisarvosta EU:ssa. Vaatimustenvastaiset tuotteet voivat olla kuluttajille vaarallisia, ja lisäksi ne aiheuttavat ympäristöriskejä ja vääristävät kilpailua. Vaatimustenvastaisten tuotteiden aiheuttaman ongelman pääsyynä on, ettei sääntöjä tunneta tarpeeksi hyvin ja että valvontajärjestelmien tehokkuudessa on pahoja puutteita. Kasvavan verkkokaupan ja kolmansista maista tulevan tuonnin odotetaan pahentavan ongelmaa. </w:t>
            </w:r>
          </w:p>
        </w:tc>
      </w:tr>
      <w:tr>
        <w:tc>
          <w:tcPr>
            <w:tcW w:w="9747" w:type="dxa"/>
            <w:tcBorders>
              <w:bottom w:val="single" w:sz="4" w:space="0" w:color="auto"/>
            </w:tcBorders>
            <w:shd w:val="clear" w:color="auto" w:fill="E6E6E6"/>
          </w:tcPr>
          <w:p>
            <w:pPr>
              <w:spacing w:after="60"/>
              <w:jc w:val="both"/>
              <w:rPr>
                <w:rFonts w:ascii="Tahoma" w:hAnsi="Tahoma" w:cs="Tahoma"/>
                <w:noProof/>
                <w:sz w:val="20"/>
                <w:szCs w:val="20"/>
              </w:rPr>
            </w:pPr>
            <w:r>
              <w:rPr>
                <w:rFonts w:ascii="Tahoma" w:hAnsi="Tahoma"/>
                <w:b/>
                <w:noProof/>
                <w:sz w:val="20"/>
              </w:rPr>
              <w:t xml:space="preserve">Mihin aloitteella pyritään? </w:t>
            </w:r>
          </w:p>
        </w:tc>
      </w:tr>
      <w:tr>
        <w:tc>
          <w:tcPr>
            <w:tcW w:w="9747" w:type="dxa"/>
            <w:tcBorders>
              <w:bottom w:val="single" w:sz="4" w:space="0" w:color="auto"/>
            </w:tcBorders>
            <w:shd w:val="clear" w:color="auto" w:fill="auto"/>
          </w:tcPr>
          <w:p>
            <w:pPr>
              <w:spacing w:after="60"/>
              <w:jc w:val="both"/>
              <w:rPr>
                <w:rFonts w:ascii="Tahoma" w:hAnsi="Tahoma" w:cs="Tahoma"/>
                <w:noProof/>
                <w:sz w:val="20"/>
                <w:szCs w:val="20"/>
              </w:rPr>
            </w:pPr>
            <w:r>
              <w:rPr>
                <w:rFonts w:ascii="Tahoma" w:hAnsi="Tahoma"/>
                <w:noProof/>
                <w:sz w:val="20"/>
              </w:rPr>
              <w:t xml:space="preserve">Aloitteella pyritään vähentämään vaatimustenvastaisten tuotteiden määrää sisämarkkinoilla siten, että 1) tehostetaan yhteistyömenettelyjä, 2) lisätään operationaalisia valvontavalmiuksia tehostamalla resurssien käyttöä ja parantamalla niiden saatavuutta, 3) vahvistetaan täytäntöönpanon valvonnan työkaluja ja 4) parannetaan vaatimustenmukaisuutta ja siihen liittyvien tietojen saatavuutta.  </w:t>
            </w:r>
          </w:p>
        </w:tc>
      </w:tr>
      <w:tr>
        <w:tc>
          <w:tcPr>
            <w:tcW w:w="9747" w:type="dxa"/>
            <w:tcBorders>
              <w:bottom w:val="single" w:sz="4" w:space="0" w:color="auto"/>
            </w:tcBorders>
            <w:shd w:val="clear" w:color="auto" w:fill="E6E6E6"/>
          </w:tcPr>
          <w:p>
            <w:pPr>
              <w:spacing w:after="60"/>
              <w:jc w:val="both"/>
              <w:rPr>
                <w:rFonts w:ascii="Tahoma" w:hAnsi="Tahoma" w:cs="Tahoma"/>
                <w:noProof/>
                <w:sz w:val="20"/>
                <w:szCs w:val="20"/>
              </w:rPr>
            </w:pPr>
            <w:r>
              <w:rPr>
                <w:rFonts w:ascii="Tahoma" w:hAnsi="Tahoma"/>
                <w:b/>
                <w:noProof/>
                <w:sz w:val="20"/>
              </w:rPr>
              <w:t>Mikä on EU-tason toiminnasta saatava lisäarvo?</w:t>
            </w:r>
            <w:r>
              <w:rPr>
                <w:rFonts w:ascii="Tahoma" w:hAnsi="Tahoma"/>
                <w:noProof/>
                <w:sz w:val="20"/>
              </w:rPr>
              <w:t xml:space="preserve"> </w:t>
            </w:r>
          </w:p>
        </w:tc>
      </w:tr>
      <w:tr>
        <w:tc>
          <w:tcPr>
            <w:tcW w:w="9747" w:type="dxa"/>
            <w:tcBorders>
              <w:bottom w:val="single" w:sz="4" w:space="0" w:color="auto"/>
            </w:tcBorders>
            <w:shd w:val="clear" w:color="auto" w:fill="auto"/>
          </w:tcPr>
          <w:p>
            <w:pPr>
              <w:pStyle w:val="Text1"/>
              <w:spacing w:after="60"/>
              <w:ind w:left="0"/>
              <w:rPr>
                <w:rFonts w:ascii="Tahoma" w:hAnsi="Tahoma" w:cs="Tahoma"/>
                <w:noProof/>
                <w:sz w:val="20"/>
              </w:rPr>
            </w:pPr>
            <w:r>
              <w:rPr>
                <w:rFonts w:ascii="Tahoma" w:hAnsi="Tahoma"/>
                <w:noProof/>
                <w:sz w:val="20"/>
              </w:rPr>
              <w:t xml:space="preserve">Unionin yhdenmukaistamislainsäädännön täytäntöönpanon valvonnasta vastaavat jäsenvaltiot, joiden toimia niiden oikeudenkäyttöalueiden rajat rajoittavat. Toimia on koordinoitava, jotta voidaan varmistaa täytäntöönpanon johdonmukaisuus koko EU:ssa ja puuttua vaatimustenvastaisuuksiin tehokkaasti. </w:t>
            </w:r>
          </w:p>
        </w:tc>
      </w:tr>
      <w:tr>
        <w:tc>
          <w:tcPr>
            <w:tcW w:w="9747" w:type="dxa"/>
            <w:tcBorders>
              <w:bottom w:val="single" w:sz="4" w:space="0" w:color="auto"/>
            </w:tcBorders>
            <w:shd w:val="clear" w:color="auto" w:fill="CCCCCC"/>
          </w:tcPr>
          <w:p>
            <w:pPr>
              <w:spacing w:after="60"/>
              <w:jc w:val="center"/>
              <w:rPr>
                <w:rFonts w:ascii="Tahoma" w:hAnsi="Tahoma" w:cs="Tahoma"/>
                <w:b/>
                <w:noProof/>
                <w:sz w:val="20"/>
                <w:szCs w:val="20"/>
              </w:rPr>
            </w:pPr>
            <w:r>
              <w:rPr>
                <w:rFonts w:ascii="Tahoma" w:hAnsi="Tahoma"/>
                <w:b/>
                <w:noProof/>
                <w:sz w:val="20"/>
              </w:rPr>
              <w:t>B. Ratkaisut</w:t>
            </w:r>
          </w:p>
        </w:tc>
      </w:tr>
      <w:tr>
        <w:tc>
          <w:tcPr>
            <w:tcW w:w="9747" w:type="dxa"/>
            <w:tcBorders>
              <w:bottom w:val="single" w:sz="4" w:space="0" w:color="auto"/>
            </w:tcBorders>
            <w:shd w:val="clear" w:color="auto" w:fill="E6E6E6"/>
          </w:tcPr>
          <w:p>
            <w:pPr>
              <w:spacing w:after="60"/>
              <w:jc w:val="both"/>
              <w:rPr>
                <w:rFonts w:ascii="Tahoma" w:hAnsi="Tahoma" w:cs="Tahoma"/>
                <w:noProof/>
                <w:sz w:val="20"/>
                <w:szCs w:val="20"/>
              </w:rPr>
            </w:pPr>
            <w:r>
              <w:rPr>
                <w:rFonts w:ascii="Tahoma" w:hAnsi="Tahoma"/>
                <w:b/>
                <w:noProof/>
                <w:sz w:val="20"/>
              </w:rPr>
              <w:t>Mitä lainsäädännöllisiä ja muita toimenpidevaihtoehtoja on harkittu? Onko jokin vaihtoehto arvioitu parhaaksi? Miksi?</w:t>
            </w:r>
            <w:r>
              <w:rPr>
                <w:rFonts w:ascii="Tahoma" w:hAnsi="Tahoma"/>
                <w:noProof/>
                <w:sz w:val="20"/>
              </w:rPr>
              <w:t xml:space="preserve"> </w:t>
            </w:r>
          </w:p>
        </w:tc>
      </w:tr>
      <w:tr>
        <w:tc>
          <w:tcPr>
            <w:tcW w:w="9747" w:type="dxa"/>
            <w:tcBorders>
              <w:bottom w:val="single" w:sz="4" w:space="0" w:color="auto"/>
            </w:tcBorders>
            <w:shd w:val="clear" w:color="auto" w:fill="auto"/>
          </w:tcPr>
          <w:p>
            <w:pPr>
              <w:jc w:val="both"/>
              <w:rPr>
                <w:rFonts w:ascii="Tahoma" w:hAnsi="Tahoma" w:cs="Tahoma"/>
                <w:noProof/>
                <w:sz w:val="20"/>
                <w:szCs w:val="20"/>
              </w:rPr>
            </w:pPr>
            <w:r>
              <w:rPr>
                <w:rFonts w:ascii="Tahoma" w:hAnsi="Tahoma"/>
                <w:noProof/>
                <w:sz w:val="20"/>
              </w:rPr>
              <w:t>Arvioinnissa tarkasteltiin seuraavia vaihtoehtoja: 1) perusskenaario, 2) nykyisten välineiden ja yhteistyömekanismien parantaminen, lisäksi 3) valvontavälineiden varoittavan vaikutuksen parantaminen ja EU:n koordinoinnin tehostaminen ja edellisten lisäksi 4) keskitetty täytäntöönpanon valvonta EU:n tasolla tietyissä tapauksissa. Parhaaksi arvioituun vaihtoehtoon sisältyy mekanismi viranomaisten keskinäistä avunantoa varten, tuotteiden vaatimustenmukaisuutta käsittelevä EU:n verkosto, joka koordinoi ja auttaa toteuttamaan yhteisiä valvontatoimia ja järjestää vertaisarviointeja jäsenvaltioiden suoriutumisesta, viranomaisten yhteiset valtuudet, rajoittavien toimenpiteiden järjestelmällisempi julkaiseminen, valvontakustannusten kattaminen vaatimustenvastaisten tuotteiden tapauksessa perittävin maksuin, valmistajien velvollisuus nimetä vaatimustenmukaisuutta koskevista tiedoista EU:ssa vastaava henkilö, tuoteyhteyspisteiden neuvoa-antavan tehtävän laajentaminen, vaatimustenmukaisuutta koskevien tietojen digitaalinen julkaiseminen sekä vapaaehtoisten toimenpiteiden verkkoportaali.</w:t>
            </w:r>
          </w:p>
        </w:tc>
      </w:tr>
      <w:tr>
        <w:tc>
          <w:tcPr>
            <w:tcW w:w="9747" w:type="dxa"/>
            <w:shd w:val="clear" w:color="auto" w:fill="CCCCCC"/>
          </w:tcPr>
          <w:p>
            <w:pPr>
              <w:spacing w:after="60"/>
              <w:jc w:val="both"/>
              <w:rPr>
                <w:rFonts w:ascii="Tahoma" w:hAnsi="Tahoma" w:cs="Tahoma"/>
                <w:noProof/>
                <w:sz w:val="20"/>
                <w:szCs w:val="20"/>
              </w:rPr>
            </w:pPr>
            <w:r>
              <w:rPr>
                <w:rFonts w:ascii="Tahoma" w:hAnsi="Tahoma"/>
                <w:b/>
                <w:noProof/>
                <w:sz w:val="20"/>
              </w:rPr>
              <w:t>Mitkä toimijat kannattavat mitäkin vaihtoehtoa?</w:t>
            </w:r>
            <w:r>
              <w:rPr>
                <w:rFonts w:ascii="Tahoma" w:hAnsi="Tahoma"/>
                <w:noProof/>
                <w:sz w:val="20"/>
              </w:rPr>
              <w:t xml:space="preserve"> </w:t>
            </w:r>
          </w:p>
        </w:tc>
      </w:tr>
      <w:tr>
        <w:tc>
          <w:tcPr>
            <w:tcW w:w="9747" w:type="dxa"/>
            <w:shd w:val="clear" w:color="auto" w:fill="auto"/>
          </w:tcPr>
          <w:p>
            <w:pPr>
              <w:spacing w:after="60"/>
              <w:jc w:val="both"/>
              <w:rPr>
                <w:rFonts w:ascii="Tahoma" w:hAnsi="Tahoma" w:cs="Tahoma"/>
                <w:noProof/>
                <w:sz w:val="20"/>
                <w:szCs w:val="20"/>
              </w:rPr>
            </w:pPr>
            <w:r>
              <w:rPr>
                <w:rFonts w:ascii="Tahoma" w:hAnsi="Tahoma"/>
                <w:noProof/>
                <w:sz w:val="20"/>
              </w:rPr>
              <w:t xml:space="preserve">Sidosryhmät ovat samaa mieltä siitä, että tarvitaan paljon entistä tehokkaampaa koordinointia, enemmän resursseja ja tehokasta resurssien käyttöä sekä tehokkaampia välineitä, joilla parannetaan sisämarkkinoilla ja EU:hun tuonnissa sovellettavan valvonnan täytäntöönpanokehystä. </w:t>
            </w:r>
          </w:p>
        </w:tc>
      </w:tr>
      <w:tr>
        <w:tc>
          <w:tcPr>
            <w:tcW w:w="9747" w:type="dxa"/>
            <w:tcBorders>
              <w:bottom w:val="single" w:sz="4" w:space="0" w:color="auto"/>
            </w:tcBorders>
            <w:shd w:val="clear" w:color="auto" w:fill="CCCCCC"/>
          </w:tcPr>
          <w:p>
            <w:pPr>
              <w:spacing w:after="60"/>
              <w:jc w:val="center"/>
              <w:rPr>
                <w:rFonts w:ascii="Tahoma" w:hAnsi="Tahoma" w:cs="Tahoma"/>
                <w:b/>
                <w:noProof/>
                <w:sz w:val="20"/>
                <w:szCs w:val="20"/>
              </w:rPr>
            </w:pPr>
            <w:r>
              <w:rPr>
                <w:rFonts w:ascii="Tahoma" w:hAnsi="Tahoma"/>
                <w:b/>
                <w:noProof/>
                <w:sz w:val="20"/>
              </w:rPr>
              <w:t>C. Parhaaksi arvioidun vaihtoehdon vaikutukset</w:t>
            </w:r>
          </w:p>
        </w:tc>
      </w:tr>
      <w:tr>
        <w:tc>
          <w:tcPr>
            <w:tcW w:w="9747" w:type="dxa"/>
            <w:tcBorders>
              <w:bottom w:val="single" w:sz="4" w:space="0" w:color="auto"/>
            </w:tcBorders>
            <w:shd w:val="clear" w:color="auto" w:fill="E6E6E6"/>
          </w:tcPr>
          <w:p>
            <w:pPr>
              <w:spacing w:after="60"/>
              <w:jc w:val="both"/>
              <w:rPr>
                <w:rFonts w:ascii="Tahoma" w:hAnsi="Tahoma" w:cs="Tahoma"/>
                <w:noProof/>
                <w:sz w:val="20"/>
                <w:szCs w:val="20"/>
              </w:rPr>
            </w:pPr>
            <w:r>
              <w:rPr>
                <w:rFonts w:ascii="Tahoma" w:hAnsi="Tahoma"/>
                <w:b/>
                <w:noProof/>
                <w:sz w:val="20"/>
              </w:rPr>
              <w:t>Mitkä ovat parhaaksi arvioidun vaihtoehdon hyödyt (jos parhaaksi arvioitua vaihtoehtoa ei ole, päävaihtoehtojen hyödyt)?</w:t>
            </w:r>
            <w:r>
              <w:rPr>
                <w:rFonts w:ascii="Tahoma" w:hAnsi="Tahoma"/>
                <w:noProof/>
                <w:sz w:val="20"/>
              </w:rPr>
              <w:t xml:space="preserve"> </w:t>
            </w:r>
          </w:p>
        </w:tc>
      </w:tr>
      <w:tr>
        <w:tc>
          <w:tcPr>
            <w:tcW w:w="9747" w:type="dxa"/>
            <w:tcBorders>
              <w:bottom w:val="single" w:sz="4" w:space="0" w:color="auto"/>
            </w:tcBorders>
            <w:shd w:val="clear" w:color="auto" w:fill="auto"/>
          </w:tcPr>
          <w:p>
            <w:pPr>
              <w:spacing w:after="60"/>
              <w:jc w:val="both"/>
              <w:rPr>
                <w:rFonts w:ascii="Tahoma" w:hAnsi="Tahoma" w:cs="Tahoma"/>
                <w:i/>
                <w:noProof/>
                <w:sz w:val="20"/>
                <w:szCs w:val="20"/>
              </w:rPr>
            </w:pPr>
            <w:r>
              <w:rPr>
                <w:rFonts w:ascii="Tahoma" w:hAnsi="Tahoma"/>
                <w:noProof/>
                <w:sz w:val="20"/>
              </w:rPr>
              <w:t xml:space="preserve">Aloitteella tehostettaisiin vaatimustenvastaisia tuotteita koskevia täytäntöönpanotoimia koko sisämarkkinoilla samoin kuin tuontituotteiden tarkastuksia. Tuotteiden käyttäjät saisivat paremman suojan tarpeettomilta ympäristöön, kansanterveyteen sekä työterveyteen ja -turvallisuuteen kohdistuvilta riskeiltä. Yrityksille olisi hyötyä vaatimusten noudattamiseen annettavasta avusta, tasapuolisemmista toimintaedellytyksistä ja epäreilun kilpailun vähenemisestä. </w:t>
            </w:r>
          </w:p>
        </w:tc>
      </w:tr>
      <w:tr>
        <w:tc>
          <w:tcPr>
            <w:tcW w:w="9747" w:type="dxa"/>
            <w:tcBorders>
              <w:bottom w:val="single" w:sz="4" w:space="0" w:color="auto"/>
            </w:tcBorders>
            <w:shd w:val="clear" w:color="auto" w:fill="E6E6E6"/>
          </w:tcPr>
          <w:p>
            <w:pPr>
              <w:spacing w:after="60"/>
              <w:jc w:val="both"/>
              <w:rPr>
                <w:rFonts w:ascii="Tahoma" w:hAnsi="Tahoma" w:cs="Tahoma"/>
                <w:noProof/>
                <w:sz w:val="20"/>
                <w:szCs w:val="20"/>
              </w:rPr>
            </w:pPr>
            <w:r>
              <w:rPr>
                <w:rFonts w:ascii="Tahoma" w:hAnsi="Tahoma"/>
                <w:b/>
                <w:noProof/>
                <w:sz w:val="20"/>
              </w:rPr>
              <w:t>Mitkä ovat parhaaksi arvioidun vaihtoehdon kustannukset (jos parhaaksi arvioitua vaihtoehtoa ei ole, päävaihtoehtojen kustannukset)?</w:t>
            </w:r>
            <w:r>
              <w:rPr>
                <w:rFonts w:ascii="Tahoma" w:hAnsi="Tahoma"/>
                <w:noProof/>
                <w:sz w:val="20"/>
              </w:rPr>
              <w:t xml:space="preserve"> </w:t>
            </w:r>
          </w:p>
        </w:tc>
      </w:tr>
      <w:tr>
        <w:tc>
          <w:tcPr>
            <w:tcW w:w="9747" w:type="dxa"/>
            <w:tcBorders>
              <w:bottom w:val="single" w:sz="4" w:space="0" w:color="auto"/>
            </w:tcBorders>
            <w:shd w:val="clear" w:color="auto" w:fill="auto"/>
          </w:tcPr>
          <w:p>
            <w:pPr>
              <w:spacing w:after="60"/>
              <w:jc w:val="both"/>
              <w:rPr>
                <w:rFonts w:ascii="Tahoma" w:hAnsi="Tahoma" w:cs="Tahoma"/>
                <w:noProof/>
                <w:sz w:val="20"/>
                <w:szCs w:val="20"/>
              </w:rPr>
            </w:pPr>
            <w:r>
              <w:rPr>
                <w:rFonts w:ascii="Tahoma" w:hAnsi="Tahoma"/>
                <w:noProof/>
                <w:sz w:val="20"/>
              </w:rPr>
              <w:t xml:space="preserve">Jotkin talouden toimijat voivat joutua mukauttamaan toimintaansa, jotta ne voivat toimittaa vaatimustenmukaisuutta koskevat tiedot digitaalisesti, tai nimeämään EU:ssa toimivan vastuuhenkilön. Komissioon ja EU:n talousarvioon kohdistuvia kustannuksia syntyisi etenkin tuotteiden vaatimustenmukaisuutta käsittelevän EU:n verkoston perustamisesta (18 miljoonaa euroa vuodessa). Kielteisiä ympäristövaikutuksia tai sosiaalisia vaikutuksia ei ole odotettavissa. </w:t>
            </w:r>
          </w:p>
        </w:tc>
      </w:tr>
      <w:tr>
        <w:tc>
          <w:tcPr>
            <w:tcW w:w="9747" w:type="dxa"/>
            <w:tcBorders>
              <w:bottom w:val="single" w:sz="4" w:space="0" w:color="auto"/>
            </w:tcBorders>
            <w:shd w:val="clear" w:color="auto" w:fill="E6E6E6"/>
          </w:tcPr>
          <w:p>
            <w:pPr>
              <w:spacing w:after="60"/>
              <w:jc w:val="both"/>
              <w:rPr>
                <w:rFonts w:ascii="Tahoma" w:hAnsi="Tahoma" w:cs="Tahoma"/>
                <w:noProof/>
                <w:sz w:val="20"/>
                <w:szCs w:val="20"/>
              </w:rPr>
            </w:pPr>
            <w:r>
              <w:rPr>
                <w:rFonts w:ascii="Tahoma" w:hAnsi="Tahoma"/>
                <w:b/>
                <w:noProof/>
                <w:sz w:val="20"/>
              </w:rPr>
              <w:t xml:space="preserve">Mitkä ovat vaikutukset suuriin yrityksiin sekä pk- ja mikroyrityksiin? </w:t>
            </w:r>
          </w:p>
        </w:tc>
      </w:tr>
      <w:tr>
        <w:tc>
          <w:tcPr>
            <w:tcW w:w="9747" w:type="dxa"/>
            <w:tcBorders>
              <w:bottom w:val="single" w:sz="4" w:space="0" w:color="auto"/>
            </w:tcBorders>
            <w:shd w:val="clear" w:color="auto" w:fill="auto"/>
          </w:tcPr>
          <w:p>
            <w:pPr>
              <w:spacing w:after="60"/>
              <w:jc w:val="both"/>
              <w:rPr>
                <w:rFonts w:ascii="Tahoma" w:hAnsi="Tahoma" w:cs="Tahoma"/>
                <w:noProof/>
                <w:sz w:val="20"/>
                <w:szCs w:val="20"/>
              </w:rPr>
            </w:pPr>
            <w:r>
              <w:rPr>
                <w:rFonts w:ascii="Tahoma" w:hAnsi="Tahoma"/>
                <w:noProof/>
                <w:sz w:val="20"/>
              </w:rPr>
              <w:t xml:space="preserve">Ehdotus auttaisi yrityksiä – myös pk-yrityksiä – pienentämään epäreilun kilpailun tai epäjohdonmukaisuuksien aiheuttamia kielteisiä vaikutuksia. </w:t>
            </w:r>
          </w:p>
        </w:tc>
      </w:tr>
      <w:tr>
        <w:tc>
          <w:tcPr>
            <w:tcW w:w="9747" w:type="dxa"/>
            <w:tcBorders>
              <w:bottom w:val="single" w:sz="4" w:space="0" w:color="auto"/>
            </w:tcBorders>
            <w:shd w:val="clear" w:color="auto" w:fill="E6E6E6"/>
          </w:tcPr>
          <w:p>
            <w:pPr>
              <w:spacing w:after="60"/>
              <w:jc w:val="both"/>
              <w:rPr>
                <w:rFonts w:ascii="Tahoma" w:hAnsi="Tahoma" w:cs="Tahoma"/>
                <w:b/>
                <w:i/>
                <w:noProof/>
                <w:sz w:val="20"/>
                <w:szCs w:val="20"/>
              </w:rPr>
            </w:pPr>
            <w:r>
              <w:rPr>
                <w:rFonts w:ascii="Tahoma" w:hAnsi="Tahoma"/>
                <w:b/>
                <w:noProof/>
                <w:sz w:val="20"/>
              </w:rPr>
              <w:t>Kohdistuuko kansallisiin talousarvioihin ja viranomaisiin merkittäviä vaikutuksia?</w:t>
            </w:r>
          </w:p>
        </w:tc>
      </w:tr>
      <w:tr>
        <w:tc>
          <w:tcPr>
            <w:tcW w:w="9747" w:type="dxa"/>
            <w:shd w:val="clear" w:color="auto" w:fill="auto"/>
          </w:tcPr>
          <w:p>
            <w:pPr>
              <w:spacing w:after="60"/>
              <w:jc w:val="both"/>
              <w:rPr>
                <w:rFonts w:ascii="Tahoma" w:hAnsi="Tahoma" w:cs="Tahoma"/>
                <w:noProof/>
                <w:sz w:val="20"/>
                <w:szCs w:val="20"/>
              </w:rPr>
            </w:pPr>
            <w:r>
              <w:rPr>
                <w:rFonts w:ascii="Tahoma" w:hAnsi="Tahoma"/>
                <w:noProof/>
                <w:sz w:val="20"/>
              </w:rPr>
              <w:t xml:space="preserve">Jäsenvaltioiden olisi mukauduttava uusiin menettelyihin, mutta kevennettyjen yhteistyömenettelyjen ansiosta ne myös säästäisivät kustannuksia. </w:t>
            </w:r>
          </w:p>
        </w:tc>
      </w:tr>
      <w:tr>
        <w:tc>
          <w:tcPr>
            <w:tcW w:w="9747" w:type="dxa"/>
            <w:tcBorders>
              <w:bottom w:val="single" w:sz="4" w:space="0" w:color="auto"/>
            </w:tcBorders>
            <w:shd w:val="clear" w:color="auto" w:fill="E6E6E6"/>
          </w:tcPr>
          <w:p>
            <w:pPr>
              <w:spacing w:after="60"/>
              <w:jc w:val="both"/>
              <w:rPr>
                <w:rFonts w:ascii="Tahoma" w:hAnsi="Tahoma" w:cs="Tahoma"/>
                <w:noProof/>
                <w:sz w:val="20"/>
                <w:szCs w:val="20"/>
              </w:rPr>
            </w:pPr>
            <w:r>
              <w:rPr>
                <w:rFonts w:ascii="Tahoma" w:hAnsi="Tahoma"/>
                <w:b/>
                <w:noProof/>
                <w:sz w:val="20"/>
              </w:rPr>
              <w:t>Onko toimenpiteellä muita merkittäviä vaikutuksia?</w:t>
            </w:r>
            <w:r>
              <w:rPr>
                <w:rFonts w:ascii="Tahoma" w:hAnsi="Tahoma"/>
                <w:noProof/>
                <w:sz w:val="20"/>
              </w:rPr>
              <w:t xml:space="preserve"> </w:t>
            </w:r>
          </w:p>
        </w:tc>
      </w:tr>
      <w:tr>
        <w:tc>
          <w:tcPr>
            <w:tcW w:w="9747" w:type="dxa"/>
            <w:tcBorders>
              <w:bottom w:val="single" w:sz="4" w:space="0" w:color="auto"/>
            </w:tcBorders>
            <w:shd w:val="clear" w:color="auto" w:fill="auto"/>
          </w:tcPr>
          <w:p>
            <w:pPr>
              <w:spacing w:after="60"/>
              <w:jc w:val="both"/>
              <w:rPr>
                <w:rFonts w:ascii="Tahoma" w:hAnsi="Tahoma" w:cs="Tahoma"/>
                <w:noProof/>
                <w:sz w:val="20"/>
                <w:szCs w:val="20"/>
              </w:rPr>
            </w:pPr>
            <w:r>
              <w:rPr>
                <w:rFonts w:ascii="Tahoma" w:hAnsi="Tahoma"/>
                <w:noProof/>
                <w:sz w:val="20"/>
              </w:rPr>
              <w:t xml:space="preserve">Kansallisten viranomaisten valtuuksia ja täytäntöönpanotoimenpiteitä hienosäädettäessä on asianmukaisesti kunnioitettava perusoikeuksia sekä laillisuus- ja suhteellisuusperiaatetta. </w:t>
            </w:r>
          </w:p>
        </w:tc>
      </w:tr>
      <w:tr>
        <w:tc>
          <w:tcPr>
            <w:tcW w:w="9747" w:type="dxa"/>
            <w:tcBorders>
              <w:bottom w:val="single" w:sz="4" w:space="0" w:color="auto"/>
            </w:tcBorders>
            <w:shd w:val="clear" w:color="auto" w:fill="C0C0C0"/>
          </w:tcPr>
          <w:p>
            <w:pPr>
              <w:spacing w:after="60"/>
              <w:jc w:val="center"/>
              <w:rPr>
                <w:rFonts w:ascii="Tahoma" w:hAnsi="Tahoma" w:cs="Tahoma"/>
                <w:b/>
                <w:noProof/>
                <w:sz w:val="20"/>
                <w:szCs w:val="20"/>
              </w:rPr>
            </w:pPr>
            <w:r>
              <w:rPr>
                <w:rFonts w:ascii="Tahoma" w:hAnsi="Tahoma"/>
                <w:b/>
                <w:noProof/>
                <w:sz w:val="20"/>
              </w:rPr>
              <w:t>D. Seuranta</w:t>
            </w:r>
          </w:p>
        </w:tc>
      </w:tr>
      <w:tr>
        <w:tc>
          <w:tcPr>
            <w:tcW w:w="9747" w:type="dxa"/>
            <w:tcBorders>
              <w:bottom w:val="single" w:sz="4" w:space="0" w:color="auto"/>
            </w:tcBorders>
            <w:shd w:val="clear" w:color="auto" w:fill="E6E6E6"/>
          </w:tcPr>
          <w:p>
            <w:pPr>
              <w:spacing w:after="60"/>
              <w:jc w:val="both"/>
              <w:rPr>
                <w:rFonts w:ascii="Tahoma" w:hAnsi="Tahoma" w:cs="Tahoma"/>
                <w:noProof/>
                <w:sz w:val="20"/>
                <w:szCs w:val="20"/>
              </w:rPr>
            </w:pPr>
            <w:r>
              <w:rPr>
                <w:rFonts w:ascii="Tahoma" w:hAnsi="Tahoma"/>
                <w:b/>
                <w:noProof/>
                <w:sz w:val="20"/>
              </w:rPr>
              <w:t>Milloin asiaa tarkastellaan uudelleen?</w:t>
            </w:r>
          </w:p>
        </w:tc>
      </w:tr>
      <w:tr>
        <w:tc>
          <w:tcPr>
            <w:tcW w:w="9747" w:type="dxa"/>
            <w:tcBorders>
              <w:bottom w:val="single" w:sz="4" w:space="0" w:color="auto"/>
            </w:tcBorders>
            <w:shd w:val="clear" w:color="auto" w:fill="auto"/>
          </w:tcPr>
          <w:p>
            <w:pPr>
              <w:spacing w:after="60"/>
              <w:jc w:val="both"/>
              <w:rPr>
                <w:rFonts w:ascii="Tahoma" w:hAnsi="Tahoma" w:cs="Tahoma"/>
                <w:noProof/>
                <w:sz w:val="20"/>
                <w:szCs w:val="20"/>
              </w:rPr>
            </w:pPr>
            <w:r>
              <w:rPr>
                <w:rFonts w:ascii="Tahoma" w:hAnsi="Tahoma"/>
                <w:noProof/>
                <w:sz w:val="20"/>
              </w:rPr>
              <w:t xml:space="preserve">Säännöllisen seurannan lisäksi on tarkoitus arvioida uuden oikeudellisen kehyksen toimivuutta noin viiden vuoden kuluttua sen täytäntöönpanosta. </w:t>
            </w:r>
          </w:p>
        </w:tc>
      </w:tr>
    </w:tbl>
    <w:p>
      <w:pPr>
        <w:spacing w:after="120"/>
        <w:rPr>
          <w:rFonts w:ascii="Tahoma" w:hAnsi="Tahoma" w:cs="Tahoma"/>
          <w:noProof/>
          <w:sz w:val="2"/>
          <w:szCs w:val="2"/>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21775996"/>
      <w:docPartObj>
        <w:docPartGallery w:val="Page Numbers (Bottom of Page)"/>
        <w:docPartUnique/>
      </w:docPartObj>
    </w:sdtPr>
    <w:sdtEndPr>
      <w:rPr>
        <w:noProof/>
      </w:rPr>
    </w:sdtEndPr>
    <w:sdtContent>
      <w:p>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noProof/>
            <w:sz w:val="16"/>
            <w:szCs w:val="16"/>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
    <w:nsid w:val="467E1DA0"/>
    <w:multiLevelType w:val="hybridMultilevel"/>
    <w:tmpl w:val="526C7FAC"/>
    <w:lvl w:ilvl="0" w:tplc="CC021762">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5B7606AA"/>
    <w:multiLevelType w:val="hybridMultilevel"/>
    <w:tmpl w:val="C5BEB632"/>
    <w:lvl w:ilvl="0" w:tplc="CC021762">
      <w:start w:val="1"/>
      <w:numFmt w:val="bullet"/>
      <w:lvlText w:val=""/>
      <w:lvlJc w:val="left"/>
      <w:pPr>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CF74DC"/>
    <w:multiLevelType w:val="hybridMultilevel"/>
    <w:tmpl w:val="FE800A86"/>
    <w:lvl w:ilvl="0" w:tplc="0809000F">
      <w:start w:val="1"/>
      <w:numFmt w:val="decimal"/>
      <w:lvlText w:val="%1."/>
      <w:lvlJc w:val="left"/>
      <w:pPr>
        <w:ind w:left="1202" w:hanging="360"/>
      </w:p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Oheisasiakirja"/>
    <w:docVar w:name="LW_CORRIGENDUM" w:val="&lt;UNUSED&gt;"/>
    <w:docVar w:name="LW_COVERPAGE_EXISTS" w:val="True"/>
    <w:docVar w:name="LW_COVERPAGE_GUID" w:val="2BF08A8E-B526-4B92-BEBF-2C80C073A4C4"/>
    <w:docVar w:name="LW_COVERPAGE_TYPE" w:val="1"/>
    <w:docVar w:name="LW_CROSSREFERENCE" w:val="{COM(2017) 795 final}_x000b_{SWD(2017) 466 final}_x000b_{SWD(2017) 468 final}_x000b_{SWD(2017) 469 final}_x000b_{SWD(2017) 470 final}"/>
    <w:docVar w:name="LW_DocType" w:val="NORMAL"/>
    <w:docVar w:name="LW_EMISSION" w:val="19.12.2017"/>
    <w:docVar w:name="LW_EMISSION_ISODATE" w:val="2017-12-19"/>
    <w:docVar w:name="LW_EMISSION_LOCATION" w:val="BRX"/>
    <w:docVar w:name="LW_EMISSION_PREFIX" w:val="Bryssel "/>
    <w:docVar w:name="LW_EMISSION_SUFFIX" w:val="&lt;EMPTY&gt;"/>
    <w:docVar w:name="LW_ID_DOCTYPE_NONLW" w:val="CP-027"/>
    <w:docVar w:name="LW_LANGUE" w:val="FI"/>
    <w:docVar w:name="LW_LEVEL_OF_SENSITIVITY" w:val="Standard treatment"/>
    <w:docVar w:name="LW_NOM.INST" w:val="EUROOPAN KOMISSIO"/>
    <w:docVar w:name="LW_NOM.INST_JOINTDOC" w:val="&lt;EMPTY&gt;"/>
    <w:docVar w:name="LW_OBJETACTEPRINCIPAL.CP" w:val="sääntöjen ja menettelyjen vahvistamisesta tuotteita koskevan unionin yhdenmukaistamislainsäädännön noudattamista ja täytäntöönpanon valvontaa varten sekä Euroopan parlamentin ja neuvoston asetusten (EU) N:o 305/2011, (EU) N:o 528/2012, (EU) 2016/424, (EU) 2016/425, (EU) 2016/426 ja (EU) 2017/1369 ja Euroopan parlamentin ja neuvoston direktiivien 2004/42/EY, 2009/48/EY, 2010/35/EU, 2013/29/EU, 2013/53/EU, 2014/28/EU, 2014/29/EU, 2014/30/EU, 2014/31/EU, 2014/32/EU, 2014/33/EU, 2014/34/EU, 2014/35/EU, 2014/53/EU, 2014/68/EU ja 2014/90/EU muuttamisesta"/>
    <w:docVar w:name="LW_PART_NBR" w:val="1"/>
    <w:docVar w:name="LW_PART_NBR_TOTAL" w:val="1"/>
    <w:docVar w:name="LW_REF.INST.NEW" w:val="SWD"/>
    <w:docVar w:name="LW_REF.INST.NEW_ADOPTED" w:val="final"/>
    <w:docVar w:name="LW_REF.INST.NEW_TEXT" w:val="(2017) 4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KOMISSION YKSIKÖIDEN VALMISTELUASIAKIRJA_x000b__x000b_TIIVISTELMÄ VAIKUTUSTEN ARVIOINNISTA_x000b_"/>
    <w:docVar w:name="LW_TYPEACTEPRINCIPAL.CP" w:val="ehdotukseen Euroopan parlamentin ja neuvoston asetukseksi"/>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i-F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Text1">
    <w:name w:val="Text 1"/>
    <w:basedOn w:val="Normal"/>
    <w:link w:val="Text1Char"/>
    <w:pPr>
      <w:spacing w:after="240"/>
      <w:ind w:left="482"/>
      <w:jc w:val="both"/>
    </w:pPr>
    <w:rPr>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ind w:left="357" w:hanging="357"/>
      <w:jc w:val="both"/>
    </w:pPr>
    <w:rPr>
      <w:sz w:val="16"/>
      <w:szCs w:val="16"/>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16"/>
      <w:szCs w:val="16"/>
    </w:rPr>
  </w:style>
  <w:style w:type="character" w:customStyle="1" w:styleId="Text1Char">
    <w:name w:val="Text 1 Char"/>
    <w:link w:val="Text1"/>
    <w:rPr>
      <w:rFonts w:ascii="Times New Roman" w:eastAsia="Times New Roman" w:hAnsi="Times New Roman" w:cs="Times New Roman"/>
      <w:sz w:val="24"/>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R,F"/>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rFonts w:asciiTheme="minorHAnsi" w:eastAsiaTheme="minorHAnsi" w:hAnsiTheme="minorHAnsi" w:cstheme="minorBidi"/>
      <w:sz w:val="22"/>
      <w:szCs w:val="22"/>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ListBullet1">
    <w:name w:val="List Bullet 1"/>
    <w:basedOn w:val="Text1"/>
    <w:pPr>
      <w:numPr>
        <w:numId w:val="1"/>
      </w:numPr>
    </w:pPr>
  </w:style>
  <w:style w:type="paragraph" w:styleId="ListParagraph">
    <w:name w:val="List Paragraph"/>
    <w:basedOn w:val="Normal"/>
    <w:uiPriority w:val="34"/>
    <w:qFormat/>
    <w:pPr>
      <w:ind w:left="720"/>
      <w:contextualSpacing/>
    </w:p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fi-F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eastAsia="fi-F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lang w:eastAsia="fi-F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i-F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Text1">
    <w:name w:val="Text 1"/>
    <w:basedOn w:val="Normal"/>
    <w:link w:val="Text1Char"/>
    <w:pPr>
      <w:spacing w:after="240"/>
      <w:ind w:left="482"/>
      <w:jc w:val="both"/>
    </w:pPr>
    <w:rPr>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ind w:left="357" w:hanging="357"/>
      <w:jc w:val="both"/>
    </w:pPr>
    <w:rPr>
      <w:sz w:val="16"/>
      <w:szCs w:val="16"/>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16"/>
      <w:szCs w:val="16"/>
    </w:rPr>
  </w:style>
  <w:style w:type="character" w:customStyle="1" w:styleId="Text1Char">
    <w:name w:val="Text 1 Char"/>
    <w:link w:val="Text1"/>
    <w:rPr>
      <w:rFonts w:ascii="Times New Roman" w:eastAsia="Times New Roman" w:hAnsi="Times New Roman" w:cs="Times New Roman"/>
      <w:sz w:val="24"/>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R,F"/>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rFonts w:asciiTheme="minorHAnsi" w:eastAsiaTheme="minorHAnsi" w:hAnsiTheme="minorHAnsi" w:cstheme="minorBidi"/>
      <w:sz w:val="22"/>
      <w:szCs w:val="22"/>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ListBullet1">
    <w:name w:val="List Bullet 1"/>
    <w:basedOn w:val="Text1"/>
    <w:pPr>
      <w:numPr>
        <w:numId w:val="1"/>
      </w:numPr>
    </w:pPr>
  </w:style>
  <w:style w:type="paragraph" w:styleId="ListParagraph">
    <w:name w:val="List Paragraph"/>
    <w:basedOn w:val="Normal"/>
    <w:uiPriority w:val="34"/>
    <w:qFormat/>
    <w:pPr>
      <w:ind w:left="720"/>
      <w:contextualSpacing/>
    </w:p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fi-F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eastAsia="fi-F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lang w:eastAsia="fi-F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228E3-FEEC-429F-8C93-CFCC37DE565D}">
  <ds:schemaRefs>
    <ds:schemaRef ds:uri="http://www.w3.org/XML/1998/namespace"/>
    <ds:schemaRef ds:uri="http://purl.org/dc/terms/"/>
    <ds:schemaRef ds:uri="http://purl.org/dc/elements/1.1/"/>
    <ds:schemaRef ds:uri="http://purl.org/dc/dcmityp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513</Words>
  <Characters>4828</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2017-03-09T07:11:00Z</cp:lastPrinted>
  <dcterms:created xsi:type="dcterms:W3CDTF">2017-12-11T15:15:00Z</dcterms:created>
  <dcterms:modified xsi:type="dcterms:W3CDTF">2018-01-22T13:06:00Z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0x010100AB6DCF41F10D214DBDDF7E1F5EB8F7C1</vt:lpwstr>
  </property>
  <property fmtid="{D5CDD505-2E9C-101B-9397-08002B2CF9AE}" pid="10" name="TemplateUrl">
    <vt:lpwstr/>
  </property>
  <property fmtid="{D5CDD505-2E9C-101B-9397-08002B2CF9AE}" pid="11" name="Level of sensitivity">
    <vt:lpwstr>Standard treatment</vt:lpwstr>
  </property>
  <property fmtid="{D5CDD505-2E9C-101B-9397-08002B2CF9AE}" pid="12" name="Classification">
    <vt:lpwstr> </vt:lpwstr>
  </property>
  <property name="OP_sanitized" fmtid="{D5CDD505-2E9C-101B-9397-08002B2CF9AE}" pid="13">
    <vt:lpwstr>True</vt:lpwstr>
  </property>
</Properties>
</file>