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A8D0E6CC2C444D5B9385537E4E5EA4A0" style="width:450.45pt;height:338.7pt">
            <v:imagedata r:id="rId9" o:title=""/>
          </v:shape>
        </w:pict>
      </w:r>
    </w:p>
    <w:p>
      <w:pPr>
        <w:rPr>
          <w:noProof/>
        </w:rPr>
        <w:sectPr>
          <w:footerReference w:type="default" r:id="rId10"/>
          <w:footnotePr>
            <w:numRestart w:val="eachSect"/>
          </w:footnotePr>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t>PERUSTELUT</w:t>
      </w:r>
    </w:p>
    <w:p>
      <w:pPr>
        <w:pStyle w:val="ManualHeading1"/>
        <w:rPr>
          <w:noProof/>
        </w:rPr>
      </w:pPr>
      <w:r>
        <w:rPr>
          <w:noProof/>
        </w:rPr>
        <w:t>1.</w:t>
      </w:r>
      <w:r>
        <w:rPr>
          <w:noProof/>
        </w:rPr>
        <w:tab/>
        <w:t>EHDOTUKSEN TAUSTA</w:t>
      </w:r>
    </w:p>
    <w:p>
      <w:pPr>
        <w:pStyle w:val="ManualHeading2"/>
        <w:rPr>
          <w:rFonts w:eastAsia="Arial Unicode MS"/>
          <w:noProof/>
        </w:rPr>
      </w:pPr>
      <w:r>
        <w:rPr>
          <w:noProof/>
          <w:color w:val="000000"/>
          <w:u w:color="000000"/>
          <w:bdr w:val="nil"/>
        </w:rPr>
        <w:t>•</w:t>
      </w:r>
      <w:r>
        <w:rPr>
          <w:noProof/>
        </w:rPr>
        <w:tab/>
        <w:t>Ehdotuksen perustelut ja tavoitteet</w:t>
      </w:r>
    </w:p>
    <w:p>
      <w:pPr>
        <w:pBdr>
          <w:top w:val="nil"/>
          <w:left w:val="nil"/>
          <w:bottom w:val="nil"/>
          <w:right w:val="nil"/>
          <w:between w:val="nil"/>
          <w:bar w:val="nil"/>
        </w:pBdr>
        <w:spacing w:before="0" w:after="240"/>
        <w:rPr>
          <w:noProof/>
        </w:rPr>
      </w:pPr>
      <w:r>
        <w:rPr>
          <w:noProof/>
        </w:rPr>
        <w:t>Asetuksessa (EU) N:o 1380/2013</w:t>
      </w:r>
      <w:r>
        <w:rPr>
          <w:rStyle w:val="FootnoteReference"/>
          <w:noProof/>
        </w:rPr>
        <w:footnoteReference w:id="1"/>
      </w:r>
      <w:r>
        <w:rPr>
          <w:noProof/>
        </w:rPr>
        <w:t xml:space="preserve"> säädetään niin sanotusta purkamisvelvoitteesta eli siitä, että vähitellen otetaan käyttöön velvollisuus purkaa aluksesta kaikki sellaisten kalakantojen saaliit, joihin sovelletaan saalisrajoituksia tai säilyttämisen vähimmäisviitekokoa. Purkamisvelvoitteen täytäntöönpanon yksityiskohdat määritellään periaatteessa alueellisissa monivuotisissa hoitosuunnitelmissa, jotka hyväksytään yhteispäätösmenettelyllä. Koska oli kuitenkin odotettavissa, että monivuotisten suunnitelmien hyväksyminen vaatii jonkin verran aikaa, asetuksessa (EU) N:o 1380/2013 säädetään väliaikaisratkaisuna, että komissio antaa delegoituja säädöksiä poisheittämissuunnitelmista, jotka laaditaan asianomaisten jäsenvaltioiden yhteisen suosituksen pohjalta enintään kolmen vuoden ajaksi. Poisheittämissuunnitelmiin voi sisältyä säännöksiä kalastuksista tai lajeista, joihin sovelletaan jo purkamisvelvoitetta, tai niissä voidaan joskus ottaa se käyttöön ennen asetuksen (EU) N:o 1380/2013 mukaista määräaikaa. Niissä voidaan myös määritellä poikkeuksia, kuten de minimis -säännös ja korkea eloonjäämisaste, tai niihin voi sisältyä säännöksiä saaliiden kirjausmenettelystä ja tarvittaessa niissä voidaan vahvistaa säilyttämisen vähimmäisviitekoko. </w:t>
      </w:r>
    </w:p>
    <w:p>
      <w:pPr>
        <w:pBdr>
          <w:top w:val="nil"/>
          <w:left w:val="nil"/>
          <w:bottom w:val="nil"/>
          <w:right w:val="nil"/>
          <w:between w:val="nil"/>
          <w:bar w:val="nil"/>
        </w:pBdr>
        <w:spacing w:before="0" w:after="240"/>
        <w:rPr>
          <w:noProof/>
        </w:rPr>
      </w:pPr>
      <w:r>
        <w:rPr>
          <w:noProof/>
        </w:rPr>
        <w:t xml:space="preserve">Ensimmäiset komission delegoidut asetuksen poisheittämissuunnitelmista tulivat voimaan 1. tammikuuta 2015, ja niiden voimassaolo päättyy vuoden 2017 lopussa. Asetuksella (EU) N:o 1380/2013 valtuutetaan komissio antamaan alkuperäisen kolmen vuoden ajanjakson jälkeen delegoituja säädöksiä, joihin sisältyy vain de minimis -poikkeuksia, koska monivuotisia suunnitelmia olisi periaatteessa käytettävä meren biologisten luonnonvarojen kestävää hyödyntämistä koskevan tavoitteen saavuttamiseen siten, että otetaan huomioon eri kalastusten erityispiirteet, ja niihin olisi sisällyttävä tarvittavat valtuutukset sellaisten delegoitujen säädösten antamiseen, joihin sisältyvät purkamisvelvoitteen kitkattoman täytäntöönpanon vaatimat muut joustot. </w:t>
      </w:r>
    </w:p>
    <w:p>
      <w:pPr>
        <w:pBdr>
          <w:top w:val="nil"/>
          <w:left w:val="nil"/>
          <w:bottom w:val="nil"/>
          <w:right w:val="nil"/>
          <w:between w:val="nil"/>
          <w:bar w:val="nil"/>
        </w:pBdr>
        <w:spacing w:before="0" w:after="240"/>
        <w:rPr>
          <w:noProof/>
        </w:rPr>
      </w:pPr>
      <w:r>
        <w:rPr>
          <w:noProof/>
        </w:rPr>
        <w:t>Tähän mennessä on hyväksytty vasta Itämeren monivuotinen suunnitelma</w:t>
      </w:r>
      <w:r>
        <w:rPr>
          <w:rStyle w:val="FootnoteReference"/>
          <w:noProof/>
        </w:rPr>
        <w:footnoteReference w:id="2"/>
      </w:r>
      <w:r>
        <w:rPr>
          <w:noProof/>
        </w:rPr>
        <w:t>, ja lainsäädäntövallan käyttäjät neuvottelevat parhaillaan kahdesta komission ehdotuksesta, jotka koskevat Pohjanmeren pohjakalojen ja Adrianmeren pienten pelagisten lajien monivuotisia suunnitelmia</w:t>
      </w:r>
      <w:r>
        <w:rPr>
          <w:rStyle w:val="FootnoteReference"/>
          <w:noProof/>
        </w:rPr>
        <w:footnoteReference w:id="3"/>
      </w:r>
      <w:r>
        <w:rPr>
          <w:noProof/>
        </w:rPr>
        <w:t xml:space="preserve">. Tätä taustaa vasten on tarpeen valtuuttaa komissio hyväksymään poisheittämissuunnitelmia vielä enintään kolmeksi vuodeksi, jotta voidaan helpottaa purkamisvelvoitteen täytäntöönpanoa.   </w:t>
      </w:r>
    </w:p>
    <w:p>
      <w:pPr>
        <w:pStyle w:val="ManualHeading2"/>
        <w:rPr>
          <w:rFonts w:eastAsia="Arial Unicode MS"/>
          <w:noProof/>
          <w:color w:val="000000"/>
          <w:u w:color="000000"/>
          <w:bdr w:val="nil"/>
        </w:rPr>
      </w:pPr>
      <w:r>
        <w:rPr>
          <w:noProof/>
          <w:color w:val="000000"/>
          <w:u w:color="000000"/>
          <w:bdr w:val="nil"/>
        </w:rPr>
        <w:t>•</w:t>
      </w:r>
      <w:r>
        <w:rPr>
          <w:noProof/>
        </w:rPr>
        <w:tab/>
        <w:t>Yhdenmukaisuus muiden alaa koskevien politiikkojen säännösten kanssa</w:t>
      </w:r>
    </w:p>
    <w:p>
      <w:pPr>
        <w:pBdr>
          <w:top w:val="nil"/>
          <w:left w:val="nil"/>
          <w:bottom w:val="nil"/>
          <w:right w:val="nil"/>
          <w:between w:val="nil"/>
          <w:bar w:val="nil"/>
        </w:pBdr>
        <w:spacing w:before="0" w:after="240"/>
        <w:rPr>
          <w:noProof/>
        </w:rPr>
      </w:pPr>
      <w:r>
        <w:rPr>
          <w:noProof/>
        </w:rPr>
        <w:t xml:space="preserve">Ehdotus liittyy uudistetun yhteisen kalastuspolitiikan keskeiseen säännökseen, joka koskee purkamisvelvoitetta. Sen tarkoituksena on helpottaa velvoitteen kitkatonta täytäntöönpanoa valtuuttamalla komissio hyväksymään delegoidulla säädöksellä joustot, joita tarvitaan niin pitkään, kun yhteispäätösmenettelyllä hyväksyttäviä monivuotisia suunnitelmia ei vielä ole.   </w:t>
      </w:r>
    </w:p>
    <w:p>
      <w:pPr>
        <w:pStyle w:val="ManualHeading2"/>
        <w:rPr>
          <w:rFonts w:eastAsia="Arial Unicode MS"/>
          <w:noProof/>
        </w:rPr>
      </w:pPr>
      <w:r>
        <w:rPr>
          <w:noProof/>
          <w:color w:val="000000"/>
          <w:u w:color="000000"/>
          <w:bdr w:val="nil"/>
        </w:rPr>
        <w:t>•</w:t>
      </w:r>
      <w:r>
        <w:rPr>
          <w:noProof/>
        </w:rPr>
        <w:tab/>
        <w:t>Yhdenmukaisuus unionin muiden politiikkojen kanssa</w:t>
      </w:r>
    </w:p>
    <w:p>
      <w:pPr>
        <w:pBdr>
          <w:top w:val="nil"/>
          <w:left w:val="nil"/>
          <w:bottom w:val="nil"/>
          <w:right w:val="nil"/>
          <w:between w:val="nil"/>
          <w:bar w:val="nil"/>
        </w:pBdr>
        <w:spacing w:before="0" w:after="240"/>
        <w:rPr>
          <w:noProof/>
        </w:rPr>
      </w:pPr>
      <w:r>
        <w:rPr>
          <w:noProof/>
        </w:rPr>
        <w:t xml:space="preserve">Purkamisvelvoitteen tarkoituksena on lisätä valikoivuutta ja vähentää ei-toivottuja saaliita. Ehdotuksen tarkoituksena on sujuvoittaa tämän velvoitteen täytäntöönpanoa, mikä edistää ympäristöön liittyvää ja sosiaalista ja taloudellista kestävyyttä, jotka ovat monien unionin politiikkojen keskeisiä tavoitteita.  </w:t>
      </w:r>
    </w:p>
    <w:p>
      <w:pPr>
        <w:pStyle w:val="ManualHeading1"/>
        <w:rPr>
          <w:noProof/>
        </w:rPr>
      </w:pPr>
      <w:r>
        <w:rPr>
          <w:noProof/>
        </w:rPr>
        <w:t>2.</w:t>
      </w:r>
      <w:r>
        <w:rPr>
          <w:noProof/>
        </w:rPr>
        <w:tab/>
        <w:t>OIKEUSPERUSTA, TOISSIJAISUUSPERIAATE JA SUHTEELLISUUSPERIAATE</w:t>
      </w:r>
    </w:p>
    <w:p>
      <w:pPr>
        <w:pStyle w:val="ManualHeading2"/>
        <w:rPr>
          <w:rFonts w:eastAsia="Arial Unicode MS"/>
          <w:noProof/>
          <w:u w:color="000000"/>
          <w:bdr w:val="nil"/>
        </w:rPr>
      </w:pPr>
      <w:r>
        <w:rPr>
          <w:noProof/>
        </w:rPr>
        <w:t>•</w:t>
      </w:r>
      <w:r>
        <w:rPr>
          <w:noProof/>
        </w:rPr>
        <w:tab/>
        <w:t>Oikeusperusta</w:t>
      </w:r>
    </w:p>
    <w:p>
      <w:pPr>
        <w:pBdr>
          <w:top w:val="nil"/>
          <w:left w:val="nil"/>
          <w:bottom w:val="nil"/>
          <w:right w:val="nil"/>
          <w:between w:val="nil"/>
          <w:bar w:val="nil"/>
        </w:pBdr>
        <w:spacing w:before="0" w:after="240"/>
        <w:rPr>
          <w:noProof/>
        </w:rPr>
      </w:pPr>
      <w:r>
        <w:rPr>
          <w:noProof/>
        </w:rPr>
        <w:t>Ehdotuksen oikeusperusta on Euroopan unionin toiminnasta tehdyn sopimuksen 43 artiklan 2 kohta, jonka mukaan Euroopan parlamentti ja neuvosto säätävät tavallista lainsäätämisjärjestystä noudattaen yhteisen kalastuspolitiikan tavoitteiden toteuttamisessa tarvittavista säännöksistä.</w:t>
      </w:r>
    </w:p>
    <w:p>
      <w:pPr>
        <w:pStyle w:val="ManualHeading2"/>
        <w:rPr>
          <w:rFonts w:eastAsia="Arial Unicode MS"/>
          <w:noProof/>
          <w:u w:color="000000"/>
          <w:bdr w:val="nil"/>
        </w:rPr>
      </w:pPr>
      <w:r>
        <w:rPr>
          <w:noProof/>
        </w:rPr>
        <w:t>•</w:t>
      </w:r>
      <w:r>
        <w:rPr>
          <w:noProof/>
        </w:rPr>
        <w:tab/>
        <w:t xml:space="preserve">Toissijaisuusperiaate (jaetun toimivallan osalta) </w:t>
      </w:r>
    </w:p>
    <w:p>
      <w:pPr>
        <w:pBdr>
          <w:top w:val="nil"/>
          <w:left w:val="nil"/>
          <w:bottom w:val="nil"/>
          <w:right w:val="nil"/>
          <w:between w:val="nil"/>
          <w:bar w:val="nil"/>
        </w:pBdr>
        <w:spacing w:before="0" w:after="240"/>
        <w:rPr>
          <w:rFonts w:eastAsia="Arial Unicode MS"/>
          <w:noProof/>
        </w:rPr>
      </w:pPr>
      <w:r>
        <w:rPr>
          <w:noProof/>
        </w:rPr>
        <w:t>Ei sovelleta, sillä ehdotus kuuluu Euroopan unionin yksinomaiseen toimivaltaan.</w:t>
      </w:r>
    </w:p>
    <w:p>
      <w:pPr>
        <w:pStyle w:val="ManualHeading2"/>
        <w:rPr>
          <w:rFonts w:eastAsia="Arial Unicode MS"/>
          <w:noProof/>
          <w:u w:color="000000"/>
          <w:bdr w:val="nil"/>
        </w:rPr>
      </w:pPr>
      <w:r>
        <w:rPr>
          <w:noProof/>
        </w:rPr>
        <w:t>•</w:t>
      </w:r>
      <w:r>
        <w:rPr>
          <w:noProof/>
        </w:rPr>
        <w:tab/>
        <w:t>Suhteellisuusperiaate</w:t>
      </w:r>
    </w:p>
    <w:p>
      <w:pPr>
        <w:pBdr>
          <w:top w:val="nil"/>
          <w:left w:val="nil"/>
          <w:bottom w:val="nil"/>
          <w:right w:val="nil"/>
          <w:between w:val="nil"/>
          <w:bar w:val="nil"/>
        </w:pBdr>
        <w:spacing w:before="0" w:after="240"/>
        <w:rPr>
          <w:rFonts w:eastAsia="Arial Unicode MS"/>
          <w:noProof/>
        </w:rPr>
      </w:pPr>
      <w:r>
        <w:rPr>
          <w:noProof/>
        </w:rPr>
        <w:t>Ehdotuksen tarkoituksena on vain jatkaa komission valtuuttamista antamaan delegoituja säädöksiä poisheittämissuunnitelmista vielä kolmen vuoden ajan, koska monivuotisten suunnitelmien hyväksyminen on viivästynyt. Jatko on tarpeen ja aiheellinen purkamisvelvoitteen kitkattoman täytäntöönpanon turvaamiseksi. Tiukan ajallisen rajoittamisen vuoksi ehdotuksesta ei aiheudu ongelmia suhteellisuuden kannalta.</w:t>
      </w:r>
    </w:p>
    <w:p>
      <w:pPr>
        <w:pStyle w:val="ManualHeading2"/>
        <w:rPr>
          <w:rFonts w:eastAsia="Arial Unicode MS"/>
          <w:noProof/>
          <w:u w:color="000000"/>
          <w:bdr w:val="nil"/>
        </w:rPr>
      </w:pPr>
      <w:r>
        <w:rPr>
          <w:noProof/>
        </w:rPr>
        <w:t>•</w:t>
      </w:r>
      <w:r>
        <w:rPr>
          <w:noProof/>
        </w:rPr>
        <w:tab/>
        <w:t>Toimintatavan valinta</w:t>
      </w:r>
    </w:p>
    <w:p>
      <w:pPr>
        <w:pBdr>
          <w:top w:val="nil"/>
          <w:left w:val="nil"/>
          <w:bottom w:val="nil"/>
          <w:right w:val="nil"/>
          <w:between w:val="nil"/>
          <w:bar w:val="nil"/>
        </w:pBdr>
        <w:spacing w:before="0" w:after="240"/>
        <w:rPr>
          <w:rFonts w:eastAsia="Arial Unicode MS"/>
          <w:noProof/>
        </w:rPr>
      </w:pPr>
      <w:r>
        <w:rPr>
          <w:noProof/>
        </w:rPr>
        <w:t>Ainoastaan Euroopan parlamentin ja neuvoston asetuksella voidaan muuttaa asetusta, jonka Euroopan parlamentti ja neuvosto ovat hyväksyneet  tavallista lainsäätämisjärjestystä noudattaen Euroopan unionin toiminnasta tehdyn sopimuksen 43 artiklan 2 kohdan mukaisesti.</w:t>
      </w:r>
    </w:p>
    <w:p>
      <w:pPr>
        <w:pStyle w:val="ManualHeading1"/>
        <w:rPr>
          <w:noProof/>
        </w:rPr>
      </w:pPr>
      <w:r>
        <w:rPr>
          <w:noProof/>
        </w:rPr>
        <w:t>3.</w:t>
      </w:r>
      <w:r>
        <w:rPr>
          <w:noProof/>
        </w:rPr>
        <w:tab/>
        <w:t>JÄLKIARVIOINTIEN, SIDOSRYHMIEN KUULEMISTEN JA VAIKUTUSTENARVIOINTIEN TULOKSET</w:t>
      </w:r>
    </w:p>
    <w:p>
      <w:pPr>
        <w:pStyle w:val="ManualHeading2"/>
        <w:rPr>
          <w:rFonts w:eastAsia="Arial Unicode MS"/>
          <w:noProof/>
          <w:u w:color="000000"/>
          <w:bdr w:val="nil"/>
        </w:rPr>
      </w:pPr>
      <w:r>
        <w:rPr>
          <w:noProof/>
        </w:rPr>
        <w:t>•</w:t>
      </w:r>
      <w:r>
        <w:rPr>
          <w:noProof/>
        </w:rPr>
        <w:tab/>
        <w:t>Jälkiarvioinnit/toimivuustarkastukset</w:t>
      </w:r>
    </w:p>
    <w:p>
      <w:pPr>
        <w:pBdr>
          <w:top w:val="nil"/>
          <w:left w:val="nil"/>
          <w:bottom w:val="nil"/>
          <w:right w:val="nil"/>
          <w:between w:val="nil"/>
          <w:bar w:val="nil"/>
        </w:pBdr>
        <w:spacing w:before="0" w:after="240"/>
        <w:rPr>
          <w:noProof/>
        </w:rPr>
      </w:pPr>
      <w:r>
        <w:rPr>
          <w:noProof/>
        </w:rPr>
        <w:t>Ei sovelleta</w:t>
      </w:r>
    </w:p>
    <w:p>
      <w:pPr>
        <w:pBdr>
          <w:top w:val="nil"/>
          <w:left w:val="nil"/>
          <w:bottom w:val="nil"/>
          <w:right w:val="nil"/>
          <w:between w:val="nil"/>
          <w:bar w:val="nil"/>
        </w:pBdr>
        <w:spacing w:before="0" w:after="240"/>
        <w:rPr>
          <w:rFonts w:eastAsia="Arial Unicode MS"/>
          <w:noProof/>
        </w:rPr>
      </w:pPr>
      <w:r>
        <w:rPr>
          <w:noProof/>
        </w:rPr>
        <w:t>Kyseessä on yksinkertaisesti valtuutuksen väliaikainen jatkaminen, jotta komissio voi hyväksyä poisheittämissuunnitelmia delegoiduilla säädöksillä siihen asti, kun on olemassa monivuotisia suunnitelmia, jotka kattavat myös purkamisvelvoitteen täytäntöönpanon merialueiden tasolla ja lajit asetuksen (EU) N:o 1380/2013 10 artiklan 1 kohdan a alakohdan mukaisesti. Koko uudistetun yhteisen kalastuspolitiikan arviointi ei sen vuoksi ole tarpeen.</w:t>
      </w:r>
    </w:p>
    <w:p>
      <w:pPr>
        <w:pStyle w:val="ManualHeading2"/>
        <w:rPr>
          <w:rFonts w:eastAsia="Arial Unicode MS"/>
          <w:noProof/>
          <w:u w:color="000000"/>
          <w:bdr w:val="nil"/>
        </w:rPr>
      </w:pPr>
      <w:r>
        <w:rPr>
          <w:noProof/>
        </w:rPr>
        <w:t>•</w:t>
      </w:r>
      <w:r>
        <w:rPr>
          <w:noProof/>
        </w:rPr>
        <w:tab/>
        <w:t>Sidosryhmien kuuleminen</w:t>
      </w:r>
    </w:p>
    <w:p>
      <w:pPr>
        <w:pBdr>
          <w:top w:val="nil"/>
          <w:left w:val="nil"/>
          <w:bottom w:val="nil"/>
          <w:right w:val="nil"/>
          <w:between w:val="nil"/>
          <w:bar w:val="nil"/>
        </w:pBdr>
        <w:spacing w:before="0" w:after="240"/>
        <w:rPr>
          <w:noProof/>
        </w:rPr>
      </w:pPr>
      <w:r>
        <w:rPr>
          <w:noProof/>
        </w:rPr>
        <w:t xml:space="preserve">Asian kiireellisyyden takia muodollista kuulemista ei ole järjestetty, mutta komissio on saanut useita kirjeitä sekä kansallisilta viranomaisilta että sidosryhmiltä, jotka ovat kertoneet olevansa huolissaan siitä, että ei ole voimassa olevaa valtuutusta uusia vuoden lopussa päättyviä poisheittämissuunnitelmia. </w:t>
      </w:r>
    </w:p>
    <w:p>
      <w:pPr>
        <w:pBdr>
          <w:top w:val="nil"/>
          <w:left w:val="nil"/>
          <w:bottom w:val="nil"/>
          <w:right w:val="nil"/>
          <w:between w:val="nil"/>
          <w:bar w:val="nil"/>
        </w:pBdr>
        <w:spacing w:before="0" w:after="240"/>
        <w:rPr>
          <w:noProof/>
        </w:rPr>
      </w:pPr>
      <w:r>
        <w:rPr>
          <w:noProof/>
        </w:rPr>
        <w:t xml:space="preserve">Purkamisvelvoite on merkittävä lähestymistavan muutos, joten sen täytäntöönpano on toimialalle hyvin haastavaa. Sen vuoksi on tarpeen varmistaa, että mahdollistetaan tarvittavat joustot purkamisvelvoitteen käyttöön ottamiseksi asteittain.  </w:t>
      </w:r>
    </w:p>
    <w:p>
      <w:pPr>
        <w:pBdr>
          <w:top w:val="nil"/>
          <w:left w:val="nil"/>
          <w:bottom w:val="nil"/>
          <w:right w:val="nil"/>
          <w:between w:val="nil"/>
          <w:bar w:val="nil"/>
        </w:pBdr>
        <w:spacing w:before="0" w:after="240"/>
        <w:rPr>
          <w:rFonts w:eastAsia="Arial Unicode MS"/>
          <w:noProof/>
        </w:rPr>
      </w:pPr>
      <w:r>
        <w:rPr>
          <w:noProof/>
        </w:rPr>
        <w:t>Yleisöä ja asiantuntijoita kuultiin laajasti ennen yhteisen kalastuspolitiikan uudistusta koskevan komission ehdotuksen hyväksymistä. Kuuleminen koski myös purkamisvelvoitteeseen liittyviä säännöksiä.</w:t>
      </w:r>
    </w:p>
    <w:p>
      <w:pPr>
        <w:pStyle w:val="ManualHeading2"/>
        <w:rPr>
          <w:rFonts w:eastAsia="Arial Unicode MS"/>
          <w:noProof/>
          <w:u w:color="000000"/>
          <w:bdr w:val="nil"/>
        </w:rPr>
      </w:pPr>
      <w:r>
        <w:rPr>
          <w:noProof/>
        </w:rPr>
        <w:t>•</w:t>
      </w:r>
      <w:r>
        <w:rPr>
          <w:noProof/>
        </w:rPr>
        <w:tab/>
        <w:t>Asiantuntijatiedon keruu ja käyttö</w:t>
      </w:r>
    </w:p>
    <w:p>
      <w:pPr>
        <w:pBdr>
          <w:top w:val="nil"/>
          <w:left w:val="nil"/>
          <w:bottom w:val="nil"/>
          <w:right w:val="nil"/>
          <w:between w:val="nil"/>
          <w:bar w:val="nil"/>
        </w:pBdr>
        <w:spacing w:before="0" w:after="240"/>
        <w:rPr>
          <w:noProof/>
        </w:rPr>
      </w:pPr>
      <w:r>
        <w:rPr>
          <w:noProof/>
        </w:rPr>
        <w:t xml:space="preserve">Ei sovelleta </w:t>
      </w:r>
    </w:p>
    <w:p>
      <w:pPr>
        <w:pBdr>
          <w:top w:val="nil"/>
          <w:left w:val="nil"/>
          <w:bottom w:val="nil"/>
          <w:right w:val="nil"/>
          <w:between w:val="nil"/>
          <w:bar w:val="nil"/>
        </w:pBdr>
        <w:spacing w:before="0" w:after="240"/>
        <w:rPr>
          <w:rFonts w:eastAsia="Arial Unicode MS"/>
          <w:noProof/>
        </w:rPr>
      </w:pPr>
      <w:r>
        <w:rPr>
          <w:noProof/>
        </w:rPr>
        <w:t>Kyseessä on vain valtuutuksen väliaikainen jatkaminen, jotta komissio voi hyväksyä poisheittämissuunnitelmia delegoiduilla säädöksillä siihen asti, kun on olemassa monivuotisia suunnitelmia, jotka kattavat myös purkamisvelvoitteen täytäntöönpanon merialueiden tasolla. Yleisöä ja asiantuntijoita kuultiin laajasti ennen yhteisen kalastuspolitiikan uudistusta koskevan komission ehdotuksen hyväksymistä. Kuuleminen koski myös purkamisvelvoitteeseen liittyviä säännöksiä.</w:t>
      </w:r>
    </w:p>
    <w:p>
      <w:pPr>
        <w:pStyle w:val="ManualHeading2"/>
        <w:rPr>
          <w:rFonts w:eastAsia="Arial Unicode MS"/>
          <w:noProof/>
          <w:u w:color="000000"/>
          <w:bdr w:val="nil"/>
        </w:rPr>
      </w:pPr>
      <w:r>
        <w:rPr>
          <w:noProof/>
        </w:rPr>
        <w:t>•</w:t>
      </w:r>
      <w:r>
        <w:rPr>
          <w:noProof/>
        </w:rPr>
        <w:tab/>
        <w:t>Vaikutustenarviointi</w:t>
      </w:r>
    </w:p>
    <w:p>
      <w:pPr>
        <w:pBdr>
          <w:top w:val="nil"/>
          <w:left w:val="nil"/>
          <w:bottom w:val="nil"/>
          <w:right w:val="nil"/>
          <w:between w:val="nil"/>
          <w:bar w:val="nil"/>
        </w:pBdr>
        <w:spacing w:before="0" w:after="240"/>
        <w:rPr>
          <w:noProof/>
        </w:rPr>
      </w:pPr>
      <w:r>
        <w:rPr>
          <w:noProof/>
        </w:rPr>
        <w:t xml:space="preserve">Ei sovelleta </w:t>
      </w:r>
    </w:p>
    <w:p>
      <w:pPr>
        <w:pBdr>
          <w:top w:val="nil"/>
          <w:left w:val="nil"/>
          <w:bottom w:val="nil"/>
          <w:right w:val="nil"/>
          <w:between w:val="nil"/>
          <w:bar w:val="nil"/>
        </w:pBdr>
        <w:spacing w:before="0" w:after="240"/>
        <w:rPr>
          <w:noProof/>
        </w:rPr>
      </w:pPr>
      <w:r>
        <w:rPr>
          <w:noProof/>
        </w:rPr>
        <w:t>Kyseessä on vain valtuutuksen väliaikainen jatkaminen, jotta komissio voi hyväksyä poisheittämissuunnitelmia delegoiduilla säädöksillä siihen asti, kun on olemassa monivuotisia suunnitelmia, jotka kattavat myös purkamisvelvoitteen täytäntöönpanon merialueiden tasolla. Koska ehdotuksella ei ole merkittäviä taloudellisia, ympäristöön liittyviä tai sosiaalisia vaikutuksia, uutta vaikutustenarviointia ei tarvita.</w:t>
      </w:r>
    </w:p>
    <w:p>
      <w:pPr>
        <w:pBdr>
          <w:top w:val="nil"/>
          <w:left w:val="nil"/>
          <w:bottom w:val="nil"/>
          <w:right w:val="nil"/>
          <w:between w:val="nil"/>
          <w:bar w:val="nil"/>
        </w:pBdr>
        <w:spacing w:before="0" w:after="240"/>
        <w:rPr>
          <w:rFonts w:eastAsia="Arial Unicode MS"/>
          <w:noProof/>
        </w:rPr>
      </w:pPr>
      <w:r>
        <w:rPr>
          <w:noProof/>
        </w:rPr>
        <w:t>Ennen yhteisen kalastuspolitiikan uudistusta koskevan komission ehdotuksen hyväksymistä tehtiin kattava vaikutustenarviointi, joka koski myös purkamisvelvoitteeseen liittyviä säännöksiä.</w:t>
      </w:r>
    </w:p>
    <w:p>
      <w:pPr>
        <w:pStyle w:val="ManualHeading2"/>
        <w:rPr>
          <w:rFonts w:eastAsia="Arial Unicode MS"/>
          <w:noProof/>
          <w:u w:color="000000"/>
          <w:bdr w:val="nil"/>
        </w:rPr>
      </w:pPr>
      <w:r>
        <w:rPr>
          <w:noProof/>
        </w:rPr>
        <w:t>•</w:t>
      </w:r>
      <w:r>
        <w:rPr>
          <w:noProof/>
        </w:rPr>
        <w:tab/>
        <w:t>Sääntelyn toimivuus ja yksinkertaistaminen</w:t>
      </w:r>
    </w:p>
    <w:p>
      <w:pPr>
        <w:pBdr>
          <w:top w:val="nil"/>
          <w:left w:val="nil"/>
          <w:bottom w:val="nil"/>
          <w:right w:val="nil"/>
          <w:between w:val="nil"/>
          <w:bar w:val="nil"/>
        </w:pBdr>
        <w:spacing w:before="0" w:after="240"/>
        <w:rPr>
          <w:noProof/>
        </w:rPr>
      </w:pPr>
      <w:r>
        <w:rPr>
          <w:noProof/>
        </w:rPr>
        <w:t xml:space="preserve">Ei sovelleta </w:t>
      </w:r>
    </w:p>
    <w:p>
      <w:pPr>
        <w:pStyle w:val="ManualHeading2"/>
        <w:rPr>
          <w:rFonts w:eastAsia="Arial Unicode MS"/>
          <w:noProof/>
          <w:u w:color="000000"/>
          <w:bdr w:val="nil"/>
        </w:rPr>
      </w:pPr>
      <w:r>
        <w:rPr>
          <w:noProof/>
        </w:rPr>
        <w:t>•</w:t>
      </w:r>
      <w:r>
        <w:rPr>
          <w:noProof/>
        </w:rPr>
        <w:tab/>
        <w:t>Perusoikeudet</w:t>
      </w:r>
    </w:p>
    <w:p>
      <w:pPr>
        <w:pBdr>
          <w:top w:val="nil"/>
          <w:left w:val="nil"/>
          <w:bottom w:val="nil"/>
          <w:right w:val="nil"/>
          <w:between w:val="nil"/>
          <w:bar w:val="nil"/>
        </w:pBdr>
        <w:spacing w:before="0" w:after="240"/>
        <w:rPr>
          <w:noProof/>
        </w:rPr>
      </w:pPr>
      <w:r>
        <w:rPr>
          <w:noProof/>
        </w:rPr>
        <w:t xml:space="preserve">Ei sovelleta </w:t>
      </w:r>
    </w:p>
    <w:p>
      <w:pPr>
        <w:pBdr>
          <w:top w:val="nil"/>
          <w:left w:val="nil"/>
          <w:bottom w:val="nil"/>
          <w:right w:val="nil"/>
          <w:between w:val="nil"/>
          <w:bar w:val="nil"/>
        </w:pBdr>
        <w:spacing w:before="0" w:after="240"/>
        <w:rPr>
          <w:rFonts w:eastAsia="Arial Unicode MS"/>
          <w:noProof/>
        </w:rPr>
      </w:pPr>
      <w:r>
        <w:rPr>
          <w:noProof/>
        </w:rPr>
        <w:t xml:space="preserve">Kyseessä on vain valtuutuksen väliaikainen jatkaminen, jotta komissio voi hyväksyä poisheittämissuunnitelmia delegoiduilla säädöksillä. Ehdotuksella ei ole vaikutuksia perusoikeuksien suojeluun. </w:t>
      </w:r>
    </w:p>
    <w:p>
      <w:pPr>
        <w:pStyle w:val="ManualHeading1"/>
        <w:rPr>
          <w:noProof/>
        </w:rPr>
      </w:pPr>
      <w:r>
        <w:rPr>
          <w:noProof/>
        </w:rPr>
        <w:t>4.</w:t>
      </w:r>
      <w:r>
        <w:rPr>
          <w:noProof/>
        </w:rPr>
        <w:tab/>
        <w:t>TALOUSARVIOVAIKUTUKSET</w:t>
      </w:r>
    </w:p>
    <w:p>
      <w:pPr>
        <w:pBdr>
          <w:top w:val="nil"/>
          <w:left w:val="nil"/>
          <w:bottom w:val="nil"/>
          <w:right w:val="nil"/>
          <w:between w:val="nil"/>
          <w:bar w:val="nil"/>
        </w:pBdr>
        <w:spacing w:before="0" w:after="240"/>
        <w:rPr>
          <w:noProof/>
        </w:rPr>
      </w:pPr>
      <w:r>
        <w:rPr>
          <w:noProof/>
        </w:rPr>
        <w:t xml:space="preserve">Ei sovelleta </w:t>
      </w:r>
    </w:p>
    <w:p>
      <w:pPr>
        <w:pBdr>
          <w:top w:val="nil"/>
          <w:left w:val="nil"/>
          <w:bottom w:val="nil"/>
          <w:right w:val="nil"/>
          <w:between w:val="nil"/>
          <w:bar w:val="nil"/>
        </w:pBdr>
        <w:spacing w:before="0" w:after="240"/>
        <w:rPr>
          <w:rFonts w:eastAsia="Arial Unicode MS"/>
          <w:noProof/>
        </w:rPr>
      </w:pPr>
      <w:r>
        <w:rPr>
          <w:noProof/>
        </w:rPr>
        <w:t xml:space="preserve">Kyseessä on vain valtuutuksen väliaikainen jatkaminen, jotta komissio voi hyväksyä poisheittämissuunnitelmia delegoiduilla säädöksillä. Sillä ei ole talousarviovaikutuksia. </w:t>
      </w:r>
    </w:p>
    <w:p>
      <w:pPr>
        <w:pStyle w:val="ManualHeading1"/>
        <w:rPr>
          <w:noProof/>
        </w:rPr>
      </w:pPr>
      <w:r>
        <w:rPr>
          <w:noProof/>
        </w:rPr>
        <w:t>5.</w:t>
      </w:r>
      <w:r>
        <w:rPr>
          <w:noProof/>
        </w:rPr>
        <w:tab/>
        <w:t>LISÄTIEDOT</w:t>
      </w:r>
    </w:p>
    <w:p>
      <w:pPr>
        <w:pStyle w:val="ManualHeading2"/>
        <w:rPr>
          <w:rFonts w:eastAsia="Arial Unicode MS"/>
          <w:noProof/>
          <w:u w:color="000000"/>
          <w:bdr w:val="nil"/>
        </w:rPr>
      </w:pPr>
      <w:r>
        <w:rPr>
          <w:noProof/>
        </w:rPr>
        <w:t>•</w:t>
      </w:r>
      <w:r>
        <w:rPr>
          <w:noProof/>
        </w:rPr>
        <w:tab/>
        <w:t>Täytäntöönpanosuunnitelmat, seuranta, arviointi ja raportointijärjestelyt</w:t>
      </w:r>
    </w:p>
    <w:p>
      <w:pPr>
        <w:pBdr>
          <w:top w:val="nil"/>
          <w:left w:val="nil"/>
          <w:bottom w:val="nil"/>
          <w:right w:val="nil"/>
          <w:between w:val="nil"/>
          <w:bar w:val="nil"/>
        </w:pBdr>
        <w:spacing w:before="0" w:after="240"/>
        <w:rPr>
          <w:rFonts w:eastAsia="Arial Unicode MS"/>
          <w:noProof/>
        </w:rPr>
      </w:pPr>
      <w:r>
        <w:rPr>
          <w:noProof/>
        </w:rPr>
        <w:t xml:space="preserve">Asetuksen (EU) N:o 1380/2013 46 artiklan mukaan komission on raportoitava säännöllisesti siirretyn säädösvallan käytöstä. Lisäksi Euroopan parlamentti ja neuvosto voivat milloin tahansa peruuttaa säädösvallan siirron. </w:t>
      </w:r>
    </w:p>
    <w:p>
      <w:pPr>
        <w:pStyle w:val="ManualHeading2"/>
        <w:rPr>
          <w:rFonts w:eastAsia="Arial Unicode MS"/>
          <w:noProof/>
          <w:u w:color="000000"/>
          <w:bdr w:val="nil"/>
        </w:rPr>
      </w:pPr>
      <w:r>
        <w:rPr>
          <w:noProof/>
        </w:rPr>
        <w:t>•</w:t>
      </w:r>
      <w:r>
        <w:rPr>
          <w:noProof/>
        </w:rPr>
        <w:tab/>
        <w:t>Selittävät asiakirjat (direktiivien osalta)</w:t>
      </w:r>
    </w:p>
    <w:p>
      <w:pPr>
        <w:pBdr>
          <w:top w:val="nil"/>
          <w:left w:val="nil"/>
          <w:bottom w:val="nil"/>
          <w:right w:val="nil"/>
          <w:between w:val="nil"/>
          <w:bar w:val="nil"/>
        </w:pBdr>
        <w:spacing w:before="0" w:after="240"/>
        <w:rPr>
          <w:noProof/>
        </w:rPr>
      </w:pPr>
      <w:r>
        <w:rPr>
          <w:noProof/>
        </w:rPr>
        <w:t xml:space="preserve">Ei sovelleta </w:t>
      </w:r>
    </w:p>
    <w:p>
      <w:pPr>
        <w:pBdr>
          <w:top w:val="nil"/>
          <w:left w:val="nil"/>
          <w:bottom w:val="nil"/>
          <w:right w:val="nil"/>
          <w:between w:val="nil"/>
          <w:bar w:val="nil"/>
        </w:pBdr>
        <w:spacing w:before="0" w:after="240"/>
        <w:rPr>
          <w:rFonts w:eastAsia="Arial Unicode MS"/>
          <w:noProof/>
        </w:rPr>
      </w:pPr>
      <w:r>
        <w:rPr>
          <w:noProof/>
        </w:rPr>
        <w:t>Kyseessä on ehdotus asetukseksi.</w:t>
      </w:r>
    </w:p>
    <w:p>
      <w:pPr>
        <w:pStyle w:val="ManualHeading2"/>
        <w:rPr>
          <w:rFonts w:eastAsia="Arial Unicode MS"/>
          <w:noProof/>
          <w:u w:color="000000"/>
          <w:bdr w:val="nil"/>
        </w:rPr>
      </w:pPr>
      <w:r>
        <w:rPr>
          <w:noProof/>
        </w:rPr>
        <w:t>•</w:t>
      </w:r>
      <w:r>
        <w:rPr>
          <w:noProof/>
        </w:rPr>
        <w:tab/>
        <w:t>Ehdotukseen sisältyvien säännösten yksityiskohtaiset selitykset</w:t>
      </w:r>
    </w:p>
    <w:p>
      <w:pPr>
        <w:pBdr>
          <w:top w:val="nil"/>
          <w:left w:val="nil"/>
          <w:bottom w:val="nil"/>
          <w:right w:val="nil"/>
          <w:between w:val="nil"/>
          <w:bar w:val="nil"/>
        </w:pBdr>
        <w:spacing w:before="0" w:after="240"/>
        <w:rPr>
          <w:rFonts w:eastAsia="Arial Unicode MS"/>
          <w:noProof/>
        </w:rPr>
      </w:pPr>
      <w:r>
        <w:rPr>
          <w:noProof/>
        </w:rPr>
        <w:t>Ehdotuksessa on vain yksi varsinainen säännös, jolla muutetaan asetuksen (EU) N:o 1380/2013 15 artiklan 6 kohtaa, jotta komission valtuuttamista hyväksymään poisheittämissuunnitelmia delegoiduilla säädöksillä voidaan jatkaa vielä kolmen vuoden ajaksi, jos merialueille, joita asia koskee, ei vielä ole olemassa monivuotisia suunnitelmia.</w:t>
      </w:r>
    </w:p>
    <w:p>
      <w:pPr>
        <w:rPr>
          <w:noProof/>
        </w:rPr>
        <w:sectPr>
          <w:footerReference w:type="default" r:id="rId11"/>
          <w:footerReference w:type="first" r:id="rId12"/>
          <w:footnotePr>
            <w:numRestart w:val="eachSect"/>
          </w:footnotePr>
          <w:pgSz w:w="11907" w:h="16839"/>
          <w:pgMar w:top="1134" w:right="1417" w:bottom="1134" w:left="1417" w:header="709" w:footer="709" w:gutter="0"/>
          <w:cols w:space="708"/>
          <w:docGrid w:linePitch="360"/>
        </w:sectPr>
      </w:pPr>
    </w:p>
    <w:p>
      <w:pPr>
        <w:pStyle w:val="Rfrenceinterinstitutionnelle"/>
        <w:rPr>
          <w:noProof/>
        </w:rPr>
      </w:pPr>
      <w:r>
        <w:rPr>
          <w:noProof/>
        </w:rPr>
        <w:t>2017/0190 (COD)</w:t>
      </w:r>
    </w:p>
    <w:p>
      <w:pPr>
        <w:pStyle w:val="Statut"/>
        <w:rPr>
          <w:noProof/>
        </w:rPr>
      </w:pPr>
      <w:r>
        <w:rPr>
          <w:noProof/>
        </w:rPr>
        <w:t>Ehdotus</w:t>
      </w:r>
    </w:p>
    <w:p>
      <w:pPr>
        <w:pStyle w:val="Typedudocument"/>
        <w:rPr>
          <w:noProof/>
        </w:rPr>
      </w:pPr>
      <w:r>
        <w:rPr>
          <w:noProof/>
        </w:rPr>
        <w:t>EUROOPAN PARLAMENTIN JA NEUVOSTON ASETUS</w:t>
      </w:r>
    </w:p>
    <w:p>
      <w:pPr>
        <w:pStyle w:val="Titreobjet"/>
        <w:rPr>
          <w:noProof/>
        </w:rPr>
      </w:pPr>
      <w:r>
        <w:rPr>
          <w:noProof/>
        </w:rPr>
        <w:t>yhteisestä kalastuspolitiikasta annetun asetuksen (EU) N:o 1380/2013 muuttamisesta</w:t>
      </w:r>
    </w:p>
    <w:p>
      <w:pPr>
        <w:pStyle w:val="Institutionquiagit"/>
        <w:rPr>
          <w:noProof/>
        </w:rPr>
      </w:pPr>
      <w:r>
        <w:rPr>
          <w:noProof/>
        </w:rPr>
        <w:t>EUROOPAN PARLAMENTTI JA EUROOPAN UNIONIN NEUVOSTO, jotka</w:t>
      </w:r>
    </w:p>
    <w:p>
      <w:pPr>
        <w:rPr>
          <w:noProof/>
        </w:rPr>
      </w:pPr>
      <w:r>
        <w:rPr>
          <w:noProof/>
        </w:rPr>
        <w:t>ottavat huomioon Euroopan unionin toiminnasta tehdyn sopimuksen ja erityisesti sen 43 artiklan 2 kohdan,</w:t>
      </w:r>
    </w:p>
    <w:p>
      <w:pPr>
        <w:rPr>
          <w:noProof/>
        </w:rPr>
      </w:pPr>
      <w:r>
        <w:rPr>
          <w:noProof/>
        </w:rPr>
        <w:t>ottavat huomioon Euroopan komission ehdotuksen,</w:t>
      </w:r>
    </w:p>
    <w:p>
      <w:pPr>
        <w:rPr>
          <w:noProof/>
        </w:rPr>
      </w:pPr>
      <w:r>
        <w:rPr>
          <w:noProof/>
        </w:rPr>
        <w:t>sen jälkeen, kun esitys lainsäätämisjärjestyksessä hyväksyttäväksi säädökseksi on toimitettu kansallisille parlamenteille,</w:t>
      </w:r>
    </w:p>
    <w:p>
      <w:pPr>
        <w:rPr>
          <w:noProof/>
        </w:rPr>
      </w:pPr>
      <w:r>
        <w:rPr>
          <w:noProof/>
        </w:rPr>
        <w:t>ottavat huomioon Euroopan talous- ja sosiaalikomitean lausunnon</w:t>
      </w:r>
      <w:r>
        <w:rPr>
          <w:rStyle w:val="FootnoteReference"/>
          <w:noProof/>
        </w:rPr>
        <w:footnoteReference w:id="4"/>
      </w:r>
      <w:r>
        <w:rPr>
          <w:noProof/>
        </w:rPr>
        <w:t>,</w:t>
      </w:r>
    </w:p>
    <w:p>
      <w:pPr>
        <w:rPr>
          <w:noProof/>
        </w:rPr>
      </w:pPr>
      <w:r>
        <w:rPr>
          <w:noProof/>
        </w:rPr>
        <w:t>noudattavat tavallista lainsäätämisjärjestystä,</w:t>
      </w:r>
    </w:p>
    <w:p>
      <w:pPr>
        <w:rPr>
          <w:noProof/>
        </w:rPr>
      </w:pPr>
      <w:r>
        <w:rPr>
          <w:noProof/>
        </w:rPr>
        <w:t>sekä katsovat seuraavaa:</w:t>
      </w:r>
    </w:p>
    <w:p>
      <w:pPr>
        <w:pStyle w:val="ManualConsidrant"/>
        <w:rPr>
          <w:noProof/>
        </w:rPr>
      </w:pPr>
      <w:r>
        <w:t>(1)</w:t>
      </w:r>
      <w:r>
        <w:tab/>
      </w:r>
      <w:r>
        <w:rPr>
          <w:noProof/>
        </w:rPr>
        <w:t>Euroopan parlamentin ja neuvoston asetuksessa (EU) N:o 1380/2013</w:t>
      </w:r>
      <w:r>
        <w:rPr>
          <w:rStyle w:val="FootnoteReference"/>
          <w:noProof/>
        </w:rPr>
        <w:footnoteReference w:id="5"/>
      </w:r>
      <w:r>
        <w:rPr>
          <w:noProof/>
        </w:rPr>
        <w:t xml:space="preserve"> säädetään velvollisuudesta purkaa aluksesta saalisrajoitusten alaisten lajien kaikki saaliit ja Välimerellä myös sellaisten lajien saaliit, joihin sovelletaan vähimmäiskokoja, jäljempänä ’purkamisvelvoite’.</w:t>
      </w:r>
    </w:p>
    <w:p>
      <w:pPr>
        <w:pStyle w:val="ManualConsidrant"/>
        <w:rPr>
          <w:noProof/>
        </w:rPr>
      </w:pPr>
      <w:r>
        <w:t>(2)</w:t>
      </w:r>
      <w:r>
        <w:tab/>
      </w:r>
      <w:r>
        <w:rPr>
          <w:noProof/>
        </w:rPr>
        <w:t>Asetuksen (EU) N:o 1380/2013 9 artiklassa tarkoitetuissa monivuotisissa suunnitelmissa ja asetuksen (EY) N:o 1967/2006</w:t>
      </w:r>
      <w:r>
        <w:rPr>
          <w:rStyle w:val="FootnoteReference"/>
          <w:noProof/>
        </w:rPr>
        <w:footnoteReference w:id="6"/>
      </w:r>
      <w:r>
        <w:rPr>
          <w:noProof/>
        </w:rPr>
        <w:t xml:space="preserve"> 18 artiklassa tarkoitetuissa hoitosuunnitelmissa on määrä säätää yksityiskohtaisista säännöksistä, joiden tarkoituksena on helpottaa purkamisvelvoitteen täytäntöönpanoa, jäljempänä ’poisheittämissuunnitelmat’.</w:t>
      </w:r>
    </w:p>
    <w:p>
      <w:pPr>
        <w:pStyle w:val="ManualConsidrant"/>
        <w:rPr>
          <w:noProof/>
        </w:rPr>
      </w:pPr>
      <w:r>
        <w:t>(3)</w:t>
      </w:r>
      <w:r>
        <w:tab/>
      </w:r>
      <w:r>
        <w:rPr>
          <w:noProof/>
        </w:rPr>
        <w:t xml:space="preserve">Asetuksen (EU) N:o 1380/2013 15 artiklan 6 kohdassa säädetään, että monivuotisten suunnitelmien tai hoitosuunnitelmien puuttuessa komissio voi vahvistaa väliaikaisena toimenpiteenä ja enintään kolmen vuoden ajaksi poisheittämissuunnitelmia. </w:t>
      </w:r>
    </w:p>
    <w:p>
      <w:pPr>
        <w:pStyle w:val="ManualConsidrant"/>
        <w:rPr>
          <w:noProof/>
        </w:rPr>
      </w:pPr>
      <w:r>
        <w:t>(4)</w:t>
      </w:r>
      <w:r>
        <w:tab/>
      </w:r>
      <w:r>
        <w:rPr>
          <w:noProof/>
        </w:rPr>
        <w:t xml:space="preserve">Kokemus on osoittanut, että monivuotisten suunnitelmien tai hoitosuunnitelmien, joihin sisältyy poisheittämissuunnitelmia, laatiminen ja hyväksyntä kestävät kauemmin kuin oli suunniteltu asetuksen (EU) N:o 1380/2013 hyväksymisen aikaan. </w:t>
      </w:r>
    </w:p>
    <w:p>
      <w:pPr>
        <w:pStyle w:val="ManualConsidrant"/>
        <w:rPr>
          <w:noProof/>
        </w:rPr>
      </w:pPr>
      <w:r>
        <w:t>(5)</w:t>
      </w:r>
      <w:r>
        <w:tab/>
      </w:r>
      <w:r>
        <w:rPr>
          <w:noProof/>
        </w:rPr>
        <w:t xml:space="preserve">Sen vuoksi on aiheellista vahvistaa aika, jonka kuluessa komissio voi monivuotisten suunnitelmien tai hoitosuunnitelmien puuttuessa vahvistaa poisheittämissuunnitelmia. </w:t>
      </w:r>
    </w:p>
    <w:p>
      <w:pPr>
        <w:pStyle w:val="ManualConsidrant"/>
        <w:rPr>
          <w:noProof/>
        </w:rPr>
      </w:pPr>
      <w:r>
        <w:t>(6)</w:t>
      </w:r>
      <w:r>
        <w:tab/>
      </w:r>
      <w:r>
        <w:rPr>
          <w:noProof/>
        </w:rPr>
        <w:t>Asetusta (EU) N:o 1380/2013 olisi muutettava,</w:t>
      </w:r>
    </w:p>
    <w:p>
      <w:pPr>
        <w:pStyle w:val="Formuledadoption"/>
        <w:rPr>
          <w:noProof/>
        </w:rPr>
      </w:pPr>
      <w:r>
        <w:rPr>
          <w:noProof/>
        </w:rPr>
        <w:t>OVAT HYVÄKSYNEET TÄMÄN ASETUKSEN:</w:t>
      </w:r>
    </w:p>
    <w:p>
      <w:pPr>
        <w:pStyle w:val="Titrearticle"/>
        <w:rPr>
          <w:noProof/>
        </w:rPr>
      </w:pPr>
      <w:r>
        <w:rPr>
          <w:noProof/>
        </w:rPr>
        <w:t>1 artikla</w:t>
      </w:r>
    </w:p>
    <w:p>
      <w:pPr>
        <w:rPr>
          <w:rFonts w:eastAsia="Times New Roman"/>
          <w:noProof/>
          <w:szCs w:val="24"/>
        </w:rPr>
      </w:pPr>
      <w:r>
        <w:rPr>
          <w:noProof/>
        </w:rPr>
        <w:t>Korvataan asetuksen (EU) N:o 1380/2013 15 artiklan 6 kohta seuraavasti:</w:t>
      </w:r>
    </w:p>
    <w:p>
      <w:pPr>
        <w:pStyle w:val="Titrearticle"/>
        <w:jc w:val="both"/>
        <w:rPr>
          <w:i w:val="0"/>
          <w:noProof/>
          <w:szCs w:val="24"/>
        </w:rPr>
      </w:pPr>
      <w:r>
        <w:rPr>
          <w:i w:val="0"/>
          <w:noProof/>
        </w:rPr>
        <w:t>”6. Jos kalastukselle ei ole hyväksytty monivuotista suunnitelmaa tai asetuksen (EY) N:o 1967/2006 18 artiklan mukaista hoitosuunnitelmaa, komissio voi tämän asetuksen 18 artiklan mukaisesti hyväksyä tämän asetuksen 46 artiklan mukaisesti delegoituja säädöksiä, joissa vahvistetaan väliaikaisesti saaliin aluksesta purkamista koskevaa velvoitetta koskeva erityinen poisheittämissuunnitelma, johon sisältyvät tämän artiklan 5 kohdan a–e alakohdassa tarkoitetut eritelmät, enintään kolmen vuoden ajaksi, jota voidaan jatkaa vielä yhteensä kolmen vuoden ajalla. Jäsenvaltiot voivat tehdä yhteistyötä tällaisen suunnitelman laatimisessa tämän asetuksen 18 artiklan mukaisesti, jotta komissio voi hyväksyä tällaisia säädöksiä tai antaa ehdotuksen tavallista lainsäätämisjärjestystä noudattaen.”</w:t>
      </w:r>
    </w:p>
    <w:p>
      <w:pPr>
        <w:pStyle w:val="Titrearticle"/>
        <w:rPr>
          <w:noProof/>
        </w:rPr>
      </w:pPr>
      <w:r>
        <w:rPr>
          <w:noProof/>
        </w:rPr>
        <w:t xml:space="preserve">2 artikla </w:t>
      </w:r>
    </w:p>
    <w:p>
      <w:pPr>
        <w:rPr>
          <w:noProof/>
        </w:rPr>
      </w:pPr>
      <w:r>
        <w:rPr>
          <w:noProof/>
        </w:rPr>
        <w:t xml:space="preserve">Tämä asetus tulee voimaan kolmantena päivänä sen jälkeen, kun se on julkaistu </w:t>
      </w:r>
      <w:r>
        <w:rPr>
          <w:i/>
          <w:noProof/>
        </w:rPr>
        <w:t>Euroopan unionin virallisessa lehdessä</w:t>
      </w:r>
      <w:r>
        <w:rPr>
          <w:noProof/>
        </w:rPr>
        <w:t>.</w:t>
      </w:r>
    </w:p>
    <w:p>
      <w:pPr>
        <w:pStyle w:val="Applicationdirecte"/>
        <w:rPr>
          <w:noProof/>
        </w:rPr>
      </w:pPr>
      <w:r>
        <w:rPr>
          <w:noProof/>
        </w:rPr>
        <w:t>Tämä asetus on kaikilta osiltaan velvoittava, ja sitä sovelletaan sellaisenaan kaikissa jäsenvaltioissa.</w:t>
      </w:r>
    </w:p>
    <w:p>
      <w:pPr>
        <w:pStyle w:val="Fait"/>
        <w:rPr>
          <w:noProof/>
        </w:rPr>
      </w:pPr>
      <w:r>
        <w:rPr>
          <w:noProof/>
        </w:rPr>
        <w:t>Tehty Brysselissä</w:t>
      </w:r>
    </w:p>
    <w:p>
      <w:pPr>
        <w:pStyle w:val="Institutionquisigne"/>
        <w:rPr>
          <w:noProof/>
        </w:rPr>
      </w:pPr>
      <w:r>
        <w:rPr>
          <w:noProof/>
        </w:rPr>
        <w:t>Euroopan parlamentin puolesta</w:t>
      </w:r>
      <w:r>
        <w:rPr>
          <w:noProof/>
        </w:rPr>
        <w:tab/>
        <w:t>Neuvoston puolesta</w:t>
      </w:r>
    </w:p>
    <w:p>
      <w:pPr>
        <w:pStyle w:val="Personnequisigne"/>
        <w:rPr>
          <w:noProof/>
        </w:rPr>
      </w:pPr>
      <w:r>
        <w:rPr>
          <w:noProof/>
        </w:rPr>
        <w:t>Puhemies</w:t>
      </w:r>
      <w:r>
        <w:rPr>
          <w:noProof/>
        </w:rPr>
        <w:tab/>
        <w:t>Puheenjohtaja</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FI</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FI</w:t>
    </w:r>
    <w:r>
      <w:rPr>
        <w:rFonts w:ascii="Arial" w:hAnsi="Arial" w:cs="Arial"/>
        <w:b/>
        <w:sz w:val="48"/>
      </w:rPr>
      <w:tab/>
    </w:r>
    <w:r>
      <w:fldChar w:fldCharType="begin"/>
    </w:r>
    <w:r>
      <w:instrText xml:space="preserve"> PAGE  \* MERGEFORMAT </w:instrText>
    </w:r>
    <w:r>
      <w:fldChar w:fldCharType="separate"/>
    </w:r>
    <w:r>
      <w:rPr>
        <w:noProof/>
      </w:rPr>
      <w:t>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ind w:left="0" w:firstLine="0"/>
      </w:pPr>
      <w:r>
        <w:rPr>
          <w:rStyle w:val="FootnoteReference"/>
        </w:rPr>
        <w:footnoteRef/>
      </w:r>
      <w:r>
        <w:tab/>
        <w:t>Euroopan parlamentin ja neuvoston asetus (EU) N:o 1380/2013, annettu 11 päivänä joulukuuta 2013, yhteisestä kalastuspolitiikasta, neuvoston asetusten (EY) N:o 1954/2003 ja (EY) N:o 1224/2009 muuttamisesta sekä neuvoston asetusten (EY) N:o 2371/2002 ja (EY) N:o 639/2004 ja neuvoston päätöksen 2004/585/EY kumoamisesta (EUVL L 354, 28.12.2013, s. 22–61).</w:t>
      </w:r>
    </w:p>
  </w:footnote>
  <w:footnote w:id="2">
    <w:p>
      <w:pPr>
        <w:pStyle w:val="FootnoteText"/>
        <w:ind w:left="0" w:firstLine="0"/>
      </w:pPr>
      <w:r>
        <w:rPr>
          <w:rStyle w:val="FootnoteReference"/>
        </w:rPr>
        <w:footnoteRef/>
      </w:r>
      <w:r>
        <w:tab/>
        <w:t>Euroopan parlamentin ja neuvoston asetus (EU) 2016/1139, annettu 6 päivänä heinäkuuta 2016, Itämeren turska-, silakka- ja kilohailikantoja ja näitä kantoja hyödyntäviä kalastuksia koskevasta monivuotisesta suunnitelmasta, neuvoston asetuksen (EY) N:o 2187/2005 muuttamisesta ja neuvoston asetuksen (EY) N:o 1098/2007 kumoamisesta (EUVL L 191, 15.7.2016, s. 1).</w:t>
      </w:r>
    </w:p>
  </w:footnote>
  <w:footnote w:id="3">
    <w:p>
      <w:pPr>
        <w:pStyle w:val="FootnoteText"/>
        <w:ind w:left="0" w:firstLine="0"/>
        <w:rPr>
          <w:lang w:val="pt-PT"/>
        </w:rPr>
      </w:pPr>
      <w:r>
        <w:rPr>
          <w:rStyle w:val="FootnoteReference"/>
        </w:rPr>
        <w:footnoteRef/>
      </w:r>
      <w:r>
        <w:rPr>
          <w:lang w:val="pt-PT"/>
        </w:rPr>
        <w:tab/>
        <w:t>COM/2016/0493 final - 2016/0238 (COD) ja COM/2017/097 final - 2017/043 (COD).</w:t>
      </w:r>
    </w:p>
    <w:p>
      <w:pPr>
        <w:pStyle w:val="FootnoteText"/>
        <w:ind w:left="0" w:firstLine="0"/>
        <w:rPr>
          <w:lang w:val="pt-PT"/>
        </w:rPr>
      </w:pPr>
    </w:p>
  </w:footnote>
  <w:footnote w:id="4">
    <w:p>
      <w:pPr>
        <w:pStyle w:val="FootnoteText"/>
      </w:pPr>
      <w:r>
        <w:rPr>
          <w:rStyle w:val="FootnoteReference"/>
        </w:rPr>
        <w:footnoteRef/>
      </w:r>
      <w:r>
        <w:tab/>
        <w:t>EUVL C , , s. .</w:t>
      </w:r>
    </w:p>
  </w:footnote>
  <w:footnote w:id="5">
    <w:p>
      <w:pPr>
        <w:pStyle w:val="FootnoteText"/>
      </w:pPr>
      <w:r>
        <w:rPr>
          <w:rStyle w:val="FootnoteReference"/>
        </w:rPr>
        <w:footnoteRef/>
      </w:r>
      <w:r>
        <w:tab/>
        <w:t xml:space="preserve">Euroopan parlamentin ja neuvoston asetus (EU) N:o 1380/2013, annettu 11 päivänä joulukuuta 2013, yhteisestä kalastuspolitiikasta, neuvoston asetusten (EY) N:o 1954/2003 ja (EY) N:o 1224/2009 muuttamisesta sekä neuvoston asetusten (EY) N:o 2371/2002 ja (EY) N:o 639/2004 ja neuvoston päätöksen 2004/585/EY kumoamisesta (EUVL L 354, 28.12.2013, s. 22). </w:t>
      </w:r>
    </w:p>
  </w:footnote>
  <w:footnote w:id="6">
    <w:p>
      <w:pPr>
        <w:pStyle w:val="FootnoteText"/>
      </w:pPr>
      <w:r>
        <w:rPr>
          <w:rStyle w:val="FootnoteReference"/>
        </w:rPr>
        <w:footnoteRef/>
      </w:r>
      <w:r>
        <w:tab/>
        <w:t>Neuvoston asetus (EY) N:o 1967/2006, annettu 21 päivänä joulukuuta 2006, kalavarojen kestävää hyödyntämistä koskevista hoitotoimenpiteistä Välimerellä, asetuksen (ETY) N:o 2847/93 muuttamisesta ja asetuksen (EY) N:o 1626/94 kumoamisesta (EUVL L 409, 30.12.2006, s. 11).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BE0B03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456CD614"/>
    <w:lvl w:ilvl="0">
      <w:start w:val="1"/>
      <w:numFmt w:val="decimal"/>
      <w:pStyle w:val="ListNumber3"/>
      <w:lvlText w:val="%1."/>
      <w:lvlJc w:val="left"/>
      <w:pPr>
        <w:tabs>
          <w:tab w:val="num" w:pos="926"/>
        </w:tabs>
        <w:ind w:left="926" w:hanging="360"/>
      </w:pPr>
    </w:lvl>
  </w:abstractNum>
  <w:abstractNum w:abstractNumId="2">
    <w:nsid w:val="FFFFFF7F"/>
    <w:multiLevelType w:val="singleLevel"/>
    <w:tmpl w:val="754EBAAC"/>
    <w:lvl w:ilvl="0">
      <w:start w:val="1"/>
      <w:numFmt w:val="decimal"/>
      <w:pStyle w:val="ListNumber2"/>
      <w:lvlText w:val="%1."/>
      <w:lvlJc w:val="left"/>
      <w:pPr>
        <w:tabs>
          <w:tab w:val="num" w:pos="643"/>
        </w:tabs>
        <w:ind w:left="643" w:hanging="360"/>
      </w:pPr>
    </w:lvl>
  </w:abstractNum>
  <w:abstractNum w:abstractNumId="3">
    <w:nsid w:val="FFFFFF81"/>
    <w:multiLevelType w:val="singleLevel"/>
    <w:tmpl w:val="DFD6AA4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0082D07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F28C9F2"/>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43FC81F4"/>
    <w:lvl w:ilvl="0">
      <w:start w:val="1"/>
      <w:numFmt w:val="decimal"/>
      <w:pStyle w:val="ListNumber"/>
      <w:lvlText w:val="%1."/>
      <w:lvlJc w:val="left"/>
      <w:pPr>
        <w:tabs>
          <w:tab w:val="num" w:pos="360"/>
        </w:tabs>
        <w:ind w:left="360" w:hanging="360"/>
      </w:pPr>
    </w:lvl>
  </w:abstractNum>
  <w:abstractNum w:abstractNumId="7">
    <w:nsid w:val="FFFFFF89"/>
    <w:multiLevelType w:val="singleLevel"/>
    <w:tmpl w:val="9FFAA5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1"/>
    <w:lvlOverride w:ilvl="0">
      <w:startOverride w:val="1"/>
    </w:lvlOverride>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hideSpellingErrors/>
  <w:hideGrammaticalErrors/>
  <w:attachedTemplate r:id="rId1"/>
  <w:revisionView w:markup="0"/>
  <w:defaultTabStop w:val="720"/>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7-08-09 17:01:18"/>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3"/>
    <w:docVar w:name="DQCResult_ModifiedMarkers" w:val="0;0"/>
    <w:docVar w:name="DQCResult_ModifiedNumbering" w:val="0;0"/>
    <w:docVar w:name="DQCResult_Objects" w:val="0;0"/>
    <w:docVar w:name="DQCResult_Sections" w:val="0;0"/>
    <w:docVar w:name="DQCResult_StructureCheck" w:val="0;0"/>
    <w:docVar w:name="DQCResult_SuperfluousWhitespace" w:val="0;6"/>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A8D0E6CC2C444D5B9385537E4E5EA4A0"/>
    <w:docVar w:name="LW_CROSSREFERENCE" w:val="&lt;UNUSED&gt;"/>
    <w:docVar w:name="LW_DocType" w:val="COM"/>
    <w:docVar w:name="LW_EMISSION" w:val="11.8.2017"/>
    <w:docVar w:name="LW_EMISSION_ISODATE" w:val="2017-08-11"/>
    <w:docVar w:name="LW_EMISSION_LOCATION" w:val="BRX"/>
    <w:docVar w:name="LW_EMISSION_PREFIX" w:val="Bryssel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FI"/>
    <w:docVar w:name="LW_MARKING" w:val="&lt;UNUSED&gt;"/>
    <w:docVar w:name="LW_NOM.INST" w:val="EUROOPAN KOMISSIO"/>
    <w:docVar w:name="LW_NOM.INST_JOINTDOC" w:val="&lt;EMPTY&gt;"/>
    <w:docVar w:name="LW_PART_NBR" w:val="1"/>
    <w:docVar w:name="LW_PART_NBR_TOTAL" w:val="1"/>
    <w:docVar w:name="LW_REF.II.NEW.CP" w:val="COD"/>
    <w:docVar w:name="LW_REF.II.NEW.CP_NUMBER" w:val="0190"/>
    <w:docVar w:name="LW_REF.II.NEW.CP_YEAR" w:val="2017"/>
    <w:docVar w:name="LW_REF.INST.NEW" w:val="COM"/>
    <w:docVar w:name="LW_REF.INST.NEW_ADOPTED" w:val="final"/>
    <w:docVar w:name="LW_REF.INST.NEW_TEXT" w:val="(2017) 424"/>
    <w:docVar w:name="LW_REF.INTERNE" w:val="&lt;UNUSED&gt;"/>
    <w:docVar w:name="LW_SOUS.TITRE.OBJ.CP" w:val="&lt;UNUSED&gt;"/>
    <w:docVar w:name="LW_STATUT.CP" w:val="Ehdotus"/>
    <w:docVar w:name="LW_SUPERTITRE" w:val="&lt;UNUSED&gt;"/>
    <w:docVar w:name="LW_TITRE.OBJ.CP" w:val="yhteisestä kalastuspolitiikasta annetun asetuksen (EU) N:o 1380/2013 muuttamisesta"/>
    <w:docVar w:name="LW_TYPE.DOC.CP" w:val="EUROOPAN PARLAMENTIN JA NEUVOSTON ASETUS"/>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i-FI" w:eastAsia="fi-FI" w:bidi="fi-FI"/>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tabs>
        <w:tab w:val="clear" w:pos="643"/>
        <w:tab w:val="num" w:pos="360"/>
      </w:tabs>
      <w:ind w:left="0" w:firstLine="0"/>
      <w:contextualSpacing/>
    </w:pPr>
  </w:style>
  <w:style w:type="paragraph" w:styleId="ListBullet3">
    <w:name w:val="List Bullet 3"/>
    <w:basedOn w:val="Normal"/>
    <w:uiPriority w:val="99"/>
    <w:semiHidden/>
    <w:unhideWhenUsed/>
    <w:pPr>
      <w:numPr>
        <w:numId w:val="3"/>
      </w:numPr>
      <w:tabs>
        <w:tab w:val="clear" w:pos="926"/>
        <w:tab w:val="num" w:pos="360"/>
      </w:tabs>
      <w:ind w:left="0" w:firstLine="0"/>
      <w:contextualSpacing/>
    </w:pPr>
  </w:style>
  <w:style w:type="paragraph" w:styleId="ListBullet4">
    <w:name w:val="List Bullet 4"/>
    <w:basedOn w:val="Normal"/>
    <w:uiPriority w:val="99"/>
    <w:semiHidden/>
    <w:unhideWhenUsed/>
    <w:pPr>
      <w:numPr>
        <w:numId w:val="4"/>
      </w:numPr>
      <w:tabs>
        <w:tab w:val="clear" w:pos="1209"/>
        <w:tab w:val="num" w:pos="360"/>
      </w:tabs>
      <w:ind w:left="0" w:firstLine="0"/>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i-FI"/>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i-FI"/>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i-FI"/>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i-FI" w:eastAsia="fi-FI" w:bidi="fi-FI"/>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tabs>
        <w:tab w:val="clear" w:pos="643"/>
        <w:tab w:val="num" w:pos="360"/>
      </w:tabs>
      <w:ind w:left="0" w:firstLine="0"/>
      <w:contextualSpacing/>
    </w:pPr>
  </w:style>
  <w:style w:type="paragraph" w:styleId="ListBullet3">
    <w:name w:val="List Bullet 3"/>
    <w:basedOn w:val="Normal"/>
    <w:uiPriority w:val="99"/>
    <w:semiHidden/>
    <w:unhideWhenUsed/>
    <w:pPr>
      <w:numPr>
        <w:numId w:val="3"/>
      </w:numPr>
      <w:tabs>
        <w:tab w:val="clear" w:pos="926"/>
        <w:tab w:val="num" w:pos="360"/>
      </w:tabs>
      <w:ind w:left="0" w:firstLine="0"/>
      <w:contextualSpacing/>
    </w:pPr>
  </w:style>
  <w:style w:type="paragraph" w:styleId="ListBullet4">
    <w:name w:val="List Bullet 4"/>
    <w:basedOn w:val="Normal"/>
    <w:uiPriority w:val="99"/>
    <w:semiHidden/>
    <w:unhideWhenUsed/>
    <w:pPr>
      <w:numPr>
        <w:numId w:val="4"/>
      </w:numPr>
      <w:tabs>
        <w:tab w:val="clear" w:pos="1209"/>
        <w:tab w:val="num" w:pos="360"/>
      </w:tabs>
      <w:ind w:left="0" w:firstLine="0"/>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i-FI"/>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i-FI"/>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i-FI"/>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212922">
      <w:bodyDiv w:val="1"/>
      <w:marLeft w:val="0"/>
      <w:marRight w:val="0"/>
      <w:marTop w:val="0"/>
      <w:marBottom w:val="0"/>
      <w:divBdr>
        <w:top w:val="none" w:sz="0" w:space="0" w:color="auto"/>
        <w:left w:val="none" w:sz="0" w:space="0" w:color="auto"/>
        <w:bottom w:val="none" w:sz="0" w:space="0" w:color="auto"/>
        <w:right w:val="none" w:sz="0" w:space="0" w:color="auto"/>
      </w:divBdr>
      <w:divsChild>
        <w:div w:id="1126267093">
          <w:marLeft w:val="0"/>
          <w:marRight w:val="0"/>
          <w:marTop w:val="0"/>
          <w:marBottom w:val="0"/>
          <w:divBdr>
            <w:top w:val="none" w:sz="0" w:space="0" w:color="auto"/>
            <w:left w:val="none" w:sz="0" w:space="0" w:color="auto"/>
            <w:bottom w:val="none" w:sz="0" w:space="0" w:color="auto"/>
            <w:right w:val="none" w:sz="0" w:space="0" w:color="auto"/>
          </w:divBdr>
          <w:divsChild>
            <w:div w:id="89400367">
              <w:marLeft w:val="0"/>
              <w:marRight w:val="0"/>
              <w:marTop w:val="0"/>
              <w:marBottom w:val="0"/>
              <w:divBdr>
                <w:top w:val="none" w:sz="0" w:space="0" w:color="auto"/>
                <w:left w:val="none" w:sz="0" w:space="0" w:color="auto"/>
                <w:bottom w:val="none" w:sz="0" w:space="0" w:color="auto"/>
                <w:right w:val="none" w:sz="0" w:space="0" w:color="auto"/>
              </w:divBdr>
              <w:divsChild>
                <w:div w:id="702094808">
                  <w:marLeft w:val="0"/>
                  <w:marRight w:val="0"/>
                  <w:marTop w:val="0"/>
                  <w:marBottom w:val="0"/>
                  <w:divBdr>
                    <w:top w:val="none" w:sz="0" w:space="0" w:color="auto"/>
                    <w:left w:val="none" w:sz="0" w:space="0" w:color="auto"/>
                    <w:bottom w:val="none" w:sz="0" w:space="0" w:color="auto"/>
                    <w:right w:val="none" w:sz="0" w:space="0" w:color="auto"/>
                  </w:divBdr>
                  <w:divsChild>
                    <w:div w:id="593854314">
                      <w:marLeft w:val="1"/>
                      <w:marRight w:val="1"/>
                      <w:marTop w:val="0"/>
                      <w:marBottom w:val="0"/>
                      <w:divBdr>
                        <w:top w:val="none" w:sz="0" w:space="0" w:color="auto"/>
                        <w:left w:val="none" w:sz="0" w:space="0" w:color="auto"/>
                        <w:bottom w:val="none" w:sz="0" w:space="0" w:color="auto"/>
                        <w:right w:val="none" w:sz="0" w:space="0" w:color="auto"/>
                      </w:divBdr>
                      <w:divsChild>
                        <w:div w:id="1485780907">
                          <w:marLeft w:val="0"/>
                          <w:marRight w:val="0"/>
                          <w:marTop w:val="0"/>
                          <w:marBottom w:val="0"/>
                          <w:divBdr>
                            <w:top w:val="none" w:sz="0" w:space="0" w:color="auto"/>
                            <w:left w:val="none" w:sz="0" w:space="0" w:color="auto"/>
                            <w:bottom w:val="none" w:sz="0" w:space="0" w:color="auto"/>
                            <w:right w:val="none" w:sz="0" w:space="0" w:color="auto"/>
                          </w:divBdr>
                          <w:divsChild>
                            <w:div w:id="439566733">
                              <w:marLeft w:val="0"/>
                              <w:marRight w:val="0"/>
                              <w:marTop w:val="0"/>
                              <w:marBottom w:val="360"/>
                              <w:divBdr>
                                <w:top w:val="none" w:sz="0" w:space="0" w:color="auto"/>
                                <w:left w:val="none" w:sz="0" w:space="0" w:color="auto"/>
                                <w:bottom w:val="none" w:sz="0" w:space="0" w:color="auto"/>
                                <w:right w:val="none" w:sz="0" w:space="0" w:color="auto"/>
                              </w:divBdr>
                              <w:divsChild>
                                <w:div w:id="2142457949">
                                  <w:marLeft w:val="0"/>
                                  <w:marRight w:val="0"/>
                                  <w:marTop w:val="0"/>
                                  <w:marBottom w:val="0"/>
                                  <w:divBdr>
                                    <w:top w:val="none" w:sz="0" w:space="0" w:color="auto"/>
                                    <w:left w:val="none" w:sz="0" w:space="0" w:color="auto"/>
                                    <w:bottom w:val="none" w:sz="0" w:space="0" w:color="auto"/>
                                    <w:right w:val="none" w:sz="0" w:space="0" w:color="auto"/>
                                  </w:divBdr>
                                  <w:divsChild>
                                    <w:div w:id="212272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7139680">
      <w:bodyDiv w:val="1"/>
      <w:marLeft w:val="0"/>
      <w:marRight w:val="0"/>
      <w:marTop w:val="0"/>
      <w:marBottom w:val="0"/>
      <w:divBdr>
        <w:top w:val="none" w:sz="0" w:space="0" w:color="auto"/>
        <w:left w:val="none" w:sz="0" w:space="0" w:color="auto"/>
        <w:bottom w:val="none" w:sz="0" w:space="0" w:color="auto"/>
        <w:right w:val="none" w:sz="0" w:space="0" w:color="auto"/>
      </w:divBdr>
      <w:divsChild>
        <w:div w:id="1086609641">
          <w:marLeft w:val="0"/>
          <w:marRight w:val="0"/>
          <w:marTop w:val="0"/>
          <w:marBottom w:val="0"/>
          <w:divBdr>
            <w:top w:val="none" w:sz="0" w:space="0" w:color="auto"/>
            <w:left w:val="none" w:sz="0" w:space="0" w:color="auto"/>
            <w:bottom w:val="none" w:sz="0" w:space="0" w:color="auto"/>
            <w:right w:val="none" w:sz="0" w:space="0" w:color="auto"/>
          </w:divBdr>
          <w:divsChild>
            <w:div w:id="1613587338">
              <w:marLeft w:val="0"/>
              <w:marRight w:val="0"/>
              <w:marTop w:val="0"/>
              <w:marBottom w:val="0"/>
              <w:divBdr>
                <w:top w:val="none" w:sz="0" w:space="0" w:color="auto"/>
                <w:left w:val="none" w:sz="0" w:space="0" w:color="auto"/>
                <w:bottom w:val="none" w:sz="0" w:space="0" w:color="auto"/>
                <w:right w:val="none" w:sz="0" w:space="0" w:color="auto"/>
              </w:divBdr>
              <w:divsChild>
                <w:div w:id="1747921231">
                  <w:marLeft w:val="0"/>
                  <w:marRight w:val="0"/>
                  <w:marTop w:val="0"/>
                  <w:marBottom w:val="0"/>
                  <w:divBdr>
                    <w:top w:val="none" w:sz="0" w:space="0" w:color="auto"/>
                    <w:left w:val="none" w:sz="0" w:space="0" w:color="auto"/>
                    <w:bottom w:val="none" w:sz="0" w:space="0" w:color="auto"/>
                    <w:right w:val="none" w:sz="0" w:space="0" w:color="auto"/>
                  </w:divBdr>
                  <w:divsChild>
                    <w:div w:id="2139488983">
                      <w:marLeft w:val="1"/>
                      <w:marRight w:val="1"/>
                      <w:marTop w:val="0"/>
                      <w:marBottom w:val="0"/>
                      <w:divBdr>
                        <w:top w:val="none" w:sz="0" w:space="0" w:color="auto"/>
                        <w:left w:val="none" w:sz="0" w:space="0" w:color="auto"/>
                        <w:bottom w:val="none" w:sz="0" w:space="0" w:color="auto"/>
                        <w:right w:val="none" w:sz="0" w:space="0" w:color="auto"/>
                      </w:divBdr>
                      <w:divsChild>
                        <w:div w:id="592202851">
                          <w:marLeft w:val="0"/>
                          <w:marRight w:val="0"/>
                          <w:marTop w:val="0"/>
                          <w:marBottom w:val="0"/>
                          <w:divBdr>
                            <w:top w:val="none" w:sz="0" w:space="0" w:color="auto"/>
                            <w:left w:val="none" w:sz="0" w:space="0" w:color="auto"/>
                            <w:bottom w:val="none" w:sz="0" w:space="0" w:color="auto"/>
                            <w:right w:val="none" w:sz="0" w:space="0" w:color="auto"/>
                          </w:divBdr>
                          <w:divsChild>
                            <w:div w:id="2106342532">
                              <w:marLeft w:val="0"/>
                              <w:marRight w:val="0"/>
                              <w:marTop w:val="0"/>
                              <w:marBottom w:val="360"/>
                              <w:divBdr>
                                <w:top w:val="none" w:sz="0" w:space="0" w:color="auto"/>
                                <w:left w:val="none" w:sz="0" w:space="0" w:color="auto"/>
                                <w:bottom w:val="none" w:sz="0" w:space="0" w:color="auto"/>
                                <w:right w:val="none" w:sz="0" w:space="0" w:color="auto"/>
                              </w:divBdr>
                              <w:divsChild>
                                <w:div w:id="876813517">
                                  <w:marLeft w:val="0"/>
                                  <w:marRight w:val="0"/>
                                  <w:marTop w:val="0"/>
                                  <w:marBottom w:val="0"/>
                                  <w:divBdr>
                                    <w:top w:val="none" w:sz="0" w:space="0" w:color="auto"/>
                                    <w:left w:val="none" w:sz="0" w:space="0" w:color="auto"/>
                                    <w:bottom w:val="none" w:sz="0" w:space="0" w:color="auto"/>
                                    <w:right w:val="none" w:sz="0" w:space="0" w:color="auto"/>
                                  </w:divBdr>
                                  <w:divsChild>
                                    <w:div w:id="194792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C952A-B07A-4F38-99ED-A6C5F722F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7</Pages>
  <Words>1200</Words>
  <Characters>10340</Characters>
  <Application>Microsoft Office Word</Application>
  <DocSecurity>0</DocSecurity>
  <Lines>181</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2017-08-01T15:01:00Z</cp:lastPrinted>
  <dcterms:created xsi:type="dcterms:W3CDTF">2017-08-08T15:37:00Z</dcterms:created>
  <dcterms:modified xsi:type="dcterms:W3CDTF">2017-08-09T15:01:00Z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