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E30E947D7C146B9966FB363737A095B" style="width:450.75pt;height:393.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PERUSTELUT</w:t>
      </w:r>
    </w:p>
    <w:p>
      <w:pPr>
        <w:pStyle w:val="ManualHeading1"/>
        <w:rPr>
          <w:noProof/>
        </w:rPr>
      </w:pPr>
      <w:r>
        <w:rPr>
          <w:noProof/>
        </w:rPr>
        <w:t>1.</w:t>
      </w:r>
      <w:r>
        <w:rPr>
          <w:noProof/>
        </w:rPr>
        <w:tab/>
        <w:t>EHDOTUKSEN TAUSTA</w:t>
      </w:r>
    </w:p>
    <w:p>
      <w:pPr>
        <w:pStyle w:val="ManualHeading2"/>
        <w:rPr>
          <w:rFonts w:eastAsia="Arial Unicode MS"/>
          <w:noProof/>
        </w:rPr>
      </w:pPr>
      <w:r>
        <w:rPr>
          <w:noProof/>
          <w:color w:val="000000"/>
          <w:u w:color="000000"/>
          <w:bdr w:val="nil"/>
        </w:rPr>
        <w:t>•</w:t>
      </w:r>
      <w:r>
        <w:rPr>
          <w:noProof/>
        </w:rPr>
        <w:tab/>
        <w:t>Ehdotuksen perustelut ja tavoitteet</w:t>
      </w:r>
    </w:p>
    <w:p>
      <w:pPr>
        <w:pBdr>
          <w:top w:val="nil"/>
          <w:left w:val="nil"/>
          <w:bottom w:val="nil"/>
          <w:right w:val="nil"/>
          <w:between w:val="nil"/>
          <w:bar w:val="nil"/>
        </w:pBdr>
        <w:spacing w:before="0" w:after="240"/>
        <w:rPr>
          <w:noProof/>
        </w:rPr>
      </w:pPr>
      <w:r>
        <w:rPr>
          <w:noProof/>
        </w:rPr>
        <w:t xml:space="preserve">Neuvoston asetuksessa (EU) 2015/2192 jaetaan jäsenvaltioiden kesken Euroopan unionin ja Mauritanian islamilaisen tasavallan välisen kalastuskumppanuussopimuksen pöytäkirjassa vuosiksi 2015–2019 vahvistetut kalastusmahdollisuudet. </w:t>
      </w:r>
    </w:p>
    <w:p>
      <w:pPr>
        <w:pBdr>
          <w:top w:val="nil"/>
          <w:left w:val="nil"/>
          <w:bottom w:val="nil"/>
          <w:right w:val="nil"/>
          <w:between w:val="nil"/>
          <w:bar w:val="nil"/>
        </w:pBdr>
        <w:spacing w:before="0" w:after="240"/>
        <w:rPr>
          <w:noProof/>
        </w:rPr>
      </w:pPr>
      <w:r>
        <w:rPr>
          <w:noProof/>
        </w:rPr>
        <w:t>Kumppanuussopimuksen 10 artiklalla perustettu sekakomitea päätti 15. ja 16. marraskuuta 2016 Nouakchottissa pidetyssä kokouksessaan myöntää uusia kalastusmahdollisuuksia EU:n pakastustroolareille, jotka pyytävät pääasiallisena kohdelajina senegalinkummelia (3 500 tonnia) ja toissijaisina kohdelajeina kalmaria (1 450 tonnia) ja seepiaa (600 tonnia) käytettävissä olevan ylijäämän rajoissa.</w:t>
      </w:r>
    </w:p>
    <w:p>
      <w:pPr>
        <w:pBdr>
          <w:top w:val="nil"/>
          <w:left w:val="nil"/>
          <w:bottom w:val="nil"/>
          <w:right w:val="nil"/>
          <w:between w:val="nil"/>
          <w:bar w:val="nil"/>
        </w:pBdr>
        <w:spacing w:before="0" w:after="240"/>
        <w:rPr>
          <w:noProof/>
        </w:rPr>
      </w:pPr>
      <w:r>
        <w:rPr>
          <w:noProof/>
        </w:rPr>
        <w:t xml:space="preserve">Ehdotuksen tavoitteena on jakaa nämä uudet kalastusmahdollisuudet jäsenvaltioiden kesken. </w:t>
      </w:r>
    </w:p>
    <w:p>
      <w:pPr>
        <w:pStyle w:val="ManualHeading2"/>
        <w:rPr>
          <w:rFonts w:eastAsia="Arial Unicode MS"/>
          <w:noProof/>
          <w:u w:color="000000"/>
          <w:bdr w:val="nil"/>
        </w:rPr>
      </w:pPr>
      <w:r>
        <w:rPr>
          <w:noProof/>
        </w:rPr>
        <w:t>•</w:t>
      </w:r>
      <w:r>
        <w:rPr>
          <w:noProof/>
        </w:rPr>
        <w:tab/>
        <w:t>Yhdenmukaisuus muiden alaa koskevien politiikkojen säännösten kanssa</w:t>
      </w:r>
    </w:p>
    <w:p>
      <w:pPr>
        <w:pBdr>
          <w:top w:val="nil"/>
          <w:left w:val="nil"/>
          <w:bottom w:val="nil"/>
          <w:right w:val="nil"/>
          <w:between w:val="nil"/>
          <w:bar w:val="nil"/>
        </w:pBdr>
        <w:spacing w:before="0" w:after="240"/>
        <w:rPr>
          <w:noProof/>
        </w:rPr>
      </w:pPr>
      <w:r>
        <w:rPr>
          <w:noProof/>
        </w:rPr>
        <w:t>Ehdotus on kaikilta osin kalastusalueella kalavarojen ja meren ekosysteemien kestävän hyödyntämisen periaatteiden mukainen ja yhdenmukainen pöytäkirjan määräysten kanssa, joiden mukaan osapuolet voivat sopia käytettävissä olevien tieteellisten lausuntojen perusteella sekakomiteassa kalastusmahdollisuuksien jakamisesta sellaisia pohjalajeja pyytäville pakastustroolareille, joiden osalta on todettu ylijäämää</w:t>
      </w:r>
      <w:r>
        <w:rPr>
          <w:rStyle w:val="FootnoteReference"/>
          <w:noProof/>
        </w:rPr>
        <w:footnoteReference w:id="1"/>
      </w:r>
      <w:r>
        <w:rPr>
          <w:noProof/>
        </w:rPr>
        <w:t>.</w:t>
      </w:r>
    </w:p>
    <w:p>
      <w:pPr>
        <w:pBdr>
          <w:top w:val="nil"/>
          <w:left w:val="nil"/>
          <w:bottom w:val="nil"/>
          <w:right w:val="nil"/>
          <w:between w:val="nil"/>
          <w:bar w:val="nil"/>
        </w:pBdr>
        <w:spacing w:before="0" w:after="240"/>
        <w:rPr>
          <w:rFonts w:eastAsia="Arial Unicode MS"/>
          <w:noProof/>
        </w:rPr>
      </w:pPr>
      <w:r>
        <w:rPr>
          <w:noProof/>
        </w:rPr>
        <w:t>Ehdotus on myös yhteisestä kalastuspolitiikasta annetun asetuksen (EU) N:o 1380/2013 ja yhteisen kalastuspolitiikan ulkoista ulottuvuutta koskevasta komission tiedonannosta 19 päivänä maaliskuuta 2012 annettujen neuvoston päätelmien mukaista.</w:t>
      </w:r>
    </w:p>
    <w:p>
      <w:pPr>
        <w:pStyle w:val="ManualHeading2"/>
        <w:rPr>
          <w:rFonts w:eastAsia="Arial Unicode MS"/>
          <w:noProof/>
        </w:rPr>
      </w:pPr>
      <w:r>
        <w:rPr>
          <w:noProof/>
        </w:rPr>
        <w:t>•</w:t>
      </w:r>
      <w:r>
        <w:rPr>
          <w:noProof/>
        </w:rPr>
        <w:tab/>
        <w:t>Yhdenmukaisuus unionin muiden politiikkojen kanssa</w:t>
      </w:r>
    </w:p>
    <w:p>
      <w:pPr>
        <w:pBdr>
          <w:top w:val="nil"/>
          <w:left w:val="nil"/>
          <w:bottom w:val="nil"/>
          <w:right w:val="nil"/>
          <w:between w:val="nil"/>
          <w:bar w:val="nil"/>
        </w:pBdr>
        <w:spacing w:before="0" w:after="240"/>
        <w:rPr>
          <w:rFonts w:eastAsia="Arial Unicode MS"/>
          <w:noProof/>
        </w:rPr>
      </w:pPr>
      <w:r>
        <w:rPr>
          <w:noProof/>
        </w:rPr>
        <w:t>Kalastusmahdollisuuksista kalastuskumppanuussopimuksen puitteissa Mauritanian kanssa käytävät neuvottelut ovat EU:n Afrikan, Karibian ja Tyynenmeren (AKT) maihin nähden toteuttaman ulkoisen toiminnan mukaiset.</w:t>
      </w:r>
    </w:p>
    <w:p>
      <w:pPr>
        <w:pBdr>
          <w:top w:val="nil"/>
          <w:left w:val="nil"/>
          <w:bottom w:val="nil"/>
          <w:right w:val="nil"/>
          <w:between w:val="nil"/>
          <w:bar w:val="nil"/>
        </w:pBdr>
        <w:spacing w:before="0" w:after="240"/>
        <w:rPr>
          <w:rFonts w:eastAsia="Arial Unicode MS"/>
          <w:noProof/>
        </w:rPr>
      </w:pPr>
      <w:r>
        <w:rPr>
          <w:noProof/>
        </w:rPr>
        <w:t>Kalastuskumppanuussopimus täydentää muuttoliikettä koskevaa uutta kumppanuuskehystä, ja taloudellisen toiminnan kasvu kalastusalalla auttaa käsittelemään Mauritanian maastamuuton syitä, vaikka nämä vaikutukset ovatkin hyvin paikallisia.</w:t>
      </w:r>
    </w:p>
    <w:p>
      <w:pPr>
        <w:pStyle w:val="ManualHeading1"/>
        <w:rPr>
          <w:noProof/>
        </w:rPr>
      </w:pPr>
      <w:r>
        <w:rPr>
          <w:noProof/>
        </w:rPr>
        <w:t xml:space="preserve"> 2.</w:t>
      </w:r>
      <w:r>
        <w:rPr>
          <w:noProof/>
        </w:rPr>
        <w:tab/>
        <w:t>OIKEUSPERUSTA, TOISSIJAISUUSPERIAATE JA SUHTEELLISUUSPERIAATE</w:t>
      </w:r>
    </w:p>
    <w:p>
      <w:pPr>
        <w:pStyle w:val="ManualHeading2"/>
        <w:rPr>
          <w:rFonts w:eastAsia="Arial Unicode MS"/>
          <w:noProof/>
          <w:u w:color="000000"/>
          <w:bdr w:val="nil"/>
        </w:rPr>
      </w:pPr>
      <w:r>
        <w:rPr>
          <w:noProof/>
        </w:rPr>
        <w:t>•</w:t>
      </w:r>
      <w:r>
        <w:rPr>
          <w:noProof/>
        </w:rPr>
        <w:tab/>
        <w:t>Oikeusperusta</w:t>
      </w:r>
    </w:p>
    <w:p>
      <w:pPr>
        <w:pBdr>
          <w:top w:val="nil"/>
          <w:left w:val="nil"/>
          <w:bottom w:val="nil"/>
          <w:right w:val="nil"/>
          <w:between w:val="nil"/>
          <w:bar w:val="nil"/>
        </w:pBdr>
        <w:spacing w:before="0" w:after="240"/>
        <w:rPr>
          <w:rFonts w:eastAsia="Arial Unicode MS"/>
          <w:noProof/>
        </w:rPr>
      </w:pPr>
      <w:r>
        <w:rPr>
          <w:noProof/>
        </w:rPr>
        <w:t>Ehdotuksen oikeusperusta on Euroopan unionin toiminnasta tehdyn sopimuksen (SEUT-sopimuksen) 43 artiklan 3 kohta, jossa määrätään kalastusmahdollisuuksien vahvistamiseen ja jakamiseen liittyvästä menettelystä.</w:t>
      </w:r>
    </w:p>
    <w:p>
      <w:pPr>
        <w:pStyle w:val="ManualHeading2"/>
        <w:rPr>
          <w:rFonts w:eastAsia="Arial Unicode MS"/>
          <w:noProof/>
          <w:u w:color="000000"/>
          <w:bdr w:val="nil"/>
        </w:rPr>
      </w:pPr>
      <w:r>
        <w:rPr>
          <w:noProof/>
        </w:rPr>
        <w:t>•</w:t>
      </w:r>
      <w:r>
        <w:rPr>
          <w:noProof/>
        </w:rPr>
        <w:tab/>
        <w:t xml:space="preserve">Toissijaisuusperiaate (jaetun toimivallan osalta) </w:t>
      </w:r>
    </w:p>
    <w:p>
      <w:pPr>
        <w:pBdr>
          <w:top w:val="nil"/>
          <w:left w:val="nil"/>
          <w:bottom w:val="nil"/>
          <w:right w:val="nil"/>
          <w:between w:val="nil"/>
          <w:bar w:val="nil"/>
        </w:pBdr>
        <w:spacing w:before="0" w:after="240"/>
        <w:rPr>
          <w:rFonts w:eastAsia="Arial Unicode MS"/>
          <w:noProof/>
        </w:rPr>
      </w:pPr>
      <w:r>
        <w:rPr>
          <w:noProof/>
        </w:rPr>
        <w:t xml:space="preserve">Ei sovelleta, yksinomainen toimivalta. </w:t>
      </w:r>
    </w:p>
    <w:p>
      <w:pPr>
        <w:pStyle w:val="ManualHeading2"/>
        <w:rPr>
          <w:rFonts w:eastAsia="Arial Unicode MS"/>
          <w:noProof/>
          <w:u w:color="000000"/>
          <w:bdr w:val="nil"/>
        </w:rPr>
      </w:pPr>
      <w:r>
        <w:rPr>
          <w:noProof/>
        </w:rPr>
        <w:t>•</w:t>
      </w:r>
      <w:r>
        <w:rPr>
          <w:noProof/>
        </w:rPr>
        <w:tab/>
        <w:t>Suhteellisuusperiaate</w:t>
      </w:r>
    </w:p>
    <w:p>
      <w:pPr>
        <w:pBdr>
          <w:top w:val="nil"/>
          <w:left w:val="nil"/>
          <w:bottom w:val="nil"/>
          <w:right w:val="nil"/>
          <w:between w:val="nil"/>
          <w:bar w:val="nil"/>
        </w:pBdr>
        <w:spacing w:before="0" w:after="240"/>
        <w:rPr>
          <w:rFonts w:eastAsia="Arial Unicode MS"/>
          <w:noProof/>
        </w:rPr>
      </w:pPr>
      <w:r>
        <w:rPr>
          <w:noProof/>
        </w:rPr>
        <w:t>Päätös on oikeassa suhteessa tavoitteeseen.</w:t>
      </w:r>
    </w:p>
    <w:p>
      <w:pPr>
        <w:pStyle w:val="ManualHeading2"/>
        <w:rPr>
          <w:rFonts w:eastAsia="Arial Unicode MS"/>
          <w:noProof/>
          <w:u w:color="000000"/>
          <w:bdr w:val="nil"/>
        </w:rPr>
      </w:pPr>
      <w:r>
        <w:rPr>
          <w:noProof/>
        </w:rPr>
        <w:t>•</w:t>
      </w:r>
      <w:r>
        <w:rPr>
          <w:noProof/>
        </w:rPr>
        <w:tab/>
        <w:t>Toimintatavan valinta</w:t>
      </w:r>
    </w:p>
    <w:p>
      <w:pPr>
        <w:pBdr>
          <w:top w:val="nil"/>
          <w:left w:val="nil"/>
          <w:bottom w:val="nil"/>
          <w:right w:val="nil"/>
          <w:between w:val="nil"/>
          <w:bar w:val="nil"/>
        </w:pBdr>
        <w:spacing w:before="0" w:after="240"/>
        <w:rPr>
          <w:rFonts w:eastAsia="Arial Unicode MS"/>
          <w:noProof/>
        </w:rPr>
      </w:pPr>
      <w:r>
        <w:rPr>
          <w:noProof/>
        </w:rPr>
        <w:t>Ks. selitys kohdassa ”Oikeusperusta”.</w:t>
      </w:r>
    </w:p>
    <w:p>
      <w:pPr>
        <w:pStyle w:val="ManualHeading1"/>
        <w:rPr>
          <w:noProof/>
        </w:rPr>
      </w:pPr>
      <w:r>
        <w:rPr>
          <w:noProof/>
        </w:rPr>
        <w:t>3.</w:t>
      </w:r>
      <w:r>
        <w:rPr>
          <w:noProof/>
        </w:rPr>
        <w:tab/>
        <w:t>JÄLKIARVIOINTIEN, SIDOSRYHMIEN KUULEMISTEN JA VAIKUTUSTENARVIOINTIEN TULOKSET</w:t>
      </w:r>
    </w:p>
    <w:p>
      <w:pPr>
        <w:pStyle w:val="ManualHeading2"/>
        <w:rPr>
          <w:rFonts w:eastAsia="Arial Unicode MS"/>
          <w:noProof/>
          <w:u w:color="000000"/>
          <w:bdr w:val="nil"/>
        </w:rPr>
      </w:pPr>
      <w:r>
        <w:rPr>
          <w:noProof/>
        </w:rPr>
        <w:t>•</w:t>
      </w:r>
      <w:r>
        <w:rPr>
          <w:noProof/>
        </w:rPr>
        <w:tab/>
        <w:t>Jälkiarvioinnit/toimivuustarkastukset</w:t>
      </w:r>
    </w:p>
    <w:p>
      <w:pPr>
        <w:pBdr>
          <w:top w:val="nil"/>
          <w:left w:val="nil"/>
          <w:bottom w:val="nil"/>
          <w:right w:val="nil"/>
          <w:between w:val="nil"/>
          <w:bar w:val="nil"/>
        </w:pBdr>
        <w:spacing w:before="0" w:after="240"/>
        <w:rPr>
          <w:rFonts w:eastAsia="Arial Unicode MS"/>
          <w:noProof/>
        </w:rPr>
      </w:pPr>
      <w:r>
        <w:rPr>
          <w:noProof/>
        </w:rPr>
        <w:t>Takautuva ja tulevaisuuteen katsova arviointi edellisestä vuosien 2012–2014 pöytäkirjasta saatettiin päätökseen tammikuussa 2014</w:t>
      </w:r>
      <w:r>
        <w:rPr>
          <w:rStyle w:val="FootnoteReference"/>
          <w:noProof/>
        </w:rPr>
        <w:footnoteReference w:id="2"/>
      </w:r>
      <w:r>
        <w:rPr>
          <w:noProof/>
        </w:rPr>
        <w:t>.</w:t>
      </w:r>
    </w:p>
    <w:p>
      <w:pPr>
        <w:pStyle w:val="ManualHeading2"/>
        <w:rPr>
          <w:rFonts w:eastAsia="Arial Unicode MS"/>
          <w:noProof/>
          <w:u w:color="000000"/>
          <w:bdr w:val="nil"/>
        </w:rPr>
      </w:pPr>
      <w:r>
        <w:rPr>
          <w:noProof/>
        </w:rPr>
        <w:t>•</w:t>
      </w:r>
      <w:r>
        <w:rPr>
          <w:noProof/>
        </w:rPr>
        <w:tab/>
        <w:t>Sidosryhmien kuuleminen</w:t>
      </w:r>
    </w:p>
    <w:p>
      <w:pPr>
        <w:pBdr>
          <w:top w:val="nil"/>
          <w:left w:val="nil"/>
          <w:bottom w:val="nil"/>
          <w:right w:val="nil"/>
          <w:between w:val="nil"/>
          <w:bar w:val="nil"/>
        </w:pBdr>
        <w:spacing w:before="0" w:after="240"/>
        <w:rPr>
          <w:noProof/>
        </w:rPr>
      </w:pPr>
      <w:r>
        <w:rPr>
          <w:noProof/>
        </w:rPr>
        <w:t>Sidosryhmiä kuultiin vuosia 2012–2014 koskevan pöytäkirjan arvioinnin yhteydessä. Myös jäsenvaltioiden asiantuntijoita ja EU:n kalastusalan edustajia kuultiin teknisissä kokouksissa. Kuulemisten perusteella todettiin, että unionin pakastustroolarit ovat selvästi kiinnostuneita kalastamaan senegalinkummelia, kalmaria ja seepiaa Mauritaniassa käytettävissä olevan ylijäämän rajoissa.</w:t>
      </w:r>
    </w:p>
    <w:p>
      <w:pPr>
        <w:pBdr>
          <w:top w:val="nil"/>
          <w:left w:val="nil"/>
          <w:bottom w:val="nil"/>
          <w:right w:val="nil"/>
          <w:between w:val="nil"/>
          <w:bar w:val="nil"/>
        </w:pBdr>
        <w:spacing w:before="0" w:after="240"/>
        <w:rPr>
          <w:rFonts w:eastAsia="Arial Unicode MS"/>
          <w:noProof/>
        </w:rPr>
      </w:pPr>
      <w:r>
        <w:rPr>
          <w:noProof/>
        </w:rPr>
        <w:t>Mauritania vahvisti 15. ja 16. marraskuuta 2016 Nouakchottissa pidetyssä sekakomitean kokouksessa halukkuutensa antaa Euroopan unionille pääsyn käytettävissä olevaan ylijäämään.</w:t>
      </w:r>
    </w:p>
    <w:p>
      <w:pPr>
        <w:pStyle w:val="ManualHeading2"/>
        <w:rPr>
          <w:rFonts w:eastAsia="Arial Unicode MS"/>
          <w:noProof/>
          <w:u w:color="000000"/>
          <w:bdr w:val="nil"/>
        </w:rPr>
      </w:pPr>
      <w:r>
        <w:rPr>
          <w:noProof/>
        </w:rPr>
        <w:t>•</w:t>
      </w:r>
      <w:r>
        <w:rPr>
          <w:noProof/>
        </w:rPr>
        <w:tab/>
        <w:t>Asiantuntijatiedon keruu ja käyttö</w:t>
      </w:r>
    </w:p>
    <w:p>
      <w:pPr>
        <w:pBdr>
          <w:top w:val="nil"/>
          <w:left w:val="nil"/>
          <w:bottom w:val="nil"/>
          <w:right w:val="nil"/>
          <w:between w:val="nil"/>
          <w:bar w:val="nil"/>
        </w:pBdr>
        <w:spacing w:before="0" w:after="240"/>
        <w:rPr>
          <w:noProof/>
        </w:rPr>
      </w:pPr>
      <w:r>
        <w:rPr>
          <w:noProof/>
        </w:rPr>
        <w:t xml:space="preserve">Pöytäkirjan 4 artiklalla perustettu riippumaton yhteinen tiedekomitea, joka koostuu molempien osapuolten asiantuntijoista, piti viidennen vuosittaisen kokouksensa Nouakchottissa 5.–7. syyskuuta 2016.  Yhteenveto kokouksesta on julkaistu meri- ja kalastusasioiden pääosaston verkkosivustolla. </w:t>
      </w:r>
    </w:p>
    <w:p>
      <w:pPr>
        <w:pBdr>
          <w:top w:val="nil"/>
          <w:left w:val="nil"/>
          <w:bottom w:val="nil"/>
          <w:right w:val="nil"/>
          <w:between w:val="nil"/>
          <w:bar w:val="nil"/>
        </w:pBdr>
        <w:spacing w:before="0" w:after="240"/>
        <w:rPr>
          <w:rFonts w:eastAsia="Arial Unicode MS"/>
          <w:noProof/>
        </w:rPr>
      </w:pPr>
      <w:r>
        <w:rPr>
          <w:noProof/>
        </w:rPr>
        <w:t>Komitea otti huomioon käytettävissä olevat tieteelliset arvioinnit, erityisesti Itäisen Keski-Atlantin kalastuskomitean (CECAF) ja Mauritanian meri- ja kalastusasioiden tutkimuslaitoksen IMROP:n (Institut Mauritanien de Recherches Océanographiques et des Pêches)  laatimat tieteelliset arvioinnit. Niiden pohjalta komitea totesi, että käytettävissä oleva ylijäämä on 3 550 tonnia senegalinkummelia, 1 450 tonnia kalmaria ja 600 tonnia seepiaa.</w:t>
      </w:r>
    </w:p>
    <w:p>
      <w:pPr>
        <w:pStyle w:val="ManualHeading2"/>
        <w:rPr>
          <w:rFonts w:eastAsia="Arial Unicode MS"/>
          <w:noProof/>
          <w:u w:color="000000"/>
          <w:bdr w:val="nil"/>
        </w:rPr>
      </w:pPr>
      <w:r>
        <w:rPr>
          <w:noProof/>
        </w:rPr>
        <w:t>•</w:t>
      </w:r>
      <w:r>
        <w:rPr>
          <w:noProof/>
        </w:rPr>
        <w:tab/>
        <w:t>Vaikutustenarviointi</w:t>
      </w:r>
    </w:p>
    <w:p>
      <w:pPr>
        <w:pBdr>
          <w:top w:val="nil"/>
          <w:left w:val="nil"/>
          <w:bottom w:val="nil"/>
          <w:right w:val="nil"/>
          <w:between w:val="nil"/>
          <w:bar w:val="nil"/>
        </w:pBdr>
        <w:spacing w:before="0" w:after="240"/>
        <w:rPr>
          <w:rFonts w:eastAsia="Arial Unicode MS"/>
          <w:noProof/>
        </w:rPr>
      </w:pPr>
      <w:r>
        <w:rPr>
          <w:noProof/>
        </w:rPr>
        <w:t>Ei sovelleta.</w:t>
      </w:r>
    </w:p>
    <w:p>
      <w:pPr>
        <w:pStyle w:val="ManualHeading2"/>
        <w:rPr>
          <w:rFonts w:eastAsia="Arial Unicode MS"/>
          <w:noProof/>
          <w:u w:color="000000"/>
          <w:bdr w:val="nil"/>
        </w:rPr>
      </w:pPr>
      <w:r>
        <w:rPr>
          <w:noProof/>
        </w:rPr>
        <w:t>•</w:t>
      </w:r>
      <w:r>
        <w:rPr>
          <w:noProof/>
        </w:rPr>
        <w:tab/>
        <w:t>Sääntelyn toimivuus ja yksinkertaistaminen</w:t>
      </w:r>
    </w:p>
    <w:p>
      <w:pPr>
        <w:pBdr>
          <w:top w:val="nil"/>
          <w:left w:val="nil"/>
          <w:bottom w:val="nil"/>
          <w:right w:val="nil"/>
          <w:between w:val="nil"/>
          <w:bar w:val="nil"/>
        </w:pBdr>
        <w:spacing w:before="0" w:after="240"/>
        <w:rPr>
          <w:rFonts w:eastAsia="Arial Unicode MS"/>
          <w:noProof/>
        </w:rPr>
      </w:pPr>
      <w:r>
        <w:rPr>
          <w:noProof/>
        </w:rPr>
        <w:t>Ei sovelleta.</w:t>
      </w:r>
    </w:p>
    <w:p>
      <w:pPr>
        <w:pStyle w:val="ManualHeading2"/>
        <w:rPr>
          <w:rFonts w:eastAsia="Arial Unicode MS"/>
          <w:noProof/>
          <w:u w:color="000000"/>
          <w:bdr w:val="nil"/>
        </w:rPr>
      </w:pPr>
      <w:r>
        <w:rPr>
          <w:noProof/>
        </w:rPr>
        <w:t>•</w:t>
      </w:r>
      <w:r>
        <w:rPr>
          <w:noProof/>
        </w:rPr>
        <w:tab/>
        <w:t>Perusoikeudet</w:t>
      </w:r>
    </w:p>
    <w:p>
      <w:pPr>
        <w:pBdr>
          <w:top w:val="nil"/>
          <w:left w:val="nil"/>
          <w:bottom w:val="nil"/>
          <w:right w:val="nil"/>
          <w:between w:val="nil"/>
          <w:bar w:val="nil"/>
        </w:pBdr>
        <w:spacing w:before="0" w:after="240"/>
        <w:rPr>
          <w:rFonts w:eastAsia="Arial Unicode MS"/>
          <w:noProof/>
        </w:rPr>
      </w:pPr>
      <w:r>
        <w:rPr>
          <w:noProof/>
        </w:rPr>
        <w:t>Pöytäkirjan 9 artiklan 1 kohdan c alakohdassa määrätään mahdollisuudesta keskeyttää pöytäkirjan soveltaminen, mikäli käynnistetty Cotonoun sopimuksen 96 artiklassa määrättyjä neuvottelumenettelyjä mainitun sopimuksen 9 artiklassa määritellyn kaltaisten ihmisoikeuksien olennaisten ja perustavanlaatuisten osien rikkomisen johdosta.</w:t>
      </w:r>
    </w:p>
    <w:p>
      <w:pPr>
        <w:pStyle w:val="ManualHeading1"/>
        <w:rPr>
          <w:noProof/>
        </w:rPr>
      </w:pPr>
      <w:r>
        <w:rPr>
          <w:noProof/>
        </w:rPr>
        <w:t>4.</w:t>
      </w:r>
      <w:r>
        <w:rPr>
          <w:noProof/>
        </w:rPr>
        <w:tab/>
        <w:t>TALOUSARVIOVAIKUTUKSET</w:t>
      </w:r>
    </w:p>
    <w:p>
      <w:pPr>
        <w:pBdr>
          <w:top w:val="nil"/>
          <w:left w:val="nil"/>
          <w:bottom w:val="nil"/>
          <w:right w:val="nil"/>
          <w:between w:val="nil"/>
          <w:bar w:val="nil"/>
        </w:pBdr>
        <w:spacing w:before="0" w:after="240"/>
        <w:rPr>
          <w:rFonts w:eastAsia="Arial Unicode MS"/>
          <w:noProof/>
        </w:rPr>
      </w:pPr>
      <w:r>
        <w:rPr>
          <w:noProof/>
        </w:rPr>
        <w:t>Uuden kalastusluokan osalta maksettavan vuotuisen taloudellisen korvauksen määräksi on vahvistettu 2 500 000 euroa vuodessa.  Tältä osin pöytäkirjan 2 artiklan 1 kohdassa tarkoitetun kalavaroihin pääsystä maksettavan vuosittaisen taloudellisen korvauksen määrää korotetaan 55 000 000 eurosta 57 500 000 euroon.</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2017/0053 (NLE)</w:t>
      </w:r>
    </w:p>
    <w:p>
      <w:pPr>
        <w:pStyle w:val="Statut"/>
        <w:rPr>
          <w:noProof/>
        </w:rPr>
      </w:pPr>
      <w:r>
        <w:rPr>
          <w:noProof/>
        </w:rPr>
        <w:t>Ehdotus</w:t>
      </w:r>
    </w:p>
    <w:p>
      <w:pPr>
        <w:pStyle w:val="Typedudocument"/>
        <w:rPr>
          <w:noProof/>
        </w:rPr>
      </w:pPr>
      <w:r>
        <w:rPr>
          <w:noProof/>
        </w:rPr>
        <w:t>NEUVOSTON ASETUS</w:t>
      </w:r>
    </w:p>
    <w:p>
      <w:pPr>
        <w:pStyle w:val="Titreobjet"/>
        <w:rPr>
          <w:noProof/>
        </w:rPr>
      </w:pPr>
      <w:r>
        <w:rPr>
          <w:noProof/>
        </w:rPr>
        <w:t>Euroopan unionin ja Mauritanian islamilaisen tasavallan välisessä kalastuskumppanuussopimuksessa määrättyjen kalastusmahdollisuuksien ja taloudellisen korvauksen vahvistamisesta tehdyn pöytäkirjan mukaisten kalastusmahdollisuuksien jakamisesta annetun asetuksen (EU) 2015/2192 muuttamisesta</w:t>
      </w:r>
    </w:p>
    <w:p>
      <w:pPr>
        <w:pStyle w:val="Institutionquiagit"/>
        <w:rPr>
          <w:noProof/>
        </w:rPr>
      </w:pPr>
      <w:r>
        <w:rPr>
          <w:noProof/>
        </w:rPr>
        <w:t>EUROOPAN UNIONIN NEUVOSTO, joka</w:t>
      </w:r>
    </w:p>
    <w:p>
      <w:pPr>
        <w:rPr>
          <w:noProof/>
        </w:rPr>
      </w:pPr>
      <w:r>
        <w:rPr>
          <w:noProof/>
        </w:rPr>
        <w:t>ottaa huomioon Euroopan unionin toiminnasta tehdyn sopimuksen ja erityisesti sen 43 artiklan 3 kohdan,</w:t>
      </w:r>
    </w:p>
    <w:p>
      <w:pPr>
        <w:rPr>
          <w:noProof/>
        </w:rPr>
      </w:pPr>
      <w:r>
        <w:rPr>
          <w:noProof/>
        </w:rPr>
        <w:t>ottaa huomioon Euroopan komission ehdotuksen,</w:t>
      </w:r>
    </w:p>
    <w:p>
      <w:pPr>
        <w:rPr>
          <w:noProof/>
        </w:rPr>
      </w:pPr>
      <w:r>
        <w:rPr>
          <w:noProof/>
        </w:rPr>
        <w:t>sekä katsoo seuraavaa:</w:t>
      </w:r>
    </w:p>
    <w:p>
      <w:pPr>
        <w:pStyle w:val="ManualConsidrant"/>
        <w:rPr>
          <w:noProof/>
        </w:rPr>
      </w:pPr>
      <w:r>
        <w:t>(1)</w:t>
      </w:r>
      <w:r>
        <w:tab/>
      </w:r>
      <w:r>
        <w:rPr>
          <w:noProof/>
        </w:rPr>
        <w:t>Neuvosto antoi 30 päivänä marraskuuta 2006 asetuksen (EY) N:o 1801/2006 Euroopan yhteisön ja Mauritanian islamilaisen tasavallan välisen kalastuskumppanuussopimuksen, jäljempänä ’kumppanuussopimus’, tekemisestä</w:t>
      </w:r>
      <w:r>
        <w:rPr>
          <w:rStyle w:val="FootnoteReference"/>
          <w:noProof/>
        </w:rPr>
        <w:footnoteReference w:id="3"/>
      </w:r>
      <w:r>
        <w:rPr>
          <w:noProof/>
        </w:rPr>
        <w:t>.</w:t>
      </w:r>
    </w:p>
    <w:p>
      <w:pPr>
        <w:pStyle w:val="ManualConsidrant"/>
        <w:rPr>
          <w:noProof/>
        </w:rPr>
      </w:pPr>
      <w:r>
        <w:t>(2)</w:t>
      </w:r>
      <w:r>
        <w:tab/>
      </w:r>
      <w:r>
        <w:rPr>
          <w:noProof/>
        </w:rPr>
        <w:t>Neuvosto hyväksyi 24 päivänä toukokuuta 2016 päätöksen (EU) 2016/870</w:t>
      </w:r>
      <w:r>
        <w:rPr>
          <w:rStyle w:val="FootnoteReference"/>
          <w:noProof/>
        </w:rPr>
        <w:footnoteReference w:id="4"/>
      </w:r>
      <w:r>
        <w:rPr>
          <w:noProof/>
        </w:rPr>
        <w:t xml:space="preserve"> Euroopan unionin ja Mauritanian islamilaisen tasavallan välisessä kalastuskumppanuussopimuksessa määrättyjen kalastusmahdollisuuksien ja taloudellisen korvauksen vahvistamista neljän vuoden ajanjaksoksi alkaen 16 päivästä marraskuuta 2015 koskevan pöytäkirjan</w:t>
      </w:r>
      <w:r>
        <w:rPr>
          <w:rStyle w:val="FootnoteReference"/>
          <w:noProof/>
        </w:rPr>
        <w:footnoteReference w:id="5"/>
      </w:r>
      <w:r>
        <w:rPr>
          <w:noProof/>
        </w:rPr>
        <w:t>, jäljempänä ’pöytäkirja’, tekemisestä Euroopan unionin puolesta.</w:t>
      </w:r>
    </w:p>
    <w:p>
      <w:pPr>
        <w:pStyle w:val="ManualConsidrant"/>
        <w:rPr>
          <w:noProof/>
        </w:rPr>
      </w:pPr>
      <w:r>
        <w:t>(3)</w:t>
      </w:r>
      <w:r>
        <w:tab/>
      </w:r>
      <w:r>
        <w:rPr>
          <w:noProof/>
        </w:rPr>
        <w:t>Neuvoston asetuksessa (EU) 2015/2192</w:t>
      </w:r>
      <w:r>
        <w:rPr>
          <w:rStyle w:val="FootnoteReference"/>
          <w:noProof/>
        </w:rPr>
        <w:footnoteReference w:id="6"/>
      </w:r>
      <w:r>
        <w:rPr>
          <w:noProof/>
        </w:rPr>
        <w:t xml:space="preserve"> jaetaan jäsenvaltioiden kesken pöytäkirjassa vahvistetut kalastusmahdollisuudet.</w:t>
      </w:r>
    </w:p>
    <w:p>
      <w:pPr>
        <w:pStyle w:val="ManualConsidrant"/>
        <w:rPr>
          <w:noProof/>
        </w:rPr>
      </w:pPr>
      <w:r>
        <w:t>(4)</w:t>
      </w:r>
      <w:r>
        <w:tab/>
      </w:r>
      <w:r>
        <w:rPr>
          <w:noProof/>
        </w:rPr>
        <w:t>Pöytäkirjan 4 artiklalla perustetun riippumattoman yhteisen tiedekomitean tieteellisessä lausunnossa todettiin ylijäämiä senegalinkummelin osalta, ja siinä otettiin huomioon myös Mauritanian meri- ja kalastusasioiden tutkimuslaitoksen IMROP:n (Institut Mauritanien de Recherches Océanographiques et des Pêches)  laatima tieteellinen lausunto, jossa vahvistettiin ylijäämä kalmarin ja seepian osalta.</w:t>
      </w:r>
    </w:p>
    <w:p>
      <w:pPr>
        <w:pStyle w:val="ManualConsidrant"/>
        <w:rPr>
          <w:noProof/>
        </w:rPr>
      </w:pPr>
      <w:r>
        <w:t>(5)</w:t>
      </w:r>
      <w:r>
        <w:tab/>
      </w:r>
      <w:r>
        <w:rPr>
          <w:noProof/>
        </w:rPr>
        <w:t>Kumppanuussopimuksen 10 artiklalla perustettu sekakomitea päätti 15 ja 16 päivänä marraskuuta 2016 Nouakchottissa pidetyssä kokouksessaan pöytäkirjan 6 artiklan 1 kohdan a alakohdan mukaisesti muuttaa pöytäkirjaa lisäämällä käytettävissä olevan ylijäämän rajoissa uusia kalastusmahdollisuuksia pakastustroolareille, jotka pyytävät pääasiallisena kohdelajina senegalinkummelia ja toissijaisina kohdelajeina kalmaria.</w:t>
      </w:r>
    </w:p>
    <w:p>
      <w:pPr>
        <w:pStyle w:val="ManualConsidrant"/>
        <w:rPr>
          <w:noProof/>
        </w:rPr>
      </w:pPr>
      <w:r>
        <w:t>(6)</w:t>
      </w:r>
      <w:r>
        <w:tab/>
      </w:r>
      <w:r>
        <w:rPr>
          <w:noProof/>
        </w:rPr>
        <w:t>Nämä uudet kalastusmahdollisuudet olisi jaettava jäsenvaltioiden kesken pöytäkirjan jäljellä olevalle soveltamisajanjaksolle.</w:t>
      </w:r>
    </w:p>
    <w:p>
      <w:pPr>
        <w:pStyle w:val="ManualConsidrant"/>
        <w:rPr>
          <w:noProof/>
        </w:rPr>
      </w:pPr>
      <w:r>
        <w:t>(7)</w:t>
      </w:r>
      <w:r>
        <w:tab/>
      </w:r>
      <w:r>
        <w:rPr>
          <w:noProof/>
        </w:rPr>
        <w:t>Koska uusien kalastusmahdollisuuksien käyttöönotto vaikuttaa unionin alusten taloudelliseen toimintaan ja kalastuskausien suunnitteluun, tämän asetuksen olisi tultava voimaan heti sen julkaisemisen jälkeen.</w:t>
      </w:r>
    </w:p>
    <w:p>
      <w:pPr>
        <w:pStyle w:val="ManualConsidrant"/>
        <w:rPr>
          <w:noProof/>
        </w:rPr>
      </w:pPr>
      <w:r>
        <w:t>(8)</w:t>
      </w:r>
      <w:r>
        <w:tab/>
      </w:r>
      <w:r>
        <w:rPr>
          <w:noProof/>
        </w:rPr>
        <w:t>Sen vuoksi asetusta (EU) 2015/2192 olisi muutettava,</w:t>
      </w:r>
    </w:p>
    <w:p>
      <w:pPr>
        <w:pStyle w:val="Formuledadoption"/>
        <w:rPr>
          <w:noProof/>
        </w:rPr>
      </w:pPr>
      <w:r>
        <w:rPr>
          <w:noProof/>
        </w:rPr>
        <w:t>ON HYVÄKSYNYT TÄMÄN ASETUKSEN:</w:t>
      </w:r>
    </w:p>
    <w:p>
      <w:pPr>
        <w:pStyle w:val="Titrearticle"/>
        <w:rPr>
          <w:noProof/>
        </w:rPr>
      </w:pPr>
      <w:r>
        <w:rPr>
          <w:noProof/>
        </w:rPr>
        <w:t>1 artikla</w:t>
      </w:r>
    </w:p>
    <w:p>
      <w:pPr>
        <w:rPr>
          <w:noProof/>
        </w:rPr>
      </w:pPr>
      <w:r>
        <w:rPr>
          <w:noProof/>
        </w:rPr>
        <w:t>Lisätään asetuksen (EU) 2015/2192 1 artiklan 1 kohtaan h alakohta seuraavasti:</w:t>
      </w:r>
    </w:p>
    <w:p>
      <w:pPr>
        <w:rPr>
          <w:noProof/>
        </w:rPr>
      </w:pPr>
      <w:r>
        <w:rPr>
          <w:noProof/>
        </w:rPr>
        <w:t xml:space="preserve">”h) </w:t>
      </w:r>
      <w:r>
        <w:rPr>
          <w:noProof/>
        </w:rPr>
        <w:tab/>
        <w:t>Luokka 2 a – senegalinkummelia pyytävät (pakastus)troolarit:</w:t>
      </w:r>
    </w:p>
    <w:p>
      <w:pPr>
        <w:rPr>
          <w:noProof/>
        </w:rPr>
      </w:pPr>
      <w:r>
        <w:rPr>
          <w:noProof/>
        </w:rPr>
        <w:t>Espanja</w:t>
      </w:r>
      <w:r>
        <w:rPr>
          <w:noProof/>
        </w:rPr>
        <w:tab/>
      </w:r>
      <w:r>
        <w:rPr>
          <w:noProof/>
        </w:rPr>
        <w:tab/>
        <w:t xml:space="preserve">senegalinkummeli </w:t>
      </w:r>
      <w:r>
        <w:rPr>
          <w:noProof/>
        </w:rPr>
        <w:tab/>
        <w:t>3 500 tonnia</w:t>
      </w:r>
    </w:p>
    <w:p>
      <w:pPr>
        <w:rPr>
          <w:noProof/>
        </w:rPr>
      </w:pPr>
      <w:r>
        <w:rPr>
          <w:noProof/>
        </w:rPr>
        <w:tab/>
      </w:r>
      <w:r>
        <w:rPr>
          <w:noProof/>
        </w:rPr>
        <w:tab/>
      </w:r>
      <w:r>
        <w:rPr>
          <w:noProof/>
        </w:rPr>
        <w:tab/>
        <w:t>kalmarit</w:t>
      </w:r>
      <w:r>
        <w:rPr>
          <w:noProof/>
        </w:rPr>
        <w:tab/>
      </w:r>
      <w:r>
        <w:rPr>
          <w:noProof/>
        </w:rPr>
        <w:tab/>
        <w:t>1 450 tonnia</w:t>
      </w:r>
    </w:p>
    <w:p>
      <w:pPr>
        <w:rPr>
          <w:noProof/>
        </w:rPr>
      </w:pPr>
      <w:r>
        <w:rPr>
          <w:noProof/>
        </w:rPr>
        <w:tab/>
      </w:r>
      <w:r>
        <w:rPr>
          <w:noProof/>
        </w:rPr>
        <w:tab/>
      </w:r>
      <w:r>
        <w:rPr>
          <w:noProof/>
        </w:rPr>
        <w:tab/>
        <w:t>seepia</w:t>
      </w:r>
      <w:r>
        <w:rPr>
          <w:noProof/>
        </w:rPr>
        <w:tab/>
      </w:r>
      <w:r>
        <w:rPr>
          <w:noProof/>
        </w:rPr>
        <w:tab/>
      </w:r>
      <w:r>
        <w:rPr>
          <w:noProof/>
        </w:rPr>
        <w:tab/>
        <w:t>600 tonnia</w:t>
      </w:r>
    </w:p>
    <w:p>
      <w:pPr>
        <w:rPr>
          <w:noProof/>
        </w:rPr>
      </w:pPr>
      <w:r>
        <w:rPr>
          <w:noProof/>
        </w:rPr>
        <w:t xml:space="preserve">Mauritanian vesillä voi kerrallaan toimia enintään 6 tähän luokkaan kuuluvaa alusta.” </w:t>
      </w:r>
    </w:p>
    <w:p>
      <w:pPr>
        <w:pStyle w:val="Titrearticle"/>
        <w:rPr>
          <w:noProof/>
        </w:rPr>
      </w:pPr>
      <w:r>
        <w:rPr>
          <w:noProof/>
        </w:rPr>
        <w:t>2 artikla</w:t>
      </w:r>
    </w:p>
    <w:p>
      <w:pPr>
        <w:rPr>
          <w:noProof/>
        </w:rPr>
      </w:pPr>
      <w:r>
        <w:rPr>
          <w:noProof/>
        </w:rPr>
        <w:t>Tämä asetus tulee voimaan seuraavana päivänä sen jälkeen, kun se on julkaistu Euroopan unionin virallisessa lehdessä.</w:t>
      </w:r>
    </w:p>
    <w:p>
      <w:pPr>
        <w:pStyle w:val="Applicationdirecte"/>
        <w:rPr>
          <w:noProof/>
        </w:rPr>
      </w:pPr>
      <w:r>
        <w:rPr>
          <w:noProof/>
        </w:rPr>
        <w:t>Tämä asetus on kaikilta osiltaan velvoittava, ja sitä sovelletaan sellaisenaan kaikissa jäsenvaltioissa.</w:t>
      </w:r>
    </w:p>
    <w:p>
      <w:pPr>
        <w:pStyle w:val="Fait"/>
        <w:rPr>
          <w:noProof/>
        </w:rPr>
      </w:pPr>
      <w:r>
        <w:rPr>
          <w:noProof/>
        </w:rPr>
        <w:t>Tehty Brysselissä</w:t>
      </w:r>
    </w:p>
    <w:p>
      <w:pPr>
        <w:pStyle w:val="Institutionquisigne"/>
        <w:rPr>
          <w:noProof/>
        </w:rPr>
      </w:pPr>
      <w:r>
        <w:rPr>
          <w:noProof/>
        </w:rPr>
        <w:tab/>
        <w:t>Neuvoston puolesta</w:t>
      </w:r>
    </w:p>
    <w:p>
      <w:pPr>
        <w:pStyle w:val="Personnequisigne"/>
        <w:rPr>
          <w:noProof/>
        </w:rPr>
      </w:pPr>
      <w:r>
        <w:rPr>
          <w:noProof/>
        </w:rPr>
        <w:tab/>
        <w:t>Puheenjohtaja</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t>SÄÄDÖSEHDOTUKSEEN LIITTYVÄ RAHOITUSSELVITYS</w:t>
      </w:r>
    </w:p>
    <w:p>
      <w:pPr>
        <w:pStyle w:val="ManualHeading1"/>
        <w:rPr>
          <w:noProof/>
        </w:rPr>
      </w:pPr>
      <w:r>
        <w:rPr>
          <w:noProof/>
        </w:rPr>
        <w:t>1.</w:t>
      </w:r>
      <w:r>
        <w:rPr>
          <w:noProof/>
        </w:rPr>
        <w:tab/>
        <w:t xml:space="preserve">PERUSTIEDOT EHDOTUKSESTA/ALOITTEESTA </w:t>
      </w:r>
    </w:p>
    <w:p>
      <w:pPr>
        <w:pStyle w:val="ManualHeading2"/>
        <w:rPr>
          <w:b w:val="0"/>
          <w:noProof/>
        </w:rPr>
      </w:pPr>
      <w:r>
        <w:rPr>
          <w:noProof/>
        </w:rPr>
        <w:tab/>
      </w:r>
      <w:r>
        <w:rPr>
          <w:b w:val="0"/>
          <w:noProof/>
        </w:rPr>
        <w:t>1.1</w:t>
      </w:r>
      <w:r>
        <w:rPr>
          <w:noProof/>
        </w:rPr>
        <w:tab/>
      </w:r>
      <w:r>
        <w:rPr>
          <w:b w:val="0"/>
          <w:noProof/>
        </w:rPr>
        <w:t xml:space="preserve">Ehdotuksen/aloitteen nimi </w:t>
      </w:r>
    </w:p>
    <w:p>
      <w:pPr>
        <w:pStyle w:val="ManualHeading2"/>
        <w:rPr>
          <w:b w:val="0"/>
          <w:noProof/>
        </w:rPr>
      </w:pPr>
      <w:r>
        <w:rPr>
          <w:noProof/>
        </w:rPr>
        <w:tab/>
      </w:r>
      <w:r>
        <w:rPr>
          <w:b w:val="0"/>
          <w:noProof/>
        </w:rPr>
        <w:t>1.2</w:t>
      </w:r>
      <w:r>
        <w:rPr>
          <w:noProof/>
        </w:rPr>
        <w:tab/>
      </w:r>
      <w:r>
        <w:rPr>
          <w:b w:val="0"/>
          <w:noProof/>
        </w:rPr>
        <w:t>Toimintalohkot) toimintoperusteisessa johtamis- ja budjetointijärjestelmässä (ABM/ABB)</w:t>
      </w:r>
    </w:p>
    <w:p>
      <w:pPr>
        <w:pStyle w:val="ManualHeading2"/>
        <w:rPr>
          <w:b w:val="0"/>
          <w:noProof/>
        </w:rPr>
      </w:pPr>
      <w:r>
        <w:rPr>
          <w:noProof/>
        </w:rPr>
        <w:tab/>
      </w:r>
      <w:r>
        <w:rPr>
          <w:b w:val="0"/>
          <w:noProof/>
        </w:rPr>
        <w:t>1.3</w:t>
      </w:r>
      <w:r>
        <w:rPr>
          <w:noProof/>
        </w:rPr>
        <w:tab/>
      </w:r>
      <w:r>
        <w:rPr>
          <w:b w:val="0"/>
          <w:noProof/>
        </w:rPr>
        <w:t xml:space="preserve">Ehdotuksen/aloitteen luonne </w:t>
      </w:r>
    </w:p>
    <w:p>
      <w:pPr>
        <w:pStyle w:val="ManualHeading2"/>
        <w:rPr>
          <w:b w:val="0"/>
          <w:noProof/>
        </w:rPr>
      </w:pPr>
      <w:r>
        <w:rPr>
          <w:noProof/>
        </w:rPr>
        <w:tab/>
      </w:r>
      <w:r>
        <w:rPr>
          <w:b w:val="0"/>
          <w:noProof/>
        </w:rPr>
        <w:t>1.4</w:t>
      </w:r>
      <w:r>
        <w:rPr>
          <w:noProof/>
        </w:rPr>
        <w:tab/>
      </w:r>
      <w:r>
        <w:rPr>
          <w:b w:val="0"/>
          <w:noProof/>
        </w:rPr>
        <w:t xml:space="preserve">Tavoite (Tavoitteet) </w:t>
      </w:r>
    </w:p>
    <w:p>
      <w:pPr>
        <w:pStyle w:val="ManualHeading2"/>
        <w:rPr>
          <w:b w:val="0"/>
          <w:noProof/>
        </w:rPr>
      </w:pPr>
      <w:r>
        <w:rPr>
          <w:noProof/>
        </w:rPr>
        <w:tab/>
      </w:r>
      <w:r>
        <w:rPr>
          <w:b w:val="0"/>
          <w:noProof/>
        </w:rPr>
        <w:t>1.5</w:t>
      </w:r>
      <w:r>
        <w:rPr>
          <w:noProof/>
        </w:rPr>
        <w:tab/>
      </w:r>
      <w:r>
        <w:rPr>
          <w:b w:val="0"/>
          <w:noProof/>
        </w:rPr>
        <w:t xml:space="preserve">Ehdotuksen/aloitteen perustelut </w:t>
      </w:r>
    </w:p>
    <w:p>
      <w:pPr>
        <w:pStyle w:val="ManualHeading2"/>
        <w:rPr>
          <w:b w:val="0"/>
          <w:noProof/>
        </w:rPr>
      </w:pPr>
      <w:r>
        <w:rPr>
          <w:noProof/>
        </w:rPr>
        <w:tab/>
      </w:r>
      <w:r>
        <w:rPr>
          <w:b w:val="0"/>
          <w:noProof/>
        </w:rPr>
        <w:t>1.6</w:t>
      </w:r>
      <w:r>
        <w:rPr>
          <w:noProof/>
        </w:rPr>
        <w:tab/>
      </w:r>
      <w:r>
        <w:rPr>
          <w:b w:val="0"/>
          <w:noProof/>
        </w:rPr>
        <w:t xml:space="preserve">Toiminnan ja sen rahoitusvaikutusten kesto </w:t>
      </w:r>
    </w:p>
    <w:p>
      <w:pPr>
        <w:pStyle w:val="ManualHeading2"/>
        <w:rPr>
          <w:b w:val="0"/>
          <w:noProof/>
        </w:rPr>
      </w:pPr>
      <w:r>
        <w:rPr>
          <w:noProof/>
        </w:rPr>
        <w:tab/>
      </w:r>
      <w:r>
        <w:rPr>
          <w:b w:val="0"/>
          <w:noProof/>
        </w:rPr>
        <w:t>1.7</w:t>
      </w:r>
      <w:r>
        <w:rPr>
          <w:noProof/>
        </w:rPr>
        <w:tab/>
      </w:r>
      <w:r>
        <w:rPr>
          <w:b w:val="0"/>
          <w:noProof/>
        </w:rPr>
        <w:t xml:space="preserve">Hallinnointitapa (Hallinnointitavat) </w:t>
      </w:r>
    </w:p>
    <w:p>
      <w:pPr>
        <w:pStyle w:val="ManualHeading1"/>
        <w:rPr>
          <w:noProof/>
        </w:rPr>
      </w:pPr>
      <w:r>
        <w:rPr>
          <w:noProof/>
        </w:rPr>
        <w:t>2.</w:t>
      </w:r>
      <w:r>
        <w:rPr>
          <w:noProof/>
        </w:rPr>
        <w:tab/>
        <w:t xml:space="preserve">HALLINNOINTI </w:t>
      </w:r>
    </w:p>
    <w:p>
      <w:pPr>
        <w:pStyle w:val="ManualHeading2"/>
        <w:rPr>
          <w:b w:val="0"/>
          <w:noProof/>
        </w:rPr>
      </w:pPr>
      <w:r>
        <w:rPr>
          <w:noProof/>
        </w:rPr>
        <w:tab/>
      </w:r>
      <w:r>
        <w:rPr>
          <w:b w:val="0"/>
          <w:noProof/>
        </w:rPr>
        <w:t>2.1</w:t>
      </w:r>
      <w:r>
        <w:rPr>
          <w:noProof/>
        </w:rPr>
        <w:tab/>
      </w:r>
      <w:r>
        <w:rPr>
          <w:b w:val="0"/>
          <w:noProof/>
        </w:rPr>
        <w:t xml:space="preserve">Seuranta- ja raportointisäännöt </w:t>
      </w:r>
    </w:p>
    <w:p>
      <w:pPr>
        <w:pStyle w:val="ManualHeading2"/>
        <w:rPr>
          <w:b w:val="0"/>
          <w:noProof/>
        </w:rPr>
      </w:pPr>
      <w:r>
        <w:rPr>
          <w:noProof/>
        </w:rPr>
        <w:tab/>
      </w:r>
      <w:r>
        <w:rPr>
          <w:b w:val="0"/>
          <w:noProof/>
        </w:rPr>
        <w:t>2.2</w:t>
      </w:r>
      <w:r>
        <w:rPr>
          <w:noProof/>
        </w:rPr>
        <w:tab/>
      </w:r>
      <w:r>
        <w:rPr>
          <w:b w:val="0"/>
          <w:noProof/>
        </w:rPr>
        <w:t xml:space="preserve">Hallinnointi- ja valvontajärjestelmä </w:t>
      </w:r>
    </w:p>
    <w:p>
      <w:pPr>
        <w:pStyle w:val="ManualHeading2"/>
        <w:rPr>
          <w:b w:val="0"/>
          <w:noProof/>
        </w:rPr>
      </w:pPr>
      <w:r>
        <w:rPr>
          <w:noProof/>
        </w:rPr>
        <w:tab/>
      </w:r>
      <w:r>
        <w:rPr>
          <w:b w:val="0"/>
          <w:noProof/>
        </w:rPr>
        <w:t>2.3</w:t>
      </w:r>
      <w:r>
        <w:rPr>
          <w:noProof/>
        </w:rPr>
        <w:tab/>
      </w:r>
      <w:r>
        <w:rPr>
          <w:b w:val="0"/>
          <w:noProof/>
        </w:rPr>
        <w:t xml:space="preserve">Toimenpiteet petosten ja sääntöjenvastaisuuksien ehkäisemiseksi </w:t>
      </w:r>
    </w:p>
    <w:p>
      <w:pPr>
        <w:pStyle w:val="ManualHeading1"/>
        <w:rPr>
          <w:noProof/>
        </w:rPr>
      </w:pPr>
      <w:r>
        <w:rPr>
          <w:noProof/>
        </w:rPr>
        <w:t>3.</w:t>
      </w:r>
      <w:r>
        <w:rPr>
          <w:noProof/>
        </w:rPr>
        <w:tab/>
        <w:t xml:space="preserve">EHDOTUKSEN/ALOITTEEN ARVIOIDUT RAHOITUSVAIKUTUKSET </w:t>
      </w:r>
    </w:p>
    <w:p>
      <w:pPr>
        <w:pStyle w:val="ManualHeading2"/>
        <w:rPr>
          <w:b w:val="0"/>
          <w:noProof/>
        </w:rPr>
      </w:pPr>
      <w:r>
        <w:rPr>
          <w:noProof/>
        </w:rPr>
        <w:tab/>
      </w:r>
      <w:r>
        <w:rPr>
          <w:b w:val="0"/>
          <w:noProof/>
        </w:rPr>
        <w:t>3.1</w:t>
      </w:r>
      <w:r>
        <w:rPr>
          <w:noProof/>
        </w:rPr>
        <w:tab/>
      </w:r>
      <w:r>
        <w:rPr>
          <w:b w:val="0"/>
          <w:noProof/>
        </w:rPr>
        <w:t xml:space="preserve">Kyseeseen tulevat monivuotisen rahoituskehyksen otsakkeet ja menopuolen budjettikohdat </w:t>
      </w:r>
    </w:p>
    <w:p>
      <w:pPr>
        <w:pStyle w:val="ManualHeading2"/>
        <w:rPr>
          <w:noProof/>
        </w:rPr>
      </w:pPr>
      <w:r>
        <w:rPr>
          <w:noProof/>
        </w:rPr>
        <w:tab/>
      </w:r>
      <w:r>
        <w:rPr>
          <w:b w:val="0"/>
          <w:noProof/>
        </w:rPr>
        <w:t>3.2</w:t>
      </w:r>
      <w:r>
        <w:rPr>
          <w:noProof/>
        </w:rPr>
        <w:tab/>
      </w:r>
      <w:r>
        <w:rPr>
          <w:b w:val="0"/>
          <w:noProof/>
        </w:rPr>
        <w:t>Arvioidut vaikutukset menoihin</w:t>
      </w:r>
      <w:r>
        <w:rPr>
          <w:noProof/>
        </w:rPr>
        <w:t xml:space="preserve"> </w:t>
      </w:r>
    </w:p>
    <w:p>
      <w:pPr>
        <w:pStyle w:val="ManualHeading3"/>
        <w:rPr>
          <w:noProof/>
        </w:rPr>
      </w:pPr>
      <w:r>
        <w:rPr>
          <w:noProof/>
        </w:rPr>
        <w:tab/>
        <w:t>3.2.1</w:t>
      </w:r>
      <w:r>
        <w:rPr>
          <w:noProof/>
        </w:rPr>
        <w:tab/>
        <w:t xml:space="preserve">Yhteenveto arvioiduista vaikutuksista menoihin </w:t>
      </w:r>
    </w:p>
    <w:p>
      <w:pPr>
        <w:pStyle w:val="ManualHeading3"/>
        <w:rPr>
          <w:noProof/>
        </w:rPr>
      </w:pPr>
      <w:r>
        <w:rPr>
          <w:noProof/>
        </w:rPr>
        <w:tab/>
        <w:t>3.2.2</w:t>
      </w:r>
      <w:r>
        <w:rPr>
          <w:noProof/>
        </w:rPr>
        <w:tab/>
        <w:t xml:space="preserve">Arvioidut vaikutukset toimintamäärärahoihin </w:t>
      </w:r>
    </w:p>
    <w:p>
      <w:pPr>
        <w:pStyle w:val="ManualHeading3"/>
        <w:rPr>
          <w:noProof/>
        </w:rPr>
      </w:pPr>
      <w:r>
        <w:rPr>
          <w:noProof/>
        </w:rPr>
        <w:tab/>
        <w:t>3.2.3</w:t>
      </w:r>
      <w:r>
        <w:rPr>
          <w:noProof/>
        </w:rPr>
        <w:tab/>
        <w:t>Arvioidut vaikutukset hallintomäärärahoihin</w:t>
      </w:r>
    </w:p>
    <w:p>
      <w:pPr>
        <w:pStyle w:val="ManualHeading3"/>
        <w:rPr>
          <w:noProof/>
        </w:rPr>
      </w:pPr>
      <w:r>
        <w:rPr>
          <w:noProof/>
        </w:rPr>
        <w:tab/>
        <w:t>3.2.4</w:t>
      </w:r>
      <w:r>
        <w:rPr>
          <w:noProof/>
        </w:rPr>
        <w:tab/>
        <w:t>Yhteensopivuus nykyisen monivuotisen rahoituskehyksen kanssa</w:t>
      </w:r>
    </w:p>
    <w:p>
      <w:pPr>
        <w:pStyle w:val="ManualHeading3"/>
        <w:rPr>
          <w:noProof/>
        </w:rPr>
      </w:pPr>
      <w:r>
        <w:rPr>
          <w:noProof/>
        </w:rPr>
        <w:tab/>
        <w:t>3.2.5</w:t>
      </w:r>
      <w:r>
        <w:rPr>
          <w:noProof/>
        </w:rPr>
        <w:tab/>
        <w:t xml:space="preserve">Ulkopuolisten tahojen rahoitusosuudet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Arvioidut vaikutukset tuloihin</w:t>
      </w:r>
    </w:p>
    <w:p>
      <w:pPr>
        <w:jc w:val="center"/>
        <w:rPr>
          <w:noProof/>
        </w:rPr>
      </w:pPr>
      <w:r>
        <w:rPr>
          <w:b/>
          <w:noProof/>
          <w:u w:val="single"/>
        </w:rPr>
        <w:t>SÄÄDÖSEHDOTUKSEEN LIITTYVÄ RAHOITUSSELVITYS</w:t>
      </w:r>
    </w:p>
    <w:p>
      <w:pPr>
        <w:pStyle w:val="ManualHeading1"/>
        <w:rPr>
          <w:noProof/>
        </w:rPr>
      </w:pPr>
      <w:r>
        <w:t>1.</w:t>
      </w:r>
      <w:r>
        <w:tab/>
      </w:r>
      <w:r>
        <w:rPr>
          <w:noProof/>
        </w:rPr>
        <w:t xml:space="preserve">PERUSTIEDOT EHDOTUKSESTA/ALOITTEESTA </w:t>
      </w:r>
    </w:p>
    <w:p>
      <w:pPr>
        <w:pStyle w:val="ManualHeading2"/>
        <w:rPr>
          <w:noProof/>
        </w:rPr>
      </w:pPr>
      <w:r>
        <w:t>1.1.</w:t>
      </w:r>
      <w:r>
        <w:tab/>
      </w:r>
      <w:r>
        <w:rPr>
          <w:noProof/>
        </w:rPr>
        <w:t xml:space="preserve">Ehdotuksen/aloitteen nimi </w:t>
      </w:r>
    </w:p>
    <w:p>
      <w:pPr>
        <w:pStyle w:val="Text1"/>
        <w:pBdr>
          <w:top w:val="single" w:sz="4" w:space="1" w:color="auto"/>
          <w:left w:val="single" w:sz="4" w:space="4" w:color="auto"/>
          <w:bottom w:val="single" w:sz="4" w:space="1" w:color="auto"/>
          <w:right w:val="single" w:sz="4" w:space="4" w:color="auto"/>
        </w:pBdr>
        <w:rPr>
          <w:noProof/>
        </w:rPr>
      </w:pPr>
      <w:r>
        <w:rPr>
          <w:noProof/>
        </w:rPr>
        <w:t>Ehdotus neuvoston asetukseksi Euroopan unionin ja Mauritanian islamilaisen tasavallan välisessä kalastuskumppanuussopimuksessa määrättyjen kalastusmahdollisuuksien ja taloudellisen korvauksen vahvistamisesta tehdyn pöytäkirjan mukaisten kalastusmahdollisuuksien jakamisesta annetun asetuksen (EU) 2015/2192 muuttamisesta</w:t>
      </w:r>
    </w:p>
    <w:p>
      <w:pPr>
        <w:pStyle w:val="ManualHeading2"/>
        <w:rPr>
          <w:noProof/>
          <w:szCs w:val="24"/>
        </w:rPr>
      </w:pPr>
      <w:r>
        <w:t>1.2.</w:t>
      </w:r>
      <w:r>
        <w:tab/>
      </w:r>
      <w:r>
        <w:rPr>
          <w:noProof/>
        </w:rPr>
        <w:t>Toimintalohkot) toimintoperusteisessa johtamis- ja budjetointijärjestelmässä (ABM/ABB)</w:t>
      </w:r>
      <w:r>
        <w:rPr>
          <w:rStyle w:val="FootnoteReference"/>
          <w:noProof/>
        </w:rPr>
        <w:footnoteReference w:id="7"/>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11. – Kalastus- ja meriasiat</w:t>
      </w:r>
    </w:p>
    <w:p>
      <w:pPr>
        <w:pStyle w:val="Text1"/>
        <w:pBdr>
          <w:top w:val="single" w:sz="4" w:space="1" w:color="auto"/>
          <w:left w:val="single" w:sz="4" w:space="4" w:color="auto"/>
          <w:bottom w:val="single" w:sz="4" w:space="1" w:color="auto"/>
          <w:right w:val="single" w:sz="4" w:space="4" w:color="auto"/>
        </w:pBdr>
        <w:rPr>
          <w:noProof/>
        </w:rPr>
      </w:pPr>
      <w:r>
        <w:rPr>
          <w:noProof/>
        </w:rPr>
        <w:t>11.03 - Pakolliset rahoitusosuudet alueellisille kalastusjärjestöille ja muille kansainvälisille järjestöille sekä kestävää kalastusta koskeviin sopimuksiin</w:t>
      </w:r>
    </w:p>
    <w:p>
      <w:pPr>
        <w:pStyle w:val="ManualHeading2"/>
        <w:rPr>
          <w:bCs/>
          <w:noProof/>
          <w:szCs w:val="24"/>
        </w:rPr>
      </w:pPr>
      <w:r>
        <w:t>1.3.</w:t>
      </w:r>
      <w:r>
        <w:tab/>
      </w:r>
      <w:r>
        <w:rPr>
          <w:noProof/>
        </w:rPr>
        <w:t xml:space="preserve">Ehdotuksen/aloitteen luonne </w:t>
      </w:r>
    </w:p>
    <w:p>
      <w:pPr>
        <w:pStyle w:val="Text1"/>
        <w:rPr>
          <w:b/>
          <w:noProof/>
          <w:sz w:val="22"/>
        </w:rPr>
      </w:pPr>
      <w:r>
        <w:rPr>
          <w:noProof/>
          <w:sz w:val="22"/>
        </w:rPr>
        <w:sym w:font="Wingdings" w:char="F0A8"/>
      </w:r>
      <w:r>
        <w:rPr>
          <w:b/>
          <w:i/>
          <w:noProof/>
          <w:sz w:val="22"/>
        </w:rPr>
        <w:t xml:space="preserve"> </w:t>
      </w:r>
      <w:r>
        <w:rPr>
          <w:noProof/>
        </w:rPr>
        <w:t xml:space="preserve">Ehdotus/aloite liittyy </w:t>
      </w:r>
      <w:r>
        <w:rPr>
          <w:b/>
          <w:noProof/>
        </w:rPr>
        <w:t>uuteen toimeen</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Ehdotus/aloite liittyy </w:t>
      </w:r>
      <w:r>
        <w:rPr>
          <w:b/>
          <w:noProof/>
        </w:rPr>
        <w:t>uuteen toimeen, joka perustuu pilottihankkeeseen tai valmistelutoimeen</w:t>
      </w:r>
      <w:r>
        <w:rPr>
          <w:rStyle w:val="FootnoteReference"/>
          <w:b/>
          <w:noProof/>
        </w:rPr>
        <w:footnoteReference w:id="8"/>
      </w:r>
      <w:r>
        <w:rPr>
          <w:noProof/>
          <w:sz w:val="22"/>
        </w:rPr>
        <w:t xml:space="preserve"> </w:t>
      </w:r>
    </w:p>
    <w:p>
      <w:pPr>
        <w:pStyle w:val="Text1"/>
        <w:rPr>
          <w:noProof/>
          <w:sz w:val="22"/>
        </w:rPr>
      </w:pPr>
      <w:r>
        <w:rPr>
          <w:b/>
          <w:noProof/>
          <w:sz w:val="22"/>
        </w:rPr>
        <w:t>X</w:t>
      </w:r>
      <w:r>
        <w:rPr>
          <w:i/>
          <w:noProof/>
          <w:sz w:val="22"/>
        </w:rPr>
        <w:t xml:space="preserve"> </w:t>
      </w:r>
      <w:r>
        <w:rPr>
          <w:noProof/>
        </w:rPr>
        <w:t xml:space="preserve">Ehdotus/aloite liittyy </w:t>
      </w:r>
      <w:r>
        <w:rPr>
          <w:b/>
          <w:noProof/>
        </w:rPr>
        <w:t>käynnissä olevan toimen jatkamiseen</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Ehdotus/aloite liittyy </w:t>
      </w:r>
      <w:r>
        <w:rPr>
          <w:b/>
          <w:noProof/>
        </w:rPr>
        <w:t>toimeen, joka on suunnattu uudelleen</w:t>
      </w:r>
      <w:r>
        <w:rPr>
          <w:noProof/>
        </w:rPr>
        <w:t xml:space="preserve"> </w:t>
      </w:r>
    </w:p>
    <w:p>
      <w:pPr>
        <w:pStyle w:val="ManualHeading2"/>
        <w:rPr>
          <w:bCs/>
          <w:noProof/>
          <w:szCs w:val="24"/>
        </w:rPr>
      </w:pPr>
      <w:r>
        <w:t>1.4.</w:t>
      </w:r>
      <w:r>
        <w:tab/>
      </w:r>
      <w:r>
        <w:rPr>
          <w:noProof/>
        </w:rPr>
        <w:t>Tavoite (Tavoitteet)</w:t>
      </w:r>
    </w:p>
    <w:p>
      <w:pPr>
        <w:pStyle w:val="ManualHeading3"/>
        <w:rPr>
          <w:noProof/>
        </w:rPr>
      </w:pPr>
      <w:r>
        <w:t>1.4.1.</w:t>
      </w:r>
      <w:r>
        <w:tab/>
      </w:r>
      <w:r>
        <w:rPr>
          <w:noProof/>
        </w:rPr>
        <w:t xml:space="preserve">Komission monivuotinen strateginen tavoite (monivuotiset strategiset tavoitteet), jonka (joiden) saavuttamista ehdotus/aloite tukee </w:t>
      </w:r>
    </w:p>
    <w:p>
      <w:pPr>
        <w:pStyle w:val="Text1"/>
        <w:pBdr>
          <w:top w:val="single" w:sz="4" w:space="1" w:color="auto"/>
          <w:left w:val="single" w:sz="4" w:space="4" w:color="auto"/>
          <w:bottom w:val="single" w:sz="4" w:space="1" w:color="auto"/>
          <w:right w:val="single" w:sz="4" w:space="4" w:color="auto"/>
        </w:pBdr>
        <w:rPr>
          <w:noProof/>
        </w:rPr>
      </w:pPr>
      <w:r>
        <w:rPr>
          <w:noProof/>
        </w:rPr>
        <w:t>Kestävää kalastusta koskevista sopimuksista neuvotteleminen ja niiden tekeminen kolmansien maiden kanssa ovat linjassa sen yleistavoitteen kanssa, jolla pyritään sallimaan EU:n kalastusalusten pääsy kolmansien maiden talousvyöhykkeillä sijaitseville kalastusalueille ja kehittämään kyseisten maiden kanssa kumppanuutta tavoitteena parantaa kalavarojen kestävää hyödyntämistä EU:n vesien ulkopuolella.</w:t>
      </w:r>
    </w:p>
    <w:p>
      <w:pPr>
        <w:pStyle w:val="Text1"/>
        <w:pBdr>
          <w:top w:val="single" w:sz="4" w:space="1" w:color="auto"/>
          <w:left w:val="single" w:sz="4" w:space="4" w:color="auto"/>
          <w:bottom w:val="single" w:sz="4" w:space="1" w:color="auto"/>
          <w:right w:val="single" w:sz="4" w:space="4" w:color="auto"/>
        </w:pBdr>
        <w:rPr>
          <w:noProof/>
        </w:rPr>
      </w:pPr>
      <w:r>
        <w:rPr>
          <w:noProof/>
        </w:rPr>
        <w:t>Kestävää kalastusta koskevilla kumppanuussopimuksilla varmistetaan myös johdonmukaisuus yhteisen kalastuspolitiikan periaatteiden ja muuhun EU:n politiikkaan sisältyvien sitoumusten välillä (kolmansien maiden kalavarojen kestävä hyödyntäminen, laittoman, ilmoittamattoman ja sääntelemättömän eli LIS-kalastuksen torjunta, kumppanimaiden integroituminen maailmantalouteen ja kalastuksenhoidon parantaminen poliittisella ja taloudellisella tasolla).</w:t>
      </w:r>
    </w:p>
    <w:p>
      <w:pPr>
        <w:pStyle w:val="ManualHeading3"/>
        <w:rPr>
          <w:bCs/>
          <w:noProof/>
          <w:szCs w:val="24"/>
        </w:rPr>
      </w:pPr>
      <w:r>
        <w:t>1.4.2.</w:t>
      </w:r>
      <w:r>
        <w:tab/>
      </w:r>
      <w:r>
        <w:rPr>
          <w:noProof/>
        </w:rPr>
        <w:t xml:space="preserve">Erityistavoite (erityistavoitteet) sekä toiminto (toiminnot) toimintoperusteisessa johtamis- ja budjetointijärjestelmässä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Erityistavoitteet</w:t>
      </w:r>
    </w:p>
    <w:p>
      <w:pPr>
        <w:pStyle w:val="Text1"/>
        <w:pBdr>
          <w:top w:val="single" w:sz="4" w:space="1" w:color="auto"/>
          <w:left w:val="single" w:sz="4" w:space="4" w:color="auto"/>
          <w:bottom w:val="single" w:sz="4" w:space="1" w:color="auto"/>
          <w:right w:val="single" w:sz="4" w:space="4" w:color="auto"/>
        </w:pBdr>
        <w:rPr>
          <w:noProof/>
        </w:rPr>
      </w:pPr>
      <w:r>
        <w:rPr>
          <w:noProof/>
        </w:rPr>
        <w:t>Kestävän kalastuksen edistäminen Euroopan unionin vesien ulkopuolella, EU:n kalastuksen ylläpitäminen kaukaisilla vesillä sekä EU:n kalastusalan ja kuluttajien etujen suojeleminen neuvottelemalla ja tekemällä rannikkovaltioiden kanssa kestävää kalastusta koskevia kumppanuussopimuksia, jotka ovat linjassa muun EU:n politiikan kanssa.</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Toiminto (toiminnot) toimintoperusteisessa johtamis- ja budjetointijärjestelmässä</w:t>
      </w:r>
    </w:p>
    <w:p>
      <w:pPr>
        <w:pStyle w:val="Text1"/>
        <w:pBdr>
          <w:top w:val="single" w:sz="4" w:space="1" w:color="auto"/>
          <w:left w:val="single" w:sz="4" w:space="4" w:color="auto"/>
          <w:bottom w:val="single" w:sz="4" w:space="1" w:color="auto"/>
          <w:right w:val="single" w:sz="4" w:space="4" w:color="auto"/>
        </w:pBdr>
        <w:rPr>
          <w:noProof/>
        </w:rPr>
      </w:pPr>
      <w:r>
        <w:rPr>
          <w:noProof/>
        </w:rPr>
        <w:t>Meri- ja kalastusasiat, unionin kalastusalusten kolmansien maiden vesillä harjoittamaa kalastustoimintaa koskevan hallintokehyksen laatiminen (kestävän kalastuksen sopimukset) (budjettikohta 11.0301).</w:t>
      </w:r>
    </w:p>
    <w:p>
      <w:pPr>
        <w:pStyle w:val="ManualHeading3"/>
        <w:rPr>
          <w:bCs/>
          <w:noProof/>
          <w:szCs w:val="24"/>
        </w:rPr>
      </w:pPr>
      <w:r>
        <w:rPr>
          <w:noProof/>
        </w:rPr>
        <w:br w:type="page"/>
      </w:r>
      <w:r>
        <w:t>1.4.3.</w:t>
      </w:r>
      <w:r>
        <w:tab/>
      </w:r>
      <w:r>
        <w:rPr>
          <w:noProof/>
        </w:rPr>
        <w:t>Odotettavissa olevat tulokset ja vaikutukset</w:t>
      </w:r>
    </w:p>
    <w:p>
      <w:pPr>
        <w:pStyle w:val="Text1"/>
        <w:rPr>
          <w:i/>
          <w:noProof/>
          <w:sz w:val="20"/>
        </w:rPr>
      </w:pPr>
      <w:r>
        <w:rPr>
          <w:i/>
          <w:noProof/>
          <w:sz w:val="20"/>
        </w:rPr>
        <w:t>Selvitys siitä, miten ehdotuksella/aloitteella on tarkoitus vaikuttaa edunsaajien/kohderyhmien tilanteeseen</w:t>
      </w:r>
    </w:p>
    <w:p>
      <w:pPr>
        <w:pStyle w:val="Text1"/>
        <w:pBdr>
          <w:top w:val="single" w:sz="4" w:space="1" w:color="auto"/>
          <w:left w:val="single" w:sz="4" w:space="4" w:color="auto"/>
          <w:bottom w:val="single" w:sz="4" w:space="1" w:color="auto"/>
          <w:right w:val="single" w:sz="4" w:space="4" w:color="auto"/>
        </w:pBdr>
        <w:rPr>
          <w:noProof/>
        </w:rPr>
      </w:pPr>
      <w:r>
        <w:rPr>
          <w:noProof/>
        </w:rPr>
        <w:t>Uusien kalastusmahdollisuuksien jakaminen EU:n pakastustroolareille, jotka pyytävät senegalinkummelia ja eräitä pääjalkaisia (kalmareita ja seepiaa) Mauritanian islamilaisen tasavallan kanssa tehtyyn kalastuskumppanuussopimukseen liittyvän, vuosia 2015–2019 koskevan pöytäkirjan mukaisesti, auttaa säilyttämään EU:n kalastusalusten kalastusmahdollisuudet Mauritanian kalastusalueella ja laajentamaan niitä.</w:t>
      </w:r>
    </w:p>
    <w:p>
      <w:pPr>
        <w:pStyle w:val="Text1"/>
        <w:pBdr>
          <w:top w:val="single" w:sz="4" w:space="1" w:color="auto"/>
          <w:left w:val="single" w:sz="4" w:space="4" w:color="auto"/>
          <w:bottom w:val="single" w:sz="4" w:space="1" w:color="auto"/>
          <w:right w:val="single" w:sz="4" w:space="4" w:color="auto"/>
        </w:pBdr>
        <w:rPr>
          <w:noProof/>
        </w:rPr>
      </w:pPr>
      <w:r>
        <w:rPr>
          <w:noProof/>
        </w:rPr>
        <w:t>Vuosittainen 2 500 000 euron suuruinen ylimääräinen taloudellinen korvaus, jonka unioni maksaa näistä uusista kalastusmahdollisuuksista, saattaa parantaa kalavarojen hoitoa ja säilyttämistä, koska Mauritania voi päättää sen käyttämisestä oman kalastusalan kestävään kehitykseen liittyvän kansallisen alakohtaisen strategiansa täytäntöönpanoon pöytäkirjan mukaisesti saamansa kalastusalansa kehittämiseen tarkoitetun taloudellisen korvauksen lisäksi (alakohtainen tuki).</w:t>
      </w:r>
    </w:p>
    <w:p>
      <w:pPr>
        <w:pStyle w:val="ManualHeading3"/>
        <w:rPr>
          <w:bCs/>
          <w:noProof/>
          <w:szCs w:val="24"/>
        </w:rPr>
      </w:pPr>
      <w:r>
        <w:t>1.4.4.</w:t>
      </w:r>
      <w:r>
        <w:tab/>
      </w:r>
      <w:r>
        <w:rPr>
          <w:noProof/>
        </w:rPr>
        <w:t xml:space="preserve">Tulos- ja vaikutusindikaattorit </w:t>
      </w:r>
    </w:p>
    <w:p>
      <w:pPr>
        <w:pStyle w:val="Text1"/>
        <w:rPr>
          <w:i/>
          <w:noProof/>
          <w:sz w:val="20"/>
        </w:rPr>
      </w:pPr>
      <w:r>
        <w:rPr>
          <w:i/>
          <w:noProof/>
          <w:sz w:val="20"/>
        </w:rPr>
        <w:t>Selvitys siitä, millaisin indikaattorein ehdotuksen/aloitteen toteuttamista seurataan</w:t>
      </w:r>
    </w:p>
    <w:p>
      <w:pPr>
        <w:pStyle w:val="Text1"/>
        <w:pBdr>
          <w:top w:val="single" w:sz="4" w:space="1" w:color="auto"/>
          <w:left w:val="single" w:sz="4" w:space="4" w:color="auto"/>
          <w:bottom w:val="single" w:sz="4" w:space="1" w:color="auto"/>
          <w:right w:val="single" w:sz="4" w:space="4" w:color="auto"/>
        </w:pBdr>
        <w:rPr>
          <w:noProof/>
        </w:rPr>
      </w:pPr>
      <w:r>
        <w:rPr>
          <w:noProof/>
        </w:rPr>
        <w:t>Kalastusmahdollisuuksien käyttöaste (käytettyjen kalastuslupien vuotuinen prosenttiosuus suhteessa pöytäkirjan tarjoamiin mahdollisuuksiin).</w:t>
      </w:r>
    </w:p>
    <w:p>
      <w:pPr>
        <w:pStyle w:val="Text1"/>
        <w:pBdr>
          <w:top w:val="single" w:sz="4" w:space="1" w:color="auto"/>
          <w:left w:val="single" w:sz="4" w:space="4" w:color="auto"/>
          <w:bottom w:val="single" w:sz="4" w:space="1" w:color="auto"/>
          <w:right w:val="single" w:sz="4" w:space="4" w:color="auto"/>
        </w:pBdr>
        <w:rPr>
          <w:noProof/>
        </w:rPr>
      </w:pPr>
      <w:r>
        <w:rPr>
          <w:noProof/>
        </w:rPr>
        <w:t>Saaliita ja sopimuksen kaupallista arvoa koskevien tietojen kerääminen ja analysointi.</w:t>
      </w:r>
    </w:p>
    <w:p>
      <w:pPr>
        <w:pStyle w:val="Text1"/>
        <w:pBdr>
          <w:top w:val="single" w:sz="4" w:space="1" w:color="auto"/>
          <w:left w:val="single" w:sz="4" w:space="4" w:color="auto"/>
          <w:bottom w:val="single" w:sz="4" w:space="1" w:color="auto"/>
          <w:right w:val="single" w:sz="4" w:space="4" w:color="auto"/>
        </w:pBdr>
        <w:rPr>
          <w:noProof/>
        </w:rPr>
      </w:pPr>
      <w:r>
        <w:rPr>
          <w:noProof/>
        </w:rPr>
        <w:t>Vaikutukset työllisyyteen ja lisäarvoon EU:ssa ja EU:n markkinoiden vakauttamiseen (yhdessä muiden kestävää kalastusta koskevien kumppanuussopimusten kanssa).</w:t>
      </w:r>
    </w:p>
    <w:p>
      <w:pPr>
        <w:pStyle w:val="Text1"/>
        <w:pBdr>
          <w:top w:val="single" w:sz="4" w:space="1" w:color="auto"/>
          <w:left w:val="single" w:sz="4" w:space="4" w:color="auto"/>
          <w:bottom w:val="single" w:sz="4" w:space="1" w:color="auto"/>
          <w:right w:val="single" w:sz="4" w:space="4" w:color="auto"/>
        </w:pBdr>
        <w:rPr>
          <w:noProof/>
        </w:rPr>
      </w:pPr>
      <w:r>
        <w:rPr>
          <w:noProof/>
        </w:rPr>
        <w:t>Teknisten kokousten ja sekakomitean kokousten määrä.</w:t>
      </w:r>
    </w:p>
    <w:p>
      <w:pPr>
        <w:pStyle w:val="ManualHeading2"/>
        <w:rPr>
          <w:bCs/>
          <w:noProof/>
          <w:szCs w:val="24"/>
        </w:rPr>
      </w:pPr>
      <w:r>
        <w:t>1.5.</w:t>
      </w:r>
      <w:r>
        <w:tab/>
      </w:r>
      <w:r>
        <w:rPr>
          <w:noProof/>
        </w:rPr>
        <w:t xml:space="preserve">Ehdotuksen/aloitteen perustelut </w:t>
      </w:r>
    </w:p>
    <w:p>
      <w:pPr>
        <w:pStyle w:val="ManualHeading3"/>
        <w:rPr>
          <w:noProof/>
        </w:rPr>
      </w:pPr>
      <w:r>
        <w:t>1.5.1.</w:t>
      </w:r>
      <w:r>
        <w:tab/>
      </w:r>
      <w:r>
        <w:rPr>
          <w:noProof/>
        </w:rPr>
        <w:t xml:space="preserve">Tarpeet, joihin ehdotuksella/aloitteella vastataan lyhyellä tai pitkällä aikavälillä </w:t>
      </w:r>
    </w:p>
    <w:p>
      <w:pPr>
        <w:pStyle w:val="Text1"/>
        <w:pBdr>
          <w:top w:val="single" w:sz="4" w:space="1" w:color="auto"/>
          <w:left w:val="single" w:sz="4" w:space="4" w:color="auto"/>
          <w:bottom w:val="single" w:sz="4" w:space="1" w:color="auto"/>
          <w:right w:val="single" w:sz="4" w:space="4" w:color="auto"/>
        </w:pBdr>
        <w:rPr>
          <w:noProof/>
        </w:rPr>
      </w:pPr>
      <w:r>
        <w:rPr>
          <w:noProof/>
        </w:rPr>
        <w:t xml:space="preserve">Mauritanian kanssa tehtyyn kalastuskumppanuussopimukseen liittyvässä vuosia 2015–2019 koskevassa pöytäkirjassa määrätään Euroopan unionin laivaston Mauritanian kalastusvyöhykkeellä harjoittaman kalastustoiminnan puitteista ja edistetään yhteistyötä Mauritanian kanssa kestävän kalastustoiminnan kehittämiseksi. </w:t>
      </w:r>
    </w:p>
    <w:p>
      <w:pPr>
        <w:pStyle w:val="Text1"/>
        <w:pBdr>
          <w:top w:val="single" w:sz="4" w:space="1" w:color="auto"/>
          <w:left w:val="single" w:sz="4" w:space="4" w:color="auto"/>
          <w:bottom w:val="single" w:sz="4" w:space="1" w:color="auto"/>
          <w:right w:val="single" w:sz="4" w:space="4" w:color="auto"/>
        </w:pBdr>
        <w:rPr>
          <w:noProof/>
        </w:rPr>
      </w:pPr>
      <w:r>
        <w:rPr>
          <w:noProof/>
        </w:rPr>
        <w:t>Pöytäkirjassa määrätään, että osapuolet voivat sopia käytettävissä olevien tieteellisten lausuntojen perusteella sekakomiteassa kalastusmahdollisuuksien jakamisesta sellaisia pohjalajeja pyytäville pakastustroolareille, joiden osalta on todettu ylijäämää.</w:t>
      </w:r>
    </w:p>
    <w:p>
      <w:pPr>
        <w:pStyle w:val="Text1"/>
        <w:pBdr>
          <w:top w:val="single" w:sz="4" w:space="1" w:color="auto"/>
          <w:left w:val="single" w:sz="4" w:space="4" w:color="auto"/>
          <w:bottom w:val="single" w:sz="4" w:space="1" w:color="auto"/>
          <w:right w:val="single" w:sz="4" w:space="4" w:color="auto"/>
        </w:pBdr>
        <w:rPr>
          <w:noProof/>
        </w:rPr>
      </w:pPr>
      <w:r>
        <w:rPr>
          <w:noProof/>
        </w:rPr>
        <w:t>Sopimuksen 10 artiklalla perustettu sekakomitea päätti 15. ja 16. marraskuuta 2016 Nouakchottissa pidetyssä kokouksessaan myöntää käytettävissä olevan ylijäämän rajoissa uusia kalastusmahdollisuuksia pakastustroolareille, jotka pyytävät Mauritanian vesillä pääasiallisena kohdelajina senegalinkummelia ja toissijaisina kohdelajeina kalmaria ja seepiaa.</w:t>
      </w:r>
    </w:p>
    <w:p>
      <w:pPr>
        <w:pStyle w:val="Text1"/>
        <w:pBdr>
          <w:top w:val="single" w:sz="4" w:space="1" w:color="auto"/>
          <w:left w:val="single" w:sz="4" w:space="4" w:color="auto"/>
          <w:bottom w:val="single" w:sz="4" w:space="1" w:color="auto"/>
          <w:right w:val="single" w:sz="4" w:space="4" w:color="auto"/>
        </w:pBdr>
        <w:rPr>
          <w:noProof/>
        </w:rPr>
      </w:pPr>
      <w:r>
        <w:rPr>
          <w:noProof/>
        </w:rPr>
        <w:t>Tämä päätös mahdollistaa niiden EU:n alusten kalastustoiminnan jatkamisen Mauritaniassa, jotka eivät ole voineet kalastaa Mauritanian vesillä sen jälkeen, kun pääjalkaiset jätettiin pois vuosien 2012–2014 ja 2015–2019 pöytäkirjojen soveltamisalasta.</w:t>
      </w:r>
    </w:p>
    <w:p>
      <w:pPr>
        <w:pStyle w:val="ManualHeading3"/>
        <w:rPr>
          <w:bCs/>
          <w:noProof/>
          <w:szCs w:val="24"/>
        </w:rPr>
      </w:pPr>
      <w:r>
        <w:t>1.5.2.</w:t>
      </w:r>
      <w:r>
        <w:tab/>
      </w:r>
      <w:r>
        <w:rPr>
          <w:noProof/>
        </w:rPr>
        <w:t>EU:n osallistumisesta saatava lisäarvo</w:t>
      </w:r>
    </w:p>
    <w:p>
      <w:pPr>
        <w:pStyle w:val="Text1"/>
        <w:pBdr>
          <w:top w:val="single" w:sz="4" w:space="1" w:color="auto"/>
          <w:left w:val="single" w:sz="4" w:space="4" w:color="auto"/>
          <w:bottom w:val="single" w:sz="4" w:space="1" w:color="auto"/>
          <w:right w:val="single" w:sz="4" w:space="4" w:color="auto"/>
        </w:pBdr>
        <w:rPr>
          <w:noProof/>
        </w:rPr>
      </w:pPr>
      <w:r>
        <w:rPr>
          <w:noProof/>
        </w:rPr>
        <w:t>Kalastustoiminnan kestävyyden varmistamiseksi Mauritanian kanssa tehtyyn kalastuskumppanuussopimukseen sisältyvässä yksinoikeuslausekkeessa (6 artikla) edellytetään, että EU:n alukset eivät saa kalastaa Mauritaniassa (edes yksityisten sopimusten nojalla), ellei niillä ole kyseisen sopimuksen mukaisesti myönnettyä kalastuslupaa.</w:t>
      </w:r>
    </w:p>
    <w:p>
      <w:pPr>
        <w:pStyle w:val="ManualHeading3"/>
        <w:rPr>
          <w:bCs/>
          <w:noProof/>
          <w:szCs w:val="24"/>
        </w:rPr>
      </w:pPr>
      <w:r>
        <w:t>1.5.3.</w:t>
      </w:r>
      <w:r>
        <w:tab/>
      </w:r>
      <w:r>
        <w:rPr>
          <w:noProof/>
        </w:rPr>
        <w:t>Vastaavista toimista saadut kokemukset</w:t>
      </w:r>
    </w:p>
    <w:p>
      <w:pPr>
        <w:pStyle w:val="Text1"/>
        <w:pBdr>
          <w:top w:val="single" w:sz="4" w:space="1" w:color="auto"/>
          <w:left w:val="single" w:sz="4" w:space="4" w:color="auto"/>
          <w:bottom w:val="single" w:sz="4" w:space="1" w:color="auto"/>
          <w:right w:val="single" w:sz="4" w:space="4" w:color="auto"/>
        </w:pBdr>
        <w:rPr>
          <w:noProof/>
        </w:rPr>
      </w:pPr>
      <w:r>
        <w:rPr>
          <w:noProof/>
        </w:rPr>
        <w:t>Osapuolet ovat käytettävissä olevien tieteellisten lausuntojen ja arviointien perusteella vahvistaneet uuden kalastusluokan 2 a osalta sallitun saaliin määräksi 3 5000 tonnia senegalinkummelia, 1 450 tonnia kalmareita ja 600 tonnia seepiaa. Mauritanian vesillä voi kerrallaan toimia enintään 6 tähän luokkaan kuuluvaa alusta.</w:t>
      </w:r>
    </w:p>
    <w:p>
      <w:pPr>
        <w:pStyle w:val="ManualHeading3"/>
        <w:rPr>
          <w:bCs/>
          <w:noProof/>
          <w:szCs w:val="24"/>
        </w:rPr>
      </w:pPr>
      <w:r>
        <w:t>1.5.4.</w:t>
      </w:r>
      <w:r>
        <w:tab/>
      </w:r>
      <w:r>
        <w:rPr>
          <w:noProof/>
        </w:rPr>
        <w:t>Yhteensopivuus muiden kyseeseen tulevien välineiden kanssa ja mahdolliset synergiaedut</w:t>
      </w:r>
    </w:p>
    <w:p>
      <w:pPr>
        <w:pStyle w:val="Text1"/>
        <w:pBdr>
          <w:top w:val="single" w:sz="4" w:space="1" w:color="auto"/>
          <w:left w:val="single" w:sz="4" w:space="4" w:color="auto"/>
          <w:bottom w:val="single" w:sz="4" w:space="1" w:color="auto"/>
          <w:right w:val="single" w:sz="4" w:space="4" w:color="auto"/>
        </w:pBdr>
        <w:rPr>
          <w:noProof/>
        </w:rPr>
      </w:pPr>
      <w:r>
        <w:rPr>
          <w:noProof/>
        </w:rPr>
        <w:t>Ei sovelleta.</w:t>
      </w:r>
    </w:p>
    <w:p>
      <w:pPr>
        <w:pStyle w:val="ManualHeading2"/>
        <w:rPr>
          <w:bCs/>
          <w:noProof/>
          <w:szCs w:val="24"/>
        </w:rPr>
      </w:pPr>
      <w:r>
        <w:rPr>
          <w:noProof/>
        </w:rPr>
        <w:br w:type="page"/>
      </w:r>
      <w:r>
        <w:t>1.6.</w:t>
      </w:r>
      <w:r>
        <w:tab/>
      </w:r>
      <w:r>
        <w:rPr>
          <w:noProof/>
        </w:rPr>
        <w:t xml:space="preserve">Toiminnan ja sen rahoitusvaikutusten kesto </w:t>
      </w:r>
    </w:p>
    <w:p>
      <w:pPr>
        <w:pStyle w:val="Text1"/>
        <w:rPr>
          <w:noProof/>
        </w:rPr>
      </w:pPr>
      <w:r>
        <w:rPr>
          <w:b/>
          <w:noProof/>
        </w:rPr>
        <w:t>X</w:t>
      </w:r>
      <w:r>
        <w:rPr>
          <w:noProof/>
        </w:rPr>
        <w:t xml:space="preserve"> Ehdotuksen/aloitteen mukaisen toiminnan </w:t>
      </w:r>
      <w:r>
        <w:rPr>
          <w:b/>
          <w:noProof/>
        </w:rPr>
        <w:t xml:space="preserve">kesto on rajattu </w:t>
      </w:r>
    </w:p>
    <w:p>
      <w:pPr>
        <w:pStyle w:val="ListDash2"/>
        <w:rPr>
          <w:noProof/>
        </w:rPr>
      </w:pPr>
      <w:r>
        <w:rPr>
          <w:b/>
          <w:noProof/>
        </w:rPr>
        <w:t>X</w:t>
      </w:r>
      <w:r>
        <w:rPr>
          <w:noProof/>
        </w:rPr>
        <w:tab/>
        <w:t>Ehdotuksen/aloitteen mukainen toiminta alkaa vuonna 2017 ja päättyy vuonna 2019.</w:t>
      </w:r>
    </w:p>
    <w:p>
      <w:pPr>
        <w:pStyle w:val="ListDash2"/>
        <w:rPr>
          <w:noProof/>
        </w:rPr>
      </w:pPr>
      <w:r>
        <w:rPr>
          <w:b/>
          <w:noProof/>
        </w:rPr>
        <w:t>X</w:t>
      </w:r>
      <w:r>
        <w:rPr>
          <w:noProof/>
        </w:rPr>
        <w:tab/>
        <w:t>Rahoitusvaikutukset alkavat vuonna 2017 ja päättyvät vuonna 2019.</w:t>
      </w:r>
    </w:p>
    <w:p>
      <w:pPr>
        <w:pStyle w:val="Text1"/>
        <w:rPr>
          <w:noProof/>
        </w:rPr>
      </w:pPr>
      <w:r>
        <w:rPr>
          <w:noProof/>
        </w:rPr>
        <w:sym w:font="Wingdings" w:char="F0A8"/>
      </w:r>
      <w:r>
        <w:rPr>
          <w:noProof/>
        </w:rPr>
        <w:t xml:space="preserve">Ehdotuksen/aloitteen mukaisen toiminnan </w:t>
      </w:r>
      <w:r>
        <w:rPr>
          <w:b/>
          <w:noProof/>
        </w:rPr>
        <w:t>kestoa ei ole rajattu</w:t>
      </w:r>
    </w:p>
    <w:p>
      <w:pPr>
        <w:pStyle w:val="ListDash1"/>
        <w:rPr>
          <w:noProof/>
        </w:rPr>
      </w:pPr>
      <w:r>
        <w:rPr>
          <w:noProof/>
        </w:rPr>
        <w:t>Käynnistysvaihe alkaa vuonna VVVV ja päättyy vuonna VVVV,</w:t>
      </w:r>
    </w:p>
    <w:p>
      <w:pPr>
        <w:pStyle w:val="ListDash1"/>
        <w:rPr>
          <w:noProof/>
        </w:rPr>
      </w:pPr>
      <w:r>
        <w:rPr>
          <w:noProof/>
        </w:rPr>
        <w:t>minkä jälkeen toteutus täydessä laajuudessa.</w:t>
      </w:r>
    </w:p>
    <w:p>
      <w:pPr>
        <w:pStyle w:val="ManualHeading2"/>
        <w:rPr>
          <w:bCs/>
          <w:noProof/>
          <w:szCs w:val="24"/>
        </w:rPr>
      </w:pPr>
      <w:r>
        <w:t>1.7.</w:t>
      </w:r>
      <w:r>
        <w:tab/>
      </w:r>
      <w:r>
        <w:rPr>
          <w:noProof/>
        </w:rPr>
        <w:t>Hallinnointitapa (Hallinnointitavat)</w:t>
      </w:r>
      <w:r>
        <w:rPr>
          <w:rStyle w:val="FootnoteReference"/>
          <w:noProof/>
        </w:rPr>
        <w:footnoteReference w:id="9"/>
      </w:r>
      <w:r>
        <w:rPr>
          <w:rStyle w:val="FootnoteReference"/>
          <w:noProof/>
        </w:rPr>
        <w:t xml:space="preserve"> </w:t>
      </w:r>
    </w:p>
    <w:p>
      <w:pPr>
        <w:pStyle w:val="Text1"/>
        <w:rPr>
          <w:noProof/>
        </w:rPr>
      </w:pPr>
      <w:r>
        <w:rPr>
          <w:b/>
          <w:noProof/>
        </w:rPr>
        <w:t>X</w:t>
      </w:r>
      <w:r>
        <w:rPr>
          <w:noProof/>
        </w:rPr>
        <w:t xml:space="preserve"> </w:t>
      </w:r>
      <w:r>
        <w:rPr>
          <w:b/>
          <w:noProof/>
        </w:rPr>
        <w:t>Suora hallinnointi</w:t>
      </w:r>
      <w:r>
        <w:rPr>
          <w:noProof/>
        </w:rPr>
        <w:t>, jonka komissio toteuttaa käyttämällä</w:t>
      </w:r>
    </w:p>
    <w:p>
      <w:pPr>
        <w:pStyle w:val="ListDash2"/>
        <w:rPr>
          <w:rFonts w:cs="EUAlbertina"/>
          <w:noProof/>
        </w:rPr>
      </w:pPr>
      <w:r>
        <w:rPr>
          <w:b/>
          <w:noProof/>
        </w:rPr>
        <w:t>X</w:t>
      </w:r>
      <w:r>
        <w:rPr>
          <w:noProof/>
        </w:rPr>
        <w:t xml:space="preserve"> yksiköitään, myös unionin edustustoissa olevaa henkilöstöään; </w:t>
      </w:r>
    </w:p>
    <w:p>
      <w:pPr>
        <w:pStyle w:val="ListDash2"/>
        <w:rPr>
          <w:noProof/>
        </w:rPr>
      </w:pPr>
      <w:r>
        <w:rPr>
          <w:noProof/>
        </w:rPr>
        <w:sym w:font="Wingdings" w:char="F0A8"/>
      </w:r>
      <w:r>
        <w:rPr>
          <w:noProof/>
        </w:rPr>
        <w:tab/>
        <w:t xml:space="preserve">toimeenpanovirastoja </w:t>
      </w:r>
    </w:p>
    <w:p>
      <w:pPr>
        <w:pStyle w:val="Text1"/>
        <w:rPr>
          <w:noProof/>
        </w:rPr>
      </w:pPr>
      <w:r>
        <w:rPr>
          <w:noProof/>
        </w:rPr>
        <w:sym w:font="Wingdings" w:char="F0A8"/>
      </w:r>
      <w:r>
        <w:rPr>
          <w:b/>
          <w:noProof/>
        </w:rPr>
        <w:t>Hallinnointi yhteistyössä</w:t>
      </w:r>
      <w:r>
        <w:rPr>
          <w:noProof/>
        </w:rPr>
        <w:t xml:space="preserve"> jäsenvaltioiden kanssa </w:t>
      </w:r>
    </w:p>
    <w:p>
      <w:pPr>
        <w:pStyle w:val="Text1"/>
        <w:rPr>
          <w:noProof/>
        </w:rPr>
      </w:pPr>
      <w:r>
        <w:rPr>
          <w:noProof/>
        </w:rPr>
        <w:sym w:font="Wingdings" w:char="F0A8"/>
      </w:r>
      <w:r>
        <w:rPr>
          <w:b/>
          <w:noProof/>
        </w:rPr>
        <w:t>Välillinen hallinnointi</w:t>
      </w:r>
      <w:r>
        <w:rPr>
          <w:noProof/>
        </w:rPr>
        <w:t>, jossa täytäntöönpanotehtäviä on siirretty</w:t>
      </w:r>
    </w:p>
    <w:p>
      <w:pPr>
        <w:pStyle w:val="ListDash2"/>
        <w:rPr>
          <w:noProof/>
        </w:rPr>
      </w:pPr>
      <w:r>
        <w:rPr>
          <w:noProof/>
        </w:rPr>
        <w:sym w:font="Wingdings" w:char="F0A8"/>
      </w:r>
      <w:r>
        <w:rPr>
          <w:noProof/>
        </w:rPr>
        <w:t xml:space="preserve"> kolmansille maille tai niiden nimeämille elimille</w:t>
      </w:r>
    </w:p>
    <w:p>
      <w:pPr>
        <w:pStyle w:val="ListDash2"/>
        <w:rPr>
          <w:noProof/>
        </w:rPr>
      </w:pPr>
      <w:r>
        <w:rPr>
          <w:noProof/>
        </w:rPr>
        <w:sym w:font="Wingdings" w:char="F0A8"/>
      </w:r>
      <w:r>
        <w:rPr>
          <w:noProof/>
        </w:rPr>
        <w:t xml:space="preserve"> kansainvälisille järjestöille ja niiden erityisjärjestöille (tarkennettava)</w:t>
      </w:r>
    </w:p>
    <w:p>
      <w:pPr>
        <w:pStyle w:val="ListDash2"/>
        <w:rPr>
          <w:noProof/>
        </w:rPr>
      </w:pPr>
      <w:r>
        <w:rPr>
          <w:noProof/>
        </w:rPr>
        <w:sym w:font="Wingdings" w:char="F0A8"/>
      </w:r>
      <w:r>
        <w:rPr>
          <w:noProof/>
        </w:rPr>
        <w:t xml:space="preserve"> Euroopan investointipankille tai Euroopan investointirahastolle</w:t>
      </w:r>
    </w:p>
    <w:p>
      <w:pPr>
        <w:pStyle w:val="ListDash2"/>
        <w:rPr>
          <w:noProof/>
        </w:rPr>
      </w:pPr>
      <w:r>
        <w:rPr>
          <w:noProof/>
        </w:rPr>
        <w:sym w:font="Wingdings" w:char="F0A8"/>
      </w:r>
      <w:r>
        <w:rPr>
          <w:noProof/>
        </w:rPr>
        <w:t xml:space="preserve"> varainhoitoasetuksen 208 ja 209 artiklassa tarkoitetuille elimille</w:t>
      </w:r>
    </w:p>
    <w:p>
      <w:pPr>
        <w:pStyle w:val="ListDash2"/>
        <w:rPr>
          <w:noProof/>
        </w:rPr>
      </w:pPr>
      <w:r>
        <w:rPr>
          <w:noProof/>
        </w:rPr>
        <w:sym w:font="Wingdings" w:char="F0A8"/>
      </w:r>
      <w:r>
        <w:rPr>
          <w:noProof/>
        </w:rPr>
        <w:t xml:space="preserve"> julkisoikeudellisille yhteisöille</w:t>
      </w:r>
    </w:p>
    <w:p>
      <w:pPr>
        <w:pStyle w:val="ListDash2"/>
        <w:rPr>
          <w:noProof/>
        </w:rPr>
      </w:pPr>
      <w:r>
        <w:rPr>
          <w:noProof/>
        </w:rPr>
        <w:sym w:font="Wingdings" w:char="F0A8"/>
      </w:r>
      <w:r>
        <w:rPr>
          <w:noProof/>
        </w:rPr>
        <w:t xml:space="preserve"> sellaisille julkisen palvelun tehtäviä hoitaville yksityisoikeudellisille elimille, jotka antavat riittävät rahoitustakuut</w:t>
      </w:r>
    </w:p>
    <w:p>
      <w:pPr>
        <w:pStyle w:val="ListDash2"/>
        <w:rPr>
          <w:noProof/>
        </w:rPr>
      </w:pPr>
      <w:r>
        <w:rPr>
          <w:noProof/>
        </w:rPr>
        <w:sym w:font="Wingdings" w:char="F0A8"/>
      </w:r>
      <w:r>
        <w:rPr>
          <w:noProof/>
        </w:rPr>
        <w:t xml:space="preserve"> sellaisille jäsenvaltion yksityisoikeuden mukaisille elimille, joille on annettu tehtäväksi julkisen ja yksityisen sektorin kumppanuuden täytäntöönpano ja jotka antavat riittävät rahoitustakuut</w:t>
      </w:r>
    </w:p>
    <w:p>
      <w:pPr>
        <w:pStyle w:val="ListDash2"/>
        <w:rPr>
          <w:noProof/>
        </w:rPr>
      </w:pPr>
      <w:r>
        <w:rPr>
          <w:noProof/>
        </w:rPr>
        <w:sym w:font="Wingdings" w:char="F0A8"/>
      </w:r>
      <w:r>
        <w:rPr>
          <w:noProof/>
        </w:rPr>
        <w:t xml:space="preserve"> henkilöille, joille on annettu tehtäväksi toteuttaa SEU-sopimuksen V osaston mukaisia yhteisen ulko- ja turvallisuuspolitiikan erityistoimia ja jotka nimetään asiaa koskevassa perussäädöksessä.</w:t>
      </w:r>
    </w:p>
    <w:p>
      <w:pPr>
        <w:pStyle w:val="ListDash2"/>
        <w:rPr>
          <w:i/>
          <w:noProof/>
          <w:sz w:val="18"/>
          <w:u w:val="single"/>
        </w:rPr>
      </w:pPr>
      <w:r>
        <w:rPr>
          <w:i/>
          <w:noProof/>
          <w:sz w:val="18"/>
        </w:rPr>
        <w:t>Jos käytetään useampaa kuin yhtä hallinnointitapaa, huomautuksille varatussa kohdassa olisi annettava lisätietoja.</w:t>
      </w:r>
    </w:p>
    <w:p>
      <w:pPr>
        <w:rPr>
          <w:noProof/>
        </w:rPr>
      </w:pPr>
      <w:r>
        <w:rPr>
          <w:noProof/>
        </w:rPr>
        <w:t xml:space="preserve">Huomautukset </w:t>
      </w:r>
    </w:p>
    <w:p>
      <w:pPr>
        <w:pBdr>
          <w:top w:val="single" w:sz="4" w:space="1" w:color="auto"/>
          <w:left w:val="single" w:sz="4" w:space="4" w:color="auto"/>
          <w:bottom w:val="single" w:sz="4" w:space="1" w:color="auto"/>
          <w:right w:val="single" w:sz="4" w:space="4" w:color="auto"/>
        </w:pBdr>
        <w:rPr>
          <w:noProof/>
        </w:rPr>
      </w:pPr>
      <w:r>
        <w:rPr>
          <w:noProof/>
        </w:rPr>
        <w:t>[…]</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HALLINNOINTI </w:t>
      </w:r>
    </w:p>
    <w:p>
      <w:pPr>
        <w:pStyle w:val="ManualHeading2"/>
        <w:rPr>
          <w:noProof/>
        </w:rPr>
      </w:pPr>
      <w:r>
        <w:t>2.1.</w:t>
      </w:r>
      <w:r>
        <w:tab/>
      </w:r>
      <w:r>
        <w:rPr>
          <w:noProof/>
        </w:rPr>
        <w:t xml:space="preserve">Seuranta- ja raportointisäännöt </w:t>
      </w:r>
    </w:p>
    <w:p>
      <w:pPr>
        <w:pStyle w:val="Text1"/>
        <w:rPr>
          <w:i/>
          <w:noProof/>
          <w:sz w:val="20"/>
          <w:u w:val="single"/>
        </w:rPr>
      </w:pPr>
      <w:r>
        <w:rPr>
          <w:i/>
          <w:noProof/>
          <w:sz w:val="20"/>
        </w:rPr>
        <w:t>Ilmoitetaan sovellettavat aikavälit ja edellytykset.</w:t>
      </w:r>
    </w:p>
    <w:p>
      <w:pPr>
        <w:pStyle w:val="Text1"/>
        <w:pBdr>
          <w:top w:val="single" w:sz="4" w:space="1" w:color="auto"/>
          <w:left w:val="single" w:sz="4" w:space="4" w:color="auto"/>
          <w:bottom w:val="single" w:sz="4" w:space="1" w:color="auto"/>
          <w:right w:val="single" w:sz="4" w:space="4" w:color="auto"/>
        </w:pBdr>
        <w:rPr>
          <w:noProof/>
        </w:rPr>
      </w:pPr>
      <w:r>
        <w:rPr>
          <w:noProof/>
        </w:rPr>
        <w:t xml:space="preserve">Komissio (MARE-pääosasto yhdessä Mauritaniaan sijoittautuneen kalastusalan avustajansa ja Euroopan unionin Nouakchottissa sijaitsevan edustuston kanssa) varmistaa pöytäkirjan täytäntöönpanon säännöllisen seurannan erityisesti toimijoiden kalastusmahdollisuuksien käytön ja saalistietojen osalta. </w:t>
      </w:r>
    </w:p>
    <w:p>
      <w:pPr>
        <w:pStyle w:val="Text1"/>
        <w:pBdr>
          <w:top w:val="single" w:sz="4" w:space="1" w:color="auto"/>
          <w:left w:val="single" w:sz="4" w:space="4" w:color="auto"/>
          <w:bottom w:val="single" w:sz="4" w:space="1" w:color="auto"/>
          <w:right w:val="single" w:sz="4" w:space="4" w:color="auto"/>
        </w:pBdr>
        <w:rPr>
          <w:noProof/>
        </w:rPr>
      </w:pPr>
      <w:r>
        <w:rPr>
          <w:noProof/>
        </w:rPr>
        <w:t>Kalastuskumppanuussopimuksessa määrätään myös, että sekakomitea kokoontuu vähintään kerran vuodessa tarkastellakseen sopimuksen ja pöytäkirjan täytäntöönpanoa ja mukauttaakseen tarvittaessa kalastusmahdollisuuksia ja taloudellista korvausta.</w:t>
      </w:r>
    </w:p>
    <w:p>
      <w:pPr>
        <w:pStyle w:val="ManualHeading2"/>
        <w:rPr>
          <w:bCs/>
          <w:noProof/>
          <w:szCs w:val="24"/>
        </w:rPr>
      </w:pPr>
      <w:r>
        <w:t>2.2.</w:t>
      </w:r>
      <w:r>
        <w:tab/>
      </w:r>
      <w:r>
        <w:rPr>
          <w:noProof/>
        </w:rPr>
        <w:t xml:space="preserve">Hallinnointi- ja valvontajärjestelmä </w:t>
      </w:r>
    </w:p>
    <w:p>
      <w:pPr>
        <w:pStyle w:val="ManualHeading3"/>
        <w:rPr>
          <w:noProof/>
        </w:rPr>
      </w:pPr>
      <w:r>
        <w:t>2.2.1.</w:t>
      </w:r>
      <w:r>
        <w:tab/>
      </w:r>
      <w:r>
        <w:rPr>
          <w:noProof/>
        </w:rPr>
        <w:t xml:space="preserve">Todetut riskit </w:t>
      </w:r>
    </w:p>
    <w:p>
      <w:pPr>
        <w:pStyle w:val="Text1"/>
        <w:pBdr>
          <w:top w:val="single" w:sz="4" w:space="1" w:color="auto"/>
          <w:left w:val="single" w:sz="4" w:space="4" w:color="auto"/>
          <w:bottom w:val="single" w:sz="4" w:space="1" w:color="auto"/>
          <w:right w:val="single" w:sz="4" w:space="4" w:color="auto"/>
        </w:pBdr>
        <w:rPr>
          <w:noProof/>
        </w:rPr>
      </w:pPr>
      <w:r>
        <w:rPr>
          <w:noProof/>
        </w:rPr>
        <w:t>Ei sovelleta.</w:t>
      </w:r>
    </w:p>
    <w:p>
      <w:pPr>
        <w:pStyle w:val="ManualHeading3"/>
        <w:rPr>
          <w:bCs/>
          <w:noProof/>
          <w:szCs w:val="24"/>
        </w:rPr>
      </w:pPr>
      <w:r>
        <w:t>2.2.2.</w:t>
      </w:r>
      <w:r>
        <w:tab/>
      </w:r>
      <w:r>
        <w:rPr>
          <w:noProof/>
        </w:rPr>
        <w:t>Tiedot käyttöön otetusta sisäisen valvonnan järjestelmästä</w:t>
      </w:r>
    </w:p>
    <w:p>
      <w:pPr>
        <w:pStyle w:val="Text1"/>
        <w:pBdr>
          <w:top w:val="single" w:sz="4" w:space="1" w:color="auto"/>
          <w:left w:val="single" w:sz="4" w:space="4" w:color="auto"/>
          <w:bottom w:val="single" w:sz="4" w:space="1" w:color="auto"/>
          <w:right w:val="single" w:sz="4" w:space="4" w:color="auto"/>
        </w:pBdr>
        <w:rPr>
          <w:noProof/>
        </w:rPr>
      </w:pPr>
      <w:r>
        <w:rPr>
          <w:noProof/>
        </w:rPr>
        <w:t>Ei sovelleta.</w:t>
      </w:r>
    </w:p>
    <w:p>
      <w:pPr>
        <w:pStyle w:val="ManualHeading3"/>
        <w:rPr>
          <w:noProof/>
        </w:rPr>
      </w:pPr>
      <w:r>
        <w:t>2.2.3.</w:t>
      </w:r>
      <w:r>
        <w:tab/>
      </w:r>
      <w:r>
        <w:rPr>
          <w:noProof/>
        </w:rPr>
        <w:t xml:space="preserve">Arvio tarkastusten kustannustehokkuudesta ja odotettavissa olevasta virheriskin tasosta </w:t>
      </w:r>
    </w:p>
    <w:p>
      <w:pPr>
        <w:pStyle w:val="Text1"/>
        <w:pBdr>
          <w:top w:val="single" w:sz="4" w:space="1" w:color="auto"/>
          <w:left w:val="single" w:sz="4" w:space="4" w:color="auto"/>
          <w:bottom w:val="single" w:sz="4" w:space="1" w:color="auto"/>
          <w:right w:val="single" w:sz="4" w:space="4" w:color="auto"/>
        </w:pBdr>
        <w:rPr>
          <w:noProof/>
        </w:rPr>
      </w:pPr>
      <w:r>
        <w:rPr>
          <w:noProof/>
        </w:rPr>
        <w:t>Ei sovelleta.</w:t>
      </w:r>
    </w:p>
    <w:p>
      <w:pPr>
        <w:pStyle w:val="ManualHeading2"/>
        <w:rPr>
          <w:bCs/>
          <w:noProof/>
          <w:szCs w:val="24"/>
        </w:rPr>
      </w:pPr>
      <w:r>
        <w:t>2.3.</w:t>
      </w:r>
      <w:r>
        <w:tab/>
      </w:r>
      <w:r>
        <w:rPr>
          <w:noProof/>
        </w:rPr>
        <w:t xml:space="preserve">Toimenpiteet petosten ja sääntöjenvastaisuuksien ehkäisemiseksi </w:t>
      </w:r>
    </w:p>
    <w:p>
      <w:pPr>
        <w:pStyle w:val="Text1"/>
        <w:rPr>
          <w:i/>
          <w:noProof/>
          <w:sz w:val="20"/>
        </w:rPr>
      </w:pPr>
      <w:r>
        <w:rPr>
          <w:i/>
          <w:noProof/>
          <w:sz w:val="20"/>
        </w:rPr>
        <w:t>Ilmoitetaan käytössä olevat ja suunnitellut torjunta- ja suojatoimenpiteet</w:t>
      </w:r>
    </w:p>
    <w:p>
      <w:pPr>
        <w:pStyle w:val="Text1"/>
        <w:pBdr>
          <w:top w:val="single" w:sz="4" w:space="1" w:color="auto"/>
          <w:left w:val="single" w:sz="4" w:space="4" w:color="auto"/>
          <w:bottom w:val="single" w:sz="4" w:space="1" w:color="auto"/>
          <w:right w:val="single" w:sz="4" w:space="4" w:color="auto"/>
        </w:pBdr>
        <w:rPr>
          <w:noProof/>
        </w:rPr>
      </w:pPr>
      <w:r>
        <w:rPr>
          <w:noProof/>
        </w:rPr>
        <w:t>Komissio jatkaa Mauritanian kanssa poliittista vuoropuhelua ja säännöllistä koordinointitoimintaa sopimuksen ja pöytäkirjan moitteettoman hallinnoinnin varmistamiseksi. Kaikkiin komission kestävää kalastusta koskevien kumppanuussopimusten nojalla suorittamiin maksuihin sovelletaan komission tavanomaisia talousarvio- ja rahoitusmenettelyitä ja -sääntöjä. Näin voidaan muun muassa tunnistaa varmuudella kolmansien valtioiden pankkitilit, joille taloudellinen korvaus maksetaan. Pöytäkirjan 2 artiklan 8 kohdassa määrätään, että kalastusalueille pääsyyn liittyvä taloudellinen korvaus maksetaan valtionkassan tilille Mauritanian keskuspankissa.</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EHDOTUKSEN/ALOITTEEN ARVIOIDUT RAHOITUSVAIKUTUKSET </w:t>
      </w:r>
    </w:p>
    <w:p>
      <w:pPr>
        <w:pStyle w:val="ManualHeading2"/>
        <w:rPr>
          <w:noProof/>
        </w:rPr>
      </w:pPr>
      <w:r>
        <w:t>3.1.</w:t>
      </w:r>
      <w:r>
        <w:tab/>
      </w:r>
      <w:r>
        <w:rPr>
          <w:noProof/>
        </w:rPr>
        <w:t xml:space="preserve">Kyseeseen tulevat monivuotisen rahoituskehyksen otsakkeet ja menopuolen budjettikohdat </w:t>
      </w:r>
    </w:p>
    <w:p>
      <w:pPr>
        <w:pStyle w:val="ListBullet1"/>
        <w:rPr>
          <w:noProof/>
        </w:rPr>
      </w:pPr>
      <w:r>
        <w:rPr>
          <w:noProof/>
        </w:rPr>
        <w:t xml:space="preserve">Talousarviossa jo olevat budjettikohdat </w:t>
      </w:r>
    </w:p>
    <w:p>
      <w:pPr>
        <w:pStyle w:val="Text1"/>
        <w:rPr>
          <w:noProof/>
        </w:rPr>
      </w:pPr>
      <w:r>
        <w:rPr>
          <w:noProof/>
        </w:rPr>
        <w:t xml:space="preserve">Monivuotisen rahoituskehyksen otsakkeiden ja budjettikohtien mukaisessa </w:t>
      </w:r>
      <w:r>
        <w:rPr>
          <w:noProof/>
          <w:u w:val="single"/>
        </w:rPr>
        <w:t>järjestyksessä</w:t>
      </w:r>
      <w:r>
        <w:rPr>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Monivuoti</w:t>
            </w:r>
            <w:r>
              <w:rPr>
                <w:noProof/>
                <w:sz w:val="18"/>
              </w:rPr>
              <w:softHyphen/>
              <w:t>sen rahoitus</w:t>
            </w:r>
            <w:r>
              <w:rPr>
                <w:noProof/>
                <w:sz w:val="18"/>
              </w:rPr>
              <w:softHyphen/>
              <w:t>kehyksen otsake</w:t>
            </w:r>
          </w:p>
        </w:tc>
        <w:tc>
          <w:tcPr>
            <w:tcW w:w="3960" w:type="dxa"/>
            <w:vAlign w:val="center"/>
          </w:tcPr>
          <w:p>
            <w:pPr>
              <w:spacing w:before="60" w:after="60"/>
              <w:jc w:val="center"/>
              <w:rPr>
                <w:noProof/>
                <w:sz w:val="22"/>
              </w:rPr>
            </w:pPr>
            <w:r>
              <w:rPr>
                <w:noProof/>
                <w:sz w:val="20"/>
              </w:rPr>
              <w:t>Budjettikohta</w:t>
            </w:r>
          </w:p>
        </w:tc>
        <w:tc>
          <w:tcPr>
            <w:tcW w:w="1080" w:type="dxa"/>
            <w:vAlign w:val="center"/>
          </w:tcPr>
          <w:p>
            <w:pPr>
              <w:spacing w:before="60" w:after="60"/>
              <w:jc w:val="center"/>
              <w:rPr>
                <w:noProof/>
                <w:sz w:val="22"/>
              </w:rPr>
            </w:pPr>
            <w:r>
              <w:rPr>
                <w:noProof/>
                <w:sz w:val="18"/>
              </w:rPr>
              <w:t>Määräraha-</w:t>
            </w:r>
            <w:r>
              <w:rPr>
                <w:noProof/>
                <w:sz w:val="22"/>
              </w:rPr>
              <w:br/>
            </w:r>
            <w:r>
              <w:rPr>
                <w:noProof/>
                <w:sz w:val="18"/>
              </w:rPr>
              <w:t>laji</w:t>
            </w:r>
          </w:p>
        </w:tc>
        <w:tc>
          <w:tcPr>
            <w:tcW w:w="4440" w:type="dxa"/>
            <w:gridSpan w:val="4"/>
            <w:vAlign w:val="center"/>
          </w:tcPr>
          <w:p>
            <w:pPr>
              <w:spacing w:before="60" w:after="60"/>
              <w:jc w:val="center"/>
              <w:rPr>
                <w:noProof/>
                <w:sz w:val="22"/>
              </w:rPr>
            </w:pPr>
            <w:r>
              <w:rPr>
                <w:noProof/>
                <w:sz w:val="20"/>
              </w:rPr>
              <w:t xml:space="preserve">Rahoitusosuudet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Numero </w:t>
            </w:r>
            <w:r>
              <w:rPr>
                <w:noProof/>
                <w:sz w:val="22"/>
              </w:rPr>
              <w:br/>
            </w:r>
            <w:r>
              <w:rPr>
                <w:noProof/>
                <w:sz w:val="20"/>
              </w:rPr>
              <w:t>[Nimi………………………...…………]</w:t>
            </w:r>
          </w:p>
        </w:tc>
        <w:tc>
          <w:tcPr>
            <w:tcW w:w="1080" w:type="dxa"/>
            <w:vAlign w:val="center"/>
          </w:tcPr>
          <w:p>
            <w:pPr>
              <w:jc w:val="center"/>
              <w:rPr>
                <w:noProof/>
                <w:sz w:val="22"/>
              </w:rPr>
            </w:pPr>
            <w:r>
              <w:rPr>
                <w:noProof/>
                <w:sz w:val="18"/>
              </w:rPr>
              <w:t>JM/EI-JM</w:t>
            </w:r>
            <w:r>
              <w:rPr>
                <w:rStyle w:val="FootnoteReference"/>
                <w:noProof/>
                <w:sz w:val="18"/>
              </w:rPr>
              <w:footnoteReference w:id="10"/>
            </w:r>
            <w:r>
              <w:rPr>
                <w:noProof/>
              </w:rPr>
              <w:t>.</w:t>
            </w:r>
          </w:p>
        </w:tc>
        <w:tc>
          <w:tcPr>
            <w:tcW w:w="956" w:type="dxa"/>
            <w:vAlign w:val="center"/>
          </w:tcPr>
          <w:p>
            <w:pPr>
              <w:jc w:val="center"/>
              <w:rPr>
                <w:noProof/>
                <w:sz w:val="22"/>
              </w:rPr>
            </w:pPr>
            <w:r>
              <w:rPr>
                <w:noProof/>
                <w:sz w:val="18"/>
              </w:rPr>
              <w:t>EFTA-mailta</w:t>
            </w:r>
            <w:r>
              <w:rPr>
                <w:rStyle w:val="FootnoteReference"/>
                <w:noProof/>
                <w:sz w:val="18"/>
              </w:rPr>
              <w:footnoteReference w:id="11"/>
            </w:r>
          </w:p>
          <w:p>
            <w:pPr>
              <w:spacing w:before="0" w:after="0"/>
              <w:jc w:val="center"/>
              <w:rPr>
                <w:b/>
                <w:noProof/>
                <w:sz w:val="18"/>
              </w:rPr>
            </w:pPr>
          </w:p>
        </w:tc>
        <w:tc>
          <w:tcPr>
            <w:tcW w:w="1080" w:type="dxa"/>
            <w:vAlign w:val="center"/>
          </w:tcPr>
          <w:p>
            <w:pPr>
              <w:jc w:val="center"/>
              <w:rPr>
                <w:noProof/>
                <w:sz w:val="22"/>
              </w:rPr>
            </w:pPr>
            <w:r>
              <w:rPr>
                <w:noProof/>
                <w:sz w:val="18"/>
              </w:rPr>
              <w:t>Ehdokas</w:t>
            </w:r>
            <w:r>
              <w:rPr>
                <w:noProof/>
                <w:sz w:val="18"/>
              </w:rPr>
              <w:softHyphen/>
              <w:t>mailta</w:t>
            </w:r>
            <w:r>
              <w:rPr>
                <w:rStyle w:val="FootnoteReference"/>
                <w:noProof/>
                <w:sz w:val="18"/>
              </w:rPr>
              <w:footnoteReference w:id="12"/>
            </w:r>
          </w:p>
          <w:p>
            <w:pPr>
              <w:spacing w:before="0" w:after="0"/>
              <w:jc w:val="center"/>
              <w:rPr>
                <w:noProof/>
                <w:sz w:val="18"/>
              </w:rPr>
            </w:pPr>
          </w:p>
        </w:tc>
        <w:tc>
          <w:tcPr>
            <w:tcW w:w="956" w:type="dxa"/>
            <w:vAlign w:val="center"/>
          </w:tcPr>
          <w:p>
            <w:pPr>
              <w:jc w:val="center"/>
              <w:rPr>
                <w:noProof/>
                <w:sz w:val="18"/>
              </w:rPr>
            </w:pPr>
            <w:r>
              <w:rPr>
                <w:noProof/>
                <w:sz w:val="18"/>
              </w:rPr>
              <w:t>Kolman</w:t>
            </w:r>
            <w:r>
              <w:rPr>
                <w:noProof/>
                <w:sz w:val="18"/>
              </w:rPr>
              <w:softHyphen/>
              <w:t>silta mailta</w:t>
            </w:r>
          </w:p>
        </w:tc>
        <w:tc>
          <w:tcPr>
            <w:tcW w:w="1448" w:type="dxa"/>
            <w:vAlign w:val="center"/>
          </w:tcPr>
          <w:p>
            <w:pPr>
              <w:jc w:val="center"/>
              <w:rPr>
                <w:noProof/>
                <w:sz w:val="22"/>
              </w:rPr>
            </w:pPr>
            <w:r>
              <w:rPr>
                <w:noProof/>
                <w:sz w:val="16"/>
              </w:rPr>
              <w:t>Varainhoitoasetuk</w:t>
            </w:r>
            <w:r>
              <w:rPr>
                <w:noProof/>
                <w:sz w:val="16"/>
              </w:rPr>
              <w:softHyphen/>
              <w:t xml:space="preserve">sen 21 artiklan 2 kohdan b alakohdassa tarkoitetut rahoitusosuudet </w:t>
            </w:r>
          </w:p>
        </w:tc>
      </w:tr>
      <w:tr>
        <w:tc>
          <w:tcPr>
            <w:tcW w:w="1080" w:type="dxa"/>
            <w:vAlign w:val="center"/>
          </w:tcPr>
          <w:p>
            <w:pPr>
              <w:jc w:val="center"/>
              <w:rPr>
                <w:noProof/>
                <w:sz w:val="22"/>
              </w:rPr>
            </w:pPr>
            <w:r>
              <w:rPr>
                <w:noProof/>
                <w:sz w:val="22"/>
              </w:rPr>
              <w:t>2</w:t>
            </w:r>
          </w:p>
        </w:tc>
        <w:tc>
          <w:tcPr>
            <w:tcW w:w="3960" w:type="dxa"/>
            <w:vAlign w:val="center"/>
          </w:tcPr>
          <w:p>
            <w:pPr>
              <w:spacing w:before="60"/>
              <w:rPr>
                <w:noProof/>
              </w:rPr>
            </w:pPr>
            <w:r>
              <w:rPr>
                <w:noProof/>
              </w:rPr>
              <w:t>11.03 01</w:t>
            </w:r>
          </w:p>
          <w:p>
            <w:pPr>
              <w:spacing w:before="60"/>
              <w:rPr>
                <w:noProof/>
                <w:sz w:val="22"/>
              </w:rPr>
            </w:pPr>
            <w:r>
              <w:rPr>
                <w:noProof/>
              </w:rPr>
              <w:t>Unionin kalastusalusten kolmansien maiden vesillä harjoittamaa kalastustoimintaa koskeva hallintokehys (kestävän kalastuksen sopimukset)</w:t>
            </w:r>
          </w:p>
        </w:tc>
        <w:tc>
          <w:tcPr>
            <w:tcW w:w="1080" w:type="dxa"/>
            <w:vAlign w:val="center"/>
          </w:tcPr>
          <w:p>
            <w:pPr>
              <w:jc w:val="center"/>
              <w:rPr>
                <w:noProof/>
                <w:sz w:val="22"/>
              </w:rPr>
            </w:pPr>
            <w:r>
              <w:rPr>
                <w:noProof/>
                <w:sz w:val="22"/>
              </w:rPr>
              <w:t>JM</w:t>
            </w:r>
          </w:p>
        </w:tc>
        <w:tc>
          <w:tcPr>
            <w:tcW w:w="956" w:type="dxa"/>
            <w:vAlign w:val="center"/>
          </w:tcPr>
          <w:p>
            <w:pPr>
              <w:jc w:val="center"/>
              <w:rPr>
                <w:noProof/>
                <w:sz w:val="22"/>
              </w:rPr>
            </w:pPr>
            <w:r>
              <w:rPr>
                <w:noProof/>
                <w:sz w:val="22"/>
              </w:rPr>
              <w:t>EI</w:t>
            </w:r>
          </w:p>
        </w:tc>
        <w:tc>
          <w:tcPr>
            <w:tcW w:w="1080" w:type="dxa"/>
            <w:vAlign w:val="center"/>
          </w:tcPr>
          <w:p>
            <w:pPr>
              <w:jc w:val="center"/>
              <w:rPr>
                <w:noProof/>
                <w:sz w:val="22"/>
              </w:rPr>
            </w:pPr>
            <w:r>
              <w:rPr>
                <w:noProof/>
                <w:sz w:val="22"/>
              </w:rPr>
              <w:t>EI</w:t>
            </w:r>
          </w:p>
        </w:tc>
        <w:tc>
          <w:tcPr>
            <w:tcW w:w="956" w:type="dxa"/>
            <w:vAlign w:val="center"/>
          </w:tcPr>
          <w:p>
            <w:pPr>
              <w:jc w:val="center"/>
              <w:rPr>
                <w:noProof/>
                <w:sz w:val="22"/>
              </w:rPr>
            </w:pPr>
            <w:r>
              <w:rPr>
                <w:noProof/>
                <w:sz w:val="22"/>
              </w:rPr>
              <w:t>EI</w:t>
            </w:r>
          </w:p>
        </w:tc>
        <w:tc>
          <w:tcPr>
            <w:tcW w:w="1448" w:type="dxa"/>
            <w:vAlign w:val="center"/>
          </w:tcPr>
          <w:p>
            <w:pPr>
              <w:jc w:val="center"/>
              <w:rPr>
                <w:noProof/>
                <w:sz w:val="22"/>
              </w:rPr>
            </w:pPr>
            <w:r>
              <w:rPr>
                <w:noProof/>
                <w:sz w:val="22"/>
              </w:rPr>
              <w:t>EI</w:t>
            </w:r>
          </w:p>
        </w:tc>
      </w:tr>
    </w:tbl>
    <w:p>
      <w:pPr>
        <w:pStyle w:val="ListBullet1"/>
        <w:rPr>
          <w:noProof/>
        </w:rPr>
      </w:pPr>
      <w:r>
        <w:rPr>
          <w:noProof/>
        </w:rPr>
        <w:t xml:space="preserve">Uudet perustettaviksi esitetyt budjettikohdat </w:t>
      </w:r>
    </w:p>
    <w:p>
      <w:pPr>
        <w:pStyle w:val="Text1"/>
        <w:rPr>
          <w:i/>
          <w:noProof/>
          <w:sz w:val="20"/>
        </w:rPr>
      </w:pPr>
      <w:r>
        <w:rPr>
          <w:i/>
          <w:noProof/>
        </w:rPr>
        <w:t xml:space="preserve">Monivuotisen rahoituskehyksen otsakkeiden ja budjettikohtien mukaisessa </w:t>
      </w:r>
      <w:r>
        <w:rPr>
          <w:i/>
          <w:noProof/>
          <w:u w:val="single"/>
        </w:rPr>
        <w:t>järjestyksessä</w:t>
      </w:r>
      <w:r>
        <w:rPr>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992"/>
        <w:gridCol w:w="993"/>
        <w:gridCol w:w="1411"/>
      </w:tblGrid>
      <w:tr>
        <w:tc>
          <w:tcPr>
            <w:tcW w:w="1080" w:type="dxa"/>
            <w:vMerge w:val="restart"/>
            <w:vAlign w:val="center"/>
          </w:tcPr>
          <w:p>
            <w:pPr>
              <w:spacing w:before="60" w:after="60"/>
              <w:jc w:val="center"/>
              <w:rPr>
                <w:noProof/>
                <w:sz w:val="18"/>
                <w:szCs w:val="18"/>
              </w:rPr>
            </w:pPr>
            <w:r>
              <w:rPr>
                <w:noProof/>
                <w:sz w:val="18"/>
              </w:rPr>
              <w:t>Monivuoti</w:t>
            </w:r>
            <w:r>
              <w:rPr>
                <w:noProof/>
                <w:sz w:val="18"/>
              </w:rPr>
              <w:softHyphen/>
              <w:t>sen rahoitus</w:t>
            </w:r>
            <w:r>
              <w:rPr>
                <w:noProof/>
                <w:sz w:val="18"/>
              </w:rPr>
              <w:softHyphen/>
              <w:t>kehyksen otsake</w:t>
            </w:r>
          </w:p>
        </w:tc>
        <w:tc>
          <w:tcPr>
            <w:tcW w:w="3960" w:type="dxa"/>
            <w:vAlign w:val="center"/>
          </w:tcPr>
          <w:p>
            <w:pPr>
              <w:spacing w:before="60" w:after="60"/>
              <w:jc w:val="center"/>
              <w:rPr>
                <w:noProof/>
                <w:sz w:val="22"/>
              </w:rPr>
            </w:pPr>
            <w:r>
              <w:rPr>
                <w:noProof/>
                <w:sz w:val="20"/>
              </w:rPr>
              <w:t>Budjettikohta</w:t>
            </w:r>
          </w:p>
        </w:tc>
        <w:tc>
          <w:tcPr>
            <w:tcW w:w="1080" w:type="dxa"/>
            <w:vAlign w:val="center"/>
          </w:tcPr>
          <w:p>
            <w:pPr>
              <w:spacing w:before="60" w:after="60"/>
              <w:jc w:val="center"/>
              <w:rPr>
                <w:noProof/>
                <w:sz w:val="22"/>
              </w:rPr>
            </w:pPr>
            <w:r>
              <w:rPr>
                <w:noProof/>
                <w:sz w:val="18"/>
              </w:rPr>
              <w:t>Määräraha-</w:t>
            </w:r>
            <w:r>
              <w:rPr>
                <w:noProof/>
                <w:sz w:val="22"/>
              </w:rPr>
              <w:br/>
            </w:r>
            <w:r>
              <w:rPr>
                <w:noProof/>
                <w:sz w:val="18"/>
              </w:rPr>
              <w:t>laji</w:t>
            </w:r>
          </w:p>
        </w:tc>
        <w:tc>
          <w:tcPr>
            <w:tcW w:w="4440" w:type="dxa"/>
            <w:gridSpan w:val="4"/>
            <w:vAlign w:val="center"/>
          </w:tcPr>
          <w:p>
            <w:pPr>
              <w:spacing w:before="60" w:after="60"/>
              <w:jc w:val="center"/>
              <w:rPr>
                <w:noProof/>
                <w:sz w:val="22"/>
              </w:rPr>
            </w:pPr>
            <w:r>
              <w:rPr>
                <w:noProof/>
                <w:sz w:val="20"/>
              </w:rPr>
              <w:t xml:space="preserve">Rahoitusosuudet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Numero </w:t>
            </w:r>
            <w:r>
              <w:rPr>
                <w:noProof/>
                <w:sz w:val="22"/>
              </w:rPr>
              <w:br/>
            </w:r>
            <w:r>
              <w:rPr>
                <w:noProof/>
              </w:rPr>
              <w:t>[…]</w:t>
            </w:r>
            <w:r>
              <w:rPr>
                <w:noProof/>
                <w:sz w:val="20"/>
              </w:rPr>
              <w:t>[Nimi………………………………………]</w:t>
            </w:r>
          </w:p>
        </w:tc>
        <w:tc>
          <w:tcPr>
            <w:tcW w:w="1080" w:type="dxa"/>
            <w:vAlign w:val="center"/>
          </w:tcPr>
          <w:p>
            <w:pPr>
              <w:jc w:val="center"/>
              <w:rPr>
                <w:noProof/>
                <w:sz w:val="22"/>
              </w:rPr>
            </w:pPr>
            <w:r>
              <w:rPr>
                <w:noProof/>
                <w:sz w:val="18"/>
              </w:rPr>
              <w:t>JM/EI-JM</w:t>
            </w:r>
          </w:p>
        </w:tc>
        <w:tc>
          <w:tcPr>
            <w:tcW w:w="1044" w:type="dxa"/>
            <w:vAlign w:val="center"/>
          </w:tcPr>
          <w:p>
            <w:pPr>
              <w:jc w:val="center"/>
              <w:rPr>
                <w:noProof/>
                <w:sz w:val="18"/>
              </w:rPr>
            </w:pPr>
            <w:r>
              <w:rPr>
                <w:noProof/>
                <w:sz w:val="18"/>
              </w:rPr>
              <w:t>EFTA-mailta</w:t>
            </w:r>
          </w:p>
        </w:tc>
        <w:tc>
          <w:tcPr>
            <w:tcW w:w="992" w:type="dxa"/>
            <w:vAlign w:val="center"/>
          </w:tcPr>
          <w:p>
            <w:pPr>
              <w:jc w:val="center"/>
              <w:rPr>
                <w:noProof/>
                <w:sz w:val="18"/>
              </w:rPr>
            </w:pPr>
            <w:r>
              <w:rPr>
                <w:noProof/>
                <w:sz w:val="18"/>
              </w:rPr>
              <w:t>Ehdokas</w:t>
            </w:r>
            <w:r>
              <w:rPr>
                <w:noProof/>
                <w:sz w:val="18"/>
              </w:rPr>
              <w:softHyphen/>
              <w:t>mailta</w:t>
            </w:r>
          </w:p>
        </w:tc>
        <w:tc>
          <w:tcPr>
            <w:tcW w:w="993" w:type="dxa"/>
            <w:vAlign w:val="center"/>
          </w:tcPr>
          <w:p>
            <w:pPr>
              <w:jc w:val="center"/>
              <w:rPr>
                <w:noProof/>
                <w:sz w:val="18"/>
              </w:rPr>
            </w:pPr>
            <w:r>
              <w:rPr>
                <w:noProof/>
                <w:sz w:val="18"/>
              </w:rPr>
              <w:t>kolmansil</w:t>
            </w:r>
            <w:r>
              <w:rPr>
                <w:noProof/>
                <w:sz w:val="18"/>
              </w:rPr>
              <w:softHyphen/>
              <w:t>ta mailta</w:t>
            </w:r>
          </w:p>
        </w:tc>
        <w:tc>
          <w:tcPr>
            <w:tcW w:w="1411" w:type="dxa"/>
            <w:vAlign w:val="center"/>
          </w:tcPr>
          <w:p>
            <w:pPr>
              <w:jc w:val="center"/>
              <w:rPr>
                <w:noProof/>
                <w:sz w:val="22"/>
              </w:rPr>
            </w:pPr>
            <w:r>
              <w:rPr>
                <w:noProof/>
                <w:sz w:val="16"/>
              </w:rPr>
              <w:t>Varainhoitoasetuk</w:t>
            </w:r>
            <w:r>
              <w:rPr>
                <w:noProof/>
                <w:sz w:val="16"/>
              </w:rPr>
              <w:softHyphen/>
              <w:t xml:space="preserve">sen 21 artiklan 2 kohdan b alakohdassa tarkoitetut rahoitusosuudet </w:t>
            </w:r>
          </w:p>
        </w:tc>
      </w:tr>
      <w:tr>
        <w:tc>
          <w:tcPr>
            <w:tcW w:w="1080" w:type="dxa"/>
            <w:vAlign w:val="center"/>
          </w:tcPr>
          <w:p>
            <w:pPr>
              <w:jc w:val="center"/>
              <w:rPr>
                <w:noProof/>
                <w:sz w:val="22"/>
              </w:rPr>
            </w:pPr>
          </w:p>
        </w:tc>
        <w:tc>
          <w:tcPr>
            <w:tcW w:w="3960" w:type="dxa"/>
            <w:vAlign w:val="center"/>
          </w:tcPr>
          <w:p>
            <w:pPr>
              <w:spacing w:before="60"/>
              <w:rPr>
                <w:noProof/>
                <w:sz w:val="22"/>
              </w:rPr>
            </w:pPr>
            <w:r>
              <w:rPr>
                <w:noProof/>
              </w:rPr>
              <w:t>[…]</w:t>
            </w:r>
            <w:r>
              <w:rPr>
                <w:noProof/>
                <w:sz w:val="22"/>
              </w:rPr>
              <w:t>[XX.YY.YY.YY]</w:t>
            </w:r>
          </w:p>
          <w:p>
            <w:pPr>
              <w:spacing w:after="60"/>
              <w:rPr>
                <w:noProof/>
                <w:sz w:val="22"/>
              </w:rPr>
            </w:pPr>
          </w:p>
        </w:tc>
        <w:tc>
          <w:tcPr>
            <w:tcW w:w="1080" w:type="dxa"/>
            <w:vAlign w:val="center"/>
          </w:tcPr>
          <w:p>
            <w:pPr>
              <w:jc w:val="center"/>
              <w:rPr>
                <w:noProof/>
                <w:sz w:val="22"/>
              </w:rPr>
            </w:pPr>
          </w:p>
        </w:tc>
        <w:tc>
          <w:tcPr>
            <w:tcW w:w="1044" w:type="dxa"/>
            <w:vAlign w:val="center"/>
          </w:tcPr>
          <w:p>
            <w:pPr>
              <w:jc w:val="center"/>
              <w:rPr>
                <w:noProof/>
                <w:sz w:val="22"/>
              </w:rPr>
            </w:pPr>
            <w:r>
              <w:rPr>
                <w:noProof/>
                <w:sz w:val="22"/>
              </w:rPr>
              <w:t>KYLLÄ/EI</w:t>
            </w:r>
          </w:p>
        </w:tc>
        <w:tc>
          <w:tcPr>
            <w:tcW w:w="992" w:type="dxa"/>
            <w:vAlign w:val="center"/>
          </w:tcPr>
          <w:p>
            <w:pPr>
              <w:jc w:val="center"/>
              <w:rPr>
                <w:noProof/>
                <w:sz w:val="18"/>
              </w:rPr>
            </w:pPr>
            <w:r>
              <w:rPr>
                <w:noProof/>
                <w:sz w:val="22"/>
              </w:rPr>
              <w:t>KYLLÄ/EI</w:t>
            </w:r>
          </w:p>
        </w:tc>
        <w:tc>
          <w:tcPr>
            <w:tcW w:w="993" w:type="dxa"/>
            <w:vAlign w:val="center"/>
          </w:tcPr>
          <w:p>
            <w:pPr>
              <w:jc w:val="center"/>
              <w:rPr>
                <w:noProof/>
                <w:sz w:val="18"/>
              </w:rPr>
            </w:pPr>
            <w:r>
              <w:rPr>
                <w:noProof/>
                <w:sz w:val="22"/>
              </w:rPr>
              <w:t>KYLLÄ/EI</w:t>
            </w:r>
          </w:p>
        </w:tc>
        <w:tc>
          <w:tcPr>
            <w:tcW w:w="1411" w:type="dxa"/>
            <w:vAlign w:val="center"/>
          </w:tcPr>
          <w:p>
            <w:pPr>
              <w:jc w:val="center"/>
              <w:rPr>
                <w:noProof/>
                <w:sz w:val="22"/>
              </w:rPr>
            </w:pPr>
            <w:r>
              <w:rPr>
                <w:noProof/>
                <w:sz w:val="22"/>
              </w:rPr>
              <w:t>KYLLÄ/EI</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Arvioidut vaikutukset menoihin </w:t>
      </w:r>
    </w:p>
    <w:p>
      <w:pPr>
        <w:pStyle w:val="ManualHeading3"/>
        <w:rPr>
          <w:noProof/>
          <w:u w:val="single"/>
        </w:rPr>
      </w:pPr>
      <w:r>
        <w:t>3.2.1.</w:t>
      </w:r>
      <w:r>
        <w:tab/>
      </w:r>
      <w:r>
        <w:rPr>
          <w:noProof/>
        </w:rPr>
        <w:t xml:space="preserve">Yhteenveto arvioiduista vaikutuksista menoihin </w:t>
      </w:r>
    </w:p>
    <w:p>
      <w:pPr>
        <w:jc w:val="right"/>
        <w:rPr>
          <w:noProof/>
          <w:sz w:val="20"/>
        </w:rPr>
      </w:pPr>
      <w:r>
        <w:rPr>
          <w:noProof/>
          <w:sz w:val="20"/>
        </w:rPr>
        <w:t>milj. euroa (kolmen desimaalin tarkkuudella)</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rPr>
              <w:t>Monivuotisen rahoituskehyksen</w:t>
            </w:r>
            <w:r>
              <w:rPr>
                <w:noProof/>
                <w:sz w:val="22"/>
              </w:rPr>
              <w:br/>
            </w:r>
            <w:r>
              <w:rPr>
                <w:b/>
                <w:noProof/>
                <w:sz w:val="22"/>
              </w:rPr>
              <w:t xml:space="preserve">otsake </w:t>
            </w:r>
          </w:p>
        </w:tc>
        <w:tc>
          <w:tcPr>
            <w:tcW w:w="1080" w:type="dxa"/>
            <w:vAlign w:val="center"/>
          </w:tcPr>
          <w:p>
            <w:pPr>
              <w:spacing w:before="60" w:after="60"/>
              <w:jc w:val="center"/>
              <w:rPr>
                <w:noProof/>
                <w:sz w:val="22"/>
              </w:rPr>
            </w:pPr>
            <w:r>
              <w:rPr>
                <w:noProof/>
                <w:sz w:val="22"/>
              </w:rPr>
              <w:t>Numero</w:t>
            </w:r>
          </w:p>
        </w:tc>
        <w:tc>
          <w:tcPr>
            <w:tcW w:w="7817" w:type="dxa"/>
            <w:vAlign w:val="center"/>
          </w:tcPr>
          <w:p>
            <w:pPr>
              <w:spacing w:before="60" w:after="60"/>
              <w:rPr>
                <w:noProof/>
                <w:sz w:val="22"/>
              </w:rPr>
            </w:pPr>
            <w:r>
              <w:rPr>
                <w:noProof/>
              </w:rPr>
              <w:t>2 Kestävä kasvu: Luonnonvarat</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vAlign w:val="center"/>
          </w:tcPr>
          <w:p>
            <w:pPr>
              <w:jc w:val="center"/>
              <w:rPr>
                <w:noProof/>
                <w:sz w:val="22"/>
              </w:rPr>
            </w:pPr>
            <w:r>
              <w:rPr>
                <w:noProof/>
                <w:sz w:val="22"/>
              </w:rPr>
              <w:t>PO: MARE</w:t>
            </w:r>
          </w:p>
        </w:tc>
        <w:tc>
          <w:tcPr>
            <w:tcW w:w="1560" w:type="dxa"/>
            <w:gridSpan w:val="2"/>
          </w:tcPr>
          <w:p>
            <w:pPr>
              <w:rPr>
                <w:noProof/>
                <w:sz w:val="20"/>
              </w:rPr>
            </w:pPr>
          </w:p>
        </w:tc>
        <w:tc>
          <w:tcPr>
            <w:tcW w:w="534" w:type="dxa"/>
          </w:tcPr>
          <w:p>
            <w:pPr>
              <w:jc w:val="center"/>
              <w:rPr>
                <w:noProof/>
                <w:sz w:val="20"/>
              </w:rPr>
            </w:pPr>
          </w:p>
        </w:tc>
        <w:tc>
          <w:tcPr>
            <w:tcW w:w="868" w:type="dxa"/>
            <w:vAlign w:val="center"/>
          </w:tcPr>
          <w:p>
            <w:pPr>
              <w:jc w:val="center"/>
              <w:rPr>
                <w:noProof/>
                <w:sz w:val="20"/>
              </w:rPr>
            </w:pPr>
            <w:r>
              <w:rPr>
                <w:noProof/>
                <w:sz w:val="20"/>
              </w:rPr>
              <w:t>Vuosi</w:t>
            </w:r>
            <w:r>
              <w:rPr>
                <w:noProof/>
                <w:sz w:val="22"/>
              </w:rPr>
              <w:br/>
            </w:r>
            <w:r>
              <w:rPr>
                <w:b/>
                <w:noProof/>
                <w:sz w:val="20"/>
              </w:rPr>
              <w:t>2017</w:t>
            </w:r>
          </w:p>
        </w:tc>
        <w:tc>
          <w:tcPr>
            <w:tcW w:w="868" w:type="dxa"/>
            <w:vAlign w:val="center"/>
          </w:tcPr>
          <w:p>
            <w:pPr>
              <w:jc w:val="center"/>
              <w:rPr>
                <w:noProof/>
                <w:sz w:val="20"/>
              </w:rPr>
            </w:pPr>
            <w:r>
              <w:rPr>
                <w:noProof/>
                <w:sz w:val="20"/>
              </w:rPr>
              <w:t>Vuosi</w:t>
            </w:r>
            <w:r>
              <w:rPr>
                <w:noProof/>
                <w:sz w:val="22"/>
              </w:rPr>
              <w:br/>
            </w:r>
            <w:r>
              <w:rPr>
                <w:b/>
                <w:noProof/>
                <w:sz w:val="20"/>
              </w:rPr>
              <w:t>2018</w:t>
            </w:r>
          </w:p>
        </w:tc>
        <w:tc>
          <w:tcPr>
            <w:tcW w:w="868" w:type="dxa"/>
            <w:vAlign w:val="center"/>
          </w:tcPr>
          <w:p>
            <w:pPr>
              <w:jc w:val="center"/>
              <w:rPr>
                <w:noProof/>
                <w:sz w:val="20"/>
              </w:rPr>
            </w:pPr>
            <w:r>
              <w:rPr>
                <w:noProof/>
                <w:sz w:val="20"/>
              </w:rPr>
              <w:t>Vuosi</w:t>
            </w:r>
            <w:r>
              <w:rPr>
                <w:noProof/>
                <w:sz w:val="22"/>
              </w:rPr>
              <w:br/>
            </w:r>
            <w:r>
              <w:rPr>
                <w:b/>
                <w:noProof/>
                <w:sz w:val="20"/>
              </w:rPr>
              <w:t>2019</w:t>
            </w:r>
          </w:p>
        </w:tc>
        <w:tc>
          <w:tcPr>
            <w:tcW w:w="868" w:type="dxa"/>
            <w:vAlign w:val="center"/>
          </w:tcPr>
          <w:p>
            <w:pPr>
              <w:jc w:val="center"/>
              <w:rPr>
                <w:noProof/>
                <w:sz w:val="20"/>
              </w:rPr>
            </w:pPr>
            <w:r>
              <w:rPr>
                <w:noProof/>
                <w:sz w:val="20"/>
              </w:rPr>
              <w:t>Vuosi</w:t>
            </w:r>
            <w:r>
              <w:rPr>
                <w:noProof/>
                <w:sz w:val="22"/>
              </w:rPr>
              <w:br/>
            </w:r>
            <w:r>
              <w:rPr>
                <w:b/>
                <w:noProof/>
                <w:sz w:val="20"/>
              </w:rPr>
              <w:t>N+3</w:t>
            </w:r>
          </w:p>
        </w:tc>
        <w:tc>
          <w:tcPr>
            <w:tcW w:w="2604" w:type="dxa"/>
            <w:gridSpan w:val="3"/>
            <w:vAlign w:val="center"/>
          </w:tcPr>
          <w:p>
            <w:pPr>
              <w:jc w:val="center"/>
              <w:rPr>
                <w:b/>
                <w:noProof/>
                <w:sz w:val="18"/>
              </w:rPr>
            </w:pPr>
            <w:r>
              <w:rPr>
                <w:noProof/>
                <w:sz w:val="18"/>
              </w:rPr>
              <w:t>ja näitä seuraavat vuodet (ilmoitetaan kaikki vuodet, joille ehdotuksen/aloitteen vaikutukset ulottuvat, ks. kohta 1.6)</w:t>
            </w:r>
          </w:p>
        </w:tc>
        <w:tc>
          <w:tcPr>
            <w:tcW w:w="1777" w:type="dxa"/>
            <w:vAlign w:val="center"/>
          </w:tcPr>
          <w:p>
            <w:pPr>
              <w:jc w:val="center"/>
              <w:rPr>
                <w:b/>
                <w:noProof/>
                <w:sz w:val="20"/>
              </w:rPr>
            </w:pPr>
            <w:r>
              <w:rPr>
                <w:b/>
                <w:noProof/>
                <w:sz w:val="20"/>
              </w:rPr>
              <w:t>YHTEENSÄ</w:t>
            </w:r>
          </w:p>
        </w:tc>
      </w:tr>
      <w:tr>
        <w:trPr>
          <w:trHeight w:val="213"/>
        </w:trPr>
        <w:tc>
          <w:tcPr>
            <w:tcW w:w="6054" w:type="dxa"/>
            <w:gridSpan w:val="4"/>
            <w:vAlign w:val="center"/>
          </w:tcPr>
          <w:p>
            <w:pPr>
              <w:spacing w:before="20" w:after="20"/>
              <w:rPr>
                <w:noProof/>
                <w:sz w:val="21"/>
              </w:rPr>
            </w:pPr>
            <w:r>
              <w:rPr>
                <w:noProof/>
                <w:sz w:val="21"/>
              </w:rPr>
              <w:sym w:font="Wingdings" w:char="F09F"/>
            </w:r>
            <w:r>
              <w:rPr>
                <w:noProof/>
                <w:sz w:val="21"/>
              </w:rPr>
              <w:t>Toimintamäärärahat</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277"/>
        </w:trPr>
        <w:tc>
          <w:tcPr>
            <w:tcW w:w="3960" w:type="dxa"/>
            <w:vMerge w:val="restart"/>
            <w:vAlign w:val="center"/>
          </w:tcPr>
          <w:p>
            <w:pPr>
              <w:rPr>
                <w:noProof/>
                <w:sz w:val="22"/>
              </w:rPr>
            </w:pPr>
            <w:r>
              <w:rPr>
                <w:noProof/>
                <w:sz w:val="20"/>
              </w:rPr>
              <w:t>Budjettikohdan numero 11.0301</w:t>
            </w:r>
          </w:p>
        </w:tc>
        <w:tc>
          <w:tcPr>
            <w:tcW w:w="1440" w:type="dxa"/>
            <w:vAlign w:val="center"/>
          </w:tcPr>
          <w:p>
            <w:pPr>
              <w:spacing w:before="20" w:after="20"/>
              <w:rPr>
                <w:noProof/>
                <w:sz w:val="18"/>
              </w:rPr>
            </w:pPr>
            <w:r>
              <w:rPr>
                <w:noProof/>
                <w:sz w:val="18"/>
              </w:rPr>
              <w:t>Sitoumukset</w:t>
            </w:r>
          </w:p>
        </w:tc>
        <w:tc>
          <w:tcPr>
            <w:tcW w:w="654" w:type="dxa"/>
            <w:gridSpan w:val="2"/>
            <w:vAlign w:val="center"/>
          </w:tcPr>
          <w:p>
            <w:pPr>
              <w:spacing w:before="20" w:after="20"/>
              <w:jc w:val="center"/>
              <w:rPr>
                <w:noProof/>
                <w:sz w:val="14"/>
              </w:rPr>
            </w:pPr>
            <w:r>
              <w:rPr>
                <w:noProof/>
                <w:sz w:val="14"/>
              </w:rPr>
              <w:t>(1)</w:t>
            </w:r>
          </w:p>
        </w:tc>
        <w:tc>
          <w:tcPr>
            <w:tcW w:w="868" w:type="dxa"/>
            <w:vAlign w:val="center"/>
          </w:tcPr>
          <w:p>
            <w:pPr>
              <w:spacing w:before="20" w:after="20"/>
              <w:jc w:val="right"/>
              <w:rPr>
                <w:noProof/>
                <w:sz w:val="20"/>
              </w:rPr>
            </w:pPr>
            <w:r>
              <w:rPr>
                <w:noProof/>
                <w:sz w:val="20"/>
              </w:rPr>
              <w:t>5 000</w:t>
            </w:r>
          </w:p>
        </w:tc>
        <w:tc>
          <w:tcPr>
            <w:tcW w:w="868" w:type="dxa"/>
            <w:vAlign w:val="center"/>
          </w:tcPr>
          <w:p>
            <w:pPr>
              <w:spacing w:before="20" w:after="20"/>
              <w:jc w:val="right"/>
              <w:rPr>
                <w:noProof/>
                <w:sz w:val="20"/>
              </w:rPr>
            </w:pPr>
            <w:r>
              <w:rPr>
                <w:noProof/>
                <w:sz w:val="20"/>
              </w:rPr>
              <w:t>2 500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7 500</w:t>
            </w: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Maksut</w:t>
            </w:r>
          </w:p>
        </w:tc>
        <w:tc>
          <w:tcPr>
            <w:tcW w:w="654" w:type="dxa"/>
            <w:gridSpan w:val="2"/>
            <w:vAlign w:val="center"/>
          </w:tcPr>
          <w:p>
            <w:pPr>
              <w:spacing w:before="20" w:after="20"/>
              <w:jc w:val="center"/>
              <w:rPr>
                <w:noProof/>
                <w:sz w:val="14"/>
              </w:rPr>
            </w:pPr>
            <w:r>
              <w:rPr>
                <w:noProof/>
                <w:sz w:val="14"/>
              </w:rPr>
              <w:t>(2)</w:t>
            </w:r>
          </w:p>
        </w:tc>
        <w:tc>
          <w:tcPr>
            <w:tcW w:w="868" w:type="dxa"/>
            <w:vAlign w:val="center"/>
          </w:tcPr>
          <w:p>
            <w:pPr>
              <w:spacing w:before="20" w:after="20"/>
              <w:jc w:val="right"/>
              <w:rPr>
                <w:noProof/>
                <w:sz w:val="20"/>
              </w:rPr>
            </w:pPr>
            <w:r>
              <w:rPr>
                <w:noProof/>
                <w:sz w:val="20"/>
              </w:rPr>
              <w:t>5 000</w:t>
            </w:r>
          </w:p>
        </w:tc>
        <w:tc>
          <w:tcPr>
            <w:tcW w:w="868" w:type="dxa"/>
            <w:vAlign w:val="center"/>
          </w:tcPr>
          <w:p>
            <w:pPr>
              <w:spacing w:before="20" w:after="20"/>
              <w:jc w:val="right"/>
              <w:rPr>
                <w:noProof/>
                <w:sz w:val="20"/>
              </w:rPr>
            </w:pPr>
            <w:r>
              <w:rPr>
                <w:noProof/>
                <w:sz w:val="20"/>
              </w:rPr>
              <w:t>2 500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7 500</w:t>
            </w:r>
          </w:p>
        </w:tc>
      </w:tr>
      <w:tr>
        <w:tc>
          <w:tcPr>
            <w:tcW w:w="3960" w:type="dxa"/>
            <w:vMerge w:val="restart"/>
            <w:vAlign w:val="center"/>
          </w:tcPr>
          <w:p>
            <w:pPr>
              <w:rPr>
                <w:noProof/>
                <w:sz w:val="22"/>
              </w:rPr>
            </w:pPr>
            <w:r>
              <w:rPr>
                <w:noProof/>
                <w:sz w:val="20"/>
              </w:rPr>
              <w:t>Budjettikohdan numero</w:t>
            </w:r>
          </w:p>
        </w:tc>
        <w:tc>
          <w:tcPr>
            <w:tcW w:w="1440" w:type="dxa"/>
            <w:vAlign w:val="center"/>
          </w:tcPr>
          <w:p>
            <w:pPr>
              <w:spacing w:before="20" w:after="20"/>
              <w:rPr>
                <w:noProof/>
                <w:sz w:val="18"/>
              </w:rPr>
            </w:pPr>
            <w:r>
              <w:rPr>
                <w:noProof/>
                <w:sz w:val="18"/>
              </w:rPr>
              <w:t>Sitoumukset</w:t>
            </w:r>
          </w:p>
        </w:tc>
        <w:tc>
          <w:tcPr>
            <w:tcW w:w="654" w:type="dxa"/>
            <w:gridSpan w:val="2"/>
            <w:vAlign w:val="center"/>
          </w:tcPr>
          <w:p>
            <w:pPr>
              <w:spacing w:before="20" w:after="20"/>
              <w:jc w:val="center"/>
              <w:rPr>
                <w:noProof/>
                <w:sz w:val="14"/>
              </w:rPr>
            </w:pPr>
            <w:r>
              <w:rPr>
                <w:noProof/>
                <w:sz w:val="14"/>
              </w:rPr>
              <w:t>(1a)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Maksut</w:t>
            </w:r>
          </w:p>
        </w:tc>
        <w:tc>
          <w:tcPr>
            <w:tcW w:w="654" w:type="dxa"/>
            <w:gridSpan w:val="2"/>
            <w:vAlign w:val="center"/>
          </w:tcPr>
          <w:p>
            <w:pPr>
              <w:spacing w:before="20" w:after="20"/>
              <w:jc w:val="center"/>
              <w:rPr>
                <w:noProof/>
                <w:sz w:val="14"/>
              </w:rPr>
            </w:pPr>
            <w:r>
              <w:rPr>
                <w:noProof/>
                <w:sz w:val="14"/>
              </w:rPr>
              <w:t>(2 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231"/>
        </w:trPr>
        <w:tc>
          <w:tcPr>
            <w:tcW w:w="6054" w:type="dxa"/>
            <w:gridSpan w:val="4"/>
            <w:vAlign w:val="center"/>
          </w:tcPr>
          <w:p>
            <w:pPr>
              <w:spacing w:before="20" w:after="20"/>
              <w:rPr>
                <w:noProof/>
                <w:sz w:val="22"/>
              </w:rPr>
            </w:pPr>
            <w:r>
              <w:rPr>
                <w:noProof/>
                <w:sz w:val="21"/>
              </w:rPr>
              <w:t>Tiettyjen ohjelmien määrärahoista katettavat hallintomäärärahat</w:t>
            </w:r>
            <w:r>
              <w:rPr>
                <w:rStyle w:val="FootnoteReference"/>
                <w:noProof/>
                <w:sz w:val="21"/>
              </w:rPr>
              <w:footnoteReference w:id="13"/>
            </w:r>
            <w:r>
              <w:rPr>
                <w:noProof/>
                <w:sz w:val="21"/>
              </w:rPr>
              <w:t xml:space="preserve"> </w:t>
            </w:r>
          </w:p>
          <w:p>
            <w:pPr>
              <w:spacing w:before="0" w:after="0"/>
              <w:rPr>
                <w:noProof/>
                <w:sz w:val="22"/>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319"/>
        </w:trPr>
        <w:tc>
          <w:tcPr>
            <w:tcW w:w="3960" w:type="dxa"/>
            <w:vAlign w:val="center"/>
          </w:tcPr>
          <w:p>
            <w:pPr>
              <w:spacing w:before="60" w:after="60"/>
              <w:rPr>
                <w:noProof/>
                <w:sz w:val="22"/>
              </w:rPr>
            </w:pPr>
            <w:r>
              <w:rPr>
                <w:noProof/>
                <w:sz w:val="20"/>
              </w:rPr>
              <w:t>Budjettikohdan numero</w:t>
            </w:r>
          </w:p>
        </w:tc>
        <w:tc>
          <w:tcPr>
            <w:tcW w:w="1440" w:type="dxa"/>
            <w:vAlign w:val="center"/>
          </w:tcPr>
          <w:p>
            <w:pPr>
              <w:spacing w:before="40" w:after="40"/>
              <w:jc w:val="right"/>
              <w:rPr>
                <w:noProof/>
                <w:sz w:val="18"/>
              </w:rPr>
            </w:pPr>
          </w:p>
        </w:tc>
        <w:tc>
          <w:tcPr>
            <w:tcW w:w="654" w:type="dxa"/>
            <w:gridSpan w:val="2"/>
            <w:vAlign w:val="center"/>
          </w:tcPr>
          <w:p>
            <w:pPr>
              <w:spacing w:before="40" w:after="40"/>
              <w:jc w:val="center"/>
              <w:rPr>
                <w:noProof/>
                <w:sz w:val="14"/>
              </w:rPr>
            </w:pPr>
            <w:r>
              <w:rPr>
                <w:noProof/>
                <w:sz w:val="14"/>
              </w:rPr>
              <w:t>(3)</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c>
          <w:tcPr>
            <w:tcW w:w="3960" w:type="dxa"/>
            <w:vMerge w:val="restart"/>
            <w:vAlign w:val="center"/>
          </w:tcPr>
          <w:p>
            <w:pPr>
              <w:jc w:val="center"/>
              <w:rPr>
                <w:b/>
                <w:noProof/>
                <w:sz w:val="22"/>
              </w:rPr>
            </w:pPr>
            <w:r>
              <w:rPr>
                <w:b/>
                <w:noProof/>
                <w:sz w:val="22"/>
              </w:rPr>
              <w:t>Määrärahat YHTEENSÄ</w:t>
            </w:r>
            <w:r>
              <w:rPr>
                <w:noProof/>
                <w:sz w:val="22"/>
              </w:rPr>
              <w:br/>
            </w:r>
            <w:r>
              <w:rPr>
                <w:b/>
                <w:noProof/>
                <w:sz w:val="22"/>
              </w:rPr>
              <w:t>PO MARE</w:t>
            </w:r>
          </w:p>
        </w:tc>
        <w:tc>
          <w:tcPr>
            <w:tcW w:w="1440" w:type="dxa"/>
            <w:vAlign w:val="center"/>
          </w:tcPr>
          <w:p>
            <w:pPr>
              <w:rPr>
                <w:noProof/>
                <w:sz w:val="18"/>
              </w:rPr>
            </w:pPr>
            <w:r>
              <w:rPr>
                <w:noProof/>
                <w:sz w:val="18"/>
              </w:rPr>
              <w:t>Sitoumukset</w:t>
            </w:r>
          </w:p>
        </w:tc>
        <w:tc>
          <w:tcPr>
            <w:tcW w:w="654" w:type="dxa"/>
            <w:gridSpan w:val="2"/>
            <w:vAlign w:val="center"/>
          </w:tcPr>
          <w:p>
            <w:pPr>
              <w:jc w:val="center"/>
              <w:rPr>
                <w:noProof/>
                <w:sz w:val="14"/>
              </w:rPr>
            </w:pPr>
            <w:r>
              <w:rPr>
                <w:noProof/>
                <w:sz w:val="14"/>
              </w:rPr>
              <w:t>= 1 + 1 a + 3</w:t>
            </w:r>
          </w:p>
        </w:tc>
        <w:tc>
          <w:tcPr>
            <w:tcW w:w="868" w:type="dxa"/>
            <w:vAlign w:val="center"/>
          </w:tcPr>
          <w:p>
            <w:pPr>
              <w:spacing w:before="20" w:after="20"/>
              <w:jc w:val="right"/>
              <w:rPr>
                <w:noProof/>
                <w:sz w:val="20"/>
              </w:rPr>
            </w:pPr>
            <w:r>
              <w:rPr>
                <w:noProof/>
                <w:sz w:val="20"/>
              </w:rPr>
              <w:t>5 000</w:t>
            </w:r>
          </w:p>
        </w:tc>
        <w:tc>
          <w:tcPr>
            <w:tcW w:w="868" w:type="dxa"/>
            <w:vAlign w:val="center"/>
          </w:tcPr>
          <w:p>
            <w:pPr>
              <w:spacing w:before="20" w:after="20"/>
              <w:jc w:val="right"/>
              <w:rPr>
                <w:noProof/>
                <w:sz w:val="20"/>
              </w:rPr>
            </w:pPr>
            <w:r>
              <w:rPr>
                <w:noProof/>
                <w:sz w:val="20"/>
              </w:rPr>
              <w:t>2 500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7 500</w:t>
            </w:r>
          </w:p>
        </w:tc>
      </w:tr>
      <w:tr>
        <w:tc>
          <w:tcPr>
            <w:tcW w:w="3960" w:type="dxa"/>
            <w:vMerge/>
          </w:tcPr>
          <w:p>
            <w:pPr>
              <w:rPr>
                <w:noProof/>
                <w:sz w:val="20"/>
              </w:rPr>
            </w:pPr>
          </w:p>
        </w:tc>
        <w:tc>
          <w:tcPr>
            <w:tcW w:w="1440" w:type="dxa"/>
            <w:vAlign w:val="center"/>
          </w:tcPr>
          <w:p>
            <w:pPr>
              <w:rPr>
                <w:noProof/>
                <w:sz w:val="18"/>
              </w:rPr>
            </w:pPr>
            <w:r>
              <w:rPr>
                <w:noProof/>
                <w:sz w:val="18"/>
              </w:rPr>
              <w:t>Maksut</w:t>
            </w:r>
          </w:p>
        </w:tc>
        <w:tc>
          <w:tcPr>
            <w:tcW w:w="654" w:type="dxa"/>
            <w:gridSpan w:val="2"/>
            <w:vAlign w:val="center"/>
          </w:tcPr>
          <w:p>
            <w:pPr>
              <w:jc w:val="center"/>
              <w:rPr>
                <w:noProof/>
                <w:sz w:val="14"/>
              </w:rPr>
            </w:pPr>
            <w:r>
              <w:rPr>
                <w:noProof/>
                <w:sz w:val="14"/>
              </w:rPr>
              <w:t>= 2 + 2 a</w:t>
            </w:r>
          </w:p>
          <w:p>
            <w:pPr>
              <w:jc w:val="center"/>
              <w:rPr>
                <w:noProof/>
                <w:sz w:val="14"/>
              </w:rPr>
            </w:pPr>
            <w:r>
              <w:rPr>
                <w:noProof/>
                <w:sz w:val="14"/>
              </w:rPr>
              <w:t>+3</w:t>
            </w:r>
          </w:p>
        </w:tc>
        <w:tc>
          <w:tcPr>
            <w:tcW w:w="868" w:type="dxa"/>
            <w:vAlign w:val="center"/>
          </w:tcPr>
          <w:p>
            <w:pPr>
              <w:spacing w:before="20" w:after="20"/>
              <w:jc w:val="right"/>
              <w:rPr>
                <w:noProof/>
                <w:sz w:val="20"/>
              </w:rPr>
            </w:pPr>
            <w:r>
              <w:rPr>
                <w:noProof/>
                <w:sz w:val="20"/>
              </w:rPr>
              <w:t>5 000</w:t>
            </w:r>
          </w:p>
        </w:tc>
        <w:tc>
          <w:tcPr>
            <w:tcW w:w="868" w:type="dxa"/>
            <w:vAlign w:val="center"/>
          </w:tcPr>
          <w:p>
            <w:pPr>
              <w:spacing w:before="20" w:after="20"/>
              <w:jc w:val="right"/>
              <w:rPr>
                <w:noProof/>
                <w:sz w:val="20"/>
              </w:rPr>
            </w:pPr>
            <w:r>
              <w:rPr>
                <w:noProof/>
                <w:sz w:val="20"/>
              </w:rPr>
              <w:t>2 500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7 500</w:t>
            </w:r>
          </w:p>
        </w:tc>
      </w:tr>
    </w:tbl>
    <w:p>
      <w:pPr>
        <w:rPr>
          <w:noProof/>
        </w:rPr>
      </w:pPr>
      <w:r>
        <w:rPr>
          <w:noProof/>
        </w:rPr>
        <w:br/>
      </w: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noProof/>
                <w:sz w:val="22"/>
              </w:rPr>
            </w:pPr>
            <w:r>
              <w:rPr>
                <w:noProof/>
              </w:rPr>
              <w:br w:type="page"/>
            </w:r>
            <w:r>
              <w:rPr>
                <w:noProof/>
                <w:sz w:val="21"/>
              </w:rPr>
              <w:sym w:font="Wingdings" w:char="F09F"/>
            </w:r>
            <w:r>
              <w:rPr>
                <w:noProof/>
                <w:sz w:val="21"/>
              </w:rPr>
              <w:t>Toimintamäärärahat YHTEENSÄ</w:t>
            </w:r>
          </w:p>
        </w:tc>
        <w:tc>
          <w:tcPr>
            <w:tcW w:w="1440" w:type="dxa"/>
            <w:vAlign w:val="center"/>
          </w:tcPr>
          <w:p>
            <w:pPr>
              <w:spacing w:beforeLines="20" w:before="48" w:afterLines="20" w:after="48"/>
              <w:rPr>
                <w:noProof/>
                <w:sz w:val="18"/>
              </w:rPr>
            </w:pPr>
            <w:r>
              <w:rPr>
                <w:noProof/>
                <w:sz w:val="18"/>
              </w:rPr>
              <w:t>Sitoumukset</w:t>
            </w:r>
          </w:p>
        </w:tc>
        <w:tc>
          <w:tcPr>
            <w:tcW w:w="654" w:type="dxa"/>
            <w:vAlign w:val="center"/>
          </w:tcPr>
          <w:p>
            <w:pPr>
              <w:spacing w:beforeLines="20" w:before="48" w:afterLines="20" w:after="48"/>
              <w:jc w:val="center"/>
              <w:rPr>
                <w:noProof/>
                <w:sz w:val="14"/>
              </w:rPr>
            </w:pPr>
            <w:r>
              <w:rPr>
                <w:noProof/>
                <w:sz w:val="14"/>
              </w:rPr>
              <w:t>(4)</w:t>
            </w:r>
          </w:p>
        </w:tc>
        <w:tc>
          <w:tcPr>
            <w:tcW w:w="868" w:type="dxa"/>
            <w:vAlign w:val="center"/>
          </w:tcPr>
          <w:p>
            <w:pPr>
              <w:spacing w:before="20" w:after="20"/>
              <w:jc w:val="right"/>
              <w:rPr>
                <w:noProof/>
                <w:sz w:val="20"/>
              </w:rPr>
            </w:pPr>
            <w:r>
              <w:rPr>
                <w:noProof/>
                <w:sz w:val="20"/>
              </w:rPr>
              <w:t>5 000</w:t>
            </w:r>
          </w:p>
        </w:tc>
        <w:tc>
          <w:tcPr>
            <w:tcW w:w="868" w:type="dxa"/>
            <w:vAlign w:val="center"/>
          </w:tcPr>
          <w:p>
            <w:pPr>
              <w:spacing w:before="20" w:after="20"/>
              <w:jc w:val="right"/>
              <w:rPr>
                <w:noProof/>
                <w:sz w:val="20"/>
              </w:rPr>
            </w:pPr>
            <w:r>
              <w:rPr>
                <w:noProof/>
                <w:sz w:val="20"/>
              </w:rPr>
              <w:t>2 500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7 500</w:t>
            </w:r>
          </w:p>
        </w:tc>
      </w:tr>
      <w:tr>
        <w:tc>
          <w:tcPr>
            <w:tcW w:w="3960" w:type="dxa"/>
            <w:vMerge/>
          </w:tcPr>
          <w:p>
            <w:pPr>
              <w:jc w:val="center"/>
              <w:rPr>
                <w:noProof/>
                <w:sz w:val="20"/>
              </w:rPr>
            </w:pPr>
          </w:p>
        </w:tc>
        <w:tc>
          <w:tcPr>
            <w:tcW w:w="1440" w:type="dxa"/>
            <w:vAlign w:val="center"/>
          </w:tcPr>
          <w:p>
            <w:pPr>
              <w:spacing w:beforeLines="20" w:before="48" w:afterLines="20" w:after="48"/>
              <w:rPr>
                <w:noProof/>
                <w:sz w:val="18"/>
              </w:rPr>
            </w:pPr>
            <w:r>
              <w:rPr>
                <w:noProof/>
                <w:sz w:val="18"/>
              </w:rPr>
              <w:t>Maksut</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r>
              <w:rPr>
                <w:noProof/>
                <w:sz w:val="20"/>
              </w:rPr>
              <w:t>5 000</w:t>
            </w:r>
          </w:p>
        </w:tc>
        <w:tc>
          <w:tcPr>
            <w:tcW w:w="868" w:type="dxa"/>
            <w:vAlign w:val="center"/>
          </w:tcPr>
          <w:p>
            <w:pPr>
              <w:spacing w:before="20" w:after="20"/>
              <w:jc w:val="right"/>
              <w:rPr>
                <w:noProof/>
                <w:sz w:val="20"/>
              </w:rPr>
            </w:pPr>
            <w:r>
              <w:rPr>
                <w:noProof/>
                <w:sz w:val="20"/>
              </w:rPr>
              <w:t>2 500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7 500</w:t>
            </w:r>
          </w:p>
        </w:tc>
      </w:tr>
      <w:tr>
        <w:trPr>
          <w:trHeight w:val="533"/>
        </w:trPr>
        <w:tc>
          <w:tcPr>
            <w:tcW w:w="5400" w:type="dxa"/>
            <w:gridSpan w:val="2"/>
            <w:vAlign w:val="center"/>
          </w:tcPr>
          <w:p>
            <w:pPr>
              <w:spacing w:beforeLines="20" w:before="48" w:afterLines="20" w:after="48"/>
              <w:rPr>
                <w:noProof/>
                <w:sz w:val="22"/>
              </w:rPr>
            </w:pPr>
            <w:r>
              <w:rPr>
                <w:noProof/>
                <w:sz w:val="21"/>
              </w:rPr>
              <w:sym w:font="Wingdings" w:char="F09F"/>
            </w:r>
            <w:r>
              <w:rPr>
                <w:noProof/>
                <w:sz w:val="21"/>
              </w:rPr>
              <w:t>Tiettyjen ohjelmien määrärahoista katettavat hallintomäärärahat YHTEENSÄ</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shd w:val="thinDiagStripe" w:color="C0C0C0" w:fill="auto"/>
            <w:vAlign w:val="center"/>
          </w:tcPr>
          <w:p>
            <w:pPr>
              <w:jc w:val="center"/>
              <w:rPr>
                <w:b/>
                <w:noProof/>
                <w:sz w:val="22"/>
              </w:rPr>
            </w:pPr>
            <w:r>
              <w:rPr>
                <w:b/>
                <w:noProof/>
                <w:sz w:val="22"/>
              </w:rPr>
              <w:t>Määrärahat YHTEENSÄ</w:t>
            </w:r>
            <w:r>
              <w:rPr>
                <w:noProof/>
                <w:sz w:val="22"/>
              </w:rPr>
              <w:br/>
            </w:r>
            <w:r>
              <w:rPr>
                <w:b/>
                <w:noProof/>
                <w:sz w:val="22"/>
              </w:rPr>
              <w:t>Monivuotisen rahoituskehyksen</w:t>
            </w:r>
            <w:r>
              <w:rPr>
                <w:noProof/>
                <w:sz w:val="22"/>
              </w:rPr>
              <w:br/>
            </w:r>
            <w:r>
              <w:rPr>
                <w:b/>
                <w:noProof/>
                <w:sz w:val="22"/>
              </w:rPr>
              <w:t>OTSAKE 2</w:t>
            </w:r>
          </w:p>
        </w:tc>
        <w:tc>
          <w:tcPr>
            <w:tcW w:w="1440" w:type="dxa"/>
            <w:vAlign w:val="center"/>
          </w:tcPr>
          <w:p>
            <w:pPr>
              <w:rPr>
                <w:noProof/>
                <w:sz w:val="18"/>
              </w:rPr>
            </w:pPr>
            <w:r>
              <w:rPr>
                <w:noProof/>
                <w:sz w:val="18"/>
              </w:rPr>
              <w:t>Sitoumukset</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r>
              <w:rPr>
                <w:noProof/>
                <w:sz w:val="20"/>
              </w:rPr>
              <w:t>5 000</w:t>
            </w:r>
          </w:p>
        </w:tc>
        <w:tc>
          <w:tcPr>
            <w:tcW w:w="868" w:type="dxa"/>
            <w:vAlign w:val="center"/>
          </w:tcPr>
          <w:p>
            <w:pPr>
              <w:spacing w:before="20" w:after="20"/>
              <w:jc w:val="right"/>
              <w:rPr>
                <w:noProof/>
                <w:sz w:val="20"/>
              </w:rPr>
            </w:pPr>
            <w:r>
              <w:rPr>
                <w:noProof/>
                <w:sz w:val="20"/>
              </w:rPr>
              <w:t>2 500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7 500</w:t>
            </w:r>
          </w:p>
        </w:tc>
      </w:tr>
      <w:tr>
        <w:tc>
          <w:tcPr>
            <w:tcW w:w="3960" w:type="dxa"/>
            <w:vMerge/>
            <w:shd w:val="thinDiagStripe" w:color="C0C0C0" w:fill="auto"/>
          </w:tcPr>
          <w:p>
            <w:pPr>
              <w:rPr>
                <w:noProof/>
                <w:sz w:val="20"/>
              </w:rPr>
            </w:pPr>
          </w:p>
        </w:tc>
        <w:tc>
          <w:tcPr>
            <w:tcW w:w="1440" w:type="dxa"/>
            <w:vAlign w:val="center"/>
          </w:tcPr>
          <w:p>
            <w:pPr>
              <w:rPr>
                <w:noProof/>
                <w:sz w:val="18"/>
              </w:rPr>
            </w:pPr>
            <w:r>
              <w:rPr>
                <w:noProof/>
                <w:sz w:val="18"/>
              </w:rPr>
              <w:t>Maksut</w:t>
            </w:r>
          </w:p>
        </w:tc>
        <w:tc>
          <w:tcPr>
            <w:tcW w:w="654" w:type="dxa"/>
            <w:vAlign w:val="center"/>
          </w:tcPr>
          <w:p>
            <w:pPr>
              <w:jc w:val="center"/>
              <w:rPr>
                <w:noProof/>
                <w:sz w:val="14"/>
              </w:rPr>
            </w:pPr>
            <w:r>
              <w:rPr>
                <w:noProof/>
                <w:sz w:val="14"/>
              </w:rPr>
              <w:t>=5+ 6</w:t>
            </w:r>
          </w:p>
        </w:tc>
        <w:tc>
          <w:tcPr>
            <w:tcW w:w="868" w:type="dxa"/>
            <w:vAlign w:val="center"/>
          </w:tcPr>
          <w:p>
            <w:pPr>
              <w:spacing w:before="20" w:after="20"/>
              <w:jc w:val="right"/>
              <w:rPr>
                <w:noProof/>
                <w:sz w:val="20"/>
              </w:rPr>
            </w:pPr>
            <w:r>
              <w:rPr>
                <w:noProof/>
                <w:sz w:val="20"/>
              </w:rPr>
              <w:t>5 000</w:t>
            </w:r>
          </w:p>
        </w:tc>
        <w:tc>
          <w:tcPr>
            <w:tcW w:w="868" w:type="dxa"/>
            <w:vAlign w:val="center"/>
          </w:tcPr>
          <w:p>
            <w:pPr>
              <w:spacing w:before="20" w:after="20"/>
              <w:jc w:val="right"/>
              <w:rPr>
                <w:noProof/>
                <w:sz w:val="20"/>
              </w:rPr>
            </w:pPr>
            <w:r>
              <w:rPr>
                <w:noProof/>
                <w:sz w:val="20"/>
              </w:rPr>
              <w:t>2 500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7 500</w:t>
            </w:r>
          </w:p>
        </w:tc>
      </w:tr>
    </w:tbl>
    <w:p>
      <w:pPr>
        <w:spacing w:after="40"/>
        <w:rPr>
          <w:b/>
          <w:noProof/>
          <w:sz w:val="22"/>
          <w:u w:val="single"/>
        </w:rPr>
      </w:pPr>
      <w:r>
        <w:rPr>
          <w:b/>
          <w:noProof/>
          <w:sz w:val="22"/>
          <w:u w:val="single"/>
        </w:rPr>
        <w:t>Jos ehdotuksella/aloitteella on vaikutuksia useampaan otsakkeeseen:</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FF0000"/>
              <w:left w:val="single" w:sz="4" w:space="0" w:color="auto"/>
              <w:bottom w:val="single" w:sz="4" w:space="0" w:color="FF0000"/>
            </w:tcBorders>
            <w:vAlign w:val="center"/>
          </w:tcPr>
          <w:p>
            <w:pPr>
              <w:spacing w:before="20" w:after="20"/>
              <w:rPr>
                <w:noProof/>
                <w:sz w:val="22"/>
              </w:rPr>
            </w:pPr>
            <w:r>
              <w:rPr>
                <w:noProof/>
                <w:sz w:val="21"/>
              </w:rPr>
              <w:sym w:font="Wingdings" w:char="F09F"/>
            </w:r>
            <w:r>
              <w:rPr>
                <w:noProof/>
                <w:sz w:val="21"/>
              </w:rPr>
              <w:t>Toimintamäärärahat YHTEENSÄ</w:t>
            </w:r>
          </w:p>
        </w:tc>
        <w:tc>
          <w:tcPr>
            <w:tcW w:w="1440" w:type="dxa"/>
            <w:tcBorders>
              <w:top w:val="single" w:sz="4" w:space="0" w:color="FF0000"/>
            </w:tcBorders>
            <w:vAlign w:val="center"/>
          </w:tcPr>
          <w:p>
            <w:pPr>
              <w:spacing w:beforeLines="20" w:before="48" w:afterLines="20" w:after="48"/>
              <w:rPr>
                <w:noProof/>
                <w:sz w:val="18"/>
              </w:rPr>
            </w:pPr>
            <w:r>
              <w:rPr>
                <w:noProof/>
                <w:sz w:val="18"/>
              </w:rPr>
              <w:t>Sitoumukset</w:t>
            </w:r>
          </w:p>
        </w:tc>
        <w:tc>
          <w:tcPr>
            <w:tcW w:w="654" w:type="dxa"/>
            <w:tcBorders>
              <w:top w:val="single" w:sz="4" w:space="0" w:color="FF0000"/>
            </w:tcBorders>
            <w:vAlign w:val="center"/>
          </w:tcPr>
          <w:p>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b/>
                <w:noProof/>
                <w:sz w:val="20"/>
              </w:rPr>
            </w:pPr>
          </w:p>
        </w:tc>
        <w:tc>
          <w:tcPr>
            <w:tcW w:w="1777" w:type="dxa"/>
            <w:tcBorders>
              <w:top w:val="single" w:sz="4" w:space="0" w:color="FF0000"/>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Maksut</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sz w:val="22"/>
              </w:rPr>
            </w:pPr>
            <w:r>
              <w:rPr>
                <w:noProof/>
                <w:sz w:val="21"/>
              </w:rPr>
              <w:sym w:font="Wingdings" w:char="F09F"/>
            </w:r>
            <w:r>
              <w:rPr>
                <w:noProof/>
                <w:sz w:val="21"/>
              </w:rPr>
              <w:t>Tiettyjen ohjelmien määrärahoista katettavat hallintomäärärahat YHTEENSÄ</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sz w:val="22"/>
              </w:rPr>
            </w:pPr>
            <w:r>
              <w:rPr>
                <w:b/>
                <w:noProof/>
                <w:sz w:val="22"/>
              </w:rPr>
              <w:t>Määrärahat YHTEENSÄ</w:t>
            </w:r>
            <w:r>
              <w:rPr>
                <w:noProof/>
                <w:sz w:val="22"/>
              </w:rPr>
              <w:br/>
            </w:r>
            <w:r>
              <w:rPr>
                <w:b/>
                <w:noProof/>
                <w:sz w:val="22"/>
              </w:rPr>
              <w:t>Monivuotisen rahoituskehyksen</w:t>
            </w:r>
            <w:r>
              <w:rPr>
                <w:noProof/>
                <w:sz w:val="22"/>
              </w:rPr>
              <w:br/>
            </w:r>
            <w:r>
              <w:rPr>
                <w:b/>
                <w:noProof/>
                <w:sz w:val="22"/>
              </w:rPr>
              <w:t>OTSAKE 1–4</w:t>
            </w:r>
            <w:r>
              <w:rPr>
                <w:noProof/>
                <w:sz w:val="22"/>
              </w:rPr>
              <w:br/>
            </w:r>
            <w:r>
              <w:rPr>
                <w:noProof/>
                <w:sz w:val="20"/>
              </w:rPr>
              <w:t>(Viitemäärä)</w:t>
            </w:r>
          </w:p>
        </w:tc>
        <w:tc>
          <w:tcPr>
            <w:tcW w:w="1440" w:type="dxa"/>
            <w:vAlign w:val="center"/>
          </w:tcPr>
          <w:p>
            <w:pPr>
              <w:rPr>
                <w:noProof/>
                <w:sz w:val="18"/>
              </w:rPr>
            </w:pPr>
            <w:r>
              <w:rPr>
                <w:noProof/>
                <w:sz w:val="18"/>
              </w:rPr>
              <w:t>Sitoumukset</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FF0000"/>
            </w:tcBorders>
            <w:shd w:val="thinDiagStripe" w:color="C0C0C0" w:fill="auto"/>
          </w:tcPr>
          <w:p>
            <w:pPr>
              <w:rPr>
                <w:noProof/>
                <w:sz w:val="20"/>
              </w:rPr>
            </w:pPr>
          </w:p>
        </w:tc>
        <w:tc>
          <w:tcPr>
            <w:tcW w:w="1440" w:type="dxa"/>
            <w:tcBorders>
              <w:bottom w:val="single" w:sz="4" w:space="0" w:color="FF0000"/>
            </w:tcBorders>
            <w:vAlign w:val="center"/>
          </w:tcPr>
          <w:p>
            <w:pPr>
              <w:rPr>
                <w:noProof/>
                <w:sz w:val="18"/>
              </w:rPr>
            </w:pPr>
            <w:r>
              <w:rPr>
                <w:noProof/>
                <w:sz w:val="18"/>
              </w:rPr>
              <w:t>Maksut</w:t>
            </w:r>
          </w:p>
        </w:tc>
        <w:tc>
          <w:tcPr>
            <w:tcW w:w="654" w:type="dxa"/>
            <w:tcBorders>
              <w:bottom w:val="single" w:sz="4" w:space="0" w:color="FF0000"/>
            </w:tcBorders>
            <w:vAlign w:val="center"/>
          </w:tcPr>
          <w:p>
            <w:pPr>
              <w:jc w:val="center"/>
              <w:rPr>
                <w:noProof/>
                <w:sz w:val="14"/>
              </w:rPr>
            </w:pPr>
            <w:r>
              <w:rPr>
                <w:noProof/>
                <w:sz w:val="14"/>
              </w:rPr>
              <w:t>=5+ 6</w:t>
            </w: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b/>
                <w:noProof/>
                <w:sz w:val="20"/>
              </w:rPr>
            </w:pPr>
          </w:p>
        </w:tc>
        <w:tc>
          <w:tcPr>
            <w:tcW w:w="1777" w:type="dxa"/>
            <w:tcBorders>
              <w:bottom w:val="single" w:sz="4" w:space="0" w:color="FF0000"/>
              <w:right w:val="single" w:sz="4" w:space="0" w:color="auto"/>
            </w:tcBorders>
            <w:vAlign w:val="center"/>
          </w:tcPr>
          <w:p>
            <w:pPr>
              <w:spacing w:before="20" w:after="20"/>
              <w:jc w:val="right"/>
              <w:rPr>
                <w:b/>
                <w:noProof/>
                <w:sz w:val="20"/>
              </w:rPr>
            </w:pPr>
          </w:p>
        </w:tc>
      </w:tr>
    </w:tbl>
    <w:p>
      <w:pPr>
        <w:rPr>
          <w:noProof/>
        </w:rPr>
      </w:pPr>
    </w:p>
    <w:p>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rPr>
              <w:t>Monivuotisen rahoituskehyksen</w:t>
            </w:r>
            <w:r>
              <w:rPr>
                <w:noProof/>
                <w:sz w:val="22"/>
              </w:rPr>
              <w:br/>
            </w:r>
            <w:r>
              <w:rPr>
                <w:b/>
                <w:noProof/>
                <w:sz w:val="22"/>
              </w:rPr>
              <w:t xml:space="preserve">otsake </w:t>
            </w:r>
          </w:p>
        </w:tc>
        <w:tc>
          <w:tcPr>
            <w:tcW w:w="1080" w:type="dxa"/>
            <w:shd w:val="thinDiagStripe" w:color="C0C0C0" w:fill="auto"/>
            <w:vAlign w:val="center"/>
          </w:tcPr>
          <w:p>
            <w:pPr>
              <w:spacing w:before="60" w:after="60"/>
              <w:jc w:val="center"/>
              <w:rPr>
                <w:noProof/>
                <w:sz w:val="22"/>
              </w:rPr>
            </w:pPr>
            <w:r>
              <w:rPr>
                <w:b/>
                <w:noProof/>
                <w:sz w:val="22"/>
              </w:rPr>
              <w:t>5</w:t>
            </w:r>
          </w:p>
        </w:tc>
        <w:tc>
          <w:tcPr>
            <w:tcW w:w="7817" w:type="dxa"/>
            <w:vAlign w:val="center"/>
          </w:tcPr>
          <w:p>
            <w:pPr>
              <w:spacing w:before="60" w:after="60"/>
              <w:rPr>
                <w:noProof/>
                <w:sz w:val="22"/>
              </w:rPr>
            </w:pPr>
            <w:r>
              <w:rPr>
                <w:noProof/>
                <w:sz w:val="22"/>
              </w:rPr>
              <w:t>”Hallintomenot”</w:t>
            </w:r>
          </w:p>
        </w:tc>
      </w:tr>
    </w:tbl>
    <w:p>
      <w:pPr>
        <w:jc w:val="right"/>
        <w:rPr>
          <w:noProof/>
          <w:sz w:val="20"/>
        </w:rPr>
      </w:pPr>
      <w:r>
        <w:rPr>
          <w:noProof/>
          <w:sz w:val="20"/>
        </w:rPr>
        <w:t>milj. euroa (kolmen desimaalin tarkkuudella)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Vuosi</w:t>
            </w:r>
            <w:r>
              <w:rPr>
                <w:noProof/>
                <w:sz w:val="22"/>
              </w:rPr>
              <w:br/>
            </w:r>
            <w:r>
              <w:rPr>
                <w:b/>
                <w:noProof/>
                <w:sz w:val="20"/>
              </w:rPr>
              <w:t>N</w:t>
            </w:r>
          </w:p>
        </w:tc>
        <w:tc>
          <w:tcPr>
            <w:tcW w:w="868" w:type="dxa"/>
            <w:vAlign w:val="center"/>
          </w:tcPr>
          <w:p>
            <w:pPr>
              <w:jc w:val="center"/>
              <w:rPr>
                <w:noProof/>
                <w:sz w:val="20"/>
              </w:rPr>
            </w:pPr>
            <w:r>
              <w:rPr>
                <w:noProof/>
                <w:sz w:val="20"/>
              </w:rPr>
              <w:t>Vuosi</w:t>
            </w:r>
            <w:r>
              <w:rPr>
                <w:noProof/>
                <w:sz w:val="22"/>
              </w:rPr>
              <w:br/>
            </w:r>
            <w:r>
              <w:rPr>
                <w:b/>
                <w:noProof/>
                <w:sz w:val="20"/>
              </w:rPr>
              <w:t>N+1</w:t>
            </w:r>
          </w:p>
        </w:tc>
        <w:tc>
          <w:tcPr>
            <w:tcW w:w="868" w:type="dxa"/>
            <w:vAlign w:val="center"/>
          </w:tcPr>
          <w:p>
            <w:pPr>
              <w:jc w:val="center"/>
              <w:rPr>
                <w:noProof/>
                <w:sz w:val="20"/>
              </w:rPr>
            </w:pPr>
            <w:r>
              <w:rPr>
                <w:noProof/>
                <w:sz w:val="20"/>
              </w:rPr>
              <w:t>Vuosi</w:t>
            </w:r>
            <w:r>
              <w:rPr>
                <w:noProof/>
                <w:sz w:val="22"/>
              </w:rPr>
              <w:br/>
            </w:r>
            <w:r>
              <w:rPr>
                <w:b/>
                <w:noProof/>
                <w:sz w:val="20"/>
              </w:rPr>
              <w:t>N+2</w:t>
            </w:r>
          </w:p>
        </w:tc>
        <w:tc>
          <w:tcPr>
            <w:tcW w:w="868" w:type="dxa"/>
            <w:vAlign w:val="center"/>
          </w:tcPr>
          <w:p>
            <w:pPr>
              <w:jc w:val="center"/>
              <w:rPr>
                <w:noProof/>
                <w:sz w:val="20"/>
              </w:rPr>
            </w:pPr>
            <w:r>
              <w:rPr>
                <w:noProof/>
                <w:sz w:val="20"/>
              </w:rPr>
              <w:t>Vuosi</w:t>
            </w:r>
            <w:r>
              <w:rPr>
                <w:noProof/>
                <w:sz w:val="22"/>
              </w:rPr>
              <w:br/>
            </w:r>
            <w:r>
              <w:rPr>
                <w:b/>
                <w:noProof/>
                <w:sz w:val="20"/>
              </w:rPr>
              <w:t>N+3</w:t>
            </w:r>
          </w:p>
        </w:tc>
        <w:tc>
          <w:tcPr>
            <w:tcW w:w="2604" w:type="dxa"/>
            <w:gridSpan w:val="3"/>
            <w:vAlign w:val="center"/>
          </w:tcPr>
          <w:p>
            <w:pPr>
              <w:jc w:val="center"/>
              <w:rPr>
                <w:b/>
                <w:noProof/>
                <w:sz w:val="18"/>
              </w:rPr>
            </w:pPr>
            <w:r>
              <w:rPr>
                <w:noProof/>
                <w:sz w:val="18"/>
              </w:rPr>
              <w:t xml:space="preserve">ja näitä seuraavat vuodet (ilmoitetaan kaikki vuodet, joille ehdotuksen/aloitteen vaikutukset ulottuvat, ks. kohta 1.6) </w:t>
            </w:r>
          </w:p>
        </w:tc>
        <w:tc>
          <w:tcPr>
            <w:tcW w:w="1777" w:type="dxa"/>
            <w:vAlign w:val="center"/>
          </w:tcPr>
          <w:p>
            <w:pPr>
              <w:jc w:val="center"/>
              <w:rPr>
                <w:b/>
                <w:noProof/>
                <w:sz w:val="20"/>
              </w:rPr>
            </w:pPr>
            <w:r>
              <w:rPr>
                <w:b/>
                <w:noProof/>
                <w:sz w:val="20"/>
              </w:rPr>
              <w:t>YHTEENSÄ</w:t>
            </w:r>
          </w:p>
        </w:tc>
      </w:tr>
      <w:tr>
        <w:trPr>
          <w:gridAfter w:val="10"/>
          <w:wAfter w:w="9947" w:type="dxa"/>
        </w:trPr>
        <w:tc>
          <w:tcPr>
            <w:tcW w:w="3960" w:type="dxa"/>
            <w:vAlign w:val="center"/>
          </w:tcPr>
          <w:p>
            <w:pPr>
              <w:spacing w:before="60" w:after="60"/>
              <w:jc w:val="center"/>
              <w:rPr>
                <w:noProof/>
                <w:sz w:val="22"/>
              </w:rPr>
            </w:pPr>
            <w:r>
              <w:rPr>
                <w:noProof/>
                <w:sz w:val="22"/>
              </w:rPr>
              <w:t>PO: &lt;…….&gt;</w:t>
            </w:r>
          </w:p>
        </w:tc>
      </w:tr>
      <w:tr>
        <w:trPr>
          <w:trHeight w:val="313"/>
        </w:trPr>
        <w:tc>
          <w:tcPr>
            <w:tcW w:w="6054" w:type="dxa"/>
            <w:gridSpan w:val="3"/>
            <w:vAlign w:val="center"/>
          </w:tcPr>
          <w:p>
            <w:pPr>
              <w:spacing w:before="20" w:after="20"/>
              <w:rPr>
                <w:noProof/>
                <w:sz w:val="22"/>
              </w:rPr>
            </w:pPr>
            <w:r>
              <w:rPr>
                <w:noProof/>
                <w:sz w:val="22"/>
              </w:rPr>
              <w:sym w:font="Wingdings" w:char="F09F"/>
            </w:r>
            <w:r>
              <w:rPr>
                <w:noProof/>
                <w:sz w:val="22"/>
              </w:rPr>
              <w:t>Henkilöresurssit</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sz w:val="22"/>
              </w:rPr>
            </w:pPr>
            <w:r>
              <w:rPr>
                <w:noProof/>
                <w:sz w:val="22"/>
              </w:rPr>
              <w:sym w:font="Wingdings" w:char="F09F"/>
            </w:r>
            <w:r>
              <w:rPr>
                <w:noProof/>
                <w:sz w:val="22"/>
              </w:rPr>
              <w:t>Muut hallintomenot</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PO &lt;….&gt; YHTEENSÄ</w:t>
            </w:r>
          </w:p>
        </w:tc>
        <w:tc>
          <w:tcPr>
            <w:tcW w:w="2094" w:type="dxa"/>
            <w:gridSpan w:val="2"/>
            <w:vAlign w:val="center"/>
          </w:tcPr>
          <w:p>
            <w:pPr>
              <w:rPr>
                <w:noProof/>
                <w:sz w:val="14"/>
              </w:rPr>
            </w:pPr>
            <w:r>
              <w:rPr>
                <w:noProof/>
                <w:sz w:val="18"/>
              </w:rPr>
              <w:t xml:space="preserve">Määrärahat </w:t>
            </w:r>
          </w:p>
        </w:tc>
        <w:tc>
          <w:tcPr>
            <w:tcW w:w="868" w:type="dxa"/>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sz w:val="22"/>
              </w:rPr>
            </w:pPr>
            <w:r>
              <w:rPr>
                <w:b/>
                <w:noProof/>
                <w:sz w:val="22"/>
              </w:rPr>
              <w:t>Määrärahat YHTEENSÄ</w:t>
            </w:r>
            <w:r>
              <w:rPr>
                <w:noProof/>
                <w:sz w:val="22"/>
              </w:rPr>
              <w:br/>
            </w:r>
            <w:r>
              <w:rPr>
                <w:b/>
                <w:noProof/>
                <w:sz w:val="22"/>
              </w:rPr>
              <w:t>Monivuotisen rahoituskehyksen</w:t>
            </w:r>
            <w:r>
              <w:rPr>
                <w:noProof/>
                <w:sz w:val="22"/>
              </w:rPr>
              <w:br/>
            </w:r>
            <w:r>
              <w:rPr>
                <w:b/>
                <w:noProof/>
                <w:sz w:val="22"/>
              </w:rPr>
              <w:t xml:space="preserve">OTSAKKEESSA 5 </w:t>
            </w:r>
          </w:p>
        </w:tc>
        <w:tc>
          <w:tcPr>
            <w:tcW w:w="2094" w:type="dxa"/>
            <w:vAlign w:val="center"/>
          </w:tcPr>
          <w:p>
            <w:pPr>
              <w:spacing w:before="40" w:after="40"/>
              <w:rPr>
                <w:noProof/>
                <w:sz w:val="22"/>
              </w:rPr>
            </w:pPr>
            <w:r>
              <w:rPr>
                <w:noProof/>
                <w:sz w:val="18"/>
              </w:rPr>
              <w:t>(Sitoumukset yhteensä = maksut yhteensä)</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milj. euroa (kolmen desimaalin tarkkuudella)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Vuosi</w:t>
            </w:r>
            <w:r>
              <w:rPr>
                <w:noProof/>
                <w:sz w:val="22"/>
              </w:rPr>
              <w:br/>
            </w:r>
            <w:r>
              <w:rPr>
                <w:b/>
                <w:noProof/>
                <w:sz w:val="20"/>
              </w:rPr>
              <w:t>2017</w:t>
            </w:r>
          </w:p>
        </w:tc>
        <w:tc>
          <w:tcPr>
            <w:tcW w:w="868" w:type="dxa"/>
            <w:vAlign w:val="center"/>
          </w:tcPr>
          <w:p>
            <w:pPr>
              <w:jc w:val="center"/>
              <w:rPr>
                <w:noProof/>
                <w:sz w:val="20"/>
              </w:rPr>
            </w:pPr>
            <w:r>
              <w:rPr>
                <w:noProof/>
                <w:sz w:val="20"/>
              </w:rPr>
              <w:t>Vuosi</w:t>
            </w:r>
            <w:r>
              <w:rPr>
                <w:noProof/>
                <w:sz w:val="22"/>
              </w:rPr>
              <w:br/>
            </w:r>
            <w:r>
              <w:rPr>
                <w:b/>
                <w:noProof/>
                <w:sz w:val="20"/>
              </w:rPr>
              <w:t>2018</w:t>
            </w:r>
          </w:p>
        </w:tc>
        <w:tc>
          <w:tcPr>
            <w:tcW w:w="868" w:type="dxa"/>
            <w:vAlign w:val="center"/>
          </w:tcPr>
          <w:p>
            <w:pPr>
              <w:jc w:val="center"/>
              <w:rPr>
                <w:noProof/>
                <w:sz w:val="20"/>
              </w:rPr>
            </w:pPr>
            <w:r>
              <w:rPr>
                <w:noProof/>
                <w:sz w:val="20"/>
              </w:rPr>
              <w:t>Vuosi</w:t>
            </w:r>
            <w:r>
              <w:rPr>
                <w:noProof/>
                <w:sz w:val="22"/>
              </w:rPr>
              <w:br/>
            </w:r>
            <w:r>
              <w:rPr>
                <w:b/>
                <w:noProof/>
                <w:sz w:val="20"/>
              </w:rPr>
              <w:t>2019</w:t>
            </w:r>
          </w:p>
        </w:tc>
        <w:tc>
          <w:tcPr>
            <w:tcW w:w="868" w:type="dxa"/>
            <w:vAlign w:val="center"/>
          </w:tcPr>
          <w:p>
            <w:pPr>
              <w:jc w:val="center"/>
              <w:rPr>
                <w:noProof/>
                <w:sz w:val="20"/>
              </w:rPr>
            </w:pPr>
            <w:r>
              <w:rPr>
                <w:noProof/>
                <w:sz w:val="20"/>
              </w:rPr>
              <w:t>Vuosi</w:t>
            </w:r>
            <w:r>
              <w:rPr>
                <w:noProof/>
                <w:sz w:val="22"/>
              </w:rPr>
              <w:br/>
            </w:r>
            <w:r>
              <w:rPr>
                <w:b/>
                <w:noProof/>
                <w:sz w:val="20"/>
              </w:rPr>
              <w:t>N+3</w:t>
            </w:r>
          </w:p>
        </w:tc>
        <w:tc>
          <w:tcPr>
            <w:tcW w:w="2604" w:type="dxa"/>
            <w:gridSpan w:val="3"/>
            <w:vAlign w:val="center"/>
          </w:tcPr>
          <w:p>
            <w:pPr>
              <w:jc w:val="center"/>
              <w:rPr>
                <w:b/>
                <w:noProof/>
                <w:sz w:val="18"/>
              </w:rPr>
            </w:pPr>
            <w:r>
              <w:rPr>
                <w:noProof/>
                <w:sz w:val="18"/>
              </w:rPr>
              <w:t>ja näitä seuraavat vuodet (ilmoitetaan kaikki vuodet, joille ehdotuksen/aloitteen vaikutukset ulottuvat, ks. kohta 1.6)</w:t>
            </w:r>
          </w:p>
        </w:tc>
        <w:tc>
          <w:tcPr>
            <w:tcW w:w="1777" w:type="dxa"/>
            <w:vAlign w:val="center"/>
          </w:tcPr>
          <w:p>
            <w:pPr>
              <w:jc w:val="center"/>
              <w:rPr>
                <w:b/>
                <w:noProof/>
                <w:sz w:val="20"/>
              </w:rPr>
            </w:pPr>
            <w:r>
              <w:rPr>
                <w:b/>
                <w:noProof/>
                <w:sz w:val="20"/>
              </w:rPr>
              <w:t>YHTEENSÄ</w:t>
            </w:r>
          </w:p>
        </w:tc>
      </w:tr>
      <w:tr>
        <w:tc>
          <w:tcPr>
            <w:tcW w:w="3960" w:type="dxa"/>
            <w:vMerge w:val="restart"/>
            <w:shd w:val="clear" w:color="auto" w:fill="C0C0C0"/>
            <w:vAlign w:val="center"/>
          </w:tcPr>
          <w:p>
            <w:pPr>
              <w:jc w:val="center"/>
              <w:rPr>
                <w:b/>
                <w:noProof/>
                <w:sz w:val="22"/>
              </w:rPr>
            </w:pPr>
            <w:r>
              <w:rPr>
                <w:b/>
                <w:noProof/>
                <w:sz w:val="22"/>
              </w:rPr>
              <w:t>Määrärahat YHTEENSÄ</w:t>
            </w:r>
            <w:r>
              <w:rPr>
                <w:noProof/>
                <w:sz w:val="22"/>
              </w:rPr>
              <w:br/>
            </w:r>
            <w:r>
              <w:rPr>
                <w:b/>
                <w:noProof/>
                <w:sz w:val="22"/>
              </w:rPr>
              <w:t>Monivuotisen rahoituskehyksen</w:t>
            </w:r>
            <w:r>
              <w:rPr>
                <w:noProof/>
                <w:sz w:val="22"/>
              </w:rPr>
              <w:br/>
            </w:r>
            <w:r>
              <w:rPr>
                <w:b/>
                <w:noProof/>
                <w:sz w:val="22"/>
              </w:rPr>
              <w:t xml:space="preserve">OTSAKKEESSA 1–5 </w:t>
            </w:r>
          </w:p>
        </w:tc>
        <w:tc>
          <w:tcPr>
            <w:tcW w:w="2094" w:type="dxa"/>
            <w:gridSpan w:val="2"/>
            <w:vAlign w:val="center"/>
          </w:tcPr>
          <w:p>
            <w:pPr>
              <w:rPr>
                <w:noProof/>
                <w:sz w:val="14"/>
              </w:rPr>
            </w:pPr>
            <w:r>
              <w:rPr>
                <w:noProof/>
                <w:sz w:val="18"/>
              </w:rPr>
              <w:t>Sitoumukset</w:t>
            </w:r>
          </w:p>
        </w:tc>
        <w:tc>
          <w:tcPr>
            <w:tcW w:w="868" w:type="dxa"/>
            <w:vAlign w:val="center"/>
          </w:tcPr>
          <w:p>
            <w:pPr>
              <w:spacing w:before="60" w:after="60"/>
              <w:jc w:val="right"/>
              <w:rPr>
                <w:noProof/>
                <w:sz w:val="20"/>
              </w:rPr>
            </w:pPr>
            <w:r>
              <w:rPr>
                <w:noProof/>
                <w:sz w:val="20"/>
              </w:rPr>
              <w:t>5 000</w:t>
            </w:r>
          </w:p>
        </w:tc>
        <w:tc>
          <w:tcPr>
            <w:tcW w:w="868" w:type="dxa"/>
            <w:vAlign w:val="center"/>
          </w:tcPr>
          <w:p>
            <w:pPr>
              <w:spacing w:before="60" w:after="60"/>
              <w:jc w:val="right"/>
              <w:rPr>
                <w:noProof/>
                <w:sz w:val="20"/>
              </w:rPr>
            </w:pPr>
            <w:r>
              <w:rPr>
                <w:noProof/>
                <w:sz w:val="20"/>
              </w:rPr>
              <w:t>2 500</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7 500</w:t>
            </w: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Maksut</w:t>
            </w:r>
          </w:p>
        </w:tc>
        <w:tc>
          <w:tcPr>
            <w:tcW w:w="868" w:type="dxa"/>
            <w:vAlign w:val="center"/>
          </w:tcPr>
          <w:p>
            <w:pPr>
              <w:spacing w:before="60" w:after="60"/>
              <w:jc w:val="right"/>
              <w:rPr>
                <w:noProof/>
                <w:sz w:val="20"/>
              </w:rPr>
            </w:pPr>
            <w:r>
              <w:rPr>
                <w:noProof/>
                <w:sz w:val="20"/>
              </w:rPr>
              <w:t>5 000</w:t>
            </w:r>
          </w:p>
        </w:tc>
        <w:tc>
          <w:tcPr>
            <w:tcW w:w="868" w:type="dxa"/>
            <w:vAlign w:val="center"/>
          </w:tcPr>
          <w:p>
            <w:pPr>
              <w:spacing w:before="60" w:after="60"/>
              <w:jc w:val="right"/>
              <w:rPr>
                <w:noProof/>
                <w:sz w:val="20"/>
              </w:rPr>
            </w:pPr>
            <w:r>
              <w:rPr>
                <w:noProof/>
                <w:sz w:val="20"/>
              </w:rPr>
              <w:t>2 500</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7 500</w:t>
            </w: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bCs/>
          <w:noProof/>
          <w:szCs w:val="24"/>
        </w:rPr>
      </w:pPr>
      <w:r>
        <w:t>3.2.2.</w:t>
      </w:r>
      <w:r>
        <w:tab/>
      </w:r>
      <w:r>
        <w:rPr>
          <w:noProof/>
        </w:rPr>
        <w:t xml:space="preserve">Arvioidut vaikutukset toimintamäärärahoihin </w:t>
      </w:r>
    </w:p>
    <w:p>
      <w:pPr>
        <w:pStyle w:val="ListDash1"/>
        <w:rPr>
          <w:noProof/>
        </w:rPr>
      </w:pPr>
      <w:r>
        <w:rPr>
          <w:noProof/>
        </w:rPr>
        <w:sym w:font="Wingdings" w:char="F0A8"/>
      </w:r>
      <w:r>
        <w:rPr>
          <w:noProof/>
        </w:rPr>
        <w:tab/>
        <w:t xml:space="preserve">Ehdotus/aloite ei edellytä toimintamäärärahoja. </w:t>
      </w:r>
    </w:p>
    <w:p>
      <w:pPr>
        <w:pStyle w:val="ListDash1"/>
        <w:rPr>
          <w:noProof/>
        </w:rPr>
      </w:pPr>
      <w:r>
        <w:rPr>
          <w:b/>
          <w:noProof/>
        </w:rPr>
        <w:t>X</w:t>
      </w:r>
      <w:r>
        <w:rPr>
          <w:noProof/>
        </w:rPr>
        <w:tab/>
        <w:t>Ehdotus/aloite edellyttää toimintamäärärahoja seuraavasti:</w:t>
      </w:r>
    </w:p>
    <w:p>
      <w:pPr>
        <w:jc w:val="right"/>
        <w:rPr>
          <w:noProof/>
          <w:sz w:val="20"/>
        </w:rPr>
      </w:pPr>
      <w:r>
        <w:rPr>
          <w:noProof/>
          <w:sz w:val="20"/>
        </w:rPr>
        <w:t>Maksusitoumusmäärärahat, milj. euroa (kolmen desimaalin tarkkuudella)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72"/>
        <w:gridCol w:w="648"/>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szCs w:val="18"/>
              </w:rPr>
            </w:pPr>
            <w:r>
              <w:rPr>
                <w:b/>
                <w:noProof/>
                <w:sz w:val="18"/>
              </w:rPr>
              <w:t xml:space="preserve">Tavoitteet ja tuotokset </w:t>
            </w:r>
          </w:p>
          <w:p>
            <w:pPr>
              <w:ind w:right="-29"/>
              <w:jc w:val="center"/>
              <w:rPr>
                <w:b/>
                <w:noProof/>
                <w:sz w:val="18"/>
                <w:szCs w:val="18"/>
              </w:rPr>
            </w:pPr>
          </w:p>
          <w:p>
            <w:pPr>
              <w:ind w:right="-29"/>
              <w:jc w:val="center"/>
              <w:rPr>
                <w:noProof/>
                <w:sz w:val="18"/>
                <w:szCs w:val="18"/>
              </w:rPr>
            </w:pPr>
            <w:r>
              <w:rPr>
                <w:noProof/>
                <w:sz w:val="18"/>
              </w:rPr>
              <w:sym w:font="Wingdings" w:char="F0F2"/>
            </w:r>
          </w:p>
        </w:tc>
        <w:tc>
          <w:tcPr>
            <w:tcW w:w="720" w:type="dxa"/>
            <w:vAlign w:val="center"/>
          </w:tcPr>
          <w:p>
            <w:pPr>
              <w:ind w:right="-29"/>
              <w:jc w:val="center"/>
              <w:rPr>
                <w:noProof/>
                <w:sz w:val="18"/>
                <w:szCs w:val="18"/>
              </w:rPr>
            </w:pPr>
          </w:p>
        </w:tc>
        <w:tc>
          <w:tcPr>
            <w:tcW w:w="701" w:type="dxa"/>
            <w:vAlign w:val="center"/>
          </w:tcPr>
          <w:p>
            <w:pPr>
              <w:ind w:right="-29"/>
              <w:jc w:val="center"/>
              <w:rPr>
                <w:noProof/>
                <w:sz w:val="18"/>
                <w:szCs w:val="18"/>
              </w:rPr>
            </w:pPr>
          </w:p>
        </w:tc>
        <w:tc>
          <w:tcPr>
            <w:tcW w:w="1224" w:type="dxa"/>
            <w:gridSpan w:val="2"/>
            <w:tcBorders>
              <w:left w:val="nil"/>
            </w:tcBorders>
            <w:vAlign w:val="center"/>
          </w:tcPr>
          <w:p>
            <w:pPr>
              <w:ind w:right="-29"/>
              <w:jc w:val="center"/>
              <w:rPr>
                <w:noProof/>
                <w:sz w:val="18"/>
                <w:szCs w:val="18"/>
              </w:rPr>
            </w:pPr>
            <w:r>
              <w:rPr>
                <w:noProof/>
                <w:sz w:val="18"/>
              </w:rPr>
              <w:t>Vuosi</w:t>
            </w:r>
            <w:r>
              <w:rPr>
                <w:noProof/>
                <w:sz w:val="22"/>
              </w:rPr>
              <w:br/>
            </w:r>
            <w:r>
              <w:rPr>
                <w:b/>
                <w:noProof/>
                <w:sz w:val="18"/>
              </w:rPr>
              <w:t>2017</w:t>
            </w:r>
          </w:p>
        </w:tc>
        <w:tc>
          <w:tcPr>
            <w:tcW w:w="1260" w:type="dxa"/>
            <w:gridSpan w:val="2"/>
            <w:vAlign w:val="center"/>
          </w:tcPr>
          <w:p>
            <w:pPr>
              <w:ind w:right="-29"/>
              <w:jc w:val="center"/>
              <w:rPr>
                <w:noProof/>
                <w:sz w:val="18"/>
                <w:szCs w:val="18"/>
              </w:rPr>
            </w:pPr>
            <w:r>
              <w:rPr>
                <w:noProof/>
                <w:sz w:val="18"/>
              </w:rPr>
              <w:t>Vuosi</w:t>
            </w:r>
            <w:r>
              <w:rPr>
                <w:noProof/>
                <w:sz w:val="22"/>
              </w:rPr>
              <w:br/>
            </w:r>
            <w:r>
              <w:rPr>
                <w:b/>
                <w:noProof/>
                <w:sz w:val="18"/>
              </w:rPr>
              <w:t>2018</w:t>
            </w:r>
          </w:p>
        </w:tc>
        <w:tc>
          <w:tcPr>
            <w:tcW w:w="1440" w:type="dxa"/>
            <w:gridSpan w:val="2"/>
            <w:vAlign w:val="center"/>
          </w:tcPr>
          <w:p>
            <w:pPr>
              <w:ind w:right="-29"/>
              <w:jc w:val="center"/>
              <w:rPr>
                <w:noProof/>
                <w:sz w:val="18"/>
                <w:szCs w:val="18"/>
              </w:rPr>
            </w:pPr>
            <w:r>
              <w:rPr>
                <w:noProof/>
                <w:sz w:val="18"/>
              </w:rPr>
              <w:t>Vuosi</w:t>
            </w:r>
            <w:r>
              <w:rPr>
                <w:noProof/>
                <w:sz w:val="22"/>
              </w:rPr>
              <w:br/>
            </w:r>
            <w:r>
              <w:rPr>
                <w:b/>
                <w:noProof/>
                <w:sz w:val="18"/>
              </w:rPr>
              <w:t>2019</w:t>
            </w:r>
          </w:p>
        </w:tc>
        <w:tc>
          <w:tcPr>
            <w:tcW w:w="1620" w:type="dxa"/>
            <w:gridSpan w:val="3"/>
            <w:vAlign w:val="center"/>
          </w:tcPr>
          <w:p>
            <w:pPr>
              <w:ind w:right="-29"/>
              <w:jc w:val="center"/>
              <w:rPr>
                <w:noProof/>
                <w:sz w:val="18"/>
                <w:szCs w:val="18"/>
              </w:rPr>
            </w:pPr>
            <w:r>
              <w:rPr>
                <w:noProof/>
                <w:sz w:val="18"/>
              </w:rPr>
              <w:t>Vuosi</w:t>
            </w:r>
            <w:r>
              <w:rPr>
                <w:noProof/>
                <w:sz w:val="22"/>
              </w:rPr>
              <w:br/>
            </w:r>
            <w:r>
              <w:rPr>
                <w:b/>
                <w:noProof/>
                <w:sz w:val="18"/>
              </w:rPr>
              <w:t>N+3</w:t>
            </w:r>
          </w:p>
        </w:tc>
        <w:tc>
          <w:tcPr>
            <w:tcW w:w="3600" w:type="dxa"/>
            <w:gridSpan w:val="6"/>
            <w:vAlign w:val="center"/>
          </w:tcPr>
          <w:p>
            <w:pPr>
              <w:jc w:val="center"/>
              <w:rPr>
                <w:noProof/>
                <w:sz w:val="18"/>
                <w:szCs w:val="18"/>
              </w:rPr>
            </w:pPr>
            <w:r>
              <w:rPr>
                <w:noProof/>
                <w:sz w:val="18"/>
              </w:rPr>
              <w:t>ja näitä seuraavat vuodet (ilmoitetaan kaikki vuodet, joille ehdotuksen/aloitteen vaikutukset ulottuvat, ks. kohta 1.6)</w:t>
            </w:r>
          </w:p>
        </w:tc>
        <w:tc>
          <w:tcPr>
            <w:tcW w:w="1620" w:type="dxa"/>
            <w:gridSpan w:val="2"/>
            <w:tcBorders>
              <w:left w:val="nil"/>
              <w:bottom w:val="nil"/>
            </w:tcBorders>
            <w:vAlign w:val="center"/>
          </w:tcPr>
          <w:p>
            <w:pPr>
              <w:ind w:right="-29"/>
              <w:jc w:val="center"/>
              <w:rPr>
                <w:noProof/>
                <w:sz w:val="18"/>
                <w:szCs w:val="18"/>
              </w:rPr>
            </w:pPr>
            <w:r>
              <w:rPr>
                <w:b/>
                <w:noProof/>
                <w:sz w:val="18"/>
              </w:rPr>
              <w:t>YHTEENSÄ</w:t>
            </w:r>
          </w:p>
        </w:tc>
      </w:tr>
      <w:tr>
        <w:trPr>
          <w:jc w:val="center"/>
        </w:trPr>
        <w:tc>
          <w:tcPr>
            <w:tcW w:w="1423" w:type="dxa"/>
            <w:vMerge/>
            <w:vAlign w:val="center"/>
          </w:tcPr>
          <w:p>
            <w:pPr>
              <w:ind w:right="-29"/>
              <w:jc w:val="center"/>
              <w:rPr>
                <w:noProof/>
                <w:sz w:val="18"/>
                <w:szCs w:val="18"/>
              </w:rPr>
            </w:pPr>
          </w:p>
        </w:tc>
        <w:tc>
          <w:tcPr>
            <w:tcW w:w="12185" w:type="dxa"/>
            <w:gridSpan w:val="19"/>
            <w:vAlign w:val="center"/>
          </w:tcPr>
          <w:p>
            <w:pPr>
              <w:spacing w:before="60" w:after="60"/>
              <w:ind w:right="-29"/>
              <w:jc w:val="center"/>
              <w:rPr>
                <w:noProof/>
                <w:sz w:val="18"/>
                <w:szCs w:val="18"/>
              </w:rPr>
            </w:pPr>
            <w:r>
              <w:rPr>
                <w:b/>
                <w:noProof/>
                <w:sz w:val="18"/>
              </w:rPr>
              <w:t>TUOTOKSET</w:t>
            </w:r>
          </w:p>
        </w:tc>
      </w:tr>
      <w:tr>
        <w:trPr>
          <w:cantSplit/>
          <w:trHeight w:val="1134"/>
          <w:jc w:val="center"/>
        </w:trPr>
        <w:tc>
          <w:tcPr>
            <w:tcW w:w="1423" w:type="dxa"/>
            <w:vMerge/>
            <w:vAlign w:val="center"/>
          </w:tcPr>
          <w:p>
            <w:pPr>
              <w:rPr>
                <w:noProof/>
                <w:sz w:val="18"/>
                <w:szCs w:val="18"/>
              </w:rPr>
            </w:pPr>
          </w:p>
        </w:tc>
        <w:tc>
          <w:tcPr>
            <w:tcW w:w="720" w:type="dxa"/>
            <w:vAlign w:val="center"/>
          </w:tcPr>
          <w:p>
            <w:pPr>
              <w:jc w:val="center"/>
              <w:rPr>
                <w:noProof/>
                <w:sz w:val="18"/>
                <w:szCs w:val="18"/>
              </w:rPr>
            </w:pPr>
            <w:r>
              <w:rPr>
                <w:noProof/>
                <w:sz w:val="18"/>
              </w:rPr>
              <w:t>Tyyp</w:t>
            </w:r>
            <w:r>
              <w:rPr>
                <w:noProof/>
                <w:sz w:val="18"/>
              </w:rPr>
              <w:softHyphen/>
              <w:t>pi</w:t>
            </w:r>
            <w:r>
              <w:rPr>
                <w:rStyle w:val="FootnoteReference"/>
                <w:noProof/>
                <w:sz w:val="18"/>
              </w:rPr>
              <w:footnoteReference w:id="14"/>
            </w:r>
          </w:p>
          <w:p>
            <w:pPr>
              <w:spacing w:before="0" w:after="0"/>
              <w:jc w:val="center"/>
              <w:rPr>
                <w:noProof/>
                <w:sz w:val="18"/>
                <w:szCs w:val="18"/>
              </w:rPr>
            </w:pPr>
          </w:p>
        </w:tc>
        <w:tc>
          <w:tcPr>
            <w:tcW w:w="701" w:type="dxa"/>
            <w:vAlign w:val="center"/>
          </w:tcPr>
          <w:p>
            <w:pPr>
              <w:jc w:val="center"/>
              <w:rPr>
                <w:noProof/>
                <w:sz w:val="18"/>
                <w:szCs w:val="18"/>
              </w:rPr>
            </w:pPr>
            <w:r>
              <w:rPr>
                <w:noProof/>
                <w:sz w:val="18"/>
              </w:rPr>
              <w:t>Keskimäär. kustan</w:t>
            </w:r>
            <w:r>
              <w:rPr>
                <w:noProof/>
                <w:sz w:val="18"/>
              </w:rPr>
              <w:softHyphen/>
              <w:t>nukset</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Lukumäärä</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Kus</w:t>
            </w:r>
            <w:r>
              <w:rPr>
                <w:noProof/>
                <w:sz w:val="18"/>
              </w:rPr>
              <w:softHyphen/>
              <w:t>tannus</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Lukumäärä</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Kus</w:t>
            </w:r>
            <w:r>
              <w:rPr>
                <w:noProof/>
                <w:sz w:val="18"/>
              </w:rPr>
              <w:softHyphen/>
              <w:t>tannus</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Lukumäärä</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Kus</w:t>
            </w:r>
            <w:r>
              <w:rPr>
                <w:noProof/>
                <w:sz w:val="18"/>
              </w:rPr>
              <w:softHyphen/>
              <w:t>tannus</w:t>
            </w:r>
          </w:p>
        </w:tc>
        <w:tc>
          <w:tcPr>
            <w:tcW w:w="90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Lukumäärä</w:t>
            </w:r>
          </w:p>
        </w:tc>
        <w:tc>
          <w:tcPr>
            <w:tcW w:w="720" w:type="dxa"/>
            <w:gridSpan w:val="2"/>
            <w:tcBorders>
              <w:left w:val="dashSmallGap" w:sz="4" w:space="0" w:color="auto"/>
            </w:tcBorders>
            <w:shd w:val="pct10" w:color="auto" w:fill="auto"/>
            <w:vAlign w:val="center"/>
          </w:tcPr>
          <w:p>
            <w:pPr>
              <w:jc w:val="center"/>
              <w:rPr>
                <w:noProof/>
                <w:sz w:val="18"/>
                <w:szCs w:val="18"/>
              </w:rPr>
            </w:pPr>
            <w:r>
              <w:rPr>
                <w:noProof/>
                <w:sz w:val="18"/>
              </w:rPr>
              <w:t>Kus</w:t>
            </w:r>
            <w:r>
              <w:rPr>
                <w:noProof/>
                <w:sz w:val="18"/>
              </w:rPr>
              <w:softHyphen/>
              <w:t>tannus</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Lukumäärä</w:t>
            </w:r>
          </w:p>
        </w:tc>
        <w:tc>
          <w:tcPr>
            <w:tcW w:w="648" w:type="dxa"/>
            <w:tcBorders>
              <w:left w:val="dashSmallGap" w:sz="4" w:space="0" w:color="auto"/>
            </w:tcBorders>
            <w:shd w:val="pct10" w:color="auto" w:fill="auto"/>
            <w:vAlign w:val="center"/>
          </w:tcPr>
          <w:p>
            <w:pPr>
              <w:jc w:val="center"/>
              <w:rPr>
                <w:noProof/>
                <w:sz w:val="18"/>
                <w:szCs w:val="18"/>
              </w:rPr>
            </w:pPr>
            <w:r>
              <w:rPr>
                <w:noProof/>
                <w:sz w:val="18"/>
              </w:rPr>
              <w:t>Kus</w:t>
            </w:r>
            <w:r>
              <w:rPr>
                <w:noProof/>
                <w:sz w:val="18"/>
              </w:rPr>
              <w:softHyphen/>
              <w:t>tan</w:t>
            </w:r>
            <w:r>
              <w:rPr>
                <w:noProof/>
                <w:sz w:val="18"/>
              </w:rPr>
              <w:softHyphen/>
              <w:t>nus</w:t>
            </w:r>
          </w:p>
        </w:tc>
        <w:tc>
          <w:tcPr>
            <w:tcW w:w="432"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Lukumäärä</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Kus</w:t>
            </w:r>
            <w:r>
              <w:rPr>
                <w:noProof/>
                <w:sz w:val="18"/>
              </w:rPr>
              <w:softHyphen/>
              <w:t>tannus</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Lukumäärä</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Kus</w:t>
            </w:r>
            <w:r>
              <w:rPr>
                <w:noProof/>
                <w:sz w:val="18"/>
              </w:rPr>
              <w:softHyphen/>
              <w:t>tannus</w:t>
            </w:r>
          </w:p>
        </w:tc>
        <w:tc>
          <w:tcPr>
            <w:tcW w:w="720" w:type="dxa"/>
            <w:tcBorders>
              <w:right w:val="dashSmallGap" w:sz="4" w:space="0" w:color="auto"/>
            </w:tcBorders>
            <w:shd w:val="pct10" w:color="auto" w:fill="auto"/>
            <w:vAlign w:val="center"/>
          </w:tcPr>
          <w:p>
            <w:pPr>
              <w:jc w:val="center"/>
              <w:rPr>
                <w:noProof/>
                <w:sz w:val="18"/>
                <w:szCs w:val="18"/>
              </w:rPr>
            </w:pPr>
            <w:r>
              <w:rPr>
                <w:noProof/>
                <w:sz w:val="18"/>
              </w:rPr>
              <w:t>Luku</w:t>
            </w:r>
            <w:r>
              <w:rPr>
                <w:noProof/>
                <w:sz w:val="18"/>
              </w:rPr>
              <w:softHyphen/>
              <w:t>määrä yhteen</w:t>
            </w:r>
            <w:r>
              <w:rPr>
                <w:noProof/>
                <w:sz w:val="18"/>
              </w:rPr>
              <w:softHyphen/>
              <w:t>sä</w:t>
            </w:r>
          </w:p>
        </w:tc>
        <w:tc>
          <w:tcPr>
            <w:tcW w:w="900" w:type="dxa"/>
            <w:tcBorders>
              <w:left w:val="dashSmallGap" w:sz="4" w:space="0" w:color="auto"/>
            </w:tcBorders>
            <w:shd w:val="pct10" w:color="auto" w:fill="auto"/>
            <w:vAlign w:val="center"/>
          </w:tcPr>
          <w:p>
            <w:pPr>
              <w:jc w:val="center"/>
              <w:rPr>
                <w:noProof/>
                <w:sz w:val="18"/>
                <w:szCs w:val="18"/>
              </w:rPr>
            </w:pPr>
            <w:r>
              <w:rPr>
                <w:noProof/>
                <w:sz w:val="18"/>
              </w:rPr>
              <w:t>Kustan</w:t>
            </w:r>
            <w:r>
              <w:rPr>
                <w:noProof/>
                <w:sz w:val="18"/>
              </w:rPr>
              <w:softHyphen/>
              <w:t>nukset yhteensä</w:t>
            </w:r>
          </w:p>
        </w:tc>
      </w:tr>
      <w:tr>
        <w:trPr>
          <w:jc w:val="center"/>
        </w:trPr>
        <w:tc>
          <w:tcPr>
            <w:tcW w:w="2844" w:type="dxa"/>
            <w:gridSpan w:val="3"/>
            <w:vAlign w:val="center"/>
          </w:tcPr>
          <w:p>
            <w:pPr>
              <w:spacing w:before="60" w:after="60"/>
              <w:ind w:right="-29"/>
              <w:jc w:val="center"/>
              <w:rPr>
                <w:noProof/>
                <w:sz w:val="18"/>
                <w:szCs w:val="18"/>
              </w:rPr>
            </w:pPr>
            <w:r>
              <w:rPr>
                <w:noProof/>
                <w:sz w:val="18"/>
              </w:rPr>
              <w:t>ERITYISTAVOITE 1</w:t>
            </w:r>
            <w:r>
              <w:rPr>
                <w:rStyle w:val="FootnoteReference"/>
                <w:noProof/>
                <w:sz w:val="18"/>
              </w:rPr>
              <w:footnoteReference w:id="15"/>
            </w:r>
            <w:r>
              <w:rPr>
                <w:noProof/>
                <w:sz w:val="18"/>
              </w:rPr>
              <w:t>…</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Aluksen lisenssien lukumäärä</w:t>
            </w:r>
          </w:p>
        </w:tc>
        <w:tc>
          <w:tcPr>
            <w:tcW w:w="720" w:type="dxa"/>
          </w:tcPr>
          <w:p>
            <w:pPr>
              <w:ind w:right="-29"/>
              <w:jc w:val="center"/>
              <w:rPr>
                <w:noProof/>
                <w:sz w:val="18"/>
                <w:szCs w:val="18"/>
              </w:rPr>
            </w:pPr>
          </w:p>
        </w:tc>
        <w:tc>
          <w:tcPr>
            <w:tcW w:w="701" w:type="dxa"/>
          </w:tcPr>
          <w:p>
            <w:pPr>
              <w:ind w:right="-29"/>
              <w:jc w:val="center"/>
              <w:rPr>
                <w:noProof/>
                <w:sz w:val="18"/>
                <w:szCs w:val="18"/>
              </w:rPr>
            </w:pPr>
            <w:r>
              <w:rPr>
                <w:noProof/>
                <w:sz w:val="18"/>
              </w:rPr>
              <w:t>0,417</w:t>
            </w:r>
          </w:p>
        </w:tc>
        <w:tc>
          <w:tcPr>
            <w:tcW w:w="504" w:type="dxa"/>
            <w:tcBorders>
              <w:right w:val="dashSmallGap" w:sz="4" w:space="0" w:color="auto"/>
            </w:tcBorders>
          </w:tcPr>
          <w:p>
            <w:pPr>
              <w:ind w:right="-29"/>
              <w:jc w:val="center"/>
              <w:rPr>
                <w:noProof/>
                <w:sz w:val="18"/>
                <w:szCs w:val="18"/>
              </w:rPr>
            </w:pPr>
            <w:r>
              <w:rPr>
                <w:noProof/>
                <w:sz w:val="18"/>
              </w:rPr>
              <w:t>12</w:t>
            </w:r>
          </w:p>
        </w:tc>
        <w:tc>
          <w:tcPr>
            <w:tcW w:w="720" w:type="dxa"/>
            <w:tcBorders>
              <w:left w:val="dashSmallGap" w:sz="4" w:space="0" w:color="auto"/>
            </w:tcBorders>
          </w:tcPr>
          <w:p>
            <w:pPr>
              <w:ind w:right="-29"/>
              <w:jc w:val="center"/>
              <w:rPr>
                <w:noProof/>
                <w:sz w:val="18"/>
                <w:szCs w:val="18"/>
              </w:rPr>
            </w:pPr>
            <w:r>
              <w:rPr>
                <w:noProof/>
                <w:sz w:val="18"/>
              </w:rPr>
              <w:t>5 000</w:t>
            </w:r>
          </w:p>
        </w:tc>
        <w:tc>
          <w:tcPr>
            <w:tcW w:w="540" w:type="dxa"/>
            <w:tcBorders>
              <w:right w:val="dashSmallGap" w:sz="4" w:space="0" w:color="auto"/>
            </w:tcBorders>
          </w:tcPr>
          <w:p>
            <w:pPr>
              <w:ind w:right="-29"/>
              <w:jc w:val="center"/>
              <w:rPr>
                <w:noProof/>
                <w:sz w:val="18"/>
                <w:szCs w:val="18"/>
              </w:rPr>
            </w:pPr>
            <w:r>
              <w:rPr>
                <w:noProof/>
                <w:sz w:val="18"/>
              </w:rPr>
              <w:t>6</w:t>
            </w:r>
          </w:p>
        </w:tc>
        <w:tc>
          <w:tcPr>
            <w:tcW w:w="720" w:type="dxa"/>
            <w:tcBorders>
              <w:left w:val="dashSmallGap" w:sz="4" w:space="0" w:color="auto"/>
            </w:tcBorders>
          </w:tcPr>
          <w:p>
            <w:pPr>
              <w:ind w:right="-29"/>
              <w:jc w:val="center"/>
              <w:rPr>
                <w:noProof/>
                <w:sz w:val="18"/>
                <w:szCs w:val="18"/>
              </w:rPr>
            </w:pPr>
            <w:r>
              <w:rPr>
                <w:noProof/>
                <w:sz w:val="18"/>
              </w:rPr>
              <w:t>2 500</w:t>
            </w: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r>
              <w:rPr>
                <w:noProof/>
                <w:sz w:val="18"/>
              </w:rPr>
              <w:t>18</w:t>
            </w:r>
          </w:p>
        </w:tc>
        <w:tc>
          <w:tcPr>
            <w:tcW w:w="900" w:type="dxa"/>
          </w:tcPr>
          <w:p>
            <w:pPr>
              <w:ind w:right="-29"/>
              <w:jc w:val="center"/>
              <w:rPr>
                <w:noProof/>
                <w:sz w:val="18"/>
                <w:szCs w:val="18"/>
              </w:rPr>
            </w:pPr>
            <w:r>
              <w:rPr>
                <w:noProof/>
                <w:sz w:val="18"/>
              </w:rPr>
              <w:t>7 500</w:t>
            </w:r>
          </w:p>
        </w:tc>
      </w:tr>
      <w:tr>
        <w:trPr>
          <w:trHeight w:hRule="exact" w:val="369"/>
          <w:jc w:val="center"/>
        </w:trPr>
        <w:tc>
          <w:tcPr>
            <w:tcW w:w="1423" w:type="dxa"/>
          </w:tcPr>
          <w:p>
            <w:pPr>
              <w:ind w:right="-29"/>
              <w:jc w:val="center"/>
              <w:rPr>
                <w:noProof/>
                <w:sz w:val="18"/>
                <w:szCs w:val="18"/>
              </w:rPr>
            </w:pPr>
            <w:r>
              <w:rPr>
                <w:noProof/>
                <w:sz w:val="18"/>
              </w:rPr>
              <w:t>- Tuotos</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Tuotos</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Välisumma erityistavoite 1</w:t>
            </w:r>
          </w:p>
        </w:tc>
        <w:tc>
          <w:tcPr>
            <w:tcW w:w="504" w:type="dxa"/>
            <w:tcBorders>
              <w:bottom w:val="single" w:sz="12" w:space="0" w:color="auto"/>
            </w:tcBorders>
          </w:tcPr>
          <w:p>
            <w:pPr>
              <w:ind w:right="-29"/>
              <w:jc w:val="center"/>
              <w:rPr>
                <w:noProof/>
                <w:sz w:val="18"/>
                <w:szCs w:val="18"/>
              </w:rPr>
            </w:pPr>
            <w:r>
              <w:rPr>
                <w:noProof/>
                <w:sz w:val="18"/>
              </w:rPr>
              <w:t>12</w:t>
            </w:r>
          </w:p>
        </w:tc>
        <w:tc>
          <w:tcPr>
            <w:tcW w:w="720" w:type="dxa"/>
            <w:tcBorders>
              <w:bottom w:val="single" w:sz="12" w:space="0" w:color="auto"/>
            </w:tcBorders>
          </w:tcPr>
          <w:p>
            <w:pPr>
              <w:ind w:right="-29"/>
              <w:jc w:val="center"/>
              <w:rPr>
                <w:noProof/>
                <w:sz w:val="18"/>
                <w:szCs w:val="18"/>
              </w:rPr>
            </w:pPr>
            <w:r>
              <w:rPr>
                <w:noProof/>
                <w:sz w:val="18"/>
              </w:rPr>
              <w:t>5 000</w:t>
            </w:r>
          </w:p>
        </w:tc>
        <w:tc>
          <w:tcPr>
            <w:tcW w:w="540" w:type="dxa"/>
            <w:tcBorders>
              <w:bottom w:val="single" w:sz="12" w:space="0" w:color="auto"/>
            </w:tcBorders>
          </w:tcPr>
          <w:p>
            <w:pPr>
              <w:ind w:right="-29"/>
              <w:jc w:val="center"/>
              <w:rPr>
                <w:noProof/>
                <w:sz w:val="18"/>
                <w:szCs w:val="18"/>
              </w:rPr>
            </w:pPr>
            <w:r>
              <w:rPr>
                <w:noProof/>
                <w:sz w:val="18"/>
              </w:rPr>
              <w:t>6</w:t>
            </w:r>
          </w:p>
        </w:tc>
        <w:tc>
          <w:tcPr>
            <w:tcW w:w="720" w:type="dxa"/>
            <w:tcBorders>
              <w:bottom w:val="single" w:sz="12" w:space="0" w:color="auto"/>
            </w:tcBorders>
          </w:tcPr>
          <w:p>
            <w:pPr>
              <w:ind w:right="-29"/>
              <w:jc w:val="center"/>
              <w:rPr>
                <w:noProof/>
                <w:sz w:val="18"/>
                <w:szCs w:val="18"/>
              </w:rPr>
            </w:pPr>
            <w:r>
              <w:rPr>
                <w:noProof/>
                <w:sz w:val="18"/>
              </w:rPr>
              <w:t>2 500</w:t>
            </w: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c>
          <w:tcPr>
            <w:tcW w:w="720" w:type="dxa"/>
            <w:gridSpan w:val="2"/>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r>
              <w:rPr>
                <w:noProof/>
                <w:sz w:val="18"/>
              </w:rPr>
              <w:t>18</w:t>
            </w:r>
          </w:p>
        </w:tc>
        <w:tc>
          <w:tcPr>
            <w:tcW w:w="900" w:type="dxa"/>
            <w:tcBorders>
              <w:bottom w:val="single" w:sz="12" w:space="0" w:color="auto"/>
            </w:tcBorders>
          </w:tcPr>
          <w:p>
            <w:pPr>
              <w:ind w:right="-29"/>
              <w:jc w:val="center"/>
              <w:rPr>
                <w:noProof/>
                <w:sz w:val="18"/>
                <w:szCs w:val="18"/>
              </w:rPr>
            </w:pPr>
            <w:r>
              <w:rPr>
                <w:noProof/>
                <w:sz w:val="18"/>
              </w:rPr>
              <w:t>7 500</w:t>
            </w:r>
          </w:p>
        </w:tc>
      </w:tr>
      <w:tr>
        <w:trPr>
          <w:jc w:val="center"/>
        </w:trPr>
        <w:tc>
          <w:tcPr>
            <w:tcW w:w="2844" w:type="dxa"/>
            <w:gridSpan w:val="3"/>
            <w:vAlign w:val="center"/>
          </w:tcPr>
          <w:p>
            <w:pPr>
              <w:spacing w:before="60" w:after="60"/>
              <w:ind w:right="-29"/>
              <w:jc w:val="center"/>
              <w:rPr>
                <w:noProof/>
                <w:sz w:val="18"/>
                <w:szCs w:val="18"/>
              </w:rPr>
            </w:pPr>
            <w:r>
              <w:rPr>
                <w:noProof/>
                <w:sz w:val="18"/>
              </w:rPr>
              <w:t>ERITYISTAVOITE 2...</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Tuotos</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jc w:val="center"/>
        </w:trPr>
        <w:tc>
          <w:tcPr>
            <w:tcW w:w="2844" w:type="dxa"/>
            <w:gridSpan w:val="3"/>
            <w:tcBorders>
              <w:bottom w:val="single" w:sz="12" w:space="0" w:color="auto"/>
            </w:tcBorders>
            <w:vAlign w:val="center"/>
          </w:tcPr>
          <w:p>
            <w:pPr>
              <w:jc w:val="center"/>
              <w:rPr>
                <w:noProof/>
                <w:sz w:val="18"/>
                <w:szCs w:val="18"/>
              </w:rPr>
            </w:pPr>
            <w:r>
              <w:rPr>
                <w:noProof/>
                <w:sz w:val="18"/>
              </w:rPr>
              <w:t>Välisumma erityistavoite 2</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72" w:type="dxa"/>
            <w:gridSpan w:val="2"/>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KUSTANNUKSET YHTEENSÄ</w:t>
            </w:r>
            <w:r>
              <w:rPr>
                <w:rStyle w:val="FootnoteReference"/>
                <w:b/>
                <w:noProof/>
                <w:sz w:val="18"/>
              </w:rPr>
              <w:footnoteReference w:id="16"/>
            </w:r>
          </w:p>
        </w:tc>
        <w:tc>
          <w:tcPr>
            <w:tcW w:w="504" w:type="dxa"/>
            <w:tcBorders>
              <w:top w:val="single" w:sz="12" w:space="0" w:color="auto"/>
              <w:bottom w:val="single" w:sz="12" w:space="0" w:color="auto"/>
            </w:tcBorders>
          </w:tcPr>
          <w:p>
            <w:pPr>
              <w:spacing w:before="180" w:after="180"/>
              <w:ind w:right="-29"/>
              <w:jc w:val="center"/>
              <w:rPr>
                <w:noProof/>
                <w:sz w:val="18"/>
                <w:szCs w:val="18"/>
              </w:rPr>
            </w:pPr>
            <w:r>
              <w:rPr>
                <w:noProof/>
                <w:sz w:val="18"/>
              </w:rPr>
              <w:t>12</w:t>
            </w: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rPr>
              <w:t>5 000</w:t>
            </w:r>
          </w:p>
        </w:tc>
        <w:tc>
          <w:tcPr>
            <w:tcW w:w="540" w:type="dxa"/>
            <w:tcBorders>
              <w:top w:val="single" w:sz="12" w:space="0" w:color="auto"/>
              <w:bottom w:val="single" w:sz="12" w:space="0" w:color="auto"/>
            </w:tcBorders>
          </w:tcPr>
          <w:p>
            <w:pPr>
              <w:spacing w:before="180" w:after="180"/>
              <w:ind w:right="-29"/>
              <w:jc w:val="center"/>
              <w:rPr>
                <w:noProof/>
                <w:sz w:val="18"/>
                <w:szCs w:val="18"/>
              </w:rPr>
            </w:pPr>
            <w:r>
              <w:rPr>
                <w:noProof/>
                <w:sz w:val="18"/>
              </w:rPr>
              <w:t>6</w:t>
            </w: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rPr>
              <w:t>2 500</w:t>
            </w: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tcBorders>
          </w:tcPr>
          <w:p>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648" w:type="dxa"/>
            <w:tcBorders>
              <w:top w:val="single" w:sz="12" w:space="0" w:color="auto"/>
              <w:bottom w:val="single" w:sz="12" w:space="0" w:color="auto"/>
            </w:tcBorders>
          </w:tcPr>
          <w:p>
            <w:pPr>
              <w:spacing w:before="180" w:after="180"/>
              <w:ind w:right="-29"/>
              <w:jc w:val="center"/>
              <w:rPr>
                <w:noProof/>
                <w:sz w:val="18"/>
                <w:szCs w:val="18"/>
              </w:rPr>
            </w:pPr>
          </w:p>
        </w:tc>
        <w:tc>
          <w:tcPr>
            <w:tcW w:w="432"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rPr>
              <w:t>18</w:t>
            </w: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szCs w:val="18"/>
              </w:rPr>
            </w:pPr>
            <w:r>
              <w:rPr>
                <w:noProof/>
                <w:sz w:val="18"/>
              </w:rPr>
              <w:t>7 500</w:t>
            </w:r>
          </w:p>
        </w:tc>
      </w:tr>
    </w:tbl>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t>3.2.3.</w:t>
      </w:r>
      <w:r>
        <w:tab/>
      </w:r>
      <w:r>
        <w:rPr>
          <w:noProof/>
        </w:rPr>
        <w:t>Arvioidut vaikutukset hallintomäärärahoihin</w:t>
      </w:r>
    </w:p>
    <w:p>
      <w:pPr>
        <w:pStyle w:val="ManualHeading4"/>
        <w:rPr>
          <w:noProof/>
        </w:rPr>
      </w:pPr>
      <w:r>
        <w:t>3.2.3.1.</w:t>
      </w:r>
      <w:r>
        <w:tab/>
      </w:r>
      <w:r>
        <w:rPr>
          <w:noProof/>
        </w:rPr>
        <w:t xml:space="preserve">Yhteenveto </w:t>
      </w:r>
    </w:p>
    <w:p>
      <w:pPr>
        <w:pStyle w:val="ListDash1"/>
        <w:rPr>
          <w:noProof/>
        </w:rPr>
      </w:pPr>
      <w:r>
        <w:rPr>
          <w:b/>
          <w:noProof/>
        </w:rPr>
        <w:t>X</w:t>
      </w:r>
      <w:r>
        <w:rPr>
          <w:noProof/>
        </w:rPr>
        <w:tab/>
        <w:t xml:space="preserve">Ehdotus/aloite ei edellytä hallintomäärärahoja. </w:t>
      </w:r>
    </w:p>
    <w:p>
      <w:pPr>
        <w:pStyle w:val="ListDash1"/>
        <w:rPr>
          <w:noProof/>
        </w:rPr>
      </w:pPr>
      <w:r>
        <w:rPr>
          <w:noProof/>
        </w:rPr>
        <w:sym w:font="Wingdings" w:char="F0A8"/>
      </w:r>
      <w:r>
        <w:rPr>
          <w:noProof/>
        </w:rPr>
        <w:tab/>
        <w:t>Ehdotus/aloite edellyttää hallintomäärärahoja seuraavasti:</w:t>
      </w:r>
    </w:p>
    <w:p>
      <w:pPr>
        <w:rPr>
          <w:noProof/>
          <w:sz w:val="20"/>
        </w:rPr>
      </w:pPr>
      <w:r>
        <w:rPr>
          <w:noProof/>
          <w:sz w:val="20"/>
        </w:rPr>
        <w:t>milj. euroa (kolmen desimaalin tarkkuudella)</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Vuosi</w:t>
            </w:r>
            <w:r>
              <w:rPr>
                <w:noProof/>
                <w:sz w:val="22"/>
              </w:rPr>
              <w:br/>
            </w:r>
            <w:r>
              <w:rPr>
                <w:b/>
                <w:noProof/>
                <w:sz w:val="16"/>
              </w:rPr>
              <w:t xml:space="preserve">N </w:t>
            </w:r>
            <w:r>
              <w:rPr>
                <w:rStyle w:val="FootnoteReference"/>
                <w:b/>
                <w:noProof/>
                <w:sz w:val="16"/>
              </w:rPr>
              <w:footnoteReference w:id="17"/>
            </w:r>
          </w:p>
        </w:tc>
        <w:tc>
          <w:tcPr>
            <w:tcW w:w="1080" w:type="dxa"/>
            <w:vAlign w:val="center"/>
          </w:tcPr>
          <w:p>
            <w:pPr>
              <w:spacing w:before="60" w:after="60" w:line="200" w:lineRule="exact"/>
              <w:jc w:val="center"/>
              <w:rPr>
                <w:noProof/>
                <w:sz w:val="16"/>
                <w:szCs w:val="16"/>
              </w:rPr>
            </w:pPr>
            <w:r>
              <w:rPr>
                <w:noProof/>
                <w:sz w:val="16"/>
              </w:rPr>
              <w:t>Vuosi</w:t>
            </w:r>
            <w:r>
              <w:rPr>
                <w:noProof/>
                <w:sz w:val="22"/>
              </w:rPr>
              <w:br/>
            </w:r>
            <w:r>
              <w:rPr>
                <w:b/>
                <w:noProof/>
                <w:sz w:val="16"/>
              </w:rPr>
              <w:t>N+1</w:t>
            </w:r>
          </w:p>
        </w:tc>
        <w:tc>
          <w:tcPr>
            <w:tcW w:w="1080" w:type="dxa"/>
            <w:vAlign w:val="center"/>
          </w:tcPr>
          <w:p>
            <w:pPr>
              <w:spacing w:before="60" w:after="60" w:line="200" w:lineRule="exact"/>
              <w:jc w:val="center"/>
              <w:rPr>
                <w:noProof/>
                <w:sz w:val="16"/>
                <w:szCs w:val="16"/>
              </w:rPr>
            </w:pPr>
            <w:r>
              <w:rPr>
                <w:noProof/>
                <w:sz w:val="16"/>
              </w:rPr>
              <w:t>Vuosi</w:t>
            </w:r>
            <w:r>
              <w:rPr>
                <w:noProof/>
                <w:sz w:val="22"/>
              </w:rPr>
              <w:br/>
            </w:r>
            <w:r>
              <w:rPr>
                <w:b/>
                <w:noProof/>
                <w:sz w:val="16"/>
              </w:rPr>
              <w:t>N+2</w:t>
            </w:r>
          </w:p>
        </w:tc>
        <w:tc>
          <w:tcPr>
            <w:tcW w:w="1080" w:type="dxa"/>
            <w:vAlign w:val="center"/>
          </w:tcPr>
          <w:p>
            <w:pPr>
              <w:spacing w:before="60" w:after="60" w:line="200" w:lineRule="exact"/>
              <w:jc w:val="center"/>
              <w:rPr>
                <w:noProof/>
                <w:sz w:val="16"/>
                <w:szCs w:val="16"/>
              </w:rPr>
            </w:pPr>
            <w:r>
              <w:rPr>
                <w:noProof/>
                <w:sz w:val="16"/>
              </w:rPr>
              <w:t>Vuosi</w:t>
            </w:r>
            <w:r>
              <w:rPr>
                <w:noProof/>
                <w:sz w:val="22"/>
              </w:rPr>
              <w:br/>
            </w:r>
            <w:r>
              <w:rPr>
                <w:b/>
                <w:noProof/>
                <w:sz w:val="16"/>
              </w:rPr>
              <w:t>N+3</w:t>
            </w:r>
          </w:p>
        </w:tc>
        <w:tc>
          <w:tcPr>
            <w:tcW w:w="3240" w:type="dxa"/>
            <w:vAlign w:val="center"/>
          </w:tcPr>
          <w:p>
            <w:pPr>
              <w:spacing w:line="200" w:lineRule="exact"/>
              <w:jc w:val="center"/>
              <w:rPr>
                <w:b/>
                <w:noProof/>
                <w:sz w:val="16"/>
                <w:szCs w:val="16"/>
              </w:rPr>
            </w:pPr>
            <w:r>
              <w:rPr>
                <w:noProof/>
                <w:sz w:val="16"/>
              </w:rPr>
              <w:t>ja näitä seuraavat vuodet (ilmoitetaan kaikki vuodet, joille ehdotuksen/aloitteen vaikutukset ulottuvat, ks. kohta 1.6)</w:t>
            </w:r>
          </w:p>
        </w:tc>
        <w:tc>
          <w:tcPr>
            <w:tcW w:w="1080" w:type="dxa"/>
            <w:vAlign w:val="center"/>
          </w:tcPr>
          <w:p>
            <w:pPr>
              <w:spacing w:before="60" w:after="60" w:line="200" w:lineRule="exact"/>
              <w:jc w:val="center"/>
              <w:rPr>
                <w:b/>
                <w:noProof/>
                <w:sz w:val="16"/>
                <w:szCs w:val="16"/>
              </w:rPr>
            </w:pPr>
            <w:r>
              <w:rPr>
                <w:b/>
                <w:noProof/>
                <w:sz w:val="16"/>
              </w:rPr>
              <w:t>YHTEEN</w:t>
            </w:r>
            <w:r>
              <w:rPr>
                <w:b/>
                <w:noProof/>
                <w:sz w:val="16"/>
              </w:rPr>
              <w:softHyphen/>
              <w:t>SÄ</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Monivuotisen rahoituskehyksen OTSAKE 5</w:t>
            </w:r>
            <w:r>
              <w:rPr>
                <w:noProof/>
                <w:sz w:val="22"/>
              </w:rPr>
              <w:br/>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Henkilöresurssit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Muut hallintomenot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Monivuotisen rahoituskehyksen OTSAKE 5, välisumma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 xml:space="preserve">Monivuotisen rahoituskehyksen OTSAKKEESEEN 5 </w:t>
            </w:r>
            <w:r>
              <w:rPr>
                <w:rStyle w:val="FootnoteReference"/>
                <w:b/>
                <w:noProof/>
                <w:sz w:val="16"/>
              </w:rPr>
              <w:footnoteReference w:id="18"/>
            </w:r>
            <w:r>
              <w:rPr>
                <w:b/>
                <w:noProof/>
                <w:sz w:val="16"/>
              </w:rPr>
              <w:t xml:space="preserve">sisältymättömät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Henkilöresurssit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Muut </w:t>
            </w:r>
            <w:r>
              <w:rPr>
                <w:noProof/>
                <w:sz w:val="22"/>
              </w:rPr>
              <w:br/>
            </w:r>
            <w:r>
              <w:rPr>
                <w:noProof/>
                <w:sz w:val="16"/>
              </w:rPr>
              <w:t>hallintomenot</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Monivuotisen rahoituskehyksen</w:t>
            </w:r>
            <w:r>
              <w:rPr>
                <w:noProof/>
                <w:sz w:val="22"/>
              </w:rPr>
              <w:br/>
            </w:r>
            <w:r>
              <w:rPr>
                <w:b/>
                <w:noProof/>
                <w:sz w:val="16"/>
              </w:rPr>
              <w:t>OTSAKKEESEEN 5 sisältymättömät,väli</w:t>
            </w:r>
            <w:r>
              <w:rPr>
                <w:b/>
                <w:noProof/>
                <w:sz w:val="16"/>
              </w:rPr>
              <w:softHyphen/>
              <w:t xml:space="preserve">summa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YHTEENSÄ</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p>
        </w:tc>
      </w:tr>
    </w:tbl>
    <w:p>
      <w:pPr>
        <w:rPr>
          <w:noProof/>
          <w:sz w:val="18"/>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r>
        <w:rPr>
          <w:noProof/>
          <w:sz w:val="18"/>
        </w:rPr>
        <w:t>Henkilöresursseja ja muita hallintomenoja koskeva määrärahatarve katetaan toimen hallinnointiin jo osoitetuilla pääosaston määrärahoilla ja/tai pääosastossa toteutettujen uudelleenjärjestelyjen tuloksena saaduilla määrärahoilla sekä tarvittaessa sellaisilla lisäresursseilla, jotka toimea hallinnoiva pääosasto voi saada käyttöönsä vuotuisessa määrärahojen jakomenettelyssä talousarvion puitteissa.</w:t>
      </w:r>
    </w:p>
    <w:p>
      <w:pPr>
        <w:pStyle w:val="ManualHeading4"/>
        <w:rPr>
          <w:bCs/>
          <w:noProof/>
          <w:szCs w:val="24"/>
        </w:rPr>
      </w:pPr>
      <w:r>
        <w:t>3.2.3.2.</w:t>
      </w:r>
      <w:r>
        <w:tab/>
      </w:r>
      <w:r>
        <w:rPr>
          <w:noProof/>
        </w:rPr>
        <w:t>Henkilöresurssien arvioitu tarve</w:t>
      </w:r>
    </w:p>
    <w:p>
      <w:pPr>
        <w:pStyle w:val="ListDash1"/>
        <w:rPr>
          <w:noProof/>
        </w:rPr>
      </w:pPr>
      <w:r>
        <w:rPr>
          <w:b/>
          <w:noProof/>
        </w:rPr>
        <w:t>X</w:t>
      </w:r>
      <w:r>
        <w:rPr>
          <w:noProof/>
        </w:rPr>
        <w:tab/>
        <w:t xml:space="preserve">Ehdotus/aloite ei edellytä henkilöresursseja. </w:t>
      </w:r>
    </w:p>
    <w:p>
      <w:pPr>
        <w:pStyle w:val="ListDash1"/>
        <w:rPr>
          <w:noProof/>
        </w:rPr>
      </w:pPr>
      <w:r>
        <w:rPr>
          <w:noProof/>
        </w:rPr>
        <w:sym w:font="Wingdings" w:char="F0A8"/>
      </w:r>
      <w:r>
        <w:rPr>
          <w:noProof/>
        </w:rPr>
        <w:tab/>
        <w:t>Ehdotus/aloite edellyttää henkilöresursseja seuraavasti:</w:t>
      </w:r>
    </w:p>
    <w:p>
      <w:pPr>
        <w:spacing w:after="60"/>
        <w:jc w:val="right"/>
        <w:rPr>
          <w:i/>
          <w:noProof/>
          <w:sz w:val="20"/>
        </w:rPr>
      </w:pPr>
      <w:r>
        <w:rPr>
          <w:i/>
          <w:noProof/>
          <w:sz w:val="20"/>
        </w:rPr>
        <w:t>Arvio kokoaikaiseksi henkilöstöksi muutettuna</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trPr>
          <w:gridBefore w:val="1"/>
          <w:wBefore w:w="6" w:type="pct"/>
          <w:trHeight w:val="289"/>
          <w:jc w:val="center"/>
        </w:trPr>
        <w:tc>
          <w:tcPr>
            <w:tcW w:w="1897" w:type="pct"/>
            <w:gridSpan w:val="2"/>
            <w:shd w:val="clear" w:color="auto" w:fill="auto"/>
          </w:tcPr>
          <w:p>
            <w:pPr>
              <w:pStyle w:val="Text1"/>
              <w:spacing w:before="40" w:after="40"/>
              <w:ind w:left="0"/>
              <w:jc w:val="center"/>
              <w:rPr>
                <w:i/>
                <w:noProof/>
                <w:sz w:val="16"/>
                <w:szCs w:val="16"/>
              </w:rPr>
            </w:pPr>
          </w:p>
        </w:tc>
        <w:tc>
          <w:tcPr>
            <w:tcW w:w="318" w:type="pct"/>
            <w:shd w:val="clear" w:color="auto" w:fill="auto"/>
            <w:vAlign w:val="center"/>
          </w:tcPr>
          <w:p>
            <w:pPr>
              <w:spacing w:before="20" w:after="20"/>
              <w:jc w:val="center"/>
              <w:rPr>
                <w:noProof/>
                <w:sz w:val="16"/>
                <w:szCs w:val="16"/>
              </w:rPr>
            </w:pPr>
            <w:r>
              <w:rPr>
                <w:noProof/>
                <w:sz w:val="16"/>
              </w:rPr>
              <w:t>Vuosi</w:t>
            </w:r>
            <w:r>
              <w:rPr>
                <w:b/>
                <w:noProof/>
                <w:sz w:val="16"/>
              </w:rPr>
              <w:t>N</w:t>
            </w:r>
          </w:p>
        </w:tc>
        <w:tc>
          <w:tcPr>
            <w:tcW w:w="318" w:type="pct"/>
            <w:shd w:val="clear" w:color="auto" w:fill="auto"/>
            <w:vAlign w:val="center"/>
          </w:tcPr>
          <w:p>
            <w:pPr>
              <w:spacing w:before="20" w:after="20"/>
              <w:jc w:val="center"/>
              <w:rPr>
                <w:noProof/>
                <w:sz w:val="16"/>
                <w:szCs w:val="16"/>
              </w:rPr>
            </w:pPr>
            <w:r>
              <w:rPr>
                <w:noProof/>
                <w:sz w:val="16"/>
              </w:rPr>
              <w:t>Vuosi</w:t>
            </w:r>
            <w:r>
              <w:rPr>
                <w:b/>
                <w:noProof/>
                <w:sz w:val="16"/>
              </w:rPr>
              <w:t>N+1</w:t>
            </w:r>
          </w:p>
        </w:tc>
        <w:tc>
          <w:tcPr>
            <w:tcW w:w="1891" w:type="pct"/>
            <w:shd w:val="clear" w:color="auto" w:fill="auto"/>
            <w:vAlign w:val="center"/>
          </w:tcPr>
          <w:p>
            <w:pPr>
              <w:spacing w:before="20" w:after="20"/>
              <w:jc w:val="center"/>
              <w:rPr>
                <w:noProof/>
                <w:sz w:val="16"/>
                <w:szCs w:val="16"/>
              </w:rPr>
            </w:pPr>
            <w:r>
              <w:rPr>
                <w:noProof/>
                <w:sz w:val="16"/>
              </w:rPr>
              <w:t xml:space="preserve">Vuosi </w:t>
            </w:r>
            <w:r>
              <w:rPr>
                <w:b/>
                <w:noProof/>
                <w:sz w:val="16"/>
              </w:rPr>
              <w:t>N +2</w:t>
            </w:r>
          </w:p>
        </w:tc>
        <w:tc>
          <w:tcPr>
            <w:tcW w:w="226" w:type="pct"/>
            <w:shd w:val="clear" w:color="auto" w:fill="auto"/>
            <w:vAlign w:val="center"/>
          </w:tcPr>
          <w:p>
            <w:pPr>
              <w:spacing w:before="20" w:after="20"/>
              <w:jc w:val="center"/>
              <w:rPr>
                <w:noProof/>
                <w:sz w:val="16"/>
                <w:szCs w:val="16"/>
              </w:rPr>
            </w:pPr>
            <w:r>
              <w:rPr>
                <w:noProof/>
                <w:sz w:val="16"/>
              </w:rPr>
              <w:t xml:space="preserve">Vuosi </w:t>
            </w:r>
            <w:r>
              <w:rPr>
                <w:b/>
                <w:noProof/>
                <w:sz w:val="16"/>
              </w:rPr>
              <w:t>N +3</w:t>
            </w:r>
          </w:p>
        </w:tc>
        <w:tc>
          <w:tcPr>
            <w:tcW w:w="345" w:type="pct"/>
            <w:gridSpan w:val="3"/>
            <w:shd w:val="clear" w:color="auto" w:fill="auto"/>
            <w:vAlign w:val="center"/>
          </w:tcPr>
          <w:p>
            <w:pPr>
              <w:jc w:val="center"/>
              <w:rPr>
                <w:b/>
                <w:noProof/>
                <w:sz w:val="16"/>
                <w:szCs w:val="16"/>
              </w:rPr>
            </w:pPr>
            <w:r>
              <w:rPr>
                <w:noProof/>
                <w:sz w:val="16"/>
              </w:rPr>
              <w:t>ja näitä seuraavat vuodet (ilmoitetaan kaikki vuodet, joille ehdotuksen/aloitteen vaikutukset ulottuvat, ks. kohta 1.6)</w:t>
            </w:r>
          </w:p>
        </w:tc>
      </w:tr>
      <w:tr>
        <w:trPr>
          <w:gridBefore w:val="1"/>
          <w:wBefore w:w="6" w:type="pct"/>
          <w:trHeight w:val="289"/>
          <w:jc w:val="center"/>
        </w:trPr>
        <w:tc>
          <w:tcPr>
            <w:tcW w:w="4424" w:type="pct"/>
            <w:gridSpan w:val="5"/>
            <w:shd w:val="clear" w:color="auto" w:fill="auto"/>
          </w:tcPr>
          <w:p>
            <w:pPr>
              <w:spacing w:before="20" w:after="20"/>
              <w:rPr>
                <w:noProof/>
                <w:sz w:val="16"/>
                <w:szCs w:val="16"/>
              </w:rPr>
            </w:pPr>
            <w:r>
              <w:rPr>
                <w:b/>
                <w:noProof/>
                <w:sz w:val="16"/>
              </w:rPr>
              <w:sym w:font="Wingdings" w:char="F09F"/>
            </w:r>
            <w:r>
              <w:rPr>
                <w:b/>
                <w:noProof/>
                <w:sz w:val="16"/>
              </w:rPr>
              <w:t>Henkilöstötaulukkoon sisältyvät virat/toimet (virkamiehet ja väliaikainen henkilöstö)</w:t>
            </w:r>
          </w:p>
        </w:tc>
        <w:tc>
          <w:tcPr>
            <w:tcW w:w="226" w:type="pct"/>
            <w:shd w:val="clear" w:color="auto" w:fill="auto"/>
            <w:vAlign w:val="center"/>
          </w:tcPr>
          <w:p>
            <w:pPr>
              <w:spacing w:before="20" w:after="20"/>
              <w:jc w:val="center"/>
              <w:rPr>
                <w:noProof/>
                <w:sz w:val="16"/>
                <w:szCs w:val="16"/>
              </w:rPr>
            </w:pPr>
          </w:p>
        </w:tc>
        <w:tc>
          <w:tcPr>
            <w:tcW w:w="345" w:type="pct"/>
            <w:gridSpan w:val="3"/>
            <w:shd w:val="clear" w:color="auto" w:fill="auto"/>
            <w:vAlign w:val="center"/>
          </w:tcPr>
          <w:p>
            <w:pPr>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(päätoimipaikka ja komission edustustot EU:ssa)</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(edustustot EU:n ulkopuolella)</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(epäsuora tutkimustoiminta)</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(suora tutkimustoiminta)</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After w:val="4"/>
          <w:wAfter w:w="570" w:type="pct"/>
          <w:trHeight w:val="248"/>
          <w:jc w:val="center"/>
        </w:trPr>
        <w:tc>
          <w:tcPr>
            <w:tcW w:w="4430" w:type="pct"/>
            <w:gridSpan w:val="6"/>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Ulkopuolinen henkilöstö (kokoaikaiseksi muutettuna ): </w:t>
            </w:r>
            <w:r>
              <w:rPr>
                <w:rStyle w:val="FootnoteReference"/>
                <w:b/>
                <w:noProof/>
                <w:sz w:val="16"/>
              </w:rPr>
              <w:footnoteReference w:id="19"/>
            </w:r>
          </w:p>
          <w:p>
            <w:pPr>
              <w:pStyle w:val="Text1"/>
              <w:spacing w:before="0" w:after="0"/>
              <w:ind w:left="0"/>
              <w:jc w:val="left"/>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(kokonaismäärärahoista katettavat sopimussuhteiset toimihenkilöt, kansalliset asiantuntijat ja vuokrahenkilöstö)</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(sopimussuhteiset ja paikalliset toimihenkilöt, kansalliset asiantuntijat, vuokrahenkilöstö ja nuoremmat asiantuntijat EU:n ulkopuolisissa edustustoissa)</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rPr>
              <w:t>XX</w:t>
            </w:r>
            <w:r>
              <w:rPr>
                <w:noProof/>
                <w:sz w:val="16"/>
              </w:rPr>
              <w:t xml:space="preserve"> 01 04 </w:t>
            </w:r>
            <w:r>
              <w:rPr>
                <w:b/>
                <w:noProof/>
                <w:sz w:val="16"/>
              </w:rPr>
              <w:t>yy</w:t>
            </w:r>
            <w:r>
              <w:rPr>
                <w:b/>
                <w:i/>
                <w:noProof/>
                <w:sz w:val="16"/>
              </w:rPr>
              <w:t xml:space="preserve"> </w:t>
            </w:r>
            <w:r>
              <w:rPr>
                <w:rStyle w:val="FootnoteReference"/>
                <w:b/>
                <w:i/>
                <w:noProof/>
                <w:sz w:val="16"/>
              </w:rPr>
              <w:footnoteReference w:id="20"/>
            </w:r>
          </w:p>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Päätoimipaikassa</w:t>
            </w:r>
          </w:p>
          <w:p>
            <w:pPr>
              <w:pStyle w:val="Text1"/>
              <w:spacing w:beforeLines="20" w:before="48" w:afterLines="20" w:after="48"/>
              <w:ind w:left="136"/>
              <w:jc w:val="left"/>
              <w:rPr>
                <w:b/>
                <w:noProof/>
                <w:sz w:val="16"/>
                <w:szCs w:val="16"/>
              </w:rPr>
            </w:pP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shd w:val="clear" w:color="auto" w:fill="auto"/>
            <w:vAlign w:val="center"/>
          </w:tcPr>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EU:n ulkop. edustustoissa </w:t>
            </w: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b/>
                <w:noProof/>
                <w:sz w:val="16"/>
              </w:rPr>
              <w:t>XX</w:t>
            </w:r>
            <w:r>
              <w:rPr>
                <w:noProof/>
              </w:rPr>
              <w:t xml:space="preserve"> </w:t>
            </w:r>
            <w:r>
              <w:rPr>
                <w:noProof/>
                <w:sz w:val="16"/>
              </w:rPr>
              <w:t>01 05 02 (epäsuora tutkimustoiminta: sopimussuhteiset toimihenkilöt, kansalliset asiantuntijat ja vuokrahenkilöstö)</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(suora tutkimustoiminta: sopimussuhteiset toimihenkilöt, kansalliset asiantuntijat ja vuokrahenkilöstö)</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Muu budjettikohta (mikä?)</w:t>
            </w: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YHTEENSÄ</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891"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22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rPr>
        <w:t>XX</w:t>
      </w:r>
      <w:r>
        <w:rPr>
          <w:noProof/>
          <w:sz w:val="18"/>
        </w:rPr>
        <w:t xml:space="preserve"> viittaa kyseessä olevaan toimintalohkoon eli talousarvion osastoon.</w:t>
      </w:r>
    </w:p>
    <w:p>
      <w:pPr>
        <w:pStyle w:val="Text1"/>
        <w:rPr>
          <w:noProof/>
          <w:sz w:val="18"/>
          <w:szCs w:val="18"/>
        </w:rPr>
      </w:pPr>
      <w:r>
        <w:rPr>
          <w:noProof/>
          <w:sz w:val="18"/>
        </w:rPr>
        <w:t>Henkilöresurssien tarve katetaan toimen hallinnointiin jo osoitetulla pääosaston henkilöstöllä ja/tai pääosastossa toteutettujen henkilöstön uudelleenjärjestelyjen tuloksena saadulla henkilöstöllä sekä tarvittaessa sellaisilla lisäresursseilla, jotka toimea hallinnoiva pääosasto voi saada käyttöönsä vuotuisessa määrärahojen jakomenettelyssä talousarvion puitteissa.</w:t>
      </w:r>
    </w:p>
    <w:p>
      <w:pPr>
        <w:rPr>
          <w:noProof/>
          <w:sz w:val="20"/>
        </w:rPr>
      </w:pPr>
      <w:r>
        <w:rPr>
          <w:noProof/>
          <w:sz w:val="20"/>
        </w:rPr>
        <w:t>Kuvaus henkilöstön tehtävistä:</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Virkamiehet ja väliaikaiset toimihenkilöt</w:t>
            </w:r>
          </w:p>
        </w:tc>
        <w:tc>
          <w:tcPr>
            <w:tcW w:w="7200" w:type="dxa"/>
          </w:tcPr>
          <w:p>
            <w:pPr>
              <w:rPr>
                <w:noProof/>
                <w:sz w:val="20"/>
              </w:rPr>
            </w:pPr>
          </w:p>
        </w:tc>
      </w:tr>
      <w:tr>
        <w:tc>
          <w:tcPr>
            <w:tcW w:w="3240" w:type="dxa"/>
          </w:tcPr>
          <w:p>
            <w:pPr>
              <w:spacing w:before="60" w:after="60"/>
              <w:rPr>
                <w:noProof/>
                <w:sz w:val="20"/>
              </w:rPr>
            </w:pPr>
            <w:r>
              <w:rPr>
                <w:noProof/>
                <w:sz w:val="20"/>
              </w:rPr>
              <w:t>Ulkopuolinen henkilöstö</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t>3.2.4.</w:t>
      </w:r>
      <w:r>
        <w:tab/>
      </w:r>
      <w:r>
        <w:rPr>
          <w:noProof/>
        </w:rPr>
        <w:t xml:space="preserve">Yhteensopivuus nykyisen monivuotisen rahoituskehyksen kanssa </w:t>
      </w:r>
    </w:p>
    <w:p>
      <w:pPr>
        <w:pStyle w:val="ListDash1"/>
        <w:rPr>
          <w:noProof/>
        </w:rPr>
      </w:pPr>
      <w:r>
        <w:rPr>
          <w:b/>
          <w:noProof/>
        </w:rPr>
        <w:t>X</w:t>
      </w:r>
      <w:r>
        <w:rPr>
          <w:noProof/>
        </w:rPr>
        <w:tab/>
        <w:t>Ehdotus/aloite on nykyisen monivuotisen rahoituskehyksen mukainen.</w:t>
      </w:r>
    </w:p>
    <w:p>
      <w:pPr>
        <w:pStyle w:val="ListDash1"/>
        <w:rPr>
          <w:noProof/>
        </w:rPr>
      </w:pPr>
      <w:r>
        <w:rPr>
          <w:noProof/>
        </w:rPr>
        <w:sym w:font="Wingdings" w:char="F0A8"/>
      </w:r>
      <w:r>
        <w:rPr>
          <w:noProof/>
        </w:rPr>
        <w:tab/>
        <w:t>Ehdotus/aloite edellyttää monivuotisen rahoituskehyksen asianomaisen otsakkeen rahoitussuunnitelman muuttamista.</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Selvitys rahoitussuunnitelmaan tarvittavista muutoksista, mainittava myös kyseeseen tulevat budjettikohdat ja määrät</w:t>
      </w:r>
    </w:p>
    <w:p>
      <w:pPr>
        <w:pStyle w:val="Text1"/>
        <w:pBdr>
          <w:top w:val="single" w:sz="4" w:space="1" w:color="auto"/>
          <w:left w:val="single" w:sz="4" w:space="4" w:color="auto"/>
          <w:bottom w:val="single" w:sz="4" w:space="1" w:color="auto"/>
          <w:right w:val="single" w:sz="4" w:space="4" w:color="auto"/>
        </w:pBdr>
        <w:rPr>
          <w:noProof/>
        </w:rPr>
      </w:pPr>
      <w:r>
        <w:rPr>
          <w:noProof/>
        </w:rPr>
        <w:t>[…]</w:t>
      </w:r>
    </w:p>
    <w:p>
      <w:pPr>
        <w:pStyle w:val="ListDash1"/>
        <w:rPr>
          <w:noProof/>
        </w:rPr>
      </w:pPr>
      <w:r>
        <w:rPr>
          <w:noProof/>
        </w:rPr>
        <w:sym w:font="Wingdings" w:char="F0A8"/>
      </w:r>
      <w:r>
        <w:rPr>
          <w:noProof/>
        </w:rPr>
        <w:tab/>
        <w:t>Ehdotus/aloite edellyttää joustovälineen varojen käyttöön ottamista tai monivuotisen rahoituskehyksen tarkistamista.</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Selvitys tarvittavista toimenpiteistä, mainittava myös kyseeseen tulevat rahoituskehyksen otsakkeet, budjettikohdat ja määrät</w:t>
      </w:r>
    </w:p>
    <w:p>
      <w:pPr>
        <w:pStyle w:val="Text1"/>
        <w:pBdr>
          <w:top w:val="single" w:sz="4" w:space="1" w:color="auto"/>
          <w:left w:val="single" w:sz="4" w:space="4" w:color="auto"/>
          <w:bottom w:val="single" w:sz="4" w:space="1" w:color="auto"/>
          <w:right w:val="single" w:sz="4" w:space="4" w:color="auto"/>
        </w:pBdr>
        <w:rPr>
          <w:noProof/>
        </w:rPr>
      </w:pPr>
      <w:r>
        <w:rPr>
          <w:noProof/>
        </w:rPr>
        <w:t>[…]</w:t>
      </w:r>
    </w:p>
    <w:p>
      <w:pPr>
        <w:pStyle w:val="ManualHeading3"/>
        <w:rPr>
          <w:bCs/>
          <w:noProof/>
          <w:szCs w:val="24"/>
        </w:rPr>
      </w:pPr>
      <w:r>
        <w:t>3.2.5.</w:t>
      </w:r>
      <w:r>
        <w:tab/>
      </w:r>
      <w:r>
        <w:rPr>
          <w:noProof/>
        </w:rPr>
        <w:t xml:space="preserve">Ulkopuolisten tahojen rahoitusosuudet </w:t>
      </w:r>
    </w:p>
    <w:p>
      <w:pPr>
        <w:pStyle w:val="ListDash1"/>
        <w:rPr>
          <w:noProof/>
        </w:rPr>
      </w:pPr>
      <w:r>
        <w:rPr>
          <w:noProof/>
        </w:rPr>
        <w:t xml:space="preserve">Ehdotuksen/aloitteen rahoittamiseen ei osallistu ulkopuolisia tahoja. </w:t>
      </w:r>
    </w:p>
    <w:p>
      <w:pPr>
        <w:pStyle w:val="ListDash1"/>
        <w:rPr>
          <w:noProof/>
        </w:rPr>
      </w:pPr>
      <w:r>
        <w:rPr>
          <w:noProof/>
        </w:rPr>
        <w:t>Ehdotuksen/aloitteen rahoittamiseen osallistuu ulkopuolisia tahoja seuraavasti (arvio):</w:t>
      </w:r>
    </w:p>
    <w:p>
      <w:pPr>
        <w:jc w:val="right"/>
        <w:rPr>
          <w:noProof/>
          <w:sz w:val="20"/>
        </w:rPr>
      </w:pPr>
      <w:r>
        <w:rPr>
          <w:noProof/>
          <w:sz w:val="20"/>
        </w:rPr>
        <w:t>määrärahat, milj. euroa (kolmen desimaalin tarkkuudella)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Vuosi</w:t>
            </w:r>
            <w:r>
              <w:rPr>
                <w:noProof/>
                <w:sz w:val="22"/>
              </w:rPr>
              <w:br/>
            </w:r>
            <w:r>
              <w:rPr>
                <w:b/>
                <w:noProof/>
                <w:sz w:val="20"/>
              </w:rPr>
              <w:t>N</w:t>
            </w:r>
          </w:p>
        </w:tc>
        <w:tc>
          <w:tcPr>
            <w:tcW w:w="964" w:type="dxa"/>
            <w:vAlign w:val="center"/>
          </w:tcPr>
          <w:p>
            <w:pPr>
              <w:jc w:val="center"/>
              <w:rPr>
                <w:noProof/>
                <w:sz w:val="20"/>
              </w:rPr>
            </w:pPr>
            <w:r>
              <w:rPr>
                <w:noProof/>
                <w:sz w:val="20"/>
              </w:rPr>
              <w:t>Vuosi</w:t>
            </w:r>
            <w:r>
              <w:rPr>
                <w:noProof/>
                <w:sz w:val="22"/>
              </w:rPr>
              <w:br/>
            </w:r>
            <w:r>
              <w:rPr>
                <w:b/>
                <w:noProof/>
                <w:sz w:val="20"/>
              </w:rPr>
              <w:t>N+1</w:t>
            </w:r>
          </w:p>
        </w:tc>
        <w:tc>
          <w:tcPr>
            <w:tcW w:w="964" w:type="dxa"/>
            <w:vAlign w:val="center"/>
          </w:tcPr>
          <w:p>
            <w:pPr>
              <w:jc w:val="center"/>
              <w:rPr>
                <w:noProof/>
                <w:sz w:val="20"/>
              </w:rPr>
            </w:pPr>
            <w:r>
              <w:rPr>
                <w:noProof/>
                <w:sz w:val="20"/>
              </w:rPr>
              <w:t>Vuosi</w:t>
            </w:r>
            <w:r>
              <w:rPr>
                <w:noProof/>
                <w:sz w:val="22"/>
              </w:rPr>
              <w:br/>
            </w:r>
            <w:r>
              <w:rPr>
                <w:b/>
                <w:noProof/>
                <w:sz w:val="20"/>
              </w:rPr>
              <w:t>N+2</w:t>
            </w:r>
          </w:p>
        </w:tc>
        <w:tc>
          <w:tcPr>
            <w:tcW w:w="964" w:type="dxa"/>
            <w:vAlign w:val="center"/>
          </w:tcPr>
          <w:p>
            <w:pPr>
              <w:jc w:val="center"/>
              <w:rPr>
                <w:noProof/>
                <w:sz w:val="20"/>
              </w:rPr>
            </w:pPr>
            <w:r>
              <w:rPr>
                <w:noProof/>
                <w:sz w:val="20"/>
              </w:rPr>
              <w:t>Vuosi</w:t>
            </w:r>
            <w:r>
              <w:rPr>
                <w:noProof/>
                <w:sz w:val="22"/>
              </w:rPr>
              <w:br/>
            </w:r>
            <w:r>
              <w:rPr>
                <w:b/>
                <w:noProof/>
                <w:sz w:val="20"/>
              </w:rPr>
              <w:t>N+3</w:t>
            </w:r>
          </w:p>
        </w:tc>
        <w:tc>
          <w:tcPr>
            <w:tcW w:w="2892" w:type="dxa"/>
            <w:gridSpan w:val="3"/>
            <w:vAlign w:val="center"/>
          </w:tcPr>
          <w:p>
            <w:pPr>
              <w:jc w:val="center"/>
              <w:rPr>
                <w:b/>
                <w:noProof/>
                <w:sz w:val="20"/>
              </w:rPr>
            </w:pPr>
            <w:r>
              <w:rPr>
                <w:noProof/>
                <w:sz w:val="20"/>
              </w:rPr>
              <w:t>ja näitä seuraavat vuodet (ilmoitetaan kaikki vuodet, joille ehdotuksen/aloitteen vaikutukset ulottuvat, ks. kohta 1.6)</w:t>
            </w:r>
          </w:p>
        </w:tc>
        <w:tc>
          <w:tcPr>
            <w:tcW w:w="1158" w:type="dxa"/>
            <w:vAlign w:val="center"/>
          </w:tcPr>
          <w:p>
            <w:pPr>
              <w:spacing w:before="60" w:after="60"/>
              <w:jc w:val="center"/>
              <w:rPr>
                <w:noProof/>
                <w:sz w:val="20"/>
              </w:rPr>
            </w:pPr>
            <w:r>
              <w:rPr>
                <w:noProof/>
                <w:sz w:val="20"/>
              </w:rPr>
              <w:t>Yhteensä</w:t>
            </w:r>
          </w:p>
        </w:tc>
      </w:tr>
      <w:tr>
        <w:trPr>
          <w:cantSplit/>
        </w:trPr>
        <w:tc>
          <w:tcPr>
            <w:tcW w:w="2340" w:type="dxa"/>
          </w:tcPr>
          <w:p>
            <w:pPr>
              <w:rPr>
                <w:noProof/>
                <w:sz w:val="22"/>
              </w:rPr>
            </w:pPr>
            <w:r>
              <w:rPr>
                <w:noProof/>
                <w:sz w:val="20"/>
              </w:rPr>
              <w:t>Rahoitukseen osallistuva taho</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Yhteisrahoituksella katettavat määrärahat YHTEENSÄ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ManualHeading2"/>
        <w:rPr>
          <w:bCs/>
          <w:noProof/>
          <w:szCs w:val="24"/>
        </w:rPr>
      </w:pPr>
      <w:r>
        <w:rPr>
          <w:noProof/>
        </w:rPr>
        <w:br w:type="page"/>
      </w:r>
      <w:r>
        <w:t>3.3.</w:t>
      </w:r>
      <w:r>
        <w:tab/>
      </w:r>
      <w:r>
        <w:rPr>
          <w:noProof/>
        </w:rPr>
        <w:t xml:space="preserve">Arvioidut vaikutukset tuloihin </w:t>
      </w:r>
    </w:p>
    <w:p>
      <w:pPr>
        <w:pStyle w:val="ListDash1"/>
        <w:rPr>
          <w:noProof/>
        </w:rPr>
      </w:pPr>
      <w:r>
        <w:rPr>
          <w:b/>
          <w:noProof/>
        </w:rPr>
        <w:t>X</w:t>
      </w:r>
      <w:r>
        <w:rPr>
          <w:noProof/>
        </w:rPr>
        <w:tab/>
        <w:t>Ehdotuksella/aloitteella ei ole vaikutuksia tuloihin.</w:t>
      </w:r>
    </w:p>
    <w:p>
      <w:pPr>
        <w:pStyle w:val="ListDash1"/>
        <w:rPr>
          <w:noProof/>
        </w:rPr>
      </w:pPr>
      <w:r>
        <w:rPr>
          <w:noProof/>
        </w:rPr>
        <w:sym w:font="Wingdings" w:char="F0A8"/>
      </w:r>
      <w:r>
        <w:rPr>
          <w:noProof/>
        </w:rPr>
        <w:tab/>
        <w:t>Ehdotuksella/aloitteella on vaikutuksia tuloihin seuraavasti:</w:t>
      </w:r>
    </w:p>
    <w:p>
      <w:pPr>
        <w:pStyle w:val="ListNumberLevel3"/>
        <w:rPr>
          <w:noProof/>
        </w:rPr>
      </w:pPr>
      <w:r>
        <w:rPr>
          <w:noProof/>
        </w:rPr>
        <w:sym w:font="Wingdings" w:char="F0A8"/>
      </w:r>
      <w:r>
        <w:rPr>
          <w:noProof/>
        </w:rPr>
        <w:tab/>
        <w:t xml:space="preserve">vaikutukset omiin varoihin </w:t>
      </w:r>
    </w:p>
    <w:p>
      <w:pPr>
        <w:pStyle w:val="ListNumberLevel3"/>
        <w:rPr>
          <w:noProof/>
        </w:rPr>
      </w:pPr>
      <w:r>
        <w:rPr>
          <w:noProof/>
        </w:rPr>
        <w:sym w:font="Wingdings" w:char="F0A8"/>
      </w:r>
      <w:r>
        <w:rPr>
          <w:noProof/>
        </w:rPr>
        <w:tab/>
        <w:t xml:space="preserve">vaikutukset sekalaisiin tuloihin </w:t>
      </w:r>
    </w:p>
    <w:p>
      <w:pPr>
        <w:jc w:val="right"/>
        <w:rPr>
          <w:i/>
          <w:noProof/>
          <w:sz w:val="20"/>
        </w:rPr>
      </w:pPr>
      <w:r>
        <w:rPr>
          <w:noProof/>
        </w:rPr>
        <w:t>milj. euroa (kolmen desimaalin tarkkuudella)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Tulopuolen budjettikohta</w:t>
            </w:r>
          </w:p>
        </w:tc>
        <w:tc>
          <w:tcPr>
            <w:tcW w:w="1276" w:type="dxa"/>
            <w:vMerge w:val="restart"/>
            <w:vAlign w:val="center"/>
          </w:tcPr>
          <w:p>
            <w:pPr>
              <w:jc w:val="center"/>
              <w:rPr>
                <w:noProof/>
                <w:sz w:val="18"/>
              </w:rPr>
            </w:pPr>
            <w:r>
              <w:rPr>
                <w:noProof/>
                <w:sz w:val="18"/>
              </w:rPr>
              <w:t>Käytettävissä olevat määrärahat kuluvana varainhoitovuonna</w:t>
            </w:r>
          </w:p>
        </w:tc>
        <w:tc>
          <w:tcPr>
            <w:tcW w:w="7200" w:type="dxa"/>
            <w:gridSpan w:val="7"/>
            <w:vAlign w:val="center"/>
          </w:tcPr>
          <w:p>
            <w:pPr>
              <w:jc w:val="center"/>
              <w:rPr>
                <w:noProof/>
                <w:sz w:val="18"/>
              </w:rPr>
            </w:pPr>
            <w:r>
              <w:rPr>
                <w:noProof/>
                <w:sz w:val="18"/>
              </w:rPr>
              <w:t>Ehdotuksen/aloitteen vaikutus</w:t>
            </w:r>
            <w:r>
              <w:rPr>
                <w:rStyle w:val="FootnoteReference"/>
                <w:noProof/>
                <w:sz w:val="18"/>
              </w:rPr>
              <w:footnoteReference w:id="21"/>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Vuosi</w:t>
            </w:r>
            <w:r>
              <w:rPr>
                <w:noProof/>
                <w:sz w:val="22"/>
              </w:rPr>
              <w:br/>
            </w:r>
            <w:r>
              <w:rPr>
                <w:b/>
                <w:noProof/>
                <w:sz w:val="18"/>
              </w:rPr>
              <w:t>N</w:t>
            </w:r>
          </w:p>
        </w:tc>
        <w:tc>
          <w:tcPr>
            <w:tcW w:w="900" w:type="dxa"/>
            <w:vAlign w:val="center"/>
          </w:tcPr>
          <w:p>
            <w:pPr>
              <w:jc w:val="center"/>
              <w:rPr>
                <w:noProof/>
                <w:sz w:val="18"/>
              </w:rPr>
            </w:pPr>
            <w:r>
              <w:rPr>
                <w:noProof/>
                <w:sz w:val="18"/>
              </w:rPr>
              <w:t>Vuosi</w:t>
            </w:r>
            <w:r>
              <w:rPr>
                <w:noProof/>
                <w:sz w:val="22"/>
              </w:rPr>
              <w:br/>
            </w:r>
            <w:r>
              <w:rPr>
                <w:b/>
                <w:noProof/>
                <w:sz w:val="18"/>
              </w:rPr>
              <w:t>N+1</w:t>
            </w:r>
          </w:p>
        </w:tc>
        <w:tc>
          <w:tcPr>
            <w:tcW w:w="900" w:type="dxa"/>
            <w:vAlign w:val="center"/>
          </w:tcPr>
          <w:p>
            <w:pPr>
              <w:jc w:val="center"/>
              <w:rPr>
                <w:noProof/>
                <w:sz w:val="18"/>
              </w:rPr>
            </w:pPr>
            <w:r>
              <w:rPr>
                <w:noProof/>
                <w:sz w:val="18"/>
              </w:rPr>
              <w:t>Vuosi</w:t>
            </w:r>
            <w:r>
              <w:rPr>
                <w:noProof/>
                <w:sz w:val="22"/>
              </w:rPr>
              <w:br/>
            </w:r>
            <w:r>
              <w:rPr>
                <w:b/>
                <w:noProof/>
                <w:sz w:val="18"/>
              </w:rPr>
              <w:t>N+2</w:t>
            </w:r>
          </w:p>
        </w:tc>
        <w:tc>
          <w:tcPr>
            <w:tcW w:w="1080" w:type="dxa"/>
            <w:vAlign w:val="center"/>
          </w:tcPr>
          <w:p>
            <w:pPr>
              <w:jc w:val="center"/>
              <w:rPr>
                <w:noProof/>
                <w:sz w:val="18"/>
              </w:rPr>
            </w:pPr>
            <w:r>
              <w:rPr>
                <w:noProof/>
                <w:sz w:val="18"/>
              </w:rPr>
              <w:t>Vuosi</w:t>
            </w:r>
            <w:r>
              <w:rPr>
                <w:noProof/>
                <w:sz w:val="22"/>
              </w:rPr>
              <w:br/>
            </w:r>
            <w:r>
              <w:rPr>
                <w:b/>
                <w:noProof/>
                <w:sz w:val="18"/>
              </w:rPr>
              <w:t>N+3</w:t>
            </w:r>
          </w:p>
        </w:tc>
        <w:tc>
          <w:tcPr>
            <w:tcW w:w="3240" w:type="dxa"/>
            <w:gridSpan w:val="3"/>
            <w:vAlign w:val="center"/>
          </w:tcPr>
          <w:p>
            <w:pPr>
              <w:jc w:val="center"/>
              <w:rPr>
                <w:b/>
                <w:noProof/>
                <w:sz w:val="18"/>
              </w:rPr>
            </w:pPr>
            <w:r>
              <w:rPr>
                <w:noProof/>
                <w:sz w:val="18"/>
              </w:rPr>
              <w:t>ja näitä seuraavat vuodet (ilmoitetaan kaikki vuodet, joille ehdotuksen/aloitteen vaikutukset ulottuvat, ks. kohta 1.6)</w:t>
            </w:r>
          </w:p>
        </w:tc>
      </w:tr>
      <w:tr>
        <w:trPr>
          <w:trHeight w:val="388"/>
        </w:trPr>
        <w:tc>
          <w:tcPr>
            <w:tcW w:w="2144" w:type="dxa"/>
            <w:vAlign w:val="center"/>
          </w:tcPr>
          <w:p>
            <w:pPr>
              <w:spacing w:before="40" w:after="40"/>
              <w:rPr>
                <w:noProof/>
                <w:sz w:val="18"/>
              </w:rPr>
            </w:pPr>
            <w:r>
              <w:rPr>
                <w:noProof/>
                <w:sz w:val="18"/>
              </w:rPr>
              <w:t>Momentti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Vastaava(t) menopuolen budjettikohta (budjettikohdat) käyttötarkoitukseensa sidottujen sekalaisten tulojen tapauksessa:</w:t>
      </w:r>
    </w:p>
    <w:p>
      <w:pPr>
        <w:pStyle w:val="Text1"/>
        <w:pBdr>
          <w:top w:val="single" w:sz="4" w:space="1" w:color="auto"/>
          <w:left w:val="single" w:sz="4" w:space="4" w:color="auto"/>
          <w:bottom w:val="single" w:sz="4" w:space="1" w:color="auto"/>
          <w:right w:val="single" w:sz="4" w:space="4" w:color="auto"/>
        </w:pBdr>
        <w:rPr>
          <w:noProof/>
        </w:rPr>
      </w:pPr>
      <w:r>
        <w:rPr>
          <w:noProof/>
        </w:rPr>
        <w:t>[…]</w:t>
      </w:r>
    </w:p>
    <w:p>
      <w:pPr>
        <w:pStyle w:val="Text1"/>
        <w:rPr>
          <w:noProof/>
          <w:sz w:val="20"/>
        </w:rPr>
      </w:pPr>
      <w:r>
        <w:rPr>
          <w:noProof/>
          <w:sz w:val="20"/>
        </w:rPr>
        <w:t>Selvitys tuloihin kohdistuvan vaikutuksen laskentamenetelmästä</w:t>
      </w:r>
    </w:p>
    <w:p>
      <w:pPr>
        <w:pStyle w:val="Text1"/>
        <w:pBdr>
          <w:top w:val="single" w:sz="4" w:space="1" w:color="auto"/>
          <w:left w:val="single" w:sz="4" w:space="4" w:color="auto"/>
          <w:bottom w:val="single" w:sz="4" w:space="1" w:color="auto"/>
          <w:right w:val="single" w:sz="4" w:space="4" w:color="auto"/>
        </w:pBdr>
        <w:rPr>
          <w:noProof/>
        </w:rPr>
      </w:pPr>
      <w:r>
        <w:rPr>
          <w:noProof/>
        </w:rPr>
        <w:t>[…]</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24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Ks. pöytäkirjan liitteenä oleva kalastusluokkien taulukko (EUVL L 315, 1.12.2015, s. 13).</w:t>
      </w:r>
    </w:p>
  </w:footnote>
  <w:footnote w:id="2">
    <w:p>
      <w:pPr>
        <w:pStyle w:val="FootnoteText"/>
      </w:pPr>
      <w:r>
        <w:rPr>
          <w:rStyle w:val="FootnoteReference"/>
        </w:rPr>
        <w:footnoteRef/>
      </w:r>
      <w:r>
        <w:tab/>
        <w:t xml:space="preserve">COFREPECHE, NFDS, POSEIDON ja MRAG, 2014. </w:t>
      </w:r>
      <w:r>
        <w:rPr>
          <w:lang w:val="fr-FR"/>
        </w:rPr>
        <w:t xml:space="preserve">Évaluation rétrospective et prospective du protocole de l’accord de partenariat dans le secteur de la pêche entre l'Union européenne et la République islamique de Mauritanie (sous le Contrat cadre MARE/2011/01 - Lot 3, contrat spécifique 8). </w:t>
      </w:r>
      <w:r>
        <w:t xml:space="preserve">Bryssel, </w:t>
      </w:r>
      <w:r>
        <w:fldChar w:fldCharType="begin"/>
      </w:r>
      <w:r>
        <w:instrText xml:space="preserve"> NUMPAGES   \* MERGEFORMAT </w:instrText>
      </w:r>
      <w:r>
        <w:fldChar w:fldCharType="separate"/>
      </w:r>
      <w:r>
        <w:t>176</w:t>
      </w:r>
      <w:r>
        <w:fldChar w:fldCharType="end"/>
      </w:r>
      <w:r>
        <w:t xml:space="preserve"> s.</w:t>
      </w:r>
    </w:p>
  </w:footnote>
  <w:footnote w:id="3">
    <w:p>
      <w:pPr>
        <w:pStyle w:val="FootnoteText"/>
      </w:pPr>
      <w:r>
        <w:rPr>
          <w:rStyle w:val="FootnoteReference"/>
        </w:rPr>
        <w:footnoteRef/>
      </w:r>
      <w:r>
        <w:tab/>
        <w:t>EUVL L 343, 8.12.2006, s. 4.</w:t>
      </w:r>
    </w:p>
  </w:footnote>
  <w:footnote w:id="4">
    <w:p>
      <w:pPr>
        <w:pStyle w:val="FootnoteText"/>
      </w:pPr>
      <w:r>
        <w:rPr>
          <w:rStyle w:val="FootnoteReference"/>
        </w:rPr>
        <w:footnoteRef/>
      </w:r>
      <w:r>
        <w:tab/>
        <w:t>Neuvoston päätös (EU) 2016/870, annettu 24 päivänä toukokuuta 2016, Euroopan unionin ja Mauritanian islamilaisen tasavallan välisessä kalastuskumppanuussopimuksessa määrättyjen kalastusmahdollisuuksien ja taloudellisen korvauksen vahvistamisesta neljän vuoden ajanjaksoksi tehdyn pöytäkirjan allekirjoittamisesta Euroopan unionin puolesta (EUVL L 145, 2.6.2016, s. 1).</w:t>
      </w:r>
    </w:p>
  </w:footnote>
  <w:footnote w:id="5">
    <w:p>
      <w:pPr>
        <w:pStyle w:val="FootnoteText"/>
      </w:pPr>
      <w:r>
        <w:rPr>
          <w:rStyle w:val="FootnoteReference"/>
        </w:rPr>
        <w:footnoteRef/>
      </w:r>
      <w:r>
        <w:tab/>
        <w:t>EUVL L 315, 1.12.2015, s. 3.</w:t>
      </w:r>
    </w:p>
  </w:footnote>
  <w:footnote w:id="6">
    <w:p>
      <w:pPr>
        <w:pStyle w:val="FootnoteText"/>
      </w:pPr>
      <w:r>
        <w:rPr>
          <w:rStyle w:val="FootnoteReference"/>
        </w:rPr>
        <w:footnoteRef/>
      </w:r>
      <w:r>
        <w:tab/>
        <w:t>Neuvoston asetus (EU) 2015/2192, annettu 10 päivänä marraskuuta 2015, Euroopan yhteisön ja Mauritanian islamilaisen tasavallan välisessä kalastuskumppanuussopimuksessa määrättyjen kalastusmahdollisuuksien ja taloudellisen korvauksen vahvistamisesta neljän vuoden ajanjaksoksi tehdyn pöytäkirjan mukaisten kalastusmahdollisuuksien jakamisesta (EUVL 315, 1.12.2015, s. 72).</w:t>
      </w:r>
    </w:p>
  </w:footnote>
  <w:footnote w:id="7">
    <w:p>
      <w:pPr>
        <w:pStyle w:val="FootnoteText"/>
        <w:rPr>
          <w:szCs w:val="24"/>
        </w:rPr>
      </w:pPr>
      <w:r>
        <w:rPr>
          <w:rStyle w:val="FootnoteReference"/>
        </w:rPr>
        <w:footnoteRef/>
      </w:r>
      <w:r>
        <w:tab/>
        <w:t>ABM: toimintoperusteinen johtaminen; ABB: toimintoperusteinen budjetointi.</w:t>
      </w:r>
    </w:p>
  </w:footnote>
  <w:footnote w:id="8">
    <w:p>
      <w:pPr>
        <w:pStyle w:val="FootnoteText"/>
        <w:rPr>
          <w:szCs w:val="24"/>
        </w:rPr>
      </w:pPr>
      <w:r>
        <w:rPr>
          <w:rStyle w:val="FootnoteReference"/>
        </w:rPr>
        <w:footnoteRef/>
      </w:r>
      <w:r>
        <w:tab/>
        <w:t>Sellaisina kuin nämä on määritelty varainhoitoasetuksen 54 artiklan 2 kohdan a ja b alakohdassa.</w:t>
      </w:r>
    </w:p>
  </w:footnote>
  <w:footnote w:id="9">
    <w:p>
      <w:pPr>
        <w:pStyle w:val="FootnoteText"/>
        <w:rPr>
          <w:szCs w:val="24"/>
        </w:rPr>
      </w:pPr>
      <w:r>
        <w:rPr>
          <w:rStyle w:val="FootnoteReference"/>
        </w:rPr>
        <w:footnoteRef/>
      </w:r>
      <w:r>
        <w:tab/>
        <w:t xml:space="preserve">Kuvaukset eri hallinnointitavoista ja viittaukset varainhoitoasetukseen ovat saatavilla budjettipääosaston verkkosivuilla osoitteessa </w:t>
      </w:r>
      <w:hyperlink r:id="rId1">
        <w:r>
          <w:rPr>
            <w:rStyle w:val="Hyperlink"/>
            <w:sz w:val="18"/>
          </w:rPr>
          <w:t>http://www.cc.cec/budg/man/budgmanag/budgmanag_en.html.</w:t>
        </w:r>
      </w:hyperlink>
    </w:p>
  </w:footnote>
  <w:footnote w:id="10">
    <w:p>
      <w:pPr>
        <w:pStyle w:val="FootnoteText"/>
        <w:rPr>
          <w:szCs w:val="24"/>
        </w:rPr>
      </w:pPr>
      <w:r>
        <w:rPr>
          <w:rStyle w:val="FootnoteReference"/>
        </w:rPr>
        <w:footnoteRef/>
      </w:r>
      <w:r>
        <w:tab/>
        <w:t>JM = jaksotetut määrärahat / EI-JM = jaksottamattomat määrärahat.</w:t>
      </w:r>
    </w:p>
  </w:footnote>
  <w:footnote w:id="11">
    <w:p>
      <w:pPr>
        <w:pStyle w:val="FootnoteText"/>
        <w:rPr>
          <w:szCs w:val="24"/>
        </w:rPr>
      </w:pPr>
      <w:r>
        <w:rPr>
          <w:rStyle w:val="FootnoteReference"/>
        </w:rPr>
        <w:footnoteRef/>
      </w:r>
      <w:r>
        <w:tab/>
        <w:t xml:space="preserve">EFTA: Euroopan vapaakauppaliitto. </w:t>
      </w:r>
    </w:p>
  </w:footnote>
  <w:footnote w:id="12">
    <w:p>
      <w:pPr>
        <w:pStyle w:val="FootnoteText"/>
        <w:rPr>
          <w:szCs w:val="24"/>
        </w:rPr>
      </w:pPr>
      <w:r>
        <w:rPr>
          <w:rStyle w:val="FootnoteReference"/>
        </w:rPr>
        <w:footnoteRef/>
      </w:r>
      <w:r>
        <w:tab/>
        <w:t>Ehdokasmaat ja soveltuvin osin Länsi-Balkanin mahdolliset ehdokasmaat.</w:t>
      </w:r>
    </w:p>
  </w:footnote>
  <w:footnote w:id="13">
    <w:p>
      <w:pPr>
        <w:pStyle w:val="FootnoteText"/>
        <w:rPr>
          <w:szCs w:val="24"/>
        </w:rPr>
      </w:pPr>
      <w:r>
        <w:rPr>
          <w:rStyle w:val="FootnoteReference"/>
        </w:rPr>
        <w:footnoteRef/>
      </w:r>
      <w:r>
        <w:tab/>
        <w:t>Tekninen ja/tai hallinnollinen apu sekä EU:n ohjelmien ja/tai toimien toteuttamiseen liittyvät tukimenot (entiset BA-budjettikohdat), epäsuora ja suora tutkimustoiminta.</w:t>
      </w:r>
    </w:p>
  </w:footnote>
  <w:footnote w:id="14">
    <w:p>
      <w:pPr>
        <w:pStyle w:val="FootnoteText"/>
        <w:rPr>
          <w:szCs w:val="24"/>
        </w:rPr>
      </w:pPr>
      <w:r>
        <w:rPr>
          <w:rStyle w:val="FootnoteReference"/>
        </w:rPr>
        <w:footnoteRef/>
      </w:r>
      <w:r>
        <w:tab/>
        <w:t>Tuotokset ovat tuloksena olevia tuotteita ja palveluita (esim. rahoitettujen opiskelijavaihtojen määrä tai rakennetut tiekilometrit).</w:t>
      </w:r>
    </w:p>
  </w:footnote>
  <w:footnote w:id="15">
    <w:p>
      <w:pPr>
        <w:pStyle w:val="FootnoteText"/>
        <w:rPr>
          <w:szCs w:val="24"/>
        </w:rPr>
      </w:pPr>
      <w:r>
        <w:rPr>
          <w:rStyle w:val="FootnoteReference"/>
        </w:rPr>
        <w:footnoteRef/>
      </w:r>
      <w:r>
        <w:tab/>
        <w:t xml:space="preserve">Kuten kuvattu kohdassa 1.4.2  ”Erityistavoitteet...” </w:t>
      </w:r>
    </w:p>
  </w:footnote>
  <w:footnote w:id="16">
    <w:p>
      <w:pPr>
        <w:pStyle w:val="FootnoteText"/>
      </w:pPr>
      <w:r>
        <w:rPr>
          <w:rStyle w:val="FootnoteReference"/>
        </w:rPr>
        <w:footnoteRef/>
      </w:r>
      <w:r>
        <w:tab/>
        <w:t>Vuonna 2017 komissio maksaa pöytäkirjan soveltamisvuosista 2016/2017 ja 2017/2018. Vuonna 2018 komissio maksaa soveltamisvuodesta 2018/2019. Tämä johtuu siitä, että korvaus vesille pääsystä on maksettava viimeistään pöytäkirjan vuosipäivänä, joka on 16. marraskuuta. Esimerkiksi soveltamisvuoden 2018/2019 osalta komission on maksettava korvaus vesille pääsystä viimeistään 16. marraskuuta 2018.</w:t>
      </w:r>
    </w:p>
  </w:footnote>
  <w:footnote w:id="17">
    <w:p>
      <w:pPr>
        <w:pStyle w:val="FootnoteText"/>
        <w:rPr>
          <w:szCs w:val="24"/>
        </w:rPr>
      </w:pPr>
      <w:r>
        <w:rPr>
          <w:rStyle w:val="FootnoteReference"/>
        </w:rPr>
        <w:footnoteRef/>
      </w:r>
      <w:r>
        <w:tab/>
        <w:t>Vuosi N on ehdotuksen/aloitteen toteutuksen aloitusvuosi.</w:t>
      </w:r>
    </w:p>
  </w:footnote>
  <w:footnote w:id="18">
    <w:p>
      <w:pPr>
        <w:pStyle w:val="FootnoteText"/>
        <w:rPr>
          <w:szCs w:val="24"/>
        </w:rPr>
      </w:pPr>
      <w:r>
        <w:rPr>
          <w:rStyle w:val="FootnoteReference"/>
        </w:rPr>
        <w:footnoteRef/>
      </w:r>
      <w:r>
        <w:tab/>
        <w:t>Tekninen ja/tai hallinnollinen apu sekä EU:n ohjelmien ja/tai toimien toteuttamiseen liittyvät tukimenot (entiset BA-budjettikohdat), epäsuora ja suora tutkimustoiminta.</w:t>
      </w:r>
    </w:p>
  </w:footnote>
  <w:footnote w:id="19">
    <w:p>
      <w:pPr>
        <w:pStyle w:val="FootnoteText"/>
        <w:rPr>
          <w:szCs w:val="24"/>
        </w:rPr>
      </w:pPr>
      <w:r>
        <w:rPr>
          <w:rStyle w:val="FootnoteReference"/>
        </w:rPr>
        <w:footnoteRef/>
      </w:r>
      <w:r>
        <w:tab/>
        <w:t xml:space="preserve">Sopimussuhteiset toimihenkilöt, paikalliset toimihenkilöt, kansalliset asiantuntijat; vuokrahenkilöstö, nuoremmat asiantuntijat EU:n ulkopuolisissa edustustoissa. </w:t>
      </w:r>
    </w:p>
  </w:footnote>
  <w:footnote w:id="20">
    <w:p>
      <w:pPr>
        <w:pStyle w:val="FootnoteText"/>
        <w:rPr>
          <w:szCs w:val="24"/>
        </w:rPr>
      </w:pPr>
      <w:r>
        <w:rPr>
          <w:rStyle w:val="FootnoteReference"/>
        </w:rPr>
        <w:footnoteRef/>
      </w:r>
      <w:r>
        <w:tab/>
        <w:t>Toimintamäärärahoista katettavan ulkopuolisen henkilöstön enimmäismäärä (entiset BA-budjettikohdat).</w:t>
      </w:r>
    </w:p>
  </w:footnote>
  <w:footnote w:id="21">
    <w:p>
      <w:pPr>
        <w:pStyle w:val="FootnoteText"/>
        <w:rPr>
          <w:szCs w:val="24"/>
        </w:rPr>
      </w:pPr>
      <w:r>
        <w:rPr>
          <w:rStyle w:val="FootnoteReference"/>
        </w:rPr>
        <w:footnoteRef/>
      </w:r>
      <w:r>
        <w:tab/>
        <w:t>Perinteiset omat varat (tulli- ja sokerimaksut) on ilmoitettava nettomääräisinä eli bruttomäärästä on vähennettävä kantokuluja vastaava 25 prosentin osuus.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50A67C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EBE1F30"/>
    <w:lvl w:ilvl="0">
      <w:start w:val="1"/>
      <w:numFmt w:val="decimal"/>
      <w:pStyle w:val="ListNumber3"/>
      <w:lvlText w:val="%1."/>
      <w:lvlJc w:val="left"/>
      <w:pPr>
        <w:tabs>
          <w:tab w:val="num" w:pos="926"/>
        </w:tabs>
        <w:ind w:left="926" w:hanging="360"/>
      </w:pPr>
    </w:lvl>
  </w:abstractNum>
  <w:abstractNum w:abstractNumId="2">
    <w:nsid w:val="FFFFFF7F"/>
    <w:multiLevelType w:val="singleLevel"/>
    <w:tmpl w:val="474EF5F8"/>
    <w:lvl w:ilvl="0">
      <w:start w:val="1"/>
      <w:numFmt w:val="decimal"/>
      <w:pStyle w:val="ListNumber2"/>
      <w:lvlText w:val="%1."/>
      <w:lvlJc w:val="left"/>
      <w:pPr>
        <w:tabs>
          <w:tab w:val="num" w:pos="643"/>
        </w:tabs>
        <w:ind w:left="643" w:hanging="360"/>
      </w:pPr>
    </w:lvl>
  </w:abstractNum>
  <w:abstractNum w:abstractNumId="3">
    <w:nsid w:val="FFFFFF81"/>
    <w:multiLevelType w:val="singleLevel"/>
    <w:tmpl w:val="2AFA483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3D6CA8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4"/>
  </w:num>
  <w:num w:numId="3">
    <w:abstractNumId w:val="13"/>
  </w:num>
  <w:num w:numId="4">
    <w:abstractNumId w:val="22"/>
  </w:num>
  <w:num w:numId="5">
    <w:abstractNumId w:val="19"/>
  </w:num>
  <w:num w:numId="6">
    <w:abstractNumId w:val="23"/>
  </w:num>
  <w:num w:numId="7">
    <w:abstractNumId w:val="4"/>
  </w:num>
  <w:num w:numId="8">
    <w:abstractNumId w:val="3"/>
  </w:num>
  <w:num w:numId="9">
    <w:abstractNumId w:val="24"/>
    <w:lvlOverride w:ilvl="0">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0"/>
  </w:num>
  <w:num w:numId="14">
    <w:abstractNumId w:val="18"/>
  </w:num>
  <w:num w:numId="15">
    <w:abstractNumId w:val="10"/>
  </w:num>
  <w:num w:numId="16">
    <w:abstractNumId w:val="21"/>
  </w:num>
  <w:num w:numId="17">
    <w:abstractNumId w:val="9"/>
  </w:num>
  <w:num w:numId="18">
    <w:abstractNumId w:val="11"/>
  </w:num>
  <w:num w:numId="19">
    <w:abstractNumId w:val="7"/>
  </w:num>
  <w:num w:numId="20">
    <w:abstractNumId w:val="20"/>
  </w:num>
  <w:num w:numId="21">
    <w:abstractNumId w:val="6"/>
  </w:num>
  <w:num w:numId="22">
    <w:abstractNumId w:val="12"/>
  </w:num>
  <w:num w:numId="23">
    <w:abstractNumId w:val="16"/>
  </w:num>
  <w:num w:numId="24">
    <w:abstractNumId w:val="17"/>
  </w:num>
  <w:num w:numId="25">
    <w:abstractNumId w:val="8"/>
  </w:num>
  <w:num w:numId="26">
    <w:abstractNumId w:val="15"/>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hideSpellingErrors/>
  <w:hideGrammaticalErrors/>
  <w:attachedTemplate r:id="rId1"/>
  <w:revisionView w:markup="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3-09 10:32:0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2E30E947D7C146B9966FB363737A095B"/>
    <w:docVar w:name="LW_CROSSREFERENCE" w:val="&lt;UNUSED&gt;"/>
    <w:docVar w:name="LW_DocType" w:val="COM"/>
    <w:docVar w:name="LW_EMISSION" w:val="15.3.2017"/>
    <w:docVar w:name="LW_EMISSION_ISODATE" w:val="2017-03-15"/>
    <w:docVar w:name="LW_EMISSION_LOCATION" w:val="BRX"/>
    <w:docVar w:name="LW_EMISSION_PREFIX" w:val="Bryssel "/>
    <w:docVar w:name="LW_EMISSION_SUFFIX" w:val=" "/>
    <w:docVar w:name="LW_ID_DOCMODEL" w:val="SJ-016"/>
    <w:docVar w:name="LW_ID_DOCSIGNATURE" w:val="SJ-016"/>
    <w:docVar w:name="LW_ID_DOCSTRUCTURE" w:val="COM/PL/ORG"/>
    <w:docVar w:name="LW_ID_DOCTYPE" w:val="SJ-016"/>
    <w:docVar w:name="LW_ID_STATUT" w:val="SJ-016"/>
    <w:docVar w:name="LW_INTERETEEE.CP" w:val="&lt;UNUSED&gt;"/>
    <w:docVar w:name="LW_LANGUE" w:val="FI"/>
    <w:docVar w:name="LW_MARKING" w:val="&lt;UNUSED&gt;"/>
    <w:docVar w:name="LW_NOM.INST" w:val="EUROOPAN KOMISSIO"/>
    <w:docVar w:name="LW_NOM.INST_JOINTDOC" w:val="&lt;EMPTY&gt;"/>
    <w:docVar w:name="LW_PART_NBR" w:val="1"/>
    <w:docVar w:name="LW_PART_NBR_TOTAL" w:val="1"/>
    <w:docVar w:name="LW_REF.II.NEW.CP" w:val="NLE"/>
    <w:docVar w:name="LW_REF.II.NEW.CP_NUMBER" w:val="0053"/>
    <w:docVar w:name="LW_REF.II.NEW.CP_YEAR" w:val="2017"/>
    <w:docVar w:name="LW_REF.INST.NEW" w:val="COM"/>
    <w:docVar w:name="LW_REF.INST.NEW_ADOPTED" w:val="final"/>
    <w:docVar w:name="LW_REF.INST.NEW_TEXT" w:val="(2017) 125"/>
    <w:docVar w:name="LW_REF.INTERNE" w:val="&lt;UNUSED&gt;"/>
    <w:docVar w:name="LW_SOUS.TITRE.OBJ.CP" w:val="&lt;UNUSED&gt;"/>
    <w:docVar w:name="LW_STATUT.CP" w:val="Ehdotus"/>
    <w:docVar w:name="LW_SUPERTITRE" w:val="&lt;UNUSED&gt;"/>
    <w:docVar w:name="LW_TITRE.OBJ.CP" w:val="Euroopan unionin ja Mauritanian islamilaisen tasavallan välisessä kalastuskumppanuussopimuksessa määrättyjen kalastusmahdollisuuksien ja taloudellisen korvauksen vahvistamisesta tehdyn pöytäkirjan mukaisten kalastusmahdollisuuksien jakamisesta annetun asetuksen (EU) 2015/2192 muuttamisesta"/>
    <w:docVar w:name="LW_TYPE.DOC.CP" w:val="NEUVOSTON ASETU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ListBullet2">
    <w:name w:val="List Bullet 2"/>
    <w:basedOn w:val="Normal"/>
    <w:pPr>
      <w:numPr>
        <w:numId w:val="6"/>
      </w:numPr>
    </w:pPr>
    <w:rPr>
      <w:rFonts w:eastAsia="Times New Roman"/>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F2E70-9C68-4F89-8D77-78E6861D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24</Pages>
  <Words>2987</Words>
  <Characters>25784</Characters>
  <Application>Microsoft Office Word</Application>
  <DocSecurity>0</DocSecurity>
  <Lines>1432</Lines>
  <Paragraphs>542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dcterms:created xsi:type="dcterms:W3CDTF">2017-03-08T10:18:00Z</dcterms:created>
  <dcterms:modified xsi:type="dcterms:W3CDTF">2017-03-09T09:32:00Z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SJ-016</vt:lpwstr>
  </property>
  <property fmtid="{D5CDD505-2E9C-101B-9397-08002B2CF9AE}" pid="10" name="DQCStatus">
    <vt:lpwstr>Green (DQC version 03)</vt:lpwstr>
  </property>
  <property name="OP_sanitized" fmtid="{D5CDD505-2E9C-101B-9397-08002B2CF9AE}" pid="11">
    <vt:lpwstr>True</vt:lpwstr>
  </property>
</Properties>
</file>