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7D" w:rsidRDefault="00BB6D71">
      <w:pPr>
        <w:pStyle w:val="Pagedecouverture"/>
        <w:rPr>
          <w:noProof/>
        </w:rPr>
      </w:pPr>
      <w:bookmarkStart w:id="0" w:name="LW_BM_COVERPAGE"/>
      <w:bookmarkStart w:id="1" w:name="_GoBack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5F21C5CB10194A23BD2129A8850855B8" style="width:451pt;height:431.4pt">
            <v:imagedata r:id="rId9" o:title=""/>
          </v:shape>
        </w:pict>
      </w:r>
    </w:p>
    <w:bookmarkEnd w:id="0"/>
    <w:p w:rsidR="0005437D" w:rsidRDefault="0005437D">
      <w:pPr>
        <w:rPr>
          <w:noProof/>
        </w:rPr>
        <w:sectPr w:rsidR="0005437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7" w:bottom="1134" w:left="1417" w:header="709" w:footer="709" w:gutter="0"/>
          <w:pgNumType w:start="1"/>
          <w:cols w:space="720"/>
          <w:docGrid w:linePitch="326"/>
        </w:sectPr>
      </w:pP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t>Johdanto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Kehotus valtamerten hallinnointia koskevaan toimintaan on otettu kansainvälisesti hyvin </w:t>
      </w:r>
      <w:r>
        <w:rPr>
          <w:rFonts w:ascii="Times New Roman" w:hAnsi="Times New Roman"/>
          <w:noProof/>
          <w:sz w:val="24"/>
        </w:rPr>
        <w:t>vastaan, muun muassa kestävän kehityksen Agenda 2030 -ohjelmassa. Kansainvälinen valtamerten hallinnointi kytkeytyy kolmeen EU-politiikan alaan eli kestävään kehitykseen, kasvuun ja työpaikkoihin sekä EU:n rooliin globaalina toimijana. Euroopalle meritalou</w:t>
      </w:r>
      <w:r>
        <w:rPr>
          <w:rFonts w:ascii="Times New Roman" w:hAnsi="Times New Roman"/>
          <w:noProof/>
          <w:sz w:val="24"/>
        </w:rPr>
        <w:t>den ja kansainvälisen kilpailukyvyn merkitys on tässä yhteydessä yhtä olennaista kuin maailman valtamerten yhä huolestuttavammaksi käyvä tila ja vaikutukset, joita ihmisen toiminnasta meriin kohdistuu. Kummassakin tapauksessa valtamerten hyvä hoito edellyt</w:t>
      </w:r>
      <w:r>
        <w:rPr>
          <w:rFonts w:ascii="Times New Roman" w:hAnsi="Times New Roman"/>
          <w:noProof/>
          <w:sz w:val="24"/>
        </w:rPr>
        <w:t>tää maailmanlaajuista toimintaa sekä EU:n ja sen jäsenvaltioiden tiiviimpää yhteistyötä.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Karmenu Vella, ympäristö-, meri- ja kalastusasioista vastaava komission jäsen, on asettanut asian etusijalle noudattaen näin puheenjohtaja Junckerilta saamaansa tehtäv</w:t>
      </w:r>
      <w:r>
        <w:rPr>
          <w:rFonts w:ascii="Times New Roman" w:hAnsi="Times New Roman"/>
          <w:noProof/>
          <w:sz w:val="24"/>
        </w:rPr>
        <w:t>ää (ryhtyä muotoilemaan kansainvälistä valtamerten hallinnointikehystä YK:ssa, muilla monenvälisillä foorumeilla ja kahdenvälisesti keskeisten kansainvälisten kumppanien kanssa).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Jäljempänä kuvattu kuulemisprosessi järjestettiin tarkoituksena laatia kansai</w:t>
      </w:r>
      <w:r>
        <w:rPr>
          <w:rFonts w:ascii="Times New Roman" w:hAnsi="Times New Roman"/>
          <w:noProof/>
          <w:sz w:val="24"/>
        </w:rPr>
        <w:t>nvälistä valtamerten hallinnointikehystä varten aloite, jossa ehdotetaan ensimmäisiä toimenpiteitä edellä mainittuihin haasteisiin vastaamiseksi. Se koostui varsinaisesta kuulemisesta sekä asiaa koskevien näkemysten vaihtamiseksi sidosryhmien kanssa järjes</w:t>
      </w:r>
      <w:r>
        <w:rPr>
          <w:rFonts w:ascii="Times New Roman" w:hAnsi="Times New Roman"/>
          <w:noProof/>
          <w:sz w:val="24"/>
        </w:rPr>
        <w:t>tetystä ”kuuntelukierroksesta”, johon komissaari Vella otti henkilökohtaisesti osaa.</w:t>
      </w:r>
    </w:p>
    <w:p w:rsidR="0005437D" w:rsidRDefault="00BB6D71">
      <w:pPr>
        <w:pStyle w:val="NoSpacing"/>
        <w:numPr>
          <w:ilvl w:val="0"/>
          <w:numId w:val="31"/>
        </w:numPr>
        <w:spacing w:after="240"/>
        <w:ind w:left="567" w:hanging="567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</w:rPr>
        <w:t>JULKINEN KUULEMINEN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Komissio käynnisti kansainvälistä valtamerten hallinnointikehystä koskevan julkisen kuulemisen 4. kesäkuuta 2015. Se kohdistettiin kaikille julkisille </w:t>
      </w:r>
      <w:r>
        <w:rPr>
          <w:rFonts w:ascii="Times New Roman" w:hAnsi="Times New Roman"/>
          <w:noProof/>
          <w:sz w:val="24"/>
        </w:rPr>
        <w:t>ja yksityisille sidosryhmille sekä kansainvälisille hallitusten välisille ja muille organisaatioille, ja sillä pyrittiin kokoamaan yhteen näkemyksiä siitä, kuinka EU voisi osaltaan edistää kansainvälistä valtamerten ja merten hallinnointia. Kuulemiskierros</w:t>
      </w:r>
      <w:r>
        <w:rPr>
          <w:rFonts w:ascii="Times New Roman" w:hAnsi="Times New Roman"/>
          <w:noProof/>
          <w:sz w:val="24"/>
        </w:rPr>
        <w:t xml:space="preserve"> päättyi 15. lokakuuta 2015. Kuulemisraportti on liitteenä.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Sidosryhmäkuulemisten tavoitteena oli saada kaikilta sidosryhmiltä näkemykset nykyisen valtamerten hallinnointikehyksen toimivuudesta, mahdollisista puutteista ja tavoista kummankin seikan paranta</w:t>
      </w:r>
      <w:r>
        <w:rPr>
          <w:rFonts w:ascii="Times New Roman" w:hAnsi="Times New Roman"/>
          <w:noProof/>
          <w:sz w:val="24"/>
        </w:rPr>
        <w:t>miseksi sekä kansainvälisellä että alueellisella tasolla.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Kuulemiseen saatiin yhteensä 154 vastausta. Vastaajina olivat hallitukset, julkiset elimet, liike-elämän edustajat, yhteisöt, kansalaisjärjestöt, tiedeyhteisön edustajat sekä kansalaiset.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Lisäksi </w:t>
      </w:r>
      <w:r>
        <w:rPr>
          <w:rFonts w:ascii="Times New Roman" w:hAnsi="Times New Roman"/>
          <w:noProof/>
          <w:sz w:val="24"/>
        </w:rPr>
        <w:t>komissaari Vella toteutti ”kuuntelukierroksen” kootakseen yhteen sidosryhmien ja kansainvälisten kumppanien näkemykset korkeimmalla poliittisella tasolla ja keskustellakseen etenemisvaihtoehdoista.</w:t>
      </w:r>
    </w:p>
    <w:p w:rsidR="0005437D" w:rsidRDefault="00BB6D71">
      <w:pPr>
        <w:pStyle w:val="NoSpacing"/>
        <w:numPr>
          <w:ilvl w:val="0"/>
          <w:numId w:val="31"/>
        </w:numPr>
        <w:spacing w:after="240"/>
        <w:ind w:left="567" w:hanging="567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VASTAAJAPROFIILI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Kuten seuraavasta kuviosta ilmenee, </w:t>
      </w:r>
      <w:r>
        <w:rPr>
          <w:rFonts w:ascii="Times New Roman" w:hAnsi="Times New Roman"/>
          <w:noProof/>
          <w:sz w:val="24"/>
        </w:rPr>
        <w:t>suurimpana vastaajaryhmänä olivat viranomaiset (26 %), ja niiden jälkeen tulivat kansalaiset (19 %), kansalaisjärjestöt (17 %) ja yritykset (17 %).</w:t>
      </w:r>
    </w:p>
    <w:p w:rsidR="0005437D" w:rsidRDefault="00BB6D71">
      <w:pPr>
        <w:pStyle w:val="NoSpacing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noProof/>
          <w:lang w:val="en-GB" w:eastAsia="en-GB" w:bidi="ar-SA"/>
        </w:rPr>
        <w:lastRenderedPageBreak/>
        <w:drawing>
          <wp:inline distT="0" distB="0" distL="0" distR="0">
            <wp:extent cx="4581525" cy="27146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7D" w:rsidRDefault="00BB6D71">
      <w:pPr>
        <w:pStyle w:val="NoSpacing"/>
        <w:keepLines/>
        <w:spacing w:after="240"/>
        <w:ind w:left="1418" w:hanging="1134"/>
        <w:jc w:val="both"/>
        <w:rPr>
          <w:rFonts w:ascii="Times New Roman" w:hAnsi="Times New Roman" w:cs="Times New Roman"/>
          <w:b/>
          <w:bCs/>
          <w:i/>
          <w:noProof/>
        </w:rPr>
      </w:pPr>
      <w:r>
        <w:rPr>
          <w:rFonts w:ascii="Times New Roman" w:hAnsi="Times New Roman"/>
          <w:b/>
          <w:i/>
          <w:noProof/>
        </w:rPr>
        <w:t xml:space="preserve">Kuvio 1: </w:t>
      </w:r>
      <w:r>
        <w:rPr>
          <w:noProof/>
        </w:rPr>
        <w:tab/>
      </w:r>
      <w:r>
        <w:rPr>
          <w:rFonts w:ascii="Times New Roman" w:hAnsi="Times New Roman"/>
          <w:b/>
          <w:i/>
          <w:noProof/>
        </w:rPr>
        <w:t>Vastaukset sidosryhmälajeittain (%)</w:t>
      </w:r>
    </w:p>
    <w:p w:rsidR="0005437D" w:rsidRDefault="00BB6D71">
      <w:pPr>
        <w:pStyle w:val="NoSpacing"/>
        <w:spacing w:after="240"/>
        <w:ind w:left="-57"/>
        <w:jc w:val="both"/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</w:rPr>
        <w:t>Vastaukset saatiin 13 jäsenvaltion, Islannin, Norjan, Yhdysv</w:t>
      </w:r>
      <w:r>
        <w:rPr>
          <w:rFonts w:ascii="Times New Roman" w:hAnsi="Times New Roman"/>
          <w:noProof/>
          <w:sz w:val="24"/>
        </w:rPr>
        <w:t>altain, Korean ja kansainvälisten organisaatioiden, mukaan luettuina UN DOALOS, UNESCO ja UNEP, edustajilta. Niistä noin 15 prosenttia tuli sidosryhmiltä, joita voitiin pitää kansainvälisinä, tai EU:n ulkopuolisista maista.</w:t>
      </w:r>
    </w:p>
    <w:p w:rsidR="0005437D" w:rsidRDefault="00BB6D71">
      <w:pPr>
        <w:pStyle w:val="NoSpacing"/>
        <w:numPr>
          <w:ilvl w:val="0"/>
          <w:numId w:val="31"/>
        </w:numPr>
        <w:spacing w:after="240"/>
        <w:ind w:left="567" w:hanging="567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KUUNTELUKIERROS</w:t>
      </w:r>
    </w:p>
    <w:p w:rsidR="0005437D" w:rsidRDefault="00BB6D71">
      <w:pPr>
        <w:pStyle w:val="NoSpacing"/>
        <w:spacing w:after="240"/>
        <w:ind w:left="-5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Komissaari Vella</w:t>
      </w:r>
      <w:r>
        <w:rPr>
          <w:rFonts w:ascii="Times New Roman" w:hAnsi="Times New Roman"/>
          <w:noProof/>
          <w:sz w:val="24"/>
        </w:rPr>
        <w:t xml:space="preserve"> osallistui 27 tapahtumaan keskustellakseen kumppanien ja sidosryhmien kanssa kansainvälisestä valtamerten hallinnoinnista</w:t>
      </w:r>
      <w:r>
        <w:rPr>
          <w:rStyle w:val="FootnoteReference"/>
          <w:rFonts w:ascii="Times New Roman" w:hAnsi="Times New Roman"/>
          <w:noProof/>
          <w:sz w:val="24"/>
        </w:rPr>
        <w:footnoteReference w:id="1"/>
      </w:r>
      <w:r>
        <w:rPr>
          <w:rFonts w:ascii="Times New Roman" w:hAnsi="Times New Roman"/>
          <w:noProof/>
          <w:sz w:val="24"/>
        </w:rPr>
        <w:t>. Merialan sidosryhmien ja jäsenvaltioiden kanssa järjestettiin joukko säännöllisiä yksikkötason kokouksia, joissa pyrittiin selvittä</w:t>
      </w:r>
      <w:r>
        <w:rPr>
          <w:rFonts w:ascii="Times New Roman" w:hAnsi="Times New Roman"/>
          <w:noProof/>
          <w:sz w:val="24"/>
        </w:rPr>
        <w:t>mään perusteellisemmin näiden kuulemisvastauksissaan esille ottamia aiheita.</w:t>
      </w:r>
    </w:p>
    <w:p w:rsidR="0005437D" w:rsidRDefault="00BB6D71">
      <w:pPr>
        <w:pStyle w:val="NoSpacing"/>
        <w:spacing w:after="240"/>
        <w:ind w:left="-5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Kansainvälistä valtamerten hallinnointia koskevia keskusteluja järjestettiin erityisesti kuulemisprosessin käynnistämisen</w:t>
      </w:r>
      <w:r>
        <w:rPr>
          <w:rStyle w:val="FootnoteReference"/>
          <w:rFonts w:ascii="Times New Roman" w:hAnsi="Times New Roman"/>
          <w:noProof/>
          <w:sz w:val="24"/>
        </w:rPr>
        <w:footnoteReference w:id="2"/>
      </w:r>
      <w:r>
        <w:rPr>
          <w:rFonts w:ascii="Times New Roman" w:hAnsi="Times New Roman"/>
          <w:noProof/>
          <w:sz w:val="24"/>
        </w:rPr>
        <w:t xml:space="preserve"> yhteydessä sekä vuoden 2016 Euroopan meripäivän</w:t>
      </w:r>
      <w:r>
        <w:rPr>
          <w:rStyle w:val="FootnoteReference"/>
          <w:rFonts w:ascii="Times New Roman" w:hAnsi="Times New Roman"/>
          <w:noProof/>
          <w:sz w:val="24"/>
        </w:rPr>
        <w:footnoteReference w:id="3"/>
      </w:r>
      <w:r>
        <w:rPr>
          <w:rFonts w:ascii="Times New Roman" w:hAnsi="Times New Roman"/>
          <w:noProof/>
          <w:sz w:val="24"/>
        </w:rPr>
        <w:t xml:space="preserve"> yhteyde</w:t>
      </w:r>
      <w:r>
        <w:rPr>
          <w:rFonts w:ascii="Times New Roman" w:hAnsi="Times New Roman"/>
          <w:noProof/>
          <w:sz w:val="24"/>
        </w:rPr>
        <w:t>ssä</w:t>
      </w:r>
      <w:r>
        <w:rPr>
          <w:noProof/>
        </w:rPr>
        <w:t>.</w:t>
      </w:r>
    </w:p>
    <w:p w:rsidR="0005437D" w:rsidRDefault="00BB6D71">
      <w:pPr>
        <w:pStyle w:val="NoSpacing"/>
        <w:numPr>
          <w:ilvl w:val="0"/>
          <w:numId w:val="31"/>
        </w:numPr>
        <w:spacing w:after="240"/>
        <w:ind w:left="567" w:hanging="567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 xml:space="preserve">TIIVISTELMÄ VASTAUKSISTA JA KOMMENTEISTA </w:t>
      </w:r>
    </w:p>
    <w:p w:rsidR="0005437D" w:rsidRDefault="00BB6D71">
      <w:pPr>
        <w:pStyle w:val="NoSpacing"/>
        <w:keepNext/>
        <w:spacing w:after="240"/>
        <w:ind w:left="567" w:hanging="567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t xml:space="preserve">4.1. </w:t>
      </w:r>
      <w:r>
        <w:rPr>
          <w:noProof/>
        </w:rPr>
        <w:tab/>
      </w:r>
      <w:r>
        <w:rPr>
          <w:rFonts w:ascii="Times New Roman" w:hAnsi="Times New Roman"/>
          <w:b/>
          <w:noProof/>
          <w:sz w:val="24"/>
        </w:rPr>
        <w:t>Valtamerten hallinnointikehys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Lähes kaikki vastaajat katsovat, että valtamerten nykyinen hallinnointikehys ei ole riittävän tehokas, jotta sillä voitaisiin varmistaa valtamerten kestävä hoito. Niiden muk</w:t>
      </w:r>
      <w:r>
        <w:rPr>
          <w:rFonts w:ascii="Times New Roman" w:hAnsi="Times New Roman"/>
          <w:noProof/>
          <w:sz w:val="24"/>
        </w:rPr>
        <w:t>aan tähän ei ole syynä kehys itsessään vaan sen tehoton täytäntöönpano ja riittämätön koordinointi.</w:t>
      </w:r>
    </w:p>
    <w:p w:rsidR="0005437D" w:rsidRDefault="00BB6D71">
      <w:pPr>
        <w:pStyle w:val="NoSpacing"/>
        <w:ind w:left="284"/>
        <w:jc w:val="both"/>
        <w:rPr>
          <w:rFonts w:ascii="Times New Roman" w:hAnsi="Times New Roman" w:cs="Times New Roman"/>
          <w:i/>
          <w:noProof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4581525" cy="2743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7D" w:rsidRDefault="00BB6D71">
      <w:pPr>
        <w:pStyle w:val="NoSpacing"/>
        <w:keepLines/>
        <w:spacing w:after="240"/>
        <w:ind w:left="1418" w:hanging="1134"/>
        <w:jc w:val="both"/>
        <w:rPr>
          <w:rFonts w:ascii="Times New Roman" w:hAnsi="Times New Roman" w:cs="Times New Roman"/>
          <w:b/>
          <w:bCs/>
          <w:i/>
          <w:noProof/>
        </w:rPr>
      </w:pPr>
      <w:r>
        <w:rPr>
          <w:rFonts w:ascii="Times New Roman" w:hAnsi="Times New Roman"/>
          <w:b/>
          <w:i/>
          <w:noProof/>
        </w:rPr>
        <w:t xml:space="preserve">Kuvio 2: </w:t>
      </w:r>
      <w:r>
        <w:rPr>
          <w:noProof/>
        </w:rPr>
        <w:tab/>
      </w:r>
      <w:r>
        <w:rPr>
          <w:rFonts w:ascii="Times New Roman" w:hAnsi="Times New Roman"/>
          <w:b/>
          <w:i/>
          <w:noProof/>
        </w:rPr>
        <w:t>Vastaukset yleistä ongelman määrittelyä koskevaan kysymykseen – nykyisen kansainvälisen valtamerten hallinnointikehyksen tehottomuus</w:t>
      </w:r>
    </w:p>
    <w:p w:rsidR="0005437D" w:rsidRDefault="00BB6D71">
      <w:pPr>
        <w:spacing w:after="0"/>
        <w:jc w:val="left"/>
        <w:rPr>
          <w:rFonts w:eastAsiaTheme="minorHAnsi"/>
          <w:b/>
          <w:bCs/>
          <w:i/>
          <w:noProof/>
          <w:szCs w:val="24"/>
        </w:rPr>
      </w:pPr>
      <w:r>
        <w:rPr>
          <w:noProof/>
        </w:rPr>
        <w:br w:type="page"/>
      </w:r>
    </w:p>
    <w:p w:rsidR="0005437D" w:rsidRDefault="00BB6D71">
      <w:pPr>
        <w:pStyle w:val="NoSpacing"/>
        <w:spacing w:after="240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 xml:space="preserve">Tarve </w:t>
      </w:r>
      <w:r>
        <w:rPr>
          <w:rFonts w:ascii="Times New Roman" w:hAnsi="Times New Roman"/>
          <w:b/>
          <w:i/>
          <w:noProof/>
          <w:sz w:val="24"/>
        </w:rPr>
        <w:t>parantaa täytäntöönpanoa ja koordinointia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Laaja yksimielisyys vallitsee siitä, että järjestelmä on hajanainen eikä olemassa olevia välineitä ole pantu täytäntöön tai niiden soveltamista ei valvota yhtenäisesti. Tehokkaampi täytäntöönpano ja koordinointi ov</w:t>
      </w:r>
      <w:r>
        <w:rPr>
          <w:rFonts w:ascii="Times New Roman" w:hAnsi="Times New Roman"/>
          <w:noProof/>
          <w:sz w:val="24"/>
        </w:rPr>
        <w:t>at edellytys sille, että valtamerten hallinnointia voidaan parantaa.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i/>
          <w:noProof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4581525" cy="27432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7D" w:rsidRDefault="00BB6D71">
      <w:pPr>
        <w:pStyle w:val="NoSpacing"/>
        <w:keepLines/>
        <w:tabs>
          <w:tab w:val="left" w:pos="1843"/>
        </w:tabs>
        <w:spacing w:after="240"/>
        <w:ind w:left="1418" w:hanging="1134"/>
        <w:rPr>
          <w:rFonts w:ascii="Times New Roman" w:hAnsi="Times New Roman" w:cs="Times New Roman"/>
          <w:b/>
          <w:bCs/>
          <w:i/>
          <w:noProof/>
        </w:rPr>
      </w:pPr>
      <w:r>
        <w:rPr>
          <w:rFonts w:ascii="Times New Roman" w:hAnsi="Times New Roman"/>
          <w:b/>
          <w:i/>
          <w:noProof/>
        </w:rPr>
        <w:t xml:space="preserve">Kuvio 3: </w:t>
      </w:r>
      <w:r>
        <w:rPr>
          <w:noProof/>
        </w:rPr>
        <w:tab/>
      </w:r>
      <w:r>
        <w:rPr>
          <w:rFonts w:ascii="Times New Roman" w:hAnsi="Times New Roman"/>
          <w:b/>
          <w:i/>
          <w:noProof/>
        </w:rPr>
        <w:t>Vastaukset kuulemisprosessissa laadittua yksittäisten ongelmien luetteloa koskevaan kysymykseen:</w:t>
      </w:r>
      <w:r>
        <w:rPr>
          <w:rFonts w:ascii="Times New Roman" w:hAnsi="Times New Roman" w:cs="Times New Roman"/>
          <w:b/>
          <w:bCs/>
          <w:i/>
          <w:noProof/>
        </w:rPr>
        <w:br/>
      </w:r>
      <w:r>
        <w:rPr>
          <w:rFonts w:ascii="Times New Roman" w:hAnsi="Times New Roman"/>
          <w:b/>
          <w:i/>
          <w:noProof/>
        </w:rPr>
        <w:t>1)</w:t>
      </w:r>
      <w:r>
        <w:rPr>
          <w:noProof/>
        </w:rPr>
        <w:tab/>
      </w:r>
      <w:r>
        <w:rPr>
          <w:rFonts w:ascii="Times New Roman" w:hAnsi="Times New Roman"/>
          <w:b/>
          <w:i/>
          <w:noProof/>
        </w:rPr>
        <w:t>puutteet nykyisessä kansainvälisessä valtamerten hallinnointikehyksessä;</w:t>
      </w:r>
      <w:r>
        <w:rPr>
          <w:rFonts w:ascii="Times New Roman" w:hAnsi="Times New Roman" w:cs="Times New Roman"/>
          <w:b/>
          <w:bCs/>
          <w:i/>
          <w:noProof/>
        </w:rPr>
        <w:br/>
      </w:r>
      <w:r>
        <w:rPr>
          <w:rFonts w:ascii="Times New Roman" w:hAnsi="Times New Roman"/>
          <w:b/>
          <w:i/>
          <w:noProof/>
        </w:rPr>
        <w:t>2)</w:t>
      </w:r>
      <w:r>
        <w:rPr>
          <w:noProof/>
        </w:rPr>
        <w:tab/>
      </w:r>
      <w:r>
        <w:rPr>
          <w:rFonts w:ascii="Times New Roman" w:hAnsi="Times New Roman"/>
          <w:b/>
          <w:i/>
          <w:noProof/>
        </w:rPr>
        <w:t>tehoton täytäntöönpano ja riittämätön koordinointi; sekä</w:t>
      </w:r>
      <w:r>
        <w:rPr>
          <w:rFonts w:ascii="Times New Roman" w:hAnsi="Times New Roman" w:cs="Times New Roman"/>
          <w:b/>
          <w:bCs/>
          <w:i/>
          <w:noProof/>
        </w:rPr>
        <w:br/>
      </w:r>
      <w:r>
        <w:rPr>
          <w:rFonts w:ascii="Times New Roman" w:hAnsi="Times New Roman"/>
          <w:b/>
          <w:i/>
          <w:noProof/>
        </w:rPr>
        <w:t>3)</w:t>
      </w:r>
      <w:r>
        <w:rPr>
          <w:noProof/>
        </w:rPr>
        <w:tab/>
      </w:r>
      <w:r>
        <w:rPr>
          <w:rFonts w:ascii="Times New Roman" w:hAnsi="Times New Roman"/>
          <w:b/>
          <w:i/>
          <w:noProof/>
        </w:rPr>
        <w:t>puute valtameritietämyksestä.</w:t>
      </w:r>
    </w:p>
    <w:p w:rsidR="0005437D" w:rsidRDefault="00BB6D71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5472430" cy="235186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235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7D" w:rsidRDefault="00BB6D71">
      <w:pPr>
        <w:pStyle w:val="NoSpacing"/>
        <w:keepLines/>
        <w:tabs>
          <w:tab w:val="left" w:pos="1843"/>
        </w:tabs>
        <w:spacing w:after="240"/>
        <w:ind w:left="1418" w:hanging="1134"/>
        <w:jc w:val="both"/>
        <w:rPr>
          <w:rFonts w:ascii="Times New Roman" w:hAnsi="Times New Roman" w:cs="Times New Roman"/>
          <w:b/>
          <w:bCs/>
          <w:i/>
          <w:noProof/>
        </w:rPr>
      </w:pPr>
      <w:r>
        <w:rPr>
          <w:rFonts w:ascii="Times New Roman" w:hAnsi="Times New Roman"/>
          <w:b/>
          <w:i/>
          <w:noProof/>
        </w:rPr>
        <w:t xml:space="preserve">Kuvio 4: </w:t>
      </w:r>
      <w:r>
        <w:rPr>
          <w:noProof/>
        </w:rPr>
        <w:tab/>
      </w:r>
      <w:r>
        <w:rPr>
          <w:rFonts w:ascii="Times New Roman" w:hAnsi="Times New Roman"/>
          <w:b/>
          <w:i/>
          <w:noProof/>
        </w:rPr>
        <w:t>Yksittäisten ongelmien asettaminen tärkeysjärjestykseen (%)</w:t>
      </w:r>
      <w:r>
        <w:rPr>
          <w:noProof/>
        </w:rPr>
        <w:tab/>
      </w:r>
      <w:r>
        <w:rPr>
          <w:rFonts w:ascii="Times New Roman" w:hAnsi="Times New Roman" w:cs="Times New Roman"/>
          <w:b/>
          <w:bCs/>
          <w:i/>
          <w:noProof/>
        </w:rPr>
        <w:br/>
      </w:r>
      <w:r>
        <w:rPr>
          <w:rFonts w:ascii="Times New Roman" w:hAnsi="Times New Roman"/>
          <w:b/>
          <w:i/>
          <w:noProof/>
        </w:rPr>
        <w:t>(koskee ainoastaan vastaajia, jotka ilmoittivat tärkeysjärjestyksen)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Monet vastaajista </w:t>
      </w:r>
      <w:r>
        <w:rPr>
          <w:rFonts w:ascii="Times New Roman" w:hAnsi="Times New Roman"/>
          <w:noProof/>
          <w:sz w:val="24"/>
        </w:rPr>
        <w:t>mainitsivat välineitä, jotka on allekirjoitettu mutta joita joko ei ole ratifioitu tai ei ole pantu tosiasiallisesti täytäntöön.</w:t>
      </w:r>
      <w:r>
        <w:rPr>
          <w:rFonts w:ascii="Times New Roman" w:hAnsi="Times New Roman"/>
          <w:i/>
          <w:noProof/>
          <w:sz w:val="24"/>
        </w:rPr>
        <w:t xml:space="preserve"> Merialalla olemassa olevien sopimusten hyvän soveltamisen edistäminen</w:t>
      </w:r>
      <w:r>
        <w:rPr>
          <w:rFonts w:ascii="Times New Roman" w:hAnsi="Times New Roman"/>
          <w:noProof/>
          <w:sz w:val="24"/>
        </w:rPr>
        <w:t xml:space="preserve">, </w:t>
      </w:r>
      <w:r>
        <w:rPr>
          <w:rFonts w:ascii="Times New Roman" w:hAnsi="Times New Roman"/>
          <w:i/>
          <w:noProof/>
          <w:sz w:val="24"/>
        </w:rPr>
        <w:t>seuraamusmekanismit</w:t>
      </w:r>
      <w:r>
        <w:rPr>
          <w:rFonts w:ascii="Times New Roman" w:hAnsi="Times New Roman"/>
          <w:noProof/>
          <w:sz w:val="24"/>
        </w:rPr>
        <w:t xml:space="preserve"> ja </w:t>
      </w:r>
      <w:r>
        <w:rPr>
          <w:rFonts w:ascii="Times New Roman" w:hAnsi="Times New Roman"/>
          <w:i/>
          <w:noProof/>
          <w:sz w:val="24"/>
        </w:rPr>
        <w:t>valmiuksien kehittäminen</w:t>
      </w:r>
      <w:r>
        <w:rPr>
          <w:rFonts w:ascii="Times New Roman" w:hAnsi="Times New Roman"/>
          <w:noProof/>
          <w:sz w:val="24"/>
        </w:rPr>
        <w:t xml:space="preserve"> mainitaa</w:t>
      </w:r>
      <w:r>
        <w:rPr>
          <w:rFonts w:ascii="Times New Roman" w:hAnsi="Times New Roman"/>
          <w:noProof/>
          <w:sz w:val="24"/>
        </w:rPr>
        <w:t>n useimmin toiminnan muotoina, joita täytäntöönpanon puutteiden korjaamiseksi tarvitaan.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Monet mainitsevat valtamerten hallinnointikehyksen hajanaisuuden, joka johtuu esimerkiksi eri alojen siiloutumisesta. Merialueista käytävän kilpailun lisääntyminen tar</w:t>
      </w:r>
      <w:r>
        <w:rPr>
          <w:rFonts w:ascii="Times New Roman" w:hAnsi="Times New Roman"/>
          <w:noProof/>
          <w:sz w:val="24"/>
        </w:rPr>
        <w:t>koittaa, että nykyinen toimintamalli on riittämätön ja tarvitaan enemmän yhteistyötä, myös meriluonnon suojelun osalta.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Kaikki vastaajat toivovat parempaa koordinointia sekä maailmanlaajuisella että alueellisella tasolla. Parannuksia tarvitaan sekä ”horiso</w:t>
      </w:r>
      <w:r>
        <w:rPr>
          <w:rFonts w:ascii="Times New Roman" w:hAnsi="Times New Roman"/>
          <w:noProof/>
          <w:sz w:val="24"/>
        </w:rPr>
        <w:t>ntaalisesti” (esim. YK:n virastojen ja ohjelmien välillä ja alueellisten organisaatioiden välillä) että ”vertikaalisesti” (esim. globaalin, alueellisen ja kansallisen tason välillä).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Vähemmistö vastaajista haluaa, että perustetaan erityinen koordinointieli</w:t>
      </w:r>
      <w:r>
        <w:rPr>
          <w:rFonts w:ascii="Times New Roman" w:hAnsi="Times New Roman"/>
          <w:noProof/>
          <w:sz w:val="24"/>
        </w:rPr>
        <w:t>n. Useimmat katsovat, että parempaan koordinointiin olisi päästävä käyttämällä paremmin olemassa olevia rakenteita. Koordinoivan elimen olisi joka tapauksessa varmistettava nykyistä tiiviimpi yhteistyö valtameriasioiden parissa toimivien organisaatioiden v</w:t>
      </w:r>
      <w:r>
        <w:rPr>
          <w:rFonts w:ascii="Times New Roman" w:hAnsi="Times New Roman"/>
          <w:noProof/>
          <w:sz w:val="24"/>
        </w:rPr>
        <w:t>älillä mahdollisia ristiriitoja ja päällekkäisyyksiä vähentäen.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Useat vastaajat toivovat lisää läpinäkyvyyttä päätöksentekoon ja sidosryhmien osallistumista uuteen hallinnointirakenteeseen nykyistä suuremmalla panoksella. Nämä seikat ovat keskeisen tärkeit</w:t>
      </w:r>
      <w:r>
        <w:rPr>
          <w:rFonts w:ascii="Times New Roman" w:hAnsi="Times New Roman"/>
          <w:noProof/>
          <w:sz w:val="24"/>
        </w:rPr>
        <w:t>ä myös järjestelmän toimivuuden kannalta.</w:t>
      </w:r>
    </w:p>
    <w:p w:rsidR="0005437D" w:rsidRDefault="00BB6D71">
      <w:pPr>
        <w:pStyle w:val="NoSpacing"/>
        <w:spacing w:after="240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Oikeudellisten puutteiden korjaaminen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Monet toivat esille puutteita kansallisen lainkäyttövallan ulkopuolisiin alueisiin sovellettavassa oikeudellisessa kehyksessä ja uusiin toimintoihin sovellettavassa sääntelykeh</w:t>
      </w:r>
      <w:r>
        <w:rPr>
          <w:rFonts w:ascii="Times New Roman" w:hAnsi="Times New Roman"/>
          <w:noProof/>
          <w:sz w:val="24"/>
        </w:rPr>
        <w:t>yksessä.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Luonnon monimuotoisuus kansallisen lainkäyttövallan ulkopuolella olevilla alueilla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Laaja yksimielisyys vallitsee siitä, että tarvitaan YK:n merioikeusyleissopimuksen alainen kansainvälinen oikeudellinen väline, joka koskee meriluonnon monimuotoisu</w:t>
      </w:r>
      <w:r>
        <w:rPr>
          <w:rFonts w:ascii="Times New Roman" w:hAnsi="Times New Roman"/>
          <w:noProof/>
          <w:sz w:val="24"/>
        </w:rPr>
        <w:t>uden säilyttämistä ja kestävää käyttöä kansallisen lainkäyttövallan ulkopuolisilla alueilla. Muutamat vastaajat mainitsevat mahdollisuuden luoda kansainvälinen mekanismi, jonka avulla voitaisiin perustaa suojeltuja merialueita aavalle merelle, vahvistaa yk</w:t>
      </w:r>
      <w:r>
        <w:rPr>
          <w:rFonts w:ascii="Times New Roman" w:hAnsi="Times New Roman"/>
          <w:noProof/>
          <w:sz w:val="24"/>
        </w:rPr>
        <w:t>sityiskohtaiset säännöt aavalla merellä suoritettavia ympäristövaikutusten arviointeja varten ja vahvistaa merten geenivarojen oikeudellinen asema.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Tällaisen välineen muotoilu tulevaisuudessa nähdään myös hyväksi tilaisuudeksi lujittaa koordinointia ja yht</w:t>
      </w:r>
      <w:r>
        <w:rPr>
          <w:rFonts w:ascii="Times New Roman" w:hAnsi="Times New Roman"/>
          <w:noProof/>
          <w:sz w:val="24"/>
        </w:rPr>
        <w:t>eistyötä kansainvälisten ja alueellisten organisaatioiden sekä eri alojen välillä.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Kehittyvät toiminnot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Useat vastaajat ottavat esille oikeudellisia puutteita, jotka liittyvät kehittyviin toimintoihin kuten uusiutuvan energian tuotantoon aavalla merellä, s</w:t>
      </w:r>
      <w:r>
        <w:rPr>
          <w:rFonts w:ascii="Times New Roman" w:hAnsi="Times New Roman"/>
          <w:noProof/>
          <w:sz w:val="24"/>
        </w:rPr>
        <w:t>yvänmeren hiilivetyjen hyödyntämiseen ja merenpohjan kaivostoimintaan. Ne kytkeytyvät tarpeeseen varmistaa, että kyseisiä toimintoja säännellään ja johdetaan asianmukaisesti muun muassa parhaita käytäntöjä edistämällä. Selkeiden sääntöjen määrittely parant</w:t>
      </w:r>
      <w:r>
        <w:rPr>
          <w:rFonts w:ascii="Times New Roman" w:hAnsi="Times New Roman"/>
          <w:noProof/>
          <w:sz w:val="24"/>
        </w:rPr>
        <w:t>aa myös oikeusvarmuutta yritysten osalta sekä suojaa uusia investointeja.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Periaatteet ja uudet järjestelyt, joilla tulevaa toimintaa olisi ohjattava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Vastaajat toivovat, että tulevaa toimintaa ohjaavat ekosysteemiin perustuva lähestymistapa, ennalta varautu</w:t>
      </w:r>
      <w:r>
        <w:rPr>
          <w:rFonts w:ascii="Times New Roman" w:hAnsi="Times New Roman"/>
          <w:noProof/>
          <w:sz w:val="24"/>
        </w:rPr>
        <w:t>misen periaate ja aiheuttamisperiaate sekä laajassa mielessä monialainen lähestymistapa. Ne korostavat myös ympäristövaikutusten arviointien tärkeyttä.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Monet mainitsevat kestävän kehityksen Agenda 2030 -ohjelman, erityisesti kestävän kehityksen tavoitteen </w:t>
      </w:r>
      <w:r>
        <w:rPr>
          <w:rFonts w:ascii="Times New Roman" w:hAnsi="Times New Roman"/>
          <w:noProof/>
          <w:sz w:val="24"/>
        </w:rPr>
        <w:t>14 (säilyttää meret ja merten tarjoamat luonnonvarat sekä edistää niiden kestävää käyttöä), jonka toteuttaminen on valtamerten hallinnoinnin parantamiseksi olennaisen tärkeää.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Alueellinen valtamerten hallinnointikehys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Monet vastaajat katsovat, ettei kansai</w:t>
      </w:r>
      <w:r>
        <w:rPr>
          <w:rFonts w:ascii="Times New Roman" w:hAnsi="Times New Roman"/>
          <w:noProof/>
          <w:sz w:val="24"/>
        </w:rPr>
        <w:t>nvälistä valtamerten hallinnointia voida rajata globaaliin kehykseen. Ne pahoittelevat sitä, ettei kuulemisasiakirja koske alueellista kehystä.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Ne suosittelevat parantamaan yhteistyötä kansainvälisten ja alueellisten organisaatioiden välillä. Monet painott</w:t>
      </w:r>
      <w:r>
        <w:rPr>
          <w:rFonts w:ascii="Times New Roman" w:hAnsi="Times New Roman"/>
          <w:noProof/>
          <w:sz w:val="24"/>
        </w:rPr>
        <w:t>avat alueellisen lähestymistavan merkitystä valtioille, jotka jakavat merialueen.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Kaikki pitävät tärkeinä alueellisia meriyleissopimuksia ja alueellisia kalastuksenhoitojärjestöjä. Niillä kummallakin on keskeinen merkitys meriympäristön suojelun ja kalakan</w:t>
      </w:r>
      <w:r>
        <w:rPr>
          <w:rFonts w:ascii="Times New Roman" w:hAnsi="Times New Roman"/>
          <w:noProof/>
          <w:sz w:val="24"/>
        </w:rPr>
        <w:t>tojen kestävän hoidon kannalta, ne pyrkivät selvittämään merten pilaantumisen ja liikahyödyntämisen kaltaisia haasteita ja ne on nostettava tehtäviensä tasalle, muun muassa toimintaa tehostamalla.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Alueelliset meriyleissopimukset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Monien vastaajien </w:t>
      </w:r>
      <w:r>
        <w:rPr>
          <w:rFonts w:ascii="Times New Roman" w:hAnsi="Times New Roman"/>
          <w:noProof/>
          <w:sz w:val="24"/>
        </w:rPr>
        <w:t>havaitsemiin meriyleissopimusten puutteisiin kuuluvat maantieteellinen hajanaisuus, täytäntöönpanon laiminlyönti, heikot valmiudet ja yksiköiden välisen koordinoinnin puuttuminen. Muutamat korostavat lisäksi yleissopimusten rajoitettua toiminta-aluetta, es</w:t>
      </w:r>
      <w:r>
        <w:rPr>
          <w:rFonts w:ascii="Times New Roman" w:hAnsi="Times New Roman"/>
          <w:noProof/>
          <w:sz w:val="24"/>
        </w:rPr>
        <w:t>imerkiksi kansallisen lainkäyttövallan ulkopuolisilla alueilla.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Parempi koordinointi auttaisi rakenteita käsittelemään merten pilaantumisen kaltaisia kysymyksiä tehokkaammin, ja tämä koskee yhtä hyvin alueellisten meriyleissopimusten välistä yhteistyötä ku</w:t>
      </w:r>
      <w:r>
        <w:rPr>
          <w:rFonts w:ascii="Times New Roman" w:hAnsi="Times New Roman"/>
          <w:noProof/>
          <w:sz w:val="24"/>
        </w:rPr>
        <w:t>in alueellisia kalastuksenhoitojärjestöjäkin. Hyvinä esimerkkeinä vastaajat mainitsevat yhteisymmärryspöytäkirjat, jotka on tehty OSPAR:n ja NEAFC:n välillä sekä UNEP/MAP/Barcelonan yleissopimuksen ja Välimeren yleisen kalastuskomission (GFCM) välillä.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Alueelliset kalastuksenhoitojärjestöt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Useimmat vastaajat pitävät alueellisten kalastuksenhoitojärjestöjen roolia ja toimintaa myönteisenä. Muutamat kuitenkin tuovat esille liikakalastuksen ja LIS-kalastuksen jatkumisen ja ehdottavat alueellisten kalastukse</w:t>
      </w:r>
      <w:r>
        <w:rPr>
          <w:rFonts w:ascii="Times New Roman" w:hAnsi="Times New Roman"/>
          <w:noProof/>
          <w:sz w:val="24"/>
        </w:rPr>
        <w:t>nhoitojärjestöjen toimintavalmiuksien parantamista kehitysmaissa.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Useat vastaajat uskovat, että LIS-kalastuksen ongelmaa olisi käsiteltävä laaja-alaisemmin, jotta se voitaisiin selvittää koko ketjun osalta pyynnistä markkinoille. Tämä edellyttää kaikkien s</w:t>
      </w:r>
      <w:r>
        <w:rPr>
          <w:rFonts w:ascii="Times New Roman" w:hAnsi="Times New Roman"/>
          <w:noProof/>
          <w:sz w:val="24"/>
        </w:rPr>
        <w:t>idosryhmien sitoutumista ja tiivistä yhteistyötä alueellisten kalastuksenhoitojärjestöjen, IMO:n ja FAO:n välillä, olemassa olevien välineiden, kuten FAO:n maailmanlaajuisen kalastusalusrekisterin ja alusten seurantajärjestelmän, ratifiointia ja soveltamis</w:t>
      </w:r>
      <w:r>
        <w:rPr>
          <w:rFonts w:ascii="Times New Roman" w:hAnsi="Times New Roman"/>
          <w:noProof/>
          <w:sz w:val="24"/>
        </w:rPr>
        <w:t>ta sekä satelliittiseurannan kaltaisten uusien tekniikoiden käyttöä.</w:t>
      </w:r>
    </w:p>
    <w:p w:rsidR="0005437D" w:rsidRDefault="00BB6D71">
      <w:pPr>
        <w:pStyle w:val="NoSpacing"/>
        <w:keepNext/>
        <w:keepLines/>
        <w:numPr>
          <w:ilvl w:val="1"/>
          <w:numId w:val="31"/>
        </w:numPr>
        <w:tabs>
          <w:tab w:val="left" w:pos="567"/>
        </w:tabs>
        <w:spacing w:after="240"/>
        <w:ind w:left="567" w:hanging="567"/>
        <w:jc w:val="both"/>
        <w:rPr>
          <w:rStyle w:val="Corpsdutexte"/>
          <w:rFonts w:ascii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Style w:val="Corpsdutexte"/>
          <w:rFonts w:ascii="Times New Roman" w:hAnsi="Times New Roman"/>
          <w:b/>
          <w:noProof/>
          <w:color w:val="000000"/>
          <w:sz w:val="24"/>
        </w:rPr>
        <w:t>Valtameritietämys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Tiedon puutteet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Lähes kaikki vastaajat vahvistavat, että puutteellinen tietämys valtameristä heikentää kansainvälistä valtamerten hallinnointikehystä erityisesti meriala</w:t>
      </w:r>
      <w:r>
        <w:rPr>
          <w:rFonts w:ascii="Times New Roman" w:hAnsi="Times New Roman"/>
          <w:noProof/>
          <w:sz w:val="24"/>
        </w:rPr>
        <w:t>n toimintoja koskevan vaikutustenarvioinnin osalta.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Merkittäviä ongelmia näyttää olevan tiedonkeruun koordinoinnissa, tietojen jakamisessa sidosryhmien välillä ja tutkimusrahoituksen turvaamisessa. EU:n roolia viimeksi mainitussa korostetaan.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 xml:space="preserve">Alat, joilla </w:t>
      </w:r>
      <w:r>
        <w:rPr>
          <w:rFonts w:ascii="Times New Roman" w:hAnsi="Times New Roman"/>
          <w:b/>
          <w:i/>
          <w:noProof/>
          <w:sz w:val="24"/>
        </w:rPr>
        <w:t>tarvitaan parempaa tietämystä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</w:rPr>
        <w:t>Taloudellinen toiminta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Kaikki taloudellisen toiminnan alat hyötyisivät merialan tietojen paremmasta saatavuudesta. Muutamat katsovat, että siitä hyötyisivät ensi sijassa uudet kehittyvät alat. Muut ajattelevat, että myös perin</w:t>
      </w:r>
      <w:r>
        <w:rPr>
          <w:rFonts w:ascii="Times New Roman" w:hAnsi="Times New Roman"/>
          <w:noProof/>
          <w:sz w:val="24"/>
        </w:rPr>
        <w:t>teiset alat löytäisivät tätä kautta ratkaisuja sille, kuinka käsitellä valtamerten lämpenemisen ja kasvihuonekaasujen vähentämisen kaltaisia haasteita, sekä mahdollisuuksia kestävien teknologioiden kehittämiseen.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Parempi tietämys on ratkaisevan tärkeää val</w:t>
      </w:r>
      <w:r>
        <w:rPr>
          <w:rFonts w:ascii="Times New Roman" w:hAnsi="Times New Roman"/>
          <w:noProof/>
          <w:sz w:val="24"/>
        </w:rPr>
        <w:t xml:space="preserve">tamerten luonnonvarojen kestävälle hoidolle, johon sisältyy myös kalakantojen ja tiettyjen kalastusmenetelmien parempi arviointi. Laajemmin tarkasteltuna parempi ymmärrys meriympäristöstä auttaisi toimijoita toimimaan nykyistä enemmän tietoon perustuvalla </w:t>
      </w:r>
      <w:r>
        <w:rPr>
          <w:rFonts w:ascii="Times New Roman" w:hAnsi="Times New Roman"/>
          <w:noProof/>
          <w:sz w:val="24"/>
        </w:rPr>
        <w:t>tavalla ja viranomaisia suunnittelemaan merellä toteutettavia toimintoja.</w:t>
      </w:r>
    </w:p>
    <w:p w:rsidR="0005437D" w:rsidRDefault="00BB6D71">
      <w:pPr>
        <w:rPr>
          <w:bCs/>
          <w:i/>
          <w:noProof/>
          <w:szCs w:val="24"/>
        </w:rPr>
      </w:pPr>
      <w:r>
        <w:rPr>
          <w:i/>
          <w:noProof/>
        </w:rPr>
        <w:t>Meriympäristö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Muutamat osanottajat painottavat tarvittavan parempaa tietämystä, jotta ekosysteemiin perustuvaa lähestymistapaa sovellettaisiin suunnitteluun nykyistä tehokkaammin ja </w:t>
      </w:r>
      <w:r>
        <w:rPr>
          <w:rFonts w:ascii="Times New Roman" w:hAnsi="Times New Roman"/>
          <w:noProof/>
          <w:sz w:val="24"/>
        </w:rPr>
        <w:t>ymmärrettäisiin paremmin valtamerten merkitys ilmastolle maailmanlaajuisesti sekä valtameriin kohdistuvat ilmastonmuutoksen seuraukset.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 xml:space="preserve">Koordinoinnin ja tietojen jakamisen parantaminen 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Lähes kaikki vastaajat mainitsevat merentutkimuksen koordinoinnin ja t</w:t>
      </w:r>
      <w:r>
        <w:rPr>
          <w:rFonts w:ascii="Times New Roman" w:hAnsi="Times New Roman"/>
          <w:noProof/>
          <w:sz w:val="24"/>
        </w:rPr>
        <w:t>ietojen jaon. Useimmat näkevät, että tässä on kyse enemmänkin olemassa olevien tietojen tehokkaasta käytöstä ja tietojen saatavuudesta kuin laajemmista tietokannoista, joiden perustaminen on kallista ja vie paljon aikaa.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Nykyistä järjestelmää pidetään haja</w:t>
      </w:r>
      <w:r>
        <w:rPr>
          <w:rFonts w:ascii="Times New Roman" w:hAnsi="Times New Roman"/>
          <w:noProof/>
          <w:sz w:val="24"/>
        </w:rPr>
        <w:t>naisena, minkä vuoksi tiedoissa saattaa olla päällekkäisyyksiä tai ne voivat jäädä käyttämättä. Vastaajat pitävät hyvänä esimerkkinä EU:n EMODnetiä ja kannattavat maailmanlaajuisen EMODnetin perustamista. Siihen sovellettaisiin yhteisiä vaatimuksia, ja sii</w:t>
      </w:r>
      <w:r>
        <w:rPr>
          <w:rFonts w:ascii="Times New Roman" w:hAnsi="Times New Roman"/>
          <w:noProof/>
          <w:sz w:val="24"/>
        </w:rPr>
        <w:t>hen osallistuisivat kaikki tiedontuottajat, myös yksityinen sektori.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Muita tapoja parantaa tietojen jakamista ja yhteistyötä ovat vastaajien ehdotusten mukaan:</w:t>
      </w:r>
    </w:p>
    <w:p w:rsidR="0005437D" w:rsidRDefault="00BB6D71">
      <w:pPr>
        <w:pStyle w:val="NoSpacing"/>
        <w:numPr>
          <w:ilvl w:val="0"/>
          <w:numId w:val="50"/>
        </w:numPr>
        <w:spacing w:after="12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hallitusten välisen merentutkimustoimikunnan lujittaminen;</w:t>
      </w:r>
    </w:p>
    <w:p w:rsidR="0005437D" w:rsidRDefault="00BB6D71">
      <w:pPr>
        <w:pStyle w:val="NoSpacing"/>
        <w:numPr>
          <w:ilvl w:val="0"/>
          <w:numId w:val="50"/>
        </w:numPr>
        <w:spacing w:after="12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”tiedon siltojen” rakentaminen alueel</w:t>
      </w:r>
      <w:r>
        <w:rPr>
          <w:rFonts w:ascii="Times New Roman" w:hAnsi="Times New Roman"/>
          <w:noProof/>
          <w:sz w:val="24"/>
        </w:rPr>
        <w:t>listen ja kansainvälisten organisaatioiden välille (esim. ICES:n, OSPAR:n ja HELCOM:n välinen yhteistyö);</w:t>
      </w:r>
    </w:p>
    <w:p w:rsidR="0005437D" w:rsidRDefault="00BB6D71">
      <w:pPr>
        <w:pStyle w:val="NoSpacing"/>
        <w:numPr>
          <w:ilvl w:val="0"/>
          <w:numId w:val="50"/>
        </w:numPr>
        <w:spacing w:after="12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kansainväliset tutkimusyhteenliittymät (esim. Galway Statement);</w:t>
      </w:r>
    </w:p>
    <w:p w:rsidR="0005437D" w:rsidRDefault="00BB6D71">
      <w:pPr>
        <w:pStyle w:val="NoSpacing"/>
        <w:numPr>
          <w:ilvl w:val="0"/>
          <w:numId w:val="50"/>
        </w:numPr>
        <w:spacing w:after="12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synergioiden kehittäminen tutkimusohjelmien välille; sekä</w:t>
      </w:r>
    </w:p>
    <w:p w:rsidR="0005437D" w:rsidRDefault="00BB6D71">
      <w:pPr>
        <w:pStyle w:val="NoSpacing"/>
        <w:numPr>
          <w:ilvl w:val="0"/>
          <w:numId w:val="50"/>
        </w:numPr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tutkijoiden ja poliittisten</w:t>
      </w:r>
      <w:r>
        <w:rPr>
          <w:rFonts w:ascii="Times New Roman" w:hAnsi="Times New Roman"/>
          <w:noProof/>
          <w:sz w:val="24"/>
        </w:rPr>
        <w:t xml:space="preserve"> päätöksentekijöiden välinen vuoropuhelu.</w:t>
      </w:r>
    </w:p>
    <w:p w:rsidR="0005437D" w:rsidRDefault="00BB6D71">
      <w:pPr>
        <w:pStyle w:val="NoSpacing"/>
        <w:keepNext/>
        <w:numPr>
          <w:ilvl w:val="1"/>
          <w:numId w:val="31"/>
        </w:numPr>
        <w:tabs>
          <w:tab w:val="left" w:pos="567"/>
        </w:tabs>
        <w:spacing w:after="240"/>
        <w:ind w:left="284" w:hanging="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EU:n rooli valtamerten hallinnoinnin suunnittelussa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Monet vastaajat uskovat, että EU:lla on merkittävä rooli kansainvälistä valtamerten hallinnointia parannettaessa, koska</w:t>
      </w:r>
    </w:p>
    <w:p w:rsidR="0005437D" w:rsidRDefault="00BB6D71">
      <w:pPr>
        <w:pStyle w:val="NoSpacing"/>
        <w:numPr>
          <w:ilvl w:val="0"/>
          <w:numId w:val="49"/>
        </w:numPr>
        <w:spacing w:after="1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se on aktiivinen toimija alan foorumeilla </w:t>
      </w:r>
      <w:r>
        <w:rPr>
          <w:rFonts w:ascii="Times New Roman" w:hAnsi="Times New Roman"/>
          <w:noProof/>
          <w:sz w:val="24"/>
        </w:rPr>
        <w:t>ja neuvotteluissa maailmanlaajuisella ja alueellisella tasolla;</w:t>
      </w:r>
    </w:p>
    <w:p w:rsidR="0005437D" w:rsidRDefault="00BB6D71">
      <w:pPr>
        <w:pStyle w:val="NoSpacing"/>
        <w:numPr>
          <w:ilvl w:val="0"/>
          <w:numId w:val="49"/>
        </w:numPr>
        <w:spacing w:after="1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se on globaali toimija merialalla; sekä</w:t>
      </w:r>
    </w:p>
    <w:p w:rsidR="0005437D" w:rsidRDefault="00BB6D71">
      <w:pPr>
        <w:pStyle w:val="NoSpacing"/>
        <w:numPr>
          <w:ilvl w:val="0"/>
          <w:numId w:val="49"/>
        </w:numPr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sillä on asiantuntemusta osallistua kansainvälisen valtamerten hallinnointikehyksen parantamiseen.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Johtajuus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Monet vastaajat pitävät EU:ta merkittävänä </w:t>
      </w:r>
      <w:r>
        <w:rPr>
          <w:rFonts w:ascii="Times New Roman" w:hAnsi="Times New Roman"/>
          <w:noProof/>
          <w:sz w:val="24"/>
        </w:rPr>
        <w:t>toimijana kaikissa kansainvälisissä ja alueellisissa merialan organisaatioissa. Yhdessä jäsenvaltioiden kanssa sillä on kyky ja legitimiteetti toimia merkittävässä roolissa edistettäessä olemassa olevien sopimusten ratifiointia ja tosiasiallista täytäntöön</w:t>
      </w:r>
      <w:r>
        <w:rPr>
          <w:rFonts w:ascii="Times New Roman" w:hAnsi="Times New Roman"/>
          <w:noProof/>
          <w:sz w:val="24"/>
        </w:rPr>
        <w:t>panoa ja parannettaessa kansainvälisten ja alueellisten järjestelyjen koordinointia. Enemmistö vastaajista katsoo, että EU:n on oltava aktiivinen toimija monimuotoisuusneuvotteluissa sekä pyrkimyksissä kohti kestävän kehityksen tavoitetta 14 ja muita kestä</w:t>
      </w:r>
      <w:r>
        <w:rPr>
          <w:rFonts w:ascii="Times New Roman" w:hAnsi="Times New Roman"/>
          <w:noProof/>
          <w:sz w:val="24"/>
        </w:rPr>
        <w:t>vän kehityksen tavoitteita.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Muutamat katsovat, että EU:n olisi oltava edelläkävijä tasavertaisten toimintaedellytysten luomisessa merialan sidosryhmille ja innovoinnin ja yritysten välisen kilpailun tukemisessa. Sen olisi käytettävä hyödyksi taloudellista </w:t>
      </w:r>
      <w:r>
        <w:rPr>
          <w:rFonts w:ascii="Times New Roman" w:hAnsi="Times New Roman"/>
          <w:noProof/>
          <w:sz w:val="24"/>
        </w:rPr>
        <w:t>painoarvoaan ja osallistuttava aktiivisesti sääntöjen kehittämiseen uusia kehittyviä toimintoja varten.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Muutamat myös näkevät, että EU:lla on hyvät edellytykset toimia (edelleen) johdossa torjuttaessa LIS-kalastusta ja edistettäessä ihmisarvoisia työoloja </w:t>
      </w:r>
      <w:r>
        <w:rPr>
          <w:rFonts w:ascii="Times New Roman" w:hAnsi="Times New Roman"/>
          <w:noProof/>
          <w:sz w:val="24"/>
        </w:rPr>
        <w:t>merialoilla. Sen olisi jatkettava toimintaansa etenkin nykyisten sääntöjen noudattamisen valvonnan tehostamisen osalta.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Asiantuntemus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Suurin osa vastaajista näkee EU:n lisäarvon olevan sen eri alojen asiantuntemuksessa. Ne korostavat, että EU on kehittänyt</w:t>
      </w:r>
      <w:r>
        <w:rPr>
          <w:rFonts w:ascii="Times New Roman" w:hAnsi="Times New Roman"/>
          <w:noProof/>
          <w:sz w:val="24"/>
        </w:rPr>
        <w:t xml:space="preserve"> välineitä merialan toimintojen parempaa johtamista, kestävän kasvun edistämistä sekä meriympäristön suojelemista varten. Ne mainitsevat erityisesti EU:n meripolitiikan, meristrategiapuitedirektiivin, merten aluesuunnittelua koskevan direktiivin ja uudiste</w:t>
      </w:r>
      <w:r>
        <w:rPr>
          <w:rFonts w:ascii="Times New Roman" w:hAnsi="Times New Roman"/>
          <w:noProof/>
          <w:sz w:val="24"/>
        </w:rPr>
        <w:t>tun yhteisen kalastuspolitiikan.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t>Yhteistyö EU:n ulkopuolisten kumppanien kanssa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Useat vastaajat myöntävät, että kehitysmailla ei ehkä ole kykyä taata olemassa olevien sopimusten asianmukainen soveltaminen ja merialan toimintojensa kestävä kehitys. Ne toivo</w:t>
      </w:r>
      <w:r>
        <w:rPr>
          <w:rFonts w:ascii="Times New Roman" w:hAnsi="Times New Roman"/>
          <w:noProof/>
          <w:sz w:val="24"/>
        </w:rPr>
        <w:t>vat, että EU toimii tiiviissä yhteistyössä kehitysmaiden kanssa ja antaa niille asiantuntemusta, jotta ne pystyisivät tarttumaan valtamerten tarjoamiin mahdollisuuksiin täysimääräisesti ja osallistumaan kansainvälisiin ja alueellisiin foorumeihin.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Muutamat</w:t>
      </w:r>
      <w:r>
        <w:rPr>
          <w:rFonts w:ascii="Times New Roman" w:hAnsi="Times New Roman"/>
          <w:noProof/>
          <w:sz w:val="24"/>
        </w:rPr>
        <w:t xml:space="preserve"> vastaajat mainitsevat tarpeen tehdä valtameriin ja meriin liittyvien toimintojen osalta yhteistyötä naapurimaiden kanssa. Ne katsovat, että tässä yhteydessä voisi olla hyödyllistä käyttää EU:n naapuruuspolitiikkaa.</w:t>
      </w:r>
    </w:p>
    <w:p w:rsidR="0005437D" w:rsidRDefault="00BB6D71">
      <w:pPr>
        <w:pStyle w:val="NoSpacing"/>
        <w:keepNext/>
        <w:numPr>
          <w:ilvl w:val="0"/>
          <w:numId w:val="31"/>
        </w:numPr>
        <w:spacing w:after="240"/>
        <w:ind w:left="567" w:hanging="567"/>
        <w:jc w:val="both"/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</w:rPr>
        <w:t>PÄÄTELMÄT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Kuulemisprosessi ja siihen </w:t>
      </w:r>
      <w:r>
        <w:rPr>
          <w:rFonts w:ascii="Times New Roman" w:hAnsi="Times New Roman"/>
          <w:noProof/>
          <w:sz w:val="24"/>
        </w:rPr>
        <w:t>sisältyvä kuuntelukierros vahvistivat pitkälti arvion, jonka mukaan kansainväliseen valtamerten hallinnointiin liittyvän toiminnan on oltava määrätietoisempaa ja johdonmukaisempaa. Komissio on sisällyttänyt havainnot valtamerten hallinnointia koskevaan alo</w:t>
      </w:r>
      <w:r>
        <w:rPr>
          <w:rFonts w:ascii="Times New Roman" w:hAnsi="Times New Roman"/>
          <w:noProof/>
          <w:sz w:val="24"/>
        </w:rPr>
        <w:t>itteeseensa.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Vastaukset vahvistavat sen, että kansainvälisessä valtamerten hallinnointikehyksessä on puutteita, jotka on korjattava esimerkiksi tehostamalla täytäntöönpanoa, tukemalla enemmän kehitysmaita, paikkaamalla oikeudelliset puutteet ja parantamall</w:t>
      </w:r>
      <w:r>
        <w:rPr>
          <w:rFonts w:ascii="Times New Roman" w:hAnsi="Times New Roman"/>
          <w:noProof/>
          <w:sz w:val="24"/>
        </w:rPr>
        <w:t>a koordinointia.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Ne korostavat myös, että tarvitaan jatkuvasti lisää ja parempaa tutkimusta. Valtamerten hallinnointia käsittelevässä tiedonannossa kyseiset näkemykset otetaan huomioon sekä valtamerten hallinnoinnin nykytilaa koskevassa analyysissä että eh</w:t>
      </w:r>
      <w:r>
        <w:rPr>
          <w:rFonts w:ascii="Times New Roman" w:hAnsi="Times New Roman"/>
          <w:noProof/>
          <w:sz w:val="24"/>
        </w:rPr>
        <w:t>dotetuissa toimissa.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Tästä syystä komissio esittää sidosryhmien esille ottamien kysymysten käsittelemiseksi 14:ää toimea kolmella ensisijaisella aihealueella seuraavasti:</w:t>
      </w:r>
    </w:p>
    <w:p w:rsidR="0005437D" w:rsidRDefault="00BB6D71">
      <w:pPr>
        <w:pStyle w:val="Text2"/>
        <w:numPr>
          <w:ilvl w:val="0"/>
          <w:numId w:val="51"/>
        </w:numPr>
        <w:spacing w:after="120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Toivetta kansainvälisen ja alueellisen valtamerten hallinnointikehyksen paremmasta </w:t>
      </w:r>
      <w:r>
        <w:rPr>
          <w:noProof/>
          <w:color w:val="000000" w:themeColor="text1"/>
        </w:rPr>
        <w:t>täytäntöönpanosta ja koordinoinnista käsitellään yhteisen tiedonannon toimissa 1, 2 ja 3. Toimella 1 pyritään lisäksi paikkaamaan oikeudellisia puutteita.</w:t>
      </w:r>
    </w:p>
    <w:p w:rsidR="0005437D" w:rsidRDefault="00BB6D71">
      <w:pPr>
        <w:pStyle w:val="Text2"/>
        <w:numPr>
          <w:ilvl w:val="0"/>
          <w:numId w:val="51"/>
        </w:numPr>
        <w:spacing w:after="120"/>
        <w:rPr>
          <w:noProof/>
          <w:color w:val="000000" w:themeColor="text1"/>
        </w:rPr>
      </w:pPr>
      <w:r>
        <w:rPr>
          <w:noProof/>
          <w:color w:val="000000" w:themeColor="text1"/>
        </w:rPr>
        <w:t>Kolmansien maiden kanssa tehtävää yhteistyötä käsitellään useimmissa toimissa, erityisesti toimissa 3</w:t>
      </w:r>
      <w:r>
        <w:rPr>
          <w:noProof/>
          <w:color w:val="000000" w:themeColor="text1"/>
        </w:rPr>
        <w:t>, 4, 13 ja 14.</w:t>
      </w:r>
    </w:p>
    <w:p w:rsidR="0005437D" w:rsidRDefault="00BB6D71">
      <w:pPr>
        <w:pStyle w:val="Text2"/>
        <w:numPr>
          <w:ilvl w:val="0"/>
          <w:numId w:val="51"/>
        </w:numPr>
        <w:spacing w:after="120"/>
        <w:rPr>
          <w:noProof/>
          <w:color w:val="000000" w:themeColor="text1"/>
        </w:rPr>
      </w:pPr>
      <w:r>
        <w:rPr>
          <w:noProof/>
          <w:color w:val="000000" w:themeColor="text1"/>
        </w:rPr>
        <w:t>Toimilla 6–11 pyritään vähentämään valtameriin kohdistuvaa painetta, jonka useat sidosryhmät ottivat esille.</w:t>
      </w:r>
    </w:p>
    <w:p w:rsidR="0005437D" w:rsidRDefault="00BB6D71">
      <w:pPr>
        <w:pStyle w:val="Text2"/>
        <w:numPr>
          <w:ilvl w:val="0"/>
          <w:numId w:val="51"/>
        </w:numPr>
        <w:spacing w:after="120"/>
        <w:rPr>
          <w:noProof/>
          <w:color w:val="000000" w:themeColor="text1"/>
        </w:rPr>
      </w:pPr>
      <w:r>
        <w:rPr>
          <w:noProof/>
          <w:color w:val="000000" w:themeColor="text1"/>
        </w:rPr>
        <w:t>Toimilla 12, 13 ja 14 on tarkoitus lujittaa kansainvälistä merentutkimusta ja parantaa asianomaisia tietoja.</w:t>
      </w:r>
    </w:p>
    <w:p w:rsidR="0005437D" w:rsidRDefault="00BB6D71">
      <w:pPr>
        <w:pStyle w:val="Text2"/>
        <w:ind w:left="0"/>
        <w:rPr>
          <w:noProof/>
          <w:color w:val="000000" w:themeColor="text1"/>
        </w:rPr>
      </w:pPr>
      <w:r>
        <w:rPr>
          <w:noProof/>
          <w:color w:val="000000" w:themeColor="text1"/>
        </w:rPr>
        <w:t>Yhteisessä tiedonannoss</w:t>
      </w:r>
      <w:r>
        <w:rPr>
          <w:noProof/>
          <w:color w:val="000000" w:themeColor="text1"/>
        </w:rPr>
        <w:t>a esitetyt toimet ovat erottamaton osa Agenda 2030 -ohjelmaan ja erityisesti kestävän kehityksen tavoitteeseen 14 ja muihin kestävän keityksen tavoitteisiin liittyvää EU:n toimintaa vastaajien kyseisten sovittujen sitoumusten perusteella esittämän toiminta</w:t>
      </w:r>
      <w:r>
        <w:rPr>
          <w:noProof/>
          <w:color w:val="000000" w:themeColor="text1"/>
        </w:rPr>
        <w:t>kehotuksen mukaisesti.</w:t>
      </w:r>
    </w:p>
    <w:p w:rsidR="0005437D" w:rsidRDefault="00BB6D71">
      <w:pPr>
        <w:pStyle w:val="NoSpacing"/>
        <w:spacing w:after="2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noProof/>
        </w:rPr>
        <w:br w:type="page"/>
      </w:r>
    </w:p>
    <w:p w:rsidR="0005437D" w:rsidRDefault="00BB6D71">
      <w:pPr>
        <w:pStyle w:val="NoSpacing"/>
        <w:pBdr>
          <w:bottom w:val="single" w:sz="4" w:space="1" w:color="auto"/>
        </w:pBdr>
        <w:spacing w:after="2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LIITE: LYHENNELUETTELO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 xml:space="preserve">ABNJ: </w:t>
      </w:r>
      <w:r>
        <w:rPr>
          <w:rFonts w:ascii="Times New Roman" w:hAnsi="Times New Roman"/>
          <w:noProof/>
          <w:sz w:val="24"/>
        </w:rPr>
        <w:t>Kansallisen lainkäyttövallan ulkopuolella olevat alueet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BBNJ:</w:t>
      </w:r>
      <w:r>
        <w:rPr>
          <w:rFonts w:ascii="Times New Roman" w:hAnsi="Times New Roman"/>
          <w:noProof/>
          <w:sz w:val="24"/>
        </w:rPr>
        <w:t xml:space="preserve"> Luonnon monimuotoisuus kansallisen lainkäyttövallan ulkopuolella olevilla alueilla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CBD</w:t>
      </w:r>
      <w:r>
        <w:rPr>
          <w:rFonts w:ascii="Times New Roman" w:hAnsi="Times New Roman"/>
          <w:noProof/>
          <w:sz w:val="24"/>
        </w:rPr>
        <w:t>: Biologista monimuotoisuutta koskeva yleissopimus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 xml:space="preserve">UN </w:t>
      </w:r>
      <w:r>
        <w:rPr>
          <w:rFonts w:ascii="Times New Roman" w:hAnsi="Times New Roman"/>
          <w:b/>
          <w:noProof/>
          <w:sz w:val="24"/>
        </w:rPr>
        <w:t>DOALOS:</w:t>
      </w:r>
      <w:r>
        <w:rPr>
          <w:rFonts w:ascii="Times New Roman" w:hAnsi="Times New Roman"/>
          <w:noProof/>
          <w:sz w:val="24"/>
        </w:rPr>
        <w:t xml:space="preserve"> UN Division for Ocean Affairs and the Law of the Sea (valtameriasioita ja merioikeutta käsittelevä YK:n alaosasto)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EMODnet</w:t>
      </w:r>
      <w:r>
        <w:rPr>
          <w:rFonts w:ascii="Times New Roman" w:hAnsi="Times New Roman"/>
          <w:noProof/>
          <w:sz w:val="24"/>
        </w:rPr>
        <w:t xml:space="preserve">: </w:t>
      </w:r>
      <w:r>
        <w:rPr>
          <w:rStyle w:val="st"/>
          <w:rFonts w:ascii="Times New Roman" w:hAnsi="Times New Roman"/>
          <w:noProof/>
          <w:sz w:val="24"/>
        </w:rPr>
        <w:t>Euroopan meripoliittinen seurantakeskus ja tietoverkko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FAO</w:t>
      </w:r>
      <w:r>
        <w:rPr>
          <w:rFonts w:ascii="Times New Roman" w:hAnsi="Times New Roman"/>
          <w:noProof/>
          <w:sz w:val="24"/>
        </w:rPr>
        <w:t>: YK:n elintarvike- ja maatalousjärjestö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GFCM</w:t>
      </w:r>
      <w:r>
        <w:rPr>
          <w:rFonts w:ascii="Times New Roman" w:hAnsi="Times New Roman"/>
          <w:noProof/>
          <w:sz w:val="24"/>
        </w:rPr>
        <w:t>: Välimeren yleinen k</w:t>
      </w:r>
      <w:r>
        <w:rPr>
          <w:rFonts w:ascii="Times New Roman" w:hAnsi="Times New Roman"/>
          <w:noProof/>
          <w:sz w:val="24"/>
        </w:rPr>
        <w:t>alastuskomissio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HELCOM</w:t>
      </w:r>
      <w:r>
        <w:rPr>
          <w:rFonts w:ascii="Times New Roman" w:hAnsi="Times New Roman"/>
          <w:noProof/>
          <w:sz w:val="24"/>
        </w:rPr>
        <w:t>: Itämeren suojelukomissio (tunnetaan myös nimellä Helsingin komissio)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ICES</w:t>
      </w:r>
      <w:r>
        <w:rPr>
          <w:rFonts w:ascii="Times New Roman" w:hAnsi="Times New Roman"/>
          <w:noProof/>
          <w:sz w:val="24"/>
        </w:rPr>
        <w:t>: Kansainvälinen merentutkimusneuvosto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IMO</w:t>
      </w:r>
      <w:r>
        <w:rPr>
          <w:rFonts w:ascii="Times New Roman" w:hAnsi="Times New Roman"/>
          <w:noProof/>
          <w:sz w:val="24"/>
        </w:rPr>
        <w:t>: Kansainvälinen merenkulkujärjestö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ISA</w:t>
      </w:r>
      <w:r>
        <w:rPr>
          <w:rFonts w:ascii="Times New Roman" w:hAnsi="Times New Roman"/>
          <w:noProof/>
          <w:sz w:val="24"/>
        </w:rPr>
        <w:t>: Kansainvälinen merenpohjajärjestö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LIS-kalastus:</w:t>
      </w:r>
      <w:r>
        <w:rPr>
          <w:rFonts w:ascii="Times New Roman" w:hAnsi="Times New Roman"/>
          <w:noProof/>
          <w:sz w:val="24"/>
        </w:rPr>
        <w:t xml:space="preserve"> Laiton, ilmoittamaton ja sääntelemätön kalastus 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NEAFC</w:t>
      </w:r>
      <w:r>
        <w:rPr>
          <w:rFonts w:ascii="Times New Roman" w:hAnsi="Times New Roman"/>
          <w:noProof/>
          <w:sz w:val="24"/>
        </w:rPr>
        <w:t xml:space="preserve">: </w:t>
      </w:r>
      <w:r>
        <w:rPr>
          <w:rStyle w:val="Emphasis"/>
          <w:rFonts w:ascii="Times New Roman" w:hAnsi="Times New Roman"/>
          <w:b w:val="0"/>
          <w:noProof/>
          <w:sz w:val="24"/>
        </w:rPr>
        <w:t>Koillis-Atlantin kalastuskomissio</w:t>
      </w:r>
    </w:p>
    <w:p w:rsidR="0005437D" w:rsidRDefault="00BB6D71">
      <w:pPr>
        <w:pStyle w:val="NoSpacing"/>
        <w:spacing w:after="120"/>
        <w:jc w:val="both"/>
        <w:rPr>
          <w:rStyle w:val="st1"/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OSPAR</w:t>
      </w:r>
      <w:r>
        <w:rPr>
          <w:rFonts w:ascii="Times New Roman" w:hAnsi="Times New Roman"/>
          <w:noProof/>
          <w:sz w:val="24"/>
        </w:rPr>
        <w:t xml:space="preserve">: </w:t>
      </w:r>
      <w:r>
        <w:rPr>
          <w:rStyle w:val="st1"/>
          <w:rFonts w:ascii="Times New Roman" w:hAnsi="Times New Roman"/>
          <w:noProof/>
          <w:sz w:val="24"/>
        </w:rPr>
        <w:t>Yleissopimus Koillis-Atlantin merellisen ympäristön suojelusta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PSMA</w:t>
      </w:r>
      <w:r>
        <w:rPr>
          <w:rFonts w:ascii="Times New Roman" w:hAnsi="Times New Roman"/>
          <w:noProof/>
          <w:sz w:val="24"/>
        </w:rPr>
        <w:t>: Satamavaltion toimenpiteitä koskeva sopimus ja lippuvaltiotoiminta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RFMO</w:t>
      </w:r>
      <w:r>
        <w:rPr>
          <w:rFonts w:ascii="Times New Roman" w:hAnsi="Times New Roman"/>
          <w:noProof/>
          <w:sz w:val="24"/>
        </w:rPr>
        <w:t>: Alueelliset kala</w:t>
      </w:r>
      <w:r>
        <w:rPr>
          <w:rFonts w:ascii="Times New Roman" w:hAnsi="Times New Roman"/>
          <w:noProof/>
          <w:sz w:val="24"/>
        </w:rPr>
        <w:t>stuksenhoitojärjestöt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RSC</w:t>
      </w:r>
      <w:r>
        <w:rPr>
          <w:rFonts w:ascii="Times New Roman" w:hAnsi="Times New Roman"/>
          <w:noProof/>
          <w:sz w:val="24"/>
        </w:rPr>
        <w:t>: Alueelliset meriyleissopimukset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SDG:</w:t>
      </w:r>
      <w:r>
        <w:rPr>
          <w:rFonts w:ascii="Times New Roman" w:hAnsi="Times New Roman"/>
          <w:noProof/>
          <w:sz w:val="24"/>
        </w:rPr>
        <w:t xml:space="preserve"> Kestävän kehityksen tavoite</w:t>
      </w:r>
    </w:p>
    <w:p w:rsidR="0005437D" w:rsidRDefault="00BB6D71">
      <w:pPr>
        <w:pStyle w:val="NoSpacing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b/>
          <w:noProof/>
        </w:rPr>
        <w:t>UNEP/MAP</w:t>
      </w:r>
      <w:r>
        <w:rPr>
          <w:noProof/>
        </w:rPr>
        <w:t xml:space="preserve">: YK:n ympäristöohjelma / Välimeren alueen toimintasuunnitelma </w:t>
      </w:r>
    </w:p>
    <w:p w:rsidR="0005437D" w:rsidRDefault="00BB6D71">
      <w:pPr>
        <w:pStyle w:val="NoSpacing"/>
        <w:jc w:val="both"/>
        <w:rPr>
          <w:b/>
          <w:noProof/>
        </w:rPr>
      </w:pPr>
      <w:r>
        <w:rPr>
          <w:rFonts w:ascii="Times New Roman" w:hAnsi="Times New Roman"/>
          <w:b/>
          <w:noProof/>
          <w:sz w:val="24"/>
        </w:rPr>
        <w:t>UNESCO:</w:t>
      </w:r>
      <w:r>
        <w:rPr>
          <w:noProof/>
        </w:rPr>
        <w:t xml:space="preserve"> </w:t>
      </w:r>
      <w:r>
        <w:rPr>
          <w:rFonts w:ascii="Times New Roman" w:hAnsi="Times New Roman"/>
          <w:noProof/>
          <w:sz w:val="24"/>
        </w:rPr>
        <w:t>YK:n kasvatus-,tiede-ja kulttuurijärjestö</w:t>
      </w:r>
    </w:p>
    <w:sectPr w:rsidR="0005437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020" w:right="1701" w:bottom="993" w:left="1587" w:header="601" w:footer="107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37D" w:rsidRDefault="00BB6D71">
      <w:pPr>
        <w:spacing w:after="0"/>
      </w:pPr>
      <w:r>
        <w:separator/>
      </w:r>
    </w:p>
  </w:endnote>
  <w:endnote w:type="continuationSeparator" w:id="0">
    <w:p w:rsidR="0005437D" w:rsidRDefault="00BB6D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D71" w:rsidRDefault="00BB6D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7D" w:rsidRDefault="00BB6D71"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FI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FI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D71" w:rsidRDefault="00BB6D7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7D" w:rsidRDefault="0005437D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7D" w:rsidRDefault="00BB6D71">
    <w:pPr>
      <w:pStyle w:val="Footer"/>
      <w:spacing w:before="12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6</w:t>
    </w:r>
    <w:r>
      <w:rPr>
        <w:rFonts w:ascii="Times New Roman" w:hAnsi="Times New Roman"/>
        <w:sz w:val="20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759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6D71" w:rsidRDefault="00BB6D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437D" w:rsidRDefault="0005437D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37D" w:rsidRDefault="00BB6D71">
      <w:pPr>
        <w:spacing w:after="0"/>
      </w:pPr>
      <w:r>
        <w:separator/>
      </w:r>
    </w:p>
  </w:footnote>
  <w:footnote w:type="continuationSeparator" w:id="0">
    <w:p w:rsidR="0005437D" w:rsidRDefault="00BB6D71">
      <w:pPr>
        <w:spacing w:after="0"/>
      </w:pPr>
      <w:r>
        <w:continuationSeparator/>
      </w:r>
    </w:p>
  </w:footnote>
  <w:footnote w:id="1">
    <w:p w:rsidR="0005437D" w:rsidRDefault="00BB6D71">
      <w:pPr>
        <w:pStyle w:val="FootnoteText"/>
        <w:spacing w:after="120"/>
        <w:ind w:left="426" w:hanging="426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1">
        <w:r>
          <w:rPr>
            <w:rStyle w:val="Hyperlink"/>
          </w:rPr>
          <w:t>http://ec.europa.eu/dgs/maritimeaffairs_fisheries/consultations/ocean-governance/doc/ocean-governance-summary_en.pdf</w:t>
        </w:r>
      </w:hyperlink>
      <w:r>
        <w:t xml:space="preserve"> </w:t>
      </w:r>
    </w:p>
  </w:footnote>
  <w:footnote w:id="2">
    <w:p w:rsidR="0005437D" w:rsidRDefault="00BB6D71">
      <w:pPr>
        <w:pStyle w:val="FootnoteText"/>
        <w:spacing w:after="120"/>
        <w:ind w:left="426" w:hanging="426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2">
        <w:r>
          <w:rPr>
            <w:rStyle w:val="Hyperlink"/>
          </w:rPr>
          <w:t>World Ocean Summit</w:t>
        </w:r>
      </w:hyperlink>
      <w:r>
        <w:t xml:space="preserve"> (3.-5. kesäkuuta 2015);</w:t>
      </w:r>
      <w:r>
        <w:tab/>
      </w:r>
      <w:r>
        <w:br/>
        <w:t>Ilmoitus valtamerten hallinnointia koskevista julkisesta kuulemisesta ja kuuntelukierroksesta (Lissabon, 4. kesäkuuta 2015);</w:t>
      </w:r>
      <w:r>
        <w:br/>
      </w:r>
      <w:hyperlink r:id="rId3">
        <w:r>
          <w:rPr>
            <w:rStyle w:val="Hyperlink"/>
          </w:rPr>
          <w:t>https://ec.europa.eu/commission/2014-2019/vella/announcements/announcement-oc</w:t>
        </w:r>
        <w:r>
          <w:rPr>
            <w:rStyle w:val="Hyperlink"/>
          </w:rPr>
          <w:t>ean-governance-public-consultation-and-listening-tour-world-ocean-summit-lisbon-4_en</w:t>
        </w:r>
      </w:hyperlink>
    </w:p>
  </w:footnote>
  <w:footnote w:id="3">
    <w:p w:rsidR="0005437D" w:rsidRDefault="00BB6D71">
      <w:pPr>
        <w:pStyle w:val="FootnoteText"/>
        <w:tabs>
          <w:tab w:val="left" w:pos="426"/>
        </w:tabs>
        <w:spacing w:after="120"/>
        <w:ind w:left="426" w:hanging="426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Temaattinen istunto II: Valtamerten hallinnoinnin parantaminen; </w:t>
      </w:r>
      <w:r>
        <w:tab/>
      </w:r>
      <w:r>
        <w:br/>
      </w:r>
      <w:hyperlink r:id="rId4">
        <w:r>
          <w:rPr>
            <w:rStyle w:val="Hyperlink"/>
          </w:rPr>
          <w:t>https://ec.europa.eu/maritimeaffairs/maritimeday/en/programme-items/thematic-session-ii-improving-ocean-governance</w:t>
        </w:r>
      </w:hyperlink>
      <w:r>
        <w:t xml:space="preserve"> </w:t>
      </w:r>
      <w:r>
        <w:tab/>
      </w:r>
      <w:r>
        <w:br/>
        <w:t xml:space="preserve">Konferenssiraportti: </w:t>
      </w:r>
      <w:r>
        <w:tab/>
      </w:r>
      <w:hyperlink r:id="rId5">
        <w:r>
          <w:rPr>
            <w:rStyle w:val="Hyperlink"/>
          </w:rPr>
          <w:t>https://ec.europa.eu/maritimeaffairs/maritimeday/sites/mare-emd/files/2016-emd-conference-report.pdf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D71" w:rsidRDefault="00BB6D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D71" w:rsidRDefault="00BB6D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D71" w:rsidRDefault="00BB6D7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7D" w:rsidRDefault="0005437D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7D" w:rsidRDefault="0005437D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7D" w:rsidRDefault="0005437D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2FD4D20"/>
    <w:multiLevelType w:val="multilevel"/>
    <w:tmpl w:val="2136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03102D48"/>
    <w:multiLevelType w:val="hybridMultilevel"/>
    <w:tmpl w:val="B6B49D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C0505"/>
    <w:multiLevelType w:val="hybridMultilevel"/>
    <w:tmpl w:val="5DB66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576326"/>
    <w:multiLevelType w:val="hybridMultilevel"/>
    <w:tmpl w:val="CAA6B8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66305D"/>
    <w:multiLevelType w:val="multilevel"/>
    <w:tmpl w:val="5D62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08DE61A8"/>
    <w:multiLevelType w:val="hybridMultilevel"/>
    <w:tmpl w:val="686A40CA"/>
    <w:name w:val="LegalNumParListTemplate3"/>
    <w:lvl w:ilvl="0" w:tplc="A588FCC0">
      <w:start w:val="1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E44C2"/>
    <w:multiLevelType w:val="hybridMultilevel"/>
    <w:tmpl w:val="CFD47E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534DE5"/>
    <w:multiLevelType w:val="hybridMultilevel"/>
    <w:tmpl w:val="1ABAB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B205917"/>
    <w:multiLevelType w:val="hybridMultilevel"/>
    <w:tmpl w:val="14A439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734306"/>
    <w:multiLevelType w:val="multilevel"/>
    <w:tmpl w:val="D266108E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5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E564742"/>
    <w:multiLevelType w:val="multilevel"/>
    <w:tmpl w:val="FCDA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9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1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2">
    <w:nsid w:val="3DC86118"/>
    <w:multiLevelType w:val="multilevel"/>
    <w:tmpl w:val="4DBE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4">
    <w:nsid w:val="469876C4"/>
    <w:multiLevelType w:val="multilevel"/>
    <w:tmpl w:val="1506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nsid w:val="4C2A1B0D"/>
    <w:multiLevelType w:val="hybridMultilevel"/>
    <w:tmpl w:val="8A6E0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C7F66"/>
    <w:multiLevelType w:val="hybridMultilevel"/>
    <w:tmpl w:val="5FD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BC31BA"/>
    <w:multiLevelType w:val="hybridMultilevel"/>
    <w:tmpl w:val="C3307B74"/>
    <w:lvl w:ilvl="0" w:tplc="3DF2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9">
    <w:nsid w:val="55310113"/>
    <w:multiLevelType w:val="hybridMultilevel"/>
    <w:tmpl w:val="B4A25B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3606F1"/>
    <w:multiLevelType w:val="hybridMultilevel"/>
    <w:tmpl w:val="15F24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F81CAB"/>
    <w:multiLevelType w:val="hybridMultilevel"/>
    <w:tmpl w:val="0442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3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34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35">
    <w:nsid w:val="6400306A"/>
    <w:multiLevelType w:val="hybridMultilevel"/>
    <w:tmpl w:val="882A1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3234DB"/>
    <w:multiLevelType w:val="hybridMultilevel"/>
    <w:tmpl w:val="E4E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38">
    <w:nsid w:val="71923334"/>
    <w:multiLevelType w:val="hybridMultilevel"/>
    <w:tmpl w:val="15BC2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B44523"/>
    <w:multiLevelType w:val="hybridMultilevel"/>
    <w:tmpl w:val="F31E695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>
    <w:nsid w:val="7AD21A66"/>
    <w:multiLevelType w:val="multilevel"/>
    <w:tmpl w:val="E0DE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2">
    <w:nsid w:val="7B5671B1"/>
    <w:multiLevelType w:val="hybridMultilevel"/>
    <w:tmpl w:val="BF06DD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B63E6"/>
    <w:multiLevelType w:val="singleLevel"/>
    <w:tmpl w:val="0292EEF0"/>
    <w:name w:val="LegalNumParListTemplate"/>
    <w:lvl w:ilvl="0">
      <w:start w:val="1"/>
      <w:numFmt w:val="decimal"/>
      <w:lvlText w:val="%1."/>
      <w:lvlJc w:val="left"/>
      <w:pPr>
        <w:tabs>
          <w:tab w:val="num" w:pos="476"/>
        </w:tabs>
        <w:ind w:left="476" w:hanging="476"/>
      </w:pPr>
    </w:lvl>
  </w:abstractNum>
  <w:abstractNum w:abstractNumId="44">
    <w:nsid w:val="7FCA3F8D"/>
    <w:multiLevelType w:val="multilevel"/>
    <w:tmpl w:val="46F0C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21"/>
  </w:num>
  <w:num w:numId="5">
    <w:abstractNumId w:val="14"/>
  </w:num>
  <w:num w:numId="6">
    <w:abstractNumId w:val="20"/>
  </w:num>
  <w:num w:numId="7">
    <w:abstractNumId w:val="34"/>
  </w:num>
  <w:num w:numId="8">
    <w:abstractNumId w:val="37"/>
  </w:num>
  <w:num w:numId="9">
    <w:abstractNumId w:val="18"/>
  </w:num>
  <w:num w:numId="10">
    <w:abstractNumId w:val="33"/>
  </w:num>
  <w:num w:numId="11">
    <w:abstractNumId w:val="32"/>
  </w:num>
  <w:num w:numId="12">
    <w:abstractNumId w:val="23"/>
  </w:num>
  <w:num w:numId="13">
    <w:abstractNumId w:val="28"/>
  </w:num>
  <w:num w:numId="14">
    <w:abstractNumId w:val="13"/>
  </w:num>
  <w:num w:numId="15">
    <w:abstractNumId w:val="19"/>
  </w:num>
  <w:num w:numId="16">
    <w:abstractNumId w:val="10"/>
  </w:num>
  <w:num w:numId="17">
    <w:abstractNumId w:val="15"/>
  </w:num>
  <w:num w:numId="18">
    <w:abstractNumId w:val="40"/>
  </w:num>
  <w:num w:numId="19">
    <w:abstractNumId w:val="16"/>
  </w:num>
  <w:num w:numId="20">
    <w:abstractNumId w:val="43"/>
  </w:num>
  <w:num w:numId="21">
    <w:abstractNumId w:val="7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39"/>
  </w:num>
  <w:num w:numId="29">
    <w:abstractNumId w:val="31"/>
  </w:num>
  <w:num w:numId="30">
    <w:abstractNumId w:val="35"/>
  </w:num>
  <w:num w:numId="31">
    <w:abstractNumId w:val="44"/>
  </w:num>
  <w:num w:numId="32">
    <w:abstractNumId w:val="25"/>
  </w:num>
  <w:num w:numId="33">
    <w:abstractNumId w:val="38"/>
  </w:num>
  <w:num w:numId="34">
    <w:abstractNumId w:val="9"/>
  </w:num>
  <w:num w:numId="35">
    <w:abstractNumId w:val="42"/>
  </w:num>
  <w:num w:numId="36">
    <w:abstractNumId w:val="26"/>
  </w:num>
  <w:num w:numId="37">
    <w:abstractNumId w:val="3"/>
  </w:num>
  <w:num w:numId="38">
    <w:abstractNumId w:val="36"/>
  </w:num>
  <w:num w:numId="39">
    <w:abstractNumId w:val="4"/>
  </w:num>
  <w:num w:numId="40">
    <w:abstractNumId w:val="8"/>
  </w:num>
  <w:num w:numId="41">
    <w:abstractNumId w:val="6"/>
  </w:num>
  <w:num w:numId="42">
    <w:abstractNumId w:val="17"/>
  </w:num>
  <w:num w:numId="43">
    <w:abstractNumId w:val="24"/>
  </w:num>
  <w:num w:numId="44">
    <w:abstractNumId w:val="22"/>
  </w:num>
  <w:num w:numId="45">
    <w:abstractNumId w:val="2"/>
  </w:num>
  <w:num w:numId="46">
    <w:abstractNumId w:val="30"/>
  </w:num>
  <w:num w:numId="47">
    <w:abstractNumId w:val="41"/>
  </w:num>
  <w:num w:numId="48">
    <w:abstractNumId w:val="27"/>
  </w:num>
  <w:num w:numId="49">
    <w:abstractNumId w:val="11"/>
  </w:num>
  <w:num w:numId="50">
    <w:abstractNumId w:val="29"/>
  </w:num>
  <w:num w:numId="51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Green"/>
    <w:docVar w:name="FigNum" w:val="1"/>
    <w:docVar w:name="LW_ACCOMPAGNANT.CP" w:val="Oheisasiakirja"/>
    <w:docVar w:name="LW_CONFIDENCE" w:val=" "/>
    <w:docVar w:name="LW_CONST_RESTREINT_UE" w:val="RESTREINT UE"/>
    <w:docVar w:name="LW_CORRIGENDUM" w:val="&lt;UNUSED&gt;"/>
    <w:docVar w:name="LW_COVERPAGE_GUID" w:val="5F21C5CB10194A23BD2129A8850855B8"/>
    <w:docVar w:name="LW_CROSSREFERENCE" w:val="{JOIN(2016) 49 final}"/>
    <w:docVar w:name="LW_DocType" w:val="REP"/>
    <w:docVar w:name="LW_EMISSION" w:val="10.11.2016"/>
    <w:docVar w:name="LW_EMISSION_ISODATE" w:val="2016-11-10"/>
    <w:docVar w:name="LW_EMISSION_LOCATION" w:val="BRX"/>
    <w:docVar w:name="LW_EMISSION_PREFIX" w:val="Bryssel "/>
    <w:docVar w:name="LW_EMISSION_SUFFIX" w:val=" "/>
    <w:docVar w:name="LW_ID_DOCTYPE_NONLW" w:val="CP-029"/>
    <w:docVar w:name="LW_LANGUE" w:val="FI"/>
    <w:docVar w:name="LW_MARKING" w:val="&lt;UNUSED&gt;"/>
    <w:docVar w:name="LW_NOM.INST" w:val="EUROOPAN KOMISSIO"/>
    <w:docVar w:name="LW_NOM.INST_JOINTDOC" w:val="UNIONIN ULKOASIOIDEN_x000b_JA TURVALLISUUSPOLITIIKAN_x000b_KORKEA EDUSTAJA"/>
    <w:docVar w:name="LW_OBJETACTEPRINCIPAL.CP" w:val="Kansainvälinen valtamerten hallinnointi: EU:n panos valtamerten vastuulliseen hoitoon"/>
    <w:docVar w:name="LW_PART_NBR" w:val="1"/>
    <w:docVar w:name="LW_PART_NBR_TOTAL" w:val="1"/>
    <w:docVar w:name="LW_REF.INST.NEW" w:val="SWD"/>
    <w:docVar w:name="LW_REF.INST.NEW_ADOPTED" w:val="final"/>
    <w:docVar w:name="LW_REF.INST.NEW_TEXT" w:val="(2016) 352"/>
    <w:docVar w:name="LW_REF.INTERNE" w:val="&lt;UNUSED&gt;"/>
    <w:docVar w:name="LW_SUPERTITRE" w:val="&lt;UNUSED&gt;"/>
    <w:docVar w:name="LW_TITRE.OBJ.CP" w:val="Tiivistelmä kansainvälistä valtamerten hallinnointia koskevan kuulemisen tuloksista"/>
    <w:docVar w:name="LW_TYPE.DOC.CP" w:val="YKSIKÖIDEN YHTEINEN VALMISTELUASIAKIRJA_x000b_"/>
    <w:docVar w:name="LW_TYPEACTEPRINCIPAL.CP" w:val="YHTEINEN TIEDONANTO EUROOPAN PARLAMENTILLE, NEUVOSTOLLE, EUROOPAN TALOUS- JA SOSIAALIKOMITEALLE  JA ALUEIDEN KOMITEALLE"/>
    <w:docVar w:name="Stamp" w:val="\\dossiers.dgt.cec.eu.int\dossiers\MARE\MARE-2016-00598\MARE-2016-00598-00-01-EN-REV-00.201609191534499766645.DOCX"/>
  </w:docVars>
  <w:rsids>
    <w:rsidRoot w:val="0005437D"/>
    <w:rsid w:val="0005437D"/>
    <w:rsid w:val="00BB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fi-FI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pacing w:after="240"/>
      <w:jc w:val="both"/>
    </w:pPr>
    <w:rPr>
      <w:sz w:val="24"/>
    </w:rPr>
  </w:style>
  <w:style w:type="paragraph" w:styleId="Heading1">
    <w:name w:val="heading 1"/>
    <w:basedOn w:val="Normal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uiPriority w:val="99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Designator">
    <w:name w:val="Designator"/>
    <w:basedOn w:val="Normal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al"/>
    <w:qFormat/>
    <w:pPr>
      <w:spacing w:after="0"/>
      <w:jc w:val="center"/>
    </w:pPr>
    <w:rPr>
      <w:b/>
      <w:caps/>
      <w:sz w:val="32"/>
    </w:rPr>
  </w:style>
  <w:style w:type="paragraph" w:customStyle="1" w:styleId="RUE">
    <w:name w:val="RUE"/>
    <w:basedOn w:val="Normal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ConfidentialUE">
    <w:name w:val="Confidential UE"/>
    <w:basedOn w:val="Normal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SecretUE">
    <w:name w:val="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TrsSecretUE">
    <w:name w:val="Très 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LegalNumPar">
    <w:name w:val="LegalNumPar"/>
    <w:basedOn w:val="Normal"/>
    <w:pPr>
      <w:numPr>
        <w:numId w:val="27"/>
      </w:numPr>
      <w:spacing w:line="360" w:lineRule="auto"/>
      <w:jc w:val="left"/>
    </w:pPr>
    <w:rPr>
      <w:rFonts w:eastAsiaTheme="minorHAnsi"/>
      <w:szCs w:val="22"/>
    </w:rPr>
  </w:style>
  <w:style w:type="paragraph" w:customStyle="1" w:styleId="LegalNumPar2">
    <w:name w:val="LegalNumPar2"/>
    <w:basedOn w:val="Normal"/>
    <w:pPr>
      <w:numPr>
        <w:ilvl w:val="1"/>
        <w:numId w:val="27"/>
      </w:numPr>
      <w:spacing w:line="360" w:lineRule="auto"/>
      <w:ind w:left="952" w:hanging="476"/>
      <w:jc w:val="left"/>
    </w:pPr>
    <w:rPr>
      <w:rFonts w:eastAsiaTheme="minorHAnsi"/>
      <w:szCs w:val="22"/>
    </w:rPr>
  </w:style>
  <w:style w:type="paragraph" w:customStyle="1" w:styleId="LegalNumPar3">
    <w:name w:val="LegalNumPar3"/>
    <w:basedOn w:val="Normal"/>
    <w:pPr>
      <w:numPr>
        <w:ilvl w:val="2"/>
        <w:numId w:val="27"/>
      </w:numPr>
      <w:spacing w:line="360" w:lineRule="auto"/>
      <w:jc w:val="left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sz w:val="16"/>
      <w:lang w:eastAsia="fi-FI"/>
    </w:rPr>
  </w:style>
  <w:style w:type="paragraph" w:customStyle="1" w:styleId="ZCom">
    <w:name w:val="Z_Com"/>
    <w:basedOn w:val="Normal"/>
    <w:next w:val="ZDGName"/>
    <w:uiPriority w:val="99"/>
    <w:pPr>
      <w:widowControl w:val="0"/>
      <w:autoSpaceDE w:val="0"/>
      <w:autoSpaceDN w:val="0"/>
      <w:spacing w:after="0"/>
      <w:ind w:right="85"/>
    </w:pPr>
    <w:rPr>
      <w:rFonts w:ascii="Arial" w:eastAsiaTheme="minorEastAsia" w:hAnsi="Arial" w:cs="Arial"/>
      <w:szCs w:val="24"/>
    </w:rPr>
  </w:style>
  <w:style w:type="paragraph" w:customStyle="1" w:styleId="ZDGName">
    <w:name w:val="Z_DGName"/>
    <w:basedOn w:val="Normal"/>
    <w:uiPriority w:val="99"/>
    <w:pPr>
      <w:widowControl w:val="0"/>
      <w:autoSpaceDE w:val="0"/>
      <w:autoSpaceDN w:val="0"/>
      <w:spacing w:after="0"/>
      <w:ind w:right="85"/>
      <w:jc w:val="left"/>
    </w:pPr>
    <w:rPr>
      <w:rFonts w:ascii="Arial" w:eastAsiaTheme="minorEastAsia" w:hAnsi="Arial" w:cs="Arial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eastAsia="fi-FI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pPr>
      <w:spacing w:after="0"/>
      <w:ind w:left="720"/>
      <w:contextualSpacing/>
      <w:jc w:val="left"/>
    </w:pPr>
    <w:rPr>
      <w:szCs w:val="24"/>
    </w:rPr>
  </w:style>
  <w:style w:type="character" w:customStyle="1" w:styleId="Corpsdutexte">
    <w:name w:val="Corps du texte_"/>
    <w:link w:val="Corpsdutexte0"/>
    <w:uiPriority w:val="99"/>
    <w:rPr>
      <w:rFonts w:ascii="Arial" w:hAnsi="Arial" w:cs="Arial"/>
      <w:shd w:val="clear" w:color="auto" w:fill="FFFFFF"/>
    </w:rPr>
  </w:style>
  <w:style w:type="paragraph" w:customStyle="1" w:styleId="Corpsdutexte0">
    <w:name w:val="Corps du texte"/>
    <w:basedOn w:val="Normal"/>
    <w:link w:val="Corpsdutexte"/>
    <w:uiPriority w:val="99"/>
    <w:pPr>
      <w:widowControl w:val="0"/>
      <w:shd w:val="clear" w:color="auto" w:fill="FFFFFF"/>
      <w:spacing w:before="600" w:after="120" w:line="336" w:lineRule="exact"/>
      <w:ind w:hanging="360"/>
    </w:pPr>
    <w:rPr>
      <w:rFonts w:ascii="Arial" w:hAnsi="Arial" w:cs="Arial"/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fi-FI"/>
    </w:rPr>
  </w:style>
  <w:style w:type="character" w:customStyle="1" w:styleId="FootnoteTextChar">
    <w:name w:val="Footnote Text Char"/>
    <w:basedOn w:val="DefaultParagraphFont"/>
    <w:uiPriority w:val="99"/>
    <w:rPr>
      <w:lang w:eastAsia="fi-FI"/>
    </w:rPr>
  </w:style>
  <w:style w:type="character" w:styleId="FootnoteReference">
    <w:name w:val="footnote reference"/>
    <w:uiPriority w:val="99"/>
    <w:rPr>
      <w:vertAlign w:val="superscript"/>
    </w:rPr>
  </w:style>
  <w:style w:type="character" w:customStyle="1" w:styleId="st">
    <w:name w:val="st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Pr>
      <w:lang w:eastAsia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lang w:eastAsia="fi-FI"/>
    </w:rPr>
  </w:style>
  <w:style w:type="character" w:customStyle="1" w:styleId="st1">
    <w:name w:val="st1"/>
    <w:basedOn w:val="DefaultParagraphFont"/>
  </w:style>
  <w:style w:type="character" w:styleId="Emphasis">
    <w:name w:val="Emphasis"/>
    <w:basedOn w:val="DefaultParagraphFont"/>
    <w:uiPriority w:val="20"/>
    <w:qFormat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/>
    </w:pPr>
    <w:rPr>
      <w:rFonts w:eastAsiaTheme="minorHAnsi"/>
      <w:szCs w:val="22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8"/>
    </w:rPr>
  </w:style>
  <w:style w:type="character" w:customStyle="1" w:styleId="FooterCoverPageChar">
    <w:name w:val="Footer Cover Page Char"/>
    <w:basedOn w:val="DefaultParagraphFont"/>
    <w:link w:val="FooterCoverPage"/>
    <w:rPr>
      <w:sz w:val="24"/>
      <w:szCs w:val="28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</w:pPr>
    <w:rPr>
      <w:szCs w:val="28"/>
    </w:rPr>
  </w:style>
  <w:style w:type="character" w:customStyle="1" w:styleId="HeaderCoverPageChar">
    <w:name w:val="Header Cover Page Char"/>
    <w:basedOn w:val="DefaultParagraphFont"/>
    <w:link w:val="HeaderCoverPage"/>
    <w:rPr>
      <w:sz w:val="24"/>
      <w:szCs w:val="28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fi-FI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pacing w:after="240"/>
      <w:jc w:val="both"/>
    </w:pPr>
    <w:rPr>
      <w:sz w:val="24"/>
    </w:rPr>
  </w:style>
  <w:style w:type="paragraph" w:styleId="Heading1">
    <w:name w:val="heading 1"/>
    <w:basedOn w:val="Normal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uiPriority w:val="99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Designator">
    <w:name w:val="Designator"/>
    <w:basedOn w:val="Normal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al"/>
    <w:qFormat/>
    <w:pPr>
      <w:spacing w:after="0"/>
      <w:jc w:val="center"/>
    </w:pPr>
    <w:rPr>
      <w:b/>
      <w:caps/>
      <w:sz w:val="32"/>
    </w:rPr>
  </w:style>
  <w:style w:type="paragraph" w:customStyle="1" w:styleId="RUE">
    <w:name w:val="RUE"/>
    <w:basedOn w:val="Normal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ConfidentialUE">
    <w:name w:val="Confidential UE"/>
    <w:basedOn w:val="Normal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SecretUE">
    <w:name w:val="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TrsSecretUE">
    <w:name w:val="Très 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LegalNumPar">
    <w:name w:val="LegalNumPar"/>
    <w:basedOn w:val="Normal"/>
    <w:pPr>
      <w:numPr>
        <w:numId w:val="27"/>
      </w:numPr>
      <w:spacing w:line="360" w:lineRule="auto"/>
      <w:jc w:val="left"/>
    </w:pPr>
    <w:rPr>
      <w:rFonts w:eastAsiaTheme="minorHAnsi"/>
      <w:szCs w:val="22"/>
    </w:rPr>
  </w:style>
  <w:style w:type="paragraph" w:customStyle="1" w:styleId="LegalNumPar2">
    <w:name w:val="LegalNumPar2"/>
    <w:basedOn w:val="Normal"/>
    <w:pPr>
      <w:numPr>
        <w:ilvl w:val="1"/>
        <w:numId w:val="27"/>
      </w:numPr>
      <w:spacing w:line="360" w:lineRule="auto"/>
      <w:ind w:left="952" w:hanging="476"/>
      <w:jc w:val="left"/>
    </w:pPr>
    <w:rPr>
      <w:rFonts w:eastAsiaTheme="minorHAnsi"/>
      <w:szCs w:val="22"/>
    </w:rPr>
  </w:style>
  <w:style w:type="paragraph" w:customStyle="1" w:styleId="LegalNumPar3">
    <w:name w:val="LegalNumPar3"/>
    <w:basedOn w:val="Normal"/>
    <w:pPr>
      <w:numPr>
        <w:ilvl w:val="2"/>
        <w:numId w:val="27"/>
      </w:numPr>
      <w:spacing w:line="360" w:lineRule="auto"/>
      <w:jc w:val="left"/>
    </w:pPr>
    <w:rPr>
      <w:rFonts w:eastAsia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sz w:val="16"/>
      <w:lang w:eastAsia="fi-FI"/>
    </w:rPr>
  </w:style>
  <w:style w:type="paragraph" w:customStyle="1" w:styleId="ZCom">
    <w:name w:val="Z_Com"/>
    <w:basedOn w:val="Normal"/>
    <w:next w:val="ZDGName"/>
    <w:uiPriority w:val="99"/>
    <w:pPr>
      <w:widowControl w:val="0"/>
      <w:autoSpaceDE w:val="0"/>
      <w:autoSpaceDN w:val="0"/>
      <w:spacing w:after="0"/>
      <w:ind w:right="85"/>
    </w:pPr>
    <w:rPr>
      <w:rFonts w:ascii="Arial" w:eastAsiaTheme="minorEastAsia" w:hAnsi="Arial" w:cs="Arial"/>
      <w:szCs w:val="24"/>
    </w:rPr>
  </w:style>
  <w:style w:type="paragraph" w:customStyle="1" w:styleId="ZDGName">
    <w:name w:val="Z_DGName"/>
    <w:basedOn w:val="Normal"/>
    <w:uiPriority w:val="99"/>
    <w:pPr>
      <w:widowControl w:val="0"/>
      <w:autoSpaceDE w:val="0"/>
      <w:autoSpaceDN w:val="0"/>
      <w:spacing w:after="0"/>
      <w:ind w:right="85"/>
      <w:jc w:val="left"/>
    </w:pPr>
    <w:rPr>
      <w:rFonts w:ascii="Arial" w:eastAsiaTheme="minorEastAsia" w:hAnsi="Arial" w:cs="Arial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eastAsia="fi-FI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pPr>
      <w:spacing w:after="0"/>
      <w:ind w:left="720"/>
      <w:contextualSpacing/>
      <w:jc w:val="left"/>
    </w:pPr>
    <w:rPr>
      <w:szCs w:val="24"/>
    </w:rPr>
  </w:style>
  <w:style w:type="character" w:customStyle="1" w:styleId="Corpsdutexte">
    <w:name w:val="Corps du texte_"/>
    <w:link w:val="Corpsdutexte0"/>
    <w:uiPriority w:val="99"/>
    <w:rPr>
      <w:rFonts w:ascii="Arial" w:hAnsi="Arial" w:cs="Arial"/>
      <w:shd w:val="clear" w:color="auto" w:fill="FFFFFF"/>
    </w:rPr>
  </w:style>
  <w:style w:type="paragraph" w:customStyle="1" w:styleId="Corpsdutexte0">
    <w:name w:val="Corps du texte"/>
    <w:basedOn w:val="Normal"/>
    <w:link w:val="Corpsdutexte"/>
    <w:uiPriority w:val="99"/>
    <w:pPr>
      <w:widowControl w:val="0"/>
      <w:shd w:val="clear" w:color="auto" w:fill="FFFFFF"/>
      <w:spacing w:before="600" w:after="120" w:line="336" w:lineRule="exact"/>
      <w:ind w:hanging="360"/>
    </w:pPr>
    <w:rPr>
      <w:rFonts w:ascii="Arial" w:hAnsi="Arial" w:cs="Arial"/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fi-FI"/>
    </w:rPr>
  </w:style>
  <w:style w:type="character" w:customStyle="1" w:styleId="FootnoteTextChar">
    <w:name w:val="Footnote Text Char"/>
    <w:basedOn w:val="DefaultParagraphFont"/>
    <w:uiPriority w:val="99"/>
    <w:rPr>
      <w:lang w:eastAsia="fi-FI"/>
    </w:rPr>
  </w:style>
  <w:style w:type="character" w:styleId="FootnoteReference">
    <w:name w:val="footnote reference"/>
    <w:uiPriority w:val="99"/>
    <w:rPr>
      <w:vertAlign w:val="superscript"/>
    </w:rPr>
  </w:style>
  <w:style w:type="character" w:customStyle="1" w:styleId="st">
    <w:name w:val="st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Pr>
      <w:lang w:eastAsia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lang w:eastAsia="fi-FI"/>
    </w:rPr>
  </w:style>
  <w:style w:type="character" w:customStyle="1" w:styleId="st1">
    <w:name w:val="st1"/>
    <w:basedOn w:val="DefaultParagraphFont"/>
  </w:style>
  <w:style w:type="character" w:styleId="Emphasis">
    <w:name w:val="Emphasis"/>
    <w:basedOn w:val="DefaultParagraphFont"/>
    <w:uiPriority w:val="20"/>
    <w:qFormat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/>
    </w:pPr>
    <w:rPr>
      <w:rFonts w:eastAsiaTheme="minorHAnsi"/>
      <w:szCs w:val="22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8"/>
    </w:rPr>
  </w:style>
  <w:style w:type="character" w:customStyle="1" w:styleId="FooterCoverPageChar">
    <w:name w:val="Footer Cover Page Char"/>
    <w:basedOn w:val="DefaultParagraphFont"/>
    <w:link w:val="FooterCoverPage"/>
    <w:rPr>
      <w:sz w:val="24"/>
      <w:szCs w:val="28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</w:pPr>
    <w:rPr>
      <w:szCs w:val="28"/>
    </w:rPr>
  </w:style>
  <w:style w:type="character" w:customStyle="1" w:styleId="HeaderCoverPageChar">
    <w:name w:val="Header Cover Page Char"/>
    <w:basedOn w:val="DefaultParagraphFont"/>
    <w:link w:val="HeaderCoverPage"/>
    <w:rPr>
      <w:sz w:val="24"/>
      <w:szCs w:val="28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image" Target="media/image5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_rels/footnotes.xml.rels><?xml version='1.0' encoding='UTF-8' standalone='yes'?>
<Relationships xmlns="http://schemas.openxmlformats.org/package/2006/relationships"><Relationship Id="rId3" Type="http://schemas.openxmlformats.org/officeDocument/2006/relationships/hyperlink" Target="https://ec.europa.eu/commission/2014-2019/vella/announcements/announcement-ocean-governance-public-consultation-and-listening-tour-world-ocean-summit-lisbon-4_en" TargetMode="External"/><Relationship Id="rId2" Type="http://schemas.openxmlformats.org/officeDocument/2006/relationships/hyperlink" Target="http://www.economist.com/events-conferences/asia/ocean-summit-2015" TargetMode="External"/><Relationship Id="rId1" Type="http://schemas.openxmlformats.org/officeDocument/2006/relationships/hyperlink" Target="http://ec.europa.eu/dgs/maritimeaffairs_fisheries/consultations/ocean-governance/doc/ocean-governance-summary_en.pdf" TargetMode="External"/><Relationship Id="rId5" Type="http://schemas.openxmlformats.org/officeDocument/2006/relationships/hyperlink" Target="https://ec.europa.eu/maritimeaffairs/maritimeday/sites/mare-emd/files/2016-emd-conference-report.pdf" TargetMode="External"/><Relationship Id="rId4" Type="http://schemas.openxmlformats.org/officeDocument/2006/relationships/hyperlink" Target="https://ec.europa.eu/maritimeaffairs/maritimeday/en/programme-items/thematic-session-ii-improving-ocean-governance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309AA-C93C-4AED-BE9E-0905C7B2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88</TotalTime>
  <Pages>11</Pages>
  <Words>2006</Words>
  <Characters>17703</Characters>
  <Application>Microsoft Office Word</Application>
  <DocSecurity>0</DocSecurity>
  <PresentationFormat>Microsoft Word 14.0</PresentationFormat>
  <Lines>147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EL4</cp:keywords>
  <cp:lastModifiedBy/>
  <cp:revision>31</cp:revision>
  <cp:lastPrinted>2016-10-10T08:54:00Z</cp:lastPrinted>
  <dcterms:created xsi:type="dcterms:W3CDTF">2016-10-12T14:01:00Z</dcterms:created>
  <dcterms:modified xsi:type="dcterms:W3CDTF">2016-11-10T10:10:00Z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4.6.5.0000</vt:lpwstr>
  </property>
  <property fmtid="{D5CDD505-2E9C-101B-9397-08002B2CF9AE}" pid="3" name="EurolookVersion">
    <vt:lpwstr>4.6</vt:lpwstr>
  </property>
  <property fmtid="{D5CDD505-2E9C-101B-9397-08002B2CF9AE}" pid="4" name="DocID_EU">
    <vt:lpwstr> </vt:lpwstr>
  </property>
  <property fmtid="{D5CDD505-2E9C-101B-9397-08002B2CF9AE}" pid="5" name="ELDocType">
    <vt:lpwstr>rep.dot</vt:lpwstr>
  </property>
  <property fmtid="{D5CDD505-2E9C-101B-9397-08002B2CF9AE}" pid="6" name="Created using">
    <vt:lpwstr>EL 4.6 Build 50000</vt:lpwstr>
  </property>
  <property fmtid="{D5CDD505-2E9C-101B-9397-08002B2CF9AE}" pid="7" name="Formatting">
    <vt:lpwstr>4.1</vt:lpwstr>
  </property>
  <property fmtid="{D5CDD505-2E9C-101B-9397-08002B2CF9AE}" pid="8" name="Last edited using">
    <vt:lpwstr>EL 4.6 Build 50000</vt:lpwstr>
  </property>
  <property fmtid="{D5CDD505-2E9C-101B-9397-08002B2CF9AE}" pid="9" name="EL_Author">
    <vt:lpwstr>Haitze SIEMERS </vt:lpwstr>
  </property>
  <property fmtid="{D5CDD505-2E9C-101B-9397-08002B2CF9AE}" pid="10" name="Type">
    <vt:lpwstr>Eurolook Report</vt:lpwstr>
  </property>
  <property fmtid="{D5CDD505-2E9C-101B-9397-08002B2CF9AE}" pid="11" name="Language">
    <vt:lpwstr>EN</vt:lpwstr>
  </property>
  <property fmtid="{D5CDD505-2E9C-101B-9397-08002B2CF9AE}" pid="12" name="EL_Language">
    <vt:lpwstr>EN</vt:lpwstr>
  </property>
  <property fmtid="{D5CDD505-2E9C-101B-9397-08002B2CF9AE}" pid="13" name="Part">
    <vt:lpwstr>1</vt:lpwstr>
  </property>
  <property fmtid="{D5CDD505-2E9C-101B-9397-08002B2CF9AE}" pid="14" name="Total parts">
    <vt:lpwstr>1</vt:lpwstr>
  </property>
  <property fmtid="{D5CDD505-2E9C-101B-9397-08002B2CF9AE}" pid="15" name="DocStatus">
    <vt:lpwstr>Green</vt:lpwstr>
  </property>
  <property fmtid="{D5CDD505-2E9C-101B-9397-08002B2CF9AE}" pid="16" name="Classification">
    <vt:lpwstr> </vt:lpwstr>
  </property>
  <property name="OP_sanitized" fmtid="{D5CDD505-2E9C-101B-9397-08002B2CF9AE}" pid="17">
    <vt:lpwstr>True</vt:lpwstr>
  </property>
</Properties>
</file>