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4FAE7FC239B748A8AD1EFCC1E049C787" style="width:450.75pt;height:445.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lastRenderedPageBreak/>
        <w:t>2013/0279 (COD)</w:t>
      </w:r>
    </w:p>
    <w:p>
      <w:pPr>
        <w:pStyle w:val="Typedudocument"/>
        <w:rPr>
          <w:noProof/>
        </w:rPr>
      </w:pPr>
      <w:r>
        <w:rPr>
          <w:noProof/>
        </w:rPr>
        <w:t>KOMISSION TIEDONANTO</w:t>
      </w:r>
      <w:r>
        <w:rPr>
          <w:noProof/>
        </w:rPr>
        <w:br/>
        <w:t>EUROOPAN PARLAMENTILLE</w:t>
      </w:r>
      <w:r>
        <w:rPr>
          <w:noProof/>
        </w:rPr>
        <w:br/>
      </w:r>
      <w:r>
        <w:rPr>
          <w:noProof/>
        </w:rPr>
        <w:br/>
        <w:t>Euroopan unionin toiminnasta tehdyn sopimuksen 294 artiklan 6 kohdan mukaisesti</w:t>
      </w:r>
    </w:p>
    <w:p>
      <w:pPr>
        <w:pStyle w:val="Titreobjet"/>
        <w:rPr>
          <w:noProof/>
        </w:rPr>
      </w:pPr>
      <w:r>
        <w:rPr>
          <w:noProof/>
        </w:rPr>
        <w:t>neuvoston kannasta ehdotukseen Euroopan parlamentin ja neuvoston asetukseksi kolmansien maiden kanssa käytävää ulkomaankauppaa koskevista yhteisön tilastoista annetun neuvoston asetuksen (EY) N:o 471/2009 muuttamisesta siltä osin kuin on kyse säädösvallan ja täytäntöönpanovallan siirtämisestä komissiolle tiettyjen toimenpiteiden hyväksymiseksi</w:t>
      </w:r>
    </w:p>
    <w:p>
      <w:pPr>
        <w:pStyle w:val="IntrtEEE"/>
        <w:rPr>
          <w:noProof/>
        </w:rPr>
      </w:pPr>
      <w:r>
        <w:rPr>
          <w:noProof/>
        </w:rPr>
        <w:t>(ETA:n kannalta merkityksellinen teksti)</w:t>
      </w:r>
    </w:p>
    <w:p>
      <w:pPr>
        <w:pStyle w:val="ManualHeading1"/>
        <w:rPr>
          <w:noProof/>
          <w:sz w:val="22"/>
        </w:rPr>
      </w:pPr>
      <w:r>
        <w:rPr>
          <w:noProof/>
        </w:rPr>
        <w:t>1.</w:t>
      </w:r>
      <w:r>
        <w:rPr>
          <w:noProof/>
        </w:rPr>
        <w:tab/>
        <w:t>Tausta</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Päivä, jona ehdotus on toimitettu Euroopan parlamentille ja neuvostolle (COM(2013) 0579 final – 2013/0279(COD):</w:t>
            </w:r>
          </w:p>
        </w:tc>
        <w:tc>
          <w:tcPr>
            <w:tcW w:w="2483" w:type="dxa"/>
          </w:tcPr>
          <w:p>
            <w:pPr>
              <w:jc w:val="left"/>
              <w:rPr>
                <w:noProof/>
              </w:rPr>
            </w:pPr>
            <w:r>
              <w:rPr>
                <w:noProof/>
              </w:rPr>
              <w:t>8. elokuuta 2013</w:t>
            </w:r>
          </w:p>
        </w:tc>
      </w:tr>
      <w:tr>
        <w:tc>
          <w:tcPr>
            <w:tcW w:w="6804" w:type="dxa"/>
          </w:tcPr>
          <w:p>
            <w:pPr>
              <w:rPr>
                <w:noProof/>
              </w:rPr>
            </w:pPr>
            <w:r>
              <w:rPr>
                <w:noProof/>
              </w:rPr>
              <w:t>Päivä, jona Euroopan talous- ja sosiaalikomitea on antanut lausuntonsa:</w:t>
            </w:r>
          </w:p>
        </w:tc>
        <w:tc>
          <w:tcPr>
            <w:tcW w:w="2483" w:type="dxa"/>
          </w:tcPr>
          <w:p>
            <w:pPr>
              <w:jc w:val="left"/>
              <w:rPr>
                <w:noProof/>
              </w:rPr>
            </w:pPr>
            <w:r>
              <w:rPr>
                <w:noProof/>
              </w:rPr>
              <w:t>–</w:t>
            </w:r>
          </w:p>
        </w:tc>
      </w:tr>
      <w:tr>
        <w:tc>
          <w:tcPr>
            <w:tcW w:w="6804" w:type="dxa"/>
          </w:tcPr>
          <w:p>
            <w:pPr>
              <w:rPr>
                <w:noProof/>
              </w:rPr>
            </w:pPr>
            <w:r>
              <w:rPr>
                <w:noProof/>
              </w:rPr>
              <w:t>Päivä, jona Euroopan parlamentti on vahvistanut ensimmäisen käsittelyn kantansa:</w:t>
            </w:r>
          </w:p>
        </w:tc>
        <w:tc>
          <w:tcPr>
            <w:tcW w:w="2483" w:type="dxa"/>
          </w:tcPr>
          <w:p>
            <w:pPr>
              <w:jc w:val="left"/>
              <w:rPr>
                <w:noProof/>
              </w:rPr>
            </w:pPr>
            <w:r>
              <w:rPr>
                <w:noProof/>
              </w:rPr>
              <w:t>12. maaliskuuta 2014</w:t>
            </w:r>
          </w:p>
        </w:tc>
      </w:tr>
      <w:tr>
        <w:tc>
          <w:tcPr>
            <w:tcW w:w="6804" w:type="dxa"/>
          </w:tcPr>
          <w:p>
            <w:pPr>
              <w:rPr>
                <w:noProof/>
              </w:rPr>
            </w:pPr>
            <w:r>
              <w:rPr>
                <w:noProof/>
              </w:rPr>
              <w:t>Päivä, jona muutettu ehdotus on toimitettu:</w:t>
            </w:r>
          </w:p>
        </w:tc>
        <w:tc>
          <w:tcPr>
            <w:tcW w:w="2483" w:type="dxa"/>
          </w:tcPr>
          <w:p>
            <w:pPr>
              <w:jc w:val="left"/>
              <w:rPr>
                <w:noProof/>
              </w:rPr>
            </w:pPr>
            <w:r>
              <w:rPr>
                <w:noProof/>
              </w:rPr>
              <w:t>–</w:t>
            </w:r>
          </w:p>
        </w:tc>
      </w:tr>
      <w:tr>
        <w:tc>
          <w:tcPr>
            <w:tcW w:w="6804" w:type="dxa"/>
          </w:tcPr>
          <w:p>
            <w:pPr>
              <w:rPr>
                <w:noProof/>
              </w:rPr>
            </w:pPr>
            <w:r>
              <w:rPr>
                <w:noProof/>
              </w:rPr>
              <w:t>Päivä, jona neuvoston kanta on vahvistettu:</w:t>
            </w:r>
          </w:p>
        </w:tc>
        <w:tc>
          <w:tcPr>
            <w:tcW w:w="2483" w:type="dxa"/>
          </w:tcPr>
          <w:p>
            <w:pPr>
              <w:jc w:val="left"/>
              <w:rPr>
                <w:noProof/>
              </w:rPr>
            </w:pPr>
            <w:r>
              <w:rPr>
                <w:noProof/>
              </w:rPr>
              <w:t>16. kesäkuuta 2016</w:t>
            </w:r>
          </w:p>
        </w:tc>
      </w:tr>
    </w:tbl>
    <w:p>
      <w:pPr>
        <w:pStyle w:val="ManualHeading1"/>
        <w:rPr>
          <w:noProof/>
        </w:rPr>
      </w:pPr>
      <w:r>
        <w:rPr>
          <w:noProof/>
        </w:rPr>
        <w:t>2.</w:t>
      </w:r>
      <w:r>
        <w:rPr>
          <w:noProof/>
        </w:rPr>
        <w:tab/>
        <w:t>Komission ehdotuksen tavoite</w:t>
      </w:r>
    </w:p>
    <w:p>
      <w:pPr>
        <w:rPr>
          <w:noProof/>
        </w:rPr>
      </w:pPr>
      <w:r>
        <w:rPr>
          <w:noProof/>
        </w:rPr>
        <w:t xml:space="preserve">Komission ehdotuksen tavoitteena on muuttaa asetusta (EY) N:o 471/2009 sen linjaamiseksi Euroopan unionin toiminnasta tehdyn sopimuksen voimaantulon myötä syntyneen uuden institutionaalisen kehyksen mukaiseksi. </w:t>
      </w:r>
    </w:p>
    <w:p>
      <w:pPr>
        <w:rPr>
          <w:noProof/>
        </w:rPr>
      </w:pPr>
      <w:r>
        <w:rPr>
          <w:noProof/>
        </w:rPr>
        <w:t>Siinä ehdotetaan seuraavaa:</w:t>
      </w:r>
    </w:p>
    <w:p>
      <w:pPr>
        <w:ind w:left="567" w:hanging="425"/>
        <w:rPr>
          <w:i/>
          <w:noProof/>
        </w:rPr>
      </w:pPr>
      <w:r>
        <w:rPr>
          <w:noProof/>
        </w:rPr>
        <w:t>•</w:t>
      </w:r>
      <w:r>
        <w:rPr>
          <w:noProof/>
        </w:rPr>
        <w:tab/>
        <w:t>Komissiolle siirretään valta antaa delegoituja säädöksiä, joilla täydennetään tai muutetaan tiettyihin säännöksiin liittyviä sääntöjä, jotta voidaan ottaa huomioon tullikoodeksiin tai kansainvälisistä sopimuksista johtuviin säännöksiin tehtävät ja menetelmiin liittyvistä syistä tarvittavat muutokset sekä se, että tiedonkeruuseen ja tilastojen laatimiseen tarvitaan tehokas järjestelmä.</w:t>
      </w:r>
    </w:p>
    <w:p>
      <w:pPr>
        <w:ind w:left="567" w:hanging="425"/>
        <w:rPr>
          <w:noProof/>
        </w:rPr>
      </w:pPr>
      <w:r>
        <w:rPr>
          <w:noProof/>
        </w:rPr>
        <w:t>•</w:t>
      </w:r>
      <w:r>
        <w:rPr>
          <w:noProof/>
        </w:rPr>
        <w:tab/>
        <w:t>Komissiolle siirretään täytäntöönpanovalta hyväksyä tarkastelumenettelyn mukaisesti tiettyihin säännöksiin liittyviä toimenpiteitä, jotta asetuksen (EY) N:o 471/2009 täytäntöönpano tapahtuu yhtenäisellä tavalla.</w:t>
      </w:r>
    </w:p>
    <w:p>
      <w:pPr>
        <w:ind w:left="567" w:hanging="425"/>
        <w:rPr>
          <w:noProof/>
        </w:rPr>
      </w:pPr>
    </w:p>
    <w:p>
      <w:pPr>
        <w:ind w:left="567" w:hanging="425"/>
        <w:rPr>
          <w:noProof/>
        </w:rPr>
      </w:pPr>
      <w:r>
        <w:rPr>
          <w:noProof/>
        </w:rPr>
        <w:lastRenderedPageBreak/>
        <w:t>•</w:t>
      </w:r>
      <w:r>
        <w:rPr>
          <w:noProof/>
        </w:rPr>
        <w:tab/>
        <w:t>Viittaus Extrastat-komiteaan korvataan viittauksella Euroopan tilastojärjestelmää käsittelevään komiteaan Euroopan tilastojärjestelmän rakenteen yleisen uudistamisen ja keventämisen yhteydessä.</w:t>
      </w:r>
    </w:p>
    <w:p>
      <w:pPr>
        <w:pStyle w:val="ManualHeading1"/>
        <w:rPr>
          <w:noProof/>
        </w:rPr>
      </w:pPr>
      <w:r>
        <w:rPr>
          <w:noProof/>
        </w:rPr>
        <w:t>3.</w:t>
      </w:r>
      <w:r>
        <w:rPr>
          <w:noProof/>
        </w:rPr>
        <w:tab/>
        <w:t>Neuvoston kantaa koskevat huomautukset</w:t>
      </w:r>
    </w:p>
    <w:p>
      <w:pPr>
        <w:pStyle w:val="ManualHeading2"/>
        <w:rPr>
          <w:noProof/>
        </w:rPr>
      </w:pPr>
      <w:r>
        <w:rPr>
          <w:noProof/>
        </w:rPr>
        <w:t>3.1</w:t>
      </w:r>
      <w:r>
        <w:rPr>
          <w:noProof/>
        </w:rPr>
        <w:tab/>
        <w:t>Yleiset huomautukset</w:t>
      </w:r>
    </w:p>
    <w:p>
      <w:pPr>
        <w:widowControl w:val="0"/>
        <w:rPr>
          <w:noProof/>
        </w:rPr>
      </w:pPr>
      <w:r>
        <w:rPr>
          <w:noProof/>
        </w:rPr>
        <w:t>Neuvoston kanta noudattelee yhtäältä alustavaa poliittista yhteisymmärrystä, johon neuvosto, Euroopan parlamentin kansainvälisen kaupan valiokunta ja komissio pääsivät 8. joulukuuta 2014 käymässään epävirallisessa kolmikantakeskustelussa, ja toisaalta paremmasta lainsäädännöstä tehtyä toimielinten välistä uutta sopimusta,</w:t>
      </w:r>
      <w:r>
        <w:rPr>
          <w:rStyle w:val="FootnoteReference"/>
          <w:noProof/>
        </w:rPr>
        <w:footnoteReference w:id="1"/>
      </w:r>
      <w:r>
        <w:rPr>
          <w:noProof/>
        </w:rPr>
        <w:t xml:space="preserve"> joka hyväksyttiin ja tuli voimaan 13. huhtikuuta 2016. </w:t>
      </w:r>
    </w:p>
    <w:p>
      <w:pPr>
        <w:widowControl w:val="0"/>
        <w:rPr>
          <w:noProof/>
          <w:szCs w:val="24"/>
        </w:rPr>
      </w:pPr>
      <w:r>
        <w:rPr>
          <w:noProof/>
        </w:rPr>
        <w:t xml:space="preserve">Keskeinen asian etenemistä haitannut tekijä oli jäsenvaltioiden kuuleminen silloin, kun komissio valmistelee delegoituja säädöksiä. Tässä yhteydessä päätettiin odottaa, kunnes toimielinten välinen sopimus paremmasta lainsäädännöstä tulee voimaan. </w:t>
      </w:r>
    </w:p>
    <w:p>
      <w:pPr>
        <w:widowControl w:val="0"/>
        <w:rPr>
          <w:noProof/>
          <w:szCs w:val="24"/>
        </w:rPr>
      </w:pPr>
      <w:r>
        <w:rPr>
          <w:noProof/>
        </w:rPr>
        <w:t xml:space="preserve">Neuvosto vahvisti ensimmäisen käsittelyn kantansa 16. kesäkuuta 2016. Muutoksilla etupäässä täsmennetään tiettyjä jäsenvaltioiden velvoitteita (mm. tietojen toimittamisen määräaikoja) suoraan perussäädöksessä sen sijaan, että komissiolle siirrettäisiin valta määritellä ne delegoidussa säädöksessä, kuten aiemmin ehdotettiin.   Komissio katsoo, ettei näitä oikeudellisia velvoitteita tarvitse pitemmänkään päälle muuttaa ja ettei niiden siirtäminen delegoiduista säädöksistä perussäädökseen aiheuta joustavuuteen liittyviä ongelmia. Sen vuoksi komissio ei vastusta näitä neuvoston tekemiä muutoksia.  </w:t>
      </w:r>
    </w:p>
    <w:p>
      <w:pPr>
        <w:pStyle w:val="ManualHeading2"/>
        <w:rPr>
          <w:noProof/>
        </w:rPr>
      </w:pPr>
      <w:r>
        <w:rPr>
          <w:noProof/>
        </w:rPr>
        <w:t>3.2</w:t>
      </w:r>
      <w:r>
        <w:rPr>
          <w:noProof/>
        </w:rPr>
        <w:tab/>
        <w:t>Huomautukset Euroopan parlamentin esittämiin tarkistuksiin</w:t>
      </w:r>
    </w:p>
    <w:p>
      <w:pPr>
        <w:pStyle w:val="ManualHeading3"/>
        <w:rPr>
          <w:noProof/>
        </w:rPr>
      </w:pPr>
      <w:r>
        <w:rPr>
          <w:noProof/>
        </w:rPr>
        <w:t>3.2.1</w:t>
      </w:r>
      <w:r>
        <w:rPr>
          <w:noProof/>
        </w:rPr>
        <w:tab/>
        <w:t>Euroopan parlamentin tarkistukset, jotka on sisällytetty kokonaan, osittain tai periaatteessa neuvoston ensimmäisessä käsittelyssä vahvistamaan kantaan</w:t>
      </w:r>
    </w:p>
    <w:p>
      <w:pPr>
        <w:pStyle w:val="Text1"/>
        <w:ind w:left="0"/>
        <w:rPr>
          <w:noProof/>
        </w:rPr>
      </w:pPr>
      <w:r>
        <w:rPr>
          <w:noProof/>
        </w:rPr>
        <w:t>Alkuperäisessä ehdotuksessa komissiolle olisi siirretty valta antaa delegoituja säädöksiä määräämättömäksi ajaksi. Tämä säädösvallan siirto on nyt rajoitettu viiteen vuoteen, kuten Euroopan parlamentti tarkistuksessaan 7 ehdotti.</w:t>
      </w:r>
    </w:p>
    <w:p>
      <w:pPr>
        <w:pStyle w:val="ManualHeading3"/>
        <w:rPr>
          <w:noProof/>
        </w:rPr>
      </w:pPr>
      <w:r>
        <w:rPr>
          <w:noProof/>
        </w:rPr>
        <w:t>3.2.2</w:t>
      </w:r>
      <w:r>
        <w:rPr>
          <w:noProof/>
        </w:rPr>
        <w:tab/>
        <w:t>Euroopan parlamentin tarkistukset, joita ei ole sisällytetty neuvoston ensimmäisessä käsittelyssä vahvistamaan kantaan</w:t>
      </w:r>
    </w:p>
    <w:p>
      <w:pPr>
        <w:pStyle w:val="Text1"/>
        <w:ind w:left="0"/>
        <w:rPr>
          <w:noProof/>
        </w:rPr>
      </w:pPr>
      <w:r>
        <w:rPr>
          <w:noProof/>
        </w:rPr>
        <w:t xml:space="preserve">Euroopan parlamentti ehdotti ensimmäisessä käsittelyssään vuonna 2014 tarkistuksia, joilla olisi käytännössä poistettu kaikki komission ehdottamat komiteamenettelyvaltuudet. Neuvosto ja komissio eivät kumpikaan voineet tätä hyväksyä. </w:t>
      </w:r>
    </w:p>
    <w:p>
      <w:pPr>
        <w:pStyle w:val="ManualHeading2"/>
        <w:rPr>
          <w:noProof/>
        </w:rPr>
      </w:pPr>
      <w:r>
        <w:rPr>
          <w:noProof/>
        </w:rPr>
        <w:t>3.3</w:t>
      </w:r>
      <w:r>
        <w:rPr>
          <w:noProof/>
        </w:rPr>
        <w:tab/>
        <w:t>Neuvoston esittämät uudet säännökset ja komission kanta niihin</w:t>
      </w:r>
    </w:p>
    <w:p>
      <w:pPr>
        <w:pStyle w:val="Text1"/>
        <w:ind w:left="0"/>
        <w:rPr>
          <w:noProof/>
        </w:rPr>
      </w:pPr>
      <w:r>
        <w:rPr>
          <w:noProof/>
        </w:rPr>
        <w:t>Luonnoksen johdanto- ja säädösosaan tehtiin paremmasta lainsäädännöstä 13. huhtikuuta 2016 tehdyn toimielinten välisen sopimuksen mukaiset lisäykset. Komissio kannattaa tätä lisäystä täysin.</w:t>
      </w:r>
    </w:p>
    <w:p>
      <w:pPr>
        <w:widowControl w:val="0"/>
        <w:rPr>
          <w:noProof/>
        </w:rPr>
      </w:pPr>
    </w:p>
    <w:p>
      <w:pPr>
        <w:pStyle w:val="ManualHeading1"/>
        <w:rPr>
          <w:noProof/>
        </w:rPr>
      </w:pPr>
      <w:r>
        <w:rPr>
          <w:noProof/>
        </w:rPr>
        <w:lastRenderedPageBreak/>
        <w:t>4.</w:t>
      </w:r>
      <w:r>
        <w:rPr>
          <w:noProof/>
        </w:rPr>
        <w:tab/>
        <w:t>Päätelmät</w:t>
      </w:r>
    </w:p>
    <w:p>
      <w:pPr>
        <w:rPr>
          <w:noProof/>
        </w:rPr>
      </w:pPr>
      <w:r>
        <w:rPr>
          <w:noProof/>
        </w:rPr>
        <w:t>Komissio tukee saavutettua kompromissia, joka istuu komission pyrkimyksiin yhdenmukaistaa Lissabonin sopimusta edeltävää lainsäädäntöä. Kompromissi edustaa hyvin komission alkuperäisessä ehdotuksessa esitettyä delegoitujen ja täytäntöönpanosäädösten välistä tasapainoa. Se on myös hyvä esimerkki uuden paremmasta lainsäädännöstä tehdyn toimielinten välisen sopimuksen soveltamisesta.</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tab/>
        <w:t>EUVL L 123, 12.5.2016,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C1895C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8FC94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C00664C"/>
    <w:lvl w:ilvl="0">
      <w:start w:val="1"/>
      <w:numFmt w:val="decimal"/>
      <w:pStyle w:val="ListNumber2"/>
      <w:lvlText w:val="%1."/>
      <w:lvlJc w:val="left"/>
      <w:pPr>
        <w:tabs>
          <w:tab w:val="num" w:pos="643"/>
        </w:tabs>
        <w:ind w:left="643" w:hanging="360"/>
      </w:pPr>
    </w:lvl>
  </w:abstractNum>
  <w:abstractNum w:abstractNumId="3">
    <w:nsid w:val="FFFFFF81"/>
    <w:multiLevelType w:val="singleLevel"/>
    <w:tmpl w:val="8ED8823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AEEA4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A320D2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9309C8E"/>
    <w:lvl w:ilvl="0">
      <w:start w:val="1"/>
      <w:numFmt w:val="decimal"/>
      <w:pStyle w:val="ListNumber"/>
      <w:lvlText w:val="%1."/>
      <w:lvlJc w:val="left"/>
      <w:pPr>
        <w:tabs>
          <w:tab w:val="num" w:pos="360"/>
        </w:tabs>
        <w:ind w:left="360" w:hanging="360"/>
      </w:pPr>
    </w:lvl>
  </w:abstractNum>
  <w:abstractNum w:abstractNumId="7">
    <w:nsid w:val="FFFFFF89"/>
    <w:multiLevelType w:val="singleLevel"/>
    <w:tmpl w:val="822E92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revisionView w:markup="0"/>
  <w:doNotTrackFormatting/>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6-21 14:58:0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4FAE7FC239B748A8AD1EFCC1E049C787"/>
    <w:docVar w:name="LW_CROSSREFERENCE" w:val="&lt;UNUSED&gt;"/>
    <w:docVar w:name="LW_DocType" w:val="COM"/>
    <w:docVar w:name="LW_EMISSION" w:val="21.6.2016"/>
    <w:docVar w:name="LW_EMISSION_ISODATE" w:val="2016-06-21"/>
    <w:docVar w:name="LW_EMISSION_LOCATION" w:val="BRX"/>
    <w:docVar w:name="LW_EMISSION_PREFIX" w:val="Bryssel "/>
    <w:docVar w:name="LW_EMISSION_SUFFIX" w:val=" "/>
    <w:docVar w:name="LW_ID_DOCMODEL" w:val="SJ-028"/>
    <w:docVar w:name="LW_ID_DOCSTRUCTURE" w:val="COM/PL/CODEC"/>
    <w:docVar w:name="LW_ID_DOCTYPE" w:val="SJ-028"/>
    <w:docVar w:name="LW_INTERETEEE.CP" w:val="(ETA:n kannalta merkityksellinen teksti)"/>
    <w:docVar w:name="LW_LANGUE" w:val="FI"/>
    <w:docVar w:name="LW_MARKING" w:val="&lt;UNUSED&gt;"/>
    <w:docVar w:name="LW_NOM.INST" w:val="EUROOPAN KOMISSIO"/>
    <w:docVar w:name="LW_NOM.INST_JOINTDOC" w:val="&lt;EMPTY&gt;"/>
    <w:docVar w:name="LW_PART_NBR" w:val="1"/>
    <w:docVar w:name="LW_PART_NBR_TOTAL" w:val="1"/>
    <w:docVar w:name="LW_REF.II.NEW.CP" w:val="COD"/>
    <w:docVar w:name="LW_REF.II.NEW.CP_NUMBER" w:val="0279"/>
    <w:docVar w:name="LW_REF.II.NEW.CP_YEAR" w:val="2013"/>
    <w:docVar w:name="LW_REF.INST.NEW" w:val="COM"/>
    <w:docVar w:name="LW_REF.INST.NEW_ADOPTED" w:val="final"/>
    <w:docVar w:name="LW_REF.INST.NEW_TEXT" w:val="(2016) 420"/>
    <w:docVar w:name="LW_REF.INTERNE" w:val="&lt;UNUSED&gt;"/>
    <w:docVar w:name="LW_SOUS.TITRE.OBJ.CP" w:val="&lt;UNUSED&gt;"/>
    <w:docVar w:name="LW_SUPERTITRE" w:val="&lt;UNUSED&gt;"/>
    <w:docVar w:name="LW_TITRE.OBJ.CP" w:val="neuvoston kannasta ehdotukseen Euroopan parlamentin ja neuvoston asetukseksi kolmansien maiden kanssa käytävää ulkomaankauppaa koskevista yhteisön tilastoista annetun neuvoston asetuksen (EY) N:o 471/2009 muuttamisesta siltä osin kuin on kyse säädösvallan ja täytäntöönpanovallan siirtämisestä komissiolle tiettyjen toimenpiteiden hyväksymiseksi"/>
    <w:docVar w:name="LW_TYPE.DOC.CP" w:val="KOMISSION TIEDONANTO_x000b_EUROOPAN PARLAMENTILLE_x000b__x000b_Euroopan unionin toiminnasta tehdyn sopimuksen 294 artiklan 6 kohdan mukaisest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4F949-382D-4DFC-836C-EE39B5AF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509</Words>
  <Characters>4289</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2016-06-20T16:13:00Z</dcterms:created>
  <dcterms:modified xsi:type="dcterms:W3CDTF">2016-06-21T12:58:00Z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COM/PL/CODEC</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SJ-028</vt:lpwstr>
  </property>
  <property fmtid="{D5CDD505-2E9C-101B-9397-08002B2CF9AE}" pid="8" name="DQCStatus">
    <vt:lpwstr>Green (DQC version 03)</vt:lpwstr>
  </property>
</Properties>
</file>