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DB" w:rsidRDefault="00CB18D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5A3F392B2EA4B0881C678C13AAC3D83" style="width:446.25pt;height:352.5pt">
            <v:imagedata r:id="rId8" o:title=""/>
          </v:shape>
        </w:pict>
      </w:r>
    </w:p>
    <w:p w:rsidR="00CB18DB" w:rsidRDefault="00CB18DB">
      <w:pPr>
        <w:rPr>
          <w:noProof/>
        </w:rPr>
        <w:sectPr w:rsidR="00CB18DB">
          <w:footerReference w:type="default" r:id="rId9"/>
          <w:pgSz w:w="11907" w:h="16839"/>
          <w:pgMar w:top="1134" w:right="1417" w:bottom="1134" w:left="1417" w:header="709" w:footer="709" w:gutter="0"/>
          <w:pgNumType w:start="1"/>
          <w:cols w:space="720"/>
          <w:docGrid w:linePitch="360"/>
        </w:sectPr>
      </w:pPr>
    </w:p>
    <w:p w:rsidR="00CB18DB" w:rsidRDefault="00CB18DB">
      <w:pPr>
        <w:pStyle w:val="Exposdesmotifstitre"/>
        <w:rPr>
          <w:noProof/>
        </w:rPr>
      </w:pPr>
      <w:r>
        <w:rPr>
          <w:noProof/>
        </w:rPr>
        <w:t>PERUSTELUT</w:t>
      </w:r>
    </w:p>
    <w:p w:rsidR="00CB18DB" w:rsidRDefault="00CB18DB">
      <w:pPr>
        <w:pStyle w:val="ManualHeading1"/>
        <w:rPr>
          <w:noProof/>
        </w:rPr>
      </w:pPr>
      <w:r>
        <w:rPr>
          <w:noProof/>
        </w:rPr>
        <w:t>1.</w:t>
      </w:r>
      <w:r>
        <w:rPr>
          <w:noProof/>
        </w:rPr>
        <w:tab/>
        <w:t>EHDOTUKSEN TAUSTA</w:t>
      </w:r>
    </w:p>
    <w:p w:rsidR="00CB18DB" w:rsidRDefault="00CB18DB">
      <w:pPr>
        <w:pStyle w:val="ManualHeading2"/>
        <w:rPr>
          <w:rFonts w:eastAsia="Arial Unicode MS"/>
          <w:noProof/>
        </w:rPr>
      </w:pPr>
      <w:r>
        <w:rPr>
          <w:noProof/>
          <w:color w:val="000000"/>
        </w:rPr>
        <w:t>•</w:t>
      </w:r>
      <w:r>
        <w:rPr>
          <w:noProof/>
          <w:color w:val="000000"/>
        </w:rPr>
        <w:tab/>
      </w:r>
      <w:r>
        <w:rPr>
          <w:noProof/>
        </w:rPr>
        <w:t>Ehdotuksen perustelut ja tavoitteet</w:t>
      </w:r>
    </w:p>
    <w:p w:rsidR="00CB18DB" w:rsidRDefault="00CB18DB">
      <w:pPr>
        <w:rPr>
          <w:noProof/>
        </w:rPr>
      </w:pPr>
      <w:r>
        <w:rPr>
          <w:noProof/>
        </w:rPr>
        <w:t>Neuvoston asetuksessa (EU) 2016/72 vahvistetaan unionin vesillä ja unionin aluksiin tietyillä unionin ulkopuolisilla vesillä sovellettavien tiettyjen kalakantojen ja kalakantaryhmien kalastusmahdollisuudet vuodeksi 2016. Kyseisiä kalastusmahdollisuuksia muutetaan niiden voimassaoloaikana yleensä useita kertoja.</w:t>
      </w:r>
    </w:p>
    <w:p w:rsidR="00CB18DB" w:rsidRDefault="00CB18DB">
      <w:pPr>
        <w:pStyle w:val="ManualHeading2"/>
        <w:rPr>
          <w:rFonts w:eastAsia="Arial Unicode MS"/>
          <w:noProof/>
          <w:color w:val="000000"/>
        </w:rPr>
      </w:pPr>
      <w:r>
        <w:rPr>
          <w:noProof/>
          <w:color w:val="000000"/>
        </w:rPr>
        <w:t>•</w:t>
      </w:r>
      <w:r>
        <w:rPr>
          <w:noProof/>
          <w:color w:val="000000"/>
        </w:rPr>
        <w:tab/>
      </w:r>
      <w:r>
        <w:rPr>
          <w:noProof/>
        </w:rPr>
        <w:t>Yhdenmukaisuus muiden alaa koskevien politiikkojen säännösten kanssa</w:t>
      </w:r>
    </w:p>
    <w:p w:rsidR="00CB18DB" w:rsidRDefault="00CB18DB">
      <w:pPr>
        <w:rPr>
          <w:noProof/>
        </w:rPr>
      </w:pPr>
      <w:r>
        <w:rPr>
          <w:noProof/>
        </w:rPr>
        <w:t>Ehdotetut toimenpiteet on suunniteltu yhteisen kalastuspolitiikan tavoitteiden ja sääntöjen mukaisesti, ja ne ovat yhdenmukaisia kestävää kehitystä koskevan unionin politiikan kanssa.</w:t>
      </w:r>
    </w:p>
    <w:p w:rsidR="00CB18DB" w:rsidRDefault="00CB18DB">
      <w:pPr>
        <w:pStyle w:val="ManualHeading2"/>
        <w:rPr>
          <w:rFonts w:eastAsia="Arial Unicode MS"/>
          <w:noProof/>
        </w:rPr>
      </w:pPr>
      <w:r>
        <w:rPr>
          <w:noProof/>
          <w:color w:val="000000"/>
        </w:rPr>
        <w:t>•</w:t>
      </w:r>
      <w:r>
        <w:rPr>
          <w:noProof/>
          <w:color w:val="000000"/>
        </w:rPr>
        <w:tab/>
      </w:r>
      <w:r>
        <w:rPr>
          <w:noProof/>
        </w:rPr>
        <w:t>Yhdenmukaisuus unionin muiden politiikkojen kanssa</w:t>
      </w:r>
    </w:p>
    <w:p w:rsidR="00CB18DB" w:rsidRDefault="00CB18DB">
      <w:pPr>
        <w:rPr>
          <w:noProof/>
        </w:rPr>
      </w:pPr>
      <w:r>
        <w:rPr>
          <w:noProof/>
        </w:rPr>
        <w:t>Ehdotetut toimenpiteet ovat johdonmukaisia suhteessa unionin muuhun politiikkaan, erityisesti ympäristön alalla.</w:t>
      </w:r>
    </w:p>
    <w:p w:rsidR="00CB18DB" w:rsidRDefault="00CB18DB">
      <w:pPr>
        <w:pStyle w:val="ManualHeading1"/>
        <w:rPr>
          <w:noProof/>
        </w:rPr>
      </w:pPr>
      <w:r>
        <w:rPr>
          <w:noProof/>
        </w:rPr>
        <w:t>2.</w:t>
      </w:r>
      <w:r>
        <w:rPr>
          <w:noProof/>
        </w:rPr>
        <w:tab/>
        <w:t>OIKEUSPERUSTA, TOISSIJAISUUSPERIAATE JA SUHTEELLISUUSPERIAATE</w:t>
      </w:r>
    </w:p>
    <w:p w:rsidR="00CB18DB" w:rsidRDefault="00CB18DB">
      <w:pPr>
        <w:pStyle w:val="ManualHeading2"/>
        <w:rPr>
          <w:rFonts w:eastAsia="Arial Unicode MS"/>
          <w:noProof/>
        </w:rPr>
      </w:pPr>
      <w:r>
        <w:rPr>
          <w:noProof/>
        </w:rPr>
        <w:t>•</w:t>
      </w:r>
      <w:r>
        <w:rPr>
          <w:noProof/>
        </w:rPr>
        <w:tab/>
        <w:t>Oikeusperusta</w:t>
      </w:r>
    </w:p>
    <w:p w:rsidR="00CB18DB" w:rsidRDefault="00CB18DB">
      <w:pPr>
        <w:rPr>
          <w:noProof/>
        </w:rPr>
      </w:pPr>
      <w:r>
        <w:rPr>
          <w:noProof/>
        </w:rPr>
        <w:t xml:space="preserve">Ehdotuksen oikeusperusta on Euroopan unionin toiminnasta tehdyn sopimuksen 43 artiklan 3 kohta. </w:t>
      </w:r>
    </w:p>
    <w:p w:rsidR="00CB18DB" w:rsidRDefault="00CB18DB">
      <w:pPr>
        <w:rPr>
          <w:noProof/>
        </w:rPr>
      </w:pPr>
      <w:r>
        <w:rPr>
          <w:noProof/>
        </w:rPr>
        <w:t>Elollisten vesiluonnonvarojen kestävää hyödyntämistä koskevat unionin velvollisuudet perustuvat uuden YKP-perusasetuksen 2 artiklassa vahvistettuihin velvollisuuksiin.</w:t>
      </w:r>
    </w:p>
    <w:p w:rsidR="00CB18DB" w:rsidRDefault="00CB18DB">
      <w:pPr>
        <w:pStyle w:val="ManualHeading2"/>
        <w:rPr>
          <w:rFonts w:eastAsia="Arial Unicode MS"/>
          <w:noProof/>
        </w:rPr>
      </w:pPr>
      <w:r>
        <w:rPr>
          <w:noProof/>
        </w:rPr>
        <w:t>•</w:t>
      </w:r>
      <w:r>
        <w:rPr>
          <w:noProof/>
        </w:rPr>
        <w:tab/>
        <w:t xml:space="preserve">Toissijaisuusperiaate (jaetun toimivallan osalta) </w:t>
      </w:r>
    </w:p>
    <w:p w:rsidR="00CB18DB" w:rsidRDefault="00CB18DB">
      <w:pPr>
        <w:spacing w:after="0"/>
        <w:rPr>
          <w:noProof/>
        </w:rPr>
      </w:pPr>
      <w:r>
        <w:rPr>
          <w:noProof/>
        </w:rPr>
        <w:t>Ehdotus kuuluu perussopimuksen 3 artiklan 1 kohdan d alakohdassa tarkoitettuun unionin yksinomaiseen toimivaltaan. Sen vuoksi toissijaisuusperiaatetta ei sovelleta.</w:t>
      </w:r>
    </w:p>
    <w:p w:rsidR="00CB18DB" w:rsidRDefault="00CB18DB">
      <w:pPr>
        <w:pStyle w:val="ManualHeading2"/>
        <w:rPr>
          <w:rFonts w:eastAsia="Arial Unicode MS"/>
          <w:noProof/>
        </w:rPr>
      </w:pPr>
      <w:r>
        <w:rPr>
          <w:noProof/>
        </w:rPr>
        <w:t>•</w:t>
      </w:r>
      <w:r>
        <w:rPr>
          <w:noProof/>
        </w:rPr>
        <w:tab/>
        <w:t>Suhteellisuusperiaate</w:t>
      </w:r>
    </w:p>
    <w:p w:rsidR="00CB18DB" w:rsidRDefault="00CB18DB">
      <w:pPr>
        <w:spacing w:before="0" w:after="240"/>
        <w:rPr>
          <w:rFonts w:eastAsia="Arial Unicode MS"/>
          <w:noProof/>
        </w:rPr>
      </w:pPr>
      <w:r>
        <w:rPr>
          <w:noProof/>
        </w:rPr>
        <w:t>Ehdotus on suhteellisuusperiaatteen mukainen seuraavasta syystä: Yhteinen kalastuspolitiikka on yhteistä politiikkaa. Perussopimuksen 43 artiklan 3 kohdan mukaan neuvoston tehtävänä on hyväksyä kalastusmahdollisuuksien vahvistamista ja jakamista koskevat toimenpiteet.</w:t>
      </w:r>
    </w:p>
    <w:p w:rsidR="00CB18DB" w:rsidRDefault="00CB18DB">
      <w:pPr>
        <w:pStyle w:val="ManualHeading2"/>
        <w:rPr>
          <w:rFonts w:eastAsia="Arial Unicode MS"/>
          <w:noProof/>
        </w:rPr>
      </w:pPr>
      <w:r>
        <w:rPr>
          <w:noProof/>
        </w:rPr>
        <w:t>•</w:t>
      </w:r>
      <w:r>
        <w:rPr>
          <w:noProof/>
        </w:rPr>
        <w:tab/>
        <w:t>Toimintatavan valinta</w:t>
      </w:r>
    </w:p>
    <w:p w:rsidR="00CB18DB" w:rsidRDefault="00CB18DB">
      <w:pPr>
        <w:spacing w:after="0"/>
        <w:rPr>
          <w:noProof/>
        </w:rPr>
      </w:pPr>
      <w:r>
        <w:rPr>
          <w:noProof/>
        </w:rPr>
        <w:t xml:space="preserve">Ehdotettu sääntelytapa: asetus. </w:t>
      </w:r>
    </w:p>
    <w:p w:rsidR="00CB18DB" w:rsidRDefault="00CB18DB">
      <w:pPr>
        <w:pStyle w:val="ManualHeading1"/>
        <w:rPr>
          <w:noProof/>
        </w:rPr>
      </w:pPr>
      <w:r>
        <w:rPr>
          <w:noProof/>
        </w:rPr>
        <w:t>3.</w:t>
      </w:r>
      <w:r>
        <w:rPr>
          <w:noProof/>
        </w:rPr>
        <w:tab/>
        <w:t>JÄLKIARVIOINTIEN, SIDOSRYHMIEN KUULEMISTEN JA VAIKUTUSTENARVIOINTIEN TULOKSET</w:t>
      </w:r>
    </w:p>
    <w:p w:rsidR="00CB18DB" w:rsidRDefault="00CB18DB">
      <w:pPr>
        <w:pStyle w:val="ManualHeading2"/>
        <w:rPr>
          <w:rFonts w:eastAsia="Arial Unicode MS"/>
          <w:noProof/>
        </w:rPr>
      </w:pPr>
      <w:r>
        <w:rPr>
          <w:noProof/>
        </w:rPr>
        <w:t>•</w:t>
      </w:r>
      <w:r>
        <w:rPr>
          <w:noProof/>
        </w:rPr>
        <w:tab/>
        <w:t>Jälkiarvioinnit/toimivuustarkastukset</w:t>
      </w:r>
    </w:p>
    <w:p w:rsidR="00CB18DB" w:rsidRDefault="00CB18DB">
      <w:pPr>
        <w:spacing w:before="0" w:after="240"/>
        <w:rPr>
          <w:noProof/>
        </w:rPr>
      </w:pPr>
      <w:r>
        <w:rPr>
          <w:noProof/>
        </w:rPr>
        <w:t>Ei sovelleta</w:t>
      </w:r>
    </w:p>
    <w:p w:rsidR="00CB18DB" w:rsidRDefault="00CB18DB">
      <w:pPr>
        <w:pStyle w:val="ManualHeading2"/>
        <w:rPr>
          <w:rFonts w:eastAsia="Arial Unicode MS"/>
          <w:noProof/>
        </w:rPr>
      </w:pPr>
      <w:r>
        <w:rPr>
          <w:noProof/>
        </w:rPr>
        <w:t>•</w:t>
      </w:r>
      <w:r>
        <w:rPr>
          <w:noProof/>
        </w:rPr>
        <w:tab/>
        <w:t>Sidosryhmien kuuleminen</w:t>
      </w:r>
    </w:p>
    <w:p w:rsidR="00CB18DB" w:rsidRDefault="00CB18DB">
      <w:pPr>
        <w:spacing w:before="0" w:after="240"/>
        <w:rPr>
          <w:noProof/>
        </w:rPr>
      </w:pPr>
      <w:r>
        <w:rPr>
          <w:noProof/>
        </w:rPr>
        <w:t xml:space="preserve">Ehdotuksessa otetaan huomioon sidosryhmiltä ja kansallisilta viranomaisilta saatu palaute. </w:t>
      </w:r>
    </w:p>
    <w:p w:rsidR="00CB18DB" w:rsidRDefault="00CB18DB">
      <w:pPr>
        <w:pStyle w:val="ManualHeading2"/>
        <w:rPr>
          <w:rFonts w:eastAsia="Arial Unicode MS"/>
          <w:noProof/>
        </w:rPr>
      </w:pPr>
      <w:r>
        <w:rPr>
          <w:noProof/>
        </w:rPr>
        <w:t>•</w:t>
      </w:r>
      <w:r>
        <w:rPr>
          <w:noProof/>
        </w:rPr>
        <w:tab/>
        <w:t>Asiantuntijatiedon keruu ja käyttö</w:t>
      </w:r>
    </w:p>
    <w:p w:rsidR="00CB18DB" w:rsidRDefault="00CB18DB">
      <w:pPr>
        <w:spacing w:before="0" w:after="240"/>
        <w:rPr>
          <w:rFonts w:eastAsia="Arial Unicode MS"/>
          <w:noProof/>
        </w:rPr>
      </w:pPr>
      <w:r>
        <w:rPr>
          <w:noProof/>
        </w:rPr>
        <w:t>Ehdotus perustuu kansainvälisen merentutkimusneuvoston (ICES) antamiin tieteellisiin lausuntoihin.</w:t>
      </w:r>
    </w:p>
    <w:p w:rsidR="00CB18DB" w:rsidRDefault="00CB18DB">
      <w:pPr>
        <w:pStyle w:val="ManualHeading2"/>
        <w:rPr>
          <w:rFonts w:eastAsia="Arial Unicode MS"/>
          <w:noProof/>
        </w:rPr>
      </w:pPr>
      <w:r>
        <w:rPr>
          <w:noProof/>
        </w:rPr>
        <w:t>•</w:t>
      </w:r>
      <w:r>
        <w:rPr>
          <w:noProof/>
        </w:rPr>
        <w:tab/>
        <w:t>Vaikutustenarviointi</w:t>
      </w:r>
    </w:p>
    <w:p w:rsidR="00CB18DB" w:rsidRDefault="00CB18DB">
      <w:pPr>
        <w:rPr>
          <w:noProof/>
        </w:rPr>
      </w:pPr>
      <w:r>
        <w:rPr>
          <w:noProof/>
        </w:rPr>
        <w:t>Kalastusmahdollisuuksia koskevan asetuksen soveltamisala rajataan perussopimuksen 43 artiklan 3 kohdassa.</w:t>
      </w:r>
    </w:p>
    <w:p w:rsidR="00CB18DB" w:rsidRDefault="00CB18DB">
      <w:pPr>
        <w:pStyle w:val="ManualHeading2"/>
        <w:rPr>
          <w:rFonts w:eastAsia="Arial Unicode MS"/>
          <w:noProof/>
        </w:rPr>
      </w:pPr>
      <w:r>
        <w:rPr>
          <w:noProof/>
        </w:rPr>
        <w:t>•</w:t>
      </w:r>
      <w:r>
        <w:rPr>
          <w:noProof/>
        </w:rPr>
        <w:tab/>
        <w:t>Sääntelyn toimivuus ja yksinkertaistaminen</w:t>
      </w:r>
    </w:p>
    <w:p w:rsidR="00CB18DB" w:rsidRDefault="00CB18DB">
      <w:pPr>
        <w:spacing w:before="0" w:after="240"/>
        <w:rPr>
          <w:noProof/>
        </w:rPr>
      </w:pPr>
      <w:r>
        <w:rPr>
          <w:noProof/>
        </w:rPr>
        <w:t>Ei sovelleta</w:t>
      </w:r>
    </w:p>
    <w:p w:rsidR="00CB18DB" w:rsidRDefault="00CB18DB">
      <w:pPr>
        <w:pStyle w:val="ManualHeading2"/>
        <w:rPr>
          <w:rFonts w:eastAsia="Arial Unicode MS"/>
          <w:noProof/>
        </w:rPr>
      </w:pPr>
      <w:r>
        <w:rPr>
          <w:noProof/>
        </w:rPr>
        <w:t>•</w:t>
      </w:r>
      <w:r>
        <w:rPr>
          <w:noProof/>
        </w:rPr>
        <w:tab/>
        <w:t>Perusoikeudet</w:t>
      </w:r>
    </w:p>
    <w:p w:rsidR="00CB18DB" w:rsidRDefault="00CB18DB">
      <w:pPr>
        <w:spacing w:before="0" w:after="240"/>
        <w:rPr>
          <w:noProof/>
        </w:rPr>
      </w:pPr>
      <w:r>
        <w:rPr>
          <w:noProof/>
        </w:rPr>
        <w:t>Ei sovelleta</w:t>
      </w:r>
    </w:p>
    <w:p w:rsidR="00CB18DB" w:rsidRDefault="00CB18DB">
      <w:pPr>
        <w:pStyle w:val="ManualHeading1"/>
        <w:rPr>
          <w:noProof/>
        </w:rPr>
      </w:pPr>
      <w:r>
        <w:rPr>
          <w:noProof/>
        </w:rPr>
        <w:t>4.</w:t>
      </w:r>
      <w:r>
        <w:rPr>
          <w:noProof/>
        </w:rPr>
        <w:tab/>
        <w:t>TALOUSARVIOVAIKUTUKSET</w:t>
      </w:r>
    </w:p>
    <w:p w:rsidR="00CB18DB" w:rsidRDefault="00CB18DB">
      <w:pPr>
        <w:spacing w:before="0" w:after="240"/>
        <w:rPr>
          <w:noProof/>
        </w:rPr>
      </w:pPr>
      <w:r>
        <w:rPr>
          <w:noProof/>
        </w:rPr>
        <w:t>Ehdotetuilla toimenpiteillä ei ole vaikutuksia talousarvioon.</w:t>
      </w:r>
    </w:p>
    <w:p w:rsidR="00CB18DB" w:rsidRDefault="00CB18DB">
      <w:pPr>
        <w:pStyle w:val="ManualHeading1"/>
        <w:rPr>
          <w:noProof/>
        </w:rPr>
      </w:pPr>
      <w:r>
        <w:rPr>
          <w:noProof/>
        </w:rPr>
        <w:t>5.</w:t>
      </w:r>
      <w:r>
        <w:rPr>
          <w:noProof/>
        </w:rPr>
        <w:tab/>
        <w:t>LISÄTIEDOT</w:t>
      </w:r>
    </w:p>
    <w:p w:rsidR="00CB18DB" w:rsidRDefault="00CB18DB">
      <w:pPr>
        <w:pStyle w:val="ManualHeading2"/>
        <w:rPr>
          <w:rFonts w:eastAsia="Arial Unicode MS"/>
          <w:noProof/>
        </w:rPr>
      </w:pPr>
      <w:r>
        <w:rPr>
          <w:noProof/>
        </w:rPr>
        <w:t>•</w:t>
      </w:r>
      <w:r>
        <w:rPr>
          <w:noProof/>
        </w:rPr>
        <w:tab/>
        <w:t>Ehdotukseen sisältyvien säännösten yksityiskohtaiset selitykset</w:t>
      </w:r>
    </w:p>
    <w:p w:rsidR="00CB18DB" w:rsidRDefault="00CB18DB">
      <w:pPr>
        <w:rPr>
          <w:noProof/>
        </w:rPr>
      </w:pPr>
      <w:r>
        <w:rPr>
          <w:noProof/>
        </w:rPr>
        <w:t xml:space="preserve">Ehdotetuilla muutoksilla on tarkoitus muuttaa asetusta (EU) 2016/72 jäljempänä esitetyllä tavalla. </w:t>
      </w:r>
    </w:p>
    <w:p w:rsidR="00CB18DB" w:rsidRDefault="00CB18DB">
      <w:pPr>
        <w:rPr>
          <w:noProof/>
        </w:rPr>
      </w:pPr>
      <w:r>
        <w:rPr>
          <w:noProof/>
        </w:rPr>
        <w:t>Asetuksessa (EU) 2016/72, sellaisena kuin se on muutettuna neuvoston asetuksella (EU) 2016/458, tuulenkalan suurin sallittu saalis (TAC) ICES-alueilla IIa ja IIIa sekä ICES-suuralueella IV sijaitsevilla unionin vesillä on vahvistettu 79 219 tonniksi ja tuulenkalan saalisrajoitus kalastuksenhoitoalueella 1 on vahvistettu 13 000 tonniksi.  Tuulenkala on lyhytikäinen laji, ja sitä koskevan reaaliaikaisen seurannan tulokset ovat saatavilla vasta toukokuun puolivälissä. Sen vuoksi kyseistä aluetta koskevaa TAC-rajoitusta on muutettava kyseisten tulosten ja ICESin tuoreimman lausunnon mukaisesti.</w:t>
      </w:r>
    </w:p>
    <w:p w:rsidR="00CB18DB" w:rsidRDefault="00CB18DB">
      <w:pPr>
        <w:rPr>
          <w:noProof/>
        </w:rPr>
      </w:pPr>
      <w:r>
        <w:rPr>
          <w:noProof/>
        </w:rPr>
        <w:br w:type="page"/>
      </w:r>
    </w:p>
    <w:p w:rsidR="00CB18DB" w:rsidRDefault="00CB18DB">
      <w:pPr>
        <w:pStyle w:val="Rfrenceinterinstitutionnelle"/>
        <w:rPr>
          <w:noProof/>
        </w:rPr>
      </w:pPr>
      <w:r>
        <w:rPr>
          <w:noProof/>
        </w:rPr>
        <w:t>2016/0128 (NLE)</w:t>
      </w:r>
    </w:p>
    <w:p w:rsidR="00CB18DB" w:rsidRDefault="00CB18DB">
      <w:pPr>
        <w:pStyle w:val="Statut"/>
        <w:rPr>
          <w:noProof/>
        </w:rPr>
      </w:pPr>
      <w:r>
        <w:rPr>
          <w:noProof/>
        </w:rPr>
        <w:t>Ehdotus</w:t>
      </w:r>
    </w:p>
    <w:p w:rsidR="00CB18DB" w:rsidRDefault="00CB18DB">
      <w:pPr>
        <w:pStyle w:val="Typedudocument"/>
        <w:rPr>
          <w:noProof/>
        </w:rPr>
      </w:pPr>
      <w:r>
        <w:rPr>
          <w:noProof/>
        </w:rPr>
        <w:t>NEUVOSTON ASETUS</w:t>
      </w:r>
    </w:p>
    <w:p w:rsidR="00CB18DB" w:rsidRDefault="00CB18DB">
      <w:pPr>
        <w:pStyle w:val="Titreobjet"/>
        <w:rPr>
          <w:noProof/>
        </w:rPr>
      </w:pPr>
      <w:r>
        <w:rPr>
          <w:noProof/>
        </w:rPr>
        <w:t>asetuksen (EU) 2016/72 muuttamisesta tuulenkalan kalastusmahdollisuuksien osalta tietyillä unionin vesillä</w:t>
      </w:r>
    </w:p>
    <w:p w:rsidR="00CB18DB" w:rsidRDefault="00CB18DB">
      <w:pPr>
        <w:pStyle w:val="Institutionquiagit"/>
        <w:rPr>
          <w:noProof/>
        </w:rPr>
      </w:pPr>
      <w:r>
        <w:rPr>
          <w:noProof/>
        </w:rPr>
        <w:t>EUROOPAN UNIONIN NEUVOSTO, joka</w:t>
      </w:r>
    </w:p>
    <w:p w:rsidR="00CB18DB" w:rsidRDefault="00CB18DB">
      <w:pPr>
        <w:rPr>
          <w:noProof/>
        </w:rPr>
      </w:pPr>
      <w:r>
        <w:rPr>
          <w:noProof/>
        </w:rPr>
        <w:t>ottaa huomioon Euroopan unionin toiminnasta tehdyn sopimuksen ja erityisesti sen 43 artiklan 3 kohdan,</w:t>
      </w:r>
    </w:p>
    <w:p w:rsidR="00CB18DB" w:rsidRDefault="00CB18DB">
      <w:pPr>
        <w:rPr>
          <w:noProof/>
        </w:rPr>
      </w:pPr>
      <w:r>
        <w:rPr>
          <w:noProof/>
        </w:rPr>
        <w:t>ottaa huomioon Euroopan komission ehdotuksen,</w:t>
      </w:r>
    </w:p>
    <w:p w:rsidR="00CB18DB" w:rsidRDefault="00CB18DB">
      <w:pPr>
        <w:rPr>
          <w:noProof/>
        </w:rPr>
      </w:pPr>
      <w:r>
        <w:rPr>
          <w:noProof/>
        </w:rPr>
        <w:t>sekä katsoo seuraavaa:</w:t>
      </w:r>
    </w:p>
    <w:p w:rsidR="00CB18DB" w:rsidRDefault="00CB18DB">
      <w:pPr>
        <w:pStyle w:val="ManualConsidrant"/>
        <w:rPr>
          <w:noProof/>
        </w:rPr>
      </w:pPr>
      <w:r>
        <w:t>(1)</w:t>
      </w:r>
      <w:r>
        <w:tab/>
      </w:r>
      <w:r>
        <w:rPr>
          <w:noProof/>
        </w:rPr>
        <w:t>Neuvoston asetuksessa (EU) 2016/72</w:t>
      </w:r>
      <w:r>
        <w:rPr>
          <w:rStyle w:val="FootnoteReference"/>
          <w:noProof/>
        </w:rPr>
        <w:footnoteReference w:id="1"/>
      </w:r>
      <w:r>
        <w:rPr>
          <w:noProof/>
        </w:rPr>
        <w:t xml:space="preserve"> vahvistetaan unionin vesillä ja unionin aluksiin tietyillä unionin ulkopuolisilla vesillä sovellettavat tiettyjen kalakantojen ja kalakantaryhmien kalastusmahdollisuudet vuodeksi 2016.</w:t>
      </w:r>
    </w:p>
    <w:p w:rsidR="00CB18DB" w:rsidRDefault="00CB18DB">
      <w:pPr>
        <w:pStyle w:val="ManualConsidrant"/>
        <w:rPr>
          <w:noProof/>
        </w:rPr>
      </w:pPr>
      <w:r>
        <w:t>(2)</w:t>
      </w:r>
      <w:r>
        <w:tab/>
      </w:r>
      <w:r>
        <w:rPr>
          <w:noProof/>
        </w:rPr>
        <w:t xml:space="preserve">Tuulenkalan kalastusmahdollisuuksien hallinnoimiseksi ICES-alueilla IIa ja IIIa sekä ICES-suuralueella IV asetuksen (EU) 2016/72 liitteessä II D määritellään seitsemän kalastuksenhoitoaluetta, joilla sovelletaan erityisiä saalisrajoituksia. </w:t>
      </w:r>
    </w:p>
    <w:p w:rsidR="00CB18DB" w:rsidRDefault="00CB18DB">
      <w:pPr>
        <w:pStyle w:val="ManualConsidrant"/>
        <w:rPr>
          <w:noProof/>
        </w:rPr>
      </w:pPr>
      <w:r>
        <w:t>(3)</w:t>
      </w:r>
      <w:r>
        <w:tab/>
      </w:r>
      <w:r>
        <w:rPr>
          <w:noProof/>
        </w:rPr>
        <w:t>Asetuksessa (EU) 2016/72, sellaisena kuin se on muutettuna neuvoston asetuksella (EU) 2016/458</w:t>
      </w:r>
      <w:r>
        <w:rPr>
          <w:rStyle w:val="FootnoteReference"/>
          <w:noProof/>
        </w:rPr>
        <w:footnoteReference w:id="2"/>
      </w:r>
      <w:r>
        <w:rPr>
          <w:noProof/>
        </w:rPr>
        <w:t xml:space="preserve">, tuulenkalan suurin sallittu saalis (TAC) ICES-alueilla IIa ja IIIa sekä ICES-suuralueella IV sijaitsevilla unionin vesillä on vahvistettu 79 219 tonniksi ja tuulenkalan saalisrajoitus kalastuksenhoitoalueella 1 on vahvistettu 13 000 tonniksi.  Kyseistä saalisrajoitusta olisi nyt muutettava reaaliaikaisen seurannan tulosten perusteella ja ICESin tuoreimman tieteellisen lausunnon mukaisesti, jotta kyseisen kannan optimaalinen pyynti olisi mahdollista. </w:t>
      </w:r>
    </w:p>
    <w:p w:rsidR="00CB18DB" w:rsidRDefault="00CB18DB">
      <w:pPr>
        <w:pStyle w:val="ManualConsidrant"/>
        <w:rPr>
          <w:noProof/>
        </w:rPr>
      </w:pPr>
      <w:r>
        <w:t>(4)</w:t>
      </w:r>
      <w:r>
        <w:tab/>
      </w:r>
      <w:r>
        <w:rPr>
          <w:noProof/>
        </w:rPr>
        <w:t>Sen vuoksi asetusta (EU) 2016/72 olisi muutettava.</w:t>
      </w:r>
    </w:p>
    <w:p w:rsidR="00CB18DB" w:rsidRDefault="00CB18DB">
      <w:pPr>
        <w:pStyle w:val="ManualConsidrant"/>
        <w:rPr>
          <w:noProof/>
        </w:rPr>
      </w:pPr>
      <w:r>
        <w:t>(5)</w:t>
      </w:r>
      <w:r>
        <w:tab/>
      </w:r>
      <w:r>
        <w:rPr>
          <w:noProof/>
        </w:rPr>
        <w:t>Koska saalisrajoitusten muutos vaikuttaa unionin alusten taloudelliseen toimintaan ja kalastuskauden suunnitteluun, tämän asetuksen olisi tultava voimaan heti sen julkaisemisen jälkeen.</w:t>
      </w:r>
    </w:p>
    <w:p w:rsidR="00CB18DB" w:rsidRDefault="00CB18DB">
      <w:pPr>
        <w:pStyle w:val="ManualConsidrant"/>
        <w:rPr>
          <w:noProof/>
        </w:rPr>
      </w:pPr>
      <w:r>
        <w:t>(6)</w:t>
      </w:r>
      <w:r>
        <w:tab/>
      </w:r>
      <w:r>
        <w:rPr>
          <w:noProof/>
        </w:rPr>
        <w:t xml:space="preserve">Asetuksessa (EU) 2016/72 säädettyjä saalisrajoituksia sovelletaan 1 päivästä tammikuuta 2016. Sen vuoksi myös tämän asetuksen saalisrajoituksia koskevia säännöksiä olisi sovellettava kyseisestä päivästä. Tällainen taannehtiva soveltaminen ei rajoita oikeusvarmuuden ja luottamuksensuojan periaatteiden soveltamista, koska asianomaisia kalastusmahdollisuuksia ei ole vielä käytetty loppuun, </w:t>
      </w:r>
    </w:p>
    <w:p w:rsidR="00CB18DB" w:rsidRDefault="00CB18DB">
      <w:pPr>
        <w:pStyle w:val="Formuledadoption"/>
        <w:rPr>
          <w:noProof/>
        </w:rPr>
      </w:pPr>
      <w:r>
        <w:rPr>
          <w:noProof/>
        </w:rPr>
        <w:t>ON HYVÄKSYNYT TÄMÄN ASETUKSEN:</w:t>
      </w:r>
    </w:p>
    <w:p w:rsidR="00CB18DB" w:rsidRDefault="00CB18DB">
      <w:pPr>
        <w:pStyle w:val="Titrearticle"/>
        <w:rPr>
          <w:noProof/>
        </w:rPr>
      </w:pPr>
      <w:r>
        <w:rPr>
          <w:noProof/>
        </w:rPr>
        <w:t>1 artikla</w:t>
      </w:r>
      <w:r>
        <w:rPr>
          <w:noProof/>
        </w:rPr>
        <w:br/>
        <w:t>Asetuksen (EU) 2016/72 muuttaminen</w:t>
      </w:r>
    </w:p>
    <w:p w:rsidR="00CB18DB" w:rsidRDefault="00CB18DB">
      <w:pPr>
        <w:rPr>
          <w:noProof/>
        </w:rPr>
      </w:pPr>
      <w:r>
        <w:rPr>
          <w:noProof/>
        </w:rPr>
        <w:t xml:space="preserve">Korvataan asetuksen (EU) 2016/72 liitteessä I A oleva tuulenkalaa </w:t>
      </w:r>
      <w:r>
        <w:rPr>
          <w:i/>
          <w:noProof/>
        </w:rPr>
        <w:t>(Ammodytes spp.)</w:t>
      </w:r>
      <w:r>
        <w:rPr>
          <w:noProof/>
        </w:rPr>
        <w:t xml:space="preserve"> unionin vesillä alueilla IIa, IIIa ja IV koskeva kohta seuraavasti:</w:t>
      </w:r>
    </w:p>
    <w:tbl>
      <w:tblPr>
        <w:tblW w:w="9181" w:type="dxa"/>
        <w:tblInd w:w="108" w:type="dxa"/>
        <w:tblLook w:val="04A0" w:firstRow="1" w:lastRow="0" w:firstColumn="1" w:lastColumn="0" w:noHBand="0" w:noVBand="1"/>
      </w:tblPr>
      <w:tblGrid>
        <w:gridCol w:w="1016"/>
        <w:gridCol w:w="1142"/>
        <w:gridCol w:w="1143"/>
        <w:gridCol w:w="1144"/>
        <w:gridCol w:w="1184"/>
        <w:gridCol w:w="1184"/>
        <w:gridCol w:w="1184"/>
        <w:gridCol w:w="1184"/>
      </w:tblGrid>
      <w:tr w:rsidR="00CB18DB">
        <w:trPr>
          <w:trHeight w:val="255"/>
        </w:trPr>
        <w:tc>
          <w:tcPr>
            <w:tcW w:w="885" w:type="dxa"/>
            <w:tcBorders>
              <w:top w:val="single" w:sz="8" w:space="0" w:color="000000"/>
              <w:left w:val="nil"/>
              <w:bottom w:val="nil"/>
              <w:right w:val="nil"/>
            </w:tcBorders>
            <w:noWrap/>
            <w:hideMark/>
          </w:tcPr>
          <w:p w:rsidR="00CB18DB" w:rsidRDefault="00CB18DB">
            <w:pPr>
              <w:spacing w:after="0"/>
              <w:rPr>
                <w:noProof/>
                <w:color w:val="000000"/>
                <w:sz w:val="18"/>
                <w:szCs w:val="18"/>
              </w:rPr>
            </w:pPr>
            <w:r>
              <w:rPr>
                <w:noProof/>
                <w:color w:val="000000"/>
                <w:sz w:val="18"/>
              </w:rPr>
              <w:t>Laji:</w:t>
            </w:r>
          </w:p>
        </w:tc>
        <w:tc>
          <w:tcPr>
            <w:tcW w:w="1161" w:type="dxa"/>
            <w:tcBorders>
              <w:top w:val="single" w:sz="8" w:space="0" w:color="000000"/>
              <w:left w:val="nil"/>
              <w:bottom w:val="nil"/>
              <w:right w:val="nil"/>
            </w:tcBorders>
            <w:noWrap/>
            <w:hideMark/>
          </w:tcPr>
          <w:p w:rsidR="00CB18DB" w:rsidRDefault="00CB18DB">
            <w:pPr>
              <w:spacing w:after="0"/>
              <w:rPr>
                <w:noProof/>
                <w:sz w:val="18"/>
                <w:szCs w:val="18"/>
              </w:rPr>
            </w:pPr>
            <w:r>
              <w:rPr>
                <w:noProof/>
                <w:sz w:val="18"/>
              </w:rPr>
              <w:t>Tuulenkala</w:t>
            </w:r>
          </w:p>
        </w:tc>
        <w:tc>
          <w:tcPr>
            <w:tcW w:w="1161" w:type="dxa"/>
            <w:tcBorders>
              <w:top w:val="single" w:sz="8" w:space="0" w:color="000000"/>
              <w:left w:val="nil"/>
              <w:bottom w:val="nil"/>
              <w:right w:val="nil"/>
            </w:tcBorders>
            <w:noWrap/>
            <w:hideMark/>
          </w:tcPr>
          <w:p w:rsidR="00CB18DB" w:rsidRDefault="00CB18DB">
            <w:pPr>
              <w:spacing w:after="0"/>
              <w:jc w:val="right"/>
              <w:rPr>
                <w:noProof/>
                <w:color w:val="000000"/>
                <w:sz w:val="18"/>
                <w:szCs w:val="18"/>
              </w:rPr>
            </w:pPr>
            <w:r>
              <w:rPr>
                <w:noProof/>
                <w:color w:val="000000"/>
                <w:sz w:val="18"/>
              </w:rPr>
              <w:t> </w:t>
            </w:r>
          </w:p>
        </w:tc>
        <w:tc>
          <w:tcPr>
            <w:tcW w:w="1162" w:type="dxa"/>
            <w:tcBorders>
              <w:top w:val="single" w:sz="8" w:space="0" w:color="000000"/>
              <w:left w:val="nil"/>
              <w:bottom w:val="nil"/>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single" w:sz="8" w:space="0" w:color="000000"/>
              <w:left w:val="single" w:sz="8" w:space="0" w:color="000000"/>
              <w:bottom w:val="nil"/>
              <w:right w:val="nil"/>
            </w:tcBorders>
            <w:noWrap/>
            <w:hideMark/>
          </w:tcPr>
          <w:p w:rsidR="00CB18DB" w:rsidRDefault="00CB18DB">
            <w:pPr>
              <w:spacing w:after="0"/>
              <w:rPr>
                <w:noProof/>
                <w:color w:val="000000"/>
                <w:sz w:val="18"/>
                <w:szCs w:val="18"/>
              </w:rPr>
            </w:pPr>
            <w:r>
              <w:rPr>
                <w:noProof/>
                <w:color w:val="000000"/>
                <w:sz w:val="18"/>
              </w:rPr>
              <w:t>Alue:</w:t>
            </w:r>
          </w:p>
        </w:tc>
        <w:tc>
          <w:tcPr>
            <w:tcW w:w="3609" w:type="dxa"/>
            <w:gridSpan w:val="3"/>
            <w:tcBorders>
              <w:top w:val="single" w:sz="8" w:space="0" w:color="000000"/>
              <w:left w:val="nil"/>
              <w:bottom w:val="nil"/>
              <w:right w:val="nil"/>
            </w:tcBorders>
            <w:noWrap/>
            <w:hideMark/>
          </w:tcPr>
          <w:p w:rsidR="00CB18DB" w:rsidRDefault="00CB18DB">
            <w:pPr>
              <w:spacing w:after="0"/>
              <w:rPr>
                <w:noProof/>
                <w:color w:val="000000"/>
                <w:sz w:val="18"/>
                <w:szCs w:val="18"/>
              </w:rPr>
            </w:pPr>
            <w:r>
              <w:rPr>
                <w:noProof/>
                <w:color w:val="000000"/>
                <w:sz w:val="18"/>
              </w:rPr>
              <w:t>Unionin vedet alueilla IIa, IIIa ja IV (1)</w:t>
            </w:r>
          </w:p>
        </w:tc>
      </w:tr>
      <w:tr w:rsidR="00CB18DB">
        <w:trPr>
          <w:trHeight w:val="270"/>
        </w:trPr>
        <w:tc>
          <w:tcPr>
            <w:tcW w:w="885"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2322" w:type="dxa"/>
            <w:gridSpan w:val="2"/>
            <w:tcBorders>
              <w:top w:val="nil"/>
              <w:left w:val="nil"/>
              <w:bottom w:val="single" w:sz="8" w:space="0" w:color="000000"/>
              <w:right w:val="nil"/>
            </w:tcBorders>
            <w:noWrap/>
            <w:hideMark/>
          </w:tcPr>
          <w:p w:rsidR="00CB18DB" w:rsidRDefault="00CB18DB">
            <w:pPr>
              <w:spacing w:after="0"/>
              <w:rPr>
                <w:i/>
                <w:iCs/>
                <w:noProof/>
                <w:sz w:val="18"/>
                <w:szCs w:val="18"/>
              </w:rPr>
            </w:pPr>
            <w:r>
              <w:rPr>
                <w:i/>
                <w:noProof/>
                <w:sz w:val="18"/>
              </w:rPr>
              <w:t>Ammodytidae spp.</w:t>
            </w:r>
          </w:p>
        </w:tc>
        <w:tc>
          <w:tcPr>
            <w:tcW w:w="1162" w:type="dxa"/>
            <w:noWrap/>
            <w:hideMark/>
          </w:tcPr>
          <w:p w:rsidR="00CB18DB" w:rsidRDefault="00CB18DB">
            <w:pPr>
              <w:spacing w:after="0" w:line="276" w:lineRule="auto"/>
              <w:rPr>
                <w:noProof/>
              </w:rPr>
            </w:pPr>
          </w:p>
        </w:tc>
        <w:tc>
          <w:tcPr>
            <w:tcW w:w="1203" w:type="dxa"/>
            <w:tcBorders>
              <w:top w:val="nil"/>
              <w:left w:val="single" w:sz="8" w:space="0" w:color="000000"/>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r>
      <w:tr w:rsidR="00CB18DB">
        <w:trPr>
          <w:trHeight w:val="270"/>
        </w:trPr>
        <w:tc>
          <w:tcPr>
            <w:tcW w:w="885" w:type="dxa"/>
            <w:noWrap/>
            <w:hideMark/>
          </w:tcPr>
          <w:p w:rsidR="00CB18DB" w:rsidRDefault="00CB18DB">
            <w:pPr>
              <w:spacing w:after="0"/>
              <w:rPr>
                <w:noProof/>
                <w:color w:val="000000"/>
                <w:sz w:val="18"/>
                <w:szCs w:val="18"/>
              </w:rPr>
            </w:pPr>
            <w:r>
              <w:rPr>
                <w:noProof/>
                <w:color w:val="000000"/>
                <w:sz w:val="18"/>
              </w:rPr>
              <w:t>Tanska</w:t>
            </w:r>
          </w:p>
        </w:tc>
        <w:tc>
          <w:tcPr>
            <w:tcW w:w="1161" w:type="dxa"/>
            <w:noWrap/>
            <w:hideMark/>
          </w:tcPr>
          <w:p w:rsidR="00CB18DB" w:rsidRDefault="00CB18DB">
            <w:pPr>
              <w:spacing w:after="0"/>
              <w:rPr>
                <w:noProof/>
                <w:sz w:val="18"/>
                <w:szCs w:val="18"/>
              </w:rPr>
            </w:pPr>
            <w:r>
              <w:rPr>
                <w:noProof/>
                <w:sz w:val="18"/>
              </w:rPr>
              <w:t> </w:t>
            </w:r>
          </w:p>
        </w:tc>
        <w:tc>
          <w:tcPr>
            <w:tcW w:w="1161" w:type="dxa"/>
            <w:noWrap/>
            <w:hideMark/>
          </w:tcPr>
          <w:p w:rsidR="00CB18DB" w:rsidRDefault="00CB18DB">
            <w:pPr>
              <w:spacing w:after="0"/>
              <w:jc w:val="right"/>
              <w:rPr>
                <w:noProof/>
                <w:color w:val="000000"/>
                <w:sz w:val="18"/>
                <w:szCs w:val="18"/>
              </w:rPr>
            </w:pPr>
            <w:r>
              <w:rPr>
                <w:noProof/>
                <w:color w:val="000000"/>
                <w:sz w:val="18"/>
              </w:rPr>
              <w:t>p.m.</w:t>
            </w:r>
          </w:p>
        </w:tc>
        <w:tc>
          <w:tcPr>
            <w:tcW w:w="1162" w:type="dxa"/>
            <w:tcBorders>
              <w:top w:val="single" w:sz="8" w:space="0" w:color="000000"/>
              <w:left w:val="nil"/>
              <w:bottom w:val="nil"/>
              <w:right w:val="nil"/>
            </w:tcBorders>
            <w:noWrap/>
            <w:hideMark/>
          </w:tcPr>
          <w:p w:rsidR="00CB18DB" w:rsidRDefault="00CB18DB">
            <w:pPr>
              <w:spacing w:after="0"/>
              <w:rPr>
                <w:noProof/>
                <w:color w:val="000000"/>
                <w:sz w:val="18"/>
                <w:szCs w:val="18"/>
              </w:rPr>
            </w:pPr>
            <w:r>
              <w:rPr>
                <w:noProof/>
                <w:color w:val="000000"/>
                <w:sz w:val="18"/>
                <w:vertAlign w:val="superscript"/>
              </w:rPr>
              <w:t>(2)</w:t>
            </w:r>
          </w:p>
        </w:tc>
        <w:tc>
          <w:tcPr>
            <w:tcW w:w="2406" w:type="dxa"/>
            <w:gridSpan w:val="2"/>
            <w:tcBorders>
              <w:top w:val="single" w:sz="8" w:space="0" w:color="000000"/>
              <w:left w:val="nil"/>
              <w:bottom w:val="nil"/>
              <w:right w:val="nil"/>
            </w:tcBorders>
            <w:noWrap/>
            <w:hideMark/>
          </w:tcPr>
          <w:p w:rsidR="00CB18DB" w:rsidRDefault="00CB18DB">
            <w:pPr>
              <w:spacing w:after="0"/>
              <w:rPr>
                <w:noProof/>
                <w:color w:val="000000"/>
                <w:sz w:val="18"/>
                <w:szCs w:val="18"/>
              </w:rPr>
            </w:pPr>
            <w:r>
              <w:rPr>
                <w:noProof/>
                <w:color w:val="000000"/>
                <w:sz w:val="18"/>
              </w:rPr>
              <w:t>Analyyttinen TAC</w:t>
            </w:r>
          </w:p>
        </w:tc>
        <w:tc>
          <w:tcPr>
            <w:tcW w:w="1203" w:type="dxa"/>
            <w:noWrap/>
            <w:hideMark/>
          </w:tcPr>
          <w:p w:rsidR="00CB18DB" w:rsidRDefault="00CB18DB">
            <w:pPr>
              <w:spacing w:after="0"/>
              <w:rPr>
                <w:noProof/>
                <w:color w:val="000000"/>
                <w:sz w:val="18"/>
                <w:szCs w:val="18"/>
              </w:rPr>
            </w:pPr>
            <w:r>
              <w:rPr>
                <w:noProof/>
                <w:color w:val="000000"/>
                <w:sz w:val="18"/>
              </w:rPr>
              <w:t> </w:t>
            </w:r>
          </w:p>
        </w:tc>
        <w:tc>
          <w:tcPr>
            <w:tcW w:w="1203" w:type="dxa"/>
            <w:noWrap/>
            <w:hideMark/>
          </w:tcPr>
          <w:p w:rsidR="00CB18DB" w:rsidRDefault="00CB18DB">
            <w:pPr>
              <w:spacing w:after="0"/>
              <w:rPr>
                <w:noProof/>
                <w:color w:val="000000"/>
                <w:sz w:val="18"/>
                <w:szCs w:val="18"/>
              </w:rPr>
            </w:pPr>
            <w:r>
              <w:rPr>
                <w:noProof/>
                <w:color w:val="000000"/>
                <w:sz w:val="18"/>
              </w:rPr>
              <w:t> </w:t>
            </w:r>
          </w:p>
        </w:tc>
      </w:tr>
      <w:tr w:rsidR="00CB18DB">
        <w:trPr>
          <w:trHeight w:val="270"/>
        </w:trPr>
        <w:tc>
          <w:tcPr>
            <w:tcW w:w="2046" w:type="dxa"/>
            <w:gridSpan w:val="2"/>
            <w:noWrap/>
            <w:hideMark/>
          </w:tcPr>
          <w:p w:rsidR="00CB18DB" w:rsidRDefault="00CB18DB">
            <w:pPr>
              <w:spacing w:after="0"/>
              <w:rPr>
                <w:noProof/>
                <w:color w:val="000000"/>
                <w:sz w:val="18"/>
                <w:szCs w:val="18"/>
              </w:rPr>
            </w:pPr>
            <w:r>
              <w:rPr>
                <w:noProof/>
                <w:color w:val="000000"/>
                <w:sz w:val="18"/>
              </w:rPr>
              <w:t>Yhdistynyt kuningaskunta</w:t>
            </w:r>
          </w:p>
        </w:tc>
        <w:tc>
          <w:tcPr>
            <w:tcW w:w="1161" w:type="dxa"/>
            <w:noWrap/>
          </w:tcPr>
          <w:p w:rsidR="00CB18DB" w:rsidRDefault="00CB18DB">
            <w:pPr>
              <w:spacing w:after="0"/>
              <w:jc w:val="right"/>
              <w:rPr>
                <w:noProof/>
                <w:color w:val="000000"/>
                <w:sz w:val="18"/>
                <w:szCs w:val="18"/>
              </w:rPr>
            </w:pPr>
            <w:r>
              <w:rPr>
                <w:noProof/>
                <w:color w:val="000000"/>
                <w:sz w:val="18"/>
              </w:rPr>
              <w:t>p.m.</w:t>
            </w:r>
          </w:p>
        </w:tc>
        <w:tc>
          <w:tcPr>
            <w:tcW w:w="1162" w:type="dxa"/>
            <w:noWrap/>
          </w:tcPr>
          <w:p w:rsidR="00CB18DB" w:rsidRDefault="00CB18DB">
            <w:pPr>
              <w:spacing w:after="0"/>
              <w:jc w:val="left"/>
              <w:rPr>
                <w:noProof/>
                <w:color w:val="000000"/>
                <w:sz w:val="18"/>
                <w:szCs w:val="18"/>
              </w:rPr>
            </w:pPr>
            <w:r>
              <w:rPr>
                <w:noProof/>
                <w:color w:val="000000"/>
                <w:sz w:val="18"/>
                <w:vertAlign w:val="superscript"/>
              </w:rPr>
              <w:t>(2)</w:t>
            </w:r>
          </w:p>
        </w:tc>
        <w:tc>
          <w:tcPr>
            <w:tcW w:w="4812" w:type="dxa"/>
            <w:gridSpan w:val="4"/>
            <w:noWrap/>
            <w:hideMark/>
          </w:tcPr>
          <w:p w:rsidR="00CB18DB" w:rsidRDefault="00CB18DB">
            <w:pPr>
              <w:spacing w:after="0"/>
              <w:rPr>
                <w:noProof/>
                <w:color w:val="000000"/>
                <w:sz w:val="18"/>
                <w:szCs w:val="18"/>
              </w:rPr>
            </w:pPr>
            <w:r>
              <w:rPr>
                <w:noProof/>
                <w:color w:val="000000"/>
                <w:sz w:val="18"/>
              </w:rPr>
              <w:t>Asetuksen (EY) N:o 847/96 3 artiklaa ei sovelleta.</w:t>
            </w:r>
          </w:p>
        </w:tc>
      </w:tr>
      <w:tr w:rsidR="00CB18DB">
        <w:trPr>
          <w:trHeight w:val="270"/>
        </w:trPr>
        <w:tc>
          <w:tcPr>
            <w:tcW w:w="885" w:type="dxa"/>
            <w:noWrap/>
            <w:hideMark/>
          </w:tcPr>
          <w:p w:rsidR="00CB18DB" w:rsidRDefault="00CB18DB">
            <w:pPr>
              <w:spacing w:after="0"/>
              <w:rPr>
                <w:noProof/>
                <w:color w:val="000000"/>
                <w:sz w:val="18"/>
                <w:szCs w:val="18"/>
              </w:rPr>
            </w:pPr>
            <w:r>
              <w:rPr>
                <w:noProof/>
                <w:color w:val="000000"/>
                <w:sz w:val="18"/>
              </w:rPr>
              <w:t>Saksa</w:t>
            </w:r>
          </w:p>
        </w:tc>
        <w:tc>
          <w:tcPr>
            <w:tcW w:w="1161" w:type="dxa"/>
            <w:noWrap/>
            <w:hideMark/>
          </w:tcPr>
          <w:p w:rsidR="00CB18DB" w:rsidRDefault="00CB18DB">
            <w:pPr>
              <w:spacing w:after="0" w:line="276" w:lineRule="auto"/>
              <w:rPr>
                <w:noProof/>
              </w:rPr>
            </w:pPr>
          </w:p>
        </w:tc>
        <w:tc>
          <w:tcPr>
            <w:tcW w:w="1161" w:type="dxa"/>
            <w:noWrap/>
            <w:hideMark/>
          </w:tcPr>
          <w:p w:rsidR="00CB18DB" w:rsidRDefault="00CB18DB">
            <w:pPr>
              <w:spacing w:after="0"/>
              <w:jc w:val="right"/>
              <w:rPr>
                <w:noProof/>
                <w:color w:val="000000"/>
                <w:sz w:val="18"/>
                <w:szCs w:val="18"/>
              </w:rPr>
            </w:pPr>
            <w:r>
              <w:rPr>
                <w:noProof/>
                <w:color w:val="000000"/>
                <w:sz w:val="18"/>
              </w:rPr>
              <w:t xml:space="preserve"> p.m.</w:t>
            </w:r>
          </w:p>
        </w:tc>
        <w:tc>
          <w:tcPr>
            <w:tcW w:w="1162" w:type="dxa"/>
            <w:noWrap/>
            <w:hideMark/>
          </w:tcPr>
          <w:p w:rsidR="00CB18DB" w:rsidRDefault="00CB18DB">
            <w:pPr>
              <w:spacing w:after="0"/>
              <w:rPr>
                <w:noProof/>
                <w:color w:val="000000"/>
                <w:sz w:val="18"/>
                <w:szCs w:val="18"/>
              </w:rPr>
            </w:pPr>
            <w:r>
              <w:rPr>
                <w:noProof/>
                <w:color w:val="000000"/>
                <w:sz w:val="18"/>
                <w:vertAlign w:val="superscript"/>
              </w:rPr>
              <w:t>(2)</w:t>
            </w:r>
          </w:p>
        </w:tc>
        <w:tc>
          <w:tcPr>
            <w:tcW w:w="4812" w:type="dxa"/>
            <w:gridSpan w:val="4"/>
            <w:noWrap/>
            <w:hideMark/>
          </w:tcPr>
          <w:p w:rsidR="00CB18DB" w:rsidRDefault="00CB18DB">
            <w:pPr>
              <w:spacing w:after="0"/>
              <w:rPr>
                <w:noProof/>
                <w:color w:val="000000"/>
                <w:sz w:val="18"/>
                <w:szCs w:val="18"/>
              </w:rPr>
            </w:pPr>
            <w:r>
              <w:rPr>
                <w:noProof/>
                <w:color w:val="000000"/>
                <w:sz w:val="18"/>
              </w:rPr>
              <w:t>Asetuksen (EY) N:o 847/96 4 artiklaa ei sovelleta.</w:t>
            </w:r>
          </w:p>
        </w:tc>
      </w:tr>
      <w:tr w:rsidR="00CB18DB">
        <w:trPr>
          <w:trHeight w:val="270"/>
        </w:trPr>
        <w:tc>
          <w:tcPr>
            <w:tcW w:w="885" w:type="dxa"/>
            <w:noWrap/>
            <w:hideMark/>
          </w:tcPr>
          <w:p w:rsidR="00CB18DB" w:rsidRDefault="00CB18DB">
            <w:pPr>
              <w:spacing w:after="0"/>
              <w:rPr>
                <w:noProof/>
                <w:color w:val="000000"/>
                <w:sz w:val="18"/>
                <w:szCs w:val="18"/>
              </w:rPr>
            </w:pPr>
            <w:r>
              <w:rPr>
                <w:noProof/>
                <w:color w:val="000000"/>
                <w:sz w:val="18"/>
              </w:rPr>
              <w:t>Ruotsi</w:t>
            </w:r>
          </w:p>
        </w:tc>
        <w:tc>
          <w:tcPr>
            <w:tcW w:w="1161" w:type="dxa"/>
            <w:noWrap/>
            <w:hideMark/>
          </w:tcPr>
          <w:p w:rsidR="00CB18DB" w:rsidRDefault="00CB18DB">
            <w:pPr>
              <w:spacing w:after="0" w:line="276" w:lineRule="auto"/>
              <w:rPr>
                <w:noProof/>
              </w:rPr>
            </w:pPr>
          </w:p>
        </w:tc>
        <w:tc>
          <w:tcPr>
            <w:tcW w:w="1161" w:type="dxa"/>
            <w:noWrap/>
            <w:hideMark/>
          </w:tcPr>
          <w:p w:rsidR="00CB18DB" w:rsidRDefault="00CB18DB">
            <w:pPr>
              <w:spacing w:after="0"/>
              <w:jc w:val="right"/>
              <w:rPr>
                <w:noProof/>
                <w:color w:val="000000"/>
                <w:sz w:val="18"/>
                <w:szCs w:val="18"/>
              </w:rPr>
            </w:pPr>
            <w:r>
              <w:rPr>
                <w:noProof/>
                <w:color w:val="000000"/>
                <w:sz w:val="18"/>
              </w:rPr>
              <w:t>p.m.</w:t>
            </w:r>
          </w:p>
        </w:tc>
        <w:tc>
          <w:tcPr>
            <w:tcW w:w="1162" w:type="dxa"/>
            <w:noWrap/>
            <w:hideMark/>
          </w:tcPr>
          <w:p w:rsidR="00CB18DB" w:rsidRDefault="00CB18DB">
            <w:pPr>
              <w:spacing w:after="0"/>
              <w:rPr>
                <w:noProof/>
                <w:color w:val="000000"/>
                <w:sz w:val="18"/>
                <w:szCs w:val="18"/>
              </w:rPr>
            </w:pPr>
            <w:r>
              <w:rPr>
                <w:noProof/>
                <w:color w:val="000000"/>
                <w:sz w:val="18"/>
                <w:vertAlign w:val="superscript"/>
              </w:rPr>
              <w:t>(2)</w:t>
            </w: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r w:rsidR="00CB18DB">
        <w:trPr>
          <w:trHeight w:val="255"/>
        </w:trPr>
        <w:tc>
          <w:tcPr>
            <w:tcW w:w="885" w:type="dxa"/>
            <w:noWrap/>
            <w:hideMark/>
          </w:tcPr>
          <w:p w:rsidR="00CB18DB" w:rsidRDefault="00CB18DB">
            <w:pPr>
              <w:spacing w:after="0"/>
              <w:rPr>
                <w:noProof/>
                <w:color w:val="000000"/>
                <w:sz w:val="18"/>
                <w:szCs w:val="18"/>
              </w:rPr>
            </w:pPr>
            <w:r>
              <w:rPr>
                <w:noProof/>
                <w:color w:val="000000"/>
                <w:sz w:val="18"/>
              </w:rPr>
              <w:t>Unioni</w:t>
            </w:r>
          </w:p>
        </w:tc>
        <w:tc>
          <w:tcPr>
            <w:tcW w:w="1161" w:type="dxa"/>
            <w:noWrap/>
            <w:hideMark/>
          </w:tcPr>
          <w:p w:rsidR="00CB18DB" w:rsidRDefault="00CB18DB">
            <w:pPr>
              <w:spacing w:after="0" w:line="276" w:lineRule="auto"/>
              <w:rPr>
                <w:noProof/>
              </w:rPr>
            </w:pPr>
          </w:p>
        </w:tc>
        <w:tc>
          <w:tcPr>
            <w:tcW w:w="1161" w:type="dxa"/>
            <w:noWrap/>
            <w:hideMark/>
          </w:tcPr>
          <w:p w:rsidR="00CB18DB" w:rsidRDefault="00CB18DB">
            <w:pPr>
              <w:spacing w:after="0"/>
              <w:jc w:val="right"/>
              <w:rPr>
                <w:noProof/>
                <w:color w:val="000000"/>
                <w:sz w:val="18"/>
                <w:szCs w:val="18"/>
              </w:rPr>
            </w:pPr>
            <w:r>
              <w:rPr>
                <w:noProof/>
                <w:color w:val="000000"/>
                <w:sz w:val="18"/>
              </w:rPr>
              <w:t>p.m.</w:t>
            </w:r>
          </w:p>
        </w:tc>
        <w:tc>
          <w:tcPr>
            <w:tcW w:w="1162"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r w:rsidR="00CB18DB">
        <w:trPr>
          <w:trHeight w:val="255"/>
        </w:trPr>
        <w:tc>
          <w:tcPr>
            <w:tcW w:w="885" w:type="dxa"/>
            <w:noWrap/>
            <w:hideMark/>
          </w:tcPr>
          <w:p w:rsidR="00CB18DB" w:rsidRDefault="00CB18DB">
            <w:pPr>
              <w:spacing w:after="0" w:line="276" w:lineRule="auto"/>
              <w:rPr>
                <w:noProof/>
              </w:rPr>
            </w:pPr>
          </w:p>
        </w:tc>
        <w:tc>
          <w:tcPr>
            <w:tcW w:w="1161" w:type="dxa"/>
            <w:noWrap/>
            <w:hideMark/>
          </w:tcPr>
          <w:p w:rsidR="00CB18DB" w:rsidRDefault="00CB18DB">
            <w:pPr>
              <w:spacing w:after="0" w:line="276" w:lineRule="auto"/>
              <w:rPr>
                <w:noProof/>
              </w:rPr>
            </w:pPr>
          </w:p>
        </w:tc>
        <w:tc>
          <w:tcPr>
            <w:tcW w:w="1161" w:type="dxa"/>
            <w:noWrap/>
            <w:hideMark/>
          </w:tcPr>
          <w:p w:rsidR="00CB18DB" w:rsidRDefault="00CB18DB">
            <w:pPr>
              <w:spacing w:after="0"/>
              <w:jc w:val="right"/>
              <w:rPr>
                <w:noProof/>
                <w:color w:val="000000"/>
                <w:sz w:val="18"/>
                <w:szCs w:val="18"/>
              </w:rPr>
            </w:pPr>
          </w:p>
        </w:tc>
        <w:tc>
          <w:tcPr>
            <w:tcW w:w="1162"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r w:rsidR="00CB18DB">
        <w:trPr>
          <w:trHeight w:val="255"/>
        </w:trPr>
        <w:tc>
          <w:tcPr>
            <w:tcW w:w="885" w:type="dxa"/>
            <w:noWrap/>
            <w:hideMark/>
          </w:tcPr>
          <w:p w:rsidR="00CB18DB" w:rsidRDefault="00CB18DB">
            <w:pPr>
              <w:spacing w:after="0" w:line="276" w:lineRule="auto"/>
              <w:rPr>
                <w:noProof/>
              </w:rPr>
            </w:pPr>
          </w:p>
        </w:tc>
        <w:tc>
          <w:tcPr>
            <w:tcW w:w="1161" w:type="dxa"/>
            <w:noWrap/>
            <w:hideMark/>
          </w:tcPr>
          <w:p w:rsidR="00CB18DB" w:rsidRDefault="00CB18DB">
            <w:pPr>
              <w:spacing w:after="0" w:line="276" w:lineRule="auto"/>
              <w:rPr>
                <w:noProof/>
              </w:rPr>
            </w:pPr>
          </w:p>
        </w:tc>
        <w:tc>
          <w:tcPr>
            <w:tcW w:w="1161" w:type="dxa"/>
            <w:noWrap/>
            <w:hideMark/>
          </w:tcPr>
          <w:p w:rsidR="00CB18DB" w:rsidRDefault="00CB18DB">
            <w:pPr>
              <w:spacing w:after="0"/>
              <w:jc w:val="right"/>
              <w:rPr>
                <w:noProof/>
                <w:color w:val="000000"/>
                <w:sz w:val="18"/>
                <w:szCs w:val="18"/>
              </w:rPr>
            </w:pPr>
          </w:p>
        </w:tc>
        <w:tc>
          <w:tcPr>
            <w:tcW w:w="1162"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r w:rsidR="00CB18DB">
        <w:trPr>
          <w:trHeight w:val="255"/>
        </w:trPr>
        <w:tc>
          <w:tcPr>
            <w:tcW w:w="885" w:type="dxa"/>
            <w:noWrap/>
            <w:hideMark/>
          </w:tcPr>
          <w:p w:rsidR="00CB18DB" w:rsidRDefault="00CB18DB">
            <w:pPr>
              <w:spacing w:after="0"/>
              <w:rPr>
                <w:noProof/>
                <w:color w:val="000000"/>
                <w:sz w:val="18"/>
                <w:szCs w:val="18"/>
              </w:rPr>
            </w:pPr>
            <w:r>
              <w:rPr>
                <w:noProof/>
                <w:color w:val="000000"/>
                <w:sz w:val="18"/>
              </w:rPr>
              <w:t>TAC</w:t>
            </w:r>
          </w:p>
        </w:tc>
        <w:tc>
          <w:tcPr>
            <w:tcW w:w="1161" w:type="dxa"/>
            <w:noWrap/>
            <w:hideMark/>
          </w:tcPr>
          <w:p w:rsidR="00CB18DB" w:rsidRDefault="00CB18DB">
            <w:pPr>
              <w:spacing w:after="0" w:line="276" w:lineRule="auto"/>
              <w:rPr>
                <w:noProof/>
              </w:rPr>
            </w:pPr>
          </w:p>
        </w:tc>
        <w:tc>
          <w:tcPr>
            <w:tcW w:w="1161" w:type="dxa"/>
            <w:noWrap/>
            <w:hideMark/>
          </w:tcPr>
          <w:p w:rsidR="00CB18DB" w:rsidRDefault="00CB18DB">
            <w:pPr>
              <w:spacing w:after="0"/>
              <w:jc w:val="right"/>
              <w:rPr>
                <w:noProof/>
                <w:color w:val="000000"/>
                <w:sz w:val="18"/>
                <w:szCs w:val="18"/>
              </w:rPr>
            </w:pPr>
            <w:r>
              <w:rPr>
                <w:noProof/>
                <w:color w:val="000000"/>
                <w:sz w:val="18"/>
              </w:rPr>
              <w:t>p.m.</w:t>
            </w:r>
          </w:p>
        </w:tc>
        <w:tc>
          <w:tcPr>
            <w:tcW w:w="1162"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r w:rsidR="00CB18DB">
        <w:trPr>
          <w:trHeight w:val="270"/>
        </w:trPr>
        <w:tc>
          <w:tcPr>
            <w:tcW w:w="885" w:type="dxa"/>
            <w:noWrap/>
            <w:hideMark/>
          </w:tcPr>
          <w:p w:rsidR="00CB18DB" w:rsidRDefault="00CB18DB">
            <w:pPr>
              <w:spacing w:after="0"/>
              <w:rPr>
                <w:noProof/>
                <w:color w:val="000000"/>
                <w:sz w:val="18"/>
                <w:szCs w:val="18"/>
              </w:rPr>
            </w:pPr>
            <w:r>
              <w:rPr>
                <w:noProof/>
                <w:color w:val="000000"/>
                <w:sz w:val="18"/>
                <w:vertAlign w:val="superscript"/>
              </w:rPr>
              <w:t>(1)</w:t>
            </w:r>
          </w:p>
        </w:tc>
        <w:tc>
          <w:tcPr>
            <w:tcW w:w="5890" w:type="dxa"/>
            <w:gridSpan w:val="5"/>
            <w:noWrap/>
            <w:hideMark/>
          </w:tcPr>
          <w:p w:rsidR="00CB18DB" w:rsidRDefault="00CB18DB">
            <w:pPr>
              <w:spacing w:after="0"/>
              <w:rPr>
                <w:noProof/>
                <w:sz w:val="18"/>
                <w:szCs w:val="18"/>
              </w:rPr>
            </w:pPr>
            <w:r>
              <w:rPr>
                <w:noProof/>
                <w:sz w:val="18"/>
                <w:vertAlign w:val="superscript"/>
              </w:rPr>
              <w:t>Lukuun ottamatta 6 meripeninkulman vyöhykkeen sisäpuolella Yhdistyneen kuningaskunnan peruslinjoista Shetlannissa, Fair Islessä ja Foulassa sijaitsevia vesiä.</w:t>
            </w: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r w:rsidR="00CB18DB">
        <w:trPr>
          <w:trHeight w:val="270"/>
        </w:trPr>
        <w:tc>
          <w:tcPr>
            <w:tcW w:w="885" w:type="dxa"/>
            <w:noWrap/>
            <w:hideMark/>
          </w:tcPr>
          <w:p w:rsidR="00CB18DB" w:rsidRDefault="00CB18DB">
            <w:pPr>
              <w:spacing w:after="0"/>
              <w:rPr>
                <w:noProof/>
                <w:color w:val="000000"/>
                <w:sz w:val="18"/>
                <w:szCs w:val="18"/>
              </w:rPr>
            </w:pPr>
            <w:r>
              <w:rPr>
                <w:noProof/>
                <w:color w:val="000000"/>
                <w:sz w:val="18"/>
                <w:vertAlign w:val="superscript"/>
              </w:rPr>
              <w:t>(2)</w:t>
            </w:r>
          </w:p>
        </w:tc>
        <w:tc>
          <w:tcPr>
            <w:tcW w:w="8296" w:type="dxa"/>
            <w:gridSpan w:val="7"/>
            <w:noWrap/>
            <w:hideMark/>
          </w:tcPr>
          <w:p w:rsidR="00CB18DB" w:rsidRDefault="00CB18DB">
            <w:pPr>
              <w:spacing w:after="0"/>
              <w:rPr>
                <w:noProof/>
                <w:sz w:val="18"/>
                <w:szCs w:val="18"/>
              </w:rPr>
            </w:pPr>
            <w:r>
              <w:rPr>
                <w:noProof/>
                <w:sz w:val="18"/>
                <w:vertAlign w:val="superscript"/>
              </w:rPr>
              <w:t>Hietakampela-, valkoturska- ja makrillisaaliit voidaan lukea kiintiön 2 prosenttiin asti (OT1/*2A3A4) edellyttäen, että tästä tuulenkalan kiintiöstä yhteensä enintään 9 prosenttia lasketaan näitä saaliita ja sellaisten lajien sivusaaliita varten, jotka otetaan huomioon asetuksen (EU) N:o 1380/2013 15 artiklan 8 kohdan mukaisesti, sanotun kuitenkaan rajoittamatta purkamisvelvoitetta.</w:t>
            </w:r>
          </w:p>
        </w:tc>
      </w:tr>
      <w:tr w:rsidR="00CB18DB">
        <w:trPr>
          <w:trHeight w:val="255"/>
        </w:trPr>
        <w:tc>
          <w:tcPr>
            <w:tcW w:w="9181" w:type="dxa"/>
            <w:gridSpan w:val="8"/>
            <w:tcBorders>
              <w:top w:val="single" w:sz="4" w:space="0" w:color="auto"/>
              <w:left w:val="nil"/>
              <w:bottom w:val="nil"/>
              <w:right w:val="nil"/>
            </w:tcBorders>
            <w:noWrap/>
            <w:hideMark/>
          </w:tcPr>
          <w:p w:rsidR="00CB18DB" w:rsidRDefault="00CB18DB">
            <w:pPr>
              <w:spacing w:after="0"/>
              <w:rPr>
                <w:noProof/>
                <w:color w:val="000000"/>
                <w:sz w:val="18"/>
                <w:szCs w:val="18"/>
              </w:rPr>
            </w:pPr>
            <w:r>
              <w:rPr>
                <w:noProof/>
                <w:color w:val="000000"/>
                <w:sz w:val="18"/>
              </w:rPr>
              <w:t>Erityisedellytys: edellä mainittujen kiintiöiden rajoissa ei seuraavilla, liitteessä IID määritellyillä tuulenkalan kalastuksenhoitoalueilla saa ylittää alla mainittuja määriä:</w:t>
            </w:r>
          </w:p>
        </w:tc>
      </w:tr>
      <w:tr w:rsidR="00CB18DB">
        <w:trPr>
          <w:trHeight w:val="255"/>
        </w:trPr>
        <w:tc>
          <w:tcPr>
            <w:tcW w:w="885" w:type="dxa"/>
            <w:noWrap/>
            <w:hideMark/>
          </w:tcPr>
          <w:p w:rsidR="00CB18DB" w:rsidRDefault="00CB18DB">
            <w:pPr>
              <w:spacing w:after="0" w:line="276" w:lineRule="auto"/>
              <w:rPr>
                <w:noProof/>
              </w:rPr>
            </w:pPr>
          </w:p>
        </w:tc>
        <w:tc>
          <w:tcPr>
            <w:tcW w:w="5890" w:type="dxa"/>
            <w:gridSpan w:val="5"/>
            <w:noWrap/>
            <w:hideMark/>
          </w:tcPr>
          <w:p w:rsidR="00CB18DB" w:rsidRDefault="00CB18DB">
            <w:pPr>
              <w:spacing w:after="0"/>
              <w:rPr>
                <w:b/>
                <w:bCs/>
                <w:noProof/>
                <w:sz w:val="18"/>
                <w:szCs w:val="18"/>
              </w:rPr>
            </w:pPr>
            <w:r>
              <w:rPr>
                <w:b/>
                <w:noProof/>
                <w:sz w:val="18"/>
              </w:rPr>
              <w:t>Alue: unionin vedet tuulenkalan kalastuksenhoitoalueilla</w:t>
            </w: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r w:rsidR="00CB18DB">
        <w:trPr>
          <w:trHeight w:val="255"/>
        </w:trPr>
        <w:tc>
          <w:tcPr>
            <w:tcW w:w="885" w:type="dxa"/>
            <w:tcBorders>
              <w:top w:val="single" w:sz="4" w:space="0" w:color="auto"/>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 </w:t>
            </w:r>
          </w:p>
        </w:tc>
        <w:tc>
          <w:tcPr>
            <w:tcW w:w="1161" w:type="dxa"/>
            <w:tcBorders>
              <w:top w:val="single" w:sz="4" w:space="0" w:color="auto"/>
              <w:left w:val="nil"/>
              <w:bottom w:val="single" w:sz="4" w:space="0" w:color="auto"/>
              <w:right w:val="single" w:sz="4" w:space="0" w:color="auto"/>
            </w:tcBorders>
            <w:noWrap/>
            <w:hideMark/>
          </w:tcPr>
          <w:p w:rsidR="00CB18DB" w:rsidRDefault="00CB18DB">
            <w:pPr>
              <w:spacing w:after="0"/>
              <w:rPr>
                <w:b/>
                <w:bCs/>
                <w:noProof/>
                <w:sz w:val="14"/>
                <w:szCs w:val="14"/>
              </w:rPr>
            </w:pPr>
            <w:r>
              <w:rPr>
                <w:b/>
                <w:noProof/>
                <w:sz w:val="14"/>
              </w:rPr>
              <w:t>1</w:t>
            </w:r>
          </w:p>
        </w:tc>
        <w:tc>
          <w:tcPr>
            <w:tcW w:w="1161" w:type="dxa"/>
            <w:tcBorders>
              <w:top w:val="single" w:sz="4" w:space="0" w:color="auto"/>
              <w:left w:val="nil"/>
              <w:bottom w:val="single" w:sz="4" w:space="0" w:color="auto"/>
              <w:right w:val="single" w:sz="4" w:space="0" w:color="auto"/>
            </w:tcBorders>
            <w:noWrap/>
            <w:hideMark/>
          </w:tcPr>
          <w:p w:rsidR="00CB18DB" w:rsidRDefault="00CB18DB">
            <w:pPr>
              <w:spacing w:after="0"/>
              <w:rPr>
                <w:b/>
                <w:bCs/>
                <w:noProof/>
                <w:color w:val="000000"/>
                <w:sz w:val="14"/>
                <w:szCs w:val="14"/>
              </w:rPr>
            </w:pPr>
            <w:r>
              <w:rPr>
                <w:b/>
                <w:noProof/>
                <w:color w:val="000000"/>
                <w:sz w:val="14"/>
              </w:rPr>
              <w:t xml:space="preserve"> 2</w:t>
            </w:r>
          </w:p>
        </w:tc>
        <w:tc>
          <w:tcPr>
            <w:tcW w:w="1162" w:type="dxa"/>
            <w:tcBorders>
              <w:top w:val="single" w:sz="4" w:space="0" w:color="auto"/>
              <w:left w:val="nil"/>
              <w:bottom w:val="single" w:sz="4" w:space="0" w:color="auto"/>
              <w:right w:val="single" w:sz="4" w:space="0" w:color="auto"/>
            </w:tcBorders>
            <w:noWrap/>
            <w:hideMark/>
          </w:tcPr>
          <w:p w:rsidR="00CB18DB" w:rsidRDefault="00CB18DB">
            <w:pPr>
              <w:spacing w:after="0"/>
              <w:rPr>
                <w:b/>
                <w:bCs/>
                <w:noProof/>
                <w:color w:val="000000"/>
                <w:sz w:val="14"/>
                <w:szCs w:val="14"/>
              </w:rPr>
            </w:pPr>
            <w:r>
              <w:rPr>
                <w:b/>
                <w:noProof/>
                <w:color w:val="000000"/>
                <w:sz w:val="14"/>
              </w:rPr>
              <w:t>3</w:t>
            </w:r>
          </w:p>
        </w:tc>
        <w:tc>
          <w:tcPr>
            <w:tcW w:w="1203" w:type="dxa"/>
            <w:tcBorders>
              <w:top w:val="single" w:sz="4" w:space="0" w:color="auto"/>
              <w:left w:val="nil"/>
              <w:bottom w:val="single" w:sz="4" w:space="0" w:color="auto"/>
              <w:right w:val="single" w:sz="4" w:space="0" w:color="auto"/>
            </w:tcBorders>
            <w:noWrap/>
            <w:hideMark/>
          </w:tcPr>
          <w:p w:rsidR="00CB18DB" w:rsidRDefault="00CB18DB">
            <w:pPr>
              <w:spacing w:after="0"/>
              <w:rPr>
                <w:b/>
                <w:bCs/>
                <w:noProof/>
                <w:color w:val="000000"/>
                <w:sz w:val="14"/>
                <w:szCs w:val="14"/>
              </w:rPr>
            </w:pPr>
            <w:r>
              <w:rPr>
                <w:b/>
                <w:noProof/>
                <w:color w:val="000000"/>
                <w:sz w:val="14"/>
              </w:rPr>
              <w:t>4</w:t>
            </w:r>
          </w:p>
        </w:tc>
        <w:tc>
          <w:tcPr>
            <w:tcW w:w="1203" w:type="dxa"/>
            <w:tcBorders>
              <w:top w:val="single" w:sz="4" w:space="0" w:color="auto"/>
              <w:left w:val="nil"/>
              <w:bottom w:val="single" w:sz="4" w:space="0" w:color="auto"/>
              <w:right w:val="single" w:sz="4" w:space="0" w:color="auto"/>
            </w:tcBorders>
            <w:noWrap/>
            <w:hideMark/>
          </w:tcPr>
          <w:p w:rsidR="00CB18DB" w:rsidRDefault="00CB18DB">
            <w:pPr>
              <w:spacing w:after="0"/>
              <w:rPr>
                <w:b/>
                <w:bCs/>
                <w:noProof/>
                <w:color w:val="000000"/>
                <w:sz w:val="14"/>
                <w:szCs w:val="14"/>
              </w:rPr>
            </w:pPr>
            <w:r>
              <w:rPr>
                <w:b/>
                <w:noProof/>
                <w:color w:val="000000"/>
                <w:sz w:val="14"/>
              </w:rPr>
              <w:t>5</w:t>
            </w:r>
          </w:p>
        </w:tc>
        <w:tc>
          <w:tcPr>
            <w:tcW w:w="1203" w:type="dxa"/>
            <w:tcBorders>
              <w:top w:val="single" w:sz="4" w:space="0" w:color="auto"/>
              <w:left w:val="nil"/>
              <w:bottom w:val="single" w:sz="4" w:space="0" w:color="auto"/>
              <w:right w:val="single" w:sz="4" w:space="0" w:color="auto"/>
            </w:tcBorders>
            <w:noWrap/>
            <w:hideMark/>
          </w:tcPr>
          <w:p w:rsidR="00CB18DB" w:rsidRDefault="00CB18DB">
            <w:pPr>
              <w:spacing w:after="0"/>
              <w:rPr>
                <w:b/>
                <w:bCs/>
                <w:noProof/>
                <w:color w:val="000000"/>
                <w:sz w:val="14"/>
                <w:szCs w:val="14"/>
              </w:rPr>
            </w:pPr>
            <w:r>
              <w:rPr>
                <w:b/>
                <w:noProof/>
                <w:color w:val="000000"/>
                <w:sz w:val="14"/>
              </w:rPr>
              <w:t>6</w:t>
            </w:r>
          </w:p>
        </w:tc>
        <w:tc>
          <w:tcPr>
            <w:tcW w:w="1203" w:type="dxa"/>
            <w:tcBorders>
              <w:top w:val="single" w:sz="4" w:space="0" w:color="auto"/>
              <w:left w:val="nil"/>
              <w:bottom w:val="single" w:sz="4" w:space="0" w:color="auto"/>
              <w:right w:val="single" w:sz="4" w:space="0" w:color="auto"/>
            </w:tcBorders>
            <w:noWrap/>
            <w:hideMark/>
          </w:tcPr>
          <w:p w:rsidR="00CB18DB" w:rsidRDefault="00CB18DB">
            <w:pPr>
              <w:spacing w:after="0"/>
              <w:rPr>
                <w:b/>
                <w:bCs/>
                <w:noProof/>
                <w:color w:val="000000"/>
                <w:sz w:val="14"/>
                <w:szCs w:val="14"/>
              </w:rPr>
            </w:pPr>
            <w:r>
              <w:rPr>
                <w:b/>
                <w:noProof/>
                <w:color w:val="000000"/>
                <w:sz w:val="14"/>
              </w:rPr>
              <w:t>7</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jc w:val="center"/>
              <w:rPr>
                <w:noProof/>
                <w:color w:val="000000"/>
                <w:sz w:val="14"/>
                <w:szCs w:val="14"/>
              </w:rPr>
            </w:pPr>
            <w:r>
              <w:rPr>
                <w:noProof/>
                <w:color w:val="000000"/>
                <w:sz w:val="14"/>
              </w:rPr>
              <w:t> </w:t>
            </w:r>
          </w:p>
        </w:tc>
        <w:tc>
          <w:tcPr>
            <w:tcW w:w="1161" w:type="dxa"/>
            <w:tcBorders>
              <w:top w:val="nil"/>
              <w:left w:val="nil"/>
              <w:bottom w:val="single" w:sz="4" w:space="0" w:color="auto"/>
              <w:right w:val="single" w:sz="4" w:space="0" w:color="auto"/>
            </w:tcBorders>
            <w:noWrap/>
            <w:hideMark/>
          </w:tcPr>
          <w:p w:rsidR="00CB18DB" w:rsidRDefault="00CB18DB">
            <w:pPr>
              <w:spacing w:after="0"/>
              <w:jc w:val="center"/>
              <w:rPr>
                <w:noProof/>
                <w:sz w:val="14"/>
                <w:szCs w:val="14"/>
              </w:rPr>
            </w:pPr>
            <w:r>
              <w:rPr>
                <w:noProof/>
                <w:sz w:val="14"/>
              </w:rPr>
              <w:t>(SAN/234_1)</w:t>
            </w:r>
          </w:p>
        </w:tc>
        <w:tc>
          <w:tcPr>
            <w:tcW w:w="1161" w:type="dxa"/>
            <w:tcBorders>
              <w:top w:val="nil"/>
              <w:left w:val="nil"/>
              <w:bottom w:val="single" w:sz="4" w:space="0" w:color="auto"/>
              <w:right w:val="single" w:sz="4" w:space="0" w:color="auto"/>
            </w:tcBorders>
            <w:noWrap/>
            <w:hideMark/>
          </w:tcPr>
          <w:p w:rsidR="00CB18DB" w:rsidRDefault="00CB18DB">
            <w:pPr>
              <w:spacing w:after="0"/>
              <w:jc w:val="center"/>
              <w:rPr>
                <w:noProof/>
                <w:color w:val="000000"/>
                <w:sz w:val="14"/>
                <w:szCs w:val="14"/>
              </w:rPr>
            </w:pPr>
            <w:r>
              <w:rPr>
                <w:noProof/>
                <w:color w:val="000000"/>
                <w:sz w:val="14"/>
              </w:rPr>
              <w:t xml:space="preserve">(SAN/234_2) </w:t>
            </w:r>
          </w:p>
        </w:tc>
        <w:tc>
          <w:tcPr>
            <w:tcW w:w="1162" w:type="dxa"/>
            <w:tcBorders>
              <w:top w:val="nil"/>
              <w:left w:val="nil"/>
              <w:bottom w:val="single" w:sz="4" w:space="0" w:color="auto"/>
              <w:right w:val="single" w:sz="4" w:space="0" w:color="auto"/>
            </w:tcBorders>
            <w:noWrap/>
            <w:hideMark/>
          </w:tcPr>
          <w:p w:rsidR="00CB18DB" w:rsidRDefault="00CB18DB">
            <w:pPr>
              <w:spacing w:after="0"/>
              <w:jc w:val="center"/>
              <w:rPr>
                <w:noProof/>
                <w:color w:val="000000"/>
                <w:sz w:val="14"/>
                <w:szCs w:val="14"/>
              </w:rPr>
            </w:pPr>
            <w:r>
              <w:rPr>
                <w:noProof/>
                <w:color w:val="000000"/>
                <w:sz w:val="14"/>
              </w:rPr>
              <w:t xml:space="preserve">(SAN/234_3) </w:t>
            </w:r>
          </w:p>
        </w:tc>
        <w:tc>
          <w:tcPr>
            <w:tcW w:w="1203" w:type="dxa"/>
            <w:tcBorders>
              <w:top w:val="nil"/>
              <w:left w:val="nil"/>
              <w:bottom w:val="single" w:sz="4" w:space="0" w:color="auto"/>
              <w:right w:val="single" w:sz="4" w:space="0" w:color="auto"/>
            </w:tcBorders>
            <w:noWrap/>
            <w:hideMark/>
          </w:tcPr>
          <w:p w:rsidR="00CB18DB" w:rsidRDefault="00CB18DB">
            <w:pPr>
              <w:spacing w:after="0"/>
              <w:jc w:val="center"/>
              <w:rPr>
                <w:noProof/>
                <w:color w:val="000000"/>
                <w:sz w:val="14"/>
                <w:szCs w:val="14"/>
              </w:rPr>
            </w:pPr>
            <w:r>
              <w:rPr>
                <w:noProof/>
                <w:color w:val="000000"/>
                <w:sz w:val="14"/>
              </w:rPr>
              <w:t xml:space="preserve">(SAN/234_4) </w:t>
            </w:r>
          </w:p>
        </w:tc>
        <w:tc>
          <w:tcPr>
            <w:tcW w:w="1203" w:type="dxa"/>
            <w:tcBorders>
              <w:top w:val="nil"/>
              <w:left w:val="nil"/>
              <w:bottom w:val="single" w:sz="4" w:space="0" w:color="auto"/>
              <w:right w:val="single" w:sz="4" w:space="0" w:color="auto"/>
            </w:tcBorders>
            <w:noWrap/>
            <w:hideMark/>
          </w:tcPr>
          <w:p w:rsidR="00CB18DB" w:rsidRDefault="00CB18DB">
            <w:pPr>
              <w:spacing w:after="0"/>
              <w:jc w:val="center"/>
              <w:rPr>
                <w:noProof/>
                <w:color w:val="000000"/>
                <w:sz w:val="14"/>
                <w:szCs w:val="14"/>
              </w:rPr>
            </w:pPr>
            <w:r>
              <w:rPr>
                <w:noProof/>
                <w:color w:val="000000"/>
                <w:sz w:val="14"/>
              </w:rPr>
              <w:t xml:space="preserve">(SAN/234_5) </w:t>
            </w:r>
          </w:p>
        </w:tc>
        <w:tc>
          <w:tcPr>
            <w:tcW w:w="1203" w:type="dxa"/>
            <w:tcBorders>
              <w:top w:val="nil"/>
              <w:left w:val="nil"/>
              <w:bottom w:val="single" w:sz="4" w:space="0" w:color="auto"/>
              <w:right w:val="single" w:sz="4" w:space="0" w:color="auto"/>
            </w:tcBorders>
            <w:noWrap/>
            <w:hideMark/>
          </w:tcPr>
          <w:p w:rsidR="00CB18DB" w:rsidRDefault="00CB18DB">
            <w:pPr>
              <w:spacing w:after="0"/>
              <w:jc w:val="center"/>
              <w:rPr>
                <w:noProof/>
                <w:color w:val="000000"/>
                <w:sz w:val="14"/>
                <w:szCs w:val="14"/>
              </w:rPr>
            </w:pPr>
            <w:r>
              <w:rPr>
                <w:noProof/>
                <w:color w:val="000000"/>
                <w:sz w:val="14"/>
              </w:rPr>
              <w:t xml:space="preserve">(SAN/234_6) </w:t>
            </w:r>
          </w:p>
        </w:tc>
        <w:tc>
          <w:tcPr>
            <w:tcW w:w="1203" w:type="dxa"/>
            <w:tcBorders>
              <w:top w:val="nil"/>
              <w:left w:val="nil"/>
              <w:bottom w:val="single" w:sz="4" w:space="0" w:color="auto"/>
              <w:right w:val="single" w:sz="4" w:space="0" w:color="auto"/>
            </w:tcBorders>
            <w:noWrap/>
            <w:hideMark/>
          </w:tcPr>
          <w:p w:rsidR="00CB18DB" w:rsidRDefault="00CB18DB">
            <w:pPr>
              <w:spacing w:after="0"/>
              <w:jc w:val="center"/>
              <w:rPr>
                <w:noProof/>
                <w:color w:val="000000"/>
                <w:sz w:val="14"/>
                <w:szCs w:val="14"/>
              </w:rPr>
            </w:pPr>
            <w:r>
              <w:rPr>
                <w:noProof/>
                <w:color w:val="000000"/>
                <w:sz w:val="14"/>
              </w:rPr>
              <w:t>(SAN/234_7)</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Tanska</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p.m.</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4 717</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59 428</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5 659</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206</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Yhdistynyt kuningaskunta</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p.m.</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103</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1 299</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124</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5</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Saksa</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p.m.</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7</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91</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9</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Ruotsi</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p.m.</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173</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2 182</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208</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8</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Unioni</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p.m.</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5 000</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63 000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6 000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219</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 </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 </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 </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 </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w:t>
            </w:r>
          </w:p>
        </w:tc>
      </w:tr>
      <w:tr w:rsidR="00CB18DB">
        <w:trPr>
          <w:trHeight w:val="255"/>
        </w:trPr>
        <w:tc>
          <w:tcPr>
            <w:tcW w:w="885" w:type="dxa"/>
            <w:tcBorders>
              <w:top w:val="nil"/>
              <w:left w:val="single" w:sz="4" w:space="0" w:color="auto"/>
              <w:bottom w:val="single" w:sz="4" w:space="0" w:color="auto"/>
              <w:right w:val="single" w:sz="4" w:space="0" w:color="auto"/>
            </w:tcBorders>
            <w:noWrap/>
            <w:hideMark/>
          </w:tcPr>
          <w:p w:rsidR="00CB18DB" w:rsidRDefault="00CB18DB">
            <w:pPr>
              <w:spacing w:after="0"/>
              <w:rPr>
                <w:noProof/>
                <w:color w:val="000000"/>
                <w:sz w:val="14"/>
                <w:szCs w:val="14"/>
              </w:rPr>
            </w:pPr>
            <w:r>
              <w:rPr>
                <w:noProof/>
                <w:color w:val="000000"/>
                <w:sz w:val="14"/>
              </w:rPr>
              <w:t>Yhteensä</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sz w:val="14"/>
                <w:szCs w:val="14"/>
              </w:rPr>
            </w:pPr>
            <w:r>
              <w:rPr>
                <w:noProof/>
                <w:sz w:val="14"/>
              </w:rPr>
              <w:t>p.m.</w:t>
            </w:r>
          </w:p>
        </w:tc>
        <w:tc>
          <w:tcPr>
            <w:tcW w:w="1161"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5 000</w:t>
            </w:r>
          </w:p>
        </w:tc>
        <w:tc>
          <w:tcPr>
            <w:tcW w:w="1162"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63 000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6 000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219</w:t>
            </w:r>
          </w:p>
        </w:tc>
        <w:tc>
          <w:tcPr>
            <w:tcW w:w="1203" w:type="dxa"/>
            <w:tcBorders>
              <w:top w:val="nil"/>
              <w:left w:val="nil"/>
              <w:bottom w:val="single" w:sz="4" w:space="0" w:color="auto"/>
              <w:right w:val="single" w:sz="4" w:space="0" w:color="auto"/>
            </w:tcBorders>
            <w:noWrap/>
            <w:hideMark/>
          </w:tcPr>
          <w:p w:rsidR="00CB18DB" w:rsidRDefault="00CB18DB">
            <w:pPr>
              <w:spacing w:after="0"/>
              <w:jc w:val="right"/>
              <w:rPr>
                <w:noProof/>
                <w:color w:val="000000"/>
                <w:sz w:val="14"/>
                <w:szCs w:val="14"/>
              </w:rPr>
            </w:pPr>
            <w:r>
              <w:rPr>
                <w:noProof/>
                <w:color w:val="000000"/>
                <w:sz w:val="14"/>
              </w:rPr>
              <w:t xml:space="preserve"> 0</w:t>
            </w:r>
          </w:p>
        </w:tc>
      </w:tr>
      <w:tr w:rsidR="00CB18DB">
        <w:trPr>
          <w:trHeight w:val="270"/>
        </w:trPr>
        <w:tc>
          <w:tcPr>
            <w:tcW w:w="885"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161" w:type="dxa"/>
            <w:tcBorders>
              <w:top w:val="nil"/>
              <w:left w:val="nil"/>
              <w:bottom w:val="single" w:sz="8" w:space="0" w:color="000000"/>
              <w:right w:val="nil"/>
            </w:tcBorders>
            <w:noWrap/>
            <w:hideMark/>
          </w:tcPr>
          <w:p w:rsidR="00CB18DB" w:rsidRDefault="00CB18DB">
            <w:pPr>
              <w:spacing w:after="0"/>
              <w:rPr>
                <w:noProof/>
                <w:sz w:val="18"/>
                <w:szCs w:val="18"/>
              </w:rPr>
            </w:pPr>
            <w:r>
              <w:rPr>
                <w:noProof/>
                <w:sz w:val="18"/>
              </w:rPr>
              <w:t> </w:t>
            </w:r>
          </w:p>
        </w:tc>
        <w:tc>
          <w:tcPr>
            <w:tcW w:w="1161" w:type="dxa"/>
            <w:tcBorders>
              <w:top w:val="nil"/>
              <w:left w:val="nil"/>
              <w:bottom w:val="single" w:sz="8" w:space="0" w:color="000000"/>
              <w:right w:val="nil"/>
            </w:tcBorders>
            <w:noWrap/>
            <w:hideMark/>
          </w:tcPr>
          <w:p w:rsidR="00CB18DB" w:rsidRDefault="00CB18DB">
            <w:pPr>
              <w:spacing w:after="0"/>
              <w:jc w:val="right"/>
              <w:rPr>
                <w:noProof/>
                <w:color w:val="000000"/>
                <w:sz w:val="18"/>
                <w:szCs w:val="18"/>
              </w:rPr>
            </w:pPr>
            <w:r>
              <w:rPr>
                <w:noProof/>
                <w:color w:val="000000"/>
                <w:sz w:val="18"/>
              </w:rPr>
              <w:t> </w:t>
            </w:r>
          </w:p>
        </w:tc>
        <w:tc>
          <w:tcPr>
            <w:tcW w:w="1162"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c>
          <w:tcPr>
            <w:tcW w:w="1203" w:type="dxa"/>
            <w:tcBorders>
              <w:top w:val="nil"/>
              <w:left w:val="nil"/>
              <w:bottom w:val="single" w:sz="8" w:space="0" w:color="000000"/>
              <w:right w:val="nil"/>
            </w:tcBorders>
            <w:noWrap/>
            <w:hideMark/>
          </w:tcPr>
          <w:p w:rsidR="00CB18DB" w:rsidRDefault="00CB18DB">
            <w:pPr>
              <w:spacing w:after="0"/>
              <w:rPr>
                <w:noProof/>
                <w:color w:val="000000"/>
                <w:sz w:val="18"/>
                <w:szCs w:val="18"/>
              </w:rPr>
            </w:pPr>
            <w:r>
              <w:rPr>
                <w:noProof/>
                <w:color w:val="000000"/>
                <w:sz w:val="18"/>
              </w:rPr>
              <w:t> </w:t>
            </w:r>
          </w:p>
        </w:tc>
      </w:tr>
      <w:tr w:rsidR="00CB18DB">
        <w:trPr>
          <w:trHeight w:val="255"/>
        </w:trPr>
        <w:tc>
          <w:tcPr>
            <w:tcW w:w="885" w:type="dxa"/>
            <w:noWrap/>
            <w:hideMark/>
          </w:tcPr>
          <w:p w:rsidR="00CB18DB" w:rsidRDefault="00CB18DB">
            <w:pPr>
              <w:spacing w:after="0" w:line="276" w:lineRule="auto"/>
              <w:rPr>
                <w:noProof/>
              </w:rPr>
            </w:pPr>
          </w:p>
        </w:tc>
        <w:tc>
          <w:tcPr>
            <w:tcW w:w="1161" w:type="dxa"/>
            <w:noWrap/>
            <w:hideMark/>
          </w:tcPr>
          <w:p w:rsidR="00CB18DB" w:rsidRDefault="00CB18DB">
            <w:pPr>
              <w:spacing w:after="0" w:line="276" w:lineRule="auto"/>
              <w:rPr>
                <w:noProof/>
              </w:rPr>
            </w:pPr>
          </w:p>
        </w:tc>
        <w:tc>
          <w:tcPr>
            <w:tcW w:w="1161" w:type="dxa"/>
            <w:noWrap/>
            <w:hideMark/>
          </w:tcPr>
          <w:p w:rsidR="00CB18DB" w:rsidRDefault="00CB18DB">
            <w:pPr>
              <w:spacing w:after="0" w:line="276" w:lineRule="auto"/>
              <w:rPr>
                <w:noProof/>
              </w:rPr>
            </w:pPr>
          </w:p>
        </w:tc>
        <w:tc>
          <w:tcPr>
            <w:tcW w:w="1162"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c>
          <w:tcPr>
            <w:tcW w:w="1203" w:type="dxa"/>
            <w:noWrap/>
            <w:hideMark/>
          </w:tcPr>
          <w:p w:rsidR="00CB18DB" w:rsidRDefault="00CB18DB">
            <w:pPr>
              <w:spacing w:after="0" w:line="276" w:lineRule="auto"/>
              <w:rPr>
                <w:noProof/>
              </w:rPr>
            </w:pPr>
          </w:p>
        </w:tc>
      </w:tr>
    </w:tbl>
    <w:p w:rsidR="00CB18DB" w:rsidRDefault="00CB18DB">
      <w:pPr>
        <w:pStyle w:val="Titrearticle"/>
        <w:rPr>
          <w:noProof/>
        </w:rPr>
      </w:pPr>
      <w:r>
        <w:rPr>
          <w:noProof/>
        </w:rPr>
        <w:t>2 artikla</w:t>
      </w:r>
      <w:r>
        <w:rPr>
          <w:noProof/>
        </w:rPr>
        <w:br/>
        <w:t>Voimaantulo</w:t>
      </w:r>
    </w:p>
    <w:p w:rsidR="00CB18DB" w:rsidRDefault="00CB18DB">
      <w:pPr>
        <w:rPr>
          <w:noProof/>
        </w:rPr>
      </w:pPr>
      <w:r>
        <w:rPr>
          <w:noProof/>
        </w:rPr>
        <w:t xml:space="preserve">Tämä asetus tulee voimaan sitä päivää seuraavana päivänä, jona se julkaistaan </w:t>
      </w:r>
      <w:r>
        <w:rPr>
          <w:i/>
          <w:noProof/>
        </w:rPr>
        <w:t>Euroopan unionin virallisessa lehdessä</w:t>
      </w:r>
      <w:r>
        <w:rPr>
          <w:noProof/>
        </w:rPr>
        <w:t>.</w:t>
      </w:r>
    </w:p>
    <w:p w:rsidR="00CB18DB" w:rsidRDefault="00CB18DB">
      <w:pPr>
        <w:rPr>
          <w:noProof/>
        </w:rPr>
      </w:pPr>
      <w:r>
        <w:rPr>
          <w:noProof/>
        </w:rPr>
        <w:t>Sitä sovelletaan 1 päivästä tammikuuta 2016.</w:t>
      </w:r>
    </w:p>
    <w:p w:rsidR="00CB18DB" w:rsidRDefault="00CB18DB">
      <w:pPr>
        <w:rPr>
          <w:noProof/>
        </w:rPr>
      </w:pPr>
      <w:r>
        <w:rPr>
          <w:noProof/>
        </w:rPr>
        <w:t>Tämä asetus on kaikilta osiltaan velvoittava, ja sitä sovelletaan sellaisenaan kaikissa jäsenvaltioissa.</w:t>
      </w:r>
    </w:p>
    <w:p w:rsidR="00CB18DB" w:rsidRDefault="00CB18DB">
      <w:pPr>
        <w:pStyle w:val="Fait"/>
        <w:rPr>
          <w:noProof/>
        </w:rPr>
      </w:pPr>
      <w:r>
        <w:rPr>
          <w:noProof/>
        </w:rPr>
        <w:t>Tehty Brysselissä</w:t>
      </w:r>
    </w:p>
    <w:p w:rsidR="00CB18DB" w:rsidRDefault="00CB18DB">
      <w:pPr>
        <w:pStyle w:val="Institutionquisigne"/>
        <w:rPr>
          <w:noProof/>
        </w:rPr>
      </w:pPr>
      <w:r>
        <w:rPr>
          <w:noProof/>
        </w:rPr>
        <w:tab/>
        <w:t>Neuvoston puolesta</w:t>
      </w:r>
    </w:p>
    <w:p w:rsidR="00CB18DB" w:rsidRDefault="00CB18DB">
      <w:pPr>
        <w:pStyle w:val="Personnequisigne"/>
        <w:rPr>
          <w:noProof/>
        </w:rPr>
      </w:pPr>
      <w:r>
        <w:rPr>
          <w:noProof/>
        </w:rPr>
        <w:tab/>
        <w:t>Puheenjohtaja</w:t>
      </w:r>
    </w:p>
    <w:sectPr w:rsidR="00CB18DB" w:rsidSect="00CB18DB">
      <w:footerReference w:type="default" r:id="rId10"/>
      <w:footerReference w:type="first" r:id="rId11"/>
      <w:pgSz w:w="11907" w:h="16839"/>
      <w:pgMar w:top="1134" w:right="1417" w:bottom="1134" w:left="141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8DB" w:rsidRDefault="00CB18DB">
      <w:pPr>
        <w:spacing w:before="0" w:after="0"/>
      </w:pPr>
      <w:r>
        <w:separator/>
      </w:r>
    </w:p>
  </w:endnote>
  <w:endnote w:type="continuationSeparator" w:id="0">
    <w:p w:rsidR="00CB18DB" w:rsidRDefault="00CB18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DB" w:rsidRDefault="00CB18DB">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DB" w:rsidRDefault="00CB18DB">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DB" w:rsidRDefault="00CB1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8DB" w:rsidRDefault="00CB18DB">
      <w:pPr>
        <w:spacing w:before="0" w:after="0"/>
      </w:pPr>
      <w:r>
        <w:separator/>
      </w:r>
    </w:p>
  </w:footnote>
  <w:footnote w:type="continuationSeparator" w:id="0">
    <w:p w:rsidR="00CB18DB" w:rsidRDefault="00CB18DB">
      <w:pPr>
        <w:spacing w:before="0" w:after="0"/>
      </w:pPr>
      <w:r>
        <w:continuationSeparator/>
      </w:r>
    </w:p>
  </w:footnote>
  <w:footnote w:id="1">
    <w:p w:rsidR="00CB18DB" w:rsidRDefault="00CB18DB">
      <w:pPr>
        <w:pStyle w:val="FootnoteText"/>
      </w:pPr>
      <w:r>
        <w:rPr>
          <w:rStyle w:val="FootnoteReference"/>
        </w:rPr>
        <w:footnoteRef/>
      </w:r>
      <w:r>
        <w:tab/>
        <w:t xml:space="preserve">Neuvoston asetus (EU) 2016/72, annettu 22 päivänä tammikuuta 2016, unionin vesillä ja unionin kalastusaluksiin tietyillä unionin ulkopuolisilla vesillä sovellettavien tiettyjen kalakantojen ja kalakantaryhmien kalastusmahdollisuuksien vahvistamisesta vuodeksi 2016 sekä asetuksen (EU) 2015/104 muuttamisesta (EUVL L 22, 28.1.2016, s. 1). </w:t>
      </w:r>
    </w:p>
  </w:footnote>
  <w:footnote w:id="2">
    <w:p w:rsidR="00CB18DB" w:rsidRDefault="00CB18DB">
      <w:pPr>
        <w:pStyle w:val="FootnoteText"/>
      </w:pPr>
      <w:r>
        <w:rPr>
          <w:rStyle w:val="FootnoteReference"/>
        </w:rPr>
        <w:footnoteRef/>
      </w:r>
      <w:r>
        <w:tab/>
        <w:t>Neuvoston asetus (EU) 2016/458, annettu 30 päivänä maaliskuuta 2016, asetuksen (EU) 2016/72 muuttamisesta tiettyjen kalastusmahdollisuuksien osalta (EUVL L 80, 31.3.2016,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A9692EE"/>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5640283E"/>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3F24C8C0"/>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BF90B0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77218B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89264A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27A7A78"/>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57ACFCE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21"/>
    <w:lvlOverride w:ilvl="0">
      <w:startOverride w:val="1"/>
    </w:lvlOverride>
  </w:num>
  <w:num w:numId="14">
    <w:abstractNumId w:val="6"/>
  </w:num>
  <w:num w:numId="15">
    <w:abstractNumId w:val="2"/>
  </w:num>
  <w:num w:numId="16">
    <w:abstractNumId w:val="1"/>
  </w:num>
  <w:num w:numId="17">
    <w:abstractNumId w:val="0"/>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 w:numId="32">
    <w:abstractNumId w:val="18"/>
  </w:num>
  <w:num w:numId="33">
    <w:abstractNumId w:val="12"/>
  </w:num>
  <w:num w:numId="34">
    <w:abstractNumId w:val="20"/>
  </w:num>
  <w:num w:numId="35">
    <w:abstractNumId w:val="11"/>
  </w:num>
  <w:num w:numId="36">
    <w:abstractNumId w:val="13"/>
  </w:num>
  <w:num w:numId="37">
    <w:abstractNumId w:val="9"/>
  </w:num>
  <w:num w:numId="38">
    <w:abstractNumId w:val="19"/>
  </w:num>
  <w:num w:numId="39">
    <w:abstractNumId w:val="8"/>
  </w:num>
  <w:num w:numId="40">
    <w:abstractNumId w:val="14"/>
  </w:num>
  <w:num w:numId="41">
    <w:abstractNumId w:val="16"/>
  </w:num>
  <w:num w:numId="42">
    <w:abstractNumId w:val="17"/>
  </w:num>
  <w:num w:numId="43">
    <w:abstractNumId w:val="10"/>
  </w:num>
  <w:num w:numId="44">
    <w:abstractNumId w:val="15"/>
  </w:num>
  <w:num w:numId="4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QCDateTime" w:val="2016-04-28 09:32:3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5A3F392B2EA4B0881C678C13AAC3D83"/>
    <w:docVar w:name="LW_CROSSREFERENCE" w:val="&lt;UNUSED&gt;"/>
    <w:docVar w:name="LW_DocType" w:val="COM"/>
    <w:docVar w:name="LW_EMISSION" w:val="4.5.2016"/>
    <w:docVar w:name="LW_EMISSION_ISODATE" w:val="2016-05-04"/>
    <w:docVar w:name="LW_EMISSION_LOCATION" w:val="BRX"/>
    <w:docVar w:name="LW_EMISSION_PREFIX" w:val="Bryssel "/>
    <w:docVar w:name="LW_EMISSION_SUFFIX" w:val=" "/>
    <w:docVar w:name="LW_ID_DOCMODEL" w:val="SJ-016"/>
    <w:docVar w:name="LW_ID_DOCSIGNATURE" w:val="SJ-016"/>
    <w:docVar w:name="LW_ID_DOCSTRUCTURE" w:val="COM/PL/ORG"/>
    <w:docVar w:name="LW_ID_DOCTYPE" w:val="SJ-016"/>
    <w:docVar w:name="LW_ID_STATUT" w:val="SJ-016"/>
    <w:docVar w:name="LW_INTERETEEE.CP" w:val="&lt;UNUSED&gt;"/>
    <w:docVar w:name="LW_LANGUE" w:val="FI"/>
    <w:docVar w:name="LW_MARKING" w:val="&lt;UNUSED&gt;"/>
    <w:docVar w:name="LW_NOM.INST" w:val="EUROOPAN KOMISSIO"/>
    <w:docVar w:name="LW_NOM.INST_JOINTDOC" w:val="&lt;EMPTY&gt;"/>
    <w:docVar w:name="LW_PART_NBR" w:val="1"/>
    <w:docVar w:name="LW_PART_NBR_TOTAL" w:val="1"/>
    <w:docVar w:name="LW_REF.II.NEW.CP" w:val="NLE"/>
    <w:docVar w:name="LW_REF.II.NEW.CP_NUMBER" w:val="0128"/>
    <w:docVar w:name="LW_REF.II.NEW.CP_YEAR" w:val="2016"/>
    <w:docVar w:name="LW_REF.INST.NEW" w:val="COM"/>
    <w:docVar w:name="LW_REF.INST.NEW_ADOPTED" w:val="final"/>
    <w:docVar w:name="LW_REF.INST.NEW_TEXT" w:val="(2016) 241"/>
    <w:docVar w:name="LW_REF.INTERNE" w:val="&lt;UNUSED&gt;"/>
    <w:docVar w:name="LW_SOUS.TITRE.OBJ.CP" w:val="&lt;UNUSED&gt;"/>
    <w:docVar w:name="LW_STATUT.CP" w:val="Ehdotus"/>
    <w:docVar w:name="LW_SUPERTITRE" w:val="&lt;UNUSED&gt;"/>
    <w:docVar w:name="LW_TITRE.OBJ.CP" w:val="asetuksen (EU) 2016/72 muuttamisesta tuulenkalan kalastusmahdollisuuksien osalta tietyillä unionin vesillä"/>
    <w:docVar w:name="LW_TYPE.DOC.CP" w:val="NEUVOSTON ASETUS"/>
  </w:docVars>
  <w:rsids>
    <w:rsidRoot w:val="00CB18DB"/>
    <w:rsid w:val="00CB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fi-FI" w:eastAsia="en-GB"/>
    </w:rPr>
  </w:style>
  <w:style w:type="paragraph" w:styleId="Heading1">
    <w:name w:val="heading 1"/>
    <w:basedOn w:val="Normal"/>
    <w:next w:val="Text1"/>
    <w:link w:val="Heading1Char"/>
    <w:uiPriority w:val="9"/>
    <w:qFormat/>
    <w:pPr>
      <w:keepNext/>
      <w:numPr>
        <w:numId w:val="30"/>
      </w:numPr>
      <w:tabs>
        <w:tab w:val="num" w:pos="850"/>
      </w:tabs>
      <w:spacing w:before="360"/>
      <w:ind w:left="850" w:hanging="85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30"/>
      </w:numPr>
      <w:tabs>
        <w:tab w:val="num" w:pos="850"/>
      </w:tabs>
      <w:ind w:left="850" w:hanging="850"/>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30"/>
      </w:numPr>
      <w:tabs>
        <w:tab w:val="num" w:pos="850"/>
      </w:tabs>
      <w:ind w:left="850" w:hanging="850"/>
      <w:outlineLvl w:val="2"/>
    </w:pPr>
    <w:rPr>
      <w:bCs/>
      <w:i/>
    </w:rPr>
  </w:style>
  <w:style w:type="paragraph" w:styleId="Heading4">
    <w:name w:val="heading 4"/>
    <w:basedOn w:val="Normal"/>
    <w:next w:val="Text1"/>
    <w:link w:val="Heading4Char"/>
    <w:uiPriority w:val="9"/>
    <w:semiHidden/>
    <w:unhideWhenUsed/>
    <w:qFormat/>
    <w:pPr>
      <w:keepNext/>
      <w:numPr>
        <w:ilvl w:val="3"/>
        <w:numId w:val="30"/>
      </w:numPr>
      <w:tabs>
        <w:tab w:val="num" w:pos="850"/>
      </w:tabs>
      <w:ind w:left="850" w:hanging="850"/>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hAnsi="Times New Roman"/>
      <w:sz w:val="24"/>
      <w:shd w:val="clear" w:color="auto" w:fill="auto"/>
      <w:lang w:val="en-GB" w:eastAsia="x-non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fi-FI" w:eastAsia="fi-FI"/>
    </w:rPr>
  </w:style>
  <w:style w:type="character" w:customStyle="1" w:styleId="st">
    <w:name w:val="st"/>
  </w:style>
  <w:style w:type="paragraph" w:styleId="ListBullet">
    <w:name w:val="List Bullet"/>
    <w:basedOn w:val="Normal"/>
    <w:uiPriority w:val="99"/>
    <w:semiHidden/>
    <w:unhideWhenUsed/>
    <w:pPr>
      <w:numPr>
        <w:numId w:val="9"/>
      </w:numPr>
      <w:contextualSpacing/>
    </w:pPr>
  </w:style>
  <w:style w:type="paragraph" w:styleId="ListBullet2">
    <w:name w:val="List Bullet 2"/>
    <w:basedOn w:val="Normal"/>
    <w:uiPriority w:val="99"/>
    <w:semiHidden/>
    <w:unhideWhenUsed/>
    <w:pPr>
      <w:numPr>
        <w:numId w:val="10"/>
      </w:numPr>
      <w:contextualSpacing/>
    </w:pPr>
  </w:style>
  <w:style w:type="paragraph" w:styleId="ListBullet3">
    <w:name w:val="List Bullet 3"/>
    <w:basedOn w:val="Normal"/>
    <w:uiPriority w:val="99"/>
    <w:semiHidden/>
    <w:unhideWhenUsed/>
    <w:pPr>
      <w:numPr>
        <w:numId w:val="11"/>
      </w:numPr>
      <w:contextualSpacing/>
    </w:pPr>
  </w:style>
  <w:style w:type="paragraph" w:styleId="ListBullet4">
    <w:name w:val="List Bullet 4"/>
    <w:basedOn w:val="Normal"/>
    <w:uiPriority w:val="99"/>
    <w:semiHidden/>
    <w:unhideWhenUsed/>
    <w:pPr>
      <w:numPr>
        <w:numId w:val="12"/>
      </w:numPr>
      <w:contextualSpacing/>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szCs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character" w:styleId="CommentReference">
    <w:name w:val="annotation reference"/>
    <w:basedOn w:val="DefaultParagraphFont"/>
    <w:uiPriority w:val="99"/>
    <w:semiHidden/>
    <w:unhideWhenUsed/>
    <w:rPr>
      <w:sz w:val="16"/>
      <w:lang w:val="fi-FI" w:eastAsia="fi-F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lang w:val="fi-FI"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lang w:val="fi-FI" w:eastAsia="fi-FI"/>
    </w:rPr>
  </w:style>
  <w:style w:type="character" w:styleId="Hyperlink">
    <w:name w:val="Hyperlink"/>
    <w:basedOn w:val="DefaultParagraphFont"/>
    <w:uiPriority w:val="99"/>
    <w:unhideWhenUsed/>
    <w:rPr>
      <w:color w:val="0000FF"/>
      <w:u w:val="single"/>
      <w:lang w:val="fi-FI" w:eastAsia="fi-FI"/>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fi-FI"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tabs>
        <w:tab w:val="num" w:pos="1417"/>
      </w:tabs>
    </w:pPr>
  </w:style>
  <w:style w:type="paragraph" w:customStyle="1" w:styleId="Tiret2">
    <w:name w:val="Tiret 2"/>
    <w:basedOn w:val="Point2"/>
    <w:pPr>
      <w:numPr>
        <w:numId w:val="26"/>
      </w:numPr>
      <w:tabs>
        <w:tab w:val="num" w:pos="1984"/>
      </w:tabs>
    </w:pPr>
  </w:style>
  <w:style w:type="paragraph" w:customStyle="1" w:styleId="Tiret3">
    <w:name w:val="Tiret 3"/>
    <w:basedOn w:val="Point3"/>
    <w:pPr>
      <w:numPr>
        <w:numId w:val="27"/>
      </w:numPr>
      <w:tabs>
        <w:tab w:val="num" w:pos="2551"/>
      </w:tabs>
    </w:pPr>
  </w:style>
  <w:style w:type="paragraph" w:customStyle="1" w:styleId="Tiret4">
    <w:name w:val="Tiret 4"/>
    <w:basedOn w:val="Point4"/>
    <w:pPr>
      <w:numPr>
        <w:numId w:val="28"/>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tabs>
        <w:tab w:val="num" w:pos="850"/>
      </w:tabs>
      <w:ind w:left="850" w:hanging="850"/>
    </w:pPr>
  </w:style>
  <w:style w:type="paragraph" w:customStyle="1" w:styleId="NumPar2">
    <w:name w:val="NumPar 2"/>
    <w:basedOn w:val="Normal"/>
    <w:next w:val="Text1"/>
    <w:pPr>
      <w:numPr>
        <w:ilvl w:val="1"/>
        <w:numId w:val="29"/>
      </w:numPr>
      <w:tabs>
        <w:tab w:val="num" w:pos="850"/>
      </w:tabs>
      <w:ind w:left="850" w:hanging="850"/>
    </w:pPr>
  </w:style>
  <w:style w:type="paragraph" w:customStyle="1" w:styleId="NumPar3">
    <w:name w:val="NumPar 3"/>
    <w:basedOn w:val="Normal"/>
    <w:next w:val="Text1"/>
    <w:pPr>
      <w:numPr>
        <w:ilvl w:val="2"/>
        <w:numId w:val="29"/>
      </w:numPr>
      <w:tabs>
        <w:tab w:val="num" w:pos="850"/>
      </w:tabs>
      <w:ind w:left="850" w:hanging="850"/>
    </w:pPr>
  </w:style>
  <w:style w:type="paragraph" w:customStyle="1" w:styleId="NumPar4">
    <w:name w:val="NumPar 4"/>
    <w:basedOn w:val="Normal"/>
    <w:next w:val="Text1"/>
    <w:pPr>
      <w:numPr>
        <w:ilvl w:val="3"/>
        <w:numId w:val="29"/>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1"/>
      </w:numPr>
      <w:tabs>
        <w:tab w:val="num" w:pos="850"/>
      </w:tabs>
      <w:ind w:left="850" w:hanging="850"/>
    </w:pPr>
  </w:style>
  <w:style w:type="paragraph" w:customStyle="1" w:styleId="Point1number">
    <w:name w:val="Point 1 (number)"/>
    <w:basedOn w:val="Normal"/>
    <w:pPr>
      <w:numPr>
        <w:ilvl w:val="2"/>
        <w:numId w:val="31"/>
      </w:numPr>
      <w:tabs>
        <w:tab w:val="num" w:pos="1417"/>
      </w:tabs>
      <w:ind w:left="1417" w:hanging="567"/>
    </w:pPr>
  </w:style>
  <w:style w:type="paragraph" w:customStyle="1" w:styleId="Point2number">
    <w:name w:val="Point 2 (number)"/>
    <w:basedOn w:val="Normal"/>
    <w:pPr>
      <w:numPr>
        <w:ilvl w:val="4"/>
        <w:numId w:val="31"/>
      </w:numPr>
      <w:tabs>
        <w:tab w:val="num" w:pos="1984"/>
      </w:tabs>
      <w:ind w:left="1984" w:hanging="567"/>
    </w:pPr>
  </w:style>
  <w:style w:type="paragraph" w:customStyle="1" w:styleId="Point3number">
    <w:name w:val="Point 3 (number)"/>
    <w:basedOn w:val="Normal"/>
    <w:pPr>
      <w:numPr>
        <w:ilvl w:val="6"/>
        <w:numId w:val="31"/>
      </w:numPr>
      <w:tabs>
        <w:tab w:val="num" w:pos="2551"/>
      </w:tabs>
      <w:ind w:left="2551" w:hanging="567"/>
    </w:pPr>
  </w:style>
  <w:style w:type="paragraph" w:customStyle="1" w:styleId="Point0letter">
    <w:name w:val="Point 0 (letter)"/>
    <w:basedOn w:val="Normal"/>
    <w:pPr>
      <w:numPr>
        <w:ilvl w:val="1"/>
        <w:numId w:val="31"/>
      </w:numPr>
      <w:tabs>
        <w:tab w:val="num" w:pos="850"/>
      </w:tabs>
      <w:ind w:left="850" w:hanging="850"/>
    </w:pPr>
  </w:style>
  <w:style w:type="paragraph" w:customStyle="1" w:styleId="Point1letter">
    <w:name w:val="Point 1 (letter)"/>
    <w:basedOn w:val="Normal"/>
    <w:pPr>
      <w:numPr>
        <w:ilvl w:val="3"/>
        <w:numId w:val="31"/>
      </w:numPr>
      <w:tabs>
        <w:tab w:val="num" w:pos="1417"/>
      </w:tabs>
      <w:ind w:left="1417" w:hanging="567"/>
    </w:pPr>
  </w:style>
  <w:style w:type="paragraph" w:customStyle="1" w:styleId="Point2letter">
    <w:name w:val="Point 2 (letter)"/>
    <w:basedOn w:val="Normal"/>
    <w:pPr>
      <w:numPr>
        <w:ilvl w:val="5"/>
        <w:numId w:val="31"/>
      </w:numPr>
      <w:tabs>
        <w:tab w:val="num" w:pos="1984"/>
      </w:tabs>
      <w:ind w:left="1984" w:hanging="567"/>
    </w:pPr>
  </w:style>
  <w:style w:type="paragraph" w:customStyle="1" w:styleId="Point3letter">
    <w:name w:val="Point 3 (letter)"/>
    <w:basedOn w:val="Normal"/>
    <w:pPr>
      <w:numPr>
        <w:ilvl w:val="7"/>
        <w:numId w:val="31"/>
      </w:numPr>
      <w:tabs>
        <w:tab w:val="num" w:pos="2551"/>
      </w:tabs>
      <w:ind w:left="2551" w:hanging="567"/>
    </w:pPr>
  </w:style>
  <w:style w:type="paragraph" w:customStyle="1" w:styleId="Point4letter">
    <w:name w:val="Point 4 (letter)"/>
    <w:basedOn w:val="Normal"/>
    <w:pPr>
      <w:numPr>
        <w:ilvl w:val="8"/>
        <w:numId w:val="31"/>
      </w:numPr>
      <w:tabs>
        <w:tab w:val="num" w:pos="3118"/>
      </w:tabs>
      <w:ind w:left="3118" w:hanging="567"/>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6280-5745-48BC-9F7A-30EEDABD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6</Pages>
  <Words>845</Words>
  <Characters>6529</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2016-04-25T16:58:00Z</cp:lastPrinted>
  <dcterms:created xsi:type="dcterms:W3CDTF">2016-04-26T07:52:00Z</dcterms:created>
  <dcterms:modified xsi:type="dcterms:W3CDTF">2016-04-28T07:32:00Z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