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787772D20B65461394189375D2DC3198" style="width:450.75pt;height:339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PERUSTELUT</w:t>
      </w:r>
    </w:p>
    <w:p>
      <w:pPr>
        <w:pStyle w:val="ManualHeading1"/>
        <w:rPr>
          <w:noProof/>
        </w:rPr>
      </w:pPr>
      <w:r>
        <w:rPr>
          <w:noProof/>
        </w:rPr>
        <w:t>EHDOTUKSEN TAUSTA</w:t>
      </w:r>
    </w:p>
    <w:p>
      <w:pPr>
        <w:pStyle w:val="ManualNumPar1"/>
        <w:rPr>
          <w:noProof/>
        </w:rPr>
      </w:pPr>
      <w:r>
        <w:t>1.</w:t>
      </w:r>
      <w:r>
        <w:tab/>
      </w:r>
      <w:r>
        <w:rPr>
          <w:noProof/>
        </w:rPr>
        <w:t>Euroopan globalisaatiorahaston, jäljempänä ’EGR’, rahoitustukeen sovellettavat säännöt vahvistetaan Euroopan globalisaatiorahastosta (2014–2020) ja asetuksen (EY) N:o 1927/2006 kumoamisesta 17. joulukuuta 2013 annetussa Euroopan parlamentin ja neuvoston asetuksessa (EU) N:o 1309/2013</w:t>
      </w:r>
      <w:r>
        <w:rPr>
          <w:rStyle w:val="FootnoteReference"/>
          <w:noProof/>
        </w:rPr>
        <w:footnoteReference w:id="1"/>
      </w:r>
      <w:r>
        <w:rPr>
          <w:noProof/>
        </w:rPr>
        <w:t>, jäljempänä ’EGR-asetus’.</w:t>
      </w:r>
    </w:p>
    <w:p>
      <w:pPr>
        <w:pStyle w:val="ManualNumPar1"/>
        <w:rPr>
          <w:noProof/>
        </w:rPr>
      </w:pPr>
      <w:r>
        <w:t>2.</w:t>
      </w:r>
      <w:r>
        <w:tab/>
      </w:r>
      <w:r>
        <w:rPr>
          <w:noProof/>
        </w:rPr>
        <w:t>Kreikka esitti 26. marraskuuta 2015 hakemuksen EGF/2015/011 GR/Supermarket Larissa EGR:n rahoitustuen saamiseksi Supermarket Larissa ABEE -yrityksen Kreikassa toteuttamien työntekijävähennysten</w:t>
      </w:r>
      <w:r>
        <w:rPr>
          <w:rStyle w:val="FootnoteReference"/>
          <w:noProof/>
        </w:rPr>
        <w:footnoteReference w:id="2"/>
      </w:r>
      <w:r>
        <w:rPr>
          <w:noProof/>
        </w:rPr>
        <w:t xml:space="preserve"> vuoksi.</w:t>
      </w:r>
    </w:p>
    <w:p>
      <w:pPr>
        <w:pStyle w:val="ManualNumPar1"/>
        <w:rPr>
          <w:noProof/>
        </w:rPr>
      </w:pPr>
      <w:r>
        <w:t>3.</w:t>
      </w:r>
      <w:r>
        <w:tab/>
      </w:r>
      <w:r>
        <w:rPr>
          <w:noProof/>
        </w:rPr>
        <w:t xml:space="preserve">Arvioituaan hakemuksen komissio on tullut EGR-asetuksen kaikkien sovellettavien säännösten mukaisesti siihen tulokseen, että edellytykset rahoitustuen saamiseksi EGR:stä täyttyvät. </w:t>
      </w:r>
    </w:p>
    <w:p>
      <w:pPr>
        <w:pStyle w:val="ManualHeading1"/>
        <w:rPr>
          <w:noProof/>
        </w:rPr>
      </w:pPr>
      <w:r>
        <w:rPr>
          <w:noProof/>
        </w:rPr>
        <w:t>HAKEMUKSEN TIIVISTELMÄ</w:t>
      </w: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668"/>
        <w:gridCol w:w="1560"/>
        <w:gridCol w:w="3059"/>
      </w:tblGrid>
      <w:tr>
        <w:tc>
          <w:tcPr>
            <w:tcW w:w="4668" w:type="dxa"/>
            <w:shd w:val="clear" w:color="auto" w:fill="auto"/>
          </w:tcPr>
          <w:p>
            <w:pPr>
              <w:spacing w:before="60" w:after="60"/>
              <w:jc w:val="left"/>
              <w:rPr>
                <w:rFonts w:eastAsia="Calibri"/>
                <w:noProof/>
              </w:rPr>
            </w:pPr>
            <w:r>
              <w:rPr>
                <w:noProof/>
              </w:rPr>
              <w:t>EGR-hakemus</w:t>
            </w:r>
          </w:p>
        </w:tc>
        <w:tc>
          <w:tcPr>
            <w:tcW w:w="4619" w:type="dxa"/>
            <w:gridSpan w:val="2"/>
            <w:shd w:val="clear" w:color="auto" w:fill="auto"/>
          </w:tcPr>
          <w:p>
            <w:pPr>
              <w:spacing w:before="60" w:after="60"/>
              <w:ind w:rightChars="192" w:right="461"/>
              <w:jc w:val="left"/>
              <w:rPr>
                <w:rFonts w:eastAsia="Calibri"/>
                <w:noProof/>
              </w:rPr>
            </w:pPr>
            <w:r>
              <w:rPr>
                <w:noProof/>
              </w:rPr>
              <w:t>EGF/2015/011 GR/Supermarket Larissa</w:t>
            </w:r>
          </w:p>
        </w:tc>
      </w:tr>
      <w:tr>
        <w:tc>
          <w:tcPr>
            <w:tcW w:w="4668" w:type="dxa"/>
            <w:shd w:val="clear" w:color="auto" w:fill="auto"/>
          </w:tcPr>
          <w:p>
            <w:pPr>
              <w:spacing w:before="60" w:after="60"/>
              <w:jc w:val="left"/>
              <w:rPr>
                <w:rFonts w:eastAsia="Calibri"/>
                <w:noProof/>
              </w:rPr>
            </w:pPr>
            <w:r>
              <w:rPr>
                <w:noProof/>
              </w:rPr>
              <w:t>Jäsenvaltio</w:t>
            </w:r>
          </w:p>
        </w:tc>
        <w:tc>
          <w:tcPr>
            <w:tcW w:w="4619" w:type="dxa"/>
            <w:gridSpan w:val="2"/>
            <w:shd w:val="clear" w:color="auto" w:fill="auto"/>
          </w:tcPr>
          <w:p>
            <w:pPr>
              <w:spacing w:before="60" w:after="60"/>
              <w:ind w:rightChars="192" w:right="461"/>
              <w:jc w:val="left"/>
              <w:rPr>
                <w:rFonts w:eastAsia="Calibri"/>
                <w:noProof/>
              </w:rPr>
            </w:pPr>
            <w:r>
              <w:rPr>
                <w:noProof/>
              </w:rPr>
              <w:t>Kreikka</w:t>
            </w:r>
          </w:p>
        </w:tc>
      </w:tr>
      <w:tr>
        <w:tc>
          <w:tcPr>
            <w:tcW w:w="4668" w:type="dxa"/>
            <w:tcBorders>
              <w:bottom w:val="single" w:sz="4" w:space="0" w:color="auto"/>
            </w:tcBorders>
            <w:shd w:val="clear" w:color="auto" w:fill="auto"/>
          </w:tcPr>
          <w:p>
            <w:pPr>
              <w:spacing w:before="60" w:after="60"/>
              <w:jc w:val="left"/>
              <w:rPr>
                <w:rFonts w:eastAsia="Calibri"/>
                <w:noProof/>
              </w:rPr>
            </w:pPr>
            <w:r>
              <w:rPr>
                <w:noProof/>
              </w:rPr>
              <w:t>Asianomaiset alueet (NUTS</w:t>
            </w:r>
            <w:r>
              <w:rPr>
                <w:rStyle w:val="FootnoteReference"/>
                <w:noProof/>
              </w:rPr>
              <w:footnoteReference w:id="3"/>
            </w:r>
            <w:r>
              <w:rPr>
                <w:noProof/>
              </w:rPr>
              <w:t>-taso 2)</w:t>
            </w:r>
          </w:p>
        </w:tc>
        <w:tc>
          <w:tcPr>
            <w:tcW w:w="4619" w:type="dxa"/>
            <w:gridSpan w:val="2"/>
            <w:tcBorders>
              <w:bottom w:val="single" w:sz="4" w:space="0" w:color="auto"/>
            </w:tcBorders>
            <w:shd w:val="clear" w:color="auto" w:fill="auto"/>
          </w:tcPr>
          <w:p>
            <w:pPr>
              <w:spacing w:before="0" w:after="0"/>
              <w:ind w:rightChars="192" w:right="461"/>
              <w:jc w:val="left"/>
              <w:rPr>
                <w:noProof/>
                <w:szCs w:val="24"/>
              </w:rPr>
            </w:pPr>
            <w:r>
              <w:rPr>
                <w:noProof/>
              </w:rPr>
              <w:t xml:space="preserve">Keski-Makedonia </w:t>
            </w:r>
            <w:r>
              <w:rPr>
                <w:noProof/>
              </w:rPr>
              <w:br/>
              <w:t>(Κεντρική Μακεδονία) (EL12)</w:t>
            </w:r>
            <w:r>
              <w:rPr>
                <w:noProof/>
              </w:rPr>
              <w:br/>
              <w:t>Thessalia</w:t>
            </w:r>
            <w:r>
              <w:rPr>
                <w:noProof/>
              </w:rPr>
              <w:br/>
              <w:t>(Θεσσαλία) (EL14)</w:t>
            </w:r>
          </w:p>
        </w:tc>
      </w:tr>
      <w:tr>
        <w:tc>
          <w:tcPr>
            <w:tcW w:w="4668" w:type="dxa"/>
            <w:tcBorders>
              <w:bottom w:val="dotted" w:sz="4" w:space="0" w:color="auto"/>
            </w:tcBorders>
            <w:shd w:val="clear" w:color="auto" w:fill="auto"/>
          </w:tcPr>
          <w:p>
            <w:pPr>
              <w:spacing w:before="60" w:after="60"/>
              <w:jc w:val="left"/>
              <w:rPr>
                <w:rFonts w:eastAsia="Calibri"/>
                <w:noProof/>
              </w:rPr>
            </w:pPr>
            <w:r>
              <w:rPr>
                <w:noProof/>
              </w:rPr>
              <w:t>Hakemuksen toimittamispäivä</w:t>
            </w:r>
          </w:p>
        </w:tc>
        <w:tc>
          <w:tcPr>
            <w:tcW w:w="4619" w:type="dxa"/>
            <w:gridSpan w:val="2"/>
            <w:tcBorders>
              <w:bottom w:val="dotted" w:sz="4" w:space="0" w:color="auto"/>
            </w:tcBorders>
            <w:shd w:val="clear" w:color="auto" w:fill="auto"/>
          </w:tcPr>
          <w:p>
            <w:pPr>
              <w:spacing w:before="60" w:after="60"/>
              <w:ind w:rightChars="192" w:right="461"/>
              <w:jc w:val="left"/>
              <w:rPr>
                <w:rFonts w:eastAsia="Calibri"/>
                <w:noProof/>
              </w:rPr>
            </w:pPr>
            <w:r>
              <w:rPr>
                <w:noProof/>
              </w:rPr>
              <w:t>26. marraskuuta 2015</w:t>
            </w:r>
          </w:p>
        </w:tc>
      </w:tr>
      <w:tr>
        <w:tc>
          <w:tcPr>
            <w:tcW w:w="466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Ilmoitus hakemuksen vastaanottamisesta</w:t>
            </w:r>
          </w:p>
        </w:tc>
        <w:tc>
          <w:tcPr>
            <w:tcW w:w="4619"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1. joulukuuta 2015</w:t>
            </w:r>
          </w:p>
        </w:tc>
      </w:tr>
      <w:tr>
        <w:tc>
          <w:tcPr>
            <w:tcW w:w="466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Lisätietopyyntö</w:t>
            </w:r>
          </w:p>
        </w:tc>
        <w:tc>
          <w:tcPr>
            <w:tcW w:w="4619"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10. joulukuuta 2015</w:t>
            </w:r>
          </w:p>
        </w:tc>
      </w:tr>
      <w:tr>
        <w:tc>
          <w:tcPr>
            <w:tcW w:w="466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Lisätietojen toimittamisen määräaika</w:t>
            </w:r>
          </w:p>
        </w:tc>
        <w:tc>
          <w:tcPr>
            <w:tcW w:w="4619"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21. tammikuuta 2016</w:t>
            </w:r>
          </w:p>
        </w:tc>
      </w:tr>
      <w:tr>
        <w:tc>
          <w:tcPr>
            <w:tcW w:w="4668" w:type="dxa"/>
            <w:tcBorders>
              <w:top w:val="dotted" w:sz="4" w:space="0" w:color="auto"/>
            </w:tcBorders>
            <w:shd w:val="clear" w:color="auto" w:fill="auto"/>
          </w:tcPr>
          <w:p>
            <w:pPr>
              <w:spacing w:before="60" w:after="60"/>
              <w:jc w:val="left"/>
              <w:rPr>
                <w:rFonts w:eastAsia="Calibri"/>
                <w:noProof/>
              </w:rPr>
            </w:pPr>
            <w:r>
              <w:rPr>
                <w:noProof/>
              </w:rPr>
              <w:t>Arvioinnin päättämisen määräaika</w:t>
            </w:r>
          </w:p>
        </w:tc>
        <w:tc>
          <w:tcPr>
            <w:tcW w:w="4619" w:type="dxa"/>
            <w:gridSpan w:val="2"/>
            <w:tcBorders>
              <w:top w:val="dotted" w:sz="4" w:space="0" w:color="auto"/>
            </w:tcBorders>
            <w:shd w:val="clear" w:color="auto" w:fill="auto"/>
          </w:tcPr>
          <w:p>
            <w:pPr>
              <w:spacing w:before="60" w:after="60"/>
              <w:ind w:rightChars="192" w:right="461"/>
              <w:jc w:val="left"/>
              <w:rPr>
                <w:rFonts w:eastAsia="Calibri"/>
                <w:noProof/>
              </w:rPr>
            </w:pPr>
            <w:r>
              <w:rPr>
                <w:noProof/>
              </w:rPr>
              <w:t>14. huhtikuuta 2016</w:t>
            </w:r>
          </w:p>
        </w:tc>
      </w:tr>
      <w:tr>
        <w:tc>
          <w:tcPr>
            <w:tcW w:w="4668" w:type="dxa"/>
            <w:shd w:val="clear" w:color="auto" w:fill="auto"/>
          </w:tcPr>
          <w:p>
            <w:pPr>
              <w:spacing w:before="60" w:after="60"/>
              <w:jc w:val="left"/>
              <w:rPr>
                <w:rFonts w:eastAsia="Calibri"/>
                <w:noProof/>
              </w:rPr>
            </w:pPr>
            <w:r>
              <w:rPr>
                <w:noProof/>
              </w:rPr>
              <w:t>Toimintakriteeri</w:t>
            </w:r>
          </w:p>
        </w:tc>
        <w:tc>
          <w:tcPr>
            <w:tcW w:w="4619" w:type="dxa"/>
            <w:gridSpan w:val="2"/>
            <w:shd w:val="clear" w:color="auto" w:fill="auto"/>
          </w:tcPr>
          <w:p>
            <w:pPr>
              <w:spacing w:before="60" w:after="60"/>
              <w:ind w:rightChars="192" w:right="461"/>
              <w:jc w:val="left"/>
              <w:rPr>
                <w:rFonts w:eastAsia="Calibri"/>
                <w:noProof/>
              </w:rPr>
            </w:pPr>
            <w:r>
              <w:rPr>
                <w:noProof/>
              </w:rPr>
              <w:t>EGR-asetuksen 4 artiklan 1 kohdan a alakohta</w:t>
            </w:r>
          </w:p>
        </w:tc>
      </w:tr>
      <w:tr>
        <w:tc>
          <w:tcPr>
            <w:tcW w:w="4668"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t>Ensisijainen yritys</w:t>
            </w:r>
          </w:p>
        </w:tc>
        <w:tc>
          <w:tcPr>
            <w:tcW w:w="4619" w:type="dxa"/>
            <w:gridSpan w:val="2"/>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noProof/>
              </w:rPr>
              <w:t>Supermarket Larissa ABEE</w:t>
            </w:r>
          </w:p>
        </w:tc>
      </w:tr>
      <w:tr>
        <w:tc>
          <w:tcPr>
            <w:tcW w:w="4668"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t>Asianomaisten yritysten määrä</w:t>
            </w:r>
          </w:p>
        </w:tc>
        <w:tc>
          <w:tcPr>
            <w:tcW w:w="4619" w:type="dxa"/>
            <w:gridSpan w:val="2"/>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noProof/>
              </w:rPr>
              <w:t>1</w:t>
            </w:r>
          </w:p>
        </w:tc>
      </w:tr>
      <w:tr>
        <w:tc>
          <w:tcPr>
            <w:tcW w:w="4668" w:type="dxa"/>
            <w:shd w:val="clear" w:color="auto" w:fill="auto"/>
          </w:tcPr>
          <w:p>
            <w:pPr>
              <w:spacing w:before="60" w:after="60"/>
              <w:jc w:val="left"/>
              <w:rPr>
                <w:rFonts w:eastAsia="Calibri"/>
                <w:noProof/>
              </w:rPr>
            </w:pPr>
            <w:r>
              <w:rPr>
                <w:noProof/>
              </w:rPr>
              <w:t>Toimiala</w:t>
            </w:r>
          </w:p>
          <w:p>
            <w:pPr>
              <w:spacing w:before="60" w:after="60"/>
              <w:jc w:val="left"/>
              <w:rPr>
                <w:rFonts w:eastAsia="Calibri"/>
                <w:noProof/>
              </w:rPr>
            </w:pPr>
            <w:r>
              <w:rPr>
                <w:noProof/>
              </w:rPr>
              <w:t>(NACE Rev. 2:n kaksinumerotaso)</w:t>
            </w:r>
            <w:r>
              <w:rPr>
                <w:rStyle w:val="FootnoteReference"/>
                <w:noProof/>
              </w:rPr>
              <w:footnoteReference w:id="4"/>
            </w:r>
          </w:p>
        </w:tc>
        <w:tc>
          <w:tcPr>
            <w:tcW w:w="4619" w:type="dxa"/>
            <w:gridSpan w:val="2"/>
            <w:shd w:val="clear" w:color="auto" w:fill="auto"/>
          </w:tcPr>
          <w:p>
            <w:pPr>
              <w:spacing w:before="60" w:after="60"/>
              <w:ind w:rightChars="192" w:right="461"/>
              <w:jc w:val="left"/>
              <w:rPr>
                <w:rFonts w:eastAsia="Calibri"/>
                <w:noProof/>
              </w:rPr>
            </w:pPr>
            <w:r>
              <w:rPr>
                <w:noProof/>
              </w:rPr>
              <w:t>Kaksinumerotaso 47 (Vähittäiskauppa (pl. moottoriajoneuvojen ja moottoripyörien kauppa))</w:t>
            </w:r>
          </w:p>
        </w:tc>
      </w:tr>
      <w:tr>
        <w:tc>
          <w:tcPr>
            <w:tcW w:w="4668" w:type="dxa"/>
            <w:shd w:val="clear" w:color="auto" w:fill="auto"/>
          </w:tcPr>
          <w:p>
            <w:pPr>
              <w:spacing w:before="60" w:after="60"/>
              <w:jc w:val="left"/>
              <w:rPr>
                <w:rFonts w:eastAsia="Calibri"/>
                <w:noProof/>
              </w:rPr>
            </w:pPr>
            <w:r>
              <w:rPr>
                <w:noProof/>
              </w:rPr>
              <w:lastRenderedPageBreak/>
              <w:br w:type="page"/>
              <w:t>Tytäryhtiöiden, hankkijoiden ja jatkojalostajien määrä</w:t>
            </w:r>
          </w:p>
        </w:tc>
        <w:tc>
          <w:tcPr>
            <w:tcW w:w="4619" w:type="dxa"/>
            <w:gridSpan w:val="2"/>
            <w:shd w:val="clear" w:color="auto" w:fill="auto"/>
          </w:tcPr>
          <w:p>
            <w:pPr>
              <w:spacing w:before="60" w:after="60"/>
              <w:ind w:rightChars="192" w:right="461"/>
              <w:jc w:val="left"/>
              <w:rPr>
                <w:rFonts w:eastAsia="Calibri"/>
                <w:noProof/>
              </w:rPr>
            </w:pPr>
            <w:r>
              <w:rPr>
                <w:noProof/>
              </w:rPr>
              <w:t>0</w:t>
            </w:r>
          </w:p>
        </w:tc>
      </w:tr>
      <w:tr>
        <w:tc>
          <w:tcPr>
            <w:tcW w:w="4668" w:type="dxa"/>
            <w:tcBorders>
              <w:bottom w:val="single" w:sz="4" w:space="0" w:color="auto"/>
            </w:tcBorders>
            <w:shd w:val="clear" w:color="auto" w:fill="auto"/>
          </w:tcPr>
          <w:p>
            <w:pPr>
              <w:spacing w:before="60" w:after="60"/>
              <w:jc w:val="left"/>
              <w:rPr>
                <w:rFonts w:eastAsia="Calibri"/>
                <w:noProof/>
              </w:rPr>
            </w:pPr>
            <w:r>
              <w:rPr>
                <w:noProof/>
              </w:rPr>
              <w:t>Viiteajanjakso (neljä kuukautta)</w:t>
            </w:r>
          </w:p>
        </w:tc>
        <w:tc>
          <w:tcPr>
            <w:tcW w:w="4619" w:type="dxa"/>
            <w:gridSpan w:val="2"/>
            <w:tcBorders>
              <w:bottom w:val="single" w:sz="4" w:space="0" w:color="auto"/>
            </w:tcBorders>
            <w:shd w:val="clear" w:color="auto" w:fill="auto"/>
          </w:tcPr>
          <w:p>
            <w:pPr>
              <w:spacing w:before="60" w:after="60"/>
              <w:ind w:rightChars="192" w:right="461"/>
              <w:jc w:val="left"/>
              <w:rPr>
                <w:rFonts w:eastAsia="Calibri"/>
                <w:noProof/>
              </w:rPr>
            </w:pPr>
            <w:r>
              <w:rPr>
                <w:noProof/>
              </w:rPr>
              <w:t>3. toukokuuta 2015 – 3. syyskuuta 2015</w:t>
            </w:r>
          </w:p>
        </w:tc>
      </w:tr>
      <w:tr>
        <w:tc>
          <w:tcPr>
            <w:tcW w:w="4668" w:type="dxa"/>
            <w:tcBorders>
              <w:bottom w:val="dotted" w:sz="4" w:space="0" w:color="auto"/>
            </w:tcBorders>
            <w:shd w:val="clear" w:color="auto" w:fill="auto"/>
          </w:tcPr>
          <w:p>
            <w:pPr>
              <w:spacing w:before="60" w:after="60"/>
              <w:jc w:val="left"/>
              <w:rPr>
                <w:rFonts w:eastAsia="Calibri"/>
                <w:noProof/>
                <w:highlight w:val="magenta"/>
              </w:rPr>
            </w:pPr>
            <w:r>
              <w:rPr>
                <w:noProof/>
              </w:rPr>
              <w:t xml:space="preserve">Viiteajanjaksona tapahtuneet työntekijävähennykset </w:t>
            </w:r>
            <w:r>
              <w:rPr>
                <w:i/>
                <w:noProof/>
              </w:rPr>
              <w:t>(a)</w:t>
            </w:r>
          </w:p>
        </w:tc>
        <w:tc>
          <w:tcPr>
            <w:tcW w:w="4619" w:type="dxa"/>
            <w:gridSpan w:val="2"/>
            <w:tcBorders>
              <w:bottom w:val="dotted" w:sz="4" w:space="0" w:color="auto"/>
            </w:tcBorders>
            <w:shd w:val="clear" w:color="auto" w:fill="auto"/>
          </w:tcPr>
          <w:p>
            <w:pPr>
              <w:spacing w:before="60" w:after="60"/>
              <w:ind w:rightChars="192" w:right="461"/>
              <w:jc w:val="left"/>
              <w:rPr>
                <w:rFonts w:eastAsia="Calibri"/>
                <w:noProof/>
                <w:highlight w:val="magenta"/>
              </w:rPr>
            </w:pPr>
            <w:r>
              <w:rPr>
                <w:noProof/>
              </w:rPr>
              <w:t>557</w:t>
            </w:r>
          </w:p>
        </w:tc>
      </w:tr>
      <w:tr>
        <w:tc>
          <w:tcPr>
            <w:tcW w:w="4668" w:type="dxa"/>
            <w:tcBorders>
              <w:top w:val="dotted" w:sz="4" w:space="0" w:color="auto"/>
              <w:bottom w:val="dotted" w:sz="4" w:space="0" w:color="auto"/>
            </w:tcBorders>
            <w:shd w:val="clear" w:color="auto" w:fill="auto"/>
          </w:tcPr>
          <w:p>
            <w:pPr>
              <w:spacing w:before="60" w:after="60"/>
              <w:jc w:val="left"/>
              <w:rPr>
                <w:rFonts w:eastAsia="Calibri"/>
                <w:noProof/>
                <w:highlight w:val="magenta"/>
              </w:rPr>
            </w:pPr>
            <w:r>
              <w:rPr>
                <w:noProof/>
              </w:rPr>
              <w:t>Työntekijävähennykset ennen viiteajanjaksoa tai sen jälkeen</w:t>
            </w:r>
            <w:r>
              <w:rPr>
                <w:i/>
                <w:noProof/>
              </w:rPr>
              <w:t xml:space="preserve"> (b)</w:t>
            </w:r>
          </w:p>
        </w:tc>
        <w:tc>
          <w:tcPr>
            <w:tcW w:w="4619"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0</w:t>
            </w:r>
          </w:p>
        </w:tc>
      </w:tr>
      <w:tr>
        <w:tc>
          <w:tcPr>
            <w:tcW w:w="4668" w:type="dxa"/>
            <w:tcBorders>
              <w:top w:val="dotted" w:sz="4" w:space="0" w:color="auto"/>
              <w:bottom w:val="single" w:sz="4" w:space="0" w:color="auto"/>
            </w:tcBorders>
            <w:shd w:val="clear" w:color="auto" w:fill="auto"/>
          </w:tcPr>
          <w:p>
            <w:pPr>
              <w:spacing w:before="60" w:after="60"/>
              <w:jc w:val="left"/>
              <w:rPr>
                <w:rFonts w:eastAsia="Calibri"/>
                <w:noProof/>
              </w:rPr>
            </w:pPr>
            <w:r>
              <w:rPr>
                <w:noProof/>
              </w:rPr>
              <w:t xml:space="preserve">Vähennettyjen työntekijöiden kokonaismäärä </w:t>
            </w:r>
            <w:r>
              <w:rPr>
                <w:i/>
                <w:noProof/>
              </w:rPr>
              <w:t>(a + b)</w:t>
            </w:r>
          </w:p>
        </w:tc>
        <w:tc>
          <w:tcPr>
            <w:tcW w:w="4619" w:type="dxa"/>
            <w:gridSpan w:val="2"/>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557</w:t>
            </w:r>
          </w:p>
        </w:tc>
      </w:tr>
      <w:tr>
        <w:tc>
          <w:tcPr>
            <w:tcW w:w="4668" w:type="dxa"/>
            <w:tcBorders>
              <w:bottom w:val="dotted" w:sz="4" w:space="0" w:color="auto"/>
            </w:tcBorders>
            <w:shd w:val="clear" w:color="auto" w:fill="auto"/>
          </w:tcPr>
          <w:p>
            <w:pPr>
              <w:spacing w:before="60" w:after="60"/>
              <w:jc w:val="left"/>
              <w:rPr>
                <w:rFonts w:eastAsia="Calibri"/>
                <w:noProof/>
              </w:rPr>
            </w:pPr>
            <w:r>
              <w:rPr>
                <w:noProof/>
              </w:rPr>
              <w:t>Tukeen oikeutettujen edunsaajien kokonaismäärä</w:t>
            </w:r>
          </w:p>
        </w:tc>
        <w:tc>
          <w:tcPr>
            <w:tcW w:w="4619" w:type="dxa"/>
            <w:gridSpan w:val="2"/>
            <w:tcBorders>
              <w:bottom w:val="dotted" w:sz="4" w:space="0" w:color="auto"/>
            </w:tcBorders>
            <w:shd w:val="clear" w:color="auto" w:fill="auto"/>
          </w:tcPr>
          <w:p>
            <w:pPr>
              <w:spacing w:before="60" w:after="60"/>
              <w:ind w:rightChars="192" w:right="461"/>
              <w:jc w:val="left"/>
              <w:rPr>
                <w:rFonts w:eastAsia="Calibri"/>
                <w:noProof/>
              </w:rPr>
            </w:pPr>
            <w:r>
              <w:rPr>
                <w:noProof/>
              </w:rPr>
              <w:t>557</w:t>
            </w:r>
          </w:p>
        </w:tc>
      </w:tr>
      <w:tr>
        <w:tc>
          <w:tcPr>
            <w:tcW w:w="466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Kohteena olevien edunsaajien kokonaismäärä</w:t>
            </w:r>
          </w:p>
        </w:tc>
        <w:tc>
          <w:tcPr>
            <w:tcW w:w="4619"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557</w:t>
            </w:r>
          </w:p>
        </w:tc>
      </w:tr>
      <w:tr>
        <w:tc>
          <w:tcPr>
            <w:tcW w:w="4668" w:type="dxa"/>
            <w:tcBorders>
              <w:top w:val="dotted" w:sz="4" w:space="0" w:color="auto"/>
              <w:bottom w:val="single" w:sz="4" w:space="0" w:color="auto"/>
            </w:tcBorders>
            <w:shd w:val="clear" w:color="auto" w:fill="auto"/>
          </w:tcPr>
          <w:p>
            <w:pPr>
              <w:spacing w:before="60" w:after="60"/>
              <w:jc w:val="left"/>
              <w:rPr>
                <w:rFonts w:eastAsia="Calibri"/>
                <w:noProof/>
              </w:rPr>
            </w:pPr>
            <w:r>
              <w:rPr>
                <w:noProof/>
              </w:rPr>
              <w:t>Kohteena olevien työelämän ja koulutuksen ulkopuolella olevien nuorten (nk. NEET-nuoret) määrä</w:t>
            </w:r>
          </w:p>
        </w:tc>
        <w:tc>
          <w:tcPr>
            <w:tcW w:w="4619" w:type="dxa"/>
            <w:gridSpan w:val="2"/>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543</w:t>
            </w:r>
          </w:p>
        </w:tc>
      </w:tr>
      <w:tr>
        <w:tc>
          <w:tcPr>
            <w:tcW w:w="4668" w:type="dxa"/>
            <w:tcBorders>
              <w:bottom w:val="dotted" w:sz="4" w:space="0" w:color="auto"/>
            </w:tcBorders>
            <w:shd w:val="clear" w:color="auto" w:fill="auto"/>
            <w:vAlign w:val="center"/>
          </w:tcPr>
          <w:p>
            <w:pPr>
              <w:spacing w:before="0" w:after="0"/>
              <w:jc w:val="left"/>
              <w:rPr>
                <w:noProof/>
              </w:rPr>
            </w:pPr>
            <w:r>
              <w:rPr>
                <w:noProof/>
              </w:rPr>
              <w:t>Yksilöllisten palvelujen talousarvio euroina</w:t>
            </w:r>
          </w:p>
        </w:tc>
        <w:tc>
          <w:tcPr>
            <w:tcW w:w="1560" w:type="dxa"/>
            <w:tcBorders>
              <w:bottom w:val="dotted" w:sz="4" w:space="0" w:color="auto"/>
              <w:right w:val="nil"/>
            </w:tcBorders>
            <w:shd w:val="clear" w:color="auto" w:fill="auto"/>
            <w:vAlign w:val="center"/>
          </w:tcPr>
          <w:p>
            <w:pPr>
              <w:spacing w:before="0" w:after="0"/>
              <w:ind w:rightChars="100" w:right="240"/>
              <w:jc w:val="right"/>
              <w:rPr>
                <w:noProof/>
              </w:rPr>
            </w:pPr>
            <w:r>
              <w:rPr>
                <w:noProof/>
              </w:rPr>
              <w:t>10 530 000</w:t>
            </w:r>
          </w:p>
        </w:tc>
        <w:tc>
          <w:tcPr>
            <w:tcW w:w="3059" w:type="dxa"/>
            <w:tcBorders>
              <w:left w:val="nil"/>
              <w:bottom w:val="dotted" w:sz="4" w:space="0" w:color="auto"/>
            </w:tcBorders>
            <w:shd w:val="clear" w:color="auto" w:fill="auto"/>
            <w:vAlign w:val="center"/>
          </w:tcPr>
          <w:p>
            <w:pPr>
              <w:spacing w:before="0" w:after="0"/>
              <w:ind w:rightChars="192" w:right="461"/>
              <w:jc w:val="left"/>
              <w:rPr>
                <w:noProof/>
              </w:rPr>
            </w:pPr>
          </w:p>
        </w:tc>
      </w:tr>
      <w:tr>
        <w:tc>
          <w:tcPr>
            <w:tcW w:w="4668" w:type="dxa"/>
            <w:tcBorders>
              <w:top w:val="dotted" w:sz="4" w:space="0" w:color="auto"/>
              <w:bottom w:val="dotted" w:sz="4" w:space="0" w:color="auto"/>
            </w:tcBorders>
            <w:shd w:val="clear" w:color="auto" w:fill="auto"/>
            <w:vAlign w:val="center"/>
          </w:tcPr>
          <w:p>
            <w:pPr>
              <w:spacing w:before="0" w:after="0"/>
              <w:jc w:val="left"/>
              <w:rPr>
                <w:noProof/>
              </w:rPr>
            </w:pPr>
            <w:r>
              <w:rPr>
                <w:noProof/>
              </w:rPr>
              <w:t>EGR:n täytäntöönpanon</w:t>
            </w:r>
            <w:r>
              <w:rPr>
                <w:rStyle w:val="FootnoteReference"/>
                <w:noProof/>
              </w:rPr>
              <w:footnoteReference w:id="5"/>
            </w:r>
            <w:r>
              <w:rPr>
                <w:noProof/>
              </w:rPr>
              <w:t xml:space="preserve"> talousarvio euroina</w:t>
            </w:r>
          </w:p>
        </w:tc>
        <w:tc>
          <w:tcPr>
            <w:tcW w:w="1560" w:type="dxa"/>
            <w:tcBorders>
              <w:top w:val="dotted" w:sz="4" w:space="0" w:color="auto"/>
              <w:bottom w:val="dotted" w:sz="4" w:space="0" w:color="auto"/>
              <w:right w:val="nil"/>
            </w:tcBorders>
            <w:shd w:val="clear" w:color="auto" w:fill="auto"/>
            <w:vAlign w:val="center"/>
          </w:tcPr>
          <w:p>
            <w:pPr>
              <w:spacing w:before="0" w:after="0"/>
              <w:ind w:rightChars="100" w:right="240"/>
              <w:jc w:val="right"/>
              <w:rPr>
                <w:noProof/>
              </w:rPr>
            </w:pPr>
            <w:r>
              <w:rPr>
                <w:noProof/>
              </w:rPr>
              <w:t>250 000</w:t>
            </w:r>
          </w:p>
        </w:tc>
        <w:tc>
          <w:tcPr>
            <w:tcW w:w="3059" w:type="dxa"/>
            <w:tcBorders>
              <w:top w:val="dotted" w:sz="4" w:space="0" w:color="auto"/>
              <w:left w:val="nil"/>
              <w:bottom w:val="dotted" w:sz="4" w:space="0" w:color="auto"/>
            </w:tcBorders>
            <w:shd w:val="clear" w:color="auto" w:fill="auto"/>
            <w:vAlign w:val="center"/>
          </w:tcPr>
          <w:p>
            <w:pPr>
              <w:spacing w:before="0" w:after="0"/>
              <w:ind w:rightChars="192" w:right="461"/>
              <w:jc w:val="left"/>
              <w:rPr>
                <w:noProof/>
              </w:rPr>
            </w:pPr>
          </w:p>
        </w:tc>
      </w:tr>
      <w:tr>
        <w:tc>
          <w:tcPr>
            <w:tcW w:w="4668" w:type="dxa"/>
            <w:tcBorders>
              <w:top w:val="dotted" w:sz="4" w:space="0" w:color="auto"/>
              <w:bottom w:val="dotted" w:sz="4" w:space="0" w:color="auto"/>
            </w:tcBorders>
            <w:shd w:val="clear" w:color="auto" w:fill="auto"/>
            <w:vAlign w:val="center"/>
          </w:tcPr>
          <w:p>
            <w:pPr>
              <w:spacing w:before="0" w:after="0"/>
              <w:jc w:val="left"/>
              <w:rPr>
                <w:noProof/>
              </w:rPr>
            </w:pPr>
            <w:r>
              <w:rPr>
                <w:noProof/>
              </w:rPr>
              <w:t>Kokonaisbudjetti euroina</w:t>
            </w:r>
          </w:p>
        </w:tc>
        <w:tc>
          <w:tcPr>
            <w:tcW w:w="1560" w:type="dxa"/>
            <w:tcBorders>
              <w:top w:val="dotted" w:sz="4" w:space="0" w:color="auto"/>
              <w:bottom w:val="dotted" w:sz="4" w:space="0" w:color="auto"/>
              <w:right w:val="nil"/>
            </w:tcBorders>
            <w:shd w:val="clear" w:color="auto" w:fill="auto"/>
            <w:vAlign w:val="center"/>
          </w:tcPr>
          <w:p>
            <w:pPr>
              <w:spacing w:before="0" w:after="0"/>
              <w:ind w:rightChars="100" w:right="240"/>
              <w:jc w:val="right"/>
              <w:rPr>
                <w:noProof/>
              </w:rPr>
            </w:pPr>
            <w:r>
              <w:rPr>
                <w:noProof/>
              </w:rPr>
              <w:t>10 780 000</w:t>
            </w:r>
          </w:p>
        </w:tc>
        <w:tc>
          <w:tcPr>
            <w:tcW w:w="3059" w:type="dxa"/>
            <w:tcBorders>
              <w:top w:val="dotted" w:sz="4" w:space="0" w:color="auto"/>
              <w:left w:val="nil"/>
              <w:bottom w:val="dotted" w:sz="4" w:space="0" w:color="auto"/>
            </w:tcBorders>
            <w:shd w:val="clear" w:color="auto" w:fill="auto"/>
            <w:vAlign w:val="center"/>
          </w:tcPr>
          <w:p>
            <w:pPr>
              <w:spacing w:before="0" w:after="0"/>
              <w:ind w:rightChars="192" w:right="461"/>
              <w:jc w:val="left"/>
              <w:rPr>
                <w:noProof/>
              </w:rPr>
            </w:pPr>
          </w:p>
        </w:tc>
      </w:tr>
      <w:tr>
        <w:tc>
          <w:tcPr>
            <w:tcW w:w="4668" w:type="dxa"/>
            <w:tcBorders>
              <w:top w:val="dotted" w:sz="4" w:space="0" w:color="auto"/>
            </w:tcBorders>
            <w:shd w:val="clear" w:color="auto" w:fill="auto"/>
            <w:vAlign w:val="center"/>
          </w:tcPr>
          <w:p>
            <w:pPr>
              <w:spacing w:before="0" w:after="0"/>
              <w:jc w:val="left"/>
              <w:rPr>
                <w:noProof/>
              </w:rPr>
            </w:pPr>
            <w:r>
              <w:rPr>
                <w:noProof/>
              </w:rPr>
              <w:t>EGR:n tuki euroina (60 %)</w:t>
            </w:r>
          </w:p>
        </w:tc>
        <w:tc>
          <w:tcPr>
            <w:tcW w:w="1560" w:type="dxa"/>
            <w:tcBorders>
              <w:top w:val="dotted" w:sz="4" w:space="0" w:color="auto"/>
              <w:right w:val="nil"/>
            </w:tcBorders>
            <w:shd w:val="clear" w:color="auto" w:fill="auto"/>
            <w:vAlign w:val="center"/>
          </w:tcPr>
          <w:p>
            <w:pPr>
              <w:spacing w:before="0" w:after="0"/>
              <w:ind w:rightChars="100" w:right="240"/>
              <w:jc w:val="right"/>
              <w:rPr>
                <w:noProof/>
              </w:rPr>
            </w:pPr>
            <w:r>
              <w:rPr>
                <w:noProof/>
              </w:rPr>
              <w:t>6 468 000</w:t>
            </w:r>
          </w:p>
        </w:tc>
        <w:tc>
          <w:tcPr>
            <w:tcW w:w="3059" w:type="dxa"/>
            <w:tcBorders>
              <w:top w:val="dotted" w:sz="4" w:space="0" w:color="auto"/>
              <w:left w:val="nil"/>
            </w:tcBorders>
            <w:shd w:val="clear" w:color="auto" w:fill="auto"/>
            <w:vAlign w:val="center"/>
          </w:tcPr>
          <w:p>
            <w:pPr>
              <w:spacing w:before="0" w:after="0"/>
              <w:ind w:rightChars="192" w:right="461"/>
              <w:jc w:val="left"/>
              <w:rPr>
                <w:noProof/>
              </w:rPr>
            </w:pPr>
          </w:p>
        </w:tc>
      </w:tr>
    </w:tbl>
    <w:p>
      <w:pPr>
        <w:pStyle w:val="ManualHeading1"/>
        <w:rPr>
          <w:noProof/>
        </w:rPr>
      </w:pPr>
      <w:r>
        <w:rPr>
          <w:noProof/>
        </w:rPr>
        <w:t>HAKEMUKSEN ARVIOINTI</w:t>
      </w:r>
    </w:p>
    <w:p>
      <w:pPr>
        <w:pStyle w:val="ManualHeading2"/>
        <w:rPr>
          <w:noProof/>
        </w:rPr>
      </w:pPr>
      <w:r>
        <w:rPr>
          <w:noProof/>
        </w:rPr>
        <w:t>Menettely</w:t>
      </w:r>
    </w:p>
    <w:p>
      <w:pPr>
        <w:pStyle w:val="ManualNumPar1"/>
        <w:rPr>
          <w:noProof/>
        </w:rPr>
      </w:pPr>
      <w:r>
        <w:t>4.</w:t>
      </w:r>
      <w:r>
        <w:tab/>
      </w:r>
      <w:r>
        <w:rPr>
          <w:noProof/>
        </w:rPr>
        <w:t xml:space="preserve">Kreikka esitti 26. marraskuuta 2015 hakemuksen EGF/2015/011 GR/Supermarket Larissa 12 viikon kuluessa siitä päivästä, jolloin EGR-asetuksen 4 artiklassa tarkoitetut toimintakriteerit täyttyivät. Komissio ilmoitti hakemuksen vastaanottamisesta 1. joulukuuta 2015 ja pyysi Kreikalta lisätietoja 10. joulukuuta 2015 eli kahden viikon kuluessa hakemuksen esittämispäivästä. Pyydetyt lisätiedot toimitettiin kuuden viikon kuluessa pyynnön esittämisestä. Täydellisen hakemuksen vastaanottamisesta alkava 12 viikon määräaika, jonka kuluessa komission olisi saatettava päätökseen arviointinsa siitä, täyttääkö hakemus rahoitustuen myöntämisen edellytykset, päättyy 14. huhtikuuta 2016. </w:t>
      </w:r>
    </w:p>
    <w:p>
      <w:pPr>
        <w:pStyle w:val="ManualHeading2"/>
        <w:rPr>
          <w:noProof/>
        </w:rPr>
      </w:pPr>
      <w:r>
        <w:rPr>
          <w:noProof/>
        </w:rPr>
        <w:t>Hakemuksen tukikelpoisuus</w:t>
      </w:r>
    </w:p>
    <w:p>
      <w:pPr>
        <w:pStyle w:val="ManualHeading3"/>
        <w:rPr>
          <w:noProof/>
        </w:rPr>
      </w:pPr>
      <w:r>
        <w:rPr>
          <w:noProof/>
        </w:rPr>
        <w:t>Asianomaiset yritykset ja edunsaajat</w:t>
      </w:r>
    </w:p>
    <w:p>
      <w:pPr>
        <w:pStyle w:val="ManualNumPar1"/>
        <w:rPr>
          <w:noProof/>
        </w:rPr>
      </w:pPr>
      <w:r>
        <w:t>5.</w:t>
      </w:r>
      <w:r>
        <w:tab/>
      </w:r>
      <w:r>
        <w:rPr>
          <w:noProof/>
        </w:rPr>
        <w:t>Hakemus koskee 557:ää Supermarket Larissa ABEE:n vähentämää työntekijää</w:t>
      </w:r>
      <w:r>
        <w:rPr>
          <w:rStyle w:val="FootnoteReference"/>
          <w:noProof/>
        </w:rPr>
        <w:footnoteReference w:id="6"/>
      </w:r>
      <w:r>
        <w:rPr>
          <w:noProof/>
        </w:rPr>
        <w:t xml:space="preserve">. Yritys toimii NACE Rev.2 -kaksinumerotasoon 47 (Vähittäiskauppa (pl. moottoriajoneuvojen ja moottoripyörien kauppa)) luokitetulla toimialalla. Supermarket Larissan toteuttamat työntekijävähennykset sijoittuvat pääasiallisesti NUTS 2 -tason alueille Keski-Makedonia (Κεντρική Μακεδονία) (EL12) ja Thessalia (Θεσσαλία) (EL14). </w:t>
      </w:r>
    </w:p>
    <w:p>
      <w:pPr>
        <w:pStyle w:val="ManualHeading3"/>
        <w:rPr>
          <w:noProof/>
        </w:rPr>
      </w:pPr>
      <w:r>
        <w:rPr>
          <w:noProof/>
        </w:rPr>
        <w:lastRenderedPageBreak/>
        <w:t>Toimintakriteerit</w:t>
      </w:r>
    </w:p>
    <w:p>
      <w:pPr>
        <w:pStyle w:val="ManualNumPar1"/>
        <w:rPr>
          <w:noProof/>
        </w:rPr>
      </w:pPr>
      <w:r>
        <w:t>6.</w:t>
      </w:r>
      <w:r>
        <w:tab/>
      </w:r>
      <w:r>
        <w:rPr>
          <w:noProof/>
        </w:rPr>
        <w:t>Kreikka esitti hakemuksen käyttäen perustana EGR-asetuksen 4 artiklan 1 kohdan a alakohdan toimintakriteeriä, jossa edellytetään, että vähintään 500 työntekijää vähennetään jäsenvaltiossa sijaitsevasta yrityksestä neljän kuukauden viiteajanjaksona, mukaan luettuina työntekijät, jotka vähennetään yrityksen toimittajien tai jatkojalostajien palveluksesta, ja/tai itsenäiset ammatinharjoittajat, jotka lopettavat työskentelynsä yrityksen toimittajille tai jatkojalostajille.</w:t>
      </w:r>
    </w:p>
    <w:p>
      <w:pPr>
        <w:pStyle w:val="ManualNumPar1"/>
        <w:rPr>
          <w:noProof/>
        </w:rPr>
      </w:pPr>
      <w:r>
        <w:t>7.</w:t>
      </w:r>
      <w:r>
        <w:tab/>
      </w:r>
      <w:r>
        <w:rPr>
          <w:noProof/>
        </w:rPr>
        <w:t>Hakemuksen neljän kuukauden viiteajanjakso alkoi 3. toukokuuta 2015 ja päättyi 3. syyskuuta 2015. Viiteajanjakson aikana Supermarket Larissa ABEE:ssa vähennettiin 557 työntekijää.</w:t>
      </w:r>
    </w:p>
    <w:p>
      <w:pPr>
        <w:pStyle w:val="ManualHeading3"/>
        <w:rPr>
          <w:noProof/>
        </w:rPr>
      </w:pPr>
      <w:r>
        <w:rPr>
          <w:noProof/>
        </w:rPr>
        <w:t>Työntekijävähennysten ja työskentelyn loppumisen laskeminen</w:t>
      </w:r>
    </w:p>
    <w:p>
      <w:pPr>
        <w:pStyle w:val="ManualNumPar1"/>
        <w:rPr>
          <w:noProof/>
        </w:rPr>
      </w:pPr>
      <w:r>
        <w:t>8.</w:t>
      </w:r>
      <w:r>
        <w:tab/>
      </w:r>
      <w:r>
        <w:rPr>
          <w:noProof/>
        </w:rPr>
        <w:t>Kaikki viiteajanjakson työntekijävähennykset on laskettu päivästä, jona työsopimus päättyi tosiasiallisesti tai jona sen voimassaolo päättyi.</w:t>
      </w:r>
    </w:p>
    <w:p>
      <w:pPr>
        <w:pStyle w:val="ManualHeading3"/>
        <w:rPr>
          <w:noProof/>
        </w:rPr>
      </w:pPr>
      <w:r>
        <w:rPr>
          <w:noProof/>
        </w:rPr>
        <w:t>Tukeen oikeutetut edunsaajat</w:t>
      </w:r>
    </w:p>
    <w:p>
      <w:pPr>
        <w:pStyle w:val="ManualNumPar1"/>
        <w:rPr>
          <w:noProof/>
        </w:rPr>
      </w:pPr>
      <w:r>
        <w:t>9.</w:t>
      </w:r>
      <w:r>
        <w:tab/>
      </w:r>
      <w:r>
        <w:rPr>
          <w:noProof/>
        </w:rPr>
        <w:t>Tukeen oikeutettuja edunsaajia on yhteensä 557.</w:t>
      </w:r>
    </w:p>
    <w:p>
      <w:pPr>
        <w:pStyle w:val="ManualHeading3"/>
        <w:rPr>
          <w:noProof/>
        </w:rPr>
      </w:pPr>
      <w:r>
        <w:rPr>
          <w:noProof/>
        </w:rPr>
        <w:t>Työntekijävähennysten ja maailmanlaajuisen rahoitus- ja talouskriisin välinen yhteys (asetus (EY) N:o 546/2009)</w:t>
      </w:r>
    </w:p>
    <w:p>
      <w:pPr>
        <w:pStyle w:val="ManualNumPar1"/>
        <w:rPr>
          <w:noProof/>
        </w:rPr>
      </w:pPr>
      <w:r>
        <w:t>10.</w:t>
      </w:r>
      <w:r>
        <w:tab/>
      </w:r>
      <w:r>
        <w:rPr>
          <w:noProof/>
        </w:rPr>
        <w:t xml:space="preserve">Osoittaakseen, että työntekijävähennykset ovat yhteydessä asetuksessa (EY) N:o 546/2009 käsiteltyyn maailmanlaajuiseen rahoitus- ja talouskriisiin, Kreikka väittää, että Kreikan talous oli syvässä taantumassa kuusi perättäistä vuotta (2008–2013). Kreikan tilastoviranomaisen ELSTATin mukaan Kreikan BKT on pienentynyt 25,7 prosenttiyksikköä, julkinen kulutus 21 prosenttiyksikköä ja yksityinen kulutus 32,3 prosenttiyksikköä sitten vuoden 2008 samalla kun työttömyys on lisääntynyt noin 19 prosenttiyksikköä. </w:t>
      </w:r>
    </w:p>
    <w:p>
      <w:pPr>
        <w:pStyle w:val="ManualNumPar1"/>
        <w:rPr>
          <w:noProof/>
        </w:rPr>
      </w:pPr>
      <w:r>
        <w:t>11.</w:t>
      </w:r>
      <w:r>
        <w:tab/>
      </w:r>
      <w:r>
        <w:rPr>
          <w:noProof/>
        </w:rPr>
        <w:t>BKT:n pieneneminen on lisäksi suurentanut Kreikan ja EU:n asukasta kohti lasketun BKT:n eroa, mikä on kumonnut edistyksen, jonka Kreikka saavutti taloudellisessa lähentymisessä vuosina 1995–2007.</w:t>
      </w:r>
    </w:p>
    <w:p>
      <w:pPr>
        <w:pStyle w:val="ManualNumPar1"/>
        <w:rPr>
          <w:noProof/>
        </w:rPr>
      </w:pPr>
      <w:r>
        <w:t>12.</w:t>
      </w:r>
      <w:r>
        <w:tab/>
      </w:r>
      <w:r>
        <w:rPr>
          <w:noProof/>
        </w:rPr>
        <w:t xml:space="preserve">Selvitäkseen ulkomaanvelkojen takaisinmaksuista Kreikan hallitus on lisäksi vuodesta 2008 toteuttanut epäsuosittuja toimenpiteitä: se on esimerkiksi nostanut veroprosentteja, leikannut julkisia menoja ja leikannut julkisen alan työntekijöiden palkkoja. Palkat ovat pienentyneet myös yksityisellä sektorilla pyrittäessä parantamaan Kreikan talouden kilpailukykyä. </w:t>
      </w:r>
    </w:p>
    <w:p>
      <w:pPr>
        <w:pStyle w:val="ManualNumPar1"/>
        <w:rPr>
          <w:noProof/>
        </w:rPr>
      </w:pPr>
      <w:r>
        <w:t>13.</w:t>
      </w:r>
      <w:r>
        <w:tab/>
      </w:r>
      <w:r>
        <w:rPr>
          <w:noProof/>
        </w:rPr>
        <w:t xml:space="preserve">Sitten vuoden 2008 tuhannet yritykset ovat lopettaneet toimintansa ja irtisanoneet henkilöstönsä ja tuhannet itsenäiset ammatinharjoittajat ovat lopettaneet toimintansa, mikä on lisännyt jo mainittua työttömyyden rajua kasvua. </w:t>
      </w:r>
    </w:p>
    <w:p>
      <w:pPr>
        <w:pStyle w:val="ManualNumPar1"/>
        <w:rPr>
          <w:noProof/>
        </w:rPr>
      </w:pPr>
      <w:r>
        <w:t>14.</w:t>
      </w:r>
      <w:r>
        <w:tab/>
      </w:r>
      <w:r>
        <w:rPr>
          <w:noProof/>
        </w:rPr>
        <w:t>Alentunut tulotaso on johtanut suoraan kulutuksen vähenemiseen. Vuonna 2009 kotitalouksien kulutuksen väheneminen Kreikassa noudatteli samaa negatiivista kehityssuuntausta kuin EU-27:ssä. Kotitalouksien kulutus elpyi EU-27:ssä vuosina 2010, 2011 ja 2013. Kreikassa kotitalouksien kulutus on vähentynyt rahoitus- ja talouskriisin alusta lähtien, ja luvut ovat heikentyneet vuosi vuodelta jaksolla 2008–2013.</w:t>
      </w:r>
    </w:p>
    <w:p>
      <w:pPr>
        <w:pStyle w:val="Text1"/>
        <w:jc w:val="center"/>
        <w:rPr>
          <w:b/>
          <w:noProof/>
        </w:rPr>
      </w:pPr>
      <w:r>
        <w:rPr>
          <w:b/>
          <w:noProof/>
        </w:rPr>
        <w:t>Kotitalouksien kulutus</w:t>
      </w:r>
      <w:r>
        <w:rPr>
          <w:b/>
          <w:noProof/>
        </w:rPr>
        <w:br/>
        <w:t>(muutos edellisvuodesta, %)</w:t>
      </w:r>
    </w:p>
    <w:tbl>
      <w:tblPr>
        <w:tblStyle w:val="TableGrid"/>
        <w:tblW w:w="0" w:type="auto"/>
        <w:tblInd w:w="948" w:type="dxa"/>
        <w:tblLook w:val="04A0" w:firstRow="1" w:lastRow="0" w:firstColumn="1" w:lastColumn="0" w:noHBand="0" w:noVBand="1"/>
      </w:tblPr>
      <w:tblGrid>
        <w:gridCol w:w="1191"/>
        <w:gridCol w:w="1191"/>
        <w:gridCol w:w="1192"/>
        <w:gridCol w:w="1191"/>
        <w:gridCol w:w="1192"/>
        <w:gridCol w:w="1191"/>
        <w:gridCol w:w="1192"/>
      </w:tblGrid>
      <w:tr>
        <w:trPr>
          <w:trHeight w:val="360"/>
        </w:trPr>
        <w:tc>
          <w:tcPr>
            <w:tcW w:w="1191" w:type="dxa"/>
          </w:tcPr>
          <w:p>
            <w:pPr>
              <w:rPr>
                <w:noProof/>
                <w:szCs w:val="24"/>
              </w:rPr>
            </w:pPr>
          </w:p>
        </w:tc>
        <w:tc>
          <w:tcPr>
            <w:tcW w:w="1191" w:type="dxa"/>
            <w:vAlign w:val="center"/>
          </w:tcPr>
          <w:p>
            <w:pPr>
              <w:jc w:val="right"/>
              <w:rPr>
                <w:noProof/>
                <w:szCs w:val="24"/>
              </w:rPr>
            </w:pPr>
            <w:r>
              <w:rPr>
                <w:noProof/>
              </w:rPr>
              <w:t>2008</w:t>
            </w:r>
          </w:p>
        </w:tc>
        <w:tc>
          <w:tcPr>
            <w:tcW w:w="1192" w:type="dxa"/>
            <w:vAlign w:val="center"/>
          </w:tcPr>
          <w:p>
            <w:pPr>
              <w:jc w:val="right"/>
              <w:rPr>
                <w:noProof/>
                <w:szCs w:val="24"/>
              </w:rPr>
            </w:pPr>
            <w:r>
              <w:rPr>
                <w:noProof/>
              </w:rPr>
              <w:t>2009</w:t>
            </w:r>
          </w:p>
        </w:tc>
        <w:tc>
          <w:tcPr>
            <w:tcW w:w="1191" w:type="dxa"/>
            <w:vAlign w:val="center"/>
          </w:tcPr>
          <w:p>
            <w:pPr>
              <w:jc w:val="right"/>
              <w:rPr>
                <w:noProof/>
                <w:szCs w:val="24"/>
              </w:rPr>
            </w:pPr>
            <w:r>
              <w:rPr>
                <w:noProof/>
              </w:rPr>
              <w:t>2010</w:t>
            </w:r>
          </w:p>
        </w:tc>
        <w:tc>
          <w:tcPr>
            <w:tcW w:w="1192" w:type="dxa"/>
            <w:vAlign w:val="center"/>
          </w:tcPr>
          <w:p>
            <w:pPr>
              <w:jc w:val="right"/>
              <w:rPr>
                <w:noProof/>
                <w:szCs w:val="24"/>
              </w:rPr>
            </w:pPr>
            <w:r>
              <w:rPr>
                <w:noProof/>
              </w:rPr>
              <w:t>2011</w:t>
            </w:r>
          </w:p>
        </w:tc>
        <w:tc>
          <w:tcPr>
            <w:tcW w:w="1191" w:type="dxa"/>
            <w:vAlign w:val="center"/>
          </w:tcPr>
          <w:p>
            <w:pPr>
              <w:jc w:val="right"/>
              <w:rPr>
                <w:noProof/>
                <w:szCs w:val="24"/>
              </w:rPr>
            </w:pPr>
            <w:r>
              <w:rPr>
                <w:noProof/>
              </w:rPr>
              <w:t>2012</w:t>
            </w:r>
          </w:p>
        </w:tc>
        <w:tc>
          <w:tcPr>
            <w:tcW w:w="1192" w:type="dxa"/>
            <w:vAlign w:val="center"/>
          </w:tcPr>
          <w:p>
            <w:pPr>
              <w:jc w:val="right"/>
              <w:rPr>
                <w:noProof/>
                <w:szCs w:val="24"/>
              </w:rPr>
            </w:pPr>
            <w:r>
              <w:rPr>
                <w:noProof/>
              </w:rPr>
              <w:t>2013</w:t>
            </w:r>
          </w:p>
        </w:tc>
      </w:tr>
      <w:tr>
        <w:trPr>
          <w:trHeight w:val="360"/>
        </w:trPr>
        <w:tc>
          <w:tcPr>
            <w:tcW w:w="1191" w:type="dxa"/>
          </w:tcPr>
          <w:p>
            <w:pPr>
              <w:rPr>
                <w:noProof/>
                <w:szCs w:val="24"/>
              </w:rPr>
            </w:pPr>
            <w:r>
              <w:rPr>
                <w:noProof/>
              </w:rPr>
              <w:t>EU-27</w:t>
            </w:r>
          </w:p>
        </w:tc>
        <w:tc>
          <w:tcPr>
            <w:tcW w:w="1191" w:type="dxa"/>
            <w:vAlign w:val="center"/>
          </w:tcPr>
          <w:p>
            <w:pPr>
              <w:jc w:val="right"/>
              <w:rPr>
                <w:noProof/>
                <w:szCs w:val="24"/>
              </w:rPr>
            </w:pPr>
            <w:r>
              <w:rPr>
                <w:noProof/>
              </w:rPr>
              <w:t>0,9</w:t>
            </w:r>
          </w:p>
        </w:tc>
        <w:tc>
          <w:tcPr>
            <w:tcW w:w="1192" w:type="dxa"/>
            <w:vAlign w:val="center"/>
          </w:tcPr>
          <w:p>
            <w:pPr>
              <w:jc w:val="right"/>
              <w:rPr>
                <w:noProof/>
                <w:szCs w:val="24"/>
              </w:rPr>
            </w:pPr>
            <w:r>
              <w:rPr>
                <w:noProof/>
              </w:rPr>
              <w:t>-0,6</w:t>
            </w:r>
          </w:p>
        </w:tc>
        <w:tc>
          <w:tcPr>
            <w:tcW w:w="1191" w:type="dxa"/>
            <w:vAlign w:val="center"/>
          </w:tcPr>
          <w:p>
            <w:pPr>
              <w:jc w:val="right"/>
              <w:rPr>
                <w:noProof/>
                <w:szCs w:val="24"/>
              </w:rPr>
            </w:pPr>
            <w:r>
              <w:rPr>
                <w:noProof/>
              </w:rPr>
              <w:t>1,0</w:t>
            </w:r>
          </w:p>
        </w:tc>
        <w:tc>
          <w:tcPr>
            <w:tcW w:w="1192" w:type="dxa"/>
            <w:vAlign w:val="center"/>
          </w:tcPr>
          <w:p>
            <w:pPr>
              <w:jc w:val="right"/>
              <w:rPr>
                <w:noProof/>
                <w:szCs w:val="24"/>
              </w:rPr>
            </w:pPr>
            <w:r>
              <w:rPr>
                <w:noProof/>
              </w:rPr>
              <w:t>0,2</w:t>
            </w:r>
          </w:p>
        </w:tc>
        <w:tc>
          <w:tcPr>
            <w:tcW w:w="1191" w:type="dxa"/>
            <w:vAlign w:val="center"/>
          </w:tcPr>
          <w:p>
            <w:pPr>
              <w:jc w:val="right"/>
              <w:rPr>
                <w:noProof/>
                <w:szCs w:val="24"/>
              </w:rPr>
            </w:pPr>
            <w:r>
              <w:rPr>
                <w:noProof/>
              </w:rPr>
              <w:t>-0,5</w:t>
            </w:r>
          </w:p>
        </w:tc>
        <w:tc>
          <w:tcPr>
            <w:tcW w:w="1192" w:type="dxa"/>
            <w:vAlign w:val="center"/>
          </w:tcPr>
          <w:p>
            <w:pPr>
              <w:jc w:val="right"/>
              <w:rPr>
                <w:noProof/>
                <w:szCs w:val="24"/>
              </w:rPr>
            </w:pPr>
            <w:r>
              <w:rPr>
                <w:noProof/>
              </w:rPr>
              <w:t>0,1</w:t>
            </w:r>
          </w:p>
        </w:tc>
      </w:tr>
      <w:tr>
        <w:trPr>
          <w:trHeight w:val="360"/>
        </w:trPr>
        <w:tc>
          <w:tcPr>
            <w:tcW w:w="1191" w:type="dxa"/>
            <w:tcBorders>
              <w:bottom w:val="single" w:sz="4" w:space="0" w:color="auto"/>
            </w:tcBorders>
          </w:tcPr>
          <w:p>
            <w:pPr>
              <w:rPr>
                <w:noProof/>
                <w:szCs w:val="24"/>
              </w:rPr>
            </w:pPr>
            <w:r>
              <w:rPr>
                <w:noProof/>
              </w:rPr>
              <w:t>Kreikka</w:t>
            </w:r>
          </w:p>
        </w:tc>
        <w:tc>
          <w:tcPr>
            <w:tcW w:w="1191" w:type="dxa"/>
            <w:tcBorders>
              <w:bottom w:val="single" w:sz="4" w:space="0" w:color="auto"/>
            </w:tcBorders>
            <w:vAlign w:val="center"/>
          </w:tcPr>
          <w:p>
            <w:pPr>
              <w:jc w:val="right"/>
              <w:rPr>
                <w:noProof/>
                <w:szCs w:val="24"/>
              </w:rPr>
            </w:pPr>
            <w:r>
              <w:rPr>
                <w:noProof/>
              </w:rPr>
              <w:t>2,9</w:t>
            </w:r>
          </w:p>
        </w:tc>
        <w:tc>
          <w:tcPr>
            <w:tcW w:w="1192" w:type="dxa"/>
            <w:tcBorders>
              <w:bottom w:val="single" w:sz="4" w:space="0" w:color="auto"/>
            </w:tcBorders>
            <w:vAlign w:val="center"/>
          </w:tcPr>
          <w:p>
            <w:pPr>
              <w:jc w:val="right"/>
              <w:rPr>
                <w:noProof/>
                <w:szCs w:val="24"/>
              </w:rPr>
            </w:pPr>
            <w:r>
              <w:rPr>
                <w:noProof/>
              </w:rPr>
              <w:t>-0,3</w:t>
            </w:r>
          </w:p>
        </w:tc>
        <w:tc>
          <w:tcPr>
            <w:tcW w:w="1191" w:type="dxa"/>
            <w:tcBorders>
              <w:bottom w:val="single" w:sz="4" w:space="0" w:color="auto"/>
            </w:tcBorders>
            <w:vAlign w:val="center"/>
          </w:tcPr>
          <w:p>
            <w:pPr>
              <w:jc w:val="right"/>
              <w:rPr>
                <w:noProof/>
                <w:szCs w:val="24"/>
              </w:rPr>
            </w:pPr>
            <w:r>
              <w:rPr>
                <w:noProof/>
              </w:rPr>
              <w:t>-6,8</w:t>
            </w:r>
          </w:p>
        </w:tc>
        <w:tc>
          <w:tcPr>
            <w:tcW w:w="1192" w:type="dxa"/>
            <w:tcBorders>
              <w:bottom w:val="single" w:sz="4" w:space="0" w:color="auto"/>
            </w:tcBorders>
            <w:vAlign w:val="center"/>
          </w:tcPr>
          <w:p>
            <w:pPr>
              <w:jc w:val="right"/>
              <w:rPr>
                <w:noProof/>
                <w:szCs w:val="24"/>
              </w:rPr>
            </w:pPr>
            <w:r>
              <w:rPr>
                <w:noProof/>
              </w:rPr>
              <w:t>-7,2</w:t>
            </w:r>
          </w:p>
        </w:tc>
        <w:tc>
          <w:tcPr>
            <w:tcW w:w="1191" w:type="dxa"/>
            <w:tcBorders>
              <w:bottom w:val="single" w:sz="4" w:space="0" w:color="auto"/>
            </w:tcBorders>
            <w:vAlign w:val="center"/>
          </w:tcPr>
          <w:p>
            <w:pPr>
              <w:jc w:val="right"/>
              <w:rPr>
                <w:noProof/>
                <w:szCs w:val="24"/>
              </w:rPr>
            </w:pPr>
            <w:r>
              <w:rPr>
                <w:noProof/>
              </w:rPr>
              <w:t>-8,9</w:t>
            </w:r>
          </w:p>
        </w:tc>
        <w:tc>
          <w:tcPr>
            <w:tcW w:w="1192" w:type="dxa"/>
            <w:tcBorders>
              <w:bottom w:val="single" w:sz="4" w:space="0" w:color="auto"/>
            </w:tcBorders>
            <w:vAlign w:val="center"/>
          </w:tcPr>
          <w:p>
            <w:pPr>
              <w:jc w:val="right"/>
              <w:rPr>
                <w:noProof/>
                <w:szCs w:val="24"/>
              </w:rPr>
            </w:pPr>
            <w:r>
              <w:rPr>
                <w:noProof/>
              </w:rPr>
              <w:t>-5,6</w:t>
            </w:r>
          </w:p>
        </w:tc>
      </w:tr>
      <w:tr>
        <w:trPr>
          <w:trHeight w:val="360"/>
        </w:trPr>
        <w:tc>
          <w:tcPr>
            <w:tcW w:w="8340" w:type="dxa"/>
            <w:gridSpan w:val="7"/>
            <w:tcBorders>
              <w:top w:val="single" w:sz="4" w:space="0" w:color="auto"/>
              <w:left w:val="nil"/>
              <w:bottom w:val="nil"/>
              <w:right w:val="nil"/>
            </w:tcBorders>
          </w:tcPr>
          <w:p>
            <w:pPr>
              <w:jc w:val="left"/>
              <w:rPr>
                <w:noProof/>
                <w:szCs w:val="24"/>
              </w:rPr>
            </w:pPr>
            <w:r>
              <w:rPr>
                <w:i/>
                <w:noProof/>
              </w:rPr>
              <w:t>Lähde: Eurostat</w:t>
            </w:r>
            <w:r>
              <w:rPr>
                <w:rStyle w:val="FootnoteReference"/>
                <w:i/>
                <w:noProof/>
              </w:rPr>
              <w:footnoteReference w:id="7"/>
            </w:r>
            <w:r>
              <w:rPr>
                <w:i/>
                <w:noProof/>
              </w:rPr>
              <w:t>.</w:t>
            </w:r>
          </w:p>
        </w:tc>
      </w:tr>
    </w:tbl>
    <w:p>
      <w:pPr>
        <w:pStyle w:val="ManualNumPar1"/>
        <w:rPr>
          <w:noProof/>
        </w:rPr>
      </w:pPr>
      <w:r>
        <w:t>15.</w:t>
      </w:r>
      <w:r>
        <w:tab/>
      </w:r>
      <w:r>
        <w:rPr>
          <w:noProof/>
        </w:rPr>
        <w:t>Heinäkuussa 2014 julkaistun INE-GSEE:n</w:t>
      </w:r>
      <w:r>
        <w:rPr>
          <w:rStyle w:val="FootnoteReference"/>
          <w:noProof/>
        </w:rPr>
        <w:footnoteReference w:id="8"/>
      </w:r>
      <w:r>
        <w:rPr>
          <w:noProof/>
        </w:rPr>
        <w:t xml:space="preserve"> tutkimuksen mukaan kolme neljästä työntekijästä toteaa, että palkkaleikkauksien vuoksi heidän tulotasonsa on laskenut vuonna 2014 aiempiin vuosiin verrattuna. Lisäksi 38 prosenttia vastaajista uskoo, että heidän palkkojaan leikataan edelleen seuraavalla vuosineljänneksellä, ja on sen vuoksi vähentänyt menojaan.</w:t>
      </w:r>
    </w:p>
    <w:p>
      <w:pPr>
        <w:pStyle w:val="ManualNumPar1"/>
        <w:rPr>
          <w:noProof/>
        </w:rPr>
      </w:pPr>
      <w:r>
        <w:t>16.</w:t>
      </w:r>
      <w:r>
        <w:tab/>
      </w:r>
      <w:r>
        <w:rPr>
          <w:noProof/>
        </w:rPr>
        <w:t xml:space="preserve">Vuosina 2009–2015 kuluttajien luottamusta mittaava indikaattori (painotettu myönteisten ja kielteisten vastausten osuus) on ollut negatiivinen. Indikaattori heikkeni huomattavasti kolmen ensimmäisen vuoden aikana [-46 (2009) -63 (2010) </w:t>
      </w:r>
      <w:r>
        <w:rPr>
          <w:noProof/>
        </w:rPr>
        <w:noBreakHyphen/>
        <w:t>74 (2011)], ja heikoin tulos saavutettiin vuonna 2012 (-75). Kuluttajien luottamus on ollut sittemmin palaamassa, ja indikaattori on palannut lähes vuoden 2009 arvoihin: (-49 vuosina 2014–2015).</w:t>
      </w:r>
    </w:p>
    <w:p>
      <w:pPr>
        <w:pStyle w:val="ManualNumPar1"/>
        <w:rPr>
          <w:noProof/>
        </w:rPr>
      </w:pPr>
      <w:r>
        <w:t>17.</w:t>
      </w:r>
      <w:r>
        <w:tab/>
      </w:r>
      <w:r>
        <w:rPr>
          <w:noProof/>
        </w:rPr>
        <w:t>ELSTATin kotitalouksien tuloista ja elinoloista laatiman raportin mukaan 23 prosenttia kreikkalaisista eli vuonna 2012 köyhyysrajan</w:t>
      </w:r>
      <w:r>
        <w:rPr>
          <w:rStyle w:val="FootnoteReference"/>
          <w:noProof/>
        </w:rPr>
        <w:footnoteReference w:id="9"/>
      </w:r>
      <w:r>
        <w:rPr>
          <w:noProof/>
        </w:rPr>
        <w:t xml:space="preserve"> alapuolella.</w:t>
      </w:r>
    </w:p>
    <w:p>
      <w:pPr>
        <w:pStyle w:val="ManualNumPar1"/>
        <w:rPr>
          <w:noProof/>
        </w:rPr>
      </w:pPr>
      <w:r>
        <w:t>18.</w:t>
      </w:r>
      <w:r>
        <w:tab/>
      </w:r>
      <w:r>
        <w:rPr>
          <w:noProof/>
        </w:rPr>
        <w:t>Vähittäiskaupan alalta on tähän mennessä jätetty viisi muuta EGR-hakemusta</w:t>
      </w:r>
      <w:r>
        <w:rPr>
          <w:rStyle w:val="FootnoteReference"/>
          <w:noProof/>
        </w:rPr>
        <w:footnoteReference w:id="10"/>
      </w:r>
      <w:r>
        <w:rPr>
          <w:noProof/>
        </w:rPr>
        <w:t>, jotka kaikki ovat perustuneet maailmanlaajuiseen rahoitus- ja talouskriisiin.</w:t>
      </w:r>
    </w:p>
    <w:p>
      <w:pPr>
        <w:pStyle w:val="ManualHeading3"/>
        <w:rPr>
          <w:noProof/>
        </w:rPr>
      </w:pPr>
      <w:r>
        <w:rPr>
          <w:noProof/>
        </w:rPr>
        <w:t>Työntekijävähennyksiin ja toiminnan lopettamiseen johtaneet tapahtumat</w:t>
      </w:r>
    </w:p>
    <w:p>
      <w:pPr>
        <w:pStyle w:val="ManualNumPar1"/>
        <w:rPr>
          <w:noProof/>
        </w:rPr>
      </w:pPr>
      <w:r>
        <w:t>19.</w:t>
      </w:r>
      <w:r>
        <w:tab/>
      </w:r>
      <w:r>
        <w:rPr>
          <w:noProof/>
        </w:rPr>
        <w:t>Kreikan viranomaisten mukaan työntekijävähennysten syynä ovat yrityksen konkurssi ja sulkeminen. Yrityksen konkurssi aiheutui lähinnä kahdesta syystä: 1) kotitalouksien käytettävissä olevien tulojen pieneneminen, joka johtui verotaakan kasvamisesta, palkkojen pienenemisestä (sekä yksityisellä että julkisella sektorilla) ja työttömyyden kasvamisesta ja johti ostovoiman rajuun heikkenemiseen, 2) yrityksille ja yksityishenkilöille myönnettyjen lainojen jyrkkä väheneminen, joka johtui siitä, ettei kreikkalaisilla pankeilla ollut riittävästi varoja. Kreikan pankin mukaan kotitalouksille ja yrityksille (paitsi rahoitusalan yrityksille) myönnettyjen lainojen vuotuinen kasvuvauhti on ollut negatiivinen vuodesta 2010. Syynä on kreikkalaisten pankkien käteisvarapula.</w:t>
      </w:r>
    </w:p>
    <w:p>
      <w:pPr>
        <w:pStyle w:val="ManualNumPar1"/>
        <w:rPr>
          <w:noProof/>
        </w:rPr>
      </w:pPr>
      <w:r>
        <w:t>20.</w:t>
      </w:r>
      <w:r>
        <w:tab/>
      </w:r>
      <w:r>
        <w:rPr>
          <w:noProof/>
        </w:rPr>
        <w:t xml:space="preserve">Vuonna 1986 pienten elintarvikemyymälöiden ryhmä Larissan maakunnassa perusti osuuskunnan (Supermarket Larissa). Osuuskunta kasvoi nopeasti ja avasi uusia myymälöitä, jolloin uusia omistaja-työntekijöitä liittyi mukaan osuuskuntaan. </w:t>
      </w:r>
      <w:r>
        <w:rPr>
          <w:noProof/>
        </w:rPr>
        <w:lastRenderedPageBreak/>
        <w:t xml:space="preserve">Lopulta yrityksellä oli 42 myymälää ja 600 työntekijää (työntekijää ja omistaja-työntekijää). Osuuskunnan menestyksekäs kehittäminen katkesi lyhyeen talous- ja finanssikriisin seurauksena. </w:t>
      </w:r>
    </w:p>
    <w:p>
      <w:pPr>
        <w:pStyle w:val="ManualNumPar1"/>
        <w:rPr>
          <w:noProof/>
        </w:rPr>
      </w:pPr>
      <w:r>
        <w:t>21.</w:t>
      </w:r>
      <w:r>
        <w:tab/>
      </w:r>
      <w:r>
        <w:rPr>
          <w:noProof/>
        </w:rPr>
        <w:t>Kun kreikkalaisten kotitalouksien ostovoima pieneni Kreikan talouden supistuttua rahoitus- ja talouskriisin alusta lähtien, tuotteiden – jopa peruselintarvikkeiden – kysyntä supistui. Vuonna 2015 laskettuaan yhtäjaksoisesti viisi vuotta elintarvikkeiden, juomien ja tupakan vähittäiskaupan määrät olivat yli 30 prosenttia pienemmät kuin kriisiä edeltävät määrät vuonna 2008.</w:t>
      </w:r>
    </w:p>
    <w:p>
      <w:pPr>
        <w:pStyle w:val="Text1"/>
        <w:jc w:val="center"/>
        <w:rPr>
          <w:noProof/>
          <w:vanish/>
          <w:specVanish/>
        </w:rPr>
      </w:pPr>
      <w:r>
        <w:rPr>
          <w:b/>
          <w:noProof/>
        </w:rPr>
        <w:br/>
        <w:t>Elintarvikkeiden, juomien ja tupakan vähittäiskaupan määrät Kreikassa</w:t>
      </w:r>
      <w:r>
        <w:rPr>
          <w:b/>
          <w:noProof/>
        </w:rPr>
        <w:br/>
        <w:t>(vuotuiset prosenttimuutokset)</w:t>
      </w:r>
    </w:p>
    <w:tbl>
      <w:tblPr>
        <w:tblStyle w:val="TableGrid"/>
        <w:tblW w:w="7560" w:type="dxa"/>
        <w:tblInd w:w="1068" w:type="dxa"/>
        <w:tblLayout w:type="fixed"/>
        <w:tblLook w:val="04A0" w:firstRow="1" w:lastRow="0" w:firstColumn="1" w:lastColumn="0" w:noHBand="0" w:noVBand="1"/>
      </w:tblPr>
      <w:tblGrid>
        <w:gridCol w:w="1320"/>
        <w:gridCol w:w="940"/>
        <w:gridCol w:w="1060"/>
        <w:gridCol w:w="1060"/>
        <w:gridCol w:w="1060"/>
        <w:gridCol w:w="1060"/>
        <w:gridCol w:w="820"/>
        <w:gridCol w:w="240"/>
      </w:tblGrid>
      <w:tr>
        <w:tc>
          <w:tcPr>
            <w:tcW w:w="1320" w:type="dxa"/>
          </w:tcPr>
          <w:p>
            <w:pPr>
              <w:spacing w:after="0"/>
              <w:rPr>
                <w:noProof/>
                <w:szCs w:val="24"/>
              </w:rPr>
            </w:pPr>
          </w:p>
        </w:tc>
        <w:tc>
          <w:tcPr>
            <w:tcW w:w="940" w:type="dxa"/>
            <w:vAlign w:val="center"/>
          </w:tcPr>
          <w:p>
            <w:pPr>
              <w:spacing w:after="0"/>
              <w:jc w:val="right"/>
              <w:rPr>
                <w:noProof/>
                <w:szCs w:val="24"/>
              </w:rPr>
            </w:pPr>
            <w:r>
              <w:rPr>
                <w:noProof/>
              </w:rPr>
              <w:t>2009</w:t>
            </w:r>
          </w:p>
        </w:tc>
        <w:tc>
          <w:tcPr>
            <w:tcW w:w="1060" w:type="dxa"/>
            <w:vAlign w:val="center"/>
          </w:tcPr>
          <w:p>
            <w:pPr>
              <w:spacing w:after="0"/>
              <w:jc w:val="right"/>
              <w:rPr>
                <w:noProof/>
                <w:szCs w:val="24"/>
              </w:rPr>
            </w:pPr>
            <w:r>
              <w:rPr>
                <w:noProof/>
              </w:rPr>
              <w:t>2010</w:t>
            </w:r>
          </w:p>
        </w:tc>
        <w:tc>
          <w:tcPr>
            <w:tcW w:w="1060" w:type="dxa"/>
            <w:vAlign w:val="center"/>
          </w:tcPr>
          <w:p>
            <w:pPr>
              <w:spacing w:after="0"/>
              <w:jc w:val="right"/>
              <w:rPr>
                <w:noProof/>
                <w:szCs w:val="24"/>
              </w:rPr>
            </w:pPr>
            <w:r>
              <w:rPr>
                <w:noProof/>
              </w:rPr>
              <w:t>2011</w:t>
            </w:r>
          </w:p>
        </w:tc>
        <w:tc>
          <w:tcPr>
            <w:tcW w:w="1060" w:type="dxa"/>
            <w:vAlign w:val="center"/>
          </w:tcPr>
          <w:p>
            <w:pPr>
              <w:spacing w:after="0"/>
              <w:jc w:val="right"/>
              <w:rPr>
                <w:noProof/>
                <w:szCs w:val="24"/>
              </w:rPr>
            </w:pPr>
            <w:r>
              <w:rPr>
                <w:noProof/>
              </w:rPr>
              <w:t>2012</w:t>
            </w:r>
          </w:p>
        </w:tc>
        <w:tc>
          <w:tcPr>
            <w:tcW w:w="1060" w:type="dxa"/>
            <w:vAlign w:val="center"/>
          </w:tcPr>
          <w:p>
            <w:pPr>
              <w:spacing w:after="0"/>
              <w:jc w:val="right"/>
              <w:rPr>
                <w:noProof/>
                <w:szCs w:val="24"/>
              </w:rPr>
            </w:pPr>
            <w:r>
              <w:rPr>
                <w:noProof/>
              </w:rPr>
              <w:t>2013</w:t>
            </w:r>
          </w:p>
        </w:tc>
        <w:tc>
          <w:tcPr>
            <w:tcW w:w="1060" w:type="dxa"/>
            <w:gridSpan w:val="2"/>
          </w:tcPr>
          <w:p>
            <w:pPr>
              <w:rPr>
                <w:noProof/>
                <w:szCs w:val="24"/>
              </w:rPr>
            </w:pPr>
            <w:r>
              <w:rPr>
                <w:noProof/>
              </w:rPr>
              <w:t>2014-2015</w:t>
            </w:r>
            <w:r>
              <w:rPr>
                <w:rStyle w:val="FootnoteReference"/>
                <w:noProof/>
              </w:rPr>
              <w:footnoteReference w:id="11"/>
            </w:r>
          </w:p>
        </w:tc>
      </w:tr>
      <w:tr>
        <w:tc>
          <w:tcPr>
            <w:tcW w:w="1320" w:type="dxa"/>
            <w:tcBorders>
              <w:bottom w:val="single" w:sz="4" w:space="0" w:color="auto"/>
            </w:tcBorders>
          </w:tcPr>
          <w:p>
            <w:pPr>
              <w:spacing w:after="0"/>
              <w:rPr>
                <w:noProof/>
                <w:szCs w:val="24"/>
              </w:rPr>
            </w:pPr>
            <w:r>
              <w:rPr>
                <w:noProof/>
              </w:rPr>
              <w:t>Elintarvik</w:t>
            </w:r>
            <w:r>
              <w:rPr>
                <w:noProof/>
              </w:rPr>
              <w:softHyphen/>
              <w:t>keet-juomat-tupakka</w:t>
            </w:r>
            <w:r>
              <w:rPr>
                <w:rStyle w:val="FootnoteReference"/>
                <w:noProof/>
              </w:rPr>
              <w:footnoteReference w:id="12"/>
            </w:r>
          </w:p>
        </w:tc>
        <w:tc>
          <w:tcPr>
            <w:tcW w:w="940" w:type="dxa"/>
            <w:tcBorders>
              <w:bottom w:val="single" w:sz="4" w:space="0" w:color="auto"/>
            </w:tcBorders>
            <w:vAlign w:val="center"/>
          </w:tcPr>
          <w:p>
            <w:pPr>
              <w:spacing w:after="0"/>
              <w:jc w:val="right"/>
              <w:rPr>
                <w:noProof/>
                <w:szCs w:val="24"/>
              </w:rPr>
            </w:pPr>
            <w:r>
              <w:rPr>
                <w:noProof/>
              </w:rPr>
              <w:t>-6.1</w:t>
            </w:r>
          </w:p>
        </w:tc>
        <w:tc>
          <w:tcPr>
            <w:tcW w:w="1060" w:type="dxa"/>
            <w:tcBorders>
              <w:bottom w:val="single" w:sz="4" w:space="0" w:color="auto"/>
            </w:tcBorders>
            <w:vAlign w:val="center"/>
          </w:tcPr>
          <w:p>
            <w:pPr>
              <w:spacing w:after="0"/>
              <w:jc w:val="right"/>
              <w:rPr>
                <w:noProof/>
                <w:szCs w:val="24"/>
              </w:rPr>
            </w:pPr>
            <w:r>
              <w:rPr>
                <w:noProof/>
              </w:rPr>
              <w:t>-5.5</w:t>
            </w:r>
          </w:p>
        </w:tc>
        <w:tc>
          <w:tcPr>
            <w:tcW w:w="1060" w:type="dxa"/>
            <w:tcBorders>
              <w:bottom w:val="single" w:sz="4" w:space="0" w:color="auto"/>
            </w:tcBorders>
            <w:vAlign w:val="center"/>
          </w:tcPr>
          <w:p>
            <w:pPr>
              <w:spacing w:after="0"/>
              <w:jc w:val="right"/>
              <w:rPr>
                <w:noProof/>
                <w:szCs w:val="24"/>
              </w:rPr>
            </w:pPr>
            <w:r>
              <w:rPr>
                <w:noProof/>
              </w:rPr>
              <w:t>-6.0</w:t>
            </w:r>
          </w:p>
        </w:tc>
        <w:tc>
          <w:tcPr>
            <w:tcW w:w="1060" w:type="dxa"/>
            <w:tcBorders>
              <w:bottom w:val="single" w:sz="4" w:space="0" w:color="auto"/>
            </w:tcBorders>
            <w:vAlign w:val="center"/>
          </w:tcPr>
          <w:p>
            <w:pPr>
              <w:spacing w:after="0"/>
              <w:jc w:val="right"/>
              <w:rPr>
                <w:noProof/>
                <w:szCs w:val="24"/>
              </w:rPr>
            </w:pPr>
            <w:r>
              <w:rPr>
                <w:noProof/>
              </w:rPr>
              <w:t>-9.0</w:t>
            </w:r>
          </w:p>
        </w:tc>
        <w:tc>
          <w:tcPr>
            <w:tcW w:w="1060" w:type="dxa"/>
            <w:tcBorders>
              <w:bottom w:val="single" w:sz="4" w:space="0" w:color="auto"/>
            </w:tcBorders>
            <w:vAlign w:val="center"/>
          </w:tcPr>
          <w:p>
            <w:pPr>
              <w:spacing w:after="0"/>
              <w:jc w:val="right"/>
              <w:rPr>
                <w:noProof/>
                <w:szCs w:val="24"/>
              </w:rPr>
            </w:pPr>
            <w:r>
              <w:rPr>
                <w:noProof/>
              </w:rPr>
              <w:t>-9.1</w:t>
            </w:r>
          </w:p>
        </w:tc>
        <w:tc>
          <w:tcPr>
            <w:tcW w:w="1060" w:type="dxa"/>
            <w:gridSpan w:val="2"/>
            <w:tcBorders>
              <w:bottom w:val="single" w:sz="4" w:space="0" w:color="auto"/>
            </w:tcBorders>
            <w:vAlign w:val="center"/>
          </w:tcPr>
          <w:p>
            <w:pPr>
              <w:spacing w:after="0"/>
              <w:jc w:val="right"/>
              <w:rPr>
                <w:noProof/>
                <w:szCs w:val="24"/>
              </w:rPr>
            </w:pPr>
            <w:r>
              <w:rPr>
                <w:noProof/>
              </w:rPr>
              <w:t>0.4</w:t>
            </w:r>
          </w:p>
        </w:tc>
      </w:tr>
      <w:tr>
        <w:trPr>
          <w:gridAfter w:val="1"/>
          <w:wAfter w:w="240" w:type="dxa"/>
        </w:trPr>
        <w:tc>
          <w:tcPr>
            <w:tcW w:w="7320" w:type="dxa"/>
            <w:gridSpan w:val="7"/>
            <w:tcBorders>
              <w:top w:val="single" w:sz="4" w:space="0" w:color="auto"/>
              <w:left w:val="nil"/>
              <w:bottom w:val="nil"/>
              <w:right w:val="nil"/>
            </w:tcBorders>
            <w:vAlign w:val="center"/>
          </w:tcPr>
          <w:p>
            <w:pPr>
              <w:spacing w:before="0" w:after="0"/>
              <w:jc w:val="left"/>
              <w:rPr>
                <w:i/>
                <w:noProof/>
                <w:sz w:val="20"/>
                <w:szCs w:val="20"/>
              </w:rPr>
            </w:pPr>
            <w:r>
              <w:rPr>
                <w:i/>
                <w:noProof/>
                <w:sz w:val="20"/>
                <w:szCs w:val="20"/>
              </w:rPr>
              <w:br/>
            </w:r>
            <w:r>
              <w:rPr>
                <w:i/>
                <w:noProof/>
                <w:sz w:val="20"/>
              </w:rPr>
              <w:t>Lähde: ELSTAT.</w:t>
            </w:r>
          </w:p>
        </w:tc>
      </w:tr>
    </w:tbl>
    <w:p>
      <w:pPr>
        <w:pStyle w:val="ManualNumPar1"/>
        <w:rPr>
          <w:noProof/>
        </w:rPr>
      </w:pPr>
      <w:r>
        <w:t>22.</w:t>
      </w:r>
      <w:r>
        <w:tab/>
      </w:r>
      <w:r>
        <w:rPr>
          <w:noProof/>
        </w:rPr>
        <w:t>Supermarket Larissan myynti noudatteli Kreikan talouden taantumaa, ja vuonna 2013 myynti oli 24 prosenttia pienempi kuin vuonna 2009.</w:t>
      </w:r>
    </w:p>
    <w:p>
      <w:pPr>
        <w:pStyle w:val="Text1"/>
        <w:jc w:val="center"/>
        <w:rPr>
          <w:b/>
          <w:noProof/>
        </w:rPr>
        <w:sectPr>
          <w:footerReference w:type="default" r:id="rId11"/>
          <w:footerReference w:type="first" r:id="rId12"/>
          <w:pgSz w:w="11907" w:h="16839"/>
          <w:pgMar w:top="1134" w:right="1417" w:bottom="1134" w:left="1417" w:header="709" w:footer="709" w:gutter="0"/>
          <w:cols w:space="708"/>
          <w:docGrid w:linePitch="360"/>
        </w:sectPr>
      </w:pPr>
    </w:p>
    <w:p>
      <w:pPr>
        <w:pStyle w:val="Text1"/>
        <w:jc w:val="center"/>
        <w:rPr>
          <w:b/>
          <w:noProof/>
        </w:rPr>
      </w:pPr>
      <w:r>
        <w:rPr>
          <w:b/>
          <w:noProof/>
        </w:rPr>
        <w:lastRenderedPageBreak/>
        <w:t xml:space="preserve">Supermarket Larissa ABEE </w:t>
      </w:r>
      <w:r>
        <w:rPr>
          <w:b/>
          <w:noProof/>
        </w:rPr>
        <w:br/>
        <w:t>(myynti - milj. euroa)</w:t>
      </w:r>
    </w:p>
    <w:tbl>
      <w:tblPr>
        <w:tblStyle w:val="TableGrid"/>
        <w:tblW w:w="0" w:type="auto"/>
        <w:tblInd w:w="1068" w:type="dxa"/>
        <w:tblLook w:val="04A0" w:firstRow="1" w:lastRow="0" w:firstColumn="1" w:lastColumn="0" w:noHBand="0" w:noVBand="1"/>
      </w:tblPr>
      <w:tblGrid>
        <w:gridCol w:w="1416"/>
        <w:gridCol w:w="1416"/>
        <w:gridCol w:w="1416"/>
        <w:gridCol w:w="1416"/>
        <w:gridCol w:w="1416"/>
      </w:tblGrid>
      <w:tr>
        <w:tc>
          <w:tcPr>
            <w:tcW w:w="1416" w:type="dxa"/>
            <w:vAlign w:val="center"/>
          </w:tcPr>
          <w:p>
            <w:pPr>
              <w:jc w:val="center"/>
              <w:rPr>
                <w:noProof/>
                <w:szCs w:val="24"/>
              </w:rPr>
            </w:pPr>
            <w:r>
              <w:rPr>
                <w:noProof/>
              </w:rPr>
              <w:t>2009</w:t>
            </w:r>
          </w:p>
        </w:tc>
        <w:tc>
          <w:tcPr>
            <w:tcW w:w="1416" w:type="dxa"/>
            <w:vAlign w:val="center"/>
          </w:tcPr>
          <w:p>
            <w:pPr>
              <w:jc w:val="center"/>
              <w:rPr>
                <w:noProof/>
                <w:szCs w:val="24"/>
              </w:rPr>
            </w:pPr>
            <w:r>
              <w:rPr>
                <w:noProof/>
              </w:rPr>
              <w:t>2010</w:t>
            </w:r>
          </w:p>
        </w:tc>
        <w:tc>
          <w:tcPr>
            <w:tcW w:w="1416" w:type="dxa"/>
            <w:vAlign w:val="center"/>
          </w:tcPr>
          <w:p>
            <w:pPr>
              <w:jc w:val="center"/>
              <w:rPr>
                <w:noProof/>
                <w:szCs w:val="24"/>
              </w:rPr>
            </w:pPr>
            <w:r>
              <w:rPr>
                <w:noProof/>
              </w:rPr>
              <w:t>2011</w:t>
            </w:r>
          </w:p>
        </w:tc>
        <w:tc>
          <w:tcPr>
            <w:tcW w:w="1416" w:type="dxa"/>
            <w:vAlign w:val="center"/>
          </w:tcPr>
          <w:p>
            <w:pPr>
              <w:jc w:val="center"/>
              <w:rPr>
                <w:noProof/>
                <w:szCs w:val="24"/>
              </w:rPr>
            </w:pPr>
            <w:r>
              <w:rPr>
                <w:noProof/>
              </w:rPr>
              <w:t>2012</w:t>
            </w:r>
          </w:p>
        </w:tc>
        <w:tc>
          <w:tcPr>
            <w:tcW w:w="1416" w:type="dxa"/>
            <w:vAlign w:val="center"/>
          </w:tcPr>
          <w:p>
            <w:pPr>
              <w:jc w:val="center"/>
              <w:rPr>
                <w:noProof/>
                <w:szCs w:val="24"/>
              </w:rPr>
            </w:pPr>
            <w:r>
              <w:rPr>
                <w:noProof/>
              </w:rPr>
              <w:t>2013</w:t>
            </w:r>
          </w:p>
        </w:tc>
      </w:tr>
      <w:tr>
        <w:tc>
          <w:tcPr>
            <w:tcW w:w="1416" w:type="dxa"/>
            <w:vAlign w:val="center"/>
          </w:tcPr>
          <w:p>
            <w:pPr>
              <w:jc w:val="center"/>
              <w:rPr>
                <w:noProof/>
                <w:szCs w:val="24"/>
              </w:rPr>
            </w:pPr>
            <w:r>
              <w:rPr>
                <w:noProof/>
              </w:rPr>
              <w:t>67,6</w:t>
            </w:r>
          </w:p>
        </w:tc>
        <w:tc>
          <w:tcPr>
            <w:tcW w:w="1416" w:type="dxa"/>
            <w:vAlign w:val="center"/>
          </w:tcPr>
          <w:p>
            <w:pPr>
              <w:jc w:val="center"/>
              <w:rPr>
                <w:noProof/>
                <w:szCs w:val="24"/>
              </w:rPr>
            </w:pPr>
            <w:r>
              <w:rPr>
                <w:noProof/>
              </w:rPr>
              <w:t>66,9</w:t>
            </w:r>
          </w:p>
        </w:tc>
        <w:tc>
          <w:tcPr>
            <w:tcW w:w="1416" w:type="dxa"/>
            <w:vAlign w:val="center"/>
          </w:tcPr>
          <w:p>
            <w:pPr>
              <w:jc w:val="center"/>
              <w:rPr>
                <w:noProof/>
                <w:szCs w:val="24"/>
              </w:rPr>
            </w:pPr>
            <w:r>
              <w:rPr>
                <w:noProof/>
              </w:rPr>
              <w:t>64,5</w:t>
            </w:r>
          </w:p>
        </w:tc>
        <w:tc>
          <w:tcPr>
            <w:tcW w:w="1416" w:type="dxa"/>
            <w:vAlign w:val="center"/>
          </w:tcPr>
          <w:p>
            <w:pPr>
              <w:jc w:val="center"/>
              <w:rPr>
                <w:noProof/>
                <w:szCs w:val="24"/>
              </w:rPr>
            </w:pPr>
            <w:r>
              <w:rPr>
                <w:noProof/>
              </w:rPr>
              <w:t>58,6</w:t>
            </w:r>
          </w:p>
        </w:tc>
        <w:tc>
          <w:tcPr>
            <w:tcW w:w="1416" w:type="dxa"/>
            <w:vAlign w:val="center"/>
          </w:tcPr>
          <w:p>
            <w:pPr>
              <w:jc w:val="center"/>
              <w:rPr>
                <w:noProof/>
                <w:szCs w:val="24"/>
              </w:rPr>
            </w:pPr>
            <w:r>
              <w:rPr>
                <w:noProof/>
              </w:rPr>
              <w:t>51,6</w:t>
            </w:r>
          </w:p>
        </w:tc>
      </w:tr>
    </w:tbl>
    <w:p>
      <w:pPr>
        <w:pStyle w:val="ManualNumPar1"/>
        <w:rPr>
          <w:noProof/>
        </w:rPr>
      </w:pPr>
      <w:r>
        <w:t>23.</w:t>
      </w:r>
      <w:r>
        <w:tab/>
      </w:r>
      <w:r>
        <w:rPr>
          <w:noProof/>
        </w:rPr>
        <w:t>Voidakseen mukautua markkinatilanteeseen yritys toteutti säästötoimenpiteitä. Näitä olivat esimerkiksi palkkojen leikkaukset (-30 %), vuokraneuvottelut, laskujen eräpäivien lykkääminen, halvempien tuotteiden ehdottaminen, toimintakustannusten vähentäminen (esim. vähentämällä valaistuksen käyttöaikaa myymälöissä). Yritys ei kuitenkaan selviytynyt tappioistaan, ja sen piti sulkea useita myymälöitä vuoden 2014 toisella vuosineljänneksellä. Yrityksen sulkeminen ja sitä seuraavat irtisanomiset tapahtuivat lopulta vuotta myöhemmin (vuoden 2015 toisella vuosineljänneksellä), kun tuomioistuin antoi päätöksen Supermarket Larissan toimittajan esittämästä konkurssihakemuksesta.</w:t>
      </w:r>
    </w:p>
    <w:p>
      <w:pPr>
        <w:pStyle w:val="ManualHeading3"/>
        <w:rPr>
          <w:noProof/>
        </w:rPr>
      </w:pPr>
      <w:r>
        <w:rPr>
          <w:noProof/>
        </w:rPr>
        <w:t>Työntekijöiden vähentämisten odotettu vaikutus paikalliseen, alueelliseen tai kansalliseen talouteen ja työllisyyteen</w:t>
      </w:r>
    </w:p>
    <w:p>
      <w:pPr>
        <w:pStyle w:val="ManualNumPar1"/>
        <w:rPr>
          <w:noProof/>
        </w:rPr>
      </w:pPr>
      <w:r>
        <w:t>24.</w:t>
      </w:r>
      <w:r>
        <w:tab/>
      </w:r>
      <w:r>
        <w:rPr>
          <w:noProof/>
        </w:rPr>
        <w:t>Kreikan viranomaisten mukaan Supermarket Larissan työntekijävähennykset pahentavat entisestään työttömyystilannetta, jota talous- ja rahoituskriisi on jo heikentänyt ja joka vaikuttaa erityisen hauraalta. EU:n jäsenvaltioiden vertailussa Kreikalla on korkein ja maailmanlaajuisesti katsottuna viidenneksi korkein työttömyysaste</w:t>
      </w:r>
      <w:r>
        <w:rPr>
          <w:rStyle w:val="FootnoteReference"/>
          <w:noProof/>
        </w:rPr>
        <w:footnoteReference w:id="13"/>
      </w:r>
      <w:r>
        <w:rPr>
          <w:noProof/>
        </w:rPr>
        <w:t>.</w:t>
      </w:r>
    </w:p>
    <w:p>
      <w:pPr>
        <w:pStyle w:val="Text1"/>
        <w:jc w:val="center"/>
        <w:rPr>
          <w:noProof/>
        </w:rPr>
      </w:pPr>
      <w:r>
        <w:rPr>
          <w:b/>
          <w:noProof/>
        </w:rPr>
        <w:t>Työttömyysaste</w:t>
      </w:r>
      <w:r>
        <w:rPr>
          <w:b/>
          <w:noProof/>
        </w:rPr>
        <w:br/>
      </w:r>
      <w:r>
        <w:rPr>
          <w:b/>
          <w:noProof/>
        </w:rPr>
        <w:br/>
      </w:r>
      <w:r>
        <w:rPr>
          <w:noProof/>
        </w:rPr>
        <w:t xml:space="preserve"> </w:t>
      </w:r>
      <w:r>
        <w:rPr>
          <w:noProof/>
          <w:lang w:val="en-US" w:eastAsia="en-US" w:bidi="ar-SA"/>
        </w:rPr>
        <w:drawing>
          <wp:inline distT="0" distB="0" distL="0" distR="0">
            <wp:extent cx="3848100" cy="244792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Text1"/>
        <w:rPr>
          <w:noProof/>
        </w:rPr>
      </w:pPr>
      <w:r>
        <w:rPr>
          <w:noProof/>
        </w:rPr>
        <w:tab/>
      </w:r>
      <w:r>
        <w:rPr>
          <w:noProof/>
        </w:rPr>
        <w:tab/>
      </w:r>
      <w:r>
        <w:rPr>
          <w:i/>
          <w:noProof/>
          <w:sz w:val="20"/>
        </w:rPr>
        <w:t>Lähde: Eurostat</w:t>
      </w:r>
      <w:r>
        <w:rPr>
          <w:rStyle w:val="FootnoteReference"/>
          <w:noProof/>
        </w:rPr>
        <w:footnoteReference w:id="14"/>
      </w:r>
      <w:r>
        <w:rPr>
          <w:i/>
          <w:noProof/>
          <w:sz w:val="20"/>
        </w:rPr>
        <w:t xml:space="preserve"> ja ELSTAT.</w:t>
      </w:r>
    </w:p>
    <w:p>
      <w:pPr>
        <w:pStyle w:val="ManualNumPar1"/>
        <w:rPr>
          <w:noProof/>
        </w:rPr>
      </w:pPr>
      <w:r>
        <w:lastRenderedPageBreak/>
        <w:t>25.</w:t>
      </w:r>
      <w:r>
        <w:tab/>
      </w:r>
      <w:r>
        <w:rPr>
          <w:noProof/>
        </w:rPr>
        <w:t>Lisäksi Supermarket Larissan velat kolmansille osapuolille ovat arviolta noin 33,5 miljoonaa euroa. Tämän uskotaan vaikuttavan erityisesti supermarketin toimittajiin ja aiheuttavan lisää konkursseja ja irtisanomisia.</w:t>
      </w:r>
    </w:p>
    <w:p>
      <w:pPr>
        <w:pStyle w:val="ManualNumPar1"/>
        <w:rPr>
          <w:noProof/>
        </w:rPr>
      </w:pPr>
      <w:r>
        <w:t>26.</w:t>
      </w:r>
      <w:r>
        <w:tab/>
      </w:r>
      <w:r>
        <w:rPr>
          <w:noProof/>
        </w:rPr>
        <w:t>Suurin osa (97,5 %) työntekijävähennyksistä on keskittynyt Thessaliaaan, Larissan NUTS 3 -tason alueelle (EL142). Thessalian työllisyystilanne, joka vaikutti olevan hieman parempi kuin kansallinen keskiarvo (51,8 % vs. 50,8  % vuonna 2012 ja 49,6 % vs. 48,8 % vuonna 2013), oli hieman heikompi vuonna 2014 (49 % vs. 49,4 %)</w:t>
      </w:r>
      <w:r>
        <w:rPr>
          <w:rStyle w:val="FootnoteReference"/>
          <w:noProof/>
        </w:rPr>
        <w:footnoteReference w:id="15"/>
      </w:r>
      <w:r>
        <w:rPr>
          <w:noProof/>
        </w:rPr>
        <w:t>. Kummallakin alueella on lisäksi pulaa avoimista työpaikoista verrattuna työnhakijoiden suureen määrään. Tämän seurauksena 73,5 prosenttia Thessalian työttömistä on ollut työttömänä yli 12 kuukautta</w:t>
      </w:r>
      <w:r>
        <w:rPr>
          <w:rStyle w:val="FootnoteReference"/>
          <w:noProof/>
        </w:rPr>
        <w:footnoteReference w:id="16"/>
      </w:r>
      <w:r>
        <w:rPr>
          <w:noProof/>
        </w:rPr>
        <w:t>.</w:t>
      </w:r>
    </w:p>
    <w:p>
      <w:pPr>
        <w:pStyle w:val="ManualHeading2"/>
        <w:rPr>
          <w:noProof/>
        </w:rPr>
      </w:pPr>
      <w:r>
        <w:rPr>
          <w:noProof/>
        </w:rPr>
        <w:t>Kohteena olevat edunsaajat ja ehdotetut toimet</w:t>
      </w:r>
    </w:p>
    <w:p>
      <w:pPr>
        <w:pStyle w:val="ManualHeading3"/>
        <w:rPr>
          <w:noProof/>
        </w:rPr>
      </w:pPr>
      <w:r>
        <w:rPr>
          <w:noProof/>
        </w:rPr>
        <w:t>Kohteena olevat edunsaajat</w:t>
      </w:r>
    </w:p>
    <w:p>
      <w:pPr>
        <w:pStyle w:val="ManualNumPar1"/>
        <w:rPr>
          <w:noProof/>
        </w:rPr>
      </w:pPr>
      <w:r>
        <w:t>27.</w:t>
      </w:r>
      <w:r>
        <w:tab/>
      </w:r>
      <w:r>
        <w:rPr>
          <w:noProof/>
        </w:rPr>
        <w:t>Kaikkien irtisanottujen työntekijöiden odotetaan osallistuvan toimenpiteisiin. Kyseisten työntekijöiden jakauma sukupuolen, kansalaisuuden ja iän mukaan on seuraava:</w:t>
      </w:r>
    </w:p>
    <w:tbl>
      <w:tblPr>
        <w:tblW w:w="0" w:type="auto"/>
        <w:jc w:val="center"/>
        <w:tblLook w:val="04A0" w:firstRow="1" w:lastRow="0" w:firstColumn="1" w:lastColumn="0" w:noHBand="0" w:noVBand="1"/>
      </w:tblPr>
      <w:tblGrid>
        <w:gridCol w:w="1550"/>
        <w:gridCol w:w="2063"/>
        <w:gridCol w:w="1176"/>
        <w:gridCol w:w="1176"/>
      </w:tblGrid>
      <w:tr>
        <w:trPr>
          <w:jc w:val="center"/>
        </w:trPr>
        <w:tc>
          <w:tcPr>
            <w:tcW w:w="3559" w:type="dxa"/>
            <w:gridSpan w:val="2"/>
            <w:tcBorders>
              <w:top w:val="single" w:sz="4" w:space="0" w:color="auto"/>
              <w:left w:val="nil"/>
              <w:bottom w:val="single" w:sz="4" w:space="0" w:color="auto"/>
              <w:right w:val="nil"/>
            </w:tcBorders>
            <w:hideMark/>
          </w:tcPr>
          <w:p>
            <w:pPr>
              <w:spacing w:before="60" w:after="60"/>
              <w:jc w:val="center"/>
              <w:rPr>
                <w:noProof/>
              </w:rPr>
            </w:pPr>
            <w:r>
              <w:rPr>
                <w:noProof/>
              </w:rPr>
              <w:t>Luokka</w:t>
            </w:r>
          </w:p>
        </w:tc>
        <w:tc>
          <w:tcPr>
            <w:tcW w:w="2352" w:type="dxa"/>
            <w:gridSpan w:val="2"/>
            <w:tcBorders>
              <w:top w:val="single" w:sz="4" w:space="0" w:color="auto"/>
              <w:left w:val="nil"/>
              <w:bottom w:val="single" w:sz="4" w:space="0" w:color="auto"/>
              <w:right w:val="nil"/>
            </w:tcBorders>
            <w:hideMark/>
          </w:tcPr>
          <w:p>
            <w:pPr>
              <w:spacing w:before="60" w:after="60"/>
              <w:jc w:val="center"/>
              <w:rPr>
                <w:noProof/>
              </w:rPr>
            </w:pPr>
            <w:r>
              <w:rPr>
                <w:noProof/>
              </w:rPr>
              <w:t xml:space="preserve">Kohteena olevien </w:t>
            </w:r>
            <w:r>
              <w:rPr>
                <w:noProof/>
              </w:rPr>
              <w:br/>
              <w:t>edunsaajien lukumäärä</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Sukupuoli:</w:t>
            </w:r>
          </w:p>
        </w:tc>
        <w:tc>
          <w:tcPr>
            <w:tcW w:w="2063" w:type="dxa"/>
            <w:tcBorders>
              <w:top w:val="single" w:sz="4" w:space="0" w:color="auto"/>
              <w:left w:val="nil"/>
              <w:bottom w:val="nil"/>
              <w:right w:val="nil"/>
            </w:tcBorders>
            <w:hideMark/>
          </w:tcPr>
          <w:p>
            <w:pPr>
              <w:spacing w:before="60" w:after="60"/>
              <w:rPr>
                <w:noProof/>
              </w:rPr>
            </w:pPr>
            <w:r>
              <w:rPr>
                <w:noProof/>
              </w:rPr>
              <w:t>Miehiä:</w:t>
            </w:r>
          </w:p>
        </w:tc>
        <w:tc>
          <w:tcPr>
            <w:tcW w:w="1176" w:type="dxa"/>
            <w:tcBorders>
              <w:top w:val="single" w:sz="4" w:space="0" w:color="auto"/>
              <w:left w:val="nil"/>
              <w:bottom w:val="nil"/>
              <w:right w:val="nil"/>
            </w:tcBorders>
            <w:hideMark/>
          </w:tcPr>
          <w:p>
            <w:pPr>
              <w:spacing w:before="60" w:after="60"/>
              <w:jc w:val="right"/>
              <w:rPr>
                <w:noProof/>
              </w:rPr>
            </w:pPr>
            <w:r>
              <w:rPr>
                <w:noProof/>
              </w:rPr>
              <w:t>194</w:t>
            </w:r>
          </w:p>
        </w:tc>
        <w:tc>
          <w:tcPr>
            <w:tcW w:w="1176" w:type="dxa"/>
            <w:tcBorders>
              <w:top w:val="single" w:sz="4" w:space="0" w:color="auto"/>
              <w:left w:val="nil"/>
              <w:bottom w:val="nil"/>
              <w:right w:val="nil"/>
            </w:tcBorders>
            <w:hideMark/>
          </w:tcPr>
          <w:p>
            <w:pPr>
              <w:spacing w:before="60" w:after="60"/>
              <w:jc w:val="right"/>
              <w:rPr>
                <w:noProof/>
              </w:rPr>
            </w:pPr>
            <w:r>
              <w:rPr>
                <w:noProof/>
              </w:rPr>
              <w:t>(34,8 %)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Naisia:</w:t>
            </w:r>
          </w:p>
        </w:tc>
        <w:tc>
          <w:tcPr>
            <w:tcW w:w="1176" w:type="dxa"/>
            <w:tcBorders>
              <w:bottom w:val="single" w:sz="4" w:space="0" w:color="auto"/>
            </w:tcBorders>
            <w:hideMark/>
          </w:tcPr>
          <w:p>
            <w:pPr>
              <w:spacing w:before="60" w:after="60"/>
              <w:jc w:val="right"/>
              <w:rPr>
                <w:noProof/>
              </w:rPr>
            </w:pPr>
            <w:r>
              <w:rPr>
                <w:noProof/>
              </w:rPr>
              <w:t>363</w:t>
            </w:r>
          </w:p>
        </w:tc>
        <w:tc>
          <w:tcPr>
            <w:tcW w:w="1176" w:type="dxa"/>
            <w:tcBorders>
              <w:bottom w:val="single" w:sz="4" w:space="0" w:color="auto"/>
            </w:tcBorders>
            <w:hideMark/>
          </w:tcPr>
          <w:p>
            <w:pPr>
              <w:spacing w:before="60" w:after="60"/>
              <w:jc w:val="right"/>
              <w:rPr>
                <w:noProof/>
              </w:rPr>
            </w:pPr>
            <w:r>
              <w:rPr>
                <w:noProof/>
              </w:rPr>
              <w:t>(65,2 %)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Kansalaisuus:</w:t>
            </w:r>
          </w:p>
        </w:tc>
        <w:tc>
          <w:tcPr>
            <w:tcW w:w="2063" w:type="dxa"/>
            <w:tcBorders>
              <w:top w:val="single" w:sz="4" w:space="0" w:color="auto"/>
              <w:left w:val="nil"/>
              <w:bottom w:val="nil"/>
              <w:right w:val="nil"/>
            </w:tcBorders>
            <w:hideMark/>
          </w:tcPr>
          <w:p>
            <w:pPr>
              <w:spacing w:before="60" w:after="60"/>
              <w:rPr>
                <w:noProof/>
              </w:rPr>
            </w:pPr>
            <w:r>
              <w:rPr>
                <w:noProof/>
              </w:rPr>
              <w:t>EU-kansalaisia:</w:t>
            </w:r>
          </w:p>
        </w:tc>
        <w:tc>
          <w:tcPr>
            <w:tcW w:w="1176" w:type="dxa"/>
            <w:tcBorders>
              <w:top w:val="single" w:sz="4" w:space="0" w:color="auto"/>
            </w:tcBorders>
            <w:hideMark/>
          </w:tcPr>
          <w:p>
            <w:pPr>
              <w:spacing w:before="60" w:after="60"/>
              <w:jc w:val="right"/>
              <w:rPr>
                <w:noProof/>
              </w:rPr>
            </w:pPr>
            <w:r>
              <w:rPr>
                <w:noProof/>
              </w:rPr>
              <w:t>556</w:t>
            </w:r>
          </w:p>
        </w:tc>
        <w:tc>
          <w:tcPr>
            <w:tcW w:w="1176" w:type="dxa"/>
            <w:tcBorders>
              <w:top w:val="single" w:sz="4" w:space="0" w:color="auto"/>
            </w:tcBorders>
            <w:hideMark/>
          </w:tcPr>
          <w:p>
            <w:pPr>
              <w:spacing w:before="60" w:after="60"/>
              <w:jc w:val="right"/>
              <w:rPr>
                <w:noProof/>
              </w:rPr>
            </w:pPr>
            <w:r>
              <w:rPr>
                <w:noProof/>
              </w:rPr>
              <w:t>(99,8 %)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Muita kuin EU-kansalaisia:</w:t>
            </w:r>
          </w:p>
        </w:tc>
        <w:tc>
          <w:tcPr>
            <w:tcW w:w="1176" w:type="dxa"/>
            <w:tcBorders>
              <w:bottom w:val="single" w:sz="4" w:space="0" w:color="auto"/>
            </w:tcBorders>
            <w:hideMark/>
          </w:tcPr>
          <w:p>
            <w:pPr>
              <w:spacing w:before="60" w:after="60"/>
              <w:jc w:val="right"/>
              <w:rPr>
                <w:noProof/>
              </w:rPr>
            </w:pPr>
            <w:r>
              <w:rPr>
                <w:noProof/>
              </w:rPr>
              <w:t>1</w:t>
            </w:r>
          </w:p>
        </w:tc>
        <w:tc>
          <w:tcPr>
            <w:tcW w:w="1176" w:type="dxa"/>
            <w:tcBorders>
              <w:bottom w:val="single" w:sz="4" w:space="0" w:color="auto"/>
            </w:tcBorders>
            <w:hideMark/>
          </w:tcPr>
          <w:p>
            <w:pPr>
              <w:spacing w:before="60" w:after="60"/>
              <w:jc w:val="right"/>
              <w:rPr>
                <w:noProof/>
              </w:rPr>
            </w:pPr>
            <w:r>
              <w:rPr>
                <w:noProof/>
              </w:rPr>
              <w:t>(0,2 %)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Ikäryhmä:</w:t>
            </w:r>
          </w:p>
        </w:tc>
        <w:tc>
          <w:tcPr>
            <w:tcW w:w="2063" w:type="dxa"/>
            <w:tcBorders>
              <w:top w:val="single" w:sz="4" w:space="0" w:color="auto"/>
              <w:left w:val="nil"/>
              <w:bottom w:val="nil"/>
              <w:right w:val="nil"/>
            </w:tcBorders>
            <w:hideMark/>
          </w:tcPr>
          <w:p>
            <w:pPr>
              <w:spacing w:before="60" w:after="60"/>
              <w:rPr>
                <w:noProof/>
              </w:rPr>
            </w:pPr>
            <w:r>
              <w:rPr>
                <w:noProof/>
              </w:rPr>
              <w:t>15–24-vuotiaita:</w:t>
            </w:r>
          </w:p>
        </w:tc>
        <w:tc>
          <w:tcPr>
            <w:tcW w:w="1176" w:type="dxa"/>
            <w:tcBorders>
              <w:top w:val="single" w:sz="4" w:space="0" w:color="auto"/>
            </w:tcBorders>
            <w:hideMark/>
          </w:tcPr>
          <w:p>
            <w:pPr>
              <w:spacing w:before="60" w:after="60"/>
              <w:jc w:val="right"/>
              <w:rPr>
                <w:noProof/>
              </w:rPr>
            </w:pPr>
            <w:r>
              <w:rPr>
                <w:noProof/>
              </w:rPr>
              <w:t>0</w:t>
            </w:r>
          </w:p>
        </w:tc>
        <w:tc>
          <w:tcPr>
            <w:tcW w:w="1176" w:type="dxa"/>
            <w:tcBorders>
              <w:top w:val="single" w:sz="4" w:space="0" w:color="auto"/>
            </w:tcBorders>
            <w:hideMark/>
          </w:tcPr>
          <w:p>
            <w:pPr>
              <w:spacing w:before="60" w:after="60"/>
              <w:jc w:val="right"/>
              <w:rPr>
                <w:noProof/>
              </w:rPr>
            </w:pPr>
            <w:r>
              <w:rPr>
                <w:noProof/>
              </w:rPr>
              <w:t>(0,0 %)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25–29-vuotiaita:</w:t>
            </w:r>
          </w:p>
        </w:tc>
        <w:tc>
          <w:tcPr>
            <w:tcW w:w="1176" w:type="dxa"/>
            <w:hideMark/>
          </w:tcPr>
          <w:p>
            <w:pPr>
              <w:spacing w:before="60" w:after="60"/>
              <w:jc w:val="right"/>
              <w:rPr>
                <w:noProof/>
              </w:rPr>
            </w:pPr>
            <w:r>
              <w:rPr>
                <w:noProof/>
              </w:rPr>
              <w:t>50</w:t>
            </w:r>
          </w:p>
        </w:tc>
        <w:tc>
          <w:tcPr>
            <w:tcW w:w="1176" w:type="dxa"/>
            <w:hideMark/>
          </w:tcPr>
          <w:p>
            <w:pPr>
              <w:spacing w:before="60" w:after="60"/>
              <w:jc w:val="right"/>
              <w:rPr>
                <w:noProof/>
              </w:rPr>
            </w:pPr>
            <w:r>
              <w:rPr>
                <w:noProof/>
              </w:rPr>
              <w:t>(9,0 %)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30–54-vuotiaita:</w:t>
            </w:r>
          </w:p>
        </w:tc>
        <w:tc>
          <w:tcPr>
            <w:tcW w:w="1176" w:type="dxa"/>
            <w:hideMark/>
          </w:tcPr>
          <w:p>
            <w:pPr>
              <w:spacing w:before="60" w:after="60"/>
              <w:jc w:val="right"/>
              <w:rPr>
                <w:noProof/>
              </w:rPr>
            </w:pPr>
            <w:r>
              <w:rPr>
                <w:noProof/>
              </w:rPr>
              <w:t>479</w:t>
            </w:r>
          </w:p>
        </w:tc>
        <w:tc>
          <w:tcPr>
            <w:tcW w:w="1176" w:type="dxa"/>
            <w:hideMark/>
          </w:tcPr>
          <w:p>
            <w:pPr>
              <w:spacing w:before="60" w:after="60"/>
              <w:jc w:val="right"/>
              <w:rPr>
                <w:noProof/>
              </w:rPr>
            </w:pPr>
            <w:r>
              <w:rPr>
                <w:noProof/>
              </w:rPr>
              <w:t>(86,0 %)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55–64-vuotiaita:</w:t>
            </w:r>
          </w:p>
        </w:tc>
        <w:tc>
          <w:tcPr>
            <w:tcW w:w="1176" w:type="dxa"/>
            <w:hideMark/>
          </w:tcPr>
          <w:p>
            <w:pPr>
              <w:spacing w:before="60" w:after="60"/>
              <w:jc w:val="right"/>
              <w:rPr>
                <w:noProof/>
              </w:rPr>
            </w:pPr>
            <w:r>
              <w:rPr>
                <w:noProof/>
              </w:rPr>
              <w:t>28</w:t>
            </w:r>
          </w:p>
        </w:tc>
        <w:tc>
          <w:tcPr>
            <w:tcW w:w="1176" w:type="dxa"/>
            <w:hideMark/>
          </w:tcPr>
          <w:p>
            <w:pPr>
              <w:spacing w:before="60" w:after="60"/>
              <w:jc w:val="right"/>
              <w:rPr>
                <w:noProof/>
              </w:rPr>
            </w:pPr>
            <w:r>
              <w:rPr>
                <w:noProof/>
              </w:rPr>
              <w:t>(5,0 %)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yli 64-vuotiaita:</w:t>
            </w:r>
          </w:p>
        </w:tc>
        <w:tc>
          <w:tcPr>
            <w:tcW w:w="1176" w:type="dxa"/>
            <w:tcBorders>
              <w:top w:val="nil"/>
              <w:left w:val="nil"/>
              <w:bottom w:val="single" w:sz="4" w:space="0" w:color="auto"/>
              <w:right w:val="nil"/>
            </w:tcBorders>
            <w:hideMark/>
          </w:tcPr>
          <w:p>
            <w:pPr>
              <w:spacing w:before="60" w:after="60"/>
              <w:jc w:val="right"/>
              <w:rPr>
                <w:noProof/>
              </w:rPr>
            </w:pPr>
            <w:r>
              <w:rPr>
                <w:noProof/>
              </w:rPr>
              <w:t>0</w:t>
            </w:r>
          </w:p>
        </w:tc>
        <w:tc>
          <w:tcPr>
            <w:tcW w:w="1176" w:type="dxa"/>
            <w:tcBorders>
              <w:top w:val="nil"/>
              <w:left w:val="nil"/>
              <w:bottom w:val="single" w:sz="4" w:space="0" w:color="auto"/>
              <w:right w:val="nil"/>
            </w:tcBorders>
            <w:hideMark/>
          </w:tcPr>
          <w:p>
            <w:pPr>
              <w:spacing w:before="60" w:after="60"/>
              <w:jc w:val="right"/>
              <w:rPr>
                <w:noProof/>
              </w:rPr>
            </w:pPr>
            <w:r>
              <w:rPr>
                <w:noProof/>
              </w:rPr>
              <w:t>(0,0 %)</w:t>
            </w:r>
          </w:p>
        </w:tc>
      </w:tr>
    </w:tbl>
    <w:p>
      <w:pPr>
        <w:pStyle w:val="ManualNumPar1"/>
        <w:rPr>
          <w:noProof/>
        </w:rPr>
      </w:pPr>
      <w:r>
        <w:t>28.</w:t>
      </w:r>
      <w:r>
        <w:tab/>
      </w:r>
      <w:r>
        <w:rPr>
          <w:noProof/>
        </w:rPr>
        <w:t>Kreikan viranomaiset tarjoavat lisäksi EGR:n tuella yhteisrahoitettavia yksilöllisiä palveluja enintään 543:lle työelämän ja koulutuksen ulkopuolella olevalle nuorelle, jotka olivat alle 30-vuotiaita hakemuksen jättöpäivänä, koska 5 kohdassa tarkoitetut työntekijävähennykset tapahtuivat NUTS 2 -tason alueilla Thessalia (Θεσσαλία) (EL14) ja Keski-Makedonia (Κεντρική Μακεδονία) (EL12), jotka ovat tukikelpoisia nuorisotyöllisyysaloitteen puitteissa.</w:t>
      </w:r>
    </w:p>
    <w:p>
      <w:pPr>
        <w:pStyle w:val="ManualNumPar1"/>
        <w:rPr>
          <w:noProof/>
          <w:szCs w:val="20"/>
        </w:rPr>
      </w:pPr>
      <w:r>
        <w:t>29.</w:t>
      </w:r>
      <w:r>
        <w:tab/>
      </w:r>
      <w:r>
        <w:rPr>
          <w:noProof/>
        </w:rPr>
        <w:t>Toimenpiteisiin osallistuvien kohteena olevien edunsaajien kokonaismäärän odotetaan näin ollen olevan 1 100, kun luvussa ovat mukana työelämän ja koulutuksen ulkopuolella olevat nuoret.</w:t>
      </w:r>
    </w:p>
    <w:p>
      <w:pPr>
        <w:pStyle w:val="ManualHeading3"/>
        <w:rPr>
          <w:noProof/>
          <w:u w:val="single"/>
        </w:rPr>
      </w:pPr>
      <w:r>
        <w:rPr>
          <w:noProof/>
        </w:rPr>
        <w:lastRenderedPageBreak/>
        <w:t>Ehdotettujen toimien tukikelpoisuus</w:t>
      </w:r>
    </w:p>
    <w:p>
      <w:pPr>
        <w:pStyle w:val="ManualNumPar1"/>
        <w:rPr>
          <w:noProof/>
        </w:rPr>
      </w:pPr>
      <w:r>
        <w:t>30.</w:t>
      </w:r>
      <w:r>
        <w:tab/>
      </w:r>
      <w:r>
        <w:rPr>
          <w:noProof/>
        </w:rPr>
        <w:t xml:space="preserve">Vähennetyille työntekijöille ja työelämän ja koulutuksen ulkopuolella oleville nuorille tarjottavat yksilölliset palvelut koostuvat seuraavista toimista. </w:t>
      </w:r>
    </w:p>
    <w:p>
      <w:pPr>
        <w:pStyle w:val="Tiret1"/>
        <w:numPr>
          <w:ilvl w:val="0"/>
          <w:numId w:val="12"/>
        </w:numPr>
        <w:rPr>
          <w:noProof/>
        </w:rPr>
      </w:pPr>
      <w:r>
        <w:rPr>
          <w:noProof/>
          <w:u w:val="single"/>
        </w:rPr>
        <w:t>Ammatillinen ohjaus</w:t>
      </w:r>
      <w:r>
        <w:rPr>
          <w:noProof/>
        </w:rPr>
        <w:t>: Tämä kaikille osallistujille tarjottava liitännäistoimenpide kattaa seuraavat vaiheet:</w:t>
      </w:r>
    </w:p>
    <w:p>
      <w:pPr>
        <w:pStyle w:val="Text2"/>
        <w:rPr>
          <w:noProof/>
        </w:rPr>
      </w:pPr>
      <w:r>
        <w:rPr>
          <w:b/>
          <w:noProof/>
        </w:rPr>
        <w:t>1. Työelämän ja koulutuksen ulkopuolella oleville nuorille suunnattu tiedotus.</w:t>
      </w:r>
      <w:r>
        <w:rPr>
          <w:noProof/>
        </w:rPr>
        <w:t xml:space="preserve"> Jo kartoitettujen toimenpiteiden kohteena olevien työntekijöiden (Supermarket Larissan entiset työntekijät ja omistaja-työntekijät) lisäksi on vielä määriteltävä kohteena olevien työelämän ja koulutuksen ulkopuolisten nuorten ryhmä. Kohteena olevia työelämän ja koulutuksen ulkopuolisia nuoria valitessaan Kreikan viranomaiset käyttävät kriteereinä muiden muassa samansuuntaisia kriteereitä kuin Kreikan nuorisotakuun täytäntöönpanosuunnitelmassa (eli syrjäytymisvaarassa olevat nuoret, kotitalouden tulotaso, koulutustaso, työttömyyden kesto jne.) sekä kiinnostuksenilmaisuja. Sitä varten viranomaiset käynnistävät tiedotuskampanjoita, jotka on suunnattu nimenomaan työelämän ja koulutuksen ulkopuolisille nuorille.</w:t>
      </w:r>
    </w:p>
    <w:p>
      <w:pPr>
        <w:pStyle w:val="Text2"/>
        <w:rPr>
          <w:noProof/>
        </w:rPr>
      </w:pPr>
      <w:r>
        <w:rPr>
          <w:b/>
          <w:noProof/>
        </w:rPr>
        <w:t>2. Ilmoittautuminen ja rekisteröinti.</w:t>
      </w:r>
      <w:r>
        <w:rPr>
          <w:noProof/>
        </w:rPr>
        <w:t xml:space="preserve"> Ensimmäiseen kaikille osallistujille (työntekijöille ja työelämän ja koulutuksen ulkopuolisille nuorille) tarjottavaan toimenpiteeseen sisältyy tiedotusta tarjolla olevista palveluista ja koulutusohjelmista sekä osaamis- ja koulutusvaatimuksista. </w:t>
      </w:r>
    </w:p>
    <w:p>
      <w:pPr>
        <w:pStyle w:val="Text2"/>
        <w:rPr>
          <w:noProof/>
        </w:rPr>
      </w:pPr>
      <w:r>
        <w:rPr>
          <w:b/>
          <w:noProof/>
        </w:rPr>
        <w:t>3. Yksilöllinen ammatillinen asiakirja.</w:t>
      </w:r>
      <w:r>
        <w:rPr>
          <w:noProof/>
        </w:rPr>
        <w:t xml:space="preserve"> Toimenpiteen tarkoituksena on auttaa työntekijöitä ja työelämän ja koulutuksen ulkopuolella olevia nuoria tunnistamaan omat vahvuutensa, heikkoutensa ja omiin intresseihinsä liittyvät mahdollisuudet realistisen urasuunnitelman laatimista varten.  Arvioinnin jälkeen laaditaan yksilöllinen ammatillinen asiakirja, jossa esitetään tiivistetysti osallistujan yksilöllinen työnhakuhanke ja toimintasuunnitelma.</w:t>
      </w:r>
    </w:p>
    <w:p>
      <w:pPr>
        <w:pStyle w:val="Text2"/>
        <w:rPr>
          <w:noProof/>
        </w:rPr>
      </w:pPr>
      <w:r>
        <w:rPr>
          <w:b/>
          <w:noProof/>
        </w:rPr>
        <w:t>4. Työnhaun tukeminen ja ammatinvalintaohjaus.</w:t>
      </w:r>
      <w:r>
        <w:rPr>
          <w:noProof/>
        </w:rPr>
        <w:t xml:space="preserve"> Tähän toimenpiteeseen sisältyy 1) koulutusta laaja-alaisissa kysymyksissä, kuten sosiaalisten taitojen kehittäminen, sopeutuminen uusiin tilanteisiin ja päätöksenteko, 2) työnhaun avustaminen – tiedotusta avoimista työpaikoista, aktiivinen paikallisten ja alueellisten työllistymismahdollisuuksien etsiminen, työnhakutekniikat, ansioluettelon ja saatekirjeen laatiminen ja valmistautuminen työhaastatteluun ja 3) ammatinvalintaohjaus. Neuvojat tarjoavat irtisanotuille työntekijöille ja NEET-nuorille ammatillista opastusta ja ohjaavat heitä konkreettisia työtarjouksia kohti.</w:t>
      </w:r>
    </w:p>
    <w:p>
      <w:pPr>
        <w:pStyle w:val="Text2"/>
        <w:rPr>
          <w:noProof/>
        </w:rPr>
      </w:pPr>
      <w:r>
        <w:rPr>
          <w:b/>
          <w:noProof/>
        </w:rPr>
        <w:t>5. Työllistymiseen tähtäävä ohjaus.</w:t>
      </w:r>
      <w:r>
        <w:rPr>
          <w:noProof/>
        </w:rPr>
        <w:t xml:space="preserve"> Neuvojat ovat työntekijöiden sekä työelämän ja koulutuksen ulkopuolella olevien nuorten tukena, kun nämä toteuttavat koulutuspolkujaan ja yksilöllisiä jälleentyöllistymissuunnitelmiaan. Oman yrityksen perustamisesta kiinnostuneille osallistujille tarjotaan ammatillisen ohjauksen osana yleisluontoista tukea ja neuvontaa.</w:t>
      </w:r>
    </w:p>
    <w:p>
      <w:pPr>
        <w:pStyle w:val="Text2"/>
        <w:rPr>
          <w:noProof/>
        </w:rPr>
      </w:pPr>
      <w:r>
        <w:rPr>
          <w:b/>
          <w:noProof/>
        </w:rPr>
        <w:t>6. Seuranta.</w:t>
      </w:r>
      <w:r>
        <w:rPr>
          <w:noProof/>
        </w:rPr>
        <w:t xml:space="preserve"> Osallistujia seurataan kuuden kuukauden ajan siitä, kun toimenpiteet on saatettu päätökseen. Tämä toiminta toteutetaan jäsenvaltion kustannuksella.</w:t>
      </w:r>
    </w:p>
    <w:p>
      <w:pPr>
        <w:pStyle w:val="Tiret1"/>
        <w:rPr>
          <w:noProof/>
        </w:rPr>
      </w:pPr>
      <w:r>
        <w:rPr>
          <w:noProof/>
          <w:u w:val="single"/>
        </w:rPr>
        <w:lastRenderedPageBreak/>
        <w:t>Koulutus, uudelleenkoulutus ja ammatillinen koulutus</w:t>
      </w:r>
      <w:r>
        <w:rPr>
          <w:noProof/>
        </w:rPr>
        <w:t>. Toimenpiteessä järjestetään työntekijöille ja työelämän ja koulutuksen ulkopuolella oleville nuorille ammatillisia kursseja, jotka vastaavat heidän tarpeitaan, jotka on yksilöity ammatillisen neuvonnan kuluessa. Kurssien aiheisiin kuuluvat myös alueet ja sektorit, joilla on hyvät kehitysmahdollisuudet. Kurssit vastaavat työmarkkinoilla todettuja tarpeita. Kurssien täydennykseksi voidaan lisäksi järjestää harjoittelua.</w:t>
      </w:r>
    </w:p>
    <w:p>
      <w:pPr>
        <w:pStyle w:val="Tiret1"/>
        <w:rPr>
          <w:noProof/>
        </w:rPr>
      </w:pPr>
      <w:r>
        <w:rPr>
          <w:noProof/>
          <w:u w:val="single"/>
        </w:rPr>
        <w:t>Tuki yrityksen perustamiseen.</w:t>
      </w:r>
      <w:r>
        <w:rPr>
          <w:noProof/>
        </w:rPr>
        <w:t xml:space="preserve"> Työntekijät tai työelämän ja koulutuksen ulkopuolella olevat nuoret, jotka perustavat oman yrityksen, saavat enintään 15 000 euron suuruisen tuen perustamiskustannuksiin. Kreikassa rahoituksen saaminen on yksi suurimmista ongelmista, jonka yritystä perustava yrittäjä kohtaa. Pankeilla on pulaa varoista, ja sen vuoksi ne hylkäävät useimmat lainahakemukset. Tällä toimenpiteellä halutaan edistää yrittäjyyttä rahoitustuen avulla. Tämä tuki maksetaan erissä sitä mukaa kuin tietyt välitavoitteet (esim. liiketoimintasuunnitelman laatiminen, yrityksen rekisteröiminen) on saavutettu. Ottaen huomioon, että edunsaajien enemmistöllä on osuuskunnan jäsenen/omistaja-työntekijän tausta, Kreikan viranomaiset pitävät erittäin todennäköisenä, että osa uusista yrityksistä toteutetaan sosiaalisen osuuskunnan muodossa ja ne voivat siten saada tukea yhteisötaloutta ja yhteiskunnallista yrittäjyyttä koskevan Kreikan lain</w:t>
      </w:r>
      <w:r>
        <w:rPr>
          <w:rStyle w:val="FootnoteReference"/>
          <w:noProof/>
        </w:rPr>
        <w:footnoteReference w:id="17"/>
      </w:r>
      <w:r>
        <w:rPr>
          <w:noProof/>
        </w:rPr>
        <w:t xml:space="preserve"> perusteella.</w:t>
      </w:r>
    </w:p>
    <w:p>
      <w:pPr>
        <w:pStyle w:val="Tiret1"/>
        <w:rPr>
          <w:noProof/>
        </w:rPr>
      </w:pPr>
      <w:r>
        <w:rPr>
          <w:noProof/>
          <w:u w:val="single"/>
        </w:rPr>
        <w:t>Osallistumisavustukset ja koulutusavustukset.</w:t>
      </w:r>
      <w:r>
        <w:rPr>
          <w:noProof/>
        </w:rPr>
        <w:t xml:space="preserve"> Osallistujat saavat 50 euroa osallistumispäivää kohti ammatilliseen ohjaukseen osallistumisesta aiheutuvien kulujen kattamiseksi. Koulutuksessa oleville avustus on 6 euroa tuntia kohti.</w:t>
      </w:r>
    </w:p>
    <w:p>
      <w:pPr>
        <w:pStyle w:val="Tiret1"/>
        <w:rPr>
          <w:noProof/>
        </w:rPr>
      </w:pPr>
      <w:r>
        <w:rPr>
          <w:noProof/>
          <w:u w:val="single"/>
        </w:rPr>
        <w:t>Liikkuvuusavustus</w:t>
      </w:r>
      <w:r>
        <w:rPr>
          <w:noProof/>
        </w:rPr>
        <w:t>. Ne työntekijät tai työelämän ja koulutuksen ulkopuolella olevat nuoret, jotka vastaanottamansa työn vuoksi joutuvat vaihtamaan asuinpaikkaa, saavat kertasuorituksena 2 000 euroa välttämättömien kustannusten kattamiseen.</w:t>
      </w:r>
    </w:p>
    <w:p>
      <w:pPr>
        <w:pStyle w:val="ManualNumPar1"/>
        <w:rPr>
          <w:noProof/>
        </w:rPr>
      </w:pPr>
      <w:r>
        <w:t>31.</w:t>
      </w:r>
      <w:r>
        <w:tab/>
      </w:r>
      <w:r>
        <w:rPr>
          <w:noProof/>
        </w:rPr>
        <w:t>Tässä kuvatut toimet ovat aktiivisia työmarkkinatoimenpiteitä, jotka ovat osa EGR-asetuksen 7 artiklassa vahvistettuja tukikelpoisia toimia. Toimet eivät korvaa passiivisia sosiaalisen suojelun toimenpiteitä.</w:t>
      </w:r>
    </w:p>
    <w:p>
      <w:pPr>
        <w:pStyle w:val="ManualNumPar1"/>
        <w:rPr>
          <w:noProof/>
        </w:rPr>
      </w:pPr>
      <w:r>
        <w:t>32.</w:t>
      </w:r>
      <w:r>
        <w:tab/>
      </w:r>
      <w:r>
        <w:rPr>
          <w:noProof/>
        </w:rPr>
        <w:t>Kreikka on toimittanut vaaditut tiedot toimista, jotka ovat asianomaiselle yritykselle pakollisia kansallisen lainsäädännön tai työehtosopimusten nojalla. Se on vahvistanut, ettei EGR:n rahoitustuki syrjäytä tällaisia toimia.</w:t>
      </w:r>
    </w:p>
    <w:p>
      <w:pPr>
        <w:pStyle w:val="ManualHeading3"/>
        <w:rPr>
          <w:noProof/>
        </w:rPr>
      </w:pPr>
      <w:r>
        <w:rPr>
          <w:noProof/>
        </w:rPr>
        <w:t>Alustava talousarvio</w:t>
      </w:r>
    </w:p>
    <w:p>
      <w:pPr>
        <w:pStyle w:val="ManualNumPar1"/>
        <w:rPr>
          <w:noProof/>
        </w:rPr>
      </w:pPr>
      <w:r>
        <w:t>33.</w:t>
      </w:r>
      <w:r>
        <w:tab/>
      </w:r>
      <w:r>
        <w:rPr>
          <w:noProof/>
        </w:rPr>
        <w:t>Arvioidut kokonaiskustannukset ovat 10 780 000 euroa, johon sisältyy yksilöllisten palvelujen kustannuksia 10 530 000 euroa ja valmistelu-, hallinnointi-, tiedotus- ja mainonta- sekä valvonta- ja raportointitoimien kustannuksia 250 000 euroa.</w:t>
      </w:r>
    </w:p>
    <w:p>
      <w:pPr>
        <w:pStyle w:val="ManualNumPar1"/>
        <w:rPr>
          <w:noProof/>
        </w:rPr>
      </w:pPr>
      <w:r>
        <w:t>34.</w:t>
      </w:r>
      <w:r>
        <w:tab/>
      </w:r>
      <w:r>
        <w:rPr>
          <w:noProof/>
        </w:rPr>
        <w:t>EGR:ltä haettu rahoitusosuus on yhteensä 6 468 000 euroa (60 % kokonaiskustannuksista).</w:t>
      </w:r>
    </w:p>
    <w:p>
      <w:pPr>
        <w:pStyle w:val="Text1"/>
        <w:rPr>
          <w:noProof/>
        </w:rPr>
        <w:sectPr>
          <w:pgSz w:w="11907" w:h="16839"/>
          <w:pgMar w:top="1134" w:right="1417" w:bottom="1134" w:left="1417" w:header="709" w:footer="709"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988"/>
        <w:gridCol w:w="1646"/>
        <w:gridCol w:w="1495"/>
        <w:gridCol w:w="2160"/>
      </w:tblGrid>
      <w:tr>
        <w:tc>
          <w:tcPr>
            <w:tcW w:w="4644" w:type="dxa"/>
            <w:shd w:val="clear" w:color="auto" w:fill="auto"/>
            <w:vAlign w:val="center"/>
          </w:tcPr>
          <w:p>
            <w:pPr>
              <w:spacing w:before="60" w:after="60"/>
              <w:jc w:val="center"/>
              <w:rPr>
                <w:rFonts w:eastAsia="Times New Roman"/>
                <w:noProof/>
                <w:sz w:val="22"/>
              </w:rPr>
            </w:pPr>
            <w:r>
              <w:rPr>
                <w:noProof/>
              </w:rPr>
              <w:lastRenderedPageBreak/>
              <w:br/>
            </w:r>
            <w:r>
              <w:rPr>
                <w:noProof/>
                <w:sz w:val="22"/>
              </w:rPr>
              <w:t>Toimet</w:t>
            </w:r>
          </w:p>
        </w:tc>
        <w:tc>
          <w:tcPr>
            <w:tcW w:w="1548" w:type="dxa"/>
            <w:shd w:val="clear" w:color="auto" w:fill="auto"/>
            <w:vAlign w:val="center"/>
          </w:tcPr>
          <w:p>
            <w:pPr>
              <w:spacing w:before="60" w:after="60"/>
              <w:jc w:val="center"/>
              <w:rPr>
                <w:rFonts w:eastAsia="Times New Roman"/>
                <w:noProof/>
                <w:sz w:val="22"/>
              </w:rPr>
            </w:pPr>
            <w:r>
              <w:rPr>
                <w:noProof/>
                <w:sz w:val="22"/>
              </w:rPr>
              <w:t>Arvioitu osallistujamäärä</w:t>
            </w:r>
          </w:p>
        </w:tc>
        <w:tc>
          <w:tcPr>
            <w:tcW w:w="1548" w:type="dxa"/>
            <w:shd w:val="clear" w:color="auto" w:fill="auto"/>
            <w:vAlign w:val="center"/>
          </w:tcPr>
          <w:p>
            <w:pPr>
              <w:spacing w:before="60" w:after="60"/>
              <w:jc w:val="center"/>
              <w:rPr>
                <w:rFonts w:eastAsia="Times New Roman"/>
                <w:noProof/>
                <w:sz w:val="22"/>
              </w:rPr>
            </w:pPr>
            <w:r>
              <w:rPr>
                <w:noProof/>
                <w:sz w:val="22"/>
              </w:rPr>
              <w:t>Arvioidut kustannukset osallistujaa kohti</w:t>
            </w:r>
            <w:r>
              <w:rPr>
                <w:rFonts w:eastAsia="Times New Roman"/>
                <w:noProof/>
                <w:sz w:val="22"/>
              </w:rPr>
              <w:br/>
            </w:r>
            <w:r>
              <w:rPr>
                <w:i/>
                <w:noProof/>
                <w:sz w:val="22"/>
              </w:rPr>
              <w:t>(euroa)</w:t>
            </w:r>
          </w:p>
        </w:tc>
        <w:tc>
          <w:tcPr>
            <w:tcW w:w="1548" w:type="dxa"/>
            <w:shd w:val="clear" w:color="auto" w:fill="auto"/>
            <w:vAlign w:val="center"/>
          </w:tcPr>
          <w:p>
            <w:pPr>
              <w:spacing w:before="60" w:after="60"/>
              <w:jc w:val="center"/>
              <w:rPr>
                <w:rFonts w:eastAsia="Times New Roman"/>
                <w:noProof/>
                <w:sz w:val="22"/>
              </w:rPr>
            </w:pPr>
            <w:r>
              <w:rPr>
                <w:noProof/>
                <w:sz w:val="22"/>
              </w:rPr>
              <w:t>Arvioidut kokonaiskustannukset</w:t>
            </w:r>
          </w:p>
          <w:p>
            <w:pPr>
              <w:spacing w:before="60" w:after="60"/>
              <w:jc w:val="center"/>
              <w:rPr>
                <w:rFonts w:eastAsia="Times New Roman"/>
                <w:noProof/>
                <w:sz w:val="22"/>
              </w:rPr>
            </w:pPr>
            <w:r>
              <w:rPr>
                <w:i/>
                <w:noProof/>
                <w:sz w:val="22"/>
              </w:rPr>
              <w:t>(euroa)</w:t>
            </w:r>
          </w:p>
        </w:tc>
      </w:tr>
      <w:tr>
        <w:tc>
          <w:tcPr>
            <w:tcW w:w="9288" w:type="dxa"/>
            <w:gridSpan w:val="4"/>
            <w:shd w:val="clear" w:color="auto" w:fill="auto"/>
          </w:tcPr>
          <w:p>
            <w:pPr>
              <w:spacing w:before="60" w:after="60"/>
              <w:jc w:val="left"/>
              <w:rPr>
                <w:rFonts w:eastAsia="Times New Roman"/>
                <w:noProof/>
                <w:sz w:val="22"/>
              </w:rPr>
            </w:pPr>
            <w:r>
              <w:rPr>
                <w:noProof/>
                <w:sz w:val="22"/>
              </w:rPr>
              <w:t>Yksilölliset palvelut (EGR-asetuksen 7 artiklan 1 kohdan a ja c alakohta)</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Ammatillinen ohjaus</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1 100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1 250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1 375 000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Koulutus, uudelleenkoulutus ja ammatillinen koulutus</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1 100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2 690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2 960 000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Tuki yrityksen perustamiseen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15 000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3 000 000</w:t>
            </w:r>
          </w:p>
        </w:tc>
      </w:tr>
      <w:tr>
        <w:trPr>
          <w:trHeight w:val="398"/>
        </w:trPr>
        <w:tc>
          <w:tcPr>
            <w:tcW w:w="4644" w:type="dxa"/>
            <w:vMerge w:val="restart"/>
            <w:shd w:val="clear" w:color="auto" w:fill="auto"/>
            <w:vAlign w:val="center"/>
          </w:tcPr>
          <w:p>
            <w:pPr>
              <w:spacing w:before="60" w:after="60"/>
              <w:jc w:val="right"/>
              <w:rPr>
                <w:rFonts w:eastAsia="Times New Roman"/>
                <w:noProof/>
                <w:sz w:val="22"/>
              </w:rPr>
            </w:pPr>
            <w:r>
              <w:rPr>
                <w:noProof/>
                <w:sz w:val="22"/>
              </w:rPr>
              <w:t>Välisumma a):</w:t>
            </w:r>
          </w:p>
          <w:p>
            <w:pPr>
              <w:spacing w:before="60" w:after="60"/>
              <w:jc w:val="right"/>
              <w:rPr>
                <w:rFonts w:eastAsia="Times New Roman"/>
                <w:noProof/>
                <w:sz w:val="22"/>
              </w:rPr>
            </w:pPr>
            <w:r>
              <w:rPr>
                <w:noProof/>
                <w:sz w:val="22"/>
              </w:rPr>
              <w:t xml:space="preserve">Prosenttiosuus yksilöllisten palvelujen paketista </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shd w:val="clear" w:color="auto" w:fill="auto"/>
            <w:vAlign w:val="center"/>
          </w:tcPr>
          <w:p>
            <w:pPr>
              <w:spacing w:before="60" w:after="60"/>
              <w:jc w:val="right"/>
              <w:rPr>
                <w:rFonts w:eastAsia="Times New Roman"/>
                <w:noProof/>
                <w:sz w:val="22"/>
              </w:rPr>
            </w:pPr>
            <w:r>
              <w:rPr>
                <w:noProof/>
              </w:rPr>
              <w:t>7 335 000</w:t>
            </w:r>
          </w:p>
        </w:tc>
      </w:tr>
      <w:tr>
        <w:trPr>
          <w:trHeight w:val="397"/>
        </w:trPr>
        <w:tc>
          <w:tcPr>
            <w:tcW w:w="4644" w:type="dxa"/>
            <w:vMerge/>
            <w:shd w:val="clear" w:color="auto" w:fill="auto"/>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shd w:val="clear" w:color="auto" w:fill="auto"/>
            <w:vAlign w:val="center"/>
          </w:tcPr>
          <w:p>
            <w:pPr>
              <w:spacing w:before="60" w:after="60"/>
              <w:jc w:val="right"/>
              <w:rPr>
                <w:rFonts w:eastAsia="Times New Roman"/>
                <w:noProof/>
                <w:sz w:val="22"/>
              </w:rPr>
            </w:pPr>
            <w:r>
              <w:rPr>
                <w:noProof/>
                <w:sz w:val="22"/>
              </w:rPr>
              <w:t>(</w:t>
            </w:r>
            <w:r>
              <w:rPr>
                <w:noProof/>
              </w:rPr>
              <w:t>69,66 </w:t>
            </w:r>
            <w:r>
              <w:rPr>
                <w:noProof/>
                <w:sz w:val="22"/>
              </w:rPr>
              <w:t>%)</w:t>
            </w:r>
          </w:p>
        </w:tc>
      </w:tr>
      <w:tr>
        <w:tc>
          <w:tcPr>
            <w:tcW w:w="9288" w:type="dxa"/>
            <w:gridSpan w:val="4"/>
            <w:shd w:val="clear" w:color="auto" w:fill="auto"/>
            <w:vAlign w:val="center"/>
          </w:tcPr>
          <w:p>
            <w:pPr>
              <w:spacing w:before="60" w:after="60"/>
              <w:jc w:val="left"/>
              <w:rPr>
                <w:noProof/>
                <w:sz w:val="22"/>
              </w:rPr>
            </w:pPr>
            <w:r>
              <w:rPr>
                <w:noProof/>
                <w:sz w:val="22"/>
              </w:rPr>
              <w:t>Avustukset ja kannustimet (EGR-asetuksen 7 artiklan 1 kohdan b alakohta)</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Osallistumisavustus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1 100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1 250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1 375 000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Koulutusavustus</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900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1 800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1 620 000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Liikkuvuusavustus ja tuki työmatkakuluihin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2 000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200 000</w:t>
            </w:r>
          </w:p>
        </w:tc>
      </w:tr>
      <w:tr>
        <w:trPr>
          <w:trHeight w:val="203"/>
        </w:trPr>
        <w:tc>
          <w:tcPr>
            <w:tcW w:w="4644" w:type="dxa"/>
            <w:vMerge w:val="restart"/>
            <w:shd w:val="clear" w:color="auto" w:fill="auto"/>
            <w:vAlign w:val="center"/>
          </w:tcPr>
          <w:p>
            <w:pPr>
              <w:spacing w:before="60" w:after="60"/>
              <w:jc w:val="right"/>
              <w:rPr>
                <w:rFonts w:eastAsia="Times New Roman"/>
                <w:noProof/>
                <w:sz w:val="22"/>
              </w:rPr>
            </w:pPr>
            <w:r>
              <w:rPr>
                <w:noProof/>
                <w:sz w:val="22"/>
              </w:rPr>
              <w:t>Välisumma b):</w:t>
            </w:r>
          </w:p>
          <w:p>
            <w:pPr>
              <w:spacing w:before="60" w:after="60"/>
              <w:jc w:val="right"/>
              <w:rPr>
                <w:rFonts w:eastAsia="Times New Roman"/>
                <w:noProof/>
                <w:sz w:val="22"/>
              </w:rPr>
            </w:pPr>
            <w:r>
              <w:rPr>
                <w:noProof/>
                <w:sz w:val="22"/>
              </w:rPr>
              <w:t>Prosenttiosuus yksilöllisten palvelujen paketista</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shd w:val="clear" w:color="auto" w:fill="auto"/>
            <w:vAlign w:val="center"/>
          </w:tcPr>
          <w:p>
            <w:pPr>
              <w:spacing w:before="60" w:after="60"/>
              <w:jc w:val="right"/>
              <w:rPr>
                <w:rFonts w:eastAsia="Times New Roman"/>
                <w:noProof/>
                <w:sz w:val="22"/>
              </w:rPr>
            </w:pPr>
            <w:r>
              <w:rPr>
                <w:noProof/>
              </w:rPr>
              <w:t>3 195 000</w:t>
            </w:r>
          </w:p>
        </w:tc>
      </w:tr>
      <w:tr>
        <w:trPr>
          <w:trHeight w:val="202"/>
        </w:trPr>
        <w:tc>
          <w:tcPr>
            <w:tcW w:w="4644" w:type="dxa"/>
            <w:vMerge/>
            <w:shd w:val="clear" w:color="auto" w:fill="auto"/>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shd w:val="clear" w:color="auto" w:fill="auto"/>
            <w:vAlign w:val="center"/>
          </w:tcPr>
          <w:p>
            <w:pPr>
              <w:spacing w:before="60" w:after="60"/>
              <w:jc w:val="right"/>
              <w:rPr>
                <w:rFonts w:eastAsia="Times New Roman"/>
                <w:noProof/>
                <w:sz w:val="22"/>
              </w:rPr>
            </w:pPr>
            <w:r>
              <w:rPr>
                <w:noProof/>
                <w:sz w:val="22"/>
              </w:rPr>
              <w:t>(</w:t>
            </w:r>
            <w:r>
              <w:rPr>
                <w:noProof/>
              </w:rPr>
              <w:t>30,34 </w:t>
            </w:r>
            <w:r>
              <w:rPr>
                <w:noProof/>
                <w:sz w:val="22"/>
              </w:rPr>
              <w:t>%)</w:t>
            </w:r>
          </w:p>
        </w:tc>
      </w:tr>
      <w:tr>
        <w:tc>
          <w:tcPr>
            <w:tcW w:w="9288" w:type="dxa"/>
            <w:gridSpan w:val="4"/>
            <w:shd w:val="clear" w:color="auto" w:fill="auto"/>
            <w:vAlign w:val="center"/>
          </w:tcPr>
          <w:p>
            <w:pPr>
              <w:spacing w:before="60" w:after="60"/>
              <w:jc w:val="left"/>
              <w:rPr>
                <w:rFonts w:eastAsia="Times New Roman"/>
                <w:noProof/>
                <w:sz w:val="22"/>
              </w:rPr>
            </w:pPr>
            <w:r>
              <w:rPr>
                <w:noProof/>
                <w:sz w:val="22"/>
              </w:rPr>
              <w:t>EGR-asetuksen 7 artiklan 4 kohdan mukaiset toimet</w:t>
            </w:r>
          </w:p>
        </w:tc>
      </w:tr>
      <w:tr>
        <w:tc>
          <w:tcPr>
            <w:tcW w:w="4644" w:type="dxa"/>
            <w:shd w:val="clear" w:color="auto" w:fill="auto"/>
          </w:tcPr>
          <w:p>
            <w:pPr>
              <w:spacing w:before="60" w:after="60"/>
              <w:ind w:left="284"/>
              <w:jc w:val="left"/>
              <w:rPr>
                <w:rFonts w:eastAsia="Times New Roman"/>
                <w:noProof/>
                <w:sz w:val="22"/>
              </w:rPr>
            </w:pPr>
            <w:r>
              <w:rPr>
                <w:noProof/>
                <w:sz w:val="22"/>
              </w:rPr>
              <w:t>1. Valmistelutoimet</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right"/>
              <w:rPr>
                <w:rFonts w:eastAsia="Times New Roman"/>
                <w:noProof/>
                <w:sz w:val="22"/>
              </w:rPr>
            </w:pPr>
            <w:r>
              <w:rPr>
                <w:noProof/>
              </w:rPr>
              <w:t>40 000</w:t>
            </w:r>
          </w:p>
        </w:tc>
      </w:tr>
      <w:tr>
        <w:tc>
          <w:tcPr>
            <w:tcW w:w="4644" w:type="dxa"/>
            <w:shd w:val="clear" w:color="auto" w:fill="auto"/>
          </w:tcPr>
          <w:p>
            <w:pPr>
              <w:spacing w:before="60" w:after="60"/>
              <w:ind w:left="284"/>
              <w:jc w:val="left"/>
              <w:rPr>
                <w:rFonts w:eastAsia="Times New Roman"/>
                <w:noProof/>
                <w:sz w:val="22"/>
              </w:rPr>
            </w:pPr>
            <w:r>
              <w:rPr>
                <w:noProof/>
                <w:sz w:val="22"/>
              </w:rPr>
              <w:t>2. Hallinnointi</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right"/>
              <w:rPr>
                <w:rFonts w:eastAsia="Times New Roman"/>
                <w:noProof/>
                <w:sz w:val="22"/>
              </w:rPr>
            </w:pPr>
            <w:r>
              <w:rPr>
                <w:noProof/>
              </w:rPr>
              <w:t>110 000</w:t>
            </w:r>
          </w:p>
        </w:tc>
      </w:tr>
      <w:tr>
        <w:tc>
          <w:tcPr>
            <w:tcW w:w="4644" w:type="dxa"/>
            <w:shd w:val="clear" w:color="auto" w:fill="auto"/>
          </w:tcPr>
          <w:p>
            <w:pPr>
              <w:spacing w:before="60" w:after="60"/>
              <w:ind w:left="284"/>
              <w:jc w:val="left"/>
              <w:rPr>
                <w:rFonts w:eastAsia="Times New Roman"/>
                <w:noProof/>
                <w:sz w:val="22"/>
              </w:rPr>
            </w:pPr>
            <w:r>
              <w:rPr>
                <w:noProof/>
                <w:sz w:val="22"/>
              </w:rPr>
              <w:t>3. Tiedotus ja mainonta</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right"/>
              <w:rPr>
                <w:rFonts w:eastAsia="Times New Roman"/>
                <w:noProof/>
                <w:sz w:val="22"/>
              </w:rPr>
            </w:pPr>
            <w:r>
              <w:rPr>
                <w:noProof/>
              </w:rPr>
              <w:t>50 000</w:t>
            </w:r>
          </w:p>
        </w:tc>
      </w:tr>
      <w:tr>
        <w:tc>
          <w:tcPr>
            <w:tcW w:w="4644" w:type="dxa"/>
            <w:shd w:val="clear" w:color="auto" w:fill="auto"/>
          </w:tcPr>
          <w:p>
            <w:pPr>
              <w:spacing w:before="60" w:after="60"/>
              <w:ind w:left="284"/>
              <w:jc w:val="left"/>
              <w:rPr>
                <w:rFonts w:eastAsia="Times New Roman"/>
                <w:noProof/>
                <w:sz w:val="22"/>
              </w:rPr>
            </w:pPr>
            <w:r>
              <w:rPr>
                <w:noProof/>
                <w:sz w:val="22"/>
              </w:rPr>
              <w:t>4. Valvonta ja raportointi</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single" w:sz="4" w:space="0" w:color="auto"/>
            </w:tcBorders>
            <w:shd w:val="clear" w:color="auto" w:fill="auto"/>
          </w:tcPr>
          <w:p>
            <w:pPr>
              <w:spacing w:before="60" w:after="60"/>
              <w:jc w:val="right"/>
              <w:rPr>
                <w:rFonts w:eastAsia="Times New Roman"/>
                <w:noProof/>
                <w:sz w:val="22"/>
              </w:rPr>
            </w:pPr>
            <w:r>
              <w:rPr>
                <w:noProof/>
              </w:rPr>
              <w:t>50 000</w:t>
            </w:r>
          </w:p>
        </w:tc>
      </w:tr>
      <w:tr>
        <w:trPr>
          <w:trHeight w:val="203"/>
        </w:trPr>
        <w:tc>
          <w:tcPr>
            <w:tcW w:w="4644" w:type="dxa"/>
            <w:vMerge w:val="restart"/>
            <w:shd w:val="clear" w:color="auto" w:fill="auto"/>
            <w:vAlign w:val="center"/>
          </w:tcPr>
          <w:p>
            <w:pPr>
              <w:spacing w:before="60" w:after="60"/>
              <w:jc w:val="right"/>
              <w:rPr>
                <w:rFonts w:eastAsia="Times New Roman"/>
                <w:noProof/>
                <w:sz w:val="22"/>
              </w:rPr>
            </w:pPr>
            <w:r>
              <w:rPr>
                <w:noProof/>
                <w:sz w:val="22"/>
              </w:rPr>
              <w:t>Välisumma c):</w:t>
            </w:r>
          </w:p>
          <w:p>
            <w:pPr>
              <w:spacing w:before="60" w:after="60"/>
              <w:jc w:val="right"/>
              <w:rPr>
                <w:rFonts w:eastAsia="Times New Roman"/>
                <w:noProof/>
                <w:sz w:val="22"/>
              </w:rPr>
            </w:pPr>
            <w:r>
              <w:rPr>
                <w:noProof/>
                <w:sz w:val="22"/>
              </w:rPr>
              <w:t>Prosenttiosuus kokonaiskustannuksista</w:t>
            </w:r>
          </w:p>
        </w:tc>
        <w:tc>
          <w:tcPr>
            <w:tcW w:w="3096" w:type="dxa"/>
            <w:gridSpan w:val="2"/>
            <w:vMerge w:val="restart"/>
            <w:shd w:val="clear" w:color="auto" w:fill="D9D9D9"/>
            <w:vAlign w:val="center"/>
          </w:tcPr>
          <w:p>
            <w:pPr>
              <w:spacing w:before="0" w:after="0"/>
              <w:jc w:val="center"/>
              <w:rPr>
                <w:rFonts w:eastAsia="Times New Roman"/>
                <w:noProof/>
                <w:sz w:val="22"/>
              </w:rPr>
            </w:pPr>
          </w:p>
        </w:tc>
        <w:tc>
          <w:tcPr>
            <w:tcW w:w="1548" w:type="dxa"/>
            <w:tcBorders>
              <w:bottom w:val="nil"/>
            </w:tcBorders>
            <w:shd w:val="clear" w:color="auto" w:fill="auto"/>
            <w:vAlign w:val="center"/>
          </w:tcPr>
          <w:p>
            <w:pPr>
              <w:spacing w:before="60" w:after="60"/>
              <w:jc w:val="right"/>
              <w:rPr>
                <w:rFonts w:eastAsia="Times New Roman"/>
                <w:noProof/>
                <w:sz w:val="22"/>
              </w:rPr>
            </w:pPr>
            <w:r>
              <w:rPr>
                <w:noProof/>
              </w:rPr>
              <w:t>250 000</w:t>
            </w:r>
          </w:p>
        </w:tc>
      </w:tr>
      <w:tr>
        <w:trPr>
          <w:trHeight w:val="202"/>
        </w:trPr>
        <w:tc>
          <w:tcPr>
            <w:tcW w:w="4644" w:type="dxa"/>
            <w:vMerge/>
            <w:shd w:val="clear" w:color="auto" w:fill="auto"/>
          </w:tcPr>
          <w:p>
            <w:pPr>
              <w:spacing w:before="0" w:after="0"/>
              <w:jc w:val="right"/>
              <w:rPr>
                <w:rFonts w:eastAsia="Times New Roman"/>
                <w:noProof/>
                <w:sz w:val="22"/>
              </w:rPr>
            </w:pPr>
          </w:p>
        </w:tc>
        <w:tc>
          <w:tcPr>
            <w:tcW w:w="3096" w:type="dxa"/>
            <w:gridSpan w:val="2"/>
            <w:vMerge/>
            <w:shd w:val="clear" w:color="auto" w:fill="D9D9D9"/>
            <w:vAlign w:val="center"/>
          </w:tcPr>
          <w:p>
            <w:pPr>
              <w:spacing w:before="0" w:after="0"/>
              <w:jc w:val="center"/>
              <w:rPr>
                <w:rFonts w:eastAsia="Times New Roman"/>
                <w:noProof/>
                <w:sz w:val="22"/>
              </w:rPr>
            </w:pPr>
          </w:p>
        </w:tc>
        <w:tc>
          <w:tcPr>
            <w:tcW w:w="1548" w:type="dxa"/>
            <w:tcBorders>
              <w:top w:val="nil"/>
            </w:tcBorders>
            <w:shd w:val="clear" w:color="auto" w:fill="auto"/>
            <w:vAlign w:val="center"/>
          </w:tcPr>
          <w:p>
            <w:pPr>
              <w:spacing w:before="60" w:after="60"/>
              <w:jc w:val="right"/>
              <w:rPr>
                <w:rFonts w:eastAsia="Times New Roman"/>
                <w:noProof/>
                <w:sz w:val="22"/>
              </w:rPr>
            </w:pPr>
            <w:r>
              <w:rPr>
                <w:noProof/>
                <w:sz w:val="22"/>
              </w:rPr>
              <w:t>(</w:t>
            </w:r>
            <w:r>
              <w:rPr>
                <w:noProof/>
              </w:rPr>
              <w:t>2,32 </w:t>
            </w:r>
            <w:r>
              <w:rPr>
                <w:noProof/>
                <w:sz w:val="22"/>
              </w:rPr>
              <w:t>%)</w:t>
            </w:r>
          </w:p>
        </w:tc>
      </w:tr>
      <w:tr>
        <w:tc>
          <w:tcPr>
            <w:tcW w:w="4644" w:type="dxa"/>
            <w:shd w:val="clear" w:color="auto" w:fill="auto"/>
          </w:tcPr>
          <w:p>
            <w:pPr>
              <w:spacing w:before="60" w:after="60"/>
              <w:jc w:val="left"/>
              <w:rPr>
                <w:rFonts w:eastAsia="Times New Roman"/>
                <w:noProof/>
                <w:sz w:val="22"/>
              </w:rPr>
            </w:pPr>
            <w:r>
              <w:rPr>
                <w:noProof/>
                <w:sz w:val="22"/>
              </w:rPr>
              <w:t>Kustannukset yhteensä (a + b + c):</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right"/>
              <w:rPr>
                <w:noProof/>
                <w:sz w:val="22"/>
              </w:rPr>
            </w:pPr>
            <w:r>
              <w:rPr>
                <w:noProof/>
              </w:rPr>
              <w:t>10 780 000</w:t>
            </w:r>
          </w:p>
        </w:tc>
      </w:tr>
      <w:tr>
        <w:tc>
          <w:tcPr>
            <w:tcW w:w="4644" w:type="dxa"/>
            <w:shd w:val="clear" w:color="auto" w:fill="auto"/>
          </w:tcPr>
          <w:p>
            <w:pPr>
              <w:spacing w:before="60" w:after="60"/>
              <w:jc w:val="left"/>
              <w:rPr>
                <w:rFonts w:eastAsia="Times New Roman"/>
                <w:noProof/>
                <w:sz w:val="22"/>
              </w:rPr>
            </w:pPr>
            <w:r>
              <w:rPr>
                <w:noProof/>
                <w:sz w:val="22"/>
              </w:rPr>
              <w:t>EGR:n rahoitusosuus (60 % kokonaiskustannuksista)</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right"/>
              <w:rPr>
                <w:rFonts w:eastAsia="Times New Roman"/>
                <w:noProof/>
                <w:sz w:val="22"/>
              </w:rPr>
            </w:pPr>
            <w:r>
              <w:rPr>
                <w:noProof/>
              </w:rPr>
              <w:t>6 468 000</w:t>
            </w:r>
          </w:p>
        </w:tc>
      </w:tr>
    </w:tbl>
    <w:p>
      <w:pPr>
        <w:pStyle w:val="ManualNumPar1"/>
        <w:rPr>
          <w:noProof/>
          <w:szCs w:val="20"/>
        </w:rPr>
      </w:pPr>
      <w:r>
        <w:t>35.</w:t>
      </w:r>
      <w:r>
        <w:tab/>
      </w:r>
      <w:r>
        <w:rPr>
          <w:noProof/>
        </w:rPr>
        <w:t>Edellä olevassa taulukossa EGR-asetuksen 7 artiklan 1 kohdan b alakohdan mukaisiksi toimiksi yksilöityjen toimien kustannukset ovat enintään 35 prosenttia yksilöllisten palvelujen koordinoidun paketin kokonaiskustannuksista. Kreikka on vahvistanut näiden toimien edellytyksenä olevan, että kohteena olevat edunsaajat osallistuvat aktiivisesti työnhaku- tai koulutustoimiin.</w:t>
      </w:r>
    </w:p>
    <w:p>
      <w:pPr>
        <w:pStyle w:val="ManualNumPar1"/>
        <w:rPr>
          <w:noProof/>
        </w:rPr>
      </w:pPr>
      <w:r>
        <w:t>36.</w:t>
      </w:r>
      <w:r>
        <w:tab/>
      </w:r>
      <w:r>
        <w:rPr>
          <w:noProof/>
        </w:rPr>
        <w:t>Kreikka on vahvistanut, että itsenäiseen ammatinharjoittamiseen, yritysten perustamiseen ja yritysten toiminnan jatkamiseen työntekijöiden johdolla liittyvät investointikustannukset ovat enintään 15 000 euroa edunsaajaa kohti.</w:t>
      </w:r>
    </w:p>
    <w:p>
      <w:pPr>
        <w:pStyle w:val="ManualHeading3"/>
        <w:rPr>
          <w:noProof/>
        </w:rPr>
      </w:pPr>
      <w:r>
        <w:rPr>
          <w:noProof/>
        </w:rPr>
        <w:t>Menojen tukikelpoisuuskausi</w:t>
      </w:r>
    </w:p>
    <w:p>
      <w:pPr>
        <w:pStyle w:val="ManualNumPar1"/>
        <w:rPr>
          <w:noProof/>
        </w:rPr>
      </w:pPr>
      <w:r>
        <w:t>37.</w:t>
      </w:r>
      <w:r>
        <w:tab/>
      </w:r>
      <w:r>
        <w:rPr>
          <w:noProof/>
        </w:rPr>
        <w:t>Kreikka aloitti yksilöllisten palvelujen tarjoamisen kohteena oleville edunsaajille ja NEET-nuorille 26. helmikuuta 2016. Työntekijöille tarjottavien toimien menoihin voidaan näin ollen myöntää EGR:n rahoitustukea 26. päivän helmikuuta 2016 ja 26. päivän helmikuuta 2018 väliseltä ajalta, kun taas NEET-nuorille tarjottavien toimien menoihin voidaan myöntää EGR:n rahoitustukea 26. päivän helmikuuta 2016 ja 31. päivän joulukuuta 2017 väliseltä ajalta.</w:t>
      </w:r>
    </w:p>
    <w:p>
      <w:pPr>
        <w:pStyle w:val="ManualNumPar1"/>
        <w:rPr>
          <w:noProof/>
        </w:rPr>
      </w:pPr>
      <w:r>
        <w:t>38.</w:t>
      </w:r>
      <w:r>
        <w:tab/>
      </w:r>
      <w:r>
        <w:rPr>
          <w:noProof/>
        </w:rPr>
        <w:t xml:space="preserve">Kreikalle on aiheutunut hallinnollisia menoja EGR:n täytäntöönpanosta 26. helmikuuta 2016 alkaen. Valmistelu-, hallinnointi-, tiedotus- ja mainonta- sekä valvonta- ja raportointitoimien menoihin voidaan näin ollen myöntää EGR:n rahoitustukea 26. päivän helmikuuta 2016 ja 26. päivän elokuuta 2018 väliseltä ajalta. </w:t>
      </w:r>
    </w:p>
    <w:p>
      <w:pPr>
        <w:pStyle w:val="ManualHeading3"/>
        <w:rPr>
          <w:noProof/>
        </w:rPr>
      </w:pPr>
      <w:r>
        <w:rPr>
          <w:noProof/>
        </w:rPr>
        <w:t>Täydentävyys suhteessa kansallisin tai unionin varoin rahoitettuihin toimiin</w:t>
      </w:r>
    </w:p>
    <w:p>
      <w:pPr>
        <w:pStyle w:val="ManualNumPar1"/>
        <w:rPr>
          <w:i/>
          <w:noProof/>
        </w:rPr>
      </w:pPr>
      <w:r>
        <w:t>39.</w:t>
      </w:r>
      <w:r>
        <w:tab/>
      </w:r>
      <w:r>
        <w:rPr>
          <w:noProof/>
        </w:rPr>
        <w:t>Kansallinen esi- tai yhteisrahoitus järjestetään kansallisesta julkisten investointien ohjelmasta.</w:t>
      </w:r>
    </w:p>
    <w:p>
      <w:pPr>
        <w:pStyle w:val="ManualNumPar1"/>
        <w:rPr>
          <w:noProof/>
        </w:rPr>
      </w:pPr>
      <w:r>
        <w:t>40.</w:t>
      </w:r>
      <w:r>
        <w:tab/>
      </w:r>
      <w:r>
        <w:rPr>
          <w:noProof/>
        </w:rPr>
        <w:t>Kreikka on vahvistanut, että EGR:n rahoitustukea saaviin edellä kuvattuihin toimiin ei saada tukia muista unionin rahoitusvälineistä.</w:t>
      </w:r>
    </w:p>
    <w:p>
      <w:pPr>
        <w:pStyle w:val="ManualHeading3"/>
        <w:rPr>
          <w:noProof/>
          <w:u w:val="single"/>
        </w:rPr>
      </w:pPr>
      <w:r>
        <w:rPr>
          <w:noProof/>
        </w:rPr>
        <w:t>Menettelyt kohteena olevien edunsaajien tai heidän edustajiensa tai työmarkkinaosapuolten sekä paikallis- ja aluehallinnon viranomaisten kuulemiseksi</w:t>
      </w:r>
    </w:p>
    <w:p>
      <w:pPr>
        <w:pStyle w:val="ManualNumPar1"/>
        <w:rPr>
          <w:noProof/>
        </w:rPr>
      </w:pPr>
      <w:r>
        <w:t>41.</w:t>
      </w:r>
      <w:r>
        <w:tab/>
      </w:r>
      <w:r>
        <w:rPr>
          <w:noProof/>
        </w:rPr>
        <w:t>Kreikan viranomaiset ovat ilmoittaneet, että yksilöllisten palvelujen koordinoidun paketin laadinnassa on kuultu kohteena olevien edunsaajien edustajia, Kreikan työntekijöiden keskusliiton (GSEE) työvoimainstituuttia ja Kreikan työvoimaorganisaatiota (OAED)</w:t>
      </w:r>
      <w:r>
        <w:rPr>
          <w:rStyle w:val="FootnoteReference"/>
          <w:noProof/>
        </w:rPr>
        <w:footnoteReference w:id="18"/>
      </w:r>
      <w:r>
        <w:rPr>
          <w:noProof/>
        </w:rPr>
        <w:t>. Maaliskuussa 2015 pidettiin ensimmäinen kokous, jossa tarkistettiin Supermarket Larissan entisten työntekijöiden tukemista koskevan hakemuksen tukikelpoisuus. Työ-, sosiaaliturva- ja sosiaalisen yhteisvastuun ministeriön ja työntekijöiden edustajien välisten neuvottelujen jälkeen ehdotetusta hakemuksesta ja yhdistetyn toimenpidepaketin sisällöstä sovittiin heinäkuussa 2015.</w:t>
      </w:r>
    </w:p>
    <w:p>
      <w:pPr>
        <w:pStyle w:val="ManualHeading2"/>
        <w:rPr>
          <w:noProof/>
        </w:rPr>
      </w:pPr>
      <w:r>
        <w:rPr>
          <w:noProof/>
        </w:rPr>
        <w:t>Hallinnointi- ja valvontajärjestelmät</w:t>
      </w:r>
    </w:p>
    <w:p>
      <w:pPr>
        <w:pStyle w:val="ManualNumPar1"/>
        <w:rPr>
          <w:noProof/>
        </w:rPr>
      </w:pPr>
      <w:r>
        <w:t>42.</w:t>
      </w:r>
      <w:r>
        <w:tab/>
      </w:r>
      <w:r>
        <w:rPr>
          <w:noProof/>
        </w:rPr>
        <w:t>Hakemuksessa on hallinnointi- ja valvontajärjestelmien kuvaus, jossa täsmennetään eri elinten vastuulla olevat tehtävät. Kreikka on ilmoittanut komissiolle, että rahoitustuen hallinnoinnista ja valvonnasta vastaavat samat elimet, joille kuuluu myös Euroopan sosiaalirahastosta (ESR) saatavan rahoituksen hallinnointi ja valvonta Kreikassa. Hallintoviranomaisena toimii ESR:n toimien täytäntöönpanosta vastaava viranomainen (EYE-EKT), valvontaviranomaisena toimii valtiovarainministeriön finanssipolitiikan pääsihteeristön rahoitusvalvontakomitea ja todentamisviranomaisena toimii talous-, infrastruktuuri-, merenkulku- ja matkailuministeriön erityisyksikkö, joka vastaa yhteisrahoitettujen hankkeiden sertifioinnista ja tarkastuksista.</w:t>
      </w:r>
    </w:p>
    <w:p>
      <w:pPr>
        <w:pStyle w:val="ManualHeading2"/>
        <w:rPr>
          <w:noProof/>
        </w:rPr>
      </w:pPr>
      <w:r>
        <w:rPr>
          <w:noProof/>
        </w:rPr>
        <w:t>Asianomaisen jäsenvaltion sitoumukset</w:t>
      </w:r>
    </w:p>
    <w:p>
      <w:pPr>
        <w:pStyle w:val="ManualNumPar1"/>
        <w:rPr>
          <w:noProof/>
        </w:rPr>
      </w:pPr>
      <w:r>
        <w:t>43.</w:t>
      </w:r>
      <w:r>
        <w:tab/>
      </w:r>
      <w:r>
        <w:rPr>
          <w:noProof/>
        </w:rPr>
        <w:t xml:space="preserve">Kreikka on toimittanut kaikki tarvittavat vakuutukset seuraavista: </w:t>
      </w:r>
    </w:p>
    <w:p>
      <w:pPr>
        <w:pStyle w:val="Tiret1"/>
        <w:numPr>
          <w:ilvl w:val="0"/>
          <w:numId w:val="11"/>
        </w:numPr>
        <w:rPr>
          <w:noProof/>
        </w:rPr>
      </w:pPr>
      <w:r>
        <w:rPr>
          <w:noProof/>
        </w:rPr>
        <w:t>Suunniteltuihin toimiin osallistumisen ja täytäntöönpanon osalta noudatetaan yhdenvertaisen kohtelun ja syrjimättömyyden periaatteita.</w:t>
      </w:r>
    </w:p>
    <w:p>
      <w:pPr>
        <w:pStyle w:val="Tiret1"/>
        <w:numPr>
          <w:ilvl w:val="0"/>
          <w:numId w:val="11"/>
        </w:numPr>
        <w:rPr>
          <w:noProof/>
        </w:rPr>
      </w:pPr>
      <w:r>
        <w:rPr>
          <w:noProof/>
        </w:rPr>
        <w:t>Kansallisessa ja EU:n lainsäädännössä säädettyjä joukkovähentämisiin liittyviä vaatimuksia on noudatettu.</w:t>
      </w:r>
    </w:p>
    <w:p>
      <w:pPr>
        <w:pStyle w:val="Tiret1"/>
        <w:numPr>
          <w:ilvl w:val="0"/>
          <w:numId w:val="11"/>
        </w:numPr>
        <w:rPr>
          <w:noProof/>
        </w:rPr>
      </w:pPr>
      <w:r>
        <w:rPr>
          <w:noProof/>
        </w:rPr>
        <w:t>Suunniteltuihin toimiin ei saada rahoitustukea muista unionin rahastoista tai rahoitusvälineistä, ja kaksinkertainen rahoitus estetään.</w:t>
      </w:r>
    </w:p>
    <w:p>
      <w:pPr>
        <w:pStyle w:val="Tiret1"/>
        <w:numPr>
          <w:ilvl w:val="0"/>
          <w:numId w:val="11"/>
        </w:numPr>
        <w:rPr>
          <w:noProof/>
        </w:rPr>
      </w:pPr>
      <w:r>
        <w:rPr>
          <w:noProof/>
        </w:rPr>
        <w:t>Suunnitellut toimet täydentävät rakennerahastoista rahoitettuja toimia.</w:t>
      </w:r>
    </w:p>
    <w:p>
      <w:pPr>
        <w:pStyle w:val="Tiret1"/>
        <w:numPr>
          <w:ilvl w:val="0"/>
          <w:numId w:val="11"/>
        </w:numPr>
        <w:rPr>
          <w:noProof/>
        </w:rPr>
      </w:pPr>
      <w:r>
        <w:rPr>
          <w:noProof/>
        </w:rPr>
        <w:t>EGR-rahoitustuki on unionin menettelyllisten ja aineellisoikeudellisten valtiontukisääntöjen mukaista.</w:t>
      </w:r>
    </w:p>
    <w:p>
      <w:pPr>
        <w:pStyle w:val="ManualHeading1"/>
        <w:rPr>
          <w:noProof/>
        </w:rPr>
      </w:pPr>
      <w:r>
        <w:rPr>
          <w:noProof/>
        </w:rPr>
        <w:t>TALOUSARVIOVAIKUTUKSET</w:t>
      </w:r>
    </w:p>
    <w:p>
      <w:pPr>
        <w:pStyle w:val="ManualHeading2"/>
        <w:rPr>
          <w:noProof/>
        </w:rPr>
      </w:pPr>
      <w:r>
        <w:rPr>
          <w:noProof/>
        </w:rPr>
        <w:t>Talousarvioesitys</w:t>
      </w:r>
    </w:p>
    <w:p>
      <w:pPr>
        <w:pStyle w:val="ManualNumPar1"/>
        <w:rPr>
          <w:noProof/>
        </w:rPr>
      </w:pPr>
      <w:r>
        <w:t>44.</w:t>
      </w:r>
      <w:r>
        <w:tab/>
      </w:r>
      <w:r>
        <w:rPr>
          <w:noProof/>
        </w:rPr>
        <w:t>EGR ei saa ylittää 150 miljoonan euron vuotuista enimmäismäärää (vuoden 2011 hintoina), kuten vuosia 2014–2020 koskevan monivuotisen rahoituskehyksen vahvistamisesta 2 päivänä joulukuuta 2013 annetun neuvoston asetuksen (EU, Euratom) N:o 1311/2013</w:t>
      </w:r>
      <w:r>
        <w:rPr>
          <w:rStyle w:val="FootnoteReference"/>
          <w:noProof/>
        </w:rPr>
        <w:footnoteReference w:id="19"/>
      </w:r>
      <w:r>
        <w:rPr>
          <w:noProof/>
        </w:rPr>
        <w:t xml:space="preserve"> 12 artiklassa säädetään.</w:t>
      </w:r>
    </w:p>
    <w:p>
      <w:pPr>
        <w:pStyle w:val="ManualNumPar1"/>
        <w:rPr>
          <w:rFonts w:eastAsia="Calibri"/>
          <w:noProof/>
        </w:rPr>
      </w:pPr>
      <w:r>
        <w:t>45.</w:t>
      </w:r>
      <w:r>
        <w:tab/>
      </w:r>
      <w:r>
        <w:rPr>
          <w:noProof/>
        </w:rPr>
        <w:t>Tutkittuaan hakemuksen EGR-asetuksen 13 artiklan 1 kohdassa vahvistettujen edellytysten suhteen ja otettuaan huomioon kohteena olevien edunsaajien määrän, suunnitellut toimet ja arvioidut kustannukset komissio ehdottaa, että EGR:stä otetaan käyttöön 6 468 000 euroa eli 60 prosenttia ehdotettujen toimien kokonaiskustannuksista rahoitustuen myöntämiseksi hakemuksen perusteella.</w:t>
      </w:r>
    </w:p>
    <w:p>
      <w:pPr>
        <w:pStyle w:val="ManualNumPar1"/>
        <w:rPr>
          <w:rFonts w:eastAsia="Times New Roman"/>
          <w:noProof/>
        </w:rPr>
      </w:pPr>
      <w:r>
        <w:t>46.</w:t>
      </w:r>
      <w:r>
        <w:tab/>
      </w:r>
      <w:r>
        <w:rPr>
          <w:noProof/>
        </w:rPr>
        <w:t>Euroopan parlamentti ja neuvosto tekevät talousarviota koskevasta kurinalaisuudesta, talousarvioyhteistyöstä ja moitteettomasta varainhoidosta 2. päivänä joulukuuta 2013 tehdyn Euroopan parlamentin, neuvoston ja komission välisen toimielinten sopimuksen</w:t>
      </w:r>
      <w:r>
        <w:rPr>
          <w:rStyle w:val="FootnoteReference"/>
          <w:noProof/>
        </w:rPr>
        <w:footnoteReference w:id="20"/>
      </w:r>
      <w:r>
        <w:rPr>
          <w:noProof/>
        </w:rPr>
        <w:t xml:space="preserve"> 13 kohdan mukaisesti yhdessä ehdotetun päätöksen EGR:n varojen käyttöönotosta.</w:t>
      </w:r>
    </w:p>
    <w:p>
      <w:pPr>
        <w:pStyle w:val="ManualHeading2"/>
        <w:rPr>
          <w:noProof/>
        </w:rPr>
      </w:pPr>
      <w:r>
        <w:rPr>
          <w:noProof/>
        </w:rPr>
        <w:t>Muut asiaan liittyvät säädökset</w:t>
      </w:r>
    </w:p>
    <w:p>
      <w:pPr>
        <w:pStyle w:val="ManualNumPar1"/>
        <w:rPr>
          <w:noProof/>
        </w:rPr>
      </w:pPr>
      <w:r>
        <w:t>47.</w:t>
      </w:r>
      <w:r>
        <w:tab/>
      </w:r>
      <w:r>
        <w:rPr>
          <w:noProof/>
        </w:rPr>
        <w:t>Samaan aikaan kun komissio esittää ehdotuksen päätökseksi EGR:n varojen käyttöönottamisesta, se esittää Euroopan parlamentille ja neuvostolle asianomaista budjettikohtaa koskevan määrärahasiirtoehdotuksen, jonka määrä on 6 468 000 euroa.</w:t>
      </w:r>
    </w:p>
    <w:p>
      <w:pPr>
        <w:pStyle w:val="ManualNumPar1"/>
        <w:rPr>
          <w:noProof/>
        </w:rPr>
      </w:pPr>
      <w:r>
        <w:t>48.</w:t>
      </w:r>
      <w:r>
        <w:tab/>
      </w:r>
      <w:r>
        <w:rPr>
          <w:noProof/>
        </w:rPr>
        <w:t>Samaan aikaan kun komissio tekee ehdotuksen päätökseksi EGR:n varojen käyttöönottamisesta, se antaa täytäntöönpanosäädöksen muodossa rahoitustukea koskevan päätöksen, joka tulee voimaan päivänä, jona Euroopan parlamentti ja neuvosto antavat päätöksen EGR:n varojen käyttöönottamisesta.</w:t>
      </w:r>
    </w:p>
    <w:p>
      <w:pPr>
        <w:rPr>
          <w:noProof/>
        </w:rPr>
        <w:sectPr>
          <w:pgSz w:w="11907" w:h="16839"/>
          <w:pgMar w:top="1134" w:right="1417" w:bottom="1134" w:left="1417" w:header="709" w:footer="709" w:gutter="0"/>
          <w:cols w:space="708"/>
          <w:docGrid w:linePitch="360"/>
        </w:sectPr>
      </w:pPr>
    </w:p>
    <w:p>
      <w:pPr>
        <w:pStyle w:val="Statut"/>
        <w:rPr>
          <w:noProof/>
        </w:rPr>
      </w:pPr>
      <w:r>
        <w:rPr>
          <w:noProof/>
        </w:rPr>
        <w:t>Ehdotus</w:t>
      </w:r>
    </w:p>
    <w:p>
      <w:pPr>
        <w:pStyle w:val="Typedudocument"/>
        <w:rPr>
          <w:noProof/>
        </w:rPr>
      </w:pPr>
      <w:r>
        <w:rPr>
          <w:noProof/>
        </w:rPr>
        <w:t>EUROOPAN PARLAMENTIN JA NEUVOSTON PÄÄTÖS</w:t>
      </w:r>
    </w:p>
    <w:p>
      <w:pPr>
        <w:pStyle w:val="Titreobjet"/>
        <w:rPr>
          <w:noProof/>
        </w:rPr>
      </w:pPr>
      <w:r>
        <w:rPr>
          <w:noProof/>
        </w:rPr>
        <w:t xml:space="preserve">Euroopan globalisaatiorahaston varojen käyttöönotosta </w:t>
      </w:r>
      <w:r>
        <w:rPr>
          <w:noProof/>
        </w:rPr>
        <w:br/>
        <w:t>(Kreikan hakemus – EGF/2015/011 GR/Supermarket Larissa)</w:t>
      </w:r>
    </w:p>
    <w:p>
      <w:pPr>
        <w:pStyle w:val="Institutionquiagit"/>
        <w:rPr>
          <w:noProof/>
        </w:rPr>
      </w:pPr>
      <w:r>
        <w:rPr>
          <w:noProof/>
        </w:rPr>
        <w:t>EUROOPAN PARLAMENTTI JA EUROOPAN UNIONIN NEUVOSTO, jotka</w:t>
      </w:r>
    </w:p>
    <w:p>
      <w:pPr>
        <w:rPr>
          <w:noProof/>
        </w:rPr>
      </w:pPr>
      <w:r>
        <w:rPr>
          <w:noProof/>
        </w:rPr>
        <w:t>ottavat huomioon Euroopan unionin toiminnasta tehdyn sopimuksen,</w:t>
      </w:r>
    </w:p>
    <w:p>
      <w:pPr>
        <w:rPr>
          <w:noProof/>
        </w:rPr>
      </w:pPr>
      <w:r>
        <w:rPr>
          <w:noProof/>
        </w:rPr>
        <w:t>ottavat huomioon Euroopan globalisaatiorahastosta (2014–2020) ja asetuksen (EY) N:o 1927/2006 kumoamisesta 17 päivänä joulukuuta 2013 annetun Euroopan parlamentin ja neuvoston asetuksen (EU) N:o 1309/2013</w:t>
      </w:r>
      <w:r>
        <w:rPr>
          <w:rStyle w:val="FootnoteReference"/>
          <w:noProof/>
        </w:rPr>
        <w:footnoteReference w:id="21"/>
      </w:r>
      <w:r>
        <w:rPr>
          <w:noProof/>
        </w:rPr>
        <w:t xml:space="preserve"> ja erityisesti sen 15 artiklan 4 kohdan,</w:t>
      </w:r>
    </w:p>
    <w:p>
      <w:pPr>
        <w:rPr>
          <w:noProof/>
        </w:rPr>
      </w:pPr>
      <w:r>
        <w:rPr>
          <w:noProof/>
        </w:rPr>
        <w:t>ottavat huomioon talousarviota koskevasta kurinalaisuudesta, talousarvioyhteistyöstä ja moitteettomasta varainhoidosta 2 päivänä joulukuuta 2013 tehdyn Euroopan parlamentin, neuvoston ja komission välisen toimielinten sopimuksen</w:t>
      </w:r>
      <w:r>
        <w:rPr>
          <w:rStyle w:val="FootnoteReference"/>
          <w:noProof/>
        </w:rPr>
        <w:footnoteReference w:id="22"/>
      </w:r>
      <w:r>
        <w:rPr>
          <w:noProof/>
        </w:rPr>
        <w:t xml:space="preserve"> ja erityisesti sen 13 kohdan,</w:t>
      </w:r>
    </w:p>
    <w:p>
      <w:pPr>
        <w:rPr>
          <w:noProof/>
        </w:rPr>
      </w:pPr>
      <w:r>
        <w:rPr>
          <w:noProof/>
        </w:rPr>
        <w:t>ottavat huomioon Euroopan komission ehdotuksen</w:t>
      </w:r>
    </w:p>
    <w:p>
      <w:pPr>
        <w:rPr>
          <w:noProof/>
        </w:rPr>
      </w:pPr>
      <w:r>
        <w:rPr>
          <w:noProof/>
        </w:rPr>
        <w:t>sekä katsovat seuraavaa:</w:t>
      </w:r>
    </w:p>
    <w:p>
      <w:pPr>
        <w:pStyle w:val="ManualConsidrant"/>
        <w:rPr>
          <w:noProof/>
        </w:rPr>
      </w:pPr>
      <w:r>
        <w:t>(1)</w:t>
      </w:r>
      <w:r>
        <w:tab/>
      </w:r>
      <w:r>
        <w:rPr>
          <w:noProof/>
        </w:rPr>
        <w:t>Euroopan globalisaatiorahasto, jäljempänä ’EGR’, pyrkii tarjoamaan tukea globalisaatiosta johtuvien maailmankaupan huomattavien rakenteellisten muutosten, maailmanlaajuisen rahoitus- ja talouskriisin jatkumisen taikka uuden maailmanlaajuisen rahoitus- ja talouskriisin vuoksi työttömiksi jääneille työntekijöille ja itsenäisille ammatinharjoittajille, joiden työskentely on loppunut, ja auttamaan heitä integroitumisessa uudelleen työmarkkinoille.</w:t>
      </w:r>
    </w:p>
    <w:p>
      <w:pPr>
        <w:pStyle w:val="ManualConsidrant"/>
        <w:rPr>
          <w:noProof/>
        </w:rPr>
      </w:pPr>
      <w:r>
        <w:t>(2)</w:t>
      </w:r>
      <w:r>
        <w:tab/>
      </w:r>
      <w:r>
        <w:rPr>
          <w:noProof/>
        </w:rPr>
        <w:t>EGR ei saa ylittää 150 miljoonan euron vuotuista enimmäismäärää (vuoden 2011 hintoina), kuten neuvoston asetuksen (EU, Euratom) N:o 1311/2013</w:t>
      </w:r>
      <w:r>
        <w:rPr>
          <w:rStyle w:val="FootnoteReference"/>
          <w:noProof/>
        </w:rPr>
        <w:footnoteReference w:id="23"/>
      </w:r>
      <w:r>
        <w:rPr>
          <w:noProof/>
        </w:rPr>
        <w:t xml:space="preserve"> 12 artiklassa säädetään.</w:t>
      </w:r>
    </w:p>
    <w:p>
      <w:pPr>
        <w:pStyle w:val="ManualConsidrant"/>
        <w:rPr>
          <w:noProof/>
        </w:rPr>
      </w:pPr>
      <w:r>
        <w:t>(3)</w:t>
      </w:r>
      <w:r>
        <w:tab/>
      </w:r>
      <w:r>
        <w:rPr>
          <w:noProof/>
        </w:rPr>
        <w:t>Kreikka esitti 26 päivänä marraskuuta 2015 hakemuksen EGF/2015/011 GR/Supermarket Larissa EGR:n rahoitustuen saamiseksi Supermarket Larissa ABEE -yrityksen Kreikassa toteuttamien työntekijävähennysten vuoksi. Hakemusta on täydennetty lisätiedoin asetuksen (EU) N:o 1309/2013 8 artiklan 3 kohdan mukaisesti. Hakemus on asetuksen (EU) N:o 1309/2013 13 artiklassa säädettyjen EGR:n rahoitustuen vahvistamista koskevien vaatimusten mukainen.</w:t>
      </w:r>
    </w:p>
    <w:p>
      <w:pPr>
        <w:pStyle w:val="ManualConsidrant"/>
        <w:rPr>
          <w:noProof/>
        </w:rPr>
      </w:pPr>
      <w:r>
        <w:t>(4)</w:t>
      </w:r>
      <w:r>
        <w:tab/>
      </w:r>
      <w:r>
        <w:rPr>
          <w:noProof/>
        </w:rPr>
        <w:t>Asetuksen (EU) N:o 1309/2013 6 artiklan 2 kohdan mukaisesti Kreikka on päättänyt tarjota EGR:n tuella yhteisrahoitettuja yksilöllisiä palveluja myös 543:lle työelämän ja koulutuksen ulkopuolella olevalle nuorelle.</w:t>
      </w:r>
    </w:p>
    <w:p>
      <w:pPr>
        <w:pStyle w:val="ManualConsidrant"/>
        <w:rPr>
          <w:noProof/>
        </w:rPr>
      </w:pPr>
      <w:r>
        <w:t>(5)</w:t>
      </w:r>
      <w:r>
        <w:tab/>
      </w:r>
      <w:r>
        <w:rPr>
          <w:noProof/>
        </w:rPr>
        <w:t>Tämän vuoksi EGR:stä olisi otettava käyttöön 6 468 000 euroa rahoitustuen antamiseksi Kreikan hakemuksen perusteella.</w:t>
      </w:r>
    </w:p>
    <w:p>
      <w:pPr>
        <w:pStyle w:val="ManualConsidrant"/>
        <w:rPr>
          <w:noProof/>
        </w:rPr>
      </w:pPr>
      <w:r>
        <w:t>(6)</w:t>
      </w:r>
      <w:r>
        <w:tab/>
      </w:r>
      <w:r>
        <w:rPr>
          <w:noProof/>
        </w:rPr>
        <w:t>Jotta EGR-rahaston varat saataisiin käyttöön mahdollisimman nopeasti, tätä päätöstä olisi sovellettava siitä päivästä, jona se hyväksytään,</w:t>
      </w:r>
    </w:p>
    <w:p>
      <w:pPr>
        <w:pStyle w:val="Formuledadoption"/>
        <w:rPr>
          <w:noProof/>
        </w:rPr>
      </w:pPr>
      <w:r>
        <w:rPr>
          <w:noProof/>
        </w:rPr>
        <w:t xml:space="preserve">OVAT HYVÄKSYNEET TÄMÄN PÄÄTÖKSEN: </w:t>
      </w:r>
    </w:p>
    <w:p>
      <w:pPr>
        <w:pStyle w:val="Titrearticle"/>
        <w:rPr>
          <w:noProof/>
        </w:rPr>
      </w:pPr>
      <w:r>
        <w:rPr>
          <w:noProof/>
        </w:rPr>
        <w:t>1 artikla</w:t>
      </w:r>
    </w:p>
    <w:p>
      <w:pPr>
        <w:rPr>
          <w:noProof/>
        </w:rPr>
      </w:pPr>
      <w:r>
        <w:rPr>
          <w:noProof/>
        </w:rPr>
        <w:t>Otetaan Euroopan globalisaatiorahastosta käyttöön 6 468 000 euroa maksusitoumusmäärärahoina ja maksumäärärahoina osana varainhoitovuotta 2016 koskevaa Euroopan unionin yleistä talousarviota.</w:t>
      </w:r>
    </w:p>
    <w:p>
      <w:pPr>
        <w:pStyle w:val="Titrearticle"/>
        <w:rPr>
          <w:noProof/>
        </w:rPr>
      </w:pPr>
      <w:r>
        <w:rPr>
          <w:noProof/>
        </w:rPr>
        <w:t>2 artikla</w:t>
      </w:r>
    </w:p>
    <w:p>
      <w:pPr>
        <w:keepNext/>
        <w:keepLines/>
        <w:rPr>
          <w:noProof/>
        </w:rPr>
      </w:pPr>
      <w:r>
        <w:rPr>
          <w:noProof/>
        </w:rPr>
        <w:t>Tämä päätös tulee voimaan päivänä, jona se julkaistaan Euroopan unionin virallisessa lehdessä. Sitä sovelletaan [...] päivästä [...]kuuta [...]</w:t>
      </w:r>
      <w:r>
        <w:rPr>
          <w:rStyle w:val="FootnoteReference"/>
        </w:rPr>
        <w:sym w:font="Symbol" w:char="F02A"/>
      </w:r>
      <w:r>
        <w:rPr>
          <w:noProof/>
        </w:rPr>
        <w:t>.</w:t>
      </w:r>
    </w:p>
    <w:p>
      <w:pPr>
        <w:pStyle w:val="Fait"/>
        <w:rPr>
          <w:noProof/>
        </w:rPr>
      </w:pPr>
      <w:r>
        <w:rPr>
          <w:noProof/>
        </w:rPr>
        <w:t>Tehty Brysselissä</w:t>
      </w:r>
    </w:p>
    <w:p>
      <w:pPr>
        <w:pStyle w:val="Institutionquisigne"/>
        <w:rPr>
          <w:noProof/>
        </w:rPr>
      </w:pPr>
      <w:r>
        <w:rPr>
          <w:noProof/>
        </w:rPr>
        <w:t>Euroopan parlamentin puolesta</w:t>
      </w:r>
      <w:r>
        <w:rPr>
          <w:noProof/>
        </w:rPr>
        <w:tab/>
        <w:t>Neuvoston puolesta</w:t>
      </w:r>
    </w:p>
    <w:p>
      <w:pPr>
        <w:pStyle w:val="Personnequisigne"/>
        <w:keepNext/>
        <w:rPr>
          <w:noProof/>
        </w:rPr>
      </w:pPr>
      <w:r>
        <w:rPr>
          <w:noProof/>
        </w:rPr>
        <w:t>Puhemies</w:t>
      </w:r>
      <w:r>
        <w:rPr>
          <w:noProof/>
        </w:rPr>
        <w:tab/>
        <w:t>Puheenjohtaja</w:t>
      </w:r>
    </w:p>
    <w:p>
      <w:pPr>
        <w:pStyle w:val="Institutionquisigne"/>
        <w:rPr>
          <w:noProof/>
        </w:rPr>
      </w:pPr>
    </w:p>
    <w:p>
      <w:pPr>
        <w:pStyle w:val="Personnequisigne"/>
        <w:keepNext/>
        <w:rPr>
          <w:noProof/>
        </w:rPr>
      </w:pPr>
    </w:p>
    <w:p>
      <w:pPr>
        <w:pStyle w:val="Institutionquisigne"/>
        <w:rPr>
          <w:noProof/>
        </w:rPr>
      </w:pPr>
    </w:p>
    <w:p>
      <w:pPr>
        <w:pStyle w:val="Personnequisigne"/>
        <w:keepNext/>
        <w:rPr>
          <w:noProof/>
        </w:rPr>
      </w:pPr>
    </w:p>
    <w:p>
      <w:pPr>
        <w:pStyle w:val="Institutionquisigne"/>
        <w:rPr>
          <w:noProof/>
        </w:rPr>
      </w:pPr>
    </w:p>
    <w:p>
      <w:pPr>
        <w:pStyle w:val="Personnequisigne"/>
        <w:keepNext/>
        <w:rPr>
          <w:noProof/>
        </w:rPr>
      </w:pPr>
    </w:p>
    <w:p>
      <w:pPr>
        <w:pStyle w:val="Institutionquisigne"/>
        <w:rPr>
          <w:noProof/>
        </w:rPr>
      </w:pPr>
    </w:p>
    <w:p>
      <w:pPr>
        <w:pStyle w:val="Personnequisigne"/>
        <w:keepNext/>
        <w:rPr>
          <w:noProof/>
        </w:rPr>
      </w:pPr>
    </w:p>
    <w:p>
      <w:pPr>
        <w:pStyle w:val="Institutionquisigne"/>
        <w:rPr>
          <w:noProof/>
        </w:rPr>
      </w:pPr>
    </w:p>
    <w:p>
      <w:pPr>
        <w:pStyle w:val="Personnequisigne"/>
        <w:keepNext/>
        <w:rPr>
          <w:noProof/>
        </w:rPr>
      </w:pPr>
    </w:p>
    <w:p>
      <w:pPr>
        <w:pStyle w:val="Institutionquisigne"/>
        <w:rPr>
          <w:noProof/>
        </w:rPr>
      </w:pPr>
    </w:p>
    <w:p>
      <w:pPr>
        <w:pStyle w:val="Personnequisigne"/>
        <w:keepNext/>
        <w:rPr>
          <w:noProof/>
        </w:rPr>
      </w:pPr>
    </w:p>
    <w:p>
      <w:pPr>
        <w:pStyle w:val="Institutionquisigne"/>
        <w:rPr>
          <w:noProof/>
        </w:rPr>
      </w:pPr>
    </w:p>
    <w:p>
      <w:pPr>
        <w:pStyle w:val="Personnequisigne"/>
        <w:rPr>
          <w:i w:val="0"/>
          <w:noProof/>
          <w:sz w:val="20"/>
          <w:szCs w:val="20"/>
        </w:rPr>
      </w:pPr>
      <w:r>
        <w:rPr>
          <w:rStyle w:val="FootnoteReference"/>
        </w:rPr>
        <w:sym w:font="Symbol" w:char="F02A"/>
      </w:r>
      <w:r>
        <w:rPr>
          <w:i w:val="0"/>
          <w:noProof/>
          <w:color w:val="FF0000"/>
          <w:sz w:val="20"/>
          <w:szCs w:val="20"/>
        </w:rPr>
        <w:t xml:space="preserve">                 Date to be inserted by the Parliament before the publication in OJ.</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fldChar w:fldCharType="begin"/>
    </w:r>
    <w:r>
      <w:instrText xml:space="preserve"> PAGE  \* MERGEFORMAT </w:instrText>
    </w:r>
    <w:r>
      <w:fldChar w:fldCharType="separate"/>
    </w:r>
    <w:r>
      <w:rPr>
        <w:noProof/>
      </w:rPr>
      <w:t>17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EUVL L 347, 20.12.2013, s. 855.</w:t>
      </w:r>
    </w:p>
  </w:footnote>
  <w:footnote w:id="2">
    <w:p>
      <w:pPr>
        <w:pStyle w:val="FootnoteText"/>
      </w:pPr>
      <w:r>
        <w:rPr>
          <w:rStyle w:val="FootnoteReference"/>
        </w:rPr>
        <w:footnoteRef/>
      </w:r>
      <w:r>
        <w:tab/>
        <w:t>EGR-asetuksen 3 artiklan mukaisessa merkityksessä.</w:t>
      </w:r>
    </w:p>
  </w:footnote>
  <w:footnote w:id="3">
    <w:p>
      <w:pPr>
        <w:pStyle w:val="FootnoteText"/>
      </w:pPr>
      <w:r>
        <w:rPr>
          <w:rStyle w:val="FootnoteReference"/>
        </w:rPr>
        <w:footnoteRef/>
      </w:r>
      <w:r>
        <w:tab/>
        <w:t>Komission asetus (EU) N:o 1046/2012, annettu 8 päivänä marraskuuta 2012, yhteisestä tilastollisten alueyksiköiden nimikkeistöstä (NUTS) annetun Euroopan parlamentin ja neuvoston asetuksen (EY) N:o 1059/2003 täytäntöönpanosta siltä osin kuin on kyse aikasarjojen toimittamisesta uutta alueellista jaottelua varten (EUVL L 310, 9.11.2012, s. 34).</w:t>
      </w:r>
    </w:p>
  </w:footnote>
  <w:footnote w:id="4">
    <w:p>
      <w:pPr>
        <w:pStyle w:val="FootnoteText"/>
      </w:pPr>
      <w:r>
        <w:rPr>
          <w:rStyle w:val="FootnoteReference"/>
        </w:rPr>
        <w:footnoteRef/>
      </w:r>
      <w:r>
        <w:tab/>
        <w:t>EUVL L 393, 30.12.2006, s. 1.</w:t>
      </w:r>
    </w:p>
  </w:footnote>
  <w:footnote w:id="5">
    <w:p>
      <w:pPr>
        <w:pStyle w:val="FootnoteText"/>
      </w:pPr>
      <w:r>
        <w:rPr>
          <w:rStyle w:val="FootnoteReference"/>
        </w:rPr>
        <w:footnoteRef/>
      </w:r>
      <w:r>
        <w:tab/>
        <w:t>Asetuksen (EU) N:o 1309/2013 7 artiklan 4 kohdan mukaisesti.</w:t>
      </w:r>
    </w:p>
  </w:footnote>
  <w:footnote w:id="6">
    <w:p>
      <w:pPr>
        <w:pStyle w:val="FootnoteText"/>
      </w:pPr>
      <w:r>
        <w:rPr>
          <w:rStyle w:val="FootnoteReference"/>
        </w:rPr>
        <w:footnoteRef/>
      </w:r>
      <w:r>
        <w:tab/>
        <w:t>422 työntekijää ja 135 omistaja-työntekijää.</w:t>
      </w:r>
    </w:p>
  </w:footnote>
  <w:footnote w:id="7">
    <w:p>
      <w:pPr>
        <w:pStyle w:val="FootnoteText"/>
      </w:pPr>
      <w:r>
        <w:rPr>
          <w:rStyle w:val="FootnoteReference"/>
        </w:rPr>
        <w:footnoteRef/>
      </w:r>
      <w:r>
        <w:tab/>
        <w:t>Koodi: nama_fcs_k</w:t>
      </w:r>
    </w:p>
  </w:footnote>
  <w:footnote w:id="8">
    <w:p>
      <w:pPr>
        <w:pStyle w:val="FootnoteText"/>
      </w:pPr>
      <w:r>
        <w:rPr>
          <w:rStyle w:val="FootnoteReference"/>
        </w:rPr>
        <w:footnoteRef/>
      </w:r>
      <w:r>
        <w:tab/>
        <w:t>http://www.inegsee.gr/wp-content/uploads/2014/07/Symperasmata.pdf</w:t>
      </w:r>
    </w:p>
  </w:footnote>
  <w:footnote w:id="9">
    <w:p>
      <w:pPr>
        <w:pStyle w:val="FootnoteText"/>
      </w:pPr>
      <w:r>
        <w:rPr>
          <w:rStyle w:val="FootnoteReference"/>
        </w:rPr>
        <w:footnoteRef/>
      </w:r>
      <w:r>
        <w:tab/>
        <w:t>Kreikassa köyhyysraja on 5 708 euroa henkeä kohti vuodessa (yhden hengen taloudet) ja 11 986 euroa kahdesta aikuisesta ja kahdesta enintään 14-vuotiaasta lapsesta koostuvaa taloutta kohti.</w:t>
      </w:r>
    </w:p>
  </w:footnote>
  <w:footnote w:id="10">
    <w:p>
      <w:pPr>
        <w:pStyle w:val="FootnoteText"/>
        <w:jc w:val="left"/>
      </w:pPr>
      <w:r>
        <w:rPr>
          <w:rStyle w:val="FootnoteReference"/>
        </w:rPr>
        <w:footnoteRef/>
      </w:r>
      <w:r>
        <w:tab/>
        <w:t>EGF/2010/010 CZ Unilever, KOM(2011) 61</w:t>
      </w:r>
      <w:r>
        <w:br/>
        <w:t>EGF/2010/016 ES Aragón retail, KOM(2010) 615</w:t>
      </w:r>
      <w:r>
        <w:br/>
        <w:t>EGF/2011/004 GR ALDI Hellas, KOM(2011) 580</w:t>
      </w:r>
      <w:r>
        <w:br/>
        <w:t>EGF/2014/009 GR Sprider Stores, COM(2014) 620</w:t>
      </w:r>
      <w:r>
        <w:br/>
        <w:t>EGF/2014/013 GR Odyssefs Fokas, COM(2014) 702</w:t>
      </w:r>
    </w:p>
  </w:footnote>
  <w:footnote w:id="11">
    <w:p>
      <w:pPr>
        <w:pStyle w:val="FootnoteText"/>
      </w:pPr>
      <w:r>
        <w:rPr>
          <w:rStyle w:val="FootnoteReference"/>
        </w:rPr>
        <w:footnoteRef/>
      </w:r>
      <w:r>
        <w:tab/>
        <w:t>Kausi käsittää tammikuun 2014 ja marraskuun 2015 välisen ajanjakson.</w:t>
      </w:r>
    </w:p>
  </w:footnote>
  <w:footnote w:id="12">
    <w:p>
      <w:pPr>
        <w:pStyle w:val="FootnoteText"/>
      </w:pPr>
      <w:r>
        <w:rPr>
          <w:rStyle w:val="FootnoteReference"/>
        </w:rPr>
        <w:footnoteRef/>
      </w:r>
      <w:r>
        <w:tab/>
        <w:t>Mukaan luettuina suuret elintarvikemyymälät ja erikoistuneet elintarvikkeiden, juomien ja tupakan myymälät.</w:t>
      </w:r>
    </w:p>
  </w:footnote>
  <w:footnote w:id="13">
    <w:p>
      <w:pPr>
        <w:pStyle w:val="FootnoteText"/>
        <w:jc w:val="left"/>
      </w:pPr>
      <w:r>
        <w:rPr>
          <w:rStyle w:val="FootnoteReference"/>
        </w:rPr>
        <w:footnoteRef/>
      </w:r>
      <w:r>
        <w:tab/>
        <w:t>Lähde: ILO.</w:t>
      </w:r>
      <w:r>
        <w:br/>
      </w:r>
      <w:hyperlink r:id="rId1">
        <w:r>
          <w:rPr>
            <w:rStyle w:val="Hyperlink"/>
          </w:rPr>
          <w:t>http://www.ilo.org/global/research/global-reports/global-employment-trends/2014/WCMS_233936/lang--en/index.htm</w:t>
        </w:r>
      </w:hyperlink>
    </w:p>
  </w:footnote>
  <w:footnote w:id="14">
    <w:p>
      <w:pPr>
        <w:pStyle w:val="FootnoteText"/>
      </w:pPr>
      <w:r>
        <w:rPr>
          <w:rStyle w:val="FootnoteReference"/>
        </w:rPr>
        <w:footnoteRef/>
      </w:r>
      <w:r>
        <w:tab/>
        <w:t>Eurostat Code tsdec450.</w:t>
      </w:r>
    </w:p>
  </w:footnote>
  <w:footnote w:id="15">
    <w:p>
      <w:pPr>
        <w:pStyle w:val="FootnoteText"/>
      </w:pPr>
      <w:r>
        <w:rPr>
          <w:rStyle w:val="FootnoteReference"/>
        </w:rPr>
        <w:footnoteRef/>
      </w:r>
      <w:r>
        <w:tab/>
        <w:t>Lähde: Eurostat [codes (lfst_r_lfe2emprt) and (lfsi_emp_a)]</w:t>
      </w:r>
    </w:p>
  </w:footnote>
  <w:footnote w:id="16">
    <w:p>
      <w:pPr>
        <w:pStyle w:val="FootnoteText"/>
        <w:rPr>
          <w:lang w:val="fr-BE"/>
        </w:rPr>
      </w:pPr>
      <w:r>
        <w:rPr>
          <w:rStyle w:val="FootnoteReference"/>
        </w:rPr>
        <w:footnoteRef/>
      </w:r>
      <w:r>
        <w:rPr>
          <w:lang w:val="fr-BE"/>
        </w:rPr>
        <w:tab/>
        <w:t>Lähde: Eurostat code [lfst_r_lfu2ltu]</w:t>
      </w:r>
    </w:p>
  </w:footnote>
  <w:footnote w:id="17">
    <w:p>
      <w:pPr>
        <w:pStyle w:val="FootnoteText"/>
      </w:pPr>
      <w:r>
        <w:rPr>
          <w:rStyle w:val="FootnoteReference"/>
        </w:rPr>
        <w:footnoteRef/>
      </w:r>
      <w:r>
        <w:tab/>
        <w:t>Laki 4019/2011.</w:t>
      </w:r>
    </w:p>
  </w:footnote>
  <w:footnote w:id="18">
    <w:p>
      <w:pPr>
        <w:pStyle w:val="FootnoteText"/>
      </w:pPr>
      <w:r>
        <w:rPr>
          <w:rStyle w:val="FootnoteReference"/>
        </w:rPr>
        <w:footnoteRef/>
      </w:r>
      <w:r>
        <w:tab/>
        <w:t>O.A.E.D on keskeisin väline hallituksen työllisyyspolitiikan täytäntöönpanossa. Se on julkisoikeudellinen oikeushenkilö ja suoraan vastuuvelvollinen työ- ja sosiaaliministeriölle.</w:t>
      </w:r>
    </w:p>
  </w:footnote>
  <w:footnote w:id="19">
    <w:p>
      <w:pPr>
        <w:pStyle w:val="FootnoteText"/>
      </w:pPr>
      <w:r>
        <w:rPr>
          <w:rStyle w:val="FootnoteReference"/>
        </w:rPr>
        <w:footnoteRef/>
      </w:r>
      <w:r>
        <w:tab/>
        <w:t>EUVL L 347, 20.12.2013, s. 884.</w:t>
      </w:r>
    </w:p>
  </w:footnote>
  <w:footnote w:id="20">
    <w:p>
      <w:pPr>
        <w:pStyle w:val="FootnoteText"/>
      </w:pPr>
      <w:r>
        <w:rPr>
          <w:rStyle w:val="FootnoteReference"/>
        </w:rPr>
        <w:footnoteRef/>
      </w:r>
      <w:r>
        <w:tab/>
        <w:t>EUVL C 373, 20.12.2013, s. 1.</w:t>
      </w:r>
    </w:p>
  </w:footnote>
  <w:footnote w:id="21">
    <w:p>
      <w:pPr>
        <w:pStyle w:val="FootnoteText"/>
      </w:pPr>
      <w:r>
        <w:rPr>
          <w:rStyle w:val="FootnoteReference"/>
        </w:rPr>
        <w:footnoteRef/>
      </w:r>
      <w:r>
        <w:tab/>
        <w:t>EUVL L 347, 20.12.2013, s. 855.</w:t>
      </w:r>
    </w:p>
  </w:footnote>
  <w:footnote w:id="22">
    <w:p>
      <w:pPr>
        <w:pStyle w:val="FootnoteText"/>
      </w:pPr>
      <w:r>
        <w:rPr>
          <w:rStyle w:val="FootnoteReference"/>
        </w:rPr>
        <w:footnoteRef/>
      </w:r>
      <w:r>
        <w:tab/>
        <w:t>EUVL C 373, 20.12.2013, s. 1.</w:t>
      </w:r>
    </w:p>
  </w:footnote>
  <w:footnote w:id="23">
    <w:p>
      <w:pPr>
        <w:pStyle w:val="FootnoteText"/>
      </w:pPr>
      <w:r>
        <w:rPr>
          <w:rStyle w:val="FootnoteReference"/>
        </w:rPr>
        <w:footnoteRef/>
      </w:r>
      <w:r>
        <w:tab/>
        <w:t>Neuvoston asetus (EU, Euratom) N:o 1311/2013 vuosia 2014–2020 koskevan monivuotisen rahoituskehyksen vahvistamisesta (EUVL L 347, 20.12.2013, s. 884).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BB68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9E463D0"/>
    <w:lvl w:ilvl="0">
      <w:start w:val="1"/>
      <w:numFmt w:val="decimal"/>
      <w:pStyle w:val="ListNumber3"/>
      <w:lvlText w:val="%1."/>
      <w:lvlJc w:val="left"/>
      <w:pPr>
        <w:tabs>
          <w:tab w:val="num" w:pos="926"/>
        </w:tabs>
        <w:ind w:left="926" w:hanging="360"/>
      </w:pPr>
    </w:lvl>
  </w:abstractNum>
  <w:abstractNum w:abstractNumId="2">
    <w:nsid w:val="FFFFFF7F"/>
    <w:multiLevelType w:val="singleLevel"/>
    <w:tmpl w:val="780CFF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498EC5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32C75C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F90476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C28232A"/>
    <w:lvl w:ilvl="0">
      <w:start w:val="1"/>
      <w:numFmt w:val="decimal"/>
      <w:pStyle w:val="ListNumber"/>
      <w:lvlText w:val="%1."/>
      <w:lvlJc w:val="left"/>
      <w:pPr>
        <w:tabs>
          <w:tab w:val="num" w:pos="360"/>
        </w:tabs>
        <w:ind w:left="360" w:hanging="360"/>
      </w:pPr>
    </w:lvl>
  </w:abstractNum>
  <w:abstractNum w:abstractNumId="7">
    <w:nsid w:val="FFFFFF89"/>
    <w:multiLevelType w:val="singleLevel"/>
    <w:tmpl w:val="45869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num>
  <w:num w:numId="7">
    <w:abstractNumId w:val="6"/>
  </w:num>
  <w:num w:numId="8">
    <w:abstractNumId w:val="2"/>
  </w:num>
  <w:num w:numId="9">
    <w:abstractNumId w:val="1"/>
  </w:num>
  <w:num w:numId="10">
    <w:abstractNumId w:val="0"/>
  </w:num>
  <w:num w:numId="11">
    <w:abstractNumId w:val="12"/>
  </w:num>
  <w:num w:numId="12">
    <w:abstractNumId w:val="12"/>
    <w:lvlOverride w:ilvl="0">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4-11 17:11:2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7"/>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787772D20B65461394189375D2DC3198"/>
    <w:docVar w:name="LW_CROSSREFERENCE" w:val="&lt;UNUSED&gt;"/>
    <w:docVar w:name="LW_DocType" w:val="COM"/>
    <w:docVar w:name="LW_EMISSION" w:val="14.4.2016"/>
    <w:docVar w:name="LW_EMISSION_ISODATE" w:val="2016-04-14"/>
    <w:docVar w:name="LW_EMISSION_LOCATION" w:val="BRX"/>
    <w:docVar w:name="LW_EMISSION_PREFIX" w:val="Bryssel "/>
    <w:docVar w:name="LW_EMISSION_SUFFIX" w:val=" "/>
    <w:docVar w:name="LW_ID_DOCMODEL" w:val="SJ-026"/>
    <w:docVar w:name="LW_ID_DOCSIGNATURE" w:val="SJ-026"/>
    <w:docVar w:name="LW_ID_DOCSTRUCTURE" w:val="COM/PL/ORG"/>
    <w:docVar w:name="LW_ID_DOCTYPE" w:val="SJ-026"/>
    <w:docVar w:name="LW_ID_STATUT" w:val="SJ-026"/>
    <w:docVar w:name="LW_INTERETEEE.CP" w:val="&lt;UNUSED&gt;"/>
    <w:docVar w:name="LW_LANGUE" w:val="FI"/>
    <w:docVar w:name="LW_MARKING" w:val="&lt;UNUSED&gt;"/>
    <w:docVar w:name="LW_NOM.INST" w:val="EUROOPAN KOMISSIO"/>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210"/>
    <w:docVar w:name="LW_REF.INTERNE" w:val="&lt;UNUSED&gt;"/>
    <w:docVar w:name="LW_SOUS.TITRE.OBJ.CP" w:val="&lt;UNUSED&gt;"/>
    <w:docVar w:name="LW_STATUT.CP" w:val="Ehdotus"/>
    <w:docVar w:name="LW_SUPERTITRE" w:val="&lt;UNUSED&gt;"/>
    <w:docVar w:name="LW_TITRE.OBJ.CP" w:val="Euroopan globalisaatiorahaston varojen käyttöönotosta _x000b_(Kreikan hakemus \u8211? EGF/2015/011 GR/Supermarket Larissa)"/>
    <w:docVar w:name="LW_TYPE.DOC.CP" w:val="EUROOPAN PARLAMENTIN JA NEUVOSTON PÄÄTÖS"/>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fi-FI" w:bidi="fi-F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i-F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i-FI"/>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fi-FI" w:bidi="fi-F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i-F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i-FI"/>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83066">
      <w:bodyDiv w:val="1"/>
      <w:marLeft w:val="0"/>
      <w:marRight w:val="0"/>
      <w:marTop w:val="0"/>
      <w:marBottom w:val="0"/>
      <w:divBdr>
        <w:top w:val="none" w:sz="0" w:space="0" w:color="auto"/>
        <w:left w:val="none" w:sz="0" w:space="0" w:color="auto"/>
        <w:bottom w:val="none" w:sz="0" w:space="0" w:color="auto"/>
        <w:right w:val="none" w:sz="0" w:space="0" w:color="auto"/>
      </w:divBdr>
    </w:div>
    <w:div w:id="483592220">
      <w:bodyDiv w:val="1"/>
      <w:marLeft w:val="0"/>
      <w:marRight w:val="0"/>
      <w:marTop w:val="0"/>
      <w:marBottom w:val="0"/>
      <w:divBdr>
        <w:top w:val="none" w:sz="0" w:space="0" w:color="auto"/>
        <w:left w:val="none" w:sz="0" w:space="0" w:color="auto"/>
        <w:bottom w:val="none" w:sz="0" w:space="0" w:color="auto"/>
        <w:right w:val="none" w:sz="0" w:space="0" w:color="auto"/>
      </w:divBdr>
    </w:div>
    <w:div w:id="492333814">
      <w:bodyDiv w:val="1"/>
      <w:marLeft w:val="0"/>
      <w:marRight w:val="0"/>
      <w:marTop w:val="0"/>
      <w:marBottom w:val="0"/>
      <w:divBdr>
        <w:top w:val="none" w:sz="0" w:space="0" w:color="auto"/>
        <w:left w:val="none" w:sz="0" w:space="0" w:color="auto"/>
        <w:bottom w:val="none" w:sz="0" w:space="0" w:color="auto"/>
        <w:right w:val="none" w:sz="0" w:space="0" w:color="auto"/>
      </w:divBdr>
    </w:div>
    <w:div w:id="560139115">
      <w:bodyDiv w:val="1"/>
      <w:marLeft w:val="0"/>
      <w:marRight w:val="0"/>
      <w:marTop w:val="0"/>
      <w:marBottom w:val="0"/>
      <w:divBdr>
        <w:top w:val="none" w:sz="0" w:space="0" w:color="auto"/>
        <w:left w:val="none" w:sz="0" w:space="0" w:color="auto"/>
        <w:bottom w:val="none" w:sz="0" w:space="0" w:color="auto"/>
        <w:right w:val="none" w:sz="0" w:space="0" w:color="auto"/>
      </w:divBdr>
    </w:div>
    <w:div w:id="643776604">
      <w:bodyDiv w:val="1"/>
      <w:marLeft w:val="0"/>
      <w:marRight w:val="0"/>
      <w:marTop w:val="0"/>
      <w:marBottom w:val="0"/>
      <w:divBdr>
        <w:top w:val="none" w:sz="0" w:space="0" w:color="auto"/>
        <w:left w:val="none" w:sz="0" w:space="0" w:color="auto"/>
        <w:bottom w:val="none" w:sz="0" w:space="0" w:color="auto"/>
        <w:right w:val="none" w:sz="0" w:space="0" w:color="auto"/>
      </w:divBdr>
    </w:div>
    <w:div w:id="668217216">
      <w:bodyDiv w:val="1"/>
      <w:marLeft w:val="0"/>
      <w:marRight w:val="0"/>
      <w:marTop w:val="0"/>
      <w:marBottom w:val="0"/>
      <w:divBdr>
        <w:top w:val="none" w:sz="0" w:space="0" w:color="auto"/>
        <w:left w:val="none" w:sz="0" w:space="0" w:color="auto"/>
        <w:bottom w:val="none" w:sz="0" w:space="0" w:color="auto"/>
        <w:right w:val="none" w:sz="0" w:space="0" w:color="auto"/>
      </w:divBdr>
    </w:div>
    <w:div w:id="676663619">
      <w:bodyDiv w:val="1"/>
      <w:marLeft w:val="0"/>
      <w:marRight w:val="0"/>
      <w:marTop w:val="0"/>
      <w:marBottom w:val="0"/>
      <w:divBdr>
        <w:top w:val="none" w:sz="0" w:space="0" w:color="auto"/>
        <w:left w:val="none" w:sz="0" w:space="0" w:color="auto"/>
        <w:bottom w:val="none" w:sz="0" w:space="0" w:color="auto"/>
        <w:right w:val="none" w:sz="0" w:space="0" w:color="auto"/>
      </w:divBdr>
    </w:div>
    <w:div w:id="696194753">
      <w:bodyDiv w:val="1"/>
      <w:marLeft w:val="0"/>
      <w:marRight w:val="0"/>
      <w:marTop w:val="0"/>
      <w:marBottom w:val="0"/>
      <w:divBdr>
        <w:top w:val="none" w:sz="0" w:space="0" w:color="auto"/>
        <w:left w:val="none" w:sz="0" w:space="0" w:color="auto"/>
        <w:bottom w:val="none" w:sz="0" w:space="0" w:color="auto"/>
        <w:right w:val="none" w:sz="0" w:space="0" w:color="auto"/>
      </w:divBdr>
    </w:div>
    <w:div w:id="776753268">
      <w:bodyDiv w:val="1"/>
      <w:marLeft w:val="0"/>
      <w:marRight w:val="0"/>
      <w:marTop w:val="0"/>
      <w:marBottom w:val="0"/>
      <w:divBdr>
        <w:top w:val="none" w:sz="0" w:space="0" w:color="auto"/>
        <w:left w:val="none" w:sz="0" w:space="0" w:color="auto"/>
        <w:bottom w:val="none" w:sz="0" w:space="0" w:color="auto"/>
        <w:right w:val="none" w:sz="0" w:space="0" w:color="auto"/>
      </w:divBdr>
    </w:div>
    <w:div w:id="929968872">
      <w:bodyDiv w:val="1"/>
      <w:marLeft w:val="0"/>
      <w:marRight w:val="0"/>
      <w:marTop w:val="0"/>
      <w:marBottom w:val="0"/>
      <w:divBdr>
        <w:top w:val="none" w:sz="0" w:space="0" w:color="auto"/>
        <w:left w:val="none" w:sz="0" w:space="0" w:color="auto"/>
        <w:bottom w:val="none" w:sz="0" w:space="0" w:color="auto"/>
        <w:right w:val="none" w:sz="0" w:space="0" w:color="auto"/>
      </w:divBdr>
    </w:div>
    <w:div w:id="1078016921">
      <w:bodyDiv w:val="1"/>
      <w:marLeft w:val="0"/>
      <w:marRight w:val="0"/>
      <w:marTop w:val="0"/>
      <w:marBottom w:val="0"/>
      <w:divBdr>
        <w:top w:val="none" w:sz="0" w:space="0" w:color="auto"/>
        <w:left w:val="none" w:sz="0" w:space="0" w:color="auto"/>
        <w:bottom w:val="none" w:sz="0" w:space="0" w:color="auto"/>
        <w:right w:val="none" w:sz="0" w:space="0" w:color="auto"/>
      </w:divBdr>
    </w:div>
    <w:div w:id="1136293205">
      <w:bodyDiv w:val="1"/>
      <w:marLeft w:val="0"/>
      <w:marRight w:val="0"/>
      <w:marTop w:val="0"/>
      <w:marBottom w:val="0"/>
      <w:divBdr>
        <w:top w:val="none" w:sz="0" w:space="0" w:color="auto"/>
        <w:left w:val="none" w:sz="0" w:space="0" w:color="auto"/>
        <w:bottom w:val="none" w:sz="0" w:space="0" w:color="auto"/>
        <w:right w:val="none" w:sz="0" w:space="0" w:color="auto"/>
      </w:divBdr>
    </w:div>
    <w:div w:id="1203060159">
      <w:bodyDiv w:val="1"/>
      <w:marLeft w:val="0"/>
      <w:marRight w:val="0"/>
      <w:marTop w:val="0"/>
      <w:marBottom w:val="0"/>
      <w:divBdr>
        <w:top w:val="none" w:sz="0" w:space="0" w:color="auto"/>
        <w:left w:val="none" w:sz="0" w:space="0" w:color="auto"/>
        <w:bottom w:val="none" w:sz="0" w:space="0" w:color="auto"/>
        <w:right w:val="none" w:sz="0" w:space="0" w:color="auto"/>
      </w:divBdr>
    </w:div>
    <w:div w:id="1433208756">
      <w:bodyDiv w:val="1"/>
      <w:marLeft w:val="0"/>
      <w:marRight w:val="0"/>
      <w:marTop w:val="0"/>
      <w:marBottom w:val="0"/>
      <w:divBdr>
        <w:top w:val="none" w:sz="0" w:space="0" w:color="auto"/>
        <w:left w:val="none" w:sz="0" w:space="0" w:color="auto"/>
        <w:bottom w:val="none" w:sz="0" w:space="0" w:color="auto"/>
        <w:right w:val="none" w:sz="0" w:space="0" w:color="auto"/>
      </w:divBdr>
    </w:div>
    <w:div w:id="1481577567">
      <w:bodyDiv w:val="1"/>
      <w:marLeft w:val="0"/>
      <w:marRight w:val="0"/>
      <w:marTop w:val="0"/>
      <w:marBottom w:val="0"/>
      <w:divBdr>
        <w:top w:val="none" w:sz="0" w:space="0" w:color="auto"/>
        <w:left w:val="none" w:sz="0" w:space="0" w:color="auto"/>
        <w:bottom w:val="none" w:sz="0" w:space="0" w:color="auto"/>
        <w:right w:val="none" w:sz="0" w:space="0" w:color="auto"/>
      </w:divBdr>
    </w:div>
    <w:div w:id="1515994892">
      <w:bodyDiv w:val="1"/>
      <w:marLeft w:val="0"/>
      <w:marRight w:val="0"/>
      <w:marTop w:val="0"/>
      <w:marBottom w:val="0"/>
      <w:divBdr>
        <w:top w:val="none" w:sz="0" w:space="0" w:color="auto"/>
        <w:left w:val="none" w:sz="0" w:space="0" w:color="auto"/>
        <w:bottom w:val="none" w:sz="0" w:space="0" w:color="auto"/>
        <w:right w:val="none" w:sz="0" w:space="0" w:color="auto"/>
      </w:divBdr>
    </w:div>
    <w:div w:id="156632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ilo.org/global/research/global-reports/global-employment-trends/2014/WCMS_233936/lang--en/index.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net1.cec.eu.int\EMPL\F\F2\1.10.11.10%20EGF\05%20Individual%20cases\EGF_2014_001%20EL%20Nutriart\02%20Assessment\Hosehold%20consuption%20EL%20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unemployment!$A$5</c:f>
              <c:strCache>
                <c:ptCount val="1"/>
                <c:pt idx="0">
                  <c:v>EU-28</c:v>
                </c:pt>
              </c:strCache>
            </c:strRef>
          </c:tx>
          <c:spPr>
            <a:ln>
              <a:prstDash val="sysDash"/>
            </a:ln>
          </c:spPr>
          <c:marker>
            <c:symbol val="none"/>
          </c:marker>
          <c:cat>
            <c:numRef>
              <c:f>unemployment!$B$4:$I$4</c:f>
              <c:numCache>
                <c:formatCode>General</c:formatCode>
                <c:ptCount val="8"/>
                <c:pt idx="0">
                  <c:v>2008</c:v>
                </c:pt>
                <c:pt idx="1">
                  <c:v>2009</c:v>
                </c:pt>
                <c:pt idx="2">
                  <c:v>2010</c:v>
                </c:pt>
                <c:pt idx="3">
                  <c:v>2011</c:v>
                </c:pt>
                <c:pt idx="4">
                  <c:v>2012</c:v>
                </c:pt>
                <c:pt idx="5">
                  <c:v>2013</c:v>
                </c:pt>
                <c:pt idx="6">
                  <c:v>2014</c:v>
                </c:pt>
                <c:pt idx="7">
                  <c:v>2015</c:v>
                </c:pt>
              </c:numCache>
            </c:numRef>
          </c:cat>
          <c:val>
            <c:numRef>
              <c:f>unemployment!$B$5:$I$5</c:f>
              <c:numCache>
                <c:formatCode>General</c:formatCode>
                <c:ptCount val="8"/>
                <c:pt idx="0">
                  <c:v>7</c:v>
                </c:pt>
                <c:pt idx="1">
                  <c:v>9</c:v>
                </c:pt>
                <c:pt idx="2">
                  <c:v>9.6</c:v>
                </c:pt>
                <c:pt idx="3">
                  <c:v>9.6999999999999993</c:v>
                </c:pt>
                <c:pt idx="4">
                  <c:v>10.5</c:v>
                </c:pt>
                <c:pt idx="5">
                  <c:v>10.9</c:v>
                </c:pt>
                <c:pt idx="6">
                  <c:v>10.199999999999999</c:v>
                </c:pt>
                <c:pt idx="7">
                  <c:v>9.4</c:v>
                </c:pt>
              </c:numCache>
            </c:numRef>
          </c:val>
          <c:smooth val="0"/>
        </c:ser>
        <c:ser>
          <c:idx val="1"/>
          <c:order val="1"/>
          <c:tx>
            <c:strRef>
              <c:f>unemployment!$A$6</c:f>
              <c:strCache>
                <c:ptCount val="1"/>
                <c:pt idx="0">
                  <c:v>Greece</c:v>
                </c:pt>
              </c:strCache>
            </c:strRef>
          </c:tx>
          <c:marker>
            <c:symbol val="none"/>
          </c:marker>
          <c:cat>
            <c:numRef>
              <c:f>unemployment!$B$4:$I$4</c:f>
              <c:numCache>
                <c:formatCode>General</c:formatCode>
                <c:ptCount val="8"/>
                <c:pt idx="0">
                  <c:v>2008</c:v>
                </c:pt>
                <c:pt idx="1">
                  <c:v>2009</c:v>
                </c:pt>
                <c:pt idx="2">
                  <c:v>2010</c:v>
                </c:pt>
                <c:pt idx="3">
                  <c:v>2011</c:v>
                </c:pt>
                <c:pt idx="4">
                  <c:v>2012</c:v>
                </c:pt>
                <c:pt idx="5">
                  <c:v>2013</c:v>
                </c:pt>
                <c:pt idx="6">
                  <c:v>2014</c:v>
                </c:pt>
                <c:pt idx="7">
                  <c:v>2015</c:v>
                </c:pt>
              </c:numCache>
            </c:numRef>
          </c:cat>
          <c:val>
            <c:numRef>
              <c:f>unemployment!$B$6:$I$6</c:f>
              <c:numCache>
                <c:formatCode>General</c:formatCode>
                <c:ptCount val="8"/>
                <c:pt idx="0">
                  <c:v>7.8</c:v>
                </c:pt>
                <c:pt idx="1">
                  <c:v>9.6</c:v>
                </c:pt>
                <c:pt idx="2">
                  <c:v>12.7</c:v>
                </c:pt>
                <c:pt idx="3">
                  <c:v>17.899999999999999</c:v>
                </c:pt>
                <c:pt idx="4">
                  <c:v>24.5</c:v>
                </c:pt>
                <c:pt idx="5">
                  <c:v>27.5</c:v>
                </c:pt>
                <c:pt idx="6">
                  <c:v>26.5</c:v>
                </c:pt>
                <c:pt idx="7">
                  <c:v>25.6</c:v>
                </c:pt>
              </c:numCache>
            </c:numRef>
          </c:val>
          <c:smooth val="0"/>
        </c:ser>
        <c:dLbls>
          <c:showLegendKey val="0"/>
          <c:showVal val="0"/>
          <c:showCatName val="0"/>
          <c:showSerName val="0"/>
          <c:showPercent val="0"/>
          <c:showBubbleSize val="0"/>
        </c:dLbls>
        <c:marker val="1"/>
        <c:smooth val="0"/>
        <c:axId val="77966336"/>
        <c:axId val="38363904"/>
      </c:lineChart>
      <c:catAx>
        <c:axId val="77966336"/>
        <c:scaling>
          <c:orientation val="minMax"/>
        </c:scaling>
        <c:delete val="0"/>
        <c:axPos val="b"/>
        <c:numFmt formatCode="General" sourceLinked="1"/>
        <c:majorTickMark val="out"/>
        <c:minorTickMark val="none"/>
        <c:tickLblPos val="nextTo"/>
        <c:crossAx val="38363904"/>
        <c:crosses val="autoZero"/>
        <c:auto val="1"/>
        <c:lblAlgn val="ctr"/>
        <c:lblOffset val="100"/>
        <c:noMultiLvlLbl val="0"/>
      </c:catAx>
      <c:valAx>
        <c:axId val="38363904"/>
        <c:scaling>
          <c:orientation val="minMax"/>
        </c:scaling>
        <c:delete val="0"/>
        <c:axPos val="l"/>
        <c:majorGridlines/>
        <c:numFmt formatCode="General" sourceLinked="1"/>
        <c:majorTickMark val="out"/>
        <c:minorTickMark val="none"/>
        <c:tickLblPos val="nextTo"/>
        <c:crossAx val="7796633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DE73B-F92A-42D8-9A71-B4C9C7C99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17</Pages>
  <Words>3120</Words>
  <Characters>24962</Characters>
  <Application>Microsoft Office Word</Application>
  <DocSecurity>0</DocSecurity>
  <Lines>656</Lines>
  <Paragraphs>338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27744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cp:lastPrinted>2016-02-19T09:57:00Z</cp:lastPrinted>
  <dcterms:created xsi:type="dcterms:W3CDTF">2016-04-11T13:43:00Z</dcterms:created>
  <dcterms:modified xsi:type="dcterms:W3CDTF">2016-04-11T15:11:00Z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5.8.3, Build 20140113</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SJ-026</vt:lpwstr>
  </property>
  <property fmtid="{D5CDD505-2E9C-101B-9397-08002B2CF9AE}" pid="10" name="DQCStatus">
    <vt:lpwstr>Green (DQC version 03)</vt:lpwstr>
  </property>
  <property name="OP_sanitized" fmtid="{D5CDD505-2E9C-101B-9397-08002B2CF9AE}" pid="11">
    <vt:lpwstr>True</vt:lpwstr>
  </property>
</Properties>
</file>