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FF" w:rsidRDefault="00F27AE1"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F264FE175B5459084E79339CFC30705" style="width:450.75pt;height:293.25pt">
            <v:imagedata r:id="rId9" o:title=""/>
          </v:shape>
        </w:pict>
      </w:r>
    </w:p>
    <w:bookmarkEnd w:id="0"/>
    <w:p w:rsidR="00FE17FF" w:rsidRDefault="00FE17FF">
      <w:pPr>
        <w:pStyle w:val="Pagedecouverture"/>
        <w:rPr>
          <w:noProof/>
        </w:rPr>
        <w:sectPr w:rsidR="00FE17F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 w:rsidR="00FE17FF" w:rsidRDefault="00F27A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lastRenderedPageBreak/>
        <w:t>Ekologista suunnittelua koskeva työsuunnitelma vuosiksi 2016–2019</w:t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t>1.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Johdanto</w:t>
      </w:r>
    </w:p>
    <w:p w:rsidR="00FE17FF" w:rsidRDefault="00FE17FF">
      <w:pPr>
        <w:tabs>
          <w:tab w:val="left" w:pos="-19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E17FF" w:rsidRDefault="00F27AE1">
      <w:pPr>
        <w:tabs>
          <w:tab w:val="left" w:pos="-19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Euroopan unionilla</w:t>
      </w:r>
      <w:r>
        <w:rPr>
          <w:rFonts w:ascii="Times New Roman" w:hAnsi="Times New Roman"/>
          <w:noProof/>
          <w:sz w:val="24"/>
        </w:rPr>
        <w:t xml:space="preserve"> on käytössään useita lainsäädännöllisiä välineitä, joilla EU:n energia- ja ilmastopolitiikan tavoitteet</w:t>
      </w:r>
      <w:r>
        <w:rPr>
          <w:rFonts w:ascii="Times New Roman" w:hAnsi="Times New Roman"/>
          <w:noProof/>
          <w:sz w:val="24"/>
          <w:vertAlign w:val="superscript"/>
        </w:rPr>
        <w:footnoteReference w:id="1"/>
      </w:r>
      <w:r>
        <w:rPr>
          <w:rFonts w:ascii="Times New Roman" w:hAnsi="Times New Roman"/>
          <w:noProof/>
          <w:sz w:val="24"/>
        </w:rPr>
        <w:t xml:space="preserve"> muutetaan erilaisiksi toimintalinjoiksi. Ekologisella suunnittelulla ja sitä täydentävillä energiamerkintäsäännöillä tuetaan komission ensisijaista ta</w:t>
      </w:r>
      <w:r>
        <w:rPr>
          <w:rFonts w:ascii="Times New Roman" w:hAnsi="Times New Roman"/>
          <w:noProof/>
          <w:sz w:val="24"/>
        </w:rPr>
        <w:t>voitetta, joka on Euroopan kilpailukyvyn vahvistaminen ja työpaikkojen luomisen ja talouskasvun tehostaminen. Sen avulla varmistetaan tasapuoliset toimintaolosuhteet sisämarkkinoilla, edistetään investointeja ja innovaatiota kestävällä tavalla, annetaan ku</w:t>
      </w:r>
      <w:r>
        <w:rPr>
          <w:rFonts w:ascii="Times New Roman" w:hAnsi="Times New Roman"/>
          <w:noProof/>
          <w:sz w:val="24"/>
        </w:rPr>
        <w:t>luttajille mahdollisuus säästää rahaa ja vähennetään hiilidioksidipäästöjä. Ekologisella suunnittelulla tuetaan energiaunionin toteutumista ja vuoden 2030 energiatehokkuustavoitteiden, yhteisesti sovittujen ilmastotavoitteiden ja syvempien ja oikeudenmukai</w:t>
      </w:r>
      <w:r>
        <w:rPr>
          <w:rFonts w:ascii="Times New Roman" w:hAnsi="Times New Roman"/>
          <w:noProof/>
          <w:sz w:val="24"/>
        </w:rPr>
        <w:t>sempien sisämarkkinoiden saavuttamista. Ekologista suunnittelua ja energiamerkintää koskeva kehys on ollut yksi tehokkaimmista toimintapoliittisista välineistä energiatehokkuuden edistämisessä EU:n tasolla. Sen avulla arvioidaan saavutettavan noin puolet v</w:t>
      </w:r>
      <w:r>
        <w:rPr>
          <w:rFonts w:ascii="Times New Roman" w:hAnsi="Times New Roman"/>
          <w:noProof/>
          <w:sz w:val="24"/>
        </w:rPr>
        <w:t>uoden 2020 energiansäästötavoitteista Ekologista suunnittelua ja energiamerkintöjä koskevalla lainsäädännöllisellä kehyksellä on kaksi tarkoitusta. Sillä pyritään (ekologisen suunnittelun avulla) varmistamaan, että markkinoille saatetaan energiatehokkaampi</w:t>
      </w:r>
      <w:r>
        <w:rPr>
          <w:rFonts w:ascii="Times New Roman" w:hAnsi="Times New Roman"/>
          <w:noProof/>
          <w:sz w:val="24"/>
        </w:rPr>
        <w:t>a tuotteita samalla, kun kuluttajia rohkaistaan tekemään tietoihin perustuvia valintoja (energiamerkintöjen perusteella) ja ostamaan kaikkein tehokkaimpia tuotteita.  Näin vähennetään kuluttajien ja yritysten energiankulutusta ja pienennetään energia- ja j</w:t>
      </w:r>
      <w:r>
        <w:rPr>
          <w:rFonts w:ascii="Times New Roman" w:hAnsi="Times New Roman"/>
          <w:noProof/>
          <w:sz w:val="24"/>
        </w:rPr>
        <w:t xml:space="preserve">ulkisista palveluista syntyviä laskuja. Samalla taataan sisämarkkinoiden toimivuus ja ehkäistään erilaisista kansallisista vaatimuksista yrityksille ja kuluttajille aiheutuvien turhien kulujen syntyminen.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Calibri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</w:rPr>
        <w:t xml:space="preserve">Tällä sääntelykehyksellä arvioidaan saavutettavan </w:t>
      </w:r>
      <w:r>
        <w:rPr>
          <w:rFonts w:ascii="Times New Roman" w:hAnsi="Times New Roman"/>
          <w:noProof/>
          <w:sz w:val="24"/>
        </w:rPr>
        <w:t>primäärienergiaan liittyviä energiansäästöjä noin 175 Mtoe (miljoonaa öljytonnia vastaava energiamäärä) vuodessa vuoteen 2020 mennessä. Tämä on enemmän kuin Italian vuotuinen primäärienergian kulutus. Kuluttajille tämä tarkoittaa 490 euron säästöä kotitalo</w:t>
      </w:r>
      <w:r>
        <w:rPr>
          <w:rFonts w:ascii="Times New Roman" w:hAnsi="Times New Roman"/>
          <w:noProof/>
          <w:sz w:val="24"/>
        </w:rPr>
        <w:t>uden vuosittaisessa energialaskussa. Lisäksi toimien arvioidaan tuottavan noin 55 miljardin euron lisätulot teollisuuden, tukku- ja vähittäismyynnin alalla. Osalla tuloista voitaisiin luoda suoraan jopa 800 000 lisätyöpaikkaa kyseisille aloille. Toimet vai</w:t>
      </w:r>
      <w:r>
        <w:rPr>
          <w:rFonts w:ascii="Times New Roman" w:hAnsi="Times New Roman"/>
          <w:noProof/>
          <w:sz w:val="24"/>
        </w:rPr>
        <w:t>kuttavat myös energiavarmuuteen vähentämällä tuontienergian tarvetta EU:ssa 1,3 miljardilla barrelilla vuodessa ja hiilidioksidipäästöjä 320 miljoonalla tonnilla vuodessa</w:t>
      </w:r>
      <w:r>
        <w:rPr>
          <w:rFonts w:ascii="Times New Roman" w:hAnsi="Times New Roman"/>
          <w:noProof/>
          <w:sz w:val="24"/>
          <w:vertAlign w:val="superscript"/>
        </w:rPr>
        <w:footnoteReference w:id="2"/>
      </w:r>
      <w:r>
        <w:rPr>
          <w:rFonts w:ascii="Times New Roman" w:hAnsi="Times New Roman"/>
          <w:noProof/>
          <w:sz w:val="24"/>
        </w:rPr>
        <w:t xml:space="preserve">. </w:t>
      </w:r>
    </w:p>
    <w:p w:rsidR="00FE17FF" w:rsidRDefault="00F27AE1">
      <w:pPr>
        <w:jc w:val="both"/>
        <w:rPr>
          <w:rFonts w:ascii="Times New Roman" w:eastAsia="Times New Roman" w:hAnsi="Times New Roman" w:cs="Calibri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</w:rPr>
        <w:t>Energian kysynnän hillintä on yksi energiaunionia koskevan puitestrategian viidest</w:t>
      </w:r>
      <w:r>
        <w:rPr>
          <w:rFonts w:ascii="Times New Roman" w:hAnsi="Times New Roman"/>
          <w:noProof/>
          <w:sz w:val="24"/>
        </w:rPr>
        <w:t>ä ulottuvuudesta</w:t>
      </w:r>
      <w:r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noProof/>
          <w:sz w:val="24"/>
        </w:rPr>
        <w:t>. Kunnianhimoiset ja tehokkaat ekosuunnittelu- ja energiamerkintätoimet ovat välttämättömiä komission energiaunionille asettamien ensisijaisten tavoitteiden ja Pariisissa joulukuussa 2015 järjestetyssä COP21-ilmastokokouksessa sovittujen i</w:t>
      </w:r>
      <w:r>
        <w:rPr>
          <w:rFonts w:ascii="Times New Roman" w:hAnsi="Times New Roman"/>
          <w:noProof/>
          <w:sz w:val="24"/>
        </w:rPr>
        <w:t xml:space="preserve">lmastotavoitteiden saavuttamiseksi.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Tällä ekologista suunnittelua koskevalla työsuunnitelmalla tuetaan komission uutta kiertotaloutta koskevaa aloitetta</w:t>
      </w:r>
      <w:r>
        <w:rPr>
          <w:rStyle w:val="FootnoteReference"/>
          <w:rFonts w:ascii="Times New Roman" w:hAnsi="Times New Roman"/>
          <w:noProof/>
          <w:sz w:val="24"/>
        </w:rPr>
        <w:footnoteReference w:id="4"/>
      </w:r>
      <w:r>
        <w:rPr>
          <w:rFonts w:ascii="Times New Roman" w:hAnsi="Times New Roman"/>
          <w:noProof/>
          <w:sz w:val="24"/>
        </w:rPr>
        <w:t xml:space="preserve">, jolla edistetään EU:n siirtymistä kohti kiertotaloutta erilaisten tuotteiden ja materiaalien koko elinkaaren kattavien toimenpiteiden avulla. Tarve </w:t>
      </w:r>
      <w:r>
        <w:rPr>
          <w:rFonts w:ascii="Times New Roman" w:hAnsi="Times New Roman"/>
          <w:noProof/>
          <w:sz w:val="24"/>
        </w:rPr>
        <w:lastRenderedPageBreak/>
        <w:t>resurssitehokkuuden parantamiseen, joka on myös poliittinen prioriteetti, kasvaa jatkuvasti EU:ssa. Tuotes</w:t>
      </w:r>
      <w:r>
        <w:rPr>
          <w:rFonts w:ascii="Times New Roman" w:hAnsi="Times New Roman"/>
          <w:noProof/>
          <w:sz w:val="24"/>
        </w:rPr>
        <w:t>uunnittelu on tässä avainasemassa, koska sillä voidaan vaikuttaa merkittävästi tuotteen elinkaareen tekemällä tuotteesta kestävämpi, helpommin korjattava, uudelleenkäytettävä tai kierrätettävä. Ekologista suunnittelua koskeva direktiivi kattaa kaikki tuott</w:t>
      </w:r>
      <w:r>
        <w:rPr>
          <w:rFonts w:ascii="Times New Roman" w:hAnsi="Times New Roman"/>
          <w:noProof/>
          <w:sz w:val="24"/>
        </w:rPr>
        <w:t>een merkittävät ympäristövaikutukset sen elinkaaren aikana, mutta painopiste on tähän asti ollut energiatehokkuuden parantamisessa. Tulevaisuudessa ekosuunnittelulla olisi tuettava huomattavasti enemmän kiertotaloutta, esimerkiksi tarkastelemalla järjestel</w:t>
      </w:r>
      <w:r>
        <w:rPr>
          <w:rFonts w:ascii="Times New Roman" w:hAnsi="Times New Roman"/>
          <w:noProof/>
          <w:sz w:val="24"/>
        </w:rPr>
        <w:t xml:space="preserve">mällisesti materiaalitehokkuuteen liittyviä kysymyksiä, kuten kestävyyttä ja kierrätettävyyttä. </w:t>
      </w:r>
    </w:p>
    <w:p w:rsidR="00FE17FF" w:rsidRDefault="00F27AE1">
      <w:pPr>
        <w:jc w:val="both"/>
        <w:rPr>
          <w:rFonts w:ascii="Times New Roman" w:eastAsia="Times New Roman" w:hAnsi="Times New Roman" w:cs="Calibri"/>
          <w:noProof/>
          <w:sz w:val="24"/>
          <w:szCs w:val="20"/>
        </w:rPr>
      </w:pPr>
      <w:r>
        <w:rPr>
          <w:rFonts w:ascii="Times New Roman" w:hAnsi="Times New Roman"/>
          <w:noProof/>
          <w:sz w:val="24"/>
        </w:rPr>
        <w:t>Tässä työsuunnitelmassa vahvistetaan komission toiminnan painopisteet kaudelle 2016–2019 ekologista suunnittelua ja energiamerkintää koskevan sääntelykehykseen</w:t>
      </w:r>
      <w:r>
        <w:rPr>
          <w:rFonts w:ascii="Times New Roman" w:hAnsi="Times New Roman"/>
          <w:noProof/>
          <w:sz w:val="24"/>
        </w:rPr>
        <w:t xml:space="preserve"> nojalla. Uudessa työsuunnitelmassa esitellään kahteen aikaisempaan työsuunnitelmaan perustuvia käynnissä olevia toimia sekä tulevia, voimassa olevia tuotekohtaisia toimenpiteitä koskevia uudelleentarkasteluja. Suunnitelmassa tunnistetaan uusia tuoteryhmiä</w:t>
      </w:r>
      <w:r>
        <w:rPr>
          <w:rFonts w:ascii="Times New Roman" w:hAnsi="Times New Roman"/>
          <w:noProof/>
          <w:sz w:val="24"/>
        </w:rPr>
        <w:t>, joita on tutkittava enemmän (tutkimusten, sidosryhmien kuulemisen ja vaikutustenarvioinnin avulla) mahdollisten ekosuunnittelua ja/tai energiamerkintää koskevien vaatimusten huomioon ottamiseksi komission ehdotuksissa. Suunnitelmassa myös esitetään, mite</w:t>
      </w:r>
      <w:r>
        <w:rPr>
          <w:rFonts w:ascii="Times New Roman" w:hAnsi="Times New Roman"/>
          <w:noProof/>
          <w:sz w:val="24"/>
        </w:rPr>
        <w:t>n ekosuunnittelulla voitaisiin paremmin tukea kiertotalouden tavoitteita. Tässä työsuunnitelmassa esitellyt, uusia tuotteita koskevat toimenpiteet voivat yhdessä jo voimassa olevien uudelleentarkasteltavien toimenpiteiden kanssa säästää primäärienergiaa vu</w:t>
      </w:r>
      <w:r>
        <w:rPr>
          <w:rFonts w:ascii="Times New Roman" w:hAnsi="Times New Roman"/>
          <w:noProof/>
          <w:sz w:val="24"/>
        </w:rPr>
        <w:t xml:space="preserve">osittain 600 terawattituntia (tai 50 Mtoe:ta) vuoteen 2030 mennessä. Tämä vastaa Ruotsin vuosittaista primäärienergiankulutusta ja tarkoittaa hiilidioksidipäästöjen vuosittaista vähenemistä 100 miljoonalla tonnilla vuoteen 2030 mennessä. </w:t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t>2.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Työsuunnitelma</w:t>
      </w:r>
      <w:r>
        <w:rPr>
          <w:rFonts w:ascii="Times New Roman" w:hAnsi="Times New Roman"/>
          <w:smallCaps/>
          <w:noProof/>
          <w:color w:val="auto"/>
          <w:sz w:val="24"/>
        </w:rPr>
        <w:t>n tarkoitus</w:t>
      </w:r>
    </w:p>
    <w:p w:rsidR="00FE17FF" w:rsidRDefault="00F27AE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Ekosuunnitteludirektiivi ja energiamerkintädirektiivi ovat molemmat puitedirektiivejä. Niissä säädetään täytäntöönpanotoimenpiteiden käyttöönottoa koskevista edellytyksistä ja perusteista. Täytäntöönpanotoimenpiteissä puolestaan vahvistetaan ku</w:t>
      </w:r>
      <w:r>
        <w:rPr>
          <w:rFonts w:ascii="Times New Roman" w:hAnsi="Times New Roman"/>
          <w:noProof/>
          <w:sz w:val="24"/>
        </w:rPr>
        <w:t>takin tuoteryhmää koskevat sitovat vaatimukset</w:t>
      </w:r>
      <w:r>
        <w:rPr>
          <w:rFonts w:ascii="Times New Roman" w:hAnsi="Times New Roman"/>
          <w:noProof/>
          <w:sz w:val="24"/>
          <w:vertAlign w:val="superscript"/>
        </w:rPr>
        <w:footnoteReference w:id="5"/>
      </w:r>
      <w:r>
        <w:rPr>
          <w:rFonts w:ascii="Times New Roman" w:hAnsi="Times New Roman"/>
          <w:noProof/>
          <w:sz w:val="24"/>
        </w:rPr>
        <w:t>. Tämän sääntelykehyksen mukaisesti tutkittavia tuoteryhmiä koskevat ensisijaiset tavoitteet vahvistetaan ekologista suunnittelua koskevan direktiivin 16 artiklan 1 kohdan mukaisissa työsuunnitelmissa. Kyseise</w:t>
      </w:r>
      <w:r>
        <w:rPr>
          <w:rFonts w:ascii="Times New Roman" w:hAnsi="Times New Roman"/>
          <w:noProof/>
          <w:sz w:val="24"/>
        </w:rPr>
        <w:t>ssä kohdassa säädetään, että komissio laatii "</w:t>
      </w:r>
      <w:r>
        <w:rPr>
          <w:rFonts w:ascii="Times New Roman" w:hAnsi="Times New Roman"/>
          <w:i/>
          <w:noProof/>
          <w:sz w:val="24"/>
        </w:rPr>
        <w:t xml:space="preserve">työsuunnitelman, jossa se esittää seuraaville kolmelle vuodelle </w:t>
      </w:r>
      <w:r>
        <w:rPr>
          <w:rFonts w:ascii="Times New Roman" w:hAnsi="Times New Roman"/>
          <w:b/>
          <w:i/>
          <w:noProof/>
          <w:sz w:val="24"/>
        </w:rPr>
        <w:t xml:space="preserve">ohjeellisen luettelon niistä energiaa käyttävistä tuoteryhmistä, joita pidetään ensisijaisina </w:t>
      </w:r>
      <w:r>
        <w:rPr>
          <w:rFonts w:ascii="Times New Roman" w:hAnsi="Times New Roman"/>
          <w:i/>
          <w:noProof/>
          <w:sz w:val="24"/>
        </w:rPr>
        <w:t>valmistelevia tutkimuksia ja mahdollisia täytäntöönp</w:t>
      </w:r>
      <w:r>
        <w:rPr>
          <w:rFonts w:ascii="Times New Roman" w:hAnsi="Times New Roman"/>
          <w:i/>
          <w:noProof/>
          <w:sz w:val="24"/>
        </w:rPr>
        <w:t>anotoimenpiteitä hyväksyttäessä</w:t>
      </w:r>
      <w:r>
        <w:rPr>
          <w:rFonts w:ascii="Times New Roman" w:hAnsi="Times New Roman"/>
          <w:noProof/>
          <w:sz w:val="24"/>
        </w:rPr>
        <w:t>".</w:t>
      </w:r>
    </w:p>
    <w:p w:rsidR="00FE17FF" w:rsidRDefault="00F27AE1">
      <w:pPr>
        <w:jc w:val="both"/>
        <w:rPr>
          <w:noProof/>
        </w:rPr>
      </w:pPr>
      <w:r>
        <w:rPr>
          <w:rFonts w:ascii="Times New Roman" w:hAnsi="Times New Roman"/>
          <w:noProof/>
          <w:sz w:val="24"/>
        </w:rPr>
        <w:t>Tämän uuden työsuunnitelman lähtökohtana on ekologisesta suunnittelusta vuonna 2005 annetun direktiivin 16 artiklan 2 kohdassa lueteltuja ensisijaisia tuoteryhmiä koskevat toimet, joita on toteutettu vuoden 2005 puolivälis</w:t>
      </w:r>
      <w:r>
        <w:rPr>
          <w:rFonts w:ascii="Times New Roman" w:hAnsi="Times New Roman"/>
          <w:noProof/>
          <w:sz w:val="24"/>
        </w:rPr>
        <w:t>tä</w:t>
      </w:r>
      <w:r>
        <w:rPr>
          <w:rStyle w:val="FootnoteReference"/>
          <w:rFonts w:ascii="Times New Roman" w:hAnsi="Times New Roman"/>
          <w:noProof/>
          <w:sz w:val="24"/>
        </w:rPr>
        <w:footnoteReference w:id="6"/>
      </w:r>
      <w:r>
        <w:rPr>
          <w:rFonts w:ascii="Times New Roman" w:hAnsi="Times New Roman"/>
          <w:noProof/>
          <w:sz w:val="24"/>
        </w:rPr>
        <w:t xml:space="preserve"> (siirtymäkaudesta) saakka, sekä kaksi ensimmäistä, kausia 2009–2011</w:t>
      </w:r>
      <w:r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noProof/>
          <w:sz w:val="24"/>
        </w:rPr>
        <w:t xml:space="preserve"> ja 2012–2014</w:t>
      </w:r>
      <w:r>
        <w:rPr>
          <w:rFonts w:ascii="Times New Roman" w:hAnsi="Times New Roman"/>
          <w:noProof/>
          <w:sz w:val="24"/>
          <w:vertAlign w:val="superscript"/>
        </w:rPr>
        <w:footnoteReference w:id="8"/>
      </w:r>
      <w:r>
        <w:rPr>
          <w:rFonts w:ascii="Times New Roman" w:hAnsi="Times New Roman"/>
          <w:noProof/>
          <w:sz w:val="24"/>
        </w:rPr>
        <w:t xml:space="preserve"> koskevaa työsuunnitelmaa.</w:t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lastRenderedPageBreak/>
        <w:t>3.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Tilannekatsaus</w:t>
      </w:r>
    </w:p>
    <w:p w:rsidR="00FE17FF" w:rsidRDefault="00F27AE1">
      <w:pPr>
        <w:keepNext/>
        <w:numPr>
          <w:ilvl w:val="1"/>
          <w:numId w:val="0"/>
        </w:numPr>
        <w:tabs>
          <w:tab w:val="num" w:pos="850"/>
        </w:tabs>
        <w:spacing w:before="120" w:after="120" w:line="240" w:lineRule="auto"/>
        <w:ind w:left="850" w:hanging="850"/>
        <w:jc w:val="both"/>
        <w:outlineLvl w:val="1"/>
        <w:rPr>
          <w:rFonts w:ascii="Times New Roman" w:eastAsia="Times New Roman" w:hAnsi="Times New Roman" w:cs="Times New Roman"/>
          <w:b/>
          <w:bCs/>
          <w:iCs/>
          <w:noProof/>
          <w:sz w:val="24"/>
          <w:szCs w:val="28"/>
        </w:rPr>
      </w:pPr>
      <w:r>
        <w:rPr>
          <w:rFonts w:ascii="Times New Roman" w:hAnsi="Times New Roman"/>
          <w:b/>
          <w:noProof/>
          <w:sz w:val="24"/>
        </w:rPr>
        <w:t>3.1.</w:t>
      </w:r>
      <w:r>
        <w:rPr>
          <w:noProof/>
        </w:rPr>
        <w:tab/>
      </w:r>
      <w:r>
        <w:rPr>
          <w:rFonts w:ascii="Times New Roman" w:hAnsi="Times New Roman"/>
          <w:b/>
          <w:noProof/>
          <w:sz w:val="24"/>
        </w:rPr>
        <w:t>Hyväksytyt täytäntöönpanotoimenpiteet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Työn priorisoinnin perusteella komissio on käynnistänyt valmistelevia tutkimuksia,</w:t>
      </w:r>
      <w:r>
        <w:rPr>
          <w:rFonts w:ascii="Times New Roman" w:hAnsi="Times New Roman"/>
          <w:noProof/>
          <w:sz w:val="24"/>
        </w:rPr>
        <w:t xml:space="preserve"> jotka ovat johtaneet 28 ekologista suunnittelua koskevan asetuksen, 16 energiamerkintöjä koskevan delegoidun asetuksen ja kolmen tunnustetun vapaaehtoisen sopimuksen hyväksymiseen.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Lisäksi kyseisistä tuoteryhmistä on annettu noin 40 standardointitoimeksia</w:t>
      </w:r>
      <w:r>
        <w:rPr>
          <w:rFonts w:ascii="Times New Roman" w:hAnsi="Times New Roman"/>
          <w:noProof/>
          <w:sz w:val="24"/>
        </w:rPr>
        <w:t>ntoa. Luettelo voimassa olevista yhdenmukaistetuista standardeista, joilla tuetaan ekologista suunnittelua koskevia asetuksia, on saatavilla Europa-verkkosivustolla</w:t>
      </w:r>
      <w:r>
        <w:rPr>
          <w:rFonts w:ascii="Times New Roman" w:hAnsi="Times New Roman"/>
          <w:noProof/>
          <w:sz w:val="24"/>
          <w:vertAlign w:val="superscript"/>
        </w:rPr>
        <w:footnoteReference w:id="9"/>
      </w:r>
      <w:r>
        <w:rPr>
          <w:rFonts w:ascii="Times New Roman" w:hAnsi="Times New Roman"/>
          <w:noProof/>
          <w:sz w:val="24"/>
        </w:rPr>
        <w:t>.</w:t>
      </w:r>
    </w:p>
    <w:p w:rsidR="00FE17FF" w:rsidRDefault="00F27AE1">
      <w:pPr>
        <w:keepNext/>
        <w:numPr>
          <w:ilvl w:val="1"/>
          <w:numId w:val="0"/>
        </w:numPr>
        <w:tabs>
          <w:tab w:val="num" w:pos="850"/>
        </w:tabs>
        <w:spacing w:before="120" w:after="120" w:line="240" w:lineRule="auto"/>
        <w:ind w:left="850" w:hanging="850"/>
        <w:jc w:val="both"/>
        <w:outlineLvl w:val="1"/>
        <w:rPr>
          <w:rFonts w:ascii="Times New Roman" w:eastAsia="Times New Roman" w:hAnsi="Times New Roman" w:cs="Times New Roman"/>
          <w:b/>
          <w:bCs/>
          <w:iCs/>
          <w:noProof/>
          <w:sz w:val="24"/>
          <w:szCs w:val="28"/>
        </w:rPr>
      </w:pPr>
      <w:r>
        <w:rPr>
          <w:rFonts w:ascii="Times New Roman" w:hAnsi="Times New Roman"/>
          <w:b/>
          <w:noProof/>
          <w:sz w:val="24"/>
        </w:rPr>
        <w:t>3.2</w:t>
      </w:r>
      <w:r>
        <w:rPr>
          <w:noProof/>
        </w:rPr>
        <w:tab/>
      </w:r>
      <w:r>
        <w:rPr>
          <w:rFonts w:ascii="Times New Roman" w:hAnsi="Times New Roman"/>
          <w:b/>
          <w:noProof/>
          <w:sz w:val="24"/>
        </w:rPr>
        <w:t>Käynnissä olevat toimet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Eri vaiheissa olevia toimia jatketaan edelleen useiden tunnis</w:t>
      </w:r>
      <w:r>
        <w:rPr>
          <w:rFonts w:ascii="Times New Roman" w:hAnsi="Times New Roman"/>
          <w:noProof/>
          <w:sz w:val="24"/>
        </w:rPr>
        <w:t>tettujen ensisijaisten tuoteryhmien kohdalla tämän työsuunnitelman hyväksymishetkellä. Seuraavassa taulukossa esitetään katsaus käynnissä oleviin toimiin sekä, mikäli mahdollista, säästöihin, joita niiden odotetaan tuottavan</w:t>
      </w:r>
      <w:r>
        <w:rPr>
          <w:rStyle w:val="FootnoteReference"/>
          <w:rFonts w:ascii="Times New Roman" w:hAnsi="Times New Roman"/>
          <w:noProof/>
          <w:sz w:val="24"/>
        </w:rPr>
        <w:footnoteReference w:id="10"/>
      </w:r>
      <w:r>
        <w:rPr>
          <w:noProof/>
        </w:rPr>
        <w:t>.</w:t>
      </w:r>
    </w:p>
    <w:p w:rsidR="00FE17FF" w:rsidRDefault="00F27AE1">
      <w:pPr>
        <w:spacing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Komissio hyväksyy tämän työsu</w:t>
      </w:r>
      <w:r>
        <w:rPr>
          <w:rFonts w:ascii="Times New Roman" w:hAnsi="Times New Roman"/>
          <w:noProof/>
          <w:sz w:val="24"/>
        </w:rPr>
        <w:t>unnitelman yhteydessä seuraavat toimenpiteet, joiden energiansäästöpotentiaalin arvioidaan olevan yli 100 terawattituntia vuotuisessa primäärienergiankulutuksessa vuoteen 2030 mennessä:</w:t>
      </w:r>
    </w:p>
    <w:p w:rsidR="00FE17FF" w:rsidRDefault="00F27AE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ilmalämmitys- ja jäähdytystuotteisiin liittyvä ekosuunnittelutoimenpid</w:t>
      </w:r>
      <w:r>
        <w:rPr>
          <w:rFonts w:ascii="Times New Roman" w:hAnsi="Times New Roman"/>
          <w:noProof/>
          <w:sz w:val="24"/>
        </w:rPr>
        <w:t>e</w:t>
      </w:r>
      <w:r>
        <w:rPr>
          <w:rStyle w:val="FootnoteReference"/>
          <w:rFonts w:ascii="Times New Roman" w:hAnsi="Times New Roman"/>
          <w:noProof/>
          <w:sz w:val="24"/>
        </w:rPr>
        <w:footnoteReference w:id="11"/>
      </w:r>
      <w:r>
        <w:rPr>
          <w:rFonts w:ascii="Times New Roman" w:hAnsi="Times New Roman"/>
          <w:noProof/>
          <w:sz w:val="24"/>
        </w:rPr>
        <w:t xml:space="preserve"> </w:t>
      </w:r>
    </w:p>
    <w:p w:rsidR="00FE17FF" w:rsidRDefault="00F27AE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tarkastuksissa sallittuihin poikkeamiin liittyvä ekosuunnittelutoimenpide</w:t>
      </w:r>
      <w:r>
        <w:rPr>
          <w:rStyle w:val="FootnoteReference"/>
          <w:rFonts w:ascii="Times New Roman" w:hAnsi="Times New Roman"/>
          <w:noProof/>
          <w:sz w:val="24"/>
        </w:rPr>
        <w:footnoteReference w:id="12"/>
      </w:r>
      <w:r>
        <w:rPr>
          <w:rFonts w:ascii="Times New Roman" w:hAnsi="Times New Roman"/>
          <w:noProof/>
          <w:sz w:val="24"/>
        </w:rPr>
        <w:t xml:space="preserve"> ja energiamerkintätoimenpide</w:t>
      </w:r>
      <w:r>
        <w:rPr>
          <w:rStyle w:val="FootnoteReference"/>
          <w:rFonts w:ascii="Times New Roman" w:hAnsi="Times New Roman"/>
          <w:noProof/>
          <w:sz w:val="24"/>
        </w:rPr>
        <w:footnoteReference w:id="13"/>
      </w:r>
      <w:r>
        <w:rPr>
          <w:rFonts w:ascii="Times New Roman" w:hAnsi="Times New Roman"/>
          <w:noProof/>
          <w:sz w:val="24"/>
        </w:rPr>
        <w:t>, joilla parannetaan tuotteiden testausta ja vähennetään huijausmahdollisuutta</w:t>
      </w:r>
    </w:p>
    <w:p w:rsidR="00FE17FF" w:rsidRDefault="00F27AE1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itsesääntelytoimista annettu suositus</w:t>
      </w:r>
      <w:r>
        <w:rPr>
          <w:rStyle w:val="FootnoteReference"/>
          <w:rFonts w:ascii="Times New Roman" w:hAnsi="Times New Roman"/>
          <w:noProof/>
          <w:sz w:val="24"/>
        </w:rPr>
        <w:footnoteReference w:id="14"/>
      </w:r>
      <w:r>
        <w:rPr>
          <w:rFonts w:ascii="Times New Roman" w:hAnsi="Times New Roman"/>
          <w:noProof/>
          <w:sz w:val="24"/>
        </w:rPr>
        <w:t>, joka tarjoaa opastusta toimia</w:t>
      </w:r>
      <w:r>
        <w:rPr>
          <w:rFonts w:ascii="Times New Roman" w:hAnsi="Times New Roman"/>
          <w:noProof/>
          <w:sz w:val="24"/>
        </w:rPr>
        <w:t>lan tukemiseksi sääntelylle vaihtoehtoisten vapaaehtoisten sopimusten jatkamisessa.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Käynnissä on myös muita toimia, jotka esitellään alla olevassa taulukossa: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4080"/>
        <w:gridCol w:w="1992"/>
      </w:tblGrid>
      <w:tr w:rsidR="00FE17FF">
        <w:trPr>
          <w:trHeight w:val="42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</w:pPr>
            <w:r>
              <w:rPr>
                <w:rFonts w:ascii="Times New Roman" w:hAnsi="Times New Roman"/>
                <w:b/>
                <w:noProof/>
              </w:rPr>
              <w:t>Toimenpide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</w:pPr>
            <w:r>
              <w:rPr>
                <w:rFonts w:ascii="Times New Roman" w:hAnsi="Times New Roman"/>
                <w:b/>
                <w:noProof/>
              </w:rPr>
              <w:t>Tila</w:t>
            </w:r>
            <w:r>
              <w:rPr>
                <w:noProof/>
              </w:rPr>
              <w:tab/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</w:pPr>
            <w:r>
              <w:rPr>
                <w:rFonts w:ascii="Times New Roman" w:hAnsi="Times New Roman"/>
                <w:b/>
                <w:noProof/>
              </w:rPr>
              <w:t>Odotetut primäärienergian säästöt vuoteen 2030 mennessä</w:t>
            </w:r>
            <w:r>
              <w:rPr>
                <w:rStyle w:val="FootnoteReference"/>
                <w:rFonts w:ascii="Times New Roman" w:hAnsi="Times New Roman"/>
                <w:b/>
                <w:noProof/>
              </w:rPr>
              <w:footnoteReference w:id="15"/>
            </w:r>
            <w:r>
              <w:rPr>
                <w:rFonts w:ascii="Times New Roman" w:hAnsi="Times New Roman"/>
                <w:b/>
                <w:noProof/>
              </w:rPr>
              <w:t xml:space="preserve"> (mikäli mahdollista muodossa terawattituntia/vuodessa)</w:t>
            </w:r>
          </w:p>
        </w:tc>
      </w:tr>
      <w:tr w:rsidR="00FE17FF">
        <w:trPr>
          <w:trHeight w:val="644"/>
          <w:tblHeader/>
        </w:trPr>
        <w:tc>
          <w:tcPr>
            <w:tcW w:w="3000" w:type="dxa"/>
            <w:shd w:val="clear" w:color="auto" w:fill="FFFFFF"/>
            <w:hideMark/>
          </w:tcPr>
          <w:p w:rsidR="00FE17FF" w:rsidRDefault="00F27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Kaupalliset jäähdytyslaitteet 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  <w:br/>
            </w:r>
          </w:p>
        </w:tc>
        <w:tc>
          <w:tcPr>
            <w:tcW w:w="4080" w:type="dxa"/>
            <w:shd w:val="clear" w:color="auto" w:fill="FFFFFF"/>
            <w:hideMark/>
          </w:tcPr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2.7.2014</w:t>
            </w:r>
          </w:p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suoritettu</w:t>
            </w:r>
          </w:p>
        </w:tc>
        <w:tc>
          <w:tcPr>
            <w:tcW w:w="1992" w:type="dxa"/>
            <w:shd w:val="clear" w:color="auto" w:fill="FFFFFF"/>
            <w:hideMark/>
          </w:tcPr>
          <w:p w:rsidR="00FE17FF" w:rsidRDefault="00F27AE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48 </w:t>
            </w:r>
          </w:p>
        </w:tc>
      </w:tr>
      <w:tr w:rsidR="00FE17FF">
        <w:trPr>
          <w:trHeight w:val="668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Kompressorit 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29.9.2014</w:t>
            </w:r>
          </w:p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meneillään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5 </w:t>
            </w:r>
          </w:p>
        </w:tc>
      </w:tr>
      <w:tr w:rsidR="00FE17FF">
        <w:trPr>
          <w:trHeight w:val="34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Ikkunat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30.9.2015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meneillään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40 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(ainoastaan energiamerkintää koskevat vaatimukset)</w:t>
            </w:r>
          </w:p>
        </w:tc>
      </w:tr>
      <w:tr w:rsidR="00FE17FF">
        <w:trPr>
          <w:trHeight w:val="34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Työstökoneet ja hitsauslaitteet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6.5.2014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Vaikutustenarviointi meneillään 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9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(Vapaaehtoinen</w:t>
            </w:r>
            <w:r>
              <w:rPr>
                <w:rFonts w:ascii="Times New Roman" w:hAnsi="Times New Roman"/>
                <w:noProof/>
                <w:sz w:val="20"/>
              </w:rPr>
              <w:t xml:space="preserve"> sopimus metallintyöstökoneista, asetus hitsauslaitteista)</w:t>
            </w:r>
          </w:p>
        </w:tc>
      </w:tr>
      <w:tr w:rsidR="00FE17FF">
        <w:trPr>
          <w:trHeight w:val="34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Ammattikäyttöön tarkoitetut pesukoneet, kuivaajat ja astianpesukoneet 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29.11.2013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Standardointityö meneillään 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4</w:t>
            </w:r>
          </w:p>
        </w:tc>
      </w:tr>
      <w:tr w:rsidR="00FE17FF">
        <w:trPr>
          <w:trHeight w:val="488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Yrityspalvelimet, tiedontallennuslaitteet ja niiden </w:t>
            </w:r>
            <w:r>
              <w:rPr>
                <w:rFonts w:ascii="Times New Roman" w:hAnsi="Times New Roman"/>
                <w:b/>
                <w:noProof/>
                <w:sz w:val="20"/>
              </w:rPr>
              <w:t>lisälaitteet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Valmisteleva tutkimus saatiin valmiiksi elokuussa 2015  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Jopa 43 kaikkien tuotevaatimusten avulla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rPr>
          <w:trHeight w:val="376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Vedenkäyttöön liittyvät tuotteet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Valmisteleva tutkimus saatiin valmiiksi joulukuussa 2014 (ei vielä julkaistu) 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Jopa 70 (ja 1900 Mm</w:t>
            </w:r>
            <w:r>
              <w:rPr>
                <w:rFonts w:ascii="Times New Roman" w:hAnsi="Times New Roman"/>
                <w:noProof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noProof/>
                <w:sz w:val="20"/>
              </w:rPr>
              <w:t xml:space="preserve"> kerättyä vettä) vuoteen 2025 mennessä; jopa 17 (ja 700 Mm</w:t>
            </w:r>
            <w:r>
              <w:rPr>
                <w:rFonts w:ascii="Times New Roman" w:hAnsi="Times New Roman"/>
                <w:noProof/>
                <w:sz w:val="20"/>
                <w:vertAlign w:val="superscript"/>
              </w:rPr>
              <w:t>3</w:t>
            </w:r>
            <w:r>
              <w:rPr>
                <w:rFonts w:ascii="Times New Roman" w:hAnsi="Times New Roman"/>
                <w:noProof/>
                <w:sz w:val="20"/>
              </w:rPr>
              <w:t xml:space="preserve"> kerättyä vettä) vuoteen 2030 mennessä</w:t>
            </w:r>
          </w:p>
          <w:p w:rsidR="00FE17FF" w:rsidRDefault="00FE1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(ainoastaan energiamerkintää koskevat vaatimukset)</w:t>
            </w:r>
          </w:p>
        </w:tc>
      </w:tr>
      <w:tr w:rsidR="00FE17FF">
        <w:trPr>
          <w:trHeight w:val="328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Älylaitteet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Valmisteleva tutkimus meneillään 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  <w:tc>
          <w:tcPr>
            <w:tcW w:w="1992" w:type="dxa"/>
            <w:shd w:val="clear" w:color="auto" w:fill="FFFFFF"/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rPr>
          <w:trHeight w:val="316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Valaistuksen valvontalaitteet/valaistusjärjestelmät 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Valmisteleva tutkimus meneillään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  <w:tc>
          <w:tcPr>
            <w:tcW w:w="1992" w:type="dxa"/>
            <w:shd w:val="clear" w:color="auto" w:fill="FFFFFF"/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rPr>
          <w:trHeight w:val="46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Teollisuudessa tai laboratorioissa käytettävät uunit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Kuulemisfoorumi järjestettiin 16.5.2014 Toistaiseksi ei esitetä </w:t>
            </w:r>
            <w:r>
              <w:rPr>
                <w:rFonts w:ascii="Times New Roman" w:hAnsi="Times New Roman"/>
                <w:noProof/>
                <w:sz w:val="20"/>
              </w:rPr>
              <w:t>ekosuunnittelua/energiamerkintää koskevia asetuksia (*)</w:t>
            </w:r>
          </w:p>
          <w:p w:rsidR="00FE17FF" w:rsidRDefault="00FE17F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  <w:tc>
          <w:tcPr>
            <w:tcW w:w="1992" w:type="dxa"/>
            <w:shd w:val="clear" w:color="auto" w:fill="FFFFFF"/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rPr>
          <w:trHeight w:val="304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Voimakaapelit 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Toistaiseksi ei esitetä ekosuunnittelua/energiamerkintää koskevia asetuksia (*)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  <w:tc>
          <w:tcPr>
            <w:tcW w:w="1992" w:type="dxa"/>
            <w:shd w:val="clear" w:color="auto" w:fill="FFFFFF"/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rPr>
          <w:trHeight w:val="332"/>
          <w:tblHeader/>
        </w:trPr>
        <w:tc>
          <w:tcPr>
            <w:tcW w:w="300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Höyrykattilat </w:t>
            </w:r>
          </w:p>
        </w:tc>
        <w:tc>
          <w:tcPr>
            <w:tcW w:w="408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Toistaiseksi ei esitetä ekosuunnittelua/energiamerkintää koskevia asetuksia (*)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  <w:tc>
          <w:tcPr>
            <w:tcW w:w="1992" w:type="dxa"/>
            <w:shd w:val="clear" w:color="auto" w:fill="FFFFFF"/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</w:tbl>
    <w:p w:rsidR="00FE17FF" w:rsidRDefault="00FE17FF">
      <w:pPr>
        <w:spacing w:before="120" w:after="120" w:line="240" w:lineRule="auto"/>
        <w:jc w:val="both"/>
        <w:rPr>
          <w:rFonts w:ascii="Times New Roman" w:hAnsi="Times New Roman" w:cs="Times New Roman"/>
          <w:noProof/>
          <w:sz w:val="18"/>
        </w:rPr>
      </w:pPr>
    </w:p>
    <w:p w:rsidR="00FE17FF" w:rsidRDefault="00F27AE1">
      <w:pPr>
        <w:spacing w:before="120" w:after="12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</w:rPr>
        <w:t>(*) Selvitysten tulokset viittaavat siihen, että ekosuunnittelu (ED) ja energiamerkintä (EL) eivät ole asianmukaisimmat sääntelyvaihtoehdot kyseisten tuotteiden energiatehokkuutta koskevien kysymysten ratkaisemiseen ja että nykyinen energiansäästöpotentiaa</w:t>
      </w:r>
      <w:r>
        <w:rPr>
          <w:rFonts w:ascii="Times New Roman" w:hAnsi="Times New Roman"/>
          <w:noProof/>
          <w:sz w:val="20"/>
        </w:rPr>
        <w:t>li saavutetaan ainakin osittain jo muiden sääntelyvälineiden avulla.</w:t>
      </w:r>
    </w:p>
    <w:p w:rsidR="00FE17FF" w:rsidRDefault="00FE17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E17FF" w:rsidRDefault="00F27AE1">
      <w:pPr>
        <w:keepNext/>
        <w:numPr>
          <w:ilvl w:val="1"/>
          <w:numId w:val="0"/>
        </w:numPr>
        <w:tabs>
          <w:tab w:val="num" w:pos="850"/>
        </w:tabs>
        <w:spacing w:before="120" w:after="120" w:line="240" w:lineRule="auto"/>
        <w:ind w:left="850" w:hanging="850"/>
        <w:jc w:val="both"/>
        <w:outlineLvl w:val="1"/>
        <w:rPr>
          <w:rFonts w:ascii="Times New Roman" w:eastAsia="Times New Roman" w:hAnsi="Times New Roman" w:cs="Times New Roman"/>
          <w:b/>
          <w:bCs/>
          <w:iCs/>
          <w:noProof/>
          <w:sz w:val="24"/>
          <w:szCs w:val="28"/>
        </w:rPr>
      </w:pPr>
      <w:r>
        <w:rPr>
          <w:rFonts w:ascii="Times New Roman" w:hAnsi="Times New Roman"/>
          <w:b/>
          <w:noProof/>
          <w:sz w:val="24"/>
        </w:rPr>
        <w:t>3.3.</w:t>
      </w:r>
      <w:r>
        <w:rPr>
          <w:noProof/>
        </w:rPr>
        <w:tab/>
      </w:r>
      <w:r>
        <w:rPr>
          <w:rFonts w:ascii="Times New Roman" w:hAnsi="Times New Roman"/>
          <w:b/>
          <w:noProof/>
          <w:sz w:val="24"/>
        </w:rPr>
        <w:t>Uudelleentarkastelu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Useimpiin tähän mennessä hyväksyttyihin ekosuunnitteluun ja energiamerkintään liittyviin täytäntöönpanotoimenpiteisiin sisältyy tarkistuslausekkeita, jotka on pa</w:t>
      </w:r>
      <w:r>
        <w:rPr>
          <w:rFonts w:ascii="Times New Roman" w:hAnsi="Times New Roman"/>
          <w:noProof/>
          <w:sz w:val="24"/>
        </w:rPr>
        <w:t>ntava täytäntöön lähivuosina. Seuraavassa taulukossa esitetään yhtenäinen yleiskatsaus asetuksista, joita on tarkasteltava uudelleen ennen vuoden 2019 loppua. Taulukossa esitetään arviot myös energiansäästöpotentiaalista ja resurssien säästöpotentiaalista,</w:t>
      </w:r>
      <w:r>
        <w:rPr>
          <w:rFonts w:ascii="Times New Roman" w:hAnsi="Times New Roman"/>
          <w:noProof/>
          <w:sz w:val="24"/>
        </w:rPr>
        <w:t xml:space="preserve"> mikäli mahdollista.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Tarkastelujen aikana komissio tutkii myös sitä, miten kiertotalouteen liittyviä näkökohtia, kuten resurssitehokkuutta, korjattavuutta, kierrätettävyyttä ja kestävyyttä, voidaan arvioida ja ottaa huomioon voimassa olevia toimenpiteitä t</w:t>
      </w:r>
      <w:r>
        <w:rPr>
          <w:rFonts w:ascii="Times New Roman" w:hAnsi="Times New Roman"/>
          <w:noProof/>
          <w:sz w:val="24"/>
        </w:rPr>
        <w:t>arkistettaessa.</w:t>
      </w:r>
    </w:p>
    <w:p w:rsidR="00FE17FF" w:rsidRDefault="00FE17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E17FF" w:rsidRDefault="00FE17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tbl>
      <w:tblPr>
        <w:tblW w:w="9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360"/>
        <w:gridCol w:w="1992"/>
        <w:gridCol w:w="48"/>
      </w:tblGrid>
      <w:tr w:rsidR="00FE17FF">
        <w:trPr>
          <w:trHeight w:val="381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FF" w:rsidRDefault="00F27AE1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Toimenpide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7FF" w:rsidRDefault="00F27AE1">
            <w:p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Tila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tabs>
                <w:tab w:val="left" w:pos="72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Odotetut primäärienergian säästöt vuoteen 2030 mennessä (mikäli mahdollista muodossa terawattituntia/vuodessa)</w:t>
            </w:r>
          </w:p>
        </w:tc>
      </w:tr>
      <w:tr w:rsidR="00FE17FF">
        <w:trPr>
          <w:gridAfter w:val="1"/>
          <w:wAfter w:w="48" w:type="dxa"/>
          <w:trHeight w:val="680"/>
          <w:tblHeader/>
        </w:trPr>
        <w:tc>
          <w:tcPr>
            <w:tcW w:w="3720" w:type="dxa"/>
            <w:shd w:val="clear" w:color="auto" w:fill="FFFFFF"/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Televisiovastaanottimet (uudelleentarkastelu) ja elektroniset näytöt</w:t>
            </w:r>
          </w:p>
        </w:tc>
        <w:tc>
          <w:tcPr>
            <w:tcW w:w="3360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Kuulemisfoorumi järjestettiin 10.12.2014</w:t>
            </w:r>
          </w:p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Sisäinen lausuntokierros on saatu päätökseen</w:t>
            </w:r>
          </w:p>
          <w:p w:rsidR="00FE17FF" w:rsidRDefault="00F27AE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Maailmankauppajärjestölle tehtävä ilmoitusmenettely meneillään</w:t>
            </w:r>
          </w:p>
        </w:tc>
        <w:tc>
          <w:tcPr>
            <w:tcW w:w="1992" w:type="dxa"/>
            <w:shd w:val="clear" w:color="auto" w:fill="FFFFFF"/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83 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rPr>
          <w:trHeight w:val="5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Ulkoiset virtalähteet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Kuulemisfoorumi järjestettiin 29.4.2015 Säännökset on tarkoitus mukauttaa </w:t>
            </w:r>
            <w:r>
              <w:rPr>
                <w:rFonts w:ascii="Times New Roman" w:hAnsi="Times New Roman"/>
                <w:noProof/>
                <w:sz w:val="20"/>
              </w:rPr>
              <w:t>Yhdysvaltojen uusiin sääntöihin.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6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Sähkömoottorit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Selvitys valmistui heinäkuussa 2014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75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Tuulettimet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Selvitys valmistui maaliskuussa 2015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25</w:t>
            </w:r>
          </w:p>
        </w:tc>
      </w:tr>
      <w:tr w:rsidR="00FE17FF">
        <w:trPr>
          <w:trHeight w:val="506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Valaistustuotteet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Selvitys valmistui joulukuussa</w:t>
            </w:r>
            <w:r>
              <w:rPr>
                <w:rFonts w:ascii="Times New Roman" w:hAnsi="Times New Roman"/>
                <w:noProof/>
                <w:sz w:val="20"/>
              </w:rPr>
              <w:t xml:space="preserve"> 2015</w:t>
            </w:r>
          </w:p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Vaikutustenarviointi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125</w:t>
            </w:r>
          </w:p>
        </w:tc>
      </w:tr>
      <w:tr w:rsidR="00FE17FF">
        <w:trPr>
          <w:trHeight w:val="272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Kotitalouksien jääkaapit ja pakastimet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13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Astianpesukoneet ja pesukoneet, mukaan lukien kuivaavat pesukoneet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11</w:t>
            </w:r>
          </w:p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Sähköisten ja elektronisten kotitalous- ja toimistolaitteiden valmiustilan ja pois päältä -tilan sähkönkulutus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Vesipumput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Vedenlämmittimet ja </w:t>
            </w:r>
            <w:r>
              <w:rPr>
                <w:rFonts w:ascii="Times New Roman" w:hAnsi="Times New Roman"/>
                <w:b/>
                <w:noProof/>
                <w:sz w:val="20"/>
              </w:rPr>
              <w:t>kuumavesisäiliöt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Tiettyjen vaatimusten uudelleentarkastelu syyskuuhun 2016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Pölynimurit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Tiettyjen kestävyyttä koskevien vaatimusten uudelleentarkastelu syyskuuhun 2016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Tietokoneet ja tietokonepalvelimet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Kiertopumput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meneillään</w:t>
            </w:r>
          </w:p>
          <w:p w:rsidR="00FE17FF" w:rsidRDefault="00FE17FF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Huoneilmastointilaitteet ja huonetuulettimet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huhtikuuhun 2017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Muuntajat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kesäkuuhun 2017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Kuivausrummut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touko-/marraskuuhun 2017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Huomattava resurssien säästöpotentiaali</w:t>
            </w: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Pölynimurit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elokuuhun 2018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Kiinteän polttoaineen kattilat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 xml:space="preserve">Kolmannen osapuolen tekemää sertifiointia koskevien erityisvaatimusten </w:t>
            </w:r>
            <w:r>
              <w:rPr>
                <w:rFonts w:ascii="Times New Roman" w:hAnsi="Times New Roman"/>
                <w:noProof/>
                <w:sz w:val="20"/>
              </w:rPr>
              <w:t>uudelleentarkastelu elokuuhun 2018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Kiinteää polttoainetta käyttävät paikalliset tilalämmittimet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Kolmannen osapuolen tekemää sertifiointia koskevien erityisvaatimusten uudelleentarkastelu elokuuhun 2018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Tila- ja vedenlämmittimet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</w:t>
            </w:r>
            <w:r>
              <w:rPr>
                <w:rFonts w:ascii="Times New Roman" w:hAnsi="Times New Roman"/>
                <w:noProof/>
                <w:sz w:val="20"/>
              </w:rPr>
              <w:t>eentarkastelu syyskuuhun 2018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 xml:space="preserve">Paikalliset tilalämmittimet 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tammikuuhun 2019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  <w:tr w:rsidR="00FE17F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</w:rPr>
              <w:t>Ilmanvaihtoyksiköt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27AE1">
            <w:pPr>
              <w:spacing w:after="12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t>Uudelleentarkastelu joulukuuhun 2019 mennessä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7FF" w:rsidRDefault="00FE17F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0"/>
                <w:szCs w:val="24"/>
              </w:rPr>
            </w:pPr>
          </w:p>
        </w:tc>
      </w:tr>
    </w:tbl>
    <w:p w:rsidR="00FE17FF" w:rsidRDefault="00F27AE1">
      <w:pPr>
        <w:pStyle w:val="Heading1"/>
        <w:ind w:left="709" w:hanging="709"/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t>4.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Ohjeellinen luettelo vuosien 2016–2019 työsuunnitelmaan sisältyvistä</w:t>
      </w:r>
      <w:r>
        <w:rPr>
          <w:rFonts w:ascii="Times New Roman" w:hAnsi="Times New Roman"/>
          <w:smallCaps/>
          <w:noProof/>
          <w:color w:val="auto"/>
          <w:sz w:val="24"/>
        </w:rPr>
        <w:t xml:space="preserve"> uusista tuoteryhmistä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Tätä työsuunnitelmaa valmistellessaan komissio käynnisti tutkimuksen sellaisten uusien energiaan liittyvien tuoteryhmien tunnistamiseksi, jotka tarjoavat huomattavia energiansäästömahdollisuuksia ja joita ei huomioitu siirtymäkauden </w:t>
      </w:r>
      <w:r>
        <w:rPr>
          <w:rFonts w:ascii="Times New Roman" w:hAnsi="Times New Roman"/>
          <w:noProof/>
          <w:sz w:val="24"/>
        </w:rPr>
        <w:t>tai aikaisemmissa työsuunnitelmissa. Tätä työsuunnitelmaluonnosta tarkistettiin myöhemmin kiertotaloutta koskevan työsuunnitelman valossa.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Tutkimuksessa arvioitiin kvantitatiivisesti kunkin tuoteryhmän kokonaisenergiatehokkuuden parantamisesta johtuvia ene</w:t>
      </w:r>
      <w:r>
        <w:rPr>
          <w:rFonts w:ascii="Times New Roman" w:hAnsi="Times New Roman"/>
          <w:noProof/>
          <w:sz w:val="24"/>
        </w:rPr>
        <w:t>rgiansäästömahdollisuuksia. Myös muut ekologista suunnittelua koskevassa direktiivissä mainitut ympäristövaikutukset</w:t>
      </w:r>
      <w:r>
        <w:rPr>
          <w:rFonts w:ascii="Times New Roman" w:hAnsi="Times New Roman"/>
          <w:noProof/>
          <w:sz w:val="24"/>
          <w:vertAlign w:val="superscript"/>
        </w:rPr>
        <w:footnoteReference w:id="16"/>
      </w:r>
      <w:r>
        <w:rPr>
          <w:rFonts w:ascii="Times New Roman" w:hAnsi="Times New Roman"/>
          <w:noProof/>
          <w:sz w:val="24"/>
        </w:rPr>
        <w:t xml:space="preserve"> arvioitiin kvalitatiivisesti kiertotalouden näkökulmasta. Lisäksi arvioitiin sitä, miten voimassa oleva lainsäädäntö kattaa kyseiset ympär</w:t>
      </w:r>
      <w:r>
        <w:rPr>
          <w:rFonts w:ascii="Times New Roman" w:hAnsi="Times New Roman"/>
          <w:noProof/>
          <w:sz w:val="24"/>
        </w:rPr>
        <w:t>istövaikutukset. Tutkimuksen eri tehtäviin liittyvät loppukertomukset ovat saatavilla aihekohtaisilla verkkosivustoilla</w:t>
      </w:r>
      <w:r>
        <w:rPr>
          <w:rFonts w:ascii="Times New Roman" w:hAnsi="Times New Roman"/>
          <w:noProof/>
          <w:sz w:val="24"/>
          <w:vertAlign w:val="superscript"/>
        </w:rPr>
        <w:footnoteReference w:id="17"/>
      </w:r>
      <w:r>
        <w:rPr>
          <w:rFonts w:ascii="Times New Roman" w:hAnsi="Times New Roman"/>
          <w:noProof/>
          <w:sz w:val="24"/>
        </w:rPr>
        <w:t>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Tätä työsuunnitelmaa ja ohjeellista tuoteryhmäluetteloa laatiessaan komissio on kuullut kuulemisfoorumia jäsenvaltioiden edustajien ja</w:t>
      </w:r>
      <w:r>
        <w:rPr>
          <w:rFonts w:ascii="Times New Roman" w:hAnsi="Times New Roman"/>
          <w:noProof/>
          <w:sz w:val="24"/>
        </w:rPr>
        <w:t xml:space="preserve"> sidosryhmien näkökantojen huomioon ottamiseksi, kuten ekologista suunnittelua koskevan direktiivin 18 artiklassa edellytetään</w:t>
      </w:r>
      <w:r>
        <w:rPr>
          <w:rFonts w:ascii="Times New Roman" w:hAnsi="Times New Roman"/>
          <w:noProof/>
          <w:sz w:val="24"/>
          <w:vertAlign w:val="superscript"/>
        </w:rPr>
        <w:footnoteReference w:id="18"/>
      </w:r>
      <w:r>
        <w:rPr>
          <w:rFonts w:ascii="Times New Roman" w:hAnsi="Times New Roman"/>
          <w:noProof/>
          <w:sz w:val="24"/>
        </w:rPr>
        <w:t>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Loppujen tutkimuksessa tunnistettujen energiaan liittyvien tuotteiden energiansäästöpotentiaali on eräillä tuotteilla pienempi </w:t>
      </w:r>
      <w:r>
        <w:rPr>
          <w:rFonts w:ascii="Times New Roman" w:hAnsi="Times New Roman"/>
          <w:noProof/>
          <w:sz w:val="24"/>
        </w:rPr>
        <w:t>kuin aikaisemmissa työsuunnitelmissa tunnistettujen tuotteiden. Näin ollen komissio aikoo käynnistää yhtäaikaisesti voimassa olevien asetusten uudelleentarkastelun kanssa aihekohtaisia tutkimuksia sellaisista edellä mainitussa tutkimuksessa käsitellyistä t</w:t>
      </w:r>
      <w:r>
        <w:rPr>
          <w:rFonts w:ascii="Times New Roman" w:hAnsi="Times New Roman"/>
          <w:noProof/>
          <w:sz w:val="24"/>
        </w:rPr>
        <w:t>uotteista, joiden säästöpotentiaali on suurin: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rakennusten automaatio- ja valvontajärjestelmät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sähkökattilat 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käsienkuivaamislaitteet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hissit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aurinkopaneelit ja vaihtosuuntaajat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kylmäkuljetuskontit</w:t>
      </w:r>
    </w:p>
    <w:p w:rsidR="00FE17FF" w:rsidRDefault="00F27AE1">
      <w:pPr>
        <w:numPr>
          <w:ilvl w:val="0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korkeapainepesurit</w:t>
      </w:r>
      <w:r>
        <w:rPr>
          <w:rStyle w:val="FootnoteReference"/>
          <w:rFonts w:ascii="Times New Roman" w:hAnsi="Times New Roman"/>
          <w:noProof/>
          <w:sz w:val="24"/>
        </w:rPr>
        <w:footnoteReference w:id="19"/>
      </w:r>
    </w:p>
    <w:p w:rsidR="00FE17FF" w:rsidRDefault="00FE17F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Edellä tunnistetuista tuoteryhmistä te</w:t>
      </w:r>
      <w:r>
        <w:rPr>
          <w:rFonts w:ascii="Times New Roman" w:hAnsi="Times New Roman"/>
          <w:noProof/>
          <w:sz w:val="24"/>
        </w:rPr>
        <w:t>hdään valmistelevat tutkimukset, joissa selvitetään yksityiskohtaisemmin mahdollisuudet ympäristöä säästäviin parannuksiin, mukaan lukien luvussa 5 luetellut kiertotalouteen liittyvät näkökohdat, ja tarjotaan perusteita toimintavaihtoehtojen tunnistamiseen</w:t>
      </w:r>
      <w:r>
        <w:rPr>
          <w:rFonts w:ascii="Times New Roman" w:hAnsi="Times New Roman"/>
          <w:noProof/>
          <w:sz w:val="24"/>
        </w:rPr>
        <w:t xml:space="preserve"> vastaavissa vaikutustenarvioinneissa.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Direktiivin 15 artiklan 5 kohdassa vahvistetut perusteet sitovat komissiota sellaisten mahdollisten täytäntöönpanotoimien valmistelussa, joissa vahvistetaan edellä mainittuihin energiaan liittyviin tuotteisiin sovell</w:t>
      </w:r>
      <w:r>
        <w:rPr>
          <w:rFonts w:ascii="Times New Roman" w:hAnsi="Times New Roman"/>
          <w:noProof/>
          <w:sz w:val="24"/>
        </w:rPr>
        <w:t>ettavia ekosuunnittelua tai energiamerkintää koskevia vaatimuksia. Lisäksi on huolellisesti vältettävä päällekkäisyydet kyseisiin tuotteisiin jo sovellettavien voimassa olevien EU-säädösten kanssa. Rakennusten automaattisiin ohjausjärjestelmiin liittyvää e</w:t>
      </w:r>
      <w:r>
        <w:rPr>
          <w:rFonts w:ascii="Times New Roman" w:hAnsi="Times New Roman"/>
          <w:noProof/>
          <w:sz w:val="24"/>
        </w:rPr>
        <w:t>kosuunnittelutoimenpidettä ei aiota esittää, mikäli rakennusten energiansäästöpotentiaali voidaan saavuttaa paremmin rakennusten energiatehokkuudesta annettuun direktiiviin ja/tai energiatehokkuudesta annettuun direktiivin tehtävien muutosten avulla. Turha</w:t>
      </w:r>
      <w:r>
        <w:rPr>
          <w:rFonts w:ascii="Times New Roman" w:hAnsi="Times New Roman"/>
          <w:noProof/>
          <w:sz w:val="24"/>
        </w:rPr>
        <w:t>n sääntelyn välttämiseksi ekosuunnittelutoimenpiteitä ei esitetä, mikäli suurin osa hissien energiansäästöpotentiaalista saavutetaan muiden, hissien komponenttien ekosuunnitteluun liittyvien asetusten avulla, kuten niiden sähkömoottoreita koskevan asetukse</w:t>
      </w:r>
      <w:r>
        <w:rPr>
          <w:rFonts w:ascii="Times New Roman" w:hAnsi="Times New Roman"/>
          <w:noProof/>
          <w:sz w:val="24"/>
        </w:rPr>
        <w:t xml:space="preserve">n avulla.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 xml:space="preserve">Tieto- ja viestintäteknologiatuotteille </w:t>
      </w:r>
      <w:r>
        <w:rPr>
          <w:rFonts w:ascii="Times New Roman" w:hAnsi="Times New Roman"/>
          <w:noProof/>
          <w:sz w:val="24"/>
        </w:rPr>
        <w:t>on ehdotettu aivan omaa menettelyä, jossa huomioitaisiin niiden erityisyys (ne eivät sisälly edellä mainittuihin tuoteryhmiin). Näin otettaisiin tehokkaasti huomioon myös niiden kiertotalouteen liittyvät m</w:t>
      </w:r>
      <w:r>
        <w:rPr>
          <w:rFonts w:ascii="Times New Roman" w:hAnsi="Times New Roman"/>
          <w:noProof/>
          <w:sz w:val="24"/>
        </w:rPr>
        <w:t xml:space="preserve">ahdollisuudet, jotka ovat erityisen merkittävät matka-/älypuhelimissa.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Tieto- ja viestintäteknologiatuotteiden energiansäästöpotentiaalia on hyvin vaikea arvioida luotettavasti niiden tulevaan markkinakehitykseen liittyvän epävarmuuden takia. Lisäksi tiet</w:t>
      </w:r>
      <w:r>
        <w:rPr>
          <w:rFonts w:ascii="Times New Roman" w:hAnsi="Times New Roman"/>
          <w:noProof/>
          <w:sz w:val="24"/>
        </w:rPr>
        <w:t>o- ja viestintäteknologiatuotteiden nopea kehittyminen nostaa esiin kysymyksen ekosuunnittelu-/energiamerkintäprosessien (jotka kestävät keskimäärin neljä vuotta) sopivuudesta energia- ja resurssitehokkuutta koskevien vähimmäisvaatimusten laatimisessa. Vap</w:t>
      </w:r>
      <w:r>
        <w:rPr>
          <w:rFonts w:ascii="Times New Roman" w:hAnsi="Times New Roman"/>
          <w:noProof/>
          <w:sz w:val="24"/>
        </w:rPr>
        <w:t>aaehtoiset sopimukset, jotka on hyväksytty eräiden elektroniikkatuoteryhmien (esimerkiksi kuvantamislaitteiden, pelikonsolien ja monitoimisten digisovitinten) alalla sääntelytoimille vaihtoehtoisiksi toimiksi, eivät myöskään aina ole osoittautuneet nopeamm</w:t>
      </w:r>
      <w:r>
        <w:rPr>
          <w:rFonts w:ascii="Times New Roman" w:hAnsi="Times New Roman"/>
          <w:noProof/>
          <w:sz w:val="24"/>
        </w:rPr>
        <w:t>aksi keinoksi ekologisen suunnittelun tavoitteiden saavuttamisessa  Myös EU:n ja Yhdysvaltojen välinen Energy Star -sopimus, jonka mukaan molemmilla lainkäyttöalueilla asetetaan samat vapaaehtoisuuteen perustuvat tehokkuusvaatimukset toimistolaitteille, on</w:t>
      </w:r>
      <w:r>
        <w:rPr>
          <w:rFonts w:ascii="Times New Roman" w:hAnsi="Times New Roman"/>
          <w:noProof/>
          <w:sz w:val="24"/>
        </w:rPr>
        <w:t xml:space="preserve"> arvioitava uudestaan ennen sen voimassaolon päättymistä vuonna 2018. Lopuksi tuotteiden yhä lisääntynyt yhteenliitettävyys – niin kotitalouksissa kuin eri toimialoillakin – ja älylaitteiden käyttöönotto sekä niiden vaikutus järjestelmien kokonaistehokkuut</w:t>
      </w:r>
      <w:r>
        <w:rPr>
          <w:rFonts w:ascii="Times New Roman" w:hAnsi="Times New Roman"/>
          <w:noProof/>
          <w:sz w:val="24"/>
        </w:rPr>
        <w:t xml:space="preserve">een on otettava huolellisesti huomioon.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Komissio aikookin toteuttaa yksityiskohtaisemman arvioinnin, jossa se tarkastelee mahdollisuutta liittää seuraavat tieto- ja viestintäteknologiatuotteet ekologista suunnittelua koskevaan työsuunnitelmaan:</w:t>
      </w:r>
    </w:p>
    <w:p w:rsidR="00FE17FF" w:rsidRDefault="00F27AE1">
      <w:pPr>
        <w:numPr>
          <w:ilvl w:val="0"/>
          <w:numId w:val="5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yhdyskäytä</w:t>
      </w:r>
      <w:r>
        <w:rPr>
          <w:rFonts w:ascii="Times New Roman" w:hAnsi="Times New Roman"/>
          <w:noProof/>
          <w:sz w:val="24"/>
        </w:rPr>
        <w:t>vät (kotitalouksien verkkolaitteet)</w:t>
      </w:r>
    </w:p>
    <w:p w:rsidR="00FE17FF" w:rsidRDefault="00F27AE1">
      <w:pPr>
        <w:numPr>
          <w:ilvl w:val="0"/>
          <w:numId w:val="5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matka-/älypuhelimet</w:t>
      </w:r>
    </w:p>
    <w:p w:rsidR="00FE17FF" w:rsidRDefault="00F27AE1">
      <w:pPr>
        <w:numPr>
          <w:ilvl w:val="0"/>
          <w:numId w:val="5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tukiasemat </w:t>
      </w:r>
    </w:p>
    <w:p w:rsidR="00FE17FF" w:rsidRDefault="00FE17FF">
      <w:pPr>
        <w:spacing w:before="120"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Tämä mahdollistaa parhaimman toimintatavan määrittämisen tuotteiden energiatehokkuus- ja laajempien kiertotalousnäkökohtien parantamiseksi. Opastenäyttöjä ja langattomia latauslaitteita k</w:t>
      </w:r>
      <w:r>
        <w:rPr>
          <w:rFonts w:ascii="Times New Roman" w:hAnsi="Times New Roman"/>
          <w:noProof/>
          <w:sz w:val="24"/>
        </w:rPr>
        <w:t>äsitellään meneillään olevissa, voimassa olevien televisioita ja ulkoisia virtalähteitä koskevien ekosuunnittelun täytäntöönpanotoimien uudelleentarkasteluissa.</w:t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t>5.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Kiertotalouden edistäminen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Tuotteen alkuperäinen suunnittelu vaikuttaa suurelta osin tuottee</w:t>
      </w:r>
      <w:r>
        <w:rPr>
          <w:rFonts w:ascii="Times New Roman" w:hAnsi="Times New Roman"/>
          <w:noProof/>
          <w:sz w:val="24"/>
        </w:rPr>
        <w:t>n ja sen komponenttien ja materiaalien korjaus-, uudelleenvalmistus- tai kierrätysmahdollisuuksiin. Näin ollen on erittäin tärkeää, että nämä näkökohdat otetaan huomioon mahdollisia ekosuunnitteluun liittyviä täytäntöönpanotoimenpiteitä tutkittaessa. Tähän</w:t>
      </w:r>
      <w:r>
        <w:rPr>
          <w:rFonts w:ascii="Times New Roman" w:hAnsi="Times New Roman"/>
          <w:noProof/>
          <w:sz w:val="24"/>
        </w:rPr>
        <w:t xml:space="preserve"> saakka painopiste on ollut tuotteiden energiatehokkuuden parantamisessa, vaikka direktiiviin on sen vuoden 2005 voimaantulosta asti sisältynyt myös resurssitehokkuutta koskevia säännöksiä ja esimerkiksi tiettyjen tuoteryhmien vedenkulutusta ja kestävyyttä</w:t>
      </w:r>
      <w:r>
        <w:rPr>
          <w:rFonts w:ascii="Times New Roman" w:hAnsi="Times New Roman"/>
          <w:noProof/>
          <w:sz w:val="24"/>
        </w:rPr>
        <w:t xml:space="preserve"> koskevia edellytyksiä.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Tässä uudessa työsuunnitelmassa komissio selvittää mahdollisuutta tarkempien tuotekohtaisten ja/tai horisontaalisten vaatimusten laatimiseen esimerkiksi kestävyyden (esimerkiksi tuotteen tai sen olennaisten osien vähimmäiseliniän),</w:t>
      </w:r>
      <w:r>
        <w:rPr>
          <w:rFonts w:ascii="Times New Roman" w:hAnsi="Times New Roman"/>
          <w:noProof/>
          <w:sz w:val="24"/>
        </w:rPr>
        <w:t xml:space="preserve"> korjattavuuden (esimerkiksi varaosien ja korjausoppaiden saatavuuden, korjaukseen liittyvän suunnittelun), parannettavuuden, purkamista koskevan suunnittelun (esimerkiksi tiettyjen osien poistamisen helppouden), tiedotuksen (esimerkiksi muoviosien merkint</w:t>
      </w:r>
      <w:r>
        <w:rPr>
          <w:rFonts w:ascii="Times New Roman" w:hAnsi="Times New Roman"/>
          <w:noProof/>
          <w:sz w:val="24"/>
        </w:rPr>
        <w:t xml:space="preserve">öjen) ja uudelleenkäytön ja kierrätyksen helppouden (esimerkiksi yhteensopimattomien muovien välttämisen), kasvihuonekaasujen ja muiden päästöjen alalla sekä mahdollisuutta tieteellisen perustan asettamiseen vastaavien ekosuunniteludirektiivin vaatimusten </w:t>
      </w:r>
      <w:r>
        <w:rPr>
          <w:rFonts w:ascii="Times New Roman" w:hAnsi="Times New Roman"/>
          <w:noProof/>
          <w:sz w:val="24"/>
        </w:rPr>
        <w:t xml:space="preserve">mukaisten edellytysten kehittämiseksi. Selvitys tehdään niin luvussa 4 tunnistetuista uusista tuoteryhmistä kuin luvussa 3 luetelluista voimassa olevista tuotekohtaista toimenpiteistä tulevan uudelleentarkastelun yhteydessä. Selvityksessä otetaan huomioon </w:t>
      </w:r>
      <w:r>
        <w:rPr>
          <w:rFonts w:ascii="Times New Roman" w:hAnsi="Times New Roman"/>
          <w:noProof/>
          <w:sz w:val="24"/>
        </w:rPr>
        <w:t>esitettyjen toimenpiteiden arvioidut hyödyt ja kustannukset sekä direktiivin liite II, jossa säädetään, että tuotteiden ympäristönsuojelullisen tason parantamiseen liittyvillä vaatimuksilla ei saa heikentää merkittävästi tuotteen suorituskykyä tai hyödylli</w:t>
      </w:r>
      <w:r>
        <w:rPr>
          <w:rFonts w:ascii="Times New Roman" w:hAnsi="Times New Roman"/>
          <w:noProof/>
          <w:sz w:val="24"/>
        </w:rPr>
        <w:t>syyttä kuluttajien kannalta. Kaikki vaatimukset on myös voitava varmistaa ja niiden on oltava täytäntöönpanokelpoisia.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Erityisesti olisi selvitettävä järjestelmällisemmin, miten tuotteita koskeviin asetuksiin sisältyvien materiaalitehokkuusvaatimusten kehi</w:t>
      </w:r>
      <w:r>
        <w:rPr>
          <w:rFonts w:ascii="Times New Roman" w:hAnsi="Times New Roman"/>
          <w:noProof/>
          <w:sz w:val="24"/>
        </w:rPr>
        <w:t>ttämistä voidaan parantaa. Komissio kehittää tätä tarkoitusta varten ekologiseen suunnitteluun liittyvän kiertotalouden välineistön, joka voi olla esimerkiksi opastusta, joka koskee resurssi- ja materiaalitehokkuuteen liittyvien näkökohtien sisällyttämistä</w:t>
      </w:r>
      <w:r>
        <w:rPr>
          <w:rFonts w:ascii="Times New Roman" w:hAnsi="Times New Roman"/>
          <w:noProof/>
          <w:sz w:val="24"/>
        </w:rPr>
        <w:t xml:space="preserve"> uusiin tuoteryhmiin tai voimassa olevien täytäntöönpanotoimenpiteiden tarkistamista. Perusteelliseen analyysiin perustuva välineistö tarjoaisi konkreettisia esimerkkejä siitä, kuinka edellä mainittuja näkökohtia voidaan käsitellä tuotekohtaisissa tai hori</w:t>
      </w:r>
      <w:r>
        <w:rPr>
          <w:rFonts w:ascii="Times New Roman" w:hAnsi="Times New Roman"/>
          <w:noProof/>
          <w:sz w:val="24"/>
        </w:rPr>
        <w:t xml:space="preserve">sontaalisissa vaatimuksissa.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Komissio aikoo myös parantaa metodologista perustaa sekä uusien että uudelleentarkasteltavien, tuotteita koskeviin asetuksiin sisältyvien materiaalitehokkuusvaatimusten järjestelmällisempää hyväksymistä varten. Tätä tarkoitust</w:t>
      </w:r>
      <w:r>
        <w:rPr>
          <w:rFonts w:ascii="Times New Roman" w:hAnsi="Times New Roman"/>
          <w:noProof/>
          <w:sz w:val="24"/>
        </w:rPr>
        <w:t>a varten on hyväksytty eurooppalaisille standardointiorganisaatioille esitetty standardointipyyntö materiaalitehokkuutta koskevista näkökohdista</w:t>
      </w:r>
      <w:r>
        <w:rPr>
          <w:rStyle w:val="FootnoteReference"/>
          <w:rFonts w:ascii="Times New Roman" w:hAnsi="Times New Roman"/>
          <w:noProof/>
          <w:sz w:val="24"/>
        </w:rPr>
        <w:footnoteReference w:id="20"/>
      </w:r>
      <w:r>
        <w:rPr>
          <w:rFonts w:ascii="Times New Roman" w:hAnsi="Times New Roman"/>
          <w:noProof/>
          <w:sz w:val="24"/>
        </w:rPr>
        <w:t>. Kyseinen pyyntö kattaa ensisijaisesti seuraavat näkökohdat:</w:t>
      </w:r>
    </w:p>
    <w:p w:rsidR="00FE17FF" w:rsidRDefault="00F27A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tuotteiden elinkaaren pidentäminen</w:t>
      </w:r>
    </w:p>
    <w:p w:rsidR="00FE17FF" w:rsidRDefault="00F27A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elinkaarensa p</w:t>
      </w:r>
      <w:r>
        <w:rPr>
          <w:rFonts w:ascii="Times New Roman" w:hAnsi="Times New Roman"/>
          <w:noProof/>
          <w:sz w:val="24"/>
        </w:rPr>
        <w:t>äätepisteessä olevien tuotteiden komponenttien uudelleenkäyttö- tai materiaalien kierrätysmahdollisuus</w:t>
      </w:r>
    </w:p>
    <w:p w:rsidR="00FE17FF" w:rsidRDefault="00F27AE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uusiokäytettyjen komponenttien ja/tai kierrätysmateriaalien käyttö tuotteissa.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Kyseisen standardointipyynnön perusteella laadittavat standardit ovat ylei</w:t>
      </w:r>
      <w:r>
        <w:rPr>
          <w:rFonts w:ascii="Times New Roman" w:hAnsi="Times New Roman"/>
          <w:noProof/>
          <w:sz w:val="24"/>
        </w:rPr>
        <w:t>sluonteisia ja auttavat kehittämään tuotekohtaisia ja/tai horisontaalisia standardeja, joilla tuetaan mahdollisia materiaalitehokkuusvaatimuksiin liittyviä näkökohtia, kuten korjattavuutta tai kierrätettävyyttä.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Myös parhaillaan toteutettavilla, tuotteiden</w:t>
      </w:r>
      <w:r>
        <w:rPr>
          <w:rFonts w:ascii="Times New Roman" w:hAnsi="Times New Roman"/>
          <w:noProof/>
          <w:sz w:val="24"/>
        </w:rPr>
        <w:t xml:space="preserve"> ympäristöjalanjälkeen liittyvillä toimilla pyritään samaan tavoitteeseen.</w:t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pPr>
      <w:r>
        <w:rPr>
          <w:rFonts w:ascii="Times New Roman" w:hAnsi="Times New Roman"/>
          <w:noProof/>
          <w:color w:val="auto"/>
          <w:sz w:val="24"/>
        </w:rPr>
        <w:t>6.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Markkinavalvonta ja kansainvälinen yhteistyö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On arvioitu, että markkinoilla on 10–25 prosenttia tuotteita, jotka eivät ole ekologista suunnittelua ja energiamerkintää koskevien v</w:t>
      </w:r>
      <w:r>
        <w:rPr>
          <w:rFonts w:ascii="Times New Roman" w:hAnsi="Times New Roman"/>
          <w:noProof/>
          <w:sz w:val="24"/>
        </w:rPr>
        <w:t>aatimusten mukaisia. Tämä merkitsee sitä, että noin 10 prosenttia odotetuista energiansäästöistä jää saavuttamatta. Absoluuttisesti mitattuna tämä vastaa noin 17 Mtoe:ta primaarienergiaa vuodessa. Tämä on myös kuluttajien kannalta harhaanjohtavaa ja voi ka</w:t>
      </w:r>
      <w:r>
        <w:rPr>
          <w:rFonts w:ascii="Times New Roman" w:hAnsi="Times New Roman"/>
          <w:noProof/>
          <w:sz w:val="24"/>
        </w:rPr>
        <w:t>svattaa energialaskuja. Jäsenvaltiot vastaavat markkinavalvonnasta ja, vaikka täytäntöönpanotoimenpiteitä on viime vuosina huomattavasti tehostettu, ponnisteluja on edelleen jatkettava EU:n markkinoilla olevien säännösten vastaisten tuotteiden määrän vähen</w:t>
      </w:r>
      <w:r>
        <w:rPr>
          <w:rFonts w:ascii="Times New Roman" w:hAnsi="Times New Roman"/>
          <w:noProof/>
          <w:sz w:val="24"/>
        </w:rPr>
        <w:t xml:space="preserve">tämiseksi.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Komissio on täytäntöönpanon parantamiseksi helpottanut kansallisten markkinavalvontaviranomaisten yhteistyötä ekosuunnittelua ja energiamerkintää käsittelevien hallinnollisen yhteistyön ryhmien (ADCO) puitteissa. Lisäksi komissio on tukenut aih</w:t>
      </w:r>
      <w:r>
        <w:rPr>
          <w:rFonts w:ascii="Times New Roman" w:hAnsi="Times New Roman"/>
          <w:noProof/>
          <w:sz w:val="24"/>
        </w:rPr>
        <w:t>ekohtaisia yhteisiä valvontahankkeita, kuten EU:n rahoittamaa EEpliant-hanketta, ja aikoo tehdä niin jatkossakin. Myös kohdassa 3.2 mainitut tarkastusmenettelyissä sallittujen poikkeamien käytöstä annetut komission asetukset sekä energiatehokkuusmerkinnäst</w:t>
      </w:r>
      <w:r>
        <w:rPr>
          <w:rFonts w:ascii="Times New Roman" w:hAnsi="Times New Roman"/>
          <w:noProof/>
          <w:sz w:val="24"/>
        </w:rPr>
        <w:t>ä annettavaa asetusta koskeva komission ehdotus, josta käydään parhaillaan neuvotteluja eri toimielinten välillä,</w:t>
      </w:r>
      <w:r>
        <w:rPr>
          <w:rStyle w:val="FootnoteReference"/>
          <w:rFonts w:ascii="Times New Roman" w:hAnsi="Times New Roman"/>
          <w:noProof/>
          <w:sz w:val="24"/>
        </w:rPr>
        <w:footnoteReference w:id="21"/>
      </w:r>
      <w:r>
        <w:rPr>
          <w:rFonts w:ascii="Times New Roman" w:hAnsi="Times New Roman"/>
          <w:noProof/>
          <w:sz w:val="24"/>
        </w:rPr>
        <w:t xml:space="preserve"> parantavat täytäntöönpanoa.   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Euroopan unioni on maailman johtavia energiatehokkuutta koskevien vähimmäisvaatimusten ja tuotteiden energiame</w:t>
      </w:r>
      <w:r>
        <w:rPr>
          <w:rFonts w:ascii="Times New Roman" w:hAnsi="Times New Roman"/>
          <w:noProof/>
          <w:sz w:val="24"/>
        </w:rPr>
        <w:t xml:space="preserve">rkintöjen kehittäjiä. Myös monet muut valtiot ovat ottaneet käyttöön samantapaisia lähestymistapoja ja EU:n säädökset ja A–G-energiamerkintäasteikko ovat kansainvälisesti vaikutusvaltaisia. Lisäksi Euroopan unionilla on merkittävä tehtävä kansainvälisessä </w:t>
      </w:r>
      <w:r>
        <w:rPr>
          <w:rFonts w:ascii="Times New Roman" w:hAnsi="Times New Roman"/>
          <w:noProof/>
          <w:sz w:val="24"/>
        </w:rPr>
        <w:t xml:space="preserve">standardoinnissa. </w:t>
      </w:r>
      <w:r>
        <w:rPr>
          <w:noProof/>
        </w:rPr>
        <w:tab/>
      </w:r>
      <w:r>
        <w:rPr>
          <w:rFonts w:ascii="Times New Roman" w:hAnsi="Times New Roman"/>
          <w:noProof/>
          <w:sz w:val="24"/>
        </w:rPr>
        <w:t>Edellä mainitut toimet ovat eurooppalaisten yritysten kannalta merkittäviä, sillä niillä tuetaan yhdenmukaisempia maailmanlaajuisia toimintaolosuhteita, vähennetään vaatimusten noudattamisesta aiheutuvia kustannuksia ja luodaan uusia toi</w:t>
      </w:r>
      <w:r>
        <w:rPr>
          <w:rFonts w:ascii="Times New Roman" w:hAnsi="Times New Roman"/>
          <w:noProof/>
          <w:sz w:val="24"/>
        </w:rPr>
        <w:t>mintamahdollisuuksia ulkomailla.</w:t>
      </w:r>
    </w:p>
    <w:p w:rsidR="00FE17FF" w:rsidRDefault="00F27AE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Komissio aikoo näin ollen jatkaa yhteistyötään muiden lainkäyttöalueiden kanssa standardien, testausmenetelmien ja, mikäli mahdollista, vähimmäisvaatimusten yhdenmukaistamiseksi maailmanlaajuisesti, esimerkiksi kansainvälis</w:t>
      </w:r>
      <w:r>
        <w:rPr>
          <w:rFonts w:ascii="Times New Roman" w:hAnsi="Times New Roman"/>
          <w:noProof/>
          <w:sz w:val="24"/>
        </w:rPr>
        <w:t>en standardoinnin, tuotekohtaisten sopimusten ja kaksipuolisten kauppasopimusten osana tehtävien sopimusten kautta.</w:t>
      </w:r>
    </w:p>
    <w:p w:rsidR="00F27AE1" w:rsidRDefault="00F27AE1">
      <w:pPr>
        <w:rPr>
          <w:rFonts w:ascii="Times New Roman" w:eastAsiaTheme="majorEastAsia" w:hAnsi="Times New Roman" w:cstheme="majorBidi"/>
          <w:b/>
          <w:bCs/>
          <w:smallCaps/>
          <w:noProof/>
          <w:sz w:val="24"/>
          <w:szCs w:val="28"/>
        </w:rPr>
      </w:pPr>
      <w:r>
        <w:rPr>
          <w:rFonts w:ascii="Times New Roman" w:hAnsi="Times New Roman"/>
          <w:smallCaps/>
          <w:noProof/>
          <w:sz w:val="24"/>
        </w:rPr>
        <w:br w:type="page"/>
      </w:r>
    </w:p>
    <w:p w:rsidR="00FE17FF" w:rsidRDefault="00F27AE1">
      <w:pPr>
        <w:pStyle w:val="Heading1"/>
        <w:rPr>
          <w:rFonts w:ascii="Times New Roman" w:eastAsia="Times New Roman" w:hAnsi="Times New Roman" w:cs="Times New Roman"/>
          <w:smallCaps/>
          <w:noProof/>
          <w:color w:val="auto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mallCaps/>
          <w:noProof/>
          <w:color w:val="auto"/>
          <w:sz w:val="24"/>
        </w:rPr>
        <w:t>7.</w:t>
      </w:r>
      <w:r>
        <w:rPr>
          <w:noProof/>
        </w:rPr>
        <w:tab/>
      </w:r>
      <w:r>
        <w:rPr>
          <w:rFonts w:ascii="Times New Roman" w:hAnsi="Times New Roman"/>
          <w:smallCaps/>
          <w:noProof/>
          <w:color w:val="auto"/>
          <w:sz w:val="24"/>
        </w:rPr>
        <w:t>Tulevaisuudennäkymät</w:t>
      </w:r>
    </w:p>
    <w:p w:rsidR="00FE17FF" w:rsidRDefault="00F27AE1">
      <w:pPr>
        <w:pStyle w:val="Text1"/>
        <w:ind w:left="0"/>
        <w:rPr>
          <w:noProof/>
        </w:rPr>
      </w:pPr>
      <w:r>
        <w:rPr>
          <w:noProof/>
        </w:rPr>
        <w:t>Komissio aikoo edistää seuraavia ensisijaisia tavoitteita tulevina vuosina: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 xml:space="preserve">saatetaan loppuun aikaisemmissa </w:t>
      </w:r>
      <w:r>
        <w:rPr>
          <w:noProof/>
        </w:rPr>
        <w:t>työsuunnitelmissa tunnistettuja tuotteita koskeva meneillään oleva lainsäädäntötyö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>tarkastellaan uudelleen luvussa 3 mainittuja voimassa olevia toimenpiteitä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>aloitetaan selvitykset luvussa 4 mainittujen tuoteryhmien osalta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>vahvistetaan ekologisesta suunnit</w:t>
      </w:r>
      <w:r>
        <w:rPr>
          <w:noProof/>
        </w:rPr>
        <w:t xml:space="preserve">telusta annetun direktiivin merkitystä siirtymisessä kohti kiertotaloutta 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>helpotetaan jäsenvaltioiden välistä tiiviimpää yhteistyötä markkinoiden valvonnan alalla voimassa olevien säädösten tehokkaampaa täytäntöönpanoa varten</w:t>
      </w:r>
    </w:p>
    <w:p w:rsidR="00FE17FF" w:rsidRDefault="00F27AE1">
      <w:pPr>
        <w:pStyle w:val="Point0number"/>
        <w:rPr>
          <w:noProof/>
        </w:rPr>
      </w:pPr>
      <w:r>
        <w:rPr>
          <w:noProof/>
        </w:rPr>
        <w:t>vahvistetaan yhteistyötä kans</w:t>
      </w:r>
      <w:r>
        <w:rPr>
          <w:noProof/>
        </w:rPr>
        <w:t>ainvälisten kumppanien kanssa testaus- ja mittausmenetelmien ja, mikäli mahdollista, energiatehokkuutta koskevien vähimmäisvaatimusten yhdenmukaistamisen helpottamiseksi.</w:t>
      </w:r>
    </w:p>
    <w:p w:rsidR="00FE17FF" w:rsidRDefault="00FE17FF">
      <w:pPr>
        <w:rPr>
          <w:noProof/>
        </w:rPr>
      </w:pPr>
    </w:p>
    <w:sectPr w:rsidR="00FE17F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1134" w:right="1418" w:bottom="8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7FF" w:rsidRDefault="00F27AE1">
      <w:pPr>
        <w:spacing w:after="0" w:line="240" w:lineRule="auto"/>
      </w:pPr>
      <w:r>
        <w:separator/>
      </w:r>
    </w:p>
  </w:endnote>
  <w:endnote w:type="continuationSeparator" w:id="0">
    <w:p w:rsidR="00FE17FF" w:rsidRDefault="00F2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27AE1"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FI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FI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41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E17FF" w:rsidRDefault="00F27AE1">
        <w:pPr>
          <w:pStyle w:val="Footer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FE17FF" w:rsidRDefault="00FE17FF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7FF" w:rsidRDefault="00F27AE1">
      <w:pPr>
        <w:spacing w:after="0" w:line="240" w:lineRule="auto"/>
      </w:pPr>
      <w:r>
        <w:separator/>
      </w:r>
    </w:p>
  </w:footnote>
  <w:footnote w:type="continuationSeparator" w:id="0">
    <w:p w:rsidR="00FE17FF" w:rsidRDefault="00F27AE1">
      <w:pPr>
        <w:spacing w:after="0" w:line="240" w:lineRule="auto"/>
      </w:pPr>
      <w:r>
        <w:continuationSeparator/>
      </w:r>
    </w:p>
  </w:footnote>
  <w:footnote w:id="1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Ilmasto- ja energiapolitiikan puitteet 2020 KOM(2010) 639 lopullinen</w:t>
      </w:r>
      <w:hyperlink w:history="1"/>
      <w:r>
        <w:rPr>
          <w:rFonts w:ascii="Times New Roman" w:hAnsi="Times New Roman"/>
        </w:rPr>
        <w:t>; Ilmasto- ja energiapolitiikan puitteet 2030 COM(2014) 15 lopullinen</w:t>
      </w:r>
      <w:hyperlink w:history="1"/>
      <w:r>
        <w:rPr>
          <w:rFonts w:ascii="Times New Roman" w:hAnsi="Times New Roman"/>
        </w:rPr>
        <w:t xml:space="preserve"> </w:t>
      </w:r>
    </w:p>
  </w:footnote>
  <w:footnote w:id="2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Ekologisen suunnittelun vaikutustenarviointitutkimus, VHK, 2014</w:t>
      </w:r>
    </w:p>
  </w:footnote>
  <w:footnote w:id="3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KOM(2015) 80 lopulli</w:t>
      </w:r>
      <w:r>
        <w:rPr>
          <w:rFonts w:ascii="Times New Roman" w:hAnsi="Times New Roman"/>
        </w:rPr>
        <w:t>nen</w:t>
      </w:r>
    </w:p>
  </w:footnote>
  <w:footnote w:id="4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Kiertotaloutta koskeva EU:n toimintasuunnitelma COM (2015) 614/2, hyväksytty 2.12.2015</w:t>
      </w:r>
    </w:p>
  </w:footnote>
  <w:footnote w:id="5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Voimassa olevia täytäntöönpanotoimenpiteitä koskeva katsaus on saatavilla osoitteessa: </w:t>
      </w:r>
      <w:hyperlink r:id="rId1">
        <w:r>
          <w:rPr>
            <w:rStyle w:val="Hyperlink"/>
            <w:rFonts w:ascii="Times New Roman" w:hAnsi="Times New Roman"/>
          </w:rPr>
          <w:t>https://ec.europa.eu/energy/sites/ener/files/documents/list_of_enegy_labelling_measures.pdf</w:t>
        </w:r>
      </w:hyperlink>
      <w:r>
        <w:rPr>
          <w:rFonts w:ascii="Times New Roman" w:hAnsi="Times New Roman"/>
        </w:rPr>
        <w:t xml:space="preserve"> </w:t>
      </w:r>
    </w:p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hyperlink r:id="rId2">
        <w:r>
          <w:rPr>
            <w:rStyle w:val="Hyperlink"/>
            <w:rFonts w:ascii="Times New Roman" w:hAnsi="Times New Roman"/>
          </w:rPr>
          <w:t>https://ec.europa.eu/</w:t>
        </w:r>
        <w:r>
          <w:rPr>
            <w:rStyle w:val="Hyperlink"/>
            <w:rFonts w:ascii="Times New Roman" w:hAnsi="Times New Roman"/>
          </w:rPr>
          <w:t>energy/sites/ener/files/documents/list_of_ecodesign_measures.pdf</w:t>
        </w:r>
      </w:hyperlink>
    </w:p>
  </w:footnote>
  <w:footnote w:id="6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EUVL L 191, 22.7.2005, s. 29–58</w:t>
      </w:r>
    </w:p>
  </w:footnote>
  <w:footnote w:id="7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Komission tiedonanto neuvostolle ja Euroopan parlamentille – Ekologista suunnittelua koskevan direktiivin mukaisen työsuunnitelman vahvistaminen vuosiksi 2009–2011, KOM(2008)660 lopullinen.</w:t>
      </w:r>
    </w:p>
  </w:footnote>
  <w:footnote w:id="8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</w:p>
  </w:footnote>
  <w:footnote w:id="9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3">
        <w:r>
          <w:rPr>
            <w:rStyle w:val="Hyperlink"/>
            <w:rFonts w:ascii="Times New Roman" w:hAnsi="Times New Roman"/>
          </w:rPr>
          <w:t>http://ec.europa.eu/growth/tools-databases/mandates/</w:t>
        </w:r>
      </w:hyperlink>
      <w:r>
        <w:rPr>
          <w:rFonts w:ascii="Times New Roman" w:hAnsi="Times New Roman"/>
        </w:rPr>
        <w:t xml:space="preserve"> </w:t>
      </w:r>
    </w:p>
  </w:footnote>
  <w:footnote w:id="10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Ekologisen suunnittelun tuoteryhmiin sovellettavan voimassa olevan vaikutustenarviointikäytännön lisäksi huomioidaan koko EU:n alalla sähköntuotantoon sovellettava 40 prosentin muuntotehok</w:t>
      </w:r>
      <w:r>
        <w:rPr>
          <w:rFonts w:ascii="Times New Roman" w:hAnsi="Times New Roman"/>
        </w:rPr>
        <w:t>kuus (toisin sanoen jokaista tuotettua 1 Mtoe:ta sähköä kohti tarvitaan 2,5 Mtoe primäärienergiana olevaa polttoainetta [kaasua, öljyä, hiiltä jne.], josta loppukuluttaja joutuu maksamaan).</w:t>
      </w:r>
    </w:p>
  </w:footnote>
  <w:footnote w:id="11">
    <w:p w:rsidR="00FE17FF" w:rsidRDefault="00F27AE1">
      <w:pPr>
        <w:spacing w:after="0"/>
        <w:rPr>
          <w:rFonts w:ascii="Times New Roman" w:hAnsi="Times New Roman" w:cs="Times New Roman"/>
          <w:lang w:val="pt-PT"/>
        </w:rPr>
      </w:pPr>
      <w:r>
        <w:rPr>
          <w:rStyle w:val="FootnoteReference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</w:rPr>
        <w:t xml:space="preserve"> Komission asetus energiaan liittyvien tuotteiden ekologiselle su</w:t>
      </w:r>
      <w:r>
        <w:rPr>
          <w:rFonts w:ascii="Times New Roman" w:hAnsi="Times New Roman"/>
          <w:sz w:val="20"/>
        </w:rPr>
        <w:t>unnittelulle asetettavien vaatimusten puitteista annetun Euroopan parlamentin ja neuvoston direktiivin 2009/125/EY täytäntöönpanemisesta ilmalämmitystuotteiden, jäähdytystuotteiden, korkeassa lämpötilassa käytettävien prosessijäähdytyslaitteiden ja puhalli</w:t>
      </w:r>
      <w:r>
        <w:rPr>
          <w:rFonts w:ascii="Times New Roman" w:hAnsi="Times New Roman"/>
          <w:sz w:val="20"/>
        </w:rPr>
        <w:t xml:space="preserve">nkonvektorien ekologista suunnittelua koskevien vaatimusten osalta. </w:t>
      </w:r>
      <w:r>
        <w:rPr>
          <w:rFonts w:ascii="Times New Roman" w:hAnsi="Times New Roman"/>
          <w:sz w:val="20"/>
          <w:lang w:val="pt-PT"/>
        </w:rPr>
        <w:t>[C(2016) 7769 lopullinen]</w:t>
      </w:r>
    </w:p>
  </w:footnote>
  <w:footnote w:id="12">
    <w:p w:rsidR="00FE17FF" w:rsidRDefault="00F27AE1">
      <w:pPr>
        <w:spacing w:after="0"/>
        <w:rPr>
          <w:rFonts w:ascii="Times New Roman" w:hAnsi="Times New Roman" w:cs="Times New Roman"/>
          <w:lang w:val="pt-PT"/>
        </w:rPr>
      </w:pPr>
      <w:r>
        <w:rPr>
          <w:rStyle w:val="FootnoteReference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  <w:lang w:val="pt-PT"/>
        </w:rPr>
        <w:t xml:space="preserve"> Komission asetus asetusten (EY) N:o 1275/2008, (EY) N:o 107/2009, (EY) N:o 278/2009, (EY) N:o 640/2009, (EY) N:o 641/2009, (EY) N:o 642/2009, (EY) N:o 643/2009,</w:t>
      </w:r>
      <w:r>
        <w:rPr>
          <w:rFonts w:ascii="Times New Roman" w:hAnsi="Times New Roman"/>
          <w:sz w:val="20"/>
          <w:lang w:val="pt-PT"/>
        </w:rPr>
        <w:t xml:space="preserve"> (EU) N:o 1015/2010, (EU) N:o 1016/2010, (EU) N:o 327/2011, (EU) N:o 206/2012, (EU) N:o 547/2012, (EU) N:o 932/2012, (EU) N:o 617/2013, (EU) N:o 666/2013, (EU) N:o 813/2013, (EU) N:o 814/2013, (EU) N:o 66/2014, (EU) N:o 548/2014, (EU) N:o 1253/2014, (EU) 2</w:t>
      </w:r>
      <w:r>
        <w:rPr>
          <w:rFonts w:ascii="Times New Roman" w:hAnsi="Times New Roman"/>
          <w:sz w:val="20"/>
          <w:lang w:val="pt-PT"/>
        </w:rPr>
        <w:t>015/1095, (EU) 2015/1185, (EU) 2015/1188, (EU) 2015/1189 ja (EU) 2016/XXX [C(2016) 7769 lopullinen] muuttamisesta tarkastusmenettelyissä sallittujen poikkeamien käytön osalta. [C(2016)7767 lopullinen]</w:t>
      </w:r>
    </w:p>
  </w:footnote>
  <w:footnote w:id="13">
    <w:p w:rsidR="00FE17FF" w:rsidRDefault="00F27AE1">
      <w:pPr>
        <w:spacing w:after="0"/>
        <w:rPr>
          <w:rFonts w:ascii="Times New Roman" w:hAnsi="Times New Roman" w:cs="Times New Roman"/>
          <w:lang w:val="pt-PT"/>
        </w:rPr>
      </w:pPr>
      <w:r>
        <w:rPr>
          <w:rStyle w:val="FootnoteReference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  <w:lang w:val="pt-PT"/>
        </w:rPr>
        <w:t xml:space="preserve"> Komission delegoitu asetus asetusten (EU) N:o 1059/20</w:t>
      </w:r>
      <w:r>
        <w:rPr>
          <w:rFonts w:ascii="Times New Roman" w:hAnsi="Times New Roman"/>
          <w:sz w:val="20"/>
          <w:lang w:val="pt-PT"/>
        </w:rPr>
        <w:t>10, (EU) N:o 1060/2010, (EU) N:o 1061/2010, (EU) N:o 1062/2010, (EU) N:o 626/2011, (EU) N:o 392/2012, (EU) N:o 874/2012, (EU) N:o 665/2013, (EU) N:o 811/2013, (EU) N:o 812/2013, (EU) N:o 65/2014, (EU) N:o 1254/2014, (EU) 2015/1094, (EU) 2015/1186 ja (EU) 2</w:t>
      </w:r>
      <w:r>
        <w:rPr>
          <w:rFonts w:ascii="Times New Roman" w:hAnsi="Times New Roman"/>
          <w:sz w:val="20"/>
          <w:lang w:val="pt-PT"/>
        </w:rPr>
        <w:t>015/1187 muuttamisesta tarkastusmenettelyissä sallittujen poikkeamien käytön osalta [C(2016)7765 lopullinen]</w:t>
      </w:r>
    </w:p>
  </w:footnote>
  <w:footnote w:id="14">
    <w:p w:rsidR="00FE17FF" w:rsidRDefault="00F27AE1">
      <w:pPr>
        <w:spacing w:after="0"/>
      </w:pPr>
      <w:r>
        <w:rPr>
          <w:rStyle w:val="FootnoteReference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</w:rPr>
        <w:t xml:space="preserve"> Komission suositus Euroopan parlamentin ja neuvoston direktiivin 2009/125/EY nojalla toimialan toteuttamia itsesääntelytoimia koskevista suuntavi</w:t>
      </w:r>
      <w:r>
        <w:rPr>
          <w:rFonts w:ascii="Times New Roman" w:hAnsi="Times New Roman"/>
          <w:sz w:val="20"/>
        </w:rPr>
        <w:t>ivoista. [C(2016)7770 lopullinen]</w:t>
      </w:r>
    </w:p>
  </w:footnote>
  <w:footnote w:id="15">
    <w:p w:rsidR="00FE17FF" w:rsidRDefault="00F27AE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Lukuun ottamatta vedenkäyttöön liittyviä tuotteita, joista esitetään sekä vuotta 2025 että 2030 koskevat säästöarviot</w:t>
      </w:r>
    </w:p>
  </w:footnote>
  <w:footnote w:id="16">
    <w:p w:rsidR="00FE17FF" w:rsidRDefault="00F27AE1">
      <w:pPr>
        <w:pStyle w:val="Bulletlevel2"/>
        <w:tabs>
          <w:tab w:val="clear" w:pos="567"/>
        </w:tabs>
        <w:spacing w:before="0" w:after="0" w:line="240" w:lineRule="auto"/>
        <w:ind w:left="340" w:right="0" w:hanging="340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tab/>
      </w:r>
      <w:r>
        <w:rPr>
          <w:rFonts w:ascii="Times New Roman" w:hAnsi="Times New Roman"/>
          <w:color w:val="auto"/>
        </w:rPr>
        <w:t>Mukaan lukien: vedenkulutus käyttövaiheessa; kulutushyödykkeet (esimerkiksi pesuaineet); tuotteisii</w:t>
      </w:r>
      <w:r>
        <w:rPr>
          <w:rFonts w:ascii="Times New Roman" w:hAnsi="Times New Roman"/>
          <w:color w:val="auto"/>
        </w:rPr>
        <w:t>n sisältyvät kriittiset raaka-aineet, syttymistä hidastavat aineet, pehmittimet (ftalaatit) tai muut myrkylliset aineet; tuotteisiin sisältyvät F-kaasut; säteily; turvallisuus (polttoainevuodot, tärinä jne.); terveys (hygienia, melutasot jne.); kestävyys (</w:t>
      </w:r>
      <w:r>
        <w:rPr>
          <w:rFonts w:ascii="Times New Roman" w:hAnsi="Times New Roman"/>
          <w:color w:val="auto"/>
        </w:rPr>
        <w:t>uudelleenkäytettävyys, parannettavuus, korjattavuus jne.); käyttöiän loppu (kierrätettävyys, kierrätettävä sisältö); ja suorat päästöt ilmaan, veteen ja maaperään.</w:t>
      </w:r>
    </w:p>
  </w:footnote>
  <w:footnote w:id="17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Katso: </w:t>
      </w:r>
      <w:hyperlink r:id="rId4">
        <w:r>
          <w:rPr>
            <w:rStyle w:val="Hyperlink"/>
            <w:rFonts w:ascii="Times New Roman" w:hAnsi="Times New Roman"/>
          </w:rPr>
          <w:t>http://www.ecodesign-wp3.eu/documents</w:t>
        </w:r>
      </w:hyperlink>
      <w:r>
        <w:rPr>
          <w:rFonts w:ascii="Times New Roman" w:hAnsi="Times New Roman"/>
        </w:rPr>
        <w:t xml:space="preserve"> </w:t>
      </w:r>
    </w:p>
  </w:footnote>
  <w:footnote w:id="18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  Ekologista suunnittelua koskeva kuulemisfoorumi järjestettiin 28.10.2015</w:t>
      </w:r>
    </w:p>
  </w:footnote>
  <w:footnote w:id="19">
    <w:p w:rsidR="00FE17FF" w:rsidRDefault="00F27AE1">
      <w:pPr>
        <w:pStyle w:val="ListParagraph"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  <w:rFonts w:ascii="Times New Roman" w:hAnsi="Times New Roman"/>
          <w:sz w:val="20"/>
        </w:rPr>
        <w:footnoteRef/>
      </w:r>
      <w:r>
        <w:rPr>
          <w:rFonts w:ascii="Times New Roman" w:hAnsi="Times New Roman"/>
          <w:sz w:val="20"/>
        </w:rPr>
        <w:t xml:space="preserve">    Mahdollisista toimintavaihtoehdoista käyttöön aiotaan ottaa ainoastaan energiamerkintä, sillä ekosuunnitteluvaihtoehdon käyttöönottami</w:t>
      </w:r>
      <w:r>
        <w:rPr>
          <w:rFonts w:ascii="Times New Roman" w:hAnsi="Times New Roman"/>
          <w:sz w:val="20"/>
        </w:rPr>
        <w:t>nen ei vaikuta aiheelliselta energiansäästöpotentiaalin perusteella.</w:t>
      </w:r>
    </w:p>
    <w:p w:rsidR="00FE17FF" w:rsidRDefault="00FE17FF">
      <w:pPr>
        <w:pStyle w:val="FootnoteText"/>
      </w:pPr>
    </w:p>
  </w:footnote>
  <w:footnote w:id="20">
    <w:p w:rsidR="00FE17FF" w:rsidRDefault="00F27AE1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Komission päätös C(2015) 9096, hyväksytty 17.12.2015.</w:t>
      </w:r>
    </w:p>
  </w:footnote>
  <w:footnote w:id="21">
    <w:p w:rsidR="00FE17FF" w:rsidRDefault="00F27AE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KOM(2015) 341 lopullinen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7FF" w:rsidRDefault="00FE17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CBE"/>
    <w:multiLevelType w:val="hybridMultilevel"/>
    <w:tmpl w:val="44C4A5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E15D2C"/>
    <w:multiLevelType w:val="hybridMultilevel"/>
    <w:tmpl w:val="72849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AF0B85"/>
    <w:multiLevelType w:val="hybridMultilevel"/>
    <w:tmpl w:val="57D26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76C74"/>
    <w:multiLevelType w:val="multilevel"/>
    <w:tmpl w:val="CC8EDB14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4">
    <w:nsid w:val="32EF338B"/>
    <w:multiLevelType w:val="hybridMultilevel"/>
    <w:tmpl w:val="45982FE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AC60331"/>
    <w:multiLevelType w:val="hybridMultilevel"/>
    <w:tmpl w:val="296C7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55DA5"/>
    <w:multiLevelType w:val="hybridMultilevel"/>
    <w:tmpl w:val="7C6CC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DE2120"/>
    <w:multiLevelType w:val="hybridMultilevel"/>
    <w:tmpl w:val="F2CC10E0"/>
    <w:lvl w:ilvl="0" w:tplc="F1C22D5E">
      <w:start w:val="16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471086"/>
    <w:multiLevelType w:val="hybridMultilevel"/>
    <w:tmpl w:val="530EB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03F38"/>
    <w:multiLevelType w:val="hybridMultilevel"/>
    <w:tmpl w:val="EEACD46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63FEC"/>
    <w:multiLevelType w:val="hybridMultilevel"/>
    <w:tmpl w:val="EA22A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FigNum" w:val="1"/>
    <w:docVar w:name="LW_CONFIDENCE" w:val=" "/>
    <w:docVar w:name="LW_CONST_RESTREINT_UE" w:val="RESTREINT UE"/>
    <w:docVar w:name="LW_CORRIGENDUM" w:val="&lt;UNUSED&gt;"/>
    <w:docVar w:name="LW_COVERPAGE_GUID" w:val="DF264FE175B5459084E79339CFC30705"/>
    <w:docVar w:name="LW_CROSSREFERENCE" w:val="&lt;UNUSED&gt;"/>
    <w:docVar w:name="LW_DocType" w:val="NORMAL"/>
    <w:docVar w:name="LW_EMISSION" w:val="30.11.2016"/>
    <w:docVar w:name="LW_EMISSION_ISODATE" w:val="2016-11-30"/>
    <w:docVar w:name="LW_EMISSION_LOCATION" w:val="BRX"/>
    <w:docVar w:name="LW_EMISSION_PREFIX" w:val="Bryssel "/>
    <w:docVar w:name="LW_EMISSION_SUFFIX" w:val=" "/>
    <w:docVar w:name="LW_ID_DOCTYPE_NONLW" w:val="CP-001"/>
    <w:docVar w:name="LW_LANGUE" w:val="FI"/>
    <w:docVar w:name="LW_MARKING" w:val="&lt;UNUSED&gt;"/>
    <w:docVar w:name="LW_NOM.INST" w:val="EUROOPAN KOMISSIO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16) 773"/>
    <w:docVar w:name="LW_REF.INTERNE" w:val="&lt;UNUSED&gt;"/>
    <w:docVar w:name="LW_SOUS.TITRE.OBJ.CP" w:val="&lt;UNUSED&gt;"/>
    <w:docVar w:name="LW_SUPERTITRE" w:val="&lt;UNUSED&gt;"/>
    <w:docVar w:name="LW_TITRE.OBJ.CP" w:val="Ekologista suunnittelua koskeva työsuunnitelma vuosiksi 2016\u8211?2019"/>
    <w:docVar w:name="LW_TYPE.DOC.CP" w:val="KOMISSION TIEDONANTO"/>
    <w:docVar w:name="LW_TYPE.DOC.CP.USERTEXT" w:val="&lt;EMPTY&gt;"/>
  </w:docVars>
  <w:rsids>
    <w:rsidRoot w:val="00FE17FF"/>
    <w:rsid w:val="00F27AE1"/>
    <w:rsid w:val="00F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fi-FI" w:bidi="fi-F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aliases w:val="SUPERS,Footnote symbol,Times 10 Point,Exposant 3 Point,Footnote,BVI fnr, Exposant 3 Point, BVI fnr,Footnote Reference Superscript,-E Fußnotenzeichen,number,stylish,Source Reference,Footnote reference number,note TESI,Ref,de nota al pi"/>
    <w:uiPriority w:val="99"/>
    <w:rPr>
      <w:shd w:val="clear" w:color="auto" w:fill="auto"/>
      <w:vertAlign w:val="superscript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Pr>
      <w:rFonts w:cs="Times New Roman"/>
      <w:color w:val="1756BD"/>
      <w:u w:val="none"/>
      <w:effect w:val="none"/>
      <w:shd w:val="clear" w:color="auto" w:fill="auto"/>
    </w:rPr>
  </w:style>
  <w:style w:type="paragraph" w:customStyle="1" w:styleId="Bulletlevel2">
    <w:name w:val="Bullet level 2"/>
    <w:basedOn w:val="Normal"/>
    <w:link w:val="Bulletlevel2Char"/>
    <w:qFormat/>
    <w:pPr>
      <w:tabs>
        <w:tab w:val="left" w:pos="340"/>
        <w:tab w:val="num" w:pos="567"/>
      </w:tabs>
      <w:spacing w:before="120" w:after="120"/>
      <w:ind w:left="567" w:right="425" w:hanging="283"/>
      <w:jc w:val="both"/>
    </w:pPr>
    <w:rPr>
      <w:rFonts w:ascii="Arial" w:eastAsia="Times" w:hAnsi="Arial" w:cs="Times New Roman"/>
      <w:color w:val="000000" w:themeColor="text1"/>
      <w:sz w:val="20"/>
      <w:szCs w:val="20"/>
    </w:rPr>
  </w:style>
  <w:style w:type="character" w:customStyle="1" w:styleId="Bulletlevel2Char">
    <w:name w:val="Bullet level 2 Char"/>
    <w:basedOn w:val="DefaultParagraphFont"/>
    <w:link w:val="Bulletlevel2"/>
    <w:rPr>
      <w:rFonts w:ascii="Arial" w:eastAsia="Times" w:hAnsi="Arial" w:cs="Times New Roman"/>
      <w:color w:val="000000" w:themeColor="text1"/>
      <w:sz w:val="20"/>
      <w:szCs w:val="20"/>
    </w:rPr>
  </w:style>
  <w:style w:type="paragraph" w:customStyle="1" w:styleId="Text1">
    <w:name w:val="Text 1"/>
    <w:basedOn w:val="Normal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ormal"/>
    <w:pPr>
      <w:numPr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al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al"/>
    <w:pPr>
      <w:numPr>
        <w:ilvl w:val="4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al"/>
    <w:pPr>
      <w:numPr>
        <w:ilvl w:val="6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al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al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al"/>
    <w:pPr>
      <w:numPr>
        <w:ilvl w:val="5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al"/>
    <w:pPr>
      <w:numPr>
        <w:ilvl w:val="7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al"/>
    <w:pPr>
      <w:numPr>
        <w:ilvl w:val="8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fi-FI" w:bidi="fi-F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aliases w:val="SUPERS,Footnote symbol,Times 10 Point,Exposant 3 Point,Footnote,BVI fnr, Exposant 3 Point, BVI fnr,Footnote Reference Superscript,-E Fußnotenzeichen,number,stylish,Source Reference,Footnote reference number,note TESI,Ref,de nota al pi"/>
    <w:uiPriority w:val="99"/>
    <w:rPr>
      <w:shd w:val="clear" w:color="auto" w:fill="auto"/>
      <w:vertAlign w:val="superscript"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eastAsia="Times New Roman" w:hAnsi="Times New Roman" w:cs="Times New Roman"/>
      <w:sz w:val="24"/>
      <w:szCs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Pr>
      <w:rFonts w:cs="Times New Roman"/>
      <w:color w:val="1756BD"/>
      <w:u w:val="none"/>
      <w:effect w:val="none"/>
      <w:shd w:val="clear" w:color="auto" w:fill="auto"/>
    </w:rPr>
  </w:style>
  <w:style w:type="paragraph" w:customStyle="1" w:styleId="Bulletlevel2">
    <w:name w:val="Bullet level 2"/>
    <w:basedOn w:val="Normal"/>
    <w:link w:val="Bulletlevel2Char"/>
    <w:qFormat/>
    <w:pPr>
      <w:tabs>
        <w:tab w:val="left" w:pos="340"/>
        <w:tab w:val="num" w:pos="567"/>
      </w:tabs>
      <w:spacing w:before="120" w:after="120"/>
      <w:ind w:left="567" w:right="425" w:hanging="283"/>
      <w:jc w:val="both"/>
    </w:pPr>
    <w:rPr>
      <w:rFonts w:ascii="Arial" w:eastAsia="Times" w:hAnsi="Arial" w:cs="Times New Roman"/>
      <w:color w:val="000000" w:themeColor="text1"/>
      <w:sz w:val="20"/>
      <w:szCs w:val="20"/>
    </w:rPr>
  </w:style>
  <w:style w:type="character" w:customStyle="1" w:styleId="Bulletlevel2Char">
    <w:name w:val="Bullet level 2 Char"/>
    <w:basedOn w:val="DefaultParagraphFont"/>
    <w:link w:val="Bulletlevel2"/>
    <w:rPr>
      <w:rFonts w:ascii="Arial" w:eastAsia="Times" w:hAnsi="Arial" w:cs="Times New Roman"/>
      <w:color w:val="000000" w:themeColor="text1"/>
      <w:sz w:val="20"/>
      <w:szCs w:val="20"/>
    </w:rPr>
  </w:style>
  <w:style w:type="paragraph" w:customStyle="1" w:styleId="Text1">
    <w:name w:val="Text 1"/>
    <w:basedOn w:val="Normal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number">
    <w:name w:val="Point 0 (number)"/>
    <w:basedOn w:val="Normal"/>
    <w:pPr>
      <w:numPr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al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al"/>
    <w:pPr>
      <w:numPr>
        <w:ilvl w:val="4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al"/>
    <w:pPr>
      <w:numPr>
        <w:ilvl w:val="6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al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al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al"/>
    <w:pPr>
      <w:numPr>
        <w:ilvl w:val="5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al"/>
    <w:pPr>
      <w:numPr>
        <w:ilvl w:val="7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al"/>
    <w:pPr>
      <w:numPr>
        <w:ilvl w:val="8"/>
        <w:numId w:val="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growth/tools-databases/mandates/" TargetMode="External"/><Relationship Id="rId2" Type="http://schemas.openxmlformats.org/officeDocument/2006/relationships/hyperlink" Target="https://ec.europa.eu/energy/sites/ener/files/documents/list_of_ecodesign_measures.pdf" TargetMode="External"/><Relationship Id="rId1" Type="http://schemas.openxmlformats.org/officeDocument/2006/relationships/hyperlink" Target="https://ec.europa.eu/energy/sites/ener/files/documents/list_of_enegy_labelling_measures.pdf" TargetMode="External"/><Relationship Id="rId4" Type="http://schemas.openxmlformats.org/officeDocument/2006/relationships/hyperlink" Target="http://www.ecodesign-wp3.eu/docu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BEBE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91A8-254D-45D3-BC86-0788C695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3789</Words>
  <Characters>21600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2016-12-05T08:20:00Z</dcterms:created>
  <dcterms:modified xsi:type="dcterms:W3CDTF">2017-01-17T07:10:00Z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DocStatus">
    <vt:lpwstr>Green</vt:lpwstr>
  </property>
  <property fmtid="{D5CDD505-2E9C-101B-9397-08002B2CF9AE}" pid="5" name="Classification">
    <vt:lpwstr> </vt:lpwstr>
  </property>
</Properties>
</file>