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ABB375CC37EE4F379F4F67B9FB6CA88D" style="width:450.8pt;height:351.95pt">
            <v:imagedata r:id="rId9" o:title=""/>
          </v:shape>
        </w:pict>
      </w:r>
    </w:p>
    <w:p>
      <w:pPr>
        <w:rPr>
          <w:noProof/>
        </w:rPr>
        <w:sectPr>
          <w:footerReference w:type="default" r:id="rId10"/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pStyle w:val="Exposdesmotifstitre"/>
        <w:rPr>
          <w:b w:val="0"/>
          <w:bCs/>
          <w:noProof/>
          <w:u w:val="none"/>
        </w:rPr>
      </w:pPr>
      <w:bookmarkStart w:id="0" w:name="_GoBack"/>
      <w:bookmarkEnd w:id="0"/>
      <w:r>
        <w:rPr>
          <w:b w:val="0"/>
          <w:noProof/>
          <w:u w:val="none"/>
        </w:rPr>
        <w:lastRenderedPageBreak/>
        <w:t>PERUSTELUT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EHDOTUKSEN TAUSTA</w:t>
      </w:r>
    </w:p>
    <w:p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Ehdotuksen perustelut ja tavoitteet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Kansainvälisen kaakaojärjestön, jäljempänä ’ICCO’, neuvosto päätti toukokuussa 2002 siirtää päätoimipaikkansa Lontoosta Abidjaniin Norsunluurannikolle 1. tammikuuta 2003 alkaen. Norsunluurannikon turvallisuustilanteen vuoksi siirtoa Abidjaniin lykättiin useita kertoja, viimeksi maaliskuussa 2012, jolloin ICCO:n neuvosto päätti tehdä asiassa lopullisen päätöksen istunnossaan syyskuussa 2015.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Euroopan unioni määrittää tällä päätöksellä ICCO:n päätoimipaikan siirtämistä Lontoosta Abidjaniin koskevan kantansa, joka esitetään ICCO:n neuvoston 92. sääntömääräisessä istunnossa syyskuussa 2015 (tai missä tahansa ylimääräisessä istunnossa syyskuun jälkeen ennen vuoden 2015 loppua).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OIKEUSPERUSTA SEKÄ TOISSIJAISUUS- JA SUHTEELLISUUSPERIAATE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Oikeusperusta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Kansainvälinen kaakaosopimus hyväksyttiin Euroopan unionin puolesta 26. maaliskuuta 2012 annetulla neuvoston päätöksellä 2012/189/EU (EUVL L 102, 12.4.2012, s. 1).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Euroopan unioni määritti 13. maaliskuuta 2012 hyväksytyissä neuvoston päätelmissä ICCO:n neuvoston 85. istunnossa esitettävän kantansa ICCO:n päätoimipaikan siirtämiseen Abidjaniin.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JÄLKIARVIOINTIEN, SIDOSRYHMÄKUULEMISTEN JA VAIKUTUSTENARVIOINTIEN TULOKSET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Sidosryhmien kuuleminen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Tämän päätöksen sisällöstä keskusteltiin useissa neuvoston perushyödyketyöryhmän kokouksissa vuonna 2015.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Vaikutusten arviointi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Vuoden 2002 jälkeen mikään muu maa kuin Norsunluurannikko ei ole tarjoutunut vastaanottamaan ICCO:a. Koska Norsunluurannikko on suurin kaakaontuottaja, ICCO:n päätoimipaikan siirtäminen Lontoosta Abidjaniin on asianmukaista, jos paikalliset olosuhteet sen sallivat.</w:t>
      </w:r>
    </w:p>
    <w:p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TALOUSARVIOVAIKUTUKSET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Norsunluurannikko on ilmoittanut huolehtivansa tarvittavista siirtokustannuksista, joiden määräksi on arvioitu 1 949 944 puntaa.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ICCO:n vuotuinen hallinnollinen talousarvio olisi Abidjaniin siirron jälkeen suurin piirtein verrattavissa talousarvion kokoon Lontoossa.</w:t>
      </w:r>
    </w:p>
    <w:p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MUUT ASIAT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Täytäntöönpanosuunnitelmat sekä seuranta-, arviointi- ja raportointijärjestelyt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Päätös ICCO:n päätoimipaikan siirtämisestä Lontoosta Abidjaniin olisi tehtävä syyskuussa 2015 tai viimeistään vuoden 2015 lopussa.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>Siirron itsensä olisi tapahduttava syyskuussa 2016 tai viimeistään maaliskuussa 2017.</w:t>
      </w:r>
    </w:p>
    <w:p>
      <w:pPr>
        <w:rPr>
          <w:noProof/>
        </w:rPr>
        <w:sectPr>
          <w:footerReference w:type="default" r:id="rId11"/>
          <w:footerReference w:type="first" r:id="rId12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t>2015/0183 (NLE)</w:t>
      </w:r>
    </w:p>
    <w:p>
      <w:pPr>
        <w:pStyle w:val="Statut"/>
        <w:rPr>
          <w:noProof/>
        </w:rPr>
      </w:pPr>
      <w:r>
        <w:rPr>
          <w:noProof/>
        </w:rPr>
        <w:t>Ehdotus</w:t>
      </w:r>
    </w:p>
    <w:p>
      <w:pPr>
        <w:pStyle w:val="Typedudocument"/>
        <w:rPr>
          <w:noProof/>
        </w:rPr>
      </w:pPr>
      <w:r>
        <w:rPr>
          <w:noProof/>
        </w:rPr>
        <w:t>NEUVOSTON PÄÄTÖS</w:t>
      </w:r>
    </w:p>
    <w:p>
      <w:pPr>
        <w:pStyle w:val="Titreobjet"/>
        <w:rPr>
          <w:noProof/>
        </w:rPr>
      </w:pPr>
      <w:r>
        <w:rPr>
          <w:noProof/>
        </w:rPr>
        <w:t>Kansainvälisen kaakaojärjestön (ICCO) päätoimipaikan mahdollisesta siirtämisestä Lontoosta Abidjaniin</w:t>
      </w:r>
    </w:p>
    <w:p>
      <w:pPr>
        <w:pStyle w:val="Institutionquiagit"/>
        <w:rPr>
          <w:noProof/>
        </w:rPr>
      </w:pPr>
      <w:r>
        <w:rPr>
          <w:noProof/>
        </w:rPr>
        <w:t>EUROOPAN UNIONIN NEUVOSTO, joka</w:t>
      </w:r>
    </w:p>
    <w:p>
      <w:pPr>
        <w:rPr>
          <w:noProof/>
        </w:rPr>
      </w:pPr>
      <w:r>
        <w:rPr>
          <w:noProof/>
        </w:rPr>
        <w:t>ottaa huomioon Euroopan unionin toiminnasta tehdyn sopimuksen ja erityisesti sen 207 artiklan yhdessä 218 artiklan 9 kohdan kanssa,</w:t>
      </w:r>
    </w:p>
    <w:p>
      <w:pPr>
        <w:rPr>
          <w:noProof/>
        </w:rPr>
      </w:pPr>
      <w:r>
        <w:rPr>
          <w:noProof/>
        </w:rPr>
        <w:t>ottaa huomioon Euroopan komission ehdotuksen,</w:t>
      </w:r>
    </w:p>
    <w:p>
      <w:pPr>
        <w:rPr>
          <w:noProof/>
        </w:rPr>
      </w:pPr>
      <w:r>
        <w:rPr>
          <w:noProof/>
        </w:rPr>
        <w:t>sekä katsoo seuraavaa: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>EU on vuonna 2010 tehdyn kansainvälisen kaakaosopimuksen osapuoli ja kansainvälisen kaakaojärjestön, jäljempänä ’ICCO’, jäsen.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>ICCO:n neuvoston on tarkoitus hyväksyä 92. sääntömääräisessä istunnossaan syyskuussa 2015 päätös ICCO:n päätoimipaikan siirtämisestä Lontoosta Abidjaniin,</w:t>
      </w:r>
    </w:p>
    <w:p>
      <w:pPr>
        <w:pStyle w:val="Formuledadoption"/>
        <w:rPr>
          <w:noProof/>
        </w:rPr>
      </w:pPr>
      <w:r>
        <w:rPr>
          <w:noProof/>
        </w:rPr>
        <w:br/>
        <w:t xml:space="preserve">ON HYVÄKSYNYT TÄMÄN PÄÄTÖKSEN: </w:t>
      </w:r>
    </w:p>
    <w:p>
      <w:pPr>
        <w:pStyle w:val="Titrearticle"/>
        <w:rPr>
          <w:noProof/>
        </w:rPr>
      </w:pPr>
      <w:r>
        <w:rPr>
          <w:noProof/>
        </w:rPr>
        <w:t>1 artikla</w:t>
      </w:r>
    </w:p>
    <w:p>
      <w:pPr>
        <w:rPr>
          <w:noProof/>
        </w:rPr>
      </w:pPr>
      <w:r>
        <w:rPr>
          <w:noProof/>
        </w:rPr>
        <w:t>ICCO:n neuvoston 92. sääntömääräisessä istunnossa (21 päivästä 25 päivään syyskuuta 2015) esitettävä Euroopan unionin kanta Kansainvälisen kaakaojärjestön päätoimipaikkaan on seuraava:</w:t>
      </w:r>
    </w:p>
    <w:p>
      <w:pPr>
        <w:rPr>
          <w:noProof/>
        </w:rPr>
      </w:pPr>
      <w:r>
        <w:rPr>
          <w:noProof/>
        </w:rPr>
        <w:t>Siirto Abidjaniin olisi toteutettava sillä edellytyksellä, että syyskuussa 2015 pidettävään ICCO:n neuvoston 92. sääntömääräiseen istuntoon tai mihin tahansa tulevaan ennen vuoden 2015 loppua pidettävään ylimääräiseen istuntoon mennessä</w:t>
      </w:r>
    </w:p>
    <w:p>
      <w:pPr>
        <w:pStyle w:val="Bullet0"/>
        <w:numPr>
          <w:ilvl w:val="0"/>
          <w:numId w:val="6"/>
        </w:numPr>
        <w:rPr>
          <w:noProof/>
        </w:rPr>
      </w:pPr>
      <w:r>
        <w:rPr>
          <w:noProof/>
        </w:rPr>
        <w:t>YK on määritellyt Norsunluurannikon turvallisuuden vähintään tasolle 2;</w:t>
      </w:r>
    </w:p>
    <w:p>
      <w:pPr>
        <w:pStyle w:val="Bullet0"/>
        <w:rPr>
          <w:noProof/>
        </w:rPr>
      </w:pPr>
      <w:r>
        <w:rPr>
          <w:noProof/>
        </w:rPr>
        <w:t>päivitetty päätoimipaikkaa koskeva sopimus, yhteisymmärryspöytäkirja tai vastaava ICCO:n ja Norsunluurannikon välinen kirjeenvaihto, jossa määrätään siirtoa koskevista osapuolten velvoitteista ja vastuista, on allekirjoitettu tai käyty;</w:t>
      </w:r>
    </w:p>
    <w:p>
      <w:pPr>
        <w:pStyle w:val="Bullet0"/>
        <w:rPr>
          <w:noProof/>
        </w:rPr>
      </w:pPr>
      <w:r>
        <w:rPr>
          <w:noProof/>
        </w:rPr>
        <w:t>ICCO:n neuvosto on hyväksynyt päätöksen, joka koskee siirtokustannusten (Norsunluurannikko maksaa 1 949 944 puntaa) ja vastuiden jakautumista Norsunluurannikon ja ICCO:n välillä sekä siirtokustannusten maksamisen yksityiskohtia ja aikataulua, joissa otetaan huomioon, että Norsunluurannikon olisi maksettava 100 prosenttia arvioiduista siirtokustannuksista ICCO:lle maaliskuuhun 2016 mennessä;</w:t>
      </w:r>
    </w:p>
    <w:p>
      <w:pPr>
        <w:pStyle w:val="Bullet0"/>
        <w:rPr>
          <w:noProof/>
        </w:rPr>
      </w:pPr>
      <w:r>
        <w:rPr>
          <w:noProof/>
        </w:rPr>
        <w:t>ICCO:n neuvosto on hyväksynyt päätöksen, jossa vahvistetaan siirron aikataulu;</w:t>
      </w:r>
    </w:p>
    <w:p>
      <w:pPr>
        <w:pStyle w:val="Bullet0"/>
        <w:rPr>
          <w:noProof/>
        </w:rPr>
      </w:pPr>
      <w:r>
        <w:rPr>
          <w:noProof/>
        </w:rPr>
        <w:t>ICCO:n neuvosto on hyväksynyt päätöksen, joka koskee mahdollista ICCO-toimiston rakentamista Abidjaniin 10 vuotta siirron jälkeen ja johon sisältyy asianmukaiset rahoitusta koskevat säännöt (esimerkiksi tätä menoerää varten seuraavien kymmenen vuoden aikana kerättävät ICCO:n jäsenten maksuosuudet).</w:t>
      </w:r>
    </w:p>
    <w:p>
      <w:pPr>
        <w:rPr>
          <w:noProof/>
        </w:rPr>
      </w:pPr>
    </w:p>
    <w:p>
      <w:pPr>
        <w:rPr>
          <w:noProof/>
        </w:rPr>
      </w:pPr>
      <w:r>
        <w:rPr>
          <w:noProof/>
        </w:rPr>
        <w:t>EU ei tue päätöksen lykkäämistä vuoden 2015 jälkeen.</w:t>
      </w:r>
    </w:p>
    <w:p>
      <w:pPr>
        <w:rPr>
          <w:noProof/>
        </w:rPr>
      </w:pPr>
      <w:r>
        <w:rPr>
          <w:noProof/>
        </w:rPr>
        <w:t>Jos ICCO:n päätoimipaikka päätetään siirtää Abidjaniin, EU tukee kuluttajavaltion ehdokkaan valintaa järjestön toimitusjohtajaksi.</w:t>
      </w:r>
    </w:p>
    <w:p>
      <w:pPr>
        <w:pStyle w:val="Titrearticle"/>
        <w:keepNext w:val="0"/>
        <w:rPr>
          <w:noProof/>
        </w:rPr>
      </w:pPr>
      <w:r>
        <w:rPr>
          <w:noProof/>
        </w:rPr>
        <w:t>2 artikla</w:t>
      </w:r>
    </w:p>
    <w:p>
      <w:pPr>
        <w:keepLines/>
        <w:rPr>
          <w:noProof/>
        </w:rPr>
      </w:pPr>
      <w:r>
        <w:rPr>
          <w:noProof/>
        </w:rPr>
        <w:t>Tämä päätös tulee voimaan sitä päivää seuraavana päivänä, jona se hyväksytään.</w:t>
      </w:r>
    </w:p>
    <w:p>
      <w:pPr>
        <w:pStyle w:val="Titrearticle"/>
        <w:rPr>
          <w:noProof/>
        </w:rPr>
      </w:pPr>
      <w:r>
        <w:rPr>
          <w:noProof/>
        </w:rPr>
        <w:t>3 artikla</w:t>
      </w:r>
    </w:p>
    <w:p>
      <w:pPr>
        <w:rPr>
          <w:noProof/>
        </w:rPr>
      </w:pPr>
      <w:r>
        <w:rPr>
          <w:noProof/>
        </w:rPr>
        <w:t>Tämä päätös on osoitettu kaikille jäsenvaltioille.</w:t>
      </w:r>
    </w:p>
    <w:p>
      <w:pPr>
        <w:pStyle w:val="Fait"/>
        <w:rPr>
          <w:noProof/>
        </w:rPr>
      </w:pPr>
      <w:r>
        <w:rPr>
          <w:noProof/>
        </w:rPr>
        <w:t>Tehty Brysselissä</w:t>
      </w:r>
    </w:p>
    <w:p>
      <w:pPr>
        <w:pStyle w:val="Institutionquisigne"/>
        <w:rPr>
          <w:noProof/>
        </w:rPr>
      </w:pPr>
      <w:r>
        <w:rPr>
          <w:noProof/>
        </w:rPr>
        <w:tab/>
        <w:t>Neuvoston puolesta</w:t>
      </w:r>
    </w:p>
    <w:p>
      <w:pPr>
        <w:pStyle w:val="Personnequisigne"/>
        <w:rPr>
          <w:noProof/>
        </w:rPr>
      </w:pPr>
      <w:r>
        <w:rPr>
          <w:noProof/>
        </w:rPr>
        <w:tab/>
        <w:t>Puheenjohtaja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FI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FI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FI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FI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7332A2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3B825F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60C012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47DAE0B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6D5A8D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E2C41D2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AA478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AC0CEC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1"/>
    <w:lvlOverride w:ilvl="0">
      <w:startOverride w:val="1"/>
    </w:lvlOverride>
  </w:num>
  <w:num w:numId="6">
    <w:abstractNumId w:val="14"/>
    <w:lvlOverride w:ilvl="0">
      <w:startOverride w:val="1"/>
    </w:lvlOverride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20"/>
  </w:num>
  <w:num w:numId="14">
    <w:abstractNumId w:val="11"/>
  </w:num>
  <w:num w:numId="15">
    <w:abstractNumId w:val="13"/>
  </w:num>
  <w:num w:numId="16">
    <w:abstractNumId w:val="9"/>
  </w:num>
  <w:num w:numId="17">
    <w:abstractNumId w:val="19"/>
  </w:num>
  <w:num w:numId="18">
    <w:abstractNumId w:val="8"/>
  </w:num>
  <w:num w:numId="19">
    <w:abstractNumId w:val="14"/>
  </w:num>
  <w:num w:numId="20">
    <w:abstractNumId w:val="16"/>
  </w:num>
  <w:num w:numId="21">
    <w:abstractNumId w:val="17"/>
  </w:num>
  <w:num w:numId="22">
    <w:abstractNumId w:val="10"/>
  </w:num>
  <w:num w:numId="23">
    <w:abstractNumId w:val="15"/>
  </w:num>
  <w:num w:numId="24">
    <w:abstractNumId w:val="21"/>
  </w:num>
  <w:num w:numId="25">
    <w:abstractNumId w:val="18"/>
  </w:num>
  <w:num w:numId="26">
    <w:abstractNumId w:val="12"/>
  </w:num>
  <w:num w:numId="27">
    <w:abstractNumId w:val="20"/>
  </w:num>
  <w:num w:numId="28">
    <w:abstractNumId w:val="11"/>
  </w:num>
  <w:num w:numId="29">
    <w:abstractNumId w:val="13"/>
  </w:num>
  <w:num w:numId="30">
    <w:abstractNumId w:val="9"/>
  </w:num>
  <w:num w:numId="31">
    <w:abstractNumId w:val="19"/>
  </w:num>
  <w:num w:numId="32">
    <w:abstractNumId w:val="8"/>
  </w:num>
  <w:num w:numId="33">
    <w:abstractNumId w:val="14"/>
  </w:num>
  <w:num w:numId="34">
    <w:abstractNumId w:val="16"/>
  </w:num>
  <w:num w:numId="35">
    <w:abstractNumId w:val="17"/>
  </w:num>
  <w:num w:numId="36">
    <w:abstractNumId w:val="10"/>
  </w:num>
  <w:num w:numId="37">
    <w:abstractNumId w:val="15"/>
  </w:num>
  <w:num w:numId="38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QCDateTime" w:val="2015-08-21 13:15:58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NFIDENCE" w:val=" "/>
    <w:docVar w:name="LW_CONST_RESTREINT_UE" w:val="RESTREINT UE"/>
    <w:docVar w:name="LW_CORRIGENDUM" w:val="&lt;UNUSED&gt;"/>
    <w:docVar w:name="LW_COVERPAGE_GUID" w:val="ABB375CC37EE4F379F4F67B9FB6CA88D"/>
    <w:docVar w:name="LW_CROSSREFERENCE" w:val="&lt;UNUSED&gt;"/>
    <w:docVar w:name="LW_DocType" w:val="COM"/>
    <w:docVar w:name="LW_EMISSION" w:val="28.8.2015"/>
    <w:docVar w:name="LW_EMISSION_ISODATE" w:val="2015-08-28"/>
    <w:docVar w:name="LW_EMISSION_LOCATION" w:val="BRX"/>
    <w:docVar w:name="LW_EMISSION_PREFIX" w:val="Bryssel "/>
    <w:docVar w:name="LW_EMISSION_SUFFIX" w:val=" "/>
    <w:docVar w:name="LW_ID_DOCMODEL" w:val="SJ-019"/>
    <w:docVar w:name="LW_ID_DOCSIGNATURE" w:val="SJ-019"/>
    <w:docVar w:name="LW_ID_DOCSTRUCTURE" w:val="COM/PL/ORG"/>
    <w:docVar w:name="LW_ID_DOCTYPE" w:val="SJ-019"/>
    <w:docVar w:name="LW_ID_STATUT" w:val="SJ-019"/>
    <w:docVar w:name="LW_INTERETEEE.CP" w:val="&lt;UNUSED&gt;"/>
    <w:docVar w:name="LW_LANGUE" w:val="FI"/>
    <w:docVar w:name="LW_MARKING" w:val="&lt;UNUSED&gt;"/>
    <w:docVar w:name="LW_NOM.INST" w:val="EUROOPAN KOMISSIO"/>
    <w:docVar w:name="LW_NOM.INST_JOINTDOC" w:val="&lt;EMPTY&gt;"/>
    <w:docVar w:name="LW_PART_NBR" w:val="1"/>
    <w:docVar w:name="LW_PART_NBR_TOTAL" w:val="1"/>
    <w:docVar w:name="LW_REF.II.NEW.CP" w:val="NLE"/>
    <w:docVar w:name="LW_REF.II.NEW.CP_NUMBER" w:val="0183"/>
    <w:docVar w:name="LW_REF.II.NEW.CP_YEAR" w:val="2015"/>
    <w:docVar w:name="LW_REF.INST.NEW" w:val="COM"/>
    <w:docVar w:name="LW_REF.INST.NEW_ADOPTED" w:val="final"/>
    <w:docVar w:name="LW_REF.INST.NEW_TEXT" w:val="(2015) 410"/>
    <w:docVar w:name="LW_REF.INTERNE" w:val="&lt;UNUSED&gt;"/>
    <w:docVar w:name="LW_SOUS.TITRE.OBJ.CP" w:val="&lt;UNUSED&gt;"/>
    <w:docVar w:name="LW_STATUT.CP" w:val="Ehdotus"/>
    <w:docVar w:name="LW_SUPERTITRE" w:val="&lt;UNUSED&gt;"/>
    <w:docVar w:name="LW_TITRE.OBJ.CP" w:val="Kansainvälisen kaakaojärjestön (ICCO) päätoimipaikan mahdollisesta siirtämisestä Lontoosta Abidjaniin"/>
    <w:docVar w:name="LW_TYPE.DOC.CP" w:val="NEUVOSTON PÄÄTÖS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fi-F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1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1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1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fi-F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i-FI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5"/>
      </w:numPr>
    </w:pPr>
  </w:style>
  <w:style w:type="paragraph" w:customStyle="1" w:styleId="Tiret1">
    <w:name w:val="Tiret 1"/>
    <w:basedOn w:val="Point1"/>
    <w:pPr>
      <w:numPr>
        <w:numId w:val="26"/>
      </w:numPr>
    </w:pPr>
  </w:style>
  <w:style w:type="paragraph" w:customStyle="1" w:styleId="Tiret2">
    <w:name w:val="Tiret 2"/>
    <w:basedOn w:val="Point2"/>
    <w:pPr>
      <w:numPr>
        <w:numId w:val="27"/>
      </w:numPr>
    </w:pPr>
  </w:style>
  <w:style w:type="paragraph" w:customStyle="1" w:styleId="Tiret3">
    <w:name w:val="Tiret 3"/>
    <w:basedOn w:val="Point3"/>
    <w:pPr>
      <w:numPr>
        <w:numId w:val="28"/>
      </w:numPr>
    </w:pPr>
  </w:style>
  <w:style w:type="paragraph" w:customStyle="1" w:styleId="Tiret4">
    <w:name w:val="Tiret 4"/>
    <w:basedOn w:val="Point4"/>
    <w:pPr>
      <w:numPr>
        <w:numId w:val="29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0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0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0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0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2"/>
      </w:numPr>
    </w:pPr>
  </w:style>
  <w:style w:type="paragraph" w:customStyle="1" w:styleId="Point1number">
    <w:name w:val="Point 1 (number)"/>
    <w:basedOn w:val="Normal"/>
    <w:pPr>
      <w:numPr>
        <w:ilvl w:val="2"/>
        <w:numId w:val="32"/>
      </w:numPr>
    </w:pPr>
  </w:style>
  <w:style w:type="paragraph" w:customStyle="1" w:styleId="Point2number">
    <w:name w:val="Point 2 (number)"/>
    <w:basedOn w:val="Normal"/>
    <w:pPr>
      <w:numPr>
        <w:ilvl w:val="4"/>
        <w:numId w:val="32"/>
      </w:numPr>
    </w:pPr>
  </w:style>
  <w:style w:type="paragraph" w:customStyle="1" w:styleId="Point3number">
    <w:name w:val="Point 3 (number)"/>
    <w:basedOn w:val="Normal"/>
    <w:pPr>
      <w:numPr>
        <w:ilvl w:val="6"/>
        <w:numId w:val="32"/>
      </w:numPr>
    </w:pPr>
  </w:style>
  <w:style w:type="paragraph" w:customStyle="1" w:styleId="Point0letter">
    <w:name w:val="Point 0 (letter)"/>
    <w:basedOn w:val="Normal"/>
    <w:pPr>
      <w:numPr>
        <w:ilvl w:val="1"/>
        <w:numId w:val="32"/>
      </w:numPr>
    </w:pPr>
  </w:style>
  <w:style w:type="paragraph" w:customStyle="1" w:styleId="Point1letter">
    <w:name w:val="Point 1 (letter)"/>
    <w:basedOn w:val="Normal"/>
    <w:pPr>
      <w:numPr>
        <w:ilvl w:val="3"/>
        <w:numId w:val="32"/>
      </w:numPr>
    </w:pPr>
  </w:style>
  <w:style w:type="paragraph" w:customStyle="1" w:styleId="Point2letter">
    <w:name w:val="Point 2 (letter)"/>
    <w:basedOn w:val="Normal"/>
    <w:pPr>
      <w:numPr>
        <w:ilvl w:val="5"/>
        <w:numId w:val="32"/>
      </w:numPr>
    </w:pPr>
  </w:style>
  <w:style w:type="paragraph" w:customStyle="1" w:styleId="Point3letter">
    <w:name w:val="Point 3 (letter)"/>
    <w:basedOn w:val="Normal"/>
    <w:pPr>
      <w:numPr>
        <w:ilvl w:val="7"/>
        <w:numId w:val="32"/>
      </w:numPr>
    </w:pPr>
  </w:style>
  <w:style w:type="paragraph" w:customStyle="1" w:styleId="Point4letter">
    <w:name w:val="Point 4 (letter)"/>
    <w:basedOn w:val="Normal"/>
    <w:pPr>
      <w:numPr>
        <w:ilvl w:val="8"/>
        <w:numId w:val="32"/>
      </w:numPr>
    </w:pPr>
  </w:style>
  <w:style w:type="paragraph" w:customStyle="1" w:styleId="Bullet0">
    <w:name w:val="Bullet 0"/>
    <w:basedOn w:val="Normal"/>
    <w:pPr>
      <w:numPr>
        <w:numId w:val="33"/>
      </w:numPr>
    </w:pPr>
  </w:style>
  <w:style w:type="paragraph" w:customStyle="1" w:styleId="Bullet1">
    <w:name w:val="Bullet 1"/>
    <w:basedOn w:val="Normal"/>
    <w:pPr>
      <w:numPr>
        <w:numId w:val="34"/>
      </w:numPr>
    </w:pPr>
  </w:style>
  <w:style w:type="paragraph" w:customStyle="1" w:styleId="Bullet2">
    <w:name w:val="Bullet 2"/>
    <w:basedOn w:val="Normal"/>
    <w:pPr>
      <w:numPr>
        <w:numId w:val="35"/>
      </w:numPr>
    </w:pPr>
  </w:style>
  <w:style w:type="paragraph" w:customStyle="1" w:styleId="Bullet3">
    <w:name w:val="Bullet 3"/>
    <w:basedOn w:val="Normal"/>
    <w:pPr>
      <w:numPr>
        <w:numId w:val="36"/>
      </w:numPr>
    </w:pPr>
  </w:style>
  <w:style w:type="paragraph" w:customStyle="1" w:styleId="Bullet4">
    <w:name w:val="Bullet 4"/>
    <w:basedOn w:val="Normal"/>
    <w:pPr>
      <w:numPr>
        <w:numId w:val="37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8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fi-F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1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1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1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1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fi-F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fi-FI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0"/>
      </w:numPr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25"/>
      </w:numPr>
    </w:pPr>
  </w:style>
  <w:style w:type="paragraph" w:customStyle="1" w:styleId="Tiret1">
    <w:name w:val="Tiret 1"/>
    <w:basedOn w:val="Point1"/>
    <w:pPr>
      <w:numPr>
        <w:numId w:val="26"/>
      </w:numPr>
    </w:pPr>
  </w:style>
  <w:style w:type="paragraph" w:customStyle="1" w:styleId="Tiret2">
    <w:name w:val="Tiret 2"/>
    <w:basedOn w:val="Point2"/>
    <w:pPr>
      <w:numPr>
        <w:numId w:val="27"/>
      </w:numPr>
    </w:pPr>
  </w:style>
  <w:style w:type="paragraph" w:customStyle="1" w:styleId="Tiret3">
    <w:name w:val="Tiret 3"/>
    <w:basedOn w:val="Point3"/>
    <w:pPr>
      <w:numPr>
        <w:numId w:val="28"/>
      </w:numPr>
    </w:pPr>
  </w:style>
  <w:style w:type="paragraph" w:customStyle="1" w:styleId="Tiret4">
    <w:name w:val="Tiret 4"/>
    <w:basedOn w:val="Point4"/>
    <w:pPr>
      <w:numPr>
        <w:numId w:val="29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0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0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0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0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2"/>
      </w:numPr>
    </w:pPr>
  </w:style>
  <w:style w:type="paragraph" w:customStyle="1" w:styleId="Point1number">
    <w:name w:val="Point 1 (number)"/>
    <w:basedOn w:val="Normal"/>
    <w:pPr>
      <w:numPr>
        <w:ilvl w:val="2"/>
        <w:numId w:val="32"/>
      </w:numPr>
    </w:pPr>
  </w:style>
  <w:style w:type="paragraph" w:customStyle="1" w:styleId="Point2number">
    <w:name w:val="Point 2 (number)"/>
    <w:basedOn w:val="Normal"/>
    <w:pPr>
      <w:numPr>
        <w:ilvl w:val="4"/>
        <w:numId w:val="32"/>
      </w:numPr>
    </w:pPr>
  </w:style>
  <w:style w:type="paragraph" w:customStyle="1" w:styleId="Point3number">
    <w:name w:val="Point 3 (number)"/>
    <w:basedOn w:val="Normal"/>
    <w:pPr>
      <w:numPr>
        <w:ilvl w:val="6"/>
        <w:numId w:val="32"/>
      </w:numPr>
    </w:pPr>
  </w:style>
  <w:style w:type="paragraph" w:customStyle="1" w:styleId="Point0letter">
    <w:name w:val="Point 0 (letter)"/>
    <w:basedOn w:val="Normal"/>
    <w:pPr>
      <w:numPr>
        <w:ilvl w:val="1"/>
        <w:numId w:val="32"/>
      </w:numPr>
    </w:pPr>
  </w:style>
  <w:style w:type="paragraph" w:customStyle="1" w:styleId="Point1letter">
    <w:name w:val="Point 1 (letter)"/>
    <w:basedOn w:val="Normal"/>
    <w:pPr>
      <w:numPr>
        <w:ilvl w:val="3"/>
        <w:numId w:val="32"/>
      </w:numPr>
    </w:pPr>
  </w:style>
  <w:style w:type="paragraph" w:customStyle="1" w:styleId="Point2letter">
    <w:name w:val="Point 2 (letter)"/>
    <w:basedOn w:val="Normal"/>
    <w:pPr>
      <w:numPr>
        <w:ilvl w:val="5"/>
        <w:numId w:val="32"/>
      </w:numPr>
    </w:pPr>
  </w:style>
  <w:style w:type="paragraph" w:customStyle="1" w:styleId="Point3letter">
    <w:name w:val="Point 3 (letter)"/>
    <w:basedOn w:val="Normal"/>
    <w:pPr>
      <w:numPr>
        <w:ilvl w:val="7"/>
        <w:numId w:val="32"/>
      </w:numPr>
    </w:pPr>
  </w:style>
  <w:style w:type="paragraph" w:customStyle="1" w:styleId="Point4letter">
    <w:name w:val="Point 4 (letter)"/>
    <w:basedOn w:val="Normal"/>
    <w:pPr>
      <w:numPr>
        <w:ilvl w:val="8"/>
        <w:numId w:val="32"/>
      </w:numPr>
    </w:pPr>
  </w:style>
  <w:style w:type="paragraph" w:customStyle="1" w:styleId="Bullet0">
    <w:name w:val="Bullet 0"/>
    <w:basedOn w:val="Normal"/>
    <w:pPr>
      <w:numPr>
        <w:numId w:val="33"/>
      </w:numPr>
    </w:pPr>
  </w:style>
  <w:style w:type="paragraph" w:customStyle="1" w:styleId="Bullet1">
    <w:name w:val="Bullet 1"/>
    <w:basedOn w:val="Normal"/>
    <w:pPr>
      <w:numPr>
        <w:numId w:val="34"/>
      </w:numPr>
    </w:pPr>
  </w:style>
  <w:style w:type="paragraph" w:customStyle="1" w:styleId="Bullet2">
    <w:name w:val="Bullet 2"/>
    <w:basedOn w:val="Normal"/>
    <w:pPr>
      <w:numPr>
        <w:numId w:val="35"/>
      </w:numPr>
    </w:pPr>
  </w:style>
  <w:style w:type="paragraph" w:customStyle="1" w:styleId="Bullet3">
    <w:name w:val="Bullet 3"/>
    <w:basedOn w:val="Normal"/>
    <w:pPr>
      <w:numPr>
        <w:numId w:val="36"/>
      </w:numPr>
    </w:pPr>
  </w:style>
  <w:style w:type="paragraph" w:customStyle="1" w:styleId="Bullet4">
    <w:name w:val="Bullet 4"/>
    <w:basedOn w:val="Normal"/>
    <w:pPr>
      <w:numPr>
        <w:numId w:val="37"/>
      </w:numPr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38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ous-titreobjetPagedecouverture">
    <w:name w:val="Sous-titre objet (Page de couverture)"/>
    <w:basedOn w:val="Sous-titreobje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Sous-titreobjet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461168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9720-9C3B-48A9-B4F6-1A804616C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0</TotalTime>
  <Pages>5</Pages>
  <Words>531</Words>
  <Characters>4359</Characters>
  <Application>Microsoft Office Word</Application>
  <DocSecurity>0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18</cp:revision>
  <cp:lastPrinted>2015-06-04T13:04:00Z</cp:lastPrinted>
  <dcterms:created xsi:type="dcterms:W3CDTF">2015-08-17T14:42:00Z</dcterms:created>
  <dcterms:modified xsi:type="dcterms:W3CDTF">2015-08-21T11:15:00Z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Classification">
    <vt:lpwstr> </vt:lpwstr>
  </property>
  <property fmtid="{D5CDD505-2E9C-101B-9397-08002B2CF9AE}" pid="4" name="Version">
    <vt:lpwstr>5.8.86.0</vt:lpwstr>
  </property>
  <property fmtid="{D5CDD505-2E9C-101B-9397-08002B2CF9AE}" pid="5" name="Last edited using">
    <vt:lpwstr>LW 5.8.4, Build 20150407</vt:lpwstr>
  </property>
  <property fmtid="{D5CDD505-2E9C-101B-9397-08002B2CF9AE}" pid="6" name="Created using">
    <vt:lpwstr>LW 5.8.4, Build 20150407</vt:lpwstr>
  </property>
  <property fmtid="{D5CDD505-2E9C-101B-9397-08002B2CF9AE}" pid="7" name="Part">
    <vt:lpwstr>1</vt:lpwstr>
  </property>
  <property fmtid="{D5CDD505-2E9C-101B-9397-08002B2CF9AE}" pid="8" name="Total parts">
    <vt:lpwstr>1</vt:lpwstr>
  </property>
  <property fmtid="{D5CDD505-2E9C-101B-9397-08002B2CF9AE}" pid="9" name="LWTemplateID">
    <vt:lpwstr>SJ-019</vt:lpwstr>
  </property>
  <property fmtid="{D5CDD505-2E9C-101B-9397-08002B2CF9AE}" pid="10" name="DQCStatus">
    <vt:lpwstr>Green (DQC version 03)</vt:lpwstr>
  </property>
  <property name="OP_sanitized" fmtid="{D5CDD505-2E9C-101B-9397-08002B2CF9AE}" pid="11">
    <vt:lpwstr>True</vt:lpwstr>
  </property>
</Properties>
</file>