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3" type="#_x0000_t75" alt="8716F34B71724D80BCC5CD781155DD42" style="width:450.75pt;height:307.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Typedudocument"/>
        <w:rPr>
          <w:noProof/>
        </w:rPr>
      </w:pPr>
      <w:bookmarkStart w:id="1" w:name="_GoBack"/>
      <w:bookmarkEnd w:id="1"/>
      <w:r>
        <w:rPr>
          <w:noProof/>
        </w:rPr>
        <w:lastRenderedPageBreak/>
        <w:t>KOMISSION KERTOMUS EUROOPAN PARLAMENTILLE JA NEUVOSTOLLE</w:t>
      </w:r>
    </w:p>
    <w:p>
      <w:pPr>
        <w:pStyle w:val="Titreobjet"/>
        <w:rPr>
          <w:noProof/>
        </w:rPr>
      </w:pPr>
      <w:r>
        <w:rPr>
          <w:noProof/>
        </w:rPr>
        <w:t>.eu-aluetunnuksen täytäntöönpanosta, tehokkuudesta ja toiminnasta</w:t>
      </w:r>
    </w:p>
    <w:p>
      <w:pPr>
        <w:pStyle w:val="Sous-titreobjet"/>
        <w:rPr>
          <w:noProof/>
        </w:rPr>
      </w:pPr>
      <w:r>
        <w:rPr>
          <w:noProof/>
        </w:rPr>
        <w:t>(ETA:n kannalta merkityksellinen teksti)</w:t>
      </w:r>
    </w:p>
    <w:p>
      <w:pPr>
        <w:rPr>
          <w:noProof/>
        </w:rPr>
      </w:pPr>
    </w:p>
    <w:p>
      <w:pPr>
        <w:rPr>
          <w:noProof/>
        </w:rPr>
      </w:pPr>
    </w:p>
    <w:p>
      <w:pPr>
        <w:rPr>
          <w:noProof/>
        </w:rPr>
      </w:pPr>
    </w:p>
    <w:p>
      <w:pPr>
        <w:pStyle w:val="ManualHeading1"/>
        <w:rPr>
          <w:noProof/>
        </w:rPr>
      </w:pPr>
      <w:r>
        <w:t>1.</w:t>
      </w:r>
      <w:r>
        <w:tab/>
      </w:r>
      <w:r>
        <w:rPr>
          <w:noProof/>
        </w:rPr>
        <w:t>Tausta</w:t>
      </w:r>
    </w:p>
    <w:p>
      <w:pPr>
        <w:rPr>
          <w:noProof/>
        </w:rPr>
      </w:pPr>
      <w:r>
        <w:rPr>
          <w:noProof/>
        </w:rPr>
        <w:t>.eu-aluetunnus (TLD) vietti huhtikuussa 2015 yhdeksättä vuosipäiväänsä. Yhdeksän vuoden aikana maantieteellinen .eu-aluetunnus on profiloitunut innovatiiviseksi ja nykyaikaiseksi aluetunnukseksi, joka on vakiinnuttanut hyvin asemansa 1990-luvun lopulta käytössä olleiden aluetunnusten rinnalla ja joka kykenee kilpailemaan vuonna 2014 käyttöön otettujen uusien geneeristen aluetunnusten (gTLD) kanssa. Vuoden 2015 ensimmäisen neljänneksellä lopussa .eu-aluetunnus oli kuudenneksi suosituin maantieteellinen aluetunnus (ccTLD) maailmassa</w:t>
      </w:r>
      <w:r>
        <w:rPr>
          <w:rStyle w:val="FootnoteReference"/>
          <w:noProof/>
        </w:rPr>
        <w:footnoteReference w:id="1"/>
      </w:r>
      <w:r>
        <w:rPr>
          <w:noProof/>
        </w:rPr>
        <w:t>. Sillä on lähes neljä miljoonaa rekisteröityä käyttäjää, ja siitä on tullut arvossa pidetty vaihtoehto internet-osoitettaan valitseville eurooppalaisille.</w:t>
      </w:r>
    </w:p>
    <w:p>
      <w:pPr>
        <w:rPr>
          <w:noProof/>
        </w:rPr>
      </w:pPr>
      <w:r>
        <w:rPr>
          <w:noProof/>
        </w:rPr>
        <w:t>Aluetunnuksen ”.eu” perustamisesta annetun asetuksen (EY) N:o 733/2002 8 artiklan mukaisesti komissio antaa Euroopan parlamentille ja neuvostolle kertomuksen vuoden kuluttua asetuksen antamisesta ja sen jälkeen joka toinen vuosi. Tämä kertomus Euroopan parlamentille ja neuvostolle koskee .eu-aluetunnuksen toteutusta, vaikutuksia ja toimintaa kuluneen kahden vuoden aikana, erityisesti ajanjaksolla 1.4.2013 – 31.3.2015.</w:t>
      </w:r>
    </w:p>
    <w:p>
      <w:pPr>
        <w:pStyle w:val="ManualHeading1"/>
        <w:rPr>
          <w:noProof/>
        </w:rPr>
      </w:pPr>
      <w:r>
        <w:t>2.</w:t>
      </w:r>
      <w:r>
        <w:tab/>
      </w:r>
      <w:r>
        <w:rPr>
          <w:noProof/>
        </w:rPr>
        <w:t>.eu-aluetunnuksen oikeudelliset puitteet ja perusperiaatteet</w:t>
      </w:r>
    </w:p>
    <w:p>
      <w:pPr>
        <w:rPr>
          <w:noProof/>
        </w:rPr>
      </w:pPr>
      <w:r>
        <w:rPr>
          <w:noProof/>
        </w:rPr>
        <w:t>.eu-aluetunnus perustettiin seuraavilla säädöksillä:</w:t>
      </w:r>
    </w:p>
    <w:p>
      <w:pPr>
        <w:pStyle w:val="ListDash"/>
        <w:rPr>
          <w:noProof/>
        </w:rPr>
      </w:pPr>
      <w:r>
        <w:rPr>
          <w:noProof/>
        </w:rPr>
        <w:t>Euroopan parlamentin ja neuvoston asetus (EY) N:o 733/2002, annettu 22 päivänä huhtikuuta 2002, aluetunnuksen ”.eu” perustamisesta</w:t>
      </w:r>
      <w:r>
        <w:rPr>
          <w:rStyle w:val="FootnoteReference"/>
          <w:noProof/>
        </w:rPr>
        <w:footnoteReference w:id="2"/>
      </w:r>
      <w:r>
        <w:rPr>
          <w:noProof/>
        </w:rPr>
        <w:t xml:space="preserve"> (asetus sellaisena kuin se on muutettuna)</w:t>
      </w:r>
      <w:r>
        <w:rPr>
          <w:rStyle w:val="FootnoteReference"/>
          <w:noProof/>
        </w:rPr>
        <w:footnoteReference w:id="3"/>
      </w:r>
      <w:r>
        <w:rPr>
          <w:noProof/>
        </w:rPr>
        <w:t>;</w:t>
      </w:r>
    </w:p>
    <w:p>
      <w:pPr>
        <w:pStyle w:val="ListDash"/>
        <w:rPr>
          <w:noProof/>
        </w:rPr>
      </w:pPr>
      <w:r>
        <w:rPr>
          <w:noProof/>
        </w:rPr>
        <w:t>Komission asetus (EY) N:o 874/2004, annettu 28 päivänä huhtikuuta 2004, ”.eu”-aluetunnuksen perustamista ja käyttöä koskevista yleisistä toimintasäännöistä ja rekisteröintiä koskevista periaatteista</w:t>
      </w:r>
      <w:r>
        <w:rPr>
          <w:rStyle w:val="FootnoteReference"/>
          <w:noProof/>
        </w:rPr>
        <w:footnoteReference w:id="4"/>
      </w:r>
      <w:r>
        <w:rPr>
          <w:noProof/>
        </w:rPr>
        <w:t xml:space="preserve"> (asetus sellaisena kuin se on muutettuna)</w:t>
      </w:r>
      <w:r>
        <w:rPr>
          <w:rStyle w:val="FootnoteReference"/>
          <w:noProof/>
        </w:rPr>
        <w:footnoteReference w:id="5"/>
      </w:r>
      <w:r>
        <w:rPr>
          <w:noProof/>
        </w:rPr>
        <w:t>.</w:t>
      </w:r>
    </w:p>
    <w:p>
      <w:pPr>
        <w:rPr>
          <w:noProof/>
        </w:rPr>
      </w:pPr>
      <w:r>
        <w:rPr>
          <w:noProof/>
        </w:rPr>
        <w:lastRenderedPageBreak/>
        <w:t>Raportointikauden aikana komission asetuksella (EU) N:o 516/2015 muutettiin asetusta (EY) N:o 874/2004 ottamalla käyttöön teknisiä tarkistuksia, jotta voidaan välttää mahdollinen visuaalinen sekaannus rekisteröityjen .eu-verkkotunnusten välillä, erityisesti kun otetaan huomioon joulukuusta 2009 lähtien .eu-aluetunnuksen alaisuuteen kuuluneet kansainvälistetyt verkkotunnukset (IDN). Asetukseen tehdyillä muutoksilla</w:t>
      </w:r>
    </w:p>
    <w:p>
      <w:pPr>
        <w:numPr>
          <w:ilvl w:val="0"/>
          <w:numId w:val="31"/>
        </w:numPr>
        <w:rPr>
          <w:noProof/>
        </w:rPr>
      </w:pPr>
      <w:r>
        <w:rPr>
          <w:noProof/>
        </w:rPr>
        <w:t xml:space="preserve">varmistetaan, että rekisteri tarkistaa rekisteröintihakemusten pätevyyden ennen verkkotunnuksen rekisteröintiä eikä pelkästään sen jälkeen, </w:t>
      </w:r>
    </w:p>
    <w:p>
      <w:pPr>
        <w:numPr>
          <w:ilvl w:val="0"/>
          <w:numId w:val="31"/>
        </w:numPr>
        <w:rPr>
          <w:noProof/>
        </w:rPr>
      </w:pPr>
      <w:r>
        <w:rPr>
          <w:noProof/>
        </w:rPr>
        <w:t>hyväksytään rekisterin käyttöön IDNA 2008 -pöytäkirjan sallimia muita kirjainmerkkejä ja päivitetään EU:ssa, Islannissa, Liechtensteinissa ja Norjassa varattujen verkkotunnusten luettelo.</w:t>
      </w:r>
    </w:p>
    <w:p>
      <w:pPr>
        <w:rPr>
          <w:rFonts w:ascii="Times" w:hAnsi="Times" w:cs="Times"/>
          <w:noProof/>
        </w:rPr>
      </w:pPr>
      <w:r>
        <w:rPr>
          <w:noProof/>
        </w:rPr>
        <w:t>Asetuksen (EY) N:o 733/2002 mukaisesti komissio julkaisi toukokuussa 2013 ”.eu” -aluetunnusrekisterin valitsemiseksi kiinnostuksenilmaisupyynnön, jonka määräaika päättyi 20. kesäkuuta 2013. Ainoa hakemus saatiin EURidiltä</w:t>
      </w:r>
      <w:r>
        <w:rPr>
          <w:rStyle w:val="FootnoteReference"/>
          <w:noProof/>
        </w:rPr>
        <w:footnoteReference w:id="6"/>
      </w:r>
      <w:r>
        <w:rPr>
          <w:noProof/>
        </w:rPr>
        <w:t>. Arvioijat totesivat, että EURidin ehdotus täytti vähimmäisvaatimukset kunkin valintaperusteen osalta. Komission päätös EURidin nimeämisestä .eu-aluetunnusrekisteriksi julkaistiin 12. huhtikuuta 2014</w:t>
      </w:r>
      <w:r>
        <w:rPr>
          <w:rStyle w:val="FootnoteReference"/>
          <w:noProof/>
        </w:rPr>
        <w:footnoteReference w:id="7"/>
      </w:r>
      <w:r>
        <w:rPr>
          <w:noProof/>
        </w:rPr>
        <w:t xml:space="preserve">. </w:t>
      </w:r>
      <w:r>
        <w:rPr>
          <w:noProof/>
        </w:rPr>
        <w:tab/>
      </w:r>
    </w:p>
    <w:p>
      <w:pPr>
        <w:pStyle w:val="ManualHeading1"/>
        <w:rPr>
          <w:noProof/>
        </w:rPr>
      </w:pPr>
      <w:r>
        <w:t>3.</w:t>
      </w:r>
      <w:r>
        <w:tab/>
      </w:r>
      <w:r>
        <w:rPr>
          <w:noProof/>
        </w:rPr>
        <w:t>eu-verkkotunnusten rekisteröinti ja käyttö</w:t>
      </w:r>
    </w:p>
    <w:p>
      <w:pPr>
        <w:rPr>
          <w:noProof/>
        </w:rPr>
      </w:pPr>
      <w:r>
        <w:rPr>
          <w:noProof/>
        </w:rPr>
        <w:t xml:space="preserve">Tämän kertomuksen kattamalla ajanjaksolla maantieteellisen .eu-aluetunnuksen käyttö kasvoi edelleen tasaisesti muiden eurooppalaisten maantieteellisten aluetunnusten rinnalla. Vuonna 2014 .eu-tunnuksen käytön vuotuinen kasvu oli poikkeuksellisen korkea (5,3 %). .eu-aluetunnuksella oli yhteensä lähes 3,9 miljoonaa rekisteröintiä vuoden 2015 ensimmäisen vuosineljänneksen lopussa, missä oli nettokasvua 4,3 prosenttia edellisen raportin jälkeen. .eu-aluetunnus on nyt EU:n neljänneksi suosituin.  </w:t>
      </w:r>
    </w:p>
    <w:p>
      <w:pPr>
        <w:rPr>
          <w:noProof/>
        </w:rPr>
      </w:pPr>
      <w:r>
        <w:rPr>
          <w:noProof/>
        </w:rPr>
        <w:t>.eu-aluetunnusten keskimääräinen uudistamisaste on edelleen 80 prosenttia, mikä on hyvä saavutus verrattuna keskiarvoon (73 %).</w:t>
      </w:r>
    </w:p>
    <w:p>
      <w:pPr>
        <w:rPr>
          <w:noProof/>
        </w:rPr>
      </w:pPr>
      <w:r>
        <w:rPr>
          <w:noProof/>
        </w:rPr>
        <w:t xml:space="preserve">Verkkotunnusten toimintaympäristö on muuttunut dramaattisesti viimeksi kuluneiden kahden vuoden aikana, koska uusia geneerisiä aluetunnuksia (gTLD) on alettu ottaa käyttöön ICANNin (Internet Corporation for Assigned Names and Numbers) lanseerattua uudet gTLD-päätteet. Tämän raportin laatimisen ajankohtana uusia gTLD-päätteitä oli delegoitu 648. Niille rekisteröityjä verkkotunnuksia oli kaikkiaan 6,3 miljoonaa. Suosituin on .xyz hieman yli miljoonalla rekisteröinnillä. Uudet gTLD-markkinat eivät ole kuitenkaan täyttäneet kaikkia odotuksia, koska käyttäjäkysyntä on jäänyt paljon odotettua pienemmäksi. ccTLD-tunnusten tasolla vaikutus on toistaiseksi ollut vähäinen eri syistä, joita ovat markkinoiden saturaatio, kilpailukyvyn kasvu sekä se, että rekisterinpitäjien tasolla on enemmän valtaa, kun osasta niistä on tullut rekistereitä ja päinvastoin. On arvioitu, että ccTLD-tunnusten käytön kasvu hidastuu ja saattaa jopa kääntyä laskuun vuodesta 2017. </w:t>
      </w:r>
    </w:p>
    <w:p>
      <w:pPr>
        <w:rPr>
          <w:noProof/>
        </w:rPr>
      </w:pPr>
      <w:r>
        <w:rPr>
          <w:noProof/>
        </w:rPr>
        <w:t xml:space="preserve">Ottaen huomioon historiallinen kehitys, nykyinen markkinatilanne ja tuleva kasvuennuste tavoitteena on ylläpitää rekisteröintien määrän kasvua noin 4 prosentilla vuodessa. </w:t>
      </w:r>
    </w:p>
    <w:p>
      <w:pPr>
        <w:pStyle w:val="ManualHeading1"/>
        <w:rPr>
          <w:noProof/>
        </w:rPr>
      </w:pPr>
      <w:r>
        <w:t>4.</w:t>
      </w:r>
      <w:r>
        <w:tab/>
      </w:r>
      <w:r>
        <w:rPr>
          <w:noProof/>
        </w:rPr>
        <w:t>Kansainvälistetyt verkkotunnukset (IDN)</w:t>
      </w:r>
    </w:p>
    <w:p>
      <w:pPr>
        <w:pStyle w:val="ManualHeading2"/>
        <w:rPr>
          <w:noProof/>
        </w:rPr>
      </w:pPr>
      <w:r>
        <w:t>4.1.</w:t>
      </w:r>
      <w:r>
        <w:tab/>
      </w:r>
      <w:r>
        <w:rPr>
          <w:noProof/>
        </w:rPr>
        <w:t>.eu-IDN</w:t>
      </w:r>
    </w:p>
    <w:p>
      <w:pPr>
        <w:rPr>
          <w:noProof/>
        </w:rPr>
      </w:pPr>
      <w:r>
        <w:rPr>
          <w:noProof/>
        </w:rPr>
        <w:t>Kansainvälistettyjen verkkotunnusten käyttöönotto aluetunnustasolla kuuluu ICANNin toimivaltaan. ICANN käynnisti 16. marraskuuta 2009 nopeutetun hyväksymisprosessin</w:t>
      </w:r>
      <w:r>
        <w:rPr>
          <w:rStyle w:val="FootnoteReference"/>
          <w:noProof/>
        </w:rPr>
        <w:footnoteReference w:id="8"/>
      </w:r>
      <w:r>
        <w:rPr>
          <w:noProof/>
        </w:rPr>
        <w:t xml:space="preserve"> helpottaakseen maatunnuksia (esim. .gr, .bg, .eu) edustavien, ei-latinalaisia merkistöjä (esim. kyrillinen, kreikkalainen, arabialainen ja kiinalainen merkistö) käyttävien aluetunnusten muotojen käyttöönottoa. </w:t>
      </w:r>
    </w:p>
    <w:p>
      <w:pPr>
        <w:autoSpaceDE w:val="0"/>
        <w:autoSpaceDN w:val="0"/>
        <w:adjustRightInd w:val="0"/>
        <w:rPr>
          <w:noProof/>
        </w:rPr>
      </w:pPr>
      <w:r>
        <w:rPr>
          <w:noProof/>
        </w:rPr>
        <w:t xml:space="preserve">EURid jätti ICANNille hakemuksen .eu-aluetunnuksen kyrillisestä ja kreikkalaisesta versiosta 5. toukokuuta 2010. Hakemus perustui Kyproksen, Kreikan ja Bulgarian komissiolle ilmoittamiin .eu-päätteen versioihin. Kreikkalainen merkkijono .ευ ja kyrillinen merkkijono .ею katsottiin kuitenkin hämäävän samankaltaisiksi kuin käytössä oleva ASCII-muotoinen ccTLD-tunnus (.eu), minkä vuoksi niiden käyttöönottoa jouduttiin arvioimaan pitkällisessä prosessissa. </w:t>
      </w:r>
    </w:p>
    <w:p>
      <w:pPr>
        <w:suppressAutoHyphens/>
        <w:autoSpaceDE w:val="0"/>
        <w:autoSpaceDN w:val="0"/>
        <w:adjustRightInd w:val="0"/>
        <w:spacing w:after="0"/>
        <w:rPr>
          <w:noProof/>
        </w:rPr>
      </w:pPr>
      <w:r>
        <w:rPr>
          <w:noProof/>
        </w:rPr>
        <w:t xml:space="preserve">Kyrillinen merkkijono (.ею) läpäisi arvioinnin, mutta kreikkalainen merkkijono (.ευ) ei läpäissyt menettelyn teknistä arviointivaihetta, koska se oli ”silmämääräisesti joko identtinen tai sekoitettavissa ainakin kolmen ISO 646-BV -merkkijonon (“.eu”, “.ev” ja “.ey”) kanssa”. Komissio pyysi EURidia lykkäämään mahdollista kyrillisen merkkijonon (.ею) delegointipyyntöä, kunnes kreikkalaiseen merkkijonoon (.ευ) liittyvät kysymykset oli ratkaistu. </w:t>
      </w:r>
    </w:p>
    <w:p>
      <w:pPr>
        <w:suppressAutoHyphens/>
        <w:autoSpaceDE w:val="0"/>
        <w:autoSpaceDN w:val="0"/>
        <w:adjustRightInd w:val="0"/>
        <w:spacing w:after="0"/>
        <w:rPr>
          <w:noProof/>
        </w:rPr>
      </w:pPr>
    </w:p>
    <w:p>
      <w:pPr>
        <w:suppressAutoHyphens/>
        <w:autoSpaceDE w:val="0"/>
        <w:autoSpaceDN w:val="0"/>
        <w:adjustRightInd w:val="0"/>
        <w:spacing w:after="0"/>
        <w:rPr>
          <w:noProof/>
        </w:rPr>
      </w:pPr>
      <w:r>
        <w:rPr>
          <w:noProof/>
        </w:rPr>
        <w:t xml:space="preserve">Tämän raportin kattamalla ajanjaksolla komissio ja EURid ovat laatineet .eu-IDN:n ylätason toteuttamissuunnitelman. EURidin syyskuussa 2014 julkaisemassa suunnitelmassa esitetään lähestymistapa kreikkalaisen ja kyrillisen .eu-tunnukseen käyttöönottoon (esim. sallimalla vain ”kreikka.kreikka”) ja nykyisen järjestelmän perinnön hallinnointiin (”non-Latin.ASCII”).  </w:t>
      </w:r>
    </w:p>
    <w:p>
      <w:pPr>
        <w:suppressAutoHyphens/>
        <w:autoSpaceDE w:val="0"/>
        <w:autoSpaceDN w:val="0"/>
        <w:adjustRightInd w:val="0"/>
        <w:spacing w:after="0"/>
        <w:rPr>
          <w:noProof/>
        </w:rPr>
      </w:pPr>
    </w:p>
    <w:p>
      <w:pPr>
        <w:suppressAutoHyphens/>
        <w:autoSpaceDE w:val="0"/>
        <w:autoSpaceDN w:val="0"/>
        <w:adjustRightInd w:val="0"/>
        <w:spacing w:after="0"/>
        <w:rPr>
          <w:noProof/>
        </w:rPr>
      </w:pPr>
      <w:r>
        <w:rPr>
          <w:noProof/>
        </w:rPr>
        <w:t xml:space="preserve">Sovittuaan noudatettavasta strategiasta komission kanssa EURid jätti 20. tammikuuta 2014 pyynnön .ευ-merkkijonon uudelleenarvioinnista EPSRP-paneelille (Extended Process Similarity Review Panel) ja lähetti ICANNin hallintoneuvostolle kirjeen, jossa tuotiin esille nykyiseen IDN ccTLD -toteutussuunnitelmaan ja ICANNin marraskuussa 2013 julkaisemiin EPSRP-suuntaviivoihin liittyviä huolenaiheita ja epäjohdonmukaisuuksia. ICANNilta saadussa vastauksessa ei vastattu asianmukaisesti moniin esille nostettuihin kysymyksiin. </w:t>
      </w:r>
    </w:p>
    <w:p>
      <w:pPr>
        <w:suppressAutoHyphens/>
        <w:autoSpaceDE w:val="0"/>
        <w:autoSpaceDN w:val="0"/>
        <w:adjustRightInd w:val="0"/>
        <w:spacing w:after="0"/>
        <w:rPr>
          <w:noProof/>
        </w:rPr>
      </w:pPr>
    </w:p>
    <w:p>
      <w:pPr>
        <w:spacing w:before="0" w:after="0"/>
        <w:rPr>
          <w:noProof/>
        </w:rPr>
      </w:pPr>
      <w:r>
        <w:rPr>
          <w:noProof/>
        </w:rPr>
        <w:t xml:space="preserve">EPSRP:n arvioinnin tulokset annettiin tiedoksi EURidille 10. lokakuuta 2014 ja julkaistiin ICANNin verkkosivustolla julkisesti kommentoitaviksi 17. lokakuuta 2014. Paneeli katsoi, ettei .ευ-merkkijono ole hämäävän samankaltainen merkkijonojen ”.ev” ja ”.ey” kanssa, mutta sekoitettavissa merkkijonoihin ”.EV” ja ”.EY”. Lingvistisen paneelin suuntaviivoihin ei sisältynyt menettelyä, jota paneelin olisi sovellettava siinä tapauksessa, että merkkijonon katsotaan aiheuttavan sekaannusta toisen merkkijonon kanssa vain siinä tapauksessa, että jälkimmäinen kirjoitetaan suuraakkosin. </w:t>
      </w:r>
    </w:p>
    <w:p>
      <w:pPr>
        <w:spacing w:before="0" w:after="0"/>
        <w:rPr>
          <w:noProof/>
        </w:rPr>
      </w:pPr>
    </w:p>
    <w:p>
      <w:pPr>
        <w:spacing w:before="0" w:after="0"/>
        <w:rPr>
          <w:noProof/>
        </w:rPr>
      </w:pPr>
      <w:r>
        <w:rPr>
          <w:noProof/>
        </w:rPr>
        <w:t>Komission ja EURidin edustajat painottivat useissa kokouksissa merkkijonojen samankaltaisuuden arviointimenettelyn heikkoutta ja pinnallisuutta. Menettelyä sovelletaan hyvin tiukasti ccTLD-ympäristössä, mutta paljon väljemmin uudessa gTLD-ympäristössä, jossa esimerkiksi merkkijonojen .hotel ja .hotels tai .car ja .cars ei katsota aiheuttavan sekaannusta, minkä vuoksi ne hyväksyttiin. Nyt käsillä olevan raportin laatimisen aikaan ICANNin hallintoneuvosto on pyytänyt ICANNin henkilöstöä ja maatunnusten tukiorganisaatiota ccNSO:ta tarkistamaan nopeutettua menettelyä antamalla ohjeita tapauksiin, joissa samankaltaisuus koskee suuraakkosia mutta ei pieniä kirjaimia.</w:t>
      </w:r>
    </w:p>
    <w:p>
      <w:pPr>
        <w:rPr>
          <w:noProof/>
        </w:rPr>
      </w:pPr>
      <w:r>
        <w:rPr>
          <w:noProof/>
        </w:rPr>
        <w:t xml:space="preserve">Monikielisyys on turvattu Euroopan unionin perussopimuksissa, ja monikielisyyden kannustaminen, edistäminen ja helpottaminen kuuluu EU:n toimielinten johtaviin periaatteisiin. Tästä syystä maantieteelliseen aluetunnuksen ”.eu” käytettävyys muissa eurooppalaisissa merkistöissä on tärkeä poliittinen tavoite. </w:t>
      </w:r>
    </w:p>
    <w:p>
      <w:pPr>
        <w:pStyle w:val="ManualHeading1"/>
        <w:rPr>
          <w:noProof/>
        </w:rPr>
      </w:pPr>
      <w:r>
        <w:t>5.</w:t>
      </w:r>
      <w:r>
        <w:tab/>
      </w:r>
      <w:r>
        <w:rPr>
          <w:noProof/>
        </w:rPr>
        <w:t>Rekisterin toiminta</w:t>
      </w:r>
    </w:p>
    <w:p>
      <w:pPr>
        <w:pStyle w:val="ManualHeading2"/>
        <w:rPr>
          <w:noProof/>
        </w:rPr>
      </w:pPr>
      <w:r>
        <w:t>5.1.</w:t>
      </w:r>
      <w:r>
        <w:tab/>
      </w:r>
      <w:r>
        <w:rPr>
          <w:noProof/>
        </w:rPr>
        <w:t>Rekisteri</w:t>
      </w:r>
    </w:p>
    <w:p>
      <w:pPr>
        <w:autoSpaceDE w:val="0"/>
        <w:autoSpaceDN w:val="0"/>
        <w:adjustRightInd w:val="0"/>
        <w:rPr>
          <w:noProof/>
        </w:rPr>
      </w:pPr>
      <w:r>
        <w:rPr>
          <w:noProof/>
        </w:rPr>
        <w:t>EURid on Euroopan laajuisesti toimiva voittoa tavoittelematon organisaatio, jolla on päätoimipaikka Diegemissä (Belgia) ja alueelliset toimipisteet Tukholmassa, Prahassa ja Pisassa. Sillä on kaksi perustajajäsentä, DNS Belgium (.be-rekisteri) ja Istituto di Informatica e Telematica (.it-rekisteri), ja kahdeksan liitännäisjäsentä: ARNES (.si-rekisteri), CZ.NIC (.cz-rekisteri), Business Europe (liitto, johon kuuluu 39 alan kattojärjestöä 33 maasta), ECTA Internet Committee (European Community Trademark Association), EMOTA (European Multi-channel and Online Trade Association), IAB Europe (Interactive Advertising Bureau), CECUA (Confederation of European Computer Users) ja UEAPME (</w:t>
      </w:r>
      <w:r>
        <w:rPr>
          <w:rStyle w:val="st"/>
          <w:noProof/>
        </w:rPr>
        <w:t>Käsiteollisuuden ja pienten ja keskisuurten yritysten eurooppalainen liitto</w:t>
      </w:r>
      <w:r>
        <w:rPr>
          <w:noProof/>
        </w:rPr>
        <w:t>). EURidin keskuspalvelimet sijaitsevat Belgiassa (Bryssel) ja Alankomaissa (Amsterdam).</w:t>
      </w:r>
    </w:p>
    <w:p>
      <w:pPr>
        <w:pStyle w:val="ManualHeading2"/>
        <w:rPr>
          <w:noProof/>
        </w:rPr>
      </w:pPr>
      <w:r>
        <w:t>5.2.</w:t>
      </w:r>
      <w:r>
        <w:tab/>
      </w:r>
      <w:r>
        <w:rPr>
          <w:noProof/>
        </w:rPr>
        <w:t>Yhteydet rekisterinpitäjiin</w:t>
      </w:r>
    </w:p>
    <w:p>
      <w:pPr>
        <w:rPr>
          <w:noProof/>
        </w:rPr>
      </w:pPr>
      <w:r>
        <w:rPr>
          <w:noProof/>
        </w:rPr>
        <w:t>Lainsäädännön mukaan .eu-rekisteri ei itse toimi rekisterinpitäjänä</w:t>
      </w:r>
      <w:r>
        <w:rPr>
          <w:rStyle w:val="FootnoteReference"/>
          <w:noProof/>
        </w:rPr>
        <w:footnoteReference w:id="9"/>
      </w:r>
      <w:r>
        <w:rPr>
          <w:noProof/>
        </w:rPr>
        <w:t>. EURidin toiminnan painopisteenä on tarjota laadukkaita palveluja sen 751 akkreditoidulle rekisterinpitäjälle. EURid järjestää säännöllisesti asiakastyytyväisyystutkimuksia. Rekisterin viimeisin .eu-aluetunnusta koskenut tyytyväisyystutkimus järjestettiin vuoden 2013 viimeisellä ja vuoden 2014 ensimmäisellä neljänneksellä. Kaikkiaan 176:sta ylätason rekisterinpitäjästä kyselyyn vastasi 103, joista 97 prosenttia oli tyytyväisiä tai erittäin tyytyväisiä.</w:t>
      </w:r>
    </w:p>
    <w:p>
      <w:pPr>
        <w:rPr>
          <w:noProof/>
        </w:rPr>
      </w:pPr>
      <w:r>
        <w:rPr>
          <w:noProof/>
        </w:rPr>
        <w:t xml:space="preserve">EURid tarjoaa rekisterinpitäjilleen tukipalvelua vuorokauden ympäri. </w:t>
      </w:r>
    </w:p>
    <w:p>
      <w:pPr>
        <w:rPr>
          <w:noProof/>
        </w:rPr>
      </w:pPr>
      <w:r>
        <w:rPr>
          <w:noProof/>
        </w:rPr>
        <w:t>Rekisteri siirtyi uuteen rekisteröintijärjestelmään 15. syyskuuta 2014 .eu-rekisterinpitäjien kanssa käydyn intensiivisen ja jäsennellyn neuvonpidon jälkeen. Uudessa järjestelmässä otettiin käyttöön uusia verkkotunnuksen tiloja (”status”) ja tehtiin muutoksia DAS-palveluun (Domain Availability Service), Whois-järjestelmään</w:t>
      </w:r>
      <w:r>
        <w:rPr>
          <w:rStyle w:val="FootnoteReference"/>
          <w:noProof/>
        </w:rPr>
        <w:footnoteReference w:id="10"/>
      </w:r>
      <w:r>
        <w:rPr>
          <w:noProof/>
        </w:rPr>
        <w:t xml:space="preserve"> ja EPP-protokollaan (Extensible Provisioning Protocol) sekä verkkotunnusten voimassaolon päättymis- ja uusimisaikoihin. </w:t>
      </w:r>
    </w:p>
    <w:p>
      <w:pPr>
        <w:pStyle w:val="ManualHeading2"/>
        <w:rPr>
          <w:noProof/>
        </w:rPr>
      </w:pPr>
      <w:r>
        <w:t>5.3.</w:t>
      </w:r>
      <w:r>
        <w:tab/>
      </w:r>
      <w:r>
        <w:rPr>
          <w:noProof/>
        </w:rPr>
        <w:t>Kansainväliset suhteet</w:t>
      </w:r>
    </w:p>
    <w:p>
      <w:pPr>
        <w:rPr>
          <w:noProof/>
        </w:rPr>
      </w:pPr>
      <w:r>
        <w:rPr>
          <w:noProof/>
        </w:rPr>
        <w:t xml:space="preserve">Raportointikaudella EURid toimi säännöllisesti ja aktiivisesti internetin ekosysteemissä muun muassa osallistumalla Euroopan kansallisten aluetunnusrekisterien neuvoston (CENTR) kokouksiin ja seminaareihin, toimimalla puheenjohtajana CENTR-IGF-työryhmässä, mikä johti alueellisten organisaatioiden menestyksekkääseen workshop-osallistumiseen IGF:n vuosikokouksissa 2013 ja 2014, osallistumalla ICANNin kokouksiin ja ccNSO:n työryhmiin IDN-politiikan kehittämisprosessista, toimimalla puheenjohtajana ICANNin ccNSO:n strategia- ja toimintasuunnitelmatyöryhmässä vuodesta 2014, toimimalla kumppanuudessa UNESCOn kanssa, tekemällä yhteistyötä ICANNin kanssa parhaiden käytäntöjen jakamiseksi Lähi-idän rekistereille ja rekisterinpitäjille sekä järjestämällä vuosittain kursseja internetin hallinnosta College of Europe -oppilaitoksessa Bruggessa ja Scuola S. Annassa Pisassa. EURidin edustajat ovat maaliskuusta 2014 lähtien myös osallistuneet aktiivisesti IANAn toimintojen ohjauksen siirron ja ICANNin vastuullisuuden prosesseihin. </w:t>
      </w:r>
    </w:p>
    <w:p>
      <w:pPr>
        <w:pStyle w:val="ManualHeading2"/>
        <w:rPr>
          <w:noProof/>
        </w:rPr>
      </w:pPr>
      <w:r>
        <w:t>5.4.</w:t>
      </w:r>
      <w:r>
        <w:tab/>
      </w:r>
      <w:r>
        <w:rPr>
          <w:noProof/>
        </w:rPr>
        <w:t>Markkinointi- ja tietoisuustoimet</w:t>
      </w:r>
    </w:p>
    <w:p>
      <w:pPr>
        <w:rPr>
          <w:noProof/>
        </w:rPr>
      </w:pPr>
      <w:r>
        <w:rPr>
          <w:noProof/>
        </w:rPr>
        <w:t>Kuluneiden kahden vuoden EURid on harjoittanut markkinointitoimintaa kahdella tasolla:</w:t>
      </w:r>
    </w:p>
    <w:p>
      <w:pPr>
        <w:numPr>
          <w:ilvl w:val="0"/>
          <w:numId w:val="32"/>
        </w:numPr>
        <w:rPr>
          <w:noProof/>
        </w:rPr>
      </w:pPr>
      <w:r>
        <w:rPr>
          <w:noProof/>
        </w:rPr>
        <w:t>luomalla toimivan yhteistyön rekisterinpitäjiensä kanssa kampanjoidakseen .eu-aluetunnuksen puolesta yhteisrahoitettavassa markkinointiohjelmassa sekä muissa kannustinohjelmissa. Markkinointiohjelmassa rekisteri tallettaa 0,75 euroa jokaisesta uudesta ja 0,30 euroa jokaisesta uusitusta .eu-verkkotunnuksesta yhteisrahoitettavalle markkinointitilille, joka on luotu kullekin rekisterinpitäjälle. Vuonna 2013 tehtiin 94 ja vuonna 2014 kaikkiaan 86 erilaista ehdotusta. Markkinointiohjelmasta on tullut yhä suositumpi rekisterinpitäjien keskuudessa, ja sitä on jäljitelty myös muissa rekistereissä. Vuonna 2013 se sai CENTRin palkinnon parhaasta rekisterimarkkinointitoimesta.</w:t>
      </w:r>
    </w:p>
    <w:p>
      <w:pPr>
        <w:numPr>
          <w:ilvl w:val="0"/>
          <w:numId w:val="32"/>
        </w:numPr>
        <w:rPr>
          <w:noProof/>
        </w:rPr>
      </w:pPr>
      <w:r>
        <w:rPr>
          <w:noProof/>
        </w:rPr>
        <w:t xml:space="preserve">.eu-verkkotunnuksesta on lisätty tietoisuutta suoramarkkinoinnin avulla kohdennetuilla verkkomainoksilla ja säännöllisellä kylttikampanjalla Brysselin lentoasemalle. Mukana on ollut yksi EURidin tunnetuimmista kampanjakasvoista, tenniksenpelaaja Flavia Pennetta. Kaikki kampanjat ohjaavat rekisterin markkinointisivustolle (ambitionhasanaddress.eurid.eu), jolla internetin käyttäjät voivat nähdä, millaisia kokemuksia yritykset ja yksityishenkilöt ovat saaneet valittuaan .eu-verkkotunnuksen toimintansa ja/tai tuotteidensa esittelyyn verkossa. </w:t>
      </w:r>
    </w:p>
    <w:p>
      <w:pPr>
        <w:rPr>
          <w:noProof/>
        </w:rPr>
      </w:pPr>
      <w:r>
        <w:rPr>
          <w:noProof/>
        </w:rPr>
        <w:t>EURid lanseerasi vuonna 2014 .eu-verkkopalkinnot, jotka myönnetään parhaille .eu-verkkosivustoille viidessä luokassa. Brysselissä 19. marraskuuta 2014 pidetty palkintotilaisuus oli merkittävä ja onnistunut tapaus .eu-verkkotunnuksen profiloinnissa. Menestyksen innoittaman rekisterin aikoo järjestää toisen palkintokierroksen.</w:t>
      </w:r>
    </w:p>
    <w:p>
      <w:pPr>
        <w:pStyle w:val="ManualHeading2"/>
        <w:rPr>
          <w:noProof/>
        </w:rPr>
      </w:pPr>
      <w:r>
        <w:t>5.5.</w:t>
      </w:r>
      <w:r>
        <w:tab/>
      </w:r>
      <w:r>
        <w:rPr>
          <w:noProof/>
        </w:rPr>
        <w:t>Taloudellinen tilanne</w:t>
      </w:r>
    </w:p>
    <w:p>
      <w:pPr>
        <w:rPr>
          <w:noProof/>
        </w:rPr>
      </w:pPr>
      <w:r>
        <w:rPr>
          <w:noProof/>
        </w:rPr>
        <w:t>Rekisteri on ulkopuolinen organisaatio, joka tekee päätöksensä itsenäisesti. Komissio seuraa kuitenkin lainsäädännön ja palveluntarjontasopimuksen mukaisesti tarkkaan rekisterin taloudellista tilaa. Kattavista paikan päällä tehtävistä tilintarkastuksista vastaa riippumaton tilintarkastaja. Komissio hoitaa valvontarooliaan muun muassa perehtymällä tilintarkastajien huomioihin, taloudellisiin vuosineljännes- ja vuosiraportteihin, neljä kertaa vuodessa annettaviin edistymisraportteihin, talousarvioihin sekä strategia- ja markkinointisuunnitelmiin. Talouskysymyksistä keskustellaan rekisterin kanssa säännöllisesti neljännesvuosittain järjestettävissä tapaamisissa ja alemman tason yhteydenpidossa.</w:t>
      </w:r>
    </w:p>
    <w:p>
      <w:pPr>
        <w:rPr>
          <w:rFonts w:cs="Arial"/>
          <w:noProof/>
        </w:rPr>
      </w:pPr>
      <w:r>
        <w:rPr>
          <w:noProof/>
        </w:rPr>
        <w:t>Rekisterin toiminnan alkuvaiheessa suurista rekisteröintimääristä saadut tulot olivat huomattavasti suuremmat kuin rekisterin kustannukset. Tästä johtuvat vuotuiset ylijäämät siirrettiin EU:n talousarvioon. Ylijäämien rajoittamiseksi ja rekisteröintimäärien kasvusta johtuvan verkkotunnuskohtaisten kustannusten laskun huomioon ottamiseksi rekisteri on asteittain alentanut rekisterinpitäjiltä perimiään eri maksuja. Jotta rekisteri voisi täyttää omakustannushintaa koskevan sopimusvelvoitteensa, se päätti alentaa verkkotunnuksen uusimisesta ja rekisteröintijakson jatkamisesta perittävää maksua 4,00 eurosta 3,75 euroon tammikuusta 2013 alkaen.</w:t>
      </w:r>
    </w:p>
    <w:p>
      <w:pPr>
        <w:widowControl w:val="0"/>
        <w:autoSpaceDE w:val="0"/>
        <w:autoSpaceDN w:val="0"/>
        <w:adjustRightInd w:val="0"/>
        <w:spacing w:before="0" w:after="0"/>
        <w:rPr>
          <w:noProof/>
        </w:rPr>
      </w:pPr>
      <w:r>
        <w:rPr>
          <w:noProof/>
        </w:rPr>
        <w:t xml:space="preserve">Rekisterin keskeiset taloudelliset muuttujat pysyivät vakaina vuosina 2013 ja 2014. Tulot ja kustannukset olivat kumpikin noin 13 miljoonaa euroa/vuosi. Tämän vuoksi nettotulos on ollut tasapainoisempi kuin aiempina vuosina. Vuosilta 2013 ja 2014 kertyneet ylijäämät olivat ja 535 017 euroa 76 953 euroa, jotka siirrettiin Euroopan unionin talousarvioon. </w:t>
      </w:r>
    </w:p>
    <w:p>
      <w:pPr>
        <w:widowControl w:val="0"/>
        <w:autoSpaceDE w:val="0"/>
        <w:autoSpaceDN w:val="0"/>
        <w:adjustRightInd w:val="0"/>
        <w:spacing w:before="0" w:after="0"/>
        <w:rPr>
          <w:noProof/>
        </w:rPr>
      </w:pPr>
    </w:p>
    <w:p>
      <w:pPr>
        <w:widowControl w:val="0"/>
        <w:autoSpaceDE w:val="0"/>
        <w:autoSpaceDN w:val="0"/>
        <w:adjustRightInd w:val="0"/>
        <w:spacing w:before="0" w:after="0"/>
        <w:rPr>
          <w:noProof/>
        </w:rPr>
      </w:pPr>
      <w:r>
        <w:rPr>
          <w:noProof/>
        </w:rPr>
        <w:t>Komissio perehtyi tarkasti muutoksiin rekisterin budjetoiduissa ja todellisissa kustannuksissa, erityisesti markkinointikustannuksiin (2,8 milj. euroa vuonna 2013 ja 3,0 milj. euroa vuonna 2014)</w:t>
      </w:r>
      <w:r>
        <w:rPr>
          <w:rStyle w:val="FootnoteReference"/>
          <w:noProof/>
        </w:rPr>
        <w:footnoteReference w:id="11"/>
      </w:r>
      <w:r>
        <w:rPr>
          <w:noProof/>
        </w:rPr>
        <w:t xml:space="preserve"> ja henkilöstökustannuksiin (4,7 milj. euroa vuonna 2013 ja 4,4 milj. euroa vuonna 2014). Markkinointikustannusten nousu vuonna 2014 johtui rekisteröintien suuresta määrästä, mikä puolestaan lisäsi maksuosuuksia yhteisrahoitteiseen markkinointirahastoon ja uusiin aloitteisiin tietoisuuden lisäämiseksi liittyen siihen, että Islannin, Liechtensteinin ja Norjan asukkailla on nyt oikeus rekisteröidä .eu-verkkotunnuksia.</w:t>
      </w:r>
    </w:p>
    <w:p>
      <w:pPr>
        <w:widowControl w:val="0"/>
        <w:autoSpaceDE w:val="0"/>
        <w:autoSpaceDN w:val="0"/>
        <w:adjustRightInd w:val="0"/>
        <w:spacing w:before="0" w:after="0"/>
        <w:rPr>
          <w:noProof/>
        </w:rPr>
      </w:pPr>
    </w:p>
    <w:p>
      <w:pPr>
        <w:pStyle w:val="ManualHeading2"/>
        <w:rPr>
          <w:noProof/>
        </w:rPr>
      </w:pPr>
      <w:r>
        <w:t>5.6.</w:t>
      </w:r>
      <w:r>
        <w:tab/>
      </w:r>
      <w:r>
        <w:rPr>
          <w:noProof/>
        </w:rPr>
        <w:t>Toiminnan jatkuvuus, kestävyys ja laatu</w:t>
      </w:r>
    </w:p>
    <w:p>
      <w:pPr>
        <w:pStyle w:val="ManualHeading3"/>
        <w:rPr>
          <w:noProof/>
        </w:rPr>
      </w:pPr>
      <w:r>
        <w:t>5.6.1.</w:t>
      </w:r>
      <w:r>
        <w:tab/>
      </w:r>
      <w:r>
        <w:rPr>
          <w:noProof/>
        </w:rPr>
        <w:t>Toiminnan jatkuvuus</w:t>
      </w:r>
    </w:p>
    <w:p>
      <w:pPr>
        <w:widowControl w:val="0"/>
        <w:autoSpaceDE w:val="0"/>
        <w:autoSpaceDN w:val="0"/>
        <w:adjustRightInd w:val="0"/>
        <w:rPr>
          <w:noProof/>
        </w:rPr>
      </w:pPr>
      <w:r>
        <w:rPr>
          <w:noProof/>
        </w:rPr>
        <w:t xml:space="preserve">EURid toteutti testin kriisitilanteesta palautumiseksi useissa osissa infrastruktuuriaan. Testi osoitti, ettei puhelinjärjestelmien oletettu varakapasiteetti toiminut suunnitellusti vaan tarvitsi korjaavia toimia. Kytkentäverkko toimi ydinosiltaan moitteettomasti simuloidun vian aikana eivätkä palvelut katkenneet, ja front end -puolen kytkimet, joiden kautta palvelimet ovat yhteydessä palomuureihin ja internetiin, toimivat oikein valvotun varajärjestelmään vaihdon aikana, mutta joidenkin palvelujen toiminta katkesi johtuen siitä, etteivät toimintaoletukset toteutuneet käytännössä. Oletuksia korjattiin, ja uudet testit osoittivat varajärjestelmään vaihdon toimivan suunnitellusti </w:t>
      </w:r>
    </w:p>
    <w:p>
      <w:pPr>
        <w:widowControl w:val="0"/>
        <w:autoSpaceDE w:val="0"/>
        <w:autoSpaceDN w:val="0"/>
        <w:adjustRightInd w:val="0"/>
        <w:rPr>
          <w:noProof/>
        </w:rPr>
      </w:pPr>
      <w:r>
        <w:rPr>
          <w:noProof/>
        </w:rPr>
        <w:t xml:space="preserve">Koko rekisteröintiohjelmisto kirjoitettiin uudelleen vuonna 2014, ja se otettiin käyttöön saman vuoden syyskuussa. Toiminnan jatkuvuussuunnitelmaa (BCP) testattiin auditoidusti joulukuussa. PwC:n auditoimana 16. joulukuuta suoritetussa testissä todettiin, että ”kaikki BCP:n alaan liittyvät eri ajanjaksoilla suoritettu testit on läpäisty.” </w:t>
      </w:r>
    </w:p>
    <w:p>
      <w:pPr>
        <w:pStyle w:val="ManualHeading3"/>
        <w:rPr>
          <w:noProof/>
        </w:rPr>
      </w:pPr>
      <w:r>
        <w:t>5.6.2.</w:t>
      </w:r>
      <w:r>
        <w:tab/>
      </w:r>
      <w:r>
        <w:rPr>
          <w:noProof/>
        </w:rPr>
        <w:t>Turvallisuus</w:t>
      </w:r>
    </w:p>
    <w:p>
      <w:pPr>
        <w:rPr>
          <w:rFonts w:cs="Arial"/>
          <w:noProof/>
          <w:szCs w:val="20"/>
        </w:rPr>
      </w:pPr>
      <w:r>
        <w:rPr>
          <w:noProof/>
        </w:rPr>
        <w:t>Syyskuussa 2010 EURid saattoi päätökseen DNSSEC-turvalaajennuksen käyttöönoton .eu-aluetunnuksen osalta. DNSSEC on yhteyskäytäntö, jolla todennetaan (verkko-osoitteita koskevat) nimipalvelinten vastaukset internetin juurialueelle saakka ns. luottamusketjussa. Se on suunniteltu suojaamaan internetin käyttäjiä väärennetyttä nimipalvelindatalta, mutta se voi toimia parhaalla mahdollisella tavalla vain jos kaikki hierarkkisen nimipalvelinjärjestelmän tasot varmennetaan allekirjoituksella. Vuonna 2013 otettiin käyttöön ns. DNSSEC-alennus (0,02 euron alennus verkkotunnusmaksussa kutakin oikein allekirjoitettua verkkotunnusta kohti per kuukausi) DNSSECin käyttöönoton tukemiseksi rekisterinpitäjien tasolla.</w:t>
      </w:r>
    </w:p>
    <w:p>
      <w:pPr>
        <w:pStyle w:val="ManualHeading3"/>
        <w:rPr>
          <w:noProof/>
        </w:rPr>
      </w:pPr>
      <w:r>
        <w:t>5.6.3.</w:t>
      </w:r>
      <w:r>
        <w:tab/>
      </w:r>
      <w:r>
        <w:rPr>
          <w:noProof/>
        </w:rPr>
        <w:t>Whois-laatusuunnitelma</w:t>
      </w:r>
    </w:p>
    <w:p>
      <w:pPr>
        <w:rPr>
          <w:noProof/>
        </w:rPr>
      </w:pPr>
      <w:r>
        <w:rPr>
          <w:noProof/>
        </w:rPr>
        <w:t>EURid on jatkuvaluonteisesti pyrkinyt ehkäisemään verkkourkintaa (henkilötietojen kalastelua) ja muun tyyppistä vahingollista toimintaa verkossa. Verkkotunnuksille tehdään kelpoisuusehtojen tarkastuksia ja uusista rekisteröinneistä pyritään seulomaan epäilyttäviä toimintamuotoja ja muita poikkeavuuksia.</w:t>
      </w:r>
    </w:p>
    <w:p>
      <w:pPr>
        <w:autoSpaceDE w:val="0"/>
        <w:autoSpaceDN w:val="0"/>
        <w:adjustRightInd w:val="0"/>
        <w:rPr>
          <w:noProof/>
        </w:rPr>
      </w:pPr>
      <w:r>
        <w:rPr>
          <w:noProof/>
        </w:rPr>
        <w:t xml:space="preserve">.eu-aluetunnuksen akkreditointisopimuksen 4 artiklan mukaan rekisterinpitäjien on varmistettava, että jokainen verkkotunnuksen haltija noudattaa (viimeisimpiä) EU:n asetuksia sekä rekisterin verkkosivuilla julkaistuja .eu-aluetunnuksen rekisteröintiperiaatteita ja käyttöehtoja. </w:t>
      </w:r>
    </w:p>
    <w:p>
      <w:pPr>
        <w:autoSpaceDE w:val="0"/>
        <w:autoSpaceDN w:val="0"/>
        <w:adjustRightInd w:val="0"/>
        <w:rPr>
          <w:noProof/>
        </w:rPr>
      </w:pPr>
      <w:r>
        <w:rPr>
          <w:noProof/>
        </w:rPr>
        <w:t>Vuodesta 2013 alkaen EURid on pyrkinyt parantamaan .eu Whois-datan laatua ja kannustanut rekisterinpitäjiä yhteistyöhön sopimusvelvoitteiden noudattamisessa. Tätä varten rekisteri käynnisti Whois-laatusuunnitelmahankkeen Whois-tietokannan tietojen tarkistamiseksi ja mahdollisten epätarkkuuksien korjaamiseksi.</w:t>
      </w:r>
    </w:p>
    <w:p>
      <w:pPr>
        <w:pStyle w:val="ManualHeading2"/>
        <w:rPr>
          <w:noProof/>
        </w:rPr>
      </w:pPr>
      <w:r>
        <w:t>5.7.</w:t>
      </w:r>
      <w:r>
        <w:tab/>
      </w:r>
      <w:r>
        <w:rPr>
          <w:noProof/>
        </w:rPr>
        <w:t>Rekisterin auditointi ja tekninen tarkastus 2013</w:t>
      </w:r>
    </w:p>
    <w:p>
      <w:pPr>
        <w:pStyle w:val="Text1"/>
        <w:ind w:left="0"/>
        <w:rPr>
          <w:noProof/>
        </w:rPr>
      </w:pPr>
      <w:r>
        <w:rPr>
          <w:noProof/>
        </w:rPr>
        <w:t>EURid:n kanssa tekemänsä palveluntarjontasopimuksen mukaisesti komissio voi järjestää ”tarkastuksen, jonka toimittaa joko komission valitsema ulkopuolinen elin tai komission omat yksiköt. Tarkastuksen tehtävänä on varmistaa, että toimeksisaaja noudattaa sopimusta”.</w:t>
      </w:r>
    </w:p>
    <w:p>
      <w:pPr>
        <w:pStyle w:val="Text1"/>
        <w:ind w:left="0"/>
        <w:rPr>
          <w:noProof/>
        </w:rPr>
      </w:pPr>
      <w:r>
        <w:rPr>
          <w:noProof/>
        </w:rPr>
        <w:t xml:space="preserve">Komissio suoritti tarkastuksen vuoden 2013 toisella puoliskolla. Auditoinnin ja teknisen tarkastuksen tulosten perusteella komission yksiköt katsoivat, että rekisterin hallinnoija – EURid Asbl/vzw – noudatti palveluntarjontasopimusta .eu-aluetunnuksen organisoinnissa, hallinnossa ja ylläpidossa. </w:t>
      </w:r>
    </w:p>
    <w:p>
      <w:pPr>
        <w:pStyle w:val="Text1"/>
        <w:ind w:left="0"/>
        <w:rPr>
          <w:noProof/>
        </w:rPr>
      </w:pPr>
      <w:r>
        <w:rPr>
          <w:noProof/>
        </w:rPr>
        <w:t>Samalla tarkastajat nostivat esiin parannusta kaipaavia seikkoja, kuten</w:t>
      </w:r>
    </w:p>
    <w:p>
      <w:pPr>
        <w:pStyle w:val="Text1"/>
        <w:numPr>
          <w:ilvl w:val="0"/>
          <w:numId w:val="33"/>
        </w:numPr>
        <w:rPr>
          <w:noProof/>
        </w:rPr>
      </w:pPr>
      <w:r>
        <w:rPr>
          <w:noProof/>
        </w:rPr>
        <w:t xml:space="preserve">tehokkaan sisäisen strategian luominen eturistiriitojen ratkaisemiseksi (EURidilla oli jo tällainen strategia, jota tarkennettiin ja tiukennettiin auditoinnin jälkeen); </w:t>
      </w:r>
    </w:p>
    <w:p>
      <w:pPr>
        <w:pStyle w:val="Text1"/>
        <w:numPr>
          <w:ilvl w:val="0"/>
          <w:numId w:val="33"/>
        </w:numPr>
        <w:rPr>
          <w:noProof/>
        </w:rPr>
      </w:pPr>
      <w:r>
        <w:rPr>
          <w:noProof/>
        </w:rPr>
        <w:t xml:space="preserve">arviointi siitä, tarvitaanko tytäryhtiöitä kolmessa muussa jäsenvaltiossa (kyseessä oli alkuperäisessä palveluntarjontasopimuksessa asetettu velvoite). EURid oli jo sitoutunut arvioimaan tytäryhtiöiden arvon vastatessaan vuoden 2013 kiinnostuksenilmaisupyyntöön .eu-aluetunnusrekisterin valitsemiseksi; </w:t>
      </w:r>
    </w:p>
    <w:p>
      <w:pPr>
        <w:pStyle w:val="Text1"/>
        <w:numPr>
          <w:ilvl w:val="0"/>
          <w:numId w:val="33"/>
        </w:numPr>
        <w:rPr>
          <w:noProof/>
        </w:rPr>
      </w:pPr>
      <w:r>
        <w:rPr>
          <w:noProof/>
        </w:rPr>
        <w:t xml:space="preserve">virallisen hankintamenettelyn käyttöönotto (EURid on auditoinnin jälkeen virallistanut sisäisen menettelynsä ja tehnyt sen pakolliseksi tietyn kynnysarvon ylittäville menoille); </w:t>
      </w:r>
    </w:p>
    <w:p>
      <w:pPr>
        <w:pStyle w:val="Text1"/>
        <w:numPr>
          <w:ilvl w:val="0"/>
          <w:numId w:val="33"/>
        </w:numPr>
        <w:rPr>
          <w:noProof/>
        </w:rPr>
      </w:pPr>
      <w:r>
        <w:rPr>
          <w:noProof/>
        </w:rPr>
        <w:t>säännölliset katsaukset varojen kerryttämisprosessiin (EURid toimii näin vuosittain tiiviissä yhteistyössä komission yksiköiden kanssa).</w:t>
      </w:r>
    </w:p>
    <w:p>
      <w:pPr>
        <w:pStyle w:val="ManualHeading2"/>
        <w:rPr>
          <w:noProof/>
        </w:rPr>
      </w:pPr>
      <w:r>
        <w:t>5.8.</w:t>
      </w:r>
      <w:r>
        <w:tab/>
      </w:r>
      <w:r>
        <w:rPr>
          <w:noProof/>
        </w:rPr>
        <w:t>Verkkotunnuksia koskeneet oikeuskäsittelyt ja riidat</w:t>
      </w:r>
    </w:p>
    <w:p>
      <w:pPr>
        <w:pStyle w:val="ManualHeading3"/>
        <w:rPr>
          <w:noProof/>
        </w:rPr>
      </w:pPr>
      <w:r>
        <w:t>5.8.1.</w:t>
      </w:r>
      <w:r>
        <w:tab/>
      </w:r>
      <w:r>
        <w:rPr>
          <w:noProof/>
        </w:rPr>
        <w:t>Unionin yleiseen tuomioistuimeen ja Euroopan unionin tuomioistuimeen viedyt tapaukset</w:t>
      </w:r>
    </w:p>
    <w:p>
      <w:pPr>
        <w:spacing w:before="100" w:beforeAutospacing="1" w:after="100" w:afterAutospacing="1"/>
        <w:rPr>
          <w:noProof/>
        </w:rPr>
      </w:pPr>
      <w:r>
        <w:rPr>
          <w:noProof/>
          <w:u w:val="single"/>
        </w:rPr>
        <w:t>Unionin yleinen tuomioistuin</w:t>
      </w:r>
      <w:r>
        <w:rPr>
          <w:noProof/>
        </w:rPr>
        <w:t>: ei ole</w:t>
      </w:r>
    </w:p>
    <w:p>
      <w:pPr>
        <w:spacing w:before="100" w:beforeAutospacing="1" w:after="100" w:afterAutospacing="1"/>
        <w:rPr>
          <w:noProof/>
        </w:rPr>
      </w:pPr>
      <w:r>
        <w:rPr>
          <w:noProof/>
          <w:u w:val="single"/>
        </w:rPr>
        <w:t>Euroopan unionin tuomioistuin</w:t>
      </w:r>
      <w:r>
        <w:rPr>
          <w:noProof/>
        </w:rPr>
        <w:t>: 1 ennakkoratkaisuasia.</w:t>
      </w:r>
    </w:p>
    <w:p>
      <w:pPr>
        <w:spacing w:before="100" w:beforeAutospacing="1" w:after="100" w:afterAutospacing="1"/>
        <w:rPr>
          <w:noProof/>
        </w:rPr>
      </w:pPr>
      <w:r>
        <w:rPr>
          <w:noProof/>
        </w:rPr>
        <w:t xml:space="preserve">Vuonna 2011 Brysselin muutoksenhakutuomioistuin siirsi </w:t>
      </w:r>
      <w:hyperlink r:id="rId16">
        <w:r>
          <w:rPr>
            <w:rStyle w:val="Hyperlink"/>
            <w:noProof/>
          </w:rPr>
          <w:t>lensworld.eu</w:t>
        </w:r>
      </w:hyperlink>
      <w:r>
        <w:rPr>
          <w:noProof/>
        </w:rPr>
        <w:t>-asian (</w:t>
      </w:r>
      <w:r>
        <w:rPr>
          <w:i/>
          <w:noProof/>
        </w:rPr>
        <w:t>Pie Optiek v. Bureau Gevers</w:t>
      </w:r>
      <w:r>
        <w:rPr>
          <w:noProof/>
        </w:rPr>
        <w:t xml:space="preserve">) Euroopan unionin tuomioistuimen käsiteltäväksi ennakkoratkaisuasiana. </w:t>
      </w:r>
    </w:p>
    <w:p>
      <w:pPr>
        <w:spacing w:before="100" w:beforeAutospacing="1" w:after="100" w:afterAutospacing="1"/>
        <w:rPr>
          <w:noProof/>
        </w:rPr>
      </w:pPr>
      <w:r>
        <w:rPr>
          <w:noProof/>
        </w:rPr>
        <w:t>Euroopan unionin tuomioistuin teki ratkaisunsa 19. heinäkuuta 2012. Muutoksenhakutuomioistuin antoi 3. lokakuuta 2013 lopullisen päätöksen, jossa se hylkäsi Pie Optiekin kanteen EURidia vastaan, koska siltä puuttuivat tutkittavaksi ottamisen edellytykset. Tuomioistuin totesi, että Gevers oli tehnyt virheen, ja velvoitti sen maksamaan 70 000 euroa vahingonkorvausta Pie Optiekille pääasiassa oikeudenkäynteihin liittyvinä kuluina.</w:t>
      </w:r>
    </w:p>
    <w:p>
      <w:pPr>
        <w:rPr>
          <w:noProof/>
        </w:rPr>
      </w:pPr>
      <w:r>
        <w:rPr>
          <w:noProof/>
        </w:rPr>
        <w:t>Päätökseen ei haettu muutosta, ja Brysselin muutoksenhakutuomioistuimen ratkaisu on lopullinen.</w:t>
      </w:r>
    </w:p>
    <w:p>
      <w:pPr>
        <w:pStyle w:val="ManualHeading3"/>
        <w:rPr>
          <w:noProof/>
        </w:rPr>
      </w:pPr>
      <w:r>
        <w:t>5.8.2.</w:t>
      </w:r>
      <w:r>
        <w:tab/>
      </w:r>
      <w:r>
        <w:rPr>
          <w:noProof/>
        </w:rPr>
        <w:t>Vaihtoehtoinen riidanratkaisumenettely</w:t>
      </w:r>
    </w:p>
    <w:p>
      <w:pPr>
        <w:spacing w:before="100" w:beforeAutospacing="1" w:after="100" w:afterAutospacing="1"/>
        <w:rPr>
          <w:noProof/>
        </w:rPr>
      </w:pPr>
      <w:r>
        <w:rPr>
          <w:noProof/>
        </w:rPr>
        <w:t>Kaikki .eu-verkkotunnusten haltijoiden väliset riidat tai .eu-rekisterin päätöksiä koskevat valitukset voidaan käsitellä vaihtoehtoisessa riidanratkaisumenettelyssä</w:t>
      </w:r>
      <w:bookmarkStart w:id="2" w:name="_ftnref1"/>
      <w:bookmarkEnd w:id="2"/>
      <w:r>
        <w:rPr>
          <w:noProof/>
        </w:rPr>
        <w:t xml:space="preserve"> Tšekin välimiesoikeudessa (CAC)</w:t>
      </w:r>
      <w:bookmarkStart w:id="3" w:name="_ftnref2"/>
      <w:bookmarkEnd w:id="3"/>
      <w:r>
        <w:rPr>
          <w:noProof/>
        </w:rPr>
        <w:t>.</w:t>
      </w:r>
    </w:p>
    <w:p>
      <w:pPr>
        <w:spacing w:before="100" w:beforeAutospacing="1" w:after="100" w:afterAutospacing="1"/>
        <w:rPr>
          <w:noProof/>
        </w:rPr>
      </w:pPr>
      <w:r>
        <w:rPr>
          <w:noProof/>
        </w:rPr>
        <w:t>Vaihtoehtoisen riidanratkaisumenettelyn käyttö ei rajoita mahdollisuuksia tuomioistuinkäsittelyyn. Kanteen voi nostaa verkossa millä tahansa EU:n virallisella kielellä</w:t>
      </w:r>
      <w:r>
        <w:rPr>
          <w:rStyle w:val="FootnoteReference"/>
          <w:noProof/>
        </w:rPr>
        <w:footnoteReference w:id="12"/>
      </w:r>
      <w:r>
        <w:rPr>
          <w:noProof/>
        </w:rPr>
        <w:t>.</w:t>
      </w:r>
    </w:p>
    <w:p>
      <w:pPr>
        <w:pStyle w:val="Intro"/>
        <w:spacing w:after="0" w:line="240" w:lineRule="auto"/>
        <w:jc w:val="both"/>
        <w:rPr>
          <w:rFonts w:ascii="Times New Roman" w:hAnsi="Times New Roman"/>
          <w:b w:val="0"/>
          <w:noProof/>
          <w:color w:val="auto"/>
          <w:sz w:val="24"/>
          <w:szCs w:val="24"/>
          <w:u w:val="single"/>
        </w:rPr>
      </w:pPr>
    </w:p>
    <w:p>
      <w:pPr>
        <w:pStyle w:val="Intro"/>
        <w:spacing w:after="0" w:line="240" w:lineRule="auto"/>
        <w:jc w:val="both"/>
        <w:rPr>
          <w:rFonts w:ascii="Times New Roman" w:hAnsi="Times New Roman"/>
          <w:b w:val="0"/>
          <w:noProof/>
          <w:color w:val="auto"/>
          <w:sz w:val="24"/>
          <w:szCs w:val="24"/>
          <w:u w:val="single"/>
        </w:rPr>
      </w:pPr>
      <w:r>
        <w:rPr>
          <w:rFonts w:ascii="Times New Roman" w:hAnsi="Times New Roman"/>
          <w:b w:val="0"/>
          <w:noProof/>
          <w:color w:val="auto"/>
          <w:sz w:val="24"/>
          <w:u w:val="single"/>
        </w:rPr>
        <w:t xml:space="preserve">Kanne EURidiä vastaan yhden merkin verkkotunnuksista </w:t>
      </w:r>
    </w:p>
    <w:p>
      <w:pPr>
        <w:tabs>
          <w:tab w:val="left" w:pos="567"/>
        </w:tabs>
        <w:rPr>
          <w:noProof/>
        </w:rPr>
      </w:pPr>
      <w:r>
        <w:rPr>
          <w:noProof/>
        </w:rPr>
        <w:t xml:space="preserve">EURidiä vastaan nostettiin vaihtoehtoisessa riidanratkaisumenettelyssä kanne, joka koski verkkotunnusten e.eu, f.eu, y.eu hylkäämistä. Sovellettavien sääntöjen mukaan .eu-aluetunnuksessa on oltava vähintään kaksi merkkiä. </w:t>
      </w:r>
    </w:p>
    <w:p>
      <w:pPr>
        <w:tabs>
          <w:tab w:val="left" w:pos="567"/>
        </w:tabs>
        <w:rPr>
          <w:noProof/>
        </w:rPr>
      </w:pPr>
      <w:r>
        <w:rPr>
          <w:noProof/>
        </w:rPr>
        <w:t xml:space="preserve">Kantaja kiisti EURidin hylkäävät päätökset rekisteröintipyynnöistä.  </w:t>
      </w:r>
    </w:p>
    <w:p>
      <w:pPr>
        <w:tabs>
          <w:tab w:val="left" w:pos="567"/>
        </w:tabs>
        <w:rPr>
          <w:noProof/>
        </w:rPr>
      </w:pPr>
      <w:r>
        <w:rPr>
          <w:noProof/>
        </w:rPr>
        <w:t>Vaihtoehtoisen riidanratkaisulautakunnan jäsen hylkäsi kanteen 18. marraskuuta 2014 tekemällään päätöksellä. Kantaja ei valittanut päätöksestä, ja tapaus on käsitelty loppuun.</w:t>
      </w:r>
    </w:p>
    <w:p>
      <w:pPr>
        <w:pStyle w:val="Intro"/>
        <w:spacing w:after="0" w:line="240" w:lineRule="auto"/>
        <w:jc w:val="both"/>
        <w:rPr>
          <w:rFonts w:ascii="Times New Roman" w:hAnsi="Times New Roman"/>
          <w:b w:val="0"/>
          <w:noProof/>
          <w:color w:val="auto"/>
          <w:sz w:val="24"/>
          <w:szCs w:val="24"/>
          <w:u w:val="single"/>
        </w:rPr>
      </w:pPr>
    </w:p>
    <w:p>
      <w:pPr>
        <w:pStyle w:val="Intro"/>
        <w:spacing w:after="0" w:line="240" w:lineRule="auto"/>
        <w:jc w:val="both"/>
        <w:rPr>
          <w:rFonts w:ascii="Times New Roman" w:hAnsi="Times New Roman"/>
          <w:b w:val="0"/>
          <w:noProof/>
          <w:color w:val="auto"/>
          <w:sz w:val="24"/>
          <w:szCs w:val="24"/>
          <w:u w:val="single"/>
        </w:rPr>
      </w:pPr>
      <w:r>
        <w:rPr>
          <w:rFonts w:ascii="Times New Roman" w:hAnsi="Times New Roman"/>
          <w:b w:val="0"/>
          <w:noProof/>
          <w:color w:val="auto"/>
          <w:sz w:val="24"/>
          <w:u w:val="single"/>
        </w:rPr>
        <w:t>Vaihtoehtoisesta riidanratkaisumenettelystä perittävän maksun alentaminen (Tšekin välimiesoikeus ja EURid)</w:t>
      </w:r>
    </w:p>
    <w:p>
      <w:pPr>
        <w:spacing w:before="100" w:beforeAutospacing="1" w:after="100" w:afterAutospacing="1"/>
        <w:rPr>
          <w:noProof/>
        </w:rPr>
      </w:pPr>
      <w:r>
        <w:rPr>
          <w:noProof/>
        </w:rPr>
        <w:t xml:space="preserve">CAC ja EURid ilmoittivat 27. kesäkuuta 2012 erityisestä maksualennuksesta, jotta kansalaisilla olisi entistä paremmat mahdollisuudet hyödyntää vaihtoehtoista riidanratkaisua. </w:t>
      </w:r>
    </w:p>
    <w:p>
      <w:pPr>
        <w:spacing w:before="100" w:beforeAutospacing="1" w:after="100" w:afterAutospacing="1"/>
        <w:rPr>
          <w:noProof/>
        </w:rPr>
      </w:pPr>
      <w:r>
        <w:rPr>
          <w:noProof/>
        </w:rPr>
        <w:t>Perusmenettelystä eli enintään viiden verkkotunnuksen kiistämisestä yksijäsenisen lautakunnan edessä perittävää 1 300 euron maksua leikattiin 700 eurolla uudessa maksurakenteessa kuuden kuukauden ajaksi 1. heinäkuuta 2012 alkaen. Maksuja alennettiin lisää vuonna 2014, jolloin valituksen tekemisestä perittävän maksun alennus nousi 1 000 euroon 1. tammikuuta 2015 alkaen.</w:t>
      </w:r>
      <w:r>
        <w:rPr>
          <w:i/>
          <w:noProof/>
        </w:rPr>
        <w:t xml:space="preserve"> </w:t>
      </w:r>
      <w:r>
        <w:rPr>
          <w:noProof/>
        </w:rPr>
        <w:t>Tuhannen euron alennus myönnetään kustakin tehdystä valituksesta riippumatta siitä, montaako verkkotunnusta valitus koskee ja missä kokoonpanossa lautakunta käsittelee asian.</w:t>
      </w:r>
    </w:p>
    <w:p>
      <w:pPr>
        <w:pStyle w:val="ManualHeading3"/>
        <w:rPr>
          <w:noProof/>
        </w:rPr>
      </w:pPr>
      <w:r>
        <w:t>5.8.3.</w:t>
      </w:r>
      <w:r>
        <w:tab/>
      </w:r>
      <w:r>
        <w:rPr>
          <w:noProof/>
        </w:rPr>
        <w:t>Muut oikeudenkäynnit</w:t>
      </w:r>
    </w:p>
    <w:p>
      <w:pPr>
        <w:spacing w:before="100" w:beforeAutospacing="1" w:after="100" w:afterAutospacing="1"/>
        <w:rPr>
          <w:noProof/>
        </w:rPr>
      </w:pPr>
      <w:r>
        <w:rPr>
          <w:noProof/>
        </w:rPr>
        <w:t>Raportointikaudella EURid on ollut osapuolena seuraavissa asioissa:</w:t>
      </w:r>
      <w:bookmarkStart w:id="4" w:name="_ftn1"/>
      <w:bookmarkEnd w:id="4"/>
    </w:p>
    <w:p>
      <w:pPr>
        <w:rPr>
          <w:rFonts w:eastAsia="MS Gothic"/>
          <w:bCs/>
          <w:noProof/>
          <w:u w:val="single"/>
        </w:rPr>
      </w:pPr>
      <w:r>
        <w:rPr>
          <w:noProof/>
          <w:u w:val="single"/>
        </w:rPr>
        <w:t>Depmarc</w:t>
      </w:r>
    </w:p>
    <w:p>
      <w:pPr>
        <w:rPr>
          <w:noProof/>
        </w:rPr>
      </w:pPr>
      <w:r>
        <w:rPr>
          <w:noProof/>
        </w:rPr>
        <w:t>Depmarc riitautti EURidin päätöksen hylätä sen Sunrise</w:t>
      </w:r>
      <w:r>
        <w:rPr>
          <w:rStyle w:val="FootnoteReference"/>
          <w:noProof/>
        </w:rPr>
        <w:footnoteReference w:id="13"/>
      </w:r>
      <w:r>
        <w:rPr>
          <w:noProof/>
        </w:rPr>
        <w:t>-hakemukset 36:sta hollantilaisiin toiminimiin perustuvasta verkkotunnuksesta. Kantaja pyysi tuomioistuinta määräämään, että EURid siirtää verkkotunnukset Depmarcille. Asia ratkaistiin sovittelumenettelyllä, ja tuomioistuin julisti tapauksen 14. marraskuuta 2013 loppuun käsitellyksi.</w:t>
      </w:r>
    </w:p>
    <w:p>
      <w:pPr>
        <w:rPr>
          <w:noProof/>
        </w:rPr>
      </w:pPr>
      <w:r>
        <w:rPr>
          <w:noProof/>
        </w:rPr>
        <w:t xml:space="preserve">Näistä 36 verkkotunnuksesta kaikkiaan 30, joiden osalta Sunrise-jonossa ei hyväksytty myöhempiä hakemuksia, vapautettiin yleisesti rekisteröitäviksi 11. maaliskuuta 2014. Muut kuusi verkkotunnusta, joiden osalta Sunrise-jonossa olleet myöhemmät hakemukset hyväksyttiin, aktivoitiin hakijan nimiin. </w:t>
      </w:r>
    </w:p>
    <w:p>
      <w:pPr>
        <w:pStyle w:val="Intro"/>
        <w:spacing w:after="0" w:line="240" w:lineRule="auto"/>
        <w:jc w:val="both"/>
        <w:rPr>
          <w:rFonts w:ascii="Times New Roman" w:hAnsi="Times New Roman"/>
          <w:b w:val="0"/>
          <w:noProof/>
          <w:color w:val="auto"/>
          <w:sz w:val="24"/>
          <w:szCs w:val="24"/>
          <w:u w:val="single"/>
        </w:rPr>
      </w:pPr>
      <w:r>
        <w:rPr>
          <w:rFonts w:ascii="Times New Roman" w:hAnsi="Times New Roman"/>
          <w:b w:val="0"/>
          <w:noProof/>
          <w:color w:val="auto"/>
          <w:sz w:val="24"/>
          <w:u w:val="single"/>
        </w:rPr>
        <w:t>Dotace</w:t>
      </w:r>
    </w:p>
    <w:p>
      <w:pPr>
        <w:spacing w:before="240"/>
        <w:rPr>
          <w:noProof/>
        </w:rPr>
      </w:pPr>
      <w:r>
        <w:rPr>
          <w:noProof/>
        </w:rPr>
        <w:t>Validoija (ja EURid) hylkäsi tšekkiläisen Dotace-yrityksen Sunrise-hakemuksen, koska riittävä näyttö aikaisemmasta oikeudesta ”Dotace”-nimeen puuttui. CAC vahvisti EURidin hylkäyspäätöksen dotace.eu-verkkotunnuksesta päätöksessään asiassa 04281. Verkkotunnuksen hakija valitti tämän jälkeen Brysselin ensimmäisen oikeusasteen tuomioistuimeen.</w:t>
      </w:r>
    </w:p>
    <w:p>
      <w:pPr>
        <w:rPr>
          <w:noProof/>
        </w:rPr>
      </w:pPr>
      <w:r>
        <w:rPr>
          <w:noProof/>
        </w:rPr>
        <w:t>Kun hakija kieltäytyi allekirjoittamasta sovittelusopimusta, EURid teki kanteen haitanteosta oikeudenkäynnissä, jotta prosessia voitaisiin jatkaa ja saada lopullinen tulos.</w:t>
      </w:r>
    </w:p>
    <w:p>
      <w:pPr>
        <w:rPr>
          <w:noProof/>
          <w:color w:val="000000"/>
        </w:rPr>
      </w:pPr>
      <w:r>
        <w:rPr>
          <w:noProof/>
        </w:rPr>
        <w:t xml:space="preserve">Ensimmäisen oikeusasteen tuomioistuin puolsi 24. lokakuuta 2014 antamassaan tuomiossa EURidin kantaa. </w:t>
      </w:r>
      <w:r>
        <w:rPr>
          <w:noProof/>
          <w:color w:val="000000"/>
        </w:rPr>
        <w:t xml:space="preserve"> </w:t>
      </w:r>
    </w:p>
    <w:p>
      <w:pPr>
        <w:pStyle w:val="ManualHeading1"/>
        <w:rPr>
          <w:noProof/>
        </w:rPr>
      </w:pPr>
      <w:r>
        <w:t>6.</w:t>
      </w:r>
      <w:r>
        <w:tab/>
      </w:r>
      <w:r>
        <w:rPr>
          <w:noProof/>
        </w:rPr>
        <w:t>EMAS-rekisteröinti ja hiilidioksidipäästöjen kompensointi</w:t>
      </w:r>
    </w:p>
    <w:p>
      <w:pPr>
        <w:rPr>
          <w:noProof/>
        </w:rPr>
      </w:pPr>
      <w:r>
        <w:rPr>
          <w:noProof/>
        </w:rPr>
        <w:t>EURidistä tuli 23. toukokuuta 2012 Euroopan ensimmäinen EMAS-sertifioitu</w:t>
      </w:r>
      <w:r>
        <w:rPr>
          <w:rStyle w:val="FootnoteReference"/>
          <w:noProof/>
        </w:rPr>
        <w:footnoteReference w:id="14"/>
      </w:r>
      <w:r>
        <w:rPr>
          <w:noProof/>
        </w:rPr>
        <w:t xml:space="preserve"> rekisteri (rekisterinumero BE-VL-000016). Lopullinen arvio kauden 2012–2014 EMAS-ohjelman 9 tavoitteesta ja 41 toimesta osoitti, että 95 prosenttia tavoitteista oli saavutettu, mukaan lukien EURidin hiilidioksidipäästöjen täysimääräinen kompensointi. EURid käynnisti vuoden 2015 ensimmäisellä neljänneksellä vuotuisten auditointien jälkeen prosessin EMAS-rekisteröintinsä uusimiseksi ja laajentamiseksi Pisan sivuliikkeeseensä.</w:t>
      </w:r>
    </w:p>
    <w:p>
      <w:pPr>
        <w:rPr>
          <w:noProof/>
        </w:rPr>
      </w:pPr>
      <w:r>
        <w:rPr>
          <w:noProof/>
        </w:rPr>
        <w:t>EURid on vuodesta 2013 lähtien varmentanut hiilidioksidipäästönsä ja ostanut sertifioituja päästöoikeuksia niiden kompensoimiseksi.</w:t>
      </w:r>
    </w:p>
    <w:p>
      <w:pPr>
        <w:pStyle w:val="ManualHeading1"/>
        <w:rPr>
          <w:noProof/>
        </w:rPr>
      </w:pPr>
      <w:r>
        <w:t>7.</w:t>
      </w:r>
      <w:r>
        <w:tab/>
      </w:r>
      <w:r>
        <w:rPr>
          <w:noProof/>
        </w:rPr>
        <w:t>Päätelmät</w:t>
      </w:r>
    </w:p>
    <w:p>
      <w:pPr>
        <w:rPr>
          <w:noProof/>
        </w:rPr>
      </w:pPr>
      <w:r>
        <w:rPr>
          <w:noProof/>
        </w:rPr>
        <w:t>.eu-aluetunnuksen toteutusmalli on onnistunut ja se toimii tuloksellisesti.</w:t>
      </w:r>
    </w:p>
    <w:p>
      <w:pPr>
        <w:rPr>
          <w:noProof/>
        </w:rPr>
      </w:pPr>
      <w:r>
        <w:rPr>
          <w:noProof/>
        </w:rPr>
        <w:t>Viimeksi kuluneiden kahden vuoden aikana .eu on vahvistanut asemaansa merkittävimpien ja suosituimpien aluetunnusten joukossa Euroopassa ja muualla maailmassa. Sen suosio on kestänyt, vaikka jäsenvaltioiden 28 maatunnuspohjaista aluetunnusta (ccTLD) ovat jatkaneet kasvuaan, vaikkakin aiempaa hitaammin, ja tarjolla on myös geneerisiä aluetunnuksia (gTLD), joiden kanssa rekisteri on kyennyt kilpailemaan .eu-aluetunnukseen liittyvän laatuleiman ansiosta.</w:t>
      </w:r>
    </w:p>
    <w:p>
      <w:pPr>
        <w:rPr>
          <w:noProof/>
        </w:rPr>
      </w:pPr>
      <w:r>
        <w:rPr>
          <w:noProof/>
        </w:rPr>
        <w:t>EURid teki kreikkalaista ja kyrillistä .eu-merkkijonoa koskevan hakemuksen viisi vuotta sitten, mutta ICANN ei ole toistaiseksi hyväksynyt kreikan .ευ-merkkijonoa sillä perusteella, että se on muiden (suuraakkosellisten) merkkijonojen kanssa samankaltainen sekaannusta aiheuttavalla tavalla. Komissio on toistuvasti pyytänyt ICANNia saattamaan prosessin päätökseen mahdollisimman pian. Komissio on myös korostanut, että “pysyvää” hakemusmenettelyä koskevissa säännöissä olisi pystyttävä välttämään tarpeettomat viivästykset. Tämä on yksi niistä periaatteellisista tavoitteista, joita komissio tulee ajamaan ICANNille toimintapoliittista neuvontaa tarjoavassa hallitustenvälisessä GAC-komiteassa (Governmental Advisory Committee) ja muissa ICANNin elimissä.</w:t>
      </w:r>
    </w:p>
    <w:p>
      <w:pPr>
        <w:rPr>
          <w:noProof/>
        </w:rPr>
      </w:pPr>
      <w:r>
        <w:rPr>
          <w:noProof/>
        </w:rPr>
        <w:t>Rekisterin taloudellinen tilanne pysyi raportointijaksolla vakaana.</w:t>
      </w:r>
    </w:p>
    <w:p>
      <w:pPr>
        <w:rPr>
          <w:noProof/>
        </w:rPr>
      </w:pPr>
      <w:r>
        <w:rPr>
          <w:noProof/>
        </w:rPr>
        <w:t>Komissio seuraa Tšekin välimiesoikeuden (CAC) vaihtoehtoista riidanratkaisumenettelyä, joka suojaa osoitteita rekisteröivien tahojen oikeuksia kaikilla EU-kielillä. Järjestelmää koskeneessa auditoinnissa annettujen suositusten mukaisesti EURid on alentanut perittäviä maksuja, jotta voidaan parantaa järjestelmän käyttökelpoisuutta sellaisten yksityishenkilöiden ja pk-yritysten näkökulmasta, joilla on syytä uskoa, että kolmas osapuoli on oikeudetta rekisteröinyt heille kuuluvia .eu-aluetunnuksen alaisia verkkotunnuksia.</w:t>
      </w:r>
    </w:p>
    <w:p>
      <w:pPr>
        <w:rPr>
          <w:noProof/>
        </w:rPr>
      </w:pPr>
      <w:r>
        <w:rPr>
          <w:noProof/>
        </w:rPr>
        <w:t>Nimijärjestelmän ympäristö on hiljattain läpikäynyt yhden suurimmista muutoksistaan viimeisten kahden vuosikymmenen aikana. Markkinoilla on tullut satoja uusia gTLD-tunnuksia, mikä on toisinaan aiheuttanut sekaannusta rekisteröivien tahojen ja rekisterinpitäjien keskuudessa. Samalla sosiaalisen median kehittyminen on vähentänyt kiinnostusta verkkotunnuksiin, kun nuoremmat internetin käyttäjät ja uudet dynaamiset yritykset huolehtivat verkkoläsnäolostaan mieluummin nopeamman sosiaalisen median kautta.</w:t>
      </w:r>
    </w:p>
    <w:p>
      <w:pPr>
        <w:rPr>
          <w:noProof/>
        </w:rPr>
      </w:pPr>
      <w:r>
        <w:rPr>
          <w:noProof/>
        </w:rPr>
        <w:t xml:space="preserve">.eu-aluetunnus ja sen rekisteri ovat osoittaneet pystyvänsä selviytymään hyvin tähänastisista haasteista, vaikka kilpailun odotetaan tulevaisuudessa entistään kovenevan. Komissio käy säännöllistä ja rakentavaa vuoropuhelua rekisterin kanssa, jotta voidaan tutkia ja tunnistaa mahdollisia tapoja toimia uudessa nimiympäristössä huolehtien samalla siitä, että .eu-ympäristö pysyy turvallisena, luotettavana ja hyödyllisenä nykyisillä ja tuleville sidosryhmille. </w:t>
      </w:r>
    </w:p>
    <w:p>
      <w:pPr>
        <w:rPr>
          <w:noProof/>
        </w:rPr>
      </w:pPr>
    </w:p>
    <w:p>
      <w:pPr>
        <w:rPr>
          <w:b/>
          <w:noProof/>
        </w:rPr>
      </w:pPr>
      <w:r>
        <w:rPr>
          <w:noProof/>
        </w:rPr>
        <w:br w:type="page"/>
      </w:r>
      <w:r>
        <w:rPr>
          <w:b/>
          <w:noProof/>
        </w:rPr>
        <w:t>LIITTEET</w:t>
      </w:r>
    </w:p>
    <w:p>
      <w:pPr>
        <w:rPr>
          <w:noProof/>
        </w:rPr>
      </w:pPr>
      <w:r>
        <w:rPr>
          <w:noProof/>
        </w:rPr>
        <w:br w:type="page"/>
      </w:r>
      <w:r>
        <w:rPr>
          <w:caps/>
          <w:smallCaps/>
          <w:noProof/>
        </w:rPr>
        <w:t xml:space="preserve">LIITE 1: </w:t>
      </w:r>
      <w:r>
        <w:rPr>
          <w:noProof/>
        </w:rPr>
        <w:t>Maailman käytetyimmät aluetunnukset 31. maaliskuuta 2015</w:t>
      </w:r>
    </w:p>
    <w:p>
      <w:pPr>
        <w:rPr>
          <w:noProof/>
        </w:rPr>
      </w:pPr>
      <w:r>
        <w:rPr>
          <w:noProof/>
        </w:rPr>
        <w:pict>
          <v:shape id="Chart 4" o:spid="_x0000_i1026" type="#_x0000_t75" style="width:328.5pt;height:220.5pt;visibility:visible" o:gfxdata="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">
            <v:imagedata r:id="rId17" o:title=""/>
            <o:lock v:ext="edit" aspectratio="f"/>
          </v:shape>
        </w:pict>
      </w:r>
    </w:p>
    <w:p>
      <w:pPr>
        <w:rPr>
          <w:noProof/>
        </w:rPr>
      </w:pPr>
    </w:p>
    <w:p>
      <w:pPr>
        <w:rPr>
          <w:noProof/>
        </w:rPr>
      </w:pPr>
      <w:r>
        <w:rPr>
          <w:noProof/>
        </w:rPr>
        <w:t>Lähde: EURidin neljännesvuosiraportti, 1. vuosineljännes 2015</w:t>
      </w:r>
    </w:p>
    <w:p>
      <w:pPr>
        <w:rPr>
          <w:noProof/>
        </w:rPr>
      </w:pPr>
      <w:r>
        <w:rPr>
          <w:noProof/>
        </w:rPr>
        <w:t>LIITE 2: .eu-verkkotunnusten rekisteröinnit vuosineljänneksittäin</w:t>
      </w:r>
    </w:p>
    <w:p>
      <w:pPr>
        <w:spacing w:before="0" w:after="0"/>
        <w:jc w:val="left"/>
        <w:rPr>
          <w:noProof/>
        </w:rPr>
      </w:pPr>
      <w:r>
        <w:rPr>
          <w:noProof/>
        </w:rPr>
        <w:pict>
          <v:shape id="Chart 7" o:spid="_x0000_i1027" type="#_x0000_t75" style="width:361.5pt;height:217.5pt;visibility:visible" o:gfxdata="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">
            <v:imagedata r:id="rId18" o:title=""/>
            <o:lock v:ext="edit" aspectratio="f"/>
          </v:shape>
        </w:pict>
      </w:r>
      <w:r>
        <w:rPr>
          <w:noProof/>
        </w:rPr>
        <w:br w:type="page"/>
      </w:r>
    </w:p>
    <w:p>
      <w:pPr>
        <w:rPr>
          <w:noProof/>
        </w:rPr>
      </w:pPr>
      <w:r>
        <w:rPr>
          <w:noProof/>
        </w:rPr>
        <w:t>LIITE 3: Vaihtoehtoisen riidanratkaisumenettelyyn tehdyt kantelut/vuosi</w:t>
      </w:r>
    </w:p>
    <w:p>
      <w:pPr>
        <w:rPr>
          <w:noProof/>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1785"/>
        <w:gridCol w:w="1785"/>
      </w:tblGrid>
      <w:tr>
        <w:tc>
          <w:tcPr>
            <w:tcW w:w="1535" w:type="dxa"/>
            <w:shd w:val="clear" w:color="auto" w:fill="auto"/>
          </w:tcPr>
          <w:p>
            <w:pPr>
              <w:tabs>
                <w:tab w:val="right" w:leader="dot" w:pos="9071"/>
              </w:tabs>
              <w:ind w:left="850" w:hanging="850"/>
              <w:rPr>
                <w:noProof/>
                <w:sz w:val="20"/>
                <w:szCs w:val="20"/>
              </w:rPr>
            </w:pPr>
          </w:p>
        </w:tc>
        <w:tc>
          <w:tcPr>
            <w:tcW w:w="1785" w:type="dxa"/>
            <w:shd w:val="clear" w:color="auto" w:fill="auto"/>
          </w:tcPr>
          <w:p>
            <w:pPr>
              <w:tabs>
                <w:tab w:val="right" w:leader="dot" w:pos="9071"/>
              </w:tabs>
              <w:ind w:left="850" w:hanging="850"/>
              <w:jc w:val="center"/>
              <w:rPr>
                <w:noProof/>
                <w:sz w:val="20"/>
                <w:szCs w:val="20"/>
              </w:rPr>
            </w:pPr>
            <w:r>
              <w:rPr>
                <w:noProof/>
                <w:sz w:val="20"/>
              </w:rPr>
              <w:t>Kantelut</w:t>
            </w:r>
          </w:p>
          <w:p>
            <w:pPr>
              <w:tabs>
                <w:tab w:val="right" w:leader="dot" w:pos="9071"/>
              </w:tabs>
              <w:ind w:left="850" w:hanging="850"/>
              <w:jc w:val="center"/>
              <w:rPr>
                <w:noProof/>
                <w:sz w:val="20"/>
                <w:szCs w:val="20"/>
              </w:rPr>
            </w:pPr>
            <w:r>
              <w:rPr>
                <w:noProof/>
                <w:sz w:val="20"/>
              </w:rPr>
              <w:t>2013</w:t>
            </w:r>
          </w:p>
        </w:tc>
        <w:tc>
          <w:tcPr>
            <w:tcW w:w="1785" w:type="dxa"/>
            <w:shd w:val="clear" w:color="auto" w:fill="auto"/>
          </w:tcPr>
          <w:p>
            <w:pPr>
              <w:tabs>
                <w:tab w:val="right" w:leader="dot" w:pos="9071"/>
              </w:tabs>
              <w:ind w:left="850" w:hanging="850"/>
              <w:jc w:val="center"/>
              <w:rPr>
                <w:noProof/>
                <w:sz w:val="20"/>
                <w:szCs w:val="20"/>
              </w:rPr>
            </w:pPr>
            <w:r>
              <w:rPr>
                <w:noProof/>
                <w:sz w:val="20"/>
              </w:rPr>
              <w:t>Kantelut</w:t>
            </w:r>
          </w:p>
          <w:p>
            <w:pPr>
              <w:tabs>
                <w:tab w:val="right" w:leader="dot" w:pos="9071"/>
              </w:tabs>
              <w:ind w:left="850" w:hanging="850"/>
              <w:jc w:val="center"/>
              <w:rPr>
                <w:noProof/>
                <w:sz w:val="20"/>
                <w:szCs w:val="20"/>
              </w:rPr>
            </w:pPr>
            <w:r>
              <w:rPr>
                <w:noProof/>
                <w:sz w:val="20"/>
              </w:rPr>
              <w:t>2014</w:t>
            </w:r>
          </w:p>
        </w:tc>
      </w:tr>
      <w:tr>
        <w:tc>
          <w:tcPr>
            <w:tcW w:w="1535" w:type="dxa"/>
            <w:shd w:val="clear" w:color="auto" w:fill="auto"/>
          </w:tcPr>
          <w:p>
            <w:pPr>
              <w:tabs>
                <w:tab w:val="right" w:leader="dot" w:pos="9071"/>
              </w:tabs>
              <w:ind w:left="850" w:hanging="850"/>
              <w:rPr>
                <w:noProof/>
                <w:sz w:val="20"/>
                <w:szCs w:val="20"/>
              </w:rPr>
            </w:pPr>
            <w:r>
              <w:rPr>
                <w:noProof/>
                <w:sz w:val="20"/>
              </w:rPr>
              <w:t xml:space="preserve">Tammikuu </w:t>
            </w:r>
          </w:p>
        </w:tc>
        <w:tc>
          <w:tcPr>
            <w:tcW w:w="1785" w:type="dxa"/>
            <w:shd w:val="clear" w:color="auto" w:fill="auto"/>
          </w:tcPr>
          <w:p>
            <w:pPr>
              <w:tabs>
                <w:tab w:val="right" w:leader="dot" w:pos="9071"/>
              </w:tabs>
              <w:ind w:left="850" w:hanging="850"/>
              <w:jc w:val="center"/>
              <w:rPr>
                <w:noProof/>
                <w:sz w:val="20"/>
                <w:szCs w:val="20"/>
              </w:rPr>
            </w:pPr>
            <w:r>
              <w:rPr>
                <w:noProof/>
                <w:sz w:val="20"/>
              </w:rPr>
              <w:t>6</w:t>
            </w:r>
          </w:p>
        </w:tc>
        <w:tc>
          <w:tcPr>
            <w:tcW w:w="1785" w:type="dxa"/>
            <w:shd w:val="clear" w:color="auto" w:fill="auto"/>
          </w:tcPr>
          <w:p>
            <w:pPr>
              <w:tabs>
                <w:tab w:val="right" w:leader="dot" w:pos="9071"/>
              </w:tabs>
              <w:ind w:left="850" w:hanging="850"/>
              <w:jc w:val="center"/>
              <w:rPr>
                <w:noProof/>
                <w:sz w:val="20"/>
                <w:szCs w:val="20"/>
              </w:rPr>
            </w:pPr>
            <w:r>
              <w:rPr>
                <w:noProof/>
                <w:sz w:val="20"/>
              </w:rPr>
              <w:t>5</w:t>
            </w:r>
          </w:p>
        </w:tc>
      </w:tr>
      <w:tr>
        <w:tc>
          <w:tcPr>
            <w:tcW w:w="1535" w:type="dxa"/>
            <w:shd w:val="clear" w:color="auto" w:fill="auto"/>
          </w:tcPr>
          <w:p>
            <w:pPr>
              <w:tabs>
                <w:tab w:val="right" w:leader="dot" w:pos="9071"/>
              </w:tabs>
              <w:ind w:left="850" w:hanging="850"/>
              <w:rPr>
                <w:noProof/>
                <w:sz w:val="20"/>
                <w:szCs w:val="20"/>
              </w:rPr>
            </w:pPr>
            <w:r>
              <w:rPr>
                <w:noProof/>
                <w:sz w:val="20"/>
              </w:rPr>
              <w:t>Helmikuu</w:t>
            </w:r>
          </w:p>
        </w:tc>
        <w:tc>
          <w:tcPr>
            <w:tcW w:w="1785" w:type="dxa"/>
            <w:shd w:val="clear" w:color="auto" w:fill="auto"/>
          </w:tcPr>
          <w:p>
            <w:pPr>
              <w:tabs>
                <w:tab w:val="right" w:leader="dot" w:pos="9071"/>
              </w:tabs>
              <w:ind w:left="850" w:hanging="850"/>
              <w:jc w:val="center"/>
              <w:rPr>
                <w:noProof/>
                <w:sz w:val="20"/>
                <w:szCs w:val="20"/>
              </w:rPr>
            </w:pPr>
            <w:r>
              <w:rPr>
                <w:noProof/>
                <w:sz w:val="20"/>
              </w:rPr>
              <w:t>5</w:t>
            </w:r>
          </w:p>
        </w:tc>
        <w:tc>
          <w:tcPr>
            <w:tcW w:w="1785" w:type="dxa"/>
            <w:shd w:val="clear" w:color="auto" w:fill="auto"/>
          </w:tcPr>
          <w:p>
            <w:pPr>
              <w:tabs>
                <w:tab w:val="right" w:leader="dot" w:pos="9071"/>
              </w:tabs>
              <w:ind w:left="850" w:hanging="850"/>
              <w:jc w:val="center"/>
              <w:rPr>
                <w:noProof/>
                <w:sz w:val="20"/>
                <w:szCs w:val="20"/>
              </w:rPr>
            </w:pPr>
            <w:r>
              <w:rPr>
                <w:noProof/>
                <w:sz w:val="20"/>
              </w:rPr>
              <w:t>5</w:t>
            </w:r>
          </w:p>
        </w:tc>
      </w:tr>
      <w:tr>
        <w:tc>
          <w:tcPr>
            <w:tcW w:w="1535" w:type="dxa"/>
            <w:shd w:val="clear" w:color="auto" w:fill="auto"/>
          </w:tcPr>
          <w:p>
            <w:pPr>
              <w:tabs>
                <w:tab w:val="right" w:leader="dot" w:pos="9071"/>
              </w:tabs>
              <w:ind w:left="850" w:hanging="850"/>
              <w:rPr>
                <w:noProof/>
                <w:sz w:val="20"/>
                <w:szCs w:val="20"/>
              </w:rPr>
            </w:pPr>
            <w:r>
              <w:rPr>
                <w:noProof/>
                <w:sz w:val="20"/>
              </w:rPr>
              <w:t>Maaliskuu</w:t>
            </w:r>
          </w:p>
        </w:tc>
        <w:tc>
          <w:tcPr>
            <w:tcW w:w="1785" w:type="dxa"/>
            <w:shd w:val="clear" w:color="auto" w:fill="auto"/>
          </w:tcPr>
          <w:p>
            <w:pPr>
              <w:tabs>
                <w:tab w:val="right" w:leader="dot" w:pos="9071"/>
              </w:tabs>
              <w:ind w:left="850" w:hanging="850"/>
              <w:jc w:val="center"/>
              <w:rPr>
                <w:noProof/>
                <w:sz w:val="20"/>
                <w:szCs w:val="20"/>
              </w:rPr>
            </w:pPr>
            <w:r>
              <w:rPr>
                <w:noProof/>
                <w:sz w:val="20"/>
              </w:rPr>
              <w:t>4</w:t>
            </w:r>
          </w:p>
        </w:tc>
        <w:tc>
          <w:tcPr>
            <w:tcW w:w="1785" w:type="dxa"/>
            <w:shd w:val="clear" w:color="auto" w:fill="auto"/>
          </w:tcPr>
          <w:p>
            <w:pPr>
              <w:tabs>
                <w:tab w:val="right" w:leader="dot" w:pos="9071"/>
              </w:tabs>
              <w:ind w:left="850" w:hanging="850"/>
              <w:jc w:val="center"/>
              <w:rPr>
                <w:noProof/>
                <w:sz w:val="20"/>
                <w:szCs w:val="20"/>
              </w:rPr>
            </w:pPr>
            <w:r>
              <w:rPr>
                <w:noProof/>
                <w:sz w:val="20"/>
              </w:rPr>
              <w:t>4</w:t>
            </w:r>
          </w:p>
        </w:tc>
      </w:tr>
      <w:tr>
        <w:tc>
          <w:tcPr>
            <w:tcW w:w="1535" w:type="dxa"/>
            <w:shd w:val="clear" w:color="auto" w:fill="auto"/>
          </w:tcPr>
          <w:p>
            <w:pPr>
              <w:tabs>
                <w:tab w:val="right" w:leader="dot" w:pos="9071"/>
              </w:tabs>
              <w:ind w:left="850" w:hanging="850"/>
              <w:rPr>
                <w:noProof/>
                <w:sz w:val="20"/>
                <w:szCs w:val="20"/>
              </w:rPr>
            </w:pPr>
            <w:r>
              <w:rPr>
                <w:noProof/>
                <w:sz w:val="20"/>
              </w:rPr>
              <w:t>Huhtikuu</w:t>
            </w:r>
          </w:p>
        </w:tc>
        <w:tc>
          <w:tcPr>
            <w:tcW w:w="1785" w:type="dxa"/>
            <w:shd w:val="clear" w:color="auto" w:fill="auto"/>
          </w:tcPr>
          <w:p>
            <w:pPr>
              <w:tabs>
                <w:tab w:val="right" w:leader="dot" w:pos="9071"/>
              </w:tabs>
              <w:ind w:left="850" w:hanging="850"/>
              <w:jc w:val="center"/>
              <w:rPr>
                <w:noProof/>
                <w:sz w:val="20"/>
                <w:szCs w:val="20"/>
              </w:rPr>
            </w:pPr>
            <w:r>
              <w:rPr>
                <w:noProof/>
                <w:sz w:val="20"/>
              </w:rPr>
              <w:t>4</w:t>
            </w:r>
          </w:p>
        </w:tc>
        <w:tc>
          <w:tcPr>
            <w:tcW w:w="1785" w:type="dxa"/>
            <w:shd w:val="clear" w:color="auto" w:fill="auto"/>
          </w:tcPr>
          <w:p>
            <w:pPr>
              <w:tabs>
                <w:tab w:val="right" w:leader="dot" w:pos="9071"/>
              </w:tabs>
              <w:ind w:left="850" w:hanging="850"/>
              <w:jc w:val="center"/>
              <w:rPr>
                <w:noProof/>
                <w:sz w:val="20"/>
                <w:szCs w:val="20"/>
              </w:rPr>
            </w:pPr>
            <w:r>
              <w:rPr>
                <w:noProof/>
                <w:sz w:val="20"/>
              </w:rPr>
              <w:t>1</w:t>
            </w:r>
          </w:p>
        </w:tc>
      </w:tr>
      <w:tr>
        <w:tc>
          <w:tcPr>
            <w:tcW w:w="1535" w:type="dxa"/>
            <w:shd w:val="clear" w:color="auto" w:fill="auto"/>
          </w:tcPr>
          <w:p>
            <w:pPr>
              <w:tabs>
                <w:tab w:val="right" w:leader="dot" w:pos="9071"/>
              </w:tabs>
              <w:ind w:left="850" w:hanging="850"/>
              <w:rPr>
                <w:noProof/>
                <w:sz w:val="20"/>
                <w:szCs w:val="20"/>
              </w:rPr>
            </w:pPr>
            <w:r>
              <w:rPr>
                <w:noProof/>
                <w:sz w:val="20"/>
              </w:rPr>
              <w:t xml:space="preserve">Toukokuu </w:t>
            </w:r>
          </w:p>
        </w:tc>
        <w:tc>
          <w:tcPr>
            <w:tcW w:w="1785" w:type="dxa"/>
            <w:shd w:val="clear" w:color="auto" w:fill="auto"/>
          </w:tcPr>
          <w:p>
            <w:pPr>
              <w:tabs>
                <w:tab w:val="right" w:leader="dot" w:pos="9071"/>
              </w:tabs>
              <w:ind w:left="850" w:hanging="850"/>
              <w:jc w:val="center"/>
              <w:rPr>
                <w:noProof/>
                <w:sz w:val="20"/>
                <w:szCs w:val="20"/>
              </w:rPr>
            </w:pPr>
            <w:r>
              <w:rPr>
                <w:noProof/>
                <w:sz w:val="20"/>
              </w:rPr>
              <w:t>2</w:t>
            </w:r>
          </w:p>
        </w:tc>
        <w:tc>
          <w:tcPr>
            <w:tcW w:w="1785" w:type="dxa"/>
            <w:shd w:val="clear" w:color="auto" w:fill="auto"/>
          </w:tcPr>
          <w:p>
            <w:pPr>
              <w:tabs>
                <w:tab w:val="right" w:leader="dot" w:pos="9071"/>
              </w:tabs>
              <w:ind w:left="850" w:hanging="850"/>
              <w:jc w:val="center"/>
              <w:rPr>
                <w:noProof/>
                <w:sz w:val="20"/>
                <w:szCs w:val="20"/>
              </w:rPr>
            </w:pPr>
            <w:r>
              <w:rPr>
                <w:noProof/>
                <w:sz w:val="20"/>
              </w:rPr>
              <w:t>6</w:t>
            </w:r>
          </w:p>
        </w:tc>
      </w:tr>
      <w:tr>
        <w:tc>
          <w:tcPr>
            <w:tcW w:w="1535" w:type="dxa"/>
            <w:shd w:val="clear" w:color="auto" w:fill="auto"/>
          </w:tcPr>
          <w:p>
            <w:pPr>
              <w:tabs>
                <w:tab w:val="right" w:leader="dot" w:pos="9071"/>
              </w:tabs>
              <w:ind w:left="850" w:hanging="850"/>
              <w:rPr>
                <w:noProof/>
                <w:sz w:val="20"/>
                <w:szCs w:val="20"/>
              </w:rPr>
            </w:pPr>
            <w:r>
              <w:rPr>
                <w:noProof/>
                <w:sz w:val="20"/>
              </w:rPr>
              <w:t xml:space="preserve">Kesäkuu </w:t>
            </w:r>
          </w:p>
        </w:tc>
        <w:tc>
          <w:tcPr>
            <w:tcW w:w="1785" w:type="dxa"/>
            <w:shd w:val="clear" w:color="auto" w:fill="auto"/>
          </w:tcPr>
          <w:p>
            <w:pPr>
              <w:tabs>
                <w:tab w:val="right" w:leader="dot" w:pos="9071"/>
              </w:tabs>
              <w:ind w:left="850" w:hanging="850"/>
              <w:jc w:val="center"/>
              <w:rPr>
                <w:noProof/>
                <w:sz w:val="20"/>
                <w:szCs w:val="20"/>
              </w:rPr>
            </w:pPr>
            <w:r>
              <w:rPr>
                <w:noProof/>
                <w:sz w:val="20"/>
              </w:rPr>
              <w:t>7</w:t>
            </w:r>
          </w:p>
        </w:tc>
        <w:tc>
          <w:tcPr>
            <w:tcW w:w="1785" w:type="dxa"/>
            <w:shd w:val="clear" w:color="auto" w:fill="auto"/>
          </w:tcPr>
          <w:p>
            <w:pPr>
              <w:tabs>
                <w:tab w:val="right" w:leader="dot" w:pos="9071"/>
              </w:tabs>
              <w:ind w:left="850" w:hanging="850"/>
              <w:jc w:val="center"/>
              <w:rPr>
                <w:noProof/>
                <w:sz w:val="20"/>
                <w:szCs w:val="20"/>
              </w:rPr>
            </w:pPr>
            <w:r>
              <w:rPr>
                <w:noProof/>
                <w:sz w:val="20"/>
              </w:rPr>
              <w:t>5</w:t>
            </w:r>
          </w:p>
        </w:tc>
      </w:tr>
      <w:tr>
        <w:tc>
          <w:tcPr>
            <w:tcW w:w="1535" w:type="dxa"/>
            <w:shd w:val="clear" w:color="auto" w:fill="auto"/>
          </w:tcPr>
          <w:p>
            <w:pPr>
              <w:tabs>
                <w:tab w:val="right" w:leader="dot" w:pos="9071"/>
              </w:tabs>
              <w:ind w:left="850" w:hanging="850"/>
              <w:rPr>
                <w:noProof/>
                <w:sz w:val="20"/>
                <w:szCs w:val="20"/>
              </w:rPr>
            </w:pPr>
            <w:r>
              <w:rPr>
                <w:noProof/>
                <w:sz w:val="20"/>
              </w:rPr>
              <w:t xml:space="preserve">Heinäkuu </w:t>
            </w:r>
          </w:p>
        </w:tc>
        <w:tc>
          <w:tcPr>
            <w:tcW w:w="1785" w:type="dxa"/>
            <w:shd w:val="clear" w:color="auto" w:fill="auto"/>
          </w:tcPr>
          <w:p>
            <w:pPr>
              <w:tabs>
                <w:tab w:val="right" w:leader="dot" w:pos="9071"/>
              </w:tabs>
              <w:ind w:left="850" w:hanging="850"/>
              <w:jc w:val="center"/>
              <w:rPr>
                <w:noProof/>
                <w:sz w:val="20"/>
                <w:szCs w:val="20"/>
              </w:rPr>
            </w:pPr>
            <w:r>
              <w:rPr>
                <w:noProof/>
                <w:sz w:val="20"/>
              </w:rPr>
              <w:t>6</w:t>
            </w:r>
          </w:p>
        </w:tc>
        <w:tc>
          <w:tcPr>
            <w:tcW w:w="1785" w:type="dxa"/>
            <w:shd w:val="clear" w:color="auto" w:fill="auto"/>
          </w:tcPr>
          <w:p>
            <w:pPr>
              <w:tabs>
                <w:tab w:val="right" w:leader="dot" w:pos="9071"/>
              </w:tabs>
              <w:ind w:left="850" w:hanging="850"/>
              <w:jc w:val="center"/>
              <w:rPr>
                <w:noProof/>
                <w:sz w:val="20"/>
                <w:szCs w:val="20"/>
              </w:rPr>
            </w:pPr>
            <w:r>
              <w:rPr>
                <w:noProof/>
                <w:sz w:val="20"/>
              </w:rPr>
              <w:t>4</w:t>
            </w:r>
          </w:p>
        </w:tc>
      </w:tr>
      <w:tr>
        <w:tc>
          <w:tcPr>
            <w:tcW w:w="1535" w:type="dxa"/>
            <w:shd w:val="clear" w:color="auto" w:fill="auto"/>
          </w:tcPr>
          <w:p>
            <w:pPr>
              <w:tabs>
                <w:tab w:val="right" w:leader="dot" w:pos="9071"/>
              </w:tabs>
              <w:ind w:left="850" w:hanging="850"/>
              <w:rPr>
                <w:noProof/>
                <w:sz w:val="20"/>
                <w:szCs w:val="20"/>
              </w:rPr>
            </w:pPr>
            <w:r>
              <w:rPr>
                <w:noProof/>
                <w:sz w:val="20"/>
              </w:rPr>
              <w:t xml:space="preserve">Elokuu </w:t>
            </w:r>
          </w:p>
        </w:tc>
        <w:tc>
          <w:tcPr>
            <w:tcW w:w="1785" w:type="dxa"/>
            <w:shd w:val="clear" w:color="auto" w:fill="auto"/>
          </w:tcPr>
          <w:p>
            <w:pPr>
              <w:tabs>
                <w:tab w:val="right" w:leader="dot" w:pos="9071"/>
              </w:tabs>
              <w:ind w:left="850" w:hanging="850"/>
              <w:jc w:val="center"/>
              <w:rPr>
                <w:noProof/>
                <w:sz w:val="20"/>
                <w:szCs w:val="20"/>
              </w:rPr>
            </w:pPr>
            <w:r>
              <w:rPr>
                <w:noProof/>
                <w:sz w:val="20"/>
              </w:rPr>
              <w:t>2</w:t>
            </w:r>
          </w:p>
        </w:tc>
        <w:tc>
          <w:tcPr>
            <w:tcW w:w="1785" w:type="dxa"/>
            <w:shd w:val="clear" w:color="auto" w:fill="auto"/>
          </w:tcPr>
          <w:p>
            <w:pPr>
              <w:tabs>
                <w:tab w:val="right" w:leader="dot" w:pos="9071"/>
              </w:tabs>
              <w:ind w:left="850" w:hanging="850"/>
              <w:jc w:val="center"/>
              <w:rPr>
                <w:noProof/>
                <w:sz w:val="20"/>
                <w:szCs w:val="20"/>
              </w:rPr>
            </w:pPr>
            <w:r>
              <w:rPr>
                <w:noProof/>
                <w:sz w:val="20"/>
              </w:rPr>
              <w:t>7</w:t>
            </w:r>
          </w:p>
        </w:tc>
      </w:tr>
      <w:tr>
        <w:tc>
          <w:tcPr>
            <w:tcW w:w="1535" w:type="dxa"/>
            <w:shd w:val="clear" w:color="auto" w:fill="auto"/>
          </w:tcPr>
          <w:p>
            <w:pPr>
              <w:tabs>
                <w:tab w:val="right" w:leader="dot" w:pos="9071"/>
              </w:tabs>
              <w:ind w:left="850" w:hanging="850"/>
              <w:rPr>
                <w:noProof/>
                <w:sz w:val="20"/>
                <w:szCs w:val="20"/>
              </w:rPr>
            </w:pPr>
            <w:r>
              <w:rPr>
                <w:noProof/>
                <w:sz w:val="20"/>
              </w:rPr>
              <w:t xml:space="preserve">Syyskuu </w:t>
            </w:r>
          </w:p>
        </w:tc>
        <w:tc>
          <w:tcPr>
            <w:tcW w:w="1785" w:type="dxa"/>
            <w:shd w:val="clear" w:color="auto" w:fill="auto"/>
          </w:tcPr>
          <w:p>
            <w:pPr>
              <w:tabs>
                <w:tab w:val="right" w:leader="dot" w:pos="9071"/>
              </w:tabs>
              <w:ind w:left="850" w:hanging="850"/>
              <w:jc w:val="center"/>
              <w:rPr>
                <w:noProof/>
                <w:sz w:val="20"/>
                <w:szCs w:val="20"/>
              </w:rPr>
            </w:pPr>
            <w:r>
              <w:rPr>
                <w:noProof/>
                <w:sz w:val="20"/>
              </w:rPr>
              <w:t>3</w:t>
            </w:r>
          </w:p>
        </w:tc>
        <w:tc>
          <w:tcPr>
            <w:tcW w:w="1785" w:type="dxa"/>
            <w:shd w:val="clear" w:color="auto" w:fill="auto"/>
          </w:tcPr>
          <w:p>
            <w:pPr>
              <w:tabs>
                <w:tab w:val="right" w:leader="dot" w:pos="9071"/>
              </w:tabs>
              <w:ind w:left="850" w:hanging="850"/>
              <w:jc w:val="center"/>
              <w:rPr>
                <w:noProof/>
                <w:sz w:val="20"/>
                <w:szCs w:val="20"/>
              </w:rPr>
            </w:pPr>
            <w:r>
              <w:rPr>
                <w:noProof/>
                <w:sz w:val="20"/>
              </w:rPr>
              <w:t>7</w:t>
            </w:r>
          </w:p>
        </w:tc>
      </w:tr>
      <w:tr>
        <w:tc>
          <w:tcPr>
            <w:tcW w:w="1535" w:type="dxa"/>
            <w:shd w:val="clear" w:color="auto" w:fill="auto"/>
          </w:tcPr>
          <w:p>
            <w:pPr>
              <w:tabs>
                <w:tab w:val="right" w:leader="dot" w:pos="9071"/>
              </w:tabs>
              <w:ind w:left="850" w:hanging="850"/>
              <w:rPr>
                <w:noProof/>
                <w:sz w:val="20"/>
                <w:szCs w:val="20"/>
              </w:rPr>
            </w:pPr>
            <w:r>
              <w:rPr>
                <w:noProof/>
                <w:sz w:val="20"/>
              </w:rPr>
              <w:t xml:space="preserve">Lokakuu </w:t>
            </w:r>
          </w:p>
        </w:tc>
        <w:tc>
          <w:tcPr>
            <w:tcW w:w="1785" w:type="dxa"/>
            <w:shd w:val="clear" w:color="auto" w:fill="auto"/>
          </w:tcPr>
          <w:p>
            <w:pPr>
              <w:tabs>
                <w:tab w:val="right" w:leader="dot" w:pos="9071"/>
              </w:tabs>
              <w:ind w:left="850" w:hanging="850"/>
              <w:jc w:val="center"/>
              <w:rPr>
                <w:noProof/>
                <w:sz w:val="20"/>
                <w:szCs w:val="20"/>
              </w:rPr>
            </w:pPr>
            <w:r>
              <w:rPr>
                <w:noProof/>
                <w:sz w:val="20"/>
              </w:rPr>
              <w:t>6</w:t>
            </w:r>
          </w:p>
        </w:tc>
        <w:tc>
          <w:tcPr>
            <w:tcW w:w="1785" w:type="dxa"/>
            <w:shd w:val="clear" w:color="auto" w:fill="auto"/>
          </w:tcPr>
          <w:p>
            <w:pPr>
              <w:tabs>
                <w:tab w:val="right" w:leader="dot" w:pos="9071"/>
              </w:tabs>
              <w:ind w:left="850" w:hanging="850"/>
              <w:jc w:val="center"/>
              <w:rPr>
                <w:noProof/>
                <w:sz w:val="20"/>
                <w:szCs w:val="20"/>
              </w:rPr>
            </w:pPr>
            <w:r>
              <w:rPr>
                <w:noProof/>
                <w:sz w:val="20"/>
              </w:rPr>
              <w:t>7</w:t>
            </w:r>
          </w:p>
        </w:tc>
      </w:tr>
      <w:tr>
        <w:tc>
          <w:tcPr>
            <w:tcW w:w="1535" w:type="dxa"/>
            <w:shd w:val="clear" w:color="auto" w:fill="auto"/>
          </w:tcPr>
          <w:p>
            <w:pPr>
              <w:tabs>
                <w:tab w:val="right" w:leader="dot" w:pos="9071"/>
              </w:tabs>
              <w:ind w:left="850" w:hanging="850"/>
              <w:rPr>
                <w:noProof/>
                <w:sz w:val="20"/>
                <w:szCs w:val="20"/>
              </w:rPr>
            </w:pPr>
            <w:r>
              <w:rPr>
                <w:noProof/>
                <w:sz w:val="20"/>
              </w:rPr>
              <w:t xml:space="preserve">Marraskuu </w:t>
            </w:r>
          </w:p>
        </w:tc>
        <w:tc>
          <w:tcPr>
            <w:tcW w:w="1785" w:type="dxa"/>
            <w:shd w:val="clear" w:color="auto" w:fill="auto"/>
          </w:tcPr>
          <w:p>
            <w:pPr>
              <w:tabs>
                <w:tab w:val="right" w:leader="dot" w:pos="9071"/>
              </w:tabs>
              <w:ind w:left="850" w:hanging="850"/>
              <w:jc w:val="center"/>
              <w:rPr>
                <w:noProof/>
                <w:sz w:val="20"/>
                <w:szCs w:val="20"/>
              </w:rPr>
            </w:pPr>
            <w:r>
              <w:rPr>
                <w:noProof/>
                <w:sz w:val="20"/>
              </w:rPr>
              <w:t>4</w:t>
            </w:r>
          </w:p>
        </w:tc>
        <w:tc>
          <w:tcPr>
            <w:tcW w:w="1785" w:type="dxa"/>
            <w:shd w:val="clear" w:color="auto" w:fill="auto"/>
          </w:tcPr>
          <w:p>
            <w:pPr>
              <w:tabs>
                <w:tab w:val="right" w:leader="dot" w:pos="9071"/>
              </w:tabs>
              <w:ind w:left="850" w:hanging="850"/>
              <w:jc w:val="center"/>
              <w:rPr>
                <w:noProof/>
                <w:sz w:val="20"/>
                <w:szCs w:val="20"/>
              </w:rPr>
            </w:pPr>
            <w:r>
              <w:rPr>
                <w:noProof/>
                <w:sz w:val="20"/>
              </w:rPr>
              <w:t>7</w:t>
            </w:r>
          </w:p>
        </w:tc>
      </w:tr>
      <w:tr>
        <w:tc>
          <w:tcPr>
            <w:tcW w:w="1535" w:type="dxa"/>
            <w:shd w:val="clear" w:color="auto" w:fill="auto"/>
          </w:tcPr>
          <w:p>
            <w:pPr>
              <w:tabs>
                <w:tab w:val="right" w:leader="dot" w:pos="9071"/>
              </w:tabs>
              <w:ind w:left="850" w:hanging="850"/>
              <w:rPr>
                <w:noProof/>
                <w:sz w:val="20"/>
                <w:szCs w:val="20"/>
              </w:rPr>
            </w:pPr>
            <w:r>
              <w:rPr>
                <w:noProof/>
                <w:sz w:val="20"/>
              </w:rPr>
              <w:t xml:space="preserve">Joulukuu </w:t>
            </w:r>
          </w:p>
        </w:tc>
        <w:tc>
          <w:tcPr>
            <w:tcW w:w="1785" w:type="dxa"/>
            <w:shd w:val="clear" w:color="auto" w:fill="auto"/>
          </w:tcPr>
          <w:p>
            <w:pPr>
              <w:tabs>
                <w:tab w:val="right" w:leader="dot" w:pos="9071"/>
              </w:tabs>
              <w:ind w:left="850" w:hanging="850"/>
              <w:jc w:val="center"/>
              <w:rPr>
                <w:noProof/>
                <w:sz w:val="20"/>
                <w:szCs w:val="20"/>
              </w:rPr>
            </w:pPr>
            <w:r>
              <w:rPr>
                <w:noProof/>
                <w:sz w:val="20"/>
              </w:rPr>
              <w:t>3</w:t>
            </w:r>
          </w:p>
        </w:tc>
        <w:tc>
          <w:tcPr>
            <w:tcW w:w="1785" w:type="dxa"/>
            <w:shd w:val="clear" w:color="auto" w:fill="auto"/>
          </w:tcPr>
          <w:p>
            <w:pPr>
              <w:tabs>
                <w:tab w:val="right" w:leader="dot" w:pos="9071"/>
              </w:tabs>
              <w:ind w:left="850" w:hanging="850"/>
              <w:jc w:val="center"/>
              <w:rPr>
                <w:noProof/>
                <w:sz w:val="20"/>
                <w:szCs w:val="20"/>
              </w:rPr>
            </w:pPr>
            <w:r>
              <w:rPr>
                <w:noProof/>
                <w:sz w:val="20"/>
              </w:rPr>
              <w:t>4</w:t>
            </w:r>
          </w:p>
        </w:tc>
      </w:tr>
      <w:tr>
        <w:tc>
          <w:tcPr>
            <w:tcW w:w="1535" w:type="dxa"/>
            <w:shd w:val="clear" w:color="auto" w:fill="auto"/>
          </w:tcPr>
          <w:p>
            <w:pPr>
              <w:tabs>
                <w:tab w:val="right" w:leader="dot" w:pos="9071"/>
              </w:tabs>
              <w:ind w:left="850" w:hanging="850"/>
              <w:jc w:val="right"/>
              <w:rPr>
                <w:noProof/>
                <w:sz w:val="20"/>
                <w:szCs w:val="20"/>
              </w:rPr>
            </w:pPr>
            <w:r>
              <w:rPr>
                <w:noProof/>
                <w:sz w:val="20"/>
              </w:rPr>
              <w:t>YHTEENSÄ</w:t>
            </w:r>
          </w:p>
        </w:tc>
        <w:tc>
          <w:tcPr>
            <w:tcW w:w="1785" w:type="dxa"/>
            <w:shd w:val="clear" w:color="auto" w:fill="auto"/>
          </w:tcPr>
          <w:p>
            <w:pPr>
              <w:tabs>
                <w:tab w:val="right" w:leader="dot" w:pos="9071"/>
              </w:tabs>
              <w:ind w:left="850" w:hanging="850"/>
              <w:jc w:val="center"/>
              <w:rPr>
                <w:noProof/>
                <w:sz w:val="20"/>
                <w:szCs w:val="20"/>
              </w:rPr>
            </w:pPr>
            <w:r>
              <w:rPr>
                <w:noProof/>
                <w:sz w:val="20"/>
              </w:rPr>
              <w:t>52</w:t>
            </w:r>
          </w:p>
        </w:tc>
        <w:tc>
          <w:tcPr>
            <w:tcW w:w="1785" w:type="dxa"/>
            <w:shd w:val="clear" w:color="auto" w:fill="auto"/>
          </w:tcPr>
          <w:p>
            <w:pPr>
              <w:tabs>
                <w:tab w:val="right" w:leader="dot" w:pos="9071"/>
              </w:tabs>
              <w:ind w:left="850" w:hanging="850"/>
              <w:jc w:val="center"/>
              <w:rPr>
                <w:noProof/>
                <w:sz w:val="20"/>
                <w:szCs w:val="20"/>
              </w:rPr>
            </w:pPr>
            <w:r>
              <w:rPr>
                <w:noProof/>
                <w:sz w:val="20"/>
              </w:rPr>
              <w:t>62</w:t>
            </w:r>
          </w:p>
        </w:tc>
      </w:tr>
    </w:tbl>
    <w:p>
      <w:pPr>
        <w:rPr>
          <w:noProof/>
          <w:sz w:val="20"/>
          <w:szCs w:val="20"/>
        </w:rPr>
      </w:pPr>
    </w:p>
    <w:p>
      <w:pPr>
        <w:rPr>
          <w:noProof/>
        </w:rPr>
      </w:pPr>
      <w:r>
        <w:rPr>
          <w:noProof/>
        </w:rPr>
        <w:t>Vaihtoehtoisessa riidanratkaisumenettelyssä ratkaistut asiat vuonna 2013: 57 (joista 47 kantelua hyväksytty)</w:t>
      </w:r>
    </w:p>
    <w:p>
      <w:pPr>
        <w:rPr>
          <w:noProof/>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1535"/>
        <w:gridCol w:w="1535"/>
        <w:gridCol w:w="1535"/>
        <w:gridCol w:w="1550"/>
        <w:gridCol w:w="1536"/>
      </w:tblGrid>
      <w:tr>
        <w:tc>
          <w:tcPr>
            <w:tcW w:w="1535" w:type="dxa"/>
            <w:shd w:val="clear" w:color="auto" w:fill="auto"/>
          </w:tcPr>
          <w:p>
            <w:pPr>
              <w:tabs>
                <w:tab w:val="right" w:leader="dot" w:pos="9071"/>
              </w:tabs>
              <w:ind w:left="850" w:hanging="850"/>
              <w:rPr>
                <w:noProof/>
                <w:sz w:val="20"/>
                <w:szCs w:val="20"/>
              </w:rPr>
            </w:pPr>
            <w:r>
              <w:rPr>
                <w:noProof/>
                <w:sz w:val="20"/>
              </w:rPr>
              <w:t>2013</w:t>
            </w:r>
          </w:p>
        </w:tc>
        <w:tc>
          <w:tcPr>
            <w:tcW w:w="1535" w:type="dxa"/>
            <w:shd w:val="clear" w:color="auto" w:fill="auto"/>
          </w:tcPr>
          <w:p>
            <w:pPr>
              <w:tabs>
                <w:tab w:val="right" w:leader="dot" w:pos="9071"/>
              </w:tabs>
              <w:ind w:left="850" w:hanging="850"/>
              <w:jc w:val="center"/>
              <w:rPr>
                <w:noProof/>
                <w:sz w:val="20"/>
                <w:szCs w:val="20"/>
              </w:rPr>
            </w:pPr>
            <w:r>
              <w:rPr>
                <w:noProof/>
                <w:sz w:val="20"/>
              </w:rPr>
              <w:t xml:space="preserve">Kantelu </w:t>
            </w:r>
          </w:p>
          <w:p>
            <w:pPr>
              <w:tabs>
                <w:tab w:val="right" w:leader="dot" w:pos="9071"/>
              </w:tabs>
              <w:ind w:left="850" w:hanging="850"/>
              <w:jc w:val="center"/>
              <w:rPr>
                <w:noProof/>
                <w:sz w:val="20"/>
                <w:szCs w:val="20"/>
              </w:rPr>
            </w:pPr>
            <w:r>
              <w:rPr>
                <w:noProof/>
                <w:sz w:val="20"/>
              </w:rPr>
              <w:t>Hylätty</w:t>
            </w:r>
          </w:p>
        </w:tc>
        <w:tc>
          <w:tcPr>
            <w:tcW w:w="1535" w:type="dxa"/>
            <w:shd w:val="clear" w:color="auto" w:fill="auto"/>
          </w:tcPr>
          <w:p>
            <w:pPr>
              <w:tabs>
                <w:tab w:val="right" w:leader="dot" w:pos="9071"/>
              </w:tabs>
              <w:ind w:left="850" w:hanging="850"/>
              <w:jc w:val="center"/>
              <w:rPr>
                <w:noProof/>
                <w:sz w:val="20"/>
                <w:szCs w:val="20"/>
              </w:rPr>
            </w:pPr>
            <w:r>
              <w:rPr>
                <w:noProof/>
                <w:sz w:val="20"/>
              </w:rPr>
              <w:t xml:space="preserve">Kantelu </w:t>
            </w:r>
          </w:p>
          <w:p>
            <w:pPr>
              <w:tabs>
                <w:tab w:val="right" w:leader="dot" w:pos="9071"/>
              </w:tabs>
              <w:ind w:left="850" w:hanging="850"/>
              <w:jc w:val="center"/>
              <w:rPr>
                <w:noProof/>
                <w:sz w:val="20"/>
                <w:szCs w:val="20"/>
              </w:rPr>
            </w:pPr>
            <w:r>
              <w:rPr>
                <w:noProof/>
                <w:sz w:val="20"/>
              </w:rPr>
              <w:t>Hyväksytty</w:t>
            </w:r>
          </w:p>
        </w:tc>
        <w:tc>
          <w:tcPr>
            <w:tcW w:w="1535" w:type="dxa"/>
            <w:shd w:val="clear" w:color="auto" w:fill="auto"/>
          </w:tcPr>
          <w:p>
            <w:pPr>
              <w:tabs>
                <w:tab w:val="right" w:leader="dot" w:pos="9071"/>
              </w:tabs>
              <w:ind w:left="850" w:hanging="850"/>
              <w:jc w:val="center"/>
              <w:rPr>
                <w:noProof/>
                <w:sz w:val="20"/>
                <w:szCs w:val="20"/>
              </w:rPr>
            </w:pPr>
            <w:r>
              <w:rPr>
                <w:noProof/>
                <w:sz w:val="20"/>
              </w:rPr>
              <w:t xml:space="preserve">Kantelu </w:t>
            </w:r>
          </w:p>
          <w:p>
            <w:pPr>
              <w:tabs>
                <w:tab w:val="right" w:leader="dot" w:pos="9071"/>
              </w:tabs>
              <w:ind w:left="850" w:hanging="850"/>
              <w:jc w:val="center"/>
              <w:rPr>
                <w:noProof/>
                <w:sz w:val="20"/>
                <w:szCs w:val="20"/>
              </w:rPr>
            </w:pPr>
            <w:r>
              <w:rPr>
                <w:noProof/>
                <w:sz w:val="20"/>
              </w:rPr>
              <w:t>puutteellinen</w:t>
            </w:r>
          </w:p>
        </w:tc>
        <w:tc>
          <w:tcPr>
            <w:tcW w:w="1536" w:type="dxa"/>
            <w:shd w:val="clear" w:color="auto" w:fill="auto"/>
          </w:tcPr>
          <w:p>
            <w:pPr>
              <w:tabs>
                <w:tab w:val="right" w:leader="dot" w:pos="9071"/>
              </w:tabs>
              <w:ind w:left="850" w:hanging="850"/>
              <w:jc w:val="center"/>
              <w:rPr>
                <w:noProof/>
                <w:sz w:val="20"/>
                <w:szCs w:val="20"/>
              </w:rPr>
            </w:pPr>
            <w:r>
              <w:rPr>
                <w:noProof/>
                <w:sz w:val="20"/>
              </w:rPr>
              <w:t>Sopimusratkaisu</w:t>
            </w:r>
          </w:p>
        </w:tc>
        <w:tc>
          <w:tcPr>
            <w:tcW w:w="1536" w:type="dxa"/>
            <w:shd w:val="clear" w:color="auto" w:fill="F2F2F2"/>
          </w:tcPr>
          <w:p>
            <w:pPr>
              <w:tabs>
                <w:tab w:val="right" w:leader="dot" w:pos="9071"/>
              </w:tabs>
              <w:ind w:left="850" w:hanging="850"/>
              <w:jc w:val="center"/>
              <w:rPr>
                <w:noProof/>
                <w:sz w:val="20"/>
                <w:szCs w:val="20"/>
              </w:rPr>
            </w:pPr>
            <w:r>
              <w:rPr>
                <w:noProof/>
                <w:sz w:val="20"/>
              </w:rPr>
              <w:t>YHTEENSÄ</w:t>
            </w:r>
          </w:p>
        </w:tc>
      </w:tr>
      <w:tr>
        <w:tc>
          <w:tcPr>
            <w:tcW w:w="1535" w:type="dxa"/>
            <w:shd w:val="clear" w:color="auto" w:fill="auto"/>
          </w:tcPr>
          <w:p>
            <w:pPr>
              <w:tabs>
                <w:tab w:val="right" w:leader="dot" w:pos="9071"/>
              </w:tabs>
              <w:ind w:left="850" w:hanging="850"/>
              <w:rPr>
                <w:noProof/>
                <w:sz w:val="20"/>
                <w:szCs w:val="20"/>
              </w:rPr>
            </w:pPr>
            <w:r>
              <w:rPr>
                <w:noProof/>
                <w:sz w:val="20"/>
              </w:rPr>
              <w:t xml:space="preserve">Tammikuu </w:t>
            </w:r>
          </w:p>
        </w:tc>
        <w:tc>
          <w:tcPr>
            <w:tcW w:w="1535" w:type="dxa"/>
            <w:shd w:val="clear" w:color="auto" w:fill="auto"/>
          </w:tcPr>
          <w:p>
            <w:pPr>
              <w:tabs>
                <w:tab w:val="right" w:leader="dot" w:pos="9071"/>
              </w:tabs>
              <w:ind w:left="850" w:hanging="850"/>
              <w:jc w:val="center"/>
              <w:rPr>
                <w:noProof/>
                <w:sz w:val="20"/>
                <w:szCs w:val="20"/>
              </w:rPr>
            </w:pPr>
          </w:p>
        </w:tc>
        <w:tc>
          <w:tcPr>
            <w:tcW w:w="1535" w:type="dxa"/>
            <w:shd w:val="clear" w:color="auto" w:fill="auto"/>
          </w:tcPr>
          <w:p>
            <w:pPr>
              <w:tabs>
                <w:tab w:val="right" w:leader="dot" w:pos="9071"/>
              </w:tabs>
              <w:ind w:left="850" w:hanging="850"/>
              <w:jc w:val="center"/>
              <w:rPr>
                <w:noProof/>
                <w:sz w:val="20"/>
                <w:szCs w:val="20"/>
              </w:rPr>
            </w:pPr>
            <w:r>
              <w:rPr>
                <w:noProof/>
                <w:sz w:val="20"/>
              </w:rPr>
              <w:t>6</w:t>
            </w:r>
          </w:p>
        </w:tc>
        <w:tc>
          <w:tcPr>
            <w:tcW w:w="1535" w:type="dxa"/>
            <w:shd w:val="clear" w:color="auto" w:fill="auto"/>
          </w:tcPr>
          <w:p>
            <w:pPr>
              <w:tabs>
                <w:tab w:val="right" w:leader="dot" w:pos="9071"/>
              </w:tabs>
              <w:ind w:left="850" w:hanging="850"/>
              <w:jc w:val="center"/>
              <w:rPr>
                <w:noProof/>
                <w:sz w:val="20"/>
                <w:szCs w:val="20"/>
              </w:rPr>
            </w:pPr>
          </w:p>
        </w:tc>
        <w:tc>
          <w:tcPr>
            <w:tcW w:w="1536" w:type="dxa"/>
            <w:shd w:val="clear" w:color="auto" w:fill="auto"/>
          </w:tcPr>
          <w:p>
            <w:pPr>
              <w:tabs>
                <w:tab w:val="right" w:leader="dot" w:pos="9071"/>
              </w:tabs>
              <w:ind w:left="850" w:hanging="850"/>
              <w:jc w:val="center"/>
              <w:rPr>
                <w:noProof/>
                <w:sz w:val="20"/>
                <w:szCs w:val="20"/>
              </w:rPr>
            </w:pPr>
          </w:p>
        </w:tc>
        <w:tc>
          <w:tcPr>
            <w:tcW w:w="1536" w:type="dxa"/>
            <w:shd w:val="clear" w:color="auto" w:fill="F2F2F2"/>
          </w:tcPr>
          <w:p>
            <w:pPr>
              <w:tabs>
                <w:tab w:val="right" w:leader="dot" w:pos="9071"/>
              </w:tabs>
              <w:ind w:left="850" w:hanging="850"/>
              <w:jc w:val="center"/>
              <w:rPr>
                <w:noProof/>
                <w:sz w:val="20"/>
                <w:szCs w:val="20"/>
              </w:rPr>
            </w:pPr>
            <w:r>
              <w:rPr>
                <w:noProof/>
                <w:sz w:val="20"/>
              </w:rPr>
              <w:t>6</w:t>
            </w:r>
          </w:p>
        </w:tc>
      </w:tr>
      <w:tr>
        <w:tc>
          <w:tcPr>
            <w:tcW w:w="1535" w:type="dxa"/>
            <w:shd w:val="clear" w:color="auto" w:fill="auto"/>
          </w:tcPr>
          <w:p>
            <w:pPr>
              <w:tabs>
                <w:tab w:val="right" w:leader="dot" w:pos="9071"/>
              </w:tabs>
              <w:ind w:left="850" w:hanging="850"/>
              <w:rPr>
                <w:noProof/>
                <w:sz w:val="20"/>
                <w:szCs w:val="20"/>
              </w:rPr>
            </w:pPr>
            <w:r>
              <w:rPr>
                <w:noProof/>
                <w:sz w:val="20"/>
              </w:rPr>
              <w:t>Helmikuu</w:t>
            </w:r>
          </w:p>
        </w:tc>
        <w:tc>
          <w:tcPr>
            <w:tcW w:w="1535" w:type="dxa"/>
            <w:shd w:val="clear" w:color="auto" w:fill="auto"/>
          </w:tcPr>
          <w:p>
            <w:pPr>
              <w:tabs>
                <w:tab w:val="right" w:leader="dot" w:pos="9071"/>
              </w:tabs>
              <w:ind w:left="850" w:hanging="850"/>
              <w:jc w:val="center"/>
              <w:rPr>
                <w:noProof/>
                <w:sz w:val="20"/>
                <w:szCs w:val="20"/>
              </w:rPr>
            </w:pPr>
          </w:p>
        </w:tc>
        <w:tc>
          <w:tcPr>
            <w:tcW w:w="1535" w:type="dxa"/>
            <w:shd w:val="clear" w:color="auto" w:fill="auto"/>
          </w:tcPr>
          <w:p>
            <w:pPr>
              <w:tabs>
                <w:tab w:val="right" w:leader="dot" w:pos="9071"/>
              </w:tabs>
              <w:ind w:left="850" w:hanging="850"/>
              <w:jc w:val="center"/>
              <w:rPr>
                <w:noProof/>
                <w:sz w:val="20"/>
                <w:szCs w:val="20"/>
              </w:rPr>
            </w:pPr>
            <w:r>
              <w:rPr>
                <w:noProof/>
                <w:sz w:val="20"/>
              </w:rPr>
              <w:t>3</w:t>
            </w:r>
          </w:p>
        </w:tc>
        <w:tc>
          <w:tcPr>
            <w:tcW w:w="1535" w:type="dxa"/>
            <w:shd w:val="clear" w:color="auto" w:fill="auto"/>
          </w:tcPr>
          <w:p>
            <w:pPr>
              <w:tabs>
                <w:tab w:val="right" w:leader="dot" w:pos="9071"/>
              </w:tabs>
              <w:ind w:left="850" w:hanging="850"/>
              <w:jc w:val="center"/>
              <w:rPr>
                <w:noProof/>
                <w:sz w:val="20"/>
                <w:szCs w:val="20"/>
              </w:rPr>
            </w:pPr>
          </w:p>
        </w:tc>
        <w:tc>
          <w:tcPr>
            <w:tcW w:w="1536" w:type="dxa"/>
            <w:shd w:val="clear" w:color="auto" w:fill="auto"/>
          </w:tcPr>
          <w:p>
            <w:pPr>
              <w:tabs>
                <w:tab w:val="right" w:leader="dot" w:pos="9071"/>
              </w:tabs>
              <w:ind w:left="850" w:hanging="850"/>
              <w:jc w:val="center"/>
              <w:rPr>
                <w:noProof/>
                <w:sz w:val="20"/>
                <w:szCs w:val="20"/>
              </w:rPr>
            </w:pPr>
          </w:p>
        </w:tc>
        <w:tc>
          <w:tcPr>
            <w:tcW w:w="1536" w:type="dxa"/>
            <w:shd w:val="clear" w:color="auto" w:fill="F2F2F2"/>
          </w:tcPr>
          <w:p>
            <w:pPr>
              <w:tabs>
                <w:tab w:val="right" w:leader="dot" w:pos="9071"/>
              </w:tabs>
              <w:ind w:left="850" w:hanging="850"/>
              <w:jc w:val="center"/>
              <w:rPr>
                <w:noProof/>
                <w:sz w:val="20"/>
                <w:szCs w:val="20"/>
              </w:rPr>
            </w:pPr>
            <w:r>
              <w:rPr>
                <w:noProof/>
                <w:sz w:val="20"/>
              </w:rPr>
              <w:t>3</w:t>
            </w:r>
          </w:p>
        </w:tc>
      </w:tr>
      <w:tr>
        <w:tc>
          <w:tcPr>
            <w:tcW w:w="1535" w:type="dxa"/>
            <w:shd w:val="clear" w:color="auto" w:fill="auto"/>
          </w:tcPr>
          <w:p>
            <w:pPr>
              <w:tabs>
                <w:tab w:val="right" w:leader="dot" w:pos="9071"/>
              </w:tabs>
              <w:ind w:left="850" w:hanging="850"/>
              <w:rPr>
                <w:noProof/>
                <w:sz w:val="20"/>
                <w:szCs w:val="20"/>
              </w:rPr>
            </w:pPr>
            <w:r>
              <w:rPr>
                <w:noProof/>
                <w:sz w:val="20"/>
              </w:rPr>
              <w:t>Maaliskuu</w:t>
            </w:r>
          </w:p>
        </w:tc>
        <w:tc>
          <w:tcPr>
            <w:tcW w:w="1535" w:type="dxa"/>
            <w:shd w:val="clear" w:color="auto" w:fill="auto"/>
          </w:tcPr>
          <w:p>
            <w:pPr>
              <w:tabs>
                <w:tab w:val="right" w:leader="dot" w:pos="9071"/>
              </w:tabs>
              <w:ind w:left="850" w:hanging="850"/>
              <w:jc w:val="center"/>
              <w:rPr>
                <w:noProof/>
                <w:sz w:val="20"/>
                <w:szCs w:val="20"/>
              </w:rPr>
            </w:pPr>
          </w:p>
        </w:tc>
        <w:tc>
          <w:tcPr>
            <w:tcW w:w="1535" w:type="dxa"/>
            <w:shd w:val="clear" w:color="auto" w:fill="auto"/>
          </w:tcPr>
          <w:p>
            <w:pPr>
              <w:tabs>
                <w:tab w:val="right" w:leader="dot" w:pos="9071"/>
              </w:tabs>
              <w:ind w:left="850" w:hanging="850"/>
              <w:jc w:val="center"/>
              <w:rPr>
                <w:noProof/>
                <w:sz w:val="20"/>
                <w:szCs w:val="20"/>
              </w:rPr>
            </w:pPr>
            <w:r>
              <w:rPr>
                <w:noProof/>
                <w:sz w:val="20"/>
              </w:rPr>
              <w:t>4</w:t>
            </w:r>
          </w:p>
        </w:tc>
        <w:tc>
          <w:tcPr>
            <w:tcW w:w="1535" w:type="dxa"/>
            <w:shd w:val="clear" w:color="auto" w:fill="auto"/>
          </w:tcPr>
          <w:p>
            <w:pPr>
              <w:tabs>
                <w:tab w:val="right" w:leader="dot" w:pos="9071"/>
              </w:tabs>
              <w:ind w:left="850" w:hanging="850"/>
              <w:jc w:val="center"/>
              <w:rPr>
                <w:noProof/>
                <w:sz w:val="20"/>
                <w:szCs w:val="20"/>
              </w:rPr>
            </w:pPr>
            <w:r>
              <w:rPr>
                <w:noProof/>
                <w:sz w:val="20"/>
              </w:rPr>
              <w:t>1</w:t>
            </w:r>
          </w:p>
        </w:tc>
        <w:tc>
          <w:tcPr>
            <w:tcW w:w="1536" w:type="dxa"/>
            <w:shd w:val="clear" w:color="auto" w:fill="auto"/>
          </w:tcPr>
          <w:p>
            <w:pPr>
              <w:tabs>
                <w:tab w:val="right" w:leader="dot" w:pos="9071"/>
              </w:tabs>
              <w:ind w:left="850" w:hanging="850"/>
              <w:jc w:val="center"/>
              <w:rPr>
                <w:noProof/>
                <w:sz w:val="20"/>
                <w:szCs w:val="20"/>
              </w:rPr>
            </w:pPr>
          </w:p>
        </w:tc>
        <w:tc>
          <w:tcPr>
            <w:tcW w:w="1536" w:type="dxa"/>
            <w:shd w:val="clear" w:color="auto" w:fill="F2F2F2"/>
          </w:tcPr>
          <w:p>
            <w:pPr>
              <w:tabs>
                <w:tab w:val="right" w:leader="dot" w:pos="9071"/>
              </w:tabs>
              <w:ind w:left="850" w:hanging="850"/>
              <w:jc w:val="center"/>
              <w:rPr>
                <w:noProof/>
                <w:sz w:val="20"/>
                <w:szCs w:val="20"/>
              </w:rPr>
            </w:pPr>
            <w:r>
              <w:rPr>
                <w:noProof/>
                <w:sz w:val="20"/>
              </w:rPr>
              <w:t>5</w:t>
            </w:r>
          </w:p>
        </w:tc>
      </w:tr>
      <w:tr>
        <w:tc>
          <w:tcPr>
            <w:tcW w:w="1535" w:type="dxa"/>
            <w:shd w:val="clear" w:color="auto" w:fill="auto"/>
          </w:tcPr>
          <w:p>
            <w:pPr>
              <w:tabs>
                <w:tab w:val="right" w:leader="dot" w:pos="9071"/>
              </w:tabs>
              <w:ind w:left="850" w:hanging="850"/>
              <w:rPr>
                <w:noProof/>
                <w:sz w:val="20"/>
                <w:szCs w:val="20"/>
              </w:rPr>
            </w:pPr>
            <w:r>
              <w:rPr>
                <w:noProof/>
                <w:sz w:val="20"/>
              </w:rPr>
              <w:t>Huhtikuu</w:t>
            </w:r>
          </w:p>
        </w:tc>
        <w:tc>
          <w:tcPr>
            <w:tcW w:w="1535" w:type="dxa"/>
            <w:shd w:val="clear" w:color="auto" w:fill="auto"/>
          </w:tcPr>
          <w:p>
            <w:pPr>
              <w:tabs>
                <w:tab w:val="right" w:leader="dot" w:pos="9071"/>
              </w:tabs>
              <w:ind w:left="850" w:hanging="850"/>
              <w:jc w:val="center"/>
              <w:rPr>
                <w:noProof/>
                <w:sz w:val="20"/>
                <w:szCs w:val="20"/>
              </w:rPr>
            </w:pPr>
          </w:p>
        </w:tc>
        <w:tc>
          <w:tcPr>
            <w:tcW w:w="1535" w:type="dxa"/>
            <w:shd w:val="clear" w:color="auto" w:fill="auto"/>
          </w:tcPr>
          <w:p>
            <w:pPr>
              <w:tabs>
                <w:tab w:val="right" w:leader="dot" w:pos="9071"/>
              </w:tabs>
              <w:ind w:left="850" w:hanging="850"/>
              <w:jc w:val="center"/>
              <w:rPr>
                <w:noProof/>
                <w:sz w:val="20"/>
                <w:szCs w:val="20"/>
              </w:rPr>
            </w:pPr>
            <w:r>
              <w:rPr>
                <w:noProof/>
                <w:sz w:val="20"/>
              </w:rPr>
              <w:t>1</w:t>
            </w:r>
          </w:p>
        </w:tc>
        <w:tc>
          <w:tcPr>
            <w:tcW w:w="1535" w:type="dxa"/>
            <w:shd w:val="clear" w:color="auto" w:fill="auto"/>
          </w:tcPr>
          <w:p>
            <w:pPr>
              <w:tabs>
                <w:tab w:val="right" w:leader="dot" w:pos="9071"/>
              </w:tabs>
              <w:ind w:left="850" w:hanging="850"/>
              <w:jc w:val="center"/>
              <w:rPr>
                <w:noProof/>
                <w:sz w:val="20"/>
                <w:szCs w:val="20"/>
              </w:rPr>
            </w:pPr>
          </w:p>
        </w:tc>
        <w:tc>
          <w:tcPr>
            <w:tcW w:w="1536" w:type="dxa"/>
            <w:shd w:val="clear" w:color="auto" w:fill="auto"/>
          </w:tcPr>
          <w:p>
            <w:pPr>
              <w:tabs>
                <w:tab w:val="right" w:leader="dot" w:pos="9071"/>
              </w:tabs>
              <w:ind w:left="850" w:hanging="850"/>
              <w:jc w:val="center"/>
              <w:rPr>
                <w:noProof/>
                <w:sz w:val="20"/>
                <w:szCs w:val="20"/>
              </w:rPr>
            </w:pPr>
          </w:p>
        </w:tc>
        <w:tc>
          <w:tcPr>
            <w:tcW w:w="1536" w:type="dxa"/>
            <w:shd w:val="clear" w:color="auto" w:fill="F2F2F2"/>
          </w:tcPr>
          <w:p>
            <w:pPr>
              <w:tabs>
                <w:tab w:val="right" w:leader="dot" w:pos="9071"/>
              </w:tabs>
              <w:ind w:left="850" w:hanging="850"/>
              <w:jc w:val="center"/>
              <w:rPr>
                <w:noProof/>
                <w:sz w:val="20"/>
                <w:szCs w:val="20"/>
              </w:rPr>
            </w:pPr>
            <w:r>
              <w:rPr>
                <w:noProof/>
                <w:sz w:val="20"/>
              </w:rPr>
              <w:t>1</w:t>
            </w:r>
          </w:p>
        </w:tc>
      </w:tr>
      <w:tr>
        <w:tc>
          <w:tcPr>
            <w:tcW w:w="1535" w:type="dxa"/>
            <w:shd w:val="clear" w:color="auto" w:fill="auto"/>
          </w:tcPr>
          <w:p>
            <w:pPr>
              <w:tabs>
                <w:tab w:val="right" w:leader="dot" w:pos="9071"/>
              </w:tabs>
              <w:ind w:left="850" w:hanging="850"/>
              <w:rPr>
                <w:noProof/>
                <w:sz w:val="20"/>
                <w:szCs w:val="20"/>
              </w:rPr>
            </w:pPr>
            <w:r>
              <w:rPr>
                <w:noProof/>
                <w:sz w:val="20"/>
              </w:rPr>
              <w:t xml:space="preserve">Toukokuu </w:t>
            </w:r>
          </w:p>
        </w:tc>
        <w:tc>
          <w:tcPr>
            <w:tcW w:w="1535" w:type="dxa"/>
            <w:shd w:val="clear" w:color="auto" w:fill="auto"/>
          </w:tcPr>
          <w:p>
            <w:pPr>
              <w:tabs>
                <w:tab w:val="right" w:leader="dot" w:pos="9071"/>
              </w:tabs>
              <w:ind w:left="850" w:hanging="850"/>
              <w:jc w:val="center"/>
              <w:rPr>
                <w:noProof/>
                <w:sz w:val="20"/>
                <w:szCs w:val="20"/>
              </w:rPr>
            </w:pPr>
          </w:p>
        </w:tc>
        <w:tc>
          <w:tcPr>
            <w:tcW w:w="1535" w:type="dxa"/>
            <w:shd w:val="clear" w:color="auto" w:fill="auto"/>
          </w:tcPr>
          <w:p>
            <w:pPr>
              <w:tabs>
                <w:tab w:val="right" w:leader="dot" w:pos="9071"/>
              </w:tabs>
              <w:ind w:left="850" w:hanging="850"/>
              <w:jc w:val="center"/>
              <w:rPr>
                <w:noProof/>
                <w:sz w:val="20"/>
                <w:szCs w:val="20"/>
              </w:rPr>
            </w:pPr>
            <w:r>
              <w:rPr>
                <w:noProof/>
                <w:sz w:val="20"/>
              </w:rPr>
              <w:t>7</w:t>
            </w:r>
          </w:p>
        </w:tc>
        <w:tc>
          <w:tcPr>
            <w:tcW w:w="1535" w:type="dxa"/>
            <w:shd w:val="clear" w:color="auto" w:fill="auto"/>
          </w:tcPr>
          <w:p>
            <w:pPr>
              <w:tabs>
                <w:tab w:val="right" w:leader="dot" w:pos="9071"/>
              </w:tabs>
              <w:ind w:left="850" w:hanging="850"/>
              <w:jc w:val="center"/>
              <w:rPr>
                <w:noProof/>
                <w:sz w:val="20"/>
                <w:szCs w:val="20"/>
              </w:rPr>
            </w:pPr>
          </w:p>
        </w:tc>
        <w:tc>
          <w:tcPr>
            <w:tcW w:w="1536" w:type="dxa"/>
            <w:shd w:val="clear" w:color="auto" w:fill="auto"/>
          </w:tcPr>
          <w:p>
            <w:pPr>
              <w:tabs>
                <w:tab w:val="right" w:leader="dot" w:pos="9071"/>
              </w:tabs>
              <w:ind w:left="850" w:hanging="850"/>
              <w:jc w:val="center"/>
              <w:rPr>
                <w:noProof/>
                <w:sz w:val="20"/>
                <w:szCs w:val="20"/>
              </w:rPr>
            </w:pPr>
          </w:p>
        </w:tc>
        <w:tc>
          <w:tcPr>
            <w:tcW w:w="1536" w:type="dxa"/>
            <w:shd w:val="clear" w:color="auto" w:fill="F2F2F2"/>
          </w:tcPr>
          <w:p>
            <w:pPr>
              <w:tabs>
                <w:tab w:val="right" w:leader="dot" w:pos="9071"/>
              </w:tabs>
              <w:ind w:left="850" w:hanging="850"/>
              <w:jc w:val="center"/>
              <w:rPr>
                <w:noProof/>
                <w:sz w:val="20"/>
                <w:szCs w:val="20"/>
              </w:rPr>
            </w:pPr>
            <w:r>
              <w:rPr>
                <w:noProof/>
                <w:sz w:val="20"/>
              </w:rPr>
              <w:t>7</w:t>
            </w:r>
          </w:p>
        </w:tc>
      </w:tr>
      <w:tr>
        <w:tc>
          <w:tcPr>
            <w:tcW w:w="1535" w:type="dxa"/>
            <w:shd w:val="clear" w:color="auto" w:fill="auto"/>
          </w:tcPr>
          <w:p>
            <w:pPr>
              <w:tabs>
                <w:tab w:val="right" w:leader="dot" w:pos="9071"/>
              </w:tabs>
              <w:ind w:left="850" w:hanging="850"/>
              <w:rPr>
                <w:noProof/>
                <w:sz w:val="20"/>
                <w:szCs w:val="20"/>
              </w:rPr>
            </w:pPr>
            <w:r>
              <w:rPr>
                <w:noProof/>
                <w:sz w:val="20"/>
              </w:rPr>
              <w:t xml:space="preserve">Kesäkuu </w:t>
            </w:r>
          </w:p>
        </w:tc>
        <w:tc>
          <w:tcPr>
            <w:tcW w:w="1535" w:type="dxa"/>
            <w:shd w:val="clear" w:color="auto" w:fill="auto"/>
          </w:tcPr>
          <w:p>
            <w:pPr>
              <w:tabs>
                <w:tab w:val="right" w:leader="dot" w:pos="9071"/>
              </w:tabs>
              <w:ind w:left="850" w:hanging="850"/>
              <w:jc w:val="center"/>
              <w:rPr>
                <w:noProof/>
                <w:sz w:val="20"/>
                <w:szCs w:val="20"/>
              </w:rPr>
            </w:pPr>
            <w:r>
              <w:rPr>
                <w:noProof/>
                <w:sz w:val="20"/>
              </w:rPr>
              <w:t>2</w:t>
            </w:r>
          </w:p>
        </w:tc>
        <w:tc>
          <w:tcPr>
            <w:tcW w:w="1535" w:type="dxa"/>
            <w:shd w:val="clear" w:color="auto" w:fill="auto"/>
          </w:tcPr>
          <w:p>
            <w:pPr>
              <w:tabs>
                <w:tab w:val="right" w:leader="dot" w:pos="9071"/>
              </w:tabs>
              <w:ind w:left="850" w:hanging="850"/>
              <w:jc w:val="center"/>
              <w:rPr>
                <w:noProof/>
                <w:sz w:val="20"/>
                <w:szCs w:val="20"/>
              </w:rPr>
            </w:pPr>
            <w:r>
              <w:rPr>
                <w:noProof/>
                <w:sz w:val="20"/>
              </w:rPr>
              <w:t>6</w:t>
            </w:r>
          </w:p>
        </w:tc>
        <w:tc>
          <w:tcPr>
            <w:tcW w:w="1535" w:type="dxa"/>
            <w:shd w:val="clear" w:color="auto" w:fill="auto"/>
          </w:tcPr>
          <w:p>
            <w:pPr>
              <w:tabs>
                <w:tab w:val="right" w:leader="dot" w:pos="9071"/>
              </w:tabs>
              <w:ind w:left="850" w:hanging="850"/>
              <w:jc w:val="center"/>
              <w:rPr>
                <w:noProof/>
                <w:sz w:val="20"/>
                <w:szCs w:val="20"/>
              </w:rPr>
            </w:pPr>
          </w:p>
        </w:tc>
        <w:tc>
          <w:tcPr>
            <w:tcW w:w="1536" w:type="dxa"/>
            <w:shd w:val="clear" w:color="auto" w:fill="auto"/>
          </w:tcPr>
          <w:p>
            <w:pPr>
              <w:tabs>
                <w:tab w:val="right" w:leader="dot" w:pos="9071"/>
              </w:tabs>
              <w:ind w:left="850" w:hanging="850"/>
              <w:jc w:val="center"/>
              <w:rPr>
                <w:noProof/>
                <w:sz w:val="20"/>
                <w:szCs w:val="20"/>
              </w:rPr>
            </w:pPr>
          </w:p>
        </w:tc>
        <w:tc>
          <w:tcPr>
            <w:tcW w:w="1536" w:type="dxa"/>
            <w:shd w:val="clear" w:color="auto" w:fill="F2F2F2"/>
          </w:tcPr>
          <w:p>
            <w:pPr>
              <w:tabs>
                <w:tab w:val="right" w:leader="dot" w:pos="9071"/>
              </w:tabs>
              <w:ind w:left="850" w:hanging="850"/>
              <w:jc w:val="center"/>
              <w:rPr>
                <w:noProof/>
                <w:sz w:val="20"/>
                <w:szCs w:val="20"/>
              </w:rPr>
            </w:pPr>
            <w:r>
              <w:rPr>
                <w:noProof/>
                <w:sz w:val="20"/>
              </w:rPr>
              <w:t>8</w:t>
            </w:r>
          </w:p>
        </w:tc>
      </w:tr>
      <w:tr>
        <w:tc>
          <w:tcPr>
            <w:tcW w:w="1535" w:type="dxa"/>
            <w:shd w:val="clear" w:color="auto" w:fill="auto"/>
          </w:tcPr>
          <w:p>
            <w:pPr>
              <w:tabs>
                <w:tab w:val="right" w:leader="dot" w:pos="9071"/>
              </w:tabs>
              <w:ind w:left="850" w:hanging="850"/>
              <w:rPr>
                <w:noProof/>
                <w:sz w:val="20"/>
                <w:szCs w:val="20"/>
              </w:rPr>
            </w:pPr>
            <w:r>
              <w:rPr>
                <w:noProof/>
                <w:sz w:val="20"/>
              </w:rPr>
              <w:t xml:space="preserve">Heinäkuu </w:t>
            </w:r>
          </w:p>
        </w:tc>
        <w:tc>
          <w:tcPr>
            <w:tcW w:w="1535" w:type="dxa"/>
            <w:shd w:val="clear" w:color="auto" w:fill="auto"/>
          </w:tcPr>
          <w:p>
            <w:pPr>
              <w:tabs>
                <w:tab w:val="right" w:leader="dot" w:pos="9071"/>
              </w:tabs>
              <w:ind w:left="850" w:hanging="850"/>
              <w:jc w:val="center"/>
              <w:rPr>
                <w:noProof/>
                <w:sz w:val="20"/>
                <w:szCs w:val="20"/>
              </w:rPr>
            </w:pPr>
          </w:p>
        </w:tc>
        <w:tc>
          <w:tcPr>
            <w:tcW w:w="1535" w:type="dxa"/>
            <w:shd w:val="clear" w:color="auto" w:fill="auto"/>
          </w:tcPr>
          <w:p>
            <w:pPr>
              <w:tabs>
                <w:tab w:val="right" w:leader="dot" w:pos="9071"/>
              </w:tabs>
              <w:ind w:left="850" w:hanging="850"/>
              <w:jc w:val="center"/>
              <w:rPr>
                <w:noProof/>
                <w:sz w:val="20"/>
                <w:szCs w:val="20"/>
              </w:rPr>
            </w:pPr>
            <w:r>
              <w:rPr>
                <w:noProof/>
                <w:sz w:val="20"/>
              </w:rPr>
              <w:t>5</w:t>
            </w:r>
          </w:p>
        </w:tc>
        <w:tc>
          <w:tcPr>
            <w:tcW w:w="1535" w:type="dxa"/>
            <w:shd w:val="clear" w:color="auto" w:fill="auto"/>
          </w:tcPr>
          <w:p>
            <w:pPr>
              <w:tabs>
                <w:tab w:val="right" w:leader="dot" w:pos="9071"/>
              </w:tabs>
              <w:ind w:left="850" w:hanging="850"/>
              <w:jc w:val="center"/>
              <w:rPr>
                <w:noProof/>
                <w:sz w:val="20"/>
                <w:szCs w:val="20"/>
              </w:rPr>
            </w:pPr>
          </w:p>
        </w:tc>
        <w:tc>
          <w:tcPr>
            <w:tcW w:w="1536" w:type="dxa"/>
            <w:shd w:val="clear" w:color="auto" w:fill="auto"/>
          </w:tcPr>
          <w:p>
            <w:pPr>
              <w:tabs>
                <w:tab w:val="right" w:leader="dot" w:pos="9071"/>
              </w:tabs>
              <w:ind w:left="850" w:hanging="850"/>
              <w:jc w:val="center"/>
              <w:rPr>
                <w:noProof/>
                <w:sz w:val="20"/>
                <w:szCs w:val="20"/>
              </w:rPr>
            </w:pPr>
            <w:r>
              <w:rPr>
                <w:noProof/>
                <w:sz w:val="20"/>
              </w:rPr>
              <w:t>2</w:t>
            </w:r>
          </w:p>
        </w:tc>
        <w:tc>
          <w:tcPr>
            <w:tcW w:w="1536" w:type="dxa"/>
            <w:shd w:val="clear" w:color="auto" w:fill="F2F2F2"/>
          </w:tcPr>
          <w:p>
            <w:pPr>
              <w:tabs>
                <w:tab w:val="right" w:leader="dot" w:pos="9071"/>
              </w:tabs>
              <w:ind w:left="850" w:hanging="850"/>
              <w:jc w:val="center"/>
              <w:rPr>
                <w:noProof/>
                <w:sz w:val="20"/>
                <w:szCs w:val="20"/>
              </w:rPr>
            </w:pPr>
            <w:r>
              <w:rPr>
                <w:noProof/>
                <w:sz w:val="20"/>
              </w:rPr>
              <w:t>7</w:t>
            </w:r>
          </w:p>
        </w:tc>
      </w:tr>
      <w:tr>
        <w:tc>
          <w:tcPr>
            <w:tcW w:w="1535" w:type="dxa"/>
            <w:shd w:val="clear" w:color="auto" w:fill="auto"/>
          </w:tcPr>
          <w:p>
            <w:pPr>
              <w:tabs>
                <w:tab w:val="right" w:leader="dot" w:pos="9071"/>
              </w:tabs>
              <w:ind w:left="850" w:hanging="850"/>
              <w:rPr>
                <w:noProof/>
                <w:sz w:val="20"/>
                <w:szCs w:val="20"/>
              </w:rPr>
            </w:pPr>
            <w:r>
              <w:rPr>
                <w:noProof/>
                <w:sz w:val="20"/>
              </w:rPr>
              <w:t xml:space="preserve">Elokuu </w:t>
            </w:r>
          </w:p>
        </w:tc>
        <w:tc>
          <w:tcPr>
            <w:tcW w:w="1535" w:type="dxa"/>
            <w:shd w:val="clear" w:color="auto" w:fill="auto"/>
          </w:tcPr>
          <w:p>
            <w:pPr>
              <w:tabs>
                <w:tab w:val="right" w:leader="dot" w:pos="9071"/>
              </w:tabs>
              <w:ind w:left="850" w:hanging="850"/>
              <w:jc w:val="center"/>
              <w:rPr>
                <w:noProof/>
                <w:sz w:val="20"/>
                <w:szCs w:val="20"/>
              </w:rPr>
            </w:pPr>
            <w:r>
              <w:rPr>
                <w:noProof/>
                <w:sz w:val="20"/>
              </w:rPr>
              <w:t>1</w:t>
            </w:r>
          </w:p>
        </w:tc>
        <w:tc>
          <w:tcPr>
            <w:tcW w:w="1535" w:type="dxa"/>
            <w:shd w:val="clear" w:color="auto" w:fill="auto"/>
          </w:tcPr>
          <w:p>
            <w:pPr>
              <w:tabs>
                <w:tab w:val="right" w:leader="dot" w:pos="9071"/>
              </w:tabs>
              <w:ind w:left="850" w:hanging="850"/>
              <w:jc w:val="center"/>
              <w:rPr>
                <w:noProof/>
                <w:sz w:val="20"/>
                <w:szCs w:val="20"/>
              </w:rPr>
            </w:pPr>
            <w:r>
              <w:rPr>
                <w:noProof/>
                <w:sz w:val="20"/>
              </w:rPr>
              <w:t>3</w:t>
            </w:r>
          </w:p>
        </w:tc>
        <w:tc>
          <w:tcPr>
            <w:tcW w:w="1535" w:type="dxa"/>
            <w:shd w:val="clear" w:color="auto" w:fill="auto"/>
          </w:tcPr>
          <w:p>
            <w:pPr>
              <w:tabs>
                <w:tab w:val="right" w:leader="dot" w:pos="9071"/>
              </w:tabs>
              <w:ind w:left="850" w:hanging="850"/>
              <w:jc w:val="center"/>
              <w:rPr>
                <w:noProof/>
                <w:sz w:val="20"/>
                <w:szCs w:val="20"/>
              </w:rPr>
            </w:pPr>
          </w:p>
        </w:tc>
        <w:tc>
          <w:tcPr>
            <w:tcW w:w="1536" w:type="dxa"/>
            <w:shd w:val="clear" w:color="auto" w:fill="auto"/>
          </w:tcPr>
          <w:p>
            <w:pPr>
              <w:tabs>
                <w:tab w:val="right" w:leader="dot" w:pos="9071"/>
              </w:tabs>
              <w:ind w:left="850" w:hanging="850"/>
              <w:jc w:val="center"/>
              <w:rPr>
                <w:noProof/>
                <w:sz w:val="20"/>
                <w:szCs w:val="20"/>
              </w:rPr>
            </w:pPr>
            <w:r>
              <w:rPr>
                <w:noProof/>
                <w:sz w:val="20"/>
              </w:rPr>
              <w:t>1</w:t>
            </w:r>
          </w:p>
        </w:tc>
        <w:tc>
          <w:tcPr>
            <w:tcW w:w="1536" w:type="dxa"/>
            <w:shd w:val="clear" w:color="auto" w:fill="F2F2F2"/>
          </w:tcPr>
          <w:p>
            <w:pPr>
              <w:tabs>
                <w:tab w:val="right" w:leader="dot" w:pos="9071"/>
              </w:tabs>
              <w:ind w:left="850" w:hanging="850"/>
              <w:jc w:val="center"/>
              <w:rPr>
                <w:noProof/>
                <w:sz w:val="20"/>
                <w:szCs w:val="20"/>
              </w:rPr>
            </w:pPr>
            <w:r>
              <w:rPr>
                <w:noProof/>
                <w:sz w:val="20"/>
              </w:rPr>
              <w:t>5</w:t>
            </w:r>
          </w:p>
        </w:tc>
      </w:tr>
      <w:tr>
        <w:tc>
          <w:tcPr>
            <w:tcW w:w="1535" w:type="dxa"/>
            <w:shd w:val="clear" w:color="auto" w:fill="auto"/>
          </w:tcPr>
          <w:p>
            <w:pPr>
              <w:tabs>
                <w:tab w:val="right" w:leader="dot" w:pos="9071"/>
              </w:tabs>
              <w:ind w:left="850" w:hanging="850"/>
              <w:rPr>
                <w:noProof/>
                <w:sz w:val="20"/>
                <w:szCs w:val="20"/>
              </w:rPr>
            </w:pPr>
            <w:r>
              <w:rPr>
                <w:noProof/>
                <w:sz w:val="20"/>
              </w:rPr>
              <w:t xml:space="preserve">Syyskuu </w:t>
            </w:r>
          </w:p>
        </w:tc>
        <w:tc>
          <w:tcPr>
            <w:tcW w:w="1535" w:type="dxa"/>
            <w:shd w:val="clear" w:color="auto" w:fill="auto"/>
          </w:tcPr>
          <w:p>
            <w:pPr>
              <w:tabs>
                <w:tab w:val="right" w:leader="dot" w:pos="9071"/>
              </w:tabs>
              <w:ind w:left="850" w:hanging="850"/>
              <w:jc w:val="center"/>
              <w:rPr>
                <w:noProof/>
                <w:sz w:val="20"/>
                <w:szCs w:val="20"/>
              </w:rPr>
            </w:pPr>
          </w:p>
        </w:tc>
        <w:tc>
          <w:tcPr>
            <w:tcW w:w="1535" w:type="dxa"/>
            <w:shd w:val="clear" w:color="auto" w:fill="auto"/>
          </w:tcPr>
          <w:p>
            <w:pPr>
              <w:tabs>
                <w:tab w:val="right" w:leader="dot" w:pos="9071"/>
              </w:tabs>
              <w:ind w:left="850" w:hanging="850"/>
              <w:jc w:val="center"/>
              <w:rPr>
                <w:noProof/>
                <w:sz w:val="20"/>
                <w:szCs w:val="20"/>
              </w:rPr>
            </w:pPr>
            <w:r>
              <w:rPr>
                <w:noProof/>
                <w:sz w:val="20"/>
              </w:rPr>
              <w:t>1</w:t>
            </w:r>
          </w:p>
        </w:tc>
        <w:tc>
          <w:tcPr>
            <w:tcW w:w="1535" w:type="dxa"/>
            <w:shd w:val="clear" w:color="auto" w:fill="auto"/>
          </w:tcPr>
          <w:p>
            <w:pPr>
              <w:tabs>
                <w:tab w:val="right" w:leader="dot" w:pos="9071"/>
              </w:tabs>
              <w:ind w:left="850" w:hanging="850"/>
              <w:jc w:val="center"/>
              <w:rPr>
                <w:noProof/>
                <w:sz w:val="20"/>
                <w:szCs w:val="20"/>
              </w:rPr>
            </w:pPr>
            <w:r>
              <w:rPr>
                <w:noProof/>
                <w:sz w:val="20"/>
              </w:rPr>
              <w:t>1</w:t>
            </w:r>
          </w:p>
        </w:tc>
        <w:tc>
          <w:tcPr>
            <w:tcW w:w="1536" w:type="dxa"/>
            <w:shd w:val="clear" w:color="auto" w:fill="auto"/>
          </w:tcPr>
          <w:p>
            <w:pPr>
              <w:tabs>
                <w:tab w:val="right" w:leader="dot" w:pos="9071"/>
              </w:tabs>
              <w:ind w:left="850" w:hanging="850"/>
              <w:jc w:val="center"/>
              <w:rPr>
                <w:noProof/>
                <w:sz w:val="20"/>
                <w:szCs w:val="20"/>
              </w:rPr>
            </w:pPr>
          </w:p>
        </w:tc>
        <w:tc>
          <w:tcPr>
            <w:tcW w:w="1536" w:type="dxa"/>
            <w:shd w:val="clear" w:color="auto" w:fill="F2F2F2"/>
          </w:tcPr>
          <w:p>
            <w:pPr>
              <w:tabs>
                <w:tab w:val="right" w:leader="dot" w:pos="9071"/>
              </w:tabs>
              <w:ind w:left="850" w:hanging="850"/>
              <w:jc w:val="center"/>
              <w:rPr>
                <w:noProof/>
                <w:sz w:val="20"/>
                <w:szCs w:val="20"/>
              </w:rPr>
            </w:pPr>
            <w:r>
              <w:rPr>
                <w:noProof/>
                <w:sz w:val="20"/>
              </w:rPr>
              <w:t>2</w:t>
            </w:r>
          </w:p>
        </w:tc>
      </w:tr>
      <w:tr>
        <w:tc>
          <w:tcPr>
            <w:tcW w:w="1535" w:type="dxa"/>
            <w:shd w:val="clear" w:color="auto" w:fill="auto"/>
          </w:tcPr>
          <w:p>
            <w:pPr>
              <w:tabs>
                <w:tab w:val="right" w:leader="dot" w:pos="9071"/>
              </w:tabs>
              <w:ind w:left="850" w:hanging="850"/>
              <w:rPr>
                <w:noProof/>
                <w:sz w:val="20"/>
                <w:szCs w:val="20"/>
              </w:rPr>
            </w:pPr>
            <w:r>
              <w:rPr>
                <w:noProof/>
                <w:sz w:val="20"/>
              </w:rPr>
              <w:t xml:space="preserve">Lokakuu </w:t>
            </w:r>
          </w:p>
        </w:tc>
        <w:tc>
          <w:tcPr>
            <w:tcW w:w="1535" w:type="dxa"/>
            <w:shd w:val="clear" w:color="auto" w:fill="auto"/>
          </w:tcPr>
          <w:p>
            <w:pPr>
              <w:tabs>
                <w:tab w:val="right" w:leader="dot" w:pos="9071"/>
              </w:tabs>
              <w:ind w:left="850" w:hanging="850"/>
              <w:jc w:val="center"/>
              <w:rPr>
                <w:noProof/>
                <w:sz w:val="20"/>
                <w:szCs w:val="20"/>
              </w:rPr>
            </w:pPr>
          </w:p>
        </w:tc>
        <w:tc>
          <w:tcPr>
            <w:tcW w:w="1535" w:type="dxa"/>
            <w:shd w:val="clear" w:color="auto" w:fill="auto"/>
          </w:tcPr>
          <w:p>
            <w:pPr>
              <w:tabs>
                <w:tab w:val="right" w:leader="dot" w:pos="9071"/>
              </w:tabs>
              <w:ind w:left="850" w:hanging="850"/>
              <w:jc w:val="center"/>
              <w:rPr>
                <w:noProof/>
                <w:sz w:val="20"/>
                <w:szCs w:val="20"/>
              </w:rPr>
            </w:pPr>
            <w:r>
              <w:rPr>
                <w:noProof/>
                <w:sz w:val="20"/>
              </w:rPr>
              <w:t>6</w:t>
            </w:r>
          </w:p>
        </w:tc>
        <w:tc>
          <w:tcPr>
            <w:tcW w:w="1535" w:type="dxa"/>
            <w:shd w:val="clear" w:color="auto" w:fill="auto"/>
          </w:tcPr>
          <w:p>
            <w:pPr>
              <w:tabs>
                <w:tab w:val="right" w:leader="dot" w:pos="9071"/>
              </w:tabs>
              <w:ind w:left="850" w:hanging="850"/>
              <w:jc w:val="center"/>
              <w:rPr>
                <w:noProof/>
                <w:sz w:val="20"/>
                <w:szCs w:val="20"/>
              </w:rPr>
            </w:pPr>
            <w:r>
              <w:rPr>
                <w:noProof/>
                <w:sz w:val="20"/>
              </w:rPr>
              <w:t>1</w:t>
            </w:r>
          </w:p>
        </w:tc>
        <w:tc>
          <w:tcPr>
            <w:tcW w:w="1536" w:type="dxa"/>
            <w:shd w:val="clear" w:color="auto" w:fill="auto"/>
          </w:tcPr>
          <w:p>
            <w:pPr>
              <w:tabs>
                <w:tab w:val="right" w:leader="dot" w:pos="9071"/>
              </w:tabs>
              <w:ind w:left="850" w:hanging="850"/>
              <w:jc w:val="center"/>
              <w:rPr>
                <w:noProof/>
                <w:sz w:val="20"/>
                <w:szCs w:val="20"/>
              </w:rPr>
            </w:pPr>
          </w:p>
        </w:tc>
        <w:tc>
          <w:tcPr>
            <w:tcW w:w="1536" w:type="dxa"/>
            <w:shd w:val="clear" w:color="auto" w:fill="F2F2F2"/>
          </w:tcPr>
          <w:p>
            <w:pPr>
              <w:tabs>
                <w:tab w:val="right" w:leader="dot" w:pos="9071"/>
              </w:tabs>
              <w:ind w:left="850" w:hanging="850"/>
              <w:jc w:val="center"/>
              <w:rPr>
                <w:noProof/>
                <w:sz w:val="20"/>
                <w:szCs w:val="20"/>
              </w:rPr>
            </w:pPr>
            <w:r>
              <w:rPr>
                <w:noProof/>
                <w:sz w:val="20"/>
              </w:rPr>
              <w:t>7</w:t>
            </w:r>
          </w:p>
        </w:tc>
      </w:tr>
      <w:tr>
        <w:tc>
          <w:tcPr>
            <w:tcW w:w="1535" w:type="dxa"/>
            <w:shd w:val="clear" w:color="auto" w:fill="auto"/>
          </w:tcPr>
          <w:p>
            <w:pPr>
              <w:tabs>
                <w:tab w:val="right" w:leader="dot" w:pos="9071"/>
              </w:tabs>
              <w:ind w:left="850" w:hanging="850"/>
              <w:rPr>
                <w:noProof/>
                <w:sz w:val="20"/>
                <w:szCs w:val="20"/>
              </w:rPr>
            </w:pPr>
            <w:r>
              <w:rPr>
                <w:noProof/>
                <w:sz w:val="20"/>
              </w:rPr>
              <w:t xml:space="preserve">Marraskuu </w:t>
            </w:r>
          </w:p>
        </w:tc>
        <w:tc>
          <w:tcPr>
            <w:tcW w:w="1535" w:type="dxa"/>
            <w:shd w:val="clear" w:color="auto" w:fill="auto"/>
          </w:tcPr>
          <w:p>
            <w:pPr>
              <w:tabs>
                <w:tab w:val="right" w:leader="dot" w:pos="9071"/>
              </w:tabs>
              <w:ind w:left="850" w:hanging="850"/>
              <w:jc w:val="center"/>
              <w:rPr>
                <w:noProof/>
                <w:sz w:val="20"/>
                <w:szCs w:val="20"/>
              </w:rPr>
            </w:pPr>
          </w:p>
        </w:tc>
        <w:tc>
          <w:tcPr>
            <w:tcW w:w="1535" w:type="dxa"/>
            <w:shd w:val="clear" w:color="auto" w:fill="auto"/>
          </w:tcPr>
          <w:p>
            <w:pPr>
              <w:tabs>
                <w:tab w:val="right" w:leader="dot" w:pos="9071"/>
              </w:tabs>
              <w:ind w:left="850" w:hanging="850"/>
              <w:jc w:val="center"/>
              <w:rPr>
                <w:noProof/>
                <w:sz w:val="20"/>
                <w:szCs w:val="20"/>
              </w:rPr>
            </w:pPr>
            <w:r>
              <w:rPr>
                <w:noProof/>
                <w:sz w:val="20"/>
              </w:rPr>
              <w:t>2</w:t>
            </w:r>
          </w:p>
        </w:tc>
        <w:tc>
          <w:tcPr>
            <w:tcW w:w="1535" w:type="dxa"/>
            <w:shd w:val="clear" w:color="auto" w:fill="auto"/>
          </w:tcPr>
          <w:p>
            <w:pPr>
              <w:tabs>
                <w:tab w:val="right" w:leader="dot" w:pos="9071"/>
              </w:tabs>
              <w:ind w:left="850" w:hanging="850"/>
              <w:jc w:val="center"/>
              <w:rPr>
                <w:noProof/>
                <w:sz w:val="20"/>
                <w:szCs w:val="20"/>
              </w:rPr>
            </w:pPr>
            <w:r>
              <w:rPr>
                <w:noProof/>
                <w:sz w:val="20"/>
              </w:rPr>
              <w:t>1</w:t>
            </w:r>
          </w:p>
        </w:tc>
        <w:tc>
          <w:tcPr>
            <w:tcW w:w="1536" w:type="dxa"/>
            <w:shd w:val="clear" w:color="auto" w:fill="auto"/>
          </w:tcPr>
          <w:p>
            <w:pPr>
              <w:tabs>
                <w:tab w:val="right" w:leader="dot" w:pos="9071"/>
              </w:tabs>
              <w:ind w:left="850" w:hanging="850"/>
              <w:jc w:val="center"/>
              <w:rPr>
                <w:noProof/>
                <w:sz w:val="20"/>
                <w:szCs w:val="20"/>
              </w:rPr>
            </w:pPr>
          </w:p>
        </w:tc>
        <w:tc>
          <w:tcPr>
            <w:tcW w:w="1536" w:type="dxa"/>
            <w:shd w:val="clear" w:color="auto" w:fill="F2F2F2"/>
          </w:tcPr>
          <w:p>
            <w:pPr>
              <w:tabs>
                <w:tab w:val="right" w:leader="dot" w:pos="9071"/>
              </w:tabs>
              <w:ind w:left="850" w:hanging="850"/>
              <w:jc w:val="center"/>
              <w:rPr>
                <w:noProof/>
                <w:sz w:val="20"/>
                <w:szCs w:val="20"/>
              </w:rPr>
            </w:pPr>
            <w:r>
              <w:rPr>
                <w:noProof/>
                <w:sz w:val="20"/>
              </w:rPr>
              <w:t>3</w:t>
            </w:r>
          </w:p>
        </w:tc>
      </w:tr>
      <w:tr>
        <w:tc>
          <w:tcPr>
            <w:tcW w:w="1535" w:type="dxa"/>
            <w:shd w:val="clear" w:color="auto" w:fill="auto"/>
          </w:tcPr>
          <w:p>
            <w:pPr>
              <w:tabs>
                <w:tab w:val="right" w:leader="dot" w:pos="9071"/>
              </w:tabs>
              <w:ind w:left="850" w:hanging="850"/>
              <w:rPr>
                <w:noProof/>
                <w:sz w:val="20"/>
                <w:szCs w:val="20"/>
              </w:rPr>
            </w:pPr>
            <w:r>
              <w:rPr>
                <w:noProof/>
                <w:sz w:val="20"/>
              </w:rPr>
              <w:t xml:space="preserve">Joulukuu </w:t>
            </w:r>
          </w:p>
        </w:tc>
        <w:tc>
          <w:tcPr>
            <w:tcW w:w="1535" w:type="dxa"/>
            <w:shd w:val="clear" w:color="auto" w:fill="auto"/>
          </w:tcPr>
          <w:p>
            <w:pPr>
              <w:tabs>
                <w:tab w:val="right" w:leader="dot" w:pos="9071"/>
              </w:tabs>
              <w:ind w:left="850" w:hanging="850"/>
              <w:jc w:val="center"/>
              <w:rPr>
                <w:noProof/>
                <w:sz w:val="20"/>
                <w:szCs w:val="20"/>
              </w:rPr>
            </w:pPr>
          </w:p>
        </w:tc>
        <w:tc>
          <w:tcPr>
            <w:tcW w:w="1535" w:type="dxa"/>
            <w:shd w:val="clear" w:color="auto" w:fill="auto"/>
          </w:tcPr>
          <w:p>
            <w:pPr>
              <w:tabs>
                <w:tab w:val="right" w:leader="dot" w:pos="9071"/>
              </w:tabs>
              <w:ind w:left="850" w:hanging="850"/>
              <w:jc w:val="center"/>
              <w:rPr>
                <w:noProof/>
                <w:sz w:val="20"/>
                <w:szCs w:val="20"/>
              </w:rPr>
            </w:pPr>
            <w:r>
              <w:rPr>
                <w:noProof/>
                <w:sz w:val="20"/>
              </w:rPr>
              <w:t>3</w:t>
            </w:r>
          </w:p>
        </w:tc>
        <w:tc>
          <w:tcPr>
            <w:tcW w:w="1535" w:type="dxa"/>
            <w:shd w:val="clear" w:color="auto" w:fill="auto"/>
          </w:tcPr>
          <w:p>
            <w:pPr>
              <w:tabs>
                <w:tab w:val="right" w:leader="dot" w:pos="9071"/>
              </w:tabs>
              <w:ind w:left="850" w:hanging="850"/>
              <w:jc w:val="center"/>
              <w:rPr>
                <w:noProof/>
                <w:sz w:val="20"/>
                <w:szCs w:val="20"/>
              </w:rPr>
            </w:pPr>
          </w:p>
        </w:tc>
        <w:tc>
          <w:tcPr>
            <w:tcW w:w="1536" w:type="dxa"/>
            <w:shd w:val="clear" w:color="auto" w:fill="auto"/>
          </w:tcPr>
          <w:p>
            <w:pPr>
              <w:tabs>
                <w:tab w:val="right" w:leader="dot" w:pos="9071"/>
              </w:tabs>
              <w:ind w:left="850" w:hanging="850"/>
              <w:jc w:val="center"/>
              <w:rPr>
                <w:noProof/>
                <w:sz w:val="20"/>
                <w:szCs w:val="20"/>
              </w:rPr>
            </w:pPr>
          </w:p>
        </w:tc>
        <w:tc>
          <w:tcPr>
            <w:tcW w:w="1536" w:type="dxa"/>
            <w:shd w:val="clear" w:color="auto" w:fill="F2F2F2"/>
          </w:tcPr>
          <w:p>
            <w:pPr>
              <w:tabs>
                <w:tab w:val="right" w:leader="dot" w:pos="9071"/>
              </w:tabs>
              <w:ind w:left="850" w:hanging="850"/>
              <w:jc w:val="center"/>
              <w:rPr>
                <w:noProof/>
                <w:sz w:val="20"/>
                <w:szCs w:val="20"/>
              </w:rPr>
            </w:pPr>
            <w:r>
              <w:rPr>
                <w:noProof/>
                <w:sz w:val="20"/>
              </w:rPr>
              <w:t>3</w:t>
            </w:r>
          </w:p>
        </w:tc>
      </w:tr>
      <w:tr>
        <w:tc>
          <w:tcPr>
            <w:tcW w:w="1535" w:type="dxa"/>
            <w:shd w:val="clear" w:color="auto" w:fill="F2F2F2"/>
          </w:tcPr>
          <w:p>
            <w:pPr>
              <w:tabs>
                <w:tab w:val="right" w:leader="dot" w:pos="9071"/>
              </w:tabs>
              <w:ind w:left="850" w:hanging="850"/>
              <w:rPr>
                <w:noProof/>
                <w:sz w:val="20"/>
                <w:szCs w:val="20"/>
              </w:rPr>
            </w:pPr>
            <w:r>
              <w:rPr>
                <w:noProof/>
                <w:sz w:val="20"/>
              </w:rPr>
              <w:t>YHTEENSÄ</w:t>
            </w:r>
          </w:p>
        </w:tc>
        <w:tc>
          <w:tcPr>
            <w:tcW w:w="1535" w:type="dxa"/>
            <w:shd w:val="clear" w:color="auto" w:fill="F2F2F2"/>
          </w:tcPr>
          <w:p>
            <w:pPr>
              <w:tabs>
                <w:tab w:val="right" w:leader="dot" w:pos="9071"/>
              </w:tabs>
              <w:ind w:left="850" w:hanging="850"/>
              <w:jc w:val="center"/>
              <w:rPr>
                <w:noProof/>
                <w:sz w:val="20"/>
                <w:szCs w:val="20"/>
              </w:rPr>
            </w:pPr>
            <w:r>
              <w:rPr>
                <w:noProof/>
                <w:sz w:val="20"/>
              </w:rPr>
              <w:t>3</w:t>
            </w:r>
          </w:p>
        </w:tc>
        <w:tc>
          <w:tcPr>
            <w:tcW w:w="1535" w:type="dxa"/>
            <w:shd w:val="clear" w:color="auto" w:fill="F2F2F2"/>
          </w:tcPr>
          <w:p>
            <w:pPr>
              <w:tabs>
                <w:tab w:val="right" w:leader="dot" w:pos="9071"/>
              </w:tabs>
              <w:ind w:left="850" w:hanging="850"/>
              <w:jc w:val="center"/>
              <w:rPr>
                <w:noProof/>
                <w:sz w:val="20"/>
                <w:szCs w:val="20"/>
              </w:rPr>
            </w:pPr>
            <w:r>
              <w:rPr>
                <w:noProof/>
                <w:sz w:val="20"/>
              </w:rPr>
              <w:t>47</w:t>
            </w:r>
          </w:p>
        </w:tc>
        <w:tc>
          <w:tcPr>
            <w:tcW w:w="1535" w:type="dxa"/>
            <w:shd w:val="clear" w:color="auto" w:fill="F2F2F2"/>
          </w:tcPr>
          <w:p>
            <w:pPr>
              <w:tabs>
                <w:tab w:val="right" w:leader="dot" w:pos="9071"/>
              </w:tabs>
              <w:ind w:left="850" w:hanging="850"/>
              <w:jc w:val="center"/>
              <w:rPr>
                <w:noProof/>
                <w:sz w:val="20"/>
                <w:szCs w:val="20"/>
              </w:rPr>
            </w:pPr>
            <w:r>
              <w:rPr>
                <w:noProof/>
                <w:sz w:val="20"/>
              </w:rPr>
              <w:t>4</w:t>
            </w:r>
          </w:p>
        </w:tc>
        <w:tc>
          <w:tcPr>
            <w:tcW w:w="1536" w:type="dxa"/>
            <w:shd w:val="clear" w:color="auto" w:fill="F2F2F2"/>
          </w:tcPr>
          <w:p>
            <w:pPr>
              <w:tabs>
                <w:tab w:val="right" w:leader="dot" w:pos="9071"/>
              </w:tabs>
              <w:ind w:left="850" w:hanging="850"/>
              <w:jc w:val="center"/>
              <w:rPr>
                <w:noProof/>
                <w:sz w:val="20"/>
                <w:szCs w:val="20"/>
              </w:rPr>
            </w:pPr>
            <w:r>
              <w:rPr>
                <w:noProof/>
                <w:sz w:val="20"/>
              </w:rPr>
              <w:t>3</w:t>
            </w:r>
          </w:p>
        </w:tc>
        <w:tc>
          <w:tcPr>
            <w:tcW w:w="1536" w:type="dxa"/>
            <w:shd w:val="clear" w:color="auto" w:fill="F2F2F2"/>
          </w:tcPr>
          <w:p>
            <w:pPr>
              <w:tabs>
                <w:tab w:val="right" w:leader="dot" w:pos="9071"/>
              </w:tabs>
              <w:ind w:left="850" w:hanging="850"/>
              <w:jc w:val="center"/>
              <w:rPr>
                <w:noProof/>
                <w:sz w:val="20"/>
                <w:szCs w:val="20"/>
              </w:rPr>
            </w:pPr>
            <w:r>
              <w:rPr>
                <w:noProof/>
                <w:sz w:val="20"/>
              </w:rPr>
              <w:t>57</w:t>
            </w:r>
          </w:p>
        </w:tc>
      </w:tr>
    </w:tbl>
    <w:p>
      <w:pPr>
        <w:tabs>
          <w:tab w:val="left" w:pos="2182"/>
        </w:tabs>
        <w:rPr>
          <w:noProof/>
        </w:rPr>
      </w:pPr>
      <w:r>
        <w:rPr>
          <w:noProof/>
        </w:rPr>
        <w:tab/>
      </w:r>
    </w:p>
    <w:p>
      <w:pPr>
        <w:rPr>
          <w:noProof/>
        </w:rPr>
      </w:pPr>
      <w:r>
        <w:rPr>
          <w:noProof/>
        </w:rPr>
        <w:t>Vaihtoehtoisessa riidanratkaisumenettelyssä ratkaistut asiat vuonna 2014: 57 (joista 43 kantelua hyväksytty)</w:t>
      </w:r>
    </w:p>
    <w:p>
      <w:pPr>
        <w:rPr>
          <w:noProof/>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1535"/>
        <w:gridCol w:w="1535"/>
        <w:gridCol w:w="1535"/>
        <w:gridCol w:w="1550"/>
        <w:gridCol w:w="1536"/>
      </w:tblGrid>
      <w:tr>
        <w:tc>
          <w:tcPr>
            <w:tcW w:w="1535" w:type="dxa"/>
            <w:shd w:val="clear" w:color="auto" w:fill="auto"/>
          </w:tcPr>
          <w:p>
            <w:pPr>
              <w:tabs>
                <w:tab w:val="right" w:leader="dot" w:pos="9071"/>
              </w:tabs>
              <w:ind w:left="850" w:hanging="850"/>
              <w:rPr>
                <w:noProof/>
                <w:sz w:val="20"/>
                <w:szCs w:val="20"/>
              </w:rPr>
            </w:pPr>
            <w:r>
              <w:rPr>
                <w:noProof/>
                <w:sz w:val="20"/>
              </w:rPr>
              <w:t>2014</w:t>
            </w:r>
          </w:p>
        </w:tc>
        <w:tc>
          <w:tcPr>
            <w:tcW w:w="1535" w:type="dxa"/>
            <w:shd w:val="clear" w:color="auto" w:fill="auto"/>
          </w:tcPr>
          <w:p>
            <w:pPr>
              <w:tabs>
                <w:tab w:val="right" w:leader="dot" w:pos="9071"/>
              </w:tabs>
              <w:ind w:left="850" w:hanging="850"/>
              <w:jc w:val="center"/>
              <w:rPr>
                <w:noProof/>
                <w:sz w:val="20"/>
                <w:szCs w:val="20"/>
              </w:rPr>
            </w:pPr>
            <w:r>
              <w:rPr>
                <w:noProof/>
                <w:sz w:val="20"/>
              </w:rPr>
              <w:t>Kantelu</w:t>
            </w:r>
          </w:p>
          <w:p>
            <w:pPr>
              <w:tabs>
                <w:tab w:val="right" w:leader="dot" w:pos="9071"/>
              </w:tabs>
              <w:ind w:left="850" w:hanging="850"/>
              <w:jc w:val="center"/>
              <w:rPr>
                <w:noProof/>
                <w:sz w:val="20"/>
                <w:szCs w:val="20"/>
              </w:rPr>
            </w:pPr>
            <w:r>
              <w:rPr>
                <w:noProof/>
                <w:sz w:val="20"/>
              </w:rPr>
              <w:t xml:space="preserve"> Hylätty</w:t>
            </w:r>
          </w:p>
        </w:tc>
        <w:tc>
          <w:tcPr>
            <w:tcW w:w="1535" w:type="dxa"/>
            <w:shd w:val="clear" w:color="auto" w:fill="auto"/>
          </w:tcPr>
          <w:p>
            <w:pPr>
              <w:tabs>
                <w:tab w:val="right" w:leader="dot" w:pos="9071"/>
              </w:tabs>
              <w:ind w:left="850" w:hanging="850"/>
              <w:jc w:val="center"/>
              <w:rPr>
                <w:noProof/>
                <w:sz w:val="20"/>
                <w:szCs w:val="20"/>
              </w:rPr>
            </w:pPr>
            <w:r>
              <w:rPr>
                <w:noProof/>
                <w:sz w:val="20"/>
              </w:rPr>
              <w:t>Kantelu</w:t>
            </w:r>
          </w:p>
          <w:p>
            <w:pPr>
              <w:tabs>
                <w:tab w:val="right" w:leader="dot" w:pos="9071"/>
              </w:tabs>
              <w:ind w:left="850" w:hanging="850"/>
              <w:jc w:val="center"/>
              <w:rPr>
                <w:noProof/>
                <w:sz w:val="20"/>
                <w:szCs w:val="20"/>
              </w:rPr>
            </w:pPr>
            <w:r>
              <w:rPr>
                <w:noProof/>
                <w:sz w:val="20"/>
              </w:rPr>
              <w:t xml:space="preserve"> Hyväksytty</w:t>
            </w:r>
          </w:p>
        </w:tc>
        <w:tc>
          <w:tcPr>
            <w:tcW w:w="1535" w:type="dxa"/>
            <w:shd w:val="clear" w:color="auto" w:fill="auto"/>
          </w:tcPr>
          <w:p>
            <w:pPr>
              <w:tabs>
                <w:tab w:val="right" w:leader="dot" w:pos="9071"/>
              </w:tabs>
              <w:ind w:left="850" w:hanging="850"/>
              <w:jc w:val="center"/>
              <w:rPr>
                <w:noProof/>
                <w:sz w:val="20"/>
                <w:szCs w:val="20"/>
              </w:rPr>
            </w:pPr>
            <w:r>
              <w:rPr>
                <w:noProof/>
                <w:sz w:val="20"/>
              </w:rPr>
              <w:t xml:space="preserve">Kantelu </w:t>
            </w:r>
          </w:p>
          <w:p>
            <w:pPr>
              <w:tabs>
                <w:tab w:val="right" w:leader="dot" w:pos="9071"/>
              </w:tabs>
              <w:ind w:left="850" w:hanging="850"/>
              <w:jc w:val="center"/>
              <w:rPr>
                <w:noProof/>
                <w:sz w:val="20"/>
                <w:szCs w:val="20"/>
              </w:rPr>
            </w:pPr>
            <w:r>
              <w:rPr>
                <w:noProof/>
                <w:sz w:val="20"/>
              </w:rPr>
              <w:t>puutteellinen</w:t>
            </w:r>
          </w:p>
        </w:tc>
        <w:tc>
          <w:tcPr>
            <w:tcW w:w="1536" w:type="dxa"/>
            <w:shd w:val="clear" w:color="auto" w:fill="auto"/>
          </w:tcPr>
          <w:p>
            <w:pPr>
              <w:tabs>
                <w:tab w:val="right" w:leader="dot" w:pos="9071"/>
              </w:tabs>
              <w:ind w:left="850" w:hanging="850"/>
              <w:jc w:val="center"/>
              <w:rPr>
                <w:noProof/>
                <w:sz w:val="20"/>
                <w:szCs w:val="20"/>
              </w:rPr>
            </w:pPr>
            <w:r>
              <w:rPr>
                <w:noProof/>
                <w:sz w:val="20"/>
              </w:rPr>
              <w:t>Sopimusratkaisu</w:t>
            </w:r>
          </w:p>
        </w:tc>
        <w:tc>
          <w:tcPr>
            <w:tcW w:w="1536" w:type="dxa"/>
            <w:shd w:val="clear" w:color="auto" w:fill="F2F2F2"/>
          </w:tcPr>
          <w:p>
            <w:pPr>
              <w:tabs>
                <w:tab w:val="right" w:leader="dot" w:pos="9071"/>
              </w:tabs>
              <w:ind w:left="850" w:hanging="850"/>
              <w:jc w:val="center"/>
              <w:rPr>
                <w:noProof/>
                <w:sz w:val="20"/>
                <w:szCs w:val="20"/>
              </w:rPr>
            </w:pPr>
            <w:r>
              <w:rPr>
                <w:noProof/>
                <w:sz w:val="20"/>
              </w:rPr>
              <w:t>YHTEENSÄ</w:t>
            </w:r>
          </w:p>
        </w:tc>
      </w:tr>
      <w:tr>
        <w:tc>
          <w:tcPr>
            <w:tcW w:w="1535" w:type="dxa"/>
            <w:shd w:val="clear" w:color="auto" w:fill="auto"/>
          </w:tcPr>
          <w:p>
            <w:pPr>
              <w:tabs>
                <w:tab w:val="right" w:leader="dot" w:pos="9071"/>
              </w:tabs>
              <w:ind w:left="850" w:hanging="850"/>
              <w:rPr>
                <w:noProof/>
                <w:sz w:val="20"/>
                <w:szCs w:val="20"/>
              </w:rPr>
            </w:pPr>
            <w:r>
              <w:rPr>
                <w:noProof/>
                <w:sz w:val="20"/>
              </w:rPr>
              <w:t xml:space="preserve">Tammikuu </w:t>
            </w:r>
          </w:p>
        </w:tc>
        <w:tc>
          <w:tcPr>
            <w:tcW w:w="1535" w:type="dxa"/>
            <w:shd w:val="clear" w:color="auto" w:fill="auto"/>
          </w:tcPr>
          <w:p>
            <w:pPr>
              <w:tabs>
                <w:tab w:val="right" w:leader="dot" w:pos="9071"/>
              </w:tabs>
              <w:ind w:left="850" w:hanging="850"/>
              <w:jc w:val="center"/>
              <w:rPr>
                <w:noProof/>
                <w:sz w:val="20"/>
                <w:szCs w:val="20"/>
              </w:rPr>
            </w:pPr>
          </w:p>
        </w:tc>
        <w:tc>
          <w:tcPr>
            <w:tcW w:w="1535" w:type="dxa"/>
            <w:shd w:val="clear" w:color="auto" w:fill="auto"/>
          </w:tcPr>
          <w:p>
            <w:pPr>
              <w:tabs>
                <w:tab w:val="right" w:leader="dot" w:pos="9071"/>
              </w:tabs>
              <w:ind w:left="850" w:hanging="850"/>
              <w:jc w:val="center"/>
              <w:rPr>
                <w:noProof/>
                <w:sz w:val="20"/>
                <w:szCs w:val="20"/>
              </w:rPr>
            </w:pPr>
            <w:r>
              <w:rPr>
                <w:noProof/>
                <w:sz w:val="20"/>
              </w:rPr>
              <w:t>6</w:t>
            </w:r>
          </w:p>
        </w:tc>
        <w:tc>
          <w:tcPr>
            <w:tcW w:w="1535" w:type="dxa"/>
            <w:shd w:val="clear" w:color="auto" w:fill="auto"/>
          </w:tcPr>
          <w:p>
            <w:pPr>
              <w:tabs>
                <w:tab w:val="right" w:leader="dot" w:pos="9071"/>
              </w:tabs>
              <w:ind w:left="850" w:hanging="850"/>
              <w:jc w:val="center"/>
              <w:rPr>
                <w:noProof/>
                <w:sz w:val="20"/>
                <w:szCs w:val="20"/>
              </w:rPr>
            </w:pPr>
          </w:p>
        </w:tc>
        <w:tc>
          <w:tcPr>
            <w:tcW w:w="1536" w:type="dxa"/>
            <w:shd w:val="clear" w:color="auto" w:fill="auto"/>
          </w:tcPr>
          <w:p>
            <w:pPr>
              <w:tabs>
                <w:tab w:val="right" w:leader="dot" w:pos="9071"/>
              </w:tabs>
              <w:ind w:left="850" w:hanging="850"/>
              <w:jc w:val="center"/>
              <w:rPr>
                <w:noProof/>
                <w:sz w:val="20"/>
                <w:szCs w:val="20"/>
              </w:rPr>
            </w:pPr>
            <w:r>
              <w:rPr>
                <w:noProof/>
                <w:sz w:val="20"/>
              </w:rPr>
              <w:t>1</w:t>
            </w:r>
          </w:p>
        </w:tc>
        <w:tc>
          <w:tcPr>
            <w:tcW w:w="1536" w:type="dxa"/>
            <w:shd w:val="clear" w:color="auto" w:fill="F2F2F2"/>
          </w:tcPr>
          <w:p>
            <w:pPr>
              <w:tabs>
                <w:tab w:val="right" w:leader="dot" w:pos="9071"/>
              </w:tabs>
              <w:ind w:left="850" w:hanging="850"/>
              <w:jc w:val="center"/>
              <w:rPr>
                <w:noProof/>
                <w:sz w:val="20"/>
                <w:szCs w:val="20"/>
              </w:rPr>
            </w:pPr>
            <w:r>
              <w:rPr>
                <w:noProof/>
                <w:sz w:val="20"/>
              </w:rPr>
              <w:t>7</w:t>
            </w:r>
          </w:p>
        </w:tc>
      </w:tr>
      <w:tr>
        <w:tc>
          <w:tcPr>
            <w:tcW w:w="1535" w:type="dxa"/>
            <w:shd w:val="clear" w:color="auto" w:fill="auto"/>
          </w:tcPr>
          <w:p>
            <w:pPr>
              <w:tabs>
                <w:tab w:val="right" w:leader="dot" w:pos="9071"/>
              </w:tabs>
              <w:ind w:left="850" w:hanging="850"/>
              <w:rPr>
                <w:noProof/>
                <w:sz w:val="20"/>
                <w:szCs w:val="20"/>
              </w:rPr>
            </w:pPr>
            <w:r>
              <w:rPr>
                <w:noProof/>
                <w:sz w:val="20"/>
              </w:rPr>
              <w:t>Helmikuu</w:t>
            </w:r>
          </w:p>
        </w:tc>
        <w:tc>
          <w:tcPr>
            <w:tcW w:w="1535" w:type="dxa"/>
            <w:shd w:val="clear" w:color="auto" w:fill="auto"/>
          </w:tcPr>
          <w:p>
            <w:pPr>
              <w:tabs>
                <w:tab w:val="right" w:leader="dot" w:pos="9071"/>
              </w:tabs>
              <w:ind w:left="850" w:hanging="850"/>
              <w:jc w:val="center"/>
              <w:rPr>
                <w:noProof/>
                <w:sz w:val="20"/>
                <w:szCs w:val="20"/>
              </w:rPr>
            </w:pPr>
          </w:p>
        </w:tc>
        <w:tc>
          <w:tcPr>
            <w:tcW w:w="1535" w:type="dxa"/>
            <w:shd w:val="clear" w:color="auto" w:fill="auto"/>
          </w:tcPr>
          <w:p>
            <w:pPr>
              <w:tabs>
                <w:tab w:val="right" w:leader="dot" w:pos="9071"/>
              </w:tabs>
              <w:ind w:left="850" w:hanging="850"/>
              <w:jc w:val="center"/>
              <w:rPr>
                <w:noProof/>
                <w:sz w:val="20"/>
                <w:szCs w:val="20"/>
              </w:rPr>
            </w:pPr>
            <w:r>
              <w:rPr>
                <w:noProof/>
                <w:sz w:val="20"/>
              </w:rPr>
              <w:t>1</w:t>
            </w:r>
          </w:p>
        </w:tc>
        <w:tc>
          <w:tcPr>
            <w:tcW w:w="1535" w:type="dxa"/>
            <w:shd w:val="clear" w:color="auto" w:fill="auto"/>
          </w:tcPr>
          <w:p>
            <w:pPr>
              <w:tabs>
                <w:tab w:val="right" w:leader="dot" w:pos="9071"/>
              </w:tabs>
              <w:ind w:left="850" w:hanging="850"/>
              <w:jc w:val="center"/>
              <w:rPr>
                <w:noProof/>
                <w:sz w:val="20"/>
                <w:szCs w:val="20"/>
              </w:rPr>
            </w:pPr>
          </w:p>
        </w:tc>
        <w:tc>
          <w:tcPr>
            <w:tcW w:w="1536" w:type="dxa"/>
            <w:shd w:val="clear" w:color="auto" w:fill="auto"/>
          </w:tcPr>
          <w:p>
            <w:pPr>
              <w:tabs>
                <w:tab w:val="right" w:leader="dot" w:pos="9071"/>
              </w:tabs>
              <w:ind w:left="850" w:hanging="850"/>
              <w:jc w:val="center"/>
              <w:rPr>
                <w:noProof/>
                <w:sz w:val="20"/>
                <w:szCs w:val="20"/>
              </w:rPr>
            </w:pPr>
          </w:p>
        </w:tc>
        <w:tc>
          <w:tcPr>
            <w:tcW w:w="1536" w:type="dxa"/>
            <w:shd w:val="clear" w:color="auto" w:fill="F2F2F2"/>
          </w:tcPr>
          <w:p>
            <w:pPr>
              <w:tabs>
                <w:tab w:val="right" w:leader="dot" w:pos="9071"/>
              </w:tabs>
              <w:ind w:left="850" w:hanging="850"/>
              <w:jc w:val="center"/>
              <w:rPr>
                <w:noProof/>
                <w:sz w:val="20"/>
                <w:szCs w:val="20"/>
              </w:rPr>
            </w:pPr>
            <w:r>
              <w:rPr>
                <w:noProof/>
                <w:sz w:val="20"/>
              </w:rPr>
              <w:t>1</w:t>
            </w:r>
          </w:p>
        </w:tc>
      </w:tr>
      <w:tr>
        <w:tc>
          <w:tcPr>
            <w:tcW w:w="1535" w:type="dxa"/>
            <w:shd w:val="clear" w:color="auto" w:fill="auto"/>
          </w:tcPr>
          <w:p>
            <w:pPr>
              <w:tabs>
                <w:tab w:val="right" w:leader="dot" w:pos="9071"/>
              </w:tabs>
              <w:ind w:left="850" w:hanging="850"/>
              <w:rPr>
                <w:noProof/>
                <w:sz w:val="20"/>
                <w:szCs w:val="20"/>
              </w:rPr>
            </w:pPr>
            <w:r>
              <w:rPr>
                <w:noProof/>
                <w:sz w:val="20"/>
              </w:rPr>
              <w:t>Maaliskuu</w:t>
            </w:r>
          </w:p>
        </w:tc>
        <w:tc>
          <w:tcPr>
            <w:tcW w:w="1535" w:type="dxa"/>
            <w:shd w:val="clear" w:color="auto" w:fill="auto"/>
          </w:tcPr>
          <w:p>
            <w:pPr>
              <w:tabs>
                <w:tab w:val="right" w:leader="dot" w:pos="9071"/>
              </w:tabs>
              <w:ind w:left="850" w:hanging="850"/>
              <w:jc w:val="center"/>
              <w:rPr>
                <w:noProof/>
                <w:sz w:val="20"/>
                <w:szCs w:val="20"/>
              </w:rPr>
            </w:pPr>
            <w:r>
              <w:rPr>
                <w:noProof/>
                <w:sz w:val="20"/>
              </w:rPr>
              <w:t>1</w:t>
            </w:r>
          </w:p>
        </w:tc>
        <w:tc>
          <w:tcPr>
            <w:tcW w:w="1535" w:type="dxa"/>
            <w:shd w:val="clear" w:color="auto" w:fill="auto"/>
          </w:tcPr>
          <w:p>
            <w:pPr>
              <w:tabs>
                <w:tab w:val="right" w:leader="dot" w:pos="9071"/>
              </w:tabs>
              <w:ind w:left="850" w:hanging="850"/>
              <w:jc w:val="center"/>
              <w:rPr>
                <w:noProof/>
                <w:sz w:val="20"/>
                <w:szCs w:val="20"/>
              </w:rPr>
            </w:pPr>
            <w:r>
              <w:rPr>
                <w:noProof/>
                <w:sz w:val="20"/>
              </w:rPr>
              <w:t>4</w:t>
            </w:r>
          </w:p>
        </w:tc>
        <w:tc>
          <w:tcPr>
            <w:tcW w:w="1535" w:type="dxa"/>
            <w:shd w:val="clear" w:color="auto" w:fill="auto"/>
          </w:tcPr>
          <w:p>
            <w:pPr>
              <w:tabs>
                <w:tab w:val="right" w:leader="dot" w:pos="9071"/>
              </w:tabs>
              <w:ind w:left="850" w:hanging="850"/>
              <w:jc w:val="center"/>
              <w:rPr>
                <w:noProof/>
                <w:sz w:val="20"/>
                <w:szCs w:val="20"/>
              </w:rPr>
            </w:pPr>
          </w:p>
        </w:tc>
        <w:tc>
          <w:tcPr>
            <w:tcW w:w="1536" w:type="dxa"/>
            <w:shd w:val="clear" w:color="auto" w:fill="auto"/>
          </w:tcPr>
          <w:p>
            <w:pPr>
              <w:tabs>
                <w:tab w:val="right" w:leader="dot" w:pos="9071"/>
              </w:tabs>
              <w:ind w:left="850" w:hanging="850"/>
              <w:jc w:val="center"/>
              <w:rPr>
                <w:noProof/>
                <w:sz w:val="20"/>
                <w:szCs w:val="20"/>
              </w:rPr>
            </w:pPr>
          </w:p>
        </w:tc>
        <w:tc>
          <w:tcPr>
            <w:tcW w:w="1536" w:type="dxa"/>
            <w:shd w:val="clear" w:color="auto" w:fill="F2F2F2"/>
          </w:tcPr>
          <w:p>
            <w:pPr>
              <w:tabs>
                <w:tab w:val="right" w:leader="dot" w:pos="9071"/>
              </w:tabs>
              <w:ind w:left="850" w:hanging="850"/>
              <w:jc w:val="center"/>
              <w:rPr>
                <w:noProof/>
                <w:sz w:val="20"/>
                <w:szCs w:val="20"/>
              </w:rPr>
            </w:pPr>
            <w:r>
              <w:rPr>
                <w:noProof/>
                <w:sz w:val="20"/>
              </w:rPr>
              <w:t>5</w:t>
            </w:r>
          </w:p>
        </w:tc>
      </w:tr>
      <w:tr>
        <w:tc>
          <w:tcPr>
            <w:tcW w:w="1535" w:type="dxa"/>
            <w:shd w:val="clear" w:color="auto" w:fill="auto"/>
          </w:tcPr>
          <w:p>
            <w:pPr>
              <w:tabs>
                <w:tab w:val="right" w:leader="dot" w:pos="9071"/>
              </w:tabs>
              <w:ind w:left="850" w:hanging="850"/>
              <w:rPr>
                <w:noProof/>
                <w:sz w:val="20"/>
                <w:szCs w:val="20"/>
              </w:rPr>
            </w:pPr>
            <w:r>
              <w:rPr>
                <w:noProof/>
                <w:sz w:val="20"/>
              </w:rPr>
              <w:t>Huhtikuu</w:t>
            </w:r>
          </w:p>
        </w:tc>
        <w:tc>
          <w:tcPr>
            <w:tcW w:w="1535" w:type="dxa"/>
            <w:shd w:val="clear" w:color="auto" w:fill="auto"/>
          </w:tcPr>
          <w:p>
            <w:pPr>
              <w:tabs>
                <w:tab w:val="right" w:leader="dot" w:pos="9071"/>
              </w:tabs>
              <w:ind w:left="850" w:hanging="850"/>
              <w:jc w:val="center"/>
              <w:rPr>
                <w:noProof/>
                <w:sz w:val="20"/>
                <w:szCs w:val="20"/>
              </w:rPr>
            </w:pPr>
            <w:r>
              <w:rPr>
                <w:noProof/>
                <w:sz w:val="20"/>
              </w:rPr>
              <w:t>1</w:t>
            </w:r>
          </w:p>
        </w:tc>
        <w:tc>
          <w:tcPr>
            <w:tcW w:w="1535" w:type="dxa"/>
            <w:shd w:val="clear" w:color="auto" w:fill="auto"/>
          </w:tcPr>
          <w:p>
            <w:pPr>
              <w:tabs>
                <w:tab w:val="right" w:leader="dot" w:pos="9071"/>
              </w:tabs>
              <w:ind w:left="850" w:hanging="850"/>
              <w:jc w:val="center"/>
              <w:rPr>
                <w:noProof/>
                <w:sz w:val="20"/>
                <w:szCs w:val="20"/>
              </w:rPr>
            </w:pPr>
          </w:p>
        </w:tc>
        <w:tc>
          <w:tcPr>
            <w:tcW w:w="1535" w:type="dxa"/>
            <w:shd w:val="clear" w:color="auto" w:fill="auto"/>
          </w:tcPr>
          <w:p>
            <w:pPr>
              <w:tabs>
                <w:tab w:val="right" w:leader="dot" w:pos="9071"/>
              </w:tabs>
              <w:ind w:left="850" w:hanging="850"/>
              <w:jc w:val="center"/>
              <w:rPr>
                <w:noProof/>
                <w:sz w:val="20"/>
                <w:szCs w:val="20"/>
              </w:rPr>
            </w:pPr>
            <w:r>
              <w:rPr>
                <w:noProof/>
                <w:sz w:val="20"/>
              </w:rPr>
              <w:t>1</w:t>
            </w:r>
          </w:p>
        </w:tc>
        <w:tc>
          <w:tcPr>
            <w:tcW w:w="1536" w:type="dxa"/>
            <w:shd w:val="clear" w:color="auto" w:fill="auto"/>
          </w:tcPr>
          <w:p>
            <w:pPr>
              <w:tabs>
                <w:tab w:val="right" w:leader="dot" w:pos="9071"/>
              </w:tabs>
              <w:ind w:left="850" w:hanging="850"/>
              <w:jc w:val="center"/>
              <w:rPr>
                <w:noProof/>
                <w:sz w:val="20"/>
                <w:szCs w:val="20"/>
              </w:rPr>
            </w:pPr>
          </w:p>
        </w:tc>
        <w:tc>
          <w:tcPr>
            <w:tcW w:w="1536" w:type="dxa"/>
            <w:shd w:val="clear" w:color="auto" w:fill="F2F2F2"/>
          </w:tcPr>
          <w:p>
            <w:pPr>
              <w:tabs>
                <w:tab w:val="right" w:leader="dot" w:pos="9071"/>
              </w:tabs>
              <w:ind w:left="850" w:hanging="850"/>
              <w:jc w:val="center"/>
              <w:rPr>
                <w:noProof/>
                <w:sz w:val="20"/>
                <w:szCs w:val="20"/>
              </w:rPr>
            </w:pPr>
            <w:r>
              <w:rPr>
                <w:noProof/>
                <w:sz w:val="20"/>
              </w:rPr>
              <w:t>2</w:t>
            </w:r>
          </w:p>
        </w:tc>
      </w:tr>
      <w:tr>
        <w:tc>
          <w:tcPr>
            <w:tcW w:w="1535" w:type="dxa"/>
            <w:shd w:val="clear" w:color="auto" w:fill="auto"/>
          </w:tcPr>
          <w:p>
            <w:pPr>
              <w:tabs>
                <w:tab w:val="right" w:leader="dot" w:pos="9071"/>
              </w:tabs>
              <w:ind w:left="850" w:hanging="850"/>
              <w:rPr>
                <w:noProof/>
                <w:sz w:val="20"/>
                <w:szCs w:val="20"/>
              </w:rPr>
            </w:pPr>
            <w:r>
              <w:rPr>
                <w:noProof/>
                <w:sz w:val="20"/>
              </w:rPr>
              <w:t xml:space="preserve">Toukokuu </w:t>
            </w:r>
          </w:p>
        </w:tc>
        <w:tc>
          <w:tcPr>
            <w:tcW w:w="1535" w:type="dxa"/>
            <w:shd w:val="clear" w:color="auto" w:fill="auto"/>
          </w:tcPr>
          <w:p>
            <w:pPr>
              <w:tabs>
                <w:tab w:val="right" w:leader="dot" w:pos="9071"/>
              </w:tabs>
              <w:ind w:left="850" w:hanging="850"/>
              <w:jc w:val="center"/>
              <w:rPr>
                <w:noProof/>
                <w:sz w:val="20"/>
                <w:szCs w:val="20"/>
              </w:rPr>
            </w:pPr>
          </w:p>
        </w:tc>
        <w:tc>
          <w:tcPr>
            <w:tcW w:w="1535" w:type="dxa"/>
            <w:shd w:val="clear" w:color="auto" w:fill="auto"/>
          </w:tcPr>
          <w:p>
            <w:pPr>
              <w:tabs>
                <w:tab w:val="right" w:leader="dot" w:pos="9071"/>
              </w:tabs>
              <w:ind w:left="850" w:hanging="850"/>
              <w:jc w:val="center"/>
              <w:rPr>
                <w:noProof/>
                <w:sz w:val="20"/>
                <w:szCs w:val="20"/>
              </w:rPr>
            </w:pPr>
            <w:r>
              <w:rPr>
                <w:noProof/>
                <w:sz w:val="20"/>
              </w:rPr>
              <w:t>7</w:t>
            </w:r>
          </w:p>
        </w:tc>
        <w:tc>
          <w:tcPr>
            <w:tcW w:w="1535" w:type="dxa"/>
            <w:shd w:val="clear" w:color="auto" w:fill="auto"/>
          </w:tcPr>
          <w:p>
            <w:pPr>
              <w:tabs>
                <w:tab w:val="right" w:leader="dot" w:pos="9071"/>
              </w:tabs>
              <w:ind w:left="850" w:hanging="850"/>
              <w:jc w:val="center"/>
              <w:rPr>
                <w:noProof/>
                <w:sz w:val="20"/>
                <w:szCs w:val="20"/>
              </w:rPr>
            </w:pPr>
          </w:p>
        </w:tc>
        <w:tc>
          <w:tcPr>
            <w:tcW w:w="1536" w:type="dxa"/>
            <w:shd w:val="clear" w:color="auto" w:fill="auto"/>
          </w:tcPr>
          <w:p>
            <w:pPr>
              <w:tabs>
                <w:tab w:val="right" w:leader="dot" w:pos="9071"/>
              </w:tabs>
              <w:ind w:left="850" w:hanging="850"/>
              <w:jc w:val="center"/>
              <w:rPr>
                <w:noProof/>
                <w:sz w:val="20"/>
                <w:szCs w:val="20"/>
              </w:rPr>
            </w:pPr>
          </w:p>
        </w:tc>
        <w:tc>
          <w:tcPr>
            <w:tcW w:w="1536" w:type="dxa"/>
            <w:shd w:val="clear" w:color="auto" w:fill="F2F2F2"/>
          </w:tcPr>
          <w:p>
            <w:pPr>
              <w:tabs>
                <w:tab w:val="right" w:leader="dot" w:pos="9071"/>
              </w:tabs>
              <w:ind w:left="850" w:hanging="850"/>
              <w:jc w:val="center"/>
              <w:rPr>
                <w:noProof/>
                <w:sz w:val="20"/>
                <w:szCs w:val="20"/>
              </w:rPr>
            </w:pPr>
            <w:r>
              <w:rPr>
                <w:noProof/>
                <w:sz w:val="20"/>
              </w:rPr>
              <w:t>7</w:t>
            </w:r>
          </w:p>
        </w:tc>
      </w:tr>
      <w:tr>
        <w:tc>
          <w:tcPr>
            <w:tcW w:w="1535" w:type="dxa"/>
            <w:shd w:val="clear" w:color="auto" w:fill="auto"/>
          </w:tcPr>
          <w:p>
            <w:pPr>
              <w:tabs>
                <w:tab w:val="right" w:leader="dot" w:pos="9071"/>
              </w:tabs>
              <w:ind w:left="850" w:hanging="850"/>
              <w:rPr>
                <w:noProof/>
                <w:sz w:val="20"/>
                <w:szCs w:val="20"/>
              </w:rPr>
            </w:pPr>
            <w:r>
              <w:rPr>
                <w:noProof/>
                <w:sz w:val="20"/>
              </w:rPr>
              <w:t xml:space="preserve">Kesäkuu </w:t>
            </w:r>
          </w:p>
        </w:tc>
        <w:tc>
          <w:tcPr>
            <w:tcW w:w="1535" w:type="dxa"/>
            <w:shd w:val="clear" w:color="auto" w:fill="auto"/>
          </w:tcPr>
          <w:p>
            <w:pPr>
              <w:tabs>
                <w:tab w:val="right" w:leader="dot" w:pos="9071"/>
              </w:tabs>
              <w:ind w:left="850" w:hanging="850"/>
              <w:jc w:val="center"/>
              <w:rPr>
                <w:noProof/>
                <w:sz w:val="20"/>
                <w:szCs w:val="20"/>
              </w:rPr>
            </w:pPr>
          </w:p>
        </w:tc>
        <w:tc>
          <w:tcPr>
            <w:tcW w:w="1535" w:type="dxa"/>
            <w:shd w:val="clear" w:color="auto" w:fill="auto"/>
          </w:tcPr>
          <w:p>
            <w:pPr>
              <w:tabs>
                <w:tab w:val="right" w:leader="dot" w:pos="9071"/>
              </w:tabs>
              <w:ind w:left="850" w:hanging="850"/>
              <w:jc w:val="center"/>
              <w:rPr>
                <w:noProof/>
                <w:sz w:val="20"/>
                <w:szCs w:val="20"/>
              </w:rPr>
            </w:pPr>
            <w:r>
              <w:rPr>
                <w:noProof/>
                <w:sz w:val="20"/>
              </w:rPr>
              <w:t>1</w:t>
            </w:r>
          </w:p>
        </w:tc>
        <w:tc>
          <w:tcPr>
            <w:tcW w:w="1535" w:type="dxa"/>
            <w:shd w:val="clear" w:color="auto" w:fill="auto"/>
          </w:tcPr>
          <w:p>
            <w:pPr>
              <w:tabs>
                <w:tab w:val="right" w:leader="dot" w:pos="9071"/>
              </w:tabs>
              <w:ind w:left="850" w:hanging="850"/>
              <w:jc w:val="center"/>
              <w:rPr>
                <w:noProof/>
                <w:sz w:val="20"/>
                <w:szCs w:val="20"/>
              </w:rPr>
            </w:pPr>
          </w:p>
        </w:tc>
        <w:tc>
          <w:tcPr>
            <w:tcW w:w="1536" w:type="dxa"/>
            <w:shd w:val="clear" w:color="auto" w:fill="auto"/>
          </w:tcPr>
          <w:p>
            <w:pPr>
              <w:tabs>
                <w:tab w:val="right" w:leader="dot" w:pos="9071"/>
              </w:tabs>
              <w:ind w:left="850" w:hanging="850"/>
              <w:jc w:val="center"/>
              <w:rPr>
                <w:noProof/>
                <w:sz w:val="20"/>
                <w:szCs w:val="20"/>
              </w:rPr>
            </w:pPr>
          </w:p>
        </w:tc>
        <w:tc>
          <w:tcPr>
            <w:tcW w:w="1536" w:type="dxa"/>
            <w:shd w:val="clear" w:color="auto" w:fill="F2F2F2"/>
          </w:tcPr>
          <w:p>
            <w:pPr>
              <w:tabs>
                <w:tab w:val="right" w:leader="dot" w:pos="9071"/>
              </w:tabs>
              <w:ind w:left="850" w:hanging="850"/>
              <w:jc w:val="center"/>
              <w:rPr>
                <w:noProof/>
                <w:sz w:val="20"/>
                <w:szCs w:val="20"/>
              </w:rPr>
            </w:pPr>
            <w:r>
              <w:rPr>
                <w:noProof/>
                <w:sz w:val="20"/>
              </w:rPr>
              <w:t>1</w:t>
            </w:r>
          </w:p>
        </w:tc>
      </w:tr>
      <w:tr>
        <w:tc>
          <w:tcPr>
            <w:tcW w:w="1535" w:type="dxa"/>
            <w:shd w:val="clear" w:color="auto" w:fill="auto"/>
          </w:tcPr>
          <w:p>
            <w:pPr>
              <w:tabs>
                <w:tab w:val="right" w:leader="dot" w:pos="9071"/>
              </w:tabs>
              <w:ind w:left="850" w:hanging="850"/>
              <w:rPr>
                <w:noProof/>
                <w:sz w:val="20"/>
                <w:szCs w:val="20"/>
              </w:rPr>
            </w:pPr>
            <w:r>
              <w:rPr>
                <w:noProof/>
                <w:sz w:val="20"/>
              </w:rPr>
              <w:t xml:space="preserve">Heinäkuu </w:t>
            </w:r>
          </w:p>
        </w:tc>
        <w:tc>
          <w:tcPr>
            <w:tcW w:w="1535" w:type="dxa"/>
            <w:shd w:val="clear" w:color="auto" w:fill="auto"/>
          </w:tcPr>
          <w:p>
            <w:pPr>
              <w:tabs>
                <w:tab w:val="right" w:leader="dot" w:pos="9071"/>
              </w:tabs>
              <w:ind w:left="850" w:hanging="850"/>
              <w:jc w:val="center"/>
              <w:rPr>
                <w:noProof/>
                <w:sz w:val="20"/>
                <w:szCs w:val="20"/>
              </w:rPr>
            </w:pPr>
          </w:p>
        </w:tc>
        <w:tc>
          <w:tcPr>
            <w:tcW w:w="1535" w:type="dxa"/>
            <w:shd w:val="clear" w:color="auto" w:fill="auto"/>
          </w:tcPr>
          <w:p>
            <w:pPr>
              <w:tabs>
                <w:tab w:val="right" w:leader="dot" w:pos="9071"/>
              </w:tabs>
              <w:ind w:left="850" w:hanging="850"/>
              <w:jc w:val="center"/>
              <w:rPr>
                <w:noProof/>
                <w:sz w:val="20"/>
                <w:szCs w:val="20"/>
              </w:rPr>
            </w:pPr>
            <w:r>
              <w:rPr>
                <w:noProof/>
                <w:sz w:val="20"/>
              </w:rPr>
              <w:t>4</w:t>
            </w:r>
          </w:p>
        </w:tc>
        <w:tc>
          <w:tcPr>
            <w:tcW w:w="1535" w:type="dxa"/>
            <w:shd w:val="clear" w:color="auto" w:fill="auto"/>
          </w:tcPr>
          <w:p>
            <w:pPr>
              <w:tabs>
                <w:tab w:val="right" w:leader="dot" w:pos="9071"/>
              </w:tabs>
              <w:ind w:left="850" w:hanging="850"/>
              <w:jc w:val="center"/>
              <w:rPr>
                <w:noProof/>
                <w:sz w:val="20"/>
                <w:szCs w:val="20"/>
              </w:rPr>
            </w:pPr>
            <w:r>
              <w:rPr>
                <w:noProof/>
                <w:sz w:val="20"/>
              </w:rPr>
              <w:t>1</w:t>
            </w:r>
          </w:p>
        </w:tc>
        <w:tc>
          <w:tcPr>
            <w:tcW w:w="1536" w:type="dxa"/>
            <w:shd w:val="clear" w:color="auto" w:fill="auto"/>
          </w:tcPr>
          <w:p>
            <w:pPr>
              <w:tabs>
                <w:tab w:val="right" w:leader="dot" w:pos="9071"/>
              </w:tabs>
              <w:ind w:left="850" w:hanging="850"/>
              <w:jc w:val="center"/>
              <w:rPr>
                <w:noProof/>
                <w:sz w:val="20"/>
                <w:szCs w:val="20"/>
              </w:rPr>
            </w:pPr>
          </w:p>
        </w:tc>
        <w:tc>
          <w:tcPr>
            <w:tcW w:w="1536" w:type="dxa"/>
            <w:shd w:val="clear" w:color="auto" w:fill="F2F2F2"/>
          </w:tcPr>
          <w:p>
            <w:pPr>
              <w:tabs>
                <w:tab w:val="right" w:leader="dot" w:pos="9071"/>
              </w:tabs>
              <w:ind w:left="850" w:hanging="850"/>
              <w:jc w:val="center"/>
              <w:rPr>
                <w:noProof/>
                <w:sz w:val="20"/>
                <w:szCs w:val="20"/>
              </w:rPr>
            </w:pPr>
            <w:r>
              <w:rPr>
                <w:noProof/>
                <w:sz w:val="20"/>
              </w:rPr>
              <w:t>5</w:t>
            </w:r>
          </w:p>
        </w:tc>
      </w:tr>
      <w:tr>
        <w:tc>
          <w:tcPr>
            <w:tcW w:w="1535" w:type="dxa"/>
            <w:shd w:val="clear" w:color="auto" w:fill="auto"/>
          </w:tcPr>
          <w:p>
            <w:pPr>
              <w:tabs>
                <w:tab w:val="right" w:leader="dot" w:pos="9071"/>
              </w:tabs>
              <w:ind w:left="850" w:hanging="850"/>
              <w:rPr>
                <w:noProof/>
                <w:sz w:val="20"/>
                <w:szCs w:val="20"/>
              </w:rPr>
            </w:pPr>
            <w:r>
              <w:rPr>
                <w:noProof/>
                <w:sz w:val="20"/>
              </w:rPr>
              <w:t xml:space="preserve">Elokuu </w:t>
            </w:r>
          </w:p>
        </w:tc>
        <w:tc>
          <w:tcPr>
            <w:tcW w:w="1535" w:type="dxa"/>
            <w:shd w:val="clear" w:color="auto" w:fill="auto"/>
          </w:tcPr>
          <w:p>
            <w:pPr>
              <w:tabs>
                <w:tab w:val="right" w:leader="dot" w:pos="9071"/>
              </w:tabs>
              <w:ind w:left="850" w:hanging="850"/>
              <w:jc w:val="center"/>
              <w:rPr>
                <w:noProof/>
                <w:sz w:val="20"/>
                <w:szCs w:val="20"/>
              </w:rPr>
            </w:pPr>
          </w:p>
        </w:tc>
        <w:tc>
          <w:tcPr>
            <w:tcW w:w="1535" w:type="dxa"/>
            <w:shd w:val="clear" w:color="auto" w:fill="auto"/>
          </w:tcPr>
          <w:p>
            <w:pPr>
              <w:tabs>
                <w:tab w:val="right" w:leader="dot" w:pos="9071"/>
              </w:tabs>
              <w:ind w:left="850" w:hanging="850"/>
              <w:jc w:val="center"/>
              <w:rPr>
                <w:noProof/>
                <w:sz w:val="20"/>
                <w:szCs w:val="20"/>
              </w:rPr>
            </w:pPr>
            <w:r>
              <w:rPr>
                <w:noProof/>
                <w:sz w:val="20"/>
              </w:rPr>
              <w:t>5</w:t>
            </w:r>
          </w:p>
        </w:tc>
        <w:tc>
          <w:tcPr>
            <w:tcW w:w="1535" w:type="dxa"/>
            <w:shd w:val="clear" w:color="auto" w:fill="auto"/>
          </w:tcPr>
          <w:p>
            <w:pPr>
              <w:tabs>
                <w:tab w:val="right" w:leader="dot" w:pos="9071"/>
              </w:tabs>
              <w:ind w:left="850" w:hanging="850"/>
              <w:jc w:val="center"/>
              <w:rPr>
                <w:noProof/>
                <w:sz w:val="20"/>
                <w:szCs w:val="20"/>
              </w:rPr>
            </w:pPr>
            <w:r>
              <w:rPr>
                <w:noProof/>
                <w:sz w:val="20"/>
              </w:rPr>
              <w:t>2</w:t>
            </w:r>
          </w:p>
        </w:tc>
        <w:tc>
          <w:tcPr>
            <w:tcW w:w="1536" w:type="dxa"/>
            <w:shd w:val="clear" w:color="auto" w:fill="auto"/>
          </w:tcPr>
          <w:p>
            <w:pPr>
              <w:tabs>
                <w:tab w:val="right" w:leader="dot" w:pos="9071"/>
              </w:tabs>
              <w:ind w:left="850" w:hanging="850"/>
              <w:jc w:val="center"/>
              <w:rPr>
                <w:noProof/>
                <w:sz w:val="20"/>
                <w:szCs w:val="20"/>
              </w:rPr>
            </w:pPr>
          </w:p>
        </w:tc>
        <w:tc>
          <w:tcPr>
            <w:tcW w:w="1536" w:type="dxa"/>
            <w:shd w:val="clear" w:color="auto" w:fill="F2F2F2"/>
          </w:tcPr>
          <w:p>
            <w:pPr>
              <w:tabs>
                <w:tab w:val="right" w:leader="dot" w:pos="9071"/>
              </w:tabs>
              <w:ind w:left="850" w:hanging="850"/>
              <w:jc w:val="center"/>
              <w:rPr>
                <w:noProof/>
                <w:sz w:val="20"/>
                <w:szCs w:val="20"/>
              </w:rPr>
            </w:pPr>
            <w:r>
              <w:rPr>
                <w:noProof/>
                <w:sz w:val="20"/>
              </w:rPr>
              <w:t>7</w:t>
            </w:r>
          </w:p>
        </w:tc>
      </w:tr>
      <w:tr>
        <w:tc>
          <w:tcPr>
            <w:tcW w:w="1535" w:type="dxa"/>
            <w:shd w:val="clear" w:color="auto" w:fill="auto"/>
          </w:tcPr>
          <w:p>
            <w:pPr>
              <w:tabs>
                <w:tab w:val="right" w:leader="dot" w:pos="9071"/>
              </w:tabs>
              <w:ind w:left="850" w:hanging="850"/>
              <w:rPr>
                <w:noProof/>
                <w:sz w:val="20"/>
                <w:szCs w:val="20"/>
              </w:rPr>
            </w:pPr>
            <w:r>
              <w:rPr>
                <w:noProof/>
                <w:sz w:val="20"/>
              </w:rPr>
              <w:t xml:space="preserve">Syyskuu </w:t>
            </w:r>
          </w:p>
        </w:tc>
        <w:tc>
          <w:tcPr>
            <w:tcW w:w="1535" w:type="dxa"/>
            <w:shd w:val="clear" w:color="auto" w:fill="auto"/>
          </w:tcPr>
          <w:p>
            <w:pPr>
              <w:tabs>
                <w:tab w:val="right" w:leader="dot" w:pos="9071"/>
              </w:tabs>
              <w:ind w:left="850" w:hanging="850"/>
              <w:jc w:val="center"/>
              <w:rPr>
                <w:noProof/>
                <w:sz w:val="20"/>
                <w:szCs w:val="20"/>
              </w:rPr>
            </w:pPr>
          </w:p>
        </w:tc>
        <w:tc>
          <w:tcPr>
            <w:tcW w:w="1535" w:type="dxa"/>
            <w:shd w:val="clear" w:color="auto" w:fill="auto"/>
          </w:tcPr>
          <w:p>
            <w:pPr>
              <w:tabs>
                <w:tab w:val="right" w:leader="dot" w:pos="9071"/>
              </w:tabs>
              <w:ind w:left="850" w:hanging="850"/>
              <w:jc w:val="center"/>
              <w:rPr>
                <w:noProof/>
                <w:sz w:val="20"/>
                <w:szCs w:val="20"/>
              </w:rPr>
            </w:pPr>
            <w:r>
              <w:rPr>
                <w:noProof/>
                <w:sz w:val="20"/>
              </w:rPr>
              <w:t>2</w:t>
            </w:r>
          </w:p>
        </w:tc>
        <w:tc>
          <w:tcPr>
            <w:tcW w:w="1535" w:type="dxa"/>
            <w:shd w:val="clear" w:color="auto" w:fill="auto"/>
          </w:tcPr>
          <w:p>
            <w:pPr>
              <w:tabs>
                <w:tab w:val="right" w:leader="dot" w:pos="9071"/>
              </w:tabs>
              <w:ind w:left="850" w:hanging="850"/>
              <w:jc w:val="center"/>
              <w:rPr>
                <w:noProof/>
                <w:sz w:val="20"/>
                <w:szCs w:val="20"/>
              </w:rPr>
            </w:pPr>
            <w:r>
              <w:rPr>
                <w:noProof/>
                <w:sz w:val="20"/>
              </w:rPr>
              <w:t>1</w:t>
            </w:r>
          </w:p>
        </w:tc>
        <w:tc>
          <w:tcPr>
            <w:tcW w:w="1536" w:type="dxa"/>
            <w:shd w:val="clear" w:color="auto" w:fill="auto"/>
          </w:tcPr>
          <w:p>
            <w:pPr>
              <w:tabs>
                <w:tab w:val="right" w:leader="dot" w:pos="9071"/>
              </w:tabs>
              <w:ind w:left="850" w:hanging="850"/>
              <w:jc w:val="center"/>
              <w:rPr>
                <w:noProof/>
                <w:sz w:val="20"/>
                <w:szCs w:val="20"/>
              </w:rPr>
            </w:pPr>
          </w:p>
        </w:tc>
        <w:tc>
          <w:tcPr>
            <w:tcW w:w="1536" w:type="dxa"/>
            <w:shd w:val="clear" w:color="auto" w:fill="F2F2F2"/>
          </w:tcPr>
          <w:p>
            <w:pPr>
              <w:tabs>
                <w:tab w:val="right" w:leader="dot" w:pos="9071"/>
              </w:tabs>
              <w:ind w:left="850" w:hanging="850"/>
              <w:jc w:val="center"/>
              <w:rPr>
                <w:noProof/>
                <w:sz w:val="20"/>
                <w:szCs w:val="20"/>
              </w:rPr>
            </w:pPr>
            <w:r>
              <w:rPr>
                <w:noProof/>
                <w:sz w:val="20"/>
              </w:rPr>
              <w:t>3</w:t>
            </w:r>
          </w:p>
        </w:tc>
      </w:tr>
      <w:tr>
        <w:tc>
          <w:tcPr>
            <w:tcW w:w="1535" w:type="dxa"/>
            <w:shd w:val="clear" w:color="auto" w:fill="auto"/>
          </w:tcPr>
          <w:p>
            <w:pPr>
              <w:tabs>
                <w:tab w:val="right" w:leader="dot" w:pos="9071"/>
              </w:tabs>
              <w:ind w:left="850" w:hanging="850"/>
              <w:rPr>
                <w:noProof/>
                <w:sz w:val="20"/>
                <w:szCs w:val="20"/>
              </w:rPr>
            </w:pPr>
            <w:r>
              <w:rPr>
                <w:noProof/>
                <w:sz w:val="20"/>
              </w:rPr>
              <w:t xml:space="preserve">Lokakuu </w:t>
            </w:r>
          </w:p>
        </w:tc>
        <w:tc>
          <w:tcPr>
            <w:tcW w:w="1535" w:type="dxa"/>
            <w:shd w:val="clear" w:color="auto" w:fill="auto"/>
          </w:tcPr>
          <w:p>
            <w:pPr>
              <w:tabs>
                <w:tab w:val="right" w:leader="dot" w:pos="9071"/>
              </w:tabs>
              <w:ind w:left="850" w:hanging="850"/>
              <w:jc w:val="center"/>
              <w:rPr>
                <w:noProof/>
                <w:sz w:val="20"/>
                <w:szCs w:val="20"/>
              </w:rPr>
            </w:pPr>
            <w:r>
              <w:rPr>
                <w:noProof/>
                <w:sz w:val="20"/>
              </w:rPr>
              <w:t>1</w:t>
            </w:r>
          </w:p>
        </w:tc>
        <w:tc>
          <w:tcPr>
            <w:tcW w:w="1535" w:type="dxa"/>
            <w:shd w:val="clear" w:color="auto" w:fill="auto"/>
          </w:tcPr>
          <w:p>
            <w:pPr>
              <w:tabs>
                <w:tab w:val="right" w:leader="dot" w:pos="9071"/>
              </w:tabs>
              <w:ind w:left="850" w:hanging="850"/>
              <w:jc w:val="center"/>
              <w:rPr>
                <w:noProof/>
                <w:sz w:val="20"/>
                <w:szCs w:val="20"/>
              </w:rPr>
            </w:pPr>
            <w:r>
              <w:rPr>
                <w:noProof/>
                <w:sz w:val="20"/>
              </w:rPr>
              <w:t>3</w:t>
            </w:r>
          </w:p>
        </w:tc>
        <w:tc>
          <w:tcPr>
            <w:tcW w:w="1535" w:type="dxa"/>
            <w:shd w:val="clear" w:color="auto" w:fill="auto"/>
          </w:tcPr>
          <w:p>
            <w:pPr>
              <w:tabs>
                <w:tab w:val="right" w:leader="dot" w:pos="9071"/>
              </w:tabs>
              <w:ind w:left="850" w:hanging="850"/>
              <w:jc w:val="center"/>
              <w:rPr>
                <w:noProof/>
                <w:sz w:val="20"/>
                <w:szCs w:val="20"/>
              </w:rPr>
            </w:pPr>
            <w:r>
              <w:rPr>
                <w:noProof/>
                <w:sz w:val="20"/>
              </w:rPr>
              <w:t>1</w:t>
            </w:r>
          </w:p>
        </w:tc>
        <w:tc>
          <w:tcPr>
            <w:tcW w:w="1536" w:type="dxa"/>
            <w:shd w:val="clear" w:color="auto" w:fill="auto"/>
          </w:tcPr>
          <w:p>
            <w:pPr>
              <w:tabs>
                <w:tab w:val="right" w:leader="dot" w:pos="9071"/>
              </w:tabs>
              <w:ind w:left="850" w:hanging="850"/>
              <w:jc w:val="center"/>
              <w:rPr>
                <w:noProof/>
                <w:sz w:val="20"/>
                <w:szCs w:val="20"/>
              </w:rPr>
            </w:pPr>
          </w:p>
        </w:tc>
        <w:tc>
          <w:tcPr>
            <w:tcW w:w="1536" w:type="dxa"/>
            <w:shd w:val="clear" w:color="auto" w:fill="F2F2F2"/>
          </w:tcPr>
          <w:p>
            <w:pPr>
              <w:tabs>
                <w:tab w:val="right" w:leader="dot" w:pos="9071"/>
              </w:tabs>
              <w:ind w:left="850" w:hanging="850"/>
              <w:jc w:val="center"/>
              <w:rPr>
                <w:noProof/>
                <w:sz w:val="20"/>
                <w:szCs w:val="20"/>
              </w:rPr>
            </w:pPr>
            <w:r>
              <w:rPr>
                <w:noProof/>
                <w:sz w:val="20"/>
              </w:rPr>
              <w:t>5</w:t>
            </w:r>
          </w:p>
        </w:tc>
      </w:tr>
      <w:tr>
        <w:tc>
          <w:tcPr>
            <w:tcW w:w="1535" w:type="dxa"/>
            <w:shd w:val="clear" w:color="auto" w:fill="auto"/>
          </w:tcPr>
          <w:p>
            <w:pPr>
              <w:tabs>
                <w:tab w:val="right" w:leader="dot" w:pos="9071"/>
              </w:tabs>
              <w:ind w:left="850" w:hanging="850"/>
              <w:rPr>
                <w:noProof/>
                <w:sz w:val="20"/>
                <w:szCs w:val="20"/>
              </w:rPr>
            </w:pPr>
            <w:r>
              <w:rPr>
                <w:noProof/>
                <w:sz w:val="20"/>
              </w:rPr>
              <w:t xml:space="preserve">Marraskuu </w:t>
            </w:r>
          </w:p>
        </w:tc>
        <w:tc>
          <w:tcPr>
            <w:tcW w:w="1535" w:type="dxa"/>
            <w:shd w:val="clear" w:color="auto" w:fill="auto"/>
          </w:tcPr>
          <w:p>
            <w:pPr>
              <w:tabs>
                <w:tab w:val="right" w:leader="dot" w:pos="9071"/>
              </w:tabs>
              <w:ind w:left="850" w:hanging="850"/>
              <w:jc w:val="center"/>
              <w:rPr>
                <w:noProof/>
                <w:sz w:val="20"/>
                <w:szCs w:val="20"/>
              </w:rPr>
            </w:pPr>
            <w:r>
              <w:rPr>
                <w:noProof/>
                <w:sz w:val="20"/>
              </w:rPr>
              <w:t>2</w:t>
            </w:r>
          </w:p>
        </w:tc>
        <w:tc>
          <w:tcPr>
            <w:tcW w:w="1535" w:type="dxa"/>
            <w:shd w:val="clear" w:color="auto" w:fill="auto"/>
          </w:tcPr>
          <w:p>
            <w:pPr>
              <w:tabs>
                <w:tab w:val="right" w:leader="dot" w:pos="9071"/>
              </w:tabs>
              <w:ind w:left="850" w:hanging="850"/>
              <w:jc w:val="center"/>
              <w:rPr>
                <w:noProof/>
                <w:sz w:val="20"/>
                <w:szCs w:val="20"/>
              </w:rPr>
            </w:pPr>
            <w:r>
              <w:rPr>
                <w:noProof/>
                <w:sz w:val="20"/>
              </w:rPr>
              <w:t>2</w:t>
            </w:r>
          </w:p>
        </w:tc>
        <w:tc>
          <w:tcPr>
            <w:tcW w:w="1535" w:type="dxa"/>
            <w:shd w:val="clear" w:color="auto" w:fill="auto"/>
          </w:tcPr>
          <w:p>
            <w:pPr>
              <w:tabs>
                <w:tab w:val="right" w:leader="dot" w:pos="9071"/>
              </w:tabs>
              <w:ind w:left="850" w:hanging="850"/>
              <w:jc w:val="center"/>
              <w:rPr>
                <w:noProof/>
                <w:sz w:val="20"/>
                <w:szCs w:val="20"/>
              </w:rPr>
            </w:pPr>
            <w:r>
              <w:rPr>
                <w:noProof/>
                <w:sz w:val="20"/>
              </w:rPr>
              <w:t>1</w:t>
            </w:r>
          </w:p>
        </w:tc>
        <w:tc>
          <w:tcPr>
            <w:tcW w:w="1536" w:type="dxa"/>
            <w:shd w:val="clear" w:color="auto" w:fill="auto"/>
          </w:tcPr>
          <w:p>
            <w:pPr>
              <w:tabs>
                <w:tab w:val="right" w:leader="dot" w:pos="9071"/>
              </w:tabs>
              <w:ind w:left="850" w:hanging="850"/>
              <w:jc w:val="center"/>
              <w:rPr>
                <w:noProof/>
                <w:sz w:val="20"/>
                <w:szCs w:val="20"/>
              </w:rPr>
            </w:pPr>
          </w:p>
        </w:tc>
        <w:tc>
          <w:tcPr>
            <w:tcW w:w="1536" w:type="dxa"/>
            <w:shd w:val="clear" w:color="auto" w:fill="F2F2F2"/>
          </w:tcPr>
          <w:p>
            <w:pPr>
              <w:tabs>
                <w:tab w:val="right" w:leader="dot" w:pos="9071"/>
              </w:tabs>
              <w:ind w:left="850" w:hanging="850"/>
              <w:jc w:val="center"/>
              <w:rPr>
                <w:noProof/>
                <w:sz w:val="20"/>
                <w:szCs w:val="20"/>
              </w:rPr>
            </w:pPr>
            <w:r>
              <w:rPr>
                <w:noProof/>
                <w:sz w:val="20"/>
              </w:rPr>
              <w:t>5</w:t>
            </w:r>
          </w:p>
        </w:tc>
      </w:tr>
      <w:tr>
        <w:tc>
          <w:tcPr>
            <w:tcW w:w="1535" w:type="dxa"/>
            <w:shd w:val="clear" w:color="auto" w:fill="auto"/>
          </w:tcPr>
          <w:p>
            <w:pPr>
              <w:tabs>
                <w:tab w:val="right" w:leader="dot" w:pos="9071"/>
              </w:tabs>
              <w:ind w:left="850" w:hanging="850"/>
              <w:rPr>
                <w:noProof/>
                <w:sz w:val="20"/>
                <w:szCs w:val="20"/>
              </w:rPr>
            </w:pPr>
            <w:r>
              <w:rPr>
                <w:noProof/>
                <w:sz w:val="20"/>
              </w:rPr>
              <w:t xml:space="preserve">Joulukuu </w:t>
            </w:r>
          </w:p>
        </w:tc>
        <w:tc>
          <w:tcPr>
            <w:tcW w:w="1535" w:type="dxa"/>
            <w:shd w:val="clear" w:color="auto" w:fill="auto"/>
          </w:tcPr>
          <w:p>
            <w:pPr>
              <w:tabs>
                <w:tab w:val="right" w:leader="dot" w:pos="9071"/>
              </w:tabs>
              <w:ind w:left="850" w:hanging="850"/>
              <w:jc w:val="center"/>
              <w:rPr>
                <w:noProof/>
                <w:sz w:val="20"/>
                <w:szCs w:val="20"/>
              </w:rPr>
            </w:pPr>
          </w:p>
        </w:tc>
        <w:tc>
          <w:tcPr>
            <w:tcW w:w="1535" w:type="dxa"/>
            <w:shd w:val="clear" w:color="auto" w:fill="auto"/>
          </w:tcPr>
          <w:p>
            <w:pPr>
              <w:tabs>
                <w:tab w:val="right" w:leader="dot" w:pos="9071"/>
              </w:tabs>
              <w:ind w:left="850" w:hanging="850"/>
              <w:jc w:val="center"/>
              <w:rPr>
                <w:noProof/>
                <w:sz w:val="20"/>
                <w:szCs w:val="20"/>
              </w:rPr>
            </w:pPr>
            <w:r>
              <w:rPr>
                <w:noProof/>
                <w:sz w:val="20"/>
              </w:rPr>
              <w:t>8</w:t>
            </w:r>
          </w:p>
        </w:tc>
        <w:tc>
          <w:tcPr>
            <w:tcW w:w="1535" w:type="dxa"/>
            <w:shd w:val="clear" w:color="auto" w:fill="auto"/>
          </w:tcPr>
          <w:p>
            <w:pPr>
              <w:tabs>
                <w:tab w:val="right" w:leader="dot" w:pos="9071"/>
              </w:tabs>
              <w:ind w:left="850" w:hanging="850"/>
              <w:jc w:val="center"/>
              <w:rPr>
                <w:noProof/>
                <w:sz w:val="20"/>
                <w:szCs w:val="20"/>
              </w:rPr>
            </w:pPr>
            <w:r>
              <w:rPr>
                <w:noProof/>
                <w:sz w:val="20"/>
              </w:rPr>
              <w:t>1</w:t>
            </w:r>
          </w:p>
        </w:tc>
        <w:tc>
          <w:tcPr>
            <w:tcW w:w="1536" w:type="dxa"/>
            <w:shd w:val="clear" w:color="auto" w:fill="auto"/>
          </w:tcPr>
          <w:p>
            <w:pPr>
              <w:tabs>
                <w:tab w:val="right" w:leader="dot" w:pos="9071"/>
              </w:tabs>
              <w:ind w:left="850" w:hanging="850"/>
              <w:jc w:val="center"/>
              <w:rPr>
                <w:noProof/>
                <w:sz w:val="20"/>
                <w:szCs w:val="20"/>
              </w:rPr>
            </w:pPr>
          </w:p>
        </w:tc>
        <w:tc>
          <w:tcPr>
            <w:tcW w:w="1536" w:type="dxa"/>
            <w:shd w:val="clear" w:color="auto" w:fill="F2F2F2"/>
          </w:tcPr>
          <w:p>
            <w:pPr>
              <w:tabs>
                <w:tab w:val="right" w:leader="dot" w:pos="9071"/>
              </w:tabs>
              <w:ind w:left="850" w:hanging="850"/>
              <w:jc w:val="center"/>
              <w:rPr>
                <w:noProof/>
                <w:sz w:val="20"/>
                <w:szCs w:val="20"/>
              </w:rPr>
            </w:pPr>
            <w:r>
              <w:rPr>
                <w:noProof/>
                <w:sz w:val="20"/>
              </w:rPr>
              <w:t>9</w:t>
            </w:r>
          </w:p>
        </w:tc>
      </w:tr>
      <w:tr>
        <w:tc>
          <w:tcPr>
            <w:tcW w:w="1535" w:type="dxa"/>
            <w:shd w:val="clear" w:color="auto" w:fill="F2F2F2"/>
          </w:tcPr>
          <w:p>
            <w:pPr>
              <w:tabs>
                <w:tab w:val="right" w:leader="dot" w:pos="9071"/>
              </w:tabs>
              <w:ind w:left="850" w:hanging="850"/>
              <w:rPr>
                <w:noProof/>
                <w:sz w:val="20"/>
                <w:szCs w:val="20"/>
              </w:rPr>
            </w:pPr>
            <w:r>
              <w:rPr>
                <w:noProof/>
                <w:sz w:val="20"/>
              </w:rPr>
              <w:t>YHTEENSÄ</w:t>
            </w:r>
          </w:p>
        </w:tc>
        <w:tc>
          <w:tcPr>
            <w:tcW w:w="1535" w:type="dxa"/>
            <w:shd w:val="clear" w:color="auto" w:fill="F2F2F2"/>
          </w:tcPr>
          <w:p>
            <w:pPr>
              <w:tabs>
                <w:tab w:val="right" w:leader="dot" w:pos="9071"/>
              </w:tabs>
              <w:ind w:left="850" w:hanging="850"/>
              <w:jc w:val="center"/>
              <w:rPr>
                <w:noProof/>
                <w:sz w:val="20"/>
                <w:szCs w:val="20"/>
              </w:rPr>
            </w:pPr>
            <w:r>
              <w:rPr>
                <w:noProof/>
                <w:sz w:val="20"/>
              </w:rPr>
              <w:t>5</w:t>
            </w:r>
          </w:p>
        </w:tc>
        <w:tc>
          <w:tcPr>
            <w:tcW w:w="1535" w:type="dxa"/>
            <w:shd w:val="clear" w:color="auto" w:fill="F2F2F2"/>
          </w:tcPr>
          <w:p>
            <w:pPr>
              <w:tabs>
                <w:tab w:val="right" w:leader="dot" w:pos="9071"/>
              </w:tabs>
              <w:ind w:left="850" w:hanging="850"/>
              <w:jc w:val="center"/>
              <w:rPr>
                <w:noProof/>
                <w:sz w:val="20"/>
                <w:szCs w:val="20"/>
              </w:rPr>
            </w:pPr>
            <w:r>
              <w:rPr>
                <w:noProof/>
                <w:sz w:val="20"/>
              </w:rPr>
              <w:t>43</w:t>
            </w:r>
          </w:p>
        </w:tc>
        <w:tc>
          <w:tcPr>
            <w:tcW w:w="1535" w:type="dxa"/>
            <w:shd w:val="clear" w:color="auto" w:fill="F2F2F2"/>
          </w:tcPr>
          <w:p>
            <w:pPr>
              <w:tabs>
                <w:tab w:val="right" w:leader="dot" w:pos="9071"/>
              </w:tabs>
              <w:ind w:left="850" w:hanging="850"/>
              <w:jc w:val="center"/>
              <w:rPr>
                <w:noProof/>
                <w:sz w:val="20"/>
                <w:szCs w:val="20"/>
              </w:rPr>
            </w:pPr>
            <w:r>
              <w:rPr>
                <w:noProof/>
                <w:sz w:val="20"/>
              </w:rPr>
              <w:t>8</w:t>
            </w:r>
          </w:p>
        </w:tc>
        <w:tc>
          <w:tcPr>
            <w:tcW w:w="1536" w:type="dxa"/>
            <w:shd w:val="clear" w:color="auto" w:fill="F2F2F2"/>
          </w:tcPr>
          <w:p>
            <w:pPr>
              <w:tabs>
                <w:tab w:val="right" w:leader="dot" w:pos="9071"/>
              </w:tabs>
              <w:ind w:left="850" w:hanging="850"/>
              <w:jc w:val="center"/>
              <w:rPr>
                <w:noProof/>
                <w:sz w:val="20"/>
                <w:szCs w:val="20"/>
              </w:rPr>
            </w:pPr>
            <w:r>
              <w:rPr>
                <w:noProof/>
                <w:sz w:val="20"/>
              </w:rPr>
              <w:t>1</w:t>
            </w:r>
          </w:p>
        </w:tc>
        <w:tc>
          <w:tcPr>
            <w:tcW w:w="1536" w:type="dxa"/>
            <w:shd w:val="clear" w:color="auto" w:fill="F2F2F2"/>
          </w:tcPr>
          <w:p>
            <w:pPr>
              <w:tabs>
                <w:tab w:val="right" w:leader="dot" w:pos="9071"/>
              </w:tabs>
              <w:ind w:left="850" w:hanging="850"/>
              <w:jc w:val="center"/>
              <w:rPr>
                <w:noProof/>
                <w:sz w:val="20"/>
                <w:szCs w:val="20"/>
              </w:rPr>
            </w:pPr>
            <w:r>
              <w:rPr>
                <w:noProof/>
                <w:sz w:val="20"/>
              </w:rPr>
              <w:t>57</w:t>
            </w:r>
          </w:p>
        </w:tc>
      </w:tr>
    </w:tbl>
    <w:p>
      <w:pPr>
        <w:rPr>
          <w:noProof/>
        </w:rPr>
      </w:pPr>
    </w:p>
    <w:p>
      <w:pPr>
        <w:rPr>
          <w:noProof/>
        </w:rPr>
      </w:pPr>
    </w:p>
    <w:p>
      <w:pPr>
        <w:rPr>
          <w:noProof/>
        </w:rPr>
      </w:pPr>
      <w:r>
        <w:rPr>
          <w:noProof/>
        </w:rPr>
        <w:br w:type="page"/>
        <w:t>LIITE 4: .eu-verkkotunnusten kokonaismäärä rekisteröijän kotimaan mukaan</w:t>
      </w:r>
    </w:p>
    <w:p>
      <w:pPr>
        <w:rPr>
          <w:noProof/>
        </w:rPr>
      </w:pPr>
      <w:r>
        <w:rPr>
          <w:noProof/>
        </w:rPr>
        <w:pict>
          <v:shape id="Chart 1" o:spid="_x0000_i1028" type="#_x0000_t75" style="width:369.75pt;height:217.5pt;visibility:visible" o:gfxdata="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">
            <v:imagedata r:id="rId19" o:title=""/>
            <o:lock v:ext="edit" aspectratio="f"/>
          </v:shape>
        </w:pict>
      </w:r>
    </w:p>
    <w:p>
      <w:pPr>
        <w:jc w:val="left"/>
        <w:rPr>
          <w:noProof/>
        </w:rPr>
      </w:pPr>
      <w:r>
        <w:rPr>
          <w:noProof/>
        </w:rPr>
        <w:t>Lähde: EURidin neljännesvuosiraportti, 1. vuosineljännes 2015</w:t>
      </w:r>
      <w:r>
        <w:rPr>
          <w:noProof/>
        </w:rPr>
        <w:br w:type="page"/>
        <w:t>LIITE 5: .eu-verkkotunnuksia 1 000 asukasta kohti</w:t>
      </w:r>
    </w:p>
    <w:p>
      <w:pPr>
        <w:jc w:val="left"/>
        <w:rPr>
          <w:noProof/>
        </w:rPr>
      </w:pPr>
    </w:p>
    <w:p>
      <w:pPr>
        <w:jc w:val="left"/>
        <w:rPr>
          <w:noProof/>
        </w:rPr>
      </w:pPr>
      <w:r>
        <w:rPr>
          <w:noProof/>
        </w:rPr>
        <w:pict>
          <v:shape id="Chart 9" o:spid="_x0000_i1029" type="#_x0000_t75" style="width:389.25pt;height:217.5pt;visibility:visible" o:gfxdata="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">
            <v:imagedata r:id="rId20" o:title=""/>
            <o:lock v:ext="edit" aspectratio="f"/>
          </v:shape>
        </w:pict>
      </w:r>
    </w:p>
    <w:p>
      <w:pPr>
        <w:rPr>
          <w:noProof/>
        </w:rPr>
      </w:pPr>
      <w:r>
        <w:rPr>
          <w:noProof/>
        </w:rPr>
        <w:t>Lähde: EURidin neljännesvuosiraportti, 1. vuosineljännes 2015</w:t>
      </w:r>
    </w:p>
    <w:p>
      <w:pPr>
        <w:spacing w:before="0" w:after="0"/>
        <w:jc w:val="left"/>
        <w:rPr>
          <w:noProof/>
        </w:rPr>
      </w:pPr>
      <w:r>
        <w:rPr>
          <w:noProof/>
        </w:rPr>
        <w:br w:type="page"/>
      </w:r>
    </w:p>
    <w:p>
      <w:pPr>
        <w:rPr>
          <w:noProof/>
        </w:rPr>
      </w:pPr>
      <w:r>
        <w:rPr>
          <w:noProof/>
        </w:rPr>
        <w:t>LIITE 6: Rekisteröityjä .eu-aluetunnuksen alaisia kansainvälisiä aluetunnuksia (IDN) kaikista .eu-verkkotunnuksista</w:t>
      </w:r>
    </w:p>
    <w:p>
      <w:pPr>
        <w:rPr>
          <w:noProof/>
        </w:rPr>
      </w:pPr>
      <w:r>
        <w:rPr>
          <w:noProof/>
        </w:rPr>
        <w:pict>
          <v:shape id="_x0000_i1030" type="#_x0000_t75" style="width:453pt;height:240.75pt">
            <v:imagedata r:id="rId21" o:title="Screen Shot 2015-07-03 at 17"/>
          </v:shape>
        </w:pict>
      </w:r>
    </w:p>
    <w:p>
      <w:pPr>
        <w:rPr>
          <w:noProof/>
        </w:rPr>
      </w:pPr>
    </w:p>
    <w:p>
      <w:pPr>
        <w:rPr>
          <w:noProof/>
        </w:rPr>
      </w:pPr>
      <w:r>
        <w:rPr>
          <w:noProof/>
        </w:rPr>
        <w:t>Lähde: EURidin neljännesvuosiraportti, 1. vuosineljännes 2015</w:t>
      </w:r>
    </w:p>
    <w:p>
      <w:pPr>
        <w:rPr>
          <w:noProof/>
        </w:rPr>
      </w:pPr>
    </w:p>
    <w:sectPr>
      <w:headerReference w:type="even" r:id="rId22"/>
      <w:headerReference w:type="default" r:id="rId23"/>
      <w:footerReference w:type="even" r:id="rId24"/>
      <w:footerReference w:type="default" r:id="rId25"/>
      <w:headerReference w:type="first" r:id="rId26"/>
      <w:footerReference w:type="first" r:id="rId2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ヒラギノ角ゴ Pro W3">
    <w:charset w:val="80"/>
    <w:family w:val="auto"/>
    <w:pitch w:val="variable"/>
    <w:sig w:usb0="E00002FF"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 xml:space="preserve"> </w:t>
      </w:r>
      <w:r>
        <w:tab/>
        <w:t>Pois lukien .tk sen erityisen toimintakehyksen ja myyntimallin vuoksi.</w:t>
      </w:r>
    </w:p>
  </w:footnote>
  <w:footnote w:id="2">
    <w:p>
      <w:pPr>
        <w:pStyle w:val="FootnoteText"/>
      </w:pPr>
      <w:r>
        <w:rPr>
          <w:rStyle w:val="FootnoteReference"/>
        </w:rPr>
        <w:footnoteRef/>
      </w:r>
      <w:r>
        <w:t xml:space="preserve">             (EYVL L 113, 30.4.2002, s. 1).</w:t>
      </w:r>
    </w:p>
  </w:footnote>
  <w:footnote w:id="3">
    <w:p>
      <w:pPr>
        <w:pStyle w:val="FootnoteText"/>
      </w:pPr>
      <w:r>
        <w:rPr>
          <w:rStyle w:val="FootnoteReference"/>
        </w:rPr>
        <w:footnoteRef/>
      </w:r>
      <w:r>
        <w:tab/>
        <w:t>Euroopan parlamentin ja neuvoston asetus (EY) N:o 1137/2008, annettu 22 päivänä lokakuuta 2008, eräiden perustamissopimuksen 251 artiklassa määrätyn menettelyn mukaisten säädösten mukauttamisesta neuvoston päätökseen 1999/468/EY valvonnan käsittävän sääntelymenettelyn osalta – Valvonnan käsittävään sääntelymenettelyyn mukauttaminen – Ensimmäinen osa (EUVL L 311, 21.11.2008, s. 1).</w:t>
      </w:r>
    </w:p>
  </w:footnote>
  <w:footnote w:id="4">
    <w:p>
      <w:pPr>
        <w:pStyle w:val="FootnoteText"/>
      </w:pPr>
      <w:r>
        <w:rPr>
          <w:rStyle w:val="FootnoteReference"/>
        </w:rPr>
        <w:footnoteRef/>
      </w:r>
      <w:r>
        <w:t xml:space="preserve">             (EUVL L 162, 30.4.2004, s. 40).</w:t>
      </w:r>
    </w:p>
  </w:footnote>
  <w:footnote w:id="5">
    <w:p>
      <w:pPr>
        <w:pStyle w:val="FootnoteText"/>
      </w:pPr>
      <w:r>
        <w:rPr>
          <w:rStyle w:val="FootnoteReference"/>
        </w:rPr>
        <w:footnoteRef/>
      </w:r>
      <w:r>
        <w:tab/>
        <w:t>Komission asetus (EY) N:o 1654/2005, annettu 10 päivänä lokakuuta 2005 (EUVL L 266, 11.10.2005, s. 35), komission asetus (EY) N:o 1255/2007, annettu 25 päivänä lokakuuta 2007 (EUVL L 282 26.10.2007, s. 16), komission asetus (EY) N:o 560/2009, annettu 26 päivänä kesäkuuta 2009 (EUVL L 166, 27.6.2009, s. 3) ja komission asetus (EU) N:o 516/2015, annettu 26 päivänä maaliskuuta 2015 (EUVL L 82, 27.3.2015, s. 14).</w:t>
      </w:r>
    </w:p>
  </w:footnote>
  <w:footnote w:id="6">
    <w:p>
      <w:pPr>
        <w:pStyle w:val="FootnoteText"/>
      </w:pPr>
      <w:r>
        <w:rPr>
          <w:rStyle w:val="FootnoteReference"/>
        </w:rPr>
        <w:footnoteRef/>
      </w:r>
      <w:r>
        <w:t xml:space="preserve">     </w:t>
      </w:r>
      <w:r>
        <w:tab/>
        <w:t>EURid (European Registry of Internet Domain Names) on voittoa tavoittelematon yritys, joka oli hallinnoinut .eu-aluetunnusta Euroopan komission toimeksiannolla.</w:t>
      </w:r>
    </w:p>
  </w:footnote>
  <w:footnote w:id="7">
    <w:p>
      <w:pPr>
        <w:pStyle w:val="FootnoteText"/>
      </w:pPr>
      <w:r>
        <w:rPr>
          <w:rStyle w:val="FootnoteReference"/>
        </w:rPr>
        <w:footnoteRef/>
      </w:r>
      <w:r>
        <w:t xml:space="preserve"> </w:t>
      </w:r>
      <w:r>
        <w:tab/>
        <w:t>Komission täytäntöönpanopäätös, annettu 11 päivänä huhtikuuta 2014, .eu-aluetunnusrekisterin nimeämisestä (EYVL L L109, 12.4.2014, s. 41).</w:t>
      </w:r>
    </w:p>
  </w:footnote>
  <w:footnote w:id="8">
    <w:p>
      <w:pPr>
        <w:pStyle w:val="FootnoteText"/>
      </w:pPr>
      <w:r>
        <w:rPr>
          <w:rStyle w:val="FootnoteReference"/>
        </w:rPr>
        <w:footnoteRef/>
      </w:r>
      <w:r>
        <w:tab/>
        <w:t xml:space="preserve">Lisätietoa nopeutetusta hyväksymisprosessissa: </w:t>
      </w:r>
      <w:hyperlink r:id="rId1">
        <w:r>
          <w:rPr>
            <w:rStyle w:val="Hyperlink"/>
          </w:rPr>
          <w:t>http://www.icann.org/en/topics/idn/fast-track/</w:t>
        </w:r>
      </w:hyperlink>
      <w:r>
        <w:t>.</w:t>
      </w:r>
    </w:p>
  </w:footnote>
  <w:footnote w:id="9">
    <w:p>
      <w:pPr>
        <w:pStyle w:val="FootnoteText"/>
      </w:pPr>
      <w:r>
        <w:rPr>
          <w:rStyle w:val="FootnoteReference"/>
        </w:rPr>
        <w:footnoteRef/>
      </w:r>
      <w:r>
        <w:tab/>
        <w:t>Asetuksen (EY) N:o 733/2002 3 artiklan 4 kohta ja asetuksen (EY) N:o 874/2004 johdanto-osan 2–4 kappale ja 4 artikla.</w:t>
      </w:r>
    </w:p>
  </w:footnote>
  <w:footnote w:id="10">
    <w:p>
      <w:pPr>
        <w:pStyle w:val="FootnoteText"/>
      </w:pPr>
      <w:r>
        <w:rPr>
          <w:rStyle w:val="FootnoteReference"/>
        </w:rPr>
        <w:footnoteRef/>
      </w:r>
      <w:r>
        <w:t xml:space="preserve">           Järjestelmän avulla voidaan löytää verkkotunnuksesta vastuussa oleva.</w:t>
      </w:r>
    </w:p>
    <w:p>
      <w:pPr>
        <w:pStyle w:val="FootnoteText"/>
      </w:pPr>
    </w:p>
  </w:footnote>
  <w:footnote w:id="11">
    <w:p>
      <w:pPr>
        <w:pStyle w:val="FootnoteText"/>
      </w:pPr>
      <w:r>
        <w:rPr>
          <w:rStyle w:val="FootnoteReference"/>
        </w:rPr>
        <w:footnoteRef/>
      </w:r>
      <w:r>
        <w:t xml:space="preserve"> Näihin lukuihin sisältyvät varat, jotka on varattu yhteisrahoitteisiin markkinointiohjelmaan rekisterinpitäjiä varten.</w:t>
      </w:r>
    </w:p>
  </w:footnote>
  <w:footnote w:id="12">
    <w:p>
      <w:pPr>
        <w:pStyle w:val="FootnoteText"/>
      </w:pPr>
      <w:r>
        <w:rPr>
          <w:rStyle w:val="FootnoteReference"/>
        </w:rPr>
        <w:footnoteRef/>
      </w:r>
      <w:r>
        <w:t xml:space="preserve"> Vaihtoehtoisen riidanratkaisumenettelyn tilastoista ks. liite 3.</w:t>
      </w:r>
    </w:p>
    <w:p>
      <w:pPr>
        <w:pStyle w:val="FootnoteText"/>
      </w:pPr>
    </w:p>
  </w:footnote>
  <w:footnote w:id="13">
    <w:p>
      <w:pPr>
        <w:pStyle w:val="FootnoteText"/>
        <w:ind w:left="142" w:hanging="142"/>
      </w:pPr>
      <w:r>
        <w:rPr>
          <w:rStyle w:val="FootnoteReference"/>
        </w:rPr>
        <w:footnoteRef/>
      </w:r>
      <w:r>
        <w:t xml:space="preserve"> Verkkotunnusten rekisteröinnin ns. sunrise period on erityinen ajanjakso, jonka kuluessa tavaramerkin haltijat voivat ennakkorekisteröidä tavaramerkkinsä kanssa identtisiä tai samankaltaisia nimiä, jotta voidaan välttää </w:t>
      </w:r>
      <w:hyperlink r:id="rId2" w:tooltip="Cybersquatting">
        <w:r>
          <w:rPr>
            <w:rStyle w:val="Hyperlink"/>
          </w:rPr>
          <w:t>cybersquattingina</w:t>
        </w:r>
      </w:hyperlink>
      <w:r>
        <w:t xml:space="preserve"> tunnettu verkkotunnusten kaappaus. Tämä tapahtuu ennen </w:t>
      </w:r>
      <w:hyperlink r:id="rId3" w:tooltip="Aluetunnus">
        <w:r>
          <w:rPr>
            <w:rStyle w:val="Hyperlink"/>
          </w:rPr>
          <w:t>aluetunnuksen</w:t>
        </w:r>
      </w:hyperlink>
      <w:r>
        <w:t xml:space="preserve"> yleistä käyttöönottoa. Nimiä rekisteröidäkseen ryhmän tai henkilön on kyettävä näyttämään toteen aikaisempi oikeutensa nimeen. </w:t>
      </w:r>
      <w:hyperlink r:id="rId4" w:tooltip="Sunrise Period">
        <w:r>
          <w:rPr>
            <w:rStyle w:val="Hyperlink"/>
          </w:rPr>
          <w:t>Sunrise period</w:t>
        </w:r>
      </w:hyperlink>
      <w:r>
        <w:t xml:space="preserve"> -jakso jaettiin .eu-aluetunnuksen osalta kahteen vaiheeseen. Ensimmäisen, 7. joulukuuta 2005 alkaneen vaiheen tarkoituksena oli helpottaa hakemuksia rekisteröijiltä, joilla oli hallussaan aikaisempia tavaramerkkeihin ja maantieteellisiin nimiin perustuvia oikeuksia. Toinen vaihe alkoi 7. helmikuuta 2006 ja koski yrityksen nimiä, toiminimiä ja henkilönnimiä. Kaikkien Sunrise-hakemusten mukaan piti liittää asiakirjat, joilla näytetään toteen tietyn oikeuden omistajuus. Päätöksen teki sen jälkeen </w:t>
      </w:r>
      <w:hyperlink r:id="rId5" w:tooltip="PricewaterhouseCoopers">
        <w:r>
          <w:rPr>
            <w:rStyle w:val="Hyperlink"/>
          </w:rPr>
          <w:t>PricewaterhouseCoopers</w:t>
        </w:r>
      </w:hyperlink>
      <w:r>
        <w:t xml:space="preserve"> Belgium, jonka </w:t>
      </w:r>
      <w:hyperlink r:id="rId6" w:tooltip="EURid">
        <w:r>
          <w:rPr>
            <w:rStyle w:val="Hyperlink"/>
          </w:rPr>
          <w:t>EURid</w:t>
        </w:r>
      </w:hyperlink>
      <w:r>
        <w:t xml:space="preserve"> oli valinnut validointitahoksi. Kun rekisteri 7. helmikuuta 2006 avattiin yritysten nimille, toiminimille ja henkilönnimille, ensimmäisten 15 minuutin aikana saatiin yhteensä 27 949 hakemusta ja ensimmäisen tunnin kuluessa 71 235.</w:t>
      </w:r>
    </w:p>
    <w:p>
      <w:pPr>
        <w:pStyle w:val="FootnoteText"/>
        <w:ind w:left="0" w:firstLine="0"/>
      </w:pPr>
    </w:p>
  </w:footnote>
  <w:footnote w:id="14">
    <w:p>
      <w:pPr>
        <w:pStyle w:val="FootnoteText"/>
      </w:pPr>
      <w:r>
        <w:rPr>
          <w:rStyle w:val="FootnoteReference"/>
        </w:rPr>
        <w:footnoteRef/>
      </w:r>
      <w:r>
        <w:tab/>
        <w:t xml:space="preserve">EU:n ympäristöasioiden hallinta- ja auditointijärjestelmä (EMAS) on väline, jonka avulla yritykset ja muut organisaatiot voivat arvioida ja vähentää ympäristövaikutuksiaan ja raportoida niistä.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0FB1"/>
    <w:multiLevelType w:val="multilevel"/>
    <w:tmpl w:val="30847FD6"/>
    <w:lvl w:ilvl="0">
      <w:start w:val="1"/>
      <w:numFmt w:val="decimal"/>
      <w:lvlRestart w:val="0"/>
      <w:pStyle w:val="ListNumber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5E43525"/>
    <w:multiLevelType w:val="multilevel"/>
    <w:tmpl w:val="76202BFE"/>
    <w:lvl w:ilvl="0">
      <w:start w:val="1"/>
      <w:numFmt w:val="decimal"/>
      <w:lvlRestart w:val="0"/>
      <w:pStyle w:val="ListNumber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2DD5905"/>
    <w:multiLevelType w:val="singleLevel"/>
    <w:tmpl w:val="6CB4B73E"/>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3">
    <w:nsid w:val="1B3C78B8"/>
    <w:multiLevelType w:val="multilevel"/>
    <w:tmpl w:val="2ED4F4D0"/>
    <w:name w:val="Point"/>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4">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4E930D7"/>
    <w:multiLevelType w:val="multilevel"/>
    <w:tmpl w:val="EFD2E05E"/>
    <w:lvl w:ilvl="0">
      <w:start w:val="1"/>
      <w:numFmt w:val="decimal"/>
      <w:lvlRestart w:val="0"/>
      <w:pStyle w:val="ListNumber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AF76E7A"/>
    <w:multiLevelType w:val="singleLevel"/>
    <w:tmpl w:val="C74C5A32"/>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7">
    <w:nsid w:val="3A5459E8"/>
    <w:multiLevelType w:val="singleLevel"/>
    <w:tmpl w:val="2188C922"/>
    <w:name w:val="Tiret 1"/>
    <w:lvl w:ilvl="0">
      <w:start w:val="1"/>
      <w:numFmt w:val="bullet"/>
      <w:lvlRestart w:val="0"/>
      <w:pStyle w:val="Tiret1"/>
      <w:lvlText w:val="–"/>
      <w:lvlJc w:val="left"/>
      <w:pPr>
        <w:tabs>
          <w:tab w:val="num" w:pos="1417"/>
        </w:tabs>
        <w:ind w:left="1417" w:hanging="567"/>
      </w:pPr>
    </w:lvl>
  </w:abstractNum>
  <w:abstractNum w:abstractNumId="8">
    <w:nsid w:val="3BA736C9"/>
    <w:multiLevelType w:val="singleLevel"/>
    <w:tmpl w:val="F00A6C0C"/>
    <w:name w:val="Tiret 0"/>
    <w:lvl w:ilvl="0">
      <w:start w:val="1"/>
      <w:numFmt w:val="bullet"/>
      <w:lvlRestart w:val="0"/>
      <w:pStyle w:val="Tiret0"/>
      <w:lvlText w:val="–"/>
      <w:lvlJc w:val="left"/>
      <w:pPr>
        <w:tabs>
          <w:tab w:val="num" w:pos="850"/>
        </w:tabs>
        <w:ind w:left="850" w:hanging="850"/>
      </w:pPr>
    </w:lvl>
  </w:abstractNum>
  <w:abstractNum w:abstractNumId="9">
    <w:nsid w:val="3C90278F"/>
    <w:multiLevelType w:val="singleLevel"/>
    <w:tmpl w:val="0FE08974"/>
    <w:name w:val="Tiret 3"/>
    <w:lvl w:ilvl="0">
      <w:start w:val="1"/>
      <w:numFmt w:val="bullet"/>
      <w:lvlRestart w:val="0"/>
      <w:pStyle w:val="Tiret3"/>
      <w:lvlText w:val="–"/>
      <w:lvlJc w:val="left"/>
      <w:pPr>
        <w:tabs>
          <w:tab w:val="num" w:pos="2551"/>
        </w:tabs>
        <w:ind w:left="2551" w:hanging="567"/>
      </w:pPr>
    </w:lvl>
  </w:abstractNum>
  <w:abstractNum w:abstractNumId="10">
    <w:nsid w:val="3C942E47"/>
    <w:multiLevelType w:val="hybridMultilevel"/>
    <w:tmpl w:val="3AA2AC0E"/>
    <w:lvl w:ilvl="0" w:tplc="5AF861A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E191884"/>
    <w:multiLevelType w:val="singleLevel"/>
    <w:tmpl w:val="3020C764"/>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12">
    <w:nsid w:val="4026281A"/>
    <w:multiLevelType w:val="hybridMultilevel"/>
    <w:tmpl w:val="30F23C9C"/>
    <w:lvl w:ilvl="0" w:tplc="3DF2C38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0315490"/>
    <w:multiLevelType w:val="singleLevel"/>
    <w:tmpl w:val="1F86C700"/>
    <w:name w:val="0,5374218"/>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4">
    <w:nsid w:val="48842C30"/>
    <w:multiLevelType w:val="singleLevel"/>
    <w:tmpl w:val="4FA60B9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5">
    <w:nsid w:val="54593082"/>
    <w:multiLevelType w:val="singleLevel"/>
    <w:tmpl w:val="EDE069AC"/>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68864DC"/>
    <w:multiLevelType w:val="singleLevel"/>
    <w:tmpl w:val="485EBDAC"/>
    <w:name w:val="Tiret 4"/>
    <w:lvl w:ilvl="0">
      <w:start w:val="1"/>
      <w:numFmt w:val="bullet"/>
      <w:lvlRestart w:val="0"/>
      <w:pStyle w:val="Tiret4"/>
      <w:lvlText w:val="–"/>
      <w:lvlJc w:val="left"/>
      <w:pPr>
        <w:tabs>
          <w:tab w:val="num" w:pos="3118"/>
        </w:tabs>
        <w:ind w:left="3118" w:hanging="567"/>
      </w:pPr>
    </w:lvl>
  </w:abstractNum>
  <w:abstractNum w:abstractNumId="17">
    <w:nsid w:val="596D67A1"/>
    <w:multiLevelType w:val="singleLevel"/>
    <w:tmpl w:val="9AC8831A"/>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nsid w:val="5F342530"/>
    <w:multiLevelType w:val="singleLevel"/>
    <w:tmpl w:val="D5444702"/>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9">
    <w:nsid w:val="5F8C3B69"/>
    <w:multiLevelType w:val="multilevel"/>
    <w:tmpl w:val="9B14DAA8"/>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5F9C40AA"/>
    <w:multiLevelType w:val="singleLevel"/>
    <w:tmpl w:val="B89CB5A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nsid w:val="62970F71"/>
    <w:multiLevelType w:val="singleLevel"/>
    <w:tmpl w:val="5AFA8C72"/>
    <w:name w:val="Tiret 2"/>
    <w:lvl w:ilvl="0">
      <w:start w:val="1"/>
      <w:numFmt w:val="bullet"/>
      <w:lvlRestart w:val="0"/>
      <w:pStyle w:val="Tiret2"/>
      <w:lvlText w:val="–"/>
      <w:lvlJc w:val="left"/>
      <w:pPr>
        <w:tabs>
          <w:tab w:val="num" w:pos="1984"/>
        </w:tabs>
        <w:ind w:left="1984" w:hanging="567"/>
      </w:pPr>
    </w:lvl>
  </w:abstractNum>
  <w:abstractNum w:abstractNumId="22">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3">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9995580"/>
    <w:multiLevelType w:val="singleLevel"/>
    <w:tmpl w:val="75CC7CBA"/>
    <w:name w:val="Considérant"/>
    <w:lvl w:ilvl="0">
      <w:start w:val="1"/>
      <w:numFmt w:val="decimal"/>
      <w:lvlRestart w:val="0"/>
      <w:pStyle w:val="Considrant"/>
      <w:lvlText w:val="(%1)"/>
      <w:lvlJc w:val="left"/>
      <w:pPr>
        <w:tabs>
          <w:tab w:val="num" w:pos="709"/>
        </w:tabs>
        <w:ind w:left="709" w:hanging="709"/>
      </w:pPr>
    </w:lvl>
  </w:abstractNum>
  <w:abstractNum w:abstractNumId="25">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26">
    <w:nsid w:val="6D2B5511"/>
    <w:multiLevelType w:val="singleLevel"/>
    <w:tmpl w:val="74A09970"/>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27">
    <w:nsid w:val="6F270289"/>
    <w:multiLevelType w:val="hybridMultilevel"/>
    <w:tmpl w:val="C2FEFE70"/>
    <w:lvl w:ilvl="0" w:tplc="3DF2C38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5C26F71"/>
    <w:multiLevelType w:val="multilevel"/>
    <w:tmpl w:val="E01E7708"/>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31">
    <w:nsid w:val="79C96D36"/>
    <w:multiLevelType w:val="multilevel"/>
    <w:tmpl w:val="BE983CE4"/>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7BE95D7F"/>
    <w:multiLevelType w:val="multilevel"/>
    <w:tmpl w:val="F126F780"/>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3">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34">
    <w:nsid w:val="7F7154E1"/>
    <w:multiLevelType w:val="singleLevel"/>
    <w:tmpl w:val="E3F6D2C6"/>
    <w:lvl w:ilvl="0">
      <w:start w:val="1"/>
      <w:numFmt w:val="bullet"/>
      <w:lvlRestart w:val="0"/>
      <w:pStyle w:val="ListBullet4"/>
      <w:lvlText w:val=""/>
      <w:lvlJc w:val="left"/>
      <w:pPr>
        <w:tabs>
          <w:tab w:val="num" w:pos="1134"/>
        </w:tabs>
        <w:ind w:left="1134" w:hanging="283"/>
      </w:pPr>
      <w:rPr>
        <w:rFonts w:ascii="Symbol" w:hAnsi="Symbol" w:hint="default"/>
      </w:rPr>
    </w:lvl>
  </w:abstractNum>
  <w:num w:numId="1">
    <w:abstractNumId w:val="15"/>
  </w:num>
  <w:num w:numId="2">
    <w:abstractNumId w:val="6"/>
  </w:num>
  <w:num w:numId="3">
    <w:abstractNumId w:val="20"/>
  </w:num>
  <w:num w:numId="4">
    <w:abstractNumId w:val="18"/>
  </w:num>
  <w:num w:numId="5">
    <w:abstractNumId w:val="14"/>
  </w:num>
  <w:num w:numId="6">
    <w:abstractNumId w:val="24"/>
  </w:num>
  <w:num w:numId="7">
    <w:abstractNumId w:val="29"/>
  </w:num>
  <w:num w:numId="8">
    <w:abstractNumId w:val="28"/>
  </w:num>
  <w:num w:numId="9">
    <w:abstractNumId w:val="32"/>
  </w:num>
  <w:num w:numId="10">
    <w:abstractNumId w:val="8"/>
  </w:num>
  <w:num w:numId="11">
    <w:abstractNumId w:val="7"/>
  </w:num>
  <w:num w:numId="12">
    <w:abstractNumId w:val="21"/>
  </w:num>
  <w:num w:numId="13">
    <w:abstractNumId w:val="9"/>
  </w:num>
  <w:num w:numId="14">
    <w:abstractNumId w:val="16"/>
  </w:num>
  <w:num w:numId="15">
    <w:abstractNumId w:val="23"/>
  </w:num>
  <w:num w:numId="16">
    <w:abstractNumId w:val="19"/>
  </w:num>
  <w:num w:numId="17">
    <w:abstractNumId w:val="31"/>
  </w:num>
  <w:num w:numId="18">
    <w:abstractNumId w:val="5"/>
  </w:num>
  <w:num w:numId="19">
    <w:abstractNumId w:val="1"/>
  </w:num>
  <w:num w:numId="20">
    <w:abstractNumId w:val="0"/>
  </w:num>
  <w:num w:numId="21">
    <w:abstractNumId w:val="26"/>
  </w:num>
  <w:num w:numId="22">
    <w:abstractNumId w:val="25"/>
  </w:num>
  <w:num w:numId="23">
    <w:abstractNumId w:val="2"/>
  </w:num>
  <w:num w:numId="24">
    <w:abstractNumId w:val="11"/>
  </w:num>
  <w:num w:numId="25">
    <w:abstractNumId w:val="34"/>
  </w:num>
  <w:num w:numId="26">
    <w:abstractNumId w:val="13"/>
  </w:num>
  <w:num w:numId="27">
    <w:abstractNumId w:val="22"/>
  </w:num>
  <w:num w:numId="28">
    <w:abstractNumId w:val="17"/>
  </w:num>
  <w:num w:numId="29">
    <w:abstractNumId w:val="30"/>
  </w:num>
  <w:num w:numId="30">
    <w:abstractNumId w:val="33"/>
  </w:num>
  <w:num w:numId="31">
    <w:abstractNumId w:val="27"/>
  </w:num>
  <w:num w:numId="32">
    <w:abstractNumId w:val="10"/>
  </w:num>
  <w:num w:numId="33">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characterSpacingControl w:val="doNotCompres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VERPAGE_EXISTS" w:val="True"/>
    <w:docVar w:name="DocStatus" w:val="Red"/>
    <w:docVar w:name="LW_CONFIDENCE" w:val=" "/>
    <w:docVar w:name="LW_CONST_RESTREINT_UE" w:val="RESTREINT UE"/>
    <w:docVar w:name="LW_CORRIGENDUM" w:val="&lt;UNUSED&gt;"/>
    <w:docVar w:name="LW_COVERPAGE_GUID" w:val="8716F34B71724D80BCC5CD781155DD42"/>
    <w:docVar w:name="LW_CROSSREFERENCE" w:val="&lt;UNUSED&gt;"/>
    <w:docVar w:name="LW_DocType" w:val="NORMAL"/>
    <w:docVar w:name="LW_EMISSION" w:val="18.12.2015"/>
    <w:docVar w:name="LW_EMISSION_ISODATE" w:val="2015-12-18"/>
    <w:docVar w:name="LW_EMISSION_LOCATION" w:val="BRX"/>
    <w:docVar w:name="LW_EMISSION_PREFIX" w:val="Bryssel "/>
    <w:docVar w:name="LW_EMISSION_SUFFIX" w:val=" "/>
    <w:docVar w:name="LW_ID_DOCTYPE_NONLW" w:val="CP-006"/>
    <w:docVar w:name="LW_LANGUE" w:val="FI"/>
    <w:docVar w:name="LW_MARKING" w:val="&lt;UNUSED&gt;"/>
    <w:docVar w:name="LW_NOM.INST" w:val="EUROOPAN KOMISSIO"/>
    <w:docVar w:name="LW_NOM.INST_JOINTDOC" w:val="&lt;EMPTY&gt;"/>
    <w:docVar w:name="LW_PART_NBR" w:val="1"/>
    <w:docVar w:name="LW_PART_NBR_TOTAL" w:val="1"/>
    <w:docVar w:name="LW_REF.INST.NEW" w:val="COM"/>
    <w:docVar w:name="LW_REF.INST.NEW_ADOPTED" w:val="final"/>
    <w:docVar w:name="LW_REF.INST.NEW_TEXT" w:val="(2015) 680"/>
    <w:docVar w:name="LW_REF.INTERNE" w:val="&lt;UNUSED&gt;"/>
    <w:docVar w:name="LW_SOUS.TITRE.OBJ.CP" w:val="(ETA:n kannalta merkityksellinen teksti)"/>
    <w:docVar w:name="LW_SUPERTITRE" w:val="&lt;UNUSED&gt;"/>
    <w:docVar w:name="LW_TITRE.OBJ.CP" w:val=".eu-aluetunnuksen täytäntöönpanosta, tehokkuudesta ja toiminnasta"/>
    <w:docVar w:name="LW_TYPE.DOC.CP" w:val="KOMISSION KERTOMUS EUROOPAN PARLAMENTILLE JA NEUVOSTOLLE"/>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pPr>
      <w:spacing w:before="120" w:after="120"/>
      <w:jc w:val="both"/>
    </w:pPr>
    <w:rPr>
      <w:sz w:val="24"/>
      <w:szCs w:val="24"/>
      <w:lang w:val="fi-FI" w:eastAsia="fi-FI" w:bidi="fi-FI"/>
    </w:rPr>
  </w:style>
  <w:style w:type="paragraph" w:styleId="Heading1">
    <w:name w:val="heading 1"/>
    <w:basedOn w:val="Normal"/>
    <w:next w:val="Normal"/>
    <w:qFormat/>
    <w:pPr>
      <w:keepNext/>
      <w:numPr>
        <w:numId w:val="7"/>
      </w:numPr>
      <w:spacing w:before="360"/>
      <w:outlineLvl w:val="0"/>
    </w:pPr>
    <w:rPr>
      <w:b/>
      <w:bCs/>
      <w:smallCaps/>
      <w:szCs w:val="32"/>
    </w:rPr>
  </w:style>
  <w:style w:type="paragraph" w:styleId="Heading2">
    <w:name w:val="heading 2"/>
    <w:basedOn w:val="Normal"/>
    <w:next w:val="Normal"/>
    <w:qFormat/>
    <w:pPr>
      <w:keepNext/>
      <w:numPr>
        <w:ilvl w:val="1"/>
        <w:numId w:val="7"/>
      </w:numPr>
      <w:outlineLvl w:val="1"/>
    </w:pPr>
    <w:rPr>
      <w:b/>
      <w:bCs/>
      <w:iCs/>
      <w:szCs w:val="28"/>
    </w:rPr>
  </w:style>
  <w:style w:type="paragraph" w:styleId="Heading3">
    <w:name w:val="heading 3"/>
    <w:basedOn w:val="Normal"/>
    <w:next w:val="Normal"/>
    <w:qFormat/>
    <w:pPr>
      <w:keepNext/>
      <w:numPr>
        <w:ilvl w:val="2"/>
        <w:numId w:val="7"/>
      </w:numPr>
      <w:outlineLvl w:val="2"/>
    </w:pPr>
    <w:rPr>
      <w:bCs/>
      <w:i/>
      <w:szCs w:val="26"/>
    </w:rPr>
  </w:style>
  <w:style w:type="paragraph" w:styleId="Heading4">
    <w:name w:val="heading 4"/>
    <w:basedOn w:val="Normal"/>
    <w:next w:val="Normal"/>
    <w:qFormat/>
    <w:pPr>
      <w:keepNext/>
      <w:numPr>
        <w:ilvl w:val="3"/>
        <w:numId w:val="7"/>
      </w:numPr>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pPr>
      <w:spacing w:before="0" w:after="240"/>
      <w:jc w:val="center"/>
    </w:pPr>
    <w:rPr>
      <w:b/>
      <w:i/>
    </w:rPr>
  </w:style>
  <w:style w:type="paragraph" w:customStyle="1" w:styleId="AccompagnantPagedecouverture">
    <w:name w:val="Accompagnant (Page de couverture)"/>
    <w:basedOn w:val="Accompagnant"/>
    <w:next w:val="Normal"/>
  </w:style>
  <w:style w:type="character" w:customStyle="1" w:styleId="Added">
    <w:name w:val="Added"/>
    <w:rPr>
      <w:b/>
      <w:u w:val="single"/>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Annexetitre">
    <w:name w:val="Annexe titre"/>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Normal"/>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Bullet0">
    <w:name w:val="Bullet 0"/>
    <w:basedOn w:val="Normal"/>
    <w:pPr>
      <w:numPr>
        <w:numId w:val="1"/>
      </w:numPr>
    </w:pPr>
  </w:style>
  <w:style w:type="paragraph" w:customStyle="1" w:styleId="Bullet1">
    <w:name w:val="Bullet 1"/>
    <w:basedOn w:val="Normal"/>
    <w:pPr>
      <w:numPr>
        <w:numId w:val="2"/>
      </w:numPr>
    </w:pPr>
  </w:style>
  <w:style w:type="paragraph" w:customStyle="1" w:styleId="Bullet2">
    <w:name w:val="Bullet 2"/>
    <w:basedOn w:val="Normal"/>
    <w:pPr>
      <w:numPr>
        <w:numId w:val="3"/>
      </w:numPr>
    </w:pPr>
  </w:style>
  <w:style w:type="paragraph" w:customStyle="1" w:styleId="Bullet3">
    <w:name w:val="Bullet 3"/>
    <w:basedOn w:val="Normal"/>
    <w:pPr>
      <w:numPr>
        <w:numId w:val="4"/>
      </w:numPr>
    </w:pPr>
  </w:style>
  <w:style w:type="paragraph" w:customStyle="1" w:styleId="Bullet4">
    <w:name w:val="Bullet 4"/>
    <w:basedOn w:val="Normal"/>
    <w:pPr>
      <w:numPr>
        <w:numId w:val="5"/>
      </w:numPr>
    </w:pPr>
  </w:style>
  <w:style w:type="paragraph" w:customStyle="1" w:styleId="ChapterTitle">
    <w:name w:val="ChapterTitle"/>
    <w:basedOn w:val="Normal"/>
    <w:next w:val="Normal"/>
    <w:pPr>
      <w:keepNext/>
      <w:spacing w:after="360"/>
      <w:jc w:val="center"/>
    </w:pPr>
    <w:rPr>
      <w:b/>
      <w:sz w:val="32"/>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Normal"/>
    <w:pPr>
      <w:spacing w:before="240" w:after="240"/>
      <w:ind w:left="5103"/>
    </w:pPr>
    <w:rPr>
      <w:u w:val="single"/>
    </w:rPr>
  </w:style>
  <w:style w:type="paragraph" w:customStyle="1" w:styleId="Considrant">
    <w:name w:val="Considérant"/>
    <w:basedOn w:val="Normal"/>
    <w:pPr>
      <w:numPr>
        <w:numId w:val="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Normal"/>
    <w:pPr>
      <w:spacing w:before="360" w:after="0"/>
      <w:jc w:val="center"/>
    </w:pPr>
    <w:rPr>
      <w:b/>
    </w:rPr>
  </w:style>
  <w:style w:type="paragraph" w:customStyle="1" w:styleId="DatedadoptionPagedecouverture">
    <w:name w:val="Date d'adoption (Page de couverture)"/>
    <w:basedOn w:val="Datedadoption"/>
    <w:next w:val="Normal"/>
  </w:style>
  <w:style w:type="character" w:customStyle="1" w:styleId="Deleted">
    <w:name w:val="Deleted"/>
    <w:rPr>
      <w:strike/>
      <w:shd w:val="clear" w:color="auto" w:fill="auto"/>
    </w:rPr>
  </w:style>
  <w:style w:type="paragraph" w:customStyle="1" w:styleId="Emission">
    <w:name w:val="Emission"/>
    <w:basedOn w:val="Normal"/>
    <w:next w:val="Normal"/>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Normal"/>
    <w:pPr>
      <w:keepNext/>
      <w:spacing w:after="0"/>
    </w:pPr>
  </w:style>
  <w:style w:type="paragraph" w:customStyle="1" w:styleId="Fichefinanciretitre">
    <w:name w:val="Fiche financière titre"/>
    <w:basedOn w:val="Normal"/>
    <w:next w:val="Normal"/>
    <w:pPr>
      <w:jc w:val="center"/>
    </w:pPr>
    <w:rPr>
      <w:b/>
      <w:u w:val="single"/>
    </w:rPr>
  </w:style>
  <w:style w:type="paragraph" w:styleId="Footer">
    <w:name w:val="footer"/>
    <w:basedOn w:val="Normal"/>
    <w:link w:val="FooterChar"/>
    <w:uiPriority w:val="99"/>
    <w:pPr>
      <w:tabs>
        <w:tab w:val="center" w:pos="4535"/>
        <w:tab w:val="right" w:pos="9071"/>
        <w:tab w:val="right" w:pos="9921"/>
      </w:tabs>
      <w:spacing w:before="360" w:after="0"/>
      <w:ind w:left="-850" w:right="-850"/>
      <w:jc w:val="left"/>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semiHidden/>
    <w:rPr>
      <w:shd w:val="clear" w:color="auto" w:fill="auto"/>
      <w:vertAlign w:val="superscript"/>
    </w:rPr>
  </w:style>
  <w:style w:type="paragraph" w:styleId="FootnoteText">
    <w:name w:val="footnote text"/>
    <w:basedOn w:val="Normal"/>
    <w:semiHidden/>
    <w:pPr>
      <w:spacing w:before="0" w:after="0"/>
      <w:ind w:left="720" w:hanging="720"/>
    </w:pPr>
    <w:rPr>
      <w:sz w:val="20"/>
      <w:szCs w:val="20"/>
    </w:rPr>
  </w:style>
  <w:style w:type="paragraph" w:customStyle="1" w:styleId="Formuledadoption">
    <w:name w:val="Formule d'adoption"/>
    <w:basedOn w:val="Normal"/>
    <w:next w:val="Normal"/>
    <w:pPr>
      <w:keepNext/>
    </w:pPr>
  </w:style>
  <w:style w:type="paragraph" w:styleId="Header">
    <w:name w:val="header"/>
    <w:basedOn w:val="Normal"/>
    <w:pPr>
      <w:tabs>
        <w:tab w:val="center" w:pos="4535"/>
        <w:tab w:val="right" w:pos="9071"/>
      </w:tabs>
    </w:pPr>
  </w:style>
  <w:style w:type="paragraph" w:customStyle="1" w:styleId="HeaderLandscape">
    <w:name w:val="HeaderLandscape"/>
    <w:basedOn w:val="Normal"/>
    <w:pPr>
      <w:tabs>
        <w:tab w:val="center" w:pos="7285"/>
        <w:tab w:val="right" w:pos="14003"/>
      </w:tabs>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Normal"/>
    <w:pPr>
      <w:keepNext/>
      <w:tabs>
        <w:tab w:val="left" w:pos="4252"/>
      </w:tabs>
      <w:spacing w:before="720" w:after="0"/>
    </w:pPr>
    <w:rPr>
      <w:i/>
    </w:rPr>
  </w:style>
  <w:style w:type="paragraph" w:customStyle="1" w:styleId="Languesfaisantfoi">
    <w:name w:val="Langues faisant foi"/>
    <w:basedOn w:val="Normal"/>
    <w:next w:val="Normal"/>
    <w:pPr>
      <w:spacing w:before="360" w:after="0"/>
      <w:jc w:val="center"/>
    </w:pPr>
  </w:style>
  <w:style w:type="paragraph" w:customStyle="1" w:styleId="IntrtEEE">
    <w:name w:val="Intérêt EEE"/>
    <w:basedOn w:val="Languesfaisantfoi"/>
    <w:next w:val="Normal"/>
    <w:pPr>
      <w:spacing w:after="240"/>
    </w:pPr>
  </w:style>
  <w:style w:type="paragraph" w:customStyle="1" w:styleId="IntrtEEEPagedecouverture">
    <w:name w:val="Intérêt EEE (Page de couverture)"/>
    <w:basedOn w:val="IntrtEEE"/>
    <w:next w:val="Normal"/>
  </w:style>
  <w:style w:type="paragraph" w:customStyle="1" w:styleId="Langue">
    <w:name w:val="Langue"/>
    <w:basedOn w:val="Normal"/>
    <w:next w:val="Normal"/>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pPr>
      <w:spacing w:before="360" w:after="0"/>
      <w:jc w:val="center"/>
    </w:pPr>
  </w:style>
  <w:style w:type="paragraph" w:customStyle="1" w:styleId="ManualConsidrant">
    <w:name w:val="Manual Considérant"/>
    <w:basedOn w:val="Normal"/>
    <w:pPr>
      <w:ind w:left="709" w:hanging="709"/>
    </w:pPr>
  </w:style>
  <w:style w:type="paragraph" w:customStyle="1" w:styleId="ManualHeading1">
    <w:name w:val="Manual Heading 1"/>
    <w:basedOn w:val="Normal"/>
    <w:next w:val="Normal"/>
    <w:pPr>
      <w:keepNext/>
      <w:tabs>
        <w:tab w:val="left" w:pos="850"/>
      </w:tabs>
      <w:spacing w:before="360"/>
      <w:ind w:left="850" w:hanging="850"/>
      <w:outlineLvl w:val="0"/>
    </w:pPr>
    <w:rPr>
      <w:b/>
      <w:smallCaps/>
    </w:rPr>
  </w:style>
  <w:style w:type="paragraph" w:customStyle="1" w:styleId="ManualHeading2">
    <w:name w:val="Manual Heading 2"/>
    <w:basedOn w:val="Normal"/>
    <w:next w:val="Normal"/>
    <w:pPr>
      <w:keepNext/>
      <w:tabs>
        <w:tab w:val="left" w:pos="850"/>
      </w:tabs>
      <w:ind w:left="850" w:hanging="850"/>
      <w:outlineLvl w:val="1"/>
    </w:pPr>
    <w:rPr>
      <w:b/>
    </w:rPr>
  </w:style>
  <w:style w:type="paragraph" w:customStyle="1" w:styleId="ManualHeading3">
    <w:name w:val="Manual Heading 3"/>
    <w:basedOn w:val="Normal"/>
    <w:next w:val="Normal"/>
    <w:pPr>
      <w:keepNext/>
      <w:tabs>
        <w:tab w:val="left" w:pos="850"/>
      </w:tabs>
      <w:ind w:left="850" w:hanging="850"/>
      <w:outlineLvl w:val="2"/>
    </w:pPr>
    <w:rPr>
      <w:i/>
    </w:rPr>
  </w:style>
  <w:style w:type="paragraph" w:customStyle="1" w:styleId="ManualHeading4">
    <w:name w:val="Manual Heading 4"/>
    <w:basedOn w:val="Normal"/>
    <w:next w:val="Normal"/>
    <w:pPr>
      <w:keepNext/>
      <w:tabs>
        <w:tab w:val="left" w:pos="850"/>
      </w:tabs>
      <w:ind w:left="850" w:hanging="850"/>
      <w:outlineLvl w:val="3"/>
    </w:pPr>
  </w:style>
  <w:style w:type="paragraph" w:customStyle="1" w:styleId="ManualNumPar1">
    <w:name w:val="Manual NumPar 1"/>
    <w:basedOn w:val="Normal"/>
    <w:next w:val="Normal"/>
    <w:pPr>
      <w:ind w:left="850" w:hanging="850"/>
    </w:pPr>
  </w:style>
  <w:style w:type="paragraph" w:customStyle="1" w:styleId="ManualNumPar2">
    <w:name w:val="Manual NumPar 2"/>
    <w:basedOn w:val="Normal"/>
    <w:next w:val="Normal"/>
    <w:pPr>
      <w:ind w:left="850" w:hanging="850"/>
    </w:pPr>
  </w:style>
  <w:style w:type="paragraph" w:customStyle="1" w:styleId="ManualNumPar3">
    <w:name w:val="Manual NumPar 3"/>
    <w:basedOn w:val="Normal"/>
    <w:next w:val="Normal"/>
    <w:pPr>
      <w:ind w:left="850" w:hanging="850"/>
    </w:pPr>
  </w:style>
  <w:style w:type="paragraph" w:customStyle="1" w:styleId="ManualNumPar4">
    <w:name w:val="Manual NumPar 4"/>
    <w:basedOn w:val="Normal"/>
    <w:next w:val="Normal"/>
    <w:pPr>
      <w:ind w:left="850" w:hanging="850"/>
    </w:p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NumPar1">
    <w:name w:val="NumPar 1"/>
    <w:basedOn w:val="Normal"/>
    <w:next w:val="Normal"/>
    <w:pPr>
      <w:numPr>
        <w:numId w:val="8"/>
      </w:numPr>
    </w:pPr>
  </w:style>
  <w:style w:type="paragraph" w:customStyle="1" w:styleId="NumPar2">
    <w:name w:val="NumPar 2"/>
    <w:basedOn w:val="Normal"/>
    <w:next w:val="Normal"/>
    <w:pPr>
      <w:numPr>
        <w:ilvl w:val="1"/>
        <w:numId w:val="8"/>
      </w:numPr>
    </w:pPr>
  </w:style>
  <w:style w:type="paragraph" w:customStyle="1" w:styleId="NumPar3">
    <w:name w:val="NumPar 3"/>
    <w:basedOn w:val="Normal"/>
    <w:next w:val="Normal"/>
    <w:pPr>
      <w:numPr>
        <w:ilvl w:val="2"/>
        <w:numId w:val="8"/>
      </w:numPr>
    </w:pPr>
  </w:style>
  <w:style w:type="paragraph" w:customStyle="1" w:styleId="NumPar4">
    <w:name w:val="NumPar 4"/>
    <w:basedOn w:val="Normal"/>
    <w:next w:val="Normal"/>
    <w:pPr>
      <w:numPr>
        <w:ilvl w:val="3"/>
        <w:numId w:val="8"/>
      </w:numPr>
    </w:pPr>
  </w:style>
  <w:style w:type="paragraph" w:customStyle="1" w:styleId="Objetacteprincipal">
    <w:name w:val="Objet acte principal"/>
    <w:basedOn w:val="Normal"/>
    <w:next w:val="Normal"/>
    <w:pPr>
      <w:spacing w:before="0" w:after="360"/>
      <w:jc w:val="center"/>
    </w:pPr>
    <w:rPr>
      <w:b/>
    </w:rPr>
  </w:style>
  <w:style w:type="paragraph" w:customStyle="1" w:styleId="ObjetacteprincipalPagedecouverture">
    <w:name w:val="Objet acte principal (Page de couverture)"/>
    <w:basedOn w:val="Objetacteprincipal"/>
    <w:next w:val="Normal"/>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style>
  <w:style w:type="paragraph" w:customStyle="1" w:styleId="PartTitle">
    <w:name w:val="PartTitle"/>
    <w:basedOn w:val="Normal"/>
    <w:next w:val="ChapterTitle"/>
    <w:pPr>
      <w:keepNext/>
      <w:pageBreakBefore/>
      <w:spacing w:after="360"/>
      <w:jc w:val="center"/>
    </w:pPr>
    <w:rPr>
      <w:b/>
      <w:sz w:val="36"/>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Point0">
    <w:name w:val="Point 0"/>
    <w:basedOn w:val="Normal"/>
    <w:pPr>
      <w:ind w:left="850" w:hanging="850"/>
    </w:pPr>
  </w:style>
  <w:style w:type="paragraph" w:customStyle="1" w:styleId="Point0letter">
    <w:name w:val="Point 0 (letter)"/>
    <w:basedOn w:val="Normal"/>
    <w:pPr>
      <w:numPr>
        <w:ilvl w:val="1"/>
        <w:numId w:val="9"/>
      </w:numPr>
    </w:pPr>
  </w:style>
  <w:style w:type="paragraph" w:customStyle="1" w:styleId="Point0number">
    <w:name w:val="Point 0 (number)"/>
    <w:basedOn w:val="Normal"/>
    <w:pPr>
      <w:numPr>
        <w:numId w:val="9"/>
      </w:numPr>
    </w:pPr>
  </w:style>
  <w:style w:type="paragraph" w:customStyle="1" w:styleId="Point1">
    <w:name w:val="Point 1"/>
    <w:basedOn w:val="Normal"/>
    <w:pPr>
      <w:ind w:left="1417" w:hanging="567"/>
    </w:pPr>
  </w:style>
  <w:style w:type="paragraph" w:customStyle="1" w:styleId="Point1letter">
    <w:name w:val="Point 1 (letter)"/>
    <w:basedOn w:val="Normal"/>
    <w:pPr>
      <w:numPr>
        <w:ilvl w:val="3"/>
        <w:numId w:val="9"/>
      </w:numPr>
    </w:pPr>
  </w:style>
  <w:style w:type="paragraph" w:customStyle="1" w:styleId="Point1number">
    <w:name w:val="Point 1 (number)"/>
    <w:basedOn w:val="Normal"/>
    <w:pPr>
      <w:numPr>
        <w:ilvl w:val="2"/>
        <w:numId w:val="9"/>
      </w:numPr>
    </w:pPr>
  </w:style>
  <w:style w:type="paragraph" w:customStyle="1" w:styleId="Point2">
    <w:name w:val="Point 2"/>
    <w:basedOn w:val="Normal"/>
    <w:pPr>
      <w:ind w:left="1984" w:hanging="567"/>
    </w:pPr>
  </w:style>
  <w:style w:type="paragraph" w:customStyle="1" w:styleId="Point2letter">
    <w:name w:val="Point 2 (letter)"/>
    <w:basedOn w:val="Normal"/>
    <w:pPr>
      <w:numPr>
        <w:ilvl w:val="5"/>
        <w:numId w:val="9"/>
      </w:numPr>
    </w:pPr>
  </w:style>
  <w:style w:type="paragraph" w:customStyle="1" w:styleId="Point2number">
    <w:name w:val="Point 2 (number)"/>
    <w:basedOn w:val="Normal"/>
    <w:pPr>
      <w:numPr>
        <w:ilvl w:val="4"/>
        <w:numId w:val="9"/>
      </w:numPr>
    </w:pPr>
  </w:style>
  <w:style w:type="paragraph" w:customStyle="1" w:styleId="Point3">
    <w:name w:val="Point 3"/>
    <w:basedOn w:val="Normal"/>
    <w:pPr>
      <w:ind w:left="2551" w:hanging="567"/>
    </w:pPr>
  </w:style>
  <w:style w:type="paragraph" w:customStyle="1" w:styleId="Point3letter">
    <w:name w:val="Point 3 (letter)"/>
    <w:basedOn w:val="Normal"/>
    <w:pPr>
      <w:numPr>
        <w:ilvl w:val="7"/>
        <w:numId w:val="9"/>
      </w:numPr>
    </w:pPr>
  </w:style>
  <w:style w:type="paragraph" w:customStyle="1" w:styleId="Point3number">
    <w:name w:val="Point 3 (number)"/>
    <w:basedOn w:val="Normal"/>
    <w:pPr>
      <w:numPr>
        <w:ilvl w:val="6"/>
        <w:numId w:val="9"/>
      </w:numPr>
    </w:pPr>
  </w:style>
  <w:style w:type="paragraph" w:customStyle="1" w:styleId="Point4">
    <w:name w:val="Point 4"/>
    <w:basedOn w:val="Normal"/>
    <w:pPr>
      <w:ind w:left="3118" w:hanging="567"/>
    </w:pPr>
  </w:style>
  <w:style w:type="paragraph" w:customStyle="1" w:styleId="Point4letter">
    <w:name w:val="Point 4 (letter)"/>
    <w:basedOn w:val="Normal"/>
    <w:pPr>
      <w:numPr>
        <w:ilvl w:val="8"/>
        <w:numId w:val="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QuotedNumPar">
    <w:name w:val="Quoted NumPar"/>
    <w:basedOn w:val="Normal"/>
    <w:pPr>
      <w:ind w:left="1417" w:hanging="567"/>
    </w:pPr>
  </w:style>
  <w:style w:type="paragraph" w:customStyle="1" w:styleId="QuotedText">
    <w:name w:val="Quoted Text"/>
    <w:basedOn w:val="Normal"/>
    <w:pPr>
      <w:ind w:left="1417"/>
    </w:pPr>
  </w:style>
  <w:style w:type="paragraph" w:customStyle="1" w:styleId="Rfrencecroise">
    <w:name w:val="Référence croisée"/>
    <w:basedOn w:val="Normal"/>
    <w:pPr>
      <w:spacing w:before="0" w:after="0"/>
      <w:jc w:val="center"/>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Normal"/>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style>
  <w:style w:type="paragraph" w:customStyle="1" w:styleId="Rfrenceinterne">
    <w:name w:val="Référence interne"/>
    <w:basedOn w:val="Normal"/>
    <w:next w:val="Rfrenceinterinstitutionnelle"/>
    <w:pPr>
      <w:spacing w:before="0" w:after="0"/>
      <w:ind w:left="5103"/>
      <w:jc w:val="left"/>
    </w:pPr>
  </w:style>
  <w:style w:type="paragraph" w:customStyle="1" w:styleId="SectionTitle">
    <w:name w:val="SectionTitle"/>
    <w:basedOn w:val="Normal"/>
    <w:next w:val="Heading1"/>
    <w:pPr>
      <w:keepNext/>
      <w:spacing w:after="360"/>
      <w:jc w:val="center"/>
    </w:pPr>
    <w:rPr>
      <w:b/>
      <w:smallCaps/>
      <w:sz w:val="28"/>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Statut">
    <w:name w:val="Statut"/>
    <w:basedOn w:val="Normal"/>
    <w:next w:val="Normal"/>
    <w:pPr>
      <w:spacing w:before="360" w:after="0"/>
      <w:jc w:val="center"/>
    </w:pPr>
  </w:style>
  <w:style w:type="paragraph" w:customStyle="1" w:styleId="StatutPagedecouverture">
    <w:name w:val="Statut (Page de couverture)"/>
    <w:basedOn w:val="Statut"/>
    <w:next w:val="Normal"/>
  </w:style>
  <w:style w:type="paragraph" w:customStyle="1" w:styleId="Supertitre">
    <w:name w:val="Supertitre"/>
    <w:basedOn w:val="Normal"/>
    <w:next w:val="Normal"/>
    <w:pPr>
      <w:spacing w:before="0" w:after="600"/>
      <w:jc w:val="center"/>
    </w:pPr>
    <w:rPr>
      <w:b/>
    </w:rPr>
  </w:style>
  <w:style w:type="paragraph" w:customStyle="1" w:styleId="TableTitle">
    <w:name w:val="Table Title"/>
    <w:basedOn w:val="Normal"/>
    <w:next w:val="Normal"/>
    <w:pPr>
      <w:jc w:val="center"/>
    </w:pPr>
    <w:rPr>
      <w:b/>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agedecouverture">
    <w:name w:val="Titre objet (Page de couverture)"/>
    <w:basedOn w:val="Titreobjet"/>
    <w:next w:val="Sous-titreobjetPagedecouverture"/>
  </w:style>
  <w:style w:type="paragraph" w:styleId="TOC1">
    <w:name w:val="toc 1"/>
    <w:basedOn w:val="Normal"/>
    <w:next w:val="Normal"/>
    <w:semiHidden/>
    <w:pPr>
      <w:tabs>
        <w:tab w:val="right" w:leader="dot" w:pos="9071"/>
      </w:tabs>
      <w:spacing w:before="60"/>
      <w:ind w:left="850" w:hanging="850"/>
      <w:jc w:val="left"/>
    </w:pPr>
  </w:style>
  <w:style w:type="paragraph" w:styleId="TOC2">
    <w:name w:val="toc 2"/>
    <w:basedOn w:val="Normal"/>
    <w:next w:val="Normal"/>
    <w:semiHidden/>
    <w:pPr>
      <w:tabs>
        <w:tab w:val="right" w:leader="dot" w:pos="9071"/>
      </w:tabs>
      <w:spacing w:before="60"/>
      <w:ind w:left="850" w:hanging="850"/>
      <w:jc w:val="left"/>
    </w:pPr>
  </w:style>
  <w:style w:type="paragraph" w:styleId="TOC3">
    <w:name w:val="toc 3"/>
    <w:basedOn w:val="Normal"/>
    <w:next w:val="Normal"/>
    <w:semiHidden/>
    <w:pPr>
      <w:tabs>
        <w:tab w:val="right" w:leader="dot" w:pos="9071"/>
      </w:tabs>
      <w:spacing w:before="60"/>
      <w:ind w:left="850" w:hanging="850"/>
      <w:jc w:val="left"/>
    </w:pPr>
  </w:style>
  <w:style w:type="paragraph" w:styleId="TOC4">
    <w:name w:val="toc 4"/>
    <w:basedOn w:val="Normal"/>
    <w:next w:val="Normal"/>
    <w:semiHidden/>
    <w:pPr>
      <w:tabs>
        <w:tab w:val="right" w:leader="dot" w:pos="9071"/>
      </w:tabs>
      <w:spacing w:before="60"/>
      <w:ind w:left="850" w:hanging="850"/>
      <w:jc w:val="left"/>
    </w:pPr>
  </w:style>
  <w:style w:type="paragraph" w:styleId="TOC5">
    <w:name w:val="toc 5"/>
    <w:basedOn w:val="Normal"/>
    <w:next w:val="Normal"/>
    <w:semiHidden/>
    <w:pPr>
      <w:tabs>
        <w:tab w:val="right" w:leader="dot" w:pos="9071"/>
      </w:tabs>
      <w:spacing w:before="300"/>
      <w:jc w:val="left"/>
    </w:pPr>
  </w:style>
  <w:style w:type="paragraph" w:styleId="TOC6">
    <w:name w:val="toc 6"/>
    <w:basedOn w:val="Normal"/>
    <w:next w:val="Normal"/>
    <w:semiHidden/>
    <w:pPr>
      <w:tabs>
        <w:tab w:val="right" w:leader="dot" w:pos="9071"/>
      </w:tabs>
      <w:spacing w:before="240"/>
      <w:jc w:val="left"/>
    </w:pPr>
  </w:style>
  <w:style w:type="paragraph" w:styleId="TOC7">
    <w:name w:val="toc 7"/>
    <w:basedOn w:val="Normal"/>
    <w:next w:val="Normal"/>
    <w:semiHidden/>
    <w:pPr>
      <w:tabs>
        <w:tab w:val="right" w:leader="dot" w:pos="9071"/>
      </w:tabs>
      <w:spacing w:before="180"/>
      <w:jc w:val="left"/>
    </w:pPr>
  </w:style>
  <w:style w:type="paragraph" w:styleId="TOC8">
    <w:name w:val="toc 8"/>
    <w:basedOn w:val="Normal"/>
    <w:next w:val="Normal"/>
    <w:semiHidden/>
    <w:pPr>
      <w:tabs>
        <w:tab w:val="right" w:leader="dot" w:pos="9071"/>
      </w:tabs>
      <w:jc w:val="left"/>
    </w:pPr>
  </w:style>
  <w:style w:type="paragraph" w:styleId="TOC9">
    <w:name w:val="toc 9"/>
    <w:basedOn w:val="Normal"/>
    <w:next w:val="Normal"/>
    <w:semiHidden/>
    <w:pPr>
      <w:tabs>
        <w:tab w:val="right" w:leader="dot" w:pos="9071"/>
      </w:tabs>
    </w:pPr>
  </w:style>
  <w:style w:type="paragraph" w:styleId="TOCHeading">
    <w:name w:val="TOC Heading"/>
    <w:basedOn w:val="Normal"/>
    <w:next w:val="Normal"/>
    <w:qFormat/>
    <w:pPr>
      <w:spacing w:after="240"/>
      <w:jc w:val="center"/>
    </w:pPr>
    <w:rPr>
      <w:b/>
      <w:sz w:val="28"/>
    </w:rPr>
  </w:style>
  <w:style w:type="paragraph" w:customStyle="1" w:styleId="Typeacteprincipal">
    <w:name w:val="Type acte principal"/>
    <w:basedOn w:val="Normal"/>
    <w:next w:val="Objetacteprincipal"/>
    <w:pPr>
      <w:spacing w:before="0" w:after="240"/>
      <w:jc w:val="center"/>
    </w:pPr>
    <w:rPr>
      <w:b/>
    </w:rPr>
  </w:style>
  <w:style w:type="paragraph" w:customStyle="1" w:styleId="TypeacteprincipalPagedecouverture">
    <w:name w:val="Type acte principal (Page de couverture)"/>
    <w:basedOn w:val="Typeacteprincipal"/>
    <w:next w:val="ObjetacteprincipalPagedecouverture"/>
  </w:style>
  <w:style w:type="paragraph" w:customStyle="1" w:styleId="Typedudocument">
    <w:name w:val="Type du document"/>
    <w:basedOn w:val="Normal"/>
    <w:next w:val="Titreobjet"/>
    <w:link w:val="TypedudocumentChar"/>
    <w:pPr>
      <w:spacing w:before="360" w:after="0"/>
      <w:jc w:val="center"/>
    </w:pPr>
    <w:rPr>
      <w:b/>
    </w:rPr>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styleId="ListBullet">
    <w:name w:val="List Bullet"/>
    <w:basedOn w:val="Normal"/>
    <w:pPr>
      <w:numPr>
        <w:numId w:val="21"/>
      </w:numPr>
    </w:pPr>
  </w:style>
  <w:style w:type="paragraph" w:styleId="ListBullet2">
    <w:name w:val="List Bullet 2"/>
    <w:basedOn w:val="Normal"/>
    <w:pPr>
      <w:numPr>
        <w:numId w:val="23"/>
      </w:numPr>
    </w:pPr>
  </w:style>
  <w:style w:type="paragraph" w:styleId="ListBullet3">
    <w:name w:val="List Bullet 3"/>
    <w:basedOn w:val="Normal"/>
    <w:pPr>
      <w:numPr>
        <w:numId w:val="24"/>
      </w:numPr>
    </w:pPr>
  </w:style>
  <w:style w:type="paragraph" w:styleId="ListBullet4">
    <w:name w:val="List Bullet 4"/>
    <w:basedOn w:val="Normal"/>
    <w:pPr>
      <w:numPr>
        <w:numId w:val="25"/>
      </w:numPr>
    </w:pPr>
  </w:style>
  <w:style w:type="paragraph" w:styleId="ListNumber">
    <w:name w:val="List Number"/>
    <w:basedOn w:val="Normal"/>
    <w:pPr>
      <w:numPr>
        <w:numId w:val="16"/>
      </w:numPr>
    </w:pPr>
  </w:style>
  <w:style w:type="paragraph" w:styleId="ListNumber2">
    <w:name w:val="List Number 2"/>
    <w:basedOn w:val="Normal"/>
    <w:pPr>
      <w:numPr>
        <w:numId w:val="18"/>
      </w:numPr>
    </w:pPr>
  </w:style>
  <w:style w:type="paragraph" w:styleId="ListNumber3">
    <w:name w:val="List Number 3"/>
    <w:basedOn w:val="Normal"/>
    <w:pPr>
      <w:numPr>
        <w:numId w:val="19"/>
      </w:numPr>
    </w:pPr>
  </w:style>
  <w:style w:type="paragraph" w:styleId="ListNumber4">
    <w:name w:val="List Number 4"/>
    <w:basedOn w:val="Normal"/>
    <w:pPr>
      <w:numPr>
        <w:numId w:val="20"/>
      </w:numPr>
    </w:pPr>
  </w:style>
  <w:style w:type="paragraph" w:customStyle="1" w:styleId="ListBullet1">
    <w:name w:val="List Bullet 1"/>
    <w:basedOn w:val="Normal"/>
    <w:pPr>
      <w:numPr>
        <w:numId w:val="22"/>
      </w:numPr>
    </w:pPr>
  </w:style>
  <w:style w:type="paragraph" w:customStyle="1" w:styleId="ListDash">
    <w:name w:val="List Dash"/>
    <w:basedOn w:val="Normal"/>
    <w:pPr>
      <w:numPr>
        <w:numId w:val="26"/>
      </w:numPr>
    </w:pPr>
  </w:style>
  <w:style w:type="paragraph" w:customStyle="1" w:styleId="ListDash1">
    <w:name w:val="List Dash 1"/>
    <w:basedOn w:val="Normal"/>
    <w:pPr>
      <w:numPr>
        <w:numId w:val="27"/>
      </w:numPr>
    </w:pPr>
  </w:style>
  <w:style w:type="paragraph" w:customStyle="1" w:styleId="ListDash2">
    <w:name w:val="List Dash 2"/>
    <w:basedOn w:val="Normal"/>
    <w:pPr>
      <w:numPr>
        <w:numId w:val="28"/>
      </w:numPr>
    </w:pPr>
  </w:style>
  <w:style w:type="paragraph" w:customStyle="1" w:styleId="ListDash3">
    <w:name w:val="List Dash 3"/>
    <w:basedOn w:val="Normal"/>
    <w:pPr>
      <w:numPr>
        <w:numId w:val="29"/>
      </w:numPr>
    </w:pPr>
  </w:style>
  <w:style w:type="paragraph" w:customStyle="1" w:styleId="ListDash4">
    <w:name w:val="List Dash 4"/>
    <w:basedOn w:val="Normal"/>
    <w:pPr>
      <w:numPr>
        <w:numId w:val="30"/>
      </w:numPr>
    </w:pPr>
  </w:style>
  <w:style w:type="paragraph" w:customStyle="1" w:styleId="ListNumber1">
    <w:name w:val="List Number 1"/>
    <w:basedOn w:val="Text1"/>
    <w:pPr>
      <w:numPr>
        <w:numId w:val="17"/>
      </w:numPr>
    </w:pPr>
  </w:style>
  <w:style w:type="paragraph" w:customStyle="1" w:styleId="ListNumberLevel2">
    <w:name w:val="List Number (Level 2)"/>
    <w:basedOn w:val="Normal"/>
    <w:pPr>
      <w:numPr>
        <w:ilvl w:val="1"/>
        <w:numId w:val="16"/>
      </w:numPr>
    </w:pPr>
  </w:style>
  <w:style w:type="paragraph" w:customStyle="1" w:styleId="ListNumber1Level2">
    <w:name w:val="List Number 1 (Level 2)"/>
    <w:basedOn w:val="Text1"/>
    <w:pPr>
      <w:numPr>
        <w:ilvl w:val="1"/>
        <w:numId w:val="17"/>
      </w:numPr>
    </w:pPr>
  </w:style>
  <w:style w:type="paragraph" w:customStyle="1" w:styleId="ListNumber2Level2">
    <w:name w:val="List Number 2 (Level 2)"/>
    <w:basedOn w:val="Text2"/>
    <w:pPr>
      <w:numPr>
        <w:ilvl w:val="1"/>
        <w:numId w:val="18"/>
      </w:numPr>
    </w:pPr>
  </w:style>
  <w:style w:type="paragraph" w:customStyle="1" w:styleId="ListNumber3Level2">
    <w:name w:val="List Number 3 (Level 2)"/>
    <w:basedOn w:val="Text3"/>
    <w:pPr>
      <w:numPr>
        <w:ilvl w:val="1"/>
        <w:numId w:val="19"/>
      </w:numPr>
    </w:pPr>
  </w:style>
  <w:style w:type="paragraph" w:customStyle="1" w:styleId="ListNumber4Level2">
    <w:name w:val="List Number 4 (Level 2)"/>
    <w:basedOn w:val="Text4"/>
    <w:pPr>
      <w:numPr>
        <w:ilvl w:val="1"/>
        <w:numId w:val="20"/>
      </w:numPr>
    </w:pPr>
  </w:style>
  <w:style w:type="paragraph" w:customStyle="1" w:styleId="ListNumberLevel3">
    <w:name w:val="List Number (Level 3)"/>
    <w:basedOn w:val="Normal"/>
    <w:pPr>
      <w:numPr>
        <w:ilvl w:val="2"/>
        <w:numId w:val="16"/>
      </w:numPr>
    </w:pPr>
  </w:style>
  <w:style w:type="paragraph" w:customStyle="1" w:styleId="ListNumber1Level3">
    <w:name w:val="List Number 1 (Level 3)"/>
    <w:basedOn w:val="Text1"/>
    <w:pPr>
      <w:numPr>
        <w:ilvl w:val="2"/>
        <w:numId w:val="17"/>
      </w:numPr>
    </w:pPr>
  </w:style>
  <w:style w:type="paragraph" w:customStyle="1" w:styleId="ListNumber2Level3">
    <w:name w:val="List Number 2 (Level 3)"/>
    <w:basedOn w:val="Text2"/>
    <w:pPr>
      <w:numPr>
        <w:ilvl w:val="2"/>
        <w:numId w:val="18"/>
      </w:numPr>
    </w:pPr>
  </w:style>
  <w:style w:type="paragraph" w:customStyle="1" w:styleId="ListNumber3Level3">
    <w:name w:val="List Number 3 (Level 3)"/>
    <w:basedOn w:val="Text3"/>
    <w:pPr>
      <w:numPr>
        <w:ilvl w:val="2"/>
        <w:numId w:val="19"/>
      </w:numPr>
    </w:pPr>
  </w:style>
  <w:style w:type="paragraph" w:customStyle="1" w:styleId="ListNumber4Level3">
    <w:name w:val="List Number 4 (Level 3)"/>
    <w:basedOn w:val="Text4"/>
    <w:pPr>
      <w:numPr>
        <w:ilvl w:val="2"/>
        <w:numId w:val="20"/>
      </w:numPr>
    </w:pPr>
  </w:style>
  <w:style w:type="paragraph" w:customStyle="1" w:styleId="ListNumberLevel4">
    <w:name w:val="List Number (Level 4)"/>
    <w:basedOn w:val="Normal"/>
    <w:pPr>
      <w:numPr>
        <w:ilvl w:val="3"/>
        <w:numId w:val="16"/>
      </w:numPr>
    </w:pPr>
  </w:style>
  <w:style w:type="paragraph" w:customStyle="1" w:styleId="ListNumber1Level4">
    <w:name w:val="List Number 1 (Level 4)"/>
    <w:basedOn w:val="Text1"/>
    <w:pPr>
      <w:numPr>
        <w:ilvl w:val="3"/>
        <w:numId w:val="17"/>
      </w:numPr>
    </w:pPr>
  </w:style>
  <w:style w:type="paragraph" w:customStyle="1" w:styleId="ListNumber2Level4">
    <w:name w:val="List Number 2 (Level 4)"/>
    <w:basedOn w:val="Text2"/>
    <w:pPr>
      <w:numPr>
        <w:ilvl w:val="3"/>
        <w:numId w:val="18"/>
      </w:numPr>
    </w:pPr>
  </w:style>
  <w:style w:type="paragraph" w:customStyle="1" w:styleId="ListNumber3Level4">
    <w:name w:val="List Number 3 (Level 4)"/>
    <w:basedOn w:val="Text3"/>
    <w:pPr>
      <w:numPr>
        <w:ilvl w:val="3"/>
        <w:numId w:val="19"/>
      </w:numPr>
    </w:pPr>
  </w:style>
  <w:style w:type="paragraph" w:customStyle="1" w:styleId="ListNumber4Level4">
    <w:name w:val="List Number 4 (Level 4)"/>
    <w:basedOn w:val="Text4"/>
    <w:pPr>
      <w:numPr>
        <w:ilvl w:val="3"/>
        <w:numId w:val="20"/>
      </w:numPr>
    </w:pPr>
  </w:style>
  <w:style w:type="paragraph" w:customStyle="1" w:styleId="Rfrenceinterinstitutionelleprliminaire">
    <w:name w:val="Référence interinstitutionelle (préliminaire)"/>
    <w:basedOn w:val="Normal"/>
    <w:next w:val="Normal"/>
    <w:pPr>
      <w:spacing w:before="0" w:after="0"/>
      <w:ind w:left="5103"/>
      <w:jc w:val="left"/>
    </w:pPr>
  </w:style>
  <w:style w:type="paragraph" w:customStyle="1" w:styleId="Sous-titreobjetprliminaire">
    <w:name w:val="Sous-titre objet (préliminaire)"/>
    <w:basedOn w:val="Normal"/>
    <w:pPr>
      <w:spacing w:before="0" w:after="0"/>
      <w:jc w:val="center"/>
    </w:pPr>
    <w:rPr>
      <w:b/>
    </w:rPr>
  </w:style>
  <w:style w:type="paragraph" w:customStyle="1" w:styleId="Statutprliminaire">
    <w:name w:val="Statut (préliminaire)"/>
    <w:basedOn w:val="Normal"/>
    <w:next w:val="Normal"/>
    <w:pPr>
      <w:spacing w:before="360" w:after="0"/>
      <w:jc w:val="center"/>
    </w:pPr>
  </w:style>
  <w:style w:type="paragraph" w:customStyle="1" w:styleId="Titreobjetprliminaire">
    <w:name w:val="Titre objet (préliminaire)"/>
    <w:basedOn w:val="Normal"/>
    <w:next w:val="Normal"/>
    <w:pPr>
      <w:spacing w:before="360" w:after="360"/>
      <w:jc w:val="center"/>
    </w:pPr>
    <w:rPr>
      <w:b/>
    </w:rPr>
  </w:style>
  <w:style w:type="paragraph" w:customStyle="1" w:styleId="Typedudocumentprliminaire">
    <w:name w:val="Type du document (préliminaire)"/>
    <w:basedOn w:val="Normal"/>
    <w:next w:val="Normal"/>
    <w:pPr>
      <w:spacing w:before="360" w:after="0"/>
      <w:jc w:val="center"/>
    </w:pPr>
    <w:rPr>
      <w:b/>
    </w:rPr>
  </w:style>
  <w:style w:type="character" w:styleId="CommentReference">
    <w:name w:val="annotation reference"/>
    <w:rPr>
      <w:sz w:val="16"/>
      <w:szCs w:val="16"/>
      <w:shd w:val="clear" w:color="auto" w:fill="auto"/>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shd w:val="clear" w:color="auto" w:fill="auto"/>
      <w:lang w:eastAsia="fi-FI"/>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shd w:val="clear" w:color="auto" w:fill="auto"/>
      <w:lang w:eastAsia="fi-FI"/>
    </w:rPr>
  </w:style>
  <w:style w:type="character" w:styleId="Hyperlink">
    <w:name w:val="Hyperlink"/>
    <w:rPr>
      <w:color w:val="0000FF"/>
      <w:u w:val="single"/>
      <w:shd w:val="clear" w:color="auto" w:fill="auto"/>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shd w:val="clear" w:color="auto" w:fill="auto"/>
      <w:lang w:eastAsia="fi-FI"/>
    </w:rPr>
  </w:style>
  <w:style w:type="character" w:styleId="Emphasis">
    <w:name w:val="Emphasis"/>
    <w:qFormat/>
    <w:rPr>
      <w:b/>
      <w:bCs/>
      <w:i w:val="0"/>
      <w:iCs w:val="0"/>
      <w:shd w:val="clear" w:color="auto" w:fill="auto"/>
    </w:rPr>
  </w:style>
  <w:style w:type="paragraph" w:styleId="NormalWeb">
    <w:name w:val="Normal (Web)"/>
    <w:basedOn w:val="Normal"/>
    <w:uiPriority w:val="99"/>
    <w:pPr>
      <w:spacing w:before="100" w:beforeAutospacing="1" w:after="100" w:afterAutospacing="1"/>
      <w:jc w:val="left"/>
    </w:pPr>
    <w:rPr>
      <w:rFonts w:ascii="Verdana" w:hAnsi="Verdana"/>
      <w:color w:val="000000"/>
      <w:sz w:val="29"/>
      <w:szCs w:val="29"/>
    </w:rPr>
  </w:style>
  <w:style w:type="character" w:styleId="FollowedHyperlink">
    <w:name w:val="FollowedHyperlink"/>
    <w:rPr>
      <w:color w:val="800080"/>
      <w:u w:val="single"/>
      <w:shd w:val="clear" w:color="auto" w:fill="auto"/>
    </w:rPr>
  </w:style>
  <w:style w:type="paragraph" w:styleId="Caption">
    <w:name w:val="caption"/>
    <w:basedOn w:val="Normal"/>
    <w:next w:val="Normal"/>
    <w:qFormat/>
    <w:rPr>
      <w:b/>
      <w:bCs/>
      <w:sz w:val="20"/>
      <w:szCs w:val="20"/>
    </w:rPr>
  </w:style>
  <w:style w:type="paragraph" w:styleId="TableofFigures">
    <w:name w:val="table of figures"/>
    <w:basedOn w:val="Normal"/>
    <w:next w:val="Normal"/>
  </w:style>
  <w:style w:type="table" w:styleId="TableGrid">
    <w:name w:val="Table Grid"/>
    <w:basedOn w:val="TableNormal"/>
    <w:uiPriority w:val="59"/>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
    <w:name w:val="No Spacing1"/>
    <w:uiPriority w:val="1"/>
    <w:qFormat/>
    <w:rPr>
      <w:rFonts w:ascii="Arial" w:hAnsi="Arial"/>
      <w:szCs w:val="24"/>
      <w:lang w:val="fi-FI" w:eastAsia="fi-FI" w:bidi="fi-FI"/>
    </w:rPr>
  </w:style>
  <w:style w:type="paragraph" w:customStyle="1" w:styleId="euhead2">
    <w:name w:val=".euhead2"/>
    <w:basedOn w:val="Normal"/>
    <w:pPr>
      <w:spacing w:before="0" w:after="0"/>
      <w:jc w:val="left"/>
    </w:pPr>
    <w:rPr>
      <w:rFonts w:ascii="Arial" w:hAnsi="Arial" w:cs="Arial"/>
      <w:b/>
      <w:bCs/>
      <w:color w:val="0070C0"/>
    </w:rPr>
  </w:style>
  <w:style w:type="character" w:styleId="Strong">
    <w:name w:val="Strong"/>
    <w:uiPriority w:val="22"/>
    <w:qFormat/>
    <w:rPr>
      <w:b/>
      <w:bCs/>
      <w:shd w:val="clear" w:color="auto" w:fill="auto"/>
    </w:rPr>
  </w:style>
  <w:style w:type="character" w:customStyle="1" w:styleId="MediumShading1-Accent1Char">
    <w:name w:val="Medium Shading 1 - Accent 1 Char"/>
    <w:link w:val="MediumShading1-Accent1"/>
    <w:uiPriority w:val="1"/>
    <w:rPr>
      <w:rFonts w:eastAsia="ヒラギノ角ゴ Pro W3"/>
      <w:color w:val="000000"/>
      <w:sz w:val="22"/>
      <w:szCs w:val="24"/>
      <w:lang w:val="fi-FI" w:eastAsia="fi-FI"/>
    </w:rPr>
  </w:style>
  <w:style w:type="character" w:customStyle="1" w:styleId="st">
    <w:name w:val="st"/>
  </w:style>
  <w:style w:type="character" w:customStyle="1" w:styleId="screen-name">
    <w:name w:val="screen-name"/>
    <w:rPr>
      <w:shd w:val="clear" w:color="auto" w:fill="auto"/>
    </w:rPr>
  </w:style>
  <w:style w:type="paragraph" w:customStyle="1" w:styleId="Covertitle">
    <w:name w:val="Cover_title"/>
    <w:basedOn w:val="Normal"/>
    <w:qFormat/>
    <w:pPr>
      <w:spacing w:before="0" w:after="640"/>
      <w:jc w:val="left"/>
    </w:pPr>
    <w:rPr>
      <w:rFonts w:ascii="Cambria" w:eastAsia="Cambria" w:hAnsi="Cambria"/>
      <w:b/>
      <w:color w:val="1F497D"/>
      <w:sz w:val="52"/>
      <w:szCs w:val="22"/>
    </w:rPr>
  </w:style>
  <w:style w:type="character" w:customStyle="1" w:styleId="bodytext">
    <w:name w:val="bodytext"/>
  </w:style>
  <w:style w:type="character" w:customStyle="1" w:styleId="apple-style-span">
    <w:name w:val="apple-style-span"/>
  </w:style>
  <w:style w:type="paragraph" w:customStyle="1" w:styleId="Intro">
    <w:name w:val="Intro"/>
    <w:basedOn w:val="Normal"/>
    <w:qFormat/>
    <w:pPr>
      <w:spacing w:before="0" w:after="240" w:line="288" w:lineRule="auto"/>
      <w:jc w:val="left"/>
    </w:pPr>
    <w:rPr>
      <w:rFonts w:ascii="Cambria" w:eastAsia="Cambria" w:hAnsi="Cambria"/>
      <w:b/>
      <w:color w:val="EEECE1"/>
      <w:sz w:val="22"/>
      <w:szCs w:val="22"/>
    </w:rPr>
  </w:style>
  <w:style w:type="table" w:styleId="MediumShading1-Accent1">
    <w:name w:val="Medium Shading 1 Accent 1"/>
    <w:basedOn w:val="TableNormal"/>
    <w:link w:val="MediumShading1-Accent1Char"/>
    <w:uiPriority w:val="1"/>
    <w:rPr>
      <w:rFonts w:eastAsia="ヒラギノ角ゴ Pro W3"/>
      <w:color w:val="000000"/>
      <w:sz w:val="22"/>
      <w:szCs w:val="24"/>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lang w:val="en-GB" w:eastAsia="en-GB" w:bidi="ar-SA"/>
    </w:rPr>
  </w:style>
  <w:style w:type="character" w:customStyle="1" w:styleId="TypedudocumentChar">
    <w:name w:val="Type du document Char"/>
    <w:link w:val="Typedudocument"/>
    <w:rPr>
      <w:b/>
      <w:sz w:val="24"/>
      <w:szCs w:val="24"/>
      <w:shd w:val="clear" w:color="auto" w:fill="auto"/>
      <w:lang w:eastAsia="fi-FI"/>
    </w:rPr>
  </w:style>
  <w:style w:type="character" w:customStyle="1" w:styleId="FooterCoverPageChar">
    <w:name w:val="Footer Cover Page Char"/>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before="0"/>
    </w:pPr>
    <w:rPr>
      <w:lang w:val="en-GB" w:eastAsia="en-GB" w:bidi="ar-SA"/>
    </w:rPr>
  </w:style>
  <w:style w:type="character" w:customStyle="1" w:styleId="HeaderCoverPageChar">
    <w:name w:val="Header Cover Page Char"/>
    <w:link w:val="HeaderCoverPage"/>
    <w:rPr>
      <w:sz w:val="24"/>
      <w:szCs w:val="24"/>
    </w:rPr>
  </w:style>
  <w:style w:type="character" w:customStyle="1" w:styleId="FooterChar">
    <w:name w:val="Footer Char"/>
    <w:link w:val="Footer"/>
    <w:uiPriority w:val="9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142632">
      <w:bodyDiv w:val="1"/>
      <w:marLeft w:val="0"/>
      <w:marRight w:val="0"/>
      <w:marTop w:val="0"/>
      <w:marBottom w:val="0"/>
      <w:divBdr>
        <w:top w:val="none" w:sz="0" w:space="0" w:color="auto"/>
        <w:left w:val="none" w:sz="0" w:space="0" w:color="auto"/>
        <w:bottom w:val="none" w:sz="0" w:space="0" w:color="auto"/>
        <w:right w:val="none" w:sz="0" w:space="0" w:color="auto"/>
      </w:divBdr>
    </w:div>
    <w:div w:id="123176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lensworld.eu/"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Top-level_domain" TargetMode="External"/><Relationship Id="rId2" Type="http://schemas.openxmlformats.org/officeDocument/2006/relationships/hyperlink" Target="https://en.wikipedia.org/wiki/Cybersquatting" TargetMode="External"/><Relationship Id="rId1" Type="http://schemas.openxmlformats.org/officeDocument/2006/relationships/hyperlink" Target="http://www.icann.org/en/topics/idn/fast-track/" TargetMode="External"/><Relationship Id="rId6" Type="http://schemas.openxmlformats.org/officeDocument/2006/relationships/hyperlink" Target="https://en.wikipedia.org/wiki/EURid" TargetMode="External"/><Relationship Id="rId5" Type="http://schemas.openxmlformats.org/officeDocument/2006/relationships/hyperlink" Target="https://en.wikipedia.org/wiki/PricewaterhouseCoopers" TargetMode="External"/><Relationship Id="rId4" Type="http://schemas.openxmlformats.org/officeDocument/2006/relationships/hyperlink" Target="https://en.wikipedia.org/wiki/Sunrise_Peri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899BB-A519-49AB-894C-6E9667B80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19</Pages>
  <Words>3094</Words>
  <Characters>26303</Characters>
  <Application>Microsoft Office Word</Application>
  <DocSecurity>0</DocSecurity>
  <Lines>641</Lines>
  <Paragraphs>312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Manager/>
  <Company/>
  <LinksUpToDate>false</LinksUpToDate>
  <CharactersWithSpaces>29085</CharactersWithSpaces>
  <SharedDoc>false</SharedDoc>
  <HLinks>
    <vt:vector size="42" baseType="variant">
      <vt:variant>
        <vt:i4>131143</vt:i4>
      </vt:variant>
      <vt:variant>
        <vt:i4>0</vt:i4>
      </vt:variant>
      <vt:variant>
        <vt:i4>0</vt:i4>
      </vt:variant>
      <vt:variant>
        <vt:i4>5</vt:i4>
      </vt:variant>
      <vt:variant>
        <vt:lpwstr>http://lensworld.eu/</vt:lpwstr>
      </vt:variant>
      <vt:variant>
        <vt:lpwstr/>
      </vt:variant>
      <vt:variant>
        <vt:i4>3211363</vt:i4>
      </vt:variant>
      <vt:variant>
        <vt:i4>15</vt:i4>
      </vt:variant>
      <vt:variant>
        <vt:i4>0</vt:i4>
      </vt:variant>
      <vt:variant>
        <vt:i4>5</vt:i4>
      </vt:variant>
      <vt:variant>
        <vt:lpwstr>https://en.wikipedia.org/wiki/EURid</vt:lpwstr>
      </vt:variant>
      <vt:variant>
        <vt:lpwstr/>
      </vt:variant>
      <vt:variant>
        <vt:i4>4915225</vt:i4>
      </vt:variant>
      <vt:variant>
        <vt:i4>12</vt:i4>
      </vt:variant>
      <vt:variant>
        <vt:i4>0</vt:i4>
      </vt:variant>
      <vt:variant>
        <vt:i4>5</vt:i4>
      </vt:variant>
      <vt:variant>
        <vt:lpwstr>https://en.wikipedia.org/wiki/PricewaterhouseCoopers</vt:lpwstr>
      </vt:variant>
      <vt:variant>
        <vt:lpwstr/>
      </vt:variant>
      <vt:variant>
        <vt:i4>7208968</vt:i4>
      </vt:variant>
      <vt:variant>
        <vt:i4>9</vt:i4>
      </vt:variant>
      <vt:variant>
        <vt:i4>0</vt:i4>
      </vt:variant>
      <vt:variant>
        <vt:i4>5</vt:i4>
      </vt:variant>
      <vt:variant>
        <vt:lpwstr>https://en.wikipedia.org/wiki/Sunrise_Period</vt:lpwstr>
      </vt:variant>
      <vt:variant>
        <vt:lpwstr/>
      </vt:variant>
      <vt:variant>
        <vt:i4>5242982</vt:i4>
      </vt:variant>
      <vt:variant>
        <vt:i4>6</vt:i4>
      </vt:variant>
      <vt:variant>
        <vt:i4>0</vt:i4>
      </vt:variant>
      <vt:variant>
        <vt:i4>5</vt:i4>
      </vt:variant>
      <vt:variant>
        <vt:lpwstr>https://en.wikipedia.org/wiki/Top-level_domain</vt:lpwstr>
      </vt:variant>
      <vt:variant>
        <vt:lpwstr/>
      </vt:variant>
      <vt:variant>
        <vt:i4>5046285</vt:i4>
      </vt:variant>
      <vt:variant>
        <vt:i4>3</vt:i4>
      </vt:variant>
      <vt:variant>
        <vt:i4>0</vt:i4>
      </vt:variant>
      <vt:variant>
        <vt:i4>5</vt:i4>
      </vt:variant>
      <vt:variant>
        <vt:lpwstr>https://en.wikipedia.org/wiki/Cybersquatting</vt:lpwstr>
      </vt:variant>
      <vt:variant>
        <vt:lpwstr/>
      </vt:variant>
      <vt:variant>
        <vt:i4>8060968</vt:i4>
      </vt:variant>
      <vt:variant>
        <vt:i4>0</vt:i4>
      </vt:variant>
      <vt:variant>
        <vt:i4>0</vt:i4>
      </vt:variant>
      <vt:variant>
        <vt:i4>5</vt:i4>
      </vt:variant>
      <vt:variant>
        <vt:lpwstr>http://www.icann.org/en/topics/idn/fast-track/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25</cp:revision>
  <cp:lastPrinted>2015-09-15T11:37:00Z</cp:lastPrinted>
  <dcterms:created xsi:type="dcterms:W3CDTF">2015-11-30T13:42:00Z</dcterms:created>
  <dcterms:modified xsi:type="dcterms:W3CDTF">2015-12-16T08:36:00Z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name="OP_sanitized" fmtid="{D5CDD505-2E9C-101B-9397-08002B2CF9AE}" pid="6">
    <vt:lpwstr>True</vt:lpwstr>
  </property>
</Properties>
</file>