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FC3F06A-1C07-4AD1-939D-69BE51E2AEAB" style="width:450.75pt;height:422.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Typedudocument"/>
        <w:rPr>
          <w:noProof/>
        </w:rPr>
      </w:pPr>
      <w:bookmarkStart w:id="0" w:name="_GoBack"/>
      <w:bookmarkEnd w:id="0"/>
      <w:r>
        <w:rPr>
          <w:noProof/>
        </w:rPr>
        <w:lastRenderedPageBreak/>
        <w:t>KOMISJONI RAKENDUSMÄÄRUS (EL) …/…,</w:t>
      </w:r>
    </w:p>
    <w:p>
      <w:pPr>
        <w:pStyle w:val="Datedadoption"/>
        <w:rPr>
          <w:noProof/>
        </w:rPr>
      </w:pPr>
      <w:r>
        <w:t>29.3.2021,</w:t>
      </w:r>
    </w:p>
    <w:p>
      <w:pPr>
        <w:pStyle w:val="Titreobjet"/>
        <w:rPr>
          <w:noProof/>
        </w:rPr>
      </w:pPr>
      <w:r>
        <w:rPr>
          <w:noProof/>
        </w:rPr>
        <w:t>millega muudetakse rakendusmäärust (EL) 2019/1715 seoses süsteemide ADIS ja EUROPHYT loomise ja kasutamise, elektrooniliste loomatervise sertifikaatide, ametlike sertifikaatide, loomatervise/ametlike sertifikaatide ja äridokumentide väljaandmise, elektroonilise allkirja kasutamise ja süsteemi TRACES toimimise korraga ning tunnistatakse kehtetuks otsus 97/152/EÜ</w:t>
      </w:r>
    </w:p>
    <w:p>
      <w:pPr>
        <w:pStyle w:val="IntrtEEE"/>
        <w:rPr>
          <w:noProof/>
        </w:rPr>
      </w:pPr>
      <w:r>
        <w:rPr>
          <w:noProof/>
        </w:rPr>
        <w:t>(EMPs kohaldatav tekst)</w:t>
      </w:r>
    </w:p>
    <w:p>
      <w:pPr>
        <w:pStyle w:val="Institutionquiagit"/>
        <w:rPr>
          <w:noProof/>
        </w:rPr>
      </w:pPr>
      <w:r>
        <w:rPr>
          <w:noProof/>
        </w:rPr>
        <w:t>EUROOPA KOMISJON,</w:t>
      </w:r>
    </w:p>
    <w:p>
      <w:pPr>
        <w:rPr>
          <w:noProof/>
        </w:rPr>
      </w:pPr>
      <w:r>
        <w:rPr>
          <w:noProof/>
        </w:rPr>
        <w:t>võttes arvesse Euroopa Liidu toimimise lepingut,</w:t>
      </w:r>
    </w:p>
    <w:p>
      <w:pPr>
        <w:rPr>
          <w:noProof/>
        </w:rPr>
      </w:pPr>
      <w:r>
        <w:rPr>
          <w:noProof/>
        </w:rPr>
        <w:t>võttes arvesse Euroopa Parlamendi ja nõukogu 28. jaanuari 2002. aasta määrust (EÜ) nr 178/2002, millega sätestatakse toidualaste õigusnormide üldised põhimõtted ja nõuded, asutatakse Euroopa Toiduohutusamet ja kehtestatakse toidu ohutusega seotud menetlused,</w:t>
      </w:r>
      <w:r>
        <w:rPr>
          <w:rStyle w:val="FootnoteReference"/>
          <w:noProof/>
        </w:rPr>
        <w:footnoteReference w:id="1"/>
      </w:r>
      <w:r>
        <w:rPr>
          <w:noProof/>
        </w:rPr>
        <w:t xml:space="preserve"> eriti selle artiklit 51,</w:t>
      </w:r>
    </w:p>
    <w:p>
      <w:pPr>
        <w:rPr>
          <w:bCs/>
          <w:noProof/>
        </w:rPr>
      </w:pPr>
      <w:r>
        <w:rPr>
          <w:noProof/>
        </w:rPr>
        <w:t>võttes arvesse Euroopa Parlamendi ja nõukogu 9. märtsi 2016. aasta määrust (EL) 2016/429 loomataudide kohta, millega muudetakse teatavaid loomatervise valdkonna õigusakte või tunnistatakse need kehtetuks (loomatervise määrus),</w:t>
      </w:r>
      <w:r>
        <w:rPr>
          <w:rStyle w:val="FootnoteReference"/>
          <w:noProof/>
        </w:rPr>
        <w:footnoteReference w:id="2"/>
      </w:r>
      <w:r>
        <w:rPr>
          <w:noProof/>
        </w:rPr>
        <w:t xml:space="preserve"> eriti selle artikli 23 esimese lõigu punkte b–f, artikli 30 lõike 1 punkti b alapunkti ii ja artikli 35 esimese lõigu punkti c,</w:t>
      </w:r>
    </w:p>
    <w:p>
      <w:pPr>
        <w:rPr>
          <w:bCs/>
          <w:noProof/>
        </w:rPr>
      </w:pPr>
      <w:r>
        <w:rPr>
          <w:noProof/>
        </w:rPr>
        <w:t>võttes arvesse Euroopa Parlamendi ja nõukogu 26. oktoobri 2016. aasta määrust (EL) 2016/2031, mis käsitleb taimekahjustajatevastaseid kaitsemeetmeid, millega muudetakse Euroopa Parlamendi ja nõukogu määruseid (EL) nr 228/2013, (EL) nr 652/2014 ja (EL) nr 1143/2014 ning millega tunnistatakse kehtetuks nõukogu direktiivid 69/464/EMÜ, 74/647/EMÜ, 93/85/EMÜ, 98/57/EÜ, 2000/29/EÜ, 2006/91/EÜ ja 2007/33/EÜ,</w:t>
      </w:r>
      <w:r>
        <w:rPr>
          <w:rStyle w:val="FootnoteReference"/>
          <w:noProof/>
        </w:rPr>
        <w:footnoteReference w:id="3"/>
      </w:r>
      <w:r>
        <w:rPr>
          <w:noProof/>
        </w:rPr>
        <w:t xml:space="preserve"> eriti selle artikli 104 esimese lõigu punkte a, b ja c,</w:t>
      </w:r>
    </w:p>
    <w:p>
      <w:pPr>
        <w:rPr>
          <w:noProof/>
        </w:rPr>
      </w:pPr>
      <w:r>
        <w:rPr>
          <w:noProof/>
        </w:rPr>
        <w:t>võttes arvesse Euroopa Parlamendi ja nõukogu 15. märtsi 2017. aasta määrust (EL) 2017/625,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w:t>
      </w:r>
      <w:r>
        <w:rPr>
          <w:rStyle w:val="FootnoteReference"/>
          <w:bCs/>
          <w:noProof/>
        </w:rPr>
        <w:footnoteReference w:id="4"/>
      </w:r>
      <w:r>
        <w:rPr>
          <w:noProof/>
        </w:rPr>
        <w:t xml:space="preserve"> eriti selle artikli 58 esimese lõigu punkti a, artikli 90 esimese lõigu punkti f, artikli 102 lõike 6 esimese lõigu punkte a ja b, artikli 103 lõiget 6 ja artikli 134 esimese lõigu punkte a–d ja g,</w:t>
      </w:r>
    </w:p>
    <w:p>
      <w:pPr>
        <w:rPr>
          <w:noProof/>
        </w:rPr>
      </w:pPr>
      <w:r>
        <w:rPr>
          <w:noProof/>
        </w:rPr>
        <w:lastRenderedPageBreak/>
        <w:t>ning arvestades järgmist:</w:t>
      </w:r>
    </w:p>
    <w:p>
      <w:pPr>
        <w:pStyle w:val="ManualConsidrant"/>
        <w:rPr>
          <w:noProof/>
        </w:rPr>
      </w:pPr>
      <w:r>
        <w:t>(1)</w:t>
      </w:r>
      <w:r>
        <w:tab/>
      </w:r>
      <w:r>
        <w:rPr>
          <w:noProof/>
        </w:rPr>
        <w:t>Komisjoni rakendusmääruses (EL) 2019/1715</w:t>
      </w:r>
      <w:r>
        <w:rPr>
          <w:rStyle w:val="FootnoteReference"/>
          <w:noProof/>
        </w:rPr>
        <w:footnoteReference w:id="5"/>
      </w:r>
      <w:r>
        <w:rPr>
          <w:noProof/>
        </w:rPr>
        <w:t xml:space="preserve"> on sätestatud eeskirjad ametliku kontrolli teabehaldussüsteemi (IMSOC) ja selle süsteemikomponentide – toidu- ja söödaalase kiirhoiatussüsteemi ning haldusabi ja -koostöö süsteemi menetluskorra rakendamise süsteemi (iRASFF), loomataudidest teatamise ja nendega seotud teabe esitamise süsteemi (ADIS), liikmesriikide territooriumil taimedel ja taimsetel saadustel täheldatavate taimekahjustajate esinemise ametlikust kinnitamisest teatamise süsteemi (EUROPHYT) ning andme-, teabe- ja dokumendivahetust võimaldava kaubanduse kontrolli- ja ekspertsüsteemi (TRACES) – toimimise kohta. Samuti on selles sätestatud kõnealuste komponentide vahelisi vajalikke ühendusi käsitlevad eeskirjad.</w:t>
      </w:r>
    </w:p>
    <w:p>
      <w:pPr>
        <w:pStyle w:val="ManualConsidrant"/>
        <w:rPr>
          <w:noProof/>
        </w:rPr>
      </w:pPr>
      <w:r>
        <w:t>(2)</w:t>
      </w:r>
      <w:r>
        <w:tab/>
      </w:r>
      <w:r>
        <w:rPr>
          <w:noProof/>
        </w:rPr>
        <w:t xml:space="preserve">Nimetatud rakendusmääruses on ühtlasi sätestatud eeskirjad ADISe toimimiseks vajaliku võrgu loomiseks ning teavitamis- ja aruandluspiirkondade loetelu koostamiseks loomataudidega seotud liidusisese teavitamise ja aruandluse eesmärgil. </w:t>
      </w:r>
    </w:p>
    <w:p>
      <w:pPr>
        <w:pStyle w:val="ManualConsidrant"/>
        <w:rPr>
          <w:noProof/>
        </w:rPr>
      </w:pPr>
      <w:r>
        <w:t>(3)</w:t>
      </w:r>
      <w:r>
        <w:tab/>
      </w:r>
      <w:r>
        <w:rPr>
          <w:noProof/>
        </w:rPr>
        <w:t>Selle tagamiseks, et liikmesriigid kasutaksid ADISt ühetaoliselt, on komisjoni rakendusmääruses (EL) 2020/2002</w:t>
      </w:r>
      <w:r>
        <w:rPr>
          <w:rStyle w:val="FootnoteReference"/>
          <w:noProof/>
        </w:rPr>
        <w:footnoteReference w:id="6"/>
      </w:r>
      <w:r>
        <w:rPr>
          <w:noProof/>
        </w:rPr>
        <w:t xml:space="preserve"> sätestatud eeskirjad taudidega seotud liidusiseseks teavitamiseks ja aruandluseks esitatavate, sellesse süsteemi sisestatavate andmete vormingu ja struktuuri, aruannete vormingu ja aruandluskorra ning teavitamise ja aruandluse tähtaegade ja sageduse kohta.</w:t>
      </w:r>
    </w:p>
    <w:p>
      <w:pPr>
        <w:pStyle w:val="ManualConsidrant"/>
        <w:rPr>
          <w:noProof/>
        </w:rPr>
      </w:pPr>
      <w:r>
        <w:t>(4)</w:t>
      </w:r>
      <w:r>
        <w:tab/>
      </w:r>
      <w:r>
        <w:rPr>
          <w:noProof/>
        </w:rPr>
        <w:t>Seoses rakendusmääruse (EL) 2020/2002 kohase liidusiseste teadete ja aruannete esitamisega tuleks rakendusmäärusesse (EL) 2019/1715 lisada ADISe võrgu kontaktpunkte käsitlevad ühised eeskirjad. Need eeskirjad peaksid liidu andmekaitsenormidele vastavuse tagamiseks hõlmama ka sätteid isikuandmete ADISes säilitamise maksimumperioodi kohta.</w:t>
      </w:r>
    </w:p>
    <w:p>
      <w:pPr>
        <w:pStyle w:val="ManualConsidrant"/>
        <w:rPr>
          <w:noProof/>
        </w:rPr>
      </w:pPr>
      <w:r>
        <w:t>(5)</w:t>
      </w:r>
      <w:r>
        <w:tab/>
      </w:r>
      <w:r>
        <w:rPr>
          <w:noProof/>
        </w:rPr>
        <w:t>Ühtlasi tuleks käesolevas määruses sätestada rakendusmäärusesse (EL) 2019/1715 lisatavad eeskirjad ADISe ja TRACESe vaheliste vajalike ühenduste kohta, et tagada liidusisese teavitamisega seotud asjakohaste andmete automaatne vahetamine nende süsteemide vahel või nende kättesaadavaks tegemine mõlemas süsteemis, samuti asjakohase teabe esitamine võrgu liikmetele.</w:t>
      </w:r>
    </w:p>
    <w:p>
      <w:pPr>
        <w:pStyle w:val="ManualConsidrant"/>
        <w:rPr>
          <w:noProof/>
        </w:rPr>
      </w:pPr>
      <w:r>
        <w:t>(6)</w:t>
      </w:r>
      <w:r>
        <w:tab/>
      </w:r>
      <w:r>
        <w:rPr>
          <w:noProof/>
        </w:rPr>
        <w:t>Rakendusmääruses (EL) 2019/1715 on sätestatud eeskirjad seoses TRACESe kasutamisega selleks, et esitada EUROPHYTi kinnipidamiste võrgule kinnipidamisteateid liikmesriigist või kolmandast riigist pärit taimede, taimsete saaduste ja muude objektide saadetiste kohta, millest võib tuleneda vahetu taimekahjustajate sissetoomise või leviku oht. Kõnealuse rakendusmäärusega on ette nähtud, et liidus kaubeldava saadetise kinnipidamise teate esitab EUROPHYTi kinnipidamiste võrgu kontaktpunkt, liitu sisse toodava saadetise kinnipidamise teate aga asjaomase saadetise kohta otsuse tegev taimeterviseametnik.</w:t>
      </w:r>
    </w:p>
    <w:p>
      <w:pPr>
        <w:pStyle w:val="ManualConsidrant"/>
        <w:rPr>
          <w:noProof/>
        </w:rPr>
      </w:pPr>
      <w:r>
        <w:t>(7)</w:t>
      </w:r>
      <w:r>
        <w:tab/>
      </w:r>
      <w:r>
        <w:rPr>
          <w:noProof/>
        </w:rPr>
        <w:t xml:space="preserve">Kuna liidus kaubeldavate taimede, taimsete saaduste ja muude objektide kinnipeetud saadetisi käsitlevad teated kuuluvad kaupade nõuetele mittevastavust käsitlevate määruse (EL) 2017/625 kohaldamisalasse jäävate teadete hulka ning hoiatus- ja koostöövõrgustiku kontaktpunktid peavad neid vahetama iRASFFis, tuleks selliseid kinnipeetud saadetisi käsitlevad teated esitada iRASFFi kaudu. </w:t>
      </w:r>
    </w:p>
    <w:p>
      <w:pPr>
        <w:pStyle w:val="ManualConsidrant"/>
        <w:rPr>
          <w:noProof/>
        </w:rPr>
      </w:pPr>
      <w:r>
        <w:lastRenderedPageBreak/>
        <w:t>(8)</w:t>
      </w:r>
      <w:r>
        <w:tab/>
      </w:r>
      <w:r>
        <w:rPr>
          <w:noProof/>
        </w:rPr>
        <w:t xml:space="preserve">Selle täiendavaks tagamiseks, et iRASFFi kasutatakse ka teadete vahetamiseks liidus kaubeldavate taimede, taimsete saaduste ja muude objektide saadetiste kohta, mis ei vasta nõuetele ja võivad ohustada taimetervist, on asjakohane rakendusmääruses (EL) 2019/1715 sätestatud mõiste „rikkumisteade“ määratlus ümber sõnastada. </w:t>
      </w:r>
    </w:p>
    <w:p>
      <w:pPr>
        <w:pStyle w:val="ManualConsidrant"/>
        <w:rPr>
          <w:noProof/>
          <w:color w:val="000000" w:themeColor="text1"/>
        </w:rPr>
      </w:pPr>
      <w:r>
        <w:t>(9)</w:t>
      </w:r>
      <w:r>
        <w:tab/>
      </w:r>
      <w:r>
        <w:rPr>
          <w:noProof/>
        </w:rPr>
        <w:t>Ühtlasi on vaja rakendusmääruses (EL) 2019/1715 määratletud mõiste „risk“ tähendusega seotud segaduse ärahoidmiseks see määratlus välja jätta, kohandada selle asemel teatavaid iRASFFi kaudu esitatavate teadete määratlusi ning lisada neisse määratlustesse selgitus eri riskikategooriate kohta.</w:t>
      </w:r>
    </w:p>
    <w:p>
      <w:pPr>
        <w:pStyle w:val="ManualConsidrant"/>
        <w:rPr>
          <w:noProof/>
          <w:color w:val="000000" w:themeColor="text1"/>
        </w:rPr>
      </w:pPr>
      <w:r>
        <w:t>(10)</w:t>
      </w:r>
      <w:r>
        <w:tab/>
      </w:r>
      <w:r>
        <w:rPr>
          <w:noProof/>
        </w:rPr>
        <w:t>Samuti on tarvis rakendusmääruses (EL) 2019/1715 määratletud mõistete „toidupettustevastane võrk“ ja „toidupettuse teade“ tähendusega seotud segaduse ärahoidmiseks ning nende mõistete puhul määruse (EL) 2017/625 kohaldamisala paremaks kajastamiseks sõnastada need määratletud mõisted ümber vastavalt „pettustevastaseks võrguks“ ja „pettuseteateks“ ning kohandada sellest lähtuvalt rakendusmääruse (EL) 2019/1715 kõiki toidupettusega seotud sätteid.</w:t>
      </w:r>
    </w:p>
    <w:p>
      <w:pPr>
        <w:pStyle w:val="ManualConsidrant"/>
        <w:rPr>
          <w:noProof/>
        </w:rPr>
      </w:pPr>
      <w:r>
        <w:t>(11)</w:t>
      </w:r>
      <w:r>
        <w:tab/>
      </w:r>
      <w:r>
        <w:rPr>
          <w:noProof/>
        </w:rPr>
        <w:t>Rakendusmäärusega (EL) 2019/1715 on ka ette nähtud, et liitu sisse toodud kinnipeetud saadetise kohta esitatav teave peab hõlmama teavet, mille taimeterviseametnik on vastavalt määruse (EL) 2017/625 artikli 55 lõikele 2 ja artiklile 56 kandnud ühtsesse sisseveodokumenti, lisateavet kinnipeetud saadetise suhtes võetud meetmete kohta ja teavet kohaldatud karantiini kohta.</w:t>
      </w:r>
    </w:p>
    <w:p>
      <w:pPr>
        <w:pStyle w:val="ManualConsidrant"/>
        <w:rPr>
          <w:noProof/>
        </w:rPr>
      </w:pPr>
      <w:r>
        <w:t>(12)</w:t>
      </w:r>
      <w:r>
        <w:tab/>
      </w:r>
      <w:r>
        <w:rPr>
          <w:noProof/>
        </w:rPr>
        <w:t xml:space="preserve">Kuna ühtne sisseveodokument sisaldab lahtreid kinnipeetud saadetise suhtes võetud meetmeid käsitleva teabe sisestamiseks, sealhulgas juhtude kohta, mil kohaldatakse karantiini, ei ole vaja esitada sama teavet sisaldavat kinnipidamisteadet ka TRACESe kaudu. Kohustus esitada sama teavet sisaldav kinnipidamisteade TRACESe kaudu tuleks seepärast kaotada ja asendada kohustusega kanda kinnipidamist käsitlevad andmed ühtsesse sisseveodokumenti. </w:t>
      </w:r>
    </w:p>
    <w:p>
      <w:pPr>
        <w:pStyle w:val="ManualConsidrant"/>
        <w:rPr>
          <w:noProof/>
        </w:rPr>
      </w:pPr>
      <w:r>
        <w:t>(13)</w:t>
      </w:r>
      <w:r>
        <w:tab/>
      </w:r>
      <w:r>
        <w:rPr>
          <w:noProof/>
        </w:rPr>
        <w:t>Tulenevalt asjaolust, et liitu sisse toodavate või liidus kaubeldavate saadetistega seotud mis tahes mittevastavusest määruse (EL) 2017/625 artikli 1 lõikes 2 osutatud eeskirjadele tuleb teatada kas TRACESe või iRASFFi kaudu, tuleks rakendusmäärusest (EL) 2019/1715 välja jätta kõik sätted, mis on seotud EUROPHYTi kinnipidamisteadetega.</w:t>
      </w:r>
    </w:p>
    <w:p>
      <w:pPr>
        <w:pStyle w:val="ManualConsidrant"/>
        <w:rPr>
          <w:noProof/>
        </w:rPr>
      </w:pPr>
      <w:r>
        <w:t>(14)</w:t>
      </w:r>
      <w:r>
        <w:tab/>
      </w:r>
      <w:r>
        <w:rPr>
          <w:noProof/>
        </w:rPr>
        <w:t xml:space="preserve">Rakendusmääruses (EL) 2019/1715 on sätestatud eeskirjad elektrooniliste ühtsete sisseveodokumentide kasutamise ning liitu sisse toodavate looma- ja kaubasaadetiste jaoks elektrooniliste sertifikaatide väljaandmise kohta. Need eeskirjad hõlmavad kõrge usaldusväärsuse taseme tagamist seoses sertifikaati välja andva ametniku identiteedi tõendamisega enne elektroonilise allkirjastamise õiguse andmist ning usaldusväärse kolmanda isiku genereeritava kvalifitseeritud elektroonilise ajatempli lisamisega elektroonilisele allkirjale. </w:t>
      </w:r>
    </w:p>
    <w:p>
      <w:pPr>
        <w:pStyle w:val="ManualConsidrant"/>
        <w:rPr>
          <w:noProof/>
        </w:rPr>
      </w:pPr>
      <w:r>
        <w:t>(15)</w:t>
      </w:r>
      <w:r>
        <w:tab/>
      </w:r>
      <w:r>
        <w:rPr>
          <w:noProof/>
        </w:rPr>
        <w:t>Kogemusest nähtub, et selline kõrge usaldusväärsuse tase ei ole vajalik, kuna TRACESesse, liikmesriigi siseriiklikku süsteemi või kolmanda riigi või rahvusvahelise organisatsiooni elektroonilisse sertifitseerimissüsteemi sisselogimise eelne autentimismehhanism võimaldab piisava kindlusega veenduda allkirjastaja väidetavas isikusamasuses. Peale selle ei ole ajatempel vajalik. Andmete turvaline süsteemisisene ja süsteemidevaheline liikumine ning andmete õige ajastuse, tervikluse ja õigsuse usaldusväärseks tõendamiseks ette nähtud kvalifitseeritud elektroonilise templi kasutamine on piisav tagatis, et andmete mis tahes hilisem muutmine on tuvastatav.</w:t>
      </w:r>
    </w:p>
    <w:p>
      <w:pPr>
        <w:pStyle w:val="ManualConsidrant"/>
        <w:rPr>
          <w:noProof/>
        </w:rPr>
      </w:pPr>
      <w:r>
        <w:lastRenderedPageBreak/>
        <w:t>(16)</w:t>
      </w:r>
      <w:r>
        <w:tab/>
      </w:r>
      <w:r>
        <w:rPr>
          <w:noProof/>
        </w:rPr>
        <w:t>Seepärast tuleks käesoleva määrusega ette näha rakendusmääruse (EL) 2019/1715 muudatused, millega võimaldatakse kooskõlas Euroopa Parlamendi ja nõukogu määrusega (EL) nr 910/2014</w:t>
      </w:r>
      <w:r>
        <w:rPr>
          <w:rStyle w:val="FootnoteReference"/>
          <w:noProof/>
        </w:rPr>
        <w:footnoteReference w:id="7"/>
      </w:r>
      <w:r>
        <w:rPr>
          <w:noProof/>
        </w:rPr>
        <w:t xml:space="preserve"> veterinaarjärelevalve ametnikel, taimeterviseametnikel ja sertifikaati välja andvatel ametnikel kasutada elektrooniliste ühtsete sisseveodokumentide ja sertifikaatide puhul madalama identiteedigarantii tasemega elektroonilist allkirja ilma ajatemplit salvestamata. </w:t>
      </w:r>
    </w:p>
    <w:p>
      <w:pPr>
        <w:pStyle w:val="ManualConsidrant"/>
        <w:rPr>
          <w:noProof/>
        </w:rPr>
      </w:pPr>
      <w:r>
        <w:t>(17)</w:t>
      </w:r>
      <w:r>
        <w:tab/>
      </w:r>
      <w:r>
        <w:rPr>
          <w:noProof/>
        </w:rPr>
        <w:t>Käesoleva määrusega tuleks ühtlasi muuta rakendusmääruse (EL) 2019/1715 eeskirju seoses selliste elektrooniliste sertifikaatide ja äridokumentide väljaandmisega, mis on kaasas liikmesriikide vahel liikuvate loomade ja teatavate kaupade saadetistega vastavalt määruse (EL) 2016/429 artiklile 150, artikli 161 lõikele 5, artikli 167 lõikele 4, artiklile 217 ja artikli 223 lõikele 5, liidu piires veetavate muuks otstarbeks kui inimtoiduks ette nähtud teatavate loomsete kõrvalsaaduste ja nendest saadud toodete saadetistega vastavalt komisjoni määruse (EL) nr 142/2011</w:t>
      </w:r>
      <w:r>
        <w:rPr>
          <w:rStyle w:val="FootnoteReference"/>
          <w:noProof/>
        </w:rPr>
        <w:footnoteReference w:id="8"/>
      </w:r>
      <w:r>
        <w:rPr>
          <w:noProof/>
        </w:rPr>
        <w:t xml:space="preserve"> artiklile 17 ning liidust eksporditavate või reeksporditavate taimede, taimsete saaduste ja muude objektide saadetistega vastavalt määruse (EL) 2016/2031 artikli 100 lõikele 5 ja artikli 101 lõikele 6. Need eeskirjad peaksid olema sarnased eeskirjadega, mille alusel antakse välja elektroonilisi sertifikaate liitu sisse toodavate looma- ja kaubasaadetiste jaoks.</w:t>
      </w:r>
    </w:p>
    <w:p>
      <w:pPr>
        <w:pStyle w:val="ManualConsidrant"/>
        <w:rPr>
          <w:noProof/>
        </w:rPr>
      </w:pPr>
      <w:r>
        <w:t>(18)</w:t>
      </w:r>
      <w:r>
        <w:tab/>
      </w:r>
      <w:r>
        <w:rPr>
          <w:noProof/>
        </w:rPr>
        <w:t>Kuna määruses (EL) 2016/2031 on sätestatud, et elektroonilised fütosanitaarsertifikaadid taimede, taimsete saaduste ja muude objektide eksportimiseks või reeksportimiseks liidu territooriumilt esitatakse üksnes IMSOCi kaudu või IMSOCiga toimuva elektroonilise teabevahetuse teel, tuleks käesoleva määrusega ette näha, et rakendusmäärusesse (EL) 2019/1715 lisatakse eeskirjad selliste sertifikaatide väljaandmiseks kooskõlas kõnealuse määrusega.</w:t>
      </w:r>
    </w:p>
    <w:p>
      <w:pPr>
        <w:pStyle w:val="ManualConsidrant"/>
        <w:rPr>
          <w:noProof/>
        </w:rPr>
      </w:pPr>
      <w:r>
        <w:t>(19)</w:t>
      </w:r>
      <w:r>
        <w:tab/>
      </w:r>
      <w:r>
        <w:rPr>
          <w:noProof/>
        </w:rPr>
        <w:t>Liidu eeskirjade tõhusamaks jõustamiseks on rakendusmääruses (EL) 2019/1715 sätestatud, et TRACESe võrgu kontaktpunktid peavad TRACESes haldama ja ajakohastama loetelusid teatavatest võrdlusandmetest, mis on vajalikud TRACESe ladusaks toimimiseks. Need loetelud hõlmavad Euroopa Parlamendi ja nõukogu määruse (EÜ) nr 852/2004</w:t>
      </w:r>
      <w:r>
        <w:rPr>
          <w:rStyle w:val="FootnoteReference"/>
          <w:noProof/>
        </w:rPr>
        <w:footnoteReference w:id="9"/>
      </w:r>
      <w:r>
        <w:rPr>
          <w:noProof/>
        </w:rPr>
        <w:t xml:space="preserve"> kohaselt tunnustatud toidukäitlejaid ning Euroopa Parlamendi ja nõukogu määruse (EÜ) nr 1069/2009</w:t>
      </w:r>
      <w:r>
        <w:rPr>
          <w:rStyle w:val="FootnoteReference"/>
          <w:noProof/>
        </w:rPr>
        <w:footnoteReference w:id="10"/>
      </w:r>
      <w:r>
        <w:rPr>
          <w:noProof/>
        </w:rPr>
        <w:t xml:space="preserve"> kohaselt tunnustatud või registreeritud ettevõtteid ja ettevõtjaid, kes käitlevad loomseid kõrvalsaadusi või nendest saadud tooteid.</w:t>
      </w:r>
    </w:p>
    <w:p>
      <w:pPr>
        <w:pStyle w:val="ManualConsidrant"/>
        <w:rPr>
          <w:noProof/>
        </w:rPr>
      </w:pPr>
      <w:r>
        <w:t>(20)</w:t>
      </w:r>
      <w:r>
        <w:tab/>
      </w:r>
      <w:r>
        <w:rPr>
          <w:noProof/>
        </w:rPr>
        <w:t xml:space="preserve">Samal eesmärgil tuleks käesoleva määrusega neid võrdlusandmete loetelusid laiendada nii, et need hõlmaksid ka määruses (EL) 2016/429 osutatud registreeritud ja heakskiidetud ettevõtteid ja ettevõtjaid ning teatavaid määruse (EL) 2016/2031 kohaselt registreeritud ettevõtjaid, kes osalevad piiriüleses tegevuses. </w:t>
      </w:r>
    </w:p>
    <w:p>
      <w:pPr>
        <w:pStyle w:val="ManualConsidrant"/>
        <w:rPr>
          <w:noProof/>
        </w:rPr>
      </w:pPr>
      <w:r>
        <w:t>(21)</w:t>
      </w:r>
      <w:r>
        <w:tab/>
      </w:r>
      <w:r>
        <w:rPr>
          <w:noProof/>
        </w:rPr>
        <w:t xml:space="preserve">Selleks, et võimaldada toetada liikmesriike elusloomade veoga seotud kontrolle ja auditeid käsitlevate riskianalüüside koostamisel, peaksid võrdlusandmete loetelud </w:t>
      </w:r>
      <w:r>
        <w:rPr>
          <w:noProof/>
        </w:rPr>
        <w:lastRenderedPageBreak/>
        <w:t>hõlmama ka nõukogu määruse (EÜ) nr 1255/97</w:t>
      </w:r>
      <w:r>
        <w:rPr>
          <w:rStyle w:val="FootnoteReference"/>
          <w:noProof/>
        </w:rPr>
        <w:footnoteReference w:id="11"/>
      </w:r>
      <w:r>
        <w:rPr>
          <w:noProof/>
        </w:rPr>
        <w:t xml:space="preserve"> kohaselt heaks kiidetud kontrollpunkte ning nõukogu määrusele (EÜ) nr 1/2005</w:t>
      </w:r>
      <w:r>
        <w:rPr>
          <w:rStyle w:val="FootnoteReference"/>
          <w:noProof/>
        </w:rPr>
        <w:footnoteReference w:id="12"/>
      </w:r>
      <w:r>
        <w:rPr>
          <w:noProof/>
        </w:rPr>
        <w:t xml:space="preserve"> vastavaid loa saanud vedajaid, sertifitseeritud juhte ja saatjaid ning heakskiidetud transpordivahendeid.</w:t>
      </w:r>
    </w:p>
    <w:p>
      <w:pPr>
        <w:pStyle w:val="ManualConsidrant"/>
        <w:rPr>
          <w:noProof/>
        </w:rPr>
      </w:pPr>
      <w:r>
        <w:t>(22)</w:t>
      </w:r>
      <w:r>
        <w:tab/>
      </w:r>
      <w:r>
        <w:rPr>
          <w:noProof/>
        </w:rPr>
        <w:t xml:space="preserve">Kuna määrust (EL) 2016/429 kohaldatakse alates 21. aprillist 2021, tuleks muudatusi, mis käsitlevad ADISt, ADISe ja TRACESe vahelisi vajalikke ühendusi ning võrdlusandmete loetelude laiendamist määruse (EL) 2016/429 kohaselt registreeritud ja heaks kiidetud ettevõtetele ja ettevõtjatele, samuti kohaldada alates 21. aprillist 2021. </w:t>
      </w:r>
    </w:p>
    <w:p>
      <w:pPr>
        <w:pStyle w:val="ManualConsidrant"/>
        <w:rPr>
          <w:noProof/>
        </w:rPr>
      </w:pPr>
      <w:r>
        <w:t>(23)</w:t>
      </w:r>
      <w:r>
        <w:tab/>
      </w:r>
      <w:r>
        <w:rPr>
          <w:noProof/>
        </w:rPr>
        <w:t>Tulenevalt võrdlusandmete olulisusest TRACESe ladusaks toimimiseks tuleks määrustele (EÜ) nr 1255/97, (EÜ) nr 1/2005 ja (EL) 2016/2031 vastavate võrdlusandmete loetelude laiendamise sätteid kohaldada samuti alates 21. aprillist 2021.</w:t>
      </w:r>
    </w:p>
    <w:p>
      <w:pPr>
        <w:pStyle w:val="ManualConsidrant"/>
        <w:rPr>
          <w:noProof/>
        </w:rPr>
      </w:pPr>
      <w:r>
        <w:t>(24)</w:t>
      </w:r>
      <w:r>
        <w:tab/>
      </w:r>
      <w:r>
        <w:rPr>
          <w:noProof/>
        </w:rPr>
        <w:t xml:space="preserve">Kuna iRASFFi ja TRACESt on seoses kinnipidamisteadetega vaja edasi arendada, tuleks rakendusmääruse (EL) 2019/1715 3. peatüki 3. jao muudatuste kohaldamise alguskuupäeva edasi lükata kuni 1. detsembrini 2021. </w:t>
      </w:r>
    </w:p>
    <w:p>
      <w:pPr>
        <w:pStyle w:val="ManualConsidrant"/>
        <w:rPr>
          <w:noProof/>
        </w:rPr>
      </w:pPr>
      <w:r>
        <w:t>(25)</w:t>
      </w:r>
      <w:r>
        <w:tab/>
      </w:r>
      <w:r>
        <w:rPr>
          <w:noProof/>
        </w:rPr>
        <w:t>Komisjoni otsuse 97/152/EÜ</w:t>
      </w:r>
      <w:r>
        <w:rPr>
          <w:rStyle w:val="FootnoteReference"/>
          <w:noProof/>
        </w:rPr>
        <w:footnoteReference w:id="13"/>
      </w:r>
      <w:r>
        <w:rPr>
          <w:noProof/>
        </w:rPr>
        <w:t xml:space="preserve"> lisas on kirjeldatud, milline teave tuleb sisestada TRACESesse kolmandast riigist pärit loomade või loomsete saaduste saadetise kohta. See otsus põhineb nõukogu otsuse 92/438/EMÜ</w:t>
      </w:r>
      <w:r>
        <w:rPr>
          <w:rStyle w:val="FootnoteReference"/>
          <w:noProof/>
        </w:rPr>
        <w:footnoteReference w:id="14"/>
      </w:r>
      <w:r>
        <w:rPr>
          <w:noProof/>
        </w:rPr>
        <w:t xml:space="preserve"> artiklil 12; kõnealune nõukogu otsus on tunnistatud määruse (EL) 2017/625 artikli 146 lõikega 1 kehtetuks alates 14. detsembrist 2019. Otsuse 97/152/EÜ lisas kirjeldatud teave on nüüd esitatud rakendusmääruse (EL) 2019/1715 II lisa 2. osa A ja B jaos ühtses sisseveodokumendis A ja ühtses sisseveodokumendis P. Seepärast tuleks otsus 97/152/EÜ selguse ja järjepidevuse huvides kehtetuks tunnistada. </w:t>
      </w:r>
    </w:p>
    <w:p>
      <w:pPr>
        <w:pStyle w:val="ManualConsidrant"/>
        <w:rPr>
          <w:noProof/>
        </w:rPr>
      </w:pPr>
      <w:r>
        <w:t>(26)</w:t>
      </w:r>
      <w:r>
        <w:tab/>
      </w:r>
      <w:r>
        <w:rPr>
          <w:noProof/>
        </w:rPr>
        <w:t>Vastavalt Euroopa Parlamendi ja nõukogu määruse (EL) 2018/1725</w:t>
      </w:r>
      <w:r>
        <w:rPr>
          <w:rStyle w:val="FootnoteReference"/>
          <w:noProof/>
        </w:rPr>
        <w:footnoteReference w:id="15"/>
      </w:r>
      <w:r>
        <w:rPr>
          <w:noProof/>
        </w:rPr>
        <w:t xml:space="preserve"> artikli 42 lõikele 1 konsulteeriti Euroopa Andmekaitseinspektoriga, kes esitas oma arvamuse 14. jaanuaril 2021.</w:t>
      </w:r>
    </w:p>
    <w:p>
      <w:pPr>
        <w:pStyle w:val="ManualConsidrant"/>
        <w:rPr>
          <w:noProof/>
        </w:rPr>
      </w:pPr>
      <w:r>
        <w:t>(27)</w:t>
      </w:r>
      <w:r>
        <w:tab/>
      </w:r>
      <w:r>
        <w:rPr>
          <w:noProof/>
        </w:rPr>
        <w:t>Käesoleva määrusega ette nähtud meetmed on kooskõlas alalise taime-, looma-, toidu- ja söödakomitee arvamusega,</w:t>
      </w:r>
    </w:p>
    <w:p>
      <w:pPr>
        <w:pStyle w:val="Formuledadoption"/>
        <w:rPr>
          <w:noProof/>
        </w:rPr>
      </w:pPr>
      <w:r>
        <w:rPr>
          <w:noProof/>
        </w:rPr>
        <w:t>ON VASTU VÕTNUD KÄESOLEVA MÄÄRUSE:</w:t>
      </w:r>
    </w:p>
    <w:p>
      <w:pPr>
        <w:pStyle w:val="Titrearticle"/>
        <w:spacing w:after="0"/>
        <w:rPr>
          <w:noProof/>
        </w:rPr>
      </w:pPr>
      <w:r>
        <w:rPr>
          <w:noProof/>
        </w:rPr>
        <w:t>Artikkel 1</w:t>
      </w:r>
    </w:p>
    <w:p>
      <w:pPr>
        <w:pStyle w:val="Titrearticle"/>
        <w:spacing w:before="0"/>
        <w:rPr>
          <w:b/>
          <w:i w:val="0"/>
          <w:noProof/>
        </w:rPr>
      </w:pPr>
      <w:r>
        <w:rPr>
          <w:b/>
          <w:i w:val="0"/>
          <w:noProof/>
        </w:rPr>
        <w:t>Muudatused</w:t>
      </w:r>
    </w:p>
    <w:p>
      <w:pPr>
        <w:rPr>
          <w:noProof/>
        </w:rPr>
      </w:pPr>
      <w:r>
        <w:rPr>
          <w:noProof/>
        </w:rPr>
        <w:t>Rakendusmäärust (EL) 2019/1715 muudetakse järgmiselt.</w:t>
      </w:r>
    </w:p>
    <w:p>
      <w:pPr>
        <w:pStyle w:val="Point0"/>
        <w:rPr>
          <w:noProof/>
        </w:rPr>
      </w:pPr>
      <w:r>
        <w:rPr>
          <w:noProof/>
        </w:rPr>
        <w:t>1.</w:t>
      </w:r>
      <w:r>
        <w:rPr>
          <w:noProof/>
        </w:rPr>
        <w:tab/>
        <w:t>1. peatükis muudetakse artiklit 2 järgmiselt:</w:t>
      </w:r>
    </w:p>
    <w:p>
      <w:pPr>
        <w:pStyle w:val="Point1"/>
        <w:rPr>
          <w:noProof/>
        </w:rPr>
      </w:pPr>
      <w:r>
        <w:rPr>
          <w:noProof/>
        </w:rPr>
        <w:lastRenderedPageBreak/>
        <w:t>a)</w:t>
      </w:r>
      <w:r>
        <w:rPr>
          <w:noProof/>
        </w:rPr>
        <w:tab/>
        <w:t>punkt 8 jäetakse välja;</w:t>
      </w:r>
    </w:p>
    <w:p>
      <w:pPr>
        <w:pStyle w:val="Point1"/>
        <w:rPr>
          <w:noProof/>
        </w:rPr>
      </w:pPr>
      <w:r>
        <w:rPr>
          <w:noProof/>
        </w:rPr>
        <w:t>b)</w:t>
      </w:r>
      <w:r>
        <w:rPr>
          <w:noProof/>
        </w:rPr>
        <w:tab/>
        <w:t>punkt 9 asendatakse järgmisega:</w:t>
      </w:r>
    </w:p>
    <w:p>
      <w:pPr>
        <w:pStyle w:val="Text2"/>
        <w:rPr>
          <w:noProof/>
        </w:rPr>
      </w:pPr>
      <w:r>
        <w:rPr>
          <w:noProof/>
        </w:rPr>
        <w:t>„9)</w:t>
      </w:r>
      <w:r>
        <w:rPr>
          <w:noProof/>
        </w:rPr>
        <w:tab/>
        <w:t>„RASFFi võrk“ – määruse (EÜ) nr 178/2002 artikli 50 alusel võrguna loodud kiirhoiatussüsteem käesoleva artikli punktides 15–20 osutatud teadete esitamiseks;“</w:t>
      </w:r>
    </w:p>
    <w:p>
      <w:pPr>
        <w:pStyle w:val="Point1"/>
        <w:rPr>
          <w:noProof/>
        </w:rPr>
      </w:pPr>
      <w:r>
        <w:rPr>
          <w:noProof/>
        </w:rPr>
        <w:t>c)</w:t>
      </w:r>
      <w:r>
        <w:rPr>
          <w:noProof/>
        </w:rPr>
        <w:tab/>
        <w:t>punkt 11 asendatakse järgmisega:</w:t>
      </w:r>
    </w:p>
    <w:p>
      <w:pPr>
        <w:pStyle w:val="Text2"/>
        <w:rPr>
          <w:noProof/>
        </w:rPr>
      </w:pPr>
      <w:r>
        <w:rPr>
          <w:noProof/>
        </w:rPr>
        <w:t>„11)</w:t>
      </w:r>
      <w:r>
        <w:rPr>
          <w:noProof/>
        </w:rPr>
        <w:tab/>
        <w:t>„pettustevastane võrk“ – komisjonist, Europolist ja määruse (EL) 2017/625 artikli 103 lõike 1 kohaselt liikmesriikide määratud kontaktasutustest koosnev võrk, mille erieesmärk on hõlbustada teabevahetust seoses punktis 21 määratletud pettuseteadetega;“</w:t>
      </w:r>
    </w:p>
    <w:p>
      <w:pPr>
        <w:pStyle w:val="Point1"/>
        <w:rPr>
          <w:noProof/>
        </w:rPr>
      </w:pPr>
      <w:r>
        <w:rPr>
          <w:noProof/>
        </w:rPr>
        <w:t>d)</w:t>
      </w:r>
      <w:r>
        <w:rPr>
          <w:noProof/>
        </w:rPr>
        <w:tab/>
        <w:t>punkt 12 asendatakse järgmisega:</w:t>
      </w:r>
    </w:p>
    <w:p>
      <w:pPr>
        <w:pStyle w:val="Text2"/>
        <w:rPr>
          <w:noProof/>
        </w:rPr>
      </w:pPr>
      <w:r>
        <w:rPr>
          <w:noProof/>
        </w:rPr>
        <w:t>„12)</w:t>
      </w:r>
      <w:r>
        <w:rPr>
          <w:noProof/>
        </w:rPr>
        <w:tab/>
        <w:t>„hoiatus- ja koostöövõrgustik“ – RASFFi võrgust, haldusabi ja -koostöö võrgust ning pettustevastasest võrgust koosnev võrgustik;“</w:t>
      </w:r>
    </w:p>
    <w:p>
      <w:pPr>
        <w:pStyle w:val="Point1"/>
        <w:rPr>
          <w:noProof/>
        </w:rPr>
      </w:pPr>
      <w:r>
        <w:rPr>
          <w:noProof/>
        </w:rPr>
        <w:t>e)</w:t>
      </w:r>
      <w:r>
        <w:rPr>
          <w:noProof/>
        </w:rPr>
        <w:tab/>
        <w:t>punkt 14 asendatakse järgmisega:</w:t>
      </w:r>
    </w:p>
    <w:p>
      <w:pPr>
        <w:pStyle w:val="Text2"/>
        <w:rPr>
          <w:noProof/>
        </w:rPr>
      </w:pPr>
      <w:r>
        <w:rPr>
          <w:noProof/>
        </w:rPr>
        <w:t>„14)</w:t>
      </w:r>
      <w:r>
        <w:rPr>
          <w:noProof/>
        </w:rPr>
        <w:tab/>
        <w:t>„rikkumisteade“ – iRASFFis esitatav teade määruse (EL) 2017/625 artikli 1 lõikes 2 osutatud normide rikkumise kohta, mis ei kujuta endast riski määruse (EÜ) nr 178/2002 artikli 50 ja määruse (EÜ) nr 183/2005 artikli 29 tähenduses;“</w:t>
      </w:r>
    </w:p>
    <w:p>
      <w:pPr>
        <w:pStyle w:val="Point1"/>
        <w:rPr>
          <w:noProof/>
        </w:rPr>
      </w:pPr>
      <w:r>
        <w:rPr>
          <w:noProof/>
        </w:rPr>
        <w:t>f)</w:t>
      </w:r>
      <w:r>
        <w:rPr>
          <w:noProof/>
        </w:rPr>
        <w:tab/>
        <w:t>punkt 20 asendatakse järgmisega:</w:t>
      </w:r>
    </w:p>
    <w:p>
      <w:pPr>
        <w:pStyle w:val="Text2"/>
        <w:rPr>
          <w:noProof/>
        </w:rPr>
      </w:pPr>
      <w:r>
        <w:rPr>
          <w:noProof/>
        </w:rPr>
        <w:t>„20)</w:t>
      </w:r>
      <w:r>
        <w:rPr>
          <w:noProof/>
        </w:rPr>
        <w:tab/>
        <w:t>„piiril tagasilükkamise teade“ – iRASFFis esitatav teade toidu, toiduga kokku puutuva materjali või sööda partii, konteineri või lasti tagasilükkamise kohta määruse (EÜ) nr 178/2002 artikli 50 lõike 3 esimese lõigu punktis c ja määruse (EÜ) nr 183/2005 artiklis 29 osutatud riski tõttu;</w:t>
      </w:r>
    </w:p>
    <w:p>
      <w:pPr>
        <w:pStyle w:val="Point1"/>
        <w:rPr>
          <w:noProof/>
        </w:rPr>
      </w:pPr>
      <w:r>
        <w:rPr>
          <w:noProof/>
        </w:rPr>
        <w:t>g)</w:t>
      </w:r>
      <w:r>
        <w:rPr>
          <w:noProof/>
        </w:rPr>
        <w:tab/>
        <w:t>punkt 21 asendatakse järgmisega:</w:t>
      </w:r>
    </w:p>
    <w:p>
      <w:pPr>
        <w:pStyle w:val="Text2"/>
        <w:rPr>
          <w:noProof/>
        </w:rPr>
      </w:pPr>
      <w:r>
        <w:rPr>
          <w:noProof/>
        </w:rPr>
        <w:t>„21)</w:t>
      </w:r>
      <w:r>
        <w:rPr>
          <w:noProof/>
        </w:rPr>
        <w:tab/>
        <w:t>„pettuseteade“ – iRASFFis esitatav rikkumisteade, milles käsitletakse ettevõtja või üksikisiku arvatavalt tahtlikku tegevust, mille eesmärk on ostja petmine ja sellest põhjendamatu eelise saamine ning millega rikutakse määruse (EL) 2017/625 artikli 1 lõikes 2 osutatud norme;“</w:t>
      </w:r>
    </w:p>
    <w:p>
      <w:pPr>
        <w:pStyle w:val="Point1"/>
        <w:rPr>
          <w:noProof/>
        </w:rPr>
      </w:pPr>
      <w:r>
        <w:rPr>
          <w:noProof/>
        </w:rPr>
        <w:t>h)</w:t>
      </w:r>
      <w:r>
        <w:rPr>
          <w:noProof/>
        </w:rPr>
        <w:tab/>
        <w:t>punkt 22 asendatakse järgmisega:</w:t>
      </w:r>
    </w:p>
    <w:p>
      <w:pPr>
        <w:pStyle w:val="Text2"/>
        <w:rPr>
          <w:noProof/>
        </w:rPr>
      </w:pPr>
      <w:r>
        <w:rPr>
          <w:noProof/>
        </w:rPr>
        <w:t>„22)</w:t>
      </w:r>
      <w:r>
        <w:rPr>
          <w:noProof/>
        </w:rPr>
        <w:tab/>
        <w:t>„algteade“ – rikkumisteade, ohuteade, infoteade, uudiseteade, pettuseteade või piiril tagasilükkamise teade;“</w:t>
      </w:r>
    </w:p>
    <w:p>
      <w:pPr>
        <w:pStyle w:val="Point1"/>
        <w:rPr>
          <w:noProof/>
        </w:rPr>
      </w:pPr>
      <w:r>
        <w:rPr>
          <w:noProof/>
        </w:rPr>
        <w:t>i)</w:t>
      </w:r>
      <w:r>
        <w:rPr>
          <w:noProof/>
        </w:rPr>
        <w:tab/>
        <w:t>punktid 33 ja 34 jäetakse välja.</w:t>
      </w:r>
    </w:p>
    <w:p>
      <w:pPr>
        <w:pStyle w:val="Point0"/>
        <w:rPr>
          <w:noProof/>
        </w:rPr>
      </w:pPr>
      <w:r>
        <w:rPr>
          <w:noProof/>
        </w:rPr>
        <w:t>2.</w:t>
      </w:r>
      <w:r>
        <w:rPr>
          <w:noProof/>
        </w:rPr>
        <w:tab/>
        <w:t>2. peatükis muudetakse artikli 6 lõiget 2 järgmiselt:</w:t>
      </w:r>
    </w:p>
    <w:p>
      <w:pPr>
        <w:pStyle w:val="Point1"/>
        <w:rPr>
          <w:noProof/>
        </w:rPr>
      </w:pPr>
      <w:r>
        <w:rPr>
          <w:noProof/>
        </w:rPr>
        <w:t>a)</w:t>
      </w:r>
      <w:r>
        <w:rPr>
          <w:noProof/>
        </w:rPr>
        <w:tab/>
        <w:t>punkt b asendatakse järgmisega:</w:t>
      </w:r>
    </w:p>
    <w:p>
      <w:pPr>
        <w:pStyle w:val="Text2"/>
        <w:ind w:left="2157" w:hanging="740"/>
        <w:rPr>
          <w:noProof/>
        </w:rPr>
      </w:pPr>
      <w:r>
        <w:rPr>
          <w:noProof/>
        </w:rPr>
        <w:t>„b)</w:t>
      </w:r>
      <w:r>
        <w:rPr>
          <w:noProof/>
        </w:rPr>
        <w:tab/>
        <w:t>EUROPHYT ja TRACES – see võimaldab vahetada EUROPHYTis esitatavate taudipuhangu teadetega seotud andmeid;“</w:t>
      </w:r>
    </w:p>
    <w:p>
      <w:pPr>
        <w:pStyle w:val="Point1"/>
        <w:rPr>
          <w:noProof/>
        </w:rPr>
      </w:pPr>
      <w:r>
        <w:rPr>
          <w:noProof/>
        </w:rPr>
        <w:t>b)</w:t>
      </w:r>
      <w:r>
        <w:rPr>
          <w:noProof/>
        </w:rPr>
        <w:tab/>
        <w:t>punkt c asendatakse järgmisega:</w:t>
      </w:r>
    </w:p>
    <w:p>
      <w:pPr>
        <w:pStyle w:val="Text2"/>
        <w:ind w:left="2157" w:hanging="740"/>
        <w:rPr>
          <w:noProof/>
        </w:rPr>
      </w:pPr>
      <w:r>
        <w:rPr>
          <w:noProof/>
        </w:rPr>
        <w:t>„c)</w:t>
      </w:r>
      <w:r>
        <w:rPr>
          <w:noProof/>
        </w:rPr>
        <w:tab/>
        <w:t>iRASFF ja TRACES – see võimaldab vahetada andmeid ettevõtjate varasemate andmete vastavuse kohta määruse (EL) 2017/625 artikli 1 lõikes 2 osutatud normidele;“</w:t>
      </w:r>
    </w:p>
    <w:p>
      <w:pPr>
        <w:pStyle w:val="Point1"/>
        <w:rPr>
          <w:noProof/>
        </w:rPr>
      </w:pPr>
      <w:r>
        <w:rPr>
          <w:noProof/>
        </w:rPr>
        <w:t>c)</w:t>
      </w:r>
      <w:r>
        <w:rPr>
          <w:noProof/>
        </w:rPr>
        <w:tab/>
        <w:t>lisatakse järgmine punkt:</w:t>
      </w:r>
    </w:p>
    <w:p>
      <w:pPr>
        <w:pStyle w:val="Text2"/>
        <w:ind w:left="2157" w:hanging="740"/>
        <w:rPr>
          <w:noProof/>
        </w:rPr>
      </w:pPr>
      <w:r>
        <w:rPr>
          <w:noProof/>
        </w:rPr>
        <w:lastRenderedPageBreak/>
        <w:t>„d)</w:t>
      </w:r>
      <w:r>
        <w:rPr>
          <w:noProof/>
        </w:rPr>
        <w:tab/>
        <w:t>ADIS ja TRACES – see võimaldab vahetada liidusiseste teadetega seotud andmeid ja teavet.“</w:t>
      </w:r>
    </w:p>
    <w:p>
      <w:pPr>
        <w:pStyle w:val="Point0"/>
        <w:rPr>
          <w:noProof/>
        </w:rPr>
      </w:pPr>
      <w:r>
        <w:rPr>
          <w:noProof/>
        </w:rPr>
        <w:t>3.</w:t>
      </w:r>
      <w:r>
        <w:rPr>
          <w:noProof/>
        </w:rPr>
        <w:tab/>
        <w:t>3. peatüki 1. jagu muudetakse järgmiselt:</w:t>
      </w:r>
    </w:p>
    <w:p>
      <w:pPr>
        <w:pStyle w:val="Point1"/>
        <w:ind w:left="1418"/>
        <w:rPr>
          <w:noProof/>
        </w:rPr>
      </w:pPr>
      <w:r>
        <w:rPr>
          <w:noProof/>
        </w:rPr>
        <w:t>a)</w:t>
      </w:r>
      <w:r>
        <w:rPr>
          <w:noProof/>
        </w:rPr>
        <w:tab/>
        <w:t>artikkel 12 asendatakse järgmisega:</w:t>
      </w:r>
    </w:p>
    <w:p>
      <w:pPr>
        <w:pStyle w:val="Titrearticle"/>
        <w:spacing w:after="0"/>
        <w:rPr>
          <w:noProof/>
        </w:rPr>
      </w:pPr>
      <w:r>
        <w:rPr>
          <w:i w:val="0"/>
          <w:noProof/>
        </w:rPr>
        <w:t>„</w:t>
      </w:r>
      <w:r>
        <w:rPr>
          <w:noProof/>
        </w:rPr>
        <w:t>Artikkel 12</w:t>
      </w:r>
    </w:p>
    <w:p>
      <w:pPr>
        <w:pStyle w:val="Titrearticle"/>
        <w:spacing w:before="0"/>
        <w:rPr>
          <w:noProof/>
        </w:rPr>
      </w:pPr>
      <w:r>
        <w:rPr>
          <w:b/>
          <w:i w:val="0"/>
          <w:noProof/>
        </w:rPr>
        <w:t>Teatavat liiki teabe vahetamise eest vastutavad kontaktasutused</w:t>
      </w:r>
    </w:p>
    <w:p>
      <w:pPr>
        <w:pStyle w:val="Text1"/>
        <w:rPr>
          <w:noProof/>
        </w:rPr>
      </w:pPr>
      <w:r>
        <w:rPr>
          <w:noProof/>
        </w:rPr>
        <w:t>Liikmesriigid täpsustavad, millised määruse (EL) 2017/625 artikli 103 lõike 1 kohaselt määratud kontaktasutused vastutavad pettuseteadetega seotud teabe vahetamise eest.“;</w:t>
      </w:r>
    </w:p>
    <w:p>
      <w:pPr>
        <w:pStyle w:val="Point1"/>
        <w:rPr>
          <w:noProof/>
        </w:rPr>
      </w:pPr>
      <w:r>
        <w:rPr>
          <w:noProof/>
        </w:rPr>
        <w:t>b)</w:t>
      </w:r>
      <w:r>
        <w:rPr>
          <w:noProof/>
        </w:rPr>
        <w:tab/>
        <w:t>artikli 13 lõige 2 asendatakse järgmisega:</w:t>
      </w:r>
    </w:p>
    <w:p>
      <w:pPr>
        <w:pStyle w:val="Text2"/>
        <w:rPr>
          <w:noProof/>
        </w:rPr>
      </w:pPr>
      <w:r>
        <w:rPr>
          <w:noProof/>
        </w:rPr>
        <w:t>„2.</w:t>
      </w:r>
      <w:r>
        <w:rPr>
          <w:noProof/>
        </w:rPr>
        <w:tab/>
        <w:t>Liikmesriigi ühtne kontaktpunkt võib hõlmata liikmesriigi pettustevastase võrgu kontaktpunkti.“;</w:t>
      </w:r>
    </w:p>
    <w:p>
      <w:pPr>
        <w:pStyle w:val="Point1"/>
        <w:ind w:left="1418"/>
        <w:rPr>
          <w:noProof/>
        </w:rPr>
      </w:pPr>
      <w:r>
        <w:rPr>
          <w:noProof/>
        </w:rPr>
        <w:t>c)</w:t>
      </w:r>
      <w:r>
        <w:rPr>
          <w:noProof/>
        </w:rPr>
        <w:tab/>
        <w:t>artikkel 21 asendatakse järgmisega:</w:t>
      </w:r>
    </w:p>
    <w:p>
      <w:pPr>
        <w:pStyle w:val="Titrearticle"/>
        <w:spacing w:after="0"/>
        <w:rPr>
          <w:noProof/>
        </w:rPr>
      </w:pPr>
      <w:r>
        <w:rPr>
          <w:i w:val="0"/>
          <w:noProof/>
        </w:rPr>
        <w:t>„</w:t>
      </w:r>
      <w:r>
        <w:rPr>
          <w:noProof/>
        </w:rPr>
        <w:t>Artikkel 21</w:t>
      </w:r>
    </w:p>
    <w:p>
      <w:pPr>
        <w:pStyle w:val="Titrearticle"/>
        <w:spacing w:before="0"/>
        <w:rPr>
          <w:noProof/>
        </w:rPr>
      </w:pPr>
      <w:r>
        <w:rPr>
          <w:b/>
          <w:i w:val="0"/>
          <w:noProof/>
        </w:rPr>
        <w:t>Pettuseteated</w:t>
      </w:r>
    </w:p>
    <w:p>
      <w:pPr>
        <w:pStyle w:val="Point2"/>
        <w:rPr>
          <w:noProof/>
        </w:rPr>
      </w:pPr>
      <w:r>
        <w:rPr>
          <w:noProof/>
        </w:rPr>
        <w:t>1.</w:t>
      </w:r>
      <w:r>
        <w:rPr>
          <w:noProof/>
        </w:rPr>
        <w:tab/>
        <w:t>Pettustevastase võrgu kontaktpunktid vahetavad pettuseteateid, mis sisaldavad vähemalt järgmist:</w:t>
      </w:r>
    </w:p>
    <w:p>
      <w:pPr>
        <w:pStyle w:val="Point3"/>
        <w:rPr>
          <w:noProof/>
          <w:szCs w:val="24"/>
        </w:rPr>
      </w:pPr>
      <w:r>
        <w:rPr>
          <w:noProof/>
        </w:rPr>
        <w:t>a)</w:t>
      </w:r>
      <w:r>
        <w:rPr>
          <w:noProof/>
        </w:rPr>
        <w:tab/>
        <w:t>kogu artikli 16 lõikes 1 nõutud teave;</w:t>
      </w:r>
    </w:p>
    <w:p>
      <w:pPr>
        <w:pStyle w:val="Point3"/>
        <w:rPr>
          <w:noProof/>
          <w:szCs w:val="24"/>
        </w:rPr>
      </w:pPr>
      <w:r>
        <w:rPr>
          <w:noProof/>
        </w:rPr>
        <w:t>b)</w:t>
      </w:r>
      <w:r>
        <w:rPr>
          <w:noProof/>
        </w:rPr>
        <w:tab/>
        <w:t>kahtlustatava pettuse kirjeldus;</w:t>
      </w:r>
    </w:p>
    <w:p>
      <w:pPr>
        <w:pStyle w:val="Point3"/>
        <w:rPr>
          <w:noProof/>
          <w:szCs w:val="24"/>
        </w:rPr>
      </w:pPr>
      <w:r>
        <w:rPr>
          <w:noProof/>
        </w:rPr>
        <w:t>c)</w:t>
      </w:r>
      <w:r>
        <w:rPr>
          <w:noProof/>
        </w:rPr>
        <w:tab/>
        <w:t>võimaluse korral asjaomaste ettevõtjate andmed;</w:t>
      </w:r>
    </w:p>
    <w:p>
      <w:pPr>
        <w:pStyle w:val="Point3"/>
        <w:rPr>
          <w:noProof/>
          <w:szCs w:val="24"/>
        </w:rPr>
      </w:pPr>
      <w:r>
        <w:rPr>
          <w:noProof/>
        </w:rPr>
        <w:t>d)</w:t>
      </w:r>
      <w:r>
        <w:rPr>
          <w:noProof/>
        </w:rPr>
        <w:tab/>
        <w:t>teave selle kohta, kas kahtlustatava pettuse kohta on käimas politsei- või kohtulik uurimine;</w:t>
      </w:r>
    </w:p>
    <w:p>
      <w:pPr>
        <w:pStyle w:val="Point3"/>
        <w:rPr>
          <w:noProof/>
          <w:szCs w:val="24"/>
        </w:rPr>
      </w:pPr>
      <w:r>
        <w:rPr>
          <w:noProof/>
        </w:rPr>
        <w:t>e)</w:t>
      </w:r>
      <w:r>
        <w:rPr>
          <w:noProof/>
        </w:rPr>
        <w:tab/>
        <w:t>teave politseilt või kohtuasutuselt saadud mis tahes juhiste kohta niipea, kui need muutuvad kättesaadavaks ja need võib avalikustada.</w:t>
      </w:r>
    </w:p>
    <w:p>
      <w:pPr>
        <w:pStyle w:val="Point2"/>
        <w:rPr>
          <w:noProof/>
        </w:rPr>
      </w:pPr>
      <w:r>
        <w:rPr>
          <w:noProof/>
        </w:rPr>
        <w:t>2.</w:t>
      </w:r>
      <w:r>
        <w:rPr>
          <w:noProof/>
        </w:rPr>
        <w:tab/>
        <w:t>Pettustevastase võrgu kontaktpunktid edastavad mis tahes teabe terviseriskide kohta põhjendamatu viivituseta oma RASFFi võrgu kontaktpunktile.</w:t>
      </w:r>
    </w:p>
    <w:p>
      <w:pPr>
        <w:pStyle w:val="Point2"/>
        <w:rPr>
          <w:noProof/>
        </w:rPr>
      </w:pPr>
      <w:r>
        <w:rPr>
          <w:noProof/>
        </w:rPr>
        <w:t>3.</w:t>
      </w:r>
      <w:r>
        <w:rPr>
          <w:noProof/>
        </w:rPr>
        <w:tab/>
        <w:t>Komisjoni kontaktpunkt kontrollib iga pettuseteadet põhjendamatu viivituseta kohe pärast selle esitamist.“;</w:t>
      </w:r>
    </w:p>
    <w:p>
      <w:pPr>
        <w:pStyle w:val="Point1"/>
        <w:ind w:left="1418"/>
        <w:rPr>
          <w:noProof/>
        </w:rPr>
      </w:pPr>
      <w:r>
        <w:rPr>
          <w:noProof/>
        </w:rPr>
        <w:t>d)</w:t>
      </w:r>
      <w:r>
        <w:rPr>
          <w:noProof/>
        </w:rPr>
        <w:tab/>
        <w:t>artikli 23 lõige 3 asendatakse järgmisega:</w:t>
      </w:r>
    </w:p>
    <w:p>
      <w:pPr>
        <w:pStyle w:val="Text2"/>
        <w:rPr>
          <w:noProof/>
        </w:rPr>
      </w:pPr>
      <w:r>
        <w:rPr>
          <w:noProof/>
        </w:rPr>
        <w:t>„3.</w:t>
      </w:r>
      <w:r>
        <w:rPr>
          <w:noProof/>
        </w:rPr>
        <w:tab/>
        <w:t>Ilma et see piiraks artikli 8 lõike 2 kohast komisjoni juurdepääsuõigust, on juurdepääs pettuseteadetele ainult pettustevastase võrgu teavitavatel, teavitatavatel ja päringu saanud kontaktpunktidel.“;</w:t>
      </w:r>
    </w:p>
    <w:p>
      <w:pPr>
        <w:pStyle w:val="Point1"/>
        <w:ind w:left="1418"/>
        <w:rPr>
          <w:noProof/>
        </w:rPr>
      </w:pPr>
      <w:r>
        <w:rPr>
          <w:noProof/>
        </w:rPr>
        <w:t>e)</w:t>
      </w:r>
      <w:r>
        <w:rPr>
          <w:noProof/>
        </w:rPr>
        <w:tab/>
        <w:t>artikli 24 lõige 2 asendatakse järgmisega:</w:t>
      </w:r>
    </w:p>
    <w:p>
      <w:pPr>
        <w:pStyle w:val="Text2"/>
        <w:rPr>
          <w:noProof/>
        </w:rPr>
      </w:pPr>
      <w:r>
        <w:rPr>
          <w:noProof/>
        </w:rPr>
        <w:t>„2.</w:t>
      </w:r>
      <w:r>
        <w:rPr>
          <w:noProof/>
        </w:rPr>
        <w:tab/>
        <w:t>Erandina lõikest 1 hõlmab rikkumis-, pettuse- ja piiril tagasilükkamise teadete kontrollimine kõnealuse lõike punkte b, c ja e.“;</w:t>
      </w:r>
    </w:p>
    <w:p>
      <w:pPr>
        <w:pStyle w:val="Point1"/>
        <w:rPr>
          <w:noProof/>
        </w:rPr>
      </w:pPr>
      <w:r>
        <w:rPr>
          <w:noProof/>
        </w:rPr>
        <w:t>f)</w:t>
      </w:r>
      <w:r>
        <w:rPr>
          <w:noProof/>
        </w:rPr>
        <w:tab/>
        <w:t>artikli 25 lõike 1 punkt a asendatakse järgmisega:</w:t>
      </w:r>
    </w:p>
    <w:p>
      <w:pPr>
        <w:pStyle w:val="Text2"/>
        <w:rPr>
          <w:noProof/>
        </w:rPr>
      </w:pPr>
      <w:r>
        <w:rPr>
          <w:noProof/>
        </w:rPr>
        <w:t>„a)</w:t>
      </w:r>
      <w:r>
        <w:rPr>
          <w:noProof/>
        </w:rPr>
        <w:tab/>
        <w:t>teavitavat kontaktpunkti võtta rikkumis-, pettuse- või järelteade tagasi;“</w:t>
      </w:r>
    </w:p>
    <w:p>
      <w:pPr>
        <w:pStyle w:val="Point1"/>
        <w:ind w:left="1418"/>
        <w:rPr>
          <w:noProof/>
        </w:rPr>
      </w:pPr>
      <w:r>
        <w:rPr>
          <w:noProof/>
        </w:rPr>
        <w:lastRenderedPageBreak/>
        <w:t>g)</w:t>
      </w:r>
      <w:r>
        <w:rPr>
          <w:noProof/>
        </w:rPr>
        <w:tab/>
        <w:t>artikli 27 lõige 2 asendatakse järgmisega:</w:t>
      </w:r>
    </w:p>
    <w:p>
      <w:pPr>
        <w:pStyle w:val="Text2"/>
        <w:rPr>
          <w:noProof/>
        </w:rPr>
      </w:pPr>
      <w:r>
        <w:rPr>
          <w:noProof/>
        </w:rPr>
        <w:t>„2.</w:t>
      </w:r>
      <w:r>
        <w:rPr>
          <w:noProof/>
        </w:rPr>
        <w:tab/>
        <w:t>Kui rikkumis- või pettuseteade on seotud tootega, mis on pärit kolmandast riigist või mida turustatakse kolmandas riigis, millel ei ole juurdepääsu iRASFFile või TRACESile, võib komisjon seda kolmandat riiki teavitada.“;</w:t>
      </w:r>
    </w:p>
    <w:p>
      <w:pPr>
        <w:pStyle w:val="Point1"/>
        <w:rPr>
          <w:noProof/>
        </w:rPr>
      </w:pPr>
      <w:r>
        <w:rPr>
          <w:noProof/>
        </w:rPr>
        <w:t>h)</w:t>
      </w:r>
      <w:r>
        <w:rPr>
          <w:noProof/>
        </w:rPr>
        <w:tab/>
        <w:t>artikli 28 lõike 1 punkt c asendatakse järgmisega:</w:t>
      </w:r>
    </w:p>
    <w:p>
      <w:pPr>
        <w:pStyle w:val="Text2"/>
        <w:rPr>
          <w:noProof/>
        </w:rPr>
      </w:pPr>
      <w:r>
        <w:rPr>
          <w:noProof/>
        </w:rPr>
        <w:t>„c)</w:t>
      </w:r>
      <w:r>
        <w:rPr>
          <w:noProof/>
        </w:rPr>
        <w:tab/>
        <w:t>vahetavad pettustevastase võrgu kontaktpunktid teavet pettuseteadete kohta e-posti teel;“.</w:t>
      </w:r>
    </w:p>
    <w:p>
      <w:pPr>
        <w:pStyle w:val="Point0"/>
        <w:rPr>
          <w:noProof/>
        </w:rPr>
      </w:pPr>
      <w:r>
        <w:rPr>
          <w:noProof/>
        </w:rPr>
        <w:t>4.</w:t>
      </w:r>
      <w:r>
        <w:rPr>
          <w:noProof/>
        </w:rPr>
        <w:tab/>
        <w:t>3. peatüki 2. jagu asendatakse järgmisega:</w:t>
      </w:r>
    </w:p>
    <w:p>
      <w:pPr>
        <w:spacing w:before="360" w:after="0"/>
        <w:jc w:val="center"/>
        <w:rPr>
          <w:b/>
          <w:caps/>
          <w:noProof/>
          <w:sz w:val="28"/>
          <w:szCs w:val="28"/>
        </w:rPr>
      </w:pPr>
      <w:r>
        <w:rPr>
          <w:caps/>
          <w:noProof/>
        </w:rPr>
        <w:t>„</w:t>
      </w:r>
      <w:r>
        <w:rPr>
          <w:b/>
          <w:caps/>
          <w:noProof/>
          <w:sz w:val="28"/>
          <w:szCs w:val="28"/>
        </w:rPr>
        <w:t>2. jagu</w:t>
      </w:r>
    </w:p>
    <w:p>
      <w:pPr>
        <w:spacing w:before="0"/>
        <w:jc w:val="center"/>
        <w:rPr>
          <w:b/>
          <w:caps/>
          <w:noProof/>
          <w:sz w:val="28"/>
          <w:szCs w:val="28"/>
        </w:rPr>
      </w:pPr>
      <w:r>
        <w:rPr>
          <w:b/>
          <w:caps/>
          <w:noProof/>
          <w:sz w:val="28"/>
          <w:szCs w:val="28"/>
        </w:rPr>
        <w:t>ADIS</w:t>
      </w:r>
    </w:p>
    <w:p>
      <w:pPr>
        <w:pStyle w:val="Titrearticle"/>
        <w:spacing w:after="0"/>
        <w:rPr>
          <w:noProof/>
        </w:rPr>
      </w:pPr>
      <w:r>
        <w:rPr>
          <w:noProof/>
        </w:rPr>
        <w:t>Artikkel 29</w:t>
      </w:r>
    </w:p>
    <w:p>
      <w:pPr>
        <w:pStyle w:val="Titrearticle"/>
        <w:spacing w:before="0"/>
        <w:rPr>
          <w:b/>
          <w:i w:val="0"/>
          <w:noProof/>
        </w:rPr>
      </w:pPr>
      <w:r>
        <w:rPr>
          <w:b/>
          <w:i w:val="0"/>
          <w:noProof/>
        </w:rPr>
        <w:t>ADISe võrk</w:t>
      </w:r>
    </w:p>
    <w:p>
      <w:pPr>
        <w:pStyle w:val="Point1"/>
        <w:rPr>
          <w:noProof/>
        </w:rPr>
      </w:pPr>
      <w:r>
        <w:rPr>
          <w:noProof/>
        </w:rPr>
        <w:t>1.</w:t>
      </w:r>
      <w:r>
        <w:rPr>
          <w:noProof/>
        </w:rPr>
        <w:tab/>
        <w:t>ADISe võrgu iga liige määrab vähemalt ühe kontaktpunkti, kes vastutab komisjoni rakendusmääruse (EL) 2020/2002</w:t>
      </w:r>
      <w:r>
        <w:rPr>
          <w:noProof/>
          <w:vertAlign w:val="superscript"/>
        </w:rPr>
        <w:t>*</w:t>
      </w:r>
      <w:r>
        <w:rPr>
          <w:noProof/>
        </w:rPr>
        <w:t xml:space="preserve"> artiklite 3, 4, 6, 7, 8, 11 ja 13 kohase liidusisese teavitamise ja aruandlusega seotud andmete ja teabe ADISes esitamise eest.</w:t>
      </w:r>
    </w:p>
    <w:p>
      <w:pPr>
        <w:pStyle w:val="Point1"/>
        <w:rPr>
          <w:noProof/>
        </w:rPr>
      </w:pPr>
      <w:r>
        <w:rPr>
          <w:noProof/>
        </w:rPr>
        <w:t>2.</w:t>
      </w:r>
      <w:r>
        <w:rPr>
          <w:noProof/>
        </w:rPr>
        <w:tab/>
        <w:t xml:space="preserve">ADISe võrgu iga kontaktpunkt haldab ja ajakohastab ADISes rakendusmääruse (EL) 2020/2002 IV lisaga ette nähtud teavitamis- ja aruandluspiirkondade loetelu, mille tema liikmesriik on kehtestanud. </w:t>
      </w:r>
    </w:p>
    <w:p>
      <w:pPr>
        <w:pStyle w:val="Titrearticle"/>
        <w:spacing w:after="0"/>
        <w:rPr>
          <w:noProof/>
        </w:rPr>
      </w:pPr>
      <w:r>
        <w:rPr>
          <w:noProof/>
        </w:rPr>
        <w:t>Artikkel 29a</w:t>
      </w:r>
    </w:p>
    <w:p>
      <w:pPr>
        <w:pStyle w:val="Titrearticle"/>
        <w:spacing w:before="0"/>
        <w:rPr>
          <w:b/>
          <w:i w:val="0"/>
          <w:noProof/>
        </w:rPr>
      </w:pPr>
      <w:r>
        <w:rPr>
          <w:b/>
          <w:i w:val="0"/>
          <w:noProof/>
        </w:rPr>
        <w:t>Isikuandmete säilitamise tähtaeg</w:t>
      </w:r>
    </w:p>
    <w:p>
      <w:pPr>
        <w:pStyle w:val="Text1"/>
        <w:rPr>
          <w:noProof/>
        </w:rPr>
      </w:pPr>
      <w:r>
        <w:rPr>
          <w:noProof/>
        </w:rPr>
        <w:t>Artikli 29 lõikes 1 osutatud liidusisestest teadetest ja aruannetest pärit isikuandmeid säilitatakse ADISes kuni kümme aastat.</w:t>
      </w:r>
    </w:p>
    <w:p>
      <w:pPr>
        <w:pStyle w:val="Titrearticle"/>
        <w:spacing w:after="0"/>
        <w:rPr>
          <w:noProof/>
        </w:rPr>
      </w:pPr>
      <w:r>
        <w:rPr>
          <w:noProof/>
        </w:rPr>
        <w:t>Artikkel 29b</w:t>
      </w:r>
    </w:p>
    <w:p>
      <w:pPr>
        <w:pStyle w:val="Titrearticle"/>
        <w:spacing w:before="0"/>
        <w:rPr>
          <w:b/>
          <w:i w:val="0"/>
          <w:noProof/>
        </w:rPr>
      </w:pPr>
      <w:r>
        <w:rPr>
          <w:b/>
          <w:i w:val="0"/>
          <w:noProof/>
        </w:rPr>
        <w:t>ADISt käsitlev eriolukorras tegutsemise kord</w:t>
      </w:r>
    </w:p>
    <w:p>
      <w:pPr>
        <w:pStyle w:val="Point1"/>
        <w:rPr>
          <w:noProof/>
        </w:rPr>
      </w:pPr>
      <w:r>
        <w:rPr>
          <w:noProof/>
        </w:rPr>
        <w:t>1.</w:t>
      </w:r>
      <w:r>
        <w:rPr>
          <w:noProof/>
        </w:rPr>
        <w:tab/>
        <w:t>Kui ADIS ei ole kättesaadav, esitavad ADISe võrgu kontaktpunktid artikli 29 lõikes 1 osutatud liidusisese teavitamise ja aruandlusega seotud andmed ja teabe e-posti teel või komisjoni veebisaidil täpsustatud muul viisil.</w:t>
      </w:r>
    </w:p>
    <w:p>
      <w:pPr>
        <w:pStyle w:val="Point1"/>
        <w:rPr>
          <w:noProof/>
        </w:rPr>
      </w:pPr>
      <w:r>
        <w:rPr>
          <w:noProof/>
        </w:rPr>
        <w:t>2.</w:t>
      </w:r>
      <w:r>
        <w:rPr>
          <w:noProof/>
        </w:rPr>
        <w:tab/>
        <w:t>Kui ADIS muutub jälle kättesaadavaks, sisestavad ADISe võrgu kontaktpunktid sinna kõnealused väljaspool süsteemi esitatud andmed ja teabe.</w:t>
      </w:r>
    </w:p>
    <w:p>
      <w:pPr>
        <w:pStyle w:val="Text1"/>
        <w:rPr>
          <w:noProof/>
        </w:rPr>
      </w:pPr>
      <w:r>
        <w:rPr>
          <w:noProof/>
        </w:rPr>
        <w:t>-----------------------------------</w:t>
      </w:r>
    </w:p>
    <w:p>
      <w:pPr>
        <w:pStyle w:val="Point1"/>
        <w:rPr>
          <w:noProof/>
        </w:rPr>
      </w:pPr>
      <w:r>
        <w:rPr>
          <w:noProof/>
          <w:vertAlign w:val="superscript"/>
        </w:rPr>
        <w:t>*</w:t>
      </w:r>
      <w:r>
        <w:rPr>
          <w:noProof/>
        </w:rPr>
        <w:tab/>
        <w:t>Komisjoni 7. detsembri 2020. aasta rakendusmäärus (EL) 2020/2002, millega kehtestatakse eeskirjad Euroopa Parlamendi ja nõukogu määruse (EL) 2016/429 kohaldamiseks seoses liidusisese loetellu kantud taudidest teavitamise ja neid käsitleva liidu aruandlusega, liidu seireprogrammide ja likvideerimisprogrammide esitamise ja neid käsitleva aruandluse ning taudivaba staatuse tunnustamise taotlemise vormingu ja korraga ning elektroonilise teabesüsteemiga (ELT L 412, 8.12.2020, lk 1).“</w:t>
      </w:r>
    </w:p>
    <w:p>
      <w:pPr>
        <w:pStyle w:val="Point0"/>
        <w:rPr>
          <w:noProof/>
        </w:rPr>
      </w:pPr>
      <w:r>
        <w:rPr>
          <w:noProof/>
        </w:rPr>
        <w:t>5.</w:t>
      </w:r>
      <w:r>
        <w:rPr>
          <w:noProof/>
        </w:rPr>
        <w:tab/>
        <w:t>3. peatüki 3. jagu muudetakse järgmiselt:</w:t>
      </w:r>
    </w:p>
    <w:p>
      <w:pPr>
        <w:pStyle w:val="Point1"/>
        <w:rPr>
          <w:noProof/>
        </w:rPr>
      </w:pPr>
      <w:r>
        <w:rPr>
          <w:noProof/>
        </w:rPr>
        <w:lastRenderedPageBreak/>
        <w:t>a)</w:t>
      </w:r>
      <w:r>
        <w:rPr>
          <w:noProof/>
        </w:rPr>
        <w:tab/>
        <w:t>artikkel 30 asendatakse järgmisega:</w:t>
      </w:r>
    </w:p>
    <w:p>
      <w:pPr>
        <w:pStyle w:val="Titrearticle"/>
        <w:spacing w:after="0"/>
        <w:rPr>
          <w:noProof/>
        </w:rPr>
      </w:pPr>
      <w:r>
        <w:rPr>
          <w:i w:val="0"/>
          <w:noProof/>
        </w:rPr>
        <w:t>„</w:t>
      </w:r>
      <w:r>
        <w:rPr>
          <w:noProof/>
        </w:rPr>
        <w:t>Artikkel 30</w:t>
      </w:r>
    </w:p>
    <w:p>
      <w:pPr>
        <w:pStyle w:val="Titrearticle"/>
        <w:spacing w:before="0"/>
        <w:rPr>
          <w:b/>
          <w:i w:val="0"/>
          <w:noProof/>
        </w:rPr>
      </w:pPr>
      <w:r>
        <w:rPr>
          <w:b/>
          <w:i w:val="0"/>
          <w:noProof/>
        </w:rPr>
        <w:t>EUROPHYTi taudipuhangute võrk</w:t>
      </w:r>
    </w:p>
    <w:p>
      <w:pPr>
        <w:pStyle w:val="Text1"/>
        <w:rPr>
          <w:noProof/>
        </w:rPr>
      </w:pPr>
      <w:r>
        <w:rPr>
          <w:noProof/>
        </w:rPr>
        <w:t>EUROPHYTi taudipuhangute võrgu iga liige määrab kontaktpunkti, kes vastutab EUROPHYTi taudipuhangu teadete EUROPHYTis esitamise eest.“;</w:t>
      </w:r>
    </w:p>
    <w:p>
      <w:pPr>
        <w:pStyle w:val="Point1"/>
        <w:rPr>
          <w:noProof/>
        </w:rPr>
      </w:pPr>
      <w:r>
        <w:rPr>
          <w:noProof/>
        </w:rPr>
        <w:t>b)</w:t>
      </w:r>
      <w:r>
        <w:rPr>
          <w:noProof/>
        </w:rPr>
        <w:tab/>
        <w:t>artiklid 31 ja 33 jäetakse välja.</w:t>
      </w:r>
    </w:p>
    <w:p>
      <w:pPr>
        <w:pStyle w:val="Point0"/>
        <w:rPr>
          <w:noProof/>
        </w:rPr>
      </w:pPr>
      <w:r>
        <w:rPr>
          <w:noProof/>
        </w:rPr>
        <w:t>6.</w:t>
      </w:r>
      <w:r>
        <w:rPr>
          <w:noProof/>
        </w:rPr>
        <w:tab/>
        <w:t>3. peatüki 4. jagu muudetakse järgmiselt:</w:t>
      </w:r>
    </w:p>
    <w:p>
      <w:pPr>
        <w:pStyle w:val="Point1"/>
        <w:rPr>
          <w:noProof/>
        </w:rPr>
      </w:pPr>
      <w:r>
        <w:rPr>
          <w:noProof/>
        </w:rPr>
        <w:t>a)</w:t>
      </w:r>
      <w:r>
        <w:rPr>
          <w:noProof/>
        </w:rPr>
        <w:tab/>
        <w:t>artikkel 35 asendatakse järgmisega:</w:t>
      </w:r>
    </w:p>
    <w:p>
      <w:pPr>
        <w:pStyle w:val="Titrearticle"/>
        <w:spacing w:after="0"/>
        <w:rPr>
          <w:noProof/>
        </w:rPr>
      </w:pPr>
      <w:r>
        <w:rPr>
          <w:i w:val="0"/>
          <w:noProof/>
        </w:rPr>
        <w:t>„</w:t>
      </w:r>
      <w:r>
        <w:rPr>
          <w:noProof/>
        </w:rPr>
        <w:t>Artikkel 35</w:t>
      </w:r>
    </w:p>
    <w:p>
      <w:pPr>
        <w:pStyle w:val="Titrearticle"/>
        <w:spacing w:before="0"/>
        <w:rPr>
          <w:b/>
          <w:i w:val="0"/>
          <w:noProof/>
        </w:rPr>
      </w:pPr>
      <w:r>
        <w:rPr>
          <w:b/>
          <w:i w:val="0"/>
          <w:noProof/>
        </w:rPr>
        <w:t>TRACESi võrk</w:t>
      </w:r>
    </w:p>
    <w:p>
      <w:pPr>
        <w:pStyle w:val="Point1"/>
        <w:ind w:left="851" w:hanging="1"/>
        <w:rPr>
          <w:noProof/>
        </w:rPr>
      </w:pPr>
      <w:r>
        <w:rPr>
          <w:noProof/>
        </w:rPr>
        <w:t>Ilma et see piiraks artikli 4 lõike 2 kohaldamist, määrab TRACESi võrgu iga liige ühe või mitu kontaktpunkti määruse (EL) 2017/625 artikli 132 punktis d ja artiklis 133 ning muudes TRACESile osutavates liidu õigusaktides sätestatud ülesannete täitmiseks.“;</w:t>
      </w:r>
    </w:p>
    <w:p>
      <w:pPr>
        <w:pStyle w:val="Point1"/>
        <w:rPr>
          <w:noProof/>
        </w:rPr>
      </w:pPr>
      <w:r>
        <w:rPr>
          <w:noProof/>
        </w:rPr>
        <w:t>b)</w:t>
      </w:r>
      <w:r>
        <w:rPr>
          <w:noProof/>
        </w:rPr>
        <w:tab/>
        <w:t>artikkel 39 asendatakse järgmisega:</w:t>
      </w:r>
    </w:p>
    <w:p>
      <w:pPr>
        <w:pStyle w:val="Titrearticle"/>
        <w:spacing w:after="0"/>
        <w:rPr>
          <w:noProof/>
        </w:rPr>
      </w:pPr>
      <w:r>
        <w:rPr>
          <w:i w:val="0"/>
          <w:noProof/>
        </w:rPr>
        <w:t>„</w:t>
      </w:r>
      <w:r>
        <w:rPr>
          <w:noProof/>
        </w:rPr>
        <w:t>Artikkel 39</w:t>
      </w:r>
    </w:p>
    <w:p>
      <w:pPr>
        <w:pStyle w:val="Titrearticle"/>
        <w:spacing w:before="0"/>
        <w:rPr>
          <w:b/>
          <w:i w:val="0"/>
          <w:noProof/>
        </w:rPr>
      </w:pPr>
      <w:r>
        <w:rPr>
          <w:b/>
          <w:i w:val="0"/>
          <w:noProof/>
        </w:rPr>
        <w:t>Elektrooniliste sertifikaatide väljaandmine liitu sisse toodavate looma- ja kaubasaadetiste jaoks ning e-allkirja kasutamine</w:t>
      </w:r>
    </w:p>
    <w:p>
      <w:pPr>
        <w:pStyle w:val="Point2"/>
        <w:rPr>
          <w:noProof/>
        </w:rPr>
      </w:pPr>
      <w:r>
        <w:rPr>
          <w:noProof/>
        </w:rPr>
        <w:t>1.</w:t>
      </w:r>
      <w:r>
        <w:rPr>
          <w:noProof/>
        </w:rPr>
        <w:tab/>
        <w:t>Liitu sisse toodavate looma- ja kaubasaadetiste elektroonilised loomatervise sertifikaadid, ametlikud sertifikaadid ja loomatervise/ametlikud sertifikaadid peavad vastama kõikidele järgmistele nõuetele:</w:t>
      </w:r>
    </w:p>
    <w:p>
      <w:pPr>
        <w:pStyle w:val="Point3"/>
        <w:rPr>
          <w:noProof/>
        </w:rPr>
      </w:pPr>
      <w:r>
        <w:rPr>
          <w:noProof/>
        </w:rPr>
        <w:t>a)</w:t>
      </w:r>
      <w:r>
        <w:rPr>
          <w:noProof/>
        </w:rPr>
        <w:tab/>
        <w:t>need on välja antud ühes järgmistest süsteemidest:</w:t>
      </w:r>
    </w:p>
    <w:p>
      <w:pPr>
        <w:pStyle w:val="Point4"/>
        <w:rPr>
          <w:noProof/>
        </w:rPr>
      </w:pPr>
      <w:r>
        <w:rPr>
          <w:noProof/>
        </w:rPr>
        <w:t>i)</w:t>
      </w:r>
      <w:r>
        <w:rPr>
          <w:noProof/>
        </w:rPr>
        <w:tab/>
        <w:t>TRACES;</w:t>
      </w:r>
    </w:p>
    <w:p>
      <w:pPr>
        <w:pStyle w:val="Point4"/>
        <w:rPr>
          <w:noProof/>
        </w:rPr>
      </w:pPr>
      <w:r>
        <w:rPr>
          <w:noProof/>
        </w:rPr>
        <w:t>ii)</w:t>
      </w:r>
      <w:r>
        <w:rPr>
          <w:noProof/>
        </w:rPr>
        <w:tab/>
        <w:t>liikmesriigi riigisisene süsteem;</w:t>
      </w:r>
    </w:p>
    <w:p>
      <w:pPr>
        <w:pStyle w:val="Point4"/>
        <w:rPr>
          <w:noProof/>
        </w:rPr>
      </w:pPr>
      <w:r>
        <w:rPr>
          <w:noProof/>
        </w:rPr>
        <w:t>iii)</w:t>
      </w:r>
      <w:r>
        <w:rPr>
          <w:noProof/>
        </w:rPr>
        <w:tab/>
        <w:t>kolmanda riigi või rahvusvahelise organisatsiooni elektrooniline sertifitseerimissüsteem, mis on suuteline vahetama andmeid TRACESiga;</w:t>
      </w:r>
    </w:p>
    <w:p>
      <w:pPr>
        <w:pStyle w:val="Point4"/>
        <w:rPr>
          <w:noProof/>
        </w:rPr>
      </w:pPr>
      <w:r>
        <w:rPr>
          <w:noProof/>
        </w:rPr>
        <w:t>iv)</w:t>
      </w:r>
      <w:r>
        <w:rPr>
          <w:noProof/>
        </w:rPr>
        <w:tab/>
        <w:t>kolmanda riigi või rahvusvahelise organisatsiooni elektrooniline sertifitseerimissüsteem, mis on suuteline vahetama andmeid liikmesriigi riigisisese süsteemiga;</w:t>
      </w:r>
    </w:p>
    <w:p>
      <w:pPr>
        <w:pStyle w:val="Point3"/>
        <w:rPr>
          <w:noProof/>
        </w:rPr>
      </w:pPr>
      <w:r>
        <w:rPr>
          <w:noProof/>
        </w:rPr>
        <w:t>b)</w:t>
      </w:r>
      <w:r>
        <w:rPr>
          <w:noProof/>
        </w:rPr>
        <w:tab/>
        <w:t>need on allkirjastanud volitatud ametnik oma e-allkirjaga;</w:t>
      </w:r>
    </w:p>
    <w:p>
      <w:pPr>
        <w:pStyle w:val="Point3"/>
        <w:rPr>
          <w:noProof/>
        </w:rPr>
      </w:pPr>
      <w:r>
        <w:rPr>
          <w:noProof/>
        </w:rPr>
        <w:t>c)</w:t>
      </w:r>
      <w:r>
        <w:rPr>
          <w:noProof/>
        </w:rPr>
        <w:tab/>
        <w:t xml:space="preserve">neil on sertifikaadi välja andnud pädeva asutuse täiustatud või kvalifitseeritud e-tempel või tema seadusliku esindaja täiustatud või kvalifitseeritud e-allkiri. </w:t>
      </w:r>
    </w:p>
    <w:p>
      <w:pPr>
        <w:pStyle w:val="Point2"/>
        <w:rPr>
          <w:noProof/>
        </w:rPr>
      </w:pPr>
      <w:r>
        <w:rPr>
          <w:noProof/>
        </w:rPr>
        <w:t>2.</w:t>
      </w:r>
      <w:r>
        <w:rPr>
          <w:noProof/>
        </w:rPr>
        <w:tab/>
        <w:t>Kui elektrooniline loomatervise sertifikaat, ametlik sertifikaat või loomatervise/ametlik sertifikaat on välja antud kooskõlas lõike 1 punkti a alapunktiga iii või iv, ei ole volitatud ametniku e-allkiri vajalik.</w:t>
      </w:r>
    </w:p>
    <w:p>
      <w:pPr>
        <w:pStyle w:val="Point2"/>
        <w:rPr>
          <w:noProof/>
        </w:rPr>
      </w:pPr>
      <w:r>
        <w:rPr>
          <w:noProof/>
        </w:rPr>
        <w:lastRenderedPageBreak/>
        <w:t>3.</w:t>
      </w:r>
      <w:r>
        <w:rPr>
          <w:noProof/>
        </w:rPr>
        <w:tab/>
        <w:t>Komisjoni teavitatakse lõike 1 punkti a alapunkti iv kohasest elektroonilise loomatervise sertifikaadi, ametliku sertifikaadi või loomatervise/ametliku sertifikaadi väljaandmisest ette.</w:t>
      </w:r>
    </w:p>
    <w:p>
      <w:pPr>
        <w:pStyle w:val="Point2"/>
        <w:rPr>
          <w:noProof/>
        </w:rPr>
      </w:pPr>
      <w:r>
        <w:rPr>
          <w:noProof/>
        </w:rPr>
        <w:t>4.</w:t>
      </w:r>
      <w:r>
        <w:rPr>
          <w:noProof/>
        </w:rPr>
        <w:tab/>
        <w:t>Pädev asutus aktsepteerib määruse (EL) 2016/2031 VI peatüki 1. jao kohaselt nõutavat taimede, taimsete saaduste või muude objektide liidu territooriumile toomiseks vajalikku elektroonilist fütosanitaarsertifikaati üksnes siis, kui see on välja antud kooskõlas käesoleva artikli lõike 1 punkti a alapunktiga i või iii.“;</w:t>
      </w:r>
    </w:p>
    <w:p>
      <w:pPr>
        <w:pStyle w:val="Point1"/>
        <w:rPr>
          <w:noProof/>
        </w:rPr>
      </w:pPr>
      <w:r>
        <w:rPr>
          <w:noProof/>
        </w:rPr>
        <w:t>c)</w:t>
      </w:r>
      <w:r>
        <w:rPr>
          <w:noProof/>
        </w:rPr>
        <w:tab/>
        <w:t>artikli 39 järele lisatakse järgmised artiklid:</w:t>
      </w:r>
    </w:p>
    <w:p>
      <w:pPr>
        <w:pStyle w:val="Titrearticle"/>
        <w:spacing w:after="0"/>
        <w:rPr>
          <w:noProof/>
        </w:rPr>
      </w:pPr>
      <w:r>
        <w:rPr>
          <w:i w:val="0"/>
          <w:noProof/>
        </w:rPr>
        <w:t>„</w:t>
      </w:r>
      <w:r>
        <w:rPr>
          <w:noProof/>
        </w:rPr>
        <w:t>Artikkel 39a</w:t>
      </w:r>
    </w:p>
    <w:p>
      <w:pPr>
        <w:pStyle w:val="Titrearticle"/>
        <w:spacing w:before="0"/>
        <w:rPr>
          <w:noProof/>
        </w:rPr>
      </w:pPr>
      <w:r>
        <w:rPr>
          <w:b/>
          <w:i w:val="0"/>
          <w:noProof/>
        </w:rPr>
        <w:t>Elektrooniliste sertifikaatide ja äridokumentide väljaandmine seoses loomade ja kaupade liikmesriikidevahelise liikumisega ning e-allkirja kasutamine</w:t>
      </w:r>
    </w:p>
    <w:p>
      <w:pPr>
        <w:pStyle w:val="Text2"/>
        <w:rPr>
          <w:i/>
          <w:noProof/>
        </w:rPr>
      </w:pPr>
      <w:r>
        <w:rPr>
          <w:noProof/>
        </w:rPr>
        <w:t>Loomade, loomsete saaduste ja loomse paljundusmaterjali liikmesriikidevahelise liikumisega seotud elektroonilised loomatervise sertifikaadid, ametlikud sertifikaadid ja loomatervise/ametlikud sertifikaadid ning teise liikmesriiki veetavate muuks otstarbeks kui inimtoiduks ette nähtud teatavate loomsete kõrvalsaaduste ja nendest saadud toodetega seotud elektroonilised äridokumendid peavad vastama kõikidele järgmistele nõuetele:</w:t>
      </w:r>
    </w:p>
    <w:p>
      <w:pPr>
        <w:pStyle w:val="Point2"/>
        <w:rPr>
          <w:noProof/>
        </w:rPr>
      </w:pPr>
      <w:r>
        <w:rPr>
          <w:noProof/>
        </w:rPr>
        <w:t>a)</w:t>
      </w:r>
      <w:r>
        <w:rPr>
          <w:noProof/>
        </w:rPr>
        <w:tab/>
        <w:t>need peavad olema välja antud TRACESis;</w:t>
      </w:r>
    </w:p>
    <w:p>
      <w:pPr>
        <w:pStyle w:val="Point2"/>
        <w:rPr>
          <w:noProof/>
        </w:rPr>
      </w:pPr>
      <w:r>
        <w:rPr>
          <w:noProof/>
        </w:rPr>
        <w:t>b)</w:t>
      </w:r>
      <w:r>
        <w:rPr>
          <w:noProof/>
        </w:rPr>
        <w:tab/>
        <w:t>need on allkirjastanud veterinaarjärelevalve ametnik või sertifikaati välja andev ametnik oma e-allkirjaga;</w:t>
      </w:r>
    </w:p>
    <w:p>
      <w:pPr>
        <w:pStyle w:val="Point2"/>
        <w:rPr>
          <w:noProof/>
        </w:rPr>
      </w:pPr>
      <w:r>
        <w:rPr>
          <w:noProof/>
        </w:rPr>
        <w:t>c)</w:t>
      </w:r>
      <w:r>
        <w:rPr>
          <w:noProof/>
        </w:rPr>
        <w:tab/>
        <w:t>neil on sertifikaadi välja andnud pädeva asutuse täiustatud või kvalifitseeritud e-tempel.</w:t>
      </w:r>
    </w:p>
    <w:p>
      <w:pPr>
        <w:pStyle w:val="Titrearticle"/>
        <w:spacing w:after="0"/>
        <w:rPr>
          <w:noProof/>
        </w:rPr>
      </w:pPr>
      <w:r>
        <w:rPr>
          <w:noProof/>
        </w:rPr>
        <w:t>Artikkel 39b</w:t>
      </w:r>
    </w:p>
    <w:p>
      <w:pPr>
        <w:pStyle w:val="Titrearticle"/>
        <w:spacing w:before="0"/>
        <w:rPr>
          <w:b/>
          <w:i w:val="0"/>
          <w:noProof/>
        </w:rPr>
      </w:pPr>
      <w:r>
        <w:rPr>
          <w:b/>
          <w:i w:val="0"/>
          <w:noProof/>
        </w:rPr>
        <w:t>Elektrooniliste sertifikaatide väljaandmine seoses taimede, taimsete saaduste ja muude objektide ekspordi ja reekspordiga ning e-allkirja kasutamine</w:t>
      </w:r>
      <w:r>
        <w:rPr>
          <w:i w:val="0"/>
          <w:noProof/>
        </w:rPr>
        <w:t xml:space="preserve"> </w:t>
      </w:r>
    </w:p>
    <w:p>
      <w:pPr>
        <w:pStyle w:val="Text2"/>
        <w:rPr>
          <w:noProof/>
        </w:rPr>
      </w:pPr>
      <w:r>
        <w:rPr>
          <w:noProof/>
        </w:rPr>
        <w:t>Taimede, taimsete saaduste ja muude objektide liidu territooriumilt kolmandasse riiki eksportimise ja reeksportimisega seotud elektroonilised fütosanitaarsertifikaadid antakse välja ühes järgmistest süsteemidest:</w:t>
      </w:r>
    </w:p>
    <w:p>
      <w:pPr>
        <w:pStyle w:val="Point2"/>
        <w:rPr>
          <w:noProof/>
        </w:rPr>
      </w:pPr>
      <w:r>
        <w:rPr>
          <w:noProof/>
        </w:rPr>
        <w:t>a)</w:t>
      </w:r>
      <w:r>
        <w:rPr>
          <w:noProof/>
        </w:rPr>
        <w:tab/>
        <w:t>TRACES, kui asjaomane sertifikaat vastab kõikidele järgmistele nõuetele:</w:t>
      </w:r>
    </w:p>
    <w:p>
      <w:pPr>
        <w:pStyle w:val="Point3"/>
        <w:rPr>
          <w:noProof/>
        </w:rPr>
      </w:pPr>
      <w:r>
        <w:rPr>
          <w:noProof/>
        </w:rPr>
        <w:t>i)</w:t>
      </w:r>
      <w:r>
        <w:rPr>
          <w:noProof/>
        </w:rPr>
        <w:tab/>
        <w:t>selle on allkirjastanud sertifikaati välja andev ametnik oma e-allkirjaga;</w:t>
      </w:r>
    </w:p>
    <w:p>
      <w:pPr>
        <w:pStyle w:val="Point3"/>
        <w:rPr>
          <w:noProof/>
        </w:rPr>
      </w:pPr>
      <w:r>
        <w:rPr>
          <w:noProof/>
        </w:rPr>
        <w:t>ii)</w:t>
      </w:r>
      <w:r>
        <w:rPr>
          <w:noProof/>
        </w:rPr>
        <w:tab/>
        <w:t>sellel on sertifikaadi välja andnud pädeva asutuse täiustatud või kvalifitseeritud e-tempel;</w:t>
      </w:r>
    </w:p>
    <w:p>
      <w:pPr>
        <w:pStyle w:val="Point2"/>
        <w:rPr>
          <w:noProof/>
        </w:rPr>
      </w:pPr>
      <w:r>
        <w:rPr>
          <w:noProof/>
        </w:rPr>
        <w:t>b)</w:t>
      </w:r>
      <w:r>
        <w:rPr>
          <w:noProof/>
        </w:rPr>
        <w:tab/>
        <w:t>liikmesriigi riigisisene süsteem, kui asjaomane sertifikaat vastab kõikidele järgmistele nõuetele:</w:t>
      </w:r>
    </w:p>
    <w:p>
      <w:pPr>
        <w:pStyle w:val="Point3"/>
        <w:rPr>
          <w:noProof/>
        </w:rPr>
      </w:pPr>
      <w:r>
        <w:rPr>
          <w:noProof/>
        </w:rPr>
        <w:t>i)</w:t>
      </w:r>
      <w:r>
        <w:rPr>
          <w:noProof/>
        </w:rPr>
        <w:tab/>
        <w:t>selle on allkirjastanud sertifikaati välja andev ametnik oma e-allkirjaga;</w:t>
      </w:r>
    </w:p>
    <w:p>
      <w:pPr>
        <w:pStyle w:val="Point3"/>
        <w:rPr>
          <w:noProof/>
        </w:rPr>
      </w:pPr>
      <w:r>
        <w:rPr>
          <w:noProof/>
        </w:rPr>
        <w:t>ii)</w:t>
      </w:r>
      <w:r>
        <w:rPr>
          <w:noProof/>
        </w:rPr>
        <w:tab/>
        <w:t xml:space="preserve">see on edastatud TRACESisse hiljemalt siis, kui sertifikaati välja andev ametnik on selle elektrooniliselt allkirjastanud, ning </w:t>
      </w:r>
      <w:r>
        <w:rPr>
          <w:noProof/>
        </w:rPr>
        <w:lastRenderedPageBreak/>
        <w:t>edastamise on kinnitanud sertifikaadi välja andnud pädev asutus oma täiustatud või kvalifitseeritud e-templiga.“;</w:t>
      </w:r>
    </w:p>
    <w:p>
      <w:pPr>
        <w:pStyle w:val="Point1"/>
        <w:rPr>
          <w:noProof/>
        </w:rPr>
      </w:pPr>
      <w:r>
        <w:rPr>
          <w:noProof/>
        </w:rPr>
        <w:t>d)</w:t>
      </w:r>
      <w:r>
        <w:rPr>
          <w:noProof/>
        </w:rPr>
        <w:tab/>
        <w:t xml:space="preserve">artikkel 41 asendatakse järgmisega: </w:t>
      </w:r>
    </w:p>
    <w:p>
      <w:pPr>
        <w:pStyle w:val="Titrearticle"/>
        <w:spacing w:after="0"/>
        <w:rPr>
          <w:noProof/>
        </w:rPr>
      </w:pPr>
      <w:r>
        <w:rPr>
          <w:i w:val="0"/>
          <w:noProof/>
        </w:rPr>
        <w:t>„</w:t>
      </w:r>
      <w:r>
        <w:rPr>
          <w:noProof/>
        </w:rPr>
        <w:t>Artikkel 41</w:t>
      </w:r>
    </w:p>
    <w:p>
      <w:pPr>
        <w:pStyle w:val="Titrearticle"/>
        <w:spacing w:before="0"/>
        <w:rPr>
          <w:b/>
          <w:i w:val="0"/>
          <w:noProof/>
        </w:rPr>
      </w:pPr>
      <w:r>
        <w:rPr>
          <w:b/>
          <w:i w:val="0"/>
          <w:noProof/>
        </w:rPr>
        <w:t>Elektroonilise ühtse sisseveodokumendi kasutamine</w:t>
      </w:r>
    </w:p>
    <w:p>
      <w:pPr>
        <w:pStyle w:val="Text2"/>
        <w:rPr>
          <w:noProof/>
        </w:rPr>
      </w:pPr>
      <w:r>
        <w:rPr>
          <w:noProof/>
        </w:rPr>
        <w:t>Ettevõtja või pädev asutus kasutab ühtset sisseveodokumenti elektroonilisel kujul ühes järgmistest süsteemidest:</w:t>
      </w:r>
    </w:p>
    <w:p>
      <w:pPr>
        <w:pStyle w:val="Point2"/>
        <w:rPr>
          <w:noProof/>
        </w:rPr>
      </w:pPr>
      <w:r>
        <w:rPr>
          <w:noProof/>
        </w:rPr>
        <w:t>a)</w:t>
      </w:r>
      <w:r>
        <w:rPr>
          <w:noProof/>
        </w:rPr>
        <w:tab/>
        <w:t>TRACES, kui ühtne sisseveodokument vastab kõikidele järgmistele nõuetele:</w:t>
      </w:r>
    </w:p>
    <w:p>
      <w:pPr>
        <w:pStyle w:val="Point2"/>
        <w:ind w:left="2552"/>
        <w:rPr>
          <w:noProof/>
        </w:rPr>
      </w:pPr>
      <w:r>
        <w:rPr>
          <w:noProof/>
        </w:rPr>
        <w:t>i)</w:t>
      </w:r>
      <w:r>
        <w:rPr>
          <w:noProof/>
        </w:rPr>
        <w:tab/>
        <w:t>selle on allkirjastanud saadetise eest vastutav ettevõtja oma e-allkirjaga;</w:t>
      </w:r>
    </w:p>
    <w:p>
      <w:pPr>
        <w:pStyle w:val="Point2"/>
        <w:ind w:left="2552"/>
        <w:rPr>
          <w:noProof/>
        </w:rPr>
      </w:pPr>
      <w:r>
        <w:rPr>
          <w:noProof/>
        </w:rPr>
        <w:t>ii)</w:t>
      </w:r>
      <w:r>
        <w:rPr>
          <w:noProof/>
        </w:rPr>
        <w:tab/>
        <w:t>selle on piiripunktis või kontrollipunktis allkirjastanud veterinaarjärelevalve ametnik, taimeterviseametnik või sertifikaati välja andev ametnik oma e-allkirjaga;</w:t>
      </w:r>
    </w:p>
    <w:p>
      <w:pPr>
        <w:pStyle w:val="Point2"/>
        <w:ind w:left="2552"/>
        <w:rPr>
          <w:noProof/>
        </w:rPr>
      </w:pPr>
      <w:r>
        <w:rPr>
          <w:noProof/>
        </w:rPr>
        <w:t>iii)</w:t>
      </w:r>
      <w:r>
        <w:rPr>
          <w:noProof/>
        </w:rPr>
        <w:tab/>
        <w:t>sellel on sertifikaadi välja andnud pädeva asutuse täiustatud või kvalifitseeritud e-tempel;</w:t>
      </w:r>
    </w:p>
    <w:p>
      <w:pPr>
        <w:pStyle w:val="Point2"/>
        <w:rPr>
          <w:noProof/>
          <w:szCs w:val="24"/>
        </w:rPr>
      </w:pPr>
      <w:r>
        <w:rPr>
          <w:noProof/>
        </w:rPr>
        <w:t>b)</w:t>
      </w:r>
      <w:r>
        <w:rPr>
          <w:noProof/>
        </w:rPr>
        <w:tab/>
        <w:t>liikmesriigi riigisisene süsteem, kui ühtne sisseveodokument vastab kõikidele järgmistele nõuetele:</w:t>
      </w:r>
    </w:p>
    <w:p>
      <w:pPr>
        <w:pStyle w:val="Point2"/>
        <w:ind w:left="2552"/>
        <w:rPr>
          <w:noProof/>
        </w:rPr>
      </w:pPr>
      <w:r>
        <w:rPr>
          <w:noProof/>
        </w:rPr>
        <w:t>i)</w:t>
      </w:r>
      <w:r>
        <w:rPr>
          <w:noProof/>
        </w:rPr>
        <w:tab/>
        <w:t>selle on allkirjastanud saadetise eest vastutav ettevõtja oma e-allkirjaga;</w:t>
      </w:r>
    </w:p>
    <w:p>
      <w:pPr>
        <w:pStyle w:val="Point2"/>
        <w:ind w:left="2552"/>
        <w:rPr>
          <w:noProof/>
        </w:rPr>
      </w:pPr>
      <w:r>
        <w:rPr>
          <w:noProof/>
        </w:rPr>
        <w:t>ii)</w:t>
      </w:r>
      <w:r>
        <w:rPr>
          <w:noProof/>
        </w:rPr>
        <w:tab/>
        <w:t>selle on piiripunktis või kontrollipunktis allkirjastanud veterinaarjärelevalve ametnik, taimeterviseametnik või sertifikaati välja andev ametnik oma e-allkirjaga;</w:t>
      </w:r>
    </w:p>
    <w:p>
      <w:pPr>
        <w:pStyle w:val="Point2"/>
        <w:ind w:left="2552"/>
        <w:rPr>
          <w:noProof/>
        </w:rPr>
      </w:pPr>
      <w:r>
        <w:rPr>
          <w:noProof/>
        </w:rPr>
        <w:t>iii)</w:t>
      </w:r>
      <w:r>
        <w:rPr>
          <w:noProof/>
        </w:rPr>
        <w:tab/>
        <w:t>see on edastatud TRACESisse hiljemalt siis, kui ametliku kontrolli põhjal on tehtud saadetist käsitlev otsus, ning edastamise on kinnitanud sertifikaadi välja andnud pädev asutus oma täiustatud või kvalifitseeritud e-templiga.“;</w:t>
      </w:r>
    </w:p>
    <w:p>
      <w:pPr>
        <w:pStyle w:val="Point1"/>
        <w:rPr>
          <w:noProof/>
        </w:rPr>
      </w:pPr>
      <w:r>
        <w:rPr>
          <w:noProof/>
        </w:rPr>
        <w:t>e)</w:t>
      </w:r>
      <w:r>
        <w:rPr>
          <w:noProof/>
        </w:rPr>
        <w:tab/>
        <w:t>artikli 42 lõige 3 jäetakse välja;</w:t>
      </w:r>
    </w:p>
    <w:p>
      <w:pPr>
        <w:pStyle w:val="Point1"/>
        <w:rPr>
          <w:noProof/>
        </w:rPr>
      </w:pPr>
      <w:r>
        <w:rPr>
          <w:noProof/>
        </w:rPr>
        <w:t>f)</w:t>
      </w:r>
      <w:r>
        <w:rPr>
          <w:noProof/>
        </w:rPr>
        <w:tab/>
        <w:t>artikkel 45 asendatakse järgmisega:</w:t>
      </w:r>
    </w:p>
    <w:p>
      <w:pPr>
        <w:pStyle w:val="Titrearticle"/>
        <w:spacing w:after="0"/>
        <w:rPr>
          <w:noProof/>
        </w:rPr>
      </w:pPr>
      <w:r>
        <w:rPr>
          <w:i w:val="0"/>
          <w:noProof/>
        </w:rPr>
        <w:t>„</w:t>
      </w:r>
      <w:r>
        <w:rPr>
          <w:noProof/>
        </w:rPr>
        <w:t>Artikkel 45</w:t>
      </w:r>
    </w:p>
    <w:p>
      <w:pPr>
        <w:pStyle w:val="Titrearticle"/>
        <w:spacing w:before="0"/>
        <w:rPr>
          <w:b/>
          <w:i w:val="0"/>
          <w:noProof/>
        </w:rPr>
      </w:pPr>
      <w:r>
        <w:rPr>
          <w:b/>
          <w:i w:val="0"/>
          <w:noProof/>
        </w:rPr>
        <w:t>Võrdlusandmete loetelud</w:t>
      </w:r>
    </w:p>
    <w:p>
      <w:pPr>
        <w:pStyle w:val="Point1"/>
        <w:ind w:left="1985"/>
        <w:rPr>
          <w:noProof/>
        </w:rPr>
      </w:pPr>
      <w:r>
        <w:rPr>
          <w:noProof/>
        </w:rPr>
        <w:t>1.</w:t>
      </w:r>
      <w:r>
        <w:rPr>
          <w:noProof/>
        </w:rPr>
        <w:tab/>
        <w:t>TRACESi võrgu iga kontaktpunkt haldab ja ajakohastab TRACESis loetelusid järgmisest:</w:t>
      </w:r>
    </w:p>
    <w:p>
      <w:pPr>
        <w:pStyle w:val="Point2"/>
        <w:ind w:left="2552"/>
        <w:rPr>
          <w:noProof/>
        </w:rPr>
      </w:pPr>
      <w:r>
        <w:rPr>
          <w:noProof/>
        </w:rPr>
        <w:t>a)</w:t>
      </w:r>
      <w:r>
        <w:rPr>
          <w:noProof/>
        </w:rPr>
        <w:tab/>
        <w:t>toidukäitlejad, keda kontaktpunkti liikmesriigi pädev asutus on tunnustanud kooskõlas määruse (EÜ) nr 852/2004 artikli 6 lõikega 3;</w:t>
      </w:r>
    </w:p>
    <w:p>
      <w:pPr>
        <w:pStyle w:val="Point2"/>
        <w:ind w:left="2552"/>
        <w:rPr>
          <w:noProof/>
        </w:rPr>
      </w:pPr>
      <w:r>
        <w:rPr>
          <w:noProof/>
        </w:rPr>
        <w:t>b)</w:t>
      </w:r>
      <w:r>
        <w:rPr>
          <w:noProof/>
        </w:rPr>
        <w:tab/>
        <w:t>loomseid kõrvalsaadusi või nendest saadud tooteid käitlevad ettevõtted ja ettevõtjad, keda kontaktpunkti liikmesriigi pädev asutus on tunnustanud või kelle ta on registreerinud kooskõlas määruse (EÜ) nr 1069/2009 artikliga 47;</w:t>
      </w:r>
    </w:p>
    <w:p>
      <w:pPr>
        <w:pStyle w:val="Point2"/>
        <w:ind w:left="2552"/>
        <w:rPr>
          <w:noProof/>
        </w:rPr>
      </w:pPr>
      <w:r>
        <w:rPr>
          <w:noProof/>
        </w:rPr>
        <w:lastRenderedPageBreak/>
        <w:t>c)</w:t>
      </w:r>
      <w:r>
        <w:rPr>
          <w:noProof/>
        </w:rPr>
        <w:tab/>
        <w:t>kontrollipunktid, mille kontaktpunkti liikmesriigi pädev asutus on heaks kiitnud kooskõlas nõukogu määruse (EÜ) nr 1255/97</w:t>
      </w:r>
      <w:r>
        <w:rPr>
          <w:noProof/>
          <w:vertAlign w:val="superscript"/>
        </w:rPr>
        <w:t>*</w:t>
      </w:r>
      <w:r>
        <w:rPr>
          <w:noProof/>
        </w:rPr>
        <w:t xml:space="preserve"> artikliga 3;</w:t>
      </w:r>
    </w:p>
    <w:p>
      <w:pPr>
        <w:pStyle w:val="Point2"/>
        <w:ind w:left="2552"/>
        <w:rPr>
          <w:noProof/>
        </w:rPr>
      </w:pPr>
      <w:r>
        <w:rPr>
          <w:noProof/>
        </w:rPr>
        <w:t>d)</w:t>
      </w:r>
      <w:r>
        <w:rPr>
          <w:noProof/>
        </w:rPr>
        <w:tab/>
        <w:t>pikki teekondi sooritavad vedajad, kellele pädev asutus on andnud loa vastavalt nõukogu määruse (EÜ) nr 1/2005</w:t>
      </w:r>
      <w:r>
        <w:rPr>
          <w:noProof/>
          <w:vertAlign w:val="superscript"/>
        </w:rPr>
        <w:t>**</w:t>
      </w:r>
      <w:r>
        <w:rPr>
          <w:noProof/>
        </w:rPr>
        <w:t xml:space="preserve"> artikli 11 lõikele 1;</w:t>
      </w:r>
    </w:p>
    <w:p>
      <w:pPr>
        <w:pStyle w:val="Point2"/>
        <w:ind w:left="2552"/>
        <w:rPr>
          <w:noProof/>
        </w:rPr>
      </w:pPr>
      <w:r>
        <w:rPr>
          <w:noProof/>
        </w:rPr>
        <w:t>e)</w:t>
      </w:r>
      <w:r>
        <w:rPr>
          <w:noProof/>
        </w:rPr>
        <w:tab/>
        <w:t>ettevõtted, kes on kantud määruse (EL) 2016/429 artikli 101 lõike 1 esimese lõigu punktis b osutatud heakskiidetud ettevõtete registrisse ja kes viivad peetavaid maismaaloomi või loomset paljundusmaterjali teise liikmesriiki või kellele saadetakse peetavaid maismaaloomi või loomset paljundusmaterjali kolmandast riigist;</w:t>
      </w:r>
    </w:p>
    <w:p>
      <w:pPr>
        <w:pStyle w:val="Point2"/>
        <w:ind w:left="2552"/>
        <w:rPr>
          <w:noProof/>
        </w:rPr>
      </w:pPr>
      <w:r>
        <w:rPr>
          <w:noProof/>
        </w:rPr>
        <w:t>f)</w:t>
      </w:r>
      <w:r>
        <w:rPr>
          <w:noProof/>
        </w:rPr>
        <w:tab/>
        <w:t>ettevõtted, kes on kantud selliste heakskiidetud vesiviljelusettevõtete ja tauditõrjet tegevate veeandide ettevõtete registrisse, millele on osutatud vastavalt määruse (EL) 2016/429 artikli 185 lõike 1 punktis b või c, ning kes viivad vesiviljelusloomi teise liikmesriiki või kellele saadetakse vesiviljelusloomi kolmandast riigist;</w:t>
      </w:r>
    </w:p>
    <w:p>
      <w:pPr>
        <w:pStyle w:val="Point2"/>
        <w:ind w:left="2552"/>
        <w:rPr>
          <w:noProof/>
        </w:rPr>
      </w:pPr>
      <w:r>
        <w:rPr>
          <w:noProof/>
        </w:rPr>
        <w:t>g)</w:t>
      </w:r>
      <w:r>
        <w:rPr>
          <w:noProof/>
        </w:rPr>
        <w:tab/>
        <w:t>ettevõtted ja ettevõtjad, kes on kantud määruse (EL) 2016/429 artikli 101 lõike 1 esimese lõigu punktis a osutatud registreeritud ettevõtete ja ettevõtjate registrisse ning kes viivad peetavaid maismaaloomi või loomset paljundusmaterjali teise liikmesriiki või kellele saadetakse peetavaid maismaaloomi või loomset paljundusmaterjali kolmandast riigist;</w:t>
      </w:r>
    </w:p>
    <w:p>
      <w:pPr>
        <w:pStyle w:val="Point2"/>
        <w:ind w:left="2552"/>
        <w:rPr>
          <w:noProof/>
        </w:rPr>
      </w:pPr>
      <w:r>
        <w:rPr>
          <w:noProof/>
        </w:rPr>
        <w:t>h)</w:t>
      </w:r>
      <w:r>
        <w:rPr>
          <w:noProof/>
        </w:rPr>
        <w:tab/>
        <w:t>ettevõtted, kes on kantud määruse (EL) 2016/429 artikli 185 lõike 1 punktis a osutatud registreeritud vesiviljelusettevõtete registrisse ning kes viivad vesiviljelusloomi teise liikmesriiki või kellele saadetakse vesiviljelusloomi kolmandast riigist;</w:t>
      </w:r>
    </w:p>
    <w:p>
      <w:pPr>
        <w:pStyle w:val="Point2"/>
        <w:ind w:left="2552"/>
        <w:rPr>
          <w:noProof/>
        </w:rPr>
      </w:pPr>
      <w:r>
        <w:rPr>
          <w:noProof/>
        </w:rPr>
        <w:t>i)</w:t>
      </w:r>
      <w:r>
        <w:rPr>
          <w:noProof/>
        </w:rPr>
        <w:tab/>
        <w:t>vedajad, kellele pädev asutus on andnud loa vastavalt määruse (EÜ) nr 1/2005 artikli 10 lõikele 1;</w:t>
      </w:r>
    </w:p>
    <w:p>
      <w:pPr>
        <w:pStyle w:val="Point2"/>
        <w:ind w:left="2552"/>
        <w:rPr>
          <w:noProof/>
        </w:rPr>
      </w:pPr>
      <w:r>
        <w:rPr>
          <w:noProof/>
        </w:rPr>
        <w:t>j)</w:t>
      </w:r>
      <w:r>
        <w:rPr>
          <w:noProof/>
        </w:rPr>
        <w:tab/>
        <w:t>koduhobuslasi, koduloomadena peetavaid veiseid, lambaid, kitsi ja sigu või kodulinde vedavad maanteesõidukite juhid ja saatjad, kellele pädev asutus on andnud pädevustunnistuse vastavalt määruse (EÜ) nr 1/2005 artikli 17 lõikele 2;</w:t>
      </w:r>
    </w:p>
    <w:p>
      <w:pPr>
        <w:pStyle w:val="Point2"/>
        <w:ind w:left="2552"/>
        <w:rPr>
          <w:noProof/>
        </w:rPr>
      </w:pPr>
      <w:r>
        <w:rPr>
          <w:noProof/>
        </w:rPr>
        <w:t>k)</w:t>
      </w:r>
      <w:r>
        <w:rPr>
          <w:noProof/>
        </w:rPr>
        <w:tab/>
        <w:t>pikaajaliseks veoks kasutatavad autotranspordivahendid ja loomaveolaevad, mille jaoks pädev asutus on andnud vastavussertifikaadi kooskõlas vastavalt määruse (EÜ) nr 1/2005 artikli 18 lõikega 1 või artikli 19 lõikega 1;</w:t>
      </w:r>
    </w:p>
    <w:p>
      <w:pPr>
        <w:pStyle w:val="Point2"/>
        <w:ind w:left="2552"/>
        <w:rPr>
          <w:noProof/>
        </w:rPr>
      </w:pPr>
      <w:r>
        <w:rPr>
          <w:noProof/>
        </w:rPr>
        <w:t>l)</w:t>
      </w:r>
      <w:r>
        <w:rPr>
          <w:noProof/>
        </w:rPr>
        <w:tab/>
        <w:t>ettevõtjad, kes on kantud selliste ettevõtjate registrisse, kes toovad liitu sisse fütosanitaarsertifikaati nõudvaid taimi, taimseid saadusi või muid objekte, nagu on osutatud määruse (EL) 2016/2031 artikli 65 lõike 1 esimese lõigu punktis a;</w:t>
      </w:r>
    </w:p>
    <w:p>
      <w:pPr>
        <w:pStyle w:val="Point2"/>
        <w:ind w:left="2552"/>
        <w:rPr>
          <w:noProof/>
        </w:rPr>
      </w:pPr>
      <w:r>
        <w:rPr>
          <w:noProof/>
          <w:color w:val="000000" w:themeColor="text1"/>
        </w:rPr>
        <w:t>m)</w:t>
      </w:r>
      <w:r>
        <w:rPr>
          <w:noProof/>
        </w:rPr>
        <w:tab/>
      </w:r>
      <w:r>
        <w:rPr>
          <w:noProof/>
          <w:color w:val="000000" w:themeColor="text1"/>
        </w:rPr>
        <w:t>karantiinijaamad ja kinnised üksused, kes on määruse (EL) 2016/2031 artikli 60 kohaselt määratud tegelema kolmandast riigist liidu territooriumile sisse toodud taimede, taimsete saaduste või muude objektidega.</w:t>
      </w:r>
    </w:p>
    <w:p>
      <w:pPr>
        <w:pStyle w:val="Point1"/>
        <w:ind w:left="1985"/>
        <w:rPr>
          <w:noProof/>
        </w:rPr>
      </w:pPr>
      <w:r>
        <w:rPr>
          <w:noProof/>
        </w:rPr>
        <w:lastRenderedPageBreak/>
        <w:t>2.</w:t>
      </w:r>
      <w:r>
        <w:rPr>
          <w:noProof/>
        </w:rPr>
        <w:tab/>
        <w:t>Lõikes 1 osutatud kontaktpunktid sisestavad TRACESisse teabe iga kõnealuses lõikes osutatud loetelu kohta, kasutades nende loetelude vormingu puhul komisjoni esitatud tehnilisi kirjeldusi.</w:t>
      </w:r>
    </w:p>
    <w:p>
      <w:pPr>
        <w:pStyle w:val="Point1"/>
        <w:ind w:left="1985"/>
        <w:rPr>
          <w:noProof/>
          <w:szCs w:val="24"/>
        </w:rPr>
      </w:pPr>
      <w:r>
        <w:rPr>
          <w:noProof/>
        </w:rPr>
        <w:t>3.</w:t>
      </w:r>
      <w:r>
        <w:rPr>
          <w:noProof/>
        </w:rPr>
        <w:tab/>
        <w:t>Komisjon abistab liikmesriike lõike 1 punktides a–f osutatud loetelude üldsusele kättesaadavaks tegemisel, avaldades need oma veebilehel või TRACESi kaudu.</w:t>
      </w:r>
    </w:p>
    <w:p>
      <w:pPr>
        <w:pStyle w:val="Text2"/>
        <w:rPr>
          <w:noProof/>
        </w:rPr>
      </w:pPr>
      <w:r>
        <w:rPr>
          <w:noProof/>
        </w:rPr>
        <w:t>------------</w:t>
      </w:r>
    </w:p>
    <w:p>
      <w:pPr>
        <w:pStyle w:val="Point1"/>
        <w:rPr>
          <w:noProof/>
        </w:rPr>
      </w:pPr>
      <w:r>
        <w:rPr>
          <w:noProof/>
          <w:vertAlign w:val="superscript"/>
        </w:rPr>
        <w:t>*</w:t>
      </w:r>
      <w:r>
        <w:rPr>
          <w:noProof/>
        </w:rPr>
        <w:tab/>
        <w:t>Nõukogu 25. juuni 1997. aasta määrus (EÜ) nr 1255/97 ühenduse kriteeriumide kohta kontrollpunktidele ja direktiivi 91/628/EMÜ lisas osutatud teekonnaplaanide muutmise kohta (EÜT L 174, 2.7.1997, lk 1).</w:t>
      </w:r>
    </w:p>
    <w:p>
      <w:pPr>
        <w:pStyle w:val="Point1"/>
        <w:rPr>
          <w:noProof/>
        </w:rPr>
      </w:pPr>
      <w:r>
        <w:rPr>
          <w:noProof/>
          <w:vertAlign w:val="superscript"/>
        </w:rPr>
        <w:t>**</w:t>
      </w:r>
      <w:r>
        <w:rPr>
          <w:noProof/>
        </w:rPr>
        <w:tab/>
        <w:t>Nõukogu 22. detsembri 2004. aasta määrus (EÜ) nr 1/2005, mis käsitleb loomade kaitset vedamise ja sellega seonduvate toimingute ajal ning millega muudetakse direktiive 64/432/EMÜ ja 93/119/EÜ ning määrust (EÜ) nr 1255/97 (ELT L 3, 5.1.2005, lk 1).“</w:t>
      </w:r>
    </w:p>
    <w:p>
      <w:pPr>
        <w:pStyle w:val="Titrearticle"/>
        <w:spacing w:after="0"/>
        <w:rPr>
          <w:noProof/>
        </w:rPr>
      </w:pPr>
      <w:r>
        <w:rPr>
          <w:noProof/>
        </w:rPr>
        <w:t>Artikkel 2</w:t>
      </w:r>
    </w:p>
    <w:p>
      <w:pPr>
        <w:pStyle w:val="Titrearticle"/>
        <w:spacing w:before="0"/>
        <w:rPr>
          <w:b/>
          <w:i w:val="0"/>
          <w:noProof/>
        </w:rPr>
      </w:pPr>
      <w:r>
        <w:rPr>
          <w:b/>
          <w:i w:val="0"/>
          <w:noProof/>
        </w:rPr>
        <w:t>Kehtetuks tunnistamine</w:t>
      </w:r>
    </w:p>
    <w:p>
      <w:pPr>
        <w:rPr>
          <w:noProof/>
        </w:rPr>
      </w:pPr>
      <w:r>
        <w:rPr>
          <w:noProof/>
        </w:rPr>
        <w:t>Otsus 97/152/EÜ tunnistatakse kehtetuks.</w:t>
      </w:r>
    </w:p>
    <w:p>
      <w:pPr>
        <w:pStyle w:val="Titrearticle"/>
        <w:spacing w:after="0"/>
        <w:rPr>
          <w:noProof/>
        </w:rPr>
      </w:pPr>
      <w:r>
        <w:rPr>
          <w:noProof/>
        </w:rPr>
        <w:t>Artikkel 3</w:t>
      </w:r>
    </w:p>
    <w:p>
      <w:pPr>
        <w:pStyle w:val="Titrearticle"/>
        <w:spacing w:before="0"/>
        <w:rPr>
          <w:b/>
          <w:i w:val="0"/>
          <w:noProof/>
        </w:rPr>
      </w:pPr>
      <w:r>
        <w:rPr>
          <w:b/>
          <w:i w:val="0"/>
          <w:noProof/>
        </w:rPr>
        <w:t>Jõustumine ja kohaldamine</w:t>
      </w:r>
    </w:p>
    <w:p>
      <w:pPr>
        <w:rPr>
          <w:noProof/>
        </w:rPr>
      </w:pPr>
      <w:r>
        <w:rPr>
          <w:noProof/>
        </w:rPr>
        <w:t xml:space="preserve">Käesolev määrus jõustub kahekümnendal päeval pärast selle avaldamist </w:t>
      </w:r>
      <w:r>
        <w:rPr>
          <w:i/>
          <w:noProof/>
        </w:rPr>
        <w:t>Euroopa Liidu Teatajas</w:t>
      </w:r>
      <w:r>
        <w:rPr>
          <w:noProof/>
        </w:rPr>
        <w:t>.</w:t>
      </w:r>
    </w:p>
    <w:p>
      <w:pPr>
        <w:rPr>
          <w:noProof/>
        </w:rPr>
      </w:pPr>
      <w:r>
        <w:rPr>
          <w:noProof/>
        </w:rPr>
        <w:t>Käesolevat määrust kohaldatakse alates 21. aprillist 2021, välja arvatud artikli 1 lõige 5, mida kohaldatakse alates 1. detsembrist 2021.</w:t>
      </w:r>
    </w:p>
    <w:p>
      <w:pPr>
        <w:pStyle w:val="Applicationdirecte"/>
        <w:rPr>
          <w:noProof/>
        </w:rPr>
      </w:pPr>
      <w:r>
        <w:rPr>
          <w:noProof/>
        </w:rPr>
        <w:t>Käesolev määrus on tervikuna siduv ja vahetult kohaldatav kõikides liikmesriikides.</w:t>
      </w:r>
    </w:p>
    <w:p>
      <w:pPr>
        <w:pStyle w:val="Fait"/>
        <w:rPr>
          <w:noProof/>
        </w:rPr>
      </w:pPr>
      <w:r>
        <w:t>Brüssel, 29.3.2021</w:t>
      </w:r>
    </w:p>
    <w:p>
      <w:pPr>
        <w:pStyle w:val="Institutionquisigne"/>
        <w:rPr>
          <w:noProof/>
        </w:rPr>
      </w:pPr>
      <w:r>
        <w:rPr>
          <w:noProof/>
        </w:rPr>
        <w:tab/>
        <w:t>Komisjoni nimel</w:t>
      </w:r>
    </w:p>
    <w:p>
      <w:pPr>
        <w:pStyle w:val="Personnequisigne"/>
        <w:keepNext/>
        <w:rPr>
          <w:noProof/>
        </w:rPr>
      </w:pPr>
      <w:r>
        <w:tab/>
        <w:t>president</w:t>
      </w:r>
      <w:r>
        <w:br/>
      </w:r>
      <w:r>
        <w:tab/>
        <w:t>Ursula VON DER LEYEN</w:t>
      </w:r>
    </w:p>
    <w:p>
      <w:pPr>
        <w:pStyle w:val="Personnequisigne"/>
        <w:ind w:left="4253"/>
        <w:rPr>
          <w:noProof/>
        </w:rPr>
      </w:pPr>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MS Gothic"/>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6"/>
          <w:szCs w:val="16"/>
        </w:rPr>
      </w:pPr>
      <w:r>
        <w:rPr>
          <w:rStyle w:val="FootnoteReference"/>
        </w:rPr>
        <w:footnoteRef/>
      </w:r>
      <w:r>
        <w:tab/>
        <w:t>EÜT L 31, 1.2.2002, lk 1.</w:t>
      </w:r>
    </w:p>
  </w:footnote>
  <w:footnote w:id="2">
    <w:p>
      <w:pPr>
        <w:pStyle w:val="FootnoteText"/>
        <w:rPr>
          <w:sz w:val="16"/>
          <w:szCs w:val="16"/>
        </w:rPr>
      </w:pPr>
      <w:r>
        <w:rPr>
          <w:rStyle w:val="FootnoteReference"/>
        </w:rPr>
        <w:footnoteRef/>
      </w:r>
      <w:r>
        <w:tab/>
        <w:t>ELT L 84, 31.3.2016, lk 1.</w:t>
      </w:r>
    </w:p>
  </w:footnote>
  <w:footnote w:id="3">
    <w:p>
      <w:pPr>
        <w:pStyle w:val="FootnoteText"/>
        <w:rPr>
          <w:sz w:val="16"/>
          <w:szCs w:val="16"/>
        </w:rPr>
      </w:pPr>
      <w:r>
        <w:rPr>
          <w:rStyle w:val="FootnoteReference"/>
        </w:rPr>
        <w:footnoteRef/>
      </w:r>
      <w:r>
        <w:tab/>
        <w:t>ELT L 317, 23.11.2016, lk 4.</w:t>
      </w:r>
    </w:p>
  </w:footnote>
  <w:footnote w:id="4">
    <w:p>
      <w:pPr>
        <w:pStyle w:val="FootnoteText"/>
        <w:rPr>
          <w:sz w:val="16"/>
          <w:szCs w:val="16"/>
        </w:rPr>
      </w:pPr>
      <w:r>
        <w:rPr>
          <w:rStyle w:val="FootnoteReference"/>
        </w:rPr>
        <w:footnoteRef/>
      </w:r>
      <w:r>
        <w:tab/>
        <w:t>ELT L 95, 7.4.2017, lk 1.</w:t>
      </w:r>
    </w:p>
  </w:footnote>
  <w:footnote w:id="5">
    <w:p>
      <w:pPr>
        <w:pStyle w:val="FootnoteText"/>
      </w:pPr>
      <w:r>
        <w:rPr>
          <w:rStyle w:val="FootnoteReference"/>
        </w:rPr>
        <w:footnoteRef/>
      </w:r>
      <w:r>
        <w:tab/>
      </w:r>
      <w:r>
        <w:rPr>
          <w:sz w:val="16"/>
          <w:szCs w:val="16"/>
        </w:rPr>
        <w:t>Komisjoni 30. septembri 2019. aasta rakendusmäärus (EL) 2019/1715, millega kehtestatakse ametliku kontrolli teabehaldussüsteemi ja selle süsteemikomponentide toimimise eeskirjad (IMSOCi määrus) (ELT L 261, 14.10.2019, lk 37).</w:t>
      </w:r>
    </w:p>
  </w:footnote>
  <w:footnote w:id="6">
    <w:p>
      <w:pPr>
        <w:pStyle w:val="FootnoteText"/>
        <w:rPr>
          <w:sz w:val="16"/>
          <w:szCs w:val="16"/>
        </w:rPr>
      </w:pPr>
      <w:r>
        <w:rPr>
          <w:rStyle w:val="FootnoteReference"/>
        </w:rPr>
        <w:footnoteRef/>
      </w:r>
      <w:r>
        <w:tab/>
      </w:r>
      <w:r>
        <w:rPr>
          <w:sz w:val="16"/>
          <w:szCs w:val="16"/>
        </w:rPr>
        <w:t>Komisjoni 7. detsembri 2020. aasta rakendusmäärus (EL) 2020/2002, millega kehtestatakse eeskirjad Euroopa Parlamendi ja nõukogu määruse (EL) 2016/429 kohaldamiseks seoses liidusisese loetellu kantud taudidest teavitamise ja neid käsitleva liidu aruandlusega, liidu seireprogrammide ja likvideerimisprogrammide esitamise ja neid käsitleva aruandluse ning taudivaba staatuse tunnustamise taotlemise vormingu ja korraga ning</w:t>
      </w:r>
      <w:r>
        <w:rPr>
          <w:rFonts w:ascii="Segoe UI" w:hAnsi="Segoe UI"/>
          <w:color w:val="444444"/>
          <w:sz w:val="21"/>
          <w:szCs w:val="21"/>
          <w:shd w:val="clear" w:color="auto" w:fill="FFFFFF"/>
        </w:rPr>
        <w:t xml:space="preserve"> </w:t>
      </w:r>
      <w:r>
        <w:rPr>
          <w:sz w:val="16"/>
          <w:szCs w:val="16"/>
        </w:rPr>
        <w:t>elektroonilise teabesüsteemiga (ELT L 412, 8.12.2020, lk 1).</w:t>
      </w:r>
    </w:p>
  </w:footnote>
  <w:footnote w:id="7">
    <w:p>
      <w:pPr>
        <w:pStyle w:val="FootnoteText"/>
        <w:rPr>
          <w:sz w:val="16"/>
          <w:szCs w:val="16"/>
        </w:rPr>
      </w:pPr>
      <w:r>
        <w:rPr>
          <w:rStyle w:val="FootnoteReference"/>
        </w:rPr>
        <w:footnoteRef/>
      </w:r>
      <w:r>
        <w:tab/>
      </w:r>
      <w:r>
        <w:rPr>
          <w:sz w:val="16"/>
          <w:szCs w:val="16"/>
        </w:rPr>
        <w:t>Euroopa Parlamendi ja nõukogu 23. juuli 2014. aasta määrus (EL) nr 910/2014 e-identimise ja e-tehingute jaoks vajalike usaldusteenuste kohta siseturul ja millega tunnistatakse kehtetuks direktiiv 1999/93/EÜ (ELT L 257, 28.8.2014, lk 73).</w:t>
      </w:r>
    </w:p>
  </w:footnote>
  <w:footnote w:id="8">
    <w:p>
      <w:pPr>
        <w:pStyle w:val="FootnoteText"/>
      </w:pPr>
      <w:r>
        <w:rPr>
          <w:rStyle w:val="FootnoteReference"/>
        </w:rPr>
        <w:footnoteRef/>
      </w:r>
      <w:r>
        <w:tab/>
      </w:r>
      <w:r>
        <w:rPr>
          <w:sz w:val="16"/>
          <w:szCs w:val="16"/>
        </w:rPr>
        <w:t>Komisjoni 25. veebruari 2011. aasta määrus (EL) nr 142/2011, millega rakendatakse Euroopa Parlamendi ja nõukogu määrust (EÜ) nr 1069/2009, milles sätestatakse muuks otstarbeks kui inimtoiduks ettenähtud loomsete kõrvalsaaduste ja nendest saadud toodete tervise-eeskirjad, ja nõukogu direktiivi 97/78/EÜ seoses teatavate selle direktiivi alusel piiril toimuvast veterinaarkontrollist vabastatud proovide ja näidistega (ELT L 54, 26.2.2011, lk 1).</w:t>
      </w:r>
    </w:p>
  </w:footnote>
  <w:footnote w:id="9">
    <w:p>
      <w:pPr>
        <w:pStyle w:val="FootnoteText"/>
        <w:rPr>
          <w:sz w:val="16"/>
          <w:szCs w:val="16"/>
        </w:rPr>
      </w:pPr>
      <w:r>
        <w:rPr>
          <w:rStyle w:val="FootnoteReference"/>
        </w:rPr>
        <w:footnoteRef/>
      </w:r>
      <w:r>
        <w:tab/>
      </w:r>
      <w:r>
        <w:rPr>
          <w:sz w:val="16"/>
          <w:szCs w:val="16"/>
        </w:rPr>
        <w:t>Euroopa Parlamendi ja nõukogu 29. aprilli 2004. aasta määrus (EÜ) nr 852/2004 toiduainete hügieeni kohta (ELT L 139, 30.4.2004, lk 1).</w:t>
      </w:r>
    </w:p>
  </w:footnote>
  <w:footnote w:id="10">
    <w:p>
      <w:pPr>
        <w:pStyle w:val="FootnoteText"/>
        <w:rPr>
          <w:b/>
        </w:rPr>
      </w:pPr>
      <w:r>
        <w:rPr>
          <w:rStyle w:val="FootnoteReference"/>
        </w:rPr>
        <w:footnoteRef/>
      </w:r>
      <w:r>
        <w:tab/>
      </w:r>
      <w:r>
        <w:rPr>
          <w:rStyle w:val="Strong"/>
          <w:b w:val="0"/>
          <w:sz w:val="16"/>
          <w:szCs w:val="16"/>
        </w:rPr>
        <w:t>Euroopa Parlamendi ja nõukogu 21. oktoobri 2009. aasta määrus (EÜ) nr 1069/2009, milles sätestatakse muuks otstarbeks kui inimtoiduks ettenähtud loomsete kõrvalsaaduste ja nendest saadud toodete tervise-eeskirjad ning tunnistatakse kehtetuks määrus (EÜ) nr 1774/2002 (ELT L 300, 14.11.2009, lk 1).</w:t>
      </w:r>
    </w:p>
  </w:footnote>
  <w:footnote w:id="11">
    <w:p>
      <w:pPr>
        <w:pStyle w:val="FootnoteText"/>
        <w:rPr>
          <w:sz w:val="16"/>
          <w:szCs w:val="16"/>
        </w:rPr>
      </w:pPr>
      <w:r>
        <w:rPr>
          <w:rStyle w:val="FootnoteReference"/>
        </w:rPr>
        <w:footnoteRef/>
      </w:r>
      <w:r>
        <w:tab/>
        <w:t>Nõukogu 25. juuni 1997. aasta määrus (EÜ) nr 1255/97 ühenduse kriteeriumide kohta kontrollpunktidele ja direktiivi 91/628/EMÜ lisas osutatud teekonnaplaanide muutmise kohta (EÜT L 174, 2.7.1997, lk 1).</w:t>
      </w:r>
    </w:p>
  </w:footnote>
  <w:footnote w:id="12">
    <w:p>
      <w:pPr>
        <w:pStyle w:val="FootnoteText"/>
      </w:pPr>
      <w:r>
        <w:rPr>
          <w:rStyle w:val="FootnoteReference"/>
        </w:rPr>
        <w:footnoteRef/>
      </w:r>
      <w:r>
        <w:tab/>
      </w:r>
      <w:r>
        <w:rPr>
          <w:sz w:val="16"/>
          <w:szCs w:val="16"/>
        </w:rPr>
        <w:t>Nõukogu 22. detsembri 2004. aasta määrus (EÜ) nr 1/2005, mis käsitleb loomade kaitset vedamise ja sellega seonduvate toimingute ajal ning millega muudetakse direktiive 64/432/EMÜ ja 93/119/EÜ ning määrust (EÜ) nr 1255/97 (ELT L 3, 5.1.2005, lk 1).</w:t>
      </w:r>
    </w:p>
  </w:footnote>
  <w:footnote w:id="13">
    <w:p>
      <w:pPr>
        <w:pStyle w:val="FootnoteText"/>
      </w:pPr>
      <w:r>
        <w:rPr>
          <w:rStyle w:val="FootnoteReference"/>
        </w:rPr>
        <w:footnoteRef/>
      </w:r>
      <w:r>
        <w:tab/>
      </w:r>
      <w:r>
        <w:rPr>
          <w:sz w:val="16"/>
          <w:szCs w:val="16"/>
        </w:rPr>
        <w:t>Komisjoni 10. veebruari 1997. aasta otsus 97/152/EÜ kolmandatest riikidest pärit edasisaadetavate loomade või loomsete toodete partiide elektroonilisse faili sisestatavate andmete kohta ( EÜT L 59, 28.2.1997, lk 50).</w:t>
      </w:r>
    </w:p>
  </w:footnote>
  <w:footnote w:id="14">
    <w:p>
      <w:pPr>
        <w:pStyle w:val="FootnoteText"/>
        <w:rPr>
          <w:sz w:val="16"/>
          <w:szCs w:val="16"/>
        </w:rPr>
      </w:pPr>
      <w:r>
        <w:rPr>
          <w:rStyle w:val="FootnoteReference"/>
        </w:rPr>
        <w:footnoteRef/>
      </w:r>
      <w:r>
        <w:tab/>
      </w:r>
      <w:r>
        <w:rPr>
          <w:sz w:val="16"/>
          <w:szCs w:val="16"/>
        </w:rPr>
        <w:t>Nõukogu 13. juuli 1992. aasta otsus 92/438/EMÜ, mis käsitleb veterinaariaalaste impordiprotseduuride arvutistamist (Shift-projekt) ning millega muudetakse direktiive 90/675/EMÜ, 91/496/EMÜ, 91/628/EMÜ ja otsust 90/424/EMÜ ning tunnistatakse kehtetuks otsus 88/192/EMÜ (EÜT L 243, 25.8.1992, lk 27).</w:t>
      </w:r>
    </w:p>
  </w:footnote>
  <w:footnote w:id="15">
    <w:p>
      <w:pPr>
        <w:pStyle w:val="FootnoteText"/>
        <w:rPr>
          <w:sz w:val="16"/>
          <w:szCs w:val="16"/>
        </w:rPr>
      </w:pPr>
      <w:r>
        <w:rPr>
          <w:rStyle w:val="FootnoteReference"/>
        </w:rPr>
        <w:footnoteRef/>
      </w:r>
      <w:r>
        <w:tab/>
      </w:r>
      <w:r>
        <w:rPr>
          <w:sz w:val="16"/>
          <w:szCs w:val="16"/>
        </w:rPr>
        <w:t>Euroopa Parlamendi ja nõukogu 23. oktoobri 2018. aasta määrus (EL) 2018/1725, mis käsitleb füüsiliste isikute kaitset isikuandmete töötlemisel liidu institutsioonides, organites ja asutustes ning isikuandmete vaba liikumist, ning millega tunnistatakse kehtetuks määrus (EÜ) nr 45/2001 ja otsus nr 1247/2002/EÜ (ELT L 295, 21.11.2018, lk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74CB8C0"/>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DB2827D4"/>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EB163DE0"/>
    <w:lvl w:ilvl="0">
      <w:start w:val="1"/>
      <w:numFmt w:val="decimal"/>
      <w:pStyle w:val="ListNumber2"/>
      <w:lvlText w:val="%1."/>
      <w:lvlJc w:val="left"/>
      <w:pPr>
        <w:tabs>
          <w:tab w:val="num" w:pos="643"/>
        </w:tabs>
        <w:ind w:left="643" w:hanging="360"/>
      </w:pPr>
    </w:lvl>
  </w:abstractNum>
  <w:abstractNum w:abstractNumId="3">
    <w:nsid w:val="FFFFFF81"/>
    <w:multiLevelType w:val="singleLevel"/>
    <w:tmpl w:val="D75684A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048ED8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4DCDB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E22E376"/>
    <w:lvl w:ilvl="0">
      <w:start w:val="1"/>
      <w:numFmt w:val="decimal"/>
      <w:pStyle w:val="ListNumber"/>
      <w:lvlText w:val="%1."/>
      <w:lvlJc w:val="left"/>
      <w:pPr>
        <w:tabs>
          <w:tab w:val="num" w:pos="360"/>
        </w:tabs>
        <w:ind w:left="360" w:hanging="360"/>
      </w:pPr>
    </w:lvl>
  </w:abstractNum>
  <w:abstractNum w:abstractNumId="7">
    <w:nsid w:val="FFFFFF89"/>
    <w:multiLevelType w:val="singleLevel"/>
    <w:tmpl w:val="0D90A93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7"/>
  </w:num>
  <w:num w:numId="3">
    <w:abstractNumId w:val="5"/>
  </w:num>
  <w:num w:numId="4">
    <w:abstractNumId w:val="4"/>
  </w:num>
  <w:num w:numId="5">
    <w:abstractNumId w:val="2"/>
  </w:num>
  <w:num w:numId="6">
    <w:abstractNumId w:val="6"/>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22 09:01:2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7"/>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FFC3F06A-1C07-4AD1-939D-69BE51E2AEAB"/>
    <w:docVar w:name="LW_COVERPAGE_TYPE" w:val="1"/>
    <w:docVar w:name="LW_CROSSREFERENCE" w:val="&lt;UNUSED&gt;"/>
    <w:docVar w:name="LW_DATE.ADOPT.CP" w:val="29.3.2021,"/>
    <w:docVar w:name="LW_DATE.ADOPT.CP_DATEFORMAT" w:val="%DATE%,"/>
    <w:docVar w:name="LW_DATE.ADOPT.CP_ISODATE" w:val="2021-03-29"/>
    <w:docVar w:name="LW_DocType" w:val="COM"/>
    <w:docVar w:name="LW_EMISSION" w:val="29.3.2021"/>
    <w:docVar w:name="LW_EMISSION_ISODATE" w:val="2021-03-29"/>
    <w:docVar w:name="LW_EMISSION_LOCATION" w:val="BRX"/>
    <w:docVar w:name="LW_EMISSION_PREFIX" w:val="Brüssel,"/>
    <w:docVar w:name="LW_EMISSION_SUFFIX" w:val=" "/>
    <w:docVar w:name="LW_ID_DOCMODEL" w:val="SJ-004"/>
    <w:docVar w:name="LW_ID_DOCSIGNATURE" w:val="SJ-004"/>
    <w:docVar w:name="LW_ID_DOCSTRUCTURE" w:val="COM/AA"/>
    <w:docVar w:name="LW_ID_DOCTYPE" w:val="SJ-004"/>
    <w:docVar w:name="LW_INTERETEEE.CP" w:val="(EMPs kohaldatav tekst)"/>
    <w:docVar w:name="LW_LANGUE" w:val="ET"/>
    <w:docVar w:name="LW_LANGUESFAISANTFOI.CP" w:val="&lt;UNUSED&gt;"/>
    <w:docVar w:name="LW_LEVEL_OF_SENSITIVITY" w:val="Standard treatment"/>
    <w:docVar w:name="LW_NOM.INST" w:val="EUROOPA KOMISJON"/>
    <w:docVar w:name="LW_NOM.INST_JOINTDOC" w:val="&lt;EMPTY&gt;"/>
    <w:docVar w:name="LW_PART_NBR" w:val="1"/>
    <w:docVar w:name="LW_PART_NBR_TOTAL" w:val="1"/>
    <w:docVar w:name="LW_REF.INST.NEW" w:val="C"/>
    <w:docVar w:name="LW_REF.INST.NEW_ADOPTED" w:val="final"/>
    <w:docVar w:name="LW_REF.INST.NEW_TEXT" w:val="(2021) 1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illega muudetakse rakendusmäärust (EL) 2019/1715 seoses süsteemide ADIS ja EUROPHYT loomise ja kasutamise, elektrooniliste loomatervise sertifikaatide, ametlike sertifikaatide, loomatervise/ametlike sertifikaatide ja äridokumentide väljaandmise, elektroonilise allkirja kasutamise ja süsteemi TRACES toimimise korraga ning tunnistatakse kehtetuks otsus 97/152/EÜ"/>
    <w:docVar w:name="LW_TYPE.DOC.CP" w:val="KOMISJONI RAKENDUSMÄÄRUS (EL) \u8230?/\u823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spacing w:before="0" w:after="0"/>
      <w:ind w:left="720"/>
      <w:contextualSpacing/>
      <w:jc w:val="left"/>
    </w:pPr>
    <w:rPr>
      <w:szCs w:val="24"/>
      <w:lang w:eastAsia="fr-FR"/>
    </w:rPr>
  </w:style>
  <w:style w:type="paragraph" w:styleId="ListBullet4">
    <w:name w:val="List Bullet 4"/>
    <w:basedOn w:val="Normal"/>
    <w:uiPriority w:val="99"/>
    <w:semiHidden/>
    <w:unhideWhenUsed/>
    <w:pPr>
      <w:numPr>
        <w:numId w:val="1"/>
      </w:numPr>
      <w:contextualSpacing/>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Number2">
    <w:name w:val="List Number 2"/>
    <w:basedOn w:val="Normal"/>
    <w:uiPriority w:val="99"/>
    <w:semiHidden/>
    <w:unhideWhenUsed/>
    <w:pPr>
      <w:numPr>
        <w:numId w:val="5"/>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Texz1">
    <w:name w:val="Texz1"/>
    <w:basedOn w:val="Normal"/>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spacing w:before="0" w:after="0"/>
      <w:ind w:left="720"/>
      <w:contextualSpacing/>
      <w:jc w:val="left"/>
    </w:pPr>
    <w:rPr>
      <w:szCs w:val="24"/>
      <w:lang w:eastAsia="fr-FR"/>
    </w:rPr>
  </w:style>
  <w:style w:type="paragraph" w:styleId="ListBullet4">
    <w:name w:val="List Bullet 4"/>
    <w:basedOn w:val="Normal"/>
    <w:uiPriority w:val="99"/>
    <w:semiHidden/>
    <w:unhideWhenUsed/>
    <w:pPr>
      <w:numPr>
        <w:numId w:val="1"/>
      </w:numPr>
      <w:contextualSpacing/>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Number2">
    <w:name w:val="List Number 2"/>
    <w:basedOn w:val="Normal"/>
    <w:uiPriority w:val="99"/>
    <w:semiHidden/>
    <w:unhideWhenUsed/>
    <w:pPr>
      <w:numPr>
        <w:numId w:val="5"/>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Texz1">
    <w:name w:val="Texz1"/>
    <w:basedOn w:val="Normal"/>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2529">
      <w:bodyDiv w:val="1"/>
      <w:marLeft w:val="0"/>
      <w:marRight w:val="0"/>
      <w:marTop w:val="0"/>
      <w:marBottom w:val="0"/>
      <w:divBdr>
        <w:top w:val="none" w:sz="0" w:space="0" w:color="auto"/>
        <w:left w:val="none" w:sz="0" w:space="0" w:color="auto"/>
        <w:bottom w:val="none" w:sz="0" w:space="0" w:color="auto"/>
        <w:right w:val="none" w:sz="0" w:space="0" w:color="auto"/>
      </w:divBdr>
    </w:div>
    <w:div w:id="304093014">
      <w:bodyDiv w:val="1"/>
      <w:marLeft w:val="0"/>
      <w:marRight w:val="0"/>
      <w:marTop w:val="0"/>
      <w:marBottom w:val="0"/>
      <w:divBdr>
        <w:top w:val="none" w:sz="0" w:space="0" w:color="auto"/>
        <w:left w:val="none" w:sz="0" w:space="0" w:color="auto"/>
        <w:bottom w:val="none" w:sz="0" w:space="0" w:color="auto"/>
        <w:right w:val="none" w:sz="0" w:space="0" w:color="auto"/>
      </w:divBdr>
    </w:div>
    <w:div w:id="326789997">
      <w:bodyDiv w:val="1"/>
      <w:marLeft w:val="0"/>
      <w:marRight w:val="0"/>
      <w:marTop w:val="0"/>
      <w:marBottom w:val="0"/>
      <w:divBdr>
        <w:top w:val="none" w:sz="0" w:space="0" w:color="auto"/>
        <w:left w:val="none" w:sz="0" w:space="0" w:color="auto"/>
        <w:bottom w:val="none" w:sz="0" w:space="0" w:color="auto"/>
        <w:right w:val="none" w:sz="0" w:space="0" w:color="auto"/>
      </w:divBdr>
    </w:div>
    <w:div w:id="532839229">
      <w:bodyDiv w:val="1"/>
      <w:marLeft w:val="0"/>
      <w:marRight w:val="0"/>
      <w:marTop w:val="0"/>
      <w:marBottom w:val="0"/>
      <w:divBdr>
        <w:top w:val="none" w:sz="0" w:space="0" w:color="auto"/>
        <w:left w:val="none" w:sz="0" w:space="0" w:color="auto"/>
        <w:bottom w:val="none" w:sz="0" w:space="0" w:color="auto"/>
        <w:right w:val="none" w:sz="0" w:space="0" w:color="auto"/>
      </w:divBdr>
    </w:div>
    <w:div w:id="673459456">
      <w:bodyDiv w:val="1"/>
      <w:marLeft w:val="0"/>
      <w:marRight w:val="0"/>
      <w:marTop w:val="0"/>
      <w:marBottom w:val="0"/>
      <w:divBdr>
        <w:top w:val="none" w:sz="0" w:space="0" w:color="auto"/>
        <w:left w:val="none" w:sz="0" w:space="0" w:color="auto"/>
        <w:bottom w:val="none" w:sz="0" w:space="0" w:color="auto"/>
        <w:right w:val="none" w:sz="0" w:space="0" w:color="auto"/>
      </w:divBdr>
    </w:div>
    <w:div w:id="817265467">
      <w:bodyDiv w:val="1"/>
      <w:marLeft w:val="0"/>
      <w:marRight w:val="0"/>
      <w:marTop w:val="0"/>
      <w:marBottom w:val="0"/>
      <w:divBdr>
        <w:top w:val="none" w:sz="0" w:space="0" w:color="auto"/>
        <w:left w:val="none" w:sz="0" w:space="0" w:color="auto"/>
        <w:bottom w:val="none" w:sz="0" w:space="0" w:color="auto"/>
        <w:right w:val="none" w:sz="0" w:space="0" w:color="auto"/>
      </w:divBdr>
    </w:div>
    <w:div w:id="840655958">
      <w:bodyDiv w:val="1"/>
      <w:marLeft w:val="0"/>
      <w:marRight w:val="0"/>
      <w:marTop w:val="0"/>
      <w:marBottom w:val="0"/>
      <w:divBdr>
        <w:top w:val="none" w:sz="0" w:space="0" w:color="auto"/>
        <w:left w:val="none" w:sz="0" w:space="0" w:color="auto"/>
        <w:bottom w:val="none" w:sz="0" w:space="0" w:color="auto"/>
        <w:right w:val="none" w:sz="0" w:space="0" w:color="auto"/>
      </w:divBdr>
    </w:div>
    <w:div w:id="12652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8844D86-8B18-4DF9-A589-31F60FDA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14</Pages>
  <Words>3724</Words>
  <Characters>26778</Characters>
  <Application>Microsoft Office Word</Application>
  <DocSecurity>0</DocSecurity>
  <Lines>514</Lines>
  <Paragraphs>224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2021-03-11T16:25:00Z</dcterms:created>
  <dcterms:modified xsi:type="dcterms:W3CDTF">2021-03-22T08:01:00Z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Green (DQC version 03)</vt:lpwstr>
  </property>
  <property name="OP_sanitized" fmtid="{D5CDD505-2E9C-101B-9397-08002B2CF9AE}" pid="11">
    <vt:lpwstr>True</vt:lpwstr>
  </property>
</Properties>
</file>